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22"/>
        <w:gridCol w:w="2864"/>
      </w:tblGrid>
      <w:tr w:rsidR="002D5AAC" w:rsidRPr="00181FCD">
        <w:trPr>
          <w:trHeight w:hRule="exact" w:val="851"/>
        </w:trPr>
        <w:tc>
          <w:tcPr>
            <w:tcW w:w="1280" w:type="dxa"/>
            <w:tcBorders>
              <w:bottom w:val="single" w:sz="4" w:space="0" w:color="auto"/>
            </w:tcBorders>
            <w:shd w:val="clear" w:color="auto" w:fill="auto"/>
          </w:tcPr>
          <w:p w:rsidR="002D5AAC" w:rsidRPr="00181FCD" w:rsidRDefault="002D5AAC" w:rsidP="00347B20">
            <w:pPr>
              <w:suppressAutoHyphens/>
            </w:pPr>
          </w:p>
        </w:tc>
        <w:tc>
          <w:tcPr>
            <w:tcW w:w="2273" w:type="dxa"/>
            <w:tcBorders>
              <w:bottom w:val="single" w:sz="4" w:space="0" w:color="auto"/>
            </w:tcBorders>
            <w:shd w:val="clear" w:color="auto" w:fill="auto"/>
            <w:vAlign w:val="bottom"/>
          </w:tcPr>
          <w:p w:rsidR="002D5AAC" w:rsidRPr="00181FCD" w:rsidRDefault="00BD33EE" w:rsidP="00347B20">
            <w:pPr>
              <w:suppressAutoHyphens/>
              <w:spacing w:after="80" w:line="300" w:lineRule="exact"/>
              <w:rPr>
                <w:sz w:val="28"/>
              </w:rPr>
            </w:pPr>
            <w:r w:rsidRPr="00181FCD">
              <w:rPr>
                <w:sz w:val="28"/>
              </w:rPr>
              <w:t>Naciones</w:t>
            </w:r>
            <w:r w:rsidR="00F373A3" w:rsidRPr="00181FCD">
              <w:rPr>
                <w:sz w:val="28"/>
              </w:rPr>
              <w:t xml:space="preserve"> </w:t>
            </w:r>
            <w:r w:rsidRPr="00181FCD">
              <w:rPr>
                <w:sz w:val="28"/>
              </w:rPr>
              <w:t>Unidas</w:t>
            </w:r>
          </w:p>
        </w:tc>
        <w:tc>
          <w:tcPr>
            <w:tcW w:w="6086" w:type="dxa"/>
            <w:gridSpan w:val="2"/>
            <w:tcBorders>
              <w:bottom w:val="single" w:sz="4" w:space="0" w:color="auto"/>
            </w:tcBorders>
            <w:shd w:val="clear" w:color="auto" w:fill="auto"/>
            <w:vAlign w:val="bottom"/>
          </w:tcPr>
          <w:p w:rsidR="002D5AAC" w:rsidRPr="00181FCD" w:rsidRDefault="008838FE" w:rsidP="00347B20">
            <w:pPr>
              <w:suppressAutoHyphens/>
              <w:spacing w:after="20"/>
              <w:jc w:val="right"/>
            </w:pPr>
            <w:r w:rsidRPr="00181FCD">
              <w:rPr>
                <w:sz w:val="40"/>
              </w:rPr>
              <w:t>CAT</w:t>
            </w:r>
            <w:r w:rsidRPr="00181FCD">
              <w:t>/C/</w:t>
            </w:r>
            <w:r w:rsidR="00C34B5A" w:rsidRPr="00181FCD">
              <w:t>BGR</w:t>
            </w:r>
            <w:r w:rsidRPr="00181FCD">
              <w:t>/</w:t>
            </w:r>
            <w:r w:rsidR="00C34B5A" w:rsidRPr="00181FCD">
              <w:t>6</w:t>
            </w:r>
          </w:p>
        </w:tc>
      </w:tr>
      <w:tr w:rsidR="002D5AAC" w:rsidRPr="00181FCD">
        <w:trPr>
          <w:trHeight w:hRule="exact" w:val="2835"/>
        </w:trPr>
        <w:tc>
          <w:tcPr>
            <w:tcW w:w="1280" w:type="dxa"/>
            <w:tcBorders>
              <w:top w:val="single" w:sz="4" w:space="0" w:color="auto"/>
              <w:bottom w:val="single" w:sz="12" w:space="0" w:color="auto"/>
            </w:tcBorders>
            <w:shd w:val="clear" w:color="auto" w:fill="auto"/>
          </w:tcPr>
          <w:p w:rsidR="002D5AAC" w:rsidRPr="00181FCD" w:rsidRDefault="00BD33EE" w:rsidP="00347B20">
            <w:pPr>
              <w:suppressAutoHyphens/>
              <w:spacing w:before="120"/>
              <w:jc w:val="center"/>
            </w:pPr>
            <w:r w:rsidRPr="00181FC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95" w:type="dxa"/>
            <w:gridSpan w:val="2"/>
            <w:tcBorders>
              <w:top w:val="single" w:sz="4" w:space="0" w:color="auto"/>
              <w:bottom w:val="single" w:sz="12" w:space="0" w:color="auto"/>
            </w:tcBorders>
            <w:shd w:val="clear" w:color="auto" w:fill="auto"/>
          </w:tcPr>
          <w:p w:rsidR="002D5AAC" w:rsidRPr="00181FCD" w:rsidRDefault="00F94155" w:rsidP="00347B20">
            <w:pPr>
              <w:suppressAutoHyphens/>
              <w:spacing w:before="120" w:line="360" w:lineRule="exact"/>
              <w:rPr>
                <w:b/>
                <w:sz w:val="34"/>
                <w:szCs w:val="34"/>
              </w:rPr>
            </w:pPr>
            <w:r w:rsidRPr="00181FCD">
              <w:rPr>
                <w:b/>
                <w:sz w:val="34"/>
                <w:szCs w:val="34"/>
              </w:rPr>
              <w:t>Convención</w:t>
            </w:r>
            <w:r w:rsidR="00F373A3" w:rsidRPr="00181FCD">
              <w:rPr>
                <w:b/>
                <w:sz w:val="34"/>
                <w:szCs w:val="34"/>
              </w:rPr>
              <w:t xml:space="preserve"> </w:t>
            </w:r>
            <w:r w:rsidRPr="00181FCD">
              <w:rPr>
                <w:b/>
                <w:sz w:val="34"/>
                <w:szCs w:val="34"/>
              </w:rPr>
              <w:t>contra</w:t>
            </w:r>
            <w:r w:rsidR="00F373A3" w:rsidRPr="00181FCD">
              <w:rPr>
                <w:b/>
                <w:sz w:val="34"/>
                <w:szCs w:val="34"/>
              </w:rPr>
              <w:t xml:space="preserve"> </w:t>
            </w:r>
            <w:r w:rsidR="007021FF" w:rsidRPr="00181FCD">
              <w:rPr>
                <w:b/>
                <w:sz w:val="34"/>
                <w:szCs w:val="34"/>
              </w:rPr>
              <w:t>la</w:t>
            </w:r>
            <w:r w:rsidR="00F373A3" w:rsidRPr="00181FCD">
              <w:rPr>
                <w:b/>
                <w:sz w:val="34"/>
                <w:szCs w:val="34"/>
              </w:rPr>
              <w:t xml:space="preserve"> </w:t>
            </w:r>
            <w:r w:rsidRPr="00181FCD">
              <w:rPr>
                <w:b/>
                <w:sz w:val="34"/>
                <w:szCs w:val="34"/>
              </w:rPr>
              <w:t>Tortura</w:t>
            </w:r>
            <w:r w:rsidR="00033EE1" w:rsidRPr="00181FCD">
              <w:rPr>
                <w:b/>
                <w:sz w:val="34"/>
                <w:szCs w:val="34"/>
              </w:rPr>
              <w:br/>
            </w:r>
            <w:r w:rsidRPr="00181FCD">
              <w:rPr>
                <w:b/>
                <w:sz w:val="34"/>
                <w:szCs w:val="34"/>
              </w:rPr>
              <w:t>y</w:t>
            </w:r>
            <w:r w:rsidR="00F373A3" w:rsidRPr="00181FCD">
              <w:rPr>
                <w:b/>
                <w:sz w:val="34"/>
                <w:szCs w:val="34"/>
              </w:rPr>
              <w:t xml:space="preserve"> </w:t>
            </w:r>
            <w:r w:rsidRPr="00181FCD">
              <w:rPr>
                <w:b/>
                <w:sz w:val="34"/>
                <w:szCs w:val="34"/>
              </w:rPr>
              <w:t>Otros</w:t>
            </w:r>
            <w:r w:rsidR="00F373A3" w:rsidRPr="00181FCD">
              <w:rPr>
                <w:b/>
                <w:sz w:val="34"/>
                <w:szCs w:val="34"/>
              </w:rPr>
              <w:t xml:space="preserve"> </w:t>
            </w:r>
            <w:r w:rsidR="007021FF" w:rsidRPr="00181FCD">
              <w:rPr>
                <w:b/>
                <w:sz w:val="34"/>
                <w:szCs w:val="34"/>
              </w:rPr>
              <w:t>Tratos</w:t>
            </w:r>
            <w:r w:rsidR="00F373A3" w:rsidRPr="00181FCD">
              <w:rPr>
                <w:b/>
                <w:sz w:val="34"/>
                <w:szCs w:val="34"/>
              </w:rPr>
              <w:t xml:space="preserve"> </w:t>
            </w:r>
            <w:r w:rsidRPr="00181FCD">
              <w:rPr>
                <w:b/>
                <w:sz w:val="34"/>
                <w:szCs w:val="34"/>
              </w:rPr>
              <w:t>o</w:t>
            </w:r>
            <w:r w:rsidR="00F373A3" w:rsidRPr="00181FCD">
              <w:rPr>
                <w:b/>
                <w:sz w:val="34"/>
                <w:szCs w:val="34"/>
              </w:rPr>
              <w:t xml:space="preserve"> </w:t>
            </w:r>
            <w:r w:rsidRPr="00181FCD">
              <w:rPr>
                <w:b/>
                <w:sz w:val="34"/>
                <w:szCs w:val="34"/>
              </w:rPr>
              <w:t>Penas</w:t>
            </w:r>
            <w:r w:rsidR="00F373A3" w:rsidRPr="00181FCD">
              <w:rPr>
                <w:b/>
                <w:sz w:val="34"/>
                <w:szCs w:val="34"/>
              </w:rPr>
              <w:t xml:space="preserve"> </w:t>
            </w:r>
            <w:r w:rsidRPr="00181FCD">
              <w:rPr>
                <w:b/>
                <w:sz w:val="34"/>
                <w:szCs w:val="34"/>
              </w:rPr>
              <w:t>Crueles,</w:t>
            </w:r>
            <w:r w:rsidRPr="00181FCD">
              <w:rPr>
                <w:b/>
                <w:sz w:val="34"/>
                <w:szCs w:val="34"/>
              </w:rPr>
              <w:br/>
              <w:t>Inhumanos</w:t>
            </w:r>
            <w:r w:rsidR="00F373A3" w:rsidRPr="00181FCD">
              <w:rPr>
                <w:b/>
                <w:sz w:val="34"/>
                <w:szCs w:val="34"/>
              </w:rPr>
              <w:t xml:space="preserve"> </w:t>
            </w:r>
            <w:r w:rsidRPr="00181FCD">
              <w:rPr>
                <w:b/>
                <w:sz w:val="34"/>
                <w:szCs w:val="34"/>
              </w:rPr>
              <w:t>o</w:t>
            </w:r>
            <w:r w:rsidR="00F373A3" w:rsidRPr="00181FCD">
              <w:rPr>
                <w:b/>
                <w:sz w:val="34"/>
                <w:szCs w:val="34"/>
              </w:rPr>
              <w:t xml:space="preserve"> </w:t>
            </w:r>
            <w:r w:rsidRPr="00181FCD">
              <w:rPr>
                <w:b/>
                <w:sz w:val="34"/>
                <w:szCs w:val="34"/>
              </w:rPr>
              <w:t>Degradantes</w:t>
            </w:r>
          </w:p>
        </w:tc>
        <w:tc>
          <w:tcPr>
            <w:tcW w:w="2835" w:type="dxa"/>
            <w:tcBorders>
              <w:top w:val="single" w:sz="4" w:space="0" w:color="auto"/>
              <w:bottom w:val="single" w:sz="12" w:space="0" w:color="auto"/>
            </w:tcBorders>
            <w:shd w:val="clear" w:color="auto" w:fill="auto"/>
          </w:tcPr>
          <w:p w:rsidR="008838FE" w:rsidRPr="00181FCD" w:rsidRDefault="008838FE" w:rsidP="00347B20">
            <w:pPr>
              <w:suppressAutoHyphens/>
              <w:spacing w:before="240"/>
            </w:pPr>
            <w:r w:rsidRPr="00181FCD">
              <w:t>Distr.</w:t>
            </w:r>
            <w:r w:rsidR="00F373A3" w:rsidRPr="00181FCD">
              <w:t xml:space="preserve"> </w:t>
            </w:r>
            <w:r w:rsidRPr="00181FCD">
              <w:t>general</w:t>
            </w:r>
          </w:p>
          <w:p w:rsidR="008838FE" w:rsidRPr="00181FCD" w:rsidRDefault="00C34B5A" w:rsidP="00347B20">
            <w:pPr>
              <w:suppressAutoHyphens/>
            </w:pPr>
            <w:r w:rsidRPr="00181FCD">
              <w:t>1</w:t>
            </w:r>
            <w:r w:rsidR="00D47707" w:rsidRPr="00181FCD">
              <w:t>2</w:t>
            </w:r>
            <w:r w:rsidR="00F373A3" w:rsidRPr="00181FCD">
              <w:t xml:space="preserve"> </w:t>
            </w:r>
            <w:r w:rsidR="008838FE" w:rsidRPr="00181FCD">
              <w:t>de</w:t>
            </w:r>
            <w:r w:rsidR="00F373A3" w:rsidRPr="00181FCD">
              <w:t xml:space="preserve"> </w:t>
            </w:r>
            <w:r w:rsidRPr="00181FCD">
              <w:t>febrero</w:t>
            </w:r>
            <w:r w:rsidR="00F373A3" w:rsidRPr="00181FCD">
              <w:t xml:space="preserve"> </w:t>
            </w:r>
            <w:r w:rsidRPr="00181FCD">
              <w:t>de</w:t>
            </w:r>
            <w:r w:rsidR="00F373A3" w:rsidRPr="00181FCD">
              <w:t xml:space="preserve"> </w:t>
            </w:r>
            <w:r w:rsidRPr="00181FCD">
              <w:t>2016</w:t>
            </w:r>
          </w:p>
          <w:p w:rsidR="008838FE" w:rsidRPr="00181FCD" w:rsidRDefault="008838FE" w:rsidP="00347B20">
            <w:pPr>
              <w:suppressAutoHyphens/>
            </w:pPr>
            <w:r w:rsidRPr="00181FCD">
              <w:t>Español</w:t>
            </w:r>
          </w:p>
          <w:p w:rsidR="002D5AAC" w:rsidRPr="00181FCD" w:rsidRDefault="008838FE" w:rsidP="00347B20">
            <w:pPr>
              <w:suppressAutoHyphens/>
            </w:pPr>
            <w:r w:rsidRPr="00181FCD">
              <w:t>Original:</w:t>
            </w:r>
            <w:r w:rsidR="00F373A3" w:rsidRPr="00181FCD">
              <w:t xml:space="preserve"> </w:t>
            </w:r>
            <w:r w:rsidR="00D47707" w:rsidRPr="00181FCD">
              <w:t>inglés</w:t>
            </w:r>
          </w:p>
          <w:p w:rsidR="00701112" w:rsidRPr="00181FCD" w:rsidRDefault="00701112" w:rsidP="00347B20">
            <w:pPr>
              <w:suppressAutoHyphens/>
            </w:pPr>
            <w:r w:rsidRPr="00181FCD">
              <w:t>Español,</w:t>
            </w:r>
            <w:r w:rsidR="00F373A3" w:rsidRPr="00181FCD">
              <w:t xml:space="preserve"> </w:t>
            </w:r>
            <w:r w:rsidRPr="00181FCD">
              <w:t>francés</w:t>
            </w:r>
            <w:r w:rsidR="00F373A3" w:rsidRPr="00181FCD">
              <w:t xml:space="preserve"> </w:t>
            </w:r>
            <w:r w:rsidR="00D47707" w:rsidRPr="00181FCD">
              <w:t>e</w:t>
            </w:r>
            <w:r w:rsidR="00F373A3" w:rsidRPr="00181FCD">
              <w:t xml:space="preserve"> </w:t>
            </w:r>
            <w:r w:rsidRPr="00181FCD">
              <w:t>inglés</w:t>
            </w:r>
            <w:r w:rsidR="00F373A3" w:rsidRPr="00181FCD">
              <w:t xml:space="preserve"> </w:t>
            </w:r>
            <w:r w:rsidRPr="00181FCD">
              <w:t>únicamente</w:t>
            </w:r>
          </w:p>
        </w:tc>
      </w:tr>
    </w:tbl>
    <w:p w:rsidR="00381C24" w:rsidRPr="00181FCD" w:rsidRDefault="008838FE" w:rsidP="00347B20">
      <w:pPr>
        <w:suppressAutoHyphens/>
        <w:spacing w:before="120"/>
        <w:rPr>
          <w:b/>
          <w:sz w:val="24"/>
        </w:rPr>
      </w:pPr>
      <w:r w:rsidRPr="00181FCD">
        <w:rPr>
          <w:b/>
          <w:sz w:val="24"/>
        </w:rPr>
        <w:t>Comité</w:t>
      </w:r>
      <w:r w:rsidR="00F373A3" w:rsidRPr="00181FCD">
        <w:rPr>
          <w:b/>
          <w:sz w:val="24"/>
        </w:rPr>
        <w:t xml:space="preserve"> </w:t>
      </w:r>
      <w:r w:rsidRPr="00181FCD">
        <w:rPr>
          <w:b/>
          <w:sz w:val="24"/>
        </w:rPr>
        <w:t>contra</w:t>
      </w:r>
      <w:r w:rsidR="00F373A3" w:rsidRPr="00181FCD">
        <w:rPr>
          <w:b/>
          <w:sz w:val="24"/>
        </w:rPr>
        <w:t xml:space="preserve"> </w:t>
      </w:r>
      <w:r w:rsidRPr="00181FCD">
        <w:rPr>
          <w:b/>
          <w:sz w:val="24"/>
        </w:rPr>
        <w:t>la</w:t>
      </w:r>
      <w:r w:rsidR="00F373A3" w:rsidRPr="00181FCD">
        <w:rPr>
          <w:b/>
          <w:sz w:val="24"/>
        </w:rPr>
        <w:t xml:space="preserve"> </w:t>
      </w:r>
      <w:r w:rsidRPr="00181FCD">
        <w:rPr>
          <w:b/>
          <w:sz w:val="24"/>
        </w:rPr>
        <w:t>Tortura</w:t>
      </w:r>
    </w:p>
    <w:p w:rsidR="008838FE" w:rsidRPr="00181FCD" w:rsidRDefault="008838FE" w:rsidP="00347B20">
      <w:pPr>
        <w:pStyle w:val="HMG"/>
      </w:pPr>
      <w:r w:rsidRPr="00181FCD">
        <w:tab/>
      </w:r>
      <w:r w:rsidRPr="00181FCD">
        <w:tab/>
        <w:t>Examen</w:t>
      </w:r>
      <w:r w:rsidR="00F373A3" w:rsidRPr="00181FCD">
        <w:t xml:space="preserve"> </w:t>
      </w:r>
      <w:r w:rsidRPr="00181FCD">
        <w:t>de</w:t>
      </w:r>
      <w:r w:rsidR="00F373A3" w:rsidRPr="00181FCD">
        <w:t xml:space="preserve"> </w:t>
      </w:r>
      <w:r w:rsidRPr="00181FCD">
        <w:t>los</w:t>
      </w:r>
      <w:r w:rsidR="00F373A3" w:rsidRPr="00181FCD">
        <w:t xml:space="preserve"> </w:t>
      </w:r>
      <w:r w:rsidRPr="00181FCD">
        <w:t>informes</w:t>
      </w:r>
      <w:r w:rsidR="00F373A3" w:rsidRPr="00181FCD">
        <w:t xml:space="preserve"> </w:t>
      </w:r>
      <w:r w:rsidRPr="00181FCD">
        <w:t>presentados</w:t>
      </w:r>
      <w:r w:rsidR="00F373A3" w:rsidRPr="00181FCD">
        <w:t xml:space="preserve"> </w:t>
      </w:r>
      <w:r w:rsidRPr="00181FCD">
        <w:t>por</w:t>
      </w:r>
      <w:r w:rsidR="00F373A3" w:rsidRPr="00181FCD">
        <w:t xml:space="preserve"> </w:t>
      </w:r>
      <w:r w:rsidRPr="00181FCD">
        <w:t>los</w:t>
      </w:r>
      <w:r w:rsidR="00F373A3" w:rsidRPr="00181FCD">
        <w:t xml:space="preserve"> </w:t>
      </w:r>
      <w:r w:rsidRPr="00181FCD">
        <w:t>Estados</w:t>
      </w:r>
      <w:r w:rsidR="00F373A3" w:rsidRPr="00181FCD">
        <w:t xml:space="preserve"> </w:t>
      </w:r>
      <w:r w:rsidRPr="00181FCD">
        <w:t>partes</w:t>
      </w:r>
      <w:r w:rsidR="00F373A3" w:rsidRPr="00181FCD">
        <w:t xml:space="preserve"> </w:t>
      </w:r>
      <w:r w:rsidRPr="00181FCD">
        <w:t>en</w:t>
      </w:r>
      <w:r w:rsidR="00F373A3" w:rsidRPr="00181FCD">
        <w:t xml:space="preserve"> </w:t>
      </w:r>
      <w:r w:rsidRPr="00181FCD">
        <w:t>virtud</w:t>
      </w:r>
      <w:r w:rsidR="00F373A3" w:rsidRPr="00181FCD">
        <w:t xml:space="preserve"> </w:t>
      </w:r>
      <w:r w:rsidRPr="00181FCD">
        <w:t>d</w:t>
      </w:r>
      <w:r w:rsidR="00D47707" w:rsidRPr="00181FCD">
        <w:t>el</w:t>
      </w:r>
      <w:r w:rsidR="00F373A3" w:rsidRPr="00181FCD">
        <w:t xml:space="preserve"> </w:t>
      </w:r>
      <w:r w:rsidR="00D47707" w:rsidRPr="00181FCD">
        <w:t>artículo</w:t>
      </w:r>
      <w:r w:rsidR="00F373A3" w:rsidRPr="00181FCD">
        <w:t xml:space="preserve"> </w:t>
      </w:r>
      <w:r w:rsidR="00D47707" w:rsidRPr="00181FCD">
        <w:t>19</w:t>
      </w:r>
      <w:r w:rsidR="00F373A3" w:rsidRPr="00181FCD">
        <w:t xml:space="preserve"> </w:t>
      </w:r>
      <w:r w:rsidR="00D47707" w:rsidRPr="00181FCD">
        <w:t>de</w:t>
      </w:r>
      <w:r w:rsidR="00F373A3" w:rsidRPr="00181FCD">
        <w:t xml:space="preserve"> </w:t>
      </w:r>
      <w:r w:rsidR="00D47707" w:rsidRPr="00181FCD">
        <w:t>la</w:t>
      </w:r>
      <w:r w:rsidR="00F373A3" w:rsidRPr="00181FCD">
        <w:t xml:space="preserve"> </w:t>
      </w:r>
      <w:r w:rsidR="00915A84" w:rsidRPr="00181FCD">
        <w:t>Convención</w:t>
      </w:r>
      <w:r w:rsidR="00F373A3" w:rsidRPr="00181FCD">
        <w:t xml:space="preserve"> </w:t>
      </w:r>
      <w:r w:rsidR="00D47707" w:rsidRPr="00181FCD">
        <w:t>con</w:t>
      </w:r>
      <w:r w:rsidR="00F373A3" w:rsidRPr="00181FCD">
        <w:t xml:space="preserve"> </w:t>
      </w:r>
      <w:r w:rsidR="00D47707" w:rsidRPr="00181FCD">
        <w:t>arreglo</w:t>
      </w:r>
      <w:r w:rsidR="00F373A3" w:rsidRPr="00181FCD">
        <w:t xml:space="preserve"> </w:t>
      </w:r>
      <w:r w:rsidR="00D47707" w:rsidRPr="00181FCD">
        <w:t>al</w:t>
      </w:r>
      <w:r w:rsidR="00F373A3" w:rsidRPr="00181FCD">
        <w:t xml:space="preserve"> </w:t>
      </w:r>
      <w:r w:rsidR="00D47707" w:rsidRPr="00181FCD">
        <w:t>procedimiento</w:t>
      </w:r>
      <w:r w:rsidR="00F373A3" w:rsidRPr="00181FCD">
        <w:t xml:space="preserve"> </w:t>
      </w:r>
      <w:r w:rsidR="00D47707" w:rsidRPr="00181FCD">
        <w:t>facultativo</w:t>
      </w:r>
      <w:r w:rsidR="00F373A3" w:rsidRPr="00181FCD">
        <w:t xml:space="preserve"> </w:t>
      </w:r>
      <w:r w:rsidR="00D47707" w:rsidRPr="00181FCD">
        <w:t>de</w:t>
      </w:r>
      <w:r w:rsidR="00F373A3" w:rsidRPr="00181FCD">
        <w:t xml:space="preserve"> </w:t>
      </w:r>
      <w:r w:rsidR="00D47707" w:rsidRPr="00181FCD">
        <w:t>presentación</w:t>
      </w:r>
      <w:r w:rsidR="00F373A3" w:rsidRPr="00181FCD">
        <w:t xml:space="preserve"> </w:t>
      </w:r>
      <w:r w:rsidR="00D47707" w:rsidRPr="00181FCD">
        <w:t>de</w:t>
      </w:r>
      <w:r w:rsidR="00F373A3" w:rsidRPr="00181FCD">
        <w:t xml:space="preserve"> </w:t>
      </w:r>
      <w:r w:rsidR="00D47707" w:rsidRPr="00181FCD">
        <w:t>informes</w:t>
      </w:r>
    </w:p>
    <w:p w:rsidR="008838FE" w:rsidRPr="00181FCD" w:rsidRDefault="008838FE" w:rsidP="00347B20">
      <w:pPr>
        <w:pStyle w:val="HChG"/>
      </w:pPr>
      <w:r w:rsidRPr="00181FCD">
        <w:tab/>
      </w:r>
      <w:r w:rsidRPr="00181FCD">
        <w:tab/>
      </w:r>
      <w:r w:rsidR="00C34B5A" w:rsidRPr="00181FCD">
        <w:t>Sexto</w:t>
      </w:r>
      <w:r w:rsidR="00F373A3" w:rsidRPr="00181FCD">
        <w:t xml:space="preserve"> </w:t>
      </w:r>
      <w:r w:rsidR="00915A84" w:rsidRPr="00181FCD">
        <w:t>informe</w:t>
      </w:r>
      <w:r w:rsidR="00F373A3" w:rsidRPr="00181FCD">
        <w:t xml:space="preserve"> </w:t>
      </w:r>
      <w:r w:rsidR="00915A84" w:rsidRPr="00181FCD">
        <w:t>periódico</w:t>
      </w:r>
      <w:r w:rsidR="00F373A3" w:rsidRPr="00181FCD">
        <w:t xml:space="preserve"> </w:t>
      </w:r>
      <w:r w:rsidRPr="00181FCD">
        <w:t>que</w:t>
      </w:r>
      <w:r w:rsidR="00F373A3" w:rsidRPr="00181FCD">
        <w:t xml:space="preserve"> </w:t>
      </w:r>
      <w:r w:rsidRPr="00181FCD">
        <w:t>los</w:t>
      </w:r>
      <w:r w:rsidR="00F373A3" w:rsidRPr="00181FCD">
        <w:t xml:space="preserve"> </w:t>
      </w:r>
      <w:r w:rsidRPr="00181FCD">
        <w:t>Estados</w:t>
      </w:r>
      <w:r w:rsidR="00F373A3" w:rsidRPr="00181FCD">
        <w:t xml:space="preserve"> </w:t>
      </w:r>
      <w:r w:rsidRPr="00181FCD">
        <w:t>partes</w:t>
      </w:r>
      <w:r w:rsidR="00F373A3" w:rsidRPr="00181FCD">
        <w:t xml:space="preserve"> </w:t>
      </w:r>
      <w:r w:rsidRPr="00181FCD">
        <w:t>debían</w:t>
      </w:r>
      <w:r w:rsidR="00F373A3" w:rsidRPr="00181FCD">
        <w:t xml:space="preserve"> </w:t>
      </w:r>
      <w:r w:rsidRPr="00181FCD">
        <w:t>presentar</w:t>
      </w:r>
      <w:r w:rsidR="00F373A3" w:rsidRPr="00181FCD">
        <w:t xml:space="preserve"> </w:t>
      </w:r>
      <w:r w:rsidRPr="00181FCD">
        <w:t>en</w:t>
      </w:r>
      <w:r w:rsidR="00F373A3" w:rsidRPr="00181FCD">
        <w:t xml:space="preserve"> </w:t>
      </w:r>
      <w:r w:rsidR="00915A84" w:rsidRPr="00181FCD">
        <w:t>2015</w:t>
      </w:r>
    </w:p>
    <w:p w:rsidR="008838FE" w:rsidRPr="00181FCD" w:rsidRDefault="008838FE" w:rsidP="00347B20">
      <w:pPr>
        <w:pStyle w:val="HMG"/>
        <w:rPr>
          <w:b w:val="0"/>
          <w:sz w:val="20"/>
        </w:rPr>
      </w:pPr>
      <w:r w:rsidRPr="00181FCD">
        <w:tab/>
      </w:r>
      <w:r w:rsidRPr="00181FCD">
        <w:tab/>
      </w:r>
      <w:r w:rsidR="00C34B5A" w:rsidRPr="00181FCD">
        <w:t>Bulgaria</w:t>
      </w:r>
      <w:r w:rsidRPr="00181FCD">
        <w:rPr>
          <w:rStyle w:val="FootnoteReference"/>
          <w:b w:val="0"/>
          <w:sz w:val="20"/>
          <w:vertAlign w:val="baseline"/>
        </w:rPr>
        <w:footnoteReference w:customMarkFollows="1" w:id="1"/>
        <w:t>*</w:t>
      </w:r>
      <w:r w:rsidR="00F373A3" w:rsidRPr="00181FCD">
        <w:t xml:space="preserve"> </w:t>
      </w:r>
      <w:r w:rsidRPr="00181FCD">
        <w:rPr>
          <w:rStyle w:val="FootnoteReference"/>
          <w:b w:val="0"/>
          <w:sz w:val="20"/>
          <w:vertAlign w:val="baseline"/>
        </w:rPr>
        <w:footnoteReference w:customMarkFollows="1" w:id="2"/>
        <w:t>**</w:t>
      </w:r>
      <w:r w:rsidR="00F373A3" w:rsidRPr="00181FCD">
        <w:t xml:space="preserve"> </w:t>
      </w:r>
      <w:r w:rsidR="00D47707" w:rsidRPr="00181FCD">
        <w:rPr>
          <w:rStyle w:val="FootnoteReference"/>
          <w:b w:val="0"/>
          <w:bCs/>
          <w:sz w:val="20"/>
          <w:szCs w:val="28"/>
          <w:vertAlign w:val="baseline"/>
        </w:rPr>
        <w:footnoteReference w:customMarkFollows="1" w:id="3"/>
        <w:t>***</w:t>
      </w:r>
    </w:p>
    <w:p w:rsidR="001E2615" w:rsidRPr="00181FCD" w:rsidRDefault="001E2615" w:rsidP="00347B20">
      <w:pPr>
        <w:pStyle w:val="SingleTxtG"/>
        <w:suppressAutoHyphens/>
        <w:jc w:val="right"/>
      </w:pPr>
      <w:r w:rsidRPr="00181FCD">
        <w:t>[</w:t>
      </w:r>
      <w:r w:rsidR="00B7779D" w:rsidRPr="00181FCD">
        <w:t>Fecha</w:t>
      </w:r>
      <w:r w:rsidR="00F373A3" w:rsidRPr="00181FCD">
        <w:t xml:space="preserve"> </w:t>
      </w:r>
      <w:r w:rsidR="00B7779D" w:rsidRPr="00181FCD">
        <w:t>de</w:t>
      </w:r>
      <w:r w:rsidR="00F373A3" w:rsidRPr="00181FCD">
        <w:t xml:space="preserve"> </w:t>
      </w:r>
      <w:r w:rsidR="00B7779D" w:rsidRPr="00181FCD">
        <w:t>recepción:</w:t>
      </w:r>
      <w:r w:rsidR="00F373A3" w:rsidRPr="00181FCD">
        <w:t xml:space="preserve"> </w:t>
      </w:r>
      <w:r w:rsidR="00C34B5A" w:rsidRPr="00181FCD">
        <w:t>4</w:t>
      </w:r>
      <w:r w:rsidR="00F373A3" w:rsidRPr="00181FCD">
        <w:t xml:space="preserve"> </w:t>
      </w:r>
      <w:r w:rsidRPr="00181FCD">
        <w:t>de</w:t>
      </w:r>
      <w:r w:rsidR="00F373A3" w:rsidRPr="00181FCD">
        <w:t xml:space="preserve"> </w:t>
      </w:r>
      <w:r w:rsidR="00C34B5A" w:rsidRPr="00181FCD">
        <w:t>enero</w:t>
      </w:r>
      <w:r w:rsidR="00F373A3" w:rsidRPr="00181FCD">
        <w:t xml:space="preserve"> </w:t>
      </w:r>
      <w:r w:rsidRPr="00181FCD">
        <w:t>de</w:t>
      </w:r>
      <w:r w:rsidR="00F373A3" w:rsidRPr="00181FCD">
        <w:t xml:space="preserve"> </w:t>
      </w:r>
      <w:r w:rsidRPr="00181FCD">
        <w:t>20</w:t>
      </w:r>
      <w:r w:rsidR="00C34B5A" w:rsidRPr="00181FCD">
        <w:t>16</w:t>
      </w:r>
      <w:r w:rsidRPr="00181FCD">
        <w:t>]</w:t>
      </w:r>
    </w:p>
    <w:p w:rsidR="00CB1006" w:rsidRPr="00181FCD" w:rsidRDefault="008838FE" w:rsidP="00347B20">
      <w:pPr>
        <w:pStyle w:val="SingleTxtG"/>
        <w:suppressAutoHyphens/>
        <w:ind w:left="0" w:right="0"/>
        <w:jc w:val="left"/>
        <w:rPr>
          <w:sz w:val="28"/>
        </w:rPr>
      </w:pPr>
      <w:r w:rsidRPr="00181FCD">
        <w:br w:type="page"/>
      </w:r>
      <w:r w:rsidR="00CB1006" w:rsidRPr="00181FCD">
        <w:rPr>
          <w:sz w:val="28"/>
        </w:rPr>
        <w:t>Índice</w:t>
      </w:r>
    </w:p>
    <w:p w:rsidR="00CB1006" w:rsidRPr="00181FCD" w:rsidRDefault="00CB1006" w:rsidP="00347B20">
      <w:pPr>
        <w:tabs>
          <w:tab w:val="right" w:pos="9638"/>
        </w:tabs>
        <w:suppressAutoHyphens/>
        <w:kinsoku w:val="0"/>
        <w:overflowPunct w:val="0"/>
        <w:autoSpaceDE w:val="0"/>
        <w:autoSpaceDN w:val="0"/>
        <w:adjustRightInd w:val="0"/>
        <w:snapToGrid w:val="0"/>
        <w:spacing w:after="120"/>
        <w:ind w:left="283"/>
        <w:rPr>
          <w:sz w:val="18"/>
        </w:rPr>
      </w:pPr>
      <w:r w:rsidRPr="00181FCD">
        <w:rPr>
          <w:i/>
          <w:sz w:val="18"/>
        </w:rPr>
        <w:tab/>
        <w:t>Página</w:t>
      </w:r>
    </w:p>
    <w:p w:rsidR="00CE75B7" w:rsidRPr="00181FCD" w:rsidRDefault="00CE75B7" w:rsidP="00347B20">
      <w:pPr>
        <w:tabs>
          <w:tab w:val="right" w:pos="850"/>
          <w:tab w:val="left" w:pos="1134"/>
          <w:tab w:val="left" w:pos="1559"/>
          <w:tab w:val="left" w:pos="1984"/>
          <w:tab w:val="left" w:leader="dot" w:pos="8929"/>
          <w:tab w:val="right" w:pos="9638"/>
        </w:tabs>
        <w:suppressAutoHyphens/>
        <w:kinsoku w:val="0"/>
        <w:overflowPunct w:val="0"/>
        <w:autoSpaceDE w:val="0"/>
        <w:autoSpaceDN w:val="0"/>
        <w:adjustRightInd w:val="0"/>
        <w:snapToGrid w:val="0"/>
        <w:spacing w:after="120"/>
      </w:pPr>
      <w:r w:rsidRPr="00181FCD">
        <w:tab/>
      </w:r>
      <w:r w:rsidRPr="00181FCD">
        <w:tab/>
        <w:t>Introducción</w:t>
      </w:r>
      <w:r w:rsidRPr="00181FCD">
        <w:tab/>
      </w:r>
      <w:r w:rsidRPr="00181FCD">
        <w:tab/>
      </w:r>
      <w:r w:rsidR="00D04232" w:rsidRPr="00181FCD">
        <w:t>3</w:t>
      </w:r>
    </w:p>
    <w:p w:rsidR="00CE75B7" w:rsidRPr="00181FCD" w:rsidRDefault="00CE75B7" w:rsidP="00347B20">
      <w:pPr>
        <w:tabs>
          <w:tab w:val="right" w:pos="850"/>
          <w:tab w:val="left" w:pos="1134"/>
          <w:tab w:val="left" w:pos="1559"/>
          <w:tab w:val="left" w:pos="1984"/>
          <w:tab w:val="left" w:leader="dot" w:pos="8929"/>
          <w:tab w:val="right" w:pos="9638"/>
        </w:tabs>
        <w:suppressAutoHyphens/>
        <w:kinsoku w:val="0"/>
        <w:overflowPunct w:val="0"/>
        <w:autoSpaceDE w:val="0"/>
        <w:autoSpaceDN w:val="0"/>
        <w:adjustRightInd w:val="0"/>
        <w:snapToGrid w:val="0"/>
        <w:spacing w:after="120"/>
      </w:pPr>
      <w:r w:rsidRPr="00181FCD">
        <w:tab/>
      </w:r>
      <w:r w:rsidRPr="00181FCD">
        <w:tab/>
        <w:t>Artículos</w:t>
      </w:r>
      <w:r w:rsidR="00F373A3" w:rsidRPr="00181FCD">
        <w:t xml:space="preserve"> </w:t>
      </w:r>
      <w:r w:rsidRPr="00181FCD">
        <w:t>1</w:t>
      </w:r>
      <w:r w:rsidR="00F373A3" w:rsidRPr="00181FCD">
        <w:t xml:space="preserve"> </w:t>
      </w:r>
      <w:r w:rsidRPr="00181FCD">
        <w:t>y</w:t>
      </w:r>
      <w:r w:rsidR="00F373A3" w:rsidRPr="00181FCD">
        <w:t xml:space="preserve"> </w:t>
      </w:r>
      <w:r w:rsidRPr="00181FCD">
        <w:t>4</w:t>
      </w:r>
      <w:r w:rsidRPr="00181FCD">
        <w:tab/>
      </w:r>
      <w:r w:rsidRPr="00181FCD">
        <w:tab/>
      </w:r>
      <w:r w:rsidR="00D04232" w:rsidRPr="00181FCD">
        <w:t>3</w:t>
      </w:r>
    </w:p>
    <w:p w:rsidR="00CE75B7" w:rsidRPr="00181FCD" w:rsidRDefault="00CE75B7" w:rsidP="00347B20">
      <w:pPr>
        <w:tabs>
          <w:tab w:val="right" w:pos="850"/>
          <w:tab w:val="left" w:pos="1134"/>
          <w:tab w:val="left" w:pos="1559"/>
          <w:tab w:val="left" w:leader="dot" w:pos="8929"/>
          <w:tab w:val="right" w:pos="9638"/>
        </w:tabs>
        <w:suppressAutoHyphens/>
        <w:kinsoku w:val="0"/>
        <w:overflowPunct w:val="0"/>
        <w:autoSpaceDE w:val="0"/>
        <w:autoSpaceDN w:val="0"/>
        <w:adjustRightInd w:val="0"/>
        <w:snapToGrid w:val="0"/>
        <w:spacing w:after="120"/>
      </w:pPr>
      <w:r w:rsidRPr="00181FCD">
        <w:tab/>
      </w:r>
      <w:r w:rsidRPr="00181FCD">
        <w:tab/>
        <w:t>Artículo</w:t>
      </w:r>
      <w:r w:rsidR="00F373A3" w:rsidRPr="00181FCD">
        <w:t xml:space="preserve"> </w:t>
      </w:r>
      <w:r w:rsidR="000B4CB8" w:rsidRPr="00181FCD">
        <w:t>2</w:t>
      </w:r>
      <w:r w:rsidRPr="00181FCD">
        <w:tab/>
      </w:r>
      <w:r w:rsidR="000B4CB8" w:rsidRPr="00181FCD">
        <w:tab/>
      </w:r>
      <w:r w:rsidR="00D04232" w:rsidRPr="00181FCD">
        <w:t>3</w:t>
      </w:r>
    </w:p>
    <w:p w:rsidR="00CE75B7" w:rsidRPr="00181FCD" w:rsidRDefault="00CE75B7" w:rsidP="00347B20">
      <w:pPr>
        <w:tabs>
          <w:tab w:val="right" w:pos="850"/>
          <w:tab w:val="left" w:pos="1134"/>
          <w:tab w:val="left" w:pos="1559"/>
          <w:tab w:val="left" w:leader="dot" w:pos="8929"/>
          <w:tab w:val="right" w:pos="9638"/>
        </w:tabs>
        <w:suppressAutoHyphens/>
        <w:kinsoku w:val="0"/>
        <w:overflowPunct w:val="0"/>
        <w:autoSpaceDE w:val="0"/>
        <w:autoSpaceDN w:val="0"/>
        <w:adjustRightInd w:val="0"/>
        <w:snapToGrid w:val="0"/>
        <w:spacing w:after="120"/>
      </w:pPr>
      <w:r w:rsidRPr="00181FCD">
        <w:tab/>
      </w:r>
      <w:r w:rsidRPr="00181FCD">
        <w:tab/>
        <w:t>Artículo</w:t>
      </w:r>
      <w:r w:rsidR="00F373A3" w:rsidRPr="00181FCD">
        <w:t xml:space="preserve"> </w:t>
      </w:r>
      <w:r w:rsidRPr="00181FCD">
        <w:t>3</w:t>
      </w:r>
      <w:r w:rsidRPr="00181FCD">
        <w:tab/>
      </w:r>
      <w:r w:rsidRPr="00181FCD">
        <w:tab/>
      </w:r>
      <w:r w:rsidR="00D04232" w:rsidRPr="00181FCD">
        <w:t>20</w:t>
      </w:r>
    </w:p>
    <w:p w:rsidR="00CE75B7" w:rsidRPr="00181FCD" w:rsidRDefault="00CE75B7" w:rsidP="00347B20">
      <w:pPr>
        <w:tabs>
          <w:tab w:val="right" w:pos="850"/>
          <w:tab w:val="left" w:pos="1134"/>
          <w:tab w:val="left" w:pos="1559"/>
          <w:tab w:val="left" w:pos="1984"/>
          <w:tab w:val="left" w:leader="dot" w:pos="8929"/>
          <w:tab w:val="right" w:pos="9638"/>
        </w:tabs>
        <w:suppressAutoHyphens/>
        <w:kinsoku w:val="0"/>
        <w:overflowPunct w:val="0"/>
        <w:autoSpaceDE w:val="0"/>
        <w:autoSpaceDN w:val="0"/>
        <w:adjustRightInd w:val="0"/>
        <w:snapToGrid w:val="0"/>
        <w:spacing w:after="120"/>
      </w:pPr>
      <w:r w:rsidRPr="00181FCD">
        <w:tab/>
      </w:r>
      <w:r w:rsidRPr="00181FCD">
        <w:tab/>
        <w:t>Artículos</w:t>
      </w:r>
      <w:r w:rsidR="00F373A3" w:rsidRPr="00181FCD">
        <w:t xml:space="preserve"> </w:t>
      </w:r>
      <w:r w:rsidRPr="00181FCD">
        <w:t>5</w:t>
      </w:r>
      <w:r w:rsidR="000B4CB8" w:rsidRPr="00181FCD">
        <w:t>,</w:t>
      </w:r>
      <w:r w:rsidR="00F373A3" w:rsidRPr="00181FCD">
        <w:t xml:space="preserve"> </w:t>
      </w:r>
      <w:r w:rsidRPr="00181FCD">
        <w:t>7</w:t>
      </w:r>
      <w:r w:rsidR="00F373A3" w:rsidRPr="00181FCD">
        <w:t xml:space="preserve"> </w:t>
      </w:r>
      <w:r w:rsidR="000B4CB8" w:rsidRPr="00181FCD">
        <w:t>y</w:t>
      </w:r>
      <w:r w:rsidR="00F373A3" w:rsidRPr="00181FCD">
        <w:t xml:space="preserve"> </w:t>
      </w:r>
      <w:r w:rsidR="000B4CB8" w:rsidRPr="00181FCD">
        <w:t>8</w:t>
      </w:r>
      <w:r w:rsidRPr="00181FCD">
        <w:tab/>
      </w:r>
      <w:r w:rsidRPr="00181FCD">
        <w:tab/>
      </w:r>
      <w:r w:rsidR="00D04232" w:rsidRPr="00181FCD">
        <w:t>27</w:t>
      </w:r>
    </w:p>
    <w:p w:rsidR="00CE75B7" w:rsidRPr="00181FCD" w:rsidRDefault="00CE75B7" w:rsidP="00347B20">
      <w:pPr>
        <w:tabs>
          <w:tab w:val="right" w:pos="850"/>
          <w:tab w:val="left" w:pos="1134"/>
          <w:tab w:val="left" w:pos="1559"/>
          <w:tab w:val="left" w:pos="1984"/>
          <w:tab w:val="left" w:leader="dot" w:pos="8929"/>
          <w:tab w:val="right" w:pos="9638"/>
        </w:tabs>
        <w:suppressAutoHyphens/>
        <w:kinsoku w:val="0"/>
        <w:overflowPunct w:val="0"/>
        <w:autoSpaceDE w:val="0"/>
        <w:autoSpaceDN w:val="0"/>
        <w:adjustRightInd w:val="0"/>
        <w:snapToGrid w:val="0"/>
        <w:spacing w:after="120"/>
      </w:pPr>
      <w:r w:rsidRPr="00181FCD">
        <w:tab/>
      </w:r>
      <w:r w:rsidRPr="00181FCD">
        <w:tab/>
        <w:t>Artículo</w:t>
      </w:r>
      <w:r w:rsidR="00F373A3" w:rsidRPr="00181FCD">
        <w:t xml:space="preserve"> </w:t>
      </w:r>
      <w:r w:rsidRPr="00181FCD">
        <w:t>10</w:t>
      </w:r>
      <w:r w:rsidRPr="00181FCD">
        <w:tab/>
      </w:r>
      <w:r w:rsidRPr="00181FCD">
        <w:tab/>
      </w:r>
      <w:r w:rsidR="00D04232" w:rsidRPr="00181FCD">
        <w:t>27</w:t>
      </w:r>
    </w:p>
    <w:p w:rsidR="00CE75B7" w:rsidRPr="00181FCD" w:rsidRDefault="00CE75B7" w:rsidP="00347B20">
      <w:pPr>
        <w:tabs>
          <w:tab w:val="right" w:pos="850"/>
          <w:tab w:val="left" w:pos="1134"/>
          <w:tab w:val="left" w:pos="1559"/>
          <w:tab w:val="left" w:pos="1984"/>
          <w:tab w:val="left" w:leader="dot" w:pos="8929"/>
          <w:tab w:val="right" w:pos="9638"/>
        </w:tabs>
        <w:suppressAutoHyphens/>
        <w:kinsoku w:val="0"/>
        <w:overflowPunct w:val="0"/>
        <w:autoSpaceDE w:val="0"/>
        <w:autoSpaceDN w:val="0"/>
        <w:adjustRightInd w:val="0"/>
        <w:snapToGrid w:val="0"/>
        <w:spacing w:after="120"/>
      </w:pPr>
      <w:r w:rsidRPr="00181FCD">
        <w:tab/>
      </w:r>
      <w:r w:rsidRPr="00181FCD">
        <w:tab/>
        <w:t>Artículo</w:t>
      </w:r>
      <w:r w:rsidR="00F373A3" w:rsidRPr="00181FCD">
        <w:t xml:space="preserve"> </w:t>
      </w:r>
      <w:r w:rsidRPr="00181FCD">
        <w:t>11</w:t>
      </w:r>
      <w:r w:rsidRPr="00181FCD">
        <w:tab/>
      </w:r>
      <w:r w:rsidRPr="00181FCD">
        <w:tab/>
      </w:r>
      <w:r w:rsidR="00D04232" w:rsidRPr="00181FCD">
        <w:t>29</w:t>
      </w:r>
    </w:p>
    <w:p w:rsidR="00CE75B7" w:rsidRPr="00181FCD" w:rsidRDefault="00CE75B7" w:rsidP="00347B20">
      <w:pPr>
        <w:tabs>
          <w:tab w:val="right" w:pos="850"/>
          <w:tab w:val="left" w:pos="1134"/>
          <w:tab w:val="left" w:pos="1559"/>
          <w:tab w:val="left" w:pos="1984"/>
          <w:tab w:val="left" w:leader="dot" w:pos="8929"/>
          <w:tab w:val="right" w:pos="9638"/>
        </w:tabs>
        <w:suppressAutoHyphens/>
        <w:kinsoku w:val="0"/>
        <w:overflowPunct w:val="0"/>
        <w:autoSpaceDE w:val="0"/>
        <w:autoSpaceDN w:val="0"/>
        <w:adjustRightInd w:val="0"/>
        <w:snapToGrid w:val="0"/>
        <w:spacing w:after="120"/>
      </w:pPr>
      <w:r w:rsidRPr="00181FCD">
        <w:tab/>
      </w:r>
      <w:r w:rsidRPr="00181FCD">
        <w:tab/>
        <w:t>Artículos</w:t>
      </w:r>
      <w:r w:rsidR="00F373A3" w:rsidRPr="00181FCD">
        <w:t xml:space="preserve"> </w:t>
      </w:r>
      <w:r w:rsidRPr="00181FCD">
        <w:t>12</w:t>
      </w:r>
      <w:r w:rsidR="00F373A3" w:rsidRPr="00181FCD">
        <w:t xml:space="preserve"> </w:t>
      </w:r>
      <w:r w:rsidRPr="00181FCD">
        <w:t>y</w:t>
      </w:r>
      <w:r w:rsidR="00F373A3" w:rsidRPr="00181FCD">
        <w:t xml:space="preserve"> </w:t>
      </w:r>
      <w:r w:rsidRPr="00181FCD">
        <w:t>13</w:t>
      </w:r>
      <w:r w:rsidRPr="00181FCD">
        <w:tab/>
      </w:r>
      <w:r w:rsidRPr="00181FCD">
        <w:tab/>
      </w:r>
      <w:r w:rsidR="00D04232" w:rsidRPr="00181FCD">
        <w:t>36</w:t>
      </w:r>
    </w:p>
    <w:p w:rsidR="00CE75B7" w:rsidRPr="00181FCD" w:rsidRDefault="00CE75B7" w:rsidP="00347B20">
      <w:pPr>
        <w:tabs>
          <w:tab w:val="right" w:pos="850"/>
          <w:tab w:val="left" w:pos="1134"/>
          <w:tab w:val="left" w:pos="1559"/>
          <w:tab w:val="left" w:pos="1984"/>
          <w:tab w:val="left" w:leader="dot" w:pos="8929"/>
          <w:tab w:val="right" w:pos="9638"/>
        </w:tabs>
        <w:suppressAutoHyphens/>
        <w:kinsoku w:val="0"/>
        <w:overflowPunct w:val="0"/>
        <w:autoSpaceDE w:val="0"/>
        <w:autoSpaceDN w:val="0"/>
        <w:adjustRightInd w:val="0"/>
        <w:snapToGrid w:val="0"/>
        <w:spacing w:after="120"/>
      </w:pPr>
      <w:r w:rsidRPr="00181FCD">
        <w:tab/>
      </w:r>
      <w:r w:rsidRPr="00181FCD">
        <w:tab/>
        <w:t>Artículo</w:t>
      </w:r>
      <w:r w:rsidR="00F373A3" w:rsidRPr="00181FCD">
        <w:t xml:space="preserve"> </w:t>
      </w:r>
      <w:r w:rsidRPr="00181FCD">
        <w:t>14</w:t>
      </w:r>
      <w:r w:rsidRPr="00181FCD">
        <w:tab/>
      </w:r>
      <w:r w:rsidRPr="00181FCD">
        <w:tab/>
      </w:r>
      <w:r w:rsidR="00D04232" w:rsidRPr="00181FCD">
        <w:t>36</w:t>
      </w:r>
    </w:p>
    <w:p w:rsidR="00CE75B7" w:rsidRPr="00181FCD" w:rsidRDefault="00CE75B7" w:rsidP="00347B20">
      <w:pPr>
        <w:tabs>
          <w:tab w:val="right" w:pos="850"/>
          <w:tab w:val="left" w:pos="1134"/>
          <w:tab w:val="left" w:pos="1559"/>
          <w:tab w:val="left" w:pos="1984"/>
          <w:tab w:val="left" w:leader="dot" w:pos="8929"/>
          <w:tab w:val="right" w:pos="9638"/>
        </w:tabs>
        <w:suppressAutoHyphens/>
        <w:kinsoku w:val="0"/>
        <w:overflowPunct w:val="0"/>
        <w:autoSpaceDE w:val="0"/>
        <w:autoSpaceDN w:val="0"/>
        <w:adjustRightInd w:val="0"/>
        <w:snapToGrid w:val="0"/>
        <w:spacing w:after="120"/>
      </w:pPr>
      <w:r w:rsidRPr="00181FCD">
        <w:tab/>
      </w:r>
      <w:r w:rsidRPr="00181FCD">
        <w:tab/>
        <w:t>Artículo</w:t>
      </w:r>
      <w:r w:rsidR="00F373A3" w:rsidRPr="00181FCD">
        <w:t xml:space="preserve"> </w:t>
      </w:r>
      <w:r w:rsidRPr="00181FCD">
        <w:t>15</w:t>
      </w:r>
      <w:r w:rsidRPr="00181FCD">
        <w:tab/>
      </w:r>
      <w:r w:rsidRPr="00181FCD">
        <w:tab/>
      </w:r>
      <w:r w:rsidR="00D04232" w:rsidRPr="00181FCD">
        <w:t>39</w:t>
      </w:r>
    </w:p>
    <w:p w:rsidR="00CE75B7" w:rsidRPr="00181FCD" w:rsidRDefault="00CE75B7" w:rsidP="00347B20">
      <w:pPr>
        <w:tabs>
          <w:tab w:val="right" w:pos="850"/>
          <w:tab w:val="left" w:pos="1134"/>
          <w:tab w:val="left" w:pos="1559"/>
          <w:tab w:val="left" w:pos="1984"/>
          <w:tab w:val="left" w:leader="dot" w:pos="8929"/>
          <w:tab w:val="right" w:pos="9638"/>
        </w:tabs>
        <w:suppressAutoHyphens/>
        <w:kinsoku w:val="0"/>
        <w:overflowPunct w:val="0"/>
        <w:autoSpaceDE w:val="0"/>
        <w:autoSpaceDN w:val="0"/>
        <w:adjustRightInd w:val="0"/>
        <w:snapToGrid w:val="0"/>
        <w:spacing w:after="120"/>
      </w:pPr>
      <w:r w:rsidRPr="00181FCD">
        <w:tab/>
      </w:r>
      <w:r w:rsidRPr="00181FCD">
        <w:tab/>
        <w:t>Artículo</w:t>
      </w:r>
      <w:r w:rsidR="00F373A3" w:rsidRPr="00181FCD">
        <w:t xml:space="preserve"> </w:t>
      </w:r>
      <w:r w:rsidRPr="00181FCD">
        <w:t>16</w:t>
      </w:r>
      <w:r w:rsidRPr="00181FCD">
        <w:tab/>
      </w:r>
      <w:r w:rsidRPr="00181FCD">
        <w:tab/>
      </w:r>
      <w:r w:rsidR="00D04232" w:rsidRPr="00181FCD">
        <w:t>39</w:t>
      </w:r>
    </w:p>
    <w:p w:rsidR="000B4CB8" w:rsidRPr="00181FCD" w:rsidRDefault="000B4CB8" w:rsidP="00347B20">
      <w:pPr>
        <w:tabs>
          <w:tab w:val="right" w:pos="850"/>
          <w:tab w:val="left" w:pos="1134"/>
          <w:tab w:val="left" w:pos="1559"/>
          <w:tab w:val="left" w:pos="1984"/>
          <w:tab w:val="left" w:leader="dot" w:pos="8929"/>
          <w:tab w:val="right" w:pos="9638"/>
        </w:tabs>
        <w:suppressAutoHyphens/>
        <w:kinsoku w:val="0"/>
        <w:overflowPunct w:val="0"/>
        <w:autoSpaceDE w:val="0"/>
        <w:autoSpaceDN w:val="0"/>
        <w:adjustRightInd w:val="0"/>
        <w:snapToGrid w:val="0"/>
        <w:spacing w:after="120"/>
      </w:pPr>
      <w:r w:rsidRPr="00181FCD">
        <w:tab/>
      </w:r>
      <w:r w:rsidRPr="00181FCD">
        <w:tab/>
        <w:t>Otras</w:t>
      </w:r>
      <w:r w:rsidR="00F373A3" w:rsidRPr="00181FCD">
        <w:t xml:space="preserve"> </w:t>
      </w:r>
      <w:r w:rsidRPr="00181FCD">
        <w:t>cuestiones</w:t>
      </w:r>
      <w:r w:rsidRPr="00181FCD">
        <w:tab/>
      </w:r>
      <w:r w:rsidRPr="00181FCD">
        <w:tab/>
      </w:r>
      <w:r w:rsidR="00D04232" w:rsidRPr="00181FCD">
        <w:t>41</w:t>
      </w:r>
    </w:p>
    <w:p w:rsidR="000B4CB8" w:rsidRPr="00181FCD" w:rsidRDefault="000B4CB8" w:rsidP="00347B20">
      <w:pPr>
        <w:tabs>
          <w:tab w:val="right" w:pos="850"/>
          <w:tab w:val="left" w:pos="1134"/>
          <w:tab w:val="left" w:pos="1559"/>
          <w:tab w:val="left" w:pos="1984"/>
          <w:tab w:val="left" w:leader="dot" w:pos="8929"/>
          <w:tab w:val="right" w:pos="9638"/>
        </w:tabs>
        <w:suppressAutoHyphens/>
        <w:kinsoku w:val="0"/>
        <w:overflowPunct w:val="0"/>
        <w:autoSpaceDE w:val="0"/>
        <w:autoSpaceDN w:val="0"/>
        <w:adjustRightInd w:val="0"/>
        <w:snapToGrid w:val="0"/>
        <w:spacing w:after="120"/>
        <w:ind w:left="1134" w:hanging="1134"/>
      </w:pPr>
      <w:r w:rsidRPr="00181FCD">
        <w:tab/>
      </w:r>
      <w:r w:rsidRPr="00181FCD">
        <w:tab/>
        <w:t>Información</w:t>
      </w:r>
      <w:r w:rsidR="00F373A3" w:rsidRPr="00181FCD">
        <w:t xml:space="preserve"> </w:t>
      </w:r>
      <w:r w:rsidRPr="00181FCD">
        <w:t>general</w:t>
      </w:r>
      <w:r w:rsidR="00F373A3" w:rsidRPr="00181FCD">
        <w:t xml:space="preserve"> </w:t>
      </w:r>
      <w:r w:rsidRPr="00181FCD">
        <w:t>sobre</w:t>
      </w:r>
      <w:r w:rsidR="00F373A3" w:rsidRPr="00181FCD">
        <w:t xml:space="preserve"> </w:t>
      </w:r>
      <w:r w:rsidRPr="00181FCD">
        <w:t>otras</w:t>
      </w:r>
      <w:r w:rsidR="00F373A3" w:rsidRPr="00181FCD">
        <w:t xml:space="preserve"> </w:t>
      </w:r>
      <w:r w:rsidRPr="00181FCD">
        <w:t>medidas</w:t>
      </w:r>
      <w:r w:rsidR="00F373A3" w:rsidRPr="00181FCD">
        <w:t xml:space="preserve"> </w:t>
      </w:r>
      <w:r w:rsidRPr="00181FCD">
        <w:t>y</w:t>
      </w:r>
      <w:r w:rsidR="00672EC2" w:rsidRPr="00181FCD">
        <w:t xml:space="preserve"> </w:t>
      </w:r>
      <w:r w:rsidRPr="00181FCD">
        <w:t>acontecimientos</w:t>
      </w:r>
      <w:r w:rsidR="00F373A3" w:rsidRPr="00181FCD">
        <w:t xml:space="preserve"> </w:t>
      </w:r>
      <w:r w:rsidRPr="00181FCD">
        <w:t>relativos</w:t>
      </w:r>
      <w:r w:rsidR="00F373A3" w:rsidRPr="00181FCD">
        <w:t xml:space="preserve"> </w:t>
      </w:r>
      <w:r w:rsidRPr="00181FCD">
        <w:t>a</w:t>
      </w:r>
      <w:r w:rsidR="00F373A3" w:rsidRPr="00181FCD">
        <w:t xml:space="preserve"> </w:t>
      </w:r>
      <w:r w:rsidRPr="00181FCD">
        <w:t>la</w:t>
      </w:r>
      <w:r w:rsidR="00F373A3" w:rsidRPr="00181FCD">
        <w:t xml:space="preserve"> </w:t>
      </w:r>
      <w:r w:rsidRPr="00181FCD">
        <w:t>aplicación</w:t>
      </w:r>
      <w:r w:rsidR="00F373A3" w:rsidRPr="00181FCD">
        <w:t xml:space="preserve"> </w:t>
      </w:r>
      <w:r w:rsidRPr="00181FCD">
        <w:t>de</w:t>
      </w:r>
      <w:r w:rsidR="00F373A3" w:rsidRPr="00181FCD">
        <w:t xml:space="preserve"> </w:t>
      </w:r>
      <w:r w:rsidRPr="00181FCD">
        <w:t>la</w:t>
      </w:r>
      <w:r w:rsidR="00F373A3" w:rsidRPr="00181FCD">
        <w:t xml:space="preserve"> </w:t>
      </w:r>
      <w:r w:rsidR="00D04232" w:rsidRPr="00181FCD">
        <w:br/>
      </w:r>
      <w:r w:rsidRPr="00181FCD">
        <w:t>Convención</w:t>
      </w:r>
      <w:r w:rsidR="00F373A3" w:rsidRPr="00181FCD">
        <w:t xml:space="preserve"> </w:t>
      </w:r>
      <w:r w:rsidRPr="00181FCD">
        <w:t>en</w:t>
      </w:r>
      <w:r w:rsidR="00F373A3" w:rsidRPr="00181FCD">
        <w:t xml:space="preserve"> </w:t>
      </w:r>
      <w:r w:rsidRPr="00181FCD">
        <w:t>el</w:t>
      </w:r>
      <w:r w:rsidR="00F373A3" w:rsidRPr="00181FCD">
        <w:t xml:space="preserve"> </w:t>
      </w:r>
      <w:r w:rsidRPr="00181FCD">
        <w:t>Estado</w:t>
      </w:r>
      <w:r w:rsidR="00F373A3" w:rsidRPr="00181FCD">
        <w:t xml:space="preserve"> </w:t>
      </w:r>
      <w:r w:rsidRPr="00181FCD">
        <w:t>parte</w:t>
      </w:r>
      <w:r w:rsidRPr="00181FCD">
        <w:tab/>
      </w:r>
      <w:r w:rsidRPr="00181FCD">
        <w:tab/>
      </w:r>
      <w:r w:rsidR="00D04232" w:rsidRPr="00181FCD">
        <w:t>43</w:t>
      </w:r>
    </w:p>
    <w:p w:rsidR="00F64D32" w:rsidRPr="00181FCD" w:rsidRDefault="00CB1006" w:rsidP="00347B20">
      <w:pPr>
        <w:pStyle w:val="HChG"/>
      </w:pPr>
      <w:r w:rsidRPr="00181FCD">
        <w:br w:type="page"/>
      </w:r>
      <w:r w:rsidR="00F9056A" w:rsidRPr="00181FCD">
        <w:tab/>
      </w:r>
      <w:r w:rsidR="00F9056A" w:rsidRPr="00181FCD">
        <w:tab/>
      </w:r>
      <w:r w:rsidR="00F64D32" w:rsidRPr="00181FCD">
        <w:t>Introducción</w:t>
      </w:r>
    </w:p>
    <w:p w:rsidR="001937F4" w:rsidRPr="00181FCD" w:rsidRDefault="001937F4" w:rsidP="00347B20">
      <w:pPr>
        <w:pStyle w:val="SingleTxtG"/>
        <w:suppressAutoHyphens/>
      </w:pPr>
      <w:r w:rsidRPr="00181FCD">
        <w:t>1.</w:t>
      </w:r>
      <w:r w:rsidRPr="00181FCD">
        <w:tab/>
        <w:t>En</w:t>
      </w:r>
      <w:r w:rsidR="00F373A3" w:rsidRPr="00181FCD">
        <w:t xml:space="preserve"> </w:t>
      </w:r>
      <w:r w:rsidRPr="00181FCD">
        <w:t>agosto</w:t>
      </w:r>
      <w:r w:rsidR="00F373A3" w:rsidRPr="00181FCD">
        <w:t xml:space="preserve"> </w:t>
      </w:r>
      <w:r w:rsidRPr="00181FCD">
        <w:t>de</w:t>
      </w:r>
      <w:r w:rsidR="00F373A3" w:rsidRPr="00181FCD">
        <w:t xml:space="preserve"> </w:t>
      </w:r>
      <w:r w:rsidRPr="00181FCD">
        <w:t>2009</w:t>
      </w:r>
      <w:r w:rsidR="00F373A3" w:rsidRPr="00181FCD">
        <w:t xml:space="preserve"> </w:t>
      </w:r>
      <w:r w:rsidRPr="00181FCD">
        <w:t>el</w:t>
      </w:r>
      <w:r w:rsidR="00F373A3" w:rsidRPr="00181FCD">
        <w:t xml:space="preserve"> </w:t>
      </w:r>
      <w:r w:rsidRPr="00181FCD">
        <w:t>Gobierno</w:t>
      </w:r>
      <w:r w:rsidR="00F373A3" w:rsidRPr="00181FCD">
        <w:t xml:space="preserve"> </w:t>
      </w:r>
      <w:r w:rsidRPr="00181FCD">
        <w:t>de</w:t>
      </w:r>
      <w:r w:rsidR="00F373A3" w:rsidRPr="00181FCD">
        <w:t xml:space="preserve"> </w:t>
      </w:r>
      <w:r w:rsidRPr="00181FCD">
        <w:t>la</w:t>
      </w:r>
      <w:r w:rsidR="00F373A3" w:rsidRPr="00181FCD">
        <w:t xml:space="preserve"> </w:t>
      </w:r>
      <w:r w:rsidRPr="00181FCD">
        <w:t>República</w:t>
      </w:r>
      <w:r w:rsidR="00F373A3" w:rsidRPr="00181FCD">
        <w:t xml:space="preserve"> </w:t>
      </w:r>
      <w:r w:rsidRPr="00181FCD">
        <w:t>de</w:t>
      </w:r>
      <w:r w:rsidR="00F373A3" w:rsidRPr="00181FCD">
        <w:t xml:space="preserve"> </w:t>
      </w:r>
      <w:r w:rsidRPr="00181FCD">
        <w:t>Bulgaria</w:t>
      </w:r>
      <w:r w:rsidR="00F373A3" w:rsidRPr="00181FCD">
        <w:t xml:space="preserve"> </w:t>
      </w:r>
      <w:r w:rsidRPr="00181FCD">
        <w:t>presentó</w:t>
      </w:r>
      <w:r w:rsidR="00F373A3" w:rsidRPr="00181FCD">
        <w:t xml:space="preserve"> </w:t>
      </w:r>
      <w:r w:rsidRPr="00181FCD">
        <w:t>un</w:t>
      </w:r>
      <w:r w:rsidR="00F373A3" w:rsidRPr="00181FCD">
        <w:t xml:space="preserve"> </w:t>
      </w:r>
      <w:r w:rsidRPr="00181FCD">
        <w:t>documento</w:t>
      </w:r>
      <w:r w:rsidR="00F373A3" w:rsidRPr="00181FCD">
        <w:t xml:space="preserve"> </w:t>
      </w:r>
      <w:r w:rsidRPr="00181FCD">
        <w:t>consolidado</w:t>
      </w:r>
      <w:r w:rsidR="00F373A3" w:rsidRPr="00181FCD">
        <w:t xml:space="preserve"> </w:t>
      </w:r>
      <w:r w:rsidRPr="00181FCD">
        <w:t>con</w:t>
      </w:r>
      <w:r w:rsidR="00F373A3" w:rsidRPr="00181FCD">
        <w:t xml:space="preserve"> </w:t>
      </w:r>
      <w:r w:rsidRPr="00181FCD">
        <w:t>sus</w:t>
      </w:r>
      <w:r w:rsidR="00F373A3" w:rsidRPr="00181FCD">
        <w:t xml:space="preserve"> </w:t>
      </w:r>
      <w:r w:rsidRPr="00181FCD">
        <w:t>informes</w:t>
      </w:r>
      <w:r w:rsidR="00F373A3" w:rsidRPr="00181FCD">
        <w:t xml:space="preserve"> </w:t>
      </w:r>
      <w:r w:rsidRPr="00181FCD">
        <w:t>periódicos</w:t>
      </w:r>
      <w:r w:rsidR="00F373A3" w:rsidRPr="00181FCD">
        <w:t xml:space="preserve"> </w:t>
      </w:r>
      <w:r w:rsidRPr="00181FCD">
        <w:t>cuarto</w:t>
      </w:r>
      <w:r w:rsidR="00F373A3" w:rsidRPr="00181FCD">
        <w:t xml:space="preserve"> </w:t>
      </w:r>
      <w:r w:rsidRPr="00181FCD">
        <w:t>y</w:t>
      </w:r>
      <w:r w:rsidR="00F373A3" w:rsidRPr="00181FCD">
        <w:t xml:space="preserve"> </w:t>
      </w:r>
      <w:r w:rsidRPr="00181FCD">
        <w:t>quinto,</w:t>
      </w:r>
      <w:r w:rsidR="00F373A3" w:rsidRPr="00181FCD">
        <w:t xml:space="preserve"> </w:t>
      </w:r>
      <w:r w:rsidRPr="00181FCD">
        <w:t>de</w:t>
      </w:r>
      <w:r w:rsidR="00F373A3" w:rsidRPr="00181FCD">
        <w:t xml:space="preserve"> </w:t>
      </w:r>
      <w:r w:rsidRPr="00181FCD">
        <w:t>conformidad</w:t>
      </w:r>
      <w:r w:rsidR="00F373A3" w:rsidRPr="00181FCD">
        <w:t xml:space="preserve"> </w:t>
      </w:r>
      <w:r w:rsidRPr="00181FCD">
        <w:t>con</w:t>
      </w:r>
      <w:r w:rsidR="00F373A3" w:rsidRPr="00181FCD">
        <w:t xml:space="preserve"> </w:t>
      </w:r>
      <w:r w:rsidRPr="00181FCD">
        <w:t>el</w:t>
      </w:r>
      <w:r w:rsidR="00F373A3" w:rsidRPr="00181FCD">
        <w:t xml:space="preserve"> </w:t>
      </w:r>
      <w:r w:rsidRPr="00181FCD">
        <w:t>artículo</w:t>
      </w:r>
      <w:r w:rsidR="000749C0" w:rsidRPr="00181FCD">
        <w:t> </w:t>
      </w:r>
      <w:r w:rsidRPr="00181FCD">
        <w:t>19,</w:t>
      </w:r>
      <w:r w:rsidR="00F373A3" w:rsidRPr="00181FCD">
        <w:t xml:space="preserve"> </w:t>
      </w:r>
      <w:r w:rsidRPr="00181FCD">
        <w:t>párrafo</w:t>
      </w:r>
      <w:r w:rsidR="00F373A3" w:rsidRPr="00181FCD">
        <w:t xml:space="preserve"> </w:t>
      </w:r>
      <w:r w:rsidRPr="00181FCD">
        <w:t>1,</w:t>
      </w:r>
      <w:r w:rsidR="00F373A3" w:rsidRPr="00181FCD">
        <w:t xml:space="preserve"> </w:t>
      </w:r>
      <w:r w:rsidRPr="00181FCD">
        <w:t>segunda</w:t>
      </w:r>
      <w:r w:rsidR="00F373A3" w:rsidRPr="00181FCD">
        <w:t xml:space="preserve"> </w:t>
      </w:r>
      <w:r w:rsidRPr="00181FCD">
        <w:t>frase,</w:t>
      </w:r>
      <w:r w:rsidR="00F373A3" w:rsidRPr="00181FCD">
        <w:t xml:space="preserve"> </w:t>
      </w:r>
      <w:r w:rsidRPr="00181FCD">
        <w:t>de</w:t>
      </w:r>
      <w:r w:rsidR="00F373A3" w:rsidRPr="00181FCD">
        <w:t xml:space="preserve"> </w:t>
      </w:r>
      <w:r w:rsidRPr="00181FCD">
        <w:t>la</w:t>
      </w:r>
      <w:r w:rsidR="00F373A3" w:rsidRPr="00181FCD">
        <w:t xml:space="preserve"> </w:t>
      </w:r>
      <w:r w:rsidRPr="00181FCD">
        <w:t>Convención</w:t>
      </w:r>
      <w:r w:rsidR="00F373A3" w:rsidRPr="00181FCD">
        <w:t xml:space="preserve"> </w:t>
      </w:r>
      <w:r w:rsidRPr="00181FCD">
        <w:t>contra</w:t>
      </w:r>
      <w:r w:rsidR="00F373A3" w:rsidRPr="00181FCD">
        <w:t xml:space="preserve"> </w:t>
      </w:r>
      <w:r w:rsidRPr="00181FCD">
        <w:t>la</w:t>
      </w:r>
      <w:r w:rsidR="00F373A3" w:rsidRPr="00181FCD">
        <w:t xml:space="preserve"> </w:t>
      </w:r>
      <w:r w:rsidRPr="00181FCD">
        <w:t>Tortura</w:t>
      </w:r>
      <w:r w:rsidR="00F373A3" w:rsidRPr="00181FCD">
        <w:t xml:space="preserve"> </w:t>
      </w:r>
      <w:r w:rsidRPr="00181FCD">
        <w:t>y</w:t>
      </w:r>
      <w:r w:rsidR="00F373A3" w:rsidRPr="00181FCD">
        <w:t xml:space="preserve"> </w:t>
      </w:r>
      <w:r w:rsidRPr="00181FCD">
        <w:t>Otros</w:t>
      </w:r>
      <w:r w:rsidR="00F373A3" w:rsidRPr="00181FCD">
        <w:t xml:space="preserve"> </w:t>
      </w:r>
      <w:r w:rsidRPr="00181FCD">
        <w:t>Tratos</w:t>
      </w:r>
      <w:r w:rsidR="00F373A3" w:rsidRPr="00181FCD">
        <w:t xml:space="preserve"> </w:t>
      </w:r>
      <w:r w:rsidRPr="00181FCD">
        <w:t>o</w:t>
      </w:r>
      <w:r w:rsidR="00F373A3" w:rsidRPr="00181FCD">
        <w:t xml:space="preserve"> </w:t>
      </w:r>
      <w:r w:rsidRPr="00181FCD">
        <w:t>Penas</w:t>
      </w:r>
      <w:r w:rsidR="00F373A3" w:rsidRPr="00181FCD">
        <w:t xml:space="preserve"> </w:t>
      </w:r>
      <w:r w:rsidRPr="00181FCD">
        <w:t>Crueles,</w:t>
      </w:r>
      <w:r w:rsidR="00F373A3" w:rsidRPr="00181FCD">
        <w:t xml:space="preserve"> </w:t>
      </w:r>
      <w:r w:rsidRPr="00181FCD">
        <w:t>Inhumanos</w:t>
      </w:r>
      <w:r w:rsidR="00F373A3" w:rsidRPr="00181FCD">
        <w:t xml:space="preserve"> </w:t>
      </w:r>
      <w:r w:rsidRPr="00181FCD">
        <w:t>o</w:t>
      </w:r>
      <w:r w:rsidR="00F373A3" w:rsidRPr="00181FCD">
        <w:t xml:space="preserve"> </w:t>
      </w:r>
      <w:r w:rsidRPr="00181FCD">
        <w:t>Degradantes,</w:t>
      </w:r>
      <w:r w:rsidR="00F373A3" w:rsidRPr="00181FCD">
        <w:t xml:space="preserve"> </w:t>
      </w:r>
      <w:r w:rsidRPr="00181FCD">
        <w:t>de</w:t>
      </w:r>
      <w:r w:rsidR="00F373A3" w:rsidRPr="00181FCD">
        <w:t xml:space="preserve"> </w:t>
      </w:r>
      <w:r w:rsidRPr="00181FCD">
        <w:t>10</w:t>
      </w:r>
      <w:r w:rsidR="00F373A3" w:rsidRPr="00181FCD">
        <w:t xml:space="preserve"> </w:t>
      </w:r>
      <w:r w:rsidRPr="00181FCD">
        <w:t>de</w:t>
      </w:r>
      <w:r w:rsidR="00F373A3" w:rsidRPr="00181FCD">
        <w:t xml:space="preserve"> </w:t>
      </w:r>
      <w:r w:rsidRPr="00181FCD">
        <w:t>diciembre</w:t>
      </w:r>
      <w:r w:rsidR="00F373A3" w:rsidRPr="00181FCD">
        <w:t xml:space="preserve"> </w:t>
      </w:r>
      <w:r w:rsidRPr="00181FCD">
        <w:t>de</w:t>
      </w:r>
      <w:r w:rsidR="00F373A3" w:rsidRPr="00181FCD">
        <w:t xml:space="preserve"> </w:t>
      </w:r>
      <w:r w:rsidRPr="00181FCD">
        <w:t>1984</w:t>
      </w:r>
      <w:r w:rsidR="00F373A3" w:rsidRPr="00181FCD">
        <w:t xml:space="preserve"> </w:t>
      </w:r>
      <w:r w:rsidRPr="00181FCD">
        <w:t>(en</w:t>
      </w:r>
      <w:r w:rsidR="00F373A3" w:rsidRPr="00181FCD">
        <w:t xml:space="preserve"> </w:t>
      </w:r>
      <w:r w:rsidRPr="00181FCD">
        <w:t>lo</w:t>
      </w:r>
      <w:r w:rsidR="00F373A3" w:rsidRPr="00181FCD">
        <w:t xml:space="preserve"> </w:t>
      </w:r>
      <w:r w:rsidRPr="00181FCD">
        <w:t>sucesivo,</w:t>
      </w:r>
      <w:r w:rsidR="00F373A3" w:rsidRPr="00181FCD">
        <w:t xml:space="preserve"> "</w:t>
      </w:r>
      <w:r w:rsidRPr="00181FCD">
        <w:t>la</w:t>
      </w:r>
      <w:r w:rsidR="00481572" w:rsidRPr="00181FCD">
        <w:t> </w:t>
      </w:r>
      <w:r w:rsidRPr="00181FCD">
        <w:t>Convención</w:t>
      </w:r>
      <w:r w:rsidR="00F373A3" w:rsidRPr="00181FCD">
        <w:t>"</w:t>
      </w:r>
      <w:r w:rsidRPr="00181FCD">
        <w:t>).</w:t>
      </w:r>
      <w:r w:rsidR="00F373A3" w:rsidRPr="00181FCD">
        <w:t xml:space="preserve"> </w:t>
      </w:r>
      <w:r w:rsidRPr="00181FCD">
        <w:t>El</w:t>
      </w:r>
      <w:r w:rsidR="00F373A3" w:rsidRPr="00181FCD">
        <w:t xml:space="preserve"> </w:t>
      </w:r>
      <w:r w:rsidRPr="00181FCD">
        <w:t>período</w:t>
      </w:r>
      <w:r w:rsidR="00F373A3" w:rsidRPr="00181FCD">
        <w:t xml:space="preserve"> </w:t>
      </w:r>
      <w:r w:rsidRPr="00181FCD">
        <w:t>objeto</w:t>
      </w:r>
      <w:r w:rsidR="00F373A3" w:rsidRPr="00181FCD">
        <w:t xml:space="preserve"> </w:t>
      </w:r>
      <w:r w:rsidRPr="00181FCD">
        <w:t>de</w:t>
      </w:r>
      <w:r w:rsidR="00F373A3" w:rsidRPr="00181FCD">
        <w:t xml:space="preserve"> </w:t>
      </w:r>
      <w:r w:rsidRPr="00181FCD">
        <w:t>examen</w:t>
      </w:r>
      <w:r w:rsidR="00F373A3" w:rsidRPr="00181FCD">
        <w:t xml:space="preserve"> </w:t>
      </w:r>
      <w:r w:rsidRPr="00181FCD">
        <w:t>abarcaba</w:t>
      </w:r>
      <w:r w:rsidR="00F373A3" w:rsidRPr="00181FCD">
        <w:t xml:space="preserve"> </w:t>
      </w:r>
      <w:r w:rsidRPr="00181FCD">
        <w:t>los</w:t>
      </w:r>
      <w:r w:rsidR="00F373A3" w:rsidRPr="00181FCD">
        <w:t xml:space="preserve"> </w:t>
      </w:r>
      <w:r w:rsidRPr="00181FCD">
        <w:t>años</w:t>
      </w:r>
      <w:r w:rsidR="00F373A3" w:rsidRPr="00181FCD">
        <w:t xml:space="preserve"> </w:t>
      </w:r>
      <w:r w:rsidRPr="00181FCD">
        <w:t>2004</w:t>
      </w:r>
      <w:r w:rsidR="00F373A3" w:rsidRPr="00181FCD">
        <w:t xml:space="preserve"> </w:t>
      </w:r>
      <w:r w:rsidRPr="00181FCD">
        <w:t>a</w:t>
      </w:r>
      <w:r w:rsidR="00F373A3" w:rsidRPr="00181FCD">
        <w:t xml:space="preserve"> </w:t>
      </w:r>
      <w:r w:rsidRPr="00181FCD">
        <w:t>2008.</w:t>
      </w:r>
      <w:r w:rsidR="00F373A3" w:rsidRPr="00181FCD">
        <w:t xml:space="preserve"> </w:t>
      </w:r>
      <w:r w:rsidRPr="00181FCD">
        <w:t>En</w:t>
      </w:r>
      <w:r w:rsidR="00F373A3" w:rsidRPr="00181FCD">
        <w:t xml:space="preserve"> </w:t>
      </w:r>
      <w:r w:rsidRPr="00181FCD">
        <w:t>casos</w:t>
      </w:r>
      <w:r w:rsidR="00F373A3" w:rsidRPr="00181FCD">
        <w:t xml:space="preserve"> </w:t>
      </w:r>
      <w:r w:rsidRPr="00181FCD">
        <w:t>específicos,</w:t>
      </w:r>
      <w:r w:rsidR="00F373A3" w:rsidRPr="00181FCD">
        <w:t xml:space="preserve"> </w:t>
      </w:r>
      <w:r w:rsidRPr="00181FCD">
        <w:t>se</w:t>
      </w:r>
      <w:r w:rsidR="00F373A3" w:rsidRPr="00181FCD">
        <w:t xml:space="preserve"> </w:t>
      </w:r>
      <w:r w:rsidRPr="00181FCD">
        <w:t>habían</w:t>
      </w:r>
      <w:r w:rsidR="00F373A3" w:rsidRPr="00181FCD">
        <w:t xml:space="preserve"> </w:t>
      </w:r>
      <w:r w:rsidRPr="00181FCD">
        <w:t>tenido</w:t>
      </w:r>
      <w:r w:rsidR="00F373A3" w:rsidRPr="00181FCD">
        <w:t xml:space="preserve"> </w:t>
      </w:r>
      <w:r w:rsidRPr="00181FCD">
        <w:t>en</w:t>
      </w:r>
      <w:r w:rsidR="00F373A3" w:rsidRPr="00181FCD">
        <w:t xml:space="preserve"> </w:t>
      </w:r>
      <w:r w:rsidRPr="00181FCD">
        <w:t>cuenta</w:t>
      </w:r>
      <w:r w:rsidR="00F373A3" w:rsidRPr="00181FCD">
        <w:t xml:space="preserve"> </w:t>
      </w:r>
      <w:r w:rsidRPr="00181FCD">
        <w:t>las</w:t>
      </w:r>
      <w:r w:rsidR="00F373A3" w:rsidRPr="00181FCD">
        <w:t xml:space="preserve"> </w:t>
      </w:r>
      <w:r w:rsidRPr="00181FCD">
        <w:t>últimas</w:t>
      </w:r>
      <w:r w:rsidR="00F373A3" w:rsidRPr="00181FCD">
        <w:t xml:space="preserve"> </w:t>
      </w:r>
      <w:r w:rsidRPr="00181FCD">
        <w:t>novedades</w:t>
      </w:r>
      <w:r w:rsidR="00F373A3" w:rsidRPr="00181FCD">
        <w:t xml:space="preserve"> </w:t>
      </w:r>
      <w:r w:rsidRPr="00181FCD">
        <w:t>hasta</w:t>
      </w:r>
      <w:r w:rsidR="00F373A3" w:rsidRPr="00181FCD">
        <w:t xml:space="preserve"> </w:t>
      </w:r>
      <w:r w:rsidRPr="00181FCD">
        <w:t>junio</w:t>
      </w:r>
      <w:r w:rsidR="00F373A3" w:rsidRPr="00181FCD">
        <w:t xml:space="preserve"> </w:t>
      </w:r>
      <w:r w:rsidRPr="00181FCD">
        <w:t>de</w:t>
      </w:r>
      <w:r w:rsidR="00F373A3" w:rsidRPr="00181FCD">
        <w:t xml:space="preserve"> </w:t>
      </w:r>
      <w:r w:rsidRPr="00181FCD">
        <w:t>2009.</w:t>
      </w:r>
    </w:p>
    <w:p w:rsidR="001937F4" w:rsidRPr="00181FCD" w:rsidRDefault="001937F4" w:rsidP="00347B20">
      <w:pPr>
        <w:pStyle w:val="SingleTxtG"/>
        <w:suppressAutoHyphens/>
      </w:pPr>
      <w:r w:rsidRPr="00181FCD">
        <w:t>2.</w:t>
      </w:r>
      <w:r w:rsidRPr="00181FCD">
        <w:tab/>
        <w:t>El</w:t>
      </w:r>
      <w:r w:rsidR="00F373A3" w:rsidRPr="00181FCD">
        <w:t xml:space="preserve"> </w:t>
      </w:r>
      <w:r w:rsidRPr="00181FCD">
        <w:t>Comité</w:t>
      </w:r>
      <w:r w:rsidR="00F373A3" w:rsidRPr="00181FCD">
        <w:t xml:space="preserve"> </w:t>
      </w:r>
      <w:r w:rsidRPr="00181FCD">
        <w:t>contra</w:t>
      </w:r>
      <w:r w:rsidR="00F373A3" w:rsidRPr="00181FCD">
        <w:t xml:space="preserve"> </w:t>
      </w:r>
      <w:r w:rsidRPr="00181FCD">
        <w:t>la</w:t>
      </w:r>
      <w:r w:rsidR="00F373A3" w:rsidRPr="00181FCD">
        <w:t xml:space="preserve"> </w:t>
      </w:r>
      <w:r w:rsidRPr="00181FCD">
        <w:t>Tortura,</w:t>
      </w:r>
      <w:r w:rsidR="00F373A3" w:rsidRPr="00181FCD">
        <w:t xml:space="preserve"> </w:t>
      </w:r>
      <w:r w:rsidRPr="00181FCD">
        <w:t>en</w:t>
      </w:r>
      <w:r w:rsidR="00F373A3" w:rsidRPr="00181FCD">
        <w:t xml:space="preserve"> </w:t>
      </w:r>
      <w:r w:rsidRPr="00181FCD">
        <w:t>su</w:t>
      </w:r>
      <w:r w:rsidR="00F373A3" w:rsidRPr="00181FCD">
        <w:t xml:space="preserve"> </w:t>
      </w:r>
      <w:r w:rsidRPr="00181FCD">
        <w:t>38</w:t>
      </w:r>
      <w:r w:rsidR="00C13E7E" w:rsidRPr="00181FCD">
        <w:t>º</w:t>
      </w:r>
      <w:r w:rsidR="00F373A3" w:rsidRPr="00181FCD">
        <w:t xml:space="preserve"> </w:t>
      </w:r>
      <w:r w:rsidRPr="00181FCD">
        <w:t>período</w:t>
      </w:r>
      <w:r w:rsidR="00F373A3" w:rsidRPr="00181FCD">
        <w:t xml:space="preserve"> </w:t>
      </w:r>
      <w:r w:rsidRPr="00181FCD">
        <w:t>de</w:t>
      </w:r>
      <w:r w:rsidR="00F373A3" w:rsidRPr="00181FCD">
        <w:t xml:space="preserve"> </w:t>
      </w:r>
      <w:r w:rsidRPr="00181FCD">
        <w:t>sesiones</w:t>
      </w:r>
      <w:r w:rsidR="00F373A3" w:rsidRPr="00181FCD">
        <w:t xml:space="preserve"> </w:t>
      </w:r>
      <w:r w:rsidRPr="00181FCD">
        <w:t>(A/62/44,</w:t>
      </w:r>
      <w:r w:rsidR="00F373A3" w:rsidRPr="00181FCD">
        <w:t xml:space="preserve"> </w:t>
      </w:r>
      <w:r w:rsidRPr="00181FCD">
        <w:t>párrs.</w:t>
      </w:r>
      <w:r w:rsidR="00F373A3" w:rsidRPr="00181FCD">
        <w:t xml:space="preserve"> </w:t>
      </w:r>
      <w:r w:rsidRPr="00181FCD">
        <w:t>23</w:t>
      </w:r>
      <w:r w:rsidR="00F373A3" w:rsidRPr="00181FCD">
        <w:t xml:space="preserve"> </w:t>
      </w:r>
      <w:r w:rsidRPr="00181FCD">
        <w:t>y</w:t>
      </w:r>
      <w:r w:rsidR="00F373A3" w:rsidRPr="00181FCD">
        <w:t xml:space="preserve"> </w:t>
      </w:r>
      <w:r w:rsidRPr="00181FCD">
        <w:t>24),</w:t>
      </w:r>
      <w:r w:rsidR="00F373A3" w:rsidRPr="00181FCD">
        <w:t xml:space="preserve"> </w:t>
      </w:r>
      <w:r w:rsidRPr="00181FCD">
        <w:t>estableció</w:t>
      </w:r>
      <w:r w:rsidR="00F373A3" w:rsidRPr="00181FCD">
        <w:t xml:space="preserve"> </w:t>
      </w:r>
      <w:r w:rsidRPr="00181FCD">
        <w:t>un</w:t>
      </w:r>
      <w:r w:rsidR="00F373A3" w:rsidRPr="00181FCD">
        <w:t xml:space="preserve"> </w:t>
      </w:r>
      <w:r w:rsidRPr="00181FCD">
        <w:t>nuevo</w:t>
      </w:r>
      <w:r w:rsidR="00F373A3" w:rsidRPr="00181FCD">
        <w:t xml:space="preserve"> </w:t>
      </w:r>
      <w:r w:rsidRPr="00181FCD">
        <w:t>procedimiento</w:t>
      </w:r>
      <w:r w:rsidR="00F373A3" w:rsidRPr="00181FCD">
        <w:t xml:space="preserve"> </w:t>
      </w:r>
      <w:r w:rsidRPr="00181FCD">
        <w:t>facultativo,</w:t>
      </w:r>
      <w:r w:rsidR="00F373A3" w:rsidRPr="00181FCD">
        <w:t xml:space="preserve"> </w:t>
      </w:r>
      <w:r w:rsidRPr="00181FCD">
        <w:t>que</w:t>
      </w:r>
      <w:r w:rsidR="00F373A3" w:rsidRPr="00181FCD">
        <w:t xml:space="preserve"> </w:t>
      </w:r>
      <w:r w:rsidRPr="00181FCD">
        <w:t>consiste</w:t>
      </w:r>
      <w:r w:rsidR="00F373A3" w:rsidRPr="00181FCD">
        <w:t xml:space="preserve"> </w:t>
      </w:r>
      <w:r w:rsidRPr="00181FCD">
        <w:t>en</w:t>
      </w:r>
      <w:r w:rsidR="00F373A3" w:rsidRPr="00181FCD">
        <w:t xml:space="preserve"> </w:t>
      </w:r>
      <w:r w:rsidRPr="00181FCD">
        <w:t>preparar</w:t>
      </w:r>
      <w:r w:rsidR="00F373A3" w:rsidRPr="00181FCD">
        <w:t xml:space="preserve"> </w:t>
      </w:r>
      <w:r w:rsidRPr="00181FCD">
        <w:t>y</w:t>
      </w:r>
      <w:r w:rsidR="00F373A3" w:rsidRPr="00181FCD">
        <w:t xml:space="preserve"> </w:t>
      </w:r>
      <w:r w:rsidRPr="00181FCD">
        <w:t>aprobar</w:t>
      </w:r>
      <w:r w:rsidR="00F373A3" w:rsidRPr="00181FCD">
        <w:t xml:space="preserve"> </w:t>
      </w:r>
      <w:r w:rsidRPr="00181FCD">
        <w:t>una</w:t>
      </w:r>
      <w:r w:rsidR="00F373A3" w:rsidRPr="00181FCD">
        <w:t xml:space="preserve"> </w:t>
      </w:r>
      <w:r w:rsidRPr="00181FCD">
        <w:t>lista</w:t>
      </w:r>
      <w:r w:rsidR="00F373A3" w:rsidRPr="00181FCD">
        <w:t xml:space="preserve"> </w:t>
      </w:r>
      <w:r w:rsidRPr="00181FCD">
        <w:t>de</w:t>
      </w:r>
      <w:r w:rsidR="00F373A3" w:rsidRPr="00181FCD">
        <w:t xml:space="preserve"> </w:t>
      </w:r>
      <w:r w:rsidRPr="00181FCD">
        <w:t>cuestiones</w:t>
      </w:r>
      <w:r w:rsidR="00F373A3" w:rsidRPr="00181FCD">
        <w:t xml:space="preserve"> </w:t>
      </w:r>
      <w:r w:rsidRPr="00181FCD">
        <w:t>que</w:t>
      </w:r>
      <w:r w:rsidR="00F373A3" w:rsidRPr="00181FCD">
        <w:t xml:space="preserve"> </w:t>
      </w:r>
      <w:r w:rsidRPr="00181FCD">
        <w:t>se</w:t>
      </w:r>
      <w:r w:rsidR="00F373A3" w:rsidRPr="00181FCD">
        <w:t xml:space="preserve"> </w:t>
      </w:r>
      <w:r w:rsidRPr="00181FCD">
        <w:t>han</w:t>
      </w:r>
      <w:r w:rsidR="00F373A3" w:rsidRPr="00181FCD">
        <w:t xml:space="preserve"> </w:t>
      </w:r>
      <w:r w:rsidRPr="00181FCD">
        <w:t>de</w:t>
      </w:r>
      <w:r w:rsidR="00F373A3" w:rsidRPr="00181FCD">
        <w:t xml:space="preserve"> </w:t>
      </w:r>
      <w:r w:rsidRPr="00181FCD">
        <w:t>transmitir</w:t>
      </w:r>
      <w:r w:rsidR="00F373A3" w:rsidRPr="00181FCD">
        <w:t xml:space="preserve"> </w:t>
      </w:r>
      <w:r w:rsidRPr="00181FCD">
        <w:t>a</w:t>
      </w:r>
      <w:r w:rsidR="00F373A3" w:rsidRPr="00181FCD">
        <w:t xml:space="preserve"> </w:t>
      </w:r>
      <w:r w:rsidRPr="00181FCD">
        <w:t>los</w:t>
      </w:r>
      <w:r w:rsidR="00F373A3" w:rsidRPr="00181FCD">
        <w:t xml:space="preserve"> </w:t>
      </w:r>
      <w:r w:rsidRPr="00181FCD">
        <w:t>Estados</w:t>
      </w:r>
      <w:r w:rsidR="00F373A3" w:rsidRPr="00181FCD">
        <w:t xml:space="preserve"> </w:t>
      </w:r>
      <w:r w:rsidRPr="00181FCD">
        <w:t>partes</w:t>
      </w:r>
      <w:r w:rsidR="00F373A3" w:rsidRPr="00181FCD">
        <w:t xml:space="preserve"> </w:t>
      </w:r>
      <w:r w:rsidRPr="00181FCD">
        <w:t>antes</w:t>
      </w:r>
      <w:r w:rsidR="00F373A3" w:rsidRPr="00181FCD">
        <w:t xml:space="preserve"> </w:t>
      </w:r>
      <w:r w:rsidRPr="00181FCD">
        <w:t>de</w:t>
      </w:r>
      <w:r w:rsidR="00F373A3" w:rsidRPr="00181FCD">
        <w:t xml:space="preserve"> </w:t>
      </w:r>
      <w:r w:rsidRPr="00181FCD">
        <w:t>que</w:t>
      </w:r>
      <w:r w:rsidR="00F373A3" w:rsidRPr="00181FCD">
        <w:t xml:space="preserve"> </w:t>
      </w:r>
      <w:r w:rsidRPr="00181FCD">
        <w:t>presenten</w:t>
      </w:r>
      <w:r w:rsidR="00F373A3" w:rsidRPr="00181FCD">
        <w:t xml:space="preserve"> </w:t>
      </w:r>
      <w:r w:rsidRPr="00181FCD">
        <w:t>su</w:t>
      </w:r>
      <w:r w:rsidR="00F373A3" w:rsidRPr="00181FCD">
        <w:t xml:space="preserve"> </w:t>
      </w:r>
      <w:r w:rsidRPr="00181FCD">
        <w:t>correspondiente</w:t>
      </w:r>
      <w:r w:rsidR="00F373A3" w:rsidRPr="00181FCD">
        <w:t xml:space="preserve"> </w:t>
      </w:r>
      <w:r w:rsidRPr="00181FCD">
        <w:t>informe</w:t>
      </w:r>
      <w:r w:rsidR="00F373A3" w:rsidRPr="00181FCD">
        <w:t xml:space="preserve"> </w:t>
      </w:r>
      <w:r w:rsidRPr="00181FCD">
        <w:t>periódico.</w:t>
      </w:r>
      <w:r w:rsidR="00F373A3" w:rsidRPr="00181FCD">
        <w:t xml:space="preserve"> </w:t>
      </w:r>
      <w:r w:rsidRPr="00181FCD">
        <w:t>Con</w:t>
      </w:r>
      <w:r w:rsidR="00F373A3" w:rsidRPr="00181FCD">
        <w:t xml:space="preserve"> </w:t>
      </w:r>
      <w:r w:rsidRPr="00181FCD">
        <w:t>arreglo</w:t>
      </w:r>
      <w:r w:rsidR="00F373A3" w:rsidRPr="00181FCD">
        <w:t xml:space="preserve"> </w:t>
      </w:r>
      <w:r w:rsidRPr="00181FCD">
        <w:t>a</w:t>
      </w:r>
      <w:r w:rsidR="00F373A3" w:rsidRPr="00181FCD">
        <w:t xml:space="preserve"> </w:t>
      </w:r>
      <w:r w:rsidRPr="00181FCD">
        <w:t>este</w:t>
      </w:r>
      <w:r w:rsidR="00F373A3" w:rsidRPr="00181FCD">
        <w:t xml:space="preserve"> </w:t>
      </w:r>
      <w:r w:rsidRPr="00181FCD">
        <w:t>procedimiento,</w:t>
      </w:r>
      <w:r w:rsidR="00F373A3" w:rsidRPr="00181FCD">
        <w:t xml:space="preserve"> </w:t>
      </w:r>
      <w:r w:rsidRPr="00181FCD">
        <w:t>el</w:t>
      </w:r>
      <w:r w:rsidR="00F373A3" w:rsidRPr="00181FCD">
        <w:t xml:space="preserve"> </w:t>
      </w:r>
      <w:r w:rsidRPr="00181FCD">
        <w:t>Gobierno</w:t>
      </w:r>
      <w:r w:rsidR="00F373A3" w:rsidRPr="00181FCD">
        <w:t xml:space="preserve"> </w:t>
      </w:r>
      <w:r w:rsidRPr="00181FCD">
        <w:t>de</w:t>
      </w:r>
      <w:r w:rsidR="00F373A3" w:rsidRPr="00181FCD">
        <w:t xml:space="preserve"> </w:t>
      </w:r>
      <w:r w:rsidRPr="00181FCD">
        <w:t>la</w:t>
      </w:r>
      <w:r w:rsidR="00F373A3" w:rsidRPr="00181FCD">
        <w:t xml:space="preserve"> </w:t>
      </w:r>
      <w:r w:rsidRPr="00181FCD">
        <w:t>República</w:t>
      </w:r>
      <w:r w:rsidR="00F373A3" w:rsidRPr="00181FCD">
        <w:t xml:space="preserve"> </w:t>
      </w:r>
      <w:r w:rsidRPr="00181FCD">
        <w:t>de</w:t>
      </w:r>
      <w:r w:rsidR="00F373A3" w:rsidRPr="00181FCD">
        <w:t xml:space="preserve"> </w:t>
      </w:r>
      <w:r w:rsidRPr="00181FCD">
        <w:t>Bulgaria</w:t>
      </w:r>
      <w:r w:rsidR="00F373A3" w:rsidRPr="00181FCD">
        <w:t xml:space="preserve"> </w:t>
      </w:r>
      <w:r w:rsidRPr="00181FCD">
        <w:t>recibió</w:t>
      </w:r>
      <w:r w:rsidR="00F373A3" w:rsidRPr="00181FCD">
        <w:t xml:space="preserve"> </w:t>
      </w:r>
      <w:r w:rsidRPr="00181FCD">
        <w:t>una</w:t>
      </w:r>
      <w:r w:rsidR="00F373A3" w:rsidRPr="00181FCD">
        <w:t xml:space="preserve"> </w:t>
      </w:r>
      <w:r w:rsidRPr="00181FCD">
        <w:t>lista</w:t>
      </w:r>
      <w:r w:rsidR="00F373A3" w:rsidRPr="00181FCD">
        <w:t xml:space="preserve"> </w:t>
      </w:r>
      <w:r w:rsidRPr="00181FCD">
        <w:t>de</w:t>
      </w:r>
      <w:r w:rsidR="00F373A3" w:rsidRPr="00181FCD">
        <w:t xml:space="preserve"> </w:t>
      </w:r>
      <w:r w:rsidRPr="00181FCD">
        <w:t>cuestiones,</w:t>
      </w:r>
      <w:r w:rsidR="00F373A3" w:rsidRPr="00181FCD">
        <w:t xml:space="preserve"> </w:t>
      </w:r>
      <w:r w:rsidRPr="00181FCD">
        <w:t>que</w:t>
      </w:r>
      <w:r w:rsidR="00F373A3" w:rsidRPr="00181FCD">
        <w:t xml:space="preserve"> </w:t>
      </w:r>
      <w:r w:rsidRPr="00181FCD">
        <w:t>figura</w:t>
      </w:r>
      <w:r w:rsidR="00F373A3" w:rsidRPr="00181FCD">
        <w:t xml:space="preserve"> </w:t>
      </w:r>
      <w:r w:rsidRPr="00181FCD">
        <w:t>en</w:t>
      </w:r>
      <w:r w:rsidR="00F373A3" w:rsidRPr="00181FCD">
        <w:t xml:space="preserve"> </w:t>
      </w:r>
      <w:r w:rsidRPr="00181FCD">
        <w:t>el</w:t>
      </w:r>
      <w:r w:rsidR="00F373A3" w:rsidRPr="00181FCD">
        <w:t xml:space="preserve"> </w:t>
      </w:r>
      <w:r w:rsidRPr="00181FCD">
        <w:t>documento</w:t>
      </w:r>
      <w:r w:rsidR="00F373A3" w:rsidRPr="00181FCD">
        <w:t xml:space="preserve"> </w:t>
      </w:r>
      <w:r w:rsidRPr="00181FCD">
        <w:t>CAT/C/BGR/Q/6.</w:t>
      </w:r>
    </w:p>
    <w:p w:rsidR="001937F4" w:rsidRPr="00181FCD" w:rsidRDefault="001937F4" w:rsidP="00347B20">
      <w:pPr>
        <w:pStyle w:val="SingleTxtG"/>
        <w:suppressAutoHyphens/>
      </w:pPr>
      <w:r w:rsidRPr="00181FCD">
        <w:t>3.</w:t>
      </w:r>
      <w:r w:rsidRPr="00181FCD">
        <w:tab/>
        <w:t>El</w:t>
      </w:r>
      <w:r w:rsidR="00F373A3" w:rsidRPr="00181FCD">
        <w:t xml:space="preserve"> </w:t>
      </w:r>
      <w:r w:rsidRPr="00181FCD">
        <w:t>Gobierno</w:t>
      </w:r>
      <w:r w:rsidR="00F373A3" w:rsidRPr="00181FCD">
        <w:t xml:space="preserve"> </w:t>
      </w:r>
      <w:r w:rsidRPr="00181FCD">
        <w:t>de</w:t>
      </w:r>
      <w:r w:rsidR="00F373A3" w:rsidRPr="00181FCD">
        <w:t xml:space="preserve"> </w:t>
      </w:r>
      <w:r w:rsidRPr="00181FCD">
        <w:t>la</w:t>
      </w:r>
      <w:r w:rsidR="00F373A3" w:rsidRPr="00181FCD">
        <w:t xml:space="preserve"> </w:t>
      </w:r>
      <w:r w:rsidRPr="00181FCD">
        <w:t>República</w:t>
      </w:r>
      <w:r w:rsidR="00F373A3" w:rsidRPr="00181FCD">
        <w:t xml:space="preserve"> </w:t>
      </w:r>
      <w:r w:rsidRPr="00181FCD">
        <w:t>de</w:t>
      </w:r>
      <w:r w:rsidR="00F373A3" w:rsidRPr="00181FCD">
        <w:t xml:space="preserve"> </w:t>
      </w:r>
      <w:r w:rsidRPr="00181FCD">
        <w:t>Bulgaria</w:t>
      </w:r>
      <w:r w:rsidR="00F373A3" w:rsidRPr="00181FCD">
        <w:t xml:space="preserve"> </w:t>
      </w:r>
      <w:r w:rsidRPr="00181FCD">
        <w:t>presenta</w:t>
      </w:r>
      <w:r w:rsidR="00F373A3" w:rsidRPr="00181FCD">
        <w:t xml:space="preserve"> </w:t>
      </w:r>
      <w:r w:rsidRPr="00181FCD">
        <w:t>a</w:t>
      </w:r>
      <w:r w:rsidR="00F373A3" w:rsidRPr="00181FCD">
        <w:t xml:space="preserve"> </w:t>
      </w:r>
      <w:r w:rsidRPr="00181FCD">
        <w:t>continuación</w:t>
      </w:r>
      <w:r w:rsidR="00F373A3" w:rsidRPr="00181FCD">
        <w:t xml:space="preserve"> </w:t>
      </w:r>
      <w:r w:rsidRPr="00181FCD">
        <w:t>sus</w:t>
      </w:r>
      <w:r w:rsidR="00F373A3" w:rsidRPr="00181FCD">
        <w:t xml:space="preserve"> </w:t>
      </w:r>
      <w:r w:rsidRPr="00181FCD">
        <w:t>respuestas</w:t>
      </w:r>
      <w:r w:rsidR="00F373A3" w:rsidRPr="00181FCD">
        <w:t xml:space="preserve"> </w:t>
      </w:r>
      <w:r w:rsidRPr="00181FCD">
        <w:t>a</w:t>
      </w:r>
      <w:r w:rsidR="00F373A3" w:rsidRPr="00181FCD">
        <w:t xml:space="preserve"> </w:t>
      </w:r>
      <w:r w:rsidRPr="00181FCD">
        <w:t>la</w:t>
      </w:r>
      <w:r w:rsidR="00F373A3" w:rsidRPr="00181FCD">
        <w:t xml:space="preserve"> </w:t>
      </w:r>
      <w:r w:rsidRPr="00181FCD">
        <w:t>lista</w:t>
      </w:r>
      <w:r w:rsidR="00F373A3" w:rsidRPr="00181FCD">
        <w:t xml:space="preserve"> </w:t>
      </w:r>
      <w:r w:rsidRPr="00181FCD">
        <w:t>de</w:t>
      </w:r>
      <w:r w:rsidR="00F373A3" w:rsidRPr="00181FCD">
        <w:t xml:space="preserve"> </w:t>
      </w:r>
      <w:r w:rsidRPr="00181FCD">
        <w:t>cuestiones,</w:t>
      </w:r>
      <w:r w:rsidR="00F373A3" w:rsidRPr="00181FCD">
        <w:t xml:space="preserve"> </w:t>
      </w:r>
      <w:r w:rsidRPr="00181FCD">
        <w:t>en</w:t>
      </w:r>
      <w:r w:rsidR="00F373A3" w:rsidRPr="00181FCD">
        <w:t xml:space="preserve"> </w:t>
      </w:r>
      <w:r w:rsidRPr="00181FCD">
        <w:t>el</w:t>
      </w:r>
      <w:r w:rsidR="00F373A3" w:rsidRPr="00181FCD">
        <w:t xml:space="preserve"> </w:t>
      </w:r>
      <w:r w:rsidRPr="00181FCD">
        <w:t>documento</w:t>
      </w:r>
      <w:r w:rsidR="00F373A3" w:rsidRPr="00181FCD">
        <w:t xml:space="preserve"> </w:t>
      </w:r>
      <w:r w:rsidRPr="00181FCD">
        <w:t>que</w:t>
      </w:r>
      <w:r w:rsidR="00F373A3" w:rsidRPr="00181FCD">
        <w:t xml:space="preserve"> </w:t>
      </w:r>
      <w:r w:rsidRPr="00181FCD">
        <w:t>constituirá</w:t>
      </w:r>
      <w:r w:rsidR="00F373A3" w:rsidRPr="00181FCD">
        <w:t xml:space="preserve"> </w:t>
      </w:r>
      <w:r w:rsidRPr="00181FCD">
        <w:t>su</w:t>
      </w:r>
      <w:r w:rsidR="00F373A3" w:rsidRPr="00181FCD">
        <w:t xml:space="preserve"> </w:t>
      </w:r>
      <w:r w:rsidRPr="00181FCD">
        <w:t>sexto</w:t>
      </w:r>
      <w:r w:rsidR="00F373A3" w:rsidRPr="00181FCD">
        <w:t xml:space="preserve"> </w:t>
      </w:r>
      <w:r w:rsidRPr="00181FCD">
        <w:t>informe</w:t>
      </w:r>
      <w:r w:rsidR="00F373A3" w:rsidRPr="00181FCD">
        <w:t xml:space="preserve"> </w:t>
      </w:r>
      <w:r w:rsidRPr="00181FCD">
        <w:t>periódico</w:t>
      </w:r>
      <w:r w:rsidR="00F373A3" w:rsidRPr="00181FCD">
        <w:t xml:space="preserve"> </w:t>
      </w:r>
      <w:r w:rsidRPr="00181FCD">
        <w:t>al</w:t>
      </w:r>
      <w:r w:rsidR="00F373A3" w:rsidRPr="00181FCD">
        <w:t xml:space="preserve"> </w:t>
      </w:r>
      <w:r w:rsidRPr="00181FCD">
        <w:t>Comité.</w:t>
      </w:r>
      <w:r w:rsidR="00F373A3" w:rsidRPr="00181FCD">
        <w:t xml:space="preserve"> </w:t>
      </w:r>
      <w:r w:rsidRPr="00181FCD">
        <w:t>La</w:t>
      </w:r>
      <w:r w:rsidR="00F373A3" w:rsidRPr="00181FCD">
        <w:t xml:space="preserve"> </w:t>
      </w:r>
      <w:r w:rsidRPr="00181FCD">
        <w:t>información</w:t>
      </w:r>
      <w:r w:rsidR="00F373A3" w:rsidRPr="00181FCD">
        <w:t xml:space="preserve"> </w:t>
      </w:r>
      <w:r w:rsidRPr="00181FCD">
        <w:t>contenida</w:t>
      </w:r>
      <w:r w:rsidR="00F373A3" w:rsidRPr="00181FCD">
        <w:t xml:space="preserve"> </w:t>
      </w:r>
      <w:r w:rsidRPr="00181FCD">
        <w:t>en</w:t>
      </w:r>
      <w:r w:rsidR="00F373A3" w:rsidRPr="00181FCD">
        <w:t xml:space="preserve"> </w:t>
      </w:r>
      <w:r w:rsidRPr="00181FCD">
        <w:t>el</w:t>
      </w:r>
      <w:r w:rsidR="00F373A3" w:rsidRPr="00181FCD">
        <w:t xml:space="preserve"> </w:t>
      </w:r>
      <w:r w:rsidRPr="00181FCD">
        <w:t>informe</w:t>
      </w:r>
      <w:r w:rsidR="00F373A3" w:rsidRPr="00181FCD">
        <w:t xml:space="preserve"> </w:t>
      </w:r>
      <w:r w:rsidRPr="00181FCD">
        <w:t>abarca</w:t>
      </w:r>
      <w:r w:rsidR="00F373A3" w:rsidRPr="00181FCD">
        <w:t xml:space="preserve"> </w:t>
      </w:r>
      <w:r w:rsidRPr="00181FCD">
        <w:t>el</w:t>
      </w:r>
      <w:r w:rsidR="00F373A3" w:rsidRPr="00181FCD">
        <w:t xml:space="preserve"> </w:t>
      </w:r>
      <w:r w:rsidRPr="00181FCD">
        <w:t>período</w:t>
      </w:r>
      <w:r w:rsidR="00F373A3" w:rsidRPr="00181FCD">
        <w:t xml:space="preserve"> </w:t>
      </w:r>
      <w:r w:rsidRPr="00181FCD">
        <w:t>comprendido</w:t>
      </w:r>
      <w:r w:rsidR="00F373A3" w:rsidRPr="00181FCD">
        <w:t xml:space="preserve"> </w:t>
      </w:r>
      <w:r w:rsidRPr="00181FCD">
        <w:t>entre</w:t>
      </w:r>
      <w:r w:rsidR="00F373A3" w:rsidRPr="00181FCD">
        <w:t xml:space="preserve"> </w:t>
      </w:r>
      <w:r w:rsidRPr="00181FCD">
        <w:t>2009</w:t>
      </w:r>
      <w:r w:rsidR="00F373A3" w:rsidRPr="00181FCD">
        <w:t xml:space="preserve"> </w:t>
      </w:r>
      <w:r w:rsidRPr="00181FCD">
        <w:t>y</w:t>
      </w:r>
      <w:r w:rsidR="00F373A3" w:rsidRPr="00181FCD">
        <w:t xml:space="preserve"> </w:t>
      </w:r>
      <w:r w:rsidRPr="00181FCD">
        <w:t>octubre</w:t>
      </w:r>
      <w:r w:rsidR="00F373A3" w:rsidRPr="00181FCD">
        <w:t xml:space="preserve"> </w:t>
      </w:r>
      <w:r w:rsidRPr="00181FCD">
        <w:t>de</w:t>
      </w:r>
      <w:r w:rsidR="00F373A3" w:rsidRPr="00181FCD">
        <w:t xml:space="preserve"> </w:t>
      </w:r>
      <w:r w:rsidRPr="00181FCD">
        <w:t>2015.</w:t>
      </w:r>
      <w:r w:rsidR="00F373A3" w:rsidRPr="00181FCD">
        <w:t xml:space="preserve"> </w:t>
      </w:r>
      <w:r w:rsidRPr="00181FCD">
        <w:t>El</w:t>
      </w:r>
      <w:r w:rsidR="00F373A3" w:rsidRPr="00181FCD">
        <w:t xml:space="preserve"> </w:t>
      </w:r>
      <w:r w:rsidRPr="00181FCD">
        <w:t>informe</w:t>
      </w:r>
      <w:r w:rsidR="00F373A3" w:rsidRPr="00181FCD">
        <w:t xml:space="preserve"> </w:t>
      </w:r>
      <w:r w:rsidRPr="00181FCD">
        <w:t>se</w:t>
      </w:r>
      <w:r w:rsidR="00F373A3" w:rsidRPr="00181FCD">
        <w:t xml:space="preserve"> </w:t>
      </w:r>
      <w:r w:rsidRPr="00181FCD">
        <w:t>sometió</w:t>
      </w:r>
      <w:r w:rsidR="00F373A3" w:rsidRPr="00181FCD">
        <w:t xml:space="preserve"> </w:t>
      </w:r>
      <w:r w:rsidRPr="00181FCD">
        <w:t>a</w:t>
      </w:r>
      <w:r w:rsidR="00F373A3" w:rsidRPr="00181FCD">
        <w:t xml:space="preserve"> </w:t>
      </w:r>
      <w:r w:rsidRPr="00181FCD">
        <w:t>debate</w:t>
      </w:r>
      <w:r w:rsidR="00F373A3" w:rsidRPr="00181FCD">
        <w:t xml:space="preserve"> </w:t>
      </w:r>
      <w:r w:rsidRPr="00181FCD">
        <w:t>público</w:t>
      </w:r>
      <w:r w:rsidR="00F373A3" w:rsidRPr="00181FCD">
        <w:t xml:space="preserve"> </w:t>
      </w:r>
      <w:r w:rsidRPr="00181FCD">
        <w:t>y</w:t>
      </w:r>
      <w:r w:rsidR="00F373A3" w:rsidRPr="00181FCD">
        <w:t xml:space="preserve"> </w:t>
      </w:r>
      <w:r w:rsidRPr="00181FCD">
        <w:t>fue</w:t>
      </w:r>
      <w:r w:rsidR="00F373A3" w:rsidRPr="00181FCD">
        <w:t xml:space="preserve"> </w:t>
      </w:r>
      <w:r w:rsidRPr="00181FCD">
        <w:t>seguidamente</w:t>
      </w:r>
      <w:r w:rsidR="00F373A3" w:rsidRPr="00181FCD">
        <w:t xml:space="preserve"> </w:t>
      </w:r>
      <w:r w:rsidRPr="00181FCD">
        <w:t>aprobado</w:t>
      </w:r>
      <w:r w:rsidR="00F373A3" w:rsidRPr="00181FCD">
        <w:t xml:space="preserve"> </w:t>
      </w:r>
      <w:r w:rsidRPr="00181FCD">
        <w:t>por</w:t>
      </w:r>
      <w:r w:rsidR="00F373A3" w:rsidRPr="00181FCD">
        <w:t xml:space="preserve"> </w:t>
      </w:r>
      <w:r w:rsidRPr="00181FCD">
        <w:t>el</w:t>
      </w:r>
      <w:r w:rsidR="00F373A3" w:rsidRPr="00181FCD">
        <w:t xml:space="preserve"> </w:t>
      </w:r>
      <w:r w:rsidRPr="00181FCD">
        <w:t>Mecanismo</w:t>
      </w:r>
      <w:r w:rsidR="00F373A3" w:rsidRPr="00181FCD">
        <w:t xml:space="preserve"> </w:t>
      </w:r>
      <w:r w:rsidRPr="00181FCD">
        <w:t>Nacional</w:t>
      </w:r>
      <w:r w:rsidR="00F373A3" w:rsidRPr="00181FCD">
        <w:t xml:space="preserve"> </w:t>
      </w:r>
      <w:r w:rsidRPr="00181FCD">
        <w:t>de</w:t>
      </w:r>
      <w:r w:rsidR="00F373A3" w:rsidRPr="00181FCD">
        <w:t xml:space="preserve"> </w:t>
      </w:r>
      <w:r w:rsidRPr="00181FCD">
        <w:t>Coordinación</w:t>
      </w:r>
      <w:r w:rsidR="00F373A3" w:rsidRPr="00181FCD">
        <w:t xml:space="preserve"> </w:t>
      </w:r>
      <w:r w:rsidRPr="00181FCD">
        <w:t>para</w:t>
      </w:r>
      <w:r w:rsidR="00F373A3" w:rsidRPr="00181FCD">
        <w:t xml:space="preserve"> </w:t>
      </w:r>
      <w:r w:rsidRPr="00181FCD">
        <w:t>los</w:t>
      </w:r>
      <w:r w:rsidR="00F373A3" w:rsidRPr="00181FCD">
        <w:t xml:space="preserve"> </w:t>
      </w:r>
      <w:r w:rsidRPr="00181FCD">
        <w:t>Derechos</w:t>
      </w:r>
      <w:r w:rsidR="00F373A3" w:rsidRPr="00181FCD">
        <w:t xml:space="preserve"> </w:t>
      </w:r>
      <w:r w:rsidRPr="00181FCD">
        <w:t>Humanos.</w:t>
      </w:r>
    </w:p>
    <w:p w:rsidR="001937F4" w:rsidRPr="00181FCD" w:rsidRDefault="001937F4" w:rsidP="00347B20">
      <w:pPr>
        <w:pStyle w:val="SingleTxtG"/>
        <w:suppressAutoHyphens/>
      </w:pPr>
      <w:r w:rsidRPr="00181FCD">
        <w:t>4.</w:t>
      </w:r>
      <w:r w:rsidRPr="00181FCD">
        <w:tab/>
        <w:t>Esperando</w:t>
      </w:r>
      <w:r w:rsidR="00F373A3" w:rsidRPr="00181FCD">
        <w:t xml:space="preserve"> </w:t>
      </w:r>
      <w:r w:rsidRPr="00181FCD">
        <w:t>con</w:t>
      </w:r>
      <w:r w:rsidR="00F373A3" w:rsidRPr="00181FCD">
        <w:t xml:space="preserve"> </w:t>
      </w:r>
      <w:r w:rsidRPr="00181FCD">
        <w:t>gran</w:t>
      </w:r>
      <w:r w:rsidR="00F373A3" w:rsidRPr="00181FCD">
        <w:t xml:space="preserve"> </w:t>
      </w:r>
      <w:r w:rsidRPr="00181FCD">
        <w:t>interés</w:t>
      </w:r>
      <w:r w:rsidR="00F373A3" w:rsidRPr="00181FCD">
        <w:t xml:space="preserve"> </w:t>
      </w:r>
      <w:r w:rsidRPr="00181FCD">
        <w:t>presentar</w:t>
      </w:r>
      <w:r w:rsidR="00F373A3" w:rsidRPr="00181FCD">
        <w:t xml:space="preserve"> </w:t>
      </w:r>
      <w:r w:rsidRPr="00181FCD">
        <w:t>su</w:t>
      </w:r>
      <w:r w:rsidR="00F373A3" w:rsidRPr="00181FCD">
        <w:t xml:space="preserve"> </w:t>
      </w:r>
      <w:r w:rsidRPr="00181FCD">
        <w:t>sexto</w:t>
      </w:r>
      <w:r w:rsidR="00F373A3" w:rsidRPr="00181FCD">
        <w:t xml:space="preserve"> </w:t>
      </w:r>
      <w:r w:rsidRPr="00181FCD">
        <w:t>informe</w:t>
      </w:r>
      <w:r w:rsidR="00F373A3" w:rsidRPr="00181FCD">
        <w:t xml:space="preserve"> </w:t>
      </w:r>
      <w:r w:rsidRPr="00181FCD">
        <w:t>periódico</w:t>
      </w:r>
      <w:r w:rsidR="00F373A3" w:rsidRPr="00181FCD">
        <w:t xml:space="preserve"> </w:t>
      </w:r>
      <w:r w:rsidRPr="00181FCD">
        <w:t>en</w:t>
      </w:r>
      <w:r w:rsidR="00F373A3" w:rsidRPr="00181FCD">
        <w:t xml:space="preserve"> </w:t>
      </w:r>
      <w:r w:rsidRPr="00181FCD">
        <w:t>virtud</w:t>
      </w:r>
      <w:r w:rsidR="00F373A3" w:rsidRPr="00181FCD">
        <w:t xml:space="preserve"> </w:t>
      </w:r>
      <w:r w:rsidRPr="00181FCD">
        <w:t>de</w:t>
      </w:r>
      <w:r w:rsidR="00F373A3" w:rsidRPr="00181FCD">
        <w:t xml:space="preserve"> </w:t>
      </w:r>
      <w:r w:rsidRPr="00181FCD">
        <w:t>la</w:t>
      </w:r>
      <w:r w:rsidR="00F373A3" w:rsidRPr="00181FCD">
        <w:t xml:space="preserve"> </w:t>
      </w:r>
      <w:r w:rsidRPr="00181FCD">
        <w:t>Convención,</w:t>
      </w:r>
      <w:r w:rsidR="00F373A3" w:rsidRPr="00181FCD">
        <w:t xml:space="preserve"> </w:t>
      </w:r>
      <w:r w:rsidRPr="00181FCD">
        <w:t>el</w:t>
      </w:r>
      <w:r w:rsidR="00F373A3" w:rsidRPr="00181FCD">
        <w:t xml:space="preserve"> </w:t>
      </w:r>
      <w:r w:rsidRPr="00181FCD">
        <w:t>Gobierno</w:t>
      </w:r>
      <w:r w:rsidR="00F373A3" w:rsidRPr="00181FCD">
        <w:t xml:space="preserve"> </w:t>
      </w:r>
      <w:r w:rsidRPr="00181FCD">
        <w:t>de</w:t>
      </w:r>
      <w:r w:rsidR="00F373A3" w:rsidRPr="00181FCD">
        <w:t xml:space="preserve"> </w:t>
      </w:r>
      <w:r w:rsidRPr="00181FCD">
        <w:t>la</w:t>
      </w:r>
      <w:r w:rsidR="00F373A3" w:rsidRPr="00181FCD">
        <w:t xml:space="preserve"> </w:t>
      </w:r>
      <w:r w:rsidRPr="00181FCD">
        <w:t>República</w:t>
      </w:r>
      <w:r w:rsidR="00F373A3" w:rsidRPr="00181FCD">
        <w:t xml:space="preserve"> </w:t>
      </w:r>
      <w:r w:rsidRPr="00181FCD">
        <w:t>de</w:t>
      </w:r>
      <w:r w:rsidR="00F373A3" w:rsidRPr="00181FCD">
        <w:t xml:space="preserve"> </w:t>
      </w:r>
      <w:r w:rsidRPr="00181FCD">
        <w:t>Bulgaria</w:t>
      </w:r>
      <w:r w:rsidR="00F373A3" w:rsidRPr="00181FCD">
        <w:t xml:space="preserve"> </w:t>
      </w:r>
      <w:r w:rsidRPr="00181FCD">
        <w:t>confía</w:t>
      </w:r>
      <w:r w:rsidR="00F373A3" w:rsidRPr="00181FCD">
        <w:t xml:space="preserve"> </w:t>
      </w:r>
      <w:r w:rsidRPr="00181FCD">
        <w:t>en</w:t>
      </w:r>
      <w:r w:rsidR="00F373A3" w:rsidRPr="00181FCD">
        <w:t xml:space="preserve"> </w:t>
      </w:r>
      <w:r w:rsidRPr="00181FCD">
        <w:t>entablar</w:t>
      </w:r>
      <w:r w:rsidR="00F373A3" w:rsidRPr="00181FCD">
        <w:t xml:space="preserve"> </w:t>
      </w:r>
      <w:r w:rsidRPr="00181FCD">
        <w:t>un</w:t>
      </w:r>
      <w:r w:rsidR="00F373A3" w:rsidRPr="00181FCD">
        <w:t xml:space="preserve"> </w:t>
      </w:r>
      <w:r w:rsidRPr="00181FCD">
        <w:t>diálogo</w:t>
      </w:r>
      <w:r w:rsidR="00F373A3" w:rsidRPr="00181FCD">
        <w:t xml:space="preserve"> </w:t>
      </w:r>
      <w:r w:rsidRPr="00181FCD">
        <w:t>constructivo</w:t>
      </w:r>
      <w:r w:rsidR="00F373A3" w:rsidRPr="00181FCD">
        <w:t xml:space="preserve"> </w:t>
      </w:r>
      <w:r w:rsidRPr="00181FCD">
        <w:t>con</w:t>
      </w:r>
      <w:r w:rsidR="00F373A3" w:rsidRPr="00181FCD">
        <w:t xml:space="preserve"> </w:t>
      </w:r>
      <w:r w:rsidRPr="00181FCD">
        <w:t>el</w:t>
      </w:r>
      <w:r w:rsidR="00F373A3" w:rsidRPr="00181FCD">
        <w:t xml:space="preserve"> </w:t>
      </w:r>
      <w:r w:rsidRPr="00181FCD">
        <w:t>Comité.</w:t>
      </w:r>
      <w:r w:rsidR="00F373A3" w:rsidRPr="00181FCD">
        <w:t xml:space="preserve"> </w:t>
      </w:r>
      <w:r w:rsidRPr="00181FCD">
        <w:t>El</w:t>
      </w:r>
      <w:r w:rsidR="00F373A3" w:rsidRPr="00181FCD">
        <w:t xml:space="preserve"> </w:t>
      </w:r>
      <w:r w:rsidRPr="00181FCD">
        <w:t>Gobierno</w:t>
      </w:r>
      <w:r w:rsidR="00F373A3" w:rsidRPr="00181FCD">
        <w:t xml:space="preserve"> </w:t>
      </w:r>
      <w:r w:rsidRPr="00181FCD">
        <w:t>confirma</w:t>
      </w:r>
      <w:r w:rsidR="00F373A3" w:rsidRPr="00181FCD">
        <w:t xml:space="preserve"> </w:t>
      </w:r>
      <w:r w:rsidRPr="00181FCD">
        <w:t>su</w:t>
      </w:r>
      <w:r w:rsidR="00F373A3" w:rsidRPr="00181FCD">
        <w:t xml:space="preserve"> </w:t>
      </w:r>
      <w:r w:rsidRPr="00181FCD">
        <w:t>determinación</w:t>
      </w:r>
      <w:r w:rsidR="00F373A3" w:rsidRPr="00181FCD">
        <w:t xml:space="preserve"> </w:t>
      </w:r>
      <w:r w:rsidRPr="00181FCD">
        <w:t>de</w:t>
      </w:r>
      <w:r w:rsidR="00F373A3" w:rsidRPr="00181FCD">
        <w:t xml:space="preserve"> </w:t>
      </w:r>
      <w:r w:rsidRPr="00181FCD">
        <w:t>seguir</w:t>
      </w:r>
      <w:r w:rsidR="00F373A3" w:rsidRPr="00181FCD">
        <w:t xml:space="preserve"> </w:t>
      </w:r>
      <w:r w:rsidRPr="00181FCD">
        <w:t>cumpliendo</w:t>
      </w:r>
      <w:r w:rsidR="00F373A3" w:rsidRPr="00181FCD">
        <w:t xml:space="preserve"> </w:t>
      </w:r>
      <w:r w:rsidRPr="00181FCD">
        <w:t>estrictamente</w:t>
      </w:r>
      <w:r w:rsidR="00F373A3" w:rsidRPr="00181FCD">
        <w:t xml:space="preserve"> </w:t>
      </w:r>
      <w:r w:rsidRPr="00181FCD">
        <w:t>las</w:t>
      </w:r>
      <w:r w:rsidR="00F373A3" w:rsidRPr="00181FCD">
        <w:t xml:space="preserve"> </w:t>
      </w:r>
      <w:r w:rsidRPr="00181FCD">
        <w:t>obligaciones</w:t>
      </w:r>
      <w:r w:rsidR="00F373A3" w:rsidRPr="00181FCD">
        <w:t xml:space="preserve"> </w:t>
      </w:r>
      <w:r w:rsidRPr="00181FCD">
        <w:t>dimanantes</w:t>
      </w:r>
      <w:r w:rsidR="00F373A3" w:rsidRPr="00181FCD">
        <w:t xml:space="preserve"> </w:t>
      </w:r>
      <w:r w:rsidRPr="00181FCD">
        <w:t>de</w:t>
      </w:r>
      <w:r w:rsidR="00F373A3" w:rsidRPr="00181FCD">
        <w:t xml:space="preserve"> </w:t>
      </w:r>
      <w:r w:rsidRPr="00181FCD">
        <w:t>la</w:t>
      </w:r>
      <w:r w:rsidR="00F373A3" w:rsidRPr="00181FCD">
        <w:t xml:space="preserve"> </w:t>
      </w:r>
      <w:r w:rsidRPr="00181FCD">
        <w:t>Convención,</w:t>
      </w:r>
      <w:r w:rsidR="00F373A3" w:rsidRPr="00181FCD">
        <w:t xml:space="preserve"> </w:t>
      </w:r>
      <w:r w:rsidRPr="00181FCD">
        <w:t>y</w:t>
      </w:r>
      <w:r w:rsidR="00F373A3" w:rsidRPr="00181FCD">
        <w:t xml:space="preserve"> </w:t>
      </w:r>
      <w:r w:rsidRPr="00181FCD">
        <w:t>garantizar</w:t>
      </w:r>
      <w:r w:rsidR="00F373A3" w:rsidRPr="00181FCD">
        <w:t xml:space="preserve"> </w:t>
      </w:r>
      <w:r w:rsidRPr="00181FCD">
        <w:t>las</w:t>
      </w:r>
      <w:r w:rsidR="00F373A3" w:rsidRPr="00181FCD">
        <w:t xml:space="preserve"> </w:t>
      </w:r>
      <w:r w:rsidRPr="00181FCD">
        <w:t>condiciones</w:t>
      </w:r>
      <w:r w:rsidR="00F373A3" w:rsidRPr="00181FCD">
        <w:t xml:space="preserve"> </w:t>
      </w:r>
      <w:r w:rsidRPr="00181FCD">
        <w:t>necesarias</w:t>
      </w:r>
      <w:r w:rsidR="00F373A3" w:rsidRPr="00181FCD">
        <w:t xml:space="preserve"> </w:t>
      </w:r>
      <w:r w:rsidRPr="00181FCD">
        <w:t>para</w:t>
      </w:r>
      <w:r w:rsidR="00F373A3" w:rsidRPr="00181FCD">
        <w:t xml:space="preserve"> </w:t>
      </w:r>
      <w:r w:rsidRPr="00181FCD">
        <w:t>prevenir</w:t>
      </w:r>
      <w:r w:rsidR="00F373A3" w:rsidRPr="00181FCD">
        <w:t xml:space="preserve"> </w:t>
      </w:r>
      <w:r w:rsidRPr="00181FCD">
        <w:t>y</w:t>
      </w:r>
      <w:r w:rsidR="00F373A3" w:rsidRPr="00181FCD">
        <w:t xml:space="preserve"> </w:t>
      </w:r>
      <w:r w:rsidRPr="00181FCD">
        <w:t>reaccionar</w:t>
      </w:r>
      <w:r w:rsidR="00F373A3" w:rsidRPr="00181FCD">
        <w:t xml:space="preserve"> </w:t>
      </w:r>
      <w:r w:rsidRPr="00181FCD">
        <w:t>eficazmente</w:t>
      </w:r>
      <w:r w:rsidR="00F373A3" w:rsidRPr="00181FCD">
        <w:t xml:space="preserve"> </w:t>
      </w:r>
      <w:r w:rsidRPr="00181FCD">
        <w:t>contra</w:t>
      </w:r>
      <w:r w:rsidR="00F373A3" w:rsidRPr="00181FCD">
        <w:t xml:space="preserve"> </w:t>
      </w:r>
      <w:r w:rsidRPr="00181FCD">
        <w:t>algunas</w:t>
      </w:r>
      <w:r w:rsidR="00F373A3" w:rsidRPr="00181FCD">
        <w:t xml:space="preserve"> </w:t>
      </w:r>
      <w:r w:rsidRPr="00181FCD">
        <w:t>y</w:t>
      </w:r>
      <w:r w:rsidR="00F373A3" w:rsidRPr="00181FCD">
        <w:t xml:space="preserve"> </w:t>
      </w:r>
      <w:r w:rsidRPr="00181FCD">
        <w:t>todas</w:t>
      </w:r>
      <w:r w:rsidR="00F373A3" w:rsidRPr="00181FCD">
        <w:t xml:space="preserve"> </w:t>
      </w:r>
      <w:r w:rsidRPr="00181FCD">
        <w:t>las</w:t>
      </w:r>
      <w:r w:rsidR="00F373A3" w:rsidRPr="00181FCD">
        <w:t xml:space="preserve"> </w:t>
      </w:r>
      <w:r w:rsidRPr="00181FCD">
        <w:t>violaciones</w:t>
      </w:r>
      <w:r w:rsidR="00F373A3" w:rsidRPr="00181FCD">
        <w:t xml:space="preserve"> </w:t>
      </w:r>
      <w:r w:rsidRPr="00181FCD">
        <w:t>de</w:t>
      </w:r>
      <w:r w:rsidR="00F373A3" w:rsidRPr="00181FCD">
        <w:t xml:space="preserve"> </w:t>
      </w:r>
      <w:r w:rsidRPr="00181FCD">
        <w:t>sus</w:t>
      </w:r>
      <w:r w:rsidR="00F373A3" w:rsidRPr="00181FCD">
        <w:t xml:space="preserve"> </w:t>
      </w:r>
      <w:r w:rsidRPr="00181FCD">
        <w:t>disposiciones.</w:t>
      </w:r>
      <w:r w:rsidR="00F373A3" w:rsidRPr="00181FCD">
        <w:t xml:space="preserve"> </w:t>
      </w:r>
      <w:r w:rsidRPr="00181FCD">
        <w:t>Los</w:t>
      </w:r>
      <w:r w:rsidR="00F373A3" w:rsidRPr="00181FCD">
        <w:t xml:space="preserve"> </w:t>
      </w:r>
      <w:r w:rsidRPr="00181FCD">
        <w:t>organismos</w:t>
      </w:r>
      <w:r w:rsidR="00F373A3" w:rsidRPr="00181FCD">
        <w:t xml:space="preserve"> </w:t>
      </w:r>
      <w:r w:rsidRPr="00181FCD">
        <w:t>responsables</w:t>
      </w:r>
      <w:r w:rsidR="00F373A3" w:rsidRPr="00181FCD">
        <w:t xml:space="preserve"> </w:t>
      </w:r>
      <w:r w:rsidRPr="00181FCD">
        <w:t>de</w:t>
      </w:r>
      <w:r w:rsidR="00F373A3" w:rsidRPr="00181FCD">
        <w:t xml:space="preserve"> </w:t>
      </w:r>
      <w:r w:rsidRPr="00181FCD">
        <w:t>Bulgaria</w:t>
      </w:r>
      <w:r w:rsidR="00F373A3" w:rsidRPr="00181FCD">
        <w:t xml:space="preserve"> </w:t>
      </w:r>
      <w:r w:rsidRPr="00181FCD">
        <w:t>continúan</w:t>
      </w:r>
      <w:r w:rsidR="00F373A3" w:rsidRPr="00181FCD">
        <w:t xml:space="preserve"> </w:t>
      </w:r>
      <w:r w:rsidRPr="00181FCD">
        <w:t>sus</w:t>
      </w:r>
      <w:r w:rsidR="00F373A3" w:rsidRPr="00181FCD">
        <w:t xml:space="preserve"> </w:t>
      </w:r>
      <w:r w:rsidRPr="00181FCD">
        <w:t>esfuerzos</w:t>
      </w:r>
      <w:r w:rsidR="00F373A3" w:rsidRPr="00181FCD">
        <w:t xml:space="preserve"> </w:t>
      </w:r>
      <w:r w:rsidRPr="00181FCD">
        <w:t>para</w:t>
      </w:r>
      <w:r w:rsidR="00F373A3" w:rsidRPr="00181FCD">
        <w:t xml:space="preserve"> </w:t>
      </w:r>
      <w:r w:rsidRPr="00181FCD">
        <w:t>abordar</w:t>
      </w:r>
      <w:r w:rsidR="00F373A3" w:rsidRPr="00181FCD">
        <w:t xml:space="preserve"> </w:t>
      </w:r>
      <w:r w:rsidRPr="00181FCD">
        <w:t>todas</w:t>
      </w:r>
      <w:r w:rsidR="00F373A3" w:rsidRPr="00181FCD">
        <w:t xml:space="preserve"> </w:t>
      </w:r>
      <w:r w:rsidRPr="00181FCD">
        <w:t>las</w:t>
      </w:r>
      <w:r w:rsidR="00F373A3" w:rsidRPr="00181FCD">
        <w:t xml:space="preserve"> </w:t>
      </w:r>
      <w:r w:rsidRPr="00181FCD">
        <w:t>cuestiones</w:t>
      </w:r>
      <w:r w:rsidR="00F373A3" w:rsidRPr="00181FCD">
        <w:t xml:space="preserve"> </w:t>
      </w:r>
      <w:r w:rsidRPr="00181FCD">
        <w:t>emergentes</w:t>
      </w:r>
      <w:r w:rsidR="00F373A3" w:rsidRPr="00181FCD">
        <w:t xml:space="preserve"> </w:t>
      </w:r>
      <w:r w:rsidRPr="00181FCD">
        <w:t>y</w:t>
      </w:r>
      <w:r w:rsidR="00F373A3" w:rsidRPr="00181FCD">
        <w:t xml:space="preserve"> </w:t>
      </w:r>
      <w:r w:rsidRPr="00181FCD">
        <w:t>adoptar</w:t>
      </w:r>
      <w:r w:rsidR="00F373A3" w:rsidRPr="00181FCD">
        <w:t xml:space="preserve"> </w:t>
      </w:r>
      <w:r w:rsidRPr="00181FCD">
        <w:t>medidas</w:t>
      </w:r>
      <w:r w:rsidR="00F373A3" w:rsidRPr="00181FCD">
        <w:t xml:space="preserve"> </w:t>
      </w:r>
      <w:r w:rsidRPr="00181FCD">
        <w:t>apropiadas</w:t>
      </w:r>
      <w:r w:rsidR="00F373A3" w:rsidRPr="00181FCD">
        <w:t xml:space="preserve"> </w:t>
      </w:r>
      <w:r w:rsidRPr="00181FCD">
        <w:t>en</w:t>
      </w:r>
      <w:r w:rsidR="00F373A3" w:rsidRPr="00181FCD">
        <w:t xml:space="preserve"> </w:t>
      </w:r>
      <w:r w:rsidRPr="00181FCD">
        <w:t>los</w:t>
      </w:r>
      <w:r w:rsidR="00F373A3" w:rsidRPr="00181FCD">
        <w:t xml:space="preserve"> </w:t>
      </w:r>
      <w:r w:rsidRPr="00181FCD">
        <w:t>casos</w:t>
      </w:r>
      <w:r w:rsidR="00F373A3" w:rsidRPr="00181FCD">
        <w:t xml:space="preserve"> </w:t>
      </w:r>
      <w:r w:rsidRPr="00181FCD">
        <w:t>en</w:t>
      </w:r>
      <w:r w:rsidR="00F373A3" w:rsidRPr="00181FCD">
        <w:t xml:space="preserve"> </w:t>
      </w:r>
      <w:r w:rsidRPr="00181FCD">
        <w:t>que</w:t>
      </w:r>
      <w:r w:rsidR="00F373A3" w:rsidRPr="00181FCD">
        <w:t xml:space="preserve"> </w:t>
      </w:r>
      <w:r w:rsidRPr="00181FCD">
        <w:t>se</w:t>
      </w:r>
      <w:r w:rsidR="00F373A3" w:rsidRPr="00181FCD">
        <w:t xml:space="preserve"> </w:t>
      </w:r>
      <w:r w:rsidRPr="00181FCD">
        <w:t>ha</w:t>
      </w:r>
      <w:r w:rsidR="00F373A3" w:rsidRPr="00181FCD">
        <w:t xml:space="preserve"> </w:t>
      </w:r>
      <w:r w:rsidRPr="00181FCD">
        <w:t>permitido</w:t>
      </w:r>
      <w:r w:rsidR="00F373A3" w:rsidRPr="00181FCD">
        <w:t xml:space="preserve"> </w:t>
      </w:r>
      <w:r w:rsidRPr="00181FCD">
        <w:t>que</w:t>
      </w:r>
      <w:r w:rsidR="00F373A3" w:rsidRPr="00181FCD">
        <w:t xml:space="preserve"> </w:t>
      </w:r>
      <w:r w:rsidRPr="00181FCD">
        <w:t>tales</w:t>
      </w:r>
      <w:r w:rsidR="00F373A3" w:rsidRPr="00181FCD">
        <w:t xml:space="preserve"> </w:t>
      </w:r>
      <w:r w:rsidRPr="00181FCD">
        <w:t>actos</w:t>
      </w:r>
      <w:r w:rsidR="00F373A3" w:rsidRPr="00181FCD">
        <w:t xml:space="preserve"> </w:t>
      </w:r>
      <w:r w:rsidRPr="00181FCD">
        <w:t>ocurran.</w:t>
      </w:r>
    </w:p>
    <w:p w:rsidR="001937F4" w:rsidRPr="00181FCD" w:rsidRDefault="00765338" w:rsidP="00347B20">
      <w:pPr>
        <w:pStyle w:val="H1G"/>
      </w:pPr>
      <w:r w:rsidRPr="00181FCD">
        <w:tab/>
      </w:r>
      <w:r w:rsidRPr="00181FCD">
        <w:tab/>
      </w:r>
      <w:r w:rsidR="001937F4" w:rsidRPr="00181FCD">
        <w:t>Artículos</w:t>
      </w:r>
      <w:r w:rsidR="00F373A3" w:rsidRPr="00181FCD">
        <w:t xml:space="preserve"> </w:t>
      </w:r>
      <w:r w:rsidR="001937F4" w:rsidRPr="00181FCD">
        <w:t>1</w:t>
      </w:r>
      <w:r w:rsidR="00F373A3" w:rsidRPr="00181FCD">
        <w:t xml:space="preserve"> </w:t>
      </w:r>
      <w:r w:rsidR="001937F4" w:rsidRPr="00181FCD">
        <w:t>y</w:t>
      </w:r>
      <w:r w:rsidR="00F373A3" w:rsidRPr="00181FCD">
        <w:t xml:space="preserve"> </w:t>
      </w:r>
      <w:r w:rsidR="001937F4" w:rsidRPr="00181FCD">
        <w:t>4</w:t>
      </w:r>
    </w:p>
    <w:p w:rsidR="001937F4" w:rsidRPr="00181FCD" w:rsidRDefault="00765338" w:rsidP="00347B20">
      <w:pPr>
        <w:pStyle w:val="H23G"/>
      </w:pPr>
      <w:r w:rsidRPr="00181FCD">
        <w:tab/>
      </w:r>
      <w:r w:rsidRPr="00181FCD">
        <w:tab/>
      </w:r>
      <w:r w:rsidR="001937F4" w:rsidRPr="00181FCD">
        <w:t>Respuesta</w:t>
      </w:r>
      <w:r w:rsidR="00F373A3" w:rsidRPr="00181FCD">
        <w:t xml:space="preserve"> </w:t>
      </w:r>
      <w:r w:rsidR="001937F4" w:rsidRPr="00181FCD">
        <w:t>a</w:t>
      </w:r>
      <w:r w:rsidR="00F373A3" w:rsidRPr="00181FCD">
        <w:t xml:space="preserve"> </w:t>
      </w:r>
      <w:r w:rsidR="001937F4" w:rsidRPr="00181FCD">
        <w:t>las</w:t>
      </w:r>
      <w:r w:rsidR="00F373A3" w:rsidRPr="00181FCD">
        <w:t xml:space="preserve"> </w:t>
      </w:r>
      <w:r w:rsidR="001937F4" w:rsidRPr="00181FCD">
        <w:t>cuestiones</w:t>
      </w:r>
      <w:r w:rsidR="00F373A3" w:rsidRPr="00181FCD">
        <w:t xml:space="preserve"> </w:t>
      </w:r>
      <w:r w:rsidR="001937F4" w:rsidRPr="00181FCD">
        <w:t>planteadas</w:t>
      </w:r>
      <w:r w:rsidR="00F373A3" w:rsidRPr="00181FCD">
        <w:t xml:space="preserve"> </w:t>
      </w:r>
      <w:r w:rsidR="001937F4" w:rsidRPr="00181FCD">
        <w:t>en</w:t>
      </w:r>
      <w:r w:rsidR="00F373A3" w:rsidRPr="00181FCD">
        <w:t xml:space="preserve"> </w:t>
      </w:r>
      <w:r w:rsidR="001937F4" w:rsidRPr="00181FCD">
        <w:t>el</w:t>
      </w:r>
      <w:r w:rsidR="00F373A3" w:rsidRPr="00181FCD">
        <w:t xml:space="preserve"> </w:t>
      </w:r>
      <w:r w:rsidR="001937F4" w:rsidRPr="00181FCD">
        <w:t>párrafo</w:t>
      </w:r>
      <w:r w:rsidR="00F373A3" w:rsidRPr="00181FCD">
        <w:t xml:space="preserve"> </w:t>
      </w:r>
      <w:r w:rsidR="001937F4" w:rsidRPr="00181FCD">
        <w:t>1</w:t>
      </w:r>
      <w:r w:rsidR="00F373A3" w:rsidRPr="00181FCD">
        <w:t xml:space="preserve"> </w:t>
      </w:r>
      <w:r w:rsidR="001937F4" w:rsidRPr="00181FCD">
        <w:t>de</w:t>
      </w:r>
      <w:r w:rsidR="00F373A3" w:rsidRPr="00181FCD">
        <w:t xml:space="preserve"> </w:t>
      </w:r>
      <w:r w:rsidR="001937F4" w:rsidRPr="00181FCD">
        <w:t>la</w:t>
      </w:r>
      <w:r w:rsidR="00F373A3" w:rsidRPr="00181FCD">
        <w:t xml:space="preserve"> </w:t>
      </w:r>
      <w:r w:rsidR="001937F4" w:rsidRPr="00181FCD">
        <w:t>lista</w:t>
      </w:r>
      <w:r w:rsidR="00F373A3" w:rsidRPr="00181FCD">
        <w:t xml:space="preserve"> </w:t>
      </w:r>
      <w:r w:rsidR="001937F4" w:rsidRPr="00181FCD">
        <w:t>de</w:t>
      </w:r>
      <w:r w:rsidR="00F373A3" w:rsidRPr="00181FCD">
        <w:t xml:space="preserve"> </w:t>
      </w:r>
      <w:r w:rsidR="001937F4" w:rsidRPr="00181FCD">
        <w:t>cuestiones</w:t>
      </w:r>
      <w:r w:rsidR="00F373A3" w:rsidRPr="00181FCD">
        <w:t xml:space="preserve"> </w:t>
      </w:r>
      <w:r w:rsidR="001937F4" w:rsidRPr="00181FCD">
        <w:t>(CAT/C/BGR/Q/6)</w:t>
      </w:r>
    </w:p>
    <w:p w:rsidR="001937F4" w:rsidRPr="00181FCD" w:rsidRDefault="001937F4" w:rsidP="00347B20">
      <w:pPr>
        <w:pStyle w:val="SingleTxtG"/>
        <w:suppressAutoHyphens/>
      </w:pPr>
      <w:r w:rsidRPr="00181FCD">
        <w:t>5.</w:t>
      </w:r>
      <w:r w:rsidRPr="00181FCD">
        <w:tab/>
        <w:t>Se</w:t>
      </w:r>
      <w:r w:rsidR="00F373A3" w:rsidRPr="00181FCD">
        <w:t xml:space="preserve"> </w:t>
      </w:r>
      <w:r w:rsidRPr="00181FCD">
        <w:t>ha</w:t>
      </w:r>
      <w:r w:rsidR="00F373A3" w:rsidRPr="00181FCD">
        <w:t xml:space="preserve"> </w:t>
      </w:r>
      <w:r w:rsidRPr="00181FCD">
        <w:t>analizado</w:t>
      </w:r>
      <w:r w:rsidR="00F373A3" w:rsidRPr="00181FCD">
        <w:t xml:space="preserve"> </w:t>
      </w:r>
      <w:r w:rsidRPr="00181FCD">
        <w:t>de</w:t>
      </w:r>
      <w:r w:rsidR="00F373A3" w:rsidRPr="00181FCD">
        <w:t xml:space="preserve"> </w:t>
      </w:r>
      <w:r w:rsidRPr="00181FCD">
        <w:t>forma</w:t>
      </w:r>
      <w:r w:rsidR="00F373A3" w:rsidRPr="00181FCD">
        <w:t xml:space="preserve"> </w:t>
      </w:r>
      <w:r w:rsidRPr="00181FCD">
        <w:t>exhaustiva</w:t>
      </w:r>
      <w:r w:rsidR="00F373A3" w:rsidRPr="00181FCD">
        <w:t xml:space="preserve"> </w:t>
      </w:r>
      <w:r w:rsidRPr="00181FCD">
        <w:t>en</w:t>
      </w:r>
      <w:r w:rsidR="00F373A3" w:rsidRPr="00181FCD">
        <w:t xml:space="preserve"> </w:t>
      </w:r>
      <w:r w:rsidRPr="00181FCD">
        <w:t>qué</w:t>
      </w:r>
      <w:r w:rsidR="00F373A3" w:rsidRPr="00181FCD">
        <w:t xml:space="preserve"> </w:t>
      </w:r>
      <w:r w:rsidRPr="00181FCD">
        <w:t>medida</w:t>
      </w:r>
      <w:r w:rsidR="00F373A3" w:rsidRPr="00181FCD">
        <w:t xml:space="preserve"> </w:t>
      </w:r>
      <w:r w:rsidRPr="00181FCD">
        <w:t>la</w:t>
      </w:r>
      <w:r w:rsidR="00F373A3" w:rsidRPr="00181FCD">
        <w:t xml:space="preserve"> </w:t>
      </w:r>
      <w:r w:rsidRPr="00181FCD">
        <w:t>legislación</w:t>
      </w:r>
      <w:r w:rsidR="00F373A3" w:rsidRPr="00181FCD">
        <w:t xml:space="preserve"> </w:t>
      </w:r>
      <w:r w:rsidRPr="00181FCD">
        <w:t>búlgara</w:t>
      </w:r>
      <w:r w:rsidR="00F373A3" w:rsidRPr="00181FCD">
        <w:t xml:space="preserve"> </w:t>
      </w:r>
      <w:r w:rsidRPr="00181FCD">
        <w:t>se</w:t>
      </w:r>
      <w:r w:rsidR="00F373A3" w:rsidRPr="00181FCD">
        <w:t xml:space="preserve"> </w:t>
      </w:r>
      <w:r w:rsidRPr="00181FCD">
        <w:t>ajusta</w:t>
      </w:r>
      <w:r w:rsidR="00F373A3" w:rsidRPr="00181FCD">
        <w:t xml:space="preserve"> </w:t>
      </w:r>
      <w:r w:rsidRPr="00181FCD">
        <w:t>a</w:t>
      </w:r>
      <w:r w:rsidR="00F373A3" w:rsidRPr="00181FCD">
        <w:t xml:space="preserve"> </w:t>
      </w:r>
      <w:r w:rsidRPr="00181FCD">
        <w:t>las</w:t>
      </w:r>
      <w:r w:rsidR="00F373A3" w:rsidRPr="00181FCD">
        <w:t xml:space="preserve"> </w:t>
      </w:r>
      <w:r w:rsidRPr="00181FCD">
        <w:t>disposiciones</w:t>
      </w:r>
      <w:r w:rsidR="00F373A3" w:rsidRPr="00181FCD">
        <w:t xml:space="preserve"> </w:t>
      </w:r>
      <w:r w:rsidRPr="00181FCD">
        <w:t>de</w:t>
      </w:r>
      <w:r w:rsidR="00F373A3" w:rsidRPr="00181FCD">
        <w:t xml:space="preserve"> </w:t>
      </w:r>
      <w:r w:rsidRPr="00181FCD">
        <w:t>la</w:t>
      </w:r>
      <w:r w:rsidR="00F373A3" w:rsidRPr="00181FCD">
        <w:t xml:space="preserve"> </w:t>
      </w:r>
      <w:r w:rsidRPr="00181FCD">
        <w:t>Convención</w:t>
      </w:r>
      <w:r w:rsidR="00F373A3" w:rsidRPr="00181FCD">
        <w:t xml:space="preserve"> </w:t>
      </w:r>
      <w:r w:rsidRPr="00181FCD">
        <w:t>contra</w:t>
      </w:r>
      <w:r w:rsidR="00F373A3" w:rsidRPr="00181FCD">
        <w:t xml:space="preserve"> </w:t>
      </w:r>
      <w:r w:rsidRPr="00181FCD">
        <w:t>la</w:t>
      </w:r>
      <w:r w:rsidR="00F373A3" w:rsidRPr="00181FCD">
        <w:t xml:space="preserve"> </w:t>
      </w:r>
      <w:r w:rsidRPr="00181FCD">
        <w:t>Tortura.</w:t>
      </w:r>
      <w:r w:rsidR="00F373A3" w:rsidRPr="00181FCD">
        <w:t xml:space="preserve"> </w:t>
      </w:r>
      <w:r w:rsidRPr="00181FCD">
        <w:t>Tras</w:t>
      </w:r>
      <w:r w:rsidR="00F373A3" w:rsidRPr="00181FCD">
        <w:t xml:space="preserve"> </w:t>
      </w:r>
      <w:r w:rsidRPr="00181FCD">
        <w:t>el</w:t>
      </w:r>
      <w:r w:rsidR="00F373A3" w:rsidRPr="00181FCD">
        <w:t xml:space="preserve"> </w:t>
      </w:r>
      <w:r w:rsidRPr="00181FCD">
        <w:t>segundo</w:t>
      </w:r>
      <w:r w:rsidR="00F373A3" w:rsidRPr="00181FCD">
        <w:t xml:space="preserve"> </w:t>
      </w:r>
      <w:r w:rsidRPr="00181FCD">
        <w:t>Examen</w:t>
      </w:r>
      <w:r w:rsidR="00F373A3" w:rsidRPr="00181FCD">
        <w:t xml:space="preserve"> </w:t>
      </w:r>
      <w:r w:rsidRPr="00181FCD">
        <w:t>Periódico</w:t>
      </w:r>
      <w:r w:rsidR="00F373A3" w:rsidRPr="00181FCD">
        <w:t xml:space="preserve"> </w:t>
      </w:r>
      <w:r w:rsidRPr="00181FCD">
        <w:t>Universal</w:t>
      </w:r>
      <w:r w:rsidR="00F373A3" w:rsidRPr="00181FCD">
        <w:t xml:space="preserve"> </w:t>
      </w:r>
      <w:r w:rsidRPr="00181FCD">
        <w:t>de</w:t>
      </w:r>
      <w:r w:rsidR="00F373A3" w:rsidRPr="00181FCD">
        <w:t xml:space="preserve"> </w:t>
      </w:r>
      <w:r w:rsidRPr="00181FCD">
        <w:t>la</w:t>
      </w:r>
      <w:r w:rsidR="00F373A3" w:rsidRPr="00181FCD">
        <w:t xml:space="preserve"> </w:t>
      </w:r>
      <w:r w:rsidRPr="00181FCD">
        <w:t>República</w:t>
      </w:r>
      <w:r w:rsidR="00F373A3" w:rsidRPr="00181FCD">
        <w:t xml:space="preserve"> </w:t>
      </w:r>
      <w:r w:rsidRPr="00181FCD">
        <w:t>de</w:t>
      </w:r>
      <w:r w:rsidR="00F373A3" w:rsidRPr="00181FCD">
        <w:t xml:space="preserve"> </w:t>
      </w:r>
      <w:r w:rsidRPr="00181FCD">
        <w:t>Bulgaria,</w:t>
      </w:r>
      <w:r w:rsidR="00F373A3" w:rsidRPr="00181FCD">
        <w:t xml:space="preserve"> </w:t>
      </w:r>
      <w:r w:rsidRPr="00181FCD">
        <w:t>en</w:t>
      </w:r>
      <w:r w:rsidR="00F373A3" w:rsidRPr="00181FCD">
        <w:t xml:space="preserve"> </w:t>
      </w:r>
      <w:r w:rsidRPr="00181FCD">
        <w:t>mayo</w:t>
      </w:r>
      <w:r w:rsidR="00F373A3" w:rsidRPr="00181FCD">
        <w:t xml:space="preserve"> </w:t>
      </w:r>
      <w:r w:rsidRPr="00181FCD">
        <w:t>de</w:t>
      </w:r>
      <w:r w:rsidR="00F373A3" w:rsidRPr="00181FCD">
        <w:t xml:space="preserve"> </w:t>
      </w:r>
      <w:r w:rsidRPr="00181FCD">
        <w:t>2015,</w:t>
      </w:r>
      <w:r w:rsidR="00F373A3" w:rsidRPr="00181FCD">
        <w:t xml:space="preserve"> </w:t>
      </w:r>
      <w:r w:rsidRPr="00181FCD">
        <w:t>el</w:t>
      </w:r>
      <w:r w:rsidR="00F373A3" w:rsidRPr="00181FCD">
        <w:t xml:space="preserve"> </w:t>
      </w:r>
      <w:r w:rsidRPr="00181FCD">
        <w:t>Estado</w:t>
      </w:r>
      <w:r w:rsidR="00F373A3" w:rsidRPr="00181FCD">
        <w:t xml:space="preserve"> </w:t>
      </w:r>
      <w:r w:rsidRPr="00181FCD">
        <w:t>ha</w:t>
      </w:r>
      <w:r w:rsidR="00F373A3" w:rsidRPr="00181FCD">
        <w:t xml:space="preserve"> </w:t>
      </w:r>
      <w:r w:rsidRPr="00181FCD">
        <w:t>aceptado</w:t>
      </w:r>
      <w:r w:rsidR="00F373A3" w:rsidRPr="00181FCD">
        <w:t xml:space="preserve"> </w:t>
      </w:r>
      <w:r w:rsidRPr="00181FCD">
        <w:t>la</w:t>
      </w:r>
      <w:r w:rsidR="00F373A3" w:rsidRPr="00181FCD">
        <w:t xml:space="preserve"> </w:t>
      </w:r>
      <w:r w:rsidRPr="00181FCD">
        <w:t>recomendación</w:t>
      </w:r>
      <w:r w:rsidR="00F373A3" w:rsidRPr="00181FCD">
        <w:t xml:space="preserve"> </w:t>
      </w:r>
      <w:r w:rsidRPr="00181FCD">
        <w:t>de</w:t>
      </w:r>
      <w:r w:rsidR="00F373A3" w:rsidRPr="00181FCD">
        <w:t xml:space="preserve"> </w:t>
      </w:r>
      <w:r w:rsidRPr="00181FCD">
        <w:t>adoptar</w:t>
      </w:r>
      <w:r w:rsidR="00F373A3" w:rsidRPr="00181FCD">
        <w:t xml:space="preserve"> </w:t>
      </w:r>
      <w:r w:rsidRPr="00181FCD">
        <w:t>una</w:t>
      </w:r>
      <w:r w:rsidR="00F373A3" w:rsidRPr="00181FCD">
        <w:t xml:space="preserve"> </w:t>
      </w:r>
      <w:r w:rsidRPr="00181FCD">
        <w:t>definición</w:t>
      </w:r>
      <w:r w:rsidR="00F373A3" w:rsidRPr="00181FCD">
        <w:t xml:space="preserve"> </w:t>
      </w:r>
      <w:r w:rsidRPr="00181FCD">
        <w:t>de</w:t>
      </w:r>
      <w:r w:rsidR="00F373A3" w:rsidRPr="00181FCD">
        <w:t xml:space="preserve"> </w:t>
      </w:r>
      <w:r w:rsidRPr="00181FCD">
        <w:t>tortura</w:t>
      </w:r>
      <w:r w:rsidR="00F373A3" w:rsidRPr="00181FCD">
        <w:t xml:space="preserve"> </w:t>
      </w:r>
      <w:r w:rsidRPr="00181FCD">
        <w:t>que</w:t>
      </w:r>
      <w:r w:rsidR="00F373A3" w:rsidRPr="00181FCD">
        <w:t xml:space="preserve"> </w:t>
      </w:r>
      <w:r w:rsidRPr="00181FCD">
        <w:t>incluya</w:t>
      </w:r>
      <w:r w:rsidR="00F373A3" w:rsidRPr="00181FCD">
        <w:t xml:space="preserve"> </w:t>
      </w:r>
      <w:r w:rsidRPr="00181FCD">
        <w:t>todos</w:t>
      </w:r>
      <w:r w:rsidR="00F373A3" w:rsidRPr="00181FCD">
        <w:t xml:space="preserve"> </w:t>
      </w:r>
      <w:r w:rsidRPr="00181FCD">
        <w:t>los</w:t>
      </w:r>
      <w:r w:rsidR="00F373A3" w:rsidRPr="00181FCD">
        <w:t xml:space="preserve"> </w:t>
      </w:r>
      <w:r w:rsidRPr="00181FCD">
        <w:t>elementos</w:t>
      </w:r>
      <w:r w:rsidR="00F373A3" w:rsidRPr="00181FCD">
        <w:t xml:space="preserve"> </w:t>
      </w:r>
      <w:r w:rsidRPr="00181FCD">
        <w:t>recogidos</w:t>
      </w:r>
      <w:r w:rsidR="00F373A3" w:rsidRPr="00181FCD">
        <w:t xml:space="preserve"> </w:t>
      </w:r>
      <w:r w:rsidRPr="00181FCD">
        <w:t>en</w:t>
      </w:r>
      <w:r w:rsidR="00F373A3" w:rsidRPr="00181FCD">
        <w:t xml:space="preserve"> </w:t>
      </w:r>
      <w:r w:rsidRPr="00181FCD">
        <w:t>la</w:t>
      </w:r>
      <w:r w:rsidR="00F373A3" w:rsidRPr="00181FCD">
        <w:t xml:space="preserve"> </w:t>
      </w:r>
      <w:r w:rsidRPr="00181FCD">
        <w:t>Convención.</w:t>
      </w:r>
      <w:r w:rsidR="00F373A3" w:rsidRPr="00181FCD">
        <w:t xml:space="preserve"> </w:t>
      </w:r>
      <w:r w:rsidRPr="00181FCD">
        <w:t>Los</w:t>
      </w:r>
      <w:r w:rsidR="00F373A3" w:rsidRPr="00181FCD">
        <w:t xml:space="preserve"> </w:t>
      </w:r>
      <w:r w:rsidRPr="00181FCD">
        <w:t>organismos</w:t>
      </w:r>
      <w:r w:rsidR="00F373A3" w:rsidRPr="00181FCD">
        <w:t xml:space="preserve"> </w:t>
      </w:r>
      <w:r w:rsidRPr="00181FCD">
        <w:t>encargados</w:t>
      </w:r>
      <w:r w:rsidR="00F373A3" w:rsidRPr="00181FCD">
        <w:t xml:space="preserve"> </w:t>
      </w:r>
      <w:r w:rsidRPr="00181FCD">
        <w:t>están</w:t>
      </w:r>
      <w:r w:rsidR="00F373A3" w:rsidRPr="00181FCD">
        <w:t xml:space="preserve"> </w:t>
      </w:r>
      <w:r w:rsidRPr="00181FCD">
        <w:t>considerando</w:t>
      </w:r>
      <w:r w:rsidR="00F373A3" w:rsidRPr="00181FCD">
        <w:t xml:space="preserve"> </w:t>
      </w:r>
      <w:r w:rsidRPr="00181FCD">
        <w:t>la</w:t>
      </w:r>
      <w:r w:rsidR="00F373A3" w:rsidRPr="00181FCD">
        <w:t xml:space="preserve"> </w:t>
      </w:r>
      <w:r w:rsidRPr="00181FCD">
        <w:t>introducción</w:t>
      </w:r>
      <w:r w:rsidR="00F373A3" w:rsidRPr="00181FCD">
        <w:t xml:space="preserve"> </w:t>
      </w:r>
      <w:r w:rsidRPr="00181FCD">
        <w:t>de</w:t>
      </w:r>
      <w:r w:rsidR="00F373A3" w:rsidRPr="00181FCD">
        <w:t xml:space="preserve"> </w:t>
      </w:r>
      <w:r w:rsidRPr="00181FCD">
        <w:t>medidas</w:t>
      </w:r>
      <w:r w:rsidR="00F373A3" w:rsidRPr="00181FCD">
        <w:t xml:space="preserve"> </w:t>
      </w:r>
      <w:r w:rsidRPr="00181FCD">
        <w:t>jurídicas</w:t>
      </w:r>
      <w:r w:rsidR="00F373A3" w:rsidRPr="00181FCD">
        <w:t xml:space="preserve"> </w:t>
      </w:r>
      <w:r w:rsidRPr="00181FCD">
        <w:t>para</w:t>
      </w:r>
      <w:r w:rsidR="00F373A3" w:rsidRPr="00181FCD">
        <w:t xml:space="preserve"> </w:t>
      </w:r>
      <w:r w:rsidRPr="00181FCD">
        <w:t>tipificar</w:t>
      </w:r>
      <w:r w:rsidR="00F373A3" w:rsidRPr="00181FCD">
        <w:t xml:space="preserve"> </w:t>
      </w:r>
      <w:r w:rsidRPr="00181FCD">
        <w:t>la</w:t>
      </w:r>
      <w:r w:rsidR="00F373A3" w:rsidRPr="00181FCD">
        <w:t xml:space="preserve"> </w:t>
      </w:r>
      <w:r w:rsidRPr="00181FCD">
        <w:t>tortura</w:t>
      </w:r>
      <w:r w:rsidR="00F373A3" w:rsidRPr="00181FCD">
        <w:t xml:space="preserve"> </w:t>
      </w:r>
      <w:r w:rsidRPr="00181FCD">
        <w:t>como</w:t>
      </w:r>
      <w:r w:rsidR="00F373A3" w:rsidRPr="00181FCD">
        <w:t xml:space="preserve"> </w:t>
      </w:r>
      <w:r w:rsidRPr="00181FCD">
        <w:t>delito</w:t>
      </w:r>
      <w:r w:rsidR="00F373A3" w:rsidRPr="00181FCD">
        <w:t xml:space="preserve"> </w:t>
      </w:r>
      <w:r w:rsidRPr="00181FCD">
        <w:t>independiente</w:t>
      </w:r>
      <w:r w:rsidR="00F373A3" w:rsidRPr="00181FCD">
        <w:t xml:space="preserve"> </w:t>
      </w:r>
      <w:r w:rsidRPr="00181FCD">
        <w:t>y</w:t>
      </w:r>
      <w:r w:rsidR="00F373A3" w:rsidRPr="00181FCD">
        <w:t xml:space="preserve"> </w:t>
      </w:r>
      <w:r w:rsidRPr="00181FCD">
        <w:t>específico</w:t>
      </w:r>
      <w:r w:rsidR="00F373A3" w:rsidRPr="00181FCD">
        <w:t xml:space="preserve"> </w:t>
      </w:r>
      <w:r w:rsidRPr="00181FCD">
        <w:t>en</w:t>
      </w:r>
      <w:r w:rsidR="00F373A3" w:rsidRPr="00181FCD">
        <w:t xml:space="preserve"> </w:t>
      </w:r>
      <w:r w:rsidRPr="00181FCD">
        <w:t>la</w:t>
      </w:r>
      <w:r w:rsidR="00F373A3" w:rsidRPr="00181FCD">
        <w:t xml:space="preserve"> </w:t>
      </w:r>
      <w:r w:rsidRPr="00181FCD">
        <w:t>legislación</w:t>
      </w:r>
      <w:r w:rsidR="00F373A3" w:rsidRPr="00181FCD">
        <w:t xml:space="preserve"> </w:t>
      </w:r>
      <w:r w:rsidRPr="00181FCD">
        <w:t>búlgara.</w:t>
      </w:r>
    </w:p>
    <w:p w:rsidR="001937F4" w:rsidRPr="00181FCD" w:rsidRDefault="00765338" w:rsidP="00347B20">
      <w:pPr>
        <w:pStyle w:val="H1G"/>
      </w:pPr>
      <w:r w:rsidRPr="00181FCD">
        <w:tab/>
      </w:r>
      <w:r w:rsidRPr="00181FCD">
        <w:tab/>
      </w:r>
      <w:r w:rsidR="001937F4" w:rsidRPr="00181FCD">
        <w:t>Artículo</w:t>
      </w:r>
      <w:r w:rsidR="00F373A3" w:rsidRPr="00181FCD">
        <w:t xml:space="preserve"> </w:t>
      </w:r>
      <w:r w:rsidR="001937F4" w:rsidRPr="00181FCD">
        <w:t>2</w:t>
      </w:r>
    </w:p>
    <w:p w:rsidR="001937F4" w:rsidRPr="00181FCD" w:rsidRDefault="00765338" w:rsidP="00347B20">
      <w:pPr>
        <w:pStyle w:val="H23G"/>
      </w:pPr>
      <w:r w:rsidRPr="00181FCD">
        <w:tab/>
      </w:r>
      <w:r w:rsidRPr="00181FCD">
        <w:tab/>
      </w:r>
      <w:r w:rsidR="001937F4" w:rsidRPr="00181FCD">
        <w:t>Respuesta</w:t>
      </w:r>
      <w:r w:rsidR="00F373A3" w:rsidRPr="00181FCD">
        <w:t xml:space="preserve"> </w:t>
      </w:r>
      <w:r w:rsidR="001937F4" w:rsidRPr="00181FCD">
        <w:t>a</w:t>
      </w:r>
      <w:r w:rsidR="00F373A3" w:rsidRPr="00181FCD">
        <w:t xml:space="preserve"> </w:t>
      </w:r>
      <w:r w:rsidR="001937F4" w:rsidRPr="00181FCD">
        <w:t>las</w:t>
      </w:r>
      <w:r w:rsidR="00F373A3" w:rsidRPr="00181FCD">
        <w:t xml:space="preserve"> </w:t>
      </w:r>
      <w:r w:rsidR="001937F4" w:rsidRPr="00181FCD">
        <w:t>cuestiones</w:t>
      </w:r>
      <w:r w:rsidR="00F373A3" w:rsidRPr="00181FCD">
        <w:t xml:space="preserve"> </w:t>
      </w:r>
      <w:r w:rsidR="001937F4" w:rsidRPr="00181FCD">
        <w:t>planteadas</w:t>
      </w:r>
      <w:r w:rsidR="00F373A3" w:rsidRPr="00181FCD">
        <w:t xml:space="preserve"> </w:t>
      </w:r>
      <w:r w:rsidR="001937F4" w:rsidRPr="00181FCD">
        <w:t>en</w:t>
      </w:r>
      <w:r w:rsidR="00F373A3" w:rsidRPr="00181FCD">
        <w:t xml:space="preserve"> </w:t>
      </w:r>
      <w:r w:rsidR="001937F4" w:rsidRPr="00181FCD">
        <w:t>el</w:t>
      </w:r>
      <w:r w:rsidR="00F373A3" w:rsidRPr="00181FCD">
        <w:t xml:space="preserve"> </w:t>
      </w:r>
      <w:r w:rsidR="001937F4" w:rsidRPr="00181FCD">
        <w:t>párrafo</w:t>
      </w:r>
      <w:r w:rsidR="00F373A3" w:rsidRPr="00181FCD">
        <w:t xml:space="preserve"> </w:t>
      </w:r>
      <w:r w:rsidR="001937F4" w:rsidRPr="00181FCD">
        <w:t>2</w:t>
      </w:r>
      <w:r w:rsidR="00F373A3" w:rsidRPr="00181FCD">
        <w:t xml:space="preserve"> </w:t>
      </w:r>
      <w:r w:rsidR="001937F4" w:rsidRPr="00181FCD">
        <w:t>de</w:t>
      </w:r>
      <w:r w:rsidR="00F373A3" w:rsidRPr="00181FCD">
        <w:t xml:space="preserve"> </w:t>
      </w:r>
      <w:r w:rsidR="001937F4" w:rsidRPr="00181FCD">
        <w:t>la</w:t>
      </w:r>
      <w:r w:rsidR="00F373A3" w:rsidRPr="00181FCD">
        <w:t xml:space="preserve"> </w:t>
      </w:r>
      <w:r w:rsidR="001937F4" w:rsidRPr="00181FCD">
        <w:t>lista</w:t>
      </w:r>
      <w:r w:rsidR="00F373A3" w:rsidRPr="00181FCD">
        <w:t xml:space="preserve"> </w:t>
      </w:r>
      <w:r w:rsidR="001937F4" w:rsidRPr="00181FCD">
        <w:t>de</w:t>
      </w:r>
      <w:r w:rsidR="00F373A3" w:rsidRPr="00181FCD">
        <w:t xml:space="preserve"> </w:t>
      </w:r>
      <w:r w:rsidR="001937F4" w:rsidRPr="00181FCD">
        <w:t>cuestiones</w:t>
      </w:r>
    </w:p>
    <w:p w:rsidR="001937F4" w:rsidRPr="00181FCD" w:rsidRDefault="001937F4" w:rsidP="00347B20">
      <w:pPr>
        <w:pStyle w:val="SingleTxtG"/>
        <w:suppressAutoHyphens/>
      </w:pPr>
      <w:r w:rsidRPr="00181FCD">
        <w:t>6.</w:t>
      </w:r>
      <w:r w:rsidRPr="00181FCD">
        <w:tab/>
        <w:t>El</w:t>
      </w:r>
      <w:r w:rsidR="00F373A3" w:rsidRPr="00181FCD">
        <w:t xml:space="preserve"> </w:t>
      </w:r>
      <w:r w:rsidRPr="00181FCD">
        <w:t>19</w:t>
      </w:r>
      <w:r w:rsidR="00F373A3" w:rsidRPr="00181FCD">
        <w:t xml:space="preserve"> </w:t>
      </w:r>
      <w:r w:rsidRPr="00181FCD">
        <w:t>de</w:t>
      </w:r>
      <w:r w:rsidR="00F373A3" w:rsidRPr="00181FCD">
        <w:t xml:space="preserve"> </w:t>
      </w:r>
      <w:r w:rsidRPr="00181FCD">
        <w:t>marzo</w:t>
      </w:r>
      <w:r w:rsidR="00F373A3" w:rsidRPr="00181FCD">
        <w:t xml:space="preserve"> </w:t>
      </w:r>
      <w:r w:rsidRPr="00181FCD">
        <w:t>de</w:t>
      </w:r>
      <w:r w:rsidR="00F373A3" w:rsidRPr="00181FCD">
        <w:t xml:space="preserve"> </w:t>
      </w:r>
      <w:r w:rsidRPr="00181FCD">
        <w:t>2013</w:t>
      </w:r>
      <w:r w:rsidR="00F373A3" w:rsidRPr="00181FCD">
        <w:t xml:space="preserve"> </w:t>
      </w:r>
      <w:r w:rsidRPr="00181FCD">
        <w:t>se</w:t>
      </w:r>
      <w:r w:rsidR="00F373A3" w:rsidRPr="00181FCD">
        <w:t xml:space="preserve"> </w:t>
      </w:r>
      <w:r w:rsidRPr="00181FCD">
        <w:t>modificó</w:t>
      </w:r>
      <w:r w:rsidR="00F373A3" w:rsidRPr="00181FCD">
        <w:t xml:space="preserve"> </w:t>
      </w:r>
      <w:r w:rsidRPr="00181FCD">
        <w:t>y</w:t>
      </w:r>
      <w:r w:rsidR="00F373A3" w:rsidRPr="00181FCD">
        <w:t xml:space="preserve"> </w:t>
      </w:r>
      <w:r w:rsidRPr="00181FCD">
        <w:t>complementó</w:t>
      </w:r>
      <w:r w:rsidR="00F373A3" w:rsidRPr="00181FCD">
        <w:t xml:space="preserve"> </w:t>
      </w:r>
      <w:r w:rsidRPr="00181FCD">
        <w:t>Ley</w:t>
      </w:r>
      <w:r w:rsidR="00F373A3" w:rsidRPr="00181FCD">
        <w:t xml:space="preserve"> </w:t>
      </w:r>
      <w:r w:rsidRPr="00181FCD">
        <w:t>de</w:t>
      </w:r>
      <w:r w:rsidR="00F373A3" w:rsidRPr="00181FCD">
        <w:t xml:space="preserve"> </w:t>
      </w:r>
      <w:r w:rsidRPr="00181FCD">
        <w:t>Asistencia</w:t>
      </w:r>
      <w:r w:rsidR="00F373A3" w:rsidRPr="00181FCD">
        <w:t xml:space="preserve"> </w:t>
      </w:r>
      <w:r w:rsidRPr="00181FCD">
        <w:t>Jurídica.</w:t>
      </w:r>
      <w:r w:rsidR="00F373A3" w:rsidRPr="00181FCD">
        <w:t xml:space="preserve"> </w:t>
      </w:r>
      <w:r w:rsidRPr="00181FCD">
        <w:t>En</w:t>
      </w:r>
      <w:r w:rsidR="00F373A3" w:rsidRPr="00181FCD">
        <w:t xml:space="preserve"> </w:t>
      </w:r>
      <w:r w:rsidRPr="00181FCD">
        <w:t>consecuencia,</w:t>
      </w:r>
      <w:r w:rsidR="00F373A3" w:rsidRPr="00181FCD">
        <w:t xml:space="preserve"> </w:t>
      </w:r>
      <w:r w:rsidRPr="00181FCD">
        <w:t>se</w:t>
      </w:r>
      <w:r w:rsidR="00F373A3" w:rsidRPr="00181FCD">
        <w:t xml:space="preserve"> </w:t>
      </w:r>
      <w:r w:rsidRPr="00181FCD">
        <w:t>amplió</w:t>
      </w:r>
      <w:r w:rsidR="00F373A3" w:rsidRPr="00181FCD">
        <w:t xml:space="preserve"> </w:t>
      </w:r>
      <w:r w:rsidRPr="00181FCD">
        <w:t>el</w:t>
      </w:r>
      <w:r w:rsidR="00F373A3" w:rsidRPr="00181FCD">
        <w:t xml:space="preserve"> </w:t>
      </w:r>
      <w:r w:rsidRPr="00181FCD">
        <w:t>ámbito</w:t>
      </w:r>
      <w:r w:rsidR="00F373A3" w:rsidRPr="00181FCD">
        <w:t xml:space="preserve"> </w:t>
      </w:r>
      <w:r w:rsidRPr="00181FCD">
        <w:t>de</w:t>
      </w:r>
      <w:r w:rsidR="00F373A3" w:rsidRPr="00181FCD">
        <w:t xml:space="preserve"> </w:t>
      </w:r>
      <w:r w:rsidRPr="00181FCD">
        <w:t>los</w:t>
      </w:r>
      <w:r w:rsidR="00F373A3" w:rsidRPr="00181FCD">
        <w:t xml:space="preserve"> </w:t>
      </w:r>
      <w:r w:rsidRPr="00181FCD">
        <w:t>grupos</w:t>
      </w:r>
      <w:r w:rsidR="00F373A3" w:rsidRPr="00181FCD">
        <w:t xml:space="preserve"> </w:t>
      </w:r>
      <w:r w:rsidRPr="00181FCD">
        <w:t>socialmente</w:t>
      </w:r>
      <w:r w:rsidR="00F373A3" w:rsidRPr="00181FCD">
        <w:t xml:space="preserve"> </w:t>
      </w:r>
      <w:r w:rsidRPr="00181FCD">
        <w:t>desfavorecidos</w:t>
      </w:r>
      <w:r w:rsidR="00F373A3" w:rsidRPr="00181FCD">
        <w:t xml:space="preserve"> </w:t>
      </w:r>
      <w:r w:rsidRPr="00181FCD">
        <w:t>con</w:t>
      </w:r>
      <w:r w:rsidR="00F373A3" w:rsidRPr="00181FCD">
        <w:t xml:space="preserve"> </w:t>
      </w:r>
      <w:r w:rsidRPr="00181FCD">
        <w:t>un</w:t>
      </w:r>
      <w:r w:rsidR="00F373A3" w:rsidRPr="00181FCD">
        <w:t xml:space="preserve"> </w:t>
      </w:r>
      <w:r w:rsidRPr="00181FCD">
        <w:t>acceso</w:t>
      </w:r>
      <w:r w:rsidR="00F373A3" w:rsidRPr="00181FCD">
        <w:t xml:space="preserve"> </w:t>
      </w:r>
      <w:r w:rsidRPr="00181FCD">
        <w:t>efectivo</w:t>
      </w:r>
      <w:r w:rsidR="00F373A3" w:rsidRPr="00181FCD">
        <w:t xml:space="preserve"> </w:t>
      </w:r>
      <w:r w:rsidRPr="00181FCD">
        <w:t>a</w:t>
      </w:r>
      <w:r w:rsidR="00F373A3" w:rsidRPr="00181FCD">
        <w:t xml:space="preserve"> </w:t>
      </w:r>
      <w:r w:rsidRPr="00181FCD">
        <w:t>la</w:t>
      </w:r>
      <w:r w:rsidR="00F373A3" w:rsidRPr="00181FCD">
        <w:t xml:space="preserve"> </w:t>
      </w:r>
      <w:r w:rsidRPr="00181FCD">
        <w:t>justicia.</w:t>
      </w:r>
      <w:r w:rsidR="00F373A3" w:rsidRPr="00181FCD">
        <w:t xml:space="preserve"> </w:t>
      </w:r>
      <w:r w:rsidRPr="00181FCD">
        <w:t>Además</w:t>
      </w:r>
      <w:r w:rsidR="00F373A3" w:rsidRPr="00181FCD">
        <w:t xml:space="preserve"> </w:t>
      </w:r>
      <w:r w:rsidRPr="00181FCD">
        <w:t>de</w:t>
      </w:r>
      <w:r w:rsidR="00F373A3" w:rsidRPr="00181FCD">
        <w:t xml:space="preserve"> </w:t>
      </w:r>
      <w:r w:rsidRPr="00181FCD">
        <w:t>las</w:t>
      </w:r>
      <w:r w:rsidR="00F373A3" w:rsidRPr="00181FCD">
        <w:t xml:space="preserve"> </w:t>
      </w:r>
      <w:r w:rsidRPr="00181FCD">
        <w:t>personas</w:t>
      </w:r>
      <w:r w:rsidR="00F373A3" w:rsidRPr="00181FCD">
        <w:t xml:space="preserve"> </w:t>
      </w:r>
      <w:r w:rsidRPr="00181FCD">
        <w:t>en</w:t>
      </w:r>
      <w:r w:rsidR="00F373A3" w:rsidRPr="00181FCD">
        <w:t xml:space="preserve"> </w:t>
      </w:r>
      <w:r w:rsidRPr="00181FCD">
        <w:t>situación</w:t>
      </w:r>
      <w:r w:rsidR="00F373A3" w:rsidRPr="00181FCD">
        <w:t xml:space="preserve"> </w:t>
      </w:r>
      <w:r w:rsidRPr="00181FCD">
        <w:t>de</w:t>
      </w:r>
      <w:r w:rsidR="00F373A3" w:rsidRPr="00181FCD">
        <w:t xml:space="preserve"> </w:t>
      </w:r>
      <w:r w:rsidRPr="00181FCD">
        <w:t>pobreza</w:t>
      </w:r>
      <w:r w:rsidR="00F373A3" w:rsidRPr="00181FCD">
        <w:t xml:space="preserve"> </w:t>
      </w:r>
      <w:r w:rsidRPr="00181FCD">
        <w:t>extrema,</w:t>
      </w:r>
      <w:r w:rsidR="00F373A3" w:rsidRPr="00181FCD">
        <w:t xml:space="preserve"> </w:t>
      </w:r>
      <w:r w:rsidRPr="00181FCD">
        <w:t>los</w:t>
      </w:r>
      <w:r w:rsidR="00F373A3" w:rsidRPr="00181FCD">
        <w:t xml:space="preserve"> </w:t>
      </w:r>
      <w:r w:rsidRPr="00181FCD">
        <w:t>niños</w:t>
      </w:r>
      <w:r w:rsidR="00F373A3" w:rsidRPr="00181FCD">
        <w:t xml:space="preserve"> </w:t>
      </w:r>
      <w:r w:rsidRPr="00181FCD">
        <w:t>expuestos</w:t>
      </w:r>
      <w:r w:rsidR="00F373A3" w:rsidRPr="00181FCD">
        <w:t xml:space="preserve"> </w:t>
      </w:r>
      <w:r w:rsidRPr="00181FCD">
        <w:t>a</w:t>
      </w:r>
      <w:r w:rsidR="00F373A3" w:rsidRPr="00181FCD">
        <w:t xml:space="preserve"> </w:t>
      </w:r>
      <w:r w:rsidRPr="00181FCD">
        <w:t>riesgo,</w:t>
      </w:r>
      <w:r w:rsidR="00F373A3" w:rsidRPr="00181FCD">
        <w:t xml:space="preserve"> </w:t>
      </w:r>
      <w:r w:rsidRPr="00181FCD">
        <w:t>las</w:t>
      </w:r>
      <w:r w:rsidR="00F373A3" w:rsidRPr="00181FCD">
        <w:t xml:space="preserve"> </w:t>
      </w:r>
      <w:r w:rsidRPr="00181FCD">
        <w:t>víctimas</w:t>
      </w:r>
      <w:r w:rsidR="00F373A3" w:rsidRPr="00181FCD">
        <w:t xml:space="preserve"> </w:t>
      </w:r>
      <w:r w:rsidRPr="00181FCD">
        <w:t>de</w:t>
      </w:r>
      <w:r w:rsidR="00F373A3" w:rsidRPr="00181FCD">
        <w:t xml:space="preserve"> </w:t>
      </w:r>
      <w:r w:rsidRPr="00181FCD">
        <w:t>violencia</w:t>
      </w:r>
      <w:r w:rsidR="00F373A3" w:rsidRPr="00181FCD">
        <w:t xml:space="preserve"> </w:t>
      </w:r>
      <w:r w:rsidRPr="00181FCD">
        <w:t>doméstica</w:t>
      </w:r>
      <w:r w:rsidR="00F373A3" w:rsidRPr="00181FCD">
        <w:t xml:space="preserve"> </w:t>
      </w:r>
      <w:r w:rsidRPr="00181FCD">
        <w:t>o</w:t>
      </w:r>
      <w:r w:rsidR="00F373A3" w:rsidRPr="00181FCD">
        <w:t xml:space="preserve"> </w:t>
      </w:r>
      <w:r w:rsidRPr="00181FCD">
        <w:t>sexual</w:t>
      </w:r>
      <w:r w:rsidR="00F373A3" w:rsidRPr="00181FCD">
        <w:t xml:space="preserve"> </w:t>
      </w:r>
      <w:r w:rsidRPr="00181FCD">
        <w:t>o</w:t>
      </w:r>
      <w:r w:rsidR="00F373A3" w:rsidRPr="00181FCD">
        <w:t xml:space="preserve"> </w:t>
      </w:r>
      <w:r w:rsidRPr="00181FCD">
        <w:t>la</w:t>
      </w:r>
      <w:r w:rsidR="00F373A3" w:rsidRPr="00181FCD">
        <w:t xml:space="preserve"> </w:t>
      </w:r>
      <w:r w:rsidRPr="00181FCD">
        <w:t>trata</w:t>
      </w:r>
      <w:r w:rsidR="00F373A3" w:rsidRPr="00181FCD">
        <w:t xml:space="preserve"> </w:t>
      </w:r>
      <w:r w:rsidRPr="00181FCD">
        <w:t>de</w:t>
      </w:r>
      <w:r w:rsidR="00F373A3" w:rsidRPr="00181FCD">
        <w:t xml:space="preserve"> </w:t>
      </w:r>
      <w:r w:rsidRPr="00181FCD">
        <w:t>seres</w:t>
      </w:r>
      <w:r w:rsidR="00F373A3" w:rsidRPr="00181FCD">
        <w:t xml:space="preserve"> </w:t>
      </w:r>
      <w:r w:rsidRPr="00181FCD">
        <w:t>humanos,</w:t>
      </w:r>
      <w:r w:rsidR="00F373A3" w:rsidRPr="00181FCD">
        <w:t xml:space="preserve"> </w:t>
      </w:r>
      <w:r w:rsidRPr="00181FCD">
        <w:t>se</w:t>
      </w:r>
      <w:r w:rsidR="00F373A3" w:rsidRPr="00181FCD">
        <w:t xml:space="preserve"> </w:t>
      </w:r>
      <w:r w:rsidRPr="00181FCD">
        <w:t>incluyó</w:t>
      </w:r>
      <w:r w:rsidR="00F373A3" w:rsidRPr="00181FCD">
        <w:t xml:space="preserve"> </w:t>
      </w:r>
      <w:r w:rsidRPr="00181FCD">
        <w:t>entre</w:t>
      </w:r>
      <w:r w:rsidR="00F373A3" w:rsidRPr="00181FCD">
        <w:t xml:space="preserve"> </w:t>
      </w:r>
      <w:r w:rsidRPr="00181FCD">
        <w:t>las</w:t>
      </w:r>
      <w:r w:rsidR="00F373A3" w:rsidRPr="00181FCD">
        <w:t xml:space="preserve"> </w:t>
      </w:r>
      <w:r w:rsidRPr="00181FCD">
        <w:t>personas</w:t>
      </w:r>
      <w:r w:rsidR="00F373A3" w:rsidRPr="00181FCD">
        <w:t xml:space="preserve"> </w:t>
      </w:r>
      <w:r w:rsidRPr="00181FCD">
        <w:t>que</w:t>
      </w:r>
      <w:r w:rsidR="00F373A3" w:rsidRPr="00181FCD">
        <w:t xml:space="preserve"> </w:t>
      </w:r>
      <w:r w:rsidRPr="00181FCD">
        <w:t>tienen</w:t>
      </w:r>
      <w:r w:rsidR="00F373A3" w:rsidRPr="00181FCD">
        <w:t xml:space="preserve"> </w:t>
      </w:r>
      <w:r w:rsidRPr="00181FCD">
        <w:t>derecho</w:t>
      </w:r>
      <w:r w:rsidR="00F373A3" w:rsidRPr="00181FCD">
        <w:t xml:space="preserve"> </w:t>
      </w:r>
      <w:r w:rsidRPr="00181FCD">
        <w:t>a</w:t>
      </w:r>
      <w:r w:rsidR="00F373A3" w:rsidRPr="00181FCD">
        <w:t xml:space="preserve"> </w:t>
      </w:r>
      <w:r w:rsidRPr="00181FCD">
        <w:t>la</w:t>
      </w:r>
      <w:r w:rsidR="00F373A3" w:rsidRPr="00181FCD">
        <w:t xml:space="preserve"> </w:t>
      </w:r>
      <w:r w:rsidRPr="00181FCD">
        <w:t>asistencia</w:t>
      </w:r>
      <w:r w:rsidR="00F373A3" w:rsidRPr="00181FCD">
        <w:t xml:space="preserve"> </w:t>
      </w:r>
      <w:r w:rsidRPr="00181FCD">
        <w:t>jurídica</w:t>
      </w:r>
      <w:r w:rsidR="00F373A3" w:rsidRPr="00181FCD">
        <w:t xml:space="preserve"> </w:t>
      </w:r>
      <w:r w:rsidRPr="00181FCD">
        <w:t>a</w:t>
      </w:r>
      <w:r w:rsidR="00F373A3" w:rsidRPr="00181FCD">
        <w:t xml:space="preserve"> </w:t>
      </w:r>
      <w:r w:rsidRPr="00181FCD">
        <w:t>los</w:t>
      </w:r>
      <w:r w:rsidR="00F373A3" w:rsidRPr="00181FCD">
        <w:t xml:space="preserve"> </w:t>
      </w:r>
      <w:r w:rsidRPr="00181FCD">
        <w:t>solicitantes</w:t>
      </w:r>
      <w:r w:rsidR="00F373A3" w:rsidRPr="00181FCD">
        <w:t xml:space="preserve"> </w:t>
      </w:r>
      <w:r w:rsidRPr="00181FCD">
        <w:t>de</w:t>
      </w:r>
      <w:r w:rsidR="00F373A3" w:rsidRPr="00181FCD">
        <w:t xml:space="preserve"> </w:t>
      </w:r>
      <w:r w:rsidRPr="00181FCD">
        <w:t>protección</w:t>
      </w:r>
      <w:r w:rsidR="00F373A3" w:rsidRPr="00181FCD">
        <w:t xml:space="preserve"> </w:t>
      </w:r>
      <w:r w:rsidRPr="00181FCD">
        <w:t>internacional</w:t>
      </w:r>
      <w:r w:rsidR="00F373A3" w:rsidRPr="00181FCD">
        <w:t xml:space="preserve"> </w:t>
      </w:r>
      <w:r w:rsidRPr="00181FCD">
        <w:t>y</w:t>
      </w:r>
      <w:r w:rsidR="00F373A3" w:rsidRPr="00181FCD">
        <w:t xml:space="preserve"> </w:t>
      </w:r>
      <w:r w:rsidRPr="00181FCD">
        <w:t>a</w:t>
      </w:r>
      <w:r w:rsidR="00F373A3" w:rsidRPr="00181FCD">
        <w:t xml:space="preserve"> </w:t>
      </w:r>
      <w:r w:rsidRPr="00181FCD">
        <w:t>ciertas</w:t>
      </w:r>
      <w:r w:rsidR="00F373A3" w:rsidRPr="00181FCD">
        <w:t xml:space="preserve"> </w:t>
      </w:r>
      <w:r w:rsidRPr="00181FCD">
        <w:t>categorías</w:t>
      </w:r>
      <w:r w:rsidR="00F373A3" w:rsidRPr="00181FCD">
        <w:t xml:space="preserve"> </w:t>
      </w:r>
      <w:r w:rsidRPr="00181FCD">
        <w:t>de</w:t>
      </w:r>
      <w:r w:rsidR="00F373A3" w:rsidRPr="00181FCD">
        <w:t xml:space="preserve"> </w:t>
      </w:r>
      <w:r w:rsidRPr="00181FCD">
        <w:t>extranjeros.</w:t>
      </w:r>
      <w:r w:rsidR="00F373A3" w:rsidRPr="00181FCD">
        <w:t xml:space="preserve"> </w:t>
      </w:r>
      <w:r w:rsidRPr="00181FCD">
        <w:t>La</w:t>
      </w:r>
      <w:r w:rsidR="00F373A3" w:rsidRPr="00181FCD">
        <w:t xml:space="preserve"> </w:t>
      </w:r>
      <w:r w:rsidRPr="00181FCD">
        <w:t>modificación</w:t>
      </w:r>
      <w:r w:rsidR="00F373A3" w:rsidRPr="00181FCD">
        <w:t xml:space="preserve"> </w:t>
      </w:r>
      <w:r w:rsidRPr="00181FCD">
        <w:t>es</w:t>
      </w:r>
      <w:r w:rsidR="00F373A3" w:rsidRPr="00181FCD">
        <w:t xml:space="preserve"> </w:t>
      </w:r>
      <w:r w:rsidRPr="00181FCD">
        <w:t>conforme</w:t>
      </w:r>
      <w:r w:rsidR="00F373A3" w:rsidRPr="00181FCD">
        <w:t xml:space="preserve"> </w:t>
      </w:r>
      <w:r w:rsidRPr="00181FCD">
        <w:t>a</w:t>
      </w:r>
      <w:r w:rsidR="00F373A3" w:rsidRPr="00181FCD">
        <w:t xml:space="preserve"> </w:t>
      </w:r>
      <w:r w:rsidRPr="00181FCD">
        <w:t>los</w:t>
      </w:r>
      <w:r w:rsidR="00F373A3" w:rsidRPr="00181FCD">
        <w:t xml:space="preserve"> </w:t>
      </w:r>
      <w:r w:rsidRPr="00181FCD">
        <w:t>principios</w:t>
      </w:r>
      <w:r w:rsidR="00F373A3" w:rsidRPr="00181FCD">
        <w:t xml:space="preserve"> </w:t>
      </w:r>
      <w:r w:rsidRPr="00181FCD">
        <w:t>y</w:t>
      </w:r>
      <w:r w:rsidR="00F373A3" w:rsidRPr="00181FCD">
        <w:t xml:space="preserve"> </w:t>
      </w:r>
      <w:r w:rsidRPr="00181FCD">
        <w:t>directrices</w:t>
      </w:r>
      <w:r w:rsidR="00F373A3" w:rsidRPr="00181FCD">
        <w:t xml:space="preserve"> </w:t>
      </w:r>
      <w:r w:rsidRPr="00181FCD">
        <w:t>que</w:t>
      </w:r>
      <w:r w:rsidR="00F373A3" w:rsidRPr="00181FCD">
        <w:t xml:space="preserve"> </w:t>
      </w:r>
      <w:r w:rsidRPr="00181FCD">
        <w:t>sustentan</w:t>
      </w:r>
      <w:r w:rsidR="00F373A3" w:rsidRPr="00181FCD">
        <w:t xml:space="preserve"> </w:t>
      </w:r>
      <w:r w:rsidRPr="00181FCD">
        <w:t>el</w:t>
      </w:r>
      <w:r w:rsidR="00F373A3" w:rsidRPr="00181FCD">
        <w:t xml:space="preserve"> </w:t>
      </w:r>
      <w:r w:rsidRPr="00181FCD">
        <w:t>acceso</w:t>
      </w:r>
      <w:r w:rsidR="00F373A3" w:rsidRPr="00181FCD">
        <w:t xml:space="preserve"> </w:t>
      </w:r>
      <w:r w:rsidRPr="00181FCD">
        <w:t>a</w:t>
      </w:r>
      <w:r w:rsidR="00F373A3" w:rsidRPr="00181FCD">
        <w:t xml:space="preserve"> </w:t>
      </w:r>
      <w:r w:rsidRPr="00181FCD">
        <w:t>la</w:t>
      </w:r>
      <w:r w:rsidR="00F373A3" w:rsidRPr="00181FCD">
        <w:t xml:space="preserve"> </w:t>
      </w:r>
      <w:r w:rsidRPr="00181FCD">
        <w:t>asistencia</w:t>
      </w:r>
      <w:r w:rsidR="00F373A3" w:rsidRPr="00181FCD">
        <w:t xml:space="preserve"> </w:t>
      </w:r>
      <w:r w:rsidRPr="00181FCD">
        <w:t>jurídica</w:t>
      </w:r>
      <w:r w:rsidR="00F373A3" w:rsidRPr="00181FCD">
        <w:t xml:space="preserve"> </w:t>
      </w:r>
      <w:r w:rsidRPr="00181FCD">
        <w:t>a</w:t>
      </w:r>
      <w:r w:rsidR="00F373A3" w:rsidRPr="00181FCD">
        <w:t xml:space="preserve"> </w:t>
      </w:r>
      <w:r w:rsidRPr="00181FCD">
        <w:t>nivel</w:t>
      </w:r>
      <w:r w:rsidR="00F373A3" w:rsidRPr="00181FCD">
        <w:t xml:space="preserve"> </w:t>
      </w:r>
      <w:r w:rsidRPr="00181FCD">
        <w:t>nacional</w:t>
      </w:r>
      <w:r w:rsidR="00F373A3" w:rsidRPr="00181FCD">
        <w:t xml:space="preserve"> </w:t>
      </w:r>
      <w:r w:rsidRPr="00181FCD">
        <w:t>y</w:t>
      </w:r>
      <w:r w:rsidR="00F373A3" w:rsidRPr="00181FCD">
        <w:t xml:space="preserve"> </w:t>
      </w:r>
      <w:r w:rsidRPr="00181FCD">
        <w:t>europeo.</w:t>
      </w:r>
      <w:r w:rsidR="00F373A3" w:rsidRPr="00181FCD">
        <w:t xml:space="preserve"> </w:t>
      </w:r>
      <w:r w:rsidRPr="00181FCD">
        <w:t>Se</w:t>
      </w:r>
      <w:r w:rsidR="00F373A3" w:rsidRPr="00181FCD">
        <w:t xml:space="preserve"> </w:t>
      </w:r>
      <w:r w:rsidRPr="00181FCD">
        <w:t>ajustó</w:t>
      </w:r>
      <w:r w:rsidR="00F373A3" w:rsidRPr="00181FCD">
        <w:t xml:space="preserve"> </w:t>
      </w:r>
      <w:r w:rsidRPr="00181FCD">
        <w:t>la</w:t>
      </w:r>
      <w:r w:rsidR="00F373A3" w:rsidRPr="00181FCD">
        <w:t xml:space="preserve"> </w:t>
      </w:r>
      <w:r w:rsidRPr="00181FCD">
        <w:t>legislación</w:t>
      </w:r>
      <w:r w:rsidR="00F373A3" w:rsidRPr="00181FCD">
        <w:t xml:space="preserve"> </w:t>
      </w:r>
      <w:r w:rsidRPr="00181FCD">
        <w:t>búlgara</w:t>
      </w:r>
      <w:r w:rsidR="00F373A3" w:rsidRPr="00181FCD">
        <w:t xml:space="preserve"> </w:t>
      </w:r>
      <w:r w:rsidRPr="00181FCD">
        <w:t>en</w:t>
      </w:r>
      <w:r w:rsidR="00F373A3" w:rsidRPr="00181FCD">
        <w:t xml:space="preserve"> </w:t>
      </w:r>
      <w:r w:rsidRPr="00181FCD">
        <w:t>conformidad</w:t>
      </w:r>
      <w:r w:rsidR="00F373A3" w:rsidRPr="00181FCD">
        <w:t xml:space="preserve"> </w:t>
      </w:r>
      <w:r w:rsidRPr="00181FCD">
        <w:t>con</w:t>
      </w:r>
      <w:r w:rsidR="00F373A3" w:rsidRPr="00181FCD">
        <w:t xml:space="preserve"> </w:t>
      </w:r>
      <w:r w:rsidRPr="00181FCD">
        <w:t>las</w:t>
      </w:r>
      <w:r w:rsidR="00F373A3" w:rsidRPr="00181FCD">
        <w:t xml:space="preserve"> </w:t>
      </w:r>
      <w:r w:rsidRPr="00181FCD">
        <w:t>normas</w:t>
      </w:r>
      <w:r w:rsidR="00F373A3" w:rsidRPr="00181FCD">
        <w:t xml:space="preserve"> </w:t>
      </w:r>
      <w:r w:rsidRPr="00181FCD">
        <w:t>y</w:t>
      </w:r>
      <w:r w:rsidR="00F373A3" w:rsidRPr="00181FCD">
        <w:t xml:space="preserve"> </w:t>
      </w:r>
      <w:r w:rsidRPr="00181FCD">
        <w:t>disposiciones</w:t>
      </w:r>
      <w:r w:rsidR="00F373A3" w:rsidRPr="00181FCD">
        <w:t xml:space="preserve"> </w:t>
      </w:r>
      <w:r w:rsidRPr="00181FCD">
        <w:t>europeas</w:t>
      </w:r>
      <w:r w:rsidR="00F373A3" w:rsidRPr="00181FCD">
        <w:t xml:space="preserve"> </w:t>
      </w:r>
      <w:r w:rsidRPr="00181FCD">
        <w:t>y,</w:t>
      </w:r>
      <w:r w:rsidR="00F373A3" w:rsidRPr="00181FCD">
        <w:t xml:space="preserve"> </w:t>
      </w:r>
      <w:r w:rsidRPr="00181FCD">
        <w:t>en</w:t>
      </w:r>
      <w:r w:rsidR="00F373A3" w:rsidRPr="00181FCD">
        <w:t xml:space="preserve"> </w:t>
      </w:r>
      <w:r w:rsidRPr="00181FCD">
        <w:t>particular,</w:t>
      </w:r>
      <w:r w:rsidR="00F373A3" w:rsidRPr="00181FCD">
        <w:t xml:space="preserve"> </w:t>
      </w:r>
      <w:r w:rsidRPr="00181FCD">
        <w:t>con</w:t>
      </w:r>
      <w:r w:rsidR="00F373A3" w:rsidRPr="00181FCD">
        <w:t xml:space="preserve"> </w:t>
      </w:r>
      <w:r w:rsidRPr="00181FCD">
        <w:t>el</w:t>
      </w:r>
      <w:r w:rsidR="00F373A3" w:rsidRPr="00181FCD">
        <w:t xml:space="preserve"> </w:t>
      </w:r>
      <w:r w:rsidRPr="00181FCD">
        <w:t>artículo</w:t>
      </w:r>
      <w:r w:rsidR="00F373A3" w:rsidRPr="00181FCD">
        <w:t xml:space="preserve"> </w:t>
      </w:r>
      <w:r w:rsidRPr="00181FCD">
        <w:t>6,</w:t>
      </w:r>
      <w:r w:rsidR="00F373A3" w:rsidRPr="00181FCD">
        <w:t xml:space="preserve"> </w:t>
      </w:r>
      <w:r w:rsidRPr="00181FCD">
        <w:t>párrafo</w:t>
      </w:r>
      <w:r w:rsidR="00F373A3" w:rsidRPr="00181FCD">
        <w:t xml:space="preserve"> </w:t>
      </w:r>
      <w:r w:rsidRPr="00181FCD">
        <w:t>3,</w:t>
      </w:r>
      <w:r w:rsidR="00F373A3" w:rsidRPr="00181FCD">
        <w:t xml:space="preserve"> </w:t>
      </w:r>
      <w:r w:rsidRPr="00181FCD">
        <w:t>apartado</w:t>
      </w:r>
      <w:r w:rsidR="00F373A3" w:rsidRPr="00181FCD">
        <w:t xml:space="preserve"> </w:t>
      </w:r>
      <w:r w:rsidRPr="00181FCD">
        <w:t>c)</w:t>
      </w:r>
      <w:r w:rsidR="00F373A3" w:rsidRPr="00181FCD">
        <w:t xml:space="preserve"> </w:t>
      </w:r>
      <w:r w:rsidRPr="00181FCD">
        <w:t>del</w:t>
      </w:r>
      <w:r w:rsidR="00F373A3" w:rsidRPr="00181FCD">
        <w:t xml:space="preserve"> </w:t>
      </w:r>
      <w:r w:rsidRPr="00181FCD">
        <w:t>Convenio</w:t>
      </w:r>
      <w:r w:rsidR="00F373A3" w:rsidRPr="00181FCD">
        <w:t xml:space="preserve"> </w:t>
      </w:r>
      <w:r w:rsidRPr="00181FCD">
        <w:t>Europeo</w:t>
      </w:r>
      <w:r w:rsidR="00F373A3" w:rsidRPr="00181FCD">
        <w:t xml:space="preserve"> </w:t>
      </w:r>
      <w:r w:rsidRPr="00181FCD">
        <w:t>para</w:t>
      </w:r>
      <w:r w:rsidR="00F373A3" w:rsidRPr="00181FCD">
        <w:t xml:space="preserve"> </w:t>
      </w:r>
      <w:r w:rsidRPr="00181FCD">
        <w:t>la</w:t>
      </w:r>
      <w:r w:rsidR="00F373A3" w:rsidRPr="00181FCD">
        <w:t xml:space="preserve"> </w:t>
      </w:r>
      <w:r w:rsidRPr="00181FCD">
        <w:t>Protección</w:t>
      </w:r>
      <w:r w:rsidR="00F373A3" w:rsidRPr="00181FCD">
        <w:t xml:space="preserve"> </w:t>
      </w:r>
      <w:r w:rsidRPr="00181FCD">
        <w:t>de</w:t>
      </w:r>
      <w:r w:rsidR="00F373A3" w:rsidRPr="00181FCD">
        <w:t xml:space="preserve"> </w:t>
      </w:r>
      <w:r w:rsidRPr="00181FCD">
        <w:t>los</w:t>
      </w:r>
      <w:r w:rsidR="00F373A3" w:rsidRPr="00181FCD">
        <w:t xml:space="preserve"> </w:t>
      </w:r>
      <w:r w:rsidRPr="00181FCD">
        <w:t>Derechos</w:t>
      </w:r>
      <w:r w:rsidR="00F373A3" w:rsidRPr="00181FCD">
        <w:t xml:space="preserve"> </w:t>
      </w:r>
      <w:r w:rsidRPr="00181FCD">
        <w:t>Humanos</w:t>
      </w:r>
      <w:r w:rsidR="00F373A3" w:rsidRPr="00181FCD">
        <w:t xml:space="preserve"> </w:t>
      </w:r>
      <w:r w:rsidRPr="00181FCD">
        <w:t>y</w:t>
      </w:r>
      <w:r w:rsidR="00F373A3" w:rsidRPr="00181FCD">
        <w:t xml:space="preserve"> </w:t>
      </w:r>
      <w:r w:rsidRPr="00181FCD">
        <w:t>de</w:t>
      </w:r>
      <w:r w:rsidR="00F373A3" w:rsidRPr="00181FCD">
        <w:t xml:space="preserve"> </w:t>
      </w:r>
      <w:r w:rsidRPr="00181FCD">
        <w:t>las</w:t>
      </w:r>
      <w:r w:rsidR="00F373A3" w:rsidRPr="00181FCD">
        <w:t xml:space="preserve"> </w:t>
      </w:r>
      <w:r w:rsidRPr="00181FCD">
        <w:t>Libertades</w:t>
      </w:r>
      <w:r w:rsidR="00F373A3" w:rsidRPr="00181FCD">
        <w:t xml:space="preserve"> </w:t>
      </w:r>
      <w:r w:rsidRPr="00181FCD">
        <w:t>Fundamentales.</w:t>
      </w:r>
      <w:r w:rsidR="00F373A3" w:rsidRPr="00181FCD">
        <w:t xml:space="preserve"> </w:t>
      </w:r>
      <w:r w:rsidRPr="00181FCD">
        <w:t>En</w:t>
      </w:r>
      <w:r w:rsidR="00F373A3" w:rsidRPr="00181FCD">
        <w:t xml:space="preserve"> </w:t>
      </w:r>
      <w:r w:rsidRPr="00181FCD">
        <w:t>esa</w:t>
      </w:r>
      <w:r w:rsidR="00F373A3" w:rsidRPr="00181FCD">
        <w:t xml:space="preserve"> </w:t>
      </w:r>
      <w:r w:rsidRPr="00181FCD">
        <w:t>disposición</w:t>
      </w:r>
      <w:r w:rsidR="00F373A3" w:rsidRPr="00181FCD">
        <w:t xml:space="preserve"> </w:t>
      </w:r>
      <w:r w:rsidRPr="00181FCD">
        <w:t>se</w:t>
      </w:r>
      <w:r w:rsidR="00F373A3" w:rsidRPr="00181FCD">
        <w:t xml:space="preserve"> </w:t>
      </w:r>
      <w:r w:rsidRPr="00181FCD">
        <w:t>especifican</w:t>
      </w:r>
      <w:r w:rsidR="00F373A3" w:rsidRPr="00181FCD">
        <w:t xml:space="preserve"> </w:t>
      </w:r>
      <w:r w:rsidRPr="00181FCD">
        <w:t>explícitamente</w:t>
      </w:r>
      <w:r w:rsidR="00F373A3" w:rsidRPr="00181FCD">
        <w:t xml:space="preserve"> </w:t>
      </w:r>
      <w:r w:rsidRPr="00181FCD">
        <w:t>las</w:t>
      </w:r>
      <w:r w:rsidR="00F373A3" w:rsidRPr="00181FCD">
        <w:t xml:space="preserve"> </w:t>
      </w:r>
      <w:r w:rsidRPr="00181FCD">
        <w:t>categorías</w:t>
      </w:r>
      <w:r w:rsidR="00F373A3" w:rsidRPr="00181FCD">
        <w:t xml:space="preserve"> </w:t>
      </w:r>
      <w:r w:rsidRPr="00181FCD">
        <w:t>de</w:t>
      </w:r>
      <w:r w:rsidR="00F373A3" w:rsidRPr="00181FCD">
        <w:t xml:space="preserve"> </w:t>
      </w:r>
      <w:r w:rsidRPr="00181FCD">
        <w:t>personas</w:t>
      </w:r>
      <w:r w:rsidR="00F373A3" w:rsidRPr="00181FCD">
        <w:t xml:space="preserve"> </w:t>
      </w:r>
      <w:r w:rsidRPr="00181FCD">
        <w:t>que</w:t>
      </w:r>
      <w:r w:rsidR="00F373A3" w:rsidRPr="00181FCD">
        <w:t xml:space="preserve"> </w:t>
      </w:r>
      <w:r w:rsidRPr="00181FCD">
        <w:t>tienen</w:t>
      </w:r>
      <w:r w:rsidR="00F373A3" w:rsidRPr="00181FCD">
        <w:t xml:space="preserve"> </w:t>
      </w:r>
      <w:r w:rsidRPr="00181FCD">
        <w:t>derecho</w:t>
      </w:r>
      <w:r w:rsidR="00F373A3" w:rsidRPr="00181FCD">
        <w:t xml:space="preserve"> </w:t>
      </w:r>
      <w:r w:rsidRPr="00181FCD">
        <w:t>a</w:t>
      </w:r>
      <w:r w:rsidR="00F373A3" w:rsidRPr="00181FCD">
        <w:t xml:space="preserve"> </w:t>
      </w:r>
      <w:r w:rsidRPr="00181FCD">
        <w:t>disfrutar</w:t>
      </w:r>
      <w:r w:rsidR="00F373A3" w:rsidRPr="00181FCD">
        <w:t xml:space="preserve"> </w:t>
      </w:r>
      <w:r w:rsidRPr="00181FCD">
        <w:t>de</w:t>
      </w:r>
      <w:r w:rsidR="00F373A3" w:rsidRPr="00181FCD">
        <w:t xml:space="preserve"> </w:t>
      </w:r>
      <w:r w:rsidRPr="00181FCD">
        <w:t>asistencia</w:t>
      </w:r>
      <w:r w:rsidR="00F373A3" w:rsidRPr="00181FCD">
        <w:t xml:space="preserve"> </w:t>
      </w:r>
      <w:r w:rsidRPr="00181FCD">
        <w:t>jurídica</w:t>
      </w:r>
      <w:r w:rsidR="00F373A3" w:rsidRPr="00181FCD">
        <w:t xml:space="preserve"> </w:t>
      </w:r>
      <w:r w:rsidRPr="00181FCD">
        <w:t>gratuita.</w:t>
      </w:r>
    </w:p>
    <w:p w:rsidR="001937F4" w:rsidRPr="00181FCD" w:rsidRDefault="001937F4" w:rsidP="00347B20">
      <w:pPr>
        <w:pStyle w:val="SingleTxtG"/>
        <w:suppressAutoHyphens/>
      </w:pPr>
      <w:r w:rsidRPr="00181FCD">
        <w:t>7.</w:t>
      </w:r>
      <w:r w:rsidRPr="00181FCD">
        <w:tab/>
        <w:t>Los</w:t>
      </w:r>
      <w:r w:rsidR="00F373A3" w:rsidRPr="00181FCD">
        <w:t xml:space="preserve"> </w:t>
      </w:r>
      <w:r w:rsidRPr="00181FCD">
        <w:t>cambios</w:t>
      </w:r>
      <w:r w:rsidR="00F373A3" w:rsidRPr="00181FCD">
        <w:t xml:space="preserve"> </w:t>
      </w:r>
      <w:r w:rsidRPr="00181FCD">
        <w:t>legislativos</w:t>
      </w:r>
      <w:r w:rsidR="00F373A3" w:rsidRPr="00181FCD">
        <w:t xml:space="preserve"> </w:t>
      </w:r>
      <w:r w:rsidRPr="00181FCD">
        <w:t>introducidos</w:t>
      </w:r>
      <w:r w:rsidR="00F373A3" w:rsidRPr="00181FCD">
        <w:t xml:space="preserve"> </w:t>
      </w:r>
      <w:r w:rsidRPr="00181FCD">
        <w:t>en</w:t>
      </w:r>
      <w:r w:rsidR="00F373A3" w:rsidRPr="00181FCD">
        <w:t xml:space="preserve"> </w:t>
      </w:r>
      <w:r w:rsidRPr="00181FCD">
        <w:t>2013</w:t>
      </w:r>
      <w:r w:rsidR="00F373A3" w:rsidRPr="00181FCD">
        <w:t xml:space="preserve"> </w:t>
      </w:r>
      <w:r w:rsidRPr="00181FCD">
        <w:t>también</w:t>
      </w:r>
      <w:r w:rsidR="00F373A3" w:rsidRPr="00181FCD">
        <w:t xml:space="preserve"> </w:t>
      </w:r>
      <w:r w:rsidRPr="00181FCD">
        <w:t>fortalecieron</w:t>
      </w:r>
      <w:r w:rsidR="00F373A3" w:rsidRPr="00181FCD">
        <w:t xml:space="preserve"> </w:t>
      </w:r>
      <w:r w:rsidRPr="00181FCD">
        <w:t>aún</w:t>
      </w:r>
      <w:r w:rsidR="00F373A3" w:rsidRPr="00181FCD">
        <w:t xml:space="preserve"> </w:t>
      </w:r>
      <w:r w:rsidRPr="00181FCD">
        <w:t>más</w:t>
      </w:r>
      <w:r w:rsidR="00F373A3" w:rsidRPr="00181FCD">
        <w:t xml:space="preserve"> </w:t>
      </w:r>
      <w:r w:rsidRPr="00181FCD">
        <w:t>el</w:t>
      </w:r>
      <w:r w:rsidR="00F373A3" w:rsidRPr="00181FCD">
        <w:t xml:space="preserve"> </w:t>
      </w:r>
      <w:r w:rsidRPr="00181FCD">
        <w:t>control</w:t>
      </w:r>
      <w:r w:rsidR="00F373A3" w:rsidRPr="00181FCD">
        <w:t xml:space="preserve"> </w:t>
      </w:r>
      <w:r w:rsidRPr="00181FCD">
        <w:t>sobre</w:t>
      </w:r>
      <w:r w:rsidR="00F373A3" w:rsidRPr="00181FCD">
        <w:t xml:space="preserve"> </w:t>
      </w:r>
      <w:r w:rsidRPr="00181FCD">
        <w:t>la</w:t>
      </w:r>
      <w:r w:rsidR="00F373A3" w:rsidRPr="00181FCD">
        <w:t xml:space="preserve"> </w:t>
      </w:r>
      <w:r w:rsidRPr="00181FCD">
        <w:t>prestación</w:t>
      </w:r>
      <w:r w:rsidR="00F373A3" w:rsidRPr="00181FCD">
        <w:t xml:space="preserve"> </w:t>
      </w:r>
      <w:r w:rsidRPr="00181FCD">
        <w:t>de</w:t>
      </w:r>
      <w:r w:rsidR="00F373A3" w:rsidRPr="00181FCD">
        <w:t xml:space="preserve"> </w:t>
      </w:r>
      <w:r w:rsidRPr="00181FCD">
        <w:t>asistencia</w:t>
      </w:r>
      <w:r w:rsidR="00F373A3" w:rsidRPr="00181FCD">
        <w:t xml:space="preserve"> </w:t>
      </w:r>
      <w:r w:rsidRPr="00181FCD">
        <w:t>jurídica</w:t>
      </w:r>
      <w:r w:rsidR="00F373A3" w:rsidRPr="00181FCD">
        <w:t xml:space="preserve"> </w:t>
      </w:r>
      <w:r w:rsidRPr="00181FCD">
        <w:t>por</w:t>
      </w:r>
      <w:r w:rsidR="00F373A3" w:rsidRPr="00181FCD">
        <w:t xml:space="preserve"> </w:t>
      </w:r>
      <w:r w:rsidRPr="00181FCD">
        <w:t>asesores</w:t>
      </w:r>
      <w:r w:rsidR="00F373A3" w:rsidRPr="00181FCD">
        <w:t xml:space="preserve"> </w:t>
      </w:r>
      <w:r w:rsidRPr="00181FCD">
        <w:t>jurídicos.</w:t>
      </w:r>
      <w:r w:rsidR="00F373A3" w:rsidRPr="00181FCD">
        <w:t xml:space="preserve"> </w:t>
      </w:r>
      <w:r w:rsidRPr="00181FCD">
        <w:t>Se</w:t>
      </w:r>
      <w:r w:rsidR="00F373A3" w:rsidRPr="00181FCD">
        <w:t xml:space="preserve"> </w:t>
      </w:r>
      <w:r w:rsidRPr="00181FCD">
        <w:t>acordaron</w:t>
      </w:r>
      <w:r w:rsidR="00F373A3" w:rsidRPr="00181FCD">
        <w:t xml:space="preserve"> </w:t>
      </w:r>
      <w:r w:rsidRPr="00181FCD">
        <w:t>criterios</w:t>
      </w:r>
      <w:r w:rsidR="00F373A3" w:rsidRPr="00181FCD">
        <w:t xml:space="preserve"> </w:t>
      </w:r>
      <w:r w:rsidRPr="00181FCD">
        <w:t>y</w:t>
      </w:r>
      <w:r w:rsidR="00F373A3" w:rsidRPr="00181FCD">
        <w:t xml:space="preserve"> </w:t>
      </w:r>
      <w:r w:rsidRPr="00181FCD">
        <w:t>normas</w:t>
      </w:r>
      <w:r w:rsidR="00F373A3" w:rsidRPr="00181FCD">
        <w:t xml:space="preserve"> </w:t>
      </w:r>
      <w:r w:rsidRPr="00181FCD">
        <w:t>de</w:t>
      </w:r>
      <w:r w:rsidR="00F373A3" w:rsidRPr="00181FCD">
        <w:t xml:space="preserve"> </w:t>
      </w:r>
      <w:r w:rsidRPr="00181FCD">
        <w:t>calidad</w:t>
      </w:r>
      <w:r w:rsidR="00F373A3" w:rsidRPr="00181FCD">
        <w:t xml:space="preserve"> </w:t>
      </w:r>
      <w:r w:rsidRPr="00181FCD">
        <w:t>y</w:t>
      </w:r>
      <w:r w:rsidR="00F373A3" w:rsidRPr="00181FCD">
        <w:t xml:space="preserve"> </w:t>
      </w:r>
      <w:r w:rsidRPr="00181FCD">
        <w:t>evaluación</w:t>
      </w:r>
      <w:r w:rsidR="00F373A3" w:rsidRPr="00181FCD">
        <w:t xml:space="preserve"> </w:t>
      </w:r>
      <w:r w:rsidRPr="00181FCD">
        <w:t>de</w:t>
      </w:r>
      <w:r w:rsidR="00F373A3" w:rsidRPr="00181FCD">
        <w:t xml:space="preserve"> </w:t>
      </w:r>
      <w:r w:rsidRPr="00181FCD">
        <w:t>la</w:t>
      </w:r>
      <w:r w:rsidR="00F373A3" w:rsidRPr="00181FCD">
        <w:t xml:space="preserve"> </w:t>
      </w:r>
      <w:r w:rsidRPr="00181FCD">
        <w:t>asistencia</w:t>
      </w:r>
      <w:r w:rsidR="00F373A3" w:rsidRPr="00181FCD">
        <w:t xml:space="preserve"> </w:t>
      </w:r>
      <w:r w:rsidRPr="00181FCD">
        <w:t>jurídica</w:t>
      </w:r>
      <w:r w:rsidR="00F373A3" w:rsidRPr="00181FCD">
        <w:t xml:space="preserve"> </w:t>
      </w:r>
      <w:r w:rsidRPr="00181FCD">
        <w:t>prestada,</w:t>
      </w:r>
      <w:r w:rsidR="00F373A3" w:rsidRPr="00181FCD">
        <w:t xml:space="preserve"> </w:t>
      </w:r>
      <w:r w:rsidRPr="00181FCD">
        <w:t>en</w:t>
      </w:r>
      <w:r w:rsidR="00F373A3" w:rsidRPr="00181FCD">
        <w:t xml:space="preserve"> </w:t>
      </w:r>
      <w:r w:rsidRPr="00181FCD">
        <w:t>pie</w:t>
      </w:r>
      <w:r w:rsidR="00F373A3" w:rsidRPr="00181FCD">
        <w:t xml:space="preserve"> </w:t>
      </w:r>
      <w:r w:rsidRPr="00181FCD">
        <w:t>de</w:t>
      </w:r>
      <w:r w:rsidR="00F373A3" w:rsidRPr="00181FCD">
        <w:t xml:space="preserve"> </w:t>
      </w:r>
      <w:r w:rsidRPr="00181FCD">
        <w:t>igualdad.</w:t>
      </w:r>
      <w:r w:rsidR="00672EC2" w:rsidRPr="00181FCD">
        <w:t xml:space="preserve"> </w:t>
      </w:r>
      <w:r w:rsidRPr="00181FCD">
        <w:t>Se</w:t>
      </w:r>
      <w:r w:rsidR="00F373A3" w:rsidRPr="00181FCD">
        <w:t xml:space="preserve"> </w:t>
      </w:r>
      <w:r w:rsidRPr="00181FCD">
        <w:t>elaboraron</w:t>
      </w:r>
      <w:r w:rsidR="00F373A3" w:rsidRPr="00181FCD">
        <w:t xml:space="preserve"> </w:t>
      </w:r>
      <w:r w:rsidRPr="00181FCD">
        <w:t>manuales</w:t>
      </w:r>
      <w:r w:rsidR="00F373A3" w:rsidRPr="00181FCD">
        <w:t xml:space="preserve"> </w:t>
      </w:r>
      <w:r w:rsidRPr="00181FCD">
        <w:t>sobre</w:t>
      </w:r>
      <w:r w:rsidR="00F373A3" w:rsidRPr="00181FCD">
        <w:t xml:space="preserve"> </w:t>
      </w:r>
      <w:r w:rsidRPr="00181FCD">
        <w:t>la</w:t>
      </w:r>
      <w:r w:rsidR="00F373A3" w:rsidRPr="00181FCD">
        <w:t xml:space="preserve"> </w:t>
      </w:r>
      <w:r w:rsidRPr="00181FCD">
        <w:t>aplicación</w:t>
      </w:r>
      <w:r w:rsidR="00F373A3" w:rsidRPr="00181FCD">
        <w:t xml:space="preserve"> </w:t>
      </w:r>
      <w:r w:rsidRPr="00181FCD">
        <w:t>de</w:t>
      </w:r>
      <w:r w:rsidR="00F373A3" w:rsidRPr="00181FCD">
        <w:t xml:space="preserve"> </w:t>
      </w:r>
      <w:r w:rsidRPr="00181FCD">
        <w:t>la</w:t>
      </w:r>
      <w:r w:rsidR="00F373A3" w:rsidRPr="00181FCD">
        <w:t xml:space="preserve"> </w:t>
      </w:r>
      <w:r w:rsidRPr="00181FCD">
        <w:t>Ley</w:t>
      </w:r>
      <w:r w:rsidR="00F373A3" w:rsidRPr="00181FCD">
        <w:t xml:space="preserve"> </w:t>
      </w:r>
      <w:r w:rsidRPr="00181FCD">
        <w:t>de</w:t>
      </w:r>
      <w:r w:rsidR="00F373A3" w:rsidRPr="00181FCD">
        <w:t xml:space="preserve"> </w:t>
      </w:r>
      <w:r w:rsidRPr="00181FCD">
        <w:t>Asistencia</w:t>
      </w:r>
      <w:r w:rsidR="00F373A3" w:rsidRPr="00181FCD">
        <w:t xml:space="preserve"> </w:t>
      </w:r>
      <w:r w:rsidRPr="00181FCD">
        <w:t>Jurídica</w:t>
      </w:r>
      <w:r w:rsidR="00F373A3" w:rsidRPr="00181FCD">
        <w:t xml:space="preserve"> </w:t>
      </w:r>
      <w:r w:rsidRPr="00181FCD">
        <w:t>para</w:t>
      </w:r>
      <w:r w:rsidR="00F373A3" w:rsidRPr="00181FCD">
        <w:t xml:space="preserve"> </w:t>
      </w:r>
      <w:r w:rsidRPr="00181FCD">
        <w:t>todas</w:t>
      </w:r>
      <w:r w:rsidR="00F373A3" w:rsidRPr="00181FCD">
        <w:t xml:space="preserve"> </w:t>
      </w:r>
      <w:r w:rsidRPr="00181FCD">
        <w:t>las</w:t>
      </w:r>
      <w:r w:rsidR="00F373A3" w:rsidRPr="00181FCD">
        <w:t xml:space="preserve"> </w:t>
      </w:r>
      <w:r w:rsidRPr="00181FCD">
        <w:t>instituciones</w:t>
      </w:r>
      <w:r w:rsidR="00F373A3" w:rsidRPr="00181FCD">
        <w:t xml:space="preserve"> </w:t>
      </w:r>
      <w:r w:rsidRPr="00181FCD">
        <w:t>que</w:t>
      </w:r>
      <w:r w:rsidR="00F373A3" w:rsidRPr="00181FCD">
        <w:t xml:space="preserve"> </w:t>
      </w:r>
      <w:r w:rsidRPr="00181FCD">
        <w:t>forman</w:t>
      </w:r>
      <w:r w:rsidR="00F373A3" w:rsidRPr="00181FCD">
        <w:t xml:space="preserve"> </w:t>
      </w:r>
      <w:r w:rsidRPr="00181FCD">
        <w:t>parte</w:t>
      </w:r>
      <w:r w:rsidR="00F373A3" w:rsidRPr="00181FCD">
        <w:t xml:space="preserve"> </w:t>
      </w:r>
      <w:r w:rsidRPr="00181FCD">
        <w:t>del</w:t>
      </w:r>
      <w:r w:rsidR="00F373A3" w:rsidRPr="00181FCD">
        <w:t xml:space="preserve"> </w:t>
      </w:r>
      <w:r w:rsidRPr="00181FCD">
        <w:t>sistema</w:t>
      </w:r>
      <w:r w:rsidR="00F373A3" w:rsidRPr="00181FCD">
        <w:t xml:space="preserve"> </w:t>
      </w:r>
      <w:r w:rsidRPr="00181FCD">
        <w:t>que</w:t>
      </w:r>
      <w:r w:rsidR="00F373A3" w:rsidRPr="00181FCD">
        <w:t xml:space="preserve"> </w:t>
      </w:r>
      <w:r w:rsidRPr="00181FCD">
        <w:t>presta</w:t>
      </w:r>
      <w:r w:rsidR="00F373A3" w:rsidRPr="00181FCD">
        <w:t xml:space="preserve"> </w:t>
      </w:r>
      <w:r w:rsidRPr="00181FCD">
        <w:t>esa</w:t>
      </w:r>
      <w:r w:rsidR="00F373A3" w:rsidRPr="00181FCD">
        <w:t xml:space="preserve"> </w:t>
      </w:r>
      <w:r w:rsidRPr="00181FCD">
        <w:t>asistencia.</w:t>
      </w:r>
    </w:p>
    <w:p w:rsidR="001937F4" w:rsidRPr="00181FCD" w:rsidRDefault="001937F4" w:rsidP="00347B20">
      <w:pPr>
        <w:pStyle w:val="SingleTxtG"/>
        <w:suppressAutoHyphens/>
      </w:pPr>
      <w:r w:rsidRPr="00181FCD">
        <w:t>8.</w:t>
      </w:r>
      <w:r w:rsidRPr="00181FCD">
        <w:tab/>
        <w:t>En</w:t>
      </w:r>
      <w:r w:rsidR="00F373A3" w:rsidRPr="00181FCD">
        <w:t xml:space="preserve"> </w:t>
      </w:r>
      <w:r w:rsidRPr="00181FCD">
        <w:t>comparación</w:t>
      </w:r>
      <w:r w:rsidR="00F373A3" w:rsidRPr="00181FCD">
        <w:t xml:space="preserve"> </w:t>
      </w:r>
      <w:r w:rsidRPr="00181FCD">
        <w:t>con</w:t>
      </w:r>
      <w:r w:rsidR="00F373A3" w:rsidRPr="00181FCD">
        <w:t xml:space="preserve"> </w:t>
      </w:r>
      <w:r w:rsidRPr="00181FCD">
        <w:t>años</w:t>
      </w:r>
      <w:r w:rsidR="00F373A3" w:rsidRPr="00181FCD">
        <w:t xml:space="preserve"> </w:t>
      </w:r>
      <w:r w:rsidRPr="00181FCD">
        <w:t>anteriores,</w:t>
      </w:r>
      <w:r w:rsidR="00F373A3" w:rsidRPr="00181FCD">
        <w:t xml:space="preserve"> </w:t>
      </w:r>
      <w:r w:rsidRPr="00181FCD">
        <w:t>a</w:t>
      </w:r>
      <w:r w:rsidR="00F373A3" w:rsidRPr="00181FCD">
        <w:t xml:space="preserve"> </w:t>
      </w:r>
      <w:r w:rsidRPr="00181FCD">
        <w:t>partir</w:t>
      </w:r>
      <w:r w:rsidR="00F373A3" w:rsidRPr="00181FCD">
        <w:t xml:space="preserve"> </w:t>
      </w:r>
      <w:r w:rsidRPr="00181FCD">
        <w:t>de</w:t>
      </w:r>
      <w:r w:rsidR="00F373A3" w:rsidRPr="00181FCD">
        <w:t xml:space="preserve"> </w:t>
      </w:r>
      <w:r w:rsidRPr="00181FCD">
        <w:t>2013</w:t>
      </w:r>
      <w:r w:rsidR="00F373A3" w:rsidRPr="00181FCD">
        <w:t xml:space="preserve"> </w:t>
      </w:r>
      <w:r w:rsidRPr="00181FCD">
        <w:t>el</w:t>
      </w:r>
      <w:r w:rsidR="00F373A3" w:rsidRPr="00181FCD">
        <w:t xml:space="preserve"> </w:t>
      </w:r>
      <w:r w:rsidRPr="00181FCD">
        <w:t>presupuesto</w:t>
      </w:r>
      <w:r w:rsidR="00F373A3" w:rsidRPr="00181FCD">
        <w:t xml:space="preserve"> </w:t>
      </w:r>
      <w:r w:rsidRPr="00181FCD">
        <w:t>de</w:t>
      </w:r>
      <w:r w:rsidR="00F373A3" w:rsidRPr="00181FCD">
        <w:t xml:space="preserve"> </w:t>
      </w:r>
      <w:r w:rsidRPr="00181FCD">
        <w:t>la</w:t>
      </w:r>
      <w:r w:rsidR="00F373A3" w:rsidRPr="00181FCD">
        <w:t xml:space="preserve"> </w:t>
      </w:r>
      <w:r w:rsidRPr="00181FCD">
        <w:t>Oficina</w:t>
      </w:r>
      <w:r w:rsidR="00F373A3" w:rsidRPr="00181FCD">
        <w:t xml:space="preserve"> </w:t>
      </w:r>
      <w:r w:rsidRPr="00181FCD">
        <w:t>Nacional</w:t>
      </w:r>
      <w:r w:rsidR="00F373A3" w:rsidRPr="00181FCD">
        <w:t xml:space="preserve"> </w:t>
      </w:r>
      <w:r w:rsidRPr="00181FCD">
        <w:t>de</w:t>
      </w:r>
      <w:r w:rsidR="00F373A3" w:rsidRPr="00181FCD">
        <w:t xml:space="preserve"> </w:t>
      </w:r>
      <w:r w:rsidRPr="00181FCD">
        <w:t>Asistencia</w:t>
      </w:r>
      <w:r w:rsidR="00F373A3" w:rsidRPr="00181FCD">
        <w:t xml:space="preserve"> </w:t>
      </w:r>
      <w:r w:rsidRPr="00181FCD">
        <w:t>Jurídica</w:t>
      </w:r>
      <w:r w:rsidR="00F373A3" w:rsidRPr="00181FCD">
        <w:t xml:space="preserve"> </w:t>
      </w:r>
      <w:r w:rsidRPr="00181FCD">
        <w:t>ha</w:t>
      </w:r>
      <w:r w:rsidR="00F373A3" w:rsidRPr="00181FCD">
        <w:t xml:space="preserve"> </w:t>
      </w:r>
      <w:r w:rsidRPr="00181FCD">
        <w:t>aumentado</w:t>
      </w:r>
      <w:r w:rsidR="00F373A3" w:rsidRPr="00181FCD">
        <w:t xml:space="preserve"> </w:t>
      </w:r>
      <w:r w:rsidRPr="00181FCD">
        <w:t>en</w:t>
      </w:r>
      <w:r w:rsidR="00F373A3" w:rsidRPr="00181FCD">
        <w:t xml:space="preserve"> </w:t>
      </w:r>
      <w:r w:rsidRPr="00181FCD">
        <w:t>aproximadamente</w:t>
      </w:r>
      <w:r w:rsidR="00F373A3" w:rsidRPr="00181FCD">
        <w:t xml:space="preserve"> </w:t>
      </w:r>
      <w:r w:rsidRPr="00181FCD">
        <w:t>2</w:t>
      </w:r>
      <w:r w:rsidR="00F373A3" w:rsidRPr="00181FCD">
        <w:t xml:space="preserve"> </w:t>
      </w:r>
      <w:r w:rsidRPr="00181FCD">
        <w:t>millones</w:t>
      </w:r>
      <w:r w:rsidR="00F373A3" w:rsidRPr="00181FCD">
        <w:t xml:space="preserve"> </w:t>
      </w:r>
      <w:r w:rsidRPr="00181FCD">
        <w:t>de</w:t>
      </w:r>
      <w:r w:rsidR="00F373A3" w:rsidRPr="00181FCD">
        <w:t xml:space="preserve"> </w:t>
      </w:r>
      <w:r w:rsidRPr="00181FCD">
        <w:t>euros.</w:t>
      </w:r>
      <w:r w:rsidR="00F373A3" w:rsidRPr="00181FCD">
        <w:t xml:space="preserve"> </w:t>
      </w:r>
      <w:r w:rsidRPr="00181FCD">
        <w:t>Sin</w:t>
      </w:r>
      <w:r w:rsidR="00F373A3" w:rsidRPr="00181FCD">
        <w:t xml:space="preserve"> </w:t>
      </w:r>
      <w:r w:rsidRPr="00181FCD">
        <w:t>embargo,</w:t>
      </w:r>
      <w:r w:rsidR="00F373A3" w:rsidRPr="00181FCD">
        <w:t xml:space="preserve"> </w:t>
      </w:r>
      <w:r w:rsidRPr="00181FCD">
        <w:t>se</w:t>
      </w:r>
      <w:r w:rsidR="00F373A3" w:rsidRPr="00181FCD">
        <w:t xml:space="preserve"> </w:t>
      </w:r>
      <w:r w:rsidRPr="00181FCD">
        <w:t>prevé</w:t>
      </w:r>
      <w:r w:rsidR="00F373A3" w:rsidRPr="00181FCD">
        <w:t xml:space="preserve"> </w:t>
      </w:r>
      <w:r w:rsidRPr="00181FCD">
        <w:t>que</w:t>
      </w:r>
      <w:r w:rsidR="00F373A3" w:rsidRPr="00181FCD">
        <w:t xml:space="preserve"> </w:t>
      </w:r>
      <w:r w:rsidRPr="00181FCD">
        <w:t>los</w:t>
      </w:r>
      <w:r w:rsidR="00F373A3" w:rsidRPr="00181FCD">
        <w:t xml:space="preserve"> </w:t>
      </w:r>
      <w:r w:rsidRPr="00181FCD">
        <w:t>gastos</w:t>
      </w:r>
      <w:r w:rsidR="00F373A3" w:rsidRPr="00181FCD">
        <w:t xml:space="preserve"> </w:t>
      </w:r>
      <w:r w:rsidRPr="00181FCD">
        <w:t>a</w:t>
      </w:r>
      <w:r w:rsidR="00F373A3" w:rsidRPr="00181FCD">
        <w:t xml:space="preserve"> </w:t>
      </w:r>
      <w:r w:rsidRPr="00181FCD">
        <w:t>esos</w:t>
      </w:r>
      <w:r w:rsidR="00F373A3" w:rsidRPr="00181FCD">
        <w:t xml:space="preserve"> </w:t>
      </w:r>
      <w:r w:rsidRPr="00181FCD">
        <w:t>fines</w:t>
      </w:r>
      <w:r w:rsidR="00F373A3" w:rsidRPr="00181FCD">
        <w:t xml:space="preserve"> </w:t>
      </w:r>
      <w:r w:rsidRPr="00181FCD">
        <w:t>se</w:t>
      </w:r>
      <w:r w:rsidR="00F373A3" w:rsidRPr="00181FCD">
        <w:t xml:space="preserve"> </w:t>
      </w:r>
      <w:r w:rsidRPr="00181FCD">
        <w:t>incrementen,</w:t>
      </w:r>
      <w:r w:rsidR="00F373A3" w:rsidRPr="00181FCD">
        <w:t xml:space="preserve"> </w:t>
      </w:r>
      <w:r w:rsidRPr="00181FCD">
        <w:t>debido</w:t>
      </w:r>
      <w:r w:rsidR="00F373A3" w:rsidRPr="00181FCD">
        <w:t xml:space="preserve"> </w:t>
      </w:r>
      <w:r w:rsidRPr="00181FCD">
        <w:t>al</w:t>
      </w:r>
      <w:r w:rsidR="00F373A3" w:rsidRPr="00181FCD">
        <w:t xml:space="preserve"> </w:t>
      </w:r>
      <w:r w:rsidRPr="00181FCD">
        <w:t>creciente</w:t>
      </w:r>
      <w:r w:rsidR="00F373A3" w:rsidRPr="00181FCD">
        <w:t xml:space="preserve"> </w:t>
      </w:r>
      <w:r w:rsidRPr="00181FCD">
        <w:t>número</w:t>
      </w:r>
      <w:r w:rsidR="00F373A3" w:rsidRPr="00181FCD">
        <w:t xml:space="preserve"> </w:t>
      </w:r>
      <w:r w:rsidRPr="00181FCD">
        <w:t>de</w:t>
      </w:r>
      <w:r w:rsidR="00F373A3" w:rsidRPr="00181FCD">
        <w:t xml:space="preserve"> </w:t>
      </w:r>
      <w:r w:rsidRPr="00181FCD">
        <w:t>refugiados</w:t>
      </w:r>
      <w:r w:rsidR="00F373A3" w:rsidRPr="00181FCD">
        <w:t xml:space="preserve"> </w:t>
      </w:r>
      <w:r w:rsidRPr="00181FCD">
        <w:t>que</w:t>
      </w:r>
      <w:r w:rsidR="00F373A3" w:rsidRPr="00181FCD">
        <w:t xml:space="preserve"> </w:t>
      </w:r>
      <w:r w:rsidRPr="00181FCD">
        <w:t>llegan</w:t>
      </w:r>
      <w:r w:rsidR="00F373A3" w:rsidRPr="00181FCD">
        <w:t xml:space="preserve"> </w:t>
      </w:r>
      <w:r w:rsidRPr="00181FCD">
        <w:t>al</w:t>
      </w:r>
      <w:r w:rsidR="00F373A3" w:rsidRPr="00181FCD">
        <w:t xml:space="preserve"> </w:t>
      </w:r>
      <w:r w:rsidRPr="00181FCD">
        <w:t>país.</w:t>
      </w:r>
      <w:r w:rsidR="00F373A3" w:rsidRPr="00181FCD">
        <w:t xml:space="preserve"> </w:t>
      </w:r>
      <w:r w:rsidRPr="00181FCD">
        <w:t>Por</w:t>
      </w:r>
      <w:r w:rsidR="00F373A3" w:rsidRPr="00181FCD">
        <w:t xml:space="preserve"> </w:t>
      </w:r>
      <w:r w:rsidRPr="00181FCD">
        <w:t>el</w:t>
      </w:r>
      <w:r w:rsidR="00F373A3" w:rsidRPr="00181FCD">
        <w:t xml:space="preserve"> </w:t>
      </w:r>
      <w:r w:rsidRPr="00181FCD">
        <w:t>momento,</w:t>
      </w:r>
      <w:r w:rsidR="00F373A3" w:rsidRPr="00181FCD">
        <w:t xml:space="preserve"> </w:t>
      </w:r>
      <w:r w:rsidRPr="00181FCD">
        <w:t>la</w:t>
      </w:r>
      <w:r w:rsidR="00F373A3" w:rsidRPr="00181FCD">
        <w:t xml:space="preserve"> </w:t>
      </w:r>
      <w:r w:rsidRPr="00181FCD">
        <w:t>Oficina</w:t>
      </w:r>
      <w:r w:rsidR="00F373A3" w:rsidRPr="00181FCD">
        <w:t xml:space="preserve"> </w:t>
      </w:r>
      <w:r w:rsidRPr="00181FCD">
        <w:t>cuenta</w:t>
      </w:r>
      <w:r w:rsidR="00F373A3" w:rsidRPr="00181FCD">
        <w:t xml:space="preserve"> </w:t>
      </w:r>
      <w:r w:rsidRPr="00181FCD">
        <w:t>con</w:t>
      </w:r>
      <w:r w:rsidR="00F373A3" w:rsidRPr="00181FCD">
        <w:t xml:space="preserve"> </w:t>
      </w:r>
      <w:r w:rsidRPr="00181FCD">
        <w:t>23</w:t>
      </w:r>
      <w:r w:rsidR="007F28F7" w:rsidRPr="00181FCD">
        <w:t> </w:t>
      </w:r>
      <w:r w:rsidRPr="00181FCD">
        <w:t>empleados.</w:t>
      </w:r>
    </w:p>
    <w:p w:rsidR="001937F4" w:rsidRPr="00181FCD" w:rsidRDefault="001937F4" w:rsidP="00347B20">
      <w:pPr>
        <w:pStyle w:val="SingleTxtG"/>
        <w:suppressAutoHyphens/>
      </w:pPr>
      <w:r w:rsidRPr="00181FCD">
        <w:t>9.</w:t>
      </w:r>
      <w:r w:rsidRPr="00181FCD">
        <w:tab/>
        <w:t>Desde</w:t>
      </w:r>
      <w:r w:rsidR="00F373A3" w:rsidRPr="00181FCD">
        <w:t xml:space="preserve"> </w:t>
      </w:r>
      <w:r w:rsidRPr="00181FCD">
        <w:t>2013</w:t>
      </w:r>
      <w:r w:rsidR="00F373A3" w:rsidRPr="00181FCD">
        <w:t xml:space="preserve"> </w:t>
      </w:r>
      <w:r w:rsidRPr="00181FCD">
        <w:t>se</w:t>
      </w:r>
      <w:r w:rsidR="00F373A3" w:rsidRPr="00181FCD">
        <w:t xml:space="preserve"> </w:t>
      </w:r>
      <w:r w:rsidRPr="00181FCD">
        <w:t>sufragan</w:t>
      </w:r>
      <w:r w:rsidR="00F373A3" w:rsidRPr="00181FCD">
        <w:t xml:space="preserve"> </w:t>
      </w:r>
      <w:r w:rsidRPr="00181FCD">
        <w:t>de</w:t>
      </w:r>
      <w:r w:rsidR="00F373A3" w:rsidRPr="00181FCD">
        <w:t xml:space="preserve"> </w:t>
      </w:r>
      <w:r w:rsidRPr="00181FCD">
        <w:t>forma</w:t>
      </w:r>
      <w:r w:rsidR="00F373A3" w:rsidRPr="00181FCD">
        <w:t xml:space="preserve"> </w:t>
      </w:r>
      <w:r w:rsidRPr="00181FCD">
        <w:t>regular</w:t>
      </w:r>
      <w:r w:rsidR="00F373A3" w:rsidRPr="00181FCD">
        <w:t xml:space="preserve"> </w:t>
      </w:r>
      <w:r w:rsidRPr="00181FCD">
        <w:t>los</w:t>
      </w:r>
      <w:r w:rsidR="00F373A3" w:rsidRPr="00181FCD">
        <w:t xml:space="preserve"> </w:t>
      </w:r>
      <w:r w:rsidRPr="00181FCD">
        <w:t>servicios</w:t>
      </w:r>
      <w:r w:rsidR="00F373A3" w:rsidRPr="00181FCD">
        <w:t xml:space="preserve"> </w:t>
      </w:r>
      <w:r w:rsidRPr="00181FCD">
        <w:t>de</w:t>
      </w:r>
      <w:r w:rsidR="00F373A3" w:rsidRPr="00181FCD">
        <w:t xml:space="preserve"> </w:t>
      </w:r>
      <w:r w:rsidRPr="00181FCD">
        <w:t>los</w:t>
      </w:r>
      <w:r w:rsidR="00F373A3" w:rsidRPr="00181FCD">
        <w:t xml:space="preserve"> </w:t>
      </w:r>
      <w:r w:rsidRPr="00181FCD">
        <w:t>abogados</w:t>
      </w:r>
      <w:r w:rsidR="00F373A3" w:rsidRPr="00181FCD">
        <w:t xml:space="preserve"> </w:t>
      </w:r>
      <w:r w:rsidRPr="00181FCD">
        <w:t>de</w:t>
      </w:r>
      <w:r w:rsidR="00F373A3" w:rsidRPr="00181FCD">
        <w:t xml:space="preserve"> </w:t>
      </w:r>
      <w:r w:rsidRPr="00181FCD">
        <w:t>oficio.</w:t>
      </w:r>
      <w:r w:rsidR="00F373A3" w:rsidRPr="00181FCD">
        <w:t xml:space="preserve"> </w:t>
      </w:r>
      <w:r w:rsidRPr="00181FCD">
        <w:t>Esos</w:t>
      </w:r>
      <w:r w:rsidR="00F373A3" w:rsidRPr="00181FCD">
        <w:t xml:space="preserve"> </w:t>
      </w:r>
      <w:r w:rsidRPr="00181FCD">
        <w:t>profesionales</w:t>
      </w:r>
      <w:r w:rsidR="00F373A3" w:rsidRPr="00181FCD">
        <w:t xml:space="preserve"> </w:t>
      </w:r>
      <w:r w:rsidRPr="00181FCD">
        <w:t>reciben</w:t>
      </w:r>
      <w:r w:rsidR="00F373A3" w:rsidRPr="00181FCD">
        <w:t xml:space="preserve"> </w:t>
      </w:r>
      <w:r w:rsidRPr="00181FCD">
        <w:t>su</w:t>
      </w:r>
      <w:r w:rsidR="00F373A3" w:rsidRPr="00181FCD">
        <w:t xml:space="preserve"> </w:t>
      </w:r>
      <w:r w:rsidRPr="00181FCD">
        <w:t>pago</w:t>
      </w:r>
      <w:r w:rsidR="00F373A3" w:rsidRPr="00181FCD">
        <w:t xml:space="preserve"> </w:t>
      </w:r>
      <w:r w:rsidRPr="00181FCD">
        <w:t>a</w:t>
      </w:r>
      <w:r w:rsidR="00F373A3" w:rsidRPr="00181FCD">
        <w:t xml:space="preserve"> </w:t>
      </w:r>
      <w:r w:rsidRPr="00181FCD">
        <w:t>más</w:t>
      </w:r>
      <w:r w:rsidR="00F373A3" w:rsidRPr="00181FCD">
        <w:t xml:space="preserve"> </w:t>
      </w:r>
      <w:r w:rsidRPr="00181FCD">
        <w:t>tardar</w:t>
      </w:r>
      <w:r w:rsidR="00F373A3" w:rsidRPr="00181FCD">
        <w:t xml:space="preserve"> </w:t>
      </w:r>
      <w:r w:rsidRPr="00181FCD">
        <w:t>una</w:t>
      </w:r>
      <w:r w:rsidR="00F373A3" w:rsidRPr="00181FCD">
        <w:t xml:space="preserve"> </w:t>
      </w:r>
      <w:r w:rsidRPr="00181FCD">
        <w:t>semana</w:t>
      </w:r>
      <w:r w:rsidR="00F373A3" w:rsidRPr="00181FCD">
        <w:t xml:space="preserve"> </w:t>
      </w:r>
      <w:r w:rsidRPr="00181FCD">
        <w:t>después</w:t>
      </w:r>
      <w:r w:rsidR="00F373A3" w:rsidRPr="00181FCD">
        <w:t xml:space="preserve"> </w:t>
      </w:r>
      <w:r w:rsidRPr="00181FCD">
        <w:t>de</w:t>
      </w:r>
      <w:r w:rsidR="00F373A3" w:rsidRPr="00181FCD">
        <w:t xml:space="preserve"> </w:t>
      </w:r>
      <w:r w:rsidRPr="00181FCD">
        <w:t>que</w:t>
      </w:r>
      <w:r w:rsidR="00F373A3" w:rsidRPr="00181FCD">
        <w:t xml:space="preserve"> </w:t>
      </w:r>
      <w:r w:rsidRPr="00181FCD">
        <w:t>haya</w:t>
      </w:r>
      <w:r w:rsidR="00F373A3" w:rsidRPr="00181FCD">
        <w:t xml:space="preserve"> </w:t>
      </w:r>
      <w:r w:rsidRPr="00181FCD">
        <w:t>llegado</w:t>
      </w:r>
      <w:r w:rsidR="00F373A3" w:rsidRPr="00181FCD">
        <w:t xml:space="preserve"> </w:t>
      </w:r>
      <w:r w:rsidRPr="00181FCD">
        <w:t>el</w:t>
      </w:r>
      <w:r w:rsidR="00F373A3" w:rsidRPr="00181FCD">
        <w:t xml:space="preserve"> </w:t>
      </w:r>
      <w:r w:rsidRPr="00181FCD">
        <w:t>informe</w:t>
      </w:r>
      <w:r w:rsidR="00F373A3" w:rsidRPr="00181FCD">
        <w:t xml:space="preserve"> </w:t>
      </w:r>
      <w:r w:rsidRPr="00181FCD">
        <w:t>sobre</w:t>
      </w:r>
      <w:r w:rsidR="00F373A3" w:rsidRPr="00181FCD">
        <w:t xml:space="preserve"> </w:t>
      </w:r>
      <w:r w:rsidRPr="00181FCD">
        <w:t>la</w:t>
      </w:r>
      <w:r w:rsidR="00F373A3" w:rsidRPr="00181FCD">
        <w:t xml:space="preserve"> </w:t>
      </w:r>
      <w:r w:rsidRPr="00181FCD">
        <w:t>asistencia</w:t>
      </w:r>
      <w:r w:rsidR="00F373A3" w:rsidRPr="00181FCD">
        <w:t xml:space="preserve"> </w:t>
      </w:r>
      <w:r w:rsidRPr="00181FCD">
        <w:t>jurídica</w:t>
      </w:r>
      <w:r w:rsidR="00F373A3" w:rsidRPr="00181FCD">
        <w:t xml:space="preserve"> </w:t>
      </w:r>
      <w:r w:rsidRPr="00181FCD">
        <w:t>prestada.</w:t>
      </w:r>
    </w:p>
    <w:p w:rsidR="001937F4" w:rsidRPr="00181FCD" w:rsidRDefault="001937F4" w:rsidP="00347B20">
      <w:pPr>
        <w:pStyle w:val="SingleTxtG"/>
        <w:suppressAutoHyphens/>
      </w:pPr>
      <w:r w:rsidRPr="00181FCD">
        <w:t>10.</w:t>
      </w:r>
      <w:r w:rsidRPr="00181FCD">
        <w:tab/>
        <w:t>Se</w:t>
      </w:r>
      <w:r w:rsidR="00F373A3" w:rsidRPr="00181FCD">
        <w:t xml:space="preserve"> </w:t>
      </w:r>
      <w:r w:rsidRPr="00181FCD">
        <w:t>ha</w:t>
      </w:r>
      <w:r w:rsidR="00F373A3" w:rsidRPr="00181FCD">
        <w:t xml:space="preserve"> </w:t>
      </w:r>
      <w:r w:rsidRPr="00181FCD">
        <w:t>actualizado</w:t>
      </w:r>
      <w:r w:rsidR="00F373A3" w:rsidRPr="00181FCD">
        <w:t xml:space="preserve"> </w:t>
      </w:r>
      <w:r w:rsidRPr="00181FCD">
        <w:t>el</w:t>
      </w:r>
      <w:r w:rsidR="00F373A3" w:rsidRPr="00181FCD">
        <w:t xml:space="preserve"> </w:t>
      </w:r>
      <w:r w:rsidRPr="00181FCD">
        <w:t>Mecanismo</w:t>
      </w:r>
      <w:r w:rsidR="00F373A3" w:rsidRPr="00181FCD">
        <w:t xml:space="preserve"> </w:t>
      </w:r>
      <w:r w:rsidRPr="00181FCD">
        <w:t>para</w:t>
      </w:r>
      <w:r w:rsidR="00F373A3" w:rsidRPr="00181FCD">
        <w:t xml:space="preserve"> </w:t>
      </w:r>
      <w:r w:rsidRPr="00181FCD">
        <w:t>la</w:t>
      </w:r>
      <w:r w:rsidR="00F373A3" w:rsidRPr="00181FCD">
        <w:t xml:space="preserve"> </w:t>
      </w:r>
      <w:r w:rsidRPr="00181FCD">
        <w:t>prestación</w:t>
      </w:r>
      <w:r w:rsidR="00F373A3" w:rsidRPr="00181FCD">
        <w:t xml:space="preserve"> </w:t>
      </w:r>
      <w:r w:rsidRPr="00181FCD">
        <w:t>de</w:t>
      </w:r>
      <w:r w:rsidR="00F373A3" w:rsidRPr="00181FCD">
        <w:t xml:space="preserve"> </w:t>
      </w:r>
      <w:r w:rsidRPr="00181FCD">
        <w:t>la</w:t>
      </w:r>
      <w:r w:rsidR="00F373A3" w:rsidRPr="00181FCD">
        <w:t xml:space="preserve"> </w:t>
      </w:r>
      <w:r w:rsidRPr="00181FCD">
        <w:t>asistencia</w:t>
      </w:r>
      <w:r w:rsidR="00F373A3" w:rsidRPr="00181FCD">
        <w:t xml:space="preserve"> </w:t>
      </w:r>
      <w:r w:rsidRPr="00181FCD">
        <w:t>jurídica</w:t>
      </w:r>
      <w:r w:rsidR="00F373A3" w:rsidRPr="00181FCD">
        <w:t xml:space="preserve"> </w:t>
      </w:r>
      <w:r w:rsidRPr="00181FCD">
        <w:t>de</w:t>
      </w:r>
      <w:r w:rsidR="00F373A3" w:rsidRPr="00181FCD">
        <w:t xml:space="preserve"> </w:t>
      </w:r>
      <w:r w:rsidRPr="00181FCD">
        <w:t>abogados</w:t>
      </w:r>
      <w:r w:rsidR="00F373A3" w:rsidRPr="00181FCD">
        <w:t xml:space="preserve"> </w:t>
      </w:r>
      <w:r w:rsidRPr="00181FCD">
        <w:t>del</w:t>
      </w:r>
      <w:r w:rsidR="00F373A3" w:rsidRPr="00181FCD">
        <w:t xml:space="preserve"> </w:t>
      </w:r>
      <w:r w:rsidRPr="00181FCD">
        <w:t>turno</w:t>
      </w:r>
      <w:r w:rsidR="00F373A3" w:rsidRPr="00181FCD">
        <w:t xml:space="preserve"> </w:t>
      </w:r>
      <w:r w:rsidRPr="00181FCD">
        <w:t>de</w:t>
      </w:r>
      <w:r w:rsidR="00F373A3" w:rsidRPr="00181FCD">
        <w:t xml:space="preserve"> </w:t>
      </w:r>
      <w:r w:rsidRPr="00181FCD">
        <w:t>oficio</w:t>
      </w:r>
      <w:r w:rsidR="00F373A3" w:rsidRPr="00181FCD">
        <w:t xml:space="preserve"> </w:t>
      </w:r>
      <w:r w:rsidRPr="00181FCD">
        <w:t>en</w:t>
      </w:r>
      <w:r w:rsidR="00F373A3" w:rsidRPr="00181FCD">
        <w:t xml:space="preserve"> </w:t>
      </w:r>
      <w:r w:rsidRPr="00181FCD">
        <w:t>las</w:t>
      </w:r>
      <w:r w:rsidR="00F373A3" w:rsidRPr="00181FCD">
        <w:t xml:space="preserve"> </w:t>
      </w:r>
      <w:r w:rsidRPr="00181FCD">
        <w:t>primeras</w:t>
      </w:r>
      <w:r w:rsidR="00F373A3" w:rsidRPr="00181FCD">
        <w:t xml:space="preserve"> </w:t>
      </w:r>
      <w:r w:rsidRPr="00181FCD">
        <w:t>24</w:t>
      </w:r>
      <w:r w:rsidR="00F373A3" w:rsidRPr="00181FCD">
        <w:t xml:space="preserve"> </w:t>
      </w:r>
      <w:r w:rsidRPr="00181FCD">
        <w:t>horas</w:t>
      </w:r>
      <w:r w:rsidR="00F373A3" w:rsidRPr="00181FCD">
        <w:t xml:space="preserve"> </w:t>
      </w:r>
      <w:r w:rsidRPr="00181FCD">
        <w:t>de</w:t>
      </w:r>
      <w:r w:rsidR="00F373A3" w:rsidRPr="00181FCD">
        <w:t xml:space="preserve"> </w:t>
      </w:r>
      <w:r w:rsidRPr="00181FCD">
        <w:t>detención</w:t>
      </w:r>
      <w:r w:rsidR="00F373A3" w:rsidRPr="00181FCD">
        <w:t xml:space="preserve"> </w:t>
      </w:r>
      <w:r w:rsidRPr="00181FCD">
        <w:t>policial.</w:t>
      </w:r>
      <w:r w:rsidR="00F373A3" w:rsidRPr="00181FCD">
        <w:t xml:space="preserve"> </w:t>
      </w:r>
      <w:r w:rsidRPr="00181FCD">
        <w:t>Se</w:t>
      </w:r>
      <w:r w:rsidR="00F373A3" w:rsidRPr="00181FCD">
        <w:t xml:space="preserve"> </w:t>
      </w:r>
      <w:r w:rsidRPr="00181FCD">
        <w:t>mantiene</w:t>
      </w:r>
      <w:r w:rsidR="00F373A3" w:rsidRPr="00181FCD">
        <w:t xml:space="preserve"> </w:t>
      </w:r>
      <w:r w:rsidRPr="00181FCD">
        <w:t>una</w:t>
      </w:r>
      <w:r w:rsidR="00F373A3" w:rsidRPr="00181FCD">
        <w:t xml:space="preserve"> </w:t>
      </w:r>
      <w:r w:rsidRPr="00181FCD">
        <w:t>lista</w:t>
      </w:r>
      <w:r w:rsidR="00F373A3" w:rsidRPr="00181FCD">
        <w:t xml:space="preserve"> </w:t>
      </w:r>
      <w:r w:rsidRPr="00181FCD">
        <w:t>mensual</w:t>
      </w:r>
      <w:r w:rsidR="00F373A3" w:rsidRPr="00181FCD">
        <w:t xml:space="preserve"> </w:t>
      </w:r>
      <w:r w:rsidRPr="00181FCD">
        <w:t>de</w:t>
      </w:r>
      <w:r w:rsidR="00F373A3" w:rsidRPr="00181FCD">
        <w:t xml:space="preserve"> </w:t>
      </w:r>
      <w:r w:rsidRPr="00181FCD">
        <w:t>los</w:t>
      </w:r>
      <w:r w:rsidR="00F373A3" w:rsidRPr="00181FCD">
        <w:t xml:space="preserve"> </w:t>
      </w:r>
      <w:r w:rsidRPr="00181FCD">
        <w:t>abogados</w:t>
      </w:r>
      <w:r w:rsidR="00F373A3" w:rsidRPr="00181FCD">
        <w:t xml:space="preserve"> </w:t>
      </w:r>
      <w:r w:rsidRPr="00181FCD">
        <w:t>en</w:t>
      </w:r>
      <w:r w:rsidR="00F373A3" w:rsidRPr="00181FCD">
        <w:t xml:space="preserve"> </w:t>
      </w:r>
      <w:r w:rsidRPr="00181FCD">
        <w:t>servicio</w:t>
      </w:r>
      <w:r w:rsidR="00F373A3" w:rsidRPr="00181FCD">
        <w:t xml:space="preserve"> </w:t>
      </w:r>
      <w:r w:rsidRPr="00181FCD">
        <w:t>y</w:t>
      </w:r>
      <w:r w:rsidR="00F373A3" w:rsidRPr="00181FCD">
        <w:t xml:space="preserve"> </w:t>
      </w:r>
      <w:r w:rsidRPr="00181FCD">
        <w:t>se</w:t>
      </w:r>
      <w:r w:rsidR="00F373A3" w:rsidRPr="00181FCD">
        <w:t xml:space="preserve"> </w:t>
      </w:r>
      <w:r w:rsidRPr="00181FCD">
        <w:t>crea</w:t>
      </w:r>
      <w:r w:rsidR="00F373A3" w:rsidRPr="00181FCD">
        <w:t xml:space="preserve"> </w:t>
      </w:r>
      <w:r w:rsidRPr="00181FCD">
        <w:t>un</w:t>
      </w:r>
      <w:r w:rsidR="00F373A3" w:rsidRPr="00181FCD">
        <w:t xml:space="preserve"> </w:t>
      </w:r>
      <w:r w:rsidRPr="00181FCD">
        <w:t>calendario</w:t>
      </w:r>
      <w:r w:rsidR="00F373A3" w:rsidRPr="00181FCD">
        <w:t xml:space="preserve"> </w:t>
      </w:r>
      <w:r w:rsidRPr="00181FCD">
        <w:t>semanal</w:t>
      </w:r>
      <w:r w:rsidR="00F373A3" w:rsidRPr="00181FCD">
        <w:t xml:space="preserve"> </w:t>
      </w:r>
      <w:r w:rsidRPr="00181FCD">
        <w:t>para</w:t>
      </w:r>
      <w:r w:rsidR="00F373A3" w:rsidRPr="00181FCD">
        <w:t xml:space="preserve"> </w:t>
      </w:r>
      <w:r w:rsidRPr="00181FCD">
        <w:t>el</w:t>
      </w:r>
      <w:r w:rsidR="00F373A3" w:rsidRPr="00181FCD">
        <w:t xml:space="preserve"> </w:t>
      </w:r>
      <w:r w:rsidRPr="00181FCD">
        <w:t>ejercicio</w:t>
      </w:r>
      <w:r w:rsidR="00F373A3" w:rsidRPr="00181FCD">
        <w:t xml:space="preserve"> </w:t>
      </w:r>
      <w:r w:rsidRPr="00181FCD">
        <w:t>de</w:t>
      </w:r>
      <w:r w:rsidR="00F373A3" w:rsidRPr="00181FCD">
        <w:t xml:space="preserve"> </w:t>
      </w:r>
      <w:r w:rsidRPr="00181FCD">
        <w:t>sus</w:t>
      </w:r>
      <w:r w:rsidR="00F373A3" w:rsidRPr="00181FCD">
        <w:t xml:space="preserve"> </w:t>
      </w:r>
      <w:r w:rsidRPr="00181FCD">
        <w:t>funciones.</w:t>
      </w:r>
      <w:r w:rsidR="00F373A3" w:rsidRPr="00181FCD">
        <w:t xml:space="preserve"> </w:t>
      </w:r>
      <w:r w:rsidRPr="00181FCD">
        <w:t>Cuando</w:t>
      </w:r>
      <w:r w:rsidR="00F373A3" w:rsidRPr="00181FCD">
        <w:t xml:space="preserve"> </w:t>
      </w:r>
      <w:r w:rsidRPr="00181FCD">
        <w:t>es</w:t>
      </w:r>
      <w:r w:rsidR="00F373A3" w:rsidRPr="00181FCD">
        <w:t xml:space="preserve"> </w:t>
      </w:r>
      <w:r w:rsidRPr="00181FCD">
        <w:t>necesario,</w:t>
      </w:r>
      <w:r w:rsidR="00F373A3" w:rsidRPr="00181FCD">
        <w:t xml:space="preserve"> </w:t>
      </w:r>
      <w:r w:rsidRPr="00181FCD">
        <w:t>se</w:t>
      </w:r>
      <w:r w:rsidR="00F373A3" w:rsidRPr="00181FCD">
        <w:t xml:space="preserve"> </w:t>
      </w:r>
      <w:r w:rsidRPr="00181FCD">
        <w:t>facilitan</w:t>
      </w:r>
      <w:r w:rsidR="00F373A3" w:rsidRPr="00181FCD">
        <w:t xml:space="preserve"> </w:t>
      </w:r>
      <w:r w:rsidRPr="00181FCD">
        <w:t>esos</w:t>
      </w:r>
      <w:r w:rsidR="00F373A3" w:rsidRPr="00181FCD">
        <w:t xml:space="preserve"> </w:t>
      </w:r>
      <w:r w:rsidRPr="00181FCD">
        <w:t>documentos</w:t>
      </w:r>
      <w:r w:rsidR="00F373A3" w:rsidRPr="00181FCD">
        <w:t xml:space="preserve"> </w:t>
      </w:r>
      <w:r w:rsidRPr="00181FCD">
        <w:t>a</w:t>
      </w:r>
      <w:r w:rsidR="00F373A3" w:rsidRPr="00181FCD">
        <w:t xml:space="preserve"> </w:t>
      </w:r>
      <w:r w:rsidRPr="00181FCD">
        <w:t>las</w:t>
      </w:r>
      <w:r w:rsidR="00F373A3" w:rsidRPr="00181FCD">
        <w:t xml:space="preserve"> </w:t>
      </w:r>
      <w:r w:rsidRPr="00181FCD">
        <w:t>autoridades</w:t>
      </w:r>
      <w:r w:rsidR="00F373A3" w:rsidRPr="00181FCD">
        <w:t xml:space="preserve"> </w:t>
      </w:r>
      <w:r w:rsidRPr="00181FCD">
        <w:t>competentes.</w:t>
      </w:r>
    </w:p>
    <w:p w:rsidR="001937F4" w:rsidRPr="00181FCD" w:rsidRDefault="00470CF3" w:rsidP="00347B20">
      <w:pPr>
        <w:pStyle w:val="H23G"/>
      </w:pPr>
      <w:r w:rsidRPr="00181FCD">
        <w:tab/>
      </w:r>
      <w:r w:rsidRPr="00181FCD">
        <w:tab/>
      </w:r>
      <w:r w:rsidR="001937F4" w:rsidRPr="00181FCD">
        <w:t>Respuesta</w:t>
      </w:r>
      <w:r w:rsidR="00F373A3" w:rsidRPr="00181FCD">
        <w:t xml:space="preserve"> </w:t>
      </w:r>
      <w:r w:rsidR="001937F4" w:rsidRPr="00181FCD">
        <w:t>a</w:t>
      </w:r>
      <w:r w:rsidR="00F373A3" w:rsidRPr="00181FCD">
        <w:t xml:space="preserve"> </w:t>
      </w:r>
      <w:r w:rsidR="001937F4" w:rsidRPr="00181FCD">
        <w:t>las</w:t>
      </w:r>
      <w:r w:rsidR="00F373A3" w:rsidRPr="00181FCD">
        <w:t xml:space="preserve"> </w:t>
      </w:r>
      <w:r w:rsidR="001937F4" w:rsidRPr="00181FCD">
        <w:t>cuestiones</w:t>
      </w:r>
      <w:r w:rsidR="00F373A3" w:rsidRPr="00181FCD">
        <w:t xml:space="preserve"> </w:t>
      </w:r>
      <w:r w:rsidR="001937F4" w:rsidRPr="00181FCD">
        <w:t>planteadas</w:t>
      </w:r>
      <w:r w:rsidR="00F373A3" w:rsidRPr="00181FCD">
        <w:t xml:space="preserve"> </w:t>
      </w:r>
      <w:r w:rsidR="001937F4" w:rsidRPr="00181FCD">
        <w:t>en</w:t>
      </w:r>
      <w:r w:rsidR="00F373A3" w:rsidRPr="00181FCD">
        <w:t xml:space="preserve"> </w:t>
      </w:r>
      <w:r w:rsidR="001937F4" w:rsidRPr="00181FCD">
        <w:t>el</w:t>
      </w:r>
      <w:r w:rsidR="00F373A3" w:rsidRPr="00181FCD">
        <w:t xml:space="preserve"> </w:t>
      </w:r>
      <w:r w:rsidR="001937F4" w:rsidRPr="00181FCD">
        <w:t>párrafo</w:t>
      </w:r>
      <w:r w:rsidR="00F373A3" w:rsidRPr="00181FCD">
        <w:t xml:space="preserve"> </w:t>
      </w:r>
      <w:r w:rsidR="001937F4" w:rsidRPr="00181FCD">
        <w:t>3</w:t>
      </w:r>
      <w:r w:rsidR="00F373A3" w:rsidRPr="00181FCD">
        <w:t xml:space="preserve"> </w:t>
      </w:r>
      <w:r w:rsidR="001937F4" w:rsidRPr="00181FCD">
        <w:t>de</w:t>
      </w:r>
      <w:r w:rsidR="00F373A3" w:rsidRPr="00181FCD">
        <w:t xml:space="preserve"> </w:t>
      </w:r>
      <w:r w:rsidR="001937F4" w:rsidRPr="00181FCD">
        <w:t>la</w:t>
      </w:r>
      <w:r w:rsidR="00F373A3" w:rsidRPr="00181FCD">
        <w:t xml:space="preserve"> </w:t>
      </w:r>
      <w:r w:rsidR="001937F4" w:rsidRPr="00181FCD">
        <w:t>lista</w:t>
      </w:r>
      <w:r w:rsidR="00F373A3" w:rsidRPr="00181FCD">
        <w:t xml:space="preserve"> </w:t>
      </w:r>
      <w:r w:rsidR="001937F4" w:rsidRPr="00181FCD">
        <w:t>de</w:t>
      </w:r>
      <w:r w:rsidR="00F373A3" w:rsidRPr="00181FCD">
        <w:t xml:space="preserve"> </w:t>
      </w:r>
      <w:r w:rsidR="001937F4" w:rsidRPr="00181FCD">
        <w:t>cuestiones</w:t>
      </w:r>
    </w:p>
    <w:p w:rsidR="001937F4" w:rsidRPr="00181FCD" w:rsidRDefault="001937F4" w:rsidP="00347B20">
      <w:pPr>
        <w:pStyle w:val="SingleTxtG"/>
        <w:suppressAutoHyphens/>
      </w:pPr>
      <w:r w:rsidRPr="00181FCD">
        <w:t>11.</w:t>
      </w:r>
      <w:r w:rsidRPr="00181FCD">
        <w:tab/>
        <w:t>El</w:t>
      </w:r>
      <w:r w:rsidR="00F373A3" w:rsidRPr="00181FCD">
        <w:t xml:space="preserve"> </w:t>
      </w:r>
      <w:r w:rsidRPr="00181FCD">
        <w:t>uso</w:t>
      </w:r>
      <w:r w:rsidR="00F373A3" w:rsidRPr="00181FCD">
        <w:t xml:space="preserve"> </w:t>
      </w:r>
      <w:r w:rsidRPr="00181FCD">
        <w:t>de</w:t>
      </w:r>
      <w:r w:rsidR="00F373A3" w:rsidRPr="00181FCD">
        <w:t xml:space="preserve"> </w:t>
      </w:r>
      <w:r w:rsidRPr="00181FCD">
        <w:t>la</w:t>
      </w:r>
      <w:r w:rsidR="00F373A3" w:rsidRPr="00181FCD">
        <w:t xml:space="preserve"> </w:t>
      </w:r>
      <w:r w:rsidRPr="00181FCD">
        <w:t>fuerza</w:t>
      </w:r>
      <w:r w:rsidR="00F373A3" w:rsidRPr="00181FCD">
        <w:t xml:space="preserve"> </w:t>
      </w:r>
      <w:r w:rsidRPr="00181FCD">
        <w:t>física</w:t>
      </w:r>
      <w:r w:rsidR="00F373A3" w:rsidRPr="00181FCD">
        <w:t xml:space="preserve"> </w:t>
      </w:r>
      <w:r w:rsidRPr="00181FCD">
        <w:t>y</w:t>
      </w:r>
      <w:r w:rsidR="00F373A3" w:rsidRPr="00181FCD">
        <w:t xml:space="preserve"> </w:t>
      </w:r>
      <w:r w:rsidRPr="00181FCD">
        <w:t>dispositivos</w:t>
      </w:r>
      <w:r w:rsidR="00F373A3" w:rsidRPr="00181FCD">
        <w:t xml:space="preserve"> </w:t>
      </w:r>
      <w:r w:rsidRPr="00181FCD">
        <w:t>auxiliares</w:t>
      </w:r>
      <w:r w:rsidR="00F373A3" w:rsidRPr="00181FCD">
        <w:t xml:space="preserve"> </w:t>
      </w:r>
      <w:r w:rsidRPr="00181FCD">
        <w:t>por</w:t>
      </w:r>
      <w:r w:rsidR="00F373A3" w:rsidRPr="00181FCD">
        <w:t xml:space="preserve"> </w:t>
      </w:r>
      <w:r w:rsidRPr="00181FCD">
        <w:t>parte</w:t>
      </w:r>
      <w:r w:rsidR="00F373A3" w:rsidRPr="00181FCD">
        <w:t xml:space="preserve"> </w:t>
      </w:r>
      <w:r w:rsidRPr="00181FCD">
        <w:t>de</w:t>
      </w:r>
      <w:r w:rsidR="00F373A3" w:rsidRPr="00181FCD">
        <w:t xml:space="preserve"> </w:t>
      </w:r>
      <w:r w:rsidRPr="00181FCD">
        <w:t>las</w:t>
      </w:r>
      <w:r w:rsidR="00F373A3" w:rsidRPr="00181FCD">
        <w:t xml:space="preserve"> </w:t>
      </w:r>
      <w:r w:rsidRPr="00181FCD">
        <w:t>autoridades</w:t>
      </w:r>
      <w:r w:rsidR="00F373A3" w:rsidRPr="00181FCD">
        <w:t xml:space="preserve"> </w:t>
      </w:r>
      <w:r w:rsidRPr="00181FCD">
        <w:t>policiales</w:t>
      </w:r>
      <w:r w:rsidR="00F373A3" w:rsidRPr="00181FCD">
        <w:t xml:space="preserve"> </w:t>
      </w:r>
      <w:r w:rsidRPr="00181FCD">
        <w:t>está</w:t>
      </w:r>
      <w:r w:rsidR="00F373A3" w:rsidRPr="00181FCD">
        <w:t xml:space="preserve"> </w:t>
      </w:r>
      <w:r w:rsidRPr="00181FCD">
        <w:t>reglamentada</w:t>
      </w:r>
      <w:r w:rsidR="00F373A3" w:rsidRPr="00181FCD">
        <w:t xml:space="preserve"> </w:t>
      </w:r>
      <w:r w:rsidRPr="00181FCD">
        <w:t>en</w:t>
      </w:r>
      <w:r w:rsidR="00F373A3" w:rsidRPr="00181FCD">
        <w:t xml:space="preserve"> </w:t>
      </w:r>
      <w:r w:rsidRPr="00181FCD">
        <w:t>los</w:t>
      </w:r>
      <w:r w:rsidR="00F373A3" w:rsidRPr="00181FCD">
        <w:t xml:space="preserve"> </w:t>
      </w:r>
      <w:r w:rsidRPr="00181FCD">
        <w:t>artículo</w:t>
      </w:r>
      <w:r w:rsidR="00F373A3" w:rsidRPr="00181FCD">
        <w:t xml:space="preserve"> </w:t>
      </w:r>
      <w:r w:rsidRPr="00181FCD">
        <w:t>85</w:t>
      </w:r>
      <w:r w:rsidR="00F373A3" w:rsidRPr="00181FCD">
        <w:t xml:space="preserve"> </w:t>
      </w:r>
      <w:r w:rsidRPr="00181FCD">
        <w:t>y</w:t>
      </w:r>
      <w:r w:rsidR="00F373A3" w:rsidRPr="00181FCD">
        <w:t xml:space="preserve"> </w:t>
      </w:r>
      <w:r w:rsidRPr="00181FCD">
        <w:t>86</w:t>
      </w:r>
      <w:r w:rsidR="00F373A3" w:rsidRPr="00181FCD">
        <w:t xml:space="preserve"> </w:t>
      </w:r>
      <w:r w:rsidRPr="00181FCD">
        <w:t>de</w:t>
      </w:r>
      <w:r w:rsidR="00F373A3" w:rsidRPr="00181FCD">
        <w:t xml:space="preserve"> </w:t>
      </w:r>
      <w:r w:rsidRPr="00181FCD">
        <w:t>la</w:t>
      </w:r>
      <w:r w:rsidR="00F373A3" w:rsidRPr="00181FCD">
        <w:t xml:space="preserve"> </w:t>
      </w:r>
      <w:r w:rsidRPr="00181FCD">
        <w:t>Ley</w:t>
      </w:r>
      <w:r w:rsidR="00F373A3" w:rsidRPr="00181FCD">
        <w:t xml:space="preserve"> </w:t>
      </w:r>
      <w:r w:rsidRPr="00181FCD">
        <w:t>del</w:t>
      </w:r>
      <w:r w:rsidR="00F373A3" w:rsidRPr="00181FCD">
        <w:t xml:space="preserve"> </w:t>
      </w:r>
      <w:r w:rsidRPr="00181FCD">
        <w:t>Ministerio</w:t>
      </w:r>
      <w:r w:rsidR="00F373A3" w:rsidRPr="00181FCD">
        <w:t xml:space="preserve"> </w:t>
      </w:r>
      <w:r w:rsidRPr="00181FCD">
        <w:t>del</w:t>
      </w:r>
      <w:r w:rsidR="00F373A3" w:rsidRPr="00181FCD">
        <w:t xml:space="preserve"> </w:t>
      </w:r>
      <w:r w:rsidRPr="00181FCD">
        <w:t>Interior</w:t>
      </w:r>
      <w:r w:rsidR="00F373A3" w:rsidRPr="00181FCD">
        <w:t xml:space="preserve"> </w:t>
      </w:r>
      <w:r w:rsidRPr="00181FCD">
        <w:t>y</w:t>
      </w:r>
      <w:r w:rsidR="00F373A3" w:rsidRPr="00181FCD">
        <w:t xml:space="preserve"> </w:t>
      </w:r>
      <w:r w:rsidRPr="00181FCD">
        <w:t>el</w:t>
      </w:r>
      <w:r w:rsidR="00F373A3" w:rsidRPr="00181FCD">
        <w:t xml:space="preserve"> </w:t>
      </w:r>
      <w:r w:rsidRPr="00181FCD">
        <w:t>Decreto</w:t>
      </w:r>
      <w:r w:rsidR="00F373A3" w:rsidRPr="00181FCD">
        <w:t xml:space="preserve"> </w:t>
      </w:r>
      <w:r w:rsidRPr="00181FCD">
        <w:t>núm.</w:t>
      </w:r>
      <w:r w:rsidR="00F373A3" w:rsidRPr="00181FCD">
        <w:t xml:space="preserve"> </w:t>
      </w:r>
      <w:r w:rsidRPr="00181FCD">
        <w:t>8121з-1130,</w:t>
      </w:r>
      <w:r w:rsidR="00F373A3" w:rsidRPr="00181FCD">
        <w:t xml:space="preserve"> </w:t>
      </w:r>
      <w:r w:rsidRPr="00181FCD">
        <w:t>de</w:t>
      </w:r>
      <w:r w:rsidR="00F373A3" w:rsidRPr="00181FCD">
        <w:t xml:space="preserve"> </w:t>
      </w:r>
      <w:r w:rsidRPr="00181FCD">
        <w:t>14</w:t>
      </w:r>
      <w:r w:rsidR="00F373A3" w:rsidRPr="00181FCD">
        <w:t xml:space="preserve"> </w:t>
      </w:r>
      <w:r w:rsidRPr="00181FCD">
        <w:t>de</w:t>
      </w:r>
      <w:r w:rsidR="00F373A3" w:rsidRPr="00181FCD">
        <w:t xml:space="preserve"> </w:t>
      </w:r>
      <w:r w:rsidRPr="00181FCD">
        <w:t>septiembre</w:t>
      </w:r>
      <w:r w:rsidR="00F373A3" w:rsidRPr="00181FCD">
        <w:t xml:space="preserve"> </w:t>
      </w:r>
      <w:r w:rsidRPr="00181FCD">
        <w:t>de</w:t>
      </w:r>
      <w:r w:rsidR="00F373A3" w:rsidRPr="00181FCD">
        <w:t xml:space="preserve"> </w:t>
      </w:r>
      <w:r w:rsidRPr="00181FCD">
        <w:t>2015,</w:t>
      </w:r>
      <w:r w:rsidR="00F373A3" w:rsidRPr="00181FCD">
        <w:t xml:space="preserve"> </w:t>
      </w:r>
      <w:r w:rsidRPr="00181FCD">
        <w:t>relativo</w:t>
      </w:r>
      <w:r w:rsidR="00F373A3" w:rsidRPr="00181FCD">
        <w:t xml:space="preserve"> </w:t>
      </w:r>
      <w:r w:rsidRPr="00181FCD">
        <w:t>al</w:t>
      </w:r>
      <w:r w:rsidR="00F373A3" w:rsidRPr="00181FCD">
        <w:t xml:space="preserve"> </w:t>
      </w:r>
      <w:r w:rsidRPr="00181FCD">
        <w:t>procedimiento</w:t>
      </w:r>
      <w:r w:rsidR="00F373A3" w:rsidRPr="00181FCD">
        <w:t xml:space="preserve"> </w:t>
      </w:r>
      <w:r w:rsidRPr="00181FCD">
        <w:t>para</w:t>
      </w:r>
      <w:r w:rsidR="00F373A3" w:rsidRPr="00181FCD">
        <w:t xml:space="preserve"> </w:t>
      </w:r>
      <w:r w:rsidRPr="00181FCD">
        <w:t>el</w:t>
      </w:r>
      <w:r w:rsidR="00F373A3" w:rsidRPr="00181FCD">
        <w:t xml:space="preserve"> </w:t>
      </w:r>
      <w:r w:rsidRPr="00181FCD">
        <w:t>uso</w:t>
      </w:r>
      <w:r w:rsidR="00F373A3" w:rsidRPr="00181FCD">
        <w:t xml:space="preserve"> </w:t>
      </w:r>
      <w:r w:rsidRPr="00181FCD">
        <w:t>de</w:t>
      </w:r>
      <w:r w:rsidR="00F373A3" w:rsidRPr="00181FCD">
        <w:t xml:space="preserve"> </w:t>
      </w:r>
      <w:r w:rsidRPr="00181FCD">
        <w:t>la</w:t>
      </w:r>
      <w:r w:rsidR="00F373A3" w:rsidRPr="00181FCD">
        <w:t xml:space="preserve"> </w:t>
      </w:r>
      <w:r w:rsidRPr="00181FCD">
        <w:t>fuerza</w:t>
      </w:r>
      <w:r w:rsidR="00F373A3" w:rsidRPr="00181FCD">
        <w:t xml:space="preserve"> </w:t>
      </w:r>
      <w:r w:rsidRPr="00181FCD">
        <w:t>física</w:t>
      </w:r>
      <w:r w:rsidR="00F373A3" w:rsidRPr="00181FCD">
        <w:t xml:space="preserve"> </w:t>
      </w:r>
      <w:r w:rsidRPr="00181FCD">
        <w:t>y</w:t>
      </w:r>
      <w:r w:rsidR="00F373A3" w:rsidRPr="00181FCD">
        <w:t xml:space="preserve"> </w:t>
      </w:r>
      <w:r w:rsidRPr="00181FCD">
        <w:t>dispositivos</w:t>
      </w:r>
      <w:r w:rsidR="00F373A3" w:rsidRPr="00181FCD">
        <w:t xml:space="preserve"> </w:t>
      </w:r>
      <w:r w:rsidRPr="00181FCD">
        <w:t>auxiliares</w:t>
      </w:r>
      <w:r w:rsidR="00F373A3" w:rsidRPr="00181FCD">
        <w:t xml:space="preserve"> </w:t>
      </w:r>
      <w:r w:rsidRPr="00181FCD">
        <w:t>del</w:t>
      </w:r>
      <w:r w:rsidR="00F373A3" w:rsidRPr="00181FCD">
        <w:t xml:space="preserve"> </w:t>
      </w:r>
      <w:r w:rsidRPr="00181FCD">
        <w:t>Ministerio</w:t>
      </w:r>
      <w:r w:rsidR="00F373A3" w:rsidRPr="00181FCD">
        <w:t xml:space="preserve"> </w:t>
      </w:r>
      <w:r w:rsidRPr="00181FCD">
        <w:t>del</w:t>
      </w:r>
      <w:r w:rsidR="00F373A3" w:rsidRPr="00181FCD">
        <w:t xml:space="preserve"> </w:t>
      </w:r>
      <w:r w:rsidRPr="00181FCD">
        <w:t>Interior</w:t>
      </w:r>
      <w:r w:rsidR="00F373A3" w:rsidRPr="00181FCD">
        <w:t xml:space="preserve"> </w:t>
      </w:r>
      <w:r w:rsidRPr="00181FCD">
        <w:t>(promulgado</w:t>
      </w:r>
      <w:r w:rsidR="00F373A3" w:rsidRPr="00181FCD">
        <w:t xml:space="preserve"> </w:t>
      </w:r>
      <w:r w:rsidRPr="00181FCD">
        <w:t>SG.</w:t>
      </w:r>
      <w:r w:rsidR="00C820BE" w:rsidRPr="00181FCD">
        <w:t> núm</w:t>
      </w:r>
      <w:r w:rsidRPr="00181FCD">
        <w:t>.</w:t>
      </w:r>
      <w:r w:rsidR="00F373A3" w:rsidRPr="00181FCD">
        <w:t xml:space="preserve"> </w:t>
      </w:r>
      <w:r w:rsidRPr="00181FCD">
        <w:t>73,</w:t>
      </w:r>
      <w:r w:rsidR="00F373A3" w:rsidRPr="00181FCD">
        <w:t xml:space="preserve"> </w:t>
      </w:r>
      <w:r w:rsidRPr="00181FCD">
        <w:t>de</w:t>
      </w:r>
      <w:r w:rsidR="00F373A3" w:rsidRPr="00181FCD">
        <w:t xml:space="preserve"> </w:t>
      </w:r>
      <w:r w:rsidRPr="00181FCD">
        <w:t>25</w:t>
      </w:r>
      <w:r w:rsidR="00F373A3" w:rsidRPr="00181FCD">
        <w:t xml:space="preserve"> </w:t>
      </w:r>
      <w:r w:rsidRPr="00181FCD">
        <w:t>de</w:t>
      </w:r>
      <w:r w:rsidR="00F373A3" w:rsidRPr="00181FCD">
        <w:t xml:space="preserve"> </w:t>
      </w:r>
      <w:r w:rsidRPr="00181FCD">
        <w:t>septiembre</w:t>
      </w:r>
      <w:r w:rsidR="00F373A3" w:rsidRPr="00181FCD">
        <w:t xml:space="preserve"> </w:t>
      </w:r>
      <w:r w:rsidRPr="00181FCD">
        <w:t>de</w:t>
      </w:r>
      <w:r w:rsidR="00F373A3" w:rsidRPr="00181FCD">
        <w:t xml:space="preserve"> </w:t>
      </w:r>
      <w:r w:rsidRPr="00181FCD">
        <w:t>2015).</w:t>
      </w:r>
      <w:r w:rsidR="00F373A3" w:rsidRPr="00181FCD">
        <w:t xml:space="preserve"> </w:t>
      </w:r>
      <w:r w:rsidRPr="00181FCD">
        <w:t>El</w:t>
      </w:r>
      <w:r w:rsidR="00F373A3" w:rsidRPr="00181FCD">
        <w:t xml:space="preserve"> </w:t>
      </w:r>
      <w:r w:rsidRPr="00181FCD">
        <w:t>artículo</w:t>
      </w:r>
      <w:r w:rsidR="00F373A3" w:rsidRPr="00181FCD">
        <w:t xml:space="preserve"> </w:t>
      </w:r>
      <w:r w:rsidRPr="00181FCD">
        <w:t>87</w:t>
      </w:r>
      <w:r w:rsidR="00F373A3" w:rsidRPr="00181FCD">
        <w:t xml:space="preserve"> </w:t>
      </w:r>
      <w:r w:rsidRPr="00181FCD">
        <w:t>de</w:t>
      </w:r>
      <w:r w:rsidR="00F373A3" w:rsidRPr="00181FCD">
        <w:t xml:space="preserve"> </w:t>
      </w:r>
      <w:r w:rsidRPr="00181FCD">
        <w:t>la</w:t>
      </w:r>
      <w:r w:rsidR="00F373A3" w:rsidRPr="00181FCD">
        <w:t xml:space="preserve"> </w:t>
      </w:r>
      <w:r w:rsidR="00C820BE" w:rsidRPr="00181FCD">
        <w:t>ley</w:t>
      </w:r>
      <w:r w:rsidR="00F373A3" w:rsidRPr="00181FCD">
        <w:t xml:space="preserve"> </w:t>
      </w:r>
      <w:r w:rsidRPr="00181FCD">
        <w:t>citada</w:t>
      </w:r>
      <w:r w:rsidR="00F373A3" w:rsidRPr="00181FCD">
        <w:t xml:space="preserve"> </w:t>
      </w:r>
      <w:r w:rsidRPr="00181FCD">
        <w:t>rige</w:t>
      </w:r>
      <w:r w:rsidR="00F373A3" w:rsidRPr="00181FCD">
        <w:t xml:space="preserve"> </w:t>
      </w:r>
      <w:r w:rsidRPr="00181FCD">
        <w:t>los</w:t>
      </w:r>
      <w:r w:rsidR="00F373A3" w:rsidRPr="00181FCD">
        <w:t xml:space="preserve"> </w:t>
      </w:r>
      <w:r w:rsidRPr="00181FCD">
        <w:t>casos</w:t>
      </w:r>
      <w:r w:rsidR="00F373A3" w:rsidRPr="00181FCD">
        <w:t xml:space="preserve"> </w:t>
      </w:r>
      <w:r w:rsidRPr="00181FCD">
        <w:t>en</w:t>
      </w:r>
      <w:r w:rsidR="00F373A3" w:rsidRPr="00181FCD">
        <w:t xml:space="preserve"> </w:t>
      </w:r>
      <w:r w:rsidRPr="00181FCD">
        <w:t>que</w:t>
      </w:r>
      <w:r w:rsidR="00F373A3" w:rsidRPr="00181FCD">
        <w:t xml:space="preserve"> </w:t>
      </w:r>
      <w:r w:rsidRPr="00181FCD">
        <w:t>las</w:t>
      </w:r>
      <w:r w:rsidR="00F373A3" w:rsidRPr="00181FCD">
        <w:t xml:space="preserve"> </w:t>
      </w:r>
      <w:r w:rsidRPr="00181FCD">
        <w:t>autoridades</w:t>
      </w:r>
      <w:r w:rsidR="00F373A3" w:rsidRPr="00181FCD">
        <w:t xml:space="preserve"> </w:t>
      </w:r>
      <w:r w:rsidRPr="00181FCD">
        <w:t>policiales</w:t>
      </w:r>
      <w:r w:rsidR="00F373A3" w:rsidRPr="00181FCD">
        <w:t xml:space="preserve"> </w:t>
      </w:r>
      <w:r w:rsidRPr="00181FCD">
        <w:t>pueden</w:t>
      </w:r>
      <w:r w:rsidR="00F373A3" w:rsidRPr="00181FCD">
        <w:t xml:space="preserve"> </w:t>
      </w:r>
      <w:r w:rsidRPr="00181FCD">
        <w:t>usar</w:t>
      </w:r>
      <w:r w:rsidR="00F373A3" w:rsidRPr="00181FCD">
        <w:t xml:space="preserve"> </w:t>
      </w:r>
      <w:r w:rsidRPr="00181FCD">
        <w:t>armas</w:t>
      </w:r>
      <w:r w:rsidR="00F373A3" w:rsidRPr="00181FCD">
        <w:t xml:space="preserve"> </w:t>
      </w:r>
      <w:r w:rsidRPr="00181FCD">
        <w:t>de</w:t>
      </w:r>
      <w:r w:rsidR="00F373A3" w:rsidRPr="00181FCD">
        <w:t xml:space="preserve"> </w:t>
      </w:r>
      <w:r w:rsidRPr="00181FCD">
        <w:t>fuego.</w:t>
      </w:r>
    </w:p>
    <w:p w:rsidR="001937F4" w:rsidRPr="00181FCD" w:rsidRDefault="001937F4" w:rsidP="00347B20">
      <w:pPr>
        <w:pStyle w:val="SingleTxtG"/>
        <w:suppressAutoHyphens/>
      </w:pPr>
      <w:r w:rsidRPr="00181FCD">
        <w:t>12.</w:t>
      </w:r>
      <w:r w:rsidRPr="00181FCD">
        <w:tab/>
        <w:t>El</w:t>
      </w:r>
      <w:r w:rsidR="00F373A3" w:rsidRPr="00181FCD">
        <w:t xml:space="preserve"> </w:t>
      </w:r>
      <w:r w:rsidRPr="00181FCD">
        <w:t>uso</w:t>
      </w:r>
      <w:r w:rsidR="00F373A3" w:rsidRPr="00181FCD">
        <w:t xml:space="preserve"> </w:t>
      </w:r>
      <w:r w:rsidRPr="00181FCD">
        <w:t>de</w:t>
      </w:r>
      <w:r w:rsidR="00F373A3" w:rsidRPr="00181FCD">
        <w:t xml:space="preserve"> </w:t>
      </w:r>
      <w:r w:rsidRPr="00181FCD">
        <w:t>la</w:t>
      </w:r>
      <w:r w:rsidR="00F373A3" w:rsidRPr="00181FCD">
        <w:t xml:space="preserve"> </w:t>
      </w:r>
      <w:r w:rsidRPr="00181FCD">
        <w:t>fuerza</w:t>
      </w:r>
      <w:r w:rsidR="00F373A3" w:rsidRPr="00181FCD">
        <w:t xml:space="preserve"> </w:t>
      </w:r>
      <w:r w:rsidRPr="00181FCD">
        <w:t>física,</w:t>
      </w:r>
      <w:r w:rsidR="00F373A3" w:rsidRPr="00181FCD">
        <w:t xml:space="preserve"> </w:t>
      </w:r>
      <w:r w:rsidRPr="00181FCD">
        <w:t>dispositivos</w:t>
      </w:r>
      <w:r w:rsidR="00F373A3" w:rsidRPr="00181FCD">
        <w:t xml:space="preserve"> </w:t>
      </w:r>
      <w:r w:rsidRPr="00181FCD">
        <w:t>auxiliares</w:t>
      </w:r>
      <w:r w:rsidR="00F373A3" w:rsidRPr="00181FCD">
        <w:t xml:space="preserve"> </w:t>
      </w:r>
      <w:r w:rsidRPr="00181FCD">
        <w:t>o</w:t>
      </w:r>
      <w:r w:rsidR="00F373A3" w:rsidRPr="00181FCD">
        <w:t xml:space="preserve"> </w:t>
      </w:r>
      <w:r w:rsidRPr="00181FCD">
        <w:t>armas</w:t>
      </w:r>
      <w:r w:rsidR="00F373A3" w:rsidRPr="00181FCD">
        <w:t xml:space="preserve"> </w:t>
      </w:r>
      <w:r w:rsidRPr="00181FCD">
        <w:t>está</w:t>
      </w:r>
      <w:r w:rsidR="00F373A3" w:rsidRPr="00181FCD">
        <w:t xml:space="preserve"> </w:t>
      </w:r>
      <w:r w:rsidRPr="00181FCD">
        <w:t>permitido</w:t>
      </w:r>
      <w:r w:rsidR="00F373A3" w:rsidRPr="00181FCD">
        <w:t xml:space="preserve"> </w:t>
      </w:r>
      <w:r w:rsidRPr="00181FCD">
        <w:t>solo</w:t>
      </w:r>
      <w:r w:rsidR="00F373A3" w:rsidRPr="00181FCD">
        <w:t xml:space="preserve"> </w:t>
      </w:r>
      <w:r w:rsidRPr="00181FCD">
        <w:t>cuando</w:t>
      </w:r>
      <w:r w:rsidR="00F373A3" w:rsidRPr="00181FCD">
        <w:t xml:space="preserve"> </w:t>
      </w:r>
      <w:r w:rsidRPr="00181FCD">
        <w:t>es</w:t>
      </w:r>
      <w:r w:rsidR="00F373A3" w:rsidRPr="00181FCD">
        <w:t xml:space="preserve"> </w:t>
      </w:r>
      <w:r w:rsidRPr="00181FCD">
        <w:t>absolutamente</w:t>
      </w:r>
      <w:r w:rsidR="00F373A3" w:rsidRPr="00181FCD">
        <w:t xml:space="preserve"> </w:t>
      </w:r>
      <w:r w:rsidRPr="00181FCD">
        <w:t>necesario</w:t>
      </w:r>
      <w:r w:rsidR="00F373A3" w:rsidRPr="00181FCD">
        <w:t xml:space="preserve"> </w:t>
      </w:r>
      <w:r w:rsidRPr="00181FCD">
        <w:t>y</w:t>
      </w:r>
      <w:r w:rsidR="00F373A3" w:rsidRPr="00181FCD">
        <w:t xml:space="preserve"> </w:t>
      </w:r>
      <w:r w:rsidRPr="00181FCD">
        <w:t>está</w:t>
      </w:r>
      <w:r w:rsidR="00F373A3" w:rsidRPr="00181FCD">
        <w:t xml:space="preserve"> </w:t>
      </w:r>
      <w:r w:rsidRPr="00181FCD">
        <w:t>especificado</w:t>
      </w:r>
      <w:r w:rsidR="00F373A3" w:rsidRPr="00181FCD">
        <w:t xml:space="preserve"> </w:t>
      </w:r>
      <w:r w:rsidRPr="00181FCD">
        <w:t>exhaustivamente</w:t>
      </w:r>
      <w:r w:rsidR="00F373A3" w:rsidRPr="00181FCD">
        <w:t xml:space="preserve"> </w:t>
      </w:r>
      <w:r w:rsidRPr="00181FCD">
        <w:t>en</w:t>
      </w:r>
      <w:r w:rsidR="00F373A3" w:rsidRPr="00181FCD">
        <w:t xml:space="preserve"> </w:t>
      </w:r>
      <w:r w:rsidRPr="00181FCD">
        <w:t>las</w:t>
      </w:r>
      <w:r w:rsidR="00F373A3" w:rsidRPr="00181FCD">
        <w:t xml:space="preserve"> </w:t>
      </w:r>
      <w:r w:rsidRPr="00181FCD">
        <w:t>hipótesis</w:t>
      </w:r>
      <w:r w:rsidR="00F373A3" w:rsidRPr="00181FCD">
        <w:t xml:space="preserve"> </w:t>
      </w:r>
      <w:r w:rsidRPr="00181FCD">
        <w:t>de</w:t>
      </w:r>
      <w:r w:rsidR="00F373A3" w:rsidRPr="00181FCD">
        <w:t xml:space="preserve"> </w:t>
      </w:r>
      <w:r w:rsidRPr="00181FCD">
        <w:t>la</w:t>
      </w:r>
      <w:r w:rsidR="00F373A3" w:rsidRPr="00181FCD">
        <w:t xml:space="preserve"> </w:t>
      </w:r>
      <w:r w:rsidRPr="00181FCD">
        <w:t>Ley</w:t>
      </w:r>
      <w:r w:rsidR="00F373A3" w:rsidRPr="00181FCD">
        <w:t xml:space="preserve"> </w:t>
      </w:r>
      <w:r w:rsidRPr="00181FCD">
        <w:t>del</w:t>
      </w:r>
      <w:r w:rsidR="00F373A3" w:rsidRPr="00181FCD">
        <w:t xml:space="preserve"> </w:t>
      </w:r>
      <w:r w:rsidRPr="00181FCD">
        <w:t>Ministerio</w:t>
      </w:r>
      <w:r w:rsidR="00F373A3" w:rsidRPr="00181FCD">
        <w:t xml:space="preserve"> </w:t>
      </w:r>
      <w:r w:rsidRPr="00181FCD">
        <w:t>del</w:t>
      </w:r>
      <w:r w:rsidR="00F373A3" w:rsidRPr="00181FCD">
        <w:t xml:space="preserve"> </w:t>
      </w:r>
      <w:r w:rsidRPr="00181FCD">
        <w:t>Interior.</w:t>
      </w:r>
      <w:r w:rsidR="00F373A3" w:rsidRPr="00181FCD">
        <w:t xml:space="preserve"> </w:t>
      </w:r>
      <w:r w:rsidRPr="00181FCD">
        <w:t>Solo</w:t>
      </w:r>
      <w:r w:rsidR="00F373A3" w:rsidRPr="00181FCD">
        <w:t xml:space="preserve"> </w:t>
      </w:r>
      <w:r w:rsidRPr="00181FCD">
        <w:t>han</w:t>
      </w:r>
      <w:r w:rsidR="00F373A3" w:rsidRPr="00181FCD">
        <w:t xml:space="preserve"> </w:t>
      </w:r>
      <w:r w:rsidRPr="00181FCD">
        <w:t>de</w:t>
      </w:r>
      <w:r w:rsidR="00F373A3" w:rsidRPr="00181FCD">
        <w:t xml:space="preserve"> </w:t>
      </w:r>
      <w:r w:rsidRPr="00181FCD">
        <w:t>utilizarse</w:t>
      </w:r>
      <w:r w:rsidR="00F373A3" w:rsidRPr="00181FCD">
        <w:t xml:space="preserve"> </w:t>
      </w:r>
      <w:r w:rsidRPr="00181FCD">
        <w:t>para</w:t>
      </w:r>
      <w:r w:rsidR="00F373A3" w:rsidRPr="00181FCD">
        <w:t xml:space="preserve"> </w:t>
      </w:r>
      <w:r w:rsidRPr="00181FCD">
        <w:t>lograr</w:t>
      </w:r>
      <w:r w:rsidR="00F373A3" w:rsidRPr="00181FCD">
        <w:t xml:space="preserve"> </w:t>
      </w:r>
      <w:r w:rsidRPr="00181FCD">
        <w:t>el</w:t>
      </w:r>
      <w:r w:rsidR="00F373A3" w:rsidRPr="00181FCD">
        <w:t xml:space="preserve"> </w:t>
      </w:r>
      <w:r w:rsidRPr="00181FCD">
        <w:t>cometido</w:t>
      </w:r>
      <w:r w:rsidR="00F373A3" w:rsidRPr="00181FCD">
        <w:t xml:space="preserve"> </w:t>
      </w:r>
      <w:r w:rsidRPr="00181FCD">
        <w:t>jurídico</w:t>
      </w:r>
      <w:r w:rsidR="00F373A3" w:rsidRPr="00181FCD">
        <w:t xml:space="preserve"> </w:t>
      </w:r>
      <w:r w:rsidRPr="00181FCD">
        <w:t>en</w:t>
      </w:r>
      <w:r w:rsidR="00F373A3" w:rsidRPr="00181FCD">
        <w:t xml:space="preserve"> </w:t>
      </w:r>
      <w:r w:rsidRPr="00181FCD">
        <w:t>la</w:t>
      </w:r>
      <w:r w:rsidR="00F373A3" w:rsidRPr="00181FCD">
        <w:t xml:space="preserve"> </w:t>
      </w:r>
      <w:r w:rsidRPr="00181FCD">
        <w:t>situación,</w:t>
      </w:r>
      <w:r w:rsidR="00F373A3" w:rsidRPr="00181FCD">
        <w:t xml:space="preserve"> </w:t>
      </w:r>
      <w:r w:rsidRPr="00181FCD">
        <w:t>con</w:t>
      </w:r>
      <w:r w:rsidR="00F373A3" w:rsidRPr="00181FCD">
        <w:t xml:space="preserve"> </w:t>
      </w:r>
      <w:r w:rsidRPr="00181FCD">
        <w:t>el</w:t>
      </w:r>
      <w:r w:rsidR="00F373A3" w:rsidRPr="00181FCD">
        <w:t xml:space="preserve"> </w:t>
      </w:r>
      <w:r w:rsidRPr="00181FCD">
        <w:t>mínimo</w:t>
      </w:r>
      <w:r w:rsidR="00F373A3" w:rsidRPr="00181FCD">
        <w:t xml:space="preserve"> </w:t>
      </w:r>
      <w:r w:rsidRPr="00181FCD">
        <w:t>riesgo</w:t>
      </w:r>
      <w:r w:rsidR="00F373A3" w:rsidRPr="00181FCD">
        <w:t xml:space="preserve"> </w:t>
      </w:r>
      <w:r w:rsidRPr="00181FCD">
        <w:t>para</w:t>
      </w:r>
      <w:r w:rsidR="00F373A3" w:rsidRPr="00181FCD">
        <w:t xml:space="preserve"> </w:t>
      </w:r>
      <w:r w:rsidRPr="00181FCD">
        <w:t>la</w:t>
      </w:r>
      <w:r w:rsidR="00F373A3" w:rsidRPr="00181FCD">
        <w:t xml:space="preserve"> </w:t>
      </w:r>
      <w:r w:rsidRPr="00181FCD">
        <w:t>vida</w:t>
      </w:r>
      <w:r w:rsidR="00F373A3" w:rsidRPr="00181FCD">
        <w:t xml:space="preserve"> </w:t>
      </w:r>
      <w:r w:rsidRPr="00181FCD">
        <w:t>y</w:t>
      </w:r>
      <w:r w:rsidR="00F373A3" w:rsidRPr="00181FCD">
        <w:t xml:space="preserve"> </w:t>
      </w:r>
      <w:r w:rsidRPr="00181FCD">
        <w:t>la</w:t>
      </w:r>
      <w:r w:rsidR="00F373A3" w:rsidRPr="00181FCD">
        <w:t xml:space="preserve"> </w:t>
      </w:r>
      <w:r w:rsidRPr="00181FCD">
        <w:t>salud</w:t>
      </w:r>
      <w:r w:rsidR="00F373A3" w:rsidRPr="00181FCD">
        <w:t xml:space="preserve"> </w:t>
      </w:r>
      <w:r w:rsidRPr="00181FCD">
        <w:t>de</w:t>
      </w:r>
      <w:r w:rsidR="00F373A3" w:rsidRPr="00181FCD">
        <w:t xml:space="preserve"> </w:t>
      </w:r>
      <w:r w:rsidRPr="00181FCD">
        <w:t>los</w:t>
      </w:r>
      <w:r w:rsidR="00F373A3" w:rsidRPr="00181FCD">
        <w:t xml:space="preserve"> </w:t>
      </w:r>
      <w:r w:rsidRPr="00181FCD">
        <w:t>ciudadanos.</w:t>
      </w:r>
    </w:p>
    <w:p w:rsidR="001937F4" w:rsidRPr="00181FCD" w:rsidRDefault="001937F4" w:rsidP="00347B20">
      <w:pPr>
        <w:pStyle w:val="SingleTxtG"/>
        <w:suppressAutoHyphens/>
      </w:pPr>
      <w:r w:rsidRPr="00181FCD">
        <w:t>13.</w:t>
      </w:r>
      <w:r w:rsidRPr="00181FCD">
        <w:tab/>
        <w:t>La</w:t>
      </w:r>
      <w:r w:rsidR="00F373A3" w:rsidRPr="00181FCD">
        <w:t xml:space="preserve"> </w:t>
      </w:r>
      <w:r w:rsidRPr="00181FCD">
        <w:t>capacitación</w:t>
      </w:r>
      <w:r w:rsidR="00F373A3" w:rsidRPr="00181FCD">
        <w:t xml:space="preserve"> </w:t>
      </w:r>
      <w:r w:rsidRPr="00181FCD">
        <w:t>de</w:t>
      </w:r>
      <w:r w:rsidR="00F373A3" w:rsidRPr="00181FCD">
        <w:t xml:space="preserve"> </w:t>
      </w:r>
      <w:r w:rsidRPr="00181FCD">
        <w:t>los</w:t>
      </w:r>
      <w:r w:rsidR="00F373A3" w:rsidRPr="00181FCD">
        <w:t xml:space="preserve"> </w:t>
      </w:r>
      <w:r w:rsidRPr="00181FCD">
        <w:t>funcionarios</w:t>
      </w:r>
      <w:r w:rsidR="00F373A3" w:rsidRPr="00181FCD">
        <w:t xml:space="preserve"> </w:t>
      </w:r>
      <w:r w:rsidRPr="00181FCD">
        <w:t>de</w:t>
      </w:r>
      <w:r w:rsidR="00F373A3" w:rsidRPr="00181FCD">
        <w:t xml:space="preserve"> </w:t>
      </w:r>
      <w:r w:rsidRPr="00181FCD">
        <w:t>policía</w:t>
      </w:r>
      <w:r w:rsidR="00F373A3" w:rsidRPr="00181FCD">
        <w:t xml:space="preserve"> </w:t>
      </w:r>
      <w:r w:rsidRPr="00181FCD">
        <w:t>en</w:t>
      </w:r>
      <w:r w:rsidR="00F373A3" w:rsidRPr="00181FCD">
        <w:t xml:space="preserve"> </w:t>
      </w:r>
      <w:r w:rsidRPr="00181FCD">
        <w:t>relación</w:t>
      </w:r>
      <w:r w:rsidR="00F373A3" w:rsidRPr="00181FCD">
        <w:t xml:space="preserve"> </w:t>
      </w:r>
      <w:r w:rsidRPr="00181FCD">
        <w:t>con</w:t>
      </w:r>
      <w:r w:rsidR="00F373A3" w:rsidRPr="00181FCD">
        <w:t xml:space="preserve"> </w:t>
      </w:r>
      <w:r w:rsidRPr="00181FCD">
        <w:t>el</w:t>
      </w:r>
      <w:r w:rsidR="00F373A3" w:rsidRPr="00181FCD">
        <w:t xml:space="preserve"> </w:t>
      </w:r>
      <w:r w:rsidRPr="00181FCD">
        <w:t>uso</w:t>
      </w:r>
      <w:r w:rsidR="00F373A3" w:rsidRPr="00181FCD">
        <w:t xml:space="preserve"> </w:t>
      </w:r>
      <w:r w:rsidRPr="00181FCD">
        <w:t>de</w:t>
      </w:r>
      <w:r w:rsidR="00F373A3" w:rsidRPr="00181FCD">
        <w:t xml:space="preserve"> </w:t>
      </w:r>
      <w:r w:rsidRPr="00181FCD">
        <w:t>la</w:t>
      </w:r>
      <w:r w:rsidR="00F373A3" w:rsidRPr="00181FCD">
        <w:t xml:space="preserve"> </w:t>
      </w:r>
      <w:r w:rsidRPr="00181FCD">
        <w:t>fuerza</w:t>
      </w:r>
      <w:r w:rsidR="00F373A3" w:rsidRPr="00181FCD">
        <w:t xml:space="preserve"> </w:t>
      </w:r>
      <w:r w:rsidRPr="00181FCD">
        <w:t>física,</w:t>
      </w:r>
      <w:r w:rsidR="00F373A3" w:rsidRPr="00181FCD">
        <w:t xml:space="preserve"> </w:t>
      </w:r>
      <w:r w:rsidRPr="00181FCD">
        <w:t>dispositivos</w:t>
      </w:r>
      <w:r w:rsidR="00F373A3" w:rsidRPr="00181FCD">
        <w:t xml:space="preserve"> </w:t>
      </w:r>
      <w:r w:rsidRPr="00181FCD">
        <w:t>auxiliares</w:t>
      </w:r>
      <w:r w:rsidR="00F373A3" w:rsidRPr="00181FCD">
        <w:t xml:space="preserve"> </w:t>
      </w:r>
      <w:r w:rsidRPr="00181FCD">
        <w:t>o</w:t>
      </w:r>
      <w:r w:rsidR="00F373A3" w:rsidRPr="00181FCD">
        <w:t xml:space="preserve"> </w:t>
      </w:r>
      <w:r w:rsidRPr="00181FCD">
        <w:t>armas</w:t>
      </w:r>
      <w:r w:rsidR="00F373A3" w:rsidRPr="00181FCD">
        <w:t xml:space="preserve"> </w:t>
      </w:r>
      <w:r w:rsidRPr="00181FCD">
        <w:t>está</w:t>
      </w:r>
      <w:r w:rsidR="00F373A3" w:rsidRPr="00181FCD">
        <w:t xml:space="preserve"> </w:t>
      </w:r>
      <w:r w:rsidRPr="00181FCD">
        <w:t>plenamente</w:t>
      </w:r>
      <w:r w:rsidR="00F373A3" w:rsidRPr="00181FCD">
        <w:t xml:space="preserve"> </w:t>
      </w:r>
      <w:r w:rsidRPr="00181FCD">
        <w:t>en</w:t>
      </w:r>
      <w:r w:rsidR="00F373A3" w:rsidRPr="00181FCD">
        <w:t xml:space="preserve"> </w:t>
      </w:r>
      <w:r w:rsidRPr="00181FCD">
        <w:t>consonancia</w:t>
      </w:r>
      <w:r w:rsidR="00F373A3" w:rsidRPr="00181FCD">
        <w:t xml:space="preserve"> </w:t>
      </w:r>
      <w:r w:rsidRPr="00181FCD">
        <w:t>con</w:t>
      </w:r>
      <w:r w:rsidR="00F373A3" w:rsidRPr="00181FCD">
        <w:t xml:space="preserve"> </w:t>
      </w:r>
      <w:r w:rsidRPr="00181FCD">
        <w:t>las</w:t>
      </w:r>
      <w:r w:rsidR="00F373A3" w:rsidRPr="00181FCD">
        <w:t xml:space="preserve"> </w:t>
      </w:r>
      <w:r w:rsidRPr="00181FCD">
        <w:t>normas</w:t>
      </w:r>
      <w:r w:rsidR="00F373A3" w:rsidRPr="00181FCD">
        <w:t xml:space="preserve"> </w:t>
      </w:r>
      <w:r w:rsidRPr="00181FCD">
        <w:t>internacionales</w:t>
      </w:r>
      <w:r w:rsidR="00F373A3" w:rsidRPr="00181FCD">
        <w:t xml:space="preserve"> </w:t>
      </w:r>
      <w:r w:rsidRPr="00181FCD">
        <w:t>en</w:t>
      </w:r>
      <w:r w:rsidR="00F373A3" w:rsidRPr="00181FCD">
        <w:t xml:space="preserve"> </w:t>
      </w:r>
      <w:r w:rsidRPr="00181FCD">
        <w:t>la</w:t>
      </w:r>
      <w:r w:rsidR="00F373A3" w:rsidRPr="00181FCD">
        <w:t xml:space="preserve"> </w:t>
      </w:r>
      <w:r w:rsidRPr="00181FCD">
        <w:t>materia.</w:t>
      </w:r>
    </w:p>
    <w:p w:rsidR="001937F4" w:rsidRPr="00181FCD" w:rsidRDefault="001937F4" w:rsidP="00347B20">
      <w:pPr>
        <w:pStyle w:val="SingleTxtG"/>
        <w:suppressAutoHyphens/>
      </w:pPr>
      <w:r w:rsidRPr="00181FCD">
        <w:t>14.</w:t>
      </w:r>
      <w:r w:rsidRPr="00181FCD">
        <w:tab/>
        <w:t>La</w:t>
      </w:r>
      <w:r w:rsidR="00F373A3" w:rsidRPr="00181FCD">
        <w:t xml:space="preserve"> </w:t>
      </w:r>
      <w:r w:rsidRPr="00181FCD">
        <w:t>Academia</w:t>
      </w:r>
      <w:r w:rsidR="00F373A3" w:rsidRPr="00181FCD">
        <w:t xml:space="preserve"> </w:t>
      </w:r>
      <w:r w:rsidRPr="00181FCD">
        <w:t>del</w:t>
      </w:r>
      <w:r w:rsidR="00F373A3" w:rsidRPr="00181FCD">
        <w:t xml:space="preserve"> </w:t>
      </w:r>
      <w:r w:rsidRPr="00181FCD">
        <w:t>Ministerio</w:t>
      </w:r>
      <w:r w:rsidR="00F373A3" w:rsidRPr="00181FCD">
        <w:t xml:space="preserve"> </w:t>
      </w:r>
      <w:r w:rsidRPr="00181FCD">
        <w:t>del</w:t>
      </w:r>
      <w:r w:rsidR="00F373A3" w:rsidRPr="00181FCD">
        <w:t xml:space="preserve"> </w:t>
      </w:r>
      <w:r w:rsidRPr="00181FCD">
        <w:t>Interior</w:t>
      </w:r>
      <w:r w:rsidR="00F373A3" w:rsidRPr="00181FCD">
        <w:t xml:space="preserve"> </w:t>
      </w:r>
      <w:r w:rsidRPr="00181FCD">
        <w:t>es</w:t>
      </w:r>
      <w:r w:rsidR="00F373A3" w:rsidRPr="00181FCD">
        <w:t xml:space="preserve"> </w:t>
      </w:r>
      <w:r w:rsidRPr="00181FCD">
        <w:t>actualmente</w:t>
      </w:r>
      <w:r w:rsidR="00F373A3" w:rsidRPr="00181FCD">
        <w:t xml:space="preserve"> </w:t>
      </w:r>
      <w:r w:rsidRPr="00181FCD">
        <w:t>beneficiaria</w:t>
      </w:r>
      <w:r w:rsidR="00F373A3" w:rsidRPr="00181FCD">
        <w:t xml:space="preserve"> </w:t>
      </w:r>
      <w:r w:rsidRPr="00181FCD">
        <w:t>del</w:t>
      </w:r>
      <w:r w:rsidR="00F373A3" w:rsidRPr="00181FCD">
        <w:t xml:space="preserve"> </w:t>
      </w:r>
      <w:r w:rsidRPr="00181FCD">
        <w:t>proyecto</w:t>
      </w:r>
      <w:r w:rsidR="00F373A3" w:rsidRPr="00181FCD">
        <w:t xml:space="preserve"> "</w:t>
      </w:r>
      <w:r w:rsidRPr="00181FCD">
        <w:t>Protección</w:t>
      </w:r>
      <w:r w:rsidR="00F373A3" w:rsidRPr="00181FCD">
        <w:t xml:space="preserve"> </w:t>
      </w:r>
      <w:r w:rsidRPr="00181FCD">
        <w:t>de</w:t>
      </w:r>
      <w:r w:rsidR="00F373A3" w:rsidRPr="00181FCD">
        <w:t xml:space="preserve"> </w:t>
      </w:r>
      <w:r w:rsidRPr="00181FCD">
        <w:t>los</w:t>
      </w:r>
      <w:r w:rsidR="00F373A3" w:rsidRPr="00181FCD">
        <w:t xml:space="preserve"> </w:t>
      </w:r>
      <w:r w:rsidRPr="00181FCD">
        <w:t>derechos</w:t>
      </w:r>
      <w:r w:rsidR="00F373A3" w:rsidRPr="00181FCD">
        <w:t xml:space="preserve"> </w:t>
      </w:r>
      <w:r w:rsidRPr="00181FCD">
        <w:t>humanos</w:t>
      </w:r>
      <w:r w:rsidR="00F373A3" w:rsidRPr="00181FCD">
        <w:t xml:space="preserve"> </w:t>
      </w:r>
      <w:r w:rsidRPr="00181FCD">
        <w:t>y</w:t>
      </w:r>
      <w:r w:rsidR="00F373A3" w:rsidRPr="00181FCD">
        <w:t xml:space="preserve"> </w:t>
      </w:r>
      <w:r w:rsidRPr="00181FCD">
        <w:t>formación</w:t>
      </w:r>
      <w:r w:rsidR="00F373A3" w:rsidRPr="00181FCD">
        <w:t xml:space="preserve"> </w:t>
      </w:r>
      <w:r w:rsidRPr="00181FCD">
        <w:t>para</w:t>
      </w:r>
      <w:r w:rsidR="00F373A3" w:rsidRPr="00181FCD">
        <w:t xml:space="preserve"> </w:t>
      </w:r>
      <w:r w:rsidRPr="00181FCD">
        <w:t>adquirir</w:t>
      </w:r>
      <w:r w:rsidR="00F373A3" w:rsidRPr="00181FCD">
        <w:t xml:space="preserve"> </w:t>
      </w:r>
      <w:r w:rsidRPr="00181FCD">
        <w:t>los</w:t>
      </w:r>
      <w:r w:rsidR="00F373A3" w:rsidRPr="00181FCD">
        <w:t xml:space="preserve"> </w:t>
      </w:r>
      <w:r w:rsidRPr="00181FCD">
        <w:t>conocimientos</w:t>
      </w:r>
      <w:r w:rsidR="00F373A3" w:rsidRPr="00181FCD">
        <w:t xml:space="preserve"> </w:t>
      </w:r>
      <w:r w:rsidRPr="00181FCD">
        <w:t>y</w:t>
      </w:r>
      <w:r w:rsidR="00F373A3" w:rsidRPr="00181FCD">
        <w:t xml:space="preserve"> </w:t>
      </w:r>
      <w:r w:rsidRPr="00181FCD">
        <w:t>aptitudes</w:t>
      </w:r>
      <w:r w:rsidR="00F373A3" w:rsidRPr="00181FCD">
        <w:t xml:space="preserve"> </w:t>
      </w:r>
      <w:r w:rsidRPr="00181FCD">
        <w:t>necesarios</w:t>
      </w:r>
      <w:r w:rsidR="00F373A3" w:rsidRPr="00181FCD">
        <w:t xml:space="preserve"> </w:t>
      </w:r>
      <w:r w:rsidRPr="00181FCD">
        <w:t>de</w:t>
      </w:r>
      <w:r w:rsidR="00F373A3" w:rsidRPr="00181FCD">
        <w:t xml:space="preserve"> </w:t>
      </w:r>
      <w:r w:rsidRPr="00181FCD">
        <w:t>los</w:t>
      </w:r>
      <w:r w:rsidR="00F373A3" w:rsidRPr="00181FCD">
        <w:t xml:space="preserve"> </w:t>
      </w:r>
      <w:r w:rsidRPr="00181FCD">
        <w:t>funcionarios</w:t>
      </w:r>
      <w:r w:rsidR="00F373A3" w:rsidRPr="00181FCD">
        <w:t xml:space="preserve"> </w:t>
      </w:r>
      <w:r w:rsidRPr="00181FCD">
        <w:t>de</w:t>
      </w:r>
      <w:r w:rsidR="00F373A3" w:rsidRPr="00181FCD">
        <w:t xml:space="preserve"> </w:t>
      </w:r>
      <w:r w:rsidRPr="00181FCD">
        <w:t>policía</w:t>
      </w:r>
      <w:r w:rsidR="00F373A3" w:rsidRPr="00181FCD">
        <w:t xml:space="preserve"> </w:t>
      </w:r>
      <w:r w:rsidRPr="00181FCD">
        <w:t>que</w:t>
      </w:r>
      <w:r w:rsidR="00F373A3" w:rsidRPr="00181FCD">
        <w:t xml:space="preserve"> </w:t>
      </w:r>
      <w:r w:rsidRPr="00181FCD">
        <w:t>trabajan</w:t>
      </w:r>
      <w:r w:rsidR="00F373A3" w:rsidRPr="00181FCD">
        <w:t xml:space="preserve"> </w:t>
      </w:r>
      <w:r w:rsidRPr="00181FCD">
        <w:t>en</w:t>
      </w:r>
      <w:r w:rsidR="00F373A3" w:rsidRPr="00181FCD">
        <w:t xml:space="preserve"> </w:t>
      </w:r>
      <w:r w:rsidRPr="00181FCD">
        <w:t>un</w:t>
      </w:r>
      <w:r w:rsidR="00F373A3" w:rsidRPr="00181FCD">
        <w:t xml:space="preserve"> </w:t>
      </w:r>
      <w:r w:rsidRPr="00181FCD">
        <w:t>ambiente</w:t>
      </w:r>
      <w:r w:rsidR="00F373A3" w:rsidRPr="00181FCD">
        <w:t xml:space="preserve"> </w:t>
      </w:r>
      <w:r w:rsidRPr="00181FCD">
        <w:t>multicultural,</w:t>
      </w:r>
      <w:r w:rsidR="00F373A3" w:rsidRPr="00181FCD">
        <w:t xml:space="preserve"> </w:t>
      </w:r>
      <w:r w:rsidRPr="00181FCD">
        <w:t>en</w:t>
      </w:r>
      <w:r w:rsidR="00F373A3" w:rsidRPr="00181FCD">
        <w:t xml:space="preserve"> </w:t>
      </w:r>
      <w:r w:rsidRPr="00181FCD">
        <w:t>particular,</w:t>
      </w:r>
      <w:r w:rsidR="00F373A3" w:rsidRPr="00181FCD">
        <w:t xml:space="preserve"> </w:t>
      </w:r>
      <w:r w:rsidRPr="00181FCD">
        <w:t>la</w:t>
      </w:r>
      <w:r w:rsidR="00F373A3" w:rsidRPr="00181FCD">
        <w:t xml:space="preserve"> </w:t>
      </w:r>
      <w:r w:rsidRPr="00181FCD">
        <w:t>comunidad</w:t>
      </w:r>
      <w:r w:rsidR="00F373A3" w:rsidRPr="00181FCD">
        <w:t xml:space="preserve"> </w:t>
      </w:r>
      <w:r w:rsidRPr="00181FCD">
        <w:t>romaní</w:t>
      </w:r>
      <w:r w:rsidR="00F373A3" w:rsidRPr="00181FCD">
        <w:t>"</w:t>
      </w:r>
      <w:r w:rsidRPr="00181FCD">
        <w:t>,</w:t>
      </w:r>
      <w:r w:rsidR="00F373A3" w:rsidRPr="00181FCD">
        <w:t xml:space="preserve"> </w:t>
      </w:r>
      <w:r w:rsidRPr="00181FCD">
        <w:t>financiado</w:t>
      </w:r>
      <w:r w:rsidR="00F373A3" w:rsidRPr="00181FCD">
        <w:t xml:space="preserve"> </w:t>
      </w:r>
      <w:r w:rsidRPr="00181FCD">
        <w:t>por</w:t>
      </w:r>
      <w:r w:rsidR="00F373A3" w:rsidRPr="00181FCD">
        <w:t xml:space="preserve"> </w:t>
      </w:r>
      <w:r w:rsidRPr="00181FCD">
        <w:t>el</w:t>
      </w:r>
      <w:r w:rsidR="00F373A3" w:rsidRPr="00181FCD">
        <w:t xml:space="preserve"> </w:t>
      </w:r>
      <w:r w:rsidRPr="00181FCD">
        <w:t>Mecanismo</w:t>
      </w:r>
      <w:r w:rsidR="00F373A3" w:rsidRPr="00181FCD">
        <w:t xml:space="preserve"> </w:t>
      </w:r>
      <w:r w:rsidRPr="00181FCD">
        <w:t>Financiero</w:t>
      </w:r>
      <w:r w:rsidR="00F373A3" w:rsidRPr="00181FCD">
        <w:t xml:space="preserve"> </w:t>
      </w:r>
      <w:r w:rsidRPr="00181FCD">
        <w:t>Noruego</w:t>
      </w:r>
      <w:r w:rsidR="00F373A3" w:rsidRPr="00181FCD">
        <w:t xml:space="preserve"> </w:t>
      </w:r>
      <w:r w:rsidRPr="00181FCD">
        <w:t>2009-2014,</w:t>
      </w:r>
      <w:r w:rsidR="00F373A3" w:rsidRPr="00181FCD">
        <w:t xml:space="preserve"> </w:t>
      </w:r>
      <w:r w:rsidRPr="00181FCD">
        <w:t>BG</w:t>
      </w:r>
      <w:r w:rsidR="00F373A3" w:rsidRPr="00181FCD">
        <w:t xml:space="preserve"> </w:t>
      </w:r>
      <w:r w:rsidRPr="00181FCD">
        <w:t>13,</w:t>
      </w:r>
      <w:r w:rsidR="00F373A3" w:rsidRPr="00181FCD">
        <w:t xml:space="preserve"> </w:t>
      </w:r>
      <w:r w:rsidRPr="00181FCD">
        <w:t>área</w:t>
      </w:r>
      <w:r w:rsidR="00F373A3" w:rsidRPr="00181FCD">
        <w:t xml:space="preserve"> </w:t>
      </w:r>
      <w:r w:rsidRPr="00181FCD">
        <w:t>de</w:t>
      </w:r>
      <w:r w:rsidR="00F373A3" w:rsidRPr="00181FCD">
        <w:t xml:space="preserve"> </w:t>
      </w:r>
      <w:r w:rsidRPr="00181FCD">
        <w:t>Programa</w:t>
      </w:r>
      <w:r w:rsidR="00F373A3" w:rsidRPr="00181FCD">
        <w:t xml:space="preserve"> </w:t>
      </w:r>
      <w:r w:rsidRPr="00181FCD">
        <w:t>30.</w:t>
      </w:r>
      <w:r w:rsidR="00F373A3" w:rsidRPr="00181FCD">
        <w:t xml:space="preserve"> </w:t>
      </w:r>
      <w:r w:rsidRPr="00181FCD">
        <w:t>El</w:t>
      </w:r>
      <w:r w:rsidR="00F373A3" w:rsidRPr="00181FCD">
        <w:t xml:space="preserve"> </w:t>
      </w:r>
      <w:r w:rsidRPr="00181FCD">
        <w:t>proyecto</w:t>
      </w:r>
      <w:r w:rsidR="00F373A3" w:rsidRPr="00181FCD">
        <w:t xml:space="preserve"> </w:t>
      </w:r>
      <w:r w:rsidRPr="00181FCD">
        <w:t>incluye</w:t>
      </w:r>
      <w:r w:rsidR="00F373A3" w:rsidRPr="00181FCD">
        <w:t xml:space="preserve"> </w:t>
      </w:r>
      <w:r w:rsidRPr="00181FCD">
        <w:t>la</w:t>
      </w:r>
      <w:r w:rsidR="00F373A3" w:rsidRPr="00181FCD">
        <w:t xml:space="preserve"> </w:t>
      </w:r>
      <w:r w:rsidRPr="00181FCD">
        <w:t>ampliación</w:t>
      </w:r>
      <w:r w:rsidR="00F373A3" w:rsidRPr="00181FCD">
        <w:t xml:space="preserve"> </w:t>
      </w:r>
      <w:r w:rsidRPr="00181FCD">
        <w:t>y</w:t>
      </w:r>
      <w:r w:rsidR="00F373A3" w:rsidRPr="00181FCD">
        <w:t xml:space="preserve"> </w:t>
      </w:r>
      <w:r w:rsidRPr="00181FCD">
        <w:t>actualización</w:t>
      </w:r>
      <w:r w:rsidR="00F373A3" w:rsidRPr="00181FCD">
        <w:t xml:space="preserve"> </w:t>
      </w:r>
      <w:r w:rsidRPr="00181FCD">
        <w:t>de</w:t>
      </w:r>
      <w:r w:rsidR="00F373A3" w:rsidRPr="00181FCD">
        <w:t xml:space="preserve"> </w:t>
      </w:r>
      <w:r w:rsidRPr="00181FCD">
        <w:t>la</w:t>
      </w:r>
      <w:r w:rsidR="00F373A3" w:rsidRPr="00181FCD">
        <w:t xml:space="preserve"> </w:t>
      </w:r>
      <w:r w:rsidRPr="00181FCD">
        <w:t>formación</w:t>
      </w:r>
      <w:r w:rsidR="00F373A3" w:rsidRPr="00181FCD">
        <w:t xml:space="preserve"> </w:t>
      </w:r>
      <w:r w:rsidRPr="00181FCD">
        <w:t>de</w:t>
      </w:r>
      <w:r w:rsidR="00F373A3" w:rsidRPr="00181FCD">
        <w:t xml:space="preserve"> </w:t>
      </w:r>
      <w:r w:rsidRPr="00181FCD">
        <w:t>los</w:t>
      </w:r>
      <w:r w:rsidR="00F373A3" w:rsidRPr="00181FCD">
        <w:t xml:space="preserve"> </w:t>
      </w:r>
      <w:r w:rsidRPr="00181FCD">
        <w:t>agentes</w:t>
      </w:r>
      <w:r w:rsidR="00F373A3" w:rsidRPr="00181FCD">
        <w:t xml:space="preserve"> </w:t>
      </w:r>
      <w:r w:rsidRPr="00181FCD">
        <w:t>de</w:t>
      </w:r>
      <w:r w:rsidR="00F373A3" w:rsidRPr="00181FCD">
        <w:t xml:space="preserve"> </w:t>
      </w:r>
      <w:r w:rsidRPr="00181FCD">
        <w:t>policía</w:t>
      </w:r>
      <w:r w:rsidR="00F373A3" w:rsidRPr="00181FCD">
        <w:t xml:space="preserve"> </w:t>
      </w:r>
      <w:r w:rsidRPr="00181FCD">
        <w:t>en</w:t>
      </w:r>
      <w:r w:rsidR="00F373A3" w:rsidRPr="00181FCD">
        <w:t xml:space="preserve"> </w:t>
      </w:r>
      <w:r w:rsidRPr="00181FCD">
        <w:t>relación</w:t>
      </w:r>
      <w:r w:rsidR="00F373A3" w:rsidRPr="00181FCD">
        <w:t xml:space="preserve"> </w:t>
      </w:r>
      <w:r w:rsidRPr="00181FCD">
        <w:t>con</w:t>
      </w:r>
      <w:r w:rsidR="00F373A3" w:rsidRPr="00181FCD">
        <w:t xml:space="preserve"> </w:t>
      </w:r>
      <w:r w:rsidRPr="00181FCD">
        <w:t>el</w:t>
      </w:r>
      <w:r w:rsidR="00F373A3" w:rsidRPr="00181FCD">
        <w:t xml:space="preserve"> </w:t>
      </w:r>
      <w:r w:rsidRPr="00181FCD">
        <w:t>uso</w:t>
      </w:r>
      <w:r w:rsidR="00F373A3" w:rsidRPr="00181FCD">
        <w:t xml:space="preserve"> </w:t>
      </w:r>
      <w:r w:rsidRPr="00181FCD">
        <w:t>legítimo</w:t>
      </w:r>
      <w:r w:rsidR="00F373A3" w:rsidRPr="00181FCD">
        <w:t xml:space="preserve"> </w:t>
      </w:r>
      <w:r w:rsidRPr="00181FCD">
        <w:t>de</w:t>
      </w:r>
      <w:r w:rsidR="00F373A3" w:rsidRPr="00181FCD">
        <w:t xml:space="preserve"> </w:t>
      </w:r>
      <w:r w:rsidRPr="00181FCD">
        <w:t>la</w:t>
      </w:r>
      <w:r w:rsidR="00F373A3" w:rsidRPr="00181FCD">
        <w:t xml:space="preserve"> </w:t>
      </w:r>
      <w:r w:rsidRPr="00181FCD">
        <w:t>fuerza</w:t>
      </w:r>
      <w:r w:rsidR="00F373A3" w:rsidRPr="00181FCD">
        <w:t xml:space="preserve"> </w:t>
      </w:r>
      <w:r w:rsidRPr="00181FCD">
        <w:t>física,</w:t>
      </w:r>
      <w:r w:rsidR="00F373A3" w:rsidRPr="00181FCD">
        <w:t xml:space="preserve"> </w:t>
      </w:r>
      <w:r w:rsidRPr="00181FCD">
        <w:t>dispositivos</w:t>
      </w:r>
      <w:r w:rsidR="00F373A3" w:rsidRPr="00181FCD">
        <w:t xml:space="preserve"> </w:t>
      </w:r>
      <w:r w:rsidRPr="00181FCD">
        <w:t>auxiliares</w:t>
      </w:r>
      <w:r w:rsidR="00F373A3" w:rsidRPr="00181FCD">
        <w:t xml:space="preserve"> </w:t>
      </w:r>
      <w:r w:rsidRPr="00181FCD">
        <w:t>o</w:t>
      </w:r>
      <w:r w:rsidR="00F373A3" w:rsidRPr="00181FCD">
        <w:t xml:space="preserve"> </w:t>
      </w:r>
      <w:r w:rsidRPr="00181FCD">
        <w:t>armas.</w:t>
      </w:r>
    </w:p>
    <w:p w:rsidR="001937F4" w:rsidRPr="00181FCD" w:rsidRDefault="00470CF3" w:rsidP="00347B20">
      <w:pPr>
        <w:pStyle w:val="H23G"/>
      </w:pPr>
      <w:r w:rsidRPr="00181FCD">
        <w:tab/>
      </w:r>
      <w:r w:rsidRPr="00181FCD">
        <w:tab/>
      </w:r>
      <w:r w:rsidR="001937F4" w:rsidRPr="00181FCD">
        <w:t>Respuesta</w:t>
      </w:r>
      <w:r w:rsidR="00F373A3" w:rsidRPr="00181FCD">
        <w:t xml:space="preserve"> </w:t>
      </w:r>
      <w:r w:rsidR="001937F4" w:rsidRPr="00181FCD">
        <w:t>a</w:t>
      </w:r>
      <w:r w:rsidR="00F373A3" w:rsidRPr="00181FCD">
        <w:t xml:space="preserve"> </w:t>
      </w:r>
      <w:r w:rsidR="001937F4" w:rsidRPr="00181FCD">
        <w:t>las</w:t>
      </w:r>
      <w:r w:rsidR="00F373A3" w:rsidRPr="00181FCD">
        <w:t xml:space="preserve"> </w:t>
      </w:r>
      <w:r w:rsidR="001937F4" w:rsidRPr="00181FCD">
        <w:t>cuestiones</w:t>
      </w:r>
      <w:r w:rsidR="00F373A3" w:rsidRPr="00181FCD">
        <w:t xml:space="preserve"> </w:t>
      </w:r>
      <w:r w:rsidR="001937F4" w:rsidRPr="00181FCD">
        <w:t>planteadas</w:t>
      </w:r>
      <w:r w:rsidR="00F373A3" w:rsidRPr="00181FCD">
        <w:t xml:space="preserve"> </w:t>
      </w:r>
      <w:r w:rsidR="001937F4" w:rsidRPr="00181FCD">
        <w:t>en</w:t>
      </w:r>
      <w:r w:rsidR="00F373A3" w:rsidRPr="00181FCD">
        <w:t xml:space="preserve"> </w:t>
      </w:r>
      <w:r w:rsidR="001937F4" w:rsidRPr="00181FCD">
        <w:t>el</w:t>
      </w:r>
      <w:r w:rsidR="00F373A3" w:rsidRPr="00181FCD">
        <w:t xml:space="preserve"> </w:t>
      </w:r>
      <w:r w:rsidR="001937F4" w:rsidRPr="00181FCD">
        <w:t>párrafo</w:t>
      </w:r>
      <w:r w:rsidR="00F373A3" w:rsidRPr="00181FCD">
        <w:t xml:space="preserve"> </w:t>
      </w:r>
      <w:r w:rsidR="001937F4" w:rsidRPr="00181FCD">
        <w:t>4</w:t>
      </w:r>
      <w:r w:rsidR="00F373A3" w:rsidRPr="00181FCD">
        <w:t xml:space="preserve"> </w:t>
      </w:r>
      <w:r w:rsidR="001937F4" w:rsidRPr="00181FCD">
        <w:t>de</w:t>
      </w:r>
      <w:r w:rsidR="00F373A3" w:rsidRPr="00181FCD">
        <w:t xml:space="preserve"> </w:t>
      </w:r>
      <w:r w:rsidR="001937F4" w:rsidRPr="00181FCD">
        <w:t>la</w:t>
      </w:r>
      <w:r w:rsidR="00F373A3" w:rsidRPr="00181FCD">
        <w:t xml:space="preserve"> </w:t>
      </w:r>
      <w:r w:rsidR="001937F4" w:rsidRPr="00181FCD">
        <w:t>lista</w:t>
      </w:r>
      <w:r w:rsidR="00F373A3" w:rsidRPr="00181FCD">
        <w:t xml:space="preserve"> </w:t>
      </w:r>
      <w:r w:rsidR="001937F4" w:rsidRPr="00181FCD">
        <w:t>de</w:t>
      </w:r>
      <w:r w:rsidR="00F373A3" w:rsidRPr="00181FCD">
        <w:t xml:space="preserve"> </w:t>
      </w:r>
      <w:r w:rsidR="001937F4" w:rsidRPr="00181FCD">
        <w:t>cuestiones</w:t>
      </w:r>
    </w:p>
    <w:p w:rsidR="001937F4" w:rsidRPr="00181FCD" w:rsidRDefault="001937F4" w:rsidP="00347B20">
      <w:pPr>
        <w:pStyle w:val="SingleTxtG"/>
        <w:suppressAutoHyphens/>
      </w:pPr>
      <w:r w:rsidRPr="00181FCD">
        <w:t>15.</w:t>
      </w:r>
      <w:r w:rsidRPr="00181FCD">
        <w:tab/>
        <w:t>En</w:t>
      </w:r>
      <w:r w:rsidR="00F373A3" w:rsidRPr="00181FCD">
        <w:t xml:space="preserve"> </w:t>
      </w:r>
      <w:r w:rsidRPr="00181FCD">
        <w:t>2011,</w:t>
      </w:r>
      <w:r w:rsidR="00F373A3" w:rsidRPr="00181FCD">
        <w:t xml:space="preserve"> </w:t>
      </w:r>
      <w:r w:rsidRPr="00181FCD">
        <w:t>la</w:t>
      </w:r>
      <w:r w:rsidR="00F373A3" w:rsidRPr="00181FCD">
        <w:t xml:space="preserve"> </w:t>
      </w:r>
      <w:r w:rsidRPr="00181FCD">
        <w:t>Comisión</w:t>
      </w:r>
      <w:r w:rsidR="00F373A3" w:rsidRPr="00181FCD">
        <w:t xml:space="preserve"> </w:t>
      </w:r>
      <w:r w:rsidRPr="00181FCD">
        <w:t>para</w:t>
      </w:r>
      <w:r w:rsidR="00F373A3" w:rsidRPr="00181FCD">
        <w:t xml:space="preserve"> </w:t>
      </w:r>
      <w:r w:rsidRPr="00181FCD">
        <w:t>la</w:t>
      </w:r>
      <w:r w:rsidR="00F373A3" w:rsidRPr="00181FCD">
        <w:t xml:space="preserve"> </w:t>
      </w:r>
      <w:r w:rsidRPr="00181FCD">
        <w:t>Protección</w:t>
      </w:r>
      <w:r w:rsidR="00F373A3" w:rsidRPr="00181FCD">
        <w:t xml:space="preserve"> </w:t>
      </w:r>
      <w:r w:rsidRPr="00181FCD">
        <w:t>frente</w:t>
      </w:r>
      <w:r w:rsidR="00F373A3" w:rsidRPr="00181FCD">
        <w:t xml:space="preserve"> </w:t>
      </w:r>
      <w:r w:rsidRPr="00181FCD">
        <w:t>a</w:t>
      </w:r>
      <w:r w:rsidR="00F373A3" w:rsidRPr="00181FCD">
        <w:t xml:space="preserve"> </w:t>
      </w:r>
      <w:r w:rsidRPr="00181FCD">
        <w:t>la</w:t>
      </w:r>
      <w:r w:rsidR="00F373A3" w:rsidRPr="00181FCD">
        <w:t xml:space="preserve"> </w:t>
      </w:r>
      <w:r w:rsidRPr="00181FCD">
        <w:t>Discriminación</w:t>
      </w:r>
      <w:r w:rsidR="00672EC2" w:rsidRPr="00181FCD">
        <w:t xml:space="preserve"> </w:t>
      </w:r>
      <w:r w:rsidRPr="00181FCD">
        <w:t>y</w:t>
      </w:r>
      <w:r w:rsidR="00F373A3" w:rsidRPr="00181FCD">
        <w:t xml:space="preserve"> </w:t>
      </w:r>
      <w:r w:rsidRPr="00181FCD">
        <w:t>el</w:t>
      </w:r>
      <w:r w:rsidR="00F373A3" w:rsidRPr="00181FCD">
        <w:t xml:space="preserve"> </w:t>
      </w:r>
      <w:r w:rsidRPr="00181FCD">
        <w:t>Defensor</w:t>
      </w:r>
      <w:r w:rsidR="00F373A3" w:rsidRPr="00181FCD">
        <w:t xml:space="preserve"> </w:t>
      </w:r>
      <w:r w:rsidRPr="00181FCD">
        <w:t>del</w:t>
      </w:r>
      <w:r w:rsidR="00F373A3" w:rsidRPr="00181FCD">
        <w:t xml:space="preserve"> </w:t>
      </w:r>
      <w:r w:rsidRPr="00181FCD">
        <w:t>Pueblo</w:t>
      </w:r>
      <w:r w:rsidR="00F373A3" w:rsidRPr="00181FCD">
        <w:t xml:space="preserve"> </w:t>
      </w:r>
      <w:r w:rsidRPr="00181FCD">
        <w:t>fueron</w:t>
      </w:r>
      <w:r w:rsidR="00F373A3" w:rsidRPr="00181FCD">
        <w:t xml:space="preserve"> </w:t>
      </w:r>
      <w:r w:rsidRPr="00181FCD">
        <w:t>acreditados</w:t>
      </w:r>
      <w:r w:rsidR="00F373A3" w:rsidRPr="00181FCD">
        <w:t xml:space="preserve"> </w:t>
      </w:r>
      <w:r w:rsidRPr="00181FCD">
        <w:t>como</w:t>
      </w:r>
      <w:r w:rsidR="00F373A3" w:rsidRPr="00181FCD">
        <w:t xml:space="preserve"> </w:t>
      </w:r>
      <w:r w:rsidRPr="00181FCD">
        <w:t>Instituciones</w:t>
      </w:r>
      <w:r w:rsidR="00F373A3" w:rsidRPr="00181FCD">
        <w:t xml:space="preserve"> </w:t>
      </w:r>
      <w:r w:rsidRPr="00181FCD">
        <w:t>Nacionales</w:t>
      </w:r>
      <w:r w:rsidR="00F373A3" w:rsidRPr="00181FCD">
        <w:t xml:space="preserve"> </w:t>
      </w:r>
      <w:r w:rsidRPr="00181FCD">
        <w:t>de</w:t>
      </w:r>
      <w:r w:rsidR="00F373A3" w:rsidRPr="00181FCD">
        <w:t xml:space="preserve"> </w:t>
      </w:r>
      <w:r w:rsidRPr="00181FCD">
        <w:t>Derechos</w:t>
      </w:r>
      <w:r w:rsidR="00F373A3" w:rsidRPr="00181FCD">
        <w:t xml:space="preserve"> </w:t>
      </w:r>
      <w:r w:rsidRPr="00181FCD">
        <w:t>Humanos,</w:t>
      </w:r>
      <w:r w:rsidR="00F373A3" w:rsidRPr="00181FCD">
        <w:t xml:space="preserve"> </w:t>
      </w:r>
      <w:r w:rsidRPr="00181FCD">
        <w:t>en</w:t>
      </w:r>
      <w:r w:rsidR="00F373A3" w:rsidRPr="00181FCD">
        <w:t xml:space="preserve"> </w:t>
      </w:r>
      <w:r w:rsidRPr="00181FCD">
        <w:t>la</w:t>
      </w:r>
      <w:r w:rsidR="00F373A3" w:rsidRPr="00181FCD">
        <w:t xml:space="preserve"> </w:t>
      </w:r>
      <w:r w:rsidRPr="00181FCD">
        <w:t>clase</w:t>
      </w:r>
      <w:r w:rsidR="00F373A3" w:rsidRPr="00181FCD">
        <w:t xml:space="preserve"> "</w:t>
      </w:r>
      <w:r w:rsidRPr="00181FCD">
        <w:t>B</w:t>
      </w:r>
      <w:r w:rsidR="001247AC" w:rsidRPr="00181FCD">
        <w:t>"</w:t>
      </w:r>
      <w:r w:rsidRPr="00181FCD">
        <w:t>,</w:t>
      </w:r>
      <w:r w:rsidR="00F373A3" w:rsidRPr="00181FCD">
        <w:t xml:space="preserve"> </w:t>
      </w:r>
      <w:r w:rsidRPr="00181FCD">
        <w:t>por</w:t>
      </w:r>
      <w:r w:rsidR="00F373A3" w:rsidRPr="00181FCD">
        <w:t xml:space="preserve"> </w:t>
      </w:r>
      <w:r w:rsidRPr="00181FCD">
        <w:t>el</w:t>
      </w:r>
      <w:r w:rsidR="00F373A3" w:rsidRPr="00181FCD">
        <w:t xml:space="preserve"> </w:t>
      </w:r>
      <w:r w:rsidRPr="00181FCD">
        <w:t>Subcomité</w:t>
      </w:r>
      <w:r w:rsidR="00F373A3" w:rsidRPr="00181FCD">
        <w:t xml:space="preserve"> </w:t>
      </w:r>
      <w:r w:rsidRPr="00181FCD">
        <w:t>de</w:t>
      </w:r>
      <w:r w:rsidR="00F373A3" w:rsidRPr="00181FCD">
        <w:t xml:space="preserve"> </w:t>
      </w:r>
      <w:r w:rsidRPr="00181FCD">
        <w:t>Acreditación</w:t>
      </w:r>
      <w:r w:rsidR="00F373A3" w:rsidRPr="00181FCD">
        <w:t xml:space="preserve"> </w:t>
      </w:r>
      <w:r w:rsidRPr="00181FCD">
        <w:t>del</w:t>
      </w:r>
      <w:r w:rsidR="00F373A3" w:rsidRPr="00181FCD">
        <w:t xml:space="preserve"> </w:t>
      </w:r>
      <w:r w:rsidRPr="00181FCD">
        <w:t>Comité</w:t>
      </w:r>
      <w:r w:rsidR="00F373A3" w:rsidRPr="00181FCD">
        <w:t xml:space="preserve"> </w:t>
      </w:r>
      <w:r w:rsidRPr="00181FCD">
        <w:t>Internacional</w:t>
      </w:r>
      <w:r w:rsidR="00F373A3" w:rsidRPr="00181FCD">
        <w:t xml:space="preserve"> </w:t>
      </w:r>
      <w:r w:rsidRPr="00181FCD">
        <w:t>de</w:t>
      </w:r>
      <w:r w:rsidR="00F373A3" w:rsidRPr="00181FCD">
        <w:t xml:space="preserve"> </w:t>
      </w:r>
      <w:r w:rsidRPr="00181FCD">
        <w:t>Coordinación</w:t>
      </w:r>
      <w:r w:rsidR="00F373A3" w:rsidRPr="00181FCD">
        <w:t xml:space="preserve"> </w:t>
      </w:r>
      <w:r w:rsidRPr="00181FCD">
        <w:t>del</w:t>
      </w:r>
      <w:r w:rsidR="00F373A3" w:rsidRPr="00181FCD">
        <w:t xml:space="preserve"> </w:t>
      </w:r>
      <w:r w:rsidRPr="00181FCD">
        <w:t>Alto</w:t>
      </w:r>
      <w:r w:rsidR="00F373A3" w:rsidRPr="00181FCD">
        <w:t xml:space="preserve"> </w:t>
      </w:r>
      <w:r w:rsidRPr="00181FCD">
        <w:t>Comisionado</w:t>
      </w:r>
      <w:r w:rsidR="00F373A3" w:rsidRPr="00181FCD">
        <w:t xml:space="preserve"> </w:t>
      </w:r>
      <w:r w:rsidRPr="00181FCD">
        <w:t>de</w:t>
      </w:r>
      <w:r w:rsidR="00F373A3" w:rsidRPr="00181FCD">
        <w:t xml:space="preserve"> </w:t>
      </w:r>
      <w:r w:rsidRPr="00181FCD">
        <w:t>las</w:t>
      </w:r>
      <w:r w:rsidR="00F373A3" w:rsidRPr="00181FCD">
        <w:t xml:space="preserve"> </w:t>
      </w:r>
      <w:r w:rsidRPr="00181FCD">
        <w:t>Naciones</w:t>
      </w:r>
      <w:r w:rsidR="00F373A3" w:rsidRPr="00181FCD">
        <w:t xml:space="preserve"> </w:t>
      </w:r>
      <w:r w:rsidRPr="00181FCD">
        <w:t>Unidas</w:t>
      </w:r>
      <w:r w:rsidR="00F373A3" w:rsidRPr="00181FCD">
        <w:t xml:space="preserve"> </w:t>
      </w:r>
      <w:r w:rsidRPr="00181FCD">
        <w:t>para</w:t>
      </w:r>
      <w:r w:rsidR="00F373A3" w:rsidRPr="00181FCD">
        <w:t xml:space="preserve"> </w:t>
      </w:r>
      <w:r w:rsidRPr="00181FCD">
        <w:t>los</w:t>
      </w:r>
      <w:r w:rsidR="00F373A3" w:rsidRPr="00181FCD">
        <w:t xml:space="preserve"> </w:t>
      </w:r>
      <w:r w:rsidRPr="00181FCD">
        <w:t>Derechos</w:t>
      </w:r>
      <w:r w:rsidR="00F373A3" w:rsidRPr="00181FCD">
        <w:t xml:space="preserve"> </w:t>
      </w:r>
      <w:r w:rsidRPr="00181FCD">
        <w:t>Humanos</w:t>
      </w:r>
      <w:r w:rsidR="00F373A3" w:rsidRPr="00181FCD">
        <w:t xml:space="preserve"> </w:t>
      </w:r>
      <w:r w:rsidRPr="00181FCD">
        <w:t>(ACNUDH).</w:t>
      </w:r>
      <w:r w:rsidR="00F373A3" w:rsidRPr="00181FCD">
        <w:t xml:space="preserve"> </w:t>
      </w:r>
      <w:r w:rsidRPr="00181FCD">
        <w:t>Con</w:t>
      </w:r>
      <w:r w:rsidR="00F373A3" w:rsidRPr="00181FCD">
        <w:t xml:space="preserve"> </w:t>
      </w:r>
      <w:r w:rsidRPr="00181FCD">
        <w:t>arreglo</w:t>
      </w:r>
      <w:r w:rsidR="00F373A3" w:rsidRPr="00181FCD">
        <w:t xml:space="preserve"> </w:t>
      </w:r>
      <w:r w:rsidRPr="00181FCD">
        <w:t>a</w:t>
      </w:r>
      <w:r w:rsidR="00F373A3" w:rsidRPr="00181FCD">
        <w:t xml:space="preserve"> </w:t>
      </w:r>
      <w:r w:rsidRPr="00181FCD">
        <w:t>las</w:t>
      </w:r>
      <w:r w:rsidR="00F373A3" w:rsidRPr="00181FCD">
        <w:t xml:space="preserve"> </w:t>
      </w:r>
      <w:r w:rsidRPr="00181FCD">
        <w:t>últimas</w:t>
      </w:r>
      <w:r w:rsidR="00F373A3" w:rsidRPr="00181FCD">
        <w:t xml:space="preserve"> </w:t>
      </w:r>
      <w:r w:rsidRPr="00181FCD">
        <w:t>modificaciones</w:t>
      </w:r>
      <w:r w:rsidR="00F373A3" w:rsidRPr="00181FCD">
        <w:t xml:space="preserve"> </w:t>
      </w:r>
      <w:r w:rsidRPr="00181FCD">
        <w:t>introducidas</w:t>
      </w:r>
      <w:r w:rsidR="00F373A3" w:rsidRPr="00181FCD">
        <w:t xml:space="preserve"> </w:t>
      </w:r>
      <w:r w:rsidRPr="00181FCD">
        <w:t>en</w:t>
      </w:r>
      <w:r w:rsidR="00F373A3" w:rsidRPr="00181FCD">
        <w:t xml:space="preserve"> </w:t>
      </w:r>
      <w:r w:rsidRPr="00181FCD">
        <w:t>la</w:t>
      </w:r>
      <w:r w:rsidR="00F373A3" w:rsidRPr="00181FCD">
        <w:t xml:space="preserve"> </w:t>
      </w:r>
      <w:r w:rsidRPr="00181FCD">
        <w:t>Ley</w:t>
      </w:r>
      <w:r w:rsidR="00F373A3" w:rsidRPr="00181FCD">
        <w:t xml:space="preserve"> </w:t>
      </w:r>
      <w:r w:rsidRPr="00181FCD">
        <w:t>del</w:t>
      </w:r>
      <w:r w:rsidR="00F373A3" w:rsidRPr="00181FCD">
        <w:t xml:space="preserve"> </w:t>
      </w:r>
      <w:r w:rsidRPr="00181FCD">
        <w:t>Defensor</w:t>
      </w:r>
      <w:r w:rsidR="00F373A3" w:rsidRPr="00181FCD">
        <w:t xml:space="preserve"> </w:t>
      </w:r>
      <w:r w:rsidRPr="00181FCD">
        <w:t>del</w:t>
      </w:r>
      <w:r w:rsidR="00F373A3" w:rsidRPr="00181FCD">
        <w:t xml:space="preserve"> </w:t>
      </w:r>
      <w:r w:rsidRPr="00181FCD">
        <w:t>Pueblo,</w:t>
      </w:r>
      <w:r w:rsidR="00F373A3" w:rsidRPr="00181FCD">
        <w:t xml:space="preserve"> </w:t>
      </w:r>
      <w:r w:rsidRPr="00181FCD">
        <w:t>esta</w:t>
      </w:r>
      <w:r w:rsidR="00F373A3" w:rsidRPr="00181FCD">
        <w:t xml:space="preserve"> </w:t>
      </w:r>
      <w:r w:rsidRPr="00181FCD">
        <w:t>entidad</w:t>
      </w:r>
      <w:r w:rsidR="00F373A3" w:rsidRPr="00181FCD">
        <w:t xml:space="preserve"> </w:t>
      </w:r>
      <w:r w:rsidRPr="00181FCD">
        <w:t>actúa</w:t>
      </w:r>
      <w:r w:rsidR="00F373A3" w:rsidRPr="00181FCD">
        <w:t xml:space="preserve"> </w:t>
      </w:r>
      <w:r w:rsidRPr="00181FCD">
        <w:t>como</w:t>
      </w:r>
      <w:r w:rsidR="00F373A3" w:rsidRPr="00181FCD">
        <w:t xml:space="preserve"> </w:t>
      </w:r>
      <w:r w:rsidRPr="00181FCD">
        <w:t>Mecanismo</w:t>
      </w:r>
      <w:r w:rsidR="00F373A3" w:rsidRPr="00181FCD">
        <w:t xml:space="preserve"> </w:t>
      </w:r>
      <w:r w:rsidRPr="00181FCD">
        <w:t>Nacional</w:t>
      </w:r>
      <w:r w:rsidR="00F373A3" w:rsidRPr="00181FCD">
        <w:t xml:space="preserve"> </w:t>
      </w:r>
      <w:r w:rsidRPr="00181FCD">
        <w:t>de</w:t>
      </w:r>
      <w:r w:rsidR="00F373A3" w:rsidRPr="00181FCD">
        <w:t xml:space="preserve"> </w:t>
      </w:r>
      <w:r w:rsidRPr="00181FCD">
        <w:t>Prevención,</w:t>
      </w:r>
      <w:r w:rsidR="00F373A3" w:rsidRPr="00181FCD">
        <w:t xml:space="preserve"> </w:t>
      </w:r>
      <w:r w:rsidRPr="00181FCD">
        <w:t>de</w:t>
      </w:r>
      <w:r w:rsidR="00F373A3" w:rsidRPr="00181FCD">
        <w:t xml:space="preserve"> </w:t>
      </w:r>
      <w:r w:rsidRPr="00181FCD">
        <w:t>conformidad</w:t>
      </w:r>
      <w:r w:rsidR="00F373A3" w:rsidRPr="00181FCD">
        <w:t xml:space="preserve"> </w:t>
      </w:r>
      <w:r w:rsidRPr="00181FCD">
        <w:t>con</w:t>
      </w:r>
      <w:r w:rsidR="00F373A3" w:rsidRPr="00181FCD">
        <w:t xml:space="preserve"> </w:t>
      </w:r>
      <w:r w:rsidRPr="00181FCD">
        <w:t>el</w:t>
      </w:r>
      <w:r w:rsidR="00F373A3" w:rsidRPr="00181FCD">
        <w:t xml:space="preserve"> </w:t>
      </w:r>
      <w:r w:rsidRPr="00181FCD">
        <w:t>procedimiento</w:t>
      </w:r>
      <w:r w:rsidR="00F373A3" w:rsidRPr="00181FCD">
        <w:t xml:space="preserve"> </w:t>
      </w:r>
      <w:r w:rsidRPr="00181FCD">
        <w:t>facultativo</w:t>
      </w:r>
      <w:r w:rsidR="00F373A3" w:rsidRPr="00181FCD">
        <w:t xml:space="preserve"> </w:t>
      </w:r>
      <w:r w:rsidRPr="00181FCD">
        <w:t>de</w:t>
      </w:r>
      <w:r w:rsidR="00F373A3" w:rsidRPr="00181FCD">
        <w:t xml:space="preserve"> </w:t>
      </w:r>
      <w:r w:rsidRPr="00181FCD">
        <w:t>la</w:t>
      </w:r>
      <w:r w:rsidR="00F373A3" w:rsidRPr="00181FCD">
        <w:t xml:space="preserve"> </w:t>
      </w:r>
      <w:r w:rsidRPr="00181FCD">
        <w:t>Convención</w:t>
      </w:r>
      <w:r w:rsidR="00F373A3" w:rsidRPr="00181FCD">
        <w:t xml:space="preserve"> </w:t>
      </w:r>
      <w:r w:rsidRPr="00181FCD">
        <w:t>contra</w:t>
      </w:r>
      <w:r w:rsidR="00F373A3" w:rsidRPr="00181FCD">
        <w:t xml:space="preserve"> </w:t>
      </w:r>
      <w:r w:rsidRPr="00181FCD">
        <w:t>la</w:t>
      </w:r>
      <w:r w:rsidR="00F373A3" w:rsidRPr="00181FCD">
        <w:t xml:space="preserve"> </w:t>
      </w:r>
      <w:r w:rsidRPr="00181FCD">
        <w:t>Tortura</w:t>
      </w:r>
      <w:r w:rsidR="00F373A3" w:rsidRPr="00181FCD">
        <w:t xml:space="preserve"> </w:t>
      </w:r>
      <w:r w:rsidRPr="00181FCD">
        <w:t>y</w:t>
      </w:r>
      <w:r w:rsidR="00F373A3" w:rsidRPr="00181FCD">
        <w:t xml:space="preserve"> </w:t>
      </w:r>
      <w:r w:rsidRPr="00181FCD">
        <w:t>otros</w:t>
      </w:r>
      <w:r w:rsidR="00F373A3" w:rsidRPr="00181FCD">
        <w:t xml:space="preserve"> </w:t>
      </w:r>
      <w:r w:rsidRPr="00181FCD">
        <w:t>Tratos</w:t>
      </w:r>
      <w:r w:rsidR="00F373A3" w:rsidRPr="00181FCD">
        <w:t xml:space="preserve"> </w:t>
      </w:r>
      <w:r w:rsidRPr="00181FCD">
        <w:t>o</w:t>
      </w:r>
      <w:r w:rsidR="00F373A3" w:rsidRPr="00181FCD">
        <w:t xml:space="preserve"> </w:t>
      </w:r>
      <w:r w:rsidRPr="00181FCD">
        <w:t>Penas</w:t>
      </w:r>
      <w:r w:rsidR="00F373A3" w:rsidRPr="00181FCD">
        <w:t xml:space="preserve"> </w:t>
      </w:r>
      <w:r w:rsidRPr="00181FCD">
        <w:t>Crueles,</w:t>
      </w:r>
      <w:r w:rsidR="00F373A3" w:rsidRPr="00181FCD">
        <w:t xml:space="preserve"> </w:t>
      </w:r>
      <w:r w:rsidRPr="00181FCD">
        <w:t>Inhumanos</w:t>
      </w:r>
      <w:r w:rsidR="00F373A3" w:rsidRPr="00181FCD">
        <w:t xml:space="preserve"> </w:t>
      </w:r>
      <w:r w:rsidRPr="00181FCD">
        <w:t>o</w:t>
      </w:r>
      <w:r w:rsidR="00F373A3" w:rsidRPr="00181FCD">
        <w:t xml:space="preserve"> </w:t>
      </w:r>
      <w:r w:rsidRPr="00181FCD">
        <w:t>Degradantes.</w:t>
      </w:r>
      <w:r w:rsidR="00F373A3" w:rsidRPr="00181FCD">
        <w:t xml:space="preserve"> </w:t>
      </w:r>
      <w:r w:rsidRPr="00181FCD">
        <w:t>Las</w:t>
      </w:r>
      <w:r w:rsidR="00F373A3" w:rsidRPr="00181FCD">
        <w:t xml:space="preserve"> </w:t>
      </w:r>
      <w:r w:rsidRPr="00181FCD">
        <w:t>funciones</w:t>
      </w:r>
      <w:r w:rsidR="00F373A3" w:rsidRPr="00181FCD">
        <w:t xml:space="preserve"> </w:t>
      </w:r>
      <w:r w:rsidRPr="00181FCD">
        <w:t>del</w:t>
      </w:r>
      <w:r w:rsidR="00F373A3" w:rsidRPr="00181FCD">
        <w:t xml:space="preserve"> </w:t>
      </w:r>
      <w:r w:rsidRPr="00181FCD">
        <w:t>Defensor</w:t>
      </w:r>
      <w:r w:rsidR="00F373A3" w:rsidRPr="00181FCD">
        <w:t xml:space="preserve"> </w:t>
      </w:r>
      <w:r w:rsidRPr="00181FCD">
        <w:t>en</w:t>
      </w:r>
      <w:r w:rsidR="00F373A3" w:rsidRPr="00181FCD">
        <w:t xml:space="preserve"> </w:t>
      </w:r>
      <w:r w:rsidRPr="00181FCD">
        <w:t>esa</w:t>
      </w:r>
      <w:r w:rsidR="00F373A3" w:rsidRPr="00181FCD">
        <w:t xml:space="preserve"> </w:t>
      </w:r>
      <w:r w:rsidRPr="00181FCD">
        <w:t>calidad</w:t>
      </w:r>
      <w:r w:rsidR="00F373A3" w:rsidRPr="00181FCD">
        <w:t xml:space="preserve"> </w:t>
      </w:r>
      <w:r w:rsidRPr="00181FCD">
        <w:t>se</w:t>
      </w:r>
      <w:r w:rsidR="00F373A3" w:rsidRPr="00181FCD">
        <w:t xml:space="preserve"> </w:t>
      </w:r>
      <w:r w:rsidRPr="00181FCD">
        <w:t>han</w:t>
      </w:r>
      <w:r w:rsidR="00F373A3" w:rsidRPr="00181FCD">
        <w:t xml:space="preserve"> </w:t>
      </w:r>
      <w:r w:rsidRPr="00181FCD">
        <w:t>visto</w:t>
      </w:r>
      <w:r w:rsidR="00F373A3" w:rsidRPr="00181FCD">
        <w:t xml:space="preserve"> </w:t>
      </w:r>
      <w:r w:rsidRPr="00181FCD">
        <w:t>facilitadas</w:t>
      </w:r>
      <w:r w:rsidR="00F373A3" w:rsidRPr="00181FCD">
        <w:t xml:space="preserve"> </w:t>
      </w:r>
      <w:r w:rsidRPr="00181FCD">
        <w:t>por</w:t>
      </w:r>
      <w:r w:rsidR="00F373A3" w:rsidRPr="00181FCD">
        <w:t xml:space="preserve"> </w:t>
      </w:r>
      <w:r w:rsidRPr="00181FCD">
        <w:t>el</w:t>
      </w:r>
      <w:r w:rsidR="00F373A3" w:rsidRPr="00181FCD">
        <w:t xml:space="preserve"> </w:t>
      </w:r>
      <w:r w:rsidRPr="00181FCD">
        <w:t>establecimiento</w:t>
      </w:r>
      <w:r w:rsidR="00F373A3" w:rsidRPr="00181FCD">
        <w:t xml:space="preserve"> </w:t>
      </w:r>
      <w:r w:rsidRPr="00181FCD">
        <w:t>de</w:t>
      </w:r>
      <w:r w:rsidR="00F373A3" w:rsidRPr="00181FCD">
        <w:t xml:space="preserve"> </w:t>
      </w:r>
      <w:r w:rsidRPr="00181FCD">
        <w:t>una</w:t>
      </w:r>
      <w:r w:rsidR="00F373A3" w:rsidRPr="00181FCD">
        <w:t xml:space="preserve"> </w:t>
      </w:r>
      <w:r w:rsidRPr="00181FCD">
        <w:t>nueva</w:t>
      </w:r>
      <w:r w:rsidR="00F373A3" w:rsidRPr="00181FCD">
        <w:t xml:space="preserve"> </w:t>
      </w:r>
      <w:r w:rsidRPr="00181FCD">
        <w:t>Dirección.</w:t>
      </w:r>
    </w:p>
    <w:p w:rsidR="001937F4" w:rsidRPr="00181FCD" w:rsidRDefault="001937F4" w:rsidP="00347B20">
      <w:pPr>
        <w:pStyle w:val="SingleTxtG"/>
        <w:suppressAutoHyphens/>
      </w:pPr>
      <w:r w:rsidRPr="00181FCD">
        <w:t>16.</w:t>
      </w:r>
      <w:r w:rsidRPr="00181FCD">
        <w:tab/>
        <w:t>La</w:t>
      </w:r>
      <w:r w:rsidR="00F373A3" w:rsidRPr="00181FCD">
        <w:t xml:space="preserve"> </w:t>
      </w:r>
      <w:r w:rsidRPr="00181FCD">
        <w:t>capacidad</w:t>
      </w:r>
      <w:r w:rsidR="00F373A3" w:rsidRPr="00181FCD">
        <w:t xml:space="preserve"> </w:t>
      </w:r>
      <w:r w:rsidRPr="00181FCD">
        <w:t>del</w:t>
      </w:r>
      <w:r w:rsidR="00F373A3" w:rsidRPr="00181FCD">
        <w:t xml:space="preserve"> </w:t>
      </w:r>
      <w:r w:rsidRPr="00181FCD">
        <w:t>Defensor</w:t>
      </w:r>
      <w:r w:rsidR="00F373A3" w:rsidRPr="00181FCD">
        <w:t xml:space="preserve"> </w:t>
      </w:r>
      <w:r w:rsidRPr="00181FCD">
        <w:t>del</w:t>
      </w:r>
      <w:r w:rsidR="00F373A3" w:rsidRPr="00181FCD">
        <w:t xml:space="preserve"> </w:t>
      </w:r>
      <w:r w:rsidRPr="00181FCD">
        <w:t>Pueblo</w:t>
      </w:r>
      <w:r w:rsidR="00F373A3" w:rsidRPr="00181FCD">
        <w:t xml:space="preserve"> </w:t>
      </w:r>
      <w:r w:rsidRPr="00181FCD">
        <w:t>se</w:t>
      </w:r>
      <w:r w:rsidR="00F373A3" w:rsidRPr="00181FCD">
        <w:t xml:space="preserve"> </w:t>
      </w:r>
      <w:r w:rsidRPr="00181FCD">
        <w:t>ha</w:t>
      </w:r>
      <w:r w:rsidR="00F373A3" w:rsidRPr="00181FCD">
        <w:t xml:space="preserve"> </w:t>
      </w:r>
      <w:r w:rsidRPr="00181FCD">
        <w:t>reforzado</w:t>
      </w:r>
      <w:r w:rsidR="00F373A3" w:rsidRPr="00181FCD">
        <w:t xml:space="preserve"> </w:t>
      </w:r>
      <w:r w:rsidRPr="00181FCD">
        <w:t>principalmente</w:t>
      </w:r>
      <w:r w:rsidR="00F373A3" w:rsidRPr="00181FCD">
        <w:t xml:space="preserve"> </w:t>
      </w:r>
      <w:r w:rsidRPr="00181FCD">
        <w:t>en</w:t>
      </w:r>
      <w:r w:rsidR="00F373A3" w:rsidRPr="00181FCD">
        <w:t xml:space="preserve"> </w:t>
      </w:r>
      <w:r w:rsidRPr="00181FCD">
        <w:t>tres</w:t>
      </w:r>
      <w:r w:rsidR="00F373A3" w:rsidRPr="00181FCD">
        <w:t xml:space="preserve"> </w:t>
      </w:r>
      <w:r w:rsidRPr="00181FCD">
        <w:t>sentidos,</w:t>
      </w:r>
      <w:r w:rsidR="00F373A3" w:rsidRPr="00181FCD">
        <w:t xml:space="preserve"> </w:t>
      </w:r>
      <w:r w:rsidRPr="00181FCD">
        <w:t>a</w:t>
      </w:r>
      <w:r w:rsidR="00F373A3" w:rsidRPr="00181FCD">
        <w:t xml:space="preserve"> </w:t>
      </w:r>
      <w:r w:rsidRPr="00181FCD">
        <w:t>saber,</w:t>
      </w:r>
      <w:r w:rsidR="00F373A3" w:rsidRPr="00181FCD">
        <w:t xml:space="preserve"> </w:t>
      </w:r>
      <w:r w:rsidRPr="00181FCD">
        <w:t>su</w:t>
      </w:r>
      <w:r w:rsidR="00F373A3" w:rsidRPr="00181FCD">
        <w:t xml:space="preserve"> </w:t>
      </w:r>
      <w:r w:rsidRPr="00181FCD">
        <w:t>designación</w:t>
      </w:r>
      <w:r w:rsidR="00F373A3" w:rsidRPr="00181FCD">
        <w:t xml:space="preserve"> </w:t>
      </w:r>
      <w:r w:rsidRPr="00181FCD">
        <w:t>como</w:t>
      </w:r>
      <w:r w:rsidR="00F373A3" w:rsidRPr="00181FCD">
        <w:t xml:space="preserve"> </w:t>
      </w:r>
      <w:r w:rsidRPr="00181FCD">
        <w:t>Mecanismo</w:t>
      </w:r>
      <w:r w:rsidR="00F373A3" w:rsidRPr="00181FCD">
        <w:t xml:space="preserve"> </w:t>
      </w:r>
      <w:r w:rsidRPr="00181FCD">
        <w:t>Nacional</w:t>
      </w:r>
      <w:r w:rsidR="00F373A3" w:rsidRPr="00181FCD">
        <w:t xml:space="preserve"> </w:t>
      </w:r>
      <w:r w:rsidRPr="00181FCD">
        <w:t>de</w:t>
      </w:r>
      <w:r w:rsidR="00F373A3" w:rsidRPr="00181FCD">
        <w:t xml:space="preserve"> </w:t>
      </w:r>
      <w:r w:rsidRPr="00181FCD">
        <w:t>Prevención;</w:t>
      </w:r>
      <w:r w:rsidR="00F373A3" w:rsidRPr="00181FCD">
        <w:t xml:space="preserve"> </w:t>
      </w:r>
      <w:r w:rsidRPr="00181FCD">
        <w:t>la</w:t>
      </w:r>
      <w:r w:rsidR="00F373A3" w:rsidRPr="00181FCD">
        <w:t xml:space="preserve"> </w:t>
      </w:r>
      <w:r w:rsidRPr="00181FCD">
        <w:t>ampliación</w:t>
      </w:r>
      <w:r w:rsidR="00F373A3" w:rsidRPr="00181FCD">
        <w:t xml:space="preserve"> </w:t>
      </w:r>
      <w:r w:rsidRPr="00181FCD">
        <w:t>de</w:t>
      </w:r>
      <w:r w:rsidR="00F373A3" w:rsidRPr="00181FCD">
        <w:t xml:space="preserve"> </w:t>
      </w:r>
      <w:r w:rsidRPr="00181FCD">
        <w:t>sus</w:t>
      </w:r>
      <w:r w:rsidR="00F373A3" w:rsidRPr="00181FCD">
        <w:t xml:space="preserve"> </w:t>
      </w:r>
      <w:r w:rsidRPr="00181FCD">
        <w:t>atribuciones,</w:t>
      </w:r>
      <w:r w:rsidR="00F373A3" w:rsidRPr="00181FCD">
        <w:t xml:space="preserve"> </w:t>
      </w:r>
      <w:r w:rsidRPr="00181FCD">
        <w:t>y</w:t>
      </w:r>
      <w:r w:rsidR="00F373A3" w:rsidRPr="00181FCD">
        <w:t xml:space="preserve"> </w:t>
      </w:r>
      <w:r w:rsidRPr="00181FCD">
        <w:t>su</w:t>
      </w:r>
      <w:r w:rsidR="00F373A3" w:rsidRPr="00181FCD">
        <w:t xml:space="preserve"> </w:t>
      </w:r>
      <w:r w:rsidRPr="00181FCD">
        <w:t>acreditación</w:t>
      </w:r>
      <w:r w:rsidR="00F373A3" w:rsidRPr="00181FCD">
        <w:t xml:space="preserve"> </w:t>
      </w:r>
      <w:r w:rsidRPr="00181FCD">
        <w:t>con</w:t>
      </w:r>
      <w:r w:rsidR="00F373A3" w:rsidRPr="00181FCD">
        <w:t xml:space="preserve"> </w:t>
      </w:r>
      <w:r w:rsidRPr="00181FCD">
        <w:t>arreglo</w:t>
      </w:r>
      <w:r w:rsidR="00F373A3" w:rsidRPr="00181FCD">
        <w:t xml:space="preserve"> </w:t>
      </w:r>
      <w:r w:rsidRPr="00181FCD">
        <w:t>a</w:t>
      </w:r>
      <w:r w:rsidR="00F373A3" w:rsidRPr="00181FCD">
        <w:t xml:space="preserve"> </w:t>
      </w:r>
      <w:r w:rsidRPr="00181FCD">
        <w:t>los</w:t>
      </w:r>
      <w:r w:rsidR="00F373A3" w:rsidRPr="00181FCD">
        <w:t xml:space="preserve"> </w:t>
      </w:r>
      <w:r w:rsidRPr="00181FCD">
        <w:t>Principios</w:t>
      </w:r>
      <w:r w:rsidR="00F373A3" w:rsidRPr="00181FCD">
        <w:t xml:space="preserve"> </w:t>
      </w:r>
      <w:r w:rsidRPr="00181FCD">
        <w:t>de</w:t>
      </w:r>
      <w:r w:rsidR="00F373A3" w:rsidRPr="00181FCD">
        <w:t xml:space="preserve"> </w:t>
      </w:r>
      <w:r w:rsidRPr="00181FCD">
        <w:t>París.</w:t>
      </w:r>
      <w:r w:rsidR="00F373A3" w:rsidRPr="00181FCD">
        <w:t xml:space="preserve"> </w:t>
      </w:r>
      <w:r w:rsidRPr="00181FCD">
        <w:t>Las</w:t>
      </w:r>
      <w:r w:rsidR="00F373A3" w:rsidRPr="00181FCD">
        <w:t xml:space="preserve"> </w:t>
      </w:r>
      <w:r w:rsidRPr="00181FCD">
        <w:t>atribuciones</w:t>
      </w:r>
      <w:r w:rsidR="00F373A3" w:rsidRPr="00181FCD">
        <w:t xml:space="preserve"> </w:t>
      </w:r>
      <w:r w:rsidRPr="00181FCD">
        <w:t>ampliadas</w:t>
      </w:r>
      <w:r w:rsidR="00F373A3" w:rsidRPr="00181FCD">
        <w:t xml:space="preserve"> </w:t>
      </w:r>
      <w:r w:rsidRPr="00181FCD">
        <w:t>del</w:t>
      </w:r>
      <w:r w:rsidR="00F373A3" w:rsidRPr="00181FCD">
        <w:t xml:space="preserve"> </w:t>
      </w:r>
      <w:r w:rsidRPr="00181FCD">
        <w:t>Defensor</w:t>
      </w:r>
      <w:r w:rsidR="00F373A3" w:rsidRPr="00181FCD">
        <w:t xml:space="preserve"> </w:t>
      </w:r>
      <w:r w:rsidRPr="00181FCD">
        <w:t>del</w:t>
      </w:r>
      <w:r w:rsidR="00F373A3" w:rsidRPr="00181FCD">
        <w:t xml:space="preserve"> </w:t>
      </w:r>
      <w:r w:rsidRPr="00181FCD">
        <w:t>Pueblo</w:t>
      </w:r>
      <w:r w:rsidR="00F373A3" w:rsidRPr="00181FCD">
        <w:t xml:space="preserve"> </w:t>
      </w:r>
      <w:r w:rsidRPr="00181FCD">
        <w:t>incluyen</w:t>
      </w:r>
      <w:r w:rsidR="00F373A3" w:rsidRPr="00181FCD">
        <w:t xml:space="preserve"> </w:t>
      </w:r>
      <w:r w:rsidRPr="00181FCD">
        <w:t>la</w:t>
      </w:r>
      <w:r w:rsidR="00F373A3" w:rsidRPr="00181FCD">
        <w:t xml:space="preserve"> </w:t>
      </w:r>
      <w:r w:rsidRPr="00181FCD">
        <w:t>presentación</w:t>
      </w:r>
      <w:r w:rsidR="00F373A3" w:rsidRPr="00181FCD">
        <w:t xml:space="preserve"> </w:t>
      </w:r>
      <w:r w:rsidRPr="00181FCD">
        <w:t>de</w:t>
      </w:r>
      <w:r w:rsidR="00F373A3" w:rsidRPr="00181FCD">
        <w:t xml:space="preserve"> </w:t>
      </w:r>
      <w:r w:rsidRPr="00181FCD">
        <w:t>dictámenes</w:t>
      </w:r>
      <w:r w:rsidR="00F373A3" w:rsidRPr="00181FCD">
        <w:t xml:space="preserve"> </w:t>
      </w:r>
      <w:r w:rsidRPr="00181FCD">
        <w:t>al</w:t>
      </w:r>
      <w:r w:rsidR="00F373A3" w:rsidRPr="00181FCD">
        <w:t xml:space="preserve"> </w:t>
      </w:r>
      <w:r w:rsidRPr="00181FCD">
        <w:t>Consejo</w:t>
      </w:r>
      <w:r w:rsidR="00F373A3" w:rsidRPr="00181FCD">
        <w:t xml:space="preserve"> </w:t>
      </w:r>
      <w:r w:rsidRPr="00181FCD">
        <w:t>de</w:t>
      </w:r>
      <w:r w:rsidR="00F373A3" w:rsidRPr="00181FCD">
        <w:t xml:space="preserve"> </w:t>
      </w:r>
      <w:r w:rsidRPr="00181FCD">
        <w:t>Ministros</w:t>
      </w:r>
      <w:r w:rsidR="00F373A3" w:rsidRPr="00181FCD">
        <w:t xml:space="preserve"> </w:t>
      </w:r>
      <w:r w:rsidRPr="00181FCD">
        <w:t>y</w:t>
      </w:r>
      <w:r w:rsidR="00F373A3" w:rsidRPr="00181FCD">
        <w:t xml:space="preserve"> </w:t>
      </w:r>
      <w:r w:rsidRPr="00181FCD">
        <w:t>la</w:t>
      </w:r>
      <w:r w:rsidR="00F373A3" w:rsidRPr="00181FCD">
        <w:t xml:space="preserve"> </w:t>
      </w:r>
      <w:r w:rsidRPr="00181FCD">
        <w:t>Asamblea</w:t>
      </w:r>
      <w:r w:rsidR="00F373A3" w:rsidRPr="00181FCD">
        <w:t xml:space="preserve"> </w:t>
      </w:r>
      <w:r w:rsidRPr="00181FCD">
        <w:t>Nacional</w:t>
      </w:r>
      <w:r w:rsidR="00F373A3" w:rsidRPr="00181FCD">
        <w:t xml:space="preserve"> </w:t>
      </w:r>
      <w:r w:rsidRPr="00181FCD">
        <w:t>sobre</w:t>
      </w:r>
      <w:r w:rsidR="00F373A3" w:rsidRPr="00181FCD">
        <w:t xml:space="preserve"> </w:t>
      </w:r>
      <w:r w:rsidRPr="00181FCD">
        <w:t>los</w:t>
      </w:r>
      <w:r w:rsidR="00F373A3" w:rsidRPr="00181FCD">
        <w:t xml:space="preserve"> </w:t>
      </w:r>
      <w:r w:rsidRPr="00181FCD">
        <w:t>proyectos</w:t>
      </w:r>
      <w:r w:rsidR="00F373A3" w:rsidRPr="00181FCD">
        <w:t xml:space="preserve"> </w:t>
      </w:r>
      <w:r w:rsidRPr="00181FCD">
        <w:t>de</w:t>
      </w:r>
      <w:r w:rsidR="00F373A3" w:rsidRPr="00181FCD">
        <w:t xml:space="preserve"> </w:t>
      </w:r>
      <w:r w:rsidRPr="00181FCD">
        <w:t>ley</w:t>
      </w:r>
      <w:r w:rsidR="00F373A3" w:rsidRPr="00181FCD">
        <w:t xml:space="preserve"> </w:t>
      </w:r>
      <w:r w:rsidRPr="00181FCD">
        <w:t>relativos</w:t>
      </w:r>
      <w:r w:rsidR="00F373A3" w:rsidRPr="00181FCD">
        <w:t xml:space="preserve"> </w:t>
      </w:r>
      <w:r w:rsidRPr="00181FCD">
        <w:t>a</w:t>
      </w:r>
      <w:r w:rsidR="00F373A3" w:rsidRPr="00181FCD">
        <w:t xml:space="preserve"> </w:t>
      </w:r>
      <w:r w:rsidRPr="00181FCD">
        <w:t>la</w:t>
      </w:r>
      <w:r w:rsidR="00F373A3" w:rsidRPr="00181FCD">
        <w:t xml:space="preserve"> </w:t>
      </w:r>
      <w:r w:rsidRPr="00181FCD">
        <w:t>protección</w:t>
      </w:r>
      <w:r w:rsidR="00F373A3" w:rsidRPr="00181FCD">
        <w:t xml:space="preserve"> </w:t>
      </w:r>
      <w:r w:rsidRPr="00181FCD">
        <w:t>de</w:t>
      </w:r>
      <w:r w:rsidR="00F373A3" w:rsidRPr="00181FCD">
        <w:t xml:space="preserve"> </w:t>
      </w:r>
      <w:r w:rsidRPr="00181FCD">
        <w:t>los</w:t>
      </w:r>
      <w:r w:rsidR="00F373A3" w:rsidRPr="00181FCD">
        <w:t xml:space="preserve"> </w:t>
      </w:r>
      <w:r w:rsidRPr="00181FCD">
        <w:t>derechos</w:t>
      </w:r>
      <w:r w:rsidR="00F373A3" w:rsidRPr="00181FCD">
        <w:t xml:space="preserve"> </w:t>
      </w:r>
      <w:r w:rsidRPr="00181FCD">
        <w:t>humanos</w:t>
      </w:r>
      <w:r w:rsidR="00F373A3" w:rsidRPr="00181FCD">
        <w:t xml:space="preserve"> </w:t>
      </w:r>
      <w:r w:rsidRPr="00181FCD">
        <w:t>y</w:t>
      </w:r>
      <w:r w:rsidR="00F373A3" w:rsidRPr="00181FCD">
        <w:t xml:space="preserve"> </w:t>
      </w:r>
      <w:r w:rsidRPr="00181FCD">
        <w:t>la</w:t>
      </w:r>
      <w:r w:rsidR="00F373A3" w:rsidRPr="00181FCD">
        <w:t xml:space="preserve"> </w:t>
      </w:r>
      <w:r w:rsidRPr="00181FCD">
        <w:t>ratificación</w:t>
      </w:r>
      <w:r w:rsidR="00F373A3" w:rsidRPr="00181FCD">
        <w:t xml:space="preserve"> </w:t>
      </w:r>
      <w:r w:rsidRPr="00181FCD">
        <w:t>de</w:t>
      </w:r>
      <w:r w:rsidR="00F373A3" w:rsidRPr="00181FCD">
        <w:t xml:space="preserve"> </w:t>
      </w:r>
      <w:r w:rsidRPr="00181FCD">
        <w:t>los</w:t>
      </w:r>
      <w:r w:rsidR="00F373A3" w:rsidRPr="00181FCD">
        <w:t xml:space="preserve"> </w:t>
      </w:r>
      <w:r w:rsidRPr="00181FCD">
        <w:t>tratados</w:t>
      </w:r>
      <w:r w:rsidR="00F373A3" w:rsidRPr="00181FCD">
        <w:t xml:space="preserve"> </w:t>
      </w:r>
      <w:r w:rsidRPr="00181FCD">
        <w:t>internacionales</w:t>
      </w:r>
      <w:r w:rsidR="00F373A3" w:rsidRPr="00181FCD">
        <w:t xml:space="preserve"> </w:t>
      </w:r>
      <w:r w:rsidRPr="00181FCD">
        <w:t>de</w:t>
      </w:r>
      <w:r w:rsidR="00F373A3" w:rsidRPr="00181FCD">
        <w:t xml:space="preserve"> </w:t>
      </w:r>
      <w:r w:rsidRPr="00181FCD">
        <w:t>derechos</w:t>
      </w:r>
      <w:r w:rsidR="00F373A3" w:rsidRPr="00181FCD">
        <w:t xml:space="preserve"> </w:t>
      </w:r>
      <w:r w:rsidRPr="00181FCD">
        <w:t>humanos;</w:t>
      </w:r>
      <w:r w:rsidR="00F373A3" w:rsidRPr="00181FCD">
        <w:t xml:space="preserve"> </w:t>
      </w:r>
      <w:r w:rsidRPr="00181FCD">
        <w:t>la</w:t>
      </w:r>
      <w:r w:rsidR="00F373A3" w:rsidRPr="00181FCD">
        <w:t xml:space="preserve"> </w:t>
      </w:r>
      <w:r w:rsidRPr="00181FCD">
        <w:t>remisión</w:t>
      </w:r>
      <w:r w:rsidR="00F373A3" w:rsidRPr="00181FCD">
        <w:t xml:space="preserve"> </w:t>
      </w:r>
      <w:r w:rsidRPr="00181FCD">
        <w:t>de</w:t>
      </w:r>
      <w:r w:rsidR="00F373A3" w:rsidRPr="00181FCD">
        <w:t xml:space="preserve"> </w:t>
      </w:r>
      <w:r w:rsidRPr="00181FCD">
        <w:t>causas</w:t>
      </w:r>
      <w:r w:rsidR="00F373A3" w:rsidRPr="00181FCD">
        <w:t xml:space="preserve"> </w:t>
      </w:r>
      <w:r w:rsidRPr="00181FCD">
        <w:t>al</w:t>
      </w:r>
      <w:r w:rsidR="00F373A3" w:rsidRPr="00181FCD">
        <w:t xml:space="preserve"> </w:t>
      </w:r>
      <w:r w:rsidRPr="00181FCD">
        <w:t>Tribunal</w:t>
      </w:r>
      <w:r w:rsidR="00F373A3" w:rsidRPr="00181FCD">
        <w:t xml:space="preserve"> </w:t>
      </w:r>
      <w:r w:rsidRPr="00181FCD">
        <w:t>Constitucional</w:t>
      </w:r>
      <w:r w:rsidR="00F373A3" w:rsidRPr="00181FCD">
        <w:t xml:space="preserve"> </w:t>
      </w:r>
      <w:r w:rsidRPr="00181FCD">
        <w:t>y</w:t>
      </w:r>
      <w:r w:rsidR="00F373A3" w:rsidRPr="00181FCD">
        <w:t xml:space="preserve"> </w:t>
      </w:r>
      <w:r w:rsidRPr="00181FCD">
        <w:t>la</w:t>
      </w:r>
      <w:r w:rsidR="00F373A3" w:rsidRPr="00181FCD">
        <w:t xml:space="preserve"> </w:t>
      </w:r>
      <w:r w:rsidRPr="00181FCD">
        <w:t>protección</w:t>
      </w:r>
      <w:r w:rsidR="00F373A3" w:rsidRPr="00181FCD">
        <w:t xml:space="preserve"> </w:t>
      </w:r>
      <w:r w:rsidRPr="00181FCD">
        <w:t>de</w:t>
      </w:r>
      <w:r w:rsidR="00F373A3" w:rsidRPr="00181FCD">
        <w:t xml:space="preserve"> </w:t>
      </w:r>
      <w:r w:rsidRPr="00181FCD">
        <w:t>los</w:t>
      </w:r>
      <w:r w:rsidR="00F373A3" w:rsidRPr="00181FCD">
        <w:t xml:space="preserve"> </w:t>
      </w:r>
      <w:r w:rsidRPr="00181FCD">
        <w:t>derechos</w:t>
      </w:r>
      <w:r w:rsidR="00F373A3" w:rsidRPr="00181FCD">
        <w:t xml:space="preserve"> </w:t>
      </w:r>
      <w:r w:rsidRPr="00181FCD">
        <w:t>del</w:t>
      </w:r>
      <w:r w:rsidR="00F373A3" w:rsidRPr="00181FCD">
        <w:t xml:space="preserve"> </w:t>
      </w:r>
      <w:r w:rsidRPr="00181FCD">
        <w:t>niño;</w:t>
      </w:r>
      <w:r w:rsidR="00F373A3" w:rsidRPr="00181FCD">
        <w:t xml:space="preserve"> </w:t>
      </w:r>
      <w:r w:rsidRPr="00181FCD">
        <w:t>mayores</w:t>
      </w:r>
      <w:r w:rsidR="00F373A3" w:rsidRPr="00181FCD">
        <w:t xml:space="preserve"> </w:t>
      </w:r>
      <w:r w:rsidRPr="00181FCD">
        <w:t>atribuciones</w:t>
      </w:r>
      <w:r w:rsidR="00F373A3" w:rsidRPr="00181FCD">
        <w:t xml:space="preserve"> </w:t>
      </w:r>
      <w:r w:rsidRPr="00181FCD">
        <w:t>en</w:t>
      </w:r>
      <w:r w:rsidR="00F373A3" w:rsidRPr="00181FCD">
        <w:t xml:space="preserve"> </w:t>
      </w:r>
      <w:r w:rsidRPr="00181FCD">
        <w:t>lo</w:t>
      </w:r>
      <w:r w:rsidR="00F373A3" w:rsidRPr="00181FCD">
        <w:t xml:space="preserve"> </w:t>
      </w:r>
      <w:r w:rsidRPr="00181FCD">
        <w:t>que</w:t>
      </w:r>
      <w:r w:rsidR="00F373A3" w:rsidRPr="00181FCD">
        <w:t xml:space="preserve"> </w:t>
      </w:r>
      <w:r w:rsidRPr="00181FCD">
        <w:t>respecta</w:t>
      </w:r>
      <w:r w:rsidR="00F373A3" w:rsidRPr="00181FCD">
        <w:t xml:space="preserve"> </w:t>
      </w:r>
      <w:r w:rsidRPr="00181FCD">
        <w:t>a</w:t>
      </w:r>
      <w:r w:rsidR="00F373A3" w:rsidRPr="00181FCD">
        <w:t xml:space="preserve"> </w:t>
      </w:r>
      <w:r w:rsidRPr="00181FCD">
        <w:t>los</w:t>
      </w:r>
      <w:r w:rsidR="00F373A3" w:rsidRPr="00181FCD">
        <w:t xml:space="preserve"> </w:t>
      </w:r>
      <w:r w:rsidRPr="00181FCD">
        <w:t>lugares</w:t>
      </w:r>
      <w:r w:rsidR="00F373A3" w:rsidRPr="00181FCD">
        <w:t xml:space="preserve"> </w:t>
      </w:r>
      <w:r w:rsidRPr="00181FCD">
        <w:t>para</w:t>
      </w:r>
      <w:r w:rsidR="00F373A3" w:rsidRPr="00181FCD">
        <w:t xml:space="preserve"> </w:t>
      </w:r>
      <w:r w:rsidRPr="00181FCD">
        <w:t>las</w:t>
      </w:r>
      <w:r w:rsidR="00F373A3" w:rsidRPr="00181FCD">
        <w:t xml:space="preserve"> </w:t>
      </w:r>
      <w:r w:rsidRPr="00181FCD">
        <w:t>personas</w:t>
      </w:r>
      <w:r w:rsidR="00F373A3" w:rsidRPr="00181FCD">
        <w:t xml:space="preserve"> </w:t>
      </w:r>
      <w:r w:rsidRPr="00181FCD">
        <w:t>privadas</w:t>
      </w:r>
      <w:r w:rsidR="00F373A3" w:rsidRPr="00181FCD">
        <w:t xml:space="preserve"> </w:t>
      </w:r>
      <w:r w:rsidRPr="00181FCD">
        <w:t>de</w:t>
      </w:r>
      <w:r w:rsidR="00F373A3" w:rsidRPr="00181FCD">
        <w:t xml:space="preserve"> </w:t>
      </w:r>
      <w:r w:rsidRPr="00181FCD">
        <w:t>su</w:t>
      </w:r>
      <w:r w:rsidR="00F373A3" w:rsidRPr="00181FCD">
        <w:t xml:space="preserve"> </w:t>
      </w:r>
      <w:r w:rsidRPr="00181FCD">
        <w:t>libertad,</w:t>
      </w:r>
      <w:r w:rsidR="00F373A3" w:rsidRPr="00181FCD">
        <w:t xml:space="preserve"> </w:t>
      </w:r>
      <w:r w:rsidRPr="00181FCD">
        <w:t>o</w:t>
      </w:r>
      <w:r w:rsidR="00F373A3" w:rsidRPr="00181FCD">
        <w:t xml:space="preserve"> </w:t>
      </w:r>
      <w:r w:rsidRPr="00181FCD">
        <w:t>en</w:t>
      </w:r>
      <w:r w:rsidR="00F373A3" w:rsidRPr="00181FCD">
        <w:t xml:space="preserve"> </w:t>
      </w:r>
      <w:r w:rsidRPr="00181FCD">
        <w:t>que</w:t>
      </w:r>
      <w:r w:rsidR="00F373A3" w:rsidRPr="00181FCD">
        <w:t xml:space="preserve"> </w:t>
      </w:r>
      <w:r w:rsidRPr="00181FCD">
        <w:t>se</w:t>
      </w:r>
      <w:r w:rsidR="00F373A3" w:rsidRPr="00181FCD">
        <w:t xml:space="preserve"> </w:t>
      </w:r>
      <w:r w:rsidRPr="00181FCD">
        <w:t>las</w:t>
      </w:r>
      <w:r w:rsidR="00F373A3" w:rsidRPr="00181FCD">
        <w:t xml:space="preserve"> </w:t>
      </w:r>
      <w:r w:rsidRPr="00181FCD">
        <w:t>mantiene</w:t>
      </w:r>
      <w:r w:rsidR="00F373A3" w:rsidRPr="00181FCD">
        <w:t xml:space="preserve"> </w:t>
      </w:r>
      <w:r w:rsidRPr="00181FCD">
        <w:t>en</w:t>
      </w:r>
      <w:r w:rsidR="00F373A3" w:rsidRPr="00181FCD">
        <w:t xml:space="preserve"> </w:t>
      </w:r>
      <w:r w:rsidRPr="00181FCD">
        <w:t>custodia.</w:t>
      </w:r>
    </w:p>
    <w:p w:rsidR="001937F4" w:rsidRPr="00181FCD" w:rsidRDefault="001937F4" w:rsidP="00347B20">
      <w:pPr>
        <w:pStyle w:val="SingleTxtG"/>
        <w:suppressAutoHyphens/>
      </w:pPr>
      <w:r w:rsidRPr="00181FCD">
        <w:t>17.</w:t>
      </w:r>
      <w:r w:rsidRPr="00181FCD">
        <w:tab/>
        <w:t>La</w:t>
      </w:r>
      <w:r w:rsidR="00F373A3" w:rsidRPr="00181FCD">
        <w:t xml:space="preserve"> </w:t>
      </w:r>
      <w:r w:rsidRPr="00181FCD">
        <w:t>Comisión</w:t>
      </w:r>
      <w:r w:rsidR="00F373A3" w:rsidRPr="00181FCD">
        <w:t xml:space="preserve"> </w:t>
      </w:r>
      <w:r w:rsidRPr="00181FCD">
        <w:t>de</w:t>
      </w:r>
      <w:r w:rsidR="00F373A3" w:rsidRPr="00181FCD">
        <w:t xml:space="preserve"> </w:t>
      </w:r>
      <w:r w:rsidRPr="00181FCD">
        <w:t>Protección</w:t>
      </w:r>
      <w:r w:rsidR="00F373A3" w:rsidRPr="00181FCD">
        <w:t xml:space="preserve"> </w:t>
      </w:r>
      <w:r w:rsidRPr="00181FCD">
        <w:t>frente</w:t>
      </w:r>
      <w:r w:rsidR="00F373A3" w:rsidRPr="00181FCD">
        <w:t xml:space="preserve"> </w:t>
      </w:r>
      <w:r w:rsidRPr="00181FCD">
        <w:t>a</w:t>
      </w:r>
      <w:r w:rsidR="00F373A3" w:rsidRPr="00181FCD">
        <w:t xml:space="preserve"> </w:t>
      </w:r>
      <w:r w:rsidRPr="00181FCD">
        <w:t>la</w:t>
      </w:r>
      <w:r w:rsidR="00F373A3" w:rsidRPr="00181FCD">
        <w:t xml:space="preserve"> </w:t>
      </w:r>
      <w:r w:rsidRPr="00181FCD">
        <w:t>Discriminación</w:t>
      </w:r>
      <w:r w:rsidR="00F373A3" w:rsidRPr="00181FCD">
        <w:t xml:space="preserve"> </w:t>
      </w:r>
      <w:r w:rsidRPr="00181FCD">
        <w:t>es</w:t>
      </w:r>
      <w:r w:rsidR="00F373A3" w:rsidRPr="00181FCD">
        <w:t xml:space="preserve"> </w:t>
      </w:r>
      <w:r w:rsidRPr="00181FCD">
        <w:t>un</w:t>
      </w:r>
      <w:r w:rsidR="00F373A3" w:rsidRPr="00181FCD">
        <w:t xml:space="preserve"> </w:t>
      </w:r>
      <w:r w:rsidRPr="00181FCD">
        <w:t>organismo</w:t>
      </w:r>
      <w:r w:rsidR="00F373A3" w:rsidRPr="00181FCD">
        <w:t xml:space="preserve"> </w:t>
      </w:r>
      <w:r w:rsidRPr="00181FCD">
        <w:t>nacional</w:t>
      </w:r>
      <w:r w:rsidR="00F373A3" w:rsidRPr="00181FCD">
        <w:t xml:space="preserve"> </w:t>
      </w:r>
      <w:r w:rsidRPr="00181FCD">
        <w:t>independiente</w:t>
      </w:r>
      <w:r w:rsidR="00F373A3" w:rsidRPr="00181FCD">
        <w:t xml:space="preserve"> </w:t>
      </w:r>
      <w:r w:rsidRPr="00181FCD">
        <w:t>encargado</w:t>
      </w:r>
      <w:r w:rsidR="00F373A3" w:rsidRPr="00181FCD">
        <w:t xml:space="preserve"> </w:t>
      </w:r>
      <w:r w:rsidRPr="00181FCD">
        <w:t>del</w:t>
      </w:r>
      <w:r w:rsidR="00F373A3" w:rsidRPr="00181FCD">
        <w:t xml:space="preserve"> </w:t>
      </w:r>
      <w:r w:rsidRPr="00181FCD">
        <w:t>tema</w:t>
      </w:r>
      <w:r w:rsidR="00F373A3" w:rsidRPr="00181FCD">
        <w:t xml:space="preserve"> </w:t>
      </w:r>
      <w:r w:rsidRPr="00181FCD">
        <w:t>de</w:t>
      </w:r>
      <w:r w:rsidR="00F373A3" w:rsidRPr="00181FCD">
        <w:t xml:space="preserve"> </w:t>
      </w:r>
      <w:r w:rsidRPr="00181FCD">
        <w:t>la</w:t>
      </w:r>
      <w:r w:rsidR="00F373A3" w:rsidRPr="00181FCD">
        <w:t xml:space="preserve"> </w:t>
      </w:r>
      <w:r w:rsidRPr="00181FCD">
        <w:t>igualdad,</w:t>
      </w:r>
      <w:r w:rsidR="00F373A3" w:rsidRPr="00181FCD">
        <w:t xml:space="preserve"> </w:t>
      </w:r>
      <w:r w:rsidRPr="00181FCD">
        <w:t>que</w:t>
      </w:r>
      <w:r w:rsidR="00F373A3" w:rsidRPr="00181FCD">
        <w:t xml:space="preserve"> </w:t>
      </w:r>
      <w:r w:rsidRPr="00181FCD">
        <w:t>ejerce</w:t>
      </w:r>
      <w:r w:rsidR="00F373A3" w:rsidRPr="00181FCD">
        <w:t xml:space="preserve"> </w:t>
      </w:r>
      <w:r w:rsidRPr="00181FCD">
        <w:t>sus</w:t>
      </w:r>
      <w:r w:rsidR="00F373A3" w:rsidRPr="00181FCD">
        <w:t xml:space="preserve"> </w:t>
      </w:r>
      <w:r w:rsidRPr="00181FCD">
        <w:t>competencias</w:t>
      </w:r>
      <w:r w:rsidR="00F373A3" w:rsidRPr="00181FCD">
        <w:t xml:space="preserve"> </w:t>
      </w:r>
      <w:r w:rsidRPr="00181FCD">
        <w:t>y</w:t>
      </w:r>
      <w:r w:rsidR="00F373A3" w:rsidRPr="00181FCD">
        <w:t xml:space="preserve"> </w:t>
      </w:r>
      <w:r w:rsidRPr="00181FCD">
        <w:t>autoridad</w:t>
      </w:r>
      <w:r w:rsidR="00F373A3" w:rsidRPr="00181FCD">
        <w:t xml:space="preserve"> </w:t>
      </w:r>
      <w:r w:rsidRPr="00181FCD">
        <w:t>conforme</w:t>
      </w:r>
      <w:r w:rsidR="00F373A3" w:rsidRPr="00181FCD">
        <w:t xml:space="preserve"> </w:t>
      </w:r>
      <w:r w:rsidRPr="00181FCD">
        <w:t>a</w:t>
      </w:r>
      <w:r w:rsidR="00F373A3" w:rsidRPr="00181FCD">
        <w:t xml:space="preserve"> </w:t>
      </w:r>
      <w:r w:rsidRPr="00181FCD">
        <w:t>lo</w:t>
      </w:r>
      <w:r w:rsidR="00F373A3" w:rsidRPr="00181FCD">
        <w:t xml:space="preserve"> </w:t>
      </w:r>
      <w:r w:rsidRPr="00181FCD">
        <w:t>dispuesto</w:t>
      </w:r>
      <w:r w:rsidR="00F373A3" w:rsidRPr="00181FCD">
        <w:t xml:space="preserve"> </w:t>
      </w:r>
      <w:r w:rsidRPr="00181FCD">
        <w:t>en</w:t>
      </w:r>
      <w:r w:rsidR="00F373A3" w:rsidRPr="00181FCD">
        <w:t xml:space="preserve"> </w:t>
      </w:r>
      <w:r w:rsidRPr="00181FCD">
        <w:t>la</w:t>
      </w:r>
      <w:r w:rsidR="00F373A3" w:rsidRPr="00181FCD">
        <w:t xml:space="preserve"> </w:t>
      </w:r>
      <w:r w:rsidRPr="00181FCD">
        <w:t>Ley</w:t>
      </w:r>
      <w:r w:rsidR="00F373A3" w:rsidRPr="00181FCD">
        <w:t xml:space="preserve"> </w:t>
      </w:r>
      <w:r w:rsidRPr="00181FCD">
        <w:t>de</w:t>
      </w:r>
      <w:r w:rsidR="00F373A3" w:rsidRPr="00181FCD">
        <w:t xml:space="preserve"> </w:t>
      </w:r>
      <w:r w:rsidRPr="00181FCD">
        <w:t>Protección</w:t>
      </w:r>
      <w:r w:rsidR="00F373A3" w:rsidRPr="00181FCD">
        <w:t xml:space="preserve"> </w:t>
      </w:r>
      <w:r w:rsidRPr="00181FCD">
        <w:t>contra</w:t>
      </w:r>
      <w:r w:rsidR="00F373A3" w:rsidRPr="00181FCD">
        <w:t xml:space="preserve"> </w:t>
      </w:r>
      <w:r w:rsidRPr="00181FCD">
        <w:t>la</w:t>
      </w:r>
      <w:r w:rsidR="00F373A3" w:rsidRPr="00181FCD">
        <w:t xml:space="preserve"> </w:t>
      </w:r>
      <w:r w:rsidRPr="00181FCD">
        <w:t>Discriminación.</w:t>
      </w:r>
      <w:r w:rsidR="00F373A3" w:rsidRPr="00181FCD">
        <w:t xml:space="preserve"> </w:t>
      </w:r>
      <w:r w:rsidRPr="00181FCD">
        <w:t>Las</w:t>
      </w:r>
      <w:r w:rsidR="00F373A3" w:rsidRPr="00181FCD">
        <w:t xml:space="preserve"> </w:t>
      </w:r>
      <w:r w:rsidRPr="00181FCD">
        <w:t>principales</w:t>
      </w:r>
      <w:r w:rsidR="00F373A3" w:rsidRPr="00181FCD">
        <w:t xml:space="preserve"> </w:t>
      </w:r>
      <w:r w:rsidRPr="00181FCD">
        <w:t>competencias</w:t>
      </w:r>
      <w:r w:rsidR="00F373A3" w:rsidRPr="00181FCD">
        <w:t xml:space="preserve"> </w:t>
      </w:r>
      <w:r w:rsidRPr="00181FCD">
        <w:t>de</w:t>
      </w:r>
      <w:r w:rsidR="00F373A3" w:rsidRPr="00181FCD">
        <w:t xml:space="preserve"> </w:t>
      </w:r>
      <w:r w:rsidRPr="00181FCD">
        <w:t>la</w:t>
      </w:r>
      <w:r w:rsidR="00F373A3" w:rsidRPr="00181FCD">
        <w:t xml:space="preserve"> </w:t>
      </w:r>
      <w:r w:rsidRPr="00181FCD">
        <w:t>Comisión</w:t>
      </w:r>
      <w:r w:rsidR="00F373A3" w:rsidRPr="00181FCD">
        <w:t xml:space="preserve"> </w:t>
      </w:r>
      <w:r w:rsidRPr="00181FCD">
        <w:t>son:</w:t>
      </w:r>
      <w:r w:rsidR="00F373A3" w:rsidRPr="00181FCD">
        <w:t xml:space="preserve"> </w:t>
      </w:r>
      <w:r w:rsidRPr="00181FCD">
        <w:t>1)</w:t>
      </w:r>
      <w:r w:rsidR="00F373A3" w:rsidRPr="00181FCD">
        <w:t xml:space="preserve"> </w:t>
      </w:r>
      <w:r w:rsidRPr="00181FCD">
        <w:t>prevención</w:t>
      </w:r>
      <w:r w:rsidR="00F373A3" w:rsidRPr="00181FCD">
        <w:t xml:space="preserve"> </w:t>
      </w:r>
      <w:r w:rsidRPr="00181FCD">
        <w:t>de</w:t>
      </w:r>
      <w:r w:rsidR="00F373A3" w:rsidRPr="00181FCD">
        <w:t xml:space="preserve"> </w:t>
      </w:r>
      <w:r w:rsidRPr="00181FCD">
        <w:t>la</w:t>
      </w:r>
      <w:r w:rsidR="00F373A3" w:rsidRPr="00181FCD">
        <w:t xml:space="preserve"> </w:t>
      </w:r>
      <w:r w:rsidRPr="00181FCD">
        <w:t>discriminación;</w:t>
      </w:r>
      <w:r w:rsidR="00F373A3" w:rsidRPr="00181FCD">
        <w:t xml:space="preserve"> </w:t>
      </w:r>
      <w:r w:rsidRPr="00181FCD">
        <w:t>2)</w:t>
      </w:r>
      <w:r w:rsidR="00F373A3" w:rsidRPr="00181FCD">
        <w:t xml:space="preserve"> </w:t>
      </w:r>
      <w:r w:rsidRPr="00181FCD">
        <w:t>protección</w:t>
      </w:r>
      <w:r w:rsidR="00F373A3" w:rsidRPr="00181FCD">
        <w:t xml:space="preserve"> </w:t>
      </w:r>
      <w:r w:rsidRPr="00181FCD">
        <w:t>contra</w:t>
      </w:r>
      <w:r w:rsidR="00F373A3" w:rsidRPr="00181FCD">
        <w:t xml:space="preserve"> </w:t>
      </w:r>
      <w:r w:rsidRPr="00181FCD">
        <w:t>la</w:t>
      </w:r>
      <w:r w:rsidR="00F373A3" w:rsidRPr="00181FCD">
        <w:t xml:space="preserve"> </w:t>
      </w:r>
      <w:r w:rsidRPr="00181FCD">
        <w:t>discriminación</w:t>
      </w:r>
      <w:r w:rsidR="00F373A3" w:rsidRPr="00181FCD">
        <w:t xml:space="preserve"> </w:t>
      </w:r>
      <w:r w:rsidRPr="00181FCD">
        <w:t>mediante</w:t>
      </w:r>
      <w:r w:rsidR="00F373A3" w:rsidRPr="00181FCD">
        <w:t xml:space="preserve"> </w:t>
      </w:r>
      <w:r w:rsidRPr="00181FCD">
        <w:t>el</w:t>
      </w:r>
      <w:r w:rsidR="00F373A3" w:rsidRPr="00181FCD">
        <w:t xml:space="preserve"> </w:t>
      </w:r>
      <w:r w:rsidRPr="00181FCD">
        <w:t>examen</w:t>
      </w:r>
      <w:r w:rsidR="00F373A3" w:rsidRPr="00181FCD">
        <w:t xml:space="preserve"> </w:t>
      </w:r>
      <w:r w:rsidRPr="00181FCD">
        <w:t>de</w:t>
      </w:r>
      <w:r w:rsidR="00F373A3" w:rsidRPr="00181FCD">
        <w:t xml:space="preserve"> </w:t>
      </w:r>
      <w:r w:rsidRPr="00181FCD">
        <w:t>las</w:t>
      </w:r>
      <w:r w:rsidR="00F373A3" w:rsidRPr="00181FCD">
        <w:t xml:space="preserve"> </w:t>
      </w:r>
      <w:r w:rsidRPr="00181FCD">
        <w:t>quejas</w:t>
      </w:r>
      <w:r w:rsidR="00F373A3" w:rsidRPr="00181FCD">
        <w:t xml:space="preserve"> </w:t>
      </w:r>
      <w:r w:rsidRPr="00181FCD">
        <w:t>y</w:t>
      </w:r>
      <w:r w:rsidR="00F373A3" w:rsidRPr="00181FCD">
        <w:t xml:space="preserve"> </w:t>
      </w:r>
      <w:r w:rsidRPr="00181FCD">
        <w:t>avisos</w:t>
      </w:r>
      <w:r w:rsidR="00F373A3" w:rsidRPr="00181FCD">
        <w:t xml:space="preserve"> </w:t>
      </w:r>
      <w:r w:rsidRPr="00181FCD">
        <w:t>específicos</w:t>
      </w:r>
      <w:r w:rsidR="00F373A3" w:rsidRPr="00181FCD">
        <w:t xml:space="preserve"> </w:t>
      </w:r>
      <w:r w:rsidRPr="00181FCD">
        <w:t>presentados</w:t>
      </w:r>
      <w:r w:rsidR="00F373A3" w:rsidRPr="00181FCD">
        <w:t xml:space="preserve"> </w:t>
      </w:r>
      <w:r w:rsidRPr="00181FCD">
        <w:t>ante</w:t>
      </w:r>
      <w:r w:rsidR="00F373A3" w:rsidRPr="00181FCD">
        <w:t xml:space="preserve"> </w:t>
      </w:r>
      <w:r w:rsidRPr="00181FCD">
        <w:t>la</w:t>
      </w:r>
      <w:r w:rsidR="00F373A3" w:rsidRPr="00181FCD">
        <w:t xml:space="preserve"> </w:t>
      </w:r>
      <w:r w:rsidRPr="00181FCD">
        <w:t>Comisión</w:t>
      </w:r>
      <w:r w:rsidR="00F373A3" w:rsidRPr="00181FCD">
        <w:t xml:space="preserve"> </w:t>
      </w:r>
      <w:r w:rsidRPr="00181FCD">
        <w:t>y</w:t>
      </w:r>
      <w:r w:rsidR="00F373A3" w:rsidRPr="00181FCD">
        <w:t xml:space="preserve"> </w:t>
      </w:r>
      <w:r w:rsidRPr="00181FCD">
        <w:t>que</w:t>
      </w:r>
      <w:r w:rsidR="00F373A3" w:rsidRPr="00181FCD">
        <w:t xml:space="preserve"> </w:t>
      </w:r>
      <w:r w:rsidRPr="00181FCD">
        <w:t>dan</w:t>
      </w:r>
      <w:r w:rsidR="00F373A3" w:rsidRPr="00181FCD">
        <w:t xml:space="preserve"> </w:t>
      </w:r>
      <w:r w:rsidRPr="00181FCD">
        <w:t>lugar</w:t>
      </w:r>
      <w:r w:rsidR="00F373A3" w:rsidRPr="00181FCD">
        <w:t xml:space="preserve"> </w:t>
      </w:r>
      <w:r w:rsidRPr="00181FCD">
        <w:t>al</w:t>
      </w:r>
      <w:r w:rsidR="00F373A3" w:rsidRPr="00181FCD">
        <w:t xml:space="preserve"> </w:t>
      </w:r>
      <w:r w:rsidRPr="00181FCD">
        <w:t>inicio</w:t>
      </w:r>
      <w:r w:rsidR="00F373A3" w:rsidRPr="00181FCD">
        <w:t xml:space="preserve"> </w:t>
      </w:r>
      <w:r w:rsidRPr="00181FCD">
        <w:t>de</w:t>
      </w:r>
      <w:r w:rsidR="00F373A3" w:rsidRPr="00181FCD">
        <w:t xml:space="preserve"> </w:t>
      </w:r>
      <w:r w:rsidRPr="00181FCD">
        <w:t>actuaciones</w:t>
      </w:r>
      <w:r w:rsidR="00C820BE" w:rsidRPr="00181FCD">
        <w:t>;</w:t>
      </w:r>
      <w:r w:rsidR="00F373A3" w:rsidRPr="00181FCD">
        <w:t xml:space="preserve"> </w:t>
      </w:r>
      <w:r w:rsidRPr="00181FCD">
        <w:t>y</w:t>
      </w:r>
      <w:r w:rsidR="00F373A3" w:rsidRPr="00181FCD">
        <w:t xml:space="preserve"> </w:t>
      </w:r>
      <w:r w:rsidRPr="00181FCD">
        <w:t>3)</w:t>
      </w:r>
      <w:r w:rsidR="00F373A3" w:rsidRPr="00181FCD">
        <w:t xml:space="preserve"> </w:t>
      </w:r>
      <w:r w:rsidRPr="00181FCD">
        <w:t>garantía</w:t>
      </w:r>
      <w:r w:rsidR="00F373A3" w:rsidRPr="00181FCD">
        <w:t xml:space="preserve"> </w:t>
      </w:r>
      <w:r w:rsidRPr="00181FCD">
        <w:t>de</w:t>
      </w:r>
      <w:r w:rsidR="00F373A3" w:rsidRPr="00181FCD">
        <w:t xml:space="preserve"> </w:t>
      </w:r>
      <w:r w:rsidRPr="00181FCD">
        <w:t>la</w:t>
      </w:r>
      <w:r w:rsidR="00F373A3" w:rsidRPr="00181FCD">
        <w:t xml:space="preserve"> </w:t>
      </w:r>
      <w:r w:rsidRPr="00181FCD">
        <w:t>igualdad</w:t>
      </w:r>
      <w:r w:rsidR="00F373A3" w:rsidRPr="00181FCD">
        <w:t xml:space="preserve"> </w:t>
      </w:r>
      <w:r w:rsidRPr="00181FCD">
        <w:t>de</w:t>
      </w:r>
      <w:r w:rsidR="00F373A3" w:rsidRPr="00181FCD">
        <w:t xml:space="preserve"> </w:t>
      </w:r>
      <w:r w:rsidRPr="00181FCD">
        <w:t>oportunidades</w:t>
      </w:r>
      <w:r w:rsidR="00F373A3" w:rsidRPr="00181FCD">
        <w:t xml:space="preserve"> </w:t>
      </w:r>
      <w:r w:rsidRPr="00181FCD">
        <w:t>para</w:t>
      </w:r>
      <w:r w:rsidR="00F373A3" w:rsidRPr="00181FCD">
        <w:t xml:space="preserve"> </w:t>
      </w:r>
      <w:r w:rsidRPr="00181FCD">
        <w:t>la</w:t>
      </w:r>
      <w:r w:rsidR="00F373A3" w:rsidRPr="00181FCD">
        <w:t xml:space="preserve"> </w:t>
      </w:r>
      <w:r w:rsidRPr="00181FCD">
        <w:t>participación</w:t>
      </w:r>
      <w:r w:rsidR="00F373A3" w:rsidRPr="00181FCD">
        <w:t xml:space="preserve"> </w:t>
      </w:r>
      <w:r w:rsidRPr="00181FCD">
        <w:t>de</w:t>
      </w:r>
      <w:r w:rsidR="00F373A3" w:rsidRPr="00181FCD">
        <w:t xml:space="preserve"> </w:t>
      </w:r>
      <w:r w:rsidRPr="00181FCD">
        <w:t>todos</w:t>
      </w:r>
      <w:r w:rsidR="00F373A3" w:rsidRPr="00181FCD">
        <w:t xml:space="preserve"> </w:t>
      </w:r>
      <w:r w:rsidRPr="00181FCD">
        <w:t>los</w:t>
      </w:r>
      <w:r w:rsidR="00F373A3" w:rsidRPr="00181FCD">
        <w:t xml:space="preserve"> </w:t>
      </w:r>
      <w:r w:rsidRPr="00181FCD">
        <w:t>ciudadanos</w:t>
      </w:r>
      <w:r w:rsidR="00F373A3" w:rsidRPr="00181FCD">
        <w:t xml:space="preserve"> </w:t>
      </w:r>
      <w:r w:rsidRPr="00181FCD">
        <w:t>en</w:t>
      </w:r>
      <w:r w:rsidR="00F373A3" w:rsidRPr="00181FCD">
        <w:t xml:space="preserve"> </w:t>
      </w:r>
      <w:r w:rsidRPr="00181FCD">
        <w:t>la</w:t>
      </w:r>
      <w:r w:rsidR="00F373A3" w:rsidRPr="00181FCD">
        <w:t xml:space="preserve"> </w:t>
      </w:r>
      <w:r w:rsidRPr="00181FCD">
        <w:t>vida</w:t>
      </w:r>
      <w:r w:rsidR="00F373A3" w:rsidRPr="00181FCD">
        <w:t xml:space="preserve"> </w:t>
      </w:r>
      <w:r w:rsidRPr="00181FCD">
        <w:t>pública</w:t>
      </w:r>
      <w:r w:rsidR="00F373A3" w:rsidRPr="00181FCD">
        <w:t xml:space="preserve"> </w:t>
      </w:r>
      <w:r w:rsidRPr="00181FCD">
        <w:t>y</w:t>
      </w:r>
      <w:r w:rsidR="00F373A3" w:rsidRPr="00181FCD">
        <w:t xml:space="preserve"> </w:t>
      </w:r>
      <w:r w:rsidRPr="00181FCD">
        <w:t>social.</w:t>
      </w:r>
      <w:r w:rsidR="00F373A3" w:rsidRPr="00181FCD">
        <w:t xml:space="preserve"> </w:t>
      </w:r>
      <w:r w:rsidRPr="00181FCD">
        <w:t>Durante</w:t>
      </w:r>
      <w:r w:rsidR="00F373A3" w:rsidRPr="00181FCD">
        <w:t xml:space="preserve"> </w:t>
      </w:r>
      <w:r w:rsidRPr="00181FCD">
        <w:t>los</w:t>
      </w:r>
      <w:r w:rsidR="00F373A3" w:rsidRPr="00181FCD">
        <w:t xml:space="preserve"> </w:t>
      </w:r>
      <w:r w:rsidRPr="00181FCD">
        <w:t>últimos</w:t>
      </w:r>
      <w:r w:rsidR="00F373A3" w:rsidRPr="00181FCD">
        <w:t xml:space="preserve"> </w:t>
      </w:r>
      <w:r w:rsidRPr="00181FCD">
        <w:t>tres</w:t>
      </w:r>
      <w:r w:rsidR="00F373A3" w:rsidRPr="00181FCD">
        <w:t xml:space="preserve"> </w:t>
      </w:r>
      <w:r w:rsidRPr="00181FCD">
        <w:t>años</w:t>
      </w:r>
      <w:r w:rsidR="00F373A3" w:rsidRPr="00181FCD">
        <w:t xml:space="preserve"> </w:t>
      </w:r>
      <w:r w:rsidRPr="00181FCD">
        <w:t>se</w:t>
      </w:r>
      <w:r w:rsidR="00F373A3" w:rsidRPr="00181FCD">
        <w:t xml:space="preserve"> </w:t>
      </w:r>
      <w:r w:rsidRPr="00181FCD">
        <w:t>ha</w:t>
      </w:r>
      <w:r w:rsidR="00F373A3" w:rsidRPr="00181FCD">
        <w:t xml:space="preserve"> </w:t>
      </w:r>
      <w:r w:rsidRPr="00181FCD">
        <w:t>observado</w:t>
      </w:r>
      <w:r w:rsidR="00F373A3" w:rsidRPr="00181FCD">
        <w:t xml:space="preserve"> </w:t>
      </w:r>
      <w:r w:rsidRPr="00181FCD">
        <w:t>un</w:t>
      </w:r>
      <w:r w:rsidR="00F373A3" w:rsidRPr="00181FCD">
        <w:t xml:space="preserve"> </w:t>
      </w:r>
      <w:r w:rsidRPr="00181FCD">
        <w:t>aumento</w:t>
      </w:r>
      <w:r w:rsidR="00F373A3" w:rsidRPr="00181FCD">
        <w:t xml:space="preserve"> </w:t>
      </w:r>
      <w:r w:rsidRPr="00181FCD">
        <w:t>en</w:t>
      </w:r>
      <w:r w:rsidR="00F373A3" w:rsidRPr="00181FCD">
        <w:t xml:space="preserve"> </w:t>
      </w:r>
      <w:r w:rsidRPr="00181FCD">
        <w:t>el</w:t>
      </w:r>
      <w:r w:rsidR="00F373A3" w:rsidRPr="00181FCD">
        <w:t xml:space="preserve"> </w:t>
      </w:r>
      <w:r w:rsidRPr="00181FCD">
        <w:t>número</w:t>
      </w:r>
      <w:r w:rsidR="00F373A3" w:rsidRPr="00181FCD">
        <w:t xml:space="preserve"> </w:t>
      </w:r>
      <w:r w:rsidRPr="00181FCD">
        <w:t>de</w:t>
      </w:r>
      <w:r w:rsidR="00F373A3" w:rsidRPr="00181FCD">
        <w:t xml:space="preserve"> </w:t>
      </w:r>
      <w:r w:rsidRPr="00181FCD">
        <w:t>procedimientos</w:t>
      </w:r>
      <w:r w:rsidR="00F373A3" w:rsidRPr="00181FCD">
        <w:t xml:space="preserve"> </w:t>
      </w:r>
      <w:r w:rsidRPr="00181FCD">
        <w:t>iniciados</w:t>
      </w:r>
      <w:r w:rsidR="00F373A3" w:rsidRPr="00181FCD">
        <w:t xml:space="preserve"> </w:t>
      </w:r>
      <w:r w:rsidRPr="00181FCD">
        <w:t>ante</w:t>
      </w:r>
      <w:r w:rsidR="00F373A3" w:rsidRPr="00181FCD">
        <w:t xml:space="preserve"> </w:t>
      </w:r>
      <w:r w:rsidRPr="00181FCD">
        <w:t>la</w:t>
      </w:r>
      <w:r w:rsidR="00F373A3" w:rsidRPr="00181FCD">
        <w:t xml:space="preserve"> </w:t>
      </w:r>
      <w:r w:rsidRPr="00181FCD">
        <w:t>Comisión,</w:t>
      </w:r>
      <w:r w:rsidR="00F373A3" w:rsidRPr="00181FCD">
        <w:t xml:space="preserve"> </w:t>
      </w:r>
      <w:r w:rsidRPr="00181FCD">
        <w:t>lo</w:t>
      </w:r>
      <w:r w:rsidR="00F373A3" w:rsidRPr="00181FCD">
        <w:t xml:space="preserve"> </w:t>
      </w:r>
      <w:r w:rsidRPr="00181FCD">
        <w:t>que</w:t>
      </w:r>
      <w:r w:rsidR="00F373A3" w:rsidRPr="00181FCD">
        <w:t xml:space="preserve"> </w:t>
      </w:r>
      <w:r w:rsidRPr="00181FCD">
        <w:t>demuestra</w:t>
      </w:r>
      <w:r w:rsidR="00F373A3" w:rsidRPr="00181FCD">
        <w:t xml:space="preserve"> </w:t>
      </w:r>
      <w:r w:rsidRPr="00181FCD">
        <w:t>una</w:t>
      </w:r>
      <w:r w:rsidR="00F373A3" w:rsidRPr="00181FCD">
        <w:t xml:space="preserve"> </w:t>
      </w:r>
      <w:r w:rsidRPr="00181FCD">
        <w:t>mayor</w:t>
      </w:r>
      <w:r w:rsidR="00F373A3" w:rsidRPr="00181FCD">
        <w:t xml:space="preserve"> </w:t>
      </w:r>
      <w:r w:rsidRPr="00181FCD">
        <w:t>confianza</w:t>
      </w:r>
      <w:r w:rsidR="00F373A3" w:rsidRPr="00181FCD">
        <w:t xml:space="preserve"> </w:t>
      </w:r>
      <w:r w:rsidRPr="00181FCD">
        <w:t>en</w:t>
      </w:r>
      <w:r w:rsidR="00F373A3" w:rsidRPr="00181FCD">
        <w:t xml:space="preserve"> </w:t>
      </w:r>
      <w:r w:rsidRPr="00181FCD">
        <w:t>esa</w:t>
      </w:r>
      <w:r w:rsidR="00F373A3" w:rsidRPr="00181FCD">
        <w:t xml:space="preserve"> </w:t>
      </w:r>
      <w:r w:rsidRPr="00181FCD">
        <w:t>entidad,</w:t>
      </w:r>
      <w:r w:rsidR="00F373A3" w:rsidRPr="00181FCD">
        <w:t xml:space="preserve"> </w:t>
      </w:r>
      <w:r w:rsidRPr="00181FCD">
        <w:t>como</w:t>
      </w:r>
      <w:r w:rsidR="00F373A3" w:rsidRPr="00181FCD">
        <w:t xml:space="preserve"> </w:t>
      </w:r>
      <w:r w:rsidRPr="00181FCD">
        <w:t>órgano</w:t>
      </w:r>
      <w:r w:rsidR="00F373A3" w:rsidRPr="00181FCD">
        <w:t xml:space="preserve"> </w:t>
      </w:r>
      <w:r w:rsidRPr="00181FCD">
        <w:t>especializado</w:t>
      </w:r>
      <w:r w:rsidR="00F373A3" w:rsidRPr="00181FCD">
        <w:t xml:space="preserve"> </w:t>
      </w:r>
      <w:r w:rsidRPr="00181FCD">
        <w:t>independiente</w:t>
      </w:r>
      <w:r w:rsidR="00F373A3" w:rsidRPr="00181FCD">
        <w:t xml:space="preserve"> </w:t>
      </w:r>
      <w:r w:rsidRPr="00181FCD">
        <w:t>que</w:t>
      </w:r>
      <w:r w:rsidR="00F373A3" w:rsidRPr="00181FCD">
        <w:t xml:space="preserve"> </w:t>
      </w:r>
      <w:r w:rsidRPr="00181FCD">
        <w:t>protege</w:t>
      </w:r>
      <w:r w:rsidR="00F373A3" w:rsidRPr="00181FCD">
        <w:t xml:space="preserve"> </w:t>
      </w:r>
      <w:r w:rsidRPr="00181FCD">
        <w:t>contra</w:t>
      </w:r>
      <w:r w:rsidR="00F373A3" w:rsidRPr="00181FCD">
        <w:t xml:space="preserve"> </w:t>
      </w:r>
      <w:r w:rsidRPr="00181FCD">
        <w:t>la</w:t>
      </w:r>
      <w:r w:rsidR="00F373A3" w:rsidRPr="00181FCD">
        <w:t xml:space="preserve"> </w:t>
      </w:r>
      <w:r w:rsidRPr="00181FCD">
        <w:t>discriminación</w:t>
      </w:r>
      <w:r w:rsidR="00F373A3" w:rsidRPr="00181FCD">
        <w:t xml:space="preserve"> </w:t>
      </w:r>
      <w:r w:rsidRPr="00181FCD">
        <w:t>y</w:t>
      </w:r>
      <w:r w:rsidR="00F373A3" w:rsidRPr="00181FCD">
        <w:t xml:space="preserve"> </w:t>
      </w:r>
      <w:r w:rsidRPr="00181FCD">
        <w:t>garantiza</w:t>
      </w:r>
      <w:r w:rsidR="00F373A3" w:rsidRPr="00181FCD">
        <w:t xml:space="preserve"> </w:t>
      </w:r>
      <w:r w:rsidRPr="00181FCD">
        <w:t>la</w:t>
      </w:r>
      <w:r w:rsidR="00F373A3" w:rsidRPr="00181FCD">
        <w:t xml:space="preserve"> </w:t>
      </w:r>
      <w:r w:rsidRPr="00181FCD">
        <w:t>igualdad</w:t>
      </w:r>
      <w:r w:rsidR="00F373A3" w:rsidRPr="00181FCD">
        <w:t xml:space="preserve"> </w:t>
      </w:r>
      <w:r w:rsidRPr="00181FCD">
        <w:t>de</w:t>
      </w:r>
      <w:r w:rsidR="00F373A3" w:rsidRPr="00181FCD">
        <w:t xml:space="preserve"> </w:t>
      </w:r>
      <w:r w:rsidRPr="00181FCD">
        <w:t>oportunidades.</w:t>
      </w:r>
    </w:p>
    <w:p w:rsidR="001937F4" w:rsidRPr="00181FCD" w:rsidRDefault="00470CF3" w:rsidP="00347B20">
      <w:pPr>
        <w:pStyle w:val="H23G"/>
      </w:pPr>
      <w:r w:rsidRPr="00181FCD">
        <w:tab/>
      </w:r>
      <w:r w:rsidRPr="00181FCD">
        <w:tab/>
      </w:r>
      <w:r w:rsidR="001937F4" w:rsidRPr="00181FCD">
        <w:t>Respuesta</w:t>
      </w:r>
      <w:r w:rsidR="00F373A3" w:rsidRPr="00181FCD">
        <w:t xml:space="preserve"> </w:t>
      </w:r>
      <w:r w:rsidR="001937F4" w:rsidRPr="00181FCD">
        <w:t>a</w:t>
      </w:r>
      <w:r w:rsidR="00F373A3" w:rsidRPr="00181FCD">
        <w:t xml:space="preserve"> </w:t>
      </w:r>
      <w:r w:rsidR="001937F4" w:rsidRPr="00181FCD">
        <w:t>las</w:t>
      </w:r>
      <w:r w:rsidR="00F373A3" w:rsidRPr="00181FCD">
        <w:t xml:space="preserve"> </w:t>
      </w:r>
      <w:r w:rsidR="001937F4" w:rsidRPr="00181FCD">
        <w:t>cuestiones</w:t>
      </w:r>
      <w:r w:rsidR="00F373A3" w:rsidRPr="00181FCD">
        <w:t xml:space="preserve"> </w:t>
      </w:r>
      <w:r w:rsidR="001937F4" w:rsidRPr="00181FCD">
        <w:t>planteadas</w:t>
      </w:r>
      <w:r w:rsidR="00F373A3" w:rsidRPr="00181FCD">
        <w:t xml:space="preserve"> </w:t>
      </w:r>
      <w:r w:rsidR="001937F4" w:rsidRPr="00181FCD">
        <w:t>en</w:t>
      </w:r>
      <w:r w:rsidR="00F373A3" w:rsidRPr="00181FCD">
        <w:t xml:space="preserve"> </w:t>
      </w:r>
      <w:r w:rsidR="001937F4" w:rsidRPr="00181FCD">
        <w:t>el</w:t>
      </w:r>
      <w:r w:rsidR="00F373A3" w:rsidRPr="00181FCD">
        <w:t xml:space="preserve"> </w:t>
      </w:r>
      <w:r w:rsidR="001937F4" w:rsidRPr="00181FCD">
        <w:t>párrafo</w:t>
      </w:r>
      <w:r w:rsidR="00F373A3" w:rsidRPr="00181FCD">
        <w:t xml:space="preserve"> </w:t>
      </w:r>
      <w:r w:rsidR="001937F4" w:rsidRPr="00181FCD">
        <w:t>5</w:t>
      </w:r>
      <w:r w:rsidR="00F373A3" w:rsidRPr="00181FCD">
        <w:t xml:space="preserve"> </w:t>
      </w:r>
      <w:r w:rsidR="001937F4" w:rsidRPr="00181FCD">
        <w:t>de</w:t>
      </w:r>
      <w:r w:rsidR="00F373A3" w:rsidRPr="00181FCD">
        <w:t xml:space="preserve"> </w:t>
      </w:r>
      <w:r w:rsidR="001937F4" w:rsidRPr="00181FCD">
        <w:t>la</w:t>
      </w:r>
      <w:r w:rsidR="00F373A3" w:rsidRPr="00181FCD">
        <w:t xml:space="preserve"> </w:t>
      </w:r>
      <w:r w:rsidR="001937F4" w:rsidRPr="00181FCD">
        <w:t>lista</w:t>
      </w:r>
      <w:r w:rsidR="00F373A3" w:rsidRPr="00181FCD">
        <w:t xml:space="preserve"> </w:t>
      </w:r>
      <w:r w:rsidR="001937F4" w:rsidRPr="00181FCD">
        <w:t>de</w:t>
      </w:r>
      <w:r w:rsidR="00F373A3" w:rsidRPr="00181FCD">
        <w:t xml:space="preserve"> </w:t>
      </w:r>
      <w:r w:rsidR="001937F4" w:rsidRPr="00181FCD">
        <w:t>cuestiones</w:t>
      </w:r>
    </w:p>
    <w:p w:rsidR="001937F4" w:rsidRPr="00181FCD" w:rsidRDefault="001937F4" w:rsidP="00347B20">
      <w:pPr>
        <w:pStyle w:val="SingleTxtG"/>
        <w:suppressAutoHyphens/>
      </w:pPr>
      <w:r w:rsidRPr="00181FCD">
        <w:t>18.</w:t>
      </w:r>
      <w:r w:rsidRPr="00181FCD">
        <w:tab/>
        <w:t>El</w:t>
      </w:r>
      <w:r w:rsidR="00F373A3" w:rsidRPr="00181FCD">
        <w:t xml:space="preserve"> </w:t>
      </w:r>
      <w:r w:rsidRPr="00181FCD">
        <w:t>Consejo</w:t>
      </w:r>
      <w:r w:rsidR="00F373A3" w:rsidRPr="00181FCD">
        <w:t xml:space="preserve"> </w:t>
      </w:r>
      <w:r w:rsidRPr="00181FCD">
        <w:t>de</w:t>
      </w:r>
      <w:r w:rsidR="00F373A3" w:rsidRPr="00181FCD">
        <w:t xml:space="preserve"> </w:t>
      </w:r>
      <w:r w:rsidRPr="00181FCD">
        <w:t>Ministros,</w:t>
      </w:r>
      <w:r w:rsidR="00F373A3" w:rsidRPr="00181FCD">
        <w:t xml:space="preserve"> </w:t>
      </w:r>
      <w:r w:rsidRPr="00181FCD">
        <w:t>por</w:t>
      </w:r>
      <w:r w:rsidR="00F373A3" w:rsidRPr="00181FCD">
        <w:t xml:space="preserve"> </w:t>
      </w:r>
      <w:r w:rsidRPr="00181FCD">
        <w:t>Decisión</w:t>
      </w:r>
      <w:r w:rsidR="00F373A3" w:rsidRPr="00181FCD">
        <w:t xml:space="preserve"> </w:t>
      </w:r>
      <w:r w:rsidRPr="00181FCD">
        <w:t>núm.</w:t>
      </w:r>
      <w:r w:rsidR="00F373A3" w:rsidRPr="00181FCD">
        <w:t xml:space="preserve"> </w:t>
      </w:r>
      <w:r w:rsidRPr="00181FCD">
        <w:t>825/18.12.2014,</w:t>
      </w:r>
      <w:r w:rsidR="00F373A3" w:rsidRPr="00181FCD">
        <w:t xml:space="preserve"> </w:t>
      </w:r>
      <w:r w:rsidRPr="00181FCD">
        <w:t>aprobó</w:t>
      </w:r>
      <w:r w:rsidR="00F373A3" w:rsidRPr="00181FCD">
        <w:t xml:space="preserve"> </w:t>
      </w:r>
      <w:r w:rsidRPr="00181FCD">
        <w:t>la</w:t>
      </w:r>
      <w:r w:rsidR="00F373A3" w:rsidRPr="00181FCD">
        <w:t xml:space="preserve"> </w:t>
      </w:r>
      <w:r w:rsidRPr="00181FCD">
        <w:t>Estrategia</w:t>
      </w:r>
      <w:r w:rsidR="00F373A3" w:rsidRPr="00181FCD">
        <w:t xml:space="preserve"> </w:t>
      </w:r>
      <w:r w:rsidRPr="00181FCD">
        <w:t>Actualizada</w:t>
      </w:r>
      <w:r w:rsidR="00F373A3" w:rsidRPr="00181FCD">
        <w:t xml:space="preserve"> </w:t>
      </w:r>
      <w:r w:rsidRPr="00181FCD">
        <w:t>para</w:t>
      </w:r>
      <w:r w:rsidR="00F373A3" w:rsidRPr="00181FCD">
        <w:t xml:space="preserve"> </w:t>
      </w:r>
      <w:r w:rsidRPr="00181FCD">
        <w:t>Continuar</w:t>
      </w:r>
      <w:r w:rsidR="00F373A3" w:rsidRPr="00181FCD">
        <w:t xml:space="preserve"> </w:t>
      </w:r>
      <w:r w:rsidRPr="00181FCD">
        <w:t>la</w:t>
      </w:r>
      <w:r w:rsidR="00F373A3" w:rsidRPr="00181FCD">
        <w:t xml:space="preserve"> </w:t>
      </w:r>
      <w:r w:rsidRPr="00181FCD">
        <w:t>Reforma</w:t>
      </w:r>
      <w:r w:rsidR="00F373A3" w:rsidRPr="00181FCD">
        <w:t xml:space="preserve"> </w:t>
      </w:r>
      <w:r w:rsidRPr="00181FCD">
        <w:t>del</w:t>
      </w:r>
      <w:r w:rsidR="00F373A3" w:rsidRPr="00181FCD">
        <w:t xml:space="preserve"> </w:t>
      </w:r>
      <w:r w:rsidRPr="00181FCD">
        <w:t>Sistema</w:t>
      </w:r>
      <w:r w:rsidR="00F373A3" w:rsidRPr="00181FCD">
        <w:t xml:space="preserve"> </w:t>
      </w:r>
      <w:r w:rsidRPr="00181FCD">
        <w:t>Judicial.</w:t>
      </w:r>
      <w:r w:rsidR="00F373A3" w:rsidRPr="00181FCD">
        <w:t xml:space="preserve"> </w:t>
      </w:r>
      <w:r w:rsidRPr="00181FCD">
        <w:t>La</w:t>
      </w:r>
      <w:r w:rsidR="00F373A3" w:rsidRPr="00181FCD">
        <w:t xml:space="preserve"> </w:t>
      </w:r>
      <w:r w:rsidRPr="00181FCD">
        <w:t>Estrategia</w:t>
      </w:r>
      <w:r w:rsidR="00F373A3" w:rsidRPr="00181FCD">
        <w:t xml:space="preserve"> </w:t>
      </w:r>
      <w:r w:rsidRPr="00181FCD">
        <w:t>actualizada</w:t>
      </w:r>
      <w:r w:rsidR="00F373A3" w:rsidRPr="00181FCD">
        <w:t xml:space="preserve"> </w:t>
      </w:r>
      <w:r w:rsidRPr="00181FCD">
        <w:t>fue</w:t>
      </w:r>
      <w:r w:rsidR="00F373A3" w:rsidRPr="00181FCD">
        <w:t xml:space="preserve"> </w:t>
      </w:r>
      <w:r w:rsidRPr="00181FCD">
        <w:t>elaborada</w:t>
      </w:r>
      <w:r w:rsidR="00F373A3" w:rsidRPr="00181FCD">
        <w:t xml:space="preserve"> </w:t>
      </w:r>
      <w:r w:rsidRPr="00181FCD">
        <w:t>por</w:t>
      </w:r>
      <w:r w:rsidR="00F373A3" w:rsidRPr="00181FCD">
        <w:t xml:space="preserve"> </w:t>
      </w:r>
      <w:r w:rsidRPr="00181FCD">
        <w:t>el</w:t>
      </w:r>
      <w:r w:rsidR="00F373A3" w:rsidRPr="00181FCD">
        <w:t xml:space="preserve"> </w:t>
      </w:r>
      <w:r w:rsidRPr="00181FCD">
        <w:t>Ministerio</w:t>
      </w:r>
      <w:r w:rsidR="00F373A3" w:rsidRPr="00181FCD">
        <w:t xml:space="preserve"> </w:t>
      </w:r>
      <w:r w:rsidRPr="00181FCD">
        <w:t>de</w:t>
      </w:r>
      <w:r w:rsidR="00F373A3" w:rsidRPr="00181FCD">
        <w:t xml:space="preserve"> </w:t>
      </w:r>
      <w:r w:rsidRPr="00181FCD">
        <w:t>Justicia</w:t>
      </w:r>
      <w:r w:rsidR="00672EC2" w:rsidRPr="00181FCD">
        <w:t xml:space="preserve"> </w:t>
      </w:r>
      <w:r w:rsidRPr="00181FCD">
        <w:t>y</w:t>
      </w:r>
      <w:r w:rsidR="00F373A3" w:rsidRPr="00181FCD">
        <w:t xml:space="preserve"> </w:t>
      </w:r>
      <w:r w:rsidRPr="00181FCD">
        <w:t>su</w:t>
      </w:r>
      <w:r w:rsidR="00F373A3" w:rsidRPr="00181FCD">
        <w:t xml:space="preserve"> </w:t>
      </w:r>
      <w:r w:rsidRPr="00181FCD">
        <w:t>propósito</w:t>
      </w:r>
      <w:r w:rsidR="00F373A3" w:rsidRPr="00181FCD">
        <w:t xml:space="preserve"> </w:t>
      </w:r>
      <w:r w:rsidRPr="00181FCD">
        <w:t>es</w:t>
      </w:r>
      <w:r w:rsidR="00F373A3" w:rsidRPr="00181FCD">
        <w:t xml:space="preserve"> </w:t>
      </w:r>
      <w:r w:rsidRPr="00181FCD">
        <w:t>impulsar</w:t>
      </w:r>
      <w:r w:rsidR="00F373A3" w:rsidRPr="00181FCD">
        <w:t xml:space="preserve"> </w:t>
      </w:r>
      <w:r w:rsidRPr="00181FCD">
        <w:t>la</w:t>
      </w:r>
      <w:r w:rsidR="00F373A3" w:rsidRPr="00181FCD">
        <w:t xml:space="preserve"> </w:t>
      </w:r>
      <w:r w:rsidRPr="00181FCD">
        <w:t>Estrategia</w:t>
      </w:r>
      <w:r w:rsidR="00F373A3" w:rsidRPr="00181FCD">
        <w:t xml:space="preserve"> </w:t>
      </w:r>
      <w:r w:rsidRPr="00181FCD">
        <w:t>de</w:t>
      </w:r>
      <w:r w:rsidR="00F373A3" w:rsidRPr="00181FCD">
        <w:t xml:space="preserve"> </w:t>
      </w:r>
      <w:r w:rsidRPr="00181FCD">
        <w:t>Reforma</w:t>
      </w:r>
      <w:r w:rsidR="00F373A3" w:rsidRPr="00181FCD">
        <w:t xml:space="preserve"> </w:t>
      </w:r>
      <w:r w:rsidRPr="00181FCD">
        <w:t>Judicial</w:t>
      </w:r>
      <w:r w:rsidR="00F373A3" w:rsidRPr="00181FCD">
        <w:t xml:space="preserve"> </w:t>
      </w:r>
      <w:r w:rsidRPr="00181FCD">
        <w:t>de</w:t>
      </w:r>
      <w:r w:rsidR="00F373A3" w:rsidRPr="00181FCD">
        <w:t xml:space="preserve"> </w:t>
      </w:r>
      <w:r w:rsidRPr="00181FCD">
        <w:t>2010,</w:t>
      </w:r>
      <w:r w:rsidR="00F373A3" w:rsidRPr="00181FCD">
        <w:t xml:space="preserve"> </w:t>
      </w:r>
      <w:r w:rsidRPr="00181FCD">
        <w:t>que</w:t>
      </w:r>
      <w:r w:rsidR="00F373A3" w:rsidRPr="00181FCD">
        <w:t xml:space="preserve"> </w:t>
      </w:r>
      <w:r w:rsidRPr="00181FCD">
        <w:t>se</w:t>
      </w:r>
      <w:r w:rsidR="00F373A3" w:rsidRPr="00181FCD">
        <w:t xml:space="preserve"> </w:t>
      </w:r>
      <w:r w:rsidRPr="00181FCD">
        <w:t>aplicó</w:t>
      </w:r>
      <w:r w:rsidR="00F373A3" w:rsidRPr="00181FCD">
        <w:t xml:space="preserve"> </w:t>
      </w:r>
      <w:r w:rsidRPr="00181FCD">
        <w:t>parcialmente.</w:t>
      </w:r>
      <w:r w:rsidR="00F373A3" w:rsidRPr="00181FCD">
        <w:t xml:space="preserve"> </w:t>
      </w:r>
      <w:r w:rsidRPr="00181FCD">
        <w:t>El</w:t>
      </w:r>
      <w:r w:rsidR="00F373A3" w:rsidRPr="00181FCD">
        <w:t xml:space="preserve"> </w:t>
      </w:r>
      <w:r w:rsidRPr="00181FCD">
        <w:t>documento</w:t>
      </w:r>
      <w:r w:rsidR="00F373A3" w:rsidRPr="00181FCD">
        <w:t xml:space="preserve"> </w:t>
      </w:r>
      <w:r w:rsidRPr="00181FCD">
        <w:t>abarca</w:t>
      </w:r>
      <w:r w:rsidR="00F373A3" w:rsidRPr="00181FCD">
        <w:t xml:space="preserve"> </w:t>
      </w:r>
      <w:r w:rsidRPr="00181FCD">
        <w:t>una</w:t>
      </w:r>
      <w:r w:rsidR="00F373A3" w:rsidRPr="00181FCD">
        <w:t xml:space="preserve"> </w:t>
      </w:r>
      <w:r w:rsidRPr="00181FCD">
        <w:t>gama</w:t>
      </w:r>
      <w:r w:rsidR="00F373A3" w:rsidRPr="00181FCD">
        <w:t xml:space="preserve"> </w:t>
      </w:r>
      <w:r w:rsidRPr="00181FCD">
        <w:t>más</w:t>
      </w:r>
      <w:r w:rsidR="00F373A3" w:rsidRPr="00181FCD">
        <w:t xml:space="preserve"> </w:t>
      </w:r>
      <w:r w:rsidRPr="00181FCD">
        <w:t>amplia</w:t>
      </w:r>
      <w:r w:rsidR="00F373A3" w:rsidRPr="00181FCD">
        <w:t xml:space="preserve"> </w:t>
      </w:r>
      <w:r w:rsidRPr="00181FCD">
        <w:t>de</w:t>
      </w:r>
      <w:r w:rsidR="00F373A3" w:rsidRPr="00181FCD">
        <w:t xml:space="preserve"> </w:t>
      </w:r>
      <w:r w:rsidRPr="00181FCD">
        <w:t>cuestiones</w:t>
      </w:r>
      <w:r w:rsidR="00F373A3" w:rsidRPr="00181FCD">
        <w:t xml:space="preserve"> </w:t>
      </w:r>
      <w:r w:rsidRPr="00181FCD">
        <w:t>y,</w:t>
      </w:r>
      <w:r w:rsidR="00F373A3" w:rsidRPr="00181FCD">
        <w:t xml:space="preserve"> </w:t>
      </w:r>
      <w:r w:rsidRPr="00181FCD">
        <w:t>teniendo</w:t>
      </w:r>
      <w:r w:rsidR="00F373A3" w:rsidRPr="00181FCD">
        <w:t xml:space="preserve"> </w:t>
      </w:r>
      <w:r w:rsidRPr="00181FCD">
        <w:t>en</w:t>
      </w:r>
      <w:r w:rsidR="00F373A3" w:rsidRPr="00181FCD">
        <w:t xml:space="preserve"> </w:t>
      </w:r>
      <w:r w:rsidRPr="00181FCD">
        <w:t>cuenta</w:t>
      </w:r>
      <w:r w:rsidR="00F373A3" w:rsidRPr="00181FCD">
        <w:t xml:space="preserve"> </w:t>
      </w:r>
      <w:r w:rsidRPr="00181FCD">
        <w:t>los</w:t>
      </w:r>
      <w:r w:rsidR="00F373A3" w:rsidRPr="00181FCD">
        <w:t xml:space="preserve"> </w:t>
      </w:r>
      <w:r w:rsidRPr="00181FCD">
        <w:t>problemas</w:t>
      </w:r>
      <w:r w:rsidR="00F373A3" w:rsidRPr="00181FCD">
        <w:t xml:space="preserve"> </w:t>
      </w:r>
      <w:r w:rsidRPr="00181FCD">
        <w:t>actuales</w:t>
      </w:r>
      <w:r w:rsidR="00F373A3" w:rsidRPr="00181FCD">
        <w:t xml:space="preserve"> </w:t>
      </w:r>
      <w:r w:rsidRPr="00181FCD">
        <w:t>que</w:t>
      </w:r>
      <w:r w:rsidR="00F373A3" w:rsidRPr="00181FCD">
        <w:t xml:space="preserve"> </w:t>
      </w:r>
      <w:r w:rsidRPr="00181FCD">
        <w:t>dificultan</w:t>
      </w:r>
      <w:r w:rsidR="00F373A3" w:rsidRPr="00181FCD">
        <w:t xml:space="preserve"> </w:t>
      </w:r>
      <w:r w:rsidRPr="00181FCD">
        <w:t>la</w:t>
      </w:r>
      <w:r w:rsidR="00F373A3" w:rsidRPr="00181FCD">
        <w:t xml:space="preserve"> </w:t>
      </w:r>
      <w:r w:rsidRPr="00181FCD">
        <w:t>adopción</w:t>
      </w:r>
      <w:r w:rsidR="00F373A3" w:rsidRPr="00181FCD">
        <w:t xml:space="preserve"> </w:t>
      </w:r>
      <w:r w:rsidRPr="00181FCD">
        <w:t>de</w:t>
      </w:r>
      <w:r w:rsidR="00F373A3" w:rsidRPr="00181FCD">
        <w:t xml:space="preserve"> </w:t>
      </w:r>
      <w:r w:rsidRPr="00181FCD">
        <w:t>disposiciones</w:t>
      </w:r>
      <w:r w:rsidR="00F373A3" w:rsidRPr="00181FCD">
        <w:t xml:space="preserve"> </w:t>
      </w:r>
      <w:r w:rsidRPr="00181FCD">
        <w:t>eficaces</w:t>
      </w:r>
      <w:r w:rsidR="00F373A3" w:rsidRPr="00181FCD">
        <w:t xml:space="preserve"> </w:t>
      </w:r>
      <w:r w:rsidRPr="00181FCD">
        <w:t>para</w:t>
      </w:r>
      <w:r w:rsidR="00F373A3" w:rsidRPr="00181FCD">
        <w:t xml:space="preserve"> </w:t>
      </w:r>
      <w:r w:rsidRPr="00181FCD">
        <w:t>la</w:t>
      </w:r>
      <w:r w:rsidR="00F373A3" w:rsidRPr="00181FCD">
        <w:t xml:space="preserve"> </w:t>
      </w:r>
      <w:r w:rsidRPr="00181FCD">
        <w:t>reforma,</w:t>
      </w:r>
      <w:r w:rsidR="00F373A3" w:rsidRPr="00181FCD">
        <w:t xml:space="preserve"> </w:t>
      </w:r>
      <w:r w:rsidRPr="00181FCD">
        <w:t>propone</w:t>
      </w:r>
      <w:r w:rsidR="00F373A3" w:rsidRPr="00181FCD">
        <w:t xml:space="preserve"> </w:t>
      </w:r>
      <w:r w:rsidRPr="00181FCD">
        <w:t>medidas</w:t>
      </w:r>
      <w:r w:rsidR="00F373A3" w:rsidRPr="00181FCD">
        <w:t xml:space="preserve"> </w:t>
      </w:r>
      <w:r w:rsidRPr="00181FCD">
        <w:t>sobre</w:t>
      </w:r>
      <w:r w:rsidR="00F373A3" w:rsidRPr="00181FCD">
        <w:t xml:space="preserve"> </w:t>
      </w:r>
      <w:r w:rsidRPr="00181FCD">
        <w:t>la</w:t>
      </w:r>
      <w:r w:rsidR="00F373A3" w:rsidRPr="00181FCD">
        <w:t xml:space="preserve"> </w:t>
      </w:r>
      <w:r w:rsidRPr="00181FCD">
        <w:t>base</w:t>
      </w:r>
      <w:r w:rsidR="00F373A3" w:rsidRPr="00181FCD">
        <w:t xml:space="preserve"> </w:t>
      </w:r>
      <w:r w:rsidRPr="00181FCD">
        <w:t>de</w:t>
      </w:r>
      <w:r w:rsidR="00F373A3" w:rsidRPr="00181FCD">
        <w:t xml:space="preserve"> </w:t>
      </w:r>
      <w:r w:rsidRPr="00181FCD">
        <w:t>los</w:t>
      </w:r>
      <w:r w:rsidR="00F373A3" w:rsidRPr="00181FCD">
        <w:t xml:space="preserve"> </w:t>
      </w:r>
      <w:r w:rsidRPr="00181FCD">
        <w:t>resultados</w:t>
      </w:r>
      <w:r w:rsidR="00F373A3" w:rsidRPr="00181FCD">
        <w:t xml:space="preserve"> </w:t>
      </w:r>
      <w:r w:rsidRPr="00181FCD">
        <w:t>obtenidos</w:t>
      </w:r>
      <w:r w:rsidR="00F373A3" w:rsidRPr="00181FCD">
        <w:t xml:space="preserve"> </w:t>
      </w:r>
      <w:r w:rsidRPr="00181FCD">
        <w:t>hasta</w:t>
      </w:r>
      <w:r w:rsidR="00F373A3" w:rsidRPr="00181FCD">
        <w:t xml:space="preserve"> </w:t>
      </w:r>
      <w:r w:rsidRPr="00181FCD">
        <w:t>la</w:t>
      </w:r>
      <w:r w:rsidR="00F373A3" w:rsidRPr="00181FCD">
        <w:t xml:space="preserve"> </w:t>
      </w:r>
      <w:r w:rsidRPr="00181FCD">
        <w:t>fecha</w:t>
      </w:r>
      <w:r w:rsidR="00F373A3" w:rsidRPr="00181FCD">
        <w:t xml:space="preserve"> </w:t>
      </w:r>
      <w:r w:rsidRPr="00181FCD">
        <w:t>en</w:t>
      </w:r>
      <w:r w:rsidR="00F373A3" w:rsidRPr="00181FCD">
        <w:t xml:space="preserve"> </w:t>
      </w:r>
      <w:r w:rsidRPr="00181FCD">
        <w:t>el</w:t>
      </w:r>
      <w:r w:rsidR="00F373A3" w:rsidRPr="00181FCD">
        <w:t xml:space="preserve"> </w:t>
      </w:r>
      <w:r w:rsidRPr="00181FCD">
        <w:t>sector.</w:t>
      </w:r>
    </w:p>
    <w:p w:rsidR="001937F4" w:rsidRPr="00181FCD" w:rsidRDefault="001937F4" w:rsidP="00347B20">
      <w:pPr>
        <w:pStyle w:val="SingleTxtG"/>
        <w:suppressAutoHyphens/>
      </w:pPr>
      <w:r w:rsidRPr="00181FCD">
        <w:t>19.</w:t>
      </w:r>
      <w:r w:rsidRPr="00181FCD">
        <w:tab/>
        <w:t>El</w:t>
      </w:r>
      <w:r w:rsidR="00F373A3" w:rsidRPr="00181FCD">
        <w:t xml:space="preserve"> </w:t>
      </w:r>
      <w:r w:rsidRPr="00181FCD">
        <w:t>objetivo</w:t>
      </w:r>
      <w:r w:rsidR="00F373A3" w:rsidRPr="00181FCD">
        <w:t xml:space="preserve"> </w:t>
      </w:r>
      <w:r w:rsidRPr="00181FCD">
        <w:t>general</w:t>
      </w:r>
      <w:r w:rsidR="00F373A3" w:rsidRPr="00181FCD">
        <w:t xml:space="preserve"> </w:t>
      </w:r>
      <w:r w:rsidRPr="00181FCD">
        <w:t>de</w:t>
      </w:r>
      <w:r w:rsidR="00F373A3" w:rsidRPr="00181FCD">
        <w:t xml:space="preserve"> </w:t>
      </w:r>
      <w:r w:rsidRPr="00181FCD">
        <w:t>la</w:t>
      </w:r>
      <w:r w:rsidR="00F373A3" w:rsidRPr="00181FCD">
        <w:t xml:space="preserve"> </w:t>
      </w:r>
      <w:r w:rsidRPr="00181FCD">
        <w:t>Estrategia</w:t>
      </w:r>
      <w:r w:rsidR="00F373A3" w:rsidRPr="00181FCD">
        <w:t xml:space="preserve"> </w:t>
      </w:r>
      <w:r w:rsidRPr="00181FCD">
        <w:t>es</w:t>
      </w:r>
      <w:r w:rsidR="00F373A3" w:rsidRPr="00181FCD">
        <w:t xml:space="preserve"> </w:t>
      </w:r>
      <w:r w:rsidRPr="00181FCD">
        <w:t>reanudar</w:t>
      </w:r>
      <w:r w:rsidR="00F373A3" w:rsidRPr="00181FCD">
        <w:t xml:space="preserve"> </w:t>
      </w:r>
      <w:r w:rsidRPr="00181FCD">
        <w:t>los</w:t>
      </w:r>
      <w:r w:rsidR="00F373A3" w:rsidRPr="00181FCD">
        <w:t xml:space="preserve"> </w:t>
      </w:r>
      <w:r w:rsidRPr="00181FCD">
        <w:t>anteriores</w:t>
      </w:r>
      <w:r w:rsidR="00F373A3" w:rsidRPr="00181FCD">
        <w:t xml:space="preserve"> </w:t>
      </w:r>
      <w:r w:rsidRPr="00181FCD">
        <w:t>esfuerzos</w:t>
      </w:r>
      <w:r w:rsidR="00F373A3" w:rsidRPr="00181FCD">
        <w:t xml:space="preserve"> </w:t>
      </w:r>
      <w:r w:rsidRPr="00181FCD">
        <w:t>de</w:t>
      </w:r>
      <w:r w:rsidR="00F373A3" w:rsidRPr="00181FCD">
        <w:t xml:space="preserve"> </w:t>
      </w:r>
      <w:r w:rsidRPr="00181FCD">
        <w:t>modernización</w:t>
      </w:r>
      <w:r w:rsidR="00F373A3" w:rsidRPr="00181FCD">
        <w:t xml:space="preserve"> </w:t>
      </w:r>
      <w:r w:rsidRPr="00181FCD">
        <w:t>del</w:t>
      </w:r>
      <w:r w:rsidR="00F373A3" w:rsidRPr="00181FCD">
        <w:t xml:space="preserve"> </w:t>
      </w:r>
      <w:r w:rsidRPr="00181FCD">
        <w:t>poder</w:t>
      </w:r>
      <w:r w:rsidR="00F373A3" w:rsidRPr="00181FCD">
        <w:t xml:space="preserve"> </w:t>
      </w:r>
      <w:r w:rsidRPr="00181FCD">
        <w:t>judicial,</w:t>
      </w:r>
      <w:r w:rsidR="00F373A3" w:rsidRPr="00181FCD">
        <w:t xml:space="preserve"> </w:t>
      </w:r>
      <w:r w:rsidRPr="00181FCD">
        <w:t>y</w:t>
      </w:r>
      <w:r w:rsidR="00F373A3" w:rsidRPr="00181FCD">
        <w:t xml:space="preserve"> </w:t>
      </w:r>
      <w:r w:rsidRPr="00181FCD">
        <w:t>completar</w:t>
      </w:r>
      <w:r w:rsidR="00F373A3" w:rsidRPr="00181FCD">
        <w:t xml:space="preserve"> </w:t>
      </w:r>
      <w:r w:rsidRPr="00181FCD">
        <w:t>la</w:t>
      </w:r>
      <w:r w:rsidR="00F373A3" w:rsidRPr="00181FCD">
        <w:t xml:space="preserve"> </w:t>
      </w:r>
      <w:r w:rsidRPr="00181FCD">
        <w:t>reforma</w:t>
      </w:r>
      <w:r w:rsidR="00F373A3" w:rsidRPr="00181FCD">
        <w:t xml:space="preserve"> </w:t>
      </w:r>
      <w:r w:rsidRPr="00181FCD">
        <w:t>dentro</w:t>
      </w:r>
      <w:r w:rsidR="00F373A3" w:rsidRPr="00181FCD">
        <w:t xml:space="preserve"> </w:t>
      </w:r>
      <w:r w:rsidRPr="00181FCD">
        <w:t>de</w:t>
      </w:r>
      <w:r w:rsidR="00F373A3" w:rsidRPr="00181FCD">
        <w:t xml:space="preserve"> </w:t>
      </w:r>
      <w:r w:rsidRPr="00181FCD">
        <w:t>los</w:t>
      </w:r>
      <w:r w:rsidR="00F373A3" w:rsidRPr="00181FCD">
        <w:t xml:space="preserve"> </w:t>
      </w:r>
      <w:r w:rsidRPr="00181FCD">
        <w:t>siete</w:t>
      </w:r>
      <w:r w:rsidR="00F373A3" w:rsidRPr="00181FCD">
        <w:t xml:space="preserve"> </w:t>
      </w:r>
      <w:r w:rsidRPr="00181FCD">
        <w:t>años</w:t>
      </w:r>
      <w:r w:rsidR="00F373A3" w:rsidRPr="00181FCD">
        <w:t xml:space="preserve"> </w:t>
      </w:r>
      <w:r w:rsidRPr="00181FCD">
        <w:t>siguientes.</w:t>
      </w:r>
      <w:r w:rsidR="00F373A3" w:rsidRPr="00181FCD">
        <w:t xml:space="preserve"> </w:t>
      </w:r>
      <w:r w:rsidRPr="00181FCD">
        <w:t>Se</w:t>
      </w:r>
      <w:r w:rsidR="00F373A3" w:rsidRPr="00181FCD">
        <w:t xml:space="preserve"> </w:t>
      </w:r>
      <w:r w:rsidRPr="00181FCD">
        <w:t>sustenta</w:t>
      </w:r>
      <w:r w:rsidR="00F373A3" w:rsidRPr="00181FCD">
        <w:t xml:space="preserve"> </w:t>
      </w:r>
      <w:r w:rsidRPr="00181FCD">
        <w:t>en</w:t>
      </w:r>
      <w:r w:rsidR="00F373A3" w:rsidRPr="00181FCD">
        <w:t xml:space="preserve"> </w:t>
      </w:r>
      <w:r w:rsidRPr="00181FCD">
        <w:t>los</w:t>
      </w:r>
      <w:r w:rsidR="00F373A3" w:rsidRPr="00181FCD">
        <w:t xml:space="preserve"> </w:t>
      </w:r>
      <w:r w:rsidRPr="00181FCD">
        <w:t>recursos</w:t>
      </w:r>
      <w:r w:rsidR="00F373A3" w:rsidRPr="00181FCD">
        <w:t xml:space="preserve"> </w:t>
      </w:r>
      <w:r w:rsidRPr="00181FCD">
        <w:t>y</w:t>
      </w:r>
      <w:r w:rsidR="00F373A3" w:rsidRPr="00181FCD">
        <w:t xml:space="preserve"> </w:t>
      </w:r>
      <w:r w:rsidRPr="00181FCD">
        <w:t>las</w:t>
      </w:r>
      <w:r w:rsidR="00F373A3" w:rsidRPr="00181FCD">
        <w:t xml:space="preserve"> </w:t>
      </w:r>
      <w:r w:rsidRPr="00181FCD">
        <w:t>oportunidades</w:t>
      </w:r>
      <w:r w:rsidR="00F373A3" w:rsidRPr="00181FCD">
        <w:t xml:space="preserve"> </w:t>
      </w:r>
      <w:r w:rsidRPr="00181FCD">
        <w:t>derivadas</w:t>
      </w:r>
      <w:r w:rsidR="00F373A3" w:rsidRPr="00181FCD">
        <w:t xml:space="preserve"> </w:t>
      </w:r>
      <w:r w:rsidRPr="00181FCD">
        <w:t>de</w:t>
      </w:r>
      <w:r w:rsidR="00F373A3" w:rsidRPr="00181FCD">
        <w:t xml:space="preserve"> </w:t>
      </w:r>
      <w:r w:rsidRPr="00181FCD">
        <w:t>la</w:t>
      </w:r>
      <w:r w:rsidR="00F373A3" w:rsidRPr="00181FCD">
        <w:t xml:space="preserve"> </w:t>
      </w:r>
      <w:r w:rsidRPr="00181FCD">
        <w:t>adhesión</w:t>
      </w:r>
      <w:r w:rsidR="00F373A3" w:rsidRPr="00181FCD">
        <w:t xml:space="preserve"> </w:t>
      </w:r>
      <w:r w:rsidRPr="00181FCD">
        <w:t>de</w:t>
      </w:r>
      <w:r w:rsidR="00F373A3" w:rsidRPr="00181FCD">
        <w:t xml:space="preserve"> </w:t>
      </w:r>
      <w:r w:rsidRPr="00181FCD">
        <w:t>Bulgaria</w:t>
      </w:r>
      <w:r w:rsidR="00F373A3" w:rsidRPr="00181FCD">
        <w:t xml:space="preserve"> </w:t>
      </w:r>
      <w:r w:rsidRPr="00181FCD">
        <w:t>a</w:t>
      </w:r>
      <w:r w:rsidR="00F373A3" w:rsidRPr="00181FCD">
        <w:t xml:space="preserve"> </w:t>
      </w:r>
      <w:r w:rsidRPr="00181FCD">
        <w:t>la</w:t>
      </w:r>
      <w:r w:rsidR="00F373A3" w:rsidRPr="00181FCD">
        <w:t xml:space="preserve"> </w:t>
      </w:r>
      <w:r w:rsidRPr="00181FCD">
        <w:t>Unión</w:t>
      </w:r>
      <w:r w:rsidR="00F373A3" w:rsidRPr="00181FCD">
        <w:t xml:space="preserve"> </w:t>
      </w:r>
      <w:r w:rsidRPr="00181FCD">
        <w:t>Europea</w:t>
      </w:r>
      <w:r w:rsidR="00F373A3" w:rsidRPr="00181FCD">
        <w:t xml:space="preserve"> </w:t>
      </w:r>
      <w:r w:rsidRPr="00181FCD">
        <w:t>(UE)</w:t>
      </w:r>
      <w:r w:rsidR="00F373A3" w:rsidRPr="00181FCD">
        <w:t xml:space="preserve"> </w:t>
      </w:r>
      <w:r w:rsidRPr="00181FCD">
        <w:t>y</w:t>
      </w:r>
      <w:r w:rsidR="00F373A3" w:rsidRPr="00181FCD">
        <w:t xml:space="preserve"> </w:t>
      </w:r>
      <w:r w:rsidRPr="00181FCD">
        <w:t>el</w:t>
      </w:r>
      <w:r w:rsidR="00F373A3" w:rsidRPr="00181FCD">
        <w:t xml:space="preserve"> </w:t>
      </w:r>
      <w:r w:rsidRPr="00181FCD">
        <w:t>Consejo</w:t>
      </w:r>
      <w:r w:rsidR="00F373A3" w:rsidRPr="00181FCD">
        <w:t xml:space="preserve"> </w:t>
      </w:r>
      <w:r w:rsidRPr="00181FCD">
        <w:t>de</w:t>
      </w:r>
      <w:r w:rsidR="00F373A3" w:rsidRPr="00181FCD">
        <w:t xml:space="preserve"> </w:t>
      </w:r>
      <w:r w:rsidRPr="00181FCD">
        <w:t>Europa,</w:t>
      </w:r>
      <w:r w:rsidR="00F373A3" w:rsidRPr="00181FCD">
        <w:t xml:space="preserve"> </w:t>
      </w:r>
      <w:r w:rsidRPr="00181FCD">
        <w:t>así</w:t>
      </w:r>
      <w:r w:rsidR="00F373A3" w:rsidRPr="00181FCD">
        <w:t xml:space="preserve"> </w:t>
      </w:r>
      <w:r w:rsidRPr="00181FCD">
        <w:t>como</w:t>
      </w:r>
      <w:r w:rsidR="00F373A3" w:rsidRPr="00181FCD">
        <w:t xml:space="preserve"> </w:t>
      </w:r>
      <w:r w:rsidRPr="00181FCD">
        <w:t>en</w:t>
      </w:r>
      <w:r w:rsidR="00F373A3" w:rsidRPr="00181FCD">
        <w:t xml:space="preserve"> </w:t>
      </w:r>
      <w:r w:rsidRPr="00181FCD">
        <w:t>la</w:t>
      </w:r>
      <w:r w:rsidR="00F373A3" w:rsidRPr="00181FCD">
        <w:t xml:space="preserve"> </w:t>
      </w:r>
      <w:r w:rsidRPr="00181FCD">
        <w:t>madurez</w:t>
      </w:r>
      <w:r w:rsidR="00F373A3" w:rsidRPr="00181FCD">
        <w:t xml:space="preserve"> </w:t>
      </w:r>
      <w:r w:rsidRPr="00181FCD">
        <w:t>democrática</w:t>
      </w:r>
      <w:r w:rsidR="00F373A3" w:rsidRPr="00181FCD">
        <w:t xml:space="preserve"> </w:t>
      </w:r>
      <w:r w:rsidRPr="00181FCD">
        <w:t>interna</w:t>
      </w:r>
      <w:r w:rsidR="00F373A3" w:rsidRPr="00181FCD">
        <w:t xml:space="preserve"> </w:t>
      </w:r>
      <w:r w:rsidRPr="00181FCD">
        <w:t>de</w:t>
      </w:r>
      <w:r w:rsidR="00F373A3" w:rsidRPr="00181FCD">
        <w:t xml:space="preserve"> </w:t>
      </w:r>
      <w:r w:rsidRPr="00181FCD">
        <w:t>la</w:t>
      </w:r>
      <w:r w:rsidR="00F373A3" w:rsidRPr="00181FCD">
        <w:t xml:space="preserve"> </w:t>
      </w:r>
      <w:r w:rsidRPr="00181FCD">
        <w:t>sociedad</w:t>
      </w:r>
      <w:r w:rsidR="00F373A3" w:rsidRPr="00181FCD">
        <w:t xml:space="preserve"> </w:t>
      </w:r>
      <w:r w:rsidRPr="00181FCD">
        <w:t>civil</w:t>
      </w:r>
      <w:r w:rsidR="00F373A3" w:rsidRPr="00181FCD">
        <w:t xml:space="preserve"> </w:t>
      </w:r>
      <w:r w:rsidRPr="00181FCD">
        <w:t>y</w:t>
      </w:r>
      <w:r w:rsidR="00F373A3" w:rsidRPr="00181FCD">
        <w:t xml:space="preserve"> </w:t>
      </w:r>
      <w:r w:rsidRPr="00181FCD">
        <w:t>la</w:t>
      </w:r>
      <w:r w:rsidR="00F373A3" w:rsidRPr="00181FCD">
        <w:t xml:space="preserve"> </w:t>
      </w:r>
      <w:r w:rsidRPr="00181FCD">
        <w:t>comunidad</w:t>
      </w:r>
      <w:r w:rsidR="00F373A3" w:rsidRPr="00181FCD">
        <w:t xml:space="preserve"> </w:t>
      </w:r>
      <w:r w:rsidRPr="00181FCD">
        <w:t>profesional</w:t>
      </w:r>
      <w:r w:rsidR="00F373A3" w:rsidRPr="00181FCD">
        <w:t xml:space="preserve"> </w:t>
      </w:r>
      <w:r w:rsidRPr="00181FCD">
        <w:t>en</w:t>
      </w:r>
      <w:r w:rsidR="00F373A3" w:rsidRPr="00181FCD">
        <w:t xml:space="preserve"> </w:t>
      </w:r>
      <w:r w:rsidRPr="00181FCD">
        <w:t>Bulgaria,</w:t>
      </w:r>
      <w:r w:rsidR="00F373A3" w:rsidRPr="00181FCD">
        <w:t xml:space="preserve"> </w:t>
      </w:r>
      <w:r w:rsidRPr="00181FCD">
        <w:t>y</w:t>
      </w:r>
      <w:r w:rsidR="00672EC2" w:rsidRPr="00181FCD">
        <w:t xml:space="preserve"> </w:t>
      </w:r>
      <w:r w:rsidRPr="00181FCD">
        <w:t>con</w:t>
      </w:r>
      <w:r w:rsidR="00F373A3" w:rsidRPr="00181FCD">
        <w:t xml:space="preserve"> </w:t>
      </w:r>
      <w:r w:rsidRPr="00181FCD">
        <w:t>este</w:t>
      </w:r>
      <w:r w:rsidR="00F373A3" w:rsidRPr="00181FCD">
        <w:t xml:space="preserve"> </w:t>
      </w:r>
      <w:r w:rsidRPr="00181FCD">
        <w:t>fin</w:t>
      </w:r>
      <w:r w:rsidR="00F373A3" w:rsidRPr="00181FCD">
        <w:t xml:space="preserve"> </w:t>
      </w:r>
      <w:r w:rsidRPr="00181FCD">
        <w:t>se</w:t>
      </w:r>
      <w:r w:rsidR="00F373A3" w:rsidRPr="00181FCD">
        <w:t xml:space="preserve"> </w:t>
      </w:r>
      <w:r w:rsidRPr="00181FCD">
        <w:t>propone:</w:t>
      </w:r>
    </w:p>
    <w:p w:rsidR="001937F4" w:rsidRPr="00181FCD" w:rsidRDefault="00470CF3" w:rsidP="00347B20">
      <w:pPr>
        <w:pStyle w:val="Bullet1G"/>
        <w:suppressAutoHyphens/>
      </w:pPr>
      <w:r w:rsidRPr="00181FCD">
        <w:t xml:space="preserve">Lograr </w:t>
      </w:r>
      <w:r w:rsidR="001937F4" w:rsidRPr="00181FCD">
        <w:t>garantías</w:t>
      </w:r>
      <w:r w:rsidR="00F373A3" w:rsidRPr="00181FCD">
        <w:t xml:space="preserve"> </w:t>
      </w:r>
      <w:r w:rsidR="001937F4" w:rsidRPr="00181FCD">
        <w:t>efectivas</w:t>
      </w:r>
      <w:r w:rsidR="00F373A3" w:rsidRPr="00181FCD">
        <w:t xml:space="preserve"> </w:t>
      </w:r>
      <w:r w:rsidR="001937F4" w:rsidRPr="00181FCD">
        <w:t>de</w:t>
      </w:r>
      <w:r w:rsidR="00F373A3" w:rsidRPr="00181FCD">
        <w:t xml:space="preserve"> </w:t>
      </w:r>
      <w:r w:rsidR="001937F4" w:rsidRPr="00181FCD">
        <w:t>independencia</w:t>
      </w:r>
      <w:r w:rsidR="00F373A3" w:rsidRPr="00181FCD">
        <w:t xml:space="preserve"> </w:t>
      </w:r>
      <w:r w:rsidR="001937F4" w:rsidRPr="00181FCD">
        <w:t>de</w:t>
      </w:r>
      <w:r w:rsidR="00F373A3" w:rsidRPr="00181FCD">
        <w:t xml:space="preserve"> </w:t>
      </w:r>
      <w:r w:rsidR="001937F4" w:rsidRPr="00181FCD">
        <w:t>los</w:t>
      </w:r>
      <w:r w:rsidR="00F373A3" w:rsidRPr="00181FCD">
        <w:t xml:space="preserve"> </w:t>
      </w:r>
      <w:r w:rsidR="001937F4" w:rsidRPr="00181FCD">
        <w:t>tribunales</w:t>
      </w:r>
      <w:r w:rsidR="00F373A3" w:rsidRPr="00181FCD">
        <w:t xml:space="preserve"> </w:t>
      </w:r>
      <w:r w:rsidR="001937F4" w:rsidRPr="00181FCD">
        <w:t>y</w:t>
      </w:r>
      <w:r w:rsidR="00F373A3" w:rsidRPr="00181FCD">
        <w:t xml:space="preserve"> </w:t>
      </w:r>
      <w:r w:rsidR="001937F4" w:rsidRPr="00181FCD">
        <w:t>el</w:t>
      </w:r>
      <w:r w:rsidR="00F373A3" w:rsidRPr="00181FCD">
        <w:t xml:space="preserve"> </w:t>
      </w:r>
      <w:r w:rsidR="001937F4" w:rsidRPr="00181FCD">
        <w:t>poder</w:t>
      </w:r>
      <w:r w:rsidR="00F373A3" w:rsidRPr="00181FCD">
        <w:t xml:space="preserve"> </w:t>
      </w:r>
      <w:r w:rsidR="001937F4" w:rsidRPr="00181FCD">
        <w:t>judicial;</w:t>
      </w:r>
    </w:p>
    <w:p w:rsidR="001937F4" w:rsidRPr="00181FCD" w:rsidRDefault="00470CF3" w:rsidP="00347B20">
      <w:pPr>
        <w:pStyle w:val="Bullet1G"/>
        <w:suppressAutoHyphens/>
      </w:pPr>
      <w:r w:rsidRPr="00181FCD">
        <w:t xml:space="preserve">Asegurar </w:t>
      </w:r>
      <w:r w:rsidR="001937F4" w:rsidRPr="00181FCD">
        <w:t>el</w:t>
      </w:r>
      <w:r w:rsidR="00F373A3" w:rsidRPr="00181FCD">
        <w:t xml:space="preserve"> </w:t>
      </w:r>
      <w:r w:rsidR="001937F4" w:rsidRPr="00181FCD">
        <w:t>buen</w:t>
      </w:r>
      <w:r w:rsidR="00F373A3" w:rsidRPr="00181FCD">
        <w:t xml:space="preserve"> </w:t>
      </w:r>
      <w:r w:rsidR="001937F4" w:rsidRPr="00181FCD">
        <w:t>gobierno</w:t>
      </w:r>
      <w:r w:rsidR="00F373A3" w:rsidRPr="00181FCD">
        <w:t xml:space="preserve"> </w:t>
      </w:r>
      <w:r w:rsidR="001937F4" w:rsidRPr="00181FCD">
        <w:t>y</w:t>
      </w:r>
      <w:r w:rsidR="00F373A3" w:rsidRPr="00181FCD">
        <w:t xml:space="preserve"> </w:t>
      </w:r>
      <w:r w:rsidR="001937F4" w:rsidRPr="00181FCD">
        <w:t>un</w:t>
      </w:r>
      <w:r w:rsidR="00F373A3" w:rsidRPr="00181FCD">
        <w:t xml:space="preserve"> </w:t>
      </w:r>
      <w:r w:rsidR="001937F4" w:rsidRPr="00181FCD">
        <w:t>funcionamiento</w:t>
      </w:r>
      <w:r w:rsidR="00F373A3" w:rsidRPr="00181FCD">
        <w:t xml:space="preserve"> </w:t>
      </w:r>
      <w:r w:rsidR="001937F4" w:rsidRPr="00181FCD">
        <w:t>altamente</w:t>
      </w:r>
      <w:r w:rsidR="00F373A3" w:rsidRPr="00181FCD">
        <w:t xml:space="preserve"> </w:t>
      </w:r>
      <w:r w:rsidR="001937F4" w:rsidRPr="00181FCD">
        <w:t>eficaz</w:t>
      </w:r>
      <w:r w:rsidR="00F373A3" w:rsidRPr="00181FCD">
        <w:t xml:space="preserve"> </w:t>
      </w:r>
      <w:r w:rsidR="001937F4" w:rsidRPr="00181FCD">
        <w:t>de</w:t>
      </w:r>
      <w:r w:rsidR="00F373A3" w:rsidRPr="00181FCD">
        <w:t xml:space="preserve"> </w:t>
      </w:r>
      <w:r w:rsidR="001937F4" w:rsidRPr="00181FCD">
        <w:t>las</w:t>
      </w:r>
      <w:r w:rsidR="00F373A3" w:rsidRPr="00181FCD">
        <w:t xml:space="preserve"> </w:t>
      </w:r>
      <w:r w:rsidR="001937F4" w:rsidRPr="00181FCD">
        <w:t>autoridades</w:t>
      </w:r>
      <w:r w:rsidR="00F373A3" w:rsidRPr="00181FCD">
        <w:t xml:space="preserve"> </w:t>
      </w:r>
      <w:r w:rsidR="001937F4" w:rsidRPr="00181FCD">
        <w:t>judiciales;</w:t>
      </w:r>
    </w:p>
    <w:p w:rsidR="001937F4" w:rsidRPr="00181FCD" w:rsidRDefault="00470CF3" w:rsidP="00347B20">
      <w:pPr>
        <w:pStyle w:val="Bullet1G"/>
        <w:suppressAutoHyphens/>
      </w:pPr>
      <w:r w:rsidRPr="00181FCD">
        <w:t xml:space="preserve">Desplegar </w:t>
      </w:r>
      <w:r w:rsidR="001937F4" w:rsidRPr="00181FCD">
        <w:t>el</w:t>
      </w:r>
      <w:r w:rsidR="00F373A3" w:rsidRPr="00181FCD">
        <w:t xml:space="preserve"> </w:t>
      </w:r>
      <w:r w:rsidR="001937F4" w:rsidRPr="00181FCD">
        <w:t>potencial</w:t>
      </w:r>
      <w:r w:rsidR="00F373A3" w:rsidRPr="00181FCD">
        <w:t xml:space="preserve"> </w:t>
      </w:r>
      <w:r w:rsidR="001937F4" w:rsidRPr="00181FCD">
        <w:t>de</w:t>
      </w:r>
      <w:r w:rsidR="00F373A3" w:rsidRPr="00181FCD">
        <w:t xml:space="preserve"> </w:t>
      </w:r>
      <w:r w:rsidR="001937F4" w:rsidRPr="00181FCD">
        <w:t>los</w:t>
      </w:r>
      <w:r w:rsidR="00F373A3" w:rsidRPr="00181FCD">
        <w:t xml:space="preserve"> </w:t>
      </w:r>
      <w:r w:rsidR="001937F4" w:rsidRPr="00181FCD">
        <w:t>recursos</w:t>
      </w:r>
      <w:r w:rsidR="00F373A3" w:rsidRPr="00181FCD">
        <w:t xml:space="preserve"> </w:t>
      </w:r>
      <w:r w:rsidR="001937F4" w:rsidRPr="00181FCD">
        <w:t>humanos</w:t>
      </w:r>
      <w:r w:rsidR="00F373A3" w:rsidRPr="00181FCD">
        <w:t xml:space="preserve"> </w:t>
      </w:r>
      <w:r w:rsidR="001937F4" w:rsidRPr="00181FCD">
        <w:t>en</w:t>
      </w:r>
      <w:r w:rsidR="00F373A3" w:rsidRPr="00181FCD">
        <w:t xml:space="preserve"> </w:t>
      </w:r>
      <w:r w:rsidR="001937F4" w:rsidRPr="00181FCD">
        <w:t>el</w:t>
      </w:r>
      <w:r w:rsidR="00F373A3" w:rsidRPr="00181FCD">
        <w:t xml:space="preserve"> </w:t>
      </w:r>
      <w:r w:rsidR="001937F4" w:rsidRPr="00181FCD">
        <w:t>sistema</w:t>
      </w:r>
      <w:r w:rsidR="00F373A3" w:rsidRPr="00181FCD">
        <w:t xml:space="preserve"> </w:t>
      </w:r>
      <w:r w:rsidR="001937F4" w:rsidRPr="00181FCD">
        <w:t>judicial</w:t>
      </w:r>
      <w:r w:rsidR="00F373A3" w:rsidRPr="00181FCD">
        <w:t xml:space="preserve"> </w:t>
      </w:r>
      <w:r w:rsidR="001937F4" w:rsidRPr="00181FCD">
        <w:t>y</w:t>
      </w:r>
      <w:r w:rsidR="00F373A3" w:rsidRPr="00181FCD">
        <w:t xml:space="preserve"> </w:t>
      </w:r>
      <w:r w:rsidR="001937F4" w:rsidRPr="00181FCD">
        <w:t>garantizar</w:t>
      </w:r>
      <w:r w:rsidR="00F373A3" w:rsidRPr="00181FCD">
        <w:t xml:space="preserve"> </w:t>
      </w:r>
      <w:r w:rsidR="001937F4" w:rsidRPr="00181FCD">
        <w:t>un</w:t>
      </w:r>
      <w:r w:rsidR="00F373A3" w:rsidRPr="00181FCD">
        <w:t xml:space="preserve"> </w:t>
      </w:r>
      <w:r w:rsidR="001937F4" w:rsidRPr="00181FCD">
        <w:t>grado</w:t>
      </w:r>
      <w:r w:rsidR="00F373A3" w:rsidRPr="00181FCD">
        <w:t xml:space="preserve"> </w:t>
      </w:r>
      <w:r w:rsidR="001937F4" w:rsidRPr="00181FCD">
        <w:t>elevado</w:t>
      </w:r>
      <w:r w:rsidR="00F373A3" w:rsidRPr="00181FCD">
        <w:t xml:space="preserve"> </w:t>
      </w:r>
      <w:r w:rsidR="001937F4" w:rsidRPr="00181FCD">
        <w:t>de</w:t>
      </w:r>
      <w:r w:rsidR="00F373A3" w:rsidRPr="00181FCD">
        <w:t xml:space="preserve"> </w:t>
      </w:r>
      <w:r w:rsidR="001937F4" w:rsidRPr="00181FCD">
        <w:t>motivación,</w:t>
      </w:r>
      <w:r w:rsidR="00F373A3" w:rsidRPr="00181FCD">
        <w:t xml:space="preserve"> </w:t>
      </w:r>
      <w:r w:rsidR="001937F4" w:rsidRPr="00181FCD">
        <w:t>competencia</w:t>
      </w:r>
      <w:r w:rsidR="00F373A3" w:rsidRPr="00181FCD">
        <w:t xml:space="preserve"> </w:t>
      </w:r>
      <w:r w:rsidR="001937F4" w:rsidRPr="00181FCD">
        <w:t>y</w:t>
      </w:r>
      <w:r w:rsidR="00F373A3" w:rsidRPr="00181FCD">
        <w:t xml:space="preserve"> </w:t>
      </w:r>
      <w:r w:rsidR="001937F4" w:rsidRPr="00181FCD">
        <w:t>responsabilidad</w:t>
      </w:r>
      <w:r w:rsidR="00F373A3" w:rsidRPr="00181FCD">
        <w:t xml:space="preserve"> </w:t>
      </w:r>
      <w:r w:rsidR="001937F4" w:rsidRPr="00181FCD">
        <w:t>social</w:t>
      </w:r>
      <w:r w:rsidR="00F373A3" w:rsidRPr="00181FCD">
        <w:t xml:space="preserve"> </w:t>
      </w:r>
      <w:r w:rsidR="001937F4" w:rsidRPr="00181FCD">
        <w:t>de</w:t>
      </w:r>
      <w:r w:rsidR="00F373A3" w:rsidRPr="00181FCD">
        <w:t xml:space="preserve"> </w:t>
      </w:r>
      <w:r w:rsidR="001937F4" w:rsidRPr="00181FCD">
        <w:t>los</w:t>
      </w:r>
      <w:r w:rsidR="00F373A3" w:rsidRPr="00181FCD">
        <w:t xml:space="preserve"> </w:t>
      </w:r>
      <w:r w:rsidR="001937F4" w:rsidRPr="00181FCD">
        <w:t>jueces,</w:t>
      </w:r>
      <w:r w:rsidR="00F373A3" w:rsidRPr="00181FCD">
        <w:t xml:space="preserve"> </w:t>
      </w:r>
      <w:r w:rsidR="001937F4" w:rsidRPr="00181FCD">
        <w:t>fiscales</w:t>
      </w:r>
      <w:r w:rsidR="00F373A3" w:rsidRPr="00181FCD">
        <w:t xml:space="preserve"> </w:t>
      </w:r>
      <w:r w:rsidR="001937F4" w:rsidRPr="00181FCD">
        <w:t>y</w:t>
      </w:r>
      <w:r w:rsidR="00F373A3" w:rsidRPr="00181FCD">
        <w:t xml:space="preserve"> </w:t>
      </w:r>
      <w:r w:rsidR="001937F4" w:rsidRPr="00181FCD">
        <w:t>magistrados</w:t>
      </w:r>
      <w:r w:rsidR="00F373A3" w:rsidRPr="00181FCD">
        <w:t xml:space="preserve"> </w:t>
      </w:r>
      <w:r w:rsidR="001937F4" w:rsidRPr="00181FCD">
        <w:t>de</w:t>
      </w:r>
      <w:r w:rsidR="00F373A3" w:rsidRPr="00181FCD">
        <w:t xml:space="preserve"> </w:t>
      </w:r>
      <w:r w:rsidR="001937F4" w:rsidRPr="00181FCD">
        <w:t>instrucción;</w:t>
      </w:r>
    </w:p>
    <w:p w:rsidR="001937F4" w:rsidRPr="00181FCD" w:rsidRDefault="00470CF3" w:rsidP="00347B20">
      <w:pPr>
        <w:pStyle w:val="Bullet1G"/>
        <w:suppressAutoHyphens/>
      </w:pPr>
      <w:r w:rsidRPr="00181FCD">
        <w:t xml:space="preserve">Poner </w:t>
      </w:r>
      <w:r w:rsidR="001937F4" w:rsidRPr="00181FCD">
        <w:t>en</w:t>
      </w:r>
      <w:r w:rsidR="00F373A3" w:rsidRPr="00181FCD">
        <w:t xml:space="preserve"> </w:t>
      </w:r>
      <w:r w:rsidR="001937F4" w:rsidRPr="00181FCD">
        <w:t>práctica</w:t>
      </w:r>
      <w:r w:rsidR="00F373A3" w:rsidRPr="00181FCD">
        <w:t xml:space="preserve"> </w:t>
      </w:r>
      <w:r w:rsidR="001937F4" w:rsidRPr="00181FCD">
        <w:t>una</w:t>
      </w:r>
      <w:r w:rsidR="00F373A3" w:rsidRPr="00181FCD">
        <w:t xml:space="preserve"> </w:t>
      </w:r>
      <w:r w:rsidR="001937F4" w:rsidRPr="00181FCD">
        <w:t>política</w:t>
      </w:r>
      <w:r w:rsidR="00F373A3" w:rsidRPr="00181FCD">
        <w:t xml:space="preserve"> </w:t>
      </w:r>
      <w:r w:rsidR="001937F4" w:rsidRPr="00181FCD">
        <w:t>penal</w:t>
      </w:r>
      <w:r w:rsidR="00F373A3" w:rsidRPr="00181FCD">
        <w:t xml:space="preserve"> </w:t>
      </w:r>
      <w:r w:rsidR="001937F4" w:rsidRPr="00181FCD">
        <w:t>moderna</w:t>
      </w:r>
      <w:r w:rsidR="00F373A3" w:rsidRPr="00181FCD">
        <w:t xml:space="preserve"> </w:t>
      </w:r>
      <w:r w:rsidR="001937F4" w:rsidRPr="00181FCD">
        <w:t>y</w:t>
      </w:r>
      <w:r w:rsidR="00F373A3" w:rsidRPr="00181FCD">
        <w:t xml:space="preserve"> </w:t>
      </w:r>
      <w:r w:rsidR="001937F4" w:rsidRPr="00181FCD">
        <w:t>eficaz</w:t>
      </w:r>
      <w:r w:rsidR="00F373A3" w:rsidRPr="00181FCD">
        <w:t xml:space="preserve"> </w:t>
      </w:r>
      <w:r w:rsidR="001937F4" w:rsidRPr="00181FCD">
        <w:t>a</w:t>
      </w:r>
      <w:r w:rsidR="00F373A3" w:rsidRPr="00181FCD">
        <w:t xml:space="preserve"> </w:t>
      </w:r>
      <w:r w:rsidR="001937F4" w:rsidRPr="00181FCD">
        <w:t>través</w:t>
      </w:r>
      <w:r w:rsidR="00F373A3" w:rsidRPr="00181FCD">
        <w:t xml:space="preserve"> </w:t>
      </w:r>
      <w:r w:rsidR="001937F4" w:rsidRPr="00181FCD">
        <w:t>de</w:t>
      </w:r>
      <w:r w:rsidR="00F373A3" w:rsidRPr="00181FCD">
        <w:t xml:space="preserve"> </w:t>
      </w:r>
      <w:r w:rsidR="001937F4" w:rsidRPr="00181FCD">
        <w:t>las</w:t>
      </w:r>
      <w:r w:rsidR="00F373A3" w:rsidRPr="00181FCD">
        <w:t xml:space="preserve"> </w:t>
      </w:r>
      <w:r w:rsidR="001937F4" w:rsidRPr="00181FCD">
        <w:t>reformas</w:t>
      </w:r>
      <w:r w:rsidR="00F373A3" w:rsidRPr="00181FCD">
        <w:t xml:space="preserve"> </w:t>
      </w:r>
      <w:r w:rsidR="001937F4" w:rsidRPr="00181FCD">
        <w:t>institucionales</w:t>
      </w:r>
      <w:r w:rsidR="00F373A3" w:rsidRPr="00181FCD">
        <w:t xml:space="preserve"> </w:t>
      </w:r>
      <w:r w:rsidR="001937F4" w:rsidRPr="00181FCD">
        <w:t>y</w:t>
      </w:r>
      <w:r w:rsidR="00F373A3" w:rsidRPr="00181FCD">
        <w:t xml:space="preserve"> </w:t>
      </w:r>
      <w:r w:rsidR="001937F4" w:rsidRPr="00181FCD">
        <w:t>reglamentarias</w:t>
      </w:r>
      <w:r w:rsidR="00F373A3" w:rsidRPr="00181FCD">
        <w:t xml:space="preserve"> </w:t>
      </w:r>
      <w:r w:rsidR="001937F4" w:rsidRPr="00181FCD">
        <w:t>necesarias;</w:t>
      </w:r>
    </w:p>
    <w:p w:rsidR="001937F4" w:rsidRPr="00181FCD" w:rsidRDefault="00470CF3" w:rsidP="00347B20">
      <w:pPr>
        <w:pStyle w:val="Bullet1G"/>
        <w:suppressAutoHyphens/>
      </w:pPr>
      <w:r w:rsidRPr="00181FCD">
        <w:t xml:space="preserve">Garantizar </w:t>
      </w:r>
      <w:r w:rsidR="001937F4" w:rsidRPr="00181FCD">
        <w:t>a</w:t>
      </w:r>
      <w:r w:rsidR="00F373A3" w:rsidRPr="00181FCD">
        <w:t xml:space="preserve"> </w:t>
      </w:r>
      <w:r w:rsidR="001937F4" w:rsidRPr="00181FCD">
        <w:t>todos</w:t>
      </w:r>
      <w:r w:rsidR="00F373A3" w:rsidRPr="00181FCD">
        <w:t xml:space="preserve"> </w:t>
      </w:r>
      <w:r w:rsidR="001937F4" w:rsidRPr="00181FCD">
        <w:t>los</w:t>
      </w:r>
      <w:r w:rsidR="00F373A3" w:rsidRPr="00181FCD">
        <w:t xml:space="preserve"> </w:t>
      </w:r>
      <w:r w:rsidR="001937F4" w:rsidRPr="00181FCD">
        <w:t>ciudadanos</w:t>
      </w:r>
      <w:r w:rsidR="00F373A3" w:rsidRPr="00181FCD">
        <w:t xml:space="preserve"> </w:t>
      </w:r>
      <w:r w:rsidR="001937F4" w:rsidRPr="00181FCD">
        <w:t>el</w:t>
      </w:r>
      <w:r w:rsidR="00F373A3" w:rsidRPr="00181FCD">
        <w:t xml:space="preserve"> </w:t>
      </w:r>
      <w:r w:rsidR="001937F4" w:rsidRPr="00181FCD">
        <w:t>pleno</w:t>
      </w:r>
      <w:r w:rsidR="00F373A3" w:rsidRPr="00181FCD">
        <w:t xml:space="preserve"> </w:t>
      </w:r>
      <w:r w:rsidR="001937F4" w:rsidRPr="00181FCD">
        <w:t>derecho</w:t>
      </w:r>
      <w:r w:rsidR="00F373A3" w:rsidRPr="00181FCD">
        <w:t xml:space="preserve"> </w:t>
      </w:r>
      <w:r w:rsidR="001937F4" w:rsidRPr="00181FCD">
        <w:t>a</w:t>
      </w:r>
      <w:r w:rsidR="00F373A3" w:rsidRPr="00181FCD">
        <w:t xml:space="preserve"> </w:t>
      </w:r>
      <w:r w:rsidR="001937F4" w:rsidRPr="00181FCD">
        <w:t>un</w:t>
      </w:r>
      <w:r w:rsidR="00F373A3" w:rsidRPr="00181FCD">
        <w:t xml:space="preserve"> </w:t>
      </w:r>
      <w:r w:rsidR="001937F4" w:rsidRPr="00181FCD">
        <w:t>juicio</w:t>
      </w:r>
      <w:r w:rsidR="00F373A3" w:rsidRPr="00181FCD">
        <w:t xml:space="preserve"> </w:t>
      </w:r>
      <w:r w:rsidR="001937F4" w:rsidRPr="00181FCD">
        <w:t>imparcial</w:t>
      </w:r>
      <w:r w:rsidR="00F373A3" w:rsidRPr="00181FCD">
        <w:t xml:space="preserve"> </w:t>
      </w:r>
      <w:r w:rsidR="001937F4" w:rsidRPr="00181FCD">
        <w:t>y</w:t>
      </w:r>
      <w:r w:rsidR="00F373A3" w:rsidRPr="00181FCD">
        <w:t xml:space="preserve"> </w:t>
      </w:r>
      <w:r w:rsidR="001937F4" w:rsidRPr="00181FCD">
        <w:t>la</w:t>
      </w:r>
      <w:r w:rsidR="00F373A3" w:rsidRPr="00181FCD">
        <w:t xml:space="preserve"> </w:t>
      </w:r>
      <w:r w:rsidR="001937F4" w:rsidRPr="00181FCD">
        <w:t>protección</w:t>
      </w:r>
      <w:r w:rsidR="00F373A3" w:rsidRPr="00181FCD">
        <w:t xml:space="preserve"> </w:t>
      </w:r>
      <w:r w:rsidR="001937F4" w:rsidRPr="00181FCD">
        <w:t>efectiva</w:t>
      </w:r>
      <w:r w:rsidR="00F373A3" w:rsidRPr="00181FCD">
        <w:t xml:space="preserve"> </w:t>
      </w:r>
      <w:r w:rsidR="001937F4" w:rsidRPr="00181FCD">
        <w:t>de</w:t>
      </w:r>
      <w:r w:rsidR="00F373A3" w:rsidRPr="00181FCD">
        <w:t xml:space="preserve"> </w:t>
      </w:r>
      <w:r w:rsidR="001937F4" w:rsidRPr="00181FCD">
        <w:t>los</w:t>
      </w:r>
      <w:r w:rsidR="00F373A3" w:rsidRPr="00181FCD">
        <w:t xml:space="preserve"> </w:t>
      </w:r>
      <w:r w:rsidR="001937F4" w:rsidRPr="00181FCD">
        <w:t>derechos</w:t>
      </w:r>
      <w:r w:rsidR="00F373A3" w:rsidRPr="00181FCD">
        <w:t xml:space="preserve"> </w:t>
      </w:r>
      <w:r w:rsidR="001937F4" w:rsidRPr="00181FCD">
        <w:t>humanos.</w:t>
      </w:r>
    </w:p>
    <w:p w:rsidR="001937F4" w:rsidRPr="00181FCD" w:rsidRDefault="001937F4" w:rsidP="00347B20">
      <w:pPr>
        <w:pStyle w:val="SingleTxtG"/>
        <w:suppressAutoHyphens/>
      </w:pPr>
      <w:r w:rsidRPr="00181FCD">
        <w:t>20.</w:t>
      </w:r>
      <w:r w:rsidRPr="00181FCD">
        <w:tab/>
        <w:t>Para</w:t>
      </w:r>
      <w:r w:rsidR="00F373A3" w:rsidRPr="00181FCD">
        <w:t xml:space="preserve"> </w:t>
      </w:r>
      <w:r w:rsidRPr="00181FCD">
        <w:t>el</w:t>
      </w:r>
      <w:r w:rsidR="00F373A3" w:rsidRPr="00181FCD">
        <w:t xml:space="preserve"> </w:t>
      </w:r>
      <w:r w:rsidRPr="00181FCD">
        <w:t>logro</w:t>
      </w:r>
      <w:r w:rsidR="00F373A3" w:rsidRPr="00181FCD">
        <w:t xml:space="preserve"> </w:t>
      </w:r>
      <w:r w:rsidRPr="00181FCD">
        <w:t>del</w:t>
      </w:r>
      <w:r w:rsidR="00F373A3" w:rsidRPr="00181FCD">
        <w:t xml:space="preserve"> </w:t>
      </w:r>
      <w:r w:rsidRPr="00181FCD">
        <w:t>objetivo</w:t>
      </w:r>
      <w:r w:rsidR="00F373A3" w:rsidRPr="00181FCD">
        <w:t xml:space="preserve"> </w:t>
      </w:r>
      <w:r w:rsidRPr="00181FCD">
        <w:t>general</w:t>
      </w:r>
      <w:r w:rsidR="00F373A3" w:rsidRPr="00181FCD">
        <w:t xml:space="preserve"> </w:t>
      </w:r>
      <w:r w:rsidRPr="00181FCD">
        <w:t>de</w:t>
      </w:r>
      <w:r w:rsidR="00F373A3" w:rsidRPr="00181FCD">
        <w:t xml:space="preserve"> </w:t>
      </w:r>
      <w:r w:rsidRPr="00181FCD">
        <w:t>la</w:t>
      </w:r>
      <w:r w:rsidR="00F373A3" w:rsidRPr="00181FCD">
        <w:t xml:space="preserve"> </w:t>
      </w:r>
      <w:r w:rsidRPr="00181FCD">
        <w:t>Estrategia,</w:t>
      </w:r>
      <w:r w:rsidR="00F373A3" w:rsidRPr="00181FCD">
        <w:t xml:space="preserve"> </w:t>
      </w:r>
      <w:r w:rsidRPr="00181FCD">
        <w:t>se</w:t>
      </w:r>
      <w:r w:rsidR="00F373A3" w:rsidRPr="00181FCD">
        <w:t xml:space="preserve"> </w:t>
      </w:r>
      <w:r w:rsidRPr="00181FCD">
        <w:t>han</w:t>
      </w:r>
      <w:r w:rsidR="00F373A3" w:rsidRPr="00181FCD">
        <w:t xml:space="preserve"> </w:t>
      </w:r>
      <w:r w:rsidRPr="00181FCD">
        <w:t>fijado</w:t>
      </w:r>
      <w:r w:rsidR="00F373A3" w:rsidRPr="00181FCD">
        <w:t xml:space="preserve"> </w:t>
      </w:r>
      <w:r w:rsidRPr="00181FCD">
        <w:t>seis</w:t>
      </w:r>
      <w:r w:rsidR="00F373A3" w:rsidRPr="00181FCD">
        <w:t xml:space="preserve"> </w:t>
      </w:r>
      <w:r w:rsidRPr="00181FCD">
        <w:t>objetivos</w:t>
      </w:r>
      <w:r w:rsidR="00F373A3" w:rsidRPr="00181FCD">
        <w:t xml:space="preserve"> </w:t>
      </w:r>
      <w:r w:rsidRPr="00181FCD">
        <w:t>estratégicos,</w:t>
      </w:r>
      <w:r w:rsidR="00F373A3" w:rsidRPr="00181FCD">
        <w:t xml:space="preserve"> </w:t>
      </w:r>
      <w:r w:rsidRPr="00181FCD">
        <w:t>cada</w:t>
      </w:r>
      <w:r w:rsidR="00F373A3" w:rsidRPr="00181FCD">
        <w:t xml:space="preserve"> </w:t>
      </w:r>
      <w:r w:rsidRPr="00181FCD">
        <w:t>uno</w:t>
      </w:r>
      <w:r w:rsidR="00F373A3" w:rsidRPr="00181FCD">
        <w:t xml:space="preserve"> </w:t>
      </w:r>
      <w:r w:rsidRPr="00181FCD">
        <w:t>con</w:t>
      </w:r>
      <w:r w:rsidR="00F373A3" w:rsidRPr="00181FCD">
        <w:t xml:space="preserve"> </w:t>
      </w:r>
      <w:r w:rsidRPr="00181FCD">
        <w:t>sus</w:t>
      </w:r>
      <w:r w:rsidR="00F373A3" w:rsidRPr="00181FCD">
        <w:t xml:space="preserve"> </w:t>
      </w:r>
      <w:r w:rsidRPr="00181FCD">
        <w:t>metas</w:t>
      </w:r>
      <w:r w:rsidR="00F373A3" w:rsidRPr="00181FCD">
        <w:t xml:space="preserve"> </w:t>
      </w:r>
      <w:r w:rsidRPr="00181FCD">
        <w:t>y</w:t>
      </w:r>
      <w:r w:rsidR="00F373A3" w:rsidRPr="00181FCD">
        <w:t xml:space="preserve"> </w:t>
      </w:r>
      <w:r w:rsidRPr="00181FCD">
        <w:t>medidas</w:t>
      </w:r>
      <w:r w:rsidR="00F373A3" w:rsidRPr="00181FCD">
        <w:t xml:space="preserve"> </w:t>
      </w:r>
      <w:r w:rsidRPr="00181FCD">
        <w:t>concretas.</w:t>
      </w:r>
      <w:r w:rsidR="00F373A3" w:rsidRPr="00181FCD">
        <w:t xml:space="preserve"> </w:t>
      </w:r>
      <w:r w:rsidRPr="00181FCD">
        <w:t>Cada</w:t>
      </w:r>
      <w:r w:rsidR="00F373A3" w:rsidRPr="00181FCD">
        <w:t xml:space="preserve"> </w:t>
      </w:r>
      <w:r w:rsidRPr="00181FCD">
        <w:t>medida</w:t>
      </w:r>
      <w:r w:rsidR="00F373A3" w:rsidRPr="00181FCD">
        <w:t xml:space="preserve"> </w:t>
      </w:r>
      <w:r w:rsidRPr="00181FCD">
        <w:t>se</w:t>
      </w:r>
      <w:r w:rsidR="00F373A3" w:rsidRPr="00181FCD">
        <w:t xml:space="preserve"> </w:t>
      </w:r>
      <w:r w:rsidRPr="00181FCD">
        <w:t>ilustra</w:t>
      </w:r>
      <w:r w:rsidR="00F373A3" w:rsidRPr="00181FCD">
        <w:t xml:space="preserve"> </w:t>
      </w:r>
      <w:r w:rsidRPr="00181FCD">
        <w:t>además</w:t>
      </w:r>
      <w:r w:rsidR="00F373A3" w:rsidRPr="00181FCD">
        <w:t xml:space="preserve"> </w:t>
      </w:r>
      <w:r w:rsidRPr="00181FCD">
        <w:t>con</w:t>
      </w:r>
      <w:r w:rsidR="00F373A3" w:rsidRPr="00181FCD">
        <w:t xml:space="preserve"> </w:t>
      </w:r>
      <w:r w:rsidRPr="00181FCD">
        <w:t>actividades</w:t>
      </w:r>
      <w:r w:rsidR="00F373A3" w:rsidRPr="00181FCD">
        <w:t xml:space="preserve"> </w:t>
      </w:r>
      <w:r w:rsidRPr="00181FCD">
        <w:t>específicas,</w:t>
      </w:r>
      <w:r w:rsidR="00F373A3" w:rsidRPr="00181FCD">
        <w:t xml:space="preserve"> </w:t>
      </w:r>
      <w:r w:rsidRPr="00181FCD">
        <w:t>resultados</w:t>
      </w:r>
      <w:r w:rsidR="00F373A3" w:rsidRPr="00181FCD">
        <w:t xml:space="preserve"> </w:t>
      </w:r>
      <w:r w:rsidRPr="00181FCD">
        <w:t>esperados,</w:t>
      </w:r>
      <w:r w:rsidR="00F373A3" w:rsidRPr="00181FCD">
        <w:t xml:space="preserve"> </w:t>
      </w:r>
      <w:r w:rsidRPr="00181FCD">
        <w:t>indicadores</w:t>
      </w:r>
      <w:r w:rsidR="00F373A3" w:rsidRPr="00181FCD">
        <w:t xml:space="preserve"> </w:t>
      </w:r>
      <w:r w:rsidRPr="00181FCD">
        <w:t>de</w:t>
      </w:r>
      <w:r w:rsidR="00F373A3" w:rsidRPr="00181FCD">
        <w:t xml:space="preserve"> </w:t>
      </w:r>
      <w:r w:rsidRPr="00181FCD">
        <w:t>ejecución</w:t>
      </w:r>
      <w:r w:rsidR="00F373A3" w:rsidRPr="00181FCD">
        <w:t xml:space="preserve"> </w:t>
      </w:r>
      <w:r w:rsidRPr="00181FCD">
        <w:t>e</w:t>
      </w:r>
      <w:r w:rsidR="00F373A3" w:rsidRPr="00181FCD">
        <w:t xml:space="preserve"> </w:t>
      </w:r>
      <w:r w:rsidRPr="00181FCD">
        <w:t>instituciones</w:t>
      </w:r>
      <w:r w:rsidR="00F373A3" w:rsidRPr="00181FCD">
        <w:t xml:space="preserve"> </w:t>
      </w:r>
      <w:r w:rsidRPr="00181FCD">
        <w:t>encargadas.</w:t>
      </w:r>
      <w:r w:rsidR="00F373A3" w:rsidRPr="00181FCD">
        <w:t xml:space="preserve"> </w:t>
      </w:r>
      <w:r w:rsidRPr="00181FCD">
        <w:t>Se</w:t>
      </w:r>
      <w:r w:rsidR="00F373A3" w:rsidRPr="00181FCD">
        <w:t xml:space="preserve"> </w:t>
      </w:r>
      <w:r w:rsidRPr="00181FCD">
        <w:t>ha</w:t>
      </w:r>
      <w:r w:rsidR="00F373A3" w:rsidRPr="00181FCD">
        <w:t xml:space="preserve"> </w:t>
      </w:r>
      <w:r w:rsidRPr="00181FCD">
        <w:t>establecido</w:t>
      </w:r>
      <w:r w:rsidR="00F373A3" w:rsidRPr="00181FCD">
        <w:t xml:space="preserve"> </w:t>
      </w:r>
      <w:r w:rsidRPr="00181FCD">
        <w:t>un</w:t>
      </w:r>
      <w:r w:rsidR="00F373A3" w:rsidRPr="00181FCD">
        <w:t xml:space="preserve"> </w:t>
      </w:r>
      <w:r w:rsidRPr="00181FCD">
        <w:t>mecanismo</w:t>
      </w:r>
      <w:r w:rsidR="00F373A3" w:rsidRPr="00181FCD">
        <w:t xml:space="preserve"> </w:t>
      </w:r>
      <w:r w:rsidRPr="00181FCD">
        <w:t>para</w:t>
      </w:r>
      <w:r w:rsidR="00F373A3" w:rsidRPr="00181FCD">
        <w:t xml:space="preserve"> </w:t>
      </w:r>
      <w:r w:rsidRPr="00181FCD">
        <w:t>la</w:t>
      </w:r>
      <w:r w:rsidR="00F373A3" w:rsidRPr="00181FCD">
        <w:t xml:space="preserve"> </w:t>
      </w:r>
      <w:r w:rsidRPr="00181FCD">
        <w:t>ejecución</w:t>
      </w:r>
      <w:r w:rsidR="00F373A3" w:rsidRPr="00181FCD">
        <w:t xml:space="preserve"> </w:t>
      </w:r>
      <w:r w:rsidRPr="00181FCD">
        <w:t>de</w:t>
      </w:r>
      <w:r w:rsidR="00F373A3" w:rsidRPr="00181FCD">
        <w:t xml:space="preserve"> </w:t>
      </w:r>
      <w:r w:rsidRPr="00181FCD">
        <w:t>la</w:t>
      </w:r>
      <w:r w:rsidR="00F373A3" w:rsidRPr="00181FCD">
        <w:t xml:space="preserve"> </w:t>
      </w:r>
      <w:r w:rsidRPr="00181FCD">
        <w:t>Estrategia.</w:t>
      </w:r>
      <w:r w:rsidR="00F373A3" w:rsidRPr="00181FCD">
        <w:t xml:space="preserve"> </w:t>
      </w:r>
      <w:r w:rsidRPr="00181FCD">
        <w:t>Se</w:t>
      </w:r>
      <w:r w:rsidR="00F373A3" w:rsidRPr="00181FCD">
        <w:t xml:space="preserve"> </w:t>
      </w:r>
      <w:r w:rsidRPr="00181FCD">
        <w:t>han</w:t>
      </w:r>
      <w:r w:rsidR="00F373A3" w:rsidRPr="00181FCD">
        <w:t xml:space="preserve"> </w:t>
      </w:r>
      <w:r w:rsidRPr="00181FCD">
        <w:t>creado</w:t>
      </w:r>
      <w:r w:rsidR="00F373A3" w:rsidRPr="00181FCD">
        <w:t xml:space="preserve"> </w:t>
      </w:r>
      <w:r w:rsidRPr="00181FCD">
        <w:t>además</w:t>
      </w:r>
      <w:r w:rsidR="00F373A3" w:rsidRPr="00181FCD">
        <w:t xml:space="preserve"> </w:t>
      </w:r>
      <w:r w:rsidRPr="00181FCD">
        <w:t>métodos</w:t>
      </w:r>
      <w:r w:rsidR="00F373A3" w:rsidRPr="00181FCD">
        <w:t xml:space="preserve"> </w:t>
      </w:r>
      <w:r w:rsidRPr="00181FCD">
        <w:t>horizontales</w:t>
      </w:r>
      <w:r w:rsidR="00F373A3" w:rsidRPr="00181FCD">
        <w:t xml:space="preserve"> </w:t>
      </w:r>
      <w:r w:rsidRPr="00181FCD">
        <w:t>y</w:t>
      </w:r>
      <w:r w:rsidR="00F373A3" w:rsidRPr="00181FCD">
        <w:t xml:space="preserve"> </w:t>
      </w:r>
      <w:r w:rsidRPr="00181FCD">
        <w:t>medios</w:t>
      </w:r>
      <w:r w:rsidR="00F373A3" w:rsidRPr="00181FCD">
        <w:t xml:space="preserve"> </w:t>
      </w:r>
      <w:r w:rsidRPr="00181FCD">
        <w:t>para</w:t>
      </w:r>
      <w:r w:rsidR="00F373A3" w:rsidRPr="00181FCD">
        <w:t xml:space="preserve"> </w:t>
      </w:r>
      <w:r w:rsidRPr="00181FCD">
        <w:t>la</w:t>
      </w:r>
      <w:r w:rsidR="00F373A3" w:rsidRPr="00181FCD">
        <w:t xml:space="preserve"> </w:t>
      </w:r>
      <w:r w:rsidRPr="00181FCD">
        <w:t>participación</w:t>
      </w:r>
      <w:r w:rsidR="00F373A3" w:rsidRPr="00181FCD">
        <w:t xml:space="preserve"> </w:t>
      </w:r>
      <w:r w:rsidRPr="00181FCD">
        <w:t>del</w:t>
      </w:r>
      <w:r w:rsidR="00F373A3" w:rsidRPr="00181FCD">
        <w:t xml:space="preserve"> </w:t>
      </w:r>
      <w:r w:rsidRPr="00181FCD">
        <w:t>público</w:t>
      </w:r>
      <w:r w:rsidR="00F373A3" w:rsidRPr="00181FCD">
        <w:t xml:space="preserve"> </w:t>
      </w:r>
      <w:r w:rsidRPr="00181FCD">
        <w:t>en</w:t>
      </w:r>
      <w:r w:rsidR="00F373A3" w:rsidRPr="00181FCD">
        <w:t xml:space="preserve"> </w:t>
      </w:r>
      <w:r w:rsidRPr="00181FCD">
        <w:t>la</w:t>
      </w:r>
      <w:r w:rsidR="00F373A3" w:rsidRPr="00181FCD">
        <w:t xml:space="preserve"> </w:t>
      </w:r>
      <w:r w:rsidRPr="00181FCD">
        <w:t>ejecución</w:t>
      </w:r>
      <w:r w:rsidR="00F373A3" w:rsidRPr="00181FCD">
        <w:t xml:space="preserve"> </w:t>
      </w:r>
      <w:r w:rsidRPr="00181FCD">
        <w:t>de</w:t>
      </w:r>
      <w:r w:rsidR="00F373A3" w:rsidRPr="00181FCD">
        <w:t xml:space="preserve"> </w:t>
      </w:r>
      <w:r w:rsidRPr="00181FCD">
        <w:t>la</w:t>
      </w:r>
      <w:r w:rsidR="00F373A3" w:rsidRPr="00181FCD">
        <w:t xml:space="preserve"> </w:t>
      </w:r>
      <w:r w:rsidRPr="00181FCD">
        <w:t>Estrategia.</w:t>
      </w:r>
    </w:p>
    <w:p w:rsidR="001937F4" w:rsidRPr="00181FCD" w:rsidRDefault="001937F4" w:rsidP="00347B20">
      <w:pPr>
        <w:pStyle w:val="SingleTxtG"/>
        <w:suppressAutoHyphens/>
      </w:pPr>
      <w:r w:rsidRPr="00181FCD">
        <w:t>21.</w:t>
      </w:r>
      <w:r w:rsidRPr="00181FCD">
        <w:tab/>
        <w:t>El</w:t>
      </w:r>
      <w:r w:rsidR="00F373A3" w:rsidRPr="00181FCD">
        <w:t xml:space="preserve"> </w:t>
      </w:r>
      <w:r w:rsidRPr="00181FCD">
        <w:rPr>
          <w:i/>
        </w:rPr>
        <w:t>primer</w:t>
      </w:r>
      <w:r w:rsidR="00F373A3" w:rsidRPr="00181FCD">
        <w:rPr>
          <w:i/>
        </w:rPr>
        <w:t xml:space="preserve"> </w:t>
      </w:r>
      <w:r w:rsidRPr="00181FCD">
        <w:rPr>
          <w:i/>
        </w:rPr>
        <w:t>objetivo</w:t>
      </w:r>
      <w:r w:rsidR="00F373A3" w:rsidRPr="00181FCD">
        <w:rPr>
          <w:i/>
        </w:rPr>
        <w:t xml:space="preserve"> </w:t>
      </w:r>
      <w:r w:rsidRPr="00181FCD">
        <w:rPr>
          <w:i/>
        </w:rPr>
        <w:t>estratégico</w:t>
      </w:r>
      <w:r w:rsidR="00F373A3" w:rsidRPr="00181FCD">
        <w:t xml:space="preserve"> </w:t>
      </w:r>
      <w:r w:rsidRPr="00181FCD">
        <w:t>se</w:t>
      </w:r>
      <w:r w:rsidR="00F373A3" w:rsidRPr="00181FCD">
        <w:t xml:space="preserve"> </w:t>
      </w:r>
      <w:r w:rsidRPr="00181FCD">
        <w:t>refiere</w:t>
      </w:r>
      <w:r w:rsidR="00F373A3" w:rsidRPr="00181FCD">
        <w:t xml:space="preserve"> </w:t>
      </w:r>
      <w:r w:rsidRPr="00181FCD">
        <w:t>a</w:t>
      </w:r>
      <w:r w:rsidR="00F373A3" w:rsidRPr="00181FCD">
        <w:t xml:space="preserve"> </w:t>
      </w:r>
      <w:r w:rsidRPr="00181FCD">
        <w:t>la</w:t>
      </w:r>
      <w:r w:rsidR="00F373A3" w:rsidRPr="00181FCD">
        <w:t xml:space="preserve"> </w:t>
      </w:r>
      <w:r w:rsidRPr="00181FCD">
        <w:t>adopción</w:t>
      </w:r>
      <w:r w:rsidR="00F373A3" w:rsidRPr="00181FCD">
        <w:t xml:space="preserve"> </w:t>
      </w:r>
      <w:r w:rsidRPr="00181FCD">
        <w:t>de</w:t>
      </w:r>
      <w:r w:rsidR="00F373A3" w:rsidRPr="00181FCD">
        <w:t xml:space="preserve"> </w:t>
      </w:r>
      <w:r w:rsidRPr="00181FCD">
        <w:t>medidas</w:t>
      </w:r>
      <w:r w:rsidR="00F373A3" w:rsidRPr="00181FCD">
        <w:t xml:space="preserve"> </w:t>
      </w:r>
      <w:r w:rsidRPr="00181FCD">
        <w:t>que</w:t>
      </w:r>
      <w:r w:rsidR="00F373A3" w:rsidRPr="00181FCD">
        <w:t xml:space="preserve"> </w:t>
      </w:r>
      <w:r w:rsidRPr="00181FCD">
        <w:t>garanticen</w:t>
      </w:r>
      <w:r w:rsidR="00F373A3" w:rsidRPr="00181FCD">
        <w:t xml:space="preserve"> </w:t>
      </w:r>
      <w:r w:rsidRPr="00181FCD">
        <w:t>la</w:t>
      </w:r>
      <w:r w:rsidR="00F373A3" w:rsidRPr="00181FCD">
        <w:t xml:space="preserve"> </w:t>
      </w:r>
      <w:r w:rsidRPr="00181FCD">
        <w:t>independencia</w:t>
      </w:r>
      <w:r w:rsidR="00F373A3" w:rsidRPr="00181FCD">
        <w:t xml:space="preserve"> </w:t>
      </w:r>
      <w:r w:rsidRPr="00181FCD">
        <w:t>de</w:t>
      </w:r>
      <w:r w:rsidR="00F373A3" w:rsidRPr="00181FCD">
        <w:t xml:space="preserve"> </w:t>
      </w:r>
      <w:r w:rsidRPr="00181FCD">
        <w:t>los</w:t>
      </w:r>
      <w:r w:rsidR="00F373A3" w:rsidRPr="00181FCD">
        <w:t xml:space="preserve"> </w:t>
      </w:r>
      <w:r w:rsidRPr="00181FCD">
        <w:t>tribunales</w:t>
      </w:r>
      <w:r w:rsidR="00F373A3" w:rsidRPr="00181FCD">
        <w:t xml:space="preserve"> </w:t>
      </w:r>
      <w:r w:rsidRPr="00181FCD">
        <w:t>y</w:t>
      </w:r>
      <w:r w:rsidR="00F373A3" w:rsidRPr="00181FCD">
        <w:t xml:space="preserve"> </w:t>
      </w:r>
      <w:r w:rsidRPr="00181FCD">
        <w:t>las</w:t>
      </w:r>
      <w:r w:rsidR="00F373A3" w:rsidRPr="00181FCD">
        <w:t xml:space="preserve"> </w:t>
      </w:r>
      <w:r w:rsidRPr="00181FCD">
        <w:t>demás</w:t>
      </w:r>
      <w:r w:rsidR="00F373A3" w:rsidRPr="00181FCD">
        <w:t xml:space="preserve"> </w:t>
      </w:r>
      <w:r w:rsidRPr="00181FCD">
        <w:t>autoridades</w:t>
      </w:r>
      <w:r w:rsidR="00F373A3" w:rsidRPr="00181FCD">
        <w:t xml:space="preserve"> </w:t>
      </w:r>
      <w:r w:rsidRPr="00181FCD">
        <w:t>judiciales</w:t>
      </w:r>
      <w:r w:rsidR="00F373A3" w:rsidRPr="00181FCD">
        <w:t xml:space="preserve"> </w:t>
      </w:r>
      <w:r w:rsidRPr="00181FCD">
        <w:t>a</w:t>
      </w:r>
      <w:r w:rsidR="00F373A3" w:rsidRPr="00181FCD">
        <w:t xml:space="preserve"> </w:t>
      </w:r>
      <w:r w:rsidRPr="00181FCD">
        <w:t>través</w:t>
      </w:r>
      <w:r w:rsidR="00F373A3" w:rsidRPr="00181FCD">
        <w:t xml:space="preserve"> </w:t>
      </w:r>
      <w:r w:rsidRPr="00181FCD">
        <w:t>de</w:t>
      </w:r>
      <w:r w:rsidR="00F373A3" w:rsidRPr="00181FCD">
        <w:t xml:space="preserve"> </w:t>
      </w:r>
      <w:r w:rsidRPr="00181FCD">
        <w:t>disposiciones</w:t>
      </w:r>
      <w:r w:rsidR="00F373A3" w:rsidRPr="00181FCD">
        <w:t xml:space="preserve"> </w:t>
      </w:r>
      <w:r w:rsidRPr="00181FCD">
        <w:t>eficaces</w:t>
      </w:r>
      <w:r w:rsidR="00F373A3" w:rsidRPr="00181FCD">
        <w:t xml:space="preserve"> </w:t>
      </w:r>
      <w:r w:rsidRPr="00181FCD">
        <w:t>contra</w:t>
      </w:r>
      <w:r w:rsidR="00F373A3" w:rsidRPr="00181FCD">
        <w:t xml:space="preserve"> </w:t>
      </w:r>
      <w:r w:rsidRPr="00181FCD">
        <w:t>la</w:t>
      </w:r>
      <w:r w:rsidR="00F373A3" w:rsidRPr="00181FCD">
        <w:t xml:space="preserve"> </w:t>
      </w:r>
      <w:r w:rsidRPr="00181FCD">
        <w:t>corrupción,</w:t>
      </w:r>
      <w:r w:rsidR="00F373A3" w:rsidRPr="00181FCD">
        <w:t xml:space="preserve"> </w:t>
      </w:r>
      <w:r w:rsidRPr="00181FCD">
        <w:t>la</w:t>
      </w:r>
      <w:r w:rsidR="00F373A3" w:rsidRPr="00181FCD">
        <w:t xml:space="preserve"> </w:t>
      </w:r>
      <w:r w:rsidRPr="00181FCD">
        <w:t>presión</w:t>
      </w:r>
      <w:r w:rsidR="00F373A3" w:rsidRPr="00181FCD">
        <w:t xml:space="preserve"> </w:t>
      </w:r>
      <w:r w:rsidRPr="00181FCD">
        <w:t>política</w:t>
      </w:r>
      <w:r w:rsidR="00F373A3" w:rsidRPr="00181FCD">
        <w:t xml:space="preserve"> </w:t>
      </w:r>
      <w:r w:rsidRPr="00181FCD">
        <w:t>y</w:t>
      </w:r>
      <w:r w:rsidR="00F373A3" w:rsidRPr="00181FCD">
        <w:t xml:space="preserve"> </w:t>
      </w:r>
      <w:r w:rsidRPr="00181FCD">
        <w:t>económica</w:t>
      </w:r>
      <w:r w:rsidR="00F373A3" w:rsidRPr="00181FCD">
        <w:t xml:space="preserve"> </w:t>
      </w:r>
      <w:r w:rsidRPr="00181FCD">
        <w:t>y</w:t>
      </w:r>
      <w:r w:rsidR="00F373A3" w:rsidRPr="00181FCD">
        <w:t xml:space="preserve"> </w:t>
      </w:r>
      <w:r w:rsidRPr="00181FCD">
        <w:t>otras</w:t>
      </w:r>
      <w:r w:rsidR="00F373A3" w:rsidRPr="00181FCD">
        <w:t xml:space="preserve"> </w:t>
      </w:r>
      <w:r w:rsidRPr="00181FCD">
        <w:t>formas</w:t>
      </w:r>
      <w:r w:rsidR="00F373A3" w:rsidRPr="00181FCD">
        <w:t xml:space="preserve"> </w:t>
      </w:r>
      <w:r w:rsidRPr="00181FCD">
        <w:t>de</w:t>
      </w:r>
      <w:r w:rsidR="00F373A3" w:rsidRPr="00181FCD">
        <w:t xml:space="preserve"> </w:t>
      </w:r>
      <w:r w:rsidRPr="00181FCD">
        <w:t>dependencia.</w:t>
      </w:r>
      <w:r w:rsidR="00F373A3" w:rsidRPr="00181FCD">
        <w:t xml:space="preserve"> </w:t>
      </w:r>
      <w:r w:rsidRPr="00181FCD">
        <w:t>La</w:t>
      </w:r>
      <w:r w:rsidR="00F373A3" w:rsidRPr="00181FCD">
        <w:t xml:space="preserve"> </w:t>
      </w:r>
      <w:r w:rsidRPr="00181FCD">
        <w:t>Estrategia</w:t>
      </w:r>
      <w:r w:rsidR="00F373A3" w:rsidRPr="00181FCD">
        <w:t xml:space="preserve"> </w:t>
      </w:r>
      <w:r w:rsidRPr="00181FCD">
        <w:t>prevé</w:t>
      </w:r>
      <w:r w:rsidR="00F373A3" w:rsidRPr="00181FCD">
        <w:t xml:space="preserve"> </w:t>
      </w:r>
      <w:r w:rsidRPr="00181FCD">
        <w:t>la</w:t>
      </w:r>
      <w:r w:rsidR="00F373A3" w:rsidRPr="00181FCD">
        <w:t xml:space="preserve"> </w:t>
      </w:r>
      <w:r w:rsidRPr="00181FCD">
        <w:t>creación</w:t>
      </w:r>
      <w:r w:rsidR="00F373A3" w:rsidRPr="00181FCD">
        <w:t xml:space="preserve"> </w:t>
      </w:r>
      <w:r w:rsidRPr="00181FCD">
        <w:t>de</w:t>
      </w:r>
      <w:r w:rsidR="00F373A3" w:rsidRPr="00181FCD">
        <w:t xml:space="preserve"> </w:t>
      </w:r>
      <w:r w:rsidRPr="00181FCD">
        <w:t>mecanismos</w:t>
      </w:r>
      <w:r w:rsidR="00F373A3" w:rsidRPr="00181FCD">
        <w:t xml:space="preserve"> </w:t>
      </w:r>
      <w:r w:rsidRPr="00181FCD">
        <w:t>para</w:t>
      </w:r>
      <w:r w:rsidR="00F373A3" w:rsidRPr="00181FCD">
        <w:t xml:space="preserve"> </w:t>
      </w:r>
      <w:r w:rsidRPr="00181FCD">
        <w:t>contrarrestar</w:t>
      </w:r>
      <w:r w:rsidR="00F373A3" w:rsidRPr="00181FCD">
        <w:t xml:space="preserve"> </w:t>
      </w:r>
      <w:r w:rsidRPr="00181FCD">
        <w:t>las</w:t>
      </w:r>
      <w:r w:rsidR="00F373A3" w:rsidRPr="00181FCD">
        <w:t xml:space="preserve"> </w:t>
      </w:r>
      <w:r w:rsidRPr="00181FCD">
        <w:t>fuentes</w:t>
      </w:r>
      <w:r w:rsidR="00F373A3" w:rsidRPr="00181FCD">
        <w:t xml:space="preserve"> </w:t>
      </w:r>
      <w:r w:rsidRPr="00181FCD">
        <w:t>institucionales</w:t>
      </w:r>
      <w:r w:rsidR="00F373A3" w:rsidRPr="00181FCD">
        <w:t xml:space="preserve"> </w:t>
      </w:r>
      <w:r w:rsidRPr="00181FCD">
        <w:t>de</w:t>
      </w:r>
      <w:r w:rsidR="00F373A3" w:rsidRPr="00181FCD">
        <w:t xml:space="preserve"> </w:t>
      </w:r>
      <w:r w:rsidRPr="00181FCD">
        <w:t>influencia</w:t>
      </w:r>
      <w:r w:rsidR="00F373A3" w:rsidRPr="00181FCD">
        <w:t xml:space="preserve"> </w:t>
      </w:r>
      <w:r w:rsidRPr="00181FCD">
        <w:t>indebida</w:t>
      </w:r>
      <w:r w:rsidR="00F373A3" w:rsidRPr="00181FCD">
        <w:t xml:space="preserve"> </w:t>
      </w:r>
      <w:r w:rsidRPr="00181FCD">
        <w:t>sobre</w:t>
      </w:r>
      <w:r w:rsidR="00F373A3" w:rsidRPr="00181FCD">
        <w:t xml:space="preserve"> </w:t>
      </w:r>
      <w:r w:rsidRPr="00181FCD">
        <w:t>el</w:t>
      </w:r>
      <w:r w:rsidR="00F373A3" w:rsidRPr="00181FCD">
        <w:t xml:space="preserve"> </w:t>
      </w:r>
      <w:r w:rsidRPr="00181FCD">
        <w:t>Consejo</w:t>
      </w:r>
      <w:r w:rsidR="00F373A3" w:rsidRPr="00181FCD">
        <w:t xml:space="preserve"> </w:t>
      </w:r>
      <w:r w:rsidRPr="00181FCD">
        <w:t>Supremo</w:t>
      </w:r>
      <w:r w:rsidR="00F373A3" w:rsidRPr="00181FCD">
        <w:t xml:space="preserve"> </w:t>
      </w:r>
      <w:r w:rsidRPr="00181FCD">
        <w:t>de</w:t>
      </w:r>
      <w:r w:rsidR="00F373A3" w:rsidRPr="00181FCD">
        <w:t xml:space="preserve"> </w:t>
      </w:r>
      <w:r w:rsidRPr="00181FCD">
        <w:t>la</w:t>
      </w:r>
      <w:r w:rsidR="00F373A3" w:rsidRPr="00181FCD">
        <w:t xml:space="preserve"> </w:t>
      </w:r>
      <w:r w:rsidRPr="00181FCD">
        <w:t>Judicatura</w:t>
      </w:r>
      <w:r w:rsidR="00F373A3" w:rsidRPr="00181FCD">
        <w:t xml:space="preserve"> </w:t>
      </w:r>
      <w:r w:rsidRPr="00181FCD">
        <w:t>y</w:t>
      </w:r>
      <w:r w:rsidR="00F373A3" w:rsidRPr="00181FCD">
        <w:t xml:space="preserve"> </w:t>
      </w:r>
      <w:r w:rsidRPr="00181FCD">
        <w:t>a</w:t>
      </w:r>
      <w:r w:rsidR="00F373A3" w:rsidRPr="00181FCD">
        <w:t xml:space="preserve"> </w:t>
      </w:r>
      <w:r w:rsidRPr="00181FCD">
        <w:t>través</w:t>
      </w:r>
      <w:r w:rsidR="00F373A3" w:rsidRPr="00181FCD">
        <w:t xml:space="preserve"> </w:t>
      </w:r>
      <w:r w:rsidRPr="00181FCD">
        <w:t>de</w:t>
      </w:r>
      <w:r w:rsidR="00F373A3" w:rsidRPr="00181FCD">
        <w:t xml:space="preserve"> </w:t>
      </w:r>
      <w:r w:rsidRPr="00181FCD">
        <w:t>ese</w:t>
      </w:r>
      <w:r w:rsidR="00F373A3" w:rsidRPr="00181FCD">
        <w:t xml:space="preserve"> </w:t>
      </w:r>
      <w:r w:rsidRPr="00181FCD">
        <w:t>órgano.</w:t>
      </w:r>
      <w:r w:rsidR="00F373A3" w:rsidRPr="00181FCD">
        <w:t xml:space="preserve"> </w:t>
      </w:r>
      <w:r w:rsidRPr="00181FCD">
        <w:t>El</w:t>
      </w:r>
      <w:r w:rsidR="00F373A3" w:rsidRPr="00181FCD">
        <w:t xml:space="preserve"> </w:t>
      </w:r>
      <w:r w:rsidRPr="00181FCD">
        <w:t>documento</w:t>
      </w:r>
      <w:r w:rsidR="00F373A3" w:rsidRPr="00181FCD">
        <w:t xml:space="preserve"> </w:t>
      </w:r>
      <w:r w:rsidRPr="00181FCD">
        <w:t>especifica</w:t>
      </w:r>
      <w:r w:rsidR="00F373A3" w:rsidRPr="00181FCD">
        <w:t xml:space="preserve"> </w:t>
      </w:r>
      <w:r w:rsidRPr="00181FCD">
        <w:t>la</w:t>
      </w:r>
      <w:r w:rsidR="00F373A3" w:rsidRPr="00181FCD">
        <w:t xml:space="preserve"> </w:t>
      </w:r>
      <w:r w:rsidRPr="00181FCD">
        <w:t>idea</w:t>
      </w:r>
      <w:r w:rsidR="00F373A3" w:rsidRPr="00181FCD">
        <w:t xml:space="preserve"> </w:t>
      </w:r>
      <w:r w:rsidRPr="00181FCD">
        <w:t>del</w:t>
      </w:r>
      <w:r w:rsidR="00F373A3" w:rsidRPr="00181FCD">
        <w:t xml:space="preserve"> </w:t>
      </w:r>
      <w:r w:rsidRPr="00181FCD">
        <w:t>autogobierno</w:t>
      </w:r>
      <w:r w:rsidR="00F373A3" w:rsidRPr="00181FCD">
        <w:t xml:space="preserve"> </w:t>
      </w:r>
      <w:r w:rsidRPr="00181FCD">
        <w:t>de</w:t>
      </w:r>
      <w:r w:rsidR="00F373A3" w:rsidRPr="00181FCD">
        <w:t xml:space="preserve"> </w:t>
      </w:r>
      <w:r w:rsidRPr="00181FCD">
        <w:t>los</w:t>
      </w:r>
      <w:r w:rsidR="00F373A3" w:rsidRPr="00181FCD">
        <w:t xml:space="preserve"> </w:t>
      </w:r>
      <w:r w:rsidRPr="00181FCD">
        <w:t>jueces</w:t>
      </w:r>
      <w:r w:rsidR="00F373A3" w:rsidRPr="00181FCD">
        <w:t xml:space="preserve"> </w:t>
      </w:r>
      <w:r w:rsidRPr="00181FCD">
        <w:t>como</w:t>
      </w:r>
      <w:r w:rsidR="00F373A3" w:rsidRPr="00181FCD">
        <w:t xml:space="preserve"> </w:t>
      </w:r>
      <w:r w:rsidRPr="00181FCD">
        <w:t>método</w:t>
      </w:r>
      <w:r w:rsidR="00F373A3" w:rsidRPr="00181FCD">
        <w:t xml:space="preserve"> </w:t>
      </w:r>
      <w:r w:rsidRPr="00181FCD">
        <w:t>eficaz</w:t>
      </w:r>
      <w:r w:rsidR="00F373A3" w:rsidRPr="00181FCD">
        <w:t xml:space="preserve"> </w:t>
      </w:r>
      <w:r w:rsidRPr="00181FCD">
        <w:t>para</w:t>
      </w:r>
      <w:r w:rsidR="00F373A3" w:rsidRPr="00181FCD">
        <w:t xml:space="preserve"> </w:t>
      </w:r>
      <w:r w:rsidRPr="00181FCD">
        <w:t>limitar</w:t>
      </w:r>
      <w:r w:rsidR="00F373A3" w:rsidRPr="00181FCD">
        <w:t xml:space="preserve"> </w:t>
      </w:r>
      <w:r w:rsidRPr="00181FCD">
        <w:t>las</w:t>
      </w:r>
      <w:r w:rsidR="00F373A3" w:rsidRPr="00181FCD">
        <w:t xml:space="preserve"> </w:t>
      </w:r>
      <w:r w:rsidRPr="00181FCD">
        <w:t>posibilidades</w:t>
      </w:r>
      <w:r w:rsidR="00F373A3" w:rsidRPr="00181FCD">
        <w:t xml:space="preserve"> </w:t>
      </w:r>
      <w:r w:rsidRPr="00181FCD">
        <w:t>de</w:t>
      </w:r>
      <w:r w:rsidR="00F373A3" w:rsidRPr="00181FCD">
        <w:t xml:space="preserve"> </w:t>
      </w:r>
      <w:r w:rsidRPr="00181FCD">
        <w:t>formas</w:t>
      </w:r>
      <w:r w:rsidR="00F373A3" w:rsidRPr="00181FCD">
        <w:t xml:space="preserve"> </w:t>
      </w:r>
      <w:r w:rsidRPr="00181FCD">
        <w:t>administrativas</w:t>
      </w:r>
      <w:r w:rsidR="00F373A3" w:rsidRPr="00181FCD">
        <w:t xml:space="preserve"> </w:t>
      </w:r>
      <w:r w:rsidRPr="00181FCD">
        <w:t>de</w:t>
      </w:r>
      <w:r w:rsidR="00F373A3" w:rsidRPr="00181FCD">
        <w:t xml:space="preserve"> </w:t>
      </w:r>
      <w:r w:rsidRPr="00181FCD">
        <w:t>influencia</w:t>
      </w:r>
      <w:r w:rsidR="00F373A3" w:rsidRPr="00181FCD">
        <w:t xml:space="preserve"> </w:t>
      </w:r>
      <w:r w:rsidRPr="00181FCD">
        <w:t>que</w:t>
      </w:r>
      <w:r w:rsidR="00F373A3" w:rsidRPr="00181FCD">
        <w:t xml:space="preserve"> </w:t>
      </w:r>
      <w:r w:rsidRPr="00181FCD">
        <w:t>afecten</w:t>
      </w:r>
      <w:r w:rsidR="00F373A3" w:rsidRPr="00181FCD">
        <w:t xml:space="preserve"> </w:t>
      </w:r>
      <w:r w:rsidRPr="00181FCD">
        <w:t>la</w:t>
      </w:r>
      <w:r w:rsidR="00F373A3" w:rsidRPr="00181FCD">
        <w:t xml:space="preserve"> </w:t>
      </w:r>
      <w:r w:rsidRPr="00181FCD">
        <w:t>independencia</w:t>
      </w:r>
      <w:r w:rsidR="00F373A3" w:rsidRPr="00181FCD">
        <w:t xml:space="preserve"> </w:t>
      </w:r>
      <w:r w:rsidRPr="00181FCD">
        <w:t>del</w:t>
      </w:r>
      <w:r w:rsidR="00F373A3" w:rsidRPr="00181FCD">
        <w:t xml:space="preserve"> </w:t>
      </w:r>
      <w:r w:rsidRPr="00181FCD">
        <w:t>poder</w:t>
      </w:r>
      <w:r w:rsidR="00F373A3" w:rsidRPr="00181FCD">
        <w:t xml:space="preserve"> </w:t>
      </w:r>
      <w:r w:rsidRPr="00181FCD">
        <w:t>judicial</w:t>
      </w:r>
      <w:r w:rsidR="00F373A3" w:rsidRPr="00181FCD">
        <w:t xml:space="preserve"> </w:t>
      </w:r>
      <w:r w:rsidRPr="00181FCD">
        <w:t>y</w:t>
      </w:r>
      <w:r w:rsidR="00F373A3" w:rsidRPr="00181FCD">
        <w:t xml:space="preserve"> </w:t>
      </w:r>
      <w:r w:rsidRPr="00181FCD">
        <w:t>aumentar</w:t>
      </w:r>
      <w:r w:rsidR="00F373A3" w:rsidRPr="00181FCD">
        <w:t xml:space="preserve"> </w:t>
      </w:r>
      <w:r w:rsidRPr="00181FCD">
        <w:t>la</w:t>
      </w:r>
      <w:r w:rsidR="00F373A3" w:rsidRPr="00181FCD">
        <w:t xml:space="preserve"> </w:t>
      </w:r>
      <w:r w:rsidRPr="00181FCD">
        <w:t>responsabilidad</w:t>
      </w:r>
      <w:r w:rsidR="00F373A3" w:rsidRPr="00181FCD">
        <w:t xml:space="preserve"> </w:t>
      </w:r>
      <w:r w:rsidRPr="00181FCD">
        <w:t>y</w:t>
      </w:r>
      <w:r w:rsidR="00F373A3" w:rsidRPr="00181FCD">
        <w:t xml:space="preserve"> </w:t>
      </w:r>
      <w:r w:rsidRPr="00181FCD">
        <w:t>la</w:t>
      </w:r>
      <w:r w:rsidR="00F373A3" w:rsidRPr="00181FCD">
        <w:t xml:space="preserve"> </w:t>
      </w:r>
      <w:r w:rsidRPr="00181FCD">
        <w:t>eficiencia</w:t>
      </w:r>
      <w:r w:rsidR="00F373A3" w:rsidRPr="00181FCD">
        <w:t xml:space="preserve"> </w:t>
      </w:r>
      <w:r w:rsidRPr="00181FCD">
        <w:t>de</w:t>
      </w:r>
      <w:r w:rsidR="00F373A3" w:rsidRPr="00181FCD">
        <w:t xml:space="preserve"> </w:t>
      </w:r>
      <w:r w:rsidRPr="00181FCD">
        <w:t>la</w:t>
      </w:r>
      <w:r w:rsidR="00F373A3" w:rsidRPr="00181FCD">
        <w:t xml:space="preserve"> </w:t>
      </w:r>
      <w:r w:rsidRPr="00181FCD">
        <w:t>administración</w:t>
      </w:r>
      <w:r w:rsidR="00F373A3" w:rsidRPr="00181FCD">
        <w:t xml:space="preserve"> </w:t>
      </w:r>
      <w:r w:rsidRPr="00181FCD">
        <w:t>de</w:t>
      </w:r>
      <w:r w:rsidR="00F373A3" w:rsidRPr="00181FCD">
        <w:t xml:space="preserve"> </w:t>
      </w:r>
      <w:r w:rsidRPr="00181FCD">
        <w:t>los</w:t>
      </w:r>
      <w:r w:rsidR="00F373A3" w:rsidRPr="00181FCD">
        <w:t xml:space="preserve"> </w:t>
      </w:r>
      <w:r w:rsidRPr="00181FCD">
        <w:t>tribunales.</w:t>
      </w:r>
      <w:r w:rsidR="00F373A3" w:rsidRPr="00181FCD">
        <w:t xml:space="preserve"> </w:t>
      </w:r>
      <w:r w:rsidRPr="00181FCD">
        <w:t>También</w:t>
      </w:r>
      <w:r w:rsidR="00F373A3" w:rsidRPr="00181FCD">
        <w:t xml:space="preserve"> </w:t>
      </w:r>
      <w:r w:rsidRPr="00181FCD">
        <w:t>prevé</w:t>
      </w:r>
      <w:r w:rsidR="00F373A3" w:rsidRPr="00181FCD">
        <w:t xml:space="preserve"> </w:t>
      </w:r>
      <w:r w:rsidRPr="00181FCD">
        <w:t>medidas</w:t>
      </w:r>
      <w:r w:rsidR="00F373A3" w:rsidRPr="00181FCD">
        <w:t xml:space="preserve"> </w:t>
      </w:r>
      <w:r w:rsidRPr="00181FCD">
        <w:t>encaminadas</w:t>
      </w:r>
      <w:r w:rsidR="00F373A3" w:rsidRPr="00181FCD">
        <w:t xml:space="preserve"> </w:t>
      </w:r>
      <w:r w:rsidRPr="00181FCD">
        <w:t>a</w:t>
      </w:r>
      <w:r w:rsidR="00F373A3" w:rsidRPr="00181FCD">
        <w:t xml:space="preserve"> </w:t>
      </w:r>
      <w:r w:rsidRPr="00181FCD">
        <w:t>la</w:t>
      </w:r>
      <w:r w:rsidR="00F373A3" w:rsidRPr="00181FCD">
        <w:t xml:space="preserve"> </w:t>
      </w:r>
      <w:r w:rsidRPr="00181FCD">
        <w:t>formulación</w:t>
      </w:r>
      <w:r w:rsidR="00F373A3" w:rsidRPr="00181FCD">
        <w:t xml:space="preserve"> </w:t>
      </w:r>
      <w:r w:rsidRPr="00181FCD">
        <w:t>de</w:t>
      </w:r>
      <w:r w:rsidR="00F373A3" w:rsidRPr="00181FCD">
        <w:t xml:space="preserve"> </w:t>
      </w:r>
      <w:r w:rsidRPr="00181FCD">
        <w:t>una</w:t>
      </w:r>
      <w:r w:rsidR="00F373A3" w:rsidRPr="00181FCD">
        <w:t xml:space="preserve"> </w:t>
      </w:r>
      <w:r w:rsidRPr="00181FCD">
        <w:t>política</w:t>
      </w:r>
      <w:r w:rsidR="00F373A3" w:rsidRPr="00181FCD">
        <w:t xml:space="preserve"> </w:t>
      </w:r>
      <w:r w:rsidRPr="00181FCD">
        <w:t>sistemática</w:t>
      </w:r>
      <w:r w:rsidR="00F373A3" w:rsidRPr="00181FCD">
        <w:t xml:space="preserve"> </w:t>
      </w:r>
      <w:r w:rsidRPr="00181FCD">
        <w:t>para</w:t>
      </w:r>
      <w:r w:rsidR="00F373A3" w:rsidRPr="00181FCD">
        <w:t xml:space="preserve"> </w:t>
      </w:r>
      <w:r w:rsidRPr="00181FCD">
        <w:t>la</w:t>
      </w:r>
      <w:r w:rsidR="00F373A3" w:rsidRPr="00181FCD">
        <w:t xml:space="preserve"> </w:t>
      </w:r>
      <w:r w:rsidRPr="00181FCD">
        <w:t>prevención</w:t>
      </w:r>
      <w:r w:rsidR="00F373A3" w:rsidRPr="00181FCD">
        <w:t xml:space="preserve"> </w:t>
      </w:r>
      <w:r w:rsidRPr="00181FCD">
        <w:t>de</w:t>
      </w:r>
      <w:r w:rsidR="00F373A3" w:rsidRPr="00181FCD">
        <w:t xml:space="preserve"> </w:t>
      </w:r>
      <w:r w:rsidRPr="00181FCD">
        <w:t>la</w:t>
      </w:r>
      <w:r w:rsidR="00F373A3" w:rsidRPr="00181FCD">
        <w:t xml:space="preserve"> </w:t>
      </w:r>
      <w:r w:rsidRPr="00181FCD">
        <w:t>corrupción</w:t>
      </w:r>
      <w:r w:rsidR="00F373A3" w:rsidRPr="00181FCD">
        <w:t xml:space="preserve"> </w:t>
      </w:r>
      <w:r w:rsidRPr="00181FCD">
        <w:t>y</w:t>
      </w:r>
      <w:r w:rsidR="00F373A3" w:rsidRPr="00181FCD">
        <w:t xml:space="preserve"> </w:t>
      </w:r>
      <w:r w:rsidRPr="00181FCD">
        <w:t>el</w:t>
      </w:r>
      <w:r w:rsidR="00F373A3" w:rsidRPr="00181FCD">
        <w:t xml:space="preserve"> </w:t>
      </w:r>
      <w:r w:rsidRPr="00181FCD">
        <w:t>conflicto</w:t>
      </w:r>
      <w:r w:rsidR="00F373A3" w:rsidRPr="00181FCD">
        <w:t xml:space="preserve"> </w:t>
      </w:r>
      <w:r w:rsidRPr="00181FCD">
        <w:t>de</w:t>
      </w:r>
      <w:r w:rsidR="00F373A3" w:rsidRPr="00181FCD">
        <w:t xml:space="preserve"> </w:t>
      </w:r>
      <w:r w:rsidRPr="00181FCD">
        <w:t>intereses</w:t>
      </w:r>
      <w:r w:rsidR="00F373A3" w:rsidRPr="00181FCD">
        <w:t xml:space="preserve"> </w:t>
      </w:r>
      <w:r w:rsidRPr="00181FCD">
        <w:t>en</w:t>
      </w:r>
      <w:r w:rsidR="00F373A3" w:rsidRPr="00181FCD">
        <w:t xml:space="preserve"> </w:t>
      </w:r>
      <w:r w:rsidRPr="00181FCD">
        <w:t>la</w:t>
      </w:r>
      <w:r w:rsidR="00F373A3" w:rsidRPr="00181FCD">
        <w:t xml:space="preserve"> </w:t>
      </w:r>
      <w:r w:rsidRPr="00181FCD">
        <w:t>judicatura.</w:t>
      </w:r>
    </w:p>
    <w:p w:rsidR="001937F4" w:rsidRPr="00181FCD" w:rsidRDefault="001937F4" w:rsidP="00347B20">
      <w:pPr>
        <w:pStyle w:val="SingleTxtG"/>
        <w:suppressAutoHyphens/>
      </w:pPr>
      <w:r w:rsidRPr="00181FCD">
        <w:t>22.</w:t>
      </w:r>
      <w:r w:rsidRPr="00181FCD">
        <w:tab/>
        <w:t>El</w:t>
      </w:r>
      <w:r w:rsidR="00F373A3" w:rsidRPr="00181FCD">
        <w:t xml:space="preserve"> </w:t>
      </w:r>
      <w:r w:rsidRPr="00181FCD">
        <w:rPr>
          <w:i/>
        </w:rPr>
        <w:t>segundo</w:t>
      </w:r>
      <w:r w:rsidR="00F373A3" w:rsidRPr="00181FCD">
        <w:rPr>
          <w:i/>
        </w:rPr>
        <w:t xml:space="preserve"> </w:t>
      </w:r>
      <w:r w:rsidRPr="00181FCD">
        <w:rPr>
          <w:i/>
        </w:rPr>
        <w:t>objetivo</w:t>
      </w:r>
      <w:r w:rsidR="00F373A3" w:rsidRPr="00181FCD">
        <w:rPr>
          <w:i/>
        </w:rPr>
        <w:t xml:space="preserve"> </w:t>
      </w:r>
      <w:r w:rsidRPr="00181FCD">
        <w:rPr>
          <w:i/>
        </w:rPr>
        <w:t>estratégico</w:t>
      </w:r>
      <w:r w:rsidR="00F373A3" w:rsidRPr="00181FCD">
        <w:t xml:space="preserve"> </w:t>
      </w:r>
      <w:r w:rsidRPr="00181FCD">
        <w:t>se</w:t>
      </w:r>
      <w:r w:rsidR="00F373A3" w:rsidRPr="00181FCD">
        <w:t xml:space="preserve"> </w:t>
      </w:r>
      <w:r w:rsidRPr="00181FCD">
        <w:t>centra</w:t>
      </w:r>
      <w:r w:rsidR="00F373A3" w:rsidRPr="00181FCD">
        <w:t xml:space="preserve"> </w:t>
      </w:r>
      <w:r w:rsidRPr="00181FCD">
        <w:t>en</w:t>
      </w:r>
      <w:r w:rsidR="00F373A3" w:rsidRPr="00181FCD">
        <w:t xml:space="preserve"> </w:t>
      </w:r>
      <w:r w:rsidRPr="00181FCD">
        <w:t>la</w:t>
      </w:r>
      <w:r w:rsidR="00F373A3" w:rsidRPr="00181FCD">
        <w:t xml:space="preserve"> </w:t>
      </w:r>
      <w:r w:rsidRPr="00181FCD">
        <w:t>condición</w:t>
      </w:r>
      <w:r w:rsidR="00F373A3" w:rsidRPr="00181FCD">
        <w:t xml:space="preserve"> </w:t>
      </w:r>
      <w:r w:rsidRPr="00181FCD">
        <w:t>de</w:t>
      </w:r>
      <w:r w:rsidR="00F373A3" w:rsidRPr="00181FCD">
        <w:t xml:space="preserve"> </w:t>
      </w:r>
      <w:r w:rsidRPr="00181FCD">
        <w:t>los</w:t>
      </w:r>
      <w:r w:rsidR="00F373A3" w:rsidRPr="00181FCD">
        <w:t xml:space="preserve"> </w:t>
      </w:r>
      <w:r w:rsidRPr="00181FCD">
        <w:t>jueces,</w:t>
      </w:r>
      <w:r w:rsidR="00F373A3" w:rsidRPr="00181FCD">
        <w:t xml:space="preserve"> </w:t>
      </w:r>
      <w:r w:rsidRPr="00181FCD">
        <w:t>fiscales</w:t>
      </w:r>
      <w:r w:rsidR="00F373A3" w:rsidRPr="00181FCD">
        <w:t xml:space="preserve"> </w:t>
      </w:r>
      <w:r w:rsidRPr="00181FCD">
        <w:t>y</w:t>
      </w:r>
      <w:r w:rsidR="00F373A3" w:rsidRPr="00181FCD">
        <w:t xml:space="preserve"> </w:t>
      </w:r>
      <w:r w:rsidRPr="00181FCD">
        <w:t>magistrados</w:t>
      </w:r>
      <w:r w:rsidR="00F373A3" w:rsidRPr="00181FCD">
        <w:t xml:space="preserve"> </w:t>
      </w:r>
      <w:r w:rsidRPr="00181FCD">
        <w:t>de</w:t>
      </w:r>
      <w:r w:rsidR="00F373A3" w:rsidRPr="00181FCD">
        <w:t xml:space="preserve"> </w:t>
      </w:r>
      <w:r w:rsidRPr="00181FCD">
        <w:t>instrucción</w:t>
      </w:r>
      <w:r w:rsidR="00F373A3" w:rsidRPr="00181FCD">
        <w:t xml:space="preserve"> </w:t>
      </w:r>
      <w:r w:rsidRPr="00181FCD">
        <w:t>como</w:t>
      </w:r>
      <w:r w:rsidR="00F373A3" w:rsidRPr="00181FCD">
        <w:t xml:space="preserve"> </w:t>
      </w:r>
      <w:r w:rsidRPr="00181FCD">
        <w:t>un</w:t>
      </w:r>
      <w:r w:rsidR="00F373A3" w:rsidRPr="00181FCD">
        <w:t xml:space="preserve"> </w:t>
      </w:r>
      <w:r w:rsidRPr="00181FCD">
        <w:t>activo</w:t>
      </w:r>
      <w:r w:rsidR="00F373A3" w:rsidRPr="00181FCD">
        <w:t xml:space="preserve"> </w:t>
      </w:r>
      <w:r w:rsidRPr="00181FCD">
        <w:t>esencial</w:t>
      </w:r>
      <w:r w:rsidR="00F373A3" w:rsidRPr="00181FCD">
        <w:t xml:space="preserve"> </w:t>
      </w:r>
      <w:r w:rsidRPr="00181FCD">
        <w:t>y</w:t>
      </w:r>
      <w:r w:rsidR="00F373A3" w:rsidRPr="00181FCD">
        <w:t xml:space="preserve"> </w:t>
      </w:r>
      <w:r w:rsidRPr="00181FCD">
        <w:t>como</w:t>
      </w:r>
      <w:r w:rsidR="00F373A3" w:rsidRPr="00181FCD">
        <w:t xml:space="preserve"> </w:t>
      </w:r>
      <w:r w:rsidRPr="00181FCD">
        <w:t>centro</w:t>
      </w:r>
      <w:r w:rsidR="00F373A3" w:rsidRPr="00181FCD">
        <w:t xml:space="preserve"> </w:t>
      </w:r>
      <w:r w:rsidRPr="00181FCD">
        <w:t>de</w:t>
      </w:r>
      <w:r w:rsidR="00F373A3" w:rsidRPr="00181FCD">
        <w:t xml:space="preserve"> </w:t>
      </w:r>
      <w:r w:rsidRPr="00181FCD">
        <w:t>la</w:t>
      </w:r>
      <w:r w:rsidR="00F373A3" w:rsidRPr="00181FCD">
        <w:t xml:space="preserve"> </w:t>
      </w:r>
      <w:r w:rsidRPr="00181FCD">
        <w:t>reforma.</w:t>
      </w:r>
      <w:r w:rsidR="00F373A3" w:rsidRPr="00181FCD">
        <w:t xml:space="preserve"> </w:t>
      </w:r>
      <w:r w:rsidRPr="00181FCD">
        <w:t>El</w:t>
      </w:r>
      <w:r w:rsidR="00F373A3" w:rsidRPr="00181FCD">
        <w:t xml:space="preserve"> </w:t>
      </w:r>
      <w:r w:rsidRPr="00181FCD">
        <w:t>documento</w:t>
      </w:r>
      <w:r w:rsidR="00F373A3" w:rsidRPr="00181FCD">
        <w:t xml:space="preserve"> </w:t>
      </w:r>
      <w:r w:rsidRPr="00181FCD">
        <w:t>promueve</w:t>
      </w:r>
      <w:r w:rsidR="00F373A3" w:rsidRPr="00181FCD">
        <w:t xml:space="preserve"> </w:t>
      </w:r>
      <w:r w:rsidRPr="00181FCD">
        <w:t>la</w:t>
      </w:r>
      <w:r w:rsidR="00F373A3" w:rsidRPr="00181FCD">
        <w:t xml:space="preserve"> </w:t>
      </w:r>
      <w:r w:rsidRPr="00181FCD">
        <w:t>reforma</w:t>
      </w:r>
      <w:r w:rsidR="00F373A3" w:rsidRPr="00181FCD">
        <w:t xml:space="preserve"> </w:t>
      </w:r>
      <w:r w:rsidRPr="00181FCD">
        <w:t>de</w:t>
      </w:r>
      <w:r w:rsidR="00F373A3" w:rsidRPr="00181FCD">
        <w:t xml:space="preserve"> </w:t>
      </w:r>
      <w:r w:rsidRPr="00181FCD">
        <w:t>la</w:t>
      </w:r>
      <w:r w:rsidR="00F373A3" w:rsidRPr="00181FCD">
        <w:t xml:space="preserve"> </w:t>
      </w:r>
      <w:r w:rsidRPr="00181FCD">
        <w:t>enseñanza</w:t>
      </w:r>
      <w:r w:rsidR="00F373A3" w:rsidRPr="00181FCD">
        <w:t xml:space="preserve"> </w:t>
      </w:r>
      <w:r w:rsidRPr="00181FCD">
        <w:t>del</w:t>
      </w:r>
      <w:r w:rsidR="00F373A3" w:rsidRPr="00181FCD">
        <w:t xml:space="preserve"> </w:t>
      </w:r>
      <w:r w:rsidRPr="00181FCD">
        <w:t>derecho</w:t>
      </w:r>
      <w:r w:rsidR="00F373A3" w:rsidRPr="00181FCD">
        <w:t xml:space="preserve"> </w:t>
      </w:r>
      <w:r w:rsidRPr="00181FCD">
        <w:t>y</w:t>
      </w:r>
      <w:r w:rsidR="00F373A3" w:rsidRPr="00181FCD">
        <w:t xml:space="preserve"> </w:t>
      </w:r>
      <w:r w:rsidRPr="00181FCD">
        <w:t>las</w:t>
      </w:r>
      <w:r w:rsidR="00F373A3" w:rsidRPr="00181FCD">
        <w:t xml:space="preserve"> </w:t>
      </w:r>
      <w:r w:rsidRPr="00181FCD">
        <w:t>prácticas</w:t>
      </w:r>
      <w:r w:rsidR="00F373A3" w:rsidRPr="00181FCD">
        <w:t xml:space="preserve"> </w:t>
      </w:r>
      <w:r w:rsidRPr="00181FCD">
        <w:t>jurídicas,</w:t>
      </w:r>
      <w:r w:rsidR="00F373A3" w:rsidRPr="00181FCD">
        <w:t xml:space="preserve"> </w:t>
      </w:r>
      <w:r w:rsidRPr="00181FCD">
        <w:t>como</w:t>
      </w:r>
      <w:r w:rsidR="00F373A3" w:rsidRPr="00181FCD">
        <w:t xml:space="preserve"> </w:t>
      </w:r>
      <w:r w:rsidRPr="00181FCD">
        <w:t>garantía</w:t>
      </w:r>
      <w:r w:rsidR="00F373A3" w:rsidRPr="00181FCD">
        <w:t xml:space="preserve"> </w:t>
      </w:r>
      <w:r w:rsidRPr="00181FCD">
        <w:t>de</w:t>
      </w:r>
      <w:r w:rsidR="00F373A3" w:rsidRPr="00181FCD">
        <w:t xml:space="preserve"> </w:t>
      </w:r>
      <w:r w:rsidRPr="00181FCD">
        <w:t>una</w:t>
      </w:r>
      <w:r w:rsidR="00F373A3" w:rsidRPr="00181FCD">
        <w:t xml:space="preserve"> </w:t>
      </w:r>
      <w:r w:rsidRPr="00181FCD">
        <w:t>gran</w:t>
      </w:r>
      <w:r w:rsidR="00F373A3" w:rsidRPr="00181FCD">
        <w:t xml:space="preserve"> </w:t>
      </w:r>
      <w:r w:rsidRPr="00181FCD">
        <w:t>idoneidad</w:t>
      </w:r>
      <w:r w:rsidR="00F373A3" w:rsidRPr="00181FCD">
        <w:t xml:space="preserve"> </w:t>
      </w:r>
      <w:r w:rsidRPr="00181FCD">
        <w:t>para</w:t>
      </w:r>
      <w:r w:rsidR="00F373A3" w:rsidRPr="00181FCD">
        <w:t xml:space="preserve"> </w:t>
      </w:r>
      <w:r w:rsidRPr="00181FCD">
        <w:t>ingresar</w:t>
      </w:r>
      <w:r w:rsidR="00F373A3" w:rsidRPr="00181FCD">
        <w:t xml:space="preserve"> </w:t>
      </w:r>
      <w:r w:rsidRPr="00181FCD">
        <w:t>en</w:t>
      </w:r>
      <w:r w:rsidR="00F373A3" w:rsidRPr="00181FCD">
        <w:t xml:space="preserve"> </w:t>
      </w:r>
      <w:r w:rsidRPr="00181FCD">
        <w:t>el</w:t>
      </w:r>
      <w:r w:rsidR="00F373A3" w:rsidRPr="00181FCD">
        <w:t xml:space="preserve"> </w:t>
      </w:r>
      <w:r w:rsidRPr="00181FCD">
        <w:t>poder</w:t>
      </w:r>
      <w:r w:rsidR="00F373A3" w:rsidRPr="00181FCD">
        <w:t xml:space="preserve"> </w:t>
      </w:r>
      <w:r w:rsidRPr="00181FCD">
        <w:t>judicial</w:t>
      </w:r>
      <w:r w:rsidR="00F373A3" w:rsidRPr="00181FCD">
        <w:t xml:space="preserve"> </w:t>
      </w:r>
      <w:r w:rsidRPr="00181FCD">
        <w:t>y</w:t>
      </w:r>
      <w:r w:rsidR="00F373A3" w:rsidRPr="00181FCD">
        <w:t xml:space="preserve"> </w:t>
      </w:r>
      <w:r w:rsidRPr="00181FCD">
        <w:t>de</w:t>
      </w:r>
      <w:r w:rsidR="00F373A3" w:rsidRPr="00181FCD">
        <w:t xml:space="preserve"> </w:t>
      </w:r>
      <w:r w:rsidRPr="00181FCD">
        <w:t>la</w:t>
      </w:r>
      <w:r w:rsidR="00F373A3" w:rsidRPr="00181FCD">
        <w:t xml:space="preserve"> </w:t>
      </w:r>
      <w:r w:rsidRPr="00181FCD">
        <w:t>motivación</w:t>
      </w:r>
      <w:r w:rsidR="00F373A3" w:rsidRPr="00181FCD">
        <w:t xml:space="preserve"> </w:t>
      </w:r>
      <w:r w:rsidRPr="00181FCD">
        <w:t>de</w:t>
      </w:r>
      <w:r w:rsidR="00F373A3" w:rsidRPr="00181FCD">
        <w:t xml:space="preserve"> </w:t>
      </w:r>
      <w:r w:rsidRPr="00181FCD">
        <w:t>sus</w:t>
      </w:r>
      <w:r w:rsidR="00F373A3" w:rsidRPr="00181FCD">
        <w:t xml:space="preserve"> </w:t>
      </w:r>
      <w:r w:rsidRPr="00181FCD">
        <w:t>recursos</w:t>
      </w:r>
      <w:r w:rsidR="00F373A3" w:rsidRPr="00181FCD">
        <w:t xml:space="preserve"> </w:t>
      </w:r>
      <w:r w:rsidRPr="00181FCD">
        <w:t>humanos.</w:t>
      </w:r>
      <w:r w:rsidR="00672EC2" w:rsidRPr="00181FCD">
        <w:t xml:space="preserve"> </w:t>
      </w:r>
      <w:r w:rsidRPr="00181FCD">
        <w:t>Se</w:t>
      </w:r>
      <w:r w:rsidR="00F373A3" w:rsidRPr="00181FCD">
        <w:t xml:space="preserve"> </w:t>
      </w:r>
      <w:r w:rsidRPr="00181FCD">
        <w:t>han</w:t>
      </w:r>
      <w:r w:rsidR="00F373A3" w:rsidRPr="00181FCD">
        <w:t xml:space="preserve"> </w:t>
      </w:r>
      <w:r w:rsidRPr="00181FCD">
        <w:t>concebido</w:t>
      </w:r>
      <w:r w:rsidR="00F373A3" w:rsidRPr="00181FCD">
        <w:t xml:space="preserve"> </w:t>
      </w:r>
      <w:r w:rsidRPr="00181FCD">
        <w:t>medidas</w:t>
      </w:r>
      <w:r w:rsidR="00F373A3" w:rsidRPr="00181FCD">
        <w:t xml:space="preserve"> </w:t>
      </w:r>
      <w:r w:rsidRPr="00181FCD">
        <w:t>a</w:t>
      </w:r>
      <w:r w:rsidR="00F373A3" w:rsidRPr="00181FCD">
        <w:t xml:space="preserve"> </w:t>
      </w:r>
      <w:r w:rsidRPr="00181FCD">
        <w:t>fin</w:t>
      </w:r>
      <w:r w:rsidR="00F373A3" w:rsidRPr="00181FCD">
        <w:t xml:space="preserve"> </w:t>
      </w:r>
      <w:r w:rsidRPr="00181FCD">
        <w:t>de</w:t>
      </w:r>
      <w:r w:rsidR="00F373A3" w:rsidRPr="00181FCD">
        <w:t xml:space="preserve"> </w:t>
      </w:r>
      <w:r w:rsidRPr="00181FCD">
        <w:t>mejorar</w:t>
      </w:r>
      <w:r w:rsidR="00F373A3" w:rsidRPr="00181FCD">
        <w:t xml:space="preserve"> </w:t>
      </w:r>
      <w:r w:rsidRPr="00181FCD">
        <w:t>las</w:t>
      </w:r>
      <w:r w:rsidR="00F373A3" w:rsidRPr="00181FCD">
        <w:t xml:space="preserve"> </w:t>
      </w:r>
      <w:r w:rsidRPr="00181FCD">
        <w:t>metodologías</w:t>
      </w:r>
      <w:r w:rsidR="00F373A3" w:rsidRPr="00181FCD">
        <w:t xml:space="preserve"> </w:t>
      </w:r>
      <w:r w:rsidRPr="00181FCD">
        <w:t>y</w:t>
      </w:r>
      <w:r w:rsidR="00F373A3" w:rsidRPr="00181FCD">
        <w:t xml:space="preserve"> </w:t>
      </w:r>
      <w:r w:rsidRPr="00181FCD">
        <w:t>la</w:t>
      </w:r>
      <w:r w:rsidR="00F373A3" w:rsidRPr="00181FCD">
        <w:t xml:space="preserve"> </w:t>
      </w:r>
      <w:r w:rsidRPr="00181FCD">
        <w:t>organización</w:t>
      </w:r>
      <w:r w:rsidR="00F373A3" w:rsidRPr="00181FCD">
        <w:t xml:space="preserve"> </w:t>
      </w:r>
      <w:r w:rsidRPr="00181FCD">
        <w:t>de</w:t>
      </w:r>
      <w:r w:rsidR="00F373A3" w:rsidRPr="00181FCD">
        <w:t xml:space="preserve"> </w:t>
      </w:r>
      <w:r w:rsidRPr="00181FCD">
        <w:t>los</w:t>
      </w:r>
      <w:r w:rsidR="00F373A3" w:rsidRPr="00181FCD">
        <w:t xml:space="preserve"> </w:t>
      </w:r>
      <w:r w:rsidRPr="00181FCD">
        <w:t>concursos</w:t>
      </w:r>
      <w:r w:rsidR="00F373A3" w:rsidRPr="00181FCD">
        <w:t xml:space="preserve"> </w:t>
      </w:r>
      <w:r w:rsidRPr="00181FCD">
        <w:t>para</w:t>
      </w:r>
      <w:r w:rsidR="00F373A3" w:rsidRPr="00181FCD">
        <w:t xml:space="preserve"> </w:t>
      </w:r>
      <w:r w:rsidRPr="00181FCD">
        <w:t>el</w:t>
      </w:r>
      <w:r w:rsidR="00F373A3" w:rsidRPr="00181FCD">
        <w:t xml:space="preserve"> </w:t>
      </w:r>
      <w:r w:rsidRPr="00181FCD">
        <w:t>nombramiento</w:t>
      </w:r>
      <w:r w:rsidR="00F373A3" w:rsidRPr="00181FCD">
        <w:t xml:space="preserve"> </w:t>
      </w:r>
      <w:r w:rsidRPr="00181FCD">
        <w:t>y</w:t>
      </w:r>
      <w:r w:rsidR="00F373A3" w:rsidRPr="00181FCD">
        <w:t xml:space="preserve"> </w:t>
      </w:r>
      <w:r w:rsidRPr="00181FCD">
        <w:t>la</w:t>
      </w:r>
      <w:r w:rsidR="00F373A3" w:rsidRPr="00181FCD">
        <w:t xml:space="preserve"> </w:t>
      </w:r>
      <w:r w:rsidRPr="00181FCD">
        <w:t>promoción</w:t>
      </w:r>
      <w:r w:rsidR="00F373A3" w:rsidRPr="00181FCD">
        <w:t xml:space="preserve"> </w:t>
      </w:r>
      <w:r w:rsidRPr="00181FCD">
        <w:t>de</w:t>
      </w:r>
      <w:r w:rsidR="00F373A3" w:rsidRPr="00181FCD">
        <w:t xml:space="preserve"> </w:t>
      </w:r>
      <w:r w:rsidRPr="00181FCD">
        <w:t>magistrados,</w:t>
      </w:r>
      <w:r w:rsidR="00F373A3" w:rsidRPr="00181FCD">
        <w:t xml:space="preserve"> </w:t>
      </w:r>
      <w:r w:rsidRPr="00181FCD">
        <w:t>como</w:t>
      </w:r>
      <w:r w:rsidR="00F373A3" w:rsidRPr="00181FCD">
        <w:t xml:space="preserve"> </w:t>
      </w:r>
      <w:r w:rsidRPr="00181FCD">
        <w:t>forma</w:t>
      </w:r>
      <w:r w:rsidR="00F373A3" w:rsidRPr="00181FCD">
        <w:t xml:space="preserve"> </w:t>
      </w:r>
      <w:r w:rsidRPr="00181FCD">
        <w:t>de</w:t>
      </w:r>
      <w:r w:rsidR="00F373A3" w:rsidRPr="00181FCD">
        <w:t xml:space="preserve"> </w:t>
      </w:r>
      <w:r w:rsidRPr="00181FCD">
        <w:t>reforzar</w:t>
      </w:r>
      <w:r w:rsidR="00F373A3" w:rsidRPr="00181FCD">
        <w:t xml:space="preserve"> </w:t>
      </w:r>
      <w:r w:rsidRPr="00181FCD">
        <w:t>la</w:t>
      </w:r>
      <w:r w:rsidR="00F373A3" w:rsidRPr="00181FCD">
        <w:t xml:space="preserve"> </w:t>
      </w:r>
      <w:r w:rsidRPr="00181FCD">
        <w:t>confianza</w:t>
      </w:r>
      <w:r w:rsidR="00F373A3" w:rsidRPr="00181FCD">
        <w:t xml:space="preserve"> </w:t>
      </w:r>
      <w:r w:rsidRPr="00181FCD">
        <w:t>pública.</w:t>
      </w:r>
      <w:r w:rsidR="00F373A3" w:rsidRPr="00181FCD">
        <w:t xml:space="preserve"> </w:t>
      </w:r>
      <w:r w:rsidRPr="00181FCD">
        <w:t>La</w:t>
      </w:r>
      <w:r w:rsidR="00F373A3" w:rsidRPr="00181FCD">
        <w:t xml:space="preserve"> </w:t>
      </w:r>
      <w:r w:rsidRPr="00181FCD">
        <w:t>Estrategia</w:t>
      </w:r>
      <w:r w:rsidR="00F373A3" w:rsidRPr="00181FCD">
        <w:t xml:space="preserve"> </w:t>
      </w:r>
      <w:r w:rsidRPr="00181FCD">
        <w:t>se</w:t>
      </w:r>
      <w:r w:rsidR="00F373A3" w:rsidRPr="00181FCD">
        <w:t xml:space="preserve"> </w:t>
      </w:r>
      <w:r w:rsidRPr="00181FCD">
        <w:t>centrará</w:t>
      </w:r>
      <w:r w:rsidR="00F373A3" w:rsidRPr="00181FCD">
        <w:t xml:space="preserve"> </w:t>
      </w:r>
      <w:r w:rsidRPr="00181FCD">
        <w:t>más</w:t>
      </w:r>
      <w:r w:rsidR="00F373A3" w:rsidRPr="00181FCD">
        <w:t xml:space="preserve"> </w:t>
      </w:r>
      <w:r w:rsidRPr="00181FCD">
        <w:t>en</w:t>
      </w:r>
      <w:r w:rsidR="00F373A3" w:rsidRPr="00181FCD">
        <w:t xml:space="preserve"> </w:t>
      </w:r>
      <w:r w:rsidRPr="00181FCD">
        <w:t>conseguir</w:t>
      </w:r>
      <w:r w:rsidR="00F373A3" w:rsidRPr="00181FCD">
        <w:t xml:space="preserve"> </w:t>
      </w:r>
      <w:r w:rsidRPr="00181FCD">
        <w:t>logros</w:t>
      </w:r>
      <w:r w:rsidR="00F373A3" w:rsidRPr="00181FCD">
        <w:t xml:space="preserve"> </w:t>
      </w:r>
      <w:r w:rsidRPr="00181FCD">
        <w:t>y</w:t>
      </w:r>
      <w:r w:rsidR="00F373A3" w:rsidRPr="00181FCD">
        <w:t xml:space="preserve"> </w:t>
      </w:r>
      <w:r w:rsidRPr="00181FCD">
        <w:t>mejorar</w:t>
      </w:r>
      <w:r w:rsidR="00F373A3" w:rsidRPr="00181FCD">
        <w:t xml:space="preserve"> </w:t>
      </w:r>
      <w:r w:rsidRPr="00181FCD">
        <w:t>de</w:t>
      </w:r>
      <w:r w:rsidR="00F373A3" w:rsidRPr="00181FCD">
        <w:t xml:space="preserve"> </w:t>
      </w:r>
      <w:r w:rsidRPr="00181FCD">
        <w:t>forma</w:t>
      </w:r>
      <w:r w:rsidR="00F373A3" w:rsidRPr="00181FCD">
        <w:t xml:space="preserve"> </w:t>
      </w:r>
      <w:r w:rsidRPr="00181FCD">
        <w:t>sostenida</w:t>
      </w:r>
      <w:r w:rsidR="00F373A3" w:rsidRPr="00181FCD">
        <w:t xml:space="preserve"> </w:t>
      </w:r>
      <w:r w:rsidRPr="00181FCD">
        <w:t>la</w:t>
      </w:r>
      <w:r w:rsidR="00F373A3" w:rsidRPr="00181FCD">
        <w:t xml:space="preserve"> </w:t>
      </w:r>
      <w:r w:rsidRPr="00181FCD">
        <w:t>calidad</w:t>
      </w:r>
      <w:r w:rsidR="00F373A3" w:rsidRPr="00181FCD">
        <w:t xml:space="preserve"> </w:t>
      </w:r>
      <w:r w:rsidRPr="00181FCD">
        <w:t>de</w:t>
      </w:r>
      <w:r w:rsidR="00F373A3" w:rsidRPr="00181FCD">
        <w:t xml:space="preserve"> </w:t>
      </w:r>
      <w:r w:rsidRPr="00181FCD">
        <w:t>funcionamiento</w:t>
      </w:r>
      <w:r w:rsidR="00F373A3" w:rsidRPr="00181FCD">
        <w:t xml:space="preserve"> </w:t>
      </w:r>
      <w:r w:rsidRPr="00181FCD">
        <w:t>del</w:t>
      </w:r>
      <w:r w:rsidR="00F373A3" w:rsidRPr="00181FCD">
        <w:t xml:space="preserve"> </w:t>
      </w:r>
      <w:r w:rsidRPr="00181FCD">
        <w:t>Instituto</w:t>
      </w:r>
      <w:r w:rsidR="00F373A3" w:rsidRPr="00181FCD">
        <w:t xml:space="preserve"> </w:t>
      </w:r>
      <w:r w:rsidRPr="00181FCD">
        <w:t>Nacional</w:t>
      </w:r>
      <w:r w:rsidR="00F373A3" w:rsidRPr="00181FCD">
        <w:t xml:space="preserve"> </w:t>
      </w:r>
      <w:r w:rsidRPr="00181FCD">
        <w:t>de</w:t>
      </w:r>
      <w:r w:rsidR="00F373A3" w:rsidRPr="00181FCD">
        <w:t xml:space="preserve"> </w:t>
      </w:r>
      <w:r w:rsidRPr="00181FCD">
        <w:t>Justicia.</w:t>
      </w:r>
      <w:r w:rsidR="00F373A3" w:rsidRPr="00181FCD">
        <w:t xml:space="preserve"> </w:t>
      </w:r>
      <w:r w:rsidRPr="00181FCD">
        <w:t>El</w:t>
      </w:r>
      <w:r w:rsidR="00F373A3" w:rsidRPr="00181FCD">
        <w:t xml:space="preserve"> </w:t>
      </w:r>
      <w:r w:rsidRPr="00181FCD">
        <w:t>documento</w:t>
      </w:r>
      <w:r w:rsidR="00F373A3" w:rsidRPr="00181FCD">
        <w:t xml:space="preserve"> </w:t>
      </w:r>
      <w:r w:rsidRPr="00181FCD">
        <w:t>prevé</w:t>
      </w:r>
      <w:r w:rsidR="00F373A3" w:rsidRPr="00181FCD">
        <w:t xml:space="preserve"> </w:t>
      </w:r>
      <w:r w:rsidRPr="00181FCD">
        <w:t>la</w:t>
      </w:r>
      <w:r w:rsidR="00F373A3" w:rsidRPr="00181FCD">
        <w:t xml:space="preserve"> </w:t>
      </w:r>
      <w:r w:rsidRPr="00181FCD">
        <w:t>reestructuración</w:t>
      </w:r>
      <w:r w:rsidR="00F373A3" w:rsidRPr="00181FCD">
        <w:t xml:space="preserve"> </w:t>
      </w:r>
      <w:r w:rsidRPr="00181FCD">
        <w:t>de</w:t>
      </w:r>
      <w:r w:rsidR="00F373A3" w:rsidRPr="00181FCD">
        <w:t xml:space="preserve"> </w:t>
      </w:r>
      <w:r w:rsidRPr="00181FCD">
        <w:t>los</w:t>
      </w:r>
      <w:r w:rsidR="00F373A3" w:rsidRPr="00181FCD">
        <w:t xml:space="preserve"> </w:t>
      </w:r>
      <w:r w:rsidRPr="00181FCD">
        <w:t>procedimientos</w:t>
      </w:r>
      <w:r w:rsidR="00F373A3" w:rsidRPr="00181FCD">
        <w:t xml:space="preserve"> </w:t>
      </w:r>
      <w:r w:rsidRPr="00181FCD">
        <w:t>disciplinarios</w:t>
      </w:r>
      <w:r w:rsidR="00F373A3" w:rsidRPr="00181FCD">
        <w:t xml:space="preserve"> </w:t>
      </w:r>
      <w:r w:rsidRPr="00181FCD">
        <w:t>contra</w:t>
      </w:r>
      <w:r w:rsidR="00F373A3" w:rsidRPr="00181FCD">
        <w:t xml:space="preserve"> </w:t>
      </w:r>
      <w:r w:rsidRPr="00181FCD">
        <w:t>magistrados,</w:t>
      </w:r>
      <w:r w:rsidR="00F373A3" w:rsidRPr="00181FCD">
        <w:t xml:space="preserve"> </w:t>
      </w:r>
      <w:r w:rsidRPr="00181FCD">
        <w:t>mediante</w:t>
      </w:r>
      <w:r w:rsidR="00F373A3" w:rsidRPr="00181FCD">
        <w:t xml:space="preserve"> </w:t>
      </w:r>
      <w:r w:rsidRPr="00181FCD">
        <w:t>la</w:t>
      </w:r>
      <w:r w:rsidR="00F373A3" w:rsidRPr="00181FCD">
        <w:t xml:space="preserve"> </w:t>
      </w:r>
      <w:r w:rsidRPr="00181FCD">
        <w:t>creación</w:t>
      </w:r>
      <w:r w:rsidR="00F373A3" w:rsidRPr="00181FCD">
        <w:t xml:space="preserve"> </w:t>
      </w:r>
      <w:r w:rsidRPr="00181FCD">
        <w:t>de</w:t>
      </w:r>
      <w:r w:rsidR="00F373A3" w:rsidRPr="00181FCD">
        <w:t xml:space="preserve"> </w:t>
      </w:r>
      <w:r w:rsidRPr="00181FCD">
        <w:t>una</w:t>
      </w:r>
      <w:r w:rsidR="00F373A3" w:rsidRPr="00181FCD">
        <w:t xml:space="preserve"> </w:t>
      </w:r>
      <w:r w:rsidRPr="00181FCD">
        <w:t>comisión</w:t>
      </w:r>
      <w:r w:rsidR="00F373A3" w:rsidRPr="00181FCD">
        <w:t xml:space="preserve"> </w:t>
      </w:r>
      <w:r w:rsidRPr="00181FCD">
        <w:t>de</w:t>
      </w:r>
      <w:r w:rsidR="00F373A3" w:rsidRPr="00181FCD">
        <w:t xml:space="preserve"> </w:t>
      </w:r>
      <w:r w:rsidRPr="00181FCD">
        <w:t>disciplina</w:t>
      </w:r>
      <w:r w:rsidR="00F373A3" w:rsidRPr="00181FCD">
        <w:t xml:space="preserve"> </w:t>
      </w:r>
      <w:r w:rsidRPr="00181FCD">
        <w:t>centralizada,</w:t>
      </w:r>
      <w:r w:rsidR="00F373A3" w:rsidRPr="00181FCD">
        <w:t xml:space="preserve"> </w:t>
      </w:r>
      <w:r w:rsidRPr="00181FCD">
        <w:t>en</w:t>
      </w:r>
      <w:r w:rsidR="00F373A3" w:rsidRPr="00181FCD">
        <w:t xml:space="preserve"> </w:t>
      </w:r>
      <w:r w:rsidRPr="00181FCD">
        <w:t>cada</w:t>
      </w:r>
      <w:r w:rsidR="00F373A3" w:rsidRPr="00181FCD">
        <w:t xml:space="preserve"> </w:t>
      </w:r>
      <w:r w:rsidRPr="00181FCD">
        <w:t>una</w:t>
      </w:r>
      <w:r w:rsidR="00F373A3" w:rsidRPr="00181FCD">
        <w:t xml:space="preserve"> </w:t>
      </w:r>
      <w:r w:rsidRPr="00181FCD">
        <w:t>de</w:t>
      </w:r>
      <w:r w:rsidR="00F373A3" w:rsidRPr="00181FCD">
        <w:t xml:space="preserve"> </w:t>
      </w:r>
      <w:r w:rsidRPr="00181FCD">
        <w:t>las</w:t>
      </w:r>
      <w:r w:rsidR="00F373A3" w:rsidRPr="00181FCD">
        <w:t xml:space="preserve"> </w:t>
      </w:r>
      <w:r w:rsidRPr="00181FCD">
        <w:t>dos</w:t>
      </w:r>
      <w:r w:rsidR="00F373A3" w:rsidRPr="00181FCD">
        <w:t xml:space="preserve"> </w:t>
      </w:r>
      <w:r w:rsidRPr="00181FCD">
        <w:t>salas</w:t>
      </w:r>
      <w:r w:rsidR="00F373A3" w:rsidRPr="00181FCD">
        <w:t xml:space="preserve"> </w:t>
      </w:r>
      <w:r w:rsidRPr="00181FCD">
        <w:t>del</w:t>
      </w:r>
      <w:r w:rsidR="00F373A3" w:rsidRPr="00181FCD">
        <w:t xml:space="preserve"> </w:t>
      </w:r>
      <w:r w:rsidRPr="00181FCD">
        <w:t>Consejo</w:t>
      </w:r>
      <w:r w:rsidR="00F373A3" w:rsidRPr="00181FCD">
        <w:t xml:space="preserve"> </w:t>
      </w:r>
      <w:r w:rsidRPr="00181FCD">
        <w:t>Supremo</w:t>
      </w:r>
      <w:r w:rsidR="00F373A3" w:rsidRPr="00181FCD">
        <w:t xml:space="preserve"> </w:t>
      </w:r>
      <w:r w:rsidRPr="00181FCD">
        <w:t>de</w:t>
      </w:r>
      <w:r w:rsidR="00F373A3" w:rsidRPr="00181FCD">
        <w:t xml:space="preserve"> </w:t>
      </w:r>
      <w:r w:rsidRPr="00181FCD">
        <w:t>la</w:t>
      </w:r>
      <w:r w:rsidR="00F373A3" w:rsidRPr="00181FCD">
        <w:t xml:space="preserve"> </w:t>
      </w:r>
      <w:r w:rsidRPr="00181FCD">
        <w:t>Judicatura.</w:t>
      </w:r>
      <w:r w:rsidR="00F373A3" w:rsidRPr="00181FCD">
        <w:t xml:space="preserve"> </w:t>
      </w:r>
      <w:r w:rsidRPr="00181FCD">
        <w:t>Asimismo,</w:t>
      </w:r>
      <w:r w:rsidR="00F373A3" w:rsidRPr="00181FCD">
        <w:t xml:space="preserve"> </w:t>
      </w:r>
      <w:r w:rsidRPr="00181FCD">
        <w:t>se</w:t>
      </w:r>
      <w:r w:rsidR="00F373A3" w:rsidRPr="00181FCD">
        <w:t xml:space="preserve"> </w:t>
      </w:r>
      <w:r w:rsidRPr="00181FCD">
        <w:t>prevé</w:t>
      </w:r>
      <w:r w:rsidR="00F373A3" w:rsidRPr="00181FCD">
        <w:t xml:space="preserve"> </w:t>
      </w:r>
      <w:r w:rsidRPr="00181FCD">
        <w:t>elaborar</w:t>
      </w:r>
      <w:r w:rsidR="00F373A3" w:rsidRPr="00181FCD">
        <w:t xml:space="preserve"> </w:t>
      </w:r>
      <w:r w:rsidRPr="00181FCD">
        <w:t>normas</w:t>
      </w:r>
      <w:r w:rsidR="00F373A3" w:rsidRPr="00181FCD">
        <w:t xml:space="preserve"> </w:t>
      </w:r>
      <w:r w:rsidRPr="00181FCD">
        <w:t>para</w:t>
      </w:r>
      <w:r w:rsidR="00F373A3" w:rsidRPr="00181FCD">
        <w:t xml:space="preserve"> </w:t>
      </w:r>
      <w:r w:rsidRPr="00181FCD">
        <w:t>la</w:t>
      </w:r>
      <w:r w:rsidR="00F373A3" w:rsidRPr="00181FCD">
        <w:t xml:space="preserve"> </w:t>
      </w:r>
      <w:r w:rsidRPr="00181FCD">
        <w:t>fijación</w:t>
      </w:r>
      <w:r w:rsidR="00F373A3" w:rsidRPr="00181FCD">
        <w:t xml:space="preserve"> </w:t>
      </w:r>
      <w:r w:rsidRPr="00181FCD">
        <w:t>de</w:t>
      </w:r>
      <w:r w:rsidR="00F373A3" w:rsidRPr="00181FCD">
        <w:t xml:space="preserve"> </w:t>
      </w:r>
      <w:r w:rsidRPr="00181FCD">
        <w:t>una</w:t>
      </w:r>
      <w:r w:rsidR="00F373A3" w:rsidRPr="00181FCD">
        <w:t xml:space="preserve"> </w:t>
      </w:r>
      <w:r w:rsidRPr="00181FCD">
        <w:t>remuneración</w:t>
      </w:r>
      <w:r w:rsidR="00F373A3" w:rsidRPr="00181FCD">
        <w:t xml:space="preserve"> </w:t>
      </w:r>
      <w:r w:rsidRPr="00181FCD">
        <w:t>previsible</w:t>
      </w:r>
      <w:r w:rsidR="00F373A3" w:rsidRPr="00181FCD">
        <w:t xml:space="preserve"> </w:t>
      </w:r>
      <w:r w:rsidRPr="00181FCD">
        <w:t>para</w:t>
      </w:r>
      <w:r w:rsidR="00F373A3" w:rsidRPr="00181FCD">
        <w:t xml:space="preserve"> </w:t>
      </w:r>
      <w:r w:rsidRPr="00181FCD">
        <w:t>los</w:t>
      </w:r>
      <w:r w:rsidR="00F373A3" w:rsidRPr="00181FCD">
        <w:t xml:space="preserve"> </w:t>
      </w:r>
      <w:r w:rsidRPr="00181FCD">
        <w:t>jueces.</w:t>
      </w:r>
      <w:r w:rsidR="00F373A3" w:rsidRPr="00181FCD">
        <w:t xml:space="preserve"> </w:t>
      </w:r>
      <w:r w:rsidRPr="00181FCD">
        <w:t>En</w:t>
      </w:r>
      <w:r w:rsidR="00F373A3" w:rsidRPr="00181FCD">
        <w:t xml:space="preserve"> </w:t>
      </w:r>
      <w:r w:rsidRPr="00181FCD">
        <w:t>la</w:t>
      </w:r>
      <w:r w:rsidR="00F373A3" w:rsidRPr="00181FCD">
        <w:t xml:space="preserve"> </w:t>
      </w:r>
      <w:r w:rsidRPr="00181FCD">
        <w:t>Estrategia</w:t>
      </w:r>
      <w:r w:rsidR="00F373A3" w:rsidRPr="00181FCD">
        <w:t xml:space="preserve"> </w:t>
      </w:r>
      <w:r w:rsidRPr="00181FCD">
        <w:t>se</w:t>
      </w:r>
      <w:r w:rsidR="00F373A3" w:rsidRPr="00181FCD">
        <w:t xml:space="preserve"> </w:t>
      </w:r>
      <w:r w:rsidRPr="00181FCD">
        <w:t>ha</w:t>
      </w:r>
      <w:r w:rsidR="00F373A3" w:rsidRPr="00181FCD">
        <w:t xml:space="preserve"> </w:t>
      </w:r>
      <w:r w:rsidRPr="00181FCD">
        <w:t>desarrollado</w:t>
      </w:r>
      <w:r w:rsidR="00F373A3" w:rsidRPr="00181FCD">
        <w:t xml:space="preserve"> </w:t>
      </w:r>
      <w:r w:rsidRPr="00181FCD">
        <w:t>la</w:t>
      </w:r>
      <w:r w:rsidR="00F373A3" w:rsidRPr="00181FCD">
        <w:t xml:space="preserve"> </w:t>
      </w:r>
      <w:r w:rsidRPr="00181FCD">
        <w:t>idea</w:t>
      </w:r>
      <w:r w:rsidR="00F373A3" w:rsidRPr="00181FCD">
        <w:t xml:space="preserve"> </w:t>
      </w:r>
      <w:r w:rsidRPr="00181FCD">
        <w:t>de</w:t>
      </w:r>
      <w:r w:rsidR="00F373A3" w:rsidRPr="00181FCD">
        <w:t xml:space="preserve"> </w:t>
      </w:r>
      <w:r w:rsidRPr="00181FCD">
        <w:t>recopilar</w:t>
      </w:r>
      <w:r w:rsidR="00F373A3" w:rsidRPr="00181FCD">
        <w:t xml:space="preserve"> </w:t>
      </w:r>
      <w:r w:rsidRPr="00181FCD">
        <w:t>periódicamente</w:t>
      </w:r>
      <w:r w:rsidR="00F373A3" w:rsidRPr="00181FCD">
        <w:t xml:space="preserve"> </w:t>
      </w:r>
      <w:r w:rsidRPr="00181FCD">
        <w:t>la</w:t>
      </w:r>
      <w:r w:rsidR="00F373A3" w:rsidRPr="00181FCD">
        <w:t xml:space="preserve"> </w:t>
      </w:r>
      <w:r w:rsidRPr="00181FCD">
        <w:t>opinión</w:t>
      </w:r>
      <w:r w:rsidR="00F373A3" w:rsidRPr="00181FCD">
        <w:t xml:space="preserve"> </w:t>
      </w:r>
      <w:r w:rsidRPr="00181FCD">
        <w:t>de</w:t>
      </w:r>
      <w:r w:rsidR="00F373A3" w:rsidRPr="00181FCD">
        <w:t xml:space="preserve"> </w:t>
      </w:r>
      <w:r w:rsidRPr="00181FCD">
        <w:t>los</w:t>
      </w:r>
      <w:r w:rsidR="00F373A3" w:rsidRPr="00181FCD">
        <w:t xml:space="preserve"> </w:t>
      </w:r>
      <w:r w:rsidRPr="00181FCD">
        <w:t>jueces,</w:t>
      </w:r>
      <w:r w:rsidR="00F373A3" w:rsidRPr="00181FCD">
        <w:t xml:space="preserve"> </w:t>
      </w:r>
      <w:r w:rsidRPr="00181FCD">
        <w:t>fiscales</w:t>
      </w:r>
      <w:r w:rsidR="00F373A3" w:rsidRPr="00181FCD">
        <w:t xml:space="preserve"> </w:t>
      </w:r>
      <w:r w:rsidRPr="00181FCD">
        <w:t>y</w:t>
      </w:r>
      <w:r w:rsidR="00F373A3" w:rsidRPr="00181FCD">
        <w:t xml:space="preserve"> </w:t>
      </w:r>
      <w:r w:rsidRPr="00181FCD">
        <w:t>magistrados</w:t>
      </w:r>
      <w:r w:rsidR="00F373A3" w:rsidRPr="00181FCD">
        <w:t xml:space="preserve"> </w:t>
      </w:r>
      <w:r w:rsidRPr="00181FCD">
        <w:t>de</w:t>
      </w:r>
      <w:r w:rsidR="00F373A3" w:rsidRPr="00181FCD">
        <w:t xml:space="preserve"> </w:t>
      </w:r>
      <w:r w:rsidRPr="00181FCD">
        <w:t>instrucción</w:t>
      </w:r>
      <w:r w:rsidR="00F373A3" w:rsidRPr="00181FCD">
        <w:t xml:space="preserve"> </w:t>
      </w:r>
      <w:r w:rsidRPr="00181FCD">
        <w:t>sobre</w:t>
      </w:r>
      <w:r w:rsidR="00F373A3" w:rsidRPr="00181FCD">
        <w:t xml:space="preserve"> </w:t>
      </w:r>
      <w:r w:rsidRPr="00181FCD">
        <w:t>la</w:t>
      </w:r>
      <w:r w:rsidR="00F373A3" w:rsidRPr="00181FCD">
        <w:t xml:space="preserve"> </w:t>
      </w:r>
      <w:r w:rsidRPr="00181FCD">
        <w:t>administración</w:t>
      </w:r>
      <w:r w:rsidR="00F373A3" w:rsidRPr="00181FCD">
        <w:t xml:space="preserve"> </w:t>
      </w:r>
      <w:r w:rsidRPr="00181FCD">
        <w:t>del</w:t>
      </w:r>
      <w:r w:rsidR="00F373A3" w:rsidRPr="00181FCD">
        <w:t xml:space="preserve"> </w:t>
      </w:r>
      <w:r w:rsidRPr="00181FCD">
        <w:t>poder</w:t>
      </w:r>
      <w:r w:rsidR="00F373A3" w:rsidRPr="00181FCD">
        <w:t xml:space="preserve"> </w:t>
      </w:r>
      <w:r w:rsidRPr="00181FCD">
        <w:t>judicial,</w:t>
      </w:r>
      <w:r w:rsidR="00F373A3" w:rsidRPr="00181FCD">
        <w:t xml:space="preserve"> </w:t>
      </w:r>
      <w:r w:rsidRPr="00181FCD">
        <w:t>y</w:t>
      </w:r>
      <w:r w:rsidR="00F373A3" w:rsidRPr="00181FCD">
        <w:t xml:space="preserve"> </w:t>
      </w:r>
      <w:r w:rsidRPr="00181FCD">
        <w:t>de</w:t>
      </w:r>
      <w:r w:rsidR="00F373A3" w:rsidRPr="00181FCD">
        <w:t xml:space="preserve"> </w:t>
      </w:r>
      <w:r w:rsidRPr="00181FCD">
        <w:t>presentar</w:t>
      </w:r>
      <w:r w:rsidR="00F373A3" w:rsidRPr="00181FCD">
        <w:t xml:space="preserve"> </w:t>
      </w:r>
      <w:r w:rsidRPr="00181FCD">
        <w:t>públicamente</w:t>
      </w:r>
      <w:r w:rsidR="00F373A3" w:rsidRPr="00181FCD">
        <w:t xml:space="preserve"> </w:t>
      </w:r>
      <w:r w:rsidRPr="00181FCD">
        <w:t>los</w:t>
      </w:r>
      <w:r w:rsidR="00F373A3" w:rsidRPr="00181FCD">
        <w:t xml:space="preserve"> </w:t>
      </w:r>
      <w:r w:rsidRPr="00181FCD">
        <w:t>resultados.</w:t>
      </w:r>
    </w:p>
    <w:p w:rsidR="001937F4" w:rsidRPr="00181FCD" w:rsidRDefault="001937F4" w:rsidP="00347B20">
      <w:pPr>
        <w:pStyle w:val="SingleTxtG"/>
        <w:suppressAutoHyphens/>
      </w:pPr>
      <w:r w:rsidRPr="00181FCD">
        <w:t>23.</w:t>
      </w:r>
      <w:r w:rsidRPr="00181FCD">
        <w:tab/>
        <w:t>El</w:t>
      </w:r>
      <w:r w:rsidR="00F373A3" w:rsidRPr="00181FCD">
        <w:t xml:space="preserve"> </w:t>
      </w:r>
      <w:r w:rsidRPr="00181FCD">
        <w:rPr>
          <w:i/>
        </w:rPr>
        <w:t>tercer</w:t>
      </w:r>
      <w:r w:rsidR="00F373A3" w:rsidRPr="00181FCD">
        <w:rPr>
          <w:i/>
        </w:rPr>
        <w:t xml:space="preserve"> </w:t>
      </w:r>
      <w:r w:rsidRPr="00181FCD">
        <w:rPr>
          <w:i/>
        </w:rPr>
        <w:t>objetivo</w:t>
      </w:r>
      <w:r w:rsidR="00F373A3" w:rsidRPr="00181FCD">
        <w:rPr>
          <w:i/>
        </w:rPr>
        <w:t xml:space="preserve"> </w:t>
      </w:r>
      <w:r w:rsidRPr="00181FCD">
        <w:rPr>
          <w:i/>
        </w:rPr>
        <w:t>estratégico</w:t>
      </w:r>
      <w:r w:rsidR="00F373A3" w:rsidRPr="00181FCD">
        <w:t xml:space="preserve"> </w:t>
      </w:r>
      <w:r w:rsidRPr="00181FCD">
        <w:t>está</w:t>
      </w:r>
      <w:r w:rsidR="00F373A3" w:rsidRPr="00181FCD">
        <w:t xml:space="preserve"> </w:t>
      </w:r>
      <w:r w:rsidRPr="00181FCD">
        <w:t>relacionado</w:t>
      </w:r>
      <w:r w:rsidR="00F373A3" w:rsidRPr="00181FCD">
        <w:t xml:space="preserve"> </w:t>
      </w:r>
      <w:r w:rsidRPr="00181FCD">
        <w:t>con</w:t>
      </w:r>
      <w:r w:rsidR="00F373A3" w:rsidRPr="00181FCD">
        <w:t xml:space="preserve"> </w:t>
      </w:r>
      <w:r w:rsidRPr="00181FCD">
        <w:t>la</w:t>
      </w:r>
      <w:r w:rsidR="00F373A3" w:rsidRPr="00181FCD">
        <w:t xml:space="preserve"> </w:t>
      </w:r>
      <w:r w:rsidRPr="00181FCD">
        <w:t>administración</w:t>
      </w:r>
      <w:r w:rsidR="00F373A3" w:rsidRPr="00181FCD">
        <w:t xml:space="preserve"> </w:t>
      </w:r>
      <w:r w:rsidRPr="00181FCD">
        <w:t>eficaz</w:t>
      </w:r>
      <w:r w:rsidR="00F373A3" w:rsidRPr="00181FCD">
        <w:t xml:space="preserve"> </w:t>
      </w:r>
      <w:r w:rsidRPr="00181FCD">
        <w:t>de</w:t>
      </w:r>
      <w:r w:rsidR="00F373A3" w:rsidRPr="00181FCD">
        <w:t xml:space="preserve"> </w:t>
      </w:r>
      <w:r w:rsidRPr="00181FCD">
        <w:t>la</w:t>
      </w:r>
      <w:r w:rsidR="00F373A3" w:rsidRPr="00181FCD">
        <w:t xml:space="preserve"> </w:t>
      </w:r>
      <w:r w:rsidRPr="00181FCD">
        <w:t>judicatura.</w:t>
      </w:r>
      <w:r w:rsidR="00F373A3" w:rsidRPr="00181FCD">
        <w:t xml:space="preserve"> </w:t>
      </w:r>
      <w:r w:rsidRPr="00181FCD">
        <w:t>Se</w:t>
      </w:r>
      <w:r w:rsidR="00F373A3" w:rsidRPr="00181FCD">
        <w:t xml:space="preserve"> </w:t>
      </w:r>
      <w:r w:rsidRPr="00181FCD">
        <w:t>presta</w:t>
      </w:r>
      <w:r w:rsidR="00F373A3" w:rsidRPr="00181FCD">
        <w:t xml:space="preserve"> </w:t>
      </w:r>
      <w:r w:rsidRPr="00181FCD">
        <w:t>especial</w:t>
      </w:r>
      <w:r w:rsidR="00F373A3" w:rsidRPr="00181FCD">
        <w:t xml:space="preserve"> </w:t>
      </w:r>
      <w:r w:rsidRPr="00181FCD">
        <w:t>atención</w:t>
      </w:r>
      <w:r w:rsidR="00F373A3" w:rsidRPr="00181FCD">
        <w:t xml:space="preserve"> </w:t>
      </w:r>
      <w:r w:rsidRPr="00181FCD">
        <w:t>a</w:t>
      </w:r>
      <w:r w:rsidR="00F373A3" w:rsidRPr="00181FCD">
        <w:t xml:space="preserve"> </w:t>
      </w:r>
      <w:r w:rsidRPr="00181FCD">
        <w:t>fomentar</w:t>
      </w:r>
      <w:r w:rsidR="00F373A3" w:rsidRPr="00181FCD">
        <w:t xml:space="preserve"> </w:t>
      </w:r>
      <w:r w:rsidRPr="00181FCD">
        <w:t>la</w:t>
      </w:r>
      <w:r w:rsidR="00F373A3" w:rsidRPr="00181FCD">
        <w:t xml:space="preserve"> </w:t>
      </w:r>
      <w:r w:rsidRPr="00181FCD">
        <w:t>capacidad</w:t>
      </w:r>
      <w:r w:rsidR="00F373A3" w:rsidRPr="00181FCD">
        <w:t xml:space="preserve"> </w:t>
      </w:r>
      <w:r w:rsidRPr="00181FCD">
        <w:t>para</w:t>
      </w:r>
      <w:r w:rsidR="00F373A3" w:rsidRPr="00181FCD">
        <w:t xml:space="preserve"> </w:t>
      </w:r>
      <w:r w:rsidRPr="00181FCD">
        <w:t>emprender</w:t>
      </w:r>
      <w:r w:rsidR="00F373A3" w:rsidRPr="00181FCD">
        <w:t xml:space="preserve"> </w:t>
      </w:r>
      <w:r w:rsidRPr="00181FCD">
        <w:t>investigaciones</w:t>
      </w:r>
      <w:r w:rsidR="00F373A3" w:rsidRPr="00181FCD">
        <w:t xml:space="preserve"> </w:t>
      </w:r>
      <w:r w:rsidRPr="00181FCD">
        <w:t>teóricas</w:t>
      </w:r>
      <w:r w:rsidR="00F373A3" w:rsidRPr="00181FCD">
        <w:t xml:space="preserve"> </w:t>
      </w:r>
      <w:r w:rsidRPr="00181FCD">
        <w:t>y</w:t>
      </w:r>
      <w:r w:rsidR="00F373A3" w:rsidRPr="00181FCD">
        <w:t xml:space="preserve"> </w:t>
      </w:r>
      <w:r w:rsidRPr="00181FCD">
        <w:t>empíricas</w:t>
      </w:r>
      <w:r w:rsidR="00F373A3" w:rsidRPr="00181FCD">
        <w:t xml:space="preserve"> </w:t>
      </w:r>
      <w:r w:rsidRPr="00181FCD">
        <w:t>que</w:t>
      </w:r>
      <w:r w:rsidR="00F373A3" w:rsidRPr="00181FCD">
        <w:t xml:space="preserve"> </w:t>
      </w:r>
      <w:r w:rsidRPr="00181FCD">
        <w:t>permitan</w:t>
      </w:r>
      <w:r w:rsidR="00F373A3" w:rsidRPr="00181FCD">
        <w:t xml:space="preserve"> </w:t>
      </w:r>
      <w:r w:rsidRPr="00181FCD">
        <w:t>determinar</w:t>
      </w:r>
      <w:r w:rsidR="00F373A3" w:rsidRPr="00181FCD">
        <w:t xml:space="preserve"> </w:t>
      </w:r>
      <w:r w:rsidRPr="00181FCD">
        <w:t>las</w:t>
      </w:r>
      <w:r w:rsidR="00F373A3" w:rsidRPr="00181FCD">
        <w:t xml:space="preserve"> </w:t>
      </w:r>
      <w:r w:rsidRPr="00181FCD">
        <w:t>necesidades</w:t>
      </w:r>
      <w:r w:rsidR="00F373A3" w:rsidRPr="00181FCD">
        <w:t xml:space="preserve"> </w:t>
      </w:r>
      <w:r w:rsidRPr="00181FCD">
        <w:t>de</w:t>
      </w:r>
      <w:r w:rsidR="00F373A3" w:rsidRPr="00181FCD">
        <w:t xml:space="preserve"> </w:t>
      </w:r>
      <w:r w:rsidRPr="00181FCD">
        <w:t>la</w:t>
      </w:r>
      <w:r w:rsidR="00F373A3" w:rsidRPr="00181FCD">
        <w:t xml:space="preserve"> </w:t>
      </w:r>
      <w:r w:rsidRPr="00181FCD">
        <w:t>administración</w:t>
      </w:r>
      <w:r w:rsidR="00F373A3" w:rsidRPr="00181FCD">
        <w:t xml:space="preserve"> </w:t>
      </w:r>
      <w:r w:rsidRPr="00181FCD">
        <w:t>y</w:t>
      </w:r>
      <w:r w:rsidR="00F373A3" w:rsidRPr="00181FCD">
        <w:t xml:space="preserve"> </w:t>
      </w:r>
      <w:r w:rsidRPr="00181FCD">
        <w:t>el</w:t>
      </w:r>
      <w:r w:rsidR="00F373A3" w:rsidRPr="00181FCD">
        <w:t xml:space="preserve"> </w:t>
      </w:r>
      <w:r w:rsidRPr="00181FCD">
        <w:t>desarrollo</w:t>
      </w:r>
      <w:r w:rsidR="00F373A3" w:rsidRPr="00181FCD">
        <w:t xml:space="preserve"> </w:t>
      </w:r>
      <w:r w:rsidRPr="00181FCD">
        <w:t>de</w:t>
      </w:r>
      <w:r w:rsidR="00F373A3" w:rsidRPr="00181FCD">
        <w:t xml:space="preserve"> </w:t>
      </w:r>
      <w:r w:rsidRPr="00181FCD">
        <w:t>las</w:t>
      </w:r>
      <w:r w:rsidR="00F373A3" w:rsidRPr="00181FCD">
        <w:t xml:space="preserve"> </w:t>
      </w:r>
      <w:r w:rsidRPr="00181FCD">
        <w:t>autoridades</w:t>
      </w:r>
      <w:r w:rsidR="00F373A3" w:rsidRPr="00181FCD">
        <w:t xml:space="preserve"> </w:t>
      </w:r>
      <w:r w:rsidRPr="00181FCD">
        <w:t>judiciales.</w:t>
      </w:r>
      <w:r w:rsidR="00F373A3" w:rsidRPr="00181FCD">
        <w:t xml:space="preserve"> </w:t>
      </w:r>
      <w:r w:rsidRPr="00181FCD">
        <w:t>Otro</w:t>
      </w:r>
      <w:r w:rsidR="00F373A3" w:rsidRPr="00181FCD">
        <w:t xml:space="preserve"> </w:t>
      </w:r>
      <w:r w:rsidRPr="00181FCD">
        <w:t>aspecto</w:t>
      </w:r>
      <w:r w:rsidR="00F373A3" w:rsidRPr="00181FCD">
        <w:t xml:space="preserve"> </w:t>
      </w:r>
      <w:r w:rsidRPr="00181FCD">
        <w:t>importante</w:t>
      </w:r>
      <w:r w:rsidR="00F373A3" w:rsidRPr="00181FCD">
        <w:t xml:space="preserve"> </w:t>
      </w:r>
      <w:r w:rsidRPr="00181FCD">
        <w:t>es</w:t>
      </w:r>
      <w:r w:rsidR="00F373A3" w:rsidRPr="00181FCD">
        <w:t xml:space="preserve"> </w:t>
      </w:r>
      <w:r w:rsidRPr="00181FCD">
        <w:t>mejorar</w:t>
      </w:r>
      <w:r w:rsidR="00F373A3" w:rsidRPr="00181FCD">
        <w:t xml:space="preserve"> </w:t>
      </w:r>
      <w:r w:rsidRPr="00181FCD">
        <w:t>la</w:t>
      </w:r>
      <w:r w:rsidR="00F373A3" w:rsidRPr="00181FCD">
        <w:t xml:space="preserve"> </w:t>
      </w:r>
      <w:r w:rsidRPr="00181FCD">
        <w:t>capacidad</w:t>
      </w:r>
      <w:r w:rsidR="00F373A3" w:rsidRPr="00181FCD">
        <w:t xml:space="preserve"> </w:t>
      </w:r>
      <w:r w:rsidRPr="00181FCD">
        <w:t>de</w:t>
      </w:r>
      <w:r w:rsidR="00F373A3" w:rsidRPr="00181FCD">
        <w:t xml:space="preserve"> </w:t>
      </w:r>
      <w:r w:rsidRPr="00181FCD">
        <w:t>análisis</w:t>
      </w:r>
      <w:r w:rsidR="00F373A3" w:rsidRPr="00181FCD">
        <w:t xml:space="preserve"> </w:t>
      </w:r>
      <w:r w:rsidRPr="00181FCD">
        <w:t>y</w:t>
      </w:r>
      <w:r w:rsidR="00F373A3" w:rsidRPr="00181FCD">
        <w:t xml:space="preserve"> </w:t>
      </w:r>
      <w:r w:rsidRPr="00181FCD">
        <w:t>asegurar</w:t>
      </w:r>
      <w:r w:rsidR="00F373A3" w:rsidRPr="00181FCD">
        <w:t xml:space="preserve"> </w:t>
      </w:r>
      <w:r w:rsidRPr="00181FCD">
        <w:t>la</w:t>
      </w:r>
      <w:r w:rsidR="00F373A3" w:rsidRPr="00181FCD">
        <w:t xml:space="preserve"> </w:t>
      </w:r>
      <w:r w:rsidRPr="00181FCD">
        <w:t>uniformidad</w:t>
      </w:r>
      <w:r w:rsidR="00F373A3" w:rsidRPr="00181FCD">
        <w:t xml:space="preserve"> </w:t>
      </w:r>
      <w:r w:rsidRPr="00181FCD">
        <w:t>y</w:t>
      </w:r>
      <w:r w:rsidR="00F373A3" w:rsidRPr="00181FCD">
        <w:t xml:space="preserve"> </w:t>
      </w:r>
      <w:r w:rsidRPr="00181FCD">
        <w:t>fiabilidad</w:t>
      </w:r>
      <w:r w:rsidR="00F373A3" w:rsidRPr="00181FCD">
        <w:t xml:space="preserve"> </w:t>
      </w:r>
      <w:r w:rsidRPr="00181FCD">
        <w:t>de</w:t>
      </w:r>
      <w:r w:rsidR="00F373A3" w:rsidRPr="00181FCD">
        <w:t xml:space="preserve"> </w:t>
      </w:r>
      <w:r w:rsidRPr="00181FCD">
        <w:t>las</w:t>
      </w:r>
      <w:r w:rsidR="00F373A3" w:rsidRPr="00181FCD">
        <w:t xml:space="preserve"> </w:t>
      </w:r>
      <w:r w:rsidRPr="00181FCD">
        <w:t>estadísticas</w:t>
      </w:r>
      <w:r w:rsidR="00F373A3" w:rsidRPr="00181FCD">
        <w:t xml:space="preserve"> </w:t>
      </w:r>
      <w:r w:rsidRPr="00181FCD">
        <w:t>sobre</w:t>
      </w:r>
      <w:r w:rsidR="00F373A3" w:rsidRPr="00181FCD">
        <w:t xml:space="preserve"> </w:t>
      </w:r>
      <w:r w:rsidRPr="00181FCD">
        <w:t>el</w:t>
      </w:r>
      <w:r w:rsidR="00F373A3" w:rsidRPr="00181FCD">
        <w:t xml:space="preserve"> </w:t>
      </w:r>
      <w:r w:rsidRPr="00181FCD">
        <w:t>trabajo</w:t>
      </w:r>
      <w:r w:rsidR="00F373A3" w:rsidRPr="00181FCD">
        <w:t xml:space="preserve"> </w:t>
      </w:r>
      <w:r w:rsidRPr="00181FCD">
        <w:t>del</w:t>
      </w:r>
      <w:r w:rsidR="00F373A3" w:rsidRPr="00181FCD">
        <w:t xml:space="preserve"> </w:t>
      </w:r>
      <w:r w:rsidRPr="00181FCD">
        <w:t>poder</w:t>
      </w:r>
      <w:r w:rsidR="00F373A3" w:rsidRPr="00181FCD">
        <w:t xml:space="preserve"> </w:t>
      </w:r>
      <w:r w:rsidRPr="00181FCD">
        <w:t>judicial</w:t>
      </w:r>
      <w:r w:rsidR="00F373A3" w:rsidRPr="00181FCD">
        <w:t xml:space="preserve"> </w:t>
      </w:r>
      <w:r w:rsidRPr="00181FCD">
        <w:t>y</w:t>
      </w:r>
      <w:r w:rsidR="00F373A3" w:rsidRPr="00181FCD">
        <w:t xml:space="preserve"> </w:t>
      </w:r>
      <w:r w:rsidRPr="00181FCD">
        <w:t>las</w:t>
      </w:r>
      <w:r w:rsidR="00F373A3" w:rsidRPr="00181FCD">
        <w:t xml:space="preserve"> </w:t>
      </w:r>
      <w:r w:rsidRPr="00181FCD">
        <w:t>diligencias</w:t>
      </w:r>
      <w:r w:rsidR="00F373A3" w:rsidRPr="00181FCD">
        <w:t xml:space="preserve"> </w:t>
      </w:r>
      <w:r w:rsidRPr="00181FCD">
        <w:t>preparatorias</w:t>
      </w:r>
      <w:r w:rsidR="00F373A3" w:rsidRPr="00181FCD">
        <w:t xml:space="preserve"> </w:t>
      </w:r>
      <w:r w:rsidRPr="00181FCD">
        <w:t>del</w:t>
      </w:r>
      <w:r w:rsidR="00F373A3" w:rsidRPr="00181FCD">
        <w:t xml:space="preserve"> </w:t>
      </w:r>
      <w:r w:rsidRPr="00181FCD">
        <w:t>juicio</w:t>
      </w:r>
      <w:r w:rsidR="00F373A3" w:rsidRPr="00181FCD">
        <w:t xml:space="preserve"> </w:t>
      </w:r>
      <w:r w:rsidRPr="00181FCD">
        <w:t>oral.</w:t>
      </w:r>
      <w:r w:rsidR="00F373A3" w:rsidRPr="00181FCD">
        <w:t xml:space="preserve"> </w:t>
      </w:r>
      <w:r w:rsidRPr="00181FCD">
        <w:t>En</w:t>
      </w:r>
      <w:r w:rsidR="00F373A3" w:rsidRPr="00181FCD">
        <w:t xml:space="preserve"> </w:t>
      </w:r>
      <w:r w:rsidRPr="00181FCD">
        <w:t>relación</w:t>
      </w:r>
      <w:r w:rsidR="00F373A3" w:rsidRPr="00181FCD">
        <w:t xml:space="preserve"> </w:t>
      </w:r>
      <w:r w:rsidRPr="00181FCD">
        <w:t>con</w:t>
      </w:r>
      <w:r w:rsidR="00F373A3" w:rsidRPr="00181FCD">
        <w:t xml:space="preserve"> </w:t>
      </w:r>
      <w:r w:rsidRPr="00181FCD">
        <w:t>la</w:t>
      </w:r>
      <w:r w:rsidR="00F373A3" w:rsidRPr="00181FCD">
        <w:t xml:space="preserve"> </w:t>
      </w:r>
      <w:r w:rsidRPr="00181FCD">
        <w:t>gestión</w:t>
      </w:r>
      <w:r w:rsidR="00F373A3" w:rsidRPr="00181FCD">
        <w:t xml:space="preserve"> </w:t>
      </w:r>
      <w:r w:rsidRPr="00181FCD">
        <w:t>del</w:t>
      </w:r>
      <w:r w:rsidR="00F373A3" w:rsidRPr="00181FCD">
        <w:t xml:space="preserve"> </w:t>
      </w:r>
      <w:r w:rsidRPr="00181FCD">
        <w:t>volumen</w:t>
      </w:r>
      <w:r w:rsidR="00F373A3" w:rsidRPr="00181FCD">
        <w:t xml:space="preserve"> </w:t>
      </w:r>
      <w:r w:rsidRPr="00181FCD">
        <w:t>de</w:t>
      </w:r>
      <w:r w:rsidR="00672EC2" w:rsidRPr="00181FCD">
        <w:t xml:space="preserve"> </w:t>
      </w:r>
      <w:r w:rsidRPr="00181FCD">
        <w:t>trabajo</w:t>
      </w:r>
      <w:r w:rsidR="00F373A3" w:rsidRPr="00181FCD">
        <w:t xml:space="preserve"> </w:t>
      </w:r>
      <w:r w:rsidRPr="00181FCD">
        <w:t>de</w:t>
      </w:r>
      <w:r w:rsidR="00F373A3" w:rsidRPr="00181FCD">
        <w:t xml:space="preserve"> </w:t>
      </w:r>
      <w:r w:rsidRPr="00181FCD">
        <w:t>los</w:t>
      </w:r>
      <w:r w:rsidR="00F373A3" w:rsidRPr="00181FCD">
        <w:t xml:space="preserve"> </w:t>
      </w:r>
      <w:r w:rsidRPr="00181FCD">
        <w:t>jueces</w:t>
      </w:r>
      <w:r w:rsidR="00F373A3" w:rsidRPr="00181FCD">
        <w:t xml:space="preserve"> </w:t>
      </w:r>
      <w:r w:rsidRPr="00181FCD">
        <w:t>y</w:t>
      </w:r>
      <w:r w:rsidR="00F373A3" w:rsidRPr="00181FCD">
        <w:t xml:space="preserve"> </w:t>
      </w:r>
      <w:r w:rsidRPr="00181FCD">
        <w:t>entidades</w:t>
      </w:r>
      <w:r w:rsidR="00F373A3" w:rsidRPr="00181FCD">
        <w:t xml:space="preserve"> </w:t>
      </w:r>
      <w:r w:rsidRPr="00181FCD">
        <w:t>judiciales,</w:t>
      </w:r>
      <w:r w:rsidR="00F373A3" w:rsidRPr="00181FCD">
        <w:t xml:space="preserve"> </w:t>
      </w:r>
      <w:r w:rsidRPr="00181FCD">
        <w:t>se</w:t>
      </w:r>
      <w:r w:rsidR="00F373A3" w:rsidRPr="00181FCD">
        <w:t xml:space="preserve"> </w:t>
      </w:r>
      <w:r w:rsidRPr="00181FCD">
        <w:t>introduce</w:t>
      </w:r>
      <w:r w:rsidR="00F373A3" w:rsidRPr="00181FCD">
        <w:t xml:space="preserve"> </w:t>
      </w:r>
      <w:r w:rsidRPr="00181FCD">
        <w:t>un</w:t>
      </w:r>
      <w:r w:rsidR="00F373A3" w:rsidRPr="00181FCD">
        <w:t xml:space="preserve"> </w:t>
      </w:r>
      <w:r w:rsidRPr="00181FCD">
        <w:t>mecanismo</w:t>
      </w:r>
      <w:r w:rsidR="00F373A3" w:rsidRPr="00181FCD">
        <w:t xml:space="preserve"> </w:t>
      </w:r>
      <w:r w:rsidRPr="00181FCD">
        <w:t>permanente</w:t>
      </w:r>
      <w:r w:rsidR="00F373A3" w:rsidRPr="00181FCD">
        <w:t xml:space="preserve"> </w:t>
      </w:r>
      <w:r w:rsidRPr="00181FCD">
        <w:t>para</w:t>
      </w:r>
      <w:r w:rsidR="00F373A3" w:rsidRPr="00181FCD">
        <w:t xml:space="preserve"> </w:t>
      </w:r>
      <w:r w:rsidRPr="00181FCD">
        <w:t>medir</w:t>
      </w:r>
      <w:r w:rsidR="00F373A3" w:rsidRPr="00181FCD">
        <w:t xml:space="preserve"> </w:t>
      </w:r>
      <w:r w:rsidRPr="00181FCD">
        <w:t>la</w:t>
      </w:r>
      <w:r w:rsidR="00F373A3" w:rsidRPr="00181FCD">
        <w:t xml:space="preserve"> </w:t>
      </w:r>
      <w:r w:rsidRPr="00181FCD">
        <w:t>cantidad</w:t>
      </w:r>
      <w:r w:rsidR="00F373A3" w:rsidRPr="00181FCD">
        <w:t xml:space="preserve"> </w:t>
      </w:r>
      <w:r w:rsidRPr="00181FCD">
        <w:t>de</w:t>
      </w:r>
      <w:r w:rsidR="00F373A3" w:rsidRPr="00181FCD">
        <w:t xml:space="preserve"> </w:t>
      </w:r>
      <w:r w:rsidRPr="00181FCD">
        <w:t>los</w:t>
      </w:r>
      <w:r w:rsidR="00F373A3" w:rsidRPr="00181FCD">
        <w:t xml:space="preserve"> </w:t>
      </w:r>
      <w:r w:rsidRPr="00181FCD">
        <w:t>diferentes</w:t>
      </w:r>
      <w:r w:rsidR="00F373A3" w:rsidRPr="00181FCD">
        <w:t xml:space="preserve"> </w:t>
      </w:r>
      <w:r w:rsidRPr="00181FCD">
        <w:t>tipos</w:t>
      </w:r>
      <w:r w:rsidR="00F373A3" w:rsidRPr="00181FCD">
        <w:t xml:space="preserve"> </w:t>
      </w:r>
      <w:r w:rsidRPr="00181FCD">
        <w:t>de</w:t>
      </w:r>
      <w:r w:rsidR="00F373A3" w:rsidRPr="00181FCD">
        <w:t xml:space="preserve"> </w:t>
      </w:r>
      <w:r w:rsidRPr="00181FCD">
        <w:t>causas</w:t>
      </w:r>
      <w:r w:rsidR="00F373A3" w:rsidRPr="00181FCD">
        <w:t xml:space="preserve"> </w:t>
      </w:r>
      <w:r w:rsidRPr="00181FCD">
        <w:t>y</w:t>
      </w:r>
      <w:r w:rsidR="00F373A3" w:rsidRPr="00181FCD">
        <w:t xml:space="preserve"> </w:t>
      </w:r>
      <w:r w:rsidRPr="00181FCD">
        <w:t>las</w:t>
      </w:r>
      <w:r w:rsidR="00F373A3" w:rsidRPr="00181FCD">
        <w:t xml:space="preserve"> </w:t>
      </w:r>
      <w:r w:rsidRPr="00181FCD">
        <w:t>funciones</w:t>
      </w:r>
      <w:r w:rsidR="00F373A3" w:rsidRPr="00181FCD">
        <w:t xml:space="preserve"> </w:t>
      </w:r>
      <w:r w:rsidRPr="00181FCD">
        <w:t>oficiales</w:t>
      </w:r>
      <w:r w:rsidR="00F373A3" w:rsidRPr="00181FCD">
        <w:t xml:space="preserve"> </w:t>
      </w:r>
      <w:r w:rsidRPr="00181FCD">
        <w:t>adicionales</w:t>
      </w:r>
      <w:r w:rsidR="00F373A3" w:rsidRPr="00181FCD">
        <w:t xml:space="preserve"> </w:t>
      </w:r>
      <w:r w:rsidRPr="00181FCD">
        <w:t>del</w:t>
      </w:r>
      <w:r w:rsidR="00F373A3" w:rsidRPr="00181FCD">
        <w:t xml:space="preserve"> </w:t>
      </w:r>
      <w:r w:rsidRPr="00181FCD">
        <w:t>poder</w:t>
      </w:r>
      <w:r w:rsidR="00F373A3" w:rsidRPr="00181FCD">
        <w:t xml:space="preserve"> </w:t>
      </w:r>
      <w:r w:rsidRPr="00181FCD">
        <w:t>judicial,</w:t>
      </w:r>
      <w:r w:rsidR="00F373A3" w:rsidRPr="00181FCD">
        <w:t xml:space="preserve"> </w:t>
      </w:r>
      <w:r w:rsidRPr="00181FCD">
        <w:t>así</w:t>
      </w:r>
      <w:r w:rsidR="00F373A3" w:rsidRPr="00181FCD">
        <w:t xml:space="preserve"> </w:t>
      </w:r>
      <w:r w:rsidRPr="00181FCD">
        <w:t>como</w:t>
      </w:r>
      <w:r w:rsidR="00F373A3" w:rsidRPr="00181FCD">
        <w:t xml:space="preserve"> </w:t>
      </w:r>
      <w:r w:rsidRPr="00181FCD">
        <w:t>un</w:t>
      </w:r>
      <w:r w:rsidR="00F373A3" w:rsidRPr="00181FCD">
        <w:t xml:space="preserve"> </w:t>
      </w:r>
      <w:r w:rsidRPr="00181FCD">
        <w:t>mecanismo</w:t>
      </w:r>
      <w:r w:rsidR="00F373A3" w:rsidRPr="00181FCD">
        <w:t xml:space="preserve"> </w:t>
      </w:r>
      <w:r w:rsidRPr="00181FCD">
        <w:t>para</w:t>
      </w:r>
      <w:r w:rsidR="00F373A3" w:rsidRPr="00181FCD">
        <w:t xml:space="preserve"> </w:t>
      </w:r>
      <w:r w:rsidRPr="00181FCD">
        <w:t>establecer</w:t>
      </w:r>
      <w:r w:rsidR="00F373A3" w:rsidRPr="00181FCD">
        <w:t xml:space="preserve"> </w:t>
      </w:r>
      <w:r w:rsidRPr="00181FCD">
        <w:t>un</w:t>
      </w:r>
      <w:r w:rsidR="00F373A3" w:rsidRPr="00181FCD">
        <w:t xml:space="preserve"> </w:t>
      </w:r>
      <w:r w:rsidRPr="00181FCD">
        <w:t>objetivo</w:t>
      </w:r>
      <w:r w:rsidR="00F373A3" w:rsidRPr="00181FCD">
        <w:t xml:space="preserve"> </w:t>
      </w:r>
      <w:r w:rsidRPr="00181FCD">
        <w:t>de</w:t>
      </w:r>
      <w:r w:rsidR="00F373A3" w:rsidRPr="00181FCD">
        <w:t xml:space="preserve"> </w:t>
      </w:r>
      <w:r w:rsidRPr="00181FCD">
        <w:t>volumen</w:t>
      </w:r>
      <w:r w:rsidR="00F373A3" w:rsidRPr="00181FCD">
        <w:t xml:space="preserve"> </w:t>
      </w:r>
      <w:r w:rsidRPr="00181FCD">
        <w:t>de</w:t>
      </w:r>
      <w:r w:rsidR="00F373A3" w:rsidRPr="00181FCD">
        <w:t xml:space="preserve"> </w:t>
      </w:r>
      <w:r w:rsidRPr="00181FCD">
        <w:t>trabajo</w:t>
      </w:r>
      <w:r w:rsidR="00F373A3" w:rsidRPr="00181FCD">
        <w:t xml:space="preserve"> </w:t>
      </w:r>
      <w:r w:rsidRPr="00181FCD">
        <w:t>y</w:t>
      </w:r>
      <w:r w:rsidR="00F373A3" w:rsidRPr="00181FCD">
        <w:t xml:space="preserve"> </w:t>
      </w:r>
      <w:r w:rsidRPr="00181FCD">
        <w:t>distribución</w:t>
      </w:r>
      <w:r w:rsidR="00F373A3" w:rsidRPr="00181FCD">
        <w:t xml:space="preserve"> </w:t>
      </w:r>
      <w:r w:rsidRPr="00181FCD">
        <w:t>equilibrada</w:t>
      </w:r>
      <w:r w:rsidR="00F373A3" w:rsidRPr="00181FCD">
        <w:t xml:space="preserve"> </w:t>
      </w:r>
      <w:r w:rsidRPr="00181FCD">
        <w:t>de</w:t>
      </w:r>
      <w:r w:rsidR="00F373A3" w:rsidRPr="00181FCD">
        <w:t xml:space="preserve"> </w:t>
      </w:r>
      <w:r w:rsidRPr="00181FCD">
        <w:t>los</w:t>
      </w:r>
      <w:r w:rsidR="00F373A3" w:rsidRPr="00181FCD">
        <w:t xml:space="preserve"> </w:t>
      </w:r>
      <w:r w:rsidRPr="00181FCD">
        <w:t>casos.</w:t>
      </w:r>
      <w:r w:rsidR="00F373A3" w:rsidRPr="00181FCD">
        <w:t xml:space="preserve"> </w:t>
      </w:r>
      <w:r w:rsidRPr="00181FCD">
        <w:t>Un</w:t>
      </w:r>
      <w:r w:rsidR="00F373A3" w:rsidRPr="00181FCD">
        <w:t xml:space="preserve"> </w:t>
      </w:r>
      <w:r w:rsidRPr="00181FCD">
        <w:t>elemento</w:t>
      </w:r>
      <w:r w:rsidR="00F373A3" w:rsidRPr="00181FCD">
        <w:t xml:space="preserve"> </w:t>
      </w:r>
      <w:r w:rsidRPr="00181FCD">
        <w:t>nuevo</w:t>
      </w:r>
      <w:r w:rsidR="00F373A3" w:rsidRPr="00181FCD">
        <w:t xml:space="preserve"> </w:t>
      </w:r>
      <w:r w:rsidRPr="00181FCD">
        <w:t>es</w:t>
      </w:r>
      <w:r w:rsidR="00F373A3" w:rsidRPr="00181FCD">
        <w:t xml:space="preserve"> </w:t>
      </w:r>
      <w:r w:rsidRPr="00181FCD">
        <w:t>la</w:t>
      </w:r>
      <w:r w:rsidR="00F373A3" w:rsidRPr="00181FCD">
        <w:t xml:space="preserve"> </w:t>
      </w:r>
      <w:r w:rsidRPr="00181FCD">
        <w:t>elaboración</w:t>
      </w:r>
      <w:r w:rsidR="00F373A3" w:rsidRPr="00181FCD">
        <w:t xml:space="preserve"> </w:t>
      </w:r>
      <w:r w:rsidRPr="00181FCD">
        <w:t>del</w:t>
      </w:r>
      <w:r w:rsidR="00F373A3" w:rsidRPr="00181FCD">
        <w:t xml:space="preserve"> </w:t>
      </w:r>
      <w:r w:rsidRPr="00181FCD">
        <w:t>presupuesto</w:t>
      </w:r>
      <w:r w:rsidR="00F373A3" w:rsidRPr="00181FCD">
        <w:t xml:space="preserve"> </w:t>
      </w:r>
      <w:r w:rsidRPr="00181FCD">
        <w:t>por</w:t>
      </w:r>
      <w:r w:rsidR="00F373A3" w:rsidRPr="00181FCD">
        <w:t xml:space="preserve"> </w:t>
      </w:r>
      <w:r w:rsidRPr="00181FCD">
        <w:t>programas</w:t>
      </w:r>
      <w:r w:rsidR="00F373A3" w:rsidRPr="00181FCD">
        <w:t xml:space="preserve"> </w:t>
      </w:r>
      <w:r w:rsidRPr="00181FCD">
        <w:t>para</w:t>
      </w:r>
      <w:r w:rsidR="00F373A3" w:rsidRPr="00181FCD">
        <w:t xml:space="preserve"> </w:t>
      </w:r>
      <w:r w:rsidRPr="00181FCD">
        <w:t>cada</w:t>
      </w:r>
      <w:r w:rsidR="00F373A3" w:rsidRPr="00181FCD">
        <w:t xml:space="preserve"> </w:t>
      </w:r>
      <w:r w:rsidRPr="00181FCD">
        <w:t>entidad</w:t>
      </w:r>
      <w:r w:rsidR="00F373A3" w:rsidRPr="00181FCD">
        <w:t xml:space="preserve"> </w:t>
      </w:r>
      <w:r w:rsidRPr="00181FCD">
        <w:t>judicial.</w:t>
      </w:r>
      <w:r w:rsidR="00F373A3" w:rsidRPr="00181FCD">
        <w:t xml:space="preserve"> </w:t>
      </w:r>
      <w:r w:rsidRPr="00181FCD">
        <w:t>La</w:t>
      </w:r>
      <w:r w:rsidR="00F373A3" w:rsidRPr="00181FCD">
        <w:t xml:space="preserve"> </w:t>
      </w:r>
      <w:r w:rsidRPr="00181FCD">
        <w:t>idea</w:t>
      </w:r>
      <w:r w:rsidR="00F373A3" w:rsidRPr="00181FCD">
        <w:t xml:space="preserve"> </w:t>
      </w:r>
      <w:r w:rsidRPr="00181FCD">
        <w:t>es</w:t>
      </w:r>
      <w:r w:rsidR="00F373A3" w:rsidRPr="00181FCD">
        <w:t xml:space="preserve"> </w:t>
      </w:r>
      <w:r w:rsidRPr="00181FCD">
        <w:t>ajustar</w:t>
      </w:r>
      <w:r w:rsidR="00F373A3" w:rsidRPr="00181FCD">
        <w:t xml:space="preserve"> </w:t>
      </w:r>
      <w:r w:rsidRPr="00181FCD">
        <w:t>el</w:t>
      </w:r>
      <w:r w:rsidR="00F373A3" w:rsidRPr="00181FCD">
        <w:t xml:space="preserve"> </w:t>
      </w:r>
      <w:r w:rsidRPr="00181FCD">
        <w:t>presupuesto</w:t>
      </w:r>
      <w:r w:rsidR="00F373A3" w:rsidRPr="00181FCD">
        <w:t xml:space="preserve"> </w:t>
      </w:r>
      <w:r w:rsidRPr="00181FCD">
        <w:t>a</w:t>
      </w:r>
      <w:r w:rsidR="00F373A3" w:rsidRPr="00181FCD">
        <w:t xml:space="preserve"> </w:t>
      </w:r>
      <w:r w:rsidRPr="00181FCD">
        <w:t>los</w:t>
      </w:r>
      <w:r w:rsidR="00F373A3" w:rsidRPr="00181FCD">
        <w:t xml:space="preserve"> </w:t>
      </w:r>
      <w:r w:rsidRPr="00181FCD">
        <w:t>resultados</w:t>
      </w:r>
      <w:r w:rsidR="00F373A3" w:rsidRPr="00181FCD">
        <w:t xml:space="preserve"> </w:t>
      </w:r>
      <w:r w:rsidRPr="00181FCD">
        <w:t>obtenidos</w:t>
      </w:r>
      <w:r w:rsidR="00F373A3" w:rsidRPr="00181FCD">
        <w:t xml:space="preserve"> </w:t>
      </w:r>
      <w:r w:rsidRPr="00181FCD">
        <w:t>y</w:t>
      </w:r>
      <w:r w:rsidR="00F373A3" w:rsidRPr="00181FCD">
        <w:t xml:space="preserve"> </w:t>
      </w:r>
      <w:r w:rsidRPr="00181FCD">
        <w:t>vincular</w:t>
      </w:r>
      <w:r w:rsidR="00F373A3" w:rsidRPr="00181FCD">
        <w:t xml:space="preserve"> </w:t>
      </w:r>
      <w:r w:rsidRPr="00181FCD">
        <w:t>la</w:t>
      </w:r>
      <w:r w:rsidR="00F373A3" w:rsidRPr="00181FCD">
        <w:t xml:space="preserve"> </w:t>
      </w:r>
      <w:r w:rsidRPr="00181FCD">
        <w:t>financiación</w:t>
      </w:r>
      <w:r w:rsidR="00F373A3" w:rsidRPr="00181FCD">
        <w:t xml:space="preserve"> </w:t>
      </w:r>
      <w:r w:rsidRPr="00181FCD">
        <w:t>a</w:t>
      </w:r>
      <w:r w:rsidR="00F373A3" w:rsidRPr="00181FCD">
        <w:t xml:space="preserve"> </w:t>
      </w:r>
      <w:r w:rsidRPr="00181FCD">
        <w:t>los</w:t>
      </w:r>
      <w:r w:rsidR="00F373A3" w:rsidRPr="00181FCD">
        <w:t xml:space="preserve"> </w:t>
      </w:r>
      <w:r w:rsidRPr="00181FCD">
        <w:t>objetivos,</w:t>
      </w:r>
      <w:r w:rsidR="00F373A3" w:rsidRPr="00181FCD">
        <w:t xml:space="preserve"> </w:t>
      </w:r>
      <w:r w:rsidRPr="00181FCD">
        <w:t>las</w:t>
      </w:r>
      <w:r w:rsidR="00F373A3" w:rsidRPr="00181FCD">
        <w:t xml:space="preserve"> </w:t>
      </w:r>
      <w:r w:rsidRPr="00181FCD">
        <w:t>actividades</w:t>
      </w:r>
      <w:r w:rsidR="00F373A3" w:rsidRPr="00181FCD">
        <w:t xml:space="preserve"> </w:t>
      </w:r>
      <w:r w:rsidRPr="00181FCD">
        <w:t>y</w:t>
      </w:r>
      <w:r w:rsidR="00F373A3" w:rsidRPr="00181FCD">
        <w:t xml:space="preserve"> </w:t>
      </w:r>
      <w:r w:rsidRPr="00181FCD">
        <w:t>el</w:t>
      </w:r>
      <w:r w:rsidR="00F373A3" w:rsidRPr="00181FCD">
        <w:t xml:space="preserve"> </w:t>
      </w:r>
      <w:r w:rsidRPr="00181FCD">
        <w:t>volumen</w:t>
      </w:r>
      <w:r w:rsidR="00F373A3" w:rsidRPr="00181FCD">
        <w:t xml:space="preserve"> </w:t>
      </w:r>
      <w:r w:rsidRPr="00181FCD">
        <w:t>de</w:t>
      </w:r>
      <w:r w:rsidR="00F373A3" w:rsidRPr="00181FCD">
        <w:t xml:space="preserve"> </w:t>
      </w:r>
      <w:r w:rsidRPr="00181FCD">
        <w:t>trabajo</w:t>
      </w:r>
      <w:r w:rsidR="00F373A3" w:rsidRPr="00181FCD">
        <w:t xml:space="preserve"> </w:t>
      </w:r>
      <w:r w:rsidRPr="00181FCD">
        <w:t>establecidos.</w:t>
      </w:r>
      <w:r w:rsidR="00F373A3" w:rsidRPr="00181FCD">
        <w:t xml:space="preserve"> </w:t>
      </w:r>
      <w:r w:rsidRPr="00181FCD">
        <w:t>Todo</w:t>
      </w:r>
      <w:r w:rsidR="00F373A3" w:rsidRPr="00181FCD">
        <w:t xml:space="preserve"> </w:t>
      </w:r>
      <w:r w:rsidRPr="00181FCD">
        <w:t>ello</w:t>
      </w:r>
      <w:r w:rsidR="00F373A3" w:rsidRPr="00181FCD">
        <w:t xml:space="preserve"> </w:t>
      </w:r>
      <w:r w:rsidRPr="00181FCD">
        <w:t>se</w:t>
      </w:r>
      <w:r w:rsidR="00F373A3" w:rsidRPr="00181FCD">
        <w:t xml:space="preserve"> </w:t>
      </w:r>
      <w:r w:rsidRPr="00181FCD">
        <w:t>hará</w:t>
      </w:r>
      <w:r w:rsidR="00F373A3" w:rsidRPr="00181FCD">
        <w:t xml:space="preserve"> </w:t>
      </w:r>
      <w:r w:rsidRPr="00181FCD">
        <w:t>con</w:t>
      </w:r>
      <w:r w:rsidR="00F373A3" w:rsidRPr="00181FCD">
        <w:t xml:space="preserve"> </w:t>
      </w:r>
      <w:r w:rsidRPr="00181FCD">
        <w:t>una</w:t>
      </w:r>
      <w:r w:rsidR="00F373A3" w:rsidRPr="00181FCD">
        <w:t xml:space="preserve"> </w:t>
      </w:r>
      <w:r w:rsidRPr="00181FCD">
        <w:t>evaluación</w:t>
      </w:r>
      <w:r w:rsidR="00F373A3" w:rsidRPr="00181FCD">
        <w:t xml:space="preserve"> </w:t>
      </w:r>
      <w:r w:rsidRPr="00181FCD">
        <w:t>objetiva</w:t>
      </w:r>
      <w:r w:rsidR="00F373A3" w:rsidRPr="00181FCD">
        <w:t xml:space="preserve"> </w:t>
      </w:r>
      <w:r w:rsidRPr="00181FCD">
        <w:t>de</w:t>
      </w:r>
      <w:r w:rsidR="00F373A3" w:rsidRPr="00181FCD">
        <w:t xml:space="preserve"> </w:t>
      </w:r>
      <w:r w:rsidRPr="00181FCD">
        <w:t>los</w:t>
      </w:r>
      <w:r w:rsidR="00F373A3" w:rsidRPr="00181FCD">
        <w:t xml:space="preserve"> </w:t>
      </w:r>
      <w:r w:rsidRPr="00181FCD">
        <w:t>gastos</w:t>
      </w:r>
      <w:r w:rsidR="00F373A3" w:rsidRPr="00181FCD">
        <w:t xml:space="preserve"> </w:t>
      </w:r>
      <w:r w:rsidRPr="00181FCD">
        <w:t>por</w:t>
      </w:r>
      <w:r w:rsidR="00F373A3" w:rsidRPr="00181FCD">
        <w:t xml:space="preserve"> </w:t>
      </w:r>
      <w:r w:rsidRPr="00181FCD">
        <w:t>tipo</w:t>
      </w:r>
      <w:r w:rsidR="00F373A3" w:rsidRPr="00181FCD">
        <w:t xml:space="preserve"> </w:t>
      </w:r>
      <w:r w:rsidRPr="00181FCD">
        <w:t>de</w:t>
      </w:r>
      <w:r w:rsidR="00F373A3" w:rsidRPr="00181FCD">
        <w:t xml:space="preserve"> </w:t>
      </w:r>
      <w:r w:rsidRPr="00181FCD">
        <w:t>expedientes</w:t>
      </w:r>
      <w:r w:rsidR="00F373A3" w:rsidRPr="00181FCD">
        <w:t xml:space="preserve"> </w:t>
      </w:r>
      <w:r w:rsidRPr="00181FCD">
        <w:t>y</w:t>
      </w:r>
      <w:r w:rsidR="00F373A3" w:rsidRPr="00181FCD">
        <w:t xml:space="preserve"> </w:t>
      </w:r>
      <w:r w:rsidRPr="00181FCD">
        <w:t>causas.</w:t>
      </w:r>
      <w:r w:rsidR="00F373A3" w:rsidRPr="00181FCD">
        <w:t xml:space="preserve"> </w:t>
      </w:r>
      <w:r w:rsidRPr="00181FCD">
        <w:t>Está</w:t>
      </w:r>
      <w:r w:rsidR="00F373A3" w:rsidRPr="00181FCD">
        <w:t xml:space="preserve"> </w:t>
      </w:r>
      <w:r w:rsidRPr="00181FCD">
        <w:t>previsto</w:t>
      </w:r>
      <w:r w:rsidR="00F373A3" w:rsidRPr="00181FCD">
        <w:t xml:space="preserve"> </w:t>
      </w:r>
      <w:r w:rsidRPr="00181FCD">
        <w:t>introducir</w:t>
      </w:r>
      <w:r w:rsidR="00F373A3" w:rsidRPr="00181FCD">
        <w:t xml:space="preserve"> </w:t>
      </w:r>
      <w:r w:rsidRPr="00181FCD">
        <w:t>herramientas</w:t>
      </w:r>
      <w:r w:rsidR="00F373A3" w:rsidRPr="00181FCD">
        <w:t xml:space="preserve"> </w:t>
      </w:r>
      <w:r w:rsidRPr="00181FCD">
        <w:t>de</w:t>
      </w:r>
      <w:r w:rsidR="00F373A3" w:rsidRPr="00181FCD">
        <w:t xml:space="preserve"> </w:t>
      </w:r>
      <w:r w:rsidRPr="00181FCD">
        <w:t>planificación</w:t>
      </w:r>
      <w:r w:rsidR="00F373A3" w:rsidRPr="00181FCD">
        <w:t xml:space="preserve"> </w:t>
      </w:r>
      <w:r w:rsidRPr="00181FCD">
        <w:t>a</w:t>
      </w:r>
      <w:r w:rsidR="00F373A3" w:rsidRPr="00181FCD">
        <w:t xml:space="preserve"> </w:t>
      </w:r>
      <w:r w:rsidRPr="00181FCD">
        <w:t>largo</w:t>
      </w:r>
      <w:r w:rsidR="00F373A3" w:rsidRPr="00181FCD">
        <w:t xml:space="preserve"> </w:t>
      </w:r>
      <w:r w:rsidRPr="00181FCD">
        <w:t>plazo.</w:t>
      </w:r>
    </w:p>
    <w:p w:rsidR="001937F4" w:rsidRPr="00181FCD" w:rsidRDefault="001937F4" w:rsidP="00347B20">
      <w:pPr>
        <w:pStyle w:val="SingleTxtG"/>
        <w:suppressAutoHyphens/>
      </w:pPr>
      <w:r w:rsidRPr="00181FCD">
        <w:t>24.</w:t>
      </w:r>
      <w:r w:rsidRPr="00181FCD">
        <w:tab/>
        <w:t>La</w:t>
      </w:r>
      <w:r w:rsidR="00F373A3" w:rsidRPr="00181FCD">
        <w:t xml:space="preserve"> </w:t>
      </w:r>
      <w:r w:rsidRPr="00181FCD">
        <w:t>justicia</w:t>
      </w:r>
      <w:r w:rsidR="00F373A3" w:rsidRPr="00181FCD">
        <w:t xml:space="preserve"> </w:t>
      </w:r>
      <w:r w:rsidRPr="00181FCD">
        <w:t>electrónica</w:t>
      </w:r>
      <w:r w:rsidR="00F373A3" w:rsidRPr="00181FCD">
        <w:t xml:space="preserve"> </w:t>
      </w:r>
      <w:r w:rsidRPr="00181FCD">
        <w:t>se</w:t>
      </w:r>
      <w:r w:rsidR="00F373A3" w:rsidRPr="00181FCD">
        <w:t xml:space="preserve"> </w:t>
      </w:r>
      <w:r w:rsidRPr="00181FCD">
        <w:t>establece</w:t>
      </w:r>
      <w:r w:rsidR="00F373A3" w:rsidRPr="00181FCD">
        <w:t xml:space="preserve"> </w:t>
      </w:r>
      <w:r w:rsidRPr="00181FCD">
        <w:t>como</w:t>
      </w:r>
      <w:r w:rsidR="00F373A3" w:rsidRPr="00181FCD">
        <w:t xml:space="preserve"> </w:t>
      </w:r>
      <w:r w:rsidRPr="00181FCD">
        <w:t>un</w:t>
      </w:r>
      <w:r w:rsidR="00F373A3" w:rsidRPr="00181FCD">
        <w:t xml:space="preserve"> </w:t>
      </w:r>
      <w:r w:rsidRPr="00181FCD">
        <w:t>objetivo</w:t>
      </w:r>
      <w:r w:rsidR="00F373A3" w:rsidRPr="00181FCD">
        <w:t xml:space="preserve"> </w:t>
      </w:r>
      <w:r w:rsidRPr="00181FCD">
        <w:t>específico</w:t>
      </w:r>
      <w:r w:rsidR="00F373A3" w:rsidRPr="00181FCD">
        <w:t xml:space="preserve"> </w:t>
      </w:r>
      <w:r w:rsidRPr="00181FCD">
        <w:t>independiente,</w:t>
      </w:r>
      <w:r w:rsidR="00F373A3" w:rsidRPr="00181FCD">
        <w:t xml:space="preserve"> </w:t>
      </w:r>
      <w:r w:rsidRPr="00181FCD">
        <w:t>ya</w:t>
      </w:r>
      <w:r w:rsidR="00F373A3" w:rsidRPr="00181FCD">
        <w:t xml:space="preserve"> </w:t>
      </w:r>
      <w:r w:rsidRPr="00181FCD">
        <w:t>que</w:t>
      </w:r>
      <w:r w:rsidR="00F373A3" w:rsidRPr="00181FCD">
        <w:t xml:space="preserve"> </w:t>
      </w:r>
      <w:r w:rsidRPr="00181FCD">
        <w:t>en</w:t>
      </w:r>
      <w:r w:rsidR="00F373A3" w:rsidRPr="00181FCD">
        <w:t xml:space="preserve"> </w:t>
      </w:r>
      <w:r w:rsidRPr="00181FCD">
        <w:t>el</w:t>
      </w:r>
      <w:r w:rsidR="00F373A3" w:rsidRPr="00181FCD">
        <w:t xml:space="preserve"> </w:t>
      </w:r>
      <w:r w:rsidRPr="00181FCD">
        <w:t>plan</w:t>
      </w:r>
      <w:r w:rsidR="00F373A3" w:rsidRPr="00181FCD">
        <w:t xml:space="preserve"> </w:t>
      </w:r>
      <w:r w:rsidRPr="00181FCD">
        <w:t>de</w:t>
      </w:r>
      <w:r w:rsidR="00F373A3" w:rsidRPr="00181FCD">
        <w:t xml:space="preserve"> </w:t>
      </w:r>
      <w:r w:rsidRPr="00181FCD">
        <w:t>acción</w:t>
      </w:r>
      <w:r w:rsidR="00F373A3" w:rsidRPr="00181FCD">
        <w:t xml:space="preserve"> </w:t>
      </w:r>
      <w:r w:rsidRPr="00181FCD">
        <w:t>se</w:t>
      </w:r>
      <w:r w:rsidR="00F373A3" w:rsidRPr="00181FCD">
        <w:t xml:space="preserve"> </w:t>
      </w:r>
      <w:r w:rsidRPr="00181FCD">
        <w:t>consignan</w:t>
      </w:r>
      <w:r w:rsidR="00F373A3" w:rsidRPr="00181FCD">
        <w:t xml:space="preserve"> </w:t>
      </w:r>
      <w:r w:rsidRPr="00181FCD">
        <w:t>medidas</w:t>
      </w:r>
      <w:r w:rsidR="00F373A3" w:rsidRPr="00181FCD">
        <w:t xml:space="preserve"> </w:t>
      </w:r>
      <w:r w:rsidRPr="00181FCD">
        <w:t>para</w:t>
      </w:r>
      <w:r w:rsidR="00F373A3" w:rsidRPr="00181FCD">
        <w:t xml:space="preserve"> </w:t>
      </w:r>
      <w:r w:rsidRPr="00181FCD">
        <w:t>la</w:t>
      </w:r>
      <w:r w:rsidR="00F373A3" w:rsidRPr="00181FCD">
        <w:t xml:space="preserve"> </w:t>
      </w:r>
      <w:r w:rsidRPr="00181FCD">
        <w:t>ejecución</w:t>
      </w:r>
      <w:r w:rsidR="00F373A3" w:rsidRPr="00181FCD">
        <w:t xml:space="preserve"> </w:t>
      </w:r>
      <w:r w:rsidRPr="00181FCD">
        <w:t>de</w:t>
      </w:r>
      <w:r w:rsidR="00F373A3" w:rsidRPr="00181FCD">
        <w:t xml:space="preserve"> </w:t>
      </w:r>
      <w:r w:rsidRPr="00181FCD">
        <w:t>la</w:t>
      </w:r>
      <w:r w:rsidR="00F373A3" w:rsidRPr="00181FCD">
        <w:t xml:space="preserve"> </w:t>
      </w:r>
      <w:r w:rsidRPr="00181FCD">
        <w:t>estrategia</w:t>
      </w:r>
      <w:r w:rsidR="00F373A3" w:rsidRPr="00181FCD">
        <w:t xml:space="preserve"> </w:t>
      </w:r>
      <w:r w:rsidRPr="00181FCD">
        <w:t>de</w:t>
      </w:r>
      <w:r w:rsidR="00F373A3" w:rsidRPr="00181FCD">
        <w:t xml:space="preserve"> </w:t>
      </w:r>
      <w:r w:rsidRPr="00181FCD">
        <w:t>puesta</w:t>
      </w:r>
      <w:r w:rsidR="00F373A3" w:rsidRPr="00181FCD">
        <w:t xml:space="preserve"> </w:t>
      </w:r>
      <w:r w:rsidRPr="00181FCD">
        <w:t>en</w:t>
      </w:r>
      <w:r w:rsidR="00F373A3" w:rsidRPr="00181FCD">
        <w:t xml:space="preserve"> </w:t>
      </w:r>
      <w:r w:rsidRPr="00181FCD">
        <w:t>práctica</w:t>
      </w:r>
      <w:r w:rsidR="00F373A3" w:rsidRPr="00181FCD">
        <w:t xml:space="preserve"> </w:t>
      </w:r>
      <w:r w:rsidRPr="00181FCD">
        <w:t>del</w:t>
      </w:r>
      <w:r w:rsidR="00F373A3" w:rsidRPr="00181FCD">
        <w:t xml:space="preserve"> </w:t>
      </w:r>
      <w:r w:rsidRPr="00181FCD">
        <w:t>gobierno</w:t>
      </w:r>
      <w:r w:rsidR="00F373A3" w:rsidRPr="00181FCD">
        <w:t xml:space="preserve"> </w:t>
      </w:r>
      <w:r w:rsidRPr="00181FCD">
        <w:t>electrónico</w:t>
      </w:r>
      <w:r w:rsidR="00F373A3" w:rsidRPr="00181FCD">
        <w:t xml:space="preserve"> </w:t>
      </w:r>
      <w:r w:rsidRPr="00181FCD">
        <w:t>y</w:t>
      </w:r>
      <w:r w:rsidR="00F373A3" w:rsidRPr="00181FCD">
        <w:t xml:space="preserve"> </w:t>
      </w:r>
      <w:r w:rsidRPr="00181FCD">
        <w:t>la</w:t>
      </w:r>
      <w:r w:rsidR="00F373A3" w:rsidRPr="00181FCD">
        <w:t xml:space="preserve"> </w:t>
      </w:r>
      <w:r w:rsidRPr="00181FCD">
        <w:t>justicia</w:t>
      </w:r>
      <w:r w:rsidR="00F373A3" w:rsidRPr="00181FCD">
        <w:t xml:space="preserve"> </w:t>
      </w:r>
      <w:r w:rsidRPr="00181FCD">
        <w:t>electrónica</w:t>
      </w:r>
      <w:r w:rsidR="00F373A3" w:rsidRPr="00181FCD">
        <w:t xml:space="preserve"> </w:t>
      </w:r>
      <w:r w:rsidRPr="00181FCD">
        <w:t>en</w:t>
      </w:r>
      <w:r w:rsidR="00F373A3" w:rsidRPr="00181FCD">
        <w:t xml:space="preserve"> </w:t>
      </w:r>
      <w:r w:rsidRPr="00181FCD">
        <w:t>el</w:t>
      </w:r>
      <w:r w:rsidR="00F373A3" w:rsidRPr="00181FCD">
        <w:t xml:space="preserve"> </w:t>
      </w:r>
      <w:r w:rsidRPr="00181FCD">
        <w:t>sector</w:t>
      </w:r>
      <w:r w:rsidR="00F373A3" w:rsidRPr="00181FCD">
        <w:t xml:space="preserve"> </w:t>
      </w:r>
      <w:r w:rsidRPr="00181FCD">
        <w:t>judicial</w:t>
      </w:r>
      <w:r w:rsidR="00F373A3" w:rsidRPr="00181FCD">
        <w:t xml:space="preserve"> </w:t>
      </w:r>
      <w:r w:rsidRPr="00181FCD">
        <w:t>en</w:t>
      </w:r>
      <w:r w:rsidR="00F373A3" w:rsidRPr="00181FCD">
        <w:t xml:space="preserve"> </w:t>
      </w:r>
      <w:r w:rsidRPr="00181FCD">
        <w:t>el</w:t>
      </w:r>
      <w:r w:rsidR="00F373A3" w:rsidRPr="00181FCD">
        <w:t xml:space="preserve"> </w:t>
      </w:r>
      <w:r w:rsidRPr="00181FCD">
        <w:t>periodo</w:t>
      </w:r>
      <w:r w:rsidR="00F373A3" w:rsidRPr="00181FCD">
        <w:t xml:space="preserve"> </w:t>
      </w:r>
      <w:r w:rsidRPr="00181FCD">
        <w:t>2014-2020.</w:t>
      </w:r>
    </w:p>
    <w:p w:rsidR="001937F4" w:rsidRPr="00181FCD" w:rsidRDefault="001937F4" w:rsidP="00347B20">
      <w:pPr>
        <w:pStyle w:val="SingleTxtG"/>
        <w:suppressAutoHyphens/>
      </w:pPr>
      <w:r w:rsidRPr="00181FCD">
        <w:t>25.</w:t>
      </w:r>
      <w:r w:rsidRPr="00181FCD">
        <w:tab/>
        <w:t>El</w:t>
      </w:r>
      <w:r w:rsidR="00F373A3" w:rsidRPr="00181FCD">
        <w:t xml:space="preserve"> </w:t>
      </w:r>
      <w:r w:rsidRPr="00181FCD">
        <w:rPr>
          <w:i/>
        </w:rPr>
        <w:t>cuarto</w:t>
      </w:r>
      <w:r w:rsidR="00F373A3" w:rsidRPr="00181FCD">
        <w:rPr>
          <w:i/>
        </w:rPr>
        <w:t xml:space="preserve"> </w:t>
      </w:r>
      <w:r w:rsidRPr="00181FCD">
        <w:rPr>
          <w:i/>
        </w:rPr>
        <w:t>objetivo</w:t>
      </w:r>
      <w:r w:rsidR="00F373A3" w:rsidRPr="00181FCD">
        <w:rPr>
          <w:i/>
        </w:rPr>
        <w:t xml:space="preserve"> </w:t>
      </w:r>
      <w:r w:rsidRPr="00181FCD">
        <w:rPr>
          <w:i/>
        </w:rPr>
        <w:t>estratégico</w:t>
      </w:r>
      <w:r w:rsidR="00F373A3" w:rsidRPr="00181FCD">
        <w:t xml:space="preserve"> </w:t>
      </w:r>
      <w:r w:rsidRPr="00181FCD">
        <w:t>tiene</w:t>
      </w:r>
      <w:r w:rsidR="00F373A3" w:rsidRPr="00181FCD">
        <w:t xml:space="preserve"> </w:t>
      </w:r>
      <w:r w:rsidRPr="00181FCD">
        <w:t>como</w:t>
      </w:r>
      <w:r w:rsidR="00F373A3" w:rsidRPr="00181FCD">
        <w:t xml:space="preserve"> </w:t>
      </w:r>
      <w:r w:rsidRPr="00181FCD">
        <w:t>objetivo</w:t>
      </w:r>
      <w:r w:rsidR="00F373A3" w:rsidRPr="00181FCD">
        <w:t xml:space="preserve"> </w:t>
      </w:r>
      <w:r w:rsidRPr="00181FCD">
        <w:t>la</w:t>
      </w:r>
      <w:r w:rsidR="00F373A3" w:rsidRPr="00181FCD">
        <w:t xml:space="preserve"> </w:t>
      </w:r>
      <w:r w:rsidRPr="00181FCD">
        <w:t>aplicación</w:t>
      </w:r>
      <w:r w:rsidR="00F373A3" w:rsidRPr="00181FCD">
        <w:t xml:space="preserve"> </w:t>
      </w:r>
      <w:r w:rsidRPr="00181FCD">
        <w:t>de</w:t>
      </w:r>
      <w:r w:rsidR="00F373A3" w:rsidRPr="00181FCD">
        <w:t xml:space="preserve"> </w:t>
      </w:r>
      <w:r w:rsidRPr="00181FCD">
        <w:t>una</w:t>
      </w:r>
      <w:r w:rsidR="00F373A3" w:rsidRPr="00181FCD">
        <w:t xml:space="preserve"> </w:t>
      </w:r>
      <w:r w:rsidRPr="00181FCD">
        <w:t>política</w:t>
      </w:r>
      <w:r w:rsidR="00F373A3" w:rsidRPr="00181FCD">
        <w:t xml:space="preserve"> </w:t>
      </w:r>
      <w:r w:rsidRPr="00181FCD">
        <w:t>penal</w:t>
      </w:r>
      <w:r w:rsidR="00F373A3" w:rsidRPr="00181FCD">
        <w:t xml:space="preserve"> </w:t>
      </w:r>
      <w:r w:rsidRPr="00181FCD">
        <w:t>moderna</w:t>
      </w:r>
      <w:r w:rsidR="00F373A3" w:rsidRPr="00181FCD">
        <w:t xml:space="preserve"> </w:t>
      </w:r>
      <w:r w:rsidRPr="00181FCD">
        <w:t>y</w:t>
      </w:r>
      <w:r w:rsidR="00F373A3" w:rsidRPr="00181FCD">
        <w:t xml:space="preserve"> </w:t>
      </w:r>
      <w:r w:rsidRPr="00181FCD">
        <w:t>eficaz.</w:t>
      </w:r>
      <w:r w:rsidR="00F373A3" w:rsidRPr="00181FCD">
        <w:t xml:space="preserve"> </w:t>
      </w:r>
      <w:r w:rsidRPr="00181FCD">
        <w:t>Las</w:t>
      </w:r>
      <w:r w:rsidR="00F373A3" w:rsidRPr="00181FCD">
        <w:t xml:space="preserve"> </w:t>
      </w:r>
      <w:r w:rsidRPr="00181FCD">
        <w:t>medidas</w:t>
      </w:r>
      <w:r w:rsidR="00F373A3" w:rsidRPr="00181FCD">
        <w:t xml:space="preserve"> </w:t>
      </w:r>
      <w:r w:rsidRPr="00181FCD">
        <w:t>previstas</w:t>
      </w:r>
      <w:r w:rsidR="00F373A3" w:rsidRPr="00181FCD">
        <w:t xml:space="preserve"> </w:t>
      </w:r>
      <w:r w:rsidRPr="00181FCD">
        <w:t>se</w:t>
      </w:r>
      <w:r w:rsidR="00F373A3" w:rsidRPr="00181FCD">
        <w:t xml:space="preserve"> </w:t>
      </w:r>
      <w:r w:rsidRPr="00181FCD">
        <w:t>refieren</w:t>
      </w:r>
      <w:r w:rsidR="00F373A3" w:rsidRPr="00181FCD">
        <w:t xml:space="preserve"> </w:t>
      </w:r>
      <w:r w:rsidRPr="00181FCD">
        <w:t>a:</w:t>
      </w:r>
      <w:r w:rsidR="00F373A3" w:rsidRPr="00181FCD">
        <w:t xml:space="preserve"> </w:t>
      </w:r>
      <w:r w:rsidRPr="00181FCD">
        <w:t>una</w:t>
      </w:r>
      <w:r w:rsidR="00F373A3" w:rsidRPr="00181FCD">
        <w:t xml:space="preserve"> </w:t>
      </w:r>
      <w:r w:rsidRPr="00181FCD">
        <w:t>actualización</w:t>
      </w:r>
      <w:r w:rsidR="00F373A3" w:rsidRPr="00181FCD">
        <w:t xml:space="preserve"> </w:t>
      </w:r>
      <w:r w:rsidRPr="00181FCD">
        <w:t>del</w:t>
      </w:r>
      <w:r w:rsidR="00F373A3" w:rsidRPr="00181FCD">
        <w:t xml:space="preserve"> </w:t>
      </w:r>
      <w:r w:rsidRPr="00181FCD">
        <w:t>concepto</w:t>
      </w:r>
      <w:r w:rsidR="00F373A3" w:rsidRPr="00181FCD">
        <w:t xml:space="preserve"> </w:t>
      </w:r>
      <w:r w:rsidRPr="00181FCD">
        <w:t>de</w:t>
      </w:r>
      <w:r w:rsidR="00F373A3" w:rsidRPr="00181FCD">
        <w:t xml:space="preserve"> </w:t>
      </w:r>
      <w:r w:rsidRPr="00181FCD">
        <w:t>la</w:t>
      </w:r>
      <w:r w:rsidR="00F373A3" w:rsidRPr="00181FCD">
        <w:t xml:space="preserve"> </w:t>
      </w:r>
      <w:r w:rsidRPr="00181FCD">
        <w:t>política</w:t>
      </w:r>
      <w:r w:rsidR="00F373A3" w:rsidRPr="00181FCD">
        <w:t xml:space="preserve"> </w:t>
      </w:r>
      <w:r w:rsidRPr="00181FCD">
        <w:t>penal;</w:t>
      </w:r>
      <w:r w:rsidR="00F373A3" w:rsidRPr="00181FCD">
        <w:t xml:space="preserve"> </w:t>
      </w:r>
      <w:r w:rsidRPr="00181FCD">
        <w:t>la</w:t>
      </w:r>
      <w:r w:rsidR="00F373A3" w:rsidRPr="00181FCD">
        <w:t xml:space="preserve"> </w:t>
      </w:r>
      <w:r w:rsidRPr="00181FCD">
        <w:t>adopción</w:t>
      </w:r>
      <w:r w:rsidR="00F373A3" w:rsidRPr="00181FCD">
        <w:t xml:space="preserve"> </w:t>
      </w:r>
      <w:r w:rsidRPr="00181FCD">
        <w:t>de</w:t>
      </w:r>
      <w:r w:rsidR="00F373A3" w:rsidRPr="00181FCD">
        <w:t xml:space="preserve"> </w:t>
      </w:r>
      <w:r w:rsidRPr="00181FCD">
        <w:t>una</w:t>
      </w:r>
      <w:r w:rsidR="00F373A3" w:rsidRPr="00181FCD">
        <w:t xml:space="preserve"> </w:t>
      </w:r>
      <w:r w:rsidRPr="00181FCD">
        <w:t>Ley</w:t>
      </w:r>
      <w:r w:rsidR="00672EC2" w:rsidRPr="00181FCD">
        <w:t xml:space="preserve"> </w:t>
      </w:r>
      <w:r w:rsidRPr="00181FCD">
        <w:t>Administrativa</w:t>
      </w:r>
      <w:r w:rsidR="00F373A3" w:rsidRPr="00181FCD">
        <w:t xml:space="preserve"> </w:t>
      </w:r>
      <w:r w:rsidRPr="00181FCD">
        <w:t>de</w:t>
      </w:r>
      <w:r w:rsidR="00F373A3" w:rsidRPr="00181FCD">
        <w:t xml:space="preserve"> </w:t>
      </w:r>
      <w:r w:rsidRPr="00181FCD">
        <w:t>Violaciones</w:t>
      </w:r>
      <w:r w:rsidR="00F373A3" w:rsidRPr="00181FCD">
        <w:t xml:space="preserve"> </w:t>
      </w:r>
      <w:r w:rsidRPr="00181FCD">
        <w:t>y</w:t>
      </w:r>
      <w:r w:rsidR="00F373A3" w:rsidRPr="00181FCD">
        <w:t xml:space="preserve"> </w:t>
      </w:r>
      <w:r w:rsidRPr="00181FCD">
        <w:t>Sanciones</w:t>
      </w:r>
      <w:r w:rsidR="00F373A3" w:rsidRPr="00181FCD">
        <w:t xml:space="preserve"> </w:t>
      </w:r>
      <w:r w:rsidRPr="00181FCD">
        <w:t>moderna;</w:t>
      </w:r>
      <w:r w:rsidR="00F373A3" w:rsidRPr="00181FCD">
        <w:t xml:space="preserve"> </w:t>
      </w:r>
      <w:r w:rsidRPr="00181FCD">
        <w:t>la</w:t>
      </w:r>
      <w:r w:rsidR="00F373A3" w:rsidRPr="00181FCD">
        <w:t xml:space="preserve"> </w:t>
      </w:r>
      <w:r w:rsidRPr="00181FCD">
        <w:t>evaluación</w:t>
      </w:r>
      <w:r w:rsidR="00F373A3" w:rsidRPr="00181FCD">
        <w:t xml:space="preserve"> </w:t>
      </w:r>
      <w:r w:rsidRPr="00181FCD">
        <w:t>de</w:t>
      </w:r>
      <w:r w:rsidR="00F373A3" w:rsidRPr="00181FCD">
        <w:t xml:space="preserve"> </w:t>
      </w:r>
      <w:r w:rsidRPr="00181FCD">
        <w:t>la</w:t>
      </w:r>
      <w:r w:rsidR="00F373A3" w:rsidRPr="00181FCD">
        <w:t xml:space="preserve"> </w:t>
      </w:r>
      <w:r w:rsidRPr="00181FCD">
        <w:t>necesidad</w:t>
      </w:r>
      <w:r w:rsidR="00F373A3" w:rsidRPr="00181FCD">
        <w:t xml:space="preserve"> </w:t>
      </w:r>
      <w:r w:rsidRPr="00181FCD">
        <w:t>de</w:t>
      </w:r>
      <w:r w:rsidR="00F373A3" w:rsidRPr="00181FCD">
        <w:t xml:space="preserve"> </w:t>
      </w:r>
      <w:r w:rsidRPr="00181FCD">
        <w:t>actualizar</w:t>
      </w:r>
      <w:r w:rsidR="00F373A3" w:rsidRPr="00181FCD">
        <w:t xml:space="preserve"> </w:t>
      </w:r>
      <w:r w:rsidRPr="00181FCD">
        <w:t>instituciones</w:t>
      </w:r>
      <w:r w:rsidR="00F373A3" w:rsidRPr="00181FCD">
        <w:t xml:space="preserve"> </w:t>
      </w:r>
      <w:r w:rsidRPr="00181FCD">
        <w:t>particulares</w:t>
      </w:r>
      <w:r w:rsidR="00F373A3" w:rsidRPr="00181FCD">
        <w:t xml:space="preserve"> </w:t>
      </w:r>
      <w:r w:rsidRPr="00181FCD">
        <w:t>y</w:t>
      </w:r>
      <w:r w:rsidR="00F373A3" w:rsidRPr="00181FCD">
        <w:t xml:space="preserve"> </w:t>
      </w:r>
      <w:r w:rsidRPr="00181FCD">
        <w:t>elementos</w:t>
      </w:r>
      <w:r w:rsidR="00F373A3" w:rsidRPr="00181FCD">
        <w:t xml:space="preserve"> </w:t>
      </w:r>
      <w:r w:rsidRPr="00181FCD">
        <w:t>sustantivos</w:t>
      </w:r>
      <w:r w:rsidR="00F373A3" w:rsidRPr="00181FCD">
        <w:t xml:space="preserve"> </w:t>
      </w:r>
      <w:r w:rsidRPr="00181FCD">
        <w:t>del</w:t>
      </w:r>
      <w:r w:rsidR="00F373A3" w:rsidRPr="00181FCD">
        <w:t xml:space="preserve"> </w:t>
      </w:r>
      <w:r w:rsidRPr="00181FCD">
        <w:t>Código</w:t>
      </w:r>
      <w:r w:rsidR="00F373A3" w:rsidRPr="00181FCD">
        <w:t xml:space="preserve"> </w:t>
      </w:r>
      <w:r w:rsidRPr="00181FCD">
        <w:t>Penal</w:t>
      </w:r>
      <w:r w:rsidR="00F373A3" w:rsidRPr="00181FCD">
        <w:t xml:space="preserve"> </w:t>
      </w:r>
      <w:r w:rsidRPr="00181FCD">
        <w:t>y</w:t>
      </w:r>
      <w:r w:rsidR="00F373A3" w:rsidRPr="00181FCD">
        <w:t xml:space="preserve"> </w:t>
      </w:r>
      <w:r w:rsidRPr="00181FCD">
        <w:t>la</w:t>
      </w:r>
      <w:r w:rsidR="00F373A3" w:rsidRPr="00181FCD">
        <w:t xml:space="preserve"> </w:t>
      </w:r>
      <w:r w:rsidRPr="00181FCD">
        <w:t>preparación</w:t>
      </w:r>
      <w:r w:rsidR="00F373A3" w:rsidRPr="00181FCD">
        <w:t xml:space="preserve"> </w:t>
      </w:r>
      <w:r w:rsidRPr="00181FCD">
        <w:t>de</w:t>
      </w:r>
      <w:r w:rsidR="00F373A3" w:rsidRPr="00181FCD">
        <w:t xml:space="preserve"> </w:t>
      </w:r>
      <w:r w:rsidRPr="00181FCD">
        <w:t>los</w:t>
      </w:r>
      <w:r w:rsidR="00F373A3" w:rsidRPr="00181FCD">
        <w:t xml:space="preserve"> </w:t>
      </w:r>
      <w:r w:rsidRPr="00181FCD">
        <w:t>proyectos</w:t>
      </w:r>
      <w:r w:rsidR="00F373A3" w:rsidRPr="00181FCD">
        <w:t xml:space="preserve"> </w:t>
      </w:r>
      <w:r w:rsidRPr="00181FCD">
        <w:t>respectivos;</w:t>
      </w:r>
      <w:r w:rsidR="00F373A3" w:rsidRPr="00181FCD">
        <w:t xml:space="preserve"> </w:t>
      </w:r>
      <w:r w:rsidRPr="00181FCD">
        <w:t>y</w:t>
      </w:r>
      <w:r w:rsidR="00F373A3" w:rsidRPr="00181FCD">
        <w:t xml:space="preserve"> </w:t>
      </w:r>
      <w:r w:rsidRPr="00181FCD">
        <w:t>la</w:t>
      </w:r>
      <w:r w:rsidR="00F373A3" w:rsidRPr="00181FCD">
        <w:t xml:space="preserve"> </w:t>
      </w:r>
      <w:r w:rsidRPr="00181FCD">
        <w:t>reforma</w:t>
      </w:r>
      <w:r w:rsidR="00F373A3" w:rsidRPr="00181FCD">
        <w:t xml:space="preserve"> </w:t>
      </w:r>
      <w:r w:rsidRPr="00181FCD">
        <w:t>y</w:t>
      </w:r>
      <w:r w:rsidR="00F373A3" w:rsidRPr="00181FCD">
        <w:t xml:space="preserve"> </w:t>
      </w:r>
      <w:r w:rsidRPr="00181FCD">
        <w:t>el</w:t>
      </w:r>
      <w:r w:rsidR="00F373A3" w:rsidRPr="00181FCD">
        <w:t xml:space="preserve"> </w:t>
      </w:r>
      <w:r w:rsidRPr="00181FCD">
        <w:t>desarrollo</w:t>
      </w:r>
      <w:r w:rsidR="00F373A3" w:rsidRPr="00181FCD">
        <w:t xml:space="preserve"> </w:t>
      </w:r>
      <w:r w:rsidRPr="00181FCD">
        <w:t>de</w:t>
      </w:r>
      <w:r w:rsidR="00F373A3" w:rsidRPr="00181FCD">
        <w:t xml:space="preserve"> </w:t>
      </w:r>
      <w:r w:rsidRPr="00181FCD">
        <w:t>las</w:t>
      </w:r>
      <w:r w:rsidR="00F373A3" w:rsidRPr="00181FCD">
        <w:t xml:space="preserve"> </w:t>
      </w:r>
      <w:r w:rsidRPr="00181FCD">
        <w:t>autoridades</w:t>
      </w:r>
      <w:r w:rsidR="00F373A3" w:rsidRPr="00181FCD">
        <w:t xml:space="preserve"> </w:t>
      </w:r>
      <w:r w:rsidRPr="00181FCD">
        <w:t>de</w:t>
      </w:r>
      <w:r w:rsidR="00F373A3" w:rsidRPr="00181FCD">
        <w:t xml:space="preserve"> </w:t>
      </w:r>
      <w:r w:rsidRPr="00181FCD">
        <w:t>investigación.</w:t>
      </w:r>
    </w:p>
    <w:p w:rsidR="001937F4" w:rsidRPr="00181FCD" w:rsidRDefault="001937F4" w:rsidP="00347B20">
      <w:pPr>
        <w:pStyle w:val="SingleTxtG"/>
        <w:suppressAutoHyphens/>
      </w:pPr>
      <w:r w:rsidRPr="00181FCD">
        <w:t>26.</w:t>
      </w:r>
      <w:r w:rsidRPr="00181FCD">
        <w:tab/>
        <w:t>Se</w:t>
      </w:r>
      <w:r w:rsidR="00F373A3" w:rsidRPr="00181FCD">
        <w:t xml:space="preserve"> </w:t>
      </w:r>
      <w:r w:rsidRPr="00181FCD">
        <w:t>establece</w:t>
      </w:r>
      <w:r w:rsidR="00F373A3" w:rsidRPr="00181FCD">
        <w:t xml:space="preserve"> </w:t>
      </w:r>
      <w:r w:rsidRPr="00181FCD">
        <w:t>un</w:t>
      </w:r>
      <w:r w:rsidR="00F373A3" w:rsidRPr="00181FCD">
        <w:t xml:space="preserve"> </w:t>
      </w:r>
      <w:r w:rsidRPr="00181FCD">
        <w:t>conjunto</w:t>
      </w:r>
      <w:r w:rsidR="00F373A3" w:rsidRPr="00181FCD">
        <w:t xml:space="preserve"> </w:t>
      </w:r>
      <w:r w:rsidRPr="00181FCD">
        <w:t>de</w:t>
      </w:r>
      <w:r w:rsidR="00F373A3" w:rsidRPr="00181FCD">
        <w:t xml:space="preserve"> </w:t>
      </w:r>
      <w:r w:rsidRPr="00181FCD">
        <w:t>medidas</w:t>
      </w:r>
      <w:r w:rsidR="00F373A3" w:rsidRPr="00181FCD">
        <w:t xml:space="preserve"> </w:t>
      </w:r>
      <w:r w:rsidRPr="00181FCD">
        <w:t>para</w:t>
      </w:r>
      <w:r w:rsidR="00F373A3" w:rsidRPr="00181FCD">
        <w:t xml:space="preserve"> </w:t>
      </w:r>
      <w:r w:rsidRPr="00181FCD">
        <w:t>mejorar</w:t>
      </w:r>
      <w:r w:rsidR="00F373A3" w:rsidRPr="00181FCD">
        <w:t xml:space="preserve"> </w:t>
      </w:r>
      <w:r w:rsidRPr="00181FCD">
        <w:t>la</w:t>
      </w:r>
      <w:r w:rsidR="00F373A3" w:rsidRPr="00181FCD">
        <w:t xml:space="preserve"> </w:t>
      </w:r>
      <w:r w:rsidRPr="00181FCD">
        <w:t>eficacia</w:t>
      </w:r>
      <w:r w:rsidR="00F373A3" w:rsidRPr="00181FCD">
        <w:t xml:space="preserve"> </w:t>
      </w:r>
      <w:r w:rsidRPr="00181FCD">
        <w:t>del</w:t>
      </w:r>
      <w:r w:rsidR="00F373A3" w:rsidRPr="00181FCD">
        <w:t xml:space="preserve"> </w:t>
      </w:r>
      <w:r w:rsidRPr="00181FCD">
        <w:t>acto</w:t>
      </w:r>
      <w:r w:rsidR="00F373A3" w:rsidRPr="00181FCD">
        <w:t xml:space="preserve"> </w:t>
      </w:r>
      <w:r w:rsidRPr="00181FCD">
        <w:t>de</w:t>
      </w:r>
      <w:r w:rsidR="00F373A3" w:rsidRPr="00181FCD">
        <w:t xml:space="preserve"> </w:t>
      </w:r>
      <w:r w:rsidRPr="00181FCD">
        <w:t>acusación.</w:t>
      </w:r>
      <w:r w:rsidR="00F373A3" w:rsidRPr="00181FCD">
        <w:t xml:space="preserve"> </w:t>
      </w:r>
      <w:r w:rsidRPr="00181FCD">
        <w:t>Ello</w:t>
      </w:r>
      <w:r w:rsidR="00F373A3" w:rsidRPr="00181FCD">
        <w:t xml:space="preserve"> </w:t>
      </w:r>
      <w:r w:rsidRPr="00181FCD">
        <w:t>incluye</w:t>
      </w:r>
      <w:r w:rsidR="00F373A3" w:rsidRPr="00181FCD">
        <w:t xml:space="preserve"> </w:t>
      </w:r>
      <w:r w:rsidRPr="00181FCD">
        <w:t>llevar</w:t>
      </w:r>
      <w:r w:rsidR="00F373A3" w:rsidRPr="00181FCD">
        <w:t xml:space="preserve"> </w:t>
      </w:r>
      <w:r w:rsidRPr="00181FCD">
        <w:t>a</w:t>
      </w:r>
      <w:r w:rsidR="00F373A3" w:rsidRPr="00181FCD">
        <w:t xml:space="preserve"> </w:t>
      </w:r>
      <w:r w:rsidRPr="00181FCD">
        <w:t>cabo,</w:t>
      </w:r>
      <w:r w:rsidR="00F373A3" w:rsidRPr="00181FCD">
        <w:t xml:space="preserve"> </w:t>
      </w:r>
      <w:r w:rsidRPr="00181FCD">
        <w:t>en</w:t>
      </w:r>
      <w:r w:rsidR="00F373A3" w:rsidRPr="00181FCD">
        <w:t xml:space="preserve"> </w:t>
      </w:r>
      <w:r w:rsidRPr="00181FCD">
        <w:t>el</w:t>
      </w:r>
      <w:r w:rsidR="00F373A3" w:rsidRPr="00181FCD">
        <w:t xml:space="preserve"> </w:t>
      </w:r>
      <w:r w:rsidRPr="00181FCD">
        <w:t>marco</w:t>
      </w:r>
      <w:r w:rsidR="00F373A3" w:rsidRPr="00181FCD">
        <w:t xml:space="preserve"> </w:t>
      </w:r>
      <w:r w:rsidRPr="00181FCD">
        <w:t>del</w:t>
      </w:r>
      <w:r w:rsidR="00F373A3" w:rsidRPr="00181FCD">
        <w:t xml:space="preserve"> </w:t>
      </w:r>
      <w:r w:rsidRPr="00181FCD">
        <w:t>Mecanismo</w:t>
      </w:r>
      <w:r w:rsidR="00F373A3" w:rsidRPr="00181FCD">
        <w:t xml:space="preserve"> </w:t>
      </w:r>
      <w:r w:rsidRPr="00181FCD">
        <w:t>de</w:t>
      </w:r>
      <w:r w:rsidR="00F373A3" w:rsidRPr="00181FCD">
        <w:t xml:space="preserve"> </w:t>
      </w:r>
      <w:r w:rsidRPr="00181FCD">
        <w:t>Cooperación</w:t>
      </w:r>
      <w:r w:rsidR="00F373A3" w:rsidRPr="00181FCD">
        <w:t xml:space="preserve"> </w:t>
      </w:r>
      <w:r w:rsidRPr="00181FCD">
        <w:t>y</w:t>
      </w:r>
      <w:r w:rsidR="00F373A3" w:rsidRPr="00181FCD">
        <w:t xml:space="preserve"> </w:t>
      </w:r>
      <w:r w:rsidRPr="00181FCD">
        <w:t>Verificación</w:t>
      </w:r>
      <w:r w:rsidR="00F373A3" w:rsidRPr="00181FCD">
        <w:t xml:space="preserve"> </w:t>
      </w:r>
      <w:r w:rsidRPr="00181FCD">
        <w:t>de</w:t>
      </w:r>
      <w:r w:rsidR="00F373A3" w:rsidRPr="00181FCD">
        <w:t xml:space="preserve"> </w:t>
      </w:r>
      <w:r w:rsidRPr="00181FCD">
        <w:t>la</w:t>
      </w:r>
      <w:r w:rsidR="00F373A3" w:rsidRPr="00181FCD">
        <w:t xml:space="preserve"> </w:t>
      </w:r>
      <w:r w:rsidRPr="00181FCD">
        <w:t>Comisión</w:t>
      </w:r>
      <w:r w:rsidR="00F373A3" w:rsidRPr="00181FCD">
        <w:t xml:space="preserve"> </w:t>
      </w:r>
      <w:r w:rsidRPr="00181FCD">
        <w:t>Europea,</w:t>
      </w:r>
      <w:r w:rsidR="00F373A3" w:rsidRPr="00181FCD">
        <w:t xml:space="preserve"> </w:t>
      </w:r>
      <w:r w:rsidRPr="00181FCD">
        <w:t>un</w:t>
      </w:r>
      <w:r w:rsidR="00F373A3" w:rsidRPr="00181FCD">
        <w:t xml:space="preserve"> </w:t>
      </w:r>
      <w:r w:rsidRPr="00181FCD">
        <w:t>seguimiento</w:t>
      </w:r>
      <w:r w:rsidR="00F373A3" w:rsidRPr="00181FCD">
        <w:t xml:space="preserve"> </w:t>
      </w:r>
      <w:r w:rsidRPr="00181FCD">
        <w:t>de</w:t>
      </w:r>
      <w:r w:rsidR="00F373A3" w:rsidRPr="00181FCD">
        <w:t xml:space="preserve"> </w:t>
      </w:r>
      <w:r w:rsidRPr="00181FCD">
        <w:t>la</w:t>
      </w:r>
      <w:r w:rsidR="00F373A3" w:rsidRPr="00181FCD">
        <w:t xml:space="preserve"> </w:t>
      </w:r>
      <w:r w:rsidRPr="00181FCD">
        <w:t>situación</w:t>
      </w:r>
      <w:r w:rsidR="00F373A3" w:rsidRPr="00181FCD">
        <w:t xml:space="preserve"> </w:t>
      </w:r>
      <w:r w:rsidRPr="00181FCD">
        <w:t>actual</w:t>
      </w:r>
      <w:r w:rsidR="00F373A3" w:rsidRPr="00181FCD">
        <w:t xml:space="preserve"> </w:t>
      </w:r>
      <w:r w:rsidRPr="00181FCD">
        <w:t>y</w:t>
      </w:r>
      <w:r w:rsidR="00F373A3" w:rsidRPr="00181FCD">
        <w:t xml:space="preserve"> </w:t>
      </w:r>
      <w:r w:rsidRPr="00181FCD">
        <w:t>la</w:t>
      </w:r>
      <w:r w:rsidR="00F373A3" w:rsidRPr="00181FCD">
        <w:t xml:space="preserve"> </w:t>
      </w:r>
      <w:r w:rsidRPr="00181FCD">
        <w:t>eficacia</w:t>
      </w:r>
      <w:r w:rsidR="00F373A3" w:rsidRPr="00181FCD">
        <w:t xml:space="preserve"> </w:t>
      </w:r>
      <w:r w:rsidRPr="00181FCD">
        <w:t>de</w:t>
      </w:r>
      <w:r w:rsidR="00F373A3" w:rsidRPr="00181FCD">
        <w:t xml:space="preserve"> </w:t>
      </w:r>
      <w:r w:rsidRPr="00181FCD">
        <w:t>la</w:t>
      </w:r>
      <w:r w:rsidR="00F373A3" w:rsidRPr="00181FCD">
        <w:t xml:space="preserve"> </w:t>
      </w:r>
      <w:r w:rsidRPr="00181FCD">
        <w:t>Fiscalía</w:t>
      </w:r>
      <w:r w:rsidR="00F373A3" w:rsidRPr="00181FCD">
        <w:t xml:space="preserve"> </w:t>
      </w:r>
      <w:r w:rsidRPr="00181FCD">
        <w:t>General</w:t>
      </w:r>
      <w:r w:rsidR="00F373A3" w:rsidRPr="00181FCD">
        <w:t xml:space="preserve"> </w:t>
      </w:r>
      <w:r w:rsidRPr="00181FCD">
        <w:t>de</w:t>
      </w:r>
      <w:r w:rsidR="00F373A3" w:rsidRPr="00181FCD">
        <w:t xml:space="preserve"> </w:t>
      </w:r>
      <w:r w:rsidRPr="00181FCD">
        <w:t>Bulgaria</w:t>
      </w:r>
      <w:r w:rsidR="00F373A3" w:rsidRPr="00181FCD">
        <w:t xml:space="preserve"> </w:t>
      </w:r>
      <w:r w:rsidRPr="00181FCD">
        <w:t>por</w:t>
      </w:r>
      <w:r w:rsidR="00F373A3" w:rsidRPr="00181FCD">
        <w:t xml:space="preserve"> </w:t>
      </w:r>
      <w:r w:rsidRPr="00181FCD">
        <w:t>expertos</w:t>
      </w:r>
      <w:r w:rsidR="00F373A3" w:rsidRPr="00181FCD">
        <w:t xml:space="preserve"> </w:t>
      </w:r>
      <w:r w:rsidRPr="00181FCD">
        <w:t>independientes,</w:t>
      </w:r>
      <w:r w:rsidR="00F373A3" w:rsidRPr="00181FCD">
        <w:t xml:space="preserve"> </w:t>
      </w:r>
      <w:r w:rsidRPr="00181FCD">
        <w:t>los</w:t>
      </w:r>
      <w:r w:rsidR="00F373A3" w:rsidRPr="00181FCD">
        <w:t xml:space="preserve"> </w:t>
      </w:r>
      <w:r w:rsidRPr="00181FCD">
        <w:t>factores</w:t>
      </w:r>
      <w:r w:rsidR="00F373A3" w:rsidRPr="00181FCD">
        <w:t xml:space="preserve"> </w:t>
      </w:r>
      <w:r w:rsidRPr="00181FCD">
        <w:t>de</w:t>
      </w:r>
      <w:r w:rsidR="00F373A3" w:rsidRPr="00181FCD">
        <w:t xml:space="preserve"> </w:t>
      </w:r>
      <w:r w:rsidRPr="00181FCD">
        <w:t>influencia</w:t>
      </w:r>
      <w:r w:rsidR="00F373A3" w:rsidRPr="00181FCD">
        <w:t xml:space="preserve"> </w:t>
      </w:r>
      <w:r w:rsidRPr="00181FCD">
        <w:t>indebida</w:t>
      </w:r>
      <w:r w:rsidR="00F373A3" w:rsidRPr="00181FCD">
        <w:t xml:space="preserve"> </w:t>
      </w:r>
      <w:r w:rsidRPr="00181FCD">
        <w:t>de</w:t>
      </w:r>
      <w:r w:rsidR="00F373A3" w:rsidRPr="00181FCD">
        <w:t xml:space="preserve"> </w:t>
      </w:r>
      <w:r w:rsidRPr="00181FCD">
        <w:t>carácter</w:t>
      </w:r>
      <w:r w:rsidR="00F373A3" w:rsidRPr="00181FCD">
        <w:t xml:space="preserve"> </w:t>
      </w:r>
      <w:r w:rsidRPr="00181FCD">
        <w:t>político,</w:t>
      </w:r>
      <w:r w:rsidR="00F373A3" w:rsidRPr="00181FCD">
        <w:t xml:space="preserve"> </w:t>
      </w:r>
      <w:r w:rsidRPr="00181FCD">
        <w:t>jerárquico</w:t>
      </w:r>
      <w:r w:rsidR="00F373A3" w:rsidRPr="00181FCD">
        <w:t xml:space="preserve"> </w:t>
      </w:r>
      <w:r w:rsidRPr="00181FCD">
        <w:t>y</w:t>
      </w:r>
      <w:r w:rsidR="00F373A3" w:rsidRPr="00181FCD">
        <w:t xml:space="preserve"> </w:t>
      </w:r>
      <w:r w:rsidRPr="00181FCD">
        <w:t>de</w:t>
      </w:r>
      <w:r w:rsidR="00F373A3" w:rsidRPr="00181FCD">
        <w:t xml:space="preserve"> </w:t>
      </w:r>
      <w:r w:rsidRPr="00181FCD">
        <w:t>otro</w:t>
      </w:r>
      <w:r w:rsidR="00F373A3" w:rsidRPr="00181FCD">
        <w:t xml:space="preserve"> </w:t>
      </w:r>
      <w:r w:rsidRPr="00181FCD">
        <w:t>tipo</w:t>
      </w:r>
      <w:r w:rsidR="00F373A3" w:rsidRPr="00181FCD">
        <w:t xml:space="preserve"> </w:t>
      </w:r>
      <w:r w:rsidRPr="00181FCD">
        <w:t>sobre</w:t>
      </w:r>
      <w:r w:rsidR="00F373A3" w:rsidRPr="00181FCD">
        <w:t xml:space="preserve"> </w:t>
      </w:r>
      <w:r w:rsidRPr="00181FCD">
        <w:t>ese</w:t>
      </w:r>
      <w:r w:rsidR="00F373A3" w:rsidRPr="00181FCD">
        <w:t xml:space="preserve"> </w:t>
      </w:r>
      <w:r w:rsidRPr="00181FCD">
        <w:t>órgano,</w:t>
      </w:r>
      <w:r w:rsidR="00F373A3" w:rsidRPr="00181FCD">
        <w:t xml:space="preserve"> </w:t>
      </w:r>
      <w:r w:rsidRPr="00181FCD">
        <w:t>así</w:t>
      </w:r>
      <w:r w:rsidR="00F373A3" w:rsidRPr="00181FCD">
        <w:t xml:space="preserve"> </w:t>
      </w:r>
      <w:r w:rsidRPr="00181FCD">
        <w:t>como</w:t>
      </w:r>
      <w:r w:rsidR="00F373A3" w:rsidRPr="00181FCD">
        <w:t xml:space="preserve"> </w:t>
      </w:r>
      <w:r w:rsidRPr="00181FCD">
        <w:t>las</w:t>
      </w:r>
      <w:r w:rsidR="00F373A3" w:rsidRPr="00181FCD">
        <w:t xml:space="preserve"> </w:t>
      </w:r>
      <w:r w:rsidRPr="00181FCD">
        <w:t>formas</w:t>
      </w:r>
      <w:r w:rsidR="00F373A3" w:rsidRPr="00181FCD">
        <w:t xml:space="preserve"> </w:t>
      </w:r>
      <w:r w:rsidRPr="00181FCD">
        <w:t>de</w:t>
      </w:r>
      <w:r w:rsidR="00F373A3" w:rsidRPr="00181FCD">
        <w:t xml:space="preserve"> </w:t>
      </w:r>
      <w:r w:rsidRPr="00181FCD">
        <w:t>ejercicio</w:t>
      </w:r>
      <w:r w:rsidR="00F373A3" w:rsidRPr="00181FCD">
        <w:t xml:space="preserve"> </w:t>
      </w:r>
      <w:r w:rsidRPr="00181FCD">
        <w:t>abusivo</w:t>
      </w:r>
      <w:r w:rsidR="00F373A3" w:rsidRPr="00181FCD">
        <w:t xml:space="preserve"> </w:t>
      </w:r>
      <w:r w:rsidRPr="00181FCD">
        <w:t>de</w:t>
      </w:r>
      <w:r w:rsidR="00F373A3" w:rsidRPr="00181FCD">
        <w:t xml:space="preserve"> </w:t>
      </w:r>
      <w:r w:rsidRPr="00181FCD">
        <w:t>las</w:t>
      </w:r>
      <w:r w:rsidR="00F373A3" w:rsidRPr="00181FCD">
        <w:t xml:space="preserve"> </w:t>
      </w:r>
      <w:r w:rsidRPr="00181FCD">
        <w:t>atribuciones</w:t>
      </w:r>
      <w:r w:rsidR="00F373A3" w:rsidRPr="00181FCD">
        <w:t xml:space="preserve"> </w:t>
      </w:r>
      <w:r w:rsidRPr="00181FCD">
        <w:t>de</w:t>
      </w:r>
      <w:r w:rsidR="00F373A3" w:rsidRPr="00181FCD">
        <w:t xml:space="preserve"> </w:t>
      </w:r>
      <w:r w:rsidRPr="00181FCD">
        <w:t>acusación.</w:t>
      </w:r>
    </w:p>
    <w:p w:rsidR="001937F4" w:rsidRPr="00181FCD" w:rsidRDefault="001937F4" w:rsidP="00347B20">
      <w:pPr>
        <w:pStyle w:val="SingleTxtG"/>
        <w:suppressAutoHyphens/>
      </w:pPr>
      <w:r w:rsidRPr="00181FCD">
        <w:t>27.</w:t>
      </w:r>
      <w:r w:rsidRPr="00181FCD">
        <w:tab/>
        <w:t>También</w:t>
      </w:r>
      <w:r w:rsidR="00F373A3" w:rsidRPr="00181FCD">
        <w:t xml:space="preserve"> </w:t>
      </w:r>
      <w:r w:rsidRPr="00181FCD">
        <w:t>se</w:t>
      </w:r>
      <w:r w:rsidR="00F373A3" w:rsidRPr="00181FCD">
        <w:t xml:space="preserve"> </w:t>
      </w:r>
      <w:r w:rsidRPr="00181FCD">
        <w:t>prevé</w:t>
      </w:r>
      <w:r w:rsidR="00F373A3" w:rsidRPr="00181FCD">
        <w:t xml:space="preserve"> </w:t>
      </w:r>
      <w:r w:rsidRPr="00181FCD">
        <w:t>un</w:t>
      </w:r>
      <w:r w:rsidR="00F373A3" w:rsidRPr="00181FCD">
        <w:t xml:space="preserve"> </w:t>
      </w:r>
      <w:r w:rsidRPr="00181FCD">
        <w:t>análisis</w:t>
      </w:r>
      <w:r w:rsidR="00F373A3" w:rsidRPr="00181FCD">
        <w:t xml:space="preserve"> </w:t>
      </w:r>
      <w:r w:rsidRPr="00181FCD">
        <w:t>de</w:t>
      </w:r>
      <w:r w:rsidR="00F373A3" w:rsidRPr="00181FCD">
        <w:t xml:space="preserve"> </w:t>
      </w:r>
      <w:r w:rsidRPr="00181FCD">
        <w:t>los</w:t>
      </w:r>
      <w:r w:rsidR="00F373A3" w:rsidRPr="00181FCD">
        <w:t xml:space="preserve"> </w:t>
      </w:r>
      <w:r w:rsidRPr="00181FCD">
        <w:t>costos</w:t>
      </w:r>
      <w:r w:rsidR="00F373A3" w:rsidRPr="00181FCD">
        <w:t xml:space="preserve"> </w:t>
      </w:r>
      <w:r w:rsidRPr="00181FCD">
        <w:t>y</w:t>
      </w:r>
      <w:r w:rsidR="00F373A3" w:rsidRPr="00181FCD">
        <w:t xml:space="preserve"> </w:t>
      </w:r>
      <w:r w:rsidRPr="00181FCD">
        <w:t>la</w:t>
      </w:r>
      <w:r w:rsidR="00F373A3" w:rsidRPr="00181FCD">
        <w:t xml:space="preserve"> </w:t>
      </w:r>
      <w:r w:rsidRPr="00181FCD">
        <w:t>eficacia</w:t>
      </w:r>
      <w:r w:rsidR="00F373A3" w:rsidRPr="00181FCD">
        <w:t xml:space="preserve"> </w:t>
      </w:r>
      <w:r w:rsidRPr="00181FCD">
        <w:t>de</w:t>
      </w:r>
      <w:r w:rsidR="00F373A3" w:rsidRPr="00181FCD">
        <w:t xml:space="preserve"> </w:t>
      </w:r>
      <w:r w:rsidRPr="00181FCD">
        <w:t>la</w:t>
      </w:r>
      <w:r w:rsidR="00F373A3" w:rsidRPr="00181FCD">
        <w:t xml:space="preserve"> </w:t>
      </w:r>
      <w:r w:rsidRPr="00181FCD">
        <w:t>existencia</w:t>
      </w:r>
      <w:r w:rsidR="00F373A3" w:rsidRPr="00181FCD">
        <w:t xml:space="preserve"> </w:t>
      </w:r>
      <w:r w:rsidRPr="00181FCD">
        <w:t>de</w:t>
      </w:r>
      <w:r w:rsidR="00F373A3" w:rsidRPr="00181FCD">
        <w:t xml:space="preserve"> </w:t>
      </w:r>
      <w:r w:rsidRPr="00181FCD">
        <w:t>una</w:t>
      </w:r>
      <w:r w:rsidR="00F373A3" w:rsidRPr="00181FCD">
        <w:t xml:space="preserve"> </w:t>
      </w:r>
      <w:r w:rsidRPr="00181FCD">
        <w:t>Fiscalía</w:t>
      </w:r>
      <w:r w:rsidR="00F373A3" w:rsidRPr="00181FCD">
        <w:t xml:space="preserve"> </w:t>
      </w:r>
      <w:r w:rsidRPr="00181FCD">
        <w:t>especializada</w:t>
      </w:r>
      <w:r w:rsidR="00F373A3" w:rsidRPr="00181FCD">
        <w:t xml:space="preserve"> </w:t>
      </w:r>
      <w:r w:rsidRPr="00181FCD">
        <w:t>separada,</w:t>
      </w:r>
      <w:r w:rsidR="00F373A3" w:rsidRPr="00181FCD">
        <w:t xml:space="preserve"> </w:t>
      </w:r>
      <w:r w:rsidRPr="00181FCD">
        <w:t>así</w:t>
      </w:r>
      <w:r w:rsidR="00F373A3" w:rsidRPr="00181FCD">
        <w:t xml:space="preserve"> </w:t>
      </w:r>
      <w:r w:rsidRPr="00181FCD">
        <w:t>como</w:t>
      </w:r>
      <w:r w:rsidR="00F373A3" w:rsidRPr="00181FCD">
        <w:t xml:space="preserve"> </w:t>
      </w:r>
      <w:r w:rsidRPr="00181FCD">
        <w:t>de</w:t>
      </w:r>
      <w:r w:rsidR="00F373A3" w:rsidRPr="00181FCD">
        <w:t xml:space="preserve"> </w:t>
      </w:r>
      <w:r w:rsidRPr="00181FCD">
        <w:t>la</w:t>
      </w:r>
      <w:r w:rsidR="00F373A3" w:rsidRPr="00181FCD">
        <w:t xml:space="preserve"> </w:t>
      </w:r>
      <w:r w:rsidRPr="00181FCD">
        <w:t>eficacia</w:t>
      </w:r>
      <w:r w:rsidR="00F373A3" w:rsidRPr="00181FCD">
        <w:t xml:space="preserve"> </w:t>
      </w:r>
      <w:r w:rsidRPr="00181FCD">
        <w:t>de</w:t>
      </w:r>
      <w:r w:rsidR="00F373A3" w:rsidRPr="00181FCD">
        <w:t xml:space="preserve"> </w:t>
      </w:r>
      <w:r w:rsidRPr="00181FCD">
        <w:t>un</w:t>
      </w:r>
      <w:r w:rsidR="00F373A3" w:rsidRPr="00181FCD">
        <w:t xml:space="preserve"> </w:t>
      </w:r>
      <w:r w:rsidRPr="00181FCD">
        <w:t>Tribunal</w:t>
      </w:r>
      <w:r w:rsidR="00F373A3" w:rsidRPr="00181FCD">
        <w:t xml:space="preserve"> </w:t>
      </w:r>
      <w:r w:rsidRPr="00181FCD">
        <w:t>Penal</w:t>
      </w:r>
      <w:r w:rsidR="00F373A3" w:rsidRPr="00181FCD">
        <w:t xml:space="preserve"> </w:t>
      </w:r>
      <w:r w:rsidRPr="00181FCD">
        <w:t>especializado,</w:t>
      </w:r>
      <w:r w:rsidR="00F373A3" w:rsidRPr="00181FCD">
        <w:t xml:space="preserve"> </w:t>
      </w:r>
      <w:r w:rsidRPr="00181FCD">
        <w:t>y</w:t>
      </w:r>
      <w:r w:rsidR="00F373A3" w:rsidRPr="00181FCD">
        <w:t xml:space="preserve"> </w:t>
      </w:r>
      <w:r w:rsidRPr="00181FCD">
        <w:t>la</w:t>
      </w:r>
      <w:r w:rsidR="00F373A3" w:rsidRPr="00181FCD">
        <w:t xml:space="preserve"> </w:t>
      </w:r>
      <w:r w:rsidRPr="00181FCD">
        <w:t>preparación</w:t>
      </w:r>
      <w:r w:rsidR="00F373A3" w:rsidRPr="00181FCD">
        <w:t xml:space="preserve"> </w:t>
      </w:r>
      <w:r w:rsidRPr="00181FCD">
        <w:t>de</w:t>
      </w:r>
      <w:r w:rsidR="00F373A3" w:rsidRPr="00181FCD">
        <w:t xml:space="preserve"> </w:t>
      </w:r>
      <w:r w:rsidRPr="00181FCD">
        <w:t>un</w:t>
      </w:r>
      <w:r w:rsidR="00F373A3" w:rsidRPr="00181FCD">
        <w:t xml:space="preserve"> </w:t>
      </w:r>
      <w:r w:rsidRPr="00181FCD">
        <w:t>conjunto</w:t>
      </w:r>
      <w:r w:rsidR="00F373A3" w:rsidRPr="00181FCD">
        <w:t xml:space="preserve"> </w:t>
      </w:r>
      <w:r w:rsidRPr="00181FCD">
        <w:t>de</w:t>
      </w:r>
      <w:r w:rsidR="00F373A3" w:rsidRPr="00181FCD">
        <w:t xml:space="preserve"> </w:t>
      </w:r>
      <w:r w:rsidRPr="00181FCD">
        <w:t>modificaciones</w:t>
      </w:r>
      <w:r w:rsidR="00F373A3" w:rsidRPr="00181FCD">
        <w:t xml:space="preserve"> </w:t>
      </w:r>
      <w:r w:rsidRPr="00181FCD">
        <w:t>en</w:t>
      </w:r>
      <w:r w:rsidR="00F373A3" w:rsidRPr="00181FCD">
        <w:t xml:space="preserve"> </w:t>
      </w:r>
      <w:r w:rsidRPr="00181FCD">
        <w:t>el</w:t>
      </w:r>
      <w:r w:rsidR="00F373A3" w:rsidRPr="00181FCD">
        <w:t xml:space="preserve"> </w:t>
      </w:r>
      <w:r w:rsidRPr="00181FCD">
        <w:t>modelo</w:t>
      </w:r>
      <w:r w:rsidR="00F373A3" w:rsidRPr="00181FCD">
        <w:t xml:space="preserve"> </w:t>
      </w:r>
      <w:r w:rsidRPr="00181FCD">
        <w:t>de</w:t>
      </w:r>
      <w:r w:rsidR="00F373A3" w:rsidRPr="00181FCD">
        <w:t xml:space="preserve"> </w:t>
      </w:r>
      <w:r w:rsidRPr="00181FCD">
        <w:t>especialización.</w:t>
      </w:r>
      <w:r w:rsidR="00F373A3" w:rsidRPr="00181FCD">
        <w:t xml:space="preserve"> </w:t>
      </w:r>
      <w:r w:rsidRPr="00181FCD">
        <w:t>La</w:t>
      </w:r>
      <w:r w:rsidR="00F373A3" w:rsidRPr="00181FCD">
        <w:t xml:space="preserve"> </w:t>
      </w:r>
      <w:r w:rsidRPr="00181FCD">
        <w:t>Estrategia</w:t>
      </w:r>
      <w:r w:rsidR="00F373A3" w:rsidRPr="00181FCD">
        <w:t xml:space="preserve"> </w:t>
      </w:r>
      <w:r w:rsidRPr="00181FCD">
        <w:t>prevé</w:t>
      </w:r>
      <w:r w:rsidR="00F373A3" w:rsidRPr="00181FCD">
        <w:t xml:space="preserve"> </w:t>
      </w:r>
      <w:r w:rsidRPr="00181FCD">
        <w:t>la</w:t>
      </w:r>
      <w:r w:rsidR="00F373A3" w:rsidRPr="00181FCD">
        <w:t xml:space="preserve"> </w:t>
      </w:r>
      <w:r w:rsidRPr="00181FCD">
        <w:t>elaboración</w:t>
      </w:r>
      <w:r w:rsidR="00F373A3" w:rsidRPr="00181FCD">
        <w:t xml:space="preserve"> </w:t>
      </w:r>
      <w:r w:rsidRPr="00181FCD">
        <w:t>de</w:t>
      </w:r>
      <w:r w:rsidR="00F373A3" w:rsidRPr="00181FCD">
        <w:t xml:space="preserve"> </w:t>
      </w:r>
      <w:r w:rsidRPr="00181FCD">
        <w:t>un</w:t>
      </w:r>
      <w:r w:rsidR="00F373A3" w:rsidRPr="00181FCD">
        <w:t xml:space="preserve"> </w:t>
      </w:r>
      <w:r w:rsidRPr="00181FCD">
        <w:t>plan</w:t>
      </w:r>
      <w:r w:rsidR="00F373A3" w:rsidRPr="00181FCD">
        <w:t xml:space="preserve"> </w:t>
      </w:r>
      <w:r w:rsidRPr="00181FCD">
        <w:t>de</w:t>
      </w:r>
      <w:r w:rsidR="00F373A3" w:rsidRPr="00181FCD">
        <w:t xml:space="preserve"> </w:t>
      </w:r>
      <w:r w:rsidRPr="00181FCD">
        <w:t>acción</w:t>
      </w:r>
      <w:r w:rsidR="00F373A3" w:rsidRPr="00181FCD">
        <w:t xml:space="preserve"> </w:t>
      </w:r>
      <w:r w:rsidRPr="00181FCD">
        <w:t>para</w:t>
      </w:r>
      <w:r w:rsidR="00F373A3" w:rsidRPr="00181FCD">
        <w:t xml:space="preserve"> </w:t>
      </w:r>
      <w:r w:rsidRPr="00181FCD">
        <w:t>la</w:t>
      </w:r>
      <w:r w:rsidR="00F373A3" w:rsidRPr="00181FCD">
        <w:t xml:space="preserve"> </w:t>
      </w:r>
      <w:r w:rsidRPr="00181FCD">
        <w:t>reforma</w:t>
      </w:r>
      <w:r w:rsidR="00F373A3" w:rsidRPr="00181FCD">
        <w:t xml:space="preserve"> </w:t>
      </w:r>
      <w:r w:rsidRPr="00181FCD">
        <w:t>del</w:t>
      </w:r>
      <w:r w:rsidR="00F373A3" w:rsidRPr="00181FCD">
        <w:t xml:space="preserve"> </w:t>
      </w:r>
      <w:r w:rsidRPr="00181FCD">
        <w:t>sistema</w:t>
      </w:r>
      <w:r w:rsidR="00F373A3" w:rsidRPr="00181FCD">
        <w:t xml:space="preserve"> </w:t>
      </w:r>
      <w:r w:rsidRPr="00181FCD">
        <w:t>penitenciario.</w:t>
      </w:r>
    </w:p>
    <w:p w:rsidR="001937F4" w:rsidRPr="00181FCD" w:rsidRDefault="001937F4" w:rsidP="00347B20">
      <w:pPr>
        <w:pStyle w:val="SingleTxtG"/>
        <w:suppressAutoHyphens/>
      </w:pPr>
      <w:r w:rsidRPr="00181FCD">
        <w:t>28.</w:t>
      </w:r>
      <w:r w:rsidRPr="00181FCD">
        <w:tab/>
        <w:t>El</w:t>
      </w:r>
      <w:r w:rsidR="00F373A3" w:rsidRPr="00181FCD">
        <w:t xml:space="preserve"> </w:t>
      </w:r>
      <w:r w:rsidRPr="00181FCD">
        <w:rPr>
          <w:i/>
        </w:rPr>
        <w:t>quinto</w:t>
      </w:r>
      <w:r w:rsidR="00F373A3" w:rsidRPr="00181FCD">
        <w:rPr>
          <w:i/>
        </w:rPr>
        <w:t xml:space="preserve"> </w:t>
      </w:r>
      <w:r w:rsidRPr="00181FCD">
        <w:rPr>
          <w:i/>
        </w:rPr>
        <w:t>objetivo</w:t>
      </w:r>
      <w:r w:rsidR="00F373A3" w:rsidRPr="00181FCD">
        <w:rPr>
          <w:i/>
        </w:rPr>
        <w:t xml:space="preserve"> </w:t>
      </w:r>
      <w:r w:rsidRPr="00181FCD">
        <w:rPr>
          <w:i/>
        </w:rPr>
        <w:t>estratégico</w:t>
      </w:r>
      <w:r w:rsidR="00F373A3" w:rsidRPr="00181FCD">
        <w:t xml:space="preserve"> </w:t>
      </w:r>
      <w:r w:rsidRPr="00181FCD">
        <w:t>abarca</w:t>
      </w:r>
      <w:r w:rsidR="00F373A3" w:rsidRPr="00181FCD">
        <w:t xml:space="preserve"> </w:t>
      </w:r>
      <w:r w:rsidRPr="00181FCD">
        <w:t>la</w:t>
      </w:r>
      <w:r w:rsidR="00F373A3" w:rsidRPr="00181FCD">
        <w:t xml:space="preserve"> </w:t>
      </w:r>
      <w:r w:rsidRPr="00181FCD">
        <w:t>garantía</w:t>
      </w:r>
      <w:r w:rsidR="00F373A3" w:rsidRPr="00181FCD">
        <w:t xml:space="preserve"> </w:t>
      </w:r>
      <w:r w:rsidRPr="00181FCD">
        <w:t>a</w:t>
      </w:r>
      <w:r w:rsidR="00F373A3" w:rsidRPr="00181FCD">
        <w:t xml:space="preserve"> </w:t>
      </w:r>
      <w:r w:rsidRPr="00181FCD">
        <w:t>todos</w:t>
      </w:r>
      <w:r w:rsidR="00F373A3" w:rsidRPr="00181FCD">
        <w:t xml:space="preserve"> </w:t>
      </w:r>
      <w:r w:rsidRPr="00181FCD">
        <w:t>los</w:t>
      </w:r>
      <w:r w:rsidR="00F373A3" w:rsidRPr="00181FCD">
        <w:t xml:space="preserve"> </w:t>
      </w:r>
      <w:r w:rsidRPr="00181FCD">
        <w:t>ciudadanos</w:t>
      </w:r>
      <w:r w:rsidR="00F373A3" w:rsidRPr="00181FCD">
        <w:t xml:space="preserve"> </w:t>
      </w:r>
      <w:r w:rsidRPr="00181FCD">
        <w:t>del</w:t>
      </w:r>
      <w:r w:rsidR="00F373A3" w:rsidRPr="00181FCD">
        <w:t xml:space="preserve"> </w:t>
      </w:r>
      <w:r w:rsidRPr="00181FCD">
        <w:t>derecho</w:t>
      </w:r>
      <w:r w:rsidR="00F373A3" w:rsidRPr="00181FCD">
        <w:t xml:space="preserve"> </w:t>
      </w:r>
      <w:r w:rsidRPr="00181FCD">
        <w:t>de</w:t>
      </w:r>
      <w:r w:rsidR="00F373A3" w:rsidRPr="00181FCD">
        <w:t xml:space="preserve"> </w:t>
      </w:r>
      <w:r w:rsidRPr="00181FCD">
        <w:t>un</w:t>
      </w:r>
      <w:r w:rsidR="00F373A3" w:rsidRPr="00181FCD">
        <w:t xml:space="preserve"> </w:t>
      </w:r>
      <w:r w:rsidRPr="00181FCD">
        <w:t>juicio</w:t>
      </w:r>
      <w:r w:rsidR="00F373A3" w:rsidRPr="00181FCD">
        <w:t xml:space="preserve"> </w:t>
      </w:r>
      <w:r w:rsidRPr="00181FCD">
        <w:t>imparcial</w:t>
      </w:r>
      <w:r w:rsidR="00F373A3" w:rsidRPr="00181FCD">
        <w:t xml:space="preserve"> </w:t>
      </w:r>
      <w:r w:rsidRPr="00181FCD">
        <w:t>y</w:t>
      </w:r>
      <w:r w:rsidR="00F373A3" w:rsidRPr="00181FCD">
        <w:t xml:space="preserve"> </w:t>
      </w:r>
      <w:r w:rsidRPr="00181FCD">
        <w:t>la</w:t>
      </w:r>
      <w:r w:rsidR="00F373A3" w:rsidRPr="00181FCD">
        <w:t xml:space="preserve"> </w:t>
      </w:r>
      <w:r w:rsidRPr="00181FCD">
        <w:t>protección</w:t>
      </w:r>
      <w:r w:rsidR="00F373A3" w:rsidRPr="00181FCD">
        <w:t xml:space="preserve"> </w:t>
      </w:r>
      <w:r w:rsidRPr="00181FCD">
        <w:t>efectiva</w:t>
      </w:r>
      <w:r w:rsidR="00F373A3" w:rsidRPr="00181FCD">
        <w:t xml:space="preserve"> </w:t>
      </w:r>
      <w:r w:rsidRPr="00181FCD">
        <w:t>de</w:t>
      </w:r>
      <w:r w:rsidR="00F373A3" w:rsidRPr="00181FCD">
        <w:t xml:space="preserve"> </w:t>
      </w:r>
      <w:r w:rsidRPr="00181FCD">
        <w:t>los</w:t>
      </w:r>
      <w:r w:rsidR="00F373A3" w:rsidRPr="00181FCD">
        <w:t xml:space="preserve"> </w:t>
      </w:r>
      <w:r w:rsidRPr="00181FCD">
        <w:t>derechos</w:t>
      </w:r>
      <w:r w:rsidR="00F373A3" w:rsidRPr="00181FCD">
        <w:t xml:space="preserve"> </w:t>
      </w:r>
      <w:r w:rsidRPr="00181FCD">
        <w:t>humanos.</w:t>
      </w:r>
      <w:r w:rsidR="00F373A3" w:rsidRPr="00181FCD">
        <w:t xml:space="preserve"> </w:t>
      </w:r>
      <w:r w:rsidRPr="00181FCD">
        <w:t>Las</w:t>
      </w:r>
      <w:r w:rsidR="00F373A3" w:rsidRPr="00181FCD">
        <w:t xml:space="preserve"> </w:t>
      </w:r>
      <w:r w:rsidRPr="00181FCD">
        <w:t>medidas</w:t>
      </w:r>
      <w:r w:rsidR="00F373A3" w:rsidRPr="00181FCD">
        <w:t xml:space="preserve"> </w:t>
      </w:r>
      <w:r w:rsidRPr="00181FCD">
        <w:t>previstas</w:t>
      </w:r>
      <w:r w:rsidR="00F373A3" w:rsidRPr="00181FCD">
        <w:t xml:space="preserve"> </w:t>
      </w:r>
      <w:r w:rsidRPr="00181FCD">
        <w:t>en</w:t>
      </w:r>
      <w:r w:rsidR="00F373A3" w:rsidRPr="00181FCD">
        <w:t xml:space="preserve"> </w:t>
      </w:r>
      <w:r w:rsidRPr="00181FCD">
        <w:t>la</w:t>
      </w:r>
      <w:r w:rsidR="00F373A3" w:rsidRPr="00181FCD">
        <w:t xml:space="preserve"> </w:t>
      </w:r>
      <w:r w:rsidRPr="00181FCD">
        <w:t>Estrategia</w:t>
      </w:r>
      <w:r w:rsidR="00F373A3" w:rsidRPr="00181FCD">
        <w:t xml:space="preserve"> </w:t>
      </w:r>
      <w:r w:rsidRPr="00181FCD">
        <w:t>se</w:t>
      </w:r>
      <w:r w:rsidR="00F373A3" w:rsidRPr="00181FCD">
        <w:t xml:space="preserve"> </w:t>
      </w:r>
      <w:r w:rsidRPr="00181FCD">
        <w:t>refieren</w:t>
      </w:r>
      <w:r w:rsidR="00F373A3" w:rsidRPr="00181FCD">
        <w:t xml:space="preserve"> </w:t>
      </w:r>
      <w:r w:rsidRPr="00181FCD">
        <w:t>a</w:t>
      </w:r>
      <w:r w:rsidR="00F373A3" w:rsidRPr="00181FCD">
        <w:t xml:space="preserve"> </w:t>
      </w:r>
      <w:r w:rsidRPr="00181FCD">
        <w:t>la</w:t>
      </w:r>
      <w:r w:rsidR="00F373A3" w:rsidRPr="00181FCD">
        <w:t xml:space="preserve"> </w:t>
      </w:r>
      <w:r w:rsidRPr="00181FCD">
        <w:t>preparación</w:t>
      </w:r>
      <w:r w:rsidR="00F373A3" w:rsidRPr="00181FCD">
        <w:t xml:space="preserve"> </w:t>
      </w:r>
      <w:r w:rsidRPr="00181FCD">
        <w:t>de</w:t>
      </w:r>
      <w:r w:rsidR="00F373A3" w:rsidRPr="00181FCD">
        <w:t xml:space="preserve"> </w:t>
      </w:r>
      <w:r w:rsidRPr="00181FCD">
        <w:t>enmiendas</w:t>
      </w:r>
      <w:r w:rsidR="00F373A3" w:rsidRPr="00181FCD">
        <w:t xml:space="preserve"> </w:t>
      </w:r>
      <w:r w:rsidRPr="00181FCD">
        <w:t>constitucionales</w:t>
      </w:r>
      <w:r w:rsidR="00F373A3" w:rsidRPr="00181FCD">
        <w:t xml:space="preserve"> </w:t>
      </w:r>
      <w:r w:rsidRPr="00181FCD">
        <w:t>y</w:t>
      </w:r>
      <w:r w:rsidR="00F373A3" w:rsidRPr="00181FCD">
        <w:t xml:space="preserve"> </w:t>
      </w:r>
      <w:r w:rsidRPr="00181FCD">
        <w:t>legislativas</w:t>
      </w:r>
      <w:r w:rsidR="00F373A3" w:rsidRPr="00181FCD">
        <w:t xml:space="preserve"> </w:t>
      </w:r>
      <w:r w:rsidRPr="00181FCD">
        <w:t>a</w:t>
      </w:r>
      <w:r w:rsidR="00F373A3" w:rsidRPr="00181FCD">
        <w:t xml:space="preserve"> </w:t>
      </w:r>
      <w:r w:rsidRPr="00181FCD">
        <w:t>fin</w:t>
      </w:r>
      <w:r w:rsidR="00F373A3" w:rsidRPr="00181FCD">
        <w:t xml:space="preserve"> </w:t>
      </w:r>
      <w:r w:rsidRPr="00181FCD">
        <w:t>de</w:t>
      </w:r>
      <w:r w:rsidR="00F373A3" w:rsidRPr="00181FCD">
        <w:t xml:space="preserve"> </w:t>
      </w:r>
      <w:r w:rsidRPr="00181FCD">
        <w:t>introducir</w:t>
      </w:r>
      <w:r w:rsidR="00F373A3" w:rsidRPr="00181FCD">
        <w:t xml:space="preserve"> </w:t>
      </w:r>
      <w:r w:rsidRPr="00181FCD">
        <w:t>la</w:t>
      </w:r>
      <w:r w:rsidR="00F373A3" w:rsidRPr="00181FCD">
        <w:t xml:space="preserve"> </w:t>
      </w:r>
      <w:r w:rsidRPr="00181FCD">
        <w:t>petición</w:t>
      </w:r>
      <w:r w:rsidR="00F373A3" w:rsidRPr="00181FCD">
        <w:t xml:space="preserve"> </w:t>
      </w:r>
      <w:r w:rsidRPr="00181FCD">
        <w:t>directa</w:t>
      </w:r>
      <w:r w:rsidR="00F373A3" w:rsidRPr="00181FCD">
        <w:t xml:space="preserve"> </w:t>
      </w:r>
      <w:r w:rsidRPr="00181FCD">
        <w:t>al</w:t>
      </w:r>
      <w:r w:rsidR="00F373A3" w:rsidRPr="00181FCD">
        <w:t xml:space="preserve"> </w:t>
      </w:r>
      <w:r w:rsidRPr="00181FCD">
        <w:t>Tribunal</w:t>
      </w:r>
      <w:r w:rsidR="00F373A3" w:rsidRPr="00181FCD">
        <w:t xml:space="preserve"> </w:t>
      </w:r>
      <w:r w:rsidRPr="00181FCD">
        <w:t>Constitucional;</w:t>
      </w:r>
      <w:r w:rsidR="00F373A3" w:rsidRPr="00181FCD">
        <w:t xml:space="preserve"> </w:t>
      </w:r>
      <w:r w:rsidRPr="00181FCD">
        <w:t>medidas</w:t>
      </w:r>
      <w:r w:rsidR="00F373A3" w:rsidRPr="00181FCD">
        <w:t xml:space="preserve"> </w:t>
      </w:r>
      <w:r w:rsidRPr="00181FCD">
        <w:t>para</w:t>
      </w:r>
      <w:r w:rsidR="00F373A3" w:rsidRPr="00181FCD">
        <w:t xml:space="preserve"> </w:t>
      </w:r>
      <w:r w:rsidRPr="00181FCD">
        <w:t>responder</w:t>
      </w:r>
      <w:r w:rsidR="00F373A3" w:rsidRPr="00181FCD">
        <w:t xml:space="preserve"> </w:t>
      </w:r>
      <w:r w:rsidRPr="00181FCD">
        <w:t>a</w:t>
      </w:r>
      <w:r w:rsidR="00F373A3" w:rsidRPr="00181FCD">
        <w:t xml:space="preserve"> </w:t>
      </w:r>
      <w:r w:rsidRPr="00181FCD">
        <w:t>los</w:t>
      </w:r>
      <w:r w:rsidR="00F373A3" w:rsidRPr="00181FCD">
        <w:t xml:space="preserve"> </w:t>
      </w:r>
      <w:r w:rsidRPr="00181FCD">
        <w:t>motivos</w:t>
      </w:r>
      <w:r w:rsidR="00F373A3" w:rsidRPr="00181FCD">
        <w:t xml:space="preserve"> </w:t>
      </w:r>
      <w:r w:rsidRPr="00181FCD">
        <w:t>aducidos</w:t>
      </w:r>
      <w:r w:rsidR="00F373A3" w:rsidRPr="00181FCD">
        <w:t xml:space="preserve"> </w:t>
      </w:r>
      <w:r w:rsidRPr="00181FCD">
        <w:t>en</w:t>
      </w:r>
      <w:r w:rsidR="00F373A3" w:rsidRPr="00181FCD">
        <w:t xml:space="preserve"> </w:t>
      </w:r>
      <w:r w:rsidRPr="00181FCD">
        <w:t>los</w:t>
      </w:r>
      <w:r w:rsidR="00F373A3" w:rsidRPr="00181FCD">
        <w:t xml:space="preserve"> </w:t>
      </w:r>
      <w:r w:rsidRPr="00181FCD">
        <w:t>fallos</w:t>
      </w:r>
      <w:r w:rsidR="00F373A3" w:rsidRPr="00181FCD">
        <w:t xml:space="preserve"> </w:t>
      </w:r>
      <w:r w:rsidRPr="00181FCD">
        <w:t>del</w:t>
      </w:r>
      <w:r w:rsidR="00F373A3" w:rsidRPr="00181FCD">
        <w:t xml:space="preserve"> </w:t>
      </w:r>
      <w:r w:rsidRPr="00181FCD">
        <w:t>Tribunal</w:t>
      </w:r>
      <w:r w:rsidR="00F373A3" w:rsidRPr="00181FCD">
        <w:t xml:space="preserve"> </w:t>
      </w:r>
      <w:r w:rsidRPr="00181FCD">
        <w:t>Europeo</w:t>
      </w:r>
      <w:r w:rsidR="00F373A3" w:rsidRPr="00181FCD">
        <w:t xml:space="preserve"> </w:t>
      </w:r>
      <w:r w:rsidRPr="00181FCD">
        <w:t>de</w:t>
      </w:r>
      <w:r w:rsidR="00F373A3" w:rsidRPr="00181FCD">
        <w:t xml:space="preserve"> </w:t>
      </w:r>
      <w:r w:rsidRPr="00181FCD">
        <w:t>Derechos</w:t>
      </w:r>
      <w:r w:rsidR="00F373A3" w:rsidRPr="00181FCD">
        <w:t xml:space="preserve"> </w:t>
      </w:r>
      <w:r w:rsidRPr="00181FCD">
        <w:t>Humanos</w:t>
      </w:r>
      <w:r w:rsidR="00F373A3" w:rsidRPr="00181FCD">
        <w:t xml:space="preserve"> </w:t>
      </w:r>
      <w:r w:rsidRPr="00181FCD">
        <w:t>contra</w:t>
      </w:r>
      <w:r w:rsidR="00F373A3" w:rsidRPr="00181FCD">
        <w:t xml:space="preserve"> </w:t>
      </w:r>
      <w:r w:rsidRPr="00181FCD">
        <w:t>Bulgaria</w:t>
      </w:r>
      <w:r w:rsidR="00F373A3" w:rsidRPr="00181FCD">
        <w:t xml:space="preserve"> </w:t>
      </w:r>
      <w:r w:rsidRPr="00181FCD">
        <w:t>y</w:t>
      </w:r>
      <w:r w:rsidR="00F373A3" w:rsidRPr="00181FCD">
        <w:t xml:space="preserve"> </w:t>
      </w:r>
      <w:r w:rsidRPr="00181FCD">
        <w:t>el</w:t>
      </w:r>
      <w:r w:rsidR="00F373A3" w:rsidRPr="00181FCD">
        <w:t xml:space="preserve"> </w:t>
      </w:r>
      <w:r w:rsidRPr="00181FCD">
        <w:t>respeto</w:t>
      </w:r>
      <w:r w:rsidR="00F373A3" w:rsidRPr="00181FCD">
        <w:t xml:space="preserve"> </w:t>
      </w:r>
      <w:r w:rsidRPr="00181FCD">
        <w:t>de</w:t>
      </w:r>
      <w:r w:rsidR="00F373A3" w:rsidRPr="00181FCD">
        <w:t xml:space="preserve"> </w:t>
      </w:r>
      <w:r w:rsidRPr="00181FCD">
        <w:t>las</w:t>
      </w:r>
      <w:r w:rsidR="00F373A3" w:rsidRPr="00181FCD">
        <w:t xml:space="preserve"> </w:t>
      </w:r>
      <w:r w:rsidRPr="00181FCD">
        <w:t>normas</w:t>
      </w:r>
      <w:r w:rsidR="00F373A3" w:rsidRPr="00181FCD">
        <w:t xml:space="preserve"> </w:t>
      </w:r>
      <w:r w:rsidRPr="00181FCD">
        <w:t>internacionales</w:t>
      </w:r>
      <w:r w:rsidR="00F373A3" w:rsidRPr="00181FCD">
        <w:t xml:space="preserve"> </w:t>
      </w:r>
      <w:r w:rsidRPr="00181FCD">
        <w:t>de</w:t>
      </w:r>
      <w:r w:rsidR="00F373A3" w:rsidRPr="00181FCD">
        <w:t xml:space="preserve"> </w:t>
      </w:r>
      <w:r w:rsidRPr="00181FCD">
        <w:t>derechos</w:t>
      </w:r>
      <w:r w:rsidR="00F373A3" w:rsidRPr="00181FCD">
        <w:t xml:space="preserve"> </w:t>
      </w:r>
      <w:r w:rsidRPr="00181FCD">
        <w:t>humanos;</w:t>
      </w:r>
      <w:r w:rsidR="00F373A3" w:rsidRPr="00181FCD">
        <w:t xml:space="preserve"> </w:t>
      </w:r>
      <w:r w:rsidRPr="00181FCD">
        <w:t>desarrollo</w:t>
      </w:r>
      <w:r w:rsidR="00F373A3" w:rsidRPr="00181FCD">
        <w:t xml:space="preserve"> </w:t>
      </w:r>
      <w:r w:rsidRPr="00181FCD">
        <w:t>del</w:t>
      </w:r>
      <w:r w:rsidR="00F373A3" w:rsidRPr="00181FCD">
        <w:t xml:space="preserve"> </w:t>
      </w:r>
      <w:r w:rsidRPr="00181FCD">
        <w:t>sistema</w:t>
      </w:r>
      <w:r w:rsidR="00F373A3" w:rsidRPr="00181FCD">
        <w:t xml:space="preserve"> </w:t>
      </w:r>
      <w:r w:rsidRPr="00181FCD">
        <w:t>de</w:t>
      </w:r>
      <w:r w:rsidR="00F373A3" w:rsidRPr="00181FCD">
        <w:t xml:space="preserve"> </w:t>
      </w:r>
      <w:r w:rsidRPr="00181FCD">
        <w:t>asistencia</w:t>
      </w:r>
      <w:r w:rsidR="00F373A3" w:rsidRPr="00181FCD">
        <w:t xml:space="preserve"> </w:t>
      </w:r>
      <w:r w:rsidRPr="00181FCD">
        <w:t>jurídica;</w:t>
      </w:r>
      <w:r w:rsidR="00F373A3" w:rsidRPr="00181FCD">
        <w:t xml:space="preserve"> </w:t>
      </w:r>
      <w:r w:rsidRPr="00181FCD">
        <w:t>difusión</w:t>
      </w:r>
      <w:r w:rsidR="00F373A3" w:rsidRPr="00181FCD">
        <w:t xml:space="preserve"> </w:t>
      </w:r>
      <w:r w:rsidRPr="00181FCD">
        <w:t>de</w:t>
      </w:r>
      <w:r w:rsidR="00F373A3" w:rsidRPr="00181FCD">
        <w:t xml:space="preserve"> </w:t>
      </w:r>
      <w:r w:rsidRPr="00181FCD">
        <w:t>enfoques</w:t>
      </w:r>
      <w:r w:rsidR="00F373A3" w:rsidRPr="00181FCD">
        <w:t xml:space="preserve"> </w:t>
      </w:r>
      <w:r w:rsidRPr="00181FCD">
        <w:t>de</w:t>
      </w:r>
      <w:r w:rsidR="00F373A3" w:rsidRPr="00181FCD">
        <w:t xml:space="preserve"> </w:t>
      </w:r>
      <w:r w:rsidRPr="00181FCD">
        <w:t>justicia</w:t>
      </w:r>
      <w:r w:rsidR="00F373A3" w:rsidRPr="00181FCD">
        <w:t xml:space="preserve"> </w:t>
      </w:r>
      <w:r w:rsidRPr="00181FCD">
        <w:t>restaurativa;</w:t>
      </w:r>
      <w:r w:rsidR="00F373A3" w:rsidRPr="00181FCD">
        <w:t xml:space="preserve"> </w:t>
      </w:r>
      <w:r w:rsidRPr="00181FCD">
        <w:t>y</w:t>
      </w:r>
      <w:r w:rsidR="00F373A3" w:rsidRPr="00181FCD">
        <w:t xml:space="preserve"> </w:t>
      </w:r>
      <w:r w:rsidRPr="00181FCD">
        <w:t>creación</w:t>
      </w:r>
      <w:r w:rsidR="00F373A3" w:rsidRPr="00181FCD">
        <w:t xml:space="preserve"> </w:t>
      </w:r>
      <w:r w:rsidRPr="00181FCD">
        <w:t>de</w:t>
      </w:r>
      <w:r w:rsidR="00F373A3" w:rsidRPr="00181FCD">
        <w:t xml:space="preserve"> </w:t>
      </w:r>
      <w:r w:rsidRPr="00181FCD">
        <w:t>grupos</w:t>
      </w:r>
      <w:r w:rsidR="00F373A3" w:rsidRPr="00181FCD">
        <w:t xml:space="preserve"> </w:t>
      </w:r>
      <w:r w:rsidRPr="00181FCD">
        <w:t>judiciales</w:t>
      </w:r>
      <w:r w:rsidR="00F373A3" w:rsidRPr="00181FCD">
        <w:t xml:space="preserve"> </w:t>
      </w:r>
      <w:r w:rsidRPr="00181FCD">
        <w:t>especializados</w:t>
      </w:r>
      <w:r w:rsidR="00F373A3" w:rsidRPr="00181FCD">
        <w:t xml:space="preserve"> </w:t>
      </w:r>
      <w:r w:rsidRPr="00181FCD">
        <w:t>para</w:t>
      </w:r>
      <w:r w:rsidR="00F373A3" w:rsidRPr="00181FCD">
        <w:t xml:space="preserve"> </w:t>
      </w:r>
      <w:r w:rsidRPr="00181FCD">
        <w:t>la</w:t>
      </w:r>
      <w:r w:rsidR="00F373A3" w:rsidRPr="00181FCD">
        <w:t xml:space="preserve"> </w:t>
      </w:r>
      <w:r w:rsidRPr="00181FCD">
        <w:t>infancia</w:t>
      </w:r>
      <w:r w:rsidR="00F373A3" w:rsidRPr="00181FCD">
        <w:t xml:space="preserve"> </w:t>
      </w:r>
      <w:r w:rsidRPr="00181FCD">
        <w:t>dentro</w:t>
      </w:r>
      <w:r w:rsidR="00F373A3" w:rsidRPr="00181FCD">
        <w:t xml:space="preserve"> </w:t>
      </w:r>
      <w:r w:rsidRPr="00181FCD">
        <w:t>de</w:t>
      </w:r>
      <w:r w:rsidR="00F373A3" w:rsidRPr="00181FCD">
        <w:t xml:space="preserve"> </w:t>
      </w:r>
      <w:r w:rsidRPr="00181FCD">
        <w:t>la</w:t>
      </w:r>
      <w:r w:rsidR="00F373A3" w:rsidRPr="00181FCD">
        <w:t xml:space="preserve"> </w:t>
      </w:r>
      <w:r w:rsidRPr="00181FCD">
        <w:t>judicatura.</w:t>
      </w:r>
    </w:p>
    <w:p w:rsidR="001937F4" w:rsidRPr="00181FCD" w:rsidRDefault="001937F4" w:rsidP="00347B20">
      <w:pPr>
        <w:pStyle w:val="SingleTxtG"/>
        <w:suppressAutoHyphens/>
      </w:pPr>
      <w:r w:rsidRPr="00181FCD">
        <w:t>29.</w:t>
      </w:r>
      <w:r w:rsidRPr="00181FCD">
        <w:tab/>
        <w:t>El</w:t>
      </w:r>
      <w:r w:rsidR="00F373A3" w:rsidRPr="00181FCD">
        <w:t xml:space="preserve"> </w:t>
      </w:r>
      <w:r w:rsidRPr="00181FCD">
        <w:t>proceso</w:t>
      </w:r>
      <w:r w:rsidR="00F373A3" w:rsidRPr="00181FCD">
        <w:t xml:space="preserve"> </w:t>
      </w:r>
      <w:r w:rsidRPr="00181FCD">
        <w:t>de</w:t>
      </w:r>
      <w:r w:rsidR="00F373A3" w:rsidRPr="00181FCD">
        <w:t xml:space="preserve"> </w:t>
      </w:r>
      <w:r w:rsidRPr="00181FCD">
        <w:t>reformas</w:t>
      </w:r>
      <w:r w:rsidR="00F373A3" w:rsidRPr="00181FCD">
        <w:t xml:space="preserve"> </w:t>
      </w:r>
      <w:r w:rsidRPr="00181FCD">
        <w:t>está</w:t>
      </w:r>
      <w:r w:rsidR="00F373A3" w:rsidRPr="00181FCD">
        <w:t xml:space="preserve"> </w:t>
      </w:r>
      <w:r w:rsidRPr="00181FCD">
        <w:t>estrechamente</w:t>
      </w:r>
      <w:r w:rsidR="00F373A3" w:rsidRPr="00181FCD">
        <w:t xml:space="preserve"> </w:t>
      </w:r>
      <w:r w:rsidRPr="00181FCD">
        <w:t>ligado</w:t>
      </w:r>
      <w:r w:rsidR="00F373A3" w:rsidRPr="00181FCD">
        <w:t xml:space="preserve"> </w:t>
      </w:r>
      <w:r w:rsidRPr="00181FCD">
        <w:t>a</w:t>
      </w:r>
      <w:r w:rsidR="00F373A3" w:rsidRPr="00181FCD">
        <w:t xml:space="preserve"> </w:t>
      </w:r>
      <w:r w:rsidRPr="00181FCD">
        <w:t>la</w:t>
      </w:r>
      <w:r w:rsidR="00F373A3" w:rsidRPr="00181FCD">
        <w:t xml:space="preserve"> </w:t>
      </w:r>
      <w:r w:rsidRPr="00181FCD">
        <w:t>adopción</w:t>
      </w:r>
      <w:r w:rsidR="00F373A3" w:rsidRPr="00181FCD">
        <w:t xml:space="preserve"> </w:t>
      </w:r>
      <w:r w:rsidRPr="00181FCD">
        <w:t>de</w:t>
      </w:r>
      <w:r w:rsidR="00F373A3" w:rsidRPr="00181FCD">
        <w:t xml:space="preserve"> </w:t>
      </w:r>
      <w:r w:rsidRPr="00181FCD">
        <w:t>medidas</w:t>
      </w:r>
      <w:r w:rsidR="00F373A3" w:rsidRPr="00181FCD">
        <w:t xml:space="preserve"> </w:t>
      </w:r>
      <w:r w:rsidRPr="00181FCD">
        <w:t>para</w:t>
      </w:r>
      <w:r w:rsidR="00F373A3" w:rsidRPr="00181FCD">
        <w:t xml:space="preserve"> </w:t>
      </w:r>
      <w:r w:rsidRPr="00181FCD">
        <w:t>fomentar</w:t>
      </w:r>
      <w:r w:rsidR="00F373A3" w:rsidRPr="00181FCD">
        <w:t xml:space="preserve"> </w:t>
      </w:r>
      <w:r w:rsidRPr="00181FCD">
        <w:t>la</w:t>
      </w:r>
      <w:r w:rsidR="00F373A3" w:rsidRPr="00181FCD">
        <w:t xml:space="preserve"> </w:t>
      </w:r>
      <w:r w:rsidRPr="00181FCD">
        <w:t>confianza</w:t>
      </w:r>
      <w:r w:rsidR="00F373A3" w:rsidRPr="00181FCD">
        <w:t xml:space="preserve"> </w:t>
      </w:r>
      <w:r w:rsidRPr="00181FCD">
        <w:t>pública</w:t>
      </w:r>
      <w:r w:rsidR="00F373A3" w:rsidRPr="00181FCD">
        <w:t xml:space="preserve"> </w:t>
      </w:r>
      <w:r w:rsidRPr="00181FCD">
        <w:t>en</w:t>
      </w:r>
      <w:r w:rsidR="00F373A3" w:rsidRPr="00181FCD">
        <w:t xml:space="preserve"> </w:t>
      </w:r>
      <w:r w:rsidRPr="00181FCD">
        <w:t>el</w:t>
      </w:r>
      <w:r w:rsidR="00F373A3" w:rsidRPr="00181FCD">
        <w:t xml:space="preserve"> </w:t>
      </w:r>
      <w:r w:rsidRPr="00181FCD">
        <w:t>sistema</w:t>
      </w:r>
      <w:r w:rsidR="00F373A3" w:rsidRPr="00181FCD">
        <w:t xml:space="preserve"> </w:t>
      </w:r>
      <w:r w:rsidRPr="00181FCD">
        <w:t>judicial.</w:t>
      </w:r>
      <w:r w:rsidR="00F373A3" w:rsidRPr="00181FCD">
        <w:t xml:space="preserve"> </w:t>
      </w:r>
      <w:r w:rsidRPr="00181FCD">
        <w:t>En</w:t>
      </w:r>
      <w:r w:rsidR="00F373A3" w:rsidRPr="00181FCD">
        <w:t xml:space="preserve"> </w:t>
      </w:r>
      <w:r w:rsidRPr="00181FCD">
        <w:t>este</w:t>
      </w:r>
      <w:r w:rsidR="00F373A3" w:rsidRPr="00181FCD">
        <w:t xml:space="preserve"> </w:t>
      </w:r>
      <w:r w:rsidRPr="00181FCD">
        <w:t>sentido,</w:t>
      </w:r>
      <w:r w:rsidR="00F373A3" w:rsidRPr="00181FCD">
        <w:t xml:space="preserve"> </w:t>
      </w:r>
      <w:r w:rsidRPr="00181FCD">
        <w:t>el</w:t>
      </w:r>
      <w:r w:rsidR="00F373A3" w:rsidRPr="00181FCD">
        <w:t xml:space="preserve"> </w:t>
      </w:r>
      <w:r w:rsidRPr="00181FCD">
        <w:rPr>
          <w:i/>
        </w:rPr>
        <w:t>sexto</w:t>
      </w:r>
      <w:r w:rsidR="00F373A3" w:rsidRPr="00181FCD">
        <w:rPr>
          <w:i/>
        </w:rPr>
        <w:t xml:space="preserve"> </w:t>
      </w:r>
      <w:r w:rsidRPr="00181FCD">
        <w:rPr>
          <w:i/>
        </w:rPr>
        <w:t>objetivo</w:t>
      </w:r>
      <w:r w:rsidR="00F373A3" w:rsidRPr="00181FCD">
        <w:rPr>
          <w:i/>
        </w:rPr>
        <w:t xml:space="preserve"> </w:t>
      </w:r>
      <w:r w:rsidRPr="00181FCD">
        <w:rPr>
          <w:i/>
        </w:rPr>
        <w:t>estratégico</w:t>
      </w:r>
      <w:r w:rsidR="00F373A3" w:rsidRPr="00181FCD">
        <w:t xml:space="preserve"> </w:t>
      </w:r>
      <w:r w:rsidRPr="00181FCD">
        <w:t>incorpora</w:t>
      </w:r>
      <w:r w:rsidR="00F373A3" w:rsidRPr="00181FCD">
        <w:t xml:space="preserve"> </w:t>
      </w:r>
      <w:r w:rsidRPr="00181FCD">
        <w:t>medidas</w:t>
      </w:r>
      <w:r w:rsidR="00F373A3" w:rsidRPr="00181FCD">
        <w:t xml:space="preserve"> </w:t>
      </w:r>
      <w:r w:rsidRPr="00181FCD">
        <w:t>para</w:t>
      </w:r>
      <w:r w:rsidR="00F373A3" w:rsidRPr="00181FCD">
        <w:t xml:space="preserve"> </w:t>
      </w:r>
      <w:r w:rsidRPr="00181FCD">
        <w:t>garantizar</w:t>
      </w:r>
      <w:r w:rsidR="00F373A3" w:rsidRPr="00181FCD">
        <w:t xml:space="preserve"> </w:t>
      </w:r>
      <w:r w:rsidRPr="00181FCD">
        <w:t>la</w:t>
      </w:r>
      <w:r w:rsidR="00F373A3" w:rsidRPr="00181FCD">
        <w:t xml:space="preserve"> </w:t>
      </w:r>
      <w:r w:rsidRPr="00181FCD">
        <w:t>participación</w:t>
      </w:r>
      <w:r w:rsidR="00F373A3" w:rsidRPr="00181FCD">
        <w:t xml:space="preserve"> </w:t>
      </w:r>
      <w:r w:rsidRPr="00181FCD">
        <w:t>efectiva</w:t>
      </w:r>
      <w:r w:rsidR="00F373A3" w:rsidRPr="00181FCD">
        <w:t xml:space="preserve"> </w:t>
      </w:r>
      <w:r w:rsidRPr="00181FCD">
        <w:t>del</w:t>
      </w:r>
      <w:r w:rsidR="00F373A3" w:rsidRPr="00181FCD">
        <w:t xml:space="preserve"> </w:t>
      </w:r>
      <w:r w:rsidRPr="00181FCD">
        <w:t>público</w:t>
      </w:r>
      <w:r w:rsidR="00F373A3" w:rsidRPr="00181FCD">
        <w:t xml:space="preserve"> </w:t>
      </w:r>
      <w:r w:rsidRPr="00181FCD">
        <w:t>en</w:t>
      </w:r>
      <w:r w:rsidR="00F373A3" w:rsidRPr="00181FCD">
        <w:t xml:space="preserve"> </w:t>
      </w:r>
      <w:r w:rsidRPr="00181FCD">
        <w:t>la</w:t>
      </w:r>
      <w:r w:rsidR="00F373A3" w:rsidRPr="00181FCD">
        <w:t xml:space="preserve"> </w:t>
      </w:r>
      <w:r w:rsidRPr="00181FCD">
        <w:t>administración</w:t>
      </w:r>
      <w:r w:rsidR="00F373A3" w:rsidRPr="00181FCD">
        <w:t xml:space="preserve"> </w:t>
      </w:r>
      <w:r w:rsidRPr="00181FCD">
        <w:t>de</w:t>
      </w:r>
      <w:r w:rsidR="00F373A3" w:rsidRPr="00181FCD">
        <w:t xml:space="preserve"> </w:t>
      </w:r>
      <w:r w:rsidRPr="00181FCD">
        <w:t>justicia,</w:t>
      </w:r>
      <w:r w:rsidR="00F373A3" w:rsidRPr="00181FCD">
        <w:t xml:space="preserve"> </w:t>
      </w:r>
      <w:r w:rsidRPr="00181FCD">
        <w:t>a</w:t>
      </w:r>
      <w:r w:rsidR="00F373A3" w:rsidRPr="00181FCD">
        <w:t xml:space="preserve"> </w:t>
      </w:r>
      <w:r w:rsidRPr="00181FCD">
        <w:t>través</w:t>
      </w:r>
      <w:r w:rsidR="00F373A3" w:rsidRPr="00181FCD">
        <w:t xml:space="preserve"> </w:t>
      </w:r>
      <w:r w:rsidRPr="00181FCD">
        <w:t>de</w:t>
      </w:r>
      <w:r w:rsidR="00F373A3" w:rsidRPr="00181FCD">
        <w:t xml:space="preserve"> </w:t>
      </w:r>
      <w:r w:rsidRPr="00181FCD">
        <w:t>la</w:t>
      </w:r>
      <w:r w:rsidR="00F373A3" w:rsidRPr="00181FCD">
        <w:t xml:space="preserve"> </w:t>
      </w:r>
      <w:r w:rsidRPr="00181FCD">
        <w:t>institución</w:t>
      </w:r>
      <w:r w:rsidR="00F373A3" w:rsidRPr="00181FCD">
        <w:t xml:space="preserve"> </w:t>
      </w:r>
      <w:r w:rsidRPr="00181FCD">
        <w:t>de</w:t>
      </w:r>
      <w:r w:rsidR="00F373A3" w:rsidRPr="00181FCD">
        <w:t xml:space="preserve"> </w:t>
      </w:r>
      <w:r w:rsidRPr="00181FCD">
        <w:t>los</w:t>
      </w:r>
      <w:r w:rsidR="00F373A3" w:rsidRPr="00181FCD">
        <w:t xml:space="preserve"> </w:t>
      </w:r>
      <w:r w:rsidRPr="00181FCD">
        <w:t>jueces</w:t>
      </w:r>
      <w:r w:rsidR="00F373A3" w:rsidRPr="00181FCD">
        <w:t xml:space="preserve"> </w:t>
      </w:r>
      <w:r w:rsidRPr="00181FCD">
        <w:t>legos,</w:t>
      </w:r>
      <w:r w:rsidR="00F373A3" w:rsidRPr="00181FCD">
        <w:t xml:space="preserve"> </w:t>
      </w:r>
      <w:r w:rsidRPr="00181FCD">
        <w:t>y</w:t>
      </w:r>
      <w:r w:rsidR="00F373A3" w:rsidRPr="00181FCD">
        <w:t xml:space="preserve"> </w:t>
      </w:r>
      <w:r w:rsidRPr="00181FCD">
        <w:t>para</w:t>
      </w:r>
      <w:r w:rsidR="00F373A3" w:rsidRPr="00181FCD">
        <w:t xml:space="preserve"> </w:t>
      </w:r>
      <w:r w:rsidRPr="00181FCD">
        <w:t>aumentar</w:t>
      </w:r>
      <w:r w:rsidR="00F373A3" w:rsidRPr="00181FCD">
        <w:t xml:space="preserve"> </w:t>
      </w:r>
      <w:r w:rsidRPr="00181FCD">
        <w:t>la</w:t>
      </w:r>
      <w:r w:rsidR="00F373A3" w:rsidRPr="00181FCD">
        <w:t xml:space="preserve"> </w:t>
      </w:r>
      <w:r w:rsidRPr="00181FCD">
        <w:t>transparencia</w:t>
      </w:r>
      <w:r w:rsidR="00F373A3" w:rsidRPr="00181FCD">
        <w:t xml:space="preserve"> </w:t>
      </w:r>
      <w:r w:rsidRPr="00181FCD">
        <w:t>del</w:t>
      </w:r>
      <w:r w:rsidR="00F373A3" w:rsidRPr="00181FCD">
        <w:t xml:space="preserve"> </w:t>
      </w:r>
      <w:r w:rsidRPr="00181FCD">
        <w:t>poder</w:t>
      </w:r>
      <w:r w:rsidR="00F373A3" w:rsidRPr="00181FCD">
        <w:t xml:space="preserve"> </w:t>
      </w:r>
      <w:r w:rsidRPr="00181FCD">
        <w:t>judicial</w:t>
      </w:r>
      <w:r w:rsidR="00F373A3" w:rsidRPr="00181FCD">
        <w:t xml:space="preserve"> </w:t>
      </w:r>
      <w:r w:rsidRPr="00181FCD">
        <w:t>y</w:t>
      </w:r>
      <w:r w:rsidR="00F373A3" w:rsidRPr="00181FCD">
        <w:t xml:space="preserve"> </w:t>
      </w:r>
      <w:r w:rsidRPr="00181FCD">
        <w:t>el</w:t>
      </w:r>
      <w:r w:rsidR="00F373A3" w:rsidRPr="00181FCD">
        <w:t xml:space="preserve"> </w:t>
      </w:r>
      <w:r w:rsidRPr="00181FCD">
        <w:t>diálogo</w:t>
      </w:r>
      <w:r w:rsidR="00F373A3" w:rsidRPr="00181FCD">
        <w:t xml:space="preserve"> </w:t>
      </w:r>
      <w:r w:rsidRPr="00181FCD">
        <w:t>con</w:t>
      </w:r>
      <w:r w:rsidR="00F373A3" w:rsidRPr="00181FCD">
        <w:t xml:space="preserve"> </w:t>
      </w:r>
      <w:r w:rsidRPr="00181FCD">
        <w:t>los</w:t>
      </w:r>
      <w:r w:rsidR="00F373A3" w:rsidRPr="00181FCD">
        <w:t xml:space="preserve"> </w:t>
      </w:r>
      <w:r w:rsidRPr="00181FCD">
        <w:t>ciudadanos.</w:t>
      </w:r>
    </w:p>
    <w:p w:rsidR="001937F4" w:rsidRPr="00181FCD" w:rsidRDefault="00F373A3" w:rsidP="00347B20">
      <w:pPr>
        <w:pStyle w:val="H4G"/>
      </w:pPr>
      <w:r w:rsidRPr="00181FCD">
        <w:tab/>
      </w:r>
      <w:r w:rsidRPr="00181FCD">
        <w:tab/>
      </w:r>
      <w:r w:rsidR="001937F4" w:rsidRPr="00181FCD">
        <w:t>Modificaciones</w:t>
      </w:r>
      <w:r w:rsidRPr="00181FCD">
        <w:t xml:space="preserve"> </w:t>
      </w:r>
      <w:r w:rsidR="001937F4" w:rsidRPr="00181FCD">
        <w:t>constitucionales</w:t>
      </w:r>
    </w:p>
    <w:p w:rsidR="001937F4" w:rsidRPr="00181FCD" w:rsidRDefault="001937F4" w:rsidP="00347B20">
      <w:pPr>
        <w:pStyle w:val="SingleTxtG"/>
        <w:suppressAutoHyphens/>
      </w:pPr>
      <w:r w:rsidRPr="00181FCD">
        <w:t>30.</w:t>
      </w:r>
      <w:r w:rsidRPr="00181FCD">
        <w:tab/>
        <w:t>El</w:t>
      </w:r>
      <w:r w:rsidR="00F373A3" w:rsidRPr="00181FCD">
        <w:t xml:space="preserve"> </w:t>
      </w:r>
      <w:r w:rsidRPr="00181FCD">
        <w:t>24</w:t>
      </w:r>
      <w:r w:rsidR="00F373A3" w:rsidRPr="00181FCD">
        <w:t xml:space="preserve"> </w:t>
      </w:r>
      <w:r w:rsidRPr="00181FCD">
        <w:t>de</w:t>
      </w:r>
      <w:r w:rsidR="00F373A3" w:rsidRPr="00181FCD">
        <w:t xml:space="preserve"> </w:t>
      </w:r>
      <w:r w:rsidRPr="00181FCD">
        <w:t>julio</w:t>
      </w:r>
      <w:r w:rsidR="00F373A3" w:rsidRPr="00181FCD">
        <w:t xml:space="preserve"> </w:t>
      </w:r>
      <w:r w:rsidRPr="00181FCD">
        <w:t>de</w:t>
      </w:r>
      <w:r w:rsidR="00F373A3" w:rsidRPr="00181FCD">
        <w:t xml:space="preserve"> </w:t>
      </w:r>
      <w:r w:rsidRPr="00181FCD">
        <w:t>2015</w:t>
      </w:r>
      <w:r w:rsidR="00F373A3" w:rsidRPr="00181FCD">
        <w:t xml:space="preserve"> </w:t>
      </w:r>
      <w:r w:rsidRPr="00181FCD">
        <w:t>se</w:t>
      </w:r>
      <w:r w:rsidR="00F373A3" w:rsidRPr="00181FCD">
        <w:t xml:space="preserve"> </w:t>
      </w:r>
      <w:r w:rsidRPr="00181FCD">
        <w:t>presentó</w:t>
      </w:r>
      <w:r w:rsidR="00F373A3" w:rsidRPr="00181FCD">
        <w:t xml:space="preserve"> </w:t>
      </w:r>
      <w:r w:rsidRPr="00181FCD">
        <w:t>a</w:t>
      </w:r>
      <w:r w:rsidR="00F373A3" w:rsidRPr="00181FCD">
        <w:t xml:space="preserve"> </w:t>
      </w:r>
      <w:r w:rsidRPr="00181FCD">
        <w:t>la</w:t>
      </w:r>
      <w:r w:rsidR="00F373A3" w:rsidRPr="00181FCD">
        <w:t xml:space="preserve"> </w:t>
      </w:r>
      <w:r w:rsidRPr="00181FCD">
        <w:t>Asamblea</w:t>
      </w:r>
      <w:r w:rsidR="00F373A3" w:rsidRPr="00181FCD">
        <w:t xml:space="preserve"> </w:t>
      </w:r>
      <w:r w:rsidRPr="00181FCD">
        <w:t>Nacional</w:t>
      </w:r>
      <w:r w:rsidR="00F373A3" w:rsidRPr="00181FCD">
        <w:t xml:space="preserve"> </w:t>
      </w:r>
      <w:r w:rsidRPr="00181FCD">
        <w:t>de</w:t>
      </w:r>
      <w:r w:rsidR="00F373A3" w:rsidRPr="00181FCD">
        <w:t xml:space="preserve"> </w:t>
      </w:r>
      <w:r w:rsidRPr="00181FCD">
        <w:t>la</w:t>
      </w:r>
      <w:r w:rsidR="00F373A3" w:rsidRPr="00181FCD">
        <w:t xml:space="preserve"> </w:t>
      </w:r>
      <w:r w:rsidRPr="00181FCD">
        <w:t>República</w:t>
      </w:r>
      <w:r w:rsidR="00F373A3" w:rsidRPr="00181FCD">
        <w:t xml:space="preserve"> </w:t>
      </w:r>
      <w:r w:rsidRPr="00181FCD">
        <w:t>de</w:t>
      </w:r>
      <w:r w:rsidR="00F373A3" w:rsidRPr="00181FCD">
        <w:t xml:space="preserve"> </w:t>
      </w:r>
      <w:r w:rsidRPr="00181FCD">
        <w:t>Bulgaria</w:t>
      </w:r>
      <w:r w:rsidR="00F373A3" w:rsidRPr="00181FCD">
        <w:t xml:space="preserve"> </w:t>
      </w:r>
      <w:r w:rsidRPr="00181FCD">
        <w:t>una</w:t>
      </w:r>
      <w:r w:rsidR="00F373A3" w:rsidRPr="00181FCD">
        <w:t xml:space="preserve"> </w:t>
      </w:r>
      <w:r w:rsidRPr="00181FCD">
        <w:t>nueva</w:t>
      </w:r>
      <w:r w:rsidR="00F373A3" w:rsidRPr="00181FCD">
        <w:t xml:space="preserve"> </w:t>
      </w:r>
      <w:r w:rsidRPr="00181FCD">
        <w:t>ley</w:t>
      </w:r>
      <w:r w:rsidR="00F373A3" w:rsidRPr="00181FCD">
        <w:t xml:space="preserve"> </w:t>
      </w:r>
      <w:r w:rsidRPr="00181FCD">
        <w:t>para</w:t>
      </w:r>
      <w:r w:rsidR="00F373A3" w:rsidRPr="00181FCD">
        <w:t xml:space="preserve"> </w:t>
      </w:r>
      <w:r w:rsidRPr="00181FCD">
        <w:t>modificar</w:t>
      </w:r>
      <w:r w:rsidR="00F373A3" w:rsidRPr="00181FCD">
        <w:t xml:space="preserve"> </w:t>
      </w:r>
      <w:r w:rsidRPr="00181FCD">
        <w:t>y</w:t>
      </w:r>
      <w:r w:rsidR="00F373A3" w:rsidRPr="00181FCD">
        <w:t xml:space="preserve"> </w:t>
      </w:r>
      <w:r w:rsidRPr="00181FCD">
        <w:t>complementar</w:t>
      </w:r>
      <w:r w:rsidR="00F373A3" w:rsidRPr="00181FCD">
        <w:t xml:space="preserve"> </w:t>
      </w:r>
      <w:r w:rsidRPr="00181FCD">
        <w:t>la</w:t>
      </w:r>
      <w:r w:rsidR="00F373A3" w:rsidRPr="00181FCD">
        <w:t xml:space="preserve"> </w:t>
      </w:r>
      <w:r w:rsidRPr="00181FCD">
        <w:t>Constitución.</w:t>
      </w:r>
      <w:r w:rsidR="00F373A3" w:rsidRPr="00181FCD">
        <w:t xml:space="preserve"> </w:t>
      </w:r>
      <w:r w:rsidRPr="00181FCD">
        <w:t>La</w:t>
      </w:r>
      <w:r w:rsidR="00F373A3" w:rsidRPr="00181FCD">
        <w:t xml:space="preserve"> </w:t>
      </w:r>
      <w:r w:rsidRPr="00181FCD">
        <w:t>propuesta</w:t>
      </w:r>
      <w:r w:rsidR="00F373A3" w:rsidRPr="00181FCD">
        <w:t xml:space="preserve"> </w:t>
      </w:r>
      <w:r w:rsidRPr="00181FCD">
        <w:t>está</w:t>
      </w:r>
      <w:r w:rsidR="00F373A3" w:rsidRPr="00181FCD">
        <w:t xml:space="preserve"> </w:t>
      </w:r>
      <w:r w:rsidRPr="00181FCD">
        <w:t>apoyada</w:t>
      </w:r>
      <w:r w:rsidR="00F373A3" w:rsidRPr="00181FCD">
        <w:t xml:space="preserve"> </w:t>
      </w:r>
      <w:r w:rsidRPr="00181FCD">
        <w:t>por</w:t>
      </w:r>
      <w:r w:rsidR="00F373A3" w:rsidRPr="00181FCD">
        <w:t xml:space="preserve"> </w:t>
      </w:r>
      <w:r w:rsidRPr="00181FCD">
        <w:t>las</w:t>
      </w:r>
      <w:r w:rsidR="00F373A3" w:rsidRPr="00181FCD">
        <w:t xml:space="preserve"> </w:t>
      </w:r>
      <w:r w:rsidRPr="00181FCD">
        <w:t>firmas</w:t>
      </w:r>
      <w:r w:rsidR="00F373A3" w:rsidRPr="00181FCD">
        <w:t xml:space="preserve"> </w:t>
      </w:r>
      <w:r w:rsidRPr="00181FCD">
        <w:t>de</w:t>
      </w:r>
      <w:r w:rsidR="00F373A3" w:rsidRPr="00181FCD">
        <w:t xml:space="preserve"> </w:t>
      </w:r>
      <w:r w:rsidRPr="00181FCD">
        <w:t>180</w:t>
      </w:r>
      <w:r w:rsidR="00F373A3" w:rsidRPr="00181FCD">
        <w:t xml:space="preserve"> </w:t>
      </w:r>
      <w:r w:rsidRPr="00181FCD">
        <w:t>diputados,</w:t>
      </w:r>
      <w:r w:rsidR="00F373A3" w:rsidRPr="00181FCD">
        <w:t xml:space="preserve"> </w:t>
      </w:r>
      <w:r w:rsidRPr="00181FCD">
        <w:t>como</w:t>
      </w:r>
      <w:r w:rsidR="00F373A3" w:rsidRPr="00181FCD">
        <w:t xml:space="preserve"> </w:t>
      </w:r>
      <w:r w:rsidRPr="00181FCD">
        <w:t>garantía</w:t>
      </w:r>
      <w:r w:rsidR="00F373A3" w:rsidRPr="00181FCD">
        <w:t xml:space="preserve"> </w:t>
      </w:r>
      <w:r w:rsidRPr="00181FCD">
        <w:t>de</w:t>
      </w:r>
      <w:r w:rsidR="00F373A3" w:rsidRPr="00181FCD">
        <w:t xml:space="preserve"> </w:t>
      </w:r>
      <w:r w:rsidRPr="00181FCD">
        <w:t>su</w:t>
      </w:r>
      <w:r w:rsidR="00F373A3" w:rsidRPr="00181FCD">
        <w:t xml:space="preserve"> </w:t>
      </w:r>
      <w:r w:rsidRPr="00181FCD">
        <w:t>adopción.</w:t>
      </w:r>
      <w:r w:rsidR="00F373A3" w:rsidRPr="00181FCD">
        <w:t xml:space="preserve"> </w:t>
      </w:r>
      <w:r w:rsidRPr="00181FCD">
        <w:t>Con</w:t>
      </w:r>
      <w:r w:rsidR="00F373A3" w:rsidRPr="00181FCD">
        <w:t xml:space="preserve"> </w:t>
      </w:r>
      <w:r w:rsidRPr="00181FCD">
        <w:t>184</w:t>
      </w:r>
      <w:r w:rsidR="00F373A3" w:rsidRPr="00181FCD">
        <w:t xml:space="preserve"> </w:t>
      </w:r>
      <w:r w:rsidRPr="00181FCD">
        <w:t>votos</w:t>
      </w:r>
      <w:r w:rsidR="00F373A3" w:rsidRPr="00181FCD">
        <w:t xml:space="preserve"> "</w:t>
      </w:r>
      <w:r w:rsidRPr="00181FCD">
        <w:t>a</w:t>
      </w:r>
      <w:r w:rsidR="001247AC" w:rsidRPr="00181FCD">
        <w:t> </w:t>
      </w:r>
      <w:r w:rsidRPr="00181FCD">
        <w:t>favor</w:t>
      </w:r>
      <w:r w:rsidR="00F373A3" w:rsidRPr="00181FCD">
        <w:t>"</w:t>
      </w:r>
      <w:r w:rsidRPr="00181FCD">
        <w:t>,</w:t>
      </w:r>
      <w:r w:rsidR="00F373A3" w:rsidRPr="00181FCD">
        <w:t xml:space="preserve"> </w:t>
      </w:r>
      <w:r w:rsidRPr="00181FCD">
        <w:t>las</w:t>
      </w:r>
      <w:r w:rsidR="00F373A3" w:rsidRPr="00181FCD">
        <w:t xml:space="preserve"> </w:t>
      </w:r>
      <w:r w:rsidRPr="00181FCD">
        <w:t>modificaciones</w:t>
      </w:r>
      <w:r w:rsidR="00672EC2" w:rsidRPr="00181FCD">
        <w:t xml:space="preserve"> </w:t>
      </w:r>
      <w:r w:rsidRPr="00181FCD">
        <w:t>propuestas</w:t>
      </w:r>
      <w:r w:rsidR="00F373A3" w:rsidRPr="00181FCD">
        <w:t xml:space="preserve"> </w:t>
      </w:r>
      <w:r w:rsidRPr="00181FCD">
        <w:t>fueron</w:t>
      </w:r>
      <w:r w:rsidR="00F373A3" w:rsidRPr="00181FCD">
        <w:t xml:space="preserve"> </w:t>
      </w:r>
      <w:r w:rsidRPr="00181FCD">
        <w:t>aprobadas</w:t>
      </w:r>
      <w:r w:rsidR="00F373A3" w:rsidRPr="00181FCD">
        <w:t xml:space="preserve"> </w:t>
      </w:r>
      <w:r w:rsidRPr="00181FCD">
        <w:t>en</w:t>
      </w:r>
      <w:r w:rsidR="00F373A3" w:rsidRPr="00181FCD">
        <w:t xml:space="preserve"> </w:t>
      </w:r>
      <w:r w:rsidRPr="00181FCD">
        <w:t>primera</w:t>
      </w:r>
      <w:r w:rsidR="00F373A3" w:rsidRPr="00181FCD">
        <w:t xml:space="preserve"> </w:t>
      </w:r>
      <w:r w:rsidRPr="00181FCD">
        <w:t>lectura</w:t>
      </w:r>
      <w:r w:rsidR="00F373A3" w:rsidRPr="00181FCD">
        <w:t xml:space="preserve"> </w:t>
      </w:r>
      <w:r w:rsidRPr="00181FCD">
        <w:t>el</w:t>
      </w:r>
      <w:r w:rsidR="00F373A3" w:rsidRPr="00181FCD">
        <w:t xml:space="preserve"> </w:t>
      </w:r>
      <w:r w:rsidRPr="00181FCD">
        <w:t>23</w:t>
      </w:r>
      <w:r w:rsidR="00F373A3" w:rsidRPr="00181FCD">
        <w:t xml:space="preserve"> </w:t>
      </w:r>
      <w:r w:rsidRPr="00181FCD">
        <w:t>de</w:t>
      </w:r>
      <w:r w:rsidR="00F373A3" w:rsidRPr="00181FCD">
        <w:t xml:space="preserve"> </w:t>
      </w:r>
      <w:r w:rsidRPr="00181FCD">
        <w:t>septiembre</w:t>
      </w:r>
      <w:r w:rsidR="00F373A3" w:rsidRPr="00181FCD">
        <w:t xml:space="preserve"> </w:t>
      </w:r>
      <w:r w:rsidRPr="00181FCD">
        <w:t>de</w:t>
      </w:r>
      <w:r w:rsidR="00F373A3" w:rsidRPr="00181FCD">
        <w:t xml:space="preserve"> </w:t>
      </w:r>
      <w:r w:rsidRPr="00181FCD">
        <w:t>2015.</w:t>
      </w:r>
    </w:p>
    <w:p w:rsidR="001937F4" w:rsidRPr="00181FCD" w:rsidRDefault="001937F4" w:rsidP="00347B20">
      <w:pPr>
        <w:pStyle w:val="SingleTxtG"/>
        <w:keepNext/>
        <w:suppressAutoHyphens/>
      </w:pPr>
      <w:r w:rsidRPr="00181FCD">
        <w:t>31.</w:t>
      </w:r>
      <w:r w:rsidRPr="00181FCD">
        <w:tab/>
        <w:t>Las</w:t>
      </w:r>
      <w:r w:rsidR="00F373A3" w:rsidRPr="00181FCD">
        <w:t xml:space="preserve"> </w:t>
      </w:r>
      <w:r w:rsidRPr="00181FCD">
        <w:t>propuestas</w:t>
      </w:r>
      <w:r w:rsidR="00F373A3" w:rsidRPr="00181FCD">
        <w:t xml:space="preserve"> </w:t>
      </w:r>
      <w:r w:rsidRPr="00181FCD">
        <w:t>principales</w:t>
      </w:r>
      <w:r w:rsidR="00F373A3" w:rsidRPr="00181FCD">
        <w:t xml:space="preserve"> </w:t>
      </w:r>
      <w:r w:rsidRPr="00181FCD">
        <w:t>son:</w:t>
      </w:r>
    </w:p>
    <w:p w:rsidR="001937F4" w:rsidRPr="00181FCD" w:rsidRDefault="00B46CDC" w:rsidP="00347B20">
      <w:pPr>
        <w:pStyle w:val="H56G"/>
      </w:pPr>
      <w:r w:rsidRPr="00181FCD">
        <w:tab/>
      </w:r>
      <w:r w:rsidRPr="00181FCD">
        <w:tab/>
      </w:r>
      <w:r w:rsidR="001937F4" w:rsidRPr="00181FCD">
        <w:t>Cambios</w:t>
      </w:r>
      <w:r w:rsidR="00F373A3" w:rsidRPr="00181FCD">
        <w:t xml:space="preserve"> </w:t>
      </w:r>
      <w:r w:rsidR="001937F4" w:rsidRPr="00181FCD">
        <w:t>estructurales</w:t>
      </w:r>
      <w:r w:rsidR="00F373A3" w:rsidRPr="00181FCD">
        <w:t xml:space="preserve"> </w:t>
      </w:r>
      <w:r w:rsidR="001937F4" w:rsidRPr="00181FCD">
        <w:t>y</w:t>
      </w:r>
      <w:r w:rsidR="00F373A3" w:rsidRPr="00181FCD">
        <w:t xml:space="preserve"> </w:t>
      </w:r>
      <w:r w:rsidR="001937F4" w:rsidRPr="00181FCD">
        <w:t>de</w:t>
      </w:r>
      <w:r w:rsidR="00F373A3" w:rsidRPr="00181FCD">
        <w:t xml:space="preserve"> </w:t>
      </w:r>
      <w:r w:rsidR="001937F4" w:rsidRPr="00181FCD">
        <w:t>organización</w:t>
      </w:r>
      <w:r w:rsidR="00F373A3" w:rsidRPr="00181FCD">
        <w:t xml:space="preserve"> </w:t>
      </w:r>
      <w:r w:rsidR="001937F4" w:rsidRPr="00181FCD">
        <w:t>en</w:t>
      </w:r>
      <w:r w:rsidR="00F373A3" w:rsidRPr="00181FCD">
        <w:t xml:space="preserve"> </w:t>
      </w:r>
      <w:r w:rsidR="001937F4" w:rsidRPr="00181FCD">
        <w:t>el</w:t>
      </w:r>
      <w:r w:rsidR="00F373A3" w:rsidRPr="00181FCD">
        <w:t xml:space="preserve"> </w:t>
      </w:r>
      <w:r w:rsidR="001937F4" w:rsidRPr="00181FCD">
        <w:t>Consejo</w:t>
      </w:r>
      <w:r w:rsidR="00F373A3" w:rsidRPr="00181FCD">
        <w:t xml:space="preserve"> </w:t>
      </w:r>
      <w:r w:rsidR="001937F4" w:rsidRPr="00181FCD">
        <w:t>Supremo</w:t>
      </w:r>
      <w:r w:rsidR="00F373A3" w:rsidRPr="00181FCD">
        <w:t xml:space="preserve"> </w:t>
      </w:r>
      <w:r w:rsidR="001937F4" w:rsidRPr="00181FCD">
        <w:t>de</w:t>
      </w:r>
      <w:r w:rsidR="00F373A3" w:rsidRPr="00181FCD">
        <w:t xml:space="preserve"> </w:t>
      </w:r>
      <w:r w:rsidR="001937F4" w:rsidRPr="00181FCD">
        <w:t>la</w:t>
      </w:r>
      <w:r w:rsidR="00F373A3" w:rsidRPr="00181FCD">
        <w:t xml:space="preserve"> </w:t>
      </w:r>
      <w:r w:rsidR="001937F4" w:rsidRPr="00181FCD">
        <w:t>Judicatura</w:t>
      </w:r>
    </w:p>
    <w:p w:rsidR="001937F4" w:rsidRPr="00181FCD" w:rsidRDefault="001937F4" w:rsidP="00347B20">
      <w:pPr>
        <w:pStyle w:val="SingleTxtG"/>
        <w:suppressAutoHyphens/>
        <w:rPr>
          <w:i/>
        </w:rPr>
      </w:pPr>
      <w:r w:rsidRPr="00181FCD">
        <w:rPr>
          <w:i/>
        </w:rPr>
        <w:t>Objetivo:</w:t>
      </w:r>
      <w:r w:rsidR="00F373A3" w:rsidRPr="00181FCD">
        <w:rPr>
          <w:i/>
        </w:rPr>
        <w:t xml:space="preserve"> </w:t>
      </w:r>
      <w:r w:rsidRPr="00181FCD">
        <w:rPr>
          <w:i/>
        </w:rPr>
        <w:t>un</w:t>
      </w:r>
      <w:r w:rsidR="00F373A3" w:rsidRPr="00181FCD">
        <w:rPr>
          <w:i/>
        </w:rPr>
        <w:t xml:space="preserve"> </w:t>
      </w:r>
      <w:r w:rsidRPr="00181FCD">
        <w:rPr>
          <w:i/>
        </w:rPr>
        <w:t>Consejo</w:t>
      </w:r>
      <w:r w:rsidR="00F373A3" w:rsidRPr="00181FCD">
        <w:rPr>
          <w:i/>
        </w:rPr>
        <w:t xml:space="preserve"> </w:t>
      </w:r>
      <w:r w:rsidRPr="00181FCD">
        <w:rPr>
          <w:i/>
        </w:rPr>
        <w:t>Supremo</w:t>
      </w:r>
      <w:r w:rsidR="00F373A3" w:rsidRPr="00181FCD">
        <w:rPr>
          <w:i/>
        </w:rPr>
        <w:t xml:space="preserve"> </w:t>
      </w:r>
      <w:r w:rsidRPr="00181FCD">
        <w:rPr>
          <w:i/>
        </w:rPr>
        <w:t>de</w:t>
      </w:r>
      <w:r w:rsidR="00F373A3" w:rsidRPr="00181FCD">
        <w:rPr>
          <w:i/>
        </w:rPr>
        <w:t xml:space="preserve"> </w:t>
      </w:r>
      <w:r w:rsidRPr="00181FCD">
        <w:rPr>
          <w:i/>
        </w:rPr>
        <w:t>la</w:t>
      </w:r>
      <w:r w:rsidR="00F373A3" w:rsidRPr="00181FCD">
        <w:rPr>
          <w:i/>
        </w:rPr>
        <w:t xml:space="preserve"> </w:t>
      </w:r>
      <w:r w:rsidRPr="00181FCD">
        <w:rPr>
          <w:i/>
        </w:rPr>
        <w:t>Judicatura</w:t>
      </w:r>
      <w:r w:rsidR="00F373A3" w:rsidRPr="00181FCD">
        <w:rPr>
          <w:i/>
        </w:rPr>
        <w:t xml:space="preserve"> </w:t>
      </w:r>
      <w:r w:rsidRPr="00181FCD">
        <w:rPr>
          <w:i/>
        </w:rPr>
        <w:t>independiente</w:t>
      </w:r>
      <w:r w:rsidR="00F373A3" w:rsidRPr="00181FCD">
        <w:rPr>
          <w:i/>
        </w:rPr>
        <w:t xml:space="preserve"> </w:t>
      </w:r>
      <w:r w:rsidRPr="00181FCD">
        <w:rPr>
          <w:i/>
        </w:rPr>
        <w:t>y</w:t>
      </w:r>
      <w:r w:rsidR="00F373A3" w:rsidRPr="00181FCD">
        <w:rPr>
          <w:i/>
        </w:rPr>
        <w:t xml:space="preserve"> </w:t>
      </w:r>
      <w:r w:rsidRPr="00181FCD">
        <w:rPr>
          <w:i/>
        </w:rPr>
        <w:t>eficiente,</w:t>
      </w:r>
      <w:r w:rsidR="00F373A3" w:rsidRPr="00181FCD">
        <w:rPr>
          <w:i/>
        </w:rPr>
        <w:t xml:space="preserve"> </w:t>
      </w:r>
      <w:r w:rsidRPr="00181FCD">
        <w:rPr>
          <w:i/>
        </w:rPr>
        <w:t>que</w:t>
      </w:r>
      <w:r w:rsidR="00F373A3" w:rsidRPr="00181FCD">
        <w:rPr>
          <w:i/>
        </w:rPr>
        <w:t xml:space="preserve"> </w:t>
      </w:r>
      <w:r w:rsidRPr="00181FCD">
        <w:rPr>
          <w:i/>
        </w:rPr>
        <w:t>garantice</w:t>
      </w:r>
      <w:r w:rsidR="00F373A3" w:rsidRPr="00181FCD">
        <w:rPr>
          <w:i/>
        </w:rPr>
        <w:t xml:space="preserve"> </w:t>
      </w:r>
      <w:r w:rsidRPr="00181FCD">
        <w:rPr>
          <w:i/>
        </w:rPr>
        <w:t>la</w:t>
      </w:r>
      <w:r w:rsidR="00F373A3" w:rsidRPr="00181FCD">
        <w:rPr>
          <w:i/>
        </w:rPr>
        <w:t xml:space="preserve"> </w:t>
      </w:r>
      <w:r w:rsidRPr="00181FCD">
        <w:rPr>
          <w:i/>
        </w:rPr>
        <w:t>transparencia</w:t>
      </w:r>
      <w:r w:rsidR="00F373A3" w:rsidRPr="00181FCD">
        <w:rPr>
          <w:i/>
        </w:rPr>
        <w:t xml:space="preserve"> </w:t>
      </w:r>
      <w:r w:rsidRPr="00181FCD">
        <w:rPr>
          <w:i/>
        </w:rPr>
        <w:t>de</w:t>
      </w:r>
      <w:r w:rsidR="00F373A3" w:rsidRPr="00181FCD">
        <w:rPr>
          <w:i/>
        </w:rPr>
        <w:t xml:space="preserve"> </w:t>
      </w:r>
      <w:r w:rsidRPr="00181FCD">
        <w:rPr>
          <w:i/>
        </w:rPr>
        <w:t>los</w:t>
      </w:r>
      <w:r w:rsidR="00F373A3" w:rsidRPr="00181FCD">
        <w:rPr>
          <w:i/>
        </w:rPr>
        <w:t xml:space="preserve"> </w:t>
      </w:r>
      <w:r w:rsidRPr="00181FCD">
        <w:rPr>
          <w:i/>
        </w:rPr>
        <w:t>nombramientos</w:t>
      </w:r>
      <w:r w:rsidR="00F373A3" w:rsidRPr="00181FCD">
        <w:rPr>
          <w:i/>
        </w:rPr>
        <w:t xml:space="preserve"> </w:t>
      </w:r>
      <w:r w:rsidRPr="00181FCD">
        <w:rPr>
          <w:i/>
        </w:rPr>
        <w:t>en</w:t>
      </w:r>
      <w:r w:rsidR="00F373A3" w:rsidRPr="00181FCD">
        <w:rPr>
          <w:i/>
        </w:rPr>
        <w:t xml:space="preserve"> </w:t>
      </w:r>
      <w:r w:rsidRPr="00181FCD">
        <w:rPr>
          <w:i/>
        </w:rPr>
        <w:t>el</w:t>
      </w:r>
      <w:r w:rsidR="00F373A3" w:rsidRPr="00181FCD">
        <w:rPr>
          <w:i/>
        </w:rPr>
        <w:t xml:space="preserve"> </w:t>
      </w:r>
      <w:r w:rsidRPr="00181FCD">
        <w:rPr>
          <w:i/>
        </w:rPr>
        <w:t>poder</w:t>
      </w:r>
      <w:r w:rsidR="00F373A3" w:rsidRPr="00181FCD">
        <w:rPr>
          <w:i/>
        </w:rPr>
        <w:t xml:space="preserve"> </w:t>
      </w:r>
      <w:r w:rsidRPr="00181FCD">
        <w:rPr>
          <w:i/>
        </w:rPr>
        <w:t>judicial</w:t>
      </w:r>
      <w:r w:rsidR="00F373A3" w:rsidRPr="00181FCD">
        <w:rPr>
          <w:i/>
        </w:rPr>
        <w:t xml:space="preserve"> </w:t>
      </w:r>
      <w:r w:rsidRPr="00181FCD">
        <w:rPr>
          <w:i/>
        </w:rPr>
        <w:t>e</w:t>
      </w:r>
      <w:r w:rsidR="00F373A3" w:rsidRPr="00181FCD">
        <w:rPr>
          <w:i/>
        </w:rPr>
        <w:t xml:space="preserve"> </w:t>
      </w:r>
      <w:r w:rsidRPr="00181FCD">
        <w:rPr>
          <w:i/>
        </w:rPr>
        <w:t>infunda</w:t>
      </w:r>
      <w:r w:rsidR="00F373A3" w:rsidRPr="00181FCD">
        <w:rPr>
          <w:i/>
        </w:rPr>
        <w:t xml:space="preserve"> </w:t>
      </w:r>
      <w:r w:rsidRPr="00181FCD">
        <w:rPr>
          <w:i/>
        </w:rPr>
        <w:t>confianza</w:t>
      </w:r>
      <w:r w:rsidR="00F373A3" w:rsidRPr="00181FCD">
        <w:rPr>
          <w:i/>
        </w:rPr>
        <w:t xml:space="preserve"> </w:t>
      </w:r>
      <w:r w:rsidRPr="00181FCD">
        <w:rPr>
          <w:i/>
        </w:rPr>
        <w:t>a</w:t>
      </w:r>
      <w:r w:rsidR="00F373A3" w:rsidRPr="00181FCD">
        <w:rPr>
          <w:i/>
        </w:rPr>
        <w:t xml:space="preserve"> </w:t>
      </w:r>
      <w:r w:rsidRPr="00181FCD">
        <w:rPr>
          <w:i/>
        </w:rPr>
        <w:t>la</w:t>
      </w:r>
      <w:r w:rsidR="00F373A3" w:rsidRPr="00181FCD">
        <w:rPr>
          <w:i/>
        </w:rPr>
        <w:t xml:space="preserve"> </w:t>
      </w:r>
      <w:r w:rsidRPr="00181FCD">
        <w:rPr>
          <w:i/>
        </w:rPr>
        <w:t>sociedad</w:t>
      </w:r>
      <w:r w:rsidR="00F373A3" w:rsidRPr="00181FCD">
        <w:rPr>
          <w:i/>
        </w:rPr>
        <w:t xml:space="preserve"> </w:t>
      </w:r>
      <w:r w:rsidRPr="00181FCD">
        <w:rPr>
          <w:i/>
        </w:rPr>
        <w:t>y</w:t>
      </w:r>
      <w:r w:rsidR="00F373A3" w:rsidRPr="00181FCD">
        <w:rPr>
          <w:i/>
        </w:rPr>
        <w:t xml:space="preserve"> </w:t>
      </w:r>
      <w:r w:rsidRPr="00181FCD">
        <w:rPr>
          <w:i/>
        </w:rPr>
        <w:t>a</w:t>
      </w:r>
      <w:r w:rsidR="00F373A3" w:rsidRPr="00181FCD">
        <w:rPr>
          <w:i/>
        </w:rPr>
        <w:t xml:space="preserve"> </w:t>
      </w:r>
      <w:r w:rsidRPr="00181FCD">
        <w:rPr>
          <w:i/>
        </w:rPr>
        <w:t>los</w:t>
      </w:r>
      <w:r w:rsidR="00F373A3" w:rsidRPr="00181FCD">
        <w:rPr>
          <w:i/>
        </w:rPr>
        <w:t xml:space="preserve"> </w:t>
      </w:r>
      <w:r w:rsidRPr="00181FCD">
        <w:rPr>
          <w:i/>
        </w:rPr>
        <w:t>jueces,</w:t>
      </w:r>
      <w:r w:rsidR="00F373A3" w:rsidRPr="00181FCD">
        <w:rPr>
          <w:i/>
        </w:rPr>
        <w:t xml:space="preserve"> </w:t>
      </w:r>
      <w:r w:rsidRPr="00181FCD">
        <w:rPr>
          <w:i/>
        </w:rPr>
        <w:t>los</w:t>
      </w:r>
      <w:r w:rsidR="00F373A3" w:rsidRPr="00181FCD">
        <w:rPr>
          <w:i/>
        </w:rPr>
        <w:t xml:space="preserve"> </w:t>
      </w:r>
      <w:r w:rsidRPr="00181FCD">
        <w:rPr>
          <w:i/>
        </w:rPr>
        <w:t>fiscales</w:t>
      </w:r>
      <w:r w:rsidR="00F373A3" w:rsidRPr="00181FCD">
        <w:rPr>
          <w:i/>
        </w:rPr>
        <w:t xml:space="preserve"> </w:t>
      </w:r>
      <w:r w:rsidRPr="00181FCD">
        <w:rPr>
          <w:i/>
        </w:rPr>
        <w:t>y</w:t>
      </w:r>
      <w:r w:rsidR="00F373A3" w:rsidRPr="00181FCD">
        <w:rPr>
          <w:i/>
        </w:rPr>
        <w:t xml:space="preserve"> </w:t>
      </w:r>
      <w:r w:rsidRPr="00181FCD">
        <w:rPr>
          <w:i/>
        </w:rPr>
        <w:t>los</w:t>
      </w:r>
      <w:r w:rsidR="00F373A3" w:rsidRPr="00181FCD">
        <w:rPr>
          <w:i/>
        </w:rPr>
        <w:t xml:space="preserve"> </w:t>
      </w:r>
      <w:r w:rsidRPr="00181FCD">
        <w:rPr>
          <w:i/>
        </w:rPr>
        <w:t>funcionarios</w:t>
      </w:r>
      <w:r w:rsidR="00F373A3" w:rsidRPr="00181FCD">
        <w:rPr>
          <w:i/>
        </w:rPr>
        <w:t xml:space="preserve"> </w:t>
      </w:r>
      <w:r w:rsidRPr="00181FCD">
        <w:rPr>
          <w:i/>
        </w:rPr>
        <w:t>encargados</w:t>
      </w:r>
      <w:r w:rsidR="00F373A3" w:rsidRPr="00181FCD">
        <w:rPr>
          <w:i/>
        </w:rPr>
        <w:t xml:space="preserve"> </w:t>
      </w:r>
      <w:r w:rsidRPr="00181FCD">
        <w:rPr>
          <w:i/>
        </w:rPr>
        <w:t>de</w:t>
      </w:r>
      <w:r w:rsidR="00F373A3" w:rsidRPr="00181FCD">
        <w:rPr>
          <w:i/>
        </w:rPr>
        <w:t xml:space="preserve"> </w:t>
      </w:r>
      <w:r w:rsidRPr="00181FCD">
        <w:rPr>
          <w:i/>
        </w:rPr>
        <w:t>la</w:t>
      </w:r>
      <w:r w:rsidR="00F373A3" w:rsidRPr="00181FCD">
        <w:rPr>
          <w:i/>
        </w:rPr>
        <w:t xml:space="preserve"> </w:t>
      </w:r>
      <w:r w:rsidRPr="00181FCD">
        <w:rPr>
          <w:i/>
        </w:rPr>
        <w:t>instrucción.</w:t>
      </w:r>
    </w:p>
    <w:p w:rsidR="001937F4" w:rsidRPr="00181FCD" w:rsidRDefault="001937F4" w:rsidP="00347B20">
      <w:pPr>
        <w:pStyle w:val="Bullet1G"/>
        <w:suppressAutoHyphens/>
      </w:pPr>
      <w:r w:rsidRPr="00181FCD">
        <w:t>División</w:t>
      </w:r>
      <w:r w:rsidR="00F373A3" w:rsidRPr="00181FCD">
        <w:t xml:space="preserve"> </w:t>
      </w:r>
      <w:r w:rsidRPr="00181FCD">
        <w:t>del</w:t>
      </w:r>
      <w:r w:rsidR="00F373A3" w:rsidRPr="00181FCD">
        <w:t xml:space="preserve"> </w:t>
      </w:r>
      <w:r w:rsidRPr="00181FCD">
        <w:t>Consejo</w:t>
      </w:r>
      <w:r w:rsidR="00F373A3" w:rsidRPr="00181FCD">
        <w:t xml:space="preserve"> </w:t>
      </w:r>
      <w:r w:rsidRPr="00181FCD">
        <w:t>Supremo</w:t>
      </w:r>
      <w:r w:rsidR="00F373A3" w:rsidRPr="00181FCD">
        <w:t xml:space="preserve"> </w:t>
      </w:r>
      <w:r w:rsidRPr="00181FCD">
        <w:t>de</w:t>
      </w:r>
      <w:r w:rsidR="00F373A3" w:rsidRPr="00181FCD">
        <w:t xml:space="preserve"> </w:t>
      </w:r>
      <w:r w:rsidRPr="00181FCD">
        <w:t>la</w:t>
      </w:r>
      <w:r w:rsidR="00F373A3" w:rsidRPr="00181FCD">
        <w:t xml:space="preserve"> </w:t>
      </w:r>
      <w:r w:rsidRPr="00181FCD">
        <w:t>Judicatura</w:t>
      </w:r>
      <w:r w:rsidR="00F373A3" w:rsidRPr="00181FCD">
        <w:t xml:space="preserve"> </w:t>
      </w:r>
      <w:r w:rsidRPr="00181FCD">
        <w:t>en</w:t>
      </w:r>
      <w:r w:rsidR="00F373A3" w:rsidRPr="00181FCD">
        <w:t xml:space="preserve"> </w:t>
      </w:r>
      <w:r w:rsidRPr="00181FCD">
        <w:t>dos</w:t>
      </w:r>
      <w:r w:rsidR="00F373A3" w:rsidRPr="00181FCD">
        <w:t xml:space="preserve"> </w:t>
      </w:r>
      <w:r w:rsidRPr="00181FCD">
        <w:t>salas,</w:t>
      </w:r>
      <w:r w:rsidR="00F373A3" w:rsidRPr="00181FCD">
        <w:t xml:space="preserve"> </w:t>
      </w:r>
      <w:r w:rsidRPr="00181FCD">
        <w:t>la</w:t>
      </w:r>
      <w:r w:rsidR="00F373A3" w:rsidRPr="00181FCD">
        <w:t xml:space="preserve"> </w:t>
      </w:r>
      <w:r w:rsidRPr="00181FCD">
        <w:t>sala</w:t>
      </w:r>
      <w:r w:rsidR="00F373A3" w:rsidRPr="00181FCD">
        <w:t xml:space="preserve"> </w:t>
      </w:r>
      <w:r w:rsidRPr="00181FCD">
        <w:t>de</w:t>
      </w:r>
      <w:r w:rsidR="00F373A3" w:rsidRPr="00181FCD">
        <w:t xml:space="preserve"> </w:t>
      </w:r>
      <w:r w:rsidRPr="00181FCD">
        <w:t>los</w:t>
      </w:r>
      <w:r w:rsidR="00F373A3" w:rsidRPr="00181FCD">
        <w:t xml:space="preserve"> </w:t>
      </w:r>
      <w:r w:rsidRPr="00181FCD">
        <w:t>jueces</w:t>
      </w:r>
      <w:r w:rsidR="00F373A3" w:rsidRPr="00181FCD">
        <w:t xml:space="preserve"> </w:t>
      </w:r>
      <w:r w:rsidRPr="00181FCD">
        <w:t>y</w:t>
      </w:r>
      <w:r w:rsidR="00F373A3" w:rsidRPr="00181FCD">
        <w:t xml:space="preserve"> </w:t>
      </w:r>
      <w:r w:rsidRPr="00181FCD">
        <w:t>la</w:t>
      </w:r>
      <w:r w:rsidR="00F373A3" w:rsidRPr="00181FCD">
        <w:t xml:space="preserve"> </w:t>
      </w:r>
      <w:r w:rsidRPr="00181FCD">
        <w:t>sala</w:t>
      </w:r>
      <w:r w:rsidR="00F373A3" w:rsidRPr="00181FCD">
        <w:t xml:space="preserve"> </w:t>
      </w:r>
      <w:r w:rsidRPr="00181FCD">
        <w:t>de</w:t>
      </w:r>
      <w:r w:rsidR="00F373A3" w:rsidRPr="00181FCD">
        <w:t xml:space="preserve"> </w:t>
      </w:r>
      <w:r w:rsidRPr="00181FCD">
        <w:t>los</w:t>
      </w:r>
      <w:r w:rsidR="00F373A3" w:rsidRPr="00181FCD">
        <w:t xml:space="preserve"> </w:t>
      </w:r>
      <w:r w:rsidRPr="00181FCD">
        <w:t>fiscales,</w:t>
      </w:r>
      <w:r w:rsidR="00F373A3" w:rsidRPr="00181FCD">
        <w:t xml:space="preserve"> </w:t>
      </w:r>
      <w:r w:rsidRPr="00181FCD">
        <w:t>que</w:t>
      </w:r>
      <w:r w:rsidR="00F373A3" w:rsidRPr="00181FCD">
        <w:t xml:space="preserve"> </w:t>
      </w:r>
      <w:r w:rsidRPr="00181FCD">
        <w:t>ejercen</w:t>
      </w:r>
      <w:r w:rsidR="00F373A3" w:rsidRPr="00181FCD">
        <w:t xml:space="preserve"> </w:t>
      </w:r>
      <w:r w:rsidRPr="00181FCD">
        <w:t>de</w:t>
      </w:r>
      <w:r w:rsidR="00F373A3" w:rsidRPr="00181FCD">
        <w:t xml:space="preserve"> </w:t>
      </w:r>
      <w:r w:rsidRPr="00181FCD">
        <w:t>forma</w:t>
      </w:r>
      <w:r w:rsidR="00F373A3" w:rsidRPr="00181FCD">
        <w:t xml:space="preserve"> </w:t>
      </w:r>
      <w:r w:rsidRPr="00181FCD">
        <w:t>independiente</w:t>
      </w:r>
      <w:r w:rsidR="00F373A3" w:rsidRPr="00181FCD">
        <w:t xml:space="preserve"> </w:t>
      </w:r>
      <w:r w:rsidRPr="00181FCD">
        <w:t>atribuciones</w:t>
      </w:r>
      <w:r w:rsidR="00F373A3" w:rsidRPr="00181FCD">
        <w:t xml:space="preserve"> </w:t>
      </w:r>
      <w:r w:rsidRPr="00181FCD">
        <w:t>en</w:t>
      </w:r>
      <w:r w:rsidR="00F373A3" w:rsidRPr="00181FCD">
        <w:t xml:space="preserve"> </w:t>
      </w:r>
      <w:r w:rsidRPr="00181FCD">
        <w:t>materia</w:t>
      </w:r>
      <w:r w:rsidR="00F373A3" w:rsidRPr="00181FCD">
        <w:t xml:space="preserve"> </w:t>
      </w:r>
      <w:r w:rsidRPr="00181FCD">
        <w:t>de</w:t>
      </w:r>
      <w:r w:rsidR="00F373A3" w:rsidRPr="00181FCD">
        <w:t xml:space="preserve"> </w:t>
      </w:r>
      <w:r w:rsidRPr="00181FCD">
        <w:t>disciplina</w:t>
      </w:r>
      <w:r w:rsidR="00F373A3" w:rsidRPr="00181FCD">
        <w:t xml:space="preserve"> </w:t>
      </w:r>
      <w:r w:rsidRPr="00181FCD">
        <w:t>y</w:t>
      </w:r>
      <w:r w:rsidR="00F373A3" w:rsidRPr="00181FCD">
        <w:t xml:space="preserve"> </w:t>
      </w:r>
      <w:r w:rsidRPr="00181FCD">
        <w:t>recursos</w:t>
      </w:r>
      <w:r w:rsidR="00F373A3" w:rsidRPr="00181FCD">
        <w:t xml:space="preserve"> </w:t>
      </w:r>
      <w:r w:rsidRPr="00181FCD">
        <w:t>humanos</w:t>
      </w:r>
      <w:r w:rsidR="00F373A3" w:rsidRPr="00181FCD">
        <w:t xml:space="preserve"> </w:t>
      </w:r>
      <w:r w:rsidRPr="00181FCD">
        <w:t>sobre</w:t>
      </w:r>
      <w:r w:rsidR="00F373A3" w:rsidRPr="00181FCD">
        <w:t xml:space="preserve"> </w:t>
      </w:r>
      <w:r w:rsidRPr="00181FCD">
        <w:t>los</w:t>
      </w:r>
      <w:r w:rsidR="00F373A3" w:rsidRPr="00181FCD">
        <w:t xml:space="preserve"> </w:t>
      </w:r>
      <w:r w:rsidRPr="00181FCD">
        <w:t>jueces,</w:t>
      </w:r>
      <w:r w:rsidR="00F373A3" w:rsidRPr="00181FCD">
        <w:t xml:space="preserve"> </w:t>
      </w:r>
      <w:r w:rsidRPr="00181FCD">
        <w:t>fiscales</w:t>
      </w:r>
      <w:r w:rsidR="00F373A3" w:rsidRPr="00181FCD">
        <w:t xml:space="preserve"> </w:t>
      </w:r>
      <w:r w:rsidRPr="00181FCD">
        <w:t>y</w:t>
      </w:r>
      <w:r w:rsidR="00F373A3" w:rsidRPr="00181FCD">
        <w:t xml:space="preserve"> </w:t>
      </w:r>
      <w:r w:rsidRPr="00181FCD">
        <w:t>funcionarios</w:t>
      </w:r>
      <w:r w:rsidR="00F373A3" w:rsidRPr="00181FCD">
        <w:t xml:space="preserve"> </w:t>
      </w:r>
      <w:r w:rsidRPr="00181FCD">
        <w:t>encargados</w:t>
      </w:r>
      <w:r w:rsidR="00F373A3" w:rsidRPr="00181FCD">
        <w:t xml:space="preserve"> </w:t>
      </w:r>
      <w:r w:rsidRPr="00181FCD">
        <w:t>de</w:t>
      </w:r>
      <w:r w:rsidR="00F373A3" w:rsidRPr="00181FCD">
        <w:t xml:space="preserve"> </w:t>
      </w:r>
      <w:r w:rsidRPr="00181FCD">
        <w:t>la</w:t>
      </w:r>
      <w:r w:rsidR="00F373A3" w:rsidRPr="00181FCD">
        <w:t xml:space="preserve"> </w:t>
      </w:r>
      <w:r w:rsidRPr="00181FCD">
        <w:t>instrucción.</w:t>
      </w:r>
      <w:r w:rsidR="00F373A3" w:rsidRPr="00181FCD">
        <w:t xml:space="preserve"> </w:t>
      </w:r>
      <w:r w:rsidRPr="00181FCD">
        <w:t>Los</w:t>
      </w:r>
      <w:r w:rsidR="00F373A3" w:rsidRPr="00181FCD">
        <w:t xml:space="preserve"> </w:t>
      </w:r>
      <w:r w:rsidRPr="00181FCD">
        <w:t>jueces</w:t>
      </w:r>
      <w:r w:rsidR="00F373A3" w:rsidRPr="00181FCD">
        <w:t xml:space="preserve"> </w:t>
      </w:r>
      <w:r w:rsidRPr="00181FCD">
        <w:t>seleccionados</w:t>
      </w:r>
      <w:r w:rsidR="00F373A3" w:rsidRPr="00181FCD">
        <w:t xml:space="preserve"> </w:t>
      </w:r>
      <w:r w:rsidRPr="00181FCD">
        <w:t>por</w:t>
      </w:r>
      <w:r w:rsidR="00F373A3" w:rsidRPr="00181FCD">
        <w:t xml:space="preserve"> </w:t>
      </w:r>
      <w:r w:rsidRPr="00181FCD">
        <w:t>sus</w:t>
      </w:r>
      <w:r w:rsidR="00F373A3" w:rsidRPr="00181FCD">
        <w:t xml:space="preserve"> </w:t>
      </w:r>
      <w:r w:rsidRPr="00181FCD">
        <w:t>homólogos</w:t>
      </w:r>
      <w:r w:rsidR="00F373A3" w:rsidRPr="00181FCD">
        <w:t xml:space="preserve"> </w:t>
      </w:r>
      <w:r w:rsidRPr="00181FCD">
        <w:t>constituirán</w:t>
      </w:r>
      <w:r w:rsidR="00F373A3" w:rsidRPr="00181FCD">
        <w:t xml:space="preserve"> </w:t>
      </w:r>
      <w:r w:rsidRPr="00181FCD">
        <w:t>mayoría</w:t>
      </w:r>
      <w:r w:rsidR="00F373A3" w:rsidRPr="00181FCD">
        <w:t xml:space="preserve"> </w:t>
      </w:r>
      <w:r w:rsidRPr="00181FCD">
        <w:t>en</w:t>
      </w:r>
      <w:r w:rsidR="00F373A3" w:rsidRPr="00181FCD">
        <w:t xml:space="preserve"> </w:t>
      </w:r>
      <w:r w:rsidRPr="00181FCD">
        <w:t>la</w:t>
      </w:r>
      <w:r w:rsidR="00F373A3" w:rsidRPr="00181FCD">
        <w:t xml:space="preserve"> </w:t>
      </w:r>
      <w:r w:rsidRPr="00181FCD">
        <w:t>sala</w:t>
      </w:r>
      <w:r w:rsidR="00F373A3" w:rsidRPr="00181FCD">
        <w:t xml:space="preserve"> </w:t>
      </w:r>
      <w:r w:rsidRPr="00181FCD">
        <w:t>de</w:t>
      </w:r>
      <w:r w:rsidR="00F373A3" w:rsidRPr="00181FCD">
        <w:t xml:space="preserve"> </w:t>
      </w:r>
      <w:r w:rsidRPr="00181FCD">
        <w:t>los</w:t>
      </w:r>
      <w:r w:rsidR="00F373A3" w:rsidRPr="00181FCD">
        <w:t xml:space="preserve"> </w:t>
      </w:r>
      <w:r w:rsidRPr="00181FCD">
        <w:t>jueces.</w:t>
      </w:r>
    </w:p>
    <w:p w:rsidR="001937F4" w:rsidRPr="00181FCD" w:rsidRDefault="001937F4" w:rsidP="00347B20">
      <w:pPr>
        <w:pStyle w:val="Bullet1G"/>
        <w:suppressAutoHyphens/>
      </w:pPr>
      <w:r w:rsidRPr="00181FCD">
        <w:t>Disminución</w:t>
      </w:r>
      <w:r w:rsidR="00F373A3" w:rsidRPr="00181FCD">
        <w:t xml:space="preserve"> </w:t>
      </w:r>
      <w:r w:rsidRPr="00181FCD">
        <w:t>del</w:t>
      </w:r>
      <w:r w:rsidR="00F373A3" w:rsidRPr="00181FCD">
        <w:t xml:space="preserve"> </w:t>
      </w:r>
      <w:r w:rsidRPr="00181FCD">
        <w:t>mandato</w:t>
      </w:r>
      <w:r w:rsidR="00F373A3" w:rsidRPr="00181FCD">
        <w:t xml:space="preserve"> </w:t>
      </w:r>
      <w:r w:rsidRPr="00181FCD">
        <w:t>del</w:t>
      </w:r>
      <w:r w:rsidR="00F373A3" w:rsidRPr="00181FCD">
        <w:t xml:space="preserve"> </w:t>
      </w:r>
      <w:r w:rsidRPr="00181FCD">
        <w:t>Consejo</w:t>
      </w:r>
      <w:r w:rsidR="00F373A3" w:rsidRPr="00181FCD">
        <w:t xml:space="preserve"> </w:t>
      </w:r>
      <w:r w:rsidRPr="00181FCD">
        <w:t>Supremo</w:t>
      </w:r>
      <w:r w:rsidR="00F373A3" w:rsidRPr="00181FCD">
        <w:t xml:space="preserve"> </w:t>
      </w:r>
      <w:r w:rsidRPr="00181FCD">
        <w:t>de</w:t>
      </w:r>
      <w:r w:rsidR="00F373A3" w:rsidRPr="00181FCD">
        <w:t xml:space="preserve"> </w:t>
      </w:r>
      <w:r w:rsidRPr="00181FCD">
        <w:t>la</w:t>
      </w:r>
      <w:r w:rsidR="00F373A3" w:rsidRPr="00181FCD">
        <w:t xml:space="preserve"> </w:t>
      </w:r>
      <w:r w:rsidRPr="00181FCD">
        <w:t>Judicatura</w:t>
      </w:r>
      <w:r w:rsidR="00F373A3" w:rsidRPr="00181FCD">
        <w:t xml:space="preserve"> </w:t>
      </w:r>
      <w:r w:rsidRPr="00181FCD">
        <w:t>a</w:t>
      </w:r>
      <w:r w:rsidR="00F373A3" w:rsidRPr="00181FCD">
        <w:t xml:space="preserve"> </w:t>
      </w:r>
      <w:r w:rsidRPr="00181FCD">
        <w:t>cuatro</w:t>
      </w:r>
      <w:r w:rsidR="00F373A3" w:rsidRPr="00181FCD">
        <w:t xml:space="preserve"> </w:t>
      </w:r>
      <w:r w:rsidRPr="00181FCD">
        <w:t>años</w:t>
      </w:r>
      <w:r w:rsidR="00E81F54" w:rsidRPr="00181FCD">
        <w:t>.</w:t>
      </w:r>
    </w:p>
    <w:p w:rsidR="001937F4" w:rsidRPr="00181FCD" w:rsidRDefault="001937F4" w:rsidP="00347B20">
      <w:pPr>
        <w:pStyle w:val="Bullet1G"/>
        <w:suppressAutoHyphens/>
      </w:pPr>
      <w:r w:rsidRPr="00181FCD">
        <w:t>Reducción</w:t>
      </w:r>
      <w:r w:rsidR="00F373A3" w:rsidRPr="00181FCD">
        <w:t xml:space="preserve"> </w:t>
      </w:r>
      <w:r w:rsidRPr="00181FCD">
        <w:t>de</w:t>
      </w:r>
      <w:r w:rsidR="00F373A3" w:rsidRPr="00181FCD">
        <w:t xml:space="preserve"> </w:t>
      </w:r>
      <w:r w:rsidRPr="00181FCD">
        <w:t>las</w:t>
      </w:r>
      <w:r w:rsidR="00F373A3" w:rsidRPr="00181FCD">
        <w:t xml:space="preserve"> </w:t>
      </w:r>
      <w:r w:rsidRPr="00181FCD">
        <w:t>atribuciones</w:t>
      </w:r>
      <w:r w:rsidR="00F373A3" w:rsidRPr="00181FCD">
        <w:t xml:space="preserve"> </w:t>
      </w:r>
      <w:r w:rsidRPr="00181FCD">
        <w:t>del</w:t>
      </w:r>
      <w:r w:rsidR="00F373A3" w:rsidRPr="00181FCD">
        <w:t xml:space="preserve"> </w:t>
      </w:r>
      <w:r w:rsidRPr="00181FCD">
        <w:t>Ministro</w:t>
      </w:r>
      <w:r w:rsidR="00F373A3" w:rsidRPr="00181FCD">
        <w:t xml:space="preserve"> </w:t>
      </w:r>
      <w:r w:rsidRPr="00181FCD">
        <w:t>de</w:t>
      </w:r>
      <w:r w:rsidR="00F373A3" w:rsidRPr="00181FCD">
        <w:t xml:space="preserve"> </w:t>
      </w:r>
      <w:r w:rsidRPr="00181FCD">
        <w:t>Justicia,</w:t>
      </w:r>
      <w:r w:rsidR="00F373A3" w:rsidRPr="00181FCD">
        <w:t xml:space="preserve"> </w:t>
      </w:r>
      <w:r w:rsidRPr="00181FCD">
        <w:t>que</w:t>
      </w:r>
      <w:r w:rsidR="00F373A3" w:rsidRPr="00181FCD">
        <w:t xml:space="preserve"> </w:t>
      </w:r>
      <w:r w:rsidRPr="00181FCD">
        <w:t>se</w:t>
      </w:r>
      <w:r w:rsidR="00F373A3" w:rsidRPr="00181FCD">
        <w:t xml:space="preserve"> </w:t>
      </w:r>
      <w:r w:rsidRPr="00181FCD">
        <w:t>limitará</w:t>
      </w:r>
      <w:r w:rsidR="00F373A3" w:rsidRPr="00181FCD">
        <w:t xml:space="preserve"> </w:t>
      </w:r>
      <w:r w:rsidRPr="00181FCD">
        <w:t>exclusivamente</w:t>
      </w:r>
      <w:r w:rsidR="00F373A3" w:rsidRPr="00181FCD">
        <w:t xml:space="preserve"> </w:t>
      </w:r>
      <w:r w:rsidRPr="00181FCD">
        <w:t>a</w:t>
      </w:r>
      <w:r w:rsidR="00F373A3" w:rsidRPr="00181FCD">
        <w:t xml:space="preserve"> </w:t>
      </w:r>
      <w:r w:rsidRPr="00181FCD">
        <w:t>presidir</w:t>
      </w:r>
      <w:r w:rsidR="00F373A3" w:rsidRPr="00181FCD">
        <w:t xml:space="preserve"> </w:t>
      </w:r>
      <w:r w:rsidRPr="00181FCD">
        <w:t>las</w:t>
      </w:r>
      <w:r w:rsidR="00F373A3" w:rsidRPr="00181FCD">
        <w:t xml:space="preserve"> </w:t>
      </w:r>
      <w:r w:rsidRPr="00181FCD">
        <w:t>sesiones</w:t>
      </w:r>
      <w:r w:rsidR="00F373A3" w:rsidRPr="00181FCD">
        <w:t xml:space="preserve"> </w:t>
      </w:r>
      <w:r w:rsidRPr="00181FCD">
        <w:t>del</w:t>
      </w:r>
      <w:r w:rsidR="00F373A3" w:rsidRPr="00181FCD">
        <w:t xml:space="preserve"> </w:t>
      </w:r>
      <w:r w:rsidRPr="00181FCD">
        <w:t>pleno</w:t>
      </w:r>
      <w:r w:rsidR="00F373A3" w:rsidRPr="00181FCD">
        <w:t xml:space="preserve"> </w:t>
      </w:r>
      <w:r w:rsidRPr="00181FCD">
        <w:t>del</w:t>
      </w:r>
      <w:r w:rsidR="00F373A3" w:rsidRPr="00181FCD">
        <w:t xml:space="preserve"> </w:t>
      </w:r>
      <w:r w:rsidRPr="00181FCD">
        <w:t>Consejo</w:t>
      </w:r>
      <w:r w:rsidR="00F373A3" w:rsidRPr="00181FCD">
        <w:t xml:space="preserve"> </w:t>
      </w:r>
      <w:r w:rsidRPr="00181FCD">
        <w:t>Supremo</w:t>
      </w:r>
      <w:r w:rsidR="00F373A3" w:rsidRPr="00181FCD">
        <w:t xml:space="preserve"> </w:t>
      </w:r>
      <w:r w:rsidRPr="00181FCD">
        <w:t>de</w:t>
      </w:r>
      <w:r w:rsidR="00F373A3" w:rsidRPr="00181FCD">
        <w:t xml:space="preserve"> </w:t>
      </w:r>
      <w:r w:rsidRPr="00181FCD">
        <w:t>la</w:t>
      </w:r>
      <w:r w:rsidR="00F373A3" w:rsidRPr="00181FCD">
        <w:t xml:space="preserve"> </w:t>
      </w:r>
      <w:r w:rsidRPr="00181FCD">
        <w:t>Judicatura</w:t>
      </w:r>
      <w:r w:rsidR="00E81F54" w:rsidRPr="00181FCD">
        <w:t>.</w:t>
      </w:r>
    </w:p>
    <w:p w:rsidR="001937F4" w:rsidRPr="00181FCD" w:rsidRDefault="00E81F54" w:rsidP="00347B20">
      <w:pPr>
        <w:pStyle w:val="H56G"/>
      </w:pPr>
      <w:r w:rsidRPr="00181FCD">
        <w:tab/>
      </w:r>
      <w:r w:rsidRPr="00181FCD">
        <w:tab/>
      </w:r>
      <w:r w:rsidR="001937F4" w:rsidRPr="00181FCD">
        <w:t>Fortalecimiento</w:t>
      </w:r>
      <w:r w:rsidR="00F373A3" w:rsidRPr="00181FCD">
        <w:t xml:space="preserve"> </w:t>
      </w:r>
      <w:r w:rsidR="001937F4" w:rsidRPr="00181FCD">
        <w:t>de</w:t>
      </w:r>
      <w:r w:rsidR="00F373A3" w:rsidRPr="00181FCD">
        <w:t xml:space="preserve"> </w:t>
      </w:r>
      <w:r w:rsidR="001937F4" w:rsidRPr="00181FCD">
        <w:t>la</w:t>
      </w:r>
      <w:r w:rsidR="00F373A3" w:rsidRPr="00181FCD">
        <w:t xml:space="preserve"> </w:t>
      </w:r>
      <w:r w:rsidR="001937F4" w:rsidRPr="00181FCD">
        <w:t>Inspección</w:t>
      </w:r>
      <w:r w:rsidR="00F373A3" w:rsidRPr="00181FCD">
        <w:t xml:space="preserve"> </w:t>
      </w:r>
      <w:r w:rsidR="001937F4" w:rsidRPr="00181FCD">
        <w:t>del</w:t>
      </w:r>
      <w:r w:rsidR="00F373A3" w:rsidRPr="00181FCD">
        <w:t xml:space="preserve"> </w:t>
      </w:r>
      <w:r w:rsidR="001937F4" w:rsidRPr="00181FCD">
        <w:t>Consejo</w:t>
      </w:r>
      <w:r w:rsidR="00F373A3" w:rsidRPr="00181FCD">
        <w:t xml:space="preserve"> </w:t>
      </w:r>
      <w:r w:rsidR="001937F4" w:rsidRPr="00181FCD">
        <w:t>Supremo</w:t>
      </w:r>
      <w:r w:rsidR="00F373A3" w:rsidRPr="00181FCD">
        <w:t xml:space="preserve"> </w:t>
      </w:r>
      <w:r w:rsidR="001937F4" w:rsidRPr="00181FCD">
        <w:t>de</w:t>
      </w:r>
      <w:r w:rsidR="00F373A3" w:rsidRPr="00181FCD">
        <w:t xml:space="preserve"> </w:t>
      </w:r>
      <w:r w:rsidR="001937F4" w:rsidRPr="00181FCD">
        <w:t>la</w:t>
      </w:r>
      <w:r w:rsidR="00F373A3" w:rsidRPr="00181FCD">
        <w:t xml:space="preserve"> </w:t>
      </w:r>
      <w:r w:rsidR="001937F4" w:rsidRPr="00181FCD">
        <w:t>Judicatura</w:t>
      </w:r>
      <w:r w:rsidR="00F373A3" w:rsidRPr="00181FCD">
        <w:t xml:space="preserve"> </w:t>
      </w:r>
      <w:r w:rsidR="001937F4" w:rsidRPr="00181FCD">
        <w:t>para</w:t>
      </w:r>
      <w:r w:rsidR="00F373A3" w:rsidRPr="00181FCD">
        <w:t xml:space="preserve"> </w:t>
      </w:r>
      <w:r w:rsidR="001937F4" w:rsidRPr="00181FCD">
        <w:t>garantizar</w:t>
      </w:r>
      <w:r w:rsidR="00F373A3" w:rsidRPr="00181FCD">
        <w:t xml:space="preserve"> </w:t>
      </w:r>
      <w:r w:rsidRPr="00181FCD">
        <w:br/>
      </w:r>
      <w:r w:rsidR="001937F4" w:rsidRPr="00181FCD">
        <w:t>la</w:t>
      </w:r>
      <w:r w:rsidR="00F373A3" w:rsidRPr="00181FCD">
        <w:t xml:space="preserve"> </w:t>
      </w:r>
      <w:r w:rsidR="001937F4" w:rsidRPr="00181FCD">
        <w:t>rendición</w:t>
      </w:r>
      <w:r w:rsidR="00F373A3" w:rsidRPr="00181FCD">
        <w:t xml:space="preserve"> </w:t>
      </w:r>
      <w:r w:rsidR="001937F4" w:rsidRPr="00181FCD">
        <w:t>de</w:t>
      </w:r>
      <w:r w:rsidR="00F373A3" w:rsidRPr="00181FCD">
        <w:t xml:space="preserve"> </w:t>
      </w:r>
      <w:r w:rsidR="001937F4" w:rsidRPr="00181FCD">
        <w:t>cuentas</w:t>
      </w:r>
      <w:r w:rsidR="00F373A3" w:rsidRPr="00181FCD">
        <w:t xml:space="preserve"> </w:t>
      </w:r>
      <w:r w:rsidR="001937F4" w:rsidRPr="00181FCD">
        <w:t>y</w:t>
      </w:r>
      <w:r w:rsidR="00F373A3" w:rsidRPr="00181FCD">
        <w:t xml:space="preserve"> </w:t>
      </w:r>
      <w:r w:rsidR="001937F4" w:rsidRPr="00181FCD">
        <w:t>la</w:t>
      </w:r>
      <w:r w:rsidR="00F373A3" w:rsidRPr="00181FCD">
        <w:t xml:space="preserve"> </w:t>
      </w:r>
      <w:r w:rsidR="001937F4" w:rsidRPr="00181FCD">
        <w:t>integridad</w:t>
      </w:r>
      <w:r w:rsidR="00F373A3" w:rsidRPr="00181FCD">
        <w:t xml:space="preserve"> </w:t>
      </w:r>
      <w:r w:rsidR="001937F4" w:rsidRPr="00181FCD">
        <w:t>de</w:t>
      </w:r>
      <w:r w:rsidR="00F373A3" w:rsidRPr="00181FCD">
        <w:t xml:space="preserve"> </w:t>
      </w:r>
      <w:r w:rsidR="001937F4" w:rsidRPr="00181FCD">
        <w:t>las</w:t>
      </w:r>
      <w:r w:rsidR="00F373A3" w:rsidRPr="00181FCD">
        <w:t xml:space="preserve"> </w:t>
      </w:r>
      <w:r w:rsidR="001937F4" w:rsidRPr="00181FCD">
        <w:t>autoridades</w:t>
      </w:r>
      <w:r w:rsidR="00F373A3" w:rsidRPr="00181FCD">
        <w:t xml:space="preserve"> </w:t>
      </w:r>
      <w:r w:rsidR="001937F4" w:rsidRPr="00181FCD">
        <w:t>del</w:t>
      </w:r>
      <w:r w:rsidR="00F373A3" w:rsidRPr="00181FCD">
        <w:t xml:space="preserve"> </w:t>
      </w:r>
      <w:r w:rsidR="001937F4" w:rsidRPr="00181FCD">
        <w:t>poder</w:t>
      </w:r>
      <w:r w:rsidR="00F373A3" w:rsidRPr="00181FCD">
        <w:t xml:space="preserve"> </w:t>
      </w:r>
      <w:r w:rsidR="001937F4" w:rsidRPr="00181FCD">
        <w:t>judicial</w:t>
      </w:r>
    </w:p>
    <w:p w:rsidR="001937F4" w:rsidRPr="00181FCD" w:rsidRDefault="001937F4" w:rsidP="00347B20">
      <w:pPr>
        <w:pStyle w:val="SingleTxtG"/>
        <w:suppressAutoHyphens/>
        <w:rPr>
          <w:i/>
        </w:rPr>
      </w:pPr>
      <w:r w:rsidRPr="00181FCD">
        <w:rPr>
          <w:i/>
        </w:rPr>
        <w:t>Objetivo:</w:t>
      </w:r>
      <w:r w:rsidR="00F373A3" w:rsidRPr="00181FCD">
        <w:rPr>
          <w:i/>
        </w:rPr>
        <w:t xml:space="preserve"> </w:t>
      </w:r>
      <w:r w:rsidRPr="00181FCD">
        <w:rPr>
          <w:i/>
        </w:rPr>
        <w:t>Mayor</w:t>
      </w:r>
      <w:r w:rsidR="00F373A3" w:rsidRPr="00181FCD">
        <w:rPr>
          <w:i/>
        </w:rPr>
        <w:t xml:space="preserve"> </w:t>
      </w:r>
      <w:r w:rsidRPr="00181FCD">
        <w:rPr>
          <w:i/>
        </w:rPr>
        <w:t>capacidad</w:t>
      </w:r>
      <w:r w:rsidR="00F373A3" w:rsidRPr="00181FCD">
        <w:rPr>
          <w:i/>
        </w:rPr>
        <w:t xml:space="preserve"> </w:t>
      </w:r>
      <w:r w:rsidRPr="00181FCD">
        <w:rPr>
          <w:i/>
        </w:rPr>
        <w:t>institucional</w:t>
      </w:r>
      <w:r w:rsidR="00F373A3" w:rsidRPr="00181FCD">
        <w:rPr>
          <w:i/>
        </w:rPr>
        <w:t xml:space="preserve"> </w:t>
      </w:r>
      <w:r w:rsidRPr="00181FCD">
        <w:rPr>
          <w:i/>
        </w:rPr>
        <w:t>de</w:t>
      </w:r>
      <w:r w:rsidR="00F373A3" w:rsidRPr="00181FCD">
        <w:rPr>
          <w:i/>
        </w:rPr>
        <w:t xml:space="preserve"> </w:t>
      </w:r>
      <w:r w:rsidRPr="00181FCD">
        <w:rPr>
          <w:i/>
        </w:rPr>
        <w:t>la</w:t>
      </w:r>
      <w:r w:rsidR="00F373A3" w:rsidRPr="00181FCD">
        <w:rPr>
          <w:i/>
        </w:rPr>
        <w:t xml:space="preserve"> </w:t>
      </w:r>
      <w:r w:rsidRPr="00181FCD">
        <w:rPr>
          <w:i/>
        </w:rPr>
        <w:t>Inspección</w:t>
      </w:r>
      <w:r w:rsidR="00F373A3" w:rsidRPr="00181FCD">
        <w:rPr>
          <w:i/>
        </w:rPr>
        <w:t xml:space="preserve"> </w:t>
      </w:r>
      <w:r w:rsidRPr="00181FCD">
        <w:rPr>
          <w:i/>
        </w:rPr>
        <w:t>del</w:t>
      </w:r>
      <w:r w:rsidR="00F373A3" w:rsidRPr="00181FCD">
        <w:rPr>
          <w:i/>
        </w:rPr>
        <w:t xml:space="preserve"> </w:t>
      </w:r>
      <w:r w:rsidRPr="00181FCD">
        <w:rPr>
          <w:i/>
        </w:rPr>
        <w:t>Consejo</w:t>
      </w:r>
      <w:r w:rsidR="00F373A3" w:rsidRPr="00181FCD">
        <w:rPr>
          <w:i/>
        </w:rPr>
        <w:t xml:space="preserve"> </w:t>
      </w:r>
      <w:r w:rsidRPr="00181FCD">
        <w:rPr>
          <w:i/>
        </w:rPr>
        <w:t>Supremo</w:t>
      </w:r>
      <w:r w:rsidR="00F373A3" w:rsidRPr="00181FCD">
        <w:rPr>
          <w:i/>
        </w:rPr>
        <w:t xml:space="preserve"> </w:t>
      </w:r>
      <w:r w:rsidRPr="00181FCD">
        <w:rPr>
          <w:i/>
        </w:rPr>
        <w:t>de</w:t>
      </w:r>
      <w:r w:rsidR="00F373A3" w:rsidRPr="00181FCD">
        <w:rPr>
          <w:i/>
        </w:rPr>
        <w:t xml:space="preserve"> </w:t>
      </w:r>
      <w:r w:rsidRPr="00181FCD">
        <w:rPr>
          <w:i/>
        </w:rPr>
        <w:t>la</w:t>
      </w:r>
      <w:r w:rsidR="00F373A3" w:rsidRPr="00181FCD">
        <w:rPr>
          <w:i/>
        </w:rPr>
        <w:t xml:space="preserve"> </w:t>
      </w:r>
      <w:r w:rsidRPr="00181FCD">
        <w:rPr>
          <w:i/>
        </w:rPr>
        <w:t>Judicatura</w:t>
      </w:r>
      <w:r w:rsidR="00F373A3" w:rsidRPr="00181FCD">
        <w:rPr>
          <w:i/>
        </w:rPr>
        <w:t xml:space="preserve"> </w:t>
      </w:r>
      <w:r w:rsidRPr="00181FCD">
        <w:rPr>
          <w:i/>
        </w:rPr>
        <w:t>para</w:t>
      </w:r>
      <w:r w:rsidR="00F373A3" w:rsidRPr="00181FCD">
        <w:rPr>
          <w:i/>
        </w:rPr>
        <w:t xml:space="preserve"> </w:t>
      </w:r>
      <w:r w:rsidRPr="00181FCD">
        <w:rPr>
          <w:i/>
        </w:rPr>
        <w:t>garantizar</w:t>
      </w:r>
      <w:r w:rsidR="00F373A3" w:rsidRPr="00181FCD">
        <w:rPr>
          <w:i/>
        </w:rPr>
        <w:t xml:space="preserve"> </w:t>
      </w:r>
      <w:r w:rsidRPr="00181FCD">
        <w:rPr>
          <w:i/>
        </w:rPr>
        <w:t>la</w:t>
      </w:r>
      <w:r w:rsidR="00F373A3" w:rsidRPr="00181FCD">
        <w:rPr>
          <w:i/>
        </w:rPr>
        <w:t xml:space="preserve"> </w:t>
      </w:r>
      <w:r w:rsidRPr="00181FCD">
        <w:rPr>
          <w:i/>
        </w:rPr>
        <w:t>rendición</w:t>
      </w:r>
      <w:r w:rsidR="00F373A3" w:rsidRPr="00181FCD">
        <w:rPr>
          <w:i/>
        </w:rPr>
        <w:t xml:space="preserve"> </w:t>
      </w:r>
      <w:r w:rsidRPr="00181FCD">
        <w:rPr>
          <w:i/>
        </w:rPr>
        <w:t>de</w:t>
      </w:r>
      <w:r w:rsidR="00F373A3" w:rsidRPr="00181FCD">
        <w:rPr>
          <w:i/>
        </w:rPr>
        <w:t xml:space="preserve"> </w:t>
      </w:r>
      <w:r w:rsidRPr="00181FCD">
        <w:rPr>
          <w:i/>
        </w:rPr>
        <w:t>cuentas</w:t>
      </w:r>
      <w:r w:rsidR="00F373A3" w:rsidRPr="00181FCD">
        <w:rPr>
          <w:i/>
        </w:rPr>
        <w:t xml:space="preserve"> </w:t>
      </w:r>
      <w:r w:rsidRPr="00181FCD">
        <w:rPr>
          <w:i/>
        </w:rPr>
        <w:t>y</w:t>
      </w:r>
      <w:r w:rsidR="00F373A3" w:rsidRPr="00181FCD">
        <w:rPr>
          <w:i/>
        </w:rPr>
        <w:t xml:space="preserve"> </w:t>
      </w:r>
      <w:r w:rsidRPr="00181FCD">
        <w:rPr>
          <w:i/>
        </w:rPr>
        <w:t>la</w:t>
      </w:r>
      <w:r w:rsidR="00F373A3" w:rsidRPr="00181FCD">
        <w:rPr>
          <w:i/>
        </w:rPr>
        <w:t xml:space="preserve"> </w:t>
      </w:r>
      <w:r w:rsidRPr="00181FCD">
        <w:rPr>
          <w:i/>
        </w:rPr>
        <w:t>integridad</w:t>
      </w:r>
      <w:r w:rsidR="00F373A3" w:rsidRPr="00181FCD">
        <w:rPr>
          <w:i/>
        </w:rPr>
        <w:t xml:space="preserve"> </w:t>
      </w:r>
      <w:r w:rsidRPr="00181FCD">
        <w:rPr>
          <w:i/>
        </w:rPr>
        <w:t>de</w:t>
      </w:r>
      <w:r w:rsidR="00F373A3" w:rsidRPr="00181FCD">
        <w:rPr>
          <w:i/>
        </w:rPr>
        <w:t xml:space="preserve"> </w:t>
      </w:r>
      <w:r w:rsidRPr="00181FCD">
        <w:rPr>
          <w:i/>
        </w:rPr>
        <w:t>los</w:t>
      </w:r>
      <w:r w:rsidR="00F373A3" w:rsidRPr="00181FCD">
        <w:rPr>
          <w:i/>
        </w:rPr>
        <w:t xml:space="preserve"> </w:t>
      </w:r>
      <w:r w:rsidRPr="00181FCD">
        <w:rPr>
          <w:i/>
        </w:rPr>
        <w:t>órganos</w:t>
      </w:r>
      <w:r w:rsidR="00F373A3" w:rsidRPr="00181FCD">
        <w:rPr>
          <w:i/>
        </w:rPr>
        <w:t xml:space="preserve"> </w:t>
      </w:r>
      <w:r w:rsidRPr="00181FCD">
        <w:rPr>
          <w:i/>
        </w:rPr>
        <w:t>del</w:t>
      </w:r>
      <w:r w:rsidR="00F373A3" w:rsidRPr="00181FCD">
        <w:rPr>
          <w:i/>
        </w:rPr>
        <w:t xml:space="preserve"> </w:t>
      </w:r>
      <w:r w:rsidRPr="00181FCD">
        <w:rPr>
          <w:i/>
        </w:rPr>
        <w:t>poder</w:t>
      </w:r>
      <w:r w:rsidR="00F373A3" w:rsidRPr="00181FCD">
        <w:rPr>
          <w:i/>
        </w:rPr>
        <w:t xml:space="preserve"> </w:t>
      </w:r>
      <w:r w:rsidRPr="00181FCD">
        <w:rPr>
          <w:i/>
        </w:rPr>
        <w:t>judicial</w:t>
      </w:r>
      <w:r w:rsidR="00F373A3" w:rsidRPr="00181FCD">
        <w:rPr>
          <w:i/>
        </w:rPr>
        <w:t xml:space="preserve"> </w:t>
      </w:r>
      <w:r w:rsidRPr="00181FCD">
        <w:rPr>
          <w:i/>
        </w:rPr>
        <w:t>y</w:t>
      </w:r>
      <w:r w:rsidR="00F373A3" w:rsidRPr="00181FCD">
        <w:rPr>
          <w:i/>
        </w:rPr>
        <w:t xml:space="preserve"> </w:t>
      </w:r>
      <w:r w:rsidRPr="00181FCD">
        <w:rPr>
          <w:i/>
        </w:rPr>
        <w:t>la</w:t>
      </w:r>
      <w:r w:rsidR="00F373A3" w:rsidRPr="00181FCD">
        <w:rPr>
          <w:i/>
        </w:rPr>
        <w:t xml:space="preserve"> </w:t>
      </w:r>
      <w:r w:rsidRPr="00181FCD">
        <w:rPr>
          <w:i/>
        </w:rPr>
        <w:t>prevención</w:t>
      </w:r>
      <w:r w:rsidR="00F373A3" w:rsidRPr="00181FCD">
        <w:rPr>
          <w:i/>
        </w:rPr>
        <w:t xml:space="preserve"> </w:t>
      </w:r>
      <w:r w:rsidRPr="00181FCD">
        <w:rPr>
          <w:i/>
        </w:rPr>
        <w:t>eficaz</w:t>
      </w:r>
      <w:r w:rsidR="00F373A3" w:rsidRPr="00181FCD">
        <w:rPr>
          <w:i/>
        </w:rPr>
        <w:t xml:space="preserve"> </w:t>
      </w:r>
      <w:r w:rsidRPr="00181FCD">
        <w:rPr>
          <w:i/>
        </w:rPr>
        <w:t>de</w:t>
      </w:r>
      <w:r w:rsidR="00F373A3" w:rsidRPr="00181FCD">
        <w:rPr>
          <w:i/>
        </w:rPr>
        <w:t xml:space="preserve"> </w:t>
      </w:r>
      <w:r w:rsidRPr="00181FCD">
        <w:rPr>
          <w:i/>
        </w:rPr>
        <w:t>un</w:t>
      </w:r>
      <w:r w:rsidR="00F373A3" w:rsidRPr="00181FCD">
        <w:rPr>
          <w:i/>
        </w:rPr>
        <w:t xml:space="preserve"> </w:t>
      </w:r>
      <w:r w:rsidRPr="00181FCD">
        <w:rPr>
          <w:i/>
        </w:rPr>
        <w:t>conflicto</w:t>
      </w:r>
      <w:r w:rsidR="00F373A3" w:rsidRPr="00181FCD">
        <w:rPr>
          <w:i/>
        </w:rPr>
        <w:t xml:space="preserve"> </w:t>
      </w:r>
      <w:r w:rsidRPr="00181FCD">
        <w:rPr>
          <w:i/>
        </w:rPr>
        <w:t>de</w:t>
      </w:r>
      <w:r w:rsidR="00F373A3" w:rsidRPr="00181FCD">
        <w:rPr>
          <w:i/>
        </w:rPr>
        <w:t xml:space="preserve"> </w:t>
      </w:r>
      <w:r w:rsidRPr="00181FCD">
        <w:rPr>
          <w:i/>
        </w:rPr>
        <w:t>intereses</w:t>
      </w:r>
      <w:r w:rsidR="00F373A3" w:rsidRPr="00181FCD">
        <w:rPr>
          <w:i/>
        </w:rPr>
        <w:t xml:space="preserve"> </w:t>
      </w:r>
      <w:r w:rsidRPr="00181FCD">
        <w:rPr>
          <w:i/>
        </w:rPr>
        <w:t>y</w:t>
      </w:r>
      <w:r w:rsidR="00F373A3" w:rsidRPr="00181FCD">
        <w:rPr>
          <w:i/>
        </w:rPr>
        <w:t xml:space="preserve"> </w:t>
      </w:r>
      <w:r w:rsidRPr="00181FCD">
        <w:rPr>
          <w:i/>
        </w:rPr>
        <w:t>de</w:t>
      </w:r>
      <w:r w:rsidR="00F373A3" w:rsidRPr="00181FCD">
        <w:rPr>
          <w:i/>
        </w:rPr>
        <w:t xml:space="preserve"> </w:t>
      </w:r>
      <w:r w:rsidRPr="00181FCD">
        <w:rPr>
          <w:i/>
        </w:rPr>
        <w:t>la</w:t>
      </w:r>
      <w:r w:rsidR="00F373A3" w:rsidRPr="00181FCD">
        <w:rPr>
          <w:i/>
        </w:rPr>
        <w:t xml:space="preserve"> </w:t>
      </w:r>
      <w:r w:rsidRPr="00181FCD">
        <w:rPr>
          <w:i/>
        </w:rPr>
        <w:t>influencia</w:t>
      </w:r>
      <w:r w:rsidR="00F373A3" w:rsidRPr="00181FCD">
        <w:rPr>
          <w:i/>
        </w:rPr>
        <w:t xml:space="preserve"> </w:t>
      </w:r>
      <w:r w:rsidRPr="00181FCD">
        <w:rPr>
          <w:i/>
        </w:rPr>
        <w:t>ilícita.</w:t>
      </w:r>
    </w:p>
    <w:p w:rsidR="001937F4" w:rsidRPr="00181FCD" w:rsidRDefault="001937F4" w:rsidP="00347B20">
      <w:pPr>
        <w:pStyle w:val="Bullet1G"/>
        <w:suppressAutoHyphens/>
      </w:pPr>
      <w:r w:rsidRPr="00181FCD">
        <w:t>Se</w:t>
      </w:r>
      <w:r w:rsidR="00F373A3" w:rsidRPr="00181FCD">
        <w:t xml:space="preserve"> </w:t>
      </w:r>
      <w:r w:rsidRPr="00181FCD">
        <w:t>fomenta</w:t>
      </w:r>
      <w:r w:rsidR="00F373A3" w:rsidRPr="00181FCD">
        <w:t xml:space="preserve"> </w:t>
      </w:r>
      <w:r w:rsidRPr="00181FCD">
        <w:t>la</w:t>
      </w:r>
      <w:r w:rsidR="00F373A3" w:rsidRPr="00181FCD">
        <w:t xml:space="preserve"> </w:t>
      </w:r>
      <w:r w:rsidRPr="00181FCD">
        <w:t>especialización,</w:t>
      </w:r>
      <w:r w:rsidR="00F373A3" w:rsidRPr="00181FCD">
        <w:t xml:space="preserve"> </w:t>
      </w:r>
      <w:r w:rsidRPr="00181FCD">
        <w:t>con</w:t>
      </w:r>
      <w:r w:rsidR="00F373A3" w:rsidRPr="00181FCD">
        <w:t xml:space="preserve"> </w:t>
      </w:r>
      <w:r w:rsidRPr="00181FCD">
        <w:t>la</w:t>
      </w:r>
      <w:r w:rsidR="00F373A3" w:rsidRPr="00181FCD">
        <w:t xml:space="preserve"> </w:t>
      </w:r>
      <w:r w:rsidRPr="00181FCD">
        <w:t>selección</w:t>
      </w:r>
      <w:r w:rsidR="00F373A3" w:rsidRPr="00181FCD">
        <w:t xml:space="preserve"> </w:t>
      </w:r>
      <w:r w:rsidRPr="00181FCD">
        <w:t>de</w:t>
      </w:r>
      <w:r w:rsidR="00F373A3" w:rsidRPr="00181FCD">
        <w:t xml:space="preserve"> </w:t>
      </w:r>
      <w:r w:rsidRPr="00181FCD">
        <w:t>seis</w:t>
      </w:r>
      <w:r w:rsidR="00F373A3" w:rsidRPr="00181FCD">
        <w:t xml:space="preserve"> </w:t>
      </w:r>
      <w:r w:rsidRPr="00181FCD">
        <w:t>inspectores</w:t>
      </w:r>
      <w:r w:rsidR="00F373A3" w:rsidRPr="00181FCD">
        <w:t xml:space="preserve"> </w:t>
      </w:r>
      <w:r w:rsidRPr="00181FCD">
        <w:t>para</w:t>
      </w:r>
      <w:r w:rsidR="00F373A3" w:rsidRPr="00181FCD">
        <w:t xml:space="preserve"> </w:t>
      </w:r>
      <w:r w:rsidRPr="00181FCD">
        <w:t>indagar</w:t>
      </w:r>
      <w:r w:rsidR="00F373A3" w:rsidRPr="00181FCD">
        <w:t xml:space="preserve"> </w:t>
      </w:r>
      <w:r w:rsidRPr="00181FCD">
        <w:t>sobre</w:t>
      </w:r>
      <w:r w:rsidR="00F373A3" w:rsidRPr="00181FCD">
        <w:t xml:space="preserve"> </w:t>
      </w:r>
      <w:r w:rsidRPr="00181FCD">
        <w:t>la</w:t>
      </w:r>
      <w:r w:rsidR="00F373A3" w:rsidRPr="00181FCD">
        <w:t xml:space="preserve"> </w:t>
      </w:r>
      <w:r w:rsidRPr="00181FCD">
        <w:t>labor</w:t>
      </w:r>
      <w:r w:rsidR="00F373A3" w:rsidRPr="00181FCD">
        <w:t xml:space="preserve"> </w:t>
      </w:r>
      <w:r w:rsidRPr="00181FCD">
        <w:t>de</w:t>
      </w:r>
      <w:r w:rsidR="00F373A3" w:rsidRPr="00181FCD">
        <w:t xml:space="preserve"> </w:t>
      </w:r>
      <w:r w:rsidRPr="00181FCD">
        <w:t>los</w:t>
      </w:r>
      <w:r w:rsidR="00F373A3" w:rsidRPr="00181FCD">
        <w:t xml:space="preserve"> </w:t>
      </w:r>
      <w:r w:rsidRPr="00181FCD">
        <w:t>tribunales</w:t>
      </w:r>
      <w:r w:rsidR="00F373A3" w:rsidRPr="00181FCD">
        <w:t xml:space="preserve"> </w:t>
      </w:r>
      <w:r w:rsidRPr="00181FCD">
        <w:t>y</w:t>
      </w:r>
      <w:r w:rsidR="00F373A3" w:rsidRPr="00181FCD">
        <w:t xml:space="preserve"> </w:t>
      </w:r>
      <w:r w:rsidRPr="00181FCD">
        <w:t>cuatro</w:t>
      </w:r>
      <w:r w:rsidR="00F373A3" w:rsidRPr="00181FCD">
        <w:t xml:space="preserve"> </w:t>
      </w:r>
      <w:r w:rsidRPr="00181FCD">
        <w:t>inspectores</w:t>
      </w:r>
      <w:r w:rsidR="00F373A3" w:rsidRPr="00181FCD">
        <w:t xml:space="preserve"> </w:t>
      </w:r>
      <w:r w:rsidRPr="00181FCD">
        <w:t>encargados</w:t>
      </w:r>
      <w:r w:rsidR="00F373A3" w:rsidRPr="00181FCD">
        <w:t xml:space="preserve"> </w:t>
      </w:r>
      <w:r w:rsidRPr="00181FCD">
        <w:t>de</w:t>
      </w:r>
      <w:r w:rsidR="00F373A3" w:rsidRPr="00181FCD">
        <w:t xml:space="preserve"> </w:t>
      </w:r>
      <w:r w:rsidRPr="00181FCD">
        <w:t>investigar</w:t>
      </w:r>
      <w:r w:rsidR="00F373A3" w:rsidRPr="00181FCD">
        <w:t xml:space="preserve"> </w:t>
      </w:r>
      <w:r w:rsidRPr="00181FCD">
        <w:t>la</w:t>
      </w:r>
      <w:r w:rsidR="00F373A3" w:rsidRPr="00181FCD">
        <w:t xml:space="preserve"> </w:t>
      </w:r>
      <w:r w:rsidRPr="00181FCD">
        <w:t>labor</w:t>
      </w:r>
      <w:r w:rsidR="00F373A3" w:rsidRPr="00181FCD">
        <w:t xml:space="preserve"> </w:t>
      </w:r>
      <w:r w:rsidRPr="00181FCD">
        <w:t>de</w:t>
      </w:r>
      <w:r w:rsidR="00F373A3" w:rsidRPr="00181FCD">
        <w:t xml:space="preserve"> </w:t>
      </w:r>
      <w:r w:rsidRPr="00181FCD">
        <w:t>la</w:t>
      </w:r>
      <w:r w:rsidR="00F373A3" w:rsidRPr="00181FCD">
        <w:t xml:space="preserve"> </w:t>
      </w:r>
      <w:r w:rsidRPr="00181FCD">
        <w:t>Fiscalía</w:t>
      </w:r>
      <w:r w:rsidR="00F373A3" w:rsidRPr="00181FCD">
        <w:t xml:space="preserve"> </w:t>
      </w:r>
      <w:r w:rsidRPr="00181FCD">
        <w:t>y</w:t>
      </w:r>
      <w:r w:rsidR="00F373A3" w:rsidRPr="00181FCD">
        <w:t xml:space="preserve"> </w:t>
      </w:r>
      <w:r w:rsidRPr="00181FCD">
        <w:t>los</w:t>
      </w:r>
      <w:r w:rsidR="00F373A3" w:rsidRPr="00181FCD">
        <w:t xml:space="preserve"> </w:t>
      </w:r>
      <w:r w:rsidRPr="00181FCD">
        <w:t>funcionarios</w:t>
      </w:r>
      <w:r w:rsidR="00F373A3" w:rsidRPr="00181FCD">
        <w:t xml:space="preserve"> </w:t>
      </w:r>
      <w:r w:rsidRPr="00181FCD">
        <w:t>encargados</w:t>
      </w:r>
      <w:r w:rsidR="00F373A3" w:rsidRPr="00181FCD">
        <w:t xml:space="preserve"> </w:t>
      </w:r>
      <w:r w:rsidRPr="00181FCD">
        <w:t>de</w:t>
      </w:r>
      <w:r w:rsidR="00F373A3" w:rsidRPr="00181FCD">
        <w:t xml:space="preserve"> </w:t>
      </w:r>
      <w:r w:rsidRPr="00181FCD">
        <w:t>la</w:t>
      </w:r>
      <w:r w:rsidR="00F373A3" w:rsidRPr="00181FCD">
        <w:t xml:space="preserve"> </w:t>
      </w:r>
      <w:r w:rsidRPr="00181FCD">
        <w:t>instrucción</w:t>
      </w:r>
      <w:r w:rsidR="00DB1DF7" w:rsidRPr="00181FCD">
        <w:t>.</w:t>
      </w:r>
    </w:p>
    <w:p w:rsidR="001937F4" w:rsidRPr="00181FCD" w:rsidRDefault="001937F4" w:rsidP="00347B20">
      <w:pPr>
        <w:pStyle w:val="Bullet1G"/>
        <w:suppressAutoHyphens/>
      </w:pPr>
      <w:r w:rsidRPr="00181FCD">
        <w:t>Se</w:t>
      </w:r>
      <w:r w:rsidR="00F373A3" w:rsidRPr="00181FCD">
        <w:t xml:space="preserve"> </w:t>
      </w:r>
      <w:r w:rsidRPr="00181FCD">
        <w:t>introducen</w:t>
      </w:r>
      <w:r w:rsidR="00F373A3" w:rsidRPr="00181FCD">
        <w:t xml:space="preserve"> </w:t>
      </w:r>
      <w:r w:rsidRPr="00181FCD">
        <w:t>nuevas</w:t>
      </w:r>
      <w:r w:rsidR="00F373A3" w:rsidRPr="00181FCD">
        <w:t xml:space="preserve"> </w:t>
      </w:r>
      <w:r w:rsidRPr="00181FCD">
        <w:t>atribuciones</w:t>
      </w:r>
      <w:r w:rsidR="00F373A3" w:rsidRPr="00181FCD">
        <w:t xml:space="preserve"> </w:t>
      </w:r>
      <w:r w:rsidRPr="00181FCD">
        <w:t>para</w:t>
      </w:r>
      <w:r w:rsidR="00F373A3" w:rsidRPr="00181FCD">
        <w:t xml:space="preserve"> </w:t>
      </w:r>
      <w:r w:rsidRPr="00181FCD">
        <w:t>conferir</w:t>
      </w:r>
      <w:r w:rsidR="00F373A3" w:rsidRPr="00181FCD">
        <w:t xml:space="preserve"> </w:t>
      </w:r>
      <w:r w:rsidRPr="00181FCD">
        <w:t>a</w:t>
      </w:r>
      <w:r w:rsidR="00F373A3" w:rsidRPr="00181FCD">
        <w:t xml:space="preserve"> </w:t>
      </w:r>
      <w:r w:rsidRPr="00181FCD">
        <w:t>la</w:t>
      </w:r>
      <w:r w:rsidR="00F373A3" w:rsidRPr="00181FCD">
        <w:t xml:space="preserve"> </w:t>
      </w:r>
      <w:r w:rsidRPr="00181FCD">
        <w:t>Inspección</w:t>
      </w:r>
      <w:r w:rsidR="00F373A3" w:rsidRPr="00181FCD">
        <w:t xml:space="preserve"> </w:t>
      </w:r>
      <w:r w:rsidRPr="00181FCD">
        <w:t>los</w:t>
      </w:r>
      <w:r w:rsidR="00F373A3" w:rsidRPr="00181FCD">
        <w:t xml:space="preserve"> </w:t>
      </w:r>
      <w:r w:rsidRPr="00181FCD">
        <w:t>medios</w:t>
      </w:r>
      <w:r w:rsidR="00F373A3" w:rsidRPr="00181FCD">
        <w:t xml:space="preserve"> </w:t>
      </w:r>
      <w:r w:rsidRPr="00181FCD">
        <w:t>para</w:t>
      </w:r>
      <w:r w:rsidR="00F373A3" w:rsidRPr="00181FCD">
        <w:t xml:space="preserve"> </w:t>
      </w:r>
      <w:r w:rsidRPr="00181FCD">
        <w:t>fiscalizar</w:t>
      </w:r>
      <w:r w:rsidR="00F373A3" w:rsidRPr="00181FCD">
        <w:t xml:space="preserve"> </w:t>
      </w:r>
      <w:r w:rsidRPr="00181FCD">
        <w:t>los</w:t>
      </w:r>
      <w:r w:rsidR="00F373A3" w:rsidRPr="00181FCD">
        <w:t xml:space="preserve"> </w:t>
      </w:r>
      <w:r w:rsidRPr="00181FCD">
        <w:t>conflictos</w:t>
      </w:r>
      <w:r w:rsidR="00F373A3" w:rsidRPr="00181FCD">
        <w:t xml:space="preserve"> </w:t>
      </w:r>
      <w:r w:rsidRPr="00181FCD">
        <w:t>de</w:t>
      </w:r>
      <w:r w:rsidR="00F373A3" w:rsidRPr="00181FCD">
        <w:t xml:space="preserve"> </w:t>
      </w:r>
      <w:r w:rsidRPr="00181FCD">
        <w:t>intereses</w:t>
      </w:r>
      <w:r w:rsidR="00F373A3" w:rsidRPr="00181FCD">
        <w:t xml:space="preserve"> </w:t>
      </w:r>
      <w:r w:rsidRPr="00181FCD">
        <w:t>de</w:t>
      </w:r>
      <w:r w:rsidR="00F373A3" w:rsidRPr="00181FCD">
        <w:t xml:space="preserve"> </w:t>
      </w:r>
      <w:r w:rsidRPr="00181FCD">
        <w:t>los</w:t>
      </w:r>
      <w:r w:rsidR="00F373A3" w:rsidRPr="00181FCD">
        <w:t xml:space="preserve"> </w:t>
      </w:r>
      <w:r w:rsidRPr="00181FCD">
        <w:t>jueces,</w:t>
      </w:r>
      <w:r w:rsidR="00F373A3" w:rsidRPr="00181FCD">
        <w:t xml:space="preserve"> </w:t>
      </w:r>
      <w:r w:rsidRPr="00181FCD">
        <w:t>fiscales</w:t>
      </w:r>
      <w:r w:rsidR="00F373A3" w:rsidRPr="00181FCD">
        <w:t xml:space="preserve"> </w:t>
      </w:r>
      <w:r w:rsidRPr="00181FCD">
        <w:t>y</w:t>
      </w:r>
      <w:r w:rsidR="00F373A3" w:rsidRPr="00181FCD">
        <w:t xml:space="preserve"> </w:t>
      </w:r>
      <w:r w:rsidRPr="00181FCD">
        <w:t>funcionarios</w:t>
      </w:r>
      <w:r w:rsidR="00F373A3" w:rsidRPr="00181FCD">
        <w:t xml:space="preserve"> </w:t>
      </w:r>
      <w:r w:rsidRPr="00181FCD">
        <w:t>encargados</w:t>
      </w:r>
      <w:r w:rsidR="00F373A3" w:rsidRPr="00181FCD">
        <w:t xml:space="preserve"> </w:t>
      </w:r>
      <w:r w:rsidRPr="00181FCD">
        <w:t>de</w:t>
      </w:r>
      <w:r w:rsidR="00F373A3" w:rsidRPr="00181FCD">
        <w:t xml:space="preserve"> </w:t>
      </w:r>
      <w:r w:rsidRPr="00181FCD">
        <w:t>la</w:t>
      </w:r>
      <w:r w:rsidR="00F373A3" w:rsidRPr="00181FCD">
        <w:t xml:space="preserve"> </w:t>
      </w:r>
      <w:r w:rsidRPr="00181FCD">
        <w:t>instrucción,</w:t>
      </w:r>
      <w:r w:rsidR="00F373A3" w:rsidRPr="00181FCD">
        <w:t xml:space="preserve"> </w:t>
      </w:r>
      <w:r w:rsidRPr="00181FCD">
        <w:t>comprobar</w:t>
      </w:r>
      <w:r w:rsidR="00F373A3" w:rsidRPr="00181FCD">
        <w:t xml:space="preserve"> </w:t>
      </w:r>
      <w:r w:rsidRPr="00181FCD">
        <w:t>la</w:t>
      </w:r>
      <w:r w:rsidR="00F373A3" w:rsidRPr="00181FCD">
        <w:t xml:space="preserve"> </w:t>
      </w:r>
      <w:r w:rsidRPr="00181FCD">
        <w:t>integridad</w:t>
      </w:r>
      <w:r w:rsidR="00F373A3" w:rsidRPr="00181FCD">
        <w:t xml:space="preserve"> </w:t>
      </w:r>
      <w:r w:rsidRPr="00181FCD">
        <w:t>y</w:t>
      </w:r>
      <w:r w:rsidR="00F373A3" w:rsidRPr="00181FCD">
        <w:t xml:space="preserve"> </w:t>
      </w:r>
      <w:r w:rsidRPr="00181FCD">
        <w:t>la</w:t>
      </w:r>
      <w:r w:rsidR="00F373A3" w:rsidRPr="00181FCD">
        <w:t xml:space="preserve"> </w:t>
      </w:r>
      <w:r w:rsidRPr="00181FCD">
        <w:t>autenticidad</w:t>
      </w:r>
      <w:r w:rsidR="00F373A3" w:rsidRPr="00181FCD">
        <w:t xml:space="preserve"> </w:t>
      </w:r>
      <w:r w:rsidRPr="00181FCD">
        <w:t>de</w:t>
      </w:r>
      <w:r w:rsidR="00F373A3" w:rsidRPr="00181FCD">
        <w:t xml:space="preserve"> </w:t>
      </w:r>
      <w:r w:rsidRPr="00181FCD">
        <w:t>las</w:t>
      </w:r>
      <w:r w:rsidR="00F373A3" w:rsidRPr="00181FCD">
        <w:t xml:space="preserve"> </w:t>
      </w:r>
      <w:r w:rsidRPr="00181FCD">
        <w:t>declaraciones</w:t>
      </w:r>
      <w:r w:rsidR="00F373A3" w:rsidRPr="00181FCD">
        <w:t xml:space="preserve"> </w:t>
      </w:r>
      <w:r w:rsidRPr="00181FCD">
        <w:t>de</w:t>
      </w:r>
      <w:r w:rsidR="00F373A3" w:rsidRPr="00181FCD">
        <w:t xml:space="preserve"> </w:t>
      </w:r>
      <w:r w:rsidRPr="00181FCD">
        <w:t>bienes,</w:t>
      </w:r>
      <w:r w:rsidR="00F373A3" w:rsidRPr="00181FCD">
        <w:t xml:space="preserve"> </w:t>
      </w:r>
      <w:r w:rsidRPr="00181FCD">
        <w:t>indagar</w:t>
      </w:r>
      <w:r w:rsidR="00F373A3" w:rsidRPr="00181FCD">
        <w:t xml:space="preserve"> </w:t>
      </w:r>
      <w:r w:rsidRPr="00181FCD">
        <w:t>sobre</w:t>
      </w:r>
      <w:r w:rsidR="00F373A3" w:rsidRPr="00181FCD">
        <w:t xml:space="preserve"> </w:t>
      </w:r>
      <w:r w:rsidRPr="00181FCD">
        <w:t>conductas</w:t>
      </w:r>
      <w:r w:rsidR="00F373A3" w:rsidRPr="00181FCD">
        <w:t xml:space="preserve"> </w:t>
      </w:r>
      <w:r w:rsidRPr="00181FCD">
        <w:t>que</w:t>
      </w:r>
      <w:r w:rsidR="00F373A3" w:rsidRPr="00181FCD">
        <w:t xml:space="preserve"> </w:t>
      </w:r>
      <w:r w:rsidRPr="00181FCD">
        <w:t>dañan</w:t>
      </w:r>
      <w:r w:rsidR="00F373A3" w:rsidRPr="00181FCD">
        <w:t xml:space="preserve"> </w:t>
      </w:r>
      <w:r w:rsidRPr="00181FCD">
        <w:t>la</w:t>
      </w:r>
      <w:r w:rsidR="00F373A3" w:rsidRPr="00181FCD">
        <w:t xml:space="preserve"> </w:t>
      </w:r>
      <w:r w:rsidRPr="00181FCD">
        <w:t>reputación</w:t>
      </w:r>
      <w:r w:rsidR="00F373A3" w:rsidRPr="00181FCD">
        <w:t xml:space="preserve"> </w:t>
      </w:r>
      <w:r w:rsidRPr="00181FCD">
        <w:t>del</w:t>
      </w:r>
      <w:r w:rsidR="00F373A3" w:rsidRPr="00181FCD">
        <w:t xml:space="preserve"> </w:t>
      </w:r>
      <w:r w:rsidRPr="00181FCD">
        <w:t>poder</w:t>
      </w:r>
      <w:r w:rsidR="00F373A3" w:rsidRPr="00181FCD">
        <w:t xml:space="preserve"> </w:t>
      </w:r>
      <w:r w:rsidRPr="00181FCD">
        <w:t>judicial</w:t>
      </w:r>
      <w:r w:rsidR="00F373A3" w:rsidRPr="00181FCD">
        <w:t xml:space="preserve"> </w:t>
      </w:r>
      <w:r w:rsidRPr="00181FCD">
        <w:t>o</w:t>
      </w:r>
      <w:r w:rsidR="00F373A3" w:rsidRPr="00181FCD">
        <w:t xml:space="preserve"> </w:t>
      </w:r>
      <w:r w:rsidRPr="00181FCD">
        <w:t>realizar</w:t>
      </w:r>
      <w:r w:rsidR="00F373A3" w:rsidRPr="00181FCD">
        <w:t xml:space="preserve"> </w:t>
      </w:r>
      <w:r w:rsidRPr="00181FCD">
        <w:t>averiguaciones</w:t>
      </w:r>
      <w:r w:rsidR="00F373A3" w:rsidRPr="00181FCD">
        <w:t xml:space="preserve"> </w:t>
      </w:r>
      <w:r w:rsidRPr="00181FCD">
        <w:t>en</w:t>
      </w:r>
      <w:r w:rsidR="00F373A3" w:rsidRPr="00181FCD">
        <w:t xml:space="preserve"> </w:t>
      </w:r>
      <w:r w:rsidRPr="00181FCD">
        <w:t>relación</w:t>
      </w:r>
      <w:r w:rsidR="00F373A3" w:rsidRPr="00181FCD">
        <w:t xml:space="preserve"> </w:t>
      </w:r>
      <w:r w:rsidRPr="00181FCD">
        <w:t>con</w:t>
      </w:r>
      <w:r w:rsidR="00F373A3" w:rsidRPr="00181FCD">
        <w:t xml:space="preserve"> </w:t>
      </w:r>
      <w:r w:rsidRPr="00181FCD">
        <w:t>la</w:t>
      </w:r>
      <w:r w:rsidR="00F373A3" w:rsidRPr="00181FCD">
        <w:t xml:space="preserve"> </w:t>
      </w:r>
      <w:r w:rsidRPr="00181FCD">
        <w:t>violación</w:t>
      </w:r>
      <w:r w:rsidR="00F373A3" w:rsidRPr="00181FCD">
        <w:t xml:space="preserve"> </w:t>
      </w:r>
      <w:r w:rsidRPr="00181FCD">
        <w:t>de</w:t>
      </w:r>
      <w:r w:rsidR="00F373A3" w:rsidRPr="00181FCD">
        <w:t xml:space="preserve"> </w:t>
      </w:r>
      <w:r w:rsidRPr="00181FCD">
        <w:t>la</w:t>
      </w:r>
      <w:r w:rsidR="00F373A3" w:rsidRPr="00181FCD">
        <w:t xml:space="preserve"> </w:t>
      </w:r>
      <w:r w:rsidRPr="00181FCD">
        <w:t>independencia</w:t>
      </w:r>
      <w:r w:rsidR="00F373A3" w:rsidRPr="00181FCD">
        <w:t xml:space="preserve"> </w:t>
      </w:r>
      <w:r w:rsidRPr="00181FCD">
        <w:t>de</w:t>
      </w:r>
      <w:r w:rsidR="00F373A3" w:rsidRPr="00181FCD">
        <w:t xml:space="preserve"> </w:t>
      </w:r>
      <w:r w:rsidRPr="00181FCD">
        <w:t>los</w:t>
      </w:r>
      <w:r w:rsidR="00F373A3" w:rsidRPr="00181FCD">
        <w:t xml:space="preserve"> </w:t>
      </w:r>
      <w:r w:rsidRPr="00181FCD">
        <w:t>jueces,</w:t>
      </w:r>
      <w:r w:rsidR="00F373A3" w:rsidRPr="00181FCD">
        <w:t xml:space="preserve"> </w:t>
      </w:r>
      <w:r w:rsidRPr="00181FCD">
        <w:t>fiscales</w:t>
      </w:r>
      <w:r w:rsidR="00F373A3" w:rsidRPr="00181FCD">
        <w:t xml:space="preserve"> </w:t>
      </w:r>
      <w:r w:rsidRPr="00181FCD">
        <w:t>y</w:t>
      </w:r>
      <w:r w:rsidR="00F373A3" w:rsidRPr="00181FCD">
        <w:t xml:space="preserve"> </w:t>
      </w:r>
      <w:r w:rsidRPr="00181FCD">
        <w:t>funcionarios</w:t>
      </w:r>
      <w:r w:rsidR="00F373A3" w:rsidRPr="00181FCD">
        <w:t xml:space="preserve"> </w:t>
      </w:r>
      <w:r w:rsidRPr="00181FCD">
        <w:t>encargados</w:t>
      </w:r>
      <w:r w:rsidR="00F373A3" w:rsidRPr="00181FCD">
        <w:t xml:space="preserve"> </w:t>
      </w:r>
      <w:r w:rsidRPr="00181FCD">
        <w:t>de</w:t>
      </w:r>
      <w:r w:rsidR="00F373A3" w:rsidRPr="00181FCD">
        <w:t xml:space="preserve"> </w:t>
      </w:r>
      <w:r w:rsidRPr="00181FCD">
        <w:t>la</w:t>
      </w:r>
      <w:r w:rsidR="00F373A3" w:rsidRPr="00181FCD">
        <w:t xml:space="preserve"> </w:t>
      </w:r>
      <w:r w:rsidRPr="00181FCD">
        <w:t>instrucción</w:t>
      </w:r>
      <w:r w:rsidR="00DB1DF7" w:rsidRPr="00181FCD">
        <w:t>.</w:t>
      </w:r>
    </w:p>
    <w:p w:rsidR="001937F4" w:rsidRPr="00181FCD" w:rsidRDefault="00095610" w:rsidP="00347B20">
      <w:pPr>
        <w:pStyle w:val="H56G"/>
      </w:pPr>
      <w:r w:rsidRPr="00181FCD">
        <w:tab/>
      </w:r>
      <w:r w:rsidRPr="00181FCD">
        <w:tab/>
      </w:r>
      <w:r w:rsidR="001937F4" w:rsidRPr="00181FCD">
        <w:t>Nuevas</w:t>
      </w:r>
      <w:r w:rsidR="00F373A3" w:rsidRPr="00181FCD">
        <w:t xml:space="preserve"> </w:t>
      </w:r>
      <w:r w:rsidR="001937F4" w:rsidRPr="00181FCD">
        <w:t>garantías</w:t>
      </w:r>
      <w:r w:rsidR="00F373A3" w:rsidRPr="00181FCD">
        <w:t xml:space="preserve"> </w:t>
      </w:r>
      <w:r w:rsidR="001937F4" w:rsidRPr="00181FCD">
        <w:t>para</w:t>
      </w:r>
      <w:r w:rsidR="00F373A3" w:rsidRPr="00181FCD">
        <w:t xml:space="preserve"> </w:t>
      </w:r>
      <w:r w:rsidR="001937F4" w:rsidRPr="00181FCD">
        <w:t>los</w:t>
      </w:r>
      <w:r w:rsidR="00F373A3" w:rsidRPr="00181FCD">
        <w:t xml:space="preserve"> </w:t>
      </w:r>
      <w:r w:rsidR="001937F4" w:rsidRPr="00181FCD">
        <w:t>derechos</w:t>
      </w:r>
      <w:r w:rsidR="00F373A3" w:rsidRPr="00181FCD">
        <w:t xml:space="preserve"> </w:t>
      </w:r>
      <w:r w:rsidR="001937F4" w:rsidRPr="00181FCD">
        <w:t>y</w:t>
      </w:r>
      <w:r w:rsidR="00F373A3" w:rsidRPr="00181FCD">
        <w:t xml:space="preserve"> </w:t>
      </w:r>
      <w:r w:rsidR="001937F4" w:rsidRPr="00181FCD">
        <w:t>las</w:t>
      </w:r>
      <w:r w:rsidR="00F373A3" w:rsidRPr="00181FCD">
        <w:t xml:space="preserve"> </w:t>
      </w:r>
      <w:r w:rsidR="001937F4" w:rsidRPr="00181FCD">
        <w:t>libertades</w:t>
      </w:r>
      <w:r w:rsidR="00F373A3" w:rsidRPr="00181FCD">
        <w:t xml:space="preserve"> </w:t>
      </w:r>
      <w:r w:rsidR="001937F4" w:rsidRPr="00181FCD">
        <w:t>de</w:t>
      </w:r>
      <w:r w:rsidR="00F373A3" w:rsidRPr="00181FCD">
        <w:t xml:space="preserve"> </w:t>
      </w:r>
      <w:r w:rsidR="001937F4" w:rsidRPr="00181FCD">
        <w:t>los</w:t>
      </w:r>
      <w:r w:rsidR="00F373A3" w:rsidRPr="00181FCD">
        <w:t xml:space="preserve"> </w:t>
      </w:r>
      <w:r w:rsidR="001937F4" w:rsidRPr="00181FCD">
        <w:t>ciudadanos</w:t>
      </w:r>
    </w:p>
    <w:p w:rsidR="001937F4" w:rsidRPr="00181FCD" w:rsidRDefault="001937F4" w:rsidP="00347B20">
      <w:pPr>
        <w:pStyle w:val="SingleTxtG"/>
        <w:suppressAutoHyphens/>
        <w:rPr>
          <w:i/>
        </w:rPr>
      </w:pPr>
      <w:r w:rsidRPr="00181FCD">
        <w:rPr>
          <w:i/>
        </w:rPr>
        <w:t>Objetivo:</w:t>
      </w:r>
      <w:r w:rsidR="00F373A3" w:rsidRPr="00181FCD">
        <w:rPr>
          <w:i/>
        </w:rPr>
        <w:t xml:space="preserve"> </w:t>
      </w:r>
      <w:r w:rsidRPr="00181FCD">
        <w:rPr>
          <w:i/>
        </w:rPr>
        <w:t>Fortalecimiento</w:t>
      </w:r>
      <w:r w:rsidR="00F373A3" w:rsidRPr="00181FCD">
        <w:rPr>
          <w:i/>
        </w:rPr>
        <w:t xml:space="preserve"> </w:t>
      </w:r>
      <w:r w:rsidRPr="00181FCD">
        <w:rPr>
          <w:i/>
        </w:rPr>
        <w:t>de</w:t>
      </w:r>
      <w:r w:rsidR="00F373A3" w:rsidRPr="00181FCD">
        <w:rPr>
          <w:i/>
        </w:rPr>
        <w:t xml:space="preserve"> </w:t>
      </w:r>
      <w:r w:rsidRPr="00181FCD">
        <w:rPr>
          <w:i/>
        </w:rPr>
        <w:t>la</w:t>
      </w:r>
      <w:r w:rsidR="00F373A3" w:rsidRPr="00181FCD">
        <w:rPr>
          <w:i/>
        </w:rPr>
        <w:t xml:space="preserve"> </w:t>
      </w:r>
      <w:r w:rsidRPr="00181FCD">
        <w:rPr>
          <w:i/>
        </w:rPr>
        <w:t>supremacía</w:t>
      </w:r>
      <w:r w:rsidR="00F373A3" w:rsidRPr="00181FCD">
        <w:rPr>
          <w:i/>
        </w:rPr>
        <w:t xml:space="preserve"> </w:t>
      </w:r>
      <w:r w:rsidRPr="00181FCD">
        <w:rPr>
          <w:i/>
        </w:rPr>
        <w:t>de</w:t>
      </w:r>
      <w:r w:rsidR="00F373A3" w:rsidRPr="00181FCD">
        <w:rPr>
          <w:i/>
        </w:rPr>
        <w:t xml:space="preserve"> </w:t>
      </w:r>
      <w:r w:rsidRPr="00181FCD">
        <w:rPr>
          <w:i/>
        </w:rPr>
        <w:t>la</w:t>
      </w:r>
      <w:r w:rsidR="00F373A3" w:rsidRPr="00181FCD">
        <w:rPr>
          <w:i/>
        </w:rPr>
        <w:t xml:space="preserve"> </w:t>
      </w:r>
      <w:r w:rsidRPr="00181FCD">
        <w:rPr>
          <w:i/>
        </w:rPr>
        <w:t>Constitución</w:t>
      </w:r>
      <w:r w:rsidR="00F373A3" w:rsidRPr="00181FCD">
        <w:rPr>
          <w:i/>
        </w:rPr>
        <w:t xml:space="preserve"> </w:t>
      </w:r>
      <w:r w:rsidRPr="00181FCD">
        <w:rPr>
          <w:i/>
        </w:rPr>
        <w:t>y</w:t>
      </w:r>
      <w:r w:rsidR="00F373A3" w:rsidRPr="00181FCD">
        <w:rPr>
          <w:i/>
        </w:rPr>
        <w:t xml:space="preserve"> </w:t>
      </w:r>
      <w:r w:rsidRPr="00181FCD">
        <w:rPr>
          <w:i/>
        </w:rPr>
        <w:t>la</w:t>
      </w:r>
      <w:r w:rsidR="00F373A3" w:rsidRPr="00181FCD">
        <w:rPr>
          <w:i/>
        </w:rPr>
        <w:t xml:space="preserve"> </w:t>
      </w:r>
      <w:r w:rsidRPr="00181FCD">
        <w:rPr>
          <w:i/>
        </w:rPr>
        <w:t>independencia</w:t>
      </w:r>
      <w:r w:rsidR="00F373A3" w:rsidRPr="00181FCD">
        <w:rPr>
          <w:i/>
        </w:rPr>
        <w:t xml:space="preserve"> </w:t>
      </w:r>
      <w:r w:rsidRPr="00181FCD">
        <w:rPr>
          <w:i/>
        </w:rPr>
        <w:t>de</w:t>
      </w:r>
      <w:r w:rsidR="00F373A3" w:rsidRPr="00181FCD">
        <w:rPr>
          <w:i/>
        </w:rPr>
        <w:t xml:space="preserve"> </w:t>
      </w:r>
      <w:r w:rsidRPr="00181FCD">
        <w:rPr>
          <w:i/>
        </w:rPr>
        <w:t>los</w:t>
      </w:r>
      <w:r w:rsidR="00F373A3" w:rsidRPr="00181FCD">
        <w:rPr>
          <w:i/>
        </w:rPr>
        <w:t xml:space="preserve"> </w:t>
      </w:r>
      <w:r w:rsidRPr="00181FCD">
        <w:rPr>
          <w:i/>
        </w:rPr>
        <w:t>jueces,</w:t>
      </w:r>
      <w:r w:rsidR="00F373A3" w:rsidRPr="00181FCD">
        <w:rPr>
          <w:i/>
        </w:rPr>
        <w:t xml:space="preserve"> </w:t>
      </w:r>
      <w:r w:rsidRPr="00181FCD">
        <w:rPr>
          <w:i/>
        </w:rPr>
        <w:t>así</w:t>
      </w:r>
      <w:r w:rsidR="00F373A3" w:rsidRPr="00181FCD">
        <w:rPr>
          <w:i/>
        </w:rPr>
        <w:t xml:space="preserve"> </w:t>
      </w:r>
      <w:r w:rsidRPr="00181FCD">
        <w:rPr>
          <w:i/>
        </w:rPr>
        <w:t>como</w:t>
      </w:r>
      <w:r w:rsidR="00F373A3" w:rsidRPr="00181FCD">
        <w:rPr>
          <w:i/>
        </w:rPr>
        <w:t xml:space="preserve"> </w:t>
      </w:r>
      <w:r w:rsidRPr="00181FCD">
        <w:rPr>
          <w:i/>
        </w:rPr>
        <w:t>la</w:t>
      </w:r>
      <w:r w:rsidR="00F373A3" w:rsidRPr="00181FCD">
        <w:rPr>
          <w:i/>
        </w:rPr>
        <w:t xml:space="preserve"> </w:t>
      </w:r>
      <w:r w:rsidRPr="00181FCD">
        <w:rPr>
          <w:i/>
        </w:rPr>
        <w:t>introducción</w:t>
      </w:r>
      <w:r w:rsidR="00F373A3" w:rsidRPr="00181FCD">
        <w:rPr>
          <w:i/>
        </w:rPr>
        <w:t xml:space="preserve"> </w:t>
      </w:r>
      <w:r w:rsidRPr="00181FCD">
        <w:rPr>
          <w:i/>
        </w:rPr>
        <w:t>de</w:t>
      </w:r>
      <w:r w:rsidR="00F373A3" w:rsidRPr="00181FCD">
        <w:rPr>
          <w:i/>
        </w:rPr>
        <w:t xml:space="preserve"> </w:t>
      </w:r>
      <w:r w:rsidRPr="00181FCD">
        <w:rPr>
          <w:i/>
        </w:rPr>
        <w:t>garantías</w:t>
      </w:r>
      <w:r w:rsidR="00F373A3" w:rsidRPr="00181FCD">
        <w:rPr>
          <w:i/>
        </w:rPr>
        <w:t xml:space="preserve"> </w:t>
      </w:r>
      <w:r w:rsidRPr="00181FCD">
        <w:rPr>
          <w:i/>
        </w:rPr>
        <w:t>adicionales</w:t>
      </w:r>
      <w:r w:rsidR="00F373A3" w:rsidRPr="00181FCD">
        <w:rPr>
          <w:i/>
        </w:rPr>
        <w:t xml:space="preserve"> </w:t>
      </w:r>
      <w:r w:rsidRPr="00181FCD">
        <w:rPr>
          <w:i/>
        </w:rPr>
        <w:t>para</w:t>
      </w:r>
      <w:r w:rsidR="00F373A3" w:rsidRPr="00181FCD">
        <w:rPr>
          <w:i/>
        </w:rPr>
        <w:t xml:space="preserve"> </w:t>
      </w:r>
      <w:r w:rsidRPr="00181FCD">
        <w:rPr>
          <w:i/>
        </w:rPr>
        <w:t>los</w:t>
      </w:r>
      <w:r w:rsidR="00F373A3" w:rsidRPr="00181FCD">
        <w:rPr>
          <w:i/>
        </w:rPr>
        <w:t xml:space="preserve"> </w:t>
      </w:r>
      <w:r w:rsidRPr="00181FCD">
        <w:rPr>
          <w:i/>
        </w:rPr>
        <w:t>derechos</w:t>
      </w:r>
      <w:r w:rsidR="00F373A3" w:rsidRPr="00181FCD">
        <w:rPr>
          <w:i/>
        </w:rPr>
        <w:t xml:space="preserve"> </w:t>
      </w:r>
      <w:r w:rsidRPr="00181FCD">
        <w:rPr>
          <w:i/>
        </w:rPr>
        <w:t>de</w:t>
      </w:r>
      <w:r w:rsidR="00F373A3" w:rsidRPr="00181FCD">
        <w:rPr>
          <w:i/>
        </w:rPr>
        <w:t xml:space="preserve"> </w:t>
      </w:r>
      <w:r w:rsidRPr="00181FCD">
        <w:rPr>
          <w:i/>
        </w:rPr>
        <w:t>los</w:t>
      </w:r>
      <w:r w:rsidR="00F373A3" w:rsidRPr="00181FCD">
        <w:rPr>
          <w:i/>
        </w:rPr>
        <w:t xml:space="preserve"> </w:t>
      </w:r>
      <w:r w:rsidRPr="00181FCD">
        <w:rPr>
          <w:i/>
        </w:rPr>
        <w:t>ciudadanos.</w:t>
      </w:r>
    </w:p>
    <w:p w:rsidR="001937F4" w:rsidRPr="00181FCD" w:rsidRDefault="001937F4" w:rsidP="00347B20">
      <w:pPr>
        <w:pStyle w:val="Bullet1G"/>
        <w:suppressAutoHyphens/>
      </w:pPr>
      <w:r w:rsidRPr="00181FCD">
        <w:t>Los</w:t>
      </w:r>
      <w:r w:rsidR="00F373A3" w:rsidRPr="00181FCD">
        <w:t xml:space="preserve"> </w:t>
      </w:r>
      <w:r w:rsidRPr="00181FCD">
        <w:t>tribunales</w:t>
      </w:r>
      <w:r w:rsidR="00F373A3" w:rsidRPr="00181FCD">
        <w:t xml:space="preserve"> </w:t>
      </w:r>
      <w:r w:rsidRPr="00181FCD">
        <w:t>ordinarios</w:t>
      </w:r>
      <w:r w:rsidR="00F373A3" w:rsidRPr="00181FCD">
        <w:t xml:space="preserve"> </w:t>
      </w:r>
      <w:r w:rsidRPr="00181FCD">
        <w:t>participan</w:t>
      </w:r>
      <w:r w:rsidR="00F373A3" w:rsidRPr="00181FCD">
        <w:t xml:space="preserve"> </w:t>
      </w:r>
      <w:r w:rsidRPr="00181FCD">
        <w:t>en</w:t>
      </w:r>
      <w:r w:rsidR="00F373A3" w:rsidRPr="00181FCD">
        <w:t xml:space="preserve"> </w:t>
      </w:r>
      <w:r w:rsidRPr="00181FCD">
        <w:t>el</w:t>
      </w:r>
      <w:r w:rsidR="00F373A3" w:rsidRPr="00181FCD">
        <w:t xml:space="preserve"> </w:t>
      </w:r>
      <w:r w:rsidRPr="00181FCD">
        <w:t>ejercicio</w:t>
      </w:r>
      <w:r w:rsidR="00F373A3" w:rsidRPr="00181FCD">
        <w:t xml:space="preserve"> </w:t>
      </w:r>
      <w:r w:rsidRPr="00181FCD">
        <w:t>del</w:t>
      </w:r>
      <w:r w:rsidR="00F373A3" w:rsidRPr="00181FCD">
        <w:t xml:space="preserve"> </w:t>
      </w:r>
      <w:r w:rsidRPr="00181FCD">
        <w:t>control</w:t>
      </w:r>
      <w:r w:rsidR="00F373A3" w:rsidRPr="00181FCD">
        <w:t xml:space="preserve"> </w:t>
      </w:r>
      <w:r w:rsidRPr="00181FCD">
        <w:t>específico</w:t>
      </w:r>
      <w:r w:rsidR="00F373A3" w:rsidRPr="00181FCD">
        <w:t xml:space="preserve"> </w:t>
      </w:r>
      <w:r w:rsidRPr="00181FCD">
        <w:t>de</w:t>
      </w:r>
      <w:r w:rsidR="00F373A3" w:rsidRPr="00181FCD">
        <w:t xml:space="preserve"> </w:t>
      </w:r>
      <w:r w:rsidRPr="00181FCD">
        <w:t>la</w:t>
      </w:r>
      <w:r w:rsidR="00F373A3" w:rsidRPr="00181FCD">
        <w:t xml:space="preserve"> </w:t>
      </w:r>
      <w:r w:rsidRPr="00181FCD">
        <w:t>constitucionalidad,</w:t>
      </w:r>
      <w:r w:rsidR="00F373A3" w:rsidRPr="00181FCD">
        <w:t xml:space="preserve"> </w:t>
      </w:r>
      <w:r w:rsidRPr="00181FCD">
        <w:t>y</w:t>
      </w:r>
      <w:r w:rsidR="00F373A3" w:rsidRPr="00181FCD">
        <w:t xml:space="preserve"> </w:t>
      </w:r>
      <w:r w:rsidRPr="00181FCD">
        <w:t>pueden</w:t>
      </w:r>
      <w:r w:rsidR="00F373A3" w:rsidRPr="00181FCD">
        <w:t xml:space="preserve"> </w:t>
      </w:r>
      <w:r w:rsidRPr="00181FCD">
        <w:t>acudir</w:t>
      </w:r>
      <w:r w:rsidR="00F373A3" w:rsidRPr="00181FCD">
        <w:t xml:space="preserve"> </w:t>
      </w:r>
      <w:r w:rsidRPr="00181FCD">
        <w:t>al</w:t>
      </w:r>
      <w:r w:rsidR="00F373A3" w:rsidRPr="00181FCD">
        <w:t xml:space="preserve"> </w:t>
      </w:r>
      <w:r w:rsidRPr="00181FCD">
        <w:t>Tribunal</w:t>
      </w:r>
      <w:r w:rsidR="00F373A3" w:rsidRPr="00181FCD">
        <w:t xml:space="preserve"> </w:t>
      </w:r>
      <w:r w:rsidRPr="00181FCD">
        <w:t>Constitucional</w:t>
      </w:r>
      <w:r w:rsidR="00F373A3" w:rsidRPr="00181FCD">
        <w:t xml:space="preserve"> </w:t>
      </w:r>
      <w:r w:rsidRPr="00181FCD">
        <w:t>en</w:t>
      </w:r>
      <w:r w:rsidR="00F373A3" w:rsidRPr="00181FCD">
        <w:t xml:space="preserve"> </w:t>
      </w:r>
      <w:r w:rsidRPr="00181FCD">
        <w:t>los</w:t>
      </w:r>
      <w:r w:rsidR="00F373A3" w:rsidRPr="00181FCD">
        <w:t xml:space="preserve"> </w:t>
      </w:r>
      <w:r w:rsidRPr="00181FCD">
        <w:t>casos</w:t>
      </w:r>
      <w:r w:rsidR="00F373A3" w:rsidRPr="00181FCD">
        <w:t xml:space="preserve"> </w:t>
      </w:r>
      <w:r w:rsidRPr="00181FCD">
        <w:t>en</w:t>
      </w:r>
      <w:r w:rsidR="00F373A3" w:rsidRPr="00181FCD">
        <w:t xml:space="preserve"> </w:t>
      </w:r>
      <w:r w:rsidRPr="00181FCD">
        <w:t>que</w:t>
      </w:r>
      <w:r w:rsidR="00F373A3" w:rsidRPr="00181FCD">
        <w:t xml:space="preserve"> </w:t>
      </w:r>
      <w:r w:rsidRPr="00181FCD">
        <w:t>la</w:t>
      </w:r>
      <w:r w:rsidR="00F373A3" w:rsidRPr="00181FCD">
        <w:t xml:space="preserve"> </w:t>
      </w:r>
      <w:r w:rsidRPr="00181FCD">
        <w:t>ley</w:t>
      </w:r>
      <w:r w:rsidR="00F373A3" w:rsidRPr="00181FCD">
        <w:t xml:space="preserve"> </w:t>
      </w:r>
      <w:r w:rsidRPr="00181FCD">
        <w:t>infrinja</w:t>
      </w:r>
      <w:r w:rsidR="00F373A3" w:rsidRPr="00181FCD">
        <w:t xml:space="preserve"> </w:t>
      </w:r>
      <w:r w:rsidRPr="00181FCD">
        <w:t>los</w:t>
      </w:r>
      <w:r w:rsidR="00F373A3" w:rsidRPr="00181FCD">
        <w:t xml:space="preserve"> </w:t>
      </w:r>
      <w:r w:rsidRPr="00181FCD">
        <w:t>derechos</w:t>
      </w:r>
      <w:r w:rsidR="00F373A3" w:rsidRPr="00181FCD">
        <w:t xml:space="preserve"> </w:t>
      </w:r>
      <w:r w:rsidRPr="00181FCD">
        <w:t>y</w:t>
      </w:r>
      <w:r w:rsidR="00F373A3" w:rsidRPr="00181FCD">
        <w:t xml:space="preserve"> </w:t>
      </w:r>
      <w:r w:rsidRPr="00181FCD">
        <w:t>libertades</w:t>
      </w:r>
      <w:r w:rsidR="00F373A3" w:rsidRPr="00181FCD">
        <w:t xml:space="preserve"> </w:t>
      </w:r>
      <w:r w:rsidRPr="00181FCD">
        <w:t>de</w:t>
      </w:r>
      <w:r w:rsidR="00F373A3" w:rsidRPr="00181FCD">
        <w:t xml:space="preserve"> </w:t>
      </w:r>
      <w:r w:rsidRPr="00181FCD">
        <w:t>los</w:t>
      </w:r>
      <w:r w:rsidR="00F373A3" w:rsidRPr="00181FCD">
        <w:t xml:space="preserve"> </w:t>
      </w:r>
      <w:r w:rsidRPr="00181FCD">
        <w:t>ciudadanos</w:t>
      </w:r>
      <w:r w:rsidR="00095610" w:rsidRPr="00181FCD">
        <w:t>.</w:t>
      </w:r>
    </w:p>
    <w:p w:rsidR="001937F4" w:rsidRPr="00181FCD" w:rsidRDefault="001937F4" w:rsidP="00347B20">
      <w:pPr>
        <w:pStyle w:val="Bullet1G"/>
        <w:suppressAutoHyphens/>
      </w:pPr>
      <w:r w:rsidRPr="00181FCD">
        <w:t>El</w:t>
      </w:r>
      <w:r w:rsidR="00F373A3" w:rsidRPr="00181FCD">
        <w:t xml:space="preserve"> </w:t>
      </w:r>
      <w:r w:rsidRPr="00181FCD">
        <w:t>Consejo</w:t>
      </w:r>
      <w:r w:rsidR="00F373A3" w:rsidRPr="00181FCD">
        <w:t xml:space="preserve"> </w:t>
      </w:r>
      <w:r w:rsidRPr="00181FCD">
        <w:t>Supremo</w:t>
      </w:r>
      <w:r w:rsidR="00F373A3" w:rsidRPr="00181FCD">
        <w:t xml:space="preserve"> </w:t>
      </w:r>
      <w:r w:rsidRPr="00181FCD">
        <w:t>de</w:t>
      </w:r>
      <w:r w:rsidR="00F373A3" w:rsidRPr="00181FCD">
        <w:t xml:space="preserve"> </w:t>
      </w:r>
      <w:r w:rsidRPr="00181FCD">
        <w:t>Colegios</w:t>
      </w:r>
      <w:r w:rsidR="00F373A3" w:rsidRPr="00181FCD">
        <w:t xml:space="preserve"> </w:t>
      </w:r>
      <w:r w:rsidRPr="00181FCD">
        <w:t>de</w:t>
      </w:r>
      <w:r w:rsidR="00F373A3" w:rsidRPr="00181FCD">
        <w:t xml:space="preserve"> </w:t>
      </w:r>
      <w:r w:rsidRPr="00181FCD">
        <w:t>Abogados</w:t>
      </w:r>
      <w:r w:rsidR="00F373A3" w:rsidRPr="00181FCD">
        <w:t xml:space="preserve"> </w:t>
      </w:r>
      <w:r w:rsidRPr="00181FCD">
        <w:t>puede</w:t>
      </w:r>
      <w:r w:rsidR="00F373A3" w:rsidRPr="00181FCD">
        <w:t xml:space="preserve"> </w:t>
      </w:r>
      <w:r w:rsidRPr="00181FCD">
        <w:t>recurrir</w:t>
      </w:r>
      <w:r w:rsidR="00F373A3" w:rsidRPr="00181FCD">
        <w:t xml:space="preserve"> </w:t>
      </w:r>
      <w:r w:rsidRPr="00181FCD">
        <w:t>al</w:t>
      </w:r>
      <w:r w:rsidR="00F373A3" w:rsidRPr="00181FCD">
        <w:t xml:space="preserve"> </w:t>
      </w:r>
      <w:r w:rsidRPr="00181FCD">
        <w:t>Tribunal</w:t>
      </w:r>
      <w:r w:rsidR="00F373A3" w:rsidRPr="00181FCD">
        <w:t xml:space="preserve"> </w:t>
      </w:r>
      <w:r w:rsidRPr="00181FCD">
        <w:t>Constitucional</w:t>
      </w:r>
      <w:r w:rsidR="00F373A3" w:rsidRPr="00181FCD">
        <w:t xml:space="preserve"> </w:t>
      </w:r>
      <w:r w:rsidRPr="00181FCD">
        <w:t>en</w:t>
      </w:r>
      <w:r w:rsidR="00F373A3" w:rsidRPr="00181FCD">
        <w:t xml:space="preserve"> </w:t>
      </w:r>
      <w:r w:rsidRPr="00181FCD">
        <w:t>los</w:t>
      </w:r>
      <w:r w:rsidR="00F373A3" w:rsidRPr="00181FCD">
        <w:t xml:space="preserve"> </w:t>
      </w:r>
      <w:r w:rsidRPr="00181FCD">
        <w:t>casos</w:t>
      </w:r>
      <w:r w:rsidR="00F373A3" w:rsidRPr="00181FCD">
        <w:t xml:space="preserve"> </w:t>
      </w:r>
      <w:r w:rsidRPr="00181FCD">
        <w:t>en</w:t>
      </w:r>
      <w:r w:rsidR="00F373A3" w:rsidRPr="00181FCD">
        <w:t xml:space="preserve"> </w:t>
      </w:r>
      <w:r w:rsidRPr="00181FCD">
        <w:t>que</w:t>
      </w:r>
      <w:r w:rsidR="00F373A3" w:rsidRPr="00181FCD">
        <w:t xml:space="preserve"> </w:t>
      </w:r>
      <w:r w:rsidRPr="00181FCD">
        <w:t>la</w:t>
      </w:r>
      <w:r w:rsidR="00F373A3" w:rsidRPr="00181FCD">
        <w:t xml:space="preserve"> </w:t>
      </w:r>
      <w:r w:rsidRPr="00181FCD">
        <w:t>ley</w:t>
      </w:r>
      <w:r w:rsidR="00F373A3" w:rsidRPr="00181FCD">
        <w:t xml:space="preserve"> </w:t>
      </w:r>
      <w:r w:rsidRPr="00181FCD">
        <w:t>infrinja</w:t>
      </w:r>
      <w:r w:rsidR="00F373A3" w:rsidRPr="00181FCD">
        <w:t xml:space="preserve"> </w:t>
      </w:r>
      <w:r w:rsidRPr="00181FCD">
        <w:t>los</w:t>
      </w:r>
      <w:r w:rsidR="00F373A3" w:rsidRPr="00181FCD">
        <w:t xml:space="preserve"> </w:t>
      </w:r>
      <w:r w:rsidRPr="00181FCD">
        <w:t>derechos</w:t>
      </w:r>
      <w:r w:rsidR="00F373A3" w:rsidRPr="00181FCD">
        <w:t xml:space="preserve"> </w:t>
      </w:r>
      <w:r w:rsidRPr="00181FCD">
        <w:t>y</w:t>
      </w:r>
      <w:r w:rsidR="00F373A3" w:rsidRPr="00181FCD">
        <w:t xml:space="preserve"> </w:t>
      </w:r>
      <w:r w:rsidRPr="00181FCD">
        <w:t>libertades</w:t>
      </w:r>
      <w:r w:rsidR="00F373A3" w:rsidRPr="00181FCD">
        <w:t xml:space="preserve"> </w:t>
      </w:r>
      <w:r w:rsidRPr="00181FCD">
        <w:t>de</w:t>
      </w:r>
      <w:r w:rsidR="00F373A3" w:rsidRPr="00181FCD">
        <w:t xml:space="preserve"> </w:t>
      </w:r>
      <w:r w:rsidRPr="00181FCD">
        <w:t>los</w:t>
      </w:r>
      <w:r w:rsidR="00F373A3" w:rsidRPr="00181FCD">
        <w:t xml:space="preserve"> </w:t>
      </w:r>
      <w:r w:rsidRPr="00181FCD">
        <w:t>ciudadanos</w:t>
      </w:r>
      <w:r w:rsidR="00095610" w:rsidRPr="00181FCD">
        <w:t>.</w:t>
      </w:r>
    </w:p>
    <w:p w:rsidR="001937F4" w:rsidRPr="00181FCD" w:rsidRDefault="00F373A3" w:rsidP="00347B20">
      <w:pPr>
        <w:pStyle w:val="H4G"/>
      </w:pPr>
      <w:r w:rsidRPr="00181FCD">
        <w:tab/>
      </w:r>
      <w:r w:rsidRPr="00181FCD">
        <w:tab/>
      </w:r>
      <w:r w:rsidR="001937F4" w:rsidRPr="00181FCD">
        <w:t>Proyectos</w:t>
      </w:r>
      <w:r w:rsidRPr="00181FCD">
        <w:t xml:space="preserve"> </w:t>
      </w:r>
      <w:r w:rsidR="001937F4" w:rsidRPr="00181FCD">
        <w:t>de</w:t>
      </w:r>
      <w:r w:rsidRPr="00181FCD">
        <w:t xml:space="preserve"> </w:t>
      </w:r>
      <w:r w:rsidR="001937F4" w:rsidRPr="00181FCD">
        <w:t>modificación</w:t>
      </w:r>
      <w:r w:rsidRPr="00181FCD">
        <w:t xml:space="preserve"> </w:t>
      </w:r>
      <w:r w:rsidR="001937F4" w:rsidRPr="00181FCD">
        <w:t>a</w:t>
      </w:r>
      <w:r w:rsidRPr="00181FCD">
        <w:t xml:space="preserve"> </w:t>
      </w:r>
      <w:r w:rsidR="001937F4" w:rsidRPr="00181FCD">
        <w:t>la</w:t>
      </w:r>
      <w:r w:rsidRPr="00181FCD">
        <w:t xml:space="preserve"> </w:t>
      </w:r>
      <w:r w:rsidR="001937F4" w:rsidRPr="00181FCD">
        <w:t>Ley</w:t>
      </w:r>
      <w:r w:rsidRPr="00181FCD">
        <w:t xml:space="preserve"> </w:t>
      </w:r>
      <w:r w:rsidR="001937F4" w:rsidRPr="00181FCD">
        <w:t>del</w:t>
      </w:r>
      <w:r w:rsidRPr="00181FCD">
        <w:t xml:space="preserve"> </w:t>
      </w:r>
      <w:r w:rsidR="001937F4" w:rsidRPr="00181FCD">
        <w:t>Sistema</w:t>
      </w:r>
      <w:r w:rsidRPr="00181FCD">
        <w:t xml:space="preserve"> </w:t>
      </w:r>
      <w:r w:rsidR="001937F4" w:rsidRPr="00181FCD">
        <w:t>Judicial</w:t>
      </w:r>
    </w:p>
    <w:p w:rsidR="001937F4" w:rsidRPr="00181FCD" w:rsidRDefault="001937F4" w:rsidP="00347B20">
      <w:pPr>
        <w:pStyle w:val="SingleTxtG"/>
        <w:suppressAutoHyphens/>
      </w:pPr>
      <w:r w:rsidRPr="00181FCD">
        <w:t>32.</w:t>
      </w:r>
      <w:r w:rsidRPr="00181FCD">
        <w:tab/>
        <w:t>El</w:t>
      </w:r>
      <w:r w:rsidR="00F373A3" w:rsidRPr="00181FCD">
        <w:t xml:space="preserve"> </w:t>
      </w:r>
      <w:r w:rsidRPr="00181FCD">
        <w:t>Ministerio</w:t>
      </w:r>
      <w:r w:rsidR="00F373A3" w:rsidRPr="00181FCD">
        <w:t xml:space="preserve"> </w:t>
      </w:r>
      <w:r w:rsidRPr="00181FCD">
        <w:t>de</w:t>
      </w:r>
      <w:r w:rsidR="00F373A3" w:rsidRPr="00181FCD">
        <w:t xml:space="preserve"> </w:t>
      </w:r>
      <w:r w:rsidRPr="00181FCD">
        <w:t>Justicia</w:t>
      </w:r>
      <w:r w:rsidR="00F373A3" w:rsidRPr="00181FCD">
        <w:t xml:space="preserve"> </w:t>
      </w:r>
      <w:r w:rsidRPr="00181FCD">
        <w:t>ha</w:t>
      </w:r>
      <w:r w:rsidR="00F373A3" w:rsidRPr="00181FCD">
        <w:t xml:space="preserve"> </w:t>
      </w:r>
      <w:r w:rsidRPr="00181FCD">
        <w:t>formulado</w:t>
      </w:r>
      <w:r w:rsidR="00F373A3" w:rsidRPr="00181FCD">
        <w:t xml:space="preserve"> </w:t>
      </w:r>
      <w:r w:rsidRPr="00181FCD">
        <w:t>modificaciones</w:t>
      </w:r>
      <w:r w:rsidR="00F373A3" w:rsidRPr="00181FCD">
        <w:t xml:space="preserve"> </w:t>
      </w:r>
      <w:r w:rsidRPr="00181FCD">
        <w:t>a</w:t>
      </w:r>
      <w:r w:rsidR="00F373A3" w:rsidRPr="00181FCD">
        <w:t xml:space="preserve"> </w:t>
      </w:r>
      <w:r w:rsidRPr="00181FCD">
        <w:t>la</w:t>
      </w:r>
      <w:r w:rsidR="00F373A3" w:rsidRPr="00181FCD">
        <w:t xml:space="preserve"> </w:t>
      </w:r>
      <w:r w:rsidRPr="00181FCD">
        <w:t>Ley</w:t>
      </w:r>
      <w:r w:rsidR="00F373A3" w:rsidRPr="00181FCD">
        <w:t xml:space="preserve"> </w:t>
      </w:r>
      <w:r w:rsidRPr="00181FCD">
        <w:t>del</w:t>
      </w:r>
      <w:r w:rsidR="00F373A3" w:rsidRPr="00181FCD">
        <w:t xml:space="preserve"> </w:t>
      </w:r>
      <w:r w:rsidRPr="00181FCD">
        <w:t>Sistema</w:t>
      </w:r>
      <w:r w:rsidR="00F373A3" w:rsidRPr="00181FCD">
        <w:t xml:space="preserve"> </w:t>
      </w:r>
      <w:r w:rsidRPr="00181FCD">
        <w:t>Judicial.</w:t>
      </w:r>
      <w:r w:rsidR="00F373A3" w:rsidRPr="00181FCD">
        <w:t xml:space="preserve"> </w:t>
      </w:r>
      <w:r w:rsidRPr="00181FCD">
        <w:t>Estas</w:t>
      </w:r>
      <w:r w:rsidR="00F373A3" w:rsidRPr="00181FCD">
        <w:t xml:space="preserve"> </w:t>
      </w:r>
      <w:r w:rsidRPr="00181FCD">
        <w:t>se</w:t>
      </w:r>
      <w:r w:rsidR="00F373A3" w:rsidRPr="00181FCD">
        <w:t xml:space="preserve"> </w:t>
      </w:r>
      <w:r w:rsidRPr="00181FCD">
        <w:t>ajustan</w:t>
      </w:r>
      <w:r w:rsidR="00F373A3" w:rsidRPr="00181FCD">
        <w:t xml:space="preserve"> </w:t>
      </w:r>
      <w:r w:rsidRPr="00181FCD">
        <w:t>a</w:t>
      </w:r>
      <w:r w:rsidR="00F373A3" w:rsidRPr="00181FCD">
        <w:t xml:space="preserve"> </w:t>
      </w:r>
      <w:r w:rsidRPr="00181FCD">
        <w:t>los</w:t>
      </w:r>
      <w:r w:rsidR="00F373A3" w:rsidRPr="00181FCD">
        <w:t xml:space="preserve"> </w:t>
      </w:r>
      <w:r w:rsidRPr="00181FCD">
        <w:t>principales</w:t>
      </w:r>
      <w:r w:rsidR="00F373A3" w:rsidRPr="00181FCD">
        <w:t xml:space="preserve"> </w:t>
      </w:r>
      <w:r w:rsidRPr="00181FCD">
        <w:t>términos</w:t>
      </w:r>
      <w:r w:rsidR="00F373A3" w:rsidRPr="00181FCD">
        <w:t xml:space="preserve"> </w:t>
      </w:r>
      <w:r w:rsidRPr="00181FCD">
        <w:t>de</w:t>
      </w:r>
      <w:r w:rsidR="00F373A3" w:rsidRPr="00181FCD">
        <w:t xml:space="preserve"> </w:t>
      </w:r>
      <w:r w:rsidRPr="00181FCD">
        <w:t>la</w:t>
      </w:r>
      <w:r w:rsidR="00F373A3" w:rsidRPr="00181FCD">
        <w:t xml:space="preserve"> </w:t>
      </w:r>
      <w:r w:rsidRPr="00181FCD">
        <w:t>Ley</w:t>
      </w:r>
      <w:r w:rsidR="00F373A3" w:rsidRPr="00181FCD">
        <w:t xml:space="preserve"> </w:t>
      </w:r>
      <w:r w:rsidRPr="00181FCD">
        <w:t>que</w:t>
      </w:r>
      <w:r w:rsidR="00F373A3" w:rsidRPr="00181FCD">
        <w:t xml:space="preserve"> </w:t>
      </w:r>
      <w:r w:rsidRPr="00181FCD">
        <w:t>Modifica</w:t>
      </w:r>
      <w:r w:rsidR="00F373A3" w:rsidRPr="00181FCD">
        <w:t xml:space="preserve"> </w:t>
      </w:r>
      <w:r w:rsidRPr="00181FCD">
        <w:t>y</w:t>
      </w:r>
      <w:r w:rsidR="00F373A3" w:rsidRPr="00181FCD">
        <w:t xml:space="preserve"> </w:t>
      </w:r>
      <w:r w:rsidRPr="00181FCD">
        <w:t>Complementa</w:t>
      </w:r>
      <w:r w:rsidR="00F373A3" w:rsidRPr="00181FCD">
        <w:t xml:space="preserve"> </w:t>
      </w:r>
      <w:r w:rsidRPr="00181FCD">
        <w:t>la</w:t>
      </w:r>
      <w:r w:rsidR="00F373A3" w:rsidRPr="00181FCD">
        <w:t xml:space="preserve"> </w:t>
      </w:r>
      <w:r w:rsidRPr="00181FCD">
        <w:t>Constitución</w:t>
      </w:r>
      <w:r w:rsidR="00F373A3" w:rsidRPr="00181FCD">
        <w:t xml:space="preserve"> </w:t>
      </w:r>
      <w:r w:rsidRPr="00181FCD">
        <w:t>de</w:t>
      </w:r>
      <w:r w:rsidR="00F373A3" w:rsidRPr="00181FCD">
        <w:t xml:space="preserve"> </w:t>
      </w:r>
      <w:r w:rsidRPr="00181FCD">
        <w:t>la</w:t>
      </w:r>
      <w:r w:rsidR="00F373A3" w:rsidRPr="00181FCD">
        <w:t xml:space="preserve"> </w:t>
      </w:r>
      <w:r w:rsidRPr="00181FCD">
        <w:t>República</w:t>
      </w:r>
      <w:r w:rsidR="00F373A3" w:rsidRPr="00181FCD">
        <w:t xml:space="preserve"> </w:t>
      </w:r>
      <w:r w:rsidRPr="00181FCD">
        <w:t>de</w:t>
      </w:r>
      <w:r w:rsidR="00F373A3" w:rsidRPr="00181FCD">
        <w:t xml:space="preserve"> </w:t>
      </w:r>
      <w:r w:rsidRPr="00181FCD">
        <w:t>Bulgaria.</w:t>
      </w:r>
      <w:r w:rsidR="00F373A3" w:rsidRPr="00181FCD">
        <w:t xml:space="preserve"> </w:t>
      </w:r>
      <w:r w:rsidRPr="00181FCD">
        <w:t>La</w:t>
      </w:r>
      <w:r w:rsidR="00F373A3" w:rsidRPr="00181FCD">
        <w:t xml:space="preserve"> </w:t>
      </w:r>
      <w:r w:rsidR="00C820BE" w:rsidRPr="00181FCD">
        <w:t>ley</w:t>
      </w:r>
      <w:r w:rsidR="00F373A3" w:rsidRPr="00181FCD">
        <w:t xml:space="preserve"> </w:t>
      </w:r>
      <w:r w:rsidRPr="00181FCD">
        <w:t>atiende</w:t>
      </w:r>
      <w:r w:rsidR="00F373A3" w:rsidRPr="00181FCD">
        <w:t xml:space="preserve"> </w:t>
      </w:r>
      <w:r w:rsidRPr="00181FCD">
        <w:t>a</w:t>
      </w:r>
      <w:r w:rsidR="00F373A3" w:rsidRPr="00181FCD">
        <w:t xml:space="preserve"> </w:t>
      </w:r>
      <w:r w:rsidRPr="00181FCD">
        <w:t>las</w:t>
      </w:r>
      <w:r w:rsidR="00F373A3" w:rsidRPr="00181FCD">
        <w:t xml:space="preserve"> </w:t>
      </w:r>
      <w:r w:rsidRPr="00181FCD">
        <w:t>recomendaciones</w:t>
      </w:r>
      <w:r w:rsidR="00F373A3" w:rsidRPr="00181FCD">
        <w:t xml:space="preserve"> </w:t>
      </w:r>
      <w:r w:rsidRPr="00181FCD">
        <w:t>y</w:t>
      </w:r>
      <w:r w:rsidR="00F373A3" w:rsidRPr="00181FCD">
        <w:t xml:space="preserve"> </w:t>
      </w:r>
      <w:r w:rsidRPr="00181FCD">
        <w:t>las</w:t>
      </w:r>
      <w:r w:rsidR="00F373A3" w:rsidRPr="00181FCD">
        <w:t xml:space="preserve"> </w:t>
      </w:r>
      <w:r w:rsidRPr="00181FCD">
        <w:t>normas</w:t>
      </w:r>
      <w:r w:rsidR="00F373A3" w:rsidRPr="00181FCD">
        <w:t xml:space="preserve"> </w:t>
      </w:r>
      <w:r w:rsidRPr="00181FCD">
        <w:t>del</w:t>
      </w:r>
      <w:r w:rsidR="00F373A3" w:rsidRPr="00181FCD">
        <w:t xml:space="preserve"> </w:t>
      </w:r>
      <w:r w:rsidRPr="00181FCD">
        <w:t>Consejo</w:t>
      </w:r>
      <w:r w:rsidR="00F373A3" w:rsidRPr="00181FCD">
        <w:t xml:space="preserve"> </w:t>
      </w:r>
      <w:r w:rsidRPr="00181FCD">
        <w:t>de</w:t>
      </w:r>
      <w:r w:rsidR="00F373A3" w:rsidRPr="00181FCD">
        <w:t xml:space="preserve"> </w:t>
      </w:r>
      <w:r w:rsidRPr="00181FCD">
        <w:t>Europa</w:t>
      </w:r>
      <w:r w:rsidR="00F373A3" w:rsidRPr="00181FCD">
        <w:t xml:space="preserve"> </w:t>
      </w:r>
      <w:r w:rsidRPr="00181FCD">
        <w:t>y</w:t>
      </w:r>
      <w:r w:rsidR="00F373A3" w:rsidRPr="00181FCD">
        <w:t xml:space="preserve"> </w:t>
      </w:r>
      <w:r w:rsidRPr="00181FCD">
        <w:t>la</w:t>
      </w:r>
      <w:r w:rsidR="00F373A3" w:rsidRPr="00181FCD">
        <w:t xml:space="preserve"> </w:t>
      </w:r>
      <w:r w:rsidRPr="00181FCD">
        <w:t>Unión</w:t>
      </w:r>
      <w:r w:rsidR="00F373A3" w:rsidRPr="00181FCD">
        <w:t xml:space="preserve"> </w:t>
      </w:r>
      <w:r w:rsidRPr="00181FCD">
        <w:t>Europea</w:t>
      </w:r>
      <w:r w:rsidR="00F373A3" w:rsidRPr="00181FCD">
        <w:t xml:space="preserve"> </w:t>
      </w:r>
      <w:r w:rsidRPr="00181FCD">
        <w:t>con</w:t>
      </w:r>
      <w:r w:rsidR="00F373A3" w:rsidRPr="00181FCD">
        <w:t xml:space="preserve"> </w:t>
      </w:r>
      <w:r w:rsidRPr="00181FCD">
        <w:t>respecto</w:t>
      </w:r>
      <w:r w:rsidR="00F373A3" w:rsidRPr="00181FCD">
        <w:t xml:space="preserve"> </w:t>
      </w:r>
      <w:r w:rsidRPr="00181FCD">
        <w:t>a</w:t>
      </w:r>
      <w:r w:rsidR="00F373A3" w:rsidRPr="00181FCD">
        <w:t xml:space="preserve"> </w:t>
      </w:r>
      <w:r w:rsidRPr="00181FCD">
        <w:t>la</w:t>
      </w:r>
      <w:r w:rsidR="00F373A3" w:rsidRPr="00181FCD">
        <w:t xml:space="preserve"> </w:t>
      </w:r>
      <w:r w:rsidRPr="00181FCD">
        <w:t>organización</w:t>
      </w:r>
      <w:r w:rsidR="00F373A3" w:rsidRPr="00181FCD">
        <w:t xml:space="preserve"> </w:t>
      </w:r>
      <w:r w:rsidRPr="00181FCD">
        <w:t>del</w:t>
      </w:r>
      <w:r w:rsidR="00F373A3" w:rsidRPr="00181FCD">
        <w:t xml:space="preserve"> </w:t>
      </w:r>
      <w:r w:rsidRPr="00181FCD">
        <w:t>poder</w:t>
      </w:r>
      <w:r w:rsidR="00F373A3" w:rsidRPr="00181FCD">
        <w:t xml:space="preserve"> </w:t>
      </w:r>
      <w:r w:rsidRPr="00181FCD">
        <w:t>judicial</w:t>
      </w:r>
      <w:r w:rsidR="00F373A3" w:rsidRPr="00181FCD">
        <w:t xml:space="preserve"> </w:t>
      </w:r>
      <w:r w:rsidRPr="00181FCD">
        <w:t>y</w:t>
      </w:r>
      <w:r w:rsidR="00F373A3" w:rsidRPr="00181FCD">
        <w:t xml:space="preserve"> </w:t>
      </w:r>
      <w:r w:rsidRPr="00181FCD">
        <w:t>la</w:t>
      </w:r>
      <w:r w:rsidR="00F373A3" w:rsidRPr="00181FCD">
        <w:t xml:space="preserve"> </w:t>
      </w:r>
      <w:r w:rsidRPr="00181FCD">
        <w:t>independencia</w:t>
      </w:r>
      <w:r w:rsidR="00F373A3" w:rsidRPr="00181FCD">
        <w:t xml:space="preserve"> </w:t>
      </w:r>
      <w:r w:rsidRPr="00181FCD">
        <w:t>de</w:t>
      </w:r>
      <w:r w:rsidR="00F373A3" w:rsidRPr="00181FCD">
        <w:t xml:space="preserve"> </w:t>
      </w:r>
      <w:r w:rsidRPr="00181FCD">
        <w:t>los</w:t>
      </w:r>
      <w:r w:rsidR="00F373A3" w:rsidRPr="00181FCD">
        <w:t xml:space="preserve"> </w:t>
      </w:r>
      <w:r w:rsidRPr="00181FCD">
        <w:t>tribunales.</w:t>
      </w:r>
    </w:p>
    <w:p w:rsidR="001937F4" w:rsidRPr="00181FCD" w:rsidRDefault="001937F4" w:rsidP="00347B20">
      <w:pPr>
        <w:pStyle w:val="SingleTxtG"/>
        <w:suppressAutoHyphens/>
      </w:pPr>
      <w:r w:rsidRPr="00181FCD">
        <w:t>33.</w:t>
      </w:r>
      <w:r w:rsidRPr="00181FCD">
        <w:tab/>
        <w:t>Se</w:t>
      </w:r>
      <w:r w:rsidR="00F373A3" w:rsidRPr="00181FCD">
        <w:t xml:space="preserve"> </w:t>
      </w:r>
      <w:r w:rsidRPr="00181FCD">
        <w:t>organizó</w:t>
      </w:r>
      <w:r w:rsidR="00F373A3" w:rsidRPr="00181FCD">
        <w:t xml:space="preserve"> </w:t>
      </w:r>
      <w:r w:rsidRPr="00181FCD">
        <w:t>un</w:t>
      </w:r>
      <w:r w:rsidR="00F373A3" w:rsidRPr="00181FCD">
        <w:t xml:space="preserve"> </w:t>
      </w:r>
      <w:r w:rsidRPr="00181FCD">
        <w:t>amplio</w:t>
      </w:r>
      <w:r w:rsidR="00F373A3" w:rsidRPr="00181FCD">
        <w:t xml:space="preserve"> </w:t>
      </w:r>
      <w:r w:rsidRPr="00181FCD">
        <w:t>debate</w:t>
      </w:r>
      <w:r w:rsidR="00F373A3" w:rsidRPr="00181FCD">
        <w:t xml:space="preserve"> </w:t>
      </w:r>
      <w:r w:rsidRPr="00181FCD">
        <w:t>público,</w:t>
      </w:r>
      <w:r w:rsidR="00F373A3" w:rsidRPr="00181FCD">
        <w:t xml:space="preserve"> </w:t>
      </w:r>
      <w:r w:rsidRPr="00181FCD">
        <w:t>con</w:t>
      </w:r>
      <w:r w:rsidR="00F373A3" w:rsidRPr="00181FCD">
        <w:t xml:space="preserve"> </w:t>
      </w:r>
      <w:r w:rsidRPr="00181FCD">
        <w:t>participación</w:t>
      </w:r>
      <w:r w:rsidR="00F373A3" w:rsidRPr="00181FCD">
        <w:t xml:space="preserve"> </w:t>
      </w:r>
      <w:r w:rsidRPr="00181FCD">
        <w:t>de</w:t>
      </w:r>
      <w:r w:rsidR="00F373A3" w:rsidRPr="00181FCD">
        <w:t xml:space="preserve"> </w:t>
      </w:r>
      <w:r w:rsidRPr="00181FCD">
        <w:t>los</w:t>
      </w:r>
      <w:r w:rsidR="00F373A3" w:rsidRPr="00181FCD">
        <w:t xml:space="preserve"> </w:t>
      </w:r>
      <w:r w:rsidRPr="00181FCD">
        <w:t>jueces</w:t>
      </w:r>
      <w:r w:rsidR="00F373A3" w:rsidRPr="00181FCD">
        <w:t xml:space="preserve"> </w:t>
      </w:r>
      <w:r w:rsidRPr="00181FCD">
        <w:t>para</w:t>
      </w:r>
      <w:r w:rsidR="00F373A3" w:rsidRPr="00181FCD">
        <w:t xml:space="preserve"> </w:t>
      </w:r>
      <w:r w:rsidRPr="00181FCD">
        <w:t>las</w:t>
      </w:r>
      <w:r w:rsidR="00F373A3" w:rsidRPr="00181FCD">
        <w:t xml:space="preserve"> </w:t>
      </w:r>
      <w:r w:rsidRPr="00181FCD">
        <w:t>cinco</w:t>
      </w:r>
      <w:r w:rsidR="00F373A3" w:rsidRPr="00181FCD">
        <w:t xml:space="preserve"> </w:t>
      </w:r>
      <w:r w:rsidRPr="00181FCD">
        <w:t>Tribunales</w:t>
      </w:r>
      <w:r w:rsidR="00F373A3" w:rsidRPr="00181FCD">
        <w:t xml:space="preserve"> </w:t>
      </w:r>
      <w:r w:rsidRPr="00181FCD">
        <w:t>Regionales</w:t>
      </w:r>
      <w:r w:rsidR="00F373A3" w:rsidRPr="00181FCD">
        <w:t xml:space="preserve"> </w:t>
      </w:r>
      <w:r w:rsidRPr="00181FCD">
        <w:t>de</w:t>
      </w:r>
      <w:r w:rsidR="00F373A3" w:rsidRPr="00181FCD">
        <w:t xml:space="preserve"> </w:t>
      </w:r>
      <w:r w:rsidRPr="00181FCD">
        <w:t>Apelación</w:t>
      </w:r>
      <w:r w:rsidR="00F373A3" w:rsidRPr="00181FCD">
        <w:t xml:space="preserve"> </w:t>
      </w:r>
      <w:r w:rsidRPr="00181FCD">
        <w:t>y</w:t>
      </w:r>
      <w:r w:rsidR="00F373A3" w:rsidRPr="00181FCD">
        <w:t xml:space="preserve"> </w:t>
      </w:r>
      <w:r w:rsidRPr="00181FCD">
        <w:t>con</w:t>
      </w:r>
      <w:r w:rsidR="00F373A3" w:rsidRPr="00181FCD">
        <w:t xml:space="preserve"> </w:t>
      </w:r>
      <w:r w:rsidRPr="00181FCD">
        <w:t>la</w:t>
      </w:r>
      <w:r w:rsidR="00F373A3" w:rsidRPr="00181FCD">
        <w:t xml:space="preserve"> </w:t>
      </w:r>
      <w:r w:rsidRPr="00181FCD">
        <w:t>Asociación</w:t>
      </w:r>
      <w:r w:rsidR="00F373A3" w:rsidRPr="00181FCD">
        <w:t xml:space="preserve"> </w:t>
      </w:r>
      <w:r w:rsidRPr="00181FCD">
        <w:t>de</w:t>
      </w:r>
      <w:r w:rsidR="00F373A3" w:rsidRPr="00181FCD">
        <w:t xml:space="preserve"> </w:t>
      </w:r>
      <w:r w:rsidRPr="00181FCD">
        <w:t>Fiscales</w:t>
      </w:r>
      <w:r w:rsidR="00F373A3" w:rsidRPr="00181FCD">
        <w:t xml:space="preserve"> </w:t>
      </w:r>
      <w:r w:rsidRPr="00181FCD">
        <w:t>de</w:t>
      </w:r>
      <w:r w:rsidR="00672EC2" w:rsidRPr="00181FCD">
        <w:t xml:space="preserve"> </w:t>
      </w:r>
      <w:r w:rsidRPr="00181FCD">
        <w:t>Bulgaria.</w:t>
      </w:r>
      <w:r w:rsidR="00F373A3" w:rsidRPr="00181FCD">
        <w:t xml:space="preserve"> </w:t>
      </w:r>
      <w:r w:rsidRPr="00181FCD">
        <w:t>Actualmente</w:t>
      </w:r>
      <w:r w:rsidR="00F373A3" w:rsidRPr="00181FCD">
        <w:t xml:space="preserve"> </w:t>
      </w:r>
      <w:r w:rsidRPr="00181FCD">
        <w:t>se</w:t>
      </w:r>
      <w:r w:rsidR="00F373A3" w:rsidRPr="00181FCD">
        <w:t xml:space="preserve"> </w:t>
      </w:r>
      <w:r w:rsidRPr="00181FCD">
        <w:t>están</w:t>
      </w:r>
      <w:r w:rsidR="00F373A3" w:rsidRPr="00181FCD">
        <w:t xml:space="preserve"> </w:t>
      </w:r>
      <w:r w:rsidRPr="00181FCD">
        <w:t>recopilando</w:t>
      </w:r>
      <w:r w:rsidR="00F373A3" w:rsidRPr="00181FCD">
        <w:t xml:space="preserve"> </w:t>
      </w:r>
      <w:r w:rsidRPr="00181FCD">
        <w:t>y</w:t>
      </w:r>
      <w:r w:rsidR="00F373A3" w:rsidRPr="00181FCD">
        <w:t xml:space="preserve"> </w:t>
      </w:r>
      <w:r w:rsidRPr="00181FCD">
        <w:t>analizando</w:t>
      </w:r>
      <w:r w:rsidR="00F373A3" w:rsidRPr="00181FCD">
        <w:t xml:space="preserve"> </w:t>
      </w:r>
      <w:r w:rsidRPr="00181FCD">
        <w:t>los</w:t>
      </w:r>
      <w:r w:rsidR="00F373A3" w:rsidRPr="00181FCD">
        <w:t xml:space="preserve"> </w:t>
      </w:r>
      <w:r w:rsidRPr="00181FCD">
        <w:t>comentarios</w:t>
      </w:r>
      <w:r w:rsidR="00F373A3" w:rsidRPr="00181FCD">
        <w:t xml:space="preserve"> </w:t>
      </w:r>
      <w:r w:rsidRPr="00181FCD">
        <w:t>surgidos</w:t>
      </w:r>
      <w:r w:rsidR="00F373A3" w:rsidRPr="00181FCD">
        <w:t xml:space="preserve"> </w:t>
      </w:r>
      <w:r w:rsidRPr="00181FCD">
        <w:t>del</w:t>
      </w:r>
      <w:r w:rsidR="00F373A3" w:rsidRPr="00181FCD">
        <w:t xml:space="preserve"> </w:t>
      </w:r>
      <w:r w:rsidRPr="00181FCD">
        <w:t>debate</w:t>
      </w:r>
      <w:r w:rsidR="00F373A3" w:rsidRPr="00181FCD">
        <w:t xml:space="preserve"> </w:t>
      </w:r>
      <w:r w:rsidRPr="00181FCD">
        <w:t>y</w:t>
      </w:r>
      <w:r w:rsidR="00F373A3" w:rsidRPr="00181FCD">
        <w:t xml:space="preserve"> </w:t>
      </w:r>
      <w:r w:rsidRPr="00181FCD">
        <w:t>las</w:t>
      </w:r>
      <w:r w:rsidR="00F373A3" w:rsidRPr="00181FCD">
        <w:t xml:space="preserve"> </w:t>
      </w:r>
      <w:r w:rsidRPr="00181FCD">
        <w:t>próximas</w:t>
      </w:r>
      <w:r w:rsidR="00F373A3" w:rsidRPr="00181FCD">
        <w:t xml:space="preserve"> </w:t>
      </w:r>
      <w:r w:rsidRPr="00181FCD">
        <w:t>reformas</w:t>
      </w:r>
      <w:r w:rsidR="00F373A3" w:rsidRPr="00181FCD">
        <w:t xml:space="preserve"> </w:t>
      </w:r>
      <w:r w:rsidRPr="00181FCD">
        <w:t>de</w:t>
      </w:r>
      <w:r w:rsidR="00F373A3" w:rsidRPr="00181FCD">
        <w:t xml:space="preserve"> </w:t>
      </w:r>
      <w:r w:rsidRPr="00181FCD">
        <w:t>la</w:t>
      </w:r>
      <w:r w:rsidR="00F373A3" w:rsidRPr="00181FCD">
        <w:t xml:space="preserve"> </w:t>
      </w:r>
      <w:r w:rsidRPr="00181FCD">
        <w:t>Constitución.</w:t>
      </w:r>
    </w:p>
    <w:p w:rsidR="001937F4" w:rsidRPr="00181FCD" w:rsidRDefault="001937F4" w:rsidP="00347B20">
      <w:pPr>
        <w:pStyle w:val="SingleTxtG"/>
        <w:suppressAutoHyphens/>
      </w:pPr>
      <w:r w:rsidRPr="00181FCD">
        <w:t>34.</w:t>
      </w:r>
      <w:r w:rsidRPr="00181FCD">
        <w:tab/>
        <w:t>Los</w:t>
      </w:r>
      <w:r w:rsidR="00F373A3" w:rsidRPr="00181FCD">
        <w:t xml:space="preserve"> </w:t>
      </w:r>
      <w:r w:rsidRPr="00181FCD">
        <w:t>principales</w:t>
      </w:r>
      <w:r w:rsidR="00F373A3" w:rsidRPr="00181FCD">
        <w:t xml:space="preserve"> </w:t>
      </w:r>
      <w:r w:rsidRPr="00181FCD">
        <w:t>cambios</w:t>
      </w:r>
      <w:r w:rsidR="00F373A3" w:rsidRPr="00181FCD">
        <w:t xml:space="preserve"> </w:t>
      </w:r>
      <w:r w:rsidRPr="00181FCD">
        <w:t>propuestos</w:t>
      </w:r>
      <w:r w:rsidR="00F373A3" w:rsidRPr="00181FCD">
        <w:t xml:space="preserve"> </w:t>
      </w:r>
      <w:r w:rsidRPr="00181FCD">
        <w:t>son:</w:t>
      </w:r>
    </w:p>
    <w:p w:rsidR="001937F4" w:rsidRPr="00181FCD" w:rsidRDefault="001937F4" w:rsidP="00347B20">
      <w:pPr>
        <w:pStyle w:val="Bullet1G"/>
        <w:suppressAutoHyphens/>
      </w:pPr>
      <w:r w:rsidRPr="00181FCD">
        <w:t>El</w:t>
      </w:r>
      <w:r w:rsidR="00F373A3" w:rsidRPr="00181FCD">
        <w:t xml:space="preserve"> </w:t>
      </w:r>
      <w:r w:rsidRPr="00181FCD">
        <w:t>Consejo</w:t>
      </w:r>
      <w:r w:rsidR="00F373A3" w:rsidRPr="00181FCD">
        <w:t xml:space="preserve"> </w:t>
      </w:r>
      <w:r w:rsidRPr="00181FCD">
        <w:t>Supremo</w:t>
      </w:r>
      <w:r w:rsidR="00F373A3" w:rsidRPr="00181FCD">
        <w:t xml:space="preserve"> </w:t>
      </w:r>
      <w:r w:rsidRPr="00181FCD">
        <w:t>de</w:t>
      </w:r>
      <w:r w:rsidR="00F373A3" w:rsidRPr="00181FCD">
        <w:t xml:space="preserve"> </w:t>
      </w:r>
      <w:r w:rsidRPr="00181FCD">
        <w:t>la</w:t>
      </w:r>
      <w:r w:rsidR="00F373A3" w:rsidRPr="00181FCD">
        <w:t xml:space="preserve"> </w:t>
      </w:r>
      <w:r w:rsidRPr="00181FCD">
        <w:t>Judicatura</w:t>
      </w:r>
      <w:r w:rsidR="00F373A3" w:rsidRPr="00181FCD">
        <w:t xml:space="preserve"> </w:t>
      </w:r>
      <w:r w:rsidRPr="00181FCD">
        <w:t>se</w:t>
      </w:r>
      <w:r w:rsidR="00F373A3" w:rsidRPr="00181FCD">
        <w:t xml:space="preserve"> </w:t>
      </w:r>
      <w:r w:rsidRPr="00181FCD">
        <w:t>divide</w:t>
      </w:r>
      <w:r w:rsidR="00F373A3" w:rsidRPr="00181FCD">
        <w:t xml:space="preserve"> </w:t>
      </w:r>
      <w:r w:rsidRPr="00181FCD">
        <w:t>en</w:t>
      </w:r>
      <w:r w:rsidR="00F373A3" w:rsidRPr="00181FCD">
        <w:t xml:space="preserve"> </w:t>
      </w:r>
      <w:r w:rsidRPr="00181FCD">
        <w:t>dos</w:t>
      </w:r>
      <w:r w:rsidR="00F373A3" w:rsidRPr="00181FCD">
        <w:t xml:space="preserve"> </w:t>
      </w:r>
      <w:r w:rsidRPr="00181FCD">
        <w:t>salas,</w:t>
      </w:r>
      <w:r w:rsidR="00F373A3" w:rsidRPr="00181FCD">
        <w:t xml:space="preserve"> </w:t>
      </w:r>
      <w:r w:rsidRPr="00181FCD">
        <w:t>la</w:t>
      </w:r>
      <w:r w:rsidR="00F373A3" w:rsidRPr="00181FCD">
        <w:t xml:space="preserve"> </w:t>
      </w:r>
      <w:r w:rsidRPr="00181FCD">
        <w:t>sala</w:t>
      </w:r>
      <w:r w:rsidR="00F373A3" w:rsidRPr="00181FCD">
        <w:t xml:space="preserve"> </w:t>
      </w:r>
      <w:r w:rsidRPr="00181FCD">
        <w:t>de</w:t>
      </w:r>
      <w:r w:rsidR="00F373A3" w:rsidRPr="00181FCD">
        <w:t xml:space="preserve"> </w:t>
      </w:r>
      <w:r w:rsidRPr="00181FCD">
        <w:t>los</w:t>
      </w:r>
      <w:r w:rsidR="00F373A3" w:rsidRPr="00181FCD">
        <w:t xml:space="preserve"> </w:t>
      </w:r>
      <w:r w:rsidRPr="00181FCD">
        <w:t>jueces</w:t>
      </w:r>
      <w:r w:rsidR="00F373A3" w:rsidRPr="00181FCD">
        <w:t xml:space="preserve"> </w:t>
      </w:r>
      <w:r w:rsidRPr="00181FCD">
        <w:t>y</w:t>
      </w:r>
      <w:r w:rsidR="00F373A3" w:rsidRPr="00181FCD">
        <w:t xml:space="preserve"> </w:t>
      </w:r>
      <w:r w:rsidRPr="00181FCD">
        <w:t>la</w:t>
      </w:r>
      <w:r w:rsidR="00F373A3" w:rsidRPr="00181FCD">
        <w:t xml:space="preserve"> </w:t>
      </w:r>
      <w:r w:rsidRPr="00181FCD">
        <w:t>sala</w:t>
      </w:r>
      <w:r w:rsidR="00F373A3" w:rsidRPr="00181FCD">
        <w:t xml:space="preserve"> </w:t>
      </w:r>
      <w:r w:rsidRPr="00181FCD">
        <w:t>de</w:t>
      </w:r>
      <w:r w:rsidR="00F373A3" w:rsidRPr="00181FCD">
        <w:t xml:space="preserve"> </w:t>
      </w:r>
      <w:r w:rsidRPr="00181FCD">
        <w:t>los</w:t>
      </w:r>
      <w:r w:rsidR="00F373A3" w:rsidRPr="00181FCD">
        <w:t xml:space="preserve"> </w:t>
      </w:r>
      <w:r w:rsidRPr="00181FCD">
        <w:t>fiscales</w:t>
      </w:r>
      <w:r w:rsidR="00F373A3" w:rsidRPr="00181FCD">
        <w:t xml:space="preserve"> </w:t>
      </w:r>
      <w:r w:rsidRPr="00181FCD">
        <w:t>y</w:t>
      </w:r>
      <w:r w:rsidR="00F373A3" w:rsidRPr="00181FCD">
        <w:t xml:space="preserve"> </w:t>
      </w:r>
      <w:r w:rsidRPr="00181FCD">
        <w:t>funcionarios</w:t>
      </w:r>
      <w:r w:rsidR="00F373A3" w:rsidRPr="00181FCD">
        <w:t xml:space="preserve"> </w:t>
      </w:r>
      <w:r w:rsidRPr="00181FCD">
        <w:t>encargados</w:t>
      </w:r>
      <w:r w:rsidR="00F373A3" w:rsidRPr="00181FCD">
        <w:t xml:space="preserve"> </w:t>
      </w:r>
      <w:r w:rsidRPr="00181FCD">
        <w:t>de</w:t>
      </w:r>
      <w:r w:rsidR="00F373A3" w:rsidRPr="00181FCD">
        <w:t xml:space="preserve"> </w:t>
      </w:r>
      <w:r w:rsidRPr="00181FCD">
        <w:t>la</w:t>
      </w:r>
      <w:r w:rsidR="00F373A3" w:rsidRPr="00181FCD">
        <w:t xml:space="preserve"> </w:t>
      </w:r>
      <w:r w:rsidRPr="00181FCD">
        <w:t>instrucción,</w:t>
      </w:r>
      <w:r w:rsidR="00F373A3" w:rsidRPr="00181FCD">
        <w:t xml:space="preserve"> </w:t>
      </w:r>
      <w:r w:rsidRPr="00181FCD">
        <w:t>con</w:t>
      </w:r>
      <w:r w:rsidR="00F373A3" w:rsidRPr="00181FCD">
        <w:t xml:space="preserve"> </w:t>
      </w:r>
      <w:r w:rsidRPr="00181FCD">
        <w:t>integrantes</w:t>
      </w:r>
      <w:r w:rsidR="00F373A3" w:rsidRPr="00181FCD">
        <w:t xml:space="preserve"> </w:t>
      </w:r>
      <w:r w:rsidRPr="00181FCD">
        <w:t>elegidos</w:t>
      </w:r>
      <w:r w:rsidR="00F373A3" w:rsidRPr="00181FCD">
        <w:t xml:space="preserve"> </w:t>
      </w:r>
      <w:r w:rsidRPr="00181FCD">
        <w:t>con</w:t>
      </w:r>
      <w:r w:rsidR="00F373A3" w:rsidRPr="00181FCD">
        <w:t xml:space="preserve"> </w:t>
      </w:r>
      <w:r w:rsidRPr="00181FCD">
        <w:t>arreglo</w:t>
      </w:r>
      <w:r w:rsidR="00F373A3" w:rsidRPr="00181FCD">
        <w:t xml:space="preserve"> </w:t>
      </w:r>
      <w:r w:rsidRPr="00181FCD">
        <w:t>a</w:t>
      </w:r>
      <w:r w:rsidR="00F373A3" w:rsidRPr="00181FCD">
        <w:t xml:space="preserve"> </w:t>
      </w:r>
      <w:r w:rsidRPr="00181FCD">
        <w:t>las</w:t>
      </w:r>
      <w:r w:rsidR="00F373A3" w:rsidRPr="00181FCD">
        <w:t xml:space="preserve"> </w:t>
      </w:r>
      <w:r w:rsidRPr="00181FCD">
        <w:t>cuotas</w:t>
      </w:r>
      <w:r w:rsidR="00F373A3" w:rsidRPr="00181FCD">
        <w:t xml:space="preserve"> </w:t>
      </w:r>
      <w:r w:rsidRPr="00181FCD">
        <w:t>pertinentes</w:t>
      </w:r>
      <w:r w:rsidR="00F373A3" w:rsidRPr="00181FCD">
        <w:t xml:space="preserve"> </w:t>
      </w:r>
      <w:r w:rsidRPr="00181FCD">
        <w:t>del</w:t>
      </w:r>
      <w:r w:rsidR="00F373A3" w:rsidRPr="00181FCD">
        <w:t xml:space="preserve"> </w:t>
      </w:r>
      <w:r w:rsidRPr="00181FCD">
        <w:t>poder</w:t>
      </w:r>
      <w:r w:rsidR="00F373A3" w:rsidRPr="00181FCD">
        <w:t xml:space="preserve"> </w:t>
      </w:r>
      <w:r w:rsidR="004B7AF2" w:rsidRPr="00181FCD">
        <w:t>judicial;</w:t>
      </w:r>
    </w:p>
    <w:p w:rsidR="001937F4" w:rsidRPr="00181FCD" w:rsidRDefault="001937F4" w:rsidP="00347B20">
      <w:pPr>
        <w:pStyle w:val="Bullet1G"/>
        <w:suppressAutoHyphens/>
      </w:pPr>
      <w:r w:rsidRPr="00181FCD">
        <w:t>Cada</w:t>
      </w:r>
      <w:r w:rsidR="00F373A3" w:rsidRPr="00181FCD">
        <w:t xml:space="preserve"> </w:t>
      </w:r>
      <w:r w:rsidRPr="00181FCD">
        <w:t>uno</w:t>
      </w:r>
      <w:r w:rsidR="00F373A3" w:rsidRPr="00181FCD">
        <w:t xml:space="preserve"> </w:t>
      </w:r>
      <w:r w:rsidRPr="00181FCD">
        <w:t>de</w:t>
      </w:r>
      <w:r w:rsidR="00F373A3" w:rsidRPr="00181FCD">
        <w:t xml:space="preserve"> </w:t>
      </w:r>
      <w:r w:rsidRPr="00181FCD">
        <w:t>los</w:t>
      </w:r>
      <w:r w:rsidR="00F373A3" w:rsidRPr="00181FCD">
        <w:t xml:space="preserve"> </w:t>
      </w:r>
      <w:r w:rsidRPr="00181FCD">
        <w:t>grupos</w:t>
      </w:r>
      <w:r w:rsidR="00F373A3" w:rsidRPr="00181FCD">
        <w:t xml:space="preserve"> </w:t>
      </w:r>
      <w:r w:rsidRPr="00181FCD">
        <w:t>del</w:t>
      </w:r>
      <w:r w:rsidR="00F373A3" w:rsidRPr="00181FCD">
        <w:t xml:space="preserve"> </w:t>
      </w:r>
      <w:r w:rsidRPr="00181FCD">
        <w:t>Consejo</w:t>
      </w:r>
      <w:r w:rsidR="00F373A3" w:rsidRPr="00181FCD">
        <w:t xml:space="preserve"> </w:t>
      </w:r>
      <w:r w:rsidRPr="00181FCD">
        <w:t>Supremo</w:t>
      </w:r>
      <w:r w:rsidR="00F373A3" w:rsidRPr="00181FCD">
        <w:t xml:space="preserve"> </w:t>
      </w:r>
      <w:r w:rsidRPr="00181FCD">
        <w:t>de</w:t>
      </w:r>
      <w:r w:rsidR="00F373A3" w:rsidRPr="00181FCD">
        <w:t xml:space="preserve"> </w:t>
      </w:r>
      <w:r w:rsidRPr="00181FCD">
        <w:t>la</w:t>
      </w:r>
      <w:r w:rsidR="00F373A3" w:rsidRPr="00181FCD">
        <w:t xml:space="preserve"> </w:t>
      </w:r>
      <w:r w:rsidRPr="00181FCD">
        <w:t>Judicatura</w:t>
      </w:r>
      <w:r w:rsidR="00F373A3" w:rsidRPr="00181FCD">
        <w:t xml:space="preserve"> </w:t>
      </w:r>
      <w:r w:rsidRPr="00181FCD">
        <w:t>adopta</w:t>
      </w:r>
      <w:r w:rsidR="00F373A3" w:rsidRPr="00181FCD">
        <w:t xml:space="preserve"> </w:t>
      </w:r>
      <w:r w:rsidRPr="00181FCD">
        <w:t>una</w:t>
      </w:r>
      <w:r w:rsidR="00F373A3" w:rsidRPr="00181FCD">
        <w:t xml:space="preserve"> </w:t>
      </w:r>
      <w:r w:rsidRPr="00181FCD">
        <w:t>decisión</w:t>
      </w:r>
      <w:r w:rsidR="00F373A3" w:rsidRPr="00181FCD">
        <w:t xml:space="preserve"> </w:t>
      </w:r>
      <w:r w:rsidRPr="00181FCD">
        <w:t>independiente</w:t>
      </w:r>
      <w:r w:rsidR="00F373A3" w:rsidRPr="00181FCD">
        <w:t xml:space="preserve"> </w:t>
      </w:r>
      <w:r w:rsidRPr="00181FCD">
        <w:t>y</w:t>
      </w:r>
      <w:r w:rsidR="00F373A3" w:rsidRPr="00181FCD">
        <w:t xml:space="preserve"> </w:t>
      </w:r>
      <w:r w:rsidRPr="00181FCD">
        <w:t>definitiva</w:t>
      </w:r>
      <w:r w:rsidR="00F373A3" w:rsidRPr="00181FCD">
        <w:t xml:space="preserve"> </w:t>
      </w:r>
      <w:r w:rsidRPr="00181FCD">
        <w:t>en</w:t>
      </w:r>
      <w:r w:rsidR="00F373A3" w:rsidRPr="00181FCD">
        <w:t xml:space="preserve"> </w:t>
      </w:r>
      <w:r w:rsidRPr="00181FCD">
        <w:t>las</w:t>
      </w:r>
      <w:r w:rsidR="00F373A3" w:rsidRPr="00181FCD">
        <w:t xml:space="preserve"> </w:t>
      </w:r>
      <w:r w:rsidRPr="00181FCD">
        <w:t>cuestiones</w:t>
      </w:r>
      <w:r w:rsidR="00F373A3" w:rsidRPr="00181FCD">
        <w:t xml:space="preserve"> </w:t>
      </w:r>
      <w:r w:rsidRPr="00181FCD">
        <w:t>de</w:t>
      </w:r>
      <w:r w:rsidR="00F373A3" w:rsidRPr="00181FCD">
        <w:t xml:space="preserve"> </w:t>
      </w:r>
      <w:r w:rsidRPr="00181FCD">
        <w:t>su</w:t>
      </w:r>
      <w:r w:rsidR="00F373A3" w:rsidRPr="00181FCD">
        <w:t xml:space="preserve"> </w:t>
      </w:r>
      <w:r w:rsidR="004B7AF2" w:rsidRPr="00181FCD">
        <w:t>competencia;</w:t>
      </w:r>
    </w:p>
    <w:p w:rsidR="001937F4" w:rsidRPr="00181FCD" w:rsidRDefault="001937F4" w:rsidP="00347B20">
      <w:pPr>
        <w:pStyle w:val="Bullet1G"/>
        <w:suppressAutoHyphens/>
      </w:pPr>
      <w:r w:rsidRPr="00181FCD">
        <w:t>Los</w:t>
      </w:r>
      <w:r w:rsidR="00F373A3" w:rsidRPr="00181FCD">
        <w:t xml:space="preserve"> </w:t>
      </w:r>
      <w:r w:rsidRPr="00181FCD">
        <w:t>miembros</w:t>
      </w:r>
      <w:r w:rsidR="00F373A3" w:rsidRPr="00181FCD">
        <w:t xml:space="preserve"> </w:t>
      </w:r>
      <w:r w:rsidRPr="00181FCD">
        <w:t>del</w:t>
      </w:r>
      <w:r w:rsidR="00F373A3" w:rsidRPr="00181FCD">
        <w:t xml:space="preserve"> </w:t>
      </w:r>
      <w:r w:rsidRPr="00181FCD">
        <w:t>Consejo</w:t>
      </w:r>
      <w:r w:rsidR="00F373A3" w:rsidRPr="00181FCD">
        <w:t xml:space="preserve"> </w:t>
      </w:r>
      <w:r w:rsidRPr="00181FCD">
        <w:t>Supremo</w:t>
      </w:r>
      <w:r w:rsidR="00F373A3" w:rsidRPr="00181FCD">
        <w:t xml:space="preserve"> </w:t>
      </w:r>
      <w:r w:rsidRPr="00181FCD">
        <w:t>de</w:t>
      </w:r>
      <w:r w:rsidR="00F373A3" w:rsidRPr="00181FCD">
        <w:t xml:space="preserve"> </w:t>
      </w:r>
      <w:r w:rsidRPr="00181FCD">
        <w:t>la</w:t>
      </w:r>
      <w:r w:rsidR="00F373A3" w:rsidRPr="00181FCD">
        <w:t xml:space="preserve"> </w:t>
      </w:r>
      <w:r w:rsidRPr="00181FCD">
        <w:t>Judicatura</w:t>
      </w:r>
      <w:r w:rsidR="00F373A3" w:rsidRPr="00181FCD">
        <w:t xml:space="preserve"> </w:t>
      </w:r>
      <w:r w:rsidRPr="00181FCD">
        <w:t>se</w:t>
      </w:r>
      <w:r w:rsidR="00F373A3" w:rsidRPr="00181FCD">
        <w:t xml:space="preserve"> </w:t>
      </w:r>
      <w:r w:rsidRPr="00181FCD">
        <w:t>eligen</w:t>
      </w:r>
      <w:r w:rsidR="00F373A3" w:rsidRPr="00181FCD">
        <w:t xml:space="preserve"> </w:t>
      </w:r>
      <w:r w:rsidRPr="00181FCD">
        <w:t>de</w:t>
      </w:r>
      <w:r w:rsidR="00F373A3" w:rsidRPr="00181FCD">
        <w:t xml:space="preserve"> </w:t>
      </w:r>
      <w:r w:rsidRPr="00181FCD">
        <w:t>forma</w:t>
      </w:r>
      <w:r w:rsidR="00F373A3" w:rsidRPr="00181FCD">
        <w:t xml:space="preserve"> </w:t>
      </w:r>
      <w:r w:rsidRPr="00181FCD">
        <w:t>directa</w:t>
      </w:r>
      <w:r w:rsidR="00F373A3" w:rsidRPr="00181FCD">
        <w:t xml:space="preserve"> </w:t>
      </w:r>
      <w:r w:rsidRPr="00181FCD">
        <w:t>mediante</w:t>
      </w:r>
      <w:r w:rsidR="00F373A3" w:rsidRPr="00181FCD">
        <w:t xml:space="preserve"> </w:t>
      </w:r>
      <w:r w:rsidRPr="00181FCD">
        <w:t>reuniones</w:t>
      </w:r>
      <w:r w:rsidR="00F373A3" w:rsidRPr="00181FCD">
        <w:t xml:space="preserve"> </w:t>
      </w:r>
      <w:r w:rsidRPr="00181FCD">
        <w:t>generales</w:t>
      </w:r>
      <w:r w:rsidR="00F373A3" w:rsidRPr="00181FCD">
        <w:t xml:space="preserve"> </w:t>
      </w:r>
      <w:r w:rsidRPr="00181FCD">
        <w:t>de</w:t>
      </w:r>
      <w:r w:rsidR="00F373A3" w:rsidRPr="00181FCD">
        <w:t xml:space="preserve"> </w:t>
      </w:r>
      <w:r w:rsidRPr="00181FCD">
        <w:t>jueces,</w:t>
      </w:r>
      <w:r w:rsidR="00F373A3" w:rsidRPr="00181FCD">
        <w:t xml:space="preserve"> </w:t>
      </w:r>
      <w:r w:rsidRPr="00181FCD">
        <w:t>fiscales</w:t>
      </w:r>
      <w:r w:rsidR="00F373A3" w:rsidRPr="00181FCD">
        <w:t xml:space="preserve"> </w:t>
      </w:r>
      <w:r w:rsidRPr="00181FCD">
        <w:t>y</w:t>
      </w:r>
      <w:r w:rsidR="00F373A3" w:rsidRPr="00181FCD">
        <w:t xml:space="preserve"> </w:t>
      </w:r>
      <w:r w:rsidRPr="00181FCD">
        <w:t>funcionarios</w:t>
      </w:r>
      <w:r w:rsidR="00F373A3" w:rsidRPr="00181FCD">
        <w:t xml:space="preserve"> </w:t>
      </w:r>
      <w:r w:rsidRPr="00181FCD">
        <w:t>de</w:t>
      </w:r>
      <w:r w:rsidR="00F373A3" w:rsidRPr="00181FCD">
        <w:t xml:space="preserve"> </w:t>
      </w:r>
      <w:r w:rsidR="004B7AF2" w:rsidRPr="00181FCD">
        <w:t>instrucción;</w:t>
      </w:r>
    </w:p>
    <w:p w:rsidR="001937F4" w:rsidRPr="00181FCD" w:rsidRDefault="001937F4" w:rsidP="00347B20">
      <w:pPr>
        <w:pStyle w:val="Bullet1G"/>
        <w:suppressAutoHyphens/>
      </w:pPr>
      <w:r w:rsidRPr="00181FCD">
        <w:t>La</w:t>
      </w:r>
      <w:r w:rsidR="00F373A3" w:rsidRPr="00181FCD">
        <w:t xml:space="preserve"> </w:t>
      </w:r>
      <w:r w:rsidRPr="00181FCD">
        <w:t>autonomía</w:t>
      </w:r>
      <w:r w:rsidR="00F373A3" w:rsidRPr="00181FCD">
        <w:t xml:space="preserve"> </w:t>
      </w:r>
      <w:r w:rsidRPr="00181FCD">
        <w:t>de</w:t>
      </w:r>
      <w:r w:rsidR="00F373A3" w:rsidRPr="00181FCD">
        <w:t xml:space="preserve"> </w:t>
      </w:r>
      <w:r w:rsidRPr="00181FCD">
        <w:t>los</w:t>
      </w:r>
      <w:r w:rsidR="00F373A3" w:rsidRPr="00181FCD">
        <w:t xml:space="preserve"> </w:t>
      </w:r>
      <w:r w:rsidRPr="00181FCD">
        <w:t>tribunales</w:t>
      </w:r>
      <w:r w:rsidR="00F373A3" w:rsidRPr="00181FCD">
        <w:t xml:space="preserve"> </w:t>
      </w:r>
      <w:r w:rsidRPr="00181FCD">
        <w:t>se</w:t>
      </w:r>
      <w:r w:rsidR="00F373A3" w:rsidRPr="00181FCD">
        <w:t xml:space="preserve"> </w:t>
      </w:r>
      <w:r w:rsidRPr="00181FCD">
        <w:t>amplía</w:t>
      </w:r>
      <w:r w:rsidR="00F373A3" w:rsidRPr="00181FCD">
        <w:t xml:space="preserve"> </w:t>
      </w:r>
      <w:r w:rsidRPr="00181FCD">
        <w:t>a</w:t>
      </w:r>
      <w:r w:rsidR="00F373A3" w:rsidRPr="00181FCD">
        <w:t xml:space="preserve"> </w:t>
      </w:r>
      <w:r w:rsidRPr="00181FCD">
        <w:t>través</w:t>
      </w:r>
      <w:r w:rsidR="00F373A3" w:rsidRPr="00181FCD">
        <w:t xml:space="preserve"> </w:t>
      </w:r>
      <w:r w:rsidRPr="00181FCD">
        <w:t>de</w:t>
      </w:r>
      <w:r w:rsidR="00F373A3" w:rsidRPr="00181FCD">
        <w:t xml:space="preserve"> </w:t>
      </w:r>
      <w:r w:rsidRPr="00181FCD">
        <w:t>las</w:t>
      </w:r>
      <w:r w:rsidR="00F373A3" w:rsidRPr="00181FCD">
        <w:t xml:space="preserve"> </w:t>
      </w:r>
      <w:r w:rsidRPr="00181FCD">
        <w:t>nuevas</w:t>
      </w:r>
      <w:r w:rsidR="00F373A3" w:rsidRPr="00181FCD">
        <w:t xml:space="preserve"> </w:t>
      </w:r>
      <w:r w:rsidRPr="00181FCD">
        <w:t>funciones</w:t>
      </w:r>
      <w:r w:rsidR="00F373A3" w:rsidRPr="00181FCD">
        <w:t xml:space="preserve"> </w:t>
      </w:r>
      <w:r w:rsidRPr="00181FCD">
        <w:t>de</w:t>
      </w:r>
      <w:r w:rsidR="00F373A3" w:rsidRPr="00181FCD">
        <w:t xml:space="preserve"> </w:t>
      </w:r>
      <w:r w:rsidRPr="00181FCD">
        <w:t>las</w:t>
      </w:r>
      <w:r w:rsidR="00F373A3" w:rsidRPr="00181FCD">
        <w:t xml:space="preserve"> </w:t>
      </w:r>
      <w:r w:rsidRPr="00181FCD">
        <w:t>reuniones</w:t>
      </w:r>
      <w:r w:rsidR="00F373A3" w:rsidRPr="00181FCD">
        <w:t xml:space="preserve"> </w:t>
      </w:r>
      <w:r w:rsidRPr="00181FCD">
        <w:t>generales</w:t>
      </w:r>
      <w:r w:rsidR="00F373A3" w:rsidRPr="00181FCD">
        <w:t xml:space="preserve"> </w:t>
      </w:r>
      <w:r w:rsidRPr="00181FCD">
        <w:t>de</w:t>
      </w:r>
      <w:r w:rsidR="00F373A3" w:rsidRPr="00181FCD">
        <w:t xml:space="preserve"> </w:t>
      </w:r>
      <w:r w:rsidRPr="00181FCD">
        <w:t>los</w:t>
      </w:r>
      <w:r w:rsidR="00F373A3" w:rsidRPr="00181FCD">
        <w:t xml:space="preserve"> </w:t>
      </w:r>
      <w:r w:rsidR="004B7AF2" w:rsidRPr="00181FCD">
        <w:t>jueces;</w:t>
      </w:r>
    </w:p>
    <w:p w:rsidR="001937F4" w:rsidRPr="00181FCD" w:rsidRDefault="001937F4" w:rsidP="00347B20">
      <w:pPr>
        <w:pStyle w:val="Bullet1G"/>
        <w:suppressAutoHyphens/>
      </w:pPr>
      <w:r w:rsidRPr="00181FCD">
        <w:t>Se</w:t>
      </w:r>
      <w:r w:rsidR="00F373A3" w:rsidRPr="00181FCD">
        <w:t xml:space="preserve"> </w:t>
      </w:r>
      <w:r w:rsidRPr="00181FCD">
        <w:t>vela</w:t>
      </w:r>
      <w:r w:rsidR="00F373A3" w:rsidRPr="00181FCD">
        <w:t xml:space="preserve"> </w:t>
      </w:r>
      <w:r w:rsidRPr="00181FCD">
        <w:t>por</w:t>
      </w:r>
      <w:r w:rsidR="00F373A3" w:rsidRPr="00181FCD">
        <w:t xml:space="preserve"> </w:t>
      </w:r>
      <w:r w:rsidRPr="00181FCD">
        <w:t>la</w:t>
      </w:r>
      <w:r w:rsidR="00F373A3" w:rsidRPr="00181FCD">
        <w:t xml:space="preserve"> </w:t>
      </w:r>
      <w:r w:rsidRPr="00181FCD">
        <w:t>independencia,</w:t>
      </w:r>
      <w:r w:rsidR="00F373A3" w:rsidRPr="00181FCD">
        <w:t xml:space="preserve"> </w:t>
      </w:r>
      <w:r w:rsidRPr="00181FCD">
        <w:t>la</w:t>
      </w:r>
      <w:r w:rsidR="00F373A3" w:rsidRPr="00181FCD">
        <w:t xml:space="preserve"> </w:t>
      </w:r>
      <w:r w:rsidRPr="00181FCD">
        <w:t>neutralidad</w:t>
      </w:r>
      <w:r w:rsidR="00F373A3" w:rsidRPr="00181FCD">
        <w:t xml:space="preserve"> </w:t>
      </w:r>
      <w:r w:rsidRPr="00181FCD">
        <w:t>y</w:t>
      </w:r>
      <w:r w:rsidR="00F373A3" w:rsidRPr="00181FCD">
        <w:t xml:space="preserve"> </w:t>
      </w:r>
      <w:r w:rsidRPr="00181FCD">
        <w:t>la</w:t>
      </w:r>
      <w:r w:rsidR="00F373A3" w:rsidRPr="00181FCD">
        <w:t xml:space="preserve"> </w:t>
      </w:r>
      <w:r w:rsidRPr="00181FCD">
        <w:t>imparcialidad</w:t>
      </w:r>
      <w:r w:rsidR="00F373A3" w:rsidRPr="00181FCD">
        <w:t xml:space="preserve"> </w:t>
      </w:r>
      <w:r w:rsidRPr="00181FCD">
        <w:t>de</w:t>
      </w:r>
      <w:r w:rsidR="00F373A3" w:rsidRPr="00181FCD">
        <w:t xml:space="preserve"> </w:t>
      </w:r>
      <w:r w:rsidRPr="00181FCD">
        <w:t>los</w:t>
      </w:r>
      <w:r w:rsidR="00F373A3" w:rsidRPr="00181FCD">
        <w:t xml:space="preserve"> </w:t>
      </w:r>
      <w:r w:rsidRPr="00181FCD">
        <w:t>procedimientos</w:t>
      </w:r>
      <w:r w:rsidR="00F373A3" w:rsidRPr="00181FCD">
        <w:t xml:space="preserve"> </w:t>
      </w:r>
      <w:r w:rsidR="004B7AF2" w:rsidRPr="00181FCD">
        <w:t>disciplinarios;</w:t>
      </w:r>
    </w:p>
    <w:p w:rsidR="001937F4" w:rsidRPr="00181FCD" w:rsidRDefault="001937F4" w:rsidP="00347B20">
      <w:pPr>
        <w:pStyle w:val="Bullet1G"/>
        <w:suppressAutoHyphens/>
      </w:pPr>
      <w:r w:rsidRPr="00181FCD">
        <w:t>Se</w:t>
      </w:r>
      <w:r w:rsidR="00F373A3" w:rsidRPr="00181FCD">
        <w:t xml:space="preserve"> </w:t>
      </w:r>
      <w:r w:rsidRPr="00181FCD">
        <w:t>extiende</w:t>
      </w:r>
      <w:r w:rsidR="00F373A3" w:rsidRPr="00181FCD">
        <w:t xml:space="preserve"> </w:t>
      </w:r>
      <w:r w:rsidRPr="00181FCD">
        <w:t>una</w:t>
      </w:r>
      <w:r w:rsidR="00F373A3" w:rsidRPr="00181FCD">
        <w:t xml:space="preserve"> </w:t>
      </w:r>
      <w:r w:rsidRPr="00181FCD">
        <w:t>certificación</w:t>
      </w:r>
      <w:r w:rsidR="00F373A3" w:rsidRPr="00181FCD">
        <w:t xml:space="preserve"> </w:t>
      </w:r>
      <w:r w:rsidRPr="00181FCD">
        <w:t>objetiva</w:t>
      </w:r>
      <w:r w:rsidR="00F373A3" w:rsidRPr="00181FCD">
        <w:t xml:space="preserve"> </w:t>
      </w:r>
      <w:r w:rsidRPr="00181FCD">
        <w:t>de</w:t>
      </w:r>
      <w:r w:rsidR="00F373A3" w:rsidRPr="00181FCD">
        <w:t xml:space="preserve"> </w:t>
      </w:r>
      <w:r w:rsidRPr="00181FCD">
        <w:t>los</w:t>
      </w:r>
      <w:r w:rsidR="00F373A3" w:rsidRPr="00181FCD">
        <w:t xml:space="preserve"> </w:t>
      </w:r>
      <w:r w:rsidRPr="00181FCD">
        <w:t>magistrados</w:t>
      </w:r>
      <w:r w:rsidR="00F373A3" w:rsidRPr="00181FCD">
        <w:t xml:space="preserve"> </w:t>
      </w:r>
      <w:r w:rsidRPr="00181FCD">
        <w:t>a</w:t>
      </w:r>
      <w:r w:rsidR="00F373A3" w:rsidRPr="00181FCD">
        <w:t xml:space="preserve"> </w:t>
      </w:r>
      <w:r w:rsidRPr="00181FCD">
        <w:t>los</w:t>
      </w:r>
      <w:r w:rsidR="00F373A3" w:rsidRPr="00181FCD">
        <w:t xml:space="preserve"> </w:t>
      </w:r>
      <w:r w:rsidRPr="00181FCD">
        <w:t>fines</w:t>
      </w:r>
      <w:r w:rsidR="00F373A3" w:rsidRPr="00181FCD">
        <w:t xml:space="preserve"> </w:t>
      </w:r>
      <w:r w:rsidRPr="00181FCD">
        <w:t>de</w:t>
      </w:r>
      <w:r w:rsidR="00F373A3" w:rsidRPr="00181FCD">
        <w:t xml:space="preserve"> </w:t>
      </w:r>
      <w:r w:rsidRPr="00181FCD">
        <w:t>un</w:t>
      </w:r>
      <w:r w:rsidR="00F373A3" w:rsidRPr="00181FCD">
        <w:t xml:space="preserve"> </w:t>
      </w:r>
      <w:r w:rsidRPr="00181FCD">
        <w:t>proceso</w:t>
      </w:r>
      <w:r w:rsidR="00F373A3" w:rsidRPr="00181FCD">
        <w:t xml:space="preserve"> </w:t>
      </w:r>
      <w:r w:rsidRPr="00181FCD">
        <w:t>justo</w:t>
      </w:r>
      <w:r w:rsidR="00F373A3" w:rsidRPr="00181FCD">
        <w:t xml:space="preserve"> </w:t>
      </w:r>
      <w:r w:rsidRPr="00181FCD">
        <w:t>y</w:t>
      </w:r>
      <w:r w:rsidR="00F373A3" w:rsidRPr="00181FCD">
        <w:t xml:space="preserve"> </w:t>
      </w:r>
      <w:r w:rsidRPr="00181FCD">
        <w:t>transparente</w:t>
      </w:r>
      <w:r w:rsidR="00F373A3" w:rsidRPr="00181FCD">
        <w:t xml:space="preserve"> </w:t>
      </w:r>
      <w:r w:rsidRPr="00181FCD">
        <w:t>de</w:t>
      </w:r>
      <w:r w:rsidR="00F373A3" w:rsidRPr="00181FCD">
        <w:t xml:space="preserve"> </w:t>
      </w:r>
      <w:r w:rsidRPr="00181FCD">
        <w:t>promoción</w:t>
      </w:r>
      <w:r w:rsidR="00F373A3" w:rsidRPr="00181FCD">
        <w:t xml:space="preserve"> </w:t>
      </w:r>
      <w:r w:rsidR="004B7AF2" w:rsidRPr="00181FCD">
        <w:t>profesional;</w:t>
      </w:r>
    </w:p>
    <w:p w:rsidR="001937F4" w:rsidRPr="00181FCD" w:rsidRDefault="001937F4" w:rsidP="00347B20">
      <w:pPr>
        <w:pStyle w:val="Bullet1G"/>
        <w:suppressAutoHyphens/>
      </w:pPr>
      <w:r w:rsidRPr="00181FCD">
        <w:t>El</w:t>
      </w:r>
      <w:r w:rsidR="00F373A3" w:rsidRPr="00181FCD">
        <w:t xml:space="preserve"> </w:t>
      </w:r>
      <w:r w:rsidRPr="00181FCD">
        <w:t>Consejo</w:t>
      </w:r>
      <w:r w:rsidR="00F373A3" w:rsidRPr="00181FCD">
        <w:t xml:space="preserve"> </w:t>
      </w:r>
      <w:r w:rsidRPr="00181FCD">
        <w:t>Supremo</w:t>
      </w:r>
      <w:r w:rsidR="00F373A3" w:rsidRPr="00181FCD">
        <w:t xml:space="preserve"> </w:t>
      </w:r>
      <w:r w:rsidRPr="00181FCD">
        <w:t>de</w:t>
      </w:r>
      <w:r w:rsidR="00F373A3" w:rsidRPr="00181FCD">
        <w:t xml:space="preserve"> </w:t>
      </w:r>
      <w:r w:rsidRPr="00181FCD">
        <w:t>la</w:t>
      </w:r>
      <w:r w:rsidR="00F373A3" w:rsidRPr="00181FCD">
        <w:t xml:space="preserve"> </w:t>
      </w:r>
      <w:r w:rsidRPr="00181FCD">
        <w:t>Judicatura</w:t>
      </w:r>
      <w:r w:rsidR="00F373A3" w:rsidRPr="00181FCD">
        <w:t xml:space="preserve"> </w:t>
      </w:r>
      <w:r w:rsidRPr="00181FCD">
        <w:t>inicia</w:t>
      </w:r>
      <w:r w:rsidR="00F373A3" w:rsidRPr="00181FCD">
        <w:t xml:space="preserve"> </w:t>
      </w:r>
      <w:r w:rsidRPr="00181FCD">
        <w:t>un</w:t>
      </w:r>
      <w:r w:rsidR="00F373A3" w:rsidRPr="00181FCD">
        <w:t xml:space="preserve"> </w:t>
      </w:r>
      <w:r w:rsidRPr="00181FCD">
        <w:t>procedimiento</w:t>
      </w:r>
      <w:r w:rsidR="00F373A3" w:rsidRPr="00181FCD">
        <w:t xml:space="preserve"> </w:t>
      </w:r>
      <w:r w:rsidRPr="00181FCD">
        <w:t>de</w:t>
      </w:r>
      <w:r w:rsidR="00F373A3" w:rsidRPr="00181FCD">
        <w:t xml:space="preserve"> </w:t>
      </w:r>
      <w:r w:rsidRPr="00181FCD">
        <w:t>autorización</w:t>
      </w:r>
      <w:r w:rsidR="00F373A3" w:rsidRPr="00181FCD">
        <w:t xml:space="preserve"> </w:t>
      </w:r>
      <w:r w:rsidRPr="00181FCD">
        <w:t>para</w:t>
      </w:r>
      <w:r w:rsidR="00F373A3" w:rsidRPr="00181FCD">
        <w:t xml:space="preserve"> </w:t>
      </w:r>
      <w:r w:rsidRPr="00181FCD">
        <w:t>que</w:t>
      </w:r>
      <w:r w:rsidR="00F373A3" w:rsidRPr="00181FCD">
        <w:t xml:space="preserve"> </w:t>
      </w:r>
      <w:r w:rsidRPr="00181FCD">
        <w:t>se</w:t>
      </w:r>
      <w:r w:rsidR="00F373A3" w:rsidRPr="00181FCD">
        <w:t xml:space="preserve"> </w:t>
      </w:r>
      <w:r w:rsidRPr="00181FCD">
        <w:t>enjuicie</w:t>
      </w:r>
      <w:r w:rsidR="00F373A3" w:rsidRPr="00181FCD">
        <w:t xml:space="preserve"> </w:t>
      </w:r>
      <w:r w:rsidRPr="00181FCD">
        <w:t>como</w:t>
      </w:r>
      <w:r w:rsidR="00F373A3" w:rsidRPr="00181FCD">
        <w:t xml:space="preserve"> </w:t>
      </w:r>
      <w:r w:rsidRPr="00181FCD">
        <w:t>acusado</w:t>
      </w:r>
      <w:r w:rsidR="00F373A3" w:rsidRPr="00181FCD">
        <w:t xml:space="preserve"> </w:t>
      </w:r>
      <w:r w:rsidRPr="00181FCD">
        <w:t>a</w:t>
      </w:r>
      <w:r w:rsidR="00F373A3" w:rsidRPr="00181FCD">
        <w:t xml:space="preserve"> </w:t>
      </w:r>
      <w:r w:rsidRPr="00181FCD">
        <w:t>un</w:t>
      </w:r>
      <w:r w:rsidR="00F373A3" w:rsidRPr="00181FCD">
        <w:t xml:space="preserve"> </w:t>
      </w:r>
      <w:r w:rsidRPr="00181FCD">
        <w:t>juez,</w:t>
      </w:r>
      <w:r w:rsidR="00F373A3" w:rsidRPr="00181FCD">
        <w:t xml:space="preserve"> </w:t>
      </w:r>
      <w:r w:rsidRPr="00181FCD">
        <w:t>un</w:t>
      </w:r>
      <w:r w:rsidR="00F373A3" w:rsidRPr="00181FCD">
        <w:t xml:space="preserve"> </w:t>
      </w:r>
      <w:r w:rsidRPr="00181FCD">
        <w:t>fiscal</w:t>
      </w:r>
      <w:r w:rsidR="00F373A3" w:rsidRPr="00181FCD">
        <w:t xml:space="preserve"> </w:t>
      </w:r>
      <w:r w:rsidRPr="00181FCD">
        <w:t>o</w:t>
      </w:r>
      <w:r w:rsidR="00F373A3" w:rsidRPr="00181FCD">
        <w:t xml:space="preserve"> </w:t>
      </w:r>
      <w:r w:rsidRPr="00181FCD">
        <w:t>un</w:t>
      </w:r>
      <w:r w:rsidR="00F373A3" w:rsidRPr="00181FCD">
        <w:t xml:space="preserve"> </w:t>
      </w:r>
      <w:r w:rsidRPr="00181FCD">
        <w:t>funcionario</w:t>
      </w:r>
      <w:r w:rsidR="00F373A3" w:rsidRPr="00181FCD">
        <w:t xml:space="preserve"> </w:t>
      </w:r>
      <w:r w:rsidRPr="00181FCD">
        <w:t>encargado</w:t>
      </w:r>
      <w:r w:rsidR="00F373A3" w:rsidRPr="00181FCD">
        <w:t xml:space="preserve"> </w:t>
      </w:r>
      <w:r w:rsidRPr="00181FCD">
        <w:t>de</w:t>
      </w:r>
      <w:r w:rsidR="00F373A3" w:rsidRPr="00181FCD">
        <w:t xml:space="preserve"> </w:t>
      </w:r>
      <w:r w:rsidRPr="00181FCD">
        <w:t>la</w:t>
      </w:r>
      <w:r w:rsidR="00F373A3" w:rsidRPr="00181FCD">
        <w:t xml:space="preserve"> </w:t>
      </w:r>
      <w:r w:rsidRPr="00181FCD">
        <w:t>instrucción,</w:t>
      </w:r>
      <w:r w:rsidR="00F373A3" w:rsidRPr="00181FCD">
        <w:t xml:space="preserve"> </w:t>
      </w:r>
      <w:r w:rsidRPr="00181FCD">
        <w:t>en</w:t>
      </w:r>
      <w:r w:rsidR="00F373A3" w:rsidRPr="00181FCD">
        <w:t xml:space="preserve"> </w:t>
      </w:r>
      <w:r w:rsidRPr="00181FCD">
        <w:t>el</w:t>
      </w:r>
      <w:r w:rsidR="00F373A3" w:rsidRPr="00181FCD">
        <w:t xml:space="preserve"> </w:t>
      </w:r>
      <w:r w:rsidRPr="00181FCD">
        <w:t>supuesto</w:t>
      </w:r>
      <w:r w:rsidR="00F373A3" w:rsidRPr="00181FCD">
        <w:t xml:space="preserve"> </w:t>
      </w:r>
      <w:r w:rsidRPr="00181FCD">
        <w:t>del</w:t>
      </w:r>
      <w:r w:rsidR="00F373A3" w:rsidRPr="00181FCD">
        <w:t xml:space="preserve"> </w:t>
      </w:r>
      <w:r w:rsidRPr="00181FCD">
        <w:t>artículo</w:t>
      </w:r>
      <w:r w:rsidR="00F373A3" w:rsidRPr="00181FCD">
        <w:t xml:space="preserve"> </w:t>
      </w:r>
      <w:r w:rsidRPr="00181FCD">
        <w:t>132</w:t>
      </w:r>
      <w:r w:rsidR="00F373A3" w:rsidRPr="00181FCD">
        <w:t xml:space="preserve"> </w:t>
      </w:r>
      <w:r w:rsidRPr="00181FCD">
        <w:t>de</w:t>
      </w:r>
      <w:r w:rsidR="00F373A3" w:rsidRPr="00181FCD">
        <w:t xml:space="preserve"> </w:t>
      </w:r>
      <w:r w:rsidRPr="00181FCD">
        <w:t>la</w:t>
      </w:r>
      <w:r w:rsidR="00F373A3" w:rsidRPr="00181FCD">
        <w:t xml:space="preserve"> </w:t>
      </w:r>
      <w:r w:rsidRPr="00181FCD">
        <w:t>Constitución</w:t>
      </w:r>
      <w:r w:rsidR="00F373A3" w:rsidRPr="00181FCD">
        <w:t xml:space="preserve"> </w:t>
      </w:r>
      <w:r w:rsidRPr="00181FCD">
        <w:t>de</w:t>
      </w:r>
      <w:r w:rsidR="00F373A3" w:rsidRPr="00181FCD">
        <w:t xml:space="preserve"> </w:t>
      </w:r>
      <w:r w:rsidRPr="00181FCD">
        <w:t>la</w:t>
      </w:r>
      <w:r w:rsidR="00F373A3" w:rsidRPr="00181FCD">
        <w:t xml:space="preserve"> </w:t>
      </w:r>
      <w:r w:rsidRPr="00181FCD">
        <w:t>República</w:t>
      </w:r>
      <w:r w:rsidR="00F373A3" w:rsidRPr="00181FCD">
        <w:t xml:space="preserve"> </w:t>
      </w:r>
      <w:r w:rsidRPr="00181FCD">
        <w:t>de</w:t>
      </w:r>
      <w:r w:rsidR="00F373A3" w:rsidRPr="00181FCD">
        <w:t xml:space="preserve"> </w:t>
      </w:r>
      <w:r w:rsidR="004B7AF2" w:rsidRPr="00181FCD">
        <w:t>Bulgaria;</w:t>
      </w:r>
    </w:p>
    <w:p w:rsidR="001937F4" w:rsidRPr="00181FCD" w:rsidRDefault="001937F4" w:rsidP="00347B20">
      <w:pPr>
        <w:pStyle w:val="Bullet1G"/>
        <w:suppressAutoHyphens/>
      </w:pPr>
      <w:r w:rsidRPr="00181FCD">
        <w:t>Se</w:t>
      </w:r>
      <w:r w:rsidR="00F373A3" w:rsidRPr="00181FCD">
        <w:t xml:space="preserve"> </w:t>
      </w:r>
      <w:r w:rsidRPr="00181FCD">
        <w:t>garantiza</w:t>
      </w:r>
      <w:r w:rsidR="00F373A3" w:rsidRPr="00181FCD">
        <w:t xml:space="preserve"> </w:t>
      </w:r>
      <w:r w:rsidRPr="00181FCD">
        <w:t>el</w:t>
      </w:r>
      <w:r w:rsidR="00F373A3" w:rsidRPr="00181FCD">
        <w:t xml:space="preserve"> </w:t>
      </w:r>
      <w:r w:rsidRPr="00181FCD">
        <w:t>desarrollo</w:t>
      </w:r>
      <w:r w:rsidR="00F373A3" w:rsidRPr="00181FCD">
        <w:t xml:space="preserve"> </w:t>
      </w:r>
      <w:r w:rsidRPr="00181FCD">
        <w:t>de</w:t>
      </w:r>
      <w:r w:rsidR="00F373A3" w:rsidRPr="00181FCD">
        <w:t xml:space="preserve"> </w:t>
      </w:r>
      <w:r w:rsidRPr="00181FCD">
        <w:t>la</w:t>
      </w:r>
      <w:r w:rsidR="00F373A3" w:rsidRPr="00181FCD">
        <w:t xml:space="preserve"> </w:t>
      </w:r>
      <w:r w:rsidRPr="00181FCD">
        <w:t>capacidad</w:t>
      </w:r>
      <w:r w:rsidR="00F373A3" w:rsidRPr="00181FCD">
        <w:t xml:space="preserve"> </w:t>
      </w:r>
      <w:r w:rsidRPr="00181FCD">
        <w:t>profesional</w:t>
      </w:r>
      <w:r w:rsidR="00F373A3" w:rsidRPr="00181FCD">
        <w:t xml:space="preserve"> </w:t>
      </w:r>
      <w:r w:rsidRPr="00181FCD">
        <w:t>de</w:t>
      </w:r>
      <w:r w:rsidR="00F373A3" w:rsidRPr="00181FCD">
        <w:t xml:space="preserve"> </w:t>
      </w:r>
      <w:r w:rsidRPr="00181FCD">
        <w:t>los</w:t>
      </w:r>
      <w:r w:rsidR="00F373A3" w:rsidRPr="00181FCD">
        <w:t xml:space="preserve"> </w:t>
      </w:r>
      <w:r w:rsidR="004B7AF2" w:rsidRPr="00181FCD">
        <w:t>magistrados;</w:t>
      </w:r>
    </w:p>
    <w:p w:rsidR="001937F4" w:rsidRPr="00181FCD" w:rsidRDefault="001937F4" w:rsidP="00347B20">
      <w:pPr>
        <w:pStyle w:val="Bullet1G"/>
        <w:suppressAutoHyphens/>
      </w:pPr>
      <w:r w:rsidRPr="00181FCD">
        <w:t>Se</w:t>
      </w:r>
      <w:r w:rsidR="00F373A3" w:rsidRPr="00181FCD">
        <w:t xml:space="preserve"> </w:t>
      </w:r>
      <w:r w:rsidRPr="00181FCD">
        <w:t>establece</w:t>
      </w:r>
      <w:r w:rsidR="00F373A3" w:rsidRPr="00181FCD">
        <w:t xml:space="preserve"> </w:t>
      </w:r>
      <w:r w:rsidRPr="00181FCD">
        <w:t>un</w:t>
      </w:r>
      <w:r w:rsidR="00F373A3" w:rsidRPr="00181FCD">
        <w:t xml:space="preserve"> </w:t>
      </w:r>
      <w:r w:rsidRPr="00181FCD">
        <w:t>sistema</w:t>
      </w:r>
      <w:r w:rsidR="00F373A3" w:rsidRPr="00181FCD">
        <w:t xml:space="preserve"> </w:t>
      </w:r>
      <w:r w:rsidRPr="00181FCD">
        <w:t>de</w:t>
      </w:r>
      <w:r w:rsidR="00F373A3" w:rsidRPr="00181FCD">
        <w:t xml:space="preserve"> </w:t>
      </w:r>
      <w:r w:rsidRPr="00181FCD">
        <w:t>medidas</w:t>
      </w:r>
      <w:r w:rsidR="00F373A3" w:rsidRPr="00181FCD">
        <w:t xml:space="preserve"> </w:t>
      </w:r>
      <w:r w:rsidRPr="00181FCD">
        <w:t>de</w:t>
      </w:r>
      <w:r w:rsidR="00F373A3" w:rsidRPr="00181FCD">
        <w:t xml:space="preserve"> </w:t>
      </w:r>
      <w:r w:rsidRPr="00181FCD">
        <w:t>asistencia</w:t>
      </w:r>
      <w:r w:rsidR="00F373A3" w:rsidRPr="00181FCD">
        <w:t xml:space="preserve"> </w:t>
      </w:r>
      <w:r w:rsidRPr="00181FCD">
        <w:t>en</w:t>
      </w:r>
      <w:r w:rsidR="00F373A3" w:rsidRPr="00181FCD">
        <w:t xml:space="preserve"> </w:t>
      </w:r>
      <w:r w:rsidRPr="00181FCD">
        <w:t>lo</w:t>
      </w:r>
      <w:r w:rsidR="00F373A3" w:rsidRPr="00181FCD">
        <w:t xml:space="preserve"> </w:t>
      </w:r>
      <w:r w:rsidRPr="00181FCD">
        <w:t>que</w:t>
      </w:r>
      <w:r w:rsidR="00F373A3" w:rsidRPr="00181FCD">
        <w:t xml:space="preserve"> </w:t>
      </w:r>
      <w:r w:rsidRPr="00181FCD">
        <w:t>se</w:t>
      </w:r>
      <w:r w:rsidR="00F373A3" w:rsidRPr="00181FCD">
        <w:t xml:space="preserve"> </w:t>
      </w:r>
      <w:r w:rsidRPr="00181FCD">
        <w:t>refiere</w:t>
      </w:r>
      <w:r w:rsidR="00F373A3" w:rsidRPr="00181FCD">
        <w:t xml:space="preserve"> </w:t>
      </w:r>
      <w:r w:rsidRPr="00181FCD">
        <w:t>a</w:t>
      </w:r>
      <w:r w:rsidR="00F373A3" w:rsidRPr="00181FCD">
        <w:t xml:space="preserve"> </w:t>
      </w:r>
      <w:r w:rsidRPr="00181FCD">
        <w:t>los</w:t>
      </w:r>
      <w:r w:rsidR="00F373A3" w:rsidRPr="00181FCD">
        <w:t xml:space="preserve"> </w:t>
      </w:r>
      <w:r w:rsidRPr="00181FCD">
        <w:t>jueces,</w:t>
      </w:r>
      <w:r w:rsidR="00F373A3" w:rsidRPr="00181FCD">
        <w:t xml:space="preserve"> </w:t>
      </w:r>
      <w:r w:rsidRPr="00181FCD">
        <w:t>fiscales</w:t>
      </w:r>
      <w:r w:rsidR="00F373A3" w:rsidRPr="00181FCD">
        <w:t xml:space="preserve"> </w:t>
      </w:r>
      <w:r w:rsidRPr="00181FCD">
        <w:t>y</w:t>
      </w:r>
      <w:r w:rsidR="00F373A3" w:rsidRPr="00181FCD">
        <w:t xml:space="preserve"> </w:t>
      </w:r>
      <w:r w:rsidRPr="00181FCD">
        <w:t>funcionarios</w:t>
      </w:r>
      <w:r w:rsidR="00F373A3" w:rsidRPr="00181FCD">
        <w:t xml:space="preserve"> </w:t>
      </w:r>
      <w:r w:rsidRPr="00181FCD">
        <w:t>encargados</w:t>
      </w:r>
      <w:r w:rsidR="00F373A3" w:rsidRPr="00181FCD">
        <w:t xml:space="preserve"> </w:t>
      </w:r>
      <w:r w:rsidRPr="00181FCD">
        <w:t>de</w:t>
      </w:r>
      <w:r w:rsidR="00F373A3" w:rsidRPr="00181FCD">
        <w:t xml:space="preserve"> </w:t>
      </w:r>
      <w:r w:rsidRPr="00181FCD">
        <w:t>la</w:t>
      </w:r>
      <w:r w:rsidR="00F373A3" w:rsidRPr="00181FCD">
        <w:t xml:space="preserve"> </w:t>
      </w:r>
      <w:r w:rsidR="004B7AF2" w:rsidRPr="00181FCD">
        <w:t>instrucción;</w:t>
      </w:r>
    </w:p>
    <w:p w:rsidR="001937F4" w:rsidRPr="00181FCD" w:rsidRDefault="001937F4" w:rsidP="00347B20">
      <w:pPr>
        <w:pStyle w:val="Bullet1G"/>
        <w:suppressAutoHyphens/>
      </w:pPr>
      <w:r w:rsidRPr="00181FCD">
        <w:t>Se</w:t>
      </w:r>
      <w:r w:rsidR="00F373A3" w:rsidRPr="00181FCD">
        <w:t xml:space="preserve"> </w:t>
      </w:r>
      <w:r w:rsidRPr="00181FCD">
        <w:t>modifican</w:t>
      </w:r>
      <w:r w:rsidR="00F373A3" w:rsidRPr="00181FCD">
        <w:t xml:space="preserve"> </w:t>
      </w:r>
      <w:r w:rsidRPr="00181FCD">
        <w:t>los</w:t>
      </w:r>
      <w:r w:rsidR="00F373A3" w:rsidRPr="00181FCD">
        <w:t xml:space="preserve"> </w:t>
      </w:r>
      <w:r w:rsidRPr="00181FCD">
        <w:t>procedimientos</w:t>
      </w:r>
      <w:r w:rsidR="00F373A3" w:rsidRPr="00181FCD">
        <w:t xml:space="preserve"> </w:t>
      </w:r>
      <w:r w:rsidRPr="00181FCD">
        <w:t>disciplinarios</w:t>
      </w:r>
      <w:r w:rsidR="00F373A3" w:rsidRPr="00181FCD">
        <w:t xml:space="preserve"> </w:t>
      </w:r>
      <w:r w:rsidRPr="00181FCD">
        <w:t>de</w:t>
      </w:r>
      <w:r w:rsidR="00F373A3" w:rsidRPr="00181FCD">
        <w:t xml:space="preserve"> </w:t>
      </w:r>
      <w:r w:rsidRPr="00181FCD">
        <w:t>manera</w:t>
      </w:r>
      <w:r w:rsidR="00F373A3" w:rsidRPr="00181FCD">
        <w:t xml:space="preserve"> </w:t>
      </w:r>
      <w:r w:rsidRPr="00181FCD">
        <w:t>que</w:t>
      </w:r>
      <w:r w:rsidR="00F373A3" w:rsidRPr="00181FCD">
        <w:t xml:space="preserve"> </w:t>
      </w:r>
      <w:r w:rsidRPr="00181FCD">
        <w:t>se</w:t>
      </w:r>
      <w:r w:rsidR="00F373A3" w:rsidRPr="00181FCD">
        <w:t xml:space="preserve"> </w:t>
      </w:r>
      <w:r w:rsidRPr="00181FCD">
        <w:t>ajusten</w:t>
      </w:r>
      <w:r w:rsidR="00F373A3" w:rsidRPr="00181FCD">
        <w:t xml:space="preserve"> </w:t>
      </w:r>
      <w:r w:rsidRPr="00181FCD">
        <w:t>a</w:t>
      </w:r>
      <w:r w:rsidR="00F373A3" w:rsidRPr="00181FCD">
        <w:t xml:space="preserve"> </w:t>
      </w:r>
      <w:r w:rsidRPr="00181FCD">
        <w:t>las</w:t>
      </w:r>
      <w:r w:rsidR="00F373A3" w:rsidRPr="00181FCD">
        <w:t xml:space="preserve"> </w:t>
      </w:r>
      <w:r w:rsidRPr="00181FCD">
        <w:t>normas</w:t>
      </w:r>
      <w:r w:rsidR="00F373A3" w:rsidRPr="00181FCD">
        <w:t xml:space="preserve"> </w:t>
      </w:r>
      <w:r w:rsidRPr="00181FCD">
        <w:t>internacionales</w:t>
      </w:r>
      <w:r w:rsidR="00F373A3" w:rsidRPr="00181FCD">
        <w:t xml:space="preserve"> </w:t>
      </w:r>
      <w:r w:rsidRPr="00181FCD">
        <w:t>y</w:t>
      </w:r>
      <w:r w:rsidR="00F373A3" w:rsidRPr="00181FCD">
        <w:t xml:space="preserve"> </w:t>
      </w:r>
      <w:r w:rsidRPr="00181FCD">
        <w:t>se</w:t>
      </w:r>
      <w:r w:rsidR="00F373A3" w:rsidRPr="00181FCD">
        <w:t xml:space="preserve"> </w:t>
      </w:r>
      <w:r w:rsidRPr="00181FCD">
        <w:t>garantice</w:t>
      </w:r>
      <w:r w:rsidR="00F373A3" w:rsidRPr="00181FCD">
        <w:t xml:space="preserve"> </w:t>
      </w:r>
      <w:r w:rsidRPr="00181FCD">
        <w:t>su</w:t>
      </w:r>
      <w:r w:rsidR="00F373A3" w:rsidRPr="00181FCD">
        <w:t xml:space="preserve"> </w:t>
      </w:r>
      <w:r w:rsidRPr="00181FCD">
        <w:t>naturaleza</w:t>
      </w:r>
      <w:r w:rsidR="00F373A3" w:rsidRPr="00181FCD">
        <w:t xml:space="preserve"> </w:t>
      </w:r>
      <w:r w:rsidRPr="00181FCD">
        <w:t>realmente</w:t>
      </w:r>
      <w:r w:rsidR="00F373A3" w:rsidRPr="00181FCD">
        <w:t xml:space="preserve"> </w:t>
      </w:r>
      <w:r w:rsidR="004B7AF2" w:rsidRPr="00181FCD">
        <w:t>competitiva;</w:t>
      </w:r>
    </w:p>
    <w:p w:rsidR="001937F4" w:rsidRPr="00181FCD" w:rsidRDefault="001937F4" w:rsidP="00347B20">
      <w:pPr>
        <w:pStyle w:val="Bullet1G"/>
        <w:suppressAutoHyphens/>
      </w:pPr>
      <w:r w:rsidRPr="00181FCD">
        <w:t>Se</w:t>
      </w:r>
      <w:r w:rsidR="00F373A3" w:rsidRPr="00181FCD">
        <w:t xml:space="preserve"> </w:t>
      </w:r>
      <w:r w:rsidRPr="00181FCD">
        <w:t>establecen</w:t>
      </w:r>
      <w:r w:rsidR="00F373A3" w:rsidRPr="00181FCD">
        <w:t xml:space="preserve"> </w:t>
      </w:r>
      <w:r w:rsidRPr="00181FCD">
        <w:t>normas</w:t>
      </w:r>
      <w:r w:rsidR="00F373A3" w:rsidRPr="00181FCD">
        <w:t xml:space="preserve"> </w:t>
      </w:r>
      <w:r w:rsidRPr="00181FCD">
        <w:t>claramente</w:t>
      </w:r>
      <w:r w:rsidR="00F373A3" w:rsidRPr="00181FCD">
        <w:t xml:space="preserve"> </w:t>
      </w:r>
      <w:r w:rsidRPr="00181FCD">
        <w:t>definidas</w:t>
      </w:r>
      <w:r w:rsidR="00F373A3" w:rsidRPr="00181FCD">
        <w:t xml:space="preserve"> </w:t>
      </w:r>
      <w:r w:rsidRPr="00181FCD">
        <w:t>y</w:t>
      </w:r>
      <w:r w:rsidR="00F373A3" w:rsidRPr="00181FCD">
        <w:t xml:space="preserve"> </w:t>
      </w:r>
      <w:r w:rsidRPr="00181FCD">
        <w:t>predecibles</w:t>
      </w:r>
      <w:r w:rsidR="00F373A3" w:rsidRPr="00181FCD">
        <w:t xml:space="preserve"> </w:t>
      </w:r>
      <w:r w:rsidRPr="00181FCD">
        <w:t>para</w:t>
      </w:r>
      <w:r w:rsidR="00F373A3" w:rsidRPr="00181FCD">
        <w:t xml:space="preserve"> </w:t>
      </w:r>
      <w:r w:rsidRPr="00181FCD">
        <w:t>el</w:t>
      </w:r>
      <w:r w:rsidR="00F373A3" w:rsidRPr="00181FCD">
        <w:t xml:space="preserve"> </w:t>
      </w:r>
      <w:r w:rsidRPr="00181FCD">
        <w:t>envío</w:t>
      </w:r>
      <w:r w:rsidR="00F373A3" w:rsidRPr="00181FCD">
        <w:t xml:space="preserve"> </w:t>
      </w:r>
      <w:r w:rsidRPr="00181FCD">
        <w:t>de</w:t>
      </w:r>
      <w:r w:rsidR="00F373A3" w:rsidRPr="00181FCD">
        <w:t xml:space="preserve"> </w:t>
      </w:r>
      <w:r w:rsidRPr="00181FCD">
        <w:t>magistrados</w:t>
      </w:r>
      <w:r w:rsidR="00F373A3" w:rsidRPr="00181FCD">
        <w:t xml:space="preserve"> </w:t>
      </w:r>
      <w:r w:rsidRPr="00181FCD">
        <w:t>en</w:t>
      </w:r>
      <w:r w:rsidR="00F373A3" w:rsidRPr="00181FCD">
        <w:t xml:space="preserve"> </w:t>
      </w:r>
      <w:r w:rsidRPr="00181FCD">
        <w:t>viajes</w:t>
      </w:r>
      <w:r w:rsidR="00F373A3" w:rsidRPr="00181FCD">
        <w:t xml:space="preserve"> </w:t>
      </w:r>
      <w:r w:rsidRPr="00181FCD">
        <w:t>por</w:t>
      </w:r>
      <w:r w:rsidR="00F373A3" w:rsidRPr="00181FCD">
        <w:t xml:space="preserve"> </w:t>
      </w:r>
      <w:r w:rsidRPr="00181FCD">
        <w:t>motivos</w:t>
      </w:r>
      <w:r w:rsidR="00F373A3" w:rsidRPr="00181FCD">
        <w:t xml:space="preserve"> </w:t>
      </w:r>
      <w:r w:rsidRPr="00181FCD">
        <w:t>de</w:t>
      </w:r>
      <w:r w:rsidR="00F373A3" w:rsidRPr="00181FCD">
        <w:t xml:space="preserve"> </w:t>
      </w:r>
      <w:r w:rsidRPr="00181FCD">
        <w:t>su</w:t>
      </w:r>
      <w:r w:rsidR="00F373A3" w:rsidRPr="00181FCD">
        <w:t xml:space="preserve"> </w:t>
      </w:r>
      <w:r w:rsidR="004B7AF2" w:rsidRPr="00181FCD">
        <w:t>actividad;</w:t>
      </w:r>
    </w:p>
    <w:p w:rsidR="001937F4" w:rsidRPr="00181FCD" w:rsidRDefault="001937F4" w:rsidP="00347B20">
      <w:pPr>
        <w:pStyle w:val="Bullet1G"/>
        <w:suppressAutoHyphens/>
      </w:pPr>
      <w:r w:rsidRPr="00181FCD">
        <w:t>Se</w:t>
      </w:r>
      <w:r w:rsidR="00F373A3" w:rsidRPr="00181FCD">
        <w:t xml:space="preserve"> </w:t>
      </w:r>
      <w:r w:rsidRPr="00181FCD">
        <w:t>crean</w:t>
      </w:r>
      <w:r w:rsidR="00F373A3" w:rsidRPr="00181FCD">
        <w:t xml:space="preserve"> </w:t>
      </w:r>
      <w:r w:rsidRPr="00181FCD">
        <w:t>garantías</w:t>
      </w:r>
      <w:r w:rsidR="00F373A3" w:rsidRPr="00181FCD">
        <w:t xml:space="preserve"> </w:t>
      </w:r>
      <w:r w:rsidRPr="00181FCD">
        <w:t>adicionales</w:t>
      </w:r>
      <w:r w:rsidR="00F373A3" w:rsidRPr="00181FCD">
        <w:t xml:space="preserve"> </w:t>
      </w:r>
      <w:r w:rsidRPr="00181FCD">
        <w:t>para</w:t>
      </w:r>
      <w:r w:rsidR="00F373A3" w:rsidRPr="00181FCD">
        <w:t xml:space="preserve"> </w:t>
      </w:r>
      <w:r w:rsidRPr="00181FCD">
        <w:t>la</w:t>
      </w:r>
      <w:r w:rsidR="00F373A3" w:rsidRPr="00181FCD">
        <w:t xml:space="preserve"> </w:t>
      </w:r>
      <w:r w:rsidRPr="00181FCD">
        <w:t>independencia</w:t>
      </w:r>
      <w:r w:rsidR="00F373A3" w:rsidRPr="00181FCD">
        <w:t xml:space="preserve"> </w:t>
      </w:r>
      <w:r w:rsidRPr="00181FCD">
        <w:t>individual</w:t>
      </w:r>
      <w:r w:rsidR="00F373A3" w:rsidRPr="00181FCD">
        <w:t xml:space="preserve"> </w:t>
      </w:r>
      <w:r w:rsidRPr="00181FCD">
        <w:t>del</w:t>
      </w:r>
      <w:r w:rsidR="00F373A3" w:rsidRPr="00181FCD">
        <w:t xml:space="preserve"> </w:t>
      </w:r>
      <w:r w:rsidRPr="00181FCD">
        <w:t>fiscal</w:t>
      </w:r>
      <w:r w:rsidR="00F373A3" w:rsidRPr="00181FCD">
        <w:t xml:space="preserve"> </w:t>
      </w:r>
      <w:r w:rsidRPr="00181FCD">
        <w:t>durante</w:t>
      </w:r>
      <w:r w:rsidR="00F373A3" w:rsidRPr="00181FCD">
        <w:t xml:space="preserve"> </w:t>
      </w:r>
      <w:r w:rsidRPr="00181FCD">
        <w:t>el</w:t>
      </w:r>
      <w:r w:rsidR="00F373A3" w:rsidRPr="00181FCD">
        <w:t xml:space="preserve"> </w:t>
      </w:r>
      <w:r w:rsidRPr="00181FCD">
        <w:t>ejercicio</w:t>
      </w:r>
      <w:r w:rsidR="00F373A3" w:rsidRPr="00181FCD">
        <w:t xml:space="preserve"> </w:t>
      </w:r>
      <w:r w:rsidRPr="00181FCD">
        <w:t>de</w:t>
      </w:r>
      <w:r w:rsidR="00F373A3" w:rsidRPr="00181FCD">
        <w:t xml:space="preserve"> </w:t>
      </w:r>
      <w:r w:rsidRPr="00181FCD">
        <w:t>sus</w:t>
      </w:r>
      <w:r w:rsidR="00F373A3" w:rsidRPr="00181FCD">
        <w:t xml:space="preserve"> </w:t>
      </w:r>
      <w:r w:rsidR="004B7AF2" w:rsidRPr="00181FCD">
        <w:t>atribuciones;</w:t>
      </w:r>
    </w:p>
    <w:p w:rsidR="001937F4" w:rsidRPr="00181FCD" w:rsidRDefault="001937F4" w:rsidP="00347B20">
      <w:pPr>
        <w:pStyle w:val="Bullet1G"/>
        <w:suppressAutoHyphens/>
      </w:pPr>
      <w:r w:rsidRPr="00181FCD">
        <w:t>Se</w:t>
      </w:r>
      <w:r w:rsidR="00F373A3" w:rsidRPr="00181FCD">
        <w:t xml:space="preserve"> </w:t>
      </w:r>
      <w:r w:rsidRPr="00181FCD">
        <w:t>establece</w:t>
      </w:r>
      <w:r w:rsidR="00F373A3" w:rsidRPr="00181FCD">
        <w:t xml:space="preserve"> </w:t>
      </w:r>
      <w:r w:rsidRPr="00181FCD">
        <w:t>la</w:t>
      </w:r>
      <w:r w:rsidR="00F373A3" w:rsidRPr="00181FCD">
        <w:t xml:space="preserve"> </w:t>
      </w:r>
      <w:r w:rsidRPr="00181FCD">
        <w:t>Inspección</w:t>
      </w:r>
      <w:r w:rsidR="00F373A3" w:rsidRPr="00181FCD">
        <w:t xml:space="preserve"> </w:t>
      </w:r>
      <w:r w:rsidRPr="00181FCD">
        <w:t>del</w:t>
      </w:r>
      <w:r w:rsidR="00F373A3" w:rsidRPr="00181FCD">
        <w:t xml:space="preserve"> </w:t>
      </w:r>
      <w:r w:rsidRPr="00181FCD">
        <w:t>Consejo</w:t>
      </w:r>
      <w:r w:rsidR="00F373A3" w:rsidRPr="00181FCD">
        <w:t xml:space="preserve"> </w:t>
      </w:r>
      <w:r w:rsidRPr="00181FCD">
        <w:t>Supremo</w:t>
      </w:r>
      <w:r w:rsidR="00F373A3" w:rsidRPr="00181FCD">
        <w:t xml:space="preserve"> </w:t>
      </w:r>
      <w:r w:rsidRPr="00181FCD">
        <w:t>de</w:t>
      </w:r>
      <w:r w:rsidR="00F373A3" w:rsidRPr="00181FCD">
        <w:t xml:space="preserve"> </w:t>
      </w:r>
      <w:r w:rsidRPr="00181FCD">
        <w:t>la</w:t>
      </w:r>
      <w:r w:rsidR="00F373A3" w:rsidRPr="00181FCD">
        <w:t xml:space="preserve"> </w:t>
      </w:r>
      <w:r w:rsidRPr="00181FCD">
        <w:t>Judicatura,</w:t>
      </w:r>
      <w:r w:rsidR="00F373A3" w:rsidRPr="00181FCD">
        <w:t xml:space="preserve"> </w:t>
      </w:r>
      <w:r w:rsidRPr="00181FCD">
        <w:t>que</w:t>
      </w:r>
      <w:r w:rsidR="00F373A3" w:rsidRPr="00181FCD">
        <w:t xml:space="preserve"> </w:t>
      </w:r>
      <w:r w:rsidRPr="00181FCD">
        <w:t>contribuye</w:t>
      </w:r>
      <w:r w:rsidR="00F373A3" w:rsidRPr="00181FCD">
        <w:t xml:space="preserve"> </w:t>
      </w:r>
      <w:r w:rsidRPr="00181FCD">
        <w:t>a</w:t>
      </w:r>
      <w:r w:rsidR="00F373A3" w:rsidRPr="00181FCD">
        <w:t xml:space="preserve"> </w:t>
      </w:r>
      <w:r w:rsidRPr="00181FCD">
        <w:t>la</w:t>
      </w:r>
      <w:r w:rsidR="00F373A3" w:rsidRPr="00181FCD">
        <w:t xml:space="preserve"> </w:t>
      </w:r>
      <w:r w:rsidRPr="00181FCD">
        <w:t>eficiencia</w:t>
      </w:r>
      <w:r w:rsidR="00F373A3" w:rsidRPr="00181FCD">
        <w:t xml:space="preserve"> </w:t>
      </w:r>
      <w:r w:rsidRPr="00181FCD">
        <w:t>de</w:t>
      </w:r>
      <w:r w:rsidR="00F373A3" w:rsidRPr="00181FCD">
        <w:t xml:space="preserve"> </w:t>
      </w:r>
      <w:r w:rsidRPr="00181FCD">
        <w:t>la</w:t>
      </w:r>
      <w:r w:rsidR="00F373A3" w:rsidRPr="00181FCD">
        <w:t xml:space="preserve"> </w:t>
      </w:r>
      <w:r w:rsidRPr="00181FCD">
        <w:t>justicia</w:t>
      </w:r>
      <w:r w:rsidR="00F373A3" w:rsidRPr="00181FCD">
        <w:t xml:space="preserve"> </w:t>
      </w:r>
      <w:r w:rsidRPr="00181FCD">
        <w:t>y</w:t>
      </w:r>
      <w:r w:rsidR="00F373A3" w:rsidRPr="00181FCD">
        <w:t xml:space="preserve"> </w:t>
      </w:r>
      <w:r w:rsidRPr="00181FCD">
        <w:t>la</w:t>
      </w:r>
      <w:r w:rsidR="00F373A3" w:rsidRPr="00181FCD">
        <w:t xml:space="preserve"> </w:t>
      </w:r>
      <w:r w:rsidRPr="00181FCD">
        <w:t>integridad</w:t>
      </w:r>
      <w:r w:rsidR="00F373A3" w:rsidRPr="00181FCD">
        <w:t xml:space="preserve"> </w:t>
      </w:r>
      <w:r w:rsidRPr="00181FCD">
        <w:t>de</w:t>
      </w:r>
      <w:r w:rsidR="00F373A3" w:rsidRPr="00181FCD">
        <w:t xml:space="preserve"> </w:t>
      </w:r>
      <w:r w:rsidRPr="00181FCD">
        <w:t>las</w:t>
      </w:r>
      <w:r w:rsidR="00F373A3" w:rsidRPr="00181FCD">
        <w:t xml:space="preserve"> </w:t>
      </w:r>
      <w:r w:rsidRPr="00181FCD">
        <w:t>autoridades</w:t>
      </w:r>
      <w:r w:rsidR="00F373A3" w:rsidRPr="00181FCD">
        <w:t xml:space="preserve"> </w:t>
      </w:r>
      <w:r w:rsidRPr="00181FCD">
        <w:t>del</w:t>
      </w:r>
      <w:r w:rsidR="00F373A3" w:rsidRPr="00181FCD">
        <w:t xml:space="preserve"> </w:t>
      </w:r>
      <w:r w:rsidRPr="00181FCD">
        <w:t>poder</w:t>
      </w:r>
      <w:r w:rsidR="00F373A3" w:rsidRPr="00181FCD">
        <w:t xml:space="preserve"> </w:t>
      </w:r>
      <w:r w:rsidR="004B7AF2" w:rsidRPr="00181FCD">
        <w:t>judicial;</w:t>
      </w:r>
    </w:p>
    <w:p w:rsidR="001937F4" w:rsidRPr="00181FCD" w:rsidRDefault="001937F4" w:rsidP="00347B20">
      <w:pPr>
        <w:pStyle w:val="Bullet1G"/>
        <w:suppressAutoHyphens/>
      </w:pPr>
      <w:r w:rsidRPr="00181FCD">
        <w:t>La</w:t>
      </w:r>
      <w:r w:rsidR="00F373A3" w:rsidRPr="00181FCD">
        <w:t xml:space="preserve"> </w:t>
      </w:r>
      <w:r w:rsidRPr="00181FCD">
        <w:t>selección</w:t>
      </w:r>
      <w:r w:rsidR="00F373A3" w:rsidRPr="00181FCD">
        <w:t xml:space="preserve"> </w:t>
      </w:r>
      <w:r w:rsidRPr="00181FCD">
        <w:t>de</w:t>
      </w:r>
      <w:r w:rsidR="00F373A3" w:rsidRPr="00181FCD">
        <w:t xml:space="preserve"> </w:t>
      </w:r>
      <w:r w:rsidRPr="00181FCD">
        <w:t>los</w:t>
      </w:r>
      <w:r w:rsidR="00F373A3" w:rsidRPr="00181FCD">
        <w:t xml:space="preserve"> </w:t>
      </w:r>
      <w:r w:rsidRPr="00181FCD">
        <w:t>miembros</w:t>
      </w:r>
      <w:r w:rsidR="00F373A3" w:rsidRPr="00181FCD">
        <w:t xml:space="preserve"> </w:t>
      </w:r>
      <w:r w:rsidRPr="00181FCD">
        <w:t>de</w:t>
      </w:r>
      <w:r w:rsidR="00F373A3" w:rsidRPr="00181FCD">
        <w:t xml:space="preserve"> </w:t>
      </w:r>
      <w:r w:rsidRPr="00181FCD">
        <w:t>un</w:t>
      </w:r>
      <w:r w:rsidR="00F373A3" w:rsidRPr="00181FCD">
        <w:t xml:space="preserve"> </w:t>
      </w:r>
      <w:r w:rsidRPr="00181FCD">
        <w:t>jurado</w:t>
      </w:r>
      <w:r w:rsidR="00F373A3" w:rsidRPr="00181FCD">
        <w:t xml:space="preserve"> </w:t>
      </w:r>
      <w:r w:rsidRPr="00181FCD">
        <w:t>está</w:t>
      </w:r>
      <w:r w:rsidR="00F373A3" w:rsidRPr="00181FCD">
        <w:t xml:space="preserve"> </w:t>
      </w:r>
      <w:r w:rsidRPr="00181FCD">
        <w:t>sujeta</w:t>
      </w:r>
      <w:r w:rsidR="00F373A3" w:rsidRPr="00181FCD">
        <w:t xml:space="preserve"> </w:t>
      </w:r>
      <w:r w:rsidRPr="00181FCD">
        <w:t>a</w:t>
      </w:r>
      <w:r w:rsidR="00F373A3" w:rsidRPr="00181FCD">
        <w:t xml:space="preserve"> </w:t>
      </w:r>
      <w:r w:rsidRPr="00181FCD">
        <w:t>publicidad</w:t>
      </w:r>
      <w:r w:rsidR="00F373A3" w:rsidRPr="00181FCD">
        <w:t xml:space="preserve"> </w:t>
      </w:r>
      <w:r w:rsidRPr="00181FCD">
        <w:t>y</w:t>
      </w:r>
      <w:r w:rsidR="00F373A3" w:rsidRPr="00181FCD">
        <w:t xml:space="preserve"> </w:t>
      </w:r>
      <w:r w:rsidRPr="00181FCD">
        <w:t>a</w:t>
      </w:r>
      <w:r w:rsidR="00F373A3" w:rsidRPr="00181FCD">
        <w:t xml:space="preserve"> </w:t>
      </w:r>
      <w:r w:rsidRPr="00181FCD">
        <w:t>la</w:t>
      </w:r>
      <w:r w:rsidR="00F373A3" w:rsidRPr="00181FCD">
        <w:t xml:space="preserve"> </w:t>
      </w:r>
      <w:r w:rsidRPr="00181FCD">
        <w:t>participación</w:t>
      </w:r>
      <w:r w:rsidR="00F373A3" w:rsidRPr="00181FCD">
        <w:t xml:space="preserve"> </w:t>
      </w:r>
      <w:r w:rsidR="004B7AF2" w:rsidRPr="00181FCD">
        <w:t>civil;</w:t>
      </w:r>
    </w:p>
    <w:p w:rsidR="001937F4" w:rsidRPr="00181FCD" w:rsidRDefault="001937F4" w:rsidP="00347B20">
      <w:pPr>
        <w:pStyle w:val="Bullet1G"/>
        <w:suppressAutoHyphens/>
      </w:pPr>
      <w:r w:rsidRPr="00181FCD">
        <w:t>Se</w:t>
      </w:r>
      <w:r w:rsidR="00F373A3" w:rsidRPr="00181FCD">
        <w:t xml:space="preserve"> </w:t>
      </w:r>
      <w:r w:rsidRPr="00181FCD">
        <w:t>mejoran</w:t>
      </w:r>
      <w:r w:rsidR="00F373A3" w:rsidRPr="00181FCD">
        <w:t xml:space="preserve"> </w:t>
      </w:r>
      <w:r w:rsidRPr="00181FCD">
        <w:t>las</w:t>
      </w:r>
      <w:r w:rsidR="00F373A3" w:rsidRPr="00181FCD">
        <w:t xml:space="preserve"> </w:t>
      </w:r>
      <w:r w:rsidRPr="00181FCD">
        <w:t>prácticas</w:t>
      </w:r>
      <w:r w:rsidR="00F373A3" w:rsidRPr="00181FCD">
        <w:t xml:space="preserve"> </w:t>
      </w:r>
      <w:r w:rsidRPr="00181FCD">
        <w:t>de</w:t>
      </w:r>
      <w:r w:rsidR="00F373A3" w:rsidRPr="00181FCD">
        <w:t xml:space="preserve"> </w:t>
      </w:r>
      <w:r w:rsidRPr="00181FCD">
        <w:t>adquisición</w:t>
      </w:r>
      <w:r w:rsidR="00F373A3" w:rsidRPr="00181FCD">
        <w:t xml:space="preserve"> </w:t>
      </w:r>
      <w:r w:rsidRPr="00181FCD">
        <w:t>de</w:t>
      </w:r>
      <w:r w:rsidR="00F373A3" w:rsidRPr="00181FCD">
        <w:t xml:space="preserve"> </w:t>
      </w:r>
      <w:r w:rsidRPr="00181FCD">
        <w:t>una</w:t>
      </w:r>
      <w:r w:rsidR="00F373A3" w:rsidRPr="00181FCD">
        <w:t xml:space="preserve"> </w:t>
      </w:r>
      <w:r w:rsidRPr="00181FCD">
        <w:t>especialización</w:t>
      </w:r>
      <w:r w:rsidR="00F373A3" w:rsidRPr="00181FCD">
        <w:t xml:space="preserve"> </w:t>
      </w:r>
      <w:r w:rsidR="004B7AF2" w:rsidRPr="00181FCD">
        <w:t>jurídica;</w:t>
      </w:r>
    </w:p>
    <w:p w:rsidR="001937F4" w:rsidRPr="00181FCD" w:rsidRDefault="001937F4" w:rsidP="00347B20">
      <w:pPr>
        <w:pStyle w:val="Bullet1G"/>
        <w:suppressAutoHyphens/>
      </w:pPr>
      <w:r w:rsidRPr="00181FCD">
        <w:t>Se</w:t>
      </w:r>
      <w:r w:rsidR="00F373A3" w:rsidRPr="00181FCD">
        <w:t xml:space="preserve"> </w:t>
      </w:r>
      <w:r w:rsidRPr="00181FCD">
        <w:t>introduce</w:t>
      </w:r>
      <w:r w:rsidR="00F373A3" w:rsidRPr="00181FCD">
        <w:t xml:space="preserve"> </w:t>
      </w:r>
      <w:r w:rsidRPr="00181FCD">
        <w:t>la</w:t>
      </w:r>
      <w:r w:rsidR="00F373A3" w:rsidRPr="00181FCD">
        <w:t xml:space="preserve"> </w:t>
      </w:r>
      <w:r w:rsidRPr="00181FCD">
        <w:t>justicia</w:t>
      </w:r>
      <w:r w:rsidR="00F373A3" w:rsidRPr="00181FCD">
        <w:t xml:space="preserve"> </w:t>
      </w:r>
      <w:r w:rsidRPr="00181FCD">
        <w:t>electrónica</w:t>
      </w:r>
      <w:r w:rsidR="00F373A3" w:rsidRPr="00181FCD">
        <w:t xml:space="preserve"> </w:t>
      </w:r>
      <w:r w:rsidRPr="00181FCD">
        <w:t>en</w:t>
      </w:r>
      <w:r w:rsidR="00F373A3" w:rsidRPr="00181FCD">
        <w:t xml:space="preserve"> </w:t>
      </w:r>
      <w:r w:rsidRPr="00181FCD">
        <w:t>las</w:t>
      </w:r>
      <w:r w:rsidR="00F373A3" w:rsidRPr="00181FCD">
        <w:t xml:space="preserve"> </w:t>
      </w:r>
      <w:r w:rsidRPr="00181FCD">
        <w:t>autoridades</w:t>
      </w:r>
      <w:r w:rsidR="00F373A3" w:rsidRPr="00181FCD">
        <w:t xml:space="preserve"> </w:t>
      </w:r>
      <w:r w:rsidRPr="00181FCD">
        <w:t>del</w:t>
      </w:r>
      <w:r w:rsidR="00F373A3" w:rsidRPr="00181FCD">
        <w:t xml:space="preserve"> </w:t>
      </w:r>
      <w:r w:rsidRPr="00181FCD">
        <w:t>poder</w:t>
      </w:r>
      <w:r w:rsidR="00F373A3" w:rsidRPr="00181FCD">
        <w:t xml:space="preserve"> </w:t>
      </w:r>
      <w:r w:rsidRPr="00181FCD">
        <w:t>judicial.</w:t>
      </w:r>
    </w:p>
    <w:p w:rsidR="001937F4" w:rsidRPr="00181FCD" w:rsidRDefault="00F373A3" w:rsidP="00347B20">
      <w:pPr>
        <w:pStyle w:val="H4G"/>
      </w:pPr>
      <w:r w:rsidRPr="00181FCD">
        <w:tab/>
      </w:r>
      <w:r w:rsidRPr="00181FCD">
        <w:tab/>
      </w:r>
      <w:r w:rsidR="001937F4" w:rsidRPr="00181FCD">
        <w:t>Designación</w:t>
      </w:r>
      <w:r w:rsidRPr="00181FCD">
        <w:t xml:space="preserve"> </w:t>
      </w:r>
      <w:r w:rsidR="001937F4" w:rsidRPr="00181FCD">
        <w:t>de</w:t>
      </w:r>
      <w:r w:rsidRPr="00181FCD">
        <w:t xml:space="preserve"> </w:t>
      </w:r>
      <w:r w:rsidR="001937F4" w:rsidRPr="00181FCD">
        <w:t>personal</w:t>
      </w:r>
      <w:r w:rsidRPr="00181FCD">
        <w:t xml:space="preserve"> </w:t>
      </w:r>
      <w:r w:rsidR="001937F4" w:rsidRPr="00181FCD">
        <w:t>de</w:t>
      </w:r>
      <w:r w:rsidRPr="00181FCD">
        <w:t xml:space="preserve"> </w:t>
      </w:r>
      <w:r w:rsidR="001937F4" w:rsidRPr="00181FCD">
        <w:t>alto</w:t>
      </w:r>
      <w:r w:rsidRPr="00181FCD">
        <w:t xml:space="preserve"> </w:t>
      </w:r>
      <w:r w:rsidR="001937F4" w:rsidRPr="00181FCD">
        <w:t>nivel</w:t>
      </w:r>
    </w:p>
    <w:p w:rsidR="001937F4" w:rsidRPr="00181FCD" w:rsidRDefault="001937F4" w:rsidP="00347B20">
      <w:pPr>
        <w:pStyle w:val="SingleTxtG"/>
        <w:suppressAutoHyphens/>
      </w:pPr>
      <w:r w:rsidRPr="00181FCD">
        <w:t>35.</w:t>
      </w:r>
      <w:r w:rsidRPr="00181FCD">
        <w:tab/>
        <w:t>En</w:t>
      </w:r>
      <w:r w:rsidR="00F373A3" w:rsidRPr="00181FCD">
        <w:t xml:space="preserve"> </w:t>
      </w:r>
      <w:r w:rsidRPr="00181FCD">
        <w:t>enero</w:t>
      </w:r>
      <w:r w:rsidR="00F373A3" w:rsidRPr="00181FCD">
        <w:t xml:space="preserve"> </w:t>
      </w:r>
      <w:r w:rsidRPr="00181FCD">
        <w:t>de</w:t>
      </w:r>
      <w:r w:rsidR="00F373A3" w:rsidRPr="00181FCD">
        <w:t xml:space="preserve"> </w:t>
      </w:r>
      <w:r w:rsidRPr="00181FCD">
        <w:t>2015,</w:t>
      </w:r>
      <w:r w:rsidR="00F373A3" w:rsidRPr="00181FCD">
        <w:t xml:space="preserve"> </w:t>
      </w:r>
      <w:r w:rsidRPr="00181FCD">
        <w:t>el</w:t>
      </w:r>
      <w:r w:rsidR="00F373A3" w:rsidRPr="00181FCD">
        <w:t xml:space="preserve"> </w:t>
      </w:r>
      <w:r w:rsidRPr="00181FCD">
        <w:t>Consejo</w:t>
      </w:r>
      <w:r w:rsidR="00F373A3" w:rsidRPr="00181FCD">
        <w:t xml:space="preserve"> </w:t>
      </w:r>
      <w:r w:rsidRPr="00181FCD">
        <w:t>Supremo</w:t>
      </w:r>
      <w:r w:rsidR="00F373A3" w:rsidRPr="00181FCD">
        <w:t xml:space="preserve"> </w:t>
      </w:r>
      <w:r w:rsidRPr="00181FCD">
        <w:t>de</w:t>
      </w:r>
      <w:r w:rsidR="00F373A3" w:rsidRPr="00181FCD">
        <w:t xml:space="preserve"> </w:t>
      </w:r>
      <w:r w:rsidRPr="00181FCD">
        <w:t>la</w:t>
      </w:r>
      <w:r w:rsidR="00F373A3" w:rsidRPr="00181FCD">
        <w:t xml:space="preserve"> </w:t>
      </w:r>
      <w:r w:rsidRPr="00181FCD">
        <w:t>Judicatura</w:t>
      </w:r>
      <w:r w:rsidR="00F373A3" w:rsidRPr="00181FCD">
        <w:t xml:space="preserve"> </w:t>
      </w:r>
      <w:r w:rsidRPr="00181FCD">
        <w:t>eligió</w:t>
      </w:r>
      <w:r w:rsidR="00F373A3" w:rsidRPr="00181FCD">
        <w:t xml:space="preserve"> </w:t>
      </w:r>
      <w:r w:rsidRPr="00181FCD">
        <w:t>al</w:t>
      </w:r>
      <w:r w:rsidR="00F373A3" w:rsidRPr="00181FCD">
        <w:t xml:space="preserve"> </w:t>
      </w:r>
      <w:r w:rsidRPr="00181FCD">
        <w:t>Sr.</w:t>
      </w:r>
      <w:r w:rsidR="00F373A3" w:rsidRPr="00181FCD">
        <w:t xml:space="preserve"> </w:t>
      </w:r>
      <w:r w:rsidRPr="00181FCD">
        <w:t>Lozan</w:t>
      </w:r>
      <w:r w:rsidR="00F373A3" w:rsidRPr="00181FCD">
        <w:t xml:space="preserve"> </w:t>
      </w:r>
      <w:r w:rsidRPr="00181FCD">
        <w:t>Panov</w:t>
      </w:r>
      <w:r w:rsidR="00F373A3" w:rsidRPr="00181FCD">
        <w:t xml:space="preserve"> </w:t>
      </w:r>
      <w:r w:rsidRPr="00181FCD">
        <w:t>como</w:t>
      </w:r>
      <w:r w:rsidR="00F373A3" w:rsidRPr="00181FCD">
        <w:t xml:space="preserve"> </w:t>
      </w:r>
      <w:r w:rsidRPr="00181FCD">
        <w:t>Presidente</w:t>
      </w:r>
      <w:r w:rsidR="00F373A3" w:rsidRPr="00181FCD">
        <w:t xml:space="preserve"> </w:t>
      </w:r>
      <w:r w:rsidRPr="00181FCD">
        <w:t>del</w:t>
      </w:r>
      <w:r w:rsidR="00F373A3" w:rsidRPr="00181FCD">
        <w:t xml:space="preserve"> </w:t>
      </w:r>
      <w:r w:rsidRPr="00181FCD">
        <w:t>Tribunal</w:t>
      </w:r>
      <w:r w:rsidR="00F373A3" w:rsidRPr="00181FCD">
        <w:t xml:space="preserve"> </w:t>
      </w:r>
      <w:r w:rsidRPr="00181FCD">
        <w:t>Supremo</w:t>
      </w:r>
      <w:r w:rsidR="00F373A3" w:rsidRPr="00181FCD">
        <w:t xml:space="preserve"> </w:t>
      </w:r>
      <w:r w:rsidRPr="00181FCD">
        <w:t>de</w:t>
      </w:r>
      <w:r w:rsidR="00F373A3" w:rsidRPr="00181FCD">
        <w:t xml:space="preserve"> </w:t>
      </w:r>
      <w:r w:rsidRPr="00181FCD">
        <w:t>Casación.</w:t>
      </w:r>
      <w:r w:rsidR="00F373A3" w:rsidRPr="00181FCD">
        <w:t xml:space="preserve"> </w:t>
      </w:r>
      <w:r w:rsidRPr="00181FCD">
        <w:t>Fue</w:t>
      </w:r>
      <w:r w:rsidR="00F373A3" w:rsidRPr="00181FCD">
        <w:t xml:space="preserve"> </w:t>
      </w:r>
      <w:r w:rsidRPr="00181FCD">
        <w:t>la</w:t>
      </w:r>
      <w:r w:rsidR="00F373A3" w:rsidRPr="00181FCD">
        <w:t xml:space="preserve"> </w:t>
      </w:r>
      <w:r w:rsidRPr="00181FCD">
        <w:t>primera</w:t>
      </w:r>
      <w:r w:rsidR="00F373A3" w:rsidRPr="00181FCD">
        <w:t xml:space="preserve"> </w:t>
      </w:r>
      <w:r w:rsidRPr="00181FCD">
        <w:t>vez</w:t>
      </w:r>
      <w:r w:rsidR="00F373A3" w:rsidRPr="00181FCD">
        <w:t xml:space="preserve"> </w:t>
      </w:r>
      <w:r w:rsidRPr="00181FCD">
        <w:t>que</w:t>
      </w:r>
      <w:r w:rsidR="00F373A3" w:rsidRPr="00181FCD">
        <w:t xml:space="preserve"> </w:t>
      </w:r>
      <w:r w:rsidRPr="00181FCD">
        <w:t>el</w:t>
      </w:r>
      <w:r w:rsidR="00F373A3" w:rsidRPr="00181FCD">
        <w:t xml:space="preserve"> </w:t>
      </w:r>
      <w:r w:rsidRPr="00181FCD">
        <w:t>titular</w:t>
      </w:r>
      <w:r w:rsidR="00F373A3" w:rsidRPr="00181FCD">
        <w:t xml:space="preserve"> </w:t>
      </w:r>
      <w:r w:rsidRPr="00181FCD">
        <w:t>de</w:t>
      </w:r>
      <w:r w:rsidR="00F373A3" w:rsidRPr="00181FCD">
        <w:t xml:space="preserve"> </w:t>
      </w:r>
      <w:r w:rsidRPr="00181FCD">
        <w:t>ese</w:t>
      </w:r>
      <w:r w:rsidR="00F373A3" w:rsidRPr="00181FCD">
        <w:t xml:space="preserve"> </w:t>
      </w:r>
      <w:r w:rsidRPr="00181FCD">
        <w:t>cargo</w:t>
      </w:r>
      <w:r w:rsidR="00F373A3" w:rsidRPr="00181FCD">
        <w:t xml:space="preserve"> </w:t>
      </w:r>
      <w:r w:rsidRPr="00181FCD">
        <w:t>era</w:t>
      </w:r>
      <w:r w:rsidR="00F373A3" w:rsidRPr="00181FCD">
        <w:t xml:space="preserve"> </w:t>
      </w:r>
      <w:r w:rsidRPr="00181FCD">
        <w:t>elegido</w:t>
      </w:r>
      <w:r w:rsidR="00F373A3" w:rsidRPr="00181FCD">
        <w:t xml:space="preserve"> </w:t>
      </w:r>
      <w:r w:rsidRPr="00181FCD">
        <w:t>directamente</w:t>
      </w:r>
      <w:r w:rsidR="00F373A3" w:rsidRPr="00181FCD">
        <w:t xml:space="preserve"> </w:t>
      </w:r>
      <w:r w:rsidRPr="00181FCD">
        <w:t>por</w:t>
      </w:r>
      <w:r w:rsidR="00F373A3" w:rsidRPr="00181FCD">
        <w:t xml:space="preserve"> </w:t>
      </w:r>
      <w:r w:rsidRPr="00181FCD">
        <w:t>la</w:t>
      </w:r>
      <w:r w:rsidR="00F373A3" w:rsidRPr="00181FCD">
        <w:t xml:space="preserve"> </w:t>
      </w:r>
      <w:r w:rsidRPr="00181FCD">
        <w:t>Asamblea</w:t>
      </w:r>
      <w:r w:rsidR="00F373A3" w:rsidRPr="00181FCD">
        <w:t xml:space="preserve"> </w:t>
      </w:r>
      <w:r w:rsidRPr="00181FCD">
        <w:t>General</w:t>
      </w:r>
      <w:r w:rsidR="00F373A3" w:rsidRPr="00181FCD">
        <w:t xml:space="preserve"> </w:t>
      </w:r>
      <w:r w:rsidRPr="00181FCD">
        <w:t>de</w:t>
      </w:r>
      <w:r w:rsidR="00F373A3" w:rsidRPr="00181FCD">
        <w:t xml:space="preserve"> </w:t>
      </w:r>
      <w:r w:rsidRPr="00181FCD">
        <w:t>las</w:t>
      </w:r>
      <w:r w:rsidR="00F373A3" w:rsidRPr="00181FCD">
        <w:t xml:space="preserve"> </w:t>
      </w:r>
      <w:r w:rsidRPr="00181FCD">
        <w:t>reuniones</w:t>
      </w:r>
      <w:r w:rsidR="00F373A3" w:rsidRPr="00181FCD">
        <w:t xml:space="preserve"> </w:t>
      </w:r>
      <w:r w:rsidRPr="00181FCD">
        <w:t>de</w:t>
      </w:r>
      <w:r w:rsidR="00F373A3" w:rsidRPr="00181FCD">
        <w:t xml:space="preserve"> </w:t>
      </w:r>
      <w:r w:rsidRPr="00181FCD">
        <w:t>jueces,</w:t>
      </w:r>
      <w:r w:rsidR="00F373A3" w:rsidRPr="00181FCD">
        <w:t xml:space="preserve"> </w:t>
      </w:r>
      <w:r w:rsidRPr="00181FCD">
        <w:t>y</w:t>
      </w:r>
      <w:r w:rsidR="00F373A3" w:rsidRPr="00181FCD">
        <w:t xml:space="preserve"> </w:t>
      </w:r>
      <w:r w:rsidRPr="00181FCD">
        <w:t>no</w:t>
      </w:r>
      <w:r w:rsidR="00F373A3" w:rsidRPr="00181FCD">
        <w:t xml:space="preserve"> </w:t>
      </w:r>
      <w:r w:rsidRPr="00181FCD">
        <w:t>era</w:t>
      </w:r>
      <w:r w:rsidR="00F373A3" w:rsidRPr="00181FCD">
        <w:t xml:space="preserve"> </w:t>
      </w:r>
      <w:r w:rsidRPr="00181FCD">
        <w:t>designado</w:t>
      </w:r>
      <w:r w:rsidR="00F373A3" w:rsidRPr="00181FCD">
        <w:t xml:space="preserve"> </w:t>
      </w:r>
      <w:r w:rsidRPr="00181FCD">
        <w:t>por</w:t>
      </w:r>
      <w:r w:rsidR="00F373A3" w:rsidRPr="00181FCD">
        <w:t xml:space="preserve"> </w:t>
      </w:r>
      <w:r w:rsidRPr="00181FCD">
        <w:t>el</w:t>
      </w:r>
      <w:r w:rsidR="00F373A3" w:rsidRPr="00181FCD">
        <w:t xml:space="preserve"> </w:t>
      </w:r>
      <w:r w:rsidRPr="00181FCD">
        <w:t>Presidente</w:t>
      </w:r>
      <w:r w:rsidR="00F373A3" w:rsidRPr="00181FCD">
        <w:t xml:space="preserve"> </w:t>
      </w:r>
      <w:r w:rsidRPr="00181FCD">
        <w:t>recién</w:t>
      </w:r>
      <w:r w:rsidR="00F373A3" w:rsidRPr="00181FCD">
        <w:t xml:space="preserve"> </w:t>
      </w:r>
      <w:r w:rsidRPr="00181FCD">
        <w:t>elegido.</w:t>
      </w:r>
    </w:p>
    <w:p w:rsidR="001937F4" w:rsidRPr="00181FCD" w:rsidRDefault="001937F4" w:rsidP="00347B20">
      <w:pPr>
        <w:pStyle w:val="SingleTxtG"/>
        <w:suppressAutoHyphens/>
      </w:pPr>
      <w:r w:rsidRPr="00181FCD">
        <w:t>36.</w:t>
      </w:r>
      <w:r w:rsidRPr="00181FCD">
        <w:tab/>
        <w:t>El</w:t>
      </w:r>
      <w:r w:rsidR="00F373A3" w:rsidRPr="00181FCD">
        <w:t xml:space="preserve"> </w:t>
      </w:r>
      <w:r w:rsidRPr="00181FCD">
        <w:t>2</w:t>
      </w:r>
      <w:r w:rsidR="00F373A3" w:rsidRPr="00181FCD">
        <w:t xml:space="preserve"> </w:t>
      </w:r>
      <w:r w:rsidRPr="00181FCD">
        <w:t>de</w:t>
      </w:r>
      <w:r w:rsidR="00F373A3" w:rsidRPr="00181FCD">
        <w:t xml:space="preserve"> </w:t>
      </w:r>
      <w:r w:rsidRPr="00181FCD">
        <w:t>abril</w:t>
      </w:r>
      <w:r w:rsidR="00F373A3" w:rsidRPr="00181FCD">
        <w:t xml:space="preserve"> </w:t>
      </w:r>
      <w:r w:rsidRPr="00181FCD">
        <w:t>de</w:t>
      </w:r>
      <w:r w:rsidR="00F373A3" w:rsidRPr="00181FCD">
        <w:t xml:space="preserve"> </w:t>
      </w:r>
      <w:r w:rsidRPr="00181FCD">
        <w:t>2015,</w:t>
      </w:r>
      <w:r w:rsidR="00F373A3" w:rsidRPr="00181FCD">
        <w:t xml:space="preserve"> </w:t>
      </w:r>
      <w:r w:rsidRPr="00181FCD">
        <w:t>la</w:t>
      </w:r>
      <w:r w:rsidR="00F373A3" w:rsidRPr="00181FCD">
        <w:t xml:space="preserve"> </w:t>
      </w:r>
      <w:r w:rsidRPr="00181FCD">
        <w:t>Asamblea</w:t>
      </w:r>
      <w:r w:rsidR="00F373A3" w:rsidRPr="00181FCD">
        <w:t xml:space="preserve"> </w:t>
      </w:r>
      <w:r w:rsidRPr="00181FCD">
        <w:t>Nacional</w:t>
      </w:r>
      <w:r w:rsidR="00F373A3" w:rsidRPr="00181FCD">
        <w:t xml:space="preserve"> </w:t>
      </w:r>
      <w:r w:rsidRPr="00181FCD">
        <w:t>eligió</w:t>
      </w:r>
      <w:r w:rsidR="00F373A3" w:rsidRPr="00181FCD">
        <w:t xml:space="preserve"> </w:t>
      </w:r>
      <w:r w:rsidRPr="00181FCD">
        <w:t>a</w:t>
      </w:r>
      <w:r w:rsidR="00F373A3" w:rsidRPr="00181FCD">
        <w:t xml:space="preserve"> </w:t>
      </w:r>
      <w:r w:rsidRPr="00181FCD">
        <w:t>Teodora</w:t>
      </w:r>
      <w:r w:rsidR="00F373A3" w:rsidRPr="00181FCD">
        <w:t xml:space="preserve"> </w:t>
      </w:r>
      <w:r w:rsidRPr="00181FCD">
        <w:t>Tochkova</w:t>
      </w:r>
      <w:r w:rsidR="00F373A3" w:rsidRPr="00181FCD">
        <w:t xml:space="preserve"> </w:t>
      </w:r>
      <w:r w:rsidRPr="00181FCD">
        <w:t>como</w:t>
      </w:r>
      <w:r w:rsidR="00F373A3" w:rsidRPr="00181FCD">
        <w:t xml:space="preserve"> </w:t>
      </w:r>
      <w:r w:rsidRPr="00181FCD">
        <w:t>Inspectora</w:t>
      </w:r>
      <w:r w:rsidR="00F373A3" w:rsidRPr="00181FCD">
        <w:t xml:space="preserve"> </w:t>
      </w:r>
      <w:r w:rsidRPr="00181FCD">
        <w:t>Jefa</w:t>
      </w:r>
      <w:r w:rsidR="00F373A3" w:rsidRPr="00181FCD">
        <w:t xml:space="preserve"> </w:t>
      </w:r>
      <w:r w:rsidRPr="00181FCD">
        <w:t>de</w:t>
      </w:r>
      <w:r w:rsidR="00F373A3" w:rsidRPr="00181FCD">
        <w:t xml:space="preserve"> </w:t>
      </w:r>
      <w:r w:rsidRPr="00181FCD">
        <w:t>la</w:t>
      </w:r>
      <w:r w:rsidR="00F373A3" w:rsidRPr="00181FCD">
        <w:t xml:space="preserve"> </w:t>
      </w:r>
      <w:r w:rsidRPr="00181FCD">
        <w:t>Inspección</w:t>
      </w:r>
      <w:r w:rsidR="00F373A3" w:rsidRPr="00181FCD">
        <w:t xml:space="preserve"> </w:t>
      </w:r>
      <w:r w:rsidRPr="00181FCD">
        <w:t>del</w:t>
      </w:r>
      <w:r w:rsidR="00F373A3" w:rsidRPr="00181FCD">
        <w:t xml:space="preserve"> </w:t>
      </w:r>
      <w:r w:rsidRPr="00181FCD">
        <w:t>Consejo</w:t>
      </w:r>
      <w:r w:rsidR="00F373A3" w:rsidRPr="00181FCD">
        <w:t xml:space="preserve"> </w:t>
      </w:r>
      <w:r w:rsidRPr="00181FCD">
        <w:t>Supremo</w:t>
      </w:r>
      <w:r w:rsidR="00F373A3" w:rsidRPr="00181FCD">
        <w:t xml:space="preserve"> </w:t>
      </w:r>
      <w:r w:rsidRPr="00181FCD">
        <w:t>de</w:t>
      </w:r>
      <w:r w:rsidR="00F373A3" w:rsidRPr="00181FCD">
        <w:t xml:space="preserve"> </w:t>
      </w:r>
      <w:r w:rsidRPr="00181FCD">
        <w:t>la</w:t>
      </w:r>
      <w:r w:rsidR="00F373A3" w:rsidRPr="00181FCD">
        <w:t xml:space="preserve"> </w:t>
      </w:r>
      <w:r w:rsidRPr="00181FCD">
        <w:t>Judicatura.</w:t>
      </w:r>
      <w:r w:rsidR="00672EC2" w:rsidRPr="00181FCD">
        <w:t xml:space="preserve"> </w:t>
      </w:r>
      <w:r w:rsidRPr="00181FCD">
        <w:t>Participaron</w:t>
      </w:r>
      <w:r w:rsidR="00F373A3" w:rsidRPr="00181FCD">
        <w:t xml:space="preserve"> </w:t>
      </w:r>
      <w:r w:rsidRPr="00181FCD">
        <w:t>en</w:t>
      </w:r>
      <w:r w:rsidR="00F373A3" w:rsidRPr="00181FCD">
        <w:t xml:space="preserve"> </w:t>
      </w:r>
      <w:r w:rsidRPr="00181FCD">
        <w:t>la</w:t>
      </w:r>
      <w:r w:rsidR="00F373A3" w:rsidRPr="00181FCD">
        <w:t xml:space="preserve"> </w:t>
      </w:r>
      <w:r w:rsidRPr="00181FCD">
        <w:t>votación</w:t>
      </w:r>
      <w:r w:rsidR="00C13E7E" w:rsidRPr="00181FCD">
        <w:t xml:space="preserve"> </w:t>
      </w:r>
      <w:r w:rsidRPr="00181FCD">
        <w:t>197</w:t>
      </w:r>
      <w:r w:rsidR="00F373A3" w:rsidRPr="00181FCD">
        <w:t xml:space="preserve"> </w:t>
      </w:r>
      <w:r w:rsidRPr="00181FCD">
        <w:t>parlamentarios,</w:t>
      </w:r>
      <w:r w:rsidR="00F373A3" w:rsidRPr="00181FCD">
        <w:t xml:space="preserve"> </w:t>
      </w:r>
      <w:r w:rsidRPr="00181FCD">
        <w:t>de</w:t>
      </w:r>
      <w:r w:rsidR="00F373A3" w:rsidRPr="00181FCD">
        <w:t xml:space="preserve"> </w:t>
      </w:r>
      <w:r w:rsidRPr="00181FCD">
        <w:t>los</w:t>
      </w:r>
      <w:r w:rsidR="00F373A3" w:rsidRPr="00181FCD">
        <w:t xml:space="preserve"> </w:t>
      </w:r>
      <w:r w:rsidRPr="00181FCD">
        <w:t>cuales</w:t>
      </w:r>
      <w:r w:rsidR="00F373A3" w:rsidRPr="00181FCD">
        <w:t xml:space="preserve"> </w:t>
      </w:r>
      <w:r w:rsidRPr="00181FCD">
        <w:t>195</w:t>
      </w:r>
      <w:r w:rsidR="00F373A3" w:rsidRPr="00181FCD">
        <w:t xml:space="preserve"> </w:t>
      </w:r>
      <w:r w:rsidRPr="00181FCD">
        <w:t>votaron</w:t>
      </w:r>
      <w:r w:rsidR="00F373A3" w:rsidRPr="00181FCD">
        <w:t xml:space="preserve"> "</w:t>
      </w:r>
      <w:r w:rsidRPr="00181FCD">
        <w:t>a</w:t>
      </w:r>
      <w:r w:rsidR="00F373A3" w:rsidRPr="00181FCD">
        <w:t xml:space="preserve"> </w:t>
      </w:r>
      <w:r w:rsidRPr="00181FCD">
        <w:t>favor</w:t>
      </w:r>
      <w:r w:rsidR="00F373A3" w:rsidRPr="00181FCD">
        <w:t>"</w:t>
      </w:r>
      <w:r w:rsidRPr="00181FCD">
        <w:t>.</w:t>
      </w:r>
      <w:r w:rsidR="00F373A3" w:rsidRPr="00181FCD">
        <w:t xml:space="preserve"> </w:t>
      </w:r>
      <w:r w:rsidRPr="00181FCD">
        <w:t>Ello</w:t>
      </w:r>
      <w:r w:rsidR="00F373A3" w:rsidRPr="00181FCD">
        <w:t xml:space="preserve"> </w:t>
      </w:r>
      <w:r w:rsidRPr="00181FCD">
        <w:t>demuestra</w:t>
      </w:r>
      <w:r w:rsidR="00F373A3" w:rsidRPr="00181FCD">
        <w:t xml:space="preserve"> </w:t>
      </w:r>
      <w:r w:rsidRPr="00181FCD">
        <w:t>que</w:t>
      </w:r>
      <w:r w:rsidR="00F373A3" w:rsidRPr="00181FCD">
        <w:t xml:space="preserve"> </w:t>
      </w:r>
      <w:r w:rsidRPr="00181FCD">
        <w:t>existe</w:t>
      </w:r>
      <w:r w:rsidR="00F373A3" w:rsidRPr="00181FCD">
        <w:t xml:space="preserve"> </w:t>
      </w:r>
      <w:r w:rsidRPr="00181FCD">
        <w:t>un</w:t>
      </w:r>
      <w:r w:rsidR="00F373A3" w:rsidRPr="00181FCD">
        <w:t xml:space="preserve"> </w:t>
      </w:r>
      <w:r w:rsidRPr="00181FCD">
        <w:t>amplio</w:t>
      </w:r>
      <w:r w:rsidR="00F373A3" w:rsidRPr="00181FCD">
        <w:t xml:space="preserve"> </w:t>
      </w:r>
      <w:r w:rsidRPr="00181FCD">
        <w:t>apoyo</w:t>
      </w:r>
      <w:r w:rsidR="00F373A3" w:rsidRPr="00181FCD">
        <w:t xml:space="preserve"> </w:t>
      </w:r>
      <w:r w:rsidRPr="00181FCD">
        <w:t>y</w:t>
      </w:r>
      <w:r w:rsidR="00F373A3" w:rsidRPr="00181FCD">
        <w:t xml:space="preserve"> </w:t>
      </w:r>
      <w:r w:rsidRPr="00181FCD">
        <w:t>consenso</w:t>
      </w:r>
      <w:r w:rsidR="00F373A3" w:rsidRPr="00181FCD">
        <w:t xml:space="preserve"> </w:t>
      </w:r>
      <w:r w:rsidRPr="00181FCD">
        <w:t>político.</w:t>
      </w:r>
    </w:p>
    <w:p w:rsidR="001937F4" w:rsidRPr="00181FCD" w:rsidRDefault="00F373A3" w:rsidP="00347B20">
      <w:pPr>
        <w:pStyle w:val="H4G"/>
      </w:pPr>
      <w:r w:rsidRPr="00181FCD">
        <w:tab/>
      </w:r>
      <w:r w:rsidRPr="00181FCD">
        <w:tab/>
      </w:r>
      <w:r w:rsidR="001937F4" w:rsidRPr="00181FCD">
        <w:t>Distribución</w:t>
      </w:r>
      <w:r w:rsidRPr="00181FCD">
        <w:t xml:space="preserve"> </w:t>
      </w:r>
      <w:r w:rsidR="001937F4" w:rsidRPr="00181FCD">
        <w:t>aleatoria</w:t>
      </w:r>
      <w:r w:rsidRPr="00181FCD">
        <w:t xml:space="preserve"> </w:t>
      </w:r>
      <w:r w:rsidR="001937F4" w:rsidRPr="00181FCD">
        <w:t>de</w:t>
      </w:r>
      <w:r w:rsidRPr="00181FCD">
        <w:t xml:space="preserve"> </w:t>
      </w:r>
      <w:r w:rsidR="001937F4" w:rsidRPr="00181FCD">
        <w:t>las</w:t>
      </w:r>
      <w:r w:rsidRPr="00181FCD">
        <w:t xml:space="preserve"> </w:t>
      </w:r>
      <w:r w:rsidR="001937F4" w:rsidRPr="00181FCD">
        <w:t>causas</w:t>
      </w:r>
    </w:p>
    <w:p w:rsidR="001937F4" w:rsidRPr="00181FCD" w:rsidRDefault="001937F4" w:rsidP="00347B20">
      <w:pPr>
        <w:pStyle w:val="SingleTxtG"/>
        <w:suppressAutoHyphens/>
      </w:pPr>
      <w:r w:rsidRPr="00181FCD">
        <w:t>37.</w:t>
      </w:r>
      <w:r w:rsidRPr="00181FCD">
        <w:tab/>
        <w:t>A</w:t>
      </w:r>
      <w:r w:rsidR="00F373A3" w:rsidRPr="00181FCD">
        <w:t xml:space="preserve"> </w:t>
      </w:r>
      <w:r w:rsidRPr="00181FCD">
        <w:t>partir</w:t>
      </w:r>
      <w:r w:rsidR="00F373A3" w:rsidRPr="00181FCD">
        <w:t xml:space="preserve"> </w:t>
      </w:r>
      <w:r w:rsidRPr="00181FCD">
        <w:t>del</w:t>
      </w:r>
      <w:r w:rsidR="00F373A3" w:rsidRPr="00181FCD">
        <w:t xml:space="preserve"> </w:t>
      </w:r>
      <w:r w:rsidRPr="00181FCD">
        <w:t>1</w:t>
      </w:r>
      <w:r w:rsidR="00F373A3" w:rsidRPr="00181FCD">
        <w:t xml:space="preserve"> </w:t>
      </w:r>
      <w:r w:rsidRPr="00181FCD">
        <w:t>enero</w:t>
      </w:r>
      <w:r w:rsidR="00F373A3" w:rsidRPr="00181FCD">
        <w:t xml:space="preserve"> </w:t>
      </w:r>
      <w:r w:rsidRPr="00181FCD">
        <w:t>de</w:t>
      </w:r>
      <w:r w:rsidR="00F373A3" w:rsidRPr="00181FCD">
        <w:t xml:space="preserve"> </w:t>
      </w:r>
      <w:r w:rsidRPr="00181FCD">
        <w:t>2014,</w:t>
      </w:r>
      <w:r w:rsidR="00F373A3" w:rsidRPr="00181FCD">
        <w:t xml:space="preserve"> </w:t>
      </w:r>
      <w:r w:rsidRPr="00181FCD">
        <w:t>todos</w:t>
      </w:r>
      <w:r w:rsidR="00F373A3" w:rsidRPr="00181FCD">
        <w:t xml:space="preserve"> </w:t>
      </w:r>
      <w:r w:rsidRPr="00181FCD">
        <w:t>los</w:t>
      </w:r>
      <w:r w:rsidR="00F373A3" w:rsidRPr="00181FCD">
        <w:t xml:space="preserve"> </w:t>
      </w:r>
      <w:r w:rsidRPr="00181FCD">
        <w:t>tribunales</w:t>
      </w:r>
      <w:r w:rsidR="00F373A3" w:rsidRPr="00181FCD">
        <w:t xml:space="preserve"> </w:t>
      </w:r>
      <w:r w:rsidRPr="00181FCD">
        <w:t>deben</w:t>
      </w:r>
      <w:r w:rsidR="00F373A3" w:rsidRPr="00181FCD">
        <w:t xml:space="preserve"> </w:t>
      </w:r>
      <w:r w:rsidRPr="00181FCD">
        <w:t>solicitar</w:t>
      </w:r>
      <w:r w:rsidR="00F373A3" w:rsidRPr="00181FCD">
        <w:t xml:space="preserve"> </w:t>
      </w:r>
      <w:r w:rsidRPr="00181FCD">
        <w:t>la</w:t>
      </w:r>
      <w:r w:rsidR="00F373A3" w:rsidRPr="00181FCD">
        <w:t xml:space="preserve"> </w:t>
      </w:r>
      <w:r w:rsidRPr="00181FCD">
        <w:t>nueva</w:t>
      </w:r>
      <w:r w:rsidR="00F373A3" w:rsidRPr="00181FCD">
        <w:t xml:space="preserve"> </w:t>
      </w:r>
      <w:r w:rsidRPr="00181FCD">
        <w:t>versión</w:t>
      </w:r>
      <w:r w:rsidR="00F373A3" w:rsidRPr="00181FCD">
        <w:t xml:space="preserve"> </w:t>
      </w:r>
      <w:r w:rsidRPr="00181FCD">
        <w:t>del</w:t>
      </w:r>
      <w:r w:rsidR="00F373A3" w:rsidRPr="00181FCD">
        <w:t xml:space="preserve"> </w:t>
      </w:r>
      <w:r w:rsidRPr="00181FCD">
        <w:t>programa</w:t>
      </w:r>
      <w:r w:rsidR="00F373A3" w:rsidRPr="00181FCD">
        <w:t xml:space="preserve"> </w:t>
      </w:r>
      <w:r w:rsidRPr="00181FCD">
        <w:t>informático</w:t>
      </w:r>
      <w:r w:rsidR="00F373A3" w:rsidRPr="00181FCD">
        <w:t xml:space="preserve"> </w:t>
      </w:r>
      <w:r w:rsidRPr="00181FCD">
        <w:t>creado</w:t>
      </w:r>
      <w:r w:rsidR="00F373A3" w:rsidRPr="00181FCD">
        <w:t xml:space="preserve"> </w:t>
      </w:r>
      <w:r w:rsidRPr="00181FCD">
        <w:t>para</w:t>
      </w:r>
      <w:r w:rsidR="00F373A3" w:rsidRPr="00181FCD">
        <w:t xml:space="preserve"> </w:t>
      </w:r>
      <w:r w:rsidRPr="00181FCD">
        <w:t>la</w:t>
      </w:r>
      <w:r w:rsidR="00F373A3" w:rsidRPr="00181FCD">
        <w:t xml:space="preserve"> </w:t>
      </w:r>
      <w:r w:rsidRPr="00181FCD">
        <w:t>distribución</w:t>
      </w:r>
      <w:r w:rsidR="00F373A3" w:rsidRPr="00181FCD">
        <w:t xml:space="preserve"> </w:t>
      </w:r>
      <w:r w:rsidRPr="00181FCD">
        <w:t>aleatoria</w:t>
      </w:r>
      <w:r w:rsidR="00F373A3" w:rsidRPr="00181FCD">
        <w:t xml:space="preserve"> </w:t>
      </w:r>
      <w:r w:rsidRPr="00181FCD">
        <w:t>de</w:t>
      </w:r>
      <w:r w:rsidR="00F373A3" w:rsidRPr="00181FCD">
        <w:t xml:space="preserve"> </w:t>
      </w:r>
      <w:r w:rsidRPr="00181FCD">
        <w:t>las</w:t>
      </w:r>
      <w:r w:rsidR="00F373A3" w:rsidRPr="00181FCD">
        <w:t xml:space="preserve"> </w:t>
      </w:r>
      <w:r w:rsidRPr="00181FCD">
        <w:t>causas.</w:t>
      </w:r>
      <w:r w:rsidR="00F373A3" w:rsidRPr="00181FCD">
        <w:t xml:space="preserve"> </w:t>
      </w:r>
      <w:r w:rsidRPr="00181FCD">
        <w:t>Este</w:t>
      </w:r>
      <w:r w:rsidR="00F373A3" w:rsidRPr="00181FCD">
        <w:t xml:space="preserve"> </w:t>
      </w:r>
      <w:r w:rsidRPr="00181FCD">
        <w:t>programa</w:t>
      </w:r>
      <w:r w:rsidR="00F373A3" w:rsidRPr="00181FCD">
        <w:t xml:space="preserve"> </w:t>
      </w:r>
      <w:r w:rsidRPr="00181FCD">
        <w:t>fue</w:t>
      </w:r>
      <w:r w:rsidR="00F373A3" w:rsidRPr="00181FCD">
        <w:t xml:space="preserve"> </w:t>
      </w:r>
      <w:r w:rsidRPr="00181FCD">
        <w:t>objeto</w:t>
      </w:r>
      <w:r w:rsidR="00F373A3" w:rsidRPr="00181FCD">
        <w:t xml:space="preserve"> </w:t>
      </w:r>
      <w:r w:rsidRPr="00181FCD">
        <w:t>de</w:t>
      </w:r>
      <w:r w:rsidR="00F373A3" w:rsidRPr="00181FCD">
        <w:t xml:space="preserve"> </w:t>
      </w:r>
      <w:r w:rsidRPr="00181FCD">
        <w:t>pruebas</w:t>
      </w:r>
      <w:r w:rsidR="00F373A3" w:rsidRPr="00181FCD">
        <w:t xml:space="preserve"> </w:t>
      </w:r>
      <w:r w:rsidRPr="00181FCD">
        <w:t>por</w:t>
      </w:r>
      <w:r w:rsidR="00F373A3" w:rsidRPr="00181FCD">
        <w:t xml:space="preserve"> </w:t>
      </w:r>
      <w:r w:rsidRPr="00181FCD">
        <w:t>parte</w:t>
      </w:r>
      <w:r w:rsidR="00F373A3" w:rsidRPr="00181FCD">
        <w:t xml:space="preserve"> </w:t>
      </w:r>
      <w:r w:rsidRPr="00181FCD">
        <w:t>de</w:t>
      </w:r>
      <w:r w:rsidR="00F373A3" w:rsidRPr="00181FCD">
        <w:t xml:space="preserve"> </w:t>
      </w:r>
      <w:r w:rsidRPr="00181FCD">
        <w:t>expertos</w:t>
      </w:r>
      <w:r w:rsidR="00F373A3" w:rsidRPr="00181FCD">
        <w:t xml:space="preserve"> </w:t>
      </w:r>
      <w:r w:rsidRPr="00181FCD">
        <w:t>en</w:t>
      </w:r>
      <w:r w:rsidR="00F373A3" w:rsidRPr="00181FCD">
        <w:t xml:space="preserve"> </w:t>
      </w:r>
      <w:r w:rsidRPr="00181FCD">
        <w:t>tecnología</w:t>
      </w:r>
      <w:r w:rsidR="00F373A3" w:rsidRPr="00181FCD">
        <w:t xml:space="preserve"> </w:t>
      </w:r>
      <w:r w:rsidRPr="00181FCD">
        <w:t>de</w:t>
      </w:r>
      <w:r w:rsidR="00F373A3" w:rsidRPr="00181FCD">
        <w:t xml:space="preserve"> </w:t>
      </w:r>
      <w:r w:rsidRPr="00181FCD">
        <w:t>la</w:t>
      </w:r>
      <w:r w:rsidR="00F373A3" w:rsidRPr="00181FCD">
        <w:t xml:space="preserve"> </w:t>
      </w:r>
      <w:r w:rsidRPr="00181FCD">
        <w:t>información,</w:t>
      </w:r>
      <w:r w:rsidR="00F373A3" w:rsidRPr="00181FCD">
        <w:t xml:space="preserve"> </w:t>
      </w:r>
      <w:r w:rsidRPr="00181FCD">
        <w:t>nombrados</w:t>
      </w:r>
      <w:r w:rsidR="00F373A3" w:rsidRPr="00181FCD">
        <w:t xml:space="preserve"> </w:t>
      </w:r>
      <w:r w:rsidRPr="00181FCD">
        <w:t>por</w:t>
      </w:r>
      <w:r w:rsidR="00F373A3" w:rsidRPr="00181FCD">
        <w:t xml:space="preserve"> </w:t>
      </w:r>
      <w:r w:rsidRPr="00181FCD">
        <w:t>el</w:t>
      </w:r>
      <w:r w:rsidR="00F373A3" w:rsidRPr="00181FCD">
        <w:t xml:space="preserve"> </w:t>
      </w:r>
      <w:r w:rsidRPr="00181FCD">
        <w:t>Consejo</w:t>
      </w:r>
      <w:r w:rsidR="00F373A3" w:rsidRPr="00181FCD">
        <w:t xml:space="preserve"> </w:t>
      </w:r>
      <w:r w:rsidRPr="00181FCD">
        <w:t>Civil</w:t>
      </w:r>
      <w:r w:rsidR="00F373A3" w:rsidRPr="00181FCD">
        <w:t xml:space="preserve"> </w:t>
      </w:r>
      <w:r w:rsidRPr="00181FCD">
        <w:t>del</w:t>
      </w:r>
      <w:r w:rsidR="00F373A3" w:rsidRPr="00181FCD">
        <w:t xml:space="preserve"> </w:t>
      </w:r>
      <w:r w:rsidRPr="00181FCD">
        <w:t>Consejo</w:t>
      </w:r>
      <w:r w:rsidR="00F373A3" w:rsidRPr="00181FCD">
        <w:t xml:space="preserve"> </w:t>
      </w:r>
      <w:r w:rsidRPr="00181FCD">
        <w:t>Supremo</w:t>
      </w:r>
      <w:r w:rsidR="00F373A3" w:rsidRPr="00181FCD">
        <w:t xml:space="preserve"> </w:t>
      </w:r>
      <w:r w:rsidRPr="00181FCD">
        <w:t>de</w:t>
      </w:r>
      <w:r w:rsidR="00F373A3" w:rsidRPr="00181FCD">
        <w:t xml:space="preserve"> </w:t>
      </w:r>
      <w:r w:rsidRPr="00181FCD">
        <w:t>la</w:t>
      </w:r>
      <w:r w:rsidR="00F373A3" w:rsidRPr="00181FCD">
        <w:t xml:space="preserve"> </w:t>
      </w:r>
      <w:r w:rsidRPr="00181FCD">
        <w:t>Judicatura.</w:t>
      </w:r>
      <w:r w:rsidR="00F373A3" w:rsidRPr="00181FCD">
        <w:t xml:space="preserve"> </w:t>
      </w:r>
      <w:r w:rsidRPr="00181FCD">
        <w:t>El</w:t>
      </w:r>
      <w:r w:rsidR="00F373A3" w:rsidRPr="00181FCD">
        <w:t xml:space="preserve"> </w:t>
      </w:r>
      <w:r w:rsidRPr="00181FCD">
        <w:t>Consejo</w:t>
      </w:r>
      <w:r w:rsidR="00F373A3" w:rsidRPr="00181FCD">
        <w:t xml:space="preserve"> </w:t>
      </w:r>
      <w:r w:rsidRPr="00181FCD">
        <w:t>ha</w:t>
      </w:r>
      <w:r w:rsidR="00F373A3" w:rsidRPr="00181FCD">
        <w:t xml:space="preserve"> </w:t>
      </w:r>
      <w:r w:rsidRPr="00181FCD">
        <w:t>solicitado</w:t>
      </w:r>
      <w:r w:rsidR="00F373A3" w:rsidRPr="00181FCD">
        <w:t xml:space="preserve"> </w:t>
      </w:r>
      <w:r w:rsidRPr="00181FCD">
        <w:t>el</w:t>
      </w:r>
      <w:r w:rsidR="00F373A3" w:rsidRPr="00181FCD">
        <w:t xml:space="preserve"> </w:t>
      </w:r>
      <w:r w:rsidRPr="00181FCD">
        <w:t>dictamen</w:t>
      </w:r>
      <w:r w:rsidR="00F373A3" w:rsidRPr="00181FCD">
        <w:t xml:space="preserve"> </w:t>
      </w:r>
      <w:r w:rsidRPr="00181FCD">
        <w:t>pericial</w:t>
      </w:r>
      <w:r w:rsidR="00F373A3" w:rsidRPr="00181FCD">
        <w:t xml:space="preserve"> </w:t>
      </w:r>
      <w:r w:rsidRPr="00181FCD">
        <w:t>de</w:t>
      </w:r>
      <w:r w:rsidR="00F373A3" w:rsidRPr="00181FCD">
        <w:t xml:space="preserve"> </w:t>
      </w:r>
      <w:r w:rsidRPr="00181FCD">
        <w:t>la</w:t>
      </w:r>
      <w:r w:rsidR="00F373A3" w:rsidRPr="00181FCD">
        <w:t xml:space="preserve"> </w:t>
      </w:r>
      <w:r w:rsidRPr="00181FCD">
        <w:t>Academia</w:t>
      </w:r>
      <w:r w:rsidR="00F373A3" w:rsidRPr="00181FCD">
        <w:t xml:space="preserve"> </w:t>
      </w:r>
      <w:r w:rsidRPr="00181FCD">
        <w:t>de</w:t>
      </w:r>
      <w:r w:rsidR="00F373A3" w:rsidRPr="00181FCD">
        <w:t xml:space="preserve"> </w:t>
      </w:r>
      <w:r w:rsidRPr="00181FCD">
        <w:t>Ciencias</w:t>
      </w:r>
      <w:r w:rsidR="00F373A3" w:rsidRPr="00181FCD">
        <w:t xml:space="preserve"> </w:t>
      </w:r>
      <w:r w:rsidRPr="00181FCD">
        <w:t>de</w:t>
      </w:r>
      <w:r w:rsidR="00F373A3" w:rsidRPr="00181FCD">
        <w:t xml:space="preserve"> </w:t>
      </w:r>
      <w:r w:rsidRPr="00181FCD">
        <w:t>Bulgaria</w:t>
      </w:r>
      <w:r w:rsidR="00F373A3" w:rsidRPr="00181FCD">
        <w:t xml:space="preserve"> </w:t>
      </w:r>
      <w:r w:rsidRPr="00181FCD">
        <w:t>sobre</w:t>
      </w:r>
      <w:r w:rsidR="00F373A3" w:rsidRPr="00181FCD">
        <w:t xml:space="preserve"> </w:t>
      </w:r>
      <w:r w:rsidRPr="00181FCD">
        <w:t>el</w:t>
      </w:r>
      <w:r w:rsidR="00F373A3" w:rsidRPr="00181FCD">
        <w:t xml:space="preserve"> </w:t>
      </w:r>
      <w:r w:rsidRPr="00181FCD">
        <w:t>programa</w:t>
      </w:r>
      <w:r w:rsidR="00F373A3" w:rsidRPr="00181FCD">
        <w:t xml:space="preserve"> </w:t>
      </w:r>
      <w:r w:rsidRPr="00181FCD">
        <w:t>y</w:t>
      </w:r>
      <w:r w:rsidR="00F373A3" w:rsidRPr="00181FCD">
        <w:t xml:space="preserve"> </w:t>
      </w:r>
      <w:r w:rsidRPr="00181FCD">
        <w:t>la</w:t>
      </w:r>
      <w:r w:rsidR="00F373A3" w:rsidRPr="00181FCD">
        <w:t xml:space="preserve"> </w:t>
      </w:r>
      <w:r w:rsidRPr="00181FCD">
        <w:t>aplicación</w:t>
      </w:r>
      <w:r w:rsidR="00F373A3" w:rsidRPr="00181FCD">
        <w:t xml:space="preserve"> </w:t>
      </w:r>
      <w:r w:rsidRPr="00181FCD">
        <w:t>del</w:t>
      </w:r>
      <w:r w:rsidR="00F373A3" w:rsidRPr="00181FCD">
        <w:t xml:space="preserve"> </w:t>
      </w:r>
      <w:r w:rsidRPr="00181FCD">
        <w:t>principio</w:t>
      </w:r>
      <w:r w:rsidR="00F373A3" w:rsidRPr="00181FCD">
        <w:t xml:space="preserve"> </w:t>
      </w:r>
      <w:r w:rsidRPr="00181FCD">
        <w:t>de</w:t>
      </w:r>
      <w:r w:rsidR="00F373A3" w:rsidRPr="00181FCD">
        <w:t xml:space="preserve"> </w:t>
      </w:r>
      <w:r w:rsidRPr="00181FCD">
        <w:t>la</w:t>
      </w:r>
      <w:r w:rsidR="00F373A3" w:rsidRPr="00181FCD">
        <w:t xml:space="preserve"> </w:t>
      </w:r>
      <w:r w:rsidRPr="00181FCD">
        <w:t>distribución</w:t>
      </w:r>
      <w:r w:rsidR="00F373A3" w:rsidRPr="00181FCD">
        <w:t xml:space="preserve"> </w:t>
      </w:r>
      <w:r w:rsidRPr="00181FCD">
        <w:t>aleatoria</w:t>
      </w:r>
      <w:r w:rsidR="00F373A3" w:rsidRPr="00181FCD">
        <w:t xml:space="preserve"> </w:t>
      </w:r>
      <w:r w:rsidRPr="00181FCD">
        <w:t>de</w:t>
      </w:r>
      <w:r w:rsidR="00F373A3" w:rsidRPr="00181FCD">
        <w:t xml:space="preserve"> </w:t>
      </w:r>
      <w:r w:rsidRPr="00181FCD">
        <w:t>las</w:t>
      </w:r>
      <w:r w:rsidR="00F373A3" w:rsidRPr="00181FCD">
        <w:t xml:space="preserve"> </w:t>
      </w:r>
      <w:r w:rsidRPr="00181FCD">
        <w:t>causas.</w:t>
      </w:r>
    </w:p>
    <w:p w:rsidR="001937F4" w:rsidRPr="00181FCD" w:rsidRDefault="001937F4" w:rsidP="00347B20">
      <w:pPr>
        <w:pStyle w:val="SingleTxtG"/>
        <w:suppressAutoHyphens/>
      </w:pPr>
      <w:r w:rsidRPr="00181FCD">
        <w:t>38.</w:t>
      </w:r>
      <w:r w:rsidRPr="00181FCD">
        <w:tab/>
        <w:t>El</w:t>
      </w:r>
      <w:r w:rsidR="00F373A3" w:rsidRPr="00181FCD">
        <w:t xml:space="preserve"> </w:t>
      </w:r>
      <w:r w:rsidRPr="00181FCD">
        <w:t>Consejo</w:t>
      </w:r>
      <w:r w:rsidR="00F373A3" w:rsidRPr="00181FCD">
        <w:t xml:space="preserve"> </w:t>
      </w:r>
      <w:r w:rsidRPr="00181FCD">
        <w:t>Supremo</w:t>
      </w:r>
      <w:r w:rsidR="00F373A3" w:rsidRPr="00181FCD">
        <w:t xml:space="preserve"> </w:t>
      </w:r>
      <w:r w:rsidRPr="00181FCD">
        <w:t>de</w:t>
      </w:r>
      <w:r w:rsidR="00F373A3" w:rsidRPr="00181FCD">
        <w:t xml:space="preserve"> </w:t>
      </w:r>
      <w:r w:rsidRPr="00181FCD">
        <w:t>la</w:t>
      </w:r>
      <w:r w:rsidR="00F373A3" w:rsidRPr="00181FCD">
        <w:t xml:space="preserve"> </w:t>
      </w:r>
      <w:r w:rsidRPr="00181FCD">
        <w:t>Judicatura</w:t>
      </w:r>
      <w:r w:rsidR="00F373A3" w:rsidRPr="00181FCD">
        <w:t xml:space="preserve"> </w:t>
      </w:r>
      <w:r w:rsidRPr="00181FCD">
        <w:t>ha</w:t>
      </w:r>
      <w:r w:rsidR="00F373A3" w:rsidRPr="00181FCD">
        <w:t xml:space="preserve"> </w:t>
      </w:r>
      <w:r w:rsidRPr="00181FCD">
        <w:t>ejecutado</w:t>
      </w:r>
      <w:r w:rsidR="00F373A3" w:rsidRPr="00181FCD">
        <w:t xml:space="preserve"> </w:t>
      </w:r>
      <w:r w:rsidRPr="00181FCD">
        <w:t>el</w:t>
      </w:r>
      <w:r w:rsidR="00F373A3" w:rsidRPr="00181FCD">
        <w:t xml:space="preserve"> </w:t>
      </w:r>
      <w:r w:rsidRPr="00181FCD">
        <w:t>proyecto</w:t>
      </w:r>
      <w:r w:rsidR="00F373A3" w:rsidRPr="00181FCD">
        <w:t xml:space="preserve"> "</w:t>
      </w:r>
      <w:r w:rsidRPr="00181FCD">
        <w:t>Justicia</w:t>
      </w:r>
      <w:r w:rsidR="00F373A3" w:rsidRPr="00181FCD">
        <w:t xml:space="preserve"> </w:t>
      </w:r>
      <w:r w:rsidRPr="00181FCD">
        <w:t>electrónica</w:t>
      </w:r>
      <w:r w:rsidR="00F373A3" w:rsidRPr="00181FCD">
        <w:t xml:space="preserve"> </w:t>
      </w:r>
      <w:r w:rsidR="001247AC" w:rsidRPr="00181FCD">
        <w:t>–</w:t>
      </w:r>
      <w:r w:rsidR="00F373A3" w:rsidRPr="00181FCD">
        <w:t xml:space="preserve"> </w:t>
      </w:r>
      <w:r w:rsidRPr="00181FCD">
        <w:t>Investigación</w:t>
      </w:r>
      <w:r w:rsidR="00F373A3" w:rsidRPr="00181FCD">
        <w:t xml:space="preserve"> </w:t>
      </w:r>
      <w:r w:rsidRPr="00181FCD">
        <w:t>y</w:t>
      </w:r>
      <w:r w:rsidR="00F373A3" w:rsidRPr="00181FCD">
        <w:t xml:space="preserve"> </w:t>
      </w:r>
      <w:r w:rsidRPr="00181FCD">
        <w:t>desarrollo</w:t>
      </w:r>
      <w:r w:rsidR="00F373A3" w:rsidRPr="00181FCD">
        <w:t xml:space="preserve"> </w:t>
      </w:r>
      <w:r w:rsidRPr="00181FCD">
        <w:t>de</w:t>
      </w:r>
      <w:r w:rsidR="00F373A3" w:rsidRPr="00181FCD">
        <w:t xml:space="preserve"> </w:t>
      </w:r>
      <w:r w:rsidRPr="00181FCD">
        <w:t>una</w:t>
      </w:r>
      <w:r w:rsidR="00F373A3" w:rsidRPr="00181FCD">
        <w:t xml:space="preserve"> </w:t>
      </w:r>
      <w:r w:rsidRPr="00181FCD">
        <w:t>infraestructura</w:t>
      </w:r>
      <w:r w:rsidR="00F373A3" w:rsidRPr="00181FCD">
        <w:t xml:space="preserve"> </w:t>
      </w:r>
      <w:r w:rsidRPr="00181FCD">
        <w:t>integrada</w:t>
      </w:r>
      <w:r w:rsidR="00F373A3" w:rsidRPr="00181FCD">
        <w:t xml:space="preserve"> </w:t>
      </w:r>
      <w:r w:rsidRPr="00181FCD">
        <w:t>de</w:t>
      </w:r>
      <w:r w:rsidR="00F373A3" w:rsidRPr="00181FCD">
        <w:t xml:space="preserve"> </w:t>
      </w:r>
      <w:r w:rsidRPr="00181FCD">
        <w:t>la</w:t>
      </w:r>
      <w:r w:rsidR="00F373A3" w:rsidRPr="00181FCD">
        <w:t xml:space="preserve"> </w:t>
      </w:r>
      <w:r w:rsidRPr="00181FCD">
        <w:t>información</w:t>
      </w:r>
      <w:r w:rsidR="00F373A3" w:rsidRPr="00181FCD">
        <w:t xml:space="preserve"> </w:t>
      </w:r>
      <w:r w:rsidRPr="00181FCD">
        <w:t>y</w:t>
      </w:r>
      <w:r w:rsidR="00F373A3" w:rsidRPr="00181FCD">
        <w:t xml:space="preserve"> </w:t>
      </w:r>
      <w:r w:rsidRPr="00181FCD">
        <w:t>la</w:t>
      </w:r>
      <w:r w:rsidR="00F373A3" w:rsidRPr="00181FCD">
        <w:t xml:space="preserve"> </w:t>
      </w:r>
      <w:r w:rsidRPr="00181FCD">
        <w:t>comunicación</w:t>
      </w:r>
      <w:r w:rsidR="00F373A3" w:rsidRPr="00181FCD">
        <w:t xml:space="preserve"> </w:t>
      </w:r>
      <w:r w:rsidRPr="00181FCD">
        <w:t>y</w:t>
      </w:r>
      <w:r w:rsidR="00F373A3" w:rsidRPr="00181FCD">
        <w:t xml:space="preserve"> </w:t>
      </w:r>
      <w:r w:rsidRPr="00181FCD">
        <w:t>la</w:t>
      </w:r>
      <w:r w:rsidR="00F373A3" w:rsidRPr="00181FCD">
        <w:t xml:space="preserve"> </w:t>
      </w:r>
      <w:r w:rsidRPr="00181FCD">
        <w:t>creación</w:t>
      </w:r>
      <w:r w:rsidR="00F373A3" w:rsidRPr="00181FCD">
        <w:t xml:space="preserve"> </w:t>
      </w:r>
      <w:r w:rsidRPr="00181FCD">
        <w:t>de</w:t>
      </w:r>
      <w:r w:rsidR="00F373A3" w:rsidRPr="00181FCD">
        <w:t xml:space="preserve"> </w:t>
      </w:r>
      <w:r w:rsidRPr="00181FCD">
        <w:t>un</w:t>
      </w:r>
      <w:r w:rsidR="00F373A3" w:rsidRPr="00181FCD">
        <w:t xml:space="preserve"> </w:t>
      </w:r>
      <w:r w:rsidRPr="00181FCD">
        <w:t>portal</w:t>
      </w:r>
      <w:r w:rsidR="00F373A3" w:rsidRPr="00181FCD">
        <w:t xml:space="preserve"> </w:t>
      </w:r>
      <w:r w:rsidRPr="00181FCD">
        <w:t>electrónico</w:t>
      </w:r>
      <w:r w:rsidR="00F373A3" w:rsidRPr="00181FCD">
        <w:t xml:space="preserve"> </w:t>
      </w:r>
      <w:r w:rsidRPr="00181FCD">
        <w:t>único</w:t>
      </w:r>
      <w:r w:rsidR="00F373A3" w:rsidRPr="00181FCD">
        <w:t xml:space="preserve"> </w:t>
      </w:r>
      <w:r w:rsidRPr="00181FCD">
        <w:t>para</w:t>
      </w:r>
      <w:r w:rsidR="00F373A3" w:rsidRPr="00181FCD">
        <w:t xml:space="preserve"> </w:t>
      </w:r>
      <w:r w:rsidRPr="00181FCD">
        <w:t>el</w:t>
      </w:r>
      <w:r w:rsidR="00F373A3" w:rsidRPr="00181FCD">
        <w:t xml:space="preserve"> </w:t>
      </w:r>
      <w:r w:rsidRPr="00181FCD">
        <w:t>poder</w:t>
      </w:r>
      <w:r w:rsidR="00F373A3" w:rsidRPr="00181FCD">
        <w:t xml:space="preserve"> </w:t>
      </w:r>
      <w:r w:rsidRPr="00181FCD">
        <w:t>judicial</w:t>
      </w:r>
      <w:r w:rsidR="00F373A3" w:rsidRPr="00181FCD">
        <w:t>"</w:t>
      </w:r>
      <w:r w:rsidRPr="00181FCD">
        <w:t>,</w:t>
      </w:r>
      <w:r w:rsidR="00F373A3" w:rsidRPr="00181FCD">
        <w:t xml:space="preserve"> </w:t>
      </w:r>
      <w:r w:rsidRPr="00181FCD">
        <w:t>financiado</w:t>
      </w:r>
      <w:r w:rsidR="00F373A3" w:rsidRPr="00181FCD">
        <w:t xml:space="preserve"> </w:t>
      </w:r>
      <w:r w:rsidRPr="00181FCD">
        <w:t>por</w:t>
      </w:r>
      <w:r w:rsidR="00F373A3" w:rsidRPr="00181FCD">
        <w:t xml:space="preserve"> </w:t>
      </w:r>
      <w:r w:rsidRPr="00181FCD">
        <w:t>el</w:t>
      </w:r>
      <w:r w:rsidR="00F373A3" w:rsidRPr="00181FCD">
        <w:t xml:space="preserve"> </w:t>
      </w:r>
      <w:r w:rsidRPr="00181FCD">
        <w:t>Programa</w:t>
      </w:r>
      <w:r w:rsidR="00F373A3" w:rsidRPr="00181FCD">
        <w:t xml:space="preserve"> </w:t>
      </w:r>
      <w:r w:rsidRPr="00181FCD">
        <w:t>Operacional</w:t>
      </w:r>
      <w:r w:rsidR="00F373A3" w:rsidRPr="00181FCD">
        <w:t xml:space="preserve"> </w:t>
      </w:r>
      <w:r w:rsidRPr="00181FCD">
        <w:t>de</w:t>
      </w:r>
      <w:r w:rsidR="00F373A3" w:rsidRPr="00181FCD">
        <w:t xml:space="preserve"> </w:t>
      </w:r>
      <w:r w:rsidRPr="00181FCD">
        <w:t>Desarrollo</w:t>
      </w:r>
      <w:r w:rsidR="00F373A3" w:rsidRPr="00181FCD">
        <w:t xml:space="preserve"> </w:t>
      </w:r>
      <w:r w:rsidRPr="00181FCD">
        <w:t>de</w:t>
      </w:r>
      <w:r w:rsidR="00F373A3" w:rsidRPr="00181FCD">
        <w:t xml:space="preserve"> </w:t>
      </w:r>
      <w:r w:rsidRPr="00181FCD">
        <w:t>la</w:t>
      </w:r>
      <w:r w:rsidR="00F373A3" w:rsidRPr="00181FCD">
        <w:t xml:space="preserve"> </w:t>
      </w:r>
      <w:r w:rsidRPr="00181FCD">
        <w:t>Capacidad</w:t>
      </w:r>
      <w:r w:rsidR="00F373A3" w:rsidRPr="00181FCD">
        <w:t xml:space="preserve"> </w:t>
      </w:r>
      <w:r w:rsidRPr="00181FCD">
        <w:t>Administrativa.</w:t>
      </w:r>
      <w:r w:rsidR="00F373A3" w:rsidRPr="00181FCD">
        <w:t xml:space="preserve"> </w:t>
      </w:r>
      <w:r w:rsidRPr="00181FCD">
        <w:t>En</w:t>
      </w:r>
      <w:r w:rsidR="00F373A3" w:rsidRPr="00181FCD">
        <w:t xml:space="preserve"> </w:t>
      </w:r>
      <w:r w:rsidRPr="00181FCD">
        <w:t>el</w:t>
      </w:r>
      <w:r w:rsidR="00F373A3" w:rsidRPr="00181FCD">
        <w:t xml:space="preserve"> </w:t>
      </w:r>
      <w:r w:rsidRPr="00181FCD">
        <w:t>marco</w:t>
      </w:r>
      <w:r w:rsidR="00F373A3" w:rsidRPr="00181FCD">
        <w:t xml:space="preserve"> </w:t>
      </w:r>
      <w:r w:rsidRPr="00181FCD">
        <w:t>del</w:t>
      </w:r>
      <w:r w:rsidR="00F373A3" w:rsidRPr="00181FCD">
        <w:t xml:space="preserve"> </w:t>
      </w:r>
      <w:r w:rsidRPr="00181FCD">
        <w:t>proyecto</w:t>
      </w:r>
      <w:r w:rsidR="00F373A3" w:rsidRPr="00181FCD">
        <w:t xml:space="preserve"> </w:t>
      </w:r>
      <w:r w:rsidRPr="00181FCD">
        <w:t>se</w:t>
      </w:r>
      <w:r w:rsidR="00F373A3" w:rsidRPr="00181FCD">
        <w:t xml:space="preserve"> </w:t>
      </w:r>
      <w:r w:rsidRPr="00181FCD">
        <w:t>ha</w:t>
      </w:r>
      <w:r w:rsidR="00F373A3" w:rsidRPr="00181FCD">
        <w:t xml:space="preserve"> </w:t>
      </w:r>
      <w:r w:rsidRPr="00181FCD">
        <w:t>elaborado</w:t>
      </w:r>
      <w:r w:rsidR="00F373A3" w:rsidRPr="00181FCD">
        <w:t xml:space="preserve"> </w:t>
      </w:r>
      <w:r w:rsidRPr="00181FCD">
        <w:t>el</w:t>
      </w:r>
      <w:r w:rsidR="00F373A3" w:rsidRPr="00181FCD">
        <w:t xml:space="preserve"> </w:t>
      </w:r>
      <w:r w:rsidRPr="00181FCD">
        <w:t>programa</w:t>
      </w:r>
      <w:r w:rsidR="00F373A3" w:rsidRPr="00181FCD">
        <w:t xml:space="preserve"> </w:t>
      </w:r>
      <w:r w:rsidRPr="00181FCD">
        <w:t>informático</w:t>
      </w:r>
      <w:r w:rsidR="00F373A3" w:rsidRPr="00181FCD">
        <w:t xml:space="preserve"> </w:t>
      </w:r>
      <w:r w:rsidRPr="00181FCD">
        <w:t>para</w:t>
      </w:r>
      <w:r w:rsidR="00F373A3" w:rsidRPr="00181FCD">
        <w:t xml:space="preserve"> </w:t>
      </w:r>
      <w:r w:rsidRPr="00181FCD">
        <w:t>la</w:t>
      </w:r>
      <w:r w:rsidR="00F373A3" w:rsidRPr="00181FCD">
        <w:t xml:space="preserve"> </w:t>
      </w:r>
      <w:r w:rsidRPr="00181FCD">
        <w:t>distribución</w:t>
      </w:r>
      <w:r w:rsidR="00F373A3" w:rsidRPr="00181FCD">
        <w:t xml:space="preserve"> </w:t>
      </w:r>
      <w:r w:rsidRPr="00181FCD">
        <w:t>aleatoria</w:t>
      </w:r>
      <w:r w:rsidR="00F373A3" w:rsidRPr="00181FCD">
        <w:t xml:space="preserve"> </w:t>
      </w:r>
      <w:r w:rsidRPr="00181FCD">
        <w:t>centralizada</w:t>
      </w:r>
      <w:r w:rsidR="00F373A3" w:rsidRPr="00181FCD">
        <w:t xml:space="preserve"> </w:t>
      </w:r>
      <w:r w:rsidRPr="00181FCD">
        <w:t>de</w:t>
      </w:r>
      <w:r w:rsidR="00F373A3" w:rsidRPr="00181FCD">
        <w:t xml:space="preserve"> </w:t>
      </w:r>
      <w:r w:rsidRPr="00181FCD">
        <w:t>las</w:t>
      </w:r>
      <w:r w:rsidR="00F373A3" w:rsidRPr="00181FCD">
        <w:t xml:space="preserve"> </w:t>
      </w:r>
      <w:r w:rsidRPr="00181FCD">
        <w:t>causas.</w:t>
      </w:r>
    </w:p>
    <w:p w:rsidR="001937F4" w:rsidRPr="00181FCD" w:rsidRDefault="001937F4" w:rsidP="00347B20">
      <w:pPr>
        <w:pStyle w:val="SingleTxtG"/>
        <w:suppressAutoHyphens/>
      </w:pPr>
      <w:r w:rsidRPr="00181FCD">
        <w:t>39.</w:t>
      </w:r>
      <w:r w:rsidRPr="00181FCD">
        <w:tab/>
        <w:t>El</w:t>
      </w:r>
      <w:r w:rsidR="00F373A3" w:rsidRPr="00181FCD">
        <w:t xml:space="preserve"> </w:t>
      </w:r>
      <w:r w:rsidRPr="00181FCD">
        <w:t>Consejo</w:t>
      </w:r>
      <w:r w:rsidR="00F373A3" w:rsidRPr="00181FCD">
        <w:t xml:space="preserve"> </w:t>
      </w:r>
      <w:r w:rsidRPr="00181FCD">
        <w:t>Supremo</w:t>
      </w:r>
      <w:r w:rsidR="00F373A3" w:rsidRPr="00181FCD">
        <w:t xml:space="preserve"> </w:t>
      </w:r>
      <w:r w:rsidRPr="00181FCD">
        <w:t>de</w:t>
      </w:r>
      <w:r w:rsidR="00F373A3" w:rsidRPr="00181FCD">
        <w:t xml:space="preserve"> </w:t>
      </w:r>
      <w:r w:rsidRPr="00181FCD">
        <w:t>la</w:t>
      </w:r>
      <w:r w:rsidR="00F373A3" w:rsidRPr="00181FCD">
        <w:t xml:space="preserve"> </w:t>
      </w:r>
      <w:r w:rsidRPr="00181FCD">
        <w:t>Judicatura</w:t>
      </w:r>
      <w:r w:rsidR="00F373A3" w:rsidRPr="00181FCD">
        <w:t xml:space="preserve"> </w:t>
      </w:r>
      <w:r w:rsidRPr="00181FCD">
        <w:t>aprobó</w:t>
      </w:r>
      <w:r w:rsidR="00F373A3" w:rsidRPr="00181FCD">
        <w:t xml:space="preserve"> </w:t>
      </w:r>
      <w:r w:rsidRPr="00181FCD">
        <w:t>una</w:t>
      </w:r>
      <w:r w:rsidR="00F373A3" w:rsidRPr="00181FCD">
        <w:t xml:space="preserve"> </w:t>
      </w:r>
      <w:r w:rsidRPr="00181FCD">
        <w:t>metodología</w:t>
      </w:r>
      <w:r w:rsidR="00F373A3" w:rsidRPr="00181FCD">
        <w:t xml:space="preserve"> </w:t>
      </w:r>
      <w:r w:rsidRPr="00181FCD">
        <w:t>unificada</w:t>
      </w:r>
      <w:r w:rsidR="00F373A3" w:rsidRPr="00181FCD">
        <w:t xml:space="preserve"> </w:t>
      </w:r>
      <w:r w:rsidRPr="00181FCD">
        <w:t>para</w:t>
      </w:r>
      <w:r w:rsidR="00F373A3" w:rsidRPr="00181FCD">
        <w:t xml:space="preserve"> </w:t>
      </w:r>
      <w:r w:rsidRPr="00181FCD">
        <w:t>la</w:t>
      </w:r>
      <w:r w:rsidR="00F373A3" w:rsidRPr="00181FCD">
        <w:t xml:space="preserve"> </w:t>
      </w:r>
      <w:r w:rsidRPr="00181FCD">
        <w:t>aplicación</w:t>
      </w:r>
      <w:r w:rsidR="00F373A3" w:rsidRPr="00181FCD">
        <w:t xml:space="preserve"> </w:t>
      </w:r>
      <w:r w:rsidRPr="00181FCD">
        <w:t>del</w:t>
      </w:r>
      <w:r w:rsidR="00F373A3" w:rsidRPr="00181FCD">
        <w:t xml:space="preserve"> </w:t>
      </w:r>
      <w:r w:rsidRPr="00181FCD">
        <w:t>principio</w:t>
      </w:r>
      <w:r w:rsidR="00F373A3" w:rsidRPr="00181FCD">
        <w:t xml:space="preserve"> </w:t>
      </w:r>
      <w:r w:rsidRPr="00181FCD">
        <w:t>de</w:t>
      </w:r>
      <w:r w:rsidR="00F373A3" w:rsidRPr="00181FCD">
        <w:t xml:space="preserve"> </w:t>
      </w:r>
      <w:r w:rsidRPr="00181FCD">
        <w:t>la</w:t>
      </w:r>
      <w:r w:rsidR="00F373A3" w:rsidRPr="00181FCD">
        <w:t xml:space="preserve"> </w:t>
      </w:r>
      <w:r w:rsidRPr="00181FCD">
        <w:t>distribución</w:t>
      </w:r>
      <w:r w:rsidR="00F373A3" w:rsidRPr="00181FCD">
        <w:t xml:space="preserve"> </w:t>
      </w:r>
      <w:r w:rsidRPr="00181FCD">
        <w:t>aleatoria</w:t>
      </w:r>
      <w:r w:rsidR="00F373A3" w:rsidRPr="00181FCD">
        <w:t xml:space="preserve"> </w:t>
      </w:r>
      <w:r w:rsidRPr="00181FCD">
        <w:t>de</w:t>
      </w:r>
      <w:r w:rsidR="00F373A3" w:rsidRPr="00181FCD">
        <w:t xml:space="preserve"> </w:t>
      </w:r>
      <w:r w:rsidRPr="00181FCD">
        <w:t>las</w:t>
      </w:r>
      <w:r w:rsidR="00F373A3" w:rsidRPr="00181FCD">
        <w:t xml:space="preserve"> </w:t>
      </w:r>
      <w:r w:rsidRPr="00181FCD">
        <w:t>causas</w:t>
      </w:r>
      <w:r w:rsidR="00F373A3" w:rsidRPr="00181FCD">
        <w:t xml:space="preserve"> </w:t>
      </w:r>
      <w:r w:rsidRPr="00181FCD">
        <w:t>en</w:t>
      </w:r>
      <w:r w:rsidR="00F373A3" w:rsidRPr="00181FCD">
        <w:t xml:space="preserve"> </w:t>
      </w:r>
      <w:r w:rsidRPr="00181FCD">
        <w:t>los</w:t>
      </w:r>
      <w:r w:rsidR="00F373A3" w:rsidRPr="00181FCD">
        <w:t xml:space="preserve"> </w:t>
      </w:r>
      <w:r w:rsidRPr="00181FCD">
        <w:t>tribunales</w:t>
      </w:r>
      <w:r w:rsidR="00F373A3" w:rsidRPr="00181FCD">
        <w:t xml:space="preserve"> </w:t>
      </w:r>
      <w:r w:rsidRPr="00181FCD">
        <w:t>regionales,</w:t>
      </w:r>
      <w:r w:rsidR="00F373A3" w:rsidRPr="00181FCD">
        <w:t xml:space="preserve"> </w:t>
      </w:r>
      <w:r w:rsidRPr="00181FCD">
        <w:t>de</w:t>
      </w:r>
      <w:r w:rsidR="00F373A3" w:rsidRPr="00181FCD">
        <w:t xml:space="preserve"> </w:t>
      </w:r>
      <w:r w:rsidRPr="00181FCD">
        <w:t>distrito,</w:t>
      </w:r>
      <w:r w:rsidR="00F373A3" w:rsidRPr="00181FCD">
        <w:t xml:space="preserve"> </w:t>
      </w:r>
      <w:r w:rsidRPr="00181FCD">
        <w:t>administrativos,</w:t>
      </w:r>
      <w:r w:rsidR="00F373A3" w:rsidRPr="00181FCD">
        <w:t xml:space="preserve"> </w:t>
      </w:r>
      <w:r w:rsidRPr="00181FCD">
        <w:t>militares,</w:t>
      </w:r>
      <w:r w:rsidR="00F373A3" w:rsidRPr="00181FCD">
        <w:t xml:space="preserve"> </w:t>
      </w:r>
      <w:r w:rsidRPr="00181FCD">
        <w:t>de</w:t>
      </w:r>
      <w:r w:rsidR="00F373A3" w:rsidRPr="00181FCD">
        <w:t xml:space="preserve"> </w:t>
      </w:r>
      <w:r w:rsidRPr="00181FCD">
        <w:t>apelación</w:t>
      </w:r>
      <w:r w:rsidR="00F373A3" w:rsidRPr="00181FCD">
        <w:t xml:space="preserve"> </w:t>
      </w:r>
      <w:r w:rsidRPr="00181FCD">
        <w:t>y</w:t>
      </w:r>
      <w:r w:rsidR="00F373A3" w:rsidRPr="00181FCD">
        <w:t xml:space="preserve"> </w:t>
      </w:r>
      <w:r w:rsidRPr="00181FCD">
        <w:t>especializados.</w:t>
      </w:r>
      <w:r w:rsidR="00F373A3" w:rsidRPr="00181FCD">
        <w:t xml:space="preserve"> </w:t>
      </w:r>
      <w:r w:rsidRPr="00181FCD">
        <w:t>Se</w:t>
      </w:r>
      <w:r w:rsidR="00F373A3" w:rsidRPr="00181FCD">
        <w:t xml:space="preserve"> </w:t>
      </w:r>
      <w:r w:rsidRPr="00181FCD">
        <w:t>han</w:t>
      </w:r>
      <w:r w:rsidR="00F373A3" w:rsidRPr="00181FCD">
        <w:t xml:space="preserve"> </w:t>
      </w:r>
      <w:r w:rsidRPr="00181FCD">
        <w:t>tomado</w:t>
      </w:r>
      <w:r w:rsidR="00F373A3" w:rsidRPr="00181FCD">
        <w:t xml:space="preserve"> </w:t>
      </w:r>
      <w:r w:rsidRPr="00181FCD">
        <w:t>medidas</w:t>
      </w:r>
      <w:r w:rsidR="00F373A3" w:rsidRPr="00181FCD">
        <w:t xml:space="preserve"> </w:t>
      </w:r>
      <w:r w:rsidRPr="00181FCD">
        <w:t>adicionales</w:t>
      </w:r>
      <w:r w:rsidR="00F373A3" w:rsidRPr="00181FCD">
        <w:t xml:space="preserve"> </w:t>
      </w:r>
      <w:r w:rsidRPr="00181FCD">
        <w:t>para</w:t>
      </w:r>
      <w:r w:rsidR="00F373A3" w:rsidRPr="00181FCD">
        <w:t xml:space="preserve"> </w:t>
      </w:r>
      <w:r w:rsidRPr="00181FCD">
        <w:t>mejorar</w:t>
      </w:r>
      <w:r w:rsidR="00F373A3" w:rsidRPr="00181FCD">
        <w:t xml:space="preserve"> </w:t>
      </w:r>
      <w:r w:rsidRPr="00181FCD">
        <w:t>la</w:t>
      </w:r>
      <w:r w:rsidR="00F373A3" w:rsidRPr="00181FCD">
        <w:t xml:space="preserve"> </w:t>
      </w:r>
      <w:r w:rsidRPr="00181FCD">
        <w:t>seguridad</w:t>
      </w:r>
      <w:r w:rsidR="00F373A3" w:rsidRPr="00181FCD">
        <w:t xml:space="preserve"> </w:t>
      </w:r>
      <w:r w:rsidRPr="00181FCD">
        <w:t>de</w:t>
      </w:r>
      <w:r w:rsidR="00F373A3" w:rsidRPr="00181FCD">
        <w:t xml:space="preserve"> </w:t>
      </w:r>
      <w:r w:rsidRPr="00181FCD">
        <w:t>ese</w:t>
      </w:r>
      <w:r w:rsidR="00F373A3" w:rsidRPr="00181FCD">
        <w:t xml:space="preserve"> </w:t>
      </w:r>
      <w:r w:rsidRPr="00181FCD">
        <w:t>sistema</w:t>
      </w:r>
      <w:r w:rsidR="00F373A3" w:rsidRPr="00181FCD">
        <w:t xml:space="preserve"> </w:t>
      </w:r>
      <w:r w:rsidRPr="00181FCD">
        <w:t>de</w:t>
      </w:r>
      <w:r w:rsidR="00F373A3" w:rsidRPr="00181FCD">
        <w:t xml:space="preserve"> </w:t>
      </w:r>
      <w:r w:rsidRPr="00181FCD">
        <w:t>distribución</w:t>
      </w:r>
      <w:r w:rsidR="00F373A3" w:rsidRPr="00181FCD">
        <w:t xml:space="preserve"> </w:t>
      </w:r>
      <w:r w:rsidRPr="00181FCD">
        <w:t>aleatoria.</w:t>
      </w:r>
      <w:r w:rsidR="00F373A3" w:rsidRPr="00181FCD">
        <w:t xml:space="preserve"> </w:t>
      </w:r>
      <w:r w:rsidRPr="00181FCD">
        <w:t>El</w:t>
      </w:r>
      <w:r w:rsidR="00F373A3" w:rsidRPr="00181FCD">
        <w:t xml:space="preserve"> </w:t>
      </w:r>
      <w:r w:rsidRPr="00181FCD">
        <w:t>sistema</w:t>
      </w:r>
      <w:r w:rsidR="00F373A3" w:rsidRPr="00181FCD">
        <w:t xml:space="preserve"> </w:t>
      </w:r>
      <w:r w:rsidRPr="00181FCD">
        <w:t>actualizado,</w:t>
      </w:r>
      <w:r w:rsidR="00F373A3" w:rsidRPr="00181FCD">
        <w:t xml:space="preserve"> </w:t>
      </w:r>
      <w:r w:rsidRPr="00181FCD">
        <w:t>con</w:t>
      </w:r>
      <w:r w:rsidR="00F373A3" w:rsidRPr="00181FCD">
        <w:t xml:space="preserve"> </w:t>
      </w:r>
      <w:r w:rsidRPr="00181FCD">
        <w:t>mejores</w:t>
      </w:r>
      <w:r w:rsidR="00F373A3" w:rsidRPr="00181FCD">
        <w:t xml:space="preserve"> </w:t>
      </w:r>
      <w:r w:rsidRPr="00181FCD">
        <w:t>garantías</w:t>
      </w:r>
      <w:r w:rsidR="00F373A3" w:rsidRPr="00181FCD">
        <w:t xml:space="preserve"> </w:t>
      </w:r>
      <w:r w:rsidRPr="00181FCD">
        <w:t>de</w:t>
      </w:r>
      <w:r w:rsidR="00F373A3" w:rsidRPr="00181FCD">
        <w:t xml:space="preserve"> </w:t>
      </w:r>
      <w:r w:rsidRPr="00181FCD">
        <w:t>seguridad,</w:t>
      </w:r>
      <w:r w:rsidR="00672EC2" w:rsidRPr="00181FCD">
        <w:t xml:space="preserve"> </w:t>
      </w:r>
      <w:r w:rsidRPr="00181FCD">
        <w:t>comenzó</w:t>
      </w:r>
      <w:r w:rsidR="00F373A3" w:rsidRPr="00181FCD">
        <w:t xml:space="preserve"> </w:t>
      </w:r>
      <w:r w:rsidRPr="00181FCD">
        <w:t>a</w:t>
      </w:r>
      <w:r w:rsidR="00F373A3" w:rsidRPr="00181FCD">
        <w:t xml:space="preserve"> </w:t>
      </w:r>
      <w:r w:rsidRPr="00181FCD">
        <w:t>utilizarse</w:t>
      </w:r>
      <w:r w:rsidR="00F373A3" w:rsidRPr="00181FCD">
        <w:t xml:space="preserve"> </w:t>
      </w:r>
      <w:r w:rsidRPr="00181FCD">
        <w:t>en</w:t>
      </w:r>
      <w:r w:rsidR="00F373A3" w:rsidRPr="00181FCD">
        <w:t xml:space="preserve"> </w:t>
      </w:r>
      <w:r w:rsidRPr="00181FCD">
        <w:t>octubre</w:t>
      </w:r>
      <w:r w:rsidR="00F373A3" w:rsidRPr="00181FCD">
        <w:t xml:space="preserve"> </w:t>
      </w:r>
      <w:r w:rsidRPr="00181FCD">
        <w:t>de</w:t>
      </w:r>
      <w:r w:rsidR="00F373A3" w:rsidRPr="00181FCD">
        <w:t xml:space="preserve"> </w:t>
      </w:r>
      <w:r w:rsidRPr="00181FCD">
        <w:t>2015</w:t>
      </w:r>
      <w:r w:rsidR="004469C4" w:rsidRPr="00181FCD">
        <w:t>.</w:t>
      </w:r>
    </w:p>
    <w:p w:rsidR="001937F4" w:rsidRPr="00181FCD" w:rsidRDefault="00F373A3" w:rsidP="00347B20">
      <w:pPr>
        <w:pStyle w:val="H4G"/>
      </w:pPr>
      <w:r w:rsidRPr="00181FCD">
        <w:tab/>
      </w:r>
      <w:r w:rsidRPr="00181FCD">
        <w:tab/>
      </w:r>
      <w:r w:rsidR="001937F4" w:rsidRPr="00181FCD">
        <w:t>Proyecto</w:t>
      </w:r>
      <w:r w:rsidRPr="00181FCD">
        <w:t xml:space="preserve"> </w:t>
      </w:r>
      <w:r w:rsidR="001937F4" w:rsidRPr="00181FCD">
        <w:t>de</w:t>
      </w:r>
      <w:r w:rsidRPr="00181FCD">
        <w:t xml:space="preserve"> </w:t>
      </w:r>
      <w:r w:rsidR="001937F4" w:rsidRPr="00181FCD">
        <w:t>Ley</w:t>
      </w:r>
      <w:r w:rsidRPr="00181FCD">
        <w:t xml:space="preserve"> </w:t>
      </w:r>
      <w:r w:rsidR="001937F4" w:rsidRPr="00181FCD">
        <w:t>por</w:t>
      </w:r>
      <w:r w:rsidRPr="00181FCD">
        <w:t xml:space="preserve"> </w:t>
      </w:r>
      <w:r w:rsidR="001937F4" w:rsidRPr="00181FCD">
        <w:t>la</w:t>
      </w:r>
      <w:r w:rsidRPr="00181FCD">
        <w:t xml:space="preserve"> </w:t>
      </w:r>
      <w:r w:rsidR="001937F4" w:rsidRPr="00181FCD">
        <w:t>que</w:t>
      </w:r>
      <w:r w:rsidRPr="00181FCD">
        <w:t xml:space="preserve"> </w:t>
      </w:r>
      <w:r w:rsidR="001937F4" w:rsidRPr="00181FCD">
        <w:t>se</w:t>
      </w:r>
      <w:r w:rsidRPr="00181FCD">
        <w:t xml:space="preserve"> </w:t>
      </w:r>
      <w:r w:rsidR="001937F4" w:rsidRPr="00181FCD">
        <w:t>modifica</w:t>
      </w:r>
      <w:r w:rsidRPr="00181FCD">
        <w:t xml:space="preserve"> </w:t>
      </w:r>
      <w:r w:rsidR="001937F4" w:rsidRPr="00181FCD">
        <w:t>y</w:t>
      </w:r>
      <w:r w:rsidRPr="00181FCD">
        <w:t xml:space="preserve"> </w:t>
      </w:r>
      <w:r w:rsidR="001937F4" w:rsidRPr="00181FCD">
        <w:t>complementa</w:t>
      </w:r>
      <w:r w:rsidRPr="00181FCD">
        <w:t xml:space="preserve"> </w:t>
      </w:r>
      <w:r w:rsidR="001937F4" w:rsidRPr="00181FCD">
        <w:t>la</w:t>
      </w:r>
      <w:r w:rsidRPr="00181FCD">
        <w:t xml:space="preserve"> </w:t>
      </w:r>
      <w:r w:rsidR="001937F4" w:rsidRPr="00181FCD">
        <w:t>Ley</w:t>
      </w:r>
      <w:r w:rsidRPr="00181FCD">
        <w:t xml:space="preserve"> </w:t>
      </w:r>
      <w:r w:rsidR="001937F4" w:rsidRPr="00181FCD">
        <w:t>de</w:t>
      </w:r>
      <w:r w:rsidRPr="00181FCD">
        <w:t xml:space="preserve"> </w:t>
      </w:r>
      <w:r w:rsidR="001937F4" w:rsidRPr="00181FCD">
        <w:t>Ejecución</w:t>
      </w:r>
      <w:r w:rsidRPr="00181FCD">
        <w:t xml:space="preserve"> </w:t>
      </w:r>
      <w:r w:rsidR="001937F4" w:rsidRPr="00181FCD">
        <w:t>de</w:t>
      </w:r>
      <w:r w:rsidRPr="00181FCD">
        <w:t xml:space="preserve"> </w:t>
      </w:r>
      <w:r w:rsidR="001937F4" w:rsidRPr="00181FCD">
        <w:t>Penas</w:t>
      </w:r>
      <w:r w:rsidRPr="00181FCD">
        <w:t xml:space="preserve"> </w:t>
      </w:r>
      <w:r w:rsidR="004B7AF2" w:rsidRPr="00181FCD">
        <w:br/>
      </w:r>
      <w:r w:rsidR="001937F4" w:rsidRPr="00181FCD">
        <w:t>y</w:t>
      </w:r>
      <w:r w:rsidRPr="00181FCD">
        <w:t xml:space="preserve"> </w:t>
      </w:r>
      <w:r w:rsidR="001937F4" w:rsidRPr="00181FCD">
        <w:t>Detención</w:t>
      </w:r>
      <w:r w:rsidRPr="00181FCD">
        <w:t xml:space="preserve"> </w:t>
      </w:r>
      <w:r w:rsidR="001937F4" w:rsidRPr="00181FCD">
        <w:t>Preventiva</w:t>
      </w:r>
    </w:p>
    <w:p w:rsidR="001937F4" w:rsidRPr="00181FCD" w:rsidRDefault="001937F4" w:rsidP="00347B20">
      <w:pPr>
        <w:pStyle w:val="SingleTxtG"/>
        <w:suppressAutoHyphens/>
      </w:pPr>
      <w:r w:rsidRPr="00181FCD">
        <w:t>40.</w:t>
      </w:r>
      <w:r w:rsidRPr="00181FCD">
        <w:tab/>
        <w:t>El</w:t>
      </w:r>
      <w:r w:rsidR="00F373A3" w:rsidRPr="00181FCD">
        <w:t xml:space="preserve"> </w:t>
      </w:r>
      <w:r w:rsidRPr="00181FCD">
        <w:t>6</w:t>
      </w:r>
      <w:r w:rsidR="00F373A3" w:rsidRPr="00181FCD">
        <w:t xml:space="preserve"> </w:t>
      </w:r>
      <w:r w:rsidRPr="00181FCD">
        <w:t>de</w:t>
      </w:r>
      <w:r w:rsidR="00F373A3" w:rsidRPr="00181FCD">
        <w:t xml:space="preserve"> </w:t>
      </w:r>
      <w:r w:rsidRPr="00181FCD">
        <w:t>agosto</w:t>
      </w:r>
      <w:r w:rsidR="00F373A3" w:rsidRPr="00181FCD">
        <w:t xml:space="preserve"> </w:t>
      </w:r>
      <w:r w:rsidRPr="00181FCD">
        <w:t>2015,</w:t>
      </w:r>
      <w:r w:rsidR="00F373A3" w:rsidRPr="00181FCD">
        <w:t xml:space="preserve"> </w:t>
      </w:r>
      <w:r w:rsidRPr="00181FCD">
        <w:t>el</w:t>
      </w:r>
      <w:r w:rsidR="00F373A3" w:rsidRPr="00181FCD">
        <w:t xml:space="preserve"> </w:t>
      </w:r>
      <w:r w:rsidRPr="00181FCD">
        <w:t>Consejo</w:t>
      </w:r>
      <w:r w:rsidR="00F373A3" w:rsidRPr="00181FCD">
        <w:t xml:space="preserve"> </w:t>
      </w:r>
      <w:r w:rsidRPr="00181FCD">
        <w:t>de</w:t>
      </w:r>
      <w:r w:rsidR="00F373A3" w:rsidRPr="00181FCD">
        <w:t xml:space="preserve"> </w:t>
      </w:r>
      <w:r w:rsidRPr="00181FCD">
        <w:t>Ministros</w:t>
      </w:r>
      <w:r w:rsidR="00F373A3" w:rsidRPr="00181FCD">
        <w:t xml:space="preserve"> </w:t>
      </w:r>
      <w:r w:rsidRPr="00181FCD">
        <w:t>aprobó</w:t>
      </w:r>
      <w:r w:rsidR="00F373A3" w:rsidRPr="00181FCD">
        <w:t xml:space="preserve"> </w:t>
      </w:r>
      <w:r w:rsidRPr="00181FCD">
        <w:t>un</w:t>
      </w:r>
      <w:r w:rsidR="00F373A3" w:rsidRPr="00181FCD">
        <w:t xml:space="preserve"> </w:t>
      </w:r>
      <w:r w:rsidRPr="00181FCD">
        <w:t>proyecto</w:t>
      </w:r>
      <w:r w:rsidR="00F373A3" w:rsidRPr="00181FCD">
        <w:t xml:space="preserve"> </w:t>
      </w:r>
      <w:r w:rsidRPr="00181FCD">
        <w:t>de</w:t>
      </w:r>
      <w:r w:rsidR="00F373A3" w:rsidRPr="00181FCD">
        <w:t xml:space="preserve"> </w:t>
      </w:r>
      <w:r w:rsidR="00C820BE" w:rsidRPr="00181FCD">
        <w:t>ley</w:t>
      </w:r>
      <w:r w:rsidR="00F373A3" w:rsidRPr="00181FCD">
        <w:t xml:space="preserve"> </w:t>
      </w:r>
      <w:r w:rsidRPr="00181FCD">
        <w:t>por</w:t>
      </w:r>
      <w:r w:rsidR="00F373A3" w:rsidRPr="00181FCD">
        <w:t xml:space="preserve"> </w:t>
      </w:r>
      <w:r w:rsidRPr="00181FCD">
        <w:t>la</w:t>
      </w:r>
      <w:r w:rsidR="00F373A3" w:rsidRPr="00181FCD">
        <w:t xml:space="preserve"> </w:t>
      </w:r>
      <w:r w:rsidRPr="00181FCD">
        <w:t>que</w:t>
      </w:r>
      <w:r w:rsidR="00F373A3" w:rsidRPr="00181FCD">
        <w:t xml:space="preserve"> </w:t>
      </w:r>
      <w:r w:rsidRPr="00181FCD">
        <w:t>se</w:t>
      </w:r>
      <w:r w:rsidR="00F373A3" w:rsidRPr="00181FCD">
        <w:t xml:space="preserve"> </w:t>
      </w:r>
      <w:r w:rsidRPr="00181FCD">
        <w:t>modifica</w:t>
      </w:r>
      <w:r w:rsidR="00F373A3" w:rsidRPr="00181FCD">
        <w:t xml:space="preserve"> </w:t>
      </w:r>
      <w:r w:rsidRPr="00181FCD">
        <w:t>y</w:t>
      </w:r>
      <w:r w:rsidR="00F373A3" w:rsidRPr="00181FCD">
        <w:t xml:space="preserve"> </w:t>
      </w:r>
      <w:r w:rsidRPr="00181FCD">
        <w:t>complementa</w:t>
      </w:r>
      <w:r w:rsidR="00F373A3" w:rsidRPr="00181FCD">
        <w:t xml:space="preserve"> </w:t>
      </w:r>
      <w:r w:rsidRPr="00181FCD">
        <w:t>la</w:t>
      </w:r>
      <w:r w:rsidR="00F373A3" w:rsidRPr="00181FCD">
        <w:t xml:space="preserve"> </w:t>
      </w:r>
      <w:r w:rsidRPr="00181FCD">
        <w:t>Ley</w:t>
      </w:r>
      <w:r w:rsidR="00F373A3" w:rsidRPr="00181FCD">
        <w:t xml:space="preserve"> </w:t>
      </w:r>
      <w:r w:rsidRPr="00181FCD">
        <w:t>de</w:t>
      </w:r>
      <w:r w:rsidR="00F373A3" w:rsidRPr="00181FCD">
        <w:t xml:space="preserve"> </w:t>
      </w:r>
      <w:r w:rsidRPr="00181FCD">
        <w:t>Ejecución</w:t>
      </w:r>
      <w:r w:rsidR="00F373A3" w:rsidRPr="00181FCD">
        <w:t xml:space="preserve"> </w:t>
      </w:r>
      <w:r w:rsidRPr="00181FCD">
        <w:t>de</w:t>
      </w:r>
      <w:r w:rsidR="00F373A3" w:rsidRPr="00181FCD">
        <w:t xml:space="preserve"> </w:t>
      </w:r>
      <w:r w:rsidRPr="00181FCD">
        <w:t>Penas</w:t>
      </w:r>
      <w:r w:rsidR="00F373A3" w:rsidRPr="00181FCD">
        <w:t xml:space="preserve"> </w:t>
      </w:r>
      <w:r w:rsidRPr="00181FCD">
        <w:t>y</w:t>
      </w:r>
      <w:r w:rsidR="00F373A3" w:rsidRPr="00181FCD">
        <w:t xml:space="preserve"> </w:t>
      </w:r>
      <w:r w:rsidRPr="00181FCD">
        <w:t>Detención</w:t>
      </w:r>
      <w:r w:rsidR="00F373A3" w:rsidRPr="00181FCD">
        <w:t xml:space="preserve"> </w:t>
      </w:r>
      <w:r w:rsidRPr="00181FCD">
        <w:t>Preventiva,</w:t>
      </w:r>
      <w:r w:rsidR="00F373A3" w:rsidRPr="00181FCD">
        <w:t xml:space="preserve"> </w:t>
      </w:r>
      <w:r w:rsidRPr="00181FCD">
        <w:t>que</w:t>
      </w:r>
      <w:r w:rsidR="00F373A3" w:rsidRPr="00181FCD">
        <w:t xml:space="preserve"> </w:t>
      </w:r>
      <w:r w:rsidRPr="00181FCD">
        <w:t>se</w:t>
      </w:r>
      <w:r w:rsidR="00F373A3" w:rsidRPr="00181FCD">
        <w:t xml:space="preserve"> </w:t>
      </w:r>
      <w:r w:rsidRPr="00181FCD">
        <w:t>presentó</w:t>
      </w:r>
      <w:r w:rsidR="00F373A3" w:rsidRPr="00181FCD">
        <w:t xml:space="preserve"> </w:t>
      </w:r>
      <w:r w:rsidRPr="00181FCD">
        <w:t>a</w:t>
      </w:r>
      <w:r w:rsidR="00F373A3" w:rsidRPr="00181FCD">
        <w:t xml:space="preserve"> </w:t>
      </w:r>
      <w:r w:rsidRPr="00181FCD">
        <w:t>la</w:t>
      </w:r>
      <w:r w:rsidR="00F373A3" w:rsidRPr="00181FCD">
        <w:t xml:space="preserve"> </w:t>
      </w:r>
      <w:r w:rsidRPr="00181FCD">
        <w:t>Asamblea</w:t>
      </w:r>
      <w:r w:rsidR="00F373A3" w:rsidRPr="00181FCD">
        <w:t xml:space="preserve"> </w:t>
      </w:r>
      <w:r w:rsidRPr="00181FCD">
        <w:t>Nacional.</w:t>
      </w:r>
      <w:r w:rsidR="00F373A3" w:rsidRPr="00181FCD">
        <w:t xml:space="preserve"> </w:t>
      </w:r>
      <w:r w:rsidRPr="00181FCD">
        <w:t>El</w:t>
      </w:r>
      <w:r w:rsidR="00F373A3" w:rsidRPr="00181FCD">
        <w:t xml:space="preserve"> </w:t>
      </w:r>
      <w:r w:rsidRPr="00181FCD">
        <w:t>proyecto</w:t>
      </w:r>
      <w:r w:rsidR="00F373A3" w:rsidRPr="00181FCD">
        <w:t xml:space="preserve"> </w:t>
      </w:r>
      <w:r w:rsidRPr="00181FCD">
        <w:t>de</w:t>
      </w:r>
      <w:r w:rsidR="00F373A3" w:rsidRPr="00181FCD">
        <w:t xml:space="preserve"> </w:t>
      </w:r>
      <w:r w:rsidRPr="00181FCD">
        <w:t>ley</w:t>
      </w:r>
      <w:r w:rsidR="00F373A3" w:rsidRPr="00181FCD">
        <w:t xml:space="preserve"> </w:t>
      </w:r>
      <w:r w:rsidRPr="00181FCD">
        <w:t>propone</w:t>
      </w:r>
      <w:r w:rsidR="00F373A3" w:rsidRPr="00181FCD">
        <w:t xml:space="preserve"> </w:t>
      </w:r>
      <w:r w:rsidRPr="00181FCD">
        <w:t>una</w:t>
      </w:r>
      <w:r w:rsidR="00F373A3" w:rsidRPr="00181FCD">
        <w:t xml:space="preserve"> </w:t>
      </w:r>
      <w:r w:rsidRPr="00181FCD">
        <w:t>nueva</w:t>
      </w:r>
      <w:r w:rsidR="00F373A3" w:rsidRPr="00181FCD">
        <w:t xml:space="preserve"> </w:t>
      </w:r>
      <w:r w:rsidRPr="00181FCD">
        <w:t>regulación</w:t>
      </w:r>
      <w:r w:rsidR="00F373A3" w:rsidRPr="00181FCD">
        <w:t xml:space="preserve"> </w:t>
      </w:r>
      <w:r w:rsidRPr="00181FCD">
        <w:t>de</w:t>
      </w:r>
      <w:r w:rsidR="00F373A3" w:rsidRPr="00181FCD">
        <w:t xml:space="preserve"> </w:t>
      </w:r>
      <w:r w:rsidRPr="00181FCD">
        <w:t>la</w:t>
      </w:r>
      <w:r w:rsidR="00F373A3" w:rsidRPr="00181FCD">
        <w:t xml:space="preserve"> </w:t>
      </w:r>
      <w:r w:rsidRPr="00181FCD">
        <w:t>vigilancia</w:t>
      </w:r>
      <w:r w:rsidR="00F373A3" w:rsidRPr="00181FCD">
        <w:t xml:space="preserve"> </w:t>
      </w:r>
      <w:r w:rsidRPr="00181FCD">
        <w:t>electrónica</w:t>
      </w:r>
      <w:r w:rsidR="00F373A3" w:rsidRPr="00181FCD">
        <w:t xml:space="preserve"> </w:t>
      </w:r>
      <w:r w:rsidRPr="00181FCD">
        <w:t>como</w:t>
      </w:r>
      <w:r w:rsidR="00F373A3" w:rsidRPr="00181FCD">
        <w:t xml:space="preserve"> </w:t>
      </w:r>
      <w:r w:rsidRPr="00181FCD">
        <w:t>forma</w:t>
      </w:r>
      <w:r w:rsidR="00F373A3" w:rsidRPr="00181FCD">
        <w:t xml:space="preserve"> </w:t>
      </w:r>
      <w:r w:rsidRPr="00181FCD">
        <w:t>de</w:t>
      </w:r>
      <w:r w:rsidR="00F373A3" w:rsidRPr="00181FCD">
        <w:t xml:space="preserve"> </w:t>
      </w:r>
      <w:r w:rsidRPr="00181FCD">
        <w:t>control</w:t>
      </w:r>
      <w:r w:rsidR="00F373A3" w:rsidRPr="00181FCD">
        <w:t xml:space="preserve"> </w:t>
      </w:r>
      <w:r w:rsidRPr="00181FCD">
        <w:t>del</w:t>
      </w:r>
      <w:r w:rsidR="00F373A3" w:rsidRPr="00181FCD">
        <w:t xml:space="preserve"> </w:t>
      </w:r>
      <w:r w:rsidRPr="00181FCD">
        <w:t>comportamiento</w:t>
      </w:r>
      <w:r w:rsidR="00F373A3" w:rsidRPr="00181FCD">
        <w:t xml:space="preserve"> </w:t>
      </w:r>
      <w:r w:rsidRPr="00181FCD">
        <w:t>de</w:t>
      </w:r>
      <w:r w:rsidR="00F373A3" w:rsidRPr="00181FCD">
        <w:t xml:space="preserve"> </w:t>
      </w:r>
      <w:r w:rsidRPr="00181FCD">
        <w:t>determinadas</w:t>
      </w:r>
      <w:r w:rsidR="00F373A3" w:rsidRPr="00181FCD">
        <w:t xml:space="preserve"> </w:t>
      </w:r>
      <w:r w:rsidRPr="00181FCD">
        <w:t>categorías</w:t>
      </w:r>
      <w:r w:rsidR="00F373A3" w:rsidRPr="00181FCD">
        <w:t xml:space="preserve"> </w:t>
      </w:r>
      <w:r w:rsidRPr="00181FCD">
        <w:t>de</w:t>
      </w:r>
      <w:r w:rsidR="00F373A3" w:rsidRPr="00181FCD">
        <w:t xml:space="preserve"> </w:t>
      </w:r>
      <w:r w:rsidRPr="00181FCD">
        <w:t>personas</w:t>
      </w:r>
      <w:r w:rsidR="00F373A3" w:rsidRPr="00181FCD">
        <w:t xml:space="preserve"> </w:t>
      </w:r>
      <w:r w:rsidRPr="00181FCD">
        <w:t>condenadas.</w:t>
      </w:r>
      <w:r w:rsidR="00F373A3" w:rsidRPr="00181FCD">
        <w:t xml:space="preserve"> </w:t>
      </w:r>
      <w:r w:rsidRPr="00181FCD">
        <w:t>La</w:t>
      </w:r>
      <w:r w:rsidR="00F373A3" w:rsidRPr="00181FCD">
        <w:t xml:space="preserve"> </w:t>
      </w:r>
      <w:r w:rsidRPr="00181FCD">
        <w:t>nueva</w:t>
      </w:r>
      <w:r w:rsidR="00F373A3" w:rsidRPr="00181FCD">
        <w:t xml:space="preserve"> </w:t>
      </w:r>
      <w:r w:rsidRPr="00181FCD">
        <w:t>reglamentación</w:t>
      </w:r>
      <w:r w:rsidR="00F373A3" w:rsidRPr="00181FCD">
        <w:t xml:space="preserve"> </w:t>
      </w:r>
      <w:r w:rsidRPr="00181FCD">
        <w:t>se</w:t>
      </w:r>
      <w:r w:rsidR="00F373A3" w:rsidRPr="00181FCD">
        <w:t xml:space="preserve"> </w:t>
      </w:r>
      <w:r w:rsidRPr="00181FCD">
        <w:t>extiende</w:t>
      </w:r>
      <w:r w:rsidR="00F373A3" w:rsidRPr="00181FCD">
        <w:t xml:space="preserve"> </w:t>
      </w:r>
      <w:r w:rsidRPr="00181FCD">
        <w:t>a</w:t>
      </w:r>
      <w:r w:rsidR="00F373A3" w:rsidRPr="00181FCD">
        <w:t xml:space="preserve"> </w:t>
      </w:r>
      <w:r w:rsidRPr="00181FCD">
        <w:t>la</w:t>
      </w:r>
      <w:r w:rsidR="00F373A3" w:rsidRPr="00181FCD">
        <w:t xml:space="preserve"> </w:t>
      </w:r>
      <w:r w:rsidRPr="00181FCD">
        <w:t>aplicación</w:t>
      </w:r>
      <w:r w:rsidR="00F373A3" w:rsidRPr="00181FCD">
        <w:t xml:space="preserve"> </w:t>
      </w:r>
      <w:r w:rsidRPr="00181FCD">
        <w:t>de</w:t>
      </w:r>
      <w:r w:rsidR="00F373A3" w:rsidRPr="00181FCD">
        <w:t xml:space="preserve"> </w:t>
      </w:r>
      <w:r w:rsidRPr="00181FCD">
        <w:t>las</w:t>
      </w:r>
      <w:r w:rsidR="00F373A3" w:rsidRPr="00181FCD">
        <w:t xml:space="preserve"> </w:t>
      </w:r>
      <w:r w:rsidRPr="00181FCD">
        <w:t>medidas</w:t>
      </w:r>
      <w:r w:rsidR="00F373A3" w:rsidRPr="00181FCD">
        <w:t xml:space="preserve"> </w:t>
      </w:r>
      <w:r w:rsidRPr="00181FCD">
        <w:t>de</w:t>
      </w:r>
      <w:r w:rsidR="00F373A3" w:rsidRPr="00181FCD">
        <w:t xml:space="preserve"> </w:t>
      </w:r>
      <w:r w:rsidRPr="00181FCD">
        <w:t>libertad</w:t>
      </w:r>
      <w:r w:rsidR="00F373A3" w:rsidRPr="00181FCD">
        <w:t xml:space="preserve"> </w:t>
      </w:r>
      <w:r w:rsidRPr="00181FCD">
        <w:t>vigilada,</w:t>
      </w:r>
      <w:r w:rsidR="00F373A3" w:rsidRPr="00181FCD">
        <w:t xml:space="preserve"> </w:t>
      </w:r>
      <w:r w:rsidRPr="00181FCD">
        <w:t>de</w:t>
      </w:r>
      <w:r w:rsidR="00F373A3" w:rsidRPr="00181FCD">
        <w:t xml:space="preserve"> </w:t>
      </w:r>
      <w:r w:rsidRPr="00181FCD">
        <w:t>conformidad</w:t>
      </w:r>
      <w:r w:rsidR="00F373A3" w:rsidRPr="00181FCD">
        <w:t xml:space="preserve"> </w:t>
      </w:r>
      <w:r w:rsidRPr="00181FCD">
        <w:t>con</w:t>
      </w:r>
      <w:r w:rsidR="00F373A3" w:rsidRPr="00181FCD">
        <w:t xml:space="preserve"> </w:t>
      </w:r>
      <w:r w:rsidRPr="00181FCD">
        <w:t>las</w:t>
      </w:r>
      <w:r w:rsidR="00F373A3" w:rsidRPr="00181FCD">
        <w:t xml:space="preserve"> </w:t>
      </w:r>
      <w:r w:rsidRPr="00181FCD">
        <w:t>normas</w:t>
      </w:r>
      <w:r w:rsidR="00F373A3" w:rsidRPr="00181FCD">
        <w:t xml:space="preserve"> </w:t>
      </w:r>
      <w:r w:rsidRPr="00181FCD">
        <w:t>europeas,</w:t>
      </w:r>
      <w:r w:rsidR="00F373A3" w:rsidRPr="00181FCD">
        <w:t xml:space="preserve"> </w:t>
      </w:r>
      <w:r w:rsidRPr="00181FCD">
        <w:t>a</w:t>
      </w:r>
      <w:r w:rsidR="00F373A3" w:rsidRPr="00181FCD">
        <w:t xml:space="preserve"> </w:t>
      </w:r>
      <w:r w:rsidRPr="00181FCD">
        <w:t>través</w:t>
      </w:r>
      <w:r w:rsidR="00F373A3" w:rsidRPr="00181FCD">
        <w:t xml:space="preserve"> </w:t>
      </w:r>
      <w:r w:rsidRPr="00181FCD">
        <w:t>de</w:t>
      </w:r>
      <w:r w:rsidR="00F373A3" w:rsidRPr="00181FCD">
        <w:t xml:space="preserve"> </w:t>
      </w:r>
      <w:r w:rsidRPr="00181FCD">
        <w:t>la</w:t>
      </w:r>
      <w:r w:rsidR="00F373A3" w:rsidRPr="00181FCD">
        <w:t xml:space="preserve"> </w:t>
      </w:r>
      <w:r w:rsidRPr="00181FCD">
        <w:t>introducción</w:t>
      </w:r>
      <w:r w:rsidR="00F373A3" w:rsidRPr="00181FCD">
        <w:t xml:space="preserve"> </w:t>
      </w:r>
      <w:r w:rsidRPr="00181FCD">
        <w:t>de</w:t>
      </w:r>
      <w:r w:rsidR="00F373A3" w:rsidRPr="00181FCD">
        <w:t xml:space="preserve"> </w:t>
      </w:r>
      <w:r w:rsidRPr="00181FCD">
        <w:t>un</w:t>
      </w:r>
      <w:r w:rsidR="00F373A3" w:rsidRPr="00181FCD">
        <w:t xml:space="preserve"> </w:t>
      </w:r>
      <w:r w:rsidRPr="00181FCD">
        <w:t>sistema</w:t>
      </w:r>
      <w:r w:rsidR="00F373A3" w:rsidRPr="00181FCD">
        <w:t xml:space="preserve"> </w:t>
      </w:r>
      <w:r w:rsidRPr="00181FCD">
        <w:t>de</w:t>
      </w:r>
      <w:r w:rsidR="00F373A3" w:rsidRPr="00181FCD">
        <w:t xml:space="preserve"> </w:t>
      </w:r>
      <w:r w:rsidRPr="00181FCD">
        <w:t>seguimiento</w:t>
      </w:r>
      <w:r w:rsidR="00F373A3" w:rsidRPr="00181FCD">
        <w:t xml:space="preserve"> </w:t>
      </w:r>
      <w:r w:rsidRPr="00181FCD">
        <w:t>electrónico.</w:t>
      </w:r>
    </w:p>
    <w:p w:rsidR="001937F4" w:rsidRPr="00181FCD" w:rsidRDefault="00F373A3" w:rsidP="00347B20">
      <w:pPr>
        <w:pStyle w:val="H4G"/>
      </w:pPr>
      <w:r w:rsidRPr="00181FCD">
        <w:tab/>
      </w:r>
      <w:r w:rsidRPr="00181FCD">
        <w:tab/>
      </w:r>
      <w:r w:rsidR="001937F4" w:rsidRPr="00181FCD">
        <w:t>Código</w:t>
      </w:r>
      <w:r w:rsidRPr="00181FCD">
        <w:t xml:space="preserve"> </w:t>
      </w:r>
      <w:r w:rsidR="001937F4" w:rsidRPr="00181FCD">
        <w:t>de</w:t>
      </w:r>
      <w:r w:rsidRPr="00181FCD">
        <w:t xml:space="preserve"> </w:t>
      </w:r>
      <w:r w:rsidR="001937F4" w:rsidRPr="00181FCD">
        <w:t>Procedimiento</w:t>
      </w:r>
      <w:r w:rsidRPr="00181FCD">
        <w:t xml:space="preserve"> </w:t>
      </w:r>
      <w:r w:rsidR="001937F4" w:rsidRPr="00181FCD">
        <w:t>Civil</w:t>
      </w:r>
    </w:p>
    <w:p w:rsidR="001937F4" w:rsidRPr="00181FCD" w:rsidRDefault="001937F4" w:rsidP="00347B20">
      <w:pPr>
        <w:pStyle w:val="SingleTxtG"/>
        <w:suppressAutoHyphens/>
      </w:pPr>
      <w:r w:rsidRPr="00181FCD">
        <w:t>41.</w:t>
      </w:r>
      <w:r w:rsidRPr="00181FCD">
        <w:tab/>
        <w:t>En</w:t>
      </w:r>
      <w:r w:rsidR="00F373A3" w:rsidRPr="00181FCD">
        <w:t xml:space="preserve"> </w:t>
      </w:r>
      <w:r w:rsidRPr="00181FCD">
        <w:t>2010-2014</w:t>
      </w:r>
      <w:r w:rsidR="00F373A3" w:rsidRPr="00181FCD">
        <w:t xml:space="preserve"> </w:t>
      </w:r>
      <w:r w:rsidRPr="00181FCD">
        <w:t>se</w:t>
      </w:r>
      <w:r w:rsidR="00F373A3" w:rsidRPr="00181FCD">
        <w:t xml:space="preserve"> </w:t>
      </w:r>
      <w:r w:rsidRPr="00181FCD">
        <w:t>llevó</w:t>
      </w:r>
      <w:r w:rsidR="00F373A3" w:rsidRPr="00181FCD">
        <w:t xml:space="preserve"> </w:t>
      </w:r>
      <w:r w:rsidRPr="00181FCD">
        <w:t>a</w:t>
      </w:r>
      <w:r w:rsidR="00F373A3" w:rsidRPr="00181FCD">
        <w:t xml:space="preserve"> </w:t>
      </w:r>
      <w:r w:rsidRPr="00181FCD">
        <w:t>cabo</w:t>
      </w:r>
      <w:r w:rsidR="00F373A3" w:rsidRPr="00181FCD">
        <w:t xml:space="preserve"> </w:t>
      </w:r>
      <w:r w:rsidRPr="00181FCD">
        <w:t>un</w:t>
      </w:r>
      <w:r w:rsidR="00F373A3" w:rsidRPr="00181FCD">
        <w:t xml:space="preserve"> </w:t>
      </w:r>
      <w:r w:rsidRPr="00181FCD">
        <w:t>seguimiento</w:t>
      </w:r>
      <w:r w:rsidR="00F373A3" w:rsidRPr="00181FCD">
        <w:t xml:space="preserve"> </w:t>
      </w:r>
      <w:r w:rsidRPr="00181FCD">
        <w:t>de</w:t>
      </w:r>
      <w:r w:rsidR="00F373A3" w:rsidRPr="00181FCD">
        <w:t xml:space="preserve"> </w:t>
      </w:r>
      <w:r w:rsidRPr="00181FCD">
        <w:t>la</w:t>
      </w:r>
      <w:r w:rsidR="00F373A3" w:rsidRPr="00181FCD">
        <w:t xml:space="preserve"> </w:t>
      </w:r>
      <w:r w:rsidRPr="00181FCD">
        <w:t>aplicación</w:t>
      </w:r>
      <w:r w:rsidR="00F373A3" w:rsidRPr="00181FCD">
        <w:t xml:space="preserve"> </w:t>
      </w:r>
      <w:r w:rsidRPr="00181FCD">
        <w:t>del</w:t>
      </w:r>
      <w:r w:rsidR="00F373A3" w:rsidRPr="00181FCD">
        <w:t xml:space="preserve"> </w:t>
      </w:r>
      <w:r w:rsidRPr="00181FCD">
        <w:t>Código</w:t>
      </w:r>
      <w:r w:rsidR="00F373A3" w:rsidRPr="00181FCD">
        <w:t xml:space="preserve"> </w:t>
      </w:r>
      <w:r w:rsidRPr="00181FCD">
        <w:t>de</w:t>
      </w:r>
      <w:r w:rsidR="00F373A3" w:rsidRPr="00181FCD">
        <w:t xml:space="preserve"> </w:t>
      </w:r>
      <w:r w:rsidRPr="00181FCD">
        <w:t>Procedimiento</w:t>
      </w:r>
      <w:r w:rsidR="00F373A3" w:rsidRPr="00181FCD">
        <w:t xml:space="preserve"> </w:t>
      </w:r>
      <w:r w:rsidRPr="00181FCD">
        <w:t>Civil.</w:t>
      </w:r>
      <w:r w:rsidR="00F373A3" w:rsidRPr="00181FCD">
        <w:t xml:space="preserve"> </w:t>
      </w:r>
      <w:r w:rsidRPr="00181FCD">
        <w:t>Se</w:t>
      </w:r>
      <w:r w:rsidR="00F373A3" w:rsidRPr="00181FCD">
        <w:t xml:space="preserve"> </w:t>
      </w:r>
      <w:r w:rsidRPr="00181FCD">
        <w:t>examinaron</w:t>
      </w:r>
      <w:r w:rsidR="00F373A3" w:rsidRPr="00181FCD">
        <w:t xml:space="preserve"> </w:t>
      </w:r>
      <w:r w:rsidRPr="00181FCD">
        <w:t>los</w:t>
      </w:r>
      <w:r w:rsidR="00F373A3" w:rsidRPr="00181FCD">
        <w:t xml:space="preserve"> </w:t>
      </w:r>
      <w:r w:rsidRPr="00181FCD">
        <w:t>procedimientos</w:t>
      </w:r>
      <w:r w:rsidR="00F373A3" w:rsidRPr="00181FCD">
        <w:t xml:space="preserve"> </w:t>
      </w:r>
      <w:r w:rsidRPr="00181FCD">
        <w:t>de</w:t>
      </w:r>
      <w:r w:rsidR="00F373A3" w:rsidRPr="00181FCD">
        <w:t xml:space="preserve"> </w:t>
      </w:r>
      <w:r w:rsidRPr="00181FCD">
        <w:t>primera</w:t>
      </w:r>
      <w:r w:rsidR="00F373A3" w:rsidRPr="00181FCD">
        <w:t xml:space="preserve"> </w:t>
      </w:r>
      <w:r w:rsidRPr="00181FCD">
        <w:t>instancia,</w:t>
      </w:r>
      <w:r w:rsidR="00F373A3" w:rsidRPr="00181FCD">
        <w:t xml:space="preserve"> </w:t>
      </w:r>
      <w:r w:rsidRPr="00181FCD">
        <w:t>los</w:t>
      </w:r>
      <w:r w:rsidR="00F373A3" w:rsidRPr="00181FCD">
        <w:t xml:space="preserve"> </w:t>
      </w:r>
      <w:r w:rsidRPr="00181FCD">
        <w:t>procedimientos</w:t>
      </w:r>
      <w:r w:rsidR="00F373A3" w:rsidRPr="00181FCD">
        <w:t xml:space="preserve"> </w:t>
      </w:r>
      <w:r w:rsidRPr="00181FCD">
        <w:t>de</w:t>
      </w:r>
      <w:r w:rsidR="00F373A3" w:rsidRPr="00181FCD">
        <w:t xml:space="preserve"> </w:t>
      </w:r>
      <w:r w:rsidRPr="00181FCD">
        <w:t>recurso,</w:t>
      </w:r>
      <w:r w:rsidR="00F373A3" w:rsidRPr="00181FCD">
        <w:t xml:space="preserve"> </w:t>
      </w:r>
      <w:r w:rsidRPr="00181FCD">
        <w:t>los</w:t>
      </w:r>
      <w:r w:rsidR="00F373A3" w:rsidRPr="00181FCD">
        <w:t xml:space="preserve"> </w:t>
      </w:r>
      <w:r w:rsidRPr="00181FCD">
        <w:t>procedimientos</w:t>
      </w:r>
      <w:r w:rsidR="00F373A3" w:rsidRPr="00181FCD">
        <w:t xml:space="preserve"> </w:t>
      </w:r>
      <w:r w:rsidRPr="00181FCD">
        <w:t>de</w:t>
      </w:r>
      <w:r w:rsidR="00F373A3" w:rsidRPr="00181FCD">
        <w:t xml:space="preserve"> </w:t>
      </w:r>
      <w:r w:rsidRPr="00181FCD">
        <w:t>pago</w:t>
      </w:r>
      <w:r w:rsidR="00F373A3" w:rsidRPr="00181FCD">
        <w:t xml:space="preserve"> </w:t>
      </w:r>
      <w:r w:rsidRPr="00181FCD">
        <w:t>y</w:t>
      </w:r>
      <w:r w:rsidR="00F373A3" w:rsidRPr="00181FCD">
        <w:t xml:space="preserve"> </w:t>
      </w:r>
      <w:r w:rsidRPr="00181FCD">
        <w:t>los</w:t>
      </w:r>
      <w:r w:rsidR="00F373A3" w:rsidRPr="00181FCD">
        <w:t xml:space="preserve"> </w:t>
      </w:r>
      <w:r w:rsidRPr="00181FCD">
        <w:t>procedimientos</w:t>
      </w:r>
      <w:r w:rsidR="00F373A3" w:rsidRPr="00181FCD">
        <w:t xml:space="preserve"> </w:t>
      </w:r>
      <w:r w:rsidRPr="00181FCD">
        <w:t>de</w:t>
      </w:r>
      <w:r w:rsidR="00F373A3" w:rsidRPr="00181FCD">
        <w:t xml:space="preserve"> </w:t>
      </w:r>
      <w:r w:rsidRPr="00181FCD">
        <w:t>ejecución.</w:t>
      </w:r>
      <w:r w:rsidR="00F373A3" w:rsidRPr="00181FCD">
        <w:t xml:space="preserve"> </w:t>
      </w:r>
      <w:r w:rsidRPr="00181FCD">
        <w:t>La</w:t>
      </w:r>
      <w:r w:rsidR="00F373A3" w:rsidRPr="00181FCD">
        <w:t xml:space="preserve"> </w:t>
      </w:r>
      <w:r w:rsidRPr="00181FCD">
        <w:t>evaluación</w:t>
      </w:r>
      <w:r w:rsidR="00F373A3" w:rsidRPr="00181FCD">
        <w:t xml:space="preserve"> </w:t>
      </w:r>
      <w:r w:rsidRPr="00181FCD">
        <w:t>de</w:t>
      </w:r>
      <w:r w:rsidR="00F373A3" w:rsidRPr="00181FCD">
        <w:t xml:space="preserve"> </w:t>
      </w:r>
      <w:r w:rsidRPr="00181FCD">
        <w:t>impacto</w:t>
      </w:r>
      <w:r w:rsidR="00F373A3" w:rsidRPr="00181FCD">
        <w:t xml:space="preserve"> </w:t>
      </w:r>
      <w:r w:rsidRPr="00181FCD">
        <w:t>de</w:t>
      </w:r>
      <w:r w:rsidR="00F373A3" w:rsidRPr="00181FCD">
        <w:t xml:space="preserve"> </w:t>
      </w:r>
      <w:r w:rsidRPr="00181FCD">
        <w:t>los</w:t>
      </w:r>
      <w:r w:rsidR="00F373A3" w:rsidRPr="00181FCD">
        <w:t xml:space="preserve"> </w:t>
      </w:r>
      <w:r w:rsidRPr="00181FCD">
        <w:t>procedimientos</w:t>
      </w:r>
      <w:r w:rsidR="00F373A3" w:rsidRPr="00181FCD">
        <w:t xml:space="preserve"> </w:t>
      </w:r>
      <w:r w:rsidRPr="00181FCD">
        <w:t>de</w:t>
      </w:r>
      <w:r w:rsidR="00F373A3" w:rsidRPr="00181FCD">
        <w:t xml:space="preserve"> </w:t>
      </w:r>
      <w:r w:rsidRPr="00181FCD">
        <w:t>primera</w:t>
      </w:r>
      <w:r w:rsidR="00F373A3" w:rsidRPr="00181FCD">
        <w:t xml:space="preserve"> </w:t>
      </w:r>
      <w:r w:rsidRPr="00181FCD">
        <w:t>instancia</w:t>
      </w:r>
      <w:r w:rsidR="00F373A3" w:rsidRPr="00181FCD">
        <w:t xml:space="preserve"> </w:t>
      </w:r>
      <w:r w:rsidRPr="00181FCD">
        <w:t>demostró</w:t>
      </w:r>
      <w:r w:rsidR="00F373A3" w:rsidRPr="00181FCD">
        <w:t xml:space="preserve"> </w:t>
      </w:r>
      <w:r w:rsidRPr="00181FCD">
        <w:t>que</w:t>
      </w:r>
      <w:r w:rsidR="00F373A3" w:rsidRPr="00181FCD">
        <w:t xml:space="preserve"> </w:t>
      </w:r>
      <w:r w:rsidRPr="00181FCD">
        <w:t>esas</w:t>
      </w:r>
      <w:r w:rsidR="00F373A3" w:rsidRPr="00181FCD">
        <w:t xml:space="preserve"> </w:t>
      </w:r>
      <w:r w:rsidRPr="00181FCD">
        <w:t>actuaciones</w:t>
      </w:r>
      <w:r w:rsidR="00F373A3" w:rsidRPr="00181FCD">
        <w:t xml:space="preserve"> </w:t>
      </w:r>
      <w:r w:rsidRPr="00181FCD">
        <w:t>estaban</w:t>
      </w:r>
      <w:r w:rsidR="00F373A3" w:rsidRPr="00181FCD">
        <w:t xml:space="preserve"> </w:t>
      </w:r>
      <w:r w:rsidRPr="00181FCD">
        <w:t>reguladas</w:t>
      </w:r>
      <w:r w:rsidR="00F373A3" w:rsidRPr="00181FCD">
        <w:t xml:space="preserve"> </w:t>
      </w:r>
      <w:r w:rsidRPr="00181FCD">
        <w:t>adecuadamente</w:t>
      </w:r>
      <w:r w:rsidR="00F373A3" w:rsidRPr="00181FCD">
        <w:t xml:space="preserve"> </w:t>
      </w:r>
      <w:r w:rsidRPr="00181FCD">
        <w:t>en</w:t>
      </w:r>
      <w:r w:rsidR="00F373A3" w:rsidRPr="00181FCD">
        <w:t xml:space="preserve"> </w:t>
      </w:r>
      <w:r w:rsidRPr="00181FCD">
        <w:t>el</w:t>
      </w:r>
      <w:r w:rsidR="00F373A3" w:rsidRPr="00181FCD">
        <w:t xml:space="preserve"> </w:t>
      </w:r>
      <w:r w:rsidRPr="00181FCD">
        <w:t>nuevo</w:t>
      </w:r>
      <w:r w:rsidR="00F373A3" w:rsidRPr="00181FCD">
        <w:t xml:space="preserve"> </w:t>
      </w:r>
      <w:r w:rsidRPr="00181FCD">
        <w:t>Código</w:t>
      </w:r>
      <w:r w:rsidR="00F373A3" w:rsidRPr="00181FCD">
        <w:t xml:space="preserve"> </w:t>
      </w:r>
      <w:r w:rsidRPr="00181FCD">
        <w:t>de</w:t>
      </w:r>
      <w:r w:rsidR="00F373A3" w:rsidRPr="00181FCD">
        <w:t xml:space="preserve"> </w:t>
      </w:r>
      <w:r w:rsidRPr="00181FCD">
        <w:t>Procedimiento</w:t>
      </w:r>
      <w:r w:rsidR="00F373A3" w:rsidRPr="00181FCD">
        <w:t xml:space="preserve"> </w:t>
      </w:r>
      <w:r w:rsidRPr="00181FCD">
        <w:t>Civil</w:t>
      </w:r>
      <w:r w:rsidR="00F373A3" w:rsidRPr="00181FCD">
        <w:t xml:space="preserve"> </w:t>
      </w:r>
      <w:r w:rsidRPr="00181FCD">
        <w:t>y</w:t>
      </w:r>
      <w:r w:rsidR="00F373A3" w:rsidRPr="00181FCD">
        <w:t xml:space="preserve"> </w:t>
      </w:r>
      <w:r w:rsidRPr="00181FCD">
        <w:t>cumplían</w:t>
      </w:r>
      <w:r w:rsidR="00F373A3" w:rsidRPr="00181FCD">
        <w:t xml:space="preserve"> </w:t>
      </w:r>
      <w:r w:rsidRPr="00181FCD">
        <w:t>con</w:t>
      </w:r>
      <w:r w:rsidR="00F373A3" w:rsidRPr="00181FCD">
        <w:t xml:space="preserve"> </w:t>
      </w:r>
      <w:r w:rsidRPr="00181FCD">
        <w:t>sus</w:t>
      </w:r>
      <w:r w:rsidR="00F373A3" w:rsidRPr="00181FCD">
        <w:t xml:space="preserve"> </w:t>
      </w:r>
      <w:r w:rsidRPr="00181FCD">
        <w:t>objetivos.</w:t>
      </w:r>
      <w:r w:rsidR="00F373A3" w:rsidRPr="00181FCD">
        <w:t xml:space="preserve"> </w:t>
      </w:r>
      <w:r w:rsidRPr="00181FCD">
        <w:t>Se</w:t>
      </w:r>
      <w:r w:rsidR="00F373A3" w:rsidRPr="00181FCD">
        <w:t xml:space="preserve"> </w:t>
      </w:r>
      <w:r w:rsidRPr="00181FCD">
        <w:t>daban</w:t>
      </w:r>
      <w:r w:rsidR="00F373A3" w:rsidRPr="00181FCD">
        <w:t xml:space="preserve"> </w:t>
      </w:r>
      <w:r w:rsidRPr="00181FCD">
        <w:t>las</w:t>
      </w:r>
      <w:r w:rsidR="00F373A3" w:rsidRPr="00181FCD">
        <w:t xml:space="preserve"> </w:t>
      </w:r>
      <w:r w:rsidRPr="00181FCD">
        <w:t>condiciones</w:t>
      </w:r>
      <w:r w:rsidR="00F373A3" w:rsidRPr="00181FCD">
        <w:t xml:space="preserve"> </w:t>
      </w:r>
      <w:r w:rsidRPr="00181FCD">
        <w:t>para</w:t>
      </w:r>
      <w:r w:rsidR="00F373A3" w:rsidRPr="00181FCD">
        <w:t xml:space="preserve"> </w:t>
      </w:r>
      <w:r w:rsidRPr="00181FCD">
        <w:t>la</w:t>
      </w:r>
      <w:r w:rsidR="00F373A3" w:rsidRPr="00181FCD">
        <w:t xml:space="preserve"> </w:t>
      </w:r>
      <w:r w:rsidRPr="00181FCD">
        <w:t>consecución</w:t>
      </w:r>
      <w:r w:rsidR="00F373A3" w:rsidRPr="00181FCD">
        <w:t xml:space="preserve"> </w:t>
      </w:r>
      <w:r w:rsidRPr="00181FCD">
        <w:t>efectiva</w:t>
      </w:r>
      <w:r w:rsidR="00F373A3" w:rsidRPr="00181FCD">
        <w:t xml:space="preserve"> </w:t>
      </w:r>
      <w:r w:rsidRPr="00181FCD">
        <w:t>de</w:t>
      </w:r>
      <w:r w:rsidR="00F373A3" w:rsidRPr="00181FCD">
        <w:t xml:space="preserve"> </w:t>
      </w:r>
      <w:r w:rsidRPr="00181FCD">
        <w:t>tales</w:t>
      </w:r>
      <w:r w:rsidR="00F373A3" w:rsidRPr="00181FCD">
        <w:t xml:space="preserve"> </w:t>
      </w:r>
      <w:r w:rsidRPr="00181FCD">
        <w:t>objetivos.</w:t>
      </w:r>
      <w:r w:rsidR="00F373A3" w:rsidRPr="00181FCD">
        <w:t xml:space="preserve"> </w:t>
      </w:r>
      <w:r w:rsidRPr="00181FCD">
        <w:t>No</w:t>
      </w:r>
      <w:r w:rsidR="00F373A3" w:rsidRPr="00181FCD">
        <w:t xml:space="preserve"> </w:t>
      </w:r>
      <w:r w:rsidRPr="00181FCD">
        <w:t>hubo</w:t>
      </w:r>
      <w:r w:rsidR="00F373A3" w:rsidRPr="00181FCD">
        <w:t xml:space="preserve"> </w:t>
      </w:r>
      <w:r w:rsidRPr="00181FCD">
        <w:t>casos</w:t>
      </w:r>
      <w:r w:rsidR="00F373A3" w:rsidRPr="00181FCD">
        <w:t xml:space="preserve"> </w:t>
      </w:r>
      <w:r w:rsidRPr="00181FCD">
        <w:t>significativos</w:t>
      </w:r>
      <w:r w:rsidR="00F373A3" w:rsidRPr="00181FCD">
        <w:t xml:space="preserve"> </w:t>
      </w:r>
      <w:r w:rsidRPr="00181FCD">
        <w:t>de</w:t>
      </w:r>
      <w:r w:rsidR="00F373A3" w:rsidRPr="00181FCD">
        <w:t xml:space="preserve"> </w:t>
      </w:r>
      <w:r w:rsidRPr="00181FCD">
        <w:t>desviación</w:t>
      </w:r>
      <w:r w:rsidR="00F373A3" w:rsidRPr="00181FCD">
        <w:t xml:space="preserve"> </w:t>
      </w:r>
      <w:r w:rsidRPr="00181FCD">
        <w:t>de</w:t>
      </w:r>
      <w:r w:rsidR="00F373A3" w:rsidRPr="00181FCD">
        <w:t xml:space="preserve"> </w:t>
      </w:r>
      <w:r w:rsidRPr="00181FCD">
        <w:t>la</w:t>
      </w:r>
      <w:r w:rsidR="00F373A3" w:rsidRPr="00181FCD">
        <w:t xml:space="preserve"> </w:t>
      </w:r>
      <w:r w:rsidRPr="00181FCD">
        <w:t>justicia</w:t>
      </w:r>
      <w:r w:rsidR="00F373A3" w:rsidRPr="00181FCD">
        <w:t xml:space="preserve"> </w:t>
      </w:r>
      <w:r w:rsidRPr="00181FCD">
        <w:t>que</w:t>
      </w:r>
      <w:r w:rsidR="00F373A3" w:rsidRPr="00181FCD">
        <w:t xml:space="preserve"> </w:t>
      </w:r>
      <w:r w:rsidRPr="00181FCD">
        <w:t>justificaran</w:t>
      </w:r>
      <w:r w:rsidR="00F373A3" w:rsidRPr="00181FCD">
        <w:t xml:space="preserve"> </w:t>
      </w:r>
      <w:r w:rsidRPr="00181FCD">
        <w:t>imponer</w:t>
      </w:r>
      <w:r w:rsidR="00F373A3" w:rsidRPr="00181FCD">
        <w:t xml:space="preserve"> </w:t>
      </w:r>
      <w:r w:rsidRPr="00181FCD">
        <w:t>actividades</w:t>
      </w:r>
      <w:r w:rsidR="00F373A3" w:rsidRPr="00181FCD">
        <w:t xml:space="preserve"> </w:t>
      </w:r>
      <w:r w:rsidRPr="00181FCD">
        <w:t>de</w:t>
      </w:r>
      <w:r w:rsidR="00F373A3" w:rsidRPr="00181FCD">
        <w:t xml:space="preserve"> </w:t>
      </w:r>
      <w:r w:rsidRPr="00181FCD">
        <w:t>seguimiento</w:t>
      </w:r>
      <w:r w:rsidR="00F373A3" w:rsidRPr="00181FCD">
        <w:t xml:space="preserve"> </w:t>
      </w:r>
      <w:r w:rsidRPr="00181FCD">
        <w:t>y</w:t>
      </w:r>
      <w:r w:rsidR="00F373A3" w:rsidRPr="00181FCD">
        <w:t xml:space="preserve"> </w:t>
      </w:r>
      <w:r w:rsidRPr="00181FCD">
        <w:t>modificaciones</w:t>
      </w:r>
      <w:r w:rsidR="00F373A3" w:rsidRPr="00181FCD">
        <w:t xml:space="preserve"> </w:t>
      </w:r>
      <w:r w:rsidRPr="00181FCD">
        <w:t>legislativas.</w:t>
      </w:r>
      <w:r w:rsidR="00672EC2" w:rsidRPr="00181FCD">
        <w:t xml:space="preserve"> </w:t>
      </w:r>
      <w:r w:rsidRPr="00181FCD">
        <w:t>Una</w:t>
      </w:r>
      <w:r w:rsidR="00F373A3" w:rsidRPr="00181FCD">
        <w:t xml:space="preserve"> </w:t>
      </w:r>
      <w:r w:rsidRPr="00181FCD">
        <w:t>jurisprudencia</w:t>
      </w:r>
      <w:r w:rsidR="00F373A3" w:rsidRPr="00181FCD">
        <w:t xml:space="preserve"> </w:t>
      </w:r>
      <w:r w:rsidRPr="00181FCD">
        <w:t>reiterada</w:t>
      </w:r>
      <w:r w:rsidR="00F373A3" w:rsidRPr="00181FCD">
        <w:t xml:space="preserve"> </w:t>
      </w:r>
      <w:r w:rsidRPr="00181FCD">
        <w:t>ha</w:t>
      </w:r>
      <w:r w:rsidR="00F373A3" w:rsidRPr="00181FCD">
        <w:t xml:space="preserve"> </w:t>
      </w:r>
      <w:r w:rsidRPr="00181FCD">
        <w:t>permitido</w:t>
      </w:r>
      <w:r w:rsidR="00F373A3" w:rsidRPr="00181FCD">
        <w:t xml:space="preserve"> </w:t>
      </w:r>
      <w:r w:rsidRPr="00181FCD">
        <w:t>subsanar</w:t>
      </w:r>
      <w:r w:rsidR="00F373A3" w:rsidRPr="00181FCD">
        <w:t xml:space="preserve"> </w:t>
      </w:r>
      <w:r w:rsidRPr="00181FCD">
        <w:t>una</w:t>
      </w:r>
      <w:r w:rsidR="00F373A3" w:rsidRPr="00181FCD">
        <w:t xml:space="preserve"> </w:t>
      </w:r>
      <w:r w:rsidRPr="00181FCD">
        <w:t>serie</w:t>
      </w:r>
      <w:r w:rsidR="00F373A3" w:rsidRPr="00181FCD">
        <w:t xml:space="preserve"> </w:t>
      </w:r>
      <w:r w:rsidRPr="00181FCD">
        <w:t>de</w:t>
      </w:r>
      <w:r w:rsidR="00F373A3" w:rsidRPr="00181FCD">
        <w:t xml:space="preserve"> </w:t>
      </w:r>
      <w:r w:rsidRPr="00181FCD">
        <w:t>deficiencias</w:t>
      </w:r>
      <w:r w:rsidR="00F373A3" w:rsidRPr="00181FCD">
        <w:t xml:space="preserve"> </w:t>
      </w:r>
      <w:r w:rsidRPr="00181FCD">
        <w:t>iniciales</w:t>
      </w:r>
      <w:r w:rsidR="00F373A3" w:rsidRPr="00181FCD">
        <w:t xml:space="preserve"> </w:t>
      </w:r>
      <w:r w:rsidRPr="00181FCD">
        <w:t>en</w:t>
      </w:r>
      <w:r w:rsidR="00F373A3" w:rsidRPr="00181FCD">
        <w:t xml:space="preserve"> </w:t>
      </w:r>
      <w:r w:rsidRPr="00181FCD">
        <w:t>la</w:t>
      </w:r>
      <w:r w:rsidR="00F373A3" w:rsidRPr="00181FCD">
        <w:t xml:space="preserve"> </w:t>
      </w:r>
      <w:r w:rsidRPr="00181FCD">
        <w:t>aplicación</w:t>
      </w:r>
      <w:r w:rsidR="00F373A3" w:rsidRPr="00181FCD">
        <w:t xml:space="preserve"> </w:t>
      </w:r>
      <w:r w:rsidRPr="00181FCD">
        <w:t>del</w:t>
      </w:r>
      <w:r w:rsidR="00F373A3" w:rsidRPr="00181FCD">
        <w:t xml:space="preserve"> </w:t>
      </w:r>
      <w:r w:rsidRPr="00181FCD">
        <w:t>nuevo</w:t>
      </w:r>
      <w:r w:rsidR="00F373A3" w:rsidRPr="00181FCD">
        <w:t xml:space="preserve"> </w:t>
      </w:r>
      <w:r w:rsidRPr="00181FCD">
        <w:t>Código</w:t>
      </w:r>
      <w:r w:rsidR="00F373A3" w:rsidRPr="00181FCD">
        <w:t xml:space="preserve"> </w:t>
      </w:r>
      <w:r w:rsidRPr="00181FCD">
        <w:t>de</w:t>
      </w:r>
      <w:r w:rsidR="00F373A3" w:rsidRPr="00181FCD">
        <w:t xml:space="preserve"> </w:t>
      </w:r>
      <w:r w:rsidRPr="00181FCD">
        <w:t>Procedimiento</w:t>
      </w:r>
      <w:r w:rsidR="00F373A3" w:rsidRPr="00181FCD">
        <w:t xml:space="preserve"> </w:t>
      </w:r>
      <w:r w:rsidRPr="00181FCD">
        <w:t>Civil.</w:t>
      </w:r>
    </w:p>
    <w:p w:rsidR="001937F4" w:rsidRPr="00181FCD" w:rsidRDefault="001937F4" w:rsidP="00347B20">
      <w:pPr>
        <w:pStyle w:val="SingleTxtG"/>
        <w:suppressAutoHyphens/>
      </w:pPr>
      <w:r w:rsidRPr="00181FCD">
        <w:t>42.</w:t>
      </w:r>
      <w:r w:rsidRPr="00181FCD">
        <w:tab/>
        <w:t>La</w:t>
      </w:r>
      <w:r w:rsidR="00F373A3" w:rsidRPr="00181FCD">
        <w:t xml:space="preserve"> </w:t>
      </w:r>
      <w:r w:rsidRPr="00181FCD">
        <w:t>evaluación</w:t>
      </w:r>
      <w:r w:rsidR="00F373A3" w:rsidRPr="00181FCD">
        <w:t xml:space="preserve"> </w:t>
      </w:r>
      <w:r w:rsidRPr="00181FCD">
        <w:t>de</w:t>
      </w:r>
      <w:r w:rsidR="00F373A3" w:rsidRPr="00181FCD">
        <w:t xml:space="preserve"> </w:t>
      </w:r>
      <w:r w:rsidRPr="00181FCD">
        <w:t>impacto</w:t>
      </w:r>
      <w:r w:rsidR="00F373A3" w:rsidRPr="00181FCD">
        <w:t xml:space="preserve"> </w:t>
      </w:r>
      <w:r w:rsidRPr="00181FCD">
        <w:t>de</w:t>
      </w:r>
      <w:r w:rsidR="00F373A3" w:rsidRPr="00181FCD">
        <w:t xml:space="preserve"> </w:t>
      </w:r>
      <w:r w:rsidRPr="00181FCD">
        <w:t>las</w:t>
      </w:r>
      <w:r w:rsidR="00F373A3" w:rsidRPr="00181FCD">
        <w:t xml:space="preserve"> </w:t>
      </w:r>
      <w:r w:rsidRPr="00181FCD">
        <w:t>actuaciones</w:t>
      </w:r>
      <w:r w:rsidR="00F373A3" w:rsidRPr="00181FCD">
        <w:t xml:space="preserve"> </w:t>
      </w:r>
      <w:r w:rsidRPr="00181FCD">
        <w:t>de</w:t>
      </w:r>
      <w:r w:rsidR="00F373A3" w:rsidRPr="00181FCD">
        <w:t xml:space="preserve"> </w:t>
      </w:r>
      <w:r w:rsidRPr="00181FCD">
        <w:t>requerimiento</w:t>
      </w:r>
      <w:r w:rsidR="00F373A3" w:rsidRPr="00181FCD">
        <w:t xml:space="preserve"> </w:t>
      </w:r>
      <w:r w:rsidRPr="00181FCD">
        <w:t>de</w:t>
      </w:r>
      <w:r w:rsidR="00F373A3" w:rsidRPr="00181FCD">
        <w:t xml:space="preserve"> </w:t>
      </w:r>
      <w:r w:rsidRPr="00181FCD">
        <w:t>pago</w:t>
      </w:r>
      <w:r w:rsidR="00F373A3" w:rsidRPr="00181FCD">
        <w:t xml:space="preserve"> </w:t>
      </w:r>
      <w:r w:rsidRPr="00181FCD">
        <w:t>mostró</w:t>
      </w:r>
      <w:r w:rsidR="00F373A3" w:rsidRPr="00181FCD">
        <w:t xml:space="preserve"> </w:t>
      </w:r>
      <w:r w:rsidRPr="00181FCD">
        <w:t>que</w:t>
      </w:r>
      <w:r w:rsidR="00F373A3" w:rsidRPr="00181FCD">
        <w:t xml:space="preserve"> </w:t>
      </w:r>
      <w:r w:rsidRPr="00181FCD">
        <w:t>estos</w:t>
      </w:r>
      <w:r w:rsidR="00F373A3" w:rsidRPr="00181FCD">
        <w:t xml:space="preserve"> </w:t>
      </w:r>
      <w:r w:rsidRPr="00181FCD">
        <w:t>procedimientos</w:t>
      </w:r>
      <w:r w:rsidR="00F373A3" w:rsidRPr="00181FCD">
        <w:t xml:space="preserve"> </w:t>
      </w:r>
      <w:r w:rsidRPr="00181FCD">
        <w:t>se</w:t>
      </w:r>
      <w:r w:rsidR="00F373A3" w:rsidRPr="00181FCD">
        <w:t xml:space="preserve"> </w:t>
      </w:r>
      <w:r w:rsidRPr="00181FCD">
        <w:t>aplican</w:t>
      </w:r>
      <w:r w:rsidR="00F373A3" w:rsidRPr="00181FCD">
        <w:t xml:space="preserve"> </w:t>
      </w:r>
      <w:r w:rsidRPr="00181FCD">
        <w:t>correctamente.</w:t>
      </w:r>
      <w:r w:rsidR="00F373A3" w:rsidRPr="00181FCD">
        <w:t xml:space="preserve"> </w:t>
      </w:r>
      <w:r w:rsidRPr="00181FCD">
        <w:t>Sin</w:t>
      </w:r>
      <w:r w:rsidR="00F373A3" w:rsidRPr="00181FCD">
        <w:t xml:space="preserve"> </w:t>
      </w:r>
      <w:r w:rsidRPr="00181FCD">
        <w:t>embargo,</w:t>
      </w:r>
      <w:r w:rsidR="00F373A3" w:rsidRPr="00181FCD">
        <w:t xml:space="preserve"> </w:t>
      </w:r>
      <w:r w:rsidRPr="00181FCD">
        <w:t>se</w:t>
      </w:r>
      <w:r w:rsidR="00F373A3" w:rsidRPr="00181FCD">
        <w:t xml:space="preserve"> </w:t>
      </w:r>
      <w:r w:rsidRPr="00181FCD">
        <w:t>comunicaron</w:t>
      </w:r>
      <w:r w:rsidR="00F373A3" w:rsidRPr="00181FCD">
        <w:t xml:space="preserve"> </w:t>
      </w:r>
      <w:r w:rsidRPr="00181FCD">
        <w:t>algunas</w:t>
      </w:r>
      <w:r w:rsidR="00F373A3" w:rsidRPr="00181FCD">
        <w:t xml:space="preserve"> </w:t>
      </w:r>
      <w:r w:rsidRPr="00181FCD">
        <w:t>deficiencias.</w:t>
      </w:r>
      <w:r w:rsidR="00F373A3" w:rsidRPr="00181FCD">
        <w:t xml:space="preserve"> </w:t>
      </w:r>
      <w:r w:rsidRPr="00181FCD">
        <w:t>Se</w:t>
      </w:r>
      <w:r w:rsidR="00F373A3" w:rsidRPr="00181FCD">
        <w:t xml:space="preserve"> </w:t>
      </w:r>
      <w:r w:rsidRPr="00181FCD">
        <w:t>emprendieron</w:t>
      </w:r>
      <w:r w:rsidR="00F373A3" w:rsidRPr="00181FCD">
        <w:t xml:space="preserve"> </w:t>
      </w:r>
      <w:r w:rsidRPr="00181FCD">
        <w:t>actividades</w:t>
      </w:r>
      <w:r w:rsidR="00F373A3" w:rsidRPr="00181FCD">
        <w:t xml:space="preserve"> </w:t>
      </w:r>
      <w:r w:rsidRPr="00181FCD">
        <w:t>de</w:t>
      </w:r>
      <w:r w:rsidR="00F373A3" w:rsidRPr="00181FCD">
        <w:t xml:space="preserve"> </w:t>
      </w:r>
      <w:r w:rsidRPr="00181FCD">
        <w:t>seguimiento</w:t>
      </w:r>
      <w:r w:rsidR="00F373A3" w:rsidRPr="00181FCD">
        <w:t xml:space="preserve"> </w:t>
      </w:r>
      <w:r w:rsidRPr="00181FCD">
        <w:t>para</w:t>
      </w:r>
      <w:r w:rsidR="00F373A3" w:rsidRPr="00181FCD">
        <w:t xml:space="preserve"> </w:t>
      </w:r>
      <w:r w:rsidRPr="00181FCD">
        <w:t>modificar</w:t>
      </w:r>
      <w:r w:rsidR="00F373A3" w:rsidRPr="00181FCD">
        <w:t xml:space="preserve"> </w:t>
      </w:r>
      <w:r w:rsidRPr="00181FCD">
        <w:t>el</w:t>
      </w:r>
      <w:r w:rsidR="00F373A3" w:rsidRPr="00181FCD">
        <w:t xml:space="preserve"> </w:t>
      </w:r>
      <w:r w:rsidRPr="00181FCD">
        <w:t>Código</w:t>
      </w:r>
      <w:r w:rsidR="00F373A3" w:rsidRPr="00181FCD">
        <w:t xml:space="preserve"> </w:t>
      </w:r>
      <w:r w:rsidRPr="00181FCD">
        <w:t>de</w:t>
      </w:r>
      <w:r w:rsidR="00F373A3" w:rsidRPr="00181FCD">
        <w:t xml:space="preserve"> </w:t>
      </w:r>
      <w:r w:rsidRPr="00181FCD">
        <w:t>Procedimiento</w:t>
      </w:r>
      <w:r w:rsidR="00F373A3" w:rsidRPr="00181FCD">
        <w:t xml:space="preserve"> </w:t>
      </w:r>
      <w:r w:rsidRPr="00181FCD">
        <w:t>Civil</w:t>
      </w:r>
      <w:r w:rsidR="00F373A3" w:rsidRPr="00181FCD">
        <w:t xml:space="preserve"> </w:t>
      </w:r>
      <w:r w:rsidRPr="00181FCD">
        <w:t>a</w:t>
      </w:r>
      <w:r w:rsidR="00F373A3" w:rsidRPr="00181FCD">
        <w:t xml:space="preserve"> </w:t>
      </w:r>
      <w:r w:rsidRPr="00181FCD">
        <w:t>ese</w:t>
      </w:r>
      <w:r w:rsidR="00F373A3" w:rsidRPr="00181FCD">
        <w:t xml:space="preserve"> </w:t>
      </w:r>
      <w:r w:rsidRPr="00181FCD">
        <w:t>respecto.</w:t>
      </w:r>
    </w:p>
    <w:p w:rsidR="001937F4" w:rsidRPr="00181FCD" w:rsidRDefault="001937F4" w:rsidP="00347B20">
      <w:pPr>
        <w:pStyle w:val="SingleTxtG"/>
        <w:suppressAutoHyphens/>
      </w:pPr>
      <w:r w:rsidRPr="00181FCD">
        <w:t>43.</w:t>
      </w:r>
      <w:r w:rsidRPr="00181FCD">
        <w:tab/>
        <w:t>No</w:t>
      </w:r>
      <w:r w:rsidR="00F373A3" w:rsidRPr="00181FCD">
        <w:t xml:space="preserve"> </w:t>
      </w:r>
      <w:r w:rsidRPr="00181FCD">
        <w:t>se</w:t>
      </w:r>
      <w:r w:rsidR="00F373A3" w:rsidRPr="00181FCD">
        <w:t xml:space="preserve"> </w:t>
      </w:r>
      <w:r w:rsidRPr="00181FCD">
        <w:t>determinó</w:t>
      </w:r>
      <w:r w:rsidR="00F373A3" w:rsidRPr="00181FCD">
        <w:t xml:space="preserve"> </w:t>
      </w:r>
      <w:r w:rsidRPr="00181FCD">
        <w:t>un</w:t>
      </w:r>
      <w:r w:rsidR="00F373A3" w:rsidRPr="00181FCD">
        <w:t xml:space="preserve"> </w:t>
      </w:r>
      <w:r w:rsidRPr="00181FCD">
        <w:t>alto</w:t>
      </w:r>
      <w:r w:rsidR="00F373A3" w:rsidRPr="00181FCD">
        <w:t xml:space="preserve"> </w:t>
      </w:r>
      <w:r w:rsidRPr="00181FCD">
        <w:t>grado</w:t>
      </w:r>
      <w:r w:rsidR="00F373A3" w:rsidRPr="00181FCD">
        <w:t xml:space="preserve"> </w:t>
      </w:r>
      <w:r w:rsidRPr="00181FCD">
        <w:t>de</w:t>
      </w:r>
      <w:r w:rsidR="00F373A3" w:rsidRPr="00181FCD">
        <w:t xml:space="preserve"> </w:t>
      </w:r>
      <w:r w:rsidRPr="00181FCD">
        <w:t>efectos</w:t>
      </w:r>
      <w:r w:rsidR="00F373A3" w:rsidRPr="00181FCD">
        <w:t xml:space="preserve"> </w:t>
      </w:r>
      <w:r w:rsidRPr="00181FCD">
        <w:t>colaterales</w:t>
      </w:r>
      <w:r w:rsidR="00F373A3" w:rsidRPr="00181FCD">
        <w:t xml:space="preserve"> </w:t>
      </w:r>
      <w:r w:rsidRPr="00181FCD">
        <w:t>en</w:t>
      </w:r>
      <w:r w:rsidR="00F373A3" w:rsidRPr="00181FCD">
        <w:t xml:space="preserve"> </w:t>
      </w:r>
      <w:r w:rsidRPr="00181FCD">
        <w:t>la</w:t>
      </w:r>
      <w:r w:rsidR="00F373A3" w:rsidRPr="00181FCD">
        <w:t xml:space="preserve"> </w:t>
      </w:r>
      <w:r w:rsidRPr="00181FCD">
        <w:t>Oficina</w:t>
      </w:r>
      <w:r w:rsidR="00F373A3" w:rsidRPr="00181FCD">
        <w:t xml:space="preserve"> </w:t>
      </w:r>
      <w:r w:rsidRPr="00181FCD">
        <w:t>de</w:t>
      </w:r>
      <w:r w:rsidR="00F373A3" w:rsidRPr="00181FCD">
        <w:t xml:space="preserve"> </w:t>
      </w:r>
      <w:r w:rsidRPr="00181FCD">
        <w:t>Ejecución</w:t>
      </w:r>
      <w:r w:rsidR="00F373A3" w:rsidRPr="00181FCD">
        <w:t xml:space="preserve"> </w:t>
      </w:r>
      <w:r w:rsidRPr="00181FCD">
        <w:t>Judicial</w:t>
      </w:r>
      <w:r w:rsidR="00F373A3" w:rsidRPr="00181FCD">
        <w:t xml:space="preserve"> </w:t>
      </w:r>
      <w:r w:rsidRPr="00181FCD">
        <w:t>ni</w:t>
      </w:r>
      <w:r w:rsidR="00F373A3" w:rsidRPr="00181FCD">
        <w:t xml:space="preserve"> </w:t>
      </w:r>
      <w:r w:rsidRPr="00181FCD">
        <w:t>las</w:t>
      </w:r>
      <w:r w:rsidR="00F373A3" w:rsidRPr="00181FCD">
        <w:t xml:space="preserve"> </w:t>
      </w:r>
      <w:r w:rsidRPr="00181FCD">
        <w:t>oficinas</w:t>
      </w:r>
      <w:r w:rsidR="00F373A3" w:rsidRPr="00181FCD">
        <w:t xml:space="preserve"> </w:t>
      </w:r>
      <w:r w:rsidRPr="00181FCD">
        <w:t>de</w:t>
      </w:r>
      <w:r w:rsidR="00F373A3" w:rsidRPr="00181FCD">
        <w:t xml:space="preserve"> </w:t>
      </w:r>
      <w:r w:rsidRPr="00181FCD">
        <w:t>agentes</w:t>
      </w:r>
      <w:r w:rsidR="00F373A3" w:rsidRPr="00181FCD">
        <w:t xml:space="preserve"> </w:t>
      </w:r>
      <w:r w:rsidRPr="00181FCD">
        <w:t>de</w:t>
      </w:r>
      <w:r w:rsidR="00F373A3" w:rsidRPr="00181FCD">
        <w:t xml:space="preserve"> </w:t>
      </w:r>
      <w:r w:rsidRPr="00181FCD">
        <w:t>ejecución</w:t>
      </w:r>
      <w:r w:rsidR="00F373A3" w:rsidRPr="00181FCD">
        <w:t xml:space="preserve"> </w:t>
      </w:r>
      <w:r w:rsidRPr="00181FCD">
        <w:t>privados.</w:t>
      </w:r>
      <w:r w:rsidR="00F373A3" w:rsidRPr="00181FCD">
        <w:t xml:space="preserve"> </w:t>
      </w:r>
      <w:r w:rsidRPr="00181FCD">
        <w:t>Se</w:t>
      </w:r>
      <w:r w:rsidR="00F373A3" w:rsidRPr="00181FCD">
        <w:t xml:space="preserve"> </w:t>
      </w:r>
      <w:r w:rsidRPr="00181FCD">
        <w:t>han</w:t>
      </w:r>
      <w:r w:rsidR="00F373A3" w:rsidRPr="00181FCD">
        <w:t xml:space="preserve"> </w:t>
      </w:r>
      <w:r w:rsidRPr="00181FCD">
        <w:t>observado</w:t>
      </w:r>
      <w:r w:rsidR="00F373A3" w:rsidRPr="00181FCD">
        <w:t xml:space="preserve"> </w:t>
      </w:r>
      <w:r w:rsidRPr="00181FCD">
        <w:t>relativamente</w:t>
      </w:r>
      <w:r w:rsidR="00F373A3" w:rsidRPr="00181FCD">
        <w:t xml:space="preserve"> </w:t>
      </w:r>
      <w:r w:rsidRPr="00181FCD">
        <w:t>pocas</w:t>
      </w:r>
      <w:r w:rsidR="00F373A3" w:rsidRPr="00181FCD">
        <w:t xml:space="preserve"> </w:t>
      </w:r>
      <w:r w:rsidRPr="00181FCD">
        <w:t>dificultades</w:t>
      </w:r>
      <w:r w:rsidR="00F373A3" w:rsidRPr="00181FCD">
        <w:t xml:space="preserve"> </w:t>
      </w:r>
      <w:r w:rsidRPr="00181FCD">
        <w:t>en</w:t>
      </w:r>
      <w:r w:rsidR="00F373A3" w:rsidRPr="00181FCD">
        <w:t xml:space="preserve"> </w:t>
      </w:r>
      <w:r w:rsidRPr="00181FCD">
        <w:t>la</w:t>
      </w:r>
      <w:r w:rsidR="00F373A3" w:rsidRPr="00181FCD">
        <w:t xml:space="preserve"> </w:t>
      </w:r>
      <w:r w:rsidRPr="00181FCD">
        <w:t>aplicación</w:t>
      </w:r>
      <w:r w:rsidR="00F373A3" w:rsidRPr="00181FCD">
        <w:t xml:space="preserve"> </w:t>
      </w:r>
      <w:r w:rsidRPr="00181FCD">
        <w:t>la</w:t>
      </w:r>
      <w:r w:rsidR="00F373A3" w:rsidRPr="00181FCD">
        <w:t xml:space="preserve"> </w:t>
      </w:r>
      <w:r w:rsidRPr="00181FCD">
        <w:t>ley,</w:t>
      </w:r>
      <w:r w:rsidR="00F373A3" w:rsidRPr="00181FCD">
        <w:t xml:space="preserve"> </w:t>
      </w:r>
      <w:r w:rsidRPr="00181FCD">
        <w:t>derivadas</w:t>
      </w:r>
      <w:r w:rsidR="00F373A3" w:rsidRPr="00181FCD">
        <w:t xml:space="preserve"> </w:t>
      </w:r>
      <w:r w:rsidRPr="00181FCD">
        <w:t>de</w:t>
      </w:r>
      <w:r w:rsidR="00F373A3" w:rsidRPr="00181FCD">
        <w:t xml:space="preserve"> </w:t>
      </w:r>
      <w:r w:rsidRPr="00181FCD">
        <w:t>disposiciones</w:t>
      </w:r>
      <w:r w:rsidR="00F373A3" w:rsidRPr="00181FCD">
        <w:t xml:space="preserve"> </w:t>
      </w:r>
      <w:r w:rsidRPr="00181FCD">
        <w:t>contradictorias</w:t>
      </w:r>
      <w:r w:rsidR="00F373A3" w:rsidRPr="00181FCD">
        <w:t xml:space="preserve"> </w:t>
      </w:r>
      <w:r w:rsidRPr="00181FCD">
        <w:t>o</w:t>
      </w:r>
      <w:r w:rsidR="00F373A3" w:rsidRPr="00181FCD">
        <w:t xml:space="preserve"> </w:t>
      </w:r>
      <w:r w:rsidRPr="00181FCD">
        <w:t>poco</w:t>
      </w:r>
      <w:r w:rsidR="00F373A3" w:rsidRPr="00181FCD">
        <w:t xml:space="preserve"> </w:t>
      </w:r>
      <w:r w:rsidRPr="00181FCD">
        <w:t>claras</w:t>
      </w:r>
      <w:r w:rsidR="00F373A3" w:rsidRPr="00181FCD">
        <w:t xml:space="preserve"> </w:t>
      </w:r>
      <w:r w:rsidRPr="00181FCD">
        <w:t>o</w:t>
      </w:r>
      <w:r w:rsidR="00F373A3" w:rsidRPr="00181FCD">
        <w:t xml:space="preserve"> </w:t>
      </w:r>
      <w:r w:rsidRPr="00181FCD">
        <w:t>de</w:t>
      </w:r>
      <w:r w:rsidR="00F373A3" w:rsidRPr="00181FCD">
        <w:t xml:space="preserve"> </w:t>
      </w:r>
      <w:r w:rsidRPr="00181FCD">
        <w:t>una</w:t>
      </w:r>
      <w:r w:rsidR="00F373A3" w:rsidRPr="00181FCD">
        <w:t xml:space="preserve"> </w:t>
      </w:r>
      <w:r w:rsidRPr="00181FCD">
        <w:t>práctica</w:t>
      </w:r>
      <w:r w:rsidR="00F373A3" w:rsidRPr="00181FCD">
        <w:t xml:space="preserve"> </w:t>
      </w:r>
      <w:r w:rsidRPr="00181FCD">
        <w:t>controvertida.</w:t>
      </w:r>
    </w:p>
    <w:p w:rsidR="001937F4" w:rsidRPr="00181FCD" w:rsidRDefault="001937F4" w:rsidP="00347B20">
      <w:pPr>
        <w:pStyle w:val="SingleTxtG"/>
        <w:suppressAutoHyphens/>
      </w:pPr>
      <w:r w:rsidRPr="00181FCD">
        <w:t>44.</w:t>
      </w:r>
      <w:r w:rsidRPr="00181FCD">
        <w:tab/>
        <w:t>El</w:t>
      </w:r>
      <w:r w:rsidR="00F373A3" w:rsidRPr="00181FCD">
        <w:t xml:space="preserve"> </w:t>
      </w:r>
      <w:r w:rsidRPr="00181FCD">
        <w:t>13</w:t>
      </w:r>
      <w:r w:rsidR="00F373A3" w:rsidRPr="00181FCD">
        <w:t xml:space="preserve"> </w:t>
      </w:r>
      <w:r w:rsidRPr="00181FCD">
        <w:t>de</w:t>
      </w:r>
      <w:r w:rsidR="00F373A3" w:rsidRPr="00181FCD">
        <w:t xml:space="preserve"> </w:t>
      </w:r>
      <w:r w:rsidRPr="00181FCD">
        <w:t>julio</w:t>
      </w:r>
      <w:r w:rsidR="00F373A3" w:rsidRPr="00181FCD">
        <w:t xml:space="preserve"> </w:t>
      </w:r>
      <w:r w:rsidRPr="00181FCD">
        <w:t>de</w:t>
      </w:r>
      <w:r w:rsidR="00F373A3" w:rsidRPr="00181FCD">
        <w:t xml:space="preserve"> </w:t>
      </w:r>
      <w:r w:rsidRPr="00181FCD">
        <w:t>2015</w:t>
      </w:r>
      <w:r w:rsidR="00F373A3" w:rsidRPr="00181FCD">
        <w:t xml:space="preserve"> </w:t>
      </w:r>
      <w:r w:rsidRPr="00181FCD">
        <w:t>se</w:t>
      </w:r>
      <w:r w:rsidR="00F373A3" w:rsidRPr="00181FCD">
        <w:t xml:space="preserve"> </w:t>
      </w:r>
      <w:r w:rsidRPr="00181FCD">
        <w:t>presentó</w:t>
      </w:r>
      <w:r w:rsidR="00F373A3" w:rsidRPr="00181FCD">
        <w:t xml:space="preserve"> </w:t>
      </w:r>
      <w:r w:rsidRPr="00181FCD">
        <w:t>a</w:t>
      </w:r>
      <w:r w:rsidR="00F373A3" w:rsidRPr="00181FCD">
        <w:t xml:space="preserve"> </w:t>
      </w:r>
      <w:r w:rsidRPr="00181FCD">
        <w:t>la</w:t>
      </w:r>
      <w:r w:rsidR="00F373A3" w:rsidRPr="00181FCD">
        <w:t xml:space="preserve"> </w:t>
      </w:r>
      <w:r w:rsidRPr="00181FCD">
        <w:t>Asamblea</w:t>
      </w:r>
      <w:r w:rsidR="00F373A3" w:rsidRPr="00181FCD">
        <w:t xml:space="preserve"> </w:t>
      </w:r>
      <w:r w:rsidRPr="00181FCD">
        <w:t>Nacional</w:t>
      </w:r>
      <w:r w:rsidR="00F373A3" w:rsidRPr="00181FCD">
        <w:t xml:space="preserve"> </w:t>
      </w:r>
      <w:r w:rsidRPr="00181FCD">
        <w:t>una</w:t>
      </w:r>
      <w:r w:rsidR="00F373A3" w:rsidRPr="00181FCD">
        <w:t xml:space="preserve"> </w:t>
      </w:r>
      <w:r w:rsidRPr="00181FCD">
        <w:t>nueva</w:t>
      </w:r>
      <w:r w:rsidR="00F373A3" w:rsidRPr="00181FCD">
        <w:t xml:space="preserve"> </w:t>
      </w:r>
      <w:r w:rsidR="00C820BE" w:rsidRPr="00181FCD">
        <w:t>ley</w:t>
      </w:r>
      <w:r w:rsidR="00F373A3" w:rsidRPr="00181FCD">
        <w:t xml:space="preserve"> </w:t>
      </w:r>
      <w:r w:rsidRPr="00181FCD">
        <w:t>por</w:t>
      </w:r>
      <w:r w:rsidR="00F373A3" w:rsidRPr="00181FCD">
        <w:t xml:space="preserve"> </w:t>
      </w:r>
      <w:r w:rsidRPr="00181FCD">
        <w:t>la</w:t>
      </w:r>
      <w:r w:rsidR="00F373A3" w:rsidRPr="00181FCD">
        <w:t xml:space="preserve"> </w:t>
      </w:r>
      <w:r w:rsidRPr="00181FCD">
        <w:t>que</w:t>
      </w:r>
      <w:r w:rsidR="00F373A3" w:rsidRPr="00181FCD">
        <w:t xml:space="preserve"> </w:t>
      </w:r>
      <w:r w:rsidRPr="00181FCD">
        <w:t>se</w:t>
      </w:r>
      <w:r w:rsidR="00F373A3" w:rsidRPr="00181FCD">
        <w:t xml:space="preserve"> </w:t>
      </w:r>
      <w:r w:rsidRPr="00181FCD">
        <w:t>modifica</w:t>
      </w:r>
      <w:r w:rsidR="00F373A3" w:rsidRPr="00181FCD">
        <w:t xml:space="preserve"> </w:t>
      </w:r>
      <w:r w:rsidRPr="00181FCD">
        <w:t>y</w:t>
      </w:r>
      <w:r w:rsidR="00F373A3" w:rsidRPr="00181FCD">
        <w:t xml:space="preserve"> </w:t>
      </w:r>
      <w:r w:rsidRPr="00181FCD">
        <w:t>complementa</w:t>
      </w:r>
      <w:r w:rsidR="00F373A3" w:rsidRPr="00181FCD">
        <w:t xml:space="preserve"> </w:t>
      </w:r>
      <w:r w:rsidRPr="00181FCD">
        <w:t>el</w:t>
      </w:r>
      <w:r w:rsidR="00F373A3" w:rsidRPr="00181FCD">
        <w:t xml:space="preserve"> </w:t>
      </w:r>
      <w:r w:rsidRPr="00181FCD">
        <w:t>Código</w:t>
      </w:r>
      <w:r w:rsidR="00F373A3" w:rsidRPr="00181FCD">
        <w:t xml:space="preserve"> </w:t>
      </w:r>
      <w:r w:rsidRPr="00181FCD">
        <w:t>de</w:t>
      </w:r>
      <w:r w:rsidR="00F373A3" w:rsidRPr="00181FCD">
        <w:t xml:space="preserve"> </w:t>
      </w:r>
      <w:r w:rsidRPr="00181FCD">
        <w:t>Procedimiento</w:t>
      </w:r>
      <w:r w:rsidR="00F373A3" w:rsidRPr="00181FCD">
        <w:t xml:space="preserve"> </w:t>
      </w:r>
      <w:r w:rsidRPr="00181FCD">
        <w:t>Civil.</w:t>
      </w:r>
      <w:r w:rsidR="00F373A3" w:rsidRPr="00181FCD">
        <w:t xml:space="preserve"> </w:t>
      </w:r>
      <w:r w:rsidRPr="00181FCD">
        <w:t>En</w:t>
      </w:r>
      <w:r w:rsidR="00F373A3" w:rsidRPr="00181FCD">
        <w:t xml:space="preserve"> </w:t>
      </w:r>
      <w:r w:rsidRPr="00181FCD">
        <w:t>ella</w:t>
      </w:r>
      <w:r w:rsidR="00F373A3" w:rsidRPr="00181FCD">
        <w:t xml:space="preserve"> </w:t>
      </w:r>
      <w:r w:rsidRPr="00181FCD">
        <w:t>se</w:t>
      </w:r>
      <w:r w:rsidR="00F373A3" w:rsidRPr="00181FCD">
        <w:t xml:space="preserve"> </w:t>
      </w:r>
      <w:r w:rsidRPr="00181FCD">
        <w:t>sugerían</w:t>
      </w:r>
      <w:r w:rsidR="00F373A3" w:rsidRPr="00181FCD">
        <w:t xml:space="preserve"> </w:t>
      </w:r>
      <w:r w:rsidRPr="00181FCD">
        <w:t>modificaciones</w:t>
      </w:r>
      <w:r w:rsidR="00F373A3" w:rsidRPr="00181FCD">
        <w:t xml:space="preserve"> </w:t>
      </w:r>
      <w:r w:rsidRPr="00181FCD">
        <w:t>a</w:t>
      </w:r>
      <w:r w:rsidR="00F373A3" w:rsidRPr="00181FCD">
        <w:t xml:space="preserve"> </w:t>
      </w:r>
      <w:r w:rsidRPr="00181FCD">
        <w:t>los</w:t>
      </w:r>
      <w:r w:rsidR="00F373A3" w:rsidRPr="00181FCD">
        <w:t xml:space="preserve"> </w:t>
      </w:r>
      <w:r w:rsidRPr="00181FCD">
        <w:t>procedimientos</w:t>
      </w:r>
      <w:r w:rsidR="00F373A3" w:rsidRPr="00181FCD">
        <w:t xml:space="preserve"> </w:t>
      </w:r>
      <w:r w:rsidRPr="00181FCD">
        <w:t>de</w:t>
      </w:r>
      <w:r w:rsidR="00F373A3" w:rsidRPr="00181FCD">
        <w:t xml:space="preserve"> </w:t>
      </w:r>
      <w:r w:rsidRPr="00181FCD">
        <w:t>ejecución,</w:t>
      </w:r>
      <w:r w:rsidR="00F373A3" w:rsidRPr="00181FCD">
        <w:t xml:space="preserve"> </w:t>
      </w:r>
      <w:r w:rsidRPr="00181FCD">
        <w:t>así</w:t>
      </w:r>
      <w:r w:rsidR="00F373A3" w:rsidRPr="00181FCD">
        <w:t xml:space="preserve"> </w:t>
      </w:r>
      <w:r w:rsidRPr="00181FCD">
        <w:t>como</w:t>
      </w:r>
      <w:r w:rsidR="00F373A3" w:rsidRPr="00181FCD">
        <w:t xml:space="preserve"> </w:t>
      </w:r>
      <w:r w:rsidRPr="00181FCD">
        <w:t>la</w:t>
      </w:r>
      <w:r w:rsidR="00F373A3" w:rsidRPr="00181FCD">
        <w:t xml:space="preserve"> </w:t>
      </w:r>
      <w:r w:rsidRPr="00181FCD">
        <w:t>introducción</w:t>
      </w:r>
      <w:r w:rsidR="00F373A3" w:rsidRPr="00181FCD">
        <w:t xml:space="preserve"> </w:t>
      </w:r>
      <w:r w:rsidRPr="00181FCD">
        <w:t>de</w:t>
      </w:r>
      <w:r w:rsidR="00F373A3" w:rsidRPr="00181FCD">
        <w:t xml:space="preserve"> </w:t>
      </w:r>
      <w:r w:rsidRPr="00181FCD">
        <w:t>normas</w:t>
      </w:r>
      <w:r w:rsidR="00F373A3" w:rsidRPr="00181FCD">
        <w:t xml:space="preserve"> </w:t>
      </w:r>
      <w:r w:rsidRPr="00181FCD">
        <w:t>especiales</w:t>
      </w:r>
      <w:r w:rsidR="00F373A3" w:rsidRPr="00181FCD">
        <w:t xml:space="preserve"> </w:t>
      </w:r>
      <w:r w:rsidRPr="00181FCD">
        <w:t>para</w:t>
      </w:r>
      <w:r w:rsidR="00F373A3" w:rsidRPr="00181FCD">
        <w:t xml:space="preserve"> </w:t>
      </w:r>
      <w:r w:rsidRPr="00181FCD">
        <w:t>las</w:t>
      </w:r>
      <w:r w:rsidR="00F373A3" w:rsidRPr="00181FCD">
        <w:t xml:space="preserve"> </w:t>
      </w:r>
      <w:r w:rsidRPr="00181FCD">
        <w:t>actuaciones</w:t>
      </w:r>
      <w:r w:rsidR="00F373A3" w:rsidRPr="00181FCD">
        <w:t xml:space="preserve"> </w:t>
      </w:r>
      <w:r w:rsidRPr="00181FCD">
        <w:t>en</w:t>
      </w:r>
      <w:r w:rsidR="00F373A3" w:rsidRPr="00181FCD">
        <w:t xml:space="preserve"> </w:t>
      </w:r>
      <w:r w:rsidRPr="00181FCD">
        <w:t>causas</w:t>
      </w:r>
      <w:r w:rsidR="00F373A3" w:rsidRPr="00181FCD">
        <w:t xml:space="preserve"> </w:t>
      </w:r>
      <w:r w:rsidRPr="00181FCD">
        <w:t>civiles,</w:t>
      </w:r>
      <w:r w:rsidR="00F373A3" w:rsidRPr="00181FCD">
        <w:t xml:space="preserve"> </w:t>
      </w:r>
      <w:r w:rsidRPr="00181FCD">
        <w:t>cuando</w:t>
      </w:r>
      <w:r w:rsidR="00F373A3" w:rsidRPr="00181FCD">
        <w:t xml:space="preserve"> </w:t>
      </w:r>
      <w:r w:rsidRPr="00181FCD">
        <w:t>están</w:t>
      </w:r>
      <w:r w:rsidR="00F373A3" w:rsidRPr="00181FCD">
        <w:t xml:space="preserve"> </w:t>
      </w:r>
      <w:r w:rsidRPr="00181FCD">
        <w:t>en</w:t>
      </w:r>
      <w:r w:rsidR="00F373A3" w:rsidRPr="00181FCD">
        <w:t xml:space="preserve"> </w:t>
      </w:r>
      <w:r w:rsidRPr="00181FCD">
        <w:t>vigor</w:t>
      </w:r>
      <w:r w:rsidR="00F373A3" w:rsidRPr="00181FCD">
        <w:t xml:space="preserve"> </w:t>
      </w:r>
      <w:r w:rsidRPr="00181FCD">
        <w:t>tratados</w:t>
      </w:r>
      <w:r w:rsidR="00F373A3" w:rsidRPr="00181FCD">
        <w:t xml:space="preserve"> </w:t>
      </w:r>
      <w:r w:rsidRPr="00181FCD">
        <w:t>internacionales.</w:t>
      </w:r>
    </w:p>
    <w:p w:rsidR="001937F4" w:rsidRPr="00181FCD" w:rsidRDefault="00F373A3" w:rsidP="00347B20">
      <w:pPr>
        <w:pStyle w:val="H4G"/>
      </w:pPr>
      <w:r w:rsidRPr="00181FCD">
        <w:tab/>
      </w:r>
      <w:r w:rsidRPr="00181FCD">
        <w:tab/>
      </w:r>
      <w:r w:rsidR="001937F4" w:rsidRPr="00181FCD">
        <w:t>Corrupción</w:t>
      </w:r>
    </w:p>
    <w:p w:rsidR="001937F4" w:rsidRPr="00181FCD" w:rsidRDefault="001937F4" w:rsidP="00347B20">
      <w:pPr>
        <w:pStyle w:val="SingleTxtG"/>
        <w:suppressAutoHyphens/>
      </w:pPr>
      <w:r w:rsidRPr="00181FCD">
        <w:t>45.</w:t>
      </w:r>
      <w:r w:rsidRPr="00181FCD">
        <w:tab/>
        <w:t>En</w:t>
      </w:r>
      <w:r w:rsidR="00F373A3" w:rsidRPr="00181FCD">
        <w:t xml:space="preserve"> </w:t>
      </w:r>
      <w:r w:rsidRPr="00181FCD">
        <w:t>abril</w:t>
      </w:r>
      <w:r w:rsidR="00F373A3" w:rsidRPr="00181FCD">
        <w:t xml:space="preserve"> </w:t>
      </w:r>
      <w:r w:rsidRPr="00181FCD">
        <w:t>de</w:t>
      </w:r>
      <w:r w:rsidR="00F373A3" w:rsidRPr="00181FCD">
        <w:t xml:space="preserve"> </w:t>
      </w:r>
      <w:r w:rsidRPr="00181FCD">
        <w:t>2015</w:t>
      </w:r>
      <w:r w:rsidR="00F373A3" w:rsidRPr="00181FCD">
        <w:t xml:space="preserve"> </w:t>
      </w:r>
      <w:r w:rsidRPr="00181FCD">
        <w:t>se</w:t>
      </w:r>
      <w:r w:rsidR="00F373A3" w:rsidRPr="00181FCD">
        <w:t xml:space="preserve"> </w:t>
      </w:r>
      <w:r w:rsidRPr="00181FCD">
        <w:t>aprobó</w:t>
      </w:r>
      <w:r w:rsidR="00F373A3" w:rsidRPr="00181FCD">
        <w:t xml:space="preserve"> </w:t>
      </w:r>
      <w:r w:rsidRPr="00181FCD">
        <w:t>la</w:t>
      </w:r>
      <w:r w:rsidR="00F373A3" w:rsidRPr="00181FCD">
        <w:t xml:space="preserve"> </w:t>
      </w:r>
      <w:r w:rsidRPr="00181FCD">
        <w:t>Estrategia</w:t>
      </w:r>
      <w:r w:rsidR="00F373A3" w:rsidRPr="00181FCD">
        <w:t xml:space="preserve"> </w:t>
      </w:r>
      <w:r w:rsidRPr="00181FCD">
        <w:t>Nacional</w:t>
      </w:r>
      <w:r w:rsidR="00F373A3" w:rsidRPr="00181FCD">
        <w:t xml:space="preserve"> </w:t>
      </w:r>
      <w:r w:rsidRPr="00181FCD">
        <w:t>para</w:t>
      </w:r>
      <w:r w:rsidR="00F373A3" w:rsidRPr="00181FCD">
        <w:t xml:space="preserve"> </w:t>
      </w:r>
      <w:r w:rsidRPr="00181FCD">
        <w:t>la</w:t>
      </w:r>
      <w:r w:rsidR="00F373A3" w:rsidRPr="00181FCD">
        <w:t xml:space="preserve"> </w:t>
      </w:r>
      <w:r w:rsidRPr="00181FCD">
        <w:t>Prevención</w:t>
      </w:r>
      <w:r w:rsidR="00F373A3" w:rsidRPr="00181FCD">
        <w:t xml:space="preserve"> </w:t>
      </w:r>
      <w:r w:rsidRPr="00181FCD">
        <w:t>y</w:t>
      </w:r>
      <w:r w:rsidR="00F373A3" w:rsidRPr="00181FCD">
        <w:t xml:space="preserve"> </w:t>
      </w:r>
      <w:r w:rsidRPr="00181FCD">
        <w:t>Lucha</w:t>
      </w:r>
      <w:r w:rsidR="00F373A3" w:rsidRPr="00181FCD">
        <w:t xml:space="preserve"> </w:t>
      </w:r>
      <w:r w:rsidRPr="00181FCD">
        <w:t>contra</w:t>
      </w:r>
      <w:r w:rsidR="00F373A3" w:rsidRPr="00181FCD">
        <w:t xml:space="preserve"> </w:t>
      </w:r>
      <w:r w:rsidRPr="00181FCD">
        <w:t>la</w:t>
      </w:r>
      <w:r w:rsidR="00F373A3" w:rsidRPr="00181FCD">
        <w:t xml:space="preserve"> </w:t>
      </w:r>
      <w:r w:rsidRPr="00181FCD">
        <w:t>Corrupción</w:t>
      </w:r>
      <w:r w:rsidR="00F373A3" w:rsidRPr="00181FCD">
        <w:t xml:space="preserve"> </w:t>
      </w:r>
      <w:r w:rsidRPr="00181FCD">
        <w:t>en</w:t>
      </w:r>
      <w:r w:rsidR="00F373A3" w:rsidRPr="00181FCD">
        <w:t xml:space="preserve"> </w:t>
      </w:r>
      <w:r w:rsidRPr="00181FCD">
        <w:t>la</w:t>
      </w:r>
      <w:r w:rsidR="00F373A3" w:rsidRPr="00181FCD">
        <w:t xml:space="preserve"> </w:t>
      </w:r>
      <w:r w:rsidRPr="00181FCD">
        <w:t>República</w:t>
      </w:r>
      <w:r w:rsidR="00F373A3" w:rsidRPr="00181FCD">
        <w:t xml:space="preserve"> </w:t>
      </w:r>
      <w:r w:rsidRPr="00181FCD">
        <w:t>de</w:t>
      </w:r>
      <w:r w:rsidR="00F373A3" w:rsidRPr="00181FCD">
        <w:t xml:space="preserve"> </w:t>
      </w:r>
      <w:r w:rsidRPr="00181FCD">
        <w:t>Bulgaria,</w:t>
      </w:r>
      <w:r w:rsidR="00F373A3" w:rsidRPr="00181FCD">
        <w:t xml:space="preserve"> </w:t>
      </w:r>
      <w:r w:rsidRPr="00181FCD">
        <w:t>2015-2020.</w:t>
      </w:r>
      <w:r w:rsidR="00F373A3" w:rsidRPr="00181FCD">
        <w:t xml:space="preserve"> </w:t>
      </w:r>
      <w:r w:rsidRPr="00181FCD">
        <w:t>El</w:t>
      </w:r>
      <w:r w:rsidR="00F373A3" w:rsidRPr="00181FCD">
        <w:t xml:space="preserve"> </w:t>
      </w:r>
      <w:r w:rsidRPr="00181FCD">
        <w:t>objetivo</w:t>
      </w:r>
      <w:r w:rsidR="00F373A3" w:rsidRPr="00181FCD">
        <w:t xml:space="preserve"> </w:t>
      </w:r>
      <w:r w:rsidRPr="00181FCD">
        <w:t>de</w:t>
      </w:r>
      <w:r w:rsidR="00F373A3" w:rsidRPr="00181FCD">
        <w:t xml:space="preserve"> </w:t>
      </w:r>
      <w:r w:rsidRPr="00181FCD">
        <w:t>la</w:t>
      </w:r>
      <w:r w:rsidR="00F373A3" w:rsidRPr="00181FCD">
        <w:t xml:space="preserve"> </w:t>
      </w:r>
      <w:r w:rsidRPr="00181FCD">
        <w:t>Estrategia</w:t>
      </w:r>
      <w:r w:rsidR="00F373A3" w:rsidRPr="00181FCD">
        <w:t xml:space="preserve"> </w:t>
      </w:r>
      <w:r w:rsidRPr="00181FCD">
        <w:t>es</w:t>
      </w:r>
      <w:r w:rsidR="00F373A3" w:rsidRPr="00181FCD">
        <w:t xml:space="preserve"> </w:t>
      </w:r>
      <w:r w:rsidRPr="00181FCD">
        <w:t>una</w:t>
      </w:r>
      <w:r w:rsidR="00F373A3" w:rsidRPr="00181FCD">
        <w:t xml:space="preserve"> </w:t>
      </w:r>
      <w:r w:rsidRPr="00181FCD">
        <w:t>propuesta</w:t>
      </w:r>
      <w:r w:rsidR="00F373A3" w:rsidRPr="00181FCD">
        <w:t xml:space="preserve"> </w:t>
      </w:r>
      <w:r w:rsidRPr="00181FCD">
        <w:t>de</w:t>
      </w:r>
      <w:r w:rsidR="00F373A3" w:rsidRPr="00181FCD">
        <w:t xml:space="preserve"> </w:t>
      </w:r>
      <w:r w:rsidRPr="00181FCD">
        <w:t>reforma</w:t>
      </w:r>
      <w:r w:rsidR="00F373A3" w:rsidRPr="00181FCD">
        <w:t xml:space="preserve"> </w:t>
      </w:r>
      <w:r w:rsidRPr="00181FCD">
        <w:t>del</w:t>
      </w:r>
      <w:r w:rsidR="00F373A3" w:rsidRPr="00181FCD">
        <w:t xml:space="preserve"> </w:t>
      </w:r>
      <w:r w:rsidRPr="00181FCD">
        <w:t>marco</w:t>
      </w:r>
      <w:r w:rsidR="00F373A3" w:rsidRPr="00181FCD">
        <w:t xml:space="preserve"> </w:t>
      </w:r>
      <w:r w:rsidRPr="00181FCD">
        <w:t>institucional</w:t>
      </w:r>
      <w:r w:rsidR="00F373A3" w:rsidRPr="00181FCD">
        <w:t xml:space="preserve"> </w:t>
      </w:r>
      <w:r w:rsidRPr="00181FCD">
        <w:t>en</w:t>
      </w:r>
      <w:r w:rsidR="00F373A3" w:rsidRPr="00181FCD">
        <w:t xml:space="preserve"> </w:t>
      </w:r>
      <w:r w:rsidRPr="00181FCD">
        <w:t>el</w:t>
      </w:r>
      <w:r w:rsidR="00F373A3" w:rsidRPr="00181FCD">
        <w:t xml:space="preserve"> </w:t>
      </w:r>
      <w:r w:rsidRPr="00181FCD">
        <w:t>ámbito</w:t>
      </w:r>
      <w:r w:rsidR="00F373A3" w:rsidRPr="00181FCD">
        <w:t xml:space="preserve"> </w:t>
      </w:r>
      <w:r w:rsidRPr="00181FCD">
        <w:t>de</w:t>
      </w:r>
      <w:r w:rsidR="00F373A3" w:rsidRPr="00181FCD">
        <w:t xml:space="preserve"> </w:t>
      </w:r>
      <w:r w:rsidRPr="00181FCD">
        <w:t>la</w:t>
      </w:r>
      <w:r w:rsidR="00F373A3" w:rsidRPr="00181FCD">
        <w:t xml:space="preserve"> </w:t>
      </w:r>
      <w:r w:rsidRPr="00181FCD">
        <w:t>prevención</w:t>
      </w:r>
      <w:r w:rsidR="00F373A3" w:rsidRPr="00181FCD">
        <w:t xml:space="preserve"> </w:t>
      </w:r>
      <w:r w:rsidRPr="00181FCD">
        <w:t>y</w:t>
      </w:r>
      <w:r w:rsidR="00F373A3" w:rsidRPr="00181FCD">
        <w:t xml:space="preserve"> </w:t>
      </w:r>
      <w:r w:rsidRPr="00181FCD">
        <w:t>la</w:t>
      </w:r>
      <w:r w:rsidR="00F373A3" w:rsidRPr="00181FCD">
        <w:t xml:space="preserve"> </w:t>
      </w:r>
      <w:r w:rsidRPr="00181FCD">
        <w:t>lucha</w:t>
      </w:r>
      <w:r w:rsidR="00F373A3" w:rsidRPr="00181FCD">
        <w:t xml:space="preserve"> </w:t>
      </w:r>
      <w:r w:rsidRPr="00181FCD">
        <w:t>contra</w:t>
      </w:r>
      <w:r w:rsidR="00F373A3" w:rsidRPr="00181FCD">
        <w:t xml:space="preserve"> </w:t>
      </w:r>
      <w:r w:rsidRPr="00181FCD">
        <w:t>la</w:t>
      </w:r>
      <w:r w:rsidR="00F373A3" w:rsidRPr="00181FCD">
        <w:t xml:space="preserve"> </w:t>
      </w:r>
      <w:r w:rsidRPr="00181FCD">
        <w:t>corrupción,</w:t>
      </w:r>
      <w:r w:rsidR="00F373A3" w:rsidRPr="00181FCD">
        <w:t xml:space="preserve"> </w:t>
      </w:r>
      <w:r w:rsidRPr="00181FCD">
        <w:t>con</w:t>
      </w:r>
      <w:r w:rsidR="00F373A3" w:rsidRPr="00181FCD">
        <w:t xml:space="preserve"> </w:t>
      </w:r>
      <w:r w:rsidRPr="00181FCD">
        <w:t>miras</w:t>
      </w:r>
      <w:r w:rsidR="00F373A3" w:rsidRPr="00181FCD">
        <w:t xml:space="preserve"> </w:t>
      </w:r>
      <w:r w:rsidRPr="00181FCD">
        <w:t>a</w:t>
      </w:r>
      <w:r w:rsidR="00F373A3" w:rsidRPr="00181FCD">
        <w:t xml:space="preserve"> </w:t>
      </w:r>
      <w:r w:rsidRPr="00181FCD">
        <w:t>una</w:t>
      </w:r>
      <w:r w:rsidR="00F373A3" w:rsidRPr="00181FCD">
        <w:t xml:space="preserve"> </w:t>
      </w:r>
      <w:r w:rsidRPr="00181FCD">
        <w:t>mayor</w:t>
      </w:r>
      <w:r w:rsidR="00F373A3" w:rsidRPr="00181FCD">
        <w:t xml:space="preserve"> </w:t>
      </w:r>
      <w:r w:rsidRPr="00181FCD">
        <w:t>eficiencia</w:t>
      </w:r>
      <w:r w:rsidR="00F373A3" w:rsidRPr="00181FCD">
        <w:t xml:space="preserve"> </w:t>
      </w:r>
      <w:r w:rsidRPr="00181FCD">
        <w:t>y</w:t>
      </w:r>
      <w:r w:rsidR="00F373A3" w:rsidRPr="00181FCD">
        <w:t xml:space="preserve"> </w:t>
      </w:r>
      <w:r w:rsidRPr="00181FCD">
        <w:t>una</w:t>
      </w:r>
      <w:r w:rsidR="00F373A3" w:rsidRPr="00181FCD">
        <w:t xml:space="preserve"> </w:t>
      </w:r>
      <w:r w:rsidRPr="00181FCD">
        <w:t>mejor</w:t>
      </w:r>
      <w:r w:rsidR="00F373A3" w:rsidRPr="00181FCD">
        <w:t xml:space="preserve"> </w:t>
      </w:r>
      <w:r w:rsidRPr="00181FCD">
        <w:t>coordinación</w:t>
      </w:r>
      <w:r w:rsidR="00F373A3" w:rsidRPr="00181FCD">
        <w:t xml:space="preserve"> </w:t>
      </w:r>
      <w:r w:rsidRPr="00181FCD">
        <w:t>entre</w:t>
      </w:r>
      <w:r w:rsidR="00F373A3" w:rsidRPr="00181FCD">
        <w:t xml:space="preserve"> </w:t>
      </w:r>
      <w:r w:rsidRPr="00181FCD">
        <w:t>las</w:t>
      </w:r>
      <w:r w:rsidR="00F373A3" w:rsidRPr="00181FCD">
        <w:t xml:space="preserve"> </w:t>
      </w:r>
      <w:r w:rsidRPr="00181FCD">
        <w:t>autoridades</w:t>
      </w:r>
      <w:r w:rsidR="00F373A3" w:rsidRPr="00181FCD">
        <w:t xml:space="preserve"> </w:t>
      </w:r>
      <w:r w:rsidRPr="00181FCD">
        <w:t>y</w:t>
      </w:r>
      <w:r w:rsidR="00F373A3" w:rsidRPr="00181FCD">
        <w:t xml:space="preserve"> </w:t>
      </w:r>
      <w:r w:rsidRPr="00181FCD">
        <w:t>organismos</w:t>
      </w:r>
      <w:r w:rsidR="00F373A3" w:rsidRPr="00181FCD">
        <w:t xml:space="preserve"> </w:t>
      </w:r>
      <w:r w:rsidRPr="00181FCD">
        <w:t>existentes.</w:t>
      </w:r>
      <w:r w:rsidR="00F373A3" w:rsidRPr="00181FCD">
        <w:t xml:space="preserve"> </w:t>
      </w:r>
      <w:r w:rsidRPr="00181FCD">
        <w:t>La</w:t>
      </w:r>
      <w:r w:rsidR="00F373A3" w:rsidRPr="00181FCD">
        <w:t xml:space="preserve"> </w:t>
      </w:r>
      <w:r w:rsidRPr="00181FCD">
        <w:t>Estrategia</w:t>
      </w:r>
      <w:r w:rsidR="00F373A3" w:rsidRPr="00181FCD">
        <w:t xml:space="preserve"> </w:t>
      </w:r>
      <w:r w:rsidRPr="00181FCD">
        <w:t>prevé</w:t>
      </w:r>
      <w:r w:rsidR="00F373A3" w:rsidRPr="00181FCD">
        <w:t xml:space="preserve"> </w:t>
      </w:r>
      <w:r w:rsidRPr="00181FCD">
        <w:t>la</w:t>
      </w:r>
      <w:r w:rsidR="00F373A3" w:rsidRPr="00181FCD">
        <w:t xml:space="preserve"> </w:t>
      </w:r>
      <w:r w:rsidRPr="00181FCD">
        <w:t>creación</w:t>
      </w:r>
      <w:r w:rsidR="00F373A3" w:rsidRPr="00181FCD">
        <w:t xml:space="preserve"> </w:t>
      </w:r>
      <w:r w:rsidRPr="00181FCD">
        <w:t>de</w:t>
      </w:r>
      <w:r w:rsidR="00F373A3" w:rsidRPr="00181FCD">
        <w:t xml:space="preserve"> </w:t>
      </w:r>
      <w:r w:rsidRPr="00181FCD">
        <w:t>un</w:t>
      </w:r>
      <w:r w:rsidR="00F373A3" w:rsidRPr="00181FCD">
        <w:t xml:space="preserve"> </w:t>
      </w:r>
      <w:r w:rsidRPr="00181FCD">
        <w:t>Consejo</w:t>
      </w:r>
      <w:r w:rsidR="00F373A3" w:rsidRPr="00181FCD">
        <w:t xml:space="preserve"> </w:t>
      </w:r>
      <w:r w:rsidRPr="00181FCD">
        <w:t>Nacional</w:t>
      </w:r>
      <w:r w:rsidR="00F373A3" w:rsidRPr="00181FCD">
        <w:t xml:space="preserve"> </w:t>
      </w:r>
      <w:r w:rsidRPr="00181FCD">
        <w:t>de</w:t>
      </w:r>
      <w:r w:rsidR="00F373A3" w:rsidRPr="00181FCD">
        <w:t xml:space="preserve"> </w:t>
      </w:r>
      <w:r w:rsidRPr="00181FCD">
        <w:t>Políticas</w:t>
      </w:r>
      <w:r w:rsidR="00F373A3" w:rsidRPr="00181FCD">
        <w:t xml:space="preserve"> </w:t>
      </w:r>
      <w:r w:rsidRPr="00181FCD">
        <w:t>Contra</w:t>
      </w:r>
      <w:r w:rsidR="00F373A3" w:rsidRPr="00181FCD">
        <w:t xml:space="preserve"> </w:t>
      </w:r>
      <w:r w:rsidRPr="00181FCD">
        <w:t>la</w:t>
      </w:r>
      <w:r w:rsidR="00F373A3" w:rsidRPr="00181FCD">
        <w:t xml:space="preserve"> </w:t>
      </w:r>
      <w:r w:rsidRPr="00181FCD">
        <w:t>Corrupción,</w:t>
      </w:r>
      <w:r w:rsidR="00F373A3" w:rsidRPr="00181FCD">
        <w:t xml:space="preserve"> </w:t>
      </w:r>
      <w:r w:rsidRPr="00181FCD">
        <w:t>como</w:t>
      </w:r>
      <w:r w:rsidR="00F373A3" w:rsidRPr="00181FCD">
        <w:t xml:space="preserve"> </w:t>
      </w:r>
      <w:r w:rsidRPr="00181FCD">
        <w:t>mecanismo</w:t>
      </w:r>
      <w:r w:rsidR="00F373A3" w:rsidRPr="00181FCD">
        <w:t xml:space="preserve"> </w:t>
      </w:r>
      <w:r w:rsidRPr="00181FCD">
        <w:t>de</w:t>
      </w:r>
      <w:r w:rsidR="00F373A3" w:rsidRPr="00181FCD">
        <w:t xml:space="preserve"> </w:t>
      </w:r>
      <w:r w:rsidRPr="00181FCD">
        <w:t>coordinación</w:t>
      </w:r>
      <w:r w:rsidR="00F373A3" w:rsidRPr="00181FCD">
        <w:t xml:space="preserve"> </w:t>
      </w:r>
      <w:r w:rsidRPr="00181FCD">
        <w:t>a</w:t>
      </w:r>
      <w:r w:rsidR="00F373A3" w:rsidRPr="00181FCD">
        <w:t xml:space="preserve"> </w:t>
      </w:r>
      <w:r w:rsidRPr="00181FCD">
        <w:t>nivel</w:t>
      </w:r>
      <w:r w:rsidR="00F373A3" w:rsidRPr="00181FCD">
        <w:t xml:space="preserve"> </w:t>
      </w:r>
      <w:r w:rsidRPr="00181FCD">
        <w:t>político.</w:t>
      </w:r>
    </w:p>
    <w:p w:rsidR="001937F4" w:rsidRPr="00181FCD" w:rsidRDefault="001937F4" w:rsidP="00347B20">
      <w:pPr>
        <w:pStyle w:val="SingleTxtG"/>
        <w:suppressAutoHyphens/>
      </w:pPr>
      <w:r w:rsidRPr="00181FCD">
        <w:t>46.</w:t>
      </w:r>
      <w:r w:rsidRPr="00181FCD">
        <w:tab/>
        <w:t>En</w:t>
      </w:r>
      <w:r w:rsidR="00F373A3" w:rsidRPr="00181FCD">
        <w:t xml:space="preserve"> </w:t>
      </w:r>
      <w:r w:rsidRPr="00181FCD">
        <w:t>aplicación</w:t>
      </w:r>
      <w:r w:rsidR="00F373A3" w:rsidRPr="00181FCD">
        <w:t xml:space="preserve"> </w:t>
      </w:r>
      <w:r w:rsidRPr="00181FCD">
        <w:t>de</w:t>
      </w:r>
      <w:r w:rsidR="00F373A3" w:rsidRPr="00181FCD">
        <w:t xml:space="preserve"> </w:t>
      </w:r>
      <w:r w:rsidRPr="00181FCD">
        <w:t>la</w:t>
      </w:r>
      <w:r w:rsidR="00F373A3" w:rsidRPr="00181FCD">
        <w:t xml:space="preserve"> </w:t>
      </w:r>
      <w:r w:rsidRPr="00181FCD">
        <w:t>Estrategia,</w:t>
      </w:r>
      <w:r w:rsidR="00F373A3" w:rsidRPr="00181FCD">
        <w:t xml:space="preserve"> </w:t>
      </w:r>
      <w:r w:rsidRPr="00181FCD">
        <w:t>en</w:t>
      </w:r>
      <w:r w:rsidR="00F373A3" w:rsidRPr="00181FCD">
        <w:t xml:space="preserve"> </w:t>
      </w:r>
      <w:r w:rsidRPr="00181FCD">
        <w:t>mayo</w:t>
      </w:r>
      <w:r w:rsidR="00F373A3" w:rsidRPr="00181FCD">
        <w:t xml:space="preserve"> </w:t>
      </w:r>
      <w:r w:rsidRPr="00181FCD">
        <w:t>de</w:t>
      </w:r>
      <w:r w:rsidR="00F373A3" w:rsidRPr="00181FCD">
        <w:t xml:space="preserve"> </w:t>
      </w:r>
      <w:r w:rsidRPr="00181FCD">
        <w:t>2015</w:t>
      </w:r>
      <w:r w:rsidR="00F373A3" w:rsidRPr="00181FCD">
        <w:t xml:space="preserve"> </w:t>
      </w:r>
      <w:r w:rsidRPr="00181FCD">
        <w:t>se</w:t>
      </w:r>
      <w:r w:rsidR="00F373A3" w:rsidRPr="00181FCD">
        <w:t xml:space="preserve"> </w:t>
      </w:r>
      <w:r w:rsidRPr="00181FCD">
        <w:t>creó</w:t>
      </w:r>
      <w:r w:rsidR="00F373A3" w:rsidRPr="00181FCD">
        <w:t xml:space="preserve"> </w:t>
      </w:r>
      <w:r w:rsidRPr="00181FCD">
        <w:t>el</w:t>
      </w:r>
      <w:r w:rsidR="00F373A3" w:rsidRPr="00181FCD">
        <w:t xml:space="preserve"> </w:t>
      </w:r>
      <w:r w:rsidRPr="00181FCD">
        <w:t>Consejo</w:t>
      </w:r>
      <w:r w:rsidR="00F373A3" w:rsidRPr="00181FCD">
        <w:t xml:space="preserve"> </w:t>
      </w:r>
      <w:r w:rsidRPr="00181FCD">
        <w:t>Nacional</w:t>
      </w:r>
      <w:r w:rsidR="00F373A3" w:rsidRPr="00181FCD">
        <w:t xml:space="preserve"> </w:t>
      </w:r>
      <w:r w:rsidRPr="00181FCD">
        <w:t>de</w:t>
      </w:r>
      <w:r w:rsidR="00F373A3" w:rsidRPr="00181FCD">
        <w:t xml:space="preserve"> </w:t>
      </w:r>
      <w:r w:rsidRPr="00181FCD">
        <w:t>Políticas</w:t>
      </w:r>
      <w:r w:rsidR="00F373A3" w:rsidRPr="00181FCD">
        <w:t xml:space="preserve"> </w:t>
      </w:r>
      <w:r w:rsidRPr="00181FCD">
        <w:t>Contra</w:t>
      </w:r>
      <w:r w:rsidR="00F373A3" w:rsidRPr="00181FCD">
        <w:t xml:space="preserve"> </w:t>
      </w:r>
      <w:r w:rsidRPr="00181FCD">
        <w:t>la</w:t>
      </w:r>
      <w:r w:rsidR="00F373A3" w:rsidRPr="00181FCD">
        <w:t xml:space="preserve"> </w:t>
      </w:r>
      <w:r w:rsidRPr="00181FCD">
        <w:t>Corrupción.</w:t>
      </w:r>
      <w:r w:rsidR="00F373A3" w:rsidRPr="00181FCD">
        <w:t xml:space="preserve"> </w:t>
      </w:r>
      <w:r w:rsidRPr="00181FCD">
        <w:t>El</w:t>
      </w:r>
      <w:r w:rsidR="00F373A3" w:rsidRPr="00181FCD">
        <w:t xml:space="preserve"> </w:t>
      </w:r>
      <w:r w:rsidRPr="00181FCD">
        <w:t>Consejo</w:t>
      </w:r>
      <w:r w:rsidR="00F373A3" w:rsidRPr="00181FCD">
        <w:t xml:space="preserve"> </w:t>
      </w:r>
      <w:r w:rsidRPr="00181FCD">
        <w:t>ejerce</w:t>
      </w:r>
      <w:r w:rsidR="00F373A3" w:rsidRPr="00181FCD">
        <w:t xml:space="preserve"> </w:t>
      </w:r>
      <w:r w:rsidRPr="00181FCD">
        <w:t>funciones</w:t>
      </w:r>
      <w:r w:rsidR="00F373A3" w:rsidRPr="00181FCD">
        <w:t xml:space="preserve"> </w:t>
      </w:r>
      <w:r w:rsidRPr="00181FCD">
        <w:t>de</w:t>
      </w:r>
      <w:r w:rsidR="00F373A3" w:rsidRPr="00181FCD">
        <w:t xml:space="preserve"> </w:t>
      </w:r>
      <w:r w:rsidRPr="00181FCD">
        <w:t>asesoramiento,</w:t>
      </w:r>
      <w:r w:rsidR="00F373A3" w:rsidRPr="00181FCD">
        <w:t xml:space="preserve"> </w:t>
      </w:r>
      <w:r w:rsidRPr="00181FCD">
        <w:t>coordinación</w:t>
      </w:r>
      <w:r w:rsidR="00F373A3" w:rsidRPr="00181FCD">
        <w:t xml:space="preserve"> </w:t>
      </w:r>
      <w:r w:rsidRPr="00181FCD">
        <w:t>y</w:t>
      </w:r>
      <w:r w:rsidR="00F373A3" w:rsidRPr="00181FCD">
        <w:t xml:space="preserve"> </w:t>
      </w:r>
      <w:r w:rsidRPr="00181FCD">
        <w:t>fiscalización</w:t>
      </w:r>
      <w:r w:rsidR="00F373A3" w:rsidRPr="00181FCD">
        <w:t xml:space="preserve"> </w:t>
      </w:r>
      <w:r w:rsidRPr="00181FCD">
        <w:t>en</w:t>
      </w:r>
      <w:r w:rsidR="00F373A3" w:rsidRPr="00181FCD">
        <w:t xml:space="preserve"> </w:t>
      </w:r>
      <w:r w:rsidRPr="00181FCD">
        <w:t>relación</w:t>
      </w:r>
      <w:r w:rsidR="00F373A3" w:rsidRPr="00181FCD">
        <w:t xml:space="preserve"> </w:t>
      </w:r>
      <w:r w:rsidRPr="00181FCD">
        <w:t>con</w:t>
      </w:r>
      <w:r w:rsidR="00F373A3" w:rsidRPr="00181FCD">
        <w:t xml:space="preserve"> </w:t>
      </w:r>
      <w:r w:rsidRPr="00181FCD">
        <w:t>la</w:t>
      </w:r>
      <w:r w:rsidR="00F373A3" w:rsidRPr="00181FCD">
        <w:t xml:space="preserve"> </w:t>
      </w:r>
      <w:r w:rsidRPr="00181FCD">
        <w:t>formulación</w:t>
      </w:r>
      <w:r w:rsidR="00F373A3" w:rsidRPr="00181FCD">
        <w:t xml:space="preserve"> </w:t>
      </w:r>
      <w:r w:rsidRPr="00181FCD">
        <w:t>y</w:t>
      </w:r>
      <w:r w:rsidR="00F373A3" w:rsidRPr="00181FCD">
        <w:t xml:space="preserve"> </w:t>
      </w:r>
      <w:r w:rsidRPr="00181FCD">
        <w:t>la</w:t>
      </w:r>
      <w:r w:rsidR="00F373A3" w:rsidRPr="00181FCD">
        <w:t xml:space="preserve"> </w:t>
      </w:r>
      <w:r w:rsidRPr="00181FCD">
        <w:t>aplicación</w:t>
      </w:r>
      <w:r w:rsidR="00F373A3" w:rsidRPr="00181FCD">
        <w:t xml:space="preserve"> </w:t>
      </w:r>
      <w:r w:rsidRPr="00181FCD">
        <w:t>de</w:t>
      </w:r>
      <w:r w:rsidR="00F373A3" w:rsidRPr="00181FCD">
        <w:t xml:space="preserve"> </w:t>
      </w:r>
      <w:r w:rsidRPr="00181FCD">
        <w:t>las</w:t>
      </w:r>
      <w:r w:rsidR="00F373A3" w:rsidRPr="00181FCD">
        <w:t xml:space="preserve"> </w:t>
      </w:r>
      <w:r w:rsidRPr="00181FCD">
        <w:t>políticas</w:t>
      </w:r>
      <w:r w:rsidR="00F373A3" w:rsidRPr="00181FCD">
        <w:t xml:space="preserve"> </w:t>
      </w:r>
      <w:r w:rsidRPr="00181FCD">
        <w:t>en</w:t>
      </w:r>
      <w:r w:rsidR="00F373A3" w:rsidRPr="00181FCD">
        <w:t xml:space="preserve"> </w:t>
      </w:r>
      <w:r w:rsidRPr="00181FCD">
        <w:t>el</w:t>
      </w:r>
      <w:r w:rsidR="00F373A3" w:rsidRPr="00181FCD">
        <w:t xml:space="preserve"> </w:t>
      </w:r>
      <w:r w:rsidRPr="00181FCD">
        <w:t>ámbito</w:t>
      </w:r>
      <w:r w:rsidR="00F373A3" w:rsidRPr="00181FCD">
        <w:t xml:space="preserve"> </w:t>
      </w:r>
      <w:r w:rsidRPr="00181FCD">
        <w:t>de</w:t>
      </w:r>
      <w:r w:rsidR="00F373A3" w:rsidRPr="00181FCD">
        <w:t xml:space="preserve"> </w:t>
      </w:r>
      <w:r w:rsidRPr="00181FCD">
        <w:t>la</w:t>
      </w:r>
      <w:r w:rsidR="00F373A3" w:rsidRPr="00181FCD">
        <w:t xml:space="preserve"> </w:t>
      </w:r>
      <w:r w:rsidRPr="00181FCD">
        <w:t>prevención</w:t>
      </w:r>
      <w:r w:rsidR="00F373A3" w:rsidRPr="00181FCD">
        <w:t xml:space="preserve"> </w:t>
      </w:r>
      <w:r w:rsidRPr="00181FCD">
        <w:t>y</w:t>
      </w:r>
      <w:r w:rsidR="00F373A3" w:rsidRPr="00181FCD">
        <w:t xml:space="preserve"> </w:t>
      </w:r>
      <w:r w:rsidRPr="00181FCD">
        <w:t>la</w:t>
      </w:r>
      <w:r w:rsidR="00F373A3" w:rsidRPr="00181FCD">
        <w:t xml:space="preserve"> </w:t>
      </w:r>
      <w:r w:rsidRPr="00181FCD">
        <w:t>lucha</w:t>
      </w:r>
      <w:r w:rsidR="00F373A3" w:rsidRPr="00181FCD">
        <w:t xml:space="preserve"> </w:t>
      </w:r>
      <w:r w:rsidRPr="00181FCD">
        <w:t>contra</w:t>
      </w:r>
      <w:r w:rsidR="00F373A3" w:rsidRPr="00181FCD">
        <w:t xml:space="preserve"> </w:t>
      </w:r>
      <w:r w:rsidRPr="00181FCD">
        <w:t>la</w:t>
      </w:r>
      <w:r w:rsidR="00F373A3" w:rsidRPr="00181FCD">
        <w:t xml:space="preserve"> </w:t>
      </w:r>
      <w:r w:rsidRPr="00181FCD">
        <w:t>corrupción.</w:t>
      </w:r>
    </w:p>
    <w:p w:rsidR="001937F4" w:rsidRPr="00181FCD" w:rsidRDefault="001937F4" w:rsidP="00347B20">
      <w:pPr>
        <w:pStyle w:val="SingleTxtG"/>
        <w:suppressAutoHyphens/>
      </w:pPr>
      <w:r w:rsidRPr="00181FCD">
        <w:t>47.</w:t>
      </w:r>
      <w:r w:rsidRPr="00181FCD">
        <w:tab/>
        <w:t>En</w:t>
      </w:r>
      <w:r w:rsidR="00F373A3" w:rsidRPr="00181FCD">
        <w:t xml:space="preserve"> </w:t>
      </w:r>
      <w:r w:rsidRPr="00181FCD">
        <w:t>diciembre</w:t>
      </w:r>
      <w:r w:rsidR="00F373A3" w:rsidRPr="00181FCD">
        <w:t xml:space="preserve"> </w:t>
      </w:r>
      <w:r w:rsidRPr="00181FCD">
        <w:t>de</w:t>
      </w:r>
      <w:r w:rsidR="00F373A3" w:rsidRPr="00181FCD">
        <w:t xml:space="preserve"> </w:t>
      </w:r>
      <w:r w:rsidRPr="00181FCD">
        <w:t>2015</w:t>
      </w:r>
      <w:r w:rsidR="00F373A3" w:rsidRPr="00181FCD">
        <w:t xml:space="preserve"> </w:t>
      </w:r>
      <w:r w:rsidRPr="00181FCD">
        <w:t>se</w:t>
      </w:r>
      <w:r w:rsidR="00F373A3" w:rsidRPr="00181FCD">
        <w:t xml:space="preserve"> </w:t>
      </w:r>
      <w:r w:rsidRPr="00181FCD">
        <w:t>presentó</w:t>
      </w:r>
      <w:r w:rsidR="00F373A3" w:rsidRPr="00181FCD">
        <w:t xml:space="preserve"> </w:t>
      </w:r>
      <w:r w:rsidRPr="00181FCD">
        <w:t>en</w:t>
      </w:r>
      <w:r w:rsidR="00F373A3" w:rsidRPr="00181FCD">
        <w:t xml:space="preserve"> </w:t>
      </w:r>
      <w:r w:rsidRPr="00181FCD">
        <w:t>el</w:t>
      </w:r>
      <w:r w:rsidR="00F373A3" w:rsidRPr="00181FCD">
        <w:t xml:space="preserve"> </w:t>
      </w:r>
      <w:r w:rsidRPr="00181FCD">
        <w:t>Parlamento</w:t>
      </w:r>
      <w:r w:rsidR="00F373A3" w:rsidRPr="00181FCD">
        <w:t xml:space="preserve"> </w:t>
      </w:r>
      <w:r w:rsidRPr="00181FCD">
        <w:t>una</w:t>
      </w:r>
      <w:r w:rsidR="00F373A3" w:rsidRPr="00181FCD">
        <w:t xml:space="preserve"> </w:t>
      </w:r>
      <w:r w:rsidRPr="00181FCD">
        <w:t>versión</w:t>
      </w:r>
      <w:r w:rsidR="00F373A3" w:rsidRPr="00181FCD">
        <w:t xml:space="preserve"> </w:t>
      </w:r>
      <w:r w:rsidRPr="00181FCD">
        <w:t>revisada</w:t>
      </w:r>
      <w:r w:rsidR="00F373A3" w:rsidRPr="00181FCD">
        <w:t xml:space="preserve"> </w:t>
      </w:r>
      <w:r w:rsidRPr="00181FCD">
        <w:t>del</w:t>
      </w:r>
      <w:r w:rsidR="00F373A3" w:rsidRPr="00181FCD">
        <w:t xml:space="preserve"> </w:t>
      </w:r>
      <w:r w:rsidRPr="00181FCD">
        <w:t>proyecto</w:t>
      </w:r>
      <w:r w:rsidR="00F373A3" w:rsidRPr="00181FCD">
        <w:t xml:space="preserve"> </w:t>
      </w:r>
      <w:r w:rsidRPr="00181FCD">
        <w:t>de</w:t>
      </w:r>
      <w:r w:rsidR="00F373A3" w:rsidRPr="00181FCD">
        <w:t xml:space="preserve"> </w:t>
      </w:r>
      <w:r w:rsidRPr="00181FCD">
        <w:t>Ley</w:t>
      </w:r>
      <w:r w:rsidR="00F373A3" w:rsidRPr="00181FCD">
        <w:t xml:space="preserve"> </w:t>
      </w:r>
      <w:r w:rsidRPr="00181FCD">
        <w:t>de</w:t>
      </w:r>
      <w:r w:rsidR="00F373A3" w:rsidRPr="00181FCD">
        <w:t xml:space="preserve"> </w:t>
      </w:r>
      <w:r w:rsidRPr="00181FCD">
        <w:t>Prevención</w:t>
      </w:r>
      <w:r w:rsidR="00F373A3" w:rsidRPr="00181FCD">
        <w:t xml:space="preserve"> </w:t>
      </w:r>
      <w:r w:rsidRPr="00181FCD">
        <w:t>de</w:t>
      </w:r>
      <w:r w:rsidR="00F373A3" w:rsidRPr="00181FCD">
        <w:t xml:space="preserve"> </w:t>
      </w:r>
      <w:r w:rsidRPr="00181FCD">
        <w:t>la</w:t>
      </w:r>
      <w:r w:rsidR="00F373A3" w:rsidRPr="00181FCD">
        <w:t xml:space="preserve"> </w:t>
      </w:r>
      <w:r w:rsidRPr="00181FCD">
        <w:t>Corrupción</w:t>
      </w:r>
      <w:r w:rsidR="00F373A3" w:rsidRPr="00181FCD">
        <w:t xml:space="preserve"> </w:t>
      </w:r>
      <w:r w:rsidRPr="00181FCD">
        <w:t>entre</w:t>
      </w:r>
      <w:r w:rsidR="00F373A3" w:rsidRPr="00181FCD">
        <w:t xml:space="preserve"> </w:t>
      </w:r>
      <w:r w:rsidRPr="00181FCD">
        <w:t>los</w:t>
      </w:r>
      <w:r w:rsidR="00F373A3" w:rsidRPr="00181FCD">
        <w:t xml:space="preserve"> </w:t>
      </w:r>
      <w:r w:rsidRPr="00181FCD">
        <w:t>Funcionarios</w:t>
      </w:r>
      <w:r w:rsidR="00F373A3" w:rsidRPr="00181FCD">
        <w:t xml:space="preserve"> </w:t>
      </w:r>
      <w:r w:rsidRPr="00181FCD">
        <w:t>de</w:t>
      </w:r>
      <w:r w:rsidR="00F373A3" w:rsidRPr="00181FCD">
        <w:t xml:space="preserve"> </w:t>
      </w:r>
      <w:r w:rsidRPr="00181FCD">
        <w:t>Alto</w:t>
      </w:r>
      <w:r w:rsidR="00F373A3" w:rsidRPr="00181FCD">
        <w:t xml:space="preserve"> </w:t>
      </w:r>
      <w:r w:rsidRPr="00181FCD">
        <w:t>Nivel</w:t>
      </w:r>
      <w:r w:rsidR="00F373A3" w:rsidRPr="00181FCD">
        <w:t xml:space="preserve"> </w:t>
      </w:r>
      <w:r w:rsidRPr="00181FCD">
        <w:t>del</w:t>
      </w:r>
      <w:r w:rsidR="00F373A3" w:rsidRPr="00181FCD">
        <w:t xml:space="preserve"> </w:t>
      </w:r>
      <w:r w:rsidRPr="00181FCD">
        <w:t>Estado.</w:t>
      </w:r>
    </w:p>
    <w:p w:rsidR="001937F4" w:rsidRPr="00181FCD" w:rsidRDefault="004B7AF2" w:rsidP="00347B20">
      <w:pPr>
        <w:pStyle w:val="H23G"/>
      </w:pPr>
      <w:r w:rsidRPr="00181FCD">
        <w:tab/>
      </w:r>
      <w:r w:rsidRPr="00181FCD">
        <w:tab/>
      </w:r>
      <w:r w:rsidR="001937F4" w:rsidRPr="00181FCD">
        <w:t>Respuesta</w:t>
      </w:r>
      <w:r w:rsidR="00F373A3" w:rsidRPr="00181FCD">
        <w:t xml:space="preserve"> </w:t>
      </w:r>
      <w:r w:rsidR="001937F4" w:rsidRPr="00181FCD">
        <w:t>a</w:t>
      </w:r>
      <w:r w:rsidR="00F373A3" w:rsidRPr="00181FCD">
        <w:t xml:space="preserve"> </w:t>
      </w:r>
      <w:r w:rsidR="001937F4" w:rsidRPr="00181FCD">
        <w:t>las</w:t>
      </w:r>
      <w:r w:rsidR="00F373A3" w:rsidRPr="00181FCD">
        <w:t xml:space="preserve"> </w:t>
      </w:r>
      <w:r w:rsidR="001937F4" w:rsidRPr="00181FCD">
        <w:t>cuestiones</w:t>
      </w:r>
      <w:r w:rsidR="00F373A3" w:rsidRPr="00181FCD">
        <w:t xml:space="preserve"> </w:t>
      </w:r>
      <w:r w:rsidR="001937F4" w:rsidRPr="00181FCD">
        <w:t>planteadas</w:t>
      </w:r>
      <w:r w:rsidR="00F373A3" w:rsidRPr="00181FCD">
        <w:t xml:space="preserve"> </w:t>
      </w:r>
      <w:r w:rsidR="001937F4" w:rsidRPr="00181FCD">
        <w:t>en</w:t>
      </w:r>
      <w:r w:rsidR="00F373A3" w:rsidRPr="00181FCD">
        <w:t xml:space="preserve"> </w:t>
      </w:r>
      <w:r w:rsidR="001937F4" w:rsidRPr="00181FCD">
        <w:t>el</w:t>
      </w:r>
      <w:r w:rsidR="00F373A3" w:rsidRPr="00181FCD">
        <w:t xml:space="preserve"> </w:t>
      </w:r>
      <w:r w:rsidR="001937F4" w:rsidRPr="00181FCD">
        <w:t>párrafo</w:t>
      </w:r>
      <w:r w:rsidR="00F373A3" w:rsidRPr="00181FCD">
        <w:t xml:space="preserve"> </w:t>
      </w:r>
      <w:r w:rsidR="001937F4" w:rsidRPr="00181FCD">
        <w:t>6</w:t>
      </w:r>
      <w:r w:rsidR="00F373A3" w:rsidRPr="00181FCD">
        <w:t xml:space="preserve"> </w:t>
      </w:r>
      <w:r w:rsidR="001937F4" w:rsidRPr="00181FCD">
        <w:t>de</w:t>
      </w:r>
      <w:r w:rsidR="00F373A3" w:rsidRPr="00181FCD">
        <w:t xml:space="preserve"> </w:t>
      </w:r>
      <w:r w:rsidR="001937F4" w:rsidRPr="00181FCD">
        <w:t>la</w:t>
      </w:r>
      <w:r w:rsidR="00F373A3" w:rsidRPr="00181FCD">
        <w:t xml:space="preserve"> </w:t>
      </w:r>
      <w:r w:rsidR="001937F4" w:rsidRPr="00181FCD">
        <w:t>lista</w:t>
      </w:r>
      <w:r w:rsidR="00F373A3" w:rsidRPr="00181FCD">
        <w:t xml:space="preserve"> </w:t>
      </w:r>
      <w:r w:rsidR="001937F4" w:rsidRPr="00181FCD">
        <w:t>de</w:t>
      </w:r>
      <w:r w:rsidR="00F373A3" w:rsidRPr="00181FCD">
        <w:t xml:space="preserve"> </w:t>
      </w:r>
      <w:r w:rsidR="001937F4" w:rsidRPr="00181FCD">
        <w:t>cuestiones</w:t>
      </w:r>
    </w:p>
    <w:p w:rsidR="001937F4" w:rsidRPr="00181FCD" w:rsidRDefault="001937F4" w:rsidP="00347B20">
      <w:pPr>
        <w:pStyle w:val="SingleTxtG"/>
        <w:suppressAutoHyphens/>
      </w:pPr>
      <w:r w:rsidRPr="00181FCD">
        <w:t>48.</w:t>
      </w:r>
      <w:r w:rsidRPr="00181FCD">
        <w:tab/>
        <w:t>La</w:t>
      </w:r>
      <w:r w:rsidR="00F373A3" w:rsidRPr="00181FCD">
        <w:t xml:space="preserve"> </w:t>
      </w:r>
      <w:r w:rsidRPr="00181FCD">
        <w:t>legislación</w:t>
      </w:r>
      <w:r w:rsidR="00F373A3" w:rsidRPr="00181FCD">
        <w:t xml:space="preserve"> </w:t>
      </w:r>
      <w:r w:rsidRPr="00181FCD">
        <w:t>búlgara</w:t>
      </w:r>
      <w:r w:rsidR="00F373A3" w:rsidRPr="00181FCD">
        <w:t xml:space="preserve"> </w:t>
      </w:r>
      <w:r w:rsidRPr="00181FCD">
        <w:t>contiene</w:t>
      </w:r>
      <w:r w:rsidR="00F373A3" w:rsidRPr="00181FCD">
        <w:t xml:space="preserve"> </w:t>
      </w:r>
      <w:r w:rsidRPr="00181FCD">
        <w:t>una</w:t>
      </w:r>
      <w:r w:rsidR="00F373A3" w:rsidRPr="00181FCD">
        <w:t xml:space="preserve"> </w:t>
      </w:r>
      <w:r w:rsidRPr="00181FCD">
        <w:t>definición</w:t>
      </w:r>
      <w:r w:rsidR="00F373A3" w:rsidRPr="00181FCD">
        <w:t xml:space="preserve"> </w:t>
      </w:r>
      <w:r w:rsidRPr="00181FCD">
        <w:t>legal</w:t>
      </w:r>
      <w:r w:rsidR="00F373A3" w:rsidRPr="00181FCD">
        <w:t xml:space="preserve"> </w:t>
      </w:r>
      <w:r w:rsidRPr="00181FCD">
        <w:t>del</w:t>
      </w:r>
      <w:r w:rsidR="00F373A3" w:rsidRPr="00181FCD">
        <w:t xml:space="preserve"> </w:t>
      </w:r>
      <w:r w:rsidRPr="00181FCD">
        <w:t>término</w:t>
      </w:r>
      <w:r w:rsidR="00F373A3" w:rsidRPr="00181FCD">
        <w:t xml:space="preserve"> "</w:t>
      </w:r>
      <w:r w:rsidRPr="00181FCD">
        <w:t>violencia</w:t>
      </w:r>
      <w:r w:rsidR="00F373A3" w:rsidRPr="00181FCD">
        <w:t xml:space="preserve"> </w:t>
      </w:r>
      <w:r w:rsidRPr="00181FCD">
        <w:t>doméstica</w:t>
      </w:r>
      <w:r w:rsidR="00F373A3" w:rsidRPr="00181FCD">
        <w:t>"</w:t>
      </w:r>
      <w:r w:rsidRPr="00181FCD">
        <w:t>.</w:t>
      </w:r>
      <w:r w:rsidR="00F373A3" w:rsidRPr="00181FCD">
        <w:t xml:space="preserve"> </w:t>
      </w:r>
      <w:r w:rsidRPr="00181FCD">
        <w:t>El</w:t>
      </w:r>
      <w:r w:rsidR="00F373A3" w:rsidRPr="00181FCD">
        <w:t xml:space="preserve"> </w:t>
      </w:r>
      <w:r w:rsidRPr="00181FCD">
        <w:t>tema</w:t>
      </w:r>
      <w:r w:rsidR="00F373A3" w:rsidRPr="00181FCD">
        <w:t xml:space="preserve"> </w:t>
      </w:r>
      <w:r w:rsidRPr="00181FCD">
        <w:t>está</w:t>
      </w:r>
      <w:r w:rsidR="00F373A3" w:rsidRPr="00181FCD">
        <w:t xml:space="preserve"> </w:t>
      </w:r>
      <w:r w:rsidRPr="00181FCD">
        <w:t>reglamentado</w:t>
      </w:r>
      <w:r w:rsidR="00F373A3" w:rsidRPr="00181FCD">
        <w:t xml:space="preserve"> </w:t>
      </w:r>
      <w:r w:rsidRPr="00181FCD">
        <w:t>en</w:t>
      </w:r>
      <w:r w:rsidR="00F373A3" w:rsidRPr="00181FCD">
        <w:t xml:space="preserve"> </w:t>
      </w:r>
      <w:r w:rsidRPr="00181FCD">
        <w:t>el</w:t>
      </w:r>
      <w:r w:rsidR="00F373A3" w:rsidRPr="00181FCD">
        <w:t xml:space="preserve"> </w:t>
      </w:r>
      <w:r w:rsidRPr="00181FCD">
        <w:t>artículo</w:t>
      </w:r>
      <w:r w:rsidR="00F373A3" w:rsidRPr="00181FCD">
        <w:t xml:space="preserve"> </w:t>
      </w:r>
      <w:r w:rsidRPr="00181FCD">
        <w:t>2</w:t>
      </w:r>
      <w:r w:rsidR="00F373A3" w:rsidRPr="00181FCD">
        <w:t xml:space="preserve"> </w:t>
      </w:r>
      <w:r w:rsidRPr="00181FCD">
        <w:t>de</w:t>
      </w:r>
      <w:r w:rsidR="00F373A3" w:rsidRPr="00181FCD">
        <w:t xml:space="preserve"> </w:t>
      </w:r>
      <w:r w:rsidRPr="00181FCD">
        <w:t>la</w:t>
      </w:r>
      <w:r w:rsidR="00F373A3" w:rsidRPr="00181FCD">
        <w:t xml:space="preserve"> </w:t>
      </w:r>
      <w:r w:rsidRPr="00181FCD">
        <w:t>Ley</w:t>
      </w:r>
      <w:r w:rsidR="00F373A3" w:rsidRPr="00181FCD">
        <w:t xml:space="preserve"> </w:t>
      </w:r>
      <w:r w:rsidRPr="00181FCD">
        <w:t>de</w:t>
      </w:r>
      <w:r w:rsidR="00F373A3" w:rsidRPr="00181FCD">
        <w:t xml:space="preserve"> </w:t>
      </w:r>
      <w:r w:rsidRPr="00181FCD">
        <w:t>Protección</w:t>
      </w:r>
      <w:r w:rsidR="00F373A3" w:rsidRPr="00181FCD">
        <w:t xml:space="preserve"> </w:t>
      </w:r>
      <w:r w:rsidRPr="00181FCD">
        <w:t>contra</w:t>
      </w:r>
      <w:r w:rsidR="00F373A3" w:rsidRPr="00181FCD">
        <w:t xml:space="preserve"> </w:t>
      </w:r>
      <w:r w:rsidRPr="00181FCD">
        <w:t>la</w:t>
      </w:r>
      <w:r w:rsidR="00F373A3" w:rsidRPr="00181FCD">
        <w:t xml:space="preserve"> </w:t>
      </w:r>
      <w:r w:rsidRPr="00181FCD">
        <w:t>Violencia</w:t>
      </w:r>
      <w:r w:rsidR="00F373A3" w:rsidRPr="00181FCD">
        <w:t xml:space="preserve"> </w:t>
      </w:r>
      <w:r w:rsidRPr="00181FCD">
        <w:t>Doméstica,</w:t>
      </w:r>
      <w:r w:rsidR="00F373A3" w:rsidRPr="00181FCD">
        <w:t xml:space="preserve"> </w:t>
      </w:r>
      <w:r w:rsidRPr="00181FCD">
        <w:t>que</w:t>
      </w:r>
      <w:r w:rsidR="00F373A3" w:rsidRPr="00181FCD">
        <w:t xml:space="preserve"> </w:t>
      </w:r>
      <w:r w:rsidRPr="00181FCD">
        <w:t>estipula</w:t>
      </w:r>
      <w:r w:rsidR="00F373A3" w:rsidRPr="00181FCD">
        <w:t xml:space="preserve"> </w:t>
      </w:r>
      <w:r w:rsidRPr="00181FCD">
        <w:t>los</w:t>
      </w:r>
      <w:r w:rsidR="00F373A3" w:rsidRPr="00181FCD">
        <w:t xml:space="preserve"> </w:t>
      </w:r>
      <w:r w:rsidRPr="00181FCD">
        <w:t>derechos</w:t>
      </w:r>
      <w:r w:rsidR="00F373A3" w:rsidRPr="00181FCD">
        <w:t xml:space="preserve"> </w:t>
      </w:r>
      <w:r w:rsidRPr="00181FCD">
        <w:t>de</w:t>
      </w:r>
      <w:r w:rsidR="00F373A3" w:rsidRPr="00181FCD">
        <w:t xml:space="preserve"> </w:t>
      </w:r>
      <w:r w:rsidRPr="00181FCD">
        <w:t>las</w:t>
      </w:r>
      <w:r w:rsidR="00F373A3" w:rsidRPr="00181FCD">
        <w:t xml:space="preserve"> </w:t>
      </w:r>
      <w:r w:rsidRPr="00181FCD">
        <w:t>personas</w:t>
      </w:r>
      <w:r w:rsidR="00F373A3" w:rsidRPr="00181FCD">
        <w:t xml:space="preserve"> </w:t>
      </w:r>
      <w:r w:rsidRPr="00181FCD">
        <w:t>que</w:t>
      </w:r>
      <w:r w:rsidR="00F373A3" w:rsidRPr="00181FCD">
        <w:t xml:space="preserve"> </w:t>
      </w:r>
      <w:r w:rsidRPr="00181FCD">
        <w:t>han</w:t>
      </w:r>
      <w:r w:rsidR="00F373A3" w:rsidRPr="00181FCD">
        <w:t xml:space="preserve"> </w:t>
      </w:r>
      <w:r w:rsidRPr="00181FCD">
        <w:t>sufrido</w:t>
      </w:r>
      <w:r w:rsidR="00F373A3" w:rsidRPr="00181FCD">
        <w:t xml:space="preserve"> </w:t>
      </w:r>
      <w:r w:rsidRPr="00181FCD">
        <w:t>ese</w:t>
      </w:r>
      <w:r w:rsidR="00F373A3" w:rsidRPr="00181FCD">
        <w:t xml:space="preserve"> </w:t>
      </w:r>
      <w:r w:rsidRPr="00181FCD">
        <w:t>tipo</w:t>
      </w:r>
      <w:r w:rsidR="00F373A3" w:rsidRPr="00181FCD">
        <w:t xml:space="preserve"> </w:t>
      </w:r>
      <w:r w:rsidRPr="00181FCD">
        <w:t>de</w:t>
      </w:r>
      <w:r w:rsidR="00F373A3" w:rsidRPr="00181FCD">
        <w:t xml:space="preserve"> </w:t>
      </w:r>
      <w:r w:rsidRPr="00181FCD">
        <w:t>violencia,</w:t>
      </w:r>
      <w:r w:rsidR="00F373A3" w:rsidRPr="00181FCD">
        <w:t xml:space="preserve"> </w:t>
      </w:r>
      <w:r w:rsidRPr="00181FCD">
        <w:t>las</w:t>
      </w:r>
      <w:r w:rsidR="00F373A3" w:rsidRPr="00181FCD">
        <w:t xml:space="preserve"> </w:t>
      </w:r>
      <w:r w:rsidRPr="00181FCD">
        <w:t>medidas</w:t>
      </w:r>
      <w:r w:rsidR="00F373A3" w:rsidRPr="00181FCD">
        <w:t xml:space="preserve"> </w:t>
      </w:r>
      <w:r w:rsidRPr="00181FCD">
        <w:t>de</w:t>
      </w:r>
      <w:r w:rsidR="00F373A3" w:rsidRPr="00181FCD">
        <w:t xml:space="preserve"> </w:t>
      </w:r>
      <w:r w:rsidRPr="00181FCD">
        <w:t>protección</w:t>
      </w:r>
      <w:r w:rsidR="00F373A3" w:rsidRPr="00181FCD">
        <w:t xml:space="preserve"> </w:t>
      </w:r>
      <w:r w:rsidRPr="00181FCD">
        <w:t>y</w:t>
      </w:r>
      <w:r w:rsidR="00F373A3" w:rsidRPr="00181FCD">
        <w:t xml:space="preserve"> </w:t>
      </w:r>
      <w:r w:rsidRPr="00181FCD">
        <w:t>el</w:t>
      </w:r>
      <w:r w:rsidR="00F373A3" w:rsidRPr="00181FCD">
        <w:t xml:space="preserve"> </w:t>
      </w:r>
      <w:r w:rsidRPr="00181FCD">
        <w:t>procedimiento</w:t>
      </w:r>
      <w:r w:rsidR="00F373A3" w:rsidRPr="00181FCD">
        <w:t xml:space="preserve"> </w:t>
      </w:r>
      <w:r w:rsidRPr="00181FCD">
        <w:t>para</w:t>
      </w:r>
      <w:r w:rsidR="00F373A3" w:rsidRPr="00181FCD">
        <w:t xml:space="preserve"> </w:t>
      </w:r>
      <w:r w:rsidRPr="00181FCD">
        <w:t>su</w:t>
      </w:r>
      <w:r w:rsidR="00F373A3" w:rsidRPr="00181FCD">
        <w:t xml:space="preserve"> </w:t>
      </w:r>
      <w:r w:rsidRPr="00181FCD">
        <w:t>aplicación.</w:t>
      </w:r>
      <w:r w:rsidR="00F373A3" w:rsidRPr="00181FCD">
        <w:t xml:space="preserve"> </w:t>
      </w:r>
      <w:r w:rsidRPr="00181FCD">
        <w:t>Cualquier</w:t>
      </w:r>
      <w:r w:rsidR="00F373A3" w:rsidRPr="00181FCD">
        <w:t xml:space="preserve"> </w:t>
      </w:r>
      <w:r w:rsidRPr="00181FCD">
        <w:t>persona</w:t>
      </w:r>
      <w:r w:rsidR="00F373A3" w:rsidRPr="00181FCD">
        <w:t xml:space="preserve"> </w:t>
      </w:r>
      <w:r w:rsidRPr="00181FCD">
        <w:t>que</w:t>
      </w:r>
      <w:r w:rsidR="00F373A3" w:rsidRPr="00181FCD">
        <w:t xml:space="preserve"> </w:t>
      </w:r>
      <w:r w:rsidRPr="00181FCD">
        <w:t>ha</w:t>
      </w:r>
      <w:r w:rsidR="00F373A3" w:rsidRPr="00181FCD">
        <w:t xml:space="preserve"> </w:t>
      </w:r>
      <w:r w:rsidRPr="00181FCD">
        <w:t>sufrido</w:t>
      </w:r>
      <w:r w:rsidR="00F373A3" w:rsidRPr="00181FCD">
        <w:t xml:space="preserve"> </w:t>
      </w:r>
      <w:r w:rsidRPr="00181FCD">
        <w:t>de</w:t>
      </w:r>
      <w:r w:rsidR="00F373A3" w:rsidRPr="00181FCD">
        <w:t xml:space="preserve"> </w:t>
      </w:r>
      <w:r w:rsidRPr="00181FCD">
        <w:t>violencia</w:t>
      </w:r>
      <w:r w:rsidR="00F373A3" w:rsidRPr="00181FCD">
        <w:t xml:space="preserve"> </w:t>
      </w:r>
      <w:r w:rsidRPr="00181FCD">
        <w:t>doméstica</w:t>
      </w:r>
      <w:r w:rsidR="00F373A3" w:rsidRPr="00181FCD">
        <w:t xml:space="preserve"> </w:t>
      </w:r>
      <w:r w:rsidRPr="00181FCD">
        <w:t>puede</w:t>
      </w:r>
      <w:r w:rsidR="00F373A3" w:rsidRPr="00181FCD">
        <w:t xml:space="preserve"> </w:t>
      </w:r>
      <w:r w:rsidRPr="00181FCD">
        <w:t>buscar</w:t>
      </w:r>
      <w:r w:rsidR="00F373A3" w:rsidRPr="00181FCD">
        <w:t xml:space="preserve"> </w:t>
      </w:r>
      <w:r w:rsidRPr="00181FCD">
        <w:t>protección</w:t>
      </w:r>
      <w:r w:rsidR="00F373A3" w:rsidRPr="00181FCD">
        <w:t xml:space="preserve"> </w:t>
      </w:r>
      <w:r w:rsidRPr="00181FCD">
        <w:t>invocando</w:t>
      </w:r>
      <w:r w:rsidR="00F373A3" w:rsidRPr="00181FCD">
        <w:t xml:space="preserve"> </w:t>
      </w:r>
      <w:r w:rsidRPr="00181FCD">
        <w:t>la</w:t>
      </w:r>
      <w:r w:rsidR="00F373A3" w:rsidRPr="00181FCD">
        <w:t xml:space="preserve"> </w:t>
      </w:r>
      <w:r w:rsidR="00C820BE" w:rsidRPr="00181FCD">
        <w:t>ley</w:t>
      </w:r>
      <w:r w:rsidRPr="00181FCD">
        <w:t>,</w:t>
      </w:r>
      <w:r w:rsidR="00F373A3" w:rsidRPr="00181FCD">
        <w:t xml:space="preserve"> </w:t>
      </w:r>
      <w:r w:rsidRPr="00181FCD">
        <w:t>y</w:t>
      </w:r>
      <w:r w:rsidR="00F373A3" w:rsidRPr="00181FCD">
        <w:t xml:space="preserve"> </w:t>
      </w:r>
      <w:r w:rsidRPr="00181FCD">
        <w:t>la</w:t>
      </w:r>
      <w:r w:rsidR="00F373A3" w:rsidRPr="00181FCD">
        <w:t xml:space="preserve"> </w:t>
      </w:r>
      <w:r w:rsidRPr="00181FCD">
        <w:t>responsabilidad</w:t>
      </w:r>
      <w:r w:rsidR="00F373A3" w:rsidRPr="00181FCD">
        <w:t xml:space="preserve"> </w:t>
      </w:r>
      <w:r w:rsidRPr="00181FCD">
        <w:t>en</w:t>
      </w:r>
      <w:r w:rsidR="00F373A3" w:rsidRPr="00181FCD">
        <w:t xml:space="preserve"> </w:t>
      </w:r>
      <w:r w:rsidRPr="00181FCD">
        <w:t>que</w:t>
      </w:r>
      <w:r w:rsidR="00F373A3" w:rsidRPr="00181FCD">
        <w:t xml:space="preserve"> </w:t>
      </w:r>
      <w:r w:rsidRPr="00181FCD">
        <w:t>incurre</w:t>
      </w:r>
      <w:r w:rsidR="00F373A3" w:rsidRPr="00181FCD">
        <w:t xml:space="preserve"> </w:t>
      </w:r>
      <w:r w:rsidRPr="00181FCD">
        <w:t>el</w:t>
      </w:r>
      <w:r w:rsidR="00F373A3" w:rsidRPr="00181FCD">
        <w:t xml:space="preserve"> </w:t>
      </w:r>
      <w:r w:rsidRPr="00181FCD">
        <w:t>autor</w:t>
      </w:r>
      <w:r w:rsidR="00F373A3" w:rsidRPr="00181FCD">
        <w:t xml:space="preserve"> </w:t>
      </w:r>
      <w:r w:rsidRPr="00181FCD">
        <w:t>del</w:t>
      </w:r>
      <w:r w:rsidR="00F373A3" w:rsidRPr="00181FCD">
        <w:t xml:space="preserve"> </w:t>
      </w:r>
      <w:r w:rsidRPr="00181FCD">
        <w:t>delito</w:t>
      </w:r>
      <w:r w:rsidR="00F373A3" w:rsidRPr="00181FCD">
        <w:t xml:space="preserve"> </w:t>
      </w:r>
      <w:r w:rsidRPr="00181FCD">
        <w:t>de</w:t>
      </w:r>
      <w:r w:rsidR="00F373A3" w:rsidRPr="00181FCD">
        <w:t xml:space="preserve"> </w:t>
      </w:r>
      <w:r w:rsidRPr="00181FCD">
        <w:t>conformidad</w:t>
      </w:r>
      <w:r w:rsidR="00F373A3" w:rsidRPr="00181FCD">
        <w:t xml:space="preserve"> </w:t>
      </w:r>
      <w:r w:rsidRPr="00181FCD">
        <w:t>con</w:t>
      </w:r>
      <w:r w:rsidR="00F373A3" w:rsidRPr="00181FCD">
        <w:t xml:space="preserve"> </w:t>
      </w:r>
      <w:r w:rsidRPr="00181FCD">
        <w:t>dicha</w:t>
      </w:r>
      <w:r w:rsidR="00F373A3" w:rsidRPr="00181FCD">
        <w:t xml:space="preserve"> </w:t>
      </w:r>
      <w:r w:rsidR="00C820BE" w:rsidRPr="00181FCD">
        <w:t>ley</w:t>
      </w:r>
      <w:r w:rsidR="00F373A3" w:rsidRPr="00181FCD">
        <w:t xml:space="preserve"> </w:t>
      </w:r>
      <w:r w:rsidRPr="00181FCD">
        <w:t>no</w:t>
      </w:r>
      <w:r w:rsidR="00F373A3" w:rsidRPr="00181FCD">
        <w:t xml:space="preserve"> </w:t>
      </w:r>
      <w:r w:rsidRPr="00181FCD">
        <w:t>excluirá</w:t>
      </w:r>
      <w:r w:rsidR="00F373A3" w:rsidRPr="00181FCD">
        <w:t xml:space="preserve"> </w:t>
      </w:r>
      <w:r w:rsidRPr="00181FCD">
        <w:t>la</w:t>
      </w:r>
      <w:r w:rsidR="00F373A3" w:rsidRPr="00181FCD">
        <w:t xml:space="preserve"> </w:t>
      </w:r>
      <w:r w:rsidRPr="00181FCD">
        <w:t>responsabilidad</w:t>
      </w:r>
      <w:r w:rsidR="00F373A3" w:rsidRPr="00181FCD">
        <w:t xml:space="preserve"> </w:t>
      </w:r>
      <w:r w:rsidRPr="00181FCD">
        <w:t>civil,</w:t>
      </w:r>
      <w:r w:rsidR="00F373A3" w:rsidRPr="00181FCD">
        <w:t xml:space="preserve"> </w:t>
      </w:r>
      <w:r w:rsidRPr="00181FCD">
        <w:t>administrativa,</w:t>
      </w:r>
      <w:r w:rsidR="00F373A3" w:rsidRPr="00181FCD">
        <w:t xml:space="preserve"> </w:t>
      </w:r>
      <w:r w:rsidRPr="00181FCD">
        <w:t>y</w:t>
      </w:r>
      <w:r w:rsidR="00F373A3" w:rsidRPr="00181FCD">
        <w:t xml:space="preserve"> </w:t>
      </w:r>
      <w:r w:rsidRPr="00181FCD">
        <w:t>sobre</w:t>
      </w:r>
      <w:r w:rsidR="00F373A3" w:rsidRPr="00181FCD">
        <w:t xml:space="preserve"> </w:t>
      </w:r>
      <w:r w:rsidRPr="00181FCD">
        <w:t>todo,</w:t>
      </w:r>
      <w:r w:rsidR="00F373A3" w:rsidRPr="00181FCD">
        <w:t xml:space="preserve"> </w:t>
      </w:r>
      <w:r w:rsidRPr="00181FCD">
        <w:t>penal.</w:t>
      </w:r>
      <w:r w:rsidR="00F373A3" w:rsidRPr="00181FCD">
        <w:t xml:space="preserve"> </w:t>
      </w:r>
      <w:r w:rsidRPr="00181FCD">
        <w:t>La</w:t>
      </w:r>
      <w:r w:rsidR="00F373A3" w:rsidRPr="00181FCD">
        <w:t xml:space="preserve"> </w:t>
      </w:r>
      <w:r w:rsidR="00C820BE" w:rsidRPr="00181FCD">
        <w:t>ley</w:t>
      </w:r>
      <w:r w:rsidR="00F373A3" w:rsidRPr="00181FCD">
        <w:t xml:space="preserve"> </w:t>
      </w:r>
      <w:r w:rsidRPr="00181FCD">
        <w:t>se</w:t>
      </w:r>
      <w:r w:rsidR="00F373A3" w:rsidRPr="00181FCD">
        <w:t xml:space="preserve"> </w:t>
      </w:r>
      <w:r w:rsidRPr="00181FCD">
        <w:t>ajusta</w:t>
      </w:r>
      <w:r w:rsidR="00F373A3" w:rsidRPr="00181FCD">
        <w:t xml:space="preserve"> </w:t>
      </w:r>
      <w:r w:rsidRPr="00181FCD">
        <w:t>a</w:t>
      </w:r>
      <w:r w:rsidR="00F373A3" w:rsidRPr="00181FCD">
        <w:t xml:space="preserve"> </w:t>
      </w:r>
      <w:r w:rsidRPr="00181FCD">
        <w:t>los</w:t>
      </w:r>
      <w:r w:rsidR="00F373A3" w:rsidRPr="00181FCD">
        <w:t xml:space="preserve"> </w:t>
      </w:r>
      <w:r w:rsidRPr="00181FCD">
        <w:t>requisitos</w:t>
      </w:r>
      <w:r w:rsidR="00F373A3" w:rsidRPr="00181FCD">
        <w:t xml:space="preserve"> </w:t>
      </w:r>
      <w:r w:rsidRPr="00181FCD">
        <w:t>del</w:t>
      </w:r>
      <w:r w:rsidR="00F373A3" w:rsidRPr="00181FCD">
        <w:t xml:space="preserve"> </w:t>
      </w:r>
      <w:r w:rsidRPr="00181FCD">
        <w:t>Reglamento</w:t>
      </w:r>
      <w:r w:rsidR="00F373A3" w:rsidRPr="00181FCD">
        <w:t xml:space="preserve"> </w:t>
      </w:r>
      <w:r w:rsidRPr="00181FCD">
        <w:t>(UE)</w:t>
      </w:r>
      <w:r w:rsidR="00F373A3" w:rsidRPr="00181FCD">
        <w:t xml:space="preserve"> </w:t>
      </w:r>
      <w:r w:rsidRPr="00181FCD">
        <w:t>núm.</w:t>
      </w:r>
      <w:r w:rsidR="00F373A3" w:rsidRPr="00181FCD">
        <w:t xml:space="preserve"> </w:t>
      </w:r>
      <w:r w:rsidRPr="00181FCD">
        <w:t>606/2013</w:t>
      </w:r>
      <w:r w:rsidR="00F373A3" w:rsidRPr="00181FCD">
        <w:t xml:space="preserve"> </w:t>
      </w:r>
      <w:r w:rsidRPr="00181FCD">
        <w:t>del</w:t>
      </w:r>
      <w:r w:rsidR="00F373A3" w:rsidRPr="00181FCD">
        <w:t xml:space="preserve"> </w:t>
      </w:r>
      <w:r w:rsidRPr="00181FCD">
        <w:t>Parlamento</w:t>
      </w:r>
      <w:r w:rsidR="00F373A3" w:rsidRPr="00181FCD">
        <w:t xml:space="preserve"> </w:t>
      </w:r>
      <w:r w:rsidRPr="00181FCD">
        <w:t>Europeo</w:t>
      </w:r>
      <w:r w:rsidR="00F373A3" w:rsidRPr="00181FCD">
        <w:t xml:space="preserve"> </w:t>
      </w:r>
      <w:r w:rsidRPr="00181FCD">
        <w:t>y</w:t>
      </w:r>
      <w:r w:rsidR="00F373A3" w:rsidRPr="00181FCD">
        <w:t xml:space="preserve"> </w:t>
      </w:r>
      <w:r w:rsidRPr="00181FCD">
        <w:t>del</w:t>
      </w:r>
      <w:r w:rsidR="00F373A3" w:rsidRPr="00181FCD">
        <w:t xml:space="preserve"> </w:t>
      </w:r>
      <w:r w:rsidRPr="00181FCD">
        <w:t>Consejo,</w:t>
      </w:r>
      <w:r w:rsidR="00F373A3" w:rsidRPr="00181FCD">
        <w:t xml:space="preserve"> </w:t>
      </w:r>
      <w:r w:rsidRPr="00181FCD">
        <w:t>de</w:t>
      </w:r>
      <w:r w:rsidR="00F373A3" w:rsidRPr="00181FCD">
        <w:t xml:space="preserve"> </w:t>
      </w:r>
      <w:r w:rsidRPr="00181FCD">
        <w:t>12</w:t>
      </w:r>
      <w:r w:rsidR="00F373A3" w:rsidRPr="00181FCD">
        <w:t xml:space="preserve"> </w:t>
      </w:r>
      <w:r w:rsidRPr="00181FCD">
        <w:t>de</w:t>
      </w:r>
      <w:r w:rsidR="00F373A3" w:rsidRPr="00181FCD">
        <w:t xml:space="preserve"> </w:t>
      </w:r>
      <w:r w:rsidRPr="00181FCD">
        <w:t>junio</w:t>
      </w:r>
      <w:r w:rsidR="00F373A3" w:rsidRPr="00181FCD">
        <w:t xml:space="preserve"> </w:t>
      </w:r>
      <w:r w:rsidRPr="00181FCD">
        <w:t>de</w:t>
      </w:r>
      <w:r w:rsidR="00F373A3" w:rsidRPr="00181FCD">
        <w:t xml:space="preserve"> </w:t>
      </w:r>
      <w:r w:rsidRPr="00181FCD">
        <w:t>2013,</w:t>
      </w:r>
      <w:r w:rsidR="00F373A3" w:rsidRPr="00181FCD">
        <w:t xml:space="preserve"> </w:t>
      </w:r>
      <w:r w:rsidRPr="00181FCD">
        <w:t>sobre</w:t>
      </w:r>
      <w:r w:rsidR="00F373A3" w:rsidRPr="00181FCD">
        <w:t xml:space="preserve"> </w:t>
      </w:r>
      <w:r w:rsidRPr="00181FCD">
        <w:t>el</w:t>
      </w:r>
      <w:r w:rsidR="00F373A3" w:rsidRPr="00181FCD">
        <w:t xml:space="preserve"> </w:t>
      </w:r>
      <w:r w:rsidRPr="00181FCD">
        <w:t>reconocimiento</w:t>
      </w:r>
      <w:r w:rsidR="00F373A3" w:rsidRPr="00181FCD">
        <w:t xml:space="preserve"> </w:t>
      </w:r>
      <w:r w:rsidRPr="00181FCD">
        <w:t>mutuo</w:t>
      </w:r>
      <w:r w:rsidR="00F373A3" w:rsidRPr="00181FCD">
        <w:t xml:space="preserve"> </w:t>
      </w:r>
      <w:r w:rsidRPr="00181FCD">
        <w:t>de</w:t>
      </w:r>
      <w:r w:rsidR="00F373A3" w:rsidRPr="00181FCD">
        <w:t xml:space="preserve"> </w:t>
      </w:r>
      <w:r w:rsidRPr="00181FCD">
        <w:t>medidas</w:t>
      </w:r>
      <w:r w:rsidR="00F373A3" w:rsidRPr="00181FCD">
        <w:t xml:space="preserve"> </w:t>
      </w:r>
      <w:r w:rsidRPr="00181FCD">
        <w:t>de</w:t>
      </w:r>
      <w:r w:rsidR="00F373A3" w:rsidRPr="00181FCD">
        <w:t xml:space="preserve"> </w:t>
      </w:r>
      <w:r w:rsidRPr="00181FCD">
        <w:t>protección</w:t>
      </w:r>
      <w:r w:rsidR="00F373A3" w:rsidRPr="00181FCD">
        <w:t xml:space="preserve"> </w:t>
      </w:r>
      <w:r w:rsidRPr="00181FCD">
        <w:t>en</w:t>
      </w:r>
      <w:r w:rsidR="00F373A3" w:rsidRPr="00181FCD">
        <w:t xml:space="preserve"> </w:t>
      </w:r>
      <w:r w:rsidRPr="00181FCD">
        <w:t>materia</w:t>
      </w:r>
      <w:r w:rsidR="00F373A3" w:rsidRPr="00181FCD">
        <w:t xml:space="preserve"> </w:t>
      </w:r>
      <w:r w:rsidRPr="00181FCD">
        <w:t>civil.</w:t>
      </w:r>
      <w:r w:rsidR="00F373A3" w:rsidRPr="00181FCD">
        <w:t xml:space="preserve"> </w:t>
      </w:r>
      <w:r w:rsidRPr="00181FCD">
        <w:t>La</w:t>
      </w:r>
      <w:r w:rsidR="00F373A3" w:rsidRPr="00181FCD">
        <w:t xml:space="preserve"> </w:t>
      </w:r>
      <w:r w:rsidR="00C820BE" w:rsidRPr="00181FCD">
        <w:t>ley</w:t>
      </w:r>
      <w:r w:rsidR="00F373A3" w:rsidRPr="00181FCD">
        <w:t xml:space="preserve"> </w:t>
      </w:r>
      <w:r w:rsidRPr="00181FCD">
        <w:t>ofrece</w:t>
      </w:r>
      <w:r w:rsidR="00F373A3" w:rsidRPr="00181FCD">
        <w:t xml:space="preserve"> </w:t>
      </w:r>
      <w:r w:rsidRPr="00181FCD">
        <w:t>a</w:t>
      </w:r>
      <w:r w:rsidR="00F373A3" w:rsidRPr="00181FCD">
        <w:t xml:space="preserve"> </w:t>
      </w:r>
      <w:r w:rsidRPr="00181FCD">
        <w:t>las</w:t>
      </w:r>
      <w:r w:rsidR="00F373A3" w:rsidRPr="00181FCD">
        <w:t xml:space="preserve"> </w:t>
      </w:r>
      <w:r w:rsidRPr="00181FCD">
        <w:t>personas</w:t>
      </w:r>
      <w:r w:rsidR="00F373A3" w:rsidRPr="00181FCD">
        <w:t xml:space="preserve"> </w:t>
      </w:r>
      <w:r w:rsidRPr="00181FCD">
        <w:t>que</w:t>
      </w:r>
      <w:r w:rsidR="00F373A3" w:rsidRPr="00181FCD">
        <w:t xml:space="preserve"> </w:t>
      </w:r>
      <w:r w:rsidRPr="00181FCD">
        <w:t>disfrutan</w:t>
      </w:r>
      <w:r w:rsidR="00F373A3" w:rsidRPr="00181FCD">
        <w:t xml:space="preserve"> </w:t>
      </w:r>
      <w:r w:rsidRPr="00181FCD">
        <w:t>de</w:t>
      </w:r>
      <w:r w:rsidR="00F373A3" w:rsidRPr="00181FCD">
        <w:t xml:space="preserve"> </w:t>
      </w:r>
      <w:r w:rsidRPr="00181FCD">
        <w:t>medidas</w:t>
      </w:r>
      <w:r w:rsidR="00F373A3" w:rsidRPr="00181FCD">
        <w:t xml:space="preserve"> </w:t>
      </w:r>
      <w:r w:rsidRPr="00181FCD">
        <w:t>de</w:t>
      </w:r>
      <w:r w:rsidR="00F373A3" w:rsidRPr="00181FCD">
        <w:t xml:space="preserve"> </w:t>
      </w:r>
      <w:r w:rsidRPr="00181FCD">
        <w:t>protección</w:t>
      </w:r>
      <w:r w:rsidR="00F373A3" w:rsidRPr="00181FCD">
        <w:t xml:space="preserve"> </w:t>
      </w:r>
      <w:r w:rsidRPr="00181FCD">
        <w:t>en</w:t>
      </w:r>
      <w:r w:rsidR="00F373A3" w:rsidRPr="00181FCD">
        <w:t xml:space="preserve"> </w:t>
      </w:r>
      <w:r w:rsidRPr="00181FCD">
        <w:t>un</w:t>
      </w:r>
      <w:r w:rsidR="00F373A3" w:rsidRPr="00181FCD">
        <w:t xml:space="preserve"> </w:t>
      </w:r>
      <w:r w:rsidRPr="00181FCD">
        <w:t>Estado</w:t>
      </w:r>
      <w:r w:rsidR="00F373A3" w:rsidRPr="00181FCD">
        <w:t xml:space="preserve"> </w:t>
      </w:r>
      <w:r w:rsidRPr="00181FCD">
        <w:t>miembro</w:t>
      </w:r>
      <w:r w:rsidR="00F373A3" w:rsidRPr="00181FCD">
        <w:t xml:space="preserve"> </w:t>
      </w:r>
      <w:r w:rsidRPr="00181FCD">
        <w:t>de</w:t>
      </w:r>
      <w:r w:rsidR="00F373A3" w:rsidRPr="00181FCD">
        <w:t xml:space="preserve"> </w:t>
      </w:r>
      <w:r w:rsidRPr="00181FCD">
        <w:t>la</w:t>
      </w:r>
      <w:r w:rsidR="00F373A3" w:rsidRPr="00181FCD">
        <w:t xml:space="preserve"> </w:t>
      </w:r>
      <w:r w:rsidRPr="00181FCD">
        <w:t>Unión</w:t>
      </w:r>
      <w:r w:rsidR="00F373A3" w:rsidRPr="00181FCD">
        <w:t xml:space="preserve"> </w:t>
      </w:r>
      <w:r w:rsidRPr="00181FCD">
        <w:t>Europea</w:t>
      </w:r>
      <w:r w:rsidR="00F373A3" w:rsidRPr="00181FCD">
        <w:t xml:space="preserve"> </w:t>
      </w:r>
      <w:r w:rsidRPr="00181FCD">
        <w:t>la</w:t>
      </w:r>
      <w:r w:rsidR="00F373A3" w:rsidRPr="00181FCD">
        <w:t xml:space="preserve"> </w:t>
      </w:r>
      <w:r w:rsidRPr="00181FCD">
        <w:t>posibilidad</w:t>
      </w:r>
      <w:r w:rsidR="00F373A3" w:rsidRPr="00181FCD">
        <w:t xml:space="preserve"> </w:t>
      </w:r>
      <w:r w:rsidRPr="00181FCD">
        <w:t>de</w:t>
      </w:r>
      <w:r w:rsidR="00F373A3" w:rsidRPr="00181FCD">
        <w:t xml:space="preserve"> </w:t>
      </w:r>
      <w:r w:rsidRPr="00181FCD">
        <w:t>solicitar</w:t>
      </w:r>
      <w:r w:rsidR="00F373A3" w:rsidRPr="00181FCD">
        <w:t xml:space="preserve"> </w:t>
      </w:r>
      <w:r w:rsidRPr="00181FCD">
        <w:t>la</w:t>
      </w:r>
      <w:r w:rsidR="00F373A3" w:rsidRPr="00181FCD">
        <w:t xml:space="preserve"> </w:t>
      </w:r>
      <w:r w:rsidRPr="00181FCD">
        <w:t>emisión</w:t>
      </w:r>
      <w:r w:rsidR="00F373A3" w:rsidRPr="00181FCD">
        <w:t xml:space="preserve"> </w:t>
      </w:r>
      <w:r w:rsidRPr="00181FCD">
        <w:t>de</w:t>
      </w:r>
      <w:r w:rsidR="00F373A3" w:rsidRPr="00181FCD">
        <w:t xml:space="preserve"> </w:t>
      </w:r>
      <w:r w:rsidRPr="00181FCD">
        <w:t>la</w:t>
      </w:r>
      <w:r w:rsidR="00F373A3" w:rsidRPr="00181FCD">
        <w:t xml:space="preserve"> </w:t>
      </w:r>
      <w:r w:rsidRPr="00181FCD">
        <w:t>orden</w:t>
      </w:r>
      <w:r w:rsidR="00F373A3" w:rsidRPr="00181FCD">
        <w:t xml:space="preserve"> </w:t>
      </w:r>
      <w:r w:rsidRPr="00181FCD">
        <w:t>de</w:t>
      </w:r>
      <w:r w:rsidR="00F373A3" w:rsidRPr="00181FCD">
        <w:t xml:space="preserve"> </w:t>
      </w:r>
      <w:r w:rsidRPr="00181FCD">
        <w:t>protección</w:t>
      </w:r>
      <w:r w:rsidR="00F373A3" w:rsidRPr="00181FCD">
        <w:t xml:space="preserve"> </w:t>
      </w:r>
      <w:r w:rsidRPr="00181FCD">
        <w:t>en</w:t>
      </w:r>
      <w:r w:rsidR="00F373A3" w:rsidRPr="00181FCD">
        <w:t xml:space="preserve"> </w:t>
      </w:r>
      <w:r w:rsidRPr="00181FCD">
        <w:t>la</w:t>
      </w:r>
      <w:r w:rsidR="00F373A3" w:rsidRPr="00181FCD">
        <w:t xml:space="preserve"> </w:t>
      </w:r>
      <w:r w:rsidRPr="00181FCD">
        <w:t>República</w:t>
      </w:r>
      <w:r w:rsidR="00F373A3" w:rsidRPr="00181FCD">
        <w:t xml:space="preserve"> </w:t>
      </w:r>
      <w:r w:rsidRPr="00181FCD">
        <w:t>de</w:t>
      </w:r>
      <w:r w:rsidR="00F373A3" w:rsidRPr="00181FCD">
        <w:t xml:space="preserve"> </w:t>
      </w:r>
      <w:r w:rsidRPr="00181FCD">
        <w:t>Bulgaria.</w:t>
      </w:r>
    </w:p>
    <w:p w:rsidR="001937F4" w:rsidRPr="00181FCD" w:rsidRDefault="001937F4" w:rsidP="00347B20">
      <w:pPr>
        <w:pStyle w:val="SingleTxtG"/>
        <w:suppressAutoHyphens/>
      </w:pPr>
      <w:r w:rsidRPr="00181FCD">
        <w:t>49.</w:t>
      </w:r>
      <w:r w:rsidRPr="00181FCD">
        <w:tab/>
        <w:t>De</w:t>
      </w:r>
      <w:r w:rsidR="00F373A3" w:rsidRPr="00181FCD">
        <w:t xml:space="preserve"> </w:t>
      </w:r>
      <w:r w:rsidRPr="00181FCD">
        <w:t>acuerdo</w:t>
      </w:r>
      <w:r w:rsidR="00F373A3" w:rsidRPr="00181FCD">
        <w:t xml:space="preserve"> </w:t>
      </w:r>
      <w:r w:rsidRPr="00181FCD">
        <w:t>con</w:t>
      </w:r>
      <w:r w:rsidR="00F373A3" w:rsidRPr="00181FCD">
        <w:t xml:space="preserve"> </w:t>
      </w:r>
      <w:r w:rsidRPr="00181FCD">
        <w:t>el</w:t>
      </w:r>
      <w:r w:rsidR="00F373A3" w:rsidRPr="00181FCD">
        <w:t xml:space="preserve"> </w:t>
      </w:r>
      <w:r w:rsidRPr="00181FCD">
        <w:t>Código</w:t>
      </w:r>
      <w:r w:rsidR="00F373A3" w:rsidRPr="00181FCD">
        <w:t xml:space="preserve"> </w:t>
      </w:r>
      <w:r w:rsidRPr="00181FCD">
        <w:t>Penal</w:t>
      </w:r>
      <w:r w:rsidR="00F373A3" w:rsidRPr="00181FCD">
        <w:t xml:space="preserve"> </w:t>
      </w:r>
      <w:r w:rsidRPr="00181FCD">
        <w:t>de</w:t>
      </w:r>
      <w:r w:rsidR="00F373A3" w:rsidRPr="00181FCD">
        <w:t xml:space="preserve"> </w:t>
      </w:r>
      <w:r w:rsidRPr="00181FCD">
        <w:t>la</w:t>
      </w:r>
      <w:r w:rsidR="00F373A3" w:rsidRPr="00181FCD">
        <w:t xml:space="preserve"> </w:t>
      </w:r>
      <w:r w:rsidRPr="00181FCD">
        <w:t>República</w:t>
      </w:r>
      <w:r w:rsidR="00F373A3" w:rsidRPr="00181FCD">
        <w:t xml:space="preserve"> </w:t>
      </w:r>
      <w:r w:rsidRPr="00181FCD">
        <w:t>de</w:t>
      </w:r>
      <w:r w:rsidR="00F373A3" w:rsidRPr="00181FCD">
        <w:t xml:space="preserve"> </w:t>
      </w:r>
      <w:r w:rsidRPr="00181FCD">
        <w:t>Bulgaria,</w:t>
      </w:r>
      <w:r w:rsidR="00F373A3" w:rsidRPr="00181FCD">
        <w:t xml:space="preserve"> </w:t>
      </w:r>
      <w:r w:rsidRPr="00181FCD">
        <w:t>están</w:t>
      </w:r>
      <w:r w:rsidR="00F373A3" w:rsidRPr="00181FCD">
        <w:t xml:space="preserve"> </w:t>
      </w:r>
      <w:r w:rsidRPr="00181FCD">
        <w:t>tipificados</w:t>
      </w:r>
      <w:r w:rsidR="00F373A3" w:rsidRPr="00181FCD">
        <w:t xml:space="preserve"> </w:t>
      </w:r>
      <w:r w:rsidRPr="00181FCD">
        <w:t>como</w:t>
      </w:r>
      <w:r w:rsidR="00F373A3" w:rsidRPr="00181FCD">
        <w:t xml:space="preserve"> </w:t>
      </w:r>
      <w:r w:rsidRPr="00181FCD">
        <w:t>delitos</w:t>
      </w:r>
      <w:r w:rsidR="00F373A3" w:rsidRPr="00181FCD">
        <w:t xml:space="preserve"> </w:t>
      </w:r>
      <w:r w:rsidRPr="00181FCD">
        <w:t>ciertos</w:t>
      </w:r>
      <w:r w:rsidR="00F373A3" w:rsidRPr="00181FCD">
        <w:t xml:space="preserve"> </w:t>
      </w:r>
      <w:r w:rsidRPr="00181FCD">
        <w:t>actos</w:t>
      </w:r>
      <w:r w:rsidR="00F373A3" w:rsidRPr="00181FCD">
        <w:t xml:space="preserve"> </w:t>
      </w:r>
      <w:r w:rsidRPr="00181FCD">
        <w:t>de</w:t>
      </w:r>
      <w:r w:rsidR="00F373A3" w:rsidRPr="00181FCD">
        <w:t xml:space="preserve"> </w:t>
      </w:r>
      <w:r w:rsidRPr="00181FCD">
        <w:t>maltrato</w:t>
      </w:r>
      <w:r w:rsidR="00F373A3" w:rsidRPr="00181FCD">
        <w:t xml:space="preserve"> </w:t>
      </w:r>
      <w:r w:rsidRPr="00181FCD">
        <w:t>físico,</w:t>
      </w:r>
      <w:r w:rsidR="00F373A3" w:rsidRPr="00181FCD">
        <w:t xml:space="preserve"> </w:t>
      </w:r>
      <w:r w:rsidRPr="00181FCD">
        <w:t>sexual,</w:t>
      </w:r>
      <w:r w:rsidR="00F373A3" w:rsidRPr="00181FCD">
        <w:t xml:space="preserve"> </w:t>
      </w:r>
      <w:r w:rsidRPr="00181FCD">
        <w:t>psicológico</w:t>
      </w:r>
      <w:r w:rsidR="00F373A3" w:rsidRPr="00181FCD">
        <w:t xml:space="preserve"> </w:t>
      </w:r>
      <w:r w:rsidRPr="00181FCD">
        <w:t>o</w:t>
      </w:r>
      <w:r w:rsidR="00F373A3" w:rsidRPr="00181FCD">
        <w:t xml:space="preserve"> </w:t>
      </w:r>
      <w:r w:rsidRPr="00181FCD">
        <w:t>emocional.</w:t>
      </w:r>
      <w:r w:rsidR="00F373A3" w:rsidRPr="00181FCD">
        <w:t xml:space="preserve"> </w:t>
      </w:r>
      <w:r w:rsidRPr="00181FCD">
        <w:t>Estos</w:t>
      </w:r>
      <w:r w:rsidR="00F373A3" w:rsidRPr="00181FCD">
        <w:t xml:space="preserve"> </w:t>
      </w:r>
      <w:r w:rsidRPr="00181FCD">
        <w:t>incluyen,</w:t>
      </w:r>
      <w:r w:rsidR="00F373A3" w:rsidRPr="00181FCD">
        <w:t xml:space="preserve"> </w:t>
      </w:r>
      <w:r w:rsidRPr="00181FCD">
        <w:t>entre</w:t>
      </w:r>
      <w:r w:rsidR="00F373A3" w:rsidRPr="00181FCD">
        <w:t xml:space="preserve"> </w:t>
      </w:r>
      <w:r w:rsidRPr="00181FCD">
        <w:t>otros</w:t>
      </w:r>
      <w:r w:rsidR="00F373A3" w:rsidRPr="00181FCD">
        <w:t xml:space="preserve"> </w:t>
      </w:r>
      <w:r w:rsidRPr="00181FCD">
        <w:t>las</w:t>
      </w:r>
      <w:r w:rsidR="00F373A3" w:rsidRPr="00181FCD">
        <w:t xml:space="preserve"> </w:t>
      </w:r>
      <w:r w:rsidRPr="00181FCD">
        <w:t>restricciones</w:t>
      </w:r>
      <w:r w:rsidR="00F373A3" w:rsidRPr="00181FCD">
        <w:t xml:space="preserve"> </w:t>
      </w:r>
      <w:r w:rsidRPr="00181FCD">
        <w:t>forzadas</w:t>
      </w:r>
      <w:r w:rsidR="00F373A3" w:rsidRPr="00181FCD">
        <w:t xml:space="preserve"> </w:t>
      </w:r>
      <w:r w:rsidRPr="00181FCD">
        <w:t>de</w:t>
      </w:r>
      <w:r w:rsidR="00F373A3" w:rsidRPr="00181FCD">
        <w:t xml:space="preserve"> </w:t>
      </w:r>
      <w:r w:rsidRPr="00181FCD">
        <w:t>la</w:t>
      </w:r>
      <w:r w:rsidR="00F373A3" w:rsidRPr="00181FCD">
        <w:t xml:space="preserve"> </w:t>
      </w:r>
      <w:r w:rsidRPr="00181FCD">
        <w:t>privacidad,</w:t>
      </w:r>
      <w:r w:rsidR="00F373A3" w:rsidRPr="00181FCD">
        <w:t xml:space="preserve"> </w:t>
      </w:r>
      <w:r w:rsidRPr="00181FCD">
        <w:t>la</w:t>
      </w:r>
      <w:r w:rsidR="00F373A3" w:rsidRPr="00181FCD">
        <w:t xml:space="preserve"> </w:t>
      </w:r>
      <w:r w:rsidRPr="00181FCD">
        <w:t>libertad</w:t>
      </w:r>
      <w:r w:rsidR="00F373A3" w:rsidRPr="00181FCD">
        <w:t xml:space="preserve"> </w:t>
      </w:r>
      <w:r w:rsidRPr="00181FCD">
        <w:t>personal</w:t>
      </w:r>
      <w:r w:rsidR="00F373A3" w:rsidRPr="00181FCD">
        <w:t xml:space="preserve"> </w:t>
      </w:r>
      <w:r w:rsidRPr="00181FCD">
        <w:t>y</w:t>
      </w:r>
      <w:r w:rsidR="00F373A3" w:rsidRPr="00181FCD">
        <w:t xml:space="preserve"> </w:t>
      </w:r>
      <w:r w:rsidRPr="00181FCD">
        <w:t>los</w:t>
      </w:r>
      <w:r w:rsidR="00F373A3" w:rsidRPr="00181FCD">
        <w:t xml:space="preserve"> </w:t>
      </w:r>
      <w:r w:rsidRPr="00181FCD">
        <w:t>derechos</w:t>
      </w:r>
      <w:r w:rsidR="00F373A3" w:rsidRPr="00181FCD">
        <w:t xml:space="preserve"> </w:t>
      </w:r>
      <w:r w:rsidRPr="00181FCD">
        <w:t>personales,</w:t>
      </w:r>
      <w:r w:rsidR="00F373A3" w:rsidRPr="00181FCD">
        <w:t xml:space="preserve"> </w:t>
      </w:r>
      <w:r w:rsidRPr="00181FCD">
        <w:t>la</w:t>
      </w:r>
      <w:r w:rsidR="00F373A3" w:rsidRPr="00181FCD">
        <w:t xml:space="preserve"> </w:t>
      </w:r>
      <w:r w:rsidRPr="00181FCD">
        <w:t>tortura</w:t>
      </w:r>
      <w:r w:rsidR="00F373A3" w:rsidRPr="00181FCD">
        <w:t xml:space="preserve"> </w:t>
      </w:r>
      <w:r w:rsidRPr="00181FCD">
        <w:t>de</w:t>
      </w:r>
      <w:r w:rsidR="00F373A3" w:rsidRPr="00181FCD">
        <w:t xml:space="preserve"> </w:t>
      </w:r>
      <w:r w:rsidRPr="00181FCD">
        <w:t>un</w:t>
      </w:r>
      <w:r w:rsidR="00F373A3" w:rsidRPr="00181FCD">
        <w:t xml:space="preserve"> </w:t>
      </w:r>
      <w:r w:rsidRPr="00181FCD">
        <w:t>niño</w:t>
      </w:r>
      <w:r w:rsidR="00F373A3" w:rsidRPr="00181FCD">
        <w:t xml:space="preserve"> </w:t>
      </w:r>
      <w:r w:rsidRPr="00181FCD">
        <w:t>o</w:t>
      </w:r>
      <w:r w:rsidR="00F373A3" w:rsidRPr="00181FCD">
        <w:t xml:space="preserve"> </w:t>
      </w:r>
      <w:r w:rsidRPr="00181FCD">
        <w:t>un</w:t>
      </w:r>
      <w:r w:rsidR="00F373A3" w:rsidRPr="00181FCD">
        <w:t xml:space="preserve"> </w:t>
      </w:r>
      <w:r w:rsidRPr="00181FCD">
        <w:t>joven</w:t>
      </w:r>
      <w:r w:rsidR="00F373A3" w:rsidRPr="00181FCD">
        <w:t xml:space="preserve"> </w:t>
      </w:r>
      <w:r w:rsidRPr="00181FCD">
        <w:t>menor</w:t>
      </w:r>
      <w:r w:rsidR="00F373A3" w:rsidRPr="00181FCD">
        <w:t xml:space="preserve"> </w:t>
      </w:r>
      <w:r w:rsidRPr="00181FCD">
        <w:t>colocado</w:t>
      </w:r>
      <w:r w:rsidR="00F373A3" w:rsidRPr="00181FCD">
        <w:t xml:space="preserve"> </w:t>
      </w:r>
      <w:r w:rsidRPr="00181FCD">
        <w:t>bajo</w:t>
      </w:r>
      <w:r w:rsidR="00F373A3" w:rsidRPr="00181FCD">
        <w:t xml:space="preserve"> </w:t>
      </w:r>
      <w:r w:rsidRPr="00181FCD">
        <w:t>el</w:t>
      </w:r>
      <w:r w:rsidR="00F373A3" w:rsidRPr="00181FCD">
        <w:t xml:space="preserve"> </w:t>
      </w:r>
      <w:r w:rsidRPr="00181FCD">
        <w:t>cuidado</w:t>
      </w:r>
      <w:r w:rsidR="00F373A3" w:rsidRPr="00181FCD">
        <w:t xml:space="preserve"> </w:t>
      </w:r>
      <w:r w:rsidRPr="00181FCD">
        <w:t>del</w:t>
      </w:r>
      <w:r w:rsidR="00F373A3" w:rsidRPr="00181FCD">
        <w:t xml:space="preserve"> </w:t>
      </w:r>
      <w:r w:rsidRPr="00181FCD">
        <w:t>autor</w:t>
      </w:r>
      <w:r w:rsidR="00F373A3" w:rsidRPr="00181FCD">
        <w:t xml:space="preserve"> </w:t>
      </w:r>
      <w:r w:rsidRPr="00181FCD">
        <w:t>del</w:t>
      </w:r>
      <w:r w:rsidR="00F373A3" w:rsidRPr="00181FCD">
        <w:t xml:space="preserve"> </w:t>
      </w:r>
      <w:r w:rsidRPr="00181FCD">
        <w:t>delito</w:t>
      </w:r>
      <w:r w:rsidR="00F373A3" w:rsidRPr="00181FCD">
        <w:t xml:space="preserve"> </w:t>
      </w:r>
      <w:r w:rsidRPr="00181FCD">
        <w:t>o</w:t>
      </w:r>
      <w:r w:rsidR="00F373A3" w:rsidRPr="00181FCD">
        <w:t xml:space="preserve"> </w:t>
      </w:r>
      <w:r w:rsidRPr="00181FCD">
        <w:t>a</w:t>
      </w:r>
      <w:r w:rsidR="00F373A3" w:rsidRPr="00181FCD">
        <w:t xml:space="preserve"> </w:t>
      </w:r>
      <w:r w:rsidRPr="00181FCD">
        <w:t>quien</w:t>
      </w:r>
      <w:r w:rsidR="00F373A3" w:rsidRPr="00181FCD">
        <w:t xml:space="preserve"> </w:t>
      </w:r>
      <w:r w:rsidRPr="00181FCD">
        <w:t>se</w:t>
      </w:r>
      <w:r w:rsidR="00F373A3" w:rsidRPr="00181FCD">
        <w:t xml:space="preserve"> </w:t>
      </w:r>
      <w:r w:rsidRPr="00181FCD">
        <w:t>ha</w:t>
      </w:r>
      <w:r w:rsidR="00F373A3" w:rsidRPr="00181FCD">
        <w:t xml:space="preserve"> </w:t>
      </w:r>
      <w:r w:rsidRPr="00181FCD">
        <w:t>confiado</w:t>
      </w:r>
      <w:r w:rsidR="00F373A3" w:rsidRPr="00181FCD">
        <w:t xml:space="preserve"> </w:t>
      </w:r>
      <w:r w:rsidRPr="00181FCD">
        <w:t>su</w:t>
      </w:r>
      <w:r w:rsidR="00F373A3" w:rsidRPr="00181FCD">
        <w:t xml:space="preserve"> </w:t>
      </w:r>
      <w:r w:rsidRPr="00181FCD">
        <w:t>educación</w:t>
      </w:r>
      <w:r w:rsidR="00F373A3" w:rsidRPr="00181FCD">
        <w:t xml:space="preserve"> </w:t>
      </w:r>
      <w:r w:rsidRPr="00181FCD">
        <w:t>(art.</w:t>
      </w:r>
      <w:r w:rsidR="00F373A3" w:rsidRPr="00181FCD">
        <w:t xml:space="preserve"> </w:t>
      </w:r>
      <w:r w:rsidRPr="00181FCD">
        <w:t>187),</w:t>
      </w:r>
      <w:r w:rsidR="00F373A3" w:rsidRPr="00181FCD">
        <w:t xml:space="preserve"> </w:t>
      </w:r>
      <w:r w:rsidRPr="00181FCD">
        <w:t>y</w:t>
      </w:r>
      <w:r w:rsidR="00F373A3" w:rsidRPr="00181FCD">
        <w:t xml:space="preserve"> </w:t>
      </w:r>
      <w:r w:rsidRPr="00181FCD">
        <w:t>el</w:t>
      </w:r>
      <w:r w:rsidR="00F373A3" w:rsidRPr="00181FCD">
        <w:t xml:space="preserve"> </w:t>
      </w:r>
      <w:r w:rsidRPr="00181FCD">
        <w:t>abuso</w:t>
      </w:r>
      <w:r w:rsidR="00F373A3" w:rsidRPr="00181FCD">
        <w:t xml:space="preserve"> </w:t>
      </w:r>
      <w:r w:rsidRPr="00181FCD">
        <w:t>de</w:t>
      </w:r>
      <w:r w:rsidR="00F373A3" w:rsidRPr="00181FCD">
        <w:t xml:space="preserve"> </w:t>
      </w:r>
      <w:r w:rsidRPr="00181FCD">
        <w:t>la</w:t>
      </w:r>
      <w:r w:rsidR="00F373A3" w:rsidRPr="00181FCD">
        <w:t xml:space="preserve"> </w:t>
      </w:r>
      <w:r w:rsidRPr="00181FCD">
        <w:t>patria</w:t>
      </w:r>
      <w:r w:rsidR="00F373A3" w:rsidRPr="00181FCD">
        <w:t xml:space="preserve"> </w:t>
      </w:r>
      <w:r w:rsidRPr="00181FCD">
        <w:t>potestad</w:t>
      </w:r>
      <w:r w:rsidR="00F373A3" w:rsidRPr="00181FCD">
        <w:t xml:space="preserve"> </w:t>
      </w:r>
      <w:r w:rsidRPr="00181FCD">
        <w:t>con</w:t>
      </w:r>
      <w:r w:rsidR="00F373A3" w:rsidRPr="00181FCD">
        <w:t xml:space="preserve"> </w:t>
      </w:r>
      <w:r w:rsidRPr="00181FCD">
        <w:t>el</w:t>
      </w:r>
      <w:r w:rsidR="00F373A3" w:rsidRPr="00181FCD">
        <w:t xml:space="preserve"> </w:t>
      </w:r>
      <w:r w:rsidRPr="00181FCD">
        <w:t>fin</w:t>
      </w:r>
      <w:r w:rsidR="00F373A3" w:rsidRPr="00181FCD">
        <w:t xml:space="preserve"> </w:t>
      </w:r>
      <w:r w:rsidRPr="00181FCD">
        <w:t>de</w:t>
      </w:r>
      <w:r w:rsidR="00F373A3" w:rsidRPr="00181FCD">
        <w:t xml:space="preserve"> </w:t>
      </w:r>
      <w:r w:rsidRPr="00181FCD">
        <w:t>obligar</w:t>
      </w:r>
      <w:r w:rsidR="00F373A3" w:rsidRPr="00181FCD">
        <w:t xml:space="preserve"> </w:t>
      </w:r>
      <w:r w:rsidRPr="00181FCD">
        <w:t>a</w:t>
      </w:r>
      <w:r w:rsidR="00F373A3" w:rsidRPr="00181FCD">
        <w:t xml:space="preserve"> </w:t>
      </w:r>
      <w:r w:rsidRPr="00181FCD">
        <w:t>un</w:t>
      </w:r>
      <w:r w:rsidR="00F373A3" w:rsidRPr="00181FCD">
        <w:t xml:space="preserve"> </w:t>
      </w:r>
      <w:r w:rsidRPr="00181FCD">
        <w:t>niño</w:t>
      </w:r>
      <w:r w:rsidR="00F373A3" w:rsidRPr="00181FCD">
        <w:t xml:space="preserve"> </w:t>
      </w:r>
      <w:r w:rsidRPr="00181FCD">
        <w:t>menor</w:t>
      </w:r>
      <w:r w:rsidR="00F373A3" w:rsidRPr="00181FCD">
        <w:t xml:space="preserve"> </w:t>
      </w:r>
      <w:r w:rsidRPr="00181FCD">
        <w:t>de</w:t>
      </w:r>
      <w:r w:rsidR="00F373A3" w:rsidRPr="00181FCD">
        <w:t xml:space="preserve"> </w:t>
      </w:r>
      <w:r w:rsidRPr="00181FCD">
        <w:t>16</w:t>
      </w:r>
      <w:r w:rsidR="00F373A3" w:rsidRPr="00181FCD">
        <w:t xml:space="preserve"> </w:t>
      </w:r>
      <w:r w:rsidRPr="00181FCD">
        <w:t>años</w:t>
      </w:r>
      <w:r w:rsidR="00F373A3" w:rsidRPr="00181FCD">
        <w:t xml:space="preserve"> </w:t>
      </w:r>
      <w:r w:rsidRPr="00181FCD">
        <w:t>de</w:t>
      </w:r>
      <w:r w:rsidR="00F373A3" w:rsidRPr="00181FCD">
        <w:t xml:space="preserve"> </w:t>
      </w:r>
      <w:r w:rsidRPr="00181FCD">
        <w:t>edad</w:t>
      </w:r>
      <w:r w:rsidR="00F373A3" w:rsidRPr="00181FCD">
        <w:t xml:space="preserve"> </w:t>
      </w:r>
      <w:r w:rsidRPr="00181FCD">
        <w:t>a</w:t>
      </w:r>
      <w:r w:rsidR="00F373A3" w:rsidRPr="00181FCD">
        <w:t xml:space="preserve"> </w:t>
      </w:r>
      <w:r w:rsidRPr="00181FCD">
        <w:t>empezar</w:t>
      </w:r>
      <w:r w:rsidR="00F373A3" w:rsidRPr="00181FCD">
        <w:t xml:space="preserve"> </w:t>
      </w:r>
      <w:r w:rsidRPr="00181FCD">
        <w:t>a</w:t>
      </w:r>
      <w:r w:rsidR="00F373A3" w:rsidRPr="00181FCD">
        <w:t xml:space="preserve"> </w:t>
      </w:r>
      <w:r w:rsidRPr="00181FCD">
        <w:t>convivir</w:t>
      </w:r>
      <w:r w:rsidR="00F373A3" w:rsidRPr="00181FCD">
        <w:t xml:space="preserve"> </w:t>
      </w:r>
      <w:r w:rsidRPr="00181FCD">
        <w:t>en</w:t>
      </w:r>
      <w:r w:rsidR="00F373A3" w:rsidRPr="00181FCD">
        <w:t xml:space="preserve"> </w:t>
      </w:r>
      <w:r w:rsidRPr="00181FCD">
        <w:t>matrimonio</w:t>
      </w:r>
      <w:r w:rsidR="00F373A3" w:rsidRPr="00181FCD">
        <w:t xml:space="preserve"> </w:t>
      </w:r>
      <w:r w:rsidRPr="00181FCD">
        <w:t>con</w:t>
      </w:r>
      <w:r w:rsidR="00F373A3" w:rsidRPr="00181FCD">
        <w:t xml:space="preserve"> </w:t>
      </w:r>
      <w:r w:rsidRPr="00181FCD">
        <w:t>otra</w:t>
      </w:r>
      <w:r w:rsidR="00F373A3" w:rsidRPr="00181FCD">
        <w:t xml:space="preserve"> </w:t>
      </w:r>
      <w:r w:rsidRPr="00181FCD">
        <w:t>persona</w:t>
      </w:r>
      <w:r w:rsidR="00F373A3" w:rsidRPr="00181FCD">
        <w:t xml:space="preserve"> </w:t>
      </w:r>
      <w:r w:rsidRPr="00181FCD">
        <w:t>(art.</w:t>
      </w:r>
      <w:r w:rsidR="006E0DF5" w:rsidRPr="00181FCD">
        <w:t xml:space="preserve"> </w:t>
      </w:r>
      <w:r w:rsidRPr="00181FCD">
        <w:t>190).</w:t>
      </w:r>
      <w:r w:rsidR="00F373A3" w:rsidRPr="00181FCD">
        <w:t xml:space="preserve"> </w:t>
      </w:r>
      <w:r w:rsidRPr="00181FCD">
        <w:t>Por</w:t>
      </w:r>
      <w:r w:rsidR="00F373A3" w:rsidRPr="00181FCD">
        <w:t xml:space="preserve"> </w:t>
      </w:r>
      <w:r w:rsidRPr="00181FCD">
        <w:t>otra</w:t>
      </w:r>
      <w:r w:rsidR="00F373A3" w:rsidRPr="00181FCD">
        <w:t xml:space="preserve"> </w:t>
      </w:r>
      <w:r w:rsidRPr="00181FCD">
        <w:t>parte,</w:t>
      </w:r>
      <w:r w:rsidR="00F373A3" w:rsidRPr="00181FCD">
        <w:t xml:space="preserve"> </w:t>
      </w:r>
      <w:r w:rsidRPr="00181FCD">
        <w:t>se</w:t>
      </w:r>
      <w:r w:rsidR="00F373A3" w:rsidRPr="00181FCD">
        <w:t xml:space="preserve"> </w:t>
      </w:r>
      <w:r w:rsidRPr="00181FCD">
        <w:t>considera</w:t>
      </w:r>
      <w:r w:rsidR="00F373A3" w:rsidRPr="00181FCD">
        <w:t xml:space="preserve"> </w:t>
      </w:r>
      <w:r w:rsidRPr="00181FCD">
        <w:t>una</w:t>
      </w:r>
      <w:r w:rsidR="00F373A3" w:rsidRPr="00181FCD">
        <w:t xml:space="preserve"> </w:t>
      </w:r>
      <w:r w:rsidRPr="00181FCD">
        <w:t>circunstancia</w:t>
      </w:r>
      <w:r w:rsidR="00F373A3" w:rsidRPr="00181FCD">
        <w:t xml:space="preserve"> </w:t>
      </w:r>
      <w:r w:rsidRPr="00181FCD">
        <w:t>agravante</w:t>
      </w:r>
      <w:r w:rsidR="00F373A3" w:rsidRPr="00181FCD">
        <w:t xml:space="preserve"> </w:t>
      </w:r>
      <w:r w:rsidRPr="00181FCD">
        <w:t>cuando</w:t>
      </w:r>
      <w:r w:rsidR="00F373A3" w:rsidRPr="00181FCD">
        <w:t xml:space="preserve"> </w:t>
      </w:r>
      <w:r w:rsidRPr="00181FCD">
        <w:t>ciertos</w:t>
      </w:r>
      <w:r w:rsidR="00F373A3" w:rsidRPr="00181FCD">
        <w:t xml:space="preserve"> </w:t>
      </w:r>
      <w:r w:rsidRPr="00181FCD">
        <w:t>tipos</w:t>
      </w:r>
      <w:r w:rsidR="00F373A3" w:rsidRPr="00181FCD">
        <w:t xml:space="preserve"> </w:t>
      </w:r>
      <w:r w:rsidRPr="00181FCD">
        <w:t>de</w:t>
      </w:r>
      <w:r w:rsidR="00F373A3" w:rsidRPr="00181FCD">
        <w:t xml:space="preserve"> </w:t>
      </w:r>
      <w:r w:rsidRPr="00181FCD">
        <w:t>delitos</w:t>
      </w:r>
      <w:r w:rsidR="00F373A3" w:rsidRPr="00181FCD">
        <w:t xml:space="preserve"> </w:t>
      </w:r>
      <w:r w:rsidRPr="00181FCD">
        <w:t>se</w:t>
      </w:r>
      <w:r w:rsidR="00F373A3" w:rsidRPr="00181FCD">
        <w:t xml:space="preserve"> </w:t>
      </w:r>
      <w:r w:rsidRPr="00181FCD">
        <w:t>perpetran</w:t>
      </w:r>
      <w:r w:rsidR="00F373A3" w:rsidRPr="00181FCD">
        <w:t xml:space="preserve"> </w:t>
      </w:r>
      <w:r w:rsidRPr="00181FCD">
        <w:t>contra</w:t>
      </w:r>
      <w:r w:rsidR="00F373A3" w:rsidRPr="00181FCD">
        <w:t xml:space="preserve"> </w:t>
      </w:r>
      <w:r w:rsidRPr="00181FCD">
        <w:t>personas</w:t>
      </w:r>
      <w:r w:rsidR="00F373A3" w:rsidRPr="00181FCD">
        <w:t xml:space="preserve"> </w:t>
      </w:r>
      <w:r w:rsidRPr="00181FCD">
        <w:t>en</w:t>
      </w:r>
      <w:r w:rsidR="00F373A3" w:rsidRPr="00181FCD">
        <w:t xml:space="preserve"> </w:t>
      </w:r>
      <w:r w:rsidRPr="00181FCD">
        <w:t>relación</w:t>
      </w:r>
      <w:r w:rsidR="00F373A3" w:rsidRPr="00181FCD">
        <w:t xml:space="preserve"> </w:t>
      </w:r>
      <w:r w:rsidRPr="00181FCD">
        <w:t>de</w:t>
      </w:r>
      <w:r w:rsidR="00F373A3" w:rsidRPr="00181FCD">
        <w:t xml:space="preserve"> </w:t>
      </w:r>
      <w:r w:rsidRPr="00181FCD">
        <w:t>parentesco</w:t>
      </w:r>
      <w:r w:rsidR="00F373A3" w:rsidRPr="00181FCD">
        <w:t xml:space="preserve"> </w:t>
      </w:r>
      <w:r w:rsidRPr="00181FCD">
        <w:t>o</w:t>
      </w:r>
      <w:r w:rsidR="00F373A3" w:rsidRPr="00181FCD">
        <w:t xml:space="preserve"> </w:t>
      </w:r>
      <w:r w:rsidRPr="00181FCD">
        <w:t>de</w:t>
      </w:r>
      <w:r w:rsidR="00F373A3" w:rsidRPr="00181FCD">
        <w:t xml:space="preserve"> </w:t>
      </w:r>
      <w:r w:rsidRPr="00181FCD">
        <w:t>familia</w:t>
      </w:r>
      <w:r w:rsidR="00F373A3" w:rsidRPr="00181FCD">
        <w:t xml:space="preserve"> </w:t>
      </w:r>
      <w:r w:rsidRPr="00181FCD">
        <w:t>con</w:t>
      </w:r>
      <w:r w:rsidR="00F373A3" w:rsidRPr="00181FCD">
        <w:t xml:space="preserve"> </w:t>
      </w:r>
      <w:r w:rsidRPr="00181FCD">
        <w:t>el</w:t>
      </w:r>
      <w:r w:rsidR="00F373A3" w:rsidRPr="00181FCD">
        <w:t xml:space="preserve"> </w:t>
      </w:r>
      <w:r w:rsidRPr="00181FCD">
        <w:t>autor,</w:t>
      </w:r>
      <w:r w:rsidR="00F373A3" w:rsidRPr="00181FCD">
        <w:t xml:space="preserve"> </w:t>
      </w:r>
      <w:r w:rsidRPr="00181FCD">
        <w:t>como</w:t>
      </w:r>
      <w:r w:rsidR="00F373A3" w:rsidRPr="00181FCD">
        <w:t xml:space="preserve"> </w:t>
      </w:r>
      <w:r w:rsidRPr="00181FCD">
        <w:t>el</w:t>
      </w:r>
      <w:r w:rsidR="00F373A3" w:rsidRPr="00181FCD">
        <w:t xml:space="preserve"> </w:t>
      </w:r>
      <w:r w:rsidRPr="00181FCD">
        <w:t>cónyuge,</w:t>
      </w:r>
      <w:r w:rsidR="00F373A3" w:rsidRPr="00181FCD">
        <w:t xml:space="preserve"> </w:t>
      </w:r>
      <w:r w:rsidRPr="00181FCD">
        <w:t>los</w:t>
      </w:r>
      <w:r w:rsidR="00F373A3" w:rsidRPr="00181FCD">
        <w:t xml:space="preserve"> </w:t>
      </w:r>
      <w:r w:rsidRPr="00181FCD">
        <w:t>ascendientes,</w:t>
      </w:r>
      <w:r w:rsidR="00F373A3" w:rsidRPr="00181FCD">
        <w:t xml:space="preserve"> </w:t>
      </w:r>
      <w:r w:rsidRPr="00181FCD">
        <w:t>descendientes</w:t>
      </w:r>
      <w:r w:rsidR="00F373A3" w:rsidRPr="00181FCD">
        <w:t xml:space="preserve"> </w:t>
      </w:r>
      <w:r w:rsidRPr="00181FCD">
        <w:t>(incluidos</w:t>
      </w:r>
      <w:r w:rsidR="00F373A3" w:rsidRPr="00181FCD">
        <w:t xml:space="preserve"> </w:t>
      </w:r>
      <w:r w:rsidRPr="00181FCD">
        <w:t>los</w:t>
      </w:r>
      <w:r w:rsidR="00F373A3" w:rsidRPr="00181FCD">
        <w:t xml:space="preserve"> </w:t>
      </w:r>
      <w:r w:rsidRPr="00181FCD">
        <w:t>adoptivos</w:t>
      </w:r>
      <w:r w:rsidR="00F373A3" w:rsidRPr="00181FCD">
        <w:t xml:space="preserve"> </w:t>
      </w:r>
      <w:r w:rsidRPr="00181FCD">
        <w:t>e</w:t>
      </w:r>
      <w:r w:rsidR="00F373A3" w:rsidRPr="00181FCD">
        <w:t xml:space="preserve"> </w:t>
      </w:r>
      <w:r w:rsidRPr="00181FCD">
        <w:t>hijastros),</w:t>
      </w:r>
      <w:r w:rsidR="00F373A3" w:rsidRPr="00181FCD">
        <w:t xml:space="preserve"> </w:t>
      </w:r>
      <w:r w:rsidRPr="00181FCD">
        <w:t>hermanos,</w:t>
      </w:r>
      <w:r w:rsidR="00F373A3" w:rsidRPr="00181FCD">
        <w:t xml:space="preserve"> </w:t>
      </w:r>
      <w:r w:rsidRPr="00181FCD">
        <w:t>hermanas</w:t>
      </w:r>
      <w:r w:rsidR="00F373A3" w:rsidRPr="00181FCD">
        <w:t xml:space="preserve"> </w:t>
      </w:r>
      <w:r w:rsidRPr="00181FCD">
        <w:t>y</w:t>
      </w:r>
      <w:r w:rsidR="00F373A3" w:rsidRPr="00181FCD">
        <w:t xml:space="preserve"> </w:t>
      </w:r>
      <w:r w:rsidRPr="00181FCD">
        <w:t>sus</w:t>
      </w:r>
      <w:r w:rsidR="00F373A3" w:rsidRPr="00181FCD">
        <w:t xml:space="preserve"> </w:t>
      </w:r>
      <w:r w:rsidRPr="00181FCD">
        <w:t>cónyuges,</w:t>
      </w:r>
      <w:r w:rsidR="00F373A3" w:rsidRPr="00181FCD">
        <w:t xml:space="preserve"> </w:t>
      </w:r>
      <w:r w:rsidRPr="00181FCD">
        <w:t>y</w:t>
      </w:r>
      <w:r w:rsidR="00F373A3" w:rsidRPr="00181FCD">
        <w:t xml:space="preserve"> </w:t>
      </w:r>
      <w:r w:rsidRPr="00181FCD">
        <w:t>parientes</w:t>
      </w:r>
      <w:r w:rsidR="00F373A3" w:rsidRPr="00181FCD">
        <w:t xml:space="preserve"> </w:t>
      </w:r>
      <w:r w:rsidRPr="00181FCD">
        <w:t>en</w:t>
      </w:r>
      <w:r w:rsidR="00F373A3" w:rsidRPr="00181FCD">
        <w:t xml:space="preserve"> </w:t>
      </w:r>
      <w:r w:rsidRPr="00181FCD">
        <w:t>línea</w:t>
      </w:r>
      <w:r w:rsidR="00F373A3" w:rsidRPr="00181FCD">
        <w:t xml:space="preserve"> </w:t>
      </w:r>
      <w:r w:rsidRPr="00181FCD">
        <w:t>colateral</w:t>
      </w:r>
      <w:r w:rsidR="00F373A3" w:rsidRPr="00181FCD">
        <w:t xml:space="preserve"> </w:t>
      </w:r>
      <w:r w:rsidRPr="00181FCD">
        <w:t>hasta</w:t>
      </w:r>
      <w:r w:rsidR="00F373A3" w:rsidRPr="00181FCD">
        <w:t xml:space="preserve"> </w:t>
      </w:r>
      <w:r w:rsidRPr="00181FCD">
        <w:t>el</w:t>
      </w:r>
      <w:r w:rsidR="00F373A3" w:rsidRPr="00181FCD">
        <w:t xml:space="preserve"> </w:t>
      </w:r>
      <w:r w:rsidRPr="00181FCD">
        <w:t>cuarto</w:t>
      </w:r>
      <w:r w:rsidR="00F373A3" w:rsidRPr="00181FCD">
        <w:t xml:space="preserve"> </w:t>
      </w:r>
      <w:r w:rsidRPr="00181FCD">
        <w:t>grado.</w:t>
      </w:r>
      <w:r w:rsidR="00F373A3" w:rsidRPr="00181FCD">
        <w:t xml:space="preserve"> </w:t>
      </w:r>
      <w:r w:rsidRPr="00181FCD">
        <w:t>En</w:t>
      </w:r>
      <w:r w:rsidR="00F373A3" w:rsidRPr="00181FCD">
        <w:t xml:space="preserve"> </w:t>
      </w:r>
      <w:r w:rsidRPr="00181FCD">
        <w:t>este</w:t>
      </w:r>
      <w:r w:rsidR="00F373A3" w:rsidRPr="00181FCD">
        <w:t xml:space="preserve"> </w:t>
      </w:r>
      <w:r w:rsidRPr="00181FCD">
        <w:t>sentido,</w:t>
      </w:r>
      <w:r w:rsidR="00F373A3" w:rsidRPr="00181FCD">
        <w:t xml:space="preserve"> </w:t>
      </w:r>
      <w:r w:rsidRPr="00181FCD">
        <w:t>se</w:t>
      </w:r>
      <w:r w:rsidR="00F373A3" w:rsidRPr="00181FCD">
        <w:t xml:space="preserve"> </w:t>
      </w:r>
      <w:r w:rsidRPr="00181FCD">
        <w:t>prevén</w:t>
      </w:r>
      <w:r w:rsidR="00F373A3" w:rsidRPr="00181FCD">
        <w:t xml:space="preserve"> </w:t>
      </w:r>
      <w:r w:rsidRPr="00181FCD">
        <w:t>castigos</w:t>
      </w:r>
      <w:r w:rsidR="00F373A3" w:rsidRPr="00181FCD">
        <w:t xml:space="preserve"> </w:t>
      </w:r>
      <w:r w:rsidRPr="00181FCD">
        <w:t>más</w:t>
      </w:r>
      <w:r w:rsidR="00F373A3" w:rsidRPr="00181FCD">
        <w:t xml:space="preserve"> </w:t>
      </w:r>
      <w:r w:rsidRPr="00181FCD">
        <w:t>severos</w:t>
      </w:r>
      <w:r w:rsidR="00F373A3" w:rsidRPr="00181FCD">
        <w:t xml:space="preserve"> </w:t>
      </w:r>
      <w:r w:rsidRPr="00181FCD">
        <w:t>en</w:t>
      </w:r>
      <w:r w:rsidR="00F373A3" w:rsidRPr="00181FCD">
        <w:t xml:space="preserve"> </w:t>
      </w:r>
      <w:r w:rsidRPr="00181FCD">
        <w:t>los</w:t>
      </w:r>
      <w:r w:rsidR="00F373A3" w:rsidRPr="00181FCD">
        <w:t xml:space="preserve"> </w:t>
      </w:r>
      <w:r w:rsidRPr="00181FCD">
        <w:t>casos</w:t>
      </w:r>
      <w:r w:rsidR="00F373A3" w:rsidRPr="00181FCD">
        <w:t xml:space="preserve"> </w:t>
      </w:r>
      <w:r w:rsidRPr="00181FCD">
        <w:t>de</w:t>
      </w:r>
      <w:r w:rsidR="00F373A3" w:rsidRPr="00181FCD">
        <w:t xml:space="preserve"> </w:t>
      </w:r>
      <w:r w:rsidRPr="00181FCD">
        <w:t>violación</w:t>
      </w:r>
      <w:r w:rsidR="00F373A3" w:rsidRPr="00181FCD">
        <w:t xml:space="preserve"> </w:t>
      </w:r>
      <w:r w:rsidRPr="00181FCD">
        <w:t>de</w:t>
      </w:r>
      <w:r w:rsidR="00F373A3" w:rsidRPr="00181FCD">
        <w:t xml:space="preserve"> </w:t>
      </w:r>
      <w:r w:rsidRPr="00181FCD">
        <w:t>un</w:t>
      </w:r>
      <w:r w:rsidR="00F373A3" w:rsidRPr="00181FCD">
        <w:t xml:space="preserve"> </w:t>
      </w:r>
      <w:r w:rsidRPr="00181FCD">
        <w:t>familiar</w:t>
      </w:r>
      <w:r w:rsidR="00F373A3" w:rsidRPr="00181FCD">
        <w:t xml:space="preserve"> </w:t>
      </w:r>
      <w:r w:rsidRPr="00181FCD">
        <w:t>descendiente,</w:t>
      </w:r>
      <w:r w:rsidR="00F373A3" w:rsidRPr="00181FCD">
        <w:t xml:space="preserve"> </w:t>
      </w:r>
      <w:r w:rsidRPr="00181FCD">
        <w:t>cuando</w:t>
      </w:r>
      <w:r w:rsidR="00F373A3" w:rsidRPr="00181FCD">
        <w:t xml:space="preserve"> </w:t>
      </w:r>
      <w:r w:rsidRPr="00181FCD">
        <w:t>se</w:t>
      </w:r>
      <w:r w:rsidR="00F373A3" w:rsidRPr="00181FCD">
        <w:t xml:space="preserve"> </w:t>
      </w:r>
      <w:r w:rsidRPr="00181FCD">
        <w:t>producen</w:t>
      </w:r>
      <w:r w:rsidR="00F373A3" w:rsidRPr="00181FCD">
        <w:t xml:space="preserve"> </w:t>
      </w:r>
      <w:r w:rsidRPr="00181FCD">
        <w:t>lesiones</w:t>
      </w:r>
      <w:r w:rsidR="00F373A3" w:rsidRPr="00181FCD">
        <w:t xml:space="preserve"> </w:t>
      </w:r>
      <w:r w:rsidRPr="00181FCD">
        <w:t>corporales</w:t>
      </w:r>
      <w:r w:rsidR="00F373A3" w:rsidRPr="00181FCD">
        <w:t xml:space="preserve"> </w:t>
      </w:r>
      <w:r w:rsidRPr="00181FCD">
        <w:t>a</w:t>
      </w:r>
      <w:r w:rsidR="00F373A3" w:rsidRPr="00181FCD">
        <w:t xml:space="preserve"> </w:t>
      </w:r>
      <w:r w:rsidRPr="00181FCD">
        <w:t>uno</w:t>
      </w:r>
      <w:r w:rsidR="00F373A3" w:rsidRPr="00181FCD">
        <w:t xml:space="preserve"> </w:t>
      </w:r>
      <w:r w:rsidRPr="00181FCD">
        <w:t>de</w:t>
      </w:r>
      <w:r w:rsidR="00F373A3" w:rsidRPr="00181FCD">
        <w:t xml:space="preserve"> </w:t>
      </w:r>
      <w:r w:rsidRPr="00181FCD">
        <w:t>los</w:t>
      </w:r>
      <w:r w:rsidR="00F373A3" w:rsidRPr="00181FCD">
        <w:t xml:space="preserve"> </w:t>
      </w:r>
      <w:r w:rsidRPr="00181FCD">
        <w:t>padres,</w:t>
      </w:r>
      <w:r w:rsidR="00F373A3" w:rsidRPr="00181FCD">
        <w:t xml:space="preserve"> </w:t>
      </w:r>
      <w:r w:rsidRPr="00181FCD">
        <w:t>una</w:t>
      </w:r>
      <w:r w:rsidR="00F373A3" w:rsidRPr="00181FCD">
        <w:t xml:space="preserve"> </w:t>
      </w:r>
      <w:r w:rsidRPr="00181FCD">
        <w:t>mujer</w:t>
      </w:r>
      <w:r w:rsidR="00F373A3" w:rsidRPr="00181FCD">
        <w:t xml:space="preserve"> </w:t>
      </w:r>
      <w:r w:rsidRPr="00181FCD">
        <w:t>embarazada</w:t>
      </w:r>
      <w:r w:rsidR="00F373A3" w:rsidRPr="00181FCD">
        <w:t xml:space="preserve"> </w:t>
      </w:r>
      <w:r w:rsidRPr="00181FCD">
        <w:t>o</w:t>
      </w:r>
      <w:r w:rsidR="00F373A3" w:rsidRPr="00181FCD">
        <w:t xml:space="preserve"> </w:t>
      </w:r>
      <w:r w:rsidRPr="00181FCD">
        <w:t>un</w:t>
      </w:r>
      <w:r w:rsidR="00F373A3" w:rsidRPr="00181FCD">
        <w:t xml:space="preserve"> </w:t>
      </w:r>
      <w:r w:rsidRPr="00181FCD">
        <w:t>menor</w:t>
      </w:r>
      <w:r w:rsidR="00F373A3" w:rsidRPr="00181FCD">
        <w:t xml:space="preserve"> </w:t>
      </w:r>
      <w:r w:rsidRPr="00181FCD">
        <w:t>de</w:t>
      </w:r>
      <w:r w:rsidR="00F373A3" w:rsidRPr="00181FCD">
        <w:t xml:space="preserve"> </w:t>
      </w:r>
      <w:r w:rsidRPr="00181FCD">
        <w:t>edad.</w:t>
      </w:r>
      <w:r w:rsidR="00F373A3" w:rsidRPr="00181FCD">
        <w:t xml:space="preserve"> </w:t>
      </w:r>
      <w:r w:rsidRPr="00181FCD">
        <w:t>La</w:t>
      </w:r>
      <w:r w:rsidR="00F373A3" w:rsidRPr="00181FCD">
        <w:t xml:space="preserve"> </w:t>
      </w:r>
      <w:r w:rsidRPr="00181FCD">
        <w:t>mayoría</w:t>
      </w:r>
      <w:r w:rsidR="00F373A3" w:rsidRPr="00181FCD">
        <w:t xml:space="preserve"> </w:t>
      </w:r>
      <w:r w:rsidRPr="00181FCD">
        <w:t>de</w:t>
      </w:r>
      <w:r w:rsidR="00F373A3" w:rsidRPr="00181FCD">
        <w:t xml:space="preserve"> </w:t>
      </w:r>
      <w:r w:rsidRPr="00181FCD">
        <w:t>estos</w:t>
      </w:r>
      <w:r w:rsidR="00F373A3" w:rsidRPr="00181FCD">
        <w:t xml:space="preserve"> </w:t>
      </w:r>
      <w:r w:rsidRPr="00181FCD">
        <w:t>delitos</w:t>
      </w:r>
      <w:r w:rsidR="00F373A3" w:rsidRPr="00181FCD">
        <w:t xml:space="preserve"> </w:t>
      </w:r>
      <w:r w:rsidRPr="00181FCD">
        <w:t>son</w:t>
      </w:r>
      <w:r w:rsidR="00F373A3" w:rsidRPr="00181FCD">
        <w:t xml:space="preserve"> </w:t>
      </w:r>
      <w:r w:rsidRPr="00181FCD">
        <w:t>de</w:t>
      </w:r>
      <w:r w:rsidR="00F373A3" w:rsidRPr="00181FCD">
        <w:t xml:space="preserve"> </w:t>
      </w:r>
      <w:r w:rsidRPr="00181FCD">
        <w:t>carácter</w:t>
      </w:r>
      <w:r w:rsidR="00F373A3" w:rsidRPr="00181FCD">
        <w:t xml:space="preserve"> </w:t>
      </w:r>
      <w:r w:rsidRPr="00181FCD">
        <w:t>general</w:t>
      </w:r>
      <w:r w:rsidR="00F373A3" w:rsidRPr="00181FCD">
        <w:t xml:space="preserve"> </w:t>
      </w:r>
      <w:r w:rsidRPr="00181FCD">
        <w:t>y</w:t>
      </w:r>
      <w:r w:rsidR="00F373A3" w:rsidRPr="00181FCD">
        <w:t xml:space="preserve"> </w:t>
      </w:r>
      <w:r w:rsidRPr="00181FCD">
        <w:t>se</w:t>
      </w:r>
      <w:r w:rsidR="00F373A3" w:rsidRPr="00181FCD">
        <w:t xml:space="preserve"> </w:t>
      </w:r>
      <w:r w:rsidRPr="00181FCD">
        <w:t>persiguen</w:t>
      </w:r>
      <w:r w:rsidR="00F373A3" w:rsidRPr="00181FCD">
        <w:t xml:space="preserve"> </w:t>
      </w:r>
      <w:r w:rsidRPr="00181FCD">
        <w:t>de</w:t>
      </w:r>
      <w:r w:rsidR="00F373A3" w:rsidRPr="00181FCD">
        <w:t xml:space="preserve"> </w:t>
      </w:r>
      <w:r w:rsidRPr="00181FCD">
        <w:t>oficio.</w:t>
      </w:r>
      <w:r w:rsidR="00F373A3" w:rsidRPr="00181FCD">
        <w:t xml:space="preserve"> </w:t>
      </w:r>
      <w:r w:rsidRPr="00181FCD">
        <w:t>También</w:t>
      </w:r>
      <w:r w:rsidR="00F373A3" w:rsidRPr="00181FCD">
        <w:t xml:space="preserve"> </w:t>
      </w:r>
      <w:r w:rsidRPr="00181FCD">
        <w:t>se</w:t>
      </w:r>
      <w:r w:rsidR="00F373A3" w:rsidRPr="00181FCD">
        <w:t xml:space="preserve"> </w:t>
      </w:r>
      <w:r w:rsidRPr="00181FCD">
        <w:t>debe</w:t>
      </w:r>
      <w:r w:rsidR="00F373A3" w:rsidRPr="00181FCD">
        <w:t xml:space="preserve"> </w:t>
      </w:r>
      <w:r w:rsidRPr="00181FCD">
        <w:t>prestar</w:t>
      </w:r>
      <w:r w:rsidR="00F373A3" w:rsidRPr="00181FCD">
        <w:t xml:space="preserve"> </w:t>
      </w:r>
      <w:r w:rsidRPr="00181FCD">
        <w:t>atención</w:t>
      </w:r>
      <w:r w:rsidR="00F373A3" w:rsidRPr="00181FCD">
        <w:t xml:space="preserve"> </w:t>
      </w:r>
      <w:r w:rsidRPr="00181FCD">
        <w:t>a</w:t>
      </w:r>
      <w:r w:rsidR="00F373A3" w:rsidRPr="00181FCD">
        <w:t xml:space="preserve"> </w:t>
      </w:r>
      <w:r w:rsidRPr="00181FCD">
        <w:t>la</w:t>
      </w:r>
      <w:r w:rsidR="00F373A3" w:rsidRPr="00181FCD">
        <w:t xml:space="preserve"> </w:t>
      </w:r>
      <w:r w:rsidRPr="00181FCD">
        <w:t>disposición</w:t>
      </w:r>
      <w:r w:rsidR="00F373A3" w:rsidRPr="00181FCD">
        <w:t xml:space="preserve"> </w:t>
      </w:r>
      <w:r w:rsidRPr="00181FCD">
        <w:t>del</w:t>
      </w:r>
      <w:r w:rsidR="00F373A3" w:rsidRPr="00181FCD">
        <w:t xml:space="preserve"> </w:t>
      </w:r>
      <w:r w:rsidRPr="00181FCD">
        <w:t>artículo</w:t>
      </w:r>
      <w:r w:rsidR="00F373A3" w:rsidRPr="00181FCD">
        <w:t xml:space="preserve"> </w:t>
      </w:r>
      <w:r w:rsidRPr="00181FCD">
        <w:t>296,</w:t>
      </w:r>
      <w:r w:rsidR="00F373A3" w:rsidRPr="00181FCD">
        <w:t xml:space="preserve"> </w:t>
      </w:r>
      <w:r w:rsidRPr="00181FCD">
        <w:t>párrafo</w:t>
      </w:r>
      <w:r w:rsidR="00F373A3" w:rsidRPr="00181FCD">
        <w:t xml:space="preserve"> </w:t>
      </w:r>
      <w:r w:rsidRPr="00181FCD">
        <w:t>1</w:t>
      </w:r>
      <w:r w:rsidR="00F373A3" w:rsidRPr="00181FCD">
        <w:t xml:space="preserve"> </w:t>
      </w:r>
      <w:r w:rsidRPr="00181FCD">
        <w:t>del</w:t>
      </w:r>
      <w:r w:rsidR="00F373A3" w:rsidRPr="00181FCD">
        <w:t xml:space="preserve"> </w:t>
      </w:r>
      <w:r w:rsidRPr="00181FCD">
        <w:t>Código</w:t>
      </w:r>
      <w:r w:rsidR="00F373A3" w:rsidRPr="00181FCD">
        <w:t xml:space="preserve"> </w:t>
      </w:r>
      <w:r w:rsidRPr="00181FCD">
        <w:t>Penal,</w:t>
      </w:r>
      <w:r w:rsidR="00F373A3" w:rsidRPr="00181FCD">
        <w:t xml:space="preserve"> </w:t>
      </w:r>
      <w:r w:rsidRPr="00181FCD">
        <w:t>que</w:t>
      </w:r>
      <w:r w:rsidR="00F373A3" w:rsidRPr="00181FCD">
        <w:t xml:space="preserve"> </w:t>
      </w:r>
      <w:r w:rsidRPr="00181FCD">
        <w:t>tipifica</w:t>
      </w:r>
      <w:r w:rsidR="00F373A3" w:rsidRPr="00181FCD">
        <w:t xml:space="preserve"> </w:t>
      </w:r>
      <w:r w:rsidRPr="00181FCD">
        <w:t>como</w:t>
      </w:r>
      <w:r w:rsidR="00F373A3" w:rsidRPr="00181FCD">
        <w:t xml:space="preserve"> </w:t>
      </w:r>
      <w:r w:rsidRPr="00181FCD">
        <w:t>delitos</w:t>
      </w:r>
      <w:r w:rsidR="00F373A3" w:rsidRPr="00181FCD">
        <w:t xml:space="preserve"> </w:t>
      </w:r>
      <w:r w:rsidRPr="00181FCD">
        <w:t>los</w:t>
      </w:r>
      <w:r w:rsidR="00F373A3" w:rsidRPr="00181FCD">
        <w:t xml:space="preserve"> </w:t>
      </w:r>
      <w:r w:rsidRPr="00181FCD">
        <w:t>casos</w:t>
      </w:r>
      <w:r w:rsidR="00F373A3" w:rsidRPr="00181FCD">
        <w:t xml:space="preserve"> </w:t>
      </w:r>
      <w:r w:rsidRPr="00181FCD">
        <w:t>en</w:t>
      </w:r>
      <w:r w:rsidR="00F373A3" w:rsidRPr="00181FCD">
        <w:t xml:space="preserve"> </w:t>
      </w:r>
      <w:r w:rsidRPr="00181FCD">
        <w:t>que</w:t>
      </w:r>
      <w:r w:rsidR="00F373A3" w:rsidRPr="00181FCD">
        <w:t xml:space="preserve"> </w:t>
      </w:r>
      <w:r w:rsidRPr="00181FCD">
        <w:t>una</w:t>
      </w:r>
      <w:r w:rsidR="00F373A3" w:rsidRPr="00181FCD">
        <w:t xml:space="preserve"> </w:t>
      </w:r>
      <w:r w:rsidRPr="00181FCD">
        <w:t>persona</w:t>
      </w:r>
      <w:r w:rsidR="00F373A3" w:rsidRPr="00181FCD">
        <w:t xml:space="preserve"> </w:t>
      </w:r>
      <w:r w:rsidRPr="00181FCD">
        <w:t>obstaculice</w:t>
      </w:r>
      <w:r w:rsidR="00F373A3" w:rsidRPr="00181FCD">
        <w:t xml:space="preserve"> </w:t>
      </w:r>
      <w:r w:rsidRPr="00181FCD">
        <w:t>o</w:t>
      </w:r>
      <w:r w:rsidR="00F373A3" w:rsidRPr="00181FCD">
        <w:t xml:space="preserve"> </w:t>
      </w:r>
      <w:r w:rsidRPr="00181FCD">
        <w:t>impida</w:t>
      </w:r>
      <w:r w:rsidR="00F373A3" w:rsidRPr="00181FCD">
        <w:t xml:space="preserve"> </w:t>
      </w:r>
      <w:r w:rsidRPr="00181FCD">
        <w:t>la</w:t>
      </w:r>
      <w:r w:rsidR="00F373A3" w:rsidRPr="00181FCD">
        <w:t xml:space="preserve"> </w:t>
      </w:r>
      <w:r w:rsidRPr="00181FCD">
        <w:t>ejecución</w:t>
      </w:r>
      <w:r w:rsidR="00F373A3" w:rsidRPr="00181FCD">
        <w:t xml:space="preserve"> </w:t>
      </w:r>
      <w:r w:rsidRPr="00181FCD">
        <w:t>de</w:t>
      </w:r>
      <w:r w:rsidR="00F373A3" w:rsidRPr="00181FCD">
        <w:t xml:space="preserve"> </w:t>
      </w:r>
      <w:r w:rsidRPr="00181FCD">
        <w:t>una</w:t>
      </w:r>
      <w:r w:rsidR="00F373A3" w:rsidRPr="00181FCD">
        <w:t xml:space="preserve"> </w:t>
      </w:r>
      <w:r w:rsidRPr="00181FCD">
        <w:t>sentencia,</w:t>
      </w:r>
      <w:r w:rsidR="00F373A3" w:rsidRPr="00181FCD">
        <w:t xml:space="preserve"> </w:t>
      </w:r>
      <w:r w:rsidRPr="00181FCD">
        <w:t>una</w:t>
      </w:r>
      <w:r w:rsidR="00F373A3" w:rsidRPr="00181FCD">
        <w:t xml:space="preserve"> </w:t>
      </w:r>
      <w:r w:rsidRPr="00181FCD">
        <w:t>orden</w:t>
      </w:r>
      <w:r w:rsidR="00F373A3" w:rsidRPr="00181FCD">
        <w:t xml:space="preserve"> </w:t>
      </w:r>
      <w:r w:rsidRPr="00181FCD">
        <w:t>de</w:t>
      </w:r>
      <w:r w:rsidR="00F373A3" w:rsidRPr="00181FCD">
        <w:t xml:space="preserve"> </w:t>
      </w:r>
      <w:r w:rsidRPr="00181FCD">
        <w:t>protección</w:t>
      </w:r>
      <w:r w:rsidR="00F373A3" w:rsidRPr="00181FCD">
        <w:t xml:space="preserve"> </w:t>
      </w:r>
      <w:r w:rsidRPr="00181FCD">
        <w:t>contra</w:t>
      </w:r>
      <w:r w:rsidR="00F373A3" w:rsidRPr="00181FCD">
        <w:t xml:space="preserve"> </w:t>
      </w:r>
      <w:r w:rsidRPr="00181FCD">
        <w:t>la</w:t>
      </w:r>
      <w:r w:rsidR="00F373A3" w:rsidRPr="00181FCD">
        <w:t xml:space="preserve"> </w:t>
      </w:r>
      <w:r w:rsidRPr="00181FCD">
        <w:t>violencia</w:t>
      </w:r>
      <w:r w:rsidR="00F373A3" w:rsidRPr="00181FCD">
        <w:t xml:space="preserve"> </w:t>
      </w:r>
      <w:r w:rsidRPr="00181FCD">
        <w:t>doméstica</w:t>
      </w:r>
      <w:r w:rsidR="00F373A3" w:rsidRPr="00181FCD">
        <w:t xml:space="preserve"> </w:t>
      </w:r>
      <w:r w:rsidRPr="00181FCD">
        <w:t>o</w:t>
      </w:r>
      <w:r w:rsidR="00F373A3" w:rsidRPr="00181FCD">
        <w:t xml:space="preserve"> </w:t>
      </w:r>
      <w:r w:rsidRPr="00181FCD">
        <w:t>una</w:t>
      </w:r>
      <w:r w:rsidR="00F373A3" w:rsidRPr="00181FCD">
        <w:t xml:space="preserve"> </w:t>
      </w:r>
      <w:r w:rsidRPr="00181FCD">
        <w:t>orden</w:t>
      </w:r>
      <w:r w:rsidR="00F373A3" w:rsidRPr="00181FCD">
        <w:t xml:space="preserve"> </w:t>
      </w:r>
      <w:r w:rsidRPr="00181FCD">
        <w:t>de</w:t>
      </w:r>
      <w:r w:rsidR="00F373A3" w:rsidRPr="00181FCD">
        <w:t xml:space="preserve"> </w:t>
      </w:r>
      <w:r w:rsidRPr="00181FCD">
        <w:t>protección</w:t>
      </w:r>
      <w:r w:rsidR="00F373A3" w:rsidRPr="00181FCD">
        <w:t xml:space="preserve"> </w:t>
      </w:r>
      <w:r w:rsidRPr="00181FCD">
        <w:t>de</w:t>
      </w:r>
      <w:r w:rsidR="00F373A3" w:rsidRPr="00181FCD">
        <w:t xml:space="preserve"> </w:t>
      </w:r>
      <w:r w:rsidRPr="00181FCD">
        <w:t>alcance</w:t>
      </w:r>
      <w:r w:rsidR="00F373A3" w:rsidRPr="00181FCD">
        <w:t xml:space="preserve"> </w:t>
      </w:r>
      <w:r w:rsidRPr="00181FCD">
        <w:t>europeo.</w:t>
      </w:r>
    </w:p>
    <w:p w:rsidR="001937F4" w:rsidRPr="00181FCD" w:rsidRDefault="001937F4" w:rsidP="00347B20">
      <w:pPr>
        <w:pStyle w:val="SingleTxtG"/>
        <w:suppressAutoHyphens/>
      </w:pPr>
      <w:r w:rsidRPr="00181FCD">
        <w:t>50.</w:t>
      </w:r>
      <w:r w:rsidRPr="00181FCD">
        <w:tab/>
        <w:t>Bulgaria</w:t>
      </w:r>
      <w:r w:rsidR="00F373A3" w:rsidRPr="00181FCD">
        <w:t xml:space="preserve"> </w:t>
      </w:r>
      <w:r w:rsidRPr="00181FCD">
        <w:t>es</w:t>
      </w:r>
      <w:r w:rsidR="00F373A3" w:rsidRPr="00181FCD">
        <w:t xml:space="preserve"> </w:t>
      </w:r>
      <w:r w:rsidRPr="00181FCD">
        <w:t>consciente</w:t>
      </w:r>
      <w:r w:rsidR="00F373A3" w:rsidRPr="00181FCD">
        <w:t xml:space="preserve"> </w:t>
      </w:r>
      <w:r w:rsidRPr="00181FCD">
        <w:t>de</w:t>
      </w:r>
      <w:r w:rsidR="00F373A3" w:rsidRPr="00181FCD">
        <w:t xml:space="preserve"> </w:t>
      </w:r>
      <w:r w:rsidRPr="00181FCD">
        <w:t>la</w:t>
      </w:r>
      <w:r w:rsidR="00F373A3" w:rsidRPr="00181FCD">
        <w:t xml:space="preserve"> </w:t>
      </w:r>
      <w:r w:rsidRPr="00181FCD">
        <w:t>necesidad</w:t>
      </w:r>
      <w:r w:rsidR="00F373A3" w:rsidRPr="00181FCD">
        <w:t xml:space="preserve"> </w:t>
      </w:r>
      <w:r w:rsidRPr="00181FCD">
        <w:t>de</w:t>
      </w:r>
      <w:r w:rsidR="00F373A3" w:rsidRPr="00181FCD">
        <w:t xml:space="preserve"> </w:t>
      </w:r>
      <w:r w:rsidRPr="00181FCD">
        <w:t>cambiar</w:t>
      </w:r>
      <w:r w:rsidR="00F373A3" w:rsidRPr="00181FCD">
        <w:t xml:space="preserve"> </w:t>
      </w:r>
      <w:r w:rsidRPr="00181FCD">
        <w:t>la</w:t>
      </w:r>
      <w:r w:rsidR="00F373A3" w:rsidRPr="00181FCD">
        <w:t xml:space="preserve"> </w:t>
      </w:r>
      <w:r w:rsidRPr="00181FCD">
        <w:t>legislación</w:t>
      </w:r>
      <w:r w:rsidR="00F373A3" w:rsidRPr="00181FCD">
        <w:t xml:space="preserve"> </w:t>
      </w:r>
      <w:r w:rsidRPr="00181FCD">
        <w:t>relacionada</w:t>
      </w:r>
      <w:r w:rsidR="00F373A3" w:rsidRPr="00181FCD">
        <w:t xml:space="preserve"> </w:t>
      </w:r>
      <w:r w:rsidRPr="00181FCD">
        <w:t>con</w:t>
      </w:r>
      <w:r w:rsidR="00F373A3" w:rsidRPr="00181FCD">
        <w:t xml:space="preserve"> </w:t>
      </w:r>
      <w:r w:rsidRPr="00181FCD">
        <w:t>la</w:t>
      </w:r>
      <w:r w:rsidR="00F373A3" w:rsidRPr="00181FCD">
        <w:t xml:space="preserve"> </w:t>
      </w:r>
      <w:r w:rsidRPr="00181FCD">
        <w:t>reglamentación</w:t>
      </w:r>
      <w:r w:rsidR="00F373A3" w:rsidRPr="00181FCD">
        <w:t xml:space="preserve"> </w:t>
      </w:r>
      <w:r w:rsidRPr="00181FCD">
        <w:t>de</w:t>
      </w:r>
      <w:r w:rsidR="00F373A3" w:rsidRPr="00181FCD">
        <w:t xml:space="preserve"> </w:t>
      </w:r>
      <w:r w:rsidRPr="00181FCD">
        <w:t>la</w:t>
      </w:r>
      <w:r w:rsidR="00F373A3" w:rsidRPr="00181FCD">
        <w:t xml:space="preserve"> </w:t>
      </w:r>
      <w:r w:rsidRPr="00181FCD">
        <w:t>violencia</w:t>
      </w:r>
      <w:r w:rsidR="00F373A3" w:rsidRPr="00181FCD">
        <w:t xml:space="preserve"> </w:t>
      </w:r>
      <w:r w:rsidRPr="00181FCD">
        <w:t>doméstica</w:t>
      </w:r>
      <w:r w:rsidR="00F373A3" w:rsidRPr="00181FCD">
        <w:t xml:space="preserve"> </w:t>
      </w:r>
      <w:r w:rsidRPr="00181FCD">
        <w:t>y</w:t>
      </w:r>
      <w:r w:rsidR="00F373A3" w:rsidRPr="00181FCD">
        <w:t xml:space="preserve"> </w:t>
      </w:r>
      <w:r w:rsidRPr="00181FCD">
        <w:t>de</w:t>
      </w:r>
      <w:r w:rsidR="00F373A3" w:rsidRPr="00181FCD">
        <w:t xml:space="preserve"> </w:t>
      </w:r>
      <w:r w:rsidRPr="00181FCD">
        <w:t>género.</w:t>
      </w:r>
      <w:r w:rsidR="00F373A3" w:rsidRPr="00181FCD">
        <w:t xml:space="preserve"> </w:t>
      </w:r>
      <w:r w:rsidRPr="00181FCD">
        <w:t>En</w:t>
      </w:r>
      <w:r w:rsidR="00F373A3" w:rsidRPr="00181FCD">
        <w:t xml:space="preserve"> </w:t>
      </w:r>
      <w:r w:rsidRPr="00181FCD">
        <w:t>este</w:t>
      </w:r>
      <w:r w:rsidR="00F373A3" w:rsidRPr="00181FCD">
        <w:t xml:space="preserve"> </w:t>
      </w:r>
      <w:r w:rsidRPr="00181FCD">
        <w:t>sentido,</w:t>
      </w:r>
      <w:r w:rsidR="00F373A3" w:rsidRPr="00181FCD">
        <w:t xml:space="preserve"> </w:t>
      </w:r>
      <w:r w:rsidRPr="00181FCD">
        <w:t>el</w:t>
      </w:r>
      <w:r w:rsidR="00F373A3" w:rsidRPr="00181FCD">
        <w:t xml:space="preserve"> </w:t>
      </w:r>
      <w:r w:rsidRPr="00181FCD">
        <w:t>Comité</w:t>
      </w:r>
      <w:r w:rsidR="00F373A3" w:rsidRPr="00181FCD">
        <w:t xml:space="preserve"> </w:t>
      </w:r>
      <w:r w:rsidRPr="00181FCD">
        <w:t>para</w:t>
      </w:r>
      <w:r w:rsidR="00F373A3" w:rsidRPr="00181FCD">
        <w:t xml:space="preserve"> </w:t>
      </w:r>
      <w:r w:rsidRPr="00181FCD">
        <w:t>la</w:t>
      </w:r>
      <w:r w:rsidR="00F373A3" w:rsidRPr="00181FCD">
        <w:t xml:space="preserve"> </w:t>
      </w:r>
      <w:r w:rsidRPr="00181FCD">
        <w:t>Eliminación</w:t>
      </w:r>
      <w:r w:rsidR="00F373A3" w:rsidRPr="00181FCD">
        <w:t xml:space="preserve"> </w:t>
      </w:r>
      <w:r w:rsidRPr="00181FCD">
        <w:t>de</w:t>
      </w:r>
      <w:r w:rsidR="00F373A3" w:rsidRPr="00181FCD">
        <w:t xml:space="preserve"> </w:t>
      </w:r>
      <w:r w:rsidRPr="00181FCD">
        <w:t>la</w:t>
      </w:r>
      <w:r w:rsidR="00F373A3" w:rsidRPr="00181FCD">
        <w:t xml:space="preserve"> </w:t>
      </w:r>
      <w:r w:rsidRPr="00181FCD">
        <w:t>Discriminación</w:t>
      </w:r>
      <w:r w:rsidR="00F373A3" w:rsidRPr="00181FCD">
        <w:t xml:space="preserve"> </w:t>
      </w:r>
      <w:r w:rsidRPr="00181FCD">
        <w:t>contra</w:t>
      </w:r>
      <w:r w:rsidR="00F373A3" w:rsidRPr="00181FCD">
        <w:t xml:space="preserve"> </w:t>
      </w:r>
      <w:r w:rsidRPr="00181FCD">
        <w:t>la</w:t>
      </w:r>
      <w:r w:rsidR="00F373A3" w:rsidRPr="00181FCD">
        <w:t xml:space="preserve"> </w:t>
      </w:r>
      <w:r w:rsidRPr="00181FCD">
        <w:t>Mujer</w:t>
      </w:r>
      <w:r w:rsidR="00F373A3" w:rsidRPr="00181FCD">
        <w:t xml:space="preserve"> </w:t>
      </w:r>
      <w:r w:rsidRPr="00181FCD">
        <w:t>hizo</w:t>
      </w:r>
      <w:r w:rsidR="00F373A3" w:rsidRPr="00181FCD">
        <w:t xml:space="preserve"> </w:t>
      </w:r>
      <w:r w:rsidRPr="00181FCD">
        <w:t>recomendaciones</w:t>
      </w:r>
      <w:r w:rsidR="00F373A3" w:rsidRPr="00181FCD">
        <w:t xml:space="preserve"> </w:t>
      </w:r>
      <w:r w:rsidRPr="00181FCD">
        <w:t>en</w:t>
      </w:r>
      <w:r w:rsidR="00F373A3" w:rsidRPr="00181FCD">
        <w:t xml:space="preserve"> </w:t>
      </w:r>
      <w:r w:rsidRPr="00181FCD">
        <w:t>lo</w:t>
      </w:r>
      <w:r w:rsidR="00F373A3" w:rsidRPr="00181FCD">
        <w:t xml:space="preserve"> </w:t>
      </w:r>
      <w:r w:rsidRPr="00181FCD">
        <w:t>que</w:t>
      </w:r>
      <w:r w:rsidR="00F373A3" w:rsidRPr="00181FCD">
        <w:t xml:space="preserve"> </w:t>
      </w:r>
      <w:r w:rsidRPr="00181FCD">
        <w:t>respecta</w:t>
      </w:r>
      <w:r w:rsidR="00F373A3" w:rsidRPr="00181FCD">
        <w:t xml:space="preserve"> </w:t>
      </w:r>
      <w:r w:rsidRPr="00181FCD">
        <w:t>a</w:t>
      </w:r>
      <w:r w:rsidR="00F373A3" w:rsidRPr="00181FCD">
        <w:t xml:space="preserve"> </w:t>
      </w:r>
      <w:r w:rsidRPr="00181FCD">
        <w:t>Bulgaria,</w:t>
      </w:r>
      <w:r w:rsidR="00F373A3" w:rsidRPr="00181FCD">
        <w:t xml:space="preserve"> </w:t>
      </w:r>
      <w:r w:rsidRPr="00181FCD">
        <w:t>que</w:t>
      </w:r>
      <w:r w:rsidR="00F373A3" w:rsidRPr="00181FCD">
        <w:t xml:space="preserve"> </w:t>
      </w:r>
      <w:r w:rsidRPr="00181FCD">
        <w:t>en</w:t>
      </w:r>
      <w:r w:rsidR="00F373A3" w:rsidRPr="00181FCD">
        <w:t xml:space="preserve"> </w:t>
      </w:r>
      <w:r w:rsidRPr="00181FCD">
        <w:t>atención</w:t>
      </w:r>
      <w:r w:rsidR="00F373A3" w:rsidRPr="00181FCD">
        <w:t xml:space="preserve"> </w:t>
      </w:r>
      <w:r w:rsidRPr="00181FCD">
        <w:t>a</w:t>
      </w:r>
      <w:r w:rsidR="00F373A3" w:rsidRPr="00181FCD">
        <w:t xml:space="preserve"> </w:t>
      </w:r>
      <w:r w:rsidRPr="00181FCD">
        <w:t>esas</w:t>
      </w:r>
      <w:r w:rsidR="00F373A3" w:rsidRPr="00181FCD">
        <w:t xml:space="preserve"> </w:t>
      </w:r>
      <w:r w:rsidRPr="00181FCD">
        <w:t>recomendaciones</w:t>
      </w:r>
      <w:r w:rsidR="00F373A3" w:rsidRPr="00181FCD">
        <w:t xml:space="preserve"> </w:t>
      </w:r>
      <w:r w:rsidRPr="00181FCD">
        <w:t>derogó</w:t>
      </w:r>
      <w:r w:rsidR="00F373A3" w:rsidRPr="00181FCD">
        <w:t xml:space="preserve"> </w:t>
      </w:r>
      <w:r w:rsidRPr="00181FCD">
        <w:t>el</w:t>
      </w:r>
      <w:r w:rsidR="00F373A3" w:rsidRPr="00181FCD">
        <w:t xml:space="preserve"> </w:t>
      </w:r>
      <w:r w:rsidRPr="00181FCD">
        <w:t>artículo</w:t>
      </w:r>
      <w:r w:rsidR="00F373A3" w:rsidRPr="00181FCD">
        <w:t xml:space="preserve"> </w:t>
      </w:r>
      <w:r w:rsidRPr="00181FCD">
        <w:t>158</w:t>
      </w:r>
      <w:r w:rsidR="00F373A3" w:rsidRPr="00181FCD">
        <w:t xml:space="preserve"> </w:t>
      </w:r>
      <w:r w:rsidRPr="00181FCD">
        <w:t>del</w:t>
      </w:r>
      <w:r w:rsidR="00F373A3" w:rsidRPr="00181FCD">
        <w:t xml:space="preserve"> </w:t>
      </w:r>
      <w:r w:rsidRPr="00181FCD">
        <w:t>Código</w:t>
      </w:r>
      <w:r w:rsidR="00F373A3" w:rsidRPr="00181FCD">
        <w:t xml:space="preserve"> </w:t>
      </w:r>
      <w:r w:rsidRPr="00181FCD">
        <w:t>Penal.</w:t>
      </w:r>
      <w:r w:rsidR="00F373A3" w:rsidRPr="00181FCD">
        <w:t xml:space="preserve"> </w:t>
      </w:r>
      <w:r w:rsidRPr="00181FCD">
        <w:t>En</w:t>
      </w:r>
      <w:r w:rsidR="00F373A3" w:rsidRPr="00181FCD">
        <w:t xml:space="preserve"> </w:t>
      </w:r>
      <w:r w:rsidRPr="00181FCD">
        <w:t>el</w:t>
      </w:r>
      <w:r w:rsidR="00F373A3" w:rsidRPr="00181FCD">
        <w:t xml:space="preserve"> </w:t>
      </w:r>
      <w:r w:rsidRPr="00181FCD">
        <w:t>segundo</w:t>
      </w:r>
      <w:r w:rsidR="00F373A3" w:rsidRPr="00181FCD">
        <w:t xml:space="preserve"> </w:t>
      </w:r>
      <w:r w:rsidRPr="00181FCD">
        <w:t>ciclo</w:t>
      </w:r>
      <w:r w:rsidR="00F373A3" w:rsidRPr="00181FCD">
        <w:t xml:space="preserve"> </w:t>
      </w:r>
      <w:r w:rsidRPr="00181FCD">
        <w:t>del</w:t>
      </w:r>
      <w:r w:rsidR="00F373A3" w:rsidRPr="00181FCD">
        <w:t xml:space="preserve"> </w:t>
      </w:r>
      <w:r w:rsidRPr="00181FCD">
        <w:t>Examen</w:t>
      </w:r>
      <w:r w:rsidR="00F373A3" w:rsidRPr="00181FCD">
        <w:t xml:space="preserve"> </w:t>
      </w:r>
      <w:r w:rsidRPr="00181FCD">
        <w:t>Periódico</w:t>
      </w:r>
      <w:r w:rsidR="00F373A3" w:rsidRPr="00181FCD">
        <w:t xml:space="preserve"> </w:t>
      </w:r>
      <w:r w:rsidRPr="00181FCD">
        <w:t>Universal,</w:t>
      </w:r>
      <w:r w:rsidR="00F373A3" w:rsidRPr="00181FCD">
        <w:t xml:space="preserve"> </w:t>
      </w:r>
      <w:r w:rsidRPr="00181FCD">
        <w:t>Bulgaria</w:t>
      </w:r>
      <w:r w:rsidR="00F373A3" w:rsidRPr="00181FCD">
        <w:t xml:space="preserve"> </w:t>
      </w:r>
      <w:r w:rsidRPr="00181FCD">
        <w:t>aprobó</w:t>
      </w:r>
      <w:r w:rsidR="00F373A3" w:rsidRPr="00181FCD">
        <w:t xml:space="preserve"> </w:t>
      </w:r>
      <w:r w:rsidRPr="00181FCD">
        <w:t>una</w:t>
      </w:r>
      <w:r w:rsidR="00F373A3" w:rsidRPr="00181FCD">
        <w:t xml:space="preserve"> </w:t>
      </w:r>
      <w:r w:rsidRPr="00181FCD">
        <w:t>serie</w:t>
      </w:r>
      <w:r w:rsidR="00F373A3" w:rsidRPr="00181FCD">
        <w:t xml:space="preserve"> </w:t>
      </w:r>
      <w:r w:rsidRPr="00181FCD">
        <w:t>de</w:t>
      </w:r>
      <w:r w:rsidR="00F373A3" w:rsidRPr="00181FCD">
        <w:t xml:space="preserve"> </w:t>
      </w:r>
      <w:r w:rsidRPr="00181FCD">
        <w:t>recomendaciones</w:t>
      </w:r>
      <w:r w:rsidR="00F373A3" w:rsidRPr="00181FCD">
        <w:t xml:space="preserve"> </w:t>
      </w:r>
      <w:r w:rsidRPr="00181FCD">
        <w:t>relacionadas</w:t>
      </w:r>
      <w:r w:rsidR="00F373A3" w:rsidRPr="00181FCD">
        <w:t xml:space="preserve"> </w:t>
      </w:r>
      <w:r w:rsidRPr="00181FCD">
        <w:t>con</w:t>
      </w:r>
      <w:r w:rsidR="00F373A3" w:rsidRPr="00181FCD">
        <w:t xml:space="preserve"> </w:t>
      </w:r>
      <w:r w:rsidRPr="00181FCD">
        <w:t>la</w:t>
      </w:r>
      <w:r w:rsidR="00F373A3" w:rsidRPr="00181FCD">
        <w:t xml:space="preserve"> </w:t>
      </w:r>
      <w:r w:rsidRPr="00181FCD">
        <w:t>lucha</w:t>
      </w:r>
      <w:r w:rsidR="00F373A3" w:rsidRPr="00181FCD">
        <w:t xml:space="preserve"> </w:t>
      </w:r>
      <w:r w:rsidRPr="00181FCD">
        <w:t>contra</w:t>
      </w:r>
      <w:r w:rsidR="00F373A3" w:rsidRPr="00181FCD">
        <w:t xml:space="preserve"> </w:t>
      </w:r>
      <w:r w:rsidRPr="00181FCD">
        <w:t>la</w:t>
      </w:r>
      <w:r w:rsidR="00F373A3" w:rsidRPr="00181FCD">
        <w:t xml:space="preserve"> </w:t>
      </w:r>
      <w:r w:rsidRPr="00181FCD">
        <w:t>violencia</w:t>
      </w:r>
      <w:r w:rsidR="00F373A3" w:rsidRPr="00181FCD">
        <w:t xml:space="preserve"> </w:t>
      </w:r>
      <w:r w:rsidRPr="00181FCD">
        <w:t>doméstica,</w:t>
      </w:r>
      <w:r w:rsidR="00F373A3" w:rsidRPr="00181FCD">
        <w:t xml:space="preserve"> </w:t>
      </w:r>
      <w:r w:rsidRPr="00181FCD">
        <w:t>y</w:t>
      </w:r>
      <w:r w:rsidR="00F373A3" w:rsidRPr="00181FCD">
        <w:t xml:space="preserve"> </w:t>
      </w:r>
      <w:r w:rsidRPr="00181FCD">
        <w:t>se</w:t>
      </w:r>
      <w:r w:rsidR="00F373A3" w:rsidRPr="00181FCD">
        <w:t xml:space="preserve"> </w:t>
      </w:r>
      <w:r w:rsidRPr="00181FCD">
        <w:t>han</w:t>
      </w:r>
      <w:r w:rsidR="00F373A3" w:rsidRPr="00181FCD">
        <w:t xml:space="preserve"> </w:t>
      </w:r>
      <w:r w:rsidRPr="00181FCD">
        <w:t>se</w:t>
      </w:r>
      <w:r w:rsidR="00F373A3" w:rsidRPr="00181FCD">
        <w:t xml:space="preserve"> </w:t>
      </w:r>
      <w:r w:rsidRPr="00181FCD">
        <w:t>han</w:t>
      </w:r>
      <w:r w:rsidR="00F373A3" w:rsidRPr="00181FCD">
        <w:t xml:space="preserve"> </w:t>
      </w:r>
      <w:r w:rsidRPr="00181FCD">
        <w:t>tomado</w:t>
      </w:r>
      <w:r w:rsidR="00F373A3" w:rsidRPr="00181FCD">
        <w:t xml:space="preserve"> </w:t>
      </w:r>
      <w:r w:rsidRPr="00181FCD">
        <w:t>disposiciones</w:t>
      </w:r>
      <w:r w:rsidR="00F373A3" w:rsidRPr="00181FCD">
        <w:t xml:space="preserve"> </w:t>
      </w:r>
      <w:r w:rsidRPr="00181FCD">
        <w:t>en</w:t>
      </w:r>
      <w:r w:rsidR="00F373A3" w:rsidRPr="00181FCD">
        <w:t xml:space="preserve"> </w:t>
      </w:r>
      <w:r w:rsidRPr="00181FCD">
        <w:t>relación</w:t>
      </w:r>
      <w:r w:rsidR="00F373A3" w:rsidRPr="00181FCD">
        <w:t xml:space="preserve"> </w:t>
      </w:r>
      <w:r w:rsidRPr="00181FCD">
        <w:t>con</w:t>
      </w:r>
      <w:r w:rsidR="00F373A3" w:rsidRPr="00181FCD">
        <w:t xml:space="preserve"> </w:t>
      </w:r>
      <w:r w:rsidRPr="00181FCD">
        <w:t>algunas</w:t>
      </w:r>
      <w:r w:rsidR="00F373A3" w:rsidRPr="00181FCD">
        <w:t xml:space="preserve"> </w:t>
      </w:r>
      <w:r w:rsidRPr="00181FCD">
        <w:t>de</w:t>
      </w:r>
      <w:r w:rsidR="00F373A3" w:rsidRPr="00181FCD">
        <w:t xml:space="preserve"> </w:t>
      </w:r>
      <w:r w:rsidRPr="00181FCD">
        <w:t>ellas.</w:t>
      </w:r>
      <w:r w:rsidR="00F373A3" w:rsidRPr="00181FCD">
        <w:t xml:space="preserve"> </w:t>
      </w:r>
      <w:r w:rsidRPr="00181FCD">
        <w:t>Se</w:t>
      </w:r>
      <w:r w:rsidR="00F373A3" w:rsidRPr="00181FCD">
        <w:t xml:space="preserve"> </w:t>
      </w:r>
      <w:r w:rsidRPr="00181FCD">
        <w:t>está</w:t>
      </w:r>
      <w:r w:rsidR="00F373A3" w:rsidRPr="00181FCD">
        <w:t xml:space="preserve"> </w:t>
      </w:r>
      <w:r w:rsidRPr="00181FCD">
        <w:t>examinando</w:t>
      </w:r>
      <w:r w:rsidR="00F373A3" w:rsidRPr="00181FCD">
        <w:t xml:space="preserve"> </w:t>
      </w:r>
      <w:r w:rsidRPr="00181FCD">
        <w:t>el</w:t>
      </w:r>
      <w:r w:rsidR="00F373A3" w:rsidRPr="00181FCD">
        <w:t xml:space="preserve"> </w:t>
      </w:r>
      <w:r w:rsidRPr="00181FCD">
        <w:t>Código</w:t>
      </w:r>
      <w:r w:rsidR="00F373A3" w:rsidRPr="00181FCD">
        <w:t xml:space="preserve"> </w:t>
      </w:r>
      <w:r w:rsidRPr="00181FCD">
        <w:t>Penal</w:t>
      </w:r>
      <w:r w:rsidR="00F373A3" w:rsidRPr="00181FCD">
        <w:t xml:space="preserve"> </w:t>
      </w:r>
      <w:r w:rsidRPr="00181FCD">
        <w:t>y</w:t>
      </w:r>
      <w:r w:rsidR="00F373A3" w:rsidRPr="00181FCD">
        <w:t xml:space="preserve"> </w:t>
      </w:r>
      <w:r w:rsidRPr="00181FCD">
        <w:t>los</w:t>
      </w:r>
      <w:r w:rsidR="00F373A3" w:rsidRPr="00181FCD">
        <w:t xml:space="preserve"> </w:t>
      </w:r>
      <w:r w:rsidRPr="00181FCD">
        <w:t>instrumentos</w:t>
      </w:r>
      <w:r w:rsidR="00F373A3" w:rsidRPr="00181FCD">
        <w:t xml:space="preserve"> </w:t>
      </w:r>
      <w:r w:rsidRPr="00181FCD">
        <w:t>jurídicos</w:t>
      </w:r>
      <w:r w:rsidR="00F373A3" w:rsidRPr="00181FCD">
        <w:t xml:space="preserve"> </w:t>
      </w:r>
      <w:r w:rsidRPr="00181FCD">
        <w:t>pertinentes,</w:t>
      </w:r>
      <w:r w:rsidR="00F373A3" w:rsidRPr="00181FCD">
        <w:t xml:space="preserve"> </w:t>
      </w:r>
      <w:r w:rsidRPr="00181FCD">
        <w:t>a</w:t>
      </w:r>
      <w:r w:rsidR="00F373A3" w:rsidRPr="00181FCD">
        <w:t xml:space="preserve"> </w:t>
      </w:r>
      <w:r w:rsidRPr="00181FCD">
        <w:t>fin</w:t>
      </w:r>
      <w:r w:rsidR="00F373A3" w:rsidRPr="00181FCD">
        <w:t xml:space="preserve"> </w:t>
      </w:r>
      <w:r w:rsidRPr="00181FCD">
        <w:t>de</w:t>
      </w:r>
      <w:r w:rsidR="00F373A3" w:rsidRPr="00181FCD">
        <w:t xml:space="preserve"> </w:t>
      </w:r>
      <w:r w:rsidRPr="00181FCD">
        <w:t>evaluar</w:t>
      </w:r>
      <w:r w:rsidR="00F373A3" w:rsidRPr="00181FCD">
        <w:t xml:space="preserve"> </w:t>
      </w:r>
      <w:r w:rsidRPr="00181FCD">
        <w:t>las</w:t>
      </w:r>
      <w:r w:rsidR="00F373A3" w:rsidRPr="00181FCD">
        <w:t xml:space="preserve"> </w:t>
      </w:r>
      <w:r w:rsidRPr="00181FCD">
        <w:t>modificaciones</w:t>
      </w:r>
      <w:r w:rsidR="00F373A3" w:rsidRPr="00181FCD">
        <w:t xml:space="preserve"> </w:t>
      </w:r>
      <w:r w:rsidRPr="00181FCD">
        <w:t>necesarias.</w:t>
      </w:r>
      <w:r w:rsidR="00F373A3" w:rsidRPr="00181FCD">
        <w:t xml:space="preserve"> </w:t>
      </w:r>
      <w:r w:rsidRPr="00181FCD">
        <w:t>En</w:t>
      </w:r>
      <w:r w:rsidR="00F373A3" w:rsidRPr="00181FCD">
        <w:t xml:space="preserve"> </w:t>
      </w:r>
      <w:r w:rsidRPr="00181FCD">
        <w:t>este</w:t>
      </w:r>
      <w:r w:rsidR="00F373A3" w:rsidRPr="00181FCD">
        <w:t xml:space="preserve"> </w:t>
      </w:r>
      <w:r w:rsidRPr="00181FCD">
        <w:t>sentido,</w:t>
      </w:r>
      <w:r w:rsidR="00F373A3" w:rsidRPr="00181FCD">
        <w:t xml:space="preserve"> </w:t>
      </w:r>
      <w:r w:rsidRPr="00181FCD">
        <w:t>se</w:t>
      </w:r>
      <w:r w:rsidR="00F373A3" w:rsidRPr="00181FCD">
        <w:t xml:space="preserve"> </w:t>
      </w:r>
      <w:r w:rsidRPr="00181FCD">
        <w:t>recibe</w:t>
      </w:r>
      <w:r w:rsidR="00F373A3" w:rsidRPr="00181FCD">
        <w:t xml:space="preserve"> </w:t>
      </w:r>
      <w:r w:rsidRPr="00181FCD">
        <w:t>y</w:t>
      </w:r>
      <w:r w:rsidR="00F373A3" w:rsidRPr="00181FCD">
        <w:t xml:space="preserve"> </w:t>
      </w:r>
      <w:r w:rsidRPr="00181FCD">
        <w:t>valora</w:t>
      </w:r>
      <w:r w:rsidR="00F373A3" w:rsidRPr="00181FCD">
        <w:t xml:space="preserve"> </w:t>
      </w:r>
      <w:r w:rsidRPr="00181FCD">
        <w:t>en</w:t>
      </w:r>
      <w:r w:rsidR="00F373A3" w:rsidRPr="00181FCD">
        <w:t xml:space="preserve"> </w:t>
      </w:r>
      <w:r w:rsidRPr="00181FCD">
        <w:t>sumo</w:t>
      </w:r>
      <w:r w:rsidR="00F373A3" w:rsidRPr="00181FCD">
        <w:t xml:space="preserve"> </w:t>
      </w:r>
      <w:r w:rsidRPr="00181FCD">
        <w:t>grado</w:t>
      </w:r>
      <w:r w:rsidR="00F373A3" w:rsidRPr="00181FCD">
        <w:t xml:space="preserve"> </w:t>
      </w:r>
      <w:r w:rsidRPr="00181FCD">
        <w:t>los</w:t>
      </w:r>
      <w:r w:rsidR="00F373A3" w:rsidRPr="00181FCD">
        <w:t xml:space="preserve"> </w:t>
      </w:r>
      <w:r w:rsidRPr="00181FCD">
        <w:t>conocimientos</w:t>
      </w:r>
      <w:r w:rsidR="00F373A3" w:rsidRPr="00181FCD">
        <w:t xml:space="preserve"> </w:t>
      </w:r>
      <w:r w:rsidRPr="00181FCD">
        <w:t>especializados</w:t>
      </w:r>
      <w:r w:rsidR="00F373A3" w:rsidRPr="00181FCD">
        <w:t xml:space="preserve"> </w:t>
      </w:r>
      <w:r w:rsidRPr="00181FCD">
        <w:t>que</w:t>
      </w:r>
      <w:r w:rsidR="00F373A3" w:rsidRPr="00181FCD">
        <w:t xml:space="preserve"> </w:t>
      </w:r>
      <w:r w:rsidRPr="00181FCD">
        <w:t>aportan</w:t>
      </w:r>
      <w:r w:rsidR="00F373A3" w:rsidRPr="00181FCD">
        <w:t xml:space="preserve"> </w:t>
      </w:r>
      <w:r w:rsidRPr="00181FCD">
        <w:t>las</w:t>
      </w:r>
      <w:r w:rsidR="00F373A3" w:rsidRPr="00181FCD">
        <w:t xml:space="preserve"> </w:t>
      </w:r>
      <w:r w:rsidRPr="00181FCD">
        <w:t>organizaciones</w:t>
      </w:r>
      <w:r w:rsidR="00F373A3" w:rsidRPr="00181FCD">
        <w:t xml:space="preserve"> </w:t>
      </w:r>
      <w:r w:rsidRPr="00181FCD">
        <w:t>no</w:t>
      </w:r>
      <w:r w:rsidR="00F373A3" w:rsidRPr="00181FCD">
        <w:t xml:space="preserve"> </w:t>
      </w:r>
      <w:r w:rsidRPr="00181FCD">
        <w:t>gubernamentales</w:t>
      </w:r>
      <w:r w:rsidR="007E4DD4" w:rsidRPr="00181FCD">
        <w:t xml:space="preserve"> (ONG)</w:t>
      </w:r>
      <w:r w:rsidRPr="00181FCD">
        <w:t>,</w:t>
      </w:r>
      <w:r w:rsidR="00F373A3" w:rsidRPr="00181FCD">
        <w:t xml:space="preserve"> </w:t>
      </w:r>
      <w:r w:rsidRPr="00181FCD">
        <w:t>sobre</w:t>
      </w:r>
      <w:r w:rsidR="00F373A3" w:rsidRPr="00181FCD">
        <w:t xml:space="preserve"> </w:t>
      </w:r>
      <w:r w:rsidRPr="00181FCD">
        <w:t>todo</w:t>
      </w:r>
      <w:r w:rsidR="00F373A3" w:rsidRPr="00181FCD">
        <w:t xml:space="preserve"> </w:t>
      </w:r>
      <w:r w:rsidRPr="00181FCD">
        <w:t>para</w:t>
      </w:r>
      <w:r w:rsidR="00F373A3" w:rsidRPr="00181FCD">
        <w:t xml:space="preserve"> </w:t>
      </w:r>
      <w:r w:rsidRPr="00181FCD">
        <w:t>garantizar</w:t>
      </w:r>
      <w:r w:rsidR="00F373A3" w:rsidRPr="00181FCD">
        <w:t xml:space="preserve"> </w:t>
      </w:r>
      <w:r w:rsidRPr="00181FCD">
        <w:t>la</w:t>
      </w:r>
      <w:r w:rsidR="00F373A3" w:rsidRPr="00181FCD">
        <w:t xml:space="preserve"> </w:t>
      </w:r>
      <w:r w:rsidRPr="00181FCD">
        <w:t>máxima</w:t>
      </w:r>
      <w:r w:rsidR="00F373A3" w:rsidRPr="00181FCD">
        <w:t xml:space="preserve"> </w:t>
      </w:r>
      <w:r w:rsidRPr="00181FCD">
        <w:t>protección</w:t>
      </w:r>
      <w:r w:rsidR="00F373A3" w:rsidRPr="00181FCD">
        <w:t xml:space="preserve"> </w:t>
      </w:r>
      <w:r w:rsidRPr="00181FCD">
        <w:t>a</w:t>
      </w:r>
      <w:r w:rsidR="00F373A3" w:rsidRPr="00181FCD">
        <w:t xml:space="preserve"> </w:t>
      </w:r>
      <w:r w:rsidRPr="00181FCD">
        <w:t>las</w:t>
      </w:r>
      <w:r w:rsidR="00F373A3" w:rsidRPr="00181FCD">
        <w:t xml:space="preserve"> </w:t>
      </w:r>
      <w:r w:rsidRPr="00181FCD">
        <w:t>víctimas</w:t>
      </w:r>
      <w:r w:rsidR="00F373A3" w:rsidRPr="00181FCD">
        <w:t xml:space="preserve"> </w:t>
      </w:r>
      <w:r w:rsidRPr="00181FCD">
        <w:t>de</w:t>
      </w:r>
      <w:r w:rsidR="00F373A3" w:rsidRPr="00181FCD">
        <w:t xml:space="preserve"> </w:t>
      </w:r>
      <w:r w:rsidRPr="00181FCD">
        <w:t>la</w:t>
      </w:r>
      <w:r w:rsidR="00F373A3" w:rsidRPr="00181FCD">
        <w:t xml:space="preserve"> </w:t>
      </w:r>
      <w:r w:rsidRPr="00181FCD">
        <w:t>violencia</w:t>
      </w:r>
      <w:r w:rsidR="00F373A3" w:rsidRPr="00181FCD">
        <w:t xml:space="preserve"> </w:t>
      </w:r>
      <w:r w:rsidRPr="00181FCD">
        <w:t>doméstica.</w:t>
      </w:r>
    </w:p>
    <w:p w:rsidR="001937F4" w:rsidRPr="00181FCD" w:rsidRDefault="001937F4" w:rsidP="00347B20">
      <w:pPr>
        <w:pStyle w:val="SingleTxtG"/>
        <w:suppressAutoHyphens/>
      </w:pPr>
      <w:r w:rsidRPr="00181FCD">
        <w:t>51.</w:t>
      </w:r>
      <w:r w:rsidRPr="00181FCD">
        <w:tab/>
        <w:t>El</w:t>
      </w:r>
      <w:r w:rsidR="00F373A3" w:rsidRPr="00181FCD">
        <w:t xml:space="preserve"> </w:t>
      </w:r>
      <w:r w:rsidRPr="00181FCD">
        <w:t>Ministerio</w:t>
      </w:r>
      <w:r w:rsidR="00F373A3" w:rsidRPr="00181FCD">
        <w:t xml:space="preserve"> </w:t>
      </w:r>
      <w:r w:rsidRPr="00181FCD">
        <w:t>de</w:t>
      </w:r>
      <w:r w:rsidR="00F373A3" w:rsidRPr="00181FCD">
        <w:t xml:space="preserve"> </w:t>
      </w:r>
      <w:r w:rsidRPr="00181FCD">
        <w:t>Justicia</w:t>
      </w:r>
      <w:r w:rsidR="00F373A3" w:rsidRPr="00181FCD">
        <w:t xml:space="preserve"> </w:t>
      </w:r>
      <w:r w:rsidRPr="00181FCD">
        <w:t>está</w:t>
      </w:r>
      <w:r w:rsidR="00F373A3" w:rsidRPr="00181FCD">
        <w:t xml:space="preserve"> </w:t>
      </w:r>
      <w:r w:rsidRPr="00181FCD">
        <w:t>ejecutando</w:t>
      </w:r>
      <w:r w:rsidR="00F373A3" w:rsidRPr="00181FCD">
        <w:t xml:space="preserve"> </w:t>
      </w:r>
      <w:r w:rsidRPr="00181FCD">
        <w:t>el</w:t>
      </w:r>
      <w:r w:rsidR="00F373A3" w:rsidRPr="00181FCD">
        <w:t xml:space="preserve"> </w:t>
      </w:r>
      <w:r w:rsidRPr="00181FCD">
        <w:t>proyecto</w:t>
      </w:r>
      <w:r w:rsidR="00F373A3" w:rsidRPr="00181FCD">
        <w:t xml:space="preserve"> </w:t>
      </w:r>
      <w:r w:rsidRPr="00181FCD">
        <w:t>titulado</w:t>
      </w:r>
      <w:r w:rsidR="00F373A3" w:rsidRPr="00181FCD">
        <w:t xml:space="preserve"> "</w:t>
      </w:r>
      <w:r w:rsidRPr="00181FCD">
        <w:t>Mejora</w:t>
      </w:r>
      <w:r w:rsidR="00F373A3" w:rsidRPr="00181FCD">
        <w:t xml:space="preserve"> </w:t>
      </w:r>
      <w:r w:rsidRPr="00181FCD">
        <w:t>del</w:t>
      </w:r>
      <w:r w:rsidR="00F373A3" w:rsidRPr="00181FCD">
        <w:t xml:space="preserve"> </w:t>
      </w:r>
      <w:r w:rsidRPr="00181FCD">
        <w:t>marco</w:t>
      </w:r>
      <w:r w:rsidR="00F373A3" w:rsidRPr="00181FCD">
        <w:t xml:space="preserve"> </w:t>
      </w:r>
      <w:r w:rsidRPr="00181FCD">
        <w:t>jurídico</w:t>
      </w:r>
      <w:r w:rsidR="00F373A3" w:rsidRPr="00181FCD">
        <w:t xml:space="preserve"> </w:t>
      </w:r>
      <w:r w:rsidRPr="00181FCD">
        <w:t>nacional</w:t>
      </w:r>
      <w:r w:rsidR="00F373A3" w:rsidRPr="00181FCD">
        <w:t xml:space="preserve"> </w:t>
      </w:r>
      <w:r w:rsidRPr="00181FCD">
        <w:t>para</w:t>
      </w:r>
      <w:r w:rsidR="00F373A3" w:rsidRPr="00181FCD">
        <w:t xml:space="preserve"> </w:t>
      </w:r>
      <w:r w:rsidRPr="00181FCD">
        <w:t>ajustarlo</w:t>
      </w:r>
      <w:r w:rsidR="00F373A3" w:rsidRPr="00181FCD">
        <w:t xml:space="preserve"> </w:t>
      </w:r>
      <w:r w:rsidRPr="00181FCD">
        <w:t>a</w:t>
      </w:r>
      <w:r w:rsidR="00F373A3" w:rsidRPr="00181FCD">
        <w:t xml:space="preserve"> </w:t>
      </w:r>
      <w:r w:rsidRPr="00181FCD">
        <w:t>las</w:t>
      </w:r>
      <w:r w:rsidR="00F373A3" w:rsidRPr="00181FCD">
        <w:t xml:space="preserve"> </w:t>
      </w:r>
      <w:r w:rsidRPr="00181FCD">
        <w:t>normas</w:t>
      </w:r>
      <w:r w:rsidR="00F373A3" w:rsidRPr="00181FCD">
        <w:t xml:space="preserve"> </w:t>
      </w:r>
      <w:r w:rsidRPr="00181FCD">
        <w:t>del</w:t>
      </w:r>
      <w:r w:rsidR="00F373A3" w:rsidRPr="00181FCD">
        <w:t xml:space="preserve"> </w:t>
      </w:r>
      <w:r w:rsidRPr="00181FCD">
        <w:t>Consejo</w:t>
      </w:r>
      <w:r w:rsidR="00F373A3" w:rsidRPr="00181FCD">
        <w:t xml:space="preserve"> </w:t>
      </w:r>
      <w:r w:rsidRPr="00181FCD">
        <w:t>de</w:t>
      </w:r>
      <w:r w:rsidR="00F373A3" w:rsidRPr="00181FCD">
        <w:t xml:space="preserve"> </w:t>
      </w:r>
      <w:r w:rsidRPr="00181FCD">
        <w:t>Europa</w:t>
      </w:r>
      <w:r w:rsidR="00F373A3" w:rsidRPr="00181FCD">
        <w:t xml:space="preserve"> </w:t>
      </w:r>
      <w:r w:rsidRPr="00181FCD">
        <w:t>y</w:t>
      </w:r>
      <w:r w:rsidR="00F373A3" w:rsidRPr="00181FCD">
        <w:t xml:space="preserve"> </w:t>
      </w:r>
      <w:r w:rsidRPr="00181FCD">
        <w:t>fortalecimiento</w:t>
      </w:r>
      <w:r w:rsidR="00F373A3" w:rsidRPr="00181FCD">
        <w:t xml:space="preserve"> </w:t>
      </w:r>
      <w:r w:rsidRPr="00181FCD">
        <w:t>de</w:t>
      </w:r>
      <w:r w:rsidR="00F373A3" w:rsidRPr="00181FCD">
        <w:t xml:space="preserve"> </w:t>
      </w:r>
      <w:r w:rsidRPr="00181FCD">
        <w:t>la</w:t>
      </w:r>
      <w:r w:rsidR="00F373A3" w:rsidRPr="00181FCD">
        <w:t xml:space="preserve"> </w:t>
      </w:r>
      <w:r w:rsidRPr="00181FCD">
        <w:t>capacidad</w:t>
      </w:r>
      <w:r w:rsidR="00F373A3" w:rsidRPr="00181FCD">
        <w:t xml:space="preserve"> </w:t>
      </w:r>
      <w:r w:rsidRPr="00181FCD">
        <w:t>de</w:t>
      </w:r>
      <w:r w:rsidR="00F373A3" w:rsidRPr="00181FCD">
        <w:t xml:space="preserve"> </w:t>
      </w:r>
      <w:r w:rsidRPr="00181FCD">
        <w:t>las</w:t>
      </w:r>
      <w:r w:rsidR="00F373A3" w:rsidRPr="00181FCD">
        <w:t xml:space="preserve"> </w:t>
      </w:r>
      <w:r w:rsidRPr="00181FCD">
        <w:t>instituciones</w:t>
      </w:r>
      <w:r w:rsidR="00F373A3" w:rsidRPr="00181FCD">
        <w:t xml:space="preserve"> </w:t>
      </w:r>
      <w:r w:rsidRPr="00181FCD">
        <w:t>competentes</w:t>
      </w:r>
      <w:r w:rsidR="00F373A3" w:rsidRPr="00181FCD">
        <w:t xml:space="preserve"> </w:t>
      </w:r>
      <w:r w:rsidRPr="00181FCD">
        <w:t>que</w:t>
      </w:r>
      <w:r w:rsidR="00F373A3" w:rsidRPr="00181FCD">
        <w:t xml:space="preserve"> </w:t>
      </w:r>
      <w:r w:rsidRPr="00181FCD">
        <w:t>intervienen</w:t>
      </w:r>
      <w:r w:rsidR="00F373A3" w:rsidRPr="00181FCD">
        <w:t xml:space="preserve"> </w:t>
      </w:r>
      <w:r w:rsidRPr="00181FCD">
        <w:t>en</w:t>
      </w:r>
      <w:r w:rsidR="00F373A3" w:rsidRPr="00181FCD">
        <w:t xml:space="preserve"> </w:t>
      </w:r>
      <w:r w:rsidRPr="00181FCD">
        <w:t>los</w:t>
      </w:r>
      <w:r w:rsidR="00F373A3" w:rsidRPr="00181FCD">
        <w:t xml:space="preserve"> </w:t>
      </w:r>
      <w:r w:rsidRPr="00181FCD">
        <w:t>casos</w:t>
      </w:r>
      <w:r w:rsidR="00F373A3" w:rsidRPr="00181FCD">
        <w:t xml:space="preserve"> </w:t>
      </w:r>
      <w:r w:rsidRPr="00181FCD">
        <w:t>de</w:t>
      </w:r>
      <w:r w:rsidR="00F373A3" w:rsidRPr="00181FCD">
        <w:t xml:space="preserve"> </w:t>
      </w:r>
      <w:r w:rsidRPr="00181FCD">
        <w:t>violencia</w:t>
      </w:r>
      <w:r w:rsidR="00F373A3" w:rsidRPr="00181FCD">
        <w:t xml:space="preserve"> </w:t>
      </w:r>
      <w:r w:rsidRPr="00181FCD">
        <w:t>de</w:t>
      </w:r>
      <w:r w:rsidR="00F373A3" w:rsidRPr="00181FCD">
        <w:t xml:space="preserve"> </w:t>
      </w:r>
      <w:r w:rsidRPr="00181FCD">
        <w:t>género,</w:t>
      </w:r>
      <w:r w:rsidR="00F373A3" w:rsidRPr="00181FCD">
        <w:t xml:space="preserve"> </w:t>
      </w:r>
      <w:r w:rsidRPr="00181FCD">
        <w:t>incluida</w:t>
      </w:r>
      <w:r w:rsidR="00F373A3" w:rsidRPr="00181FCD">
        <w:t xml:space="preserve"> </w:t>
      </w:r>
      <w:r w:rsidRPr="00181FCD">
        <w:t>la</w:t>
      </w:r>
      <w:r w:rsidR="00F373A3" w:rsidRPr="00181FCD">
        <w:t xml:space="preserve"> </w:t>
      </w:r>
      <w:r w:rsidRPr="00181FCD">
        <w:t>violencia</w:t>
      </w:r>
      <w:r w:rsidR="00F373A3" w:rsidRPr="00181FCD">
        <w:t xml:space="preserve"> </w:t>
      </w:r>
      <w:r w:rsidRPr="00181FCD">
        <w:t>doméstica</w:t>
      </w:r>
      <w:r w:rsidR="00F373A3" w:rsidRPr="00181FCD">
        <w:t xml:space="preserve">" </w:t>
      </w:r>
      <w:r w:rsidRPr="00181FCD">
        <w:t>en</w:t>
      </w:r>
      <w:r w:rsidR="00F373A3" w:rsidRPr="00181FCD">
        <w:t xml:space="preserve"> </w:t>
      </w:r>
      <w:r w:rsidRPr="00181FCD">
        <w:t>el</w:t>
      </w:r>
      <w:r w:rsidR="00F373A3" w:rsidRPr="00181FCD">
        <w:t xml:space="preserve"> </w:t>
      </w:r>
      <w:r w:rsidRPr="00181FCD">
        <w:t>marco</w:t>
      </w:r>
      <w:r w:rsidR="00F373A3" w:rsidRPr="00181FCD">
        <w:t xml:space="preserve"> </w:t>
      </w:r>
      <w:r w:rsidRPr="00181FCD">
        <w:t>del</w:t>
      </w:r>
      <w:r w:rsidR="00F373A3" w:rsidRPr="00181FCD">
        <w:t xml:space="preserve"> </w:t>
      </w:r>
      <w:r w:rsidRPr="00181FCD">
        <w:t>Programa</w:t>
      </w:r>
      <w:r w:rsidR="00F373A3" w:rsidRPr="00181FCD">
        <w:t xml:space="preserve"> </w:t>
      </w:r>
      <w:r w:rsidRPr="00181FCD">
        <w:t>BG</w:t>
      </w:r>
      <w:r w:rsidR="00F373A3" w:rsidRPr="00181FCD">
        <w:t xml:space="preserve"> </w:t>
      </w:r>
      <w:r w:rsidRPr="00181FCD">
        <w:t>12</w:t>
      </w:r>
      <w:r w:rsidR="00F373A3" w:rsidRPr="00181FCD">
        <w:t xml:space="preserve"> </w:t>
      </w:r>
      <w:r w:rsidRPr="00181FCD">
        <w:t>del</w:t>
      </w:r>
      <w:r w:rsidR="00F373A3" w:rsidRPr="00181FCD">
        <w:t xml:space="preserve"> </w:t>
      </w:r>
      <w:r w:rsidRPr="00181FCD">
        <w:t>Mecanismo</w:t>
      </w:r>
      <w:r w:rsidR="00F373A3" w:rsidRPr="00181FCD">
        <w:t xml:space="preserve"> </w:t>
      </w:r>
      <w:r w:rsidRPr="00181FCD">
        <w:t>Financiero</w:t>
      </w:r>
      <w:r w:rsidR="00F373A3" w:rsidRPr="00181FCD">
        <w:t xml:space="preserve"> </w:t>
      </w:r>
      <w:r w:rsidRPr="00181FCD">
        <w:t>Noruego</w:t>
      </w:r>
      <w:r w:rsidR="00F373A3" w:rsidRPr="00181FCD">
        <w:t xml:space="preserve"> </w:t>
      </w:r>
      <w:r w:rsidRPr="00181FCD">
        <w:t>(2009-2014).</w:t>
      </w:r>
      <w:r w:rsidR="00F373A3" w:rsidRPr="00181FCD">
        <w:t xml:space="preserve"> </w:t>
      </w:r>
      <w:r w:rsidRPr="00181FCD">
        <w:t>Como</w:t>
      </w:r>
      <w:r w:rsidR="00F373A3" w:rsidRPr="00181FCD">
        <w:t xml:space="preserve"> </w:t>
      </w:r>
      <w:r w:rsidRPr="00181FCD">
        <w:t>parte</w:t>
      </w:r>
      <w:r w:rsidR="00F373A3" w:rsidRPr="00181FCD">
        <w:t xml:space="preserve"> </w:t>
      </w:r>
      <w:r w:rsidRPr="00181FCD">
        <w:t>de</w:t>
      </w:r>
      <w:r w:rsidR="00F373A3" w:rsidRPr="00181FCD">
        <w:t xml:space="preserve"> </w:t>
      </w:r>
      <w:r w:rsidRPr="00181FCD">
        <w:t>este</w:t>
      </w:r>
      <w:r w:rsidR="00F373A3" w:rsidRPr="00181FCD">
        <w:t xml:space="preserve"> </w:t>
      </w:r>
      <w:r w:rsidRPr="00181FCD">
        <w:t>proyecto,</w:t>
      </w:r>
      <w:r w:rsidR="00F373A3" w:rsidRPr="00181FCD">
        <w:t xml:space="preserve"> </w:t>
      </w:r>
      <w:r w:rsidRPr="00181FCD">
        <w:t>los</w:t>
      </w:r>
      <w:r w:rsidR="00F373A3" w:rsidRPr="00181FCD">
        <w:t xml:space="preserve"> </w:t>
      </w:r>
      <w:r w:rsidRPr="00181FCD">
        <w:t>expertos</w:t>
      </w:r>
      <w:r w:rsidR="00F373A3" w:rsidRPr="00181FCD">
        <w:t xml:space="preserve"> </w:t>
      </w:r>
      <w:r w:rsidRPr="00181FCD">
        <w:t>están</w:t>
      </w:r>
      <w:r w:rsidR="00F373A3" w:rsidRPr="00181FCD">
        <w:t xml:space="preserve"> </w:t>
      </w:r>
      <w:r w:rsidRPr="00181FCD">
        <w:t>analizando</w:t>
      </w:r>
      <w:r w:rsidR="00F373A3" w:rsidRPr="00181FCD">
        <w:t xml:space="preserve"> </w:t>
      </w:r>
      <w:r w:rsidRPr="00181FCD">
        <w:t>la</w:t>
      </w:r>
      <w:r w:rsidR="00F373A3" w:rsidRPr="00181FCD">
        <w:t xml:space="preserve"> </w:t>
      </w:r>
      <w:r w:rsidRPr="00181FCD">
        <w:t>legislación</w:t>
      </w:r>
      <w:r w:rsidR="00F373A3" w:rsidRPr="00181FCD">
        <w:t xml:space="preserve"> </w:t>
      </w:r>
      <w:r w:rsidRPr="00181FCD">
        <w:t>europea</w:t>
      </w:r>
      <w:r w:rsidR="00F373A3" w:rsidRPr="00181FCD">
        <w:t xml:space="preserve"> </w:t>
      </w:r>
      <w:r w:rsidRPr="00181FCD">
        <w:t>y</w:t>
      </w:r>
      <w:r w:rsidR="00F373A3" w:rsidRPr="00181FCD">
        <w:t xml:space="preserve"> </w:t>
      </w:r>
      <w:r w:rsidRPr="00181FCD">
        <w:t>evaluando</w:t>
      </w:r>
      <w:r w:rsidR="00F373A3" w:rsidRPr="00181FCD">
        <w:t xml:space="preserve"> </w:t>
      </w:r>
      <w:r w:rsidRPr="00181FCD">
        <w:t>la</w:t>
      </w:r>
      <w:r w:rsidR="00F373A3" w:rsidRPr="00181FCD">
        <w:t xml:space="preserve"> </w:t>
      </w:r>
      <w:r w:rsidRPr="00181FCD">
        <w:t>legislación</w:t>
      </w:r>
      <w:r w:rsidR="00F373A3" w:rsidRPr="00181FCD">
        <w:t xml:space="preserve"> </w:t>
      </w:r>
      <w:r w:rsidRPr="00181FCD">
        <w:t>nacional</w:t>
      </w:r>
      <w:r w:rsidR="00F373A3" w:rsidRPr="00181FCD">
        <w:t xml:space="preserve"> </w:t>
      </w:r>
      <w:r w:rsidRPr="00181FCD">
        <w:t>de</w:t>
      </w:r>
      <w:r w:rsidR="00F373A3" w:rsidRPr="00181FCD">
        <w:t xml:space="preserve"> </w:t>
      </w:r>
      <w:r w:rsidRPr="00181FCD">
        <w:t>Bulgaria</w:t>
      </w:r>
      <w:r w:rsidR="00F373A3" w:rsidRPr="00181FCD">
        <w:t xml:space="preserve"> </w:t>
      </w:r>
      <w:r w:rsidRPr="00181FCD">
        <w:t>con</w:t>
      </w:r>
      <w:r w:rsidR="00F373A3" w:rsidRPr="00181FCD">
        <w:t xml:space="preserve"> </w:t>
      </w:r>
      <w:r w:rsidRPr="00181FCD">
        <w:t>miras</w:t>
      </w:r>
      <w:r w:rsidR="00F373A3" w:rsidRPr="00181FCD">
        <w:t xml:space="preserve"> </w:t>
      </w:r>
      <w:r w:rsidRPr="00181FCD">
        <w:t>a</w:t>
      </w:r>
      <w:r w:rsidR="00F373A3" w:rsidRPr="00181FCD">
        <w:t xml:space="preserve"> </w:t>
      </w:r>
      <w:r w:rsidRPr="00181FCD">
        <w:t>subsanar</w:t>
      </w:r>
      <w:r w:rsidR="00F373A3" w:rsidRPr="00181FCD">
        <w:t xml:space="preserve"> </w:t>
      </w:r>
      <w:r w:rsidRPr="00181FCD">
        <w:t>las</w:t>
      </w:r>
      <w:r w:rsidR="00F373A3" w:rsidRPr="00181FCD">
        <w:t xml:space="preserve"> </w:t>
      </w:r>
      <w:r w:rsidRPr="00181FCD">
        <w:t>deficiencias</w:t>
      </w:r>
      <w:r w:rsidR="00F373A3" w:rsidRPr="00181FCD">
        <w:t xml:space="preserve"> </w:t>
      </w:r>
      <w:r w:rsidRPr="00181FCD">
        <w:t>en</w:t>
      </w:r>
      <w:r w:rsidR="00F373A3" w:rsidRPr="00181FCD">
        <w:t xml:space="preserve"> </w:t>
      </w:r>
      <w:r w:rsidRPr="00181FCD">
        <w:t>el</w:t>
      </w:r>
      <w:r w:rsidR="00F373A3" w:rsidRPr="00181FCD">
        <w:t xml:space="preserve"> </w:t>
      </w:r>
      <w:r w:rsidRPr="00181FCD">
        <w:t>ámbito</w:t>
      </w:r>
      <w:r w:rsidR="00F373A3" w:rsidRPr="00181FCD">
        <w:t xml:space="preserve"> </w:t>
      </w:r>
      <w:r w:rsidRPr="00181FCD">
        <w:t>de</w:t>
      </w:r>
      <w:r w:rsidR="00F373A3" w:rsidRPr="00181FCD">
        <w:t xml:space="preserve"> </w:t>
      </w:r>
      <w:r w:rsidRPr="00181FCD">
        <w:t>la</w:t>
      </w:r>
      <w:r w:rsidR="00F373A3" w:rsidRPr="00181FCD">
        <w:t xml:space="preserve"> </w:t>
      </w:r>
      <w:r w:rsidRPr="00181FCD">
        <w:t>violencia</w:t>
      </w:r>
      <w:r w:rsidR="00F373A3" w:rsidRPr="00181FCD">
        <w:t xml:space="preserve"> </w:t>
      </w:r>
      <w:r w:rsidRPr="00181FCD">
        <w:t>doméstica</w:t>
      </w:r>
      <w:r w:rsidR="00F373A3" w:rsidRPr="00181FCD">
        <w:t xml:space="preserve"> </w:t>
      </w:r>
      <w:r w:rsidRPr="00181FCD">
        <w:t>y</w:t>
      </w:r>
      <w:r w:rsidR="00F373A3" w:rsidRPr="00181FCD">
        <w:t xml:space="preserve"> </w:t>
      </w:r>
      <w:r w:rsidRPr="00181FCD">
        <w:t>la</w:t>
      </w:r>
      <w:r w:rsidR="00F373A3" w:rsidRPr="00181FCD">
        <w:t xml:space="preserve"> </w:t>
      </w:r>
      <w:r w:rsidRPr="00181FCD">
        <w:t>violencia</w:t>
      </w:r>
      <w:r w:rsidR="00F373A3" w:rsidRPr="00181FCD">
        <w:t xml:space="preserve"> </w:t>
      </w:r>
      <w:r w:rsidRPr="00181FCD">
        <w:t>basada</w:t>
      </w:r>
      <w:r w:rsidR="00F373A3" w:rsidRPr="00181FCD">
        <w:t xml:space="preserve"> </w:t>
      </w:r>
      <w:r w:rsidRPr="00181FCD">
        <w:t>en</w:t>
      </w:r>
      <w:r w:rsidR="00F373A3" w:rsidRPr="00181FCD">
        <w:t xml:space="preserve"> </w:t>
      </w:r>
      <w:r w:rsidRPr="00181FCD">
        <w:t>el</w:t>
      </w:r>
      <w:r w:rsidR="00F373A3" w:rsidRPr="00181FCD">
        <w:t xml:space="preserve"> </w:t>
      </w:r>
      <w:r w:rsidRPr="00181FCD">
        <w:t>género.</w:t>
      </w:r>
      <w:r w:rsidR="00F373A3" w:rsidRPr="00181FCD">
        <w:t xml:space="preserve"> </w:t>
      </w:r>
      <w:r w:rsidRPr="00181FCD">
        <w:t>Los</w:t>
      </w:r>
      <w:r w:rsidR="00F373A3" w:rsidRPr="00181FCD">
        <w:t xml:space="preserve"> </w:t>
      </w:r>
      <w:r w:rsidRPr="00181FCD">
        <w:t>análisis</w:t>
      </w:r>
      <w:r w:rsidR="00F373A3" w:rsidRPr="00181FCD">
        <w:t xml:space="preserve"> </w:t>
      </w:r>
      <w:r w:rsidRPr="00181FCD">
        <w:t>contendrán</w:t>
      </w:r>
      <w:r w:rsidR="00F373A3" w:rsidRPr="00181FCD">
        <w:t xml:space="preserve"> </w:t>
      </w:r>
      <w:r w:rsidRPr="00181FCD">
        <w:t>recomendaciones</w:t>
      </w:r>
      <w:r w:rsidR="00F373A3" w:rsidRPr="00181FCD">
        <w:t xml:space="preserve"> </w:t>
      </w:r>
      <w:r w:rsidRPr="00181FCD">
        <w:t>y</w:t>
      </w:r>
      <w:r w:rsidR="00F373A3" w:rsidRPr="00181FCD">
        <w:t xml:space="preserve"> </w:t>
      </w:r>
      <w:r w:rsidRPr="00181FCD">
        <w:t>conclusiones</w:t>
      </w:r>
      <w:r w:rsidR="00F373A3" w:rsidRPr="00181FCD">
        <w:t xml:space="preserve"> </w:t>
      </w:r>
      <w:r w:rsidRPr="00181FCD">
        <w:t>que</w:t>
      </w:r>
      <w:r w:rsidR="00F373A3" w:rsidRPr="00181FCD">
        <w:t xml:space="preserve"> </w:t>
      </w:r>
      <w:r w:rsidRPr="00181FCD">
        <w:t>sirvan</w:t>
      </w:r>
      <w:r w:rsidR="00F373A3" w:rsidRPr="00181FCD">
        <w:t xml:space="preserve"> </w:t>
      </w:r>
      <w:r w:rsidRPr="00181FCD">
        <w:t>de</w:t>
      </w:r>
      <w:r w:rsidR="00F373A3" w:rsidRPr="00181FCD">
        <w:t xml:space="preserve"> </w:t>
      </w:r>
      <w:r w:rsidRPr="00181FCD">
        <w:t>base</w:t>
      </w:r>
      <w:r w:rsidR="00F373A3" w:rsidRPr="00181FCD">
        <w:t xml:space="preserve"> </w:t>
      </w:r>
      <w:r w:rsidRPr="00181FCD">
        <w:t>para</w:t>
      </w:r>
      <w:r w:rsidR="00F373A3" w:rsidRPr="00181FCD">
        <w:t xml:space="preserve"> </w:t>
      </w:r>
      <w:r w:rsidRPr="00181FCD">
        <w:t>introducir</w:t>
      </w:r>
      <w:r w:rsidR="00F373A3" w:rsidRPr="00181FCD">
        <w:t xml:space="preserve"> </w:t>
      </w:r>
      <w:r w:rsidRPr="00181FCD">
        <w:t>cambios</w:t>
      </w:r>
      <w:r w:rsidR="00F373A3" w:rsidRPr="00181FCD">
        <w:t xml:space="preserve"> </w:t>
      </w:r>
      <w:r w:rsidRPr="00181FCD">
        <w:t>legislativos,</w:t>
      </w:r>
      <w:r w:rsidR="00F373A3" w:rsidRPr="00181FCD">
        <w:t xml:space="preserve"> </w:t>
      </w:r>
      <w:r w:rsidRPr="00181FCD">
        <w:t>lo</w:t>
      </w:r>
      <w:r w:rsidR="00F373A3" w:rsidRPr="00181FCD">
        <w:t xml:space="preserve"> </w:t>
      </w:r>
      <w:r w:rsidRPr="00181FCD">
        <w:t>que</w:t>
      </w:r>
      <w:r w:rsidR="00F373A3" w:rsidRPr="00181FCD">
        <w:t xml:space="preserve"> </w:t>
      </w:r>
      <w:r w:rsidRPr="00181FCD">
        <w:t>aumentaría</w:t>
      </w:r>
      <w:r w:rsidR="00F373A3" w:rsidRPr="00181FCD">
        <w:t xml:space="preserve"> </w:t>
      </w:r>
      <w:r w:rsidRPr="00181FCD">
        <w:t>la</w:t>
      </w:r>
      <w:r w:rsidR="00F373A3" w:rsidRPr="00181FCD">
        <w:t xml:space="preserve"> </w:t>
      </w:r>
      <w:r w:rsidRPr="00181FCD">
        <w:t>protección</w:t>
      </w:r>
      <w:r w:rsidR="00F373A3" w:rsidRPr="00181FCD">
        <w:t xml:space="preserve"> </w:t>
      </w:r>
      <w:r w:rsidRPr="00181FCD">
        <w:t>de</w:t>
      </w:r>
      <w:r w:rsidR="00F373A3" w:rsidRPr="00181FCD">
        <w:t xml:space="preserve"> </w:t>
      </w:r>
      <w:r w:rsidRPr="00181FCD">
        <w:t>las</w:t>
      </w:r>
      <w:r w:rsidR="00F373A3" w:rsidRPr="00181FCD">
        <w:t xml:space="preserve"> </w:t>
      </w:r>
      <w:r w:rsidRPr="00181FCD">
        <w:t>personas</w:t>
      </w:r>
      <w:r w:rsidR="00F373A3" w:rsidRPr="00181FCD">
        <w:t xml:space="preserve"> </w:t>
      </w:r>
      <w:r w:rsidRPr="00181FCD">
        <w:t>víctimas</w:t>
      </w:r>
      <w:r w:rsidR="00F373A3" w:rsidRPr="00181FCD">
        <w:t xml:space="preserve"> </w:t>
      </w:r>
      <w:r w:rsidRPr="00181FCD">
        <w:t>de</w:t>
      </w:r>
      <w:r w:rsidR="00F373A3" w:rsidRPr="00181FCD">
        <w:t xml:space="preserve"> </w:t>
      </w:r>
      <w:r w:rsidRPr="00181FCD">
        <w:t>la</w:t>
      </w:r>
      <w:r w:rsidR="00F373A3" w:rsidRPr="00181FCD">
        <w:t xml:space="preserve"> </w:t>
      </w:r>
      <w:r w:rsidRPr="00181FCD">
        <w:t>violencia;</w:t>
      </w:r>
      <w:r w:rsidR="00F373A3" w:rsidRPr="00181FCD">
        <w:t xml:space="preserve"> </w:t>
      </w:r>
      <w:r w:rsidRPr="00181FCD">
        <w:t>de</w:t>
      </w:r>
      <w:r w:rsidR="00F373A3" w:rsidRPr="00181FCD">
        <w:t xml:space="preserve"> </w:t>
      </w:r>
      <w:r w:rsidRPr="00181FCD">
        <w:t>este</w:t>
      </w:r>
      <w:r w:rsidR="00F373A3" w:rsidRPr="00181FCD">
        <w:t xml:space="preserve"> </w:t>
      </w:r>
      <w:r w:rsidRPr="00181FCD">
        <w:t>modo</w:t>
      </w:r>
      <w:r w:rsidR="00F373A3" w:rsidRPr="00181FCD">
        <w:t xml:space="preserve"> </w:t>
      </w:r>
      <w:r w:rsidRPr="00181FCD">
        <w:t>se</w:t>
      </w:r>
      <w:r w:rsidR="00F373A3" w:rsidRPr="00181FCD">
        <w:t xml:space="preserve"> </w:t>
      </w:r>
      <w:r w:rsidRPr="00181FCD">
        <w:t>elevaría</w:t>
      </w:r>
      <w:r w:rsidR="00F373A3" w:rsidRPr="00181FCD">
        <w:t xml:space="preserve"> </w:t>
      </w:r>
      <w:r w:rsidRPr="00181FCD">
        <w:t>el</w:t>
      </w:r>
      <w:r w:rsidR="00F373A3" w:rsidRPr="00181FCD">
        <w:t xml:space="preserve"> </w:t>
      </w:r>
      <w:r w:rsidRPr="00181FCD">
        <w:t>conocimiento</w:t>
      </w:r>
      <w:r w:rsidR="00F373A3" w:rsidRPr="00181FCD">
        <w:t xml:space="preserve"> </w:t>
      </w:r>
      <w:r w:rsidRPr="00181FCD">
        <w:t>de</w:t>
      </w:r>
      <w:r w:rsidR="00F373A3" w:rsidRPr="00181FCD">
        <w:t xml:space="preserve"> </w:t>
      </w:r>
      <w:r w:rsidRPr="00181FCD">
        <w:t>sus</w:t>
      </w:r>
      <w:r w:rsidR="00F373A3" w:rsidRPr="00181FCD">
        <w:t xml:space="preserve"> </w:t>
      </w:r>
      <w:r w:rsidRPr="00181FCD">
        <w:t>derechos,</w:t>
      </w:r>
      <w:r w:rsidR="00F373A3" w:rsidRPr="00181FCD">
        <w:t xml:space="preserve"> </w:t>
      </w:r>
      <w:r w:rsidRPr="00181FCD">
        <w:t>de</w:t>
      </w:r>
      <w:r w:rsidR="00F373A3" w:rsidRPr="00181FCD">
        <w:t xml:space="preserve"> </w:t>
      </w:r>
      <w:r w:rsidRPr="00181FCD">
        <w:t>las</w:t>
      </w:r>
      <w:r w:rsidR="00F373A3" w:rsidRPr="00181FCD">
        <w:t xml:space="preserve"> </w:t>
      </w:r>
      <w:r w:rsidRPr="00181FCD">
        <w:t>medidas</w:t>
      </w:r>
      <w:r w:rsidR="00F373A3" w:rsidRPr="00181FCD">
        <w:t xml:space="preserve"> </w:t>
      </w:r>
      <w:r w:rsidRPr="00181FCD">
        <w:t>de</w:t>
      </w:r>
      <w:r w:rsidR="00F373A3" w:rsidRPr="00181FCD">
        <w:t xml:space="preserve"> </w:t>
      </w:r>
      <w:r w:rsidRPr="00181FCD">
        <w:t>seguimiento</w:t>
      </w:r>
      <w:r w:rsidR="00F373A3" w:rsidRPr="00181FCD">
        <w:t xml:space="preserve"> </w:t>
      </w:r>
      <w:r w:rsidRPr="00181FCD">
        <w:t>que</w:t>
      </w:r>
      <w:r w:rsidR="00F373A3" w:rsidRPr="00181FCD">
        <w:t xml:space="preserve"> </w:t>
      </w:r>
      <w:r w:rsidRPr="00181FCD">
        <w:t>se</w:t>
      </w:r>
      <w:r w:rsidR="00F373A3" w:rsidRPr="00181FCD">
        <w:t xml:space="preserve"> </w:t>
      </w:r>
      <w:r w:rsidRPr="00181FCD">
        <w:t>necesita</w:t>
      </w:r>
      <w:r w:rsidR="00F373A3" w:rsidRPr="00181FCD">
        <w:t xml:space="preserve"> </w:t>
      </w:r>
      <w:r w:rsidRPr="00181FCD">
        <w:t>adoptar</w:t>
      </w:r>
      <w:r w:rsidR="00F373A3" w:rsidRPr="00181FCD">
        <w:t xml:space="preserve"> </w:t>
      </w:r>
      <w:r w:rsidRPr="00181FCD">
        <w:t>con</w:t>
      </w:r>
      <w:r w:rsidR="00F373A3" w:rsidRPr="00181FCD">
        <w:t xml:space="preserve"> </w:t>
      </w:r>
      <w:r w:rsidRPr="00181FCD">
        <w:t>miras</w:t>
      </w:r>
      <w:r w:rsidR="00F373A3" w:rsidRPr="00181FCD">
        <w:t xml:space="preserve"> </w:t>
      </w:r>
      <w:r w:rsidRPr="00181FCD">
        <w:t>a</w:t>
      </w:r>
      <w:r w:rsidR="00F373A3" w:rsidRPr="00181FCD">
        <w:t xml:space="preserve"> </w:t>
      </w:r>
      <w:r w:rsidRPr="00181FCD">
        <w:t>su</w:t>
      </w:r>
      <w:r w:rsidR="00F373A3" w:rsidRPr="00181FCD">
        <w:t xml:space="preserve"> </w:t>
      </w:r>
      <w:r w:rsidRPr="00181FCD">
        <w:t>protección,</w:t>
      </w:r>
      <w:r w:rsidR="00F373A3" w:rsidRPr="00181FCD">
        <w:t xml:space="preserve"> </w:t>
      </w:r>
      <w:r w:rsidRPr="00181FCD">
        <w:t>etc.</w:t>
      </w:r>
    </w:p>
    <w:p w:rsidR="001937F4" w:rsidRPr="00181FCD" w:rsidRDefault="001937F4" w:rsidP="00347B20">
      <w:pPr>
        <w:pStyle w:val="SingleTxtG"/>
        <w:suppressAutoHyphens/>
      </w:pPr>
      <w:r w:rsidRPr="00181FCD">
        <w:t>52.</w:t>
      </w:r>
      <w:r w:rsidRPr="00181FCD">
        <w:tab/>
        <w:t>Mediante</w:t>
      </w:r>
      <w:r w:rsidR="00F373A3" w:rsidRPr="00181FCD">
        <w:t xml:space="preserve"> </w:t>
      </w:r>
      <w:r w:rsidRPr="00181FCD">
        <w:t>la</w:t>
      </w:r>
      <w:r w:rsidR="00F373A3" w:rsidRPr="00181FCD">
        <w:t xml:space="preserve"> </w:t>
      </w:r>
      <w:r w:rsidRPr="00181FCD">
        <w:t>Decisión</w:t>
      </w:r>
      <w:r w:rsidR="00F373A3" w:rsidRPr="00181FCD">
        <w:t xml:space="preserve"> </w:t>
      </w:r>
      <w:r w:rsidRPr="00181FCD">
        <w:t>núm.</w:t>
      </w:r>
      <w:r w:rsidR="00F373A3" w:rsidRPr="00181FCD">
        <w:t xml:space="preserve"> </w:t>
      </w:r>
      <w:r w:rsidRPr="00181FCD">
        <w:t>288</w:t>
      </w:r>
      <w:r w:rsidR="00F373A3" w:rsidRPr="00181FCD">
        <w:t xml:space="preserve"> </w:t>
      </w:r>
      <w:r w:rsidRPr="00181FCD">
        <w:t>del</w:t>
      </w:r>
      <w:r w:rsidR="00F373A3" w:rsidRPr="00181FCD">
        <w:t xml:space="preserve"> </w:t>
      </w:r>
      <w:r w:rsidRPr="00181FCD">
        <w:t>30/04/2015</w:t>
      </w:r>
      <w:r w:rsidR="00F373A3" w:rsidRPr="00181FCD">
        <w:t xml:space="preserve"> </w:t>
      </w:r>
      <w:r w:rsidRPr="00181FCD">
        <w:t>del</w:t>
      </w:r>
      <w:r w:rsidR="00F373A3" w:rsidRPr="00181FCD">
        <w:t xml:space="preserve"> </w:t>
      </w:r>
      <w:r w:rsidRPr="00181FCD">
        <w:t>Consejo</w:t>
      </w:r>
      <w:r w:rsidR="00F373A3" w:rsidRPr="00181FCD">
        <w:t xml:space="preserve"> </w:t>
      </w:r>
      <w:r w:rsidRPr="00181FCD">
        <w:t>de</w:t>
      </w:r>
      <w:r w:rsidR="00F373A3" w:rsidRPr="00181FCD">
        <w:t xml:space="preserve"> </w:t>
      </w:r>
      <w:r w:rsidRPr="00181FCD">
        <w:t>Ministros,</w:t>
      </w:r>
      <w:r w:rsidR="00F373A3" w:rsidRPr="00181FCD">
        <w:t xml:space="preserve"> </w:t>
      </w:r>
      <w:r w:rsidRPr="00181FCD">
        <w:t>se</w:t>
      </w:r>
      <w:r w:rsidR="00F373A3" w:rsidRPr="00181FCD">
        <w:t xml:space="preserve"> </w:t>
      </w:r>
      <w:r w:rsidRPr="00181FCD">
        <w:t>aprobó</w:t>
      </w:r>
      <w:r w:rsidR="00F373A3" w:rsidRPr="00181FCD">
        <w:t xml:space="preserve"> </w:t>
      </w:r>
      <w:r w:rsidRPr="00181FCD">
        <w:t>el</w:t>
      </w:r>
      <w:r w:rsidR="00F373A3" w:rsidRPr="00181FCD">
        <w:t xml:space="preserve"> </w:t>
      </w:r>
      <w:r w:rsidRPr="00181FCD">
        <w:t>Programa</w:t>
      </w:r>
      <w:r w:rsidR="00F373A3" w:rsidRPr="00181FCD">
        <w:t xml:space="preserve"> </w:t>
      </w:r>
      <w:r w:rsidRPr="00181FCD">
        <w:t>Nacional</w:t>
      </w:r>
      <w:r w:rsidR="00F373A3" w:rsidRPr="00181FCD">
        <w:t xml:space="preserve"> </w:t>
      </w:r>
      <w:r w:rsidRPr="00181FCD">
        <w:t>de</w:t>
      </w:r>
      <w:r w:rsidR="00F373A3" w:rsidRPr="00181FCD">
        <w:t xml:space="preserve"> </w:t>
      </w:r>
      <w:r w:rsidRPr="00181FCD">
        <w:t>Prevención</w:t>
      </w:r>
      <w:r w:rsidR="00F373A3" w:rsidRPr="00181FCD">
        <w:t xml:space="preserve"> </w:t>
      </w:r>
      <w:r w:rsidRPr="00181FCD">
        <w:t>y</w:t>
      </w:r>
      <w:r w:rsidR="00F373A3" w:rsidRPr="00181FCD">
        <w:t xml:space="preserve"> </w:t>
      </w:r>
      <w:r w:rsidRPr="00181FCD">
        <w:t>Protección</w:t>
      </w:r>
      <w:r w:rsidR="00F373A3" w:rsidRPr="00181FCD">
        <w:t xml:space="preserve"> </w:t>
      </w:r>
      <w:r w:rsidRPr="00181FCD">
        <w:t>contra</w:t>
      </w:r>
      <w:r w:rsidR="00F373A3" w:rsidRPr="00181FCD">
        <w:t xml:space="preserve"> </w:t>
      </w:r>
      <w:r w:rsidRPr="00181FCD">
        <w:t>la</w:t>
      </w:r>
      <w:r w:rsidR="00F373A3" w:rsidRPr="00181FCD">
        <w:t xml:space="preserve"> </w:t>
      </w:r>
      <w:r w:rsidRPr="00181FCD">
        <w:t>Violencia</w:t>
      </w:r>
      <w:r w:rsidR="00F373A3" w:rsidRPr="00181FCD">
        <w:t xml:space="preserve"> </w:t>
      </w:r>
      <w:r w:rsidRPr="00181FCD">
        <w:t>Doméstica</w:t>
      </w:r>
      <w:r w:rsidR="00F373A3" w:rsidRPr="00181FCD">
        <w:t xml:space="preserve"> </w:t>
      </w:r>
      <w:r w:rsidRPr="00181FCD">
        <w:t>para</w:t>
      </w:r>
      <w:r w:rsidR="00F373A3" w:rsidRPr="00181FCD">
        <w:t xml:space="preserve"> </w:t>
      </w:r>
      <w:r w:rsidRPr="00181FCD">
        <w:t>2015.</w:t>
      </w:r>
      <w:r w:rsidR="00F373A3" w:rsidRPr="00181FCD">
        <w:t xml:space="preserve"> </w:t>
      </w:r>
      <w:r w:rsidRPr="00181FCD">
        <w:t>De</w:t>
      </w:r>
      <w:r w:rsidR="00F373A3" w:rsidRPr="00181FCD">
        <w:t xml:space="preserve"> </w:t>
      </w:r>
      <w:r w:rsidRPr="00181FCD">
        <w:t>acuerdo</w:t>
      </w:r>
      <w:r w:rsidR="00F373A3" w:rsidRPr="00181FCD">
        <w:t xml:space="preserve"> </w:t>
      </w:r>
      <w:r w:rsidRPr="00181FCD">
        <w:t>con</w:t>
      </w:r>
      <w:r w:rsidR="00F373A3" w:rsidRPr="00181FCD">
        <w:t xml:space="preserve"> </w:t>
      </w:r>
      <w:r w:rsidRPr="00181FCD">
        <w:t>las</w:t>
      </w:r>
      <w:r w:rsidR="00F373A3" w:rsidRPr="00181FCD">
        <w:t xml:space="preserve"> </w:t>
      </w:r>
      <w:r w:rsidRPr="00181FCD">
        <w:t>medidas</w:t>
      </w:r>
      <w:r w:rsidR="00F373A3" w:rsidRPr="00181FCD">
        <w:t xml:space="preserve"> </w:t>
      </w:r>
      <w:r w:rsidRPr="00181FCD">
        <w:t>previstas</w:t>
      </w:r>
      <w:r w:rsidR="00F373A3" w:rsidRPr="00181FCD">
        <w:t xml:space="preserve"> </w:t>
      </w:r>
      <w:r w:rsidRPr="00181FCD">
        <w:t>en</w:t>
      </w:r>
      <w:r w:rsidR="00F373A3" w:rsidRPr="00181FCD">
        <w:t xml:space="preserve"> </w:t>
      </w:r>
      <w:r w:rsidRPr="00181FCD">
        <w:t>ese</w:t>
      </w:r>
      <w:r w:rsidR="00F373A3" w:rsidRPr="00181FCD">
        <w:t xml:space="preserve"> </w:t>
      </w:r>
      <w:r w:rsidRPr="00181FCD">
        <w:t>programa,</w:t>
      </w:r>
      <w:r w:rsidR="00F373A3" w:rsidRPr="00181FCD">
        <w:t xml:space="preserve"> </w:t>
      </w:r>
      <w:r w:rsidRPr="00181FCD">
        <w:t>a</w:t>
      </w:r>
      <w:r w:rsidR="00F373A3" w:rsidRPr="00181FCD">
        <w:t xml:space="preserve"> </w:t>
      </w:r>
      <w:r w:rsidRPr="00181FCD">
        <w:t>finales</w:t>
      </w:r>
      <w:r w:rsidR="00F373A3" w:rsidRPr="00181FCD">
        <w:t xml:space="preserve"> </w:t>
      </w:r>
      <w:r w:rsidRPr="00181FCD">
        <w:t>de</w:t>
      </w:r>
      <w:r w:rsidR="00F373A3" w:rsidRPr="00181FCD">
        <w:t xml:space="preserve"> </w:t>
      </w:r>
      <w:r w:rsidRPr="00181FCD">
        <w:t>2015</w:t>
      </w:r>
      <w:r w:rsidR="00F373A3" w:rsidRPr="00181FCD">
        <w:t xml:space="preserve"> </w:t>
      </w:r>
      <w:r w:rsidRPr="00181FCD">
        <w:t>ha</w:t>
      </w:r>
      <w:r w:rsidR="00F373A3" w:rsidRPr="00181FCD">
        <w:t xml:space="preserve"> </w:t>
      </w:r>
      <w:r w:rsidRPr="00181FCD">
        <w:t>de</w:t>
      </w:r>
      <w:r w:rsidR="00F373A3" w:rsidRPr="00181FCD">
        <w:t xml:space="preserve"> </w:t>
      </w:r>
      <w:r w:rsidRPr="00181FCD">
        <w:t>establecerse</w:t>
      </w:r>
      <w:r w:rsidR="00F373A3" w:rsidRPr="00181FCD">
        <w:t xml:space="preserve"> </w:t>
      </w:r>
      <w:r w:rsidRPr="00181FCD">
        <w:t>un</w:t>
      </w:r>
      <w:r w:rsidR="00F373A3" w:rsidRPr="00181FCD">
        <w:t xml:space="preserve"> </w:t>
      </w:r>
      <w:r w:rsidRPr="00181FCD">
        <w:t>mecanismo</w:t>
      </w:r>
      <w:r w:rsidR="00F373A3" w:rsidRPr="00181FCD">
        <w:t xml:space="preserve"> </w:t>
      </w:r>
      <w:r w:rsidRPr="00181FCD">
        <w:t>de</w:t>
      </w:r>
      <w:r w:rsidR="00F373A3" w:rsidRPr="00181FCD">
        <w:t xml:space="preserve"> </w:t>
      </w:r>
      <w:r w:rsidRPr="00181FCD">
        <w:t>coordinación</w:t>
      </w:r>
      <w:r w:rsidR="00F373A3" w:rsidRPr="00181FCD">
        <w:t xml:space="preserve"> </w:t>
      </w:r>
      <w:r w:rsidRPr="00181FCD">
        <w:t>del</w:t>
      </w:r>
      <w:r w:rsidR="00F373A3" w:rsidRPr="00181FCD">
        <w:t xml:space="preserve"> </w:t>
      </w:r>
      <w:r w:rsidRPr="00181FCD">
        <w:t>apoyo</w:t>
      </w:r>
      <w:r w:rsidR="00F373A3" w:rsidRPr="00181FCD">
        <w:t xml:space="preserve"> </w:t>
      </w:r>
      <w:r w:rsidRPr="00181FCD">
        <w:t>y</w:t>
      </w:r>
      <w:r w:rsidR="00F373A3" w:rsidRPr="00181FCD">
        <w:t xml:space="preserve"> </w:t>
      </w:r>
      <w:r w:rsidRPr="00181FCD">
        <w:t>la</w:t>
      </w:r>
      <w:r w:rsidR="00F373A3" w:rsidRPr="00181FCD">
        <w:t xml:space="preserve"> </w:t>
      </w:r>
      <w:r w:rsidRPr="00181FCD">
        <w:t>asistencia</w:t>
      </w:r>
      <w:r w:rsidR="00F373A3" w:rsidRPr="00181FCD">
        <w:t xml:space="preserve"> </w:t>
      </w:r>
      <w:r w:rsidRPr="00181FCD">
        <w:t>a</w:t>
      </w:r>
      <w:r w:rsidR="00F373A3" w:rsidRPr="00181FCD">
        <w:t xml:space="preserve"> </w:t>
      </w:r>
      <w:r w:rsidRPr="00181FCD">
        <w:t>las</w:t>
      </w:r>
      <w:r w:rsidR="00F373A3" w:rsidRPr="00181FCD">
        <w:t xml:space="preserve"> </w:t>
      </w:r>
      <w:r w:rsidRPr="00181FCD">
        <w:t>víctimas</w:t>
      </w:r>
      <w:r w:rsidR="00F373A3" w:rsidRPr="00181FCD">
        <w:t xml:space="preserve"> </w:t>
      </w:r>
      <w:r w:rsidRPr="00181FCD">
        <w:t>de</w:t>
      </w:r>
      <w:r w:rsidR="00F373A3" w:rsidRPr="00181FCD">
        <w:t xml:space="preserve"> </w:t>
      </w:r>
      <w:r w:rsidRPr="00181FCD">
        <w:t>la</w:t>
      </w:r>
      <w:r w:rsidR="00F373A3" w:rsidRPr="00181FCD">
        <w:t xml:space="preserve"> </w:t>
      </w:r>
      <w:r w:rsidRPr="00181FCD">
        <w:t>violencia</w:t>
      </w:r>
      <w:r w:rsidR="00F373A3" w:rsidRPr="00181FCD">
        <w:t xml:space="preserve"> </w:t>
      </w:r>
      <w:r w:rsidRPr="00181FCD">
        <w:t>doméstica,</w:t>
      </w:r>
      <w:r w:rsidR="00F373A3" w:rsidRPr="00181FCD">
        <w:t xml:space="preserve"> </w:t>
      </w:r>
      <w:r w:rsidRPr="00181FCD">
        <w:t>lo</w:t>
      </w:r>
      <w:r w:rsidR="00F373A3" w:rsidRPr="00181FCD">
        <w:t xml:space="preserve"> </w:t>
      </w:r>
      <w:r w:rsidRPr="00181FCD">
        <w:t>que</w:t>
      </w:r>
      <w:r w:rsidR="00F373A3" w:rsidRPr="00181FCD">
        <w:t xml:space="preserve"> </w:t>
      </w:r>
      <w:r w:rsidRPr="00181FCD">
        <w:t>garantizaría</w:t>
      </w:r>
      <w:r w:rsidR="00F373A3" w:rsidRPr="00181FCD">
        <w:t xml:space="preserve"> </w:t>
      </w:r>
      <w:r w:rsidRPr="00181FCD">
        <w:t>la</w:t>
      </w:r>
      <w:r w:rsidR="00F373A3" w:rsidRPr="00181FCD">
        <w:t xml:space="preserve"> </w:t>
      </w:r>
      <w:r w:rsidRPr="00181FCD">
        <w:t>cooperación</w:t>
      </w:r>
      <w:r w:rsidR="00F373A3" w:rsidRPr="00181FCD">
        <w:t xml:space="preserve"> </w:t>
      </w:r>
      <w:r w:rsidRPr="00181FCD">
        <w:t>oportuna</w:t>
      </w:r>
      <w:r w:rsidR="00F373A3" w:rsidRPr="00181FCD">
        <w:t xml:space="preserve"> </w:t>
      </w:r>
      <w:r w:rsidRPr="00181FCD">
        <w:t>entre</w:t>
      </w:r>
      <w:r w:rsidR="00F373A3" w:rsidRPr="00181FCD">
        <w:t xml:space="preserve"> </w:t>
      </w:r>
      <w:r w:rsidRPr="00181FCD">
        <w:t>las</w:t>
      </w:r>
      <w:r w:rsidR="00F373A3" w:rsidRPr="00181FCD">
        <w:t xml:space="preserve"> </w:t>
      </w:r>
      <w:r w:rsidRPr="00181FCD">
        <w:t>instituciones</w:t>
      </w:r>
      <w:r w:rsidR="00F373A3" w:rsidRPr="00181FCD">
        <w:t xml:space="preserve"> </w:t>
      </w:r>
      <w:r w:rsidRPr="00181FCD">
        <w:t>en</w:t>
      </w:r>
      <w:r w:rsidR="00F373A3" w:rsidRPr="00181FCD">
        <w:t xml:space="preserve"> </w:t>
      </w:r>
      <w:r w:rsidRPr="00181FCD">
        <w:t>los</w:t>
      </w:r>
      <w:r w:rsidR="00F373A3" w:rsidRPr="00181FCD">
        <w:t xml:space="preserve"> </w:t>
      </w:r>
      <w:r w:rsidRPr="00181FCD">
        <w:t>casos</w:t>
      </w:r>
      <w:r w:rsidR="00F373A3" w:rsidRPr="00181FCD">
        <w:t xml:space="preserve"> </w:t>
      </w:r>
      <w:r w:rsidRPr="00181FCD">
        <w:t>de</w:t>
      </w:r>
      <w:r w:rsidR="00F373A3" w:rsidRPr="00181FCD">
        <w:t xml:space="preserve"> </w:t>
      </w:r>
      <w:r w:rsidRPr="00181FCD">
        <w:t>producirse</w:t>
      </w:r>
      <w:r w:rsidR="00F373A3" w:rsidRPr="00181FCD">
        <w:t xml:space="preserve"> </w:t>
      </w:r>
      <w:r w:rsidRPr="00181FCD">
        <w:t>el</w:t>
      </w:r>
      <w:r w:rsidR="00F373A3" w:rsidRPr="00181FCD">
        <w:t xml:space="preserve"> </w:t>
      </w:r>
      <w:r w:rsidRPr="00181FCD">
        <w:t>fenómeno.</w:t>
      </w:r>
    </w:p>
    <w:p w:rsidR="001937F4" w:rsidRPr="00181FCD" w:rsidRDefault="001937F4" w:rsidP="00347B20">
      <w:pPr>
        <w:pStyle w:val="SingleTxtG"/>
        <w:suppressAutoHyphens/>
      </w:pPr>
      <w:r w:rsidRPr="00181FCD">
        <w:t>53.</w:t>
      </w:r>
      <w:r w:rsidRPr="00181FCD">
        <w:tab/>
        <w:t>El</w:t>
      </w:r>
      <w:r w:rsidR="00F373A3" w:rsidRPr="00181FCD">
        <w:t xml:space="preserve"> </w:t>
      </w:r>
      <w:r w:rsidRPr="00181FCD">
        <w:t>Programa</w:t>
      </w:r>
      <w:r w:rsidR="00F373A3" w:rsidRPr="00181FCD">
        <w:t xml:space="preserve"> </w:t>
      </w:r>
      <w:r w:rsidRPr="00181FCD">
        <w:t>Nacional</w:t>
      </w:r>
      <w:r w:rsidR="00F373A3" w:rsidRPr="00181FCD">
        <w:t xml:space="preserve"> </w:t>
      </w:r>
      <w:r w:rsidRPr="00181FCD">
        <w:t>de</w:t>
      </w:r>
      <w:r w:rsidR="00F373A3" w:rsidRPr="00181FCD">
        <w:t xml:space="preserve"> </w:t>
      </w:r>
      <w:r w:rsidRPr="00181FCD">
        <w:t>Prevención</w:t>
      </w:r>
      <w:r w:rsidR="00F373A3" w:rsidRPr="00181FCD">
        <w:t xml:space="preserve"> </w:t>
      </w:r>
      <w:r w:rsidRPr="00181FCD">
        <w:t>y</w:t>
      </w:r>
      <w:r w:rsidR="00F373A3" w:rsidRPr="00181FCD">
        <w:t xml:space="preserve"> </w:t>
      </w:r>
      <w:r w:rsidRPr="00181FCD">
        <w:t>Protección</w:t>
      </w:r>
      <w:r w:rsidR="00F373A3" w:rsidRPr="00181FCD">
        <w:t xml:space="preserve"> </w:t>
      </w:r>
      <w:r w:rsidRPr="00181FCD">
        <w:t>contra</w:t>
      </w:r>
      <w:r w:rsidR="00F373A3" w:rsidRPr="00181FCD">
        <w:t xml:space="preserve"> </w:t>
      </w:r>
      <w:r w:rsidRPr="00181FCD">
        <w:t>la</w:t>
      </w:r>
      <w:r w:rsidR="00F373A3" w:rsidRPr="00181FCD">
        <w:t xml:space="preserve"> </w:t>
      </w:r>
      <w:r w:rsidRPr="00181FCD">
        <w:t>Violencia</w:t>
      </w:r>
      <w:r w:rsidR="00F373A3" w:rsidRPr="00181FCD">
        <w:t xml:space="preserve"> </w:t>
      </w:r>
      <w:r w:rsidRPr="00181FCD">
        <w:t>Doméstica</w:t>
      </w:r>
      <w:r w:rsidR="00F373A3" w:rsidRPr="00181FCD">
        <w:t xml:space="preserve"> </w:t>
      </w:r>
      <w:r w:rsidRPr="00181FCD">
        <w:t>presentado</w:t>
      </w:r>
      <w:r w:rsidR="00F373A3" w:rsidRPr="00181FCD">
        <w:t xml:space="preserve"> </w:t>
      </w:r>
      <w:r w:rsidRPr="00181FCD">
        <w:t>por</w:t>
      </w:r>
      <w:r w:rsidR="00F373A3" w:rsidRPr="00181FCD">
        <w:t xml:space="preserve"> </w:t>
      </w:r>
      <w:r w:rsidRPr="00181FCD">
        <w:t>el</w:t>
      </w:r>
      <w:r w:rsidR="00F373A3" w:rsidRPr="00181FCD">
        <w:t xml:space="preserve"> </w:t>
      </w:r>
      <w:r w:rsidRPr="00181FCD">
        <w:t>Ministerio</w:t>
      </w:r>
      <w:r w:rsidR="00F373A3" w:rsidRPr="00181FCD">
        <w:t xml:space="preserve"> </w:t>
      </w:r>
      <w:r w:rsidRPr="00181FCD">
        <w:t>del</w:t>
      </w:r>
      <w:r w:rsidR="00F373A3" w:rsidRPr="00181FCD">
        <w:t xml:space="preserve"> </w:t>
      </w:r>
      <w:r w:rsidRPr="00181FCD">
        <w:t>Interior,</w:t>
      </w:r>
      <w:r w:rsidR="00F373A3" w:rsidRPr="00181FCD">
        <w:t xml:space="preserve"> </w:t>
      </w:r>
      <w:r w:rsidRPr="00181FCD">
        <w:t>aprobado</w:t>
      </w:r>
      <w:r w:rsidR="00F373A3" w:rsidRPr="00181FCD">
        <w:t xml:space="preserve"> </w:t>
      </w:r>
      <w:r w:rsidRPr="00181FCD">
        <w:t>el</w:t>
      </w:r>
      <w:r w:rsidR="00F373A3" w:rsidRPr="00181FCD">
        <w:t xml:space="preserve"> </w:t>
      </w:r>
      <w:r w:rsidRPr="00181FCD">
        <w:t>29</w:t>
      </w:r>
      <w:r w:rsidR="00F373A3" w:rsidRPr="00181FCD">
        <w:t xml:space="preserve"> </w:t>
      </w:r>
      <w:r w:rsidRPr="00181FCD">
        <w:t>de</w:t>
      </w:r>
      <w:r w:rsidR="00F373A3" w:rsidRPr="00181FCD">
        <w:t xml:space="preserve"> </w:t>
      </w:r>
      <w:r w:rsidRPr="00181FCD">
        <w:t>abril</w:t>
      </w:r>
      <w:r w:rsidR="00F373A3" w:rsidRPr="00181FCD">
        <w:t xml:space="preserve"> </w:t>
      </w:r>
      <w:r w:rsidRPr="00181FCD">
        <w:t>de</w:t>
      </w:r>
      <w:r w:rsidR="00F373A3" w:rsidRPr="00181FCD">
        <w:t xml:space="preserve"> </w:t>
      </w:r>
      <w:r w:rsidRPr="00181FCD">
        <w:t>2015</w:t>
      </w:r>
      <w:r w:rsidR="00F373A3" w:rsidRPr="00181FCD">
        <w:t xml:space="preserve"> </w:t>
      </w:r>
      <w:r w:rsidRPr="00181FCD">
        <w:t>por</w:t>
      </w:r>
      <w:r w:rsidR="00F373A3" w:rsidRPr="00181FCD">
        <w:t xml:space="preserve"> </w:t>
      </w:r>
      <w:r w:rsidRPr="00181FCD">
        <w:t>el</w:t>
      </w:r>
      <w:r w:rsidR="00F373A3" w:rsidRPr="00181FCD">
        <w:t xml:space="preserve"> </w:t>
      </w:r>
      <w:r w:rsidRPr="00181FCD">
        <w:t>Consejo</w:t>
      </w:r>
      <w:r w:rsidR="00F373A3" w:rsidRPr="00181FCD">
        <w:t xml:space="preserve"> </w:t>
      </w:r>
      <w:r w:rsidRPr="00181FCD">
        <w:t>de</w:t>
      </w:r>
      <w:r w:rsidR="00F373A3" w:rsidRPr="00181FCD">
        <w:t xml:space="preserve"> </w:t>
      </w:r>
      <w:r w:rsidRPr="00181FCD">
        <w:t>Ministros,</w:t>
      </w:r>
      <w:r w:rsidR="00F373A3" w:rsidRPr="00181FCD">
        <w:t xml:space="preserve"> </w:t>
      </w:r>
      <w:r w:rsidRPr="00181FCD">
        <w:t>contiene</w:t>
      </w:r>
      <w:r w:rsidR="00F373A3" w:rsidRPr="00181FCD">
        <w:t xml:space="preserve"> </w:t>
      </w:r>
      <w:r w:rsidRPr="00181FCD">
        <w:t>las</w:t>
      </w:r>
      <w:r w:rsidR="00F373A3" w:rsidRPr="00181FCD">
        <w:t xml:space="preserve"> </w:t>
      </w:r>
      <w:r w:rsidRPr="00181FCD">
        <w:t>obligaciones</w:t>
      </w:r>
      <w:r w:rsidR="00F373A3" w:rsidRPr="00181FCD">
        <w:t xml:space="preserve"> </w:t>
      </w:r>
      <w:r w:rsidRPr="00181FCD">
        <w:t>de</w:t>
      </w:r>
      <w:r w:rsidR="00F373A3" w:rsidRPr="00181FCD">
        <w:t xml:space="preserve"> </w:t>
      </w:r>
      <w:r w:rsidRPr="00181FCD">
        <w:t>las</w:t>
      </w:r>
      <w:r w:rsidR="00F373A3" w:rsidRPr="00181FCD">
        <w:t xml:space="preserve"> </w:t>
      </w:r>
      <w:r w:rsidRPr="00181FCD">
        <w:t>instituciones</w:t>
      </w:r>
      <w:r w:rsidR="00F373A3" w:rsidRPr="00181FCD">
        <w:t xml:space="preserve"> </w:t>
      </w:r>
      <w:r w:rsidRPr="00181FCD">
        <w:t>participantes</w:t>
      </w:r>
      <w:r w:rsidR="00F373A3" w:rsidRPr="00181FCD">
        <w:t xml:space="preserve"> </w:t>
      </w:r>
      <w:r w:rsidRPr="00181FCD">
        <w:t>y</w:t>
      </w:r>
      <w:r w:rsidR="00F373A3" w:rsidRPr="00181FCD">
        <w:t xml:space="preserve"> </w:t>
      </w:r>
      <w:r w:rsidRPr="00181FCD">
        <w:t>las</w:t>
      </w:r>
      <w:r w:rsidR="00F373A3" w:rsidRPr="00181FCD">
        <w:t xml:space="preserve"> </w:t>
      </w:r>
      <w:r w:rsidRPr="00181FCD">
        <w:t>ONG</w:t>
      </w:r>
      <w:r w:rsidR="00F373A3" w:rsidRPr="00181FCD">
        <w:t xml:space="preserve"> </w:t>
      </w:r>
      <w:r w:rsidRPr="00181FCD">
        <w:t>en</w:t>
      </w:r>
      <w:r w:rsidR="00F373A3" w:rsidRPr="00181FCD">
        <w:t xml:space="preserve"> </w:t>
      </w:r>
      <w:r w:rsidRPr="00181FCD">
        <w:t>relación</w:t>
      </w:r>
      <w:r w:rsidR="00F373A3" w:rsidRPr="00181FCD">
        <w:t xml:space="preserve"> </w:t>
      </w:r>
      <w:r w:rsidRPr="00181FCD">
        <w:t>con</w:t>
      </w:r>
      <w:r w:rsidR="00F373A3" w:rsidRPr="00181FCD">
        <w:t xml:space="preserve"> </w:t>
      </w:r>
      <w:r w:rsidRPr="00181FCD">
        <w:t>la</w:t>
      </w:r>
      <w:r w:rsidR="00F373A3" w:rsidRPr="00181FCD">
        <w:t xml:space="preserve"> </w:t>
      </w:r>
      <w:r w:rsidRPr="00181FCD">
        <w:t>violencia</w:t>
      </w:r>
      <w:r w:rsidR="00F373A3" w:rsidRPr="00181FCD">
        <w:t xml:space="preserve"> </w:t>
      </w:r>
      <w:r w:rsidRPr="00181FCD">
        <w:t>doméstica</w:t>
      </w:r>
      <w:r w:rsidR="00F373A3" w:rsidRPr="00181FCD">
        <w:t xml:space="preserve"> </w:t>
      </w:r>
      <w:r w:rsidRPr="00181FCD">
        <w:t>y</w:t>
      </w:r>
      <w:r w:rsidR="00F373A3" w:rsidRPr="00181FCD">
        <w:t xml:space="preserve"> </w:t>
      </w:r>
      <w:r w:rsidRPr="00181FCD">
        <w:t>por</w:t>
      </w:r>
      <w:r w:rsidR="00F373A3" w:rsidRPr="00181FCD">
        <w:t xml:space="preserve"> </w:t>
      </w:r>
      <w:r w:rsidRPr="00181FCD">
        <w:t>motivo</w:t>
      </w:r>
      <w:r w:rsidR="00F373A3" w:rsidRPr="00181FCD">
        <w:t xml:space="preserve"> </w:t>
      </w:r>
      <w:r w:rsidRPr="00181FCD">
        <w:t>de</w:t>
      </w:r>
      <w:r w:rsidR="00F373A3" w:rsidRPr="00181FCD">
        <w:t xml:space="preserve"> </w:t>
      </w:r>
      <w:r w:rsidRPr="00181FCD">
        <w:t>género.</w:t>
      </w:r>
    </w:p>
    <w:p w:rsidR="001937F4" w:rsidRPr="00181FCD" w:rsidRDefault="001937F4" w:rsidP="00347B20">
      <w:pPr>
        <w:pStyle w:val="SingleTxtG"/>
        <w:suppressAutoHyphens/>
      </w:pPr>
      <w:r w:rsidRPr="00181FCD">
        <w:t>54.</w:t>
      </w:r>
      <w:r w:rsidRPr="00181FCD">
        <w:tab/>
        <w:t>De</w:t>
      </w:r>
      <w:r w:rsidR="00F373A3" w:rsidRPr="00181FCD">
        <w:t xml:space="preserve"> </w:t>
      </w:r>
      <w:r w:rsidRPr="00181FCD">
        <w:t>acuerdo</w:t>
      </w:r>
      <w:r w:rsidR="00F373A3" w:rsidRPr="00181FCD">
        <w:t xml:space="preserve"> </w:t>
      </w:r>
      <w:r w:rsidRPr="00181FCD">
        <w:t>con</w:t>
      </w:r>
      <w:r w:rsidR="00F373A3" w:rsidRPr="00181FCD">
        <w:t xml:space="preserve"> </w:t>
      </w:r>
      <w:r w:rsidRPr="00181FCD">
        <w:t>las</w:t>
      </w:r>
      <w:r w:rsidR="00F373A3" w:rsidRPr="00181FCD">
        <w:t xml:space="preserve"> </w:t>
      </w:r>
      <w:r w:rsidRPr="00181FCD">
        <w:t>disposiciones</w:t>
      </w:r>
      <w:r w:rsidR="00F373A3" w:rsidRPr="00181FCD">
        <w:t xml:space="preserve"> </w:t>
      </w:r>
      <w:r w:rsidRPr="00181FCD">
        <w:t>de</w:t>
      </w:r>
      <w:r w:rsidR="00F373A3" w:rsidRPr="00181FCD">
        <w:t xml:space="preserve"> </w:t>
      </w:r>
      <w:r w:rsidRPr="00181FCD">
        <w:t>la</w:t>
      </w:r>
      <w:r w:rsidR="00F373A3" w:rsidRPr="00181FCD">
        <w:t xml:space="preserve"> </w:t>
      </w:r>
      <w:r w:rsidRPr="00181FCD">
        <w:t>Ley</w:t>
      </w:r>
      <w:r w:rsidR="00F373A3" w:rsidRPr="00181FCD">
        <w:t xml:space="preserve"> </w:t>
      </w:r>
      <w:r w:rsidRPr="00181FCD">
        <w:t>de</w:t>
      </w:r>
      <w:r w:rsidR="00F373A3" w:rsidRPr="00181FCD">
        <w:t xml:space="preserve"> </w:t>
      </w:r>
      <w:r w:rsidRPr="00181FCD">
        <w:t>Protección</w:t>
      </w:r>
      <w:r w:rsidR="00F373A3" w:rsidRPr="00181FCD">
        <w:t xml:space="preserve"> </w:t>
      </w:r>
      <w:r w:rsidRPr="00181FCD">
        <w:t>contra</w:t>
      </w:r>
      <w:r w:rsidR="00F373A3" w:rsidRPr="00181FCD">
        <w:t xml:space="preserve"> </w:t>
      </w:r>
      <w:r w:rsidRPr="00181FCD">
        <w:t>la</w:t>
      </w:r>
      <w:r w:rsidR="00F373A3" w:rsidRPr="00181FCD">
        <w:t xml:space="preserve"> </w:t>
      </w:r>
      <w:r w:rsidRPr="00181FCD">
        <w:t>Violencia</w:t>
      </w:r>
      <w:r w:rsidR="00F373A3" w:rsidRPr="00181FCD">
        <w:t xml:space="preserve"> </w:t>
      </w:r>
      <w:r w:rsidRPr="00181FCD">
        <w:t>Domestica,</w:t>
      </w:r>
      <w:r w:rsidR="00F373A3" w:rsidRPr="00181FCD">
        <w:t xml:space="preserve"> </w:t>
      </w:r>
      <w:r w:rsidRPr="00181FCD">
        <w:t>todos</w:t>
      </w:r>
      <w:r w:rsidR="00F373A3" w:rsidRPr="00181FCD">
        <w:t xml:space="preserve"> </w:t>
      </w:r>
      <w:r w:rsidRPr="00181FCD">
        <w:t>los</w:t>
      </w:r>
      <w:r w:rsidR="00F373A3" w:rsidRPr="00181FCD">
        <w:t xml:space="preserve"> </w:t>
      </w:r>
      <w:r w:rsidRPr="00181FCD">
        <w:t>años</w:t>
      </w:r>
      <w:r w:rsidR="00F373A3" w:rsidRPr="00181FCD">
        <w:t xml:space="preserve"> </w:t>
      </w:r>
      <w:r w:rsidRPr="00181FCD">
        <w:t>se</w:t>
      </w:r>
      <w:r w:rsidR="00F373A3" w:rsidRPr="00181FCD">
        <w:t xml:space="preserve"> </w:t>
      </w:r>
      <w:r w:rsidRPr="00181FCD">
        <w:t>asigna</w:t>
      </w:r>
      <w:r w:rsidR="00F373A3" w:rsidRPr="00181FCD">
        <w:t xml:space="preserve"> </w:t>
      </w:r>
      <w:r w:rsidRPr="00181FCD">
        <w:t>el</w:t>
      </w:r>
      <w:r w:rsidR="00F373A3" w:rsidRPr="00181FCD">
        <w:t xml:space="preserve"> </w:t>
      </w:r>
      <w:r w:rsidRPr="00181FCD">
        <w:t>presupuesto</w:t>
      </w:r>
      <w:r w:rsidR="00F373A3" w:rsidRPr="00181FCD">
        <w:t xml:space="preserve"> </w:t>
      </w:r>
      <w:r w:rsidRPr="00181FCD">
        <w:t>al</w:t>
      </w:r>
      <w:r w:rsidR="00F373A3" w:rsidRPr="00181FCD">
        <w:t xml:space="preserve"> </w:t>
      </w:r>
      <w:r w:rsidRPr="00181FCD">
        <w:t>Ministerio</w:t>
      </w:r>
      <w:r w:rsidR="00F373A3" w:rsidRPr="00181FCD">
        <w:t xml:space="preserve"> </w:t>
      </w:r>
      <w:r w:rsidRPr="00181FCD">
        <w:t>de</w:t>
      </w:r>
      <w:r w:rsidR="00F373A3" w:rsidRPr="00181FCD">
        <w:t xml:space="preserve"> </w:t>
      </w:r>
      <w:r w:rsidRPr="00181FCD">
        <w:t>Justicia</w:t>
      </w:r>
      <w:r w:rsidR="00F373A3" w:rsidRPr="00181FCD">
        <w:t xml:space="preserve"> </w:t>
      </w:r>
      <w:r w:rsidRPr="00181FCD">
        <w:t>para</w:t>
      </w:r>
      <w:r w:rsidR="00F373A3" w:rsidRPr="00181FCD">
        <w:t xml:space="preserve"> </w:t>
      </w:r>
      <w:r w:rsidRPr="00181FCD">
        <w:t>determinar</w:t>
      </w:r>
      <w:r w:rsidR="00F373A3" w:rsidRPr="00181FCD">
        <w:t xml:space="preserve"> </w:t>
      </w:r>
      <w:r w:rsidRPr="00181FCD">
        <w:t>la</w:t>
      </w:r>
      <w:r w:rsidR="00F373A3" w:rsidRPr="00181FCD">
        <w:t xml:space="preserve"> </w:t>
      </w:r>
      <w:r w:rsidRPr="00181FCD">
        <w:t>financiación</w:t>
      </w:r>
      <w:r w:rsidR="00F373A3" w:rsidRPr="00181FCD">
        <w:t xml:space="preserve"> </w:t>
      </w:r>
      <w:r w:rsidRPr="00181FCD">
        <w:t>de</w:t>
      </w:r>
      <w:r w:rsidR="00F373A3" w:rsidRPr="00181FCD">
        <w:t xml:space="preserve"> </w:t>
      </w:r>
      <w:r w:rsidRPr="00181FCD">
        <w:t>proyectos</w:t>
      </w:r>
      <w:r w:rsidR="00F373A3" w:rsidRPr="00181FCD">
        <w:t xml:space="preserve"> </w:t>
      </w:r>
      <w:r w:rsidRPr="00181FCD">
        <w:t>de</w:t>
      </w:r>
      <w:r w:rsidR="00F373A3" w:rsidRPr="00181FCD">
        <w:t xml:space="preserve"> </w:t>
      </w:r>
      <w:r w:rsidRPr="00181FCD">
        <w:t>las</w:t>
      </w:r>
      <w:r w:rsidR="00F373A3" w:rsidRPr="00181FCD">
        <w:t xml:space="preserve"> </w:t>
      </w:r>
      <w:r w:rsidRPr="00181FCD">
        <w:t>actividades</w:t>
      </w:r>
      <w:r w:rsidR="00F373A3" w:rsidRPr="00181FCD">
        <w:t xml:space="preserve"> </w:t>
      </w:r>
      <w:r w:rsidRPr="00181FCD">
        <w:t>de</w:t>
      </w:r>
      <w:r w:rsidR="00F373A3" w:rsidRPr="00181FCD">
        <w:t xml:space="preserve"> </w:t>
      </w:r>
      <w:r w:rsidRPr="00181FCD">
        <w:t>ONG</w:t>
      </w:r>
      <w:r w:rsidR="00F373A3" w:rsidRPr="00181FCD">
        <w:t xml:space="preserve"> </w:t>
      </w:r>
      <w:r w:rsidRPr="00181FCD">
        <w:t>en</w:t>
      </w:r>
      <w:r w:rsidR="00F373A3" w:rsidRPr="00181FCD">
        <w:t xml:space="preserve"> </w:t>
      </w:r>
      <w:r w:rsidRPr="00181FCD">
        <w:t>el</w:t>
      </w:r>
      <w:r w:rsidR="00F373A3" w:rsidRPr="00181FCD">
        <w:t xml:space="preserve"> </w:t>
      </w:r>
      <w:r w:rsidRPr="00181FCD">
        <w:t>marco</w:t>
      </w:r>
      <w:r w:rsidR="00F373A3" w:rsidRPr="00181FCD">
        <w:t xml:space="preserve"> </w:t>
      </w:r>
      <w:r w:rsidRPr="00181FCD">
        <w:t>de</w:t>
      </w:r>
      <w:r w:rsidR="00F373A3" w:rsidRPr="00181FCD">
        <w:t xml:space="preserve"> </w:t>
      </w:r>
      <w:r w:rsidRPr="00181FCD">
        <w:t>esa</w:t>
      </w:r>
      <w:r w:rsidR="00F373A3" w:rsidRPr="00181FCD">
        <w:t xml:space="preserve"> </w:t>
      </w:r>
      <w:r w:rsidR="00C820BE" w:rsidRPr="00181FCD">
        <w:t>ley</w:t>
      </w:r>
      <w:r w:rsidRPr="00181FCD">
        <w:t>,</w:t>
      </w:r>
      <w:r w:rsidR="00F373A3" w:rsidRPr="00181FCD">
        <w:t xml:space="preserve"> </w:t>
      </w:r>
      <w:r w:rsidRPr="00181FCD">
        <w:t>así</w:t>
      </w:r>
      <w:r w:rsidR="00F373A3" w:rsidRPr="00181FCD">
        <w:t xml:space="preserve"> </w:t>
      </w:r>
      <w:r w:rsidRPr="00181FCD">
        <w:t>como</w:t>
      </w:r>
      <w:r w:rsidR="00F373A3" w:rsidRPr="00181FCD">
        <w:t xml:space="preserve"> </w:t>
      </w:r>
      <w:r w:rsidRPr="00181FCD">
        <w:t>para</w:t>
      </w:r>
      <w:r w:rsidR="00F373A3" w:rsidRPr="00181FCD">
        <w:t xml:space="preserve"> </w:t>
      </w:r>
      <w:r w:rsidRPr="00181FCD">
        <w:t>la</w:t>
      </w:r>
      <w:r w:rsidR="00F373A3" w:rsidRPr="00181FCD">
        <w:t xml:space="preserve"> </w:t>
      </w:r>
      <w:r w:rsidRPr="00181FCD">
        <w:t>elaboración</w:t>
      </w:r>
      <w:r w:rsidR="00F373A3" w:rsidRPr="00181FCD">
        <w:t xml:space="preserve"> </w:t>
      </w:r>
      <w:r w:rsidRPr="00181FCD">
        <w:t>y</w:t>
      </w:r>
      <w:r w:rsidR="00F373A3" w:rsidRPr="00181FCD">
        <w:t xml:space="preserve"> </w:t>
      </w:r>
      <w:r w:rsidRPr="00181FCD">
        <w:t>aplicación</w:t>
      </w:r>
      <w:r w:rsidR="00F373A3" w:rsidRPr="00181FCD">
        <w:t xml:space="preserve"> </w:t>
      </w:r>
      <w:r w:rsidRPr="00181FCD">
        <w:t>de</w:t>
      </w:r>
      <w:r w:rsidR="00F373A3" w:rsidRPr="00181FCD">
        <w:t xml:space="preserve"> </w:t>
      </w:r>
      <w:r w:rsidRPr="00181FCD">
        <w:t>programas</w:t>
      </w:r>
      <w:r w:rsidR="00F373A3" w:rsidRPr="00181FCD">
        <w:t xml:space="preserve"> </w:t>
      </w:r>
      <w:r w:rsidRPr="00181FCD">
        <w:t>de</w:t>
      </w:r>
      <w:r w:rsidR="00F373A3" w:rsidRPr="00181FCD">
        <w:t xml:space="preserve"> </w:t>
      </w:r>
      <w:r w:rsidRPr="00181FCD">
        <w:t>prevención</w:t>
      </w:r>
      <w:r w:rsidR="00F373A3" w:rsidRPr="00181FCD">
        <w:t xml:space="preserve"> </w:t>
      </w:r>
      <w:r w:rsidRPr="00181FCD">
        <w:t>y</w:t>
      </w:r>
      <w:r w:rsidR="00F373A3" w:rsidRPr="00181FCD">
        <w:t xml:space="preserve"> </w:t>
      </w:r>
      <w:r w:rsidRPr="00181FCD">
        <w:t>protección</w:t>
      </w:r>
      <w:r w:rsidR="00F373A3" w:rsidRPr="00181FCD">
        <w:t xml:space="preserve"> </w:t>
      </w:r>
      <w:r w:rsidRPr="00181FCD">
        <w:t>contra</w:t>
      </w:r>
      <w:r w:rsidR="00F373A3" w:rsidRPr="00181FCD">
        <w:t xml:space="preserve"> </w:t>
      </w:r>
      <w:r w:rsidRPr="00181FCD">
        <w:t>la</w:t>
      </w:r>
      <w:r w:rsidR="00F373A3" w:rsidRPr="00181FCD">
        <w:t xml:space="preserve"> </w:t>
      </w:r>
      <w:r w:rsidRPr="00181FCD">
        <w:t>violencia</w:t>
      </w:r>
      <w:r w:rsidR="00F373A3" w:rsidRPr="00181FCD">
        <w:t xml:space="preserve"> </w:t>
      </w:r>
      <w:r w:rsidRPr="00181FCD">
        <w:t>doméstica.</w:t>
      </w:r>
    </w:p>
    <w:p w:rsidR="001937F4" w:rsidRPr="00181FCD" w:rsidRDefault="001937F4" w:rsidP="00347B20">
      <w:pPr>
        <w:pStyle w:val="SingleTxtG"/>
        <w:suppressAutoHyphens/>
      </w:pPr>
      <w:r w:rsidRPr="00181FCD">
        <w:t>55.</w:t>
      </w:r>
      <w:r w:rsidRPr="00181FCD">
        <w:tab/>
        <w:t>Bulgaria</w:t>
      </w:r>
      <w:r w:rsidR="00F373A3" w:rsidRPr="00181FCD">
        <w:t xml:space="preserve"> </w:t>
      </w:r>
      <w:r w:rsidRPr="00181FCD">
        <w:t>continuará</w:t>
      </w:r>
      <w:r w:rsidR="00F373A3" w:rsidRPr="00181FCD">
        <w:t xml:space="preserve"> </w:t>
      </w:r>
      <w:r w:rsidRPr="00181FCD">
        <w:t>sus</w:t>
      </w:r>
      <w:r w:rsidR="00F373A3" w:rsidRPr="00181FCD">
        <w:t xml:space="preserve"> </w:t>
      </w:r>
      <w:r w:rsidRPr="00181FCD">
        <w:t>esfuerzos</w:t>
      </w:r>
      <w:r w:rsidR="00F373A3" w:rsidRPr="00181FCD">
        <w:t xml:space="preserve"> </w:t>
      </w:r>
      <w:r w:rsidRPr="00181FCD">
        <w:t>constantes</w:t>
      </w:r>
      <w:r w:rsidR="00F373A3" w:rsidRPr="00181FCD">
        <w:t xml:space="preserve"> </w:t>
      </w:r>
      <w:r w:rsidRPr="00181FCD">
        <w:t>para</w:t>
      </w:r>
      <w:r w:rsidR="00F373A3" w:rsidRPr="00181FCD">
        <w:t xml:space="preserve"> </w:t>
      </w:r>
      <w:r w:rsidRPr="00181FCD">
        <w:t>combatir</w:t>
      </w:r>
      <w:r w:rsidR="00F373A3" w:rsidRPr="00181FCD">
        <w:t xml:space="preserve"> </w:t>
      </w:r>
      <w:r w:rsidRPr="00181FCD">
        <w:t>la</w:t>
      </w:r>
      <w:r w:rsidR="00F373A3" w:rsidRPr="00181FCD">
        <w:t xml:space="preserve"> </w:t>
      </w:r>
      <w:r w:rsidRPr="00181FCD">
        <w:t>violencia</w:t>
      </w:r>
      <w:r w:rsidR="00F373A3" w:rsidRPr="00181FCD">
        <w:t xml:space="preserve"> </w:t>
      </w:r>
      <w:r w:rsidRPr="00181FCD">
        <w:t>doméstica,</w:t>
      </w:r>
      <w:r w:rsidR="00F373A3" w:rsidRPr="00181FCD">
        <w:t xml:space="preserve"> </w:t>
      </w:r>
      <w:r w:rsidRPr="00181FCD">
        <w:t>proteger</w:t>
      </w:r>
      <w:r w:rsidR="00F373A3" w:rsidRPr="00181FCD">
        <w:t xml:space="preserve"> </w:t>
      </w:r>
      <w:r w:rsidRPr="00181FCD">
        <w:t>a</w:t>
      </w:r>
      <w:r w:rsidR="00F373A3" w:rsidRPr="00181FCD">
        <w:t xml:space="preserve"> </w:t>
      </w:r>
      <w:r w:rsidRPr="00181FCD">
        <w:t>las</w:t>
      </w:r>
      <w:r w:rsidR="00F373A3" w:rsidRPr="00181FCD">
        <w:t xml:space="preserve"> </w:t>
      </w:r>
      <w:r w:rsidRPr="00181FCD">
        <w:t>víctimas</w:t>
      </w:r>
      <w:r w:rsidR="00F373A3" w:rsidRPr="00181FCD">
        <w:t xml:space="preserve"> </w:t>
      </w:r>
      <w:r w:rsidRPr="00181FCD">
        <w:t>y</w:t>
      </w:r>
      <w:r w:rsidR="00F373A3" w:rsidRPr="00181FCD">
        <w:t xml:space="preserve"> </w:t>
      </w:r>
      <w:r w:rsidRPr="00181FCD">
        <w:t>crear</w:t>
      </w:r>
      <w:r w:rsidR="00F373A3" w:rsidRPr="00181FCD">
        <w:t xml:space="preserve"> </w:t>
      </w:r>
      <w:r w:rsidRPr="00181FCD">
        <w:t>un</w:t>
      </w:r>
      <w:r w:rsidR="00F373A3" w:rsidRPr="00181FCD">
        <w:t xml:space="preserve"> </w:t>
      </w:r>
      <w:r w:rsidRPr="00181FCD">
        <w:t>marco</w:t>
      </w:r>
      <w:r w:rsidR="00F373A3" w:rsidRPr="00181FCD">
        <w:t xml:space="preserve"> </w:t>
      </w:r>
      <w:r w:rsidRPr="00181FCD">
        <w:t>jurídico</w:t>
      </w:r>
      <w:r w:rsidR="00F373A3" w:rsidRPr="00181FCD">
        <w:t xml:space="preserve"> </w:t>
      </w:r>
      <w:r w:rsidRPr="00181FCD">
        <w:t>apropiado.</w:t>
      </w:r>
      <w:r w:rsidR="00F373A3" w:rsidRPr="00181FCD">
        <w:t xml:space="preserve"> </w:t>
      </w:r>
      <w:r w:rsidRPr="00181FCD">
        <w:t>En</w:t>
      </w:r>
      <w:r w:rsidR="00F373A3" w:rsidRPr="00181FCD">
        <w:t xml:space="preserve"> </w:t>
      </w:r>
      <w:r w:rsidRPr="00181FCD">
        <w:t>ese</w:t>
      </w:r>
      <w:r w:rsidR="00F373A3" w:rsidRPr="00181FCD">
        <w:t xml:space="preserve"> </w:t>
      </w:r>
      <w:r w:rsidRPr="00181FCD">
        <w:t>sentido,</w:t>
      </w:r>
      <w:r w:rsidR="00F373A3" w:rsidRPr="00181FCD">
        <w:t xml:space="preserve"> </w:t>
      </w:r>
      <w:r w:rsidRPr="00181FCD">
        <w:t>está</w:t>
      </w:r>
      <w:r w:rsidR="00F373A3" w:rsidRPr="00181FCD">
        <w:t xml:space="preserve"> </w:t>
      </w:r>
      <w:r w:rsidRPr="00181FCD">
        <w:t>previsto</w:t>
      </w:r>
      <w:r w:rsidR="00F373A3" w:rsidRPr="00181FCD">
        <w:t xml:space="preserve"> </w:t>
      </w:r>
      <w:r w:rsidRPr="00181FCD">
        <w:t>aprobar</w:t>
      </w:r>
      <w:r w:rsidR="00F373A3" w:rsidRPr="00181FCD">
        <w:t xml:space="preserve"> </w:t>
      </w:r>
      <w:r w:rsidRPr="00181FCD">
        <w:t>un</w:t>
      </w:r>
      <w:r w:rsidR="00F373A3" w:rsidRPr="00181FCD">
        <w:t xml:space="preserve"> </w:t>
      </w:r>
      <w:r w:rsidRPr="00181FCD">
        <w:t>mecanismo</w:t>
      </w:r>
      <w:r w:rsidR="00F373A3" w:rsidRPr="00181FCD">
        <w:t xml:space="preserve"> </w:t>
      </w:r>
      <w:r w:rsidRPr="00181FCD">
        <w:t>nacional</w:t>
      </w:r>
      <w:r w:rsidR="00F373A3" w:rsidRPr="00181FCD">
        <w:t xml:space="preserve"> </w:t>
      </w:r>
      <w:r w:rsidRPr="00181FCD">
        <w:t>de</w:t>
      </w:r>
      <w:r w:rsidR="00F373A3" w:rsidRPr="00181FCD">
        <w:t xml:space="preserve"> </w:t>
      </w:r>
      <w:r w:rsidRPr="00181FCD">
        <w:t>coordinación</w:t>
      </w:r>
      <w:r w:rsidR="00F373A3" w:rsidRPr="00181FCD">
        <w:t xml:space="preserve"> </w:t>
      </w:r>
      <w:r w:rsidRPr="00181FCD">
        <w:t>del</w:t>
      </w:r>
      <w:r w:rsidR="00F373A3" w:rsidRPr="00181FCD">
        <w:t xml:space="preserve"> </w:t>
      </w:r>
      <w:r w:rsidRPr="00181FCD">
        <w:t>apoyo</w:t>
      </w:r>
      <w:r w:rsidR="00F373A3" w:rsidRPr="00181FCD">
        <w:t xml:space="preserve"> </w:t>
      </w:r>
      <w:r w:rsidRPr="00181FCD">
        <w:t>y</w:t>
      </w:r>
      <w:r w:rsidR="00F373A3" w:rsidRPr="00181FCD">
        <w:t xml:space="preserve"> </w:t>
      </w:r>
      <w:r w:rsidRPr="00181FCD">
        <w:t>la</w:t>
      </w:r>
      <w:r w:rsidR="00F373A3" w:rsidRPr="00181FCD">
        <w:t xml:space="preserve"> </w:t>
      </w:r>
      <w:r w:rsidRPr="00181FCD">
        <w:t>asistencia</w:t>
      </w:r>
      <w:r w:rsidR="00F373A3" w:rsidRPr="00181FCD">
        <w:t xml:space="preserve"> </w:t>
      </w:r>
      <w:r w:rsidRPr="00181FCD">
        <w:t>a</w:t>
      </w:r>
      <w:r w:rsidR="00F373A3" w:rsidRPr="00181FCD">
        <w:t xml:space="preserve"> </w:t>
      </w:r>
      <w:r w:rsidRPr="00181FCD">
        <w:t>las</w:t>
      </w:r>
      <w:r w:rsidR="00F373A3" w:rsidRPr="00181FCD">
        <w:t xml:space="preserve"> </w:t>
      </w:r>
      <w:r w:rsidRPr="00181FCD">
        <w:t>víctimas</w:t>
      </w:r>
      <w:r w:rsidR="00F373A3" w:rsidRPr="00181FCD">
        <w:t xml:space="preserve"> </w:t>
      </w:r>
      <w:r w:rsidRPr="00181FCD">
        <w:t>de</w:t>
      </w:r>
      <w:r w:rsidR="00F373A3" w:rsidRPr="00181FCD">
        <w:t xml:space="preserve"> </w:t>
      </w:r>
      <w:r w:rsidRPr="00181FCD">
        <w:t>la</w:t>
      </w:r>
      <w:r w:rsidR="00F373A3" w:rsidRPr="00181FCD">
        <w:t xml:space="preserve"> </w:t>
      </w:r>
      <w:r w:rsidRPr="00181FCD">
        <w:t>violencia</w:t>
      </w:r>
      <w:r w:rsidR="00F373A3" w:rsidRPr="00181FCD">
        <w:t xml:space="preserve"> </w:t>
      </w:r>
      <w:r w:rsidRPr="00181FCD">
        <w:t>doméstica</w:t>
      </w:r>
      <w:r w:rsidR="00F373A3" w:rsidRPr="00181FCD">
        <w:t xml:space="preserve"> </w:t>
      </w:r>
      <w:r w:rsidRPr="00181FCD">
        <w:t>y</w:t>
      </w:r>
      <w:r w:rsidR="00F373A3" w:rsidRPr="00181FCD">
        <w:t xml:space="preserve"> </w:t>
      </w:r>
      <w:r w:rsidRPr="00181FCD">
        <w:t>las</w:t>
      </w:r>
      <w:r w:rsidR="00F373A3" w:rsidRPr="00181FCD">
        <w:t xml:space="preserve"> </w:t>
      </w:r>
      <w:r w:rsidRPr="00181FCD">
        <w:t>normas</w:t>
      </w:r>
      <w:r w:rsidR="00F373A3" w:rsidRPr="00181FCD">
        <w:t xml:space="preserve"> </w:t>
      </w:r>
      <w:r w:rsidRPr="00181FCD">
        <w:t>para</w:t>
      </w:r>
      <w:r w:rsidR="00F373A3" w:rsidRPr="00181FCD">
        <w:t xml:space="preserve"> </w:t>
      </w:r>
      <w:r w:rsidRPr="00181FCD">
        <w:t>los</w:t>
      </w:r>
      <w:r w:rsidR="00F373A3" w:rsidRPr="00181FCD">
        <w:t xml:space="preserve"> </w:t>
      </w:r>
      <w:r w:rsidRPr="00181FCD">
        <w:t>servicios</w:t>
      </w:r>
      <w:r w:rsidR="00F373A3" w:rsidRPr="00181FCD">
        <w:t xml:space="preserve"> </w:t>
      </w:r>
      <w:r w:rsidRPr="00181FCD">
        <w:t>prestados</w:t>
      </w:r>
      <w:r w:rsidR="00F373A3" w:rsidRPr="00181FCD">
        <w:t xml:space="preserve"> </w:t>
      </w:r>
      <w:r w:rsidRPr="00181FCD">
        <w:t>a</w:t>
      </w:r>
      <w:r w:rsidR="00F373A3" w:rsidRPr="00181FCD">
        <w:t xml:space="preserve"> </w:t>
      </w:r>
      <w:r w:rsidRPr="00181FCD">
        <w:t>las</w:t>
      </w:r>
      <w:r w:rsidR="00F373A3" w:rsidRPr="00181FCD">
        <w:t xml:space="preserve"> </w:t>
      </w:r>
      <w:r w:rsidRPr="00181FCD">
        <w:t>víctimas</w:t>
      </w:r>
      <w:r w:rsidR="00F373A3" w:rsidRPr="00181FCD">
        <w:t xml:space="preserve"> </w:t>
      </w:r>
      <w:r w:rsidRPr="00181FCD">
        <w:t>de</w:t>
      </w:r>
      <w:r w:rsidR="00F373A3" w:rsidRPr="00181FCD">
        <w:t xml:space="preserve"> </w:t>
      </w:r>
      <w:r w:rsidRPr="00181FCD">
        <w:t>ese</w:t>
      </w:r>
      <w:r w:rsidR="00F373A3" w:rsidRPr="00181FCD">
        <w:t xml:space="preserve"> </w:t>
      </w:r>
      <w:r w:rsidRPr="00181FCD">
        <w:t>tipo</w:t>
      </w:r>
      <w:r w:rsidR="00F373A3" w:rsidRPr="00181FCD">
        <w:t xml:space="preserve"> </w:t>
      </w:r>
      <w:r w:rsidRPr="00181FCD">
        <w:t>de</w:t>
      </w:r>
      <w:r w:rsidR="00F373A3" w:rsidRPr="00181FCD">
        <w:t xml:space="preserve"> </w:t>
      </w:r>
      <w:r w:rsidRPr="00181FCD">
        <w:t>violencia.</w:t>
      </w:r>
    </w:p>
    <w:p w:rsidR="001937F4" w:rsidRPr="00181FCD" w:rsidRDefault="004B7AF2" w:rsidP="00347B20">
      <w:pPr>
        <w:pStyle w:val="H23G"/>
      </w:pPr>
      <w:r w:rsidRPr="00181FCD">
        <w:tab/>
      </w:r>
      <w:r w:rsidRPr="00181FCD">
        <w:tab/>
      </w:r>
      <w:r w:rsidR="001937F4" w:rsidRPr="00181FCD">
        <w:t>Respuesta</w:t>
      </w:r>
      <w:r w:rsidR="00F373A3" w:rsidRPr="00181FCD">
        <w:t xml:space="preserve"> </w:t>
      </w:r>
      <w:r w:rsidR="001937F4" w:rsidRPr="00181FCD">
        <w:t>a</w:t>
      </w:r>
      <w:r w:rsidR="00F373A3" w:rsidRPr="00181FCD">
        <w:t xml:space="preserve"> </w:t>
      </w:r>
      <w:r w:rsidR="001937F4" w:rsidRPr="00181FCD">
        <w:t>las</w:t>
      </w:r>
      <w:r w:rsidR="00F373A3" w:rsidRPr="00181FCD">
        <w:t xml:space="preserve"> </w:t>
      </w:r>
      <w:r w:rsidR="001937F4" w:rsidRPr="00181FCD">
        <w:t>cuestiones</w:t>
      </w:r>
      <w:r w:rsidR="00F373A3" w:rsidRPr="00181FCD">
        <w:t xml:space="preserve"> </w:t>
      </w:r>
      <w:r w:rsidR="001937F4" w:rsidRPr="00181FCD">
        <w:t>planteadas</w:t>
      </w:r>
      <w:r w:rsidR="00F373A3" w:rsidRPr="00181FCD">
        <w:t xml:space="preserve"> </w:t>
      </w:r>
      <w:r w:rsidR="001937F4" w:rsidRPr="00181FCD">
        <w:t>en</w:t>
      </w:r>
      <w:r w:rsidR="00F373A3" w:rsidRPr="00181FCD">
        <w:t xml:space="preserve"> </w:t>
      </w:r>
      <w:r w:rsidR="001937F4" w:rsidRPr="00181FCD">
        <w:t>el</w:t>
      </w:r>
      <w:r w:rsidR="00F373A3" w:rsidRPr="00181FCD">
        <w:t xml:space="preserve"> </w:t>
      </w:r>
      <w:r w:rsidR="001937F4" w:rsidRPr="00181FCD">
        <w:t>párrafo</w:t>
      </w:r>
      <w:r w:rsidR="00F373A3" w:rsidRPr="00181FCD">
        <w:t xml:space="preserve"> </w:t>
      </w:r>
      <w:r w:rsidR="001937F4" w:rsidRPr="00181FCD">
        <w:t>7</w:t>
      </w:r>
      <w:r w:rsidR="00F373A3" w:rsidRPr="00181FCD">
        <w:t xml:space="preserve"> </w:t>
      </w:r>
      <w:r w:rsidR="001937F4" w:rsidRPr="00181FCD">
        <w:t>de</w:t>
      </w:r>
      <w:r w:rsidR="00F373A3" w:rsidRPr="00181FCD">
        <w:t xml:space="preserve"> </w:t>
      </w:r>
      <w:r w:rsidR="001937F4" w:rsidRPr="00181FCD">
        <w:t>la</w:t>
      </w:r>
      <w:r w:rsidR="00F373A3" w:rsidRPr="00181FCD">
        <w:t xml:space="preserve"> </w:t>
      </w:r>
      <w:r w:rsidR="001937F4" w:rsidRPr="00181FCD">
        <w:t>lista</w:t>
      </w:r>
      <w:r w:rsidR="00F373A3" w:rsidRPr="00181FCD">
        <w:t xml:space="preserve"> </w:t>
      </w:r>
      <w:r w:rsidR="001937F4" w:rsidRPr="00181FCD">
        <w:t>de</w:t>
      </w:r>
      <w:r w:rsidR="00F373A3" w:rsidRPr="00181FCD">
        <w:t xml:space="preserve"> </w:t>
      </w:r>
      <w:r w:rsidR="001937F4" w:rsidRPr="00181FCD">
        <w:t>cuestiones</w:t>
      </w:r>
    </w:p>
    <w:p w:rsidR="001937F4" w:rsidRPr="00181FCD" w:rsidRDefault="001937F4" w:rsidP="00347B20">
      <w:pPr>
        <w:pStyle w:val="SingleTxtG"/>
        <w:suppressAutoHyphens/>
      </w:pPr>
      <w:r w:rsidRPr="00181FCD">
        <w:t>56.</w:t>
      </w:r>
      <w:r w:rsidRPr="00181FCD">
        <w:tab/>
        <w:t>Los</w:t>
      </w:r>
      <w:r w:rsidR="00F373A3" w:rsidRPr="00181FCD">
        <w:t xml:space="preserve"> </w:t>
      </w:r>
      <w:r w:rsidRPr="00181FCD">
        <w:t>matrimonios</w:t>
      </w:r>
      <w:r w:rsidR="00F373A3" w:rsidRPr="00181FCD">
        <w:t xml:space="preserve"> </w:t>
      </w:r>
      <w:r w:rsidRPr="00181FCD">
        <w:t>precoces</w:t>
      </w:r>
      <w:r w:rsidR="00F373A3" w:rsidRPr="00181FCD">
        <w:t xml:space="preserve"> </w:t>
      </w:r>
      <w:r w:rsidRPr="00181FCD">
        <w:t>de</w:t>
      </w:r>
      <w:r w:rsidR="00F373A3" w:rsidRPr="00181FCD">
        <w:t xml:space="preserve"> </w:t>
      </w:r>
      <w:r w:rsidRPr="00181FCD">
        <w:t>los</w:t>
      </w:r>
      <w:r w:rsidR="00F373A3" w:rsidRPr="00181FCD">
        <w:t xml:space="preserve"> </w:t>
      </w:r>
      <w:r w:rsidRPr="00181FCD">
        <w:t>niños</w:t>
      </w:r>
      <w:r w:rsidR="00F373A3" w:rsidRPr="00181FCD">
        <w:t xml:space="preserve"> </w:t>
      </w:r>
      <w:r w:rsidRPr="00181FCD">
        <w:t>de</w:t>
      </w:r>
      <w:r w:rsidR="00F373A3" w:rsidRPr="00181FCD">
        <w:t xml:space="preserve"> </w:t>
      </w:r>
      <w:r w:rsidRPr="00181FCD">
        <w:t>algunos</w:t>
      </w:r>
      <w:r w:rsidR="00F373A3" w:rsidRPr="00181FCD">
        <w:t xml:space="preserve"> </w:t>
      </w:r>
      <w:r w:rsidRPr="00181FCD">
        <w:t>grupos</w:t>
      </w:r>
      <w:r w:rsidR="00F373A3" w:rsidRPr="00181FCD">
        <w:t xml:space="preserve"> </w:t>
      </w:r>
      <w:r w:rsidRPr="00181FCD">
        <w:t>étnicos</w:t>
      </w:r>
      <w:r w:rsidR="00F373A3" w:rsidRPr="00181FCD">
        <w:t xml:space="preserve"> </w:t>
      </w:r>
      <w:r w:rsidRPr="00181FCD">
        <w:t>en</w:t>
      </w:r>
      <w:r w:rsidR="00F373A3" w:rsidRPr="00181FCD">
        <w:t xml:space="preserve"> </w:t>
      </w:r>
      <w:r w:rsidRPr="00181FCD">
        <w:t>la</w:t>
      </w:r>
      <w:r w:rsidR="00F373A3" w:rsidRPr="00181FCD">
        <w:t xml:space="preserve"> </w:t>
      </w:r>
      <w:r w:rsidRPr="00181FCD">
        <w:t>República</w:t>
      </w:r>
      <w:r w:rsidR="00F373A3" w:rsidRPr="00181FCD">
        <w:t xml:space="preserve"> </w:t>
      </w:r>
      <w:r w:rsidRPr="00181FCD">
        <w:t>de</w:t>
      </w:r>
      <w:r w:rsidR="00F373A3" w:rsidRPr="00181FCD">
        <w:t xml:space="preserve"> </w:t>
      </w:r>
      <w:r w:rsidRPr="00181FCD">
        <w:t>Bulgaria</w:t>
      </w:r>
      <w:r w:rsidR="00F373A3" w:rsidRPr="00181FCD">
        <w:t xml:space="preserve"> </w:t>
      </w:r>
      <w:r w:rsidRPr="00181FCD">
        <w:t>son</w:t>
      </w:r>
      <w:r w:rsidR="00F373A3" w:rsidRPr="00181FCD">
        <w:t xml:space="preserve"> </w:t>
      </w:r>
      <w:r w:rsidRPr="00181FCD">
        <w:t>un</w:t>
      </w:r>
      <w:r w:rsidR="00F373A3" w:rsidRPr="00181FCD">
        <w:t xml:space="preserve"> </w:t>
      </w:r>
      <w:r w:rsidRPr="00181FCD">
        <w:t>factor</w:t>
      </w:r>
      <w:r w:rsidR="00F373A3" w:rsidRPr="00181FCD">
        <w:t xml:space="preserve"> </w:t>
      </w:r>
      <w:r w:rsidRPr="00181FCD">
        <w:t>determinante</w:t>
      </w:r>
      <w:r w:rsidR="00F373A3" w:rsidRPr="00181FCD">
        <w:t xml:space="preserve"> </w:t>
      </w:r>
      <w:r w:rsidRPr="00181FCD">
        <w:t>para</w:t>
      </w:r>
      <w:r w:rsidR="00F373A3" w:rsidRPr="00181FCD">
        <w:t xml:space="preserve"> </w:t>
      </w:r>
      <w:r w:rsidRPr="00181FCD">
        <w:t>su</w:t>
      </w:r>
      <w:r w:rsidR="00F373A3" w:rsidRPr="00181FCD">
        <w:t xml:space="preserve"> </w:t>
      </w:r>
      <w:r w:rsidRPr="00181FCD">
        <w:t>aislamiento</w:t>
      </w:r>
      <w:r w:rsidR="00F373A3" w:rsidRPr="00181FCD">
        <w:t xml:space="preserve"> </w:t>
      </w:r>
      <w:r w:rsidRPr="00181FCD">
        <w:t>social.</w:t>
      </w:r>
      <w:r w:rsidR="00F373A3" w:rsidRPr="00181FCD">
        <w:t xml:space="preserve"> </w:t>
      </w:r>
      <w:r w:rsidRPr="00181FCD">
        <w:t>Cuando</w:t>
      </w:r>
      <w:r w:rsidR="00F373A3" w:rsidRPr="00181FCD">
        <w:t xml:space="preserve"> </w:t>
      </w:r>
      <w:r w:rsidRPr="00181FCD">
        <w:t>los</w:t>
      </w:r>
      <w:r w:rsidR="00F373A3" w:rsidRPr="00181FCD">
        <w:t xml:space="preserve"> </w:t>
      </w:r>
      <w:r w:rsidRPr="00181FCD">
        <w:t>niños</w:t>
      </w:r>
      <w:r w:rsidR="00F373A3" w:rsidRPr="00181FCD">
        <w:t xml:space="preserve"> </w:t>
      </w:r>
      <w:r w:rsidRPr="00181FCD">
        <w:t>se</w:t>
      </w:r>
      <w:r w:rsidR="00F373A3" w:rsidRPr="00181FCD">
        <w:t xml:space="preserve"> </w:t>
      </w:r>
      <w:r w:rsidRPr="00181FCD">
        <w:t>casan</w:t>
      </w:r>
      <w:r w:rsidR="00F373A3" w:rsidRPr="00181FCD">
        <w:t xml:space="preserve"> </w:t>
      </w:r>
      <w:r w:rsidRPr="00181FCD">
        <w:t>y</w:t>
      </w:r>
      <w:r w:rsidR="00F373A3" w:rsidRPr="00181FCD">
        <w:t xml:space="preserve"> </w:t>
      </w:r>
      <w:r w:rsidRPr="00181FCD">
        <w:t>conviven</w:t>
      </w:r>
      <w:r w:rsidR="00F373A3" w:rsidRPr="00181FCD">
        <w:t xml:space="preserve"> </w:t>
      </w:r>
      <w:r w:rsidRPr="00181FCD">
        <w:t>en</w:t>
      </w:r>
      <w:r w:rsidR="00F373A3" w:rsidRPr="00181FCD">
        <w:t xml:space="preserve"> </w:t>
      </w:r>
      <w:r w:rsidRPr="00181FCD">
        <w:t>una</w:t>
      </w:r>
      <w:r w:rsidR="00F373A3" w:rsidRPr="00181FCD">
        <w:t xml:space="preserve"> </w:t>
      </w:r>
      <w:r w:rsidRPr="00181FCD">
        <w:t>relación</w:t>
      </w:r>
      <w:r w:rsidR="00F373A3" w:rsidRPr="00181FCD">
        <w:t xml:space="preserve"> </w:t>
      </w:r>
      <w:r w:rsidRPr="00181FCD">
        <w:t>conyugal</w:t>
      </w:r>
      <w:r w:rsidR="00F373A3" w:rsidRPr="00181FCD">
        <w:t xml:space="preserve"> </w:t>
      </w:r>
      <w:r w:rsidRPr="00181FCD">
        <w:t>a</w:t>
      </w:r>
      <w:r w:rsidR="00F373A3" w:rsidRPr="00181FCD">
        <w:t xml:space="preserve"> </w:t>
      </w:r>
      <w:r w:rsidRPr="00181FCD">
        <w:t>una</w:t>
      </w:r>
      <w:r w:rsidR="00F373A3" w:rsidRPr="00181FCD">
        <w:t xml:space="preserve"> </w:t>
      </w:r>
      <w:r w:rsidRPr="00181FCD">
        <w:t>edad</w:t>
      </w:r>
      <w:r w:rsidR="00F373A3" w:rsidRPr="00181FCD">
        <w:t xml:space="preserve"> </w:t>
      </w:r>
      <w:r w:rsidRPr="00181FCD">
        <w:t>temprana,</w:t>
      </w:r>
      <w:r w:rsidR="00F373A3" w:rsidRPr="00181FCD">
        <w:t xml:space="preserve"> </w:t>
      </w:r>
      <w:r w:rsidRPr="00181FCD">
        <w:t>se</w:t>
      </w:r>
      <w:r w:rsidR="00F373A3" w:rsidRPr="00181FCD">
        <w:t xml:space="preserve"> </w:t>
      </w:r>
      <w:r w:rsidRPr="00181FCD">
        <w:t>ponen</w:t>
      </w:r>
      <w:r w:rsidR="00F373A3" w:rsidRPr="00181FCD">
        <w:t xml:space="preserve"> </w:t>
      </w:r>
      <w:r w:rsidRPr="00181FCD">
        <w:t>en</w:t>
      </w:r>
      <w:r w:rsidR="00F373A3" w:rsidRPr="00181FCD">
        <w:t xml:space="preserve"> </w:t>
      </w:r>
      <w:r w:rsidRPr="00181FCD">
        <w:t>riesgo</w:t>
      </w:r>
      <w:r w:rsidR="00F373A3" w:rsidRPr="00181FCD">
        <w:t xml:space="preserve"> </w:t>
      </w:r>
      <w:r w:rsidRPr="00181FCD">
        <w:t>sus</w:t>
      </w:r>
      <w:r w:rsidR="00F373A3" w:rsidRPr="00181FCD">
        <w:t xml:space="preserve"> </w:t>
      </w:r>
      <w:r w:rsidRPr="00181FCD">
        <w:t>derechos</w:t>
      </w:r>
      <w:r w:rsidR="00F373A3" w:rsidRPr="00181FCD">
        <w:t xml:space="preserve"> </w:t>
      </w:r>
      <w:r w:rsidRPr="00181FCD">
        <w:t>a</w:t>
      </w:r>
      <w:r w:rsidR="00F373A3" w:rsidRPr="00181FCD">
        <w:t xml:space="preserve"> </w:t>
      </w:r>
      <w:r w:rsidRPr="00181FCD">
        <w:t>la</w:t>
      </w:r>
      <w:r w:rsidR="00F373A3" w:rsidRPr="00181FCD">
        <w:t xml:space="preserve"> </w:t>
      </w:r>
      <w:r w:rsidRPr="00181FCD">
        <w:t>libre</w:t>
      </w:r>
      <w:r w:rsidR="00F373A3" w:rsidRPr="00181FCD">
        <w:t xml:space="preserve"> </w:t>
      </w:r>
      <w:r w:rsidRPr="00181FCD">
        <w:t>elección,</w:t>
      </w:r>
      <w:r w:rsidR="00F373A3" w:rsidRPr="00181FCD">
        <w:t xml:space="preserve"> </w:t>
      </w:r>
      <w:r w:rsidRPr="00181FCD">
        <w:t>la</w:t>
      </w:r>
      <w:r w:rsidR="00F373A3" w:rsidRPr="00181FCD">
        <w:t xml:space="preserve"> </w:t>
      </w:r>
      <w:r w:rsidRPr="00181FCD">
        <w:t>educación</w:t>
      </w:r>
      <w:r w:rsidR="00F373A3" w:rsidRPr="00181FCD">
        <w:t xml:space="preserve"> </w:t>
      </w:r>
      <w:r w:rsidRPr="00181FCD">
        <w:t>y</w:t>
      </w:r>
      <w:r w:rsidR="00F373A3" w:rsidRPr="00181FCD">
        <w:t xml:space="preserve"> </w:t>
      </w:r>
      <w:r w:rsidRPr="00181FCD">
        <w:t>el</w:t>
      </w:r>
      <w:r w:rsidR="00F373A3" w:rsidRPr="00181FCD">
        <w:t xml:space="preserve"> </w:t>
      </w:r>
      <w:r w:rsidRPr="00181FCD">
        <w:t>desarrollo</w:t>
      </w:r>
      <w:r w:rsidR="00F373A3" w:rsidRPr="00181FCD">
        <w:t xml:space="preserve"> </w:t>
      </w:r>
      <w:r w:rsidRPr="00181FCD">
        <w:t>mental</w:t>
      </w:r>
      <w:r w:rsidR="00F373A3" w:rsidRPr="00181FCD">
        <w:t xml:space="preserve"> </w:t>
      </w:r>
      <w:r w:rsidRPr="00181FCD">
        <w:t>y</w:t>
      </w:r>
      <w:r w:rsidR="00F373A3" w:rsidRPr="00181FCD">
        <w:t xml:space="preserve"> </w:t>
      </w:r>
      <w:r w:rsidRPr="00181FCD">
        <w:t>físico</w:t>
      </w:r>
      <w:r w:rsidR="00F373A3" w:rsidRPr="00181FCD">
        <w:t xml:space="preserve"> </w:t>
      </w:r>
      <w:r w:rsidRPr="00181FCD">
        <w:t>normal.</w:t>
      </w:r>
      <w:r w:rsidR="00F373A3" w:rsidRPr="00181FCD">
        <w:t xml:space="preserve"> </w:t>
      </w:r>
      <w:r w:rsidRPr="00181FCD">
        <w:t>Según</w:t>
      </w:r>
      <w:r w:rsidR="00F373A3" w:rsidRPr="00181FCD">
        <w:t xml:space="preserve"> </w:t>
      </w:r>
      <w:r w:rsidRPr="00181FCD">
        <w:t>el</w:t>
      </w:r>
      <w:r w:rsidR="00F373A3" w:rsidRPr="00181FCD">
        <w:t xml:space="preserve"> </w:t>
      </w:r>
      <w:r w:rsidRPr="00181FCD">
        <w:t>Instituto</w:t>
      </w:r>
      <w:r w:rsidR="00F373A3" w:rsidRPr="00181FCD">
        <w:t xml:space="preserve"> </w:t>
      </w:r>
      <w:r w:rsidRPr="00181FCD">
        <w:t>Nacional</w:t>
      </w:r>
      <w:r w:rsidR="00F373A3" w:rsidRPr="00181FCD">
        <w:t xml:space="preserve"> </w:t>
      </w:r>
      <w:r w:rsidRPr="00181FCD">
        <w:t>de</w:t>
      </w:r>
      <w:r w:rsidR="00F373A3" w:rsidRPr="00181FCD">
        <w:t xml:space="preserve"> </w:t>
      </w:r>
      <w:r w:rsidRPr="00181FCD">
        <w:t>Estadística,</w:t>
      </w:r>
      <w:r w:rsidR="00F373A3" w:rsidRPr="00181FCD">
        <w:t xml:space="preserve"> </w:t>
      </w:r>
      <w:r w:rsidRPr="00181FCD">
        <w:t>en</w:t>
      </w:r>
      <w:r w:rsidR="00F373A3" w:rsidRPr="00181FCD">
        <w:t xml:space="preserve"> </w:t>
      </w:r>
      <w:r w:rsidRPr="00181FCD">
        <w:t>2010</w:t>
      </w:r>
      <w:r w:rsidR="00F373A3" w:rsidRPr="00181FCD">
        <w:t xml:space="preserve"> </w:t>
      </w:r>
      <w:r w:rsidRPr="00181FCD">
        <w:t>había</w:t>
      </w:r>
      <w:r w:rsidR="00F373A3" w:rsidRPr="00181FCD">
        <w:t xml:space="preserve"> </w:t>
      </w:r>
      <w:r w:rsidRPr="00181FCD">
        <w:t>350</w:t>
      </w:r>
      <w:r w:rsidR="00F373A3" w:rsidRPr="00181FCD">
        <w:t xml:space="preserve"> </w:t>
      </w:r>
      <w:r w:rsidRPr="00181FCD">
        <w:t>niños</w:t>
      </w:r>
      <w:r w:rsidR="00F373A3" w:rsidRPr="00181FCD">
        <w:t xml:space="preserve"> </w:t>
      </w:r>
      <w:r w:rsidRPr="00181FCD">
        <w:t>nacidos</w:t>
      </w:r>
      <w:r w:rsidR="00F373A3" w:rsidRPr="00181FCD">
        <w:t xml:space="preserve"> </w:t>
      </w:r>
      <w:r w:rsidRPr="00181FCD">
        <w:t>de</w:t>
      </w:r>
      <w:r w:rsidR="00F373A3" w:rsidRPr="00181FCD">
        <w:t xml:space="preserve"> </w:t>
      </w:r>
      <w:r w:rsidRPr="00181FCD">
        <w:t>niñas</w:t>
      </w:r>
      <w:r w:rsidR="00F373A3" w:rsidRPr="00181FCD">
        <w:t xml:space="preserve"> </w:t>
      </w:r>
      <w:r w:rsidRPr="00181FCD">
        <w:t>menores</w:t>
      </w:r>
      <w:r w:rsidR="00F373A3" w:rsidRPr="00181FCD">
        <w:t xml:space="preserve"> </w:t>
      </w:r>
      <w:r w:rsidRPr="00181FCD">
        <w:t>de</w:t>
      </w:r>
      <w:r w:rsidR="00F373A3" w:rsidRPr="00181FCD">
        <w:t xml:space="preserve"> </w:t>
      </w:r>
      <w:r w:rsidRPr="00181FCD">
        <w:t>16</w:t>
      </w:r>
      <w:r w:rsidR="00F373A3" w:rsidRPr="00181FCD">
        <w:t xml:space="preserve"> </w:t>
      </w:r>
      <w:r w:rsidRPr="00181FCD">
        <w:t>años.</w:t>
      </w:r>
      <w:r w:rsidR="00F373A3" w:rsidRPr="00181FCD">
        <w:t xml:space="preserve"> </w:t>
      </w:r>
      <w:r w:rsidRPr="00181FCD">
        <w:t>Al</w:t>
      </w:r>
      <w:r w:rsidR="00F373A3" w:rsidRPr="00181FCD">
        <w:t xml:space="preserve"> </w:t>
      </w:r>
      <w:r w:rsidRPr="00181FCD">
        <w:t>mismo</w:t>
      </w:r>
      <w:r w:rsidR="00F373A3" w:rsidRPr="00181FCD">
        <w:t xml:space="preserve"> </w:t>
      </w:r>
      <w:r w:rsidRPr="00181FCD">
        <w:t>tiempo,</w:t>
      </w:r>
      <w:r w:rsidR="00F373A3" w:rsidRPr="00181FCD">
        <w:t xml:space="preserve"> </w:t>
      </w:r>
      <w:r w:rsidRPr="00181FCD">
        <w:t>la</w:t>
      </w:r>
      <w:r w:rsidR="00F373A3" w:rsidRPr="00181FCD">
        <w:t xml:space="preserve"> </w:t>
      </w:r>
      <w:r w:rsidRPr="00181FCD">
        <w:t>cifra</w:t>
      </w:r>
      <w:r w:rsidR="00F373A3" w:rsidRPr="00181FCD">
        <w:t xml:space="preserve"> </w:t>
      </w:r>
      <w:r w:rsidRPr="00181FCD">
        <w:t>de</w:t>
      </w:r>
      <w:r w:rsidR="00F373A3" w:rsidRPr="00181FCD">
        <w:t xml:space="preserve"> </w:t>
      </w:r>
      <w:r w:rsidRPr="00181FCD">
        <w:t>abortos</w:t>
      </w:r>
      <w:r w:rsidR="00F373A3" w:rsidRPr="00181FCD">
        <w:t xml:space="preserve"> </w:t>
      </w:r>
      <w:r w:rsidRPr="00181FCD">
        <w:t>en</w:t>
      </w:r>
      <w:r w:rsidR="00F373A3" w:rsidRPr="00181FCD">
        <w:t xml:space="preserve"> </w:t>
      </w:r>
      <w:r w:rsidRPr="00181FCD">
        <w:t>el</w:t>
      </w:r>
      <w:r w:rsidR="00F373A3" w:rsidRPr="00181FCD">
        <w:t xml:space="preserve"> </w:t>
      </w:r>
      <w:r w:rsidRPr="00181FCD">
        <w:t>mismo</w:t>
      </w:r>
      <w:r w:rsidR="00F373A3" w:rsidRPr="00181FCD">
        <w:t xml:space="preserve"> </w:t>
      </w:r>
      <w:r w:rsidRPr="00181FCD">
        <w:t>grupo</w:t>
      </w:r>
      <w:r w:rsidR="00F373A3" w:rsidRPr="00181FCD">
        <w:t xml:space="preserve"> </w:t>
      </w:r>
      <w:r w:rsidRPr="00181FCD">
        <w:t>de</w:t>
      </w:r>
      <w:r w:rsidR="00F373A3" w:rsidRPr="00181FCD">
        <w:t xml:space="preserve"> </w:t>
      </w:r>
      <w:r w:rsidRPr="00181FCD">
        <w:t>edad</w:t>
      </w:r>
      <w:r w:rsidR="00F373A3" w:rsidRPr="00181FCD">
        <w:t xml:space="preserve"> </w:t>
      </w:r>
      <w:r w:rsidRPr="00181FCD">
        <w:t>era</w:t>
      </w:r>
      <w:r w:rsidR="00F373A3" w:rsidRPr="00181FCD">
        <w:t xml:space="preserve"> </w:t>
      </w:r>
      <w:r w:rsidRPr="00181FCD">
        <w:t>de</w:t>
      </w:r>
      <w:r w:rsidR="00F373A3" w:rsidRPr="00181FCD">
        <w:t xml:space="preserve"> </w:t>
      </w:r>
      <w:r w:rsidRPr="00181FCD">
        <w:t>146.</w:t>
      </w:r>
      <w:r w:rsidR="00F373A3" w:rsidRPr="00181FCD">
        <w:t xml:space="preserve"> </w:t>
      </w:r>
      <w:r w:rsidRPr="00181FCD">
        <w:t>Esta</w:t>
      </w:r>
      <w:r w:rsidR="00F373A3" w:rsidRPr="00181FCD">
        <w:t xml:space="preserve"> </w:t>
      </w:r>
      <w:r w:rsidRPr="00181FCD">
        <w:t>situación</w:t>
      </w:r>
      <w:r w:rsidR="00F373A3" w:rsidRPr="00181FCD">
        <w:t xml:space="preserve"> </w:t>
      </w:r>
      <w:r w:rsidRPr="00181FCD">
        <w:t>ha</w:t>
      </w:r>
      <w:r w:rsidR="00F373A3" w:rsidRPr="00181FCD">
        <w:t xml:space="preserve"> </w:t>
      </w:r>
      <w:r w:rsidRPr="00181FCD">
        <w:t>empeorado</w:t>
      </w:r>
      <w:r w:rsidR="00F373A3" w:rsidRPr="00181FCD">
        <w:t xml:space="preserve"> </w:t>
      </w:r>
      <w:r w:rsidRPr="00181FCD">
        <w:t>y</w:t>
      </w:r>
      <w:r w:rsidR="00F373A3" w:rsidRPr="00181FCD">
        <w:t xml:space="preserve"> </w:t>
      </w:r>
      <w:r w:rsidRPr="00181FCD">
        <w:t>también</w:t>
      </w:r>
      <w:r w:rsidR="00F373A3" w:rsidRPr="00181FCD">
        <w:t xml:space="preserve"> </w:t>
      </w:r>
      <w:r w:rsidRPr="00181FCD">
        <w:t>ha</w:t>
      </w:r>
      <w:r w:rsidR="00F373A3" w:rsidRPr="00181FCD">
        <w:t xml:space="preserve"> </w:t>
      </w:r>
      <w:r w:rsidRPr="00181FCD">
        <w:t>aumentado</w:t>
      </w:r>
      <w:r w:rsidR="00F373A3" w:rsidRPr="00181FCD">
        <w:t xml:space="preserve"> </w:t>
      </w:r>
      <w:r w:rsidRPr="00181FCD">
        <w:t>el</w:t>
      </w:r>
      <w:r w:rsidR="00F373A3" w:rsidRPr="00181FCD">
        <w:t xml:space="preserve"> </w:t>
      </w:r>
      <w:r w:rsidRPr="00181FCD">
        <w:t>número</w:t>
      </w:r>
      <w:r w:rsidR="00F373A3" w:rsidRPr="00181FCD">
        <w:t xml:space="preserve"> </w:t>
      </w:r>
      <w:r w:rsidRPr="00181FCD">
        <w:t>de</w:t>
      </w:r>
      <w:r w:rsidR="00F373A3" w:rsidRPr="00181FCD">
        <w:t xml:space="preserve"> </w:t>
      </w:r>
      <w:r w:rsidRPr="00181FCD">
        <w:t>parejas</w:t>
      </w:r>
      <w:r w:rsidR="00F373A3" w:rsidRPr="00181FCD">
        <w:t xml:space="preserve"> </w:t>
      </w:r>
      <w:r w:rsidRPr="00181FCD">
        <w:t>que</w:t>
      </w:r>
      <w:r w:rsidR="00F373A3" w:rsidRPr="00181FCD">
        <w:t xml:space="preserve"> </w:t>
      </w:r>
      <w:r w:rsidRPr="00181FCD">
        <w:t>conviven</w:t>
      </w:r>
      <w:r w:rsidR="00F373A3" w:rsidRPr="00181FCD">
        <w:t xml:space="preserve"> </w:t>
      </w:r>
      <w:r w:rsidRPr="00181FCD">
        <w:t>en</w:t>
      </w:r>
      <w:r w:rsidR="00F373A3" w:rsidRPr="00181FCD">
        <w:t xml:space="preserve"> </w:t>
      </w:r>
      <w:r w:rsidRPr="00181FCD">
        <w:t>una</w:t>
      </w:r>
      <w:r w:rsidR="00F373A3" w:rsidRPr="00181FCD">
        <w:t xml:space="preserve"> </w:t>
      </w:r>
      <w:r w:rsidRPr="00181FCD">
        <w:t>relación</w:t>
      </w:r>
      <w:r w:rsidR="00F373A3" w:rsidRPr="00181FCD">
        <w:t xml:space="preserve"> </w:t>
      </w:r>
      <w:r w:rsidRPr="00181FCD">
        <w:t>conyugal</w:t>
      </w:r>
      <w:r w:rsidR="00F373A3" w:rsidRPr="00181FCD">
        <w:t xml:space="preserve"> </w:t>
      </w:r>
      <w:r w:rsidRPr="00181FCD">
        <w:t>en</w:t>
      </w:r>
      <w:r w:rsidR="00F373A3" w:rsidRPr="00181FCD">
        <w:t xml:space="preserve"> </w:t>
      </w:r>
      <w:r w:rsidRPr="00181FCD">
        <w:t>que</w:t>
      </w:r>
      <w:r w:rsidR="00F373A3" w:rsidRPr="00181FCD">
        <w:t xml:space="preserve"> </w:t>
      </w:r>
      <w:r w:rsidRPr="00181FCD">
        <w:t>uno</w:t>
      </w:r>
      <w:r w:rsidR="00F373A3" w:rsidRPr="00181FCD">
        <w:t xml:space="preserve"> </w:t>
      </w:r>
      <w:r w:rsidRPr="00181FCD">
        <w:t>de</w:t>
      </w:r>
      <w:r w:rsidR="00F373A3" w:rsidRPr="00181FCD">
        <w:t xml:space="preserve"> </w:t>
      </w:r>
      <w:r w:rsidRPr="00181FCD">
        <w:t>los</w:t>
      </w:r>
      <w:r w:rsidR="00F373A3" w:rsidRPr="00181FCD">
        <w:t xml:space="preserve"> </w:t>
      </w:r>
      <w:r w:rsidRPr="00181FCD">
        <w:t>integrantes</w:t>
      </w:r>
      <w:r w:rsidR="00F373A3" w:rsidRPr="00181FCD">
        <w:t xml:space="preserve"> </w:t>
      </w:r>
      <w:r w:rsidRPr="00181FCD">
        <w:t>es</w:t>
      </w:r>
      <w:r w:rsidR="00F373A3" w:rsidRPr="00181FCD">
        <w:t xml:space="preserve"> </w:t>
      </w:r>
      <w:r w:rsidRPr="00181FCD">
        <w:t>una</w:t>
      </w:r>
      <w:r w:rsidR="00F373A3" w:rsidRPr="00181FCD">
        <w:t xml:space="preserve"> </w:t>
      </w:r>
      <w:r w:rsidRPr="00181FCD">
        <w:t>niña</w:t>
      </w:r>
      <w:r w:rsidR="00F373A3" w:rsidRPr="00181FCD">
        <w:t xml:space="preserve"> </w:t>
      </w:r>
      <w:r w:rsidRPr="00181FCD">
        <w:t>o</w:t>
      </w:r>
      <w:r w:rsidR="00F373A3" w:rsidRPr="00181FCD">
        <w:t xml:space="preserve"> </w:t>
      </w:r>
      <w:r w:rsidRPr="00181FCD">
        <w:t>una</w:t>
      </w:r>
      <w:r w:rsidR="00F373A3" w:rsidRPr="00181FCD">
        <w:t xml:space="preserve"> </w:t>
      </w:r>
      <w:r w:rsidRPr="00181FCD">
        <w:t>joven</w:t>
      </w:r>
      <w:r w:rsidR="00F373A3" w:rsidRPr="00181FCD">
        <w:t xml:space="preserve"> </w:t>
      </w:r>
      <w:r w:rsidRPr="00181FCD">
        <w:t>menor</w:t>
      </w:r>
      <w:r w:rsidR="00F373A3" w:rsidRPr="00181FCD">
        <w:t xml:space="preserve"> </w:t>
      </w:r>
      <w:r w:rsidRPr="00181FCD">
        <w:t>de</w:t>
      </w:r>
      <w:r w:rsidR="00F373A3" w:rsidRPr="00181FCD">
        <w:t xml:space="preserve"> </w:t>
      </w:r>
      <w:r w:rsidRPr="00181FCD">
        <w:t>edad.</w:t>
      </w:r>
      <w:r w:rsidR="00F373A3" w:rsidRPr="00181FCD">
        <w:t xml:space="preserve"> </w:t>
      </w:r>
      <w:r w:rsidRPr="00181FCD">
        <w:t>En</w:t>
      </w:r>
      <w:r w:rsidR="00F373A3" w:rsidRPr="00181FCD">
        <w:t xml:space="preserve"> </w:t>
      </w:r>
      <w:r w:rsidRPr="00181FCD">
        <w:t>los</w:t>
      </w:r>
      <w:r w:rsidR="00F373A3" w:rsidRPr="00181FCD">
        <w:t xml:space="preserve"> </w:t>
      </w:r>
      <w:r w:rsidRPr="00181FCD">
        <w:t>casos</w:t>
      </w:r>
      <w:r w:rsidR="00F373A3" w:rsidRPr="00181FCD">
        <w:t xml:space="preserve"> </w:t>
      </w:r>
      <w:r w:rsidRPr="00181FCD">
        <w:t>de</w:t>
      </w:r>
      <w:r w:rsidR="00F373A3" w:rsidRPr="00181FCD">
        <w:t xml:space="preserve"> </w:t>
      </w:r>
      <w:r w:rsidRPr="00181FCD">
        <w:t>los</w:t>
      </w:r>
      <w:r w:rsidR="00F373A3" w:rsidRPr="00181FCD">
        <w:t xml:space="preserve"> </w:t>
      </w:r>
      <w:r w:rsidRPr="00181FCD">
        <w:t>denominados</w:t>
      </w:r>
      <w:r w:rsidR="00F373A3" w:rsidRPr="00181FCD">
        <w:t xml:space="preserve"> "</w:t>
      </w:r>
      <w:r w:rsidRPr="00181FCD">
        <w:t>matrimonios</w:t>
      </w:r>
      <w:r w:rsidR="00F373A3" w:rsidRPr="00181FCD">
        <w:t xml:space="preserve"> </w:t>
      </w:r>
      <w:r w:rsidRPr="00181FCD">
        <w:t>precoces</w:t>
      </w:r>
      <w:r w:rsidR="00F373A3" w:rsidRPr="00181FCD">
        <w:t>"</w:t>
      </w:r>
      <w:r w:rsidRPr="00181FCD">
        <w:t>,</w:t>
      </w:r>
      <w:r w:rsidR="00F373A3" w:rsidRPr="00181FCD">
        <w:t xml:space="preserve"> </w:t>
      </w:r>
      <w:r w:rsidRPr="00181FCD">
        <w:t>el</w:t>
      </w:r>
      <w:r w:rsidR="00F373A3" w:rsidRPr="00181FCD">
        <w:t xml:space="preserve"> </w:t>
      </w:r>
      <w:r w:rsidRPr="00181FCD">
        <w:t>desarrollo</w:t>
      </w:r>
      <w:r w:rsidR="00F373A3" w:rsidRPr="00181FCD">
        <w:t xml:space="preserve"> </w:t>
      </w:r>
      <w:r w:rsidRPr="00181FCD">
        <w:t>mental</w:t>
      </w:r>
      <w:r w:rsidR="00F373A3" w:rsidRPr="00181FCD">
        <w:t xml:space="preserve"> </w:t>
      </w:r>
      <w:r w:rsidRPr="00181FCD">
        <w:t>y</w:t>
      </w:r>
      <w:r w:rsidR="00F373A3" w:rsidRPr="00181FCD">
        <w:t xml:space="preserve"> </w:t>
      </w:r>
      <w:r w:rsidRPr="00181FCD">
        <w:t>físico</w:t>
      </w:r>
      <w:r w:rsidR="00F373A3" w:rsidRPr="00181FCD">
        <w:t xml:space="preserve"> </w:t>
      </w:r>
      <w:r w:rsidRPr="00181FCD">
        <w:t>normal</w:t>
      </w:r>
      <w:r w:rsidR="00F373A3" w:rsidRPr="00181FCD">
        <w:t xml:space="preserve"> </w:t>
      </w:r>
      <w:r w:rsidRPr="00181FCD">
        <w:t>de</w:t>
      </w:r>
      <w:r w:rsidR="00F373A3" w:rsidRPr="00181FCD">
        <w:t xml:space="preserve"> </w:t>
      </w:r>
      <w:r w:rsidRPr="00181FCD">
        <w:t>la</w:t>
      </w:r>
      <w:r w:rsidR="00F373A3" w:rsidRPr="00181FCD">
        <w:t xml:space="preserve"> </w:t>
      </w:r>
      <w:r w:rsidRPr="00181FCD">
        <w:t>madre</w:t>
      </w:r>
      <w:r w:rsidR="00F373A3" w:rsidRPr="00181FCD">
        <w:t xml:space="preserve"> </w:t>
      </w:r>
      <w:r w:rsidRPr="00181FCD">
        <w:t>está</w:t>
      </w:r>
      <w:r w:rsidR="00F373A3" w:rsidRPr="00181FCD">
        <w:t xml:space="preserve"> </w:t>
      </w:r>
      <w:r w:rsidRPr="00181FCD">
        <w:t>en</w:t>
      </w:r>
      <w:r w:rsidR="00F373A3" w:rsidRPr="00181FCD">
        <w:t xml:space="preserve"> </w:t>
      </w:r>
      <w:r w:rsidRPr="00181FCD">
        <w:t>peligro,</w:t>
      </w:r>
      <w:r w:rsidR="00F373A3" w:rsidRPr="00181FCD">
        <w:t xml:space="preserve"> </w:t>
      </w:r>
      <w:r w:rsidRPr="00181FCD">
        <w:t>y</w:t>
      </w:r>
      <w:r w:rsidR="00F373A3" w:rsidRPr="00181FCD">
        <w:t xml:space="preserve"> </w:t>
      </w:r>
      <w:r w:rsidRPr="00181FCD">
        <w:t>tanto</w:t>
      </w:r>
      <w:r w:rsidR="00F373A3" w:rsidRPr="00181FCD">
        <w:t xml:space="preserve"> </w:t>
      </w:r>
      <w:r w:rsidRPr="00181FCD">
        <w:t>la</w:t>
      </w:r>
      <w:r w:rsidR="00F373A3" w:rsidRPr="00181FCD">
        <w:t xml:space="preserve"> </w:t>
      </w:r>
      <w:r w:rsidRPr="00181FCD">
        <w:t>madre</w:t>
      </w:r>
      <w:r w:rsidR="00F373A3" w:rsidRPr="00181FCD">
        <w:t xml:space="preserve"> </w:t>
      </w:r>
      <w:r w:rsidRPr="00181FCD">
        <w:t>niña</w:t>
      </w:r>
      <w:r w:rsidR="00F373A3" w:rsidRPr="00181FCD">
        <w:t xml:space="preserve"> </w:t>
      </w:r>
      <w:r w:rsidRPr="00181FCD">
        <w:t>o</w:t>
      </w:r>
      <w:r w:rsidR="00F373A3" w:rsidRPr="00181FCD">
        <w:t xml:space="preserve"> </w:t>
      </w:r>
      <w:r w:rsidRPr="00181FCD">
        <w:t>joven</w:t>
      </w:r>
      <w:r w:rsidR="00F373A3" w:rsidRPr="00181FCD">
        <w:t xml:space="preserve"> </w:t>
      </w:r>
      <w:r w:rsidRPr="00181FCD">
        <w:t>menor</w:t>
      </w:r>
      <w:r w:rsidR="00F373A3" w:rsidRPr="00181FCD">
        <w:t xml:space="preserve"> </w:t>
      </w:r>
      <w:r w:rsidRPr="00181FCD">
        <w:t>de</w:t>
      </w:r>
      <w:r w:rsidR="00F373A3" w:rsidRPr="00181FCD">
        <w:t xml:space="preserve"> </w:t>
      </w:r>
      <w:r w:rsidRPr="00181FCD">
        <w:t>edad,</w:t>
      </w:r>
      <w:r w:rsidR="00F373A3" w:rsidRPr="00181FCD">
        <w:t xml:space="preserve"> </w:t>
      </w:r>
      <w:r w:rsidRPr="00181FCD">
        <w:t>como</w:t>
      </w:r>
      <w:r w:rsidR="00F373A3" w:rsidRPr="00181FCD">
        <w:t xml:space="preserve"> </w:t>
      </w:r>
      <w:r w:rsidRPr="00181FCD">
        <w:t>su</w:t>
      </w:r>
      <w:r w:rsidR="00F373A3" w:rsidRPr="00181FCD">
        <w:t xml:space="preserve"> </w:t>
      </w:r>
      <w:r w:rsidRPr="00181FCD">
        <w:t>hijo</w:t>
      </w:r>
      <w:r w:rsidR="00F373A3" w:rsidRPr="00181FCD">
        <w:t xml:space="preserve"> </w:t>
      </w:r>
      <w:r w:rsidRPr="00181FCD">
        <w:t>recién</w:t>
      </w:r>
      <w:r w:rsidR="00F373A3" w:rsidRPr="00181FCD">
        <w:t xml:space="preserve"> </w:t>
      </w:r>
      <w:r w:rsidRPr="00181FCD">
        <w:t>nacido,</w:t>
      </w:r>
      <w:r w:rsidR="00F373A3" w:rsidRPr="00181FCD">
        <w:t xml:space="preserve"> </w:t>
      </w:r>
      <w:r w:rsidRPr="00181FCD">
        <w:t>están</w:t>
      </w:r>
      <w:r w:rsidR="00F373A3" w:rsidRPr="00181FCD">
        <w:t xml:space="preserve"> </w:t>
      </w:r>
      <w:r w:rsidRPr="00181FCD">
        <w:t>expuestos</w:t>
      </w:r>
      <w:r w:rsidR="00F373A3" w:rsidRPr="00181FCD">
        <w:t xml:space="preserve"> </w:t>
      </w:r>
      <w:r w:rsidRPr="00181FCD">
        <w:t>a</w:t>
      </w:r>
      <w:r w:rsidR="00F373A3" w:rsidRPr="00181FCD">
        <w:t xml:space="preserve"> </w:t>
      </w:r>
      <w:r w:rsidRPr="00181FCD">
        <w:t>riesgo.</w:t>
      </w:r>
    </w:p>
    <w:p w:rsidR="001937F4" w:rsidRPr="00181FCD" w:rsidRDefault="001937F4" w:rsidP="00347B20">
      <w:pPr>
        <w:pStyle w:val="SingleTxtG"/>
        <w:suppressAutoHyphens/>
      </w:pPr>
      <w:r w:rsidRPr="00181FCD">
        <w:t>57.</w:t>
      </w:r>
      <w:r w:rsidRPr="00181FCD">
        <w:tab/>
        <w:t>Se</w:t>
      </w:r>
      <w:r w:rsidR="00F373A3" w:rsidRPr="00181FCD">
        <w:t xml:space="preserve"> </w:t>
      </w:r>
      <w:r w:rsidRPr="00181FCD">
        <w:t>ha</w:t>
      </w:r>
      <w:r w:rsidR="00F373A3" w:rsidRPr="00181FCD">
        <w:t xml:space="preserve"> </w:t>
      </w:r>
      <w:r w:rsidRPr="00181FCD">
        <w:t>remitido</w:t>
      </w:r>
      <w:r w:rsidR="00F373A3" w:rsidRPr="00181FCD">
        <w:t xml:space="preserve"> </w:t>
      </w:r>
      <w:r w:rsidRPr="00181FCD">
        <w:t>a</w:t>
      </w:r>
      <w:r w:rsidR="00F373A3" w:rsidRPr="00181FCD">
        <w:t xml:space="preserve"> </w:t>
      </w:r>
      <w:r w:rsidRPr="00181FCD">
        <w:t>la</w:t>
      </w:r>
      <w:r w:rsidR="00F373A3" w:rsidRPr="00181FCD">
        <w:t xml:space="preserve"> </w:t>
      </w:r>
      <w:r w:rsidRPr="00181FCD">
        <w:t>Fiscalía</w:t>
      </w:r>
      <w:r w:rsidR="00F373A3" w:rsidRPr="00181FCD">
        <w:t xml:space="preserve"> </w:t>
      </w:r>
      <w:r w:rsidRPr="00181FCD">
        <w:t>General</w:t>
      </w:r>
      <w:r w:rsidR="00F373A3" w:rsidRPr="00181FCD">
        <w:t xml:space="preserve"> </w:t>
      </w:r>
      <w:r w:rsidRPr="00181FCD">
        <w:t>de</w:t>
      </w:r>
      <w:r w:rsidR="00F373A3" w:rsidRPr="00181FCD">
        <w:t xml:space="preserve"> </w:t>
      </w:r>
      <w:r w:rsidRPr="00181FCD">
        <w:t>la</w:t>
      </w:r>
      <w:r w:rsidR="00F373A3" w:rsidRPr="00181FCD">
        <w:t xml:space="preserve"> </w:t>
      </w:r>
      <w:r w:rsidRPr="00181FCD">
        <w:t>República</w:t>
      </w:r>
      <w:r w:rsidR="00F373A3" w:rsidRPr="00181FCD">
        <w:t xml:space="preserve"> </w:t>
      </w:r>
      <w:r w:rsidRPr="00181FCD">
        <w:t>de</w:t>
      </w:r>
      <w:r w:rsidR="00F373A3" w:rsidRPr="00181FCD">
        <w:t xml:space="preserve"> </w:t>
      </w:r>
      <w:r w:rsidRPr="00181FCD">
        <w:t>Bulgaria</w:t>
      </w:r>
      <w:r w:rsidR="00F373A3" w:rsidRPr="00181FCD">
        <w:t xml:space="preserve"> </w:t>
      </w:r>
      <w:r w:rsidRPr="00181FCD">
        <w:t>un</w:t>
      </w:r>
      <w:r w:rsidR="00F373A3" w:rsidRPr="00181FCD">
        <w:t xml:space="preserve"> </w:t>
      </w:r>
      <w:r w:rsidRPr="00181FCD">
        <w:t>mayor</w:t>
      </w:r>
      <w:r w:rsidR="00F373A3" w:rsidRPr="00181FCD">
        <w:t xml:space="preserve"> </w:t>
      </w:r>
      <w:r w:rsidRPr="00181FCD">
        <w:t>número</w:t>
      </w:r>
      <w:r w:rsidR="00F373A3" w:rsidRPr="00181FCD">
        <w:t xml:space="preserve"> </w:t>
      </w:r>
      <w:r w:rsidRPr="00181FCD">
        <w:t>de</w:t>
      </w:r>
      <w:r w:rsidR="00F373A3" w:rsidRPr="00181FCD">
        <w:t xml:space="preserve"> </w:t>
      </w:r>
      <w:r w:rsidRPr="00181FCD">
        <w:t>casos</w:t>
      </w:r>
      <w:r w:rsidR="00F373A3" w:rsidRPr="00181FCD">
        <w:t xml:space="preserve"> </w:t>
      </w:r>
      <w:r w:rsidRPr="00181FCD">
        <w:t>en</w:t>
      </w:r>
      <w:r w:rsidR="00F373A3" w:rsidRPr="00181FCD">
        <w:t xml:space="preserve"> </w:t>
      </w:r>
      <w:r w:rsidRPr="00181FCD">
        <w:t>que</w:t>
      </w:r>
      <w:r w:rsidR="00F373A3" w:rsidRPr="00181FCD">
        <w:t xml:space="preserve"> </w:t>
      </w:r>
      <w:r w:rsidRPr="00181FCD">
        <w:t>los</w:t>
      </w:r>
      <w:r w:rsidR="00F373A3" w:rsidRPr="00181FCD">
        <w:t xml:space="preserve"> </w:t>
      </w:r>
      <w:r w:rsidRPr="00181FCD">
        <w:t>fiscales</w:t>
      </w:r>
      <w:r w:rsidR="00F373A3" w:rsidRPr="00181FCD">
        <w:t xml:space="preserve"> </w:t>
      </w:r>
      <w:r w:rsidRPr="00181FCD">
        <w:t>regionales</w:t>
      </w:r>
      <w:r w:rsidR="00F373A3" w:rsidRPr="00181FCD">
        <w:t xml:space="preserve"> </w:t>
      </w:r>
      <w:r w:rsidRPr="00181FCD">
        <w:t>se</w:t>
      </w:r>
      <w:r w:rsidR="00F373A3" w:rsidRPr="00181FCD">
        <w:t xml:space="preserve"> </w:t>
      </w:r>
      <w:r w:rsidRPr="00181FCD">
        <w:t>niegan</w:t>
      </w:r>
      <w:r w:rsidR="00F373A3" w:rsidRPr="00181FCD">
        <w:t xml:space="preserve"> </w:t>
      </w:r>
      <w:r w:rsidRPr="00181FCD">
        <w:t>a</w:t>
      </w:r>
      <w:r w:rsidR="00F373A3" w:rsidRPr="00181FCD">
        <w:t xml:space="preserve"> </w:t>
      </w:r>
      <w:r w:rsidRPr="00181FCD">
        <w:t>enjuiciar</w:t>
      </w:r>
      <w:r w:rsidR="00F373A3" w:rsidRPr="00181FCD">
        <w:t xml:space="preserve"> </w:t>
      </w:r>
      <w:r w:rsidRPr="00181FCD">
        <w:t>a</w:t>
      </w:r>
      <w:r w:rsidR="00F373A3" w:rsidRPr="00181FCD">
        <w:t xml:space="preserve"> </w:t>
      </w:r>
      <w:r w:rsidRPr="00181FCD">
        <w:t>las</w:t>
      </w:r>
      <w:r w:rsidR="00F373A3" w:rsidRPr="00181FCD">
        <w:t xml:space="preserve"> </w:t>
      </w:r>
      <w:r w:rsidRPr="00181FCD">
        <w:t>personas</w:t>
      </w:r>
      <w:r w:rsidR="00F373A3" w:rsidRPr="00181FCD">
        <w:t xml:space="preserve"> </w:t>
      </w:r>
      <w:r w:rsidRPr="00181FCD">
        <w:t>que</w:t>
      </w:r>
      <w:r w:rsidR="00F373A3" w:rsidRPr="00181FCD">
        <w:t xml:space="preserve"> </w:t>
      </w:r>
      <w:r w:rsidRPr="00181FCD">
        <w:t>cohabitan</w:t>
      </w:r>
      <w:r w:rsidR="00F373A3" w:rsidRPr="00181FCD">
        <w:t xml:space="preserve"> </w:t>
      </w:r>
      <w:r w:rsidRPr="00181FCD">
        <w:t>en</w:t>
      </w:r>
      <w:r w:rsidR="00F373A3" w:rsidRPr="00181FCD">
        <w:t xml:space="preserve"> </w:t>
      </w:r>
      <w:r w:rsidRPr="00181FCD">
        <w:t>una</w:t>
      </w:r>
      <w:r w:rsidR="00F373A3" w:rsidRPr="00181FCD">
        <w:t xml:space="preserve"> </w:t>
      </w:r>
      <w:r w:rsidRPr="00181FCD">
        <w:t>relación</w:t>
      </w:r>
      <w:r w:rsidR="00F373A3" w:rsidRPr="00181FCD">
        <w:t xml:space="preserve"> </w:t>
      </w:r>
      <w:r w:rsidRPr="00181FCD">
        <w:t>conyugal</w:t>
      </w:r>
      <w:r w:rsidR="00F373A3" w:rsidRPr="00181FCD">
        <w:t xml:space="preserve"> </w:t>
      </w:r>
      <w:r w:rsidRPr="00181FCD">
        <w:t>con</w:t>
      </w:r>
      <w:r w:rsidR="00F373A3" w:rsidRPr="00181FCD">
        <w:t xml:space="preserve"> </w:t>
      </w:r>
      <w:r w:rsidRPr="00181FCD">
        <w:t>niñas</w:t>
      </w:r>
      <w:r w:rsidR="00F373A3" w:rsidRPr="00181FCD">
        <w:t xml:space="preserve"> </w:t>
      </w:r>
      <w:r w:rsidRPr="00181FCD">
        <w:t>o</w:t>
      </w:r>
      <w:r w:rsidR="00F373A3" w:rsidRPr="00181FCD">
        <w:t xml:space="preserve"> </w:t>
      </w:r>
      <w:r w:rsidRPr="00181FCD">
        <w:t>jóvenes</w:t>
      </w:r>
      <w:r w:rsidR="00F373A3" w:rsidRPr="00181FCD">
        <w:t xml:space="preserve"> </w:t>
      </w:r>
      <w:r w:rsidRPr="00181FCD">
        <w:t>menores</w:t>
      </w:r>
      <w:r w:rsidR="00F373A3" w:rsidRPr="00181FCD">
        <w:t xml:space="preserve"> </w:t>
      </w:r>
      <w:r w:rsidRPr="00181FCD">
        <w:t>de</w:t>
      </w:r>
      <w:r w:rsidR="00F373A3" w:rsidRPr="00181FCD">
        <w:t xml:space="preserve"> </w:t>
      </w:r>
      <w:r w:rsidRPr="00181FCD">
        <w:t>edad.</w:t>
      </w:r>
      <w:r w:rsidR="00F373A3" w:rsidRPr="00181FCD">
        <w:t xml:space="preserve"> </w:t>
      </w:r>
      <w:r w:rsidRPr="00181FCD">
        <w:t>Como</w:t>
      </w:r>
      <w:r w:rsidR="00F373A3" w:rsidRPr="00181FCD">
        <w:t xml:space="preserve"> </w:t>
      </w:r>
      <w:r w:rsidRPr="00181FCD">
        <w:t>motivo</w:t>
      </w:r>
      <w:r w:rsidR="00F373A3" w:rsidRPr="00181FCD">
        <w:t xml:space="preserve"> </w:t>
      </w:r>
      <w:r w:rsidRPr="00181FCD">
        <w:t>se</w:t>
      </w:r>
      <w:r w:rsidR="00F373A3" w:rsidRPr="00181FCD">
        <w:t xml:space="preserve"> </w:t>
      </w:r>
      <w:r w:rsidRPr="00181FCD">
        <w:t>ha</w:t>
      </w:r>
      <w:r w:rsidR="00F373A3" w:rsidRPr="00181FCD">
        <w:t xml:space="preserve"> </w:t>
      </w:r>
      <w:r w:rsidRPr="00181FCD">
        <w:t>esgrimido</w:t>
      </w:r>
      <w:r w:rsidR="00F373A3" w:rsidRPr="00181FCD">
        <w:t xml:space="preserve"> </w:t>
      </w:r>
      <w:r w:rsidRPr="00181FCD">
        <w:t>el</w:t>
      </w:r>
      <w:r w:rsidR="00F373A3" w:rsidRPr="00181FCD">
        <w:t xml:space="preserve"> </w:t>
      </w:r>
      <w:r w:rsidRPr="00181FCD">
        <w:t>origen</w:t>
      </w:r>
      <w:r w:rsidR="00F373A3" w:rsidRPr="00181FCD">
        <w:t xml:space="preserve"> </w:t>
      </w:r>
      <w:r w:rsidRPr="00181FCD">
        <w:t>étnico</w:t>
      </w:r>
      <w:r w:rsidR="00F373A3" w:rsidRPr="00181FCD">
        <w:t xml:space="preserve"> </w:t>
      </w:r>
      <w:r w:rsidRPr="00181FCD">
        <w:t>de</w:t>
      </w:r>
      <w:r w:rsidR="00F373A3" w:rsidRPr="00181FCD">
        <w:t xml:space="preserve"> </w:t>
      </w:r>
      <w:r w:rsidRPr="00181FCD">
        <w:t>las</w:t>
      </w:r>
      <w:r w:rsidR="00F373A3" w:rsidRPr="00181FCD">
        <w:t xml:space="preserve"> </w:t>
      </w:r>
      <w:r w:rsidRPr="00181FCD">
        <w:t>personas,</w:t>
      </w:r>
      <w:r w:rsidR="00F373A3" w:rsidRPr="00181FCD">
        <w:t xml:space="preserve"> </w:t>
      </w:r>
      <w:r w:rsidRPr="00181FCD">
        <w:t>que</w:t>
      </w:r>
      <w:r w:rsidR="00F373A3" w:rsidRPr="00181FCD">
        <w:t xml:space="preserve"> </w:t>
      </w:r>
      <w:r w:rsidRPr="00181FCD">
        <w:t>pertenecen</w:t>
      </w:r>
      <w:r w:rsidR="00F373A3" w:rsidRPr="00181FCD">
        <w:t xml:space="preserve"> </w:t>
      </w:r>
      <w:r w:rsidRPr="00181FCD">
        <w:t>a</w:t>
      </w:r>
      <w:r w:rsidR="00F373A3" w:rsidRPr="00181FCD">
        <w:t xml:space="preserve"> </w:t>
      </w:r>
      <w:r w:rsidRPr="00181FCD">
        <w:t>la</w:t>
      </w:r>
      <w:r w:rsidR="00F373A3" w:rsidRPr="00181FCD">
        <w:t xml:space="preserve"> </w:t>
      </w:r>
      <w:r w:rsidRPr="00181FCD">
        <w:t>población</w:t>
      </w:r>
      <w:r w:rsidR="00F373A3" w:rsidRPr="00181FCD">
        <w:t xml:space="preserve"> </w:t>
      </w:r>
      <w:r w:rsidRPr="00181FCD">
        <w:t>romaní</w:t>
      </w:r>
      <w:r w:rsidR="00672EC2" w:rsidRPr="00181FCD">
        <w:t xml:space="preserve"> </w:t>
      </w:r>
      <w:r w:rsidRPr="00181FCD">
        <w:t>y</w:t>
      </w:r>
      <w:r w:rsidR="00F373A3" w:rsidRPr="00181FCD">
        <w:t xml:space="preserve"> </w:t>
      </w:r>
      <w:r w:rsidRPr="00181FCD">
        <w:t>aplican</w:t>
      </w:r>
      <w:r w:rsidR="00F373A3" w:rsidRPr="00181FCD">
        <w:t xml:space="preserve"> </w:t>
      </w:r>
      <w:r w:rsidRPr="00181FCD">
        <w:t>sus</w:t>
      </w:r>
      <w:r w:rsidR="00F373A3" w:rsidRPr="00181FCD">
        <w:t xml:space="preserve"> </w:t>
      </w:r>
      <w:r w:rsidRPr="00181FCD">
        <w:t>tradiciones</w:t>
      </w:r>
      <w:r w:rsidR="00F373A3" w:rsidRPr="00181FCD">
        <w:t xml:space="preserve"> </w:t>
      </w:r>
      <w:r w:rsidRPr="00181FCD">
        <w:t>y</w:t>
      </w:r>
      <w:r w:rsidR="00F373A3" w:rsidRPr="00181FCD">
        <w:t xml:space="preserve"> </w:t>
      </w:r>
      <w:r w:rsidRPr="00181FCD">
        <w:t>costumbres.</w:t>
      </w:r>
      <w:r w:rsidR="00F373A3" w:rsidRPr="00181FCD">
        <w:t xml:space="preserve"> </w:t>
      </w:r>
      <w:r w:rsidRPr="00181FCD">
        <w:t>Como</w:t>
      </w:r>
      <w:r w:rsidR="00F373A3" w:rsidRPr="00181FCD">
        <w:t xml:space="preserve"> </w:t>
      </w:r>
      <w:r w:rsidRPr="00181FCD">
        <w:t>resultado</w:t>
      </w:r>
      <w:r w:rsidR="00F373A3" w:rsidRPr="00181FCD">
        <w:t xml:space="preserve"> </w:t>
      </w:r>
      <w:r w:rsidRPr="00181FCD">
        <w:t>de</w:t>
      </w:r>
      <w:r w:rsidR="00F373A3" w:rsidRPr="00181FCD">
        <w:t xml:space="preserve"> </w:t>
      </w:r>
      <w:r w:rsidRPr="00181FCD">
        <w:t>las</w:t>
      </w:r>
      <w:r w:rsidR="00F373A3" w:rsidRPr="00181FCD">
        <w:t xml:space="preserve"> </w:t>
      </w:r>
      <w:r w:rsidRPr="00181FCD">
        <w:t>medidas</w:t>
      </w:r>
      <w:r w:rsidR="00F373A3" w:rsidRPr="00181FCD">
        <w:t xml:space="preserve"> </w:t>
      </w:r>
      <w:r w:rsidRPr="00181FCD">
        <w:t>tomadas</w:t>
      </w:r>
      <w:r w:rsidR="00F373A3" w:rsidRPr="00181FCD">
        <w:t xml:space="preserve"> </w:t>
      </w:r>
      <w:r w:rsidRPr="00181FCD">
        <w:t>por</w:t>
      </w:r>
      <w:r w:rsidR="00F373A3" w:rsidRPr="00181FCD">
        <w:t xml:space="preserve"> </w:t>
      </w:r>
      <w:r w:rsidRPr="00181FCD">
        <w:t>la</w:t>
      </w:r>
      <w:r w:rsidR="00F373A3" w:rsidRPr="00181FCD">
        <w:t xml:space="preserve"> </w:t>
      </w:r>
      <w:r w:rsidRPr="00181FCD">
        <w:t>Agencia</w:t>
      </w:r>
      <w:r w:rsidR="00F373A3" w:rsidRPr="00181FCD">
        <w:t xml:space="preserve"> </w:t>
      </w:r>
      <w:r w:rsidRPr="00181FCD">
        <w:t>Estatal</w:t>
      </w:r>
      <w:r w:rsidR="00F373A3" w:rsidRPr="00181FCD">
        <w:t xml:space="preserve"> </w:t>
      </w:r>
      <w:r w:rsidRPr="00181FCD">
        <w:t>de</w:t>
      </w:r>
      <w:r w:rsidR="00F373A3" w:rsidRPr="00181FCD">
        <w:t xml:space="preserve"> </w:t>
      </w:r>
      <w:r w:rsidRPr="00181FCD">
        <w:t>Protección</w:t>
      </w:r>
      <w:r w:rsidR="00F373A3" w:rsidRPr="00181FCD">
        <w:t xml:space="preserve"> </w:t>
      </w:r>
      <w:r w:rsidRPr="00181FCD">
        <w:t>del</w:t>
      </w:r>
      <w:r w:rsidR="00F373A3" w:rsidRPr="00181FCD">
        <w:t xml:space="preserve"> </w:t>
      </w:r>
      <w:r w:rsidRPr="00181FCD">
        <w:t>Niño</w:t>
      </w:r>
      <w:r w:rsidR="00F373A3" w:rsidRPr="00181FCD">
        <w:t xml:space="preserve"> </w:t>
      </w:r>
      <w:r w:rsidRPr="00181FCD">
        <w:t>en</w:t>
      </w:r>
      <w:r w:rsidR="00F373A3" w:rsidRPr="00181FCD">
        <w:t xml:space="preserve"> </w:t>
      </w:r>
      <w:r w:rsidRPr="00181FCD">
        <w:t>diciembre</w:t>
      </w:r>
      <w:r w:rsidR="00F373A3" w:rsidRPr="00181FCD">
        <w:t xml:space="preserve"> </w:t>
      </w:r>
      <w:r w:rsidRPr="00181FCD">
        <w:t>de</w:t>
      </w:r>
      <w:r w:rsidR="00F373A3" w:rsidRPr="00181FCD">
        <w:t xml:space="preserve"> </w:t>
      </w:r>
      <w:r w:rsidRPr="00181FCD">
        <w:t>2010,</w:t>
      </w:r>
      <w:r w:rsidR="00F373A3" w:rsidRPr="00181FCD">
        <w:t xml:space="preserve"> </w:t>
      </w:r>
      <w:r w:rsidRPr="00181FCD">
        <w:t>el</w:t>
      </w:r>
      <w:r w:rsidR="00F373A3" w:rsidRPr="00181FCD">
        <w:t xml:space="preserve"> </w:t>
      </w:r>
      <w:r w:rsidRPr="00181FCD">
        <w:t>Fiscal</w:t>
      </w:r>
      <w:r w:rsidR="00F373A3" w:rsidRPr="00181FCD">
        <w:t xml:space="preserve"> </w:t>
      </w:r>
      <w:r w:rsidRPr="00181FCD">
        <w:t>General</w:t>
      </w:r>
      <w:r w:rsidR="00F373A3" w:rsidRPr="00181FCD">
        <w:t xml:space="preserve"> </w:t>
      </w:r>
      <w:r w:rsidRPr="00181FCD">
        <w:t>emitió</w:t>
      </w:r>
      <w:r w:rsidR="00F373A3" w:rsidRPr="00181FCD">
        <w:t xml:space="preserve"> </w:t>
      </w:r>
      <w:r w:rsidRPr="00181FCD">
        <w:t>directrices</w:t>
      </w:r>
      <w:r w:rsidR="00F373A3" w:rsidRPr="00181FCD">
        <w:t xml:space="preserve"> </w:t>
      </w:r>
      <w:r w:rsidRPr="00181FCD">
        <w:t>metodológicas</w:t>
      </w:r>
      <w:r w:rsidR="00F373A3" w:rsidRPr="00181FCD">
        <w:t xml:space="preserve"> </w:t>
      </w:r>
      <w:r w:rsidRPr="00181FCD">
        <w:t>para</w:t>
      </w:r>
      <w:r w:rsidR="00F373A3" w:rsidRPr="00181FCD">
        <w:t xml:space="preserve"> </w:t>
      </w:r>
      <w:r w:rsidRPr="00181FCD">
        <w:t>mejorar</w:t>
      </w:r>
      <w:r w:rsidR="00F373A3" w:rsidRPr="00181FCD">
        <w:t xml:space="preserve"> </w:t>
      </w:r>
      <w:r w:rsidRPr="00181FCD">
        <w:t>las</w:t>
      </w:r>
      <w:r w:rsidR="00F373A3" w:rsidRPr="00181FCD">
        <w:t xml:space="preserve"> </w:t>
      </w:r>
      <w:r w:rsidRPr="00181FCD">
        <w:t>funciones</w:t>
      </w:r>
      <w:r w:rsidR="00F373A3" w:rsidRPr="00181FCD">
        <w:t xml:space="preserve"> </w:t>
      </w:r>
      <w:r w:rsidRPr="00181FCD">
        <w:t>de</w:t>
      </w:r>
      <w:r w:rsidR="00F373A3" w:rsidRPr="00181FCD">
        <w:t xml:space="preserve"> </w:t>
      </w:r>
      <w:r w:rsidRPr="00181FCD">
        <w:t>la</w:t>
      </w:r>
      <w:r w:rsidR="00F373A3" w:rsidRPr="00181FCD">
        <w:t xml:space="preserve"> </w:t>
      </w:r>
      <w:r w:rsidRPr="00181FCD">
        <w:t>fiscalía</w:t>
      </w:r>
      <w:r w:rsidR="00F373A3" w:rsidRPr="00181FCD">
        <w:t xml:space="preserve"> </w:t>
      </w:r>
      <w:r w:rsidRPr="00181FCD">
        <w:t>en</w:t>
      </w:r>
      <w:r w:rsidR="00F373A3" w:rsidRPr="00181FCD">
        <w:t xml:space="preserve"> </w:t>
      </w:r>
      <w:r w:rsidRPr="00181FCD">
        <w:t>el</w:t>
      </w:r>
      <w:r w:rsidR="00F373A3" w:rsidRPr="00181FCD">
        <w:t xml:space="preserve"> </w:t>
      </w:r>
      <w:r w:rsidRPr="00181FCD">
        <w:t>inicio</w:t>
      </w:r>
      <w:r w:rsidR="00F373A3" w:rsidRPr="00181FCD">
        <w:t xml:space="preserve"> </w:t>
      </w:r>
      <w:r w:rsidRPr="00181FCD">
        <w:t>y</w:t>
      </w:r>
      <w:r w:rsidR="00F373A3" w:rsidRPr="00181FCD">
        <w:t xml:space="preserve"> </w:t>
      </w:r>
      <w:r w:rsidRPr="00181FCD">
        <w:t>la</w:t>
      </w:r>
      <w:r w:rsidR="00F373A3" w:rsidRPr="00181FCD">
        <w:t xml:space="preserve"> </w:t>
      </w:r>
      <w:r w:rsidRPr="00181FCD">
        <w:t>terminación</w:t>
      </w:r>
      <w:r w:rsidR="00F373A3" w:rsidRPr="00181FCD">
        <w:t xml:space="preserve"> </w:t>
      </w:r>
      <w:r w:rsidRPr="00181FCD">
        <w:t>de</w:t>
      </w:r>
      <w:r w:rsidR="00F373A3" w:rsidRPr="00181FCD">
        <w:t xml:space="preserve"> </w:t>
      </w:r>
      <w:r w:rsidRPr="00181FCD">
        <w:t>un</w:t>
      </w:r>
      <w:r w:rsidR="00F373A3" w:rsidRPr="00181FCD">
        <w:t xml:space="preserve"> </w:t>
      </w:r>
      <w:r w:rsidRPr="00181FCD">
        <w:t>proceso</w:t>
      </w:r>
      <w:r w:rsidR="00F373A3" w:rsidRPr="00181FCD">
        <w:t xml:space="preserve"> </w:t>
      </w:r>
      <w:r w:rsidRPr="00181FCD">
        <w:t>penal</w:t>
      </w:r>
      <w:r w:rsidR="00F373A3" w:rsidRPr="00181FCD">
        <w:t xml:space="preserve"> </w:t>
      </w:r>
      <w:r w:rsidRPr="00181FCD">
        <w:t>en</w:t>
      </w:r>
      <w:r w:rsidR="00F373A3" w:rsidRPr="00181FCD">
        <w:t xml:space="preserve"> </w:t>
      </w:r>
      <w:r w:rsidRPr="00181FCD">
        <w:t>virtud</w:t>
      </w:r>
      <w:r w:rsidR="00F373A3" w:rsidRPr="00181FCD">
        <w:t xml:space="preserve"> </w:t>
      </w:r>
      <w:r w:rsidRPr="00181FCD">
        <w:t>del</w:t>
      </w:r>
      <w:r w:rsidR="00F373A3" w:rsidRPr="00181FCD">
        <w:t xml:space="preserve"> </w:t>
      </w:r>
      <w:r w:rsidRPr="00181FCD">
        <w:t>artículo</w:t>
      </w:r>
      <w:r w:rsidR="00F373A3" w:rsidRPr="00181FCD">
        <w:t xml:space="preserve"> </w:t>
      </w:r>
      <w:r w:rsidRPr="00181FCD">
        <w:t>151,</w:t>
      </w:r>
      <w:r w:rsidR="00F373A3" w:rsidRPr="00181FCD">
        <w:t xml:space="preserve"> </w:t>
      </w:r>
      <w:r w:rsidRPr="00181FCD">
        <w:t>párrafo</w:t>
      </w:r>
      <w:r w:rsidR="00F373A3" w:rsidRPr="00181FCD">
        <w:t xml:space="preserve"> </w:t>
      </w:r>
      <w:r w:rsidRPr="00181FCD">
        <w:t>1</w:t>
      </w:r>
      <w:r w:rsidR="00F373A3" w:rsidRPr="00181FCD">
        <w:t xml:space="preserve"> </w:t>
      </w:r>
      <w:r w:rsidRPr="00181FCD">
        <w:t>y</w:t>
      </w:r>
      <w:r w:rsidR="00F373A3" w:rsidRPr="00181FCD">
        <w:t xml:space="preserve"> </w:t>
      </w:r>
      <w:r w:rsidRPr="00181FCD">
        <w:t>el</w:t>
      </w:r>
      <w:r w:rsidR="00F373A3" w:rsidRPr="00181FCD">
        <w:t xml:space="preserve"> </w:t>
      </w:r>
      <w:r w:rsidRPr="00181FCD">
        <w:t>artículo</w:t>
      </w:r>
      <w:r w:rsidR="00F373A3" w:rsidRPr="00181FCD">
        <w:t xml:space="preserve"> </w:t>
      </w:r>
      <w:r w:rsidRPr="00181FCD">
        <w:t>191,</w:t>
      </w:r>
      <w:r w:rsidR="00F373A3" w:rsidRPr="00181FCD">
        <w:t xml:space="preserve"> </w:t>
      </w:r>
      <w:r w:rsidRPr="00181FCD">
        <w:t>párrafo</w:t>
      </w:r>
      <w:r w:rsidR="00F373A3" w:rsidRPr="00181FCD">
        <w:t xml:space="preserve"> </w:t>
      </w:r>
      <w:r w:rsidRPr="00181FCD">
        <w:t>3</w:t>
      </w:r>
      <w:r w:rsidR="00F373A3" w:rsidRPr="00181FCD">
        <w:t xml:space="preserve"> </w:t>
      </w:r>
      <w:r w:rsidRPr="00181FCD">
        <w:t>del</w:t>
      </w:r>
      <w:r w:rsidR="00F373A3" w:rsidRPr="00181FCD">
        <w:t xml:space="preserve"> </w:t>
      </w:r>
      <w:r w:rsidRPr="00181FCD">
        <w:t>Código</w:t>
      </w:r>
      <w:r w:rsidR="00F373A3" w:rsidRPr="00181FCD">
        <w:t xml:space="preserve"> </w:t>
      </w:r>
      <w:r w:rsidRPr="00181FCD">
        <w:t>Penal.</w:t>
      </w:r>
      <w:r w:rsidR="00F373A3" w:rsidRPr="00181FCD">
        <w:t xml:space="preserve"> </w:t>
      </w:r>
      <w:r w:rsidRPr="00181FCD">
        <w:t>Las</w:t>
      </w:r>
      <w:r w:rsidR="00F373A3" w:rsidRPr="00181FCD">
        <w:t xml:space="preserve"> </w:t>
      </w:r>
      <w:r w:rsidRPr="00181FCD">
        <w:t>directrices</w:t>
      </w:r>
      <w:r w:rsidR="00F373A3" w:rsidRPr="00181FCD">
        <w:t xml:space="preserve"> </w:t>
      </w:r>
      <w:r w:rsidRPr="00181FCD">
        <w:t>estaban</w:t>
      </w:r>
      <w:r w:rsidR="00F373A3" w:rsidRPr="00181FCD">
        <w:t xml:space="preserve"> </w:t>
      </w:r>
      <w:r w:rsidRPr="00181FCD">
        <w:t>dirigidas</w:t>
      </w:r>
      <w:r w:rsidR="00F373A3" w:rsidRPr="00181FCD">
        <w:t xml:space="preserve"> </w:t>
      </w:r>
      <w:r w:rsidRPr="00181FCD">
        <w:t>a</w:t>
      </w:r>
      <w:r w:rsidR="00F373A3" w:rsidRPr="00181FCD">
        <w:t xml:space="preserve"> </w:t>
      </w:r>
      <w:r w:rsidRPr="00181FCD">
        <w:t>los</w:t>
      </w:r>
      <w:r w:rsidR="00F373A3" w:rsidRPr="00181FCD">
        <w:t xml:space="preserve"> </w:t>
      </w:r>
      <w:r w:rsidRPr="00181FCD">
        <w:t>jefes</w:t>
      </w:r>
      <w:r w:rsidR="00F373A3" w:rsidRPr="00181FCD">
        <w:t xml:space="preserve"> </w:t>
      </w:r>
      <w:r w:rsidRPr="00181FCD">
        <w:t>administrativos</w:t>
      </w:r>
      <w:r w:rsidR="00F373A3" w:rsidRPr="00181FCD">
        <w:t xml:space="preserve"> </w:t>
      </w:r>
      <w:r w:rsidRPr="00181FCD">
        <w:t>de</w:t>
      </w:r>
      <w:r w:rsidR="00F373A3" w:rsidRPr="00181FCD">
        <w:t xml:space="preserve"> </w:t>
      </w:r>
      <w:r w:rsidRPr="00181FCD">
        <w:t>las</w:t>
      </w:r>
      <w:r w:rsidR="00F373A3" w:rsidRPr="00181FCD">
        <w:t xml:space="preserve"> </w:t>
      </w:r>
      <w:r w:rsidRPr="00181FCD">
        <w:t>fiscalías</w:t>
      </w:r>
      <w:r w:rsidR="00F373A3" w:rsidRPr="00181FCD">
        <w:t xml:space="preserve"> </w:t>
      </w:r>
      <w:r w:rsidRPr="00181FCD">
        <w:t>de</w:t>
      </w:r>
      <w:r w:rsidR="00F373A3" w:rsidRPr="00181FCD">
        <w:t xml:space="preserve"> </w:t>
      </w:r>
      <w:r w:rsidRPr="00181FCD">
        <w:t>distrito</w:t>
      </w:r>
      <w:r w:rsidR="00F373A3" w:rsidRPr="00181FCD">
        <w:t xml:space="preserve"> </w:t>
      </w:r>
      <w:r w:rsidRPr="00181FCD">
        <w:t>en</w:t>
      </w:r>
      <w:r w:rsidR="00F373A3" w:rsidRPr="00181FCD">
        <w:t xml:space="preserve"> </w:t>
      </w:r>
      <w:r w:rsidRPr="00181FCD">
        <w:t>el</w:t>
      </w:r>
      <w:r w:rsidR="00F373A3" w:rsidRPr="00181FCD">
        <w:t xml:space="preserve"> </w:t>
      </w:r>
      <w:r w:rsidRPr="00181FCD">
        <w:t>país.</w:t>
      </w:r>
      <w:r w:rsidR="00F373A3" w:rsidRPr="00181FCD">
        <w:t xml:space="preserve"> </w:t>
      </w:r>
      <w:r w:rsidRPr="00181FCD">
        <w:t>Estos</w:t>
      </w:r>
      <w:r w:rsidR="00F373A3" w:rsidRPr="00181FCD">
        <w:t xml:space="preserve"> </w:t>
      </w:r>
      <w:r w:rsidRPr="00181FCD">
        <w:t>funcionarios</w:t>
      </w:r>
      <w:r w:rsidR="00F373A3" w:rsidRPr="00181FCD">
        <w:t xml:space="preserve"> </w:t>
      </w:r>
      <w:r w:rsidRPr="00181FCD">
        <w:t>deben</w:t>
      </w:r>
      <w:r w:rsidR="00F373A3" w:rsidRPr="00181FCD">
        <w:t xml:space="preserve"> </w:t>
      </w:r>
      <w:r w:rsidRPr="00181FCD">
        <w:t>organizar</w:t>
      </w:r>
      <w:r w:rsidR="00F373A3" w:rsidRPr="00181FCD">
        <w:t xml:space="preserve"> </w:t>
      </w:r>
      <w:r w:rsidRPr="00181FCD">
        <w:t>el</w:t>
      </w:r>
      <w:r w:rsidR="00F373A3" w:rsidRPr="00181FCD">
        <w:t xml:space="preserve"> </w:t>
      </w:r>
      <w:r w:rsidRPr="00181FCD">
        <w:t>examen</w:t>
      </w:r>
      <w:r w:rsidR="00F373A3" w:rsidRPr="00181FCD">
        <w:t xml:space="preserve"> </w:t>
      </w:r>
      <w:r w:rsidRPr="00181FCD">
        <w:t>y</w:t>
      </w:r>
      <w:r w:rsidR="00F373A3" w:rsidRPr="00181FCD">
        <w:t xml:space="preserve"> </w:t>
      </w:r>
      <w:r w:rsidRPr="00181FCD">
        <w:t>el</w:t>
      </w:r>
      <w:r w:rsidR="00F373A3" w:rsidRPr="00181FCD">
        <w:t xml:space="preserve"> </w:t>
      </w:r>
      <w:r w:rsidRPr="00181FCD">
        <w:t>cumplimiento</w:t>
      </w:r>
      <w:r w:rsidR="00F373A3" w:rsidRPr="00181FCD">
        <w:t xml:space="preserve"> </w:t>
      </w:r>
      <w:r w:rsidRPr="00181FCD">
        <w:t>de</w:t>
      </w:r>
      <w:r w:rsidR="00F373A3" w:rsidRPr="00181FCD">
        <w:t xml:space="preserve"> </w:t>
      </w:r>
      <w:r w:rsidRPr="00181FCD">
        <w:t>las</w:t>
      </w:r>
      <w:r w:rsidR="00F373A3" w:rsidRPr="00181FCD">
        <w:t xml:space="preserve"> </w:t>
      </w:r>
      <w:r w:rsidRPr="00181FCD">
        <w:t>directrices</w:t>
      </w:r>
      <w:r w:rsidR="00F373A3" w:rsidRPr="00181FCD">
        <w:t xml:space="preserve"> </w:t>
      </w:r>
      <w:r w:rsidRPr="00181FCD">
        <w:t>metodológicas</w:t>
      </w:r>
      <w:r w:rsidR="00F373A3" w:rsidRPr="00181FCD">
        <w:t xml:space="preserve"> </w:t>
      </w:r>
      <w:r w:rsidRPr="00181FCD">
        <w:t>y</w:t>
      </w:r>
      <w:r w:rsidR="00F373A3" w:rsidRPr="00181FCD">
        <w:t xml:space="preserve"> </w:t>
      </w:r>
      <w:r w:rsidRPr="00181FCD">
        <w:t>realizar</w:t>
      </w:r>
      <w:r w:rsidR="00F373A3" w:rsidRPr="00181FCD">
        <w:t xml:space="preserve"> </w:t>
      </w:r>
      <w:r w:rsidRPr="00181FCD">
        <w:t>comprobaciones</w:t>
      </w:r>
      <w:r w:rsidR="00F373A3" w:rsidRPr="00181FCD">
        <w:t xml:space="preserve"> </w:t>
      </w:r>
      <w:r w:rsidRPr="00181FCD">
        <w:t>periódicas</w:t>
      </w:r>
      <w:r w:rsidR="00F373A3" w:rsidRPr="00181FCD">
        <w:t xml:space="preserve"> </w:t>
      </w:r>
      <w:r w:rsidRPr="00181FCD">
        <w:t>y</w:t>
      </w:r>
      <w:r w:rsidR="00F373A3" w:rsidRPr="00181FCD">
        <w:t xml:space="preserve"> </w:t>
      </w:r>
      <w:r w:rsidRPr="00181FCD">
        <w:t>auditorías</w:t>
      </w:r>
      <w:r w:rsidR="00F373A3" w:rsidRPr="00181FCD">
        <w:t xml:space="preserve"> </w:t>
      </w:r>
      <w:r w:rsidRPr="00181FCD">
        <w:t>de</w:t>
      </w:r>
      <w:r w:rsidR="00F373A3" w:rsidRPr="00181FCD">
        <w:t xml:space="preserve"> </w:t>
      </w:r>
      <w:r w:rsidRPr="00181FCD">
        <w:t>dichas</w:t>
      </w:r>
      <w:r w:rsidR="00F373A3" w:rsidRPr="00181FCD">
        <w:t xml:space="preserve"> </w:t>
      </w:r>
      <w:r w:rsidRPr="00181FCD">
        <w:t>fiscalías.</w:t>
      </w:r>
    </w:p>
    <w:p w:rsidR="001937F4" w:rsidRPr="00181FCD" w:rsidRDefault="001937F4" w:rsidP="00347B20">
      <w:pPr>
        <w:pStyle w:val="SingleTxtG"/>
        <w:suppressAutoHyphens/>
      </w:pPr>
      <w:r w:rsidRPr="00181FCD">
        <w:t>58.</w:t>
      </w:r>
      <w:r w:rsidRPr="00181FCD">
        <w:tab/>
        <w:t>El</w:t>
      </w:r>
      <w:r w:rsidR="00F373A3" w:rsidRPr="00181FCD">
        <w:t xml:space="preserve"> </w:t>
      </w:r>
      <w:r w:rsidRPr="00181FCD">
        <w:t>Director</w:t>
      </w:r>
      <w:r w:rsidR="00F373A3" w:rsidRPr="00181FCD">
        <w:t xml:space="preserve"> </w:t>
      </w:r>
      <w:r w:rsidRPr="00181FCD">
        <w:t>Ejecutivo</w:t>
      </w:r>
      <w:r w:rsidR="00F373A3" w:rsidRPr="00181FCD">
        <w:t xml:space="preserve"> </w:t>
      </w:r>
      <w:r w:rsidRPr="00181FCD">
        <w:t>de</w:t>
      </w:r>
      <w:r w:rsidR="00F373A3" w:rsidRPr="00181FCD">
        <w:t xml:space="preserve"> </w:t>
      </w:r>
      <w:r w:rsidRPr="00181FCD">
        <w:t>la</w:t>
      </w:r>
      <w:r w:rsidR="00F373A3" w:rsidRPr="00181FCD">
        <w:t xml:space="preserve"> </w:t>
      </w:r>
      <w:r w:rsidRPr="00181FCD">
        <w:t>Agencia</w:t>
      </w:r>
      <w:r w:rsidR="00F373A3" w:rsidRPr="00181FCD">
        <w:t xml:space="preserve"> </w:t>
      </w:r>
      <w:r w:rsidRPr="00181FCD">
        <w:t>de</w:t>
      </w:r>
      <w:r w:rsidR="00F373A3" w:rsidRPr="00181FCD">
        <w:t xml:space="preserve"> </w:t>
      </w:r>
      <w:r w:rsidRPr="00181FCD">
        <w:t>Asistencia</w:t>
      </w:r>
      <w:r w:rsidR="00F373A3" w:rsidRPr="00181FCD">
        <w:t xml:space="preserve"> </w:t>
      </w:r>
      <w:r w:rsidRPr="00181FCD">
        <w:t>Social</w:t>
      </w:r>
      <w:r w:rsidR="00F373A3" w:rsidRPr="00181FCD">
        <w:t xml:space="preserve"> </w:t>
      </w:r>
      <w:r w:rsidRPr="00181FCD">
        <w:t>ha</w:t>
      </w:r>
      <w:r w:rsidR="00F373A3" w:rsidRPr="00181FCD">
        <w:t xml:space="preserve"> </w:t>
      </w:r>
      <w:r w:rsidRPr="00181FCD">
        <w:t>publicado</w:t>
      </w:r>
      <w:r w:rsidR="00F373A3" w:rsidRPr="00181FCD">
        <w:t xml:space="preserve"> </w:t>
      </w:r>
      <w:r w:rsidRPr="00181FCD">
        <w:t>directrices</w:t>
      </w:r>
      <w:r w:rsidR="00F373A3" w:rsidRPr="00181FCD">
        <w:t xml:space="preserve"> </w:t>
      </w:r>
      <w:r w:rsidRPr="00181FCD">
        <w:t>metodológicas</w:t>
      </w:r>
      <w:r w:rsidR="00F373A3" w:rsidRPr="00181FCD">
        <w:t xml:space="preserve"> </w:t>
      </w:r>
      <w:r w:rsidRPr="00181FCD">
        <w:t>dirigidas</w:t>
      </w:r>
      <w:r w:rsidR="00F373A3" w:rsidRPr="00181FCD">
        <w:t xml:space="preserve"> </w:t>
      </w:r>
      <w:r w:rsidRPr="00181FCD">
        <w:t>a</w:t>
      </w:r>
      <w:r w:rsidR="00F373A3" w:rsidRPr="00181FCD">
        <w:t xml:space="preserve"> </w:t>
      </w:r>
      <w:r w:rsidRPr="00181FCD">
        <w:t>todas</w:t>
      </w:r>
      <w:r w:rsidR="00F373A3" w:rsidRPr="00181FCD">
        <w:t xml:space="preserve"> </w:t>
      </w:r>
      <w:r w:rsidRPr="00181FCD">
        <w:t>las</w:t>
      </w:r>
      <w:r w:rsidR="00F373A3" w:rsidRPr="00181FCD">
        <w:t xml:space="preserve"> </w:t>
      </w:r>
      <w:r w:rsidRPr="00181FCD">
        <w:t>direcciones</w:t>
      </w:r>
      <w:r w:rsidR="00F373A3" w:rsidRPr="00181FCD">
        <w:t xml:space="preserve"> </w:t>
      </w:r>
      <w:r w:rsidRPr="00181FCD">
        <w:t>y</w:t>
      </w:r>
      <w:r w:rsidR="00F373A3" w:rsidRPr="00181FCD">
        <w:t xml:space="preserve"> </w:t>
      </w:r>
      <w:r w:rsidRPr="00181FCD">
        <w:t>departamentos</w:t>
      </w:r>
      <w:r w:rsidR="00F373A3" w:rsidRPr="00181FCD">
        <w:t xml:space="preserve"> </w:t>
      </w:r>
      <w:r w:rsidRPr="00181FCD">
        <w:t>de</w:t>
      </w:r>
      <w:r w:rsidR="00F373A3" w:rsidRPr="00181FCD">
        <w:t xml:space="preserve"> </w:t>
      </w:r>
      <w:r w:rsidRPr="00181FCD">
        <w:t>asistencia</w:t>
      </w:r>
      <w:r w:rsidR="00F373A3" w:rsidRPr="00181FCD">
        <w:t xml:space="preserve"> </w:t>
      </w:r>
      <w:r w:rsidRPr="00181FCD">
        <w:t>social</w:t>
      </w:r>
      <w:r w:rsidR="00F373A3" w:rsidRPr="00181FCD">
        <w:t xml:space="preserve"> </w:t>
      </w:r>
      <w:r w:rsidRPr="00181FCD">
        <w:t>para</w:t>
      </w:r>
      <w:r w:rsidR="00F373A3" w:rsidRPr="00181FCD">
        <w:t xml:space="preserve"> </w:t>
      </w:r>
      <w:r w:rsidRPr="00181FCD">
        <w:t>la</w:t>
      </w:r>
      <w:r w:rsidR="00F373A3" w:rsidRPr="00181FCD">
        <w:t xml:space="preserve"> </w:t>
      </w:r>
      <w:r w:rsidRPr="00181FCD">
        <w:t>protección</w:t>
      </w:r>
      <w:r w:rsidR="00F373A3" w:rsidRPr="00181FCD">
        <w:t xml:space="preserve"> </w:t>
      </w:r>
      <w:r w:rsidRPr="00181FCD">
        <w:t>de</w:t>
      </w:r>
      <w:r w:rsidR="00F373A3" w:rsidRPr="00181FCD">
        <w:t xml:space="preserve"> </w:t>
      </w:r>
      <w:r w:rsidRPr="00181FCD">
        <w:t>la</w:t>
      </w:r>
      <w:r w:rsidR="00F373A3" w:rsidRPr="00181FCD">
        <w:t xml:space="preserve"> </w:t>
      </w:r>
      <w:r w:rsidRPr="00181FCD">
        <w:t>infancia</w:t>
      </w:r>
      <w:r w:rsidR="00F373A3" w:rsidRPr="00181FCD">
        <w:t xml:space="preserve"> </w:t>
      </w:r>
      <w:r w:rsidRPr="00181FCD">
        <w:t>en</w:t>
      </w:r>
      <w:r w:rsidR="00F373A3" w:rsidRPr="00181FCD">
        <w:t xml:space="preserve"> </w:t>
      </w:r>
      <w:r w:rsidRPr="00181FCD">
        <w:t>el</w:t>
      </w:r>
      <w:r w:rsidR="00F373A3" w:rsidRPr="00181FCD">
        <w:t xml:space="preserve"> </w:t>
      </w:r>
      <w:r w:rsidRPr="00181FCD">
        <w:t>país,</w:t>
      </w:r>
      <w:r w:rsidR="00F373A3" w:rsidRPr="00181FCD">
        <w:t xml:space="preserve"> </w:t>
      </w:r>
      <w:r w:rsidRPr="00181FCD">
        <w:t>con</w:t>
      </w:r>
      <w:r w:rsidR="00F373A3" w:rsidRPr="00181FCD">
        <w:t xml:space="preserve"> </w:t>
      </w:r>
      <w:r w:rsidRPr="00181FCD">
        <w:t>instrucciones</w:t>
      </w:r>
      <w:r w:rsidR="00F373A3" w:rsidRPr="00181FCD">
        <w:t xml:space="preserve"> </w:t>
      </w:r>
      <w:r w:rsidRPr="00181FCD">
        <w:t>de</w:t>
      </w:r>
      <w:r w:rsidR="00F373A3" w:rsidRPr="00181FCD">
        <w:t xml:space="preserve"> </w:t>
      </w:r>
      <w:r w:rsidRPr="00181FCD">
        <w:t>informar</w:t>
      </w:r>
      <w:r w:rsidR="00F373A3" w:rsidRPr="00181FCD">
        <w:t xml:space="preserve"> </w:t>
      </w:r>
      <w:r w:rsidRPr="00181FCD">
        <w:t>a</w:t>
      </w:r>
      <w:r w:rsidR="00F373A3" w:rsidRPr="00181FCD">
        <w:t xml:space="preserve"> </w:t>
      </w:r>
      <w:r w:rsidRPr="00181FCD">
        <w:t>la</w:t>
      </w:r>
      <w:r w:rsidR="00F373A3" w:rsidRPr="00181FCD">
        <w:t xml:space="preserve"> </w:t>
      </w:r>
      <w:r w:rsidRPr="00181FCD">
        <w:t>fiscalía</w:t>
      </w:r>
      <w:r w:rsidR="00F373A3" w:rsidRPr="00181FCD">
        <w:t xml:space="preserve"> </w:t>
      </w:r>
      <w:r w:rsidRPr="00181FCD">
        <w:t>respectiva</w:t>
      </w:r>
      <w:r w:rsidR="00F373A3" w:rsidRPr="00181FCD">
        <w:t xml:space="preserve"> </w:t>
      </w:r>
      <w:r w:rsidRPr="00181FCD">
        <w:t>sobre</w:t>
      </w:r>
      <w:r w:rsidR="00F373A3" w:rsidRPr="00181FCD">
        <w:t xml:space="preserve"> </w:t>
      </w:r>
      <w:r w:rsidRPr="00181FCD">
        <w:t>todos</w:t>
      </w:r>
      <w:r w:rsidR="00F373A3" w:rsidRPr="00181FCD">
        <w:t xml:space="preserve"> </w:t>
      </w:r>
      <w:r w:rsidRPr="00181FCD">
        <w:t>los</w:t>
      </w:r>
      <w:r w:rsidR="00F373A3" w:rsidRPr="00181FCD">
        <w:t xml:space="preserve"> </w:t>
      </w:r>
      <w:r w:rsidRPr="00181FCD">
        <w:t>casos</w:t>
      </w:r>
      <w:r w:rsidR="00F373A3" w:rsidRPr="00181FCD">
        <w:t xml:space="preserve"> </w:t>
      </w:r>
      <w:r w:rsidRPr="00181FCD">
        <w:t>de</w:t>
      </w:r>
      <w:r w:rsidR="00F373A3" w:rsidRPr="00181FCD">
        <w:t xml:space="preserve"> </w:t>
      </w:r>
      <w:r w:rsidRPr="00181FCD">
        <w:t>convivencia</w:t>
      </w:r>
      <w:r w:rsidR="00F373A3" w:rsidRPr="00181FCD">
        <w:t xml:space="preserve"> </w:t>
      </w:r>
      <w:r w:rsidRPr="00181FCD">
        <w:t>en</w:t>
      </w:r>
      <w:r w:rsidR="00F373A3" w:rsidRPr="00181FCD">
        <w:t xml:space="preserve"> </w:t>
      </w:r>
      <w:r w:rsidRPr="00181FCD">
        <w:t>una</w:t>
      </w:r>
      <w:r w:rsidR="00F373A3" w:rsidRPr="00181FCD">
        <w:t xml:space="preserve"> </w:t>
      </w:r>
      <w:r w:rsidRPr="00181FCD">
        <w:t>relación</w:t>
      </w:r>
      <w:r w:rsidR="00F373A3" w:rsidRPr="00181FCD">
        <w:t xml:space="preserve"> </w:t>
      </w:r>
      <w:r w:rsidRPr="00181FCD">
        <w:t>conyugal.</w:t>
      </w:r>
      <w:r w:rsidR="00F373A3" w:rsidRPr="00181FCD">
        <w:t xml:space="preserve"> </w:t>
      </w:r>
      <w:r w:rsidRPr="00181FCD">
        <w:t>Entre</w:t>
      </w:r>
      <w:r w:rsidR="00F373A3" w:rsidRPr="00181FCD">
        <w:t xml:space="preserve"> </w:t>
      </w:r>
      <w:r w:rsidRPr="00181FCD">
        <w:t>las</w:t>
      </w:r>
      <w:r w:rsidR="00F373A3" w:rsidRPr="00181FCD">
        <w:t xml:space="preserve"> </w:t>
      </w:r>
      <w:r w:rsidRPr="00181FCD">
        <w:t>competencias</w:t>
      </w:r>
      <w:r w:rsidR="00F373A3" w:rsidRPr="00181FCD">
        <w:t xml:space="preserve"> </w:t>
      </w:r>
      <w:r w:rsidRPr="00181FCD">
        <w:t>y</w:t>
      </w:r>
      <w:r w:rsidR="00F373A3" w:rsidRPr="00181FCD">
        <w:t xml:space="preserve"> </w:t>
      </w:r>
      <w:r w:rsidRPr="00181FCD">
        <w:t>atribuciones</w:t>
      </w:r>
      <w:r w:rsidR="00F373A3" w:rsidRPr="00181FCD">
        <w:t xml:space="preserve"> </w:t>
      </w:r>
      <w:r w:rsidRPr="00181FCD">
        <w:t>de</w:t>
      </w:r>
      <w:r w:rsidR="00F373A3" w:rsidRPr="00181FCD">
        <w:t xml:space="preserve"> </w:t>
      </w:r>
      <w:r w:rsidRPr="00181FCD">
        <w:t>los</w:t>
      </w:r>
      <w:r w:rsidR="00F373A3" w:rsidRPr="00181FCD">
        <w:t xml:space="preserve"> </w:t>
      </w:r>
      <w:r w:rsidRPr="00181FCD">
        <w:t>departamentos</w:t>
      </w:r>
      <w:r w:rsidR="00F373A3" w:rsidRPr="00181FCD">
        <w:t xml:space="preserve"> </w:t>
      </w:r>
      <w:r w:rsidRPr="00181FCD">
        <w:t>de</w:t>
      </w:r>
      <w:r w:rsidR="00F373A3" w:rsidRPr="00181FCD">
        <w:t xml:space="preserve"> </w:t>
      </w:r>
      <w:r w:rsidRPr="00181FCD">
        <w:t>protección</w:t>
      </w:r>
      <w:r w:rsidR="00F373A3" w:rsidRPr="00181FCD">
        <w:t xml:space="preserve"> </w:t>
      </w:r>
      <w:r w:rsidRPr="00181FCD">
        <w:t>de</w:t>
      </w:r>
      <w:r w:rsidR="00F373A3" w:rsidRPr="00181FCD">
        <w:t xml:space="preserve"> </w:t>
      </w:r>
      <w:r w:rsidRPr="00181FCD">
        <w:t>la</w:t>
      </w:r>
      <w:r w:rsidR="00F373A3" w:rsidRPr="00181FCD">
        <w:t xml:space="preserve"> </w:t>
      </w:r>
      <w:r w:rsidRPr="00181FCD">
        <w:t>infancia</w:t>
      </w:r>
      <w:r w:rsidR="00F373A3" w:rsidRPr="00181FCD">
        <w:t xml:space="preserve"> </w:t>
      </w:r>
      <w:r w:rsidRPr="00181FCD">
        <w:t>dependientes</w:t>
      </w:r>
      <w:r w:rsidR="00F373A3" w:rsidRPr="00181FCD">
        <w:t xml:space="preserve"> </w:t>
      </w:r>
      <w:r w:rsidRPr="00181FCD">
        <w:t>de</w:t>
      </w:r>
      <w:r w:rsidR="00F373A3" w:rsidRPr="00181FCD">
        <w:t xml:space="preserve"> </w:t>
      </w:r>
      <w:r w:rsidRPr="00181FCD">
        <w:t>las</w:t>
      </w:r>
      <w:r w:rsidR="00F373A3" w:rsidRPr="00181FCD">
        <w:t xml:space="preserve"> </w:t>
      </w:r>
      <w:r w:rsidRPr="00181FCD">
        <w:t>direcciones</w:t>
      </w:r>
      <w:r w:rsidR="00F373A3" w:rsidRPr="00181FCD">
        <w:t xml:space="preserve"> </w:t>
      </w:r>
      <w:r w:rsidRPr="00181FCD">
        <w:t>de</w:t>
      </w:r>
      <w:r w:rsidR="00F373A3" w:rsidRPr="00181FCD">
        <w:t xml:space="preserve"> </w:t>
      </w:r>
      <w:r w:rsidRPr="00181FCD">
        <w:t>asistencia</w:t>
      </w:r>
      <w:r w:rsidR="00F373A3" w:rsidRPr="00181FCD">
        <w:t xml:space="preserve"> </w:t>
      </w:r>
      <w:r w:rsidRPr="00181FCD">
        <w:t>social</w:t>
      </w:r>
      <w:r w:rsidR="00F373A3" w:rsidRPr="00181FCD">
        <w:t xml:space="preserve"> </w:t>
      </w:r>
      <w:r w:rsidRPr="00181FCD">
        <w:t>figura</w:t>
      </w:r>
      <w:r w:rsidR="00F373A3" w:rsidRPr="00181FCD">
        <w:t xml:space="preserve"> </w:t>
      </w:r>
      <w:r w:rsidRPr="00181FCD">
        <w:t>la</w:t>
      </w:r>
      <w:r w:rsidR="00F373A3" w:rsidRPr="00181FCD">
        <w:t xml:space="preserve"> </w:t>
      </w:r>
      <w:r w:rsidRPr="00181FCD">
        <w:t>adopción</w:t>
      </w:r>
      <w:r w:rsidR="00F373A3" w:rsidRPr="00181FCD">
        <w:t xml:space="preserve"> </w:t>
      </w:r>
      <w:r w:rsidRPr="00181FCD">
        <w:t>de</w:t>
      </w:r>
      <w:r w:rsidR="00F373A3" w:rsidRPr="00181FCD">
        <w:t xml:space="preserve"> </w:t>
      </w:r>
      <w:r w:rsidRPr="00181FCD">
        <w:t>medidas</w:t>
      </w:r>
      <w:r w:rsidR="00F373A3" w:rsidRPr="00181FCD">
        <w:t xml:space="preserve"> </w:t>
      </w:r>
      <w:r w:rsidRPr="00181FCD">
        <w:t>rápidas</w:t>
      </w:r>
      <w:r w:rsidR="00F373A3" w:rsidRPr="00181FCD">
        <w:t xml:space="preserve"> </w:t>
      </w:r>
      <w:r w:rsidRPr="00181FCD">
        <w:t>y</w:t>
      </w:r>
      <w:r w:rsidR="00F373A3" w:rsidRPr="00181FCD">
        <w:t xml:space="preserve"> </w:t>
      </w:r>
      <w:r w:rsidRPr="00181FCD">
        <w:t>adecuadas</w:t>
      </w:r>
      <w:r w:rsidR="00F373A3" w:rsidRPr="00181FCD">
        <w:t xml:space="preserve"> </w:t>
      </w:r>
      <w:r w:rsidRPr="00181FCD">
        <w:t>para</w:t>
      </w:r>
      <w:r w:rsidR="00F373A3" w:rsidRPr="00181FCD">
        <w:t xml:space="preserve"> </w:t>
      </w:r>
      <w:r w:rsidRPr="00181FCD">
        <w:t>proteger</w:t>
      </w:r>
      <w:r w:rsidR="00F373A3" w:rsidRPr="00181FCD">
        <w:t xml:space="preserve"> </w:t>
      </w:r>
      <w:r w:rsidRPr="00181FCD">
        <w:t>el</w:t>
      </w:r>
      <w:r w:rsidR="00F373A3" w:rsidRPr="00181FCD">
        <w:t xml:space="preserve"> </w:t>
      </w:r>
      <w:r w:rsidRPr="00181FCD">
        <w:t>interés</w:t>
      </w:r>
      <w:r w:rsidR="00F373A3" w:rsidRPr="00181FCD">
        <w:t xml:space="preserve"> </w:t>
      </w:r>
      <w:r w:rsidRPr="00181FCD">
        <w:t>superior</w:t>
      </w:r>
      <w:r w:rsidR="00F373A3" w:rsidRPr="00181FCD">
        <w:t xml:space="preserve"> </w:t>
      </w:r>
      <w:r w:rsidRPr="00181FCD">
        <w:t>de</w:t>
      </w:r>
      <w:r w:rsidR="00F373A3" w:rsidRPr="00181FCD">
        <w:t xml:space="preserve"> </w:t>
      </w:r>
      <w:r w:rsidRPr="00181FCD">
        <w:t>las</w:t>
      </w:r>
      <w:r w:rsidR="00F373A3" w:rsidRPr="00181FCD">
        <w:t xml:space="preserve"> </w:t>
      </w:r>
      <w:r w:rsidRPr="00181FCD">
        <w:t>niñas</w:t>
      </w:r>
      <w:r w:rsidR="00F373A3" w:rsidRPr="00181FCD">
        <w:t xml:space="preserve"> </w:t>
      </w:r>
      <w:r w:rsidRPr="00181FCD">
        <w:t>o</w:t>
      </w:r>
      <w:r w:rsidR="00F373A3" w:rsidRPr="00181FCD">
        <w:t xml:space="preserve"> </w:t>
      </w:r>
      <w:r w:rsidRPr="00181FCD">
        <w:t>jóvenes</w:t>
      </w:r>
      <w:r w:rsidR="00F373A3" w:rsidRPr="00181FCD">
        <w:t xml:space="preserve"> </w:t>
      </w:r>
      <w:r w:rsidRPr="00181FCD">
        <w:t>menores</w:t>
      </w:r>
      <w:r w:rsidR="00F373A3" w:rsidRPr="00181FCD">
        <w:t xml:space="preserve"> </w:t>
      </w:r>
      <w:r w:rsidRPr="00181FCD">
        <w:t>de</w:t>
      </w:r>
      <w:r w:rsidR="00F373A3" w:rsidRPr="00181FCD">
        <w:t xml:space="preserve"> </w:t>
      </w:r>
      <w:r w:rsidRPr="00181FCD">
        <w:t>edad.</w:t>
      </w:r>
    </w:p>
    <w:p w:rsidR="001937F4" w:rsidRPr="00181FCD" w:rsidRDefault="001937F4" w:rsidP="00347B20">
      <w:pPr>
        <w:pStyle w:val="SingleTxtG"/>
        <w:suppressAutoHyphens/>
      </w:pPr>
      <w:r w:rsidRPr="00181FCD">
        <w:t>59.</w:t>
      </w:r>
      <w:r w:rsidRPr="00181FCD">
        <w:tab/>
        <w:t>Se</w:t>
      </w:r>
      <w:r w:rsidR="00F373A3" w:rsidRPr="00181FCD">
        <w:t xml:space="preserve"> </w:t>
      </w:r>
      <w:r w:rsidRPr="00181FCD">
        <w:t>tomaron</w:t>
      </w:r>
      <w:r w:rsidR="00F373A3" w:rsidRPr="00181FCD">
        <w:t xml:space="preserve"> </w:t>
      </w:r>
      <w:r w:rsidRPr="00181FCD">
        <w:t>medidas</w:t>
      </w:r>
      <w:r w:rsidR="00F373A3" w:rsidRPr="00181FCD">
        <w:t xml:space="preserve"> </w:t>
      </w:r>
      <w:r w:rsidRPr="00181FCD">
        <w:t>para</w:t>
      </w:r>
      <w:r w:rsidR="00F373A3" w:rsidRPr="00181FCD">
        <w:t xml:space="preserve"> </w:t>
      </w:r>
      <w:r w:rsidRPr="00181FCD">
        <w:t>que</w:t>
      </w:r>
      <w:r w:rsidR="00F373A3" w:rsidRPr="00181FCD">
        <w:t xml:space="preserve"> </w:t>
      </w:r>
      <w:r w:rsidRPr="00181FCD">
        <w:t>los</w:t>
      </w:r>
      <w:r w:rsidR="00F373A3" w:rsidRPr="00181FCD">
        <w:t xml:space="preserve"> </w:t>
      </w:r>
      <w:r w:rsidRPr="00181FCD">
        <w:t>médicos</w:t>
      </w:r>
      <w:r w:rsidR="00F373A3" w:rsidRPr="00181FCD">
        <w:t xml:space="preserve"> </w:t>
      </w:r>
      <w:r w:rsidRPr="00181FCD">
        <w:t>de</w:t>
      </w:r>
      <w:r w:rsidR="00F373A3" w:rsidRPr="00181FCD">
        <w:t xml:space="preserve"> </w:t>
      </w:r>
      <w:r w:rsidRPr="00181FCD">
        <w:t>familia</w:t>
      </w:r>
      <w:r w:rsidR="00F373A3" w:rsidRPr="00181FCD">
        <w:t xml:space="preserve"> </w:t>
      </w:r>
      <w:r w:rsidRPr="00181FCD">
        <w:t>y</w:t>
      </w:r>
      <w:r w:rsidR="00F373A3" w:rsidRPr="00181FCD">
        <w:t xml:space="preserve"> </w:t>
      </w:r>
      <w:r w:rsidRPr="00181FCD">
        <w:t>las</w:t>
      </w:r>
      <w:r w:rsidR="00F373A3" w:rsidRPr="00181FCD">
        <w:t xml:space="preserve"> </w:t>
      </w:r>
      <w:r w:rsidRPr="00181FCD">
        <w:t>instituciones</w:t>
      </w:r>
      <w:r w:rsidR="00F373A3" w:rsidRPr="00181FCD">
        <w:t xml:space="preserve"> </w:t>
      </w:r>
      <w:r w:rsidRPr="00181FCD">
        <w:t>de</w:t>
      </w:r>
      <w:r w:rsidR="00F373A3" w:rsidRPr="00181FCD">
        <w:t xml:space="preserve"> </w:t>
      </w:r>
      <w:r w:rsidRPr="00181FCD">
        <w:t>salud</w:t>
      </w:r>
      <w:r w:rsidR="00F373A3" w:rsidRPr="00181FCD">
        <w:t xml:space="preserve"> </w:t>
      </w:r>
      <w:r w:rsidRPr="00181FCD">
        <w:t>comuniquen</w:t>
      </w:r>
      <w:r w:rsidR="00F373A3" w:rsidRPr="00181FCD">
        <w:t xml:space="preserve"> </w:t>
      </w:r>
      <w:r w:rsidRPr="00181FCD">
        <w:t>lo</w:t>
      </w:r>
      <w:r w:rsidR="00F373A3" w:rsidRPr="00181FCD">
        <w:t xml:space="preserve"> </w:t>
      </w:r>
      <w:r w:rsidRPr="00181FCD">
        <w:t>antes</w:t>
      </w:r>
      <w:r w:rsidR="00F373A3" w:rsidRPr="00181FCD">
        <w:t xml:space="preserve"> </w:t>
      </w:r>
      <w:r w:rsidRPr="00181FCD">
        <w:t>posible</w:t>
      </w:r>
      <w:r w:rsidR="00F373A3" w:rsidRPr="00181FCD">
        <w:t xml:space="preserve"> </w:t>
      </w:r>
      <w:r w:rsidRPr="00181FCD">
        <w:t>la</w:t>
      </w:r>
      <w:r w:rsidR="00F373A3" w:rsidRPr="00181FCD">
        <w:t xml:space="preserve"> </w:t>
      </w:r>
      <w:r w:rsidRPr="00181FCD">
        <w:t>situación</w:t>
      </w:r>
      <w:r w:rsidR="00F373A3" w:rsidRPr="00181FCD">
        <w:t xml:space="preserve"> </w:t>
      </w:r>
      <w:r w:rsidRPr="00181FCD">
        <w:t>de</w:t>
      </w:r>
      <w:r w:rsidR="00F373A3" w:rsidRPr="00181FCD">
        <w:t xml:space="preserve"> </w:t>
      </w:r>
      <w:r w:rsidRPr="00181FCD">
        <w:t>las</w:t>
      </w:r>
      <w:r w:rsidR="00F373A3" w:rsidRPr="00181FCD">
        <w:t xml:space="preserve"> </w:t>
      </w:r>
      <w:r w:rsidRPr="00181FCD">
        <w:t>niñas</w:t>
      </w:r>
      <w:r w:rsidR="00F373A3" w:rsidRPr="00181FCD">
        <w:t xml:space="preserve"> </w:t>
      </w:r>
      <w:r w:rsidRPr="00181FCD">
        <w:t>y</w:t>
      </w:r>
      <w:r w:rsidR="00F373A3" w:rsidRPr="00181FCD">
        <w:t xml:space="preserve"> </w:t>
      </w:r>
      <w:r w:rsidRPr="00181FCD">
        <w:t>jóvenes</w:t>
      </w:r>
      <w:r w:rsidR="00F373A3" w:rsidRPr="00181FCD">
        <w:t xml:space="preserve"> </w:t>
      </w:r>
      <w:r w:rsidRPr="00181FCD">
        <w:t>menores</w:t>
      </w:r>
      <w:r w:rsidR="00F373A3" w:rsidRPr="00181FCD">
        <w:t xml:space="preserve"> </w:t>
      </w:r>
      <w:r w:rsidRPr="00181FCD">
        <w:t>de</w:t>
      </w:r>
      <w:r w:rsidR="00F373A3" w:rsidRPr="00181FCD">
        <w:t xml:space="preserve"> </w:t>
      </w:r>
      <w:r w:rsidRPr="00181FCD">
        <w:t>edad</w:t>
      </w:r>
      <w:r w:rsidR="00F373A3" w:rsidRPr="00181FCD">
        <w:t xml:space="preserve"> </w:t>
      </w:r>
      <w:r w:rsidRPr="00181FCD">
        <w:t>que</w:t>
      </w:r>
      <w:r w:rsidR="00F373A3" w:rsidRPr="00181FCD">
        <w:t xml:space="preserve"> </w:t>
      </w:r>
      <w:r w:rsidRPr="00181FCD">
        <w:t>son</w:t>
      </w:r>
      <w:r w:rsidR="00F373A3" w:rsidRPr="00181FCD">
        <w:t xml:space="preserve"> </w:t>
      </w:r>
      <w:r w:rsidRPr="00181FCD">
        <w:t>madres</w:t>
      </w:r>
      <w:r w:rsidR="00F373A3" w:rsidRPr="00181FCD">
        <w:t xml:space="preserve"> </w:t>
      </w:r>
      <w:r w:rsidRPr="00181FCD">
        <w:t>o</w:t>
      </w:r>
      <w:r w:rsidR="00F373A3" w:rsidRPr="00181FCD">
        <w:t xml:space="preserve"> </w:t>
      </w:r>
      <w:r w:rsidRPr="00181FCD">
        <w:t>están</w:t>
      </w:r>
      <w:r w:rsidR="00F373A3" w:rsidRPr="00181FCD">
        <w:t xml:space="preserve"> </w:t>
      </w:r>
      <w:r w:rsidRPr="00181FCD">
        <w:t>embarazadas.</w:t>
      </w:r>
      <w:r w:rsidR="00F373A3" w:rsidRPr="00181FCD">
        <w:t xml:space="preserve"> </w:t>
      </w:r>
      <w:r w:rsidRPr="00181FCD">
        <w:t>En</w:t>
      </w:r>
      <w:r w:rsidR="00F373A3" w:rsidRPr="00181FCD">
        <w:t xml:space="preserve"> </w:t>
      </w:r>
      <w:r w:rsidRPr="00181FCD">
        <w:t>este</w:t>
      </w:r>
      <w:r w:rsidR="00F373A3" w:rsidRPr="00181FCD">
        <w:t xml:space="preserve"> </w:t>
      </w:r>
      <w:r w:rsidRPr="00181FCD">
        <w:t>aspecto,</w:t>
      </w:r>
      <w:r w:rsidR="00F373A3" w:rsidRPr="00181FCD">
        <w:t xml:space="preserve"> </w:t>
      </w:r>
      <w:r w:rsidRPr="00181FCD">
        <w:t>el</w:t>
      </w:r>
      <w:r w:rsidR="00F373A3" w:rsidRPr="00181FCD">
        <w:t xml:space="preserve"> </w:t>
      </w:r>
      <w:r w:rsidRPr="00181FCD">
        <w:t>país</w:t>
      </w:r>
      <w:r w:rsidR="00F373A3" w:rsidRPr="00181FCD">
        <w:t xml:space="preserve"> </w:t>
      </w:r>
      <w:r w:rsidRPr="00181FCD">
        <w:t>está</w:t>
      </w:r>
      <w:r w:rsidR="00F373A3" w:rsidRPr="00181FCD">
        <w:t xml:space="preserve"> </w:t>
      </w:r>
      <w:r w:rsidRPr="00181FCD">
        <w:t>cooperando</w:t>
      </w:r>
      <w:r w:rsidR="00F373A3" w:rsidRPr="00181FCD">
        <w:t xml:space="preserve"> </w:t>
      </w:r>
      <w:r w:rsidRPr="00181FCD">
        <w:t>con</w:t>
      </w:r>
      <w:r w:rsidR="00F373A3" w:rsidRPr="00181FCD">
        <w:t xml:space="preserve"> </w:t>
      </w:r>
      <w:r w:rsidRPr="00181FCD">
        <w:t>las</w:t>
      </w:r>
      <w:r w:rsidR="00F373A3" w:rsidRPr="00181FCD">
        <w:t xml:space="preserve"> </w:t>
      </w:r>
      <w:r w:rsidR="007E4DD4" w:rsidRPr="00181FCD">
        <w:t xml:space="preserve">ONG </w:t>
      </w:r>
      <w:r w:rsidRPr="00181FCD">
        <w:t>y</w:t>
      </w:r>
      <w:r w:rsidR="00F373A3" w:rsidRPr="00181FCD">
        <w:t xml:space="preserve"> </w:t>
      </w:r>
      <w:r w:rsidRPr="00181FCD">
        <w:t>las</w:t>
      </w:r>
      <w:r w:rsidR="00F373A3" w:rsidRPr="00181FCD">
        <w:t xml:space="preserve"> </w:t>
      </w:r>
      <w:r w:rsidRPr="00181FCD">
        <w:t>comunidades</w:t>
      </w:r>
      <w:r w:rsidR="00F373A3" w:rsidRPr="00181FCD">
        <w:t xml:space="preserve"> </w:t>
      </w:r>
      <w:r w:rsidRPr="00181FCD">
        <w:t>romaníes.</w:t>
      </w:r>
      <w:r w:rsidR="00F373A3" w:rsidRPr="00181FCD">
        <w:t xml:space="preserve"> </w:t>
      </w:r>
      <w:r w:rsidRPr="00181FCD">
        <w:t>Como</w:t>
      </w:r>
      <w:r w:rsidR="00F373A3" w:rsidRPr="00181FCD">
        <w:t xml:space="preserve"> </w:t>
      </w:r>
      <w:r w:rsidRPr="00181FCD">
        <w:t>resultado</w:t>
      </w:r>
      <w:r w:rsidR="00F373A3" w:rsidRPr="00181FCD">
        <w:t xml:space="preserve"> </w:t>
      </w:r>
      <w:r w:rsidRPr="00181FCD">
        <w:t>de</w:t>
      </w:r>
      <w:r w:rsidR="00F373A3" w:rsidRPr="00181FCD">
        <w:t xml:space="preserve"> </w:t>
      </w:r>
      <w:r w:rsidRPr="00181FCD">
        <w:t>las</w:t>
      </w:r>
      <w:r w:rsidR="00F373A3" w:rsidRPr="00181FCD">
        <w:t xml:space="preserve"> </w:t>
      </w:r>
      <w:r w:rsidRPr="00181FCD">
        <w:t>medidas</w:t>
      </w:r>
      <w:r w:rsidR="00F373A3" w:rsidRPr="00181FCD">
        <w:t xml:space="preserve"> </w:t>
      </w:r>
      <w:r w:rsidRPr="00181FCD">
        <w:t>adoptadas,</w:t>
      </w:r>
      <w:r w:rsidR="00F373A3" w:rsidRPr="00181FCD">
        <w:t xml:space="preserve"> </w:t>
      </w:r>
      <w:r w:rsidRPr="00181FCD">
        <w:t>se</w:t>
      </w:r>
      <w:r w:rsidR="00F373A3" w:rsidRPr="00181FCD">
        <w:t xml:space="preserve"> </w:t>
      </w:r>
      <w:r w:rsidRPr="00181FCD">
        <w:t>ha</w:t>
      </w:r>
      <w:r w:rsidR="00F373A3" w:rsidRPr="00181FCD">
        <w:t xml:space="preserve"> </w:t>
      </w:r>
      <w:r w:rsidRPr="00181FCD">
        <w:t>incrementado</w:t>
      </w:r>
      <w:r w:rsidR="00F373A3" w:rsidRPr="00181FCD">
        <w:t xml:space="preserve"> </w:t>
      </w:r>
      <w:r w:rsidRPr="00181FCD">
        <w:t>el</w:t>
      </w:r>
      <w:r w:rsidR="00F373A3" w:rsidRPr="00181FCD">
        <w:t xml:space="preserve"> </w:t>
      </w:r>
      <w:r w:rsidRPr="00181FCD">
        <w:t>trabajo</w:t>
      </w:r>
      <w:r w:rsidR="00F373A3" w:rsidRPr="00181FCD">
        <w:t xml:space="preserve"> </w:t>
      </w:r>
      <w:r w:rsidRPr="00181FCD">
        <w:t>social</w:t>
      </w:r>
      <w:r w:rsidR="00F373A3" w:rsidRPr="00181FCD">
        <w:t xml:space="preserve"> </w:t>
      </w:r>
      <w:r w:rsidRPr="00181FCD">
        <w:t>en</w:t>
      </w:r>
      <w:r w:rsidR="00F373A3" w:rsidRPr="00181FCD">
        <w:t xml:space="preserve"> </w:t>
      </w:r>
      <w:r w:rsidRPr="00181FCD">
        <w:t>las</w:t>
      </w:r>
      <w:r w:rsidR="00F373A3" w:rsidRPr="00181FCD">
        <w:t xml:space="preserve"> </w:t>
      </w:r>
      <w:r w:rsidRPr="00181FCD">
        <w:t>comunidades</w:t>
      </w:r>
      <w:r w:rsidR="00F373A3" w:rsidRPr="00181FCD">
        <w:t xml:space="preserve"> </w:t>
      </w:r>
      <w:r w:rsidRPr="00181FCD">
        <w:t>romaníes</w:t>
      </w:r>
      <w:r w:rsidR="00F373A3" w:rsidRPr="00181FCD">
        <w:t xml:space="preserve"> </w:t>
      </w:r>
      <w:r w:rsidRPr="00181FCD">
        <w:t>tradicionales</w:t>
      </w:r>
      <w:r w:rsidR="00F373A3" w:rsidRPr="00181FCD">
        <w:t xml:space="preserve"> </w:t>
      </w:r>
      <w:r w:rsidRPr="00181FCD">
        <w:t>y</w:t>
      </w:r>
      <w:r w:rsidR="00F373A3" w:rsidRPr="00181FCD">
        <w:t xml:space="preserve"> </w:t>
      </w:r>
      <w:r w:rsidRPr="00181FCD">
        <w:t>marginadas</w:t>
      </w:r>
      <w:r w:rsidR="00F373A3" w:rsidRPr="00181FCD">
        <w:t xml:space="preserve"> </w:t>
      </w:r>
      <w:r w:rsidRPr="00181FCD">
        <w:t>y</w:t>
      </w:r>
      <w:r w:rsidR="00F373A3" w:rsidRPr="00181FCD">
        <w:t xml:space="preserve"> </w:t>
      </w:r>
      <w:r w:rsidRPr="00181FCD">
        <w:t>se</w:t>
      </w:r>
      <w:r w:rsidR="00F373A3" w:rsidRPr="00181FCD">
        <w:t xml:space="preserve"> </w:t>
      </w:r>
      <w:r w:rsidRPr="00181FCD">
        <w:t>han</w:t>
      </w:r>
      <w:r w:rsidR="00F373A3" w:rsidRPr="00181FCD">
        <w:t xml:space="preserve"> </w:t>
      </w:r>
      <w:r w:rsidRPr="00181FCD">
        <w:t>impuesto</w:t>
      </w:r>
      <w:r w:rsidR="00F373A3" w:rsidRPr="00181FCD">
        <w:t xml:space="preserve"> </w:t>
      </w:r>
      <w:r w:rsidRPr="00181FCD">
        <w:t>sanciones</w:t>
      </w:r>
      <w:r w:rsidR="00F373A3" w:rsidRPr="00181FCD">
        <w:t xml:space="preserve"> </w:t>
      </w:r>
      <w:r w:rsidRPr="00181FCD">
        <w:t>administrativas.</w:t>
      </w:r>
      <w:r w:rsidR="00F373A3" w:rsidRPr="00181FCD">
        <w:t xml:space="preserve"> </w:t>
      </w:r>
      <w:r w:rsidRPr="00181FCD">
        <w:t>Por</w:t>
      </w:r>
      <w:r w:rsidR="00F373A3" w:rsidRPr="00181FCD">
        <w:t xml:space="preserve"> </w:t>
      </w:r>
      <w:r w:rsidRPr="00181FCD">
        <w:t>otra</w:t>
      </w:r>
      <w:r w:rsidR="00F373A3" w:rsidRPr="00181FCD">
        <w:t xml:space="preserve"> </w:t>
      </w:r>
      <w:r w:rsidRPr="00181FCD">
        <w:t>parte,</w:t>
      </w:r>
      <w:r w:rsidR="00F373A3" w:rsidRPr="00181FCD">
        <w:t xml:space="preserve"> </w:t>
      </w:r>
      <w:r w:rsidRPr="00181FCD">
        <w:t>los</w:t>
      </w:r>
      <w:r w:rsidR="00F373A3" w:rsidRPr="00181FCD">
        <w:t xml:space="preserve"> </w:t>
      </w:r>
      <w:r w:rsidRPr="00181FCD">
        <w:t>representantes</w:t>
      </w:r>
      <w:r w:rsidR="00F373A3" w:rsidRPr="00181FCD">
        <w:t xml:space="preserve"> </w:t>
      </w:r>
      <w:r w:rsidRPr="00181FCD">
        <w:t>educativos</w:t>
      </w:r>
      <w:r w:rsidR="00F373A3" w:rsidRPr="00181FCD">
        <w:t xml:space="preserve"> </w:t>
      </w:r>
      <w:r w:rsidRPr="00181FCD">
        <w:t>de</w:t>
      </w:r>
      <w:r w:rsidR="00F373A3" w:rsidRPr="00181FCD">
        <w:t xml:space="preserve"> </w:t>
      </w:r>
      <w:r w:rsidRPr="00181FCD">
        <w:t>estas</w:t>
      </w:r>
      <w:r w:rsidR="00F373A3" w:rsidRPr="00181FCD">
        <w:t xml:space="preserve"> </w:t>
      </w:r>
      <w:r w:rsidRPr="00181FCD">
        <w:t>comunidades</w:t>
      </w:r>
      <w:r w:rsidR="00F373A3" w:rsidRPr="00181FCD">
        <w:t xml:space="preserve"> </w:t>
      </w:r>
      <w:r w:rsidRPr="00181FCD">
        <w:t>han</w:t>
      </w:r>
      <w:r w:rsidR="00F373A3" w:rsidRPr="00181FCD">
        <w:t xml:space="preserve"> </w:t>
      </w:r>
      <w:r w:rsidRPr="00181FCD">
        <w:t>iniciado</w:t>
      </w:r>
      <w:r w:rsidR="00F373A3" w:rsidRPr="00181FCD">
        <w:t xml:space="preserve"> </w:t>
      </w:r>
      <w:r w:rsidRPr="00181FCD">
        <w:t>un</w:t>
      </w:r>
      <w:r w:rsidR="00F373A3" w:rsidRPr="00181FCD">
        <w:t xml:space="preserve"> </w:t>
      </w:r>
      <w:r w:rsidRPr="00181FCD">
        <w:t>programa</w:t>
      </w:r>
      <w:r w:rsidR="00F373A3" w:rsidRPr="00181FCD">
        <w:t xml:space="preserve"> </w:t>
      </w:r>
      <w:r w:rsidRPr="00181FCD">
        <w:t>para</w:t>
      </w:r>
      <w:r w:rsidR="00F373A3" w:rsidRPr="00181FCD">
        <w:t xml:space="preserve"> </w:t>
      </w:r>
      <w:r w:rsidRPr="00181FCD">
        <w:t>la</w:t>
      </w:r>
      <w:r w:rsidR="00F373A3" w:rsidRPr="00181FCD">
        <w:t xml:space="preserve"> </w:t>
      </w:r>
      <w:r w:rsidRPr="00181FCD">
        <w:t>prevención.</w:t>
      </w:r>
      <w:r w:rsidR="00F373A3" w:rsidRPr="00181FCD">
        <w:t xml:space="preserve"> </w:t>
      </w:r>
      <w:r w:rsidRPr="00181FCD">
        <w:t>Las</w:t>
      </w:r>
      <w:r w:rsidR="00F373A3" w:rsidRPr="00181FCD">
        <w:t xml:space="preserve"> </w:t>
      </w:r>
      <w:r w:rsidRPr="00181FCD">
        <w:t>Estrategias</w:t>
      </w:r>
      <w:r w:rsidR="00F373A3" w:rsidRPr="00181FCD">
        <w:t xml:space="preserve"> </w:t>
      </w:r>
      <w:r w:rsidRPr="00181FCD">
        <w:t>Regionales</w:t>
      </w:r>
      <w:r w:rsidR="00F373A3" w:rsidRPr="00181FCD">
        <w:t xml:space="preserve"> </w:t>
      </w:r>
      <w:r w:rsidRPr="00181FCD">
        <w:t>para</w:t>
      </w:r>
      <w:r w:rsidR="00F373A3" w:rsidRPr="00181FCD">
        <w:t xml:space="preserve"> </w:t>
      </w:r>
      <w:r w:rsidRPr="00181FCD">
        <w:t>el</w:t>
      </w:r>
      <w:r w:rsidR="00F373A3" w:rsidRPr="00181FCD">
        <w:t xml:space="preserve"> </w:t>
      </w:r>
      <w:r w:rsidRPr="00181FCD">
        <w:t>Desarrollo</w:t>
      </w:r>
      <w:r w:rsidR="00F373A3" w:rsidRPr="00181FCD">
        <w:t xml:space="preserve"> </w:t>
      </w:r>
      <w:r w:rsidRPr="00181FCD">
        <w:t>de</w:t>
      </w:r>
      <w:r w:rsidR="00F373A3" w:rsidRPr="00181FCD">
        <w:t xml:space="preserve"> </w:t>
      </w:r>
      <w:r w:rsidRPr="00181FCD">
        <w:t>Servicios</w:t>
      </w:r>
      <w:r w:rsidR="00F373A3" w:rsidRPr="00181FCD">
        <w:t xml:space="preserve"> </w:t>
      </w:r>
      <w:r w:rsidRPr="00181FCD">
        <w:t>Sociales</w:t>
      </w:r>
      <w:r w:rsidR="00F373A3" w:rsidRPr="00181FCD">
        <w:t xml:space="preserve"> </w:t>
      </w:r>
      <w:r w:rsidRPr="00181FCD">
        <w:t>(2010-2015)</w:t>
      </w:r>
      <w:r w:rsidR="00F373A3" w:rsidRPr="00181FCD">
        <w:t xml:space="preserve"> </w:t>
      </w:r>
      <w:r w:rsidRPr="00181FCD">
        <w:t>incluyen</w:t>
      </w:r>
      <w:r w:rsidR="00F373A3" w:rsidRPr="00181FCD">
        <w:t xml:space="preserve"> </w:t>
      </w:r>
      <w:r w:rsidRPr="00181FCD">
        <w:t>actividades</w:t>
      </w:r>
      <w:r w:rsidR="00F373A3" w:rsidRPr="00181FCD">
        <w:t xml:space="preserve"> </w:t>
      </w:r>
      <w:r w:rsidRPr="00181FCD">
        <w:t>para</w:t>
      </w:r>
      <w:r w:rsidR="00F373A3" w:rsidRPr="00181FCD">
        <w:t xml:space="preserve"> </w:t>
      </w:r>
      <w:r w:rsidRPr="00181FCD">
        <w:t>la</w:t>
      </w:r>
      <w:r w:rsidR="00F373A3" w:rsidRPr="00181FCD">
        <w:t xml:space="preserve"> </w:t>
      </w:r>
      <w:r w:rsidRPr="00181FCD">
        <w:t>prevención</w:t>
      </w:r>
      <w:r w:rsidR="00F373A3" w:rsidRPr="00181FCD">
        <w:t xml:space="preserve"> </w:t>
      </w:r>
      <w:r w:rsidRPr="00181FCD">
        <w:t>de</w:t>
      </w:r>
      <w:r w:rsidR="00F373A3" w:rsidRPr="00181FCD">
        <w:t xml:space="preserve"> </w:t>
      </w:r>
      <w:r w:rsidRPr="00181FCD">
        <w:t>los</w:t>
      </w:r>
      <w:r w:rsidR="00F373A3" w:rsidRPr="00181FCD">
        <w:t xml:space="preserve"> </w:t>
      </w:r>
      <w:r w:rsidRPr="00181FCD">
        <w:t>matrimonios</w:t>
      </w:r>
      <w:r w:rsidR="00F373A3" w:rsidRPr="00181FCD">
        <w:t xml:space="preserve"> </w:t>
      </w:r>
      <w:r w:rsidRPr="00181FCD">
        <w:t>precoces.</w:t>
      </w:r>
      <w:r w:rsidR="00F373A3" w:rsidRPr="00181FCD">
        <w:t xml:space="preserve"> </w:t>
      </w:r>
      <w:r w:rsidRPr="00181FCD">
        <w:t>Durante</w:t>
      </w:r>
      <w:r w:rsidR="00F373A3" w:rsidRPr="00181FCD">
        <w:t xml:space="preserve"> </w:t>
      </w:r>
      <w:r w:rsidRPr="00181FCD">
        <w:t>los</w:t>
      </w:r>
      <w:r w:rsidR="00F373A3" w:rsidRPr="00181FCD">
        <w:t xml:space="preserve"> </w:t>
      </w:r>
      <w:r w:rsidRPr="00181FCD">
        <w:t>debates</w:t>
      </w:r>
      <w:r w:rsidR="00F373A3" w:rsidRPr="00181FCD">
        <w:t xml:space="preserve"> </w:t>
      </w:r>
      <w:r w:rsidRPr="00181FCD">
        <w:t>del</w:t>
      </w:r>
      <w:r w:rsidR="00F373A3" w:rsidRPr="00181FCD">
        <w:t xml:space="preserve"> </w:t>
      </w:r>
      <w:r w:rsidRPr="00181FCD">
        <w:t>proyecto</w:t>
      </w:r>
      <w:r w:rsidR="00F373A3" w:rsidRPr="00181FCD">
        <w:t xml:space="preserve"> </w:t>
      </w:r>
      <w:r w:rsidRPr="00181FCD">
        <w:t>de</w:t>
      </w:r>
      <w:r w:rsidR="00F373A3" w:rsidRPr="00181FCD">
        <w:t xml:space="preserve"> </w:t>
      </w:r>
      <w:r w:rsidRPr="00181FCD">
        <w:t>Ley</w:t>
      </w:r>
      <w:r w:rsidR="00F373A3" w:rsidRPr="00181FCD">
        <w:t xml:space="preserve"> </w:t>
      </w:r>
      <w:r w:rsidRPr="00181FCD">
        <w:t>de</w:t>
      </w:r>
      <w:r w:rsidR="00F373A3" w:rsidRPr="00181FCD">
        <w:t xml:space="preserve"> </w:t>
      </w:r>
      <w:r w:rsidRPr="00181FCD">
        <w:t>Protección</w:t>
      </w:r>
      <w:r w:rsidR="00F373A3" w:rsidRPr="00181FCD">
        <w:t xml:space="preserve"> </w:t>
      </w:r>
      <w:r w:rsidRPr="00181FCD">
        <w:t>de</w:t>
      </w:r>
      <w:r w:rsidR="00F373A3" w:rsidRPr="00181FCD">
        <w:t xml:space="preserve"> </w:t>
      </w:r>
      <w:r w:rsidRPr="00181FCD">
        <w:t>la</w:t>
      </w:r>
      <w:r w:rsidR="00F373A3" w:rsidRPr="00181FCD">
        <w:t xml:space="preserve"> </w:t>
      </w:r>
      <w:r w:rsidRPr="00181FCD">
        <w:t>Infancia</w:t>
      </w:r>
      <w:r w:rsidR="00F373A3" w:rsidRPr="00181FCD">
        <w:t xml:space="preserve"> </w:t>
      </w:r>
      <w:r w:rsidRPr="00181FCD">
        <w:t>se</w:t>
      </w:r>
      <w:r w:rsidR="00F373A3" w:rsidRPr="00181FCD">
        <w:t xml:space="preserve"> </w:t>
      </w:r>
      <w:r w:rsidRPr="00181FCD">
        <w:t>examinó</w:t>
      </w:r>
      <w:r w:rsidR="00F373A3" w:rsidRPr="00181FCD">
        <w:t xml:space="preserve"> </w:t>
      </w:r>
      <w:r w:rsidRPr="00181FCD">
        <w:t>ampliamente</w:t>
      </w:r>
      <w:r w:rsidR="00F373A3" w:rsidRPr="00181FCD">
        <w:t xml:space="preserve"> </w:t>
      </w:r>
      <w:r w:rsidRPr="00181FCD">
        <w:t>la</w:t>
      </w:r>
      <w:r w:rsidR="00F373A3" w:rsidRPr="00181FCD">
        <w:t xml:space="preserve"> </w:t>
      </w:r>
      <w:r w:rsidRPr="00181FCD">
        <w:t>posibilidad</w:t>
      </w:r>
      <w:r w:rsidR="00F373A3" w:rsidRPr="00181FCD">
        <w:t xml:space="preserve"> </w:t>
      </w:r>
      <w:r w:rsidRPr="00181FCD">
        <w:t>de</w:t>
      </w:r>
      <w:r w:rsidR="00F373A3" w:rsidRPr="00181FCD">
        <w:t xml:space="preserve"> </w:t>
      </w:r>
      <w:r w:rsidRPr="00181FCD">
        <w:t>reducir</w:t>
      </w:r>
      <w:r w:rsidR="00F373A3" w:rsidRPr="00181FCD">
        <w:t xml:space="preserve"> </w:t>
      </w:r>
      <w:r w:rsidRPr="00181FCD">
        <w:t>la</w:t>
      </w:r>
      <w:r w:rsidR="00F373A3" w:rsidRPr="00181FCD">
        <w:t xml:space="preserve"> </w:t>
      </w:r>
      <w:r w:rsidRPr="00181FCD">
        <w:t>edad</w:t>
      </w:r>
      <w:r w:rsidR="00F373A3" w:rsidRPr="00181FCD">
        <w:t xml:space="preserve"> </w:t>
      </w:r>
      <w:r w:rsidRPr="00181FCD">
        <w:t>mínima</w:t>
      </w:r>
      <w:r w:rsidR="00F373A3" w:rsidRPr="00181FCD">
        <w:t xml:space="preserve"> </w:t>
      </w:r>
      <w:r w:rsidRPr="00181FCD">
        <w:t>legal</w:t>
      </w:r>
      <w:r w:rsidR="00F373A3" w:rsidRPr="00181FCD">
        <w:t xml:space="preserve"> </w:t>
      </w:r>
      <w:r w:rsidRPr="00181FCD">
        <w:t>para</w:t>
      </w:r>
      <w:r w:rsidR="00F373A3" w:rsidRPr="00181FCD">
        <w:t xml:space="preserve"> </w:t>
      </w:r>
      <w:r w:rsidRPr="00181FCD">
        <w:t>recibir</w:t>
      </w:r>
      <w:r w:rsidR="00F373A3" w:rsidRPr="00181FCD">
        <w:t xml:space="preserve"> </w:t>
      </w:r>
      <w:r w:rsidRPr="00181FCD">
        <w:t>tratamiento</w:t>
      </w:r>
      <w:r w:rsidR="00F373A3" w:rsidRPr="00181FCD">
        <w:t xml:space="preserve"> </w:t>
      </w:r>
      <w:r w:rsidRPr="00181FCD">
        <w:t>médico</w:t>
      </w:r>
      <w:r w:rsidR="00F373A3" w:rsidRPr="00181FCD">
        <w:t xml:space="preserve"> </w:t>
      </w:r>
      <w:r w:rsidRPr="00181FCD">
        <w:t>sin</w:t>
      </w:r>
      <w:r w:rsidR="00F373A3" w:rsidRPr="00181FCD">
        <w:t xml:space="preserve"> </w:t>
      </w:r>
      <w:r w:rsidRPr="00181FCD">
        <w:t>el</w:t>
      </w:r>
      <w:r w:rsidR="00F373A3" w:rsidRPr="00181FCD">
        <w:t xml:space="preserve"> </w:t>
      </w:r>
      <w:r w:rsidRPr="00181FCD">
        <w:t>consentimiento</w:t>
      </w:r>
      <w:r w:rsidR="00F373A3" w:rsidRPr="00181FCD">
        <w:t xml:space="preserve"> </w:t>
      </w:r>
      <w:r w:rsidRPr="00181FCD">
        <w:t>de</w:t>
      </w:r>
      <w:r w:rsidR="00F373A3" w:rsidRPr="00181FCD">
        <w:t xml:space="preserve"> </w:t>
      </w:r>
      <w:r w:rsidRPr="00181FCD">
        <w:t>los</w:t>
      </w:r>
      <w:r w:rsidR="00F373A3" w:rsidRPr="00181FCD">
        <w:t xml:space="preserve"> </w:t>
      </w:r>
      <w:r w:rsidRPr="00181FCD">
        <w:t>padres.</w:t>
      </w:r>
      <w:r w:rsidR="00F373A3" w:rsidRPr="00181FCD">
        <w:t xml:space="preserve"> </w:t>
      </w:r>
      <w:r w:rsidRPr="00181FCD">
        <w:t>Las</w:t>
      </w:r>
      <w:r w:rsidR="00F373A3" w:rsidRPr="00181FCD">
        <w:t xml:space="preserve"> </w:t>
      </w:r>
      <w:r w:rsidRPr="00181FCD">
        <w:t>organizaciones</w:t>
      </w:r>
      <w:r w:rsidR="00F373A3" w:rsidRPr="00181FCD">
        <w:t xml:space="preserve"> </w:t>
      </w:r>
      <w:r w:rsidRPr="00181FCD">
        <w:t>de</w:t>
      </w:r>
      <w:r w:rsidR="00F373A3" w:rsidRPr="00181FCD">
        <w:t xml:space="preserve"> </w:t>
      </w:r>
      <w:r w:rsidRPr="00181FCD">
        <w:t>padres,</w:t>
      </w:r>
      <w:r w:rsidR="00F373A3" w:rsidRPr="00181FCD">
        <w:t xml:space="preserve"> </w:t>
      </w:r>
      <w:r w:rsidRPr="00181FCD">
        <w:t>los</w:t>
      </w:r>
      <w:r w:rsidR="00F373A3" w:rsidRPr="00181FCD">
        <w:t xml:space="preserve"> </w:t>
      </w:r>
      <w:r w:rsidRPr="00181FCD">
        <w:t>niños</w:t>
      </w:r>
      <w:r w:rsidR="00F373A3" w:rsidRPr="00181FCD">
        <w:t xml:space="preserve"> </w:t>
      </w:r>
      <w:r w:rsidRPr="00181FCD">
        <w:t>interrogados,</w:t>
      </w:r>
      <w:r w:rsidR="00F373A3" w:rsidRPr="00181FCD">
        <w:t xml:space="preserve"> </w:t>
      </w:r>
      <w:r w:rsidRPr="00181FCD">
        <w:t>así</w:t>
      </w:r>
      <w:r w:rsidR="00F373A3" w:rsidRPr="00181FCD">
        <w:t xml:space="preserve"> </w:t>
      </w:r>
      <w:r w:rsidRPr="00181FCD">
        <w:t>como</w:t>
      </w:r>
      <w:r w:rsidR="00F373A3" w:rsidRPr="00181FCD">
        <w:t xml:space="preserve"> </w:t>
      </w:r>
      <w:r w:rsidRPr="00181FCD">
        <w:t>una</w:t>
      </w:r>
      <w:r w:rsidR="00F373A3" w:rsidRPr="00181FCD">
        <w:t xml:space="preserve"> </w:t>
      </w:r>
      <w:r w:rsidRPr="00181FCD">
        <w:t>gran</w:t>
      </w:r>
      <w:r w:rsidR="00F373A3" w:rsidRPr="00181FCD">
        <w:t xml:space="preserve"> </w:t>
      </w:r>
      <w:r w:rsidRPr="00181FCD">
        <w:t>parte</w:t>
      </w:r>
      <w:r w:rsidR="00F373A3" w:rsidRPr="00181FCD">
        <w:t xml:space="preserve"> </w:t>
      </w:r>
      <w:r w:rsidRPr="00181FCD">
        <w:t>de</w:t>
      </w:r>
      <w:r w:rsidR="00F373A3" w:rsidRPr="00181FCD">
        <w:t xml:space="preserve"> </w:t>
      </w:r>
      <w:r w:rsidRPr="00181FCD">
        <w:t>los</w:t>
      </w:r>
      <w:r w:rsidR="00F373A3" w:rsidRPr="00181FCD">
        <w:t xml:space="preserve"> </w:t>
      </w:r>
      <w:r w:rsidRPr="00181FCD">
        <w:t>profesionales,</w:t>
      </w:r>
      <w:r w:rsidR="00F373A3" w:rsidRPr="00181FCD">
        <w:t xml:space="preserve"> </w:t>
      </w:r>
      <w:r w:rsidRPr="00181FCD">
        <w:t>afirmaron</w:t>
      </w:r>
      <w:r w:rsidR="00F373A3" w:rsidRPr="00181FCD">
        <w:t xml:space="preserve"> </w:t>
      </w:r>
      <w:r w:rsidRPr="00181FCD">
        <w:t>estar</w:t>
      </w:r>
      <w:r w:rsidR="00F373A3" w:rsidRPr="00181FCD">
        <w:t xml:space="preserve"> </w:t>
      </w:r>
      <w:r w:rsidRPr="00181FCD">
        <w:t>tajantemente</w:t>
      </w:r>
      <w:r w:rsidR="00F373A3" w:rsidRPr="00181FCD">
        <w:t xml:space="preserve"> </w:t>
      </w:r>
      <w:r w:rsidRPr="00181FCD">
        <w:t>en</w:t>
      </w:r>
      <w:r w:rsidR="00F373A3" w:rsidRPr="00181FCD">
        <w:t xml:space="preserve"> </w:t>
      </w:r>
      <w:r w:rsidRPr="00181FCD">
        <w:t>contra</w:t>
      </w:r>
      <w:r w:rsidR="00F373A3" w:rsidRPr="00181FCD">
        <w:t xml:space="preserve"> </w:t>
      </w:r>
      <w:r w:rsidRPr="00181FCD">
        <w:t>de</w:t>
      </w:r>
      <w:r w:rsidR="00F373A3" w:rsidRPr="00181FCD">
        <w:t xml:space="preserve"> </w:t>
      </w:r>
      <w:r w:rsidRPr="00181FCD">
        <w:t>esta</w:t>
      </w:r>
      <w:r w:rsidR="00F373A3" w:rsidRPr="00181FCD">
        <w:t xml:space="preserve"> </w:t>
      </w:r>
      <w:r w:rsidRPr="00181FCD">
        <w:t>posibilidad.</w:t>
      </w:r>
    </w:p>
    <w:p w:rsidR="001937F4" w:rsidRPr="00181FCD" w:rsidRDefault="004B7AF2" w:rsidP="00347B20">
      <w:pPr>
        <w:pStyle w:val="H23G"/>
      </w:pPr>
      <w:r w:rsidRPr="00181FCD">
        <w:tab/>
      </w:r>
      <w:r w:rsidRPr="00181FCD">
        <w:tab/>
      </w:r>
      <w:r w:rsidR="001937F4" w:rsidRPr="00181FCD">
        <w:t>Respuesta</w:t>
      </w:r>
      <w:r w:rsidR="00F373A3" w:rsidRPr="00181FCD">
        <w:t xml:space="preserve"> </w:t>
      </w:r>
      <w:r w:rsidR="001937F4" w:rsidRPr="00181FCD">
        <w:t>a</w:t>
      </w:r>
      <w:r w:rsidR="00F373A3" w:rsidRPr="00181FCD">
        <w:t xml:space="preserve"> </w:t>
      </w:r>
      <w:r w:rsidR="001937F4" w:rsidRPr="00181FCD">
        <w:t>las</w:t>
      </w:r>
      <w:r w:rsidR="00F373A3" w:rsidRPr="00181FCD">
        <w:t xml:space="preserve"> </w:t>
      </w:r>
      <w:r w:rsidR="001937F4" w:rsidRPr="00181FCD">
        <w:t>cuestiones</w:t>
      </w:r>
      <w:r w:rsidR="00F373A3" w:rsidRPr="00181FCD">
        <w:t xml:space="preserve"> </w:t>
      </w:r>
      <w:r w:rsidR="001937F4" w:rsidRPr="00181FCD">
        <w:t>planteadas</w:t>
      </w:r>
      <w:r w:rsidR="00F373A3" w:rsidRPr="00181FCD">
        <w:t xml:space="preserve"> </w:t>
      </w:r>
      <w:r w:rsidR="001937F4" w:rsidRPr="00181FCD">
        <w:t>en</w:t>
      </w:r>
      <w:r w:rsidR="00F373A3" w:rsidRPr="00181FCD">
        <w:t xml:space="preserve"> </w:t>
      </w:r>
      <w:r w:rsidR="001937F4" w:rsidRPr="00181FCD">
        <w:t>el</w:t>
      </w:r>
      <w:r w:rsidR="00F373A3" w:rsidRPr="00181FCD">
        <w:t xml:space="preserve"> </w:t>
      </w:r>
      <w:r w:rsidR="001937F4" w:rsidRPr="00181FCD">
        <w:t>párrafo</w:t>
      </w:r>
      <w:r w:rsidR="00F373A3" w:rsidRPr="00181FCD">
        <w:t xml:space="preserve"> </w:t>
      </w:r>
      <w:r w:rsidR="001937F4" w:rsidRPr="00181FCD">
        <w:t>8</w:t>
      </w:r>
      <w:r w:rsidR="00F373A3" w:rsidRPr="00181FCD">
        <w:t xml:space="preserve"> </w:t>
      </w:r>
      <w:r w:rsidR="001937F4" w:rsidRPr="00181FCD">
        <w:t>de</w:t>
      </w:r>
      <w:r w:rsidR="00F373A3" w:rsidRPr="00181FCD">
        <w:t xml:space="preserve"> </w:t>
      </w:r>
      <w:r w:rsidR="001937F4" w:rsidRPr="00181FCD">
        <w:t>la</w:t>
      </w:r>
      <w:r w:rsidR="00F373A3" w:rsidRPr="00181FCD">
        <w:t xml:space="preserve"> </w:t>
      </w:r>
      <w:r w:rsidR="001937F4" w:rsidRPr="00181FCD">
        <w:t>lista</w:t>
      </w:r>
      <w:r w:rsidR="00F373A3" w:rsidRPr="00181FCD">
        <w:t xml:space="preserve"> </w:t>
      </w:r>
      <w:r w:rsidR="001937F4" w:rsidRPr="00181FCD">
        <w:t>de</w:t>
      </w:r>
      <w:r w:rsidR="00F373A3" w:rsidRPr="00181FCD">
        <w:t xml:space="preserve"> </w:t>
      </w:r>
      <w:r w:rsidR="001937F4" w:rsidRPr="00181FCD">
        <w:t>cuestiones</w:t>
      </w:r>
    </w:p>
    <w:p w:rsidR="001937F4" w:rsidRPr="00181FCD" w:rsidRDefault="001937F4" w:rsidP="00347B20">
      <w:pPr>
        <w:pStyle w:val="SingleTxtG"/>
        <w:suppressAutoHyphens/>
      </w:pPr>
      <w:r w:rsidRPr="00181FCD">
        <w:t>60.</w:t>
      </w:r>
      <w:r w:rsidRPr="00181FCD">
        <w:tab/>
        <w:t>La</w:t>
      </w:r>
      <w:r w:rsidR="00F373A3" w:rsidRPr="00181FCD">
        <w:t xml:space="preserve"> </w:t>
      </w:r>
      <w:r w:rsidRPr="00181FCD">
        <w:t>Comisión</w:t>
      </w:r>
      <w:r w:rsidR="00F373A3" w:rsidRPr="00181FCD">
        <w:t xml:space="preserve"> </w:t>
      </w:r>
      <w:r w:rsidRPr="00181FCD">
        <w:t>Nacional</w:t>
      </w:r>
      <w:r w:rsidR="00F373A3" w:rsidRPr="00181FCD">
        <w:t xml:space="preserve"> </w:t>
      </w:r>
      <w:r w:rsidRPr="00181FCD">
        <w:t>de</w:t>
      </w:r>
      <w:r w:rsidR="00F373A3" w:rsidRPr="00181FCD">
        <w:t xml:space="preserve"> </w:t>
      </w:r>
      <w:r w:rsidRPr="00181FCD">
        <w:t>Lucha</w:t>
      </w:r>
      <w:r w:rsidR="00F373A3" w:rsidRPr="00181FCD">
        <w:t xml:space="preserve"> </w:t>
      </w:r>
      <w:r w:rsidRPr="00181FCD">
        <w:t>contra</w:t>
      </w:r>
      <w:r w:rsidR="00F373A3" w:rsidRPr="00181FCD">
        <w:t xml:space="preserve"> </w:t>
      </w:r>
      <w:r w:rsidRPr="00181FCD">
        <w:t>la</w:t>
      </w:r>
      <w:r w:rsidR="00F373A3" w:rsidRPr="00181FCD">
        <w:t xml:space="preserve"> </w:t>
      </w:r>
      <w:r w:rsidRPr="00181FCD">
        <w:t>Trata</w:t>
      </w:r>
      <w:r w:rsidR="00F373A3" w:rsidRPr="00181FCD">
        <w:t xml:space="preserve"> </w:t>
      </w:r>
      <w:r w:rsidRPr="00181FCD">
        <w:t>de</w:t>
      </w:r>
      <w:r w:rsidR="00F373A3" w:rsidRPr="00181FCD">
        <w:t xml:space="preserve"> </w:t>
      </w:r>
      <w:r w:rsidRPr="00181FCD">
        <w:t>Seres</w:t>
      </w:r>
      <w:r w:rsidR="00F373A3" w:rsidRPr="00181FCD">
        <w:t xml:space="preserve"> </w:t>
      </w:r>
      <w:r w:rsidRPr="00181FCD">
        <w:t>Humanos</w:t>
      </w:r>
      <w:r w:rsidR="00F373A3" w:rsidRPr="00181FCD">
        <w:t xml:space="preserve"> </w:t>
      </w:r>
      <w:r w:rsidRPr="00181FCD">
        <w:t>trabaja</w:t>
      </w:r>
      <w:r w:rsidR="00F373A3" w:rsidRPr="00181FCD">
        <w:t xml:space="preserve"> </w:t>
      </w:r>
      <w:r w:rsidRPr="00181FCD">
        <w:t>activamente</w:t>
      </w:r>
      <w:r w:rsidR="00F373A3" w:rsidRPr="00181FCD">
        <w:t xml:space="preserve"> </w:t>
      </w:r>
      <w:r w:rsidRPr="00181FCD">
        <w:t>con</w:t>
      </w:r>
      <w:r w:rsidR="00F373A3" w:rsidRPr="00181FCD">
        <w:t xml:space="preserve"> </w:t>
      </w:r>
      <w:r w:rsidRPr="00181FCD">
        <w:t>los</w:t>
      </w:r>
      <w:r w:rsidR="00F373A3" w:rsidRPr="00181FCD">
        <w:t xml:space="preserve"> </w:t>
      </w:r>
      <w:r w:rsidRPr="00181FCD">
        <w:t>grupos</w:t>
      </w:r>
      <w:r w:rsidR="00F373A3" w:rsidRPr="00181FCD">
        <w:t xml:space="preserve"> </w:t>
      </w:r>
      <w:r w:rsidRPr="00181FCD">
        <w:t>vulnerables,</w:t>
      </w:r>
      <w:r w:rsidR="00F373A3" w:rsidRPr="00181FCD">
        <w:t xml:space="preserve"> </w:t>
      </w:r>
      <w:r w:rsidRPr="00181FCD">
        <w:t>especialmente</w:t>
      </w:r>
      <w:r w:rsidR="00F373A3" w:rsidRPr="00181FCD">
        <w:t xml:space="preserve"> </w:t>
      </w:r>
      <w:r w:rsidRPr="00181FCD">
        <w:t>con</w:t>
      </w:r>
      <w:r w:rsidR="00F373A3" w:rsidRPr="00181FCD">
        <w:t xml:space="preserve"> </w:t>
      </w:r>
      <w:r w:rsidRPr="00181FCD">
        <w:t>la</w:t>
      </w:r>
      <w:r w:rsidR="00F373A3" w:rsidRPr="00181FCD">
        <w:t xml:space="preserve"> </w:t>
      </w:r>
      <w:r w:rsidRPr="00181FCD">
        <w:t>comunidad</w:t>
      </w:r>
      <w:r w:rsidR="00F373A3" w:rsidRPr="00181FCD">
        <w:t xml:space="preserve"> </w:t>
      </w:r>
      <w:r w:rsidRPr="00181FCD">
        <w:t>romaní.</w:t>
      </w:r>
      <w:r w:rsidR="00F373A3" w:rsidRPr="00181FCD">
        <w:t xml:space="preserve"> </w:t>
      </w:r>
      <w:r w:rsidRPr="00181FCD">
        <w:t>Se</w:t>
      </w:r>
      <w:r w:rsidR="00F373A3" w:rsidRPr="00181FCD">
        <w:t xml:space="preserve"> </w:t>
      </w:r>
      <w:r w:rsidRPr="00181FCD">
        <w:t>están</w:t>
      </w:r>
      <w:r w:rsidR="00F373A3" w:rsidRPr="00181FCD">
        <w:t xml:space="preserve"> </w:t>
      </w:r>
      <w:r w:rsidRPr="00181FCD">
        <w:t>tomando</w:t>
      </w:r>
      <w:r w:rsidR="00F373A3" w:rsidRPr="00181FCD">
        <w:t xml:space="preserve"> </w:t>
      </w:r>
      <w:r w:rsidRPr="00181FCD">
        <w:t>todas</w:t>
      </w:r>
      <w:r w:rsidR="00F373A3" w:rsidRPr="00181FCD">
        <w:t xml:space="preserve"> </w:t>
      </w:r>
      <w:r w:rsidRPr="00181FCD">
        <w:t>las</w:t>
      </w:r>
      <w:r w:rsidR="00F373A3" w:rsidRPr="00181FCD">
        <w:t xml:space="preserve"> </w:t>
      </w:r>
      <w:r w:rsidRPr="00181FCD">
        <w:t>medidas</w:t>
      </w:r>
      <w:r w:rsidR="00F373A3" w:rsidRPr="00181FCD">
        <w:t xml:space="preserve"> </w:t>
      </w:r>
      <w:r w:rsidRPr="00181FCD">
        <w:t>preventivas</w:t>
      </w:r>
      <w:r w:rsidR="00F373A3" w:rsidRPr="00181FCD">
        <w:t xml:space="preserve"> </w:t>
      </w:r>
      <w:r w:rsidRPr="00181FCD">
        <w:t>necesarias</w:t>
      </w:r>
      <w:r w:rsidR="00F373A3" w:rsidRPr="00181FCD">
        <w:t xml:space="preserve"> </w:t>
      </w:r>
      <w:r w:rsidRPr="00181FCD">
        <w:t>para</w:t>
      </w:r>
      <w:r w:rsidR="00F373A3" w:rsidRPr="00181FCD">
        <w:t xml:space="preserve"> </w:t>
      </w:r>
      <w:r w:rsidRPr="00181FCD">
        <w:t>reducir</w:t>
      </w:r>
      <w:r w:rsidR="00F373A3" w:rsidRPr="00181FCD">
        <w:t xml:space="preserve"> </w:t>
      </w:r>
      <w:r w:rsidRPr="00181FCD">
        <w:t>el</w:t>
      </w:r>
      <w:r w:rsidR="00F373A3" w:rsidRPr="00181FCD">
        <w:t xml:space="preserve"> </w:t>
      </w:r>
      <w:r w:rsidRPr="00181FCD">
        <w:t>número</w:t>
      </w:r>
      <w:r w:rsidR="00F373A3" w:rsidRPr="00181FCD">
        <w:t xml:space="preserve"> </w:t>
      </w:r>
      <w:r w:rsidRPr="00181FCD">
        <w:t>de</w:t>
      </w:r>
      <w:r w:rsidR="00F373A3" w:rsidRPr="00181FCD">
        <w:t xml:space="preserve"> </w:t>
      </w:r>
      <w:r w:rsidRPr="00181FCD">
        <w:t>víctimas</w:t>
      </w:r>
      <w:r w:rsidR="00F373A3" w:rsidRPr="00181FCD">
        <w:t xml:space="preserve"> </w:t>
      </w:r>
      <w:r w:rsidRPr="00181FCD">
        <w:t>de</w:t>
      </w:r>
      <w:r w:rsidR="00F373A3" w:rsidRPr="00181FCD">
        <w:t xml:space="preserve"> </w:t>
      </w:r>
      <w:r w:rsidRPr="00181FCD">
        <w:t>la</w:t>
      </w:r>
      <w:r w:rsidR="00F373A3" w:rsidRPr="00181FCD">
        <w:t xml:space="preserve"> </w:t>
      </w:r>
      <w:r w:rsidRPr="00181FCD">
        <w:t>trata</w:t>
      </w:r>
      <w:r w:rsidR="00F373A3" w:rsidRPr="00181FCD">
        <w:t xml:space="preserve"> </w:t>
      </w:r>
      <w:r w:rsidRPr="00181FCD">
        <w:t>de</w:t>
      </w:r>
      <w:r w:rsidR="00F373A3" w:rsidRPr="00181FCD">
        <w:t xml:space="preserve"> </w:t>
      </w:r>
      <w:r w:rsidRPr="00181FCD">
        <w:t>personas</w:t>
      </w:r>
      <w:r w:rsidR="00F373A3" w:rsidRPr="00181FCD">
        <w:t xml:space="preserve"> </w:t>
      </w:r>
      <w:r w:rsidRPr="00181FCD">
        <w:t>con</w:t>
      </w:r>
      <w:r w:rsidR="00F373A3" w:rsidRPr="00181FCD">
        <w:t xml:space="preserve"> </w:t>
      </w:r>
      <w:r w:rsidRPr="00181FCD">
        <w:t>fines</w:t>
      </w:r>
      <w:r w:rsidR="00F373A3" w:rsidRPr="00181FCD">
        <w:t xml:space="preserve"> </w:t>
      </w:r>
      <w:r w:rsidRPr="00181FCD">
        <w:t>de</w:t>
      </w:r>
      <w:r w:rsidR="00F373A3" w:rsidRPr="00181FCD">
        <w:t xml:space="preserve"> </w:t>
      </w:r>
      <w:r w:rsidRPr="00181FCD">
        <w:t>explotación</w:t>
      </w:r>
      <w:r w:rsidR="00F373A3" w:rsidRPr="00181FCD">
        <w:t xml:space="preserve"> </w:t>
      </w:r>
      <w:r w:rsidRPr="00181FCD">
        <w:t>laboral</w:t>
      </w:r>
      <w:r w:rsidR="00F373A3" w:rsidRPr="00181FCD">
        <w:t xml:space="preserve"> </w:t>
      </w:r>
      <w:r w:rsidRPr="00181FCD">
        <w:t>y</w:t>
      </w:r>
      <w:r w:rsidR="00F373A3" w:rsidRPr="00181FCD">
        <w:t xml:space="preserve"> </w:t>
      </w:r>
      <w:r w:rsidRPr="00181FCD">
        <w:t>sexual,</w:t>
      </w:r>
      <w:r w:rsidR="00F373A3" w:rsidRPr="00181FCD">
        <w:t xml:space="preserve"> </w:t>
      </w:r>
      <w:r w:rsidRPr="00181FCD">
        <w:t>mediante</w:t>
      </w:r>
      <w:r w:rsidR="00F373A3" w:rsidRPr="00181FCD">
        <w:t xml:space="preserve"> </w:t>
      </w:r>
      <w:r w:rsidRPr="00181FCD">
        <w:t>la</w:t>
      </w:r>
      <w:r w:rsidR="00F373A3" w:rsidRPr="00181FCD">
        <w:t xml:space="preserve"> </w:t>
      </w:r>
      <w:r w:rsidRPr="00181FCD">
        <w:t>organización</w:t>
      </w:r>
      <w:r w:rsidR="00F373A3" w:rsidRPr="00181FCD">
        <w:t xml:space="preserve"> </w:t>
      </w:r>
      <w:r w:rsidRPr="00181FCD">
        <w:t>y</w:t>
      </w:r>
      <w:r w:rsidR="00F373A3" w:rsidRPr="00181FCD">
        <w:t xml:space="preserve"> </w:t>
      </w:r>
      <w:r w:rsidRPr="00181FCD">
        <w:t>ejecución</w:t>
      </w:r>
      <w:r w:rsidR="00F373A3" w:rsidRPr="00181FCD">
        <w:t xml:space="preserve"> </w:t>
      </w:r>
      <w:r w:rsidRPr="00181FCD">
        <w:t>de</w:t>
      </w:r>
      <w:r w:rsidR="00F373A3" w:rsidRPr="00181FCD">
        <w:t xml:space="preserve"> </w:t>
      </w:r>
      <w:r w:rsidRPr="00181FCD">
        <w:t>campañas</w:t>
      </w:r>
      <w:r w:rsidR="00F373A3" w:rsidRPr="00181FCD">
        <w:t xml:space="preserve"> </w:t>
      </w:r>
      <w:r w:rsidRPr="00181FCD">
        <w:t>anuales</w:t>
      </w:r>
      <w:r w:rsidR="00F373A3" w:rsidRPr="00181FCD">
        <w:t xml:space="preserve"> </w:t>
      </w:r>
      <w:r w:rsidRPr="00181FCD">
        <w:t>para</w:t>
      </w:r>
      <w:r w:rsidR="00F373A3" w:rsidRPr="00181FCD">
        <w:t xml:space="preserve"> </w:t>
      </w:r>
      <w:r w:rsidRPr="00181FCD">
        <w:t>prevenir</w:t>
      </w:r>
      <w:r w:rsidR="00F373A3" w:rsidRPr="00181FCD">
        <w:t xml:space="preserve"> </w:t>
      </w:r>
      <w:r w:rsidRPr="00181FCD">
        <w:t>ese</w:t>
      </w:r>
      <w:r w:rsidR="00F373A3" w:rsidRPr="00181FCD">
        <w:t xml:space="preserve"> </w:t>
      </w:r>
      <w:r w:rsidRPr="00181FCD">
        <w:t>flagelo.</w:t>
      </w:r>
      <w:r w:rsidR="00F373A3" w:rsidRPr="00181FCD">
        <w:t xml:space="preserve"> </w:t>
      </w:r>
      <w:r w:rsidRPr="00181FCD">
        <w:t>La</w:t>
      </w:r>
      <w:r w:rsidR="00F373A3" w:rsidRPr="00181FCD">
        <w:t xml:space="preserve"> </w:t>
      </w:r>
      <w:r w:rsidRPr="00181FCD">
        <w:t>Comisión</w:t>
      </w:r>
      <w:r w:rsidR="00F373A3" w:rsidRPr="00181FCD">
        <w:t xml:space="preserve"> </w:t>
      </w:r>
      <w:r w:rsidRPr="00181FCD">
        <w:t>también</w:t>
      </w:r>
      <w:r w:rsidR="00F373A3" w:rsidRPr="00181FCD">
        <w:t xml:space="preserve"> </w:t>
      </w:r>
      <w:r w:rsidRPr="00181FCD">
        <w:t>trabaja</w:t>
      </w:r>
      <w:r w:rsidR="00F373A3" w:rsidRPr="00181FCD">
        <w:t xml:space="preserve"> </w:t>
      </w:r>
      <w:r w:rsidRPr="00181FCD">
        <w:t>con</w:t>
      </w:r>
      <w:r w:rsidR="00F373A3" w:rsidRPr="00181FCD">
        <w:t xml:space="preserve"> </w:t>
      </w:r>
      <w:r w:rsidRPr="00181FCD">
        <w:t>jóvenes</w:t>
      </w:r>
      <w:r w:rsidR="00F373A3" w:rsidRPr="00181FCD">
        <w:t xml:space="preserve"> </w:t>
      </w:r>
      <w:r w:rsidRPr="00181FCD">
        <w:t>que</w:t>
      </w:r>
      <w:r w:rsidR="00F373A3" w:rsidRPr="00181FCD">
        <w:t xml:space="preserve"> </w:t>
      </w:r>
      <w:r w:rsidRPr="00181FCD">
        <w:t>formarán</w:t>
      </w:r>
      <w:r w:rsidR="00F373A3" w:rsidRPr="00181FCD">
        <w:t xml:space="preserve"> </w:t>
      </w:r>
      <w:r w:rsidRPr="00181FCD">
        <w:t>a</w:t>
      </w:r>
      <w:r w:rsidR="00F373A3" w:rsidRPr="00181FCD">
        <w:t xml:space="preserve"> </w:t>
      </w:r>
      <w:r w:rsidRPr="00181FCD">
        <w:t>sus</w:t>
      </w:r>
      <w:r w:rsidR="00F373A3" w:rsidRPr="00181FCD">
        <w:t xml:space="preserve"> </w:t>
      </w:r>
      <w:r w:rsidRPr="00181FCD">
        <w:t>compañeros</w:t>
      </w:r>
      <w:r w:rsidR="00F373A3" w:rsidRPr="00181FCD">
        <w:t xml:space="preserve"> </w:t>
      </w:r>
      <w:r w:rsidRPr="00181FCD">
        <w:t>sobre</w:t>
      </w:r>
      <w:r w:rsidR="00F373A3" w:rsidRPr="00181FCD">
        <w:t xml:space="preserve"> </w:t>
      </w:r>
      <w:r w:rsidRPr="00181FCD">
        <w:t>la</w:t>
      </w:r>
      <w:r w:rsidR="00F373A3" w:rsidRPr="00181FCD">
        <w:t xml:space="preserve"> </w:t>
      </w:r>
      <w:r w:rsidRPr="00181FCD">
        <w:t>manera</w:t>
      </w:r>
      <w:r w:rsidR="00F373A3" w:rsidRPr="00181FCD">
        <w:t xml:space="preserve"> </w:t>
      </w:r>
      <w:r w:rsidRPr="00181FCD">
        <w:t>de</w:t>
      </w:r>
      <w:r w:rsidR="00F373A3" w:rsidRPr="00181FCD">
        <w:t xml:space="preserve"> </w:t>
      </w:r>
      <w:r w:rsidRPr="00181FCD">
        <w:t>prevenir</w:t>
      </w:r>
      <w:r w:rsidR="00F373A3" w:rsidRPr="00181FCD">
        <w:t xml:space="preserve"> </w:t>
      </w:r>
      <w:r w:rsidRPr="00181FCD">
        <w:t>la</w:t>
      </w:r>
      <w:r w:rsidR="00F373A3" w:rsidRPr="00181FCD">
        <w:t xml:space="preserve"> </w:t>
      </w:r>
      <w:r w:rsidRPr="00181FCD">
        <w:t>trata</w:t>
      </w:r>
      <w:r w:rsidR="00F373A3" w:rsidRPr="00181FCD">
        <w:t xml:space="preserve"> </w:t>
      </w:r>
      <w:r w:rsidRPr="00181FCD">
        <w:t>de</w:t>
      </w:r>
      <w:r w:rsidR="00F373A3" w:rsidRPr="00181FCD">
        <w:t xml:space="preserve"> </w:t>
      </w:r>
      <w:r w:rsidRPr="00181FCD">
        <w:t>seres</w:t>
      </w:r>
      <w:r w:rsidR="00F373A3" w:rsidRPr="00181FCD">
        <w:t xml:space="preserve"> </w:t>
      </w:r>
      <w:r w:rsidRPr="00181FCD">
        <w:t>humanos.</w:t>
      </w:r>
    </w:p>
    <w:p w:rsidR="001937F4" w:rsidRPr="00181FCD" w:rsidRDefault="001937F4" w:rsidP="00347B20">
      <w:pPr>
        <w:pStyle w:val="SingleTxtG"/>
        <w:suppressAutoHyphens/>
      </w:pPr>
      <w:r w:rsidRPr="00181FCD">
        <w:t>61.</w:t>
      </w:r>
      <w:r w:rsidRPr="00181FCD">
        <w:tab/>
        <w:t>Se</w:t>
      </w:r>
      <w:r w:rsidR="00F373A3" w:rsidRPr="00181FCD">
        <w:t xml:space="preserve"> </w:t>
      </w:r>
      <w:r w:rsidRPr="00181FCD">
        <w:t>han</w:t>
      </w:r>
      <w:r w:rsidR="00F373A3" w:rsidRPr="00181FCD">
        <w:t xml:space="preserve"> </w:t>
      </w:r>
      <w:r w:rsidRPr="00181FCD">
        <w:t>subsanado</w:t>
      </w:r>
      <w:r w:rsidR="00F373A3" w:rsidRPr="00181FCD">
        <w:t xml:space="preserve"> </w:t>
      </w:r>
      <w:r w:rsidRPr="00181FCD">
        <w:t>las</w:t>
      </w:r>
      <w:r w:rsidR="00F373A3" w:rsidRPr="00181FCD">
        <w:t xml:space="preserve"> </w:t>
      </w:r>
      <w:r w:rsidRPr="00181FCD">
        <w:t>deficiencias</w:t>
      </w:r>
      <w:r w:rsidR="00F373A3" w:rsidRPr="00181FCD">
        <w:t xml:space="preserve"> </w:t>
      </w:r>
      <w:r w:rsidRPr="00181FCD">
        <w:t>en</w:t>
      </w:r>
      <w:r w:rsidR="00F373A3" w:rsidRPr="00181FCD">
        <w:t xml:space="preserve"> </w:t>
      </w:r>
      <w:r w:rsidRPr="00181FCD">
        <w:t>la</w:t>
      </w:r>
      <w:r w:rsidR="00F373A3" w:rsidRPr="00181FCD">
        <w:t xml:space="preserve"> </w:t>
      </w:r>
      <w:r w:rsidRPr="00181FCD">
        <w:t>legislación</w:t>
      </w:r>
      <w:r w:rsidR="00F373A3" w:rsidRPr="00181FCD">
        <w:t xml:space="preserve"> </w:t>
      </w:r>
      <w:r w:rsidRPr="00181FCD">
        <w:t>mediante</w:t>
      </w:r>
      <w:r w:rsidR="00F373A3" w:rsidRPr="00181FCD">
        <w:t xml:space="preserve"> </w:t>
      </w:r>
      <w:r w:rsidRPr="00181FCD">
        <w:t>la</w:t>
      </w:r>
      <w:r w:rsidR="00F373A3" w:rsidRPr="00181FCD">
        <w:t xml:space="preserve"> </w:t>
      </w:r>
      <w:r w:rsidRPr="00181FCD">
        <w:t>introducción</w:t>
      </w:r>
      <w:r w:rsidR="00F373A3" w:rsidRPr="00181FCD">
        <w:t xml:space="preserve"> </w:t>
      </w:r>
      <w:r w:rsidRPr="00181FCD">
        <w:t>de</w:t>
      </w:r>
      <w:r w:rsidR="00F373A3" w:rsidRPr="00181FCD">
        <w:t xml:space="preserve"> </w:t>
      </w:r>
      <w:r w:rsidRPr="00181FCD">
        <w:t>modificaciones</w:t>
      </w:r>
      <w:r w:rsidR="00F373A3" w:rsidRPr="00181FCD">
        <w:t xml:space="preserve"> </w:t>
      </w:r>
      <w:r w:rsidRPr="00181FCD">
        <w:t>legislativas</w:t>
      </w:r>
      <w:r w:rsidR="00F373A3" w:rsidRPr="00181FCD">
        <w:t xml:space="preserve"> </w:t>
      </w:r>
      <w:r w:rsidRPr="00181FCD">
        <w:t>en</w:t>
      </w:r>
      <w:r w:rsidR="00F373A3" w:rsidRPr="00181FCD">
        <w:t xml:space="preserve"> </w:t>
      </w:r>
      <w:r w:rsidRPr="00181FCD">
        <w:t>la</w:t>
      </w:r>
      <w:r w:rsidR="00F373A3" w:rsidRPr="00181FCD">
        <w:t xml:space="preserve"> </w:t>
      </w:r>
      <w:r w:rsidRPr="00181FCD">
        <w:t>ley</w:t>
      </w:r>
      <w:r w:rsidR="00F373A3" w:rsidRPr="00181FCD">
        <w:t xml:space="preserve"> </w:t>
      </w:r>
      <w:r w:rsidRPr="00181FCD">
        <w:t>de</w:t>
      </w:r>
      <w:r w:rsidR="00F373A3" w:rsidRPr="00181FCD">
        <w:t xml:space="preserve"> </w:t>
      </w:r>
      <w:r w:rsidRPr="00181FCD">
        <w:t>fondo,</w:t>
      </w:r>
      <w:r w:rsidR="00F373A3" w:rsidRPr="00181FCD">
        <w:t xml:space="preserve"> </w:t>
      </w:r>
      <w:r w:rsidRPr="00181FCD">
        <w:t>la</w:t>
      </w:r>
      <w:r w:rsidR="00F373A3" w:rsidRPr="00181FCD">
        <w:t xml:space="preserve"> </w:t>
      </w:r>
      <w:r w:rsidRPr="00181FCD">
        <w:t>regulación</w:t>
      </w:r>
      <w:r w:rsidR="00F373A3" w:rsidRPr="00181FCD">
        <w:t xml:space="preserve"> </w:t>
      </w:r>
      <w:r w:rsidRPr="00181FCD">
        <w:t>del</w:t>
      </w:r>
      <w:r w:rsidR="00F373A3" w:rsidRPr="00181FCD">
        <w:t xml:space="preserve"> </w:t>
      </w:r>
      <w:r w:rsidRPr="00181FCD">
        <w:t>enjuiciamiento</w:t>
      </w:r>
      <w:r w:rsidR="00F373A3" w:rsidRPr="00181FCD">
        <w:t xml:space="preserve"> </w:t>
      </w:r>
      <w:r w:rsidRPr="00181FCD">
        <w:t>penal</w:t>
      </w:r>
      <w:r w:rsidR="00F373A3" w:rsidRPr="00181FCD">
        <w:t xml:space="preserve"> </w:t>
      </w:r>
      <w:r w:rsidRPr="00181FCD">
        <w:t>del</w:t>
      </w:r>
      <w:r w:rsidR="00F373A3" w:rsidRPr="00181FCD">
        <w:t xml:space="preserve"> </w:t>
      </w:r>
      <w:r w:rsidRPr="00181FCD">
        <w:t>delito</w:t>
      </w:r>
      <w:r w:rsidR="00F373A3" w:rsidRPr="00181FCD">
        <w:t xml:space="preserve"> </w:t>
      </w:r>
      <w:r w:rsidRPr="00181FCD">
        <w:t>de</w:t>
      </w:r>
      <w:r w:rsidR="00F373A3" w:rsidRPr="00181FCD">
        <w:t xml:space="preserve"> </w:t>
      </w:r>
      <w:r w:rsidRPr="00181FCD">
        <w:t>trata</w:t>
      </w:r>
      <w:r w:rsidR="00F373A3" w:rsidRPr="00181FCD">
        <w:t xml:space="preserve"> </w:t>
      </w:r>
      <w:r w:rsidRPr="00181FCD">
        <w:t>de</w:t>
      </w:r>
      <w:r w:rsidR="00F373A3" w:rsidRPr="00181FCD">
        <w:t xml:space="preserve"> </w:t>
      </w:r>
      <w:r w:rsidRPr="00181FCD">
        <w:t>seres</w:t>
      </w:r>
      <w:r w:rsidR="00F373A3" w:rsidRPr="00181FCD">
        <w:t xml:space="preserve"> </w:t>
      </w:r>
      <w:r w:rsidRPr="00181FCD">
        <w:t>humanos</w:t>
      </w:r>
      <w:r w:rsidR="00F373A3" w:rsidRPr="00181FCD">
        <w:t xml:space="preserve"> </w:t>
      </w:r>
      <w:r w:rsidRPr="00181FCD">
        <w:t>y</w:t>
      </w:r>
      <w:r w:rsidR="00F373A3" w:rsidRPr="00181FCD">
        <w:t xml:space="preserve"> </w:t>
      </w:r>
      <w:r w:rsidRPr="00181FCD">
        <w:t>la</w:t>
      </w:r>
      <w:r w:rsidR="00F373A3" w:rsidRPr="00181FCD">
        <w:t xml:space="preserve"> </w:t>
      </w:r>
      <w:r w:rsidRPr="00181FCD">
        <w:t>prevención</w:t>
      </w:r>
      <w:r w:rsidR="00F373A3" w:rsidRPr="00181FCD">
        <w:t xml:space="preserve"> </w:t>
      </w:r>
      <w:r w:rsidRPr="00181FCD">
        <w:t>y</w:t>
      </w:r>
      <w:r w:rsidR="00F373A3" w:rsidRPr="00181FCD">
        <w:t xml:space="preserve"> </w:t>
      </w:r>
      <w:r w:rsidRPr="00181FCD">
        <w:t>protección</w:t>
      </w:r>
      <w:r w:rsidR="00F373A3" w:rsidRPr="00181FCD">
        <w:t xml:space="preserve"> </w:t>
      </w:r>
      <w:r w:rsidRPr="00181FCD">
        <w:t>de</w:t>
      </w:r>
      <w:r w:rsidR="00F373A3" w:rsidRPr="00181FCD">
        <w:t xml:space="preserve"> </w:t>
      </w:r>
      <w:r w:rsidRPr="00181FCD">
        <w:t>las</w:t>
      </w:r>
      <w:r w:rsidR="00F373A3" w:rsidRPr="00181FCD">
        <w:t xml:space="preserve"> </w:t>
      </w:r>
      <w:r w:rsidRPr="00181FCD">
        <w:t>víctimas.</w:t>
      </w:r>
      <w:r w:rsidR="00F373A3" w:rsidRPr="00181FCD">
        <w:t xml:space="preserve"> </w:t>
      </w:r>
      <w:r w:rsidRPr="00181FCD">
        <w:t>Estas</w:t>
      </w:r>
      <w:r w:rsidR="00F373A3" w:rsidRPr="00181FCD">
        <w:t xml:space="preserve"> </w:t>
      </w:r>
      <w:r w:rsidRPr="00181FCD">
        <w:t>medidas</w:t>
      </w:r>
      <w:r w:rsidR="00F373A3" w:rsidRPr="00181FCD">
        <w:t xml:space="preserve"> </w:t>
      </w:r>
      <w:r w:rsidRPr="00181FCD">
        <w:t>están</w:t>
      </w:r>
      <w:r w:rsidR="00F373A3" w:rsidRPr="00181FCD">
        <w:t xml:space="preserve"> </w:t>
      </w:r>
      <w:r w:rsidRPr="00181FCD">
        <w:t>en</w:t>
      </w:r>
      <w:r w:rsidR="00F373A3" w:rsidRPr="00181FCD">
        <w:t xml:space="preserve"> </w:t>
      </w:r>
      <w:r w:rsidRPr="00181FCD">
        <w:t>armonía</w:t>
      </w:r>
      <w:r w:rsidR="00F373A3" w:rsidRPr="00181FCD">
        <w:t xml:space="preserve"> </w:t>
      </w:r>
      <w:r w:rsidRPr="00181FCD">
        <w:t>con</w:t>
      </w:r>
      <w:r w:rsidR="00F373A3" w:rsidRPr="00181FCD">
        <w:t xml:space="preserve"> </w:t>
      </w:r>
      <w:r w:rsidRPr="00181FCD">
        <w:t>los</w:t>
      </w:r>
      <w:r w:rsidR="00F373A3" w:rsidRPr="00181FCD">
        <w:t xml:space="preserve"> </w:t>
      </w:r>
      <w:r w:rsidRPr="00181FCD">
        <w:t>acuerdos</w:t>
      </w:r>
      <w:r w:rsidR="00F373A3" w:rsidRPr="00181FCD">
        <w:t xml:space="preserve"> </w:t>
      </w:r>
      <w:r w:rsidRPr="00181FCD">
        <w:t>internacionales</w:t>
      </w:r>
      <w:r w:rsidR="00F373A3" w:rsidRPr="00181FCD">
        <w:t xml:space="preserve"> </w:t>
      </w:r>
      <w:r w:rsidRPr="00181FCD">
        <w:t>en</w:t>
      </w:r>
      <w:r w:rsidR="00F373A3" w:rsidRPr="00181FCD">
        <w:t xml:space="preserve"> </w:t>
      </w:r>
      <w:r w:rsidRPr="00181FCD">
        <w:t>los</w:t>
      </w:r>
      <w:r w:rsidR="00F373A3" w:rsidRPr="00181FCD">
        <w:t xml:space="preserve"> </w:t>
      </w:r>
      <w:r w:rsidRPr="00181FCD">
        <w:t>que</w:t>
      </w:r>
      <w:r w:rsidR="00F373A3" w:rsidRPr="00181FCD">
        <w:t xml:space="preserve"> </w:t>
      </w:r>
      <w:r w:rsidRPr="00181FCD">
        <w:t>Bulgaria</w:t>
      </w:r>
      <w:r w:rsidR="00F373A3" w:rsidRPr="00181FCD">
        <w:t xml:space="preserve"> </w:t>
      </w:r>
      <w:r w:rsidRPr="00181FCD">
        <w:t>es</w:t>
      </w:r>
      <w:r w:rsidR="00F373A3" w:rsidRPr="00181FCD">
        <w:t xml:space="preserve"> </w:t>
      </w:r>
      <w:r w:rsidRPr="00181FCD">
        <w:t>parte.</w:t>
      </w:r>
    </w:p>
    <w:p w:rsidR="001937F4" w:rsidRPr="00181FCD" w:rsidRDefault="001937F4" w:rsidP="00347B20">
      <w:pPr>
        <w:pStyle w:val="SingleTxtG"/>
        <w:suppressAutoHyphens/>
      </w:pPr>
      <w:r w:rsidRPr="00181FCD">
        <w:t>62.</w:t>
      </w:r>
      <w:r w:rsidRPr="00181FCD">
        <w:tab/>
        <w:t>A</w:t>
      </w:r>
      <w:r w:rsidR="00F373A3" w:rsidRPr="00181FCD">
        <w:t xml:space="preserve"> </w:t>
      </w:r>
      <w:r w:rsidRPr="00181FCD">
        <w:t>los</w:t>
      </w:r>
      <w:r w:rsidR="00F373A3" w:rsidRPr="00181FCD">
        <w:t xml:space="preserve"> </w:t>
      </w:r>
      <w:r w:rsidRPr="00181FCD">
        <w:t>efectos</w:t>
      </w:r>
      <w:r w:rsidR="00F373A3" w:rsidRPr="00181FCD">
        <w:t xml:space="preserve"> </w:t>
      </w:r>
      <w:r w:rsidRPr="00181FCD">
        <w:t>de</w:t>
      </w:r>
      <w:r w:rsidR="00F373A3" w:rsidRPr="00181FCD">
        <w:t xml:space="preserve"> </w:t>
      </w:r>
      <w:r w:rsidRPr="00181FCD">
        <w:t>la</w:t>
      </w:r>
      <w:r w:rsidR="00F373A3" w:rsidRPr="00181FCD">
        <w:t xml:space="preserve"> </w:t>
      </w:r>
      <w:r w:rsidRPr="00181FCD">
        <w:t>transposición</w:t>
      </w:r>
      <w:r w:rsidR="00F373A3" w:rsidRPr="00181FCD">
        <w:t xml:space="preserve"> </w:t>
      </w:r>
      <w:r w:rsidRPr="00181FCD">
        <w:t>de</w:t>
      </w:r>
      <w:r w:rsidR="00F373A3" w:rsidRPr="00181FCD">
        <w:t xml:space="preserve"> </w:t>
      </w:r>
      <w:r w:rsidRPr="00181FCD">
        <w:t>la</w:t>
      </w:r>
      <w:r w:rsidR="00F373A3" w:rsidRPr="00181FCD">
        <w:t xml:space="preserve"> </w:t>
      </w:r>
      <w:r w:rsidRPr="00181FCD">
        <w:t>Directiva</w:t>
      </w:r>
      <w:r w:rsidR="00F373A3" w:rsidRPr="00181FCD">
        <w:t xml:space="preserve"> </w:t>
      </w:r>
      <w:r w:rsidRPr="00181FCD">
        <w:t>2011/36/UE</w:t>
      </w:r>
      <w:r w:rsidR="00F373A3" w:rsidRPr="00181FCD">
        <w:t xml:space="preserve"> </w:t>
      </w:r>
      <w:r w:rsidRPr="00181FCD">
        <w:t>del</w:t>
      </w:r>
      <w:r w:rsidR="00F373A3" w:rsidRPr="00181FCD">
        <w:t xml:space="preserve"> </w:t>
      </w:r>
      <w:r w:rsidRPr="00181FCD">
        <w:t>Parlamento</w:t>
      </w:r>
      <w:r w:rsidR="00F373A3" w:rsidRPr="00181FCD">
        <w:t xml:space="preserve"> </w:t>
      </w:r>
      <w:r w:rsidRPr="00181FCD">
        <w:t>Europeo</w:t>
      </w:r>
      <w:r w:rsidR="00F373A3" w:rsidRPr="00181FCD">
        <w:t xml:space="preserve"> </w:t>
      </w:r>
      <w:r w:rsidRPr="00181FCD">
        <w:t>y</w:t>
      </w:r>
      <w:r w:rsidR="00F373A3" w:rsidRPr="00181FCD">
        <w:t xml:space="preserve"> </w:t>
      </w:r>
      <w:r w:rsidRPr="00181FCD">
        <w:t>del</w:t>
      </w:r>
      <w:r w:rsidR="00F373A3" w:rsidRPr="00181FCD">
        <w:t xml:space="preserve"> </w:t>
      </w:r>
      <w:r w:rsidRPr="00181FCD">
        <w:t>Consejo,</w:t>
      </w:r>
      <w:r w:rsidR="00F373A3" w:rsidRPr="00181FCD">
        <w:t xml:space="preserve"> </w:t>
      </w:r>
      <w:r w:rsidRPr="00181FCD">
        <w:t>de</w:t>
      </w:r>
      <w:r w:rsidR="00F373A3" w:rsidRPr="00181FCD">
        <w:t xml:space="preserve"> </w:t>
      </w:r>
      <w:r w:rsidRPr="00181FCD">
        <w:t>5</w:t>
      </w:r>
      <w:r w:rsidR="00F373A3" w:rsidRPr="00181FCD">
        <w:t xml:space="preserve"> </w:t>
      </w:r>
      <w:r w:rsidRPr="00181FCD">
        <w:t>de</w:t>
      </w:r>
      <w:r w:rsidR="00F373A3" w:rsidRPr="00181FCD">
        <w:t xml:space="preserve"> </w:t>
      </w:r>
      <w:r w:rsidRPr="00181FCD">
        <w:t>abril</w:t>
      </w:r>
      <w:r w:rsidR="00F373A3" w:rsidRPr="00181FCD">
        <w:t xml:space="preserve"> </w:t>
      </w:r>
      <w:r w:rsidRPr="00181FCD">
        <w:t>de</w:t>
      </w:r>
      <w:r w:rsidR="00F373A3" w:rsidRPr="00181FCD">
        <w:t xml:space="preserve"> </w:t>
      </w:r>
      <w:r w:rsidRPr="00181FCD">
        <w:t>2011,</w:t>
      </w:r>
      <w:r w:rsidR="00F373A3" w:rsidRPr="00181FCD">
        <w:t xml:space="preserve"> </w:t>
      </w:r>
      <w:r w:rsidRPr="00181FCD">
        <w:t>sobre</w:t>
      </w:r>
      <w:r w:rsidR="00F373A3" w:rsidRPr="00181FCD">
        <w:t xml:space="preserve"> </w:t>
      </w:r>
      <w:r w:rsidRPr="00181FCD">
        <w:t>la</w:t>
      </w:r>
      <w:r w:rsidR="00F373A3" w:rsidRPr="00181FCD">
        <w:t xml:space="preserve"> </w:t>
      </w:r>
      <w:r w:rsidRPr="00181FCD">
        <w:t>prevención</w:t>
      </w:r>
      <w:r w:rsidR="00F373A3" w:rsidRPr="00181FCD">
        <w:t xml:space="preserve"> </w:t>
      </w:r>
      <w:r w:rsidRPr="00181FCD">
        <w:t>y</w:t>
      </w:r>
      <w:r w:rsidR="00F373A3" w:rsidRPr="00181FCD">
        <w:t xml:space="preserve"> </w:t>
      </w:r>
      <w:r w:rsidRPr="00181FCD">
        <w:t>lucha</w:t>
      </w:r>
      <w:r w:rsidR="00F373A3" w:rsidRPr="00181FCD">
        <w:t xml:space="preserve"> </w:t>
      </w:r>
      <w:r w:rsidRPr="00181FCD">
        <w:t>contra</w:t>
      </w:r>
      <w:r w:rsidR="00F373A3" w:rsidRPr="00181FCD">
        <w:t xml:space="preserve"> </w:t>
      </w:r>
      <w:r w:rsidRPr="00181FCD">
        <w:t>la</w:t>
      </w:r>
      <w:r w:rsidR="00F373A3" w:rsidRPr="00181FCD">
        <w:t xml:space="preserve"> </w:t>
      </w:r>
      <w:r w:rsidRPr="00181FCD">
        <w:t>trata</w:t>
      </w:r>
      <w:r w:rsidR="00F373A3" w:rsidRPr="00181FCD">
        <w:t xml:space="preserve"> </w:t>
      </w:r>
      <w:r w:rsidRPr="00181FCD">
        <w:t>de</w:t>
      </w:r>
      <w:r w:rsidR="00F373A3" w:rsidRPr="00181FCD">
        <w:t xml:space="preserve"> </w:t>
      </w:r>
      <w:r w:rsidRPr="00181FCD">
        <w:t>seres</w:t>
      </w:r>
      <w:r w:rsidR="00F373A3" w:rsidRPr="00181FCD">
        <w:t xml:space="preserve"> </w:t>
      </w:r>
      <w:r w:rsidRPr="00181FCD">
        <w:t>humanos</w:t>
      </w:r>
      <w:r w:rsidR="00F373A3" w:rsidRPr="00181FCD">
        <w:t xml:space="preserve"> </w:t>
      </w:r>
      <w:r w:rsidRPr="00181FCD">
        <w:t>y</w:t>
      </w:r>
      <w:r w:rsidR="00F373A3" w:rsidRPr="00181FCD">
        <w:t xml:space="preserve"> </w:t>
      </w:r>
      <w:r w:rsidRPr="00181FCD">
        <w:t>la</w:t>
      </w:r>
      <w:r w:rsidR="00F373A3" w:rsidRPr="00181FCD">
        <w:t xml:space="preserve"> </w:t>
      </w:r>
      <w:r w:rsidRPr="00181FCD">
        <w:t>protección</w:t>
      </w:r>
      <w:r w:rsidR="00F373A3" w:rsidRPr="00181FCD">
        <w:t xml:space="preserve"> </w:t>
      </w:r>
      <w:r w:rsidRPr="00181FCD">
        <w:t>de</w:t>
      </w:r>
      <w:r w:rsidR="00F373A3" w:rsidRPr="00181FCD">
        <w:t xml:space="preserve"> </w:t>
      </w:r>
      <w:r w:rsidRPr="00181FCD">
        <w:t>sus</w:t>
      </w:r>
      <w:r w:rsidR="00F373A3" w:rsidRPr="00181FCD">
        <w:t xml:space="preserve"> </w:t>
      </w:r>
      <w:r w:rsidRPr="00181FCD">
        <w:t>víctimas</w:t>
      </w:r>
      <w:r w:rsidR="00F373A3" w:rsidRPr="00181FCD">
        <w:t xml:space="preserve"> </w:t>
      </w:r>
      <w:r w:rsidRPr="00181FCD">
        <w:t>en</w:t>
      </w:r>
      <w:r w:rsidR="00F373A3" w:rsidRPr="00181FCD">
        <w:t xml:space="preserve"> </w:t>
      </w:r>
      <w:r w:rsidRPr="00181FCD">
        <w:t>la</w:t>
      </w:r>
      <w:r w:rsidR="00F373A3" w:rsidRPr="00181FCD">
        <w:t xml:space="preserve"> </w:t>
      </w:r>
      <w:r w:rsidRPr="00181FCD">
        <w:t>legislación</w:t>
      </w:r>
      <w:r w:rsidR="00F373A3" w:rsidRPr="00181FCD">
        <w:t xml:space="preserve"> </w:t>
      </w:r>
      <w:r w:rsidRPr="00181FCD">
        <w:t>nacional,</w:t>
      </w:r>
      <w:r w:rsidR="00F373A3" w:rsidRPr="00181FCD">
        <w:t xml:space="preserve"> </w:t>
      </w:r>
      <w:r w:rsidRPr="00181FCD">
        <w:t>se</w:t>
      </w:r>
      <w:r w:rsidR="00F373A3" w:rsidRPr="00181FCD">
        <w:t xml:space="preserve"> </w:t>
      </w:r>
      <w:r w:rsidRPr="00181FCD">
        <w:t>introdujo</w:t>
      </w:r>
      <w:r w:rsidR="00F373A3" w:rsidRPr="00181FCD">
        <w:t xml:space="preserve"> </w:t>
      </w:r>
      <w:r w:rsidRPr="00181FCD">
        <w:t>en</w:t>
      </w:r>
      <w:r w:rsidR="00F373A3" w:rsidRPr="00181FCD">
        <w:t xml:space="preserve"> </w:t>
      </w:r>
      <w:r w:rsidRPr="00181FCD">
        <w:t>el</w:t>
      </w:r>
      <w:r w:rsidR="00F373A3" w:rsidRPr="00181FCD">
        <w:t xml:space="preserve"> </w:t>
      </w:r>
      <w:r w:rsidRPr="00181FCD">
        <w:t>Código</w:t>
      </w:r>
      <w:r w:rsidR="00F373A3" w:rsidRPr="00181FCD">
        <w:t xml:space="preserve"> </w:t>
      </w:r>
      <w:r w:rsidRPr="00181FCD">
        <w:t>Penal</w:t>
      </w:r>
      <w:r w:rsidR="00F373A3" w:rsidRPr="00181FCD">
        <w:t xml:space="preserve"> </w:t>
      </w:r>
      <w:r w:rsidRPr="00181FCD">
        <w:t>una</w:t>
      </w:r>
      <w:r w:rsidR="00F373A3" w:rsidRPr="00181FCD">
        <w:t xml:space="preserve"> </w:t>
      </w:r>
      <w:r w:rsidRPr="00181FCD">
        <w:t>nueva</w:t>
      </w:r>
      <w:r w:rsidR="00F373A3" w:rsidRPr="00181FCD">
        <w:t xml:space="preserve"> </w:t>
      </w:r>
      <w:r w:rsidRPr="00181FCD">
        <w:t>disposición,</w:t>
      </w:r>
      <w:r w:rsidR="00F373A3" w:rsidRPr="00181FCD">
        <w:t xml:space="preserve"> </w:t>
      </w:r>
      <w:r w:rsidRPr="00181FCD">
        <w:t>el</w:t>
      </w:r>
      <w:r w:rsidR="00F373A3" w:rsidRPr="00181FCD">
        <w:t xml:space="preserve"> </w:t>
      </w:r>
      <w:r w:rsidRPr="00181FCD">
        <w:t>artículo</w:t>
      </w:r>
      <w:r w:rsidR="00F373A3" w:rsidRPr="00181FCD">
        <w:t xml:space="preserve"> </w:t>
      </w:r>
      <w:r w:rsidRPr="00181FCD">
        <w:t>16</w:t>
      </w:r>
      <w:r w:rsidR="00F373A3" w:rsidRPr="00181FCD">
        <w:t xml:space="preserve"> </w:t>
      </w:r>
      <w:r w:rsidRPr="00181FCD">
        <w:rPr>
          <w:i/>
        </w:rPr>
        <w:t>bis</w:t>
      </w:r>
      <w:r w:rsidRPr="00181FCD">
        <w:t>,</w:t>
      </w:r>
      <w:r w:rsidR="00F373A3" w:rsidRPr="00181FCD">
        <w:t xml:space="preserve"> </w:t>
      </w:r>
      <w:r w:rsidRPr="00181FCD">
        <w:t>por</w:t>
      </w:r>
      <w:r w:rsidR="00F373A3" w:rsidRPr="00181FCD">
        <w:t xml:space="preserve"> </w:t>
      </w:r>
      <w:r w:rsidRPr="00181FCD">
        <w:t>la</w:t>
      </w:r>
      <w:r w:rsidR="00F373A3" w:rsidRPr="00181FCD">
        <w:t xml:space="preserve"> </w:t>
      </w:r>
      <w:r w:rsidRPr="00181FCD">
        <w:t>que</w:t>
      </w:r>
      <w:r w:rsidR="00F373A3" w:rsidRPr="00181FCD">
        <w:t xml:space="preserve"> </w:t>
      </w:r>
      <w:r w:rsidRPr="00181FCD">
        <w:t>se</w:t>
      </w:r>
      <w:r w:rsidR="00F373A3" w:rsidRPr="00181FCD">
        <w:t xml:space="preserve"> </w:t>
      </w:r>
      <w:r w:rsidRPr="00181FCD">
        <w:t>incorpora</w:t>
      </w:r>
      <w:r w:rsidR="00F373A3" w:rsidRPr="00181FCD">
        <w:t xml:space="preserve"> </w:t>
      </w:r>
      <w:r w:rsidRPr="00181FCD">
        <w:t>en</w:t>
      </w:r>
      <w:r w:rsidR="00F373A3" w:rsidRPr="00181FCD">
        <w:t xml:space="preserve"> </w:t>
      </w:r>
      <w:r w:rsidRPr="00181FCD">
        <w:t>la</w:t>
      </w:r>
      <w:r w:rsidR="00F373A3" w:rsidRPr="00181FCD">
        <w:t xml:space="preserve"> </w:t>
      </w:r>
      <w:r w:rsidRPr="00181FCD">
        <w:t>ley</w:t>
      </w:r>
      <w:r w:rsidR="00F373A3" w:rsidRPr="00181FCD">
        <w:t xml:space="preserve"> </w:t>
      </w:r>
      <w:r w:rsidRPr="00181FCD">
        <w:t>búlgara</w:t>
      </w:r>
      <w:r w:rsidR="00F373A3" w:rsidRPr="00181FCD">
        <w:t xml:space="preserve"> </w:t>
      </w:r>
      <w:r w:rsidRPr="00181FCD">
        <w:t>el</w:t>
      </w:r>
      <w:r w:rsidR="00F373A3" w:rsidRPr="00181FCD">
        <w:t xml:space="preserve"> </w:t>
      </w:r>
      <w:r w:rsidRPr="00181FCD">
        <w:t>requisito</w:t>
      </w:r>
      <w:r w:rsidR="00F373A3" w:rsidRPr="00181FCD">
        <w:t xml:space="preserve"> </w:t>
      </w:r>
      <w:r w:rsidRPr="00181FCD">
        <w:t>de</w:t>
      </w:r>
      <w:r w:rsidR="00F373A3" w:rsidRPr="00181FCD">
        <w:t xml:space="preserve"> </w:t>
      </w:r>
      <w:r w:rsidRPr="00181FCD">
        <w:t>que</w:t>
      </w:r>
      <w:r w:rsidR="00F373A3" w:rsidRPr="00181FCD">
        <w:t xml:space="preserve"> </w:t>
      </w:r>
      <w:r w:rsidRPr="00181FCD">
        <w:t>los</w:t>
      </w:r>
      <w:r w:rsidR="00F373A3" w:rsidRPr="00181FCD">
        <w:t xml:space="preserve"> </w:t>
      </w:r>
      <w:r w:rsidRPr="00181FCD">
        <w:t>Estados</w:t>
      </w:r>
      <w:r w:rsidR="00F373A3" w:rsidRPr="00181FCD">
        <w:t xml:space="preserve"> </w:t>
      </w:r>
      <w:r w:rsidRPr="00181FCD">
        <w:t>miembros,</w:t>
      </w:r>
      <w:r w:rsidR="00F373A3" w:rsidRPr="00181FCD">
        <w:t xml:space="preserve"> </w:t>
      </w:r>
      <w:r w:rsidRPr="00181FCD">
        <w:t>de</w:t>
      </w:r>
      <w:r w:rsidR="00F373A3" w:rsidRPr="00181FCD">
        <w:t xml:space="preserve"> </w:t>
      </w:r>
      <w:r w:rsidRPr="00181FCD">
        <w:t>conformidad</w:t>
      </w:r>
      <w:r w:rsidR="00F373A3" w:rsidRPr="00181FCD">
        <w:t xml:space="preserve"> </w:t>
      </w:r>
      <w:r w:rsidRPr="00181FCD">
        <w:t>con</w:t>
      </w:r>
      <w:r w:rsidR="00F373A3" w:rsidRPr="00181FCD">
        <w:t xml:space="preserve"> </w:t>
      </w:r>
      <w:r w:rsidRPr="00181FCD">
        <w:t>los</w:t>
      </w:r>
      <w:r w:rsidR="00F373A3" w:rsidRPr="00181FCD">
        <w:t xml:space="preserve"> </w:t>
      </w:r>
      <w:r w:rsidRPr="00181FCD">
        <w:t>principios</w:t>
      </w:r>
      <w:r w:rsidR="00F373A3" w:rsidRPr="00181FCD">
        <w:t xml:space="preserve"> </w:t>
      </w:r>
      <w:r w:rsidRPr="00181FCD">
        <w:t>fundamentales</w:t>
      </w:r>
      <w:r w:rsidR="00F373A3" w:rsidRPr="00181FCD">
        <w:t xml:space="preserve"> </w:t>
      </w:r>
      <w:r w:rsidRPr="00181FCD">
        <w:t>de</w:t>
      </w:r>
      <w:r w:rsidR="00F373A3" w:rsidRPr="00181FCD">
        <w:t xml:space="preserve"> </w:t>
      </w:r>
      <w:r w:rsidRPr="00181FCD">
        <w:t>su</w:t>
      </w:r>
      <w:r w:rsidR="00F373A3" w:rsidRPr="00181FCD">
        <w:t xml:space="preserve"> </w:t>
      </w:r>
      <w:r w:rsidRPr="00181FCD">
        <w:t>ordenamiento</w:t>
      </w:r>
      <w:r w:rsidR="00F373A3" w:rsidRPr="00181FCD">
        <w:t xml:space="preserve"> </w:t>
      </w:r>
      <w:r w:rsidRPr="00181FCD">
        <w:t>jurídico,</w:t>
      </w:r>
      <w:r w:rsidR="00F373A3" w:rsidRPr="00181FCD">
        <w:t xml:space="preserve"> </w:t>
      </w:r>
      <w:r w:rsidRPr="00181FCD">
        <w:t>adopten</w:t>
      </w:r>
      <w:r w:rsidR="00F373A3" w:rsidRPr="00181FCD">
        <w:t xml:space="preserve"> </w:t>
      </w:r>
      <w:r w:rsidRPr="00181FCD">
        <w:t>las</w:t>
      </w:r>
      <w:r w:rsidR="00F373A3" w:rsidRPr="00181FCD">
        <w:t xml:space="preserve"> </w:t>
      </w:r>
      <w:r w:rsidRPr="00181FCD">
        <w:t>medidas</w:t>
      </w:r>
      <w:r w:rsidR="00F373A3" w:rsidRPr="00181FCD">
        <w:t xml:space="preserve"> </w:t>
      </w:r>
      <w:r w:rsidRPr="00181FCD">
        <w:t>necesarias</w:t>
      </w:r>
      <w:r w:rsidR="00F373A3" w:rsidRPr="00181FCD">
        <w:t xml:space="preserve"> </w:t>
      </w:r>
      <w:r w:rsidRPr="00181FCD">
        <w:t>para</w:t>
      </w:r>
      <w:r w:rsidR="00F373A3" w:rsidRPr="00181FCD">
        <w:t xml:space="preserve"> </w:t>
      </w:r>
      <w:r w:rsidRPr="00181FCD">
        <w:t>conferir</w:t>
      </w:r>
      <w:r w:rsidR="00F373A3" w:rsidRPr="00181FCD">
        <w:t xml:space="preserve"> </w:t>
      </w:r>
      <w:r w:rsidRPr="00181FCD">
        <w:t>a</w:t>
      </w:r>
      <w:r w:rsidR="00F373A3" w:rsidRPr="00181FCD">
        <w:t xml:space="preserve"> </w:t>
      </w:r>
      <w:r w:rsidRPr="00181FCD">
        <w:t>las</w:t>
      </w:r>
      <w:r w:rsidR="00F373A3" w:rsidRPr="00181FCD">
        <w:t xml:space="preserve"> </w:t>
      </w:r>
      <w:r w:rsidRPr="00181FCD">
        <w:t>autoridades</w:t>
      </w:r>
      <w:r w:rsidR="00F373A3" w:rsidRPr="00181FCD">
        <w:t xml:space="preserve"> </w:t>
      </w:r>
      <w:r w:rsidRPr="00181FCD">
        <w:t>nacionales</w:t>
      </w:r>
      <w:r w:rsidR="00F373A3" w:rsidRPr="00181FCD">
        <w:t xml:space="preserve"> </w:t>
      </w:r>
      <w:r w:rsidRPr="00181FCD">
        <w:t>competentes</w:t>
      </w:r>
      <w:r w:rsidR="00F373A3" w:rsidRPr="00181FCD">
        <w:t xml:space="preserve"> </w:t>
      </w:r>
      <w:r w:rsidRPr="00181FCD">
        <w:t>el</w:t>
      </w:r>
      <w:r w:rsidR="00F373A3" w:rsidRPr="00181FCD">
        <w:t xml:space="preserve"> </w:t>
      </w:r>
      <w:r w:rsidRPr="00181FCD">
        <w:t>derecho</w:t>
      </w:r>
      <w:r w:rsidR="00F373A3" w:rsidRPr="00181FCD">
        <w:t xml:space="preserve"> </w:t>
      </w:r>
      <w:r w:rsidRPr="00181FCD">
        <w:t>de</w:t>
      </w:r>
      <w:r w:rsidR="00F373A3" w:rsidRPr="00181FCD">
        <w:t xml:space="preserve"> </w:t>
      </w:r>
      <w:r w:rsidRPr="00181FCD">
        <w:t>no</w:t>
      </w:r>
      <w:r w:rsidR="00F373A3" w:rsidRPr="00181FCD">
        <w:t xml:space="preserve"> </w:t>
      </w:r>
      <w:r w:rsidRPr="00181FCD">
        <w:t>enjuiciar</w:t>
      </w:r>
      <w:r w:rsidR="00F373A3" w:rsidRPr="00181FCD">
        <w:t xml:space="preserve"> </w:t>
      </w:r>
      <w:r w:rsidRPr="00181FCD">
        <w:t>o</w:t>
      </w:r>
      <w:r w:rsidR="00F373A3" w:rsidRPr="00181FCD">
        <w:t xml:space="preserve"> </w:t>
      </w:r>
      <w:r w:rsidRPr="00181FCD">
        <w:t>imponer</w:t>
      </w:r>
      <w:r w:rsidR="00F373A3" w:rsidRPr="00181FCD">
        <w:t xml:space="preserve"> </w:t>
      </w:r>
      <w:r w:rsidRPr="00181FCD">
        <w:t>sanciones</w:t>
      </w:r>
      <w:r w:rsidR="00F373A3" w:rsidRPr="00181FCD">
        <w:t xml:space="preserve"> </w:t>
      </w:r>
      <w:r w:rsidRPr="00181FCD">
        <w:t>a</w:t>
      </w:r>
      <w:r w:rsidR="00F373A3" w:rsidRPr="00181FCD">
        <w:t xml:space="preserve"> </w:t>
      </w:r>
      <w:r w:rsidRPr="00181FCD">
        <w:t>las</w:t>
      </w:r>
      <w:r w:rsidR="00F373A3" w:rsidRPr="00181FCD">
        <w:t xml:space="preserve"> </w:t>
      </w:r>
      <w:r w:rsidRPr="00181FCD">
        <w:t>víctimas</w:t>
      </w:r>
      <w:r w:rsidR="00F373A3" w:rsidRPr="00181FCD">
        <w:t xml:space="preserve"> </w:t>
      </w:r>
      <w:r w:rsidRPr="00181FCD">
        <w:t>de</w:t>
      </w:r>
      <w:r w:rsidR="00F373A3" w:rsidRPr="00181FCD">
        <w:t xml:space="preserve"> </w:t>
      </w:r>
      <w:r w:rsidRPr="00181FCD">
        <w:t>la</w:t>
      </w:r>
      <w:r w:rsidR="00F373A3" w:rsidRPr="00181FCD">
        <w:t xml:space="preserve"> </w:t>
      </w:r>
      <w:r w:rsidRPr="00181FCD">
        <w:t>trata</w:t>
      </w:r>
      <w:r w:rsidR="00F373A3" w:rsidRPr="00181FCD">
        <w:t xml:space="preserve"> </w:t>
      </w:r>
      <w:r w:rsidRPr="00181FCD">
        <w:t>de</w:t>
      </w:r>
      <w:r w:rsidR="00F373A3" w:rsidRPr="00181FCD">
        <w:t xml:space="preserve"> </w:t>
      </w:r>
      <w:r w:rsidRPr="00181FCD">
        <w:t>seres</w:t>
      </w:r>
      <w:r w:rsidR="00F373A3" w:rsidRPr="00181FCD">
        <w:t xml:space="preserve"> </w:t>
      </w:r>
      <w:r w:rsidRPr="00181FCD">
        <w:t>humanos</w:t>
      </w:r>
      <w:r w:rsidR="00F373A3" w:rsidRPr="00181FCD">
        <w:t xml:space="preserve"> </w:t>
      </w:r>
      <w:r w:rsidRPr="00181FCD">
        <w:t>por</w:t>
      </w:r>
      <w:r w:rsidR="00F373A3" w:rsidRPr="00181FCD">
        <w:t xml:space="preserve"> </w:t>
      </w:r>
      <w:r w:rsidRPr="00181FCD">
        <w:t>su</w:t>
      </w:r>
      <w:r w:rsidR="00F373A3" w:rsidRPr="00181FCD">
        <w:t xml:space="preserve"> </w:t>
      </w:r>
      <w:r w:rsidRPr="00181FCD">
        <w:t>participación</w:t>
      </w:r>
      <w:r w:rsidR="00F373A3" w:rsidRPr="00181FCD">
        <w:t xml:space="preserve"> </w:t>
      </w:r>
      <w:r w:rsidRPr="00181FCD">
        <w:t>en</w:t>
      </w:r>
      <w:r w:rsidR="00F373A3" w:rsidRPr="00181FCD">
        <w:t xml:space="preserve"> </w:t>
      </w:r>
      <w:r w:rsidRPr="00181FCD">
        <w:t>actividades</w:t>
      </w:r>
      <w:r w:rsidR="00F373A3" w:rsidRPr="00181FCD">
        <w:t xml:space="preserve"> </w:t>
      </w:r>
      <w:r w:rsidRPr="00181FCD">
        <w:t>penales</w:t>
      </w:r>
      <w:r w:rsidR="00F373A3" w:rsidRPr="00181FCD">
        <w:t xml:space="preserve"> </w:t>
      </w:r>
      <w:r w:rsidRPr="00181FCD">
        <w:t>cometidas</w:t>
      </w:r>
      <w:r w:rsidR="00F373A3" w:rsidRPr="00181FCD">
        <w:t xml:space="preserve"> </w:t>
      </w:r>
      <w:r w:rsidRPr="00181FCD">
        <w:t>como</w:t>
      </w:r>
      <w:r w:rsidR="00F373A3" w:rsidRPr="00181FCD">
        <w:t xml:space="preserve"> </w:t>
      </w:r>
      <w:r w:rsidRPr="00181FCD">
        <w:t>consecuencia</w:t>
      </w:r>
      <w:r w:rsidR="00F373A3" w:rsidRPr="00181FCD">
        <w:t xml:space="preserve"> </w:t>
      </w:r>
      <w:r w:rsidRPr="00181FCD">
        <w:t>directa</w:t>
      </w:r>
      <w:r w:rsidR="00F373A3" w:rsidRPr="00181FCD">
        <w:t xml:space="preserve"> </w:t>
      </w:r>
      <w:r w:rsidRPr="00181FCD">
        <w:t>de</w:t>
      </w:r>
      <w:r w:rsidR="00F373A3" w:rsidRPr="00181FCD">
        <w:t xml:space="preserve"> </w:t>
      </w:r>
      <w:r w:rsidRPr="00181FCD">
        <w:t>su</w:t>
      </w:r>
      <w:r w:rsidR="00F373A3" w:rsidRPr="00181FCD">
        <w:t xml:space="preserve"> </w:t>
      </w:r>
      <w:r w:rsidRPr="00181FCD">
        <w:t>condición</w:t>
      </w:r>
      <w:r w:rsidR="00F373A3" w:rsidRPr="00181FCD">
        <w:t xml:space="preserve"> </w:t>
      </w:r>
      <w:r w:rsidRPr="00181FCD">
        <w:t>de</w:t>
      </w:r>
      <w:r w:rsidR="00F373A3" w:rsidRPr="00181FCD">
        <w:t xml:space="preserve"> </w:t>
      </w:r>
      <w:r w:rsidRPr="00181FCD">
        <w:t>víctimas.</w:t>
      </w:r>
    </w:p>
    <w:p w:rsidR="001937F4" w:rsidRPr="00181FCD" w:rsidRDefault="001937F4" w:rsidP="00347B20">
      <w:pPr>
        <w:pStyle w:val="SingleTxtG"/>
        <w:suppressAutoHyphens/>
      </w:pPr>
      <w:r w:rsidRPr="00181FCD">
        <w:t>63.</w:t>
      </w:r>
      <w:r w:rsidRPr="00181FCD">
        <w:tab/>
        <w:t>A</w:t>
      </w:r>
      <w:r w:rsidR="00F373A3" w:rsidRPr="00181FCD">
        <w:t xml:space="preserve"> </w:t>
      </w:r>
      <w:r w:rsidRPr="00181FCD">
        <w:t>través</w:t>
      </w:r>
      <w:r w:rsidR="00F373A3" w:rsidRPr="00181FCD">
        <w:t xml:space="preserve"> </w:t>
      </w:r>
      <w:r w:rsidRPr="00181FCD">
        <w:t>de</w:t>
      </w:r>
      <w:r w:rsidR="00F373A3" w:rsidRPr="00181FCD">
        <w:t xml:space="preserve"> </w:t>
      </w:r>
      <w:r w:rsidRPr="00181FCD">
        <w:t>estas</w:t>
      </w:r>
      <w:r w:rsidR="00F373A3" w:rsidRPr="00181FCD">
        <w:t xml:space="preserve"> </w:t>
      </w:r>
      <w:r w:rsidRPr="00181FCD">
        <w:t>modificaciones</w:t>
      </w:r>
      <w:r w:rsidR="00F373A3" w:rsidRPr="00181FCD">
        <w:t xml:space="preserve"> </w:t>
      </w:r>
      <w:r w:rsidRPr="00181FCD">
        <w:t>se</w:t>
      </w:r>
      <w:r w:rsidR="00F373A3" w:rsidRPr="00181FCD">
        <w:t xml:space="preserve"> </w:t>
      </w:r>
      <w:r w:rsidRPr="00181FCD">
        <w:t>incorporaron</w:t>
      </w:r>
      <w:r w:rsidR="00F373A3" w:rsidRPr="00181FCD">
        <w:t xml:space="preserve"> </w:t>
      </w:r>
      <w:r w:rsidRPr="00181FCD">
        <w:t>nuevos</w:t>
      </w:r>
      <w:r w:rsidR="00F373A3" w:rsidRPr="00181FCD">
        <w:t xml:space="preserve"> </w:t>
      </w:r>
      <w:r w:rsidRPr="00181FCD">
        <w:t>supuestos</w:t>
      </w:r>
      <w:r w:rsidR="00F373A3" w:rsidRPr="00181FCD">
        <w:t xml:space="preserve"> </w:t>
      </w:r>
      <w:r w:rsidRPr="00181FCD">
        <w:t>a</w:t>
      </w:r>
      <w:r w:rsidR="00F373A3" w:rsidRPr="00181FCD">
        <w:t xml:space="preserve"> </w:t>
      </w:r>
      <w:r w:rsidRPr="00181FCD">
        <w:t>los</w:t>
      </w:r>
      <w:r w:rsidR="00F373A3" w:rsidRPr="00181FCD">
        <w:t xml:space="preserve"> </w:t>
      </w:r>
      <w:r w:rsidRPr="00181FCD">
        <w:t>elementos</w:t>
      </w:r>
      <w:r w:rsidR="00F373A3" w:rsidRPr="00181FCD">
        <w:t xml:space="preserve"> </w:t>
      </w:r>
      <w:r w:rsidRPr="00181FCD">
        <w:t>de</w:t>
      </w:r>
      <w:r w:rsidR="00F373A3" w:rsidRPr="00181FCD">
        <w:t xml:space="preserve"> </w:t>
      </w:r>
      <w:r w:rsidRPr="00181FCD">
        <w:t>los</w:t>
      </w:r>
      <w:r w:rsidR="00F373A3" w:rsidRPr="00181FCD">
        <w:t xml:space="preserve"> </w:t>
      </w:r>
      <w:r w:rsidRPr="00181FCD">
        <w:t>delitos</w:t>
      </w:r>
      <w:r w:rsidR="00F373A3" w:rsidRPr="00181FCD">
        <w:t xml:space="preserve"> </w:t>
      </w:r>
      <w:r w:rsidRPr="00181FCD">
        <w:t>relacionados</w:t>
      </w:r>
      <w:r w:rsidR="00F373A3" w:rsidRPr="00181FCD">
        <w:t xml:space="preserve"> </w:t>
      </w:r>
      <w:r w:rsidRPr="00181FCD">
        <w:t>con</w:t>
      </w:r>
      <w:r w:rsidR="00F373A3" w:rsidRPr="00181FCD">
        <w:t xml:space="preserve"> </w:t>
      </w:r>
      <w:r w:rsidRPr="00181FCD">
        <w:t>la</w:t>
      </w:r>
      <w:r w:rsidR="00F373A3" w:rsidRPr="00181FCD">
        <w:t xml:space="preserve"> </w:t>
      </w:r>
      <w:r w:rsidRPr="00181FCD">
        <w:t>trata</w:t>
      </w:r>
      <w:r w:rsidR="00F373A3" w:rsidRPr="00181FCD">
        <w:t xml:space="preserve"> </w:t>
      </w:r>
      <w:r w:rsidRPr="00181FCD">
        <w:t>de</w:t>
      </w:r>
      <w:r w:rsidR="00F373A3" w:rsidRPr="00181FCD">
        <w:t xml:space="preserve"> </w:t>
      </w:r>
      <w:r w:rsidRPr="00181FCD">
        <w:t>seres</w:t>
      </w:r>
      <w:r w:rsidR="00F373A3" w:rsidRPr="00181FCD">
        <w:t xml:space="preserve"> </w:t>
      </w:r>
      <w:r w:rsidRPr="00181FCD">
        <w:t>humanos;</w:t>
      </w:r>
      <w:r w:rsidR="00F373A3" w:rsidRPr="00181FCD">
        <w:t xml:space="preserve"> </w:t>
      </w:r>
      <w:r w:rsidRPr="00181FCD">
        <w:t>se</w:t>
      </w:r>
      <w:r w:rsidR="00F373A3" w:rsidRPr="00181FCD">
        <w:t xml:space="preserve"> </w:t>
      </w:r>
      <w:r w:rsidRPr="00181FCD">
        <w:t>añadió</w:t>
      </w:r>
      <w:r w:rsidR="00F373A3" w:rsidRPr="00181FCD">
        <w:t xml:space="preserve"> </w:t>
      </w:r>
      <w:r w:rsidRPr="00181FCD">
        <w:t>la</w:t>
      </w:r>
      <w:r w:rsidR="00F373A3" w:rsidRPr="00181FCD">
        <w:t xml:space="preserve"> </w:t>
      </w:r>
      <w:r w:rsidRPr="00181FCD">
        <w:t>mendicidad,</w:t>
      </w:r>
      <w:r w:rsidR="00F373A3" w:rsidRPr="00181FCD">
        <w:t xml:space="preserve"> </w:t>
      </w:r>
      <w:r w:rsidRPr="00181FCD">
        <w:t>como</w:t>
      </w:r>
      <w:r w:rsidR="00F373A3" w:rsidRPr="00181FCD">
        <w:t xml:space="preserve"> </w:t>
      </w:r>
      <w:r w:rsidRPr="00181FCD">
        <w:t>uno</w:t>
      </w:r>
      <w:r w:rsidR="00F373A3" w:rsidRPr="00181FCD">
        <w:t xml:space="preserve"> </w:t>
      </w:r>
      <w:r w:rsidRPr="00181FCD">
        <w:t>de</w:t>
      </w:r>
      <w:r w:rsidR="00F373A3" w:rsidRPr="00181FCD">
        <w:t xml:space="preserve"> </w:t>
      </w:r>
      <w:r w:rsidRPr="00181FCD">
        <w:t>los</w:t>
      </w:r>
      <w:r w:rsidR="00F373A3" w:rsidRPr="00181FCD">
        <w:t xml:space="preserve"> </w:t>
      </w:r>
      <w:r w:rsidRPr="00181FCD">
        <w:t>fines</w:t>
      </w:r>
      <w:r w:rsidR="00F373A3" w:rsidRPr="00181FCD">
        <w:t xml:space="preserve"> </w:t>
      </w:r>
      <w:r w:rsidRPr="00181FCD">
        <w:t>específicos</w:t>
      </w:r>
      <w:r w:rsidR="00F373A3" w:rsidRPr="00181FCD">
        <w:t xml:space="preserve"> </w:t>
      </w:r>
      <w:r w:rsidRPr="00181FCD">
        <w:t>de</w:t>
      </w:r>
      <w:r w:rsidR="00F373A3" w:rsidRPr="00181FCD">
        <w:t xml:space="preserve"> </w:t>
      </w:r>
      <w:r w:rsidRPr="00181FCD">
        <w:t>la</w:t>
      </w:r>
      <w:r w:rsidR="00F373A3" w:rsidRPr="00181FCD">
        <w:t xml:space="preserve"> </w:t>
      </w:r>
      <w:r w:rsidRPr="00181FCD">
        <w:t>trata</w:t>
      </w:r>
      <w:r w:rsidR="00F373A3" w:rsidRPr="00181FCD">
        <w:t xml:space="preserve"> </w:t>
      </w:r>
      <w:r w:rsidRPr="00181FCD">
        <w:t>(artículo</w:t>
      </w:r>
      <w:r w:rsidR="00F373A3" w:rsidRPr="00181FCD">
        <w:t xml:space="preserve"> </w:t>
      </w:r>
      <w:r w:rsidRPr="00181FCD">
        <w:t>159a,</w:t>
      </w:r>
      <w:r w:rsidR="00F373A3" w:rsidRPr="00181FCD">
        <w:t xml:space="preserve"> </w:t>
      </w:r>
      <w:r w:rsidRPr="00181FCD">
        <w:t>párrafo</w:t>
      </w:r>
      <w:r w:rsidR="00F373A3" w:rsidRPr="00181FCD">
        <w:t xml:space="preserve"> </w:t>
      </w:r>
      <w:r w:rsidRPr="00181FCD">
        <w:t>1</w:t>
      </w:r>
      <w:r w:rsidR="00F373A3" w:rsidRPr="00181FCD">
        <w:t xml:space="preserve"> </w:t>
      </w:r>
      <w:r w:rsidRPr="00181FCD">
        <w:t>del</w:t>
      </w:r>
      <w:r w:rsidR="00F373A3" w:rsidRPr="00181FCD">
        <w:t xml:space="preserve"> </w:t>
      </w:r>
      <w:r w:rsidRPr="00181FCD">
        <w:t>Código</w:t>
      </w:r>
      <w:r w:rsidR="00F373A3" w:rsidRPr="00181FCD">
        <w:t xml:space="preserve"> </w:t>
      </w:r>
      <w:r w:rsidRPr="00181FCD">
        <w:t>Penal),</w:t>
      </w:r>
      <w:r w:rsidR="00F373A3" w:rsidRPr="00181FCD">
        <w:t xml:space="preserve"> </w:t>
      </w:r>
      <w:r w:rsidRPr="00181FCD">
        <w:t>y</w:t>
      </w:r>
      <w:r w:rsidR="00F373A3" w:rsidRPr="00181FCD">
        <w:t xml:space="preserve"> </w:t>
      </w:r>
      <w:r w:rsidRPr="00181FCD">
        <w:t>se</w:t>
      </w:r>
      <w:r w:rsidR="00F373A3" w:rsidRPr="00181FCD">
        <w:t xml:space="preserve"> </w:t>
      </w:r>
      <w:r w:rsidRPr="00181FCD">
        <w:t>previó</w:t>
      </w:r>
      <w:r w:rsidR="00F373A3" w:rsidRPr="00181FCD">
        <w:t xml:space="preserve"> </w:t>
      </w:r>
      <w:r w:rsidRPr="00181FCD">
        <w:t>un</w:t>
      </w:r>
      <w:r w:rsidR="00F373A3" w:rsidRPr="00181FCD">
        <w:t xml:space="preserve"> </w:t>
      </w:r>
      <w:r w:rsidRPr="00181FCD">
        <w:t>castigo</w:t>
      </w:r>
      <w:r w:rsidR="00F373A3" w:rsidRPr="00181FCD">
        <w:t xml:space="preserve"> </w:t>
      </w:r>
      <w:r w:rsidRPr="00181FCD">
        <w:t>más</w:t>
      </w:r>
      <w:r w:rsidR="00F373A3" w:rsidRPr="00181FCD">
        <w:t xml:space="preserve"> </w:t>
      </w:r>
      <w:r w:rsidRPr="00181FCD">
        <w:t>severo</w:t>
      </w:r>
      <w:r w:rsidR="00F373A3" w:rsidRPr="00181FCD">
        <w:t xml:space="preserve"> </w:t>
      </w:r>
      <w:r w:rsidRPr="00181FCD">
        <w:t>(delito</w:t>
      </w:r>
      <w:r w:rsidR="00F373A3" w:rsidRPr="00181FCD">
        <w:t xml:space="preserve"> </w:t>
      </w:r>
      <w:r w:rsidRPr="00181FCD">
        <w:t>agravado)</w:t>
      </w:r>
      <w:r w:rsidR="00F373A3" w:rsidRPr="00181FCD">
        <w:t xml:space="preserve"> </w:t>
      </w:r>
      <w:r w:rsidRPr="00181FCD">
        <w:t>en</w:t>
      </w:r>
      <w:r w:rsidR="00F373A3" w:rsidRPr="00181FCD">
        <w:t xml:space="preserve"> </w:t>
      </w:r>
      <w:r w:rsidRPr="00181FCD">
        <w:t>los</w:t>
      </w:r>
      <w:r w:rsidR="00F373A3" w:rsidRPr="00181FCD">
        <w:t xml:space="preserve"> </w:t>
      </w:r>
      <w:r w:rsidRPr="00181FCD">
        <w:t>casos</w:t>
      </w:r>
      <w:r w:rsidR="00F373A3" w:rsidRPr="00181FCD">
        <w:t xml:space="preserve"> </w:t>
      </w:r>
      <w:r w:rsidRPr="00181FCD">
        <w:t>en</w:t>
      </w:r>
      <w:r w:rsidR="00F373A3" w:rsidRPr="00181FCD">
        <w:t xml:space="preserve"> </w:t>
      </w:r>
      <w:r w:rsidRPr="00181FCD">
        <w:t>que</w:t>
      </w:r>
      <w:r w:rsidR="00F373A3" w:rsidRPr="00181FCD">
        <w:t xml:space="preserve"> </w:t>
      </w:r>
      <w:r w:rsidRPr="00181FCD">
        <w:t>la</w:t>
      </w:r>
      <w:r w:rsidR="00F373A3" w:rsidRPr="00181FCD">
        <w:t xml:space="preserve"> </w:t>
      </w:r>
      <w:r w:rsidRPr="00181FCD">
        <w:t>trata</w:t>
      </w:r>
      <w:r w:rsidR="00F373A3" w:rsidRPr="00181FCD">
        <w:t xml:space="preserve"> </w:t>
      </w:r>
      <w:r w:rsidRPr="00181FCD">
        <w:t>de</w:t>
      </w:r>
      <w:r w:rsidR="00F373A3" w:rsidRPr="00181FCD">
        <w:t xml:space="preserve"> </w:t>
      </w:r>
      <w:r w:rsidRPr="00181FCD">
        <w:t>seres</w:t>
      </w:r>
      <w:r w:rsidR="00F373A3" w:rsidRPr="00181FCD">
        <w:t xml:space="preserve"> </w:t>
      </w:r>
      <w:r w:rsidRPr="00181FCD">
        <w:t>humanos</w:t>
      </w:r>
      <w:r w:rsidR="00F373A3" w:rsidRPr="00181FCD">
        <w:t xml:space="preserve"> </w:t>
      </w:r>
      <w:r w:rsidRPr="00181FCD">
        <w:t>ha</w:t>
      </w:r>
      <w:r w:rsidR="00F373A3" w:rsidRPr="00181FCD">
        <w:t xml:space="preserve"> </w:t>
      </w:r>
      <w:r w:rsidRPr="00181FCD">
        <w:t>sido</w:t>
      </w:r>
      <w:r w:rsidR="00F373A3" w:rsidRPr="00181FCD">
        <w:t xml:space="preserve"> </w:t>
      </w:r>
      <w:r w:rsidRPr="00181FCD">
        <w:t>cometida</w:t>
      </w:r>
      <w:r w:rsidR="00F373A3" w:rsidRPr="00181FCD">
        <w:t xml:space="preserve"> </w:t>
      </w:r>
      <w:r w:rsidRPr="00181FCD">
        <w:t>por</w:t>
      </w:r>
      <w:r w:rsidR="00F373A3" w:rsidRPr="00181FCD">
        <w:t xml:space="preserve"> </w:t>
      </w:r>
      <w:r w:rsidRPr="00181FCD">
        <w:t>un</w:t>
      </w:r>
      <w:r w:rsidR="00F373A3" w:rsidRPr="00181FCD">
        <w:t xml:space="preserve"> </w:t>
      </w:r>
      <w:r w:rsidRPr="00181FCD">
        <w:t>funcionario</w:t>
      </w:r>
      <w:r w:rsidR="00F373A3" w:rsidRPr="00181FCD">
        <w:t xml:space="preserve"> </w:t>
      </w:r>
      <w:r w:rsidRPr="00181FCD">
        <w:t>en</w:t>
      </w:r>
      <w:r w:rsidR="00F373A3" w:rsidRPr="00181FCD">
        <w:t xml:space="preserve"> </w:t>
      </w:r>
      <w:r w:rsidRPr="00181FCD">
        <w:t>ejecución</w:t>
      </w:r>
      <w:r w:rsidR="00F373A3" w:rsidRPr="00181FCD">
        <w:t xml:space="preserve"> </w:t>
      </w:r>
      <w:r w:rsidRPr="00181FCD">
        <w:t>de</w:t>
      </w:r>
      <w:r w:rsidR="00F373A3" w:rsidRPr="00181FCD">
        <w:t xml:space="preserve"> </w:t>
      </w:r>
      <w:r w:rsidRPr="00181FCD">
        <w:t>sus</w:t>
      </w:r>
      <w:r w:rsidR="00F373A3" w:rsidRPr="00181FCD">
        <w:t xml:space="preserve"> </w:t>
      </w:r>
      <w:r w:rsidRPr="00181FCD">
        <w:t>funciones</w:t>
      </w:r>
      <w:r w:rsidR="00F373A3" w:rsidRPr="00181FCD">
        <w:t xml:space="preserve"> </w:t>
      </w:r>
      <w:r w:rsidRPr="00181FCD">
        <w:t>(artículo</w:t>
      </w:r>
      <w:r w:rsidR="00F373A3" w:rsidRPr="00181FCD">
        <w:t xml:space="preserve"> </w:t>
      </w:r>
      <w:r w:rsidRPr="00181FCD">
        <w:t>159а,</w:t>
      </w:r>
      <w:r w:rsidR="00F373A3" w:rsidRPr="00181FCD">
        <w:t xml:space="preserve"> </w:t>
      </w:r>
      <w:r w:rsidRPr="00181FCD">
        <w:t>párrafo</w:t>
      </w:r>
      <w:r w:rsidR="00F373A3" w:rsidRPr="00181FCD">
        <w:t xml:space="preserve"> </w:t>
      </w:r>
      <w:r w:rsidRPr="00181FCD">
        <w:t>2,</w:t>
      </w:r>
      <w:r w:rsidR="00F373A3" w:rsidRPr="00181FCD">
        <w:t xml:space="preserve"> </w:t>
      </w:r>
      <w:r w:rsidRPr="00181FCD">
        <w:t>apartado</w:t>
      </w:r>
      <w:r w:rsidR="00F373A3" w:rsidRPr="00181FCD">
        <w:t xml:space="preserve"> </w:t>
      </w:r>
      <w:r w:rsidRPr="00181FCD">
        <w:t>7</w:t>
      </w:r>
      <w:r w:rsidR="00F373A3" w:rsidRPr="00181FCD">
        <w:t xml:space="preserve"> </w:t>
      </w:r>
      <w:r w:rsidRPr="00181FCD">
        <w:t>del</w:t>
      </w:r>
      <w:r w:rsidR="00F373A3" w:rsidRPr="00181FCD">
        <w:t xml:space="preserve"> </w:t>
      </w:r>
      <w:r w:rsidRPr="00181FCD">
        <w:t>Código</w:t>
      </w:r>
      <w:r w:rsidR="00F373A3" w:rsidRPr="00181FCD">
        <w:t xml:space="preserve"> </w:t>
      </w:r>
      <w:r w:rsidRPr="00181FCD">
        <w:t>Penal).</w:t>
      </w:r>
    </w:p>
    <w:p w:rsidR="001937F4" w:rsidRPr="00181FCD" w:rsidRDefault="001937F4" w:rsidP="00347B20">
      <w:pPr>
        <w:pStyle w:val="SingleTxtG"/>
        <w:suppressAutoHyphens/>
      </w:pPr>
      <w:r w:rsidRPr="00181FCD">
        <w:t>64.</w:t>
      </w:r>
      <w:r w:rsidRPr="00181FCD">
        <w:tab/>
        <w:t>Otras</w:t>
      </w:r>
      <w:r w:rsidR="00F373A3" w:rsidRPr="00181FCD">
        <w:t xml:space="preserve"> </w:t>
      </w:r>
      <w:r w:rsidRPr="00181FCD">
        <w:t>modificaciones</w:t>
      </w:r>
      <w:r w:rsidR="00F373A3" w:rsidRPr="00181FCD">
        <w:t xml:space="preserve"> </w:t>
      </w:r>
      <w:r w:rsidRPr="00181FCD">
        <w:t>introducidas</w:t>
      </w:r>
      <w:r w:rsidR="00F373A3" w:rsidRPr="00181FCD">
        <w:t xml:space="preserve"> </w:t>
      </w:r>
      <w:r w:rsidRPr="00181FCD">
        <w:t>en</w:t>
      </w:r>
      <w:r w:rsidR="00F373A3" w:rsidRPr="00181FCD">
        <w:t xml:space="preserve"> </w:t>
      </w:r>
      <w:r w:rsidRPr="00181FCD">
        <w:t>el</w:t>
      </w:r>
      <w:r w:rsidR="00F373A3" w:rsidRPr="00181FCD">
        <w:t xml:space="preserve"> </w:t>
      </w:r>
      <w:r w:rsidRPr="00181FCD">
        <w:t>Código</w:t>
      </w:r>
      <w:r w:rsidR="00F373A3" w:rsidRPr="00181FCD">
        <w:t xml:space="preserve"> </w:t>
      </w:r>
      <w:r w:rsidRPr="00181FCD">
        <w:t>Penal</w:t>
      </w:r>
      <w:r w:rsidR="00F373A3" w:rsidRPr="00181FCD">
        <w:t xml:space="preserve"> </w:t>
      </w:r>
      <w:r w:rsidRPr="00181FCD">
        <w:t>se</w:t>
      </w:r>
      <w:r w:rsidR="00F373A3" w:rsidRPr="00181FCD">
        <w:t xml:space="preserve"> </w:t>
      </w:r>
      <w:r w:rsidRPr="00181FCD">
        <w:t>basaron</w:t>
      </w:r>
      <w:r w:rsidR="00F373A3" w:rsidRPr="00181FCD">
        <w:t xml:space="preserve"> </w:t>
      </w:r>
      <w:r w:rsidRPr="00181FCD">
        <w:t>en</w:t>
      </w:r>
      <w:r w:rsidR="00F373A3" w:rsidRPr="00181FCD">
        <w:t xml:space="preserve"> </w:t>
      </w:r>
      <w:r w:rsidRPr="00181FCD">
        <w:t>el</w:t>
      </w:r>
      <w:r w:rsidR="00F373A3" w:rsidRPr="00181FCD">
        <w:t xml:space="preserve"> </w:t>
      </w:r>
      <w:r w:rsidRPr="00181FCD">
        <w:t>creciente</w:t>
      </w:r>
      <w:r w:rsidR="00F373A3" w:rsidRPr="00181FCD">
        <w:t xml:space="preserve"> </w:t>
      </w:r>
      <w:r w:rsidRPr="00181FCD">
        <w:t>fenómeno</w:t>
      </w:r>
      <w:r w:rsidR="00F373A3" w:rsidRPr="00181FCD">
        <w:t xml:space="preserve"> </w:t>
      </w:r>
      <w:r w:rsidRPr="00181FCD">
        <w:t>de</w:t>
      </w:r>
      <w:r w:rsidR="00F373A3" w:rsidRPr="00181FCD">
        <w:t xml:space="preserve"> </w:t>
      </w:r>
      <w:r w:rsidRPr="00181FCD">
        <w:t>la</w:t>
      </w:r>
      <w:r w:rsidR="00F373A3" w:rsidRPr="00181FCD">
        <w:t xml:space="preserve"> </w:t>
      </w:r>
      <w:r w:rsidRPr="00181FCD">
        <w:t>trata</w:t>
      </w:r>
      <w:r w:rsidR="00F373A3" w:rsidRPr="00181FCD">
        <w:t xml:space="preserve"> </w:t>
      </w:r>
      <w:r w:rsidRPr="00181FCD">
        <w:t>de</w:t>
      </w:r>
      <w:r w:rsidR="00F373A3" w:rsidRPr="00181FCD">
        <w:t xml:space="preserve"> </w:t>
      </w:r>
      <w:r w:rsidRPr="00181FCD">
        <w:t>seres</w:t>
      </w:r>
      <w:r w:rsidR="00F373A3" w:rsidRPr="00181FCD">
        <w:t xml:space="preserve"> </w:t>
      </w:r>
      <w:r w:rsidRPr="00181FCD">
        <w:t>humanos</w:t>
      </w:r>
      <w:r w:rsidR="00F373A3" w:rsidRPr="00181FCD">
        <w:t xml:space="preserve"> </w:t>
      </w:r>
      <w:r w:rsidRPr="00181FCD">
        <w:t>con</w:t>
      </w:r>
      <w:r w:rsidR="00F373A3" w:rsidRPr="00181FCD">
        <w:t xml:space="preserve"> </w:t>
      </w:r>
      <w:r w:rsidRPr="00181FCD">
        <w:t>fines</w:t>
      </w:r>
      <w:r w:rsidR="00F373A3" w:rsidRPr="00181FCD">
        <w:t xml:space="preserve"> </w:t>
      </w:r>
      <w:r w:rsidRPr="00181FCD">
        <w:t>de</w:t>
      </w:r>
      <w:r w:rsidR="00F373A3" w:rsidRPr="00181FCD">
        <w:t xml:space="preserve"> </w:t>
      </w:r>
      <w:r w:rsidRPr="00181FCD">
        <w:t>la</w:t>
      </w:r>
      <w:r w:rsidR="00F373A3" w:rsidRPr="00181FCD">
        <w:t xml:space="preserve"> </w:t>
      </w:r>
      <w:r w:rsidRPr="00181FCD">
        <w:t>obtención</w:t>
      </w:r>
      <w:r w:rsidR="00F373A3" w:rsidRPr="00181FCD">
        <w:t xml:space="preserve"> </w:t>
      </w:r>
      <w:r w:rsidRPr="00181FCD">
        <w:t>de</w:t>
      </w:r>
      <w:r w:rsidR="00F373A3" w:rsidRPr="00181FCD">
        <w:t xml:space="preserve"> </w:t>
      </w:r>
      <w:r w:rsidRPr="00181FCD">
        <w:t>tejidos,</w:t>
      </w:r>
      <w:r w:rsidR="00F373A3" w:rsidRPr="00181FCD">
        <w:t xml:space="preserve"> </w:t>
      </w:r>
      <w:r w:rsidRPr="00181FCD">
        <w:t>células</w:t>
      </w:r>
      <w:r w:rsidR="00F373A3" w:rsidRPr="00181FCD">
        <w:t xml:space="preserve"> </w:t>
      </w:r>
      <w:r w:rsidRPr="00181FCD">
        <w:t>y</w:t>
      </w:r>
      <w:r w:rsidR="00F373A3" w:rsidRPr="00181FCD">
        <w:t xml:space="preserve"> </w:t>
      </w:r>
      <w:r w:rsidRPr="00181FCD">
        <w:t>fluidos</w:t>
      </w:r>
      <w:r w:rsidR="00F373A3" w:rsidRPr="00181FCD">
        <w:t xml:space="preserve"> </w:t>
      </w:r>
      <w:r w:rsidRPr="00181FCD">
        <w:t>corporales,</w:t>
      </w:r>
      <w:r w:rsidR="00F373A3" w:rsidRPr="00181FCD">
        <w:t xml:space="preserve"> </w:t>
      </w:r>
      <w:r w:rsidRPr="00181FCD">
        <w:t>que</w:t>
      </w:r>
      <w:r w:rsidR="00F373A3" w:rsidRPr="00181FCD">
        <w:t xml:space="preserve"> </w:t>
      </w:r>
      <w:r w:rsidRPr="00181FCD">
        <w:t>se</w:t>
      </w:r>
      <w:r w:rsidR="00F373A3" w:rsidRPr="00181FCD">
        <w:t xml:space="preserve"> </w:t>
      </w:r>
      <w:r w:rsidRPr="00181FCD">
        <w:t>introdujeron</w:t>
      </w:r>
      <w:r w:rsidR="00F373A3" w:rsidRPr="00181FCD">
        <w:t xml:space="preserve"> </w:t>
      </w:r>
      <w:r w:rsidRPr="00181FCD">
        <w:t>como</w:t>
      </w:r>
      <w:r w:rsidR="00F373A3" w:rsidRPr="00181FCD">
        <w:t xml:space="preserve"> </w:t>
      </w:r>
      <w:r w:rsidRPr="00181FCD">
        <w:t>nuevas</w:t>
      </w:r>
      <w:r w:rsidR="00F373A3" w:rsidRPr="00181FCD">
        <w:t xml:space="preserve"> </w:t>
      </w:r>
      <w:r w:rsidRPr="00181FCD">
        <w:t>motivaciones</w:t>
      </w:r>
      <w:r w:rsidR="00F373A3" w:rsidRPr="00181FCD">
        <w:t xml:space="preserve"> </w:t>
      </w:r>
      <w:r w:rsidRPr="00181FCD">
        <w:t>de</w:t>
      </w:r>
      <w:r w:rsidR="00F373A3" w:rsidRPr="00181FCD">
        <w:t xml:space="preserve"> </w:t>
      </w:r>
      <w:r w:rsidRPr="00181FCD">
        <w:t>la</w:t>
      </w:r>
      <w:r w:rsidR="00F373A3" w:rsidRPr="00181FCD">
        <w:t xml:space="preserve"> </w:t>
      </w:r>
      <w:r w:rsidRPr="00181FCD">
        <w:t>trata</w:t>
      </w:r>
      <w:r w:rsidR="00F373A3" w:rsidRPr="00181FCD">
        <w:t xml:space="preserve"> </w:t>
      </w:r>
      <w:r w:rsidRPr="00181FCD">
        <w:t>de</w:t>
      </w:r>
      <w:r w:rsidR="00F373A3" w:rsidRPr="00181FCD">
        <w:t xml:space="preserve"> </w:t>
      </w:r>
      <w:r w:rsidRPr="00181FCD">
        <w:t>seres</w:t>
      </w:r>
      <w:r w:rsidR="00F373A3" w:rsidRPr="00181FCD">
        <w:t xml:space="preserve"> </w:t>
      </w:r>
      <w:r w:rsidRPr="00181FCD">
        <w:t>humanos.</w:t>
      </w:r>
    </w:p>
    <w:p w:rsidR="001937F4" w:rsidRPr="00181FCD" w:rsidRDefault="001937F4" w:rsidP="00347B20">
      <w:pPr>
        <w:pStyle w:val="SingleTxtG"/>
        <w:suppressAutoHyphens/>
      </w:pPr>
      <w:r w:rsidRPr="00181FCD">
        <w:t>65.</w:t>
      </w:r>
      <w:r w:rsidRPr="00181FCD">
        <w:tab/>
        <w:t>En</w:t>
      </w:r>
      <w:r w:rsidR="00F373A3" w:rsidRPr="00181FCD">
        <w:t xml:space="preserve"> </w:t>
      </w:r>
      <w:r w:rsidRPr="00181FCD">
        <w:t>cuanto</w:t>
      </w:r>
      <w:r w:rsidR="00F373A3" w:rsidRPr="00181FCD">
        <w:t xml:space="preserve"> </w:t>
      </w:r>
      <w:r w:rsidRPr="00181FCD">
        <w:t>a</w:t>
      </w:r>
      <w:r w:rsidR="00F373A3" w:rsidRPr="00181FCD">
        <w:t xml:space="preserve"> </w:t>
      </w:r>
      <w:r w:rsidRPr="00181FCD">
        <w:t>las</w:t>
      </w:r>
      <w:r w:rsidR="00F373A3" w:rsidRPr="00181FCD">
        <w:t xml:space="preserve"> </w:t>
      </w:r>
      <w:r w:rsidRPr="00181FCD">
        <w:t>modificaciones</w:t>
      </w:r>
      <w:r w:rsidR="00F373A3" w:rsidRPr="00181FCD">
        <w:t xml:space="preserve"> </w:t>
      </w:r>
      <w:r w:rsidRPr="00181FCD">
        <w:t>propuestas</w:t>
      </w:r>
      <w:r w:rsidR="00F373A3" w:rsidRPr="00181FCD">
        <w:t xml:space="preserve"> </w:t>
      </w:r>
      <w:r w:rsidRPr="00181FCD">
        <w:t>y</w:t>
      </w:r>
      <w:r w:rsidR="00F373A3" w:rsidRPr="00181FCD">
        <w:t xml:space="preserve"> </w:t>
      </w:r>
      <w:r w:rsidRPr="00181FCD">
        <w:t>aprobadas</w:t>
      </w:r>
      <w:r w:rsidR="00F373A3" w:rsidRPr="00181FCD">
        <w:t xml:space="preserve"> </w:t>
      </w:r>
      <w:r w:rsidRPr="00181FCD">
        <w:t>en</w:t>
      </w:r>
      <w:r w:rsidR="00F373A3" w:rsidRPr="00181FCD">
        <w:t xml:space="preserve"> </w:t>
      </w:r>
      <w:r w:rsidRPr="00181FCD">
        <w:t>la</w:t>
      </w:r>
      <w:r w:rsidR="00F373A3" w:rsidRPr="00181FCD">
        <w:t xml:space="preserve"> </w:t>
      </w:r>
      <w:r w:rsidRPr="00181FCD">
        <w:t>Ley</w:t>
      </w:r>
      <w:r w:rsidR="00F373A3" w:rsidRPr="00181FCD">
        <w:t xml:space="preserve"> </w:t>
      </w:r>
      <w:r w:rsidRPr="00181FCD">
        <w:t>de</w:t>
      </w:r>
      <w:r w:rsidR="00F373A3" w:rsidRPr="00181FCD">
        <w:t xml:space="preserve"> </w:t>
      </w:r>
      <w:r w:rsidRPr="00181FCD">
        <w:t>Protección</w:t>
      </w:r>
      <w:r w:rsidR="00F373A3" w:rsidRPr="00181FCD">
        <w:t xml:space="preserve"> </w:t>
      </w:r>
      <w:r w:rsidRPr="00181FCD">
        <w:t>de</w:t>
      </w:r>
      <w:r w:rsidR="00F373A3" w:rsidRPr="00181FCD">
        <w:t xml:space="preserve"> </w:t>
      </w:r>
      <w:r w:rsidRPr="00181FCD">
        <w:t>la</w:t>
      </w:r>
      <w:r w:rsidR="00F373A3" w:rsidRPr="00181FCD">
        <w:t xml:space="preserve"> </w:t>
      </w:r>
      <w:r w:rsidRPr="00181FCD">
        <w:t>Infancia,</w:t>
      </w:r>
      <w:r w:rsidR="00F373A3" w:rsidRPr="00181FCD">
        <w:t xml:space="preserve"> </w:t>
      </w:r>
      <w:r w:rsidRPr="00181FCD">
        <w:t>se</w:t>
      </w:r>
      <w:r w:rsidR="00F373A3" w:rsidRPr="00181FCD">
        <w:t xml:space="preserve"> </w:t>
      </w:r>
      <w:r w:rsidRPr="00181FCD">
        <w:t>ha</w:t>
      </w:r>
      <w:r w:rsidR="00F373A3" w:rsidRPr="00181FCD">
        <w:t xml:space="preserve"> </w:t>
      </w:r>
      <w:r w:rsidRPr="00181FCD">
        <w:t>ampliado</w:t>
      </w:r>
      <w:r w:rsidR="00F373A3" w:rsidRPr="00181FCD">
        <w:t xml:space="preserve"> </w:t>
      </w:r>
      <w:r w:rsidRPr="00181FCD">
        <w:t>el</w:t>
      </w:r>
      <w:r w:rsidR="00F373A3" w:rsidRPr="00181FCD">
        <w:t xml:space="preserve"> </w:t>
      </w:r>
      <w:r w:rsidRPr="00181FCD">
        <w:t>alcance</w:t>
      </w:r>
      <w:r w:rsidR="00F373A3" w:rsidRPr="00181FCD">
        <w:t xml:space="preserve"> </w:t>
      </w:r>
      <w:r w:rsidRPr="00181FCD">
        <w:t>de</w:t>
      </w:r>
      <w:r w:rsidR="00F373A3" w:rsidRPr="00181FCD">
        <w:t xml:space="preserve"> </w:t>
      </w:r>
      <w:r w:rsidRPr="00181FCD">
        <w:t>las</w:t>
      </w:r>
      <w:r w:rsidR="00F373A3" w:rsidRPr="00181FCD">
        <w:t xml:space="preserve"> </w:t>
      </w:r>
      <w:r w:rsidRPr="00181FCD">
        <w:t>personas</w:t>
      </w:r>
      <w:r w:rsidR="00F373A3" w:rsidRPr="00181FCD">
        <w:t xml:space="preserve"> </w:t>
      </w:r>
      <w:r w:rsidRPr="00181FCD">
        <w:t>amparadas</w:t>
      </w:r>
      <w:r w:rsidR="00F373A3" w:rsidRPr="00181FCD">
        <w:t xml:space="preserve"> </w:t>
      </w:r>
      <w:r w:rsidRPr="00181FCD">
        <w:t>por</w:t>
      </w:r>
      <w:r w:rsidR="00F373A3" w:rsidRPr="00181FCD">
        <w:t xml:space="preserve"> </w:t>
      </w:r>
      <w:r w:rsidRPr="00181FCD">
        <w:t>el</w:t>
      </w:r>
      <w:r w:rsidR="00F373A3" w:rsidRPr="00181FCD">
        <w:t xml:space="preserve"> </w:t>
      </w:r>
      <w:r w:rsidRPr="00181FCD">
        <w:t>derecho</w:t>
      </w:r>
      <w:r w:rsidR="00F373A3" w:rsidRPr="00181FCD">
        <w:t xml:space="preserve"> </w:t>
      </w:r>
      <w:r w:rsidRPr="00181FCD">
        <w:t>a</w:t>
      </w:r>
      <w:r w:rsidR="00F373A3" w:rsidRPr="00181FCD">
        <w:t xml:space="preserve"> </w:t>
      </w:r>
      <w:r w:rsidRPr="00181FCD">
        <w:t>protección</w:t>
      </w:r>
      <w:r w:rsidR="00F373A3" w:rsidRPr="00181FCD">
        <w:t xml:space="preserve"> </w:t>
      </w:r>
      <w:r w:rsidRPr="00181FCD">
        <w:t>en</w:t>
      </w:r>
      <w:r w:rsidR="00F373A3" w:rsidRPr="00181FCD">
        <w:t xml:space="preserve"> </w:t>
      </w:r>
      <w:r w:rsidRPr="00181FCD">
        <w:t>virtud</w:t>
      </w:r>
      <w:r w:rsidR="00F373A3" w:rsidRPr="00181FCD">
        <w:t xml:space="preserve"> </w:t>
      </w:r>
      <w:r w:rsidRPr="00181FCD">
        <w:t>de</w:t>
      </w:r>
      <w:r w:rsidR="00F373A3" w:rsidRPr="00181FCD">
        <w:t xml:space="preserve"> </w:t>
      </w:r>
      <w:r w:rsidRPr="00181FCD">
        <w:t>esa</w:t>
      </w:r>
      <w:r w:rsidR="00F373A3" w:rsidRPr="00181FCD">
        <w:t xml:space="preserve"> </w:t>
      </w:r>
      <w:r w:rsidR="00C820BE" w:rsidRPr="00181FCD">
        <w:t>ley</w:t>
      </w:r>
      <w:r w:rsidRPr="00181FCD">
        <w:t>,</w:t>
      </w:r>
      <w:r w:rsidR="00F373A3" w:rsidRPr="00181FCD">
        <w:t xml:space="preserve"> </w:t>
      </w:r>
      <w:r w:rsidRPr="00181FCD">
        <w:t>para</w:t>
      </w:r>
      <w:r w:rsidR="00F373A3" w:rsidRPr="00181FCD">
        <w:t xml:space="preserve"> </w:t>
      </w:r>
      <w:r w:rsidRPr="00181FCD">
        <w:t>incluir</w:t>
      </w:r>
      <w:r w:rsidR="00F373A3" w:rsidRPr="00181FCD">
        <w:t xml:space="preserve"> </w:t>
      </w:r>
      <w:r w:rsidRPr="00181FCD">
        <w:t>a</w:t>
      </w:r>
      <w:r w:rsidR="00F373A3" w:rsidRPr="00181FCD">
        <w:t xml:space="preserve"> </w:t>
      </w:r>
      <w:r w:rsidRPr="00181FCD">
        <w:t>las</w:t>
      </w:r>
      <w:r w:rsidR="00F373A3" w:rsidRPr="00181FCD">
        <w:t xml:space="preserve"> </w:t>
      </w:r>
      <w:r w:rsidRPr="00181FCD">
        <w:t>víctimas</w:t>
      </w:r>
      <w:r w:rsidR="00F373A3" w:rsidRPr="00181FCD">
        <w:t xml:space="preserve"> </w:t>
      </w:r>
      <w:r w:rsidRPr="00181FCD">
        <w:t>de</w:t>
      </w:r>
      <w:r w:rsidR="00F373A3" w:rsidRPr="00181FCD">
        <w:t xml:space="preserve"> </w:t>
      </w:r>
      <w:r w:rsidRPr="00181FCD">
        <w:t>violencia</w:t>
      </w:r>
      <w:r w:rsidR="00F373A3" w:rsidRPr="00181FCD">
        <w:t xml:space="preserve"> </w:t>
      </w:r>
      <w:r w:rsidRPr="00181FCD">
        <w:t>o</w:t>
      </w:r>
      <w:r w:rsidR="00F373A3" w:rsidRPr="00181FCD">
        <w:t xml:space="preserve"> </w:t>
      </w:r>
      <w:r w:rsidRPr="00181FCD">
        <w:t>explotación</w:t>
      </w:r>
      <w:r w:rsidR="00F373A3" w:rsidRPr="00181FCD">
        <w:t xml:space="preserve"> </w:t>
      </w:r>
      <w:r w:rsidRPr="00181FCD">
        <w:t>cuya</w:t>
      </w:r>
      <w:r w:rsidR="00F373A3" w:rsidRPr="00181FCD">
        <w:t xml:space="preserve"> </w:t>
      </w:r>
      <w:r w:rsidRPr="00181FCD">
        <w:t>edad</w:t>
      </w:r>
      <w:r w:rsidR="00F373A3" w:rsidRPr="00181FCD">
        <w:t xml:space="preserve"> </w:t>
      </w:r>
      <w:r w:rsidRPr="00181FCD">
        <w:t>no</w:t>
      </w:r>
      <w:r w:rsidR="00F373A3" w:rsidRPr="00181FCD">
        <w:t xml:space="preserve"> </w:t>
      </w:r>
      <w:r w:rsidRPr="00181FCD">
        <w:t>se</w:t>
      </w:r>
      <w:r w:rsidR="00F373A3" w:rsidRPr="00181FCD">
        <w:t xml:space="preserve"> </w:t>
      </w:r>
      <w:r w:rsidRPr="00181FCD">
        <w:t>ha</w:t>
      </w:r>
      <w:r w:rsidR="00F373A3" w:rsidRPr="00181FCD">
        <w:t xml:space="preserve"> </w:t>
      </w:r>
      <w:r w:rsidRPr="00181FCD">
        <w:t>podido</w:t>
      </w:r>
      <w:r w:rsidR="00F373A3" w:rsidRPr="00181FCD">
        <w:t xml:space="preserve"> </w:t>
      </w:r>
      <w:r w:rsidRPr="00181FCD">
        <w:t>determinar,</w:t>
      </w:r>
      <w:r w:rsidR="00F373A3" w:rsidRPr="00181FCD">
        <w:t xml:space="preserve"> </w:t>
      </w:r>
      <w:r w:rsidRPr="00181FCD">
        <w:t>pero</w:t>
      </w:r>
      <w:r w:rsidR="00F373A3" w:rsidRPr="00181FCD">
        <w:t xml:space="preserve"> </w:t>
      </w:r>
      <w:r w:rsidRPr="00181FCD">
        <w:t>que</w:t>
      </w:r>
      <w:r w:rsidR="00F373A3" w:rsidRPr="00181FCD">
        <w:t xml:space="preserve"> </w:t>
      </w:r>
      <w:r w:rsidRPr="00181FCD">
        <w:t>por</w:t>
      </w:r>
      <w:r w:rsidR="00F373A3" w:rsidRPr="00181FCD">
        <w:t xml:space="preserve"> </w:t>
      </w:r>
      <w:r w:rsidRPr="00181FCD">
        <w:t>las</w:t>
      </w:r>
      <w:r w:rsidR="00F373A3" w:rsidRPr="00181FCD">
        <w:t xml:space="preserve"> </w:t>
      </w:r>
      <w:r w:rsidRPr="00181FCD">
        <w:t>circunstancias</w:t>
      </w:r>
      <w:r w:rsidR="00F373A3" w:rsidRPr="00181FCD">
        <w:t xml:space="preserve"> </w:t>
      </w:r>
      <w:r w:rsidRPr="00181FCD">
        <w:t>específicas</w:t>
      </w:r>
      <w:r w:rsidR="00F373A3" w:rsidRPr="00181FCD">
        <w:t xml:space="preserve"> </w:t>
      </w:r>
      <w:r w:rsidRPr="00181FCD">
        <w:t>del</w:t>
      </w:r>
      <w:r w:rsidR="00F373A3" w:rsidRPr="00181FCD">
        <w:t xml:space="preserve"> </w:t>
      </w:r>
      <w:r w:rsidRPr="00181FCD">
        <w:t>caso</w:t>
      </w:r>
      <w:r w:rsidR="00F373A3" w:rsidRPr="00181FCD">
        <w:t xml:space="preserve"> </w:t>
      </w:r>
      <w:r w:rsidRPr="00181FCD">
        <w:t>se</w:t>
      </w:r>
      <w:r w:rsidR="00F373A3" w:rsidRPr="00181FCD">
        <w:t xml:space="preserve"> </w:t>
      </w:r>
      <w:r w:rsidRPr="00181FCD">
        <w:t>puede</w:t>
      </w:r>
      <w:r w:rsidR="00F373A3" w:rsidRPr="00181FCD">
        <w:t xml:space="preserve"> </w:t>
      </w:r>
      <w:r w:rsidRPr="00181FCD">
        <w:t>razonablemente</w:t>
      </w:r>
      <w:r w:rsidR="00F373A3" w:rsidRPr="00181FCD">
        <w:t xml:space="preserve"> </w:t>
      </w:r>
      <w:r w:rsidRPr="00181FCD">
        <w:t>presumir</w:t>
      </w:r>
      <w:r w:rsidR="00F373A3" w:rsidRPr="00181FCD">
        <w:t xml:space="preserve"> </w:t>
      </w:r>
      <w:r w:rsidRPr="00181FCD">
        <w:t>que</w:t>
      </w:r>
      <w:r w:rsidR="00F373A3" w:rsidRPr="00181FCD">
        <w:t xml:space="preserve"> </w:t>
      </w:r>
      <w:r w:rsidRPr="00181FCD">
        <w:t>son</w:t>
      </w:r>
      <w:r w:rsidR="00F373A3" w:rsidRPr="00181FCD">
        <w:t xml:space="preserve"> </w:t>
      </w:r>
      <w:r w:rsidRPr="00181FCD">
        <w:t>niños.</w:t>
      </w:r>
      <w:r w:rsidR="00F373A3" w:rsidRPr="00181FCD">
        <w:t xml:space="preserve"> </w:t>
      </w:r>
      <w:r w:rsidRPr="00181FCD">
        <w:t>Por</w:t>
      </w:r>
      <w:r w:rsidR="00F373A3" w:rsidRPr="00181FCD">
        <w:t xml:space="preserve"> </w:t>
      </w:r>
      <w:r w:rsidRPr="00181FCD">
        <w:t>lo</w:t>
      </w:r>
      <w:r w:rsidR="00F373A3" w:rsidRPr="00181FCD">
        <w:t xml:space="preserve"> </w:t>
      </w:r>
      <w:r w:rsidRPr="00181FCD">
        <w:t>tanto,</w:t>
      </w:r>
      <w:r w:rsidR="00F373A3" w:rsidRPr="00181FCD">
        <w:t xml:space="preserve"> </w:t>
      </w:r>
      <w:r w:rsidRPr="00181FCD">
        <w:t>ya</w:t>
      </w:r>
      <w:r w:rsidR="00F373A3" w:rsidRPr="00181FCD">
        <w:t xml:space="preserve"> </w:t>
      </w:r>
      <w:r w:rsidRPr="00181FCD">
        <w:t>no</w:t>
      </w:r>
      <w:r w:rsidR="00F373A3" w:rsidRPr="00181FCD">
        <w:t xml:space="preserve"> </w:t>
      </w:r>
      <w:r w:rsidRPr="00181FCD">
        <w:t>hay</w:t>
      </w:r>
      <w:r w:rsidR="00F373A3" w:rsidRPr="00181FCD">
        <w:t xml:space="preserve"> </w:t>
      </w:r>
      <w:r w:rsidRPr="00181FCD">
        <w:t>ningún</w:t>
      </w:r>
      <w:r w:rsidR="00F373A3" w:rsidRPr="00181FCD">
        <w:t xml:space="preserve"> </w:t>
      </w:r>
      <w:r w:rsidRPr="00181FCD">
        <w:t>obstáculo</w:t>
      </w:r>
      <w:r w:rsidR="00F373A3" w:rsidRPr="00181FCD">
        <w:t xml:space="preserve"> </w:t>
      </w:r>
      <w:r w:rsidRPr="00181FCD">
        <w:t>para</w:t>
      </w:r>
      <w:r w:rsidR="00F373A3" w:rsidRPr="00181FCD">
        <w:t xml:space="preserve"> </w:t>
      </w:r>
      <w:r w:rsidRPr="00181FCD">
        <w:t>aplicar,</w:t>
      </w:r>
      <w:r w:rsidR="00F373A3" w:rsidRPr="00181FCD">
        <w:t xml:space="preserve"> </w:t>
      </w:r>
      <w:r w:rsidRPr="00181FCD">
        <w:t>cuando</w:t>
      </w:r>
      <w:r w:rsidR="00F373A3" w:rsidRPr="00181FCD">
        <w:t xml:space="preserve"> </w:t>
      </w:r>
      <w:r w:rsidRPr="00181FCD">
        <w:t>sea</w:t>
      </w:r>
      <w:r w:rsidR="00F373A3" w:rsidRPr="00181FCD">
        <w:t xml:space="preserve"> </w:t>
      </w:r>
      <w:r w:rsidRPr="00181FCD">
        <w:t>necesario,</w:t>
      </w:r>
      <w:r w:rsidR="00672EC2" w:rsidRPr="00181FCD">
        <w:t xml:space="preserve"> </w:t>
      </w:r>
      <w:r w:rsidRPr="00181FCD">
        <w:t>las</w:t>
      </w:r>
      <w:r w:rsidR="00F373A3" w:rsidRPr="00181FCD">
        <w:t xml:space="preserve"> </w:t>
      </w:r>
      <w:r w:rsidRPr="00181FCD">
        <w:t>medidas</w:t>
      </w:r>
      <w:r w:rsidR="00F373A3" w:rsidRPr="00181FCD">
        <w:t xml:space="preserve"> </w:t>
      </w:r>
      <w:r w:rsidRPr="00181FCD">
        <w:t>de</w:t>
      </w:r>
      <w:r w:rsidR="00F373A3" w:rsidRPr="00181FCD">
        <w:t xml:space="preserve"> </w:t>
      </w:r>
      <w:r w:rsidRPr="00181FCD">
        <w:t>protección</w:t>
      </w:r>
      <w:r w:rsidR="00F373A3" w:rsidRPr="00181FCD">
        <w:t xml:space="preserve"> </w:t>
      </w:r>
      <w:r w:rsidRPr="00181FCD">
        <w:t>en</w:t>
      </w:r>
      <w:r w:rsidR="00F373A3" w:rsidRPr="00181FCD">
        <w:t xml:space="preserve"> </w:t>
      </w:r>
      <w:r w:rsidRPr="00181FCD">
        <w:t>relación</w:t>
      </w:r>
      <w:r w:rsidR="00F373A3" w:rsidRPr="00181FCD">
        <w:t xml:space="preserve"> </w:t>
      </w:r>
      <w:r w:rsidRPr="00181FCD">
        <w:t>con</w:t>
      </w:r>
      <w:r w:rsidR="00F373A3" w:rsidRPr="00181FCD">
        <w:t xml:space="preserve"> </w:t>
      </w:r>
      <w:r w:rsidRPr="00181FCD">
        <w:t>un</w:t>
      </w:r>
      <w:r w:rsidR="00F373A3" w:rsidRPr="00181FCD">
        <w:t xml:space="preserve"> </w:t>
      </w:r>
      <w:r w:rsidRPr="00181FCD">
        <w:t>niño</w:t>
      </w:r>
      <w:r w:rsidR="00F373A3" w:rsidRPr="00181FCD">
        <w:t xml:space="preserve"> </w:t>
      </w:r>
      <w:r w:rsidRPr="00181FCD">
        <w:t>antes</w:t>
      </w:r>
      <w:r w:rsidR="00F373A3" w:rsidRPr="00181FCD">
        <w:t xml:space="preserve"> </w:t>
      </w:r>
      <w:r w:rsidRPr="00181FCD">
        <w:t>de</w:t>
      </w:r>
      <w:r w:rsidR="00F373A3" w:rsidRPr="00181FCD">
        <w:t xml:space="preserve"> </w:t>
      </w:r>
      <w:r w:rsidRPr="00181FCD">
        <w:t>que</w:t>
      </w:r>
      <w:r w:rsidR="00F373A3" w:rsidRPr="00181FCD">
        <w:t xml:space="preserve"> </w:t>
      </w:r>
      <w:r w:rsidRPr="00181FCD">
        <w:t>se</w:t>
      </w:r>
      <w:r w:rsidR="00F373A3" w:rsidRPr="00181FCD">
        <w:t xml:space="preserve"> </w:t>
      </w:r>
      <w:r w:rsidRPr="00181FCD">
        <w:t>determine</w:t>
      </w:r>
      <w:r w:rsidR="00F373A3" w:rsidRPr="00181FCD">
        <w:t xml:space="preserve"> </w:t>
      </w:r>
      <w:r w:rsidRPr="00181FCD">
        <w:t>su</w:t>
      </w:r>
      <w:r w:rsidR="00F373A3" w:rsidRPr="00181FCD">
        <w:t xml:space="preserve"> </w:t>
      </w:r>
      <w:r w:rsidRPr="00181FCD">
        <w:t>edad.</w:t>
      </w:r>
    </w:p>
    <w:p w:rsidR="001937F4" w:rsidRPr="00181FCD" w:rsidRDefault="001937F4" w:rsidP="00347B20">
      <w:pPr>
        <w:pStyle w:val="SingleTxtG"/>
        <w:suppressAutoHyphens/>
      </w:pPr>
      <w:r w:rsidRPr="00181FCD">
        <w:t>66.</w:t>
      </w:r>
      <w:r w:rsidRPr="00181FCD">
        <w:tab/>
        <w:t>De</w:t>
      </w:r>
      <w:r w:rsidR="00F373A3" w:rsidRPr="00181FCD">
        <w:t xml:space="preserve"> </w:t>
      </w:r>
      <w:r w:rsidRPr="00181FCD">
        <w:t>conformidad</w:t>
      </w:r>
      <w:r w:rsidR="00F373A3" w:rsidRPr="00181FCD">
        <w:t xml:space="preserve"> </w:t>
      </w:r>
      <w:r w:rsidRPr="00181FCD">
        <w:t>con</w:t>
      </w:r>
      <w:r w:rsidR="00F373A3" w:rsidRPr="00181FCD">
        <w:t xml:space="preserve"> </w:t>
      </w:r>
      <w:r w:rsidRPr="00181FCD">
        <w:t>el</w:t>
      </w:r>
      <w:r w:rsidR="00F373A3" w:rsidRPr="00181FCD">
        <w:t xml:space="preserve"> </w:t>
      </w:r>
      <w:r w:rsidRPr="00181FCD">
        <w:t>artículo</w:t>
      </w:r>
      <w:r w:rsidR="00F373A3" w:rsidRPr="00181FCD">
        <w:t xml:space="preserve"> </w:t>
      </w:r>
      <w:r w:rsidRPr="00181FCD">
        <w:t>14,</w:t>
      </w:r>
      <w:r w:rsidR="00F373A3" w:rsidRPr="00181FCD">
        <w:t xml:space="preserve"> </w:t>
      </w:r>
      <w:r w:rsidRPr="00181FCD">
        <w:t>párrafo</w:t>
      </w:r>
      <w:r w:rsidR="00F373A3" w:rsidRPr="00181FCD">
        <w:t xml:space="preserve"> </w:t>
      </w:r>
      <w:r w:rsidRPr="00181FCD">
        <w:t>1</w:t>
      </w:r>
      <w:r w:rsidR="00F373A3" w:rsidRPr="00181FCD">
        <w:t xml:space="preserve"> </w:t>
      </w:r>
      <w:r w:rsidRPr="00181FCD">
        <w:t>(segunda</w:t>
      </w:r>
      <w:r w:rsidR="00F373A3" w:rsidRPr="00181FCD">
        <w:t xml:space="preserve"> </w:t>
      </w:r>
      <w:r w:rsidRPr="00181FCD">
        <w:t>proposición)</w:t>
      </w:r>
      <w:r w:rsidR="00F373A3" w:rsidRPr="00181FCD">
        <w:t xml:space="preserve"> </w:t>
      </w:r>
      <w:r w:rsidRPr="00181FCD">
        <w:t>de</w:t>
      </w:r>
      <w:r w:rsidR="00F373A3" w:rsidRPr="00181FCD">
        <w:t xml:space="preserve"> </w:t>
      </w:r>
      <w:r w:rsidRPr="00181FCD">
        <w:t>la</w:t>
      </w:r>
      <w:r w:rsidR="00F373A3" w:rsidRPr="00181FCD">
        <w:t xml:space="preserve"> </w:t>
      </w:r>
      <w:r w:rsidRPr="00181FCD">
        <w:t>Directiva</w:t>
      </w:r>
      <w:r w:rsidR="002E5756" w:rsidRPr="00181FCD">
        <w:t> </w:t>
      </w:r>
      <w:r w:rsidRPr="00181FCD">
        <w:t>2011/36/UE</w:t>
      </w:r>
      <w:r w:rsidR="00F373A3" w:rsidRPr="00181FCD">
        <w:t xml:space="preserve"> </w:t>
      </w:r>
      <w:r w:rsidRPr="00181FCD">
        <w:t>del</w:t>
      </w:r>
      <w:r w:rsidR="00F373A3" w:rsidRPr="00181FCD">
        <w:t xml:space="preserve"> </w:t>
      </w:r>
      <w:r w:rsidRPr="00181FCD">
        <w:t>Parlamento</w:t>
      </w:r>
      <w:r w:rsidR="00F373A3" w:rsidRPr="00181FCD">
        <w:t xml:space="preserve"> </w:t>
      </w:r>
      <w:r w:rsidRPr="00181FCD">
        <w:t>Europeo</w:t>
      </w:r>
      <w:r w:rsidR="00F373A3" w:rsidRPr="00181FCD">
        <w:t xml:space="preserve"> </w:t>
      </w:r>
      <w:r w:rsidRPr="00181FCD">
        <w:t>y</w:t>
      </w:r>
      <w:r w:rsidR="00F373A3" w:rsidRPr="00181FCD">
        <w:t xml:space="preserve"> </w:t>
      </w:r>
      <w:r w:rsidRPr="00181FCD">
        <w:t>del</w:t>
      </w:r>
      <w:r w:rsidR="00F373A3" w:rsidRPr="00181FCD">
        <w:t xml:space="preserve"> </w:t>
      </w:r>
      <w:r w:rsidRPr="00181FCD">
        <w:t>Consejo,</w:t>
      </w:r>
      <w:r w:rsidR="00F373A3" w:rsidRPr="00181FCD">
        <w:t xml:space="preserve"> </w:t>
      </w:r>
      <w:r w:rsidRPr="00181FCD">
        <w:t>de</w:t>
      </w:r>
      <w:r w:rsidR="00F373A3" w:rsidRPr="00181FCD">
        <w:t xml:space="preserve"> </w:t>
      </w:r>
      <w:r w:rsidRPr="00181FCD">
        <w:t>5</w:t>
      </w:r>
      <w:r w:rsidR="00F373A3" w:rsidRPr="00181FCD">
        <w:t xml:space="preserve"> </w:t>
      </w:r>
      <w:r w:rsidRPr="00181FCD">
        <w:t>de</w:t>
      </w:r>
      <w:r w:rsidR="00F373A3" w:rsidRPr="00181FCD">
        <w:t xml:space="preserve"> </w:t>
      </w:r>
      <w:r w:rsidRPr="00181FCD">
        <w:t>abril</w:t>
      </w:r>
      <w:r w:rsidR="00F373A3" w:rsidRPr="00181FCD">
        <w:t xml:space="preserve"> </w:t>
      </w:r>
      <w:r w:rsidRPr="00181FCD">
        <w:t>de</w:t>
      </w:r>
      <w:r w:rsidR="00F373A3" w:rsidRPr="00181FCD">
        <w:t xml:space="preserve"> </w:t>
      </w:r>
      <w:r w:rsidRPr="00181FCD">
        <w:t>2011,</w:t>
      </w:r>
      <w:r w:rsidR="00F373A3" w:rsidRPr="00181FCD">
        <w:t xml:space="preserve"> </w:t>
      </w:r>
      <w:r w:rsidRPr="00181FCD">
        <w:t>relativa</w:t>
      </w:r>
      <w:r w:rsidR="00F373A3" w:rsidRPr="00181FCD">
        <w:t xml:space="preserve"> </w:t>
      </w:r>
      <w:r w:rsidRPr="00181FCD">
        <w:t>a</w:t>
      </w:r>
      <w:r w:rsidR="00F373A3" w:rsidRPr="00181FCD">
        <w:t xml:space="preserve"> </w:t>
      </w:r>
      <w:r w:rsidRPr="00181FCD">
        <w:t>la</w:t>
      </w:r>
      <w:r w:rsidR="00F373A3" w:rsidRPr="00181FCD">
        <w:t xml:space="preserve"> </w:t>
      </w:r>
      <w:r w:rsidRPr="00181FCD">
        <w:t>prevención</w:t>
      </w:r>
      <w:r w:rsidR="00F373A3" w:rsidRPr="00181FCD">
        <w:t xml:space="preserve"> </w:t>
      </w:r>
      <w:r w:rsidRPr="00181FCD">
        <w:t>y</w:t>
      </w:r>
      <w:r w:rsidR="00F373A3" w:rsidRPr="00181FCD">
        <w:t xml:space="preserve"> </w:t>
      </w:r>
      <w:r w:rsidRPr="00181FCD">
        <w:t>lucha</w:t>
      </w:r>
      <w:r w:rsidR="00F373A3" w:rsidRPr="00181FCD">
        <w:t xml:space="preserve"> </w:t>
      </w:r>
      <w:r w:rsidRPr="00181FCD">
        <w:t>contra</w:t>
      </w:r>
      <w:r w:rsidR="00F373A3" w:rsidRPr="00181FCD">
        <w:t xml:space="preserve"> </w:t>
      </w:r>
      <w:r w:rsidRPr="00181FCD">
        <w:t>la</w:t>
      </w:r>
      <w:r w:rsidR="00F373A3" w:rsidRPr="00181FCD">
        <w:t xml:space="preserve"> </w:t>
      </w:r>
      <w:r w:rsidRPr="00181FCD">
        <w:t>trata</w:t>
      </w:r>
      <w:r w:rsidR="00F373A3" w:rsidRPr="00181FCD">
        <w:t xml:space="preserve"> </w:t>
      </w:r>
      <w:r w:rsidRPr="00181FCD">
        <w:t>de</w:t>
      </w:r>
      <w:r w:rsidR="00F373A3" w:rsidRPr="00181FCD">
        <w:t xml:space="preserve"> </w:t>
      </w:r>
      <w:r w:rsidRPr="00181FCD">
        <w:t>seres</w:t>
      </w:r>
      <w:r w:rsidR="00F373A3" w:rsidRPr="00181FCD">
        <w:t xml:space="preserve"> </w:t>
      </w:r>
      <w:r w:rsidRPr="00181FCD">
        <w:t>humanos</w:t>
      </w:r>
      <w:r w:rsidR="00F373A3" w:rsidRPr="00181FCD">
        <w:t xml:space="preserve"> </w:t>
      </w:r>
      <w:r w:rsidRPr="00181FCD">
        <w:t>y</w:t>
      </w:r>
      <w:r w:rsidR="00F373A3" w:rsidRPr="00181FCD">
        <w:t xml:space="preserve"> </w:t>
      </w:r>
      <w:r w:rsidRPr="00181FCD">
        <w:t>a</w:t>
      </w:r>
      <w:r w:rsidR="00F373A3" w:rsidRPr="00181FCD">
        <w:t xml:space="preserve"> </w:t>
      </w:r>
      <w:r w:rsidRPr="00181FCD">
        <w:t>la</w:t>
      </w:r>
      <w:r w:rsidR="00F373A3" w:rsidRPr="00181FCD">
        <w:t xml:space="preserve"> </w:t>
      </w:r>
      <w:r w:rsidRPr="00181FCD">
        <w:t>protección</w:t>
      </w:r>
      <w:r w:rsidR="00F373A3" w:rsidRPr="00181FCD">
        <w:t xml:space="preserve"> </w:t>
      </w:r>
      <w:r w:rsidRPr="00181FCD">
        <w:t>de</w:t>
      </w:r>
      <w:r w:rsidR="00F373A3" w:rsidRPr="00181FCD">
        <w:t xml:space="preserve"> </w:t>
      </w:r>
      <w:r w:rsidRPr="00181FCD">
        <w:t>las</w:t>
      </w:r>
      <w:r w:rsidR="00F373A3" w:rsidRPr="00181FCD">
        <w:t xml:space="preserve"> </w:t>
      </w:r>
      <w:r w:rsidRPr="00181FCD">
        <w:t>víctimas,</w:t>
      </w:r>
      <w:r w:rsidR="00F373A3" w:rsidRPr="00181FCD">
        <w:t xml:space="preserve"> </w:t>
      </w:r>
      <w:r w:rsidRPr="00181FCD">
        <w:t>por</w:t>
      </w:r>
      <w:r w:rsidR="00F373A3" w:rsidRPr="00181FCD">
        <w:t xml:space="preserve"> </w:t>
      </w:r>
      <w:r w:rsidRPr="00181FCD">
        <w:t>la</w:t>
      </w:r>
      <w:r w:rsidR="00F373A3" w:rsidRPr="00181FCD">
        <w:t xml:space="preserve"> </w:t>
      </w:r>
      <w:r w:rsidRPr="00181FCD">
        <w:t>que</w:t>
      </w:r>
      <w:r w:rsidR="00F373A3" w:rsidRPr="00181FCD">
        <w:t xml:space="preserve"> </w:t>
      </w:r>
      <w:r w:rsidRPr="00181FCD">
        <w:t>se</w:t>
      </w:r>
      <w:r w:rsidR="00F373A3" w:rsidRPr="00181FCD">
        <w:t xml:space="preserve"> </w:t>
      </w:r>
      <w:r w:rsidRPr="00181FCD">
        <w:t>sustituye</w:t>
      </w:r>
      <w:r w:rsidR="00F373A3" w:rsidRPr="00181FCD">
        <w:t xml:space="preserve"> </w:t>
      </w:r>
      <w:r w:rsidRPr="00181FCD">
        <w:t>la</w:t>
      </w:r>
      <w:r w:rsidR="00F373A3" w:rsidRPr="00181FCD">
        <w:t xml:space="preserve"> </w:t>
      </w:r>
      <w:r w:rsidRPr="00181FCD">
        <w:t>Decisión</w:t>
      </w:r>
      <w:r w:rsidR="00F373A3" w:rsidRPr="00181FCD">
        <w:t xml:space="preserve"> </w:t>
      </w:r>
      <w:r w:rsidRPr="00181FCD">
        <w:t>marco</w:t>
      </w:r>
      <w:r w:rsidR="00F373A3" w:rsidRPr="00181FCD">
        <w:t xml:space="preserve"> </w:t>
      </w:r>
      <w:r w:rsidRPr="00181FCD">
        <w:t>2002/629/JAI</w:t>
      </w:r>
      <w:r w:rsidR="00F373A3" w:rsidRPr="00181FCD">
        <w:t xml:space="preserve"> </w:t>
      </w:r>
      <w:r w:rsidRPr="00181FCD">
        <w:t>del</w:t>
      </w:r>
      <w:r w:rsidR="00F373A3" w:rsidRPr="00181FCD">
        <w:t xml:space="preserve"> </w:t>
      </w:r>
      <w:r w:rsidRPr="00181FCD">
        <w:t>Consejo</w:t>
      </w:r>
      <w:r w:rsidR="00F373A3" w:rsidRPr="00181FCD">
        <w:t xml:space="preserve"> </w:t>
      </w:r>
      <w:r w:rsidRPr="00181FCD">
        <w:t>(DO</w:t>
      </w:r>
      <w:r w:rsidR="00F373A3" w:rsidRPr="00181FCD">
        <w:t xml:space="preserve"> </w:t>
      </w:r>
      <w:r w:rsidRPr="00181FCD">
        <w:t>L</w:t>
      </w:r>
      <w:r w:rsidR="00F373A3" w:rsidRPr="00181FCD">
        <w:t xml:space="preserve"> </w:t>
      </w:r>
      <w:r w:rsidRPr="00181FCD">
        <w:t>101/1,</w:t>
      </w:r>
      <w:r w:rsidR="00F373A3" w:rsidRPr="00181FCD">
        <w:t xml:space="preserve"> </w:t>
      </w:r>
      <w:r w:rsidRPr="00181FCD">
        <w:t>de</w:t>
      </w:r>
      <w:r w:rsidR="00F373A3" w:rsidRPr="00181FCD">
        <w:t xml:space="preserve"> </w:t>
      </w:r>
      <w:r w:rsidRPr="00181FCD">
        <w:t>15</w:t>
      </w:r>
      <w:r w:rsidR="00F373A3" w:rsidRPr="00181FCD">
        <w:t xml:space="preserve"> </w:t>
      </w:r>
      <w:r w:rsidRPr="00181FCD">
        <w:t>de</w:t>
      </w:r>
      <w:r w:rsidR="00F373A3" w:rsidRPr="00181FCD">
        <w:t xml:space="preserve"> </w:t>
      </w:r>
      <w:r w:rsidRPr="00181FCD">
        <w:t>abril</w:t>
      </w:r>
      <w:r w:rsidR="00F373A3" w:rsidRPr="00181FCD">
        <w:t xml:space="preserve"> </w:t>
      </w:r>
      <w:r w:rsidRPr="00181FCD">
        <w:t>de</w:t>
      </w:r>
      <w:r w:rsidR="00F373A3" w:rsidRPr="00181FCD">
        <w:t xml:space="preserve"> </w:t>
      </w:r>
      <w:r w:rsidRPr="00181FCD">
        <w:t>2011),</w:t>
      </w:r>
      <w:r w:rsidR="00F373A3" w:rsidRPr="00181FCD">
        <w:t xml:space="preserve"> </w:t>
      </w:r>
      <w:r w:rsidRPr="00181FCD">
        <w:t>la</w:t>
      </w:r>
      <w:r w:rsidR="00F373A3" w:rsidRPr="00181FCD">
        <w:t xml:space="preserve"> </w:t>
      </w:r>
      <w:r w:rsidRPr="00181FCD">
        <w:t>obligación</w:t>
      </w:r>
      <w:r w:rsidR="00F373A3" w:rsidRPr="00181FCD">
        <w:t xml:space="preserve"> </w:t>
      </w:r>
      <w:r w:rsidRPr="00181FCD">
        <w:t>del</w:t>
      </w:r>
      <w:r w:rsidR="00F373A3" w:rsidRPr="00181FCD">
        <w:t xml:space="preserve"> </w:t>
      </w:r>
      <w:r w:rsidRPr="00181FCD">
        <w:t>Estado</w:t>
      </w:r>
      <w:r w:rsidR="00F373A3" w:rsidRPr="00181FCD">
        <w:t xml:space="preserve"> </w:t>
      </w:r>
      <w:r w:rsidRPr="00181FCD">
        <w:t>de</w:t>
      </w:r>
      <w:r w:rsidR="00F373A3" w:rsidRPr="00181FCD">
        <w:t xml:space="preserve"> </w:t>
      </w:r>
      <w:r w:rsidRPr="00181FCD">
        <w:t>impartir</w:t>
      </w:r>
      <w:r w:rsidR="00F373A3" w:rsidRPr="00181FCD">
        <w:t xml:space="preserve"> </w:t>
      </w:r>
      <w:r w:rsidRPr="00181FCD">
        <w:t>educación</w:t>
      </w:r>
      <w:r w:rsidR="00F373A3" w:rsidRPr="00181FCD">
        <w:t xml:space="preserve"> </w:t>
      </w:r>
      <w:r w:rsidRPr="00181FCD">
        <w:t>se</w:t>
      </w:r>
      <w:r w:rsidR="00F373A3" w:rsidRPr="00181FCD">
        <w:t xml:space="preserve"> </w:t>
      </w:r>
      <w:r w:rsidRPr="00181FCD">
        <w:t>ha</w:t>
      </w:r>
      <w:r w:rsidR="00F373A3" w:rsidRPr="00181FCD">
        <w:t xml:space="preserve"> </w:t>
      </w:r>
      <w:r w:rsidRPr="00181FCD">
        <w:t>ampliado</w:t>
      </w:r>
      <w:r w:rsidR="00F373A3" w:rsidRPr="00181FCD">
        <w:t xml:space="preserve"> </w:t>
      </w:r>
      <w:r w:rsidRPr="00181FCD">
        <w:t>para</w:t>
      </w:r>
      <w:r w:rsidR="00F373A3" w:rsidRPr="00181FCD">
        <w:t xml:space="preserve"> </w:t>
      </w:r>
      <w:r w:rsidRPr="00181FCD">
        <w:t>incluir,</w:t>
      </w:r>
      <w:r w:rsidR="00F373A3" w:rsidRPr="00181FCD">
        <w:t xml:space="preserve"> </w:t>
      </w:r>
      <w:r w:rsidRPr="00181FCD">
        <w:t>además</w:t>
      </w:r>
      <w:r w:rsidR="00F373A3" w:rsidRPr="00181FCD">
        <w:t xml:space="preserve"> </w:t>
      </w:r>
      <w:r w:rsidRPr="00181FCD">
        <w:t>de</w:t>
      </w:r>
      <w:r w:rsidR="00F373A3" w:rsidRPr="00181FCD">
        <w:t xml:space="preserve"> </w:t>
      </w:r>
      <w:r w:rsidRPr="00181FCD">
        <w:t>los</w:t>
      </w:r>
      <w:r w:rsidR="00F373A3" w:rsidRPr="00181FCD">
        <w:t xml:space="preserve"> </w:t>
      </w:r>
      <w:r w:rsidRPr="00181FCD">
        <w:t>niños</w:t>
      </w:r>
      <w:r w:rsidR="00F373A3" w:rsidRPr="00181FCD">
        <w:t xml:space="preserve"> </w:t>
      </w:r>
      <w:r w:rsidRPr="00181FCD">
        <w:t>víctimas</w:t>
      </w:r>
      <w:r w:rsidR="00F373A3" w:rsidRPr="00181FCD">
        <w:t xml:space="preserve"> </w:t>
      </w:r>
      <w:r w:rsidRPr="00181FCD">
        <w:t>de</w:t>
      </w:r>
      <w:r w:rsidR="00F373A3" w:rsidRPr="00181FCD">
        <w:t xml:space="preserve"> </w:t>
      </w:r>
      <w:r w:rsidRPr="00181FCD">
        <w:t>trata,</w:t>
      </w:r>
      <w:r w:rsidR="00672EC2" w:rsidRPr="00181FCD">
        <w:t xml:space="preserve"> </w:t>
      </w:r>
      <w:r w:rsidRPr="00181FCD">
        <w:t>a</w:t>
      </w:r>
      <w:r w:rsidR="00F373A3" w:rsidRPr="00181FCD">
        <w:t xml:space="preserve"> </w:t>
      </w:r>
      <w:r w:rsidRPr="00181FCD">
        <w:t>los</w:t>
      </w:r>
      <w:r w:rsidR="00F373A3" w:rsidRPr="00181FCD">
        <w:t xml:space="preserve"> </w:t>
      </w:r>
      <w:r w:rsidRPr="00181FCD">
        <w:t>niños</w:t>
      </w:r>
      <w:r w:rsidR="00F373A3" w:rsidRPr="00181FCD">
        <w:t xml:space="preserve"> </w:t>
      </w:r>
      <w:r w:rsidRPr="00181FCD">
        <w:t>hijos</w:t>
      </w:r>
      <w:r w:rsidR="00F373A3" w:rsidRPr="00181FCD">
        <w:t xml:space="preserve"> </w:t>
      </w:r>
      <w:r w:rsidRPr="00181FCD">
        <w:t>de</w:t>
      </w:r>
      <w:r w:rsidR="00F373A3" w:rsidRPr="00181FCD">
        <w:t xml:space="preserve"> </w:t>
      </w:r>
      <w:r w:rsidRPr="00181FCD">
        <w:t>víctimas.</w:t>
      </w:r>
      <w:r w:rsidR="00F373A3" w:rsidRPr="00181FCD">
        <w:t xml:space="preserve"> </w:t>
      </w:r>
      <w:r w:rsidRPr="00181FCD">
        <w:t>Esta</w:t>
      </w:r>
      <w:r w:rsidR="00F373A3" w:rsidRPr="00181FCD">
        <w:t xml:space="preserve"> </w:t>
      </w:r>
      <w:r w:rsidRPr="00181FCD">
        <w:t>adición</w:t>
      </w:r>
      <w:r w:rsidR="00F373A3" w:rsidRPr="00181FCD">
        <w:t xml:space="preserve"> </w:t>
      </w:r>
      <w:r w:rsidRPr="00181FCD">
        <w:t>también</w:t>
      </w:r>
      <w:r w:rsidR="00F373A3" w:rsidRPr="00181FCD">
        <w:t xml:space="preserve"> </w:t>
      </w:r>
      <w:r w:rsidRPr="00181FCD">
        <w:t>resuelve</w:t>
      </w:r>
      <w:r w:rsidR="00F373A3" w:rsidRPr="00181FCD">
        <w:t xml:space="preserve"> </w:t>
      </w:r>
      <w:r w:rsidRPr="00181FCD">
        <w:t>el</w:t>
      </w:r>
      <w:r w:rsidR="00F373A3" w:rsidRPr="00181FCD">
        <w:t xml:space="preserve"> </w:t>
      </w:r>
      <w:r w:rsidRPr="00181FCD">
        <w:t>problema</w:t>
      </w:r>
      <w:r w:rsidR="00F373A3" w:rsidRPr="00181FCD">
        <w:t xml:space="preserve"> </w:t>
      </w:r>
      <w:r w:rsidRPr="00181FCD">
        <w:t>práctico</w:t>
      </w:r>
      <w:r w:rsidR="00F373A3" w:rsidRPr="00181FCD">
        <w:t xml:space="preserve"> </w:t>
      </w:r>
      <w:r w:rsidRPr="00181FCD">
        <w:t>de</w:t>
      </w:r>
      <w:r w:rsidR="00F373A3" w:rsidRPr="00181FCD">
        <w:t xml:space="preserve"> </w:t>
      </w:r>
      <w:r w:rsidRPr="00181FCD">
        <w:t>la</w:t>
      </w:r>
      <w:r w:rsidR="00F373A3" w:rsidRPr="00181FCD">
        <w:t xml:space="preserve"> </w:t>
      </w:r>
      <w:r w:rsidRPr="00181FCD">
        <w:t>separación</w:t>
      </w:r>
      <w:r w:rsidR="00F373A3" w:rsidRPr="00181FCD">
        <w:t xml:space="preserve"> </w:t>
      </w:r>
      <w:r w:rsidRPr="00181FCD">
        <w:t>de</w:t>
      </w:r>
      <w:r w:rsidR="00F373A3" w:rsidRPr="00181FCD">
        <w:t xml:space="preserve"> </w:t>
      </w:r>
      <w:r w:rsidRPr="00181FCD">
        <w:t>la</w:t>
      </w:r>
      <w:r w:rsidR="00F373A3" w:rsidRPr="00181FCD">
        <w:t xml:space="preserve"> </w:t>
      </w:r>
      <w:r w:rsidRPr="00181FCD">
        <w:t>víctima</w:t>
      </w:r>
      <w:r w:rsidR="00F373A3" w:rsidRPr="00181FCD">
        <w:t xml:space="preserve"> </w:t>
      </w:r>
      <w:r w:rsidRPr="00181FCD">
        <w:t>de</w:t>
      </w:r>
      <w:r w:rsidR="00F373A3" w:rsidRPr="00181FCD">
        <w:t xml:space="preserve"> </w:t>
      </w:r>
      <w:r w:rsidRPr="00181FCD">
        <w:t>sus</w:t>
      </w:r>
      <w:r w:rsidR="00F373A3" w:rsidRPr="00181FCD">
        <w:t xml:space="preserve"> </w:t>
      </w:r>
      <w:r w:rsidRPr="00181FCD">
        <w:t>hijos</w:t>
      </w:r>
      <w:r w:rsidR="00F373A3" w:rsidRPr="00181FCD">
        <w:t xml:space="preserve"> </w:t>
      </w:r>
      <w:r w:rsidRPr="00181FCD">
        <w:t>en</w:t>
      </w:r>
      <w:r w:rsidR="00F373A3" w:rsidRPr="00181FCD">
        <w:t xml:space="preserve"> </w:t>
      </w:r>
      <w:r w:rsidRPr="00181FCD">
        <w:t>los</w:t>
      </w:r>
      <w:r w:rsidR="00F373A3" w:rsidRPr="00181FCD">
        <w:t xml:space="preserve"> </w:t>
      </w:r>
      <w:r w:rsidRPr="00181FCD">
        <w:t>casos</w:t>
      </w:r>
      <w:r w:rsidR="00F373A3" w:rsidRPr="00181FCD">
        <w:t xml:space="preserve"> </w:t>
      </w:r>
      <w:r w:rsidRPr="00181FCD">
        <w:t>en</w:t>
      </w:r>
      <w:r w:rsidR="00F373A3" w:rsidRPr="00181FCD">
        <w:t xml:space="preserve"> </w:t>
      </w:r>
      <w:r w:rsidRPr="00181FCD">
        <w:t>que,</w:t>
      </w:r>
      <w:r w:rsidR="00F373A3" w:rsidRPr="00181FCD">
        <w:t xml:space="preserve"> </w:t>
      </w:r>
      <w:r w:rsidRPr="00181FCD">
        <w:t>en</w:t>
      </w:r>
      <w:r w:rsidR="00F373A3" w:rsidRPr="00181FCD">
        <w:t xml:space="preserve"> </w:t>
      </w:r>
      <w:r w:rsidRPr="00181FCD">
        <w:t>virtud</w:t>
      </w:r>
      <w:r w:rsidR="00F373A3" w:rsidRPr="00181FCD">
        <w:t xml:space="preserve"> </w:t>
      </w:r>
      <w:r w:rsidRPr="00181FCD">
        <w:t>de</w:t>
      </w:r>
      <w:r w:rsidR="00F373A3" w:rsidRPr="00181FCD">
        <w:t xml:space="preserve"> </w:t>
      </w:r>
      <w:r w:rsidRPr="00181FCD">
        <w:t>la</w:t>
      </w:r>
      <w:r w:rsidR="00F373A3" w:rsidRPr="00181FCD">
        <w:t xml:space="preserve"> </w:t>
      </w:r>
      <w:r w:rsidRPr="00181FCD">
        <w:t>Ley</w:t>
      </w:r>
      <w:r w:rsidR="00F373A3" w:rsidRPr="00181FCD">
        <w:t xml:space="preserve"> </w:t>
      </w:r>
      <w:r w:rsidRPr="00181FCD">
        <w:t>de</w:t>
      </w:r>
      <w:r w:rsidR="00F373A3" w:rsidRPr="00181FCD">
        <w:t xml:space="preserve"> </w:t>
      </w:r>
      <w:r w:rsidRPr="00181FCD">
        <w:t>Lucha</w:t>
      </w:r>
      <w:r w:rsidR="00F373A3" w:rsidRPr="00181FCD">
        <w:t xml:space="preserve"> </w:t>
      </w:r>
      <w:r w:rsidRPr="00181FCD">
        <w:t>contra</w:t>
      </w:r>
      <w:r w:rsidR="00F373A3" w:rsidRPr="00181FCD">
        <w:t xml:space="preserve"> </w:t>
      </w:r>
      <w:r w:rsidRPr="00181FCD">
        <w:t>la</w:t>
      </w:r>
      <w:r w:rsidR="00F373A3" w:rsidRPr="00181FCD">
        <w:t xml:space="preserve"> </w:t>
      </w:r>
      <w:r w:rsidRPr="00181FCD">
        <w:t>Trata</w:t>
      </w:r>
      <w:r w:rsidR="00F373A3" w:rsidRPr="00181FCD">
        <w:t xml:space="preserve"> </w:t>
      </w:r>
      <w:r w:rsidRPr="00181FCD">
        <w:t>de</w:t>
      </w:r>
      <w:r w:rsidR="00F373A3" w:rsidRPr="00181FCD">
        <w:t xml:space="preserve"> </w:t>
      </w:r>
      <w:r w:rsidRPr="00181FCD">
        <w:t>Seres</w:t>
      </w:r>
      <w:r w:rsidR="00F373A3" w:rsidRPr="00181FCD">
        <w:t xml:space="preserve"> </w:t>
      </w:r>
      <w:r w:rsidRPr="00181FCD">
        <w:t>Humanos,</w:t>
      </w:r>
      <w:r w:rsidR="00F373A3" w:rsidRPr="00181FCD">
        <w:t xml:space="preserve"> </w:t>
      </w:r>
      <w:r w:rsidRPr="00181FCD">
        <w:t>se</w:t>
      </w:r>
      <w:r w:rsidR="00F373A3" w:rsidRPr="00181FCD">
        <w:t xml:space="preserve"> </w:t>
      </w:r>
      <w:r w:rsidRPr="00181FCD">
        <w:t>haya</w:t>
      </w:r>
      <w:r w:rsidR="00F373A3" w:rsidRPr="00181FCD">
        <w:t xml:space="preserve"> </w:t>
      </w:r>
      <w:r w:rsidRPr="00181FCD">
        <w:t>colocado</w:t>
      </w:r>
      <w:r w:rsidR="00F373A3" w:rsidRPr="00181FCD">
        <w:t xml:space="preserve"> </w:t>
      </w:r>
      <w:r w:rsidRPr="00181FCD">
        <w:t>a</w:t>
      </w:r>
      <w:r w:rsidR="00F373A3" w:rsidRPr="00181FCD">
        <w:t xml:space="preserve"> </w:t>
      </w:r>
      <w:r w:rsidRPr="00181FCD">
        <w:t>la</w:t>
      </w:r>
      <w:r w:rsidR="00F373A3" w:rsidRPr="00181FCD">
        <w:t xml:space="preserve"> </w:t>
      </w:r>
      <w:r w:rsidRPr="00181FCD">
        <w:t>víctima</w:t>
      </w:r>
      <w:r w:rsidR="00F373A3" w:rsidRPr="00181FCD">
        <w:t xml:space="preserve"> </w:t>
      </w:r>
      <w:r w:rsidRPr="00181FCD">
        <w:t>en</w:t>
      </w:r>
      <w:r w:rsidR="00F373A3" w:rsidRPr="00181FCD">
        <w:t xml:space="preserve"> </w:t>
      </w:r>
      <w:r w:rsidRPr="00181FCD">
        <w:t>una</w:t>
      </w:r>
      <w:r w:rsidR="00F373A3" w:rsidRPr="00181FCD">
        <w:t xml:space="preserve"> </w:t>
      </w:r>
      <w:r w:rsidRPr="00181FCD">
        <w:t>ciudad</w:t>
      </w:r>
      <w:r w:rsidR="00F373A3" w:rsidRPr="00181FCD">
        <w:t xml:space="preserve"> </w:t>
      </w:r>
      <w:r w:rsidRPr="00181FCD">
        <w:t>diferente</w:t>
      </w:r>
      <w:r w:rsidR="00F373A3" w:rsidRPr="00181FCD">
        <w:t xml:space="preserve"> </w:t>
      </w:r>
      <w:r w:rsidRPr="00181FCD">
        <w:t>a</w:t>
      </w:r>
      <w:r w:rsidR="00F373A3" w:rsidRPr="00181FCD">
        <w:t xml:space="preserve"> </w:t>
      </w:r>
      <w:r w:rsidRPr="00181FCD">
        <w:t>la</w:t>
      </w:r>
      <w:r w:rsidR="00F373A3" w:rsidRPr="00181FCD">
        <w:t xml:space="preserve"> </w:t>
      </w:r>
      <w:r w:rsidRPr="00181FCD">
        <w:t>de</w:t>
      </w:r>
      <w:r w:rsidR="00F373A3" w:rsidRPr="00181FCD">
        <w:t xml:space="preserve"> </w:t>
      </w:r>
      <w:r w:rsidRPr="00181FCD">
        <w:t>su</w:t>
      </w:r>
      <w:r w:rsidR="00F373A3" w:rsidRPr="00181FCD">
        <w:t xml:space="preserve"> </w:t>
      </w:r>
      <w:r w:rsidRPr="00181FCD">
        <w:t>residencia</w:t>
      </w:r>
      <w:r w:rsidR="00F373A3" w:rsidRPr="00181FCD">
        <w:t xml:space="preserve"> </w:t>
      </w:r>
      <w:r w:rsidRPr="00181FCD">
        <w:t>habitual.</w:t>
      </w:r>
    </w:p>
    <w:p w:rsidR="001937F4" w:rsidRPr="00181FCD" w:rsidRDefault="001937F4" w:rsidP="00347B20">
      <w:pPr>
        <w:pStyle w:val="SingleTxtG"/>
        <w:suppressAutoHyphens/>
      </w:pPr>
      <w:r w:rsidRPr="00181FCD">
        <w:t>67.</w:t>
      </w:r>
      <w:r w:rsidRPr="00181FCD">
        <w:tab/>
        <w:t>Las</w:t>
      </w:r>
      <w:r w:rsidR="00F373A3" w:rsidRPr="00181FCD">
        <w:t xml:space="preserve"> </w:t>
      </w:r>
      <w:r w:rsidRPr="00181FCD">
        <w:t>mejoras</w:t>
      </w:r>
      <w:r w:rsidR="00F373A3" w:rsidRPr="00181FCD">
        <w:t xml:space="preserve"> </w:t>
      </w:r>
      <w:r w:rsidRPr="00181FCD">
        <w:t>introducidas</w:t>
      </w:r>
      <w:r w:rsidR="00F373A3" w:rsidRPr="00181FCD">
        <w:t xml:space="preserve"> </w:t>
      </w:r>
      <w:r w:rsidRPr="00181FCD">
        <w:t>para</w:t>
      </w:r>
      <w:r w:rsidR="00F373A3" w:rsidRPr="00181FCD">
        <w:t xml:space="preserve"> </w:t>
      </w:r>
      <w:r w:rsidRPr="00181FCD">
        <w:t>detectar</w:t>
      </w:r>
      <w:r w:rsidR="00F373A3" w:rsidRPr="00181FCD">
        <w:t xml:space="preserve"> </w:t>
      </w:r>
      <w:r w:rsidRPr="00181FCD">
        <w:t>a</w:t>
      </w:r>
      <w:r w:rsidR="00F373A3" w:rsidRPr="00181FCD">
        <w:t xml:space="preserve"> </w:t>
      </w:r>
      <w:r w:rsidRPr="00181FCD">
        <w:t>las</w:t>
      </w:r>
      <w:r w:rsidR="00F373A3" w:rsidRPr="00181FCD">
        <w:t xml:space="preserve"> </w:t>
      </w:r>
      <w:r w:rsidRPr="00181FCD">
        <w:t>víctimas</w:t>
      </w:r>
      <w:r w:rsidR="00F373A3" w:rsidRPr="00181FCD">
        <w:t xml:space="preserve"> </w:t>
      </w:r>
      <w:r w:rsidRPr="00181FCD">
        <w:t>y</w:t>
      </w:r>
      <w:r w:rsidR="00F373A3" w:rsidRPr="00181FCD">
        <w:t xml:space="preserve"> </w:t>
      </w:r>
      <w:r w:rsidRPr="00181FCD">
        <w:t>para</w:t>
      </w:r>
      <w:r w:rsidR="00F373A3" w:rsidRPr="00181FCD">
        <w:t xml:space="preserve"> </w:t>
      </w:r>
      <w:r w:rsidRPr="00181FCD">
        <w:t>que</w:t>
      </w:r>
      <w:r w:rsidR="00F373A3" w:rsidRPr="00181FCD">
        <w:t xml:space="preserve"> </w:t>
      </w:r>
      <w:r w:rsidRPr="00181FCD">
        <w:t>ellas</w:t>
      </w:r>
      <w:r w:rsidR="00F373A3" w:rsidRPr="00181FCD">
        <w:t xml:space="preserve"> </w:t>
      </w:r>
      <w:r w:rsidRPr="00181FCD">
        <w:t>mismas</w:t>
      </w:r>
      <w:r w:rsidR="00F373A3" w:rsidRPr="00181FCD">
        <w:t xml:space="preserve"> </w:t>
      </w:r>
      <w:r w:rsidRPr="00181FCD">
        <w:t>se</w:t>
      </w:r>
      <w:r w:rsidR="00F373A3" w:rsidRPr="00181FCD">
        <w:t xml:space="preserve"> </w:t>
      </w:r>
      <w:r w:rsidRPr="00181FCD">
        <w:t>identifiquen</w:t>
      </w:r>
      <w:r w:rsidR="00F373A3" w:rsidRPr="00181FCD">
        <w:t xml:space="preserve"> </w:t>
      </w:r>
      <w:r w:rsidRPr="00181FCD">
        <w:t>como</w:t>
      </w:r>
      <w:r w:rsidR="00F373A3" w:rsidRPr="00181FCD">
        <w:t xml:space="preserve"> </w:t>
      </w:r>
      <w:r w:rsidRPr="00181FCD">
        <w:t>tales,</w:t>
      </w:r>
      <w:r w:rsidR="00F373A3" w:rsidRPr="00181FCD">
        <w:t xml:space="preserve"> </w:t>
      </w:r>
      <w:r w:rsidRPr="00181FCD">
        <w:t>así</w:t>
      </w:r>
      <w:r w:rsidR="00F373A3" w:rsidRPr="00181FCD">
        <w:t xml:space="preserve"> </w:t>
      </w:r>
      <w:r w:rsidRPr="00181FCD">
        <w:t>como</w:t>
      </w:r>
      <w:r w:rsidR="00F373A3" w:rsidRPr="00181FCD">
        <w:t xml:space="preserve"> </w:t>
      </w:r>
      <w:r w:rsidRPr="00181FCD">
        <w:t>las</w:t>
      </w:r>
      <w:r w:rsidR="00F373A3" w:rsidRPr="00181FCD">
        <w:t xml:space="preserve"> </w:t>
      </w:r>
      <w:r w:rsidRPr="00181FCD">
        <w:t>enmiendas</w:t>
      </w:r>
      <w:r w:rsidR="00F373A3" w:rsidRPr="00181FCD">
        <w:t xml:space="preserve"> </w:t>
      </w:r>
      <w:r w:rsidRPr="00181FCD">
        <w:t>en</w:t>
      </w:r>
      <w:r w:rsidR="00F373A3" w:rsidRPr="00181FCD">
        <w:t xml:space="preserve"> </w:t>
      </w:r>
      <w:r w:rsidRPr="00181FCD">
        <w:t>la</w:t>
      </w:r>
      <w:r w:rsidR="00F373A3" w:rsidRPr="00181FCD">
        <w:t xml:space="preserve"> </w:t>
      </w:r>
      <w:r w:rsidRPr="00181FCD">
        <w:t>aplicación</w:t>
      </w:r>
      <w:r w:rsidR="00F373A3" w:rsidRPr="00181FCD">
        <w:t xml:space="preserve"> </w:t>
      </w:r>
      <w:r w:rsidRPr="00181FCD">
        <w:t>de</w:t>
      </w:r>
      <w:r w:rsidR="00F373A3" w:rsidRPr="00181FCD">
        <w:t xml:space="preserve"> </w:t>
      </w:r>
      <w:r w:rsidRPr="00181FCD">
        <w:t>los</w:t>
      </w:r>
      <w:r w:rsidR="00F373A3" w:rsidRPr="00181FCD">
        <w:t xml:space="preserve"> </w:t>
      </w:r>
      <w:r w:rsidRPr="00181FCD">
        <w:t>procedimientos</w:t>
      </w:r>
      <w:r w:rsidR="00F373A3" w:rsidRPr="00181FCD">
        <w:t xml:space="preserve"> </w:t>
      </w:r>
      <w:r w:rsidRPr="00181FCD">
        <w:t>operacionales</w:t>
      </w:r>
      <w:r w:rsidR="00F373A3" w:rsidRPr="00181FCD">
        <w:t xml:space="preserve"> </w:t>
      </w:r>
      <w:r w:rsidRPr="00181FCD">
        <w:t>normalizados</w:t>
      </w:r>
      <w:r w:rsidR="00F373A3" w:rsidRPr="00181FCD">
        <w:t xml:space="preserve"> </w:t>
      </w:r>
      <w:r w:rsidRPr="00181FCD">
        <w:t>que</w:t>
      </w:r>
      <w:r w:rsidR="00F373A3" w:rsidRPr="00181FCD">
        <w:t xml:space="preserve"> </w:t>
      </w:r>
      <w:r w:rsidRPr="00181FCD">
        <w:t>forman</w:t>
      </w:r>
      <w:r w:rsidR="00F373A3" w:rsidRPr="00181FCD">
        <w:t xml:space="preserve"> </w:t>
      </w:r>
      <w:r w:rsidRPr="00181FCD">
        <w:t>parte</w:t>
      </w:r>
      <w:r w:rsidR="00F373A3" w:rsidRPr="00181FCD">
        <w:t xml:space="preserve"> </w:t>
      </w:r>
      <w:r w:rsidRPr="00181FCD">
        <w:t>del</w:t>
      </w:r>
      <w:r w:rsidR="00F373A3" w:rsidRPr="00181FCD">
        <w:t xml:space="preserve"> </w:t>
      </w:r>
      <w:r w:rsidRPr="00181FCD">
        <w:t>Mecanismo</w:t>
      </w:r>
      <w:r w:rsidR="00F373A3" w:rsidRPr="00181FCD">
        <w:t xml:space="preserve"> </w:t>
      </w:r>
      <w:r w:rsidRPr="00181FCD">
        <w:t>Nacional</w:t>
      </w:r>
      <w:r w:rsidR="00F373A3" w:rsidRPr="00181FCD">
        <w:t xml:space="preserve"> </w:t>
      </w:r>
      <w:r w:rsidRPr="00181FCD">
        <w:t>de</w:t>
      </w:r>
      <w:r w:rsidR="00F373A3" w:rsidRPr="00181FCD">
        <w:t xml:space="preserve"> </w:t>
      </w:r>
      <w:r w:rsidRPr="00181FCD">
        <w:t>Referencia</w:t>
      </w:r>
      <w:r w:rsidR="00F373A3" w:rsidRPr="00181FCD">
        <w:t xml:space="preserve"> </w:t>
      </w:r>
      <w:r w:rsidRPr="00181FCD">
        <w:t>y</w:t>
      </w:r>
      <w:r w:rsidR="00F373A3" w:rsidRPr="00181FCD">
        <w:t xml:space="preserve"> </w:t>
      </w:r>
      <w:r w:rsidRPr="00181FCD">
        <w:t>Apoyo</w:t>
      </w:r>
      <w:r w:rsidR="00F373A3" w:rsidRPr="00181FCD">
        <w:t xml:space="preserve"> </w:t>
      </w:r>
      <w:r w:rsidRPr="00181FCD">
        <w:t>a</w:t>
      </w:r>
      <w:r w:rsidR="00F373A3" w:rsidRPr="00181FCD">
        <w:t xml:space="preserve"> </w:t>
      </w:r>
      <w:r w:rsidRPr="00181FCD">
        <w:t>las</w:t>
      </w:r>
      <w:r w:rsidR="00F373A3" w:rsidRPr="00181FCD">
        <w:t xml:space="preserve"> </w:t>
      </w:r>
      <w:r w:rsidRPr="00181FCD">
        <w:t>Víctimas</w:t>
      </w:r>
      <w:r w:rsidR="00F373A3" w:rsidRPr="00181FCD">
        <w:t xml:space="preserve"> </w:t>
      </w:r>
      <w:r w:rsidRPr="00181FCD">
        <w:t>de</w:t>
      </w:r>
      <w:r w:rsidR="00F373A3" w:rsidRPr="00181FCD">
        <w:t xml:space="preserve"> </w:t>
      </w:r>
      <w:r w:rsidRPr="00181FCD">
        <w:t>la</w:t>
      </w:r>
      <w:r w:rsidR="00F373A3" w:rsidRPr="00181FCD">
        <w:t xml:space="preserve"> </w:t>
      </w:r>
      <w:r w:rsidRPr="00181FCD">
        <w:t>Trata</w:t>
      </w:r>
      <w:r w:rsidR="00F373A3" w:rsidRPr="00181FCD">
        <w:t xml:space="preserve"> </w:t>
      </w:r>
      <w:r w:rsidRPr="00181FCD">
        <w:t>en</w:t>
      </w:r>
      <w:r w:rsidR="00F373A3" w:rsidRPr="00181FCD">
        <w:t xml:space="preserve"> </w:t>
      </w:r>
      <w:r w:rsidRPr="00181FCD">
        <w:t>Bulgaria</w:t>
      </w:r>
      <w:r w:rsidR="00F373A3" w:rsidRPr="00181FCD">
        <w:t xml:space="preserve"> </w:t>
      </w:r>
      <w:r w:rsidRPr="00181FCD">
        <w:t>(aprobada</w:t>
      </w:r>
      <w:r w:rsidR="00F373A3" w:rsidRPr="00181FCD">
        <w:t xml:space="preserve"> </w:t>
      </w:r>
      <w:r w:rsidRPr="00181FCD">
        <w:t>en</w:t>
      </w:r>
      <w:r w:rsidR="00F373A3" w:rsidRPr="00181FCD">
        <w:t xml:space="preserve"> </w:t>
      </w:r>
      <w:r w:rsidRPr="00181FCD">
        <w:t>2010),</w:t>
      </w:r>
      <w:r w:rsidR="00F373A3" w:rsidRPr="00181FCD">
        <w:t xml:space="preserve"> </w:t>
      </w:r>
      <w:r w:rsidRPr="00181FCD">
        <w:t>han</w:t>
      </w:r>
      <w:r w:rsidR="00F373A3" w:rsidRPr="00181FCD">
        <w:t xml:space="preserve"> </w:t>
      </w:r>
      <w:r w:rsidRPr="00181FCD">
        <w:t>contribuido</w:t>
      </w:r>
      <w:r w:rsidR="00F373A3" w:rsidRPr="00181FCD">
        <w:t xml:space="preserve"> </w:t>
      </w:r>
      <w:r w:rsidRPr="00181FCD">
        <w:t>a</w:t>
      </w:r>
      <w:r w:rsidR="00F373A3" w:rsidRPr="00181FCD">
        <w:t xml:space="preserve"> </w:t>
      </w:r>
      <w:r w:rsidRPr="00181FCD">
        <w:t>mejorar</w:t>
      </w:r>
      <w:r w:rsidR="00F373A3" w:rsidRPr="00181FCD">
        <w:t xml:space="preserve"> </w:t>
      </w:r>
      <w:r w:rsidRPr="00181FCD">
        <w:t>la</w:t>
      </w:r>
      <w:r w:rsidR="00F373A3" w:rsidRPr="00181FCD">
        <w:t xml:space="preserve"> </w:t>
      </w:r>
      <w:r w:rsidRPr="00181FCD">
        <w:t>identificación</w:t>
      </w:r>
      <w:r w:rsidR="00F373A3" w:rsidRPr="00181FCD">
        <w:t xml:space="preserve"> </w:t>
      </w:r>
      <w:r w:rsidRPr="00181FCD">
        <w:t>de</w:t>
      </w:r>
      <w:r w:rsidR="00F373A3" w:rsidRPr="00181FCD">
        <w:t xml:space="preserve"> </w:t>
      </w:r>
      <w:r w:rsidRPr="00181FCD">
        <w:t>las</w:t>
      </w:r>
      <w:r w:rsidR="00F373A3" w:rsidRPr="00181FCD">
        <w:t xml:space="preserve"> </w:t>
      </w:r>
      <w:r w:rsidRPr="00181FCD">
        <w:t>personas</w:t>
      </w:r>
      <w:r w:rsidR="00F373A3" w:rsidRPr="00181FCD">
        <w:t xml:space="preserve"> </w:t>
      </w:r>
      <w:r w:rsidRPr="00181FCD">
        <w:t>víctimas</w:t>
      </w:r>
      <w:r w:rsidR="00F373A3" w:rsidRPr="00181FCD">
        <w:t xml:space="preserve"> </w:t>
      </w:r>
      <w:r w:rsidRPr="00181FCD">
        <w:t>de</w:t>
      </w:r>
      <w:r w:rsidR="00F373A3" w:rsidRPr="00181FCD">
        <w:t xml:space="preserve"> </w:t>
      </w:r>
      <w:r w:rsidRPr="00181FCD">
        <w:t>esa</w:t>
      </w:r>
      <w:r w:rsidR="00F373A3" w:rsidRPr="00181FCD">
        <w:t xml:space="preserve"> </w:t>
      </w:r>
      <w:r w:rsidRPr="00181FCD">
        <w:t>trata.</w:t>
      </w:r>
    </w:p>
    <w:p w:rsidR="001937F4" w:rsidRPr="00181FCD" w:rsidRDefault="001937F4" w:rsidP="00347B20">
      <w:pPr>
        <w:pStyle w:val="SingleTxtG"/>
        <w:keepLines/>
        <w:suppressAutoHyphens/>
      </w:pPr>
      <w:r w:rsidRPr="00181FCD">
        <w:t>68.</w:t>
      </w:r>
      <w:r w:rsidRPr="00181FCD">
        <w:tab/>
        <w:t>Se</w:t>
      </w:r>
      <w:r w:rsidR="00F373A3" w:rsidRPr="00181FCD">
        <w:t xml:space="preserve"> </w:t>
      </w:r>
      <w:r w:rsidRPr="00181FCD">
        <w:t>han</w:t>
      </w:r>
      <w:r w:rsidR="00F373A3" w:rsidRPr="00181FCD">
        <w:t xml:space="preserve"> </w:t>
      </w:r>
      <w:r w:rsidRPr="00181FCD">
        <w:t>desarrollado</w:t>
      </w:r>
      <w:r w:rsidR="00F373A3" w:rsidRPr="00181FCD">
        <w:t xml:space="preserve"> </w:t>
      </w:r>
      <w:r w:rsidRPr="00181FCD">
        <w:t>mecanismos</w:t>
      </w:r>
      <w:r w:rsidR="00F373A3" w:rsidRPr="00181FCD">
        <w:t xml:space="preserve"> </w:t>
      </w:r>
      <w:r w:rsidRPr="00181FCD">
        <w:t>de</w:t>
      </w:r>
      <w:r w:rsidR="00F373A3" w:rsidRPr="00181FCD">
        <w:t xml:space="preserve"> </w:t>
      </w:r>
      <w:r w:rsidRPr="00181FCD">
        <w:t>referencia</w:t>
      </w:r>
      <w:r w:rsidR="00F373A3" w:rsidRPr="00181FCD">
        <w:t xml:space="preserve"> </w:t>
      </w:r>
      <w:r w:rsidRPr="00181FCD">
        <w:t>para</w:t>
      </w:r>
      <w:r w:rsidR="00F373A3" w:rsidRPr="00181FCD">
        <w:t xml:space="preserve"> </w:t>
      </w:r>
      <w:r w:rsidRPr="00181FCD">
        <w:t>las</w:t>
      </w:r>
      <w:r w:rsidR="00F373A3" w:rsidRPr="00181FCD">
        <w:t xml:space="preserve"> </w:t>
      </w:r>
      <w:r w:rsidRPr="00181FCD">
        <w:t>víctimas</w:t>
      </w:r>
      <w:r w:rsidR="00F373A3" w:rsidRPr="00181FCD">
        <w:t xml:space="preserve"> </w:t>
      </w:r>
      <w:r w:rsidRPr="00181FCD">
        <w:t>de</w:t>
      </w:r>
      <w:r w:rsidR="00F373A3" w:rsidRPr="00181FCD">
        <w:t xml:space="preserve"> </w:t>
      </w:r>
      <w:r w:rsidRPr="00181FCD">
        <w:t>la</w:t>
      </w:r>
      <w:r w:rsidR="00F373A3" w:rsidRPr="00181FCD">
        <w:t xml:space="preserve"> </w:t>
      </w:r>
      <w:r w:rsidRPr="00181FCD">
        <w:t>trata</w:t>
      </w:r>
      <w:r w:rsidR="00F373A3" w:rsidRPr="00181FCD">
        <w:t xml:space="preserve"> </w:t>
      </w:r>
      <w:r w:rsidRPr="00181FCD">
        <w:t>y</w:t>
      </w:r>
      <w:r w:rsidR="00F373A3" w:rsidRPr="00181FCD">
        <w:t xml:space="preserve"> </w:t>
      </w:r>
      <w:r w:rsidRPr="00181FCD">
        <w:t>la</w:t>
      </w:r>
      <w:r w:rsidR="00F373A3" w:rsidRPr="00181FCD">
        <w:t xml:space="preserve"> </w:t>
      </w:r>
      <w:r w:rsidRPr="00181FCD">
        <w:t>atención</w:t>
      </w:r>
      <w:r w:rsidR="00F373A3" w:rsidRPr="00181FCD">
        <w:t xml:space="preserve"> </w:t>
      </w:r>
      <w:r w:rsidRPr="00181FCD">
        <w:t>de</w:t>
      </w:r>
      <w:r w:rsidR="00F373A3" w:rsidRPr="00181FCD">
        <w:t xml:space="preserve"> </w:t>
      </w:r>
      <w:r w:rsidRPr="00181FCD">
        <w:t>niños</w:t>
      </w:r>
      <w:r w:rsidR="00F373A3" w:rsidRPr="00181FCD">
        <w:t xml:space="preserve"> </w:t>
      </w:r>
      <w:r w:rsidRPr="00181FCD">
        <w:t>no</w:t>
      </w:r>
      <w:r w:rsidR="00F373A3" w:rsidRPr="00181FCD">
        <w:t xml:space="preserve"> </w:t>
      </w:r>
      <w:r w:rsidRPr="00181FCD">
        <w:t>acompañados</w:t>
      </w:r>
      <w:r w:rsidR="00F373A3" w:rsidRPr="00181FCD">
        <w:t xml:space="preserve"> </w:t>
      </w:r>
      <w:r w:rsidRPr="00181FCD">
        <w:t>y</w:t>
      </w:r>
      <w:r w:rsidR="00F373A3" w:rsidRPr="00181FCD">
        <w:t xml:space="preserve"> </w:t>
      </w:r>
      <w:r w:rsidRPr="00181FCD">
        <w:t>niños</w:t>
      </w:r>
      <w:r w:rsidR="00F373A3" w:rsidRPr="00181FCD">
        <w:t xml:space="preserve"> </w:t>
      </w:r>
      <w:r w:rsidRPr="00181FCD">
        <w:t>víctimas</w:t>
      </w:r>
      <w:r w:rsidR="00F373A3" w:rsidRPr="00181FCD">
        <w:t xml:space="preserve"> </w:t>
      </w:r>
      <w:r w:rsidRPr="00181FCD">
        <w:t>de</w:t>
      </w:r>
      <w:r w:rsidR="00F373A3" w:rsidRPr="00181FCD">
        <w:t xml:space="preserve"> </w:t>
      </w:r>
      <w:r w:rsidRPr="00181FCD">
        <w:t>trata</w:t>
      </w:r>
      <w:r w:rsidR="00F373A3" w:rsidRPr="00181FCD">
        <w:t xml:space="preserve"> </w:t>
      </w:r>
      <w:r w:rsidRPr="00181FCD">
        <w:t>que</w:t>
      </w:r>
      <w:r w:rsidR="00F373A3" w:rsidRPr="00181FCD">
        <w:t xml:space="preserve"> </w:t>
      </w:r>
      <w:r w:rsidRPr="00181FCD">
        <w:t>regresan</w:t>
      </w:r>
      <w:r w:rsidR="00F373A3" w:rsidRPr="00181FCD">
        <w:t xml:space="preserve"> </w:t>
      </w:r>
      <w:r w:rsidRPr="00181FCD">
        <w:t>del</w:t>
      </w:r>
      <w:r w:rsidR="00F373A3" w:rsidRPr="00181FCD">
        <w:t xml:space="preserve"> </w:t>
      </w:r>
      <w:r w:rsidRPr="00181FCD">
        <w:t>extranjero.</w:t>
      </w:r>
      <w:r w:rsidR="00F373A3" w:rsidRPr="00181FCD">
        <w:t xml:space="preserve"> </w:t>
      </w:r>
      <w:r w:rsidRPr="00181FCD">
        <w:t>Se</w:t>
      </w:r>
      <w:r w:rsidR="00F373A3" w:rsidRPr="00181FCD">
        <w:t xml:space="preserve"> </w:t>
      </w:r>
      <w:r w:rsidRPr="00181FCD">
        <w:t>ha</w:t>
      </w:r>
      <w:r w:rsidR="00F373A3" w:rsidRPr="00181FCD">
        <w:t xml:space="preserve"> </w:t>
      </w:r>
      <w:r w:rsidRPr="00181FCD">
        <w:t>establecido</w:t>
      </w:r>
      <w:r w:rsidR="00F373A3" w:rsidRPr="00181FCD">
        <w:t xml:space="preserve"> </w:t>
      </w:r>
      <w:r w:rsidRPr="00181FCD">
        <w:t>un</w:t>
      </w:r>
      <w:r w:rsidR="00F373A3" w:rsidRPr="00181FCD">
        <w:t xml:space="preserve"> </w:t>
      </w:r>
      <w:r w:rsidRPr="00181FCD">
        <w:t>Consejo</w:t>
      </w:r>
      <w:r w:rsidR="00F373A3" w:rsidRPr="00181FCD">
        <w:t xml:space="preserve"> </w:t>
      </w:r>
      <w:r w:rsidRPr="00181FCD">
        <w:t>Nacional</w:t>
      </w:r>
      <w:r w:rsidR="00F373A3" w:rsidRPr="00181FCD">
        <w:t xml:space="preserve"> </w:t>
      </w:r>
      <w:r w:rsidRPr="00181FCD">
        <w:t>de</w:t>
      </w:r>
      <w:r w:rsidR="00F373A3" w:rsidRPr="00181FCD">
        <w:t xml:space="preserve"> </w:t>
      </w:r>
      <w:r w:rsidRPr="00181FCD">
        <w:t>Asistencia</w:t>
      </w:r>
      <w:r w:rsidR="00F373A3" w:rsidRPr="00181FCD">
        <w:t xml:space="preserve"> </w:t>
      </w:r>
      <w:r w:rsidRPr="00181FCD">
        <w:t>y</w:t>
      </w:r>
      <w:r w:rsidR="00F373A3" w:rsidRPr="00181FCD">
        <w:t xml:space="preserve"> </w:t>
      </w:r>
      <w:r w:rsidRPr="00181FCD">
        <w:t>Compensación</w:t>
      </w:r>
      <w:r w:rsidR="00F373A3" w:rsidRPr="00181FCD">
        <w:t xml:space="preserve"> </w:t>
      </w:r>
      <w:r w:rsidRPr="00181FCD">
        <w:t>de</w:t>
      </w:r>
      <w:r w:rsidR="00F373A3" w:rsidRPr="00181FCD">
        <w:t xml:space="preserve"> </w:t>
      </w:r>
      <w:r w:rsidRPr="00181FCD">
        <w:t>las</w:t>
      </w:r>
      <w:r w:rsidR="00F373A3" w:rsidRPr="00181FCD">
        <w:t xml:space="preserve"> </w:t>
      </w:r>
      <w:r w:rsidRPr="00181FCD">
        <w:t>Víctimas</w:t>
      </w:r>
      <w:r w:rsidR="00F373A3" w:rsidRPr="00181FCD">
        <w:t xml:space="preserve"> </w:t>
      </w:r>
      <w:r w:rsidRPr="00181FCD">
        <w:t>de</w:t>
      </w:r>
      <w:r w:rsidR="00F373A3" w:rsidRPr="00181FCD">
        <w:t xml:space="preserve"> </w:t>
      </w:r>
      <w:r w:rsidRPr="00181FCD">
        <w:t>Delitos,</w:t>
      </w:r>
      <w:r w:rsidR="00F373A3" w:rsidRPr="00181FCD">
        <w:t xml:space="preserve"> </w:t>
      </w:r>
      <w:r w:rsidRPr="00181FCD">
        <w:t>lo</w:t>
      </w:r>
      <w:r w:rsidR="00F373A3" w:rsidRPr="00181FCD">
        <w:t xml:space="preserve"> </w:t>
      </w:r>
      <w:r w:rsidRPr="00181FCD">
        <w:t>que</w:t>
      </w:r>
      <w:r w:rsidR="00F373A3" w:rsidRPr="00181FCD">
        <w:t xml:space="preserve"> </w:t>
      </w:r>
      <w:r w:rsidRPr="00181FCD">
        <w:t>incluye</w:t>
      </w:r>
      <w:r w:rsidR="00F373A3" w:rsidRPr="00181FCD">
        <w:t xml:space="preserve"> </w:t>
      </w:r>
      <w:r w:rsidRPr="00181FCD">
        <w:t>la</w:t>
      </w:r>
      <w:r w:rsidR="00F373A3" w:rsidRPr="00181FCD">
        <w:t xml:space="preserve"> </w:t>
      </w:r>
      <w:r w:rsidRPr="00181FCD">
        <w:t>trata</w:t>
      </w:r>
      <w:r w:rsidR="00F373A3" w:rsidRPr="00181FCD">
        <w:t xml:space="preserve"> </w:t>
      </w:r>
      <w:r w:rsidRPr="00181FCD">
        <w:t>de</w:t>
      </w:r>
      <w:r w:rsidR="00F373A3" w:rsidRPr="00181FCD">
        <w:t xml:space="preserve"> </w:t>
      </w:r>
      <w:r w:rsidRPr="00181FCD">
        <w:t>seres</w:t>
      </w:r>
      <w:r w:rsidR="00F373A3" w:rsidRPr="00181FCD">
        <w:t xml:space="preserve"> </w:t>
      </w:r>
      <w:r w:rsidRPr="00181FCD">
        <w:t>humanos;</w:t>
      </w:r>
      <w:r w:rsidR="00F373A3" w:rsidRPr="00181FCD">
        <w:t xml:space="preserve"> </w:t>
      </w:r>
      <w:r w:rsidRPr="00181FCD">
        <w:t>las</w:t>
      </w:r>
      <w:r w:rsidR="00F373A3" w:rsidRPr="00181FCD">
        <w:t xml:space="preserve"> </w:t>
      </w:r>
      <w:r w:rsidRPr="00181FCD">
        <w:t>víctimas</w:t>
      </w:r>
      <w:r w:rsidR="00F373A3" w:rsidRPr="00181FCD">
        <w:t xml:space="preserve"> </w:t>
      </w:r>
      <w:r w:rsidRPr="00181FCD">
        <w:t>tienen</w:t>
      </w:r>
      <w:r w:rsidR="00F373A3" w:rsidRPr="00181FCD">
        <w:t xml:space="preserve"> </w:t>
      </w:r>
      <w:r w:rsidRPr="00181FCD">
        <w:t>derecho</w:t>
      </w:r>
      <w:r w:rsidR="00F373A3" w:rsidRPr="00181FCD">
        <w:t xml:space="preserve"> </w:t>
      </w:r>
      <w:r w:rsidRPr="00181FCD">
        <w:t>a</w:t>
      </w:r>
      <w:r w:rsidR="00F373A3" w:rsidRPr="00181FCD">
        <w:t xml:space="preserve"> </w:t>
      </w:r>
      <w:r w:rsidRPr="00181FCD">
        <w:t>asistencia</w:t>
      </w:r>
      <w:r w:rsidR="00F373A3" w:rsidRPr="00181FCD">
        <w:t xml:space="preserve"> </w:t>
      </w:r>
      <w:r w:rsidRPr="00181FCD">
        <w:t>jurídica</w:t>
      </w:r>
      <w:r w:rsidR="00F373A3" w:rsidRPr="00181FCD">
        <w:t xml:space="preserve"> </w:t>
      </w:r>
      <w:r w:rsidRPr="00181FCD">
        <w:t>gratuita,</w:t>
      </w:r>
      <w:r w:rsidR="00F373A3" w:rsidRPr="00181FCD">
        <w:t xml:space="preserve"> </w:t>
      </w:r>
      <w:r w:rsidRPr="00181FCD">
        <w:t>y</w:t>
      </w:r>
      <w:r w:rsidR="00F373A3" w:rsidRPr="00181FCD">
        <w:t xml:space="preserve"> </w:t>
      </w:r>
      <w:r w:rsidRPr="00181FCD">
        <w:t>una</w:t>
      </w:r>
      <w:r w:rsidR="00F373A3" w:rsidRPr="00181FCD">
        <w:t xml:space="preserve"> </w:t>
      </w:r>
      <w:r w:rsidRPr="00181FCD">
        <w:t>compensación</w:t>
      </w:r>
      <w:r w:rsidR="00F373A3" w:rsidRPr="00181FCD">
        <w:t xml:space="preserve"> </w:t>
      </w:r>
      <w:r w:rsidRPr="00181FCD">
        <w:t>en</w:t>
      </w:r>
      <w:r w:rsidR="00F373A3" w:rsidRPr="00181FCD">
        <w:t xml:space="preserve"> </w:t>
      </w:r>
      <w:r w:rsidRPr="00181FCD">
        <w:t>los</w:t>
      </w:r>
      <w:r w:rsidR="00F373A3" w:rsidRPr="00181FCD">
        <w:t xml:space="preserve"> </w:t>
      </w:r>
      <w:r w:rsidRPr="00181FCD">
        <w:t>procedimientos</w:t>
      </w:r>
      <w:r w:rsidR="00F373A3" w:rsidRPr="00181FCD">
        <w:t xml:space="preserve"> </w:t>
      </w:r>
      <w:r w:rsidRPr="00181FCD">
        <w:t>penales</w:t>
      </w:r>
      <w:r w:rsidR="00F373A3" w:rsidRPr="00181FCD">
        <w:t xml:space="preserve"> </w:t>
      </w:r>
      <w:r w:rsidRPr="00181FCD">
        <w:t>y</w:t>
      </w:r>
      <w:r w:rsidR="00F373A3" w:rsidRPr="00181FCD">
        <w:t xml:space="preserve"> </w:t>
      </w:r>
      <w:r w:rsidRPr="00181FCD">
        <w:t>civiles.</w:t>
      </w:r>
      <w:r w:rsidR="00F373A3" w:rsidRPr="00181FCD">
        <w:t xml:space="preserve"> </w:t>
      </w:r>
      <w:r w:rsidRPr="00181FCD">
        <w:t>En</w:t>
      </w:r>
      <w:r w:rsidR="00F373A3" w:rsidRPr="00181FCD">
        <w:t xml:space="preserve"> </w:t>
      </w:r>
      <w:r w:rsidRPr="00181FCD">
        <w:t>2011</w:t>
      </w:r>
      <w:r w:rsidR="00F373A3" w:rsidRPr="00181FCD">
        <w:t xml:space="preserve"> </w:t>
      </w:r>
      <w:r w:rsidRPr="00181FCD">
        <w:t>también</w:t>
      </w:r>
      <w:r w:rsidR="00F373A3" w:rsidRPr="00181FCD">
        <w:t xml:space="preserve"> </w:t>
      </w:r>
      <w:r w:rsidRPr="00181FCD">
        <w:t>se</w:t>
      </w:r>
      <w:r w:rsidR="00F373A3" w:rsidRPr="00181FCD">
        <w:t xml:space="preserve"> </w:t>
      </w:r>
      <w:r w:rsidRPr="00181FCD">
        <w:t>estableció</w:t>
      </w:r>
      <w:r w:rsidR="00F373A3" w:rsidRPr="00181FCD">
        <w:t xml:space="preserve"> </w:t>
      </w:r>
      <w:r w:rsidRPr="00181FCD">
        <w:t>una</w:t>
      </w:r>
      <w:r w:rsidR="00F373A3" w:rsidRPr="00181FCD">
        <w:t xml:space="preserve"> </w:t>
      </w:r>
      <w:r w:rsidRPr="00181FCD">
        <w:t>red</w:t>
      </w:r>
      <w:r w:rsidR="00F373A3" w:rsidRPr="00181FCD">
        <w:t xml:space="preserve"> </w:t>
      </w:r>
      <w:r w:rsidRPr="00181FCD">
        <w:t>de</w:t>
      </w:r>
      <w:r w:rsidR="00F373A3" w:rsidRPr="00181FCD">
        <w:t xml:space="preserve"> </w:t>
      </w:r>
      <w:r w:rsidRPr="00181FCD">
        <w:t>voluntarios</w:t>
      </w:r>
      <w:r w:rsidR="00F373A3" w:rsidRPr="00181FCD">
        <w:t xml:space="preserve"> </w:t>
      </w:r>
      <w:r w:rsidRPr="00181FCD">
        <w:t>para</w:t>
      </w:r>
      <w:r w:rsidR="00F373A3" w:rsidRPr="00181FCD">
        <w:t xml:space="preserve"> </w:t>
      </w:r>
      <w:r w:rsidRPr="00181FCD">
        <w:t>ayudar</w:t>
      </w:r>
      <w:r w:rsidR="00F373A3" w:rsidRPr="00181FCD">
        <w:t xml:space="preserve"> </w:t>
      </w:r>
      <w:r w:rsidRPr="00181FCD">
        <w:t>a</w:t>
      </w:r>
      <w:r w:rsidR="00F373A3" w:rsidRPr="00181FCD">
        <w:t xml:space="preserve"> </w:t>
      </w:r>
      <w:r w:rsidRPr="00181FCD">
        <w:t>las</w:t>
      </w:r>
      <w:r w:rsidR="00F373A3" w:rsidRPr="00181FCD">
        <w:t xml:space="preserve"> </w:t>
      </w:r>
      <w:r w:rsidRPr="00181FCD">
        <w:t>víctimas</w:t>
      </w:r>
      <w:r w:rsidR="00F373A3" w:rsidRPr="00181FCD">
        <w:t xml:space="preserve"> </w:t>
      </w:r>
      <w:r w:rsidRPr="00181FCD">
        <w:t>de</w:t>
      </w:r>
      <w:r w:rsidR="00F373A3" w:rsidRPr="00181FCD">
        <w:t xml:space="preserve"> </w:t>
      </w:r>
      <w:r w:rsidRPr="00181FCD">
        <w:t>la</w:t>
      </w:r>
      <w:r w:rsidR="00F373A3" w:rsidRPr="00181FCD">
        <w:t xml:space="preserve"> </w:t>
      </w:r>
      <w:r w:rsidRPr="00181FCD">
        <w:t>trata</w:t>
      </w:r>
      <w:r w:rsidR="00F373A3" w:rsidRPr="00181FCD">
        <w:t xml:space="preserve"> </w:t>
      </w:r>
      <w:r w:rsidRPr="00181FCD">
        <w:t>de</w:t>
      </w:r>
      <w:r w:rsidR="00F373A3" w:rsidRPr="00181FCD">
        <w:t xml:space="preserve"> </w:t>
      </w:r>
      <w:r w:rsidRPr="00181FCD">
        <w:t>seres</w:t>
      </w:r>
      <w:r w:rsidR="00F373A3" w:rsidRPr="00181FCD">
        <w:t xml:space="preserve"> </w:t>
      </w:r>
      <w:r w:rsidRPr="00181FCD">
        <w:t>humanos</w:t>
      </w:r>
      <w:r w:rsidR="00F373A3" w:rsidRPr="00181FCD">
        <w:t xml:space="preserve"> </w:t>
      </w:r>
      <w:r w:rsidRPr="00181FCD">
        <w:t>(en</w:t>
      </w:r>
      <w:r w:rsidR="00F373A3" w:rsidRPr="00181FCD">
        <w:t xml:space="preserve"> </w:t>
      </w:r>
      <w:r w:rsidRPr="00181FCD">
        <w:t>la</w:t>
      </w:r>
      <w:r w:rsidR="00F373A3" w:rsidRPr="00181FCD">
        <w:t xml:space="preserve"> </w:t>
      </w:r>
      <w:r w:rsidRPr="00181FCD">
        <w:t>que</w:t>
      </w:r>
      <w:r w:rsidR="00F373A3" w:rsidRPr="00181FCD">
        <w:t xml:space="preserve"> </w:t>
      </w:r>
      <w:r w:rsidRPr="00181FCD">
        <w:t>participan</w:t>
      </w:r>
      <w:r w:rsidR="00F373A3" w:rsidRPr="00181FCD">
        <w:t xml:space="preserve"> </w:t>
      </w:r>
      <w:r w:rsidRPr="00181FCD">
        <w:t>líderes</w:t>
      </w:r>
      <w:r w:rsidR="00F373A3" w:rsidRPr="00181FCD">
        <w:t xml:space="preserve"> </w:t>
      </w:r>
      <w:r w:rsidRPr="00181FCD">
        <w:t>romaníes</w:t>
      </w:r>
      <w:r w:rsidR="00F373A3" w:rsidRPr="00181FCD">
        <w:t xml:space="preserve"> </w:t>
      </w:r>
      <w:r w:rsidRPr="00181FCD">
        <w:t>como</w:t>
      </w:r>
      <w:r w:rsidR="00F373A3" w:rsidRPr="00181FCD">
        <w:t xml:space="preserve"> </w:t>
      </w:r>
      <w:r w:rsidRPr="00181FCD">
        <w:t>voluntarios).</w:t>
      </w:r>
    </w:p>
    <w:p w:rsidR="001937F4" w:rsidRPr="00181FCD" w:rsidRDefault="001937F4" w:rsidP="00347B20">
      <w:pPr>
        <w:pStyle w:val="SingleTxtG"/>
        <w:suppressAutoHyphens/>
      </w:pPr>
      <w:r w:rsidRPr="00181FCD">
        <w:t>69.</w:t>
      </w:r>
      <w:r w:rsidRPr="00181FCD">
        <w:tab/>
        <w:t>Con</w:t>
      </w:r>
      <w:r w:rsidR="00F373A3" w:rsidRPr="00181FCD">
        <w:t xml:space="preserve"> </w:t>
      </w:r>
      <w:r w:rsidRPr="00181FCD">
        <w:t>el</w:t>
      </w:r>
      <w:r w:rsidR="00F373A3" w:rsidRPr="00181FCD">
        <w:t xml:space="preserve"> </w:t>
      </w:r>
      <w:r w:rsidRPr="00181FCD">
        <w:t>fin</w:t>
      </w:r>
      <w:r w:rsidR="00F373A3" w:rsidRPr="00181FCD">
        <w:t xml:space="preserve"> </w:t>
      </w:r>
      <w:r w:rsidRPr="00181FCD">
        <w:t>de</w:t>
      </w:r>
      <w:r w:rsidR="00F373A3" w:rsidRPr="00181FCD">
        <w:t xml:space="preserve"> </w:t>
      </w:r>
      <w:r w:rsidRPr="00181FCD">
        <w:t>fortalecer</w:t>
      </w:r>
      <w:r w:rsidR="00F373A3" w:rsidRPr="00181FCD">
        <w:t xml:space="preserve"> </w:t>
      </w:r>
      <w:r w:rsidRPr="00181FCD">
        <w:t>el</w:t>
      </w:r>
      <w:r w:rsidR="00F373A3" w:rsidRPr="00181FCD">
        <w:t xml:space="preserve"> </w:t>
      </w:r>
      <w:r w:rsidRPr="00181FCD">
        <w:t>proceso</w:t>
      </w:r>
      <w:r w:rsidR="00F373A3" w:rsidRPr="00181FCD">
        <w:t xml:space="preserve"> </w:t>
      </w:r>
      <w:r w:rsidRPr="00181FCD">
        <w:t>de</w:t>
      </w:r>
      <w:r w:rsidR="00F373A3" w:rsidRPr="00181FCD">
        <w:t xml:space="preserve"> </w:t>
      </w:r>
      <w:r w:rsidRPr="00181FCD">
        <w:t>enjuiciamiento</w:t>
      </w:r>
      <w:r w:rsidR="00F373A3" w:rsidRPr="00181FCD">
        <w:t xml:space="preserve"> </w:t>
      </w:r>
      <w:r w:rsidRPr="00181FCD">
        <w:t>de</w:t>
      </w:r>
      <w:r w:rsidR="00F373A3" w:rsidRPr="00181FCD">
        <w:t xml:space="preserve"> </w:t>
      </w:r>
      <w:r w:rsidRPr="00181FCD">
        <w:t>los</w:t>
      </w:r>
      <w:r w:rsidR="00F373A3" w:rsidRPr="00181FCD">
        <w:t xml:space="preserve"> </w:t>
      </w:r>
      <w:r w:rsidRPr="00181FCD">
        <w:t>autores</w:t>
      </w:r>
      <w:r w:rsidR="00F373A3" w:rsidRPr="00181FCD">
        <w:t xml:space="preserve"> </w:t>
      </w:r>
      <w:r w:rsidRPr="00181FCD">
        <w:t>de</w:t>
      </w:r>
      <w:r w:rsidR="00F373A3" w:rsidRPr="00181FCD">
        <w:t xml:space="preserve"> </w:t>
      </w:r>
      <w:r w:rsidRPr="00181FCD">
        <w:t>la</w:t>
      </w:r>
      <w:r w:rsidR="00F373A3" w:rsidRPr="00181FCD">
        <w:t xml:space="preserve"> </w:t>
      </w:r>
      <w:r w:rsidRPr="00181FCD">
        <w:t>trata</w:t>
      </w:r>
      <w:r w:rsidR="00F373A3" w:rsidRPr="00181FCD">
        <w:t xml:space="preserve"> </w:t>
      </w:r>
      <w:r w:rsidRPr="00181FCD">
        <w:t>de</w:t>
      </w:r>
      <w:r w:rsidR="00F373A3" w:rsidRPr="00181FCD">
        <w:t xml:space="preserve"> </w:t>
      </w:r>
      <w:r w:rsidRPr="00181FCD">
        <w:t>mujeres</w:t>
      </w:r>
      <w:r w:rsidR="00F373A3" w:rsidRPr="00181FCD">
        <w:t xml:space="preserve"> </w:t>
      </w:r>
      <w:r w:rsidRPr="00181FCD">
        <w:t>y</w:t>
      </w:r>
      <w:r w:rsidR="00F373A3" w:rsidRPr="00181FCD">
        <w:t xml:space="preserve"> </w:t>
      </w:r>
      <w:r w:rsidRPr="00181FCD">
        <w:t>niños</w:t>
      </w:r>
      <w:r w:rsidR="00F373A3" w:rsidRPr="00181FCD">
        <w:t xml:space="preserve"> </w:t>
      </w:r>
      <w:r w:rsidRPr="00181FCD">
        <w:t>y</w:t>
      </w:r>
      <w:r w:rsidR="00F373A3" w:rsidRPr="00181FCD">
        <w:t xml:space="preserve"> </w:t>
      </w:r>
      <w:r w:rsidRPr="00181FCD">
        <w:t>asegurar</w:t>
      </w:r>
      <w:r w:rsidR="00F373A3" w:rsidRPr="00181FCD">
        <w:t xml:space="preserve"> </w:t>
      </w:r>
      <w:r w:rsidRPr="00181FCD">
        <w:t>la</w:t>
      </w:r>
      <w:r w:rsidR="00F373A3" w:rsidRPr="00181FCD">
        <w:t xml:space="preserve"> </w:t>
      </w:r>
      <w:r w:rsidRPr="00181FCD">
        <w:t>condena</w:t>
      </w:r>
      <w:r w:rsidR="00F373A3" w:rsidRPr="00181FCD">
        <w:t xml:space="preserve"> </w:t>
      </w:r>
      <w:r w:rsidRPr="00181FCD">
        <w:t>efectiva</w:t>
      </w:r>
      <w:r w:rsidR="00F373A3" w:rsidRPr="00181FCD">
        <w:t xml:space="preserve"> </w:t>
      </w:r>
      <w:r w:rsidRPr="00181FCD">
        <w:t>de</w:t>
      </w:r>
      <w:r w:rsidR="00F373A3" w:rsidRPr="00181FCD">
        <w:t xml:space="preserve"> </w:t>
      </w:r>
      <w:r w:rsidRPr="00181FCD">
        <w:t>los</w:t>
      </w:r>
      <w:r w:rsidR="00F373A3" w:rsidRPr="00181FCD">
        <w:t xml:space="preserve"> </w:t>
      </w:r>
      <w:r w:rsidRPr="00181FCD">
        <w:t>culpables</w:t>
      </w:r>
      <w:r w:rsidR="00F373A3" w:rsidRPr="00181FCD">
        <w:t xml:space="preserve"> </w:t>
      </w:r>
      <w:r w:rsidRPr="00181FCD">
        <w:t>de</w:t>
      </w:r>
      <w:r w:rsidR="00F373A3" w:rsidRPr="00181FCD">
        <w:t xml:space="preserve"> </w:t>
      </w:r>
      <w:r w:rsidRPr="00181FCD">
        <w:t>ese</w:t>
      </w:r>
      <w:r w:rsidR="00F373A3" w:rsidRPr="00181FCD">
        <w:t xml:space="preserve"> </w:t>
      </w:r>
      <w:r w:rsidRPr="00181FCD">
        <w:t>delito,</w:t>
      </w:r>
      <w:r w:rsidR="00F373A3" w:rsidRPr="00181FCD">
        <w:t xml:space="preserve"> </w:t>
      </w:r>
      <w:r w:rsidRPr="00181FCD">
        <w:t>el</w:t>
      </w:r>
      <w:r w:rsidR="00F373A3" w:rsidRPr="00181FCD">
        <w:t xml:space="preserve"> </w:t>
      </w:r>
      <w:r w:rsidRPr="00181FCD">
        <w:t>Gobierno</w:t>
      </w:r>
      <w:r w:rsidR="00F373A3" w:rsidRPr="00181FCD">
        <w:t xml:space="preserve"> </w:t>
      </w:r>
      <w:r w:rsidRPr="00181FCD">
        <w:t>de</w:t>
      </w:r>
      <w:r w:rsidR="00F373A3" w:rsidRPr="00181FCD">
        <w:t xml:space="preserve"> </w:t>
      </w:r>
      <w:r w:rsidRPr="00181FCD">
        <w:t>Bulgaria</w:t>
      </w:r>
      <w:r w:rsidR="00F373A3" w:rsidRPr="00181FCD">
        <w:t xml:space="preserve"> </w:t>
      </w:r>
      <w:r w:rsidRPr="00181FCD">
        <w:t>ha</w:t>
      </w:r>
      <w:r w:rsidR="00F373A3" w:rsidRPr="00181FCD">
        <w:t xml:space="preserve"> </w:t>
      </w:r>
      <w:r w:rsidRPr="00181FCD">
        <w:t>adoptado</w:t>
      </w:r>
      <w:r w:rsidR="00F373A3" w:rsidRPr="00181FCD">
        <w:t xml:space="preserve"> </w:t>
      </w:r>
      <w:r w:rsidRPr="00181FCD">
        <w:t>las</w:t>
      </w:r>
      <w:r w:rsidR="00F373A3" w:rsidRPr="00181FCD">
        <w:t xml:space="preserve"> </w:t>
      </w:r>
      <w:r w:rsidRPr="00181FCD">
        <w:t>siguientes</w:t>
      </w:r>
      <w:r w:rsidR="00F373A3" w:rsidRPr="00181FCD">
        <w:t xml:space="preserve"> </w:t>
      </w:r>
      <w:r w:rsidRPr="00181FCD">
        <w:t>medidas:</w:t>
      </w:r>
    </w:p>
    <w:p w:rsidR="001937F4" w:rsidRPr="00181FCD" w:rsidRDefault="001937F4" w:rsidP="00347B20">
      <w:pPr>
        <w:pStyle w:val="Bullet1G"/>
        <w:suppressAutoHyphens/>
      </w:pPr>
      <w:r w:rsidRPr="00181FCD">
        <w:t>La</w:t>
      </w:r>
      <w:r w:rsidR="00F373A3" w:rsidRPr="00181FCD">
        <w:t xml:space="preserve"> </w:t>
      </w:r>
      <w:r w:rsidRPr="00181FCD">
        <w:t>aplicación</w:t>
      </w:r>
      <w:r w:rsidR="00F373A3" w:rsidRPr="00181FCD">
        <w:t xml:space="preserve"> </w:t>
      </w:r>
      <w:r w:rsidRPr="00181FCD">
        <w:t>de</w:t>
      </w:r>
      <w:r w:rsidR="00F373A3" w:rsidRPr="00181FCD">
        <w:t xml:space="preserve"> </w:t>
      </w:r>
      <w:r w:rsidRPr="00181FCD">
        <w:t>diferentes</w:t>
      </w:r>
      <w:r w:rsidR="00F373A3" w:rsidRPr="00181FCD">
        <w:t xml:space="preserve"> </w:t>
      </w:r>
      <w:r w:rsidRPr="00181FCD">
        <w:t>métodos</w:t>
      </w:r>
      <w:r w:rsidR="00F373A3" w:rsidRPr="00181FCD">
        <w:t xml:space="preserve"> </w:t>
      </w:r>
      <w:r w:rsidRPr="00181FCD">
        <w:t>tácticos</w:t>
      </w:r>
      <w:r w:rsidR="00F373A3" w:rsidRPr="00181FCD">
        <w:t xml:space="preserve"> </w:t>
      </w:r>
      <w:r w:rsidRPr="00181FCD">
        <w:t>en</w:t>
      </w:r>
      <w:r w:rsidR="00F373A3" w:rsidRPr="00181FCD">
        <w:t xml:space="preserve"> </w:t>
      </w:r>
      <w:r w:rsidRPr="00181FCD">
        <w:t>la</w:t>
      </w:r>
      <w:r w:rsidR="00F373A3" w:rsidRPr="00181FCD">
        <w:t xml:space="preserve"> </w:t>
      </w:r>
      <w:r w:rsidRPr="00181FCD">
        <w:t>investigación,</w:t>
      </w:r>
      <w:r w:rsidR="00F373A3" w:rsidRPr="00181FCD">
        <w:t xml:space="preserve"> </w:t>
      </w:r>
      <w:r w:rsidRPr="00181FCD">
        <w:t>según</w:t>
      </w:r>
      <w:r w:rsidR="00F373A3" w:rsidRPr="00181FCD">
        <w:t xml:space="preserve"> </w:t>
      </w:r>
      <w:r w:rsidRPr="00181FCD">
        <w:t>el</w:t>
      </w:r>
      <w:r w:rsidR="00F373A3" w:rsidRPr="00181FCD">
        <w:t xml:space="preserve"> </w:t>
      </w:r>
      <w:r w:rsidRPr="00181FCD">
        <w:t>caso</w:t>
      </w:r>
      <w:r w:rsidR="00F373A3" w:rsidRPr="00181FCD">
        <w:t xml:space="preserve"> </w:t>
      </w:r>
      <w:r w:rsidRPr="00181FCD">
        <w:t>específico:</w:t>
      </w:r>
      <w:r w:rsidR="00F373A3" w:rsidRPr="00181FCD">
        <w:t xml:space="preserve"> </w:t>
      </w:r>
      <w:r w:rsidRPr="00181FCD">
        <w:t>reactivo</w:t>
      </w:r>
      <w:r w:rsidR="00F373A3" w:rsidRPr="00181FCD">
        <w:t xml:space="preserve"> </w:t>
      </w:r>
      <w:r w:rsidRPr="00181FCD">
        <w:t>(provocado</w:t>
      </w:r>
      <w:r w:rsidR="00F373A3" w:rsidRPr="00181FCD">
        <w:t xml:space="preserve"> </w:t>
      </w:r>
      <w:r w:rsidRPr="00181FCD">
        <w:t>por</w:t>
      </w:r>
      <w:r w:rsidR="00F373A3" w:rsidRPr="00181FCD">
        <w:t xml:space="preserve"> </w:t>
      </w:r>
      <w:r w:rsidRPr="00181FCD">
        <w:t>la</w:t>
      </w:r>
      <w:r w:rsidR="00F373A3" w:rsidRPr="00181FCD">
        <w:t xml:space="preserve"> </w:t>
      </w:r>
      <w:r w:rsidRPr="00181FCD">
        <w:t>víctima),</w:t>
      </w:r>
      <w:r w:rsidR="00F373A3" w:rsidRPr="00181FCD">
        <w:t xml:space="preserve"> </w:t>
      </w:r>
      <w:r w:rsidRPr="00181FCD">
        <w:t>proactivo</w:t>
      </w:r>
      <w:r w:rsidR="00F373A3" w:rsidRPr="00181FCD">
        <w:t xml:space="preserve"> </w:t>
      </w:r>
      <w:r w:rsidRPr="00181FCD">
        <w:t>(que</w:t>
      </w:r>
      <w:r w:rsidR="00F373A3" w:rsidRPr="00181FCD">
        <w:t xml:space="preserve"> </w:t>
      </w:r>
      <w:r w:rsidRPr="00181FCD">
        <w:t>hace</w:t>
      </w:r>
      <w:r w:rsidR="00F373A3" w:rsidRPr="00181FCD">
        <w:t xml:space="preserve"> </w:t>
      </w:r>
      <w:r w:rsidRPr="00181FCD">
        <w:t>aparecer</w:t>
      </w:r>
      <w:r w:rsidR="00F373A3" w:rsidRPr="00181FCD">
        <w:t xml:space="preserve"> </w:t>
      </w:r>
      <w:r w:rsidRPr="00181FCD">
        <w:t>el</w:t>
      </w:r>
      <w:r w:rsidR="00F373A3" w:rsidRPr="00181FCD">
        <w:t xml:space="preserve"> </w:t>
      </w:r>
      <w:r w:rsidRPr="00181FCD">
        <w:t>fenómeno</w:t>
      </w:r>
      <w:r w:rsidR="00F373A3" w:rsidRPr="00181FCD">
        <w:t xml:space="preserve"> </w:t>
      </w:r>
      <w:r w:rsidRPr="00181FCD">
        <w:t>en</w:t>
      </w:r>
      <w:r w:rsidR="00F373A3" w:rsidRPr="00181FCD">
        <w:t xml:space="preserve"> </w:t>
      </w:r>
      <w:r w:rsidRPr="00181FCD">
        <w:t>el</w:t>
      </w:r>
      <w:r w:rsidR="00F373A3" w:rsidRPr="00181FCD">
        <w:t xml:space="preserve"> </w:t>
      </w:r>
      <w:r w:rsidRPr="00181FCD">
        <w:t>proceso</w:t>
      </w:r>
      <w:r w:rsidR="00F373A3" w:rsidRPr="00181FCD">
        <w:t xml:space="preserve"> </w:t>
      </w:r>
      <w:r w:rsidRPr="00181FCD">
        <w:t>de</w:t>
      </w:r>
      <w:r w:rsidR="00F373A3" w:rsidRPr="00181FCD">
        <w:t xml:space="preserve"> </w:t>
      </w:r>
      <w:r w:rsidRPr="00181FCD">
        <w:t>recopilación</w:t>
      </w:r>
      <w:r w:rsidR="00F373A3" w:rsidRPr="00181FCD">
        <w:t xml:space="preserve"> </w:t>
      </w:r>
      <w:r w:rsidRPr="00181FCD">
        <w:t>de</w:t>
      </w:r>
      <w:r w:rsidR="00F373A3" w:rsidRPr="00181FCD">
        <w:t xml:space="preserve"> </w:t>
      </w:r>
      <w:r w:rsidRPr="00181FCD">
        <w:t>datos</w:t>
      </w:r>
      <w:r w:rsidR="00F373A3" w:rsidRPr="00181FCD">
        <w:t xml:space="preserve"> </w:t>
      </w:r>
      <w:r w:rsidRPr="00181FCD">
        <w:t>operativos</w:t>
      </w:r>
      <w:r w:rsidR="00F373A3" w:rsidRPr="00181FCD">
        <w:t xml:space="preserve"> </w:t>
      </w:r>
      <w:r w:rsidRPr="00181FCD">
        <w:t>iniciado</w:t>
      </w:r>
      <w:r w:rsidR="00F373A3" w:rsidRPr="00181FCD">
        <w:t xml:space="preserve"> </w:t>
      </w:r>
      <w:r w:rsidRPr="00181FCD">
        <w:t>por</w:t>
      </w:r>
      <w:r w:rsidR="00F373A3" w:rsidRPr="00181FCD">
        <w:t xml:space="preserve"> </w:t>
      </w:r>
      <w:r w:rsidRPr="00181FCD">
        <w:t>la</w:t>
      </w:r>
      <w:r w:rsidR="00F373A3" w:rsidRPr="00181FCD">
        <w:t xml:space="preserve"> </w:t>
      </w:r>
      <w:r w:rsidRPr="00181FCD">
        <w:t>policía),</w:t>
      </w:r>
      <w:r w:rsidR="00F373A3" w:rsidRPr="00181FCD">
        <w:t xml:space="preserve"> </w:t>
      </w:r>
      <w:r w:rsidRPr="00181FCD">
        <w:t>y</w:t>
      </w:r>
      <w:r w:rsidR="00F373A3" w:rsidRPr="00181FCD">
        <w:t xml:space="preserve"> </w:t>
      </w:r>
      <w:r w:rsidRPr="00181FCD">
        <w:t>de</w:t>
      </w:r>
      <w:r w:rsidR="00F373A3" w:rsidRPr="00181FCD">
        <w:t xml:space="preserve"> </w:t>
      </w:r>
      <w:r w:rsidRPr="00181FCD">
        <w:t>avanzada</w:t>
      </w:r>
      <w:r w:rsidR="00F373A3" w:rsidRPr="00181FCD">
        <w:t xml:space="preserve"> </w:t>
      </w:r>
      <w:r w:rsidRPr="00181FCD">
        <w:t>(a</w:t>
      </w:r>
      <w:r w:rsidR="00F373A3" w:rsidRPr="00181FCD">
        <w:t xml:space="preserve"> </w:t>
      </w:r>
      <w:r w:rsidRPr="00181FCD">
        <w:t>raíz</w:t>
      </w:r>
      <w:r w:rsidR="00F373A3" w:rsidRPr="00181FCD">
        <w:t xml:space="preserve"> </w:t>
      </w:r>
      <w:r w:rsidRPr="00181FCD">
        <w:t>de</w:t>
      </w:r>
      <w:r w:rsidR="00F373A3" w:rsidRPr="00181FCD">
        <w:t xml:space="preserve"> </w:t>
      </w:r>
      <w:r w:rsidRPr="00181FCD">
        <w:t>una</w:t>
      </w:r>
      <w:r w:rsidR="00F373A3" w:rsidRPr="00181FCD">
        <w:t xml:space="preserve"> </w:t>
      </w:r>
      <w:r w:rsidRPr="00181FCD">
        <w:t>investigación</w:t>
      </w:r>
      <w:r w:rsidR="00F373A3" w:rsidRPr="00181FCD">
        <w:t xml:space="preserve"> </w:t>
      </w:r>
      <w:r w:rsidRPr="00181FCD">
        <w:t>entre</w:t>
      </w:r>
      <w:r w:rsidR="00F373A3" w:rsidRPr="00181FCD">
        <w:t xml:space="preserve"> </w:t>
      </w:r>
      <w:r w:rsidRPr="00181FCD">
        <w:t>organismos).</w:t>
      </w:r>
    </w:p>
    <w:p w:rsidR="001937F4" w:rsidRPr="00181FCD" w:rsidRDefault="001937F4" w:rsidP="00347B20">
      <w:pPr>
        <w:pStyle w:val="Bullet1G"/>
        <w:suppressAutoHyphens/>
      </w:pPr>
      <w:r w:rsidRPr="00181FCD">
        <w:t>La</w:t>
      </w:r>
      <w:r w:rsidR="00F373A3" w:rsidRPr="00181FCD">
        <w:t xml:space="preserve"> </w:t>
      </w:r>
      <w:r w:rsidRPr="00181FCD">
        <w:t>realización</w:t>
      </w:r>
      <w:r w:rsidR="00F373A3" w:rsidRPr="00181FCD">
        <w:t xml:space="preserve"> </w:t>
      </w:r>
      <w:r w:rsidRPr="00181FCD">
        <w:t>de</w:t>
      </w:r>
      <w:r w:rsidR="00F373A3" w:rsidRPr="00181FCD">
        <w:t xml:space="preserve"> </w:t>
      </w:r>
      <w:r w:rsidRPr="00181FCD">
        <w:t>la</w:t>
      </w:r>
      <w:r w:rsidR="00F373A3" w:rsidRPr="00181FCD">
        <w:t xml:space="preserve"> </w:t>
      </w:r>
      <w:r w:rsidRPr="00181FCD">
        <w:t>investigación</w:t>
      </w:r>
      <w:r w:rsidR="00F373A3" w:rsidRPr="00181FCD">
        <w:t xml:space="preserve"> </w:t>
      </w:r>
      <w:r w:rsidRPr="00181FCD">
        <w:t>financiera</w:t>
      </w:r>
      <w:r w:rsidR="00F373A3" w:rsidRPr="00181FCD">
        <w:t xml:space="preserve"> </w:t>
      </w:r>
      <w:r w:rsidRPr="00181FCD">
        <w:t>en</w:t>
      </w:r>
      <w:r w:rsidR="00F373A3" w:rsidRPr="00181FCD">
        <w:t xml:space="preserve"> </w:t>
      </w:r>
      <w:r w:rsidRPr="00181FCD">
        <w:t>paralelo</w:t>
      </w:r>
      <w:r w:rsidR="00F373A3" w:rsidRPr="00181FCD">
        <w:t xml:space="preserve"> </w:t>
      </w:r>
      <w:r w:rsidRPr="00181FCD">
        <w:t>con</w:t>
      </w:r>
      <w:r w:rsidR="00F373A3" w:rsidRPr="00181FCD">
        <w:t xml:space="preserve"> </w:t>
      </w:r>
      <w:r w:rsidRPr="00181FCD">
        <w:t>el</w:t>
      </w:r>
      <w:r w:rsidR="00F373A3" w:rsidRPr="00181FCD">
        <w:t xml:space="preserve"> </w:t>
      </w:r>
      <w:r w:rsidRPr="00181FCD">
        <w:t>fin</w:t>
      </w:r>
      <w:r w:rsidR="00F373A3" w:rsidRPr="00181FCD">
        <w:t xml:space="preserve"> </w:t>
      </w:r>
      <w:r w:rsidRPr="00181FCD">
        <w:t>de</w:t>
      </w:r>
      <w:r w:rsidR="00F373A3" w:rsidRPr="00181FCD">
        <w:t xml:space="preserve"> </w:t>
      </w:r>
      <w:r w:rsidRPr="00181FCD">
        <w:t>identificar,</w:t>
      </w:r>
      <w:r w:rsidR="00F373A3" w:rsidRPr="00181FCD">
        <w:t xml:space="preserve"> </w:t>
      </w:r>
      <w:r w:rsidRPr="00181FCD">
        <w:t>congelar</w:t>
      </w:r>
      <w:r w:rsidR="00F373A3" w:rsidRPr="00181FCD">
        <w:t xml:space="preserve"> </w:t>
      </w:r>
      <w:r w:rsidRPr="00181FCD">
        <w:t>y</w:t>
      </w:r>
      <w:r w:rsidR="00F373A3" w:rsidRPr="00181FCD">
        <w:t xml:space="preserve"> </w:t>
      </w:r>
      <w:r w:rsidRPr="00181FCD">
        <w:t>ulteriormente</w:t>
      </w:r>
      <w:r w:rsidR="00F373A3" w:rsidRPr="00181FCD">
        <w:t xml:space="preserve"> </w:t>
      </w:r>
      <w:r w:rsidRPr="00181FCD">
        <w:t>confiscar</w:t>
      </w:r>
      <w:r w:rsidR="00F373A3" w:rsidRPr="00181FCD">
        <w:t xml:space="preserve"> </w:t>
      </w:r>
      <w:r w:rsidRPr="00181FCD">
        <w:t>los</w:t>
      </w:r>
      <w:r w:rsidR="00F373A3" w:rsidRPr="00181FCD">
        <w:t xml:space="preserve"> </w:t>
      </w:r>
      <w:r w:rsidRPr="00181FCD">
        <w:t>activos</w:t>
      </w:r>
      <w:r w:rsidR="00F373A3" w:rsidRPr="00181FCD">
        <w:t xml:space="preserve"> </w:t>
      </w:r>
      <w:r w:rsidRPr="00181FCD">
        <w:t>adquiridos</w:t>
      </w:r>
      <w:r w:rsidR="00F373A3" w:rsidRPr="00181FCD">
        <w:t xml:space="preserve"> </w:t>
      </w:r>
      <w:r w:rsidRPr="00181FCD">
        <w:t>a</w:t>
      </w:r>
      <w:r w:rsidR="00F373A3" w:rsidRPr="00181FCD">
        <w:t xml:space="preserve"> </w:t>
      </w:r>
      <w:r w:rsidRPr="00181FCD">
        <w:t>raíz</w:t>
      </w:r>
      <w:r w:rsidR="00F373A3" w:rsidRPr="00181FCD">
        <w:t xml:space="preserve"> </w:t>
      </w:r>
      <w:r w:rsidRPr="00181FCD">
        <w:t>de</w:t>
      </w:r>
      <w:r w:rsidR="00F373A3" w:rsidRPr="00181FCD">
        <w:t xml:space="preserve"> </w:t>
      </w:r>
      <w:r w:rsidRPr="00181FCD">
        <w:t>la</w:t>
      </w:r>
      <w:r w:rsidR="00F373A3" w:rsidRPr="00181FCD">
        <w:t xml:space="preserve"> </w:t>
      </w:r>
      <w:r w:rsidRPr="00181FCD">
        <w:t>trata</w:t>
      </w:r>
      <w:r w:rsidR="00F373A3" w:rsidRPr="00181FCD">
        <w:t xml:space="preserve"> </w:t>
      </w:r>
      <w:r w:rsidRPr="00181FCD">
        <w:t>de</w:t>
      </w:r>
      <w:r w:rsidR="00F373A3" w:rsidRPr="00181FCD">
        <w:t xml:space="preserve"> </w:t>
      </w:r>
      <w:r w:rsidRPr="00181FCD">
        <w:t>personas.</w:t>
      </w:r>
    </w:p>
    <w:p w:rsidR="001937F4" w:rsidRPr="00181FCD" w:rsidRDefault="001937F4" w:rsidP="00347B20">
      <w:pPr>
        <w:pStyle w:val="Bullet1G"/>
        <w:suppressAutoHyphens/>
      </w:pPr>
      <w:r w:rsidRPr="00181FCD">
        <w:t>Una</w:t>
      </w:r>
      <w:r w:rsidR="00F373A3" w:rsidRPr="00181FCD">
        <w:t xml:space="preserve"> </w:t>
      </w:r>
      <w:r w:rsidRPr="00181FCD">
        <w:t>mejor</w:t>
      </w:r>
      <w:r w:rsidR="00F373A3" w:rsidRPr="00181FCD">
        <w:t xml:space="preserve"> </w:t>
      </w:r>
      <w:r w:rsidRPr="00181FCD">
        <w:t>interacción</w:t>
      </w:r>
      <w:r w:rsidR="00F373A3" w:rsidRPr="00181FCD">
        <w:t xml:space="preserve"> </w:t>
      </w:r>
      <w:r w:rsidRPr="00181FCD">
        <w:t>con</w:t>
      </w:r>
      <w:r w:rsidR="00F373A3" w:rsidRPr="00181FCD">
        <w:t xml:space="preserve"> </w:t>
      </w:r>
      <w:r w:rsidRPr="00181FCD">
        <w:t>las</w:t>
      </w:r>
      <w:r w:rsidR="00F373A3" w:rsidRPr="00181FCD">
        <w:t xml:space="preserve"> </w:t>
      </w:r>
      <w:r w:rsidRPr="00181FCD">
        <w:t>autoridades</w:t>
      </w:r>
      <w:r w:rsidR="00F373A3" w:rsidRPr="00181FCD">
        <w:t xml:space="preserve"> </w:t>
      </w:r>
      <w:r w:rsidRPr="00181FCD">
        <w:t>respectivas</w:t>
      </w:r>
      <w:r w:rsidR="00F373A3" w:rsidRPr="00181FCD">
        <w:t xml:space="preserve"> </w:t>
      </w:r>
      <w:r w:rsidRPr="00181FCD">
        <w:t>de</w:t>
      </w:r>
      <w:r w:rsidR="00F373A3" w:rsidRPr="00181FCD">
        <w:t xml:space="preserve"> </w:t>
      </w:r>
      <w:r w:rsidRPr="00181FCD">
        <w:t>otros</w:t>
      </w:r>
      <w:r w:rsidR="00F373A3" w:rsidRPr="00181FCD">
        <w:t xml:space="preserve"> </w:t>
      </w:r>
      <w:r w:rsidRPr="00181FCD">
        <w:t>Estados</w:t>
      </w:r>
      <w:r w:rsidR="00F373A3" w:rsidRPr="00181FCD">
        <w:t xml:space="preserve"> </w:t>
      </w:r>
      <w:r w:rsidRPr="00181FCD">
        <w:t>en</w:t>
      </w:r>
      <w:r w:rsidR="00F373A3" w:rsidRPr="00181FCD">
        <w:t xml:space="preserve"> </w:t>
      </w:r>
      <w:r w:rsidRPr="00181FCD">
        <w:t>la</w:t>
      </w:r>
      <w:r w:rsidR="00F373A3" w:rsidRPr="00181FCD">
        <w:t xml:space="preserve"> </w:t>
      </w:r>
      <w:r w:rsidRPr="00181FCD">
        <w:t>investigación</w:t>
      </w:r>
      <w:r w:rsidR="00F373A3" w:rsidRPr="00181FCD">
        <w:t xml:space="preserve"> </w:t>
      </w:r>
      <w:r w:rsidRPr="00181FCD">
        <w:t>de</w:t>
      </w:r>
      <w:r w:rsidR="00F373A3" w:rsidRPr="00181FCD">
        <w:t xml:space="preserve"> </w:t>
      </w:r>
      <w:r w:rsidRPr="00181FCD">
        <w:t>formas</w:t>
      </w:r>
      <w:r w:rsidR="00F373A3" w:rsidRPr="00181FCD">
        <w:t xml:space="preserve"> </w:t>
      </w:r>
      <w:r w:rsidRPr="00181FCD">
        <w:t>transnacionales</w:t>
      </w:r>
      <w:r w:rsidR="00F373A3" w:rsidRPr="00181FCD">
        <w:t xml:space="preserve"> </w:t>
      </w:r>
      <w:r w:rsidRPr="00181FCD">
        <w:t>de</w:t>
      </w:r>
      <w:r w:rsidR="00F373A3" w:rsidRPr="00181FCD">
        <w:t xml:space="preserve"> </w:t>
      </w:r>
      <w:r w:rsidRPr="00181FCD">
        <w:t>trata</w:t>
      </w:r>
      <w:r w:rsidR="00F373A3" w:rsidRPr="00181FCD">
        <w:t xml:space="preserve"> </w:t>
      </w:r>
      <w:r w:rsidRPr="00181FCD">
        <w:t>(trata</w:t>
      </w:r>
      <w:r w:rsidR="00F373A3" w:rsidRPr="00181FCD">
        <w:t xml:space="preserve"> </w:t>
      </w:r>
      <w:r w:rsidRPr="00181FCD">
        <w:t>externa)</w:t>
      </w:r>
      <w:r w:rsidR="00F373A3" w:rsidRPr="00181FCD">
        <w:t xml:space="preserve"> </w:t>
      </w:r>
      <w:r w:rsidRPr="00181FCD">
        <w:t>a</w:t>
      </w:r>
      <w:r w:rsidR="00F373A3" w:rsidRPr="00181FCD">
        <w:t xml:space="preserve"> </w:t>
      </w:r>
      <w:r w:rsidRPr="00181FCD">
        <w:t>través</w:t>
      </w:r>
      <w:r w:rsidR="00F373A3" w:rsidRPr="00181FCD">
        <w:t xml:space="preserve"> </w:t>
      </w:r>
      <w:r w:rsidRPr="00181FCD">
        <w:t>del</w:t>
      </w:r>
      <w:r w:rsidR="00F373A3" w:rsidRPr="00181FCD">
        <w:t xml:space="preserve"> </w:t>
      </w:r>
      <w:r w:rsidRPr="00181FCD">
        <w:t>uso</w:t>
      </w:r>
      <w:r w:rsidR="00F373A3" w:rsidRPr="00181FCD">
        <w:t xml:space="preserve"> </w:t>
      </w:r>
      <w:r w:rsidRPr="00181FCD">
        <w:t>de</w:t>
      </w:r>
      <w:r w:rsidR="00F373A3" w:rsidRPr="00181FCD">
        <w:t xml:space="preserve"> </w:t>
      </w:r>
      <w:r w:rsidRPr="00181FCD">
        <w:t>los</w:t>
      </w:r>
      <w:r w:rsidR="00F373A3" w:rsidRPr="00181FCD">
        <w:t xml:space="preserve"> </w:t>
      </w:r>
      <w:r w:rsidRPr="00181FCD">
        <w:t>instrumentos</w:t>
      </w:r>
      <w:r w:rsidR="00F373A3" w:rsidRPr="00181FCD">
        <w:t xml:space="preserve"> </w:t>
      </w:r>
      <w:r w:rsidRPr="00181FCD">
        <w:t>internacionales</w:t>
      </w:r>
      <w:r w:rsidR="00F373A3" w:rsidRPr="00181FCD">
        <w:t xml:space="preserve"> </w:t>
      </w:r>
      <w:r w:rsidRPr="00181FCD">
        <w:t>de</w:t>
      </w:r>
      <w:r w:rsidR="00F373A3" w:rsidRPr="00181FCD">
        <w:t xml:space="preserve"> </w:t>
      </w:r>
      <w:r w:rsidRPr="00181FCD">
        <w:t>asistencia</w:t>
      </w:r>
      <w:r w:rsidR="00F373A3" w:rsidRPr="00181FCD">
        <w:t xml:space="preserve"> </w:t>
      </w:r>
      <w:r w:rsidRPr="00181FCD">
        <w:t>judicial</w:t>
      </w:r>
      <w:r w:rsidR="00F373A3" w:rsidRPr="00181FCD">
        <w:t xml:space="preserve"> </w:t>
      </w:r>
      <w:r w:rsidRPr="00181FCD">
        <w:t>mutua:</w:t>
      </w:r>
      <w:r w:rsidR="00F373A3" w:rsidRPr="00181FCD">
        <w:t xml:space="preserve"> </w:t>
      </w:r>
      <w:r w:rsidRPr="00181FCD">
        <w:t>intercambio</w:t>
      </w:r>
      <w:r w:rsidR="00F373A3" w:rsidRPr="00181FCD">
        <w:t xml:space="preserve"> </w:t>
      </w:r>
      <w:r w:rsidRPr="00181FCD">
        <w:t>de</w:t>
      </w:r>
      <w:r w:rsidR="00F373A3" w:rsidRPr="00181FCD">
        <w:t xml:space="preserve"> </w:t>
      </w:r>
      <w:r w:rsidRPr="00181FCD">
        <w:t>información,</w:t>
      </w:r>
      <w:r w:rsidR="00F373A3" w:rsidRPr="00181FCD">
        <w:t xml:space="preserve"> </w:t>
      </w:r>
      <w:r w:rsidRPr="00181FCD">
        <w:t>equipos</w:t>
      </w:r>
      <w:r w:rsidR="00F373A3" w:rsidRPr="00181FCD">
        <w:t xml:space="preserve"> </w:t>
      </w:r>
      <w:r w:rsidRPr="00181FCD">
        <w:t>conjuntos</w:t>
      </w:r>
      <w:r w:rsidR="00F373A3" w:rsidRPr="00181FCD">
        <w:t xml:space="preserve"> </w:t>
      </w:r>
      <w:r w:rsidRPr="00181FCD">
        <w:t>de</w:t>
      </w:r>
      <w:r w:rsidR="00F373A3" w:rsidRPr="00181FCD">
        <w:t xml:space="preserve"> </w:t>
      </w:r>
      <w:r w:rsidRPr="00181FCD">
        <w:t>investigación,</w:t>
      </w:r>
      <w:r w:rsidR="00F373A3" w:rsidRPr="00181FCD">
        <w:t xml:space="preserve"> </w:t>
      </w:r>
      <w:r w:rsidRPr="00181FCD">
        <w:t>técnicas</w:t>
      </w:r>
      <w:r w:rsidR="00F373A3" w:rsidRPr="00181FCD">
        <w:t xml:space="preserve"> </w:t>
      </w:r>
      <w:r w:rsidRPr="00181FCD">
        <w:t>para</w:t>
      </w:r>
      <w:r w:rsidR="00F373A3" w:rsidRPr="00181FCD">
        <w:t xml:space="preserve"> </w:t>
      </w:r>
      <w:r w:rsidRPr="00181FCD">
        <w:t>la</w:t>
      </w:r>
      <w:r w:rsidR="00F373A3" w:rsidRPr="00181FCD">
        <w:t xml:space="preserve"> </w:t>
      </w:r>
      <w:r w:rsidRPr="00181FCD">
        <w:t>recopilación</w:t>
      </w:r>
      <w:r w:rsidR="00F373A3" w:rsidRPr="00181FCD">
        <w:t xml:space="preserve"> </w:t>
      </w:r>
      <w:r w:rsidRPr="00181FCD">
        <w:t>y</w:t>
      </w:r>
      <w:r w:rsidR="00F373A3" w:rsidRPr="00181FCD">
        <w:t xml:space="preserve"> </w:t>
      </w:r>
      <w:r w:rsidRPr="00181FCD">
        <w:t>obtención</w:t>
      </w:r>
      <w:r w:rsidR="00F373A3" w:rsidRPr="00181FCD">
        <w:t xml:space="preserve"> </w:t>
      </w:r>
      <w:r w:rsidRPr="00181FCD">
        <w:t>de</w:t>
      </w:r>
      <w:r w:rsidR="00F373A3" w:rsidRPr="00181FCD">
        <w:t xml:space="preserve"> </w:t>
      </w:r>
      <w:r w:rsidRPr="00181FCD">
        <w:t>pruebas,</w:t>
      </w:r>
      <w:r w:rsidR="00F373A3" w:rsidRPr="00181FCD">
        <w:t xml:space="preserve"> </w:t>
      </w:r>
      <w:r w:rsidRPr="00181FCD">
        <w:t>agentes</w:t>
      </w:r>
      <w:r w:rsidR="00F373A3" w:rsidRPr="00181FCD">
        <w:t xml:space="preserve"> </w:t>
      </w:r>
      <w:r w:rsidRPr="00181FCD">
        <w:t>encubiertos,</w:t>
      </w:r>
      <w:r w:rsidR="00F373A3" w:rsidRPr="00181FCD">
        <w:t xml:space="preserve"> </w:t>
      </w:r>
      <w:r w:rsidRPr="00181FCD">
        <w:t>remisión</w:t>
      </w:r>
      <w:r w:rsidR="00F373A3" w:rsidRPr="00181FCD">
        <w:t xml:space="preserve"> </w:t>
      </w:r>
      <w:r w:rsidRPr="00181FCD">
        <w:t>de</w:t>
      </w:r>
      <w:r w:rsidR="00F373A3" w:rsidRPr="00181FCD">
        <w:t xml:space="preserve"> </w:t>
      </w:r>
      <w:r w:rsidRPr="00181FCD">
        <w:t>actuaciones</w:t>
      </w:r>
      <w:r w:rsidR="00F373A3" w:rsidRPr="00181FCD">
        <w:t xml:space="preserve"> </w:t>
      </w:r>
      <w:r w:rsidRPr="00181FCD">
        <w:t>penales,</w:t>
      </w:r>
      <w:r w:rsidR="00F373A3" w:rsidRPr="00181FCD">
        <w:t xml:space="preserve"> </w:t>
      </w:r>
      <w:r w:rsidRPr="00181FCD">
        <w:t>solicitud</w:t>
      </w:r>
      <w:r w:rsidR="00F373A3" w:rsidRPr="00181FCD">
        <w:t xml:space="preserve"> </w:t>
      </w:r>
      <w:r w:rsidRPr="00181FCD">
        <w:t>de</w:t>
      </w:r>
      <w:r w:rsidR="00F373A3" w:rsidRPr="00181FCD">
        <w:t xml:space="preserve"> </w:t>
      </w:r>
      <w:r w:rsidRPr="00181FCD">
        <w:t>extradición</w:t>
      </w:r>
      <w:r w:rsidR="00F373A3" w:rsidRPr="00181FCD">
        <w:t xml:space="preserve"> </w:t>
      </w:r>
      <w:r w:rsidRPr="00181FCD">
        <w:t>y</w:t>
      </w:r>
      <w:r w:rsidR="00F373A3" w:rsidRPr="00181FCD">
        <w:t xml:space="preserve"> </w:t>
      </w:r>
      <w:r w:rsidRPr="00181FCD">
        <w:t>orden</w:t>
      </w:r>
      <w:r w:rsidR="00F373A3" w:rsidRPr="00181FCD">
        <w:t xml:space="preserve"> </w:t>
      </w:r>
      <w:r w:rsidRPr="00181FCD">
        <w:t>de</w:t>
      </w:r>
      <w:r w:rsidR="00F373A3" w:rsidRPr="00181FCD">
        <w:t xml:space="preserve"> </w:t>
      </w:r>
      <w:r w:rsidRPr="00181FCD">
        <w:t>detención</w:t>
      </w:r>
      <w:r w:rsidR="00F373A3" w:rsidRPr="00181FCD">
        <w:t xml:space="preserve"> </w:t>
      </w:r>
      <w:r w:rsidRPr="00181FCD">
        <w:t>europea.</w:t>
      </w:r>
    </w:p>
    <w:p w:rsidR="001937F4" w:rsidRPr="00181FCD" w:rsidRDefault="001937F4" w:rsidP="00347B20">
      <w:pPr>
        <w:pStyle w:val="Bullet1G"/>
        <w:suppressAutoHyphens/>
      </w:pPr>
      <w:r w:rsidRPr="00181FCD">
        <w:t>La</w:t>
      </w:r>
      <w:r w:rsidR="00F373A3" w:rsidRPr="00181FCD">
        <w:t xml:space="preserve"> </w:t>
      </w:r>
      <w:r w:rsidRPr="00181FCD">
        <w:t>mejora</w:t>
      </w:r>
      <w:r w:rsidR="00F373A3" w:rsidRPr="00181FCD">
        <w:t xml:space="preserve"> </w:t>
      </w:r>
      <w:r w:rsidRPr="00181FCD">
        <w:t>de</w:t>
      </w:r>
      <w:r w:rsidR="00F373A3" w:rsidRPr="00181FCD">
        <w:t xml:space="preserve"> </w:t>
      </w:r>
      <w:r w:rsidRPr="00181FCD">
        <w:t>la</w:t>
      </w:r>
      <w:r w:rsidR="00F373A3" w:rsidRPr="00181FCD">
        <w:t xml:space="preserve"> </w:t>
      </w:r>
      <w:r w:rsidRPr="00181FCD">
        <w:t>capacidad</w:t>
      </w:r>
      <w:r w:rsidR="00F373A3" w:rsidRPr="00181FCD">
        <w:t xml:space="preserve"> </w:t>
      </w:r>
      <w:r w:rsidRPr="00181FCD">
        <w:t>de</w:t>
      </w:r>
      <w:r w:rsidR="00F373A3" w:rsidRPr="00181FCD">
        <w:t xml:space="preserve"> </w:t>
      </w:r>
      <w:r w:rsidRPr="00181FCD">
        <w:t>las</w:t>
      </w:r>
      <w:r w:rsidR="00F373A3" w:rsidRPr="00181FCD">
        <w:t xml:space="preserve"> </w:t>
      </w:r>
      <w:r w:rsidRPr="00181FCD">
        <w:t>autoridades</w:t>
      </w:r>
      <w:r w:rsidR="00F373A3" w:rsidRPr="00181FCD">
        <w:t xml:space="preserve"> </w:t>
      </w:r>
      <w:r w:rsidRPr="00181FCD">
        <w:t>policiales</w:t>
      </w:r>
      <w:r w:rsidR="00F373A3" w:rsidRPr="00181FCD">
        <w:t xml:space="preserve"> </w:t>
      </w:r>
      <w:r w:rsidRPr="00181FCD">
        <w:t>y</w:t>
      </w:r>
      <w:r w:rsidR="00F373A3" w:rsidRPr="00181FCD">
        <w:t xml:space="preserve"> </w:t>
      </w:r>
      <w:r w:rsidRPr="00181FCD">
        <w:t>judiciales</w:t>
      </w:r>
      <w:r w:rsidR="00F373A3" w:rsidRPr="00181FCD">
        <w:t xml:space="preserve"> </w:t>
      </w:r>
      <w:r w:rsidRPr="00181FCD">
        <w:t>para</w:t>
      </w:r>
      <w:r w:rsidR="00F373A3" w:rsidRPr="00181FCD">
        <w:t xml:space="preserve"> </w:t>
      </w:r>
      <w:r w:rsidRPr="00181FCD">
        <w:t>trabajar</w:t>
      </w:r>
      <w:r w:rsidR="00F373A3" w:rsidRPr="00181FCD">
        <w:t xml:space="preserve"> </w:t>
      </w:r>
      <w:r w:rsidRPr="00181FCD">
        <w:t>con</w:t>
      </w:r>
      <w:r w:rsidR="00F373A3" w:rsidRPr="00181FCD">
        <w:t xml:space="preserve"> </w:t>
      </w:r>
      <w:r w:rsidRPr="00181FCD">
        <w:t>mujeres</w:t>
      </w:r>
      <w:r w:rsidR="00F373A3" w:rsidRPr="00181FCD">
        <w:t xml:space="preserve"> </w:t>
      </w:r>
      <w:r w:rsidRPr="00181FCD">
        <w:t>y</w:t>
      </w:r>
      <w:r w:rsidR="00F373A3" w:rsidRPr="00181FCD">
        <w:t xml:space="preserve"> </w:t>
      </w:r>
      <w:r w:rsidRPr="00181FCD">
        <w:t>niños</w:t>
      </w:r>
      <w:r w:rsidR="00F373A3" w:rsidRPr="00181FCD">
        <w:t xml:space="preserve"> </w:t>
      </w:r>
      <w:r w:rsidRPr="00181FCD">
        <w:t>víctimas</w:t>
      </w:r>
      <w:r w:rsidR="00F373A3" w:rsidRPr="00181FCD">
        <w:t xml:space="preserve"> </w:t>
      </w:r>
      <w:r w:rsidRPr="00181FCD">
        <w:t>de</w:t>
      </w:r>
      <w:r w:rsidR="00F373A3" w:rsidRPr="00181FCD">
        <w:t xml:space="preserve"> </w:t>
      </w:r>
      <w:r w:rsidRPr="00181FCD">
        <w:t>la</w:t>
      </w:r>
      <w:r w:rsidR="00F373A3" w:rsidRPr="00181FCD">
        <w:t xml:space="preserve"> </w:t>
      </w:r>
      <w:r w:rsidRPr="00181FCD">
        <w:t>trata,</w:t>
      </w:r>
      <w:r w:rsidR="00F373A3" w:rsidRPr="00181FCD">
        <w:t xml:space="preserve"> </w:t>
      </w:r>
      <w:r w:rsidRPr="00181FCD">
        <w:t>con</w:t>
      </w:r>
      <w:r w:rsidR="00F373A3" w:rsidRPr="00181FCD">
        <w:t xml:space="preserve"> </w:t>
      </w:r>
      <w:r w:rsidRPr="00181FCD">
        <w:t>el</w:t>
      </w:r>
      <w:r w:rsidR="00F373A3" w:rsidRPr="00181FCD">
        <w:t xml:space="preserve"> </w:t>
      </w:r>
      <w:r w:rsidRPr="00181FCD">
        <w:t>fin</w:t>
      </w:r>
      <w:r w:rsidR="00F373A3" w:rsidRPr="00181FCD">
        <w:t xml:space="preserve"> </w:t>
      </w:r>
      <w:r w:rsidRPr="00181FCD">
        <w:t>de</w:t>
      </w:r>
      <w:r w:rsidR="00F373A3" w:rsidRPr="00181FCD">
        <w:t xml:space="preserve"> </w:t>
      </w:r>
      <w:r w:rsidRPr="00181FCD">
        <w:t>fomentar</w:t>
      </w:r>
      <w:r w:rsidR="00F373A3" w:rsidRPr="00181FCD">
        <w:t xml:space="preserve"> </w:t>
      </w:r>
      <w:r w:rsidRPr="00181FCD">
        <w:t>la</w:t>
      </w:r>
      <w:r w:rsidR="00F373A3" w:rsidRPr="00181FCD">
        <w:t xml:space="preserve"> </w:t>
      </w:r>
      <w:r w:rsidRPr="00181FCD">
        <w:t>confianza</w:t>
      </w:r>
      <w:r w:rsidR="00F373A3" w:rsidRPr="00181FCD">
        <w:t xml:space="preserve"> </w:t>
      </w:r>
      <w:r w:rsidRPr="00181FCD">
        <w:t>y</w:t>
      </w:r>
      <w:r w:rsidR="00F373A3" w:rsidRPr="00181FCD">
        <w:t xml:space="preserve"> </w:t>
      </w:r>
      <w:r w:rsidRPr="00181FCD">
        <w:t>crear</w:t>
      </w:r>
      <w:r w:rsidR="00F373A3" w:rsidRPr="00181FCD">
        <w:t xml:space="preserve"> </w:t>
      </w:r>
      <w:r w:rsidRPr="00181FCD">
        <w:t>las</w:t>
      </w:r>
      <w:r w:rsidR="00F373A3" w:rsidRPr="00181FCD">
        <w:t xml:space="preserve"> </w:t>
      </w:r>
      <w:r w:rsidRPr="00181FCD">
        <w:t>condiciones</w:t>
      </w:r>
      <w:r w:rsidR="00F373A3" w:rsidRPr="00181FCD">
        <w:t xml:space="preserve"> </w:t>
      </w:r>
      <w:r w:rsidRPr="00181FCD">
        <w:t>adecuadas</w:t>
      </w:r>
      <w:r w:rsidR="00F373A3" w:rsidRPr="00181FCD">
        <w:t xml:space="preserve"> </w:t>
      </w:r>
      <w:r w:rsidRPr="00181FCD">
        <w:t>para</w:t>
      </w:r>
      <w:r w:rsidR="00F373A3" w:rsidRPr="00181FCD">
        <w:t xml:space="preserve"> </w:t>
      </w:r>
      <w:r w:rsidRPr="00181FCD">
        <w:t>la</w:t>
      </w:r>
      <w:r w:rsidR="00F373A3" w:rsidRPr="00181FCD">
        <w:t xml:space="preserve"> </w:t>
      </w:r>
      <w:r w:rsidRPr="00181FCD">
        <w:t>cooperación</w:t>
      </w:r>
      <w:r w:rsidR="00F373A3" w:rsidRPr="00181FCD">
        <w:t xml:space="preserve"> </w:t>
      </w:r>
      <w:r w:rsidRPr="00181FCD">
        <w:t>con</w:t>
      </w:r>
      <w:r w:rsidR="00F373A3" w:rsidRPr="00181FCD">
        <w:t xml:space="preserve"> </w:t>
      </w:r>
      <w:r w:rsidRPr="00181FCD">
        <w:t>el</w:t>
      </w:r>
      <w:r w:rsidR="00F373A3" w:rsidRPr="00181FCD">
        <w:t xml:space="preserve"> </w:t>
      </w:r>
      <w:r w:rsidRPr="00181FCD">
        <w:t>sistema</w:t>
      </w:r>
      <w:r w:rsidR="00F373A3" w:rsidRPr="00181FCD">
        <w:t xml:space="preserve"> </w:t>
      </w:r>
      <w:r w:rsidRPr="00181FCD">
        <w:t>judicial.</w:t>
      </w:r>
      <w:r w:rsidR="00F373A3" w:rsidRPr="00181FCD">
        <w:t xml:space="preserve"> </w:t>
      </w:r>
      <w:r w:rsidRPr="00181FCD">
        <w:t>La</w:t>
      </w:r>
      <w:r w:rsidR="00F373A3" w:rsidRPr="00181FCD">
        <w:t xml:space="preserve"> </w:t>
      </w:r>
      <w:r w:rsidRPr="00181FCD">
        <w:t>aplicación</w:t>
      </w:r>
      <w:r w:rsidR="00F373A3" w:rsidRPr="00181FCD">
        <w:t xml:space="preserve"> </w:t>
      </w:r>
      <w:r w:rsidRPr="00181FCD">
        <w:t>de</w:t>
      </w:r>
      <w:r w:rsidR="00F373A3" w:rsidRPr="00181FCD">
        <w:t xml:space="preserve"> </w:t>
      </w:r>
      <w:r w:rsidRPr="00181FCD">
        <w:t>las</w:t>
      </w:r>
      <w:r w:rsidR="00F373A3" w:rsidRPr="00181FCD">
        <w:t xml:space="preserve"> </w:t>
      </w:r>
      <w:r w:rsidRPr="00181FCD">
        <w:t>mejores</w:t>
      </w:r>
      <w:r w:rsidR="00F373A3" w:rsidRPr="00181FCD">
        <w:t xml:space="preserve"> </w:t>
      </w:r>
      <w:r w:rsidRPr="00181FCD">
        <w:t>prácticas</w:t>
      </w:r>
      <w:r w:rsidR="00F373A3" w:rsidRPr="00181FCD">
        <w:t xml:space="preserve"> </w:t>
      </w:r>
      <w:r w:rsidRPr="00181FCD">
        <w:t>de</w:t>
      </w:r>
      <w:r w:rsidR="00F373A3" w:rsidRPr="00181FCD">
        <w:t xml:space="preserve"> </w:t>
      </w:r>
      <w:r w:rsidRPr="00181FCD">
        <w:t>las</w:t>
      </w:r>
      <w:r w:rsidR="00F373A3" w:rsidRPr="00181FCD">
        <w:t xml:space="preserve"> </w:t>
      </w:r>
      <w:r w:rsidRPr="00181FCD">
        <w:t>relaciones</w:t>
      </w:r>
      <w:r w:rsidR="00F373A3" w:rsidRPr="00181FCD">
        <w:t xml:space="preserve"> </w:t>
      </w:r>
      <w:r w:rsidRPr="00181FCD">
        <w:t>con</w:t>
      </w:r>
      <w:r w:rsidR="00F373A3" w:rsidRPr="00181FCD">
        <w:t xml:space="preserve"> </w:t>
      </w:r>
      <w:r w:rsidRPr="00181FCD">
        <w:t>la</w:t>
      </w:r>
      <w:r w:rsidR="00F373A3" w:rsidRPr="00181FCD">
        <w:t xml:space="preserve"> </w:t>
      </w:r>
      <w:r w:rsidRPr="00181FCD">
        <w:t>víctima-testigo</w:t>
      </w:r>
      <w:r w:rsidR="00F373A3" w:rsidRPr="00181FCD">
        <w:t xml:space="preserve"> </w:t>
      </w:r>
      <w:r w:rsidRPr="00181FCD">
        <w:t>se</w:t>
      </w:r>
      <w:r w:rsidR="00F373A3" w:rsidRPr="00181FCD">
        <w:t xml:space="preserve"> </w:t>
      </w:r>
      <w:r w:rsidRPr="00181FCD">
        <w:t>basó</w:t>
      </w:r>
      <w:r w:rsidR="00F373A3" w:rsidRPr="00181FCD">
        <w:t xml:space="preserve"> </w:t>
      </w:r>
      <w:r w:rsidRPr="00181FCD">
        <w:t>en</w:t>
      </w:r>
      <w:r w:rsidR="00F373A3" w:rsidRPr="00181FCD">
        <w:t xml:space="preserve"> </w:t>
      </w:r>
      <w:r w:rsidRPr="00181FCD">
        <w:t>los</w:t>
      </w:r>
      <w:r w:rsidR="00F373A3" w:rsidRPr="00181FCD">
        <w:t xml:space="preserve"> </w:t>
      </w:r>
      <w:r w:rsidRPr="00181FCD">
        <w:t>siguientes</w:t>
      </w:r>
      <w:r w:rsidR="00F373A3" w:rsidRPr="00181FCD">
        <w:t xml:space="preserve"> </w:t>
      </w:r>
      <w:r w:rsidRPr="00181FCD">
        <w:t>requisitos:</w:t>
      </w:r>
    </w:p>
    <w:p w:rsidR="001937F4" w:rsidRPr="00181FCD" w:rsidRDefault="001937F4" w:rsidP="00347B20">
      <w:pPr>
        <w:pStyle w:val="Bullet2G"/>
        <w:suppressAutoHyphens/>
      </w:pPr>
      <w:r w:rsidRPr="00181FCD">
        <w:t>Actitud</w:t>
      </w:r>
      <w:r w:rsidR="00F373A3" w:rsidRPr="00181FCD">
        <w:t xml:space="preserve"> </w:t>
      </w:r>
      <w:r w:rsidRPr="00181FCD">
        <w:t>profesional</w:t>
      </w:r>
      <w:r w:rsidR="00F373A3" w:rsidRPr="00181FCD">
        <w:t xml:space="preserve"> </w:t>
      </w:r>
      <w:r w:rsidRPr="00181FCD">
        <w:t>y</w:t>
      </w:r>
      <w:r w:rsidR="00F373A3" w:rsidRPr="00181FCD">
        <w:t xml:space="preserve"> </w:t>
      </w:r>
      <w:r w:rsidRPr="00181FCD">
        <w:t>atenta</w:t>
      </w:r>
      <w:r w:rsidR="00F373A3" w:rsidRPr="00181FCD">
        <w:t xml:space="preserve"> </w:t>
      </w:r>
      <w:r w:rsidRPr="00181FCD">
        <w:t>hacia</w:t>
      </w:r>
      <w:r w:rsidR="00F373A3" w:rsidRPr="00181FCD">
        <w:t xml:space="preserve"> </w:t>
      </w:r>
      <w:r w:rsidRPr="00181FCD">
        <w:t>la</w:t>
      </w:r>
      <w:r w:rsidR="00F373A3" w:rsidRPr="00181FCD">
        <w:t xml:space="preserve"> </w:t>
      </w:r>
      <w:r w:rsidRPr="00181FCD">
        <w:t>víctima,</w:t>
      </w:r>
      <w:r w:rsidR="00F373A3" w:rsidRPr="00181FCD">
        <w:t xml:space="preserve"> </w:t>
      </w:r>
      <w:r w:rsidRPr="00181FCD">
        <w:t>con</w:t>
      </w:r>
      <w:r w:rsidR="00F373A3" w:rsidRPr="00181FCD">
        <w:t xml:space="preserve"> </w:t>
      </w:r>
      <w:r w:rsidRPr="00181FCD">
        <w:t>pleno</w:t>
      </w:r>
      <w:r w:rsidR="00F373A3" w:rsidRPr="00181FCD">
        <w:t xml:space="preserve"> </w:t>
      </w:r>
      <w:r w:rsidRPr="00181FCD">
        <w:t>respeto</w:t>
      </w:r>
      <w:r w:rsidR="00F373A3" w:rsidRPr="00181FCD">
        <w:t xml:space="preserve"> </w:t>
      </w:r>
      <w:r w:rsidRPr="00181FCD">
        <w:t>de</w:t>
      </w:r>
      <w:r w:rsidR="00F373A3" w:rsidRPr="00181FCD">
        <w:t xml:space="preserve"> </w:t>
      </w:r>
      <w:r w:rsidRPr="00181FCD">
        <w:t>sus</w:t>
      </w:r>
      <w:r w:rsidR="00F373A3" w:rsidRPr="00181FCD">
        <w:t xml:space="preserve"> </w:t>
      </w:r>
      <w:r w:rsidRPr="00181FCD">
        <w:t>derechos</w:t>
      </w:r>
      <w:r w:rsidR="00F373A3" w:rsidRPr="00181FCD">
        <w:t xml:space="preserve"> </w:t>
      </w:r>
      <w:r w:rsidRPr="00181FCD">
        <w:t>humanos.</w:t>
      </w:r>
    </w:p>
    <w:p w:rsidR="001937F4" w:rsidRPr="00181FCD" w:rsidRDefault="001937F4" w:rsidP="00347B20">
      <w:pPr>
        <w:pStyle w:val="Bullet2G"/>
        <w:suppressAutoHyphens/>
      </w:pPr>
      <w:r w:rsidRPr="00181FCD">
        <w:t>Creación</w:t>
      </w:r>
      <w:r w:rsidR="00F373A3" w:rsidRPr="00181FCD">
        <w:t xml:space="preserve"> </w:t>
      </w:r>
      <w:r w:rsidRPr="00181FCD">
        <w:t>de</w:t>
      </w:r>
      <w:r w:rsidR="00F373A3" w:rsidRPr="00181FCD">
        <w:t xml:space="preserve"> </w:t>
      </w:r>
      <w:r w:rsidRPr="00181FCD">
        <w:t>las</w:t>
      </w:r>
      <w:r w:rsidR="00F373A3" w:rsidRPr="00181FCD">
        <w:t xml:space="preserve"> </w:t>
      </w:r>
      <w:r w:rsidRPr="00181FCD">
        <w:t>condiciones</w:t>
      </w:r>
      <w:r w:rsidR="00F373A3" w:rsidRPr="00181FCD">
        <w:t xml:space="preserve"> </w:t>
      </w:r>
      <w:r w:rsidRPr="00181FCD">
        <w:t>adecuadas</w:t>
      </w:r>
      <w:r w:rsidR="00F373A3" w:rsidRPr="00181FCD">
        <w:t xml:space="preserve"> </w:t>
      </w:r>
      <w:r w:rsidRPr="00181FCD">
        <w:t>para</w:t>
      </w:r>
      <w:r w:rsidR="00F373A3" w:rsidRPr="00181FCD">
        <w:t xml:space="preserve"> </w:t>
      </w:r>
      <w:r w:rsidRPr="00181FCD">
        <w:t>tomar</w:t>
      </w:r>
      <w:r w:rsidR="00F373A3" w:rsidRPr="00181FCD">
        <w:t xml:space="preserve"> </w:t>
      </w:r>
      <w:r w:rsidRPr="00181FCD">
        <w:t>declaración,</w:t>
      </w:r>
      <w:r w:rsidR="00F373A3" w:rsidRPr="00181FCD">
        <w:t xml:space="preserve"> </w:t>
      </w:r>
      <w:r w:rsidRPr="00181FCD">
        <w:t>de</w:t>
      </w:r>
      <w:r w:rsidR="00F373A3" w:rsidRPr="00181FCD">
        <w:t xml:space="preserve"> </w:t>
      </w:r>
      <w:r w:rsidRPr="00181FCD">
        <w:t>una</w:t>
      </w:r>
      <w:r w:rsidR="00F373A3" w:rsidRPr="00181FCD">
        <w:t xml:space="preserve"> </w:t>
      </w:r>
      <w:r w:rsidRPr="00181FCD">
        <w:t>manera</w:t>
      </w:r>
      <w:r w:rsidR="00F373A3" w:rsidRPr="00181FCD">
        <w:t xml:space="preserve"> </w:t>
      </w:r>
      <w:r w:rsidRPr="00181FCD">
        <w:t>que</w:t>
      </w:r>
      <w:r w:rsidR="00F373A3" w:rsidRPr="00181FCD">
        <w:t xml:space="preserve"> </w:t>
      </w:r>
      <w:r w:rsidRPr="00181FCD">
        <w:t>atenúe</w:t>
      </w:r>
      <w:r w:rsidR="00F373A3" w:rsidRPr="00181FCD">
        <w:t xml:space="preserve"> </w:t>
      </w:r>
      <w:r w:rsidRPr="00181FCD">
        <w:t>al</w:t>
      </w:r>
      <w:r w:rsidR="00F373A3" w:rsidRPr="00181FCD">
        <w:t xml:space="preserve"> </w:t>
      </w:r>
      <w:r w:rsidRPr="00181FCD">
        <w:t>mínimo</w:t>
      </w:r>
      <w:r w:rsidR="00F373A3" w:rsidRPr="00181FCD">
        <w:t xml:space="preserve"> </w:t>
      </w:r>
      <w:r w:rsidRPr="00181FCD">
        <w:t>el</w:t>
      </w:r>
      <w:r w:rsidR="00F373A3" w:rsidRPr="00181FCD">
        <w:t xml:space="preserve"> </w:t>
      </w:r>
      <w:r w:rsidRPr="00181FCD">
        <w:t>trauma</w:t>
      </w:r>
      <w:r w:rsidR="00F373A3" w:rsidRPr="00181FCD">
        <w:t xml:space="preserve"> </w:t>
      </w:r>
      <w:r w:rsidRPr="00181FCD">
        <w:t>provocado</w:t>
      </w:r>
      <w:r w:rsidR="00F373A3" w:rsidRPr="00181FCD">
        <w:t xml:space="preserve"> </w:t>
      </w:r>
      <w:r w:rsidRPr="00181FCD">
        <w:t>por</w:t>
      </w:r>
      <w:r w:rsidR="00F373A3" w:rsidRPr="00181FCD">
        <w:t xml:space="preserve"> </w:t>
      </w:r>
      <w:r w:rsidRPr="00181FCD">
        <w:t>el</w:t>
      </w:r>
      <w:r w:rsidR="00F373A3" w:rsidRPr="00181FCD">
        <w:t xml:space="preserve"> </w:t>
      </w:r>
      <w:r w:rsidRPr="00181FCD">
        <w:t>proceso.</w:t>
      </w:r>
      <w:r w:rsidR="00F373A3" w:rsidRPr="00181FCD">
        <w:t xml:space="preserve"> </w:t>
      </w:r>
      <w:r w:rsidRPr="00181FCD">
        <w:t>El</w:t>
      </w:r>
      <w:r w:rsidR="00F373A3" w:rsidRPr="00181FCD">
        <w:t xml:space="preserve"> </w:t>
      </w:r>
      <w:r w:rsidRPr="00181FCD">
        <w:t>interrogatorio</w:t>
      </w:r>
      <w:r w:rsidR="00F373A3" w:rsidRPr="00181FCD">
        <w:t xml:space="preserve"> </w:t>
      </w:r>
      <w:r w:rsidRPr="00181FCD">
        <w:t>debe</w:t>
      </w:r>
      <w:r w:rsidR="00F373A3" w:rsidRPr="00181FCD">
        <w:t xml:space="preserve"> </w:t>
      </w:r>
      <w:r w:rsidRPr="00181FCD">
        <w:t>hacerse</w:t>
      </w:r>
      <w:r w:rsidR="00F373A3" w:rsidRPr="00181FCD">
        <w:t xml:space="preserve"> </w:t>
      </w:r>
      <w:r w:rsidRPr="00181FCD">
        <w:t>a</w:t>
      </w:r>
      <w:r w:rsidR="00F373A3" w:rsidRPr="00181FCD">
        <w:t xml:space="preserve"> </w:t>
      </w:r>
      <w:r w:rsidRPr="00181FCD">
        <w:t>través</w:t>
      </w:r>
      <w:r w:rsidR="00F373A3" w:rsidRPr="00181FCD">
        <w:t xml:space="preserve"> </w:t>
      </w:r>
      <w:r w:rsidRPr="00181FCD">
        <w:t>de</w:t>
      </w:r>
      <w:r w:rsidR="00F373A3" w:rsidRPr="00181FCD">
        <w:t xml:space="preserve"> </w:t>
      </w:r>
      <w:r w:rsidRPr="00181FCD">
        <w:t>videoconferencia</w:t>
      </w:r>
      <w:r w:rsidR="00F373A3" w:rsidRPr="00181FCD">
        <w:t xml:space="preserve"> </w:t>
      </w:r>
      <w:r w:rsidRPr="00181FCD">
        <w:t>y</w:t>
      </w:r>
      <w:r w:rsidR="00F373A3" w:rsidRPr="00181FCD">
        <w:t xml:space="preserve"> </w:t>
      </w:r>
      <w:r w:rsidRPr="00181FCD">
        <w:t>en</w:t>
      </w:r>
      <w:r w:rsidR="00F373A3" w:rsidRPr="00181FCD">
        <w:t xml:space="preserve"> </w:t>
      </w:r>
      <w:r w:rsidRPr="00181FCD">
        <w:t>el</w:t>
      </w:r>
      <w:r w:rsidR="00F373A3" w:rsidRPr="00181FCD">
        <w:t xml:space="preserve"> </w:t>
      </w:r>
      <w:r w:rsidRPr="00181FCD">
        <w:t>caso</w:t>
      </w:r>
      <w:r w:rsidR="00F373A3" w:rsidRPr="00181FCD">
        <w:t xml:space="preserve"> </w:t>
      </w:r>
      <w:r w:rsidRPr="00181FCD">
        <w:t>de</w:t>
      </w:r>
      <w:r w:rsidR="00F373A3" w:rsidRPr="00181FCD">
        <w:t xml:space="preserve"> </w:t>
      </w:r>
      <w:r w:rsidRPr="00181FCD">
        <w:t>los</w:t>
      </w:r>
      <w:r w:rsidR="00F373A3" w:rsidRPr="00181FCD">
        <w:t xml:space="preserve"> </w:t>
      </w:r>
      <w:r w:rsidRPr="00181FCD">
        <w:t>niños,</w:t>
      </w:r>
      <w:r w:rsidR="00F373A3" w:rsidRPr="00181FCD">
        <w:t xml:space="preserve"> </w:t>
      </w:r>
      <w:r w:rsidRPr="00181FCD">
        <w:t>en</w:t>
      </w:r>
      <w:r w:rsidR="00F373A3" w:rsidRPr="00181FCD">
        <w:t xml:space="preserve"> </w:t>
      </w:r>
      <w:r w:rsidRPr="00181FCD">
        <w:t>espacios</w:t>
      </w:r>
      <w:r w:rsidR="00F373A3" w:rsidRPr="00181FCD">
        <w:t xml:space="preserve"> </w:t>
      </w:r>
      <w:r w:rsidRPr="00181FCD">
        <w:t>especialmente</w:t>
      </w:r>
      <w:r w:rsidR="00F373A3" w:rsidRPr="00181FCD">
        <w:t xml:space="preserve"> </w:t>
      </w:r>
      <w:r w:rsidRPr="00181FCD">
        <w:t>adaptados,</w:t>
      </w:r>
      <w:r w:rsidR="00F373A3" w:rsidRPr="00181FCD">
        <w:t xml:space="preserve"> </w:t>
      </w:r>
      <w:r w:rsidRPr="00181FCD">
        <w:t>las</w:t>
      </w:r>
      <w:r w:rsidR="00F373A3" w:rsidRPr="00181FCD">
        <w:t xml:space="preserve"> </w:t>
      </w:r>
      <w:r w:rsidRPr="00181FCD">
        <w:t>llamadas</w:t>
      </w:r>
      <w:r w:rsidR="00F373A3" w:rsidRPr="00181FCD">
        <w:t xml:space="preserve"> "</w:t>
      </w:r>
      <w:r w:rsidRPr="00181FCD">
        <w:t>salas</w:t>
      </w:r>
      <w:r w:rsidR="00F373A3" w:rsidRPr="00181FCD">
        <w:t xml:space="preserve"> </w:t>
      </w:r>
      <w:r w:rsidRPr="00181FCD">
        <w:t>azules</w:t>
      </w:r>
      <w:r w:rsidR="00F373A3" w:rsidRPr="00181FCD">
        <w:t>"</w:t>
      </w:r>
      <w:r w:rsidRPr="00181FCD">
        <w:t>.</w:t>
      </w:r>
    </w:p>
    <w:p w:rsidR="001937F4" w:rsidRPr="00181FCD" w:rsidRDefault="001937F4" w:rsidP="00347B20">
      <w:pPr>
        <w:pStyle w:val="Bullet2G"/>
        <w:suppressAutoHyphens/>
      </w:pPr>
      <w:r w:rsidRPr="00181FCD">
        <w:t>Durante</w:t>
      </w:r>
      <w:r w:rsidR="00F373A3" w:rsidRPr="00181FCD">
        <w:t xml:space="preserve"> </w:t>
      </w:r>
      <w:r w:rsidRPr="00181FCD">
        <w:t>la</w:t>
      </w:r>
      <w:r w:rsidR="00F373A3" w:rsidRPr="00181FCD">
        <w:t xml:space="preserve"> </w:t>
      </w:r>
      <w:r w:rsidRPr="00181FCD">
        <w:t>fase</w:t>
      </w:r>
      <w:r w:rsidR="00F373A3" w:rsidRPr="00181FCD">
        <w:t xml:space="preserve"> </w:t>
      </w:r>
      <w:r w:rsidRPr="00181FCD">
        <w:t>de</w:t>
      </w:r>
      <w:r w:rsidR="00F373A3" w:rsidRPr="00181FCD">
        <w:t xml:space="preserve"> </w:t>
      </w:r>
      <w:r w:rsidRPr="00181FCD">
        <w:t>instrucción,</w:t>
      </w:r>
      <w:r w:rsidR="00F373A3" w:rsidRPr="00181FCD">
        <w:t xml:space="preserve"> </w:t>
      </w:r>
      <w:r w:rsidRPr="00181FCD">
        <w:t>aprovechamiento</w:t>
      </w:r>
      <w:r w:rsidR="00F373A3" w:rsidRPr="00181FCD">
        <w:t xml:space="preserve"> </w:t>
      </w:r>
      <w:r w:rsidRPr="00181FCD">
        <w:t>al</w:t>
      </w:r>
      <w:r w:rsidR="00F373A3" w:rsidRPr="00181FCD">
        <w:t xml:space="preserve"> </w:t>
      </w:r>
      <w:r w:rsidRPr="00181FCD">
        <w:t>máximo</w:t>
      </w:r>
      <w:r w:rsidR="00F373A3" w:rsidRPr="00181FCD">
        <w:t xml:space="preserve"> </w:t>
      </w:r>
      <w:r w:rsidRPr="00181FCD">
        <w:t>de</w:t>
      </w:r>
      <w:r w:rsidR="00F373A3" w:rsidRPr="00181FCD">
        <w:t xml:space="preserve"> </w:t>
      </w:r>
      <w:r w:rsidRPr="00181FCD">
        <w:t>las</w:t>
      </w:r>
      <w:r w:rsidR="00F373A3" w:rsidRPr="00181FCD">
        <w:t xml:space="preserve"> </w:t>
      </w:r>
      <w:r w:rsidRPr="00181FCD">
        <w:t>posibilidades</w:t>
      </w:r>
      <w:r w:rsidR="00F373A3" w:rsidRPr="00181FCD">
        <w:t xml:space="preserve"> </w:t>
      </w:r>
      <w:r w:rsidRPr="00181FCD">
        <w:t>que</w:t>
      </w:r>
      <w:r w:rsidR="00F373A3" w:rsidRPr="00181FCD">
        <w:t xml:space="preserve"> </w:t>
      </w:r>
      <w:r w:rsidRPr="00181FCD">
        <w:t>ofrece</w:t>
      </w:r>
      <w:r w:rsidR="00F373A3" w:rsidRPr="00181FCD">
        <w:t xml:space="preserve"> </w:t>
      </w:r>
      <w:r w:rsidRPr="00181FCD">
        <w:t>la</w:t>
      </w:r>
      <w:r w:rsidR="00F373A3" w:rsidRPr="00181FCD">
        <w:t xml:space="preserve"> </w:t>
      </w:r>
      <w:r w:rsidRPr="00181FCD">
        <w:t>asistencia</w:t>
      </w:r>
      <w:r w:rsidR="00F373A3" w:rsidRPr="00181FCD">
        <w:t xml:space="preserve"> </w:t>
      </w:r>
      <w:r w:rsidRPr="00181FCD">
        <w:t>de</w:t>
      </w:r>
      <w:r w:rsidR="00F373A3" w:rsidRPr="00181FCD">
        <w:t xml:space="preserve"> </w:t>
      </w:r>
      <w:r w:rsidRPr="00181FCD">
        <w:t>la</w:t>
      </w:r>
      <w:r w:rsidR="00F373A3" w:rsidRPr="00181FCD">
        <w:t xml:space="preserve"> </w:t>
      </w:r>
      <w:r w:rsidRPr="00181FCD">
        <w:t>víctima</w:t>
      </w:r>
      <w:r w:rsidR="00F373A3" w:rsidRPr="00181FCD">
        <w:t xml:space="preserve"> </w:t>
      </w:r>
      <w:r w:rsidRPr="00181FCD">
        <w:t>con</w:t>
      </w:r>
      <w:r w:rsidR="00F373A3" w:rsidRPr="00181FCD">
        <w:t xml:space="preserve"> </w:t>
      </w:r>
      <w:r w:rsidRPr="00181FCD">
        <w:t>el</w:t>
      </w:r>
      <w:r w:rsidR="00F373A3" w:rsidRPr="00181FCD">
        <w:t xml:space="preserve"> </w:t>
      </w:r>
      <w:r w:rsidRPr="00181FCD">
        <w:t>fin</w:t>
      </w:r>
      <w:r w:rsidR="00F373A3" w:rsidRPr="00181FCD">
        <w:t xml:space="preserve"> </w:t>
      </w:r>
      <w:r w:rsidRPr="00181FCD">
        <w:t>de</w:t>
      </w:r>
      <w:r w:rsidR="00F373A3" w:rsidRPr="00181FCD">
        <w:t xml:space="preserve"> </w:t>
      </w:r>
      <w:r w:rsidRPr="00181FCD">
        <w:t>conseguir</w:t>
      </w:r>
      <w:r w:rsidR="00F373A3" w:rsidRPr="00181FCD">
        <w:t xml:space="preserve"> </w:t>
      </w:r>
      <w:r w:rsidRPr="00181FCD">
        <w:t>la</w:t>
      </w:r>
      <w:r w:rsidR="00F373A3" w:rsidRPr="00181FCD">
        <w:t xml:space="preserve"> </w:t>
      </w:r>
      <w:r w:rsidRPr="00181FCD">
        <w:t>condena</w:t>
      </w:r>
      <w:r w:rsidR="00F373A3" w:rsidRPr="00181FCD">
        <w:t xml:space="preserve"> </w:t>
      </w:r>
      <w:r w:rsidRPr="00181FCD">
        <w:t>efectiva</w:t>
      </w:r>
      <w:r w:rsidR="00F373A3" w:rsidRPr="00181FCD">
        <w:t xml:space="preserve"> </w:t>
      </w:r>
      <w:r w:rsidRPr="00181FCD">
        <w:t>de</w:t>
      </w:r>
      <w:r w:rsidR="00F373A3" w:rsidRPr="00181FCD">
        <w:t xml:space="preserve"> </w:t>
      </w:r>
      <w:r w:rsidRPr="00181FCD">
        <w:t>los</w:t>
      </w:r>
      <w:r w:rsidR="00F373A3" w:rsidRPr="00181FCD">
        <w:t xml:space="preserve"> </w:t>
      </w:r>
      <w:r w:rsidRPr="00181FCD">
        <w:t>traficantes.</w:t>
      </w:r>
    </w:p>
    <w:p w:rsidR="001937F4" w:rsidRPr="00181FCD" w:rsidRDefault="001937F4" w:rsidP="00347B20">
      <w:pPr>
        <w:pStyle w:val="Bullet2G"/>
        <w:suppressAutoHyphens/>
      </w:pPr>
      <w:r w:rsidRPr="00181FCD">
        <w:t>Recapitulación,</w:t>
      </w:r>
      <w:r w:rsidR="00F373A3" w:rsidRPr="00181FCD">
        <w:t xml:space="preserve"> </w:t>
      </w:r>
      <w:r w:rsidRPr="00181FCD">
        <w:t>análisis</w:t>
      </w:r>
      <w:r w:rsidR="00F373A3" w:rsidRPr="00181FCD">
        <w:t xml:space="preserve"> </w:t>
      </w:r>
      <w:r w:rsidRPr="00181FCD">
        <w:t>y</w:t>
      </w:r>
      <w:r w:rsidR="00F373A3" w:rsidRPr="00181FCD">
        <w:t xml:space="preserve"> </w:t>
      </w:r>
      <w:r w:rsidRPr="00181FCD">
        <w:t>debate</w:t>
      </w:r>
      <w:r w:rsidR="00F373A3" w:rsidRPr="00181FCD">
        <w:t xml:space="preserve"> </w:t>
      </w:r>
      <w:r w:rsidRPr="00181FCD">
        <w:t>periódico</w:t>
      </w:r>
      <w:r w:rsidR="00F373A3" w:rsidRPr="00181FCD">
        <w:t xml:space="preserve"> </w:t>
      </w:r>
      <w:r w:rsidRPr="00181FCD">
        <w:t>de</w:t>
      </w:r>
      <w:r w:rsidR="00F373A3" w:rsidRPr="00181FCD">
        <w:t xml:space="preserve"> </w:t>
      </w:r>
      <w:r w:rsidRPr="00181FCD">
        <w:t>la</w:t>
      </w:r>
      <w:r w:rsidR="00F373A3" w:rsidRPr="00181FCD">
        <w:t xml:space="preserve"> </w:t>
      </w:r>
      <w:r w:rsidRPr="00181FCD">
        <w:t>práctica</w:t>
      </w:r>
      <w:r w:rsidR="00F373A3" w:rsidRPr="00181FCD">
        <w:t xml:space="preserve"> </w:t>
      </w:r>
      <w:r w:rsidRPr="00181FCD">
        <w:t>judicial</w:t>
      </w:r>
      <w:r w:rsidR="00F373A3" w:rsidRPr="00181FCD">
        <w:t xml:space="preserve"> </w:t>
      </w:r>
      <w:r w:rsidRPr="00181FCD">
        <w:t>con</w:t>
      </w:r>
      <w:r w:rsidR="00F373A3" w:rsidRPr="00181FCD">
        <w:t xml:space="preserve"> </w:t>
      </w:r>
      <w:r w:rsidRPr="00181FCD">
        <w:t>el</w:t>
      </w:r>
      <w:r w:rsidR="00F373A3" w:rsidRPr="00181FCD">
        <w:t xml:space="preserve"> </w:t>
      </w:r>
      <w:r w:rsidRPr="00181FCD">
        <w:t>fin</w:t>
      </w:r>
      <w:r w:rsidR="00F373A3" w:rsidRPr="00181FCD">
        <w:t xml:space="preserve"> </w:t>
      </w:r>
      <w:r w:rsidRPr="00181FCD">
        <w:t>de</w:t>
      </w:r>
      <w:r w:rsidR="00F373A3" w:rsidRPr="00181FCD">
        <w:t xml:space="preserve"> </w:t>
      </w:r>
      <w:r w:rsidRPr="00181FCD">
        <w:t>contrarrestar</w:t>
      </w:r>
      <w:r w:rsidR="00F373A3" w:rsidRPr="00181FCD">
        <w:t xml:space="preserve"> </w:t>
      </w:r>
      <w:r w:rsidRPr="00181FCD">
        <w:t>los</w:t>
      </w:r>
      <w:r w:rsidR="00F373A3" w:rsidRPr="00181FCD">
        <w:t xml:space="preserve"> </w:t>
      </w:r>
      <w:r w:rsidRPr="00181FCD">
        <w:t>motivos</w:t>
      </w:r>
      <w:r w:rsidR="00F373A3" w:rsidRPr="00181FCD">
        <w:t xml:space="preserve"> </w:t>
      </w:r>
      <w:r w:rsidRPr="00181FCD">
        <w:t>que</w:t>
      </w:r>
      <w:r w:rsidR="00F373A3" w:rsidRPr="00181FCD">
        <w:t xml:space="preserve"> </w:t>
      </w:r>
      <w:r w:rsidRPr="00181FCD">
        <w:t>condujeron</w:t>
      </w:r>
      <w:r w:rsidR="00F373A3" w:rsidRPr="00181FCD">
        <w:t xml:space="preserve"> </w:t>
      </w:r>
      <w:r w:rsidRPr="00181FCD">
        <w:t>a</w:t>
      </w:r>
      <w:r w:rsidR="00F373A3" w:rsidRPr="00181FCD">
        <w:t xml:space="preserve"> </w:t>
      </w:r>
      <w:r w:rsidRPr="00181FCD">
        <w:t>la</w:t>
      </w:r>
      <w:r w:rsidR="00F373A3" w:rsidRPr="00181FCD">
        <w:t xml:space="preserve"> </w:t>
      </w:r>
      <w:r w:rsidRPr="00181FCD">
        <w:t>absolución</w:t>
      </w:r>
      <w:r w:rsidR="00F373A3" w:rsidRPr="00181FCD">
        <w:t xml:space="preserve"> </w:t>
      </w:r>
      <w:r w:rsidRPr="00181FCD">
        <w:t>de</w:t>
      </w:r>
      <w:r w:rsidR="00F373A3" w:rsidRPr="00181FCD">
        <w:t xml:space="preserve"> </w:t>
      </w:r>
      <w:r w:rsidRPr="00181FCD">
        <w:t>los</w:t>
      </w:r>
      <w:r w:rsidR="00F373A3" w:rsidRPr="00181FCD">
        <w:t xml:space="preserve"> </w:t>
      </w:r>
      <w:r w:rsidRPr="00181FCD">
        <w:t>traficantes.</w:t>
      </w:r>
    </w:p>
    <w:p w:rsidR="001937F4" w:rsidRPr="00181FCD" w:rsidRDefault="001937F4" w:rsidP="00347B20">
      <w:pPr>
        <w:pStyle w:val="Bullet2G"/>
        <w:suppressAutoHyphens/>
      </w:pPr>
      <w:r w:rsidRPr="00181FCD">
        <w:t>La</w:t>
      </w:r>
      <w:r w:rsidR="00F373A3" w:rsidRPr="00181FCD">
        <w:t xml:space="preserve"> </w:t>
      </w:r>
      <w:r w:rsidRPr="00181FCD">
        <w:t>organización</w:t>
      </w:r>
      <w:r w:rsidR="00F373A3" w:rsidRPr="00181FCD">
        <w:t xml:space="preserve"> </w:t>
      </w:r>
      <w:r w:rsidRPr="00181FCD">
        <w:t>de</w:t>
      </w:r>
      <w:r w:rsidR="00F373A3" w:rsidRPr="00181FCD">
        <w:t xml:space="preserve"> </w:t>
      </w:r>
      <w:r w:rsidRPr="00181FCD">
        <w:t>cursos</w:t>
      </w:r>
      <w:r w:rsidR="00F373A3" w:rsidRPr="00181FCD">
        <w:t xml:space="preserve"> </w:t>
      </w:r>
      <w:r w:rsidRPr="00181FCD">
        <w:t>de</w:t>
      </w:r>
      <w:r w:rsidR="00F373A3" w:rsidRPr="00181FCD">
        <w:t xml:space="preserve"> </w:t>
      </w:r>
      <w:r w:rsidRPr="00181FCD">
        <w:t>formación</w:t>
      </w:r>
      <w:r w:rsidR="00F373A3" w:rsidRPr="00181FCD">
        <w:t xml:space="preserve"> </w:t>
      </w:r>
      <w:r w:rsidRPr="00181FCD">
        <w:t>para</w:t>
      </w:r>
      <w:r w:rsidR="00F373A3" w:rsidRPr="00181FCD">
        <w:t xml:space="preserve"> </w:t>
      </w:r>
      <w:r w:rsidRPr="00181FCD">
        <w:t>aumentar</w:t>
      </w:r>
      <w:r w:rsidR="00F373A3" w:rsidRPr="00181FCD">
        <w:t xml:space="preserve"> </w:t>
      </w:r>
      <w:r w:rsidRPr="00181FCD">
        <w:t>la</w:t>
      </w:r>
      <w:r w:rsidR="00F373A3" w:rsidRPr="00181FCD">
        <w:t xml:space="preserve"> </w:t>
      </w:r>
      <w:r w:rsidRPr="00181FCD">
        <w:t>competencia</w:t>
      </w:r>
      <w:r w:rsidR="00F373A3" w:rsidRPr="00181FCD">
        <w:t xml:space="preserve"> </w:t>
      </w:r>
      <w:r w:rsidRPr="00181FCD">
        <w:t>de</w:t>
      </w:r>
      <w:r w:rsidR="00F373A3" w:rsidRPr="00181FCD">
        <w:t xml:space="preserve"> </w:t>
      </w:r>
      <w:r w:rsidRPr="00181FCD">
        <w:t>las</w:t>
      </w:r>
      <w:r w:rsidR="00F373A3" w:rsidRPr="00181FCD">
        <w:t xml:space="preserve"> </w:t>
      </w:r>
      <w:r w:rsidRPr="00181FCD">
        <w:t>autoridades</w:t>
      </w:r>
      <w:r w:rsidR="00F373A3" w:rsidRPr="00181FCD">
        <w:t xml:space="preserve"> </w:t>
      </w:r>
      <w:r w:rsidRPr="00181FCD">
        <w:t>policiales</w:t>
      </w:r>
      <w:r w:rsidR="00F373A3" w:rsidRPr="00181FCD">
        <w:t xml:space="preserve"> </w:t>
      </w:r>
      <w:r w:rsidRPr="00181FCD">
        <w:t>en</w:t>
      </w:r>
      <w:r w:rsidR="00F373A3" w:rsidRPr="00181FCD">
        <w:t xml:space="preserve"> </w:t>
      </w:r>
      <w:r w:rsidRPr="00181FCD">
        <w:t>la</w:t>
      </w:r>
      <w:r w:rsidR="00F373A3" w:rsidRPr="00181FCD">
        <w:t xml:space="preserve"> </w:t>
      </w:r>
      <w:r w:rsidRPr="00181FCD">
        <w:t>lucha</w:t>
      </w:r>
      <w:r w:rsidR="00F373A3" w:rsidRPr="00181FCD">
        <w:t xml:space="preserve"> </w:t>
      </w:r>
      <w:r w:rsidRPr="00181FCD">
        <w:t>y</w:t>
      </w:r>
      <w:r w:rsidR="00F373A3" w:rsidRPr="00181FCD">
        <w:t xml:space="preserve"> </w:t>
      </w:r>
      <w:r w:rsidRPr="00181FCD">
        <w:t>la</w:t>
      </w:r>
      <w:r w:rsidR="00F373A3" w:rsidRPr="00181FCD">
        <w:t xml:space="preserve"> </w:t>
      </w:r>
      <w:r w:rsidRPr="00181FCD">
        <w:t>detección</w:t>
      </w:r>
      <w:r w:rsidR="00F373A3" w:rsidRPr="00181FCD">
        <w:t xml:space="preserve"> </w:t>
      </w:r>
      <w:r w:rsidRPr="00181FCD">
        <w:t>de</w:t>
      </w:r>
      <w:r w:rsidR="00F373A3" w:rsidRPr="00181FCD">
        <w:t xml:space="preserve"> </w:t>
      </w:r>
      <w:r w:rsidRPr="00181FCD">
        <w:t>los</w:t>
      </w:r>
      <w:r w:rsidR="00F373A3" w:rsidRPr="00181FCD">
        <w:t xml:space="preserve"> </w:t>
      </w:r>
      <w:r w:rsidRPr="00181FCD">
        <w:t>delitos</w:t>
      </w:r>
      <w:r w:rsidR="00F373A3" w:rsidRPr="00181FCD">
        <w:t xml:space="preserve"> </w:t>
      </w:r>
      <w:r w:rsidRPr="00181FCD">
        <w:t>relacionados</w:t>
      </w:r>
      <w:r w:rsidR="00F373A3" w:rsidRPr="00181FCD">
        <w:t xml:space="preserve"> </w:t>
      </w:r>
      <w:r w:rsidRPr="00181FCD">
        <w:t>con</w:t>
      </w:r>
      <w:r w:rsidR="00F373A3" w:rsidRPr="00181FCD">
        <w:t xml:space="preserve"> </w:t>
      </w:r>
      <w:r w:rsidRPr="00181FCD">
        <w:t>la</w:t>
      </w:r>
      <w:r w:rsidR="00F373A3" w:rsidRPr="00181FCD">
        <w:t xml:space="preserve"> </w:t>
      </w:r>
      <w:r w:rsidRPr="00181FCD">
        <w:t>trata</w:t>
      </w:r>
      <w:r w:rsidR="00F373A3" w:rsidRPr="00181FCD">
        <w:t xml:space="preserve"> </w:t>
      </w:r>
      <w:r w:rsidRPr="00181FCD">
        <w:t>de</w:t>
      </w:r>
      <w:r w:rsidR="00F373A3" w:rsidRPr="00181FCD">
        <w:t xml:space="preserve"> </w:t>
      </w:r>
      <w:r w:rsidRPr="00181FCD">
        <w:t>mujeres</w:t>
      </w:r>
      <w:r w:rsidR="00F373A3" w:rsidRPr="00181FCD">
        <w:t xml:space="preserve"> </w:t>
      </w:r>
      <w:r w:rsidRPr="00181FCD">
        <w:t>y</w:t>
      </w:r>
      <w:r w:rsidR="00F373A3" w:rsidRPr="00181FCD">
        <w:t xml:space="preserve"> </w:t>
      </w:r>
      <w:r w:rsidRPr="00181FCD">
        <w:t>niños.</w:t>
      </w:r>
    </w:p>
    <w:p w:rsidR="001937F4" w:rsidRPr="00181FCD" w:rsidRDefault="001937F4" w:rsidP="00347B20">
      <w:pPr>
        <w:pStyle w:val="SingleTxtG"/>
        <w:suppressAutoHyphens/>
      </w:pPr>
      <w:r w:rsidRPr="00181FCD">
        <w:t>70.</w:t>
      </w:r>
      <w:r w:rsidRPr="00181FCD">
        <w:tab/>
        <w:t>Se</w:t>
      </w:r>
      <w:r w:rsidR="00F373A3" w:rsidRPr="00181FCD">
        <w:t xml:space="preserve"> </w:t>
      </w:r>
      <w:r w:rsidRPr="00181FCD">
        <w:t>ha</w:t>
      </w:r>
      <w:r w:rsidR="00F373A3" w:rsidRPr="00181FCD">
        <w:t xml:space="preserve"> </w:t>
      </w:r>
      <w:r w:rsidRPr="00181FCD">
        <w:t>reforzado</w:t>
      </w:r>
      <w:r w:rsidR="00F373A3" w:rsidRPr="00181FCD">
        <w:t xml:space="preserve"> </w:t>
      </w:r>
      <w:r w:rsidRPr="00181FCD">
        <w:t>la</w:t>
      </w:r>
      <w:r w:rsidR="00F373A3" w:rsidRPr="00181FCD">
        <w:t xml:space="preserve"> </w:t>
      </w:r>
      <w:r w:rsidRPr="00181FCD">
        <w:t>cooperación</w:t>
      </w:r>
      <w:r w:rsidR="00F373A3" w:rsidRPr="00181FCD">
        <w:t xml:space="preserve"> </w:t>
      </w:r>
      <w:r w:rsidRPr="00181FCD">
        <w:t>bilateral</w:t>
      </w:r>
      <w:r w:rsidR="00F373A3" w:rsidRPr="00181FCD">
        <w:t xml:space="preserve"> </w:t>
      </w:r>
      <w:r w:rsidRPr="00181FCD">
        <w:t>y</w:t>
      </w:r>
      <w:r w:rsidR="00F373A3" w:rsidRPr="00181FCD">
        <w:t xml:space="preserve"> </w:t>
      </w:r>
      <w:r w:rsidRPr="00181FCD">
        <w:t>multilateral</w:t>
      </w:r>
      <w:r w:rsidR="00F373A3" w:rsidRPr="00181FCD">
        <w:t xml:space="preserve"> </w:t>
      </w:r>
      <w:r w:rsidRPr="00181FCD">
        <w:t>con</w:t>
      </w:r>
      <w:r w:rsidR="00F373A3" w:rsidRPr="00181FCD">
        <w:t xml:space="preserve"> </w:t>
      </w:r>
      <w:r w:rsidRPr="00181FCD">
        <w:t>los</w:t>
      </w:r>
      <w:r w:rsidR="00F373A3" w:rsidRPr="00181FCD">
        <w:t xml:space="preserve"> </w:t>
      </w:r>
      <w:r w:rsidRPr="00181FCD">
        <w:t>países</w:t>
      </w:r>
      <w:r w:rsidR="00F373A3" w:rsidRPr="00181FCD">
        <w:t xml:space="preserve"> </w:t>
      </w:r>
      <w:r w:rsidRPr="00181FCD">
        <w:t>de</w:t>
      </w:r>
      <w:r w:rsidR="00F373A3" w:rsidRPr="00181FCD">
        <w:t xml:space="preserve"> </w:t>
      </w:r>
      <w:r w:rsidRPr="00181FCD">
        <w:t>destino,</w:t>
      </w:r>
      <w:r w:rsidR="00F373A3" w:rsidRPr="00181FCD">
        <w:t xml:space="preserve"> </w:t>
      </w:r>
      <w:r w:rsidRPr="00181FCD">
        <w:t>y</w:t>
      </w:r>
      <w:r w:rsidR="00F373A3" w:rsidRPr="00181FCD">
        <w:t xml:space="preserve"> </w:t>
      </w:r>
      <w:r w:rsidRPr="00181FCD">
        <w:t>se</w:t>
      </w:r>
      <w:r w:rsidR="00F373A3" w:rsidRPr="00181FCD">
        <w:t xml:space="preserve"> </w:t>
      </w:r>
      <w:r w:rsidRPr="00181FCD">
        <w:t>ha</w:t>
      </w:r>
      <w:r w:rsidR="00F373A3" w:rsidRPr="00181FCD">
        <w:t xml:space="preserve"> </w:t>
      </w:r>
      <w:r w:rsidRPr="00181FCD">
        <w:t>fortalecido</w:t>
      </w:r>
      <w:r w:rsidR="00F373A3" w:rsidRPr="00181FCD">
        <w:t xml:space="preserve"> </w:t>
      </w:r>
      <w:r w:rsidRPr="00181FCD">
        <w:t>aún</w:t>
      </w:r>
      <w:r w:rsidR="00F373A3" w:rsidRPr="00181FCD">
        <w:t xml:space="preserve"> </w:t>
      </w:r>
      <w:r w:rsidRPr="00181FCD">
        <w:t>más</w:t>
      </w:r>
      <w:r w:rsidR="00F373A3" w:rsidRPr="00181FCD">
        <w:t xml:space="preserve"> </w:t>
      </w:r>
      <w:r w:rsidRPr="00181FCD">
        <w:t>la</w:t>
      </w:r>
      <w:r w:rsidR="00F373A3" w:rsidRPr="00181FCD">
        <w:t xml:space="preserve"> </w:t>
      </w:r>
      <w:r w:rsidRPr="00181FCD">
        <w:t>cooperación</w:t>
      </w:r>
      <w:r w:rsidR="00F373A3" w:rsidRPr="00181FCD">
        <w:t xml:space="preserve"> </w:t>
      </w:r>
      <w:r w:rsidRPr="00181FCD">
        <w:t>dentro</w:t>
      </w:r>
      <w:r w:rsidR="00F373A3" w:rsidRPr="00181FCD">
        <w:t xml:space="preserve"> </w:t>
      </w:r>
      <w:r w:rsidRPr="00181FCD">
        <w:t>de</w:t>
      </w:r>
      <w:r w:rsidR="00F373A3" w:rsidRPr="00181FCD">
        <w:t xml:space="preserve"> </w:t>
      </w:r>
      <w:r w:rsidRPr="00181FCD">
        <w:t>Europol,</w:t>
      </w:r>
      <w:r w:rsidR="00F373A3" w:rsidRPr="00181FCD">
        <w:t xml:space="preserve"> </w:t>
      </w:r>
      <w:r w:rsidRPr="00181FCD">
        <w:t>Eurojust</w:t>
      </w:r>
      <w:r w:rsidR="00F373A3" w:rsidRPr="00181FCD">
        <w:t xml:space="preserve"> </w:t>
      </w:r>
      <w:r w:rsidRPr="00181FCD">
        <w:t>y</w:t>
      </w:r>
      <w:r w:rsidR="00F373A3" w:rsidRPr="00181FCD">
        <w:t xml:space="preserve"> </w:t>
      </w:r>
      <w:r w:rsidRPr="00181FCD">
        <w:t>la</w:t>
      </w:r>
      <w:r w:rsidR="00F373A3" w:rsidRPr="00181FCD">
        <w:t xml:space="preserve"> </w:t>
      </w:r>
      <w:r w:rsidRPr="00181FCD">
        <w:t>Oficina</w:t>
      </w:r>
      <w:r w:rsidR="00F373A3" w:rsidRPr="00181FCD">
        <w:t xml:space="preserve"> </w:t>
      </w:r>
      <w:r w:rsidRPr="00181FCD">
        <w:t>SIRENE.</w:t>
      </w:r>
      <w:r w:rsidR="00672EC2" w:rsidRPr="00181FCD">
        <w:t xml:space="preserve"> </w:t>
      </w:r>
      <w:r w:rsidRPr="00181FCD">
        <w:t>Bulgaria</w:t>
      </w:r>
      <w:r w:rsidR="00F373A3" w:rsidRPr="00181FCD">
        <w:t xml:space="preserve"> </w:t>
      </w:r>
      <w:r w:rsidRPr="00181FCD">
        <w:t>participa</w:t>
      </w:r>
      <w:r w:rsidR="00F373A3" w:rsidRPr="00181FCD">
        <w:t xml:space="preserve"> </w:t>
      </w:r>
      <w:r w:rsidRPr="00181FCD">
        <w:t>en</w:t>
      </w:r>
      <w:r w:rsidR="00F373A3" w:rsidRPr="00181FCD">
        <w:t xml:space="preserve"> </w:t>
      </w:r>
      <w:r w:rsidRPr="00181FCD">
        <w:t>equipos</w:t>
      </w:r>
      <w:r w:rsidR="00F373A3" w:rsidRPr="00181FCD">
        <w:t xml:space="preserve"> </w:t>
      </w:r>
      <w:r w:rsidRPr="00181FCD">
        <w:t>conjuntos</w:t>
      </w:r>
      <w:r w:rsidR="00F373A3" w:rsidRPr="00181FCD">
        <w:t xml:space="preserve"> </w:t>
      </w:r>
      <w:r w:rsidRPr="00181FCD">
        <w:t>sobre</w:t>
      </w:r>
      <w:r w:rsidR="00F373A3" w:rsidRPr="00181FCD">
        <w:t xml:space="preserve"> </w:t>
      </w:r>
      <w:r w:rsidRPr="00181FCD">
        <w:t>la</w:t>
      </w:r>
      <w:r w:rsidR="00F373A3" w:rsidRPr="00181FCD">
        <w:t xml:space="preserve"> </w:t>
      </w:r>
      <w:r w:rsidRPr="00181FCD">
        <w:t>trata</w:t>
      </w:r>
      <w:r w:rsidR="00F373A3" w:rsidRPr="00181FCD">
        <w:t xml:space="preserve"> </w:t>
      </w:r>
      <w:r w:rsidRPr="00181FCD">
        <w:t>de</w:t>
      </w:r>
      <w:r w:rsidR="00F373A3" w:rsidRPr="00181FCD">
        <w:t xml:space="preserve"> </w:t>
      </w:r>
      <w:r w:rsidRPr="00181FCD">
        <w:t>seres</w:t>
      </w:r>
      <w:r w:rsidR="00F373A3" w:rsidRPr="00181FCD">
        <w:t xml:space="preserve"> </w:t>
      </w:r>
      <w:r w:rsidRPr="00181FCD">
        <w:t>humanos</w:t>
      </w:r>
      <w:r w:rsidR="00F373A3" w:rsidRPr="00181FCD">
        <w:t xml:space="preserve"> </w:t>
      </w:r>
      <w:r w:rsidRPr="00181FCD">
        <w:t>con</w:t>
      </w:r>
      <w:r w:rsidR="00F373A3" w:rsidRPr="00181FCD">
        <w:t xml:space="preserve"> </w:t>
      </w:r>
      <w:r w:rsidRPr="00181FCD">
        <w:t>varios</w:t>
      </w:r>
      <w:r w:rsidR="00F373A3" w:rsidRPr="00181FCD">
        <w:t xml:space="preserve"> </w:t>
      </w:r>
      <w:r w:rsidRPr="00181FCD">
        <w:t>miembros</w:t>
      </w:r>
      <w:r w:rsidR="00F373A3" w:rsidRPr="00181FCD">
        <w:t xml:space="preserve"> </w:t>
      </w:r>
      <w:r w:rsidRPr="00181FCD">
        <w:t>de</w:t>
      </w:r>
      <w:r w:rsidR="00F373A3" w:rsidRPr="00181FCD">
        <w:t xml:space="preserve"> </w:t>
      </w:r>
      <w:r w:rsidRPr="00181FCD">
        <w:t>la</w:t>
      </w:r>
      <w:r w:rsidR="00F373A3" w:rsidRPr="00181FCD">
        <w:t xml:space="preserve"> </w:t>
      </w:r>
      <w:r w:rsidRPr="00181FCD">
        <w:t>Unión</w:t>
      </w:r>
      <w:r w:rsidR="00F373A3" w:rsidRPr="00181FCD">
        <w:t xml:space="preserve"> </w:t>
      </w:r>
      <w:r w:rsidRPr="00181FCD">
        <w:t>Europea</w:t>
      </w:r>
      <w:r w:rsidR="00F373A3" w:rsidRPr="00181FCD">
        <w:t xml:space="preserve"> </w:t>
      </w:r>
      <w:r w:rsidRPr="00181FCD">
        <w:t>(Francia,</w:t>
      </w:r>
      <w:r w:rsidR="00F373A3" w:rsidRPr="00181FCD">
        <w:t xml:space="preserve"> </w:t>
      </w:r>
      <w:r w:rsidRPr="00181FCD">
        <w:t>Alemania,</w:t>
      </w:r>
      <w:r w:rsidR="00F373A3" w:rsidRPr="00181FCD">
        <w:t xml:space="preserve"> </w:t>
      </w:r>
      <w:r w:rsidRPr="00181FCD">
        <w:t>los</w:t>
      </w:r>
      <w:r w:rsidR="00F373A3" w:rsidRPr="00181FCD">
        <w:t xml:space="preserve"> </w:t>
      </w:r>
      <w:r w:rsidRPr="00181FCD">
        <w:t>Países</w:t>
      </w:r>
      <w:r w:rsidR="00F373A3" w:rsidRPr="00181FCD">
        <w:t xml:space="preserve"> </w:t>
      </w:r>
      <w:r w:rsidRPr="00181FCD">
        <w:t>Bajos,</w:t>
      </w:r>
      <w:r w:rsidR="00F373A3" w:rsidRPr="00181FCD">
        <w:t xml:space="preserve"> </w:t>
      </w:r>
      <w:r w:rsidRPr="00181FCD">
        <w:t>etc.).</w:t>
      </w:r>
      <w:r w:rsidR="00F373A3" w:rsidRPr="00181FCD">
        <w:t xml:space="preserve"> </w:t>
      </w:r>
      <w:r w:rsidRPr="00181FCD">
        <w:t>Se</w:t>
      </w:r>
      <w:r w:rsidR="00F373A3" w:rsidRPr="00181FCD">
        <w:t xml:space="preserve"> </w:t>
      </w:r>
      <w:r w:rsidRPr="00181FCD">
        <w:t>lleva</w:t>
      </w:r>
      <w:r w:rsidR="00F373A3" w:rsidRPr="00181FCD">
        <w:t xml:space="preserve"> </w:t>
      </w:r>
      <w:r w:rsidRPr="00181FCD">
        <w:t>a</w:t>
      </w:r>
      <w:r w:rsidR="00F373A3" w:rsidRPr="00181FCD">
        <w:t xml:space="preserve"> </w:t>
      </w:r>
      <w:r w:rsidRPr="00181FCD">
        <w:t>cabo</w:t>
      </w:r>
      <w:r w:rsidR="00F373A3" w:rsidRPr="00181FCD">
        <w:t xml:space="preserve"> </w:t>
      </w:r>
      <w:r w:rsidRPr="00181FCD">
        <w:t>un</w:t>
      </w:r>
      <w:r w:rsidR="00F373A3" w:rsidRPr="00181FCD">
        <w:t xml:space="preserve"> </w:t>
      </w:r>
      <w:r w:rsidRPr="00181FCD">
        <w:t>intercambio</w:t>
      </w:r>
      <w:r w:rsidR="00F373A3" w:rsidRPr="00181FCD">
        <w:t xml:space="preserve"> </w:t>
      </w:r>
      <w:r w:rsidRPr="00181FCD">
        <w:t>operacional</w:t>
      </w:r>
      <w:r w:rsidR="00F373A3" w:rsidRPr="00181FCD">
        <w:t xml:space="preserve"> </w:t>
      </w:r>
      <w:r w:rsidRPr="00181FCD">
        <w:t>de</w:t>
      </w:r>
      <w:r w:rsidR="00F373A3" w:rsidRPr="00181FCD">
        <w:t xml:space="preserve"> </w:t>
      </w:r>
      <w:r w:rsidRPr="00181FCD">
        <w:t>información</w:t>
      </w:r>
      <w:r w:rsidR="00F373A3" w:rsidRPr="00181FCD">
        <w:t xml:space="preserve"> </w:t>
      </w:r>
      <w:r w:rsidRPr="00181FCD">
        <w:t>en</w:t>
      </w:r>
      <w:r w:rsidR="00F373A3" w:rsidRPr="00181FCD">
        <w:t xml:space="preserve"> </w:t>
      </w:r>
      <w:r w:rsidRPr="00181FCD">
        <w:t>tiempo</w:t>
      </w:r>
      <w:r w:rsidR="00F373A3" w:rsidRPr="00181FCD">
        <w:t xml:space="preserve"> </w:t>
      </w:r>
      <w:r w:rsidRPr="00181FCD">
        <w:t>real</w:t>
      </w:r>
      <w:r w:rsidR="00F373A3" w:rsidRPr="00181FCD">
        <w:t xml:space="preserve"> </w:t>
      </w:r>
      <w:r w:rsidRPr="00181FCD">
        <w:t>sobre</w:t>
      </w:r>
      <w:r w:rsidR="00F373A3" w:rsidRPr="00181FCD">
        <w:t xml:space="preserve"> </w:t>
      </w:r>
      <w:r w:rsidRPr="00181FCD">
        <w:t>posibles</w:t>
      </w:r>
      <w:r w:rsidR="00F373A3" w:rsidRPr="00181FCD">
        <w:t xml:space="preserve"> </w:t>
      </w:r>
      <w:r w:rsidRPr="00181FCD">
        <w:t>víctimas</w:t>
      </w:r>
      <w:r w:rsidR="00F373A3" w:rsidRPr="00181FCD">
        <w:t xml:space="preserve"> </w:t>
      </w:r>
      <w:r w:rsidRPr="00181FCD">
        <w:t>y</w:t>
      </w:r>
      <w:r w:rsidR="00F373A3" w:rsidRPr="00181FCD">
        <w:t xml:space="preserve"> </w:t>
      </w:r>
      <w:r w:rsidRPr="00181FCD">
        <w:t>traficantes</w:t>
      </w:r>
      <w:r w:rsidR="00F373A3" w:rsidRPr="00181FCD">
        <w:t xml:space="preserve"> </w:t>
      </w:r>
      <w:r w:rsidRPr="00181FCD">
        <w:t>con</w:t>
      </w:r>
      <w:r w:rsidR="00F373A3" w:rsidRPr="00181FCD">
        <w:t xml:space="preserve"> </w:t>
      </w:r>
      <w:r w:rsidRPr="00181FCD">
        <w:t>las</w:t>
      </w:r>
      <w:r w:rsidR="00F373A3" w:rsidRPr="00181FCD">
        <w:t xml:space="preserve"> </w:t>
      </w:r>
      <w:r w:rsidRPr="00181FCD">
        <w:t>autoridades</w:t>
      </w:r>
      <w:r w:rsidR="00F373A3" w:rsidRPr="00181FCD">
        <w:t xml:space="preserve"> </w:t>
      </w:r>
      <w:r w:rsidRPr="00181FCD">
        <w:t>policiales</w:t>
      </w:r>
      <w:r w:rsidR="00F373A3" w:rsidRPr="00181FCD">
        <w:t xml:space="preserve"> </w:t>
      </w:r>
      <w:r w:rsidRPr="00181FCD">
        <w:t>de</w:t>
      </w:r>
      <w:r w:rsidR="00F373A3" w:rsidRPr="00181FCD">
        <w:t xml:space="preserve"> </w:t>
      </w:r>
      <w:r w:rsidRPr="00181FCD">
        <w:t>los</w:t>
      </w:r>
      <w:r w:rsidR="00F373A3" w:rsidRPr="00181FCD">
        <w:t xml:space="preserve"> </w:t>
      </w:r>
      <w:r w:rsidRPr="00181FCD">
        <w:t>Estados</w:t>
      </w:r>
      <w:r w:rsidR="00F373A3" w:rsidRPr="00181FCD">
        <w:t xml:space="preserve"> </w:t>
      </w:r>
      <w:r w:rsidRPr="00181FCD">
        <w:t>miembros</w:t>
      </w:r>
      <w:r w:rsidR="00F373A3" w:rsidRPr="00181FCD">
        <w:t xml:space="preserve"> </w:t>
      </w:r>
      <w:r w:rsidRPr="00181FCD">
        <w:t>de</w:t>
      </w:r>
      <w:r w:rsidR="00F373A3" w:rsidRPr="00181FCD">
        <w:t xml:space="preserve"> </w:t>
      </w:r>
      <w:r w:rsidRPr="00181FCD">
        <w:t>la</w:t>
      </w:r>
      <w:r w:rsidR="00F373A3" w:rsidRPr="00181FCD">
        <w:t xml:space="preserve"> </w:t>
      </w:r>
      <w:r w:rsidRPr="00181FCD">
        <w:t>Unión</w:t>
      </w:r>
      <w:r w:rsidR="00F373A3" w:rsidRPr="00181FCD">
        <w:t xml:space="preserve"> </w:t>
      </w:r>
      <w:r w:rsidRPr="00181FCD">
        <w:t>Europea.</w:t>
      </w:r>
      <w:r w:rsidR="00F373A3" w:rsidRPr="00181FCD">
        <w:t xml:space="preserve"> </w:t>
      </w:r>
      <w:r w:rsidRPr="00181FCD">
        <w:t>Se</w:t>
      </w:r>
      <w:r w:rsidR="00AD3FF6" w:rsidRPr="00181FCD">
        <w:t> </w:t>
      </w:r>
      <w:r w:rsidRPr="00181FCD">
        <w:t>han</w:t>
      </w:r>
      <w:r w:rsidR="00F373A3" w:rsidRPr="00181FCD">
        <w:t xml:space="preserve"> </w:t>
      </w:r>
      <w:r w:rsidRPr="00181FCD">
        <w:t>establecido</w:t>
      </w:r>
      <w:r w:rsidR="00F373A3" w:rsidRPr="00181FCD">
        <w:t xml:space="preserve"> </w:t>
      </w:r>
      <w:r w:rsidRPr="00181FCD">
        <w:t>centros</w:t>
      </w:r>
      <w:r w:rsidR="00F373A3" w:rsidRPr="00181FCD">
        <w:t xml:space="preserve"> </w:t>
      </w:r>
      <w:r w:rsidRPr="00181FCD">
        <w:t>de</w:t>
      </w:r>
      <w:r w:rsidR="00F373A3" w:rsidRPr="00181FCD">
        <w:t xml:space="preserve"> </w:t>
      </w:r>
      <w:r w:rsidRPr="00181FCD">
        <w:t>contacto</w:t>
      </w:r>
      <w:r w:rsidR="00F373A3" w:rsidRPr="00181FCD">
        <w:t xml:space="preserve"> </w:t>
      </w:r>
      <w:r w:rsidRPr="00181FCD">
        <w:t>comunes</w:t>
      </w:r>
      <w:r w:rsidR="00F373A3" w:rsidRPr="00181FCD">
        <w:t xml:space="preserve"> </w:t>
      </w:r>
      <w:r w:rsidRPr="00181FCD">
        <w:t>en</w:t>
      </w:r>
      <w:r w:rsidR="00F373A3" w:rsidRPr="00181FCD">
        <w:t xml:space="preserve"> </w:t>
      </w:r>
      <w:r w:rsidRPr="00181FCD">
        <w:t>cuatro</w:t>
      </w:r>
      <w:r w:rsidR="00F373A3" w:rsidRPr="00181FCD">
        <w:t xml:space="preserve"> </w:t>
      </w:r>
      <w:r w:rsidRPr="00181FCD">
        <w:t>de</w:t>
      </w:r>
      <w:r w:rsidR="00F373A3" w:rsidRPr="00181FCD">
        <w:t xml:space="preserve"> </w:t>
      </w:r>
      <w:r w:rsidRPr="00181FCD">
        <w:t>las</w:t>
      </w:r>
      <w:r w:rsidR="00F373A3" w:rsidRPr="00181FCD">
        <w:t xml:space="preserve"> </w:t>
      </w:r>
      <w:r w:rsidRPr="00181FCD">
        <w:t>cinco</w:t>
      </w:r>
      <w:r w:rsidR="00F373A3" w:rsidRPr="00181FCD">
        <w:t xml:space="preserve"> </w:t>
      </w:r>
      <w:r w:rsidRPr="00181FCD">
        <w:t>fronteras</w:t>
      </w:r>
      <w:r w:rsidR="00F373A3" w:rsidRPr="00181FCD">
        <w:t xml:space="preserve"> </w:t>
      </w:r>
      <w:r w:rsidRPr="00181FCD">
        <w:t>de</w:t>
      </w:r>
      <w:r w:rsidR="00F373A3" w:rsidRPr="00181FCD">
        <w:t xml:space="preserve"> </w:t>
      </w:r>
      <w:r w:rsidRPr="00181FCD">
        <w:t>Bulgaria,</w:t>
      </w:r>
      <w:r w:rsidR="00F373A3" w:rsidRPr="00181FCD">
        <w:t xml:space="preserve"> </w:t>
      </w:r>
      <w:r w:rsidRPr="00181FCD">
        <w:t>para</w:t>
      </w:r>
      <w:r w:rsidR="00F373A3" w:rsidRPr="00181FCD">
        <w:t xml:space="preserve"> </w:t>
      </w:r>
      <w:r w:rsidRPr="00181FCD">
        <w:t>el</w:t>
      </w:r>
      <w:r w:rsidR="00F373A3" w:rsidRPr="00181FCD">
        <w:t xml:space="preserve"> </w:t>
      </w:r>
      <w:r w:rsidRPr="00181FCD">
        <w:t>intercambio</w:t>
      </w:r>
      <w:r w:rsidR="00F373A3" w:rsidRPr="00181FCD">
        <w:t xml:space="preserve"> </w:t>
      </w:r>
      <w:r w:rsidRPr="00181FCD">
        <w:t>de</w:t>
      </w:r>
      <w:r w:rsidR="00F373A3" w:rsidRPr="00181FCD">
        <w:t xml:space="preserve"> </w:t>
      </w:r>
      <w:r w:rsidRPr="00181FCD">
        <w:t>información</w:t>
      </w:r>
      <w:r w:rsidR="00F373A3" w:rsidRPr="00181FCD">
        <w:t xml:space="preserve"> </w:t>
      </w:r>
      <w:r w:rsidRPr="00181FCD">
        <w:t>en</w:t>
      </w:r>
      <w:r w:rsidR="00F373A3" w:rsidRPr="00181FCD">
        <w:t xml:space="preserve"> </w:t>
      </w:r>
      <w:r w:rsidRPr="00181FCD">
        <w:t>tiempo</w:t>
      </w:r>
      <w:r w:rsidR="00F373A3" w:rsidRPr="00181FCD">
        <w:t xml:space="preserve"> </w:t>
      </w:r>
      <w:r w:rsidRPr="00181FCD">
        <w:t>real,</w:t>
      </w:r>
      <w:r w:rsidR="00F373A3" w:rsidRPr="00181FCD">
        <w:t xml:space="preserve"> </w:t>
      </w:r>
      <w:r w:rsidRPr="00181FCD">
        <w:t>en</w:t>
      </w:r>
      <w:r w:rsidR="00F373A3" w:rsidRPr="00181FCD">
        <w:t xml:space="preserve"> </w:t>
      </w:r>
      <w:r w:rsidRPr="00181FCD">
        <w:t>particular,</w:t>
      </w:r>
      <w:r w:rsidR="00F373A3" w:rsidRPr="00181FCD">
        <w:t xml:space="preserve"> </w:t>
      </w:r>
      <w:r w:rsidRPr="00181FCD">
        <w:t>sobre</w:t>
      </w:r>
      <w:r w:rsidR="00F373A3" w:rsidRPr="00181FCD">
        <w:t xml:space="preserve"> </w:t>
      </w:r>
      <w:r w:rsidRPr="00181FCD">
        <w:t>los</w:t>
      </w:r>
      <w:r w:rsidR="00F373A3" w:rsidRPr="00181FCD">
        <w:t xml:space="preserve"> </w:t>
      </w:r>
      <w:r w:rsidRPr="00181FCD">
        <w:t>casos</w:t>
      </w:r>
      <w:r w:rsidR="00F373A3" w:rsidRPr="00181FCD">
        <w:t xml:space="preserve"> </w:t>
      </w:r>
      <w:r w:rsidRPr="00181FCD">
        <w:t>de</w:t>
      </w:r>
      <w:r w:rsidR="00F373A3" w:rsidRPr="00181FCD">
        <w:t xml:space="preserve"> </w:t>
      </w:r>
      <w:r w:rsidRPr="00181FCD">
        <w:t>trata</w:t>
      </w:r>
      <w:r w:rsidR="00F373A3" w:rsidRPr="00181FCD">
        <w:t xml:space="preserve"> </w:t>
      </w:r>
      <w:r w:rsidRPr="00181FCD">
        <w:t>de</w:t>
      </w:r>
      <w:r w:rsidR="00F373A3" w:rsidRPr="00181FCD">
        <w:t xml:space="preserve"> </w:t>
      </w:r>
      <w:r w:rsidRPr="00181FCD">
        <w:t>seres</w:t>
      </w:r>
      <w:r w:rsidR="00F373A3" w:rsidRPr="00181FCD">
        <w:t xml:space="preserve"> </w:t>
      </w:r>
      <w:r w:rsidRPr="00181FCD">
        <w:t>humanos.</w:t>
      </w:r>
    </w:p>
    <w:p w:rsidR="001937F4" w:rsidRPr="00181FCD" w:rsidRDefault="001937F4" w:rsidP="00347B20">
      <w:pPr>
        <w:pStyle w:val="SingleTxtG"/>
        <w:suppressAutoHyphens/>
      </w:pPr>
      <w:r w:rsidRPr="00181FCD">
        <w:t>71.</w:t>
      </w:r>
      <w:r w:rsidRPr="00181FCD">
        <w:tab/>
        <w:t>La</w:t>
      </w:r>
      <w:r w:rsidR="00F373A3" w:rsidRPr="00181FCD">
        <w:t xml:space="preserve"> </w:t>
      </w:r>
      <w:r w:rsidRPr="00181FCD">
        <w:t>Comisión</w:t>
      </w:r>
      <w:r w:rsidR="00F373A3" w:rsidRPr="00181FCD">
        <w:t xml:space="preserve"> </w:t>
      </w:r>
      <w:r w:rsidRPr="00181FCD">
        <w:t>Nacional</w:t>
      </w:r>
      <w:r w:rsidR="00F373A3" w:rsidRPr="00181FCD">
        <w:t xml:space="preserve"> </w:t>
      </w:r>
      <w:r w:rsidRPr="00181FCD">
        <w:t>de</w:t>
      </w:r>
      <w:r w:rsidR="00F373A3" w:rsidRPr="00181FCD">
        <w:t xml:space="preserve"> </w:t>
      </w:r>
      <w:r w:rsidRPr="00181FCD">
        <w:t>Lucha</w:t>
      </w:r>
      <w:r w:rsidR="00F373A3" w:rsidRPr="00181FCD">
        <w:t xml:space="preserve"> </w:t>
      </w:r>
      <w:r w:rsidRPr="00181FCD">
        <w:t>contra</w:t>
      </w:r>
      <w:r w:rsidR="00F373A3" w:rsidRPr="00181FCD">
        <w:t xml:space="preserve"> </w:t>
      </w:r>
      <w:r w:rsidRPr="00181FCD">
        <w:t>la</w:t>
      </w:r>
      <w:r w:rsidR="00F373A3" w:rsidRPr="00181FCD">
        <w:t xml:space="preserve"> </w:t>
      </w:r>
      <w:r w:rsidRPr="00181FCD">
        <w:t>Trata</w:t>
      </w:r>
      <w:r w:rsidR="00F373A3" w:rsidRPr="00181FCD">
        <w:t xml:space="preserve"> </w:t>
      </w:r>
      <w:r w:rsidRPr="00181FCD">
        <w:t>de</w:t>
      </w:r>
      <w:r w:rsidR="00F373A3" w:rsidRPr="00181FCD">
        <w:t xml:space="preserve"> </w:t>
      </w:r>
      <w:r w:rsidRPr="00181FCD">
        <w:t>Seres</w:t>
      </w:r>
      <w:r w:rsidR="00F373A3" w:rsidRPr="00181FCD">
        <w:t xml:space="preserve"> </w:t>
      </w:r>
      <w:r w:rsidRPr="00181FCD">
        <w:t>Humanos</w:t>
      </w:r>
      <w:r w:rsidR="00F373A3" w:rsidRPr="00181FCD">
        <w:t xml:space="preserve"> </w:t>
      </w:r>
      <w:r w:rsidRPr="00181FCD">
        <w:t>actúa</w:t>
      </w:r>
      <w:r w:rsidR="00F373A3" w:rsidRPr="00181FCD">
        <w:t xml:space="preserve"> </w:t>
      </w:r>
      <w:r w:rsidRPr="00181FCD">
        <w:t>como</w:t>
      </w:r>
      <w:r w:rsidR="00F373A3" w:rsidRPr="00181FCD">
        <w:t xml:space="preserve"> </w:t>
      </w:r>
      <w:r w:rsidRPr="00181FCD">
        <w:t>coordinador</w:t>
      </w:r>
      <w:r w:rsidR="00F373A3" w:rsidRPr="00181FCD">
        <w:t xml:space="preserve"> </w:t>
      </w:r>
      <w:r w:rsidRPr="00181FCD">
        <w:t>de</w:t>
      </w:r>
      <w:r w:rsidR="00F373A3" w:rsidRPr="00181FCD">
        <w:t xml:space="preserve"> </w:t>
      </w:r>
      <w:r w:rsidRPr="00181FCD">
        <w:t>un</w:t>
      </w:r>
      <w:r w:rsidR="00F373A3" w:rsidRPr="00181FCD">
        <w:t xml:space="preserve"> </w:t>
      </w:r>
      <w:r w:rsidRPr="00181FCD">
        <w:t>proyecto</w:t>
      </w:r>
      <w:r w:rsidR="00F373A3" w:rsidRPr="00181FCD">
        <w:t xml:space="preserve"> </w:t>
      </w:r>
      <w:r w:rsidRPr="00181FCD">
        <w:t>bianual</w:t>
      </w:r>
      <w:r w:rsidR="00F373A3" w:rsidRPr="00181FCD">
        <w:t xml:space="preserve"> </w:t>
      </w:r>
      <w:r w:rsidRPr="00181FCD">
        <w:t>conjunto</w:t>
      </w:r>
      <w:r w:rsidR="00F373A3" w:rsidRPr="00181FCD">
        <w:t xml:space="preserve"> </w:t>
      </w:r>
      <w:r w:rsidRPr="00181FCD">
        <w:t>con</w:t>
      </w:r>
      <w:r w:rsidR="00F373A3" w:rsidRPr="00181FCD">
        <w:t xml:space="preserve"> </w:t>
      </w:r>
      <w:r w:rsidRPr="00181FCD">
        <w:t>Francia,</w:t>
      </w:r>
      <w:r w:rsidR="00F373A3" w:rsidRPr="00181FCD">
        <w:t xml:space="preserve"> </w:t>
      </w:r>
      <w:r w:rsidRPr="00181FCD">
        <w:t>titulado</w:t>
      </w:r>
      <w:r w:rsidR="00F373A3" w:rsidRPr="00181FCD">
        <w:t xml:space="preserve"> "</w:t>
      </w:r>
      <w:r w:rsidRPr="00181FCD">
        <w:t>Prevención</w:t>
      </w:r>
      <w:r w:rsidR="00F373A3" w:rsidRPr="00181FCD">
        <w:t xml:space="preserve"> </w:t>
      </w:r>
      <w:r w:rsidRPr="00181FCD">
        <w:t>de</w:t>
      </w:r>
      <w:r w:rsidR="00F373A3" w:rsidRPr="00181FCD">
        <w:t xml:space="preserve"> </w:t>
      </w:r>
      <w:r w:rsidRPr="00181FCD">
        <w:t>la</w:t>
      </w:r>
      <w:r w:rsidR="00F373A3" w:rsidRPr="00181FCD">
        <w:t xml:space="preserve"> </w:t>
      </w:r>
      <w:r w:rsidRPr="00181FCD">
        <w:t>trata</w:t>
      </w:r>
      <w:r w:rsidR="00F373A3" w:rsidRPr="00181FCD">
        <w:t xml:space="preserve"> </w:t>
      </w:r>
      <w:r w:rsidRPr="00181FCD">
        <w:t>de</w:t>
      </w:r>
      <w:r w:rsidR="00F373A3" w:rsidRPr="00181FCD">
        <w:t xml:space="preserve"> </w:t>
      </w:r>
      <w:r w:rsidRPr="00181FCD">
        <w:t>personas</w:t>
      </w:r>
      <w:r w:rsidR="00F373A3" w:rsidRPr="00181FCD">
        <w:t xml:space="preserve"> </w:t>
      </w:r>
      <w:r w:rsidRPr="00181FCD">
        <w:t>pertenecientes</w:t>
      </w:r>
      <w:r w:rsidR="00F373A3" w:rsidRPr="00181FCD">
        <w:t xml:space="preserve"> </w:t>
      </w:r>
      <w:r w:rsidRPr="00181FCD">
        <w:t>a</w:t>
      </w:r>
      <w:r w:rsidR="00F373A3" w:rsidRPr="00181FCD">
        <w:t xml:space="preserve"> </w:t>
      </w:r>
      <w:r w:rsidRPr="00181FCD">
        <w:t>minorías</w:t>
      </w:r>
      <w:r w:rsidR="00F373A3" w:rsidRPr="00181FCD">
        <w:t xml:space="preserve"> </w:t>
      </w:r>
      <w:r w:rsidRPr="00181FCD">
        <w:t>étnicas,</w:t>
      </w:r>
      <w:r w:rsidR="00F373A3" w:rsidRPr="00181FCD">
        <w:t xml:space="preserve"> </w:t>
      </w:r>
      <w:r w:rsidRPr="00181FCD">
        <w:t>con</w:t>
      </w:r>
      <w:r w:rsidR="00F373A3" w:rsidRPr="00181FCD">
        <w:t xml:space="preserve"> </w:t>
      </w:r>
      <w:r w:rsidRPr="00181FCD">
        <w:t>especial</w:t>
      </w:r>
      <w:r w:rsidR="00F373A3" w:rsidRPr="00181FCD">
        <w:t xml:space="preserve"> </w:t>
      </w:r>
      <w:r w:rsidRPr="00181FCD">
        <w:t>enfoque</w:t>
      </w:r>
      <w:r w:rsidR="00F373A3" w:rsidRPr="00181FCD">
        <w:t xml:space="preserve"> </w:t>
      </w:r>
      <w:r w:rsidRPr="00181FCD">
        <w:t>en</w:t>
      </w:r>
      <w:r w:rsidR="00F373A3" w:rsidRPr="00181FCD">
        <w:t xml:space="preserve"> </w:t>
      </w:r>
      <w:r w:rsidRPr="00181FCD">
        <w:t>los</w:t>
      </w:r>
      <w:r w:rsidR="00F373A3" w:rsidRPr="00181FCD">
        <w:t xml:space="preserve"> </w:t>
      </w:r>
      <w:r w:rsidRPr="00181FCD">
        <w:t>romaníes</w:t>
      </w:r>
      <w:r w:rsidR="00F373A3" w:rsidRPr="00181FCD">
        <w:t xml:space="preserve"> </w:t>
      </w:r>
      <w:r w:rsidRPr="00181FCD">
        <w:t>en</w:t>
      </w:r>
      <w:r w:rsidR="00F373A3" w:rsidRPr="00181FCD">
        <w:t xml:space="preserve"> </w:t>
      </w:r>
      <w:r w:rsidRPr="00181FCD">
        <w:t>Bulgaria</w:t>
      </w:r>
      <w:r w:rsidR="00F373A3" w:rsidRPr="00181FCD">
        <w:t>"</w:t>
      </w:r>
      <w:r w:rsidRPr="00181FCD">
        <w:t>.</w:t>
      </w:r>
      <w:r w:rsidR="00F373A3" w:rsidRPr="00181FCD">
        <w:t xml:space="preserve"> </w:t>
      </w:r>
      <w:r w:rsidRPr="00181FCD">
        <w:t>La</w:t>
      </w:r>
      <w:r w:rsidR="00F373A3" w:rsidRPr="00181FCD">
        <w:t xml:space="preserve"> </w:t>
      </w:r>
      <w:r w:rsidRPr="00181FCD">
        <w:t>Comisión,</w:t>
      </w:r>
      <w:r w:rsidR="00F373A3" w:rsidRPr="00181FCD">
        <w:t xml:space="preserve"> </w:t>
      </w:r>
      <w:r w:rsidRPr="00181FCD">
        <w:t>junto</w:t>
      </w:r>
      <w:r w:rsidR="00F373A3" w:rsidRPr="00181FCD">
        <w:t xml:space="preserve"> </w:t>
      </w:r>
      <w:r w:rsidRPr="00181FCD">
        <w:t>con</w:t>
      </w:r>
      <w:r w:rsidR="00F373A3" w:rsidRPr="00181FCD">
        <w:t xml:space="preserve"> </w:t>
      </w:r>
      <w:r w:rsidRPr="00181FCD">
        <w:t>la</w:t>
      </w:r>
      <w:r w:rsidR="00F373A3" w:rsidRPr="00181FCD">
        <w:t xml:space="preserve"> </w:t>
      </w:r>
      <w:r w:rsidRPr="00181FCD">
        <w:t>Agencia</w:t>
      </w:r>
      <w:r w:rsidR="00F373A3" w:rsidRPr="00181FCD">
        <w:t xml:space="preserve"> </w:t>
      </w:r>
      <w:r w:rsidRPr="00181FCD">
        <w:t>Rumana</w:t>
      </w:r>
      <w:r w:rsidR="00F373A3" w:rsidRPr="00181FCD">
        <w:t xml:space="preserve"> </w:t>
      </w:r>
      <w:r w:rsidRPr="00181FCD">
        <w:t>contra</w:t>
      </w:r>
      <w:r w:rsidR="00F373A3" w:rsidRPr="00181FCD">
        <w:t xml:space="preserve"> </w:t>
      </w:r>
      <w:r w:rsidRPr="00181FCD">
        <w:t>la</w:t>
      </w:r>
      <w:r w:rsidR="00F373A3" w:rsidRPr="00181FCD">
        <w:t xml:space="preserve"> </w:t>
      </w:r>
      <w:r w:rsidRPr="00181FCD">
        <w:t>Trata</w:t>
      </w:r>
      <w:r w:rsidR="00F373A3" w:rsidRPr="00181FCD">
        <w:t xml:space="preserve"> </w:t>
      </w:r>
      <w:r w:rsidRPr="00181FCD">
        <w:t>de</w:t>
      </w:r>
      <w:r w:rsidR="00F373A3" w:rsidRPr="00181FCD">
        <w:t xml:space="preserve"> </w:t>
      </w:r>
      <w:r w:rsidRPr="00181FCD">
        <w:t>Seres</w:t>
      </w:r>
      <w:r w:rsidR="00F373A3" w:rsidRPr="00181FCD">
        <w:t xml:space="preserve"> </w:t>
      </w:r>
      <w:r w:rsidRPr="00181FCD">
        <w:t>Humanos,</w:t>
      </w:r>
      <w:r w:rsidR="00F373A3" w:rsidRPr="00181FCD">
        <w:t xml:space="preserve"> </w:t>
      </w:r>
      <w:r w:rsidRPr="00181FCD">
        <w:t>se</w:t>
      </w:r>
      <w:r w:rsidR="00F373A3" w:rsidRPr="00181FCD">
        <w:t xml:space="preserve"> </w:t>
      </w:r>
      <w:r w:rsidRPr="00181FCD">
        <w:t>ha</w:t>
      </w:r>
      <w:r w:rsidR="00F373A3" w:rsidRPr="00181FCD">
        <w:t xml:space="preserve"> </w:t>
      </w:r>
      <w:r w:rsidRPr="00181FCD">
        <w:t>asociado</w:t>
      </w:r>
      <w:r w:rsidR="00F373A3" w:rsidRPr="00181FCD">
        <w:t xml:space="preserve"> </w:t>
      </w:r>
      <w:r w:rsidRPr="00181FCD">
        <w:t>en</w:t>
      </w:r>
      <w:r w:rsidR="00F373A3" w:rsidRPr="00181FCD">
        <w:t xml:space="preserve"> </w:t>
      </w:r>
      <w:r w:rsidRPr="00181FCD">
        <w:t>un</w:t>
      </w:r>
      <w:r w:rsidR="00F373A3" w:rsidRPr="00181FCD">
        <w:t xml:space="preserve"> </w:t>
      </w:r>
      <w:r w:rsidRPr="00181FCD">
        <w:t>proyecto</w:t>
      </w:r>
      <w:r w:rsidR="00F373A3" w:rsidRPr="00181FCD">
        <w:t xml:space="preserve"> </w:t>
      </w:r>
      <w:r w:rsidRPr="00181FCD">
        <w:t>para</w:t>
      </w:r>
      <w:r w:rsidR="00F373A3" w:rsidRPr="00181FCD">
        <w:t xml:space="preserve"> </w:t>
      </w:r>
      <w:r w:rsidRPr="00181FCD">
        <w:t>reducir</w:t>
      </w:r>
      <w:r w:rsidR="00F373A3" w:rsidRPr="00181FCD">
        <w:t xml:space="preserve"> </w:t>
      </w:r>
      <w:r w:rsidRPr="00181FCD">
        <w:t>el</w:t>
      </w:r>
      <w:r w:rsidR="00F373A3" w:rsidRPr="00181FCD">
        <w:t xml:space="preserve"> </w:t>
      </w:r>
      <w:r w:rsidRPr="00181FCD">
        <w:t>número</w:t>
      </w:r>
      <w:r w:rsidR="00F373A3" w:rsidRPr="00181FCD">
        <w:t xml:space="preserve"> </w:t>
      </w:r>
      <w:r w:rsidRPr="00181FCD">
        <w:t>de</w:t>
      </w:r>
      <w:r w:rsidR="00F373A3" w:rsidRPr="00181FCD">
        <w:t xml:space="preserve"> </w:t>
      </w:r>
      <w:r w:rsidRPr="00181FCD">
        <w:t>rumanos</w:t>
      </w:r>
      <w:r w:rsidR="00F373A3" w:rsidRPr="00181FCD">
        <w:t xml:space="preserve"> </w:t>
      </w:r>
      <w:r w:rsidRPr="00181FCD">
        <w:t>y</w:t>
      </w:r>
      <w:r w:rsidR="00F373A3" w:rsidRPr="00181FCD">
        <w:t xml:space="preserve"> </w:t>
      </w:r>
      <w:r w:rsidRPr="00181FCD">
        <w:t>búlgaros</w:t>
      </w:r>
      <w:r w:rsidR="00F373A3" w:rsidRPr="00181FCD">
        <w:t xml:space="preserve"> </w:t>
      </w:r>
      <w:r w:rsidRPr="00181FCD">
        <w:t>que</w:t>
      </w:r>
      <w:r w:rsidR="00F373A3" w:rsidRPr="00181FCD">
        <w:t xml:space="preserve"> </w:t>
      </w:r>
      <w:r w:rsidRPr="00181FCD">
        <w:t>son</w:t>
      </w:r>
      <w:r w:rsidR="00F373A3" w:rsidRPr="00181FCD">
        <w:t xml:space="preserve"> </w:t>
      </w:r>
      <w:r w:rsidRPr="00181FCD">
        <w:t>víctimas</w:t>
      </w:r>
      <w:r w:rsidR="00F373A3" w:rsidRPr="00181FCD">
        <w:t xml:space="preserve"> </w:t>
      </w:r>
      <w:r w:rsidRPr="00181FCD">
        <w:t>de</w:t>
      </w:r>
      <w:r w:rsidR="00F373A3" w:rsidRPr="00181FCD">
        <w:t xml:space="preserve"> </w:t>
      </w:r>
      <w:r w:rsidRPr="00181FCD">
        <w:t>la</w:t>
      </w:r>
      <w:r w:rsidR="00F373A3" w:rsidRPr="00181FCD">
        <w:t xml:space="preserve"> </w:t>
      </w:r>
      <w:r w:rsidRPr="00181FCD">
        <w:t>trata</w:t>
      </w:r>
      <w:r w:rsidR="00F373A3" w:rsidRPr="00181FCD">
        <w:t xml:space="preserve"> </w:t>
      </w:r>
      <w:r w:rsidRPr="00181FCD">
        <w:t>en</w:t>
      </w:r>
      <w:r w:rsidR="00F373A3" w:rsidRPr="00181FCD">
        <w:t xml:space="preserve"> </w:t>
      </w:r>
      <w:r w:rsidRPr="00181FCD">
        <w:t>España</w:t>
      </w:r>
      <w:r w:rsidR="00F373A3" w:rsidRPr="00181FCD">
        <w:t xml:space="preserve"> </w:t>
      </w:r>
      <w:r w:rsidRPr="00181FCD">
        <w:t>e</w:t>
      </w:r>
      <w:r w:rsidR="00F373A3" w:rsidRPr="00181FCD">
        <w:t xml:space="preserve"> </w:t>
      </w:r>
      <w:r w:rsidRPr="00181FCD">
        <w:t>Italia,</w:t>
      </w:r>
      <w:r w:rsidR="00F373A3" w:rsidRPr="00181FCD">
        <w:t xml:space="preserve"> </w:t>
      </w:r>
      <w:r w:rsidRPr="00181FCD">
        <w:t>y</w:t>
      </w:r>
      <w:r w:rsidR="00F373A3" w:rsidRPr="00181FCD">
        <w:t xml:space="preserve"> </w:t>
      </w:r>
      <w:r w:rsidRPr="00181FCD">
        <w:t>actualmente</w:t>
      </w:r>
      <w:r w:rsidR="00F373A3" w:rsidRPr="00181FCD">
        <w:t xml:space="preserve"> </w:t>
      </w:r>
      <w:r w:rsidRPr="00181FCD">
        <w:t>trabaja</w:t>
      </w:r>
      <w:r w:rsidR="00F373A3" w:rsidRPr="00181FCD">
        <w:t xml:space="preserve"> </w:t>
      </w:r>
      <w:r w:rsidRPr="00181FCD">
        <w:t>en</w:t>
      </w:r>
      <w:r w:rsidR="00F373A3" w:rsidRPr="00181FCD">
        <w:t xml:space="preserve"> </w:t>
      </w:r>
      <w:r w:rsidRPr="00181FCD">
        <w:t>el</w:t>
      </w:r>
      <w:r w:rsidR="00F373A3" w:rsidRPr="00181FCD">
        <w:t xml:space="preserve"> </w:t>
      </w:r>
      <w:r w:rsidRPr="00181FCD">
        <w:t>proyecto</w:t>
      </w:r>
      <w:r w:rsidR="00F373A3" w:rsidRPr="00181FCD">
        <w:t xml:space="preserve"> "</w:t>
      </w:r>
      <w:r w:rsidRPr="00181FCD">
        <w:t>Enfoque</w:t>
      </w:r>
      <w:r w:rsidR="00F373A3" w:rsidRPr="00181FCD">
        <w:t xml:space="preserve"> </w:t>
      </w:r>
      <w:r w:rsidRPr="00181FCD">
        <w:t>integrado</w:t>
      </w:r>
      <w:r w:rsidR="00F373A3" w:rsidRPr="00181FCD">
        <w:t xml:space="preserve"> </w:t>
      </w:r>
      <w:r w:rsidRPr="00181FCD">
        <w:t>para</w:t>
      </w:r>
      <w:r w:rsidR="00F373A3" w:rsidRPr="00181FCD">
        <w:t xml:space="preserve"> </w:t>
      </w:r>
      <w:r w:rsidRPr="00181FCD">
        <w:t>la</w:t>
      </w:r>
      <w:r w:rsidR="00F373A3" w:rsidRPr="00181FCD">
        <w:t xml:space="preserve"> </w:t>
      </w:r>
      <w:r w:rsidRPr="00181FCD">
        <w:t>prevención</w:t>
      </w:r>
      <w:r w:rsidR="00F373A3" w:rsidRPr="00181FCD">
        <w:t xml:space="preserve"> </w:t>
      </w:r>
      <w:r w:rsidRPr="00181FCD">
        <w:t>de</w:t>
      </w:r>
      <w:r w:rsidR="00F373A3" w:rsidRPr="00181FCD">
        <w:t xml:space="preserve"> </w:t>
      </w:r>
      <w:r w:rsidRPr="00181FCD">
        <w:t>la</w:t>
      </w:r>
      <w:r w:rsidR="00F373A3" w:rsidRPr="00181FCD">
        <w:t xml:space="preserve"> </w:t>
      </w:r>
      <w:r w:rsidRPr="00181FCD">
        <w:t>explotación</w:t>
      </w:r>
      <w:r w:rsidR="00F373A3" w:rsidRPr="00181FCD">
        <w:t xml:space="preserve"> </w:t>
      </w:r>
      <w:r w:rsidRPr="00181FCD">
        <w:t>laboral</w:t>
      </w:r>
      <w:r w:rsidR="00F373A3" w:rsidRPr="00181FCD">
        <w:t xml:space="preserve"> </w:t>
      </w:r>
      <w:r w:rsidRPr="00181FCD">
        <w:t>en</w:t>
      </w:r>
      <w:r w:rsidR="00F373A3" w:rsidRPr="00181FCD">
        <w:t xml:space="preserve"> </w:t>
      </w:r>
      <w:r w:rsidRPr="00181FCD">
        <w:t>los</w:t>
      </w:r>
      <w:r w:rsidR="00F373A3" w:rsidRPr="00181FCD">
        <w:t xml:space="preserve"> </w:t>
      </w:r>
      <w:r w:rsidRPr="00181FCD">
        <w:t>países</w:t>
      </w:r>
      <w:r w:rsidR="00F373A3" w:rsidRPr="00181FCD">
        <w:t xml:space="preserve"> </w:t>
      </w:r>
      <w:r w:rsidRPr="00181FCD">
        <w:t>de</w:t>
      </w:r>
      <w:r w:rsidR="00F373A3" w:rsidRPr="00181FCD">
        <w:t xml:space="preserve"> </w:t>
      </w:r>
      <w:r w:rsidRPr="00181FCD">
        <w:t>origen</w:t>
      </w:r>
      <w:r w:rsidR="00F373A3" w:rsidRPr="00181FCD">
        <w:t xml:space="preserve"> </w:t>
      </w:r>
      <w:r w:rsidRPr="00181FCD">
        <w:t>y</w:t>
      </w:r>
      <w:r w:rsidR="00F373A3" w:rsidRPr="00181FCD">
        <w:t xml:space="preserve"> </w:t>
      </w:r>
      <w:r w:rsidRPr="00181FCD">
        <w:t>de</w:t>
      </w:r>
      <w:r w:rsidR="00F373A3" w:rsidRPr="00181FCD">
        <w:t xml:space="preserve"> </w:t>
      </w:r>
      <w:r w:rsidRPr="00181FCD">
        <w:t>destino</w:t>
      </w:r>
      <w:r w:rsidR="00F373A3" w:rsidRPr="00181FCD">
        <w:t>"</w:t>
      </w:r>
      <w:r w:rsidRPr="00181FCD">
        <w:t>.</w:t>
      </w:r>
      <w:r w:rsidR="00F373A3" w:rsidRPr="00181FCD">
        <w:t xml:space="preserve"> </w:t>
      </w:r>
      <w:r w:rsidRPr="00181FCD">
        <w:t>Entre</w:t>
      </w:r>
      <w:r w:rsidR="00F373A3" w:rsidRPr="00181FCD">
        <w:t xml:space="preserve"> </w:t>
      </w:r>
      <w:r w:rsidRPr="00181FCD">
        <w:t>otros</w:t>
      </w:r>
      <w:r w:rsidR="00F373A3" w:rsidRPr="00181FCD">
        <w:t xml:space="preserve"> </w:t>
      </w:r>
      <w:r w:rsidRPr="00181FCD">
        <w:t>socios</w:t>
      </w:r>
      <w:r w:rsidR="00F373A3" w:rsidRPr="00181FCD">
        <w:t xml:space="preserve"> </w:t>
      </w:r>
      <w:r w:rsidRPr="00181FCD">
        <w:t>figuran</w:t>
      </w:r>
      <w:r w:rsidR="00F373A3" w:rsidRPr="00181FCD">
        <w:t xml:space="preserve"> </w:t>
      </w:r>
      <w:r w:rsidR="00D562D7" w:rsidRPr="00181FCD">
        <w:t xml:space="preserve">ONG </w:t>
      </w:r>
      <w:r w:rsidRPr="00181FCD">
        <w:t>de</w:t>
      </w:r>
      <w:r w:rsidR="00F373A3" w:rsidRPr="00181FCD">
        <w:t xml:space="preserve"> </w:t>
      </w:r>
      <w:r w:rsidRPr="00181FCD">
        <w:t>Grecia</w:t>
      </w:r>
      <w:r w:rsidR="00F373A3" w:rsidRPr="00181FCD">
        <w:t xml:space="preserve"> </w:t>
      </w:r>
      <w:r w:rsidRPr="00181FCD">
        <w:t>y</w:t>
      </w:r>
      <w:r w:rsidR="00F373A3" w:rsidRPr="00181FCD">
        <w:t xml:space="preserve"> </w:t>
      </w:r>
      <w:r w:rsidRPr="00181FCD">
        <w:t>Chipre,</w:t>
      </w:r>
      <w:r w:rsidR="00F373A3" w:rsidRPr="00181FCD">
        <w:t xml:space="preserve"> </w:t>
      </w:r>
      <w:r w:rsidRPr="00181FCD">
        <w:t>el</w:t>
      </w:r>
      <w:r w:rsidR="00F373A3" w:rsidRPr="00181FCD">
        <w:t xml:space="preserve"> </w:t>
      </w:r>
      <w:r w:rsidRPr="00181FCD">
        <w:t>Ministerio</w:t>
      </w:r>
      <w:r w:rsidR="00F373A3" w:rsidRPr="00181FCD">
        <w:t xml:space="preserve"> </w:t>
      </w:r>
      <w:r w:rsidRPr="00181FCD">
        <w:t>del</w:t>
      </w:r>
      <w:r w:rsidR="00F373A3" w:rsidRPr="00181FCD">
        <w:t xml:space="preserve"> </w:t>
      </w:r>
      <w:r w:rsidRPr="00181FCD">
        <w:t>Interior</w:t>
      </w:r>
      <w:r w:rsidR="00F373A3" w:rsidRPr="00181FCD">
        <w:t xml:space="preserve"> </w:t>
      </w:r>
      <w:r w:rsidRPr="00181FCD">
        <w:t>de</w:t>
      </w:r>
      <w:r w:rsidR="00F373A3" w:rsidRPr="00181FCD">
        <w:t xml:space="preserve"> </w:t>
      </w:r>
      <w:r w:rsidRPr="00181FCD">
        <w:t>Hungría</w:t>
      </w:r>
      <w:r w:rsidR="00F373A3" w:rsidRPr="00181FCD">
        <w:t xml:space="preserve"> </w:t>
      </w:r>
      <w:r w:rsidRPr="00181FCD">
        <w:t>y</w:t>
      </w:r>
      <w:r w:rsidR="00F373A3" w:rsidRPr="00181FCD">
        <w:t xml:space="preserve"> </w:t>
      </w:r>
      <w:r w:rsidRPr="00181FCD">
        <w:t>el</w:t>
      </w:r>
      <w:r w:rsidR="00F373A3" w:rsidRPr="00181FCD">
        <w:t xml:space="preserve"> </w:t>
      </w:r>
      <w:r w:rsidRPr="00181FCD">
        <w:t>Ministerio</w:t>
      </w:r>
      <w:r w:rsidR="00F373A3" w:rsidRPr="00181FCD">
        <w:t xml:space="preserve"> </w:t>
      </w:r>
      <w:r w:rsidRPr="00181FCD">
        <w:t>del</w:t>
      </w:r>
      <w:r w:rsidR="00F373A3" w:rsidRPr="00181FCD">
        <w:t xml:space="preserve"> </w:t>
      </w:r>
      <w:r w:rsidRPr="00181FCD">
        <w:t>Interior</w:t>
      </w:r>
      <w:r w:rsidR="00F373A3" w:rsidRPr="00181FCD">
        <w:t xml:space="preserve"> </w:t>
      </w:r>
      <w:r w:rsidRPr="00181FCD">
        <w:t>de</w:t>
      </w:r>
      <w:r w:rsidR="00F373A3" w:rsidRPr="00181FCD">
        <w:t xml:space="preserve"> </w:t>
      </w:r>
      <w:r w:rsidRPr="00181FCD">
        <w:t>la</w:t>
      </w:r>
      <w:r w:rsidR="00F373A3" w:rsidRPr="00181FCD">
        <w:t xml:space="preserve"> </w:t>
      </w:r>
      <w:r w:rsidRPr="00181FCD">
        <w:t>ex</w:t>
      </w:r>
      <w:r w:rsidR="00F373A3" w:rsidRPr="00181FCD">
        <w:t xml:space="preserve"> </w:t>
      </w:r>
      <w:r w:rsidRPr="00181FCD">
        <w:t>República</w:t>
      </w:r>
      <w:r w:rsidR="00F373A3" w:rsidRPr="00181FCD">
        <w:t xml:space="preserve"> </w:t>
      </w:r>
      <w:r w:rsidRPr="00181FCD">
        <w:t>Yugoslava</w:t>
      </w:r>
      <w:r w:rsidR="00F373A3" w:rsidRPr="00181FCD">
        <w:t xml:space="preserve"> </w:t>
      </w:r>
      <w:r w:rsidRPr="00181FCD">
        <w:t>de</w:t>
      </w:r>
      <w:r w:rsidR="00F373A3" w:rsidRPr="00181FCD">
        <w:t xml:space="preserve"> </w:t>
      </w:r>
      <w:r w:rsidRPr="00181FCD">
        <w:t>Macedonia.</w:t>
      </w:r>
    </w:p>
    <w:p w:rsidR="001937F4" w:rsidRPr="00181FCD" w:rsidRDefault="001937F4" w:rsidP="00347B20">
      <w:pPr>
        <w:pStyle w:val="SingleTxtG"/>
        <w:suppressAutoHyphens/>
      </w:pPr>
      <w:r w:rsidRPr="00181FCD">
        <w:t>72.</w:t>
      </w:r>
      <w:r w:rsidRPr="00181FCD">
        <w:tab/>
        <w:t>Junto</w:t>
      </w:r>
      <w:r w:rsidR="00F373A3" w:rsidRPr="00181FCD">
        <w:t xml:space="preserve"> </w:t>
      </w:r>
      <w:r w:rsidRPr="00181FCD">
        <w:t>con</w:t>
      </w:r>
      <w:r w:rsidR="00F373A3" w:rsidRPr="00181FCD">
        <w:t xml:space="preserve"> </w:t>
      </w:r>
      <w:r w:rsidRPr="00181FCD">
        <w:t>el</w:t>
      </w:r>
      <w:r w:rsidR="00F373A3" w:rsidRPr="00181FCD">
        <w:t xml:space="preserve"> </w:t>
      </w:r>
      <w:r w:rsidRPr="00181FCD">
        <w:t>Ministerio</w:t>
      </w:r>
      <w:r w:rsidR="00F373A3" w:rsidRPr="00181FCD">
        <w:t xml:space="preserve"> </w:t>
      </w:r>
      <w:r w:rsidRPr="00181FCD">
        <w:t>del</w:t>
      </w:r>
      <w:r w:rsidR="00F373A3" w:rsidRPr="00181FCD">
        <w:t xml:space="preserve"> </w:t>
      </w:r>
      <w:r w:rsidRPr="00181FCD">
        <w:t>Interior</w:t>
      </w:r>
      <w:r w:rsidR="00F373A3" w:rsidRPr="00181FCD">
        <w:t xml:space="preserve"> </w:t>
      </w:r>
      <w:r w:rsidRPr="00181FCD">
        <w:t>de</w:t>
      </w:r>
      <w:r w:rsidR="00F373A3" w:rsidRPr="00181FCD">
        <w:t xml:space="preserve"> </w:t>
      </w:r>
      <w:r w:rsidRPr="00181FCD">
        <w:t>Portugal,</w:t>
      </w:r>
      <w:r w:rsidR="00F373A3" w:rsidRPr="00181FCD">
        <w:t xml:space="preserve"> </w:t>
      </w:r>
      <w:r w:rsidRPr="00181FCD">
        <w:t>la</w:t>
      </w:r>
      <w:r w:rsidR="00F373A3" w:rsidRPr="00181FCD">
        <w:t xml:space="preserve"> </w:t>
      </w:r>
      <w:r w:rsidRPr="00181FCD">
        <w:t>Comisión</w:t>
      </w:r>
      <w:r w:rsidR="00F373A3" w:rsidRPr="00181FCD">
        <w:t xml:space="preserve"> </w:t>
      </w:r>
      <w:r w:rsidRPr="00181FCD">
        <w:t>participa</w:t>
      </w:r>
      <w:r w:rsidR="00F373A3" w:rsidRPr="00181FCD">
        <w:t xml:space="preserve"> </w:t>
      </w:r>
      <w:r w:rsidRPr="00181FCD">
        <w:t>en</w:t>
      </w:r>
      <w:r w:rsidR="00F373A3" w:rsidRPr="00181FCD">
        <w:t xml:space="preserve"> </w:t>
      </w:r>
      <w:r w:rsidRPr="00181FCD">
        <w:t>el</w:t>
      </w:r>
      <w:r w:rsidR="00F373A3" w:rsidRPr="00181FCD">
        <w:t xml:space="preserve"> </w:t>
      </w:r>
      <w:r w:rsidRPr="00181FCD">
        <w:t>proyecto</w:t>
      </w:r>
      <w:r w:rsidR="00F373A3" w:rsidRPr="00181FCD">
        <w:t xml:space="preserve"> "</w:t>
      </w:r>
      <w:r w:rsidRPr="00181FCD">
        <w:t>Hacia</w:t>
      </w:r>
      <w:r w:rsidR="00F373A3" w:rsidRPr="00181FCD">
        <w:t xml:space="preserve"> </w:t>
      </w:r>
      <w:r w:rsidRPr="00181FCD">
        <w:t>un</w:t>
      </w:r>
      <w:r w:rsidR="00F373A3" w:rsidRPr="00181FCD">
        <w:t xml:space="preserve"> </w:t>
      </w:r>
      <w:r w:rsidRPr="00181FCD">
        <w:t>seguimiento</w:t>
      </w:r>
      <w:r w:rsidR="00F373A3" w:rsidRPr="00181FCD">
        <w:t xml:space="preserve"> </w:t>
      </w:r>
      <w:r w:rsidRPr="00181FCD">
        <w:t>paneuropeo</w:t>
      </w:r>
      <w:r w:rsidR="00F373A3" w:rsidRPr="00181FCD">
        <w:t xml:space="preserve"> </w:t>
      </w:r>
      <w:r w:rsidRPr="00181FCD">
        <w:t>de</w:t>
      </w:r>
      <w:r w:rsidR="00F373A3" w:rsidRPr="00181FCD">
        <w:t xml:space="preserve"> </w:t>
      </w:r>
      <w:r w:rsidRPr="00181FCD">
        <w:t>la</w:t>
      </w:r>
      <w:r w:rsidR="00F373A3" w:rsidRPr="00181FCD">
        <w:t xml:space="preserve"> </w:t>
      </w:r>
      <w:r w:rsidRPr="00181FCD">
        <w:t>trata</w:t>
      </w:r>
      <w:r w:rsidR="00F373A3" w:rsidRPr="00181FCD">
        <w:t xml:space="preserve"> </w:t>
      </w:r>
      <w:r w:rsidRPr="00181FCD">
        <w:t>de</w:t>
      </w:r>
      <w:r w:rsidR="00F373A3" w:rsidRPr="00181FCD">
        <w:t xml:space="preserve"> </w:t>
      </w:r>
      <w:r w:rsidRPr="00181FCD">
        <w:t>seres</w:t>
      </w:r>
      <w:r w:rsidR="00F373A3" w:rsidRPr="00181FCD">
        <w:t xml:space="preserve"> </w:t>
      </w:r>
      <w:r w:rsidRPr="00181FCD">
        <w:t>humanos</w:t>
      </w:r>
      <w:r w:rsidR="00F373A3" w:rsidRPr="00181FCD">
        <w:t>"</w:t>
      </w:r>
      <w:r w:rsidRPr="00181FCD">
        <w:t>.</w:t>
      </w:r>
      <w:r w:rsidR="00F373A3" w:rsidRPr="00181FCD">
        <w:t xml:space="preserve"> </w:t>
      </w:r>
      <w:r w:rsidRPr="00181FCD">
        <w:t>El</w:t>
      </w:r>
      <w:r w:rsidR="00F373A3" w:rsidRPr="00181FCD">
        <w:t xml:space="preserve"> </w:t>
      </w:r>
      <w:r w:rsidRPr="00181FCD">
        <w:t>proyecto</w:t>
      </w:r>
      <w:r w:rsidR="00F373A3" w:rsidRPr="00181FCD">
        <w:t xml:space="preserve"> "</w:t>
      </w:r>
      <w:r w:rsidRPr="00181FCD">
        <w:t>VICTOR</w:t>
      </w:r>
      <w:r w:rsidR="00F373A3" w:rsidRPr="00181FCD">
        <w:t xml:space="preserve">" </w:t>
      </w:r>
      <w:r w:rsidRPr="00181FCD">
        <w:t>se</w:t>
      </w:r>
      <w:r w:rsidR="00F373A3" w:rsidRPr="00181FCD">
        <w:t xml:space="preserve"> </w:t>
      </w:r>
      <w:r w:rsidRPr="00181FCD">
        <w:t>ejecuta</w:t>
      </w:r>
      <w:r w:rsidR="00F373A3" w:rsidRPr="00181FCD">
        <w:t xml:space="preserve"> </w:t>
      </w:r>
      <w:r w:rsidRPr="00181FCD">
        <w:t>en</w:t>
      </w:r>
      <w:r w:rsidR="00F373A3" w:rsidRPr="00181FCD">
        <w:t xml:space="preserve"> </w:t>
      </w:r>
      <w:r w:rsidRPr="00181FCD">
        <w:t>el</w:t>
      </w:r>
      <w:r w:rsidR="00F373A3" w:rsidRPr="00181FCD">
        <w:t xml:space="preserve"> </w:t>
      </w:r>
      <w:r w:rsidRPr="00181FCD">
        <w:t>ámbito</w:t>
      </w:r>
      <w:r w:rsidR="00F373A3" w:rsidRPr="00181FCD">
        <w:t xml:space="preserve"> </w:t>
      </w:r>
      <w:r w:rsidRPr="00181FCD">
        <w:t>de</w:t>
      </w:r>
      <w:r w:rsidR="00F373A3" w:rsidRPr="00181FCD">
        <w:t xml:space="preserve"> </w:t>
      </w:r>
      <w:r w:rsidRPr="00181FCD">
        <w:t>la</w:t>
      </w:r>
      <w:r w:rsidR="00F373A3" w:rsidRPr="00181FCD">
        <w:t xml:space="preserve"> </w:t>
      </w:r>
      <w:r w:rsidRPr="00181FCD">
        <w:t>trata</w:t>
      </w:r>
      <w:r w:rsidR="00F373A3" w:rsidRPr="00181FCD">
        <w:t xml:space="preserve"> </w:t>
      </w:r>
      <w:r w:rsidRPr="00181FCD">
        <w:t>de</w:t>
      </w:r>
      <w:r w:rsidR="00F373A3" w:rsidRPr="00181FCD">
        <w:t xml:space="preserve"> </w:t>
      </w:r>
      <w:r w:rsidRPr="00181FCD">
        <w:t>personas,</w:t>
      </w:r>
      <w:r w:rsidR="00F373A3" w:rsidRPr="00181FCD">
        <w:t xml:space="preserve"> </w:t>
      </w:r>
      <w:r w:rsidRPr="00181FCD">
        <w:t>en</w:t>
      </w:r>
      <w:r w:rsidR="00F373A3" w:rsidRPr="00181FCD">
        <w:t xml:space="preserve"> </w:t>
      </w:r>
      <w:r w:rsidRPr="00181FCD">
        <w:t>cooperación</w:t>
      </w:r>
      <w:r w:rsidR="00F373A3" w:rsidRPr="00181FCD">
        <w:t xml:space="preserve"> </w:t>
      </w:r>
      <w:r w:rsidRPr="00181FCD">
        <w:t>con</w:t>
      </w:r>
      <w:r w:rsidR="00F373A3" w:rsidRPr="00181FCD">
        <w:t xml:space="preserve"> </w:t>
      </w:r>
      <w:r w:rsidRPr="00181FCD">
        <w:t>organizaciones</w:t>
      </w:r>
      <w:r w:rsidR="00F373A3" w:rsidRPr="00181FCD">
        <w:t xml:space="preserve"> </w:t>
      </w:r>
      <w:r w:rsidRPr="00181FCD">
        <w:t>internacionales,</w:t>
      </w:r>
      <w:r w:rsidR="00F373A3" w:rsidRPr="00181FCD">
        <w:t xml:space="preserve"> </w:t>
      </w:r>
      <w:r w:rsidRPr="00181FCD">
        <w:t>15</w:t>
      </w:r>
      <w:r w:rsidR="00F373A3" w:rsidRPr="00181FCD">
        <w:t xml:space="preserve"> </w:t>
      </w:r>
      <w:r w:rsidRPr="00181FCD">
        <w:t>instituciones</w:t>
      </w:r>
      <w:r w:rsidR="00F373A3" w:rsidRPr="00181FCD">
        <w:t xml:space="preserve"> </w:t>
      </w:r>
      <w:r w:rsidRPr="00181FCD">
        <w:t>gubernamentales</w:t>
      </w:r>
      <w:r w:rsidR="00F373A3" w:rsidRPr="00181FCD">
        <w:t xml:space="preserve"> </w:t>
      </w:r>
      <w:r w:rsidRPr="00181FCD">
        <w:t>y</w:t>
      </w:r>
      <w:r w:rsidR="00F373A3" w:rsidRPr="00181FCD">
        <w:t xml:space="preserve"> </w:t>
      </w:r>
      <w:r w:rsidR="006D0AEC" w:rsidRPr="00181FCD">
        <w:t xml:space="preserve">ONG </w:t>
      </w:r>
      <w:r w:rsidRPr="00181FCD">
        <w:t>de</w:t>
      </w:r>
      <w:r w:rsidR="00F373A3" w:rsidRPr="00181FCD">
        <w:t xml:space="preserve"> </w:t>
      </w:r>
      <w:r w:rsidRPr="00181FCD">
        <w:t>7</w:t>
      </w:r>
      <w:r w:rsidR="00F373A3" w:rsidRPr="00181FCD">
        <w:t xml:space="preserve"> </w:t>
      </w:r>
      <w:r w:rsidRPr="00181FCD">
        <w:t>países</w:t>
      </w:r>
      <w:r w:rsidR="00F373A3" w:rsidRPr="00181FCD">
        <w:t xml:space="preserve"> </w:t>
      </w:r>
      <w:r w:rsidR="0064368F" w:rsidRPr="00181FCD">
        <w:t>—</w:t>
      </w:r>
      <w:r w:rsidRPr="00181FCD">
        <w:t>Eslovenia,</w:t>
      </w:r>
      <w:r w:rsidR="00F373A3" w:rsidRPr="00181FCD">
        <w:t xml:space="preserve"> </w:t>
      </w:r>
      <w:r w:rsidRPr="00181FCD">
        <w:t>Rumania,</w:t>
      </w:r>
      <w:r w:rsidR="00F373A3" w:rsidRPr="00181FCD">
        <w:t xml:space="preserve"> </w:t>
      </w:r>
      <w:r w:rsidRPr="00181FCD">
        <w:t>Bulgaria,</w:t>
      </w:r>
      <w:r w:rsidR="00F373A3" w:rsidRPr="00181FCD">
        <w:t xml:space="preserve"> </w:t>
      </w:r>
      <w:r w:rsidRPr="00181FCD">
        <w:t>Grecia,</w:t>
      </w:r>
      <w:r w:rsidR="00F373A3" w:rsidRPr="00181FCD">
        <w:t xml:space="preserve"> </w:t>
      </w:r>
      <w:r w:rsidRPr="00181FCD">
        <w:t>Serbia,</w:t>
      </w:r>
      <w:r w:rsidR="00F373A3" w:rsidRPr="00181FCD">
        <w:t xml:space="preserve"> </w:t>
      </w:r>
      <w:r w:rsidRPr="00181FCD">
        <w:t>Moldova</w:t>
      </w:r>
      <w:r w:rsidR="00F373A3" w:rsidRPr="00181FCD">
        <w:t xml:space="preserve"> </w:t>
      </w:r>
      <w:r w:rsidRPr="00181FCD">
        <w:t>y</w:t>
      </w:r>
      <w:r w:rsidR="00F373A3" w:rsidRPr="00181FCD">
        <w:t xml:space="preserve"> </w:t>
      </w:r>
      <w:r w:rsidRPr="00181FCD">
        <w:t>Ucrania.</w:t>
      </w:r>
      <w:r w:rsidR="00F373A3" w:rsidRPr="00181FCD">
        <w:t xml:space="preserve"> </w:t>
      </w:r>
      <w:r w:rsidRPr="00181FCD">
        <w:t>Bulgaria</w:t>
      </w:r>
      <w:r w:rsidR="00F373A3" w:rsidRPr="00181FCD">
        <w:t xml:space="preserve"> </w:t>
      </w:r>
      <w:r w:rsidRPr="00181FCD">
        <w:t>es</w:t>
      </w:r>
      <w:r w:rsidR="00F373A3" w:rsidRPr="00181FCD">
        <w:t xml:space="preserve"> </w:t>
      </w:r>
      <w:r w:rsidRPr="00181FCD">
        <w:t>uno</w:t>
      </w:r>
      <w:r w:rsidR="00F373A3" w:rsidRPr="00181FCD">
        <w:t xml:space="preserve"> </w:t>
      </w:r>
      <w:r w:rsidRPr="00181FCD">
        <w:t>de</w:t>
      </w:r>
      <w:r w:rsidR="00F373A3" w:rsidRPr="00181FCD">
        <w:t xml:space="preserve"> </w:t>
      </w:r>
      <w:r w:rsidRPr="00181FCD">
        <w:t>los</w:t>
      </w:r>
      <w:r w:rsidR="00F373A3" w:rsidRPr="00181FCD">
        <w:t xml:space="preserve"> </w:t>
      </w:r>
      <w:r w:rsidRPr="00181FCD">
        <w:t>países</w:t>
      </w:r>
      <w:r w:rsidR="00F373A3" w:rsidRPr="00181FCD">
        <w:t xml:space="preserve"> </w:t>
      </w:r>
      <w:r w:rsidRPr="00181FCD">
        <w:t>líderes</w:t>
      </w:r>
      <w:r w:rsidR="00F373A3" w:rsidRPr="00181FCD">
        <w:t xml:space="preserve"> </w:t>
      </w:r>
      <w:r w:rsidRPr="00181FCD">
        <w:t>en</w:t>
      </w:r>
      <w:r w:rsidR="00F373A3" w:rsidRPr="00181FCD">
        <w:t xml:space="preserve"> </w:t>
      </w:r>
      <w:r w:rsidRPr="00181FCD">
        <w:t>la</w:t>
      </w:r>
      <w:r w:rsidR="00F373A3" w:rsidRPr="00181FCD">
        <w:t xml:space="preserve"> </w:t>
      </w:r>
      <w:r w:rsidRPr="00181FCD">
        <w:t>ejecución</w:t>
      </w:r>
      <w:r w:rsidR="00F373A3" w:rsidRPr="00181FCD">
        <w:t xml:space="preserve"> </w:t>
      </w:r>
      <w:r w:rsidRPr="00181FCD">
        <w:t>del</w:t>
      </w:r>
      <w:r w:rsidR="00F373A3" w:rsidRPr="00181FCD">
        <w:t xml:space="preserve"> </w:t>
      </w:r>
      <w:r w:rsidRPr="00181FCD">
        <w:t>proyecto</w:t>
      </w:r>
      <w:r w:rsidR="00F373A3" w:rsidRPr="00181FCD">
        <w:t xml:space="preserve"> </w:t>
      </w:r>
      <w:r w:rsidRPr="00181FCD">
        <w:t>EMPACT</w:t>
      </w:r>
      <w:r w:rsidR="00F373A3" w:rsidRPr="00181FCD">
        <w:t xml:space="preserve"> </w:t>
      </w:r>
      <w:r w:rsidRPr="00181FCD">
        <w:t>de</w:t>
      </w:r>
      <w:r w:rsidR="00F373A3" w:rsidRPr="00181FCD">
        <w:t xml:space="preserve"> </w:t>
      </w:r>
      <w:r w:rsidRPr="00181FCD">
        <w:t>Europol,</w:t>
      </w:r>
      <w:r w:rsidR="00F373A3" w:rsidRPr="00181FCD">
        <w:t xml:space="preserve"> </w:t>
      </w:r>
      <w:r w:rsidRPr="00181FCD">
        <w:t>calificado</w:t>
      </w:r>
      <w:r w:rsidR="00F373A3" w:rsidRPr="00181FCD">
        <w:t xml:space="preserve"> </w:t>
      </w:r>
      <w:r w:rsidRPr="00181FCD">
        <w:t>como</w:t>
      </w:r>
      <w:r w:rsidR="00F373A3" w:rsidRPr="00181FCD">
        <w:t xml:space="preserve"> </w:t>
      </w:r>
      <w:r w:rsidRPr="00181FCD">
        <w:t>uno</w:t>
      </w:r>
      <w:r w:rsidR="00F373A3" w:rsidRPr="00181FCD">
        <w:t xml:space="preserve"> </w:t>
      </w:r>
      <w:r w:rsidRPr="00181FCD">
        <w:t>de</w:t>
      </w:r>
      <w:r w:rsidR="00F373A3" w:rsidRPr="00181FCD">
        <w:t xml:space="preserve"> </w:t>
      </w:r>
      <w:r w:rsidRPr="00181FCD">
        <w:t>los</w:t>
      </w:r>
      <w:r w:rsidR="00F373A3" w:rsidRPr="00181FCD">
        <w:t xml:space="preserve"> </w:t>
      </w:r>
      <w:r w:rsidRPr="00181FCD">
        <w:t>más</w:t>
      </w:r>
      <w:r w:rsidR="00F373A3" w:rsidRPr="00181FCD">
        <w:t xml:space="preserve"> </w:t>
      </w:r>
      <w:r w:rsidRPr="00181FCD">
        <w:t>eficaces</w:t>
      </w:r>
      <w:r w:rsidR="00F373A3" w:rsidRPr="00181FCD">
        <w:t xml:space="preserve"> </w:t>
      </w:r>
      <w:r w:rsidRPr="00181FCD">
        <w:t>hasta</w:t>
      </w:r>
      <w:r w:rsidR="00F373A3" w:rsidRPr="00181FCD">
        <w:t xml:space="preserve"> </w:t>
      </w:r>
      <w:r w:rsidRPr="00181FCD">
        <w:t>la</w:t>
      </w:r>
      <w:r w:rsidR="00F373A3" w:rsidRPr="00181FCD">
        <w:t xml:space="preserve"> </w:t>
      </w:r>
      <w:r w:rsidRPr="00181FCD">
        <w:t>fecha.</w:t>
      </w:r>
    </w:p>
    <w:p w:rsidR="001937F4" w:rsidRPr="00181FCD" w:rsidRDefault="001937F4" w:rsidP="00347B20">
      <w:pPr>
        <w:pStyle w:val="SingleTxtG"/>
        <w:suppressAutoHyphens/>
      </w:pPr>
      <w:r w:rsidRPr="00181FCD">
        <w:t>73.</w:t>
      </w:r>
      <w:r w:rsidRPr="00181FCD">
        <w:tab/>
        <w:t>Como</w:t>
      </w:r>
      <w:r w:rsidR="00F373A3" w:rsidRPr="00181FCD">
        <w:t xml:space="preserve"> </w:t>
      </w:r>
      <w:r w:rsidRPr="00181FCD">
        <w:t>parte</w:t>
      </w:r>
      <w:r w:rsidR="00F373A3" w:rsidRPr="00181FCD">
        <w:t xml:space="preserve"> </w:t>
      </w:r>
      <w:r w:rsidRPr="00181FCD">
        <w:t>de</w:t>
      </w:r>
      <w:r w:rsidR="00F373A3" w:rsidRPr="00181FCD">
        <w:t xml:space="preserve"> </w:t>
      </w:r>
      <w:r w:rsidRPr="00181FCD">
        <w:t>la</w:t>
      </w:r>
      <w:r w:rsidR="00F373A3" w:rsidRPr="00181FCD">
        <w:t xml:space="preserve"> </w:t>
      </w:r>
      <w:r w:rsidRPr="00181FCD">
        <w:t>Estrategia</w:t>
      </w:r>
      <w:r w:rsidR="00F373A3" w:rsidRPr="00181FCD">
        <w:t xml:space="preserve"> </w:t>
      </w:r>
      <w:r w:rsidRPr="00181FCD">
        <w:t>del</w:t>
      </w:r>
      <w:r w:rsidR="00F373A3" w:rsidRPr="00181FCD">
        <w:t xml:space="preserve"> </w:t>
      </w:r>
      <w:r w:rsidRPr="00181FCD">
        <w:t>Danubio,</w:t>
      </w:r>
      <w:r w:rsidR="00F373A3" w:rsidRPr="00181FCD">
        <w:t xml:space="preserve"> </w:t>
      </w:r>
      <w:r w:rsidRPr="00181FCD">
        <w:t>se</w:t>
      </w:r>
      <w:r w:rsidR="00F373A3" w:rsidRPr="00181FCD">
        <w:t xml:space="preserve"> </w:t>
      </w:r>
      <w:r w:rsidRPr="00181FCD">
        <w:t>celebró</w:t>
      </w:r>
      <w:r w:rsidR="00F373A3" w:rsidRPr="00181FCD">
        <w:t xml:space="preserve"> </w:t>
      </w:r>
      <w:r w:rsidRPr="00181FCD">
        <w:t>una</w:t>
      </w:r>
      <w:r w:rsidR="00F373A3" w:rsidRPr="00181FCD">
        <w:t xml:space="preserve"> </w:t>
      </w:r>
      <w:r w:rsidRPr="00181FCD">
        <w:t>conferencia</w:t>
      </w:r>
      <w:r w:rsidR="00F373A3" w:rsidRPr="00181FCD">
        <w:t xml:space="preserve"> </w:t>
      </w:r>
      <w:r w:rsidRPr="00181FCD">
        <w:t>regional</w:t>
      </w:r>
      <w:r w:rsidR="00F373A3" w:rsidRPr="00181FCD">
        <w:t xml:space="preserve"> </w:t>
      </w:r>
      <w:r w:rsidRPr="00181FCD">
        <w:t>sobre</w:t>
      </w:r>
      <w:r w:rsidR="00F373A3" w:rsidRPr="00181FCD">
        <w:t xml:space="preserve"> </w:t>
      </w:r>
      <w:r w:rsidRPr="00181FCD">
        <w:t>la</w:t>
      </w:r>
      <w:r w:rsidR="00F373A3" w:rsidRPr="00181FCD">
        <w:t xml:space="preserve"> </w:t>
      </w:r>
      <w:r w:rsidRPr="00181FCD">
        <w:t>lucha</w:t>
      </w:r>
      <w:r w:rsidR="00F373A3" w:rsidRPr="00181FCD">
        <w:t xml:space="preserve"> </w:t>
      </w:r>
      <w:r w:rsidRPr="00181FCD">
        <w:t>contra</w:t>
      </w:r>
      <w:r w:rsidR="00F373A3" w:rsidRPr="00181FCD">
        <w:t xml:space="preserve"> </w:t>
      </w:r>
      <w:r w:rsidRPr="00181FCD">
        <w:t>la</w:t>
      </w:r>
      <w:r w:rsidR="00F373A3" w:rsidRPr="00181FCD">
        <w:t xml:space="preserve"> </w:t>
      </w:r>
      <w:r w:rsidRPr="00181FCD">
        <w:t>trata</w:t>
      </w:r>
      <w:r w:rsidR="00F373A3" w:rsidRPr="00181FCD">
        <w:t xml:space="preserve"> </w:t>
      </w:r>
      <w:r w:rsidRPr="00181FCD">
        <w:t>de</w:t>
      </w:r>
      <w:r w:rsidR="00F373A3" w:rsidRPr="00181FCD">
        <w:t xml:space="preserve"> </w:t>
      </w:r>
      <w:r w:rsidRPr="00181FCD">
        <w:t>seres</w:t>
      </w:r>
      <w:r w:rsidR="00F373A3" w:rsidRPr="00181FCD">
        <w:t xml:space="preserve"> </w:t>
      </w:r>
      <w:r w:rsidRPr="00181FCD">
        <w:t>humanos.</w:t>
      </w:r>
      <w:r w:rsidR="00F373A3" w:rsidRPr="00181FCD">
        <w:t xml:space="preserve"> </w:t>
      </w:r>
      <w:r w:rsidRPr="00181FCD">
        <w:t>Participaron</w:t>
      </w:r>
      <w:r w:rsidR="00F373A3" w:rsidRPr="00181FCD">
        <w:t xml:space="preserve"> </w:t>
      </w:r>
      <w:r w:rsidRPr="00181FCD">
        <w:t>ocho</w:t>
      </w:r>
      <w:r w:rsidR="00F373A3" w:rsidRPr="00181FCD">
        <w:t xml:space="preserve"> </w:t>
      </w:r>
      <w:r w:rsidRPr="00181FCD">
        <w:t>países</w:t>
      </w:r>
      <w:r w:rsidR="00F373A3" w:rsidRPr="00181FCD">
        <w:t xml:space="preserve"> </w:t>
      </w:r>
      <w:r w:rsidRPr="00181FCD">
        <w:t>de</w:t>
      </w:r>
      <w:r w:rsidR="00F373A3" w:rsidRPr="00181FCD">
        <w:t xml:space="preserve"> </w:t>
      </w:r>
      <w:r w:rsidRPr="00181FCD">
        <w:t>la</w:t>
      </w:r>
      <w:r w:rsidR="00F373A3" w:rsidRPr="00181FCD">
        <w:t xml:space="preserve"> </w:t>
      </w:r>
      <w:r w:rsidRPr="00181FCD">
        <w:t>región</w:t>
      </w:r>
      <w:r w:rsidR="00F373A3" w:rsidRPr="00181FCD">
        <w:t xml:space="preserve"> </w:t>
      </w:r>
      <w:r w:rsidRPr="00181FCD">
        <w:t>del</w:t>
      </w:r>
      <w:r w:rsidR="00F373A3" w:rsidRPr="00181FCD">
        <w:t xml:space="preserve"> </w:t>
      </w:r>
      <w:r w:rsidRPr="00181FCD">
        <w:t>Danubio.</w:t>
      </w:r>
      <w:r w:rsidR="00F373A3" w:rsidRPr="00181FCD">
        <w:t xml:space="preserve"> </w:t>
      </w:r>
      <w:r w:rsidRPr="00181FCD">
        <w:t>Se</w:t>
      </w:r>
      <w:r w:rsidR="00F373A3" w:rsidRPr="00181FCD">
        <w:t xml:space="preserve"> </w:t>
      </w:r>
      <w:r w:rsidRPr="00181FCD">
        <w:t>dio</w:t>
      </w:r>
      <w:r w:rsidR="00F373A3" w:rsidRPr="00181FCD">
        <w:t xml:space="preserve"> </w:t>
      </w:r>
      <w:r w:rsidRPr="00181FCD">
        <w:t>comienzo</w:t>
      </w:r>
      <w:r w:rsidR="00F373A3" w:rsidRPr="00181FCD">
        <w:t xml:space="preserve"> </w:t>
      </w:r>
      <w:r w:rsidRPr="00181FCD">
        <w:t>a</w:t>
      </w:r>
      <w:r w:rsidR="00F373A3" w:rsidRPr="00181FCD">
        <w:t xml:space="preserve"> </w:t>
      </w:r>
      <w:r w:rsidRPr="00181FCD">
        <w:t>un</w:t>
      </w:r>
      <w:r w:rsidR="00F373A3" w:rsidRPr="00181FCD">
        <w:t xml:space="preserve"> </w:t>
      </w:r>
      <w:r w:rsidRPr="00181FCD">
        <w:t>intercambio</w:t>
      </w:r>
      <w:r w:rsidR="00F373A3" w:rsidRPr="00181FCD">
        <w:t xml:space="preserve"> </w:t>
      </w:r>
      <w:r w:rsidRPr="00181FCD">
        <w:t>de</w:t>
      </w:r>
      <w:r w:rsidR="00F373A3" w:rsidRPr="00181FCD">
        <w:t xml:space="preserve"> </w:t>
      </w:r>
      <w:r w:rsidRPr="00181FCD">
        <w:t>ideas</w:t>
      </w:r>
      <w:r w:rsidR="00F373A3" w:rsidRPr="00181FCD">
        <w:t xml:space="preserve"> </w:t>
      </w:r>
      <w:r w:rsidRPr="00181FCD">
        <w:t>sobre</w:t>
      </w:r>
      <w:r w:rsidR="00F373A3" w:rsidRPr="00181FCD">
        <w:t xml:space="preserve"> </w:t>
      </w:r>
      <w:r w:rsidRPr="00181FCD">
        <w:t>las</w:t>
      </w:r>
      <w:r w:rsidR="00F373A3" w:rsidRPr="00181FCD">
        <w:t xml:space="preserve"> </w:t>
      </w:r>
      <w:r w:rsidRPr="00181FCD">
        <w:t>oportunidades</w:t>
      </w:r>
      <w:r w:rsidR="00F373A3" w:rsidRPr="00181FCD">
        <w:t xml:space="preserve"> </w:t>
      </w:r>
      <w:r w:rsidRPr="00181FCD">
        <w:t>para</w:t>
      </w:r>
      <w:r w:rsidR="00F373A3" w:rsidRPr="00181FCD">
        <w:t xml:space="preserve"> </w:t>
      </w:r>
      <w:r w:rsidRPr="00181FCD">
        <w:t>elaborar</w:t>
      </w:r>
      <w:r w:rsidR="00F373A3" w:rsidRPr="00181FCD">
        <w:t xml:space="preserve"> </w:t>
      </w:r>
      <w:r w:rsidRPr="00181FCD">
        <w:t>proyectos</w:t>
      </w:r>
      <w:r w:rsidR="00F373A3" w:rsidRPr="00181FCD">
        <w:t xml:space="preserve"> </w:t>
      </w:r>
      <w:r w:rsidRPr="00181FCD">
        <w:t>con</w:t>
      </w:r>
      <w:r w:rsidR="00F373A3" w:rsidRPr="00181FCD">
        <w:t xml:space="preserve"> </w:t>
      </w:r>
      <w:r w:rsidRPr="00181FCD">
        <w:t>valor</w:t>
      </w:r>
      <w:r w:rsidR="00F373A3" w:rsidRPr="00181FCD">
        <w:t xml:space="preserve"> </w:t>
      </w:r>
      <w:r w:rsidRPr="00181FCD">
        <w:t>añadido,</w:t>
      </w:r>
      <w:r w:rsidR="00F373A3" w:rsidRPr="00181FCD">
        <w:t xml:space="preserve"> </w:t>
      </w:r>
      <w:r w:rsidRPr="00181FCD">
        <w:t>especialmente</w:t>
      </w:r>
      <w:r w:rsidR="00F373A3" w:rsidRPr="00181FCD">
        <w:t xml:space="preserve"> </w:t>
      </w:r>
      <w:r w:rsidRPr="00181FCD">
        <w:t>para</w:t>
      </w:r>
      <w:r w:rsidR="00F373A3" w:rsidRPr="00181FCD">
        <w:t xml:space="preserve"> </w:t>
      </w:r>
      <w:r w:rsidRPr="00181FCD">
        <w:t>la</w:t>
      </w:r>
      <w:r w:rsidR="00F373A3" w:rsidRPr="00181FCD">
        <w:t xml:space="preserve"> </w:t>
      </w:r>
      <w:r w:rsidRPr="00181FCD">
        <w:t>cooperación</w:t>
      </w:r>
      <w:r w:rsidR="00F373A3" w:rsidRPr="00181FCD">
        <w:t xml:space="preserve"> </w:t>
      </w:r>
      <w:r w:rsidRPr="00181FCD">
        <w:t>en</w:t>
      </w:r>
      <w:r w:rsidR="00F373A3" w:rsidRPr="00181FCD">
        <w:t xml:space="preserve"> </w:t>
      </w:r>
      <w:r w:rsidRPr="00181FCD">
        <w:t>la</w:t>
      </w:r>
      <w:r w:rsidR="00F373A3" w:rsidRPr="00181FCD">
        <w:t xml:space="preserve"> </w:t>
      </w:r>
      <w:r w:rsidRPr="00181FCD">
        <w:t>región.</w:t>
      </w:r>
      <w:r w:rsidR="00F373A3" w:rsidRPr="00181FCD">
        <w:t xml:space="preserve"> </w:t>
      </w:r>
      <w:r w:rsidRPr="00181FCD">
        <w:t>Bulgaria,</w:t>
      </w:r>
      <w:r w:rsidR="00F373A3" w:rsidRPr="00181FCD">
        <w:t xml:space="preserve"> </w:t>
      </w:r>
      <w:r w:rsidRPr="00181FCD">
        <w:t>junto</w:t>
      </w:r>
      <w:r w:rsidR="00F373A3" w:rsidRPr="00181FCD">
        <w:t xml:space="preserve"> </w:t>
      </w:r>
      <w:r w:rsidRPr="00181FCD">
        <w:t>con</w:t>
      </w:r>
      <w:r w:rsidR="00F373A3" w:rsidRPr="00181FCD">
        <w:t xml:space="preserve"> </w:t>
      </w:r>
      <w:r w:rsidRPr="00181FCD">
        <w:t>España,</w:t>
      </w:r>
      <w:r w:rsidR="00F373A3" w:rsidRPr="00181FCD">
        <w:t xml:space="preserve"> </w:t>
      </w:r>
      <w:r w:rsidRPr="00181FCD">
        <w:t>Francia,</w:t>
      </w:r>
      <w:r w:rsidR="00F373A3" w:rsidRPr="00181FCD">
        <w:t xml:space="preserve"> </w:t>
      </w:r>
      <w:r w:rsidRPr="00181FCD">
        <w:t>los</w:t>
      </w:r>
      <w:r w:rsidR="00F373A3" w:rsidRPr="00181FCD">
        <w:t xml:space="preserve"> </w:t>
      </w:r>
      <w:r w:rsidRPr="00181FCD">
        <w:t>Países</w:t>
      </w:r>
      <w:r w:rsidR="00F373A3" w:rsidRPr="00181FCD">
        <w:t xml:space="preserve"> </w:t>
      </w:r>
      <w:r w:rsidRPr="00181FCD">
        <w:t>Bajos,</w:t>
      </w:r>
      <w:r w:rsidR="00F373A3" w:rsidRPr="00181FCD">
        <w:t xml:space="preserve"> </w:t>
      </w:r>
      <w:r w:rsidRPr="00181FCD">
        <w:t>Grecia</w:t>
      </w:r>
      <w:r w:rsidR="00F373A3" w:rsidRPr="00181FCD">
        <w:t xml:space="preserve"> </w:t>
      </w:r>
      <w:r w:rsidRPr="00181FCD">
        <w:t>y</w:t>
      </w:r>
      <w:r w:rsidR="00F373A3" w:rsidRPr="00181FCD">
        <w:t xml:space="preserve"> </w:t>
      </w:r>
      <w:r w:rsidRPr="00181FCD">
        <w:t>Rumania,</w:t>
      </w:r>
      <w:r w:rsidR="00F373A3" w:rsidRPr="00181FCD">
        <w:t xml:space="preserve"> </w:t>
      </w:r>
      <w:r w:rsidRPr="00181FCD">
        <w:t>participa</w:t>
      </w:r>
      <w:r w:rsidR="00F373A3" w:rsidRPr="00181FCD">
        <w:t xml:space="preserve"> </w:t>
      </w:r>
      <w:r w:rsidRPr="00181FCD">
        <w:t>en</w:t>
      </w:r>
      <w:r w:rsidR="00F373A3" w:rsidRPr="00181FCD">
        <w:t xml:space="preserve"> </w:t>
      </w:r>
      <w:r w:rsidRPr="00181FCD">
        <w:t>el</w:t>
      </w:r>
      <w:r w:rsidR="00F373A3" w:rsidRPr="00181FCD">
        <w:t xml:space="preserve"> </w:t>
      </w:r>
      <w:r w:rsidRPr="00181FCD">
        <w:t>proyecto</w:t>
      </w:r>
      <w:r w:rsidR="00F373A3" w:rsidRPr="00181FCD">
        <w:t xml:space="preserve"> "</w:t>
      </w:r>
      <w:r w:rsidRPr="00181FCD">
        <w:t>Elaboración</w:t>
      </w:r>
      <w:r w:rsidR="00F373A3" w:rsidRPr="00181FCD">
        <w:t xml:space="preserve"> </w:t>
      </w:r>
      <w:r w:rsidRPr="00181FCD">
        <w:t>de</w:t>
      </w:r>
      <w:r w:rsidR="00F373A3" w:rsidRPr="00181FCD">
        <w:t xml:space="preserve"> </w:t>
      </w:r>
      <w:r w:rsidRPr="00181FCD">
        <w:t>directrices</w:t>
      </w:r>
      <w:r w:rsidR="00F373A3" w:rsidRPr="00181FCD">
        <w:t xml:space="preserve"> </w:t>
      </w:r>
      <w:r w:rsidRPr="00181FCD">
        <w:t>y</w:t>
      </w:r>
      <w:r w:rsidR="00F373A3" w:rsidRPr="00181FCD">
        <w:t xml:space="preserve"> </w:t>
      </w:r>
      <w:r w:rsidRPr="00181FCD">
        <w:t>procedimientos</w:t>
      </w:r>
      <w:r w:rsidR="00F373A3" w:rsidRPr="00181FCD">
        <w:t xml:space="preserve"> </w:t>
      </w:r>
      <w:r w:rsidRPr="00181FCD">
        <w:t>comunes</w:t>
      </w:r>
      <w:r w:rsidR="00F373A3" w:rsidRPr="00181FCD">
        <w:t xml:space="preserve"> </w:t>
      </w:r>
      <w:r w:rsidRPr="00181FCD">
        <w:t>para</w:t>
      </w:r>
      <w:r w:rsidR="00F373A3" w:rsidRPr="00181FCD">
        <w:t xml:space="preserve"> </w:t>
      </w:r>
      <w:r w:rsidRPr="00181FCD">
        <w:t>la</w:t>
      </w:r>
      <w:r w:rsidR="00F373A3" w:rsidRPr="00181FCD">
        <w:t xml:space="preserve"> </w:t>
      </w:r>
      <w:r w:rsidRPr="00181FCD">
        <w:t>identificación</w:t>
      </w:r>
      <w:r w:rsidR="00F373A3" w:rsidRPr="00181FCD">
        <w:t xml:space="preserve"> </w:t>
      </w:r>
      <w:r w:rsidRPr="00181FCD">
        <w:t>de</w:t>
      </w:r>
      <w:r w:rsidR="00F373A3" w:rsidRPr="00181FCD">
        <w:t xml:space="preserve"> </w:t>
      </w:r>
      <w:r w:rsidRPr="00181FCD">
        <w:t>las</w:t>
      </w:r>
      <w:r w:rsidR="00F373A3" w:rsidRPr="00181FCD">
        <w:t xml:space="preserve"> </w:t>
      </w:r>
      <w:r w:rsidRPr="00181FCD">
        <w:t>víctimas</w:t>
      </w:r>
      <w:r w:rsidR="00F373A3" w:rsidRPr="00181FCD">
        <w:t xml:space="preserve"> </w:t>
      </w:r>
      <w:r w:rsidRPr="00181FCD">
        <w:t>de</w:t>
      </w:r>
      <w:r w:rsidR="00F373A3" w:rsidRPr="00181FCD">
        <w:t xml:space="preserve"> </w:t>
      </w:r>
      <w:r w:rsidRPr="00181FCD">
        <w:t>trata</w:t>
      </w:r>
      <w:r w:rsidR="00F373A3" w:rsidRPr="00181FCD">
        <w:t xml:space="preserve"> </w:t>
      </w:r>
      <w:r w:rsidRPr="00181FCD">
        <w:t>de</w:t>
      </w:r>
      <w:r w:rsidR="00F373A3" w:rsidRPr="00181FCD">
        <w:t xml:space="preserve"> </w:t>
      </w:r>
      <w:r w:rsidRPr="00181FCD">
        <w:t>seres</w:t>
      </w:r>
      <w:r w:rsidR="00F373A3" w:rsidRPr="00181FCD">
        <w:t xml:space="preserve"> </w:t>
      </w:r>
      <w:r w:rsidRPr="00181FCD">
        <w:t>humanos</w:t>
      </w:r>
      <w:r w:rsidR="00F373A3" w:rsidRPr="00181FCD">
        <w:t>"</w:t>
      </w:r>
      <w:r w:rsidRPr="00181FCD">
        <w:t>.</w:t>
      </w:r>
    </w:p>
    <w:p w:rsidR="001937F4" w:rsidRPr="00181FCD" w:rsidRDefault="001937F4" w:rsidP="00347B20">
      <w:pPr>
        <w:pStyle w:val="SingleTxtG"/>
        <w:suppressAutoHyphens/>
      </w:pPr>
      <w:r w:rsidRPr="00181FCD">
        <w:t>74.</w:t>
      </w:r>
      <w:r w:rsidRPr="00181FCD">
        <w:tab/>
        <w:t>En</w:t>
      </w:r>
      <w:r w:rsidR="00F373A3" w:rsidRPr="00181FCD">
        <w:t xml:space="preserve"> </w:t>
      </w:r>
      <w:r w:rsidRPr="00181FCD">
        <w:t>el</w:t>
      </w:r>
      <w:r w:rsidR="00F373A3" w:rsidRPr="00181FCD">
        <w:t xml:space="preserve"> </w:t>
      </w:r>
      <w:r w:rsidRPr="00181FCD">
        <w:t>período</w:t>
      </w:r>
      <w:r w:rsidR="00F373A3" w:rsidRPr="00181FCD">
        <w:t xml:space="preserve"> </w:t>
      </w:r>
      <w:r w:rsidRPr="00181FCD">
        <w:t>que</w:t>
      </w:r>
      <w:r w:rsidR="00F373A3" w:rsidRPr="00181FCD">
        <w:t xml:space="preserve"> </w:t>
      </w:r>
      <w:r w:rsidRPr="00181FCD">
        <w:t>se</w:t>
      </w:r>
      <w:r w:rsidR="00F373A3" w:rsidRPr="00181FCD">
        <w:t xml:space="preserve"> </w:t>
      </w:r>
      <w:r w:rsidRPr="00181FCD">
        <w:t>examina</w:t>
      </w:r>
      <w:r w:rsidR="00F373A3" w:rsidRPr="00181FCD">
        <w:t xml:space="preserve"> </w:t>
      </w:r>
      <w:r w:rsidRPr="00181FCD">
        <w:t>se</w:t>
      </w:r>
      <w:r w:rsidR="00F373A3" w:rsidRPr="00181FCD">
        <w:t xml:space="preserve"> </w:t>
      </w:r>
      <w:r w:rsidRPr="00181FCD">
        <w:t>ha</w:t>
      </w:r>
      <w:r w:rsidR="00F373A3" w:rsidRPr="00181FCD">
        <w:t xml:space="preserve"> </w:t>
      </w:r>
      <w:r w:rsidRPr="00181FCD">
        <w:t>notificado</w:t>
      </w:r>
      <w:r w:rsidR="00F373A3" w:rsidRPr="00181FCD">
        <w:t xml:space="preserve"> </w:t>
      </w:r>
      <w:r w:rsidRPr="00181FCD">
        <w:t>de</w:t>
      </w:r>
      <w:r w:rsidR="00F373A3" w:rsidRPr="00181FCD">
        <w:t xml:space="preserve"> </w:t>
      </w:r>
      <w:r w:rsidRPr="00181FCD">
        <w:t>la</w:t>
      </w:r>
      <w:r w:rsidR="00F373A3" w:rsidRPr="00181FCD">
        <w:t xml:space="preserve"> </w:t>
      </w:r>
      <w:r w:rsidRPr="00181FCD">
        <w:t>iniciación</w:t>
      </w:r>
      <w:r w:rsidR="00F373A3" w:rsidRPr="00181FCD">
        <w:t xml:space="preserve"> </w:t>
      </w:r>
      <w:r w:rsidRPr="00181FCD">
        <w:t>de</w:t>
      </w:r>
      <w:r w:rsidR="00F373A3" w:rsidRPr="00181FCD">
        <w:t xml:space="preserve"> </w:t>
      </w:r>
      <w:r w:rsidRPr="00181FCD">
        <w:t>413</w:t>
      </w:r>
      <w:r w:rsidR="00F373A3" w:rsidRPr="00181FCD">
        <w:t xml:space="preserve"> </w:t>
      </w:r>
      <w:r w:rsidRPr="00181FCD">
        <w:t>nuevos</w:t>
      </w:r>
      <w:r w:rsidR="00F373A3" w:rsidRPr="00181FCD">
        <w:t xml:space="preserve"> </w:t>
      </w:r>
      <w:r w:rsidRPr="00181FCD">
        <w:t>casos</w:t>
      </w:r>
      <w:r w:rsidR="00F373A3" w:rsidRPr="00181FCD">
        <w:t xml:space="preserve"> </w:t>
      </w:r>
      <w:r w:rsidRPr="00181FCD">
        <w:t>y</w:t>
      </w:r>
      <w:r w:rsidR="00F373A3" w:rsidRPr="00181FCD">
        <w:t xml:space="preserve"> </w:t>
      </w:r>
      <w:r w:rsidRPr="00181FCD">
        <w:t>diligencias</w:t>
      </w:r>
      <w:r w:rsidR="00F373A3" w:rsidRPr="00181FCD">
        <w:t xml:space="preserve"> </w:t>
      </w:r>
      <w:r w:rsidRPr="00181FCD">
        <w:t>preparatorias</w:t>
      </w:r>
      <w:r w:rsidR="00F373A3" w:rsidRPr="00181FCD">
        <w:t xml:space="preserve"> </w:t>
      </w:r>
      <w:r w:rsidRPr="00181FCD">
        <w:t>de</w:t>
      </w:r>
      <w:r w:rsidR="00F373A3" w:rsidRPr="00181FCD">
        <w:t xml:space="preserve"> </w:t>
      </w:r>
      <w:r w:rsidRPr="00181FCD">
        <w:t>juicios</w:t>
      </w:r>
      <w:r w:rsidR="00F373A3" w:rsidRPr="00181FCD">
        <w:t xml:space="preserve"> </w:t>
      </w:r>
      <w:r w:rsidRPr="00181FCD">
        <w:t>por</w:t>
      </w:r>
      <w:r w:rsidR="00F373A3" w:rsidRPr="00181FCD">
        <w:t xml:space="preserve"> </w:t>
      </w:r>
      <w:r w:rsidRPr="00181FCD">
        <w:t>trata</w:t>
      </w:r>
      <w:r w:rsidR="00F373A3" w:rsidRPr="00181FCD">
        <w:t xml:space="preserve"> </w:t>
      </w:r>
      <w:r w:rsidRPr="00181FCD">
        <w:t>de</w:t>
      </w:r>
      <w:r w:rsidR="00F373A3" w:rsidRPr="00181FCD">
        <w:t xml:space="preserve"> </w:t>
      </w:r>
      <w:r w:rsidRPr="00181FCD">
        <w:t>seres</w:t>
      </w:r>
      <w:r w:rsidR="00F373A3" w:rsidRPr="00181FCD">
        <w:t xml:space="preserve"> </w:t>
      </w:r>
      <w:r w:rsidRPr="00181FCD">
        <w:t>humanos,</w:t>
      </w:r>
      <w:r w:rsidR="00F373A3" w:rsidRPr="00181FCD">
        <w:t xml:space="preserve"> </w:t>
      </w:r>
      <w:r w:rsidRPr="00181FCD">
        <w:t>se</w:t>
      </w:r>
      <w:r w:rsidR="00F373A3" w:rsidRPr="00181FCD">
        <w:t xml:space="preserve"> </w:t>
      </w:r>
      <w:r w:rsidRPr="00181FCD">
        <w:t>han</w:t>
      </w:r>
      <w:r w:rsidR="00F373A3" w:rsidRPr="00181FCD">
        <w:t xml:space="preserve"> </w:t>
      </w:r>
      <w:r w:rsidRPr="00181FCD">
        <w:t>remitido</w:t>
      </w:r>
      <w:r w:rsidR="00F373A3" w:rsidRPr="00181FCD">
        <w:t xml:space="preserve"> </w:t>
      </w:r>
      <w:r w:rsidRPr="00181FCD">
        <w:t>al</w:t>
      </w:r>
      <w:r w:rsidR="00F373A3" w:rsidRPr="00181FCD">
        <w:t xml:space="preserve"> </w:t>
      </w:r>
      <w:r w:rsidRPr="00181FCD">
        <w:t>tribunal</w:t>
      </w:r>
      <w:r w:rsidR="00F373A3" w:rsidRPr="00181FCD">
        <w:t xml:space="preserve"> </w:t>
      </w:r>
      <w:r w:rsidRPr="00181FCD">
        <w:t>241</w:t>
      </w:r>
      <w:r w:rsidR="00F373A3" w:rsidRPr="00181FCD">
        <w:t xml:space="preserve"> </w:t>
      </w:r>
      <w:r w:rsidRPr="00181FCD">
        <w:t>autos</w:t>
      </w:r>
      <w:r w:rsidR="00F373A3" w:rsidRPr="00181FCD">
        <w:t xml:space="preserve"> </w:t>
      </w:r>
      <w:r w:rsidRPr="00181FCD">
        <w:t>de</w:t>
      </w:r>
      <w:r w:rsidR="00F373A3" w:rsidRPr="00181FCD">
        <w:t xml:space="preserve"> </w:t>
      </w:r>
      <w:r w:rsidRPr="00181FCD">
        <w:t>procesamiento</w:t>
      </w:r>
      <w:r w:rsidR="00F373A3" w:rsidRPr="00181FCD">
        <w:t xml:space="preserve"> </w:t>
      </w:r>
      <w:r w:rsidRPr="00181FCD">
        <w:t>y</w:t>
      </w:r>
      <w:r w:rsidR="00F373A3" w:rsidRPr="00181FCD">
        <w:t xml:space="preserve"> </w:t>
      </w:r>
      <w:r w:rsidRPr="00181FCD">
        <w:t>se</w:t>
      </w:r>
      <w:r w:rsidR="00F373A3" w:rsidRPr="00181FCD">
        <w:t xml:space="preserve"> </w:t>
      </w:r>
      <w:r w:rsidRPr="00181FCD">
        <w:t>han</w:t>
      </w:r>
      <w:r w:rsidR="00F373A3" w:rsidRPr="00181FCD">
        <w:t xml:space="preserve"> </w:t>
      </w:r>
      <w:r w:rsidRPr="00181FCD">
        <w:t>pronunciado</w:t>
      </w:r>
      <w:r w:rsidR="00F373A3" w:rsidRPr="00181FCD">
        <w:t xml:space="preserve"> </w:t>
      </w:r>
      <w:r w:rsidRPr="00181FCD">
        <w:t>condenas</w:t>
      </w:r>
      <w:r w:rsidR="00672EC2" w:rsidRPr="00181FCD">
        <w:t xml:space="preserve"> </w:t>
      </w:r>
      <w:r w:rsidRPr="00181FCD">
        <w:t>contra</w:t>
      </w:r>
      <w:r w:rsidR="00F373A3" w:rsidRPr="00181FCD">
        <w:t xml:space="preserve"> </w:t>
      </w:r>
      <w:r w:rsidRPr="00181FCD">
        <w:t>322</w:t>
      </w:r>
      <w:r w:rsidR="00F373A3" w:rsidRPr="00181FCD">
        <w:t xml:space="preserve"> </w:t>
      </w:r>
      <w:r w:rsidRPr="00181FCD">
        <w:t>personas.</w:t>
      </w:r>
      <w:r w:rsidR="00F373A3" w:rsidRPr="00181FCD">
        <w:t xml:space="preserve"> </w:t>
      </w:r>
      <w:r w:rsidRPr="00181FCD">
        <w:t>Las</w:t>
      </w:r>
      <w:r w:rsidR="00F373A3" w:rsidRPr="00181FCD">
        <w:t xml:space="preserve"> </w:t>
      </w:r>
      <w:r w:rsidRPr="00181FCD">
        <w:t>estadísticas</w:t>
      </w:r>
      <w:r w:rsidR="00F373A3" w:rsidRPr="00181FCD">
        <w:t xml:space="preserve"> </w:t>
      </w:r>
      <w:r w:rsidRPr="00181FCD">
        <w:t>oficiales</w:t>
      </w:r>
      <w:r w:rsidR="00F373A3" w:rsidRPr="00181FCD">
        <w:t xml:space="preserve"> </w:t>
      </w:r>
      <w:r w:rsidRPr="00181FCD">
        <w:t>proporcionadas</w:t>
      </w:r>
      <w:r w:rsidR="00F373A3" w:rsidRPr="00181FCD">
        <w:t xml:space="preserve"> </w:t>
      </w:r>
      <w:r w:rsidRPr="00181FCD">
        <w:t>por</w:t>
      </w:r>
      <w:r w:rsidR="00F373A3" w:rsidRPr="00181FCD">
        <w:t xml:space="preserve"> </w:t>
      </w:r>
      <w:r w:rsidRPr="00181FCD">
        <w:t>la</w:t>
      </w:r>
      <w:r w:rsidR="00F373A3" w:rsidRPr="00181FCD">
        <w:t xml:space="preserve"> </w:t>
      </w:r>
      <w:r w:rsidRPr="00181FCD">
        <w:t>Fiscalía</w:t>
      </w:r>
      <w:r w:rsidR="00F373A3" w:rsidRPr="00181FCD">
        <w:t xml:space="preserve"> </w:t>
      </w:r>
      <w:r w:rsidRPr="00181FCD">
        <w:t>Suprema</w:t>
      </w:r>
      <w:r w:rsidR="00F373A3" w:rsidRPr="00181FCD">
        <w:t xml:space="preserve"> </w:t>
      </w:r>
      <w:r w:rsidRPr="00181FCD">
        <w:t>indican</w:t>
      </w:r>
      <w:r w:rsidR="00F373A3" w:rsidRPr="00181FCD">
        <w:t xml:space="preserve"> </w:t>
      </w:r>
      <w:r w:rsidRPr="00181FCD">
        <w:t>que</w:t>
      </w:r>
      <w:r w:rsidR="00F373A3" w:rsidRPr="00181FCD">
        <w:t xml:space="preserve"> </w:t>
      </w:r>
      <w:r w:rsidRPr="00181FCD">
        <w:t>para</w:t>
      </w:r>
      <w:r w:rsidR="00F373A3" w:rsidRPr="00181FCD">
        <w:t xml:space="preserve"> </w:t>
      </w:r>
      <w:r w:rsidRPr="00181FCD">
        <w:t>2013</w:t>
      </w:r>
      <w:r w:rsidR="00F373A3" w:rsidRPr="00181FCD">
        <w:t xml:space="preserve"> </w:t>
      </w:r>
      <w:r w:rsidRPr="00181FCD">
        <w:t>se</w:t>
      </w:r>
      <w:r w:rsidR="00F373A3" w:rsidRPr="00181FCD">
        <w:t xml:space="preserve"> </w:t>
      </w:r>
      <w:r w:rsidRPr="00181FCD">
        <w:t>detectaron</w:t>
      </w:r>
      <w:r w:rsidR="00F373A3" w:rsidRPr="00181FCD">
        <w:t xml:space="preserve"> </w:t>
      </w:r>
      <w:r w:rsidRPr="00181FCD">
        <w:t>540</w:t>
      </w:r>
      <w:r w:rsidR="00F373A3" w:rsidRPr="00181FCD">
        <w:t xml:space="preserve"> </w:t>
      </w:r>
      <w:r w:rsidRPr="00181FCD">
        <w:t>casos</w:t>
      </w:r>
      <w:r w:rsidR="00F373A3" w:rsidRPr="00181FCD">
        <w:t xml:space="preserve"> </w:t>
      </w:r>
      <w:r w:rsidRPr="00181FCD">
        <w:t>de</w:t>
      </w:r>
      <w:r w:rsidR="00F373A3" w:rsidRPr="00181FCD">
        <w:t xml:space="preserve"> </w:t>
      </w:r>
      <w:r w:rsidRPr="00181FCD">
        <w:t>ciudadanos</w:t>
      </w:r>
      <w:r w:rsidR="00F373A3" w:rsidRPr="00181FCD">
        <w:t xml:space="preserve"> </w:t>
      </w:r>
      <w:r w:rsidRPr="00181FCD">
        <w:t>búlgaros</w:t>
      </w:r>
      <w:r w:rsidR="00F373A3" w:rsidRPr="00181FCD">
        <w:t xml:space="preserve"> </w:t>
      </w:r>
      <w:r w:rsidRPr="00181FCD">
        <w:t>víctimas</w:t>
      </w:r>
      <w:r w:rsidR="00F373A3" w:rsidRPr="00181FCD">
        <w:t xml:space="preserve"> </w:t>
      </w:r>
      <w:r w:rsidRPr="00181FCD">
        <w:t>de</w:t>
      </w:r>
      <w:r w:rsidR="00F373A3" w:rsidRPr="00181FCD">
        <w:t xml:space="preserve"> </w:t>
      </w:r>
      <w:r w:rsidRPr="00181FCD">
        <w:t>la</w:t>
      </w:r>
      <w:r w:rsidR="00F373A3" w:rsidRPr="00181FCD">
        <w:t xml:space="preserve"> </w:t>
      </w:r>
      <w:r w:rsidRPr="00181FCD">
        <w:t>trata</w:t>
      </w:r>
      <w:r w:rsidR="00F373A3" w:rsidRPr="00181FCD">
        <w:t xml:space="preserve"> </w:t>
      </w:r>
      <w:r w:rsidRPr="00181FCD">
        <w:t>de</w:t>
      </w:r>
      <w:r w:rsidR="00F373A3" w:rsidRPr="00181FCD">
        <w:t xml:space="preserve"> </w:t>
      </w:r>
      <w:r w:rsidRPr="00181FCD">
        <w:t>seres</w:t>
      </w:r>
      <w:r w:rsidR="00F373A3" w:rsidRPr="00181FCD">
        <w:t xml:space="preserve"> </w:t>
      </w:r>
      <w:r w:rsidRPr="00181FCD">
        <w:t>humanos,</w:t>
      </w:r>
      <w:r w:rsidR="00F373A3" w:rsidRPr="00181FCD">
        <w:t xml:space="preserve"> </w:t>
      </w:r>
      <w:r w:rsidRPr="00181FCD">
        <w:t>de</w:t>
      </w:r>
      <w:r w:rsidR="00F373A3" w:rsidRPr="00181FCD">
        <w:t xml:space="preserve"> </w:t>
      </w:r>
      <w:r w:rsidRPr="00181FCD">
        <w:t>los</w:t>
      </w:r>
      <w:r w:rsidR="00F373A3" w:rsidRPr="00181FCD">
        <w:t xml:space="preserve"> </w:t>
      </w:r>
      <w:r w:rsidRPr="00181FCD">
        <w:t>cuales</w:t>
      </w:r>
      <w:r w:rsidR="00F373A3" w:rsidRPr="00181FCD">
        <w:t xml:space="preserve"> </w:t>
      </w:r>
      <w:r w:rsidRPr="00181FCD">
        <w:t>476</w:t>
      </w:r>
      <w:r w:rsidR="00F373A3" w:rsidRPr="00181FCD">
        <w:t xml:space="preserve"> </w:t>
      </w:r>
      <w:r w:rsidRPr="00181FCD">
        <w:t>son</w:t>
      </w:r>
      <w:r w:rsidR="00F373A3" w:rsidRPr="00181FCD">
        <w:t xml:space="preserve"> </w:t>
      </w:r>
      <w:r w:rsidRPr="00181FCD">
        <w:t>mujeres</w:t>
      </w:r>
      <w:r w:rsidR="00F373A3" w:rsidRPr="00181FCD">
        <w:t xml:space="preserve"> </w:t>
      </w:r>
      <w:r w:rsidRPr="00181FCD">
        <w:t>y</w:t>
      </w:r>
      <w:r w:rsidR="00F373A3" w:rsidRPr="00181FCD">
        <w:t xml:space="preserve"> </w:t>
      </w:r>
      <w:r w:rsidRPr="00181FCD">
        <w:t>64</w:t>
      </w:r>
      <w:r w:rsidR="00F373A3" w:rsidRPr="00181FCD">
        <w:t xml:space="preserve"> </w:t>
      </w:r>
      <w:r w:rsidRPr="00181FCD">
        <w:t>hombres.</w:t>
      </w:r>
      <w:r w:rsidR="00F373A3" w:rsidRPr="00181FCD">
        <w:t xml:space="preserve"> </w:t>
      </w:r>
      <w:r w:rsidRPr="00181FCD">
        <w:t>La</w:t>
      </w:r>
      <w:r w:rsidR="00F373A3" w:rsidRPr="00181FCD">
        <w:t xml:space="preserve"> </w:t>
      </w:r>
      <w:r w:rsidRPr="00181FCD">
        <w:t>República</w:t>
      </w:r>
      <w:r w:rsidR="00F373A3" w:rsidRPr="00181FCD">
        <w:t xml:space="preserve"> </w:t>
      </w:r>
      <w:r w:rsidRPr="00181FCD">
        <w:t>de</w:t>
      </w:r>
      <w:r w:rsidR="00F373A3" w:rsidRPr="00181FCD">
        <w:t xml:space="preserve"> </w:t>
      </w:r>
      <w:r w:rsidRPr="00181FCD">
        <w:t>Bulgaria</w:t>
      </w:r>
      <w:r w:rsidR="00F373A3" w:rsidRPr="00181FCD">
        <w:t xml:space="preserve"> </w:t>
      </w:r>
      <w:r w:rsidRPr="00181FCD">
        <w:t>presta</w:t>
      </w:r>
      <w:r w:rsidR="00F373A3" w:rsidRPr="00181FCD">
        <w:t xml:space="preserve"> </w:t>
      </w:r>
      <w:r w:rsidRPr="00181FCD">
        <w:t>especial</w:t>
      </w:r>
      <w:r w:rsidR="00F373A3" w:rsidRPr="00181FCD">
        <w:t xml:space="preserve"> </w:t>
      </w:r>
      <w:r w:rsidRPr="00181FCD">
        <w:t>atención</w:t>
      </w:r>
      <w:r w:rsidR="00F373A3" w:rsidRPr="00181FCD">
        <w:t xml:space="preserve"> </w:t>
      </w:r>
      <w:r w:rsidRPr="00181FCD">
        <w:t>a</w:t>
      </w:r>
      <w:r w:rsidR="00F373A3" w:rsidRPr="00181FCD">
        <w:t xml:space="preserve"> </w:t>
      </w:r>
      <w:r w:rsidRPr="00181FCD">
        <w:t>la</w:t>
      </w:r>
      <w:r w:rsidR="00F373A3" w:rsidRPr="00181FCD">
        <w:t xml:space="preserve"> </w:t>
      </w:r>
      <w:r w:rsidRPr="00181FCD">
        <w:t>trata</w:t>
      </w:r>
      <w:r w:rsidR="00F373A3" w:rsidRPr="00181FCD">
        <w:t xml:space="preserve"> </w:t>
      </w:r>
      <w:r w:rsidRPr="00181FCD">
        <w:t>de</w:t>
      </w:r>
      <w:r w:rsidR="00F373A3" w:rsidRPr="00181FCD">
        <w:t xml:space="preserve"> </w:t>
      </w:r>
      <w:r w:rsidRPr="00181FCD">
        <w:t>seres</w:t>
      </w:r>
      <w:r w:rsidR="00F373A3" w:rsidRPr="00181FCD">
        <w:t xml:space="preserve"> </w:t>
      </w:r>
      <w:r w:rsidRPr="00181FCD">
        <w:t>humanos</w:t>
      </w:r>
      <w:r w:rsidR="00F373A3" w:rsidRPr="00181FCD">
        <w:t xml:space="preserve"> </w:t>
      </w:r>
      <w:r w:rsidRPr="00181FCD">
        <w:t>y</w:t>
      </w:r>
      <w:r w:rsidR="00F373A3" w:rsidRPr="00181FCD">
        <w:t xml:space="preserve"> </w:t>
      </w:r>
      <w:r w:rsidRPr="00181FCD">
        <w:t>reconoce</w:t>
      </w:r>
      <w:r w:rsidR="00F373A3" w:rsidRPr="00181FCD">
        <w:t xml:space="preserve"> </w:t>
      </w:r>
      <w:r w:rsidRPr="00181FCD">
        <w:t>la</w:t>
      </w:r>
      <w:r w:rsidR="00F373A3" w:rsidRPr="00181FCD">
        <w:t xml:space="preserve"> </w:t>
      </w:r>
      <w:r w:rsidRPr="00181FCD">
        <w:t>necesidad</w:t>
      </w:r>
      <w:r w:rsidR="00F373A3" w:rsidRPr="00181FCD">
        <w:t xml:space="preserve"> </w:t>
      </w:r>
      <w:r w:rsidRPr="00181FCD">
        <w:t>de</w:t>
      </w:r>
      <w:r w:rsidR="00F373A3" w:rsidRPr="00181FCD">
        <w:t xml:space="preserve"> </w:t>
      </w:r>
      <w:r w:rsidRPr="00181FCD">
        <w:t>seguir</w:t>
      </w:r>
      <w:r w:rsidR="00F373A3" w:rsidRPr="00181FCD">
        <w:t xml:space="preserve"> </w:t>
      </w:r>
      <w:r w:rsidRPr="00181FCD">
        <w:t>reforzando</w:t>
      </w:r>
      <w:r w:rsidR="00F373A3" w:rsidRPr="00181FCD">
        <w:t xml:space="preserve"> </w:t>
      </w:r>
      <w:r w:rsidRPr="00181FCD">
        <w:t>el</w:t>
      </w:r>
      <w:r w:rsidR="00F373A3" w:rsidRPr="00181FCD">
        <w:t xml:space="preserve"> </w:t>
      </w:r>
      <w:r w:rsidRPr="00181FCD">
        <w:t>marco</w:t>
      </w:r>
      <w:r w:rsidR="00F373A3" w:rsidRPr="00181FCD">
        <w:t xml:space="preserve"> </w:t>
      </w:r>
      <w:r w:rsidRPr="00181FCD">
        <w:t>jurídico</w:t>
      </w:r>
      <w:r w:rsidR="00F373A3" w:rsidRPr="00181FCD">
        <w:t xml:space="preserve"> </w:t>
      </w:r>
      <w:r w:rsidRPr="00181FCD">
        <w:t>y</w:t>
      </w:r>
      <w:r w:rsidR="00F373A3" w:rsidRPr="00181FCD">
        <w:t xml:space="preserve"> </w:t>
      </w:r>
      <w:r w:rsidRPr="00181FCD">
        <w:t>la</w:t>
      </w:r>
      <w:r w:rsidR="00F373A3" w:rsidRPr="00181FCD">
        <w:t xml:space="preserve"> </w:t>
      </w:r>
      <w:r w:rsidRPr="00181FCD">
        <w:t>política</w:t>
      </w:r>
      <w:r w:rsidR="00F373A3" w:rsidRPr="00181FCD">
        <w:t xml:space="preserve"> </w:t>
      </w:r>
      <w:r w:rsidRPr="00181FCD">
        <w:t>del</w:t>
      </w:r>
      <w:r w:rsidR="00F373A3" w:rsidRPr="00181FCD">
        <w:t xml:space="preserve"> </w:t>
      </w:r>
      <w:r w:rsidRPr="00181FCD">
        <w:t>Estado</w:t>
      </w:r>
      <w:r w:rsidR="00F373A3" w:rsidRPr="00181FCD">
        <w:t xml:space="preserve"> </w:t>
      </w:r>
      <w:r w:rsidRPr="00181FCD">
        <w:t>en</w:t>
      </w:r>
      <w:r w:rsidR="00F373A3" w:rsidRPr="00181FCD">
        <w:t xml:space="preserve"> </w:t>
      </w:r>
      <w:r w:rsidRPr="00181FCD">
        <w:t>su</w:t>
      </w:r>
      <w:r w:rsidR="00F373A3" w:rsidRPr="00181FCD">
        <w:t xml:space="preserve"> </w:t>
      </w:r>
      <w:r w:rsidRPr="00181FCD">
        <w:t>integridad.</w:t>
      </w:r>
    </w:p>
    <w:p w:rsidR="001937F4" w:rsidRPr="00181FCD" w:rsidRDefault="00347B20" w:rsidP="00347B20">
      <w:pPr>
        <w:pStyle w:val="H23G"/>
      </w:pPr>
      <w:r w:rsidRPr="00181FCD">
        <w:tab/>
      </w:r>
      <w:r w:rsidRPr="00181FCD">
        <w:tab/>
      </w:r>
      <w:r w:rsidR="001937F4" w:rsidRPr="00181FCD">
        <w:t>Respuesta</w:t>
      </w:r>
      <w:r w:rsidR="00F373A3" w:rsidRPr="00181FCD">
        <w:t xml:space="preserve"> </w:t>
      </w:r>
      <w:r w:rsidR="001937F4" w:rsidRPr="00181FCD">
        <w:t>a</w:t>
      </w:r>
      <w:r w:rsidR="00F373A3" w:rsidRPr="00181FCD">
        <w:t xml:space="preserve"> </w:t>
      </w:r>
      <w:r w:rsidR="001937F4" w:rsidRPr="00181FCD">
        <w:t>las</w:t>
      </w:r>
      <w:r w:rsidR="00F373A3" w:rsidRPr="00181FCD">
        <w:t xml:space="preserve"> </w:t>
      </w:r>
      <w:r w:rsidR="001937F4" w:rsidRPr="00181FCD">
        <w:t>cuestiones</w:t>
      </w:r>
      <w:r w:rsidR="00F373A3" w:rsidRPr="00181FCD">
        <w:t xml:space="preserve"> </w:t>
      </w:r>
      <w:r w:rsidR="001937F4" w:rsidRPr="00181FCD">
        <w:t>planteadas</w:t>
      </w:r>
      <w:r w:rsidR="00F373A3" w:rsidRPr="00181FCD">
        <w:t xml:space="preserve"> </w:t>
      </w:r>
      <w:r w:rsidR="001937F4" w:rsidRPr="00181FCD">
        <w:t>en</w:t>
      </w:r>
      <w:r w:rsidR="00F373A3" w:rsidRPr="00181FCD">
        <w:t xml:space="preserve"> </w:t>
      </w:r>
      <w:r w:rsidR="001937F4" w:rsidRPr="00181FCD">
        <w:t>el</w:t>
      </w:r>
      <w:r w:rsidR="00F373A3" w:rsidRPr="00181FCD">
        <w:t xml:space="preserve"> </w:t>
      </w:r>
      <w:r w:rsidR="001937F4" w:rsidRPr="00181FCD">
        <w:t>párrafo</w:t>
      </w:r>
      <w:r w:rsidR="00F373A3" w:rsidRPr="00181FCD">
        <w:t xml:space="preserve"> </w:t>
      </w:r>
      <w:r w:rsidR="001937F4" w:rsidRPr="00181FCD">
        <w:t>9</w:t>
      </w:r>
      <w:r w:rsidR="00F373A3" w:rsidRPr="00181FCD">
        <w:t xml:space="preserve"> </w:t>
      </w:r>
      <w:r w:rsidR="001937F4" w:rsidRPr="00181FCD">
        <w:t>de</w:t>
      </w:r>
      <w:r w:rsidR="00F373A3" w:rsidRPr="00181FCD">
        <w:t xml:space="preserve"> </w:t>
      </w:r>
      <w:r w:rsidR="001937F4" w:rsidRPr="00181FCD">
        <w:t>la</w:t>
      </w:r>
      <w:r w:rsidR="00F373A3" w:rsidRPr="00181FCD">
        <w:t xml:space="preserve"> </w:t>
      </w:r>
      <w:r w:rsidR="001937F4" w:rsidRPr="00181FCD">
        <w:t>lista</w:t>
      </w:r>
      <w:r w:rsidR="00F373A3" w:rsidRPr="00181FCD">
        <w:t xml:space="preserve"> </w:t>
      </w:r>
      <w:r w:rsidR="001937F4" w:rsidRPr="00181FCD">
        <w:t>de</w:t>
      </w:r>
      <w:r w:rsidR="00F373A3" w:rsidRPr="00181FCD">
        <w:t xml:space="preserve"> </w:t>
      </w:r>
      <w:r w:rsidR="001937F4" w:rsidRPr="00181FCD">
        <w:t>cuestiones</w:t>
      </w:r>
    </w:p>
    <w:p w:rsidR="001937F4" w:rsidRPr="00181FCD" w:rsidRDefault="001937F4" w:rsidP="00347B20">
      <w:pPr>
        <w:pStyle w:val="SingleTxtG"/>
        <w:suppressAutoHyphens/>
      </w:pPr>
      <w:r w:rsidRPr="00181FCD">
        <w:t>75.</w:t>
      </w:r>
      <w:r w:rsidRPr="00181FCD">
        <w:tab/>
        <w:t>El</w:t>
      </w:r>
      <w:r w:rsidR="00F373A3" w:rsidRPr="00181FCD">
        <w:t xml:space="preserve"> </w:t>
      </w:r>
      <w:r w:rsidRPr="00181FCD">
        <w:t>7</w:t>
      </w:r>
      <w:r w:rsidR="00F373A3" w:rsidRPr="00181FCD">
        <w:t xml:space="preserve"> </w:t>
      </w:r>
      <w:r w:rsidRPr="00181FCD">
        <w:t>de</w:t>
      </w:r>
      <w:r w:rsidR="00F373A3" w:rsidRPr="00181FCD">
        <w:t xml:space="preserve"> </w:t>
      </w:r>
      <w:r w:rsidRPr="00181FCD">
        <w:t>julio</w:t>
      </w:r>
      <w:r w:rsidR="00F373A3" w:rsidRPr="00181FCD">
        <w:t xml:space="preserve"> </w:t>
      </w:r>
      <w:r w:rsidRPr="00181FCD">
        <w:t>de</w:t>
      </w:r>
      <w:r w:rsidR="00F373A3" w:rsidRPr="00181FCD">
        <w:t xml:space="preserve"> </w:t>
      </w:r>
      <w:r w:rsidRPr="00181FCD">
        <w:t>2015</w:t>
      </w:r>
      <w:r w:rsidR="00F373A3" w:rsidRPr="00181FCD">
        <w:t xml:space="preserve"> </w:t>
      </w:r>
      <w:r w:rsidRPr="00181FCD">
        <w:t>se</w:t>
      </w:r>
      <w:r w:rsidR="00F373A3" w:rsidRPr="00181FCD">
        <w:t xml:space="preserve"> </w:t>
      </w:r>
      <w:r w:rsidRPr="00181FCD">
        <w:t>publicó</w:t>
      </w:r>
      <w:r w:rsidR="00F373A3" w:rsidRPr="00181FCD">
        <w:t xml:space="preserve"> </w:t>
      </w:r>
      <w:r w:rsidRPr="00181FCD">
        <w:t>en</w:t>
      </w:r>
      <w:r w:rsidR="00F373A3" w:rsidRPr="00181FCD">
        <w:t xml:space="preserve"> </w:t>
      </w:r>
      <w:r w:rsidRPr="00181FCD">
        <w:t>el</w:t>
      </w:r>
      <w:r w:rsidR="00F373A3" w:rsidRPr="00181FCD">
        <w:t xml:space="preserve"> </w:t>
      </w:r>
      <w:r w:rsidRPr="00181FCD">
        <w:t>sitio</w:t>
      </w:r>
      <w:r w:rsidR="00F373A3" w:rsidRPr="00181FCD">
        <w:t xml:space="preserve"> </w:t>
      </w:r>
      <w:r w:rsidRPr="00181FCD">
        <w:t>web</w:t>
      </w:r>
      <w:r w:rsidR="00F373A3" w:rsidRPr="00181FCD">
        <w:t xml:space="preserve"> </w:t>
      </w:r>
      <w:r w:rsidRPr="00181FCD">
        <w:t>oficial</w:t>
      </w:r>
      <w:r w:rsidR="00F373A3" w:rsidRPr="00181FCD">
        <w:t xml:space="preserve"> </w:t>
      </w:r>
      <w:r w:rsidRPr="00181FCD">
        <w:t>del</w:t>
      </w:r>
      <w:r w:rsidR="00F373A3" w:rsidRPr="00181FCD">
        <w:t xml:space="preserve"> </w:t>
      </w:r>
      <w:r w:rsidRPr="00181FCD">
        <w:t>Ministerio</w:t>
      </w:r>
      <w:r w:rsidR="00F373A3" w:rsidRPr="00181FCD">
        <w:t xml:space="preserve"> </w:t>
      </w:r>
      <w:r w:rsidRPr="00181FCD">
        <w:t>de</w:t>
      </w:r>
      <w:r w:rsidR="00F373A3" w:rsidRPr="00181FCD">
        <w:t xml:space="preserve"> </w:t>
      </w:r>
      <w:r w:rsidRPr="00181FCD">
        <w:t>Justicia,</w:t>
      </w:r>
      <w:r w:rsidR="00F373A3" w:rsidRPr="00181FCD">
        <w:t xml:space="preserve"> </w:t>
      </w:r>
      <w:r w:rsidRPr="00181FCD">
        <w:t>para</w:t>
      </w:r>
      <w:r w:rsidR="00F373A3" w:rsidRPr="00181FCD">
        <w:t xml:space="preserve"> </w:t>
      </w:r>
      <w:r w:rsidRPr="00181FCD">
        <w:t>someter</w:t>
      </w:r>
      <w:r w:rsidR="00F373A3" w:rsidRPr="00181FCD">
        <w:t xml:space="preserve"> </w:t>
      </w:r>
      <w:r w:rsidRPr="00181FCD">
        <w:t>a</w:t>
      </w:r>
      <w:r w:rsidR="00F373A3" w:rsidRPr="00181FCD">
        <w:t xml:space="preserve"> </w:t>
      </w:r>
      <w:r w:rsidRPr="00181FCD">
        <w:t>debate</w:t>
      </w:r>
      <w:r w:rsidR="00F373A3" w:rsidRPr="00181FCD">
        <w:t xml:space="preserve"> </w:t>
      </w:r>
      <w:r w:rsidRPr="00181FCD">
        <w:t>público,</w:t>
      </w:r>
      <w:r w:rsidR="00F373A3" w:rsidRPr="00181FCD">
        <w:t xml:space="preserve"> </w:t>
      </w:r>
      <w:r w:rsidRPr="00181FCD">
        <w:t>un</w:t>
      </w:r>
      <w:r w:rsidR="00F373A3" w:rsidRPr="00181FCD">
        <w:t xml:space="preserve"> </w:t>
      </w:r>
      <w:r w:rsidRPr="00181FCD">
        <w:t>proyecto</w:t>
      </w:r>
      <w:r w:rsidR="00F373A3" w:rsidRPr="00181FCD">
        <w:t xml:space="preserve"> </w:t>
      </w:r>
      <w:r w:rsidRPr="00181FCD">
        <w:t>de</w:t>
      </w:r>
      <w:r w:rsidR="00F373A3" w:rsidRPr="00181FCD">
        <w:t xml:space="preserve"> </w:t>
      </w:r>
      <w:r w:rsidRPr="00181FCD">
        <w:t>Ley</w:t>
      </w:r>
      <w:r w:rsidR="00F373A3" w:rsidRPr="00181FCD">
        <w:t xml:space="preserve"> </w:t>
      </w:r>
      <w:r w:rsidRPr="00181FCD">
        <w:t>de</w:t>
      </w:r>
      <w:r w:rsidR="00F373A3" w:rsidRPr="00181FCD">
        <w:t xml:space="preserve"> </w:t>
      </w:r>
      <w:r w:rsidRPr="00181FCD">
        <w:t>las</w:t>
      </w:r>
      <w:r w:rsidR="00F373A3" w:rsidRPr="00181FCD">
        <w:t xml:space="preserve"> </w:t>
      </w:r>
      <w:r w:rsidRPr="00181FCD">
        <w:t>Personas</w:t>
      </w:r>
      <w:r w:rsidR="00F373A3" w:rsidRPr="00181FCD">
        <w:t xml:space="preserve"> </w:t>
      </w:r>
      <w:r w:rsidRPr="00181FCD">
        <w:t>Físicas</w:t>
      </w:r>
      <w:r w:rsidR="00F373A3" w:rsidRPr="00181FCD">
        <w:t xml:space="preserve"> </w:t>
      </w:r>
      <w:r w:rsidRPr="00181FCD">
        <w:t>y</w:t>
      </w:r>
      <w:r w:rsidR="00F373A3" w:rsidRPr="00181FCD">
        <w:t xml:space="preserve"> </w:t>
      </w:r>
      <w:r w:rsidRPr="00181FCD">
        <w:t>Medidas</w:t>
      </w:r>
      <w:r w:rsidR="00F373A3" w:rsidRPr="00181FCD">
        <w:t xml:space="preserve"> </w:t>
      </w:r>
      <w:r w:rsidRPr="00181FCD">
        <w:t>de</w:t>
      </w:r>
      <w:r w:rsidR="00F373A3" w:rsidRPr="00181FCD">
        <w:t xml:space="preserve"> </w:t>
      </w:r>
      <w:r w:rsidRPr="00181FCD">
        <w:t>Apoyo,</w:t>
      </w:r>
      <w:r w:rsidR="00F373A3" w:rsidRPr="00181FCD">
        <w:t xml:space="preserve"> </w:t>
      </w:r>
      <w:r w:rsidRPr="00181FCD">
        <w:t>y</w:t>
      </w:r>
      <w:r w:rsidR="00F373A3" w:rsidRPr="00181FCD">
        <w:t xml:space="preserve"> </w:t>
      </w:r>
      <w:r w:rsidRPr="00181FCD">
        <w:t>la</w:t>
      </w:r>
      <w:r w:rsidR="00F373A3" w:rsidRPr="00181FCD">
        <w:t xml:space="preserve"> </w:t>
      </w:r>
      <w:r w:rsidRPr="00181FCD">
        <w:t>correspondiente</w:t>
      </w:r>
      <w:r w:rsidR="00F373A3" w:rsidRPr="00181FCD">
        <w:t xml:space="preserve"> </w:t>
      </w:r>
      <w:r w:rsidRPr="00181FCD">
        <w:t>exposición</w:t>
      </w:r>
      <w:r w:rsidR="00F373A3" w:rsidRPr="00181FCD">
        <w:t xml:space="preserve"> </w:t>
      </w:r>
      <w:r w:rsidRPr="00181FCD">
        <w:t>de</w:t>
      </w:r>
      <w:r w:rsidR="00F373A3" w:rsidRPr="00181FCD">
        <w:t xml:space="preserve"> </w:t>
      </w:r>
      <w:r w:rsidRPr="00181FCD">
        <w:t>motivos.</w:t>
      </w:r>
    </w:p>
    <w:p w:rsidR="001937F4" w:rsidRPr="00181FCD" w:rsidRDefault="001937F4" w:rsidP="00347B20">
      <w:pPr>
        <w:pStyle w:val="SingleTxtG"/>
        <w:suppressAutoHyphens/>
      </w:pPr>
      <w:r w:rsidRPr="00181FCD">
        <w:t>76.</w:t>
      </w:r>
      <w:r w:rsidRPr="00181FCD">
        <w:tab/>
        <w:t>El</w:t>
      </w:r>
      <w:r w:rsidR="00F373A3" w:rsidRPr="00181FCD">
        <w:t xml:space="preserve"> </w:t>
      </w:r>
      <w:r w:rsidRPr="00181FCD">
        <w:t>propósito</w:t>
      </w:r>
      <w:r w:rsidR="00F373A3" w:rsidRPr="00181FCD">
        <w:t xml:space="preserve"> </w:t>
      </w:r>
      <w:r w:rsidRPr="00181FCD">
        <w:t>del</w:t>
      </w:r>
      <w:r w:rsidR="00F373A3" w:rsidRPr="00181FCD">
        <w:t xml:space="preserve"> </w:t>
      </w:r>
      <w:r w:rsidRPr="00181FCD">
        <w:t>proyecto</w:t>
      </w:r>
      <w:r w:rsidR="00F373A3" w:rsidRPr="00181FCD">
        <w:t xml:space="preserve"> </w:t>
      </w:r>
      <w:r w:rsidRPr="00181FCD">
        <w:t>de</w:t>
      </w:r>
      <w:r w:rsidR="00F373A3" w:rsidRPr="00181FCD">
        <w:t xml:space="preserve"> </w:t>
      </w:r>
      <w:r w:rsidRPr="00181FCD">
        <w:t>ley,</w:t>
      </w:r>
      <w:r w:rsidR="00F373A3" w:rsidRPr="00181FCD">
        <w:t xml:space="preserve"> </w:t>
      </w:r>
      <w:r w:rsidRPr="00181FCD">
        <w:t>por</w:t>
      </w:r>
      <w:r w:rsidR="00F373A3" w:rsidRPr="00181FCD">
        <w:t xml:space="preserve"> </w:t>
      </w:r>
      <w:r w:rsidRPr="00181FCD">
        <w:t>una</w:t>
      </w:r>
      <w:r w:rsidR="00F373A3" w:rsidRPr="00181FCD">
        <w:t xml:space="preserve"> </w:t>
      </w:r>
      <w:r w:rsidRPr="00181FCD">
        <w:t>parte,</w:t>
      </w:r>
      <w:r w:rsidR="00F373A3" w:rsidRPr="00181FCD">
        <w:t xml:space="preserve"> </w:t>
      </w:r>
      <w:r w:rsidRPr="00181FCD">
        <w:t>es</w:t>
      </w:r>
      <w:r w:rsidR="00F373A3" w:rsidRPr="00181FCD">
        <w:t xml:space="preserve"> </w:t>
      </w:r>
      <w:r w:rsidRPr="00181FCD">
        <w:t>potenciar</w:t>
      </w:r>
      <w:r w:rsidR="00F373A3" w:rsidRPr="00181FCD">
        <w:t xml:space="preserve"> </w:t>
      </w:r>
      <w:r w:rsidRPr="00181FCD">
        <w:t>y</w:t>
      </w:r>
      <w:r w:rsidR="00F373A3" w:rsidRPr="00181FCD">
        <w:t xml:space="preserve"> </w:t>
      </w:r>
      <w:r w:rsidRPr="00181FCD">
        <w:t>lograr</w:t>
      </w:r>
      <w:r w:rsidR="00F373A3" w:rsidRPr="00181FCD">
        <w:t xml:space="preserve"> </w:t>
      </w:r>
      <w:r w:rsidRPr="00181FCD">
        <w:t>la</w:t>
      </w:r>
      <w:r w:rsidR="00F373A3" w:rsidRPr="00181FCD">
        <w:t xml:space="preserve"> </w:t>
      </w:r>
      <w:r w:rsidRPr="00181FCD">
        <w:t>autonomía</w:t>
      </w:r>
      <w:r w:rsidR="00F373A3" w:rsidRPr="00181FCD">
        <w:t xml:space="preserve"> </w:t>
      </w:r>
      <w:r w:rsidRPr="00181FCD">
        <w:t>de</w:t>
      </w:r>
      <w:r w:rsidR="00F373A3" w:rsidRPr="00181FCD">
        <w:t xml:space="preserve"> </w:t>
      </w:r>
      <w:r w:rsidRPr="00181FCD">
        <w:t>las</w:t>
      </w:r>
      <w:r w:rsidR="00F373A3" w:rsidRPr="00181FCD">
        <w:t xml:space="preserve"> </w:t>
      </w:r>
      <w:r w:rsidRPr="00181FCD">
        <w:t>personas</w:t>
      </w:r>
      <w:r w:rsidR="00F373A3" w:rsidRPr="00181FCD">
        <w:t xml:space="preserve"> </w:t>
      </w:r>
      <w:r w:rsidRPr="00181FCD">
        <w:t>con</w:t>
      </w:r>
      <w:r w:rsidR="00F373A3" w:rsidRPr="00181FCD">
        <w:t xml:space="preserve"> </w:t>
      </w:r>
      <w:r w:rsidRPr="00181FCD">
        <w:t>discapacidad</w:t>
      </w:r>
      <w:r w:rsidR="00F373A3" w:rsidRPr="00181FCD">
        <w:t xml:space="preserve"> </w:t>
      </w:r>
      <w:r w:rsidRPr="00181FCD">
        <w:t>como</w:t>
      </w:r>
      <w:r w:rsidR="00F373A3" w:rsidRPr="00181FCD">
        <w:t xml:space="preserve"> </w:t>
      </w:r>
      <w:r w:rsidRPr="00181FCD">
        <w:t>sujetos</w:t>
      </w:r>
      <w:r w:rsidR="00F373A3" w:rsidRPr="00181FCD">
        <w:t xml:space="preserve"> </w:t>
      </w:r>
      <w:r w:rsidRPr="00181FCD">
        <w:t>de</w:t>
      </w:r>
      <w:r w:rsidR="00F373A3" w:rsidRPr="00181FCD">
        <w:t xml:space="preserve"> </w:t>
      </w:r>
      <w:r w:rsidRPr="00181FCD">
        <w:t>derechos.</w:t>
      </w:r>
      <w:r w:rsidR="00F373A3" w:rsidRPr="00181FCD">
        <w:t xml:space="preserve"> </w:t>
      </w:r>
      <w:r w:rsidRPr="00181FCD">
        <w:t>Por</w:t>
      </w:r>
      <w:r w:rsidR="00F373A3" w:rsidRPr="00181FCD">
        <w:t xml:space="preserve"> </w:t>
      </w:r>
      <w:r w:rsidRPr="00181FCD">
        <w:t>otra</w:t>
      </w:r>
      <w:r w:rsidR="00F373A3" w:rsidRPr="00181FCD">
        <w:t xml:space="preserve"> </w:t>
      </w:r>
      <w:r w:rsidRPr="00181FCD">
        <w:t>parte,</w:t>
      </w:r>
      <w:r w:rsidR="00F373A3" w:rsidRPr="00181FCD">
        <w:t xml:space="preserve"> </w:t>
      </w:r>
      <w:r w:rsidRPr="00181FCD">
        <w:t>se</w:t>
      </w:r>
      <w:r w:rsidR="00F373A3" w:rsidRPr="00181FCD">
        <w:t xml:space="preserve"> </w:t>
      </w:r>
      <w:r w:rsidRPr="00181FCD">
        <w:t>pretende</w:t>
      </w:r>
      <w:r w:rsidR="00F373A3" w:rsidRPr="00181FCD">
        <w:t xml:space="preserve"> </w:t>
      </w:r>
      <w:r w:rsidRPr="00181FCD">
        <w:t>consignar</w:t>
      </w:r>
      <w:r w:rsidR="00F373A3" w:rsidRPr="00181FCD">
        <w:t xml:space="preserve"> </w:t>
      </w:r>
      <w:r w:rsidRPr="00181FCD">
        <w:t>los</w:t>
      </w:r>
      <w:r w:rsidR="00F373A3" w:rsidRPr="00181FCD">
        <w:t xml:space="preserve"> </w:t>
      </w:r>
      <w:r w:rsidRPr="00181FCD">
        <w:t>deberes</w:t>
      </w:r>
      <w:r w:rsidR="00F373A3" w:rsidRPr="00181FCD">
        <w:t xml:space="preserve"> </w:t>
      </w:r>
      <w:r w:rsidRPr="00181FCD">
        <w:t>de</w:t>
      </w:r>
      <w:r w:rsidR="00F373A3" w:rsidRPr="00181FCD">
        <w:t xml:space="preserve"> </w:t>
      </w:r>
      <w:r w:rsidRPr="00181FCD">
        <w:t>las</w:t>
      </w:r>
      <w:r w:rsidR="00F373A3" w:rsidRPr="00181FCD">
        <w:t xml:space="preserve"> </w:t>
      </w:r>
      <w:r w:rsidRPr="00181FCD">
        <w:t>entidades</w:t>
      </w:r>
      <w:r w:rsidR="00F373A3" w:rsidRPr="00181FCD">
        <w:t xml:space="preserve"> </w:t>
      </w:r>
      <w:r w:rsidRPr="00181FCD">
        <w:t>y</w:t>
      </w:r>
      <w:r w:rsidR="00F373A3" w:rsidRPr="00181FCD">
        <w:t xml:space="preserve"> </w:t>
      </w:r>
      <w:r w:rsidRPr="00181FCD">
        <w:t>los</w:t>
      </w:r>
      <w:r w:rsidR="00F373A3" w:rsidRPr="00181FCD">
        <w:t xml:space="preserve"> </w:t>
      </w:r>
      <w:r w:rsidRPr="00181FCD">
        <w:t>terceros</w:t>
      </w:r>
      <w:r w:rsidR="00F373A3" w:rsidRPr="00181FCD">
        <w:t xml:space="preserve"> </w:t>
      </w:r>
      <w:r w:rsidRPr="00181FCD">
        <w:t>obligados</w:t>
      </w:r>
      <w:r w:rsidR="00F373A3" w:rsidRPr="00181FCD">
        <w:t xml:space="preserve"> </w:t>
      </w:r>
      <w:r w:rsidRPr="00181FCD">
        <w:t>a</w:t>
      </w:r>
      <w:r w:rsidR="00F373A3" w:rsidRPr="00181FCD">
        <w:t xml:space="preserve"> </w:t>
      </w:r>
      <w:r w:rsidRPr="00181FCD">
        <w:t>garantizar</w:t>
      </w:r>
      <w:r w:rsidR="00F373A3" w:rsidRPr="00181FCD">
        <w:t xml:space="preserve"> </w:t>
      </w:r>
      <w:r w:rsidRPr="00181FCD">
        <w:t>el</w:t>
      </w:r>
      <w:r w:rsidR="00F373A3" w:rsidRPr="00181FCD">
        <w:t xml:space="preserve"> </w:t>
      </w:r>
      <w:r w:rsidRPr="00181FCD">
        <w:t>ejercicio</w:t>
      </w:r>
      <w:r w:rsidR="00F373A3" w:rsidRPr="00181FCD">
        <w:t xml:space="preserve"> </w:t>
      </w:r>
      <w:r w:rsidRPr="00181FCD">
        <w:t>efectivo</w:t>
      </w:r>
      <w:r w:rsidR="00F373A3" w:rsidRPr="00181FCD">
        <w:t xml:space="preserve"> </w:t>
      </w:r>
      <w:r w:rsidRPr="00181FCD">
        <w:t>y</w:t>
      </w:r>
      <w:r w:rsidR="00F373A3" w:rsidRPr="00181FCD">
        <w:t xml:space="preserve"> </w:t>
      </w:r>
      <w:r w:rsidRPr="00181FCD">
        <w:t>real</w:t>
      </w:r>
      <w:r w:rsidR="00F373A3" w:rsidRPr="00181FCD">
        <w:t xml:space="preserve"> </w:t>
      </w:r>
      <w:r w:rsidRPr="00181FCD">
        <w:t>de</w:t>
      </w:r>
      <w:r w:rsidR="00F373A3" w:rsidRPr="00181FCD">
        <w:t xml:space="preserve"> </w:t>
      </w:r>
      <w:r w:rsidRPr="00181FCD">
        <w:t>los</w:t>
      </w:r>
      <w:r w:rsidR="00F373A3" w:rsidRPr="00181FCD">
        <w:t xml:space="preserve"> </w:t>
      </w:r>
      <w:r w:rsidRPr="00181FCD">
        <w:t>derechos</w:t>
      </w:r>
      <w:r w:rsidR="00F373A3" w:rsidRPr="00181FCD">
        <w:t xml:space="preserve"> </w:t>
      </w:r>
      <w:r w:rsidRPr="00181FCD">
        <w:t>de</w:t>
      </w:r>
      <w:r w:rsidR="00F373A3" w:rsidRPr="00181FCD">
        <w:t xml:space="preserve"> </w:t>
      </w:r>
      <w:r w:rsidRPr="00181FCD">
        <w:t>las</w:t>
      </w:r>
      <w:r w:rsidR="00F373A3" w:rsidRPr="00181FCD">
        <w:t xml:space="preserve"> </w:t>
      </w:r>
      <w:r w:rsidRPr="00181FCD">
        <w:t>personas</w:t>
      </w:r>
      <w:r w:rsidR="00F373A3" w:rsidRPr="00181FCD">
        <w:t xml:space="preserve"> </w:t>
      </w:r>
      <w:r w:rsidRPr="00181FCD">
        <w:t>con</w:t>
      </w:r>
      <w:r w:rsidR="00F373A3" w:rsidRPr="00181FCD">
        <w:t xml:space="preserve"> </w:t>
      </w:r>
      <w:r w:rsidRPr="00181FCD">
        <w:t>discapacidad.</w:t>
      </w:r>
    </w:p>
    <w:p w:rsidR="001937F4" w:rsidRPr="00181FCD" w:rsidRDefault="001937F4" w:rsidP="00347B20">
      <w:pPr>
        <w:pStyle w:val="SingleTxtG"/>
        <w:suppressAutoHyphens/>
      </w:pPr>
      <w:r w:rsidRPr="00181FCD">
        <w:t>77.</w:t>
      </w:r>
      <w:r w:rsidRPr="00181FCD">
        <w:tab/>
        <w:t>El</w:t>
      </w:r>
      <w:r w:rsidR="00F373A3" w:rsidRPr="00181FCD">
        <w:t xml:space="preserve"> </w:t>
      </w:r>
      <w:r w:rsidRPr="00181FCD">
        <w:t>proyecto</w:t>
      </w:r>
      <w:r w:rsidR="00F373A3" w:rsidRPr="00181FCD">
        <w:t xml:space="preserve"> </w:t>
      </w:r>
      <w:r w:rsidRPr="00181FCD">
        <w:t>de</w:t>
      </w:r>
      <w:r w:rsidR="00F373A3" w:rsidRPr="00181FCD">
        <w:t xml:space="preserve"> </w:t>
      </w:r>
      <w:r w:rsidRPr="00181FCD">
        <w:t>ley</w:t>
      </w:r>
      <w:r w:rsidR="00F373A3" w:rsidRPr="00181FCD">
        <w:t xml:space="preserve"> </w:t>
      </w:r>
      <w:r w:rsidRPr="00181FCD">
        <w:t>contiene</w:t>
      </w:r>
      <w:r w:rsidR="00F373A3" w:rsidRPr="00181FCD">
        <w:t xml:space="preserve"> </w:t>
      </w:r>
      <w:r w:rsidRPr="00181FCD">
        <w:t>todos</w:t>
      </w:r>
      <w:r w:rsidR="00F373A3" w:rsidRPr="00181FCD">
        <w:t xml:space="preserve"> </w:t>
      </w:r>
      <w:r w:rsidRPr="00181FCD">
        <w:t>los</w:t>
      </w:r>
      <w:r w:rsidR="00F373A3" w:rsidRPr="00181FCD">
        <w:t xml:space="preserve"> </w:t>
      </w:r>
      <w:r w:rsidRPr="00181FCD">
        <w:t>principios</w:t>
      </w:r>
      <w:r w:rsidR="00F373A3" w:rsidRPr="00181FCD">
        <w:t xml:space="preserve"> </w:t>
      </w:r>
      <w:r w:rsidRPr="00181FCD">
        <w:t>y</w:t>
      </w:r>
      <w:r w:rsidR="00F373A3" w:rsidRPr="00181FCD">
        <w:t xml:space="preserve"> </w:t>
      </w:r>
      <w:r w:rsidRPr="00181FCD">
        <w:t>normas,</w:t>
      </w:r>
      <w:r w:rsidR="00F373A3" w:rsidRPr="00181FCD">
        <w:t xml:space="preserve"> </w:t>
      </w:r>
      <w:r w:rsidRPr="00181FCD">
        <w:t>previstas</w:t>
      </w:r>
      <w:r w:rsidR="00F373A3" w:rsidRPr="00181FCD">
        <w:t xml:space="preserve"> </w:t>
      </w:r>
      <w:r w:rsidRPr="00181FCD">
        <w:t>en</w:t>
      </w:r>
      <w:r w:rsidR="00F373A3" w:rsidRPr="00181FCD">
        <w:t xml:space="preserve"> </w:t>
      </w:r>
      <w:r w:rsidRPr="00181FCD">
        <w:t>el</w:t>
      </w:r>
      <w:r w:rsidR="00F373A3" w:rsidRPr="00181FCD">
        <w:t xml:space="preserve"> </w:t>
      </w:r>
      <w:r w:rsidRPr="00181FCD">
        <w:t>artículo</w:t>
      </w:r>
      <w:r w:rsidR="00F373A3" w:rsidRPr="00181FCD">
        <w:t xml:space="preserve"> </w:t>
      </w:r>
      <w:r w:rsidRPr="00181FCD">
        <w:t>12</w:t>
      </w:r>
      <w:r w:rsidR="00F373A3" w:rsidRPr="00181FCD">
        <w:t xml:space="preserve"> </w:t>
      </w:r>
      <w:r w:rsidRPr="00181FCD">
        <w:t>de</w:t>
      </w:r>
      <w:r w:rsidR="00F373A3" w:rsidRPr="00181FCD">
        <w:t xml:space="preserve"> </w:t>
      </w:r>
      <w:r w:rsidRPr="00181FCD">
        <w:t>la</w:t>
      </w:r>
      <w:r w:rsidR="00F373A3" w:rsidRPr="00181FCD">
        <w:t xml:space="preserve"> </w:t>
      </w:r>
      <w:r w:rsidRPr="00181FCD">
        <w:t>Convención</w:t>
      </w:r>
      <w:r w:rsidR="00F373A3" w:rsidRPr="00181FCD">
        <w:t xml:space="preserve"> </w:t>
      </w:r>
      <w:r w:rsidRPr="00181FCD">
        <w:t>sobre</w:t>
      </w:r>
      <w:r w:rsidR="00F373A3" w:rsidRPr="00181FCD">
        <w:t xml:space="preserve"> </w:t>
      </w:r>
      <w:r w:rsidRPr="00181FCD">
        <w:t>los</w:t>
      </w:r>
      <w:r w:rsidR="00F373A3" w:rsidRPr="00181FCD">
        <w:t xml:space="preserve"> </w:t>
      </w:r>
      <w:r w:rsidRPr="00181FCD">
        <w:t>Derechos</w:t>
      </w:r>
      <w:r w:rsidR="00F373A3" w:rsidRPr="00181FCD">
        <w:t xml:space="preserve"> </w:t>
      </w:r>
      <w:r w:rsidRPr="00181FCD">
        <w:t>de</w:t>
      </w:r>
      <w:r w:rsidR="00F373A3" w:rsidRPr="00181FCD">
        <w:t xml:space="preserve"> </w:t>
      </w:r>
      <w:r w:rsidRPr="00181FCD">
        <w:t>las</w:t>
      </w:r>
      <w:r w:rsidR="00F373A3" w:rsidRPr="00181FCD">
        <w:t xml:space="preserve"> </w:t>
      </w:r>
      <w:r w:rsidRPr="00181FCD">
        <w:t>Personas</w:t>
      </w:r>
      <w:r w:rsidR="00F373A3" w:rsidRPr="00181FCD">
        <w:t xml:space="preserve"> </w:t>
      </w:r>
      <w:r w:rsidRPr="00181FCD">
        <w:t>con</w:t>
      </w:r>
      <w:r w:rsidR="00F373A3" w:rsidRPr="00181FCD">
        <w:t xml:space="preserve"> </w:t>
      </w:r>
      <w:r w:rsidRPr="00181FCD">
        <w:t>Discapacidad.</w:t>
      </w:r>
      <w:r w:rsidR="00F373A3" w:rsidRPr="00181FCD">
        <w:t xml:space="preserve"> </w:t>
      </w:r>
      <w:r w:rsidRPr="00181FCD">
        <w:t>Al</w:t>
      </w:r>
      <w:r w:rsidR="00F373A3" w:rsidRPr="00181FCD">
        <w:t xml:space="preserve"> </w:t>
      </w:r>
      <w:r w:rsidRPr="00181FCD">
        <w:t>mismo</w:t>
      </w:r>
      <w:r w:rsidR="00F373A3" w:rsidRPr="00181FCD">
        <w:t xml:space="preserve"> </w:t>
      </w:r>
      <w:r w:rsidRPr="00181FCD">
        <w:t>tiempo,</w:t>
      </w:r>
      <w:r w:rsidR="00F373A3" w:rsidRPr="00181FCD">
        <w:t xml:space="preserve"> </w:t>
      </w:r>
      <w:r w:rsidRPr="00181FCD">
        <w:t>se</w:t>
      </w:r>
      <w:r w:rsidR="00F373A3" w:rsidRPr="00181FCD">
        <w:t xml:space="preserve"> </w:t>
      </w:r>
      <w:r w:rsidRPr="00181FCD">
        <w:t>introduce</w:t>
      </w:r>
      <w:r w:rsidR="00F373A3" w:rsidRPr="00181FCD">
        <w:t xml:space="preserve"> </w:t>
      </w:r>
      <w:r w:rsidRPr="00181FCD">
        <w:t>un</w:t>
      </w:r>
      <w:r w:rsidR="00F373A3" w:rsidRPr="00181FCD">
        <w:t xml:space="preserve"> </w:t>
      </w:r>
      <w:r w:rsidRPr="00181FCD">
        <w:t>cambio</w:t>
      </w:r>
      <w:r w:rsidR="00F373A3" w:rsidRPr="00181FCD">
        <w:t xml:space="preserve"> </w:t>
      </w:r>
      <w:r w:rsidRPr="00181FCD">
        <w:t>cualitativo</w:t>
      </w:r>
      <w:r w:rsidR="00F373A3" w:rsidRPr="00181FCD">
        <w:t xml:space="preserve"> </w:t>
      </w:r>
      <w:r w:rsidRPr="00181FCD">
        <w:t>fundamental</w:t>
      </w:r>
      <w:r w:rsidR="00F373A3" w:rsidRPr="00181FCD">
        <w:t xml:space="preserve"> </w:t>
      </w:r>
      <w:r w:rsidRPr="00181FCD">
        <w:t>en</w:t>
      </w:r>
      <w:r w:rsidR="00F373A3" w:rsidRPr="00181FCD">
        <w:t xml:space="preserve"> </w:t>
      </w:r>
      <w:r w:rsidRPr="00181FCD">
        <w:t>la</w:t>
      </w:r>
      <w:r w:rsidR="00F373A3" w:rsidRPr="00181FCD">
        <w:t xml:space="preserve"> </w:t>
      </w:r>
      <w:r w:rsidRPr="00181FCD">
        <w:t>regulación</w:t>
      </w:r>
      <w:r w:rsidR="00F373A3" w:rsidRPr="00181FCD">
        <w:t xml:space="preserve"> </w:t>
      </w:r>
      <w:r w:rsidRPr="00181FCD">
        <w:t>de</w:t>
      </w:r>
      <w:r w:rsidR="00F373A3" w:rsidRPr="00181FCD">
        <w:t xml:space="preserve"> </w:t>
      </w:r>
      <w:r w:rsidRPr="00181FCD">
        <w:t>la</w:t>
      </w:r>
      <w:r w:rsidR="00F373A3" w:rsidRPr="00181FCD">
        <w:t xml:space="preserve"> </w:t>
      </w:r>
      <w:r w:rsidRPr="00181FCD">
        <w:t>capacidad,</w:t>
      </w:r>
      <w:r w:rsidR="00F373A3" w:rsidRPr="00181FCD">
        <w:t xml:space="preserve"> </w:t>
      </w:r>
      <w:r w:rsidRPr="00181FCD">
        <w:t>con</w:t>
      </w:r>
      <w:r w:rsidR="00F373A3" w:rsidRPr="00181FCD">
        <w:t xml:space="preserve"> </w:t>
      </w:r>
      <w:r w:rsidRPr="00181FCD">
        <w:t>lo</w:t>
      </w:r>
      <w:r w:rsidR="00F373A3" w:rsidRPr="00181FCD">
        <w:t xml:space="preserve"> </w:t>
      </w:r>
      <w:r w:rsidRPr="00181FCD">
        <w:t>que</w:t>
      </w:r>
      <w:r w:rsidR="00F373A3" w:rsidRPr="00181FCD">
        <w:t xml:space="preserve"> </w:t>
      </w:r>
      <w:r w:rsidRPr="00181FCD">
        <w:t>se</w:t>
      </w:r>
      <w:r w:rsidR="00F373A3" w:rsidRPr="00181FCD">
        <w:t xml:space="preserve"> </w:t>
      </w:r>
      <w:r w:rsidRPr="00181FCD">
        <w:t>atiende</w:t>
      </w:r>
      <w:r w:rsidR="00F373A3" w:rsidRPr="00181FCD">
        <w:t xml:space="preserve"> </w:t>
      </w:r>
      <w:r w:rsidRPr="00181FCD">
        <w:t>totalmente</w:t>
      </w:r>
      <w:r w:rsidR="00F373A3" w:rsidRPr="00181FCD">
        <w:t xml:space="preserve"> </w:t>
      </w:r>
      <w:r w:rsidRPr="00181FCD">
        <w:t>a</w:t>
      </w:r>
      <w:r w:rsidR="00F373A3" w:rsidRPr="00181FCD">
        <w:t xml:space="preserve"> </w:t>
      </w:r>
      <w:r w:rsidRPr="00181FCD">
        <w:t>las</w:t>
      </w:r>
      <w:r w:rsidR="00F373A3" w:rsidRPr="00181FCD">
        <w:t xml:space="preserve"> </w:t>
      </w:r>
      <w:r w:rsidRPr="00181FCD">
        <w:t>recomendaciones</w:t>
      </w:r>
      <w:r w:rsidR="00F373A3" w:rsidRPr="00181FCD">
        <w:t xml:space="preserve"> </w:t>
      </w:r>
      <w:r w:rsidRPr="00181FCD">
        <w:t>de</w:t>
      </w:r>
      <w:r w:rsidR="00F373A3" w:rsidRPr="00181FCD">
        <w:t xml:space="preserve"> </w:t>
      </w:r>
      <w:r w:rsidRPr="00181FCD">
        <w:t>reforma</w:t>
      </w:r>
      <w:r w:rsidR="00F373A3" w:rsidRPr="00181FCD">
        <w:t xml:space="preserve"> </w:t>
      </w:r>
      <w:r w:rsidRPr="00181FCD">
        <w:t>legislativa</w:t>
      </w:r>
      <w:r w:rsidR="00F373A3" w:rsidRPr="00181FCD">
        <w:t xml:space="preserve"> </w:t>
      </w:r>
      <w:r w:rsidRPr="00181FCD">
        <w:t>formuladas</w:t>
      </w:r>
      <w:r w:rsidR="00F373A3" w:rsidRPr="00181FCD">
        <w:t xml:space="preserve"> </w:t>
      </w:r>
      <w:r w:rsidRPr="00181FCD">
        <w:t>en</w:t>
      </w:r>
      <w:r w:rsidR="00F373A3" w:rsidRPr="00181FCD">
        <w:t xml:space="preserve"> </w:t>
      </w:r>
      <w:r w:rsidRPr="00181FCD">
        <w:t>la</w:t>
      </w:r>
      <w:r w:rsidR="00F373A3" w:rsidRPr="00181FCD">
        <w:t xml:space="preserve"> </w:t>
      </w:r>
      <w:r w:rsidR="00C820BE" w:rsidRPr="00181FCD">
        <w:t xml:space="preserve">Observación </w:t>
      </w:r>
      <w:r w:rsidRPr="00181FCD">
        <w:t>general</w:t>
      </w:r>
      <w:r w:rsidR="00F373A3" w:rsidRPr="00181FCD">
        <w:t xml:space="preserve"> </w:t>
      </w:r>
      <w:r w:rsidRPr="00181FCD">
        <w:t>núm.</w:t>
      </w:r>
      <w:r w:rsidR="00F373A3" w:rsidRPr="00181FCD">
        <w:t xml:space="preserve"> </w:t>
      </w:r>
      <w:r w:rsidRPr="00181FCD">
        <w:t>1</w:t>
      </w:r>
      <w:r w:rsidR="00F373A3" w:rsidRPr="00181FCD">
        <w:t xml:space="preserve"> </w:t>
      </w:r>
      <w:r w:rsidRPr="00181FCD">
        <w:t>(2014)</w:t>
      </w:r>
      <w:r w:rsidR="00F373A3" w:rsidRPr="00181FCD">
        <w:t xml:space="preserve"> </w:t>
      </w:r>
      <w:r w:rsidRPr="00181FCD">
        <w:t>por</w:t>
      </w:r>
      <w:r w:rsidR="00F373A3" w:rsidRPr="00181FCD">
        <w:t xml:space="preserve"> </w:t>
      </w:r>
      <w:r w:rsidRPr="00181FCD">
        <w:t>el</w:t>
      </w:r>
      <w:r w:rsidR="00F373A3" w:rsidRPr="00181FCD">
        <w:t xml:space="preserve"> </w:t>
      </w:r>
      <w:r w:rsidRPr="00181FCD">
        <w:t>Comité</w:t>
      </w:r>
      <w:r w:rsidR="00F373A3" w:rsidRPr="00181FCD">
        <w:t xml:space="preserve"> </w:t>
      </w:r>
      <w:r w:rsidRPr="00181FCD">
        <w:t>de</w:t>
      </w:r>
      <w:r w:rsidR="00F373A3" w:rsidRPr="00181FCD">
        <w:t xml:space="preserve"> </w:t>
      </w:r>
      <w:r w:rsidRPr="00181FCD">
        <w:t>las</w:t>
      </w:r>
      <w:r w:rsidR="00F373A3" w:rsidRPr="00181FCD">
        <w:t xml:space="preserve"> </w:t>
      </w:r>
      <w:r w:rsidRPr="00181FCD">
        <w:t>Naciones</w:t>
      </w:r>
      <w:r w:rsidR="00F373A3" w:rsidRPr="00181FCD">
        <w:t xml:space="preserve"> </w:t>
      </w:r>
      <w:r w:rsidRPr="00181FCD">
        <w:t>Unidas</w:t>
      </w:r>
      <w:r w:rsidR="00F373A3" w:rsidRPr="00181FCD">
        <w:t xml:space="preserve"> </w:t>
      </w:r>
      <w:r w:rsidRPr="00181FCD">
        <w:t>sobre</w:t>
      </w:r>
      <w:r w:rsidR="00F373A3" w:rsidRPr="00181FCD">
        <w:t xml:space="preserve"> </w:t>
      </w:r>
      <w:r w:rsidRPr="00181FCD">
        <w:t>los</w:t>
      </w:r>
      <w:r w:rsidR="00F373A3" w:rsidRPr="00181FCD">
        <w:t xml:space="preserve"> </w:t>
      </w:r>
      <w:r w:rsidRPr="00181FCD">
        <w:t>Derechos</w:t>
      </w:r>
      <w:r w:rsidR="00F373A3" w:rsidRPr="00181FCD">
        <w:t xml:space="preserve"> </w:t>
      </w:r>
      <w:r w:rsidRPr="00181FCD">
        <w:t>de</w:t>
      </w:r>
      <w:r w:rsidR="00F373A3" w:rsidRPr="00181FCD">
        <w:t xml:space="preserve"> </w:t>
      </w:r>
      <w:r w:rsidRPr="00181FCD">
        <w:t>las</w:t>
      </w:r>
      <w:r w:rsidR="00F373A3" w:rsidRPr="00181FCD">
        <w:t xml:space="preserve"> </w:t>
      </w:r>
      <w:r w:rsidRPr="00181FCD">
        <w:t>Personas</w:t>
      </w:r>
      <w:r w:rsidR="00F373A3" w:rsidRPr="00181FCD">
        <w:t xml:space="preserve"> </w:t>
      </w:r>
      <w:r w:rsidRPr="00181FCD">
        <w:t>con</w:t>
      </w:r>
      <w:r w:rsidR="00F373A3" w:rsidRPr="00181FCD">
        <w:t xml:space="preserve"> </w:t>
      </w:r>
      <w:r w:rsidRPr="00181FCD">
        <w:t>Discapacidad.</w:t>
      </w:r>
      <w:r w:rsidR="00F373A3" w:rsidRPr="00181FCD">
        <w:t xml:space="preserve"> </w:t>
      </w:r>
      <w:r w:rsidRPr="00181FCD">
        <w:t>El</w:t>
      </w:r>
      <w:r w:rsidR="00F373A3" w:rsidRPr="00181FCD">
        <w:t xml:space="preserve"> </w:t>
      </w:r>
      <w:r w:rsidRPr="00181FCD">
        <w:t>proyecto</w:t>
      </w:r>
      <w:r w:rsidR="00F373A3" w:rsidRPr="00181FCD">
        <w:t xml:space="preserve"> </w:t>
      </w:r>
      <w:r w:rsidRPr="00181FCD">
        <w:t>establece</w:t>
      </w:r>
      <w:r w:rsidR="00F373A3" w:rsidRPr="00181FCD">
        <w:t xml:space="preserve"> </w:t>
      </w:r>
      <w:r w:rsidRPr="00181FCD">
        <w:t>que</w:t>
      </w:r>
      <w:r w:rsidR="00F373A3" w:rsidRPr="00181FCD">
        <w:t xml:space="preserve"> </w:t>
      </w:r>
      <w:r w:rsidRPr="00181FCD">
        <w:t>el</w:t>
      </w:r>
      <w:r w:rsidR="00F373A3" w:rsidRPr="00181FCD">
        <w:t xml:space="preserve"> </w:t>
      </w:r>
      <w:r w:rsidRPr="00181FCD">
        <w:t>Estado</w:t>
      </w:r>
      <w:r w:rsidR="00F373A3" w:rsidRPr="00181FCD">
        <w:t xml:space="preserve"> </w:t>
      </w:r>
      <w:r w:rsidRPr="00181FCD">
        <w:t>debe</w:t>
      </w:r>
      <w:r w:rsidR="00F373A3" w:rsidRPr="00181FCD">
        <w:t xml:space="preserve"> </w:t>
      </w:r>
      <w:r w:rsidRPr="00181FCD">
        <w:t>establecer</w:t>
      </w:r>
      <w:r w:rsidR="00F373A3" w:rsidRPr="00181FCD">
        <w:t xml:space="preserve"> </w:t>
      </w:r>
      <w:r w:rsidRPr="00181FCD">
        <w:t>los</w:t>
      </w:r>
      <w:r w:rsidR="00F373A3" w:rsidRPr="00181FCD">
        <w:t xml:space="preserve"> </w:t>
      </w:r>
      <w:r w:rsidRPr="00181FCD">
        <w:t>mecanismos</w:t>
      </w:r>
      <w:r w:rsidR="00F373A3" w:rsidRPr="00181FCD">
        <w:t xml:space="preserve"> </w:t>
      </w:r>
      <w:r w:rsidRPr="00181FCD">
        <w:t>de</w:t>
      </w:r>
      <w:r w:rsidR="00F373A3" w:rsidRPr="00181FCD">
        <w:t xml:space="preserve"> </w:t>
      </w:r>
      <w:r w:rsidRPr="00181FCD">
        <w:t>apoyo</w:t>
      </w:r>
      <w:r w:rsidR="00F373A3" w:rsidRPr="00181FCD">
        <w:t xml:space="preserve"> </w:t>
      </w:r>
      <w:r w:rsidRPr="00181FCD">
        <w:t>para</w:t>
      </w:r>
      <w:r w:rsidR="00F373A3" w:rsidRPr="00181FCD">
        <w:t xml:space="preserve"> </w:t>
      </w:r>
      <w:r w:rsidRPr="00181FCD">
        <w:t>que</w:t>
      </w:r>
      <w:r w:rsidR="00F373A3" w:rsidRPr="00181FCD">
        <w:t xml:space="preserve"> </w:t>
      </w:r>
      <w:r w:rsidRPr="00181FCD">
        <w:t>todos</w:t>
      </w:r>
      <w:r w:rsidR="00F373A3" w:rsidRPr="00181FCD">
        <w:t xml:space="preserve"> </w:t>
      </w:r>
      <w:r w:rsidRPr="00181FCD">
        <w:t>puedan</w:t>
      </w:r>
      <w:r w:rsidR="00F373A3" w:rsidRPr="00181FCD">
        <w:t xml:space="preserve"> </w:t>
      </w:r>
      <w:r w:rsidRPr="00181FCD">
        <w:t>ejercer</w:t>
      </w:r>
      <w:r w:rsidR="00F373A3" w:rsidRPr="00181FCD">
        <w:t xml:space="preserve"> </w:t>
      </w:r>
      <w:r w:rsidRPr="00181FCD">
        <w:t>sus</w:t>
      </w:r>
      <w:r w:rsidR="00F373A3" w:rsidRPr="00181FCD">
        <w:t xml:space="preserve"> </w:t>
      </w:r>
      <w:r w:rsidRPr="00181FCD">
        <w:t>derechos</w:t>
      </w:r>
      <w:r w:rsidR="00F373A3" w:rsidRPr="00181FCD">
        <w:t xml:space="preserve"> </w:t>
      </w:r>
      <w:r w:rsidRPr="00181FCD">
        <w:t>de</w:t>
      </w:r>
      <w:r w:rsidR="00F373A3" w:rsidRPr="00181FCD">
        <w:t xml:space="preserve"> </w:t>
      </w:r>
      <w:r w:rsidRPr="00181FCD">
        <w:t>manera</w:t>
      </w:r>
      <w:r w:rsidR="00F373A3" w:rsidRPr="00181FCD">
        <w:t xml:space="preserve"> </w:t>
      </w:r>
      <w:r w:rsidRPr="00181FCD">
        <w:t>independiente,</w:t>
      </w:r>
      <w:r w:rsidR="00F373A3" w:rsidRPr="00181FCD">
        <w:t xml:space="preserve"> </w:t>
      </w:r>
      <w:r w:rsidRPr="00181FCD">
        <w:t>lo</w:t>
      </w:r>
      <w:r w:rsidR="00F373A3" w:rsidRPr="00181FCD">
        <w:t xml:space="preserve"> </w:t>
      </w:r>
      <w:r w:rsidRPr="00181FCD">
        <w:t>que</w:t>
      </w:r>
      <w:r w:rsidR="00F373A3" w:rsidRPr="00181FCD">
        <w:t xml:space="preserve"> </w:t>
      </w:r>
      <w:r w:rsidRPr="00181FCD">
        <w:t>incluye</w:t>
      </w:r>
      <w:r w:rsidR="00F373A3" w:rsidRPr="00181FCD">
        <w:t xml:space="preserve"> </w:t>
      </w:r>
      <w:r w:rsidRPr="00181FCD">
        <w:t>a</w:t>
      </w:r>
      <w:r w:rsidR="00F373A3" w:rsidRPr="00181FCD">
        <w:t xml:space="preserve"> </w:t>
      </w:r>
      <w:r w:rsidRPr="00181FCD">
        <w:t>las</w:t>
      </w:r>
      <w:r w:rsidR="00F373A3" w:rsidRPr="00181FCD">
        <w:t xml:space="preserve"> </w:t>
      </w:r>
      <w:r w:rsidRPr="00181FCD">
        <w:t>personas</w:t>
      </w:r>
      <w:r w:rsidR="00F373A3" w:rsidRPr="00181FCD">
        <w:t xml:space="preserve"> </w:t>
      </w:r>
      <w:r w:rsidRPr="00181FCD">
        <w:t>con</w:t>
      </w:r>
      <w:r w:rsidR="00F373A3" w:rsidRPr="00181FCD">
        <w:t xml:space="preserve"> </w:t>
      </w:r>
      <w:r w:rsidRPr="00181FCD">
        <w:t>discapacidad,</w:t>
      </w:r>
      <w:r w:rsidR="00F373A3" w:rsidRPr="00181FCD">
        <w:t xml:space="preserve"> </w:t>
      </w:r>
      <w:r w:rsidRPr="00181FCD">
        <w:t>a</w:t>
      </w:r>
      <w:r w:rsidR="00F373A3" w:rsidRPr="00181FCD">
        <w:t xml:space="preserve"> </w:t>
      </w:r>
      <w:r w:rsidRPr="00181FCD">
        <w:t>fin</w:t>
      </w:r>
      <w:r w:rsidR="00F373A3" w:rsidRPr="00181FCD">
        <w:t xml:space="preserve"> </w:t>
      </w:r>
      <w:r w:rsidRPr="00181FCD">
        <w:t>de</w:t>
      </w:r>
      <w:r w:rsidR="00F373A3" w:rsidRPr="00181FCD">
        <w:t xml:space="preserve"> </w:t>
      </w:r>
      <w:r w:rsidRPr="00181FCD">
        <w:t>que</w:t>
      </w:r>
      <w:r w:rsidR="00F373A3" w:rsidRPr="00181FCD">
        <w:t xml:space="preserve"> </w:t>
      </w:r>
      <w:r w:rsidRPr="00181FCD">
        <w:t>puedan</w:t>
      </w:r>
      <w:r w:rsidR="00F373A3" w:rsidRPr="00181FCD">
        <w:t xml:space="preserve"> </w:t>
      </w:r>
      <w:r w:rsidRPr="00181FCD">
        <w:t>funcionar</w:t>
      </w:r>
      <w:r w:rsidR="00F373A3" w:rsidRPr="00181FCD">
        <w:t xml:space="preserve"> </w:t>
      </w:r>
      <w:r w:rsidRPr="00181FCD">
        <w:t>en</w:t>
      </w:r>
      <w:r w:rsidR="00F373A3" w:rsidRPr="00181FCD">
        <w:t xml:space="preserve"> </w:t>
      </w:r>
      <w:r w:rsidRPr="00181FCD">
        <w:t>igualdad</w:t>
      </w:r>
      <w:r w:rsidR="00F373A3" w:rsidRPr="00181FCD">
        <w:t xml:space="preserve"> </w:t>
      </w:r>
      <w:r w:rsidRPr="00181FCD">
        <w:t>de</w:t>
      </w:r>
      <w:r w:rsidR="00F373A3" w:rsidRPr="00181FCD">
        <w:t xml:space="preserve"> </w:t>
      </w:r>
      <w:r w:rsidRPr="00181FCD">
        <w:t>condiciones</w:t>
      </w:r>
      <w:r w:rsidR="00F373A3" w:rsidRPr="00181FCD">
        <w:t xml:space="preserve"> </w:t>
      </w:r>
      <w:r w:rsidRPr="00181FCD">
        <w:t>con</w:t>
      </w:r>
      <w:r w:rsidR="00F373A3" w:rsidRPr="00181FCD">
        <w:t xml:space="preserve"> </w:t>
      </w:r>
      <w:r w:rsidRPr="00181FCD">
        <w:t>los</w:t>
      </w:r>
      <w:r w:rsidR="00F373A3" w:rsidRPr="00181FCD">
        <w:t xml:space="preserve"> </w:t>
      </w:r>
      <w:r w:rsidRPr="00181FCD">
        <w:t>demás,</w:t>
      </w:r>
      <w:r w:rsidR="00F373A3" w:rsidRPr="00181FCD">
        <w:t xml:space="preserve"> </w:t>
      </w:r>
      <w:r w:rsidRPr="00181FCD">
        <w:t>de</w:t>
      </w:r>
      <w:r w:rsidR="00F373A3" w:rsidRPr="00181FCD">
        <w:t xml:space="preserve"> </w:t>
      </w:r>
      <w:r w:rsidRPr="00181FCD">
        <w:t>acuerdo</w:t>
      </w:r>
      <w:r w:rsidR="00F373A3" w:rsidRPr="00181FCD">
        <w:t xml:space="preserve"> </w:t>
      </w:r>
      <w:r w:rsidRPr="00181FCD">
        <w:t>con</w:t>
      </w:r>
      <w:r w:rsidR="00F373A3" w:rsidRPr="00181FCD">
        <w:t xml:space="preserve"> </w:t>
      </w:r>
      <w:r w:rsidRPr="00181FCD">
        <w:t>su</w:t>
      </w:r>
      <w:r w:rsidR="00F373A3" w:rsidRPr="00181FCD">
        <w:t xml:space="preserve"> </w:t>
      </w:r>
      <w:r w:rsidRPr="00181FCD">
        <w:t>voluntad,</w:t>
      </w:r>
      <w:r w:rsidR="00F373A3" w:rsidRPr="00181FCD">
        <w:t xml:space="preserve"> </w:t>
      </w:r>
      <w:r w:rsidRPr="00181FCD">
        <w:t>valores</w:t>
      </w:r>
      <w:r w:rsidR="00F373A3" w:rsidRPr="00181FCD">
        <w:t xml:space="preserve"> </w:t>
      </w:r>
      <w:r w:rsidRPr="00181FCD">
        <w:t>y</w:t>
      </w:r>
      <w:r w:rsidR="00F373A3" w:rsidRPr="00181FCD">
        <w:t xml:space="preserve"> </w:t>
      </w:r>
      <w:r w:rsidRPr="00181FCD">
        <w:t>preferencias,</w:t>
      </w:r>
      <w:r w:rsidR="00F373A3" w:rsidRPr="00181FCD">
        <w:t xml:space="preserve"> </w:t>
      </w:r>
      <w:r w:rsidRPr="00181FCD">
        <w:t>y</w:t>
      </w:r>
      <w:r w:rsidR="00F373A3" w:rsidRPr="00181FCD">
        <w:t xml:space="preserve"> </w:t>
      </w:r>
      <w:r w:rsidRPr="00181FCD">
        <w:t>decidir</w:t>
      </w:r>
      <w:r w:rsidR="00F373A3" w:rsidRPr="00181FCD">
        <w:t xml:space="preserve"> </w:t>
      </w:r>
      <w:r w:rsidRPr="00181FCD">
        <w:t>sus</w:t>
      </w:r>
      <w:r w:rsidR="00F373A3" w:rsidRPr="00181FCD">
        <w:t xml:space="preserve"> </w:t>
      </w:r>
      <w:r w:rsidRPr="00181FCD">
        <w:t>propias</w:t>
      </w:r>
      <w:r w:rsidR="00F373A3" w:rsidRPr="00181FCD">
        <w:t xml:space="preserve"> </w:t>
      </w:r>
      <w:r w:rsidRPr="00181FCD">
        <w:t>opciones</w:t>
      </w:r>
      <w:r w:rsidR="00F373A3" w:rsidRPr="00181FCD">
        <w:t xml:space="preserve"> </w:t>
      </w:r>
      <w:r w:rsidRPr="00181FCD">
        <w:t>personales.</w:t>
      </w:r>
    </w:p>
    <w:p w:rsidR="001937F4" w:rsidRPr="00181FCD" w:rsidRDefault="001937F4" w:rsidP="00347B20">
      <w:pPr>
        <w:pStyle w:val="SingleTxtG"/>
        <w:suppressAutoHyphens/>
      </w:pPr>
      <w:r w:rsidRPr="00181FCD">
        <w:t>78.</w:t>
      </w:r>
      <w:r w:rsidRPr="00181FCD">
        <w:tab/>
        <w:t>Este</w:t>
      </w:r>
      <w:r w:rsidR="00F373A3" w:rsidRPr="00181FCD">
        <w:t xml:space="preserve"> </w:t>
      </w:r>
      <w:r w:rsidRPr="00181FCD">
        <w:t>proyecto</w:t>
      </w:r>
      <w:r w:rsidR="00F373A3" w:rsidRPr="00181FCD">
        <w:t xml:space="preserve"> </w:t>
      </w:r>
      <w:r w:rsidRPr="00181FCD">
        <w:t>de</w:t>
      </w:r>
      <w:r w:rsidR="00F373A3" w:rsidRPr="00181FCD">
        <w:t xml:space="preserve"> </w:t>
      </w:r>
      <w:r w:rsidRPr="00181FCD">
        <w:t>ley</w:t>
      </w:r>
      <w:r w:rsidR="00F373A3" w:rsidRPr="00181FCD">
        <w:t xml:space="preserve"> </w:t>
      </w:r>
      <w:r w:rsidRPr="00181FCD">
        <w:t>propone</w:t>
      </w:r>
      <w:r w:rsidR="00F373A3" w:rsidRPr="00181FCD">
        <w:t xml:space="preserve"> </w:t>
      </w:r>
      <w:r w:rsidRPr="00181FCD">
        <w:t>varios</w:t>
      </w:r>
      <w:r w:rsidR="00F373A3" w:rsidRPr="00181FCD">
        <w:t xml:space="preserve"> </w:t>
      </w:r>
      <w:r w:rsidRPr="00181FCD">
        <w:t>objetivos</w:t>
      </w:r>
      <w:r w:rsidR="00F373A3" w:rsidRPr="00181FCD">
        <w:t xml:space="preserve"> </w:t>
      </w:r>
      <w:r w:rsidRPr="00181FCD">
        <w:t>específicos:</w:t>
      </w:r>
    </w:p>
    <w:p w:rsidR="001937F4" w:rsidRPr="00181FCD" w:rsidRDefault="001937F4" w:rsidP="00347B20">
      <w:pPr>
        <w:pStyle w:val="Bullet1G"/>
        <w:suppressAutoHyphens/>
      </w:pPr>
      <w:r w:rsidRPr="00181FCD">
        <w:t>Elaborar</w:t>
      </w:r>
      <w:r w:rsidR="00F373A3" w:rsidRPr="00181FCD">
        <w:t xml:space="preserve"> </w:t>
      </w:r>
      <w:r w:rsidRPr="00181FCD">
        <w:t>medidas</w:t>
      </w:r>
      <w:r w:rsidR="00F373A3" w:rsidRPr="00181FCD">
        <w:t xml:space="preserve"> </w:t>
      </w:r>
      <w:r w:rsidRPr="00181FCD">
        <w:t>de</w:t>
      </w:r>
      <w:r w:rsidR="00F373A3" w:rsidRPr="00181FCD">
        <w:t xml:space="preserve"> </w:t>
      </w:r>
      <w:r w:rsidRPr="00181FCD">
        <w:t>apoyo</w:t>
      </w:r>
      <w:r w:rsidR="00F373A3" w:rsidRPr="00181FCD">
        <w:t xml:space="preserve"> </w:t>
      </w:r>
      <w:r w:rsidRPr="00181FCD">
        <w:t>para</w:t>
      </w:r>
      <w:r w:rsidR="00F373A3" w:rsidRPr="00181FCD">
        <w:t xml:space="preserve"> </w:t>
      </w:r>
      <w:r w:rsidRPr="00181FCD">
        <w:t>asegurar</w:t>
      </w:r>
      <w:r w:rsidR="00F373A3" w:rsidRPr="00181FCD">
        <w:t xml:space="preserve"> </w:t>
      </w:r>
      <w:r w:rsidRPr="00181FCD">
        <w:t>que</w:t>
      </w:r>
      <w:r w:rsidR="00F373A3" w:rsidRPr="00181FCD">
        <w:t xml:space="preserve"> </w:t>
      </w:r>
      <w:r w:rsidRPr="00181FCD">
        <w:t>las</w:t>
      </w:r>
      <w:r w:rsidR="00F373A3" w:rsidRPr="00181FCD">
        <w:t xml:space="preserve"> </w:t>
      </w:r>
      <w:r w:rsidRPr="00181FCD">
        <w:t>personas</w:t>
      </w:r>
      <w:r w:rsidR="00F373A3" w:rsidRPr="00181FCD">
        <w:t xml:space="preserve"> </w:t>
      </w:r>
      <w:r w:rsidRPr="00181FCD">
        <w:t>con</w:t>
      </w:r>
      <w:r w:rsidR="00F373A3" w:rsidRPr="00181FCD">
        <w:t xml:space="preserve"> </w:t>
      </w:r>
      <w:r w:rsidRPr="00181FCD">
        <w:t>dificultades</w:t>
      </w:r>
      <w:r w:rsidR="00F373A3" w:rsidRPr="00181FCD">
        <w:t xml:space="preserve"> </w:t>
      </w:r>
      <w:r w:rsidRPr="00181FCD">
        <w:t>para</w:t>
      </w:r>
      <w:r w:rsidR="00F373A3" w:rsidRPr="00181FCD">
        <w:t xml:space="preserve"> </w:t>
      </w:r>
      <w:r w:rsidRPr="00181FCD">
        <w:t>iniciar</w:t>
      </w:r>
      <w:r w:rsidR="00F373A3" w:rsidRPr="00181FCD">
        <w:t xml:space="preserve"> </w:t>
      </w:r>
      <w:r w:rsidRPr="00181FCD">
        <w:t>acciones</w:t>
      </w:r>
      <w:r w:rsidR="00F373A3" w:rsidRPr="00181FCD">
        <w:t xml:space="preserve"> </w:t>
      </w:r>
      <w:r w:rsidRPr="00181FCD">
        <w:t>jurídicas</w:t>
      </w:r>
      <w:r w:rsidR="00F373A3" w:rsidRPr="00181FCD">
        <w:t xml:space="preserve"> </w:t>
      </w:r>
      <w:r w:rsidRPr="00181FCD">
        <w:t>específicas</w:t>
      </w:r>
      <w:r w:rsidR="00F373A3" w:rsidRPr="00181FCD">
        <w:t xml:space="preserve"> </w:t>
      </w:r>
      <w:r w:rsidRPr="00181FCD">
        <w:t>obtengan</w:t>
      </w:r>
      <w:r w:rsidR="00F373A3" w:rsidRPr="00181FCD">
        <w:t xml:space="preserve"> </w:t>
      </w:r>
      <w:r w:rsidRPr="00181FCD">
        <w:t>la</w:t>
      </w:r>
      <w:r w:rsidR="00F373A3" w:rsidRPr="00181FCD">
        <w:t xml:space="preserve"> </w:t>
      </w:r>
      <w:r w:rsidRPr="00181FCD">
        <w:t>asistencia</w:t>
      </w:r>
      <w:r w:rsidR="00F373A3" w:rsidRPr="00181FCD">
        <w:t xml:space="preserve"> </w:t>
      </w:r>
      <w:r w:rsidRPr="00181FCD">
        <w:t>necesaria</w:t>
      </w:r>
      <w:r w:rsidR="00F373A3" w:rsidRPr="00181FCD">
        <w:t xml:space="preserve"> </w:t>
      </w:r>
      <w:r w:rsidRPr="00181FCD">
        <w:t>que</w:t>
      </w:r>
      <w:r w:rsidR="00F373A3" w:rsidRPr="00181FCD">
        <w:t xml:space="preserve"> </w:t>
      </w:r>
      <w:r w:rsidRPr="00181FCD">
        <w:t>les</w:t>
      </w:r>
      <w:r w:rsidR="00F373A3" w:rsidRPr="00181FCD">
        <w:t xml:space="preserve"> </w:t>
      </w:r>
      <w:r w:rsidRPr="00181FCD">
        <w:t>permita</w:t>
      </w:r>
      <w:r w:rsidR="00F373A3" w:rsidRPr="00181FCD">
        <w:t xml:space="preserve"> </w:t>
      </w:r>
      <w:r w:rsidRPr="00181FCD">
        <w:t>ejercitar</w:t>
      </w:r>
      <w:r w:rsidR="00F373A3" w:rsidRPr="00181FCD">
        <w:t xml:space="preserve"> </w:t>
      </w:r>
      <w:r w:rsidRPr="00181FCD">
        <w:t>sus</w:t>
      </w:r>
      <w:r w:rsidR="00F373A3" w:rsidRPr="00181FCD">
        <w:t xml:space="preserve"> </w:t>
      </w:r>
      <w:r w:rsidRPr="00181FCD">
        <w:t>derechos</w:t>
      </w:r>
      <w:r w:rsidR="00F373A3" w:rsidRPr="00181FCD">
        <w:t xml:space="preserve"> </w:t>
      </w:r>
      <w:r w:rsidRPr="00181FCD">
        <w:t>de</w:t>
      </w:r>
      <w:r w:rsidR="00F373A3" w:rsidRPr="00181FCD">
        <w:t xml:space="preserve"> </w:t>
      </w:r>
      <w:r w:rsidRPr="00181FCD">
        <w:t>manera</w:t>
      </w:r>
      <w:r w:rsidR="00F373A3" w:rsidRPr="00181FCD">
        <w:t xml:space="preserve"> </w:t>
      </w:r>
      <w:r w:rsidRPr="00181FCD">
        <w:t>independiente,</w:t>
      </w:r>
      <w:r w:rsidR="00F373A3" w:rsidRPr="00181FCD">
        <w:t xml:space="preserve"> </w:t>
      </w:r>
      <w:r w:rsidRPr="00181FCD">
        <w:t>de</w:t>
      </w:r>
      <w:r w:rsidR="00F373A3" w:rsidRPr="00181FCD">
        <w:t xml:space="preserve"> </w:t>
      </w:r>
      <w:r w:rsidRPr="00181FCD">
        <w:t>acuerdo</w:t>
      </w:r>
      <w:r w:rsidR="00F373A3" w:rsidRPr="00181FCD">
        <w:t xml:space="preserve"> </w:t>
      </w:r>
      <w:r w:rsidRPr="00181FCD">
        <w:t>con</w:t>
      </w:r>
      <w:r w:rsidR="00F373A3" w:rsidRPr="00181FCD">
        <w:t xml:space="preserve"> </w:t>
      </w:r>
      <w:r w:rsidRPr="00181FCD">
        <w:t>su</w:t>
      </w:r>
      <w:r w:rsidR="00F373A3" w:rsidRPr="00181FCD">
        <w:t xml:space="preserve"> </w:t>
      </w:r>
      <w:r w:rsidRPr="00181FCD">
        <w:t>voluntad</w:t>
      </w:r>
      <w:r w:rsidR="00F373A3" w:rsidRPr="00181FCD">
        <w:t xml:space="preserve"> </w:t>
      </w:r>
      <w:r w:rsidRPr="00181FCD">
        <w:t>y</w:t>
      </w:r>
      <w:r w:rsidR="00F373A3" w:rsidRPr="00181FCD">
        <w:t xml:space="preserve"> </w:t>
      </w:r>
      <w:r w:rsidRPr="00181FCD">
        <w:t>preferencias,</w:t>
      </w:r>
      <w:r w:rsidR="00F373A3" w:rsidRPr="00181FCD">
        <w:t xml:space="preserve"> </w:t>
      </w:r>
      <w:r w:rsidRPr="00181FCD">
        <w:t>sin</w:t>
      </w:r>
      <w:r w:rsidR="00F373A3" w:rsidRPr="00181FCD">
        <w:t xml:space="preserve"> </w:t>
      </w:r>
      <w:r w:rsidRPr="00181FCD">
        <w:t>sustitución</w:t>
      </w:r>
      <w:r w:rsidR="00F373A3" w:rsidRPr="00181FCD">
        <w:t xml:space="preserve"> </w:t>
      </w:r>
      <w:r w:rsidRPr="00181FCD">
        <w:t>de</w:t>
      </w:r>
      <w:r w:rsidR="00F373A3" w:rsidRPr="00181FCD">
        <w:t xml:space="preserve"> </w:t>
      </w:r>
      <w:r w:rsidRPr="00181FCD">
        <w:t>su</w:t>
      </w:r>
      <w:r w:rsidR="00F373A3" w:rsidRPr="00181FCD">
        <w:t xml:space="preserve"> </w:t>
      </w:r>
      <w:r w:rsidR="00347B20" w:rsidRPr="00181FCD">
        <w:t>voluntad;</w:t>
      </w:r>
    </w:p>
    <w:p w:rsidR="001937F4" w:rsidRPr="00181FCD" w:rsidRDefault="001937F4" w:rsidP="00347B20">
      <w:pPr>
        <w:pStyle w:val="Bullet1G"/>
        <w:suppressAutoHyphens/>
      </w:pPr>
      <w:r w:rsidRPr="00181FCD">
        <w:t>Ofrecer</w:t>
      </w:r>
      <w:r w:rsidR="00F373A3" w:rsidRPr="00181FCD">
        <w:t xml:space="preserve"> </w:t>
      </w:r>
      <w:r w:rsidRPr="00181FCD">
        <w:t>las</w:t>
      </w:r>
      <w:r w:rsidR="00F373A3" w:rsidRPr="00181FCD">
        <w:t xml:space="preserve"> </w:t>
      </w:r>
      <w:r w:rsidRPr="00181FCD">
        <w:t>garantías</w:t>
      </w:r>
      <w:r w:rsidR="00F373A3" w:rsidRPr="00181FCD">
        <w:t xml:space="preserve"> </w:t>
      </w:r>
      <w:r w:rsidRPr="00181FCD">
        <w:t>y</w:t>
      </w:r>
      <w:r w:rsidR="00F373A3" w:rsidRPr="00181FCD">
        <w:t xml:space="preserve"> </w:t>
      </w:r>
      <w:r w:rsidRPr="00181FCD">
        <w:t>salvaguardias</w:t>
      </w:r>
      <w:r w:rsidR="00F373A3" w:rsidRPr="00181FCD">
        <w:t xml:space="preserve"> </w:t>
      </w:r>
      <w:r w:rsidRPr="00181FCD">
        <w:t>para</w:t>
      </w:r>
      <w:r w:rsidR="00F373A3" w:rsidRPr="00181FCD">
        <w:t xml:space="preserve"> </w:t>
      </w:r>
      <w:r w:rsidRPr="00181FCD">
        <w:t>que</w:t>
      </w:r>
      <w:r w:rsidR="00F373A3" w:rsidRPr="00181FCD">
        <w:t xml:space="preserve"> </w:t>
      </w:r>
      <w:r w:rsidRPr="00181FCD">
        <w:t>se</w:t>
      </w:r>
      <w:r w:rsidR="00F373A3" w:rsidRPr="00181FCD">
        <w:t xml:space="preserve"> </w:t>
      </w:r>
      <w:r w:rsidRPr="00181FCD">
        <w:t>respeten</w:t>
      </w:r>
      <w:r w:rsidR="00F373A3" w:rsidRPr="00181FCD">
        <w:t xml:space="preserve"> </w:t>
      </w:r>
      <w:r w:rsidRPr="00181FCD">
        <w:t>al</w:t>
      </w:r>
      <w:r w:rsidR="00F373A3" w:rsidRPr="00181FCD">
        <w:t xml:space="preserve"> </w:t>
      </w:r>
      <w:r w:rsidRPr="00181FCD">
        <w:t>mismo</w:t>
      </w:r>
      <w:r w:rsidR="00F373A3" w:rsidRPr="00181FCD">
        <w:t xml:space="preserve"> </w:t>
      </w:r>
      <w:r w:rsidRPr="00181FCD">
        <w:t>tiempo</w:t>
      </w:r>
      <w:r w:rsidR="00F373A3" w:rsidRPr="00181FCD">
        <w:t xml:space="preserve"> </w:t>
      </w:r>
      <w:r w:rsidRPr="00181FCD">
        <w:t>la</w:t>
      </w:r>
      <w:r w:rsidR="00F373A3" w:rsidRPr="00181FCD">
        <w:t xml:space="preserve"> </w:t>
      </w:r>
      <w:r w:rsidRPr="00181FCD">
        <w:t>voluntad</w:t>
      </w:r>
      <w:r w:rsidR="00F373A3" w:rsidRPr="00181FCD">
        <w:t xml:space="preserve"> </w:t>
      </w:r>
      <w:r w:rsidRPr="00181FCD">
        <w:t>y</w:t>
      </w:r>
      <w:r w:rsidR="00F373A3" w:rsidRPr="00181FCD">
        <w:t xml:space="preserve"> </w:t>
      </w:r>
      <w:r w:rsidRPr="00181FCD">
        <w:t>las</w:t>
      </w:r>
      <w:r w:rsidR="00F373A3" w:rsidRPr="00181FCD">
        <w:t xml:space="preserve"> </w:t>
      </w:r>
      <w:r w:rsidRPr="00181FCD">
        <w:t>opciones</w:t>
      </w:r>
      <w:r w:rsidR="00F373A3" w:rsidRPr="00181FCD">
        <w:t xml:space="preserve"> </w:t>
      </w:r>
      <w:r w:rsidRPr="00181FCD">
        <w:t>personales</w:t>
      </w:r>
      <w:r w:rsidR="00F373A3" w:rsidRPr="00181FCD">
        <w:t xml:space="preserve"> </w:t>
      </w:r>
      <w:r w:rsidRPr="00181FCD">
        <w:t>de</w:t>
      </w:r>
      <w:r w:rsidR="00F373A3" w:rsidRPr="00181FCD">
        <w:t xml:space="preserve"> </w:t>
      </w:r>
      <w:r w:rsidRPr="00181FCD">
        <w:t>cada</w:t>
      </w:r>
      <w:r w:rsidR="00F373A3" w:rsidRPr="00181FCD">
        <w:t xml:space="preserve"> </w:t>
      </w:r>
      <w:r w:rsidRPr="00181FCD">
        <w:t>individuo,</w:t>
      </w:r>
      <w:r w:rsidR="00F373A3" w:rsidRPr="00181FCD">
        <w:t xml:space="preserve"> </w:t>
      </w:r>
      <w:r w:rsidRPr="00181FCD">
        <w:t>se</w:t>
      </w:r>
      <w:r w:rsidR="00F373A3" w:rsidRPr="00181FCD">
        <w:t xml:space="preserve"> </w:t>
      </w:r>
      <w:r w:rsidRPr="00181FCD">
        <w:t>lo</w:t>
      </w:r>
      <w:r w:rsidR="00F373A3" w:rsidRPr="00181FCD">
        <w:t xml:space="preserve"> </w:t>
      </w:r>
      <w:r w:rsidRPr="00181FCD">
        <w:t>proteja</w:t>
      </w:r>
      <w:r w:rsidR="00F373A3" w:rsidRPr="00181FCD">
        <w:t xml:space="preserve"> </w:t>
      </w:r>
      <w:r w:rsidRPr="00181FCD">
        <w:t>en</w:t>
      </w:r>
      <w:r w:rsidR="00F373A3" w:rsidRPr="00181FCD">
        <w:t xml:space="preserve"> </w:t>
      </w:r>
      <w:r w:rsidRPr="00181FCD">
        <w:t>situaciones</w:t>
      </w:r>
      <w:r w:rsidR="00F373A3" w:rsidRPr="00181FCD">
        <w:t xml:space="preserve"> </w:t>
      </w:r>
      <w:r w:rsidRPr="00181FCD">
        <w:t>que</w:t>
      </w:r>
      <w:r w:rsidR="00F373A3" w:rsidRPr="00181FCD">
        <w:t xml:space="preserve"> </w:t>
      </w:r>
      <w:r w:rsidRPr="00181FCD">
        <w:t>lo</w:t>
      </w:r>
      <w:r w:rsidR="00F373A3" w:rsidRPr="00181FCD">
        <w:t xml:space="preserve"> </w:t>
      </w:r>
      <w:r w:rsidRPr="00181FCD">
        <w:t>expongan</w:t>
      </w:r>
      <w:r w:rsidR="00F373A3" w:rsidRPr="00181FCD">
        <w:t xml:space="preserve"> </w:t>
      </w:r>
      <w:r w:rsidRPr="00181FCD">
        <w:t>a</w:t>
      </w:r>
      <w:r w:rsidR="00F373A3" w:rsidRPr="00181FCD">
        <w:t xml:space="preserve"> </w:t>
      </w:r>
      <w:r w:rsidRPr="00181FCD">
        <w:t>grave</w:t>
      </w:r>
      <w:r w:rsidR="00F373A3" w:rsidRPr="00181FCD">
        <w:t xml:space="preserve"> </w:t>
      </w:r>
      <w:r w:rsidRPr="00181FCD">
        <w:t>riesgo</w:t>
      </w:r>
      <w:r w:rsidR="00F373A3" w:rsidRPr="00181FCD">
        <w:t xml:space="preserve"> </w:t>
      </w:r>
      <w:r w:rsidRPr="00181FCD">
        <w:t>de</w:t>
      </w:r>
      <w:r w:rsidR="00F373A3" w:rsidRPr="00181FCD">
        <w:t xml:space="preserve"> </w:t>
      </w:r>
      <w:r w:rsidRPr="00181FCD">
        <w:t>daño</w:t>
      </w:r>
      <w:r w:rsidR="00F373A3" w:rsidRPr="00181FCD">
        <w:t xml:space="preserve"> </w:t>
      </w:r>
      <w:r w:rsidRPr="00181FCD">
        <w:t>irreversible,</w:t>
      </w:r>
      <w:r w:rsidR="00F373A3" w:rsidRPr="00181FCD">
        <w:t xml:space="preserve"> </w:t>
      </w:r>
      <w:r w:rsidRPr="00181FCD">
        <w:t>y</w:t>
      </w:r>
      <w:r w:rsidR="00F373A3" w:rsidRPr="00181FCD">
        <w:t xml:space="preserve"> </w:t>
      </w:r>
      <w:r w:rsidRPr="00181FCD">
        <w:t>se</w:t>
      </w:r>
      <w:r w:rsidR="00F373A3" w:rsidRPr="00181FCD">
        <w:t xml:space="preserve"> </w:t>
      </w:r>
      <w:r w:rsidRPr="00181FCD">
        <w:t>amparen</w:t>
      </w:r>
      <w:r w:rsidR="00F373A3" w:rsidRPr="00181FCD">
        <w:t xml:space="preserve"> </w:t>
      </w:r>
      <w:r w:rsidRPr="00181FCD">
        <w:t>los</w:t>
      </w:r>
      <w:r w:rsidR="00F373A3" w:rsidRPr="00181FCD">
        <w:t xml:space="preserve"> </w:t>
      </w:r>
      <w:r w:rsidRPr="00181FCD">
        <w:t>intereses</w:t>
      </w:r>
      <w:r w:rsidR="00F373A3" w:rsidRPr="00181FCD">
        <w:t xml:space="preserve"> </w:t>
      </w:r>
      <w:r w:rsidRPr="00181FCD">
        <w:t>de</w:t>
      </w:r>
      <w:r w:rsidR="00F373A3" w:rsidRPr="00181FCD">
        <w:t xml:space="preserve"> </w:t>
      </w:r>
      <w:r w:rsidRPr="00181FCD">
        <w:t>terceros.</w:t>
      </w:r>
    </w:p>
    <w:p w:rsidR="001937F4" w:rsidRPr="00181FCD" w:rsidRDefault="001937F4" w:rsidP="00347B20">
      <w:pPr>
        <w:pStyle w:val="SingleTxtG"/>
        <w:suppressAutoHyphens/>
      </w:pPr>
      <w:r w:rsidRPr="00181FCD">
        <w:t>79.</w:t>
      </w:r>
      <w:r w:rsidRPr="00181FCD">
        <w:tab/>
        <w:t>El</w:t>
      </w:r>
      <w:r w:rsidR="00F373A3" w:rsidRPr="00181FCD">
        <w:t xml:space="preserve"> </w:t>
      </w:r>
      <w:r w:rsidRPr="00181FCD">
        <w:t>proyecto</w:t>
      </w:r>
      <w:r w:rsidR="00F373A3" w:rsidRPr="00181FCD">
        <w:t xml:space="preserve"> </w:t>
      </w:r>
      <w:r w:rsidRPr="00181FCD">
        <w:t>de</w:t>
      </w:r>
      <w:r w:rsidR="00F373A3" w:rsidRPr="00181FCD">
        <w:t xml:space="preserve"> </w:t>
      </w:r>
      <w:r w:rsidRPr="00181FCD">
        <w:t>ley</w:t>
      </w:r>
      <w:r w:rsidR="00F373A3" w:rsidRPr="00181FCD">
        <w:t xml:space="preserve"> </w:t>
      </w:r>
      <w:r w:rsidRPr="00181FCD">
        <w:t>sugiere</w:t>
      </w:r>
      <w:r w:rsidR="00F373A3" w:rsidRPr="00181FCD">
        <w:t xml:space="preserve"> </w:t>
      </w:r>
      <w:r w:rsidRPr="00181FCD">
        <w:t>disposiciones</w:t>
      </w:r>
      <w:r w:rsidR="00F373A3" w:rsidRPr="00181FCD">
        <w:t xml:space="preserve"> </w:t>
      </w:r>
      <w:r w:rsidRPr="00181FCD">
        <w:t>que</w:t>
      </w:r>
      <w:r w:rsidR="00F373A3" w:rsidRPr="00181FCD">
        <w:t xml:space="preserve"> </w:t>
      </w:r>
      <w:r w:rsidRPr="00181FCD">
        <w:t>son</w:t>
      </w:r>
      <w:r w:rsidR="00F373A3" w:rsidRPr="00181FCD">
        <w:t xml:space="preserve"> </w:t>
      </w:r>
      <w:r w:rsidRPr="00181FCD">
        <w:t>nuevas</w:t>
      </w:r>
      <w:r w:rsidR="00F373A3" w:rsidRPr="00181FCD">
        <w:t xml:space="preserve"> </w:t>
      </w:r>
      <w:r w:rsidRPr="00181FCD">
        <w:t>en</w:t>
      </w:r>
      <w:r w:rsidR="00F373A3" w:rsidRPr="00181FCD">
        <w:t xml:space="preserve"> </w:t>
      </w:r>
      <w:r w:rsidRPr="00181FCD">
        <w:t>la</w:t>
      </w:r>
      <w:r w:rsidR="00F373A3" w:rsidRPr="00181FCD">
        <w:t xml:space="preserve"> </w:t>
      </w:r>
      <w:r w:rsidRPr="00181FCD">
        <w:t>legislación</w:t>
      </w:r>
      <w:r w:rsidR="00F373A3" w:rsidRPr="00181FCD">
        <w:t xml:space="preserve"> </w:t>
      </w:r>
      <w:r w:rsidRPr="00181FCD">
        <w:t>búlgara,</w:t>
      </w:r>
      <w:r w:rsidR="00F373A3" w:rsidRPr="00181FCD">
        <w:t xml:space="preserve"> </w:t>
      </w:r>
      <w:r w:rsidRPr="00181FCD">
        <w:t>tales</w:t>
      </w:r>
      <w:r w:rsidR="00F373A3" w:rsidRPr="00181FCD">
        <w:t xml:space="preserve"> </w:t>
      </w:r>
      <w:r w:rsidRPr="00181FCD">
        <w:t>como:</w:t>
      </w:r>
      <w:r w:rsidR="00F373A3" w:rsidRPr="00181FCD">
        <w:t xml:space="preserve"> </w:t>
      </w:r>
      <w:r w:rsidRPr="00181FCD">
        <w:t>ofrecer</w:t>
      </w:r>
      <w:r w:rsidR="00F373A3" w:rsidRPr="00181FCD">
        <w:t xml:space="preserve"> </w:t>
      </w:r>
      <w:r w:rsidRPr="00181FCD">
        <w:t>apoyo</w:t>
      </w:r>
      <w:r w:rsidR="00F373A3" w:rsidRPr="00181FCD">
        <w:t xml:space="preserve"> </w:t>
      </w:r>
      <w:r w:rsidRPr="00181FCD">
        <w:t>para</w:t>
      </w:r>
      <w:r w:rsidR="00F373A3" w:rsidRPr="00181FCD">
        <w:t xml:space="preserve"> </w:t>
      </w:r>
      <w:r w:rsidRPr="00181FCD">
        <w:t>iniciar</w:t>
      </w:r>
      <w:r w:rsidR="00F373A3" w:rsidRPr="00181FCD">
        <w:t xml:space="preserve"> </w:t>
      </w:r>
      <w:r w:rsidRPr="00181FCD">
        <w:t>acciones</w:t>
      </w:r>
      <w:r w:rsidR="00F373A3" w:rsidRPr="00181FCD">
        <w:t xml:space="preserve"> </w:t>
      </w:r>
      <w:r w:rsidRPr="00181FCD">
        <w:t>jurídicas</w:t>
      </w:r>
      <w:r w:rsidR="00F373A3" w:rsidRPr="00181FCD">
        <w:t xml:space="preserve"> </w:t>
      </w:r>
      <w:r w:rsidRPr="00181FCD">
        <w:t>específicas;</w:t>
      </w:r>
      <w:r w:rsidR="00F373A3" w:rsidRPr="00181FCD">
        <w:t xml:space="preserve"> </w:t>
      </w:r>
      <w:r w:rsidRPr="00181FCD">
        <w:t>prestar</w:t>
      </w:r>
      <w:r w:rsidR="00F373A3" w:rsidRPr="00181FCD">
        <w:t xml:space="preserve"> </w:t>
      </w:r>
      <w:r w:rsidRPr="00181FCD">
        <w:t>asistencia</w:t>
      </w:r>
      <w:r w:rsidR="00F373A3" w:rsidRPr="00181FCD">
        <w:t xml:space="preserve"> </w:t>
      </w:r>
      <w:r w:rsidRPr="00181FCD">
        <w:t>en</w:t>
      </w:r>
      <w:r w:rsidR="00F373A3" w:rsidRPr="00181FCD">
        <w:t xml:space="preserve"> </w:t>
      </w:r>
      <w:r w:rsidRPr="00181FCD">
        <w:t>la</w:t>
      </w:r>
      <w:r w:rsidR="00F373A3" w:rsidRPr="00181FCD">
        <w:t xml:space="preserve"> </w:t>
      </w:r>
      <w:r w:rsidRPr="00181FCD">
        <w:t>adopción</w:t>
      </w:r>
      <w:r w:rsidR="00F373A3" w:rsidRPr="00181FCD">
        <w:t xml:space="preserve"> </w:t>
      </w:r>
      <w:r w:rsidRPr="00181FCD">
        <w:t>de</w:t>
      </w:r>
      <w:r w:rsidR="00F373A3" w:rsidRPr="00181FCD">
        <w:t xml:space="preserve"> </w:t>
      </w:r>
      <w:r w:rsidRPr="00181FCD">
        <w:t>decisiones</w:t>
      </w:r>
      <w:r w:rsidR="00F373A3" w:rsidRPr="00181FCD">
        <w:t xml:space="preserve"> </w:t>
      </w:r>
      <w:r w:rsidRPr="00181FCD">
        <w:t>y</w:t>
      </w:r>
      <w:r w:rsidR="00F373A3" w:rsidRPr="00181FCD">
        <w:t xml:space="preserve"> </w:t>
      </w:r>
      <w:r w:rsidRPr="00181FCD">
        <w:t>ofrecer</w:t>
      </w:r>
      <w:r w:rsidR="00F373A3" w:rsidRPr="00181FCD">
        <w:t xml:space="preserve"> </w:t>
      </w:r>
      <w:r w:rsidRPr="00181FCD">
        <w:t>garantías</w:t>
      </w:r>
      <w:r w:rsidR="00F373A3" w:rsidRPr="00181FCD">
        <w:t xml:space="preserve"> </w:t>
      </w:r>
      <w:r w:rsidRPr="00181FCD">
        <w:t>en</w:t>
      </w:r>
      <w:r w:rsidR="00F373A3" w:rsidRPr="00181FCD">
        <w:t xml:space="preserve"> </w:t>
      </w:r>
      <w:r w:rsidRPr="00181FCD">
        <w:t>situaciones</w:t>
      </w:r>
      <w:r w:rsidR="00F373A3" w:rsidRPr="00181FCD">
        <w:t xml:space="preserve"> </w:t>
      </w:r>
      <w:r w:rsidRPr="00181FCD">
        <w:t>de</w:t>
      </w:r>
      <w:r w:rsidR="00F373A3" w:rsidRPr="00181FCD">
        <w:t xml:space="preserve"> </w:t>
      </w:r>
      <w:r w:rsidRPr="00181FCD">
        <w:t>riesgo;</w:t>
      </w:r>
      <w:r w:rsidR="00F373A3" w:rsidRPr="00181FCD">
        <w:t xml:space="preserve"> </w:t>
      </w:r>
      <w:r w:rsidRPr="00181FCD">
        <w:t>prever</w:t>
      </w:r>
      <w:r w:rsidR="00F373A3" w:rsidRPr="00181FCD">
        <w:t xml:space="preserve"> </w:t>
      </w:r>
      <w:r w:rsidRPr="00181FCD">
        <w:t>la</w:t>
      </w:r>
      <w:r w:rsidR="00F373A3" w:rsidRPr="00181FCD">
        <w:t xml:space="preserve"> </w:t>
      </w:r>
      <w:r w:rsidRPr="00181FCD">
        <w:t>adopción</w:t>
      </w:r>
      <w:r w:rsidR="00F373A3" w:rsidRPr="00181FCD">
        <w:t xml:space="preserve"> </w:t>
      </w:r>
      <w:r w:rsidRPr="00181FCD">
        <w:t>de</w:t>
      </w:r>
      <w:r w:rsidR="00F373A3" w:rsidRPr="00181FCD">
        <w:t xml:space="preserve"> </w:t>
      </w:r>
      <w:r w:rsidRPr="00181FCD">
        <w:t>decisiones</w:t>
      </w:r>
      <w:r w:rsidR="00F373A3" w:rsidRPr="00181FCD">
        <w:t xml:space="preserve"> </w:t>
      </w:r>
      <w:r w:rsidRPr="00181FCD">
        <w:t>en</w:t>
      </w:r>
      <w:r w:rsidR="00F373A3" w:rsidRPr="00181FCD">
        <w:t xml:space="preserve"> </w:t>
      </w:r>
      <w:r w:rsidRPr="00181FCD">
        <w:t>colaboración,</w:t>
      </w:r>
      <w:r w:rsidR="00F373A3" w:rsidRPr="00181FCD">
        <w:t xml:space="preserve"> </w:t>
      </w:r>
      <w:r w:rsidRPr="00181FCD">
        <w:t>etc.</w:t>
      </w:r>
      <w:r w:rsidR="00F373A3" w:rsidRPr="00181FCD">
        <w:t xml:space="preserve"> </w:t>
      </w:r>
      <w:r w:rsidRPr="00181FCD">
        <w:t>También</w:t>
      </w:r>
      <w:r w:rsidR="00F373A3" w:rsidRPr="00181FCD">
        <w:t xml:space="preserve"> </w:t>
      </w:r>
      <w:r w:rsidRPr="00181FCD">
        <w:t>hay</w:t>
      </w:r>
      <w:r w:rsidR="00F373A3" w:rsidRPr="00181FCD">
        <w:t xml:space="preserve"> </w:t>
      </w:r>
      <w:r w:rsidRPr="00181FCD">
        <w:t>disposiciones</w:t>
      </w:r>
      <w:r w:rsidR="00F373A3" w:rsidRPr="00181FCD">
        <w:t xml:space="preserve"> </w:t>
      </w:r>
      <w:r w:rsidRPr="00181FCD">
        <w:t>que</w:t>
      </w:r>
      <w:r w:rsidR="00F373A3" w:rsidRPr="00181FCD">
        <w:t xml:space="preserve"> </w:t>
      </w:r>
      <w:r w:rsidRPr="00181FCD">
        <w:t>regulan</w:t>
      </w:r>
      <w:r w:rsidR="00F373A3" w:rsidRPr="00181FCD">
        <w:t xml:space="preserve"> </w:t>
      </w:r>
      <w:r w:rsidRPr="00181FCD">
        <w:t>las</w:t>
      </w:r>
      <w:r w:rsidR="00F373A3" w:rsidRPr="00181FCD">
        <w:t xml:space="preserve"> </w:t>
      </w:r>
      <w:r w:rsidRPr="00181FCD">
        <w:t>atribuciones</w:t>
      </w:r>
      <w:r w:rsidR="00F373A3" w:rsidRPr="00181FCD">
        <w:t xml:space="preserve"> </w:t>
      </w:r>
      <w:r w:rsidRPr="00181FCD">
        <w:t>de</w:t>
      </w:r>
      <w:r w:rsidR="00F373A3" w:rsidRPr="00181FCD">
        <w:t xml:space="preserve"> </w:t>
      </w:r>
      <w:r w:rsidRPr="00181FCD">
        <w:t>la</w:t>
      </w:r>
      <w:r w:rsidR="00F373A3" w:rsidRPr="00181FCD">
        <w:t xml:space="preserve"> </w:t>
      </w:r>
      <w:r w:rsidRPr="00181FCD">
        <w:t>autoridad</w:t>
      </w:r>
      <w:r w:rsidR="00F373A3" w:rsidRPr="00181FCD">
        <w:t xml:space="preserve"> </w:t>
      </w:r>
      <w:r w:rsidRPr="00181FCD">
        <w:t>responsable</w:t>
      </w:r>
      <w:r w:rsidR="00F373A3" w:rsidRPr="00181FCD">
        <w:t xml:space="preserve"> </w:t>
      </w:r>
      <w:r w:rsidRPr="00181FCD">
        <w:t>de</w:t>
      </w:r>
      <w:r w:rsidR="00F373A3" w:rsidRPr="00181FCD">
        <w:t xml:space="preserve"> </w:t>
      </w:r>
      <w:r w:rsidRPr="00181FCD">
        <w:t>la</w:t>
      </w:r>
      <w:r w:rsidR="00F373A3" w:rsidRPr="00181FCD">
        <w:t xml:space="preserve"> </w:t>
      </w:r>
      <w:r w:rsidRPr="00181FCD">
        <w:t>adopción</w:t>
      </w:r>
      <w:r w:rsidR="00F373A3" w:rsidRPr="00181FCD">
        <w:t xml:space="preserve"> </w:t>
      </w:r>
      <w:r w:rsidRPr="00181FCD">
        <w:t>de</w:t>
      </w:r>
      <w:r w:rsidR="00F373A3" w:rsidRPr="00181FCD">
        <w:t xml:space="preserve"> </w:t>
      </w:r>
      <w:r w:rsidRPr="00181FCD">
        <w:t>decisiones</w:t>
      </w:r>
      <w:r w:rsidR="00F373A3" w:rsidRPr="00181FCD">
        <w:t xml:space="preserve"> </w:t>
      </w:r>
      <w:r w:rsidRPr="00181FCD">
        <w:t>que</w:t>
      </w:r>
      <w:r w:rsidR="00F373A3" w:rsidRPr="00181FCD">
        <w:t xml:space="preserve"> </w:t>
      </w:r>
      <w:r w:rsidRPr="00181FCD">
        <w:t>recibe</w:t>
      </w:r>
      <w:r w:rsidR="00F373A3" w:rsidRPr="00181FCD">
        <w:t xml:space="preserve"> </w:t>
      </w:r>
      <w:r w:rsidRPr="00181FCD">
        <w:t>el</w:t>
      </w:r>
      <w:r w:rsidR="00F373A3" w:rsidRPr="00181FCD">
        <w:t xml:space="preserve"> </w:t>
      </w:r>
      <w:r w:rsidRPr="00181FCD">
        <w:t>apoyo,</w:t>
      </w:r>
      <w:r w:rsidR="00F373A3" w:rsidRPr="00181FCD">
        <w:t xml:space="preserve"> </w:t>
      </w:r>
      <w:r w:rsidRPr="00181FCD">
        <w:t>es</w:t>
      </w:r>
      <w:r w:rsidR="00F373A3" w:rsidRPr="00181FCD">
        <w:t xml:space="preserve"> </w:t>
      </w:r>
      <w:r w:rsidRPr="00181FCD">
        <w:t>decir,</w:t>
      </w:r>
      <w:r w:rsidR="00F373A3" w:rsidRPr="00181FCD">
        <w:t xml:space="preserve"> </w:t>
      </w:r>
      <w:r w:rsidRPr="00181FCD">
        <w:t>el</w:t>
      </w:r>
      <w:r w:rsidR="00F373A3" w:rsidRPr="00181FCD">
        <w:t xml:space="preserve"> </w:t>
      </w:r>
      <w:r w:rsidRPr="00181FCD">
        <w:t>alcalde</w:t>
      </w:r>
      <w:r w:rsidR="00F373A3" w:rsidRPr="00181FCD">
        <w:t xml:space="preserve"> </w:t>
      </w:r>
      <w:r w:rsidRPr="00181FCD">
        <w:t>municipal.</w:t>
      </w:r>
      <w:r w:rsidR="00F373A3" w:rsidRPr="00181FCD">
        <w:t xml:space="preserve"> </w:t>
      </w:r>
      <w:r w:rsidRPr="00181FCD">
        <w:t>En</w:t>
      </w:r>
      <w:r w:rsidR="00F373A3" w:rsidRPr="00181FCD">
        <w:t xml:space="preserve"> </w:t>
      </w:r>
      <w:r w:rsidRPr="00181FCD">
        <w:t>esencia,</w:t>
      </w:r>
      <w:r w:rsidR="00F373A3" w:rsidRPr="00181FCD">
        <w:t xml:space="preserve"> </w:t>
      </w:r>
      <w:r w:rsidRPr="00181FCD">
        <w:t>ello</w:t>
      </w:r>
      <w:r w:rsidR="00F373A3" w:rsidRPr="00181FCD">
        <w:t xml:space="preserve"> </w:t>
      </w:r>
      <w:r w:rsidRPr="00181FCD">
        <w:t>equivale</w:t>
      </w:r>
      <w:r w:rsidR="00F373A3" w:rsidRPr="00181FCD">
        <w:t xml:space="preserve"> </w:t>
      </w:r>
      <w:r w:rsidRPr="00181FCD">
        <w:t>a</w:t>
      </w:r>
      <w:r w:rsidR="00F373A3" w:rsidRPr="00181FCD">
        <w:t xml:space="preserve"> </w:t>
      </w:r>
      <w:r w:rsidRPr="00181FCD">
        <w:t>derogar</w:t>
      </w:r>
      <w:r w:rsidR="00F373A3" w:rsidRPr="00181FCD">
        <w:t xml:space="preserve"> </w:t>
      </w:r>
      <w:r w:rsidRPr="00181FCD">
        <w:t>la</w:t>
      </w:r>
      <w:r w:rsidR="00F373A3" w:rsidRPr="00181FCD">
        <w:t xml:space="preserve"> </w:t>
      </w:r>
      <w:r w:rsidRPr="00181FCD">
        <w:t>disposición</w:t>
      </w:r>
      <w:r w:rsidR="00F373A3" w:rsidRPr="00181FCD">
        <w:t xml:space="preserve"> </w:t>
      </w:r>
      <w:r w:rsidRPr="00181FCD">
        <w:t>sobre</w:t>
      </w:r>
      <w:r w:rsidR="00F373A3" w:rsidRPr="00181FCD">
        <w:t xml:space="preserve"> </w:t>
      </w:r>
      <w:r w:rsidRPr="00181FCD">
        <w:t>incapacidad</w:t>
      </w:r>
      <w:r w:rsidR="00F373A3" w:rsidRPr="00181FCD">
        <w:t xml:space="preserve"> </w:t>
      </w:r>
      <w:r w:rsidRPr="00181FCD">
        <w:t>(limitación</w:t>
      </w:r>
      <w:r w:rsidR="00F373A3" w:rsidRPr="00181FCD">
        <w:t xml:space="preserve"> </w:t>
      </w:r>
      <w:r w:rsidRPr="00181FCD">
        <w:t>de</w:t>
      </w:r>
      <w:r w:rsidR="00F373A3" w:rsidRPr="00181FCD">
        <w:t xml:space="preserve"> </w:t>
      </w:r>
      <w:r w:rsidRPr="00181FCD">
        <w:t>la</w:t>
      </w:r>
      <w:r w:rsidR="00F373A3" w:rsidRPr="00181FCD">
        <w:t xml:space="preserve"> </w:t>
      </w:r>
      <w:r w:rsidRPr="00181FCD">
        <w:t>capacidad)</w:t>
      </w:r>
      <w:r w:rsidR="00F373A3" w:rsidRPr="00181FCD">
        <w:t xml:space="preserve"> </w:t>
      </w:r>
      <w:r w:rsidRPr="00181FCD">
        <w:t>y</w:t>
      </w:r>
      <w:r w:rsidR="00F373A3" w:rsidRPr="00181FCD">
        <w:t xml:space="preserve"> </w:t>
      </w:r>
      <w:r w:rsidRPr="00181FCD">
        <w:t>sustituirla</w:t>
      </w:r>
      <w:r w:rsidR="00F373A3" w:rsidRPr="00181FCD">
        <w:t xml:space="preserve"> </w:t>
      </w:r>
      <w:r w:rsidRPr="00181FCD">
        <w:t>por</w:t>
      </w:r>
      <w:r w:rsidR="00F373A3" w:rsidRPr="00181FCD">
        <w:t xml:space="preserve"> </w:t>
      </w:r>
      <w:r w:rsidRPr="00181FCD">
        <w:t>un</w:t>
      </w:r>
      <w:r w:rsidR="00F373A3" w:rsidRPr="00181FCD">
        <w:t xml:space="preserve"> </w:t>
      </w:r>
      <w:r w:rsidRPr="00181FCD">
        <w:t>conjunto</w:t>
      </w:r>
      <w:r w:rsidR="00F373A3" w:rsidRPr="00181FCD">
        <w:t xml:space="preserve"> </w:t>
      </w:r>
      <w:r w:rsidRPr="00181FCD">
        <w:t>de</w:t>
      </w:r>
      <w:r w:rsidR="00F373A3" w:rsidRPr="00181FCD">
        <w:t xml:space="preserve"> </w:t>
      </w:r>
      <w:r w:rsidRPr="00181FCD">
        <w:t>medidas</w:t>
      </w:r>
      <w:r w:rsidR="00F373A3" w:rsidRPr="00181FCD">
        <w:t xml:space="preserve"> </w:t>
      </w:r>
      <w:r w:rsidRPr="00181FCD">
        <w:t>para</w:t>
      </w:r>
      <w:r w:rsidR="00F373A3" w:rsidRPr="00181FCD">
        <w:t xml:space="preserve"> </w:t>
      </w:r>
      <w:r w:rsidRPr="00181FCD">
        <w:t>apoyar</w:t>
      </w:r>
      <w:r w:rsidR="00F373A3" w:rsidRPr="00181FCD">
        <w:t xml:space="preserve"> </w:t>
      </w:r>
      <w:r w:rsidRPr="00181FCD">
        <w:t>a</w:t>
      </w:r>
      <w:r w:rsidR="00F373A3" w:rsidRPr="00181FCD">
        <w:t xml:space="preserve"> </w:t>
      </w:r>
      <w:r w:rsidRPr="00181FCD">
        <w:t>las</w:t>
      </w:r>
      <w:r w:rsidR="00F373A3" w:rsidRPr="00181FCD">
        <w:t xml:space="preserve"> </w:t>
      </w:r>
      <w:r w:rsidRPr="00181FCD">
        <w:t>personas</w:t>
      </w:r>
      <w:r w:rsidR="00F373A3" w:rsidRPr="00181FCD">
        <w:t xml:space="preserve"> </w:t>
      </w:r>
      <w:r w:rsidRPr="00181FCD">
        <w:t>con</w:t>
      </w:r>
      <w:r w:rsidR="00F373A3" w:rsidRPr="00181FCD">
        <w:t xml:space="preserve"> </w:t>
      </w:r>
      <w:r w:rsidRPr="00181FCD">
        <w:t>dificultades</w:t>
      </w:r>
      <w:r w:rsidR="00F373A3" w:rsidRPr="00181FCD">
        <w:t xml:space="preserve"> </w:t>
      </w:r>
      <w:r w:rsidRPr="00181FCD">
        <w:t>(discapacidad)</w:t>
      </w:r>
      <w:r w:rsidR="00F373A3" w:rsidRPr="00181FCD">
        <w:t xml:space="preserve"> </w:t>
      </w:r>
      <w:r w:rsidRPr="00181FCD">
        <w:t>a</w:t>
      </w:r>
      <w:r w:rsidR="00F373A3" w:rsidRPr="00181FCD">
        <w:t xml:space="preserve"> </w:t>
      </w:r>
      <w:r w:rsidRPr="00181FCD">
        <w:t>fin</w:t>
      </w:r>
      <w:r w:rsidR="00F373A3" w:rsidRPr="00181FCD">
        <w:t xml:space="preserve"> </w:t>
      </w:r>
      <w:r w:rsidRPr="00181FCD">
        <w:t>de</w:t>
      </w:r>
      <w:r w:rsidR="00F373A3" w:rsidRPr="00181FCD">
        <w:t xml:space="preserve"> </w:t>
      </w:r>
      <w:r w:rsidRPr="00181FCD">
        <w:t>que</w:t>
      </w:r>
      <w:r w:rsidR="00F373A3" w:rsidRPr="00181FCD">
        <w:t xml:space="preserve"> </w:t>
      </w:r>
      <w:r w:rsidRPr="00181FCD">
        <w:t>puedan</w:t>
      </w:r>
      <w:r w:rsidR="00F373A3" w:rsidRPr="00181FCD">
        <w:t xml:space="preserve"> </w:t>
      </w:r>
      <w:r w:rsidRPr="00181FCD">
        <w:t>ejercitar</w:t>
      </w:r>
      <w:r w:rsidR="00F373A3" w:rsidRPr="00181FCD">
        <w:t xml:space="preserve"> </w:t>
      </w:r>
      <w:r w:rsidRPr="00181FCD">
        <w:t>sus</w:t>
      </w:r>
      <w:r w:rsidR="00F373A3" w:rsidRPr="00181FCD">
        <w:t xml:space="preserve"> </w:t>
      </w:r>
      <w:r w:rsidRPr="00181FCD">
        <w:t>derechos</w:t>
      </w:r>
      <w:r w:rsidR="00F373A3" w:rsidRPr="00181FCD">
        <w:t xml:space="preserve"> </w:t>
      </w:r>
      <w:r w:rsidRPr="00181FCD">
        <w:t>de</w:t>
      </w:r>
      <w:r w:rsidR="00F373A3" w:rsidRPr="00181FCD">
        <w:t xml:space="preserve"> </w:t>
      </w:r>
      <w:r w:rsidRPr="00181FCD">
        <w:t>manera</w:t>
      </w:r>
      <w:r w:rsidR="00F373A3" w:rsidRPr="00181FCD">
        <w:t xml:space="preserve"> </w:t>
      </w:r>
      <w:r w:rsidRPr="00181FCD">
        <w:t>independiente.</w:t>
      </w:r>
    </w:p>
    <w:p w:rsidR="001937F4" w:rsidRPr="00181FCD" w:rsidRDefault="001937F4" w:rsidP="00347B20">
      <w:pPr>
        <w:pStyle w:val="SingleTxtG"/>
        <w:suppressAutoHyphens/>
      </w:pPr>
      <w:r w:rsidRPr="00181FCD">
        <w:t>80.</w:t>
      </w:r>
      <w:r w:rsidRPr="00181FCD">
        <w:tab/>
        <w:t>En</w:t>
      </w:r>
      <w:r w:rsidR="00F373A3" w:rsidRPr="00181FCD">
        <w:t xml:space="preserve"> </w:t>
      </w:r>
      <w:r w:rsidRPr="00181FCD">
        <w:t>las</w:t>
      </w:r>
      <w:r w:rsidR="00F373A3" w:rsidRPr="00181FCD">
        <w:t xml:space="preserve"> </w:t>
      </w:r>
      <w:r w:rsidRPr="00181FCD">
        <w:t>medidas</w:t>
      </w:r>
      <w:r w:rsidR="00F373A3" w:rsidRPr="00181FCD">
        <w:t xml:space="preserve"> </w:t>
      </w:r>
      <w:r w:rsidRPr="00181FCD">
        <w:t>propuestas</w:t>
      </w:r>
      <w:r w:rsidR="00F373A3" w:rsidRPr="00181FCD">
        <w:t xml:space="preserve"> </w:t>
      </w:r>
      <w:r w:rsidRPr="00181FCD">
        <w:t>en</w:t>
      </w:r>
      <w:r w:rsidR="00F373A3" w:rsidRPr="00181FCD">
        <w:t xml:space="preserve"> </w:t>
      </w:r>
      <w:r w:rsidRPr="00181FCD">
        <w:t>apoyo</w:t>
      </w:r>
      <w:r w:rsidR="00F373A3" w:rsidRPr="00181FCD">
        <w:t xml:space="preserve"> </w:t>
      </w:r>
      <w:r w:rsidRPr="00181FCD">
        <w:t>del</w:t>
      </w:r>
      <w:r w:rsidR="00F373A3" w:rsidRPr="00181FCD">
        <w:t xml:space="preserve"> </w:t>
      </w:r>
      <w:r w:rsidRPr="00181FCD">
        <w:t>ejercicio</w:t>
      </w:r>
      <w:r w:rsidR="00F373A3" w:rsidRPr="00181FCD">
        <w:t xml:space="preserve"> </w:t>
      </w:r>
      <w:r w:rsidRPr="00181FCD">
        <w:t>de</w:t>
      </w:r>
      <w:r w:rsidR="00F373A3" w:rsidRPr="00181FCD">
        <w:t xml:space="preserve"> </w:t>
      </w:r>
      <w:r w:rsidRPr="00181FCD">
        <w:t>los</w:t>
      </w:r>
      <w:r w:rsidR="00F373A3" w:rsidRPr="00181FCD">
        <w:t xml:space="preserve"> </w:t>
      </w:r>
      <w:r w:rsidRPr="00181FCD">
        <w:t>derechos,</w:t>
      </w:r>
      <w:r w:rsidR="00F373A3" w:rsidRPr="00181FCD">
        <w:t xml:space="preserve"> </w:t>
      </w:r>
      <w:r w:rsidRPr="00181FCD">
        <w:t>hay</w:t>
      </w:r>
      <w:r w:rsidR="00F373A3" w:rsidRPr="00181FCD">
        <w:t xml:space="preserve"> </w:t>
      </w:r>
      <w:r w:rsidRPr="00181FCD">
        <w:t>una</w:t>
      </w:r>
      <w:r w:rsidR="00F373A3" w:rsidRPr="00181FCD">
        <w:t xml:space="preserve"> </w:t>
      </w:r>
      <w:r w:rsidRPr="00181FCD">
        <w:t>disposición</w:t>
      </w:r>
      <w:r w:rsidR="00F373A3" w:rsidRPr="00181FCD">
        <w:t xml:space="preserve"> </w:t>
      </w:r>
      <w:r w:rsidRPr="00181FCD">
        <w:t>relativa</w:t>
      </w:r>
      <w:r w:rsidR="00F373A3" w:rsidRPr="00181FCD">
        <w:t xml:space="preserve"> </w:t>
      </w:r>
      <w:r w:rsidRPr="00181FCD">
        <w:t>a</w:t>
      </w:r>
      <w:r w:rsidR="00F373A3" w:rsidRPr="00181FCD">
        <w:t xml:space="preserve"> </w:t>
      </w:r>
      <w:r w:rsidRPr="00181FCD">
        <w:t>una</w:t>
      </w:r>
      <w:r w:rsidR="00F373A3" w:rsidRPr="00181FCD">
        <w:t xml:space="preserve"> </w:t>
      </w:r>
      <w:r w:rsidRPr="00181FCD">
        <w:t>nueva</w:t>
      </w:r>
      <w:r w:rsidR="00F373A3" w:rsidRPr="00181FCD">
        <w:t xml:space="preserve"> </w:t>
      </w:r>
      <w:r w:rsidRPr="00181FCD">
        <w:t>manera</w:t>
      </w:r>
      <w:r w:rsidR="00F373A3" w:rsidRPr="00181FCD">
        <w:t xml:space="preserve"> </w:t>
      </w:r>
      <w:r w:rsidRPr="00181FCD">
        <w:t>de</w:t>
      </w:r>
      <w:r w:rsidR="00F373A3" w:rsidRPr="00181FCD">
        <w:t xml:space="preserve"> </w:t>
      </w:r>
      <w:r w:rsidRPr="00181FCD">
        <w:t>entender</w:t>
      </w:r>
      <w:r w:rsidR="00F373A3" w:rsidRPr="00181FCD">
        <w:t xml:space="preserve"> </w:t>
      </w:r>
      <w:r w:rsidRPr="00181FCD">
        <w:t>a</w:t>
      </w:r>
      <w:r w:rsidR="00F373A3" w:rsidRPr="00181FCD">
        <w:t xml:space="preserve"> </w:t>
      </w:r>
      <w:r w:rsidRPr="00181FCD">
        <w:t>la</w:t>
      </w:r>
      <w:r w:rsidR="00F373A3" w:rsidRPr="00181FCD">
        <w:t xml:space="preserve"> </w:t>
      </w:r>
      <w:r w:rsidRPr="00181FCD">
        <w:t>persona</w:t>
      </w:r>
      <w:r w:rsidR="00F373A3" w:rsidRPr="00181FCD">
        <w:t xml:space="preserve"> </w:t>
      </w:r>
      <w:r w:rsidRPr="00181FCD">
        <w:t>y</w:t>
      </w:r>
      <w:r w:rsidR="00F373A3" w:rsidRPr="00181FCD">
        <w:t xml:space="preserve"> </w:t>
      </w:r>
      <w:r w:rsidRPr="00181FCD">
        <w:t>su</w:t>
      </w:r>
      <w:r w:rsidR="00F373A3" w:rsidRPr="00181FCD">
        <w:t xml:space="preserve"> </w:t>
      </w:r>
      <w:r w:rsidRPr="00181FCD">
        <w:t>capacidad</w:t>
      </w:r>
      <w:r w:rsidR="00F373A3" w:rsidRPr="00181FCD">
        <w:t xml:space="preserve"> </w:t>
      </w:r>
      <w:r w:rsidRPr="00181FCD">
        <w:t>para</w:t>
      </w:r>
      <w:r w:rsidR="00F373A3" w:rsidRPr="00181FCD">
        <w:t xml:space="preserve"> </w:t>
      </w:r>
      <w:r w:rsidRPr="00181FCD">
        <w:t>ejercer</w:t>
      </w:r>
      <w:r w:rsidR="00F373A3" w:rsidRPr="00181FCD">
        <w:t xml:space="preserve"> </w:t>
      </w:r>
      <w:r w:rsidRPr="00181FCD">
        <w:t>sus</w:t>
      </w:r>
      <w:r w:rsidR="00F373A3" w:rsidRPr="00181FCD">
        <w:t xml:space="preserve"> </w:t>
      </w:r>
      <w:r w:rsidRPr="00181FCD">
        <w:t>derechos</w:t>
      </w:r>
      <w:r w:rsidR="00F373A3" w:rsidRPr="00181FCD">
        <w:t xml:space="preserve"> </w:t>
      </w:r>
      <w:r w:rsidRPr="00181FCD">
        <w:t>de</w:t>
      </w:r>
      <w:r w:rsidR="00F373A3" w:rsidRPr="00181FCD">
        <w:t xml:space="preserve"> </w:t>
      </w:r>
      <w:r w:rsidRPr="00181FCD">
        <w:t>manera</w:t>
      </w:r>
      <w:r w:rsidR="00F373A3" w:rsidRPr="00181FCD">
        <w:t xml:space="preserve"> </w:t>
      </w:r>
      <w:r w:rsidRPr="00181FCD">
        <w:t>independiente.</w:t>
      </w:r>
    </w:p>
    <w:p w:rsidR="001937F4" w:rsidRPr="00181FCD" w:rsidRDefault="001937F4" w:rsidP="00347B20">
      <w:pPr>
        <w:pStyle w:val="SingleTxtG"/>
        <w:suppressAutoHyphens/>
      </w:pPr>
      <w:r w:rsidRPr="00181FCD">
        <w:t>81.</w:t>
      </w:r>
      <w:r w:rsidRPr="00181FCD">
        <w:tab/>
        <w:t>La</w:t>
      </w:r>
      <w:r w:rsidR="00F373A3" w:rsidRPr="00181FCD">
        <w:t xml:space="preserve"> </w:t>
      </w:r>
      <w:r w:rsidRPr="00181FCD">
        <w:t>obligación</w:t>
      </w:r>
      <w:r w:rsidR="00F373A3" w:rsidRPr="00181FCD">
        <w:t xml:space="preserve"> </w:t>
      </w:r>
      <w:r w:rsidRPr="00181FCD">
        <w:t>de</w:t>
      </w:r>
      <w:r w:rsidR="00F373A3" w:rsidRPr="00181FCD">
        <w:t xml:space="preserve"> </w:t>
      </w:r>
      <w:r w:rsidRPr="00181FCD">
        <w:t>suplantar</w:t>
      </w:r>
      <w:r w:rsidR="00F373A3" w:rsidRPr="00181FCD">
        <w:t xml:space="preserve"> </w:t>
      </w:r>
      <w:r w:rsidRPr="00181FCD">
        <w:t>los</w:t>
      </w:r>
      <w:r w:rsidR="00F373A3" w:rsidRPr="00181FCD">
        <w:t xml:space="preserve"> </w:t>
      </w:r>
      <w:r w:rsidRPr="00181FCD">
        <w:t>regímenes</w:t>
      </w:r>
      <w:r w:rsidR="00F373A3" w:rsidRPr="00181FCD">
        <w:t xml:space="preserve"> </w:t>
      </w:r>
      <w:r w:rsidRPr="00181FCD">
        <w:t>de</w:t>
      </w:r>
      <w:r w:rsidR="00F373A3" w:rsidRPr="00181FCD">
        <w:t xml:space="preserve"> </w:t>
      </w:r>
      <w:r w:rsidRPr="00181FCD">
        <w:t>adopción</w:t>
      </w:r>
      <w:r w:rsidR="00F373A3" w:rsidRPr="00181FCD">
        <w:t xml:space="preserve"> </w:t>
      </w:r>
      <w:r w:rsidRPr="00181FCD">
        <w:t>de</w:t>
      </w:r>
      <w:r w:rsidR="00F373A3" w:rsidRPr="00181FCD">
        <w:t xml:space="preserve"> </w:t>
      </w:r>
      <w:r w:rsidRPr="00181FCD">
        <w:t>decisiones</w:t>
      </w:r>
      <w:r w:rsidR="00F373A3" w:rsidRPr="00181FCD">
        <w:t xml:space="preserve"> </w:t>
      </w:r>
      <w:r w:rsidRPr="00181FCD">
        <w:t>por</w:t>
      </w:r>
      <w:r w:rsidR="00F373A3" w:rsidRPr="00181FCD">
        <w:t xml:space="preserve"> </w:t>
      </w:r>
      <w:r w:rsidRPr="00181FCD">
        <w:t>sustitución</w:t>
      </w:r>
      <w:r w:rsidR="00F373A3" w:rsidRPr="00181FCD">
        <w:t xml:space="preserve"> </w:t>
      </w:r>
      <w:r w:rsidR="00347B20" w:rsidRPr="00181FCD">
        <w:rPr>
          <w:rtl/>
        </w:rPr>
        <w:t>—</w:t>
      </w:r>
      <w:r w:rsidRPr="00181FCD">
        <w:t>incapacidad</w:t>
      </w:r>
      <w:r w:rsidR="00F373A3" w:rsidRPr="00181FCD">
        <w:t xml:space="preserve"> </w:t>
      </w:r>
      <w:r w:rsidRPr="00181FCD">
        <w:t>total</w:t>
      </w:r>
      <w:r w:rsidR="00F373A3" w:rsidRPr="00181FCD">
        <w:t xml:space="preserve"> </w:t>
      </w:r>
      <w:r w:rsidRPr="00181FCD">
        <w:t>y</w:t>
      </w:r>
      <w:r w:rsidR="00F373A3" w:rsidRPr="00181FCD">
        <w:t xml:space="preserve"> </w:t>
      </w:r>
      <w:r w:rsidRPr="00181FCD">
        <w:t>limitada</w:t>
      </w:r>
      <w:r w:rsidR="00347B20" w:rsidRPr="00181FCD">
        <w:t xml:space="preserve">— </w:t>
      </w:r>
      <w:r w:rsidRPr="00181FCD">
        <w:t>por</w:t>
      </w:r>
      <w:r w:rsidR="00F373A3" w:rsidRPr="00181FCD">
        <w:t xml:space="preserve"> </w:t>
      </w:r>
      <w:r w:rsidRPr="00181FCD">
        <w:t>un</w:t>
      </w:r>
      <w:r w:rsidR="00F373A3" w:rsidRPr="00181FCD">
        <w:t xml:space="preserve"> </w:t>
      </w:r>
      <w:r w:rsidRPr="00181FCD">
        <w:t>régimen</w:t>
      </w:r>
      <w:r w:rsidR="00F373A3" w:rsidRPr="00181FCD">
        <w:t xml:space="preserve"> </w:t>
      </w:r>
      <w:r w:rsidRPr="00181FCD">
        <w:t>de</w:t>
      </w:r>
      <w:r w:rsidR="00F373A3" w:rsidRPr="00181FCD">
        <w:t xml:space="preserve"> </w:t>
      </w:r>
      <w:r w:rsidRPr="00181FCD">
        <w:t>apoyo</w:t>
      </w:r>
      <w:r w:rsidR="00F373A3" w:rsidRPr="00181FCD">
        <w:t xml:space="preserve"> </w:t>
      </w:r>
      <w:r w:rsidRPr="00181FCD">
        <w:t>a</w:t>
      </w:r>
      <w:r w:rsidR="00F373A3" w:rsidRPr="00181FCD">
        <w:t xml:space="preserve"> </w:t>
      </w:r>
      <w:r w:rsidRPr="00181FCD">
        <w:t>la</w:t>
      </w:r>
      <w:r w:rsidR="00F373A3" w:rsidRPr="00181FCD">
        <w:t xml:space="preserve"> </w:t>
      </w:r>
      <w:r w:rsidRPr="00181FCD">
        <w:t>adopción</w:t>
      </w:r>
      <w:r w:rsidR="00F373A3" w:rsidRPr="00181FCD">
        <w:t xml:space="preserve"> </w:t>
      </w:r>
      <w:r w:rsidRPr="00181FCD">
        <w:t>de</w:t>
      </w:r>
      <w:r w:rsidR="00F373A3" w:rsidRPr="00181FCD">
        <w:t xml:space="preserve"> </w:t>
      </w:r>
      <w:r w:rsidRPr="00181FCD">
        <w:t>decisiones</w:t>
      </w:r>
      <w:r w:rsidR="00F373A3" w:rsidRPr="00181FCD">
        <w:t xml:space="preserve"> </w:t>
      </w:r>
      <w:r w:rsidRPr="00181FCD">
        <w:t>requiere</w:t>
      </w:r>
      <w:r w:rsidR="00F373A3" w:rsidRPr="00181FCD">
        <w:t xml:space="preserve"> </w:t>
      </w:r>
      <w:r w:rsidRPr="00181FCD">
        <w:t>derogar</w:t>
      </w:r>
      <w:r w:rsidR="00F373A3" w:rsidRPr="00181FCD">
        <w:t xml:space="preserve"> </w:t>
      </w:r>
      <w:r w:rsidRPr="00181FCD">
        <w:t>simultáneamente</w:t>
      </w:r>
      <w:r w:rsidR="00F373A3" w:rsidRPr="00181FCD">
        <w:t xml:space="preserve"> </w:t>
      </w:r>
      <w:r w:rsidRPr="00181FCD">
        <w:t>las</w:t>
      </w:r>
      <w:r w:rsidR="00F373A3" w:rsidRPr="00181FCD">
        <w:t xml:space="preserve"> </w:t>
      </w:r>
      <w:r w:rsidRPr="00181FCD">
        <w:t>disposiciones</w:t>
      </w:r>
      <w:r w:rsidR="00F373A3" w:rsidRPr="00181FCD">
        <w:t xml:space="preserve"> </w:t>
      </w:r>
      <w:r w:rsidRPr="00181FCD">
        <w:t>sobre</w:t>
      </w:r>
      <w:r w:rsidR="00F373A3" w:rsidRPr="00181FCD">
        <w:t xml:space="preserve"> </w:t>
      </w:r>
      <w:r w:rsidRPr="00181FCD">
        <w:t>adopción</w:t>
      </w:r>
      <w:r w:rsidR="00F373A3" w:rsidRPr="00181FCD">
        <w:t xml:space="preserve"> </w:t>
      </w:r>
      <w:r w:rsidRPr="00181FCD">
        <w:t>de</w:t>
      </w:r>
      <w:r w:rsidR="00F373A3" w:rsidRPr="00181FCD">
        <w:t xml:space="preserve"> </w:t>
      </w:r>
      <w:r w:rsidRPr="00181FCD">
        <w:t>decisiones</w:t>
      </w:r>
      <w:r w:rsidR="00F373A3" w:rsidRPr="00181FCD">
        <w:t xml:space="preserve"> </w:t>
      </w:r>
      <w:r w:rsidRPr="00181FCD">
        <w:t>por</w:t>
      </w:r>
      <w:r w:rsidR="00F373A3" w:rsidRPr="00181FCD">
        <w:t xml:space="preserve"> </w:t>
      </w:r>
      <w:r w:rsidRPr="00181FCD">
        <w:t>sustitución</w:t>
      </w:r>
      <w:r w:rsidR="00F373A3" w:rsidRPr="00181FCD">
        <w:t xml:space="preserve"> </w:t>
      </w:r>
      <w:r w:rsidRPr="00181FCD">
        <w:t>y</w:t>
      </w:r>
      <w:r w:rsidR="00F373A3" w:rsidRPr="00181FCD">
        <w:t xml:space="preserve"> </w:t>
      </w:r>
      <w:r w:rsidRPr="00181FCD">
        <w:t>establecer</w:t>
      </w:r>
      <w:r w:rsidR="00F373A3" w:rsidRPr="00181FCD">
        <w:t xml:space="preserve"> </w:t>
      </w:r>
      <w:r w:rsidRPr="00181FCD">
        <w:t>salvaguardias.</w:t>
      </w:r>
      <w:r w:rsidR="00F373A3" w:rsidRPr="00181FCD">
        <w:t xml:space="preserve"> </w:t>
      </w:r>
      <w:r w:rsidRPr="00181FCD">
        <w:t>Las</w:t>
      </w:r>
      <w:r w:rsidR="00F373A3" w:rsidRPr="00181FCD">
        <w:t xml:space="preserve"> </w:t>
      </w:r>
      <w:r w:rsidRPr="00181FCD">
        <w:t>medidas</w:t>
      </w:r>
      <w:r w:rsidR="00F373A3" w:rsidRPr="00181FCD">
        <w:t xml:space="preserve"> </w:t>
      </w:r>
      <w:r w:rsidRPr="00181FCD">
        <w:t>de</w:t>
      </w:r>
      <w:r w:rsidR="00F373A3" w:rsidRPr="00181FCD">
        <w:t xml:space="preserve"> </w:t>
      </w:r>
      <w:r w:rsidRPr="00181FCD">
        <w:t>apoyo</w:t>
      </w:r>
      <w:r w:rsidR="00F373A3" w:rsidRPr="00181FCD">
        <w:t xml:space="preserve"> </w:t>
      </w:r>
      <w:r w:rsidRPr="00181FCD">
        <w:t>se</w:t>
      </w:r>
      <w:r w:rsidR="00F373A3" w:rsidRPr="00181FCD">
        <w:t xml:space="preserve"> </w:t>
      </w:r>
      <w:r w:rsidRPr="00181FCD">
        <w:t>regulan</w:t>
      </w:r>
      <w:r w:rsidR="00F373A3" w:rsidRPr="00181FCD">
        <w:t xml:space="preserve"> </w:t>
      </w:r>
      <w:r w:rsidRPr="00181FCD">
        <w:t>de</w:t>
      </w:r>
      <w:r w:rsidR="00F373A3" w:rsidRPr="00181FCD">
        <w:t xml:space="preserve"> </w:t>
      </w:r>
      <w:r w:rsidRPr="00181FCD">
        <w:t>una</w:t>
      </w:r>
      <w:r w:rsidR="00F373A3" w:rsidRPr="00181FCD">
        <w:t xml:space="preserve"> </w:t>
      </w:r>
      <w:r w:rsidRPr="00181FCD">
        <w:t>manera</w:t>
      </w:r>
      <w:r w:rsidR="00F373A3" w:rsidRPr="00181FCD">
        <w:t xml:space="preserve"> </w:t>
      </w:r>
      <w:r w:rsidRPr="00181FCD">
        <w:t>que</w:t>
      </w:r>
      <w:r w:rsidR="00F373A3" w:rsidRPr="00181FCD">
        <w:t xml:space="preserve"> </w:t>
      </w:r>
      <w:r w:rsidRPr="00181FCD">
        <w:t>se</w:t>
      </w:r>
      <w:r w:rsidR="00F373A3" w:rsidRPr="00181FCD">
        <w:t xml:space="preserve"> </w:t>
      </w:r>
      <w:r w:rsidRPr="00181FCD">
        <w:t>respeten</w:t>
      </w:r>
      <w:r w:rsidR="00F373A3" w:rsidRPr="00181FCD">
        <w:t xml:space="preserve"> </w:t>
      </w:r>
      <w:r w:rsidRPr="00181FCD">
        <w:t>los</w:t>
      </w:r>
      <w:r w:rsidR="00F373A3" w:rsidRPr="00181FCD">
        <w:t xml:space="preserve"> </w:t>
      </w:r>
      <w:r w:rsidRPr="00181FCD">
        <w:t>derechos,</w:t>
      </w:r>
      <w:r w:rsidR="00F373A3" w:rsidRPr="00181FCD">
        <w:t xml:space="preserve"> </w:t>
      </w:r>
      <w:r w:rsidRPr="00181FCD">
        <w:t>deseos</w:t>
      </w:r>
      <w:r w:rsidR="00F373A3" w:rsidRPr="00181FCD">
        <w:t xml:space="preserve"> </w:t>
      </w:r>
      <w:r w:rsidRPr="00181FCD">
        <w:t>y</w:t>
      </w:r>
      <w:r w:rsidR="00F373A3" w:rsidRPr="00181FCD">
        <w:t xml:space="preserve"> </w:t>
      </w:r>
      <w:r w:rsidRPr="00181FCD">
        <w:t>preferencias</w:t>
      </w:r>
      <w:r w:rsidR="00F373A3" w:rsidRPr="00181FCD">
        <w:t xml:space="preserve"> </w:t>
      </w:r>
      <w:r w:rsidRPr="00181FCD">
        <w:t>de</w:t>
      </w:r>
      <w:r w:rsidR="00F373A3" w:rsidRPr="00181FCD">
        <w:t xml:space="preserve"> </w:t>
      </w:r>
      <w:r w:rsidRPr="00181FCD">
        <w:t>las</w:t>
      </w:r>
      <w:r w:rsidR="00F373A3" w:rsidRPr="00181FCD">
        <w:t xml:space="preserve"> </w:t>
      </w:r>
      <w:r w:rsidRPr="00181FCD">
        <w:t>personas</w:t>
      </w:r>
      <w:r w:rsidR="00F373A3" w:rsidRPr="00181FCD">
        <w:t xml:space="preserve"> </w:t>
      </w:r>
      <w:r w:rsidRPr="00181FCD">
        <w:t>con</w:t>
      </w:r>
      <w:r w:rsidR="00F373A3" w:rsidRPr="00181FCD">
        <w:t xml:space="preserve"> </w:t>
      </w:r>
      <w:r w:rsidRPr="00181FCD">
        <w:t>discapacidad.</w:t>
      </w:r>
      <w:r w:rsidR="00F373A3" w:rsidRPr="00181FCD">
        <w:t xml:space="preserve"> </w:t>
      </w:r>
      <w:r w:rsidRPr="00181FCD">
        <w:t>Existen</w:t>
      </w:r>
      <w:r w:rsidR="00F373A3" w:rsidRPr="00181FCD">
        <w:t xml:space="preserve"> </w:t>
      </w:r>
      <w:r w:rsidRPr="00181FCD">
        <w:t>disposiciones</w:t>
      </w:r>
      <w:r w:rsidR="00F373A3" w:rsidRPr="00181FCD">
        <w:t xml:space="preserve"> </w:t>
      </w:r>
      <w:r w:rsidRPr="00181FCD">
        <w:t>para</w:t>
      </w:r>
      <w:r w:rsidR="00F373A3" w:rsidRPr="00181FCD">
        <w:t xml:space="preserve"> </w:t>
      </w:r>
      <w:r w:rsidRPr="00181FCD">
        <w:t>impedir</w:t>
      </w:r>
      <w:r w:rsidR="00F373A3" w:rsidRPr="00181FCD">
        <w:t xml:space="preserve"> </w:t>
      </w:r>
      <w:r w:rsidRPr="00181FCD">
        <w:t>que</w:t>
      </w:r>
      <w:r w:rsidR="00F373A3" w:rsidRPr="00181FCD">
        <w:t xml:space="preserve"> </w:t>
      </w:r>
      <w:r w:rsidRPr="00181FCD">
        <w:t>las</w:t>
      </w:r>
      <w:r w:rsidR="00F373A3" w:rsidRPr="00181FCD">
        <w:t xml:space="preserve"> </w:t>
      </w:r>
      <w:r w:rsidRPr="00181FCD">
        <w:t>decisiones</w:t>
      </w:r>
      <w:r w:rsidR="00F373A3" w:rsidRPr="00181FCD">
        <w:t xml:space="preserve"> </w:t>
      </w:r>
      <w:r w:rsidRPr="00181FCD">
        <w:t>se</w:t>
      </w:r>
      <w:r w:rsidR="00F373A3" w:rsidRPr="00181FCD">
        <w:t xml:space="preserve"> </w:t>
      </w:r>
      <w:r w:rsidRPr="00181FCD">
        <w:t>adopten</w:t>
      </w:r>
      <w:r w:rsidR="00F373A3" w:rsidRPr="00181FCD">
        <w:t xml:space="preserve"> </w:t>
      </w:r>
      <w:r w:rsidRPr="00181FCD">
        <w:t>por</w:t>
      </w:r>
      <w:r w:rsidR="00F373A3" w:rsidRPr="00181FCD">
        <w:t xml:space="preserve"> </w:t>
      </w:r>
      <w:r w:rsidRPr="00181FCD">
        <w:t>sustitución.</w:t>
      </w:r>
      <w:r w:rsidR="00F373A3" w:rsidRPr="00181FCD">
        <w:t xml:space="preserve"> </w:t>
      </w:r>
      <w:r w:rsidRPr="00181FCD">
        <w:t>El</w:t>
      </w:r>
      <w:r w:rsidR="00F373A3" w:rsidRPr="00181FCD">
        <w:t xml:space="preserve"> </w:t>
      </w:r>
      <w:r w:rsidRPr="00181FCD">
        <w:t>proyecto</w:t>
      </w:r>
      <w:r w:rsidR="00F373A3" w:rsidRPr="00181FCD">
        <w:t xml:space="preserve"> </w:t>
      </w:r>
      <w:r w:rsidRPr="00181FCD">
        <w:t>de</w:t>
      </w:r>
      <w:r w:rsidR="00F373A3" w:rsidRPr="00181FCD">
        <w:t xml:space="preserve"> </w:t>
      </w:r>
      <w:r w:rsidRPr="00181FCD">
        <w:t>ley</w:t>
      </w:r>
      <w:r w:rsidR="00F373A3" w:rsidRPr="00181FCD">
        <w:t xml:space="preserve"> </w:t>
      </w:r>
      <w:r w:rsidRPr="00181FCD">
        <w:t>también</w:t>
      </w:r>
      <w:r w:rsidR="00F373A3" w:rsidRPr="00181FCD">
        <w:t xml:space="preserve"> </w:t>
      </w:r>
      <w:r w:rsidRPr="00181FCD">
        <w:t>establece</w:t>
      </w:r>
      <w:r w:rsidR="00F373A3" w:rsidRPr="00181FCD">
        <w:t xml:space="preserve"> </w:t>
      </w:r>
      <w:r w:rsidRPr="00181FCD">
        <w:t>que</w:t>
      </w:r>
      <w:r w:rsidR="00F373A3" w:rsidRPr="00181FCD">
        <w:t xml:space="preserve"> </w:t>
      </w:r>
      <w:r w:rsidRPr="00181FCD">
        <w:t>en</w:t>
      </w:r>
      <w:r w:rsidR="00F373A3" w:rsidRPr="00181FCD">
        <w:t xml:space="preserve"> </w:t>
      </w:r>
      <w:r w:rsidRPr="00181FCD">
        <w:t>cada</w:t>
      </w:r>
      <w:r w:rsidR="00F373A3" w:rsidRPr="00181FCD">
        <w:t xml:space="preserve"> </w:t>
      </w:r>
      <w:r w:rsidRPr="00181FCD">
        <w:t>caso</w:t>
      </w:r>
      <w:r w:rsidR="00F373A3" w:rsidRPr="00181FCD">
        <w:t xml:space="preserve"> </w:t>
      </w:r>
      <w:r w:rsidRPr="00181FCD">
        <w:t>la</w:t>
      </w:r>
      <w:r w:rsidR="00F373A3" w:rsidRPr="00181FCD">
        <w:t xml:space="preserve"> </w:t>
      </w:r>
      <w:r w:rsidRPr="00181FCD">
        <w:t>ayuda</w:t>
      </w:r>
      <w:r w:rsidR="00F373A3" w:rsidRPr="00181FCD">
        <w:t xml:space="preserve"> </w:t>
      </w:r>
      <w:r w:rsidRPr="00181FCD">
        <w:t>apuntará</w:t>
      </w:r>
      <w:r w:rsidR="00F373A3" w:rsidRPr="00181FCD">
        <w:t xml:space="preserve"> </w:t>
      </w:r>
      <w:r w:rsidRPr="00181FCD">
        <w:t>a</w:t>
      </w:r>
      <w:r w:rsidR="00F373A3" w:rsidRPr="00181FCD">
        <w:t xml:space="preserve"> </w:t>
      </w:r>
      <w:r w:rsidRPr="00181FCD">
        <w:t>poner</w:t>
      </w:r>
      <w:r w:rsidR="00F373A3" w:rsidRPr="00181FCD">
        <w:t xml:space="preserve"> </w:t>
      </w:r>
      <w:r w:rsidRPr="00181FCD">
        <w:t>de</w:t>
      </w:r>
      <w:r w:rsidR="00F373A3" w:rsidRPr="00181FCD">
        <w:t xml:space="preserve"> </w:t>
      </w:r>
      <w:r w:rsidRPr="00181FCD">
        <w:t>manifiesto</w:t>
      </w:r>
      <w:r w:rsidR="00F373A3" w:rsidRPr="00181FCD">
        <w:t xml:space="preserve"> </w:t>
      </w:r>
      <w:r w:rsidRPr="00181FCD">
        <w:t>la</w:t>
      </w:r>
      <w:r w:rsidR="00F373A3" w:rsidRPr="00181FCD">
        <w:t xml:space="preserve"> </w:t>
      </w:r>
      <w:r w:rsidRPr="00181FCD">
        <w:t>voluntad</w:t>
      </w:r>
      <w:r w:rsidR="00F373A3" w:rsidRPr="00181FCD">
        <w:t xml:space="preserve"> </w:t>
      </w:r>
      <w:r w:rsidRPr="00181FCD">
        <w:t>y</w:t>
      </w:r>
      <w:r w:rsidR="00F373A3" w:rsidRPr="00181FCD">
        <w:t xml:space="preserve"> </w:t>
      </w:r>
      <w:r w:rsidRPr="00181FCD">
        <w:t>las</w:t>
      </w:r>
      <w:r w:rsidR="00F373A3" w:rsidRPr="00181FCD">
        <w:t xml:space="preserve"> </w:t>
      </w:r>
      <w:r w:rsidRPr="00181FCD">
        <w:t>preferencias</w:t>
      </w:r>
      <w:r w:rsidR="00F373A3" w:rsidRPr="00181FCD">
        <w:t xml:space="preserve"> </w:t>
      </w:r>
      <w:r w:rsidRPr="00181FCD">
        <w:t>de</w:t>
      </w:r>
      <w:r w:rsidR="00F373A3" w:rsidRPr="00181FCD">
        <w:t xml:space="preserve"> </w:t>
      </w:r>
      <w:r w:rsidRPr="00181FCD">
        <w:t>la</w:t>
      </w:r>
      <w:r w:rsidR="00F373A3" w:rsidRPr="00181FCD">
        <w:t xml:space="preserve"> </w:t>
      </w:r>
      <w:r w:rsidRPr="00181FCD">
        <w:t>persona</w:t>
      </w:r>
      <w:r w:rsidR="00F373A3" w:rsidRPr="00181FCD">
        <w:t xml:space="preserve"> </w:t>
      </w:r>
      <w:r w:rsidRPr="00181FCD">
        <w:t>que</w:t>
      </w:r>
      <w:r w:rsidR="00F373A3" w:rsidRPr="00181FCD">
        <w:t xml:space="preserve"> </w:t>
      </w:r>
      <w:r w:rsidRPr="00181FCD">
        <w:t>recibe</w:t>
      </w:r>
      <w:r w:rsidR="00F373A3" w:rsidRPr="00181FCD">
        <w:t xml:space="preserve"> </w:t>
      </w:r>
      <w:r w:rsidRPr="00181FCD">
        <w:t>el</w:t>
      </w:r>
      <w:r w:rsidR="00F373A3" w:rsidRPr="00181FCD">
        <w:t xml:space="preserve"> </w:t>
      </w:r>
      <w:r w:rsidRPr="00181FCD">
        <w:t>apoyo</w:t>
      </w:r>
      <w:r w:rsidR="00F373A3" w:rsidRPr="00181FCD">
        <w:t xml:space="preserve"> </w:t>
      </w:r>
      <w:r w:rsidRPr="00181FCD">
        <w:t>o</w:t>
      </w:r>
      <w:r w:rsidR="00F373A3" w:rsidRPr="00181FCD">
        <w:t xml:space="preserve"> </w:t>
      </w:r>
      <w:r w:rsidRPr="00181FCD">
        <w:t>crear</w:t>
      </w:r>
      <w:r w:rsidR="00F373A3" w:rsidRPr="00181FCD">
        <w:t xml:space="preserve"> </w:t>
      </w:r>
      <w:r w:rsidRPr="00181FCD">
        <w:t>condiciones</w:t>
      </w:r>
      <w:r w:rsidR="00F373A3" w:rsidRPr="00181FCD">
        <w:t xml:space="preserve"> </w:t>
      </w:r>
      <w:r w:rsidRPr="00181FCD">
        <w:t>para</w:t>
      </w:r>
      <w:r w:rsidR="00F373A3" w:rsidRPr="00181FCD">
        <w:t xml:space="preserve"> </w:t>
      </w:r>
      <w:r w:rsidRPr="00181FCD">
        <w:t>que</w:t>
      </w:r>
      <w:r w:rsidR="00F373A3" w:rsidRPr="00181FCD">
        <w:t xml:space="preserve"> </w:t>
      </w:r>
      <w:r w:rsidRPr="00181FCD">
        <w:t>dicha</w:t>
      </w:r>
      <w:r w:rsidR="00F373A3" w:rsidRPr="00181FCD">
        <w:t xml:space="preserve"> </w:t>
      </w:r>
      <w:r w:rsidRPr="00181FCD">
        <w:t>voluntad</w:t>
      </w:r>
      <w:r w:rsidR="00F373A3" w:rsidRPr="00181FCD">
        <w:t xml:space="preserve"> </w:t>
      </w:r>
      <w:r w:rsidRPr="00181FCD">
        <w:t>y</w:t>
      </w:r>
      <w:r w:rsidR="00F373A3" w:rsidRPr="00181FCD">
        <w:t xml:space="preserve"> </w:t>
      </w:r>
      <w:r w:rsidRPr="00181FCD">
        <w:t>preferencias</w:t>
      </w:r>
      <w:r w:rsidR="00F373A3" w:rsidRPr="00181FCD">
        <w:t xml:space="preserve"> </w:t>
      </w:r>
      <w:r w:rsidRPr="00181FCD">
        <w:t>se</w:t>
      </w:r>
      <w:r w:rsidR="00F373A3" w:rsidRPr="00181FCD">
        <w:t xml:space="preserve"> </w:t>
      </w:r>
      <w:r w:rsidRPr="00181FCD">
        <w:t>manifiesten</w:t>
      </w:r>
      <w:r w:rsidR="00F373A3" w:rsidRPr="00181FCD">
        <w:t xml:space="preserve"> </w:t>
      </w:r>
      <w:r w:rsidRPr="00181FCD">
        <w:t>o</w:t>
      </w:r>
      <w:r w:rsidR="00F373A3" w:rsidRPr="00181FCD">
        <w:t xml:space="preserve"> </w:t>
      </w:r>
      <w:r w:rsidRPr="00181FCD">
        <w:t>interpreten</w:t>
      </w:r>
      <w:r w:rsidR="00F373A3" w:rsidRPr="00181FCD">
        <w:t xml:space="preserve"> </w:t>
      </w:r>
      <w:r w:rsidRPr="00181FCD">
        <w:t>en</w:t>
      </w:r>
      <w:r w:rsidR="00F373A3" w:rsidRPr="00181FCD">
        <w:t xml:space="preserve"> </w:t>
      </w:r>
      <w:r w:rsidRPr="00181FCD">
        <w:t>la</w:t>
      </w:r>
      <w:r w:rsidR="00F373A3" w:rsidRPr="00181FCD">
        <w:t xml:space="preserve"> </w:t>
      </w:r>
      <w:r w:rsidRPr="00181FCD">
        <w:t>medida</w:t>
      </w:r>
      <w:r w:rsidR="00F373A3" w:rsidRPr="00181FCD">
        <w:t xml:space="preserve"> </w:t>
      </w:r>
      <w:r w:rsidRPr="00181FCD">
        <w:t>más</w:t>
      </w:r>
      <w:r w:rsidR="00F373A3" w:rsidRPr="00181FCD">
        <w:t xml:space="preserve"> </w:t>
      </w:r>
      <w:r w:rsidRPr="00181FCD">
        <w:t>clara</w:t>
      </w:r>
      <w:r w:rsidR="00F373A3" w:rsidRPr="00181FCD">
        <w:t xml:space="preserve"> </w:t>
      </w:r>
      <w:r w:rsidRPr="00181FCD">
        <w:t>posible.</w:t>
      </w:r>
    </w:p>
    <w:p w:rsidR="001937F4" w:rsidRPr="00181FCD" w:rsidRDefault="001937F4" w:rsidP="00347B20">
      <w:pPr>
        <w:pStyle w:val="SingleTxtG"/>
        <w:suppressAutoHyphens/>
      </w:pPr>
      <w:r w:rsidRPr="00181FCD">
        <w:t>82.</w:t>
      </w:r>
      <w:r w:rsidRPr="00181FCD">
        <w:tab/>
        <w:t>Las</w:t>
      </w:r>
      <w:r w:rsidR="00F373A3" w:rsidRPr="00181FCD">
        <w:t xml:space="preserve"> </w:t>
      </w:r>
      <w:r w:rsidRPr="00181FCD">
        <w:t>nuevas</w:t>
      </w:r>
      <w:r w:rsidR="00F373A3" w:rsidRPr="00181FCD">
        <w:t xml:space="preserve"> </w:t>
      </w:r>
      <w:r w:rsidRPr="00181FCD">
        <w:t>herramientas</w:t>
      </w:r>
      <w:r w:rsidR="00F373A3" w:rsidRPr="00181FCD">
        <w:t xml:space="preserve"> </w:t>
      </w:r>
      <w:r w:rsidRPr="00181FCD">
        <w:t>para</w:t>
      </w:r>
      <w:r w:rsidR="00F373A3" w:rsidRPr="00181FCD">
        <w:t xml:space="preserve"> </w:t>
      </w:r>
      <w:r w:rsidRPr="00181FCD">
        <w:t>el</w:t>
      </w:r>
      <w:r w:rsidR="00F373A3" w:rsidRPr="00181FCD">
        <w:t xml:space="preserve"> </w:t>
      </w:r>
      <w:r w:rsidRPr="00181FCD">
        <w:t>ejercicio</w:t>
      </w:r>
      <w:r w:rsidR="00F373A3" w:rsidRPr="00181FCD">
        <w:t xml:space="preserve"> </w:t>
      </w:r>
      <w:r w:rsidRPr="00181FCD">
        <w:t>personal</w:t>
      </w:r>
      <w:r w:rsidR="00F373A3" w:rsidRPr="00181FCD">
        <w:t xml:space="preserve"> </w:t>
      </w:r>
      <w:r w:rsidRPr="00181FCD">
        <w:t>de</w:t>
      </w:r>
      <w:r w:rsidR="00F373A3" w:rsidRPr="00181FCD">
        <w:t xml:space="preserve"> </w:t>
      </w:r>
      <w:r w:rsidRPr="00181FCD">
        <w:t>los</w:t>
      </w:r>
      <w:r w:rsidR="00F373A3" w:rsidRPr="00181FCD">
        <w:t xml:space="preserve"> </w:t>
      </w:r>
      <w:r w:rsidRPr="00181FCD">
        <w:t>derechos</w:t>
      </w:r>
      <w:r w:rsidR="00F373A3" w:rsidRPr="00181FCD">
        <w:t xml:space="preserve"> </w:t>
      </w:r>
      <w:r w:rsidRPr="00181FCD">
        <w:t>se</w:t>
      </w:r>
      <w:r w:rsidR="00F373A3" w:rsidRPr="00181FCD">
        <w:t xml:space="preserve"> </w:t>
      </w:r>
      <w:r w:rsidRPr="00181FCD">
        <w:t>basan</w:t>
      </w:r>
      <w:r w:rsidR="00F373A3" w:rsidRPr="00181FCD">
        <w:t xml:space="preserve"> </w:t>
      </w:r>
      <w:r w:rsidRPr="00181FCD">
        <w:t>en</w:t>
      </w:r>
      <w:r w:rsidR="00F373A3" w:rsidRPr="00181FCD">
        <w:t xml:space="preserve"> </w:t>
      </w:r>
      <w:r w:rsidRPr="00181FCD">
        <w:t>el</w:t>
      </w:r>
      <w:r w:rsidR="00F373A3" w:rsidRPr="00181FCD">
        <w:t xml:space="preserve"> </w:t>
      </w:r>
      <w:r w:rsidRPr="00181FCD">
        <w:t>concepto</w:t>
      </w:r>
      <w:r w:rsidR="00F373A3" w:rsidRPr="00181FCD">
        <w:t xml:space="preserve"> </w:t>
      </w:r>
      <w:r w:rsidRPr="00181FCD">
        <w:t>de</w:t>
      </w:r>
      <w:r w:rsidR="00F373A3" w:rsidRPr="00181FCD">
        <w:t xml:space="preserve"> </w:t>
      </w:r>
      <w:r w:rsidRPr="00181FCD">
        <w:t>una</w:t>
      </w:r>
      <w:r w:rsidR="00F373A3" w:rsidRPr="00181FCD">
        <w:t xml:space="preserve"> </w:t>
      </w:r>
      <w:r w:rsidRPr="00181FCD">
        <w:t>relación</w:t>
      </w:r>
      <w:r w:rsidR="00F373A3" w:rsidRPr="00181FCD">
        <w:t xml:space="preserve"> </w:t>
      </w:r>
      <w:r w:rsidRPr="00181FCD">
        <w:t>de</w:t>
      </w:r>
      <w:r w:rsidR="00F373A3" w:rsidRPr="00181FCD">
        <w:t xml:space="preserve"> </w:t>
      </w:r>
      <w:r w:rsidRPr="00181FCD">
        <w:t>confianza,</w:t>
      </w:r>
      <w:r w:rsidR="00F373A3" w:rsidRPr="00181FCD">
        <w:t xml:space="preserve"> </w:t>
      </w:r>
      <w:r w:rsidRPr="00181FCD">
        <w:t>como</w:t>
      </w:r>
      <w:r w:rsidR="00F373A3" w:rsidRPr="00181FCD">
        <w:t xml:space="preserve"> </w:t>
      </w:r>
      <w:r w:rsidRPr="00181FCD">
        <w:t>medio</w:t>
      </w:r>
      <w:r w:rsidR="00F373A3" w:rsidRPr="00181FCD">
        <w:t xml:space="preserve"> </w:t>
      </w:r>
      <w:r w:rsidRPr="00181FCD">
        <w:t>específico</w:t>
      </w:r>
      <w:r w:rsidR="00F373A3" w:rsidRPr="00181FCD">
        <w:t xml:space="preserve"> </w:t>
      </w:r>
      <w:r w:rsidRPr="00181FCD">
        <w:t>para</w:t>
      </w:r>
      <w:r w:rsidR="00F373A3" w:rsidRPr="00181FCD">
        <w:t xml:space="preserve"> </w:t>
      </w:r>
      <w:r w:rsidRPr="00181FCD">
        <w:t>expresar</w:t>
      </w:r>
      <w:r w:rsidR="00F373A3" w:rsidRPr="00181FCD">
        <w:t xml:space="preserve"> </w:t>
      </w:r>
      <w:r w:rsidRPr="00181FCD">
        <w:t>la</w:t>
      </w:r>
      <w:r w:rsidR="00F373A3" w:rsidRPr="00181FCD">
        <w:t xml:space="preserve"> </w:t>
      </w:r>
      <w:r w:rsidRPr="00181FCD">
        <w:t>voluntad</w:t>
      </w:r>
      <w:r w:rsidR="00F373A3" w:rsidRPr="00181FCD">
        <w:t xml:space="preserve"> </w:t>
      </w:r>
      <w:r w:rsidRPr="00181FCD">
        <w:t>de</w:t>
      </w:r>
      <w:r w:rsidR="00F373A3" w:rsidRPr="00181FCD">
        <w:t xml:space="preserve"> </w:t>
      </w:r>
      <w:r w:rsidRPr="00181FCD">
        <w:t>la</w:t>
      </w:r>
      <w:r w:rsidR="00F373A3" w:rsidRPr="00181FCD">
        <w:t xml:space="preserve"> </w:t>
      </w:r>
      <w:r w:rsidRPr="00181FCD">
        <w:t>persona</w:t>
      </w:r>
      <w:r w:rsidR="00F373A3" w:rsidRPr="00181FCD">
        <w:t xml:space="preserve"> </w:t>
      </w:r>
      <w:r w:rsidRPr="00181FCD">
        <w:t>con</w:t>
      </w:r>
      <w:r w:rsidR="00F373A3" w:rsidRPr="00181FCD">
        <w:t xml:space="preserve"> </w:t>
      </w:r>
      <w:r w:rsidRPr="00181FCD">
        <w:t>discapacidad.</w:t>
      </w:r>
      <w:r w:rsidR="00F373A3" w:rsidRPr="00181FCD">
        <w:t xml:space="preserve"> </w:t>
      </w:r>
      <w:r w:rsidRPr="00181FCD">
        <w:t>La</w:t>
      </w:r>
      <w:r w:rsidR="00F373A3" w:rsidRPr="00181FCD">
        <w:t xml:space="preserve"> </w:t>
      </w:r>
      <w:r w:rsidRPr="00181FCD">
        <w:t>relación</w:t>
      </w:r>
      <w:r w:rsidR="00F373A3" w:rsidRPr="00181FCD">
        <w:t xml:space="preserve"> </w:t>
      </w:r>
      <w:r w:rsidRPr="00181FCD">
        <w:t>de</w:t>
      </w:r>
      <w:r w:rsidR="00F373A3" w:rsidRPr="00181FCD">
        <w:t xml:space="preserve"> </w:t>
      </w:r>
      <w:r w:rsidRPr="00181FCD">
        <w:t>confianza</w:t>
      </w:r>
      <w:r w:rsidR="00F373A3" w:rsidRPr="00181FCD">
        <w:t xml:space="preserve"> </w:t>
      </w:r>
      <w:r w:rsidRPr="00181FCD">
        <w:t>es</w:t>
      </w:r>
      <w:r w:rsidR="00F373A3" w:rsidRPr="00181FCD">
        <w:t xml:space="preserve"> </w:t>
      </w:r>
      <w:r w:rsidRPr="00181FCD">
        <w:t>una</w:t>
      </w:r>
      <w:r w:rsidR="00F373A3" w:rsidRPr="00181FCD">
        <w:t xml:space="preserve"> </w:t>
      </w:r>
      <w:r w:rsidRPr="00181FCD">
        <w:t>relación</w:t>
      </w:r>
      <w:r w:rsidR="00F373A3" w:rsidRPr="00181FCD">
        <w:t xml:space="preserve"> </w:t>
      </w:r>
      <w:r w:rsidRPr="00181FCD">
        <w:t>entre</w:t>
      </w:r>
      <w:r w:rsidR="00F373A3" w:rsidRPr="00181FCD">
        <w:t xml:space="preserve"> </w:t>
      </w:r>
      <w:r w:rsidRPr="00181FCD">
        <w:t>dos</w:t>
      </w:r>
      <w:r w:rsidR="00F373A3" w:rsidRPr="00181FCD">
        <w:t xml:space="preserve"> </w:t>
      </w:r>
      <w:r w:rsidRPr="00181FCD">
        <w:t>o</w:t>
      </w:r>
      <w:r w:rsidR="00F373A3" w:rsidRPr="00181FCD">
        <w:t xml:space="preserve"> </w:t>
      </w:r>
      <w:r w:rsidRPr="00181FCD">
        <w:t>más</w:t>
      </w:r>
      <w:r w:rsidR="00F373A3" w:rsidRPr="00181FCD">
        <w:t xml:space="preserve"> </w:t>
      </w:r>
      <w:r w:rsidRPr="00181FCD">
        <w:t>personas,</w:t>
      </w:r>
      <w:r w:rsidR="00F373A3" w:rsidRPr="00181FCD">
        <w:t xml:space="preserve"> </w:t>
      </w:r>
      <w:r w:rsidRPr="00181FCD">
        <w:t>fundada</w:t>
      </w:r>
      <w:r w:rsidR="00F373A3" w:rsidRPr="00181FCD">
        <w:t xml:space="preserve"> </w:t>
      </w:r>
      <w:r w:rsidRPr="00181FCD">
        <w:t>en</w:t>
      </w:r>
      <w:r w:rsidR="00F373A3" w:rsidRPr="00181FCD">
        <w:t xml:space="preserve"> </w:t>
      </w:r>
      <w:r w:rsidRPr="00181FCD">
        <w:t>la</w:t>
      </w:r>
      <w:r w:rsidR="00F373A3" w:rsidRPr="00181FCD">
        <w:t xml:space="preserve"> </w:t>
      </w:r>
      <w:r w:rsidRPr="00181FCD">
        <w:t>confianza</w:t>
      </w:r>
      <w:r w:rsidR="00F373A3" w:rsidRPr="00181FCD">
        <w:t xml:space="preserve"> </w:t>
      </w:r>
      <w:r w:rsidRPr="00181FCD">
        <w:t>mutua</w:t>
      </w:r>
      <w:r w:rsidR="00F373A3" w:rsidRPr="00181FCD">
        <w:t xml:space="preserve"> </w:t>
      </w:r>
      <w:r w:rsidRPr="00181FCD">
        <w:t>y</w:t>
      </w:r>
      <w:r w:rsidR="00F373A3" w:rsidRPr="00181FCD">
        <w:t xml:space="preserve"> </w:t>
      </w:r>
      <w:r w:rsidRPr="00181FCD">
        <w:t>la</w:t>
      </w:r>
      <w:r w:rsidR="00F373A3" w:rsidRPr="00181FCD">
        <w:t xml:space="preserve"> </w:t>
      </w:r>
      <w:r w:rsidRPr="00181FCD">
        <w:t>comprensión.</w:t>
      </w:r>
      <w:r w:rsidR="00F373A3" w:rsidRPr="00181FCD">
        <w:t xml:space="preserve"> </w:t>
      </w:r>
      <w:r w:rsidRPr="00181FCD">
        <w:t>La</w:t>
      </w:r>
      <w:r w:rsidR="00F373A3" w:rsidRPr="00181FCD">
        <w:t xml:space="preserve"> </w:t>
      </w:r>
      <w:r w:rsidRPr="00181FCD">
        <w:t>ley</w:t>
      </w:r>
      <w:r w:rsidR="00F373A3" w:rsidRPr="00181FCD">
        <w:t xml:space="preserve"> </w:t>
      </w:r>
      <w:r w:rsidRPr="00181FCD">
        <w:t>determina</w:t>
      </w:r>
      <w:r w:rsidR="00F373A3" w:rsidRPr="00181FCD">
        <w:t xml:space="preserve"> </w:t>
      </w:r>
      <w:r w:rsidRPr="00181FCD">
        <w:t>los</w:t>
      </w:r>
      <w:r w:rsidR="00F373A3" w:rsidRPr="00181FCD">
        <w:t xml:space="preserve"> </w:t>
      </w:r>
      <w:r w:rsidRPr="00181FCD">
        <w:t>criterios</w:t>
      </w:r>
      <w:r w:rsidR="00F373A3" w:rsidRPr="00181FCD">
        <w:t xml:space="preserve"> </w:t>
      </w:r>
      <w:r w:rsidRPr="00181FCD">
        <w:t>que</w:t>
      </w:r>
      <w:r w:rsidR="00F373A3" w:rsidRPr="00181FCD">
        <w:t xml:space="preserve"> </w:t>
      </w:r>
      <w:r w:rsidRPr="00181FCD">
        <w:t>caracterizan</w:t>
      </w:r>
      <w:r w:rsidR="00F373A3" w:rsidRPr="00181FCD">
        <w:t xml:space="preserve"> </w:t>
      </w:r>
      <w:r w:rsidRPr="00181FCD">
        <w:t>una</w:t>
      </w:r>
      <w:r w:rsidR="00F373A3" w:rsidRPr="00181FCD">
        <w:t xml:space="preserve"> </w:t>
      </w:r>
      <w:r w:rsidRPr="00181FCD">
        <w:t>relación</w:t>
      </w:r>
      <w:r w:rsidR="00F373A3" w:rsidRPr="00181FCD">
        <w:t xml:space="preserve"> </w:t>
      </w:r>
      <w:r w:rsidRPr="00181FCD">
        <w:t>de</w:t>
      </w:r>
      <w:r w:rsidR="00F373A3" w:rsidRPr="00181FCD">
        <w:t xml:space="preserve"> </w:t>
      </w:r>
      <w:r w:rsidRPr="00181FCD">
        <w:t>confianza</w:t>
      </w:r>
      <w:r w:rsidR="00F373A3" w:rsidRPr="00181FCD">
        <w:t xml:space="preserve"> </w:t>
      </w:r>
      <w:r w:rsidRPr="00181FCD">
        <w:t>y</w:t>
      </w:r>
      <w:r w:rsidR="00F373A3" w:rsidRPr="00181FCD">
        <w:t xml:space="preserve"> </w:t>
      </w:r>
      <w:r w:rsidRPr="00181FCD">
        <w:t>que</w:t>
      </w:r>
      <w:r w:rsidR="00F373A3" w:rsidRPr="00181FCD">
        <w:t xml:space="preserve"> </w:t>
      </w:r>
      <w:r w:rsidRPr="00181FCD">
        <w:t>constituyen</w:t>
      </w:r>
      <w:r w:rsidR="00F373A3" w:rsidRPr="00181FCD">
        <w:t xml:space="preserve"> </w:t>
      </w:r>
      <w:r w:rsidRPr="00181FCD">
        <w:t>su</w:t>
      </w:r>
      <w:r w:rsidR="00F373A3" w:rsidRPr="00181FCD">
        <w:t xml:space="preserve"> </w:t>
      </w:r>
      <w:r w:rsidRPr="00181FCD">
        <w:t>contenido</w:t>
      </w:r>
      <w:r w:rsidR="00F373A3" w:rsidRPr="00181FCD">
        <w:t xml:space="preserve"> </w:t>
      </w:r>
      <w:r w:rsidRPr="00181FCD">
        <w:t>mínimo.</w:t>
      </w:r>
    </w:p>
    <w:p w:rsidR="001937F4" w:rsidRPr="00181FCD" w:rsidRDefault="001937F4" w:rsidP="00347B20">
      <w:pPr>
        <w:pStyle w:val="SingleTxtG"/>
        <w:suppressAutoHyphens/>
      </w:pPr>
      <w:r w:rsidRPr="00181FCD">
        <w:t>83.</w:t>
      </w:r>
      <w:r w:rsidRPr="00181FCD">
        <w:tab/>
        <w:t>Un</w:t>
      </w:r>
      <w:r w:rsidR="00F373A3" w:rsidRPr="00181FCD">
        <w:t xml:space="preserve"> </w:t>
      </w:r>
      <w:r w:rsidRPr="00181FCD">
        <w:t>elemento</w:t>
      </w:r>
      <w:r w:rsidR="00F373A3" w:rsidRPr="00181FCD">
        <w:t xml:space="preserve"> </w:t>
      </w:r>
      <w:r w:rsidRPr="00181FCD">
        <w:t>muy</w:t>
      </w:r>
      <w:r w:rsidR="00F373A3" w:rsidRPr="00181FCD">
        <w:t xml:space="preserve"> </w:t>
      </w:r>
      <w:r w:rsidRPr="00181FCD">
        <w:t>importante</w:t>
      </w:r>
      <w:r w:rsidR="00F373A3" w:rsidRPr="00181FCD">
        <w:t xml:space="preserve"> </w:t>
      </w:r>
      <w:r w:rsidRPr="00181FCD">
        <w:t>en</w:t>
      </w:r>
      <w:r w:rsidR="00F373A3" w:rsidRPr="00181FCD">
        <w:t xml:space="preserve"> </w:t>
      </w:r>
      <w:r w:rsidRPr="00181FCD">
        <w:t>el</w:t>
      </w:r>
      <w:r w:rsidR="00F373A3" w:rsidRPr="00181FCD">
        <w:t xml:space="preserve"> </w:t>
      </w:r>
      <w:r w:rsidRPr="00181FCD">
        <w:t>proyecto</w:t>
      </w:r>
      <w:r w:rsidR="00F373A3" w:rsidRPr="00181FCD">
        <w:t xml:space="preserve"> </w:t>
      </w:r>
      <w:r w:rsidRPr="00181FCD">
        <w:t>de</w:t>
      </w:r>
      <w:r w:rsidR="00F373A3" w:rsidRPr="00181FCD">
        <w:t xml:space="preserve"> </w:t>
      </w:r>
      <w:r w:rsidRPr="00181FCD">
        <w:t>ley</w:t>
      </w:r>
      <w:r w:rsidR="00F373A3" w:rsidRPr="00181FCD">
        <w:t xml:space="preserve"> </w:t>
      </w:r>
      <w:r w:rsidRPr="00181FCD">
        <w:t>es</w:t>
      </w:r>
      <w:r w:rsidR="00F373A3" w:rsidRPr="00181FCD">
        <w:t xml:space="preserve"> </w:t>
      </w:r>
      <w:r w:rsidRPr="00181FCD">
        <w:t>la</w:t>
      </w:r>
      <w:r w:rsidR="00F373A3" w:rsidRPr="00181FCD">
        <w:t xml:space="preserve"> </w:t>
      </w:r>
      <w:r w:rsidRPr="00181FCD">
        <w:t>regla</w:t>
      </w:r>
      <w:r w:rsidR="00F373A3" w:rsidRPr="00181FCD">
        <w:t xml:space="preserve"> </w:t>
      </w:r>
      <w:r w:rsidRPr="00181FCD">
        <w:t>de</w:t>
      </w:r>
      <w:r w:rsidR="00F373A3" w:rsidRPr="00181FCD">
        <w:t xml:space="preserve"> </w:t>
      </w:r>
      <w:r w:rsidRPr="00181FCD">
        <w:t>que</w:t>
      </w:r>
      <w:r w:rsidR="00F373A3" w:rsidRPr="00181FCD">
        <w:t xml:space="preserve"> </w:t>
      </w:r>
      <w:r w:rsidRPr="00181FCD">
        <w:t>se</w:t>
      </w:r>
      <w:r w:rsidR="00F373A3" w:rsidRPr="00181FCD">
        <w:t xml:space="preserve"> </w:t>
      </w:r>
      <w:r w:rsidRPr="00181FCD">
        <w:t>excluyen</w:t>
      </w:r>
      <w:r w:rsidR="00F373A3" w:rsidRPr="00181FCD">
        <w:t xml:space="preserve"> </w:t>
      </w:r>
      <w:r w:rsidRPr="00181FCD">
        <w:t>las</w:t>
      </w:r>
      <w:r w:rsidR="00F373A3" w:rsidRPr="00181FCD">
        <w:t xml:space="preserve"> </w:t>
      </w:r>
      <w:r w:rsidRPr="00181FCD">
        <w:t>formas</w:t>
      </w:r>
      <w:r w:rsidR="00F373A3" w:rsidRPr="00181FCD">
        <w:t xml:space="preserve"> </w:t>
      </w:r>
      <w:r w:rsidRPr="00181FCD">
        <w:t>de</w:t>
      </w:r>
      <w:r w:rsidR="00F373A3" w:rsidRPr="00181FCD">
        <w:t xml:space="preserve"> </w:t>
      </w:r>
      <w:r w:rsidRPr="00181FCD">
        <w:t>apoyo</w:t>
      </w:r>
      <w:r w:rsidR="00F373A3" w:rsidRPr="00181FCD">
        <w:t xml:space="preserve"> </w:t>
      </w:r>
      <w:r w:rsidRPr="00181FCD">
        <w:t>en</w:t>
      </w:r>
      <w:r w:rsidR="00F373A3" w:rsidRPr="00181FCD">
        <w:t xml:space="preserve"> </w:t>
      </w:r>
      <w:r w:rsidRPr="00181FCD">
        <w:t>lo</w:t>
      </w:r>
      <w:r w:rsidR="00F373A3" w:rsidRPr="00181FCD">
        <w:t xml:space="preserve"> </w:t>
      </w:r>
      <w:r w:rsidRPr="00181FCD">
        <w:t>que</w:t>
      </w:r>
      <w:r w:rsidR="00F373A3" w:rsidRPr="00181FCD">
        <w:t xml:space="preserve"> </w:t>
      </w:r>
      <w:r w:rsidRPr="00181FCD">
        <w:t>se</w:t>
      </w:r>
      <w:r w:rsidR="00F373A3" w:rsidRPr="00181FCD">
        <w:t xml:space="preserve"> </w:t>
      </w:r>
      <w:r w:rsidRPr="00181FCD">
        <w:t>refiere</w:t>
      </w:r>
      <w:r w:rsidR="00F373A3" w:rsidRPr="00181FCD">
        <w:t xml:space="preserve"> </w:t>
      </w:r>
      <w:r w:rsidRPr="00181FCD">
        <w:t>a</w:t>
      </w:r>
      <w:r w:rsidR="00F373A3" w:rsidRPr="00181FCD">
        <w:t xml:space="preserve"> </w:t>
      </w:r>
      <w:r w:rsidRPr="00181FCD">
        <w:t>los</w:t>
      </w:r>
      <w:r w:rsidR="00F373A3" w:rsidRPr="00181FCD">
        <w:t xml:space="preserve"> </w:t>
      </w:r>
      <w:r w:rsidRPr="00181FCD">
        <w:t>derechos</w:t>
      </w:r>
      <w:r w:rsidR="00F373A3" w:rsidRPr="00181FCD">
        <w:t xml:space="preserve"> </w:t>
      </w:r>
      <w:r w:rsidRPr="00181FCD">
        <w:t>personales,</w:t>
      </w:r>
      <w:r w:rsidR="00F373A3" w:rsidRPr="00181FCD">
        <w:t xml:space="preserve"> </w:t>
      </w:r>
      <w:r w:rsidRPr="00181FCD">
        <w:t>y</w:t>
      </w:r>
      <w:r w:rsidR="00F373A3" w:rsidRPr="00181FCD">
        <w:t xml:space="preserve"> </w:t>
      </w:r>
      <w:r w:rsidRPr="00181FCD">
        <w:t>que</w:t>
      </w:r>
      <w:r w:rsidR="00F373A3" w:rsidRPr="00181FCD">
        <w:t xml:space="preserve"> </w:t>
      </w:r>
      <w:r w:rsidRPr="00181FCD">
        <w:t>tales</w:t>
      </w:r>
      <w:r w:rsidR="00F373A3" w:rsidRPr="00181FCD">
        <w:t xml:space="preserve"> </w:t>
      </w:r>
      <w:r w:rsidRPr="00181FCD">
        <w:t>derechos</w:t>
      </w:r>
      <w:r w:rsidR="00F373A3" w:rsidRPr="00181FCD">
        <w:t xml:space="preserve"> </w:t>
      </w:r>
      <w:r w:rsidRPr="00181FCD">
        <w:t>se</w:t>
      </w:r>
      <w:r w:rsidR="00F373A3" w:rsidRPr="00181FCD">
        <w:t xml:space="preserve"> </w:t>
      </w:r>
      <w:r w:rsidRPr="00181FCD">
        <w:t>ejercen</w:t>
      </w:r>
      <w:r w:rsidR="00F373A3" w:rsidRPr="00181FCD">
        <w:t xml:space="preserve"> </w:t>
      </w:r>
      <w:r w:rsidRPr="00181FCD">
        <w:t>de</w:t>
      </w:r>
      <w:r w:rsidR="00F373A3" w:rsidRPr="00181FCD">
        <w:t xml:space="preserve"> </w:t>
      </w:r>
      <w:r w:rsidRPr="00181FCD">
        <w:t>forma</w:t>
      </w:r>
      <w:r w:rsidR="00F373A3" w:rsidRPr="00181FCD">
        <w:t xml:space="preserve"> </w:t>
      </w:r>
      <w:r w:rsidRPr="00181FCD">
        <w:t>independiente,</w:t>
      </w:r>
      <w:r w:rsidR="00F373A3" w:rsidRPr="00181FCD">
        <w:t xml:space="preserve"> </w:t>
      </w:r>
      <w:r w:rsidRPr="00181FCD">
        <w:t>después</w:t>
      </w:r>
      <w:r w:rsidR="00F373A3" w:rsidRPr="00181FCD">
        <w:t xml:space="preserve"> </w:t>
      </w:r>
      <w:r w:rsidRPr="00181FCD">
        <w:t>de</w:t>
      </w:r>
      <w:r w:rsidR="00F373A3" w:rsidRPr="00181FCD">
        <w:t xml:space="preserve"> </w:t>
      </w:r>
      <w:r w:rsidRPr="00181FCD">
        <w:t>un</w:t>
      </w:r>
      <w:r w:rsidR="00F373A3" w:rsidRPr="00181FCD">
        <w:t xml:space="preserve"> </w:t>
      </w:r>
      <w:r w:rsidRPr="00181FCD">
        <w:t>asesoramiento</w:t>
      </w:r>
      <w:r w:rsidR="00F373A3" w:rsidRPr="00181FCD">
        <w:t xml:space="preserve"> </w:t>
      </w:r>
      <w:r w:rsidRPr="00181FCD">
        <w:t>adecuado.</w:t>
      </w:r>
      <w:r w:rsidR="00F373A3" w:rsidRPr="00181FCD">
        <w:t xml:space="preserve"> </w:t>
      </w:r>
      <w:r w:rsidRPr="00181FCD">
        <w:t>Esos</w:t>
      </w:r>
      <w:r w:rsidR="00F373A3" w:rsidRPr="00181FCD">
        <w:t xml:space="preserve"> </w:t>
      </w:r>
      <w:r w:rsidRPr="00181FCD">
        <w:t>derechos</w:t>
      </w:r>
      <w:r w:rsidR="00F373A3" w:rsidRPr="00181FCD">
        <w:t xml:space="preserve"> </w:t>
      </w:r>
      <w:r w:rsidRPr="00181FCD">
        <w:t>incluyen</w:t>
      </w:r>
      <w:r w:rsidR="00F373A3" w:rsidRPr="00181FCD">
        <w:t xml:space="preserve"> </w:t>
      </w:r>
      <w:r w:rsidRPr="00181FCD">
        <w:t>contraer</w:t>
      </w:r>
      <w:r w:rsidR="00F373A3" w:rsidRPr="00181FCD">
        <w:t xml:space="preserve"> </w:t>
      </w:r>
      <w:r w:rsidRPr="00181FCD">
        <w:t>matrimonio,</w:t>
      </w:r>
      <w:r w:rsidR="00F373A3" w:rsidRPr="00181FCD">
        <w:t xml:space="preserve"> </w:t>
      </w:r>
      <w:r w:rsidRPr="00181FCD">
        <w:t>disolver</w:t>
      </w:r>
      <w:r w:rsidR="00F373A3" w:rsidRPr="00181FCD">
        <w:t xml:space="preserve"> </w:t>
      </w:r>
      <w:r w:rsidRPr="00181FCD">
        <w:t>el</w:t>
      </w:r>
      <w:r w:rsidR="00F373A3" w:rsidRPr="00181FCD">
        <w:t xml:space="preserve"> </w:t>
      </w:r>
      <w:r w:rsidRPr="00181FCD">
        <w:t>matrimonio,</w:t>
      </w:r>
      <w:r w:rsidR="00F373A3" w:rsidRPr="00181FCD">
        <w:t xml:space="preserve"> </w:t>
      </w:r>
      <w:r w:rsidRPr="00181FCD">
        <w:t>escribir</w:t>
      </w:r>
      <w:r w:rsidR="00F373A3" w:rsidRPr="00181FCD">
        <w:t xml:space="preserve"> </w:t>
      </w:r>
      <w:r w:rsidRPr="00181FCD">
        <w:t>un</w:t>
      </w:r>
      <w:r w:rsidR="00F373A3" w:rsidRPr="00181FCD">
        <w:t xml:space="preserve"> </w:t>
      </w:r>
      <w:r w:rsidRPr="00181FCD">
        <w:t>testamento,</w:t>
      </w:r>
      <w:r w:rsidR="00F373A3" w:rsidRPr="00181FCD">
        <w:t xml:space="preserve"> </w:t>
      </w:r>
      <w:r w:rsidRPr="00181FCD">
        <w:t>afiliarse</w:t>
      </w:r>
      <w:r w:rsidR="00F373A3" w:rsidRPr="00181FCD">
        <w:t xml:space="preserve"> </w:t>
      </w:r>
      <w:r w:rsidRPr="00181FCD">
        <w:t>a</w:t>
      </w:r>
      <w:r w:rsidR="00F373A3" w:rsidRPr="00181FCD">
        <w:t xml:space="preserve"> </w:t>
      </w:r>
      <w:r w:rsidRPr="00181FCD">
        <w:t>una</w:t>
      </w:r>
      <w:r w:rsidR="00F373A3" w:rsidRPr="00181FCD">
        <w:t xml:space="preserve"> </w:t>
      </w:r>
      <w:r w:rsidRPr="00181FCD">
        <w:t>asociación,</w:t>
      </w:r>
      <w:r w:rsidR="00F373A3" w:rsidRPr="00181FCD">
        <w:t xml:space="preserve"> </w:t>
      </w:r>
      <w:r w:rsidRPr="00181FCD">
        <w:t>así</w:t>
      </w:r>
      <w:r w:rsidR="00F373A3" w:rsidRPr="00181FCD">
        <w:t xml:space="preserve"> </w:t>
      </w:r>
      <w:r w:rsidRPr="00181FCD">
        <w:t>como</w:t>
      </w:r>
      <w:r w:rsidR="00F373A3" w:rsidRPr="00181FCD">
        <w:t xml:space="preserve"> </w:t>
      </w:r>
      <w:r w:rsidRPr="00181FCD">
        <w:t>gozar</w:t>
      </w:r>
      <w:r w:rsidR="00F373A3" w:rsidRPr="00181FCD">
        <w:t xml:space="preserve"> </w:t>
      </w:r>
      <w:r w:rsidRPr="00181FCD">
        <w:t>de</w:t>
      </w:r>
      <w:r w:rsidR="00F373A3" w:rsidRPr="00181FCD">
        <w:t xml:space="preserve"> </w:t>
      </w:r>
      <w:r w:rsidRPr="00181FCD">
        <w:t>los</w:t>
      </w:r>
      <w:r w:rsidR="00F373A3" w:rsidRPr="00181FCD">
        <w:t xml:space="preserve"> </w:t>
      </w:r>
      <w:r w:rsidRPr="00181FCD">
        <w:t>derechos</w:t>
      </w:r>
      <w:r w:rsidR="00F373A3" w:rsidRPr="00181FCD">
        <w:t xml:space="preserve"> </w:t>
      </w:r>
      <w:r w:rsidRPr="00181FCD">
        <w:t>reproductivos.</w:t>
      </w:r>
    </w:p>
    <w:p w:rsidR="001937F4" w:rsidRPr="00181FCD" w:rsidRDefault="001937F4" w:rsidP="00347B20">
      <w:pPr>
        <w:pStyle w:val="SingleTxtG"/>
        <w:suppressAutoHyphens/>
      </w:pPr>
      <w:r w:rsidRPr="00181FCD">
        <w:t>84.</w:t>
      </w:r>
      <w:r w:rsidRPr="00181FCD">
        <w:tab/>
        <w:t>Parte</w:t>
      </w:r>
      <w:r w:rsidR="00F373A3" w:rsidRPr="00181FCD">
        <w:t xml:space="preserve"> </w:t>
      </w:r>
      <w:r w:rsidRPr="00181FCD">
        <w:t>de</w:t>
      </w:r>
      <w:r w:rsidR="00F373A3" w:rsidRPr="00181FCD">
        <w:t xml:space="preserve"> </w:t>
      </w:r>
      <w:r w:rsidRPr="00181FCD">
        <w:t>la</w:t>
      </w:r>
      <w:r w:rsidR="00F373A3" w:rsidRPr="00181FCD">
        <w:t xml:space="preserve"> </w:t>
      </w:r>
      <w:r w:rsidRPr="00181FCD">
        <w:t>reglamentación</w:t>
      </w:r>
      <w:r w:rsidR="00F373A3" w:rsidRPr="00181FCD">
        <w:t xml:space="preserve"> </w:t>
      </w:r>
      <w:r w:rsidRPr="00181FCD">
        <w:t>de</w:t>
      </w:r>
      <w:r w:rsidR="00F373A3" w:rsidRPr="00181FCD">
        <w:t xml:space="preserve"> </w:t>
      </w:r>
      <w:r w:rsidRPr="00181FCD">
        <w:t>la</w:t>
      </w:r>
      <w:r w:rsidR="00F373A3" w:rsidRPr="00181FCD">
        <w:t xml:space="preserve"> </w:t>
      </w:r>
      <w:r w:rsidRPr="00181FCD">
        <w:t>medida</w:t>
      </w:r>
      <w:r w:rsidR="00F373A3" w:rsidRPr="00181FCD">
        <w:t xml:space="preserve"> </w:t>
      </w:r>
      <w:r w:rsidRPr="00181FCD">
        <w:t>de</w:t>
      </w:r>
      <w:r w:rsidR="00F373A3" w:rsidRPr="00181FCD">
        <w:t xml:space="preserve"> </w:t>
      </w:r>
      <w:r w:rsidRPr="00181FCD">
        <w:t>apoyo</w:t>
      </w:r>
      <w:r w:rsidR="00F373A3" w:rsidRPr="00181FCD">
        <w:t xml:space="preserve"> </w:t>
      </w:r>
      <w:r w:rsidRPr="00181FCD">
        <w:t>apunta</w:t>
      </w:r>
      <w:r w:rsidR="00F373A3" w:rsidRPr="00181FCD">
        <w:t xml:space="preserve"> </w:t>
      </w:r>
      <w:r w:rsidRPr="00181FCD">
        <w:t>a</w:t>
      </w:r>
      <w:r w:rsidR="00F373A3" w:rsidRPr="00181FCD">
        <w:t xml:space="preserve"> </w:t>
      </w:r>
      <w:r w:rsidRPr="00181FCD">
        <w:t>garantizar</w:t>
      </w:r>
      <w:r w:rsidR="00F373A3" w:rsidRPr="00181FCD">
        <w:t xml:space="preserve"> </w:t>
      </w:r>
      <w:r w:rsidRPr="00181FCD">
        <w:t>la</w:t>
      </w:r>
      <w:r w:rsidR="00F373A3" w:rsidRPr="00181FCD">
        <w:t xml:space="preserve"> </w:t>
      </w:r>
      <w:r w:rsidRPr="00181FCD">
        <w:t>prevención</w:t>
      </w:r>
      <w:r w:rsidR="00F373A3" w:rsidRPr="00181FCD">
        <w:t xml:space="preserve"> </w:t>
      </w:r>
      <w:r w:rsidRPr="00181FCD">
        <w:t>de</w:t>
      </w:r>
      <w:r w:rsidR="00F373A3" w:rsidRPr="00181FCD">
        <w:t xml:space="preserve"> </w:t>
      </w:r>
      <w:r w:rsidRPr="00181FCD">
        <w:t>conflictos</w:t>
      </w:r>
      <w:r w:rsidR="00F373A3" w:rsidRPr="00181FCD">
        <w:t xml:space="preserve"> </w:t>
      </w:r>
      <w:r w:rsidRPr="00181FCD">
        <w:t>de</w:t>
      </w:r>
      <w:r w:rsidR="00F373A3" w:rsidRPr="00181FCD">
        <w:t xml:space="preserve"> </w:t>
      </w:r>
      <w:r w:rsidRPr="00181FCD">
        <w:t>intereses</w:t>
      </w:r>
      <w:r w:rsidR="00F373A3" w:rsidRPr="00181FCD">
        <w:t xml:space="preserve"> </w:t>
      </w:r>
      <w:r w:rsidRPr="00181FCD">
        <w:t>y</w:t>
      </w:r>
      <w:r w:rsidR="00F373A3" w:rsidRPr="00181FCD">
        <w:t xml:space="preserve"> </w:t>
      </w:r>
      <w:r w:rsidRPr="00181FCD">
        <w:t>de</w:t>
      </w:r>
      <w:r w:rsidR="00F373A3" w:rsidRPr="00181FCD">
        <w:t xml:space="preserve"> </w:t>
      </w:r>
      <w:r w:rsidRPr="00181FCD">
        <w:t>una</w:t>
      </w:r>
      <w:r w:rsidR="00F373A3" w:rsidRPr="00181FCD">
        <w:t xml:space="preserve"> </w:t>
      </w:r>
      <w:r w:rsidRPr="00181FCD">
        <w:t>influencia</w:t>
      </w:r>
      <w:r w:rsidR="00F373A3" w:rsidRPr="00181FCD">
        <w:t xml:space="preserve"> </w:t>
      </w:r>
      <w:r w:rsidRPr="00181FCD">
        <w:t>indebida</w:t>
      </w:r>
      <w:r w:rsidR="00F373A3" w:rsidRPr="00181FCD">
        <w:t xml:space="preserve"> </w:t>
      </w:r>
      <w:r w:rsidRPr="00181FCD">
        <w:t>entre</w:t>
      </w:r>
      <w:r w:rsidR="00F373A3" w:rsidRPr="00181FCD">
        <w:t xml:space="preserve"> </w:t>
      </w:r>
      <w:r w:rsidRPr="00181FCD">
        <w:t>el</w:t>
      </w:r>
      <w:r w:rsidR="00F373A3" w:rsidRPr="00181FCD">
        <w:t xml:space="preserve"> </w:t>
      </w:r>
      <w:r w:rsidRPr="00181FCD">
        <w:t>que</w:t>
      </w:r>
      <w:r w:rsidR="00F373A3" w:rsidRPr="00181FCD">
        <w:t xml:space="preserve"> </w:t>
      </w:r>
      <w:r w:rsidRPr="00181FCD">
        <w:t>presta</w:t>
      </w:r>
      <w:r w:rsidR="00F373A3" w:rsidRPr="00181FCD">
        <w:t xml:space="preserve"> </w:t>
      </w:r>
      <w:r w:rsidRPr="00181FCD">
        <w:t>y</w:t>
      </w:r>
      <w:r w:rsidR="00F373A3" w:rsidRPr="00181FCD">
        <w:t xml:space="preserve"> </w:t>
      </w:r>
      <w:r w:rsidRPr="00181FCD">
        <w:t>el</w:t>
      </w:r>
      <w:r w:rsidR="00F373A3" w:rsidRPr="00181FCD">
        <w:t xml:space="preserve"> </w:t>
      </w:r>
      <w:r w:rsidRPr="00181FCD">
        <w:t>que</w:t>
      </w:r>
      <w:r w:rsidR="00F373A3" w:rsidRPr="00181FCD">
        <w:t xml:space="preserve"> </w:t>
      </w:r>
      <w:r w:rsidRPr="00181FCD">
        <w:t>recibe</w:t>
      </w:r>
      <w:r w:rsidR="00F373A3" w:rsidRPr="00181FCD">
        <w:t xml:space="preserve"> </w:t>
      </w:r>
      <w:r w:rsidRPr="00181FCD">
        <w:t>el</w:t>
      </w:r>
      <w:r w:rsidR="00F373A3" w:rsidRPr="00181FCD">
        <w:t xml:space="preserve"> </w:t>
      </w:r>
      <w:r w:rsidRPr="00181FCD">
        <w:t>apoyo.</w:t>
      </w:r>
      <w:r w:rsidR="00F373A3" w:rsidRPr="00181FCD">
        <w:t xml:space="preserve"> </w:t>
      </w:r>
      <w:r w:rsidRPr="00181FCD">
        <w:t>También</w:t>
      </w:r>
      <w:r w:rsidR="00F373A3" w:rsidRPr="00181FCD">
        <w:t xml:space="preserve"> </w:t>
      </w:r>
      <w:r w:rsidRPr="00181FCD">
        <w:t>se</w:t>
      </w:r>
      <w:r w:rsidR="00F373A3" w:rsidRPr="00181FCD">
        <w:t xml:space="preserve"> </w:t>
      </w:r>
      <w:r w:rsidRPr="00181FCD">
        <w:t>prevén</w:t>
      </w:r>
      <w:r w:rsidR="00F373A3" w:rsidRPr="00181FCD">
        <w:t xml:space="preserve"> </w:t>
      </w:r>
      <w:r w:rsidRPr="00181FCD">
        <w:t>salvaguardias</w:t>
      </w:r>
      <w:r w:rsidR="00F373A3" w:rsidRPr="00181FCD">
        <w:t xml:space="preserve"> </w:t>
      </w:r>
      <w:r w:rsidRPr="00181FCD">
        <w:t>para</w:t>
      </w:r>
      <w:r w:rsidR="00F373A3" w:rsidRPr="00181FCD">
        <w:t xml:space="preserve"> </w:t>
      </w:r>
      <w:r w:rsidRPr="00181FCD">
        <w:t>proteger</w:t>
      </w:r>
      <w:r w:rsidR="00F373A3" w:rsidRPr="00181FCD">
        <w:t xml:space="preserve"> </w:t>
      </w:r>
      <w:r w:rsidRPr="00181FCD">
        <w:t>contra</w:t>
      </w:r>
      <w:r w:rsidR="00F373A3" w:rsidRPr="00181FCD">
        <w:t xml:space="preserve"> </w:t>
      </w:r>
      <w:r w:rsidRPr="00181FCD">
        <w:t>los</w:t>
      </w:r>
      <w:r w:rsidR="00F373A3" w:rsidRPr="00181FCD">
        <w:t xml:space="preserve"> </w:t>
      </w:r>
      <w:r w:rsidRPr="00181FCD">
        <w:t>conflictos</w:t>
      </w:r>
      <w:r w:rsidR="00F373A3" w:rsidRPr="00181FCD">
        <w:t xml:space="preserve"> </w:t>
      </w:r>
      <w:r w:rsidRPr="00181FCD">
        <w:t>de</w:t>
      </w:r>
      <w:r w:rsidR="00F373A3" w:rsidRPr="00181FCD">
        <w:t xml:space="preserve"> </w:t>
      </w:r>
      <w:r w:rsidRPr="00181FCD">
        <w:t>intereses</w:t>
      </w:r>
      <w:r w:rsidR="00F373A3" w:rsidRPr="00181FCD">
        <w:t xml:space="preserve"> </w:t>
      </w:r>
      <w:r w:rsidRPr="00181FCD">
        <w:t>e</w:t>
      </w:r>
      <w:r w:rsidR="00672EC2" w:rsidRPr="00181FCD">
        <w:t xml:space="preserve"> </w:t>
      </w:r>
      <w:r w:rsidRPr="00181FCD">
        <w:t>influencias</w:t>
      </w:r>
      <w:r w:rsidR="00F373A3" w:rsidRPr="00181FCD">
        <w:t xml:space="preserve"> </w:t>
      </w:r>
      <w:r w:rsidRPr="00181FCD">
        <w:t>indebidas.</w:t>
      </w:r>
    </w:p>
    <w:p w:rsidR="001937F4" w:rsidRPr="00181FCD" w:rsidRDefault="001937F4" w:rsidP="00347B20">
      <w:pPr>
        <w:pStyle w:val="SingleTxtG"/>
        <w:suppressAutoHyphens/>
      </w:pPr>
      <w:r w:rsidRPr="00181FCD">
        <w:t>85.</w:t>
      </w:r>
      <w:r w:rsidRPr="00181FCD">
        <w:tab/>
        <w:t>Las</w:t>
      </w:r>
      <w:r w:rsidR="00F373A3" w:rsidRPr="00181FCD">
        <w:t xml:space="preserve"> </w:t>
      </w:r>
      <w:r w:rsidRPr="00181FCD">
        <w:t>medidas,</w:t>
      </w:r>
      <w:r w:rsidR="00F373A3" w:rsidRPr="00181FCD">
        <w:t xml:space="preserve"> </w:t>
      </w:r>
      <w:r w:rsidRPr="00181FCD">
        <w:t>como</w:t>
      </w:r>
      <w:r w:rsidR="00F373A3" w:rsidRPr="00181FCD">
        <w:t xml:space="preserve"> </w:t>
      </w:r>
      <w:r w:rsidRPr="00181FCD">
        <w:t>solo</w:t>
      </w:r>
      <w:r w:rsidR="00F373A3" w:rsidRPr="00181FCD">
        <w:t xml:space="preserve"> </w:t>
      </w:r>
      <w:r w:rsidRPr="00181FCD">
        <w:t>se</w:t>
      </w:r>
      <w:r w:rsidR="00F373A3" w:rsidRPr="00181FCD">
        <w:t xml:space="preserve"> </w:t>
      </w:r>
      <w:r w:rsidRPr="00181FCD">
        <w:t>aplicarán</w:t>
      </w:r>
      <w:r w:rsidR="00F373A3" w:rsidRPr="00181FCD">
        <w:t xml:space="preserve"> </w:t>
      </w:r>
      <w:r w:rsidRPr="00181FCD">
        <w:t>a</w:t>
      </w:r>
      <w:r w:rsidR="00F373A3" w:rsidRPr="00181FCD">
        <w:t xml:space="preserve"> </w:t>
      </w:r>
      <w:r w:rsidRPr="00181FCD">
        <w:t>acciones</w:t>
      </w:r>
      <w:r w:rsidR="00F373A3" w:rsidRPr="00181FCD">
        <w:t xml:space="preserve"> </w:t>
      </w:r>
      <w:r w:rsidRPr="00181FCD">
        <w:t>con</w:t>
      </w:r>
      <w:r w:rsidR="00F373A3" w:rsidRPr="00181FCD">
        <w:t xml:space="preserve"> </w:t>
      </w:r>
      <w:r w:rsidRPr="00181FCD">
        <w:t>consecuencias</w:t>
      </w:r>
      <w:r w:rsidR="00F373A3" w:rsidRPr="00181FCD">
        <w:t xml:space="preserve"> </w:t>
      </w:r>
      <w:r w:rsidRPr="00181FCD">
        <w:t>jurídicas,</w:t>
      </w:r>
      <w:r w:rsidR="00F373A3" w:rsidRPr="00181FCD">
        <w:t xml:space="preserve"> </w:t>
      </w:r>
      <w:r w:rsidRPr="00181FCD">
        <w:t>serán</w:t>
      </w:r>
      <w:r w:rsidR="00F373A3" w:rsidRPr="00181FCD">
        <w:t xml:space="preserve"> </w:t>
      </w:r>
      <w:r w:rsidRPr="00181FCD">
        <w:t>determinadas</w:t>
      </w:r>
      <w:r w:rsidR="00F373A3" w:rsidRPr="00181FCD">
        <w:t xml:space="preserve"> </w:t>
      </w:r>
      <w:r w:rsidRPr="00181FCD">
        <w:t>por</w:t>
      </w:r>
      <w:r w:rsidR="00F373A3" w:rsidRPr="00181FCD">
        <w:t xml:space="preserve"> </w:t>
      </w:r>
      <w:r w:rsidRPr="00181FCD">
        <w:t>el</w:t>
      </w:r>
      <w:r w:rsidR="00F373A3" w:rsidRPr="00181FCD">
        <w:t xml:space="preserve"> </w:t>
      </w:r>
      <w:r w:rsidRPr="00181FCD">
        <w:t>tribunal.</w:t>
      </w:r>
      <w:r w:rsidR="00F373A3" w:rsidRPr="00181FCD">
        <w:t xml:space="preserve"> </w:t>
      </w:r>
      <w:r w:rsidRPr="00181FCD">
        <w:t>Se</w:t>
      </w:r>
      <w:r w:rsidR="00F373A3" w:rsidRPr="00181FCD">
        <w:t xml:space="preserve"> </w:t>
      </w:r>
      <w:r w:rsidRPr="00181FCD">
        <w:t>debe</w:t>
      </w:r>
      <w:r w:rsidR="00F373A3" w:rsidRPr="00181FCD">
        <w:t xml:space="preserve"> </w:t>
      </w:r>
      <w:r w:rsidRPr="00181FCD">
        <w:t>respetar</w:t>
      </w:r>
      <w:r w:rsidR="00F373A3" w:rsidRPr="00181FCD">
        <w:t xml:space="preserve"> </w:t>
      </w:r>
      <w:r w:rsidRPr="00181FCD">
        <w:t>su</w:t>
      </w:r>
      <w:r w:rsidR="00F373A3" w:rsidRPr="00181FCD">
        <w:t xml:space="preserve"> </w:t>
      </w:r>
      <w:r w:rsidRPr="00181FCD">
        <w:t>secuencia,</w:t>
      </w:r>
      <w:r w:rsidR="00F373A3" w:rsidRPr="00181FCD">
        <w:t xml:space="preserve"> </w:t>
      </w:r>
      <w:r w:rsidRPr="00181FCD">
        <w:t>así</w:t>
      </w:r>
      <w:r w:rsidR="00F373A3" w:rsidRPr="00181FCD">
        <w:t xml:space="preserve"> </w:t>
      </w:r>
      <w:r w:rsidRPr="00181FCD">
        <w:t>como</w:t>
      </w:r>
      <w:r w:rsidR="00F373A3" w:rsidRPr="00181FCD">
        <w:t xml:space="preserve"> </w:t>
      </w:r>
      <w:r w:rsidRPr="00181FCD">
        <w:t>la</w:t>
      </w:r>
      <w:r w:rsidR="00F373A3" w:rsidRPr="00181FCD">
        <w:t xml:space="preserve"> </w:t>
      </w:r>
      <w:r w:rsidRPr="00181FCD">
        <w:t>condición</w:t>
      </w:r>
      <w:r w:rsidR="00F373A3" w:rsidRPr="00181FCD">
        <w:t xml:space="preserve"> </w:t>
      </w:r>
      <w:r w:rsidRPr="00181FCD">
        <w:t>de</w:t>
      </w:r>
      <w:r w:rsidR="00F373A3" w:rsidRPr="00181FCD">
        <w:t xml:space="preserve"> </w:t>
      </w:r>
      <w:r w:rsidRPr="00181FCD">
        <w:t>que</w:t>
      </w:r>
      <w:r w:rsidR="00F373A3" w:rsidRPr="00181FCD">
        <w:t xml:space="preserve"> </w:t>
      </w:r>
      <w:r w:rsidRPr="00181FCD">
        <w:t>se</w:t>
      </w:r>
      <w:r w:rsidR="00F373A3" w:rsidRPr="00181FCD">
        <w:t xml:space="preserve"> </w:t>
      </w:r>
      <w:r w:rsidRPr="00181FCD">
        <w:t>hayan</w:t>
      </w:r>
      <w:r w:rsidR="00F373A3" w:rsidRPr="00181FCD">
        <w:t xml:space="preserve"> </w:t>
      </w:r>
      <w:r w:rsidRPr="00181FCD">
        <w:t>agotado</w:t>
      </w:r>
      <w:r w:rsidR="00F373A3" w:rsidRPr="00181FCD">
        <w:t xml:space="preserve"> </w:t>
      </w:r>
      <w:r w:rsidRPr="00181FCD">
        <w:t>todas</w:t>
      </w:r>
      <w:r w:rsidR="00F373A3" w:rsidRPr="00181FCD">
        <w:t xml:space="preserve"> </w:t>
      </w:r>
      <w:r w:rsidRPr="00181FCD">
        <w:t>las</w:t>
      </w:r>
      <w:r w:rsidR="00F373A3" w:rsidRPr="00181FCD">
        <w:t xml:space="preserve"> </w:t>
      </w:r>
      <w:r w:rsidRPr="00181FCD">
        <w:t>posibilidades</w:t>
      </w:r>
      <w:r w:rsidR="00F373A3" w:rsidRPr="00181FCD">
        <w:t xml:space="preserve"> </w:t>
      </w:r>
      <w:r w:rsidRPr="00181FCD">
        <w:t>en</w:t>
      </w:r>
      <w:r w:rsidR="00F373A3" w:rsidRPr="00181FCD">
        <w:t xml:space="preserve"> </w:t>
      </w:r>
      <w:r w:rsidRPr="00181FCD">
        <w:t>el</w:t>
      </w:r>
      <w:r w:rsidR="00F373A3" w:rsidRPr="00181FCD">
        <w:t xml:space="preserve"> </w:t>
      </w:r>
      <w:r w:rsidRPr="00181FCD">
        <w:t>marco</w:t>
      </w:r>
      <w:r w:rsidR="00F373A3" w:rsidRPr="00181FCD">
        <w:t xml:space="preserve"> </w:t>
      </w:r>
      <w:r w:rsidRPr="00181FCD">
        <w:t>de</w:t>
      </w:r>
      <w:r w:rsidR="00F373A3" w:rsidRPr="00181FCD">
        <w:t xml:space="preserve"> </w:t>
      </w:r>
      <w:r w:rsidRPr="00181FCD">
        <w:t>la</w:t>
      </w:r>
      <w:r w:rsidR="00F373A3" w:rsidRPr="00181FCD">
        <w:t xml:space="preserve"> </w:t>
      </w:r>
      <w:r w:rsidRPr="00181FCD">
        <w:t>respectiva</w:t>
      </w:r>
      <w:r w:rsidR="00F373A3" w:rsidRPr="00181FCD">
        <w:t xml:space="preserve"> </w:t>
      </w:r>
      <w:r w:rsidRPr="00181FCD">
        <w:t>medida</w:t>
      </w:r>
      <w:r w:rsidR="00F373A3" w:rsidRPr="00181FCD">
        <w:t xml:space="preserve"> </w:t>
      </w:r>
      <w:r w:rsidRPr="00181FCD">
        <w:t>anterior</w:t>
      </w:r>
      <w:r w:rsidR="00F373A3" w:rsidRPr="00181FCD">
        <w:t xml:space="preserve"> </w:t>
      </w:r>
      <w:r w:rsidRPr="00181FCD">
        <w:t>en</w:t>
      </w:r>
      <w:r w:rsidR="00F373A3" w:rsidRPr="00181FCD">
        <w:t xml:space="preserve"> </w:t>
      </w:r>
      <w:r w:rsidRPr="00181FCD">
        <w:t>virtud</w:t>
      </w:r>
      <w:r w:rsidR="00F373A3" w:rsidRPr="00181FCD">
        <w:t xml:space="preserve"> </w:t>
      </w:r>
      <w:r w:rsidRPr="00181FCD">
        <w:t>del</w:t>
      </w:r>
      <w:r w:rsidR="00F373A3" w:rsidRPr="00181FCD">
        <w:t xml:space="preserve"> </w:t>
      </w:r>
      <w:r w:rsidRPr="00181FCD">
        <w:t>procedimiento</w:t>
      </w:r>
      <w:r w:rsidR="00F373A3" w:rsidRPr="00181FCD">
        <w:t xml:space="preserve"> </w:t>
      </w:r>
      <w:r w:rsidRPr="00181FCD">
        <w:t>judicial</w:t>
      </w:r>
      <w:r w:rsidR="00F373A3" w:rsidRPr="00181FCD">
        <w:t xml:space="preserve"> </w:t>
      </w:r>
      <w:r w:rsidRPr="00181FCD">
        <w:t>especial.</w:t>
      </w:r>
      <w:r w:rsidR="00F373A3" w:rsidRPr="00181FCD">
        <w:t xml:space="preserve"> </w:t>
      </w:r>
      <w:r w:rsidRPr="00181FCD">
        <w:t>Se</w:t>
      </w:r>
      <w:r w:rsidR="00F373A3" w:rsidRPr="00181FCD">
        <w:t xml:space="preserve"> </w:t>
      </w:r>
      <w:r w:rsidRPr="00181FCD">
        <w:t>considera</w:t>
      </w:r>
      <w:r w:rsidR="00F373A3" w:rsidRPr="00181FCD">
        <w:t xml:space="preserve"> </w:t>
      </w:r>
      <w:r w:rsidRPr="00181FCD">
        <w:t>que</w:t>
      </w:r>
      <w:r w:rsidR="00F373A3" w:rsidRPr="00181FCD">
        <w:t xml:space="preserve"> </w:t>
      </w:r>
      <w:r w:rsidRPr="00181FCD">
        <w:t>el</w:t>
      </w:r>
      <w:r w:rsidR="00F373A3" w:rsidRPr="00181FCD">
        <w:t xml:space="preserve"> </w:t>
      </w:r>
      <w:r w:rsidRPr="00181FCD">
        <w:t>procedimiento</w:t>
      </w:r>
      <w:r w:rsidR="00F373A3" w:rsidRPr="00181FCD">
        <w:t xml:space="preserve"> </w:t>
      </w:r>
      <w:r w:rsidRPr="00181FCD">
        <w:t>judicial</w:t>
      </w:r>
      <w:r w:rsidR="00F373A3" w:rsidRPr="00181FCD">
        <w:t xml:space="preserve"> </w:t>
      </w:r>
      <w:r w:rsidRPr="00181FCD">
        <w:t>para</w:t>
      </w:r>
      <w:r w:rsidR="00F373A3" w:rsidRPr="00181FCD">
        <w:t xml:space="preserve"> </w:t>
      </w:r>
      <w:r w:rsidRPr="00181FCD">
        <w:t>determinar</w:t>
      </w:r>
      <w:r w:rsidR="00F373A3" w:rsidRPr="00181FCD">
        <w:t xml:space="preserve"> </w:t>
      </w:r>
      <w:r w:rsidRPr="00181FCD">
        <w:t>dichas</w:t>
      </w:r>
      <w:r w:rsidR="00F373A3" w:rsidRPr="00181FCD">
        <w:t xml:space="preserve"> </w:t>
      </w:r>
      <w:r w:rsidRPr="00181FCD">
        <w:t>medidas</w:t>
      </w:r>
      <w:r w:rsidR="00F373A3" w:rsidRPr="00181FCD">
        <w:t xml:space="preserve"> </w:t>
      </w:r>
      <w:r w:rsidRPr="00181FCD">
        <w:t>constituye</w:t>
      </w:r>
      <w:r w:rsidR="00F373A3" w:rsidRPr="00181FCD">
        <w:t xml:space="preserve"> </w:t>
      </w:r>
      <w:r w:rsidRPr="00181FCD">
        <w:t>una</w:t>
      </w:r>
      <w:r w:rsidR="00F373A3" w:rsidRPr="00181FCD">
        <w:t xml:space="preserve"> </w:t>
      </w:r>
      <w:r w:rsidRPr="00181FCD">
        <w:t>salvaguardia</w:t>
      </w:r>
      <w:r w:rsidR="00F373A3" w:rsidRPr="00181FCD">
        <w:t xml:space="preserve"> </w:t>
      </w:r>
      <w:r w:rsidRPr="00181FCD">
        <w:t>contra</w:t>
      </w:r>
      <w:r w:rsidR="00F373A3" w:rsidRPr="00181FCD">
        <w:t xml:space="preserve"> </w:t>
      </w:r>
      <w:r w:rsidRPr="00181FCD">
        <w:t>el</w:t>
      </w:r>
      <w:r w:rsidR="00F373A3" w:rsidRPr="00181FCD">
        <w:t xml:space="preserve"> </w:t>
      </w:r>
      <w:r w:rsidRPr="00181FCD">
        <w:t>riego</w:t>
      </w:r>
      <w:r w:rsidR="00F373A3" w:rsidRPr="00181FCD">
        <w:t xml:space="preserve"> </w:t>
      </w:r>
      <w:r w:rsidRPr="00181FCD">
        <w:t>de</w:t>
      </w:r>
      <w:r w:rsidR="00F373A3" w:rsidRPr="00181FCD">
        <w:t xml:space="preserve"> </w:t>
      </w:r>
      <w:r w:rsidRPr="00181FCD">
        <w:t>reclamaciones</w:t>
      </w:r>
      <w:r w:rsidR="00F373A3" w:rsidRPr="00181FCD">
        <w:t xml:space="preserve"> </w:t>
      </w:r>
      <w:r w:rsidRPr="00181FCD">
        <w:t>que</w:t>
      </w:r>
      <w:r w:rsidR="00F373A3" w:rsidRPr="00181FCD">
        <w:t xml:space="preserve"> </w:t>
      </w:r>
      <w:r w:rsidRPr="00181FCD">
        <w:t>no</w:t>
      </w:r>
      <w:r w:rsidR="00F373A3" w:rsidRPr="00181FCD">
        <w:t xml:space="preserve"> </w:t>
      </w:r>
      <w:r w:rsidRPr="00181FCD">
        <w:t>justifiquen</w:t>
      </w:r>
      <w:r w:rsidR="00F373A3" w:rsidRPr="00181FCD">
        <w:t xml:space="preserve"> </w:t>
      </w:r>
      <w:r w:rsidRPr="00181FCD">
        <w:t>imponer</w:t>
      </w:r>
      <w:r w:rsidR="00F373A3" w:rsidRPr="00181FCD">
        <w:t xml:space="preserve"> </w:t>
      </w:r>
      <w:r w:rsidRPr="00181FCD">
        <w:t>una</w:t>
      </w:r>
      <w:r w:rsidR="00F373A3" w:rsidRPr="00181FCD">
        <w:t xml:space="preserve"> </w:t>
      </w:r>
      <w:r w:rsidRPr="00181FCD">
        <w:t>medida,</w:t>
      </w:r>
      <w:r w:rsidR="00F373A3" w:rsidRPr="00181FCD">
        <w:t xml:space="preserve"> </w:t>
      </w:r>
      <w:r w:rsidRPr="00181FCD">
        <w:t>el</w:t>
      </w:r>
      <w:r w:rsidR="00F373A3" w:rsidRPr="00181FCD">
        <w:t xml:space="preserve"> </w:t>
      </w:r>
      <w:r w:rsidRPr="00181FCD">
        <w:t>peligro</w:t>
      </w:r>
      <w:r w:rsidR="00F373A3" w:rsidRPr="00181FCD">
        <w:t xml:space="preserve"> </w:t>
      </w:r>
      <w:r w:rsidRPr="00181FCD">
        <w:t>de</w:t>
      </w:r>
      <w:r w:rsidR="00F373A3" w:rsidRPr="00181FCD">
        <w:t xml:space="preserve"> </w:t>
      </w:r>
      <w:r w:rsidRPr="00181FCD">
        <w:t>imponer</w:t>
      </w:r>
      <w:r w:rsidR="00F373A3" w:rsidRPr="00181FCD">
        <w:t xml:space="preserve"> </w:t>
      </w:r>
      <w:r w:rsidRPr="00181FCD">
        <w:t>una</w:t>
      </w:r>
      <w:r w:rsidR="00F373A3" w:rsidRPr="00181FCD">
        <w:t xml:space="preserve"> </w:t>
      </w:r>
      <w:r w:rsidRPr="00181FCD">
        <w:t>medida</w:t>
      </w:r>
      <w:r w:rsidR="00F373A3" w:rsidRPr="00181FCD">
        <w:t xml:space="preserve"> </w:t>
      </w:r>
      <w:r w:rsidRPr="00181FCD">
        <w:t>que</w:t>
      </w:r>
      <w:r w:rsidR="00F373A3" w:rsidRPr="00181FCD">
        <w:t xml:space="preserve"> </w:t>
      </w:r>
      <w:r w:rsidRPr="00181FCD">
        <w:t>no</w:t>
      </w:r>
      <w:r w:rsidR="00F373A3" w:rsidRPr="00181FCD">
        <w:t xml:space="preserve"> </w:t>
      </w:r>
      <w:r w:rsidRPr="00181FCD">
        <w:t>corresponde</w:t>
      </w:r>
      <w:r w:rsidR="00F373A3" w:rsidRPr="00181FCD">
        <w:t xml:space="preserve"> </w:t>
      </w:r>
      <w:r w:rsidRPr="00181FCD">
        <w:t>a</w:t>
      </w:r>
      <w:r w:rsidR="00F373A3" w:rsidRPr="00181FCD">
        <w:t xml:space="preserve"> </w:t>
      </w:r>
      <w:r w:rsidRPr="00181FCD">
        <w:t>las</w:t>
      </w:r>
      <w:r w:rsidR="00F373A3" w:rsidRPr="00181FCD">
        <w:t xml:space="preserve"> </w:t>
      </w:r>
      <w:r w:rsidRPr="00181FCD">
        <w:t>necesidades</w:t>
      </w:r>
      <w:r w:rsidR="00F373A3" w:rsidRPr="00181FCD">
        <w:t xml:space="preserve"> </w:t>
      </w:r>
      <w:r w:rsidRPr="00181FCD">
        <w:t>individuales</w:t>
      </w:r>
      <w:r w:rsidR="00F373A3" w:rsidRPr="00181FCD">
        <w:t xml:space="preserve"> </w:t>
      </w:r>
      <w:r w:rsidRPr="00181FCD">
        <w:t>de</w:t>
      </w:r>
      <w:r w:rsidR="00F373A3" w:rsidRPr="00181FCD">
        <w:t xml:space="preserve"> </w:t>
      </w:r>
      <w:r w:rsidRPr="00181FCD">
        <w:t>la</w:t>
      </w:r>
      <w:r w:rsidR="00F373A3" w:rsidRPr="00181FCD">
        <w:t xml:space="preserve"> </w:t>
      </w:r>
      <w:r w:rsidRPr="00181FCD">
        <w:t>persona,</w:t>
      </w:r>
      <w:r w:rsidR="00F373A3" w:rsidRPr="00181FCD">
        <w:t xml:space="preserve"> </w:t>
      </w:r>
      <w:r w:rsidRPr="00181FCD">
        <w:t>o</w:t>
      </w:r>
      <w:r w:rsidR="00F373A3" w:rsidRPr="00181FCD">
        <w:t xml:space="preserve"> </w:t>
      </w:r>
      <w:r w:rsidRPr="00181FCD">
        <w:t>el</w:t>
      </w:r>
      <w:r w:rsidR="00F373A3" w:rsidRPr="00181FCD">
        <w:t xml:space="preserve"> </w:t>
      </w:r>
      <w:r w:rsidRPr="00181FCD">
        <w:t>riesgo</w:t>
      </w:r>
      <w:r w:rsidR="00F373A3" w:rsidRPr="00181FCD">
        <w:t xml:space="preserve"> </w:t>
      </w:r>
      <w:r w:rsidRPr="00181FCD">
        <w:t>de</w:t>
      </w:r>
      <w:r w:rsidR="00F373A3" w:rsidRPr="00181FCD">
        <w:t xml:space="preserve"> </w:t>
      </w:r>
      <w:r w:rsidRPr="00181FCD">
        <w:t>que</w:t>
      </w:r>
      <w:r w:rsidR="00F373A3" w:rsidRPr="00181FCD">
        <w:t xml:space="preserve"> </w:t>
      </w:r>
      <w:r w:rsidRPr="00181FCD">
        <w:t>el</w:t>
      </w:r>
      <w:r w:rsidR="00F373A3" w:rsidRPr="00181FCD">
        <w:t xml:space="preserve"> </w:t>
      </w:r>
      <w:r w:rsidRPr="00181FCD">
        <w:t>reclamante</w:t>
      </w:r>
      <w:r w:rsidR="00F373A3" w:rsidRPr="00181FCD">
        <w:t xml:space="preserve"> </w:t>
      </w:r>
      <w:r w:rsidRPr="00181FCD">
        <w:t>abuse</w:t>
      </w:r>
      <w:r w:rsidR="00F373A3" w:rsidRPr="00181FCD">
        <w:t xml:space="preserve"> </w:t>
      </w:r>
      <w:r w:rsidRPr="00181FCD">
        <w:t>de</w:t>
      </w:r>
      <w:r w:rsidR="00F373A3" w:rsidRPr="00181FCD">
        <w:t xml:space="preserve"> </w:t>
      </w:r>
      <w:r w:rsidRPr="00181FCD">
        <w:t>la</w:t>
      </w:r>
      <w:r w:rsidR="00F373A3" w:rsidRPr="00181FCD">
        <w:t xml:space="preserve"> </w:t>
      </w:r>
      <w:r w:rsidRPr="00181FCD">
        <w:t>condición</w:t>
      </w:r>
      <w:r w:rsidR="00F373A3" w:rsidRPr="00181FCD">
        <w:t xml:space="preserve"> </w:t>
      </w:r>
      <w:r w:rsidRPr="00181FCD">
        <w:t>de</w:t>
      </w:r>
      <w:r w:rsidR="00F373A3" w:rsidRPr="00181FCD">
        <w:t xml:space="preserve"> </w:t>
      </w:r>
      <w:r w:rsidRPr="00181FCD">
        <w:t>la</w:t>
      </w:r>
      <w:r w:rsidR="00F373A3" w:rsidRPr="00181FCD">
        <w:t xml:space="preserve"> </w:t>
      </w:r>
      <w:r w:rsidRPr="00181FCD">
        <w:t>persona.</w:t>
      </w:r>
      <w:r w:rsidR="00F373A3" w:rsidRPr="00181FCD">
        <w:t xml:space="preserve"> </w:t>
      </w:r>
      <w:r w:rsidRPr="00181FCD">
        <w:t>Además,</w:t>
      </w:r>
      <w:r w:rsidR="00F373A3" w:rsidRPr="00181FCD">
        <w:t xml:space="preserve"> </w:t>
      </w:r>
      <w:r w:rsidRPr="00181FCD">
        <w:t>se</w:t>
      </w:r>
      <w:r w:rsidR="00F373A3" w:rsidRPr="00181FCD">
        <w:t xml:space="preserve"> </w:t>
      </w:r>
      <w:r w:rsidRPr="00181FCD">
        <w:t>establece</w:t>
      </w:r>
      <w:r w:rsidR="00F373A3" w:rsidRPr="00181FCD">
        <w:t xml:space="preserve"> </w:t>
      </w:r>
      <w:r w:rsidRPr="00181FCD">
        <w:t>la</w:t>
      </w:r>
      <w:r w:rsidR="00F373A3" w:rsidRPr="00181FCD">
        <w:t xml:space="preserve"> </w:t>
      </w:r>
      <w:r w:rsidRPr="00181FCD">
        <w:t>garantía</w:t>
      </w:r>
      <w:r w:rsidR="00F373A3" w:rsidRPr="00181FCD">
        <w:t xml:space="preserve"> </w:t>
      </w:r>
      <w:r w:rsidRPr="00181FCD">
        <w:t>de</w:t>
      </w:r>
      <w:r w:rsidR="00F373A3" w:rsidRPr="00181FCD">
        <w:t xml:space="preserve"> </w:t>
      </w:r>
      <w:r w:rsidRPr="00181FCD">
        <w:t>que</w:t>
      </w:r>
      <w:r w:rsidR="00F373A3" w:rsidRPr="00181FCD">
        <w:t xml:space="preserve"> </w:t>
      </w:r>
      <w:r w:rsidRPr="00181FCD">
        <w:t>el</w:t>
      </w:r>
      <w:r w:rsidR="00F373A3" w:rsidRPr="00181FCD">
        <w:t xml:space="preserve"> </w:t>
      </w:r>
      <w:r w:rsidRPr="00181FCD">
        <w:t>procedimiento</w:t>
      </w:r>
      <w:r w:rsidR="00F373A3" w:rsidRPr="00181FCD">
        <w:t xml:space="preserve"> </w:t>
      </w:r>
      <w:r w:rsidRPr="00181FCD">
        <w:t>respectivo</w:t>
      </w:r>
      <w:r w:rsidR="00F373A3" w:rsidRPr="00181FCD">
        <w:t xml:space="preserve"> </w:t>
      </w:r>
      <w:r w:rsidRPr="00181FCD">
        <w:t>se</w:t>
      </w:r>
      <w:r w:rsidR="00F373A3" w:rsidRPr="00181FCD">
        <w:t xml:space="preserve"> </w:t>
      </w:r>
      <w:r w:rsidRPr="00181FCD">
        <w:t>utilizará</w:t>
      </w:r>
      <w:r w:rsidR="00F373A3" w:rsidRPr="00181FCD">
        <w:t xml:space="preserve"> </w:t>
      </w:r>
      <w:r w:rsidRPr="00181FCD">
        <w:t>solo</w:t>
      </w:r>
      <w:r w:rsidR="00F373A3" w:rsidRPr="00181FCD">
        <w:t xml:space="preserve"> </w:t>
      </w:r>
      <w:r w:rsidRPr="00181FCD">
        <w:t>a</w:t>
      </w:r>
      <w:r w:rsidR="00F373A3" w:rsidRPr="00181FCD">
        <w:t xml:space="preserve"> </w:t>
      </w:r>
      <w:r w:rsidRPr="00181FCD">
        <w:t>los</w:t>
      </w:r>
      <w:r w:rsidR="00F373A3" w:rsidRPr="00181FCD">
        <w:t xml:space="preserve"> </w:t>
      </w:r>
      <w:r w:rsidRPr="00181FCD">
        <w:t>fines</w:t>
      </w:r>
      <w:r w:rsidR="00F373A3" w:rsidRPr="00181FCD">
        <w:t xml:space="preserve"> </w:t>
      </w:r>
      <w:r w:rsidRPr="00181FCD">
        <w:t>de</w:t>
      </w:r>
      <w:r w:rsidR="00F373A3" w:rsidRPr="00181FCD">
        <w:t xml:space="preserve"> </w:t>
      </w:r>
      <w:r w:rsidRPr="00181FCD">
        <w:t>prestar</w:t>
      </w:r>
      <w:r w:rsidR="00F373A3" w:rsidRPr="00181FCD">
        <w:t xml:space="preserve"> </w:t>
      </w:r>
      <w:r w:rsidRPr="00181FCD">
        <w:t>apoyo</w:t>
      </w:r>
      <w:r w:rsidR="00F373A3" w:rsidRPr="00181FCD">
        <w:t xml:space="preserve"> </w:t>
      </w:r>
      <w:r w:rsidRPr="00181FCD">
        <w:t>oportuno</w:t>
      </w:r>
      <w:r w:rsidR="00F373A3" w:rsidRPr="00181FCD">
        <w:t xml:space="preserve"> </w:t>
      </w:r>
      <w:r w:rsidRPr="00181FCD">
        <w:t>de</w:t>
      </w:r>
      <w:r w:rsidR="00F373A3" w:rsidRPr="00181FCD">
        <w:t xml:space="preserve"> </w:t>
      </w:r>
      <w:r w:rsidRPr="00181FCD">
        <w:t>acuerdo</w:t>
      </w:r>
      <w:r w:rsidR="00F373A3" w:rsidRPr="00181FCD">
        <w:t xml:space="preserve"> </w:t>
      </w:r>
      <w:r w:rsidRPr="00181FCD">
        <w:t>con</w:t>
      </w:r>
      <w:r w:rsidR="00F373A3" w:rsidRPr="00181FCD">
        <w:t xml:space="preserve"> </w:t>
      </w:r>
      <w:r w:rsidRPr="00181FCD">
        <w:t>las</w:t>
      </w:r>
      <w:r w:rsidR="00F373A3" w:rsidRPr="00181FCD">
        <w:t xml:space="preserve"> </w:t>
      </w:r>
      <w:r w:rsidRPr="00181FCD">
        <w:t>necesidades</w:t>
      </w:r>
      <w:r w:rsidR="00F373A3" w:rsidRPr="00181FCD">
        <w:t xml:space="preserve"> </w:t>
      </w:r>
      <w:r w:rsidRPr="00181FCD">
        <w:t>demostradas</w:t>
      </w:r>
      <w:r w:rsidR="00F373A3" w:rsidRPr="00181FCD">
        <w:t xml:space="preserve"> </w:t>
      </w:r>
      <w:r w:rsidRPr="00181FCD">
        <w:t>de</w:t>
      </w:r>
      <w:r w:rsidR="00F373A3" w:rsidRPr="00181FCD">
        <w:t xml:space="preserve"> </w:t>
      </w:r>
      <w:r w:rsidRPr="00181FCD">
        <w:t>la</w:t>
      </w:r>
      <w:r w:rsidR="00F373A3" w:rsidRPr="00181FCD">
        <w:t xml:space="preserve"> </w:t>
      </w:r>
      <w:r w:rsidRPr="00181FCD">
        <w:t>persona.</w:t>
      </w:r>
    </w:p>
    <w:p w:rsidR="001937F4" w:rsidRPr="00181FCD" w:rsidRDefault="001937F4" w:rsidP="00347B20">
      <w:pPr>
        <w:pStyle w:val="SingleTxtG"/>
        <w:suppressAutoHyphens/>
      </w:pPr>
      <w:r w:rsidRPr="00181FCD">
        <w:t>86.</w:t>
      </w:r>
      <w:r w:rsidRPr="00181FCD">
        <w:tab/>
        <w:t>El</w:t>
      </w:r>
      <w:r w:rsidR="00F373A3" w:rsidRPr="00181FCD">
        <w:t xml:space="preserve"> </w:t>
      </w:r>
      <w:r w:rsidRPr="00181FCD">
        <w:t>proyecto</w:t>
      </w:r>
      <w:r w:rsidR="00F373A3" w:rsidRPr="00181FCD">
        <w:t xml:space="preserve"> </w:t>
      </w:r>
      <w:r w:rsidRPr="00181FCD">
        <w:t>de</w:t>
      </w:r>
      <w:r w:rsidR="00F373A3" w:rsidRPr="00181FCD">
        <w:t xml:space="preserve"> </w:t>
      </w:r>
      <w:r w:rsidRPr="00181FCD">
        <w:t>ley</w:t>
      </w:r>
      <w:r w:rsidR="00F373A3" w:rsidRPr="00181FCD">
        <w:t xml:space="preserve"> </w:t>
      </w:r>
      <w:r w:rsidRPr="00181FCD">
        <w:t>prevé</w:t>
      </w:r>
      <w:r w:rsidR="00F373A3" w:rsidRPr="00181FCD">
        <w:t xml:space="preserve"> </w:t>
      </w:r>
      <w:r w:rsidRPr="00181FCD">
        <w:t>un</w:t>
      </w:r>
      <w:r w:rsidR="00F373A3" w:rsidRPr="00181FCD">
        <w:t xml:space="preserve"> </w:t>
      </w:r>
      <w:r w:rsidRPr="00181FCD">
        <w:t>procedimiento</w:t>
      </w:r>
      <w:r w:rsidR="00F373A3" w:rsidRPr="00181FCD">
        <w:t xml:space="preserve"> </w:t>
      </w:r>
      <w:r w:rsidRPr="00181FCD">
        <w:t>especial</w:t>
      </w:r>
      <w:r w:rsidR="00F373A3" w:rsidRPr="00181FCD">
        <w:t xml:space="preserve"> </w:t>
      </w:r>
      <w:r w:rsidRPr="00181FCD">
        <w:t>para</w:t>
      </w:r>
      <w:r w:rsidR="00F373A3" w:rsidRPr="00181FCD">
        <w:t xml:space="preserve"> </w:t>
      </w:r>
      <w:r w:rsidRPr="00181FCD">
        <w:t>determinar</w:t>
      </w:r>
      <w:r w:rsidR="00F373A3" w:rsidRPr="00181FCD">
        <w:t xml:space="preserve"> </w:t>
      </w:r>
      <w:r w:rsidRPr="00181FCD">
        <w:t>las</w:t>
      </w:r>
      <w:r w:rsidR="00F373A3" w:rsidRPr="00181FCD">
        <w:t xml:space="preserve"> </w:t>
      </w:r>
      <w:r w:rsidRPr="00181FCD">
        <w:t>salvaguardias</w:t>
      </w:r>
      <w:r w:rsidR="00F373A3" w:rsidRPr="00181FCD">
        <w:t xml:space="preserve"> </w:t>
      </w:r>
      <w:r w:rsidRPr="00181FCD">
        <w:t>en</w:t>
      </w:r>
      <w:r w:rsidR="00F373A3" w:rsidRPr="00181FCD">
        <w:t xml:space="preserve"> </w:t>
      </w:r>
      <w:r w:rsidRPr="00181FCD">
        <w:t>situaciones</w:t>
      </w:r>
      <w:r w:rsidR="00F373A3" w:rsidRPr="00181FCD">
        <w:t xml:space="preserve"> </w:t>
      </w:r>
      <w:r w:rsidRPr="00181FCD">
        <w:t>de</w:t>
      </w:r>
      <w:r w:rsidR="00F373A3" w:rsidRPr="00181FCD">
        <w:t xml:space="preserve"> </w:t>
      </w:r>
      <w:r w:rsidRPr="00181FCD">
        <w:t>riesgo.</w:t>
      </w:r>
      <w:r w:rsidR="00F373A3" w:rsidRPr="00181FCD">
        <w:t xml:space="preserve"> </w:t>
      </w:r>
      <w:r w:rsidRPr="00181FCD">
        <w:t>Este</w:t>
      </w:r>
      <w:r w:rsidR="00F373A3" w:rsidRPr="00181FCD">
        <w:t xml:space="preserve"> </w:t>
      </w:r>
      <w:r w:rsidRPr="00181FCD">
        <w:t>procedimiento,</w:t>
      </w:r>
      <w:r w:rsidR="00F373A3" w:rsidRPr="00181FCD">
        <w:t xml:space="preserve"> </w:t>
      </w:r>
      <w:r w:rsidRPr="00181FCD">
        <w:t>esencialmente,</w:t>
      </w:r>
      <w:r w:rsidR="00F373A3" w:rsidRPr="00181FCD">
        <w:t xml:space="preserve"> </w:t>
      </w:r>
      <w:r w:rsidRPr="00181FCD">
        <w:t>sirve</w:t>
      </w:r>
      <w:r w:rsidR="00F373A3" w:rsidRPr="00181FCD">
        <w:t xml:space="preserve"> </w:t>
      </w:r>
      <w:r w:rsidRPr="00181FCD">
        <w:t>para</w:t>
      </w:r>
      <w:r w:rsidR="00F373A3" w:rsidRPr="00181FCD">
        <w:t xml:space="preserve"> </w:t>
      </w:r>
      <w:r w:rsidRPr="00181FCD">
        <w:t>garantizar</w:t>
      </w:r>
      <w:r w:rsidR="00F373A3" w:rsidRPr="00181FCD">
        <w:t xml:space="preserve"> </w:t>
      </w:r>
      <w:r w:rsidRPr="00181FCD">
        <w:t>que</w:t>
      </w:r>
      <w:r w:rsidR="00F373A3" w:rsidRPr="00181FCD">
        <w:t xml:space="preserve"> </w:t>
      </w:r>
      <w:r w:rsidRPr="00181FCD">
        <w:t>una</w:t>
      </w:r>
      <w:r w:rsidR="00F373A3" w:rsidRPr="00181FCD">
        <w:t xml:space="preserve"> </w:t>
      </w:r>
      <w:r w:rsidRPr="00181FCD">
        <w:t>persona</w:t>
      </w:r>
      <w:r w:rsidR="00F373A3" w:rsidRPr="00181FCD">
        <w:t xml:space="preserve"> </w:t>
      </w:r>
      <w:r w:rsidRPr="00181FCD">
        <w:t>en</w:t>
      </w:r>
      <w:r w:rsidR="00F373A3" w:rsidRPr="00181FCD">
        <w:t xml:space="preserve"> </w:t>
      </w:r>
      <w:r w:rsidRPr="00181FCD">
        <w:t>situación</w:t>
      </w:r>
      <w:r w:rsidR="00F373A3" w:rsidRPr="00181FCD">
        <w:t xml:space="preserve"> </w:t>
      </w:r>
      <w:r w:rsidRPr="00181FCD">
        <w:t>de</w:t>
      </w:r>
      <w:r w:rsidR="00F373A3" w:rsidRPr="00181FCD">
        <w:t xml:space="preserve"> </w:t>
      </w:r>
      <w:r w:rsidRPr="00181FCD">
        <w:t>crisis</w:t>
      </w:r>
      <w:r w:rsidR="00F373A3" w:rsidRPr="00181FCD">
        <w:t xml:space="preserve"> </w:t>
      </w:r>
      <w:r w:rsidRPr="00181FCD">
        <w:t>grave</w:t>
      </w:r>
      <w:r w:rsidR="00F373A3" w:rsidRPr="00181FCD">
        <w:t xml:space="preserve"> </w:t>
      </w:r>
      <w:r w:rsidRPr="00181FCD">
        <w:t>no</w:t>
      </w:r>
      <w:r w:rsidR="00F373A3" w:rsidRPr="00181FCD">
        <w:t xml:space="preserve"> </w:t>
      </w:r>
      <w:r w:rsidRPr="00181FCD">
        <w:t>se</w:t>
      </w:r>
      <w:r w:rsidR="00F373A3" w:rsidRPr="00181FCD">
        <w:t xml:space="preserve"> </w:t>
      </w:r>
      <w:r w:rsidRPr="00181FCD">
        <w:t>quede</w:t>
      </w:r>
      <w:r w:rsidR="00F373A3" w:rsidRPr="00181FCD">
        <w:t xml:space="preserve"> </w:t>
      </w:r>
      <w:r w:rsidRPr="00181FCD">
        <w:t>sin</w:t>
      </w:r>
      <w:r w:rsidR="00F373A3" w:rsidRPr="00181FCD">
        <w:t xml:space="preserve"> </w:t>
      </w:r>
      <w:r w:rsidRPr="00181FCD">
        <w:t>la</w:t>
      </w:r>
      <w:r w:rsidR="00F373A3" w:rsidRPr="00181FCD">
        <w:t xml:space="preserve"> </w:t>
      </w:r>
      <w:r w:rsidRPr="00181FCD">
        <w:t>posibilidad</w:t>
      </w:r>
      <w:r w:rsidR="00F373A3" w:rsidRPr="00181FCD">
        <w:t xml:space="preserve"> </w:t>
      </w:r>
      <w:r w:rsidRPr="00181FCD">
        <w:t>de</w:t>
      </w:r>
      <w:r w:rsidR="00F373A3" w:rsidRPr="00181FCD">
        <w:t xml:space="preserve"> </w:t>
      </w:r>
      <w:r w:rsidRPr="00181FCD">
        <w:t>recibir</w:t>
      </w:r>
      <w:r w:rsidR="00F373A3" w:rsidRPr="00181FCD">
        <w:t xml:space="preserve"> </w:t>
      </w:r>
      <w:r w:rsidRPr="00181FCD">
        <w:t>apoyo</w:t>
      </w:r>
      <w:r w:rsidR="00F373A3" w:rsidRPr="00181FCD">
        <w:t xml:space="preserve"> </w:t>
      </w:r>
      <w:r w:rsidRPr="00181FCD">
        <w:t>y</w:t>
      </w:r>
      <w:r w:rsidR="00F373A3" w:rsidRPr="00181FCD">
        <w:t xml:space="preserve"> </w:t>
      </w:r>
      <w:r w:rsidRPr="00181FCD">
        <w:t>no</w:t>
      </w:r>
      <w:r w:rsidR="00F373A3" w:rsidRPr="00181FCD">
        <w:t xml:space="preserve"> </w:t>
      </w:r>
      <w:r w:rsidRPr="00181FCD">
        <w:t>sufra</w:t>
      </w:r>
      <w:r w:rsidR="00F373A3" w:rsidRPr="00181FCD">
        <w:t xml:space="preserve"> </w:t>
      </w:r>
      <w:r w:rsidRPr="00181FCD">
        <w:t>pérdidas</w:t>
      </w:r>
      <w:r w:rsidR="00F373A3" w:rsidRPr="00181FCD">
        <w:t xml:space="preserve"> </w:t>
      </w:r>
      <w:r w:rsidRPr="00181FCD">
        <w:t>personales</w:t>
      </w:r>
      <w:r w:rsidR="00F373A3" w:rsidRPr="00181FCD">
        <w:t xml:space="preserve"> </w:t>
      </w:r>
      <w:r w:rsidRPr="00181FCD">
        <w:t>y</w:t>
      </w:r>
      <w:r w:rsidR="00F373A3" w:rsidRPr="00181FCD">
        <w:t xml:space="preserve"> </w:t>
      </w:r>
      <w:r w:rsidRPr="00181FCD">
        <w:t>financieras</w:t>
      </w:r>
      <w:r w:rsidR="00F373A3" w:rsidRPr="00181FCD">
        <w:t xml:space="preserve"> </w:t>
      </w:r>
      <w:r w:rsidRPr="00181FCD">
        <w:t>irreversibles.</w:t>
      </w:r>
    </w:p>
    <w:p w:rsidR="001937F4" w:rsidRPr="00181FCD" w:rsidRDefault="00347B20" w:rsidP="00347B20">
      <w:pPr>
        <w:pStyle w:val="H23G"/>
      </w:pPr>
      <w:r w:rsidRPr="00181FCD">
        <w:tab/>
      </w:r>
      <w:r w:rsidRPr="00181FCD">
        <w:tab/>
      </w:r>
      <w:r w:rsidR="001937F4" w:rsidRPr="00181FCD">
        <w:t>Respuesta</w:t>
      </w:r>
      <w:r w:rsidR="00F373A3" w:rsidRPr="00181FCD">
        <w:t xml:space="preserve"> </w:t>
      </w:r>
      <w:r w:rsidR="001937F4" w:rsidRPr="00181FCD">
        <w:t>a</w:t>
      </w:r>
      <w:r w:rsidR="00F373A3" w:rsidRPr="00181FCD">
        <w:t xml:space="preserve"> </w:t>
      </w:r>
      <w:r w:rsidR="001937F4" w:rsidRPr="00181FCD">
        <w:t>las</w:t>
      </w:r>
      <w:r w:rsidR="00F373A3" w:rsidRPr="00181FCD">
        <w:t xml:space="preserve"> </w:t>
      </w:r>
      <w:r w:rsidR="001937F4" w:rsidRPr="00181FCD">
        <w:t>cuestiones</w:t>
      </w:r>
      <w:r w:rsidR="00F373A3" w:rsidRPr="00181FCD">
        <w:t xml:space="preserve"> </w:t>
      </w:r>
      <w:r w:rsidR="001937F4" w:rsidRPr="00181FCD">
        <w:t>planteadas</w:t>
      </w:r>
      <w:r w:rsidR="00F373A3" w:rsidRPr="00181FCD">
        <w:t xml:space="preserve"> </w:t>
      </w:r>
      <w:r w:rsidR="001937F4" w:rsidRPr="00181FCD">
        <w:t>en</w:t>
      </w:r>
      <w:r w:rsidR="00F373A3" w:rsidRPr="00181FCD">
        <w:t xml:space="preserve"> </w:t>
      </w:r>
      <w:r w:rsidR="001937F4" w:rsidRPr="00181FCD">
        <w:t>el</w:t>
      </w:r>
      <w:r w:rsidR="00F373A3" w:rsidRPr="00181FCD">
        <w:t xml:space="preserve"> </w:t>
      </w:r>
      <w:r w:rsidR="001937F4" w:rsidRPr="00181FCD">
        <w:t>párrafo</w:t>
      </w:r>
      <w:r w:rsidR="00F373A3" w:rsidRPr="00181FCD">
        <w:t xml:space="preserve"> </w:t>
      </w:r>
      <w:r w:rsidR="001937F4" w:rsidRPr="00181FCD">
        <w:t>10</w:t>
      </w:r>
      <w:r w:rsidR="00F373A3" w:rsidRPr="00181FCD">
        <w:t xml:space="preserve"> </w:t>
      </w:r>
      <w:r w:rsidR="001937F4" w:rsidRPr="00181FCD">
        <w:t>de</w:t>
      </w:r>
      <w:r w:rsidR="00F373A3" w:rsidRPr="00181FCD">
        <w:t xml:space="preserve"> </w:t>
      </w:r>
      <w:r w:rsidR="001937F4" w:rsidRPr="00181FCD">
        <w:t>la</w:t>
      </w:r>
      <w:r w:rsidR="00F373A3" w:rsidRPr="00181FCD">
        <w:t xml:space="preserve"> </w:t>
      </w:r>
      <w:r w:rsidR="001937F4" w:rsidRPr="00181FCD">
        <w:t>lista</w:t>
      </w:r>
      <w:r w:rsidR="00F373A3" w:rsidRPr="00181FCD">
        <w:t xml:space="preserve"> </w:t>
      </w:r>
      <w:r w:rsidR="001937F4" w:rsidRPr="00181FCD">
        <w:t>de</w:t>
      </w:r>
      <w:r w:rsidR="00F373A3" w:rsidRPr="00181FCD">
        <w:t xml:space="preserve"> </w:t>
      </w:r>
      <w:r w:rsidR="001937F4" w:rsidRPr="00181FCD">
        <w:t>cuestiones</w:t>
      </w:r>
    </w:p>
    <w:p w:rsidR="001937F4" w:rsidRPr="00181FCD" w:rsidRDefault="001937F4" w:rsidP="00347B20">
      <w:pPr>
        <w:pStyle w:val="SingleTxtG"/>
        <w:suppressAutoHyphens/>
      </w:pPr>
      <w:r w:rsidRPr="00181FCD">
        <w:t>87.</w:t>
      </w:r>
      <w:r w:rsidRPr="00181FCD">
        <w:tab/>
        <w:t>Como</w:t>
      </w:r>
      <w:r w:rsidR="00F373A3" w:rsidRPr="00181FCD">
        <w:t xml:space="preserve"> </w:t>
      </w:r>
      <w:r w:rsidRPr="00181FCD">
        <w:t>antes</w:t>
      </w:r>
      <w:r w:rsidR="00F373A3" w:rsidRPr="00181FCD">
        <w:t xml:space="preserve"> </w:t>
      </w:r>
      <w:r w:rsidRPr="00181FCD">
        <w:t>se</w:t>
      </w:r>
      <w:r w:rsidR="00F373A3" w:rsidRPr="00181FCD">
        <w:t xml:space="preserve"> </w:t>
      </w:r>
      <w:r w:rsidRPr="00181FCD">
        <w:t>ha</w:t>
      </w:r>
      <w:r w:rsidR="00F373A3" w:rsidRPr="00181FCD">
        <w:t xml:space="preserve"> </w:t>
      </w:r>
      <w:r w:rsidRPr="00181FCD">
        <w:t>indicado</w:t>
      </w:r>
      <w:r w:rsidR="00F373A3" w:rsidRPr="00181FCD">
        <w:t xml:space="preserve"> </w:t>
      </w:r>
      <w:r w:rsidRPr="00181FCD">
        <w:t>(en</w:t>
      </w:r>
      <w:r w:rsidR="00F373A3" w:rsidRPr="00181FCD">
        <w:t xml:space="preserve"> </w:t>
      </w:r>
      <w:r w:rsidRPr="00181FCD">
        <w:t>la</w:t>
      </w:r>
      <w:r w:rsidR="00F373A3" w:rsidRPr="00181FCD">
        <w:t xml:space="preserve"> </w:t>
      </w:r>
      <w:r w:rsidRPr="00181FCD">
        <w:t>respuesta</w:t>
      </w:r>
      <w:r w:rsidR="00F373A3" w:rsidRPr="00181FCD">
        <w:t xml:space="preserve"> </w:t>
      </w:r>
      <w:r w:rsidRPr="00181FCD">
        <w:t>al</w:t>
      </w:r>
      <w:r w:rsidR="00F373A3" w:rsidRPr="00181FCD">
        <w:t xml:space="preserve"> </w:t>
      </w:r>
      <w:r w:rsidRPr="00181FCD">
        <w:t>párrafo</w:t>
      </w:r>
      <w:r w:rsidR="00F373A3" w:rsidRPr="00181FCD">
        <w:t xml:space="preserve"> </w:t>
      </w:r>
      <w:r w:rsidRPr="00181FCD">
        <w:t>4),</w:t>
      </w:r>
      <w:r w:rsidR="00F373A3" w:rsidRPr="00181FCD">
        <w:t xml:space="preserve"> </w:t>
      </w:r>
      <w:r w:rsidRPr="00181FCD">
        <w:t>las</w:t>
      </w:r>
      <w:r w:rsidR="00F373A3" w:rsidRPr="00181FCD">
        <w:t xml:space="preserve"> </w:t>
      </w:r>
      <w:r w:rsidRPr="00181FCD">
        <w:t>atribuciones</w:t>
      </w:r>
      <w:r w:rsidR="00F373A3" w:rsidRPr="00181FCD">
        <w:t xml:space="preserve"> </w:t>
      </w:r>
      <w:r w:rsidRPr="00181FCD">
        <w:t>ampliadas</w:t>
      </w:r>
      <w:r w:rsidR="00F373A3" w:rsidRPr="00181FCD">
        <w:t xml:space="preserve"> </w:t>
      </w:r>
      <w:r w:rsidRPr="00181FCD">
        <w:t>del</w:t>
      </w:r>
      <w:r w:rsidR="00F373A3" w:rsidRPr="00181FCD">
        <w:t xml:space="preserve"> </w:t>
      </w:r>
      <w:r w:rsidRPr="00181FCD">
        <w:t>Defensor</w:t>
      </w:r>
      <w:r w:rsidR="00F373A3" w:rsidRPr="00181FCD">
        <w:t xml:space="preserve"> </w:t>
      </w:r>
      <w:r w:rsidRPr="00181FCD">
        <w:t>del</w:t>
      </w:r>
      <w:r w:rsidR="00F373A3" w:rsidRPr="00181FCD">
        <w:t xml:space="preserve"> </w:t>
      </w:r>
      <w:r w:rsidRPr="00181FCD">
        <w:t>Pueblo</w:t>
      </w:r>
      <w:r w:rsidR="00F373A3" w:rsidRPr="00181FCD">
        <w:t xml:space="preserve"> </w:t>
      </w:r>
      <w:r w:rsidRPr="00181FCD">
        <w:t>incluyen,</w:t>
      </w:r>
      <w:r w:rsidR="00F373A3" w:rsidRPr="00181FCD">
        <w:t xml:space="preserve"> </w:t>
      </w:r>
      <w:r w:rsidRPr="00181FCD">
        <w:t>entre</w:t>
      </w:r>
      <w:r w:rsidR="00F373A3" w:rsidRPr="00181FCD">
        <w:t xml:space="preserve"> </w:t>
      </w:r>
      <w:r w:rsidRPr="00181FCD">
        <w:t>otras,</w:t>
      </w:r>
      <w:r w:rsidR="00F373A3" w:rsidRPr="00181FCD">
        <w:t xml:space="preserve"> </w:t>
      </w:r>
      <w:r w:rsidRPr="00181FCD">
        <w:t>la</w:t>
      </w:r>
      <w:r w:rsidR="00F373A3" w:rsidRPr="00181FCD">
        <w:t xml:space="preserve"> </w:t>
      </w:r>
      <w:r w:rsidRPr="00181FCD">
        <w:t>protección</w:t>
      </w:r>
      <w:r w:rsidR="00F373A3" w:rsidRPr="00181FCD">
        <w:t xml:space="preserve"> </w:t>
      </w:r>
      <w:r w:rsidRPr="00181FCD">
        <w:t>de</w:t>
      </w:r>
      <w:r w:rsidR="00F373A3" w:rsidRPr="00181FCD">
        <w:t xml:space="preserve"> </w:t>
      </w:r>
      <w:r w:rsidRPr="00181FCD">
        <w:t>los</w:t>
      </w:r>
      <w:r w:rsidR="00F373A3" w:rsidRPr="00181FCD">
        <w:t xml:space="preserve"> </w:t>
      </w:r>
      <w:r w:rsidRPr="00181FCD">
        <w:t>derechos</w:t>
      </w:r>
      <w:r w:rsidR="00F373A3" w:rsidRPr="00181FCD">
        <w:t xml:space="preserve"> </w:t>
      </w:r>
      <w:r w:rsidRPr="00181FCD">
        <w:t>del</w:t>
      </w:r>
      <w:r w:rsidR="00F373A3" w:rsidRPr="00181FCD">
        <w:t xml:space="preserve"> </w:t>
      </w:r>
      <w:r w:rsidRPr="00181FCD">
        <w:t>niño.</w:t>
      </w:r>
      <w:r w:rsidR="00F373A3" w:rsidRPr="00181FCD">
        <w:t xml:space="preserve"> </w:t>
      </w:r>
      <w:r w:rsidRPr="00181FCD">
        <w:t>El</w:t>
      </w:r>
      <w:r w:rsidR="00F373A3" w:rsidRPr="00181FCD">
        <w:t xml:space="preserve"> </w:t>
      </w:r>
      <w:r w:rsidRPr="00181FCD">
        <w:t>Defensor</w:t>
      </w:r>
      <w:r w:rsidR="00F373A3" w:rsidRPr="00181FCD">
        <w:t xml:space="preserve"> </w:t>
      </w:r>
      <w:r w:rsidRPr="00181FCD">
        <w:t>tiene</w:t>
      </w:r>
      <w:r w:rsidR="00F373A3" w:rsidRPr="00181FCD">
        <w:t xml:space="preserve"> </w:t>
      </w:r>
      <w:r w:rsidRPr="00181FCD">
        <w:t>atribuciones</w:t>
      </w:r>
      <w:r w:rsidR="00F373A3" w:rsidRPr="00181FCD">
        <w:t xml:space="preserve"> </w:t>
      </w:r>
      <w:r w:rsidRPr="00181FCD">
        <w:t>especiales</w:t>
      </w:r>
      <w:r w:rsidR="00F373A3" w:rsidRPr="00181FCD">
        <w:t xml:space="preserve"> </w:t>
      </w:r>
      <w:r w:rsidRPr="00181FCD">
        <w:t>para</w:t>
      </w:r>
      <w:r w:rsidR="00F373A3" w:rsidRPr="00181FCD">
        <w:t xml:space="preserve"> </w:t>
      </w:r>
      <w:r w:rsidRPr="00181FCD">
        <w:t>supervisar</w:t>
      </w:r>
      <w:r w:rsidR="00F373A3" w:rsidRPr="00181FCD">
        <w:t xml:space="preserve"> </w:t>
      </w:r>
      <w:r w:rsidRPr="00181FCD">
        <w:t>y</w:t>
      </w:r>
      <w:r w:rsidR="00F373A3" w:rsidRPr="00181FCD">
        <w:t xml:space="preserve"> </w:t>
      </w:r>
      <w:r w:rsidRPr="00181FCD">
        <w:t>fiscalizar</w:t>
      </w:r>
      <w:r w:rsidR="00F373A3" w:rsidRPr="00181FCD">
        <w:t xml:space="preserve"> </w:t>
      </w:r>
      <w:r w:rsidRPr="00181FCD">
        <w:t>todas</w:t>
      </w:r>
      <w:r w:rsidR="00F373A3" w:rsidRPr="00181FCD">
        <w:t xml:space="preserve"> </w:t>
      </w:r>
      <w:r w:rsidRPr="00181FCD">
        <w:t>las</w:t>
      </w:r>
      <w:r w:rsidR="00F373A3" w:rsidRPr="00181FCD">
        <w:t xml:space="preserve"> </w:t>
      </w:r>
      <w:r w:rsidRPr="00181FCD">
        <w:t>instituciones</w:t>
      </w:r>
      <w:r w:rsidR="00F373A3" w:rsidRPr="00181FCD">
        <w:t xml:space="preserve"> </w:t>
      </w:r>
      <w:r w:rsidRPr="00181FCD">
        <w:t>pertinentes.</w:t>
      </w:r>
      <w:r w:rsidR="00F373A3" w:rsidRPr="00181FCD">
        <w:t xml:space="preserve"> </w:t>
      </w:r>
      <w:r w:rsidRPr="00181FCD">
        <w:t>Por</w:t>
      </w:r>
      <w:r w:rsidR="00F373A3" w:rsidRPr="00181FCD">
        <w:t xml:space="preserve"> </w:t>
      </w:r>
      <w:r w:rsidRPr="00181FCD">
        <w:t>otra</w:t>
      </w:r>
      <w:r w:rsidR="00F373A3" w:rsidRPr="00181FCD">
        <w:t xml:space="preserve"> </w:t>
      </w:r>
      <w:r w:rsidRPr="00181FCD">
        <w:t>parte,</w:t>
      </w:r>
      <w:r w:rsidR="00F373A3" w:rsidRPr="00181FCD">
        <w:t xml:space="preserve"> </w:t>
      </w:r>
      <w:r w:rsidRPr="00181FCD">
        <w:t>el</w:t>
      </w:r>
      <w:r w:rsidR="00F373A3" w:rsidRPr="00181FCD">
        <w:t xml:space="preserve"> </w:t>
      </w:r>
      <w:r w:rsidRPr="00181FCD">
        <w:t>sector</w:t>
      </w:r>
      <w:r w:rsidR="00F373A3" w:rsidRPr="00181FCD">
        <w:t xml:space="preserve"> </w:t>
      </w:r>
      <w:r w:rsidRPr="00181FCD">
        <w:t>de</w:t>
      </w:r>
      <w:r w:rsidR="00F373A3" w:rsidRPr="00181FCD">
        <w:t xml:space="preserve"> </w:t>
      </w:r>
      <w:r w:rsidRPr="00181FCD">
        <w:t>la</w:t>
      </w:r>
      <w:r w:rsidR="00F373A3" w:rsidRPr="00181FCD">
        <w:t xml:space="preserve"> </w:t>
      </w:r>
      <w:r w:rsidRPr="00181FCD">
        <w:t>sociedad</w:t>
      </w:r>
      <w:r w:rsidR="00F373A3" w:rsidRPr="00181FCD">
        <w:t xml:space="preserve"> </w:t>
      </w:r>
      <w:r w:rsidRPr="00181FCD">
        <w:t>civil</w:t>
      </w:r>
      <w:r w:rsidR="00F373A3" w:rsidRPr="00181FCD">
        <w:t xml:space="preserve"> </w:t>
      </w:r>
      <w:r w:rsidRPr="00181FCD">
        <w:t>puede,</w:t>
      </w:r>
      <w:r w:rsidR="00F373A3" w:rsidRPr="00181FCD">
        <w:t xml:space="preserve"> </w:t>
      </w:r>
      <w:r w:rsidRPr="00181FCD">
        <w:t>sin</w:t>
      </w:r>
      <w:r w:rsidR="00F373A3" w:rsidRPr="00181FCD">
        <w:t xml:space="preserve"> </w:t>
      </w:r>
      <w:r w:rsidRPr="00181FCD">
        <w:t>ningún</w:t>
      </w:r>
      <w:r w:rsidR="00F373A3" w:rsidRPr="00181FCD">
        <w:t xml:space="preserve"> </w:t>
      </w:r>
      <w:r w:rsidRPr="00181FCD">
        <w:t>obstáculo,</w:t>
      </w:r>
      <w:r w:rsidR="00F373A3" w:rsidRPr="00181FCD">
        <w:t xml:space="preserve"> </w:t>
      </w:r>
      <w:r w:rsidRPr="00181FCD">
        <w:t>llevar</w:t>
      </w:r>
      <w:r w:rsidR="00F373A3" w:rsidRPr="00181FCD">
        <w:t xml:space="preserve"> </w:t>
      </w:r>
      <w:r w:rsidRPr="00181FCD">
        <w:t>a</w:t>
      </w:r>
      <w:r w:rsidR="00F373A3" w:rsidRPr="00181FCD">
        <w:t xml:space="preserve"> </w:t>
      </w:r>
      <w:r w:rsidRPr="00181FCD">
        <w:t>cabo</w:t>
      </w:r>
      <w:r w:rsidR="00F373A3" w:rsidRPr="00181FCD">
        <w:t xml:space="preserve"> </w:t>
      </w:r>
      <w:r w:rsidRPr="00181FCD">
        <w:t>investigaciones</w:t>
      </w:r>
      <w:r w:rsidR="00F373A3" w:rsidRPr="00181FCD">
        <w:t xml:space="preserve"> </w:t>
      </w:r>
      <w:r w:rsidRPr="00181FCD">
        <w:t>y</w:t>
      </w:r>
      <w:r w:rsidR="00F373A3" w:rsidRPr="00181FCD">
        <w:t xml:space="preserve"> </w:t>
      </w:r>
      <w:r w:rsidRPr="00181FCD">
        <w:t>supervisar</w:t>
      </w:r>
      <w:r w:rsidR="00F373A3" w:rsidRPr="00181FCD">
        <w:t xml:space="preserve"> </w:t>
      </w:r>
      <w:r w:rsidRPr="00181FCD">
        <w:t>los</w:t>
      </w:r>
      <w:r w:rsidR="00F373A3" w:rsidRPr="00181FCD">
        <w:t xml:space="preserve"> </w:t>
      </w:r>
      <w:r w:rsidRPr="00181FCD">
        <w:t>organismos</w:t>
      </w:r>
      <w:r w:rsidR="00F373A3" w:rsidRPr="00181FCD">
        <w:t xml:space="preserve"> </w:t>
      </w:r>
      <w:r w:rsidRPr="00181FCD">
        <w:t>responsables</w:t>
      </w:r>
      <w:r w:rsidR="00F373A3" w:rsidRPr="00181FCD">
        <w:t xml:space="preserve"> </w:t>
      </w:r>
      <w:r w:rsidRPr="00181FCD">
        <w:t>de</w:t>
      </w:r>
      <w:r w:rsidR="00F373A3" w:rsidRPr="00181FCD">
        <w:t xml:space="preserve"> </w:t>
      </w:r>
      <w:r w:rsidRPr="00181FCD">
        <w:t>la</w:t>
      </w:r>
      <w:r w:rsidR="00F373A3" w:rsidRPr="00181FCD">
        <w:t xml:space="preserve"> </w:t>
      </w:r>
      <w:r w:rsidRPr="00181FCD">
        <w:t>protección</w:t>
      </w:r>
      <w:r w:rsidR="00F373A3" w:rsidRPr="00181FCD">
        <w:t xml:space="preserve"> </w:t>
      </w:r>
      <w:r w:rsidRPr="00181FCD">
        <w:t>y</w:t>
      </w:r>
      <w:r w:rsidR="00F373A3" w:rsidRPr="00181FCD">
        <w:t xml:space="preserve"> </w:t>
      </w:r>
      <w:r w:rsidRPr="00181FCD">
        <w:t>el</w:t>
      </w:r>
      <w:r w:rsidR="00F373A3" w:rsidRPr="00181FCD">
        <w:t xml:space="preserve"> </w:t>
      </w:r>
      <w:r w:rsidRPr="00181FCD">
        <w:t>bienestar</w:t>
      </w:r>
      <w:r w:rsidR="00F373A3" w:rsidRPr="00181FCD">
        <w:t xml:space="preserve"> </w:t>
      </w:r>
      <w:r w:rsidRPr="00181FCD">
        <w:t>de</w:t>
      </w:r>
      <w:r w:rsidR="00F373A3" w:rsidRPr="00181FCD">
        <w:t xml:space="preserve"> </w:t>
      </w:r>
      <w:r w:rsidRPr="00181FCD">
        <w:t>los</w:t>
      </w:r>
      <w:r w:rsidR="00F373A3" w:rsidRPr="00181FCD">
        <w:t xml:space="preserve"> </w:t>
      </w:r>
      <w:r w:rsidRPr="00181FCD">
        <w:t>niños.</w:t>
      </w:r>
    </w:p>
    <w:p w:rsidR="001937F4" w:rsidRPr="00181FCD" w:rsidRDefault="001937F4" w:rsidP="00347B20">
      <w:pPr>
        <w:pStyle w:val="SingleTxtG"/>
        <w:suppressAutoHyphens/>
      </w:pPr>
      <w:r w:rsidRPr="00181FCD">
        <w:t>88.</w:t>
      </w:r>
      <w:r w:rsidRPr="00181FCD">
        <w:tab/>
        <w:t>Los</w:t>
      </w:r>
      <w:r w:rsidR="00F373A3" w:rsidRPr="00181FCD">
        <w:t xml:space="preserve"> </w:t>
      </w:r>
      <w:r w:rsidRPr="00181FCD">
        <w:t>derechos</w:t>
      </w:r>
      <w:r w:rsidR="00F373A3" w:rsidRPr="00181FCD">
        <w:t xml:space="preserve"> </w:t>
      </w:r>
      <w:r w:rsidRPr="00181FCD">
        <w:t>del</w:t>
      </w:r>
      <w:r w:rsidR="00F373A3" w:rsidRPr="00181FCD">
        <w:t xml:space="preserve"> </w:t>
      </w:r>
      <w:r w:rsidRPr="00181FCD">
        <w:t>niño</w:t>
      </w:r>
      <w:r w:rsidR="00F373A3" w:rsidRPr="00181FCD">
        <w:t xml:space="preserve"> </w:t>
      </w:r>
      <w:r w:rsidRPr="00181FCD">
        <w:t>son</w:t>
      </w:r>
      <w:r w:rsidR="00F373A3" w:rsidRPr="00181FCD">
        <w:t xml:space="preserve"> </w:t>
      </w:r>
      <w:r w:rsidRPr="00181FCD">
        <w:t>una</w:t>
      </w:r>
      <w:r w:rsidR="00F373A3" w:rsidRPr="00181FCD">
        <w:t xml:space="preserve"> </w:t>
      </w:r>
      <w:r w:rsidRPr="00181FCD">
        <w:t>prioridad</w:t>
      </w:r>
      <w:r w:rsidR="00F373A3" w:rsidRPr="00181FCD">
        <w:t xml:space="preserve"> </w:t>
      </w:r>
      <w:r w:rsidRPr="00181FCD">
        <w:t>para</w:t>
      </w:r>
      <w:r w:rsidR="00F373A3" w:rsidRPr="00181FCD">
        <w:t xml:space="preserve"> </w:t>
      </w:r>
      <w:r w:rsidRPr="00181FCD">
        <w:t>Bulgaria,</w:t>
      </w:r>
      <w:r w:rsidR="00F373A3" w:rsidRPr="00181FCD">
        <w:t xml:space="preserve"> </w:t>
      </w:r>
      <w:r w:rsidRPr="00181FCD">
        <w:t>y</w:t>
      </w:r>
      <w:r w:rsidR="00F373A3" w:rsidRPr="00181FCD">
        <w:t xml:space="preserve"> </w:t>
      </w:r>
      <w:r w:rsidRPr="00181FCD">
        <w:t>el</w:t>
      </w:r>
      <w:r w:rsidR="00F373A3" w:rsidRPr="00181FCD">
        <w:t xml:space="preserve"> </w:t>
      </w:r>
      <w:r w:rsidRPr="00181FCD">
        <w:t>Gobierno</w:t>
      </w:r>
      <w:r w:rsidR="00F373A3" w:rsidRPr="00181FCD">
        <w:t xml:space="preserve"> </w:t>
      </w:r>
      <w:r w:rsidRPr="00181FCD">
        <w:t>trabaja</w:t>
      </w:r>
      <w:r w:rsidR="00F373A3" w:rsidRPr="00181FCD">
        <w:t xml:space="preserve"> </w:t>
      </w:r>
      <w:r w:rsidRPr="00181FCD">
        <w:t>muy</w:t>
      </w:r>
      <w:r w:rsidR="00F373A3" w:rsidRPr="00181FCD">
        <w:t xml:space="preserve"> </w:t>
      </w:r>
      <w:r w:rsidRPr="00181FCD">
        <w:t>activamente,</w:t>
      </w:r>
      <w:r w:rsidR="00F373A3" w:rsidRPr="00181FCD">
        <w:t xml:space="preserve"> </w:t>
      </w:r>
      <w:r w:rsidRPr="00181FCD">
        <w:t>especialmente</w:t>
      </w:r>
      <w:r w:rsidR="00F373A3" w:rsidRPr="00181FCD">
        <w:t xml:space="preserve"> </w:t>
      </w:r>
      <w:r w:rsidRPr="00181FCD">
        <w:t>en</w:t>
      </w:r>
      <w:r w:rsidR="00F373A3" w:rsidRPr="00181FCD">
        <w:t xml:space="preserve"> </w:t>
      </w:r>
      <w:r w:rsidRPr="00181FCD">
        <w:t>lo</w:t>
      </w:r>
      <w:r w:rsidR="00F373A3" w:rsidRPr="00181FCD">
        <w:t xml:space="preserve"> </w:t>
      </w:r>
      <w:r w:rsidRPr="00181FCD">
        <w:t>que</w:t>
      </w:r>
      <w:r w:rsidR="00F373A3" w:rsidRPr="00181FCD">
        <w:t xml:space="preserve"> </w:t>
      </w:r>
      <w:r w:rsidRPr="00181FCD">
        <w:t>respecta</w:t>
      </w:r>
      <w:r w:rsidR="00F373A3" w:rsidRPr="00181FCD">
        <w:t xml:space="preserve"> </w:t>
      </w:r>
      <w:r w:rsidRPr="00181FCD">
        <w:t>retirar</w:t>
      </w:r>
      <w:r w:rsidR="00F373A3" w:rsidRPr="00181FCD">
        <w:t xml:space="preserve"> </w:t>
      </w:r>
      <w:r w:rsidRPr="00181FCD">
        <w:t>gradualmente</w:t>
      </w:r>
      <w:r w:rsidR="00F373A3" w:rsidRPr="00181FCD">
        <w:t xml:space="preserve"> </w:t>
      </w:r>
      <w:r w:rsidRPr="00181FCD">
        <w:t>a</w:t>
      </w:r>
      <w:r w:rsidR="00F373A3" w:rsidRPr="00181FCD">
        <w:t xml:space="preserve"> </w:t>
      </w:r>
      <w:r w:rsidRPr="00181FCD">
        <w:t>los</w:t>
      </w:r>
      <w:r w:rsidR="00F373A3" w:rsidRPr="00181FCD">
        <w:t xml:space="preserve"> </w:t>
      </w:r>
      <w:r w:rsidRPr="00181FCD">
        <w:t>niños</w:t>
      </w:r>
      <w:r w:rsidR="00F373A3" w:rsidRPr="00181FCD">
        <w:t xml:space="preserve"> </w:t>
      </w:r>
      <w:r w:rsidRPr="00181FCD">
        <w:t>internados</w:t>
      </w:r>
      <w:r w:rsidR="00F373A3" w:rsidRPr="00181FCD">
        <w:t xml:space="preserve"> </w:t>
      </w:r>
      <w:r w:rsidRPr="00181FCD">
        <w:t>en</w:t>
      </w:r>
      <w:r w:rsidR="00F373A3" w:rsidRPr="00181FCD">
        <w:t xml:space="preserve"> </w:t>
      </w:r>
      <w:r w:rsidRPr="00181FCD">
        <w:t>instituciones.</w:t>
      </w:r>
      <w:r w:rsidR="00F373A3" w:rsidRPr="00181FCD">
        <w:t xml:space="preserve"> </w:t>
      </w:r>
      <w:r w:rsidRPr="00181FCD">
        <w:t>La</w:t>
      </w:r>
      <w:r w:rsidR="00F373A3" w:rsidRPr="00181FCD">
        <w:t xml:space="preserve"> </w:t>
      </w:r>
      <w:r w:rsidRPr="00181FCD">
        <w:t>reforma</w:t>
      </w:r>
      <w:r w:rsidR="00F373A3" w:rsidRPr="00181FCD">
        <w:t xml:space="preserve"> </w:t>
      </w:r>
      <w:r w:rsidRPr="00181FCD">
        <w:t>en</w:t>
      </w:r>
      <w:r w:rsidR="00F373A3" w:rsidRPr="00181FCD">
        <w:t xml:space="preserve"> </w:t>
      </w:r>
      <w:r w:rsidRPr="00181FCD">
        <w:t>el</w:t>
      </w:r>
      <w:r w:rsidR="00F373A3" w:rsidRPr="00181FCD">
        <w:t xml:space="preserve"> </w:t>
      </w:r>
      <w:r w:rsidRPr="00181FCD">
        <w:t>ámbito</w:t>
      </w:r>
      <w:r w:rsidR="00F373A3" w:rsidRPr="00181FCD">
        <w:t xml:space="preserve"> </w:t>
      </w:r>
      <w:r w:rsidRPr="00181FCD">
        <w:t>de</w:t>
      </w:r>
      <w:r w:rsidR="00F373A3" w:rsidRPr="00181FCD">
        <w:t xml:space="preserve"> </w:t>
      </w:r>
      <w:r w:rsidRPr="00181FCD">
        <w:t>la</w:t>
      </w:r>
      <w:r w:rsidR="00F373A3" w:rsidRPr="00181FCD">
        <w:t xml:space="preserve"> </w:t>
      </w:r>
      <w:r w:rsidRPr="00181FCD">
        <w:t>protección</w:t>
      </w:r>
      <w:r w:rsidR="00F373A3" w:rsidRPr="00181FCD">
        <w:t xml:space="preserve"> </w:t>
      </w:r>
      <w:r w:rsidRPr="00181FCD">
        <w:t>de</w:t>
      </w:r>
      <w:r w:rsidR="00F373A3" w:rsidRPr="00181FCD">
        <w:t xml:space="preserve"> </w:t>
      </w:r>
      <w:r w:rsidRPr="00181FCD">
        <w:t>la</w:t>
      </w:r>
      <w:r w:rsidR="00F373A3" w:rsidRPr="00181FCD">
        <w:t xml:space="preserve"> </w:t>
      </w:r>
      <w:r w:rsidRPr="00181FCD">
        <w:t>infancia,</w:t>
      </w:r>
      <w:r w:rsidR="00F373A3" w:rsidRPr="00181FCD">
        <w:t xml:space="preserve"> </w:t>
      </w:r>
      <w:r w:rsidRPr="00181FCD">
        <w:t>de</w:t>
      </w:r>
      <w:r w:rsidR="00F373A3" w:rsidRPr="00181FCD">
        <w:t xml:space="preserve"> </w:t>
      </w:r>
      <w:r w:rsidRPr="00181FCD">
        <w:t>la</w:t>
      </w:r>
      <w:r w:rsidR="00F373A3" w:rsidRPr="00181FCD">
        <w:t xml:space="preserve"> </w:t>
      </w:r>
      <w:r w:rsidRPr="00181FCD">
        <w:t>que</w:t>
      </w:r>
      <w:r w:rsidR="00F373A3" w:rsidRPr="00181FCD">
        <w:t xml:space="preserve"> </w:t>
      </w:r>
      <w:r w:rsidRPr="00181FCD">
        <w:t>también</w:t>
      </w:r>
      <w:r w:rsidR="00F373A3" w:rsidRPr="00181FCD">
        <w:t xml:space="preserve"> </w:t>
      </w:r>
      <w:r w:rsidRPr="00181FCD">
        <w:t>forma</w:t>
      </w:r>
      <w:r w:rsidR="00F373A3" w:rsidRPr="00181FCD">
        <w:t xml:space="preserve"> </w:t>
      </w:r>
      <w:r w:rsidRPr="00181FCD">
        <w:t>parte</w:t>
      </w:r>
      <w:r w:rsidR="00F373A3" w:rsidRPr="00181FCD">
        <w:t xml:space="preserve"> </w:t>
      </w:r>
      <w:r w:rsidRPr="00181FCD">
        <w:t>esencial</w:t>
      </w:r>
      <w:r w:rsidR="00F373A3" w:rsidRPr="00181FCD">
        <w:t xml:space="preserve"> </w:t>
      </w:r>
      <w:r w:rsidRPr="00181FCD">
        <w:t>el</w:t>
      </w:r>
      <w:r w:rsidR="00F373A3" w:rsidRPr="00181FCD">
        <w:t xml:space="preserve"> </w:t>
      </w:r>
      <w:r w:rsidRPr="00181FCD">
        <w:t>proceso</w:t>
      </w:r>
      <w:r w:rsidR="00F373A3" w:rsidRPr="00181FCD">
        <w:t xml:space="preserve"> </w:t>
      </w:r>
      <w:r w:rsidRPr="00181FCD">
        <w:t>de</w:t>
      </w:r>
      <w:r w:rsidR="00F373A3" w:rsidRPr="00181FCD">
        <w:t xml:space="preserve"> </w:t>
      </w:r>
      <w:r w:rsidRPr="00181FCD">
        <w:t>desinstitucionalización,</w:t>
      </w:r>
      <w:r w:rsidR="00F373A3" w:rsidRPr="00181FCD">
        <w:t xml:space="preserve"> </w:t>
      </w:r>
      <w:r w:rsidRPr="00181FCD">
        <w:t>implica</w:t>
      </w:r>
      <w:r w:rsidR="00F373A3" w:rsidRPr="00181FCD">
        <w:t xml:space="preserve"> </w:t>
      </w:r>
      <w:r w:rsidRPr="00181FCD">
        <w:t>una</w:t>
      </w:r>
      <w:r w:rsidR="00F373A3" w:rsidRPr="00181FCD">
        <w:t xml:space="preserve"> </w:t>
      </w:r>
      <w:r w:rsidRPr="00181FCD">
        <w:t>tendencia</w:t>
      </w:r>
      <w:r w:rsidR="00F373A3" w:rsidRPr="00181FCD">
        <w:t xml:space="preserve"> </w:t>
      </w:r>
      <w:r w:rsidRPr="00181FCD">
        <w:t>duradera</w:t>
      </w:r>
      <w:r w:rsidR="00F373A3" w:rsidRPr="00181FCD">
        <w:t xml:space="preserve"> </w:t>
      </w:r>
      <w:r w:rsidRPr="00181FCD">
        <w:t>a</w:t>
      </w:r>
      <w:r w:rsidR="00F373A3" w:rsidRPr="00181FCD">
        <w:t xml:space="preserve"> </w:t>
      </w:r>
      <w:r w:rsidRPr="00181FCD">
        <w:t>la</w:t>
      </w:r>
      <w:r w:rsidR="00F373A3" w:rsidRPr="00181FCD">
        <w:t xml:space="preserve"> </w:t>
      </w:r>
      <w:r w:rsidRPr="00181FCD">
        <w:t>disminución</w:t>
      </w:r>
      <w:r w:rsidR="00F373A3" w:rsidRPr="00181FCD">
        <w:t xml:space="preserve"> </w:t>
      </w:r>
      <w:r w:rsidRPr="00181FCD">
        <w:t>del</w:t>
      </w:r>
      <w:r w:rsidR="00F373A3" w:rsidRPr="00181FCD">
        <w:t xml:space="preserve"> </w:t>
      </w:r>
      <w:r w:rsidRPr="00181FCD">
        <w:t>número</w:t>
      </w:r>
      <w:r w:rsidR="00F373A3" w:rsidRPr="00181FCD">
        <w:t xml:space="preserve"> </w:t>
      </w:r>
      <w:r w:rsidRPr="00181FCD">
        <w:t>de</w:t>
      </w:r>
      <w:r w:rsidR="00F373A3" w:rsidRPr="00181FCD">
        <w:t xml:space="preserve"> </w:t>
      </w:r>
      <w:r w:rsidRPr="00181FCD">
        <w:t>niños</w:t>
      </w:r>
      <w:r w:rsidR="00F373A3" w:rsidRPr="00181FCD">
        <w:t xml:space="preserve"> </w:t>
      </w:r>
      <w:r w:rsidRPr="00181FCD">
        <w:t>criados</w:t>
      </w:r>
      <w:r w:rsidR="00F373A3" w:rsidRPr="00181FCD">
        <w:t xml:space="preserve"> </w:t>
      </w:r>
      <w:r w:rsidRPr="00181FCD">
        <w:t>en</w:t>
      </w:r>
      <w:r w:rsidR="00F373A3" w:rsidRPr="00181FCD">
        <w:t xml:space="preserve"> </w:t>
      </w:r>
      <w:r w:rsidRPr="00181FCD">
        <w:t>instituciones</w:t>
      </w:r>
      <w:r w:rsidR="00F373A3" w:rsidRPr="00181FCD">
        <w:t xml:space="preserve"> </w:t>
      </w:r>
      <w:r w:rsidRPr="00181FCD">
        <w:t>especializadas.</w:t>
      </w:r>
      <w:r w:rsidR="00F373A3" w:rsidRPr="00181FCD">
        <w:t xml:space="preserve"> </w:t>
      </w:r>
      <w:r w:rsidRPr="00181FCD">
        <w:t>Se</w:t>
      </w:r>
      <w:r w:rsidR="00F373A3" w:rsidRPr="00181FCD">
        <w:t xml:space="preserve"> </w:t>
      </w:r>
      <w:r w:rsidRPr="00181FCD">
        <w:t>lleva</w:t>
      </w:r>
      <w:r w:rsidR="00F373A3" w:rsidRPr="00181FCD">
        <w:t xml:space="preserve"> </w:t>
      </w:r>
      <w:r w:rsidRPr="00181FCD">
        <w:t>a</w:t>
      </w:r>
      <w:r w:rsidR="00F373A3" w:rsidRPr="00181FCD">
        <w:t xml:space="preserve"> </w:t>
      </w:r>
      <w:r w:rsidRPr="00181FCD">
        <w:t>cabo</w:t>
      </w:r>
      <w:r w:rsidR="00F373A3" w:rsidRPr="00181FCD">
        <w:t xml:space="preserve"> </w:t>
      </w:r>
      <w:r w:rsidRPr="00181FCD">
        <w:t>una</w:t>
      </w:r>
      <w:r w:rsidR="00F373A3" w:rsidRPr="00181FCD">
        <w:t xml:space="preserve"> </w:t>
      </w:r>
      <w:r w:rsidRPr="00181FCD">
        <w:t>labor</w:t>
      </w:r>
      <w:r w:rsidR="00F373A3" w:rsidRPr="00181FCD">
        <w:t xml:space="preserve"> </w:t>
      </w:r>
      <w:r w:rsidRPr="00181FCD">
        <w:t>deliberada</w:t>
      </w:r>
      <w:r w:rsidR="00F373A3" w:rsidRPr="00181FCD">
        <w:t xml:space="preserve"> </w:t>
      </w:r>
      <w:r w:rsidRPr="00181FCD">
        <w:t>orientada</w:t>
      </w:r>
      <w:r w:rsidR="00F373A3" w:rsidRPr="00181FCD">
        <w:t xml:space="preserve"> </w:t>
      </w:r>
      <w:r w:rsidRPr="00181FCD">
        <w:t>al</w:t>
      </w:r>
      <w:r w:rsidR="00F373A3" w:rsidRPr="00181FCD">
        <w:t xml:space="preserve"> </w:t>
      </w:r>
      <w:r w:rsidRPr="00181FCD">
        <w:t>cierre</w:t>
      </w:r>
      <w:r w:rsidR="00F373A3" w:rsidRPr="00181FCD">
        <w:t xml:space="preserve"> </w:t>
      </w:r>
      <w:r w:rsidRPr="00181FCD">
        <w:t>de</w:t>
      </w:r>
      <w:r w:rsidR="00F373A3" w:rsidRPr="00181FCD">
        <w:t xml:space="preserve"> </w:t>
      </w:r>
      <w:r w:rsidRPr="00181FCD">
        <w:t>las</w:t>
      </w:r>
      <w:r w:rsidR="00F373A3" w:rsidRPr="00181FCD">
        <w:t xml:space="preserve"> </w:t>
      </w:r>
      <w:r w:rsidRPr="00181FCD">
        <w:t>instalaciones</w:t>
      </w:r>
      <w:r w:rsidR="00F373A3" w:rsidRPr="00181FCD">
        <w:t xml:space="preserve"> </w:t>
      </w:r>
      <w:r w:rsidRPr="00181FCD">
        <w:t>para</w:t>
      </w:r>
      <w:r w:rsidR="00F373A3" w:rsidRPr="00181FCD">
        <w:t xml:space="preserve"> </w:t>
      </w:r>
      <w:r w:rsidRPr="00181FCD">
        <w:t>niños</w:t>
      </w:r>
      <w:r w:rsidR="00F373A3" w:rsidRPr="00181FCD">
        <w:t xml:space="preserve"> </w:t>
      </w:r>
      <w:r w:rsidRPr="00181FCD">
        <w:t>y,</w:t>
      </w:r>
      <w:r w:rsidR="00F373A3" w:rsidRPr="00181FCD">
        <w:t xml:space="preserve"> </w:t>
      </w:r>
      <w:r w:rsidRPr="00181FCD">
        <w:t>junto</w:t>
      </w:r>
      <w:r w:rsidR="00F373A3" w:rsidRPr="00181FCD">
        <w:t xml:space="preserve"> </w:t>
      </w:r>
      <w:r w:rsidRPr="00181FCD">
        <w:t>con</w:t>
      </w:r>
      <w:r w:rsidR="00F373A3" w:rsidRPr="00181FCD">
        <w:t xml:space="preserve"> </w:t>
      </w:r>
      <w:r w:rsidRPr="00181FCD">
        <w:t>ello,</w:t>
      </w:r>
      <w:r w:rsidR="00F373A3" w:rsidRPr="00181FCD">
        <w:t xml:space="preserve"> </w:t>
      </w:r>
      <w:r w:rsidRPr="00181FCD">
        <w:t>al</w:t>
      </w:r>
      <w:r w:rsidR="00F373A3" w:rsidRPr="00181FCD">
        <w:t xml:space="preserve"> </w:t>
      </w:r>
      <w:r w:rsidRPr="00181FCD">
        <w:t>desarrollo</w:t>
      </w:r>
      <w:r w:rsidR="00F373A3" w:rsidRPr="00181FCD">
        <w:t xml:space="preserve"> </w:t>
      </w:r>
      <w:r w:rsidRPr="00181FCD">
        <w:t>de</w:t>
      </w:r>
      <w:r w:rsidR="00F373A3" w:rsidRPr="00181FCD">
        <w:t xml:space="preserve"> </w:t>
      </w:r>
      <w:r w:rsidRPr="00181FCD">
        <w:t>nuevos</w:t>
      </w:r>
      <w:r w:rsidR="00F373A3" w:rsidRPr="00181FCD">
        <w:t xml:space="preserve"> </w:t>
      </w:r>
      <w:r w:rsidRPr="00181FCD">
        <w:t>servicios</w:t>
      </w:r>
      <w:r w:rsidR="00F373A3" w:rsidRPr="00181FCD">
        <w:t xml:space="preserve"> </w:t>
      </w:r>
      <w:r w:rsidRPr="00181FCD">
        <w:t>sociales.</w:t>
      </w:r>
    </w:p>
    <w:p w:rsidR="001937F4" w:rsidRPr="00181FCD" w:rsidRDefault="001937F4" w:rsidP="00347B20">
      <w:pPr>
        <w:pStyle w:val="SingleTxtG"/>
        <w:suppressAutoHyphens/>
      </w:pPr>
      <w:r w:rsidRPr="00181FCD">
        <w:t>89.</w:t>
      </w:r>
      <w:r w:rsidRPr="00181FCD">
        <w:tab/>
        <w:t>En</w:t>
      </w:r>
      <w:r w:rsidR="00F373A3" w:rsidRPr="00181FCD">
        <w:t xml:space="preserve"> </w:t>
      </w:r>
      <w:r w:rsidRPr="00181FCD">
        <w:t>los</w:t>
      </w:r>
      <w:r w:rsidR="00F373A3" w:rsidRPr="00181FCD">
        <w:t xml:space="preserve"> </w:t>
      </w:r>
      <w:r w:rsidRPr="00181FCD">
        <w:t>cinco</w:t>
      </w:r>
      <w:r w:rsidR="00F373A3" w:rsidRPr="00181FCD">
        <w:t xml:space="preserve"> </w:t>
      </w:r>
      <w:r w:rsidRPr="00181FCD">
        <w:t>últimos</w:t>
      </w:r>
      <w:r w:rsidR="00F373A3" w:rsidRPr="00181FCD">
        <w:t xml:space="preserve"> </w:t>
      </w:r>
      <w:r w:rsidRPr="00181FCD">
        <w:t>años,</w:t>
      </w:r>
      <w:r w:rsidR="00F373A3" w:rsidRPr="00181FCD">
        <w:t xml:space="preserve"> </w:t>
      </w:r>
      <w:r w:rsidRPr="00181FCD">
        <w:t>la</w:t>
      </w:r>
      <w:r w:rsidR="00F373A3" w:rsidRPr="00181FCD">
        <w:t xml:space="preserve"> </w:t>
      </w:r>
      <w:r w:rsidRPr="00181FCD">
        <w:t>política</w:t>
      </w:r>
      <w:r w:rsidR="00F373A3" w:rsidRPr="00181FCD">
        <w:t xml:space="preserve"> </w:t>
      </w:r>
      <w:r w:rsidRPr="00181FCD">
        <w:t>de</w:t>
      </w:r>
      <w:r w:rsidR="00F373A3" w:rsidRPr="00181FCD">
        <w:t xml:space="preserve"> </w:t>
      </w:r>
      <w:r w:rsidRPr="00181FCD">
        <w:t>prestación</w:t>
      </w:r>
      <w:r w:rsidR="00F373A3" w:rsidRPr="00181FCD">
        <w:t xml:space="preserve"> </w:t>
      </w:r>
      <w:r w:rsidRPr="00181FCD">
        <w:t>de</w:t>
      </w:r>
      <w:r w:rsidR="00F373A3" w:rsidRPr="00181FCD">
        <w:t xml:space="preserve"> </w:t>
      </w:r>
      <w:r w:rsidRPr="00181FCD">
        <w:t>apoyo</w:t>
      </w:r>
      <w:r w:rsidR="00F373A3" w:rsidRPr="00181FCD">
        <w:t xml:space="preserve"> </w:t>
      </w:r>
      <w:r w:rsidRPr="00181FCD">
        <w:t>a</w:t>
      </w:r>
      <w:r w:rsidR="00F373A3" w:rsidRPr="00181FCD">
        <w:t xml:space="preserve"> </w:t>
      </w:r>
      <w:r w:rsidRPr="00181FCD">
        <w:t>los</w:t>
      </w:r>
      <w:r w:rsidR="00F373A3" w:rsidRPr="00181FCD">
        <w:t xml:space="preserve"> </w:t>
      </w:r>
      <w:r w:rsidRPr="00181FCD">
        <w:t>niños</w:t>
      </w:r>
      <w:r w:rsidR="00F373A3" w:rsidRPr="00181FCD">
        <w:t xml:space="preserve"> </w:t>
      </w:r>
      <w:r w:rsidRPr="00181FCD">
        <w:t>y</w:t>
      </w:r>
      <w:r w:rsidR="00F373A3" w:rsidRPr="00181FCD">
        <w:t xml:space="preserve"> </w:t>
      </w:r>
      <w:r w:rsidRPr="00181FCD">
        <w:t>familias</w:t>
      </w:r>
      <w:r w:rsidR="00F373A3" w:rsidRPr="00181FCD">
        <w:t xml:space="preserve"> </w:t>
      </w:r>
      <w:r w:rsidRPr="00181FCD">
        <w:t>se</w:t>
      </w:r>
      <w:r w:rsidR="00F373A3" w:rsidRPr="00181FCD">
        <w:t xml:space="preserve"> </w:t>
      </w:r>
      <w:r w:rsidRPr="00181FCD">
        <w:t>dirigía</w:t>
      </w:r>
      <w:r w:rsidR="00F373A3" w:rsidRPr="00181FCD">
        <w:t xml:space="preserve"> </w:t>
      </w:r>
      <w:r w:rsidRPr="00181FCD">
        <w:t>a</w:t>
      </w:r>
      <w:r w:rsidR="00F373A3" w:rsidRPr="00181FCD">
        <w:t xml:space="preserve"> </w:t>
      </w:r>
      <w:r w:rsidRPr="00181FCD">
        <w:t>introducir</w:t>
      </w:r>
      <w:r w:rsidR="00F373A3" w:rsidRPr="00181FCD">
        <w:t xml:space="preserve"> </w:t>
      </w:r>
      <w:r w:rsidRPr="00181FCD">
        <w:t>un</w:t>
      </w:r>
      <w:r w:rsidR="00F373A3" w:rsidRPr="00181FCD">
        <w:t xml:space="preserve"> </w:t>
      </w:r>
      <w:r w:rsidRPr="00181FCD">
        <w:t>enfoque</w:t>
      </w:r>
      <w:r w:rsidR="00F373A3" w:rsidRPr="00181FCD">
        <w:t xml:space="preserve"> </w:t>
      </w:r>
      <w:r w:rsidRPr="00181FCD">
        <w:t>completamente</w:t>
      </w:r>
      <w:r w:rsidR="00F373A3" w:rsidRPr="00181FCD">
        <w:t xml:space="preserve"> </w:t>
      </w:r>
      <w:r w:rsidRPr="00181FCD">
        <w:t>nuevo</w:t>
      </w:r>
      <w:r w:rsidR="00F373A3" w:rsidRPr="00181FCD">
        <w:t xml:space="preserve"> </w:t>
      </w:r>
      <w:r w:rsidRPr="00181FCD">
        <w:t>en</w:t>
      </w:r>
      <w:r w:rsidR="00F373A3" w:rsidRPr="00181FCD">
        <w:t xml:space="preserve"> </w:t>
      </w:r>
      <w:r w:rsidRPr="00181FCD">
        <w:t>el</w:t>
      </w:r>
      <w:r w:rsidR="00F373A3" w:rsidRPr="00181FCD">
        <w:t xml:space="preserve"> </w:t>
      </w:r>
      <w:r w:rsidRPr="00181FCD">
        <w:t>cuidado</w:t>
      </w:r>
      <w:r w:rsidR="00F373A3" w:rsidRPr="00181FCD">
        <w:t xml:space="preserve"> </w:t>
      </w:r>
      <w:r w:rsidRPr="00181FCD">
        <w:t>de</w:t>
      </w:r>
      <w:r w:rsidR="00F373A3" w:rsidRPr="00181FCD">
        <w:t xml:space="preserve"> </w:t>
      </w:r>
      <w:r w:rsidRPr="00181FCD">
        <w:t>la</w:t>
      </w:r>
      <w:r w:rsidR="00F373A3" w:rsidRPr="00181FCD">
        <w:t xml:space="preserve"> </w:t>
      </w:r>
      <w:r w:rsidRPr="00181FCD">
        <w:t>infancia,</w:t>
      </w:r>
      <w:r w:rsidR="00F373A3" w:rsidRPr="00181FCD">
        <w:t xml:space="preserve"> </w:t>
      </w:r>
      <w:r w:rsidRPr="00181FCD">
        <w:t>con</w:t>
      </w:r>
      <w:r w:rsidR="00F373A3" w:rsidRPr="00181FCD">
        <w:t xml:space="preserve"> </w:t>
      </w:r>
      <w:r w:rsidRPr="00181FCD">
        <w:t>fines</w:t>
      </w:r>
      <w:r w:rsidR="00F373A3" w:rsidRPr="00181FCD">
        <w:t xml:space="preserve"> </w:t>
      </w:r>
      <w:r w:rsidRPr="00181FCD">
        <w:t>de</w:t>
      </w:r>
      <w:r w:rsidR="00F373A3" w:rsidRPr="00181FCD">
        <w:t xml:space="preserve"> </w:t>
      </w:r>
      <w:r w:rsidRPr="00181FCD">
        <w:t>prevención,</w:t>
      </w:r>
      <w:r w:rsidR="00F373A3" w:rsidRPr="00181FCD">
        <w:t xml:space="preserve"> </w:t>
      </w:r>
      <w:r w:rsidRPr="00181FCD">
        <w:t>intervención</w:t>
      </w:r>
      <w:r w:rsidR="00F373A3" w:rsidRPr="00181FCD">
        <w:t xml:space="preserve"> </w:t>
      </w:r>
      <w:r w:rsidRPr="00181FCD">
        <w:t>temprana,</w:t>
      </w:r>
      <w:r w:rsidR="00F373A3" w:rsidRPr="00181FCD">
        <w:t xml:space="preserve"> </w:t>
      </w:r>
      <w:r w:rsidRPr="00181FCD">
        <w:t>apoyo</w:t>
      </w:r>
      <w:r w:rsidR="00F373A3" w:rsidRPr="00181FCD">
        <w:t xml:space="preserve"> </w:t>
      </w:r>
      <w:r w:rsidRPr="00181FCD">
        <w:t>a</w:t>
      </w:r>
      <w:r w:rsidR="00F373A3" w:rsidRPr="00181FCD">
        <w:t xml:space="preserve"> </w:t>
      </w:r>
      <w:r w:rsidRPr="00181FCD">
        <w:t>las</w:t>
      </w:r>
      <w:r w:rsidR="00F373A3" w:rsidRPr="00181FCD">
        <w:t xml:space="preserve"> </w:t>
      </w:r>
      <w:r w:rsidRPr="00181FCD">
        <w:t>familias</w:t>
      </w:r>
      <w:r w:rsidR="00F373A3" w:rsidRPr="00181FCD">
        <w:t xml:space="preserve"> </w:t>
      </w:r>
      <w:r w:rsidRPr="00181FCD">
        <w:t>y</w:t>
      </w:r>
      <w:r w:rsidR="00F373A3" w:rsidRPr="00181FCD">
        <w:t xml:space="preserve"> </w:t>
      </w:r>
      <w:r w:rsidRPr="00181FCD">
        <w:t>obtención</w:t>
      </w:r>
      <w:r w:rsidR="00F373A3" w:rsidRPr="00181FCD">
        <w:t xml:space="preserve"> </w:t>
      </w:r>
      <w:r w:rsidRPr="00181FCD">
        <w:t>de</w:t>
      </w:r>
      <w:r w:rsidR="00F373A3" w:rsidRPr="00181FCD">
        <w:t xml:space="preserve"> </w:t>
      </w:r>
      <w:r w:rsidRPr="00181FCD">
        <w:t>un</w:t>
      </w:r>
      <w:r w:rsidR="00F373A3" w:rsidRPr="00181FCD">
        <w:t xml:space="preserve"> </w:t>
      </w:r>
      <w:r w:rsidRPr="00181FCD">
        <w:t>entorno</w:t>
      </w:r>
      <w:r w:rsidR="00F373A3" w:rsidRPr="00181FCD">
        <w:t xml:space="preserve"> </w:t>
      </w:r>
      <w:r w:rsidRPr="00181FCD">
        <w:t>familiar</w:t>
      </w:r>
      <w:r w:rsidR="00F373A3" w:rsidRPr="00181FCD">
        <w:t xml:space="preserve"> </w:t>
      </w:r>
      <w:r w:rsidRPr="00181FCD">
        <w:t>o</w:t>
      </w:r>
      <w:r w:rsidR="00F373A3" w:rsidRPr="00181FCD">
        <w:t xml:space="preserve"> </w:t>
      </w:r>
      <w:r w:rsidRPr="00181FCD">
        <w:t>casi</w:t>
      </w:r>
      <w:r w:rsidR="00F373A3" w:rsidRPr="00181FCD">
        <w:t xml:space="preserve"> </w:t>
      </w:r>
      <w:r w:rsidRPr="00181FCD">
        <w:t>familiar,</w:t>
      </w:r>
      <w:r w:rsidR="00F373A3" w:rsidRPr="00181FCD">
        <w:t xml:space="preserve"> </w:t>
      </w:r>
      <w:r w:rsidRPr="00181FCD">
        <w:t>para</w:t>
      </w:r>
      <w:r w:rsidR="00F373A3" w:rsidRPr="00181FCD">
        <w:t xml:space="preserve"> </w:t>
      </w:r>
      <w:r w:rsidRPr="00181FCD">
        <w:t>cada</w:t>
      </w:r>
      <w:r w:rsidR="00F373A3" w:rsidRPr="00181FCD">
        <w:t xml:space="preserve"> </w:t>
      </w:r>
      <w:r w:rsidRPr="00181FCD">
        <w:t>niño</w:t>
      </w:r>
      <w:r w:rsidR="00F373A3" w:rsidRPr="00181FCD">
        <w:t xml:space="preserve"> </w:t>
      </w:r>
      <w:r w:rsidRPr="00181FCD">
        <w:t>búlgaro.</w:t>
      </w:r>
    </w:p>
    <w:p w:rsidR="001937F4" w:rsidRPr="00181FCD" w:rsidRDefault="001937F4" w:rsidP="00347B20">
      <w:pPr>
        <w:pStyle w:val="SingleTxtG"/>
        <w:suppressAutoHyphens/>
      </w:pPr>
      <w:r w:rsidRPr="00181FCD">
        <w:t>90.</w:t>
      </w:r>
      <w:r w:rsidRPr="00181FCD">
        <w:tab/>
        <w:t>A</w:t>
      </w:r>
      <w:r w:rsidR="00F373A3" w:rsidRPr="00181FCD">
        <w:t xml:space="preserve"> </w:t>
      </w:r>
      <w:r w:rsidRPr="00181FCD">
        <w:t>pesar</w:t>
      </w:r>
      <w:r w:rsidR="00F373A3" w:rsidRPr="00181FCD">
        <w:t xml:space="preserve"> </w:t>
      </w:r>
      <w:r w:rsidRPr="00181FCD">
        <w:t>de</w:t>
      </w:r>
      <w:r w:rsidR="00F373A3" w:rsidRPr="00181FCD">
        <w:t xml:space="preserve"> </w:t>
      </w:r>
      <w:r w:rsidRPr="00181FCD">
        <w:t>que</w:t>
      </w:r>
      <w:r w:rsidR="00F373A3" w:rsidRPr="00181FCD">
        <w:t xml:space="preserve"> </w:t>
      </w:r>
      <w:r w:rsidRPr="00181FCD">
        <w:t>aún</w:t>
      </w:r>
      <w:r w:rsidR="00F373A3" w:rsidRPr="00181FCD">
        <w:t xml:space="preserve"> </w:t>
      </w:r>
      <w:r w:rsidRPr="00181FCD">
        <w:t>queda</w:t>
      </w:r>
      <w:r w:rsidR="00F373A3" w:rsidRPr="00181FCD">
        <w:t xml:space="preserve"> </w:t>
      </w:r>
      <w:r w:rsidRPr="00181FCD">
        <w:t>mucho</w:t>
      </w:r>
      <w:r w:rsidR="00F373A3" w:rsidRPr="00181FCD">
        <w:t xml:space="preserve"> </w:t>
      </w:r>
      <w:r w:rsidRPr="00181FCD">
        <w:t>por</w:t>
      </w:r>
      <w:r w:rsidR="00F373A3" w:rsidRPr="00181FCD">
        <w:t xml:space="preserve"> </w:t>
      </w:r>
      <w:r w:rsidRPr="00181FCD">
        <w:t>hacer,</w:t>
      </w:r>
      <w:r w:rsidR="00F373A3" w:rsidRPr="00181FCD">
        <w:t xml:space="preserve"> </w:t>
      </w:r>
      <w:r w:rsidRPr="00181FCD">
        <w:t>se</w:t>
      </w:r>
      <w:r w:rsidR="00F373A3" w:rsidRPr="00181FCD">
        <w:t xml:space="preserve"> </w:t>
      </w:r>
      <w:r w:rsidRPr="00181FCD">
        <w:t>ha</w:t>
      </w:r>
      <w:r w:rsidR="00F373A3" w:rsidRPr="00181FCD">
        <w:t xml:space="preserve"> </w:t>
      </w:r>
      <w:r w:rsidRPr="00181FCD">
        <w:t>producido</w:t>
      </w:r>
      <w:r w:rsidR="00F373A3" w:rsidRPr="00181FCD">
        <w:t xml:space="preserve"> </w:t>
      </w:r>
      <w:r w:rsidRPr="00181FCD">
        <w:t>un</w:t>
      </w:r>
      <w:r w:rsidR="00F373A3" w:rsidRPr="00181FCD">
        <w:t xml:space="preserve"> </w:t>
      </w:r>
      <w:r w:rsidRPr="00181FCD">
        <w:t>cambio</w:t>
      </w:r>
      <w:r w:rsidR="00F373A3" w:rsidRPr="00181FCD">
        <w:t xml:space="preserve"> </w:t>
      </w:r>
      <w:r w:rsidRPr="00181FCD">
        <w:t>cualitativo</w:t>
      </w:r>
      <w:r w:rsidR="00F373A3" w:rsidRPr="00181FCD">
        <w:t xml:space="preserve"> </w:t>
      </w:r>
      <w:r w:rsidRPr="00181FCD">
        <w:t>en</w:t>
      </w:r>
      <w:r w:rsidR="00F373A3" w:rsidRPr="00181FCD">
        <w:t xml:space="preserve"> </w:t>
      </w:r>
      <w:r w:rsidRPr="00181FCD">
        <w:t>el</w:t>
      </w:r>
      <w:r w:rsidR="00F373A3" w:rsidRPr="00181FCD">
        <w:t xml:space="preserve"> </w:t>
      </w:r>
      <w:r w:rsidRPr="00181FCD">
        <w:t>sistema</w:t>
      </w:r>
      <w:r w:rsidR="00F373A3" w:rsidRPr="00181FCD">
        <w:t xml:space="preserve"> </w:t>
      </w:r>
      <w:r w:rsidRPr="00181FCD">
        <w:t>para</w:t>
      </w:r>
      <w:r w:rsidR="00F373A3" w:rsidRPr="00181FCD">
        <w:t xml:space="preserve"> </w:t>
      </w:r>
      <w:r w:rsidRPr="00181FCD">
        <w:t>la</w:t>
      </w:r>
      <w:r w:rsidR="00F373A3" w:rsidRPr="00181FCD">
        <w:t xml:space="preserve"> </w:t>
      </w:r>
      <w:r w:rsidRPr="00181FCD">
        <w:t>prestación</w:t>
      </w:r>
      <w:r w:rsidR="00F373A3" w:rsidRPr="00181FCD">
        <w:t xml:space="preserve"> </w:t>
      </w:r>
      <w:r w:rsidRPr="00181FCD">
        <w:t>de</w:t>
      </w:r>
      <w:r w:rsidR="00F373A3" w:rsidRPr="00181FCD">
        <w:t xml:space="preserve"> </w:t>
      </w:r>
      <w:r w:rsidRPr="00181FCD">
        <w:t>atención</w:t>
      </w:r>
      <w:r w:rsidR="00F373A3" w:rsidRPr="00181FCD">
        <w:t xml:space="preserve"> </w:t>
      </w:r>
      <w:r w:rsidRPr="00181FCD">
        <w:t>a</w:t>
      </w:r>
      <w:r w:rsidR="00F373A3" w:rsidRPr="00181FCD">
        <w:t xml:space="preserve"> </w:t>
      </w:r>
      <w:r w:rsidRPr="00181FCD">
        <w:t>los</w:t>
      </w:r>
      <w:r w:rsidR="00F373A3" w:rsidRPr="00181FCD">
        <w:t xml:space="preserve"> </w:t>
      </w:r>
      <w:r w:rsidRPr="00181FCD">
        <w:t>niños</w:t>
      </w:r>
      <w:r w:rsidR="00F373A3" w:rsidRPr="00181FCD">
        <w:t xml:space="preserve"> </w:t>
      </w:r>
      <w:r w:rsidRPr="00181FCD">
        <w:t>y</w:t>
      </w:r>
      <w:r w:rsidR="00F373A3" w:rsidRPr="00181FCD">
        <w:t xml:space="preserve"> </w:t>
      </w:r>
      <w:r w:rsidRPr="00181FCD">
        <w:t>sus</w:t>
      </w:r>
      <w:r w:rsidR="00F373A3" w:rsidRPr="00181FCD">
        <w:t xml:space="preserve"> </w:t>
      </w:r>
      <w:r w:rsidRPr="00181FCD">
        <w:t>familias.</w:t>
      </w:r>
      <w:r w:rsidR="00F373A3" w:rsidRPr="00181FCD">
        <w:t xml:space="preserve"> </w:t>
      </w:r>
      <w:r w:rsidRPr="00181FCD">
        <w:t>Las</w:t>
      </w:r>
      <w:r w:rsidR="00F373A3" w:rsidRPr="00181FCD">
        <w:t xml:space="preserve"> </w:t>
      </w:r>
      <w:r w:rsidRPr="00181FCD">
        <w:t>actividades</w:t>
      </w:r>
      <w:r w:rsidR="00F373A3" w:rsidRPr="00181FCD">
        <w:t xml:space="preserve"> </w:t>
      </w:r>
      <w:r w:rsidRPr="00181FCD">
        <w:t>en</w:t>
      </w:r>
      <w:r w:rsidR="00F373A3" w:rsidRPr="00181FCD">
        <w:t xml:space="preserve"> </w:t>
      </w:r>
      <w:r w:rsidRPr="00181FCD">
        <w:t>curso</w:t>
      </w:r>
      <w:r w:rsidR="00F373A3" w:rsidRPr="00181FCD">
        <w:t xml:space="preserve"> </w:t>
      </w:r>
      <w:r w:rsidRPr="00181FCD">
        <w:t>están</w:t>
      </w:r>
      <w:r w:rsidR="00F373A3" w:rsidRPr="00181FCD">
        <w:t xml:space="preserve"> </w:t>
      </w:r>
      <w:r w:rsidRPr="00181FCD">
        <w:t>orientadas</w:t>
      </w:r>
      <w:r w:rsidR="00F373A3" w:rsidRPr="00181FCD">
        <w:t xml:space="preserve"> </w:t>
      </w:r>
      <w:r w:rsidRPr="00181FCD">
        <w:t>a</w:t>
      </w:r>
      <w:r w:rsidR="00F373A3" w:rsidRPr="00181FCD">
        <w:t xml:space="preserve"> </w:t>
      </w:r>
      <w:r w:rsidRPr="00181FCD">
        <w:t>la</w:t>
      </w:r>
      <w:r w:rsidR="00F373A3" w:rsidRPr="00181FCD">
        <w:t xml:space="preserve"> </w:t>
      </w:r>
      <w:r w:rsidRPr="00181FCD">
        <w:t>inclusión</w:t>
      </w:r>
      <w:r w:rsidR="00F373A3" w:rsidRPr="00181FCD">
        <w:t xml:space="preserve"> </w:t>
      </w:r>
      <w:r w:rsidRPr="00181FCD">
        <w:t>social</w:t>
      </w:r>
      <w:r w:rsidR="00F373A3" w:rsidRPr="00181FCD">
        <w:t xml:space="preserve"> </w:t>
      </w:r>
      <w:r w:rsidRPr="00181FCD">
        <w:t>y</w:t>
      </w:r>
      <w:r w:rsidR="00F373A3" w:rsidRPr="00181FCD">
        <w:t xml:space="preserve"> </w:t>
      </w:r>
      <w:r w:rsidRPr="00181FCD">
        <w:t>la</w:t>
      </w:r>
      <w:r w:rsidR="00F373A3" w:rsidRPr="00181FCD">
        <w:t xml:space="preserve"> </w:t>
      </w:r>
      <w:r w:rsidRPr="00181FCD">
        <w:t>participación</w:t>
      </w:r>
      <w:r w:rsidR="00F373A3" w:rsidRPr="00181FCD">
        <w:t xml:space="preserve"> </w:t>
      </w:r>
      <w:r w:rsidRPr="00181FCD">
        <w:t>de</w:t>
      </w:r>
      <w:r w:rsidR="00F373A3" w:rsidRPr="00181FCD">
        <w:t xml:space="preserve"> </w:t>
      </w:r>
      <w:r w:rsidRPr="00181FCD">
        <w:t>todos</w:t>
      </w:r>
      <w:r w:rsidR="00F373A3" w:rsidRPr="00181FCD">
        <w:t xml:space="preserve"> </w:t>
      </w:r>
      <w:r w:rsidRPr="00181FCD">
        <w:t>los</w:t>
      </w:r>
      <w:r w:rsidR="00F373A3" w:rsidRPr="00181FCD">
        <w:t xml:space="preserve"> </w:t>
      </w:r>
      <w:r w:rsidRPr="00181FCD">
        <w:t>niños,</w:t>
      </w:r>
      <w:r w:rsidR="00F373A3" w:rsidRPr="00181FCD">
        <w:t xml:space="preserve"> </w:t>
      </w:r>
      <w:r w:rsidRPr="00181FCD">
        <w:t>así</w:t>
      </w:r>
      <w:r w:rsidR="00F373A3" w:rsidRPr="00181FCD">
        <w:t xml:space="preserve"> </w:t>
      </w:r>
      <w:r w:rsidRPr="00181FCD">
        <w:t>como</w:t>
      </w:r>
      <w:r w:rsidR="00F373A3" w:rsidRPr="00181FCD">
        <w:t xml:space="preserve"> </w:t>
      </w:r>
      <w:r w:rsidRPr="00181FCD">
        <w:t>la</w:t>
      </w:r>
      <w:r w:rsidR="00F373A3" w:rsidRPr="00181FCD">
        <w:t xml:space="preserve"> </w:t>
      </w:r>
      <w:r w:rsidRPr="00181FCD">
        <w:t>sustitución</w:t>
      </w:r>
      <w:r w:rsidR="00F373A3" w:rsidRPr="00181FCD">
        <w:t xml:space="preserve"> </w:t>
      </w:r>
      <w:r w:rsidRPr="00181FCD">
        <w:t>de</w:t>
      </w:r>
      <w:r w:rsidR="00F373A3" w:rsidRPr="00181FCD">
        <w:t xml:space="preserve"> </w:t>
      </w:r>
      <w:r w:rsidRPr="00181FCD">
        <w:t>la</w:t>
      </w:r>
      <w:r w:rsidR="00F373A3" w:rsidRPr="00181FCD">
        <w:t xml:space="preserve"> </w:t>
      </w:r>
      <w:r w:rsidRPr="00181FCD">
        <w:t>atención</w:t>
      </w:r>
      <w:r w:rsidR="00F373A3" w:rsidRPr="00181FCD">
        <w:t xml:space="preserve"> </w:t>
      </w:r>
      <w:r w:rsidRPr="00181FCD">
        <w:t>en</w:t>
      </w:r>
      <w:r w:rsidR="00F373A3" w:rsidRPr="00181FCD">
        <w:t xml:space="preserve"> </w:t>
      </w:r>
      <w:r w:rsidRPr="00181FCD">
        <w:t>instituciones</w:t>
      </w:r>
      <w:r w:rsidR="00F373A3" w:rsidRPr="00181FCD">
        <w:t xml:space="preserve"> </w:t>
      </w:r>
      <w:r w:rsidRPr="00181FCD">
        <w:t>por</w:t>
      </w:r>
      <w:r w:rsidR="00F373A3" w:rsidRPr="00181FCD">
        <w:t xml:space="preserve"> </w:t>
      </w:r>
      <w:r w:rsidRPr="00181FCD">
        <w:t>una</w:t>
      </w:r>
      <w:r w:rsidR="00F373A3" w:rsidRPr="00181FCD">
        <w:t xml:space="preserve"> </w:t>
      </w:r>
      <w:r w:rsidRPr="00181FCD">
        <w:t>atención</w:t>
      </w:r>
      <w:r w:rsidR="00F373A3" w:rsidRPr="00181FCD">
        <w:t xml:space="preserve"> </w:t>
      </w:r>
      <w:r w:rsidRPr="00181FCD">
        <w:t>en</w:t>
      </w:r>
      <w:r w:rsidR="00F373A3" w:rsidRPr="00181FCD">
        <w:t xml:space="preserve"> </w:t>
      </w:r>
      <w:r w:rsidRPr="00181FCD">
        <w:t>la</w:t>
      </w:r>
      <w:r w:rsidR="00F373A3" w:rsidRPr="00181FCD">
        <w:t xml:space="preserve"> </w:t>
      </w:r>
      <w:r w:rsidRPr="00181FCD">
        <w:t>comunidad,</w:t>
      </w:r>
      <w:r w:rsidR="00F373A3" w:rsidRPr="00181FCD">
        <w:t xml:space="preserve"> </w:t>
      </w:r>
      <w:r w:rsidRPr="00181FCD">
        <w:t>o</w:t>
      </w:r>
      <w:r w:rsidR="00F373A3" w:rsidRPr="00181FCD">
        <w:t xml:space="preserve"> </w:t>
      </w:r>
      <w:r w:rsidRPr="00181FCD">
        <w:t>en</w:t>
      </w:r>
      <w:r w:rsidR="00F373A3" w:rsidRPr="00181FCD">
        <w:t xml:space="preserve"> </w:t>
      </w:r>
      <w:r w:rsidRPr="00181FCD">
        <w:t>un</w:t>
      </w:r>
      <w:r w:rsidR="00F373A3" w:rsidRPr="00181FCD">
        <w:t xml:space="preserve"> </w:t>
      </w:r>
      <w:r w:rsidRPr="00181FCD">
        <w:t>entorno</w:t>
      </w:r>
      <w:r w:rsidR="00F373A3" w:rsidRPr="00181FCD">
        <w:t xml:space="preserve"> </w:t>
      </w:r>
      <w:r w:rsidRPr="00181FCD">
        <w:t>familiar</w:t>
      </w:r>
      <w:r w:rsidR="00F373A3" w:rsidRPr="00181FCD">
        <w:t xml:space="preserve"> </w:t>
      </w:r>
      <w:r w:rsidRPr="00181FCD">
        <w:t>o</w:t>
      </w:r>
      <w:r w:rsidR="00F373A3" w:rsidRPr="00181FCD">
        <w:t xml:space="preserve"> </w:t>
      </w:r>
      <w:r w:rsidRPr="00181FCD">
        <w:t>casi</w:t>
      </w:r>
      <w:r w:rsidR="00F373A3" w:rsidRPr="00181FCD">
        <w:t xml:space="preserve"> </w:t>
      </w:r>
      <w:r w:rsidRPr="00181FCD">
        <w:t>familiar.</w:t>
      </w:r>
      <w:r w:rsidR="00F373A3" w:rsidRPr="00181FCD">
        <w:t xml:space="preserve"> </w:t>
      </w:r>
      <w:r w:rsidRPr="00181FCD">
        <w:t>En</w:t>
      </w:r>
      <w:r w:rsidR="00F373A3" w:rsidRPr="00181FCD">
        <w:t xml:space="preserve"> </w:t>
      </w:r>
      <w:r w:rsidRPr="00181FCD">
        <w:t>este</w:t>
      </w:r>
      <w:r w:rsidR="00F373A3" w:rsidRPr="00181FCD">
        <w:t xml:space="preserve"> </w:t>
      </w:r>
      <w:r w:rsidRPr="00181FCD">
        <w:t>contexto,</w:t>
      </w:r>
      <w:r w:rsidR="00F373A3" w:rsidRPr="00181FCD">
        <w:t xml:space="preserve"> </w:t>
      </w:r>
      <w:r w:rsidRPr="00181FCD">
        <w:t>se</w:t>
      </w:r>
      <w:r w:rsidR="00F373A3" w:rsidRPr="00181FCD">
        <w:t xml:space="preserve"> </w:t>
      </w:r>
      <w:r w:rsidRPr="00181FCD">
        <w:t>ofrecen</w:t>
      </w:r>
      <w:r w:rsidR="00F373A3" w:rsidRPr="00181FCD">
        <w:t xml:space="preserve"> </w:t>
      </w:r>
      <w:r w:rsidRPr="00181FCD">
        <w:t>en</w:t>
      </w:r>
      <w:r w:rsidR="00F373A3" w:rsidRPr="00181FCD">
        <w:t xml:space="preserve"> </w:t>
      </w:r>
      <w:r w:rsidRPr="00181FCD">
        <w:t>la</w:t>
      </w:r>
      <w:r w:rsidR="00F373A3" w:rsidRPr="00181FCD">
        <w:t xml:space="preserve"> </w:t>
      </w:r>
      <w:r w:rsidRPr="00181FCD">
        <w:t>comunidad</w:t>
      </w:r>
      <w:r w:rsidR="00F373A3" w:rsidRPr="00181FCD">
        <w:t xml:space="preserve"> </w:t>
      </w:r>
      <w:r w:rsidRPr="00181FCD">
        <w:t>una</w:t>
      </w:r>
      <w:r w:rsidR="00F373A3" w:rsidRPr="00181FCD">
        <w:t xml:space="preserve"> </w:t>
      </w:r>
      <w:r w:rsidRPr="00181FCD">
        <w:t>serie</w:t>
      </w:r>
      <w:r w:rsidR="00F373A3" w:rsidRPr="00181FCD">
        <w:t xml:space="preserve"> </w:t>
      </w:r>
      <w:r w:rsidRPr="00181FCD">
        <w:t>de</w:t>
      </w:r>
      <w:r w:rsidR="00F373A3" w:rsidRPr="00181FCD">
        <w:t xml:space="preserve"> </w:t>
      </w:r>
      <w:r w:rsidRPr="00181FCD">
        <w:t>formas</w:t>
      </w:r>
      <w:r w:rsidR="00F373A3" w:rsidRPr="00181FCD">
        <w:t xml:space="preserve"> </w:t>
      </w:r>
      <w:r w:rsidRPr="00181FCD">
        <w:t>de</w:t>
      </w:r>
      <w:r w:rsidR="00F373A3" w:rsidRPr="00181FCD">
        <w:t xml:space="preserve"> </w:t>
      </w:r>
      <w:r w:rsidRPr="00181FCD">
        <w:t>asistencia</w:t>
      </w:r>
      <w:r w:rsidR="00F373A3" w:rsidRPr="00181FCD">
        <w:t xml:space="preserve"> </w:t>
      </w:r>
      <w:r w:rsidRPr="00181FCD">
        <w:t>y</w:t>
      </w:r>
      <w:r w:rsidR="00F373A3" w:rsidRPr="00181FCD">
        <w:t xml:space="preserve"> </w:t>
      </w:r>
      <w:r w:rsidRPr="00181FCD">
        <w:t>servicios</w:t>
      </w:r>
      <w:r w:rsidR="00F373A3" w:rsidRPr="00181FCD">
        <w:t xml:space="preserve"> </w:t>
      </w:r>
      <w:r w:rsidRPr="00181FCD">
        <w:t>alternativos</w:t>
      </w:r>
      <w:r w:rsidR="00F373A3" w:rsidRPr="00181FCD">
        <w:t xml:space="preserve"> </w:t>
      </w:r>
      <w:r w:rsidRPr="00181FCD">
        <w:t>en</w:t>
      </w:r>
      <w:r w:rsidR="00F373A3" w:rsidRPr="00181FCD">
        <w:t xml:space="preserve"> </w:t>
      </w:r>
      <w:r w:rsidRPr="00181FCD">
        <w:t>apoyo</w:t>
      </w:r>
      <w:r w:rsidR="00F373A3" w:rsidRPr="00181FCD">
        <w:t xml:space="preserve"> </w:t>
      </w:r>
      <w:r w:rsidRPr="00181FCD">
        <w:t>de</w:t>
      </w:r>
      <w:r w:rsidR="00F373A3" w:rsidRPr="00181FCD">
        <w:t xml:space="preserve"> </w:t>
      </w:r>
      <w:r w:rsidRPr="00181FCD">
        <w:t>los</w:t>
      </w:r>
      <w:r w:rsidR="00F373A3" w:rsidRPr="00181FCD">
        <w:t xml:space="preserve"> </w:t>
      </w:r>
      <w:r w:rsidRPr="00181FCD">
        <w:t>niños</w:t>
      </w:r>
      <w:r w:rsidR="00F373A3" w:rsidRPr="00181FCD">
        <w:t xml:space="preserve"> </w:t>
      </w:r>
      <w:r w:rsidRPr="00181FCD">
        <w:t>y</w:t>
      </w:r>
      <w:r w:rsidR="00F373A3" w:rsidRPr="00181FCD">
        <w:t xml:space="preserve"> </w:t>
      </w:r>
      <w:r w:rsidRPr="00181FCD">
        <w:t>las</w:t>
      </w:r>
      <w:r w:rsidR="00F373A3" w:rsidRPr="00181FCD">
        <w:t xml:space="preserve"> </w:t>
      </w:r>
      <w:r w:rsidRPr="00181FCD">
        <w:t>familias</w:t>
      </w:r>
      <w:r w:rsidR="00F373A3" w:rsidRPr="00181FCD">
        <w:t xml:space="preserve"> </w:t>
      </w:r>
      <w:r w:rsidRPr="00181FCD">
        <w:t>en</w:t>
      </w:r>
      <w:r w:rsidR="00F373A3" w:rsidRPr="00181FCD">
        <w:t xml:space="preserve"> </w:t>
      </w:r>
      <w:r w:rsidRPr="00181FCD">
        <w:t>situación</w:t>
      </w:r>
      <w:r w:rsidR="00F373A3" w:rsidRPr="00181FCD">
        <w:t xml:space="preserve"> </w:t>
      </w:r>
      <w:r w:rsidRPr="00181FCD">
        <w:t>de</w:t>
      </w:r>
      <w:r w:rsidR="00F373A3" w:rsidRPr="00181FCD">
        <w:t xml:space="preserve"> </w:t>
      </w:r>
      <w:r w:rsidRPr="00181FCD">
        <w:t>riesgo.</w:t>
      </w:r>
      <w:r w:rsidR="00F373A3" w:rsidRPr="00181FCD">
        <w:t xml:space="preserve"> </w:t>
      </w:r>
      <w:r w:rsidRPr="00181FCD">
        <w:t>Las</w:t>
      </w:r>
      <w:r w:rsidR="00F373A3" w:rsidRPr="00181FCD">
        <w:t xml:space="preserve"> </w:t>
      </w:r>
      <w:r w:rsidRPr="00181FCD">
        <w:t>medidas</w:t>
      </w:r>
      <w:r w:rsidR="00F373A3" w:rsidRPr="00181FCD">
        <w:t xml:space="preserve"> </w:t>
      </w:r>
      <w:r w:rsidRPr="00181FCD">
        <w:t>más</w:t>
      </w:r>
      <w:r w:rsidR="00F373A3" w:rsidRPr="00181FCD">
        <w:t xml:space="preserve"> </w:t>
      </w:r>
      <w:r w:rsidRPr="00181FCD">
        <w:t>eficaces</w:t>
      </w:r>
      <w:r w:rsidR="00F373A3" w:rsidRPr="00181FCD">
        <w:t xml:space="preserve"> </w:t>
      </w:r>
      <w:r w:rsidRPr="00181FCD">
        <w:t>para</w:t>
      </w:r>
      <w:r w:rsidR="00F373A3" w:rsidRPr="00181FCD">
        <w:t xml:space="preserve"> </w:t>
      </w:r>
      <w:r w:rsidRPr="00181FCD">
        <w:t>facilitar</w:t>
      </w:r>
      <w:r w:rsidR="00F373A3" w:rsidRPr="00181FCD">
        <w:t xml:space="preserve"> </w:t>
      </w:r>
      <w:r w:rsidRPr="00181FCD">
        <w:t>una</w:t>
      </w:r>
      <w:r w:rsidR="00F373A3" w:rsidRPr="00181FCD">
        <w:t xml:space="preserve"> </w:t>
      </w:r>
      <w:r w:rsidRPr="00181FCD">
        <w:t>reducción</w:t>
      </w:r>
      <w:r w:rsidR="00F373A3" w:rsidRPr="00181FCD">
        <w:t xml:space="preserve"> </w:t>
      </w:r>
      <w:r w:rsidRPr="00181FCD">
        <w:t>significativa</w:t>
      </w:r>
      <w:r w:rsidR="00F373A3" w:rsidRPr="00181FCD">
        <w:t xml:space="preserve"> </w:t>
      </w:r>
      <w:r w:rsidRPr="00181FCD">
        <w:t>en</w:t>
      </w:r>
      <w:r w:rsidR="00F373A3" w:rsidRPr="00181FCD">
        <w:t xml:space="preserve"> </w:t>
      </w:r>
      <w:r w:rsidRPr="00181FCD">
        <w:t>el</w:t>
      </w:r>
      <w:r w:rsidR="00F373A3" w:rsidRPr="00181FCD">
        <w:t xml:space="preserve"> </w:t>
      </w:r>
      <w:r w:rsidRPr="00181FCD">
        <w:t>número</w:t>
      </w:r>
      <w:r w:rsidR="00F373A3" w:rsidRPr="00181FCD">
        <w:t xml:space="preserve"> </w:t>
      </w:r>
      <w:r w:rsidRPr="00181FCD">
        <w:t>de</w:t>
      </w:r>
      <w:r w:rsidR="00F373A3" w:rsidRPr="00181FCD">
        <w:t xml:space="preserve"> </w:t>
      </w:r>
      <w:r w:rsidRPr="00181FCD">
        <w:t>niños</w:t>
      </w:r>
      <w:r w:rsidR="00F373A3" w:rsidRPr="00181FCD">
        <w:t xml:space="preserve"> </w:t>
      </w:r>
      <w:r w:rsidRPr="00181FCD">
        <w:t>criados</w:t>
      </w:r>
      <w:r w:rsidR="00F373A3" w:rsidRPr="00181FCD">
        <w:t xml:space="preserve"> </w:t>
      </w:r>
      <w:r w:rsidRPr="00181FCD">
        <w:t>en</w:t>
      </w:r>
      <w:r w:rsidR="00F373A3" w:rsidRPr="00181FCD">
        <w:t xml:space="preserve"> </w:t>
      </w:r>
      <w:r w:rsidRPr="00181FCD">
        <w:t>instituciones</w:t>
      </w:r>
      <w:r w:rsidR="00F373A3" w:rsidRPr="00181FCD">
        <w:t xml:space="preserve"> </w:t>
      </w:r>
      <w:r w:rsidRPr="00181FCD">
        <w:t>especializadas</w:t>
      </w:r>
      <w:r w:rsidR="00F373A3" w:rsidRPr="00181FCD">
        <w:t xml:space="preserve"> </w:t>
      </w:r>
      <w:r w:rsidRPr="00181FCD">
        <w:t>son</w:t>
      </w:r>
      <w:r w:rsidR="00F373A3" w:rsidRPr="00181FCD">
        <w:t xml:space="preserve"> </w:t>
      </w:r>
      <w:r w:rsidRPr="00181FCD">
        <w:t>medidas</w:t>
      </w:r>
      <w:r w:rsidR="00F373A3" w:rsidRPr="00181FCD">
        <w:t xml:space="preserve"> </w:t>
      </w:r>
      <w:r w:rsidRPr="00181FCD">
        <w:t>para</w:t>
      </w:r>
      <w:r w:rsidR="00F373A3" w:rsidRPr="00181FCD">
        <w:t xml:space="preserve"> </w:t>
      </w:r>
      <w:r w:rsidRPr="00181FCD">
        <w:t>la</w:t>
      </w:r>
      <w:r w:rsidR="00F373A3" w:rsidRPr="00181FCD">
        <w:t xml:space="preserve"> </w:t>
      </w:r>
      <w:r w:rsidRPr="00181FCD">
        <w:t>prevención</w:t>
      </w:r>
      <w:r w:rsidR="00F373A3" w:rsidRPr="00181FCD">
        <w:t xml:space="preserve"> </w:t>
      </w:r>
      <w:r w:rsidRPr="00181FCD">
        <w:t>del</w:t>
      </w:r>
      <w:r w:rsidR="00F373A3" w:rsidRPr="00181FCD">
        <w:t xml:space="preserve"> </w:t>
      </w:r>
      <w:r w:rsidRPr="00181FCD">
        <w:t>abandono,</w:t>
      </w:r>
      <w:r w:rsidR="00F373A3" w:rsidRPr="00181FCD">
        <w:t xml:space="preserve"> </w:t>
      </w:r>
      <w:r w:rsidRPr="00181FCD">
        <w:t>la</w:t>
      </w:r>
      <w:r w:rsidR="00F373A3" w:rsidRPr="00181FCD">
        <w:t xml:space="preserve"> </w:t>
      </w:r>
      <w:r w:rsidRPr="00181FCD">
        <w:t>reintegración</w:t>
      </w:r>
      <w:r w:rsidR="00F373A3" w:rsidRPr="00181FCD">
        <w:t xml:space="preserve"> </w:t>
      </w:r>
      <w:r w:rsidRPr="00181FCD">
        <w:t>de</w:t>
      </w:r>
      <w:r w:rsidR="00F373A3" w:rsidRPr="00181FCD">
        <w:t xml:space="preserve"> </w:t>
      </w:r>
      <w:r w:rsidRPr="00181FCD">
        <w:t>los</w:t>
      </w:r>
      <w:r w:rsidR="00F373A3" w:rsidRPr="00181FCD">
        <w:t xml:space="preserve"> </w:t>
      </w:r>
      <w:r w:rsidRPr="00181FCD">
        <w:t>niños</w:t>
      </w:r>
      <w:r w:rsidR="00F373A3" w:rsidRPr="00181FCD">
        <w:t xml:space="preserve"> </w:t>
      </w:r>
      <w:r w:rsidRPr="00181FCD">
        <w:t>en</w:t>
      </w:r>
      <w:r w:rsidR="00F373A3" w:rsidRPr="00181FCD">
        <w:t xml:space="preserve"> </w:t>
      </w:r>
      <w:r w:rsidRPr="00181FCD">
        <w:t>sus</w:t>
      </w:r>
      <w:r w:rsidR="00F373A3" w:rsidRPr="00181FCD">
        <w:t xml:space="preserve"> </w:t>
      </w:r>
      <w:r w:rsidRPr="00181FCD">
        <w:t>familias</w:t>
      </w:r>
      <w:r w:rsidR="00F373A3" w:rsidRPr="00181FCD">
        <w:t xml:space="preserve"> </w:t>
      </w:r>
      <w:r w:rsidRPr="00181FCD">
        <w:t>biológicas,</w:t>
      </w:r>
      <w:r w:rsidR="00F373A3" w:rsidRPr="00181FCD">
        <w:t xml:space="preserve"> </w:t>
      </w:r>
      <w:r w:rsidRPr="00181FCD">
        <w:t>la</w:t>
      </w:r>
      <w:r w:rsidR="00F373A3" w:rsidRPr="00181FCD">
        <w:t xml:space="preserve"> </w:t>
      </w:r>
      <w:r w:rsidRPr="00181FCD">
        <w:t>colocación</w:t>
      </w:r>
      <w:r w:rsidR="00F373A3" w:rsidRPr="00181FCD">
        <w:t xml:space="preserve"> </w:t>
      </w:r>
      <w:r w:rsidRPr="00181FCD">
        <w:t>de</w:t>
      </w:r>
      <w:r w:rsidR="00F373A3" w:rsidRPr="00181FCD">
        <w:t xml:space="preserve"> </w:t>
      </w:r>
      <w:r w:rsidRPr="00181FCD">
        <w:t>los</w:t>
      </w:r>
      <w:r w:rsidR="00F373A3" w:rsidRPr="00181FCD">
        <w:t xml:space="preserve"> </w:t>
      </w:r>
      <w:r w:rsidRPr="00181FCD">
        <w:t>niños</w:t>
      </w:r>
      <w:r w:rsidR="00F373A3" w:rsidRPr="00181FCD">
        <w:t xml:space="preserve"> </w:t>
      </w:r>
      <w:r w:rsidRPr="00181FCD">
        <w:t>en</w:t>
      </w:r>
      <w:r w:rsidR="00F373A3" w:rsidRPr="00181FCD">
        <w:t xml:space="preserve"> </w:t>
      </w:r>
      <w:r w:rsidRPr="00181FCD">
        <w:t>familias</w:t>
      </w:r>
      <w:r w:rsidR="00F373A3" w:rsidRPr="00181FCD">
        <w:t xml:space="preserve"> </w:t>
      </w:r>
      <w:r w:rsidRPr="00181FCD">
        <w:t>de</w:t>
      </w:r>
      <w:r w:rsidR="00F373A3" w:rsidRPr="00181FCD">
        <w:t xml:space="preserve"> </w:t>
      </w:r>
      <w:r w:rsidRPr="00181FCD">
        <w:t>parientes</w:t>
      </w:r>
      <w:r w:rsidR="00F373A3" w:rsidRPr="00181FCD">
        <w:t xml:space="preserve"> </w:t>
      </w:r>
      <w:r w:rsidRPr="00181FCD">
        <w:t>y</w:t>
      </w:r>
      <w:r w:rsidR="00F373A3" w:rsidRPr="00181FCD">
        <w:t xml:space="preserve"> </w:t>
      </w:r>
      <w:r w:rsidRPr="00181FCD">
        <w:t>amigos,</w:t>
      </w:r>
      <w:r w:rsidR="00F373A3" w:rsidRPr="00181FCD">
        <w:t xml:space="preserve"> </w:t>
      </w:r>
      <w:r w:rsidRPr="00181FCD">
        <w:t>en</w:t>
      </w:r>
      <w:r w:rsidR="00F373A3" w:rsidRPr="00181FCD">
        <w:t xml:space="preserve"> </w:t>
      </w:r>
      <w:r w:rsidRPr="00181FCD">
        <w:t>familias</w:t>
      </w:r>
      <w:r w:rsidR="00F373A3" w:rsidRPr="00181FCD">
        <w:t xml:space="preserve"> </w:t>
      </w:r>
      <w:r w:rsidRPr="00181FCD">
        <w:t>de</w:t>
      </w:r>
      <w:r w:rsidR="00F373A3" w:rsidRPr="00181FCD">
        <w:t xml:space="preserve"> </w:t>
      </w:r>
      <w:r w:rsidRPr="00181FCD">
        <w:t>acogida</w:t>
      </w:r>
      <w:r w:rsidR="00F373A3" w:rsidRPr="00181FCD">
        <w:t xml:space="preserve"> </w:t>
      </w:r>
      <w:r w:rsidRPr="00181FCD">
        <w:t>o</w:t>
      </w:r>
      <w:r w:rsidR="00F373A3" w:rsidRPr="00181FCD">
        <w:t xml:space="preserve"> </w:t>
      </w:r>
      <w:r w:rsidRPr="00181FCD">
        <w:t>la</w:t>
      </w:r>
      <w:r w:rsidR="00F373A3" w:rsidRPr="00181FCD">
        <w:t xml:space="preserve"> </w:t>
      </w:r>
      <w:r w:rsidRPr="00181FCD">
        <w:t>adopción.</w:t>
      </w:r>
      <w:r w:rsidR="00F373A3" w:rsidRPr="00181FCD">
        <w:t xml:space="preserve"> </w:t>
      </w:r>
      <w:r w:rsidRPr="00181FCD">
        <w:t>En</w:t>
      </w:r>
      <w:r w:rsidR="00F373A3" w:rsidRPr="00181FCD">
        <w:t xml:space="preserve"> </w:t>
      </w:r>
      <w:r w:rsidRPr="00181FCD">
        <w:t>2014,</w:t>
      </w:r>
      <w:r w:rsidR="00F373A3" w:rsidRPr="00181FCD">
        <w:t xml:space="preserve"> </w:t>
      </w:r>
      <w:r w:rsidRPr="00181FCD">
        <w:t>el</w:t>
      </w:r>
      <w:r w:rsidR="00F373A3" w:rsidRPr="00181FCD">
        <w:t xml:space="preserve"> </w:t>
      </w:r>
      <w:r w:rsidRPr="00181FCD">
        <w:t>número</w:t>
      </w:r>
      <w:r w:rsidR="00F373A3" w:rsidRPr="00181FCD">
        <w:t xml:space="preserve"> </w:t>
      </w:r>
      <w:r w:rsidRPr="00181FCD">
        <w:t>total</w:t>
      </w:r>
      <w:r w:rsidR="00F373A3" w:rsidRPr="00181FCD">
        <w:t xml:space="preserve"> </w:t>
      </w:r>
      <w:r w:rsidRPr="00181FCD">
        <w:t>de</w:t>
      </w:r>
      <w:r w:rsidR="00F373A3" w:rsidRPr="00181FCD">
        <w:t xml:space="preserve"> </w:t>
      </w:r>
      <w:r w:rsidRPr="00181FCD">
        <w:t>niños</w:t>
      </w:r>
      <w:r w:rsidR="00F373A3" w:rsidRPr="00181FCD">
        <w:t xml:space="preserve"> </w:t>
      </w:r>
      <w:r w:rsidRPr="00181FCD">
        <w:t>colocados</w:t>
      </w:r>
      <w:r w:rsidR="00F373A3" w:rsidRPr="00181FCD">
        <w:t xml:space="preserve"> </w:t>
      </w:r>
      <w:r w:rsidRPr="00181FCD">
        <w:t>en</w:t>
      </w:r>
      <w:r w:rsidR="00F373A3" w:rsidRPr="00181FCD">
        <w:t xml:space="preserve"> </w:t>
      </w:r>
      <w:r w:rsidRPr="00181FCD">
        <w:t>familias</w:t>
      </w:r>
      <w:r w:rsidR="00F373A3" w:rsidRPr="00181FCD">
        <w:t xml:space="preserve"> </w:t>
      </w:r>
      <w:r w:rsidRPr="00181FCD">
        <w:t>de</w:t>
      </w:r>
      <w:r w:rsidR="00F373A3" w:rsidRPr="00181FCD">
        <w:t xml:space="preserve"> </w:t>
      </w:r>
      <w:r w:rsidRPr="00181FCD">
        <w:t>parientes</w:t>
      </w:r>
      <w:r w:rsidR="00F373A3" w:rsidRPr="00181FCD">
        <w:t xml:space="preserve"> </w:t>
      </w:r>
      <w:r w:rsidRPr="00181FCD">
        <w:t>fue</w:t>
      </w:r>
      <w:r w:rsidR="00F373A3" w:rsidRPr="00181FCD">
        <w:t xml:space="preserve"> </w:t>
      </w:r>
      <w:r w:rsidRPr="00181FCD">
        <w:t>de</w:t>
      </w:r>
      <w:r w:rsidR="00F373A3" w:rsidRPr="00181FCD">
        <w:t xml:space="preserve"> </w:t>
      </w:r>
      <w:r w:rsidRPr="00181FCD">
        <w:t>6.711;</w:t>
      </w:r>
      <w:r w:rsidR="00F373A3" w:rsidRPr="00181FCD">
        <w:t xml:space="preserve"> </w:t>
      </w:r>
      <w:r w:rsidRPr="00181FCD">
        <w:t>se</w:t>
      </w:r>
      <w:r w:rsidR="00F373A3" w:rsidRPr="00181FCD">
        <w:t xml:space="preserve"> </w:t>
      </w:r>
      <w:r w:rsidRPr="00181FCD">
        <w:t>confiaron</w:t>
      </w:r>
      <w:r w:rsidR="00F373A3" w:rsidRPr="00181FCD">
        <w:t xml:space="preserve"> </w:t>
      </w:r>
      <w:r w:rsidRPr="00181FCD">
        <w:t>2.231</w:t>
      </w:r>
      <w:r w:rsidR="00F373A3" w:rsidRPr="00181FCD">
        <w:t xml:space="preserve"> </w:t>
      </w:r>
      <w:r w:rsidRPr="00181FCD">
        <w:t>niños</w:t>
      </w:r>
      <w:r w:rsidR="00F373A3" w:rsidRPr="00181FCD">
        <w:t xml:space="preserve"> </w:t>
      </w:r>
      <w:r w:rsidRPr="00181FCD">
        <w:t>a</w:t>
      </w:r>
      <w:r w:rsidR="00F373A3" w:rsidRPr="00181FCD">
        <w:t xml:space="preserve"> </w:t>
      </w:r>
      <w:r w:rsidRPr="00181FCD">
        <w:t>familias</w:t>
      </w:r>
      <w:r w:rsidR="00F373A3" w:rsidRPr="00181FCD">
        <w:t xml:space="preserve"> </w:t>
      </w:r>
      <w:r w:rsidRPr="00181FCD">
        <w:t>de</w:t>
      </w:r>
      <w:r w:rsidR="00F373A3" w:rsidRPr="00181FCD">
        <w:t xml:space="preserve"> </w:t>
      </w:r>
      <w:r w:rsidRPr="00181FCD">
        <w:t>acogida</w:t>
      </w:r>
      <w:r w:rsidR="00F373A3" w:rsidRPr="00181FCD">
        <w:t xml:space="preserve"> </w:t>
      </w:r>
      <w:r w:rsidRPr="00181FCD">
        <w:t>y</w:t>
      </w:r>
      <w:r w:rsidR="00F373A3" w:rsidRPr="00181FCD">
        <w:t xml:space="preserve"> </w:t>
      </w:r>
      <w:r w:rsidRPr="00181FCD">
        <w:t>el</w:t>
      </w:r>
      <w:r w:rsidR="00F373A3" w:rsidRPr="00181FCD">
        <w:t xml:space="preserve"> </w:t>
      </w:r>
      <w:r w:rsidRPr="00181FCD">
        <w:t>número</w:t>
      </w:r>
      <w:r w:rsidR="00F373A3" w:rsidRPr="00181FCD">
        <w:t xml:space="preserve"> </w:t>
      </w:r>
      <w:r w:rsidRPr="00181FCD">
        <w:t>total</w:t>
      </w:r>
      <w:r w:rsidR="00F373A3" w:rsidRPr="00181FCD">
        <w:t xml:space="preserve"> </w:t>
      </w:r>
      <w:r w:rsidRPr="00181FCD">
        <w:t>de</w:t>
      </w:r>
      <w:r w:rsidR="00F373A3" w:rsidRPr="00181FCD">
        <w:t xml:space="preserve"> </w:t>
      </w:r>
      <w:r w:rsidRPr="00181FCD">
        <w:t>familias</w:t>
      </w:r>
      <w:r w:rsidR="00F373A3" w:rsidRPr="00181FCD">
        <w:t xml:space="preserve"> </w:t>
      </w:r>
      <w:r w:rsidRPr="00181FCD">
        <w:t>de</w:t>
      </w:r>
      <w:r w:rsidR="00F373A3" w:rsidRPr="00181FCD">
        <w:t xml:space="preserve"> </w:t>
      </w:r>
      <w:r w:rsidRPr="00181FCD">
        <w:t>acogida</w:t>
      </w:r>
      <w:r w:rsidR="00F373A3" w:rsidRPr="00181FCD">
        <w:t xml:space="preserve"> </w:t>
      </w:r>
      <w:r w:rsidRPr="00181FCD">
        <w:t>aprobado</w:t>
      </w:r>
      <w:r w:rsidR="00F373A3" w:rsidRPr="00181FCD">
        <w:t xml:space="preserve"> </w:t>
      </w:r>
      <w:r w:rsidRPr="00181FCD">
        <w:t>fue</w:t>
      </w:r>
      <w:r w:rsidR="00F373A3" w:rsidRPr="00181FCD">
        <w:t xml:space="preserve"> </w:t>
      </w:r>
      <w:r w:rsidRPr="00181FCD">
        <w:t>de</w:t>
      </w:r>
      <w:r w:rsidR="00F373A3" w:rsidRPr="00181FCD">
        <w:t xml:space="preserve"> </w:t>
      </w:r>
      <w:r w:rsidRPr="00181FCD">
        <w:t>2.249.</w:t>
      </w:r>
      <w:r w:rsidR="00F373A3" w:rsidRPr="00181FCD">
        <w:t xml:space="preserve"> </w:t>
      </w:r>
      <w:r w:rsidRPr="00181FCD">
        <w:t>Se</w:t>
      </w:r>
      <w:r w:rsidR="00F373A3" w:rsidRPr="00181FCD">
        <w:t xml:space="preserve"> </w:t>
      </w:r>
      <w:r w:rsidRPr="00181FCD">
        <w:t>hicieron</w:t>
      </w:r>
      <w:r w:rsidR="00F373A3" w:rsidRPr="00181FCD">
        <w:t xml:space="preserve"> </w:t>
      </w:r>
      <w:r w:rsidRPr="00181FCD">
        <w:t>avances</w:t>
      </w:r>
      <w:r w:rsidR="00F373A3" w:rsidRPr="00181FCD">
        <w:t xml:space="preserve"> </w:t>
      </w:r>
      <w:r w:rsidRPr="00181FCD">
        <w:t>en</w:t>
      </w:r>
      <w:r w:rsidR="00F373A3" w:rsidRPr="00181FCD">
        <w:t xml:space="preserve"> </w:t>
      </w:r>
      <w:r w:rsidRPr="00181FCD">
        <w:t>el</w:t>
      </w:r>
      <w:r w:rsidR="00F373A3" w:rsidRPr="00181FCD">
        <w:t xml:space="preserve"> </w:t>
      </w:r>
      <w:r w:rsidRPr="00181FCD">
        <w:t>establecimiento</w:t>
      </w:r>
      <w:r w:rsidR="00F373A3" w:rsidRPr="00181FCD">
        <w:t xml:space="preserve"> </w:t>
      </w:r>
      <w:r w:rsidRPr="00181FCD">
        <w:t>de</w:t>
      </w:r>
      <w:r w:rsidR="00F373A3" w:rsidRPr="00181FCD">
        <w:t xml:space="preserve"> </w:t>
      </w:r>
      <w:r w:rsidRPr="00181FCD">
        <w:t>servicios</w:t>
      </w:r>
      <w:r w:rsidR="00F373A3" w:rsidRPr="00181FCD">
        <w:t xml:space="preserve"> </w:t>
      </w:r>
      <w:r w:rsidRPr="00181FCD">
        <w:t>sociales</w:t>
      </w:r>
      <w:r w:rsidR="00F373A3" w:rsidRPr="00181FCD">
        <w:t xml:space="preserve"> </w:t>
      </w:r>
      <w:r w:rsidRPr="00181FCD">
        <w:t>para</w:t>
      </w:r>
      <w:r w:rsidR="00F373A3" w:rsidRPr="00181FCD">
        <w:t xml:space="preserve"> </w:t>
      </w:r>
      <w:r w:rsidRPr="00181FCD">
        <w:t>los</w:t>
      </w:r>
      <w:r w:rsidR="00F373A3" w:rsidRPr="00181FCD">
        <w:t xml:space="preserve"> </w:t>
      </w:r>
      <w:r w:rsidRPr="00181FCD">
        <w:t>niños.</w:t>
      </w:r>
      <w:r w:rsidR="00F373A3" w:rsidRPr="00181FCD">
        <w:t xml:space="preserve"> </w:t>
      </w:r>
      <w:r w:rsidRPr="00181FCD">
        <w:t>Se</w:t>
      </w:r>
      <w:r w:rsidR="00F373A3" w:rsidRPr="00181FCD">
        <w:t xml:space="preserve"> </w:t>
      </w:r>
      <w:r w:rsidRPr="00181FCD">
        <w:t>continuó</w:t>
      </w:r>
      <w:r w:rsidR="00F373A3" w:rsidRPr="00181FCD">
        <w:t xml:space="preserve"> </w:t>
      </w:r>
      <w:r w:rsidRPr="00181FCD">
        <w:t>desarrollando</w:t>
      </w:r>
      <w:r w:rsidR="00F373A3" w:rsidRPr="00181FCD">
        <w:t xml:space="preserve"> </w:t>
      </w:r>
      <w:r w:rsidRPr="00181FCD">
        <w:t>la</w:t>
      </w:r>
      <w:r w:rsidR="00F373A3" w:rsidRPr="00181FCD">
        <w:t xml:space="preserve"> </w:t>
      </w:r>
      <w:r w:rsidRPr="00181FCD">
        <w:t>red</w:t>
      </w:r>
      <w:r w:rsidR="00F373A3" w:rsidRPr="00181FCD">
        <w:t xml:space="preserve"> </w:t>
      </w:r>
      <w:r w:rsidRPr="00181FCD">
        <w:t>de</w:t>
      </w:r>
      <w:r w:rsidR="00F373A3" w:rsidRPr="00181FCD">
        <w:t xml:space="preserve"> </w:t>
      </w:r>
      <w:r w:rsidRPr="00181FCD">
        <w:t>Centros</w:t>
      </w:r>
      <w:r w:rsidR="00F373A3" w:rsidRPr="00181FCD">
        <w:t xml:space="preserve"> </w:t>
      </w:r>
      <w:r w:rsidRPr="00181FCD">
        <w:t>de</w:t>
      </w:r>
      <w:r w:rsidR="00F373A3" w:rsidRPr="00181FCD">
        <w:t xml:space="preserve"> </w:t>
      </w:r>
      <w:r w:rsidRPr="00181FCD">
        <w:t>Apoyo</w:t>
      </w:r>
      <w:r w:rsidR="00F373A3" w:rsidRPr="00181FCD">
        <w:t xml:space="preserve"> </w:t>
      </w:r>
      <w:r w:rsidRPr="00181FCD">
        <w:t>Social.</w:t>
      </w:r>
    </w:p>
    <w:p w:rsidR="001937F4" w:rsidRPr="00181FCD" w:rsidRDefault="001937F4" w:rsidP="00347B20">
      <w:pPr>
        <w:pStyle w:val="SingleTxtG"/>
        <w:suppressAutoHyphens/>
      </w:pPr>
      <w:r w:rsidRPr="00181FCD">
        <w:t>91.</w:t>
      </w:r>
      <w:r w:rsidRPr="00181FCD">
        <w:tab/>
        <w:t>La</w:t>
      </w:r>
      <w:r w:rsidR="00F373A3" w:rsidRPr="00181FCD">
        <w:t xml:space="preserve"> </w:t>
      </w:r>
      <w:r w:rsidRPr="00181FCD">
        <w:t>reintegración</w:t>
      </w:r>
      <w:r w:rsidR="00F373A3" w:rsidRPr="00181FCD">
        <w:t xml:space="preserve"> </w:t>
      </w:r>
      <w:r w:rsidRPr="00181FCD">
        <w:t>de</w:t>
      </w:r>
      <w:r w:rsidR="00F373A3" w:rsidRPr="00181FCD">
        <w:t xml:space="preserve"> </w:t>
      </w:r>
      <w:r w:rsidRPr="00181FCD">
        <w:t>los</w:t>
      </w:r>
      <w:r w:rsidR="00F373A3" w:rsidRPr="00181FCD">
        <w:t xml:space="preserve"> </w:t>
      </w:r>
      <w:r w:rsidRPr="00181FCD">
        <w:t>niños</w:t>
      </w:r>
      <w:r w:rsidR="00F373A3" w:rsidRPr="00181FCD">
        <w:t xml:space="preserve"> </w:t>
      </w:r>
      <w:r w:rsidRPr="00181FCD">
        <w:t>internados</w:t>
      </w:r>
      <w:r w:rsidR="00F373A3" w:rsidRPr="00181FCD">
        <w:t xml:space="preserve"> </w:t>
      </w:r>
      <w:r w:rsidRPr="00181FCD">
        <w:t>en</w:t>
      </w:r>
      <w:r w:rsidR="00F373A3" w:rsidRPr="00181FCD">
        <w:t xml:space="preserve"> </w:t>
      </w:r>
      <w:r w:rsidRPr="00181FCD">
        <w:t>instituciones</w:t>
      </w:r>
      <w:r w:rsidR="00F373A3" w:rsidRPr="00181FCD">
        <w:t xml:space="preserve"> </w:t>
      </w:r>
      <w:r w:rsidRPr="00181FCD">
        <w:t>es</w:t>
      </w:r>
      <w:r w:rsidR="00F373A3" w:rsidRPr="00181FCD">
        <w:t xml:space="preserve"> </w:t>
      </w:r>
      <w:r w:rsidRPr="00181FCD">
        <w:t>de</w:t>
      </w:r>
      <w:r w:rsidR="00F373A3" w:rsidRPr="00181FCD">
        <w:t xml:space="preserve"> </w:t>
      </w:r>
      <w:r w:rsidRPr="00181FCD">
        <w:t>suma</w:t>
      </w:r>
      <w:r w:rsidR="00F373A3" w:rsidRPr="00181FCD">
        <w:t xml:space="preserve"> </w:t>
      </w:r>
      <w:r w:rsidRPr="00181FCD">
        <w:t>importancia</w:t>
      </w:r>
      <w:r w:rsidR="00F373A3" w:rsidRPr="00181FCD">
        <w:t xml:space="preserve"> </w:t>
      </w:r>
      <w:r w:rsidRPr="00181FCD">
        <w:t>para</w:t>
      </w:r>
      <w:r w:rsidR="00F373A3" w:rsidRPr="00181FCD">
        <w:t xml:space="preserve"> </w:t>
      </w:r>
      <w:r w:rsidRPr="00181FCD">
        <w:t>la</w:t>
      </w:r>
      <w:r w:rsidR="00F373A3" w:rsidRPr="00181FCD">
        <w:t xml:space="preserve"> </w:t>
      </w:r>
      <w:r w:rsidRPr="00181FCD">
        <w:t>aplicación</w:t>
      </w:r>
      <w:r w:rsidR="00F373A3" w:rsidRPr="00181FCD">
        <w:t xml:space="preserve"> </w:t>
      </w:r>
      <w:r w:rsidRPr="00181FCD">
        <w:t>de</w:t>
      </w:r>
      <w:r w:rsidR="00F373A3" w:rsidRPr="00181FCD">
        <w:t xml:space="preserve"> </w:t>
      </w:r>
      <w:r w:rsidRPr="00181FCD">
        <w:t>las</w:t>
      </w:r>
      <w:r w:rsidR="00F373A3" w:rsidRPr="00181FCD">
        <w:t xml:space="preserve"> </w:t>
      </w:r>
      <w:r w:rsidRPr="00181FCD">
        <w:t>reformas</w:t>
      </w:r>
      <w:r w:rsidR="00F373A3" w:rsidRPr="00181FCD">
        <w:t xml:space="preserve"> </w:t>
      </w:r>
      <w:r w:rsidRPr="00181FCD">
        <w:t>relacionadas</w:t>
      </w:r>
      <w:r w:rsidR="00F373A3" w:rsidRPr="00181FCD">
        <w:t xml:space="preserve"> </w:t>
      </w:r>
      <w:r w:rsidRPr="00181FCD">
        <w:t>con</w:t>
      </w:r>
      <w:r w:rsidR="00F373A3" w:rsidRPr="00181FCD">
        <w:t xml:space="preserve"> </w:t>
      </w:r>
      <w:r w:rsidRPr="00181FCD">
        <w:t>la</w:t>
      </w:r>
      <w:r w:rsidR="00F373A3" w:rsidRPr="00181FCD">
        <w:t xml:space="preserve"> </w:t>
      </w:r>
      <w:r w:rsidRPr="00181FCD">
        <w:t>transición</w:t>
      </w:r>
      <w:r w:rsidR="00F373A3" w:rsidRPr="00181FCD">
        <w:t xml:space="preserve"> </w:t>
      </w:r>
      <w:r w:rsidRPr="00181FCD">
        <w:t>de</w:t>
      </w:r>
      <w:r w:rsidR="00F373A3" w:rsidRPr="00181FCD">
        <w:t xml:space="preserve"> </w:t>
      </w:r>
      <w:r w:rsidRPr="00181FCD">
        <w:t>la</w:t>
      </w:r>
      <w:r w:rsidR="00F373A3" w:rsidRPr="00181FCD">
        <w:t xml:space="preserve"> </w:t>
      </w:r>
      <w:r w:rsidRPr="00181FCD">
        <w:t>asistencia</w:t>
      </w:r>
      <w:r w:rsidR="00F373A3" w:rsidRPr="00181FCD">
        <w:t xml:space="preserve"> </w:t>
      </w:r>
      <w:r w:rsidRPr="00181FCD">
        <w:t>institucional</w:t>
      </w:r>
      <w:r w:rsidR="00F373A3" w:rsidRPr="00181FCD">
        <w:t xml:space="preserve"> </w:t>
      </w:r>
      <w:r w:rsidRPr="00181FCD">
        <w:t>al</w:t>
      </w:r>
      <w:r w:rsidR="00F373A3" w:rsidRPr="00181FCD">
        <w:t xml:space="preserve"> </w:t>
      </w:r>
      <w:r w:rsidRPr="00181FCD">
        <w:t>apoyo</w:t>
      </w:r>
      <w:r w:rsidR="00F373A3" w:rsidRPr="00181FCD">
        <w:t xml:space="preserve"> </w:t>
      </w:r>
      <w:r w:rsidRPr="00181FCD">
        <w:t>de</w:t>
      </w:r>
      <w:r w:rsidR="00F373A3" w:rsidRPr="00181FCD">
        <w:t xml:space="preserve"> </w:t>
      </w:r>
      <w:r w:rsidRPr="00181FCD">
        <w:t>la</w:t>
      </w:r>
      <w:r w:rsidR="00F373A3" w:rsidRPr="00181FCD">
        <w:t xml:space="preserve"> </w:t>
      </w:r>
      <w:r w:rsidRPr="00181FCD">
        <w:t>comunidad.</w:t>
      </w:r>
      <w:r w:rsidR="00F373A3" w:rsidRPr="00181FCD">
        <w:t xml:space="preserve"> </w:t>
      </w:r>
      <w:r w:rsidRPr="00181FCD">
        <w:t>En</w:t>
      </w:r>
      <w:r w:rsidR="00F373A3" w:rsidRPr="00181FCD">
        <w:t xml:space="preserve"> </w:t>
      </w:r>
      <w:r w:rsidRPr="00181FCD">
        <w:t>este</w:t>
      </w:r>
      <w:r w:rsidR="00F373A3" w:rsidRPr="00181FCD">
        <w:t xml:space="preserve"> </w:t>
      </w:r>
      <w:r w:rsidRPr="00181FCD">
        <w:t>sentido,</w:t>
      </w:r>
      <w:r w:rsidR="00F373A3" w:rsidRPr="00181FCD">
        <w:t xml:space="preserve"> </w:t>
      </w:r>
      <w:r w:rsidRPr="00181FCD">
        <w:t>cabe</w:t>
      </w:r>
      <w:r w:rsidR="00F373A3" w:rsidRPr="00181FCD">
        <w:t xml:space="preserve"> </w:t>
      </w:r>
      <w:r w:rsidRPr="00181FCD">
        <w:t>señalar</w:t>
      </w:r>
      <w:r w:rsidR="00F373A3" w:rsidRPr="00181FCD">
        <w:t xml:space="preserve"> </w:t>
      </w:r>
      <w:r w:rsidRPr="00181FCD">
        <w:t>que</w:t>
      </w:r>
      <w:r w:rsidR="00F373A3" w:rsidRPr="00181FCD">
        <w:t xml:space="preserve"> </w:t>
      </w:r>
      <w:r w:rsidRPr="00181FCD">
        <w:t>el</w:t>
      </w:r>
      <w:r w:rsidR="00F373A3" w:rsidRPr="00181FCD">
        <w:t xml:space="preserve"> </w:t>
      </w:r>
      <w:r w:rsidRPr="00181FCD">
        <w:t>trabajo</w:t>
      </w:r>
      <w:r w:rsidR="00F373A3" w:rsidRPr="00181FCD">
        <w:t xml:space="preserve"> </w:t>
      </w:r>
      <w:r w:rsidRPr="00181FCD">
        <w:t>para</w:t>
      </w:r>
      <w:r w:rsidR="00F373A3" w:rsidRPr="00181FCD">
        <w:t xml:space="preserve"> </w:t>
      </w:r>
      <w:r w:rsidRPr="00181FCD">
        <w:t>la</w:t>
      </w:r>
      <w:r w:rsidR="00F373A3" w:rsidRPr="00181FCD">
        <w:t xml:space="preserve"> </w:t>
      </w:r>
      <w:r w:rsidRPr="00181FCD">
        <w:t>reinserción</w:t>
      </w:r>
      <w:r w:rsidR="00F373A3" w:rsidRPr="00181FCD">
        <w:t xml:space="preserve"> </w:t>
      </w:r>
      <w:r w:rsidRPr="00181FCD">
        <w:t>es</w:t>
      </w:r>
      <w:r w:rsidR="00F373A3" w:rsidRPr="00181FCD">
        <w:t xml:space="preserve"> </w:t>
      </w:r>
      <w:r w:rsidRPr="00181FCD">
        <w:t>un</w:t>
      </w:r>
      <w:r w:rsidR="00F373A3" w:rsidRPr="00181FCD">
        <w:t xml:space="preserve"> </w:t>
      </w:r>
      <w:r w:rsidRPr="00181FCD">
        <w:t>proceso</w:t>
      </w:r>
      <w:r w:rsidR="00F373A3" w:rsidRPr="00181FCD">
        <w:t xml:space="preserve"> </w:t>
      </w:r>
      <w:r w:rsidRPr="00181FCD">
        <w:t>largo</w:t>
      </w:r>
      <w:r w:rsidR="00F373A3" w:rsidRPr="00181FCD">
        <w:t xml:space="preserve"> </w:t>
      </w:r>
      <w:r w:rsidRPr="00181FCD">
        <w:t>y</w:t>
      </w:r>
      <w:r w:rsidR="00F373A3" w:rsidRPr="00181FCD">
        <w:t xml:space="preserve"> </w:t>
      </w:r>
      <w:r w:rsidRPr="00181FCD">
        <w:t>continuado.</w:t>
      </w:r>
      <w:r w:rsidR="00F373A3" w:rsidRPr="00181FCD">
        <w:t xml:space="preserve"> </w:t>
      </w:r>
      <w:r w:rsidRPr="00181FCD">
        <w:t>Se</w:t>
      </w:r>
      <w:r w:rsidR="00F373A3" w:rsidRPr="00181FCD">
        <w:t xml:space="preserve"> </w:t>
      </w:r>
      <w:r w:rsidRPr="00181FCD">
        <w:t>lleva</w:t>
      </w:r>
      <w:r w:rsidR="00F373A3" w:rsidRPr="00181FCD">
        <w:t xml:space="preserve"> </w:t>
      </w:r>
      <w:r w:rsidRPr="00181FCD">
        <w:t>a</w:t>
      </w:r>
      <w:r w:rsidR="00F373A3" w:rsidRPr="00181FCD">
        <w:t xml:space="preserve"> </w:t>
      </w:r>
      <w:r w:rsidRPr="00181FCD">
        <w:t>cabo</w:t>
      </w:r>
      <w:r w:rsidR="00F373A3" w:rsidRPr="00181FCD">
        <w:t xml:space="preserve"> </w:t>
      </w:r>
      <w:r w:rsidRPr="00181FCD">
        <w:t>mediante</w:t>
      </w:r>
      <w:r w:rsidR="00F373A3" w:rsidRPr="00181FCD">
        <w:t xml:space="preserve"> </w:t>
      </w:r>
      <w:r w:rsidRPr="00181FCD">
        <w:t>la</w:t>
      </w:r>
      <w:r w:rsidR="00F373A3" w:rsidRPr="00181FCD">
        <w:t xml:space="preserve"> </w:t>
      </w:r>
      <w:r w:rsidRPr="00181FCD">
        <w:t>estrecha</w:t>
      </w:r>
      <w:r w:rsidR="00F373A3" w:rsidRPr="00181FCD">
        <w:t xml:space="preserve"> </w:t>
      </w:r>
      <w:r w:rsidRPr="00181FCD">
        <w:t>colaboración</w:t>
      </w:r>
      <w:r w:rsidR="00F373A3" w:rsidRPr="00181FCD">
        <w:t xml:space="preserve"> </w:t>
      </w:r>
      <w:r w:rsidRPr="00181FCD">
        <w:t>y</w:t>
      </w:r>
      <w:r w:rsidR="00F373A3" w:rsidRPr="00181FCD">
        <w:t xml:space="preserve"> </w:t>
      </w:r>
      <w:r w:rsidRPr="00181FCD">
        <w:t>cooperación</w:t>
      </w:r>
      <w:r w:rsidR="00F373A3" w:rsidRPr="00181FCD">
        <w:t xml:space="preserve"> </w:t>
      </w:r>
      <w:r w:rsidRPr="00181FCD">
        <w:t>entre</w:t>
      </w:r>
      <w:r w:rsidR="00F373A3" w:rsidRPr="00181FCD">
        <w:t xml:space="preserve"> </w:t>
      </w:r>
      <w:r w:rsidRPr="00181FCD">
        <w:t>las</w:t>
      </w:r>
      <w:r w:rsidR="00F373A3" w:rsidRPr="00181FCD">
        <w:t xml:space="preserve"> </w:t>
      </w:r>
      <w:r w:rsidRPr="00181FCD">
        <w:t>autoridades</w:t>
      </w:r>
      <w:r w:rsidR="00F373A3" w:rsidRPr="00181FCD">
        <w:t xml:space="preserve"> </w:t>
      </w:r>
      <w:r w:rsidRPr="00181FCD">
        <w:t>de</w:t>
      </w:r>
      <w:r w:rsidR="00F373A3" w:rsidRPr="00181FCD">
        <w:t xml:space="preserve"> </w:t>
      </w:r>
      <w:r w:rsidRPr="00181FCD">
        <w:t>protección</w:t>
      </w:r>
      <w:r w:rsidR="00F373A3" w:rsidRPr="00181FCD">
        <w:t xml:space="preserve"> </w:t>
      </w:r>
      <w:r w:rsidRPr="00181FCD">
        <w:t>de</w:t>
      </w:r>
      <w:r w:rsidR="00F373A3" w:rsidRPr="00181FCD">
        <w:t xml:space="preserve"> </w:t>
      </w:r>
      <w:r w:rsidRPr="00181FCD">
        <w:t>la</w:t>
      </w:r>
      <w:r w:rsidR="00F373A3" w:rsidRPr="00181FCD">
        <w:t xml:space="preserve"> </w:t>
      </w:r>
      <w:r w:rsidRPr="00181FCD">
        <w:t>infancia</w:t>
      </w:r>
      <w:r w:rsidR="00F373A3" w:rsidRPr="00181FCD">
        <w:t xml:space="preserve"> </w:t>
      </w:r>
      <w:r w:rsidRPr="00181FCD">
        <w:t>y</w:t>
      </w:r>
      <w:r w:rsidR="00F373A3" w:rsidRPr="00181FCD">
        <w:t xml:space="preserve"> </w:t>
      </w:r>
      <w:r w:rsidRPr="00181FCD">
        <w:t>los</w:t>
      </w:r>
      <w:r w:rsidR="00F373A3" w:rsidRPr="00181FCD">
        <w:t xml:space="preserve"> </w:t>
      </w:r>
      <w:r w:rsidRPr="00181FCD">
        <w:t>padres</w:t>
      </w:r>
      <w:r w:rsidR="00F373A3" w:rsidRPr="00181FCD">
        <w:t xml:space="preserve"> </w:t>
      </w:r>
      <w:r w:rsidRPr="00181FCD">
        <w:t>de</w:t>
      </w:r>
      <w:r w:rsidR="00F373A3" w:rsidRPr="00181FCD">
        <w:t xml:space="preserve"> </w:t>
      </w:r>
      <w:r w:rsidRPr="00181FCD">
        <w:t>los</w:t>
      </w:r>
      <w:r w:rsidR="00F373A3" w:rsidRPr="00181FCD">
        <w:t xml:space="preserve"> </w:t>
      </w:r>
      <w:r w:rsidRPr="00181FCD">
        <w:t>niños.</w:t>
      </w:r>
    </w:p>
    <w:p w:rsidR="001937F4" w:rsidRPr="00181FCD" w:rsidRDefault="001937F4" w:rsidP="00347B20">
      <w:pPr>
        <w:pStyle w:val="SingleTxtG"/>
        <w:suppressAutoHyphens/>
      </w:pPr>
      <w:r w:rsidRPr="00181FCD">
        <w:t>92.</w:t>
      </w:r>
      <w:r w:rsidRPr="00181FCD">
        <w:tab/>
        <w:t>Se</w:t>
      </w:r>
      <w:r w:rsidR="00F373A3" w:rsidRPr="00181FCD">
        <w:t xml:space="preserve"> </w:t>
      </w:r>
      <w:r w:rsidRPr="00181FCD">
        <w:t>ha</w:t>
      </w:r>
      <w:r w:rsidR="00F373A3" w:rsidRPr="00181FCD">
        <w:t xml:space="preserve"> </w:t>
      </w:r>
      <w:r w:rsidRPr="00181FCD">
        <w:t>seguido</w:t>
      </w:r>
      <w:r w:rsidR="00F373A3" w:rsidRPr="00181FCD">
        <w:t xml:space="preserve"> </w:t>
      </w:r>
      <w:r w:rsidRPr="00181FCD">
        <w:t>trabajando</w:t>
      </w:r>
      <w:r w:rsidR="00F373A3" w:rsidRPr="00181FCD">
        <w:t xml:space="preserve"> </w:t>
      </w:r>
      <w:r w:rsidRPr="00181FCD">
        <w:t>activamente</w:t>
      </w:r>
      <w:r w:rsidR="00F373A3" w:rsidRPr="00181FCD">
        <w:t xml:space="preserve"> </w:t>
      </w:r>
      <w:r w:rsidRPr="00181FCD">
        <w:t>en</w:t>
      </w:r>
      <w:r w:rsidR="00F373A3" w:rsidRPr="00181FCD">
        <w:t xml:space="preserve"> </w:t>
      </w:r>
      <w:r w:rsidRPr="00181FCD">
        <w:t>la</w:t>
      </w:r>
      <w:r w:rsidR="00F373A3" w:rsidRPr="00181FCD">
        <w:t xml:space="preserve"> </w:t>
      </w:r>
      <w:r w:rsidRPr="00181FCD">
        <w:t>desinstitucionalización</w:t>
      </w:r>
      <w:r w:rsidR="00F373A3" w:rsidRPr="00181FCD">
        <w:t xml:space="preserve"> </w:t>
      </w:r>
      <w:r w:rsidRPr="00181FCD">
        <w:t>de</w:t>
      </w:r>
      <w:r w:rsidR="00F373A3" w:rsidRPr="00181FCD">
        <w:t xml:space="preserve"> </w:t>
      </w:r>
      <w:r w:rsidRPr="00181FCD">
        <w:t>los</w:t>
      </w:r>
      <w:r w:rsidR="00F373A3" w:rsidRPr="00181FCD">
        <w:t xml:space="preserve"> </w:t>
      </w:r>
      <w:r w:rsidRPr="00181FCD">
        <w:t>niños</w:t>
      </w:r>
      <w:r w:rsidR="00F373A3" w:rsidRPr="00181FCD">
        <w:t xml:space="preserve"> </w:t>
      </w:r>
      <w:r w:rsidRPr="00181FCD">
        <w:t>con</w:t>
      </w:r>
      <w:r w:rsidR="00F373A3" w:rsidRPr="00181FCD">
        <w:t xml:space="preserve"> </w:t>
      </w:r>
      <w:r w:rsidRPr="00181FCD">
        <w:t>discapacidades.</w:t>
      </w:r>
      <w:r w:rsidR="00F373A3" w:rsidRPr="00181FCD">
        <w:t xml:space="preserve"> </w:t>
      </w:r>
      <w:r w:rsidRPr="00181FCD">
        <w:t>Se</w:t>
      </w:r>
      <w:r w:rsidR="00F373A3" w:rsidRPr="00181FCD">
        <w:t xml:space="preserve"> </w:t>
      </w:r>
      <w:r w:rsidRPr="00181FCD">
        <w:t>han</w:t>
      </w:r>
      <w:r w:rsidR="00F373A3" w:rsidRPr="00181FCD">
        <w:t xml:space="preserve"> </w:t>
      </w:r>
      <w:r w:rsidRPr="00181FCD">
        <w:t>cerrado</w:t>
      </w:r>
      <w:r w:rsidR="00F373A3" w:rsidRPr="00181FCD">
        <w:t xml:space="preserve"> </w:t>
      </w:r>
      <w:r w:rsidRPr="00181FCD">
        <w:t>36</w:t>
      </w:r>
      <w:r w:rsidR="00F373A3" w:rsidRPr="00181FCD">
        <w:t xml:space="preserve"> </w:t>
      </w:r>
      <w:r w:rsidRPr="00181FCD">
        <w:t>instituciones</w:t>
      </w:r>
      <w:r w:rsidR="00F373A3" w:rsidRPr="00181FCD">
        <w:t xml:space="preserve"> </w:t>
      </w:r>
      <w:r w:rsidRPr="00181FCD">
        <w:t>especializadas</w:t>
      </w:r>
      <w:r w:rsidR="00F373A3" w:rsidRPr="00181FCD">
        <w:t xml:space="preserve"> </w:t>
      </w:r>
      <w:r w:rsidRPr="00181FCD">
        <w:t>y</w:t>
      </w:r>
      <w:r w:rsidR="00F373A3" w:rsidRPr="00181FCD">
        <w:t xml:space="preserve"> </w:t>
      </w:r>
      <w:r w:rsidRPr="00181FCD">
        <w:t>se</w:t>
      </w:r>
      <w:r w:rsidR="00F373A3" w:rsidRPr="00181FCD">
        <w:t xml:space="preserve"> </w:t>
      </w:r>
      <w:r w:rsidRPr="00181FCD">
        <w:t>han</w:t>
      </w:r>
      <w:r w:rsidR="00F373A3" w:rsidRPr="00181FCD">
        <w:t xml:space="preserve"> </w:t>
      </w:r>
      <w:r w:rsidRPr="00181FCD">
        <w:t>inaugurado</w:t>
      </w:r>
      <w:r w:rsidR="00F373A3" w:rsidRPr="00181FCD">
        <w:t xml:space="preserve"> </w:t>
      </w:r>
      <w:r w:rsidRPr="00181FCD">
        <w:t>103</w:t>
      </w:r>
      <w:r w:rsidR="00AD3FF6" w:rsidRPr="00181FCD">
        <w:t> </w:t>
      </w:r>
      <w:r w:rsidRPr="00181FCD">
        <w:t>nuevos</w:t>
      </w:r>
      <w:r w:rsidR="00F373A3" w:rsidRPr="00181FCD">
        <w:t xml:space="preserve"> </w:t>
      </w:r>
      <w:r w:rsidRPr="00181FCD">
        <w:t>servicios</w:t>
      </w:r>
      <w:r w:rsidR="00F373A3" w:rsidRPr="00181FCD">
        <w:t xml:space="preserve"> </w:t>
      </w:r>
      <w:r w:rsidRPr="00181FCD">
        <w:t>sociales</w:t>
      </w:r>
      <w:r w:rsidR="00F373A3" w:rsidRPr="00181FCD">
        <w:t xml:space="preserve"> </w:t>
      </w:r>
      <w:r w:rsidRPr="00181FCD">
        <w:t>para</w:t>
      </w:r>
      <w:r w:rsidR="00F373A3" w:rsidRPr="00181FCD">
        <w:t xml:space="preserve"> </w:t>
      </w:r>
      <w:r w:rsidRPr="00181FCD">
        <w:t>niños.</w:t>
      </w:r>
      <w:r w:rsidR="00F373A3" w:rsidRPr="00181FCD">
        <w:t xml:space="preserve"> </w:t>
      </w:r>
      <w:r w:rsidRPr="00181FCD">
        <w:t>A</w:t>
      </w:r>
      <w:r w:rsidR="00F373A3" w:rsidRPr="00181FCD">
        <w:t xml:space="preserve"> </w:t>
      </w:r>
      <w:r w:rsidRPr="00181FCD">
        <w:t>finales</w:t>
      </w:r>
      <w:r w:rsidR="00F373A3" w:rsidRPr="00181FCD">
        <w:t xml:space="preserve"> </w:t>
      </w:r>
      <w:r w:rsidRPr="00181FCD">
        <w:t>de</w:t>
      </w:r>
      <w:r w:rsidR="00F373A3" w:rsidRPr="00181FCD">
        <w:t xml:space="preserve"> </w:t>
      </w:r>
      <w:r w:rsidRPr="00181FCD">
        <w:t>2015,</w:t>
      </w:r>
      <w:r w:rsidR="00F373A3" w:rsidRPr="00181FCD">
        <w:t xml:space="preserve"> </w:t>
      </w:r>
      <w:r w:rsidRPr="00181FCD">
        <w:t>deberían</w:t>
      </w:r>
      <w:r w:rsidR="00F373A3" w:rsidRPr="00181FCD">
        <w:t xml:space="preserve"> </w:t>
      </w:r>
      <w:r w:rsidRPr="00181FCD">
        <w:t>cerrarse</w:t>
      </w:r>
      <w:r w:rsidR="00F373A3" w:rsidRPr="00181FCD">
        <w:t xml:space="preserve"> </w:t>
      </w:r>
      <w:r w:rsidRPr="00181FCD">
        <w:t>10</w:t>
      </w:r>
      <w:r w:rsidR="00AD3FF6" w:rsidRPr="00181FCD">
        <w:t> </w:t>
      </w:r>
      <w:r w:rsidRPr="00181FCD">
        <w:t>instituciones,</w:t>
      </w:r>
      <w:r w:rsidR="00F373A3" w:rsidRPr="00181FCD">
        <w:t xml:space="preserve"> </w:t>
      </w:r>
      <w:r w:rsidRPr="00181FCD">
        <w:t>y</w:t>
      </w:r>
      <w:r w:rsidR="00F373A3" w:rsidRPr="00181FCD">
        <w:t xml:space="preserve"> </w:t>
      </w:r>
      <w:r w:rsidRPr="00181FCD">
        <w:t>en</w:t>
      </w:r>
      <w:r w:rsidR="00F373A3" w:rsidRPr="00181FCD">
        <w:t xml:space="preserve"> </w:t>
      </w:r>
      <w:r w:rsidRPr="00181FCD">
        <w:t>2025,</w:t>
      </w:r>
      <w:r w:rsidR="00F373A3" w:rsidRPr="00181FCD">
        <w:t xml:space="preserve"> </w:t>
      </w:r>
      <w:r w:rsidRPr="00181FCD">
        <w:t>todas</w:t>
      </w:r>
      <w:r w:rsidR="00F373A3" w:rsidRPr="00181FCD">
        <w:t xml:space="preserve"> </w:t>
      </w:r>
      <w:r w:rsidRPr="00181FCD">
        <w:t>las</w:t>
      </w:r>
      <w:r w:rsidR="00F373A3" w:rsidRPr="00181FCD">
        <w:t xml:space="preserve"> </w:t>
      </w:r>
      <w:r w:rsidRPr="00181FCD">
        <w:t>instituciones</w:t>
      </w:r>
      <w:r w:rsidR="00F373A3" w:rsidRPr="00181FCD">
        <w:t xml:space="preserve"> </w:t>
      </w:r>
      <w:r w:rsidRPr="00181FCD">
        <w:t>restantes</w:t>
      </w:r>
      <w:r w:rsidR="00F373A3" w:rsidRPr="00181FCD">
        <w:t xml:space="preserve"> </w:t>
      </w:r>
      <w:r w:rsidRPr="00181FCD">
        <w:t>para</w:t>
      </w:r>
      <w:r w:rsidR="00F373A3" w:rsidRPr="00181FCD">
        <w:t xml:space="preserve"> </w:t>
      </w:r>
      <w:r w:rsidRPr="00181FCD">
        <w:t>los</w:t>
      </w:r>
      <w:r w:rsidR="00F373A3" w:rsidRPr="00181FCD">
        <w:t xml:space="preserve"> </w:t>
      </w:r>
      <w:r w:rsidRPr="00181FCD">
        <w:t>niños</w:t>
      </w:r>
      <w:r w:rsidR="00F373A3" w:rsidRPr="00181FCD">
        <w:t xml:space="preserve"> </w:t>
      </w:r>
      <w:r w:rsidRPr="00181FCD">
        <w:t>con</w:t>
      </w:r>
      <w:r w:rsidR="00F373A3" w:rsidRPr="00181FCD">
        <w:t xml:space="preserve"> </w:t>
      </w:r>
      <w:r w:rsidRPr="00181FCD">
        <w:t>discapacidad</w:t>
      </w:r>
      <w:r w:rsidR="00F373A3" w:rsidRPr="00181FCD">
        <w:t xml:space="preserve"> </w:t>
      </w:r>
      <w:r w:rsidRPr="00181FCD">
        <w:t>mental,</w:t>
      </w:r>
      <w:r w:rsidR="00F373A3" w:rsidRPr="00181FCD">
        <w:t xml:space="preserve"> </w:t>
      </w:r>
      <w:r w:rsidRPr="00181FCD">
        <w:t>junto</w:t>
      </w:r>
      <w:r w:rsidR="00F373A3" w:rsidRPr="00181FCD">
        <w:t xml:space="preserve"> </w:t>
      </w:r>
      <w:r w:rsidRPr="00181FCD">
        <w:t>con</w:t>
      </w:r>
      <w:r w:rsidR="00F373A3" w:rsidRPr="00181FCD">
        <w:t xml:space="preserve"> </w:t>
      </w:r>
      <w:r w:rsidRPr="00181FCD">
        <w:t>1</w:t>
      </w:r>
      <w:r w:rsidR="00F373A3" w:rsidRPr="00181FCD">
        <w:t xml:space="preserve"> </w:t>
      </w:r>
      <w:r w:rsidRPr="00181FCD">
        <w:t>institución</w:t>
      </w:r>
      <w:r w:rsidR="00F373A3" w:rsidRPr="00181FCD">
        <w:t xml:space="preserve"> </w:t>
      </w:r>
      <w:r w:rsidRPr="00181FCD">
        <w:t>para</w:t>
      </w:r>
      <w:r w:rsidR="00F373A3" w:rsidRPr="00181FCD">
        <w:t xml:space="preserve"> </w:t>
      </w:r>
      <w:r w:rsidRPr="00181FCD">
        <w:t>niños</w:t>
      </w:r>
      <w:r w:rsidR="00F373A3" w:rsidRPr="00181FCD">
        <w:t xml:space="preserve"> </w:t>
      </w:r>
      <w:r w:rsidRPr="00181FCD">
        <w:t>con</w:t>
      </w:r>
      <w:r w:rsidR="00F373A3" w:rsidRPr="00181FCD">
        <w:t xml:space="preserve"> </w:t>
      </w:r>
      <w:r w:rsidRPr="00181FCD">
        <w:t>discapacidad</w:t>
      </w:r>
      <w:r w:rsidR="00F373A3" w:rsidRPr="00181FCD">
        <w:t xml:space="preserve"> </w:t>
      </w:r>
      <w:r w:rsidRPr="00181FCD">
        <w:t>física.</w:t>
      </w:r>
      <w:r w:rsidR="00F373A3" w:rsidRPr="00181FCD">
        <w:t xml:space="preserve"> </w:t>
      </w:r>
      <w:r w:rsidRPr="00181FCD">
        <w:t>El</w:t>
      </w:r>
      <w:r w:rsidR="00F373A3" w:rsidRPr="00181FCD">
        <w:t xml:space="preserve"> </w:t>
      </w:r>
      <w:r w:rsidRPr="00181FCD">
        <w:t>proceso</w:t>
      </w:r>
      <w:r w:rsidR="00F373A3" w:rsidRPr="00181FCD">
        <w:t xml:space="preserve"> </w:t>
      </w:r>
      <w:r w:rsidRPr="00181FCD">
        <w:t>continuará</w:t>
      </w:r>
      <w:r w:rsidR="00F373A3" w:rsidRPr="00181FCD">
        <w:t xml:space="preserve"> </w:t>
      </w:r>
      <w:r w:rsidRPr="00181FCD">
        <w:t>con</w:t>
      </w:r>
      <w:r w:rsidR="00F373A3" w:rsidRPr="00181FCD">
        <w:t xml:space="preserve"> </w:t>
      </w:r>
      <w:r w:rsidRPr="00181FCD">
        <w:t>el</w:t>
      </w:r>
      <w:r w:rsidR="00F373A3" w:rsidRPr="00181FCD">
        <w:t xml:space="preserve"> </w:t>
      </w:r>
      <w:r w:rsidRPr="00181FCD">
        <w:t>cierre</w:t>
      </w:r>
      <w:r w:rsidR="00F373A3" w:rsidRPr="00181FCD">
        <w:t xml:space="preserve"> </w:t>
      </w:r>
      <w:r w:rsidRPr="00181FCD">
        <w:t>de</w:t>
      </w:r>
      <w:r w:rsidR="00F373A3" w:rsidRPr="00181FCD">
        <w:t xml:space="preserve"> </w:t>
      </w:r>
      <w:r w:rsidRPr="00181FCD">
        <w:t>las</w:t>
      </w:r>
      <w:r w:rsidR="00F373A3" w:rsidRPr="00181FCD">
        <w:t xml:space="preserve"> </w:t>
      </w:r>
      <w:r w:rsidRPr="00181FCD">
        <w:t>instituciones</w:t>
      </w:r>
      <w:r w:rsidR="00F373A3" w:rsidRPr="00181FCD">
        <w:t xml:space="preserve"> </w:t>
      </w:r>
      <w:r w:rsidRPr="00181FCD">
        <w:t>a</w:t>
      </w:r>
      <w:r w:rsidR="00F373A3" w:rsidRPr="00181FCD">
        <w:t xml:space="preserve"> </w:t>
      </w:r>
      <w:r w:rsidRPr="00181FCD">
        <w:t>los</w:t>
      </w:r>
      <w:r w:rsidR="00F373A3" w:rsidRPr="00181FCD">
        <w:t xml:space="preserve"> </w:t>
      </w:r>
      <w:r w:rsidRPr="00181FCD">
        <w:t>niños</w:t>
      </w:r>
      <w:r w:rsidR="00F373A3" w:rsidRPr="00181FCD">
        <w:t xml:space="preserve"> </w:t>
      </w:r>
      <w:r w:rsidRPr="00181FCD">
        <w:t>privados</w:t>
      </w:r>
      <w:r w:rsidR="00F373A3" w:rsidRPr="00181FCD">
        <w:t xml:space="preserve"> </w:t>
      </w:r>
      <w:r w:rsidRPr="00181FCD">
        <w:t>del</w:t>
      </w:r>
      <w:r w:rsidR="00F373A3" w:rsidRPr="00181FCD">
        <w:t xml:space="preserve"> </w:t>
      </w:r>
      <w:r w:rsidRPr="00181FCD">
        <w:t>cuidado</w:t>
      </w:r>
      <w:r w:rsidR="00F373A3" w:rsidRPr="00181FCD">
        <w:t xml:space="preserve"> </w:t>
      </w:r>
      <w:r w:rsidRPr="00181FCD">
        <w:t>de</w:t>
      </w:r>
      <w:r w:rsidR="00F373A3" w:rsidRPr="00181FCD">
        <w:t xml:space="preserve"> </w:t>
      </w:r>
      <w:r w:rsidRPr="00181FCD">
        <w:t>sus</w:t>
      </w:r>
      <w:r w:rsidR="00F373A3" w:rsidRPr="00181FCD">
        <w:t xml:space="preserve"> </w:t>
      </w:r>
      <w:r w:rsidRPr="00181FCD">
        <w:t>padres.</w:t>
      </w:r>
    </w:p>
    <w:p w:rsidR="001937F4" w:rsidRPr="00181FCD" w:rsidRDefault="001937F4" w:rsidP="00347B20">
      <w:pPr>
        <w:pStyle w:val="SingleTxtG"/>
        <w:suppressAutoHyphens/>
      </w:pPr>
      <w:r w:rsidRPr="00181FCD">
        <w:t>93.</w:t>
      </w:r>
      <w:r w:rsidRPr="00181FCD">
        <w:tab/>
        <w:t>En</w:t>
      </w:r>
      <w:r w:rsidR="00F373A3" w:rsidRPr="00181FCD">
        <w:t xml:space="preserve"> </w:t>
      </w:r>
      <w:r w:rsidRPr="00181FCD">
        <w:t>84</w:t>
      </w:r>
      <w:r w:rsidR="00F373A3" w:rsidRPr="00181FCD">
        <w:t xml:space="preserve"> </w:t>
      </w:r>
      <w:r w:rsidRPr="00181FCD">
        <w:t>escuelas</w:t>
      </w:r>
      <w:r w:rsidR="00F373A3" w:rsidRPr="00181FCD">
        <w:t xml:space="preserve"> </w:t>
      </w:r>
      <w:r w:rsidRPr="00181FCD">
        <w:t>piloto</w:t>
      </w:r>
      <w:r w:rsidR="00F373A3" w:rsidRPr="00181FCD">
        <w:t xml:space="preserve"> </w:t>
      </w:r>
      <w:r w:rsidRPr="00181FCD">
        <w:t>se</w:t>
      </w:r>
      <w:r w:rsidR="00F373A3" w:rsidRPr="00181FCD">
        <w:t xml:space="preserve"> </w:t>
      </w:r>
      <w:r w:rsidRPr="00181FCD">
        <w:t>han</w:t>
      </w:r>
      <w:r w:rsidR="00F373A3" w:rsidRPr="00181FCD">
        <w:t xml:space="preserve"> </w:t>
      </w:r>
      <w:r w:rsidRPr="00181FCD">
        <w:t>formado</w:t>
      </w:r>
      <w:r w:rsidR="00F373A3" w:rsidRPr="00181FCD">
        <w:t xml:space="preserve"> </w:t>
      </w:r>
      <w:r w:rsidRPr="00181FCD">
        <w:t>equipos</w:t>
      </w:r>
      <w:r w:rsidR="00F373A3" w:rsidRPr="00181FCD">
        <w:t xml:space="preserve"> </w:t>
      </w:r>
      <w:r w:rsidRPr="00181FCD">
        <w:t>de</w:t>
      </w:r>
      <w:r w:rsidR="00F373A3" w:rsidRPr="00181FCD">
        <w:t xml:space="preserve"> </w:t>
      </w:r>
      <w:r w:rsidRPr="00181FCD">
        <w:t>especialistas</w:t>
      </w:r>
      <w:r w:rsidR="00F373A3" w:rsidRPr="00181FCD">
        <w:t xml:space="preserve"> </w:t>
      </w:r>
      <w:r w:rsidRPr="00181FCD">
        <w:t>(psicólogos,</w:t>
      </w:r>
      <w:r w:rsidR="00F373A3" w:rsidRPr="00181FCD">
        <w:t xml:space="preserve"> </w:t>
      </w:r>
      <w:r w:rsidRPr="00181FCD">
        <w:t>profesores</w:t>
      </w:r>
      <w:r w:rsidR="00F373A3" w:rsidRPr="00181FCD">
        <w:t xml:space="preserve"> </w:t>
      </w:r>
      <w:r w:rsidRPr="00181FCD">
        <w:t>de</w:t>
      </w:r>
      <w:r w:rsidR="00F373A3" w:rsidRPr="00181FCD">
        <w:t xml:space="preserve"> </w:t>
      </w:r>
      <w:r w:rsidRPr="00181FCD">
        <w:t>educación</w:t>
      </w:r>
      <w:r w:rsidR="00F373A3" w:rsidRPr="00181FCD">
        <w:t xml:space="preserve"> </w:t>
      </w:r>
      <w:r w:rsidRPr="00181FCD">
        <w:t>especial,</w:t>
      </w:r>
      <w:r w:rsidR="00F373A3" w:rsidRPr="00181FCD">
        <w:t xml:space="preserve"> </w:t>
      </w:r>
      <w:r w:rsidRPr="00181FCD">
        <w:t>logopedas,</w:t>
      </w:r>
      <w:r w:rsidR="00F373A3" w:rsidRPr="00181FCD">
        <w:t xml:space="preserve"> </w:t>
      </w:r>
      <w:r w:rsidRPr="00181FCD">
        <w:t>profesores</w:t>
      </w:r>
      <w:r w:rsidR="00F373A3" w:rsidRPr="00181FCD">
        <w:t xml:space="preserve"> </w:t>
      </w:r>
      <w:r w:rsidRPr="00181FCD">
        <w:t>de</w:t>
      </w:r>
      <w:r w:rsidR="00F373A3" w:rsidRPr="00181FCD">
        <w:t xml:space="preserve"> </w:t>
      </w:r>
      <w:r w:rsidRPr="00181FCD">
        <w:t>niños</w:t>
      </w:r>
      <w:r w:rsidR="00F373A3" w:rsidRPr="00181FCD">
        <w:t xml:space="preserve"> </w:t>
      </w:r>
      <w:r w:rsidRPr="00181FCD">
        <w:t>con</w:t>
      </w:r>
      <w:r w:rsidR="00F373A3" w:rsidRPr="00181FCD">
        <w:t xml:space="preserve"> </w:t>
      </w:r>
      <w:r w:rsidRPr="00181FCD">
        <w:t>problemas</w:t>
      </w:r>
      <w:r w:rsidR="00F373A3" w:rsidRPr="00181FCD">
        <w:t xml:space="preserve"> </w:t>
      </w:r>
      <w:r w:rsidRPr="00181FCD">
        <w:t>de</w:t>
      </w:r>
      <w:r w:rsidR="00F373A3" w:rsidRPr="00181FCD">
        <w:t xml:space="preserve"> </w:t>
      </w:r>
      <w:r w:rsidRPr="00181FCD">
        <w:t>visión</w:t>
      </w:r>
      <w:r w:rsidR="00F373A3" w:rsidRPr="00181FCD">
        <w:t xml:space="preserve"> </w:t>
      </w:r>
      <w:r w:rsidRPr="00181FCD">
        <w:t>y</w:t>
      </w:r>
      <w:r w:rsidR="00F373A3" w:rsidRPr="00181FCD">
        <w:t xml:space="preserve"> </w:t>
      </w:r>
      <w:r w:rsidRPr="00181FCD">
        <w:t>terapeutas</w:t>
      </w:r>
      <w:r w:rsidR="00F373A3" w:rsidRPr="00181FCD">
        <w:t xml:space="preserve"> </w:t>
      </w:r>
      <w:r w:rsidRPr="00181FCD">
        <w:t>para</w:t>
      </w:r>
      <w:r w:rsidR="00F373A3" w:rsidRPr="00181FCD">
        <w:t xml:space="preserve"> </w:t>
      </w:r>
      <w:r w:rsidRPr="00181FCD">
        <w:t>problemas</w:t>
      </w:r>
      <w:r w:rsidR="00F373A3" w:rsidRPr="00181FCD">
        <w:t xml:space="preserve"> </w:t>
      </w:r>
      <w:r w:rsidRPr="00181FCD">
        <w:t>de</w:t>
      </w:r>
      <w:r w:rsidR="00F373A3" w:rsidRPr="00181FCD">
        <w:t xml:space="preserve"> </w:t>
      </w:r>
      <w:r w:rsidRPr="00181FCD">
        <w:t>audición</w:t>
      </w:r>
      <w:r w:rsidR="00F373A3" w:rsidRPr="00181FCD">
        <w:t xml:space="preserve"> </w:t>
      </w:r>
      <w:r w:rsidRPr="00181FCD">
        <w:t>y</w:t>
      </w:r>
      <w:r w:rsidR="00F373A3" w:rsidRPr="00181FCD">
        <w:t xml:space="preserve"> </w:t>
      </w:r>
      <w:r w:rsidRPr="00181FCD">
        <w:t>habla);</w:t>
      </w:r>
      <w:r w:rsidR="00F373A3" w:rsidRPr="00181FCD">
        <w:t xml:space="preserve"> </w:t>
      </w:r>
      <w:r w:rsidRPr="00181FCD">
        <w:t>se</w:t>
      </w:r>
      <w:r w:rsidR="00F373A3" w:rsidRPr="00181FCD">
        <w:t xml:space="preserve"> </w:t>
      </w:r>
      <w:r w:rsidRPr="00181FCD">
        <w:t>han</w:t>
      </w:r>
      <w:r w:rsidR="00F373A3" w:rsidRPr="00181FCD">
        <w:t xml:space="preserve"> </w:t>
      </w:r>
      <w:r w:rsidRPr="00181FCD">
        <w:t>acondicionado</w:t>
      </w:r>
      <w:r w:rsidR="00F373A3" w:rsidRPr="00181FCD">
        <w:t xml:space="preserve"> </w:t>
      </w:r>
      <w:r w:rsidRPr="00181FCD">
        <w:t>y</w:t>
      </w:r>
      <w:r w:rsidR="00F373A3" w:rsidRPr="00181FCD">
        <w:t xml:space="preserve"> </w:t>
      </w:r>
      <w:r w:rsidRPr="00181FCD">
        <w:t>equipado</w:t>
      </w:r>
      <w:r w:rsidR="00F373A3" w:rsidRPr="00181FCD">
        <w:t xml:space="preserve"> </w:t>
      </w:r>
      <w:r w:rsidRPr="00181FCD">
        <w:t>84</w:t>
      </w:r>
      <w:r w:rsidR="00AD3FF6" w:rsidRPr="00181FCD">
        <w:t> </w:t>
      </w:r>
      <w:r w:rsidRPr="00181FCD">
        <w:t>gabinetes</w:t>
      </w:r>
      <w:r w:rsidR="00F373A3" w:rsidRPr="00181FCD">
        <w:t xml:space="preserve"> </w:t>
      </w:r>
      <w:r w:rsidRPr="00181FCD">
        <w:t>para</w:t>
      </w:r>
      <w:r w:rsidR="00F373A3" w:rsidRPr="00181FCD">
        <w:t xml:space="preserve"> </w:t>
      </w:r>
      <w:r w:rsidRPr="00181FCD">
        <w:t>educación</w:t>
      </w:r>
      <w:r w:rsidR="00F373A3" w:rsidRPr="00181FCD">
        <w:t xml:space="preserve"> </w:t>
      </w:r>
      <w:r w:rsidRPr="00181FCD">
        <w:t>especial.</w:t>
      </w:r>
      <w:r w:rsidR="00F373A3" w:rsidRPr="00181FCD">
        <w:t xml:space="preserve"> </w:t>
      </w:r>
      <w:r w:rsidRPr="00181FCD">
        <w:t>En</w:t>
      </w:r>
      <w:r w:rsidR="00F373A3" w:rsidRPr="00181FCD">
        <w:t xml:space="preserve"> </w:t>
      </w:r>
      <w:r w:rsidRPr="00181FCD">
        <w:t>el</w:t>
      </w:r>
      <w:r w:rsidR="00F373A3" w:rsidRPr="00181FCD">
        <w:t xml:space="preserve"> </w:t>
      </w:r>
      <w:r w:rsidRPr="00181FCD">
        <w:t>marco</w:t>
      </w:r>
      <w:r w:rsidR="00F373A3" w:rsidRPr="00181FCD">
        <w:t xml:space="preserve"> </w:t>
      </w:r>
      <w:r w:rsidRPr="00181FCD">
        <w:t>del</w:t>
      </w:r>
      <w:r w:rsidR="00F373A3" w:rsidRPr="00181FCD">
        <w:t xml:space="preserve"> </w:t>
      </w:r>
      <w:r w:rsidRPr="00181FCD">
        <w:t>Programa</w:t>
      </w:r>
      <w:r w:rsidR="00F373A3" w:rsidRPr="00181FCD">
        <w:t xml:space="preserve"> </w:t>
      </w:r>
      <w:r w:rsidRPr="00181FCD">
        <w:t>Nacional</w:t>
      </w:r>
      <w:r w:rsidR="00F373A3" w:rsidRPr="00181FCD">
        <w:t xml:space="preserve"> "</w:t>
      </w:r>
      <w:r w:rsidRPr="00181FCD">
        <w:t>Creación</w:t>
      </w:r>
      <w:r w:rsidR="00F373A3" w:rsidRPr="00181FCD">
        <w:t xml:space="preserve"> </w:t>
      </w:r>
      <w:r w:rsidRPr="00181FCD">
        <w:t>de</w:t>
      </w:r>
      <w:r w:rsidR="00F373A3" w:rsidRPr="00181FCD">
        <w:t xml:space="preserve"> </w:t>
      </w:r>
      <w:r w:rsidRPr="00181FCD">
        <w:t>un</w:t>
      </w:r>
      <w:r w:rsidR="00F373A3" w:rsidRPr="00181FCD">
        <w:t xml:space="preserve"> </w:t>
      </w:r>
      <w:r w:rsidRPr="00181FCD">
        <w:t>entorno</w:t>
      </w:r>
      <w:r w:rsidR="00F373A3" w:rsidRPr="00181FCD">
        <w:t xml:space="preserve"> </w:t>
      </w:r>
      <w:r w:rsidRPr="00181FCD">
        <w:t>arquitectónico</w:t>
      </w:r>
      <w:r w:rsidR="00F373A3" w:rsidRPr="00181FCD">
        <w:t xml:space="preserve"> </w:t>
      </w:r>
      <w:r w:rsidRPr="00181FCD">
        <w:t>accesible</w:t>
      </w:r>
      <w:r w:rsidR="00F373A3" w:rsidRPr="00181FCD">
        <w:t>"</w:t>
      </w:r>
      <w:r w:rsidRPr="00181FCD">
        <w:t>,</w:t>
      </w:r>
      <w:r w:rsidR="00F373A3" w:rsidRPr="00181FCD">
        <w:t xml:space="preserve"> </w:t>
      </w:r>
      <w:r w:rsidRPr="00181FCD">
        <w:t>se</w:t>
      </w:r>
      <w:r w:rsidR="00F373A3" w:rsidRPr="00181FCD">
        <w:t xml:space="preserve"> </w:t>
      </w:r>
      <w:r w:rsidRPr="00181FCD">
        <w:t>reconstruyeron</w:t>
      </w:r>
      <w:r w:rsidR="00F373A3" w:rsidRPr="00181FCD">
        <w:t xml:space="preserve"> </w:t>
      </w:r>
      <w:r w:rsidRPr="00181FCD">
        <w:t>39</w:t>
      </w:r>
      <w:r w:rsidR="00F373A3" w:rsidRPr="00181FCD">
        <w:t xml:space="preserve"> </w:t>
      </w:r>
      <w:r w:rsidRPr="00181FCD">
        <w:t>escuelas.</w:t>
      </w:r>
      <w:r w:rsidR="00F373A3" w:rsidRPr="00181FCD">
        <w:t xml:space="preserve"> </w:t>
      </w:r>
      <w:r w:rsidRPr="00181FCD">
        <w:t>Se</w:t>
      </w:r>
      <w:r w:rsidR="00F373A3" w:rsidRPr="00181FCD">
        <w:t xml:space="preserve"> </w:t>
      </w:r>
      <w:r w:rsidRPr="00181FCD">
        <w:t>ha</w:t>
      </w:r>
      <w:r w:rsidR="00F373A3" w:rsidRPr="00181FCD">
        <w:t xml:space="preserve"> </w:t>
      </w:r>
      <w:r w:rsidRPr="00181FCD">
        <w:t>establecido</w:t>
      </w:r>
      <w:r w:rsidR="00F373A3" w:rsidRPr="00181FCD">
        <w:t xml:space="preserve"> </w:t>
      </w:r>
      <w:r w:rsidRPr="00181FCD">
        <w:t>un</w:t>
      </w:r>
      <w:r w:rsidR="00F373A3" w:rsidRPr="00181FCD">
        <w:t xml:space="preserve"> </w:t>
      </w:r>
      <w:r w:rsidRPr="00181FCD">
        <w:t>modelo</w:t>
      </w:r>
      <w:r w:rsidR="00F373A3" w:rsidRPr="00181FCD">
        <w:t xml:space="preserve"> </w:t>
      </w:r>
      <w:r w:rsidRPr="00181FCD">
        <w:t>de</w:t>
      </w:r>
      <w:r w:rsidR="00F373A3" w:rsidRPr="00181FCD">
        <w:t xml:space="preserve"> </w:t>
      </w:r>
      <w:r w:rsidRPr="00181FCD">
        <w:t>formación</w:t>
      </w:r>
      <w:r w:rsidR="00F373A3" w:rsidRPr="00181FCD">
        <w:t xml:space="preserve"> </w:t>
      </w:r>
      <w:r w:rsidRPr="00181FCD">
        <w:t>integradora</w:t>
      </w:r>
      <w:r w:rsidR="00F373A3" w:rsidRPr="00181FCD">
        <w:t xml:space="preserve"> </w:t>
      </w:r>
      <w:r w:rsidRPr="00181FCD">
        <w:t>de</w:t>
      </w:r>
      <w:r w:rsidR="00F373A3" w:rsidRPr="00181FCD">
        <w:t xml:space="preserve"> </w:t>
      </w:r>
      <w:r w:rsidRPr="00181FCD">
        <w:t>1.654</w:t>
      </w:r>
      <w:r w:rsidR="00F373A3" w:rsidRPr="00181FCD">
        <w:t xml:space="preserve"> </w:t>
      </w:r>
      <w:r w:rsidRPr="00181FCD">
        <w:t>estudiantes</w:t>
      </w:r>
      <w:r w:rsidR="00F373A3" w:rsidRPr="00181FCD">
        <w:t xml:space="preserve"> </w:t>
      </w:r>
      <w:r w:rsidRPr="00181FCD">
        <w:t>con</w:t>
      </w:r>
      <w:r w:rsidR="00F373A3" w:rsidRPr="00181FCD">
        <w:t xml:space="preserve"> </w:t>
      </w:r>
      <w:r w:rsidRPr="00181FCD">
        <w:t>necesidades</w:t>
      </w:r>
      <w:r w:rsidR="00F373A3" w:rsidRPr="00181FCD">
        <w:t xml:space="preserve"> </w:t>
      </w:r>
      <w:r w:rsidRPr="00181FCD">
        <w:t>educativas</w:t>
      </w:r>
      <w:r w:rsidR="00F373A3" w:rsidRPr="00181FCD">
        <w:t xml:space="preserve"> </w:t>
      </w:r>
      <w:r w:rsidRPr="00181FCD">
        <w:t>especiales.</w:t>
      </w:r>
      <w:r w:rsidR="00F373A3" w:rsidRPr="00181FCD">
        <w:t xml:space="preserve"> </w:t>
      </w:r>
      <w:r w:rsidRPr="00181FCD">
        <w:t>Se</w:t>
      </w:r>
      <w:r w:rsidR="00F373A3" w:rsidRPr="00181FCD">
        <w:t xml:space="preserve"> </w:t>
      </w:r>
      <w:r w:rsidRPr="00181FCD">
        <w:t>establece</w:t>
      </w:r>
      <w:r w:rsidR="00F373A3" w:rsidRPr="00181FCD">
        <w:t xml:space="preserve"> </w:t>
      </w:r>
      <w:r w:rsidRPr="00181FCD">
        <w:t>un</w:t>
      </w:r>
      <w:r w:rsidR="00F373A3" w:rsidRPr="00181FCD">
        <w:t xml:space="preserve"> </w:t>
      </w:r>
      <w:r w:rsidRPr="00181FCD">
        <w:t>entorno</w:t>
      </w:r>
      <w:r w:rsidR="00F373A3" w:rsidRPr="00181FCD">
        <w:t xml:space="preserve"> </w:t>
      </w:r>
      <w:r w:rsidRPr="00181FCD">
        <w:t>favorable</w:t>
      </w:r>
      <w:r w:rsidR="00F373A3" w:rsidRPr="00181FCD">
        <w:t xml:space="preserve"> </w:t>
      </w:r>
      <w:r w:rsidRPr="00181FCD">
        <w:t>en</w:t>
      </w:r>
      <w:r w:rsidR="00F373A3" w:rsidRPr="00181FCD">
        <w:t xml:space="preserve"> </w:t>
      </w:r>
      <w:r w:rsidRPr="00181FCD">
        <w:t>los</w:t>
      </w:r>
      <w:r w:rsidR="00F373A3" w:rsidRPr="00181FCD">
        <w:t xml:space="preserve"> </w:t>
      </w:r>
      <w:r w:rsidRPr="00181FCD">
        <w:t>jardines</w:t>
      </w:r>
      <w:r w:rsidR="00F373A3" w:rsidRPr="00181FCD">
        <w:t xml:space="preserve"> </w:t>
      </w:r>
      <w:r w:rsidRPr="00181FCD">
        <w:t>de</w:t>
      </w:r>
      <w:r w:rsidR="00F373A3" w:rsidRPr="00181FCD">
        <w:t xml:space="preserve"> </w:t>
      </w:r>
      <w:r w:rsidRPr="00181FCD">
        <w:t>infancia</w:t>
      </w:r>
      <w:r w:rsidR="00F373A3" w:rsidRPr="00181FCD">
        <w:t xml:space="preserve"> </w:t>
      </w:r>
      <w:r w:rsidRPr="00181FCD">
        <w:t>y</w:t>
      </w:r>
      <w:r w:rsidR="00F373A3" w:rsidRPr="00181FCD">
        <w:t xml:space="preserve"> </w:t>
      </w:r>
      <w:r w:rsidRPr="00181FCD">
        <w:t>escuelas</w:t>
      </w:r>
      <w:r w:rsidR="00F373A3" w:rsidRPr="00181FCD">
        <w:t xml:space="preserve"> </w:t>
      </w:r>
      <w:r w:rsidRPr="00181FCD">
        <w:t>piloto</w:t>
      </w:r>
      <w:r w:rsidR="00F373A3" w:rsidRPr="00181FCD">
        <w:t xml:space="preserve"> </w:t>
      </w:r>
      <w:r w:rsidRPr="00181FCD">
        <w:t>de</w:t>
      </w:r>
      <w:r w:rsidR="00F373A3" w:rsidRPr="00181FCD">
        <w:t xml:space="preserve"> </w:t>
      </w:r>
      <w:r w:rsidRPr="00181FCD">
        <w:t>educación</w:t>
      </w:r>
      <w:r w:rsidR="00F373A3" w:rsidRPr="00181FCD">
        <w:t xml:space="preserve"> </w:t>
      </w:r>
      <w:r w:rsidRPr="00181FCD">
        <w:t>general</w:t>
      </w:r>
      <w:r w:rsidR="00F373A3" w:rsidRPr="00181FCD">
        <w:t xml:space="preserve"> </w:t>
      </w:r>
      <w:r w:rsidRPr="00181FCD">
        <w:t>cerca</w:t>
      </w:r>
      <w:r w:rsidR="00F373A3" w:rsidRPr="00181FCD">
        <w:t xml:space="preserve"> </w:t>
      </w:r>
      <w:r w:rsidRPr="00181FCD">
        <w:t>de</w:t>
      </w:r>
      <w:r w:rsidR="00F373A3" w:rsidRPr="00181FCD">
        <w:t xml:space="preserve"> </w:t>
      </w:r>
      <w:r w:rsidRPr="00181FCD">
        <w:t>los</w:t>
      </w:r>
      <w:r w:rsidR="00F373A3" w:rsidRPr="00181FCD">
        <w:t xml:space="preserve"> </w:t>
      </w:r>
      <w:r w:rsidRPr="00181FCD">
        <w:t>centros</w:t>
      </w:r>
      <w:r w:rsidR="00F373A3" w:rsidRPr="00181FCD">
        <w:t xml:space="preserve"> </w:t>
      </w:r>
      <w:r w:rsidRPr="00181FCD">
        <w:t>de</w:t>
      </w:r>
      <w:r w:rsidR="00F373A3" w:rsidRPr="00181FCD">
        <w:t xml:space="preserve"> </w:t>
      </w:r>
      <w:r w:rsidRPr="00181FCD">
        <w:t>alojamiento</w:t>
      </w:r>
      <w:r w:rsidR="00F373A3" w:rsidRPr="00181FCD">
        <w:t xml:space="preserve"> </w:t>
      </w:r>
      <w:r w:rsidRPr="00181FCD">
        <w:t>de</w:t>
      </w:r>
      <w:r w:rsidR="00F373A3" w:rsidRPr="00181FCD">
        <w:t xml:space="preserve"> </w:t>
      </w:r>
      <w:r w:rsidRPr="00181FCD">
        <w:t>tipo</w:t>
      </w:r>
      <w:r w:rsidR="00F373A3" w:rsidRPr="00181FCD">
        <w:t xml:space="preserve"> </w:t>
      </w:r>
      <w:r w:rsidRPr="00181FCD">
        <w:t>mixto</w:t>
      </w:r>
      <w:r w:rsidR="00F373A3" w:rsidRPr="00181FCD">
        <w:t xml:space="preserve"> </w:t>
      </w:r>
      <w:r w:rsidRPr="00181FCD">
        <w:t>y</w:t>
      </w:r>
      <w:r w:rsidR="00F373A3" w:rsidRPr="00181FCD">
        <w:t xml:space="preserve"> </w:t>
      </w:r>
      <w:r w:rsidRPr="00181FCD">
        <w:t>viviendas</w:t>
      </w:r>
      <w:r w:rsidR="00F373A3" w:rsidRPr="00181FCD">
        <w:t xml:space="preserve"> </w:t>
      </w:r>
      <w:r w:rsidRPr="00181FCD">
        <w:t>protegidas.</w:t>
      </w:r>
      <w:r w:rsidR="00F373A3" w:rsidRPr="00181FCD">
        <w:t xml:space="preserve"> </w:t>
      </w:r>
      <w:r w:rsidRPr="00181FCD">
        <w:t>Se</w:t>
      </w:r>
      <w:r w:rsidR="00F373A3" w:rsidRPr="00181FCD">
        <w:t xml:space="preserve"> </w:t>
      </w:r>
      <w:r w:rsidRPr="00181FCD">
        <w:t>ha</w:t>
      </w:r>
      <w:r w:rsidR="00F373A3" w:rsidRPr="00181FCD">
        <w:t xml:space="preserve"> </w:t>
      </w:r>
      <w:r w:rsidRPr="00181FCD">
        <w:t>nombrado</w:t>
      </w:r>
      <w:r w:rsidR="00F373A3" w:rsidRPr="00181FCD">
        <w:t xml:space="preserve"> </w:t>
      </w:r>
      <w:r w:rsidRPr="00181FCD">
        <w:t>a</w:t>
      </w:r>
      <w:r w:rsidR="00F373A3" w:rsidRPr="00181FCD">
        <w:t xml:space="preserve"> </w:t>
      </w:r>
      <w:r w:rsidRPr="00181FCD">
        <w:t>terapeutas</w:t>
      </w:r>
      <w:r w:rsidR="00F373A3" w:rsidRPr="00181FCD">
        <w:t xml:space="preserve"> </w:t>
      </w:r>
      <w:r w:rsidRPr="00181FCD">
        <w:t>para</w:t>
      </w:r>
      <w:r w:rsidR="00F373A3" w:rsidRPr="00181FCD">
        <w:t xml:space="preserve"> </w:t>
      </w:r>
      <w:r w:rsidRPr="00181FCD">
        <w:t>dificultades</w:t>
      </w:r>
      <w:r w:rsidR="00F373A3" w:rsidRPr="00181FCD">
        <w:t xml:space="preserve"> </w:t>
      </w:r>
      <w:r w:rsidRPr="00181FCD">
        <w:t>del</w:t>
      </w:r>
      <w:r w:rsidR="00F373A3" w:rsidRPr="00181FCD">
        <w:t xml:space="preserve"> </w:t>
      </w:r>
      <w:r w:rsidRPr="00181FCD">
        <w:t>habla</w:t>
      </w:r>
      <w:r w:rsidR="00F373A3" w:rsidRPr="00181FCD">
        <w:t xml:space="preserve"> </w:t>
      </w:r>
      <w:r w:rsidRPr="00181FCD">
        <w:t>y</w:t>
      </w:r>
      <w:r w:rsidR="00F373A3" w:rsidRPr="00181FCD">
        <w:t xml:space="preserve"> </w:t>
      </w:r>
      <w:r w:rsidRPr="00181FCD">
        <w:t>maestros</w:t>
      </w:r>
      <w:r w:rsidR="00F373A3" w:rsidRPr="00181FCD">
        <w:t xml:space="preserve"> </w:t>
      </w:r>
      <w:r w:rsidRPr="00181FCD">
        <w:t>de</w:t>
      </w:r>
      <w:r w:rsidR="00F373A3" w:rsidRPr="00181FCD">
        <w:t xml:space="preserve"> </w:t>
      </w:r>
      <w:r w:rsidRPr="00181FCD">
        <w:t>educación</w:t>
      </w:r>
      <w:r w:rsidR="00F373A3" w:rsidRPr="00181FCD">
        <w:t xml:space="preserve"> </w:t>
      </w:r>
      <w:r w:rsidRPr="00181FCD">
        <w:t>especial</w:t>
      </w:r>
      <w:r w:rsidR="00F373A3" w:rsidRPr="00181FCD">
        <w:t xml:space="preserve"> </w:t>
      </w:r>
      <w:r w:rsidRPr="00181FCD">
        <w:t>para</w:t>
      </w:r>
      <w:r w:rsidR="00F373A3" w:rsidRPr="00181FCD">
        <w:t xml:space="preserve"> </w:t>
      </w:r>
      <w:r w:rsidRPr="00181FCD">
        <w:t>trabajar</w:t>
      </w:r>
      <w:r w:rsidR="00F373A3" w:rsidRPr="00181FCD">
        <w:t xml:space="preserve"> </w:t>
      </w:r>
      <w:r w:rsidRPr="00181FCD">
        <w:t>con</w:t>
      </w:r>
      <w:r w:rsidR="00F373A3" w:rsidRPr="00181FCD">
        <w:t xml:space="preserve"> </w:t>
      </w:r>
      <w:r w:rsidRPr="00181FCD">
        <w:t>la</w:t>
      </w:r>
      <w:r w:rsidR="00F373A3" w:rsidRPr="00181FCD">
        <w:t xml:space="preserve"> </w:t>
      </w:r>
      <w:r w:rsidRPr="00181FCD">
        <w:t>comunidad</w:t>
      </w:r>
      <w:r w:rsidR="00F373A3" w:rsidRPr="00181FCD">
        <w:t xml:space="preserve"> </w:t>
      </w:r>
      <w:r w:rsidRPr="00181FCD">
        <w:t>de</w:t>
      </w:r>
      <w:r w:rsidR="00F373A3" w:rsidRPr="00181FCD">
        <w:t xml:space="preserve"> </w:t>
      </w:r>
      <w:r w:rsidRPr="00181FCD">
        <w:t>los</w:t>
      </w:r>
      <w:r w:rsidR="00F373A3" w:rsidRPr="00181FCD">
        <w:t xml:space="preserve"> </w:t>
      </w:r>
      <w:r w:rsidRPr="00181FCD">
        <w:t>asentamientos,</w:t>
      </w:r>
      <w:r w:rsidR="00F373A3" w:rsidRPr="00181FCD">
        <w:t xml:space="preserve"> </w:t>
      </w:r>
      <w:r w:rsidRPr="00181FCD">
        <w:t>con</w:t>
      </w:r>
      <w:r w:rsidR="00F373A3" w:rsidRPr="00181FCD">
        <w:t xml:space="preserve"> </w:t>
      </w:r>
      <w:r w:rsidRPr="00181FCD">
        <w:t>el</w:t>
      </w:r>
      <w:r w:rsidR="00F373A3" w:rsidRPr="00181FCD">
        <w:t xml:space="preserve"> </w:t>
      </w:r>
      <w:r w:rsidRPr="00181FCD">
        <w:t>fin</w:t>
      </w:r>
      <w:r w:rsidR="00F373A3" w:rsidRPr="00181FCD">
        <w:t xml:space="preserve"> </w:t>
      </w:r>
      <w:r w:rsidRPr="00181FCD">
        <w:t>de</w:t>
      </w:r>
      <w:r w:rsidR="00F373A3" w:rsidRPr="00181FCD">
        <w:t xml:space="preserve"> </w:t>
      </w:r>
      <w:r w:rsidRPr="00181FCD">
        <w:t>cambiar</w:t>
      </w:r>
      <w:r w:rsidR="00F373A3" w:rsidRPr="00181FCD">
        <w:t xml:space="preserve"> </w:t>
      </w:r>
      <w:r w:rsidRPr="00181FCD">
        <w:t>sus</w:t>
      </w:r>
      <w:r w:rsidR="00F373A3" w:rsidRPr="00181FCD">
        <w:t xml:space="preserve"> </w:t>
      </w:r>
      <w:r w:rsidRPr="00181FCD">
        <w:t>actitudes</w:t>
      </w:r>
      <w:r w:rsidR="00F373A3" w:rsidRPr="00181FCD">
        <w:t xml:space="preserve"> </w:t>
      </w:r>
      <w:r w:rsidRPr="00181FCD">
        <w:t>y</w:t>
      </w:r>
      <w:r w:rsidR="00F373A3" w:rsidRPr="00181FCD">
        <w:t xml:space="preserve"> </w:t>
      </w:r>
      <w:r w:rsidRPr="00181FCD">
        <w:t>preparar</w:t>
      </w:r>
      <w:r w:rsidR="00F373A3" w:rsidRPr="00181FCD">
        <w:t xml:space="preserve"> </w:t>
      </w:r>
      <w:r w:rsidRPr="00181FCD">
        <w:t>las</w:t>
      </w:r>
      <w:r w:rsidR="00F373A3" w:rsidRPr="00181FCD">
        <w:t xml:space="preserve"> </w:t>
      </w:r>
      <w:r w:rsidRPr="00181FCD">
        <w:t>instituciones</w:t>
      </w:r>
      <w:r w:rsidR="00F373A3" w:rsidRPr="00181FCD">
        <w:t xml:space="preserve"> </w:t>
      </w:r>
      <w:r w:rsidRPr="00181FCD">
        <w:t>para</w:t>
      </w:r>
      <w:r w:rsidR="00F373A3" w:rsidRPr="00181FCD">
        <w:t xml:space="preserve"> </w:t>
      </w:r>
      <w:r w:rsidRPr="00181FCD">
        <w:t>la</w:t>
      </w:r>
      <w:r w:rsidR="00F373A3" w:rsidRPr="00181FCD">
        <w:t xml:space="preserve"> </w:t>
      </w:r>
      <w:r w:rsidRPr="00181FCD">
        <w:t>inclusión</w:t>
      </w:r>
      <w:r w:rsidR="00F373A3" w:rsidRPr="00181FCD">
        <w:t xml:space="preserve"> </w:t>
      </w:r>
      <w:r w:rsidRPr="00181FCD">
        <w:t>de</w:t>
      </w:r>
      <w:r w:rsidR="00F373A3" w:rsidRPr="00181FCD">
        <w:t xml:space="preserve"> </w:t>
      </w:r>
      <w:r w:rsidRPr="00181FCD">
        <w:t>los</w:t>
      </w:r>
      <w:r w:rsidR="00F373A3" w:rsidRPr="00181FCD">
        <w:t xml:space="preserve"> </w:t>
      </w:r>
      <w:r w:rsidRPr="00181FCD">
        <w:t>niños.</w:t>
      </w:r>
      <w:r w:rsidR="00F373A3" w:rsidRPr="00181FCD">
        <w:t xml:space="preserve"> </w:t>
      </w:r>
      <w:r w:rsidRPr="00181FCD">
        <w:t>En</w:t>
      </w:r>
      <w:r w:rsidR="00F373A3" w:rsidRPr="00181FCD">
        <w:t xml:space="preserve"> </w:t>
      </w:r>
      <w:r w:rsidRPr="00181FCD">
        <w:t>2014</w:t>
      </w:r>
      <w:r w:rsidR="00F373A3" w:rsidRPr="00181FCD">
        <w:t xml:space="preserve"> </w:t>
      </w:r>
      <w:r w:rsidRPr="00181FCD">
        <w:t>se</w:t>
      </w:r>
      <w:r w:rsidR="00F373A3" w:rsidRPr="00181FCD">
        <w:t xml:space="preserve"> </w:t>
      </w:r>
      <w:r w:rsidRPr="00181FCD">
        <w:t>aprobaron</w:t>
      </w:r>
      <w:r w:rsidR="00F373A3" w:rsidRPr="00181FCD">
        <w:t xml:space="preserve"> </w:t>
      </w:r>
      <w:r w:rsidRPr="00181FCD">
        <w:t>10</w:t>
      </w:r>
      <w:r w:rsidR="00F373A3" w:rsidRPr="00181FCD">
        <w:t xml:space="preserve"> </w:t>
      </w:r>
      <w:r w:rsidRPr="00181FCD">
        <w:t>escuelas</w:t>
      </w:r>
      <w:r w:rsidR="00F373A3" w:rsidRPr="00181FCD">
        <w:t xml:space="preserve"> </w:t>
      </w:r>
      <w:r w:rsidRPr="00181FCD">
        <w:t>piloto</w:t>
      </w:r>
      <w:r w:rsidR="00F373A3" w:rsidRPr="00181FCD">
        <w:t xml:space="preserve"> </w:t>
      </w:r>
      <w:r w:rsidRPr="00181FCD">
        <w:t>de</w:t>
      </w:r>
      <w:r w:rsidR="00F373A3" w:rsidRPr="00181FCD">
        <w:t xml:space="preserve"> </w:t>
      </w:r>
      <w:r w:rsidRPr="00181FCD">
        <w:t>educación</w:t>
      </w:r>
      <w:r w:rsidR="00F373A3" w:rsidRPr="00181FCD">
        <w:t xml:space="preserve"> </w:t>
      </w:r>
      <w:r w:rsidRPr="00181FCD">
        <w:t>general</w:t>
      </w:r>
      <w:r w:rsidR="00F373A3" w:rsidRPr="00181FCD">
        <w:t xml:space="preserve"> </w:t>
      </w:r>
      <w:r w:rsidRPr="00181FCD">
        <w:t>y</w:t>
      </w:r>
      <w:r w:rsidR="00F373A3" w:rsidRPr="00181FCD">
        <w:t xml:space="preserve"> </w:t>
      </w:r>
      <w:r w:rsidRPr="00181FCD">
        <w:t>1</w:t>
      </w:r>
      <w:r w:rsidR="00F373A3" w:rsidRPr="00181FCD">
        <w:t xml:space="preserve"> </w:t>
      </w:r>
      <w:r w:rsidRPr="00181FCD">
        <w:t>jardín</w:t>
      </w:r>
      <w:r w:rsidR="00F373A3" w:rsidRPr="00181FCD">
        <w:t xml:space="preserve"> </w:t>
      </w:r>
      <w:r w:rsidRPr="00181FCD">
        <w:t>de</w:t>
      </w:r>
      <w:r w:rsidR="00F373A3" w:rsidRPr="00181FCD">
        <w:t xml:space="preserve"> </w:t>
      </w:r>
      <w:r w:rsidRPr="00181FCD">
        <w:t>infancia,</w:t>
      </w:r>
      <w:r w:rsidR="00F373A3" w:rsidRPr="00181FCD">
        <w:t xml:space="preserve"> </w:t>
      </w:r>
      <w:r w:rsidRPr="00181FCD">
        <w:t>y</w:t>
      </w:r>
      <w:r w:rsidR="00F373A3" w:rsidRPr="00181FCD">
        <w:t xml:space="preserve"> </w:t>
      </w:r>
      <w:r w:rsidRPr="00181FCD">
        <w:t>64</w:t>
      </w:r>
      <w:r w:rsidR="00F373A3" w:rsidRPr="00181FCD">
        <w:t xml:space="preserve"> </w:t>
      </w:r>
      <w:r w:rsidRPr="00181FCD">
        <w:t>niños</w:t>
      </w:r>
      <w:r w:rsidR="00F373A3" w:rsidRPr="00181FCD">
        <w:t xml:space="preserve"> </w:t>
      </w:r>
      <w:r w:rsidRPr="00181FCD">
        <w:t>y</w:t>
      </w:r>
      <w:r w:rsidR="00F373A3" w:rsidRPr="00181FCD">
        <w:t xml:space="preserve"> </w:t>
      </w:r>
      <w:r w:rsidRPr="00181FCD">
        <w:t>estudiantes</w:t>
      </w:r>
      <w:r w:rsidR="00F373A3" w:rsidRPr="00181FCD">
        <w:t xml:space="preserve"> </w:t>
      </w:r>
      <w:r w:rsidRPr="00181FCD">
        <w:t>fueron</w:t>
      </w:r>
      <w:r w:rsidR="00F373A3" w:rsidRPr="00181FCD">
        <w:t xml:space="preserve"> </w:t>
      </w:r>
      <w:r w:rsidRPr="00181FCD">
        <w:t>integrados</w:t>
      </w:r>
      <w:r w:rsidR="00F373A3" w:rsidRPr="00181FCD">
        <w:t xml:space="preserve"> </w:t>
      </w:r>
      <w:r w:rsidRPr="00181FCD">
        <w:t>en</w:t>
      </w:r>
      <w:r w:rsidR="00F373A3" w:rsidRPr="00181FCD">
        <w:t xml:space="preserve"> </w:t>
      </w:r>
      <w:r w:rsidRPr="00181FCD">
        <w:t>la</w:t>
      </w:r>
      <w:r w:rsidR="00F373A3" w:rsidRPr="00181FCD">
        <w:t xml:space="preserve"> </w:t>
      </w:r>
      <w:r w:rsidRPr="00181FCD">
        <w:t>educación.</w:t>
      </w:r>
      <w:r w:rsidR="00F373A3" w:rsidRPr="00181FCD">
        <w:t xml:space="preserve"> </w:t>
      </w:r>
      <w:r w:rsidRPr="00181FCD">
        <w:t>En</w:t>
      </w:r>
      <w:r w:rsidR="00F373A3" w:rsidRPr="00181FCD">
        <w:t xml:space="preserve"> </w:t>
      </w:r>
      <w:r w:rsidRPr="00181FCD">
        <w:t>total,</w:t>
      </w:r>
      <w:r w:rsidR="00F373A3" w:rsidRPr="00181FCD">
        <w:t xml:space="preserve"> </w:t>
      </w:r>
      <w:r w:rsidRPr="00181FCD">
        <w:t>35</w:t>
      </w:r>
      <w:r w:rsidR="00F373A3" w:rsidRPr="00181FCD">
        <w:t xml:space="preserve"> </w:t>
      </w:r>
      <w:r w:rsidRPr="00181FCD">
        <w:t>especialistas</w:t>
      </w:r>
      <w:r w:rsidR="00F373A3" w:rsidRPr="00181FCD">
        <w:t xml:space="preserve"> </w:t>
      </w:r>
      <w:r w:rsidRPr="00181FCD">
        <w:t>participan</w:t>
      </w:r>
      <w:r w:rsidR="00F373A3" w:rsidRPr="00181FCD">
        <w:t xml:space="preserve"> </w:t>
      </w:r>
      <w:r w:rsidRPr="00181FCD">
        <w:t>en</w:t>
      </w:r>
      <w:r w:rsidR="00F373A3" w:rsidRPr="00181FCD">
        <w:t xml:space="preserve"> </w:t>
      </w:r>
      <w:r w:rsidRPr="00181FCD">
        <w:t>esta</w:t>
      </w:r>
      <w:r w:rsidR="00F373A3" w:rsidRPr="00181FCD">
        <w:t xml:space="preserve"> </w:t>
      </w:r>
      <w:r w:rsidRPr="00181FCD">
        <w:t>actividad.</w:t>
      </w:r>
    </w:p>
    <w:p w:rsidR="001937F4" w:rsidRPr="00181FCD" w:rsidRDefault="001937F4" w:rsidP="00347B20">
      <w:pPr>
        <w:pStyle w:val="SingleTxtG"/>
        <w:suppressAutoHyphens/>
      </w:pPr>
      <w:r w:rsidRPr="00181FCD">
        <w:t>94.</w:t>
      </w:r>
      <w:r w:rsidRPr="00181FCD">
        <w:tab/>
        <w:t>En</w:t>
      </w:r>
      <w:r w:rsidR="00F373A3" w:rsidRPr="00181FCD">
        <w:t xml:space="preserve"> </w:t>
      </w:r>
      <w:r w:rsidRPr="00181FCD">
        <w:t>la</w:t>
      </w:r>
      <w:r w:rsidR="00F373A3" w:rsidRPr="00181FCD">
        <w:t xml:space="preserve"> </w:t>
      </w:r>
      <w:r w:rsidRPr="00181FCD">
        <w:t>cuarta</w:t>
      </w:r>
      <w:r w:rsidR="00F373A3" w:rsidRPr="00181FCD">
        <w:t xml:space="preserve"> </w:t>
      </w:r>
      <w:r w:rsidRPr="00181FCD">
        <w:t>escuela</w:t>
      </w:r>
      <w:r w:rsidR="00F373A3" w:rsidRPr="00181FCD">
        <w:t xml:space="preserve"> </w:t>
      </w:r>
      <w:r w:rsidRPr="00181FCD">
        <w:t>auxiliar</w:t>
      </w:r>
      <w:r w:rsidR="00F373A3" w:rsidRPr="00181FCD">
        <w:t xml:space="preserve"> </w:t>
      </w:r>
      <w:r w:rsidRPr="00181FCD">
        <w:t>de</w:t>
      </w:r>
      <w:r w:rsidR="00F373A3" w:rsidRPr="00181FCD">
        <w:t xml:space="preserve"> </w:t>
      </w:r>
      <w:r w:rsidRPr="00181FCD">
        <w:t>Sofía</w:t>
      </w:r>
      <w:r w:rsidR="00F373A3" w:rsidRPr="00181FCD">
        <w:t xml:space="preserve"> </w:t>
      </w:r>
      <w:r w:rsidRPr="00181FCD">
        <w:t>se</w:t>
      </w:r>
      <w:r w:rsidR="00F373A3" w:rsidRPr="00181FCD">
        <w:t xml:space="preserve"> </w:t>
      </w:r>
      <w:r w:rsidRPr="00181FCD">
        <w:t>experimentó</w:t>
      </w:r>
      <w:r w:rsidR="00F373A3" w:rsidRPr="00181FCD">
        <w:t xml:space="preserve"> </w:t>
      </w:r>
      <w:r w:rsidRPr="00181FCD">
        <w:t>un</w:t>
      </w:r>
      <w:r w:rsidR="00F373A3" w:rsidRPr="00181FCD">
        <w:t xml:space="preserve"> </w:t>
      </w:r>
      <w:r w:rsidRPr="00181FCD">
        <w:t>nuevo</w:t>
      </w:r>
      <w:r w:rsidR="00F373A3" w:rsidRPr="00181FCD">
        <w:t xml:space="preserve"> </w:t>
      </w:r>
      <w:r w:rsidRPr="00181FCD">
        <w:t>modelo</w:t>
      </w:r>
      <w:r w:rsidR="00F373A3" w:rsidRPr="00181FCD">
        <w:t xml:space="preserve"> </w:t>
      </w:r>
      <w:r w:rsidRPr="00181FCD">
        <w:t>de</w:t>
      </w:r>
      <w:r w:rsidR="00F373A3" w:rsidRPr="00181FCD">
        <w:t xml:space="preserve"> </w:t>
      </w:r>
      <w:r w:rsidRPr="00181FCD">
        <w:t>organización</w:t>
      </w:r>
      <w:r w:rsidR="00F373A3" w:rsidRPr="00181FCD">
        <w:t xml:space="preserve"> </w:t>
      </w:r>
      <w:r w:rsidRPr="00181FCD">
        <w:t>y</w:t>
      </w:r>
      <w:r w:rsidR="00F373A3" w:rsidRPr="00181FCD">
        <w:t xml:space="preserve"> </w:t>
      </w:r>
      <w:r w:rsidRPr="00181FCD">
        <w:t>funcionamiento,</w:t>
      </w:r>
      <w:r w:rsidR="00F373A3" w:rsidRPr="00181FCD">
        <w:t xml:space="preserve"> </w:t>
      </w:r>
      <w:r w:rsidRPr="00181FCD">
        <w:t>con</w:t>
      </w:r>
      <w:r w:rsidR="00F373A3" w:rsidRPr="00181FCD">
        <w:t xml:space="preserve"> </w:t>
      </w:r>
      <w:r w:rsidRPr="00181FCD">
        <w:t>el</w:t>
      </w:r>
      <w:r w:rsidR="00F373A3" w:rsidRPr="00181FCD">
        <w:t xml:space="preserve"> </w:t>
      </w:r>
      <w:r w:rsidRPr="00181FCD">
        <w:t>objeto</w:t>
      </w:r>
      <w:r w:rsidR="00F373A3" w:rsidRPr="00181FCD">
        <w:t xml:space="preserve"> </w:t>
      </w:r>
      <w:r w:rsidRPr="00181FCD">
        <w:t>de</w:t>
      </w:r>
      <w:r w:rsidR="00F373A3" w:rsidRPr="00181FCD">
        <w:t xml:space="preserve"> </w:t>
      </w:r>
      <w:r w:rsidRPr="00181FCD">
        <w:t>impartir</w:t>
      </w:r>
      <w:r w:rsidR="00F373A3" w:rsidRPr="00181FCD">
        <w:t xml:space="preserve"> </w:t>
      </w:r>
      <w:r w:rsidRPr="00181FCD">
        <w:t>enseñanza</w:t>
      </w:r>
      <w:r w:rsidR="00F373A3" w:rsidRPr="00181FCD">
        <w:t xml:space="preserve"> </w:t>
      </w:r>
      <w:r w:rsidRPr="00181FCD">
        <w:t>a</w:t>
      </w:r>
      <w:r w:rsidR="00F373A3" w:rsidRPr="00181FCD">
        <w:t xml:space="preserve"> </w:t>
      </w:r>
      <w:r w:rsidRPr="00181FCD">
        <w:t>los</w:t>
      </w:r>
      <w:r w:rsidR="00F373A3" w:rsidRPr="00181FCD">
        <w:t xml:space="preserve"> </w:t>
      </w:r>
      <w:r w:rsidRPr="00181FCD">
        <w:t>niños</w:t>
      </w:r>
      <w:r w:rsidR="00F373A3" w:rsidRPr="00181FCD">
        <w:t xml:space="preserve"> </w:t>
      </w:r>
      <w:r w:rsidRPr="00181FCD">
        <w:t>con</w:t>
      </w:r>
      <w:r w:rsidR="00F373A3" w:rsidRPr="00181FCD">
        <w:t xml:space="preserve"> </w:t>
      </w:r>
      <w:r w:rsidRPr="00181FCD">
        <w:t>discapacidades</w:t>
      </w:r>
      <w:r w:rsidR="00F373A3" w:rsidRPr="00181FCD">
        <w:t xml:space="preserve"> </w:t>
      </w:r>
      <w:r w:rsidRPr="00181FCD">
        <w:t>graves</w:t>
      </w:r>
      <w:r w:rsidR="00F373A3" w:rsidRPr="00181FCD">
        <w:t xml:space="preserve"> </w:t>
      </w:r>
      <w:r w:rsidRPr="00181FCD">
        <w:t>y</w:t>
      </w:r>
      <w:r w:rsidR="00F373A3" w:rsidRPr="00181FCD">
        <w:t xml:space="preserve"> </w:t>
      </w:r>
      <w:r w:rsidRPr="00181FCD">
        <w:t>múltiples.</w:t>
      </w:r>
      <w:r w:rsidR="00F373A3" w:rsidRPr="00181FCD">
        <w:t xml:space="preserve"> </w:t>
      </w:r>
      <w:r w:rsidRPr="00181FCD">
        <w:t>El</w:t>
      </w:r>
      <w:r w:rsidR="00F373A3" w:rsidRPr="00181FCD">
        <w:t xml:space="preserve"> </w:t>
      </w:r>
      <w:r w:rsidRPr="00181FCD">
        <w:t>objetivo</w:t>
      </w:r>
      <w:r w:rsidR="00F373A3" w:rsidRPr="00181FCD">
        <w:t xml:space="preserve"> </w:t>
      </w:r>
      <w:r w:rsidRPr="00181FCD">
        <w:t>es</w:t>
      </w:r>
      <w:r w:rsidR="00F373A3" w:rsidRPr="00181FCD">
        <w:t xml:space="preserve"> </w:t>
      </w:r>
      <w:r w:rsidRPr="00181FCD">
        <w:t>trabajar</w:t>
      </w:r>
      <w:r w:rsidR="00F373A3" w:rsidRPr="00181FCD">
        <w:t xml:space="preserve"> </w:t>
      </w:r>
      <w:r w:rsidRPr="00181FCD">
        <w:t>para</w:t>
      </w:r>
      <w:r w:rsidR="00F373A3" w:rsidRPr="00181FCD">
        <w:t xml:space="preserve"> </w:t>
      </w:r>
      <w:r w:rsidRPr="00181FCD">
        <w:t>lograr</w:t>
      </w:r>
      <w:r w:rsidR="00F373A3" w:rsidRPr="00181FCD">
        <w:t xml:space="preserve"> </w:t>
      </w:r>
      <w:r w:rsidRPr="00181FCD">
        <w:t>nuevos</w:t>
      </w:r>
      <w:r w:rsidR="00F373A3" w:rsidRPr="00181FCD">
        <w:t xml:space="preserve"> </w:t>
      </w:r>
      <w:r w:rsidRPr="00181FCD">
        <w:t>conocimientos</w:t>
      </w:r>
      <w:r w:rsidR="00F373A3" w:rsidRPr="00181FCD">
        <w:t xml:space="preserve"> </w:t>
      </w:r>
      <w:r w:rsidRPr="00181FCD">
        <w:t>que</w:t>
      </w:r>
      <w:r w:rsidR="00F373A3" w:rsidRPr="00181FCD">
        <w:t xml:space="preserve"> </w:t>
      </w:r>
      <w:r w:rsidRPr="00181FCD">
        <w:t>se</w:t>
      </w:r>
      <w:r w:rsidR="00F373A3" w:rsidRPr="00181FCD">
        <w:t xml:space="preserve"> </w:t>
      </w:r>
      <w:r w:rsidRPr="00181FCD">
        <w:t>adapten</w:t>
      </w:r>
      <w:r w:rsidR="00F373A3" w:rsidRPr="00181FCD">
        <w:t xml:space="preserve"> </w:t>
      </w:r>
      <w:r w:rsidRPr="00181FCD">
        <w:t>a</w:t>
      </w:r>
      <w:r w:rsidR="00F373A3" w:rsidRPr="00181FCD">
        <w:t xml:space="preserve"> </w:t>
      </w:r>
      <w:r w:rsidRPr="00181FCD">
        <w:t>la</w:t>
      </w:r>
      <w:r w:rsidR="00F373A3" w:rsidRPr="00181FCD">
        <w:t xml:space="preserve"> </w:t>
      </w:r>
      <w:r w:rsidRPr="00181FCD">
        <w:t>capacidad</w:t>
      </w:r>
      <w:r w:rsidR="00F373A3" w:rsidRPr="00181FCD">
        <w:t xml:space="preserve"> </w:t>
      </w:r>
      <w:r w:rsidRPr="00181FCD">
        <w:t>individual</w:t>
      </w:r>
      <w:r w:rsidR="00F373A3" w:rsidRPr="00181FCD">
        <w:t xml:space="preserve"> </w:t>
      </w:r>
      <w:r w:rsidRPr="00181FCD">
        <w:t>de</w:t>
      </w:r>
      <w:r w:rsidR="00F373A3" w:rsidRPr="00181FCD">
        <w:t xml:space="preserve"> </w:t>
      </w:r>
      <w:r w:rsidRPr="00181FCD">
        <w:t>cada</w:t>
      </w:r>
      <w:r w:rsidR="00F373A3" w:rsidRPr="00181FCD">
        <w:t xml:space="preserve"> </w:t>
      </w:r>
      <w:r w:rsidRPr="00181FCD">
        <w:t>niño.</w:t>
      </w:r>
      <w:r w:rsidR="00F373A3" w:rsidRPr="00181FCD">
        <w:t xml:space="preserve"> </w:t>
      </w:r>
      <w:r w:rsidRPr="00181FCD">
        <w:t>Se</w:t>
      </w:r>
      <w:r w:rsidR="00F373A3" w:rsidRPr="00181FCD">
        <w:t xml:space="preserve"> </w:t>
      </w:r>
      <w:r w:rsidRPr="00181FCD">
        <w:t>acaban</w:t>
      </w:r>
      <w:r w:rsidR="00F373A3" w:rsidRPr="00181FCD">
        <w:t xml:space="preserve"> </w:t>
      </w:r>
      <w:r w:rsidRPr="00181FCD">
        <w:t>de</w:t>
      </w:r>
      <w:r w:rsidR="00F373A3" w:rsidRPr="00181FCD">
        <w:t xml:space="preserve"> </w:t>
      </w:r>
      <w:r w:rsidRPr="00181FCD">
        <w:t>edificar</w:t>
      </w:r>
      <w:r w:rsidR="00F373A3" w:rsidRPr="00181FCD">
        <w:t xml:space="preserve"> </w:t>
      </w:r>
      <w:r w:rsidRPr="00181FCD">
        <w:t>o</w:t>
      </w:r>
      <w:r w:rsidR="00F373A3" w:rsidRPr="00181FCD">
        <w:t xml:space="preserve"> </w:t>
      </w:r>
      <w:r w:rsidRPr="00181FCD">
        <w:t>renovar</w:t>
      </w:r>
      <w:r w:rsidR="00F373A3" w:rsidRPr="00181FCD">
        <w:t xml:space="preserve"> </w:t>
      </w:r>
      <w:r w:rsidRPr="00181FCD">
        <w:t>seis</w:t>
      </w:r>
      <w:r w:rsidR="00F373A3" w:rsidRPr="00181FCD">
        <w:t xml:space="preserve"> </w:t>
      </w:r>
      <w:r w:rsidRPr="00181FCD">
        <w:t>aulas</w:t>
      </w:r>
      <w:r w:rsidR="00F373A3" w:rsidRPr="00181FCD">
        <w:t xml:space="preserve"> </w:t>
      </w:r>
      <w:r w:rsidRPr="00181FCD">
        <w:t>especializadas</w:t>
      </w:r>
      <w:r w:rsidR="00F373A3" w:rsidRPr="00181FCD">
        <w:t xml:space="preserve"> </w:t>
      </w:r>
      <w:r w:rsidRPr="00181FCD">
        <w:t>para</w:t>
      </w:r>
      <w:r w:rsidR="00F373A3" w:rsidRPr="00181FCD">
        <w:t xml:space="preserve"> </w:t>
      </w:r>
      <w:r w:rsidRPr="00181FCD">
        <w:t>el</w:t>
      </w:r>
      <w:r w:rsidR="00F373A3" w:rsidRPr="00181FCD">
        <w:t xml:space="preserve"> </w:t>
      </w:r>
      <w:r w:rsidRPr="00181FCD">
        <w:t>trabajo</w:t>
      </w:r>
      <w:r w:rsidR="00F373A3" w:rsidRPr="00181FCD">
        <w:t xml:space="preserve"> </w:t>
      </w:r>
      <w:r w:rsidRPr="00181FCD">
        <w:t>con</w:t>
      </w:r>
      <w:r w:rsidR="00F373A3" w:rsidRPr="00181FCD">
        <w:t xml:space="preserve"> </w:t>
      </w:r>
      <w:r w:rsidRPr="00181FCD">
        <w:t>niños</w:t>
      </w:r>
      <w:r w:rsidR="00F373A3" w:rsidRPr="00181FCD">
        <w:t xml:space="preserve"> </w:t>
      </w:r>
      <w:r w:rsidRPr="00181FCD">
        <w:t>con</w:t>
      </w:r>
      <w:r w:rsidR="00F373A3" w:rsidRPr="00181FCD">
        <w:t xml:space="preserve"> </w:t>
      </w:r>
      <w:r w:rsidRPr="00181FCD">
        <w:t>discapacidades</w:t>
      </w:r>
      <w:r w:rsidR="00F373A3" w:rsidRPr="00181FCD">
        <w:t xml:space="preserve"> </w:t>
      </w:r>
      <w:r w:rsidRPr="00181FCD">
        <w:t>graves</w:t>
      </w:r>
      <w:r w:rsidR="00F373A3" w:rsidRPr="00181FCD">
        <w:t xml:space="preserve"> </w:t>
      </w:r>
      <w:r w:rsidRPr="00181FCD">
        <w:t>y</w:t>
      </w:r>
      <w:r w:rsidR="00F373A3" w:rsidRPr="00181FCD">
        <w:t xml:space="preserve"> </w:t>
      </w:r>
      <w:r w:rsidRPr="00181FCD">
        <w:t>múltiples,</w:t>
      </w:r>
      <w:r w:rsidR="00F373A3" w:rsidRPr="00181FCD">
        <w:t xml:space="preserve"> </w:t>
      </w:r>
      <w:r w:rsidRPr="00181FCD">
        <w:t>a</w:t>
      </w:r>
      <w:r w:rsidR="00F373A3" w:rsidRPr="00181FCD">
        <w:t xml:space="preserve"> </w:t>
      </w:r>
      <w:r w:rsidRPr="00181FCD">
        <w:t>las</w:t>
      </w:r>
      <w:r w:rsidR="00F373A3" w:rsidRPr="00181FCD">
        <w:t xml:space="preserve"> </w:t>
      </w:r>
      <w:r w:rsidRPr="00181FCD">
        <w:t>que</w:t>
      </w:r>
      <w:r w:rsidR="00F373A3" w:rsidRPr="00181FCD">
        <w:t xml:space="preserve"> </w:t>
      </w:r>
      <w:r w:rsidRPr="00181FCD">
        <w:t>se</w:t>
      </w:r>
      <w:r w:rsidR="00F373A3" w:rsidRPr="00181FCD">
        <w:t xml:space="preserve"> </w:t>
      </w:r>
      <w:r w:rsidRPr="00181FCD">
        <w:t>dotó</w:t>
      </w:r>
      <w:r w:rsidR="00F373A3" w:rsidRPr="00181FCD">
        <w:t xml:space="preserve"> </w:t>
      </w:r>
      <w:r w:rsidRPr="00181FCD">
        <w:t>del</w:t>
      </w:r>
      <w:r w:rsidR="00F373A3" w:rsidRPr="00181FCD">
        <w:t xml:space="preserve"> </w:t>
      </w:r>
      <w:r w:rsidRPr="00181FCD">
        <w:t>equipo</w:t>
      </w:r>
      <w:r w:rsidR="00F373A3" w:rsidRPr="00181FCD">
        <w:t xml:space="preserve"> </w:t>
      </w:r>
      <w:r w:rsidRPr="00181FCD">
        <w:t>y</w:t>
      </w:r>
      <w:r w:rsidR="00F373A3" w:rsidRPr="00181FCD">
        <w:t xml:space="preserve"> </w:t>
      </w:r>
      <w:r w:rsidRPr="00181FCD">
        <w:t>los</w:t>
      </w:r>
      <w:r w:rsidR="00F373A3" w:rsidRPr="00181FCD">
        <w:t xml:space="preserve"> </w:t>
      </w:r>
      <w:r w:rsidRPr="00181FCD">
        <w:t>materiales</w:t>
      </w:r>
      <w:r w:rsidR="00F373A3" w:rsidRPr="00181FCD">
        <w:t xml:space="preserve"> </w:t>
      </w:r>
      <w:r w:rsidRPr="00181FCD">
        <w:t>necesarios;</w:t>
      </w:r>
      <w:r w:rsidR="00F373A3" w:rsidRPr="00181FCD">
        <w:t xml:space="preserve"> </w:t>
      </w:r>
      <w:r w:rsidRPr="00181FCD">
        <w:t>se</w:t>
      </w:r>
      <w:r w:rsidR="00F373A3" w:rsidRPr="00181FCD">
        <w:t xml:space="preserve"> </w:t>
      </w:r>
      <w:r w:rsidRPr="00181FCD">
        <w:t>nombró</w:t>
      </w:r>
      <w:r w:rsidR="00F373A3" w:rsidRPr="00181FCD">
        <w:t xml:space="preserve"> </w:t>
      </w:r>
      <w:r w:rsidRPr="00181FCD">
        <w:t>a</w:t>
      </w:r>
      <w:r w:rsidR="00F373A3" w:rsidRPr="00181FCD">
        <w:t xml:space="preserve"> </w:t>
      </w:r>
      <w:r w:rsidRPr="00181FCD">
        <w:t>32</w:t>
      </w:r>
      <w:r w:rsidR="00F373A3" w:rsidRPr="00181FCD">
        <w:t xml:space="preserve"> </w:t>
      </w:r>
      <w:r w:rsidRPr="00181FCD">
        <w:t>especialistas;</w:t>
      </w:r>
      <w:r w:rsidR="00F373A3" w:rsidRPr="00181FCD">
        <w:t xml:space="preserve"> </w:t>
      </w:r>
      <w:r w:rsidRPr="00181FCD">
        <w:t>se</w:t>
      </w:r>
      <w:r w:rsidR="00F373A3" w:rsidRPr="00181FCD">
        <w:t xml:space="preserve"> </w:t>
      </w:r>
      <w:r w:rsidRPr="00181FCD">
        <w:t>desarrolló</w:t>
      </w:r>
      <w:r w:rsidR="00F373A3" w:rsidRPr="00181FCD">
        <w:t xml:space="preserve"> </w:t>
      </w:r>
      <w:r w:rsidRPr="00181FCD">
        <w:t>un</w:t>
      </w:r>
      <w:r w:rsidR="00F373A3" w:rsidRPr="00181FCD">
        <w:t xml:space="preserve"> </w:t>
      </w:r>
      <w:r w:rsidRPr="00181FCD">
        <w:t>proyecto</w:t>
      </w:r>
      <w:r w:rsidR="00F373A3" w:rsidRPr="00181FCD">
        <w:t xml:space="preserve"> </w:t>
      </w:r>
      <w:r w:rsidRPr="00181FCD">
        <w:t>de</w:t>
      </w:r>
      <w:r w:rsidR="00F373A3" w:rsidRPr="00181FCD">
        <w:t xml:space="preserve"> </w:t>
      </w:r>
      <w:r w:rsidRPr="00181FCD">
        <w:t>nuevo</w:t>
      </w:r>
      <w:r w:rsidR="00F373A3" w:rsidRPr="00181FCD">
        <w:t xml:space="preserve"> </w:t>
      </w:r>
      <w:r w:rsidRPr="00181FCD">
        <w:t>plan</w:t>
      </w:r>
      <w:r w:rsidR="00F373A3" w:rsidRPr="00181FCD">
        <w:t xml:space="preserve"> </w:t>
      </w:r>
      <w:r w:rsidRPr="00181FCD">
        <w:t>de</w:t>
      </w:r>
      <w:r w:rsidR="00F373A3" w:rsidRPr="00181FCD">
        <w:t xml:space="preserve"> </w:t>
      </w:r>
      <w:r w:rsidRPr="00181FCD">
        <w:t>estudios</w:t>
      </w:r>
      <w:r w:rsidR="00F373A3" w:rsidRPr="00181FCD">
        <w:t xml:space="preserve"> </w:t>
      </w:r>
      <w:r w:rsidRPr="00181FCD">
        <w:t>correspondiente</w:t>
      </w:r>
      <w:r w:rsidR="00F373A3" w:rsidRPr="00181FCD">
        <w:t xml:space="preserve"> </w:t>
      </w:r>
      <w:r w:rsidRPr="00181FCD">
        <w:t>al</w:t>
      </w:r>
      <w:r w:rsidR="00F373A3" w:rsidRPr="00181FCD">
        <w:t xml:space="preserve"> </w:t>
      </w:r>
      <w:r w:rsidRPr="00181FCD">
        <w:t>nuevo</w:t>
      </w:r>
      <w:r w:rsidR="00F373A3" w:rsidRPr="00181FCD">
        <w:t xml:space="preserve"> </w:t>
      </w:r>
      <w:r w:rsidRPr="00181FCD">
        <w:t>modelo</w:t>
      </w:r>
      <w:r w:rsidR="00F373A3" w:rsidRPr="00181FCD">
        <w:t xml:space="preserve"> </w:t>
      </w:r>
      <w:r w:rsidRPr="00181FCD">
        <w:t>de</w:t>
      </w:r>
      <w:r w:rsidR="00F373A3" w:rsidRPr="00181FCD">
        <w:t xml:space="preserve"> </w:t>
      </w:r>
      <w:r w:rsidRPr="00181FCD">
        <w:t>funcionamiento</w:t>
      </w:r>
      <w:r w:rsidR="00F373A3" w:rsidRPr="00181FCD">
        <w:t xml:space="preserve"> </w:t>
      </w:r>
      <w:r w:rsidRPr="00181FCD">
        <w:t>de</w:t>
      </w:r>
      <w:r w:rsidR="00F373A3" w:rsidRPr="00181FCD">
        <w:t xml:space="preserve"> </w:t>
      </w:r>
      <w:r w:rsidRPr="00181FCD">
        <w:t>la</w:t>
      </w:r>
      <w:r w:rsidR="00F373A3" w:rsidRPr="00181FCD">
        <w:t xml:space="preserve"> </w:t>
      </w:r>
      <w:r w:rsidRPr="00181FCD">
        <w:t>escuela.</w:t>
      </w:r>
    </w:p>
    <w:p w:rsidR="001937F4" w:rsidRPr="00181FCD" w:rsidRDefault="001937F4" w:rsidP="00347B20">
      <w:pPr>
        <w:pStyle w:val="SingleTxtG"/>
        <w:suppressAutoHyphens/>
      </w:pPr>
      <w:r w:rsidRPr="00181FCD">
        <w:t>95.</w:t>
      </w:r>
      <w:r w:rsidRPr="00181FCD">
        <w:tab/>
        <w:t>Entre</w:t>
      </w:r>
      <w:r w:rsidR="00F373A3" w:rsidRPr="00181FCD">
        <w:t xml:space="preserve"> </w:t>
      </w:r>
      <w:r w:rsidRPr="00181FCD">
        <w:t>julio</w:t>
      </w:r>
      <w:r w:rsidR="00F373A3" w:rsidRPr="00181FCD">
        <w:t xml:space="preserve"> </w:t>
      </w:r>
      <w:r w:rsidRPr="00181FCD">
        <w:t>y</w:t>
      </w:r>
      <w:r w:rsidR="00F373A3" w:rsidRPr="00181FCD">
        <w:t xml:space="preserve"> </w:t>
      </w:r>
      <w:r w:rsidRPr="00181FCD">
        <w:t>septiembre</w:t>
      </w:r>
      <w:r w:rsidR="00F373A3" w:rsidRPr="00181FCD">
        <w:t xml:space="preserve"> </w:t>
      </w:r>
      <w:r w:rsidRPr="00181FCD">
        <w:t>de</w:t>
      </w:r>
      <w:r w:rsidR="00F373A3" w:rsidRPr="00181FCD">
        <w:t xml:space="preserve"> </w:t>
      </w:r>
      <w:r w:rsidRPr="00181FCD">
        <w:t>2015,</w:t>
      </w:r>
      <w:r w:rsidR="00F373A3" w:rsidRPr="00181FCD">
        <w:t xml:space="preserve"> </w:t>
      </w:r>
      <w:r w:rsidRPr="00181FCD">
        <w:t>la</w:t>
      </w:r>
      <w:r w:rsidR="00F373A3" w:rsidRPr="00181FCD">
        <w:t xml:space="preserve"> </w:t>
      </w:r>
      <w:r w:rsidRPr="00181FCD">
        <w:t>Agencia</w:t>
      </w:r>
      <w:r w:rsidR="00F373A3" w:rsidRPr="00181FCD">
        <w:t xml:space="preserve"> </w:t>
      </w:r>
      <w:r w:rsidRPr="00181FCD">
        <w:t>Estatal</w:t>
      </w:r>
      <w:r w:rsidR="00F373A3" w:rsidRPr="00181FCD">
        <w:t xml:space="preserve"> </w:t>
      </w:r>
      <w:r w:rsidRPr="00181FCD">
        <w:t>de</w:t>
      </w:r>
      <w:r w:rsidR="00F373A3" w:rsidRPr="00181FCD">
        <w:t xml:space="preserve"> </w:t>
      </w:r>
      <w:r w:rsidRPr="00181FCD">
        <w:t>Protección</w:t>
      </w:r>
      <w:r w:rsidR="00F373A3" w:rsidRPr="00181FCD">
        <w:t xml:space="preserve"> </w:t>
      </w:r>
      <w:r w:rsidRPr="00181FCD">
        <w:t>del</w:t>
      </w:r>
      <w:r w:rsidR="00F373A3" w:rsidRPr="00181FCD">
        <w:t xml:space="preserve"> </w:t>
      </w:r>
      <w:r w:rsidRPr="00181FCD">
        <w:t>Niño</w:t>
      </w:r>
      <w:r w:rsidR="00F373A3" w:rsidRPr="00181FCD">
        <w:t xml:space="preserve"> </w:t>
      </w:r>
      <w:r w:rsidRPr="00181FCD">
        <w:t>llevó</w:t>
      </w:r>
      <w:r w:rsidR="00F373A3" w:rsidRPr="00181FCD">
        <w:t xml:space="preserve"> </w:t>
      </w:r>
      <w:r w:rsidRPr="00181FCD">
        <w:t>a</w:t>
      </w:r>
      <w:r w:rsidR="00F373A3" w:rsidRPr="00181FCD">
        <w:t xml:space="preserve"> </w:t>
      </w:r>
      <w:r w:rsidRPr="00181FCD">
        <w:t>cabo</w:t>
      </w:r>
      <w:r w:rsidR="00F373A3" w:rsidRPr="00181FCD">
        <w:t xml:space="preserve"> </w:t>
      </w:r>
      <w:r w:rsidRPr="00181FCD">
        <w:t>un</w:t>
      </w:r>
      <w:r w:rsidR="00F373A3" w:rsidRPr="00181FCD">
        <w:t xml:space="preserve"> </w:t>
      </w:r>
      <w:r w:rsidRPr="00181FCD">
        <w:t>estudio</w:t>
      </w:r>
      <w:r w:rsidR="00F373A3" w:rsidRPr="00181FCD">
        <w:t xml:space="preserve"> </w:t>
      </w:r>
      <w:r w:rsidRPr="00181FCD">
        <w:t>sobre</w:t>
      </w:r>
      <w:r w:rsidR="00F373A3" w:rsidRPr="00181FCD">
        <w:t xml:space="preserve"> </w:t>
      </w:r>
      <w:r w:rsidRPr="00181FCD">
        <w:t>el</w:t>
      </w:r>
      <w:r w:rsidR="00F373A3" w:rsidRPr="00181FCD">
        <w:t xml:space="preserve"> </w:t>
      </w:r>
      <w:r w:rsidRPr="00181FCD">
        <w:t>proceso</w:t>
      </w:r>
      <w:r w:rsidR="00F373A3" w:rsidRPr="00181FCD">
        <w:t xml:space="preserve"> </w:t>
      </w:r>
      <w:r w:rsidRPr="00181FCD">
        <w:t>de</w:t>
      </w:r>
      <w:r w:rsidR="00F373A3" w:rsidRPr="00181FCD">
        <w:t xml:space="preserve"> </w:t>
      </w:r>
      <w:r w:rsidRPr="00181FCD">
        <w:t>desinstitucionalización.</w:t>
      </w:r>
      <w:r w:rsidR="00F373A3" w:rsidRPr="00181FCD">
        <w:t xml:space="preserve"> </w:t>
      </w:r>
      <w:r w:rsidRPr="00181FCD">
        <w:t>Los</w:t>
      </w:r>
      <w:r w:rsidR="00F373A3" w:rsidRPr="00181FCD">
        <w:t xml:space="preserve"> </w:t>
      </w:r>
      <w:r w:rsidRPr="00181FCD">
        <w:t>principales</w:t>
      </w:r>
      <w:r w:rsidR="00F373A3" w:rsidRPr="00181FCD">
        <w:t xml:space="preserve"> </w:t>
      </w:r>
      <w:r w:rsidRPr="00181FCD">
        <w:t>logros</w:t>
      </w:r>
      <w:r w:rsidR="00F373A3" w:rsidRPr="00181FCD">
        <w:t xml:space="preserve"> </w:t>
      </w:r>
      <w:r w:rsidRPr="00181FCD">
        <w:t>observados</w:t>
      </w:r>
      <w:r w:rsidR="00F373A3" w:rsidRPr="00181FCD">
        <w:t xml:space="preserve"> </w:t>
      </w:r>
      <w:r w:rsidRPr="00181FCD">
        <w:t>son:</w:t>
      </w:r>
    </w:p>
    <w:p w:rsidR="001937F4" w:rsidRPr="00181FCD" w:rsidRDefault="001937F4" w:rsidP="00347B20">
      <w:pPr>
        <w:pStyle w:val="Bullet1G"/>
      </w:pPr>
      <w:r w:rsidRPr="00181FCD">
        <w:t>Se</w:t>
      </w:r>
      <w:r w:rsidR="00F373A3" w:rsidRPr="00181FCD">
        <w:t xml:space="preserve"> </w:t>
      </w:r>
      <w:r w:rsidRPr="00181FCD">
        <w:t>ha</w:t>
      </w:r>
      <w:r w:rsidR="00F373A3" w:rsidRPr="00181FCD">
        <w:t xml:space="preserve"> </w:t>
      </w:r>
      <w:r w:rsidRPr="00181FCD">
        <w:t>retirado</w:t>
      </w:r>
      <w:r w:rsidR="00F373A3" w:rsidRPr="00181FCD">
        <w:t xml:space="preserve"> </w:t>
      </w:r>
      <w:r w:rsidRPr="00181FCD">
        <w:t>de</w:t>
      </w:r>
      <w:r w:rsidR="00F373A3" w:rsidRPr="00181FCD">
        <w:t xml:space="preserve"> </w:t>
      </w:r>
      <w:r w:rsidRPr="00181FCD">
        <w:t>instituciones</w:t>
      </w:r>
      <w:r w:rsidR="00F373A3" w:rsidRPr="00181FCD">
        <w:t xml:space="preserve"> </w:t>
      </w:r>
      <w:r w:rsidRPr="00181FCD">
        <w:t>a</w:t>
      </w:r>
      <w:r w:rsidR="00F373A3" w:rsidRPr="00181FCD">
        <w:t xml:space="preserve"> </w:t>
      </w:r>
      <w:r w:rsidRPr="00181FCD">
        <w:t>una</w:t>
      </w:r>
      <w:r w:rsidR="00F373A3" w:rsidRPr="00181FCD">
        <w:t xml:space="preserve"> </w:t>
      </w:r>
      <w:r w:rsidRPr="00181FCD">
        <w:t>parte</w:t>
      </w:r>
      <w:r w:rsidR="00F373A3" w:rsidRPr="00181FCD">
        <w:t xml:space="preserve"> </w:t>
      </w:r>
      <w:r w:rsidRPr="00181FCD">
        <w:t>importante</w:t>
      </w:r>
      <w:r w:rsidR="00F373A3" w:rsidRPr="00181FCD">
        <w:t xml:space="preserve"> </w:t>
      </w:r>
      <w:r w:rsidRPr="00181FCD">
        <w:t>de</w:t>
      </w:r>
      <w:r w:rsidR="00F373A3" w:rsidRPr="00181FCD">
        <w:t xml:space="preserve"> </w:t>
      </w:r>
      <w:r w:rsidRPr="00181FCD">
        <w:t>niños,</w:t>
      </w:r>
      <w:r w:rsidR="00F373A3" w:rsidRPr="00181FCD">
        <w:t xml:space="preserve"> </w:t>
      </w:r>
      <w:r w:rsidRPr="00181FCD">
        <w:t>que</w:t>
      </w:r>
      <w:r w:rsidR="00F373A3" w:rsidRPr="00181FCD">
        <w:t xml:space="preserve"> </w:t>
      </w:r>
      <w:r w:rsidRPr="00181FCD">
        <w:t>han</w:t>
      </w:r>
      <w:r w:rsidR="00F373A3" w:rsidRPr="00181FCD">
        <w:t xml:space="preserve"> </w:t>
      </w:r>
      <w:r w:rsidRPr="00181FCD">
        <w:t>sido</w:t>
      </w:r>
      <w:r w:rsidR="00F373A3" w:rsidRPr="00181FCD">
        <w:t xml:space="preserve"> </w:t>
      </w:r>
      <w:r w:rsidRPr="00181FCD">
        <w:t>confiados</w:t>
      </w:r>
      <w:r w:rsidR="00F373A3" w:rsidRPr="00181FCD">
        <w:t xml:space="preserve"> </w:t>
      </w:r>
      <w:r w:rsidRPr="00181FCD">
        <w:t>a</w:t>
      </w:r>
      <w:r w:rsidR="00F373A3" w:rsidRPr="00181FCD">
        <w:t xml:space="preserve"> </w:t>
      </w:r>
      <w:r w:rsidRPr="00181FCD">
        <w:t>una</w:t>
      </w:r>
      <w:r w:rsidR="00F373A3" w:rsidRPr="00181FCD">
        <w:t xml:space="preserve"> </w:t>
      </w:r>
      <w:r w:rsidRPr="00181FCD">
        <w:t>familia</w:t>
      </w:r>
      <w:r w:rsidR="00F373A3" w:rsidRPr="00181FCD">
        <w:t xml:space="preserve"> </w:t>
      </w:r>
      <w:r w:rsidRPr="00181FCD">
        <w:t>o</w:t>
      </w:r>
      <w:r w:rsidR="00F373A3" w:rsidRPr="00181FCD">
        <w:t xml:space="preserve"> </w:t>
      </w:r>
      <w:r w:rsidRPr="00181FCD">
        <w:t>un</w:t>
      </w:r>
      <w:r w:rsidR="00F373A3" w:rsidRPr="00181FCD">
        <w:t xml:space="preserve"> </w:t>
      </w:r>
      <w:r w:rsidRPr="00181FCD">
        <w:t>entorno</w:t>
      </w:r>
      <w:r w:rsidR="00F373A3" w:rsidRPr="00181FCD">
        <w:t xml:space="preserve"> </w:t>
      </w:r>
      <w:r w:rsidRPr="00181FCD">
        <w:t>familiar</w:t>
      </w:r>
      <w:r w:rsidR="00F373A3" w:rsidRPr="00181FCD">
        <w:t xml:space="preserve"> </w:t>
      </w:r>
      <w:r w:rsidR="00347B20" w:rsidRPr="00181FCD">
        <w:t>similar;</w:t>
      </w:r>
    </w:p>
    <w:p w:rsidR="001937F4" w:rsidRPr="00181FCD" w:rsidRDefault="001937F4" w:rsidP="00347B20">
      <w:pPr>
        <w:pStyle w:val="Bullet1G"/>
      </w:pPr>
      <w:r w:rsidRPr="00181FCD">
        <w:t>Se</w:t>
      </w:r>
      <w:r w:rsidR="00F373A3" w:rsidRPr="00181FCD">
        <w:t xml:space="preserve"> </w:t>
      </w:r>
      <w:r w:rsidRPr="00181FCD">
        <w:t>han</w:t>
      </w:r>
      <w:r w:rsidR="00F373A3" w:rsidRPr="00181FCD">
        <w:t xml:space="preserve"> </w:t>
      </w:r>
      <w:r w:rsidRPr="00181FCD">
        <w:t>establecido</w:t>
      </w:r>
      <w:r w:rsidR="00F373A3" w:rsidRPr="00181FCD">
        <w:t xml:space="preserve"> </w:t>
      </w:r>
      <w:r w:rsidRPr="00181FCD">
        <w:t>redes</w:t>
      </w:r>
      <w:r w:rsidR="00F373A3" w:rsidRPr="00181FCD">
        <w:t xml:space="preserve"> </w:t>
      </w:r>
      <w:r w:rsidRPr="00181FCD">
        <w:t>locales</w:t>
      </w:r>
      <w:r w:rsidR="00F373A3" w:rsidRPr="00181FCD">
        <w:t xml:space="preserve"> </w:t>
      </w:r>
      <w:r w:rsidRPr="00181FCD">
        <w:t>de</w:t>
      </w:r>
      <w:r w:rsidR="00F373A3" w:rsidRPr="00181FCD">
        <w:t xml:space="preserve"> </w:t>
      </w:r>
      <w:r w:rsidRPr="00181FCD">
        <w:t>servicios</w:t>
      </w:r>
      <w:r w:rsidR="00F373A3" w:rsidRPr="00181FCD">
        <w:t xml:space="preserve"> </w:t>
      </w:r>
      <w:r w:rsidRPr="00181FCD">
        <w:t>residenciales</w:t>
      </w:r>
      <w:r w:rsidR="00F373A3" w:rsidRPr="00181FCD">
        <w:t xml:space="preserve"> </w:t>
      </w:r>
      <w:r w:rsidRPr="00181FCD">
        <w:t>y</w:t>
      </w:r>
      <w:r w:rsidR="00F373A3" w:rsidRPr="00181FCD">
        <w:t xml:space="preserve"> </w:t>
      </w:r>
      <w:r w:rsidRPr="00181FCD">
        <w:t>de</w:t>
      </w:r>
      <w:r w:rsidR="00F373A3" w:rsidRPr="00181FCD">
        <w:t xml:space="preserve"> </w:t>
      </w:r>
      <w:r w:rsidRPr="00181FCD">
        <w:t>asistencia</w:t>
      </w:r>
      <w:r w:rsidR="00F373A3" w:rsidRPr="00181FCD">
        <w:t xml:space="preserve"> </w:t>
      </w:r>
      <w:r w:rsidR="00347B20" w:rsidRPr="00181FCD">
        <w:t>alternativos;</w:t>
      </w:r>
    </w:p>
    <w:p w:rsidR="001937F4" w:rsidRPr="00181FCD" w:rsidRDefault="001937F4" w:rsidP="00347B20">
      <w:pPr>
        <w:pStyle w:val="Bullet1G"/>
      </w:pPr>
      <w:r w:rsidRPr="00181FCD">
        <w:t>Se</w:t>
      </w:r>
      <w:r w:rsidR="00F373A3" w:rsidRPr="00181FCD">
        <w:t xml:space="preserve"> </w:t>
      </w:r>
      <w:r w:rsidRPr="00181FCD">
        <w:t>han</w:t>
      </w:r>
      <w:r w:rsidR="00F373A3" w:rsidRPr="00181FCD">
        <w:t xml:space="preserve"> </w:t>
      </w:r>
      <w:r w:rsidRPr="00181FCD">
        <w:t>creado</w:t>
      </w:r>
      <w:r w:rsidR="00F373A3" w:rsidRPr="00181FCD">
        <w:t xml:space="preserve"> </w:t>
      </w:r>
      <w:r w:rsidRPr="00181FCD">
        <w:t>nuevos</w:t>
      </w:r>
      <w:r w:rsidR="00F373A3" w:rsidRPr="00181FCD">
        <w:t xml:space="preserve"> </w:t>
      </w:r>
      <w:r w:rsidRPr="00181FCD">
        <w:t>métodos</w:t>
      </w:r>
      <w:r w:rsidR="00F373A3" w:rsidRPr="00181FCD">
        <w:t xml:space="preserve"> </w:t>
      </w:r>
      <w:r w:rsidRPr="00181FCD">
        <w:t>para</w:t>
      </w:r>
      <w:r w:rsidR="00F373A3" w:rsidRPr="00181FCD">
        <w:t xml:space="preserve"> </w:t>
      </w:r>
      <w:r w:rsidRPr="00181FCD">
        <w:t>combatir</w:t>
      </w:r>
      <w:r w:rsidR="00F373A3" w:rsidRPr="00181FCD">
        <w:t xml:space="preserve"> </w:t>
      </w:r>
      <w:r w:rsidRPr="00181FCD">
        <w:t>el</w:t>
      </w:r>
      <w:r w:rsidR="00F373A3" w:rsidRPr="00181FCD">
        <w:t xml:space="preserve"> </w:t>
      </w:r>
      <w:r w:rsidRPr="00181FCD">
        <w:t>abandono</w:t>
      </w:r>
      <w:r w:rsidR="00F373A3" w:rsidRPr="00181FCD">
        <w:t xml:space="preserve"> </w:t>
      </w:r>
      <w:r w:rsidRPr="00181FCD">
        <w:t>de</w:t>
      </w:r>
      <w:r w:rsidR="00F373A3" w:rsidRPr="00181FCD">
        <w:t xml:space="preserve"> </w:t>
      </w:r>
      <w:r w:rsidR="00347B20" w:rsidRPr="00181FCD">
        <w:t>niños;</w:t>
      </w:r>
    </w:p>
    <w:p w:rsidR="001937F4" w:rsidRPr="00181FCD" w:rsidRDefault="001937F4" w:rsidP="00347B20">
      <w:pPr>
        <w:pStyle w:val="Bullet1G"/>
      </w:pPr>
      <w:r w:rsidRPr="00181FCD">
        <w:t>Ha</w:t>
      </w:r>
      <w:r w:rsidR="00F373A3" w:rsidRPr="00181FCD">
        <w:t xml:space="preserve"> </w:t>
      </w:r>
      <w:r w:rsidRPr="00181FCD">
        <w:t>mejorado</w:t>
      </w:r>
      <w:r w:rsidR="00F373A3" w:rsidRPr="00181FCD">
        <w:t xml:space="preserve"> </w:t>
      </w:r>
      <w:r w:rsidRPr="00181FCD">
        <w:t>la</w:t>
      </w:r>
      <w:r w:rsidR="00F373A3" w:rsidRPr="00181FCD">
        <w:t xml:space="preserve"> </w:t>
      </w:r>
      <w:r w:rsidRPr="00181FCD">
        <w:t>colaboración</w:t>
      </w:r>
      <w:r w:rsidR="00F373A3" w:rsidRPr="00181FCD">
        <w:t xml:space="preserve"> </w:t>
      </w:r>
      <w:r w:rsidRPr="00181FCD">
        <w:t>entre</w:t>
      </w:r>
      <w:r w:rsidR="00F373A3" w:rsidRPr="00181FCD">
        <w:t xml:space="preserve"> </w:t>
      </w:r>
      <w:r w:rsidRPr="00181FCD">
        <w:t>los</w:t>
      </w:r>
      <w:r w:rsidR="00F373A3" w:rsidRPr="00181FCD">
        <w:t xml:space="preserve"> </w:t>
      </w:r>
      <w:r w:rsidRPr="00181FCD">
        <w:t>sectores</w:t>
      </w:r>
      <w:r w:rsidR="00F373A3" w:rsidRPr="00181FCD">
        <w:t xml:space="preserve"> </w:t>
      </w:r>
      <w:r w:rsidRPr="00181FCD">
        <w:t>de</w:t>
      </w:r>
      <w:r w:rsidR="00F373A3" w:rsidRPr="00181FCD">
        <w:t xml:space="preserve"> </w:t>
      </w:r>
      <w:r w:rsidRPr="00181FCD">
        <w:t>la</w:t>
      </w:r>
      <w:r w:rsidR="00F373A3" w:rsidRPr="00181FCD">
        <w:t xml:space="preserve"> </w:t>
      </w:r>
      <w:r w:rsidRPr="00181FCD">
        <w:t>atención</w:t>
      </w:r>
      <w:r w:rsidR="00F373A3" w:rsidRPr="00181FCD">
        <w:t xml:space="preserve"> </w:t>
      </w:r>
      <w:r w:rsidRPr="00181FCD">
        <w:t>de</w:t>
      </w:r>
      <w:r w:rsidR="00F373A3" w:rsidRPr="00181FCD">
        <w:t xml:space="preserve"> </w:t>
      </w:r>
      <w:r w:rsidRPr="00181FCD">
        <w:t>salud,</w:t>
      </w:r>
      <w:r w:rsidR="00F373A3" w:rsidRPr="00181FCD">
        <w:t xml:space="preserve"> </w:t>
      </w:r>
      <w:r w:rsidRPr="00181FCD">
        <w:t>la</w:t>
      </w:r>
      <w:r w:rsidR="00F373A3" w:rsidRPr="00181FCD">
        <w:t xml:space="preserve"> </w:t>
      </w:r>
      <w:r w:rsidRPr="00181FCD">
        <w:t>asistencia</w:t>
      </w:r>
      <w:r w:rsidR="00F373A3" w:rsidRPr="00181FCD">
        <w:t xml:space="preserve"> </w:t>
      </w:r>
      <w:r w:rsidRPr="00181FCD">
        <w:t>social</w:t>
      </w:r>
      <w:r w:rsidR="00F373A3" w:rsidRPr="00181FCD">
        <w:t xml:space="preserve"> </w:t>
      </w:r>
      <w:r w:rsidRPr="00181FCD">
        <w:t>y</w:t>
      </w:r>
      <w:r w:rsidR="00F373A3" w:rsidRPr="00181FCD">
        <w:t xml:space="preserve"> </w:t>
      </w:r>
      <w:r w:rsidRPr="00181FCD">
        <w:t>la</w:t>
      </w:r>
      <w:r w:rsidR="00F373A3" w:rsidRPr="00181FCD">
        <w:t xml:space="preserve"> </w:t>
      </w:r>
      <w:r w:rsidR="00347B20" w:rsidRPr="00181FCD">
        <w:t>educación;</w:t>
      </w:r>
    </w:p>
    <w:p w:rsidR="001937F4" w:rsidRPr="00181FCD" w:rsidRDefault="001937F4" w:rsidP="00347B20">
      <w:pPr>
        <w:pStyle w:val="Bullet1G"/>
      </w:pPr>
      <w:r w:rsidRPr="00181FCD">
        <w:t>Ha</w:t>
      </w:r>
      <w:r w:rsidR="00F373A3" w:rsidRPr="00181FCD">
        <w:t xml:space="preserve"> </w:t>
      </w:r>
      <w:r w:rsidRPr="00181FCD">
        <w:t>mejorado</w:t>
      </w:r>
      <w:r w:rsidR="00F373A3" w:rsidRPr="00181FCD">
        <w:t xml:space="preserve"> </w:t>
      </w:r>
      <w:r w:rsidRPr="00181FCD">
        <w:t>la</w:t>
      </w:r>
      <w:r w:rsidR="00F373A3" w:rsidRPr="00181FCD">
        <w:t xml:space="preserve"> </w:t>
      </w:r>
      <w:r w:rsidRPr="00181FCD">
        <w:t>capacidad</w:t>
      </w:r>
      <w:r w:rsidR="00F373A3" w:rsidRPr="00181FCD">
        <w:t xml:space="preserve"> </w:t>
      </w:r>
      <w:r w:rsidRPr="00181FCD">
        <w:t>de</w:t>
      </w:r>
      <w:r w:rsidR="00F373A3" w:rsidRPr="00181FCD">
        <w:t xml:space="preserve"> </w:t>
      </w:r>
      <w:r w:rsidRPr="00181FCD">
        <w:t>los</w:t>
      </w:r>
      <w:r w:rsidR="00F373A3" w:rsidRPr="00181FCD">
        <w:t xml:space="preserve"> </w:t>
      </w:r>
      <w:r w:rsidRPr="00181FCD">
        <w:t>especialistas</w:t>
      </w:r>
      <w:r w:rsidR="00F373A3" w:rsidRPr="00181FCD">
        <w:t xml:space="preserve"> </w:t>
      </w:r>
      <w:r w:rsidR="00347B20" w:rsidRPr="00181FCD">
        <w:t>locales;</w:t>
      </w:r>
    </w:p>
    <w:p w:rsidR="001937F4" w:rsidRPr="00181FCD" w:rsidRDefault="001937F4" w:rsidP="00347B20">
      <w:pPr>
        <w:pStyle w:val="Bullet1G"/>
      </w:pPr>
      <w:r w:rsidRPr="00181FCD">
        <w:t>Se</w:t>
      </w:r>
      <w:r w:rsidR="00F373A3" w:rsidRPr="00181FCD">
        <w:t xml:space="preserve"> </w:t>
      </w:r>
      <w:r w:rsidRPr="00181FCD">
        <w:t>ha</w:t>
      </w:r>
      <w:r w:rsidR="00672EC2" w:rsidRPr="00181FCD">
        <w:t xml:space="preserve"> </w:t>
      </w:r>
      <w:r w:rsidRPr="00181FCD">
        <w:t>informado</w:t>
      </w:r>
      <w:r w:rsidR="00F373A3" w:rsidRPr="00181FCD">
        <w:t xml:space="preserve"> </w:t>
      </w:r>
      <w:r w:rsidRPr="00181FCD">
        <w:t>ampliamente</w:t>
      </w:r>
      <w:r w:rsidR="00F373A3" w:rsidRPr="00181FCD">
        <w:t xml:space="preserve"> </w:t>
      </w:r>
      <w:r w:rsidRPr="00181FCD">
        <w:t>a</w:t>
      </w:r>
      <w:r w:rsidR="00F373A3" w:rsidRPr="00181FCD">
        <w:t xml:space="preserve"> </w:t>
      </w:r>
      <w:r w:rsidRPr="00181FCD">
        <w:t>la</w:t>
      </w:r>
      <w:r w:rsidR="00F373A3" w:rsidRPr="00181FCD">
        <w:t xml:space="preserve"> </w:t>
      </w:r>
      <w:r w:rsidRPr="00181FCD">
        <w:t>sociedad</w:t>
      </w:r>
      <w:r w:rsidR="00F373A3" w:rsidRPr="00181FCD">
        <w:t xml:space="preserve"> </w:t>
      </w:r>
      <w:r w:rsidRPr="00181FCD">
        <w:t>sobre</w:t>
      </w:r>
      <w:r w:rsidR="00F373A3" w:rsidRPr="00181FCD">
        <w:t xml:space="preserve"> </w:t>
      </w:r>
      <w:r w:rsidRPr="00181FCD">
        <w:t>los</w:t>
      </w:r>
      <w:r w:rsidR="00F373A3" w:rsidRPr="00181FCD">
        <w:t xml:space="preserve"> </w:t>
      </w:r>
      <w:r w:rsidRPr="00181FCD">
        <w:t>propósitos</w:t>
      </w:r>
      <w:r w:rsidR="00F373A3" w:rsidRPr="00181FCD">
        <w:t xml:space="preserve"> </w:t>
      </w:r>
      <w:r w:rsidRPr="00181FCD">
        <w:t>y</w:t>
      </w:r>
      <w:r w:rsidR="00F373A3" w:rsidRPr="00181FCD">
        <w:t xml:space="preserve"> </w:t>
      </w:r>
      <w:r w:rsidRPr="00181FCD">
        <w:t>principios</w:t>
      </w:r>
      <w:r w:rsidR="00F373A3" w:rsidRPr="00181FCD">
        <w:t xml:space="preserve"> </w:t>
      </w:r>
      <w:r w:rsidRPr="00181FCD">
        <w:t>de</w:t>
      </w:r>
      <w:r w:rsidR="00F373A3" w:rsidRPr="00181FCD">
        <w:t xml:space="preserve"> </w:t>
      </w:r>
      <w:r w:rsidRPr="00181FCD">
        <w:t>la</w:t>
      </w:r>
      <w:r w:rsidR="00F373A3" w:rsidRPr="00181FCD">
        <w:t xml:space="preserve"> </w:t>
      </w:r>
      <w:r w:rsidRPr="00181FCD">
        <w:t>desinstitucionalización,</w:t>
      </w:r>
      <w:r w:rsidR="00F373A3" w:rsidRPr="00181FCD">
        <w:t xml:space="preserve"> </w:t>
      </w:r>
      <w:r w:rsidRPr="00181FCD">
        <w:t>que</w:t>
      </w:r>
      <w:r w:rsidR="00F373A3" w:rsidRPr="00181FCD">
        <w:t xml:space="preserve"> </w:t>
      </w:r>
      <w:r w:rsidRPr="00181FCD">
        <w:t>se</w:t>
      </w:r>
      <w:r w:rsidR="00F373A3" w:rsidRPr="00181FCD">
        <w:t xml:space="preserve"> </w:t>
      </w:r>
      <w:r w:rsidRPr="00181FCD">
        <w:t>ha</w:t>
      </w:r>
      <w:r w:rsidR="00F373A3" w:rsidRPr="00181FCD">
        <w:t xml:space="preserve"> </w:t>
      </w:r>
      <w:r w:rsidRPr="00181FCD">
        <w:t>expresado</w:t>
      </w:r>
      <w:r w:rsidR="00F373A3" w:rsidRPr="00181FCD">
        <w:t xml:space="preserve"> </w:t>
      </w:r>
      <w:r w:rsidRPr="00181FCD">
        <w:t>pleno</w:t>
      </w:r>
      <w:r w:rsidR="00F373A3" w:rsidRPr="00181FCD">
        <w:t xml:space="preserve"> </w:t>
      </w:r>
      <w:r w:rsidRPr="00181FCD">
        <w:t>apoyo</w:t>
      </w:r>
      <w:r w:rsidR="00347B20" w:rsidRPr="00181FCD">
        <w:t>;</w:t>
      </w:r>
    </w:p>
    <w:p w:rsidR="001937F4" w:rsidRPr="00181FCD" w:rsidRDefault="00347B20" w:rsidP="00347B20">
      <w:pPr>
        <w:pStyle w:val="Bullet1G"/>
      </w:pPr>
      <w:r w:rsidRPr="00181FCD">
        <w:t xml:space="preserve">Se </w:t>
      </w:r>
      <w:r w:rsidR="001937F4" w:rsidRPr="00181FCD">
        <w:t>ha</w:t>
      </w:r>
      <w:r w:rsidR="00F373A3" w:rsidRPr="00181FCD">
        <w:t xml:space="preserve"> </w:t>
      </w:r>
      <w:r w:rsidR="001937F4" w:rsidRPr="00181FCD">
        <w:t>creado</w:t>
      </w:r>
      <w:r w:rsidR="00F373A3" w:rsidRPr="00181FCD">
        <w:t xml:space="preserve"> </w:t>
      </w:r>
      <w:r w:rsidR="001937F4" w:rsidRPr="00181FCD">
        <w:t>una</w:t>
      </w:r>
      <w:r w:rsidR="00F373A3" w:rsidRPr="00181FCD">
        <w:t xml:space="preserve"> </w:t>
      </w:r>
      <w:r w:rsidR="001937F4" w:rsidRPr="00181FCD">
        <w:t>comunidad</w:t>
      </w:r>
      <w:r w:rsidR="00F373A3" w:rsidRPr="00181FCD">
        <w:t xml:space="preserve"> </w:t>
      </w:r>
      <w:r w:rsidR="001937F4" w:rsidRPr="00181FCD">
        <w:t>de</w:t>
      </w:r>
      <w:r w:rsidR="00F373A3" w:rsidRPr="00181FCD">
        <w:t xml:space="preserve"> </w:t>
      </w:r>
      <w:r w:rsidR="001937F4" w:rsidRPr="00181FCD">
        <w:t>expertos,</w:t>
      </w:r>
      <w:r w:rsidR="00F373A3" w:rsidRPr="00181FCD">
        <w:t xml:space="preserve"> </w:t>
      </w:r>
      <w:r w:rsidR="001937F4" w:rsidRPr="00181FCD">
        <w:t>con</w:t>
      </w:r>
      <w:r w:rsidR="00F373A3" w:rsidRPr="00181FCD">
        <w:t xml:space="preserve"> </w:t>
      </w:r>
      <w:r w:rsidR="001937F4" w:rsidRPr="00181FCD">
        <w:t>experiencia</w:t>
      </w:r>
      <w:r w:rsidR="00F373A3" w:rsidRPr="00181FCD">
        <w:t xml:space="preserve"> </w:t>
      </w:r>
      <w:r w:rsidR="001937F4" w:rsidRPr="00181FCD">
        <w:t>en</w:t>
      </w:r>
      <w:r w:rsidR="00F373A3" w:rsidRPr="00181FCD">
        <w:t xml:space="preserve"> </w:t>
      </w:r>
      <w:r w:rsidR="001937F4" w:rsidRPr="00181FCD">
        <w:t>los</w:t>
      </w:r>
      <w:r w:rsidR="00F373A3" w:rsidRPr="00181FCD">
        <w:t xml:space="preserve"> </w:t>
      </w:r>
      <w:r w:rsidR="001937F4" w:rsidRPr="00181FCD">
        <w:t>ámbitos</w:t>
      </w:r>
      <w:r w:rsidR="00F373A3" w:rsidRPr="00181FCD">
        <w:t xml:space="preserve"> </w:t>
      </w:r>
      <w:r w:rsidR="001937F4" w:rsidRPr="00181FCD">
        <w:t>administrativo,</w:t>
      </w:r>
      <w:r w:rsidR="00F373A3" w:rsidRPr="00181FCD">
        <w:t xml:space="preserve"> </w:t>
      </w:r>
      <w:r w:rsidR="001937F4" w:rsidRPr="00181FCD">
        <w:t>profesional</w:t>
      </w:r>
      <w:r w:rsidR="00F373A3" w:rsidRPr="00181FCD">
        <w:t xml:space="preserve"> </w:t>
      </w:r>
      <w:r w:rsidR="001937F4" w:rsidRPr="00181FCD">
        <w:t>y</w:t>
      </w:r>
      <w:r w:rsidR="00F373A3" w:rsidRPr="00181FCD">
        <w:t xml:space="preserve"> </w:t>
      </w:r>
      <w:r w:rsidR="001937F4" w:rsidRPr="00181FCD">
        <w:t>civil.</w:t>
      </w:r>
    </w:p>
    <w:p w:rsidR="001937F4" w:rsidRPr="00181FCD" w:rsidRDefault="001937F4" w:rsidP="0008164B">
      <w:pPr>
        <w:pStyle w:val="SingleTxtG"/>
        <w:keepLines/>
        <w:suppressAutoHyphens/>
      </w:pPr>
      <w:r w:rsidRPr="00181FCD">
        <w:t>96.</w:t>
      </w:r>
      <w:r w:rsidRPr="00181FCD">
        <w:tab/>
        <w:t>Entre</w:t>
      </w:r>
      <w:r w:rsidR="00F373A3" w:rsidRPr="00181FCD">
        <w:t xml:space="preserve"> </w:t>
      </w:r>
      <w:r w:rsidRPr="00181FCD">
        <w:t>mayo</w:t>
      </w:r>
      <w:r w:rsidR="00F373A3" w:rsidRPr="00181FCD">
        <w:t xml:space="preserve"> </w:t>
      </w:r>
      <w:r w:rsidRPr="00181FCD">
        <w:t>y</w:t>
      </w:r>
      <w:r w:rsidR="00F373A3" w:rsidRPr="00181FCD">
        <w:t xml:space="preserve"> </w:t>
      </w:r>
      <w:r w:rsidRPr="00181FCD">
        <w:t>septiembre</w:t>
      </w:r>
      <w:r w:rsidR="00F373A3" w:rsidRPr="00181FCD">
        <w:t xml:space="preserve"> </w:t>
      </w:r>
      <w:r w:rsidRPr="00181FCD">
        <w:t>de</w:t>
      </w:r>
      <w:r w:rsidR="00F373A3" w:rsidRPr="00181FCD">
        <w:t xml:space="preserve"> </w:t>
      </w:r>
      <w:r w:rsidRPr="00181FCD">
        <w:t>2015,</w:t>
      </w:r>
      <w:r w:rsidR="00F373A3" w:rsidRPr="00181FCD">
        <w:t xml:space="preserve"> </w:t>
      </w:r>
      <w:r w:rsidRPr="00181FCD">
        <w:t>por</w:t>
      </w:r>
      <w:r w:rsidR="00F373A3" w:rsidRPr="00181FCD">
        <w:t xml:space="preserve"> </w:t>
      </w:r>
      <w:r w:rsidRPr="00181FCD">
        <w:t>Decreto</w:t>
      </w:r>
      <w:r w:rsidR="00F373A3" w:rsidRPr="00181FCD">
        <w:t xml:space="preserve"> </w:t>
      </w:r>
      <w:r w:rsidRPr="00181FCD">
        <w:t>del</w:t>
      </w:r>
      <w:r w:rsidR="00F373A3" w:rsidRPr="00181FCD">
        <w:t xml:space="preserve"> </w:t>
      </w:r>
      <w:r w:rsidRPr="00181FCD">
        <w:t>Consejo</w:t>
      </w:r>
      <w:r w:rsidR="00F373A3" w:rsidRPr="00181FCD">
        <w:t xml:space="preserve"> </w:t>
      </w:r>
      <w:r w:rsidRPr="00181FCD">
        <w:t>de</w:t>
      </w:r>
      <w:r w:rsidR="00F373A3" w:rsidRPr="00181FCD">
        <w:t xml:space="preserve"> </w:t>
      </w:r>
      <w:r w:rsidRPr="00181FCD">
        <w:t>Ministros,</w:t>
      </w:r>
      <w:r w:rsidR="00F373A3" w:rsidRPr="00181FCD">
        <w:t xml:space="preserve"> </w:t>
      </w:r>
      <w:r w:rsidRPr="00181FCD">
        <w:t>se</w:t>
      </w:r>
      <w:r w:rsidR="00F373A3" w:rsidRPr="00181FCD">
        <w:t xml:space="preserve"> </w:t>
      </w:r>
      <w:r w:rsidRPr="00181FCD">
        <w:t>declaró</w:t>
      </w:r>
      <w:r w:rsidR="00F373A3" w:rsidRPr="00181FCD">
        <w:t xml:space="preserve"> </w:t>
      </w:r>
      <w:r w:rsidRPr="00181FCD">
        <w:t>el</w:t>
      </w:r>
      <w:r w:rsidR="00F373A3" w:rsidRPr="00181FCD">
        <w:t xml:space="preserve"> </w:t>
      </w:r>
      <w:r w:rsidRPr="00181FCD">
        <w:t>cierre</w:t>
      </w:r>
      <w:r w:rsidR="00F373A3" w:rsidRPr="00181FCD">
        <w:t xml:space="preserve"> </w:t>
      </w:r>
      <w:r w:rsidRPr="00181FCD">
        <w:t>para</w:t>
      </w:r>
      <w:r w:rsidR="00F373A3" w:rsidRPr="00181FCD">
        <w:t xml:space="preserve"> </w:t>
      </w:r>
      <w:r w:rsidRPr="00181FCD">
        <w:t>que</w:t>
      </w:r>
      <w:r w:rsidR="00F373A3" w:rsidRPr="00181FCD">
        <w:t xml:space="preserve"> </w:t>
      </w:r>
      <w:r w:rsidRPr="00181FCD">
        <w:t>el</w:t>
      </w:r>
      <w:r w:rsidR="00F373A3" w:rsidRPr="00181FCD">
        <w:t xml:space="preserve"> </w:t>
      </w:r>
      <w:r w:rsidRPr="00181FCD">
        <w:t>1</w:t>
      </w:r>
      <w:r w:rsidR="00F373A3" w:rsidRPr="00181FCD">
        <w:t xml:space="preserve"> </w:t>
      </w:r>
      <w:r w:rsidRPr="00181FCD">
        <w:t>de</w:t>
      </w:r>
      <w:r w:rsidR="00F373A3" w:rsidRPr="00181FCD">
        <w:t xml:space="preserve"> </w:t>
      </w:r>
      <w:r w:rsidRPr="00181FCD">
        <w:t>octubre</w:t>
      </w:r>
      <w:r w:rsidR="00F373A3" w:rsidRPr="00181FCD">
        <w:t xml:space="preserve"> </w:t>
      </w:r>
      <w:r w:rsidRPr="00181FCD">
        <w:t>de</w:t>
      </w:r>
      <w:r w:rsidR="00F373A3" w:rsidRPr="00181FCD">
        <w:t xml:space="preserve"> </w:t>
      </w:r>
      <w:r w:rsidRPr="00181FCD">
        <w:t>2015</w:t>
      </w:r>
      <w:r w:rsidR="00F373A3" w:rsidRPr="00181FCD">
        <w:t xml:space="preserve"> </w:t>
      </w:r>
      <w:r w:rsidRPr="00181FCD">
        <w:t>de</w:t>
      </w:r>
      <w:r w:rsidR="00F373A3" w:rsidRPr="00181FCD">
        <w:t xml:space="preserve"> </w:t>
      </w:r>
      <w:r w:rsidRPr="00181FCD">
        <w:t>ocho</w:t>
      </w:r>
      <w:r w:rsidR="00F373A3" w:rsidRPr="00181FCD">
        <w:t xml:space="preserve"> </w:t>
      </w:r>
      <w:r w:rsidRPr="00181FCD">
        <w:t>hogares</w:t>
      </w:r>
      <w:r w:rsidR="00F373A3" w:rsidRPr="00181FCD">
        <w:t xml:space="preserve"> </w:t>
      </w:r>
      <w:r w:rsidRPr="00181FCD">
        <w:t>dedicados</w:t>
      </w:r>
      <w:r w:rsidR="00F373A3" w:rsidRPr="00181FCD">
        <w:t xml:space="preserve"> </w:t>
      </w:r>
      <w:r w:rsidRPr="00181FCD">
        <w:t>a</w:t>
      </w:r>
      <w:r w:rsidR="00F373A3" w:rsidRPr="00181FCD">
        <w:t xml:space="preserve"> </w:t>
      </w:r>
      <w:r w:rsidRPr="00181FCD">
        <w:t>la</w:t>
      </w:r>
      <w:r w:rsidR="00F373A3" w:rsidRPr="00181FCD">
        <w:t xml:space="preserve"> </w:t>
      </w:r>
      <w:r w:rsidRPr="00181FCD">
        <w:t>atención</w:t>
      </w:r>
      <w:r w:rsidR="00F373A3" w:rsidRPr="00181FCD">
        <w:t xml:space="preserve"> </w:t>
      </w:r>
      <w:r w:rsidR="00A35D86" w:rsidRPr="00181FCD">
        <w:t>me</w:t>
      </w:r>
      <w:r w:rsidRPr="00181FCD">
        <w:t>dicosocial</w:t>
      </w:r>
      <w:r w:rsidR="00F373A3" w:rsidRPr="00181FCD">
        <w:t xml:space="preserve"> </w:t>
      </w:r>
      <w:r w:rsidRPr="00181FCD">
        <w:t>de</w:t>
      </w:r>
      <w:r w:rsidR="00F373A3" w:rsidRPr="00181FCD">
        <w:t xml:space="preserve"> </w:t>
      </w:r>
      <w:r w:rsidRPr="00181FCD">
        <w:t>niños.</w:t>
      </w:r>
      <w:r w:rsidR="00F373A3" w:rsidRPr="00181FCD">
        <w:t xml:space="preserve"> </w:t>
      </w:r>
      <w:r w:rsidRPr="00181FCD">
        <w:t>Los</w:t>
      </w:r>
      <w:r w:rsidR="00F373A3" w:rsidRPr="00181FCD">
        <w:t xml:space="preserve"> </w:t>
      </w:r>
      <w:r w:rsidRPr="00181FCD">
        <w:t>niños</w:t>
      </w:r>
      <w:r w:rsidR="00F373A3" w:rsidRPr="00181FCD">
        <w:t xml:space="preserve"> </w:t>
      </w:r>
      <w:r w:rsidRPr="00181FCD">
        <w:t>serán</w:t>
      </w:r>
      <w:r w:rsidR="00F373A3" w:rsidRPr="00181FCD">
        <w:t xml:space="preserve"> </w:t>
      </w:r>
      <w:r w:rsidRPr="00181FCD">
        <w:t>trasladados</w:t>
      </w:r>
      <w:r w:rsidR="00F373A3" w:rsidRPr="00181FCD">
        <w:t xml:space="preserve"> </w:t>
      </w:r>
      <w:r w:rsidRPr="00181FCD">
        <w:t>a</w:t>
      </w:r>
      <w:r w:rsidR="00F373A3" w:rsidRPr="00181FCD">
        <w:t xml:space="preserve"> </w:t>
      </w:r>
      <w:r w:rsidRPr="00181FCD">
        <w:t>centros</w:t>
      </w:r>
      <w:r w:rsidR="00F373A3" w:rsidRPr="00181FCD">
        <w:t xml:space="preserve"> </w:t>
      </w:r>
      <w:r w:rsidRPr="00181FCD">
        <w:t>residenciales</w:t>
      </w:r>
      <w:r w:rsidR="00F373A3" w:rsidRPr="00181FCD">
        <w:t xml:space="preserve"> </w:t>
      </w:r>
      <w:r w:rsidRPr="00181FCD">
        <w:t>especiales</w:t>
      </w:r>
      <w:r w:rsidR="00F373A3" w:rsidRPr="00181FCD">
        <w:t xml:space="preserve"> </w:t>
      </w:r>
      <w:r w:rsidRPr="00181FCD">
        <w:t>que</w:t>
      </w:r>
      <w:r w:rsidR="00F373A3" w:rsidRPr="00181FCD">
        <w:t xml:space="preserve"> </w:t>
      </w:r>
      <w:r w:rsidRPr="00181FCD">
        <w:t>presentan</w:t>
      </w:r>
      <w:r w:rsidR="00F373A3" w:rsidRPr="00181FCD">
        <w:t xml:space="preserve"> </w:t>
      </w:r>
      <w:r w:rsidRPr="00181FCD">
        <w:t>un</w:t>
      </w:r>
      <w:r w:rsidR="00F373A3" w:rsidRPr="00181FCD">
        <w:t xml:space="preserve"> </w:t>
      </w:r>
      <w:r w:rsidRPr="00181FCD">
        <w:t>carácter</w:t>
      </w:r>
      <w:r w:rsidR="00F373A3" w:rsidRPr="00181FCD">
        <w:t xml:space="preserve"> </w:t>
      </w:r>
      <w:r w:rsidRPr="00181FCD">
        <w:t>familiar,</w:t>
      </w:r>
      <w:r w:rsidR="00F373A3" w:rsidRPr="00181FCD">
        <w:t xml:space="preserve"> </w:t>
      </w:r>
      <w:r w:rsidRPr="00181FCD">
        <w:t>al</w:t>
      </w:r>
      <w:r w:rsidR="00F373A3" w:rsidRPr="00181FCD">
        <w:t xml:space="preserve"> </w:t>
      </w:r>
      <w:r w:rsidRPr="00181FCD">
        <w:t>mismo</w:t>
      </w:r>
      <w:r w:rsidR="00F373A3" w:rsidRPr="00181FCD">
        <w:t xml:space="preserve"> </w:t>
      </w:r>
      <w:r w:rsidRPr="00181FCD">
        <w:t>tiempo</w:t>
      </w:r>
      <w:r w:rsidR="00F373A3" w:rsidRPr="00181FCD">
        <w:t xml:space="preserve"> </w:t>
      </w:r>
      <w:r w:rsidRPr="00181FCD">
        <w:t>que</w:t>
      </w:r>
      <w:r w:rsidR="00F373A3" w:rsidRPr="00181FCD">
        <w:t xml:space="preserve"> </w:t>
      </w:r>
      <w:r w:rsidRPr="00181FCD">
        <w:t>se</w:t>
      </w:r>
      <w:r w:rsidR="00F373A3" w:rsidRPr="00181FCD">
        <w:t xml:space="preserve"> </w:t>
      </w:r>
      <w:r w:rsidRPr="00181FCD">
        <w:t>tienen</w:t>
      </w:r>
      <w:r w:rsidR="00F373A3" w:rsidRPr="00181FCD">
        <w:t xml:space="preserve"> </w:t>
      </w:r>
      <w:r w:rsidRPr="00181FCD">
        <w:t>en</w:t>
      </w:r>
      <w:r w:rsidR="00F373A3" w:rsidRPr="00181FCD">
        <w:t xml:space="preserve"> </w:t>
      </w:r>
      <w:r w:rsidRPr="00181FCD">
        <w:t>cuenta</w:t>
      </w:r>
      <w:r w:rsidR="00F373A3" w:rsidRPr="00181FCD">
        <w:t xml:space="preserve"> </w:t>
      </w:r>
      <w:r w:rsidRPr="00181FCD">
        <w:t>las</w:t>
      </w:r>
      <w:r w:rsidR="00F373A3" w:rsidRPr="00181FCD">
        <w:t xml:space="preserve"> </w:t>
      </w:r>
      <w:r w:rsidRPr="00181FCD">
        <w:t>necesidades</w:t>
      </w:r>
      <w:r w:rsidR="00F373A3" w:rsidRPr="00181FCD">
        <w:t xml:space="preserve"> </w:t>
      </w:r>
      <w:r w:rsidRPr="00181FCD">
        <w:t>específicas</w:t>
      </w:r>
      <w:r w:rsidR="00F373A3" w:rsidRPr="00181FCD">
        <w:t xml:space="preserve"> </w:t>
      </w:r>
      <w:r w:rsidRPr="00181FCD">
        <w:t>de</w:t>
      </w:r>
      <w:r w:rsidR="00F373A3" w:rsidRPr="00181FCD">
        <w:t xml:space="preserve"> </w:t>
      </w:r>
      <w:r w:rsidRPr="00181FCD">
        <w:t>los</w:t>
      </w:r>
      <w:r w:rsidR="00F373A3" w:rsidRPr="00181FCD">
        <w:t xml:space="preserve"> </w:t>
      </w:r>
      <w:r w:rsidRPr="00181FCD">
        <w:t>niños.</w:t>
      </w:r>
    </w:p>
    <w:p w:rsidR="001937F4" w:rsidRPr="00181FCD" w:rsidRDefault="001937F4" w:rsidP="00347B20">
      <w:pPr>
        <w:pStyle w:val="SingleTxtG"/>
        <w:suppressAutoHyphens/>
      </w:pPr>
      <w:r w:rsidRPr="00181FCD">
        <w:t>97.</w:t>
      </w:r>
      <w:r w:rsidRPr="00181FCD">
        <w:tab/>
        <w:t>Al</w:t>
      </w:r>
      <w:r w:rsidR="00F373A3" w:rsidRPr="00181FCD">
        <w:t xml:space="preserve"> </w:t>
      </w:r>
      <w:r w:rsidRPr="00181FCD">
        <w:t>31</w:t>
      </w:r>
      <w:r w:rsidR="00F373A3" w:rsidRPr="00181FCD">
        <w:t xml:space="preserve"> </w:t>
      </w:r>
      <w:r w:rsidRPr="00181FCD">
        <w:t>de</w:t>
      </w:r>
      <w:r w:rsidR="00F373A3" w:rsidRPr="00181FCD">
        <w:t xml:space="preserve"> </w:t>
      </w:r>
      <w:r w:rsidRPr="00181FCD">
        <w:t>julio</w:t>
      </w:r>
      <w:r w:rsidR="00F373A3" w:rsidRPr="00181FCD">
        <w:t xml:space="preserve"> </w:t>
      </w:r>
      <w:r w:rsidRPr="00181FCD">
        <w:t>2015</w:t>
      </w:r>
      <w:r w:rsidR="00F373A3" w:rsidRPr="00181FCD">
        <w:t xml:space="preserve"> </w:t>
      </w:r>
      <w:r w:rsidRPr="00181FCD">
        <w:t>hay</w:t>
      </w:r>
      <w:r w:rsidR="00F373A3" w:rsidRPr="00181FCD">
        <w:t xml:space="preserve"> </w:t>
      </w:r>
      <w:r w:rsidRPr="00181FCD">
        <w:t>78</w:t>
      </w:r>
      <w:r w:rsidR="00F373A3" w:rsidRPr="00181FCD">
        <w:t xml:space="preserve"> </w:t>
      </w:r>
      <w:r w:rsidRPr="00181FCD">
        <w:t>instituciones</w:t>
      </w:r>
      <w:r w:rsidR="00F373A3" w:rsidRPr="00181FCD">
        <w:t xml:space="preserve"> </w:t>
      </w:r>
      <w:r w:rsidRPr="00181FCD">
        <w:t>especializadas</w:t>
      </w:r>
      <w:r w:rsidR="00F373A3" w:rsidRPr="00181FCD">
        <w:t xml:space="preserve"> </w:t>
      </w:r>
      <w:r w:rsidRPr="00181FCD">
        <w:t>(137</w:t>
      </w:r>
      <w:r w:rsidR="00F373A3" w:rsidRPr="00181FCD">
        <w:t xml:space="preserve"> </w:t>
      </w:r>
      <w:r w:rsidRPr="00181FCD">
        <w:t>en</w:t>
      </w:r>
      <w:r w:rsidR="00F373A3" w:rsidRPr="00181FCD">
        <w:t xml:space="preserve"> </w:t>
      </w:r>
      <w:r w:rsidRPr="00181FCD">
        <w:t>2009)</w:t>
      </w:r>
      <w:r w:rsidR="00F373A3" w:rsidRPr="00181FCD">
        <w:t xml:space="preserve"> </w:t>
      </w:r>
      <w:r w:rsidRPr="00181FCD">
        <w:t>con</w:t>
      </w:r>
      <w:r w:rsidR="00F373A3" w:rsidRPr="00181FCD">
        <w:t xml:space="preserve"> </w:t>
      </w:r>
      <w:r w:rsidRPr="00181FCD">
        <w:t>1.932</w:t>
      </w:r>
      <w:r w:rsidR="00F373A3" w:rsidRPr="00181FCD">
        <w:t xml:space="preserve"> </w:t>
      </w:r>
      <w:r w:rsidRPr="00181FCD">
        <w:t>niños</w:t>
      </w:r>
      <w:r w:rsidR="00F373A3" w:rsidRPr="00181FCD">
        <w:t xml:space="preserve"> </w:t>
      </w:r>
      <w:r w:rsidRPr="00181FCD">
        <w:t>(7.587</w:t>
      </w:r>
      <w:r w:rsidR="00F373A3" w:rsidRPr="00181FCD">
        <w:t xml:space="preserve"> </w:t>
      </w:r>
      <w:r w:rsidRPr="00181FCD">
        <w:t>en</w:t>
      </w:r>
      <w:r w:rsidR="00F373A3" w:rsidRPr="00181FCD">
        <w:t xml:space="preserve"> </w:t>
      </w:r>
      <w:r w:rsidRPr="00181FCD">
        <w:t>2009).</w:t>
      </w:r>
      <w:r w:rsidR="00F373A3" w:rsidRPr="00181FCD">
        <w:t xml:space="preserve"> </w:t>
      </w:r>
      <w:r w:rsidRPr="00181FCD">
        <w:t>Actualmente,</w:t>
      </w:r>
      <w:r w:rsidR="00F373A3" w:rsidRPr="00181FCD">
        <w:t xml:space="preserve"> </w:t>
      </w:r>
      <w:r w:rsidRPr="00181FCD">
        <w:t>94</w:t>
      </w:r>
      <w:r w:rsidR="00F373A3" w:rsidRPr="00181FCD">
        <w:t xml:space="preserve"> </w:t>
      </w:r>
      <w:r w:rsidRPr="00181FCD">
        <w:t>niños</w:t>
      </w:r>
      <w:r w:rsidR="00F373A3" w:rsidRPr="00181FCD">
        <w:t xml:space="preserve"> </w:t>
      </w:r>
      <w:r w:rsidRPr="00181FCD">
        <w:t>están</w:t>
      </w:r>
      <w:r w:rsidR="00F373A3" w:rsidRPr="00181FCD">
        <w:t xml:space="preserve"> </w:t>
      </w:r>
      <w:r w:rsidRPr="00181FCD">
        <w:t>alojados</w:t>
      </w:r>
      <w:r w:rsidR="00F373A3" w:rsidRPr="00181FCD">
        <w:t xml:space="preserve"> </w:t>
      </w:r>
      <w:r w:rsidRPr="00181FCD">
        <w:t>en</w:t>
      </w:r>
      <w:r w:rsidR="00F373A3" w:rsidRPr="00181FCD">
        <w:t xml:space="preserve"> </w:t>
      </w:r>
      <w:r w:rsidRPr="00181FCD">
        <w:t>11</w:t>
      </w:r>
      <w:r w:rsidR="00F373A3" w:rsidRPr="00181FCD">
        <w:t xml:space="preserve"> </w:t>
      </w:r>
      <w:r w:rsidRPr="00181FCD">
        <w:t>casas</w:t>
      </w:r>
      <w:r w:rsidR="00F373A3" w:rsidRPr="00181FCD">
        <w:t xml:space="preserve"> </w:t>
      </w:r>
      <w:r w:rsidRPr="00181FCD">
        <w:t>para</w:t>
      </w:r>
      <w:r w:rsidR="00F373A3" w:rsidRPr="00181FCD">
        <w:t xml:space="preserve"> </w:t>
      </w:r>
      <w:r w:rsidRPr="00181FCD">
        <w:t>niños</w:t>
      </w:r>
      <w:r w:rsidR="00F373A3" w:rsidRPr="00181FCD">
        <w:t xml:space="preserve"> </w:t>
      </w:r>
      <w:r w:rsidRPr="00181FCD">
        <w:t>con</w:t>
      </w:r>
      <w:r w:rsidR="00F373A3" w:rsidRPr="00181FCD">
        <w:t xml:space="preserve"> </w:t>
      </w:r>
      <w:r w:rsidRPr="00181FCD">
        <w:t>discapacidades</w:t>
      </w:r>
      <w:r w:rsidR="00F373A3" w:rsidRPr="00181FCD">
        <w:t xml:space="preserve"> </w:t>
      </w:r>
      <w:r w:rsidRPr="00181FCD">
        <w:t>(físicas</w:t>
      </w:r>
      <w:r w:rsidR="00F373A3" w:rsidRPr="00181FCD">
        <w:t xml:space="preserve"> </w:t>
      </w:r>
      <w:r w:rsidRPr="00181FCD">
        <w:t>y</w:t>
      </w:r>
      <w:r w:rsidR="00F373A3" w:rsidRPr="00181FCD">
        <w:t xml:space="preserve"> </w:t>
      </w:r>
      <w:r w:rsidRPr="00181FCD">
        <w:t>mentales),</w:t>
      </w:r>
      <w:r w:rsidR="00F373A3" w:rsidRPr="00181FCD">
        <w:t xml:space="preserve"> </w:t>
      </w:r>
      <w:r w:rsidRPr="00181FCD">
        <w:t>en</w:t>
      </w:r>
      <w:r w:rsidR="00F373A3" w:rsidRPr="00181FCD">
        <w:t xml:space="preserve"> </w:t>
      </w:r>
      <w:r w:rsidRPr="00181FCD">
        <w:t>comparación</w:t>
      </w:r>
      <w:r w:rsidR="00F373A3" w:rsidRPr="00181FCD">
        <w:t xml:space="preserve"> </w:t>
      </w:r>
      <w:r w:rsidRPr="00181FCD">
        <w:t>con</w:t>
      </w:r>
      <w:r w:rsidR="00F373A3" w:rsidRPr="00181FCD">
        <w:t xml:space="preserve"> </w:t>
      </w:r>
      <w:r w:rsidRPr="00181FCD">
        <w:t>la</w:t>
      </w:r>
      <w:r w:rsidR="00F373A3" w:rsidRPr="00181FCD">
        <w:t xml:space="preserve"> </w:t>
      </w:r>
      <w:r w:rsidRPr="00181FCD">
        <w:t>cifra</w:t>
      </w:r>
      <w:r w:rsidR="00F373A3" w:rsidRPr="00181FCD">
        <w:t xml:space="preserve"> </w:t>
      </w:r>
      <w:r w:rsidRPr="00181FCD">
        <w:t>de</w:t>
      </w:r>
      <w:r w:rsidR="00F373A3" w:rsidRPr="00181FCD">
        <w:t xml:space="preserve"> </w:t>
      </w:r>
      <w:r w:rsidRPr="00181FCD">
        <w:t>1.386</w:t>
      </w:r>
      <w:r w:rsidR="00F373A3" w:rsidRPr="00181FCD">
        <w:t xml:space="preserve"> </w:t>
      </w:r>
      <w:r w:rsidRPr="00181FCD">
        <w:t>niños</w:t>
      </w:r>
      <w:r w:rsidR="00F373A3" w:rsidRPr="00181FCD">
        <w:t xml:space="preserve"> </w:t>
      </w:r>
      <w:r w:rsidRPr="00181FCD">
        <w:t>en</w:t>
      </w:r>
      <w:r w:rsidR="00F373A3" w:rsidRPr="00181FCD">
        <w:t xml:space="preserve"> </w:t>
      </w:r>
      <w:r w:rsidRPr="00181FCD">
        <w:t>25</w:t>
      </w:r>
      <w:r w:rsidR="00F373A3" w:rsidRPr="00181FCD">
        <w:t xml:space="preserve"> </w:t>
      </w:r>
      <w:r w:rsidRPr="00181FCD">
        <w:t>casas</w:t>
      </w:r>
      <w:r w:rsidR="00F373A3" w:rsidRPr="00181FCD">
        <w:t xml:space="preserve"> </w:t>
      </w:r>
      <w:r w:rsidRPr="00181FCD">
        <w:t>en</w:t>
      </w:r>
      <w:r w:rsidR="00F373A3" w:rsidRPr="00181FCD">
        <w:t xml:space="preserve"> </w:t>
      </w:r>
      <w:r w:rsidRPr="00181FCD">
        <w:t>2009.</w:t>
      </w:r>
    </w:p>
    <w:p w:rsidR="001937F4" w:rsidRPr="00181FCD" w:rsidRDefault="00A35D86" w:rsidP="00A35D86">
      <w:pPr>
        <w:pStyle w:val="H1G"/>
      </w:pPr>
      <w:r w:rsidRPr="00181FCD">
        <w:tab/>
      </w:r>
      <w:r w:rsidRPr="00181FCD">
        <w:tab/>
      </w:r>
      <w:r w:rsidR="001937F4" w:rsidRPr="00181FCD">
        <w:t>Artículo</w:t>
      </w:r>
      <w:r w:rsidR="00F373A3" w:rsidRPr="00181FCD">
        <w:t xml:space="preserve"> </w:t>
      </w:r>
      <w:r w:rsidR="001937F4" w:rsidRPr="00181FCD">
        <w:t>3</w:t>
      </w:r>
    </w:p>
    <w:p w:rsidR="001937F4" w:rsidRPr="00181FCD" w:rsidRDefault="00A35D86" w:rsidP="00A35D86">
      <w:pPr>
        <w:pStyle w:val="H23G"/>
      </w:pPr>
      <w:r w:rsidRPr="00181FCD">
        <w:tab/>
      </w:r>
      <w:r w:rsidRPr="00181FCD">
        <w:tab/>
      </w:r>
      <w:r w:rsidR="001937F4" w:rsidRPr="00181FCD">
        <w:t>Respuesta</w:t>
      </w:r>
      <w:r w:rsidR="00F373A3" w:rsidRPr="00181FCD">
        <w:t xml:space="preserve"> </w:t>
      </w:r>
      <w:r w:rsidR="001937F4" w:rsidRPr="00181FCD">
        <w:t>a</w:t>
      </w:r>
      <w:r w:rsidR="00F373A3" w:rsidRPr="00181FCD">
        <w:t xml:space="preserve"> </w:t>
      </w:r>
      <w:r w:rsidR="001937F4" w:rsidRPr="00181FCD">
        <w:t>las</w:t>
      </w:r>
      <w:r w:rsidR="00F373A3" w:rsidRPr="00181FCD">
        <w:t xml:space="preserve"> </w:t>
      </w:r>
      <w:r w:rsidR="001937F4" w:rsidRPr="00181FCD">
        <w:t>cuestiones</w:t>
      </w:r>
      <w:r w:rsidR="00F373A3" w:rsidRPr="00181FCD">
        <w:t xml:space="preserve"> </w:t>
      </w:r>
      <w:r w:rsidR="001937F4" w:rsidRPr="00181FCD">
        <w:t>planteadas</w:t>
      </w:r>
      <w:r w:rsidR="00F373A3" w:rsidRPr="00181FCD">
        <w:t xml:space="preserve"> </w:t>
      </w:r>
      <w:r w:rsidR="001937F4" w:rsidRPr="00181FCD">
        <w:t>en</w:t>
      </w:r>
      <w:r w:rsidR="00F373A3" w:rsidRPr="00181FCD">
        <w:t xml:space="preserve"> </w:t>
      </w:r>
      <w:r w:rsidR="001937F4" w:rsidRPr="00181FCD">
        <w:t>el</w:t>
      </w:r>
      <w:r w:rsidR="00F373A3" w:rsidRPr="00181FCD">
        <w:t xml:space="preserve"> </w:t>
      </w:r>
      <w:r w:rsidR="001937F4" w:rsidRPr="00181FCD">
        <w:t>párrafo</w:t>
      </w:r>
      <w:r w:rsidR="00F373A3" w:rsidRPr="00181FCD">
        <w:t xml:space="preserve"> </w:t>
      </w:r>
      <w:r w:rsidR="001937F4" w:rsidRPr="00181FCD">
        <w:t>11</w:t>
      </w:r>
      <w:r w:rsidR="00F373A3" w:rsidRPr="00181FCD">
        <w:t xml:space="preserve"> </w:t>
      </w:r>
      <w:r w:rsidR="001937F4" w:rsidRPr="00181FCD">
        <w:t>de</w:t>
      </w:r>
      <w:r w:rsidR="00F373A3" w:rsidRPr="00181FCD">
        <w:t xml:space="preserve"> </w:t>
      </w:r>
      <w:r w:rsidR="001937F4" w:rsidRPr="00181FCD">
        <w:t>la</w:t>
      </w:r>
      <w:r w:rsidR="00F373A3" w:rsidRPr="00181FCD">
        <w:t xml:space="preserve"> </w:t>
      </w:r>
      <w:r w:rsidR="001937F4" w:rsidRPr="00181FCD">
        <w:t>lista</w:t>
      </w:r>
      <w:r w:rsidR="00F373A3" w:rsidRPr="00181FCD">
        <w:t xml:space="preserve"> </w:t>
      </w:r>
      <w:r w:rsidR="001937F4" w:rsidRPr="00181FCD">
        <w:t>de</w:t>
      </w:r>
      <w:r w:rsidR="00F373A3" w:rsidRPr="00181FCD">
        <w:t xml:space="preserve"> </w:t>
      </w:r>
      <w:r w:rsidR="001937F4" w:rsidRPr="00181FCD">
        <w:t>cuestiones</w:t>
      </w:r>
    </w:p>
    <w:p w:rsidR="001937F4" w:rsidRPr="00181FCD" w:rsidRDefault="001937F4" w:rsidP="00347B20">
      <w:pPr>
        <w:pStyle w:val="SingleTxtG"/>
        <w:suppressAutoHyphens/>
      </w:pPr>
      <w:r w:rsidRPr="00181FCD">
        <w:t>98.</w:t>
      </w:r>
      <w:r w:rsidRPr="00181FCD">
        <w:tab/>
        <w:t>La</w:t>
      </w:r>
      <w:r w:rsidR="00F373A3" w:rsidRPr="00181FCD">
        <w:t xml:space="preserve"> </w:t>
      </w:r>
      <w:r w:rsidRPr="00181FCD">
        <w:t>legislación</w:t>
      </w:r>
      <w:r w:rsidR="00F373A3" w:rsidRPr="00181FCD">
        <w:t xml:space="preserve"> </w:t>
      </w:r>
      <w:r w:rsidRPr="00181FCD">
        <w:t>nacional,</w:t>
      </w:r>
      <w:r w:rsidR="00F373A3" w:rsidRPr="00181FCD">
        <w:t xml:space="preserve"> </w:t>
      </w:r>
      <w:r w:rsidRPr="00181FCD">
        <w:t>de</w:t>
      </w:r>
      <w:r w:rsidR="00F373A3" w:rsidRPr="00181FCD">
        <w:t xml:space="preserve"> </w:t>
      </w:r>
      <w:r w:rsidRPr="00181FCD">
        <w:t>la</w:t>
      </w:r>
      <w:r w:rsidR="00F373A3" w:rsidRPr="00181FCD">
        <w:t xml:space="preserve"> </w:t>
      </w:r>
      <w:r w:rsidRPr="00181FCD">
        <w:t>cual</w:t>
      </w:r>
      <w:r w:rsidR="00F373A3" w:rsidRPr="00181FCD">
        <w:t xml:space="preserve"> </w:t>
      </w:r>
      <w:r w:rsidRPr="00181FCD">
        <w:t>forman</w:t>
      </w:r>
      <w:r w:rsidR="00F373A3" w:rsidRPr="00181FCD">
        <w:t xml:space="preserve"> </w:t>
      </w:r>
      <w:r w:rsidRPr="00181FCD">
        <w:t>parte</w:t>
      </w:r>
      <w:r w:rsidR="00F373A3" w:rsidRPr="00181FCD">
        <w:t xml:space="preserve"> </w:t>
      </w:r>
      <w:r w:rsidRPr="00181FCD">
        <w:t>integrante</w:t>
      </w:r>
      <w:r w:rsidR="00F373A3" w:rsidRPr="00181FCD">
        <w:t xml:space="preserve"> </w:t>
      </w:r>
      <w:r w:rsidRPr="00181FCD">
        <w:t>la</w:t>
      </w:r>
      <w:r w:rsidR="00F373A3" w:rsidRPr="00181FCD">
        <w:t xml:space="preserve"> </w:t>
      </w:r>
      <w:r w:rsidRPr="00181FCD">
        <w:t>Convención</w:t>
      </w:r>
      <w:r w:rsidR="00F373A3" w:rsidRPr="00181FCD">
        <w:t xml:space="preserve"> </w:t>
      </w:r>
      <w:r w:rsidRPr="00181FCD">
        <w:t>sobre</w:t>
      </w:r>
      <w:r w:rsidR="00F373A3" w:rsidRPr="00181FCD">
        <w:t xml:space="preserve"> </w:t>
      </w:r>
      <w:r w:rsidRPr="00181FCD">
        <w:t>el</w:t>
      </w:r>
      <w:r w:rsidR="00F373A3" w:rsidRPr="00181FCD">
        <w:t xml:space="preserve"> </w:t>
      </w:r>
      <w:r w:rsidRPr="00181FCD">
        <w:t>Estatuto</w:t>
      </w:r>
      <w:r w:rsidR="00F373A3" w:rsidRPr="00181FCD">
        <w:t xml:space="preserve"> </w:t>
      </w:r>
      <w:r w:rsidRPr="00181FCD">
        <w:t>de</w:t>
      </w:r>
      <w:r w:rsidR="00F373A3" w:rsidRPr="00181FCD">
        <w:t xml:space="preserve"> </w:t>
      </w:r>
      <w:r w:rsidRPr="00181FCD">
        <w:t>los</w:t>
      </w:r>
      <w:r w:rsidR="00F373A3" w:rsidRPr="00181FCD">
        <w:t xml:space="preserve"> </w:t>
      </w:r>
      <w:r w:rsidRPr="00181FCD">
        <w:t>Refugiados,</w:t>
      </w:r>
      <w:r w:rsidR="00F373A3" w:rsidRPr="00181FCD">
        <w:t xml:space="preserve"> </w:t>
      </w:r>
      <w:r w:rsidRPr="00181FCD">
        <w:t>de</w:t>
      </w:r>
      <w:r w:rsidR="00F373A3" w:rsidRPr="00181FCD">
        <w:t xml:space="preserve"> </w:t>
      </w:r>
      <w:r w:rsidRPr="00181FCD">
        <w:t>1951</w:t>
      </w:r>
      <w:r w:rsidR="00672EC2" w:rsidRPr="00181FCD">
        <w:t xml:space="preserve"> </w:t>
      </w:r>
      <w:r w:rsidRPr="00181FCD">
        <w:t>y</w:t>
      </w:r>
      <w:r w:rsidR="00F373A3" w:rsidRPr="00181FCD">
        <w:t xml:space="preserve"> </w:t>
      </w:r>
      <w:r w:rsidRPr="00181FCD">
        <w:t>su</w:t>
      </w:r>
      <w:r w:rsidR="00F373A3" w:rsidRPr="00181FCD">
        <w:t xml:space="preserve"> </w:t>
      </w:r>
      <w:r w:rsidRPr="00181FCD">
        <w:t>Protocolo</w:t>
      </w:r>
      <w:r w:rsidR="00F373A3" w:rsidRPr="00181FCD">
        <w:t xml:space="preserve"> </w:t>
      </w:r>
      <w:r w:rsidRPr="00181FCD">
        <w:t>Facultativo,</w:t>
      </w:r>
      <w:r w:rsidR="00F373A3" w:rsidRPr="00181FCD">
        <w:t xml:space="preserve"> </w:t>
      </w:r>
      <w:r w:rsidRPr="00181FCD">
        <w:t>prevé</w:t>
      </w:r>
      <w:r w:rsidR="00F373A3" w:rsidRPr="00181FCD">
        <w:t xml:space="preserve"> </w:t>
      </w:r>
      <w:r w:rsidRPr="00181FCD">
        <w:t>la</w:t>
      </w:r>
      <w:r w:rsidR="00F373A3" w:rsidRPr="00181FCD">
        <w:t xml:space="preserve"> </w:t>
      </w:r>
      <w:r w:rsidRPr="00181FCD">
        <w:t>plena</w:t>
      </w:r>
      <w:r w:rsidR="00F373A3" w:rsidRPr="00181FCD">
        <w:t xml:space="preserve"> </w:t>
      </w:r>
      <w:r w:rsidRPr="00181FCD">
        <w:t>protección</w:t>
      </w:r>
      <w:r w:rsidR="00F373A3" w:rsidRPr="00181FCD">
        <w:t xml:space="preserve"> </w:t>
      </w:r>
      <w:r w:rsidRPr="00181FCD">
        <w:t>de</w:t>
      </w:r>
      <w:r w:rsidR="00F373A3" w:rsidRPr="00181FCD">
        <w:t xml:space="preserve"> </w:t>
      </w:r>
      <w:r w:rsidRPr="00181FCD">
        <w:t>los</w:t>
      </w:r>
      <w:r w:rsidR="00F373A3" w:rsidRPr="00181FCD">
        <w:t xml:space="preserve"> </w:t>
      </w:r>
      <w:r w:rsidRPr="00181FCD">
        <w:t>derechos</w:t>
      </w:r>
      <w:r w:rsidR="00F373A3" w:rsidRPr="00181FCD">
        <w:t xml:space="preserve"> </w:t>
      </w:r>
      <w:r w:rsidRPr="00181FCD">
        <w:t>de</w:t>
      </w:r>
      <w:r w:rsidR="00F373A3" w:rsidRPr="00181FCD">
        <w:t xml:space="preserve"> </w:t>
      </w:r>
      <w:r w:rsidRPr="00181FCD">
        <w:t>las</w:t>
      </w:r>
      <w:r w:rsidR="00F373A3" w:rsidRPr="00181FCD">
        <w:t xml:space="preserve"> </w:t>
      </w:r>
      <w:r w:rsidRPr="00181FCD">
        <w:t>personas</w:t>
      </w:r>
      <w:r w:rsidR="00F373A3" w:rsidRPr="00181FCD">
        <w:t xml:space="preserve"> </w:t>
      </w:r>
      <w:r w:rsidRPr="00181FCD">
        <w:t>que</w:t>
      </w:r>
      <w:r w:rsidR="00F373A3" w:rsidRPr="00181FCD">
        <w:t xml:space="preserve"> </w:t>
      </w:r>
      <w:r w:rsidRPr="00181FCD">
        <w:t>buscan</w:t>
      </w:r>
      <w:r w:rsidR="00F373A3" w:rsidRPr="00181FCD">
        <w:t xml:space="preserve"> </w:t>
      </w:r>
      <w:r w:rsidRPr="00181FCD">
        <w:t>protección</w:t>
      </w:r>
      <w:r w:rsidR="00F373A3" w:rsidRPr="00181FCD">
        <w:t xml:space="preserve"> </w:t>
      </w:r>
      <w:r w:rsidRPr="00181FCD">
        <w:t>internacional.</w:t>
      </w:r>
      <w:r w:rsidR="00F373A3" w:rsidRPr="00181FCD">
        <w:t xml:space="preserve"> </w:t>
      </w:r>
      <w:r w:rsidRPr="00181FCD">
        <w:t>El</w:t>
      </w:r>
      <w:r w:rsidR="00F373A3" w:rsidRPr="00181FCD">
        <w:t xml:space="preserve"> </w:t>
      </w:r>
      <w:r w:rsidRPr="00181FCD">
        <w:t>10</w:t>
      </w:r>
      <w:r w:rsidR="00F373A3" w:rsidRPr="00181FCD">
        <w:t xml:space="preserve"> </w:t>
      </w:r>
      <w:r w:rsidRPr="00181FCD">
        <w:t>de</w:t>
      </w:r>
      <w:r w:rsidR="00F373A3" w:rsidRPr="00181FCD">
        <w:t xml:space="preserve"> </w:t>
      </w:r>
      <w:r w:rsidRPr="00181FCD">
        <w:t>junio</w:t>
      </w:r>
      <w:r w:rsidR="00F373A3" w:rsidRPr="00181FCD">
        <w:t xml:space="preserve"> </w:t>
      </w:r>
      <w:r w:rsidRPr="00181FCD">
        <w:t>de</w:t>
      </w:r>
      <w:r w:rsidR="00F373A3" w:rsidRPr="00181FCD">
        <w:t xml:space="preserve"> </w:t>
      </w:r>
      <w:r w:rsidRPr="00181FCD">
        <w:t>2015</w:t>
      </w:r>
      <w:r w:rsidR="00F373A3" w:rsidRPr="00181FCD">
        <w:t xml:space="preserve"> </w:t>
      </w:r>
      <w:r w:rsidRPr="00181FCD">
        <w:t>el</w:t>
      </w:r>
      <w:r w:rsidR="00F373A3" w:rsidRPr="00181FCD">
        <w:t xml:space="preserve"> </w:t>
      </w:r>
      <w:r w:rsidRPr="00181FCD">
        <w:t>Gobierno</w:t>
      </w:r>
      <w:r w:rsidR="00F373A3" w:rsidRPr="00181FCD">
        <w:t xml:space="preserve"> </w:t>
      </w:r>
      <w:r w:rsidRPr="00181FCD">
        <w:t>de</w:t>
      </w:r>
      <w:r w:rsidR="00F373A3" w:rsidRPr="00181FCD">
        <w:t xml:space="preserve"> </w:t>
      </w:r>
      <w:r w:rsidRPr="00181FCD">
        <w:t>Bulgaria</w:t>
      </w:r>
      <w:r w:rsidR="00F373A3" w:rsidRPr="00181FCD">
        <w:t xml:space="preserve"> </w:t>
      </w:r>
      <w:r w:rsidRPr="00181FCD">
        <w:t>aprobó</w:t>
      </w:r>
      <w:r w:rsidR="00F373A3" w:rsidRPr="00181FCD">
        <w:t xml:space="preserve"> </w:t>
      </w:r>
      <w:r w:rsidRPr="00181FCD">
        <w:t>una</w:t>
      </w:r>
      <w:r w:rsidR="00F373A3" w:rsidRPr="00181FCD">
        <w:t xml:space="preserve"> </w:t>
      </w:r>
      <w:r w:rsidRPr="00181FCD">
        <w:t>Estrategia</w:t>
      </w:r>
      <w:r w:rsidR="00F373A3" w:rsidRPr="00181FCD">
        <w:t xml:space="preserve"> </w:t>
      </w:r>
      <w:r w:rsidRPr="00181FCD">
        <w:t>Nacional</w:t>
      </w:r>
      <w:r w:rsidR="00F373A3" w:rsidRPr="00181FCD">
        <w:t xml:space="preserve"> </w:t>
      </w:r>
      <w:r w:rsidRPr="00181FCD">
        <w:t>de</w:t>
      </w:r>
      <w:r w:rsidR="00F373A3" w:rsidRPr="00181FCD">
        <w:t xml:space="preserve"> </w:t>
      </w:r>
      <w:r w:rsidRPr="00181FCD">
        <w:t>Migración,</w:t>
      </w:r>
      <w:r w:rsidR="00F373A3" w:rsidRPr="00181FCD">
        <w:t xml:space="preserve"> </w:t>
      </w:r>
      <w:r w:rsidRPr="00181FCD">
        <w:t>Asilo</w:t>
      </w:r>
      <w:r w:rsidR="00F373A3" w:rsidRPr="00181FCD">
        <w:t xml:space="preserve"> </w:t>
      </w:r>
      <w:r w:rsidRPr="00181FCD">
        <w:t>e</w:t>
      </w:r>
      <w:r w:rsidR="00F373A3" w:rsidRPr="00181FCD">
        <w:t xml:space="preserve"> </w:t>
      </w:r>
      <w:r w:rsidRPr="00181FCD">
        <w:t>Integración</w:t>
      </w:r>
      <w:r w:rsidR="00F373A3" w:rsidRPr="00181FCD">
        <w:t xml:space="preserve"> </w:t>
      </w:r>
      <w:r w:rsidRPr="00181FCD">
        <w:t>para</w:t>
      </w:r>
      <w:r w:rsidR="00F373A3" w:rsidRPr="00181FCD">
        <w:t xml:space="preserve"> </w:t>
      </w:r>
      <w:r w:rsidRPr="00181FCD">
        <w:t>el</w:t>
      </w:r>
      <w:r w:rsidR="00F373A3" w:rsidRPr="00181FCD">
        <w:t xml:space="preserve"> </w:t>
      </w:r>
      <w:r w:rsidRPr="00181FCD">
        <w:t>período</w:t>
      </w:r>
      <w:r w:rsidR="00F373A3" w:rsidRPr="00181FCD">
        <w:t xml:space="preserve"> </w:t>
      </w:r>
      <w:r w:rsidRPr="00181FCD">
        <w:t>2015-2020.</w:t>
      </w:r>
      <w:r w:rsidR="00F373A3" w:rsidRPr="00181FCD">
        <w:t xml:space="preserve"> </w:t>
      </w:r>
      <w:r w:rsidRPr="00181FCD">
        <w:t>La</w:t>
      </w:r>
      <w:r w:rsidR="00F373A3" w:rsidRPr="00181FCD">
        <w:t xml:space="preserve"> </w:t>
      </w:r>
      <w:r w:rsidRPr="00181FCD">
        <w:t>Estrategia</w:t>
      </w:r>
      <w:r w:rsidR="00F373A3" w:rsidRPr="00181FCD">
        <w:t xml:space="preserve"> </w:t>
      </w:r>
      <w:r w:rsidRPr="00181FCD">
        <w:t>apunta</w:t>
      </w:r>
      <w:r w:rsidR="00F373A3" w:rsidRPr="00181FCD">
        <w:t xml:space="preserve"> </w:t>
      </w:r>
      <w:r w:rsidRPr="00181FCD">
        <w:t>a</w:t>
      </w:r>
      <w:r w:rsidR="00F373A3" w:rsidRPr="00181FCD">
        <w:t xml:space="preserve"> </w:t>
      </w:r>
      <w:r w:rsidRPr="00181FCD">
        <w:t>la</w:t>
      </w:r>
      <w:r w:rsidR="00F373A3" w:rsidRPr="00181FCD">
        <w:t xml:space="preserve"> </w:t>
      </w:r>
      <w:r w:rsidRPr="00181FCD">
        <w:t>creación</w:t>
      </w:r>
      <w:r w:rsidR="00F373A3" w:rsidRPr="00181FCD">
        <w:t xml:space="preserve"> </w:t>
      </w:r>
      <w:r w:rsidRPr="00181FCD">
        <w:t>de</w:t>
      </w:r>
      <w:r w:rsidR="00F373A3" w:rsidRPr="00181FCD">
        <w:t xml:space="preserve"> </w:t>
      </w:r>
      <w:r w:rsidRPr="00181FCD">
        <w:t>un</w:t>
      </w:r>
      <w:r w:rsidR="00F373A3" w:rsidRPr="00181FCD">
        <w:t xml:space="preserve"> </w:t>
      </w:r>
      <w:r w:rsidRPr="00181FCD">
        <w:t>marco</w:t>
      </w:r>
      <w:r w:rsidR="00F373A3" w:rsidRPr="00181FCD">
        <w:t xml:space="preserve"> </w:t>
      </w:r>
      <w:r w:rsidRPr="00181FCD">
        <w:t>jurídico</w:t>
      </w:r>
      <w:r w:rsidR="00F373A3" w:rsidRPr="00181FCD">
        <w:t xml:space="preserve"> </w:t>
      </w:r>
      <w:r w:rsidRPr="00181FCD">
        <w:t>e</w:t>
      </w:r>
      <w:r w:rsidR="00F373A3" w:rsidRPr="00181FCD">
        <w:t xml:space="preserve"> </w:t>
      </w:r>
      <w:r w:rsidRPr="00181FCD">
        <w:t>institucional,</w:t>
      </w:r>
      <w:r w:rsidR="00F373A3" w:rsidRPr="00181FCD">
        <w:t xml:space="preserve"> </w:t>
      </w:r>
      <w:r w:rsidRPr="00181FCD">
        <w:t>global</w:t>
      </w:r>
      <w:r w:rsidR="00F373A3" w:rsidRPr="00181FCD">
        <w:t xml:space="preserve"> </w:t>
      </w:r>
      <w:r w:rsidRPr="00181FCD">
        <w:t>y</w:t>
      </w:r>
      <w:r w:rsidR="00F373A3" w:rsidRPr="00181FCD">
        <w:t xml:space="preserve"> </w:t>
      </w:r>
      <w:r w:rsidRPr="00181FCD">
        <w:t>estable,</w:t>
      </w:r>
      <w:r w:rsidR="00F373A3" w:rsidRPr="00181FCD">
        <w:t xml:space="preserve"> </w:t>
      </w:r>
      <w:r w:rsidRPr="00181FCD">
        <w:t>para</w:t>
      </w:r>
      <w:r w:rsidR="00F373A3" w:rsidRPr="00181FCD">
        <w:t xml:space="preserve"> </w:t>
      </w:r>
      <w:r w:rsidRPr="00181FCD">
        <w:t>la</w:t>
      </w:r>
      <w:r w:rsidR="00F373A3" w:rsidRPr="00181FCD">
        <w:t xml:space="preserve"> </w:t>
      </w:r>
      <w:r w:rsidRPr="00181FCD">
        <w:t>gestión</w:t>
      </w:r>
      <w:r w:rsidR="00F373A3" w:rsidRPr="00181FCD">
        <w:t xml:space="preserve"> </w:t>
      </w:r>
      <w:r w:rsidRPr="00181FCD">
        <w:t>adecuada</w:t>
      </w:r>
      <w:r w:rsidR="00F373A3" w:rsidRPr="00181FCD">
        <w:t xml:space="preserve"> </w:t>
      </w:r>
      <w:r w:rsidRPr="00181FCD">
        <w:t>de</w:t>
      </w:r>
      <w:r w:rsidR="00F373A3" w:rsidRPr="00181FCD">
        <w:t xml:space="preserve"> </w:t>
      </w:r>
      <w:r w:rsidRPr="00181FCD">
        <w:t>la</w:t>
      </w:r>
      <w:r w:rsidR="00F373A3" w:rsidRPr="00181FCD">
        <w:t xml:space="preserve"> </w:t>
      </w:r>
      <w:r w:rsidRPr="00181FCD">
        <w:t>migración</w:t>
      </w:r>
      <w:r w:rsidR="00F373A3" w:rsidRPr="00181FCD">
        <w:t xml:space="preserve"> </w:t>
      </w:r>
      <w:r w:rsidRPr="00181FCD">
        <w:t>regular</w:t>
      </w:r>
      <w:r w:rsidR="00F373A3" w:rsidRPr="00181FCD">
        <w:t xml:space="preserve"> </w:t>
      </w:r>
      <w:r w:rsidRPr="00181FCD">
        <w:t>y</w:t>
      </w:r>
      <w:r w:rsidR="00F373A3" w:rsidRPr="00181FCD">
        <w:t xml:space="preserve"> </w:t>
      </w:r>
      <w:r w:rsidRPr="00181FCD">
        <w:t>la</w:t>
      </w:r>
      <w:r w:rsidR="00F373A3" w:rsidRPr="00181FCD">
        <w:t xml:space="preserve"> </w:t>
      </w:r>
      <w:r w:rsidRPr="00181FCD">
        <w:t>prevención</w:t>
      </w:r>
      <w:r w:rsidR="00F373A3" w:rsidRPr="00181FCD">
        <w:t xml:space="preserve"> </w:t>
      </w:r>
      <w:r w:rsidRPr="00181FCD">
        <w:t>de</w:t>
      </w:r>
      <w:r w:rsidR="00F373A3" w:rsidRPr="00181FCD">
        <w:t xml:space="preserve"> </w:t>
      </w:r>
      <w:r w:rsidRPr="00181FCD">
        <w:t>la</w:t>
      </w:r>
      <w:r w:rsidR="00F373A3" w:rsidRPr="00181FCD">
        <w:t xml:space="preserve"> </w:t>
      </w:r>
      <w:r w:rsidRPr="00181FCD">
        <w:t>migración</w:t>
      </w:r>
      <w:r w:rsidR="00F373A3" w:rsidRPr="00181FCD">
        <w:t xml:space="preserve"> </w:t>
      </w:r>
      <w:r w:rsidRPr="00181FCD">
        <w:t>irregular,</w:t>
      </w:r>
      <w:r w:rsidR="00F373A3" w:rsidRPr="00181FCD">
        <w:t xml:space="preserve"> </w:t>
      </w:r>
      <w:r w:rsidRPr="00181FCD">
        <w:t>la</w:t>
      </w:r>
      <w:r w:rsidR="00F373A3" w:rsidRPr="00181FCD">
        <w:t xml:space="preserve"> </w:t>
      </w:r>
      <w:r w:rsidRPr="00181FCD">
        <w:t>integración</w:t>
      </w:r>
      <w:r w:rsidR="00F373A3" w:rsidRPr="00181FCD">
        <w:t xml:space="preserve"> </w:t>
      </w:r>
      <w:r w:rsidRPr="00181FCD">
        <w:t>y</w:t>
      </w:r>
      <w:r w:rsidR="00F373A3" w:rsidRPr="00181FCD">
        <w:t xml:space="preserve"> </w:t>
      </w:r>
      <w:r w:rsidRPr="00181FCD">
        <w:t>la</w:t>
      </w:r>
      <w:r w:rsidR="00F373A3" w:rsidRPr="00181FCD">
        <w:t xml:space="preserve"> </w:t>
      </w:r>
      <w:r w:rsidRPr="00181FCD">
        <w:t>atención</w:t>
      </w:r>
      <w:r w:rsidR="00F373A3" w:rsidRPr="00181FCD">
        <w:t xml:space="preserve"> </w:t>
      </w:r>
      <w:r w:rsidRPr="00181FCD">
        <w:t>de</w:t>
      </w:r>
      <w:r w:rsidR="00F373A3" w:rsidRPr="00181FCD">
        <w:t xml:space="preserve"> </w:t>
      </w:r>
      <w:r w:rsidRPr="00181FCD">
        <w:t>las</w:t>
      </w:r>
      <w:r w:rsidR="00F373A3" w:rsidRPr="00181FCD">
        <w:t xml:space="preserve"> </w:t>
      </w:r>
      <w:r w:rsidRPr="00181FCD">
        <w:t>personas</w:t>
      </w:r>
      <w:r w:rsidR="00F373A3" w:rsidRPr="00181FCD">
        <w:t xml:space="preserve"> </w:t>
      </w:r>
      <w:r w:rsidRPr="00181FCD">
        <w:t>que</w:t>
      </w:r>
      <w:r w:rsidR="00F373A3" w:rsidRPr="00181FCD">
        <w:t xml:space="preserve"> </w:t>
      </w:r>
      <w:r w:rsidRPr="00181FCD">
        <w:t>buscan</w:t>
      </w:r>
      <w:r w:rsidR="00F373A3" w:rsidRPr="00181FCD">
        <w:t xml:space="preserve"> </w:t>
      </w:r>
      <w:r w:rsidRPr="00181FCD">
        <w:t>protección</w:t>
      </w:r>
      <w:r w:rsidR="00F373A3" w:rsidRPr="00181FCD">
        <w:t xml:space="preserve"> </w:t>
      </w:r>
      <w:r w:rsidRPr="00181FCD">
        <w:t>internacional,</w:t>
      </w:r>
      <w:r w:rsidR="00F373A3" w:rsidRPr="00181FCD">
        <w:t xml:space="preserve"> </w:t>
      </w:r>
      <w:r w:rsidRPr="00181FCD">
        <w:t>y</w:t>
      </w:r>
      <w:r w:rsidR="00F373A3" w:rsidRPr="00181FCD">
        <w:t xml:space="preserve"> </w:t>
      </w:r>
      <w:r w:rsidRPr="00181FCD">
        <w:t>a</w:t>
      </w:r>
      <w:r w:rsidR="00F373A3" w:rsidRPr="00181FCD">
        <w:t xml:space="preserve"> </w:t>
      </w:r>
      <w:r w:rsidRPr="00181FCD">
        <w:t>las</w:t>
      </w:r>
      <w:r w:rsidR="00F373A3" w:rsidRPr="00181FCD">
        <w:t xml:space="preserve"> </w:t>
      </w:r>
      <w:r w:rsidRPr="00181FCD">
        <w:t>que</w:t>
      </w:r>
      <w:r w:rsidR="00F373A3" w:rsidRPr="00181FCD">
        <w:t xml:space="preserve"> </w:t>
      </w:r>
      <w:r w:rsidRPr="00181FCD">
        <w:t>se</w:t>
      </w:r>
      <w:r w:rsidR="00F373A3" w:rsidRPr="00181FCD">
        <w:t xml:space="preserve"> </w:t>
      </w:r>
      <w:r w:rsidRPr="00181FCD">
        <w:t>ha</w:t>
      </w:r>
      <w:r w:rsidR="00F373A3" w:rsidRPr="00181FCD">
        <w:t xml:space="preserve"> </w:t>
      </w:r>
      <w:r w:rsidRPr="00181FCD">
        <w:t>concedido</w:t>
      </w:r>
      <w:r w:rsidR="00F373A3" w:rsidRPr="00181FCD">
        <w:t xml:space="preserve"> </w:t>
      </w:r>
      <w:r w:rsidRPr="00181FCD">
        <w:t>asilo</w:t>
      </w:r>
      <w:r w:rsidR="00F373A3" w:rsidRPr="00181FCD">
        <w:t xml:space="preserve"> </w:t>
      </w:r>
      <w:r w:rsidRPr="00181FCD">
        <w:t>o</w:t>
      </w:r>
      <w:r w:rsidR="00F373A3" w:rsidRPr="00181FCD">
        <w:t xml:space="preserve"> </w:t>
      </w:r>
      <w:r w:rsidRPr="00181FCD">
        <w:t>el</w:t>
      </w:r>
      <w:r w:rsidR="00F373A3" w:rsidRPr="00181FCD">
        <w:t xml:space="preserve"> </w:t>
      </w:r>
      <w:r w:rsidRPr="00181FCD">
        <w:t>estatuto</w:t>
      </w:r>
      <w:r w:rsidR="00F373A3" w:rsidRPr="00181FCD">
        <w:t xml:space="preserve"> </w:t>
      </w:r>
      <w:r w:rsidRPr="00181FCD">
        <w:t>de</w:t>
      </w:r>
      <w:r w:rsidR="00F373A3" w:rsidRPr="00181FCD">
        <w:t xml:space="preserve"> </w:t>
      </w:r>
      <w:r w:rsidRPr="00181FCD">
        <w:t>refugiado</w:t>
      </w:r>
      <w:r w:rsidR="00F373A3" w:rsidRPr="00181FCD">
        <w:t xml:space="preserve"> </w:t>
      </w:r>
      <w:r w:rsidRPr="00181FCD">
        <w:t>en</w:t>
      </w:r>
      <w:r w:rsidR="00F373A3" w:rsidRPr="00181FCD">
        <w:t xml:space="preserve"> </w:t>
      </w:r>
      <w:r w:rsidRPr="00181FCD">
        <w:t>Bulgaria.</w:t>
      </w:r>
    </w:p>
    <w:p w:rsidR="001937F4" w:rsidRPr="00181FCD" w:rsidRDefault="001937F4" w:rsidP="00347B20">
      <w:pPr>
        <w:pStyle w:val="SingleTxtG"/>
        <w:suppressAutoHyphens/>
      </w:pPr>
      <w:r w:rsidRPr="00181FCD">
        <w:t>99.</w:t>
      </w:r>
      <w:r w:rsidRPr="00181FCD">
        <w:tab/>
        <w:t>Con</w:t>
      </w:r>
      <w:r w:rsidR="00F373A3" w:rsidRPr="00181FCD">
        <w:t xml:space="preserve"> </w:t>
      </w:r>
      <w:r w:rsidRPr="00181FCD">
        <w:t>referencia</w:t>
      </w:r>
      <w:r w:rsidR="00F373A3" w:rsidRPr="00181FCD">
        <w:t xml:space="preserve"> </w:t>
      </w:r>
      <w:r w:rsidRPr="00181FCD">
        <w:t>a</w:t>
      </w:r>
      <w:r w:rsidR="00F373A3" w:rsidRPr="00181FCD">
        <w:t xml:space="preserve"> </w:t>
      </w:r>
      <w:r w:rsidRPr="00181FCD">
        <w:t>las</w:t>
      </w:r>
      <w:r w:rsidR="00F373A3" w:rsidRPr="00181FCD">
        <w:t xml:space="preserve"> </w:t>
      </w:r>
      <w:r w:rsidRPr="00181FCD">
        <w:t>anteriores</w:t>
      </w:r>
      <w:r w:rsidR="00F373A3" w:rsidRPr="00181FCD">
        <w:t xml:space="preserve"> </w:t>
      </w:r>
      <w:r w:rsidRPr="00181FCD">
        <w:t>observaciones</w:t>
      </w:r>
      <w:r w:rsidR="00F373A3" w:rsidRPr="00181FCD">
        <w:t xml:space="preserve"> </w:t>
      </w:r>
      <w:r w:rsidRPr="00181FCD">
        <w:t>finales,</w:t>
      </w:r>
      <w:r w:rsidR="00F373A3" w:rsidRPr="00181FCD">
        <w:t xml:space="preserve"> </w:t>
      </w:r>
      <w:r w:rsidRPr="00181FCD">
        <w:t>Bulgaria</w:t>
      </w:r>
      <w:r w:rsidR="00F373A3" w:rsidRPr="00181FCD">
        <w:t xml:space="preserve"> </w:t>
      </w:r>
      <w:r w:rsidRPr="00181FCD">
        <w:t>desearía</w:t>
      </w:r>
      <w:r w:rsidR="00F373A3" w:rsidRPr="00181FCD">
        <w:t xml:space="preserve"> </w:t>
      </w:r>
      <w:r w:rsidRPr="00181FCD">
        <w:t>transmitir</w:t>
      </w:r>
      <w:r w:rsidR="00F373A3" w:rsidRPr="00181FCD">
        <w:t xml:space="preserve"> </w:t>
      </w:r>
      <w:r w:rsidRPr="00181FCD">
        <w:t>que</w:t>
      </w:r>
      <w:r w:rsidR="00F373A3" w:rsidRPr="00181FCD">
        <w:t xml:space="preserve"> </w:t>
      </w:r>
      <w:r w:rsidRPr="00181FCD">
        <w:t>el</w:t>
      </w:r>
      <w:r w:rsidR="00F373A3" w:rsidRPr="00181FCD">
        <w:t xml:space="preserve"> </w:t>
      </w:r>
      <w:r w:rsidRPr="00181FCD">
        <w:t>18</w:t>
      </w:r>
      <w:r w:rsidR="00F373A3" w:rsidRPr="00181FCD">
        <w:t xml:space="preserve"> </w:t>
      </w:r>
      <w:r w:rsidRPr="00181FCD">
        <w:t>de</w:t>
      </w:r>
      <w:r w:rsidR="00F373A3" w:rsidRPr="00181FCD">
        <w:t xml:space="preserve"> </w:t>
      </w:r>
      <w:r w:rsidRPr="00181FCD">
        <w:t>noviembre</w:t>
      </w:r>
      <w:r w:rsidR="00F373A3" w:rsidRPr="00181FCD">
        <w:t xml:space="preserve"> </w:t>
      </w:r>
      <w:r w:rsidRPr="00181FCD">
        <w:t>2011</w:t>
      </w:r>
      <w:r w:rsidR="00F373A3" w:rsidRPr="00181FCD">
        <w:t xml:space="preserve"> </w:t>
      </w:r>
      <w:r w:rsidRPr="00181FCD">
        <w:t>y</w:t>
      </w:r>
      <w:r w:rsidR="00F373A3" w:rsidRPr="00181FCD">
        <w:t xml:space="preserve"> </w:t>
      </w:r>
      <w:r w:rsidRPr="00181FCD">
        <w:t>17</w:t>
      </w:r>
      <w:r w:rsidR="00F373A3" w:rsidRPr="00181FCD">
        <w:t xml:space="preserve"> </w:t>
      </w:r>
      <w:r w:rsidRPr="00181FCD">
        <w:t>de</w:t>
      </w:r>
      <w:r w:rsidR="00F373A3" w:rsidRPr="00181FCD">
        <w:t xml:space="preserve"> </w:t>
      </w:r>
      <w:r w:rsidRPr="00181FCD">
        <w:t>noviembre</w:t>
      </w:r>
      <w:r w:rsidR="00F373A3" w:rsidRPr="00181FCD">
        <w:t xml:space="preserve"> </w:t>
      </w:r>
      <w:r w:rsidRPr="00181FCD">
        <w:t>de</w:t>
      </w:r>
      <w:r w:rsidR="00F373A3" w:rsidRPr="00181FCD">
        <w:t xml:space="preserve"> </w:t>
      </w:r>
      <w:r w:rsidRPr="00181FCD">
        <w:t>2015</w:t>
      </w:r>
      <w:r w:rsidR="00F373A3" w:rsidRPr="00181FCD">
        <w:t xml:space="preserve"> </w:t>
      </w:r>
      <w:r w:rsidRPr="00181FCD">
        <w:t>se</w:t>
      </w:r>
      <w:r w:rsidR="00F373A3" w:rsidRPr="00181FCD">
        <w:t xml:space="preserve"> </w:t>
      </w:r>
      <w:r w:rsidRPr="00181FCD">
        <w:t>modificó</w:t>
      </w:r>
      <w:r w:rsidR="00F373A3" w:rsidRPr="00181FCD">
        <w:t xml:space="preserve"> </w:t>
      </w:r>
      <w:r w:rsidRPr="00181FCD">
        <w:t>la</w:t>
      </w:r>
      <w:r w:rsidR="00F373A3" w:rsidRPr="00181FCD">
        <w:t xml:space="preserve"> </w:t>
      </w:r>
      <w:r w:rsidRPr="00181FCD">
        <w:t>Orden</w:t>
      </w:r>
      <w:r w:rsidR="00F373A3" w:rsidRPr="00181FCD">
        <w:t xml:space="preserve"> </w:t>
      </w:r>
      <w:r w:rsidRPr="00181FCD">
        <w:t>relativa</w:t>
      </w:r>
      <w:r w:rsidR="00F373A3" w:rsidRPr="00181FCD">
        <w:t xml:space="preserve"> </w:t>
      </w:r>
      <w:r w:rsidRPr="00181FCD">
        <w:t>a</w:t>
      </w:r>
      <w:r w:rsidR="00F373A3" w:rsidRPr="00181FCD">
        <w:t xml:space="preserve"> </w:t>
      </w:r>
      <w:r w:rsidRPr="00181FCD">
        <w:t>las</w:t>
      </w:r>
      <w:r w:rsidR="00F373A3" w:rsidRPr="00181FCD">
        <w:t xml:space="preserve"> </w:t>
      </w:r>
      <w:r w:rsidRPr="00181FCD">
        <w:t>responsabilidades</w:t>
      </w:r>
      <w:r w:rsidR="00F373A3" w:rsidRPr="00181FCD">
        <w:t xml:space="preserve"> </w:t>
      </w:r>
      <w:r w:rsidRPr="00181FCD">
        <w:t>y</w:t>
      </w:r>
      <w:r w:rsidR="00F373A3" w:rsidRPr="00181FCD">
        <w:t xml:space="preserve"> </w:t>
      </w:r>
      <w:r w:rsidRPr="00181FCD">
        <w:t>la</w:t>
      </w:r>
      <w:r w:rsidR="00F373A3" w:rsidRPr="00181FCD">
        <w:t xml:space="preserve"> </w:t>
      </w:r>
      <w:r w:rsidRPr="00181FCD">
        <w:t>coordinación</w:t>
      </w:r>
      <w:r w:rsidR="00F373A3" w:rsidRPr="00181FCD">
        <w:t xml:space="preserve"> </w:t>
      </w:r>
      <w:r w:rsidRPr="00181FCD">
        <w:t>entre</w:t>
      </w:r>
      <w:r w:rsidR="00F373A3" w:rsidRPr="00181FCD">
        <w:t xml:space="preserve"> </w:t>
      </w:r>
      <w:r w:rsidRPr="00181FCD">
        <w:t>los</w:t>
      </w:r>
      <w:r w:rsidR="00F373A3" w:rsidRPr="00181FCD">
        <w:t xml:space="preserve"> </w:t>
      </w:r>
      <w:r w:rsidRPr="00181FCD">
        <w:t>órganos</w:t>
      </w:r>
      <w:r w:rsidR="00F373A3" w:rsidRPr="00181FCD">
        <w:t xml:space="preserve"> </w:t>
      </w:r>
      <w:r w:rsidRPr="00181FCD">
        <w:t>del</w:t>
      </w:r>
      <w:r w:rsidR="00F373A3" w:rsidRPr="00181FCD">
        <w:t xml:space="preserve"> </w:t>
      </w:r>
      <w:r w:rsidRPr="00181FCD">
        <w:t>Estado</w:t>
      </w:r>
      <w:r w:rsidR="00F373A3" w:rsidRPr="00181FCD">
        <w:t xml:space="preserve"> </w:t>
      </w:r>
      <w:r w:rsidRPr="00181FCD">
        <w:t>sobre</w:t>
      </w:r>
      <w:r w:rsidR="00F373A3" w:rsidRPr="00181FCD">
        <w:t xml:space="preserve"> </w:t>
      </w:r>
      <w:r w:rsidRPr="00181FCD">
        <w:t>la</w:t>
      </w:r>
      <w:r w:rsidR="00F373A3" w:rsidRPr="00181FCD">
        <w:t xml:space="preserve"> </w:t>
      </w:r>
      <w:r w:rsidRPr="00181FCD">
        <w:t>aplicación</w:t>
      </w:r>
      <w:r w:rsidR="00F373A3" w:rsidRPr="00181FCD">
        <w:t xml:space="preserve"> </w:t>
      </w:r>
      <w:r w:rsidRPr="00181FCD">
        <w:t>del</w:t>
      </w:r>
      <w:r w:rsidR="00F373A3" w:rsidRPr="00181FCD">
        <w:t xml:space="preserve"> </w:t>
      </w:r>
      <w:r w:rsidRPr="00181FCD">
        <w:t>Reglamento</w:t>
      </w:r>
      <w:r w:rsidR="00F373A3" w:rsidRPr="00181FCD">
        <w:t xml:space="preserve"> </w:t>
      </w:r>
      <w:r w:rsidRPr="00181FCD">
        <w:t>(CE)</w:t>
      </w:r>
      <w:r w:rsidR="00F373A3" w:rsidRPr="00181FCD">
        <w:t xml:space="preserve"> </w:t>
      </w:r>
      <w:r w:rsidRPr="00181FCD">
        <w:t>343/2004</w:t>
      </w:r>
      <w:r w:rsidR="00F373A3" w:rsidRPr="00181FCD">
        <w:t xml:space="preserve"> </w:t>
      </w:r>
      <w:r w:rsidRPr="00181FCD">
        <w:t>del</w:t>
      </w:r>
      <w:r w:rsidR="00F373A3" w:rsidRPr="00181FCD">
        <w:t xml:space="preserve"> </w:t>
      </w:r>
      <w:r w:rsidRPr="00181FCD">
        <w:t>Consejo,</w:t>
      </w:r>
      <w:r w:rsidR="00F373A3" w:rsidRPr="00181FCD">
        <w:t xml:space="preserve"> </w:t>
      </w:r>
      <w:r w:rsidRPr="00181FCD">
        <w:t>el</w:t>
      </w:r>
      <w:r w:rsidR="00F373A3" w:rsidRPr="00181FCD">
        <w:t xml:space="preserve"> </w:t>
      </w:r>
      <w:r w:rsidRPr="00181FCD">
        <w:t>Reglamento</w:t>
      </w:r>
      <w:r w:rsidR="00F373A3" w:rsidRPr="00181FCD">
        <w:t xml:space="preserve"> </w:t>
      </w:r>
      <w:r w:rsidRPr="00181FCD">
        <w:t>(CE)</w:t>
      </w:r>
      <w:r w:rsidR="00F373A3" w:rsidRPr="00181FCD">
        <w:t xml:space="preserve"> </w:t>
      </w:r>
      <w:r w:rsidRPr="00181FCD">
        <w:t>1560/2003</w:t>
      </w:r>
      <w:r w:rsidR="00F373A3" w:rsidRPr="00181FCD">
        <w:t xml:space="preserve"> </w:t>
      </w:r>
      <w:r w:rsidRPr="00181FCD">
        <w:t>de</w:t>
      </w:r>
      <w:r w:rsidR="00F373A3" w:rsidRPr="00181FCD">
        <w:t xml:space="preserve"> </w:t>
      </w:r>
      <w:r w:rsidRPr="00181FCD">
        <w:t>la</w:t>
      </w:r>
      <w:r w:rsidR="00F373A3" w:rsidRPr="00181FCD">
        <w:t xml:space="preserve"> </w:t>
      </w:r>
      <w:r w:rsidRPr="00181FCD">
        <w:t>Comisión,</w:t>
      </w:r>
      <w:r w:rsidR="00F373A3" w:rsidRPr="00181FCD">
        <w:t xml:space="preserve"> </w:t>
      </w:r>
      <w:r w:rsidRPr="00181FCD">
        <w:t>el</w:t>
      </w:r>
      <w:r w:rsidR="00F373A3" w:rsidRPr="00181FCD">
        <w:t xml:space="preserve"> </w:t>
      </w:r>
      <w:r w:rsidRPr="00181FCD">
        <w:t>Reglamento</w:t>
      </w:r>
      <w:r w:rsidR="00F373A3" w:rsidRPr="00181FCD">
        <w:t xml:space="preserve"> </w:t>
      </w:r>
      <w:r w:rsidRPr="00181FCD">
        <w:t>(CE)</w:t>
      </w:r>
      <w:r w:rsidR="00F373A3" w:rsidRPr="00181FCD">
        <w:t xml:space="preserve"> </w:t>
      </w:r>
      <w:r w:rsidRPr="00181FCD">
        <w:t>2725/2000</w:t>
      </w:r>
      <w:r w:rsidR="00F373A3" w:rsidRPr="00181FCD">
        <w:t xml:space="preserve"> </w:t>
      </w:r>
      <w:r w:rsidRPr="00181FCD">
        <w:t>del</w:t>
      </w:r>
      <w:r w:rsidR="00F373A3" w:rsidRPr="00181FCD">
        <w:t xml:space="preserve"> </w:t>
      </w:r>
      <w:r w:rsidRPr="00181FCD">
        <w:t>Consejo</w:t>
      </w:r>
      <w:r w:rsidR="00F373A3" w:rsidRPr="00181FCD">
        <w:t xml:space="preserve"> </w:t>
      </w:r>
      <w:r w:rsidRPr="00181FCD">
        <w:t>y</w:t>
      </w:r>
      <w:r w:rsidR="00F373A3" w:rsidRPr="00181FCD">
        <w:t xml:space="preserve"> </w:t>
      </w:r>
      <w:r w:rsidRPr="00181FCD">
        <w:t>el</w:t>
      </w:r>
      <w:r w:rsidR="00F373A3" w:rsidRPr="00181FCD">
        <w:t xml:space="preserve"> </w:t>
      </w:r>
      <w:r w:rsidRPr="00181FCD">
        <w:t>Reglamento</w:t>
      </w:r>
      <w:r w:rsidR="00F373A3" w:rsidRPr="00181FCD">
        <w:t xml:space="preserve"> </w:t>
      </w:r>
      <w:r w:rsidRPr="00181FCD">
        <w:t>(CE)</w:t>
      </w:r>
      <w:r w:rsidR="00F373A3" w:rsidRPr="00181FCD">
        <w:t xml:space="preserve"> </w:t>
      </w:r>
      <w:r w:rsidRPr="00181FCD">
        <w:t>407/2002</w:t>
      </w:r>
      <w:r w:rsidR="00F373A3" w:rsidRPr="00181FCD">
        <w:t xml:space="preserve"> </w:t>
      </w:r>
      <w:r w:rsidRPr="00181FCD">
        <w:t>del</w:t>
      </w:r>
      <w:r w:rsidR="00F373A3" w:rsidRPr="00181FCD">
        <w:t xml:space="preserve"> </w:t>
      </w:r>
      <w:r w:rsidRPr="00181FCD">
        <w:t>Consejo.</w:t>
      </w:r>
      <w:r w:rsidR="00F373A3" w:rsidRPr="00181FCD">
        <w:t xml:space="preserve"> </w:t>
      </w:r>
      <w:r w:rsidRPr="00181FCD">
        <w:t>Tras</w:t>
      </w:r>
      <w:r w:rsidR="00F373A3" w:rsidRPr="00181FCD">
        <w:t xml:space="preserve"> </w:t>
      </w:r>
      <w:r w:rsidRPr="00181FCD">
        <w:t>las</w:t>
      </w:r>
      <w:r w:rsidR="00F373A3" w:rsidRPr="00181FCD">
        <w:t xml:space="preserve"> </w:t>
      </w:r>
      <w:r w:rsidRPr="00181FCD">
        <w:t>modificaciones,</w:t>
      </w:r>
      <w:r w:rsidR="00F373A3" w:rsidRPr="00181FCD">
        <w:t xml:space="preserve"> </w:t>
      </w:r>
      <w:r w:rsidRPr="00181FCD">
        <w:t>el</w:t>
      </w:r>
      <w:r w:rsidR="00F373A3" w:rsidRPr="00181FCD">
        <w:t xml:space="preserve"> </w:t>
      </w:r>
      <w:r w:rsidRPr="00181FCD">
        <w:t>artículo</w:t>
      </w:r>
      <w:r w:rsidR="00F373A3" w:rsidRPr="00181FCD">
        <w:t xml:space="preserve"> </w:t>
      </w:r>
      <w:r w:rsidRPr="00181FCD">
        <w:t>16</w:t>
      </w:r>
      <w:r w:rsidR="00F373A3" w:rsidRPr="00181FCD">
        <w:t xml:space="preserve"> </w:t>
      </w:r>
      <w:r w:rsidRPr="00181FCD">
        <w:t>establece</w:t>
      </w:r>
      <w:r w:rsidR="00F373A3" w:rsidRPr="00181FCD">
        <w:t xml:space="preserve"> </w:t>
      </w:r>
      <w:r w:rsidRPr="00181FCD">
        <w:t>que</w:t>
      </w:r>
      <w:r w:rsidR="00F373A3" w:rsidRPr="00181FCD">
        <w:t xml:space="preserve"> </w:t>
      </w:r>
      <w:r w:rsidRPr="00181FCD">
        <w:t>las</w:t>
      </w:r>
      <w:r w:rsidR="00F373A3" w:rsidRPr="00181FCD">
        <w:t xml:space="preserve"> </w:t>
      </w:r>
      <w:r w:rsidRPr="00181FCD">
        <w:t>autoridades</w:t>
      </w:r>
      <w:r w:rsidR="00F373A3" w:rsidRPr="00181FCD">
        <w:t xml:space="preserve"> </w:t>
      </w:r>
      <w:r w:rsidRPr="00181FCD">
        <w:t>de</w:t>
      </w:r>
      <w:r w:rsidR="00F373A3" w:rsidRPr="00181FCD">
        <w:t xml:space="preserve"> </w:t>
      </w:r>
      <w:r w:rsidRPr="00181FCD">
        <w:t>la</w:t>
      </w:r>
      <w:r w:rsidR="00F373A3" w:rsidRPr="00181FCD">
        <w:t xml:space="preserve"> </w:t>
      </w:r>
      <w:r w:rsidRPr="00181FCD">
        <w:t>Policía</w:t>
      </w:r>
      <w:r w:rsidR="00F373A3" w:rsidRPr="00181FCD">
        <w:t xml:space="preserve"> </w:t>
      </w:r>
      <w:r w:rsidRPr="00181FCD">
        <w:t>de</w:t>
      </w:r>
      <w:r w:rsidR="00F373A3" w:rsidRPr="00181FCD">
        <w:t xml:space="preserve"> </w:t>
      </w:r>
      <w:r w:rsidRPr="00181FCD">
        <w:t>Fronteras</w:t>
      </w:r>
      <w:r w:rsidR="00F373A3" w:rsidRPr="00181FCD">
        <w:t xml:space="preserve"> </w:t>
      </w:r>
      <w:r w:rsidRPr="00181FCD">
        <w:t>transfieren</w:t>
      </w:r>
      <w:r w:rsidR="00F373A3" w:rsidRPr="00181FCD">
        <w:t xml:space="preserve"> </w:t>
      </w:r>
      <w:r w:rsidRPr="00181FCD">
        <w:t>inmediatamente</w:t>
      </w:r>
      <w:r w:rsidR="00F373A3" w:rsidRPr="00181FCD">
        <w:t xml:space="preserve"> </w:t>
      </w:r>
      <w:r w:rsidRPr="00181FCD">
        <w:t>a</w:t>
      </w:r>
      <w:r w:rsidR="00F373A3" w:rsidRPr="00181FCD">
        <w:t xml:space="preserve"> </w:t>
      </w:r>
      <w:r w:rsidRPr="00181FCD">
        <w:t>la</w:t>
      </w:r>
      <w:r w:rsidR="00F373A3" w:rsidRPr="00181FCD">
        <w:t xml:space="preserve"> </w:t>
      </w:r>
      <w:r w:rsidRPr="00181FCD">
        <w:t>Agencia</w:t>
      </w:r>
      <w:r w:rsidR="00F373A3" w:rsidRPr="00181FCD">
        <w:t xml:space="preserve"> </w:t>
      </w:r>
      <w:r w:rsidRPr="00181FCD">
        <w:t>Estatal</w:t>
      </w:r>
      <w:r w:rsidR="00F373A3" w:rsidRPr="00181FCD">
        <w:t xml:space="preserve"> </w:t>
      </w:r>
      <w:r w:rsidRPr="00181FCD">
        <w:t>para</w:t>
      </w:r>
      <w:r w:rsidR="00F373A3" w:rsidRPr="00181FCD">
        <w:t xml:space="preserve"> </w:t>
      </w:r>
      <w:r w:rsidRPr="00181FCD">
        <w:t>los</w:t>
      </w:r>
      <w:r w:rsidR="00F373A3" w:rsidRPr="00181FCD">
        <w:t xml:space="preserve"> </w:t>
      </w:r>
      <w:r w:rsidRPr="00181FCD">
        <w:t>Refugiados</w:t>
      </w:r>
      <w:r w:rsidR="00F373A3" w:rsidRPr="00181FCD">
        <w:t xml:space="preserve"> </w:t>
      </w:r>
      <w:r w:rsidRPr="00181FCD">
        <w:t>a</w:t>
      </w:r>
      <w:r w:rsidR="00F373A3" w:rsidRPr="00181FCD">
        <w:t xml:space="preserve"> </w:t>
      </w:r>
      <w:r w:rsidRPr="00181FCD">
        <w:t>todo</w:t>
      </w:r>
      <w:r w:rsidR="00F373A3" w:rsidRPr="00181FCD">
        <w:t xml:space="preserve"> </w:t>
      </w:r>
      <w:r w:rsidRPr="00181FCD">
        <w:t>extranjero</w:t>
      </w:r>
      <w:r w:rsidR="00F373A3" w:rsidRPr="00181FCD">
        <w:t xml:space="preserve"> </w:t>
      </w:r>
      <w:r w:rsidRPr="00181FCD">
        <w:t>que</w:t>
      </w:r>
      <w:r w:rsidR="00F373A3" w:rsidRPr="00181FCD">
        <w:t xml:space="preserve"> </w:t>
      </w:r>
      <w:r w:rsidRPr="00181FCD">
        <w:t>ha</w:t>
      </w:r>
      <w:r w:rsidR="00F373A3" w:rsidRPr="00181FCD">
        <w:t xml:space="preserve"> </w:t>
      </w:r>
      <w:r w:rsidRPr="00181FCD">
        <w:t>entrado</w:t>
      </w:r>
      <w:r w:rsidR="00F373A3" w:rsidRPr="00181FCD">
        <w:t xml:space="preserve"> </w:t>
      </w:r>
      <w:r w:rsidRPr="00181FCD">
        <w:t>ilegalmente</w:t>
      </w:r>
      <w:r w:rsidR="00F373A3" w:rsidRPr="00181FCD">
        <w:t xml:space="preserve"> </w:t>
      </w:r>
      <w:r w:rsidRPr="00181FCD">
        <w:t>en</w:t>
      </w:r>
      <w:r w:rsidR="00F373A3" w:rsidRPr="00181FCD">
        <w:t xml:space="preserve"> </w:t>
      </w:r>
      <w:r w:rsidRPr="00181FCD">
        <w:t>el</w:t>
      </w:r>
      <w:r w:rsidR="00F373A3" w:rsidRPr="00181FCD">
        <w:t xml:space="preserve"> </w:t>
      </w:r>
      <w:r w:rsidRPr="00181FCD">
        <w:t>Estado</w:t>
      </w:r>
      <w:r w:rsidR="00F373A3" w:rsidRPr="00181FCD">
        <w:t xml:space="preserve"> </w:t>
      </w:r>
      <w:r w:rsidRPr="00181FCD">
        <w:t>y</w:t>
      </w:r>
      <w:r w:rsidR="00F373A3" w:rsidRPr="00181FCD">
        <w:t xml:space="preserve"> </w:t>
      </w:r>
      <w:r w:rsidRPr="00181FCD">
        <w:t>ha</w:t>
      </w:r>
      <w:r w:rsidR="00F373A3" w:rsidRPr="00181FCD">
        <w:t xml:space="preserve"> </w:t>
      </w:r>
      <w:r w:rsidRPr="00181FCD">
        <w:t>declarado</w:t>
      </w:r>
      <w:r w:rsidR="00F373A3" w:rsidRPr="00181FCD">
        <w:t xml:space="preserve"> </w:t>
      </w:r>
      <w:r w:rsidRPr="00181FCD">
        <w:t>que</w:t>
      </w:r>
      <w:r w:rsidR="00F373A3" w:rsidRPr="00181FCD">
        <w:t xml:space="preserve"> "</w:t>
      </w:r>
      <w:r w:rsidRPr="00181FCD">
        <w:t>necesita</w:t>
      </w:r>
      <w:r w:rsidR="00F373A3" w:rsidRPr="00181FCD">
        <w:t xml:space="preserve"> </w:t>
      </w:r>
      <w:r w:rsidRPr="00181FCD">
        <w:t>protección</w:t>
      </w:r>
      <w:r w:rsidR="00F373A3" w:rsidRPr="00181FCD">
        <w:t xml:space="preserve"> </w:t>
      </w:r>
      <w:r w:rsidRPr="00181FCD">
        <w:t>internacional</w:t>
      </w:r>
      <w:r w:rsidR="00F373A3" w:rsidRPr="00181FCD">
        <w:t>"</w:t>
      </w:r>
      <w:r w:rsidRPr="00181FCD">
        <w:t>.</w:t>
      </w:r>
    </w:p>
    <w:p w:rsidR="001937F4" w:rsidRPr="00181FCD" w:rsidRDefault="001937F4" w:rsidP="00347B20">
      <w:pPr>
        <w:pStyle w:val="SingleTxtG"/>
        <w:suppressAutoHyphens/>
      </w:pPr>
      <w:r w:rsidRPr="00181FCD">
        <w:t>100.</w:t>
      </w:r>
      <w:r w:rsidRPr="00181FCD">
        <w:tab/>
        <w:t>Se</w:t>
      </w:r>
      <w:r w:rsidR="00F373A3" w:rsidRPr="00181FCD">
        <w:t xml:space="preserve"> </w:t>
      </w:r>
      <w:r w:rsidRPr="00181FCD">
        <w:t>garantiza</w:t>
      </w:r>
      <w:r w:rsidR="00F373A3" w:rsidRPr="00181FCD">
        <w:t xml:space="preserve"> </w:t>
      </w:r>
      <w:r w:rsidRPr="00181FCD">
        <w:t>a</w:t>
      </w:r>
      <w:r w:rsidR="00F373A3" w:rsidRPr="00181FCD">
        <w:t xml:space="preserve"> </w:t>
      </w:r>
      <w:r w:rsidRPr="00181FCD">
        <w:t>las</w:t>
      </w:r>
      <w:r w:rsidR="00F373A3" w:rsidRPr="00181FCD">
        <w:t xml:space="preserve"> </w:t>
      </w:r>
      <w:r w:rsidRPr="00181FCD">
        <w:t>personas</w:t>
      </w:r>
      <w:r w:rsidR="00F373A3" w:rsidRPr="00181FCD">
        <w:t xml:space="preserve"> </w:t>
      </w:r>
      <w:r w:rsidRPr="00181FCD">
        <w:t>que</w:t>
      </w:r>
      <w:r w:rsidR="00F373A3" w:rsidRPr="00181FCD">
        <w:t xml:space="preserve"> </w:t>
      </w:r>
      <w:r w:rsidRPr="00181FCD">
        <w:t>buscan</w:t>
      </w:r>
      <w:r w:rsidR="00F373A3" w:rsidRPr="00181FCD">
        <w:t xml:space="preserve"> </w:t>
      </w:r>
      <w:r w:rsidRPr="00181FCD">
        <w:t>protección</w:t>
      </w:r>
      <w:r w:rsidR="00F373A3" w:rsidRPr="00181FCD">
        <w:t xml:space="preserve"> </w:t>
      </w:r>
      <w:r w:rsidRPr="00181FCD">
        <w:t>internacional</w:t>
      </w:r>
      <w:r w:rsidR="00F373A3" w:rsidRPr="00181FCD">
        <w:t xml:space="preserve"> </w:t>
      </w:r>
      <w:r w:rsidRPr="00181FCD">
        <w:t>el</w:t>
      </w:r>
      <w:r w:rsidR="00F373A3" w:rsidRPr="00181FCD">
        <w:t xml:space="preserve"> </w:t>
      </w:r>
      <w:r w:rsidRPr="00181FCD">
        <w:t>acceso</w:t>
      </w:r>
      <w:r w:rsidR="00F373A3" w:rsidRPr="00181FCD">
        <w:t xml:space="preserve"> </w:t>
      </w:r>
      <w:r w:rsidRPr="00181FCD">
        <w:t>al</w:t>
      </w:r>
      <w:r w:rsidR="00F373A3" w:rsidRPr="00181FCD">
        <w:t xml:space="preserve"> </w:t>
      </w:r>
      <w:r w:rsidRPr="00181FCD">
        <w:t>territorio</w:t>
      </w:r>
      <w:r w:rsidR="00F373A3" w:rsidRPr="00181FCD">
        <w:t xml:space="preserve"> </w:t>
      </w:r>
      <w:r w:rsidRPr="00181FCD">
        <w:t>de</w:t>
      </w:r>
      <w:r w:rsidR="00F373A3" w:rsidRPr="00181FCD">
        <w:t xml:space="preserve"> </w:t>
      </w:r>
      <w:r w:rsidRPr="00181FCD">
        <w:t>la</w:t>
      </w:r>
      <w:r w:rsidR="00F373A3" w:rsidRPr="00181FCD">
        <w:t xml:space="preserve"> </w:t>
      </w:r>
      <w:r w:rsidRPr="00181FCD">
        <w:t>República</w:t>
      </w:r>
      <w:r w:rsidR="00F373A3" w:rsidRPr="00181FCD">
        <w:t xml:space="preserve"> </w:t>
      </w:r>
      <w:r w:rsidRPr="00181FCD">
        <w:t>de</w:t>
      </w:r>
      <w:r w:rsidR="00F373A3" w:rsidRPr="00181FCD">
        <w:t xml:space="preserve"> </w:t>
      </w:r>
      <w:r w:rsidRPr="00181FCD">
        <w:t>Bulgaria</w:t>
      </w:r>
      <w:r w:rsidR="00F373A3" w:rsidRPr="00181FCD">
        <w:t xml:space="preserve"> </w:t>
      </w:r>
      <w:r w:rsidRPr="00181FCD">
        <w:t>y</w:t>
      </w:r>
      <w:r w:rsidR="00F373A3" w:rsidRPr="00181FCD">
        <w:t xml:space="preserve"> </w:t>
      </w:r>
      <w:r w:rsidRPr="00181FCD">
        <w:t>el</w:t>
      </w:r>
      <w:r w:rsidR="00F373A3" w:rsidRPr="00181FCD">
        <w:t xml:space="preserve"> </w:t>
      </w:r>
      <w:r w:rsidRPr="00181FCD">
        <w:t>procedimiento</w:t>
      </w:r>
      <w:r w:rsidR="00F373A3" w:rsidRPr="00181FCD">
        <w:t xml:space="preserve"> </w:t>
      </w:r>
      <w:r w:rsidRPr="00181FCD">
        <w:t>de</w:t>
      </w:r>
      <w:r w:rsidR="00F373A3" w:rsidRPr="00181FCD">
        <w:t xml:space="preserve"> </w:t>
      </w:r>
      <w:r w:rsidRPr="00181FCD">
        <w:t>concesión</w:t>
      </w:r>
      <w:r w:rsidR="00F373A3" w:rsidRPr="00181FCD">
        <w:t xml:space="preserve"> </w:t>
      </w:r>
      <w:r w:rsidRPr="00181FCD">
        <w:t>de</w:t>
      </w:r>
      <w:r w:rsidR="00F373A3" w:rsidRPr="00181FCD">
        <w:t xml:space="preserve"> </w:t>
      </w:r>
      <w:r w:rsidRPr="00181FCD">
        <w:t>asilo,</w:t>
      </w:r>
      <w:r w:rsidR="00F373A3" w:rsidRPr="00181FCD">
        <w:t xml:space="preserve"> </w:t>
      </w:r>
      <w:r w:rsidRPr="00181FCD">
        <w:t>de</w:t>
      </w:r>
      <w:r w:rsidR="00F373A3" w:rsidRPr="00181FCD">
        <w:t xml:space="preserve"> </w:t>
      </w:r>
      <w:r w:rsidRPr="00181FCD">
        <w:t>conformidad</w:t>
      </w:r>
      <w:r w:rsidR="00F373A3" w:rsidRPr="00181FCD">
        <w:t xml:space="preserve"> </w:t>
      </w:r>
      <w:r w:rsidRPr="00181FCD">
        <w:t>con</w:t>
      </w:r>
      <w:r w:rsidR="00F373A3" w:rsidRPr="00181FCD">
        <w:t xml:space="preserve"> </w:t>
      </w:r>
      <w:r w:rsidRPr="00181FCD">
        <w:t>el</w:t>
      </w:r>
      <w:r w:rsidR="00F373A3" w:rsidRPr="00181FCD">
        <w:t xml:space="preserve"> </w:t>
      </w:r>
      <w:r w:rsidRPr="00181FCD">
        <w:t>Reglamento</w:t>
      </w:r>
      <w:r w:rsidR="00F373A3" w:rsidRPr="00181FCD">
        <w:t xml:space="preserve"> </w:t>
      </w:r>
      <w:r w:rsidRPr="00181FCD">
        <w:t>(CE)</w:t>
      </w:r>
      <w:r w:rsidR="00F373A3" w:rsidRPr="00181FCD">
        <w:t xml:space="preserve"> </w:t>
      </w:r>
      <w:r w:rsidRPr="00181FCD">
        <w:t>núm.</w:t>
      </w:r>
      <w:r w:rsidR="00F373A3" w:rsidRPr="00181FCD">
        <w:t xml:space="preserve"> </w:t>
      </w:r>
      <w:r w:rsidRPr="00181FCD">
        <w:t>562/2006</w:t>
      </w:r>
      <w:r w:rsidR="00F373A3" w:rsidRPr="00181FCD">
        <w:t xml:space="preserve"> </w:t>
      </w:r>
      <w:r w:rsidRPr="00181FCD">
        <w:t>del</w:t>
      </w:r>
      <w:r w:rsidR="00F373A3" w:rsidRPr="00181FCD">
        <w:t xml:space="preserve"> </w:t>
      </w:r>
      <w:r w:rsidRPr="00181FCD">
        <w:t>Parlamento</w:t>
      </w:r>
      <w:r w:rsidR="00F373A3" w:rsidRPr="00181FCD">
        <w:t xml:space="preserve"> </w:t>
      </w:r>
      <w:r w:rsidRPr="00181FCD">
        <w:t>Europeo</w:t>
      </w:r>
      <w:r w:rsidR="00F373A3" w:rsidRPr="00181FCD">
        <w:t xml:space="preserve"> </w:t>
      </w:r>
      <w:r w:rsidRPr="00181FCD">
        <w:t>y</w:t>
      </w:r>
      <w:r w:rsidR="00F373A3" w:rsidRPr="00181FCD">
        <w:t xml:space="preserve"> </w:t>
      </w:r>
      <w:r w:rsidRPr="00181FCD">
        <w:t>del</w:t>
      </w:r>
      <w:r w:rsidR="00F373A3" w:rsidRPr="00181FCD">
        <w:t xml:space="preserve"> </w:t>
      </w:r>
      <w:r w:rsidRPr="00181FCD">
        <w:t>Consejo,</w:t>
      </w:r>
      <w:r w:rsidR="00F373A3" w:rsidRPr="00181FCD">
        <w:t xml:space="preserve"> </w:t>
      </w:r>
      <w:r w:rsidRPr="00181FCD">
        <w:t>de</w:t>
      </w:r>
      <w:r w:rsidR="00F373A3" w:rsidRPr="00181FCD">
        <w:t xml:space="preserve"> </w:t>
      </w:r>
      <w:r w:rsidRPr="00181FCD">
        <w:t>15</w:t>
      </w:r>
      <w:r w:rsidR="00F373A3" w:rsidRPr="00181FCD">
        <w:t xml:space="preserve"> </w:t>
      </w:r>
      <w:r w:rsidRPr="00181FCD">
        <w:t>de</w:t>
      </w:r>
      <w:r w:rsidR="00F373A3" w:rsidRPr="00181FCD">
        <w:t xml:space="preserve"> </w:t>
      </w:r>
      <w:r w:rsidRPr="00181FCD">
        <w:t>marzo</w:t>
      </w:r>
      <w:r w:rsidR="00F373A3" w:rsidRPr="00181FCD">
        <w:t xml:space="preserve"> </w:t>
      </w:r>
      <w:r w:rsidRPr="00181FCD">
        <w:t>de</w:t>
      </w:r>
      <w:r w:rsidR="00F373A3" w:rsidRPr="00181FCD">
        <w:t xml:space="preserve"> </w:t>
      </w:r>
      <w:r w:rsidRPr="00181FCD">
        <w:t>2006.</w:t>
      </w:r>
    </w:p>
    <w:p w:rsidR="001937F4" w:rsidRPr="00181FCD" w:rsidRDefault="001937F4" w:rsidP="00347B20">
      <w:pPr>
        <w:pStyle w:val="SingleTxtG"/>
        <w:suppressAutoHyphens/>
      </w:pPr>
      <w:r w:rsidRPr="00181FCD">
        <w:t>101.</w:t>
      </w:r>
      <w:r w:rsidRPr="00181FCD">
        <w:tab/>
        <w:t>El</w:t>
      </w:r>
      <w:r w:rsidR="00F373A3" w:rsidRPr="00181FCD">
        <w:t xml:space="preserve"> </w:t>
      </w:r>
      <w:r w:rsidRPr="00181FCD">
        <w:t>procedimiento</w:t>
      </w:r>
      <w:r w:rsidR="00F373A3" w:rsidRPr="00181FCD">
        <w:t xml:space="preserve"> </w:t>
      </w:r>
      <w:r w:rsidRPr="00181FCD">
        <w:t>para</w:t>
      </w:r>
      <w:r w:rsidR="00F373A3" w:rsidRPr="00181FCD">
        <w:t xml:space="preserve"> </w:t>
      </w:r>
      <w:r w:rsidRPr="00181FCD">
        <w:t>la</w:t>
      </w:r>
      <w:r w:rsidR="00F373A3" w:rsidRPr="00181FCD">
        <w:t xml:space="preserve"> </w:t>
      </w:r>
      <w:r w:rsidRPr="00181FCD">
        <w:t>aceptación</w:t>
      </w:r>
      <w:r w:rsidR="00F373A3" w:rsidRPr="00181FCD">
        <w:t xml:space="preserve"> </w:t>
      </w:r>
      <w:r w:rsidRPr="00181FCD">
        <w:t>de</w:t>
      </w:r>
      <w:r w:rsidR="00F373A3" w:rsidRPr="00181FCD">
        <w:t xml:space="preserve"> </w:t>
      </w:r>
      <w:r w:rsidRPr="00181FCD">
        <w:t>los</w:t>
      </w:r>
      <w:r w:rsidR="00F373A3" w:rsidRPr="00181FCD">
        <w:t xml:space="preserve"> </w:t>
      </w:r>
      <w:r w:rsidRPr="00181FCD">
        <w:t>extranjeros,</w:t>
      </w:r>
      <w:r w:rsidR="00F373A3" w:rsidRPr="00181FCD">
        <w:t xml:space="preserve"> </w:t>
      </w:r>
      <w:r w:rsidRPr="00181FCD">
        <w:t>el</w:t>
      </w:r>
      <w:r w:rsidR="00F373A3" w:rsidRPr="00181FCD">
        <w:t xml:space="preserve"> </w:t>
      </w:r>
      <w:r w:rsidRPr="00181FCD">
        <w:t>examen</w:t>
      </w:r>
      <w:r w:rsidR="00F373A3" w:rsidRPr="00181FCD">
        <w:t xml:space="preserve"> </w:t>
      </w:r>
      <w:r w:rsidRPr="00181FCD">
        <w:t>del</w:t>
      </w:r>
      <w:r w:rsidR="00F373A3" w:rsidRPr="00181FCD">
        <w:t xml:space="preserve"> </w:t>
      </w:r>
      <w:r w:rsidRPr="00181FCD">
        <w:t>caso,</w:t>
      </w:r>
      <w:r w:rsidR="00F373A3" w:rsidRPr="00181FCD">
        <w:t xml:space="preserve"> </w:t>
      </w:r>
      <w:r w:rsidRPr="00181FCD">
        <w:t>el</w:t>
      </w:r>
      <w:r w:rsidR="00F373A3" w:rsidRPr="00181FCD">
        <w:t xml:space="preserve"> </w:t>
      </w:r>
      <w:r w:rsidRPr="00181FCD">
        <w:t>proceso</w:t>
      </w:r>
      <w:r w:rsidR="00F373A3" w:rsidRPr="00181FCD">
        <w:t xml:space="preserve"> </w:t>
      </w:r>
      <w:r w:rsidRPr="00181FCD">
        <w:t>administrativo,</w:t>
      </w:r>
      <w:r w:rsidR="00F373A3" w:rsidRPr="00181FCD">
        <w:t xml:space="preserve"> </w:t>
      </w:r>
      <w:r w:rsidRPr="00181FCD">
        <w:t>la</w:t>
      </w:r>
      <w:r w:rsidR="00F373A3" w:rsidRPr="00181FCD">
        <w:t xml:space="preserve"> </w:t>
      </w:r>
      <w:r w:rsidRPr="00181FCD">
        <w:t>distribución</w:t>
      </w:r>
      <w:r w:rsidR="00F373A3" w:rsidRPr="00181FCD">
        <w:t xml:space="preserve"> </w:t>
      </w:r>
      <w:r w:rsidRPr="00181FCD">
        <w:t>y</w:t>
      </w:r>
      <w:r w:rsidR="00F373A3" w:rsidRPr="00181FCD">
        <w:t xml:space="preserve"> </w:t>
      </w:r>
      <w:r w:rsidRPr="00181FCD">
        <w:t>el</w:t>
      </w:r>
      <w:r w:rsidR="00F373A3" w:rsidRPr="00181FCD">
        <w:t xml:space="preserve"> </w:t>
      </w:r>
      <w:r w:rsidRPr="00181FCD">
        <w:t>traslado</w:t>
      </w:r>
      <w:r w:rsidR="00F373A3" w:rsidRPr="00181FCD">
        <w:t xml:space="preserve"> </w:t>
      </w:r>
      <w:r w:rsidRPr="00181FCD">
        <w:t>para</w:t>
      </w:r>
      <w:r w:rsidR="00F373A3" w:rsidRPr="00181FCD">
        <w:t xml:space="preserve"> </w:t>
      </w:r>
      <w:r w:rsidRPr="00181FCD">
        <w:t>su</w:t>
      </w:r>
      <w:r w:rsidR="00F373A3" w:rsidRPr="00181FCD">
        <w:t xml:space="preserve"> </w:t>
      </w:r>
      <w:r w:rsidRPr="00181FCD">
        <w:t>alojamiento</w:t>
      </w:r>
      <w:r w:rsidR="00F373A3" w:rsidRPr="00181FCD">
        <w:t xml:space="preserve"> </w:t>
      </w:r>
      <w:r w:rsidRPr="00181FCD">
        <w:t>en</w:t>
      </w:r>
      <w:r w:rsidR="00F373A3" w:rsidRPr="00181FCD">
        <w:t xml:space="preserve"> </w:t>
      </w:r>
      <w:r w:rsidRPr="00181FCD">
        <w:t>otras</w:t>
      </w:r>
      <w:r w:rsidR="00F373A3" w:rsidRPr="00181FCD">
        <w:t xml:space="preserve"> </w:t>
      </w:r>
      <w:r w:rsidRPr="00181FCD">
        <w:t>instituciones</w:t>
      </w:r>
      <w:r w:rsidR="00F373A3" w:rsidRPr="00181FCD">
        <w:t xml:space="preserve"> </w:t>
      </w:r>
      <w:r w:rsidRPr="00181FCD">
        <w:t>competentes</w:t>
      </w:r>
      <w:r w:rsidR="00F373A3" w:rsidRPr="00181FCD">
        <w:t xml:space="preserve"> </w:t>
      </w:r>
      <w:r w:rsidRPr="00181FCD">
        <w:t>se</w:t>
      </w:r>
      <w:r w:rsidR="00F373A3" w:rsidRPr="00181FCD">
        <w:t xml:space="preserve"> </w:t>
      </w:r>
      <w:r w:rsidRPr="00181FCD">
        <w:t>lleva</w:t>
      </w:r>
      <w:r w:rsidR="00F373A3" w:rsidRPr="00181FCD">
        <w:t xml:space="preserve"> </w:t>
      </w:r>
      <w:r w:rsidRPr="00181FCD">
        <w:t>a</w:t>
      </w:r>
      <w:r w:rsidR="00F373A3" w:rsidRPr="00181FCD">
        <w:t xml:space="preserve"> </w:t>
      </w:r>
      <w:r w:rsidRPr="00181FCD">
        <w:t>cabo</w:t>
      </w:r>
      <w:r w:rsidR="00F373A3" w:rsidRPr="00181FCD">
        <w:t xml:space="preserve"> </w:t>
      </w:r>
      <w:r w:rsidRPr="00181FCD">
        <w:t>en</w:t>
      </w:r>
      <w:r w:rsidR="00F373A3" w:rsidRPr="00181FCD">
        <w:t xml:space="preserve"> </w:t>
      </w:r>
      <w:r w:rsidRPr="00181FCD">
        <w:t>cumplimiento</w:t>
      </w:r>
      <w:r w:rsidR="00F373A3" w:rsidRPr="00181FCD">
        <w:t xml:space="preserve"> </w:t>
      </w:r>
      <w:r w:rsidRPr="00181FCD">
        <w:t>de</w:t>
      </w:r>
      <w:r w:rsidR="00F373A3" w:rsidRPr="00181FCD">
        <w:t xml:space="preserve"> </w:t>
      </w:r>
      <w:r w:rsidRPr="00181FCD">
        <w:t>la</w:t>
      </w:r>
      <w:r w:rsidR="00F373A3" w:rsidRPr="00181FCD">
        <w:t xml:space="preserve"> </w:t>
      </w:r>
      <w:r w:rsidRPr="00181FCD">
        <w:t>legislación</w:t>
      </w:r>
      <w:r w:rsidR="00F373A3" w:rsidRPr="00181FCD">
        <w:t xml:space="preserve"> </w:t>
      </w:r>
      <w:r w:rsidRPr="00181FCD">
        <w:t>nacional</w:t>
      </w:r>
      <w:r w:rsidR="00F373A3" w:rsidRPr="00181FCD">
        <w:t xml:space="preserve"> </w:t>
      </w:r>
      <w:r w:rsidRPr="00181FCD">
        <w:t>en</w:t>
      </w:r>
      <w:r w:rsidR="00F373A3" w:rsidRPr="00181FCD">
        <w:t xml:space="preserve"> </w:t>
      </w:r>
      <w:r w:rsidRPr="00181FCD">
        <w:t>vigor,</w:t>
      </w:r>
      <w:r w:rsidR="00F373A3" w:rsidRPr="00181FCD">
        <w:t xml:space="preserve"> </w:t>
      </w:r>
      <w:r w:rsidRPr="00181FCD">
        <w:t>y</w:t>
      </w:r>
      <w:r w:rsidR="00F373A3" w:rsidRPr="00181FCD">
        <w:t xml:space="preserve"> </w:t>
      </w:r>
      <w:r w:rsidRPr="00181FCD">
        <w:t>es</w:t>
      </w:r>
      <w:r w:rsidR="00F373A3" w:rsidRPr="00181FCD">
        <w:t xml:space="preserve"> </w:t>
      </w:r>
      <w:r w:rsidRPr="00181FCD">
        <w:t>plenamente</w:t>
      </w:r>
      <w:r w:rsidR="00F373A3" w:rsidRPr="00181FCD">
        <w:t xml:space="preserve"> </w:t>
      </w:r>
      <w:r w:rsidRPr="00181FCD">
        <w:t>conforme</w:t>
      </w:r>
      <w:r w:rsidR="00F373A3" w:rsidRPr="00181FCD">
        <w:t xml:space="preserve"> </w:t>
      </w:r>
      <w:r w:rsidRPr="00181FCD">
        <w:t>con</w:t>
      </w:r>
      <w:r w:rsidR="00F373A3" w:rsidRPr="00181FCD">
        <w:t xml:space="preserve"> </w:t>
      </w:r>
      <w:r w:rsidRPr="00181FCD">
        <w:t>la</w:t>
      </w:r>
      <w:r w:rsidR="00F373A3" w:rsidRPr="00181FCD">
        <w:t xml:space="preserve"> </w:t>
      </w:r>
      <w:r w:rsidRPr="00181FCD">
        <w:t>legislación</w:t>
      </w:r>
      <w:r w:rsidR="00F373A3" w:rsidRPr="00181FCD">
        <w:t xml:space="preserve"> </w:t>
      </w:r>
      <w:r w:rsidRPr="00181FCD">
        <w:t>de</w:t>
      </w:r>
      <w:r w:rsidR="00F373A3" w:rsidRPr="00181FCD">
        <w:t xml:space="preserve"> </w:t>
      </w:r>
      <w:r w:rsidRPr="00181FCD">
        <w:t>la</w:t>
      </w:r>
      <w:r w:rsidR="00F373A3" w:rsidRPr="00181FCD">
        <w:t xml:space="preserve"> </w:t>
      </w:r>
      <w:r w:rsidRPr="00181FCD">
        <w:t>Unión</w:t>
      </w:r>
      <w:r w:rsidR="00F373A3" w:rsidRPr="00181FCD">
        <w:t xml:space="preserve"> </w:t>
      </w:r>
      <w:r w:rsidRPr="00181FCD">
        <w:t>Europea</w:t>
      </w:r>
      <w:r w:rsidR="00F373A3" w:rsidRPr="00181FCD">
        <w:t xml:space="preserve"> </w:t>
      </w:r>
      <w:r w:rsidRPr="00181FCD">
        <w:t>y</w:t>
      </w:r>
      <w:r w:rsidR="00F373A3" w:rsidRPr="00181FCD">
        <w:t xml:space="preserve"> </w:t>
      </w:r>
      <w:r w:rsidRPr="00181FCD">
        <w:t>los</w:t>
      </w:r>
      <w:r w:rsidR="00F373A3" w:rsidRPr="00181FCD">
        <w:t xml:space="preserve"> </w:t>
      </w:r>
      <w:r w:rsidRPr="00181FCD">
        <w:t>instrumentos</w:t>
      </w:r>
      <w:r w:rsidR="00F373A3" w:rsidRPr="00181FCD">
        <w:t xml:space="preserve"> </w:t>
      </w:r>
      <w:r w:rsidRPr="00181FCD">
        <w:t>jurídicos</w:t>
      </w:r>
      <w:r w:rsidR="00F373A3" w:rsidRPr="00181FCD">
        <w:t xml:space="preserve"> </w:t>
      </w:r>
      <w:r w:rsidRPr="00181FCD">
        <w:t>internacionales</w:t>
      </w:r>
      <w:r w:rsidR="00F373A3" w:rsidRPr="00181FCD">
        <w:t xml:space="preserve"> </w:t>
      </w:r>
      <w:r w:rsidRPr="00181FCD">
        <w:t>en</w:t>
      </w:r>
      <w:r w:rsidR="00F373A3" w:rsidRPr="00181FCD">
        <w:t xml:space="preserve"> </w:t>
      </w:r>
      <w:r w:rsidRPr="00181FCD">
        <w:t>los</w:t>
      </w:r>
      <w:r w:rsidR="00F373A3" w:rsidRPr="00181FCD">
        <w:t xml:space="preserve"> </w:t>
      </w:r>
      <w:r w:rsidRPr="00181FCD">
        <w:t>que</w:t>
      </w:r>
      <w:r w:rsidR="00F373A3" w:rsidRPr="00181FCD">
        <w:t xml:space="preserve"> </w:t>
      </w:r>
      <w:r w:rsidRPr="00181FCD">
        <w:t>Bulgaria</w:t>
      </w:r>
      <w:r w:rsidR="00F373A3" w:rsidRPr="00181FCD">
        <w:t xml:space="preserve"> </w:t>
      </w:r>
      <w:r w:rsidRPr="00181FCD">
        <w:t>es</w:t>
      </w:r>
      <w:r w:rsidR="00F373A3" w:rsidRPr="00181FCD">
        <w:t xml:space="preserve"> </w:t>
      </w:r>
      <w:r w:rsidRPr="00181FCD">
        <w:t>parte.</w:t>
      </w:r>
    </w:p>
    <w:p w:rsidR="001937F4" w:rsidRPr="00181FCD" w:rsidRDefault="001937F4" w:rsidP="00347B20">
      <w:pPr>
        <w:pStyle w:val="SingleTxtG"/>
        <w:suppressAutoHyphens/>
      </w:pPr>
      <w:r w:rsidRPr="00181FCD">
        <w:t>102.</w:t>
      </w:r>
      <w:r w:rsidRPr="00181FCD">
        <w:tab/>
        <w:t>Desde</w:t>
      </w:r>
      <w:r w:rsidR="00F373A3" w:rsidRPr="00181FCD">
        <w:t xml:space="preserve"> </w:t>
      </w:r>
      <w:r w:rsidRPr="00181FCD">
        <w:t>el</w:t>
      </w:r>
      <w:r w:rsidR="00F373A3" w:rsidRPr="00181FCD">
        <w:t xml:space="preserve"> </w:t>
      </w:r>
      <w:r w:rsidRPr="00181FCD">
        <w:t>verano</w:t>
      </w:r>
      <w:r w:rsidR="00F373A3" w:rsidRPr="00181FCD">
        <w:t xml:space="preserve"> </w:t>
      </w:r>
      <w:r w:rsidRPr="00181FCD">
        <w:t>de</w:t>
      </w:r>
      <w:r w:rsidR="00F373A3" w:rsidRPr="00181FCD">
        <w:t xml:space="preserve"> </w:t>
      </w:r>
      <w:r w:rsidRPr="00181FCD">
        <w:t>2013</w:t>
      </w:r>
      <w:r w:rsidR="00F373A3" w:rsidRPr="00181FCD">
        <w:t xml:space="preserve"> </w:t>
      </w:r>
      <w:r w:rsidRPr="00181FCD">
        <w:t>Bulgaria</w:t>
      </w:r>
      <w:r w:rsidR="00F373A3" w:rsidRPr="00181FCD">
        <w:t xml:space="preserve"> </w:t>
      </w:r>
      <w:r w:rsidRPr="00181FCD">
        <w:t>hace</w:t>
      </w:r>
      <w:r w:rsidR="00F373A3" w:rsidRPr="00181FCD">
        <w:t xml:space="preserve"> </w:t>
      </w:r>
      <w:r w:rsidRPr="00181FCD">
        <w:t>frente</w:t>
      </w:r>
      <w:r w:rsidR="00F373A3" w:rsidRPr="00181FCD">
        <w:t xml:space="preserve"> </w:t>
      </w:r>
      <w:r w:rsidRPr="00181FCD">
        <w:t>a</w:t>
      </w:r>
      <w:r w:rsidR="00F373A3" w:rsidRPr="00181FCD">
        <w:t xml:space="preserve"> </w:t>
      </w:r>
      <w:r w:rsidRPr="00181FCD">
        <w:t>un</w:t>
      </w:r>
      <w:r w:rsidR="00F373A3" w:rsidRPr="00181FCD">
        <w:t xml:space="preserve"> </w:t>
      </w:r>
      <w:r w:rsidRPr="00181FCD">
        <w:t>aumento</w:t>
      </w:r>
      <w:r w:rsidR="00F373A3" w:rsidRPr="00181FCD">
        <w:t xml:space="preserve"> </w:t>
      </w:r>
      <w:r w:rsidRPr="00181FCD">
        <w:t>de</w:t>
      </w:r>
      <w:r w:rsidR="00F373A3" w:rsidRPr="00181FCD">
        <w:t xml:space="preserve"> </w:t>
      </w:r>
      <w:r w:rsidRPr="00181FCD">
        <w:t>la</w:t>
      </w:r>
      <w:r w:rsidR="00F373A3" w:rsidRPr="00181FCD">
        <w:t xml:space="preserve"> </w:t>
      </w:r>
      <w:r w:rsidRPr="00181FCD">
        <w:t>presión</w:t>
      </w:r>
      <w:r w:rsidR="00F373A3" w:rsidRPr="00181FCD">
        <w:t xml:space="preserve"> </w:t>
      </w:r>
      <w:r w:rsidRPr="00181FCD">
        <w:t>de</w:t>
      </w:r>
      <w:r w:rsidR="00F373A3" w:rsidRPr="00181FCD">
        <w:t xml:space="preserve"> </w:t>
      </w:r>
      <w:r w:rsidRPr="00181FCD">
        <w:t>flujos</w:t>
      </w:r>
      <w:r w:rsidR="00F373A3" w:rsidRPr="00181FCD">
        <w:t xml:space="preserve"> </w:t>
      </w:r>
      <w:r w:rsidRPr="00181FCD">
        <w:t>migratorios</w:t>
      </w:r>
      <w:r w:rsidR="00F373A3" w:rsidRPr="00181FCD">
        <w:t xml:space="preserve"> </w:t>
      </w:r>
      <w:r w:rsidRPr="00181FCD">
        <w:t>mixtos,</w:t>
      </w:r>
      <w:r w:rsidR="00F373A3" w:rsidRPr="00181FCD">
        <w:t xml:space="preserve"> </w:t>
      </w:r>
      <w:r w:rsidRPr="00181FCD">
        <w:t>a</w:t>
      </w:r>
      <w:r w:rsidR="00F373A3" w:rsidRPr="00181FCD">
        <w:t xml:space="preserve"> </w:t>
      </w:r>
      <w:r w:rsidRPr="00181FCD">
        <w:t>raíz</w:t>
      </w:r>
      <w:r w:rsidR="00F373A3" w:rsidRPr="00181FCD">
        <w:t xml:space="preserve"> </w:t>
      </w:r>
      <w:r w:rsidRPr="00181FCD">
        <w:t>de</w:t>
      </w:r>
      <w:r w:rsidR="00F373A3" w:rsidRPr="00181FCD">
        <w:t xml:space="preserve"> </w:t>
      </w:r>
      <w:r w:rsidRPr="00181FCD">
        <w:t>la</w:t>
      </w:r>
      <w:r w:rsidR="00F373A3" w:rsidRPr="00181FCD">
        <w:t xml:space="preserve"> </w:t>
      </w:r>
      <w:r w:rsidRPr="00181FCD">
        <w:t>crisis</w:t>
      </w:r>
      <w:r w:rsidR="00F373A3" w:rsidRPr="00181FCD">
        <w:t xml:space="preserve"> </w:t>
      </w:r>
      <w:r w:rsidRPr="00181FCD">
        <w:t>en</w:t>
      </w:r>
      <w:r w:rsidR="00F373A3" w:rsidRPr="00181FCD">
        <w:t xml:space="preserve"> </w:t>
      </w:r>
      <w:r w:rsidRPr="00181FCD">
        <w:t>Siria.</w:t>
      </w:r>
      <w:r w:rsidR="00F373A3" w:rsidRPr="00181FCD">
        <w:t xml:space="preserve"> </w:t>
      </w:r>
      <w:r w:rsidRPr="00181FCD">
        <w:t>Como</w:t>
      </w:r>
      <w:r w:rsidR="00F373A3" w:rsidRPr="00181FCD">
        <w:t xml:space="preserve"> </w:t>
      </w:r>
      <w:r w:rsidRPr="00181FCD">
        <w:t>resultado</w:t>
      </w:r>
      <w:r w:rsidR="00F373A3" w:rsidRPr="00181FCD">
        <w:t xml:space="preserve"> </w:t>
      </w:r>
      <w:r w:rsidRPr="00181FCD">
        <w:t>del</w:t>
      </w:r>
      <w:r w:rsidR="00F373A3" w:rsidRPr="00181FCD">
        <w:t xml:space="preserve"> </w:t>
      </w:r>
      <w:r w:rsidRPr="00181FCD">
        <w:t>marcado</w:t>
      </w:r>
      <w:r w:rsidR="00F373A3" w:rsidRPr="00181FCD">
        <w:t xml:space="preserve"> </w:t>
      </w:r>
      <w:r w:rsidRPr="00181FCD">
        <w:t>incremento</w:t>
      </w:r>
      <w:r w:rsidR="00F373A3" w:rsidRPr="00181FCD">
        <w:t xml:space="preserve"> </w:t>
      </w:r>
      <w:r w:rsidRPr="00181FCD">
        <w:t>de</w:t>
      </w:r>
      <w:r w:rsidR="00F373A3" w:rsidRPr="00181FCD">
        <w:t xml:space="preserve"> </w:t>
      </w:r>
      <w:r w:rsidRPr="00181FCD">
        <w:t>la</w:t>
      </w:r>
      <w:r w:rsidR="00F373A3" w:rsidRPr="00181FCD">
        <w:t xml:space="preserve"> </w:t>
      </w:r>
      <w:r w:rsidRPr="00181FCD">
        <w:t>corriente</w:t>
      </w:r>
      <w:r w:rsidR="00F373A3" w:rsidRPr="00181FCD">
        <w:t xml:space="preserve"> </w:t>
      </w:r>
      <w:r w:rsidRPr="00181FCD">
        <w:t>de</w:t>
      </w:r>
      <w:r w:rsidR="00F373A3" w:rsidRPr="00181FCD">
        <w:t xml:space="preserve"> </w:t>
      </w:r>
      <w:r w:rsidRPr="00181FCD">
        <w:t>refugiados</w:t>
      </w:r>
      <w:r w:rsidR="00F373A3" w:rsidRPr="00181FCD">
        <w:t xml:space="preserve"> </w:t>
      </w:r>
      <w:r w:rsidRPr="00181FCD">
        <w:t>a</w:t>
      </w:r>
      <w:r w:rsidR="00F373A3" w:rsidRPr="00181FCD">
        <w:t xml:space="preserve"> </w:t>
      </w:r>
      <w:r w:rsidRPr="00181FCD">
        <w:t>finales</w:t>
      </w:r>
      <w:r w:rsidR="00F373A3" w:rsidRPr="00181FCD">
        <w:t xml:space="preserve"> </w:t>
      </w:r>
      <w:r w:rsidRPr="00181FCD">
        <w:t>de</w:t>
      </w:r>
      <w:r w:rsidR="00F373A3" w:rsidRPr="00181FCD">
        <w:t xml:space="preserve"> </w:t>
      </w:r>
      <w:r w:rsidRPr="00181FCD">
        <w:t>2013,</w:t>
      </w:r>
      <w:r w:rsidR="00F373A3" w:rsidRPr="00181FCD">
        <w:t xml:space="preserve"> </w:t>
      </w:r>
      <w:r w:rsidRPr="00181FCD">
        <w:t>se</w:t>
      </w:r>
      <w:r w:rsidR="00F373A3" w:rsidRPr="00181FCD">
        <w:t xml:space="preserve"> </w:t>
      </w:r>
      <w:r w:rsidRPr="00181FCD">
        <w:t>suscribió</w:t>
      </w:r>
      <w:r w:rsidR="00F373A3" w:rsidRPr="00181FCD">
        <w:t xml:space="preserve"> </w:t>
      </w:r>
      <w:r w:rsidRPr="00181FCD">
        <w:t>un</w:t>
      </w:r>
      <w:r w:rsidR="00F373A3" w:rsidRPr="00181FCD">
        <w:t xml:space="preserve"> </w:t>
      </w:r>
      <w:r w:rsidRPr="00181FCD">
        <w:t>plan</w:t>
      </w:r>
      <w:r w:rsidR="00F373A3" w:rsidRPr="00181FCD">
        <w:t xml:space="preserve"> </w:t>
      </w:r>
      <w:r w:rsidRPr="00181FCD">
        <w:t>operativo,</w:t>
      </w:r>
      <w:r w:rsidR="00F373A3" w:rsidRPr="00181FCD">
        <w:t xml:space="preserve"> </w:t>
      </w:r>
      <w:r w:rsidRPr="00181FCD">
        <w:t>en</w:t>
      </w:r>
      <w:r w:rsidR="00F373A3" w:rsidRPr="00181FCD">
        <w:t xml:space="preserve"> </w:t>
      </w:r>
      <w:r w:rsidRPr="00181FCD">
        <w:t>virtud</w:t>
      </w:r>
      <w:r w:rsidR="00F373A3" w:rsidRPr="00181FCD">
        <w:t xml:space="preserve"> </w:t>
      </w:r>
      <w:r w:rsidRPr="00181FCD">
        <w:t>del</w:t>
      </w:r>
      <w:r w:rsidR="00F373A3" w:rsidRPr="00181FCD">
        <w:t xml:space="preserve"> </w:t>
      </w:r>
      <w:r w:rsidRPr="00181FCD">
        <w:t>cual</w:t>
      </w:r>
      <w:r w:rsidR="00F373A3" w:rsidRPr="00181FCD">
        <w:t xml:space="preserve"> </w:t>
      </w:r>
      <w:r w:rsidRPr="00181FCD">
        <w:t>la</w:t>
      </w:r>
      <w:r w:rsidR="00F373A3" w:rsidRPr="00181FCD">
        <w:t xml:space="preserve"> </w:t>
      </w:r>
      <w:r w:rsidRPr="00181FCD">
        <w:t>Oficina</w:t>
      </w:r>
      <w:r w:rsidR="00F373A3" w:rsidRPr="00181FCD">
        <w:t xml:space="preserve"> </w:t>
      </w:r>
      <w:r w:rsidRPr="00181FCD">
        <w:t>Europea</w:t>
      </w:r>
      <w:r w:rsidR="00F373A3" w:rsidRPr="00181FCD">
        <w:t xml:space="preserve"> </w:t>
      </w:r>
      <w:r w:rsidRPr="00181FCD">
        <w:t>de</w:t>
      </w:r>
      <w:r w:rsidR="00F373A3" w:rsidRPr="00181FCD">
        <w:t xml:space="preserve"> </w:t>
      </w:r>
      <w:r w:rsidRPr="00181FCD">
        <w:t>Apoyo</w:t>
      </w:r>
      <w:r w:rsidR="00F373A3" w:rsidRPr="00181FCD">
        <w:t xml:space="preserve"> </w:t>
      </w:r>
      <w:r w:rsidRPr="00181FCD">
        <w:t>al</w:t>
      </w:r>
      <w:r w:rsidR="00F373A3" w:rsidRPr="00181FCD">
        <w:t xml:space="preserve"> </w:t>
      </w:r>
      <w:r w:rsidRPr="00181FCD">
        <w:t>Asilo</w:t>
      </w:r>
      <w:r w:rsidR="00F373A3" w:rsidRPr="00181FCD">
        <w:t xml:space="preserve"> </w:t>
      </w:r>
      <w:r w:rsidRPr="00181FCD">
        <w:t>proporciona</w:t>
      </w:r>
      <w:r w:rsidR="00F373A3" w:rsidRPr="00181FCD">
        <w:t xml:space="preserve"> </w:t>
      </w:r>
      <w:r w:rsidRPr="00181FCD">
        <w:t>a</w:t>
      </w:r>
      <w:r w:rsidR="00F373A3" w:rsidRPr="00181FCD">
        <w:t xml:space="preserve"> </w:t>
      </w:r>
      <w:r w:rsidRPr="00181FCD">
        <w:t>Bulgaria</w:t>
      </w:r>
      <w:r w:rsidR="00F373A3" w:rsidRPr="00181FCD">
        <w:t xml:space="preserve"> </w:t>
      </w:r>
      <w:r w:rsidRPr="00181FCD">
        <w:t>asistencia</w:t>
      </w:r>
      <w:r w:rsidR="00F373A3" w:rsidRPr="00181FCD">
        <w:t xml:space="preserve"> </w:t>
      </w:r>
      <w:r w:rsidRPr="00181FCD">
        <w:t>especializada,</w:t>
      </w:r>
      <w:r w:rsidR="00F373A3" w:rsidRPr="00181FCD">
        <w:t xml:space="preserve"> </w:t>
      </w:r>
      <w:r w:rsidRPr="00181FCD">
        <w:t>técnica</w:t>
      </w:r>
      <w:r w:rsidR="00F373A3" w:rsidRPr="00181FCD">
        <w:t xml:space="preserve"> </w:t>
      </w:r>
      <w:r w:rsidRPr="00181FCD">
        <w:t>y</w:t>
      </w:r>
      <w:r w:rsidR="00F373A3" w:rsidRPr="00181FCD">
        <w:t xml:space="preserve"> </w:t>
      </w:r>
      <w:r w:rsidRPr="00181FCD">
        <w:t>operativa.</w:t>
      </w:r>
      <w:r w:rsidR="00F373A3" w:rsidRPr="00181FCD">
        <w:t xml:space="preserve"> </w:t>
      </w:r>
      <w:r w:rsidRPr="00181FCD">
        <w:t>La</w:t>
      </w:r>
      <w:r w:rsidR="00F373A3" w:rsidRPr="00181FCD">
        <w:t xml:space="preserve"> </w:t>
      </w:r>
      <w:r w:rsidRPr="00181FCD">
        <w:t>ayuda</w:t>
      </w:r>
      <w:r w:rsidR="00F373A3" w:rsidRPr="00181FCD">
        <w:t xml:space="preserve"> </w:t>
      </w:r>
      <w:r w:rsidRPr="00181FCD">
        <w:t>financiera</w:t>
      </w:r>
      <w:r w:rsidR="00F373A3" w:rsidRPr="00181FCD">
        <w:t xml:space="preserve"> </w:t>
      </w:r>
      <w:r w:rsidRPr="00181FCD">
        <w:t>se</w:t>
      </w:r>
      <w:r w:rsidR="00F373A3" w:rsidRPr="00181FCD">
        <w:t xml:space="preserve"> </w:t>
      </w:r>
      <w:r w:rsidRPr="00181FCD">
        <w:t>destina</w:t>
      </w:r>
      <w:r w:rsidR="00F373A3" w:rsidRPr="00181FCD">
        <w:t xml:space="preserve"> </w:t>
      </w:r>
      <w:r w:rsidRPr="00181FCD">
        <w:t>aumentar</w:t>
      </w:r>
      <w:r w:rsidR="00F373A3" w:rsidRPr="00181FCD">
        <w:t xml:space="preserve"> </w:t>
      </w:r>
      <w:r w:rsidRPr="00181FCD">
        <w:t>la</w:t>
      </w:r>
      <w:r w:rsidR="00F373A3" w:rsidRPr="00181FCD">
        <w:t xml:space="preserve"> </w:t>
      </w:r>
      <w:r w:rsidRPr="00181FCD">
        <w:t>capacidad</w:t>
      </w:r>
      <w:r w:rsidR="00F373A3" w:rsidRPr="00181FCD">
        <w:t xml:space="preserve"> </w:t>
      </w:r>
      <w:r w:rsidRPr="00181FCD">
        <w:t>de</w:t>
      </w:r>
      <w:r w:rsidR="00F373A3" w:rsidRPr="00181FCD">
        <w:t xml:space="preserve"> </w:t>
      </w:r>
      <w:r w:rsidRPr="00181FCD">
        <w:t>los</w:t>
      </w:r>
      <w:r w:rsidR="00F373A3" w:rsidRPr="00181FCD">
        <w:t xml:space="preserve"> </w:t>
      </w:r>
      <w:r w:rsidRPr="00181FCD">
        <w:t>centros</w:t>
      </w:r>
      <w:r w:rsidR="00F373A3" w:rsidRPr="00181FCD">
        <w:t xml:space="preserve"> </w:t>
      </w:r>
      <w:r w:rsidRPr="00181FCD">
        <w:t>de</w:t>
      </w:r>
      <w:r w:rsidR="00F373A3" w:rsidRPr="00181FCD">
        <w:t xml:space="preserve"> </w:t>
      </w:r>
      <w:r w:rsidRPr="00181FCD">
        <w:t>acogida,</w:t>
      </w:r>
      <w:r w:rsidR="00F373A3" w:rsidRPr="00181FCD">
        <w:t xml:space="preserve"> </w:t>
      </w:r>
      <w:r w:rsidRPr="00181FCD">
        <w:t>mejorar</w:t>
      </w:r>
      <w:r w:rsidR="00F373A3" w:rsidRPr="00181FCD">
        <w:t xml:space="preserve"> </w:t>
      </w:r>
      <w:r w:rsidRPr="00181FCD">
        <w:t>la</w:t>
      </w:r>
      <w:r w:rsidR="00F373A3" w:rsidRPr="00181FCD">
        <w:t xml:space="preserve"> </w:t>
      </w:r>
      <w:r w:rsidRPr="00181FCD">
        <w:t>adaptación</w:t>
      </w:r>
      <w:r w:rsidR="00F373A3" w:rsidRPr="00181FCD">
        <w:t xml:space="preserve"> </w:t>
      </w:r>
      <w:r w:rsidRPr="00181FCD">
        <w:t>inicial</w:t>
      </w:r>
      <w:r w:rsidR="00F373A3" w:rsidRPr="00181FCD">
        <w:t xml:space="preserve"> </w:t>
      </w:r>
      <w:r w:rsidRPr="00181FCD">
        <w:t>de</w:t>
      </w:r>
      <w:r w:rsidR="00F373A3" w:rsidRPr="00181FCD">
        <w:t xml:space="preserve"> </w:t>
      </w:r>
      <w:r w:rsidRPr="00181FCD">
        <w:t>los</w:t>
      </w:r>
      <w:r w:rsidR="00F373A3" w:rsidRPr="00181FCD">
        <w:t xml:space="preserve"> </w:t>
      </w:r>
      <w:r w:rsidRPr="00181FCD">
        <w:t>solicitantes</w:t>
      </w:r>
      <w:r w:rsidR="00F373A3" w:rsidRPr="00181FCD">
        <w:t xml:space="preserve"> </w:t>
      </w:r>
      <w:r w:rsidRPr="00181FCD">
        <w:t>de</w:t>
      </w:r>
      <w:r w:rsidR="00F373A3" w:rsidRPr="00181FCD">
        <w:t xml:space="preserve"> </w:t>
      </w:r>
      <w:r w:rsidRPr="00181FCD">
        <w:t>asilo,</w:t>
      </w:r>
      <w:r w:rsidR="00F373A3" w:rsidRPr="00181FCD">
        <w:t xml:space="preserve"> </w:t>
      </w:r>
      <w:r w:rsidRPr="00181FCD">
        <w:t>y</w:t>
      </w:r>
      <w:r w:rsidR="00F373A3" w:rsidRPr="00181FCD">
        <w:t xml:space="preserve"> </w:t>
      </w:r>
      <w:r w:rsidRPr="00181FCD">
        <w:t>atender</w:t>
      </w:r>
      <w:r w:rsidR="00F373A3" w:rsidRPr="00181FCD">
        <w:t xml:space="preserve"> </w:t>
      </w:r>
      <w:r w:rsidRPr="00181FCD">
        <w:t>al</w:t>
      </w:r>
      <w:r w:rsidR="00F373A3" w:rsidRPr="00181FCD">
        <w:t xml:space="preserve"> </w:t>
      </w:r>
      <w:r w:rsidRPr="00181FCD">
        <w:t>nivel</w:t>
      </w:r>
      <w:r w:rsidR="00F373A3" w:rsidRPr="00181FCD">
        <w:t xml:space="preserve"> </w:t>
      </w:r>
      <w:r w:rsidRPr="00181FCD">
        <w:t>mínimo</w:t>
      </w:r>
      <w:r w:rsidR="00F373A3" w:rsidRPr="00181FCD">
        <w:t xml:space="preserve"> </w:t>
      </w:r>
      <w:r w:rsidRPr="00181FCD">
        <w:t>de</w:t>
      </w:r>
      <w:r w:rsidR="00F373A3" w:rsidRPr="00181FCD">
        <w:t xml:space="preserve"> </w:t>
      </w:r>
      <w:r w:rsidRPr="00181FCD">
        <w:t>las</w:t>
      </w:r>
      <w:r w:rsidR="00F373A3" w:rsidRPr="00181FCD">
        <w:t xml:space="preserve"> </w:t>
      </w:r>
      <w:r w:rsidRPr="00181FCD">
        <w:t>condiciones</w:t>
      </w:r>
      <w:r w:rsidR="00F373A3" w:rsidRPr="00181FCD">
        <w:t xml:space="preserve"> </w:t>
      </w:r>
      <w:r w:rsidRPr="00181FCD">
        <w:t>de</w:t>
      </w:r>
      <w:r w:rsidR="00F373A3" w:rsidRPr="00181FCD">
        <w:t xml:space="preserve"> </w:t>
      </w:r>
      <w:r w:rsidRPr="00181FCD">
        <w:t>vida</w:t>
      </w:r>
      <w:r w:rsidR="00F373A3" w:rsidRPr="00181FCD">
        <w:t xml:space="preserve"> </w:t>
      </w:r>
      <w:r w:rsidRPr="00181FCD">
        <w:t>establecidas</w:t>
      </w:r>
      <w:r w:rsidR="00F373A3" w:rsidRPr="00181FCD">
        <w:t xml:space="preserve"> </w:t>
      </w:r>
      <w:r w:rsidRPr="00181FCD">
        <w:t>por</w:t>
      </w:r>
      <w:r w:rsidR="00672EC2" w:rsidRPr="00181FCD">
        <w:t xml:space="preserve"> </w:t>
      </w:r>
      <w:r w:rsidRPr="00181FCD">
        <w:t>la</w:t>
      </w:r>
      <w:r w:rsidR="00F373A3" w:rsidRPr="00181FCD">
        <w:t xml:space="preserve"> </w:t>
      </w:r>
      <w:r w:rsidRPr="00181FCD">
        <w:t>Unión</w:t>
      </w:r>
      <w:r w:rsidR="00F373A3" w:rsidRPr="00181FCD">
        <w:t xml:space="preserve"> </w:t>
      </w:r>
      <w:r w:rsidRPr="00181FCD">
        <w:t>Europea</w:t>
      </w:r>
      <w:r w:rsidR="00F373A3" w:rsidRPr="00181FCD">
        <w:t xml:space="preserve"> </w:t>
      </w:r>
      <w:r w:rsidRPr="00181FCD">
        <w:t>y</w:t>
      </w:r>
      <w:r w:rsidR="00F373A3" w:rsidRPr="00181FCD">
        <w:t xml:space="preserve"> </w:t>
      </w:r>
      <w:r w:rsidRPr="00181FCD">
        <w:t>las</w:t>
      </w:r>
      <w:r w:rsidR="00F373A3" w:rsidRPr="00181FCD">
        <w:t xml:space="preserve"> </w:t>
      </w:r>
      <w:r w:rsidRPr="00181FCD">
        <w:t>Naciones</w:t>
      </w:r>
      <w:r w:rsidR="00F373A3" w:rsidRPr="00181FCD">
        <w:t xml:space="preserve"> </w:t>
      </w:r>
      <w:r w:rsidRPr="00181FCD">
        <w:t>Unidas</w:t>
      </w:r>
      <w:r w:rsidR="00F373A3" w:rsidRPr="00181FCD">
        <w:t xml:space="preserve"> </w:t>
      </w:r>
      <w:r w:rsidRPr="00181FCD">
        <w:t>en</w:t>
      </w:r>
      <w:r w:rsidR="00F373A3" w:rsidRPr="00181FCD">
        <w:t xml:space="preserve"> </w:t>
      </w:r>
      <w:r w:rsidRPr="00181FCD">
        <w:t>el</w:t>
      </w:r>
      <w:r w:rsidR="00F373A3" w:rsidRPr="00181FCD">
        <w:t xml:space="preserve"> </w:t>
      </w:r>
      <w:r w:rsidRPr="00181FCD">
        <w:t>Centro</w:t>
      </w:r>
      <w:r w:rsidR="00F373A3" w:rsidRPr="00181FCD">
        <w:t xml:space="preserve"> </w:t>
      </w:r>
      <w:r w:rsidRPr="00181FCD">
        <w:t>Regional</w:t>
      </w:r>
      <w:r w:rsidR="00F373A3" w:rsidRPr="00181FCD">
        <w:t xml:space="preserve"> </w:t>
      </w:r>
      <w:r w:rsidRPr="00181FCD">
        <w:t>de</w:t>
      </w:r>
      <w:r w:rsidR="00F373A3" w:rsidRPr="00181FCD">
        <w:t xml:space="preserve"> </w:t>
      </w:r>
      <w:r w:rsidRPr="00181FCD">
        <w:t>Refugiados,</w:t>
      </w:r>
      <w:r w:rsidR="00F373A3" w:rsidRPr="00181FCD">
        <w:t xml:space="preserve"> </w:t>
      </w:r>
      <w:r w:rsidRPr="00181FCD">
        <w:t>fundado</w:t>
      </w:r>
      <w:r w:rsidR="00F373A3" w:rsidRPr="00181FCD">
        <w:t xml:space="preserve"> </w:t>
      </w:r>
      <w:r w:rsidRPr="00181FCD">
        <w:t>recientemente.</w:t>
      </w:r>
      <w:r w:rsidR="00F373A3" w:rsidRPr="00181FCD">
        <w:t xml:space="preserve"> </w:t>
      </w:r>
      <w:r w:rsidRPr="00181FCD">
        <w:t>En</w:t>
      </w:r>
      <w:r w:rsidR="00F373A3" w:rsidRPr="00181FCD">
        <w:t xml:space="preserve"> </w:t>
      </w:r>
      <w:r w:rsidRPr="00181FCD">
        <w:t>2014,</w:t>
      </w:r>
      <w:r w:rsidR="00F373A3" w:rsidRPr="00181FCD">
        <w:t xml:space="preserve"> </w:t>
      </w:r>
      <w:r w:rsidRPr="00181FCD">
        <w:t>la</w:t>
      </w:r>
      <w:r w:rsidR="00F373A3" w:rsidRPr="00181FCD">
        <w:t xml:space="preserve"> </w:t>
      </w:r>
      <w:r w:rsidRPr="00181FCD">
        <w:t>Agencia</w:t>
      </w:r>
      <w:r w:rsidR="00F373A3" w:rsidRPr="00181FCD">
        <w:t xml:space="preserve"> </w:t>
      </w:r>
      <w:r w:rsidRPr="00181FCD">
        <w:t>Estatal</w:t>
      </w:r>
      <w:r w:rsidR="00F373A3" w:rsidRPr="00181FCD">
        <w:t xml:space="preserve"> </w:t>
      </w:r>
      <w:r w:rsidRPr="00181FCD">
        <w:t>para</w:t>
      </w:r>
      <w:r w:rsidR="00F373A3" w:rsidRPr="00181FCD">
        <w:t xml:space="preserve"> </w:t>
      </w:r>
      <w:r w:rsidRPr="00181FCD">
        <w:t>los</w:t>
      </w:r>
      <w:r w:rsidR="00F373A3" w:rsidRPr="00181FCD">
        <w:t xml:space="preserve"> </w:t>
      </w:r>
      <w:r w:rsidRPr="00181FCD">
        <w:t>Refugiados</w:t>
      </w:r>
      <w:r w:rsidR="00F373A3" w:rsidRPr="00181FCD">
        <w:t xml:space="preserve"> </w:t>
      </w:r>
      <w:r w:rsidRPr="00181FCD">
        <w:t>otorgó</w:t>
      </w:r>
      <w:r w:rsidR="00F373A3" w:rsidRPr="00181FCD">
        <w:t xml:space="preserve"> </w:t>
      </w:r>
      <w:r w:rsidRPr="00181FCD">
        <w:t>asistencia</w:t>
      </w:r>
      <w:r w:rsidR="00F373A3" w:rsidRPr="00181FCD">
        <w:t xml:space="preserve"> </w:t>
      </w:r>
      <w:r w:rsidRPr="00181FCD">
        <w:t>especial</w:t>
      </w:r>
      <w:r w:rsidR="00F373A3" w:rsidRPr="00181FCD">
        <w:t xml:space="preserve"> </w:t>
      </w:r>
      <w:r w:rsidRPr="00181FCD">
        <w:t>por</w:t>
      </w:r>
      <w:r w:rsidR="00F373A3" w:rsidRPr="00181FCD">
        <w:t xml:space="preserve"> </w:t>
      </w:r>
      <w:r w:rsidRPr="00181FCD">
        <w:t>razones</w:t>
      </w:r>
      <w:r w:rsidR="00F373A3" w:rsidRPr="00181FCD">
        <w:t xml:space="preserve"> </w:t>
      </w:r>
      <w:r w:rsidRPr="00181FCD">
        <w:t>humanitarias</w:t>
      </w:r>
      <w:r w:rsidR="00F373A3" w:rsidRPr="00181FCD">
        <w:t xml:space="preserve"> </w:t>
      </w:r>
      <w:r w:rsidRPr="00181FCD">
        <w:t>a</w:t>
      </w:r>
      <w:r w:rsidR="00F373A3" w:rsidRPr="00181FCD">
        <w:t xml:space="preserve"> </w:t>
      </w:r>
      <w:r w:rsidRPr="00181FCD">
        <w:t>1.838</w:t>
      </w:r>
      <w:r w:rsidR="00F373A3" w:rsidRPr="00181FCD">
        <w:t xml:space="preserve"> </w:t>
      </w:r>
      <w:r w:rsidRPr="00181FCD">
        <w:t>personas</w:t>
      </w:r>
      <w:r w:rsidR="00F373A3" w:rsidRPr="00181FCD">
        <w:t xml:space="preserve"> </w:t>
      </w:r>
      <w:r w:rsidRPr="00181FCD">
        <w:t>y</w:t>
      </w:r>
      <w:r w:rsidR="00F373A3" w:rsidRPr="00181FCD">
        <w:t xml:space="preserve"> </w:t>
      </w:r>
      <w:r w:rsidRPr="00181FCD">
        <w:t>el</w:t>
      </w:r>
      <w:r w:rsidR="00F373A3" w:rsidRPr="00181FCD">
        <w:t xml:space="preserve"> </w:t>
      </w:r>
      <w:r w:rsidRPr="00181FCD">
        <w:t>estatuto</w:t>
      </w:r>
      <w:r w:rsidR="00F373A3" w:rsidRPr="00181FCD">
        <w:t xml:space="preserve"> </w:t>
      </w:r>
      <w:r w:rsidRPr="00181FCD">
        <w:t>de</w:t>
      </w:r>
      <w:r w:rsidR="00F373A3" w:rsidRPr="00181FCD">
        <w:t xml:space="preserve"> </w:t>
      </w:r>
      <w:r w:rsidRPr="00181FCD">
        <w:t>refugiados</w:t>
      </w:r>
      <w:r w:rsidR="00F373A3" w:rsidRPr="00181FCD">
        <w:t xml:space="preserve"> </w:t>
      </w:r>
      <w:r w:rsidRPr="00181FCD">
        <w:t>a</w:t>
      </w:r>
      <w:r w:rsidR="00F373A3" w:rsidRPr="00181FCD">
        <w:t xml:space="preserve"> </w:t>
      </w:r>
      <w:r w:rsidRPr="00181FCD">
        <w:t>5.162</w:t>
      </w:r>
      <w:r w:rsidR="00F373A3" w:rsidRPr="00181FCD">
        <w:t xml:space="preserve"> </w:t>
      </w:r>
      <w:r w:rsidRPr="00181FCD">
        <w:t>individuos.</w:t>
      </w:r>
    </w:p>
    <w:p w:rsidR="001937F4" w:rsidRPr="00181FCD" w:rsidRDefault="001937F4" w:rsidP="00347B20">
      <w:pPr>
        <w:pStyle w:val="SingleTxtG"/>
        <w:suppressAutoHyphens/>
      </w:pPr>
      <w:r w:rsidRPr="00181FCD">
        <w:t>103.</w:t>
      </w:r>
      <w:r w:rsidRPr="00181FCD">
        <w:tab/>
        <w:t>A</w:t>
      </w:r>
      <w:r w:rsidR="00F373A3" w:rsidRPr="00181FCD">
        <w:t xml:space="preserve"> </w:t>
      </w:r>
      <w:r w:rsidRPr="00181FCD">
        <w:t>los</w:t>
      </w:r>
      <w:r w:rsidR="00F373A3" w:rsidRPr="00181FCD">
        <w:t xml:space="preserve"> </w:t>
      </w:r>
      <w:r w:rsidRPr="00181FCD">
        <w:t>fines</w:t>
      </w:r>
      <w:r w:rsidR="00F373A3" w:rsidRPr="00181FCD">
        <w:t xml:space="preserve"> </w:t>
      </w:r>
      <w:r w:rsidRPr="00181FCD">
        <w:t>de</w:t>
      </w:r>
      <w:r w:rsidR="00F373A3" w:rsidRPr="00181FCD">
        <w:t xml:space="preserve"> </w:t>
      </w:r>
      <w:r w:rsidRPr="00181FCD">
        <w:t>consolidar</w:t>
      </w:r>
      <w:r w:rsidR="00F373A3" w:rsidRPr="00181FCD">
        <w:t xml:space="preserve"> </w:t>
      </w:r>
      <w:r w:rsidRPr="00181FCD">
        <w:t>la</w:t>
      </w:r>
      <w:r w:rsidR="00F373A3" w:rsidRPr="00181FCD">
        <w:t xml:space="preserve"> </w:t>
      </w:r>
      <w:r w:rsidRPr="00181FCD">
        <w:t>capacidad</w:t>
      </w:r>
      <w:r w:rsidR="00F373A3" w:rsidRPr="00181FCD">
        <w:t xml:space="preserve"> </w:t>
      </w:r>
      <w:r w:rsidRPr="00181FCD">
        <w:t>administrativa,</w:t>
      </w:r>
      <w:r w:rsidR="00F373A3" w:rsidRPr="00181FCD">
        <w:t xml:space="preserve"> </w:t>
      </w:r>
      <w:r w:rsidRPr="00181FCD">
        <w:t>mejorar</w:t>
      </w:r>
      <w:r w:rsidR="00F373A3" w:rsidRPr="00181FCD">
        <w:t xml:space="preserve"> </w:t>
      </w:r>
      <w:r w:rsidRPr="00181FCD">
        <w:t>la</w:t>
      </w:r>
      <w:r w:rsidR="00F373A3" w:rsidRPr="00181FCD">
        <w:t xml:space="preserve"> </w:t>
      </w:r>
      <w:r w:rsidRPr="00181FCD">
        <w:t>eficiencia</w:t>
      </w:r>
      <w:r w:rsidR="00F373A3" w:rsidRPr="00181FCD">
        <w:t xml:space="preserve"> </w:t>
      </w:r>
      <w:r w:rsidRPr="00181FCD">
        <w:t>y</w:t>
      </w:r>
      <w:r w:rsidR="00F373A3" w:rsidRPr="00181FCD">
        <w:t xml:space="preserve"> </w:t>
      </w:r>
      <w:r w:rsidRPr="00181FCD">
        <w:t>la</w:t>
      </w:r>
      <w:r w:rsidR="00F373A3" w:rsidRPr="00181FCD">
        <w:t xml:space="preserve"> </w:t>
      </w:r>
      <w:r w:rsidRPr="00181FCD">
        <w:t>calidad</w:t>
      </w:r>
      <w:r w:rsidR="00F373A3" w:rsidRPr="00181FCD">
        <w:t xml:space="preserve"> </w:t>
      </w:r>
      <w:r w:rsidRPr="00181FCD">
        <w:t>de</w:t>
      </w:r>
      <w:r w:rsidR="00F373A3" w:rsidRPr="00181FCD">
        <w:t xml:space="preserve"> </w:t>
      </w:r>
      <w:r w:rsidRPr="00181FCD">
        <w:t>la</w:t>
      </w:r>
      <w:r w:rsidR="00F373A3" w:rsidRPr="00181FCD">
        <w:t xml:space="preserve"> </w:t>
      </w:r>
      <w:r w:rsidRPr="00181FCD">
        <w:t>gestión</w:t>
      </w:r>
      <w:r w:rsidR="00F373A3" w:rsidRPr="00181FCD">
        <w:t xml:space="preserve"> </w:t>
      </w:r>
      <w:r w:rsidRPr="00181FCD">
        <w:t>de</w:t>
      </w:r>
      <w:r w:rsidR="00F373A3" w:rsidRPr="00181FCD">
        <w:t xml:space="preserve"> </w:t>
      </w:r>
      <w:r w:rsidRPr="00181FCD">
        <w:t>la</w:t>
      </w:r>
      <w:r w:rsidR="00F373A3" w:rsidRPr="00181FCD">
        <w:t xml:space="preserve"> </w:t>
      </w:r>
      <w:r w:rsidRPr="00181FCD">
        <w:t>labor</w:t>
      </w:r>
      <w:r w:rsidR="00F373A3" w:rsidRPr="00181FCD">
        <w:t xml:space="preserve"> </w:t>
      </w:r>
      <w:r w:rsidRPr="00181FCD">
        <w:t>del</w:t>
      </w:r>
      <w:r w:rsidR="00F373A3" w:rsidRPr="00181FCD">
        <w:t xml:space="preserve"> </w:t>
      </w:r>
      <w:r w:rsidRPr="00181FCD">
        <w:t>Centro</w:t>
      </w:r>
      <w:r w:rsidR="00F373A3" w:rsidRPr="00181FCD">
        <w:t xml:space="preserve"> </w:t>
      </w:r>
      <w:r w:rsidRPr="00181FCD">
        <w:t>de</w:t>
      </w:r>
      <w:r w:rsidR="00F373A3" w:rsidRPr="00181FCD">
        <w:t xml:space="preserve"> </w:t>
      </w:r>
      <w:r w:rsidRPr="00181FCD">
        <w:t>Refugiados,</w:t>
      </w:r>
      <w:r w:rsidR="00F373A3" w:rsidRPr="00181FCD">
        <w:t xml:space="preserve"> </w:t>
      </w:r>
      <w:r w:rsidRPr="00181FCD">
        <w:t>y</w:t>
      </w:r>
      <w:r w:rsidR="00F373A3" w:rsidRPr="00181FCD">
        <w:t xml:space="preserve"> </w:t>
      </w:r>
      <w:r w:rsidRPr="00181FCD">
        <w:t>crear</w:t>
      </w:r>
      <w:r w:rsidR="00F373A3" w:rsidRPr="00181FCD">
        <w:t xml:space="preserve"> </w:t>
      </w:r>
      <w:r w:rsidRPr="00181FCD">
        <w:t>las</w:t>
      </w:r>
      <w:r w:rsidR="00F373A3" w:rsidRPr="00181FCD">
        <w:t xml:space="preserve"> </w:t>
      </w:r>
      <w:r w:rsidRPr="00181FCD">
        <w:t>condiciones</w:t>
      </w:r>
      <w:r w:rsidR="00F373A3" w:rsidRPr="00181FCD">
        <w:t xml:space="preserve"> </w:t>
      </w:r>
      <w:r w:rsidRPr="00181FCD">
        <w:t>óptimas</w:t>
      </w:r>
      <w:r w:rsidR="00F373A3" w:rsidRPr="00181FCD">
        <w:t xml:space="preserve"> </w:t>
      </w:r>
      <w:r w:rsidRPr="00181FCD">
        <w:t>para</w:t>
      </w:r>
      <w:r w:rsidR="00F373A3" w:rsidRPr="00181FCD">
        <w:t xml:space="preserve"> </w:t>
      </w:r>
      <w:r w:rsidRPr="00181FCD">
        <w:t>la</w:t>
      </w:r>
      <w:r w:rsidR="00F373A3" w:rsidRPr="00181FCD">
        <w:t xml:space="preserve"> </w:t>
      </w:r>
      <w:r w:rsidRPr="00181FCD">
        <w:t>aplicación</w:t>
      </w:r>
      <w:r w:rsidR="00F373A3" w:rsidRPr="00181FCD">
        <w:t xml:space="preserve"> </w:t>
      </w:r>
      <w:r w:rsidRPr="00181FCD">
        <w:t>del</w:t>
      </w:r>
      <w:r w:rsidR="00F373A3" w:rsidRPr="00181FCD">
        <w:t xml:space="preserve"> </w:t>
      </w:r>
      <w:r w:rsidRPr="00181FCD">
        <w:t>procedimiento</w:t>
      </w:r>
      <w:r w:rsidR="00F373A3" w:rsidRPr="00181FCD">
        <w:t xml:space="preserve"> </w:t>
      </w:r>
      <w:r w:rsidRPr="00181FCD">
        <w:t>para</w:t>
      </w:r>
      <w:r w:rsidR="00F373A3" w:rsidRPr="00181FCD">
        <w:t xml:space="preserve"> </w:t>
      </w:r>
      <w:r w:rsidRPr="00181FCD">
        <w:t>la</w:t>
      </w:r>
      <w:r w:rsidR="00F373A3" w:rsidRPr="00181FCD">
        <w:t xml:space="preserve"> </w:t>
      </w:r>
      <w:r w:rsidRPr="00181FCD">
        <w:t>concesión</w:t>
      </w:r>
      <w:r w:rsidR="00F373A3" w:rsidRPr="00181FCD">
        <w:t xml:space="preserve"> </w:t>
      </w:r>
      <w:r w:rsidRPr="00181FCD">
        <w:t>de</w:t>
      </w:r>
      <w:r w:rsidR="00F373A3" w:rsidRPr="00181FCD">
        <w:t xml:space="preserve"> </w:t>
      </w:r>
      <w:r w:rsidRPr="00181FCD">
        <w:t>protección</w:t>
      </w:r>
      <w:r w:rsidR="00F373A3" w:rsidRPr="00181FCD">
        <w:t xml:space="preserve"> </w:t>
      </w:r>
      <w:r w:rsidRPr="00181FCD">
        <w:t>internacional,</w:t>
      </w:r>
      <w:r w:rsidR="00F373A3" w:rsidRPr="00181FCD">
        <w:t xml:space="preserve"> </w:t>
      </w:r>
      <w:r w:rsidRPr="00181FCD">
        <w:t>se</w:t>
      </w:r>
      <w:r w:rsidR="00F373A3" w:rsidRPr="00181FCD">
        <w:t xml:space="preserve"> </w:t>
      </w:r>
      <w:r w:rsidRPr="00181FCD">
        <w:t>ha</w:t>
      </w:r>
      <w:r w:rsidR="00F373A3" w:rsidRPr="00181FCD">
        <w:t xml:space="preserve"> </w:t>
      </w:r>
      <w:r w:rsidRPr="00181FCD">
        <w:t>incrementado</w:t>
      </w:r>
      <w:r w:rsidR="00F373A3" w:rsidRPr="00181FCD">
        <w:t xml:space="preserve"> </w:t>
      </w:r>
      <w:r w:rsidRPr="00181FCD">
        <w:t>en</w:t>
      </w:r>
      <w:r w:rsidR="00F373A3" w:rsidRPr="00181FCD">
        <w:t xml:space="preserve"> </w:t>
      </w:r>
      <w:r w:rsidRPr="00181FCD">
        <w:t>varias</w:t>
      </w:r>
      <w:r w:rsidR="00F373A3" w:rsidRPr="00181FCD">
        <w:t xml:space="preserve"> </w:t>
      </w:r>
      <w:r w:rsidRPr="00181FCD">
        <w:t>ocasiones</w:t>
      </w:r>
      <w:r w:rsidR="00F373A3" w:rsidRPr="00181FCD">
        <w:t xml:space="preserve"> </w:t>
      </w:r>
      <w:r w:rsidRPr="00181FCD">
        <w:t>el</w:t>
      </w:r>
      <w:r w:rsidR="00F373A3" w:rsidRPr="00181FCD">
        <w:t xml:space="preserve"> </w:t>
      </w:r>
      <w:r w:rsidRPr="00181FCD">
        <w:t>personal</w:t>
      </w:r>
      <w:r w:rsidR="00F373A3" w:rsidRPr="00181FCD">
        <w:t xml:space="preserve"> </w:t>
      </w:r>
      <w:r w:rsidRPr="00181FCD">
        <w:t>de</w:t>
      </w:r>
      <w:r w:rsidR="00F373A3" w:rsidRPr="00181FCD">
        <w:t xml:space="preserve"> </w:t>
      </w:r>
      <w:r w:rsidRPr="00181FCD">
        <w:t>la</w:t>
      </w:r>
      <w:r w:rsidR="00F373A3" w:rsidRPr="00181FCD">
        <w:t xml:space="preserve"> </w:t>
      </w:r>
      <w:r w:rsidRPr="00181FCD">
        <w:t>Agencia.</w:t>
      </w:r>
      <w:r w:rsidR="00F373A3" w:rsidRPr="00181FCD">
        <w:t xml:space="preserve"> </w:t>
      </w:r>
      <w:r w:rsidRPr="00181FCD">
        <w:t>Actualmente</w:t>
      </w:r>
      <w:r w:rsidR="00F373A3" w:rsidRPr="00181FCD">
        <w:t xml:space="preserve"> </w:t>
      </w:r>
      <w:r w:rsidRPr="00181FCD">
        <w:t>403</w:t>
      </w:r>
      <w:r w:rsidR="00F373A3" w:rsidRPr="00181FCD">
        <w:t xml:space="preserve"> </w:t>
      </w:r>
      <w:r w:rsidRPr="00181FCD">
        <w:t>empleados</w:t>
      </w:r>
      <w:r w:rsidR="00F373A3" w:rsidRPr="00181FCD">
        <w:t xml:space="preserve"> </w:t>
      </w:r>
      <w:r w:rsidRPr="00181FCD">
        <w:t>trabajan</w:t>
      </w:r>
      <w:r w:rsidR="00F373A3" w:rsidRPr="00181FCD">
        <w:t xml:space="preserve"> </w:t>
      </w:r>
      <w:r w:rsidRPr="00181FCD">
        <w:t>en</w:t>
      </w:r>
      <w:r w:rsidR="00F373A3" w:rsidRPr="00181FCD">
        <w:t xml:space="preserve"> </w:t>
      </w:r>
      <w:r w:rsidRPr="00181FCD">
        <w:t>la</w:t>
      </w:r>
      <w:r w:rsidR="00F373A3" w:rsidRPr="00181FCD">
        <w:t xml:space="preserve"> </w:t>
      </w:r>
      <w:r w:rsidRPr="00181FCD">
        <w:t>institución.</w:t>
      </w:r>
    </w:p>
    <w:p w:rsidR="001937F4" w:rsidRPr="00181FCD" w:rsidRDefault="001937F4" w:rsidP="00347B20">
      <w:pPr>
        <w:pStyle w:val="SingleTxtG"/>
        <w:suppressAutoHyphens/>
      </w:pPr>
      <w:r w:rsidRPr="00181FCD">
        <w:t>104.</w:t>
      </w:r>
      <w:r w:rsidRPr="00181FCD">
        <w:tab/>
        <w:t>Por</w:t>
      </w:r>
      <w:r w:rsidR="00F373A3" w:rsidRPr="00181FCD">
        <w:t xml:space="preserve"> </w:t>
      </w:r>
      <w:r w:rsidRPr="00181FCD">
        <w:t>otra</w:t>
      </w:r>
      <w:r w:rsidR="00F373A3" w:rsidRPr="00181FCD">
        <w:t xml:space="preserve"> </w:t>
      </w:r>
      <w:r w:rsidRPr="00181FCD">
        <w:t>parte,</w:t>
      </w:r>
      <w:r w:rsidR="00F373A3" w:rsidRPr="00181FCD">
        <w:t xml:space="preserve"> </w:t>
      </w:r>
      <w:r w:rsidRPr="00181FCD">
        <w:t>en</w:t>
      </w:r>
      <w:r w:rsidR="00F373A3" w:rsidRPr="00181FCD">
        <w:t xml:space="preserve"> </w:t>
      </w:r>
      <w:r w:rsidRPr="00181FCD">
        <w:t>2012</w:t>
      </w:r>
      <w:r w:rsidR="00F373A3" w:rsidRPr="00181FCD">
        <w:t xml:space="preserve"> </w:t>
      </w:r>
      <w:r w:rsidRPr="00181FCD">
        <w:t>se</w:t>
      </w:r>
      <w:r w:rsidR="00F373A3" w:rsidRPr="00181FCD">
        <w:t xml:space="preserve"> </w:t>
      </w:r>
      <w:r w:rsidRPr="00181FCD">
        <w:t>abrió</w:t>
      </w:r>
      <w:r w:rsidR="00F373A3" w:rsidRPr="00181FCD">
        <w:t xml:space="preserve"> </w:t>
      </w:r>
      <w:r w:rsidRPr="00181FCD">
        <w:t>el</w:t>
      </w:r>
      <w:r w:rsidR="00F373A3" w:rsidRPr="00181FCD">
        <w:t xml:space="preserve"> </w:t>
      </w:r>
      <w:r w:rsidRPr="00181FCD">
        <w:t>Centro</w:t>
      </w:r>
      <w:r w:rsidR="00F373A3" w:rsidRPr="00181FCD">
        <w:t xml:space="preserve"> </w:t>
      </w:r>
      <w:r w:rsidRPr="00181FCD">
        <w:t>de</w:t>
      </w:r>
      <w:r w:rsidR="00F373A3" w:rsidRPr="00181FCD">
        <w:t xml:space="preserve"> </w:t>
      </w:r>
      <w:r w:rsidRPr="00181FCD">
        <w:t>Tránsito</w:t>
      </w:r>
      <w:r w:rsidR="00F373A3" w:rsidRPr="00181FCD">
        <w:t xml:space="preserve"> </w:t>
      </w:r>
      <w:r w:rsidRPr="00181FCD">
        <w:t>de</w:t>
      </w:r>
      <w:r w:rsidR="00F373A3" w:rsidRPr="00181FCD">
        <w:t xml:space="preserve"> </w:t>
      </w:r>
      <w:r w:rsidRPr="00181FCD">
        <w:t>Pastrogor.</w:t>
      </w:r>
      <w:r w:rsidR="00F373A3" w:rsidRPr="00181FCD">
        <w:t xml:space="preserve"> </w:t>
      </w:r>
      <w:r w:rsidRPr="00181FCD">
        <w:t>Se</w:t>
      </w:r>
      <w:r w:rsidR="00F373A3" w:rsidRPr="00181FCD">
        <w:t xml:space="preserve"> </w:t>
      </w:r>
      <w:r w:rsidRPr="00181FCD">
        <w:t>revisó</w:t>
      </w:r>
      <w:r w:rsidR="00F373A3" w:rsidRPr="00181FCD">
        <w:t xml:space="preserve"> </w:t>
      </w:r>
      <w:r w:rsidRPr="00181FCD">
        <w:t>el</w:t>
      </w:r>
      <w:r w:rsidR="00F373A3" w:rsidRPr="00181FCD">
        <w:t xml:space="preserve"> </w:t>
      </w:r>
      <w:r w:rsidRPr="00181FCD">
        <w:t>Programa</w:t>
      </w:r>
      <w:r w:rsidR="00F373A3" w:rsidRPr="00181FCD">
        <w:t xml:space="preserve"> </w:t>
      </w:r>
      <w:r w:rsidRPr="00181FCD">
        <w:t>Anual</w:t>
      </w:r>
      <w:r w:rsidR="00F373A3" w:rsidRPr="00181FCD">
        <w:t xml:space="preserve"> </w:t>
      </w:r>
      <w:r w:rsidRPr="00181FCD">
        <w:t>del</w:t>
      </w:r>
      <w:r w:rsidR="00F373A3" w:rsidRPr="00181FCD">
        <w:t xml:space="preserve"> </w:t>
      </w:r>
      <w:r w:rsidRPr="00181FCD">
        <w:t>Fondo</w:t>
      </w:r>
      <w:r w:rsidR="00F373A3" w:rsidRPr="00181FCD">
        <w:t xml:space="preserve"> </w:t>
      </w:r>
      <w:r w:rsidRPr="00181FCD">
        <w:t>Europeo</w:t>
      </w:r>
      <w:r w:rsidR="00F373A3" w:rsidRPr="00181FCD">
        <w:t xml:space="preserve"> </w:t>
      </w:r>
      <w:r w:rsidRPr="00181FCD">
        <w:t>para</w:t>
      </w:r>
      <w:r w:rsidR="00F373A3" w:rsidRPr="00181FCD">
        <w:t xml:space="preserve"> </w:t>
      </w:r>
      <w:r w:rsidRPr="00181FCD">
        <w:t>los</w:t>
      </w:r>
      <w:r w:rsidR="00F373A3" w:rsidRPr="00181FCD">
        <w:t xml:space="preserve"> </w:t>
      </w:r>
      <w:r w:rsidRPr="00181FCD">
        <w:t>Refugiados</w:t>
      </w:r>
      <w:r w:rsidR="00F373A3" w:rsidRPr="00181FCD">
        <w:t xml:space="preserve"> </w:t>
      </w:r>
      <w:r w:rsidRPr="00181FCD">
        <w:t>de</w:t>
      </w:r>
      <w:r w:rsidR="00F373A3" w:rsidRPr="00181FCD">
        <w:t xml:space="preserve"> </w:t>
      </w:r>
      <w:r w:rsidRPr="00181FCD">
        <w:t>2013</w:t>
      </w:r>
      <w:r w:rsidR="00F373A3" w:rsidRPr="00181FCD">
        <w:t xml:space="preserve"> </w:t>
      </w:r>
      <w:r w:rsidRPr="00181FCD">
        <w:t>en</w:t>
      </w:r>
      <w:r w:rsidR="00F373A3" w:rsidRPr="00181FCD">
        <w:t xml:space="preserve"> </w:t>
      </w:r>
      <w:r w:rsidRPr="00181FCD">
        <w:t>lo</w:t>
      </w:r>
      <w:r w:rsidR="00F373A3" w:rsidRPr="00181FCD">
        <w:t xml:space="preserve"> </w:t>
      </w:r>
      <w:r w:rsidRPr="00181FCD">
        <w:t>que</w:t>
      </w:r>
      <w:r w:rsidR="00F373A3" w:rsidRPr="00181FCD">
        <w:t xml:space="preserve"> </w:t>
      </w:r>
      <w:r w:rsidRPr="00181FCD">
        <w:t>se</w:t>
      </w:r>
      <w:r w:rsidR="00F373A3" w:rsidRPr="00181FCD">
        <w:t xml:space="preserve"> </w:t>
      </w:r>
      <w:r w:rsidRPr="00181FCD">
        <w:t>refiere</w:t>
      </w:r>
      <w:r w:rsidR="00F373A3" w:rsidRPr="00181FCD">
        <w:t xml:space="preserve"> </w:t>
      </w:r>
      <w:r w:rsidRPr="00181FCD">
        <w:t>a</w:t>
      </w:r>
      <w:r w:rsidR="00F373A3" w:rsidRPr="00181FCD">
        <w:t xml:space="preserve"> </w:t>
      </w:r>
      <w:r w:rsidRPr="00181FCD">
        <w:t>Bulgaria,</w:t>
      </w:r>
      <w:r w:rsidR="00F373A3" w:rsidRPr="00181FCD">
        <w:t xml:space="preserve"> </w:t>
      </w:r>
      <w:r w:rsidRPr="00181FCD">
        <w:t>mediante</w:t>
      </w:r>
      <w:r w:rsidR="00F373A3" w:rsidRPr="00181FCD">
        <w:t xml:space="preserve"> </w:t>
      </w:r>
      <w:r w:rsidRPr="00181FCD">
        <w:t>la</w:t>
      </w:r>
      <w:r w:rsidR="00F373A3" w:rsidRPr="00181FCD">
        <w:t xml:space="preserve"> </w:t>
      </w:r>
      <w:r w:rsidRPr="00181FCD">
        <w:t>introducción</w:t>
      </w:r>
      <w:r w:rsidR="00F373A3" w:rsidRPr="00181FCD">
        <w:t xml:space="preserve"> </w:t>
      </w:r>
      <w:r w:rsidRPr="00181FCD">
        <w:t>de</w:t>
      </w:r>
      <w:r w:rsidR="00F373A3" w:rsidRPr="00181FCD">
        <w:t xml:space="preserve"> </w:t>
      </w:r>
      <w:r w:rsidRPr="00181FCD">
        <w:t>medidas</w:t>
      </w:r>
      <w:r w:rsidR="00F373A3" w:rsidRPr="00181FCD">
        <w:t xml:space="preserve"> </w:t>
      </w:r>
      <w:r w:rsidRPr="00181FCD">
        <w:t>de</w:t>
      </w:r>
      <w:r w:rsidR="00F373A3" w:rsidRPr="00181FCD">
        <w:t xml:space="preserve"> </w:t>
      </w:r>
      <w:r w:rsidRPr="00181FCD">
        <w:t>emergencia</w:t>
      </w:r>
      <w:r w:rsidR="00F373A3" w:rsidRPr="00181FCD">
        <w:t xml:space="preserve"> </w:t>
      </w:r>
      <w:r w:rsidRPr="00181FCD">
        <w:t>para</w:t>
      </w:r>
      <w:r w:rsidR="00F373A3" w:rsidRPr="00181FCD">
        <w:t xml:space="preserve"> </w:t>
      </w:r>
      <w:r w:rsidRPr="00181FCD">
        <w:t>la</w:t>
      </w:r>
      <w:r w:rsidR="00F373A3" w:rsidRPr="00181FCD">
        <w:t xml:space="preserve"> </w:t>
      </w:r>
      <w:r w:rsidRPr="00181FCD">
        <w:t>financiación.</w:t>
      </w:r>
      <w:r w:rsidR="00F373A3" w:rsidRPr="00181FCD">
        <w:t xml:space="preserve"> </w:t>
      </w:r>
      <w:r w:rsidRPr="00181FCD">
        <w:t>Durante</w:t>
      </w:r>
      <w:r w:rsidR="00F373A3" w:rsidRPr="00181FCD">
        <w:t xml:space="preserve"> </w:t>
      </w:r>
      <w:r w:rsidRPr="00181FCD">
        <w:t>el</w:t>
      </w:r>
      <w:r w:rsidR="00F373A3" w:rsidRPr="00181FCD">
        <w:t xml:space="preserve"> </w:t>
      </w:r>
      <w:r w:rsidRPr="00181FCD">
        <w:t>segundo</w:t>
      </w:r>
      <w:r w:rsidR="00F373A3" w:rsidRPr="00181FCD">
        <w:t xml:space="preserve"> </w:t>
      </w:r>
      <w:r w:rsidRPr="00181FCD">
        <w:t>semestre</w:t>
      </w:r>
      <w:r w:rsidR="00F373A3" w:rsidRPr="00181FCD">
        <w:t xml:space="preserve"> </w:t>
      </w:r>
      <w:r w:rsidRPr="00181FCD">
        <w:t>de</w:t>
      </w:r>
      <w:r w:rsidR="00F373A3" w:rsidRPr="00181FCD">
        <w:t xml:space="preserve"> </w:t>
      </w:r>
      <w:r w:rsidRPr="00181FCD">
        <w:t>2013</w:t>
      </w:r>
      <w:r w:rsidR="00F373A3" w:rsidRPr="00181FCD">
        <w:t xml:space="preserve"> </w:t>
      </w:r>
      <w:r w:rsidRPr="00181FCD">
        <w:t>se</w:t>
      </w:r>
      <w:r w:rsidR="00F373A3" w:rsidRPr="00181FCD">
        <w:t xml:space="preserve"> </w:t>
      </w:r>
      <w:r w:rsidRPr="00181FCD">
        <w:t>abrió</w:t>
      </w:r>
      <w:r w:rsidR="00F373A3" w:rsidRPr="00181FCD">
        <w:t xml:space="preserve"> </w:t>
      </w:r>
      <w:r w:rsidRPr="00181FCD">
        <w:t>el</w:t>
      </w:r>
      <w:r w:rsidR="00F373A3" w:rsidRPr="00181FCD">
        <w:t xml:space="preserve"> </w:t>
      </w:r>
      <w:r w:rsidRPr="00181FCD">
        <w:t>Centro</w:t>
      </w:r>
      <w:r w:rsidR="00F373A3" w:rsidRPr="00181FCD">
        <w:t xml:space="preserve"> </w:t>
      </w:r>
      <w:r w:rsidRPr="00181FCD">
        <w:t>de</w:t>
      </w:r>
      <w:r w:rsidR="00F373A3" w:rsidRPr="00181FCD">
        <w:t xml:space="preserve"> </w:t>
      </w:r>
      <w:r w:rsidRPr="00181FCD">
        <w:t>Registro</w:t>
      </w:r>
      <w:r w:rsidR="00F373A3" w:rsidRPr="00181FCD">
        <w:t xml:space="preserve"> </w:t>
      </w:r>
      <w:r w:rsidRPr="00181FCD">
        <w:t>y</w:t>
      </w:r>
      <w:r w:rsidR="00F373A3" w:rsidRPr="00181FCD">
        <w:t xml:space="preserve"> </w:t>
      </w:r>
      <w:r w:rsidRPr="00181FCD">
        <w:t>Alojamiento</w:t>
      </w:r>
      <w:r w:rsidR="00F373A3" w:rsidRPr="00181FCD">
        <w:t xml:space="preserve"> </w:t>
      </w:r>
      <w:r w:rsidRPr="00181FCD">
        <w:t>en</w:t>
      </w:r>
      <w:r w:rsidR="00F373A3" w:rsidRPr="00181FCD">
        <w:t xml:space="preserve"> </w:t>
      </w:r>
      <w:r w:rsidRPr="00181FCD">
        <w:t>Harmanli.</w:t>
      </w:r>
      <w:r w:rsidR="00F373A3" w:rsidRPr="00181FCD">
        <w:t xml:space="preserve"> </w:t>
      </w:r>
      <w:r w:rsidRPr="00181FCD">
        <w:t>Se</w:t>
      </w:r>
      <w:r w:rsidR="00F373A3" w:rsidRPr="00181FCD">
        <w:t xml:space="preserve"> </w:t>
      </w:r>
      <w:r w:rsidRPr="00181FCD">
        <w:t>ejecutaron</w:t>
      </w:r>
      <w:r w:rsidR="00F373A3" w:rsidRPr="00181FCD">
        <w:t xml:space="preserve"> </w:t>
      </w:r>
      <w:r w:rsidRPr="00181FCD">
        <w:t>más</w:t>
      </w:r>
      <w:r w:rsidR="00F373A3" w:rsidRPr="00181FCD">
        <w:t xml:space="preserve"> </w:t>
      </w:r>
      <w:r w:rsidRPr="00181FCD">
        <w:t>de</w:t>
      </w:r>
      <w:r w:rsidR="00F373A3" w:rsidRPr="00181FCD">
        <w:t xml:space="preserve"> </w:t>
      </w:r>
      <w:r w:rsidRPr="00181FCD">
        <w:t>40</w:t>
      </w:r>
      <w:r w:rsidR="00F373A3" w:rsidRPr="00181FCD">
        <w:t xml:space="preserve"> </w:t>
      </w:r>
      <w:r w:rsidRPr="00181FCD">
        <w:t>contratos,</w:t>
      </w:r>
      <w:r w:rsidR="00F373A3" w:rsidRPr="00181FCD">
        <w:t xml:space="preserve"> </w:t>
      </w:r>
      <w:r w:rsidRPr="00181FCD">
        <w:t>de</w:t>
      </w:r>
      <w:r w:rsidR="00F373A3" w:rsidRPr="00181FCD">
        <w:t xml:space="preserve"> </w:t>
      </w:r>
      <w:r w:rsidRPr="00181FCD">
        <w:t>los</w:t>
      </w:r>
      <w:r w:rsidR="00F373A3" w:rsidRPr="00181FCD">
        <w:t xml:space="preserve"> </w:t>
      </w:r>
      <w:r w:rsidRPr="00181FCD">
        <w:t>cuales</w:t>
      </w:r>
      <w:r w:rsidR="00F373A3" w:rsidRPr="00181FCD">
        <w:t xml:space="preserve"> </w:t>
      </w:r>
      <w:r w:rsidRPr="00181FCD">
        <w:t>7</w:t>
      </w:r>
      <w:r w:rsidR="00F373A3" w:rsidRPr="00181FCD">
        <w:t xml:space="preserve"> </w:t>
      </w:r>
      <w:r w:rsidRPr="00181FCD">
        <w:t>se</w:t>
      </w:r>
      <w:r w:rsidR="00F373A3" w:rsidRPr="00181FCD">
        <w:t xml:space="preserve"> </w:t>
      </w:r>
      <w:r w:rsidRPr="00181FCD">
        <w:t>relacionaban</w:t>
      </w:r>
      <w:r w:rsidR="00F373A3" w:rsidRPr="00181FCD">
        <w:t xml:space="preserve"> </w:t>
      </w:r>
      <w:r w:rsidRPr="00181FCD">
        <w:t>con</w:t>
      </w:r>
      <w:r w:rsidR="00F373A3" w:rsidRPr="00181FCD">
        <w:t xml:space="preserve"> </w:t>
      </w:r>
      <w:r w:rsidRPr="00181FCD">
        <w:t>actividades</w:t>
      </w:r>
      <w:r w:rsidR="00F373A3" w:rsidRPr="00181FCD">
        <w:t xml:space="preserve"> </w:t>
      </w:r>
      <w:r w:rsidRPr="00181FCD">
        <w:t>de</w:t>
      </w:r>
      <w:r w:rsidR="00F373A3" w:rsidRPr="00181FCD">
        <w:t xml:space="preserve"> </w:t>
      </w:r>
      <w:r w:rsidRPr="00181FCD">
        <w:t>construcción</w:t>
      </w:r>
      <w:r w:rsidR="00F373A3" w:rsidRPr="00181FCD">
        <w:t xml:space="preserve"> </w:t>
      </w:r>
      <w:r w:rsidRPr="00181FCD">
        <w:t>y</w:t>
      </w:r>
      <w:r w:rsidR="00F373A3" w:rsidRPr="00181FCD">
        <w:t xml:space="preserve"> </w:t>
      </w:r>
      <w:r w:rsidRPr="00181FCD">
        <w:t>reparación.</w:t>
      </w:r>
      <w:r w:rsidR="00F373A3" w:rsidRPr="00181FCD">
        <w:t xml:space="preserve"> </w:t>
      </w:r>
      <w:r w:rsidRPr="00181FCD">
        <w:t>La</w:t>
      </w:r>
      <w:r w:rsidR="00F373A3" w:rsidRPr="00181FCD">
        <w:t xml:space="preserve"> </w:t>
      </w:r>
      <w:r w:rsidRPr="00181FCD">
        <w:t>aplicación</w:t>
      </w:r>
      <w:r w:rsidR="00F373A3" w:rsidRPr="00181FCD">
        <w:t xml:space="preserve"> </w:t>
      </w:r>
      <w:r w:rsidRPr="00181FCD">
        <w:t>de</w:t>
      </w:r>
      <w:r w:rsidR="00F373A3" w:rsidRPr="00181FCD">
        <w:t xml:space="preserve"> </w:t>
      </w:r>
      <w:r w:rsidRPr="00181FCD">
        <w:t>las</w:t>
      </w:r>
      <w:r w:rsidR="00F373A3" w:rsidRPr="00181FCD">
        <w:t xml:space="preserve"> </w:t>
      </w:r>
      <w:r w:rsidRPr="00181FCD">
        <w:t>medidas</w:t>
      </w:r>
      <w:r w:rsidR="00F373A3" w:rsidRPr="00181FCD">
        <w:t xml:space="preserve"> </w:t>
      </w:r>
      <w:r w:rsidRPr="00181FCD">
        <w:t>de</w:t>
      </w:r>
      <w:r w:rsidR="00F373A3" w:rsidRPr="00181FCD">
        <w:t xml:space="preserve"> </w:t>
      </w:r>
      <w:r w:rsidRPr="00181FCD">
        <w:t>emergencia</w:t>
      </w:r>
      <w:r w:rsidR="00F373A3" w:rsidRPr="00181FCD">
        <w:t xml:space="preserve"> </w:t>
      </w:r>
      <w:r w:rsidRPr="00181FCD">
        <w:t>ha</w:t>
      </w:r>
      <w:r w:rsidR="00F373A3" w:rsidRPr="00181FCD">
        <w:t xml:space="preserve"> </w:t>
      </w:r>
      <w:r w:rsidRPr="00181FCD">
        <w:t>sentado</w:t>
      </w:r>
      <w:r w:rsidR="00F373A3" w:rsidRPr="00181FCD">
        <w:t xml:space="preserve"> </w:t>
      </w:r>
      <w:r w:rsidRPr="00181FCD">
        <w:t>las</w:t>
      </w:r>
      <w:r w:rsidR="00F373A3" w:rsidRPr="00181FCD">
        <w:t xml:space="preserve"> </w:t>
      </w:r>
      <w:r w:rsidRPr="00181FCD">
        <w:t>bases</w:t>
      </w:r>
      <w:r w:rsidR="00F373A3" w:rsidRPr="00181FCD">
        <w:t xml:space="preserve"> </w:t>
      </w:r>
      <w:r w:rsidRPr="00181FCD">
        <w:t>para</w:t>
      </w:r>
      <w:r w:rsidR="00F373A3" w:rsidRPr="00181FCD">
        <w:t xml:space="preserve"> </w:t>
      </w:r>
      <w:r w:rsidRPr="00181FCD">
        <w:t>la</w:t>
      </w:r>
      <w:r w:rsidR="00F373A3" w:rsidRPr="00181FCD">
        <w:t xml:space="preserve"> </w:t>
      </w:r>
      <w:r w:rsidRPr="00181FCD">
        <w:t>futura</w:t>
      </w:r>
      <w:r w:rsidR="00F373A3" w:rsidRPr="00181FCD">
        <w:t xml:space="preserve"> </w:t>
      </w:r>
      <w:r w:rsidRPr="00181FCD">
        <w:t>gestión</w:t>
      </w:r>
      <w:r w:rsidR="00F373A3" w:rsidRPr="00181FCD">
        <w:t xml:space="preserve"> </w:t>
      </w:r>
      <w:r w:rsidRPr="00181FCD">
        <w:t>de</w:t>
      </w:r>
      <w:r w:rsidR="00F373A3" w:rsidRPr="00181FCD">
        <w:t xml:space="preserve"> </w:t>
      </w:r>
      <w:r w:rsidRPr="00181FCD">
        <w:t>situaciones</w:t>
      </w:r>
      <w:r w:rsidR="00F373A3" w:rsidRPr="00181FCD">
        <w:t xml:space="preserve"> </w:t>
      </w:r>
      <w:r w:rsidRPr="00181FCD">
        <w:t>de</w:t>
      </w:r>
      <w:r w:rsidR="00F373A3" w:rsidRPr="00181FCD">
        <w:t xml:space="preserve"> </w:t>
      </w:r>
      <w:r w:rsidRPr="00181FCD">
        <w:t>crisis.</w:t>
      </w:r>
      <w:r w:rsidR="00F373A3" w:rsidRPr="00181FCD">
        <w:t xml:space="preserve"> </w:t>
      </w:r>
      <w:r w:rsidRPr="00181FCD">
        <w:t>Se</w:t>
      </w:r>
      <w:r w:rsidR="00F373A3" w:rsidRPr="00181FCD">
        <w:t xml:space="preserve"> </w:t>
      </w:r>
      <w:r w:rsidRPr="00181FCD">
        <w:t>han</w:t>
      </w:r>
      <w:r w:rsidR="00F373A3" w:rsidRPr="00181FCD">
        <w:t xml:space="preserve"> </w:t>
      </w:r>
      <w:r w:rsidRPr="00181FCD">
        <w:t>construido</w:t>
      </w:r>
      <w:r w:rsidR="00F373A3" w:rsidRPr="00181FCD">
        <w:t xml:space="preserve"> </w:t>
      </w:r>
      <w:r w:rsidRPr="00181FCD">
        <w:t>instalaciones</w:t>
      </w:r>
      <w:r w:rsidR="00F373A3" w:rsidRPr="00181FCD">
        <w:t xml:space="preserve"> </w:t>
      </w:r>
      <w:r w:rsidRPr="00181FCD">
        <w:t>e</w:t>
      </w:r>
      <w:r w:rsidR="00F373A3" w:rsidRPr="00181FCD">
        <w:t xml:space="preserve"> </w:t>
      </w:r>
      <w:r w:rsidRPr="00181FCD">
        <w:t>infraestructura,</w:t>
      </w:r>
      <w:r w:rsidR="00F373A3" w:rsidRPr="00181FCD">
        <w:t xml:space="preserve"> </w:t>
      </w:r>
      <w:r w:rsidRPr="00181FCD">
        <w:t>que</w:t>
      </w:r>
      <w:r w:rsidR="00F373A3" w:rsidRPr="00181FCD">
        <w:t xml:space="preserve"> </w:t>
      </w:r>
      <w:r w:rsidRPr="00181FCD">
        <w:t>ofrecen</w:t>
      </w:r>
      <w:r w:rsidR="00F373A3" w:rsidRPr="00181FCD">
        <w:t xml:space="preserve"> </w:t>
      </w:r>
      <w:r w:rsidRPr="00181FCD">
        <w:t>capacidad</w:t>
      </w:r>
      <w:r w:rsidR="00F373A3" w:rsidRPr="00181FCD">
        <w:t xml:space="preserve"> </w:t>
      </w:r>
      <w:r w:rsidRPr="00181FCD">
        <w:t>para</w:t>
      </w:r>
      <w:r w:rsidR="00F373A3" w:rsidRPr="00181FCD">
        <w:t xml:space="preserve"> </w:t>
      </w:r>
      <w:r w:rsidRPr="00181FCD">
        <w:t>5.130</w:t>
      </w:r>
      <w:r w:rsidR="00F373A3" w:rsidRPr="00181FCD">
        <w:t xml:space="preserve"> </w:t>
      </w:r>
      <w:r w:rsidRPr="00181FCD">
        <w:t>personas.</w:t>
      </w:r>
      <w:r w:rsidR="00F373A3" w:rsidRPr="00181FCD">
        <w:t xml:space="preserve"> </w:t>
      </w:r>
      <w:r w:rsidRPr="00181FCD">
        <w:t>Se</w:t>
      </w:r>
      <w:r w:rsidR="00F373A3" w:rsidRPr="00181FCD">
        <w:t xml:space="preserve"> </w:t>
      </w:r>
      <w:r w:rsidRPr="00181FCD">
        <w:t>han</w:t>
      </w:r>
      <w:r w:rsidR="00F373A3" w:rsidRPr="00181FCD">
        <w:t xml:space="preserve"> </w:t>
      </w:r>
      <w:r w:rsidRPr="00181FCD">
        <w:t>creado</w:t>
      </w:r>
      <w:r w:rsidR="00F373A3" w:rsidRPr="00181FCD">
        <w:t xml:space="preserve"> </w:t>
      </w:r>
      <w:r w:rsidRPr="00181FCD">
        <w:t>las</w:t>
      </w:r>
      <w:r w:rsidR="00F373A3" w:rsidRPr="00181FCD">
        <w:t xml:space="preserve"> </w:t>
      </w:r>
      <w:r w:rsidRPr="00181FCD">
        <w:t>condiciones</w:t>
      </w:r>
      <w:r w:rsidR="00F373A3" w:rsidRPr="00181FCD">
        <w:t xml:space="preserve"> </w:t>
      </w:r>
      <w:r w:rsidRPr="00181FCD">
        <w:t>que</w:t>
      </w:r>
      <w:r w:rsidR="00F373A3" w:rsidRPr="00181FCD">
        <w:t xml:space="preserve"> </w:t>
      </w:r>
      <w:r w:rsidRPr="00181FCD">
        <w:t>garantizan</w:t>
      </w:r>
      <w:r w:rsidR="00F373A3" w:rsidRPr="00181FCD">
        <w:t xml:space="preserve"> </w:t>
      </w:r>
      <w:r w:rsidRPr="00181FCD">
        <w:t>las</w:t>
      </w:r>
      <w:r w:rsidR="00F373A3" w:rsidRPr="00181FCD">
        <w:t xml:space="preserve"> </w:t>
      </w:r>
      <w:r w:rsidRPr="00181FCD">
        <w:t>necesidades</w:t>
      </w:r>
      <w:r w:rsidR="00F373A3" w:rsidRPr="00181FCD">
        <w:t xml:space="preserve"> </w:t>
      </w:r>
      <w:r w:rsidRPr="00181FCD">
        <w:t>básicas</w:t>
      </w:r>
      <w:r w:rsidR="00F373A3" w:rsidRPr="00181FCD">
        <w:t xml:space="preserve"> </w:t>
      </w:r>
      <w:r w:rsidRPr="00181FCD">
        <w:t>de</w:t>
      </w:r>
      <w:r w:rsidR="00F373A3" w:rsidRPr="00181FCD">
        <w:t xml:space="preserve"> </w:t>
      </w:r>
      <w:r w:rsidRPr="00181FCD">
        <w:t>la</w:t>
      </w:r>
      <w:r w:rsidR="00F373A3" w:rsidRPr="00181FCD">
        <w:t xml:space="preserve"> </w:t>
      </w:r>
      <w:r w:rsidRPr="00181FCD">
        <w:t>vida</w:t>
      </w:r>
      <w:r w:rsidR="00F373A3" w:rsidRPr="00181FCD">
        <w:t xml:space="preserve"> </w:t>
      </w:r>
      <w:r w:rsidRPr="00181FCD">
        <w:t>(salud</w:t>
      </w:r>
      <w:r w:rsidR="00F373A3" w:rsidRPr="00181FCD">
        <w:t xml:space="preserve"> </w:t>
      </w:r>
      <w:r w:rsidRPr="00181FCD">
        <w:t>e</w:t>
      </w:r>
      <w:r w:rsidR="00F373A3" w:rsidRPr="00181FCD">
        <w:t xml:space="preserve"> </w:t>
      </w:r>
      <w:r w:rsidRPr="00181FCD">
        <w:t>higiene,</w:t>
      </w:r>
      <w:r w:rsidR="00F373A3" w:rsidRPr="00181FCD">
        <w:t xml:space="preserve"> </w:t>
      </w:r>
      <w:r w:rsidRPr="00181FCD">
        <w:t>servicios</w:t>
      </w:r>
      <w:r w:rsidR="00F373A3" w:rsidRPr="00181FCD">
        <w:t xml:space="preserve"> </w:t>
      </w:r>
      <w:r w:rsidRPr="00181FCD">
        <w:t>públicos</w:t>
      </w:r>
      <w:r w:rsidR="00F373A3" w:rsidRPr="00181FCD">
        <w:t xml:space="preserve"> </w:t>
      </w:r>
      <w:r w:rsidRPr="00181FCD">
        <w:t>básicos,</w:t>
      </w:r>
      <w:r w:rsidR="00F373A3" w:rsidRPr="00181FCD">
        <w:t xml:space="preserve"> </w:t>
      </w:r>
      <w:r w:rsidRPr="00181FCD">
        <w:t>alimentación),</w:t>
      </w:r>
      <w:r w:rsidR="00F373A3" w:rsidRPr="00181FCD">
        <w:t xml:space="preserve"> </w:t>
      </w:r>
      <w:r w:rsidRPr="00181FCD">
        <w:t>el</w:t>
      </w:r>
      <w:r w:rsidR="00F373A3" w:rsidRPr="00181FCD">
        <w:t xml:space="preserve"> </w:t>
      </w:r>
      <w:r w:rsidRPr="00181FCD">
        <w:t>acceso</w:t>
      </w:r>
      <w:r w:rsidR="00F373A3" w:rsidRPr="00181FCD">
        <w:t xml:space="preserve"> </w:t>
      </w:r>
      <w:r w:rsidRPr="00181FCD">
        <w:t>a</w:t>
      </w:r>
      <w:r w:rsidR="00F373A3" w:rsidRPr="00181FCD">
        <w:t xml:space="preserve"> </w:t>
      </w:r>
      <w:r w:rsidRPr="00181FCD">
        <w:t>la</w:t>
      </w:r>
      <w:r w:rsidR="00F373A3" w:rsidRPr="00181FCD">
        <w:t xml:space="preserve"> </w:t>
      </w:r>
      <w:r w:rsidRPr="00181FCD">
        <w:t>atención</w:t>
      </w:r>
      <w:r w:rsidR="00F373A3" w:rsidRPr="00181FCD">
        <w:t xml:space="preserve"> </w:t>
      </w:r>
      <w:r w:rsidRPr="00181FCD">
        <w:t>médica</w:t>
      </w:r>
      <w:r w:rsidR="00F373A3" w:rsidRPr="00181FCD">
        <w:t xml:space="preserve"> </w:t>
      </w:r>
      <w:r w:rsidRPr="00181FCD">
        <w:t>y</w:t>
      </w:r>
      <w:r w:rsidR="00F373A3" w:rsidRPr="00181FCD">
        <w:t xml:space="preserve"> </w:t>
      </w:r>
      <w:r w:rsidRPr="00181FCD">
        <w:t>al</w:t>
      </w:r>
      <w:r w:rsidR="00F373A3" w:rsidRPr="00181FCD">
        <w:t xml:space="preserve"> </w:t>
      </w:r>
      <w:r w:rsidRPr="00181FCD">
        <w:t>procedimiento</w:t>
      </w:r>
      <w:r w:rsidR="00F373A3" w:rsidRPr="00181FCD">
        <w:t xml:space="preserve"> </w:t>
      </w:r>
      <w:r w:rsidRPr="00181FCD">
        <w:t>de</w:t>
      </w:r>
      <w:r w:rsidR="00F373A3" w:rsidRPr="00181FCD">
        <w:t xml:space="preserve"> </w:t>
      </w:r>
      <w:r w:rsidRPr="00181FCD">
        <w:t>asilo</w:t>
      </w:r>
      <w:r w:rsidR="00F373A3" w:rsidRPr="00181FCD">
        <w:t xml:space="preserve"> </w:t>
      </w:r>
      <w:r w:rsidRPr="00181FCD">
        <w:t>para</w:t>
      </w:r>
      <w:r w:rsidR="00F373A3" w:rsidRPr="00181FCD">
        <w:t xml:space="preserve"> </w:t>
      </w:r>
      <w:r w:rsidRPr="00181FCD">
        <w:t>las</w:t>
      </w:r>
      <w:r w:rsidR="00F373A3" w:rsidRPr="00181FCD">
        <w:t xml:space="preserve"> </w:t>
      </w:r>
      <w:r w:rsidRPr="00181FCD">
        <w:t>personas</w:t>
      </w:r>
      <w:r w:rsidR="00F373A3" w:rsidRPr="00181FCD">
        <w:t xml:space="preserve"> </w:t>
      </w:r>
      <w:r w:rsidRPr="00181FCD">
        <w:t>alojadas.</w:t>
      </w:r>
    </w:p>
    <w:p w:rsidR="001937F4" w:rsidRPr="00181FCD" w:rsidRDefault="001937F4" w:rsidP="00347B20">
      <w:pPr>
        <w:pStyle w:val="SingleTxtG"/>
        <w:suppressAutoHyphens/>
      </w:pPr>
      <w:r w:rsidRPr="00181FCD">
        <w:t>105.</w:t>
      </w:r>
      <w:r w:rsidRPr="00181FCD">
        <w:tab/>
        <w:t>Se</w:t>
      </w:r>
      <w:r w:rsidR="00F373A3" w:rsidRPr="00181FCD">
        <w:t xml:space="preserve"> </w:t>
      </w:r>
      <w:r w:rsidRPr="00181FCD">
        <w:t>ha</w:t>
      </w:r>
      <w:r w:rsidR="00F373A3" w:rsidRPr="00181FCD">
        <w:t xml:space="preserve"> </w:t>
      </w:r>
      <w:r w:rsidRPr="00181FCD">
        <w:t>procedido</w:t>
      </w:r>
      <w:r w:rsidR="00F373A3" w:rsidRPr="00181FCD">
        <w:t xml:space="preserve"> </w:t>
      </w:r>
      <w:r w:rsidRPr="00181FCD">
        <w:t>a</w:t>
      </w:r>
      <w:r w:rsidR="00F373A3" w:rsidRPr="00181FCD">
        <w:t xml:space="preserve"> </w:t>
      </w:r>
      <w:r w:rsidRPr="00181FCD">
        <w:t>la</w:t>
      </w:r>
      <w:r w:rsidR="00F373A3" w:rsidRPr="00181FCD">
        <w:t xml:space="preserve"> </w:t>
      </w:r>
      <w:r w:rsidRPr="00181FCD">
        <w:t>reconstrucción,</w:t>
      </w:r>
      <w:r w:rsidR="00F373A3" w:rsidRPr="00181FCD">
        <w:t xml:space="preserve"> </w:t>
      </w:r>
      <w:r w:rsidRPr="00181FCD">
        <w:t>ampliación</w:t>
      </w:r>
      <w:r w:rsidR="00F373A3" w:rsidRPr="00181FCD">
        <w:t xml:space="preserve"> </w:t>
      </w:r>
      <w:r w:rsidRPr="00181FCD">
        <w:t>y</w:t>
      </w:r>
      <w:r w:rsidR="00F373A3" w:rsidRPr="00181FCD">
        <w:t xml:space="preserve"> </w:t>
      </w:r>
      <w:r w:rsidRPr="00181FCD">
        <w:t>modernización</w:t>
      </w:r>
      <w:r w:rsidR="00F373A3" w:rsidRPr="00181FCD">
        <w:t xml:space="preserve"> </w:t>
      </w:r>
      <w:r w:rsidRPr="00181FCD">
        <w:t>de</w:t>
      </w:r>
      <w:r w:rsidR="00F373A3" w:rsidRPr="00181FCD">
        <w:t xml:space="preserve"> </w:t>
      </w:r>
      <w:r w:rsidRPr="00181FCD">
        <w:t>las</w:t>
      </w:r>
      <w:r w:rsidR="00F373A3" w:rsidRPr="00181FCD">
        <w:t xml:space="preserve"> </w:t>
      </w:r>
      <w:r w:rsidRPr="00181FCD">
        <w:t>instalaciones</w:t>
      </w:r>
      <w:r w:rsidR="00F373A3" w:rsidRPr="00181FCD">
        <w:t xml:space="preserve"> </w:t>
      </w:r>
      <w:r w:rsidRPr="00181FCD">
        <w:t>para</w:t>
      </w:r>
      <w:r w:rsidR="00F373A3" w:rsidRPr="00181FCD">
        <w:t xml:space="preserve"> </w:t>
      </w:r>
      <w:r w:rsidRPr="00181FCD">
        <w:t>alojamiento</w:t>
      </w:r>
      <w:r w:rsidR="00F373A3" w:rsidRPr="00181FCD">
        <w:t xml:space="preserve"> </w:t>
      </w:r>
      <w:r w:rsidRPr="00181FCD">
        <w:t>existentes</w:t>
      </w:r>
      <w:r w:rsidR="00F373A3" w:rsidRPr="00181FCD">
        <w:t xml:space="preserve"> </w:t>
      </w:r>
      <w:r w:rsidRPr="00181FCD">
        <w:t>en</w:t>
      </w:r>
      <w:r w:rsidR="00F373A3" w:rsidRPr="00181FCD">
        <w:t xml:space="preserve"> </w:t>
      </w:r>
      <w:r w:rsidRPr="00181FCD">
        <w:t>la</w:t>
      </w:r>
      <w:r w:rsidR="00F373A3" w:rsidRPr="00181FCD">
        <w:t xml:space="preserve"> </w:t>
      </w:r>
      <w:r w:rsidRPr="00181FCD">
        <w:t>Dirección</w:t>
      </w:r>
      <w:r w:rsidR="00F373A3" w:rsidRPr="00181FCD">
        <w:t xml:space="preserve"> </w:t>
      </w:r>
      <w:r w:rsidRPr="00181FCD">
        <w:t>Regional</w:t>
      </w:r>
      <w:r w:rsidR="00F373A3" w:rsidRPr="00181FCD">
        <w:t xml:space="preserve"> </w:t>
      </w:r>
      <w:r w:rsidRPr="00181FCD">
        <w:t>de</w:t>
      </w:r>
      <w:r w:rsidR="00F373A3" w:rsidRPr="00181FCD">
        <w:t xml:space="preserve"> "</w:t>
      </w:r>
      <w:r w:rsidRPr="00181FCD">
        <w:t>Policía</w:t>
      </w:r>
      <w:r w:rsidR="00F373A3" w:rsidRPr="00181FCD">
        <w:t xml:space="preserve"> </w:t>
      </w:r>
      <w:r w:rsidRPr="00181FCD">
        <w:t>de</w:t>
      </w:r>
      <w:r w:rsidR="00F373A3" w:rsidRPr="00181FCD">
        <w:t xml:space="preserve"> </w:t>
      </w:r>
      <w:r w:rsidRPr="00181FCD">
        <w:t>Frontera</w:t>
      </w:r>
      <w:r w:rsidR="00F373A3" w:rsidRPr="00181FCD">
        <w:t xml:space="preserve">" </w:t>
      </w:r>
      <w:r w:rsidRPr="00181FCD">
        <w:t>de</w:t>
      </w:r>
      <w:r w:rsidR="00F373A3" w:rsidRPr="00181FCD">
        <w:t xml:space="preserve"> </w:t>
      </w:r>
      <w:r w:rsidRPr="00181FCD">
        <w:t>Elhovo.</w:t>
      </w:r>
      <w:r w:rsidR="00F373A3" w:rsidRPr="00181FCD">
        <w:t xml:space="preserve"> </w:t>
      </w:r>
      <w:r w:rsidRPr="00181FCD">
        <w:t>Ello</w:t>
      </w:r>
      <w:r w:rsidR="00F373A3" w:rsidRPr="00181FCD">
        <w:t xml:space="preserve"> </w:t>
      </w:r>
      <w:r w:rsidRPr="00181FCD">
        <w:t>incluyó</w:t>
      </w:r>
      <w:r w:rsidR="00F373A3" w:rsidRPr="00181FCD">
        <w:t xml:space="preserve"> </w:t>
      </w:r>
      <w:r w:rsidRPr="00181FCD">
        <w:t>además</w:t>
      </w:r>
      <w:r w:rsidR="00F373A3" w:rsidRPr="00181FCD">
        <w:t xml:space="preserve"> </w:t>
      </w:r>
      <w:r w:rsidRPr="00181FCD">
        <w:t>el</w:t>
      </w:r>
      <w:r w:rsidR="00F373A3" w:rsidRPr="00181FCD">
        <w:t xml:space="preserve"> </w:t>
      </w:r>
      <w:r w:rsidRPr="00181FCD">
        <w:t>reacondicionamiento</w:t>
      </w:r>
      <w:r w:rsidR="00F373A3" w:rsidRPr="00181FCD">
        <w:t xml:space="preserve"> </w:t>
      </w:r>
      <w:r w:rsidRPr="00181FCD">
        <w:t>de</w:t>
      </w:r>
      <w:r w:rsidR="00F373A3" w:rsidRPr="00181FCD">
        <w:t xml:space="preserve"> </w:t>
      </w:r>
      <w:r w:rsidRPr="00181FCD">
        <w:t>locales</w:t>
      </w:r>
      <w:r w:rsidR="00F373A3" w:rsidRPr="00181FCD">
        <w:t xml:space="preserve"> </w:t>
      </w:r>
      <w:r w:rsidRPr="00181FCD">
        <w:t>existentes,</w:t>
      </w:r>
      <w:r w:rsidR="00F373A3" w:rsidRPr="00181FCD">
        <w:t xml:space="preserve"> </w:t>
      </w:r>
      <w:r w:rsidRPr="00181FCD">
        <w:t>que</w:t>
      </w:r>
      <w:r w:rsidR="00F373A3" w:rsidRPr="00181FCD">
        <w:t xml:space="preserve"> </w:t>
      </w:r>
      <w:r w:rsidRPr="00181FCD">
        <w:t>se</w:t>
      </w:r>
      <w:r w:rsidR="00F373A3" w:rsidRPr="00181FCD">
        <w:t xml:space="preserve"> </w:t>
      </w:r>
      <w:r w:rsidRPr="00181FCD">
        <w:t>reservaron</w:t>
      </w:r>
      <w:r w:rsidR="00F373A3" w:rsidRPr="00181FCD">
        <w:t xml:space="preserve"> </w:t>
      </w:r>
      <w:r w:rsidRPr="00181FCD">
        <w:t>como</w:t>
      </w:r>
      <w:r w:rsidR="00F373A3" w:rsidRPr="00181FCD">
        <w:t xml:space="preserve"> </w:t>
      </w:r>
      <w:r w:rsidRPr="00181FCD">
        <w:t>locales</w:t>
      </w:r>
      <w:r w:rsidR="00F373A3" w:rsidRPr="00181FCD">
        <w:t xml:space="preserve"> </w:t>
      </w:r>
      <w:r w:rsidRPr="00181FCD">
        <w:t>para</w:t>
      </w:r>
      <w:r w:rsidR="00F373A3" w:rsidRPr="00181FCD">
        <w:t xml:space="preserve"> </w:t>
      </w:r>
      <w:r w:rsidRPr="00181FCD">
        <w:t>alojar</w:t>
      </w:r>
      <w:r w:rsidR="00F373A3" w:rsidRPr="00181FCD">
        <w:t xml:space="preserve"> </w:t>
      </w:r>
      <w:r w:rsidRPr="00181FCD">
        <w:t>a</w:t>
      </w:r>
      <w:r w:rsidR="00F373A3" w:rsidRPr="00181FCD">
        <w:t xml:space="preserve"> </w:t>
      </w:r>
      <w:r w:rsidRPr="00181FCD">
        <w:t>personas</w:t>
      </w:r>
      <w:r w:rsidR="00F373A3" w:rsidRPr="00181FCD">
        <w:t xml:space="preserve"> </w:t>
      </w:r>
      <w:r w:rsidRPr="00181FCD">
        <w:t>vulnerables</w:t>
      </w:r>
      <w:r w:rsidR="00F373A3" w:rsidRPr="00181FCD">
        <w:t xml:space="preserve"> </w:t>
      </w:r>
      <w:r w:rsidRPr="00181FCD">
        <w:t>(madres</w:t>
      </w:r>
      <w:r w:rsidR="00F373A3" w:rsidRPr="00181FCD">
        <w:t xml:space="preserve"> </w:t>
      </w:r>
      <w:r w:rsidRPr="00181FCD">
        <w:t>e</w:t>
      </w:r>
      <w:r w:rsidR="00F373A3" w:rsidRPr="00181FCD">
        <w:t xml:space="preserve"> </w:t>
      </w:r>
      <w:r w:rsidRPr="00181FCD">
        <w:t>hijos)</w:t>
      </w:r>
      <w:r w:rsidR="00F373A3" w:rsidRPr="00181FCD">
        <w:t xml:space="preserve"> </w:t>
      </w:r>
      <w:r w:rsidRPr="00181FCD">
        <w:t>y</w:t>
      </w:r>
      <w:r w:rsidR="00F373A3" w:rsidRPr="00181FCD">
        <w:t xml:space="preserve"> </w:t>
      </w:r>
      <w:r w:rsidRPr="00181FCD">
        <w:t>baños</w:t>
      </w:r>
      <w:r w:rsidR="00F373A3" w:rsidRPr="00181FCD">
        <w:t xml:space="preserve"> </w:t>
      </w:r>
      <w:r w:rsidRPr="00181FCD">
        <w:t>adicionales.</w:t>
      </w:r>
      <w:r w:rsidR="00F373A3" w:rsidRPr="00181FCD">
        <w:t xml:space="preserve"> </w:t>
      </w:r>
      <w:r w:rsidRPr="00181FCD">
        <w:t>En</w:t>
      </w:r>
      <w:r w:rsidR="00F373A3" w:rsidRPr="00181FCD">
        <w:t xml:space="preserve"> </w:t>
      </w:r>
      <w:r w:rsidRPr="00181FCD">
        <w:t>relación</w:t>
      </w:r>
      <w:r w:rsidR="00F373A3" w:rsidRPr="00181FCD">
        <w:t xml:space="preserve"> </w:t>
      </w:r>
      <w:r w:rsidRPr="00181FCD">
        <w:t>con</w:t>
      </w:r>
      <w:r w:rsidR="00F373A3" w:rsidRPr="00181FCD">
        <w:t xml:space="preserve"> </w:t>
      </w:r>
      <w:r w:rsidRPr="00181FCD">
        <w:t>el</w:t>
      </w:r>
      <w:r w:rsidR="00F373A3" w:rsidRPr="00181FCD">
        <w:t xml:space="preserve"> </w:t>
      </w:r>
      <w:r w:rsidRPr="00181FCD">
        <w:t>aumento</w:t>
      </w:r>
      <w:r w:rsidR="00F373A3" w:rsidRPr="00181FCD">
        <w:t xml:space="preserve"> </w:t>
      </w:r>
      <w:r w:rsidRPr="00181FCD">
        <w:t>de</w:t>
      </w:r>
      <w:r w:rsidR="00F373A3" w:rsidRPr="00181FCD">
        <w:t xml:space="preserve"> </w:t>
      </w:r>
      <w:r w:rsidRPr="00181FCD">
        <w:t>la</w:t>
      </w:r>
      <w:r w:rsidR="00F373A3" w:rsidRPr="00181FCD">
        <w:t xml:space="preserve"> </w:t>
      </w:r>
      <w:r w:rsidRPr="00181FCD">
        <w:t>presión</w:t>
      </w:r>
      <w:r w:rsidR="00F373A3" w:rsidRPr="00181FCD">
        <w:t xml:space="preserve"> </w:t>
      </w:r>
      <w:r w:rsidRPr="00181FCD">
        <w:t>migratoria</w:t>
      </w:r>
      <w:r w:rsidR="00F373A3" w:rsidRPr="00181FCD">
        <w:t xml:space="preserve"> </w:t>
      </w:r>
      <w:r w:rsidRPr="00181FCD">
        <w:t>en</w:t>
      </w:r>
      <w:r w:rsidR="00F373A3" w:rsidRPr="00181FCD">
        <w:t xml:space="preserve"> </w:t>
      </w:r>
      <w:r w:rsidRPr="00181FCD">
        <w:t>la</w:t>
      </w:r>
      <w:r w:rsidR="00F373A3" w:rsidRPr="00181FCD">
        <w:t xml:space="preserve"> </w:t>
      </w:r>
      <w:r w:rsidRPr="00181FCD">
        <w:t>frontera</w:t>
      </w:r>
      <w:r w:rsidR="00F373A3" w:rsidRPr="00181FCD">
        <w:t xml:space="preserve"> </w:t>
      </w:r>
      <w:r w:rsidR="002E5756" w:rsidRPr="00181FCD">
        <w:t>búlgaro</w:t>
      </w:r>
      <w:r w:rsidR="002E5756" w:rsidRPr="00181FCD">
        <w:noBreakHyphen/>
      </w:r>
      <w:r w:rsidRPr="00181FCD">
        <w:t>turca</w:t>
      </w:r>
      <w:r w:rsidR="00F373A3" w:rsidRPr="00181FCD">
        <w:t xml:space="preserve"> </w:t>
      </w:r>
      <w:r w:rsidRPr="00181FCD">
        <w:t>en</w:t>
      </w:r>
      <w:r w:rsidR="00F373A3" w:rsidRPr="00181FCD">
        <w:t xml:space="preserve"> </w:t>
      </w:r>
      <w:r w:rsidRPr="00181FCD">
        <w:t>los</w:t>
      </w:r>
      <w:r w:rsidR="00F373A3" w:rsidRPr="00181FCD">
        <w:t xml:space="preserve"> </w:t>
      </w:r>
      <w:r w:rsidRPr="00181FCD">
        <w:t>últimos</w:t>
      </w:r>
      <w:r w:rsidR="00F373A3" w:rsidRPr="00181FCD">
        <w:t xml:space="preserve"> </w:t>
      </w:r>
      <w:r w:rsidRPr="00181FCD">
        <w:t>años,</w:t>
      </w:r>
      <w:r w:rsidR="00F373A3" w:rsidRPr="00181FCD">
        <w:t xml:space="preserve"> </w:t>
      </w:r>
      <w:r w:rsidRPr="00181FCD">
        <w:t>se</w:t>
      </w:r>
      <w:r w:rsidR="00F373A3" w:rsidRPr="00181FCD">
        <w:t xml:space="preserve"> </w:t>
      </w:r>
      <w:r w:rsidRPr="00181FCD">
        <w:t>firmó</w:t>
      </w:r>
      <w:r w:rsidR="00F373A3" w:rsidRPr="00181FCD">
        <w:t xml:space="preserve"> </w:t>
      </w:r>
      <w:r w:rsidRPr="00181FCD">
        <w:t>un</w:t>
      </w:r>
      <w:r w:rsidR="00F373A3" w:rsidRPr="00181FCD">
        <w:t xml:space="preserve"> </w:t>
      </w:r>
      <w:r w:rsidRPr="00181FCD">
        <w:t>acuerdo</w:t>
      </w:r>
      <w:r w:rsidR="00F373A3" w:rsidRPr="00181FCD">
        <w:t xml:space="preserve"> </w:t>
      </w:r>
      <w:r w:rsidRPr="00181FCD">
        <w:t>de</w:t>
      </w:r>
      <w:r w:rsidR="00F373A3" w:rsidRPr="00181FCD">
        <w:t xml:space="preserve"> </w:t>
      </w:r>
      <w:r w:rsidRPr="00181FCD">
        <w:t>subvención</w:t>
      </w:r>
      <w:r w:rsidR="00F373A3" w:rsidRPr="00181FCD">
        <w:t xml:space="preserve"> </w:t>
      </w:r>
      <w:r w:rsidRPr="00181FCD">
        <w:t>HOME/2012/EBFX/CA/EA/3001</w:t>
      </w:r>
      <w:r w:rsidR="00F373A3" w:rsidRPr="00181FCD">
        <w:t xml:space="preserve"> </w:t>
      </w:r>
      <w:r w:rsidRPr="00181FCD">
        <w:t>sobre</w:t>
      </w:r>
      <w:r w:rsidR="00F373A3" w:rsidRPr="00181FCD">
        <w:t xml:space="preserve"> </w:t>
      </w:r>
      <w:r w:rsidRPr="00181FCD">
        <w:t>el</w:t>
      </w:r>
      <w:r w:rsidR="00F373A3" w:rsidRPr="00181FCD">
        <w:t xml:space="preserve"> </w:t>
      </w:r>
      <w:r w:rsidRPr="00181FCD">
        <w:t>Proyecto</w:t>
      </w:r>
      <w:r w:rsidR="00F373A3" w:rsidRPr="00181FCD">
        <w:t xml:space="preserve"> "</w:t>
      </w:r>
      <w:r w:rsidRPr="00181FCD">
        <w:t>Apoyo</w:t>
      </w:r>
      <w:r w:rsidR="00F373A3" w:rsidRPr="00181FCD">
        <w:t xml:space="preserve"> </w:t>
      </w:r>
      <w:r w:rsidRPr="00181FCD">
        <w:t>para</w:t>
      </w:r>
      <w:r w:rsidR="00F373A3" w:rsidRPr="00181FCD">
        <w:t xml:space="preserve"> </w:t>
      </w:r>
      <w:r w:rsidRPr="00181FCD">
        <w:t>hacer</w:t>
      </w:r>
      <w:r w:rsidR="00F373A3" w:rsidRPr="00181FCD">
        <w:t xml:space="preserve"> </w:t>
      </w:r>
      <w:r w:rsidRPr="00181FCD">
        <w:t>frente</w:t>
      </w:r>
      <w:r w:rsidR="00F373A3" w:rsidRPr="00181FCD">
        <w:t xml:space="preserve"> </w:t>
      </w:r>
      <w:r w:rsidRPr="00181FCD">
        <w:t>a</w:t>
      </w:r>
      <w:r w:rsidR="00F373A3" w:rsidRPr="00181FCD">
        <w:t xml:space="preserve"> </w:t>
      </w:r>
      <w:r w:rsidRPr="00181FCD">
        <w:t>la</w:t>
      </w:r>
      <w:r w:rsidR="00F373A3" w:rsidRPr="00181FCD">
        <w:t xml:space="preserve"> </w:t>
      </w:r>
      <w:r w:rsidRPr="00181FCD">
        <w:t>presión</w:t>
      </w:r>
      <w:r w:rsidR="00F373A3" w:rsidRPr="00181FCD">
        <w:t xml:space="preserve"> </w:t>
      </w:r>
      <w:r w:rsidRPr="00181FCD">
        <w:t>migratoria</w:t>
      </w:r>
      <w:r w:rsidR="00F373A3" w:rsidRPr="00181FCD">
        <w:t xml:space="preserve"> </w:t>
      </w:r>
      <w:r w:rsidRPr="00181FCD">
        <w:t>en</w:t>
      </w:r>
      <w:r w:rsidR="00F373A3" w:rsidRPr="00181FCD">
        <w:t xml:space="preserve"> </w:t>
      </w:r>
      <w:r w:rsidRPr="00181FCD">
        <w:t>la</w:t>
      </w:r>
      <w:r w:rsidR="00F373A3" w:rsidRPr="00181FCD">
        <w:t xml:space="preserve"> </w:t>
      </w:r>
      <w:r w:rsidRPr="00181FCD">
        <w:t>frontera</w:t>
      </w:r>
      <w:r w:rsidR="00F373A3" w:rsidRPr="00181FCD">
        <w:t xml:space="preserve"> </w:t>
      </w:r>
      <w:r w:rsidRPr="00181FCD">
        <w:t>búlgaro-turca</w:t>
      </w:r>
      <w:r w:rsidR="00F373A3" w:rsidRPr="00181FCD">
        <w:t xml:space="preserve"> </w:t>
      </w:r>
      <w:r w:rsidR="002E5756" w:rsidRPr="00181FCD">
        <w:t>–</w:t>
      </w:r>
      <w:r w:rsidR="00F373A3" w:rsidRPr="00181FCD">
        <w:t xml:space="preserve"> </w:t>
      </w:r>
      <w:r w:rsidRPr="00181FCD">
        <w:t>Medidas</w:t>
      </w:r>
      <w:r w:rsidR="00F373A3" w:rsidRPr="00181FCD">
        <w:t xml:space="preserve"> </w:t>
      </w:r>
      <w:r w:rsidRPr="00181FCD">
        <w:t>de</w:t>
      </w:r>
      <w:r w:rsidR="00F373A3" w:rsidRPr="00181FCD">
        <w:t xml:space="preserve"> </w:t>
      </w:r>
      <w:r w:rsidR="001247AC" w:rsidRPr="00181FCD">
        <w:t>emergencia</w:t>
      </w:r>
      <w:r w:rsidR="00F373A3" w:rsidRPr="00181FCD">
        <w:t>"</w:t>
      </w:r>
      <w:r w:rsidR="001247AC" w:rsidRPr="00181FCD">
        <w:t>.</w:t>
      </w:r>
      <w:r w:rsidR="00F373A3" w:rsidRPr="00181FCD">
        <w:t xml:space="preserve"> </w:t>
      </w:r>
      <w:r w:rsidRPr="00181FCD">
        <w:t>En</w:t>
      </w:r>
      <w:r w:rsidR="00F373A3" w:rsidRPr="00181FCD">
        <w:t xml:space="preserve"> </w:t>
      </w:r>
      <w:r w:rsidRPr="00181FCD">
        <w:t>virtud</w:t>
      </w:r>
      <w:r w:rsidR="00F373A3" w:rsidRPr="00181FCD">
        <w:t xml:space="preserve"> </w:t>
      </w:r>
      <w:r w:rsidRPr="00181FCD">
        <w:t>del</w:t>
      </w:r>
      <w:r w:rsidR="00F373A3" w:rsidRPr="00181FCD">
        <w:t xml:space="preserve"> </w:t>
      </w:r>
      <w:r w:rsidRPr="00181FCD">
        <w:t>acuerdo</w:t>
      </w:r>
      <w:r w:rsidR="00F373A3" w:rsidRPr="00181FCD">
        <w:t xml:space="preserve"> </w:t>
      </w:r>
      <w:r w:rsidRPr="00181FCD">
        <w:t>de</w:t>
      </w:r>
      <w:r w:rsidR="00F373A3" w:rsidRPr="00181FCD">
        <w:t xml:space="preserve"> </w:t>
      </w:r>
      <w:r w:rsidRPr="00181FCD">
        <w:t>subvención,</w:t>
      </w:r>
      <w:r w:rsidR="00F373A3" w:rsidRPr="00181FCD">
        <w:t xml:space="preserve"> </w:t>
      </w:r>
      <w:r w:rsidRPr="00181FCD">
        <w:t>se</w:t>
      </w:r>
      <w:r w:rsidR="00F373A3" w:rsidRPr="00181FCD">
        <w:t xml:space="preserve"> </w:t>
      </w:r>
      <w:r w:rsidRPr="00181FCD">
        <w:t>han</w:t>
      </w:r>
      <w:r w:rsidR="00F373A3" w:rsidRPr="00181FCD">
        <w:t xml:space="preserve"> </w:t>
      </w:r>
      <w:r w:rsidRPr="00181FCD">
        <w:t>financiado</w:t>
      </w:r>
      <w:r w:rsidR="00F373A3" w:rsidRPr="00181FCD">
        <w:t xml:space="preserve"> </w:t>
      </w:r>
      <w:r w:rsidRPr="00181FCD">
        <w:t>las</w:t>
      </w:r>
      <w:r w:rsidR="00F373A3" w:rsidRPr="00181FCD">
        <w:t xml:space="preserve"> </w:t>
      </w:r>
      <w:r w:rsidRPr="00181FCD">
        <w:t>siguientes</w:t>
      </w:r>
      <w:r w:rsidR="00F373A3" w:rsidRPr="00181FCD">
        <w:t xml:space="preserve"> </w:t>
      </w:r>
      <w:r w:rsidRPr="00181FCD">
        <w:t>actividades:</w:t>
      </w:r>
    </w:p>
    <w:p w:rsidR="001937F4" w:rsidRPr="00181FCD" w:rsidRDefault="001937F4" w:rsidP="00A35D86">
      <w:pPr>
        <w:pStyle w:val="Bullet1G"/>
      </w:pPr>
      <w:r w:rsidRPr="00181FCD">
        <w:t>Mantenimiento</w:t>
      </w:r>
      <w:r w:rsidR="00F373A3" w:rsidRPr="00181FCD">
        <w:t xml:space="preserve"> </w:t>
      </w:r>
      <w:r w:rsidRPr="00181FCD">
        <w:t>y</w:t>
      </w:r>
      <w:r w:rsidR="00F373A3" w:rsidRPr="00181FCD">
        <w:t xml:space="preserve"> </w:t>
      </w:r>
      <w:r w:rsidRPr="00181FCD">
        <w:t>reparación</w:t>
      </w:r>
      <w:r w:rsidR="00F373A3" w:rsidRPr="00181FCD">
        <w:t xml:space="preserve"> </w:t>
      </w:r>
      <w:r w:rsidRPr="00181FCD">
        <w:t>de</w:t>
      </w:r>
      <w:r w:rsidR="00F373A3" w:rsidRPr="00181FCD">
        <w:t xml:space="preserve"> </w:t>
      </w:r>
      <w:r w:rsidRPr="00181FCD">
        <w:t>las</w:t>
      </w:r>
      <w:r w:rsidR="00F373A3" w:rsidRPr="00181FCD">
        <w:t xml:space="preserve"> </w:t>
      </w:r>
      <w:r w:rsidRPr="00181FCD">
        <w:t>instalaciones</w:t>
      </w:r>
      <w:r w:rsidR="00F373A3" w:rsidRPr="00181FCD">
        <w:t xml:space="preserve"> </w:t>
      </w:r>
      <w:r w:rsidRPr="00181FCD">
        <w:t>para</w:t>
      </w:r>
      <w:r w:rsidR="00F373A3" w:rsidRPr="00181FCD">
        <w:t xml:space="preserve"> </w:t>
      </w:r>
      <w:r w:rsidRPr="00181FCD">
        <w:t>alojamiento</w:t>
      </w:r>
      <w:r w:rsidR="00A35D86" w:rsidRPr="00181FCD">
        <w:t>;</w:t>
      </w:r>
    </w:p>
    <w:p w:rsidR="001937F4" w:rsidRPr="00181FCD" w:rsidRDefault="001937F4" w:rsidP="00A35D86">
      <w:pPr>
        <w:pStyle w:val="Bullet1G"/>
      </w:pPr>
      <w:r w:rsidRPr="00181FCD">
        <w:t>Creación</w:t>
      </w:r>
      <w:r w:rsidR="00F373A3" w:rsidRPr="00181FCD">
        <w:t xml:space="preserve"> </w:t>
      </w:r>
      <w:r w:rsidRPr="00181FCD">
        <w:t>de</w:t>
      </w:r>
      <w:r w:rsidR="00F373A3" w:rsidRPr="00181FCD">
        <w:t xml:space="preserve"> </w:t>
      </w:r>
      <w:r w:rsidRPr="00181FCD">
        <w:t>las</w:t>
      </w:r>
      <w:r w:rsidR="00F373A3" w:rsidRPr="00181FCD">
        <w:t xml:space="preserve"> </w:t>
      </w:r>
      <w:r w:rsidRPr="00181FCD">
        <w:t>condiciones</w:t>
      </w:r>
      <w:r w:rsidR="00F373A3" w:rsidRPr="00181FCD">
        <w:t xml:space="preserve"> </w:t>
      </w:r>
      <w:r w:rsidRPr="00181FCD">
        <w:t>para</w:t>
      </w:r>
      <w:r w:rsidR="00F373A3" w:rsidRPr="00181FCD">
        <w:t xml:space="preserve"> </w:t>
      </w:r>
      <w:r w:rsidRPr="00181FCD">
        <w:t>residencia</w:t>
      </w:r>
      <w:r w:rsidR="00F373A3" w:rsidRPr="00181FCD">
        <w:t xml:space="preserve"> </w:t>
      </w:r>
      <w:r w:rsidRPr="00181FCD">
        <w:t>y</w:t>
      </w:r>
      <w:r w:rsidR="00F373A3" w:rsidRPr="00181FCD">
        <w:t xml:space="preserve"> </w:t>
      </w:r>
      <w:r w:rsidRPr="00181FCD">
        <w:t>atención</w:t>
      </w:r>
      <w:r w:rsidR="00F373A3" w:rsidRPr="00181FCD">
        <w:t xml:space="preserve"> </w:t>
      </w:r>
      <w:r w:rsidRPr="00181FCD">
        <w:t>de</w:t>
      </w:r>
      <w:r w:rsidR="00F373A3" w:rsidRPr="00181FCD">
        <w:t xml:space="preserve"> </w:t>
      </w:r>
      <w:r w:rsidRPr="00181FCD">
        <w:t>las</w:t>
      </w:r>
      <w:r w:rsidR="00F373A3" w:rsidRPr="00181FCD">
        <w:t xml:space="preserve"> </w:t>
      </w:r>
      <w:r w:rsidRPr="00181FCD">
        <w:t>necesidades</w:t>
      </w:r>
      <w:r w:rsidR="00F373A3" w:rsidRPr="00181FCD">
        <w:t xml:space="preserve"> </w:t>
      </w:r>
      <w:r w:rsidRPr="00181FCD">
        <w:t>básicas</w:t>
      </w:r>
      <w:r w:rsidR="00F373A3" w:rsidRPr="00181FCD">
        <w:t xml:space="preserve"> </w:t>
      </w:r>
      <w:r w:rsidRPr="00181FCD">
        <w:t>de</w:t>
      </w:r>
      <w:r w:rsidR="00F373A3" w:rsidRPr="00181FCD">
        <w:t xml:space="preserve"> </w:t>
      </w:r>
      <w:r w:rsidRPr="00181FCD">
        <w:t>las</w:t>
      </w:r>
      <w:r w:rsidR="00F373A3" w:rsidRPr="00181FCD">
        <w:t xml:space="preserve"> </w:t>
      </w:r>
      <w:r w:rsidRPr="00181FCD">
        <w:t>personas</w:t>
      </w:r>
      <w:r w:rsidR="00F373A3" w:rsidRPr="00181FCD">
        <w:t xml:space="preserve"> </w:t>
      </w:r>
      <w:r w:rsidRPr="00181FCD">
        <w:t>alojadas;</w:t>
      </w:r>
      <w:r w:rsidR="00F373A3" w:rsidRPr="00181FCD">
        <w:t xml:space="preserve"> </w:t>
      </w:r>
      <w:r w:rsidRPr="00181FCD">
        <w:t>se</w:t>
      </w:r>
      <w:r w:rsidR="00F373A3" w:rsidRPr="00181FCD">
        <w:t xml:space="preserve"> </w:t>
      </w:r>
      <w:r w:rsidRPr="00181FCD">
        <w:t>ha</w:t>
      </w:r>
      <w:r w:rsidR="00F373A3" w:rsidRPr="00181FCD">
        <w:t xml:space="preserve"> </w:t>
      </w:r>
      <w:r w:rsidRPr="00181FCD">
        <w:t>facilitado</w:t>
      </w:r>
      <w:r w:rsidR="00F373A3" w:rsidRPr="00181FCD">
        <w:t xml:space="preserve"> </w:t>
      </w:r>
      <w:r w:rsidRPr="00181FCD">
        <w:t>financiación</w:t>
      </w:r>
      <w:r w:rsidR="00F373A3" w:rsidRPr="00181FCD">
        <w:t xml:space="preserve"> </w:t>
      </w:r>
      <w:r w:rsidRPr="00181FCD">
        <w:t>para</w:t>
      </w:r>
      <w:r w:rsidR="00F373A3" w:rsidRPr="00181FCD">
        <w:t xml:space="preserve"> </w:t>
      </w:r>
      <w:r w:rsidRPr="00181FCD">
        <w:t>los</w:t>
      </w:r>
      <w:r w:rsidR="00F373A3" w:rsidRPr="00181FCD">
        <w:t xml:space="preserve"> </w:t>
      </w:r>
      <w:r w:rsidRPr="00181FCD">
        <w:t>servicios</w:t>
      </w:r>
      <w:r w:rsidR="00F373A3" w:rsidRPr="00181FCD">
        <w:t xml:space="preserve"> </w:t>
      </w:r>
      <w:r w:rsidRPr="00181FCD">
        <w:t>públicos,</w:t>
      </w:r>
      <w:r w:rsidR="00F373A3" w:rsidRPr="00181FCD">
        <w:t xml:space="preserve"> </w:t>
      </w:r>
      <w:r w:rsidRPr="00181FCD">
        <w:t>botiquines</w:t>
      </w:r>
      <w:r w:rsidR="00F373A3" w:rsidRPr="00181FCD">
        <w:t xml:space="preserve"> </w:t>
      </w:r>
      <w:r w:rsidRPr="00181FCD">
        <w:t>sanitarios,</w:t>
      </w:r>
      <w:r w:rsidR="00F373A3" w:rsidRPr="00181FCD">
        <w:t xml:space="preserve"> </w:t>
      </w:r>
      <w:r w:rsidRPr="00181FCD">
        <w:t>alimentos,</w:t>
      </w:r>
      <w:r w:rsidR="00F373A3" w:rsidRPr="00181FCD">
        <w:t xml:space="preserve"> </w:t>
      </w:r>
      <w:r w:rsidRPr="00181FCD">
        <w:t>productos</w:t>
      </w:r>
      <w:r w:rsidR="00F373A3" w:rsidRPr="00181FCD">
        <w:t xml:space="preserve"> </w:t>
      </w:r>
      <w:r w:rsidRPr="00181FCD">
        <w:t>de</w:t>
      </w:r>
      <w:r w:rsidR="00F373A3" w:rsidRPr="00181FCD">
        <w:t xml:space="preserve"> </w:t>
      </w:r>
      <w:r w:rsidRPr="00181FCD">
        <w:t>limpieza,</w:t>
      </w:r>
      <w:r w:rsidR="00F373A3" w:rsidRPr="00181FCD">
        <w:t xml:space="preserve"> </w:t>
      </w:r>
      <w:r w:rsidRPr="00181FCD">
        <w:t>etc.</w:t>
      </w:r>
    </w:p>
    <w:p w:rsidR="001937F4" w:rsidRPr="00181FCD" w:rsidRDefault="001937F4" w:rsidP="00347B20">
      <w:pPr>
        <w:pStyle w:val="SingleTxtG"/>
        <w:suppressAutoHyphens/>
      </w:pPr>
      <w:r w:rsidRPr="00181FCD">
        <w:t>106.</w:t>
      </w:r>
      <w:r w:rsidRPr="00181FCD">
        <w:tab/>
        <w:t>El</w:t>
      </w:r>
      <w:r w:rsidR="00F373A3" w:rsidRPr="00181FCD">
        <w:t xml:space="preserve"> </w:t>
      </w:r>
      <w:r w:rsidRPr="00181FCD">
        <w:t>proceso</w:t>
      </w:r>
      <w:r w:rsidR="00F373A3" w:rsidRPr="00181FCD">
        <w:t xml:space="preserve"> </w:t>
      </w:r>
      <w:r w:rsidRPr="00181FCD">
        <w:t>del</w:t>
      </w:r>
      <w:r w:rsidR="00F373A3" w:rsidRPr="00181FCD">
        <w:t xml:space="preserve"> </w:t>
      </w:r>
      <w:r w:rsidRPr="00181FCD">
        <w:t>examen</w:t>
      </w:r>
      <w:r w:rsidR="00F373A3" w:rsidRPr="00181FCD">
        <w:t xml:space="preserve"> </w:t>
      </w:r>
      <w:r w:rsidRPr="00181FCD">
        <w:t>de</w:t>
      </w:r>
      <w:r w:rsidR="00F373A3" w:rsidRPr="00181FCD">
        <w:t xml:space="preserve"> </w:t>
      </w:r>
      <w:r w:rsidRPr="00181FCD">
        <w:t>una</w:t>
      </w:r>
      <w:r w:rsidR="00F373A3" w:rsidRPr="00181FCD">
        <w:t xml:space="preserve"> </w:t>
      </w:r>
      <w:r w:rsidRPr="00181FCD">
        <w:t>solicitud</w:t>
      </w:r>
      <w:r w:rsidR="00F373A3" w:rsidRPr="00181FCD">
        <w:t xml:space="preserve"> </w:t>
      </w:r>
      <w:r w:rsidRPr="00181FCD">
        <w:t>de</w:t>
      </w:r>
      <w:r w:rsidR="00F373A3" w:rsidRPr="00181FCD">
        <w:t xml:space="preserve"> </w:t>
      </w:r>
      <w:r w:rsidRPr="00181FCD">
        <w:t>protección,</w:t>
      </w:r>
      <w:r w:rsidR="00F373A3" w:rsidRPr="00181FCD">
        <w:t xml:space="preserve"> </w:t>
      </w:r>
      <w:r w:rsidRPr="00181FCD">
        <w:t>incluida</w:t>
      </w:r>
      <w:r w:rsidR="00F373A3" w:rsidRPr="00181FCD">
        <w:t xml:space="preserve"> </w:t>
      </w:r>
      <w:r w:rsidRPr="00181FCD">
        <w:t>la</w:t>
      </w:r>
      <w:r w:rsidR="00F373A3" w:rsidRPr="00181FCD">
        <w:t xml:space="preserve"> </w:t>
      </w:r>
      <w:r w:rsidRPr="00181FCD">
        <w:t>recopilación</w:t>
      </w:r>
      <w:r w:rsidR="00F373A3" w:rsidRPr="00181FCD">
        <w:t xml:space="preserve"> </w:t>
      </w:r>
      <w:r w:rsidRPr="00181FCD">
        <w:t>de</w:t>
      </w:r>
      <w:r w:rsidR="00F373A3" w:rsidRPr="00181FCD">
        <w:t xml:space="preserve"> </w:t>
      </w:r>
      <w:r w:rsidRPr="00181FCD">
        <w:t>pruebas</w:t>
      </w:r>
      <w:r w:rsidR="00F373A3" w:rsidRPr="00181FCD">
        <w:t xml:space="preserve"> </w:t>
      </w:r>
      <w:r w:rsidRPr="00181FCD">
        <w:t>y</w:t>
      </w:r>
      <w:r w:rsidR="00F373A3" w:rsidRPr="00181FCD">
        <w:t xml:space="preserve"> </w:t>
      </w:r>
      <w:r w:rsidRPr="00181FCD">
        <w:t>la</w:t>
      </w:r>
      <w:r w:rsidR="00F373A3" w:rsidRPr="00181FCD">
        <w:t xml:space="preserve"> </w:t>
      </w:r>
      <w:r w:rsidRPr="00181FCD">
        <w:t>redacción</w:t>
      </w:r>
      <w:r w:rsidR="00F373A3" w:rsidRPr="00181FCD">
        <w:t xml:space="preserve"> </w:t>
      </w:r>
      <w:r w:rsidRPr="00181FCD">
        <w:t>de</w:t>
      </w:r>
      <w:r w:rsidR="00F373A3" w:rsidRPr="00181FCD">
        <w:t xml:space="preserve"> </w:t>
      </w:r>
      <w:r w:rsidRPr="00181FCD">
        <w:t>las</w:t>
      </w:r>
      <w:r w:rsidR="00F373A3" w:rsidRPr="00181FCD">
        <w:t xml:space="preserve"> </w:t>
      </w:r>
      <w:r w:rsidRPr="00181FCD">
        <w:t>actas</w:t>
      </w:r>
      <w:r w:rsidR="00F373A3" w:rsidRPr="00181FCD">
        <w:t xml:space="preserve"> </w:t>
      </w:r>
      <w:r w:rsidRPr="00181FCD">
        <w:t>de</w:t>
      </w:r>
      <w:r w:rsidR="00F373A3" w:rsidRPr="00181FCD">
        <w:t xml:space="preserve"> </w:t>
      </w:r>
      <w:r w:rsidRPr="00181FCD">
        <w:t>las</w:t>
      </w:r>
      <w:r w:rsidR="00F373A3" w:rsidRPr="00181FCD">
        <w:t xml:space="preserve"> </w:t>
      </w:r>
      <w:r w:rsidRPr="00181FCD">
        <w:t>entrevistas,</w:t>
      </w:r>
      <w:r w:rsidR="00F373A3" w:rsidRPr="00181FCD">
        <w:t xml:space="preserve"> </w:t>
      </w:r>
      <w:r w:rsidRPr="00181FCD">
        <w:t>se</w:t>
      </w:r>
      <w:r w:rsidR="00F373A3" w:rsidRPr="00181FCD">
        <w:t xml:space="preserve"> </w:t>
      </w:r>
      <w:r w:rsidRPr="00181FCD">
        <w:t>ajusta</w:t>
      </w:r>
      <w:r w:rsidR="00F373A3" w:rsidRPr="00181FCD">
        <w:t xml:space="preserve"> </w:t>
      </w:r>
      <w:r w:rsidRPr="00181FCD">
        <w:t>plenamente</w:t>
      </w:r>
      <w:r w:rsidR="00F373A3" w:rsidRPr="00181FCD">
        <w:t xml:space="preserve"> </w:t>
      </w:r>
      <w:r w:rsidRPr="00181FCD">
        <w:t>a</w:t>
      </w:r>
      <w:r w:rsidR="00F373A3" w:rsidRPr="00181FCD">
        <w:t xml:space="preserve"> </w:t>
      </w:r>
      <w:r w:rsidRPr="00181FCD">
        <w:t>la</w:t>
      </w:r>
      <w:r w:rsidR="00F373A3" w:rsidRPr="00181FCD">
        <w:t xml:space="preserve"> </w:t>
      </w:r>
      <w:r w:rsidRPr="00181FCD">
        <w:t>legislación</w:t>
      </w:r>
      <w:r w:rsidR="00F373A3" w:rsidRPr="00181FCD">
        <w:t xml:space="preserve"> </w:t>
      </w:r>
      <w:r w:rsidRPr="00181FCD">
        <w:t>nacional</w:t>
      </w:r>
      <w:r w:rsidR="00F373A3" w:rsidRPr="00181FCD">
        <w:t xml:space="preserve"> </w:t>
      </w:r>
      <w:r w:rsidRPr="00181FCD">
        <w:t>e</w:t>
      </w:r>
      <w:r w:rsidR="00F373A3" w:rsidRPr="00181FCD">
        <w:t xml:space="preserve"> </w:t>
      </w:r>
      <w:r w:rsidRPr="00181FCD">
        <w:t>internacional,</w:t>
      </w:r>
      <w:r w:rsidR="00F373A3" w:rsidRPr="00181FCD">
        <w:t xml:space="preserve"> </w:t>
      </w:r>
      <w:r w:rsidRPr="00181FCD">
        <w:t>así</w:t>
      </w:r>
      <w:r w:rsidR="00F373A3" w:rsidRPr="00181FCD">
        <w:t xml:space="preserve"> </w:t>
      </w:r>
      <w:r w:rsidRPr="00181FCD">
        <w:t>como</w:t>
      </w:r>
      <w:r w:rsidR="00F373A3" w:rsidRPr="00181FCD">
        <w:t xml:space="preserve"> </w:t>
      </w:r>
      <w:r w:rsidRPr="00181FCD">
        <w:t>del</w:t>
      </w:r>
      <w:r w:rsidR="00F373A3" w:rsidRPr="00181FCD">
        <w:t xml:space="preserve"> </w:t>
      </w:r>
      <w:r w:rsidRPr="00181FCD">
        <w:t>derecho</w:t>
      </w:r>
      <w:r w:rsidR="00F373A3" w:rsidRPr="00181FCD">
        <w:t xml:space="preserve"> </w:t>
      </w:r>
      <w:r w:rsidRPr="00181FCD">
        <w:t>de</w:t>
      </w:r>
      <w:r w:rsidR="00F373A3" w:rsidRPr="00181FCD">
        <w:t xml:space="preserve"> </w:t>
      </w:r>
      <w:r w:rsidRPr="00181FCD">
        <w:t>la</w:t>
      </w:r>
      <w:r w:rsidR="00F373A3" w:rsidRPr="00181FCD">
        <w:t xml:space="preserve"> </w:t>
      </w:r>
      <w:r w:rsidRPr="00181FCD">
        <w:t>Unión</w:t>
      </w:r>
      <w:r w:rsidR="00F373A3" w:rsidRPr="00181FCD">
        <w:t xml:space="preserve"> </w:t>
      </w:r>
      <w:r w:rsidRPr="00181FCD">
        <w:t>Europea.</w:t>
      </w:r>
      <w:r w:rsidR="00F373A3" w:rsidRPr="00181FCD">
        <w:t xml:space="preserve"> </w:t>
      </w:r>
      <w:r w:rsidRPr="00181FCD">
        <w:t>Todas</w:t>
      </w:r>
      <w:r w:rsidR="00F373A3" w:rsidRPr="00181FCD">
        <w:t xml:space="preserve"> </w:t>
      </w:r>
      <w:r w:rsidRPr="00181FCD">
        <w:t>las</w:t>
      </w:r>
      <w:r w:rsidR="00F373A3" w:rsidRPr="00181FCD">
        <w:t xml:space="preserve"> </w:t>
      </w:r>
      <w:r w:rsidRPr="00181FCD">
        <w:t>pruebas</w:t>
      </w:r>
      <w:r w:rsidR="00F373A3" w:rsidRPr="00181FCD">
        <w:t xml:space="preserve"> </w:t>
      </w:r>
      <w:r w:rsidRPr="00181FCD">
        <w:t>se</w:t>
      </w:r>
      <w:r w:rsidR="00F373A3" w:rsidRPr="00181FCD">
        <w:t xml:space="preserve"> </w:t>
      </w:r>
      <w:r w:rsidRPr="00181FCD">
        <w:t>consignarán</w:t>
      </w:r>
      <w:r w:rsidR="00F373A3" w:rsidRPr="00181FCD">
        <w:t xml:space="preserve"> </w:t>
      </w:r>
      <w:r w:rsidRPr="00181FCD">
        <w:t>con</w:t>
      </w:r>
      <w:r w:rsidR="00F373A3" w:rsidRPr="00181FCD">
        <w:t xml:space="preserve"> </w:t>
      </w:r>
      <w:r w:rsidRPr="00181FCD">
        <w:t>un</w:t>
      </w:r>
      <w:r w:rsidR="00F373A3" w:rsidRPr="00181FCD">
        <w:t xml:space="preserve"> </w:t>
      </w:r>
      <w:r w:rsidRPr="00181FCD">
        <w:t>número</w:t>
      </w:r>
      <w:r w:rsidR="00F373A3" w:rsidRPr="00181FCD">
        <w:t xml:space="preserve"> </w:t>
      </w:r>
      <w:r w:rsidRPr="00181FCD">
        <w:t>de</w:t>
      </w:r>
      <w:r w:rsidR="00F373A3" w:rsidRPr="00181FCD">
        <w:t xml:space="preserve"> </w:t>
      </w:r>
      <w:r w:rsidRPr="00181FCD">
        <w:t>registro,</w:t>
      </w:r>
      <w:r w:rsidR="00F373A3" w:rsidRPr="00181FCD">
        <w:t xml:space="preserve"> </w:t>
      </w:r>
      <w:r w:rsidRPr="00181FCD">
        <w:t>se</w:t>
      </w:r>
      <w:r w:rsidR="00F373A3" w:rsidRPr="00181FCD">
        <w:t xml:space="preserve"> </w:t>
      </w:r>
      <w:r w:rsidRPr="00181FCD">
        <w:t>traducirán</w:t>
      </w:r>
      <w:r w:rsidR="00F373A3" w:rsidRPr="00181FCD">
        <w:t xml:space="preserve"> </w:t>
      </w:r>
      <w:r w:rsidRPr="00181FCD">
        <w:t>y</w:t>
      </w:r>
      <w:r w:rsidR="00F373A3" w:rsidRPr="00181FCD">
        <w:t xml:space="preserve"> </w:t>
      </w:r>
      <w:r w:rsidRPr="00181FCD">
        <w:t>se</w:t>
      </w:r>
      <w:r w:rsidR="00F373A3" w:rsidRPr="00181FCD">
        <w:t xml:space="preserve"> </w:t>
      </w:r>
      <w:r w:rsidRPr="00181FCD">
        <w:t>tendrán</w:t>
      </w:r>
      <w:r w:rsidR="00F373A3" w:rsidRPr="00181FCD">
        <w:t xml:space="preserve"> </w:t>
      </w:r>
      <w:r w:rsidRPr="00181FCD">
        <w:t>en</w:t>
      </w:r>
      <w:r w:rsidR="00F373A3" w:rsidRPr="00181FCD">
        <w:t xml:space="preserve"> </w:t>
      </w:r>
      <w:r w:rsidRPr="00181FCD">
        <w:t>cuenta</w:t>
      </w:r>
      <w:r w:rsidR="00F373A3" w:rsidRPr="00181FCD">
        <w:t xml:space="preserve"> </w:t>
      </w:r>
      <w:r w:rsidRPr="00181FCD">
        <w:t>en</w:t>
      </w:r>
      <w:r w:rsidR="00F373A3" w:rsidRPr="00181FCD">
        <w:t xml:space="preserve"> </w:t>
      </w:r>
      <w:r w:rsidRPr="00181FCD">
        <w:t>la</w:t>
      </w:r>
      <w:r w:rsidR="00F373A3" w:rsidRPr="00181FCD">
        <w:t xml:space="preserve"> </w:t>
      </w:r>
      <w:r w:rsidRPr="00181FCD">
        <w:t>decisión</w:t>
      </w:r>
      <w:r w:rsidR="00F373A3" w:rsidRPr="00181FCD">
        <w:t xml:space="preserve"> </w:t>
      </w:r>
      <w:r w:rsidRPr="00181FCD">
        <w:t>sobre</w:t>
      </w:r>
      <w:r w:rsidR="00F373A3" w:rsidRPr="00181FCD">
        <w:t xml:space="preserve"> </w:t>
      </w:r>
      <w:r w:rsidRPr="00181FCD">
        <w:t>la</w:t>
      </w:r>
      <w:r w:rsidR="00F373A3" w:rsidRPr="00181FCD">
        <w:t xml:space="preserve"> </w:t>
      </w:r>
      <w:r w:rsidRPr="00181FCD">
        <w:t>solicitud.</w:t>
      </w:r>
      <w:r w:rsidR="00F373A3" w:rsidRPr="00181FCD">
        <w:t xml:space="preserve"> </w:t>
      </w:r>
      <w:r w:rsidRPr="00181FCD">
        <w:t>Tras</w:t>
      </w:r>
      <w:r w:rsidR="00F373A3" w:rsidRPr="00181FCD">
        <w:t xml:space="preserve"> </w:t>
      </w:r>
      <w:r w:rsidRPr="00181FCD">
        <w:t>cada</w:t>
      </w:r>
      <w:r w:rsidR="00F373A3" w:rsidRPr="00181FCD">
        <w:t xml:space="preserve"> </w:t>
      </w:r>
      <w:r w:rsidRPr="00181FCD">
        <w:t>entrevista</w:t>
      </w:r>
      <w:r w:rsidR="00F373A3" w:rsidRPr="00181FCD">
        <w:t xml:space="preserve"> </w:t>
      </w:r>
      <w:r w:rsidRPr="00181FCD">
        <w:t>con</w:t>
      </w:r>
      <w:r w:rsidR="00F373A3" w:rsidRPr="00181FCD">
        <w:t xml:space="preserve"> </w:t>
      </w:r>
      <w:r w:rsidRPr="00181FCD">
        <w:t>un</w:t>
      </w:r>
      <w:r w:rsidR="00F373A3" w:rsidRPr="00181FCD">
        <w:t xml:space="preserve"> </w:t>
      </w:r>
      <w:r w:rsidRPr="00181FCD">
        <w:t>candidato</w:t>
      </w:r>
      <w:r w:rsidR="00F373A3" w:rsidRPr="00181FCD">
        <w:t xml:space="preserve"> </w:t>
      </w:r>
      <w:r w:rsidRPr="00181FCD">
        <w:t>a</w:t>
      </w:r>
      <w:r w:rsidR="00F373A3" w:rsidRPr="00181FCD">
        <w:t xml:space="preserve"> </w:t>
      </w:r>
      <w:r w:rsidRPr="00181FCD">
        <w:t>la</w:t>
      </w:r>
      <w:r w:rsidR="00F373A3" w:rsidRPr="00181FCD">
        <w:t xml:space="preserve"> </w:t>
      </w:r>
      <w:r w:rsidRPr="00181FCD">
        <w:t>protección</w:t>
      </w:r>
      <w:r w:rsidR="00F373A3" w:rsidRPr="00181FCD">
        <w:t xml:space="preserve"> </w:t>
      </w:r>
      <w:r w:rsidRPr="00181FCD">
        <w:t>se</w:t>
      </w:r>
      <w:r w:rsidR="00F373A3" w:rsidRPr="00181FCD">
        <w:t xml:space="preserve"> </w:t>
      </w:r>
      <w:r w:rsidRPr="00181FCD">
        <w:t>redactará</w:t>
      </w:r>
      <w:r w:rsidR="00F373A3" w:rsidRPr="00181FCD">
        <w:t xml:space="preserve"> </w:t>
      </w:r>
      <w:r w:rsidRPr="00181FCD">
        <w:t>un</w:t>
      </w:r>
      <w:r w:rsidR="00F373A3" w:rsidRPr="00181FCD">
        <w:t xml:space="preserve"> </w:t>
      </w:r>
      <w:r w:rsidRPr="00181FCD">
        <w:t>protocolo.</w:t>
      </w:r>
      <w:r w:rsidR="00F373A3" w:rsidRPr="00181FCD">
        <w:t xml:space="preserve"> </w:t>
      </w:r>
      <w:r w:rsidRPr="00181FCD">
        <w:t>La</w:t>
      </w:r>
      <w:r w:rsidR="00F373A3" w:rsidRPr="00181FCD">
        <w:t xml:space="preserve"> </w:t>
      </w:r>
      <w:r w:rsidRPr="00181FCD">
        <w:t>entrevista</w:t>
      </w:r>
      <w:r w:rsidR="00F373A3" w:rsidRPr="00181FCD">
        <w:t xml:space="preserve"> </w:t>
      </w:r>
      <w:r w:rsidRPr="00181FCD">
        <w:t>tiene</w:t>
      </w:r>
      <w:r w:rsidR="00F373A3" w:rsidRPr="00181FCD">
        <w:t xml:space="preserve"> </w:t>
      </w:r>
      <w:r w:rsidRPr="00181FCD">
        <w:t>lugar</w:t>
      </w:r>
      <w:r w:rsidR="00F373A3" w:rsidRPr="00181FCD">
        <w:t xml:space="preserve"> </w:t>
      </w:r>
      <w:r w:rsidRPr="00181FCD">
        <w:t>en</w:t>
      </w:r>
      <w:r w:rsidR="00F373A3" w:rsidRPr="00181FCD">
        <w:t xml:space="preserve"> </w:t>
      </w:r>
      <w:r w:rsidRPr="00181FCD">
        <w:t>el</w:t>
      </w:r>
      <w:r w:rsidR="00F373A3" w:rsidRPr="00181FCD">
        <w:t xml:space="preserve"> </w:t>
      </w:r>
      <w:r w:rsidRPr="00181FCD">
        <w:t>idioma</w:t>
      </w:r>
      <w:r w:rsidR="00F373A3" w:rsidRPr="00181FCD">
        <w:t xml:space="preserve"> </w:t>
      </w:r>
      <w:r w:rsidRPr="00181FCD">
        <w:t>preferido</w:t>
      </w:r>
      <w:r w:rsidR="00F373A3" w:rsidRPr="00181FCD">
        <w:t xml:space="preserve"> </w:t>
      </w:r>
      <w:r w:rsidRPr="00181FCD">
        <w:t>por</w:t>
      </w:r>
      <w:r w:rsidR="00F373A3" w:rsidRPr="00181FCD">
        <w:t xml:space="preserve"> </w:t>
      </w:r>
      <w:r w:rsidRPr="00181FCD">
        <w:t>el</w:t>
      </w:r>
      <w:r w:rsidR="00F373A3" w:rsidRPr="00181FCD">
        <w:t xml:space="preserve"> </w:t>
      </w:r>
      <w:r w:rsidRPr="00181FCD">
        <w:t>extranjero.</w:t>
      </w:r>
      <w:r w:rsidR="00F373A3" w:rsidRPr="00181FCD">
        <w:t xml:space="preserve"> </w:t>
      </w:r>
      <w:r w:rsidRPr="00181FCD">
        <w:t>El</w:t>
      </w:r>
      <w:r w:rsidR="00F373A3" w:rsidRPr="00181FCD">
        <w:t xml:space="preserve"> </w:t>
      </w:r>
      <w:r w:rsidRPr="00181FCD">
        <w:t>protocolo</w:t>
      </w:r>
      <w:r w:rsidR="00F373A3" w:rsidRPr="00181FCD">
        <w:t xml:space="preserve"> </w:t>
      </w:r>
      <w:r w:rsidRPr="00181FCD">
        <w:t>se</w:t>
      </w:r>
      <w:r w:rsidR="00F373A3" w:rsidRPr="00181FCD">
        <w:t xml:space="preserve"> </w:t>
      </w:r>
      <w:r w:rsidRPr="00181FCD">
        <w:t>lee</w:t>
      </w:r>
      <w:r w:rsidR="00F373A3" w:rsidRPr="00181FCD">
        <w:t xml:space="preserve"> </w:t>
      </w:r>
      <w:r w:rsidRPr="00181FCD">
        <w:t>al</w:t>
      </w:r>
      <w:r w:rsidR="00F373A3" w:rsidRPr="00181FCD">
        <w:t xml:space="preserve"> </w:t>
      </w:r>
      <w:r w:rsidRPr="00181FCD">
        <w:t>extranjero,</w:t>
      </w:r>
      <w:r w:rsidR="00F373A3" w:rsidRPr="00181FCD">
        <w:t xml:space="preserve"> </w:t>
      </w:r>
      <w:r w:rsidRPr="00181FCD">
        <w:t>que</w:t>
      </w:r>
      <w:r w:rsidR="00F373A3" w:rsidRPr="00181FCD">
        <w:t xml:space="preserve"> </w:t>
      </w:r>
      <w:r w:rsidRPr="00181FCD">
        <w:t>lo</w:t>
      </w:r>
      <w:r w:rsidR="00F373A3" w:rsidRPr="00181FCD">
        <w:t xml:space="preserve"> </w:t>
      </w:r>
      <w:r w:rsidRPr="00181FCD">
        <w:t>firma,</w:t>
      </w:r>
      <w:r w:rsidR="00F373A3" w:rsidRPr="00181FCD">
        <w:t xml:space="preserve"> </w:t>
      </w:r>
      <w:r w:rsidRPr="00181FCD">
        <w:t>al</w:t>
      </w:r>
      <w:r w:rsidR="00F373A3" w:rsidRPr="00181FCD">
        <w:t xml:space="preserve"> </w:t>
      </w:r>
      <w:r w:rsidRPr="00181FCD">
        <w:t>traductor</w:t>
      </w:r>
      <w:r w:rsidR="00F373A3" w:rsidRPr="00181FCD">
        <w:t xml:space="preserve"> </w:t>
      </w:r>
      <w:r w:rsidRPr="00181FCD">
        <w:t>(o</w:t>
      </w:r>
      <w:r w:rsidR="00F373A3" w:rsidRPr="00181FCD">
        <w:t xml:space="preserve"> </w:t>
      </w:r>
      <w:r w:rsidRPr="00181FCD">
        <w:t>al</w:t>
      </w:r>
      <w:r w:rsidR="00F373A3" w:rsidRPr="00181FCD">
        <w:t xml:space="preserve"> </w:t>
      </w:r>
      <w:r w:rsidRPr="00181FCD">
        <w:t>intérprete),</w:t>
      </w:r>
      <w:r w:rsidR="00F373A3" w:rsidRPr="00181FCD">
        <w:t xml:space="preserve"> </w:t>
      </w:r>
      <w:r w:rsidRPr="00181FCD">
        <w:t>y</w:t>
      </w:r>
      <w:r w:rsidR="00F373A3" w:rsidRPr="00181FCD">
        <w:t xml:space="preserve"> </w:t>
      </w:r>
      <w:r w:rsidRPr="00181FCD">
        <w:t>al</w:t>
      </w:r>
      <w:r w:rsidR="00F373A3" w:rsidRPr="00181FCD">
        <w:t xml:space="preserve"> </w:t>
      </w:r>
      <w:r w:rsidRPr="00181FCD">
        <w:t>entrevistador.</w:t>
      </w:r>
    </w:p>
    <w:p w:rsidR="001937F4" w:rsidRPr="00181FCD" w:rsidRDefault="00F373A3" w:rsidP="00347B20">
      <w:pPr>
        <w:pStyle w:val="H4G"/>
      </w:pPr>
      <w:r w:rsidRPr="00181FCD">
        <w:tab/>
      </w:r>
      <w:r w:rsidRPr="00181FCD">
        <w:tab/>
      </w:r>
      <w:r w:rsidR="001937F4" w:rsidRPr="00181FCD">
        <w:t>Atención</w:t>
      </w:r>
      <w:r w:rsidRPr="00181FCD">
        <w:t xml:space="preserve"> </w:t>
      </w:r>
      <w:r w:rsidR="001937F4" w:rsidRPr="00181FCD">
        <w:t>médica</w:t>
      </w:r>
      <w:r w:rsidRPr="00181FCD">
        <w:t xml:space="preserve"> </w:t>
      </w:r>
      <w:r w:rsidR="001937F4" w:rsidRPr="00181FCD">
        <w:t>para</w:t>
      </w:r>
      <w:r w:rsidRPr="00181FCD">
        <w:t xml:space="preserve"> </w:t>
      </w:r>
      <w:r w:rsidR="001937F4" w:rsidRPr="00181FCD">
        <w:t>los</w:t>
      </w:r>
      <w:r w:rsidRPr="00181FCD">
        <w:t xml:space="preserve"> </w:t>
      </w:r>
      <w:r w:rsidR="001937F4" w:rsidRPr="00181FCD">
        <w:t>solicitantes</w:t>
      </w:r>
      <w:r w:rsidRPr="00181FCD">
        <w:t xml:space="preserve"> </w:t>
      </w:r>
      <w:r w:rsidR="001937F4" w:rsidRPr="00181FCD">
        <w:t>de</w:t>
      </w:r>
      <w:r w:rsidRPr="00181FCD">
        <w:t xml:space="preserve"> </w:t>
      </w:r>
      <w:r w:rsidR="001937F4" w:rsidRPr="00181FCD">
        <w:t>asilo</w:t>
      </w:r>
    </w:p>
    <w:p w:rsidR="001937F4" w:rsidRPr="00181FCD" w:rsidRDefault="001937F4" w:rsidP="00347B20">
      <w:pPr>
        <w:pStyle w:val="SingleTxtG"/>
        <w:suppressAutoHyphens/>
      </w:pPr>
      <w:r w:rsidRPr="00181FCD">
        <w:t>107.</w:t>
      </w:r>
      <w:r w:rsidRPr="00181FCD">
        <w:tab/>
        <w:t>Los</w:t>
      </w:r>
      <w:r w:rsidR="00F373A3" w:rsidRPr="00181FCD">
        <w:t xml:space="preserve"> </w:t>
      </w:r>
      <w:r w:rsidRPr="00181FCD">
        <w:t>médicos</w:t>
      </w:r>
      <w:r w:rsidR="00F373A3" w:rsidRPr="00181FCD">
        <w:t xml:space="preserve"> </w:t>
      </w:r>
      <w:r w:rsidRPr="00181FCD">
        <w:t>de</w:t>
      </w:r>
      <w:r w:rsidR="00F373A3" w:rsidRPr="00181FCD">
        <w:t xml:space="preserve"> </w:t>
      </w:r>
      <w:r w:rsidRPr="00181FCD">
        <w:t>las</w:t>
      </w:r>
      <w:r w:rsidR="00F373A3" w:rsidRPr="00181FCD">
        <w:t xml:space="preserve"> </w:t>
      </w:r>
      <w:r w:rsidRPr="00181FCD">
        <w:t>Unidades</w:t>
      </w:r>
      <w:r w:rsidR="00F373A3" w:rsidRPr="00181FCD">
        <w:t xml:space="preserve"> </w:t>
      </w:r>
      <w:r w:rsidRPr="00181FCD">
        <w:t>Médicas</w:t>
      </w:r>
      <w:r w:rsidR="00F373A3" w:rsidRPr="00181FCD">
        <w:t xml:space="preserve"> </w:t>
      </w:r>
      <w:r w:rsidRPr="00181FCD">
        <w:t>del</w:t>
      </w:r>
      <w:r w:rsidR="00F373A3" w:rsidRPr="00181FCD">
        <w:t xml:space="preserve"> </w:t>
      </w:r>
      <w:r w:rsidRPr="00181FCD">
        <w:t>Instituto</w:t>
      </w:r>
      <w:r w:rsidR="00F373A3" w:rsidRPr="00181FCD">
        <w:t xml:space="preserve"> </w:t>
      </w:r>
      <w:r w:rsidRPr="00181FCD">
        <w:t>de</w:t>
      </w:r>
      <w:r w:rsidR="00F373A3" w:rsidRPr="00181FCD">
        <w:t xml:space="preserve"> </w:t>
      </w:r>
      <w:r w:rsidRPr="00181FCD">
        <w:t>Medicina</w:t>
      </w:r>
      <w:r w:rsidR="00F373A3" w:rsidRPr="00181FCD">
        <w:t xml:space="preserve"> </w:t>
      </w:r>
      <w:r w:rsidRPr="00181FCD">
        <w:t>del</w:t>
      </w:r>
      <w:r w:rsidR="00F373A3" w:rsidRPr="00181FCD">
        <w:t xml:space="preserve"> </w:t>
      </w:r>
      <w:r w:rsidRPr="00181FCD">
        <w:t>Ministerio</w:t>
      </w:r>
      <w:r w:rsidR="00F373A3" w:rsidRPr="00181FCD">
        <w:t xml:space="preserve"> </w:t>
      </w:r>
      <w:r w:rsidRPr="00181FCD">
        <w:t>del</w:t>
      </w:r>
      <w:r w:rsidR="00F373A3" w:rsidRPr="00181FCD">
        <w:t xml:space="preserve"> </w:t>
      </w:r>
      <w:r w:rsidRPr="00181FCD">
        <w:t>Interior</w:t>
      </w:r>
      <w:r w:rsidR="00F373A3" w:rsidRPr="00181FCD">
        <w:t xml:space="preserve"> </w:t>
      </w:r>
      <w:r w:rsidRPr="00181FCD">
        <w:t>y</w:t>
      </w:r>
      <w:r w:rsidR="00F373A3" w:rsidRPr="00181FCD">
        <w:t xml:space="preserve"> </w:t>
      </w:r>
      <w:r w:rsidRPr="00181FCD">
        <w:t>los</w:t>
      </w:r>
      <w:r w:rsidR="00F373A3" w:rsidRPr="00181FCD">
        <w:t xml:space="preserve"> </w:t>
      </w:r>
      <w:r w:rsidRPr="00181FCD">
        <w:t>Centros</w:t>
      </w:r>
      <w:r w:rsidR="00F373A3" w:rsidRPr="00181FCD">
        <w:t xml:space="preserve"> </w:t>
      </w:r>
      <w:r w:rsidRPr="00181FCD">
        <w:t>de</w:t>
      </w:r>
      <w:r w:rsidR="00F373A3" w:rsidRPr="00181FCD">
        <w:t xml:space="preserve"> </w:t>
      </w:r>
      <w:r w:rsidRPr="00181FCD">
        <w:t>Emergencias</w:t>
      </w:r>
      <w:r w:rsidR="00F373A3" w:rsidRPr="00181FCD">
        <w:t xml:space="preserve"> </w:t>
      </w:r>
      <w:r w:rsidRPr="00181FCD">
        <w:t>dependientes</w:t>
      </w:r>
      <w:r w:rsidR="00F373A3" w:rsidRPr="00181FCD">
        <w:t xml:space="preserve"> </w:t>
      </w:r>
      <w:r w:rsidRPr="00181FCD">
        <w:t>del</w:t>
      </w:r>
      <w:r w:rsidR="00F373A3" w:rsidRPr="00181FCD">
        <w:t xml:space="preserve"> </w:t>
      </w:r>
      <w:r w:rsidRPr="00181FCD">
        <w:t>Ministerio</w:t>
      </w:r>
      <w:r w:rsidR="00F373A3" w:rsidRPr="00181FCD">
        <w:t xml:space="preserve"> </w:t>
      </w:r>
      <w:r w:rsidRPr="00181FCD">
        <w:t>de</w:t>
      </w:r>
      <w:r w:rsidR="00F373A3" w:rsidRPr="00181FCD">
        <w:t xml:space="preserve"> </w:t>
      </w:r>
      <w:r w:rsidRPr="00181FCD">
        <w:t>Salud</w:t>
      </w:r>
      <w:r w:rsidR="00F373A3" w:rsidRPr="00181FCD">
        <w:t xml:space="preserve"> </w:t>
      </w:r>
      <w:r w:rsidRPr="00181FCD">
        <w:t>ofrecen</w:t>
      </w:r>
      <w:r w:rsidR="00F373A3" w:rsidRPr="00181FCD">
        <w:t xml:space="preserve"> </w:t>
      </w:r>
      <w:r w:rsidRPr="00181FCD">
        <w:t>gratuitamente</w:t>
      </w:r>
      <w:r w:rsidR="00F373A3" w:rsidRPr="00181FCD">
        <w:t xml:space="preserve"> </w:t>
      </w:r>
      <w:r w:rsidRPr="00181FCD">
        <w:t>atención</w:t>
      </w:r>
      <w:r w:rsidR="00F373A3" w:rsidRPr="00181FCD">
        <w:t xml:space="preserve"> </w:t>
      </w:r>
      <w:r w:rsidRPr="00181FCD">
        <w:t>médica</w:t>
      </w:r>
      <w:r w:rsidR="00F373A3" w:rsidRPr="00181FCD">
        <w:t xml:space="preserve"> </w:t>
      </w:r>
      <w:r w:rsidRPr="00181FCD">
        <w:t>de</w:t>
      </w:r>
      <w:r w:rsidR="00F373A3" w:rsidRPr="00181FCD">
        <w:t xml:space="preserve"> </w:t>
      </w:r>
      <w:r w:rsidRPr="00181FCD">
        <w:t>urgencia</w:t>
      </w:r>
      <w:r w:rsidR="00F373A3" w:rsidRPr="00181FCD">
        <w:t xml:space="preserve"> </w:t>
      </w:r>
      <w:r w:rsidRPr="00181FCD">
        <w:t>y</w:t>
      </w:r>
      <w:r w:rsidR="00F373A3" w:rsidRPr="00181FCD">
        <w:t xml:space="preserve"> </w:t>
      </w:r>
      <w:r w:rsidRPr="00181FCD">
        <w:t>atención</w:t>
      </w:r>
      <w:r w:rsidR="00F373A3" w:rsidRPr="00181FCD">
        <w:t xml:space="preserve"> </w:t>
      </w:r>
      <w:r w:rsidRPr="00181FCD">
        <w:t>primaria</w:t>
      </w:r>
      <w:r w:rsidR="00F373A3" w:rsidRPr="00181FCD">
        <w:t xml:space="preserve"> </w:t>
      </w:r>
      <w:r w:rsidRPr="00181FCD">
        <w:t>de</w:t>
      </w:r>
      <w:r w:rsidR="00F373A3" w:rsidRPr="00181FCD">
        <w:t xml:space="preserve"> </w:t>
      </w:r>
      <w:r w:rsidRPr="00181FCD">
        <w:t>salud.</w:t>
      </w:r>
      <w:r w:rsidR="00F373A3" w:rsidRPr="00181FCD">
        <w:t xml:space="preserve"> </w:t>
      </w:r>
      <w:r w:rsidRPr="00181FCD">
        <w:t>El</w:t>
      </w:r>
      <w:r w:rsidR="00F373A3" w:rsidRPr="00181FCD">
        <w:t xml:space="preserve"> </w:t>
      </w:r>
      <w:r w:rsidRPr="00181FCD">
        <w:t>tratamiento</w:t>
      </w:r>
      <w:r w:rsidR="00F373A3" w:rsidRPr="00181FCD">
        <w:t xml:space="preserve"> </w:t>
      </w:r>
      <w:r w:rsidRPr="00181FCD">
        <w:t>en</w:t>
      </w:r>
      <w:r w:rsidR="00F373A3" w:rsidRPr="00181FCD">
        <w:t xml:space="preserve"> </w:t>
      </w:r>
      <w:r w:rsidRPr="00181FCD">
        <w:t>el</w:t>
      </w:r>
      <w:r w:rsidR="00F373A3" w:rsidRPr="00181FCD">
        <w:t xml:space="preserve"> </w:t>
      </w:r>
      <w:r w:rsidRPr="00181FCD">
        <w:t>hospital</w:t>
      </w:r>
      <w:r w:rsidR="00F373A3" w:rsidRPr="00181FCD">
        <w:t xml:space="preserve"> </w:t>
      </w:r>
      <w:r w:rsidRPr="00181FCD">
        <w:t>está</w:t>
      </w:r>
      <w:r w:rsidR="00F373A3" w:rsidRPr="00181FCD">
        <w:t xml:space="preserve"> </w:t>
      </w:r>
      <w:r w:rsidRPr="00181FCD">
        <w:t>a</w:t>
      </w:r>
      <w:r w:rsidR="00F373A3" w:rsidRPr="00181FCD">
        <w:t xml:space="preserve"> </w:t>
      </w:r>
      <w:r w:rsidRPr="00181FCD">
        <w:t>cargo</w:t>
      </w:r>
      <w:r w:rsidR="00F373A3" w:rsidRPr="00181FCD">
        <w:t xml:space="preserve"> </w:t>
      </w:r>
      <w:r w:rsidRPr="00181FCD">
        <w:t>del</w:t>
      </w:r>
      <w:r w:rsidR="00F373A3" w:rsidRPr="00181FCD">
        <w:t xml:space="preserve"> </w:t>
      </w:r>
      <w:r w:rsidRPr="00181FCD">
        <w:t>Hospital</w:t>
      </w:r>
      <w:r w:rsidR="00F373A3" w:rsidRPr="00181FCD">
        <w:t xml:space="preserve"> </w:t>
      </w:r>
      <w:r w:rsidRPr="00181FCD">
        <w:t>de</w:t>
      </w:r>
      <w:r w:rsidR="00F373A3" w:rsidRPr="00181FCD">
        <w:t xml:space="preserve"> </w:t>
      </w:r>
      <w:r w:rsidRPr="00181FCD">
        <w:t>Tratamiento</w:t>
      </w:r>
      <w:r w:rsidR="00F373A3" w:rsidRPr="00181FCD">
        <w:t xml:space="preserve"> </w:t>
      </w:r>
      <w:r w:rsidRPr="00181FCD">
        <w:t>Activo,</w:t>
      </w:r>
      <w:r w:rsidR="00F373A3" w:rsidRPr="00181FCD">
        <w:t xml:space="preserve"> </w:t>
      </w:r>
      <w:r w:rsidRPr="00181FCD">
        <w:t>de</w:t>
      </w:r>
      <w:r w:rsidR="00F373A3" w:rsidRPr="00181FCD">
        <w:t xml:space="preserve"> </w:t>
      </w:r>
      <w:r w:rsidRPr="00181FCD">
        <w:t>carácter</w:t>
      </w:r>
      <w:r w:rsidR="00F373A3" w:rsidRPr="00181FCD">
        <w:t xml:space="preserve"> </w:t>
      </w:r>
      <w:r w:rsidRPr="00181FCD">
        <w:t>polivalente,</w:t>
      </w:r>
      <w:r w:rsidR="00F373A3" w:rsidRPr="00181FCD">
        <w:t xml:space="preserve"> </w:t>
      </w:r>
      <w:r w:rsidRPr="00181FCD">
        <w:t>del</w:t>
      </w:r>
      <w:r w:rsidR="00F373A3" w:rsidRPr="00181FCD">
        <w:t xml:space="preserve"> </w:t>
      </w:r>
      <w:r w:rsidRPr="00181FCD">
        <w:t>Ministerio</w:t>
      </w:r>
      <w:r w:rsidR="00F373A3" w:rsidRPr="00181FCD">
        <w:t xml:space="preserve"> </w:t>
      </w:r>
      <w:r w:rsidRPr="00181FCD">
        <w:t>del</w:t>
      </w:r>
      <w:r w:rsidR="00F373A3" w:rsidRPr="00181FCD">
        <w:t xml:space="preserve"> </w:t>
      </w:r>
      <w:r w:rsidRPr="00181FCD">
        <w:t>Interior,</w:t>
      </w:r>
      <w:r w:rsidR="00F373A3" w:rsidRPr="00181FCD">
        <w:t xml:space="preserve"> </w:t>
      </w:r>
      <w:r w:rsidRPr="00181FCD">
        <w:t>y</w:t>
      </w:r>
      <w:r w:rsidR="00F373A3" w:rsidRPr="00181FCD">
        <w:t xml:space="preserve"> </w:t>
      </w:r>
      <w:r w:rsidRPr="00181FCD">
        <w:t>los</w:t>
      </w:r>
      <w:r w:rsidR="00F373A3" w:rsidRPr="00181FCD">
        <w:t xml:space="preserve"> </w:t>
      </w:r>
      <w:r w:rsidRPr="00181FCD">
        <w:t>hospitales</w:t>
      </w:r>
      <w:r w:rsidR="00F373A3" w:rsidRPr="00181FCD">
        <w:t xml:space="preserve"> </w:t>
      </w:r>
      <w:r w:rsidRPr="00181FCD">
        <w:t>municipales</w:t>
      </w:r>
      <w:r w:rsidR="00F373A3" w:rsidRPr="00181FCD">
        <w:t xml:space="preserve"> </w:t>
      </w:r>
      <w:r w:rsidRPr="00181FCD">
        <w:t>de</w:t>
      </w:r>
      <w:r w:rsidR="00F373A3" w:rsidRPr="00181FCD">
        <w:t xml:space="preserve"> </w:t>
      </w:r>
      <w:r w:rsidRPr="00181FCD">
        <w:t>Burgas,</w:t>
      </w:r>
      <w:r w:rsidR="00F373A3" w:rsidRPr="00181FCD">
        <w:t xml:space="preserve"> </w:t>
      </w:r>
      <w:r w:rsidRPr="00181FCD">
        <w:t>Yambol,</w:t>
      </w:r>
      <w:r w:rsidR="00F373A3" w:rsidRPr="00181FCD">
        <w:t xml:space="preserve"> </w:t>
      </w:r>
      <w:r w:rsidRPr="00181FCD">
        <w:t>Haskovo,</w:t>
      </w:r>
      <w:r w:rsidR="00F373A3" w:rsidRPr="00181FCD">
        <w:t xml:space="preserve"> </w:t>
      </w:r>
      <w:r w:rsidRPr="00181FCD">
        <w:t>Elhovo</w:t>
      </w:r>
      <w:r w:rsidR="00F373A3" w:rsidRPr="00181FCD">
        <w:t xml:space="preserve"> </w:t>
      </w:r>
      <w:r w:rsidRPr="00181FCD">
        <w:t>y</w:t>
      </w:r>
      <w:r w:rsidR="00F373A3" w:rsidRPr="00181FCD">
        <w:t xml:space="preserve"> </w:t>
      </w:r>
      <w:r w:rsidRPr="00181FCD">
        <w:t>Svilengrad,</w:t>
      </w:r>
      <w:r w:rsidR="00F373A3" w:rsidRPr="00181FCD">
        <w:t xml:space="preserve"> </w:t>
      </w:r>
      <w:r w:rsidRPr="00181FCD">
        <w:t>con</w:t>
      </w:r>
      <w:r w:rsidR="00F373A3" w:rsidRPr="00181FCD">
        <w:t xml:space="preserve"> </w:t>
      </w:r>
      <w:r w:rsidRPr="00181FCD">
        <w:t>los</w:t>
      </w:r>
      <w:r w:rsidR="00F373A3" w:rsidRPr="00181FCD">
        <w:t xml:space="preserve"> </w:t>
      </w:r>
      <w:r w:rsidRPr="00181FCD">
        <w:t>que</w:t>
      </w:r>
      <w:r w:rsidR="00F373A3" w:rsidRPr="00181FCD">
        <w:t xml:space="preserve"> </w:t>
      </w:r>
      <w:r w:rsidRPr="00181FCD">
        <w:t>el</w:t>
      </w:r>
      <w:r w:rsidR="00F373A3" w:rsidRPr="00181FCD">
        <w:t xml:space="preserve"> </w:t>
      </w:r>
      <w:r w:rsidRPr="00181FCD">
        <w:t>Instituto</w:t>
      </w:r>
      <w:r w:rsidR="00F373A3" w:rsidRPr="00181FCD">
        <w:t xml:space="preserve"> </w:t>
      </w:r>
      <w:r w:rsidRPr="00181FCD">
        <w:t>de</w:t>
      </w:r>
      <w:r w:rsidR="00F373A3" w:rsidRPr="00181FCD">
        <w:t xml:space="preserve"> </w:t>
      </w:r>
      <w:r w:rsidRPr="00181FCD">
        <w:t>Medicina</w:t>
      </w:r>
      <w:r w:rsidR="00F373A3" w:rsidRPr="00181FCD">
        <w:t xml:space="preserve"> </w:t>
      </w:r>
      <w:r w:rsidRPr="00181FCD">
        <w:t>del</w:t>
      </w:r>
      <w:r w:rsidR="00F373A3" w:rsidRPr="00181FCD">
        <w:t xml:space="preserve"> </w:t>
      </w:r>
      <w:r w:rsidRPr="00181FCD">
        <w:t>Ministerio</w:t>
      </w:r>
      <w:r w:rsidR="00F373A3" w:rsidRPr="00181FCD">
        <w:t xml:space="preserve"> </w:t>
      </w:r>
      <w:r w:rsidRPr="00181FCD">
        <w:t>del</w:t>
      </w:r>
      <w:r w:rsidR="00F373A3" w:rsidRPr="00181FCD">
        <w:t xml:space="preserve"> </w:t>
      </w:r>
      <w:r w:rsidRPr="00181FCD">
        <w:t>Interior</w:t>
      </w:r>
      <w:r w:rsidR="00F373A3" w:rsidRPr="00181FCD">
        <w:t xml:space="preserve"> </w:t>
      </w:r>
      <w:r w:rsidRPr="00181FCD">
        <w:t>ha</w:t>
      </w:r>
      <w:r w:rsidR="00F373A3" w:rsidRPr="00181FCD">
        <w:t xml:space="preserve"> </w:t>
      </w:r>
      <w:r w:rsidRPr="00181FCD">
        <w:t>suscrito</w:t>
      </w:r>
      <w:r w:rsidR="00F373A3" w:rsidRPr="00181FCD">
        <w:t xml:space="preserve"> </w:t>
      </w:r>
      <w:r w:rsidRPr="00181FCD">
        <w:t>contratos</w:t>
      </w:r>
      <w:r w:rsidR="00F373A3" w:rsidRPr="00181FCD">
        <w:t xml:space="preserve"> </w:t>
      </w:r>
      <w:r w:rsidRPr="00181FCD">
        <w:t>para</w:t>
      </w:r>
      <w:r w:rsidR="00F373A3" w:rsidRPr="00181FCD">
        <w:t xml:space="preserve"> </w:t>
      </w:r>
      <w:r w:rsidRPr="00181FCD">
        <w:t>que</w:t>
      </w:r>
      <w:r w:rsidR="00F373A3" w:rsidRPr="00181FCD">
        <w:t xml:space="preserve"> </w:t>
      </w:r>
      <w:r w:rsidRPr="00181FCD">
        <w:t>presten</w:t>
      </w:r>
      <w:r w:rsidR="00F373A3" w:rsidRPr="00181FCD">
        <w:t xml:space="preserve"> </w:t>
      </w:r>
      <w:r w:rsidRPr="00181FCD">
        <w:t>asistencia.</w:t>
      </w:r>
    </w:p>
    <w:p w:rsidR="001937F4" w:rsidRPr="00181FCD" w:rsidRDefault="001937F4" w:rsidP="0008164B">
      <w:pPr>
        <w:pStyle w:val="SingleTxtG"/>
        <w:keepLines/>
        <w:suppressAutoHyphens/>
      </w:pPr>
      <w:r w:rsidRPr="00181FCD">
        <w:t>108.</w:t>
      </w:r>
      <w:r w:rsidRPr="00181FCD">
        <w:tab/>
        <w:t>De</w:t>
      </w:r>
      <w:r w:rsidR="00F373A3" w:rsidRPr="00181FCD">
        <w:t xml:space="preserve"> </w:t>
      </w:r>
      <w:r w:rsidRPr="00181FCD">
        <w:t>conformidad</w:t>
      </w:r>
      <w:r w:rsidR="00F373A3" w:rsidRPr="00181FCD">
        <w:t xml:space="preserve"> </w:t>
      </w:r>
      <w:r w:rsidRPr="00181FCD">
        <w:t>con</w:t>
      </w:r>
      <w:r w:rsidR="00F373A3" w:rsidRPr="00181FCD">
        <w:t xml:space="preserve"> </w:t>
      </w:r>
      <w:r w:rsidRPr="00181FCD">
        <w:t>las</w:t>
      </w:r>
      <w:r w:rsidR="00F373A3" w:rsidRPr="00181FCD">
        <w:t xml:space="preserve"> </w:t>
      </w:r>
      <w:r w:rsidRPr="00181FCD">
        <w:t>mejores</w:t>
      </w:r>
      <w:r w:rsidR="00F373A3" w:rsidRPr="00181FCD">
        <w:t xml:space="preserve"> </w:t>
      </w:r>
      <w:r w:rsidRPr="00181FCD">
        <w:t>prácticas</w:t>
      </w:r>
      <w:r w:rsidR="00F373A3" w:rsidRPr="00181FCD">
        <w:t xml:space="preserve"> </w:t>
      </w:r>
      <w:r w:rsidRPr="00181FCD">
        <w:t>europeas</w:t>
      </w:r>
      <w:r w:rsidR="00F373A3" w:rsidRPr="00181FCD">
        <w:t xml:space="preserve"> </w:t>
      </w:r>
      <w:r w:rsidRPr="00181FCD">
        <w:t>y</w:t>
      </w:r>
      <w:r w:rsidR="00F373A3" w:rsidRPr="00181FCD">
        <w:t xml:space="preserve"> </w:t>
      </w:r>
      <w:r w:rsidRPr="00181FCD">
        <w:t>con</w:t>
      </w:r>
      <w:r w:rsidR="00F373A3" w:rsidRPr="00181FCD">
        <w:t xml:space="preserve"> </w:t>
      </w:r>
      <w:r w:rsidRPr="00181FCD">
        <w:t>el</w:t>
      </w:r>
      <w:r w:rsidR="00F373A3" w:rsidRPr="00181FCD">
        <w:t xml:space="preserve"> </w:t>
      </w:r>
      <w:r w:rsidRPr="00181FCD">
        <w:t>fin</w:t>
      </w:r>
      <w:r w:rsidR="00F373A3" w:rsidRPr="00181FCD">
        <w:t xml:space="preserve"> </w:t>
      </w:r>
      <w:r w:rsidRPr="00181FCD">
        <w:t>de</w:t>
      </w:r>
      <w:r w:rsidR="00F373A3" w:rsidRPr="00181FCD">
        <w:t xml:space="preserve"> </w:t>
      </w:r>
      <w:r w:rsidRPr="00181FCD">
        <w:t>garantizar</w:t>
      </w:r>
      <w:r w:rsidR="00F373A3" w:rsidRPr="00181FCD">
        <w:t xml:space="preserve"> </w:t>
      </w:r>
      <w:r w:rsidRPr="00181FCD">
        <w:t>los</w:t>
      </w:r>
      <w:r w:rsidR="00F373A3" w:rsidRPr="00181FCD">
        <w:t xml:space="preserve"> </w:t>
      </w:r>
      <w:r w:rsidRPr="00181FCD">
        <w:t>derechos</w:t>
      </w:r>
      <w:r w:rsidR="00F373A3" w:rsidRPr="00181FCD">
        <w:t xml:space="preserve"> </w:t>
      </w:r>
      <w:r w:rsidRPr="00181FCD">
        <w:t>de</w:t>
      </w:r>
      <w:r w:rsidR="00F373A3" w:rsidRPr="00181FCD">
        <w:t xml:space="preserve"> </w:t>
      </w:r>
      <w:r w:rsidRPr="00181FCD">
        <w:t>los</w:t>
      </w:r>
      <w:r w:rsidR="00F373A3" w:rsidRPr="00181FCD">
        <w:t xml:space="preserve"> </w:t>
      </w:r>
      <w:r w:rsidRPr="00181FCD">
        <w:t>extranjeros,</w:t>
      </w:r>
      <w:r w:rsidR="00F373A3" w:rsidRPr="00181FCD">
        <w:t xml:space="preserve"> </w:t>
      </w:r>
      <w:r w:rsidRPr="00181FCD">
        <w:t>hay</w:t>
      </w:r>
      <w:r w:rsidR="00F373A3" w:rsidRPr="00181FCD">
        <w:t xml:space="preserve"> </w:t>
      </w:r>
      <w:r w:rsidRPr="00181FCD">
        <w:t>médicos</w:t>
      </w:r>
      <w:r w:rsidR="00F373A3" w:rsidRPr="00181FCD">
        <w:t xml:space="preserve"> </w:t>
      </w:r>
      <w:r w:rsidRPr="00181FCD">
        <w:t>y</w:t>
      </w:r>
      <w:r w:rsidR="00F373A3" w:rsidRPr="00181FCD">
        <w:t xml:space="preserve"> </w:t>
      </w:r>
      <w:r w:rsidRPr="00181FCD">
        <w:t>psicólogos</w:t>
      </w:r>
      <w:r w:rsidR="00F373A3" w:rsidRPr="00181FCD">
        <w:t xml:space="preserve"> </w:t>
      </w:r>
      <w:r w:rsidRPr="00181FCD">
        <w:t>que</w:t>
      </w:r>
      <w:r w:rsidR="00F373A3" w:rsidRPr="00181FCD">
        <w:t xml:space="preserve"> </w:t>
      </w:r>
      <w:r w:rsidRPr="00181FCD">
        <w:t>trabajan</w:t>
      </w:r>
      <w:r w:rsidR="00F373A3" w:rsidRPr="00181FCD">
        <w:t xml:space="preserve"> </w:t>
      </w:r>
      <w:r w:rsidRPr="00181FCD">
        <w:t>en</w:t>
      </w:r>
      <w:r w:rsidR="00F373A3" w:rsidRPr="00181FCD">
        <w:t xml:space="preserve"> </w:t>
      </w:r>
      <w:r w:rsidRPr="00181FCD">
        <w:t>la</w:t>
      </w:r>
      <w:r w:rsidR="00F373A3" w:rsidRPr="00181FCD">
        <w:t xml:space="preserve"> </w:t>
      </w:r>
      <w:r w:rsidRPr="00181FCD">
        <w:t>Casa</w:t>
      </w:r>
      <w:r w:rsidR="00F373A3" w:rsidRPr="00181FCD">
        <w:t xml:space="preserve"> </w:t>
      </w:r>
      <w:r w:rsidRPr="00181FCD">
        <w:t>Especial</w:t>
      </w:r>
      <w:r w:rsidR="00F373A3" w:rsidRPr="00181FCD">
        <w:t xml:space="preserve"> </w:t>
      </w:r>
      <w:r w:rsidRPr="00181FCD">
        <w:t>para</w:t>
      </w:r>
      <w:r w:rsidR="00F373A3" w:rsidRPr="00181FCD">
        <w:t xml:space="preserve"> </w:t>
      </w:r>
      <w:r w:rsidRPr="00181FCD">
        <w:t>Alojamiento</w:t>
      </w:r>
      <w:r w:rsidR="00F373A3" w:rsidRPr="00181FCD">
        <w:t xml:space="preserve"> </w:t>
      </w:r>
      <w:r w:rsidRPr="00181FCD">
        <w:t>Temporal</w:t>
      </w:r>
      <w:r w:rsidR="00F373A3" w:rsidRPr="00181FCD">
        <w:t xml:space="preserve"> </w:t>
      </w:r>
      <w:r w:rsidRPr="00181FCD">
        <w:t>de</w:t>
      </w:r>
      <w:r w:rsidR="00F373A3" w:rsidRPr="00181FCD">
        <w:t xml:space="preserve"> </w:t>
      </w:r>
      <w:r w:rsidRPr="00181FCD">
        <w:t>Extranjeros</w:t>
      </w:r>
      <w:r w:rsidR="00F373A3" w:rsidRPr="00181FCD">
        <w:t xml:space="preserve"> </w:t>
      </w:r>
      <w:r w:rsidRPr="00181FCD">
        <w:t>y</w:t>
      </w:r>
      <w:r w:rsidR="00F373A3" w:rsidRPr="00181FCD">
        <w:t xml:space="preserve"> </w:t>
      </w:r>
      <w:r w:rsidRPr="00181FCD">
        <w:t>el</w:t>
      </w:r>
      <w:r w:rsidR="00F373A3" w:rsidRPr="00181FCD">
        <w:t xml:space="preserve"> </w:t>
      </w:r>
      <w:r w:rsidRPr="00181FCD">
        <w:t>Centro</w:t>
      </w:r>
      <w:r w:rsidR="00F373A3" w:rsidRPr="00181FCD">
        <w:t xml:space="preserve"> </w:t>
      </w:r>
      <w:r w:rsidRPr="00181FCD">
        <w:t>de</w:t>
      </w:r>
      <w:r w:rsidR="00F373A3" w:rsidRPr="00181FCD">
        <w:t xml:space="preserve"> </w:t>
      </w:r>
      <w:r w:rsidRPr="00181FCD">
        <w:t>Distribución</w:t>
      </w:r>
      <w:r w:rsidR="00F373A3" w:rsidRPr="00181FCD">
        <w:t xml:space="preserve"> </w:t>
      </w:r>
      <w:r w:rsidRPr="00181FCD">
        <w:t>de</w:t>
      </w:r>
      <w:r w:rsidR="00F373A3" w:rsidRPr="00181FCD">
        <w:t xml:space="preserve"> </w:t>
      </w:r>
      <w:r w:rsidRPr="00181FCD">
        <w:t>Elhovo.</w:t>
      </w:r>
      <w:r w:rsidR="00F373A3" w:rsidRPr="00181FCD">
        <w:t xml:space="preserve"> </w:t>
      </w:r>
      <w:r w:rsidRPr="00181FCD">
        <w:t>Esos</w:t>
      </w:r>
      <w:r w:rsidR="00F373A3" w:rsidRPr="00181FCD">
        <w:t xml:space="preserve"> </w:t>
      </w:r>
      <w:r w:rsidRPr="00181FCD">
        <w:t>profesionales</w:t>
      </w:r>
      <w:r w:rsidR="00F373A3" w:rsidRPr="00181FCD">
        <w:t xml:space="preserve"> </w:t>
      </w:r>
      <w:r w:rsidRPr="00181FCD">
        <w:t>ofrecen</w:t>
      </w:r>
      <w:r w:rsidR="00F373A3" w:rsidRPr="00181FCD">
        <w:t xml:space="preserve"> </w:t>
      </w:r>
      <w:r w:rsidRPr="00181FCD">
        <w:t>consultas</w:t>
      </w:r>
      <w:r w:rsidR="00F373A3" w:rsidRPr="00181FCD">
        <w:t xml:space="preserve"> </w:t>
      </w:r>
      <w:r w:rsidRPr="00181FCD">
        <w:t>psicológicas.</w:t>
      </w:r>
      <w:r w:rsidR="00F373A3" w:rsidRPr="00181FCD">
        <w:t xml:space="preserve"> </w:t>
      </w:r>
      <w:r w:rsidRPr="00181FCD">
        <w:t>Las</w:t>
      </w:r>
      <w:r w:rsidR="00F373A3" w:rsidRPr="00181FCD">
        <w:t xml:space="preserve"> </w:t>
      </w:r>
      <w:r w:rsidRPr="00181FCD">
        <w:t>unidades</w:t>
      </w:r>
      <w:r w:rsidR="00F373A3" w:rsidRPr="00181FCD">
        <w:t xml:space="preserve"> </w:t>
      </w:r>
      <w:r w:rsidRPr="00181FCD">
        <w:t>médicas</w:t>
      </w:r>
      <w:r w:rsidR="00F373A3" w:rsidRPr="00181FCD">
        <w:t xml:space="preserve"> </w:t>
      </w:r>
      <w:r w:rsidRPr="00181FCD">
        <w:t>de</w:t>
      </w:r>
      <w:r w:rsidR="00F373A3" w:rsidRPr="00181FCD">
        <w:t xml:space="preserve"> </w:t>
      </w:r>
      <w:r w:rsidRPr="00181FCD">
        <w:t>dichas</w:t>
      </w:r>
      <w:r w:rsidR="00F373A3" w:rsidRPr="00181FCD">
        <w:t xml:space="preserve"> </w:t>
      </w:r>
      <w:r w:rsidRPr="00181FCD">
        <w:t>instituciones</w:t>
      </w:r>
      <w:r w:rsidR="00F373A3" w:rsidRPr="00181FCD">
        <w:t xml:space="preserve"> </w:t>
      </w:r>
      <w:r w:rsidRPr="00181FCD">
        <w:t>funcionan</w:t>
      </w:r>
      <w:r w:rsidR="00F373A3" w:rsidRPr="00181FCD">
        <w:t xml:space="preserve"> </w:t>
      </w:r>
      <w:r w:rsidRPr="00181FCD">
        <w:t>las</w:t>
      </w:r>
      <w:r w:rsidR="00F373A3" w:rsidRPr="00181FCD">
        <w:t xml:space="preserve"> </w:t>
      </w:r>
      <w:r w:rsidRPr="00181FCD">
        <w:t>24</w:t>
      </w:r>
      <w:r w:rsidR="00F373A3" w:rsidRPr="00181FCD">
        <w:t xml:space="preserve"> </w:t>
      </w:r>
      <w:r w:rsidRPr="00181FCD">
        <w:t>horas</w:t>
      </w:r>
      <w:r w:rsidR="00F373A3" w:rsidRPr="00181FCD">
        <w:t xml:space="preserve"> </w:t>
      </w:r>
      <w:r w:rsidRPr="00181FCD">
        <w:t>del</w:t>
      </w:r>
      <w:r w:rsidR="00F373A3" w:rsidRPr="00181FCD">
        <w:t xml:space="preserve"> </w:t>
      </w:r>
      <w:r w:rsidRPr="00181FCD">
        <w:t>día</w:t>
      </w:r>
      <w:r w:rsidR="00F373A3" w:rsidRPr="00181FCD">
        <w:t xml:space="preserve"> </w:t>
      </w:r>
      <w:r w:rsidRPr="00181FCD">
        <w:t>y</w:t>
      </w:r>
      <w:r w:rsidR="00F373A3" w:rsidRPr="00181FCD">
        <w:t xml:space="preserve"> </w:t>
      </w:r>
      <w:r w:rsidRPr="00181FCD">
        <w:t>los</w:t>
      </w:r>
      <w:r w:rsidR="00F373A3" w:rsidRPr="00181FCD">
        <w:t xml:space="preserve"> </w:t>
      </w:r>
      <w:r w:rsidRPr="00181FCD">
        <w:t>7</w:t>
      </w:r>
      <w:r w:rsidR="00F373A3" w:rsidRPr="00181FCD">
        <w:t xml:space="preserve"> </w:t>
      </w:r>
      <w:r w:rsidRPr="00181FCD">
        <w:t>días</w:t>
      </w:r>
      <w:r w:rsidR="00F373A3" w:rsidRPr="00181FCD">
        <w:t xml:space="preserve"> </w:t>
      </w:r>
      <w:r w:rsidRPr="00181FCD">
        <w:t>de</w:t>
      </w:r>
      <w:r w:rsidR="00F373A3" w:rsidRPr="00181FCD">
        <w:t xml:space="preserve"> </w:t>
      </w:r>
      <w:r w:rsidRPr="00181FCD">
        <w:t>la</w:t>
      </w:r>
      <w:r w:rsidR="00F373A3" w:rsidRPr="00181FCD">
        <w:t xml:space="preserve"> </w:t>
      </w:r>
      <w:r w:rsidRPr="00181FCD">
        <w:t>semana</w:t>
      </w:r>
      <w:r w:rsidR="004469C4" w:rsidRPr="00181FCD">
        <w:t>.</w:t>
      </w:r>
    </w:p>
    <w:p w:rsidR="001937F4" w:rsidRPr="00181FCD" w:rsidRDefault="001937F4" w:rsidP="00347B20">
      <w:pPr>
        <w:pStyle w:val="SingleTxtG"/>
        <w:suppressAutoHyphens/>
      </w:pPr>
      <w:r w:rsidRPr="00181FCD">
        <w:t>109.</w:t>
      </w:r>
      <w:r w:rsidRPr="00181FCD">
        <w:tab/>
        <w:t>La</w:t>
      </w:r>
      <w:r w:rsidR="00F373A3" w:rsidRPr="00181FCD">
        <w:t xml:space="preserve"> </w:t>
      </w:r>
      <w:r w:rsidRPr="00181FCD">
        <w:t>atención</w:t>
      </w:r>
      <w:r w:rsidR="00F373A3" w:rsidRPr="00181FCD">
        <w:t xml:space="preserve"> </w:t>
      </w:r>
      <w:r w:rsidRPr="00181FCD">
        <w:t>médica</w:t>
      </w:r>
      <w:r w:rsidR="00F373A3" w:rsidRPr="00181FCD">
        <w:t xml:space="preserve"> </w:t>
      </w:r>
      <w:r w:rsidRPr="00181FCD">
        <w:t>para</w:t>
      </w:r>
      <w:r w:rsidR="00F373A3" w:rsidRPr="00181FCD">
        <w:t xml:space="preserve"> </w:t>
      </w:r>
      <w:r w:rsidRPr="00181FCD">
        <w:t>las</w:t>
      </w:r>
      <w:r w:rsidR="00F373A3" w:rsidRPr="00181FCD">
        <w:t xml:space="preserve"> </w:t>
      </w:r>
      <w:r w:rsidRPr="00181FCD">
        <w:t>personas</w:t>
      </w:r>
      <w:r w:rsidR="00F373A3" w:rsidRPr="00181FCD">
        <w:t xml:space="preserve"> </w:t>
      </w:r>
      <w:r w:rsidRPr="00181FCD">
        <w:t>alojadas</w:t>
      </w:r>
      <w:r w:rsidR="00F373A3" w:rsidRPr="00181FCD">
        <w:t xml:space="preserve"> </w:t>
      </w:r>
      <w:r w:rsidRPr="00181FCD">
        <w:t>incluye:</w:t>
      </w:r>
      <w:r w:rsidR="00F373A3" w:rsidRPr="00181FCD">
        <w:t xml:space="preserve"> </w:t>
      </w:r>
      <w:r w:rsidRPr="00181FCD">
        <w:t>atención</w:t>
      </w:r>
      <w:r w:rsidR="00F373A3" w:rsidRPr="00181FCD">
        <w:t xml:space="preserve"> </w:t>
      </w:r>
      <w:r w:rsidRPr="00181FCD">
        <w:t>médica</w:t>
      </w:r>
      <w:r w:rsidR="00F373A3" w:rsidRPr="00181FCD">
        <w:t xml:space="preserve"> </w:t>
      </w:r>
      <w:r w:rsidRPr="00181FCD">
        <w:t>primaria</w:t>
      </w:r>
      <w:r w:rsidR="00F373A3" w:rsidRPr="00181FCD">
        <w:t xml:space="preserve"> </w:t>
      </w:r>
      <w:r w:rsidRPr="00181FCD">
        <w:t>ambulatoria;</w:t>
      </w:r>
      <w:r w:rsidR="00F373A3" w:rsidRPr="00181FCD">
        <w:t xml:space="preserve"> </w:t>
      </w:r>
      <w:r w:rsidRPr="00181FCD">
        <w:t>servicios</w:t>
      </w:r>
      <w:r w:rsidR="00F373A3" w:rsidRPr="00181FCD">
        <w:t xml:space="preserve"> </w:t>
      </w:r>
      <w:r w:rsidRPr="00181FCD">
        <w:t>de</w:t>
      </w:r>
      <w:r w:rsidR="00F373A3" w:rsidRPr="00181FCD">
        <w:t xml:space="preserve"> </w:t>
      </w:r>
      <w:r w:rsidRPr="00181FCD">
        <w:t>rehabilitación</w:t>
      </w:r>
      <w:r w:rsidR="00F373A3" w:rsidRPr="00181FCD">
        <w:t xml:space="preserve"> </w:t>
      </w:r>
      <w:r w:rsidRPr="00181FCD">
        <w:t>preventiva</w:t>
      </w:r>
      <w:r w:rsidR="00F373A3" w:rsidRPr="00181FCD">
        <w:t xml:space="preserve"> </w:t>
      </w:r>
      <w:r w:rsidRPr="00181FCD">
        <w:t>y</w:t>
      </w:r>
      <w:r w:rsidR="00F373A3" w:rsidRPr="00181FCD">
        <w:t xml:space="preserve"> </w:t>
      </w:r>
      <w:r w:rsidRPr="00181FCD">
        <w:t>medidas</w:t>
      </w:r>
      <w:r w:rsidR="00F373A3" w:rsidRPr="00181FCD">
        <w:t xml:space="preserve"> </w:t>
      </w:r>
      <w:r w:rsidRPr="00181FCD">
        <w:t>de</w:t>
      </w:r>
      <w:r w:rsidR="00F373A3" w:rsidRPr="00181FCD">
        <w:t xml:space="preserve"> </w:t>
      </w:r>
      <w:r w:rsidRPr="00181FCD">
        <w:t>higiene</w:t>
      </w:r>
      <w:r w:rsidR="00F373A3" w:rsidRPr="00181FCD">
        <w:t xml:space="preserve"> </w:t>
      </w:r>
      <w:r w:rsidRPr="00181FCD">
        <w:t>contra</w:t>
      </w:r>
      <w:r w:rsidR="00F373A3" w:rsidRPr="00181FCD">
        <w:t xml:space="preserve"> </w:t>
      </w:r>
      <w:r w:rsidRPr="00181FCD">
        <w:t>epidemias</w:t>
      </w:r>
      <w:r w:rsidR="00F373A3" w:rsidRPr="00181FCD">
        <w:t xml:space="preserve"> </w:t>
      </w:r>
      <w:r w:rsidRPr="00181FCD">
        <w:t>para</w:t>
      </w:r>
      <w:r w:rsidR="00F373A3" w:rsidRPr="00181FCD">
        <w:t xml:space="preserve"> </w:t>
      </w:r>
      <w:r w:rsidRPr="00181FCD">
        <w:t>mantener</w:t>
      </w:r>
      <w:r w:rsidR="00F373A3" w:rsidRPr="00181FCD">
        <w:t xml:space="preserve"> </w:t>
      </w:r>
      <w:r w:rsidRPr="00181FCD">
        <w:t>y</w:t>
      </w:r>
      <w:r w:rsidR="00F373A3" w:rsidRPr="00181FCD">
        <w:t xml:space="preserve"> </w:t>
      </w:r>
      <w:r w:rsidRPr="00181FCD">
        <w:t>fortalecer</w:t>
      </w:r>
      <w:r w:rsidR="00F373A3" w:rsidRPr="00181FCD">
        <w:t xml:space="preserve"> </w:t>
      </w:r>
      <w:r w:rsidRPr="00181FCD">
        <w:t>la</w:t>
      </w:r>
      <w:r w:rsidR="00F373A3" w:rsidRPr="00181FCD">
        <w:t xml:space="preserve"> </w:t>
      </w:r>
      <w:r w:rsidRPr="00181FCD">
        <w:t>salud</w:t>
      </w:r>
      <w:r w:rsidR="00F373A3" w:rsidRPr="00181FCD">
        <w:t xml:space="preserve"> </w:t>
      </w:r>
      <w:r w:rsidRPr="00181FCD">
        <w:t>física</w:t>
      </w:r>
      <w:r w:rsidR="00F373A3" w:rsidRPr="00181FCD">
        <w:t xml:space="preserve"> </w:t>
      </w:r>
      <w:r w:rsidRPr="00181FCD">
        <w:t>y</w:t>
      </w:r>
      <w:r w:rsidR="00F373A3" w:rsidRPr="00181FCD">
        <w:t xml:space="preserve"> </w:t>
      </w:r>
      <w:r w:rsidRPr="00181FCD">
        <w:t>mental</w:t>
      </w:r>
      <w:r w:rsidR="00F373A3" w:rsidRPr="00181FCD">
        <w:t xml:space="preserve"> </w:t>
      </w:r>
      <w:r w:rsidRPr="00181FCD">
        <w:t>de</w:t>
      </w:r>
      <w:r w:rsidR="00F373A3" w:rsidRPr="00181FCD">
        <w:t xml:space="preserve"> </w:t>
      </w:r>
      <w:r w:rsidRPr="00181FCD">
        <w:t>los</w:t>
      </w:r>
      <w:r w:rsidR="00F373A3" w:rsidRPr="00181FCD">
        <w:t xml:space="preserve"> </w:t>
      </w:r>
      <w:r w:rsidRPr="00181FCD">
        <w:t>extranjeros</w:t>
      </w:r>
      <w:r w:rsidR="00F373A3" w:rsidRPr="00181FCD">
        <w:t xml:space="preserve"> </w:t>
      </w:r>
      <w:r w:rsidRPr="00181FCD">
        <w:t>y</w:t>
      </w:r>
      <w:r w:rsidR="00F373A3" w:rsidRPr="00181FCD">
        <w:t xml:space="preserve"> </w:t>
      </w:r>
      <w:r w:rsidRPr="00181FCD">
        <w:t>orientarlos</w:t>
      </w:r>
      <w:r w:rsidR="00F373A3" w:rsidRPr="00181FCD">
        <w:t xml:space="preserve"> </w:t>
      </w:r>
      <w:r w:rsidRPr="00181FCD">
        <w:t>a</w:t>
      </w:r>
      <w:r w:rsidR="00F373A3" w:rsidRPr="00181FCD">
        <w:t xml:space="preserve"> </w:t>
      </w:r>
      <w:r w:rsidRPr="00181FCD">
        <w:t>los</w:t>
      </w:r>
      <w:r w:rsidR="00F373A3" w:rsidRPr="00181FCD">
        <w:t xml:space="preserve"> </w:t>
      </w:r>
      <w:r w:rsidRPr="00181FCD">
        <w:t>servicios</w:t>
      </w:r>
      <w:r w:rsidR="00F373A3" w:rsidRPr="00181FCD">
        <w:t xml:space="preserve"> </w:t>
      </w:r>
      <w:r w:rsidRPr="00181FCD">
        <w:t>de</w:t>
      </w:r>
      <w:r w:rsidR="00F373A3" w:rsidRPr="00181FCD">
        <w:t xml:space="preserve"> </w:t>
      </w:r>
      <w:r w:rsidRPr="00181FCD">
        <w:t>atención</w:t>
      </w:r>
      <w:r w:rsidR="00F373A3" w:rsidRPr="00181FCD">
        <w:t xml:space="preserve"> </w:t>
      </w:r>
      <w:r w:rsidRPr="00181FCD">
        <w:t>médica</w:t>
      </w:r>
      <w:r w:rsidR="00F373A3" w:rsidRPr="00181FCD">
        <w:t xml:space="preserve"> </w:t>
      </w:r>
      <w:r w:rsidRPr="00181FCD">
        <w:t>especializada</w:t>
      </w:r>
      <w:r w:rsidR="00F373A3" w:rsidRPr="00181FCD">
        <w:t xml:space="preserve"> </w:t>
      </w:r>
      <w:r w:rsidRPr="00181FCD">
        <w:t>o</w:t>
      </w:r>
      <w:r w:rsidR="00F373A3" w:rsidRPr="00181FCD">
        <w:t xml:space="preserve"> </w:t>
      </w:r>
      <w:r w:rsidRPr="00181FCD">
        <w:t>tratamiento</w:t>
      </w:r>
      <w:r w:rsidR="00F373A3" w:rsidRPr="00181FCD">
        <w:t xml:space="preserve"> </w:t>
      </w:r>
      <w:r w:rsidRPr="00181FCD">
        <w:t>estacionario</w:t>
      </w:r>
      <w:r w:rsidR="00F373A3" w:rsidRPr="00181FCD">
        <w:t xml:space="preserve"> </w:t>
      </w:r>
      <w:r w:rsidRPr="00181FCD">
        <w:t>en</w:t>
      </w:r>
      <w:r w:rsidR="00F373A3" w:rsidRPr="00181FCD">
        <w:t xml:space="preserve"> </w:t>
      </w:r>
      <w:r w:rsidRPr="00181FCD">
        <w:t>instituciones</w:t>
      </w:r>
      <w:r w:rsidR="00F373A3" w:rsidRPr="00181FCD">
        <w:t xml:space="preserve"> </w:t>
      </w:r>
      <w:r w:rsidRPr="00181FCD">
        <w:t>para</w:t>
      </w:r>
      <w:r w:rsidR="00F373A3" w:rsidRPr="00181FCD">
        <w:t xml:space="preserve"> </w:t>
      </w:r>
      <w:r w:rsidRPr="00181FCD">
        <w:t>atención</w:t>
      </w:r>
      <w:r w:rsidR="00F373A3" w:rsidRPr="00181FCD">
        <w:t xml:space="preserve"> </w:t>
      </w:r>
      <w:r w:rsidRPr="00181FCD">
        <w:t>ambulatoria</w:t>
      </w:r>
      <w:r w:rsidR="00F373A3" w:rsidRPr="00181FCD">
        <w:t xml:space="preserve"> </w:t>
      </w:r>
      <w:r w:rsidRPr="00181FCD">
        <w:t>u</w:t>
      </w:r>
      <w:r w:rsidR="00F373A3" w:rsidRPr="00181FCD">
        <w:t xml:space="preserve"> </w:t>
      </w:r>
      <w:r w:rsidRPr="00181FCD">
        <w:t>hospitalaria.</w:t>
      </w:r>
      <w:r w:rsidR="00F373A3" w:rsidRPr="00181FCD">
        <w:t xml:space="preserve"> </w:t>
      </w:r>
      <w:r w:rsidRPr="00181FCD">
        <w:t>Los</w:t>
      </w:r>
      <w:r w:rsidR="00F373A3" w:rsidRPr="00181FCD">
        <w:t xml:space="preserve"> </w:t>
      </w:r>
      <w:r w:rsidRPr="00181FCD">
        <w:t>extranjeros</w:t>
      </w:r>
      <w:r w:rsidR="00F373A3" w:rsidRPr="00181FCD">
        <w:t xml:space="preserve"> </w:t>
      </w:r>
      <w:r w:rsidRPr="00181FCD">
        <w:t>deben</w:t>
      </w:r>
      <w:r w:rsidR="00F373A3" w:rsidRPr="00181FCD">
        <w:t xml:space="preserve"> </w:t>
      </w:r>
      <w:r w:rsidRPr="00181FCD">
        <w:t>someterse</w:t>
      </w:r>
      <w:r w:rsidR="00F373A3" w:rsidRPr="00181FCD">
        <w:t xml:space="preserve"> </w:t>
      </w:r>
      <w:r w:rsidRPr="00181FCD">
        <w:t>a</w:t>
      </w:r>
      <w:r w:rsidR="00F373A3" w:rsidRPr="00181FCD">
        <w:t xml:space="preserve"> </w:t>
      </w:r>
      <w:r w:rsidRPr="00181FCD">
        <w:t>controles</w:t>
      </w:r>
      <w:r w:rsidR="00F373A3" w:rsidRPr="00181FCD">
        <w:t xml:space="preserve"> </w:t>
      </w:r>
      <w:r w:rsidRPr="00181FCD">
        <w:t>médicos</w:t>
      </w:r>
      <w:r w:rsidR="00F373A3" w:rsidRPr="00181FCD">
        <w:t xml:space="preserve"> </w:t>
      </w:r>
      <w:r w:rsidRPr="00181FCD">
        <w:t>obligatorios</w:t>
      </w:r>
      <w:r w:rsidR="00F373A3" w:rsidRPr="00181FCD">
        <w:t xml:space="preserve"> </w:t>
      </w:r>
      <w:r w:rsidRPr="00181FCD">
        <w:t>en</w:t>
      </w:r>
      <w:r w:rsidR="00F373A3" w:rsidRPr="00181FCD">
        <w:t xml:space="preserve"> </w:t>
      </w:r>
      <w:r w:rsidRPr="00181FCD">
        <w:t>su</w:t>
      </w:r>
      <w:r w:rsidR="00F373A3" w:rsidRPr="00181FCD">
        <w:t xml:space="preserve"> </w:t>
      </w:r>
      <w:r w:rsidRPr="00181FCD">
        <w:t>lugar</w:t>
      </w:r>
      <w:r w:rsidR="00F373A3" w:rsidRPr="00181FCD">
        <w:t xml:space="preserve"> </w:t>
      </w:r>
      <w:r w:rsidRPr="00181FCD">
        <w:t>de</w:t>
      </w:r>
      <w:r w:rsidR="00F373A3" w:rsidRPr="00181FCD">
        <w:t xml:space="preserve"> </w:t>
      </w:r>
      <w:r w:rsidRPr="00181FCD">
        <w:t>alojamiento,</w:t>
      </w:r>
      <w:r w:rsidR="00F373A3" w:rsidRPr="00181FCD">
        <w:t xml:space="preserve"> </w:t>
      </w:r>
      <w:r w:rsidRPr="00181FCD">
        <w:t>así</w:t>
      </w:r>
      <w:r w:rsidR="00F373A3" w:rsidRPr="00181FCD">
        <w:t xml:space="preserve"> </w:t>
      </w:r>
      <w:r w:rsidRPr="00181FCD">
        <w:t>como</w:t>
      </w:r>
      <w:r w:rsidR="00F373A3" w:rsidRPr="00181FCD">
        <w:t xml:space="preserve"> </w:t>
      </w:r>
      <w:r w:rsidRPr="00181FCD">
        <w:t>a</w:t>
      </w:r>
      <w:r w:rsidR="00F373A3" w:rsidRPr="00181FCD">
        <w:t xml:space="preserve"> </w:t>
      </w:r>
      <w:r w:rsidRPr="00181FCD">
        <w:t>su</w:t>
      </w:r>
      <w:r w:rsidR="00F373A3" w:rsidRPr="00181FCD">
        <w:t xml:space="preserve"> </w:t>
      </w:r>
      <w:r w:rsidRPr="00181FCD">
        <w:t>salida</w:t>
      </w:r>
      <w:r w:rsidR="00F373A3" w:rsidRPr="00181FCD">
        <w:t xml:space="preserve"> </w:t>
      </w:r>
      <w:r w:rsidRPr="00181FCD">
        <w:t>de</w:t>
      </w:r>
      <w:r w:rsidR="00F373A3" w:rsidRPr="00181FCD">
        <w:t xml:space="preserve"> </w:t>
      </w:r>
      <w:r w:rsidRPr="00181FCD">
        <w:t>los</w:t>
      </w:r>
      <w:r w:rsidR="00F373A3" w:rsidRPr="00181FCD">
        <w:t xml:space="preserve"> </w:t>
      </w:r>
      <w:r w:rsidRPr="00181FCD">
        <w:t>Centros</w:t>
      </w:r>
      <w:r w:rsidR="00F373A3" w:rsidRPr="00181FCD">
        <w:t xml:space="preserve"> </w:t>
      </w:r>
      <w:r w:rsidRPr="00181FCD">
        <w:t>de</w:t>
      </w:r>
      <w:r w:rsidR="00F373A3" w:rsidRPr="00181FCD">
        <w:t xml:space="preserve"> </w:t>
      </w:r>
      <w:r w:rsidRPr="00181FCD">
        <w:t>la</w:t>
      </w:r>
      <w:r w:rsidR="00F373A3" w:rsidRPr="00181FCD">
        <w:t xml:space="preserve"> </w:t>
      </w:r>
      <w:r w:rsidRPr="00181FCD">
        <w:t>Dirección</w:t>
      </w:r>
      <w:r w:rsidR="00F373A3" w:rsidRPr="00181FCD">
        <w:t xml:space="preserve"> </w:t>
      </w:r>
      <w:r w:rsidRPr="00181FCD">
        <w:t>de</w:t>
      </w:r>
      <w:r w:rsidR="00F373A3" w:rsidRPr="00181FCD">
        <w:t xml:space="preserve"> "</w:t>
      </w:r>
      <w:r w:rsidRPr="00181FCD">
        <w:t>Migración</w:t>
      </w:r>
      <w:r w:rsidR="00F373A3" w:rsidRPr="00181FCD">
        <w:t>"</w:t>
      </w:r>
      <w:r w:rsidRPr="00181FCD">
        <w:t>.</w:t>
      </w:r>
      <w:r w:rsidR="00F373A3" w:rsidRPr="00181FCD">
        <w:t xml:space="preserve"> </w:t>
      </w:r>
      <w:r w:rsidRPr="00181FCD">
        <w:t>Además</w:t>
      </w:r>
      <w:r w:rsidR="00F373A3" w:rsidRPr="00181FCD">
        <w:t xml:space="preserve"> </w:t>
      </w:r>
      <w:r w:rsidRPr="00181FCD">
        <w:t>de</w:t>
      </w:r>
      <w:r w:rsidR="00F373A3" w:rsidRPr="00181FCD">
        <w:t xml:space="preserve"> </w:t>
      </w:r>
      <w:r w:rsidRPr="00181FCD">
        <w:t>estos</w:t>
      </w:r>
      <w:r w:rsidR="00F373A3" w:rsidRPr="00181FCD">
        <w:t xml:space="preserve"> </w:t>
      </w:r>
      <w:r w:rsidRPr="00181FCD">
        <w:t>controles</w:t>
      </w:r>
      <w:r w:rsidR="00F373A3" w:rsidRPr="00181FCD">
        <w:t xml:space="preserve"> </w:t>
      </w:r>
      <w:r w:rsidRPr="00181FCD">
        <w:t>obligatorios,</w:t>
      </w:r>
      <w:r w:rsidR="00F373A3" w:rsidRPr="00181FCD">
        <w:t xml:space="preserve"> </w:t>
      </w:r>
      <w:r w:rsidRPr="00181FCD">
        <w:t>los</w:t>
      </w:r>
      <w:r w:rsidR="00F373A3" w:rsidRPr="00181FCD">
        <w:t xml:space="preserve"> </w:t>
      </w:r>
      <w:r w:rsidRPr="00181FCD">
        <w:t>especialistas</w:t>
      </w:r>
      <w:r w:rsidR="00F373A3" w:rsidRPr="00181FCD">
        <w:t xml:space="preserve"> </w:t>
      </w:r>
      <w:r w:rsidRPr="00181FCD">
        <w:t>médicos</w:t>
      </w:r>
      <w:r w:rsidR="00F373A3" w:rsidRPr="00181FCD">
        <w:t xml:space="preserve"> </w:t>
      </w:r>
      <w:r w:rsidRPr="00181FCD">
        <w:t>ayudan</w:t>
      </w:r>
      <w:r w:rsidR="00F373A3" w:rsidRPr="00181FCD">
        <w:t xml:space="preserve"> </w:t>
      </w:r>
      <w:r w:rsidRPr="00181FCD">
        <w:t>a</w:t>
      </w:r>
      <w:r w:rsidR="00F373A3" w:rsidRPr="00181FCD">
        <w:t xml:space="preserve"> </w:t>
      </w:r>
      <w:r w:rsidRPr="00181FCD">
        <w:t>cada</w:t>
      </w:r>
      <w:r w:rsidR="00F373A3" w:rsidRPr="00181FCD">
        <w:t xml:space="preserve"> </w:t>
      </w:r>
      <w:r w:rsidRPr="00181FCD">
        <w:t>extranjero</w:t>
      </w:r>
      <w:r w:rsidR="00F373A3" w:rsidRPr="00181FCD">
        <w:t xml:space="preserve"> </w:t>
      </w:r>
      <w:r w:rsidRPr="00181FCD">
        <w:t>alojado</w:t>
      </w:r>
      <w:r w:rsidR="00F373A3" w:rsidRPr="00181FCD">
        <w:t xml:space="preserve"> </w:t>
      </w:r>
      <w:r w:rsidRPr="00181FCD">
        <w:t>que</w:t>
      </w:r>
      <w:r w:rsidR="00F373A3" w:rsidRPr="00181FCD">
        <w:t xml:space="preserve"> </w:t>
      </w:r>
      <w:r w:rsidRPr="00181FCD">
        <w:t>acude</w:t>
      </w:r>
      <w:r w:rsidR="00F373A3" w:rsidRPr="00181FCD">
        <w:t xml:space="preserve"> </w:t>
      </w:r>
      <w:r w:rsidRPr="00181FCD">
        <w:t>a</w:t>
      </w:r>
      <w:r w:rsidR="00F373A3" w:rsidRPr="00181FCD">
        <w:t xml:space="preserve"> </w:t>
      </w:r>
      <w:r w:rsidRPr="00181FCD">
        <w:t>ellos</w:t>
      </w:r>
      <w:r w:rsidR="00F373A3" w:rsidRPr="00181FCD">
        <w:t xml:space="preserve"> </w:t>
      </w:r>
      <w:r w:rsidRPr="00181FCD">
        <w:t>para</w:t>
      </w:r>
      <w:r w:rsidR="00F373A3" w:rsidRPr="00181FCD">
        <w:t xml:space="preserve"> </w:t>
      </w:r>
      <w:r w:rsidRPr="00181FCD">
        <w:t>un</w:t>
      </w:r>
      <w:r w:rsidR="00F373A3" w:rsidRPr="00181FCD">
        <w:t xml:space="preserve"> </w:t>
      </w:r>
      <w:r w:rsidRPr="00181FCD">
        <w:t>reconocimiento</w:t>
      </w:r>
      <w:r w:rsidR="00F373A3" w:rsidRPr="00181FCD">
        <w:t xml:space="preserve"> </w:t>
      </w:r>
      <w:r w:rsidRPr="00181FCD">
        <w:t>médico.</w:t>
      </w:r>
      <w:r w:rsidR="00F373A3" w:rsidRPr="00181FCD">
        <w:t xml:space="preserve"> </w:t>
      </w:r>
      <w:r w:rsidRPr="00181FCD">
        <w:t>Los</w:t>
      </w:r>
      <w:r w:rsidR="00F373A3" w:rsidRPr="00181FCD">
        <w:t xml:space="preserve"> </w:t>
      </w:r>
      <w:r w:rsidRPr="00181FCD">
        <w:t>exámenes</w:t>
      </w:r>
      <w:r w:rsidR="00F373A3" w:rsidRPr="00181FCD">
        <w:t xml:space="preserve"> </w:t>
      </w:r>
      <w:r w:rsidRPr="00181FCD">
        <w:t>médicos</w:t>
      </w:r>
      <w:r w:rsidR="00F373A3" w:rsidRPr="00181FCD">
        <w:t xml:space="preserve"> </w:t>
      </w:r>
      <w:r w:rsidRPr="00181FCD">
        <w:t>se</w:t>
      </w:r>
      <w:r w:rsidR="00F373A3" w:rsidRPr="00181FCD">
        <w:t xml:space="preserve"> </w:t>
      </w:r>
      <w:r w:rsidRPr="00181FCD">
        <w:t>proporcionan</w:t>
      </w:r>
      <w:r w:rsidR="00F373A3" w:rsidRPr="00181FCD">
        <w:t xml:space="preserve"> </w:t>
      </w:r>
      <w:r w:rsidRPr="00181FCD">
        <w:t>a</w:t>
      </w:r>
      <w:r w:rsidR="00F373A3" w:rsidRPr="00181FCD">
        <w:t xml:space="preserve"> </w:t>
      </w:r>
      <w:r w:rsidRPr="00181FCD">
        <w:t>los</w:t>
      </w:r>
      <w:r w:rsidR="00F373A3" w:rsidRPr="00181FCD">
        <w:t xml:space="preserve"> </w:t>
      </w:r>
      <w:r w:rsidRPr="00181FCD">
        <w:t>extranjeros</w:t>
      </w:r>
      <w:r w:rsidR="00F373A3" w:rsidRPr="00181FCD">
        <w:t xml:space="preserve"> </w:t>
      </w:r>
      <w:r w:rsidRPr="00181FCD">
        <w:t>también</w:t>
      </w:r>
      <w:r w:rsidR="00F373A3" w:rsidRPr="00181FCD">
        <w:t xml:space="preserve"> </w:t>
      </w:r>
      <w:r w:rsidRPr="00181FCD">
        <w:t>a</w:t>
      </w:r>
      <w:r w:rsidR="00F373A3" w:rsidRPr="00181FCD">
        <w:t xml:space="preserve"> </w:t>
      </w:r>
      <w:r w:rsidRPr="00181FCD">
        <w:t>propuesta</w:t>
      </w:r>
      <w:r w:rsidR="00F373A3" w:rsidRPr="00181FCD">
        <w:t xml:space="preserve"> </w:t>
      </w:r>
      <w:r w:rsidRPr="00181FCD">
        <w:t>de</w:t>
      </w:r>
      <w:r w:rsidR="00F373A3" w:rsidRPr="00181FCD">
        <w:t xml:space="preserve"> </w:t>
      </w:r>
      <w:r w:rsidRPr="00181FCD">
        <w:t>los</w:t>
      </w:r>
      <w:r w:rsidR="00F373A3" w:rsidRPr="00181FCD">
        <w:t xml:space="preserve"> </w:t>
      </w:r>
      <w:r w:rsidRPr="00181FCD">
        <w:t>funcionarios</w:t>
      </w:r>
      <w:r w:rsidR="00F373A3" w:rsidRPr="00181FCD">
        <w:t xml:space="preserve"> </w:t>
      </w:r>
      <w:r w:rsidRPr="00181FCD">
        <w:t>del</w:t>
      </w:r>
      <w:r w:rsidR="00F373A3" w:rsidRPr="00181FCD">
        <w:t xml:space="preserve"> </w:t>
      </w:r>
      <w:r w:rsidRPr="00181FCD">
        <w:t>personal</w:t>
      </w:r>
      <w:r w:rsidR="00F373A3" w:rsidRPr="00181FCD">
        <w:t xml:space="preserve"> </w:t>
      </w:r>
      <w:r w:rsidRPr="00181FCD">
        <w:t>de</w:t>
      </w:r>
      <w:r w:rsidR="00F373A3" w:rsidRPr="00181FCD">
        <w:t xml:space="preserve"> </w:t>
      </w:r>
      <w:r w:rsidRPr="00181FCD">
        <w:t>la</w:t>
      </w:r>
      <w:r w:rsidR="00F373A3" w:rsidRPr="00181FCD">
        <w:t xml:space="preserve"> </w:t>
      </w:r>
      <w:r w:rsidRPr="00181FCD">
        <w:t>Casa,</w:t>
      </w:r>
      <w:r w:rsidR="00F373A3" w:rsidRPr="00181FCD">
        <w:t xml:space="preserve"> </w:t>
      </w:r>
      <w:r w:rsidRPr="00181FCD">
        <w:t>que</w:t>
      </w:r>
      <w:r w:rsidR="00F373A3" w:rsidRPr="00181FCD">
        <w:t xml:space="preserve"> </w:t>
      </w:r>
      <w:r w:rsidRPr="00181FCD">
        <w:t>trabajan</w:t>
      </w:r>
      <w:r w:rsidR="00F373A3" w:rsidRPr="00181FCD">
        <w:t xml:space="preserve"> </w:t>
      </w:r>
      <w:r w:rsidRPr="00181FCD">
        <w:t>a</w:t>
      </w:r>
      <w:r w:rsidR="00F373A3" w:rsidRPr="00181FCD">
        <w:t xml:space="preserve"> </w:t>
      </w:r>
      <w:r w:rsidRPr="00181FCD">
        <w:t>diario</w:t>
      </w:r>
      <w:r w:rsidR="00F373A3" w:rsidRPr="00181FCD">
        <w:t xml:space="preserve"> </w:t>
      </w:r>
      <w:r w:rsidRPr="00181FCD">
        <w:t>con</w:t>
      </w:r>
      <w:r w:rsidR="00F373A3" w:rsidRPr="00181FCD">
        <w:t xml:space="preserve"> </w:t>
      </w:r>
      <w:r w:rsidRPr="00181FCD">
        <w:t>ellos</w:t>
      </w:r>
      <w:r w:rsidR="00F373A3" w:rsidRPr="00181FCD">
        <w:t xml:space="preserve"> </w:t>
      </w:r>
      <w:r w:rsidRPr="00181FCD">
        <w:t>y</w:t>
      </w:r>
      <w:r w:rsidR="00F373A3" w:rsidRPr="00181FCD">
        <w:t xml:space="preserve"> </w:t>
      </w:r>
      <w:r w:rsidRPr="00181FCD">
        <w:t>supervisan</w:t>
      </w:r>
      <w:r w:rsidR="00F373A3" w:rsidRPr="00181FCD">
        <w:t xml:space="preserve"> </w:t>
      </w:r>
      <w:r w:rsidRPr="00181FCD">
        <w:t>su</w:t>
      </w:r>
      <w:r w:rsidR="00F373A3" w:rsidRPr="00181FCD">
        <w:t xml:space="preserve"> </w:t>
      </w:r>
      <w:r w:rsidRPr="00181FCD">
        <w:t>estado</w:t>
      </w:r>
      <w:r w:rsidR="00F373A3" w:rsidRPr="00181FCD">
        <w:t xml:space="preserve"> </w:t>
      </w:r>
      <w:r w:rsidRPr="00181FCD">
        <w:t>de</w:t>
      </w:r>
      <w:r w:rsidR="00F373A3" w:rsidRPr="00181FCD">
        <w:t xml:space="preserve"> </w:t>
      </w:r>
      <w:r w:rsidRPr="00181FCD">
        <w:t>salud.</w:t>
      </w:r>
    </w:p>
    <w:p w:rsidR="001937F4" w:rsidRPr="00181FCD" w:rsidRDefault="001937F4" w:rsidP="00347B20">
      <w:pPr>
        <w:pStyle w:val="SingleTxtG"/>
        <w:suppressAutoHyphens/>
      </w:pPr>
      <w:r w:rsidRPr="00181FCD">
        <w:t>110.</w:t>
      </w:r>
      <w:r w:rsidRPr="00181FCD">
        <w:tab/>
        <w:t>En</w:t>
      </w:r>
      <w:r w:rsidR="00F373A3" w:rsidRPr="00181FCD">
        <w:t xml:space="preserve"> </w:t>
      </w:r>
      <w:r w:rsidRPr="00181FCD">
        <w:t>caso</w:t>
      </w:r>
      <w:r w:rsidR="00F373A3" w:rsidRPr="00181FCD">
        <w:t xml:space="preserve"> </w:t>
      </w:r>
      <w:r w:rsidRPr="00181FCD">
        <w:t>de</w:t>
      </w:r>
      <w:r w:rsidR="00F373A3" w:rsidRPr="00181FCD">
        <w:t xml:space="preserve"> </w:t>
      </w:r>
      <w:r w:rsidRPr="00181FCD">
        <w:t>emergencia,</w:t>
      </w:r>
      <w:r w:rsidR="00F373A3" w:rsidRPr="00181FCD">
        <w:t xml:space="preserve"> </w:t>
      </w:r>
      <w:r w:rsidRPr="00181FCD">
        <w:t>la</w:t>
      </w:r>
      <w:r w:rsidR="00F373A3" w:rsidRPr="00181FCD">
        <w:t xml:space="preserve"> </w:t>
      </w:r>
      <w:r w:rsidRPr="00181FCD">
        <w:t>asistencia</w:t>
      </w:r>
      <w:r w:rsidR="00F373A3" w:rsidRPr="00181FCD">
        <w:t xml:space="preserve"> </w:t>
      </w:r>
      <w:r w:rsidRPr="00181FCD">
        <w:t>médica</w:t>
      </w:r>
      <w:r w:rsidR="00F373A3" w:rsidRPr="00181FCD">
        <w:t xml:space="preserve"> </w:t>
      </w:r>
      <w:r w:rsidRPr="00181FCD">
        <w:t>a</w:t>
      </w:r>
      <w:r w:rsidR="00F373A3" w:rsidRPr="00181FCD">
        <w:t xml:space="preserve"> </w:t>
      </w:r>
      <w:r w:rsidRPr="00181FCD">
        <w:t>los</w:t>
      </w:r>
      <w:r w:rsidR="00F373A3" w:rsidRPr="00181FCD">
        <w:t xml:space="preserve"> </w:t>
      </w:r>
      <w:r w:rsidRPr="00181FCD">
        <w:t>extranjeros</w:t>
      </w:r>
      <w:r w:rsidR="00F373A3" w:rsidRPr="00181FCD">
        <w:t xml:space="preserve"> </w:t>
      </w:r>
      <w:r w:rsidRPr="00181FCD">
        <w:t>corre</w:t>
      </w:r>
      <w:r w:rsidR="00F373A3" w:rsidRPr="00181FCD">
        <w:t xml:space="preserve"> </w:t>
      </w:r>
      <w:r w:rsidRPr="00181FCD">
        <w:t>por</w:t>
      </w:r>
      <w:r w:rsidR="00F373A3" w:rsidRPr="00181FCD">
        <w:t xml:space="preserve"> </w:t>
      </w:r>
      <w:r w:rsidRPr="00181FCD">
        <w:t>cuenta</w:t>
      </w:r>
      <w:r w:rsidR="00F373A3" w:rsidRPr="00181FCD">
        <w:t xml:space="preserve"> </w:t>
      </w:r>
      <w:r w:rsidRPr="00181FCD">
        <w:t>del</w:t>
      </w:r>
      <w:r w:rsidR="00F373A3" w:rsidRPr="00181FCD">
        <w:t xml:space="preserve"> </w:t>
      </w:r>
      <w:r w:rsidRPr="00181FCD">
        <w:t>equipo</w:t>
      </w:r>
      <w:r w:rsidR="00F373A3" w:rsidRPr="00181FCD">
        <w:t xml:space="preserve"> </w:t>
      </w:r>
      <w:r w:rsidRPr="00181FCD">
        <w:t>del</w:t>
      </w:r>
      <w:r w:rsidR="00F373A3" w:rsidRPr="00181FCD">
        <w:t xml:space="preserve"> </w:t>
      </w:r>
      <w:r w:rsidRPr="00181FCD">
        <w:t>servicio</w:t>
      </w:r>
      <w:r w:rsidR="00F373A3" w:rsidRPr="00181FCD">
        <w:t xml:space="preserve"> </w:t>
      </w:r>
      <w:r w:rsidRPr="00181FCD">
        <w:t>médico</w:t>
      </w:r>
      <w:r w:rsidR="00F373A3" w:rsidRPr="00181FCD">
        <w:t xml:space="preserve"> </w:t>
      </w:r>
      <w:r w:rsidRPr="00181FCD">
        <w:t>de</w:t>
      </w:r>
      <w:r w:rsidR="00F373A3" w:rsidRPr="00181FCD">
        <w:t xml:space="preserve"> </w:t>
      </w:r>
      <w:r w:rsidRPr="00181FCD">
        <w:t>urgencia</w:t>
      </w:r>
      <w:r w:rsidR="00F373A3" w:rsidRPr="00181FCD">
        <w:t xml:space="preserve"> </w:t>
      </w:r>
      <w:r w:rsidRPr="00181FCD">
        <w:t>del</w:t>
      </w:r>
      <w:r w:rsidR="00F373A3" w:rsidRPr="00181FCD">
        <w:t xml:space="preserve"> </w:t>
      </w:r>
      <w:r w:rsidRPr="00181FCD">
        <w:t>territorio</w:t>
      </w:r>
      <w:r w:rsidR="00F373A3" w:rsidRPr="00181FCD">
        <w:t xml:space="preserve"> </w:t>
      </w:r>
      <w:r w:rsidRPr="00181FCD">
        <w:t>en</w:t>
      </w:r>
      <w:r w:rsidR="00F373A3" w:rsidRPr="00181FCD">
        <w:t xml:space="preserve"> </w:t>
      </w:r>
      <w:r w:rsidRPr="00181FCD">
        <w:t>que</w:t>
      </w:r>
      <w:r w:rsidR="00F373A3" w:rsidRPr="00181FCD">
        <w:t xml:space="preserve"> </w:t>
      </w:r>
      <w:r w:rsidRPr="00181FCD">
        <w:t>están</w:t>
      </w:r>
      <w:r w:rsidR="00F373A3" w:rsidRPr="00181FCD">
        <w:t xml:space="preserve"> </w:t>
      </w:r>
      <w:r w:rsidRPr="00181FCD">
        <w:t>situadas</w:t>
      </w:r>
      <w:r w:rsidR="00F373A3" w:rsidRPr="00181FCD">
        <w:t xml:space="preserve"> </w:t>
      </w:r>
      <w:r w:rsidRPr="00181FCD">
        <w:t>las</w:t>
      </w:r>
      <w:r w:rsidR="00F373A3" w:rsidRPr="00181FCD">
        <w:t xml:space="preserve"> </w:t>
      </w:r>
      <w:r w:rsidRPr="00181FCD">
        <w:t>Casas</w:t>
      </w:r>
      <w:r w:rsidR="00F373A3" w:rsidRPr="00181FCD">
        <w:t xml:space="preserve"> </w:t>
      </w:r>
      <w:r w:rsidRPr="00181FCD">
        <w:t>Especiales</w:t>
      </w:r>
      <w:r w:rsidR="00F373A3" w:rsidRPr="00181FCD">
        <w:t xml:space="preserve"> </w:t>
      </w:r>
      <w:r w:rsidRPr="00181FCD">
        <w:t>de</w:t>
      </w:r>
      <w:r w:rsidR="00F373A3" w:rsidRPr="00181FCD">
        <w:t xml:space="preserve"> </w:t>
      </w:r>
      <w:r w:rsidRPr="00181FCD">
        <w:t>Alojamiento</w:t>
      </w:r>
      <w:r w:rsidR="00F373A3" w:rsidRPr="00181FCD">
        <w:t xml:space="preserve"> </w:t>
      </w:r>
      <w:r w:rsidRPr="00181FCD">
        <w:t>Temporal</w:t>
      </w:r>
      <w:r w:rsidR="00F373A3" w:rsidRPr="00181FCD">
        <w:t xml:space="preserve"> </w:t>
      </w:r>
      <w:r w:rsidRPr="00181FCD">
        <w:t>de</w:t>
      </w:r>
      <w:r w:rsidR="00F373A3" w:rsidRPr="00181FCD">
        <w:t xml:space="preserve"> </w:t>
      </w:r>
      <w:r w:rsidRPr="00181FCD">
        <w:t>Extranjeros</w:t>
      </w:r>
      <w:r w:rsidR="00F373A3" w:rsidRPr="00181FCD">
        <w:t xml:space="preserve"> </w:t>
      </w:r>
      <w:r w:rsidRPr="00181FCD">
        <w:t>y</w:t>
      </w:r>
      <w:r w:rsidR="00F373A3" w:rsidRPr="00181FCD">
        <w:t xml:space="preserve"> </w:t>
      </w:r>
      <w:r w:rsidRPr="00181FCD">
        <w:t>los</w:t>
      </w:r>
      <w:r w:rsidR="00F373A3" w:rsidRPr="00181FCD">
        <w:t xml:space="preserve"> </w:t>
      </w:r>
      <w:r w:rsidRPr="00181FCD">
        <w:t>Centros</w:t>
      </w:r>
      <w:r w:rsidR="00F373A3" w:rsidRPr="00181FCD">
        <w:t xml:space="preserve"> </w:t>
      </w:r>
      <w:r w:rsidRPr="00181FCD">
        <w:t>de</w:t>
      </w:r>
      <w:r w:rsidR="00F373A3" w:rsidRPr="00181FCD">
        <w:t xml:space="preserve"> </w:t>
      </w:r>
      <w:r w:rsidRPr="00181FCD">
        <w:t>Distribución,</w:t>
      </w:r>
      <w:r w:rsidR="00F373A3" w:rsidRPr="00181FCD">
        <w:t xml:space="preserve"> </w:t>
      </w:r>
      <w:r w:rsidRPr="00181FCD">
        <w:t>hasta</w:t>
      </w:r>
      <w:r w:rsidR="00F373A3" w:rsidRPr="00181FCD">
        <w:t xml:space="preserve"> </w:t>
      </w:r>
      <w:r w:rsidRPr="00181FCD">
        <w:t>la</w:t>
      </w:r>
      <w:r w:rsidR="00F373A3" w:rsidRPr="00181FCD">
        <w:t xml:space="preserve"> </w:t>
      </w:r>
      <w:r w:rsidRPr="00181FCD">
        <w:t>llegada</w:t>
      </w:r>
      <w:r w:rsidR="00F373A3" w:rsidRPr="00181FCD">
        <w:t xml:space="preserve"> </w:t>
      </w:r>
      <w:r w:rsidRPr="00181FCD">
        <w:t>del</w:t>
      </w:r>
      <w:r w:rsidR="00F373A3" w:rsidRPr="00181FCD">
        <w:t xml:space="preserve"> </w:t>
      </w:r>
      <w:r w:rsidRPr="00181FCD">
        <w:t>equipo</w:t>
      </w:r>
      <w:r w:rsidR="00F373A3" w:rsidRPr="00181FCD">
        <w:t xml:space="preserve"> </w:t>
      </w:r>
      <w:r w:rsidRPr="00181FCD">
        <w:t>que</w:t>
      </w:r>
      <w:r w:rsidR="00F373A3" w:rsidRPr="00181FCD">
        <w:t xml:space="preserve"> </w:t>
      </w:r>
      <w:r w:rsidRPr="00181FCD">
        <w:t>les</w:t>
      </w:r>
      <w:r w:rsidR="00F373A3" w:rsidRPr="00181FCD">
        <w:t xml:space="preserve"> </w:t>
      </w:r>
      <w:r w:rsidRPr="00181FCD">
        <w:t>ofrezca</w:t>
      </w:r>
      <w:r w:rsidR="00F373A3" w:rsidRPr="00181FCD">
        <w:t xml:space="preserve"> </w:t>
      </w:r>
      <w:r w:rsidRPr="00181FCD">
        <w:t>medidas</w:t>
      </w:r>
      <w:r w:rsidR="00F373A3" w:rsidRPr="00181FCD">
        <w:t xml:space="preserve"> </w:t>
      </w:r>
      <w:r w:rsidRPr="00181FCD">
        <w:t>de</w:t>
      </w:r>
      <w:r w:rsidR="00F373A3" w:rsidRPr="00181FCD">
        <w:t xml:space="preserve"> </w:t>
      </w:r>
      <w:r w:rsidRPr="00181FCD">
        <w:t>apoyo</w:t>
      </w:r>
      <w:r w:rsidR="00F373A3" w:rsidRPr="00181FCD">
        <w:t xml:space="preserve"> </w:t>
      </w:r>
      <w:r w:rsidRPr="00181FCD">
        <w:t>posibles</w:t>
      </w:r>
      <w:r w:rsidR="00F373A3" w:rsidRPr="00181FCD">
        <w:t xml:space="preserve"> </w:t>
      </w:r>
      <w:r w:rsidRPr="00181FCD">
        <w:t>para</w:t>
      </w:r>
      <w:r w:rsidR="00F373A3" w:rsidRPr="00181FCD">
        <w:t xml:space="preserve"> </w:t>
      </w:r>
      <w:r w:rsidRPr="00181FCD">
        <w:t>salvar</w:t>
      </w:r>
      <w:r w:rsidR="00F373A3" w:rsidRPr="00181FCD">
        <w:t xml:space="preserve"> </w:t>
      </w:r>
      <w:r w:rsidRPr="00181FCD">
        <w:t>la</w:t>
      </w:r>
      <w:r w:rsidR="00F373A3" w:rsidRPr="00181FCD">
        <w:t xml:space="preserve"> </w:t>
      </w:r>
      <w:r w:rsidRPr="00181FCD">
        <w:t>vida</w:t>
      </w:r>
      <w:r w:rsidR="00F373A3" w:rsidRPr="00181FCD">
        <w:t xml:space="preserve"> </w:t>
      </w:r>
      <w:r w:rsidRPr="00181FCD">
        <w:t>o</w:t>
      </w:r>
      <w:r w:rsidR="00F373A3" w:rsidRPr="00181FCD">
        <w:t xml:space="preserve"> </w:t>
      </w:r>
      <w:r w:rsidRPr="00181FCD">
        <w:t>mejorar</w:t>
      </w:r>
      <w:r w:rsidR="00F373A3" w:rsidRPr="00181FCD">
        <w:t xml:space="preserve"> </w:t>
      </w:r>
      <w:r w:rsidRPr="00181FCD">
        <w:t>las</w:t>
      </w:r>
      <w:r w:rsidR="00F373A3" w:rsidRPr="00181FCD">
        <w:t xml:space="preserve"> </w:t>
      </w:r>
      <w:r w:rsidRPr="00181FCD">
        <w:t>condiciones</w:t>
      </w:r>
      <w:r w:rsidR="00F373A3" w:rsidRPr="00181FCD">
        <w:t xml:space="preserve"> </w:t>
      </w:r>
      <w:r w:rsidRPr="00181FCD">
        <w:t>de</w:t>
      </w:r>
      <w:r w:rsidR="00F373A3" w:rsidRPr="00181FCD">
        <w:t xml:space="preserve"> </w:t>
      </w:r>
      <w:r w:rsidRPr="00181FCD">
        <w:t>vida.</w:t>
      </w:r>
    </w:p>
    <w:p w:rsidR="001937F4" w:rsidRPr="00181FCD" w:rsidRDefault="001937F4" w:rsidP="00347B20">
      <w:pPr>
        <w:pStyle w:val="SingleTxtG"/>
        <w:suppressAutoHyphens/>
      </w:pPr>
      <w:r w:rsidRPr="00181FCD">
        <w:t>111.</w:t>
      </w:r>
      <w:r w:rsidRPr="00181FCD">
        <w:tab/>
        <w:t>Dado</w:t>
      </w:r>
      <w:r w:rsidR="00F373A3" w:rsidRPr="00181FCD">
        <w:t xml:space="preserve"> </w:t>
      </w:r>
      <w:r w:rsidRPr="00181FCD">
        <w:t>que</w:t>
      </w:r>
      <w:r w:rsidR="00F373A3" w:rsidRPr="00181FCD">
        <w:t xml:space="preserve"> </w:t>
      </w:r>
      <w:r w:rsidRPr="00181FCD">
        <w:t>los</w:t>
      </w:r>
      <w:r w:rsidR="00F373A3" w:rsidRPr="00181FCD">
        <w:t xml:space="preserve"> </w:t>
      </w:r>
      <w:r w:rsidRPr="00181FCD">
        <w:t>extranjeros</w:t>
      </w:r>
      <w:r w:rsidR="00F373A3" w:rsidRPr="00181FCD">
        <w:t xml:space="preserve"> </w:t>
      </w:r>
      <w:r w:rsidRPr="00181FCD">
        <w:t>que</w:t>
      </w:r>
      <w:r w:rsidR="00F373A3" w:rsidRPr="00181FCD">
        <w:t xml:space="preserve"> </w:t>
      </w:r>
      <w:r w:rsidRPr="00181FCD">
        <w:t>residen</w:t>
      </w:r>
      <w:r w:rsidR="00F373A3" w:rsidRPr="00181FCD">
        <w:t xml:space="preserve"> </w:t>
      </w:r>
      <w:r w:rsidRPr="00181FCD">
        <w:t>ilegalmente</w:t>
      </w:r>
      <w:r w:rsidR="00F373A3" w:rsidRPr="00181FCD">
        <w:t xml:space="preserve"> </w:t>
      </w:r>
      <w:r w:rsidRPr="00181FCD">
        <w:t>no</w:t>
      </w:r>
      <w:r w:rsidR="00F373A3" w:rsidRPr="00181FCD">
        <w:t xml:space="preserve"> </w:t>
      </w:r>
      <w:r w:rsidRPr="00181FCD">
        <w:t>tienen</w:t>
      </w:r>
      <w:r w:rsidR="00F373A3" w:rsidRPr="00181FCD">
        <w:t xml:space="preserve"> </w:t>
      </w:r>
      <w:r w:rsidRPr="00181FCD">
        <w:t>seguro</w:t>
      </w:r>
      <w:r w:rsidR="00F373A3" w:rsidRPr="00181FCD">
        <w:t xml:space="preserve"> </w:t>
      </w:r>
      <w:r w:rsidRPr="00181FCD">
        <w:t>de</w:t>
      </w:r>
      <w:r w:rsidR="00F373A3" w:rsidRPr="00181FCD">
        <w:t xml:space="preserve"> </w:t>
      </w:r>
      <w:r w:rsidRPr="00181FCD">
        <w:t>salud,</w:t>
      </w:r>
      <w:r w:rsidR="00F373A3" w:rsidRPr="00181FCD">
        <w:t xml:space="preserve"> </w:t>
      </w:r>
      <w:r w:rsidRPr="00181FCD">
        <w:t>su</w:t>
      </w:r>
      <w:r w:rsidR="00F373A3" w:rsidRPr="00181FCD">
        <w:t xml:space="preserve"> </w:t>
      </w:r>
      <w:r w:rsidRPr="00181FCD">
        <w:t>tratamiento</w:t>
      </w:r>
      <w:r w:rsidR="00F373A3" w:rsidRPr="00181FCD">
        <w:t xml:space="preserve"> </w:t>
      </w:r>
      <w:r w:rsidRPr="00181FCD">
        <w:t>se</w:t>
      </w:r>
      <w:r w:rsidR="00F373A3" w:rsidRPr="00181FCD">
        <w:t xml:space="preserve"> </w:t>
      </w:r>
      <w:r w:rsidRPr="00181FCD">
        <w:t>financia</w:t>
      </w:r>
      <w:r w:rsidR="00F373A3" w:rsidRPr="00181FCD">
        <w:t xml:space="preserve"> </w:t>
      </w:r>
      <w:r w:rsidRPr="00181FCD">
        <w:t>con</w:t>
      </w:r>
      <w:r w:rsidR="00F373A3" w:rsidRPr="00181FCD">
        <w:t xml:space="preserve"> </w:t>
      </w:r>
      <w:r w:rsidRPr="00181FCD">
        <w:t>cargo</w:t>
      </w:r>
      <w:r w:rsidR="00F373A3" w:rsidRPr="00181FCD">
        <w:t xml:space="preserve"> </w:t>
      </w:r>
      <w:r w:rsidRPr="00181FCD">
        <w:t>al</w:t>
      </w:r>
      <w:r w:rsidR="00F373A3" w:rsidRPr="00181FCD">
        <w:t xml:space="preserve"> </w:t>
      </w:r>
      <w:r w:rsidRPr="00181FCD">
        <w:t>presupuesto</w:t>
      </w:r>
      <w:r w:rsidR="00F373A3" w:rsidRPr="00181FCD">
        <w:t xml:space="preserve"> </w:t>
      </w:r>
      <w:r w:rsidRPr="00181FCD">
        <w:t>del</w:t>
      </w:r>
      <w:r w:rsidR="00F373A3" w:rsidRPr="00181FCD">
        <w:t xml:space="preserve"> </w:t>
      </w:r>
      <w:r w:rsidRPr="00181FCD">
        <w:t>Ministerio</w:t>
      </w:r>
      <w:r w:rsidR="00F373A3" w:rsidRPr="00181FCD">
        <w:t xml:space="preserve"> </w:t>
      </w:r>
      <w:r w:rsidRPr="00181FCD">
        <w:t>del</w:t>
      </w:r>
      <w:r w:rsidR="00F373A3" w:rsidRPr="00181FCD">
        <w:t xml:space="preserve"> </w:t>
      </w:r>
      <w:r w:rsidRPr="00181FCD">
        <w:t>Interior.</w:t>
      </w:r>
      <w:r w:rsidR="00F373A3" w:rsidRPr="00181FCD">
        <w:t xml:space="preserve"> </w:t>
      </w:r>
      <w:r w:rsidRPr="00181FCD">
        <w:t>El</w:t>
      </w:r>
      <w:r w:rsidR="00F373A3" w:rsidRPr="00181FCD">
        <w:t xml:space="preserve"> </w:t>
      </w:r>
      <w:r w:rsidRPr="00181FCD">
        <w:t>Instituto</w:t>
      </w:r>
      <w:r w:rsidR="00F373A3" w:rsidRPr="00181FCD">
        <w:t xml:space="preserve"> </w:t>
      </w:r>
      <w:r w:rsidRPr="00181FCD">
        <w:t>de</w:t>
      </w:r>
      <w:r w:rsidR="00F373A3" w:rsidRPr="00181FCD">
        <w:t xml:space="preserve"> </w:t>
      </w:r>
      <w:r w:rsidRPr="00181FCD">
        <w:t>Medicina</w:t>
      </w:r>
      <w:r w:rsidR="00F373A3" w:rsidRPr="00181FCD">
        <w:t xml:space="preserve"> </w:t>
      </w:r>
      <w:r w:rsidRPr="00181FCD">
        <w:t>del</w:t>
      </w:r>
      <w:r w:rsidR="00F373A3" w:rsidRPr="00181FCD">
        <w:t xml:space="preserve"> </w:t>
      </w:r>
      <w:r w:rsidRPr="00181FCD">
        <w:t>Ministerio</w:t>
      </w:r>
      <w:r w:rsidR="00F373A3" w:rsidRPr="00181FCD">
        <w:t xml:space="preserve"> </w:t>
      </w:r>
      <w:r w:rsidRPr="00181FCD">
        <w:t>del</w:t>
      </w:r>
      <w:r w:rsidR="00F373A3" w:rsidRPr="00181FCD">
        <w:t xml:space="preserve"> </w:t>
      </w:r>
      <w:r w:rsidRPr="00181FCD">
        <w:t>Interior</w:t>
      </w:r>
      <w:r w:rsidR="00F373A3" w:rsidRPr="00181FCD">
        <w:t xml:space="preserve"> </w:t>
      </w:r>
      <w:r w:rsidRPr="00181FCD">
        <w:t>organiza</w:t>
      </w:r>
      <w:r w:rsidR="00F373A3" w:rsidRPr="00181FCD">
        <w:t xml:space="preserve"> </w:t>
      </w:r>
      <w:r w:rsidRPr="00181FCD">
        <w:t>la</w:t>
      </w:r>
      <w:r w:rsidR="00F373A3" w:rsidRPr="00181FCD">
        <w:t xml:space="preserve"> </w:t>
      </w:r>
      <w:r w:rsidRPr="00181FCD">
        <w:t>prestación</w:t>
      </w:r>
      <w:r w:rsidR="00F373A3" w:rsidRPr="00181FCD">
        <w:t xml:space="preserve"> </w:t>
      </w:r>
      <w:r w:rsidRPr="00181FCD">
        <w:t>de</w:t>
      </w:r>
      <w:r w:rsidR="00F373A3" w:rsidRPr="00181FCD">
        <w:t xml:space="preserve"> </w:t>
      </w:r>
      <w:r w:rsidRPr="00181FCD">
        <w:t>la</w:t>
      </w:r>
      <w:r w:rsidR="00F373A3" w:rsidRPr="00181FCD">
        <w:t xml:space="preserve"> </w:t>
      </w:r>
      <w:r w:rsidRPr="00181FCD">
        <w:t>atención</w:t>
      </w:r>
      <w:r w:rsidR="00F373A3" w:rsidRPr="00181FCD">
        <w:t xml:space="preserve"> </w:t>
      </w:r>
      <w:r w:rsidRPr="00181FCD">
        <w:t>prenatal,</w:t>
      </w:r>
      <w:r w:rsidR="00F373A3" w:rsidRPr="00181FCD">
        <w:t xml:space="preserve"> </w:t>
      </w:r>
      <w:r w:rsidRPr="00181FCD">
        <w:t>perinatal</w:t>
      </w:r>
      <w:r w:rsidR="00F373A3" w:rsidRPr="00181FCD">
        <w:t xml:space="preserve"> </w:t>
      </w:r>
      <w:r w:rsidRPr="00181FCD">
        <w:t>y</w:t>
      </w:r>
      <w:r w:rsidR="00F373A3" w:rsidRPr="00181FCD">
        <w:t xml:space="preserve"> </w:t>
      </w:r>
      <w:r w:rsidRPr="00181FCD">
        <w:t>postnatal</w:t>
      </w:r>
      <w:r w:rsidR="00F373A3" w:rsidRPr="00181FCD">
        <w:t xml:space="preserve"> </w:t>
      </w:r>
      <w:r w:rsidRPr="00181FCD">
        <w:t>en</w:t>
      </w:r>
      <w:r w:rsidR="00F373A3" w:rsidRPr="00181FCD">
        <w:t xml:space="preserve"> </w:t>
      </w:r>
      <w:r w:rsidRPr="00181FCD">
        <w:t>los</w:t>
      </w:r>
      <w:r w:rsidR="00F373A3" w:rsidRPr="00181FCD">
        <w:t xml:space="preserve"> </w:t>
      </w:r>
      <w:r w:rsidRPr="00181FCD">
        <w:t>hospitales</w:t>
      </w:r>
      <w:r w:rsidR="00F373A3" w:rsidRPr="00181FCD">
        <w:t xml:space="preserve"> </w:t>
      </w:r>
      <w:r w:rsidRPr="00181FCD">
        <w:t>del</w:t>
      </w:r>
      <w:r w:rsidR="00F373A3" w:rsidRPr="00181FCD">
        <w:t xml:space="preserve"> </w:t>
      </w:r>
      <w:r w:rsidRPr="00181FCD">
        <w:t>Ministerio</w:t>
      </w:r>
      <w:r w:rsidR="00F373A3" w:rsidRPr="00181FCD">
        <w:t xml:space="preserve"> </w:t>
      </w:r>
      <w:r w:rsidRPr="00181FCD">
        <w:t>de</w:t>
      </w:r>
      <w:r w:rsidR="00F373A3" w:rsidRPr="00181FCD">
        <w:t xml:space="preserve"> </w:t>
      </w:r>
      <w:r w:rsidRPr="00181FCD">
        <w:t>Salud,</w:t>
      </w:r>
      <w:r w:rsidR="00F373A3" w:rsidRPr="00181FCD">
        <w:t xml:space="preserve"> </w:t>
      </w:r>
      <w:r w:rsidRPr="00181FCD">
        <w:t>con</w:t>
      </w:r>
      <w:r w:rsidR="00F373A3" w:rsidRPr="00181FCD">
        <w:t xml:space="preserve"> </w:t>
      </w:r>
      <w:r w:rsidRPr="00181FCD">
        <w:t>los</w:t>
      </w:r>
      <w:r w:rsidR="00F373A3" w:rsidRPr="00181FCD">
        <w:t xml:space="preserve"> </w:t>
      </w:r>
      <w:r w:rsidRPr="00181FCD">
        <w:t>que</w:t>
      </w:r>
      <w:r w:rsidR="00F373A3" w:rsidRPr="00181FCD">
        <w:t xml:space="preserve"> </w:t>
      </w:r>
      <w:r w:rsidRPr="00181FCD">
        <w:t>el</w:t>
      </w:r>
      <w:r w:rsidR="00F373A3" w:rsidRPr="00181FCD">
        <w:t xml:space="preserve"> </w:t>
      </w:r>
      <w:r w:rsidRPr="00181FCD">
        <w:t>citado</w:t>
      </w:r>
      <w:r w:rsidR="00F373A3" w:rsidRPr="00181FCD">
        <w:t xml:space="preserve"> </w:t>
      </w:r>
      <w:r w:rsidRPr="00181FCD">
        <w:t>Instituto</w:t>
      </w:r>
      <w:r w:rsidR="00F373A3" w:rsidRPr="00181FCD">
        <w:t xml:space="preserve"> </w:t>
      </w:r>
      <w:r w:rsidRPr="00181FCD">
        <w:t>ha</w:t>
      </w:r>
      <w:r w:rsidR="00F373A3" w:rsidRPr="00181FCD">
        <w:t xml:space="preserve"> </w:t>
      </w:r>
      <w:r w:rsidRPr="00181FCD">
        <w:t>suscrito</w:t>
      </w:r>
      <w:r w:rsidR="00F373A3" w:rsidRPr="00181FCD">
        <w:t xml:space="preserve"> </w:t>
      </w:r>
      <w:r w:rsidRPr="00181FCD">
        <w:t>un</w:t>
      </w:r>
      <w:r w:rsidR="00F373A3" w:rsidRPr="00181FCD">
        <w:t xml:space="preserve"> </w:t>
      </w:r>
      <w:r w:rsidRPr="00181FCD">
        <w:t>contrato.</w:t>
      </w:r>
    </w:p>
    <w:p w:rsidR="001937F4" w:rsidRPr="00181FCD" w:rsidRDefault="001937F4" w:rsidP="00347B20">
      <w:pPr>
        <w:pStyle w:val="SingleTxtG"/>
        <w:suppressAutoHyphens/>
      </w:pPr>
      <w:r w:rsidRPr="00181FCD">
        <w:t>112</w:t>
      </w:r>
      <w:r w:rsidR="00470CF3" w:rsidRPr="00181FCD">
        <w:t>.</w:t>
      </w:r>
      <w:r w:rsidRPr="00181FCD">
        <w:tab/>
        <w:t>Desde</w:t>
      </w:r>
      <w:r w:rsidR="00F373A3" w:rsidRPr="00181FCD">
        <w:t xml:space="preserve"> </w:t>
      </w:r>
      <w:r w:rsidRPr="00181FCD">
        <w:t>el</w:t>
      </w:r>
      <w:r w:rsidR="00F373A3" w:rsidRPr="00181FCD">
        <w:t xml:space="preserve"> </w:t>
      </w:r>
      <w:r w:rsidRPr="00181FCD">
        <w:t>1</w:t>
      </w:r>
      <w:r w:rsidR="00F373A3" w:rsidRPr="00181FCD">
        <w:t xml:space="preserve"> </w:t>
      </w:r>
      <w:r w:rsidRPr="00181FCD">
        <w:t>de</w:t>
      </w:r>
      <w:r w:rsidR="00F373A3" w:rsidRPr="00181FCD">
        <w:t xml:space="preserve"> </w:t>
      </w:r>
      <w:r w:rsidRPr="00181FCD">
        <w:t>febrero</w:t>
      </w:r>
      <w:r w:rsidR="00F373A3" w:rsidRPr="00181FCD">
        <w:t xml:space="preserve"> </w:t>
      </w:r>
      <w:r w:rsidRPr="00181FCD">
        <w:t>de</w:t>
      </w:r>
      <w:r w:rsidR="00F373A3" w:rsidRPr="00181FCD">
        <w:t xml:space="preserve"> </w:t>
      </w:r>
      <w:r w:rsidRPr="00181FCD">
        <w:t>2014</w:t>
      </w:r>
      <w:r w:rsidR="00F373A3" w:rsidRPr="00181FCD">
        <w:t xml:space="preserve"> </w:t>
      </w:r>
      <w:r w:rsidRPr="00181FCD">
        <w:t>se</w:t>
      </w:r>
      <w:r w:rsidR="00F373A3" w:rsidRPr="00181FCD">
        <w:t xml:space="preserve"> </w:t>
      </w:r>
      <w:r w:rsidRPr="00181FCD">
        <w:t>organizan</w:t>
      </w:r>
      <w:r w:rsidR="00F373A3" w:rsidRPr="00181FCD">
        <w:t xml:space="preserve"> </w:t>
      </w:r>
      <w:r w:rsidRPr="00181FCD">
        <w:t>actividades</w:t>
      </w:r>
      <w:r w:rsidR="00F373A3" w:rsidRPr="00181FCD">
        <w:t xml:space="preserve"> </w:t>
      </w:r>
      <w:r w:rsidRPr="00181FCD">
        <w:t>de</w:t>
      </w:r>
      <w:r w:rsidR="00F373A3" w:rsidRPr="00181FCD">
        <w:t xml:space="preserve"> </w:t>
      </w:r>
      <w:r w:rsidRPr="00181FCD">
        <w:t>nutrición</w:t>
      </w:r>
      <w:r w:rsidR="00F373A3" w:rsidRPr="00181FCD">
        <w:t xml:space="preserve"> </w:t>
      </w:r>
      <w:r w:rsidRPr="00181FCD">
        <w:t>para</w:t>
      </w:r>
      <w:r w:rsidR="00F373A3" w:rsidRPr="00181FCD">
        <w:t xml:space="preserve"> </w:t>
      </w:r>
      <w:r w:rsidRPr="00181FCD">
        <w:t>las</w:t>
      </w:r>
      <w:r w:rsidR="00F373A3" w:rsidRPr="00181FCD">
        <w:t xml:space="preserve"> </w:t>
      </w:r>
      <w:r w:rsidRPr="00181FCD">
        <w:t>personas</w:t>
      </w:r>
      <w:r w:rsidR="00F373A3" w:rsidRPr="00181FCD">
        <w:t xml:space="preserve"> </w:t>
      </w:r>
      <w:r w:rsidRPr="00181FCD">
        <w:t>necesitadas</w:t>
      </w:r>
      <w:r w:rsidR="00F373A3" w:rsidRPr="00181FCD">
        <w:t xml:space="preserve"> </w:t>
      </w:r>
      <w:r w:rsidRPr="00181FCD">
        <w:t>de</w:t>
      </w:r>
      <w:r w:rsidR="00F373A3" w:rsidRPr="00181FCD">
        <w:t xml:space="preserve"> </w:t>
      </w:r>
      <w:r w:rsidRPr="00181FCD">
        <w:t>protección</w:t>
      </w:r>
      <w:r w:rsidR="00F373A3" w:rsidRPr="00181FCD">
        <w:t xml:space="preserve"> </w:t>
      </w:r>
      <w:r w:rsidRPr="00181FCD">
        <w:t>en</w:t>
      </w:r>
      <w:r w:rsidR="00F373A3" w:rsidRPr="00181FCD">
        <w:t xml:space="preserve"> </w:t>
      </w:r>
      <w:r w:rsidRPr="00181FCD">
        <w:t>todos</w:t>
      </w:r>
      <w:r w:rsidR="00F373A3" w:rsidRPr="00181FCD">
        <w:t xml:space="preserve"> </w:t>
      </w:r>
      <w:r w:rsidRPr="00181FCD">
        <w:t>los</w:t>
      </w:r>
      <w:r w:rsidR="00F373A3" w:rsidRPr="00181FCD">
        <w:t xml:space="preserve"> </w:t>
      </w:r>
      <w:r w:rsidRPr="00181FCD">
        <w:t>centros</w:t>
      </w:r>
      <w:r w:rsidR="00F373A3" w:rsidRPr="00181FCD">
        <w:t xml:space="preserve"> </w:t>
      </w:r>
      <w:r w:rsidRPr="00181FCD">
        <w:t>de</w:t>
      </w:r>
      <w:r w:rsidR="00F373A3" w:rsidRPr="00181FCD">
        <w:t xml:space="preserve"> </w:t>
      </w:r>
      <w:r w:rsidRPr="00181FCD">
        <w:t>la</w:t>
      </w:r>
      <w:r w:rsidR="00F373A3" w:rsidRPr="00181FCD">
        <w:t xml:space="preserve"> </w:t>
      </w:r>
      <w:r w:rsidRPr="00181FCD">
        <w:t>Agencia</w:t>
      </w:r>
      <w:r w:rsidR="00F373A3" w:rsidRPr="00181FCD">
        <w:t xml:space="preserve"> </w:t>
      </w:r>
      <w:r w:rsidRPr="00181FCD">
        <w:t>Estatal</w:t>
      </w:r>
      <w:r w:rsidR="00F373A3" w:rsidRPr="00181FCD">
        <w:t xml:space="preserve"> </w:t>
      </w:r>
      <w:r w:rsidRPr="00181FCD">
        <w:t>para</w:t>
      </w:r>
      <w:r w:rsidR="00F373A3" w:rsidRPr="00181FCD">
        <w:t xml:space="preserve"> </w:t>
      </w:r>
      <w:r w:rsidRPr="00181FCD">
        <w:t>los</w:t>
      </w:r>
      <w:r w:rsidR="00F373A3" w:rsidRPr="00181FCD">
        <w:t xml:space="preserve"> </w:t>
      </w:r>
      <w:r w:rsidRPr="00181FCD">
        <w:t>Refugiados.</w:t>
      </w:r>
      <w:r w:rsidR="00F373A3" w:rsidRPr="00181FCD">
        <w:t xml:space="preserve"> </w:t>
      </w:r>
      <w:r w:rsidRPr="00181FCD">
        <w:t>A</w:t>
      </w:r>
      <w:r w:rsidR="00F373A3" w:rsidRPr="00181FCD">
        <w:t xml:space="preserve"> </w:t>
      </w:r>
      <w:r w:rsidRPr="00181FCD">
        <w:t>partir</w:t>
      </w:r>
      <w:r w:rsidR="00F373A3" w:rsidRPr="00181FCD">
        <w:t xml:space="preserve"> </w:t>
      </w:r>
      <w:r w:rsidRPr="00181FCD">
        <w:t>del</w:t>
      </w:r>
      <w:r w:rsidR="00F373A3" w:rsidRPr="00181FCD">
        <w:t xml:space="preserve"> </w:t>
      </w:r>
      <w:r w:rsidRPr="00181FCD">
        <w:t>1</w:t>
      </w:r>
      <w:r w:rsidR="00F373A3" w:rsidRPr="00181FCD">
        <w:t xml:space="preserve"> </w:t>
      </w:r>
      <w:r w:rsidRPr="00181FCD">
        <w:t>de</w:t>
      </w:r>
      <w:r w:rsidR="00F373A3" w:rsidRPr="00181FCD">
        <w:t xml:space="preserve"> </w:t>
      </w:r>
      <w:r w:rsidRPr="00181FCD">
        <w:t>enero</w:t>
      </w:r>
      <w:r w:rsidR="00F373A3" w:rsidRPr="00181FCD">
        <w:t xml:space="preserve"> </w:t>
      </w:r>
      <w:r w:rsidRPr="00181FCD">
        <w:t>de</w:t>
      </w:r>
      <w:r w:rsidR="00F373A3" w:rsidRPr="00181FCD">
        <w:t xml:space="preserve"> </w:t>
      </w:r>
      <w:r w:rsidRPr="00181FCD">
        <w:t>2015</w:t>
      </w:r>
      <w:r w:rsidR="00F373A3" w:rsidRPr="00181FCD">
        <w:t xml:space="preserve"> </w:t>
      </w:r>
      <w:r w:rsidRPr="00181FCD">
        <w:t>se</w:t>
      </w:r>
      <w:r w:rsidR="00F373A3" w:rsidRPr="00181FCD">
        <w:t xml:space="preserve"> </w:t>
      </w:r>
      <w:r w:rsidRPr="00181FCD">
        <w:t>ofrecen</w:t>
      </w:r>
      <w:r w:rsidR="00F373A3" w:rsidRPr="00181FCD">
        <w:t xml:space="preserve"> </w:t>
      </w:r>
      <w:r w:rsidRPr="00181FCD">
        <w:t>a</w:t>
      </w:r>
      <w:r w:rsidR="00F373A3" w:rsidRPr="00181FCD">
        <w:t xml:space="preserve"> </w:t>
      </w:r>
      <w:r w:rsidRPr="00181FCD">
        <w:t>toda</w:t>
      </w:r>
      <w:r w:rsidR="00F373A3" w:rsidRPr="00181FCD">
        <w:t xml:space="preserve"> </w:t>
      </w:r>
      <w:r w:rsidRPr="00181FCD">
        <w:t>persona</w:t>
      </w:r>
      <w:r w:rsidR="00F373A3" w:rsidRPr="00181FCD">
        <w:t xml:space="preserve"> </w:t>
      </w:r>
      <w:r w:rsidRPr="00181FCD">
        <w:t>tres</w:t>
      </w:r>
      <w:r w:rsidR="00F373A3" w:rsidRPr="00181FCD">
        <w:t xml:space="preserve"> </w:t>
      </w:r>
      <w:r w:rsidRPr="00181FCD">
        <w:t>comidas</w:t>
      </w:r>
      <w:r w:rsidR="00F373A3" w:rsidRPr="00181FCD">
        <w:t xml:space="preserve"> </w:t>
      </w:r>
      <w:r w:rsidRPr="00181FCD">
        <w:t>calientes</w:t>
      </w:r>
      <w:r w:rsidR="00F373A3" w:rsidRPr="00181FCD">
        <w:t xml:space="preserve"> </w:t>
      </w:r>
      <w:r w:rsidRPr="00181FCD">
        <w:t>al</w:t>
      </w:r>
      <w:r w:rsidR="00F373A3" w:rsidRPr="00181FCD">
        <w:t xml:space="preserve"> </w:t>
      </w:r>
      <w:r w:rsidRPr="00181FCD">
        <w:t>día.</w:t>
      </w:r>
    </w:p>
    <w:p w:rsidR="001937F4" w:rsidRPr="00181FCD" w:rsidRDefault="001937F4" w:rsidP="00347B20">
      <w:pPr>
        <w:pStyle w:val="SingleTxtG"/>
        <w:suppressAutoHyphens/>
      </w:pPr>
      <w:r w:rsidRPr="00181FCD">
        <w:t>113.</w:t>
      </w:r>
      <w:r w:rsidRPr="00181FCD">
        <w:tab/>
        <w:t>Se</w:t>
      </w:r>
      <w:r w:rsidR="00F373A3" w:rsidRPr="00181FCD">
        <w:t xml:space="preserve"> </w:t>
      </w:r>
      <w:r w:rsidRPr="00181FCD">
        <w:t>han</w:t>
      </w:r>
      <w:r w:rsidR="00F373A3" w:rsidRPr="00181FCD">
        <w:t xml:space="preserve"> </w:t>
      </w:r>
      <w:r w:rsidRPr="00181FCD">
        <w:t>reparado</w:t>
      </w:r>
      <w:r w:rsidR="00F373A3" w:rsidRPr="00181FCD">
        <w:t xml:space="preserve"> </w:t>
      </w:r>
      <w:r w:rsidRPr="00181FCD">
        <w:t>tres</w:t>
      </w:r>
      <w:r w:rsidR="00F373A3" w:rsidRPr="00181FCD">
        <w:t xml:space="preserve"> </w:t>
      </w:r>
      <w:r w:rsidRPr="00181FCD">
        <w:t>instalaciones</w:t>
      </w:r>
      <w:r w:rsidR="00F373A3" w:rsidRPr="00181FCD">
        <w:t xml:space="preserve"> </w:t>
      </w:r>
      <w:r w:rsidRPr="00181FCD">
        <w:t>de</w:t>
      </w:r>
      <w:r w:rsidR="00F373A3" w:rsidRPr="00181FCD">
        <w:t xml:space="preserve"> </w:t>
      </w:r>
      <w:r w:rsidRPr="00181FCD">
        <w:t>lavanderías</w:t>
      </w:r>
      <w:r w:rsidR="00F373A3" w:rsidRPr="00181FCD">
        <w:t xml:space="preserve"> </w:t>
      </w:r>
      <w:r w:rsidRPr="00181FCD">
        <w:t>y</w:t>
      </w:r>
      <w:r w:rsidR="00F373A3" w:rsidRPr="00181FCD">
        <w:t xml:space="preserve"> </w:t>
      </w:r>
      <w:r w:rsidRPr="00181FCD">
        <w:t>tres</w:t>
      </w:r>
      <w:r w:rsidR="00F373A3" w:rsidRPr="00181FCD">
        <w:t xml:space="preserve"> </w:t>
      </w:r>
      <w:r w:rsidRPr="00181FCD">
        <w:t>cocinas,</w:t>
      </w:r>
      <w:r w:rsidR="00F373A3" w:rsidRPr="00181FCD">
        <w:t xml:space="preserve"> </w:t>
      </w:r>
      <w:r w:rsidRPr="00181FCD">
        <w:t>a</w:t>
      </w:r>
      <w:r w:rsidR="00F373A3" w:rsidRPr="00181FCD">
        <w:t xml:space="preserve"> </w:t>
      </w:r>
      <w:r w:rsidRPr="00181FCD">
        <w:t>las</w:t>
      </w:r>
      <w:r w:rsidR="00F373A3" w:rsidRPr="00181FCD">
        <w:t xml:space="preserve"> </w:t>
      </w:r>
      <w:r w:rsidRPr="00181FCD">
        <w:t>que</w:t>
      </w:r>
      <w:r w:rsidR="00F373A3" w:rsidRPr="00181FCD">
        <w:t xml:space="preserve"> </w:t>
      </w:r>
      <w:r w:rsidRPr="00181FCD">
        <w:t>se</w:t>
      </w:r>
      <w:r w:rsidR="00F373A3" w:rsidRPr="00181FCD">
        <w:t xml:space="preserve"> </w:t>
      </w:r>
      <w:r w:rsidRPr="00181FCD">
        <w:t>ha</w:t>
      </w:r>
      <w:r w:rsidR="00F373A3" w:rsidRPr="00181FCD">
        <w:t xml:space="preserve"> </w:t>
      </w:r>
      <w:r w:rsidRPr="00181FCD">
        <w:t>dotado</w:t>
      </w:r>
      <w:r w:rsidR="00F373A3" w:rsidRPr="00181FCD">
        <w:t xml:space="preserve"> </w:t>
      </w:r>
      <w:r w:rsidRPr="00181FCD">
        <w:t>de</w:t>
      </w:r>
      <w:r w:rsidR="00F373A3" w:rsidRPr="00181FCD">
        <w:t xml:space="preserve"> </w:t>
      </w:r>
      <w:r w:rsidRPr="00181FCD">
        <w:t>equipo</w:t>
      </w:r>
      <w:r w:rsidR="00F373A3" w:rsidRPr="00181FCD">
        <w:t xml:space="preserve"> </w:t>
      </w:r>
      <w:r w:rsidRPr="00181FCD">
        <w:t>en</w:t>
      </w:r>
      <w:r w:rsidR="00F373A3" w:rsidRPr="00181FCD">
        <w:t xml:space="preserve"> </w:t>
      </w:r>
      <w:r w:rsidRPr="00181FCD">
        <w:t>las</w:t>
      </w:r>
      <w:r w:rsidR="00F373A3" w:rsidRPr="00181FCD">
        <w:t xml:space="preserve"> </w:t>
      </w:r>
      <w:r w:rsidRPr="00181FCD">
        <w:t>nuevas</w:t>
      </w:r>
      <w:r w:rsidR="00F373A3" w:rsidRPr="00181FCD">
        <w:t xml:space="preserve"> </w:t>
      </w:r>
      <w:r w:rsidRPr="00181FCD">
        <w:t>regiones</w:t>
      </w:r>
      <w:r w:rsidR="00F373A3" w:rsidRPr="00181FCD">
        <w:t xml:space="preserve"> </w:t>
      </w:r>
      <w:r w:rsidRPr="00181FCD">
        <w:t>del</w:t>
      </w:r>
      <w:r w:rsidR="00F373A3" w:rsidRPr="00181FCD">
        <w:t xml:space="preserve"> </w:t>
      </w:r>
      <w:r w:rsidRPr="00181FCD">
        <w:t>Centro</w:t>
      </w:r>
      <w:r w:rsidR="00F373A3" w:rsidRPr="00181FCD">
        <w:t xml:space="preserve"> </w:t>
      </w:r>
      <w:r w:rsidRPr="00181FCD">
        <w:t>de</w:t>
      </w:r>
      <w:r w:rsidR="00F373A3" w:rsidRPr="00181FCD">
        <w:t xml:space="preserve"> </w:t>
      </w:r>
      <w:r w:rsidRPr="00181FCD">
        <w:t>Registro</w:t>
      </w:r>
      <w:r w:rsidR="00F373A3" w:rsidRPr="00181FCD">
        <w:t xml:space="preserve"> </w:t>
      </w:r>
      <w:r w:rsidRPr="00181FCD">
        <w:t>y</w:t>
      </w:r>
      <w:r w:rsidR="00F373A3" w:rsidRPr="00181FCD">
        <w:t xml:space="preserve"> </w:t>
      </w:r>
      <w:r w:rsidRPr="00181FCD">
        <w:t>Alojamiento</w:t>
      </w:r>
      <w:r w:rsidR="00F373A3" w:rsidRPr="00181FCD">
        <w:t xml:space="preserve"> </w:t>
      </w:r>
      <w:r w:rsidRPr="00181FCD">
        <w:t>de</w:t>
      </w:r>
      <w:r w:rsidR="00F373A3" w:rsidRPr="00181FCD">
        <w:t xml:space="preserve"> </w:t>
      </w:r>
      <w:r w:rsidRPr="00181FCD">
        <w:t>Harmanli</w:t>
      </w:r>
      <w:r w:rsidR="00F373A3" w:rsidRPr="00181FCD">
        <w:t xml:space="preserve"> </w:t>
      </w:r>
      <w:r w:rsidRPr="00181FCD">
        <w:t>y</w:t>
      </w:r>
      <w:r w:rsidR="00F373A3" w:rsidRPr="00181FCD">
        <w:t xml:space="preserve"> </w:t>
      </w:r>
      <w:r w:rsidRPr="00181FCD">
        <w:t>el</w:t>
      </w:r>
      <w:r w:rsidR="00F373A3" w:rsidRPr="00181FCD">
        <w:t xml:space="preserve"> </w:t>
      </w:r>
      <w:r w:rsidRPr="00181FCD">
        <w:t>Centro</w:t>
      </w:r>
      <w:r w:rsidR="00F373A3" w:rsidRPr="00181FCD">
        <w:t xml:space="preserve"> </w:t>
      </w:r>
      <w:r w:rsidRPr="00181FCD">
        <w:t>de</w:t>
      </w:r>
      <w:r w:rsidR="00F373A3" w:rsidRPr="00181FCD">
        <w:t xml:space="preserve"> </w:t>
      </w:r>
      <w:r w:rsidRPr="00181FCD">
        <w:t>Registro</w:t>
      </w:r>
      <w:r w:rsidR="00F373A3" w:rsidRPr="00181FCD">
        <w:t xml:space="preserve"> </w:t>
      </w:r>
      <w:r w:rsidRPr="00181FCD">
        <w:t>y</w:t>
      </w:r>
      <w:r w:rsidR="00F373A3" w:rsidRPr="00181FCD">
        <w:t xml:space="preserve"> </w:t>
      </w:r>
      <w:r w:rsidRPr="00181FCD">
        <w:t>Alojamiento</w:t>
      </w:r>
      <w:r w:rsidR="00F373A3" w:rsidRPr="00181FCD">
        <w:t xml:space="preserve"> </w:t>
      </w:r>
      <w:r w:rsidRPr="00181FCD">
        <w:t>de</w:t>
      </w:r>
      <w:r w:rsidR="00F373A3" w:rsidRPr="00181FCD">
        <w:t xml:space="preserve"> </w:t>
      </w:r>
      <w:r w:rsidRPr="00181FCD">
        <w:t>Sofía</w:t>
      </w:r>
      <w:r w:rsidR="00F373A3" w:rsidRPr="00181FCD">
        <w:t xml:space="preserve"> </w:t>
      </w:r>
      <w:r w:rsidRPr="00181FCD">
        <w:t>(Vrajdebna</w:t>
      </w:r>
      <w:r w:rsidR="00F373A3" w:rsidRPr="00181FCD">
        <w:t xml:space="preserve"> </w:t>
      </w:r>
      <w:r w:rsidRPr="00181FCD">
        <w:t>y</w:t>
      </w:r>
      <w:r w:rsidR="00F373A3" w:rsidRPr="00181FCD">
        <w:t xml:space="preserve"> </w:t>
      </w:r>
      <w:r w:rsidRPr="00181FCD">
        <w:t>Voenna</w:t>
      </w:r>
      <w:r w:rsidR="00F373A3" w:rsidRPr="00181FCD">
        <w:t xml:space="preserve"> </w:t>
      </w:r>
      <w:r w:rsidRPr="00181FCD">
        <w:t>Rampa).</w:t>
      </w:r>
    </w:p>
    <w:p w:rsidR="001937F4" w:rsidRPr="00181FCD" w:rsidRDefault="001937F4" w:rsidP="00347B20">
      <w:pPr>
        <w:pStyle w:val="SingleTxtG"/>
        <w:suppressAutoHyphens/>
      </w:pPr>
      <w:r w:rsidRPr="00181FCD">
        <w:t>114.</w:t>
      </w:r>
      <w:r w:rsidRPr="00181FCD">
        <w:tab/>
        <w:t>El</w:t>
      </w:r>
      <w:r w:rsidR="00F373A3" w:rsidRPr="00181FCD">
        <w:t xml:space="preserve"> </w:t>
      </w:r>
      <w:r w:rsidRPr="00181FCD">
        <w:t>Estado</w:t>
      </w:r>
      <w:r w:rsidR="00F373A3" w:rsidRPr="00181FCD">
        <w:t xml:space="preserve"> </w:t>
      </w:r>
      <w:r w:rsidRPr="00181FCD">
        <w:t>ha</w:t>
      </w:r>
      <w:r w:rsidR="00F373A3" w:rsidRPr="00181FCD">
        <w:t xml:space="preserve"> </w:t>
      </w:r>
      <w:r w:rsidRPr="00181FCD">
        <w:t>trabajado</w:t>
      </w:r>
      <w:r w:rsidR="00F373A3" w:rsidRPr="00181FCD">
        <w:t xml:space="preserve"> </w:t>
      </w:r>
      <w:r w:rsidRPr="00181FCD">
        <w:t>para</w:t>
      </w:r>
      <w:r w:rsidR="00F373A3" w:rsidRPr="00181FCD">
        <w:t xml:space="preserve"> </w:t>
      </w:r>
      <w:r w:rsidRPr="00181FCD">
        <w:t>mejorar</w:t>
      </w:r>
      <w:r w:rsidR="00F373A3" w:rsidRPr="00181FCD">
        <w:t xml:space="preserve"> </w:t>
      </w:r>
      <w:r w:rsidRPr="00181FCD">
        <w:t>la</w:t>
      </w:r>
      <w:r w:rsidR="00F373A3" w:rsidRPr="00181FCD">
        <w:t xml:space="preserve"> </w:t>
      </w:r>
      <w:r w:rsidRPr="00181FCD">
        <w:t>atención</w:t>
      </w:r>
      <w:r w:rsidR="00F373A3" w:rsidRPr="00181FCD">
        <w:t xml:space="preserve"> </w:t>
      </w:r>
      <w:r w:rsidRPr="00181FCD">
        <w:t>médica</w:t>
      </w:r>
      <w:r w:rsidR="00F373A3" w:rsidRPr="00181FCD">
        <w:t xml:space="preserve"> </w:t>
      </w:r>
      <w:r w:rsidRPr="00181FCD">
        <w:t>de</w:t>
      </w:r>
      <w:r w:rsidR="00F373A3" w:rsidRPr="00181FCD">
        <w:t xml:space="preserve"> </w:t>
      </w:r>
      <w:r w:rsidRPr="00181FCD">
        <w:t>las</w:t>
      </w:r>
      <w:r w:rsidR="00F373A3" w:rsidRPr="00181FCD">
        <w:t xml:space="preserve"> </w:t>
      </w:r>
      <w:r w:rsidRPr="00181FCD">
        <w:t>personas</w:t>
      </w:r>
      <w:r w:rsidR="00F373A3" w:rsidRPr="00181FCD">
        <w:t xml:space="preserve"> </w:t>
      </w:r>
      <w:r w:rsidRPr="00181FCD">
        <w:t>necesitadas</w:t>
      </w:r>
      <w:r w:rsidR="00F373A3" w:rsidRPr="00181FCD">
        <w:t xml:space="preserve"> </w:t>
      </w:r>
      <w:r w:rsidRPr="00181FCD">
        <w:t>de</w:t>
      </w:r>
      <w:r w:rsidR="00F373A3" w:rsidRPr="00181FCD">
        <w:t xml:space="preserve"> </w:t>
      </w:r>
      <w:r w:rsidRPr="00181FCD">
        <w:t>protección.</w:t>
      </w:r>
      <w:r w:rsidR="00F373A3" w:rsidRPr="00181FCD">
        <w:t xml:space="preserve"> </w:t>
      </w:r>
      <w:r w:rsidRPr="00181FCD">
        <w:t>Durante</w:t>
      </w:r>
      <w:r w:rsidR="00F373A3" w:rsidRPr="00181FCD">
        <w:t xml:space="preserve"> </w:t>
      </w:r>
      <w:r w:rsidRPr="00181FCD">
        <w:t>el</w:t>
      </w:r>
      <w:r w:rsidR="00F373A3" w:rsidRPr="00181FCD">
        <w:t xml:space="preserve"> </w:t>
      </w:r>
      <w:r w:rsidRPr="00181FCD">
        <w:t>procedimiento</w:t>
      </w:r>
      <w:r w:rsidR="00F373A3" w:rsidRPr="00181FCD">
        <w:t xml:space="preserve"> </w:t>
      </w:r>
      <w:r w:rsidRPr="00181FCD">
        <w:t>de</w:t>
      </w:r>
      <w:r w:rsidR="00F373A3" w:rsidRPr="00181FCD">
        <w:t xml:space="preserve"> </w:t>
      </w:r>
      <w:r w:rsidRPr="00181FCD">
        <w:t>concesión</w:t>
      </w:r>
      <w:r w:rsidR="00F373A3" w:rsidRPr="00181FCD">
        <w:t xml:space="preserve"> </w:t>
      </w:r>
      <w:r w:rsidRPr="00181FCD">
        <w:t>de</w:t>
      </w:r>
      <w:r w:rsidR="00F373A3" w:rsidRPr="00181FCD">
        <w:t xml:space="preserve"> </w:t>
      </w:r>
      <w:r w:rsidRPr="00181FCD">
        <w:t>la</w:t>
      </w:r>
      <w:r w:rsidR="00F373A3" w:rsidRPr="00181FCD">
        <w:t xml:space="preserve"> </w:t>
      </w:r>
      <w:r w:rsidRPr="00181FCD">
        <w:t>protección</w:t>
      </w:r>
      <w:r w:rsidR="00F373A3" w:rsidRPr="00181FCD">
        <w:t xml:space="preserve"> </w:t>
      </w:r>
      <w:r w:rsidRPr="00181FCD">
        <w:t>internacional,</w:t>
      </w:r>
      <w:r w:rsidR="00F373A3" w:rsidRPr="00181FCD">
        <w:t xml:space="preserve"> </w:t>
      </w:r>
      <w:r w:rsidRPr="00181FCD">
        <w:t>todos</w:t>
      </w:r>
      <w:r w:rsidR="00F373A3" w:rsidRPr="00181FCD">
        <w:t xml:space="preserve"> </w:t>
      </w:r>
      <w:r w:rsidRPr="00181FCD">
        <w:t>los</w:t>
      </w:r>
      <w:r w:rsidR="00F373A3" w:rsidRPr="00181FCD">
        <w:t xml:space="preserve"> </w:t>
      </w:r>
      <w:r w:rsidRPr="00181FCD">
        <w:t>extranjeros</w:t>
      </w:r>
      <w:r w:rsidR="00F373A3" w:rsidRPr="00181FCD">
        <w:t xml:space="preserve"> </w:t>
      </w:r>
      <w:r w:rsidRPr="00181FCD">
        <w:t>están</w:t>
      </w:r>
      <w:r w:rsidR="00F373A3" w:rsidRPr="00181FCD">
        <w:t xml:space="preserve"> </w:t>
      </w:r>
      <w:r w:rsidRPr="00181FCD">
        <w:t>cubiertos</w:t>
      </w:r>
      <w:r w:rsidR="00F373A3" w:rsidRPr="00181FCD">
        <w:t xml:space="preserve"> </w:t>
      </w:r>
      <w:r w:rsidRPr="00181FCD">
        <w:t>por</w:t>
      </w:r>
      <w:r w:rsidR="00F373A3" w:rsidRPr="00181FCD">
        <w:t xml:space="preserve"> </w:t>
      </w:r>
      <w:r w:rsidRPr="00181FCD">
        <w:t>un</w:t>
      </w:r>
      <w:r w:rsidR="00F373A3" w:rsidRPr="00181FCD">
        <w:t xml:space="preserve"> </w:t>
      </w:r>
      <w:r w:rsidRPr="00181FCD">
        <w:t>seguro</w:t>
      </w:r>
      <w:r w:rsidR="00F373A3" w:rsidRPr="00181FCD">
        <w:t xml:space="preserve"> </w:t>
      </w:r>
      <w:r w:rsidRPr="00181FCD">
        <w:t>de</w:t>
      </w:r>
      <w:r w:rsidR="00F373A3" w:rsidRPr="00181FCD">
        <w:t xml:space="preserve"> </w:t>
      </w:r>
      <w:r w:rsidRPr="00181FCD">
        <w:t>salud</w:t>
      </w:r>
      <w:r w:rsidR="00F373A3" w:rsidRPr="00181FCD">
        <w:t xml:space="preserve"> </w:t>
      </w:r>
      <w:r w:rsidRPr="00181FCD">
        <w:t>con</w:t>
      </w:r>
      <w:r w:rsidR="00F373A3" w:rsidRPr="00181FCD">
        <w:t xml:space="preserve"> </w:t>
      </w:r>
      <w:r w:rsidRPr="00181FCD">
        <w:t>cargo</w:t>
      </w:r>
      <w:r w:rsidR="00F373A3" w:rsidRPr="00181FCD">
        <w:t xml:space="preserve"> </w:t>
      </w:r>
      <w:r w:rsidRPr="00181FCD">
        <w:t>al</w:t>
      </w:r>
      <w:r w:rsidR="00F373A3" w:rsidRPr="00181FCD">
        <w:t xml:space="preserve"> </w:t>
      </w:r>
      <w:r w:rsidRPr="00181FCD">
        <w:t>presupuesto</w:t>
      </w:r>
      <w:r w:rsidR="00F373A3" w:rsidRPr="00181FCD">
        <w:t xml:space="preserve"> </w:t>
      </w:r>
      <w:r w:rsidRPr="00181FCD">
        <w:t>del</w:t>
      </w:r>
      <w:r w:rsidR="00F373A3" w:rsidRPr="00181FCD">
        <w:t xml:space="preserve"> </w:t>
      </w:r>
      <w:r w:rsidRPr="00181FCD">
        <w:t>Estado,</w:t>
      </w:r>
      <w:r w:rsidR="00F373A3" w:rsidRPr="00181FCD">
        <w:t xml:space="preserve"> </w:t>
      </w:r>
      <w:r w:rsidRPr="00181FCD">
        <w:t>en</w:t>
      </w:r>
      <w:r w:rsidR="00F373A3" w:rsidRPr="00181FCD">
        <w:t xml:space="preserve"> </w:t>
      </w:r>
      <w:r w:rsidRPr="00181FCD">
        <w:t>condiciones</w:t>
      </w:r>
      <w:r w:rsidR="00F373A3" w:rsidRPr="00181FCD">
        <w:t xml:space="preserve"> </w:t>
      </w:r>
      <w:r w:rsidRPr="00181FCD">
        <w:t>de</w:t>
      </w:r>
      <w:r w:rsidR="00F373A3" w:rsidRPr="00181FCD">
        <w:t xml:space="preserve"> </w:t>
      </w:r>
      <w:r w:rsidRPr="00181FCD">
        <w:t>igualdad</w:t>
      </w:r>
      <w:r w:rsidR="00F373A3" w:rsidRPr="00181FCD">
        <w:t xml:space="preserve"> </w:t>
      </w:r>
      <w:r w:rsidRPr="00181FCD">
        <w:t>con</w:t>
      </w:r>
      <w:r w:rsidR="00F373A3" w:rsidRPr="00181FCD">
        <w:t xml:space="preserve"> </w:t>
      </w:r>
      <w:r w:rsidRPr="00181FCD">
        <w:t>los</w:t>
      </w:r>
      <w:r w:rsidR="00F373A3" w:rsidRPr="00181FCD">
        <w:t xml:space="preserve"> </w:t>
      </w:r>
      <w:r w:rsidRPr="00181FCD">
        <w:t>ciudadanos</w:t>
      </w:r>
      <w:r w:rsidR="00F373A3" w:rsidRPr="00181FCD">
        <w:t xml:space="preserve"> </w:t>
      </w:r>
      <w:r w:rsidRPr="00181FCD">
        <w:t>búlgaros.</w:t>
      </w:r>
      <w:r w:rsidR="00F373A3" w:rsidRPr="00181FCD">
        <w:t xml:space="preserve"> </w:t>
      </w:r>
      <w:r w:rsidRPr="00181FCD">
        <w:t>Todos</w:t>
      </w:r>
      <w:r w:rsidR="00F373A3" w:rsidRPr="00181FCD">
        <w:t xml:space="preserve"> </w:t>
      </w:r>
      <w:r w:rsidRPr="00181FCD">
        <w:t>los</w:t>
      </w:r>
      <w:r w:rsidR="00F373A3" w:rsidRPr="00181FCD">
        <w:t xml:space="preserve"> </w:t>
      </w:r>
      <w:r w:rsidRPr="00181FCD">
        <w:t>Centros</w:t>
      </w:r>
      <w:r w:rsidR="00F373A3" w:rsidRPr="00181FCD">
        <w:t xml:space="preserve"> </w:t>
      </w:r>
      <w:r w:rsidRPr="00181FCD">
        <w:t>de</w:t>
      </w:r>
      <w:r w:rsidR="00F373A3" w:rsidRPr="00181FCD">
        <w:t xml:space="preserve"> </w:t>
      </w:r>
      <w:r w:rsidRPr="00181FCD">
        <w:t>Registro</w:t>
      </w:r>
      <w:r w:rsidR="00F373A3" w:rsidRPr="00181FCD">
        <w:t xml:space="preserve"> </w:t>
      </w:r>
      <w:r w:rsidRPr="00181FCD">
        <w:t>y</w:t>
      </w:r>
      <w:r w:rsidR="00F373A3" w:rsidRPr="00181FCD">
        <w:t xml:space="preserve"> </w:t>
      </w:r>
      <w:r w:rsidRPr="00181FCD">
        <w:t>Alojamiento</w:t>
      </w:r>
      <w:r w:rsidR="00F373A3" w:rsidRPr="00181FCD">
        <w:t xml:space="preserve"> </w:t>
      </w:r>
      <w:r w:rsidRPr="00181FCD">
        <w:t>tienen</w:t>
      </w:r>
      <w:r w:rsidR="00F373A3" w:rsidRPr="00181FCD">
        <w:t xml:space="preserve"> </w:t>
      </w:r>
      <w:r w:rsidRPr="00181FCD">
        <w:t>consultorios,</w:t>
      </w:r>
      <w:r w:rsidR="00F373A3" w:rsidRPr="00181FCD">
        <w:t xml:space="preserve"> </w:t>
      </w:r>
      <w:r w:rsidRPr="00181FCD">
        <w:t>y</w:t>
      </w:r>
      <w:r w:rsidR="00F373A3" w:rsidRPr="00181FCD">
        <w:t xml:space="preserve"> </w:t>
      </w:r>
      <w:r w:rsidRPr="00181FCD">
        <w:t>se</w:t>
      </w:r>
      <w:r w:rsidR="00F373A3" w:rsidRPr="00181FCD">
        <w:t xml:space="preserve"> </w:t>
      </w:r>
      <w:r w:rsidRPr="00181FCD">
        <w:t>ha</w:t>
      </w:r>
      <w:r w:rsidR="00F373A3" w:rsidRPr="00181FCD">
        <w:t xml:space="preserve"> </w:t>
      </w:r>
      <w:r w:rsidRPr="00181FCD">
        <w:t>empleado</w:t>
      </w:r>
      <w:r w:rsidR="00F373A3" w:rsidRPr="00181FCD">
        <w:t xml:space="preserve"> </w:t>
      </w:r>
      <w:r w:rsidRPr="00181FCD">
        <w:t>personal</w:t>
      </w:r>
      <w:r w:rsidR="00F373A3" w:rsidRPr="00181FCD">
        <w:t xml:space="preserve"> </w:t>
      </w:r>
      <w:r w:rsidRPr="00181FCD">
        <w:t>médico.</w:t>
      </w:r>
      <w:r w:rsidR="00F373A3" w:rsidRPr="00181FCD">
        <w:t xml:space="preserve"> </w:t>
      </w:r>
      <w:r w:rsidRPr="00181FCD">
        <w:t>Durante</w:t>
      </w:r>
      <w:r w:rsidR="00F373A3" w:rsidRPr="00181FCD">
        <w:t xml:space="preserve"> </w:t>
      </w:r>
      <w:r w:rsidRPr="00181FCD">
        <w:t>el</w:t>
      </w:r>
      <w:r w:rsidR="00F373A3" w:rsidRPr="00181FCD">
        <w:t xml:space="preserve"> </w:t>
      </w:r>
      <w:r w:rsidRPr="00181FCD">
        <w:t>registro,</w:t>
      </w:r>
      <w:r w:rsidR="00F373A3" w:rsidRPr="00181FCD">
        <w:t xml:space="preserve"> </w:t>
      </w:r>
      <w:r w:rsidRPr="00181FCD">
        <w:t>todos</w:t>
      </w:r>
      <w:r w:rsidR="00F373A3" w:rsidRPr="00181FCD">
        <w:t xml:space="preserve"> </w:t>
      </w:r>
      <w:r w:rsidRPr="00181FCD">
        <w:t>los</w:t>
      </w:r>
      <w:r w:rsidR="00F373A3" w:rsidRPr="00181FCD">
        <w:t xml:space="preserve"> </w:t>
      </w:r>
      <w:r w:rsidRPr="00181FCD">
        <w:t>extranjeros</w:t>
      </w:r>
      <w:r w:rsidR="00F373A3" w:rsidRPr="00181FCD">
        <w:t xml:space="preserve"> </w:t>
      </w:r>
      <w:r w:rsidRPr="00181FCD">
        <w:t>se</w:t>
      </w:r>
      <w:r w:rsidR="00F373A3" w:rsidRPr="00181FCD">
        <w:t xml:space="preserve"> </w:t>
      </w:r>
      <w:r w:rsidRPr="00181FCD">
        <w:t>someten</w:t>
      </w:r>
      <w:r w:rsidR="00F373A3" w:rsidRPr="00181FCD">
        <w:t xml:space="preserve"> </w:t>
      </w:r>
      <w:r w:rsidRPr="00181FCD">
        <w:t>a</w:t>
      </w:r>
      <w:r w:rsidR="00F373A3" w:rsidRPr="00181FCD">
        <w:t xml:space="preserve"> </w:t>
      </w:r>
      <w:r w:rsidRPr="00181FCD">
        <w:t>exámenes</w:t>
      </w:r>
      <w:r w:rsidR="00F373A3" w:rsidRPr="00181FCD">
        <w:t xml:space="preserve"> </w:t>
      </w:r>
      <w:r w:rsidRPr="00181FCD">
        <w:t>médicos</w:t>
      </w:r>
      <w:r w:rsidR="00F373A3" w:rsidRPr="00181FCD">
        <w:t xml:space="preserve"> </w:t>
      </w:r>
      <w:r w:rsidRPr="00181FCD">
        <w:t>obligatorios.</w:t>
      </w:r>
    </w:p>
    <w:p w:rsidR="001937F4" w:rsidRPr="00181FCD" w:rsidRDefault="001937F4" w:rsidP="00347B20">
      <w:pPr>
        <w:pStyle w:val="SingleTxtG"/>
        <w:suppressAutoHyphens/>
      </w:pPr>
      <w:r w:rsidRPr="00181FCD">
        <w:t>115.</w:t>
      </w:r>
      <w:r w:rsidRPr="00181FCD">
        <w:tab/>
        <w:t>La</w:t>
      </w:r>
      <w:r w:rsidR="00F373A3" w:rsidRPr="00181FCD">
        <w:t xml:space="preserve"> </w:t>
      </w:r>
      <w:r w:rsidRPr="00181FCD">
        <w:t>Dirección</w:t>
      </w:r>
      <w:r w:rsidR="00F373A3" w:rsidRPr="00181FCD">
        <w:t xml:space="preserve"> </w:t>
      </w:r>
      <w:r w:rsidRPr="00181FCD">
        <w:t>General</w:t>
      </w:r>
      <w:r w:rsidR="00F373A3" w:rsidRPr="00181FCD">
        <w:t xml:space="preserve"> </w:t>
      </w:r>
      <w:r w:rsidRPr="00181FCD">
        <w:t>de</w:t>
      </w:r>
      <w:r w:rsidR="00F373A3" w:rsidRPr="00181FCD">
        <w:t xml:space="preserve"> </w:t>
      </w:r>
      <w:r w:rsidRPr="00181FCD">
        <w:t>la</w:t>
      </w:r>
      <w:r w:rsidR="00F373A3" w:rsidRPr="00181FCD">
        <w:t xml:space="preserve"> </w:t>
      </w:r>
      <w:r w:rsidRPr="00181FCD">
        <w:t>Policía</w:t>
      </w:r>
      <w:r w:rsidR="00F373A3" w:rsidRPr="00181FCD">
        <w:t xml:space="preserve"> </w:t>
      </w:r>
      <w:r w:rsidRPr="00181FCD">
        <w:t>de</w:t>
      </w:r>
      <w:r w:rsidR="00F373A3" w:rsidRPr="00181FCD">
        <w:t xml:space="preserve"> </w:t>
      </w:r>
      <w:r w:rsidRPr="00181FCD">
        <w:t>Fronteras</w:t>
      </w:r>
      <w:r w:rsidR="00F373A3" w:rsidRPr="00181FCD">
        <w:t xml:space="preserve"> </w:t>
      </w:r>
      <w:r w:rsidRPr="00181FCD">
        <w:t>coopera</w:t>
      </w:r>
      <w:r w:rsidR="00F373A3" w:rsidRPr="00181FCD">
        <w:t xml:space="preserve"> </w:t>
      </w:r>
      <w:r w:rsidRPr="00181FCD">
        <w:t>activamente</w:t>
      </w:r>
      <w:r w:rsidR="00F373A3" w:rsidRPr="00181FCD">
        <w:t xml:space="preserve"> </w:t>
      </w:r>
      <w:r w:rsidRPr="00181FCD">
        <w:t>con</w:t>
      </w:r>
      <w:r w:rsidR="00F373A3" w:rsidRPr="00181FCD">
        <w:t xml:space="preserve"> </w:t>
      </w:r>
      <w:r w:rsidRPr="00181FCD">
        <w:t>el</w:t>
      </w:r>
      <w:r w:rsidR="00F373A3" w:rsidRPr="00181FCD">
        <w:t xml:space="preserve"> </w:t>
      </w:r>
      <w:r w:rsidRPr="00181FCD">
        <w:t>ACNUR</w:t>
      </w:r>
      <w:r w:rsidR="00F373A3" w:rsidRPr="00181FCD">
        <w:t xml:space="preserve"> </w:t>
      </w:r>
      <w:r w:rsidRPr="00181FCD">
        <w:t>y</w:t>
      </w:r>
      <w:r w:rsidR="00F373A3" w:rsidRPr="00181FCD">
        <w:t xml:space="preserve"> </w:t>
      </w:r>
      <w:r w:rsidRPr="00181FCD">
        <w:t>el</w:t>
      </w:r>
      <w:r w:rsidR="00F373A3" w:rsidRPr="00181FCD">
        <w:t xml:space="preserve"> </w:t>
      </w:r>
      <w:r w:rsidRPr="00181FCD">
        <w:t>Comité</w:t>
      </w:r>
      <w:r w:rsidR="00F373A3" w:rsidRPr="00181FCD">
        <w:t xml:space="preserve"> </w:t>
      </w:r>
      <w:r w:rsidRPr="00181FCD">
        <w:t>Búlgaro</w:t>
      </w:r>
      <w:r w:rsidR="00F373A3" w:rsidRPr="00181FCD">
        <w:t xml:space="preserve"> </w:t>
      </w:r>
      <w:r w:rsidRPr="00181FCD">
        <w:t>de</w:t>
      </w:r>
      <w:r w:rsidR="00F373A3" w:rsidRPr="00181FCD">
        <w:t xml:space="preserve"> </w:t>
      </w:r>
      <w:r w:rsidRPr="00181FCD">
        <w:t>Helsinki.</w:t>
      </w:r>
      <w:r w:rsidR="00F373A3" w:rsidRPr="00181FCD">
        <w:t xml:space="preserve"> </w:t>
      </w:r>
      <w:r w:rsidRPr="00181FCD">
        <w:t>Los</w:t>
      </w:r>
      <w:r w:rsidR="00F373A3" w:rsidRPr="00181FCD">
        <w:t xml:space="preserve"> </w:t>
      </w:r>
      <w:r w:rsidRPr="00181FCD">
        <w:t>representantes</w:t>
      </w:r>
      <w:r w:rsidR="00F373A3" w:rsidRPr="00181FCD">
        <w:t xml:space="preserve"> </w:t>
      </w:r>
      <w:r w:rsidRPr="00181FCD">
        <w:t>del</w:t>
      </w:r>
      <w:r w:rsidR="00F373A3" w:rsidRPr="00181FCD">
        <w:t xml:space="preserve"> </w:t>
      </w:r>
      <w:r w:rsidRPr="00181FCD">
        <w:t>Alto</w:t>
      </w:r>
      <w:r w:rsidR="00F373A3" w:rsidRPr="00181FCD">
        <w:t xml:space="preserve"> </w:t>
      </w:r>
      <w:r w:rsidRPr="00181FCD">
        <w:t>Comisionado</w:t>
      </w:r>
      <w:r w:rsidR="00F373A3" w:rsidRPr="00181FCD">
        <w:t xml:space="preserve"> </w:t>
      </w:r>
      <w:r w:rsidRPr="00181FCD">
        <w:t>y</w:t>
      </w:r>
      <w:r w:rsidR="00F373A3" w:rsidRPr="00181FCD">
        <w:t xml:space="preserve"> </w:t>
      </w:r>
      <w:r w:rsidRPr="00181FCD">
        <w:t>el</w:t>
      </w:r>
      <w:r w:rsidR="00F373A3" w:rsidRPr="00181FCD">
        <w:t xml:space="preserve"> </w:t>
      </w:r>
      <w:r w:rsidRPr="00181FCD">
        <w:t>Comité</w:t>
      </w:r>
      <w:r w:rsidR="00F373A3" w:rsidRPr="00181FCD">
        <w:t xml:space="preserve"> </w:t>
      </w:r>
      <w:r w:rsidRPr="00181FCD">
        <w:t>vigilan</w:t>
      </w:r>
      <w:r w:rsidR="00F373A3" w:rsidRPr="00181FCD">
        <w:t xml:space="preserve"> </w:t>
      </w:r>
      <w:r w:rsidRPr="00181FCD">
        <w:t>todos</w:t>
      </w:r>
      <w:r w:rsidR="00F373A3" w:rsidRPr="00181FCD">
        <w:t xml:space="preserve"> </w:t>
      </w:r>
      <w:r w:rsidRPr="00181FCD">
        <w:t>los</w:t>
      </w:r>
      <w:r w:rsidR="00F373A3" w:rsidRPr="00181FCD">
        <w:t xml:space="preserve"> </w:t>
      </w:r>
      <w:r w:rsidRPr="00181FCD">
        <w:t>pasos</w:t>
      </w:r>
      <w:r w:rsidR="00F373A3" w:rsidRPr="00181FCD">
        <w:t xml:space="preserve"> </w:t>
      </w:r>
      <w:r w:rsidRPr="00181FCD">
        <w:t>de</w:t>
      </w:r>
      <w:r w:rsidR="00F373A3" w:rsidRPr="00181FCD">
        <w:t xml:space="preserve"> </w:t>
      </w:r>
      <w:r w:rsidRPr="00181FCD">
        <w:t>fronteras</w:t>
      </w:r>
      <w:r w:rsidR="00F373A3" w:rsidRPr="00181FCD">
        <w:t xml:space="preserve"> </w:t>
      </w:r>
      <w:r w:rsidRPr="00181FCD">
        <w:t>y</w:t>
      </w:r>
      <w:r w:rsidR="00F373A3" w:rsidRPr="00181FCD">
        <w:t xml:space="preserve"> </w:t>
      </w:r>
      <w:r w:rsidRPr="00181FCD">
        <w:t>las</w:t>
      </w:r>
      <w:r w:rsidR="00F373A3" w:rsidRPr="00181FCD">
        <w:t xml:space="preserve"> </w:t>
      </w:r>
      <w:r w:rsidRPr="00181FCD">
        <w:t>instalaciones</w:t>
      </w:r>
      <w:r w:rsidR="00F373A3" w:rsidRPr="00181FCD">
        <w:t xml:space="preserve"> </w:t>
      </w:r>
      <w:r w:rsidRPr="00181FCD">
        <w:t>para</w:t>
      </w:r>
      <w:r w:rsidR="00F373A3" w:rsidRPr="00181FCD">
        <w:t xml:space="preserve"> </w:t>
      </w:r>
      <w:r w:rsidRPr="00181FCD">
        <w:t>alojar</w:t>
      </w:r>
      <w:r w:rsidR="00F373A3" w:rsidRPr="00181FCD">
        <w:t xml:space="preserve"> </w:t>
      </w:r>
      <w:r w:rsidRPr="00181FCD">
        <w:t>a</w:t>
      </w:r>
      <w:r w:rsidR="00F373A3" w:rsidRPr="00181FCD">
        <w:t xml:space="preserve"> </w:t>
      </w:r>
      <w:r w:rsidRPr="00181FCD">
        <w:t>las</w:t>
      </w:r>
      <w:r w:rsidR="00F373A3" w:rsidRPr="00181FCD">
        <w:t xml:space="preserve"> </w:t>
      </w:r>
      <w:r w:rsidRPr="00181FCD">
        <w:t>personas</w:t>
      </w:r>
      <w:r w:rsidR="00F373A3" w:rsidRPr="00181FCD">
        <w:t xml:space="preserve"> </w:t>
      </w:r>
      <w:r w:rsidRPr="00181FCD">
        <w:t>en</w:t>
      </w:r>
      <w:r w:rsidR="00F373A3" w:rsidRPr="00181FCD">
        <w:t xml:space="preserve"> </w:t>
      </w:r>
      <w:r w:rsidRPr="00181FCD">
        <w:t>custodia</w:t>
      </w:r>
      <w:r w:rsidR="00F373A3" w:rsidRPr="00181FCD">
        <w:t xml:space="preserve"> </w:t>
      </w:r>
      <w:r w:rsidRPr="00181FCD">
        <w:t>durante</w:t>
      </w:r>
      <w:r w:rsidR="00F373A3" w:rsidRPr="00181FCD">
        <w:t xml:space="preserve"> </w:t>
      </w:r>
      <w:r w:rsidRPr="00181FCD">
        <w:t>24</w:t>
      </w:r>
      <w:r w:rsidR="00F373A3" w:rsidRPr="00181FCD">
        <w:t xml:space="preserve"> </w:t>
      </w:r>
      <w:r w:rsidRPr="00181FCD">
        <w:t>horas</w:t>
      </w:r>
      <w:r w:rsidR="00F373A3" w:rsidRPr="00181FCD">
        <w:t xml:space="preserve"> </w:t>
      </w:r>
      <w:r w:rsidRPr="00181FCD">
        <w:t>en</w:t>
      </w:r>
      <w:r w:rsidR="00F373A3" w:rsidRPr="00181FCD">
        <w:t xml:space="preserve"> </w:t>
      </w:r>
      <w:r w:rsidRPr="00181FCD">
        <w:t>la</w:t>
      </w:r>
      <w:r w:rsidR="00F373A3" w:rsidRPr="00181FCD">
        <w:t xml:space="preserve"> </w:t>
      </w:r>
      <w:r w:rsidRPr="00181FCD">
        <w:t>frontera.</w:t>
      </w:r>
      <w:r w:rsidR="00F373A3" w:rsidRPr="00181FCD">
        <w:t xml:space="preserve"> </w:t>
      </w:r>
      <w:r w:rsidRPr="00181FCD">
        <w:t>El</w:t>
      </w:r>
      <w:r w:rsidR="00F373A3" w:rsidRPr="00181FCD">
        <w:t xml:space="preserve"> </w:t>
      </w:r>
      <w:r w:rsidRPr="00181FCD">
        <w:t>acceso</w:t>
      </w:r>
      <w:r w:rsidR="00F373A3" w:rsidRPr="00181FCD">
        <w:t xml:space="preserve"> </w:t>
      </w:r>
      <w:r w:rsidRPr="00181FCD">
        <w:t>a</w:t>
      </w:r>
      <w:r w:rsidR="00F373A3" w:rsidRPr="00181FCD">
        <w:t xml:space="preserve"> </w:t>
      </w:r>
      <w:r w:rsidRPr="00181FCD">
        <w:t>estos</w:t>
      </w:r>
      <w:r w:rsidR="00F373A3" w:rsidRPr="00181FCD">
        <w:t xml:space="preserve"> </w:t>
      </w:r>
      <w:r w:rsidRPr="00181FCD">
        <w:t>lugares</w:t>
      </w:r>
      <w:r w:rsidR="00F373A3" w:rsidRPr="00181FCD">
        <w:t xml:space="preserve"> </w:t>
      </w:r>
      <w:r w:rsidRPr="00181FCD">
        <w:t>está</w:t>
      </w:r>
      <w:r w:rsidR="00F373A3" w:rsidRPr="00181FCD">
        <w:t xml:space="preserve"> </w:t>
      </w:r>
      <w:r w:rsidRPr="00181FCD">
        <w:t>permitido</w:t>
      </w:r>
      <w:r w:rsidR="00F373A3" w:rsidRPr="00181FCD">
        <w:t xml:space="preserve"> </w:t>
      </w:r>
      <w:r w:rsidRPr="00181FCD">
        <w:t>sin</w:t>
      </w:r>
      <w:r w:rsidR="00F373A3" w:rsidRPr="00181FCD">
        <w:t xml:space="preserve"> </w:t>
      </w:r>
      <w:r w:rsidRPr="00181FCD">
        <w:t>notificación</w:t>
      </w:r>
      <w:r w:rsidR="00F373A3" w:rsidRPr="00181FCD">
        <w:t xml:space="preserve"> </w:t>
      </w:r>
      <w:r w:rsidRPr="00181FCD">
        <w:t>o</w:t>
      </w:r>
      <w:r w:rsidR="00F373A3" w:rsidRPr="00181FCD">
        <w:t xml:space="preserve"> </w:t>
      </w:r>
      <w:r w:rsidRPr="00181FCD">
        <w:t>autorización</w:t>
      </w:r>
      <w:r w:rsidR="00F373A3" w:rsidRPr="00181FCD">
        <w:t xml:space="preserve"> </w:t>
      </w:r>
      <w:r w:rsidRPr="00181FCD">
        <w:t>previa.</w:t>
      </w:r>
      <w:r w:rsidR="00F373A3" w:rsidRPr="00181FCD">
        <w:t xml:space="preserve"> </w:t>
      </w:r>
      <w:r w:rsidRPr="00181FCD">
        <w:t>El</w:t>
      </w:r>
      <w:r w:rsidR="00F373A3" w:rsidRPr="00181FCD">
        <w:t xml:space="preserve"> </w:t>
      </w:r>
      <w:r w:rsidRPr="00181FCD">
        <w:t>Representante</w:t>
      </w:r>
      <w:r w:rsidR="00F373A3" w:rsidRPr="00181FCD">
        <w:t xml:space="preserve"> </w:t>
      </w:r>
      <w:r w:rsidRPr="00181FCD">
        <w:t>del</w:t>
      </w:r>
      <w:r w:rsidR="00F373A3" w:rsidRPr="00181FCD">
        <w:t xml:space="preserve"> </w:t>
      </w:r>
      <w:r w:rsidRPr="00181FCD">
        <w:t>ACNUR</w:t>
      </w:r>
      <w:r w:rsidR="00F373A3" w:rsidRPr="00181FCD">
        <w:t xml:space="preserve"> </w:t>
      </w:r>
      <w:r w:rsidRPr="00181FCD">
        <w:t>en</w:t>
      </w:r>
      <w:r w:rsidR="00F373A3" w:rsidRPr="00181FCD">
        <w:t xml:space="preserve"> </w:t>
      </w:r>
      <w:r w:rsidRPr="00181FCD">
        <w:t>Bulgaria</w:t>
      </w:r>
      <w:r w:rsidR="00F373A3" w:rsidRPr="00181FCD">
        <w:t xml:space="preserve"> </w:t>
      </w:r>
      <w:r w:rsidRPr="00181FCD">
        <w:t>organiza</w:t>
      </w:r>
      <w:r w:rsidR="00F373A3" w:rsidRPr="00181FCD">
        <w:t xml:space="preserve"> </w:t>
      </w:r>
      <w:r w:rsidRPr="00181FCD">
        <w:t>cursos</w:t>
      </w:r>
      <w:r w:rsidR="00F373A3" w:rsidRPr="00181FCD">
        <w:t xml:space="preserve"> </w:t>
      </w:r>
      <w:r w:rsidRPr="00181FCD">
        <w:t>de</w:t>
      </w:r>
      <w:r w:rsidR="00F373A3" w:rsidRPr="00181FCD">
        <w:t xml:space="preserve"> </w:t>
      </w:r>
      <w:r w:rsidRPr="00181FCD">
        <w:t>formación</w:t>
      </w:r>
      <w:r w:rsidR="00F373A3" w:rsidRPr="00181FCD">
        <w:t xml:space="preserve"> </w:t>
      </w:r>
      <w:r w:rsidRPr="00181FCD">
        <w:t>con</w:t>
      </w:r>
      <w:r w:rsidR="00F373A3" w:rsidRPr="00181FCD">
        <w:t xml:space="preserve"> </w:t>
      </w:r>
      <w:r w:rsidRPr="00181FCD">
        <w:t>la</w:t>
      </w:r>
      <w:r w:rsidR="00F373A3" w:rsidRPr="00181FCD">
        <w:t xml:space="preserve"> </w:t>
      </w:r>
      <w:r w:rsidRPr="00181FCD">
        <w:t>participación</w:t>
      </w:r>
      <w:r w:rsidR="00F373A3" w:rsidRPr="00181FCD">
        <w:t xml:space="preserve"> </w:t>
      </w:r>
      <w:r w:rsidRPr="00181FCD">
        <w:t>de</w:t>
      </w:r>
      <w:r w:rsidR="00F373A3" w:rsidRPr="00181FCD">
        <w:t xml:space="preserve"> </w:t>
      </w:r>
      <w:r w:rsidRPr="00181FCD">
        <w:t>representantes</w:t>
      </w:r>
      <w:r w:rsidR="00F373A3" w:rsidRPr="00181FCD">
        <w:t xml:space="preserve"> </w:t>
      </w:r>
      <w:r w:rsidRPr="00181FCD">
        <w:t>de</w:t>
      </w:r>
      <w:r w:rsidR="00F373A3" w:rsidRPr="00181FCD">
        <w:t xml:space="preserve"> </w:t>
      </w:r>
      <w:r w:rsidRPr="00181FCD">
        <w:t>la</w:t>
      </w:r>
      <w:r w:rsidR="00F373A3" w:rsidRPr="00181FCD">
        <w:t xml:space="preserve"> </w:t>
      </w:r>
      <w:r w:rsidRPr="00181FCD">
        <w:t>Agencia</w:t>
      </w:r>
      <w:r w:rsidR="00F373A3" w:rsidRPr="00181FCD">
        <w:t xml:space="preserve"> </w:t>
      </w:r>
      <w:r w:rsidRPr="00181FCD">
        <w:t>Estatal</w:t>
      </w:r>
      <w:r w:rsidR="00F373A3" w:rsidRPr="00181FCD">
        <w:t xml:space="preserve"> </w:t>
      </w:r>
      <w:r w:rsidRPr="00181FCD">
        <w:t>para</w:t>
      </w:r>
      <w:r w:rsidR="00F373A3" w:rsidRPr="00181FCD">
        <w:t xml:space="preserve"> </w:t>
      </w:r>
      <w:r w:rsidRPr="00181FCD">
        <w:t>los</w:t>
      </w:r>
      <w:r w:rsidR="00F373A3" w:rsidRPr="00181FCD">
        <w:t xml:space="preserve"> </w:t>
      </w:r>
      <w:r w:rsidRPr="00181FCD">
        <w:t>Refugiados</w:t>
      </w:r>
      <w:r w:rsidR="00F373A3" w:rsidRPr="00181FCD">
        <w:t xml:space="preserve"> </w:t>
      </w:r>
      <w:r w:rsidRPr="00181FCD">
        <w:t>y</w:t>
      </w:r>
      <w:r w:rsidR="00F373A3" w:rsidRPr="00181FCD">
        <w:t xml:space="preserve"> </w:t>
      </w:r>
      <w:r w:rsidRPr="00181FCD">
        <w:t>de</w:t>
      </w:r>
      <w:r w:rsidR="00F373A3" w:rsidRPr="00181FCD">
        <w:t xml:space="preserve"> </w:t>
      </w:r>
      <w:r w:rsidR="0064368F" w:rsidRPr="00181FCD">
        <w:t>ONG</w:t>
      </w:r>
      <w:r w:rsidRPr="00181FCD">
        <w:t>,</w:t>
      </w:r>
      <w:r w:rsidR="00F373A3" w:rsidRPr="00181FCD">
        <w:t xml:space="preserve"> </w:t>
      </w:r>
      <w:r w:rsidRPr="00181FCD">
        <w:t>así</w:t>
      </w:r>
      <w:r w:rsidR="00F373A3" w:rsidRPr="00181FCD">
        <w:t xml:space="preserve"> </w:t>
      </w:r>
      <w:r w:rsidRPr="00181FCD">
        <w:t>como</w:t>
      </w:r>
      <w:r w:rsidR="00F373A3" w:rsidRPr="00181FCD">
        <w:t xml:space="preserve"> </w:t>
      </w:r>
      <w:r w:rsidRPr="00181FCD">
        <w:t>de</w:t>
      </w:r>
      <w:r w:rsidR="00F373A3" w:rsidRPr="00181FCD">
        <w:t xml:space="preserve"> </w:t>
      </w:r>
      <w:r w:rsidRPr="00181FCD">
        <w:t>psicólogos.</w:t>
      </w:r>
      <w:r w:rsidR="00F373A3" w:rsidRPr="00181FCD">
        <w:t xml:space="preserve"> </w:t>
      </w:r>
      <w:r w:rsidRPr="00181FCD">
        <w:t>Se</w:t>
      </w:r>
      <w:r w:rsidR="00F373A3" w:rsidRPr="00181FCD">
        <w:t xml:space="preserve"> </w:t>
      </w:r>
      <w:r w:rsidRPr="00181FCD">
        <w:t>presta</w:t>
      </w:r>
      <w:r w:rsidR="00F373A3" w:rsidRPr="00181FCD">
        <w:t xml:space="preserve"> </w:t>
      </w:r>
      <w:r w:rsidRPr="00181FCD">
        <w:t>especial</w:t>
      </w:r>
      <w:r w:rsidR="00F373A3" w:rsidRPr="00181FCD">
        <w:t xml:space="preserve"> </w:t>
      </w:r>
      <w:r w:rsidRPr="00181FCD">
        <w:t>atención</w:t>
      </w:r>
      <w:r w:rsidR="00F373A3" w:rsidRPr="00181FCD">
        <w:t xml:space="preserve"> </w:t>
      </w:r>
      <w:r w:rsidRPr="00181FCD">
        <w:t>a</w:t>
      </w:r>
      <w:r w:rsidR="00F373A3" w:rsidRPr="00181FCD">
        <w:t xml:space="preserve"> </w:t>
      </w:r>
      <w:r w:rsidRPr="00181FCD">
        <w:t>las</w:t>
      </w:r>
      <w:r w:rsidR="00F373A3" w:rsidRPr="00181FCD">
        <w:t xml:space="preserve"> </w:t>
      </w:r>
      <w:r w:rsidRPr="00181FCD">
        <w:t>cuestiones</w:t>
      </w:r>
      <w:r w:rsidR="00F373A3" w:rsidRPr="00181FCD">
        <w:t xml:space="preserve"> </w:t>
      </w:r>
      <w:r w:rsidRPr="00181FCD">
        <w:t>relacionadas</w:t>
      </w:r>
      <w:r w:rsidR="00F373A3" w:rsidRPr="00181FCD">
        <w:t xml:space="preserve"> </w:t>
      </w:r>
      <w:r w:rsidRPr="00181FCD">
        <w:t>con</w:t>
      </w:r>
      <w:r w:rsidR="00F373A3" w:rsidRPr="00181FCD">
        <w:t xml:space="preserve"> </w:t>
      </w:r>
      <w:r w:rsidRPr="00181FCD">
        <w:t>el</w:t>
      </w:r>
      <w:r w:rsidR="00F373A3" w:rsidRPr="00181FCD">
        <w:t xml:space="preserve"> </w:t>
      </w:r>
      <w:r w:rsidRPr="00181FCD">
        <w:t>respeto</w:t>
      </w:r>
      <w:r w:rsidR="00F373A3" w:rsidRPr="00181FCD">
        <w:t xml:space="preserve"> </w:t>
      </w:r>
      <w:r w:rsidRPr="00181FCD">
        <w:t>de</w:t>
      </w:r>
      <w:r w:rsidR="00F373A3" w:rsidRPr="00181FCD">
        <w:t xml:space="preserve"> </w:t>
      </w:r>
      <w:r w:rsidRPr="00181FCD">
        <w:t>los</w:t>
      </w:r>
      <w:r w:rsidR="00F373A3" w:rsidRPr="00181FCD">
        <w:t xml:space="preserve"> </w:t>
      </w:r>
      <w:r w:rsidRPr="00181FCD">
        <w:t>derechos</w:t>
      </w:r>
      <w:r w:rsidR="00F373A3" w:rsidRPr="00181FCD">
        <w:t xml:space="preserve"> </w:t>
      </w:r>
      <w:r w:rsidRPr="00181FCD">
        <w:t>humanos</w:t>
      </w:r>
      <w:r w:rsidR="00F373A3" w:rsidRPr="00181FCD">
        <w:t xml:space="preserve"> </w:t>
      </w:r>
      <w:r w:rsidRPr="00181FCD">
        <w:t>y</w:t>
      </w:r>
      <w:r w:rsidR="00F373A3" w:rsidRPr="00181FCD">
        <w:t xml:space="preserve"> </w:t>
      </w:r>
      <w:r w:rsidRPr="00181FCD">
        <w:t>la</w:t>
      </w:r>
      <w:r w:rsidR="00F373A3" w:rsidRPr="00181FCD">
        <w:t xml:space="preserve"> </w:t>
      </w:r>
      <w:r w:rsidRPr="00181FCD">
        <w:t>ética</w:t>
      </w:r>
      <w:r w:rsidR="00F373A3" w:rsidRPr="00181FCD">
        <w:t xml:space="preserve"> </w:t>
      </w:r>
      <w:r w:rsidRPr="00181FCD">
        <w:t>policial.</w:t>
      </w:r>
    </w:p>
    <w:p w:rsidR="001937F4" w:rsidRPr="00181FCD" w:rsidRDefault="001937F4" w:rsidP="00347B20">
      <w:pPr>
        <w:pStyle w:val="SingleTxtG"/>
        <w:suppressAutoHyphens/>
      </w:pPr>
      <w:r w:rsidRPr="00181FCD">
        <w:t>116.</w:t>
      </w:r>
      <w:r w:rsidRPr="00181FCD">
        <w:tab/>
        <w:t>El</w:t>
      </w:r>
      <w:r w:rsidR="00F373A3" w:rsidRPr="00181FCD">
        <w:t xml:space="preserve"> </w:t>
      </w:r>
      <w:r w:rsidRPr="00181FCD">
        <w:t>ACNUR</w:t>
      </w:r>
      <w:r w:rsidR="00F373A3" w:rsidRPr="00181FCD">
        <w:t xml:space="preserve"> </w:t>
      </w:r>
      <w:r w:rsidRPr="00181FCD">
        <w:t>distribuye</w:t>
      </w:r>
      <w:r w:rsidR="00F373A3" w:rsidRPr="00181FCD">
        <w:t xml:space="preserve"> </w:t>
      </w:r>
      <w:r w:rsidRPr="00181FCD">
        <w:t>folletos</w:t>
      </w:r>
      <w:r w:rsidR="00F373A3" w:rsidRPr="00181FCD">
        <w:t xml:space="preserve"> </w:t>
      </w:r>
      <w:r w:rsidRPr="00181FCD">
        <w:t>de</w:t>
      </w:r>
      <w:r w:rsidR="00F373A3" w:rsidRPr="00181FCD">
        <w:t xml:space="preserve"> </w:t>
      </w:r>
      <w:r w:rsidRPr="00181FCD">
        <w:t>información</w:t>
      </w:r>
      <w:r w:rsidR="00F373A3" w:rsidRPr="00181FCD">
        <w:t xml:space="preserve"> </w:t>
      </w:r>
      <w:r w:rsidRPr="00181FCD">
        <w:t>sobre</w:t>
      </w:r>
      <w:r w:rsidR="00F373A3" w:rsidRPr="00181FCD">
        <w:t xml:space="preserve"> </w:t>
      </w:r>
      <w:r w:rsidRPr="00181FCD">
        <w:t>los</w:t>
      </w:r>
      <w:r w:rsidR="00F373A3" w:rsidRPr="00181FCD">
        <w:t xml:space="preserve"> </w:t>
      </w:r>
      <w:r w:rsidRPr="00181FCD">
        <w:t>procedimientos</w:t>
      </w:r>
      <w:r w:rsidR="00F373A3" w:rsidRPr="00181FCD">
        <w:t xml:space="preserve"> </w:t>
      </w:r>
      <w:r w:rsidRPr="00181FCD">
        <w:t>para</w:t>
      </w:r>
      <w:r w:rsidR="00F373A3" w:rsidRPr="00181FCD">
        <w:t xml:space="preserve"> </w:t>
      </w:r>
      <w:r w:rsidRPr="00181FCD">
        <w:t>obtener</w:t>
      </w:r>
      <w:r w:rsidR="00F373A3" w:rsidRPr="00181FCD">
        <w:t xml:space="preserve"> </w:t>
      </w:r>
      <w:r w:rsidRPr="00181FCD">
        <w:t>protección</w:t>
      </w:r>
      <w:r w:rsidR="00F373A3" w:rsidRPr="00181FCD">
        <w:t xml:space="preserve"> </w:t>
      </w:r>
      <w:r w:rsidRPr="00181FCD">
        <w:t>en</w:t>
      </w:r>
      <w:r w:rsidR="00F373A3" w:rsidRPr="00181FCD">
        <w:t xml:space="preserve"> </w:t>
      </w:r>
      <w:r w:rsidRPr="00181FCD">
        <w:t>Bulgaria</w:t>
      </w:r>
      <w:r w:rsidR="00F373A3" w:rsidRPr="00181FCD">
        <w:t xml:space="preserve"> </w:t>
      </w:r>
      <w:r w:rsidRPr="00181FCD">
        <w:t>y</w:t>
      </w:r>
      <w:r w:rsidR="00F373A3" w:rsidRPr="00181FCD">
        <w:t xml:space="preserve"> </w:t>
      </w:r>
      <w:r w:rsidRPr="00181FCD">
        <w:t>los</w:t>
      </w:r>
      <w:r w:rsidR="00F373A3" w:rsidRPr="00181FCD">
        <w:t xml:space="preserve"> </w:t>
      </w:r>
      <w:r w:rsidRPr="00181FCD">
        <w:t>derechos</w:t>
      </w:r>
      <w:r w:rsidR="00F373A3" w:rsidRPr="00181FCD">
        <w:t xml:space="preserve"> </w:t>
      </w:r>
      <w:r w:rsidRPr="00181FCD">
        <w:t>de</w:t>
      </w:r>
      <w:r w:rsidR="00F373A3" w:rsidRPr="00181FCD">
        <w:t xml:space="preserve"> </w:t>
      </w:r>
      <w:r w:rsidRPr="00181FCD">
        <w:t>las</w:t>
      </w:r>
      <w:r w:rsidR="00F373A3" w:rsidRPr="00181FCD">
        <w:t xml:space="preserve"> </w:t>
      </w:r>
      <w:r w:rsidRPr="00181FCD">
        <w:t>personas</w:t>
      </w:r>
      <w:r w:rsidR="00F373A3" w:rsidRPr="00181FCD">
        <w:t xml:space="preserve"> </w:t>
      </w:r>
      <w:r w:rsidRPr="00181FCD">
        <w:t>que</w:t>
      </w:r>
      <w:r w:rsidR="00F373A3" w:rsidRPr="00181FCD">
        <w:t xml:space="preserve"> </w:t>
      </w:r>
      <w:r w:rsidRPr="00181FCD">
        <w:t>buscan</w:t>
      </w:r>
      <w:r w:rsidR="00F373A3" w:rsidRPr="00181FCD">
        <w:t xml:space="preserve"> </w:t>
      </w:r>
      <w:r w:rsidRPr="00181FCD">
        <w:t>protección.</w:t>
      </w:r>
      <w:r w:rsidR="00F373A3" w:rsidRPr="00181FCD">
        <w:t xml:space="preserve"> </w:t>
      </w:r>
      <w:r w:rsidRPr="00181FCD">
        <w:t>Este</w:t>
      </w:r>
      <w:r w:rsidR="00F373A3" w:rsidRPr="00181FCD">
        <w:t xml:space="preserve"> </w:t>
      </w:r>
      <w:r w:rsidRPr="00181FCD">
        <w:t>material</w:t>
      </w:r>
      <w:r w:rsidR="00F373A3" w:rsidRPr="00181FCD">
        <w:t xml:space="preserve"> </w:t>
      </w:r>
      <w:r w:rsidRPr="00181FCD">
        <w:t>se</w:t>
      </w:r>
      <w:r w:rsidR="00F373A3" w:rsidRPr="00181FCD">
        <w:t xml:space="preserve"> </w:t>
      </w:r>
      <w:r w:rsidRPr="00181FCD">
        <w:t>publica</w:t>
      </w:r>
      <w:r w:rsidR="00F373A3" w:rsidRPr="00181FCD">
        <w:t xml:space="preserve"> </w:t>
      </w:r>
      <w:r w:rsidRPr="00181FCD">
        <w:t>en</w:t>
      </w:r>
      <w:r w:rsidR="00F373A3" w:rsidRPr="00181FCD">
        <w:t xml:space="preserve"> </w:t>
      </w:r>
      <w:r w:rsidRPr="00181FCD">
        <w:t>diferentes</w:t>
      </w:r>
      <w:r w:rsidR="00F373A3" w:rsidRPr="00181FCD">
        <w:t xml:space="preserve"> </w:t>
      </w:r>
      <w:r w:rsidRPr="00181FCD">
        <w:t>idiomas</w:t>
      </w:r>
      <w:r w:rsidR="00F373A3" w:rsidRPr="00181FCD">
        <w:t xml:space="preserve"> </w:t>
      </w:r>
      <w:r w:rsidRPr="00181FCD">
        <w:t>y</w:t>
      </w:r>
      <w:r w:rsidR="00F373A3" w:rsidRPr="00181FCD">
        <w:t xml:space="preserve"> </w:t>
      </w:r>
      <w:r w:rsidRPr="00181FCD">
        <w:t>está</w:t>
      </w:r>
      <w:r w:rsidR="00F373A3" w:rsidRPr="00181FCD">
        <w:t xml:space="preserve"> </w:t>
      </w:r>
      <w:r w:rsidRPr="00181FCD">
        <w:t>disponible</w:t>
      </w:r>
      <w:r w:rsidR="00F373A3" w:rsidRPr="00181FCD">
        <w:t xml:space="preserve"> </w:t>
      </w:r>
      <w:r w:rsidRPr="00181FCD">
        <w:t>en</w:t>
      </w:r>
      <w:r w:rsidR="00F373A3" w:rsidRPr="00181FCD">
        <w:t xml:space="preserve"> </w:t>
      </w:r>
      <w:r w:rsidRPr="00181FCD">
        <w:t>los</w:t>
      </w:r>
      <w:r w:rsidR="00F373A3" w:rsidRPr="00181FCD">
        <w:t xml:space="preserve"> </w:t>
      </w:r>
      <w:r w:rsidRPr="00181FCD">
        <w:t>pasos</w:t>
      </w:r>
      <w:r w:rsidR="00F373A3" w:rsidRPr="00181FCD">
        <w:t xml:space="preserve"> </w:t>
      </w:r>
      <w:r w:rsidRPr="00181FCD">
        <w:t>fronterizos</w:t>
      </w:r>
      <w:r w:rsidR="00F373A3" w:rsidRPr="00181FCD">
        <w:t xml:space="preserve"> </w:t>
      </w:r>
      <w:r w:rsidRPr="00181FCD">
        <w:t>y</w:t>
      </w:r>
      <w:r w:rsidR="00F373A3" w:rsidRPr="00181FCD">
        <w:t xml:space="preserve"> </w:t>
      </w:r>
      <w:r w:rsidRPr="00181FCD">
        <w:t>las</w:t>
      </w:r>
      <w:r w:rsidR="00F373A3" w:rsidRPr="00181FCD">
        <w:t xml:space="preserve"> </w:t>
      </w:r>
      <w:r w:rsidRPr="00181FCD">
        <w:t>instalaciones</w:t>
      </w:r>
      <w:r w:rsidR="00F373A3" w:rsidRPr="00181FCD">
        <w:t xml:space="preserve"> </w:t>
      </w:r>
      <w:r w:rsidRPr="00181FCD">
        <w:t>de</w:t>
      </w:r>
      <w:r w:rsidR="00F373A3" w:rsidRPr="00181FCD">
        <w:t xml:space="preserve"> </w:t>
      </w:r>
      <w:r w:rsidRPr="00181FCD">
        <w:t>alojamiento.</w:t>
      </w:r>
      <w:r w:rsidR="00672EC2" w:rsidRPr="00181FCD">
        <w:t xml:space="preserve"> </w:t>
      </w:r>
      <w:r w:rsidRPr="00181FCD">
        <w:t>Se</w:t>
      </w:r>
      <w:r w:rsidR="00F373A3" w:rsidRPr="00181FCD">
        <w:t xml:space="preserve"> </w:t>
      </w:r>
      <w:r w:rsidRPr="00181FCD">
        <w:t>ofrece</w:t>
      </w:r>
      <w:r w:rsidR="00F373A3" w:rsidRPr="00181FCD">
        <w:t xml:space="preserve"> </w:t>
      </w:r>
      <w:r w:rsidRPr="00181FCD">
        <w:t>consultas</w:t>
      </w:r>
      <w:r w:rsidR="00F373A3" w:rsidRPr="00181FCD">
        <w:t xml:space="preserve"> </w:t>
      </w:r>
      <w:r w:rsidRPr="00181FCD">
        <w:t>jurídicas</w:t>
      </w:r>
      <w:r w:rsidR="00F373A3" w:rsidRPr="00181FCD">
        <w:t xml:space="preserve"> </w:t>
      </w:r>
      <w:r w:rsidRPr="00181FCD">
        <w:t>y</w:t>
      </w:r>
      <w:r w:rsidR="00F373A3" w:rsidRPr="00181FCD">
        <w:t xml:space="preserve"> </w:t>
      </w:r>
      <w:r w:rsidRPr="00181FCD">
        <w:t>asesoría</w:t>
      </w:r>
      <w:r w:rsidR="00F373A3" w:rsidRPr="00181FCD">
        <w:t xml:space="preserve"> </w:t>
      </w:r>
      <w:r w:rsidRPr="00181FCD">
        <w:t>jurídica</w:t>
      </w:r>
      <w:r w:rsidR="00F373A3" w:rsidRPr="00181FCD">
        <w:t xml:space="preserve"> </w:t>
      </w:r>
      <w:r w:rsidRPr="00181FCD">
        <w:t>especializada</w:t>
      </w:r>
      <w:r w:rsidR="00F373A3" w:rsidRPr="00181FCD">
        <w:t xml:space="preserve"> </w:t>
      </w:r>
      <w:r w:rsidRPr="00181FCD">
        <w:t>gratuitamente</w:t>
      </w:r>
      <w:r w:rsidR="00F373A3" w:rsidRPr="00181FCD">
        <w:t xml:space="preserve"> </w:t>
      </w:r>
      <w:r w:rsidRPr="00181FCD">
        <w:t>a</w:t>
      </w:r>
      <w:r w:rsidR="00F373A3" w:rsidRPr="00181FCD">
        <w:t xml:space="preserve"> </w:t>
      </w:r>
      <w:r w:rsidRPr="00181FCD">
        <w:t>los</w:t>
      </w:r>
      <w:r w:rsidR="00F373A3" w:rsidRPr="00181FCD">
        <w:t xml:space="preserve"> </w:t>
      </w:r>
      <w:r w:rsidRPr="00181FCD">
        <w:t>extranjeros</w:t>
      </w:r>
      <w:r w:rsidR="00F373A3" w:rsidRPr="00181FCD">
        <w:t xml:space="preserve"> </w:t>
      </w:r>
      <w:r w:rsidRPr="00181FCD">
        <w:t>que</w:t>
      </w:r>
      <w:r w:rsidR="00F373A3" w:rsidRPr="00181FCD">
        <w:t xml:space="preserve"> </w:t>
      </w:r>
      <w:r w:rsidRPr="00181FCD">
        <w:t>solicitan</w:t>
      </w:r>
      <w:r w:rsidR="00F373A3" w:rsidRPr="00181FCD">
        <w:t xml:space="preserve"> </w:t>
      </w:r>
      <w:r w:rsidRPr="00181FCD">
        <w:t>protección</w:t>
      </w:r>
      <w:r w:rsidR="00F373A3" w:rsidRPr="00181FCD">
        <w:t xml:space="preserve"> </w:t>
      </w:r>
      <w:r w:rsidRPr="00181FCD">
        <w:t>y</w:t>
      </w:r>
      <w:r w:rsidR="00F373A3" w:rsidRPr="00181FCD">
        <w:t xml:space="preserve"> </w:t>
      </w:r>
      <w:r w:rsidRPr="00181FCD">
        <w:t>se</w:t>
      </w:r>
      <w:r w:rsidR="00F373A3" w:rsidRPr="00181FCD">
        <w:t xml:space="preserve"> </w:t>
      </w:r>
      <w:r w:rsidRPr="00181FCD">
        <w:t>encuentran</w:t>
      </w:r>
      <w:r w:rsidR="00F373A3" w:rsidRPr="00181FCD">
        <w:t xml:space="preserve"> </w:t>
      </w:r>
      <w:r w:rsidRPr="00181FCD">
        <w:t>en</w:t>
      </w:r>
      <w:r w:rsidR="00F373A3" w:rsidRPr="00181FCD">
        <w:t xml:space="preserve"> </w:t>
      </w:r>
      <w:r w:rsidRPr="00181FCD">
        <w:t>las</w:t>
      </w:r>
      <w:r w:rsidR="00F373A3" w:rsidRPr="00181FCD">
        <w:t xml:space="preserve"> </w:t>
      </w:r>
      <w:r w:rsidRPr="00181FCD">
        <w:t>instalaciones</w:t>
      </w:r>
      <w:r w:rsidR="00F373A3" w:rsidRPr="00181FCD">
        <w:t xml:space="preserve"> </w:t>
      </w:r>
      <w:r w:rsidRPr="00181FCD">
        <w:t>de</w:t>
      </w:r>
      <w:r w:rsidR="00F373A3" w:rsidRPr="00181FCD">
        <w:t xml:space="preserve"> </w:t>
      </w:r>
      <w:r w:rsidRPr="00181FCD">
        <w:t>detención</w:t>
      </w:r>
      <w:r w:rsidR="00F373A3" w:rsidRPr="00181FCD">
        <w:t xml:space="preserve"> </w:t>
      </w:r>
      <w:r w:rsidRPr="00181FCD">
        <w:t>policial</w:t>
      </w:r>
      <w:r w:rsidR="00F373A3" w:rsidRPr="00181FCD">
        <w:t xml:space="preserve"> </w:t>
      </w:r>
      <w:r w:rsidRPr="00181FCD">
        <w:t>en</w:t>
      </w:r>
      <w:r w:rsidR="00F373A3" w:rsidRPr="00181FCD">
        <w:t xml:space="preserve"> </w:t>
      </w:r>
      <w:r w:rsidRPr="00181FCD">
        <w:t>las</w:t>
      </w:r>
      <w:r w:rsidR="00F373A3" w:rsidRPr="00181FCD">
        <w:t xml:space="preserve"> </w:t>
      </w:r>
      <w:r w:rsidRPr="00181FCD">
        <w:t>estructuras</w:t>
      </w:r>
      <w:r w:rsidR="00F373A3" w:rsidRPr="00181FCD">
        <w:t xml:space="preserve"> </w:t>
      </w:r>
      <w:r w:rsidRPr="00181FCD">
        <w:t>de</w:t>
      </w:r>
      <w:r w:rsidR="00F373A3" w:rsidRPr="00181FCD">
        <w:t xml:space="preserve"> </w:t>
      </w:r>
      <w:r w:rsidRPr="00181FCD">
        <w:t>la</w:t>
      </w:r>
      <w:r w:rsidR="00F373A3" w:rsidRPr="00181FCD">
        <w:t xml:space="preserve"> </w:t>
      </w:r>
      <w:r w:rsidRPr="00181FCD">
        <w:t>Dirección</w:t>
      </w:r>
      <w:r w:rsidR="00F373A3" w:rsidRPr="00181FCD">
        <w:t xml:space="preserve"> </w:t>
      </w:r>
      <w:r w:rsidRPr="00181FCD">
        <w:t>General</w:t>
      </w:r>
      <w:r w:rsidR="00F373A3" w:rsidRPr="00181FCD">
        <w:t xml:space="preserve"> </w:t>
      </w:r>
      <w:r w:rsidRPr="00181FCD">
        <w:t>de</w:t>
      </w:r>
      <w:r w:rsidR="00F373A3" w:rsidRPr="00181FCD">
        <w:t xml:space="preserve"> </w:t>
      </w:r>
      <w:r w:rsidRPr="00181FCD">
        <w:t>la</w:t>
      </w:r>
      <w:r w:rsidR="00F373A3" w:rsidRPr="00181FCD">
        <w:t xml:space="preserve"> </w:t>
      </w:r>
      <w:r w:rsidRPr="00181FCD">
        <w:t>Policía</w:t>
      </w:r>
      <w:r w:rsidR="00F373A3" w:rsidRPr="00181FCD">
        <w:t xml:space="preserve"> </w:t>
      </w:r>
      <w:r w:rsidRPr="00181FCD">
        <w:t>de</w:t>
      </w:r>
      <w:r w:rsidR="00F373A3" w:rsidRPr="00181FCD">
        <w:t xml:space="preserve"> </w:t>
      </w:r>
      <w:r w:rsidRPr="00181FCD">
        <w:t>Fronteras.</w:t>
      </w:r>
      <w:r w:rsidR="00F373A3" w:rsidRPr="00181FCD">
        <w:t xml:space="preserve"> </w:t>
      </w:r>
      <w:r w:rsidRPr="00181FCD">
        <w:t>Se</w:t>
      </w:r>
      <w:r w:rsidR="00F373A3" w:rsidRPr="00181FCD">
        <w:t xml:space="preserve"> </w:t>
      </w:r>
      <w:r w:rsidRPr="00181FCD">
        <w:t>ha</w:t>
      </w:r>
      <w:r w:rsidR="00F373A3" w:rsidRPr="00181FCD">
        <w:t xml:space="preserve"> </w:t>
      </w:r>
      <w:r w:rsidRPr="00181FCD">
        <w:t>establecido</w:t>
      </w:r>
      <w:r w:rsidR="00F373A3" w:rsidRPr="00181FCD">
        <w:t xml:space="preserve"> </w:t>
      </w:r>
      <w:r w:rsidRPr="00181FCD">
        <w:t>un</w:t>
      </w:r>
      <w:r w:rsidR="00F373A3" w:rsidRPr="00181FCD">
        <w:t xml:space="preserve"> </w:t>
      </w:r>
      <w:r w:rsidRPr="00181FCD">
        <w:t>mecanismo</w:t>
      </w:r>
      <w:r w:rsidR="00F373A3" w:rsidRPr="00181FCD">
        <w:t xml:space="preserve"> </w:t>
      </w:r>
      <w:r w:rsidRPr="00181FCD">
        <w:t>para</w:t>
      </w:r>
      <w:r w:rsidR="00F373A3" w:rsidRPr="00181FCD">
        <w:t xml:space="preserve"> </w:t>
      </w:r>
      <w:r w:rsidRPr="00181FCD">
        <w:t>el</w:t>
      </w:r>
      <w:r w:rsidR="00F373A3" w:rsidRPr="00181FCD">
        <w:t xml:space="preserve"> </w:t>
      </w:r>
      <w:r w:rsidRPr="00181FCD">
        <w:t>traslado</w:t>
      </w:r>
      <w:r w:rsidR="00F373A3" w:rsidRPr="00181FCD">
        <w:t xml:space="preserve"> </w:t>
      </w:r>
      <w:r w:rsidRPr="00181FCD">
        <w:t>rápido</w:t>
      </w:r>
      <w:r w:rsidR="00F373A3" w:rsidRPr="00181FCD">
        <w:t xml:space="preserve"> </w:t>
      </w:r>
      <w:r w:rsidRPr="00181FCD">
        <w:t>de</w:t>
      </w:r>
      <w:r w:rsidR="00F373A3" w:rsidRPr="00181FCD">
        <w:t xml:space="preserve"> </w:t>
      </w:r>
      <w:r w:rsidRPr="00181FCD">
        <w:t>los</w:t>
      </w:r>
      <w:r w:rsidR="00F373A3" w:rsidRPr="00181FCD">
        <w:t xml:space="preserve"> </w:t>
      </w:r>
      <w:r w:rsidRPr="00181FCD">
        <w:t>extranjeros</w:t>
      </w:r>
      <w:r w:rsidR="00F373A3" w:rsidRPr="00181FCD">
        <w:t xml:space="preserve"> </w:t>
      </w:r>
      <w:r w:rsidRPr="00181FCD">
        <w:t>pertenecientes</w:t>
      </w:r>
      <w:r w:rsidR="00F373A3" w:rsidRPr="00181FCD">
        <w:t xml:space="preserve"> </w:t>
      </w:r>
      <w:r w:rsidRPr="00181FCD">
        <w:t>a</w:t>
      </w:r>
      <w:r w:rsidR="00F373A3" w:rsidRPr="00181FCD">
        <w:t xml:space="preserve"> </w:t>
      </w:r>
      <w:r w:rsidRPr="00181FCD">
        <w:t>grupos</w:t>
      </w:r>
      <w:r w:rsidR="00F373A3" w:rsidRPr="00181FCD">
        <w:t xml:space="preserve"> </w:t>
      </w:r>
      <w:r w:rsidRPr="00181FCD">
        <w:t>vulnerables</w:t>
      </w:r>
      <w:r w:rsidR="00F373A3" w:rsidRPr="00181FCD">
        <w:t xml:space="preserve"> </w:t>
      </w:r>
      <w:r w:rsidRPr="00181FCD">
        <w:t>a</w:t>
      </w:r>
      <w:r w:rsidR="00F373A3" w:rsidRPr="00181FCD">
        <w:t xml:space="preserve"> </w:t>
      </w:r>
      <w:r w:rsidRPr="00181FCD">
        <w:t>la</w:t>
      </w:r>
      <w:r w:rsidR="00F373A3" w:rsidRPr="00181FCD">
        <w:t xml:space="preserve"> </w:t>
      </w:r>
      <w:r w:rsidRPr="00181FCD">
        <w:t>Agencia</w:t>
      </w:r>
      <w:r w:rsidR="00F373A3" w:rsidRPr="00181FCD">
        <w:t xml:space="preserve"> </w:t>
      </w:r>
      <w:r w:rsidRPr="00181FCD">
        <w:t>Estatal</w:t>
      </w:r>
      <w:r w:rsidR="00F373A3" w:rsidRPr="00181FCD">
        <w:t xml:space="preserve"> </w:t>
      </w:r>
      <w:r w:rsidRPr="00181FCD">
        <w:t>para</w:t>
      </w:r>
      <w:r w:rsidR="00F373A3" w:rsidRPr="00181FCD">
        <w:t xml:space="preserve"> </w:t>
      </w:r>
      <w:r w:rsidRPr="00181FCD">
        <w:t>los</w:t>
      </w:r>
      <w:r w:rsidR="00F373A3" w:rsidRPr="00181FCD">
        <w:t xml:space="preserve"> </w:t>
      </w:r>
      <w:r w:rsidRPr="00181FCD">
        <w:t>Refugiados.</w:t>
      </w:r>
      <w:r w:rsidR="00F373A3" w:rsidRPr="00181FCD">
        <w:t xml:space="preserve"> </w:t>
      </w:r>
      <w:r w:rsidRPr="00181FCD">
        <w:t>Se</w:t>
      </w:r>
      <w:r w:rsidR="00F373A3" w:rsidRPr="00181FCD">
        <w:t xml:space="preserve"> </w:t>
      </w:r>
      <w:r w:rsidRPr="00181FCD">
        <w:t>ofrecen</w:t>
      </w:r>
      <w:r w:rsidR="00F373A3" w:rsidRPr="00181FCD">
        <w:t xml:space="preserve"> </w:t>
      </w:r>
      <w:r w:rsidRPr="00181FCD">
        <w:t>los</w:t>
      </w:r>
      <w:r w:rsidR="00F373A3" w:rsidRPr="00181FCD">
        <w:t xml:space="preserve"> </w:t>
      </w:r>
      <w:r w:rsidRPr="00181FCD">
        <w:t>servicios</w:t>
      </w:r>
      <w:r w:rsidR="00F373A3" w:rsidRPr="00181FCD">
        <w:t xml:space="preserve"> </w:t>
      </w:r>
      <w:r w:rsidRPr="00181FCD">
        <w:t>de</w:t>
      </w:r>
      <w:r w:rsidR="00F373A3" w:rsidRPr="00181FCD">
        <w:t xml:space="preserve"> </w:t>
      </w:r>
      <w:r w:rsidRPr="00181FCD">
        <w:t>interpretación</w:t>
      </w:r>
      <w:r w:rsidR="00F373A3" w:rsidRPr="00181FCD">
        <w:t xml:space="preserve"> </w:t>
      </w:r>
      <w:r w:rsidRPr="00181FCD">
        <w:t>de</w:t>
      </w:r>
      <w:r w:rsidR="00F373A3" w:rsidRPr="00181FCD">
        <w:t xml:space="preserve"> </w:t>
      </w:r>
      <w:r w:rsidRPr="00181FCD">
        <w:t>lenguas</w:t>
      </w:r>
      <w:r w:rsidR="00F373A3" w:rsidRPr="00181FCD">
        <w:t xml:space="preserve"> </w:t>
      </w:r>
      <w:r w:rsidRPr="00181FCD">
        <w:t>raras</w:t>
      </w:r>
      <w:r w:rsidR="00F373A3" w:rsidRPr="00181FCD">
        <w:t xml:space="preserve"> </w:t>
      </w:r>
      <w:r w:rsidRPr="00181FCD">
        <w:t>y,</w:t>
      </w:r>
      <w:r w:rsidR="00F373A3" w:rsidRPr="00181FCD">
        <w:t xml:space="preserve"> </w:t>
      </w:r>
      <w:r w:rsidRPr="00181FCD">
        <w:t>en</w:t>
      </w:r>
      <w:r w:rsidR="00F373A3" w:rsidRPr="00181FCD">
        <w:t xml:space="preserve"> </w:t>
      </w:r>
      <w:r w:rsidRPr="00181FCD">
        <w:t>caso</w:t>
      </w:r>
      <w:r w:rsidR="00F373A3" w:rsidRPr="00181FCD">
        <w:t xml:space="preserve"> </w:t>
      </w:r>
      <w:r w:rsidRPr="00181FCD">
        <w:t>de</w:t>
      </w:r>
      <w:r w:rsidR="00F373A3" w:rsidRPr="00181FCD">
        <w:t xml:space="preserve"> </w:t>
      </w:r>
      <w:r w:rsidRPr="00181FCD">
        <w:t>necesidad,</w:t>
      </w:r>
      <w:r w:rsidR="00F373A3" w:rsidRPr="00181FCD">
        <w:t xml:space="preserve"> </w:t>
      </w:r>
      <w:r w:rsidRPr="00181FCD">
        <w:t>consultas</w:t>
      </w:r>
      <w:r w:rsidR="00F373A3" w:rsidRPr="00181FCD">
        <w:t xml:space="preserve"> </w:t>
      </w:r>
      <w:r w:rsidRPr="00181FCD">
        <w:t>médicas</w:t>
      </w:r>
      <w:r w:rsidR="00F373A3" w:rsidRPr="00181FCD">
        <w:t xml:space="preserve"> </w:t>
      </w:r>
      <w:r w:rsidRPr="00181FCD">
        <w:t>y</w:t>
      </w:r>
      <w:r w:rsidR="00F373A3" w:rsidRPr="00181FCD">
        <w:t xml:space="preserve"> </w:t>
      </w:r>
      <w:r w:rsidRPr="00181FCD">
        <w:t>psicológicas.</w:t>
      </w:r>
    </w:p>
    <w:p w:rsidR="001937F4" w:rsidRPr="00181FCD" w:rsidRDefault="001937F4" w:rsidP="00347B20">
      <w:pPr>
        <w:pStyle w:val="SingleTxtG"/>
        <w:suppressAutoHyphens/>
      </w:pPr>
      <w:r w:rsidRPr="00181FCD">
        <w:t>117.</w:t>
      </w:r>
      <w:r w:rsidRPr="00181FCD">
        <w:tab/>
        <w:t>Se</w:t>
      </w:r>
      <w:r w:rsidR="00F373A3" w:rsidRPr="00181FCD">
        <w:t xml:space="preserve"> </w:t>
      </w:r>
      <w:r w:rsidRPr="00181FCD">
        <w:t>proporciona</w:t>
      </w:r>
      <w:r w:rsidR="00F373A3" w:rsidRPr="00181FCD">
        <w:t xml:space="preserve"> </w:t>
      </w:r>
      <w:r w:rsidRPr="00181FCD">
        <w:t>educación</w:t>
      </w:r>
      <w:r w:rsidR="00F373A3" w:rsidRPr="00181FCD">
        <w:t xml:space="preserve"> </w:t>
      </w:r>
      <w:r w:rsidRPr="00181FCD">
        <w:t>primaria</w:t>
      </w:r>
      <w:r w:rsidR="00F373A3" w:rsidRPr="00181FCD">
        <w:t xml:space="preserve"> </w:t>
      </w:r>
      <w:r w:rsidRPr="00181FCD">
        <w:t>a</w:t>
      </w:r>
      <w:r w:rsidR="00F373A3" w:rsidRPr="00181FCD">
        <w:t xml:space="preserve"> </w:t>
      </w:r>
      <w:r w:rsidRPr="00181FCD">
        <w:t>los</w:t>
      </w:r>
      <w:r w:rsidR="00F373A3" w:rsidRPr="00181FCD">
        <w:t xml:space="preserve"> </w:t>
      </w:r>
      <w:r w:rsidRPr="00181FCD">
        <w:t>niños</w:t>
      </w:r>
      <w:r w:rsidR="00F373A3" w:rsidRPr="00181FCD">
        <w:t xml:space="preserve"> </w:t>
      </w:r>
      <w:r w:rsidRPr="00181FCD">
        <w:t>solicitantes</w:t>
      </w:r>
      <w:r w:rsidR="00F373A3" w:rsidRPr="00181FCD">
        <w:t xml:space="preserve"> </w:t>
      </w:r>
      <w:r w:rsidRPr="00181FCD">
        <w:t>de</w:t>
      </w:r>
      <w:r w:rsidR="00F373A3" w:rsidRPr="00181FCD">
        <w:t xml:space="preserve"> </w:t>
      </w:r>
      <w:r w:rsidRPr="00181FCD">
        <w:t>protección</w:t>
      </w:r>
      <w:r w:rsidR="00F373A3" w:rsidRPr="00181FCD">
        <w:t xml:space="preserve"> </w:t>
      </w:r>
      <w:r w:rsidRPr="00181FCD">
        <w:t>internacional,</w:t>
      </w:r>
      <w:r w:rsidR="00F373A3" w:rsidRPr="00181FCD">
        <w:t xml:space="preserve"> </w:t>
      </w:r>
      <w:r w:rsidRPr="00181FCD">
        <w:t>a</w:t>
      </w:r>
      <w:r w:rsidR="00F373A3" w:rsidRPr="00181FCD">
        <w:t xml:space="preserve"> </w:t>
      </w:r>
      <w:r w:rsidRPr="00181FCD">
        <w:t>petición</w:t>
      </w:r>
      <w:r w:rsidR="00F373A3" w:rsidRPr="00181FCD">
        <w:t xml:space="preserve"> </w:t>
      </w:r>
      <w:r w:rsidRPr="00181FCD">
        <w:t>de</w:t>
      </w:r>
      <w:r w:rsidR="00F373A3" w:rsidRPr="00181FCD">
        <w:t xml:space="preserve"> </w:t>
      </w:r>
      <w:r w:rsidRPr="00181FCD">
        <w:t>sus</w:t>
      </w:r>
      <w:r w:rsidR="00F373A3" w:rsidRPr="00181FCD">
        <w:t xml:space="preserve"> </w:t>
      </w:r>
      <w:r w:rsidRPr="00181FCD">
        <w:t>padres</w:t>
      </w:r>
      <w:r w:rsidR="00F373A3" w:rsidRPr="00181FCD">
        <w:t xml:space="preserve"> </w:t>
      </w:r>
      <w:r w:rsidRPr="00181FCD">
        <w:t>o</w:t>
      </w:r>
      <w:r w:rsidR="00F373A3" w:rsidRPr="00181FCD">
        <w:t xml:space="preserve"> </w:t>
      </w:r>
      <w:r w:rsidRPr="00181FCD">
        <w:t>con</w:t>
      </w:r>
      <w:r w:rsidR="00F373A3" w:rsidRPr="00181FCD">
        <w:t xml:space="preserve"> </w:t>
      </w:r>
      <w:r w:rsidRPr="00181FCD">
        <w:t>la</w:t>
      </w:r>
      <w:r w:rsidR="00F373A3" w:rsidRPr="00181FCD">
        <w:t xml:space="preserve"> </w:t>
      </w:r>
      <w:r w:rsidRPr="00181FCD">
        <w:t>asistencia</w:t>
      </w:r>
      <w:r w:rsidR="00F373A3" w:rsidRPr="00181FCD">
        <w:t xml:space="preserve"> </w:t>
      </w:r>
      <w:r w:rsidRPr="00181FCD">
        <w:t>de</w:t>
      </w:r>
      <w:r w:rsidR="00F373A3" w:rsidRPr="00181FCD">
        <w:t xml:space="preserve"> </w:t>
      </w:r>
      <w:r w:rsidRPr="00181FCD">
        <w:t>un</w:t>
      </w:r>
      <w:r w:rsidR="00F373A3" w:rsidRPr="00181FCD">
        <w:t xml:space="preserve"> </w:t>
      </w:r>
      <w:r w:rsidRPr="00181FCD">
        <w:t>experto</w:t>
      </w:r>
      <w:r w:rsidR="00F373A3" w:rsidRPr="00181FCD">
        <w:t xml:space="preserve"> </w:t>
      </w:r>
      <w:r w:rsidRPr="00181FCD">
        <w:t>en</w:t>
      </w:r>
      <w:r w:rsidR="00F373A3" w:rsidRPr="00181FCD">
        <w:t xml:space="preserve"> </w:t>
      </w:r>
      <w:r w:rsidRPr="00181FCD">
        <w:t>asuntos</w:t>
      </w:r>
      <w:r w:rsidR="00F373A3" w:rsidRPr="00181FCD">
        <w:t xml:space="preserve"> </w:t>
      </w:r>
      <w:r w:rsidRPr="00181FCD">
        <w:t>sociales</w:t>
      </w:r>
      <w:r w:rsidR="00F373A3" w:rsidRPr="00181FCD">
        <w:t xml:space="preserve"> </w:t>
      </w:r>
      <w:r w:rsidRPr="00181FCD">
        <w:t>de</w:t>
      </w:r>
      <w:r w:rsidR="00F373A3" w:rsidRPr="00181FCD">
        <w:t xml:space="preserve"> </w:t>
      </w:r>
      <w:r w:rsidRPr="00181FCD">
        <w:t>la</w:t>
      </w:r>
      <w:r w:rsidR="00F373A3" w:rsidRPr="00181FCD">
        <w:t xml:space="preserve"> </w:t>
      </w:r>
      <w:r w:rsidRPr="00181FCD">
        <w:t>Agencia</w:t>
      </w:r>
      <w:r w:rsidR="00F373A3" w:rsidRPr="00181FCD">
        <w:t xml:space="preserve"> </w:t>
      </w:r>
      <w:r w:rsidRPr="00181FCD">
        <w:t>Estatal</w:t>
      </w:r>
      <w:r w:rsidR="00F373A3" w:rsidRPr="00181FCD">
        <w:t xml:space="preserve"> </w:t>
      </w:r>
      <w:r w:rsidRPr="00181FCD">
        <w:t>para</w:t>
      </w:r>
      <w:r w:rsidR="00F373A3" w:rsidRPr="00181FCD">
        <w:t xml:space="preserve"> </w:t>
      </w:r>
      <w:r w:rsidRPr="00181FCD">
        <w:t>los</w:t>
      </w:r>
      <w:r w:rsidR="00F373A3" w:rsidRPr="00181FCD">
        <w:t xml:space="preserve"> </w:t>
      </w:r>
      <w:r w:rsidRPr="00181FCD">
        <w:t>Refugiados.</w:t>
      </w:r>
      <w:r w:rsidR="00F373A3" w:rsidRPr="00181FCD">
        <w:t xml:space="preserve"> </w:t>
      </w:r>
      <w:r w:rsidRPr="00181FCD">
        <w:t>Todos</w:t>
      </w:r>
      <w:r w:rsidR="00F373A3" w:rsidRPr="00181FCD">
        <w:t xml:space="preserve"> </w:t>
      </w:r>
      <w:r w:rsidRPr="00181FCD">
        <w:t>los</w:t>
      </w:r>
      <w:r w:rsidR="00F373A3" w:rsidRPr="00181FCD">
        <w:t xml:space="preserve"> </w:t>
      </w:r>
      <w:r w:rsidRPr="00181FCD">
        <w:t>niños</w:t>
      </w:r>
      <w:r w:rsidR="00F373A3" w:rsidRPr="00181FCD">
        <w:t xml:space="preserve"> </w:t>
      </w:r>
      <w:r w:rsidRPr="00181FCD">
        <w:t>tienen</w:t>
      </w:r>
      <w:r w:rsidR="00F373A3" w:rsidRPr="00181FCD">
        <w:t xml:space="preserve"> </w:t>
      </w:r>
      <w:r w:rsidRPr="00181FCD">
        <w:t>derecho</w:t>
      </w:r>
      <w:r w:rsidR="00F373A3" w:rsidRPr="00181FCD">
        <w:t xml:space="preserve"> </w:t>
      </w:r>
      <w:r w:rsidRPr="00181FCD">
        <w:t>a</w:t>
      </w:r>
      <w:r w:rsidR="00F373A3" w:rsidRPr="00181FCD">
        <w:t xml:space="preserve"> </w:t>
      </w:r>
      <w:r w:rsidRPr="00181FCD">
        <w:t>la</w:t>
      </w:r>
      <w:r w:rsidR="00F373A3" w:rsidRPr="00181FCD">
        <w:t xml:space="preserve"> </w:t>
      </w:r>
      <w:r w:rsidRPr="00181FCD">
        <w:t>educación.</w:t>
      </w:r>
      <w:r w:rsidR="00F373A3" w:rsidRPr="00181FCD">
        <w:t xml:space="preserve"> </w:t>
      </w:r>
      <w:r w:rsidRPr="00181FCD">
        <w:t>Los</w:t>
      </w:r>
      <w:r w:rsidR="00F373A3" w:rsidRPr="00181FCD">
        <w:t xml:space="preserve"> </w:t>
      </w:r>
      <w:r w:rsidRPr="00181FCD">
        <w:t>niños</w:t>
      </w:r>
      <w:r w:rsidR="00F373A3" w:rsidRPr="00181FCD">
        <w:t xml:space="preserve"> </w:t>
      </w:r>
      <w:r w:rsidRPr="00181FCD">
        <w:t>que</w:t>
      </w:r>
      <w:r w:rsidR="00F373A3" w:rsidRPr="00181FCD">
        <w:t xml:space="preserve"> </w:t>
      </w:r>
      <w:r w:rsidRPr="00181FCD">
        <w:t>asisten</w:t>
      </w:r>
      <w:r w:rsidR="00F373A3" w:rsidRPr="00181FCD">
        <w:t xml:space="preserve"> </w:t>
      </w:r>
      <w:r w:rsidRPr="00181FCD">
        <w:t>a</w:t>
      </w:r>
      <w:r w:rsidR="00F373A3" w:rsidRPr="00181FCD">
        <w:t xml:space="preserve"> </w:t>
      </w:r>
      <w:r w:rsidRPr="00181FCD">
        <w:t>la</w:t>
      </w:r>
      <w:r w:rsidR="00F373A3" w:rsidRPr="00181FCD">
        <w:t xml:space="preserve"> </w:t>
      </w:r>
      <w:r w:rsidRPr="00181FCD">
        <w:t>enseñanza</w:t>
      </w:r>
      <w:r w:rsidR="00F373A3" w:rsidRPr="00181FCD">
        <w:t xml:space="preserve"> </w:t>
      </w:r>
      <w:r w:rsidRPr="00181FCD">
        <w:t>preescolar</w:t>
      </w:r>
      <w:r w:rsidR="00F373A3" w:rsidRPr="00181FCD">
        <w:t xml:space="preserve"> </w:t>
      </w:r>
      <w:r w:rsidRPr="00181FCD">
        <w:t>y</w:t>
      </w:r>
      <w:r w:rsidR="00F373A3" w:rsidRPr="00181FCD">
        <w:t xml:space="preserve"> </w:t>
      </w:r>
      <w:r w:rsidRPr="00181FCD">
        <w:t>las</w:t>
      </w:r>
      <w:r w:rsidR="00F373A3" w:rsidRPr="00181FCD">
        <w:t xml:space="preserve"> </w:t>
      </w:r>
      <w:r w:rsidRPr="00181FCD">
        <w:t>escuelas</w:t>
      </w:r>
      <w:r w:rsidR="00F373A3" w:rsidRPr="00181FCD">
        <w:t xml:space="preserve"> </w:t>
      </w:r>
      <w:r w:rsidRPr="00181FCD">
        <w:t>de</w:t>
      </w:r>
      <w:r w:rsidR="00F373A3" w:rsidRPr="00181FCD">
        <w:t xml:space="preserve"> </w:t>
      </w:r>
      <w:r w:rsidRPr="00181FCD">
        <w:t>primer</w:t>
      </w:r>
      <w:r w:rsidR="00F373A3" w:rsidRPr="00181FCD">
        <w:t xml:space="preserve"> </w:t>
      </w:r>
      <w:r w:rsidRPr="00181FCD">
        <w:t>grado</w:t>
      </w:r>
      <w:r w:rsidR="00F373A3" w:rsidRPr="00181FCD">
        <w:t xml:space="preserve"> </w:t>
      </w:r>
      <w:r w:rsidRPr="00181FCD">
        <w:t>se</w:t>
      </w:r>
      <w:r w:rsidR="00F373A3" w:rsidRPr="00181FCD">
        <w:t xml:space="preserve"> </w:t>
      </w:r>
      <w:r w:rsidRPr="00181FCD">
        <w:t>inscriben</w:t>
      </w:r>
      <w:r w:rsidR="00F373A3" w:rsidRPr="00181FCD">
        <w:t xml:space="preserve"> </w:t>
      </w:r>
      <w:r w:rsidRPr="00181FCD">
        <w:t>directamente.</w:t>
      </w:r>
      <w:r w:rsidR="00F373A3" w:rsidRPr="00181FCD">
        <w:t xml:space="preserve"> </w:t>
      </w:r>
      <w:r w:rsidRPr="00181FCD">
        <w:t>Para</w:t>
      </w:r>
      <w:r w:rsidR="00F373A3" w:rsidRPr="00181FCD">
        <w:t xml:space="preserve"> </w:t>
      </w:r>
      <w:r w:rsidRPr="00181FCD">
        <w:t>todos</w:t>
      </w:r>
      <w:r w:rsidR="00F373A3" w:rsidRPr="00181FCD">
        <w:t xml:space="preserve"> </w:t>
      </w:r>
      <w:r w:rsidRPr="00181FCD">
        <w:t>los</w:t>
      </w:r>
      <w:r w:rsidR="00F373A3" w:rsidRPr="00181FCD">
        <w:t xml:space="preserve"> </w:t>
      </w:r>
      <w:r w:rsidRPr="00181FCD">
        <w:t>demás</w:t>
      </w:r>
      <w:r w:rsidR="00F373A3" w:rsidRPr="00181FCD">
        <w:t xml:space="preserve"> </w:t>
      </w:r>
      <w:r w:rsidRPr="00181FCD">
        <w:t>niños</w:t>
      </w:r>
      <w:r w:rsidR="00F373A3" w:rsidRPr="00181FCD">
        <w:t xml:space="preserve"> </w:t>
      </w:r>
      <w:r w:rsidRPr="00181FCD">
        <w:t>se</w:t>
      </w:r>
      <w:r w:rsidR="00F373A3" w:rsidRPr="00181FCD">
        <w:t xml:space="preserve"> </w:t>
      </w:r>
      <w:r w:rsidRPr="00181FCD">
        <w:t>impone</w:t>
      </w:r>
      <w:r w:rsidR="00F373A3" w:rsidRPr="00181FCD">
        <w:t xml:space="preserve"> </w:t>
      </w:r>
      <w:r w:rsidRPr="00181FCD">
        <w:t>el</w:t>
      </w:r>
      <w:r w:rsidR="00F373A3" w:rsidRPr="00181FCD">
        <w:t xml:space="preserve"> </w:t>
      </w:r>
      <w:r w:rsidRPr="00181FCD">
        <w:t>requisito</w:t>
      </w:r>
      <w:r w:rsidR="00F373A3" w:rsidRPr="00181FCD">
        <w:t xml:space="preserve"> </w:t>
      </w:r>
      <w:r w:rsidRPr="00181FCD">
        <w:t>formal</w:t>
      </w:r>
      <w:r w:rsidR="00F373A3" w:rsidRPr="00181FCD">
        <w:t xml:space="preserve"> </w:t>
      </w:r>
      <w:r w:rsidRPr="00181FCD">
        <w:t>de</w:t>
      </w:r>
      <w:r w:rsidR="00F373A3" w:rsidRPr="00181FCD">
        <w:t xml:space="preserve"> </w:t>
      </w:r>
      <w:r w:rsidRPr="00181FCD">
        <w:t>completar</w:t>
      </w:r>
      <w:r w:rsidR="00F373A3" w:rsidRPr="00181FCD">
        <w:t xml:space="preserve"> </w:t>
      </w:r>
      <w:r w:rsidRPr="00181FCD">
        <w:t>un</w:t>
      </w:r>
      <w:r w:rsidR="00F373A3" w:rsidRPr="00181FCD">
        <w:t xml:space="preserve"> </w:t>
      </w:r>
      <w:r w:rsidRPr="00181FCD">
        <w:t>curso</w:t>
      </w:r>
      <w:r w:rsidR="00F373A3" w:rsidRPr="00181FCD">
        <w:t xml:space="preserve"> </w:t>
      </w:r>
      <w:r w:rsidRPr="00181FCD">
        <w:t>de</w:t>
      </w:r>
      <w:r w:rsidR="00F373A3" w:rsidRPr="00181FCD">
        <w:t xml:space="preserve"> </w:t>
      </w:r>
      <w:r w:rsidRPr="00181FCD">
        <w:t>lengua</w:t>
      </w:r>
      <w:r w:rsidR="00F373A3" w:rsidRPr="00181FCD">
        <w:t xml:space="preserve"> </w:t>
      </w:r>
      <w:r w:rsidRPr="00181FCD">
        <w:t>búlgara.</w:t>
      </w:r>
      <w:r w:rsidR="00F373A3" w:rsidRPr="00181FCD">
        <w:t xml:space="preserve"> </w:t>
      </w:r>
      <w:r w:rsidRPr="00181FCD">
        <w:t>Los</w:t>
      </w:r>
      <w:r w:rsidR="00F373A3" w:rsidRPr="00181FCD">
        <w:t xml:space="preserve"> </w:t>
      </w:r>
      <w:r w:rsidRPr="00181FCD">
        <w:t>cursos</w:t>
      </w:r>
      <w:r w:rsidR="00F373A3" w:rsidRPr="00181FCD">
        <w:t xml:space="preserve"> </w:t>
      </w:r>
      <w:r w:rsidRPr="00181FCD">
        <w:t>son</w:t>
      </w:r>
      <w:r w:rsidR="00F373A3" w:rsidRPr="00181FCD">
        <w:t xml:space="preserve"> </w:t>
      </w:r>
      <w:r w:rsidRPr="00181FCD">
        <w:t>impartidos</w:t>
      </w:r>
      <w:r w:rsidR="00F373A3" w:rsidRPr="00181FCD">
        <w:t xml:space="preserve"> </w:t>
      </w:r>
      <w:r w:rsidRPr="00181FCD">
        <w:t>por</w:t>
      </w:r>
      <w:r w:rsidR="00F373A3" w:rsidRPr="00181FCD">
        <w:t xml:space="preserve"> </w:t>
      </w:r>
      <w:r w:rsidR="005005D1" w:rsidRPr="00181FCD">
        <w:t>ONG</w:t>
      </w:r>
      <w:r w:rsidRPr="00181FCD">
        <w:t>.</w:t>
      </w:r>
      <w:r w:rsidR="00F373A3" w:rsidRPr="00181FCD">
        <w:t xml:space="preserve"> </w:t>
      </w:r>
      <w:r w:rsidRPr="00181FCD">
        <w:t>Los</w:t>
      </w:r>
      <w:r w:rsidR="00F373A3" w:rsidRPr="00181FCD">
        <w:t xml:space="preserve"> </w:t>
      </w:r>
      <w:r w:rsidRPr="00181FCD">
        <w:t>refugiados</w:t>
      </w:r>
      <w:r w:rsidR="00F373A3" w:rsidRPr="00181FCD">
        <w:t xml:space="preserve"> </w:t>
      </w:r>
      <w:r w:rsidRPr="00181FCD">
        <w:t>adquieren</w:t>
      </w:r>
      <w:r w:rsidR="00F373A3" w:rsidRPr="00181FCD">
        <w:t xml:space="preserve"> </w:t>
      </w:r>
      <w:r w:rsidRPr="00181FCD">
        <w:t>conocimientos</w:t>
      </w:r>
      <w:r w:rsidR="00F373A3" w:rsidRPr="00181FCD">
        <w:t xml:space="preserve"> </w:t>
      </w:r>
      <w:r w:rsidRPr="00181FCD">
        <w:t>en</w:t>
      </w:r>
      <w:r w:rsidR="00F373A3" w:rsidRPr="00181FCD">
        <w:t xml:space="preserve"> </w:t>
      </w:r>
      <w:r w:rsidRPr="00181FCD">
        <w:t>idioma</w:t>
      </w:r>
      <w:r w:rsidR="00F373A3" w:rsidRPr="00181FCD">
        <w:t xml:space="preserve"> </w:t>
      </w:r>
      <w:r w:rsidRPr="00181FCD">
        <w:t>y</w:t>
      </w:r>
      <w:r w:rsidR="00F373A3" w:rsidRPr="00181FCD">
        <w:t xml:space="preserve"> </w:t>
      </w:r>
      <w:r w:rsidRPr="00181FCD">
        <w:t>cultura</w:t>
      </w:r>
      <w:r w:rsidR="00F373A3" w:rsidRPr="00181FCD">
        <w:t xml:space="preserve"> </w:t>
      </w:r>
      <w:r w:rsidRPr="00181FCD">
        <w:t>búlgaros,</w:t>
      </w:r>
      <w:r w:rsidR="00F373A3" w:rsidRPr="00181FCD">
        <w:t xml:space="preserve"> </w:t>
      </w:r>
      <w:r w:rsidRPr="00181FCD">
        <w:t>así</w:t>
      </w:r>
      <w:r w:rsidR="00F373A3" w:rsidRPr="00181FCD">
        <w:t xml:space="preserve"> </w:t>
      </w:r>
      <w:r w:rsidRPr="00181FCD">
        <w:t>como</w:t>
      </w:r>
      <w:r w:rsidR="00F373A3" w:rsidRPr="00181FCD">
        <w:t xml:space="preserve"> </w:t>
      </w:r>
      <w:r w:rsidRPr="00181FCD">
        <w:t>formación</w:t>
      </w:r>
      <w:r w:rsidR="00F373A3" w:rsidRPr="00181FCD">
        <w:t xml:space="preserve"> </w:t>
      </w:r>
      <w:r w:rsidRPr="00181FCD">
        <w:t>profesional.</w:t>
      </w:r>
      <w:r w:rsidR="00F373A3" w:rsidRPr="00181FCD">
        <w:t xml:space="preserve"> </w:t>
      </w:r>
      <w:r w:rsidRPr="00181FCD">
        <w:t>De</w:t>
      </w:r>
      <w:r w:rsidR="00F373A3" w:rsidRPr="00181FCD">
        <w:t xml:space="preserve"> </w:t>
      </w:r>
      <w:r w:rsidRPr="00181FCD">
        <w:t>este</w:t>
      </w:r>
      <w:r w:rsidR="00F373A3" w:rsidRPr="00181FCD">
        <w:t xml:space="preserve"> </w:t>
      </w:r>
      <w:r w:rsidRPr="00181FCD">
        <w:t>modo</w:t>
      </w:r>
      <w:r w:rsidR="00F373A3" w:rsidRPr="00181FCD">
        <w:t xml:space="preserve"> </w:t>
      </w:r>
      <w:r w:rsidRPr="00181FCD">
        <w:t>gozan</w:t>
      </w:r>
      <w:r w:rsidR="00F373A3" w:rsidRPr="00181FCD">
        <w:t xml:space="preserve"> </w:t>
      </w:r>
      <w:r w:rsidRPr="00181FCD">
        <w:t>de</w:t>
      </w:r>
      <w:r w:rsidR="00F373A3" w:rsidRPr="00181FCD">
        <w:t xml:space="preserve"> </w:t>
      </w:r>
      <w:r w:rsidRPr="00181FCD">
        <w:t>un</w:t>
      </w:r>
      <w:r w:rsidR="00F373A3" w:rsidRPr="00181FCD">
        <w:t xml:space="preserve"> </w:t>
      </w:r>
      <w:r w:rsidRPr="00181FCD">
        <w:t>conjunto</w:t>
      </w:r>
      <w:r w:rsidR="00F373A3" w:rsidRPr="00181FCD">
        <w:t xml:space="preserve"> </w:t>
      </w:r>
      <w:r w:rsidRPr="00181FCD">
        <w:t>de</w:t>
      </w:r>
      <w:r w:rsidR="00F373A3" w:rsidRPr="00181FCD">
        <w:t xml:space="preserve"> </w:t>
      </w:r>
      <w:r w:rsidRPr="00181FCD">
        <w:t>medidas</w:t>
      </w:r>
      <w:r w:rsidR="00F373A3" w:rsidRPr="00181FCD">
        <w:t xml:space="preserve"> </w:t>
      </w:r>
      <w:r w:rsidRPr="00181FCD">
        <w:t>de</w:t>
      </w:r>
      <w:r w:rsidR="00F373A3" w:rsidRPr="00181FCD">
        <w:t xml:space="preserve"> </w:t>
      </w:r>
      <w:r w:rsidRPr="00181FCD">
        <w:t>protección</w:t>
      </w:r>
      <w:r w:rsidR="00F373A3" w:rsidRPr="00181FCD">
        <w:t xml:space="preserve"> </w:t>
      </w:r>
      <w:r w:rsidRPr="00181FCD">
        <w:t>social.</w:t>
      </w:r>
      <w:r w:rsidR="00F373A3" w:rsidRPr="00181FCD">
        <w:t xml:space="preserve"> </w:t>
      </w:r>
      <w:r w:rsidRPr="00181FCD">
        <w:t>Se</w:t>
      </w:r>
      <w:r w:rsidR="00F373A3" w:rsidRPr="00181FCD">
        <w:t xml:space="preserve"> </w:t>
      </w:r>
      <w:r w:rsidRPr="00181FCD">
        <w:t>puede</w:t>
      </w:r>
      <w:r w:rsidR="00F373A3" w:rsidRPr="00181FCD">
        <w:t xml:space="preserve"> </w:t>
      </w:r>
      <w:r w:rsidRPr="00181FCD">
        <w:t>consultar</w:t>
      </w:r>
      <w:r w:rsidR="00F373A3" w:rsidRPr="00181FCD">
        <w:t xml:space="preserve"> </w:t>
      </w:r>
      <w:r w:rsidRPr="00181FCD">
        <w:t>información</w:t>
      </w:r>
      <w:r w:rsidR="00F373A3" w:rsidRPr="00181FCD">
        <w:t xml:space="preserve"> </w:t>
      </w:r>
      <w:r w:rsidRPr="00181FCD">
        <w:t>sobre</w:t>
      </w:r>
      <w:r w:rsidR="00F373A3" w:rsidRPr="00181FCD">
        <w:t xml:space="preserve"> </w:t>
      </w:r>
      <w:r w:rsidRPr="00181FCD">
        <w:t>el</w:t>
      </w:r>
      <w:r w:rsidR="00F373A3" w:rsidRPr="00181FCD">
        <w:t xml:space="preserve"> </w:t>
      </w:r>
      <w:r w:rsidRPr="00181FCD">
        <w:t>proceso</w:t>
      </w:r>
      <w:r w:rsidR="00F373A3" w:rsidRPr="00181FCD">
        <w:t xml:space="preserve"> </w:t>
      </w:r>
      <w:r w:rsidRPr="00181FCD">
        <w:t>de</w:t>
      </w:r>
      <w:r w:rsidR="00F373A3" w:rsidRPr="00181FCD">
        <w:t xml:space="preserve"> </w:t>
      </w:r>
      <w:r w:rsidRPr="00181FCD">
        <w:t>integración</w:t>
      </w:r>
      <w:r w:rsidR="00F373A3" w:rsidRPr="00181FCD">
        <w:t xml:space="preserve"> </w:t>
      </w:r>
      <w:r w:rsidRPr="00181FCD">
        <w:t>en</w:t>
      </w:r>
      <w:r w:rsidR="00F373A3" w:rsidRPr="00181FCD">
        <w:t xml:space="preserve"> </w:t>
      </w:r>
      <w:r w:rsidRPr="00181FCD">
        <w:t>árabe,</w:t>
      </w:r>
      <w:r w:rsidR="00F373A3" w:rsidRPr="00181FCD">
        <w:t xml:space="preserve"> </w:t>
      </w:r>
      <w:r w:rsidRPr="00181FCD">
        <w:t>dari,</w:t>
      </w:r>
      <w:r w:rsidR="00F373A3" w:rsidRPr="00181FCD">
        <w:t xml:space="preserve"> </w:t>
      </w:r>
      <w:r w:rsidRPr="00181FCD">
        <w:t>inglés</w:t>
      </w:r>
      <w:r w:rsidR="00F373A3" w:rsidRPr="00181FCD">
        <w:t xml:space="preserve"> </w:t>
      </w:r>
      <w:r w:rsidRPr="00181FCD">
        <w:t>y</w:t>
      </w:r>
      <w:r w:rsidR="00F373A3" w:rsidRPr="00181FCD">
        <w:t xml:space="preserve"> </w:t>
      </w:r>
      <w:r w:rsidRPr="00181FCD">
        <w:t>persa.</w:t>
      </w:r>
    </w:p>
    <w:p w:rsidR="001937F4" w:rsidRPr="00181FCD" w:rsidRDefault="005652C6" w:rsidP="005652C6">
      <w:pPr>
        <w:pStyle w:val="H23G"/>
      </w:pPr>
      <w:r w:rsidRPr="00181FCD">
        <w:tab/>
      </w:r>
      <w:r w:rsidRPr="00181FCD">
        <w:tab/>
      </w:r>
      <w:r w:rsidR="001937F4" w:rsidRPr="00181FCD">
        <w:t>Respuesta</w:t>
      </w:r>
      <w:r w:rsidR="00F373A3" w:rsidRPr="00181FCD">
        <w:t xml:space="preserve"> </w:t>
      </w:r>
      <w:r w:rsidR="001937F4" w:rsidRPr="00181FCD">
        <w:t>a</w:t>
      </w:r>
      <w:r w:rsidR="00F373A3" w:rsidRPr="00181FCD">
        <w:t xml:space="preserve"> </w:t>
      </w:r>
      <w:r w:rsidR="001937F4" w:rsidRPr="00181FCD">
        <w:t>las</w:t>
      </w:r>
      <w:r w:rsidR="00F373A3" w:rsidRPr="00181FCD">
        <w:t xml:space="preserve"> </w:t>
      </w:r>
      <w:r w:rsidR="001937F4" w:rsidRPr="00181FCD">
        <w:t>cuestiones</w:t>
      </w:r>
      <w:r w:rsidR="00F373A3" w:rsidRPr="00181FCD">
        <w:t xml:space="preserve"> </w:t>
      </w:r>
      <w:r w:rsidR="001937F4" w:rsidRPr="00181FCD">
        <w:t>planteadas</w:t>
      </w:r>
      <w:r w:rsidR="00F373A3" w:rsidRPr="00181FCD">
        <w:t xml:space="preserve"> </w:t>
      </w:r>
      <w:r w:rsidR="001937F4" w:rsidRPr="00181FCD">
        <w:t>en</w:t>
      </w:r>
      <w:r w:rsidR="00F373A3" w:rsidRPr="00181FCD">
        <w:t xml:space="preserve"> </w:t>
      </w:r>
      <w:r w:rsidR="001937F4" w:rsidRPr="00181FCD">
        <w:t>el</w:t>
      </w:r>
      <w:r w:rsidR="00F373A3" w:rsidRPr="00181FCD">
        <w:t xml:space="preserve"> </w:t>
      </w:r>
      <w:r w:rsidR="001937F4" w:rsidRPr="00181FCD">
        <w:t>párrafo</w:t>
      </w:r>
      <w:r w:rsidR="00F373A3" w:rsidRPr="00181FCD">
        <w:t xml:space="preserve"> </w:t>
      </w:r>
      <w:r w:rsidR="001937F4" w:rsidRPr="00181FCD">
        <w:t>12</w:t>
      </w:r>
      <w:r w:rsidR="00F373A3" w:rsidRPr="00181FCD">
        <w:t xml:space="preserve"> </w:t>
      </w:r>
      <w:r w:rsidR="001937F4" w:rsidRPr="00181FCD">
        <w:t>de</w:t>
      </w:r>
      <w:r w:rsidR="00F373A3" w:rsidRPr="00181FCD">
        <w:t xml:space="preserve"> </w:t>
      </w:r>
      <w:r w:rsidR="001937F4" w:rsidRPr="00181FCD">
        <w:t>la</w:t>
      </w:r>
      <w:r w:rsidR="00F373A3" w:rsidRPr="00181FCD">
        <w:t xml:space="preserve"> </w:t>
      </w:r>
      <w:r w:rsidR="001937F4" w:rsidRPr="00181FCD">
        <w:t>lista</w:t>
      </w:r>
      <w:r w:rsidR="00F373A3" w:rsidRPr="00181FCD">
        <w:t xml:space="preserve"> </w:t>
      </w:r>
      <w:r w:rsidR="001937F4" w:rsidRPr="00181FCD">
        <w:t>de</w:t>
      </w:r>
      <w:r w:rsidR="00F373A3" w:rsidRPr="00181FCD">
        <w:t xml:space="preserve"> </w:t>
      </w:r>
      <w:r w:rsidR="001937F4" w:rsidRPr="00181FCD">
        <w:t>cuestiones</w:t>
      </w:r>
    </w:p>
    <w:p w:rsidR="001937F4" w:rsidRPr="00181FCD" w:rsidRDefault="001937F4" w:rsidP="00347B20">
      <w:pPr>
        <w:pStyle w:val="SingleTxtG"/>
        <w:suppressAutoHyphens/>
      </w:pPr>
      <w:r w:rsidRPr="00181FCD">
        <w:t>118.</w:t>
      </w:r>
      <w:r w:rsidRPr="00181FCD">
        <w:tab/>
        <w:t>Bulgaria</w:t>
      </w:r>
      <w:r w:rsidR="00F373A3" w:rsidRPr="00181FCD">
        <w:t xml:space="preserve"> </w:t>
      </w:r>
      <w:r w:rsidRPr="00181FCD">
        <w:t>es</w:t>
      </w:r>
      <w:r w:rsidR="00F373A3" w:rsidRPr="00181FCD">
        <w:t xml:space="preserve"> </w:t>
      </w:r>
      <w:r w:rsidRPr="00181FCD">
        <w:t>principalmente</w:t>
      </w:r>
      <w:r w:rsidR="00F373A3" w:rsidRPr="00181FCD">
        <w:t xml:space="preserve"> </w:t>
      </w:r>
      <w:r w:rsidRPr="00181FCD">
        <w:t>un</w:t>
      </w:r>
      <w:r w:rsidR="00F373A3" w:rsidRPr="00181FCD">
        <w:t xml:space="preserve"> </w:t>
      </w:r>
      <w:r w:rsidRPr="00181FCD">
        <w:t>país</w:t>
      </w:r>
      <w:r w:rsidR="00F373A3" w:rsidRPr="00181FCD">
        <w:t xml:space="preserve"> </w:t>
      </w:r>
      <w:r w:rsidRPr="00181FCD">
        <w:t>de</w:t>
      </w:r>
      <w:r w:rsidR="00F373A3" w:rsidRPr="00181FCD">
        <w:t xml:space="preserve"> </w:t>
      </w:r>
      <w:r w:rsidRPr="00181FCD">
        <w:t>tránsito</w:t>
      </w:r>
      <w:r w:rsidR="00F373A3" w:rsidRPr="00181FCD">
        <w:t xml:space="preserve"> </w:t>
      </w:r>
      <w:r w:rsidRPr="00181FCD">
        <w:t>de</w:t>
      </w:r>
      <w:r w:rsidR="00F373A3" w:rsidRPr="00181FCD">
        <w:t xml:space="preserve"> </w:t>
      </w:r>
      <w:r w:rsidRPr="00181FCD">
        <w:t>flujos</w:t>
      </w:r>
      <w:r w:rsidR="00F373A3" w:rsidRPr="00181FCD">
        <w:t xml:space="preserve"> </w:t>
      </w:r>
      <w:r w:rsidRPr="00181FCD">
        <w:t>migratorios</w:t>
      </w:r>
      <w:r w:rsidR="00F373A3" w:rsidRPr="00181FCD">
        <w:t xml:space="preserve"> </w:t>
      </w:r>
      <w:r w:rsidRPr="00181FCD">
        <w:t>mixtos.</w:t>
      </w:r>
      <w:r w:rsidR="00F373A3" w:rsidRPr="00181FCD">
        <w:t xml:space="preserve"> </w:t>
      </w:r>
      <w:r w:rsidRPr="00181FCD">
        <w:t>La</w:t>
      </w:r>
      <w:r w:rsidR="00F373A3" w:rsidRPr="00181FCD">
        <w:t xml:space="preserve"> </w:t>
      </w:r>
      <w:r w:rsidRPr="00181FCD">
        <w:t>mayoría</w:t>
      </w:r>
      <w:r w:rsidR="00F373A3" w:rsidRPr="00181FCD">
        <w:t xml:space="preserve"> </w:t>
      </w:r>
      <w:r w:rsidRPr="00181FCD">
        <w:t>de</w:t>
      </w:r>
      <w:r w:rsidR="00F373A3" w:rsidRPr="00181FCD">
        <w:t xml:space="preserve"> </w:t>
      </w:r>
      <w:r w:rsidRPr="00181FCD">
        <w:t>estas</w:t>
      </w:r>
      <w:r w:rsidR="00F373A3" w:rsidRPr="00181FCD">
        <w:t xml:space="preserve"> </w:t>
      </w:r>
      <w:r w:rsidRPr="00181FCD">
        <w:t>personas</w:t>
      </w:r>
      <w:r w:rsidR="00F373A3" w:rsidRPr="00181FCD">
        <w:t xml:space="preserve"> </w:t>
      </w:r>
      <w:r w:rsidRPr="00181FCD">
        <w:t>no</w:t>
      </w:r>
      <w:r w:rsidR="00F373A3" w:rsidRPr="00181FCD">
        <w:t xml:space="preserve"> </w:t>
      </w:r>
      <w:r w:rsidRPr="00181FCD">
        <w:t>desean</w:t>
      </w:r>
      <w:r w:rsidR="00F373A3" w:rsidRPr="00181FCD">
        <w:t xml:space="preserve"> </w:t>
      </w:r>
      <w:r w:rsidRPr="00181FCD">
        <w:t>permanecer</w:t>
      </w:r>
      <w:r w:rsidR="00F373A3" w:rsidRPr="00181FCD">
        <w:t xml:space="preserve"> </w:t>
      </w:r>
      <w:r w:rsidRPr="00181FCD">
        <w:t>en</w:t>
      </w:r>
      <w:r w:rsidR="00F373A3" w:rsidRPr="00181FCD">
        <w:t xml:space="preserve"> </w:t>
      </w:r>
      <w:r w:rsidRPr="00181FCD">
        <w:t>el</w:t>
      </w:r>
      <w:r w:rsidR="00F373A3" w:rsidRPr="00181FCD">
        <w:t xml:space="preserve"> </w:t>
      </w:r>
      <w:r w:rsidRPr="00181FCD">
        <w:t>país</w:t>
      </w:r>
      <w:r w:rsidR="00F373A3" w:rsidRPr="00181FCD">
        <w:t xml:space="preserve"> </w:t>
      </w:r>
      <w:r w:rsidRPr="00181FCD">
        <w:t>y</w:t>
      </w:r>
      <w:r w:rsidR="00F373A3" w:rsidRPr="00181FCD">
        <w:t xml:space="preserve"> </w:t>
      </w:r>
      <w:r w:rsidRPr="00181FCD">
        <w:t>no</w:t>
      </w:r>
      <w:r w:rsidR="00F373A3" w:rsidRPr="00181FCD">
        <w:t xml:space="preserve"> </w:t>
      </w:r>
      <w:r w:rsidRPr="00181FCD">
        <w:t>pueden</w:t>
      </w:r>
      <w:r w:rsidR="00F373A3" w:rsidRPr="00181FCD">
        <w:t xml:space="preserve"> </w:t>
      </w:r>
      <w:r w:rsidRPr="00181FCD">
        <w:t>ser</w:t>
      </w:r>
      <w:r w:rsidR="00F373A3" w:rsidRPr="00181FCD">
        <w:t xml:space="preserve"> </w:t>
      </w:r>
      <w:r w:rsidRPr="00181FCD">
        <w:t>obligados</w:t>
      </w:r>
      <w:r w:rsidR="00F373A3" w:rsidRPr="00181FCD">
        <w:t xml:space="preserve"> </w:t>
      </w:r>
      <w:r w:rsidRPr="00181FCD">
        <w:t>a</w:t>
      </w:r>
      <w:r w:rsidR="00F373A3" w:rsidRPr="00181FCD">
        <w:t xml:space="preserve"> </w:t>
      </w:r>
      <w:r w:rsidRPr="00181FCD">
        <w:t>hacerlo.</w:t>
      </w:r>
      <w:r w:rsidR="00F373A3" w:rsidRPr="00181FCD">
        <w:t xml:space="preserve"> </w:t>
      </w:r>
      <w:r w:rsidRPr="00181FCD">
        <w:t>Bulgaria</w:t>
      </w:r>
      <w:r w:rsidR="00F373A3" w:rsidRPr="00181FCD">
        <w:t xml:space="preserve"> </w:t>
      </w:r>
      <w:r w:rsidRPr="00181FCD">
        <w:t>se</w:t>
      </w:r>
      <w:r w:rsidR="00F373A3" w:rsidRPr="00181FCD">
        <w:t xml:space="preserve"> </w:t>
      </w:r>
      <w:r w:rsidRPr="00181FCD">
        <w:t>ha</w:t>
      </w:r>
      <w:r w:rsidR="00F373A3" w:rsidRPr="00181FCD">
        <w:t xml:space="preserve"> </w:t>
      </w:r>
      <w:r w:rsidRPr="00181FCD">
        <w:t>comprometido</w:t>
      </w:r>
      <w:r w:rsidR="00F373A3" w:rsidRPr="00181FCD">
        <w:t xml:space="preserve"> </w:t>
      </w:r>
      <w:r w:rsidRPr="00181FCD">
        <w:t>a</w:t>
      </w:r>
      <w:r w:rsidR="00F373A3" w:rsidRPr="00181FCD">
        <w:t xml:space="preserve"> </w:t>
      </w:r>
      <w:r w:rsidRPr="00181FCD">
        <w:t>integrar</w:t>
      </w:r>
      <w:r w:rsidR="00F373A3" w:rsidRPr="00181FCD">
        <w:t xml:space="preserve"> </w:t>
      </w:r>
      <w:r w:rsidRPr="00181FCD">
        <w:t>y</w:t>
      </w:r>
      <w:r w:rsidR="00F373A3" w:rsidRPr="00181FCD">
        <w:t xml:space="preserve"> </w:t>
      </w:r>
      <w:r w:rsidRPr="00181FCD">
        <w:t>apoyar</w:t>
      </w:r>
      <w:r w:rsidR="00F373A3" w:rsidRPr="00181FCD">
        <w:t xml:space="preserve"> </w:t>
      </w:r>
      <w:r w:rsidRPr="00181FCD">
        <w:t>a</w:t>
      </w:r>
      <w:r w:rsidR="00F373A3" w:rsidRPr="00181FCD">
        <w:t xml:space="preserve"> </w:t>
      </w:r>
      <w:r w:rsidRPr="00181FCD">
        <w:t>aquellos</w:t>
      </w:r>
      <w:r w:rsidR="00F373A3" w:rsidRPr="00181FCD">
        <w:t xml:space="preserve"> </w:t>
      </w:r>
      <w:r w:rsidRPr="00181FCD">
        <w:t>que</w:t>
      </w:r>
      <w:r w:rsidR="00F373A3" w:rsidRPr="00181FCD">
        <w:t xml:space="preserve"> </w:t>
      </w:r>
      <w:r w:rsidRPr="00181FCD">
        <w:t>expresan</w:t>
      </w:r>
      <w:r w:rsidR="00F373A3" w:rsidRPr="00181FCD">
        <w:t xml:space="preserve"> </w:t>
      </w:r>
      <w:r w:rsidRPr="00181FCD">
        <w:t>su</w:t>
      </w:r>
      <w:r w:rsidR="00F373A3" w:rsidRPr="00181FCD">
        <w:t xml:space="preserve"> </w:t>
      </w:r>
      <w:r w:rsidRPr="00181FCD">
        <w:t>voluntad</w:t>
      </w:r>
      <w:r w:rsidR="00F373A3" w:rsidRPr="00181FCD">
        <w:t xml:space="preserve"> </w:t>
      </w:r>
      <w:r w:rsidRPr="00181FCD">
        <w:t>de</w:t>
      </w:r>
      <w:r w:rsidR="00F373A3" w:rsidRPr="00181FCD">
        <w:t xml:space="preserve"> </w:t>
      </w:r>
      <w:r w:rsidRPr="00181FCD">
        <w:t>permanecer,</w:t>
      </w:r>
      <w:r w:rsidR="00F373A3" w:rsidRPr="00181FCD">
        <w:t xml:space="preserve"> </w:t>
      </w:r>
      <w:r w:rsidRPr="00181FCD">
        <w:t>al</w:t>
      </w:r>
      <w:r w:rsidR="00F373A3" w:rsidRPr="00181FCD">
        <w:t xml:space="preserve"> </w:t>
      </w:r>
      <w:r w:rsidRPr="00181FCD">
        <w:t>mismo</w:t>
      </w:r>
      <w:r w:rsidR="00F373A3" w:rsidRPr="00181FCD">
        <w:t xml:space="preserve"> </w:t>
      </w:r>
      <w:r w:rsidRPr="00181FCD">
        <w:t>tiempo</w:t>
      </w:r>
      <w:r w:rsidR="00F373A3" w:rsidRPr="00181FCD">
        <w:t xml:space="preserve"> </w:t>
      </w:r>
      <w:r w:rsidRPr="00181FCD">
        <w:t>que</w:t>
      </w:r>
      <w:r w:rsidR="00F373A3" w:rsidRPr="00181FCD">
        <w:t xml:space="preserve"> </w:t>
      </w:r>
      <w:r w:rsidRPr="00181FCD">
        <w:t>se</w:t>
      </w:r>
      <w:r w:rsidR="00F373A3" w:rsidRPr="00181FCD">
        <w:t xml:space="preserve"> </w:t>
      </w:r>
      <w:r w:rsidRPr="00181FCD">
        <w:t>adoptan</w:t>
      </w:r>
      <w:r w:rsidR="00F373A3" w:rsidRPr="00181FCD">
        <w:t xml:space="preserve"> </w:t>
      </w:r>
      <w:r w:rsidRPr="00181FCD">
        <w:t>las</w:t>
      </w:r>
      <w:r w:rsidR="00F373A3" w:rsidRPr="00181FCD">
        <w:t xml:space="preserve"> </w:t>
      </w:r>
      <w:r w:rsidRPr="00181FCD">
        <w:t>precauciones</w:t>
      </w:r>
      <w:r w:rsidR="00F373A3" w:rsidRPr="00181FCD">
        <w:t xml:space="preserve"> </w:t>
      </w:r>
      <w:r w:rsidRPr="00181FCD">
        <w:t>necesarias</w:t>
      </w:r>
      <w:r w:rsidR="00F373A3" w:rsidRPr="00181FCD">
        <w:t xml:space="preserve"> </w:t>
      </w:r>
      <w:r w:rsidRPr="00181FCD">
        <w:t>con</w:t>
      </w:r>
      <w:r w:rsidR="00F373A3" w:rsidRPr="00181FCD">
        <w:t xml:space="preserve"> </w:t>
      </w:r>
      <w:r w:rsidRPr="00181FCD">
        <w:t>relación</w:t>
      </w:r>
      <w:r w:rsidR="00F373A3" w:rsidRPr="00181FCD">
        <w:t xml:space="preserve"> </w:t>
      </w:r>
      <w:r w:rsidRPr="00181FCD">
        <w:t>a</w:t>
      </w:r>
      <w:r w:rsidR="00F373A3" w:rsidRPr="00181FCD">
        <w:t xml:space="preserve"> </w:t>
      </w:r>
      <w:r w:rsidRPr="00181FCD">
        <w:t>la</w:t>
      </w:r>
      <w:r w:rsidR="00F373A3" w:rsidRPr="00181FCD">
        <w:t xml:space="preserve"> </w:t>
      </w:r>
      <w:r w:rsidRPr="00181FCD">
        <w:t>seguridad</w:t>
      </w:r>
      <w:r w:rsidR="00F373A3" w:rsidRPr="00181FCD">
        <w:t xml:space="preserve"> </w:t>
      </w:r>
      <w:r w:rsidRPr="00181FCD">
        <w:t>nacional.</w:t>
      </w:r>
    </w:p>
    <w:p w:rsidR="001937F4" w:rsidRPr="00181FCD" w:rsidRDefault="001937F4" w:rsidP="00347B20">
      <w:pPr>
        <w:pStyle w:val="SingleTxtG"/>
        <w:suppressAutoHyphens/>
      </w:pPr>
      <w:r w:rsidRPr="00181FCD">
        <w:t>119.</w:t>
      </w:r>
      <w:r w:rsidRPr="00181FCD">
        <w:tab/>
        <w:t>Bulgaria,</w:t>
      </w:r>
      <w:r w:rsidR="00F373A3" w:rsidRPr="00181FCD">
        <w:t xml:space="preserve"> </w:t>
      </w:r>
      <w:r w:rsidRPr="00181FCD">
        <w:t>como</w:t>
      </w:r>
      <w:r w:rsidR="00F373A3" w:rsidRPr="00181FCD">
        <w:t xml:space="preserve"> </w:t>
      </w:r>
      <w:r w:rsidRPr="00181FCD">
        <w:t>miembro</w:t>
      </w:r>
      <w:r w:rsidR="00F373A3" w:rsidRPr="00181FCD">
        <w:t xml:space="preserve"> </w:t>
      </w:r>
      <w:r w:rsidRPr="00181FCD">
        <w:t>responsable</w:t>
      </w:r>
      <w:r w:rsidR="00F373A3" w:rsidRPr="00181FCD">
        <w:t xml:space="preserve"> </w:t>
      </w:r>
      <w:r w:rsidRPr="00181FCD">
        <w:t>de</w:t>
      </w:r>
      <w:r w:rsidR="00F373A3" w:rsidRPr="00181FCD">
        <w:t xml:space="preserve"> </w:t>
      </w:r>
      <w:r w:rsidRPr="00181FCD">
        <w:t>la</w:t>
      </w:r>
      <w:r w:rsidR="00F373A3" w:rsidRPr="00181FCD">
        <w:t xml:space="preserve"> </w:t>
      </w:r>
      <w:r w:rsidRPr="00181FCD">
        <w:t>comunidad</w:t>
      </w:r>
      <w:r w:rsidR="00F373A3" w:rsidRPr="00181FCD">
        <w:t xml:space="preserve"> </w:t>
      </w:r>
      <w:r w:rsidRPr="00181FCD">
        <w:t>internacional,</w:t>
      </w:r>
      <w:r w:rsidR="00F373A3" w:rsidRPr="00181FCD">
        <w:t xml:space="preserve"> </w:t>
      </w:r>
      <w:r w:rsidRPr="00181FCD">
        <w:t>Estado</w:t>
      </w:r>
      <w:r w:rsidR="00F373A3" w:rsidRPr="00181FCD">
        <w:t xml:space="preserve"> </w:t>
      </w:r>
      <w:r w:rsidRPr="00181FCD">
        <w:t>miembro</w:t>
      </w:r>
      <w:r w:rsidR="00F373A3" w:rsidRPr="00181FCD">
        <w:t xml:space="preserve"> </w:t>
      </w:r>
      <w:r w:rsidRPr="00181FCD">
        <w:t>de</w:t>
      </w:r>
      <w:r w:rsidR="00F373A3" w:rsidRPr="00181FCD">
        <w:t xml:space="preserve"> </w:t>
      </w:r>
      <w:r w:rsidRPr="00181FCD">
        <w:t>la</w:t>
      </w:r>
      <w:r w:rsidR="00F373A3" w:rsidRPr="00181FCD">
        <w:t xml:space="preserve"> </w:t>
      </w:r>
      <w:r w:rsidRPr="00181FCD">
        <w:t>Unión</w:t>
      </w:r>
      <w:r w:rsidR="00F373A3" w:rsidRPr="00181FCD">
        <w:t xml:space="preserve"> </w:t>
      </w:r>
      <w:r w:rsidRPr="00181FCD">
        <w:t>Europea</w:t>
      </w:r>
      <w:r w:rsidR="00F373A3" w:rsidRPr="00181FCD">
        <w:t xml:space="preserve"> </w:t>
      </w:r>
      <w:r w:rsidRPr="00181FCD">
        <w:t>y</w:t>
      </w:r>
      <w:r w:rsidR="00F373A3" w:rsidRPr="00181FCD">
        <w:t xml:space="preserve"> </w:t>
      </w:r>
      <w:r w:rsidRPr="00181FCD">
        <w:t>Estado</w:t>
      </w:r>
      <w:r w:rsidR="00F373A3" w:rsidRPr="00181FCD">
        <w:t xml:space="preserve"> </w:t>
      </w:r>
      <w:r w:rsidRPr="00181FCD">
        <w:t>parte</w:t>
      </w:r>
      <w:r w:rsidR="00F373A3" w:rsidRPr="00181FCD">
        <w:t xml:space="preserve"> </w:t>
      </w:r>
      <w:r w:rsidRPr="00181FCD">
        <w:t>de</w:t>
      </w:r>
      <w:r w:rsidR="00F373A3" w:rsidRPr="00181FCD">
        <w:t xml:space="preserve"> </w:t>
      </w:r>
      <w:r w:rsidRPr="00181FCD">
        <w:t>la</w:t>
      </w:r>
      <w:r w:rsidR="00F373A3" w:rsidRPr="00181FCD">
        <w:t xml:space="preserve"> </w:t>
      </w:r>
      <w:r w:rsidRPr="00181FCD">
        <w:t>Convención</w:t>
      </w:r>
      <w:r w:rsidR="00F373A3" w:rsidRPr="00181FCD">
        <w:t xml:space="preserve"> </w:t>
      </w:r>
      <w:r w:rsidRPr="00181FCD">
        <w:t>sobre</w:t>
      </w:r>
      <w:r w:rsidR="00F373A3" w:rsidRPr="00181FCD">
        <w:t xml:space="preserve"> </w:t>
      </w:r>
      <w:r w:rsidRPr="00181FCD">
        <w:t>el</w:t>
      </w:r>
      <w:r w:rsidR="00F373A3" w:rsidRPr="00181FCD">
        <w:t xml:space="preserve"> </w:t>
      </w:r>
      <w:r w:rsidRPr="00181FCD">
        <w:t>Estatuto</w:t>
      </w:r>
      <w:r w:rsidR="00F373A3" w:rsidRPr="00181FCD">
        <w:t xml:space="preserve"> </w:t>
      </w:r>
      <w:r w:rsidRPr="00181FCD">
        <w:t>de</w:t>
      </w:r>
      <w:r w:rsidR="00F373A3" w:rsidRPr="00181FCD">
        <w:t xml:space="preserve"> </w:t>
      </w:r>
      <w:r w:rsidRPr="00181FCD">
        <w:t>los</w:t>
      </w:r>
      <w:r w:rsidR="00F373A3" w:rsidRPr="00181FCD">
        <w:t xml:space="preserve"> </w:t>
      </w:r>
      <w:r w:rsidRPr="00181FCD">
        <w:t>Refugiados,</w:t>
      </w:r>
      <w:r w:rsidR="00F373A3" w:rsidRPr="00181FCD">
        <w:t xml:space="preserve"> </w:t>
      </w:r>
      <w:r w:rsidRPr="00181FCD">
        <w:t>de</w:t>
      </w:r>
      <w:r w:rsidR="00F373A3" w:rsidRPr="00181FCD">
        <w:t xml:space="preserve"> </w:t>
      </w:r>
      <w:r w:rsidRPr="00181FCD">
        <w:t>1951</w:t>
      </w:r>
      <w:r w:rsidR="00F373A3" w:rsidRPr="00181FCD">
        <w:t xml:space="preserve"> </w:t>
      </w:r>
      <w:r w:rsidRPr="00181FCD">
        <w:t>y</w:t>
      </w:r>
      <w:r w:rsidR="00F373A3" w:rsidRPr="00181FCD">
        <w:t xml:space="preserve"> </w:t>
      </w:r>
      <w:r w:rsidRPr="00181FCD">
        <w:t>su</w:t>
      </w:r>
      <w:r w:rsidR="00F373A3" w:rsidRPr="00181FCD">
        <w:t xml:space="preserve"> </w:t>
      </w:r>
      <w:r w:rsidRPr="00181FCD">
        <w:t>Protocolo</w:t>
      </w:r>
      <w:r w:rsidR="00F373A3" w:rsidRPr="00181FCD">
        <w:t xml:space="preserve"> </w:t>
      </w:r>
      <w:r w:rsidRPr="00181FCD">
        <w:t>de</w:t>
      </w:r>
      <w:r w:rsidR="00F373A3" w:rsidRPr="00181FCD">
        <w:t xml:space="preserve"> </w:t>
      </w:r>
      <w:r w:rsidRPr="00181FCD">
        <w:t>1967,</w:t>
      </w:r>
      <w:r w:rsidR="00F373A3" w:rsidRPr="00181FCD">
        <w:t xml:space="preserve"> </w:t>
      </w:r>
      <w:r w:rsidRPr="00181FCD">
        <w:t>cumple</w:t>
      </w:r>
      <w:r w:rsidR="00F373A3" w:rsidRPr="00181FCD">
        <w:t xml:space="preserve"> </w:t>
      </w:r>
      <w:r w:rsidRPr="00181FCD">
        <w:t>estrictamente</w:t>
      </w:r>
      <w:r w:rsidR="00F373A3" w:rsidRPr="00181FCD">
        <w:t xml:space="preserve"> </w:t>
      </w:r>
      <w:r w:rsidRPr="00181FCD">
        <w:t>sus</w:t>
      </w:r>
      <w:r w:rsidR="00F373A3" w:rsidRPr="00181FCD">
        <w:t xml:space="preserve"> </w:t>
      </w:r>
      <w:r w:rsidRPr="00181FCD">
        <w:t>compromisos</w:t>
      </w:r>
      <w:r w:rsidR="00F373A3" w:rsidRPr="00181FCD">
        <w:t xml:space="preserve"> </w:t>
      </w:r>
      <w:r w:rsidRPr="00181FCD">
        <w:t>hacia</w:t>
      </w:r>
      <w:r w:rsidR="00F373A3" w:rsidRPr="00181FCD">
        <w:t xml:space="preserve"> </w:t>
      </w:r>
      <w:r w:rsidRPr="00181FCD">
        <w:t>los</w:t>
      </w:r>
      <w:r w:rsidR="00F373A3" w:rsidRPr="00181FCD">
        <w:t xml:space="preserve"> </w:t>
      </w:r>
      <w:r w:rsidRPr="00181FCD">
        <w:t>solicitantes</w:t>
      </w:r>
      <w:r w:rsidR="00F373A3" w:rsidRPr="00181FCD">
        <w:t xml:space="preserve"> </w:t>
      </w:r>
      <w:r w:rsidRPr="00181FCD">
        <w:t>de</w:t>
      </w:r>
      <w:r w:rsidR="00F373A3" w:rsidRPr="00181FCD">
        <w:t xml:space="preserve"> </w:t>
      </w:r>
      <w:r w:rsidRPr="00181FCD">
        <w:t>asilo.</w:t>
      </w:r>
      <w:r w:rsidR="00F373A3" w:rsidRPr="00181FCD">
        <w:t xml:space="preserve"> </w:t>
      </w:r>
      <w:r w:rsidRPr="00181FCD">
        <w:t>Presta</w:t>
      </w:r>
      <w:r w:rsidR="00F373A3" w:rsidRPr="00181FCD">
        <w:t xml:space="preserve"> </w:t>
      </w:r>
      <w:r w:rsidRPr="00181FCD">
        <w:t>especial</w:t>
      </w:r>
      <w:r w:rsidR="00F373A3" w:rsidRPr="00181FCD">
        <w:t xml:space="preserve"> </w:t>
      </w:r>
      <w:r w:rsidRPr="00181FCD">
        <w:t>atención</w:t>
      </w:r>
      <w:r w:rsidR="00F373A3" w:rsidRPr="00181FCD">
        <w:t xml:space="preserve"> </w:t>
      </w:r>
      <w:r w:rsidRPr="00181FCD">
        <w:t>a</w:t>
      </w:r>
      <w:r w:rsidR="00F373A3" w:rsidRPr="00181FCD">
        <w:t xml:space="preserve"> </w:t>
      </w:r>
      <w:r w:rsidRPr="00181FCD">
        <w:t>los</w:t>
      </w:r>
      <w:r w:rsidR="00F373A3" w:rsidRPr="00181FCD">
        <w:t xml:space="preserve"> </w:t>
      </w:r>
      <w:r w:rsidRPr="00181FCD">
        <w:t>principios</w:t>
      </w:r>
      <w:r w:rsidR="00F373A3" w:rsidRPr="00181FCD">
        <w:t xml:space="preserve"> </w:t>
      </w:r>
      <w:r w:rsidRPr="00181FCD">
        <w:t>fundamentales</w:t>
      </w:r>
      <w:r w:rsidR="00F373A3" w:rsidRPr="00181FCD">
        <w:t xml:space="preserve"> </w:t>
      </w:r>
      <w:r w:rsidRPr="00181FCD">
        <w:t>de</w:t>
      </w:r>
      <w:r w:rsidR="00F373A3" w:rsidRPr="00181FCD">
        <w:t xml:space="preserve"> </w:t>
      </w:r>
      <w:r w:rsidRPr="00181FCD">
        <w:t>la</w:t>
      </w:r>
      <w:r w:rsidR="00F373A3" w:rsidRPr="00181FCD">
        <w:t xml:space="preserve"> </w:t>
      </w:r>
      <w:r w:rsidRPr="00181FCD">
        <w:t>Convención,</w:t>
      </w:r>
      <w:r w:rsidR="00F373A3" w:rsidRPr="00181FCD">
        <w:t xml:space="preserve"> </w:t>
      </w:r>
      <w:r w:rsidRPr="00181FCD">
        <w:t>a</w:t>
      </w:r>
      <w:r w:rsidR="00F373A3" w:rsidRPr="00181FCD">
        <w:t xml:space="preserve"> </w:t>
      </w:r>
      <w:r w:rsidRPr="00181FCD">
        <w:t>saber,</w:t>
      </w:r>
      <w:r w:rsidR="00F373A3" w:rsidRPr="00181FCD">
        <w:t xml:space="preserve"> </w:t>
      </w:r>
      <w:r w:rsidRPr="00181FCD">
        <w:t>de</w:t>
      </w:r>
      <w:r w:rsidR="00F373A3" w:rsidRPr="00181FCD">
        <w:t xml:space="preserve"> </w:t>
      </w:r>
      <w:r w:rsidRPr="00181FCD">
        <w:t>no</w:t>
      </w:r>
      <w:r w:rsidR="00F373A3" w:rsidRPr="00181FCD">
        <w:t xml:space="preserve"> </w:t>
      </w:r>
      <w:r w:rsidRPr="00181FCD">
        <w:t>discriminación,</w:t>
      </w:r>
      <w:r w:rsidR="00F373A3" w:rsidRPr="00181FCD">
        <w:t xml:space="preserve"> </w:t>
      </w:r>
      <w:r w:rsidRPr="00181FCD">
        <w:t>no</w:t>
      </w:r>
      <w:r w:rsidR="00F373A3" w:rsidRPr="00181FCD">
        <w:t xml:space="preserve"> </w:t>
      </w:r>
      <w:r w:rsidRPr="00181FCD">
        <w:t>castigo</w:t>
      </w:r>
      <w:r w:rsidR="00F373A3" w:rsidRPr="00181FCD">
        <w:t xml:space="preserve"> </w:t>
      </w:r>
      <w:r w:rsidRPr="00181FCD">
        <w:t>por</w:t>
      </w:r>
      <w:r w:rsidR="00F373A3" w:rsidRPr="00181FCD">
        <w:t xml:space="preserve"> </w:t>
      </w:r>
      <w:r w:rsidRPr="00181FCD">
        <w:t>causa</w:t>
      </w:r>
      <w:r w:rsidR="00F373A3" w:rsidRPr="00181FCD">
        <w:t xml:space="preserve"> </w:t>
      </w:r>
      <w:r w:rsidRPr="00181FCD">
        <w:t>de</w:t>
      </w:r>
      <w:r w:rsidR="00F373A3" w:rsidRPr="00181FCD">
        <w:t xml:space="preserve"> </w:t>
      </w:r>
      <w:r w:rsidRPr="00181FCD">
        <w:t>la</w:t>
      </w:r>
      <w:r w:rsidR="00F373A3" w:rsidRPr="00181FCD">
        <w:t xml:space="preserve"> </w:t>
      </w:r>
      <w:r w:rsidRPr="00181FCD">
        <w:t>entrada</w:t>
      </w:r>
      <w:r w:rsidR="00F373A3" w:rsidRPr="00181FCD">
        <w:t xml:space="preserve"> </w:t>
      </w:r>
      <w:r w:rsidRPr="00181FCD">
        <w:t>o</w:t>
      </w:r>
      <w:r w:rsidR="00F373A3" w:rsidRPr="00181FCD">
        <w:t xml:space="preserve"> </w:t>
      </w:r>
      <w:r w:rsidRPr="00181FCD">
        <w:t>permanencia</w:t>
      </w:r>
      <w:r w:rsidR="00F373A3" w:rsidRPr="00181FCD">
        <w:t xml:space="preserve"> </w:t>
      </w:r>
      <w:r w:rsidRPr="00181FCD">
        <w:t>ilegal,</w:t>
      </w:r>
      <w:r w:rsidR="00F373A3" w:rsidRPr="00181FCD">
        <w:t xml:space="preserve"> </w:t>
      </w:r>
      <w:r w:rsidRPr="00181FCD">
        <w:t>y</w:t>
      </w:r>
      <w:r w:rsidR="00F373A3" w:rsidRPr="00181FCD">
        <w:t xml:space="preserve"> </w:t>
      </w:r>
      <w:r w:rsidRPr="00181FCD">
        <w:t>prohibición</w:t>
      </w:r>
      <w:r w:rsidR="00F373A3" w:rsidRPr="00181FCD">
        <w:t xml:space="preserve"> </w:t>
      </w:r>
      <w:r w:rsidRPr="00181FCD">
        <w:t>de</w:t>
      </w:r>
      <w:r w:rsidR="00F373A3" w:rsidRPr="00181FCD">
        <w:t xml:space="preserve"> </w:t>
      </w:r>
      <w:r w:rsidRPr="00181FCD">
        <w:t>expulsión</w:t>
      </w:r>
      <w:r w:rsidR="00F373A3" w:rsidRPr="00181FCD">
        <w:t xml:space="preserve"> </w:t>
      </w:r>
      <w:r w:rsidRPr="00181FCD">
        <w:t>y</w:t>
      </w:r>
      <w:r w:rsidR="00F373A3" w:rsidRPr="00181FCD">
        <w:t xml:space="preserve"> </w:t>
      </w:r>
      <w:r w:rsidRPr="00181FCD">
        <w:t>de</w:t>
      </w:r>
      <w:r w:rsidR="00F373A3" w:rsidRPr="00181FCD">
        <w:t xml:space="preserve"> </w:t>
      </w:r>
      <w:r w:rsidRPr="00181FCD">
        <w:t>retorno</w:t>
      </w:r>
      <w:r w:rsidR="00F373A3" w:rsidRPr="00181FCD">
        <w:t xml:space="preserve"> </w:t>
      </w:r>
      <w:r w:rsidRPr="00181FCD">
        <w:t>(</w:t>
      </w:r>
      <w:r w:rsidR="00F373A3" w:rsidRPr="00181FCD">
        <w:t>"</w:t>
      </w:r>
      <w:r w:rsidRPr="00181FCD">
        <w:t>no</w:t>
      </w:r>
      <w:r w:rsidR="00F373A3" w:rsidRPr="00181FCD">
        <w:t xml:space="preserve"> </w:t>
      </w:r>
      <w:r w:rsidRPr="00181FCD">
        <w:t>devolución</w:t>
      </w:r>
      <w:r w:rsidR="00F373A3" w:rsidRPr="00181FCD">
        <w:t>"</w:t>
      </w:r>
      <w:r w:rsidRPr="00181FCD">
        <w:t>).</w:t>
      </w:r>
      <w:r w:rsidR="00F373A3" w:rsidRPr="00181FCD">
        <w:t xml:space="preserve"> </w:t>
      </w:r>
      <w:r w:rsidRPr="00181FCD">
        <w:t>Las</w:t>
      </w:r>
      <w:r w:rsidR="00F373A3" w:rsidRPr="00181FCD">
        <w:t xml:space="preserve"> </w:t>
      </w:r>
      <w:r w:rsidRPr="00181FCD">
        <w:t>autoridades</w:t>
      </w:r>
      <w:r w:rsidR="00F373A3" w:rsidRPr="00181FCD">
        <w:t xml:space="preserve"> </w:t>
      </w:r>
      <w:r w:rsidRPr="00181FCD">
        <w:t>competentes</w:t>
      </w:r>
      <w:r w:rsidR="00F373A3" w:rsidRPr="00181FCD">
        <w:t xml:space="preserve"> </w:t>
      </w:r>
      <w:r w:rsidRPr="00181FCD">
        <w:t>del</w:t>
      </w:r>
      <w:r w:rsidR="00F373A3" w:rsidRPr="00181FCD">
        <w:t xml:space="preserve"> </w:t>
      </w:r>
      <w:r w:rsidRPr="00181FCD">
        <w:t>Ministerio</w:t>
      </w:r>
      <w:r w:rsidR="00F373A3" w:rsidRPr="00181FCD">
        <w:t xml:space="preserve"> </w:t>
      </w:r>
      <w:r w:rsidRPr="00181FCD">
        <w:t>del</w:t>
      </w:r>
      <w:r w:rsidR="00F373A3" w:rsidRPr="00181FCD">
        <w:t xml:space="preserve"> </w:t>
      </w:r>
      <w:r w:rsidRPr="00181FCD">
        <w:t>Interior</w:t>
      </w:r>
      <w:r w:rsidR="00F373A3" w:rsidRPr="00181FCD">
        <w:t xml:space="preserve"> </w:t>
      </w:r>
      <w:r w:rsidRPr="00181FCD">
        <w:t>observan</w:t>
      </w:r>
      <w:r w:rsidR="00F373A3" w:rsidRPr="00181FCD">
        <w:t xml:space="preserve"> </w:t>
      </w:r>
      <w:r w:rsidRPr="00181FCD">
        <w:t>estrictamente</w:t>
      </w:r>
      <w:r w:rsidR="00F373A3" w:rsidRPr="00181FCD">
        <w:t xml:space="preserve"> </w:t>
      </w:r>
      <w:r w:rsidRPr="00181FCD">
        <w:t>el</w:t>
      </w:r>
      <w:r w:rsidR="00F373A3" w:rsidRPr="00181FCD">
        <w:t xml:space="preserve"> </w:t>
      </w:r>
      <w:r w:rsidRPr="00181FCD">
        <w:t>principio</w:t>
      </w:r>
      <w:r w:rsidR="00F373A3" w:rsidRPr="00181FCD">
        <w:t xml:space="preserve"> </w:t>
      </w:r>
      <w:r w:rsidRPr="00181FCD">
        <w:t>de</w:t>
      </w:r>
      <w:r w:rsidR="00F373A3" w:rsidRPr="00181FCD">
        <w:t xml:space="preserve"> </w:t>
      </w:r>
      <w:r w:rsidRPr="00181FCD">
        <w:t>no</w:t>
      </w:r>
      <w:r w:rsidR="00F373A3" w:rsidRPr="00181FCD">
        <w:t xml:space="preserve"> </w:t>
      </w:r>
      <w:r w:rsidRPr="00181FCD">
        <w:t>devolución.</w:t>
      </w:r>
    </w:p>
    <w:p w:rsidR="001937F4" w:rsidRPr="00181FCD" w:rsidRDefault="001937F4" w:rsidP="00347B20">
      <w:pPr>
        <w:pStyle w:val="SingleTxtG"/>
        <w:suppressAutoHyphens/>
      </w:pPr>
      <w:r w:rsidRPr="00181FCD">
        <w:t>120.</w:t>
      </w:r>
      <w:r w:rsidRPr="00181FCD">
        <w:tab/>
        <w:t>El</w:t>
      </w:r>
      <w:r w:rsidR="00F373A3" w:rsidRPr="00181FCD">
        <w:t xml:space="preserve"> </w:t>
      </w:r>
      <w:r w:rsidRPr="00181FCD">
        <w:t>gobierno</w:t>
      </w:r>
      <w:r w:rsidR="00F373A3" w:rsidRPr="00181FCD">
        <w:t xml:space="preserve"> </w:t>
      </w:r>
      <w:r w:rsidRPr="00181FCD">
        <w:t>de</w:t>
      </w:r>
      <w:r w:rsidR="00F373A3" w:rsidRPr="00181FCD">
        <w:t xml:space="preserve"> </w:t>
      </w:r>
      <w:r w:rsidRPr="00181FCD">
        <w:t>Bulgaria</w:t>
      </w:r>
      <w:r w:rsidR="00F373A3" w:rsidRPr="00181FCD">
        <w:t xml:space="preserve"> </w:t>
      </w:r>
      <w:r w:rsidRPr="00181FCD">
        <w:t>aplica</w:t>
      </w:r>
      <w:r w:rsidR="00F373A3" w:rsidRPr="00181FCD">
        <w:t xml:space="preserve"> </w:t>
      </w:r>
      <w:r w:rsidRPr="00181FCD">
        <w:t>una</w:t>
      </w:r>
      <w:r w:rsidR="00F373A3" w:rsidRPr="00181FCD">
        <w:t xml:space="preserve"> </w:t>
      </w:r>
      <w:r w:rsidRPr="00181FCD">
        <w:t>política</w:t>
      </w:r>
      <w:r w:rsidR="00F373A3" w:rsidRPr="00181FCD">
        <w:t xml:space="preserve"> </w:t>
      </w:r>
      <w:r w:rsidRPr="00181FCD">
        <w:t>abierta</w:t>
      </w:r>
      <w:r w:rsidR="00F373A3" w:rsidRPr="00181FCD">
        <w:t xml:space="preserve"> </w:t>
      </w:r>
      <w:r w:rsidRPr="00181FCD">
        <w:t>y</w:t>
      </w:r>
      <w:r w:rsidR="00F373A3" w:rsidRPr="00181FCD">
        <w:t xml:space="preserve"> </w:t>
      </w:r>
      <w:r w:rsidRPr="00181FCD">
        <w:t>transparente</w:t>
      </w:r>
      <w:r w:rsidR="00F373A3" w:rsidRPr="00181FCD">
        <w:t xml:space="preserve"> </w:t>
      </w:r>
      <w:r w:rsidRPr="00181FCD">
        <w:t>y</w:t>
      </w:r>
      <w:r w:rsidR="00F373A3" w:rsidRPr="00181FCD">
        <w:t xml:space="preserve"> </w:t>
      </w:r>
      <w:r w:rsidRPr="00181FCD">
        <w:t>un</w:t>
      </w:r>
      <w:r w:rsidR="00F373A3" w:rsidRPr="00181FCD">
        <w:t xml:space="preserve"> </w:t>
      </w:r>
      <w:r w:rsidRPr="00181FCD">
        <w:t>enfoque</w:t>
      </w:r>
      <w:r w:rsidR="00F373A3" w:rsidRPr="00181FCD">
        <w:t xml:space="preserve"> </w:t>
      </w:r>
      <w:r w:rsidRPr="00181FCD">
        <w:t>complejo</w:t>
      </w:r>
      <w:r w:rsidR="00F373A3" w:rsidRPr="00181FCD">
        <w:t xml:space="preserve"> </w:t>
      </w:r>
      <w:r w:rsidRPr="00181FCD">
        <w:t>y</w:t>
      </w:r>
      <w:r w:rsidR="00F373A3" w:rsidRPr="00181FCD">
        <w:t xml:space="preserve"> </w:t>
      </w:r>
      <w:r w:rsidRPr="00181FCD">
        <w:t>equilibrado</w:t>
      </w:r>
      <w:r w:rsidR="00F373A3" w:rsidRPr="00181FCD">
        <w:t xml:space="preserve"> </w:t>
      </w:r>
      <w:r w:rsidRPr="00181FCD">
        <w:t>para</w:t>
      </w:r>
      <w:r w:rsidR="00F373A3" w:rsidRPr="00181FCD">
        <w:t xml:space="preserve"> </w:t>
      </w:r>
      <w:r w:rsidRPr="00181FCD">
        <w:t>hacer</w:t>
      </w:r>
      <w:r w:rsidR="00F373A3" w:rsidRPr="00181FCD">
        <w:t xml:space="preserve"> </w:t>
      </w:r>
      <w:r w:rsidRPr="00181FCD">
        <w:t>frente</w:t>
      </w:r>
      <w:r w:rsidR="00F373A3" w:rsidRPr="00181FCD">
        <w:t xml:space="preserve"> </w:t>
      </w:r>
      <w:r w:rsidRPr="00181FCD">
        <w:t>a</w:t>
      </w:r>
      <w:r w:rsidR="00F373A3" w:rsidRPr="00181FCD">
        <w:t xml:space="preserve"> </w:t>
      </w:r>
      <w:r w:rsidRPr="00181FCD">
        <w:t>esa</w:t>
      </w:r>
      <w:r w:rsidR="00F373A3" w:rsidRPr="00181FCD">
        <w:t xml:space="preserve"> </w:t>
      </w:r>
      <w:r w:rsidRPr="00181FCD">
        <w:t>situación</w:t>
      </w:r>
      <w:r w:rsidR="00F373A3" w:rsidRPr="00181FCD">
        <w:t xml:space="preserve"> </w:t>
      </w:r>
      <w:r w:rsidRPr="00181FCD">
        <w:t>difícil.</w:t>
      </w:r>
      <w:r w:rsidR="00F373A3" w:rsidRPr="00181FCD">
        <w:t xml:space="preserve"> </w:t>
      </w:r>
      <w:r w:rsidRPr="00181FCD">
        <w:t>Todos</w:t>
      </w:r>
      <w:r w:rsidR="00F373A3" w:rsidRPr="00181FCD">
        <w:t xml:space="preserve"> </w:t>
      </w:r>
      <w:r w:rsidRPr="00181FCD">
        <w:t>los</w:t>
      </w:r>
      <w:r w:rsidR="00F373A3" w:rsidRPr="00181FCD">
        <w:t xml:space="preserve"> </w:t>
      </w:r>
      <w:r w:rsidRPr="00181FCD">
        <w:t>pasos</w:t>
      </w:r>
      <w:r w:rsidR="00F373A3" w:rsidRPr="00181FCD">
        <w:t xml:space="preserve"> </w:t>
      </w:r>
      <w:r w:rsidRPr="00181FCD">
        <w:t>fronterizos</w:t>
      </w:r>
      <w:r w:rsidR="00F373A3" w:rsidRPr="00181FCD">
        <w:t xml:space="preserve"> </w:t>
      </w:r>
      <w:r w:rsidRPr="00181FCD">
        <w:t>están</w:t>
      </w:r>
      <w:r w:rsidR="00F373A3" w:rsidRPr="00181FCD">
        <w:t xml:space="preserve"> </w:t>
      </w:r>
      <w:r w:rsidRPr="00181FCD">
        <w:t>abiertos</w:t>
      </w:r>
      <w:r w:rsidR="00F373A3" w:rsidRPr="00181FCD">
        <w:t xml:space="preserve"> </w:t>
      </w:r>
      <w:r w:rsidRPr="00181FCD">
        <w:t>y</w:t>
      </w:r>
      <w:r w:rsidR="00F373A3" w:rsidRPr="00181FCD">
        <w:t xml:space="preserve"> </w:t>
      </w:r>
      <w:r w:rsidRPr="00181FCD">
        <w:t>accesibles</w:t>
      </w:r>
      <w:r w:rsidR="00F373A3" w:rsidRPr="00181FCD">
        <w:t xml:space="preserve"> </w:t>
      </w:r>
      <w:r w:rsidRPr="00181FCD">
        <w:t>las</w:t>
      </w:r>
      <w:r w:rsidR="00F373A3" w:rsidRPr="00181FCD">
        <w:t xml:space="preserve"> </w:t>
      </w:r>
      <w:r w:rsidRPr="00181FCD">
        <w:t>24</w:t>
      </w:r>
      <w:r w:rsidR="00F373A3" w:rsidRPr="00181FCD">
        <w:t xml:space="preserve"> </w:t>
      </w:r>
      <w:r w:rsidRPr="00181FCD">
        <w:t>horas</w:t>
      </w:r>
      <w:r w:rsidR="00F373A3" w:rsidRPr="00181FCD">
        <w:t xml:space="preserve"> </w:t>
      </w:r>
      <w:r w:rsidRPr="00181FCD">
        <w:t>del</w:t>
      </w:r>
      <w:r w:rsidR="00F373A3" w:rsidRPr="00181FCD">
        <w:t xml:space="preserve"> </w:t>
      </w:r>
      <w:r w:rsidRPr="00181FCD">
        <w:t>día</w:t>
      </w:r>
      <w:r w:rsidR="00F373A3" w:rsidRPr="00181FCD">
        <w:t xml:space="preserve"> </w:t>
      </w:r>
      <w:r w:rsidRPr="00181FCD">
        <w:t>y</w:t>
      </w:r>
      <w:r w:rsidR="00F373A3" w:rsidRPr="00181FCD">
        <w:t xml:space="preserve"> </w:t>
      </w:r>
      <w:r w:rsidRPr="00181FCD">
        <w:t>los</w:t>
      </w:r>
      <w:r w:rsidR="00F373A3" w:rsidRPr="00181FCD">
        <w:t xml:space="preserve"> </w:t>
      </w:r>
      <w:r w:rsidRPr="00181FCD">
        <w:t>7</w:t>
      </w:r>
      <w:r w:rsidR="00F373A3" w:rsidRPr="00181FCD">
        <w:t xml:space="preserve"> </w:t>
      </w:r>
      <w:r w:rsidRPr="00181FCD">
        <w:t>días</w:t>
      </w:r>
      <w:r w:rsidR="00F373A3" w:rsidRPr="00181FCD">
        <w:t xml:space="preserve"> </w:t>
      </w:r>
      <w:r w:rsidRPr="00181FCD">
        <w:t>de</w:t>
      </w:r>
      <w:r w:rsidR="00F373A3" w:rsidRPr="00181FCD">
        <w:t xml:space="preserve"> </w:t>
      </w:r>
      <w:r w:rsidRPr="00181FCD">
        <w:t>la</w:t>
      </w:r>
      <w:r w:rsidR="00F373A3" w:rsidRPr="00181FCD">
        <w:t xml:space="preserve"> </w:t>
      </w:r>
      <w:r w:rsidRPr="00181FCD">
        <w:t>semana.</w:t>
      </w:r>
      <w:r w:rsidR="00F373A3" w:rsidRPr="00181FCD">
        <w:t xml:space="preserve"> </w:t>
      </w:r>
      <w:r w:rsidRPr="00181FCD">
        <w:t>El</w:t>
      </w:r>
      <w:r w:rsidR="00F373A3" w:rsidRPr="00181FCD">
        <w:t xml:space="preserve"> </w:t>
      </w:r>
      <w:r w:rsidRPr="00181FCD">
        <w:t>control</w:t>
      </w:r>
      <w:r w:rsidR="00F373A3" w:rsidRPr="00181FCD">
        <w:t xml:space="preserve"> </w:t>
      </w:r>
      <w:r w:rsidRPr="00181FCD">
        <w:t>de</w:t>
      </w:r>
      <w:r w:rsidR="00F373A3" w:rsidRPr="00181FCD">
        <w:t xml:space="preserve"> </w:t>
      </w:r>
      <w:r w:rsidRPr="00181FCD">
        <w:t>las</w:t>
      </w:r>
      <w:r w:rsidR="00F373A3" w:rsidRPr="00181FCD">
        <w:t xml:space="preserve"> </w:t>
      </w:r>
      <w:r w:rsidRPr="00181FCD">
        <w:t>fronteras</w:t>
      </w:r>
      <w:r w:rsidR="00F373A3" w:rsidRPr="00181FCD">
        <w:t xml:space="preserve"> </w:t>
      </w:r>
      <w:r w:rsidRPr="00181FCD">
        <w:t>se</w:t>
      </w:r>
      <w:r w:rsidR="00F373A3" w:rsidRPr="00181FCD">
        <w:t xml:space="preserve"> </w:t>
      </w:r>
      <w:r w:rsidRPr="00181FCD">
        <w:t>ha</w:t>
      </w:r>
      <w:r w:rsidR="00F373A3" w:rsidRPr="00181FCD">
        <w:t xml:space="preserve"> </w:t>
      </w:r>
      <w:r w:rsidRPr="00181FCD">
        <w:t>reforzado,</w:t>
      </w:r>
      <w:r w:rsidR="00F373A3" w:rsidRPr="00181FCD">
        <w:t xml:space="preserve"> </w:t>
      </w:r>
      <w:r w:rsidRPr="00181FCD">
        <w:t>entre</w:t>
      </w:r>
      <w:r w:rsidR="00F373A3" w:rsidRPr="00181FCD">
        <w:t xml:space="preserve"> </w:t>
      </w:r>
      <w:r w:rsidRPr="00181FCD">
        <w:t>otras</w:t>
      </w:r>
      <w:r w:rsidR="00F373A3" w:rsidRPr="00181FCD">
        <w:t xml:space="preserve"> </w:t>
      </w:r>
      <w:r w:rsidRPr="00181FCD">
        <w:t>cosas</w:t>
      </w:r>
      <w:r w:rsidR="00F373A3" w:rsidRPr="00181FCD">
        <w:t xml:space="preserve"> </w:t>
      </w:r>
      <w:r w:rsidRPr="00181FCD">
        <w:t>mediante</w:t>
      </w:r>
      <w:r w:rsidR="00F373A3" w:rsidRPr="00181FCD">
        <w:t xml:space="preserve"> </w:t>
      </w:r>
      <w:r w:rsidRPr="00181FCD">
        <w:t>el</w:t>
      </w:r>
      <w:r w:rsidR="00F373A3" w:rsidRPr="00181FCD">
        <w:t xml:space="preserve"> </w:t>
      </w:r>
      <w:r w:rsidRPr="00181FCD">
        <w:t>despliegue</w:t>
      </w:r>
      <w:r w:rsidR="00F373A3" w:rsidRPr="00181FCD">
        <w:t xml:space="preserve"> </w:t>
      </w:r>
      <w:r w:rsidRPr="00181FCD">
        <w:t>de</w:t>
      </w:r>
      <w:r w:rsidR="00F373A3" w:rsidRPr="00181FCD">
        <w:t xml:space="preserve"> </w:t>
      </w:r>
      <w:r w:rsidRPr="00181FCD">
        <w:t>agentes</w:t>
      </w:r>
      <w:r w:rsidR="00F373A3" w:rsidRPr="00181FCD">
        <w:t xml:space="preserve"> </w:t>
      </w:r>
      <w:r w:rsidRPr="00181FCD">
        <w:t>de</w:t>
      </w:r>
      <w:r w:rsidR="00F373A3" w:rsidRPr="00181FCD">
        <w:t xml:space="preserve"> </w:t>
      </w:r>
      <w:r w:rsidRPr="00181FCD">
        <w:t>policía</w:t>
      </w:r>
      <w:r w:rsidR="00F373A3" w:rsidRPr="00181FCD">
        <w:t xml:space="preserve"> </w:t>
      </w:r>
      <w:r w:rsidRPr="00181FCD">
        <w:t>adicionales</w:t>
      </w:r>
      <w:r w:rsidR="00F373A3" w:rsidRPr="00181FCD">
        <w:t xml:space="preserve"> </w:t>
      </w:r>
      <w:r w:rsidRPr="00181FCD">
        <w:t>y</w:t>
      </w:r>
      <w:r w:rsidR="00F373A3" w:rsidRPr="00181FCD">
        <w:t xml:space="preserve"> </w:t>
      </w:r>
      <w:r w:rsidRPr="00181FCD">
        <w:t>equipos</w:t>
      </w:r>
      <w:r w:rsidR="00F373A3" w:rsidRPr="00181FCD">
        <w:t xml:space="preserve"> </w:t>
      </w:r>
      <w:r w:rsidRPr="00181FCD">
        <w:t>técnicos,</w:t>
      </w:r>
      <w:r w:rsidR="00F373A3" w:rsidRPr="00181FCD">
        <w:t xml:space="preserve"> </w:t>
      </w:r>
      <w:r w:rsidRPr="00181FCD">
        <w:t>de</w:t>
      </w:r>
      <w:r w:rsidR="00F373A3" w:rsidRPr="00181FCD">
        <w:t xml:space="preserve"> </w:t>
      </w:r>
      <w:r w:rsidRPr="00181FCD">
        <w:t>acuerdo</w:t>
      </w:r>
      <w:r w:rsidR="00F373A3" w:rsidRPr="00181FCD">
        <w:t xml:space="preserve"> </w:t>
      </w:r>
      <w:r w:rsidRPr="00181FCD">
        <w:t>con</w:t>
      </w:r>
      <w:r w:rsidR="00F373A3" w:rsidRPr="00181FCD">
        <w:t xml:space="preserve"> </w:t>
      </w:r>
      <w:r w:rsidRPr="00181FCD">
        <w:t>los</w:t>
      </w:r>
      <w:r w:rsidR="00F373A3" w:rsidRPr="00181FCD">
        <w:t xml:space="preserve"> </w:t>
      </w:r>
      <w:r w:rsidRPr="00181FCD">
        <w:t>catálogos</w:t>
      </w:r>
      <w:r w:rsidR="00F373A3" w:rsidRPr="00181FCD">
        <w:t xml:space="preserve"> </w:t>
      </w:r>
      <w:r w:rsidRPr="00181FCD">
        <w:t>de</w:t>
      </w:r>
      <w:r w:rsidR="00F373A3" w:rsidRPr="00181FCD">
        <w:t xml:space="preserve"> </w:t>
      </w:r>
      <w:r w:rsidRPr="00181FCD">
        <w:t>Schengen</w:t>
      </w:r>
      <w:r w:rsidR="00F373A3" w:rsidRPr="00181FCD">
        <w:t xml:space="preserve"> </w:t>
      </w:r>
      <w:r w:rsidRPr="00181FCD">
        <w:t>y</w:t>
      </w:r>
      <w:r w:rsidR="00F373A3" w:rsidRPr="00181FCD">
        <w:t xml:space="preserve"> </w:t>
      </w:r>
      <w:r w:rsidRPr="00181FCD">
        <w:t>el</w:t>
      </w:r>
      <w:r w:rsidR="00F373A3" w:rsidRPr="00181FCD">
        <w:t xml:space="preserve"> </w:t>
      </w:r>
      <w:r w:rsidRPr="00181FCD">
        <w:t>modelo</w:t>
      </w:r>
      <w:r w:rsidR="00F373A3" w:rsidRPr="00181FCD">
        <w:t xml:space="preserve"> </w:t>
      </w:r>
      <w:r w:rsidRPr="00181FCD">
        <w:t>de</w:t>
      </w:r>
      <w:r w:rsidR="00F373A3" w:rsidRPr="00181FCD">
        <w:t xml:space="preserve"> </w:t>
      </w:r>
      <w:r w:rsidRPr="00181FCD">
        <w:t>gestión</w:t>
      </w:r>
      <w:r w:rsidR="00F373A3" w:rsidRPr="00181FCD">
        <w:t xml:space="preserve"> </w:t>
      </w:r>
      <w:r w:rsidRPr="00181FCD">
        <w:t>integrada</w:t>
      </w:r>
      <w:r w:rsidR="00F373A3" w:rsidRPr="00181FCD">
        <w:t xml:space="preserve"> </w:t>
      </w:r>
      <w:r w:rsidRPr="00181FCD">
        <w:t>de</w:t>
      </w:r>
      <w:r w:rsidR="00F373A3" w:rsidRPr="00181FCD">
        <w:t xml:space="preserve"> </w:t>
      </w:r>
      <w:r w:rsidRPr="00181FCD">
        <w:t>las</w:t>
      </w:r>
      <w:r w:rsidR="00F373A3" w:rsidRPr="00181FCD">
        <w:t xml:space="preserve"> </w:t>
      </w:r>
      <w:r w:rsidRPr="00181FCD">
        <w:t>fronteras</w:t>
      </w:r>
      <w:r w:rsidR="00F373A3" w:rsidRPr="00181FCD">
        <w:t xml:space="preserve"> </w:t>
      </w:r>
      <w:r w:rsidRPr="00181FCD">
        <w:t>de</w:t>
      </w:r>
      <w:r w:rsidR="00F373A3" w:rsidRPr="00181FCD">
        <w:t xml:space="preserve"> </w:t>
      </w:r>
      <w:r w:rsidRPr="00181FCD">
        <w:t>la</w:t>
      </w:r>
      <w:r w:rsidR="00F373A3" w:rsidRPr="00181FCD">
        <w:t xml:space="preserve"> </w:t>
      </w:r>
      <w:r w:rsidRPr="00181FCD">
        <w:t>Unión</w:t>
      </w:r>
      <w:r w:rsidR="00F373A3" w:rsidRPr="00181FCD">
        <w:t xml:space="preserve"> </w:t>
      </w:r>
      <w:r w:rsidRPr="00181FCD">
        <w:t>Europea.</w:t>
      </w:r>
      <w:r w:rsidR="00F373A3" w:rsidRPr="00181FCD">
        <w:t xml:space="preserve"> </w:t>
      </w:r>
      <w:r w:rsidRPr="00181FCD">
        <w:t>El</w:t>
      </w:r>
      <w:r w:rsidR="00F373A3" w:rsidRPr="00181FCD">
        <w:t xml:space="preserve"> </w:t>
      </w:r>
      <w:r w:rsidRPr="00181FCD">
        <w:t>objetivo</w:t>
      </w:r>
      <w:r w:rsidR="00F373A3" w:rsidRPr="00181FCD">
        <w:t xml:space="preserve"> </w:t>
      </w:r>
      <w:r w:rsidRPr="00181FCD">
        <w:t>es</w:t>
      </w:r>
      <w:r w:rsidR="00F373A3" w:rsidRPr="00181FCD">
        <w:t xml:space="preserve"> </w:t>
      </w:r>
      <w:r w:rsidRPr="00181FCD">
        <w:t>evitar</w:t>
      </w:r>
      <w:r w:rsidR="00F373A3" w:rsidRPr="00181FCD">
        <w:t xml:space="preserve"> </w:t>
      </w:r>
      <w:r w:rsidRPr="00181FCD">
        <w:t>la</w:t>
      </w:r>
      <w:r w:rsidR="00F373A3" w:rsidRPr="00181FCD">
        <w:t xml:space="preserve"> </w:t>
      </w:r>
      <w:r w:rsidRPr="00181FCD">
        <w:t>inmigración</w:t>
      </w:r>
      <w:r w:rsidR="00F373A3" w:rsidRPr="00181FCD">
        <w:t xml:space="preserve"> </w:t>
      </w:r>
      <w:r w:rsidRPr="00181FCD">
        <w:t>ilegal</w:t>
      </w:r>
      <w:r w:rsidR="00F373A3" w:rsidRPr="00181FCD">
        <w:t xml:space="preserve"> </w:t>
      </w:r>
      <w:r w:rsidRPr="00181FCD">
        <w:t>y</w:t>
      </w:r>
      <w:r w:rsidR="00F373A3" w:rsidRPr="00181FCD">
        <w:t xml:space="preserve"> </w:t>
      </w:r>
      <w:r w:rsidRPr="00181FCD">
        <w:t>al</w:t>
      </w:r>
      <w:r w:rsidR="00F373A3" w:rsidRPr="00181FCD">
        <w:t xml:space="preserve"> </w:t>
      </w:r>
      <w:r w:rsidRPr="00181FCD">
        <w:t>mismo</w:t>
      </w:r>
      <w:r w:rsidR="00F373A3" w:rsidRPr="00181FCD">
        <w:t xml:space="preserve"> </w:t>
      </w:r>
      <w:r w:rsidRPr="00181FCD">
        <w:t>tiempo</w:t>
      </w:r>
      <w:r w:rsidR="00F373A3" w:rsidRPr="00181FCD">
        <w:t xml:space="preserve"> </w:t>
      </w:r>
      <w:r w:rsidRPr="00181FCD">
        <w:t>alentar</w:t>
      </w:r>
      <w:r w:rsidR="00F373A3" w:rsidRPr="00181FCD">
        <w:t xml:space="preserve"> </w:t>
      </w:r>
      <w:r w:rsidRPr="00181FCD">
        <w:t>a</w:t>
      </w:r>
      <w:r w:rsidR="00F373A3" w:rsidRPr="00181FCD">
        <w:t xml:space="preserve"> </w:t>
      </w:r>
      <w:r w:rsidRPr="00181FCD">
        <w:t>los</w:t>
      </w:r>
      <w:r w:rsidR="00F373A3" w:rsidRPr="00181FCD">
        <w:t xml:space="preserve"> </w:t>
      </w:r>
      <w:r w:rsidRPr="00181FCD">
        <w:t>solicitantes</w:t>
      </w:r>
      <w:r w:rsidR="00F373A3" w:rsidRPr="00181FCD">
        <w:t xml:space="preserve"> </w:t>
      </w:r>
      <w:r w:rsidRPr="00181FCD">
        <w:t>de</w:t>
      </w:r>
      <w:r w:rsidR="00F373A3" w:rsidRPr="00181FCD">
        <w:t xml:space="preserve"> </w:t>
      </w:r>
      <w:r w:rsidRPr="00181FCD">
        <w:t>asilo</w:t>
      </w:r>
      <w:r w:rsidR="00F373A3" w:rsidRPr="00181FCD">
        <w:t xml:space="preserve"> </w:t>
      </w:r>
      <w:r w:rsidRPr="00181FCD">
        <w:t>a</w:t>
      </w:r>
      <w:r w:rsidR="00F373A3" w:rsidRPr="00181FCD">
        <w:t xml:space="preserve"> </w:t>
      </w:r>
      <w:r w:rsidRPr="00181FCD">
        <w:t>utilizar</w:t>
      </w:r>
      <w:r w:rsidR="00F373A3" w:rsidRPr="00181FCD">
        <w:t xml:space="preserve"> </w:t>
      </w:r>
      <w:r w:rsidRPr="00181FCD">
        <w:t>rutas</w:t>
      </w:r>
      <w:r w:rsidR="00F373A3" w:rsidRPr="00181FCD">
        <w:t xml:space="preserve"> </w:t>
      </w:r>
      <w:r w:rsidRPr="00181FCD">
        <w:t>seguras.</w:t>
      </w:r>
    </w:p>
    <w:p w:rsidR="001937F4" w:rsidRPr="00181FCD" w:rsidRDefault="001937F4" w:rsidP="00347B20">
      <w:pPr>
        <w:pStyle w:val="SingleTxtG"/>
        <w:suppressAutoHyphens/>
      </w:pPr>
      <w:r w:rsidRPr="00181FCD">
        <w:t>121.</w:t>
      </w:r>
      <w:r w:rsidRPr="00181FCD">
        <w:tab/>
        <w:t>Un</w:t>
      </w:r>
      <w:r w:rsidR="00F373A3" w:rsidRPr="00181FCD">
        <w:t xml:space="preserve"> </w:t>
      </w:r>
      <w:r w:rsidRPr="00181FCD">
        <w:t>elemento</w:t>
      </w:r>
      <w:r w:rsidR="00F373A3" w:rsidRPr="00181FCD">
        <w:t xml:space="preserve"> </w:t>
      </w:r>
      <w:r w:rsidRPr="00181FCD">
        <w:t>clave</w:t>
      </w:r>
      <w:r w:rsidR="00F373A3" w:rsidRPr="00181FCD">
        <w:t xml:space="preserve"> </w:t>
      </w:r>
      <w:r w:rsidRPr="00181FCD">
        <w:t>de</w:t>
      </w:r>
      <w:r w:rsidR="00F373A3" w:rsidRPr="00181FCD">
        <w:t xml:space="preserve"> </w:t>
      </w:r>
      <w:r w:rsidRPr="00181FCD">
        <w:t>la</w:t>
      </w:r>
      <w:r w:rsidR="00F373A3" w:rsidRPr="00181FCD">
        <w:t xml:space="preserve"> </w:t>
      </w:r>
      <w:r w:rsidRPr="00181FCD">
        <w:t>política</w:t>
      </w:r>
      <w:r w:rsidR="00F373A3" w:rsidRPr="00181FCD">
        <w:t xml:space="preserve"> </w:t>
      </w:r>
      <w:r w:rsidRPr="00181FCD">
        <w:t>nacional</w:t>
      </w:r>
      <w:r w:rsidR="00F373A3" w:rsidRPr="00181FCD">
        <w:t xml:space="preserve"> </w:t>
      </w:r>
      <w:r w:rsidRPr="00181FCD">
        <w:t>consiste</w:t>
      </w:r>
      <w:r w:rsidR="00F373A3" w:rsidRPr="00181FCD">
        <w:t xml:space="preserve"> </w:t>
      </w:r>
      <w:r w:rsidRPr="00181FCD">
        <w:t>en</w:t>
      </w:r>
      <w:r w:rsidR="00F373A3" w:rsidRPr="00181FCD">
        <w:t xml:space="preserve"> </w:t>
      </w:r>
      <w:r w:rsidRPr="00181FCD">
        <w:t>cumplir</w:t>
      </w:r>
      <w:r w:rsidR="00F373A3" w:rsidRPr="00181FCD">
        <w:t xml:space="preserve"> </w:t>
      </w:r>
      <w:r w:rsidRPr="00181FCD">
        <w:t>las</w:t>
      </w:r>
      <w:r w:rsidR="00F373A3" w:rsidRPr="00181FCD">
        <w:t xml:space="preserve"> </w:t>
      </w:r>
      <w:r w:rsidRPr="00181FCD">
        <w:t>obligaciones</w:t>
      </w:r>
      <w:r w:rsidR="00F373A3" w:rsidRPr="00181FCD">
        <w:t xml:space="preserve"> </w:t>
      </w:r>
      <w:r w:rsidRPr="00181FCD">
        <w:t>impuestas</w:t>
      </w:r>
      <w:r w:rsidR="00F373A3" w:rsidRPr="00181FCD">
        <w:t xml:space="preserve"> </w:t>
      </w:r>
      <w:r w:rsidRPr="00181FCD">
        <w:t>por</w:t>
      </w:r>
      <w:r w:rsidR="00F373A3" w:rsidRPr="00181FCD">
        <w:t xml:space="preserve"> </w:t>
      </w:r>
      <w:r w:rsidRPr="00181FCD">
        <w:t>la</w:t>
      </w:r>
      <w:r w:rsidR="00F373A3" w:rsidRPr="00181FCD">
        <w:t xml:space="preserve"> </w:t>
      </w:r>
      <w:r w:rsidRPr="00181FCD">
        <w:t>legislación</w:t>
      </w:r>
      <w:r w:rsidR="00F373A3" w:rsidRPr="00181FCD">
        <w:t xml:space="preserve"> </w:t>
      </w:r>
      <w:r w:rsidRPr="00181FCD">
        <w:t>de</w:t>
      </w:r>
      <w:r w:rsidR="00F373A3" w:rsidRPr="00181FCD">
        <w:t xml:space="preserve"> </w:t>
      </w:r>
      <w:r w:rsidRPr="00181FCD">
        <w:t>la</w:t>
      </w:r>
      <w:r w:rsidR="00F373A3" w:rsidRPr="00181FCD">
        <w:t xml:space="preserve"> </w:t>
      </w:r>
      <w:r w:rsidRPr="00181FCD">
        <w:t>Unión</w:t>
      </w:r>
      <w:r w:rsidR="00F373A3" w:rsidRPr="00181FCD">
        <w:t xml:space="preserve"> </w:t>
      </w:r>
      <w:r w:rsidRPr="00181FCD">
        <w:t>Europea</w:t>
      </w:r>
      <w:r w:rsidR="00F373A3" w:rsidRPr="00181FCD">
        <w:t xml:space="preserve"> </w:t>
      </w:r>
      <w:r w:rsidRPr="00181FCD">
        <w:t>y</w:t>
      </w:r>
      <w:r w:rsidR="00F373A3" w:rsidRPr="00181FCD">
        <w:t xml:space="preserve"> </w:t>
      </w:r>
      <w:r w:rsidRPr="00181FCD">
        <w:t>los</w:t>
      </w:r>
      <w:r w:rsidR="00F373A3" w:rsidRPr="00181FCD">
        <w:t xml:space="preserve"> </w:t>
      </w:r>
      <w:r w:rsidRPr="00181FCD">
        <w:t>instrumentos</w:t>
      </w:r>
      <w:r w:rsidR="00F373A3" w:rsidRPr="00181FCD">
        <w:t xml:space="preserve"> </w:t>
      </w:r>
      <w:r w:rsidRPr="00181FCD">
        <w:t>jurídicos</w:t>
      </w:r>
      <w:r w:rsidR="00F373A3" w:rsidRPr="00181FCD">
        <w:t xml:space="preserve"> </w:t>
      </w:r>
      <w:r w:rsidRPr="00181FCD">
        <w:t>internacionales</w:t>
      </w:r>
      <w:r w:rsidR="00F373A3" w:rsidRPr="00181FCD">
        <w:t xml:space="preserve"> </w:t>
      </w:r>
      <w:r w:rsidRPr="00181FCD">
        <w:t>en</w:t>
      </w:r>
      <w:r w:rsidR="00F373A3" w:rsidRPr="00181FCD">
        <w:t xml:space="preserve"> </w:t>
      </w:r>
      <w:r w:rsidRPr="00181FCD">
        <w:t>materia</w:t>
      </w:r>
      <w:r w:rsidR="00F373A3" w:rsidRPr="00181FCD">
        <w:t xml:space="preserve"> </w:t>
      </w:r>
      <w:r w:rsidRPr="00181FCD">
        <w:t>de</w:t>
      </w:r>
      <w:r w:rsidR="00F373A3" w:rsidRPr="00181FCD">
        <w:t xml:space="preserve"> </w:t>
      </w:r>
      <w:r w:rsidRPr="00181FCD">
        <w:t>derechos</w:t>
      </w:r>
      <w:r w:rsidR="00F373A3" w:rsidRPr="00181FCD">
        <w:t xml:space="preserve"> </w:t>
      </w:r>
      <w:r w:rsidRPr="00181FCD">
        <w:t>fundamentales</w:t>
      </w:r>
      <w:r w:rsidR="00F373A3" w:rsidRPr="00181FCD">
        <w:t xml:space="preserve"> </w:t>
      </w:r>
      <w:r w:rsidRPr="00181FCD">
        <w:t>y</w:t>
      </w:r>
      <w:r w:rsidR="00F373A3" w:rsidRPr="00181FCD">
        <w:t xml:space="preserve"> </w:t>
      </w:r>
      <w:r w:rsidRPr="00181FCD">
        <w:t>asilo,</w:t>
      </w:r>
      <w:r w:rsidR="00F373A3" w:rsidRPr="00181FCD">
        <w:t xml:space="preserve"> </w:t>
      </w:r>
      <w:r w:rsidRPr="00181FCD">
        <w:t>incluido</w:t>
      </w:r>
      <w:r w:rsidR="00F373A3" w:rsidRPr="00181FCD">
        <w:t xml:space="preserve"> </w:t>
      </w:r>
      <w:r w:rsidRPr="00181FCD">
        <w:t>el</w:t>
      </w:r>
      <w:r w:rsidR="00F373A3" w:rsidRPr="00181FCD">
        <w:t xml:space="preserve"> </w:t>
      </w:r>
      <w:r w:rsidRPr="00181FCD">
        <w:t>principio</w:t>
      </w:r>
      <w:r w:rsidR="00F373A3" w:rsidRPr="00181FCD">
        <w:t xml:space="preserve"> </w:t>
      </w:r>
      <w:r w:rsidRPr="00181FCD">
        <w:t>de</w:t>
      </w:r>
      <w:r w:rsidR="00F373A3" w:rsidRPr="00181FCD">
        <w:t xml:space="preserve"> </w:t>
      </w:r>
      <w:r w:rsidRPr="00181FCD">
        <w:t>no</w:t>
      </w:r>
      <w:r w:rsidR="00F373A3" w:rsidRPr="00181FCD">
        <w:t xml:space="preserve"> </w:t>
      </w:r>
      <w:r w:rsidRPr="00181FCD">
        <w:t>devolución.</w:t>
      </w:r>
    </w:p>
    <w:p w:rsidR="001937F4" w:rsidRPr="00181FCD" w:rsidRDefault="001937F4" w:rsidP="00347B20">
      <w:pPr>
        <w:pStyle w:val="SingleTxtG"/>
        <w:suppressAutoHyphens/>
      </w:pPr>
      <w:r w:rsidRPr="00181FCD">
        <w:t>122.</w:t>
      </w:r>
      <w:r w:rsidRPr="00181FCD">
        <w:tab/>
        <w:t>Con</w:t>
      </w:r>
      <w:r w:rsidR="00F373A3" w:rsidRPr="00181FCD">
        <w:t xml:space="preserve"> </w:t>
      </w:r>
      <w:r w:rsidRPr="00181FCD">
        <w:t>respecto</w:t>
      </w:r>
      <w:r w:rsidR="00F373A3" w:rsidRPr="00181FCD">
        <w:t xml:space="preserve"> </w:t>
      </w:r>
      <w:r w:rsidRPr="00181FCD">
        <w:t>a</w:t>
      </w:r>
      <w:r w:rsidR="00F373A3" w:rsidRPr="00181FCD">
        <w:t xml:space="preserve"> </w:t>
      </w:r>
      <w:r w:rsidRPr="00181FCD">
        <w:t>los</w:t>
      </w:r>
      <w:r w:rsidR="00F373A3" w:rsidRPr="00181FCD">
        <w:t xml:space="preserve"> </w:t>
      </w:r>
      <w:r w:rsidRPr="00181FCD">
        <w:t>extranjeros</w:t>
      </w:r>
      <w:r w:rsidR="00F373A3" w:rsidRPr="00181FCD">
        <w:t xml:space="preserve"> </w:t>
      </w:r>
      <w:r w:rsidRPr="00181FCD">
        <w:t>que</w:t>
      </w:r>
      <w:r w:rsidR="00F373A3" w:rsidRPr="00181FCD">
        <w:t xml:space="preserve"> </w:t>
      </w:r>
      <w:r w:rsidRPr="00181FCD">
        <w:t>llegan</w:t>
      </w:r>
      <w:r w:rsidR="00F373A3" w:rsidRPr="00181FCD">
        <w:t xml:space="preserve"> </w:t>
      </w:r>
      <w:r w:rsidRPr="00181FCD">
        <w:t>a</w:t>
      </w:r>
      <w:r w:rsidR="00F373A3" w:rsidRPr="00181FCD">
        <w:t xml:space="preserve"> </w:t>
      </w:r>
      <w:r w:rsidRPr="00181FCD">
        <w:t>la</w:t>
      </w:r>
      <w:r w:rsidR="00F373A3" w:rsidRPr="00181FCD">
        <w:t xml:space="preserve"> </w:t>
      </w:r>
      <w:r w:rsidRPr="00181FCD">
        <w:t>frontera,</w:t>
      </w:r>
      <w:r w:rsidR="00F373A3" w:rsidRPr="00181FCD">
        <w:t xml:space="preserve"> </w:t>
      </w:r>
      <w:r w:rsidRPr="00181FCD">
        <w:t>la</w:t>
      </w:r>
      <w:r w:rsidR="00F373A3" w:rsidRPr="00181FCD">
        <w:t xml:space="preserve"> </w:t>
      </w:r>
      <w:r w:rsidRPr="00181FCD">
        <w:t>Dirección</w:t>
      </w:r>
      <w:r w:rsidR="00F373A3" w:rsidRPr="00181FCD">
        <w:t xml:space="preserve"> </w:t>
      </w:r>
      <w:r w:rsidRPr="00181FCD">
        <w:t>General</w:t>
      </w:r>
      <w:r w:rsidR="00F373A3" w:rsidRPr="00181FCD">
        <w:t xml:space="preserve"> </w:t>
      </w:r>
      <w:r w:rsidRPr="00181FCD">
        <w:t>de</w:t>
      </w:r>
      <w:r w:rsidR="00F373A3" w:rsidRPr="00181FCD">
        <w:t xml:space="preserve"> </w:t>
      </w:r>
      <w:r w:rsidRPr="00181FCD">
        <w:t>la</w:t>
      </w:r>
      <w:r w:rsidR="00F373A3" w:rsidRPr="00181FCD">
        <w:t xml:space="preserve"> </w:t>
      </w:r>
      <w:r w:rsidRPr="00181FCD">
        <w:t>Policía</w:t>
      </w:r>
      <w:r w:rsidR="00F373A3" w:rsidRPr="00181FCD">
        <w:t xml:space="preserve"> </w:t>
      </w:r>
      <w:r w:rsidRPr="00181FCD">
        <w:t>de</w:t>
      </w:r>
      <w:r w:rsidR="00F373A3" w:rsidRPr="00181FCD">
        <w:t xml:space="preserve"> </w:t>
      </w:r>
      <w:r w:rsidRPr="00181FCD">
        <w:t>Fronteras</w:t>
      </w:r>
      <w:r w:rsidR="00F373A3" w:rsidRPr="00181FCD">
        <w:t xml:space="preserve"> </w:t>
      </w:r>
      <w:r w:rsidRPr="00181FCD">
        <w:t>cumple</w:t>
      </w:r>
      <w:r w:rsidR="00F373A3" w:rsidRPr="00181FCD">
        <w:t xml:space="preserve"> </w:t>
      </w:r>
      <w:r w:rsidRPr="00181FCD">
        <w:t>estrictamente</w:t>
      </w:r>
      <w:r w:rsidR="00F373A3" w:rsidRPr="00181FCD">
        <w:t xml:space="preserve"> </w:t>
      </w:r>
      <w:r w:rsidRPr="00181FCD">
        <w:t>con</w:t>
      </w:r>
      <w:r w:rsidR="00F373A3" w:rsidRPr="00181FCD">
        <w:t xml:space="preserve"> </w:t>
      </w:r>
      <w:r w:rsidRPr="00181FCD">
        <w:t>las</w:t>
      </w:r>
      <w:r w:rsidR="00F373A3" w:rsidRPr="00181FCD">
        <w:t xml:space="preserve"> </w:t>
      </w:r>
      <w:r w:rsidRPr="00181FCD">
        <w:t>normas</w:t>
      </w:r>
      <w:r w:rsidR="00F373A3" w:rsidRPr="00181FCD">
        <w:t xml:space="preserve"> </w:t>
      </w:r>
      <w:r w:rsidRPr="00181FCD">
        <w:t>el</w:t>
      </w:r>
      <w:r w:rsidR="00F373A3" w:rsidRPr="00181FCD">
        <w:t xml:space="preserve"> </w:t>
      </w:r>
      <w:r w:rsidRPr="00181FCD">
        <w:t>acervo</w:t>
      </w:r>
      <w:r w:rsidR="00F373A3" w:rsidRPr="00181FCD">
        <w:t xml:space="preserve"> </w:t>
      </w:r>
      <w:r w:rsidRPr="00181FCD">
        <w:t>europeo,</w:t>
      </w:r>
      <w:r w:rsidR="00F373A3" w:rsidRPr="00181FCD">
        <w:t xml:space="preserve"> </w:t>
      </w:r>
      <w:r w:rsidRPr="00181FCD">
        <w:t>así</w:t>
      </w:r>
      <w:r w:rsidR="00F373A3" w:rsidRPr="00181FCD">
        <w:t xml:space="preserve"> </w:t>
      </w:r>
      <w:r w:rsidRPr="00181FCD">
        <w:t>como</w:t>
      </w:r>
      <w:r w:rsidR="00F373A3" w:rsidRPr="00181FCD">
        <w:t xml:space="preserve"> </w:t>
      </w:r>
      <w:r w:rsidRPr="00181FCD">
        <w:t>la</w:t>
      </w:r>
      <w:r w:rsidR="00F373A3" w:rsidRPr="00181FCD">
        <w:t xml:space="preserve"> </w:t>
      </w:r>
      <w:r w:rsidRPr="00181FCD">
        <w:t>legislación</w:t>
      </w:r>
      <w:r w:rsidR="00F373A3" w:rsidRPr="00181FCD">
        <w:t xml:space="preserve"> </w:t>
      </w:r>
      <w:r w:rsidRPr="00181FCD">
        <w:t>nacional</w:t>
      </w:r>
      <w:r w:rsidR="00F373A3" w:rsidRPr="00181FCD">
        <w:t xml:space="preserve"> </w:t>
      </w:r>
      <w:r w:rsidRPr="00181FCD">
        <w:t>sobre</w:t>
      </w:r>
      <w:r w:rsidR="00F373A3" w:rsidRPr="00181FCD">
        <w:t xml:space="preserve"> </w:t>
      </w:r>
      <w:r w:rsidRPr="00181FCD">
        <w:t>el</w:t>
      </w:r>
      <w:r w:rsidR="00F373A3" w:rsidRPr="00181FCD">
        <w:t xml:space="preserve"> </w:t>
      </w:r>
      <w:r w:rsidRPr="00181FCD">
        <w:t>control</w:t>
      </w:r>
      <w:r w:rsidR="00F373A3" w:rsidRPr="00181FCD">
        <w:t xml:space="preserve"> </w:t>
      </w:r>
      <w:r w:rsidRPr="00181FCD">
        <w:t>de</w:t>
      </w:r>
      <w:r w:rsidR="00F373A3" w:rsidRPr="00181FCD">
        <w:t xml:space="preserve"> </w:t>
      </w:r>
      <w:r w:rsidRPr="00181FCD">
        <w:t>las</w:t>
      </w:r>
      <w:r w:rsidR="00F373A3" w:rsidRPr="00181FCD">
        <w:t xml:space="preserve"> </w:t>
      </w:r>
      <w:r w:rsidRPr="00181FCD">
        <w:t>fronteras,</w:t>
      </w:r>
      <w:r w:rsidR="00F373A3" w:rsidRPr="00181FCD">
        <w:t xml:space="preserve"> </w:t>
      </w:r>
      <w:r w:rsidRPr="00181FCD">
        <w:t>en</w:t>
      </w:r>
      <w:r w:rsidR="00F373A3" w:rsidRPr="00181FCD">
        <w:t xml:space="preserve"> </w:t>
      </w:r>
      <w:r w:rsidRPr="00181FCD">
        <w:t>el</w:t>
      </w:r>
      <w:r w:rsidR="00F373A3" w:rsidRPr="00181FCD">
        <w:t xml:space="preserve"> </w:t>
      </w:r>
      <w:r w:rsidRPr="00181FCD">
        <w:t>respeto</w:t>
      </w:r>
      <w:r w:rsidR="00F373A3" w:rsidRPr="00181FCD">
        <w:t xml:space="preserve"> </w:t>
      </w:r>
      <w:r w:rsidRPr="00181FCD">
        <w:t>de</w:t>
      </w:r>
      <w:r w:rsidR="00F373A3" w:rsidRPr="00181FCD">
        <w:t xml:space="preserve"> </w:t>
      </w:r>
      <w:r w:rsidRPr="00181FCD">
        <w:t>los</w:t>
      </w:r>
      <w:r w:rsidR="00F373A3" w:rsidRPr="00181FCD">
        <w:t xml:space="preserve"> </w:t>
      </w:r>
      <w:r w:rsidRPr="00181FCD">
        <w:t>derechos</w:t>
      </w:r>
      <w:r w:rsidR="00F373A3" w:rsidRPr="00181FCD">
        <w:t xml:space="preserve"> </w:t>
      </w:r>
      <w:r w:rsidRPr="00181FCD">
        <w:t>humanos,</w:t>
      </w:r>
      <w:r w:rsidR="00F373A3" w:rsidRPr="00181FCD">
        <w:t xml:space="preserve"> </w:t>
      </w:r>
      <w:r w:rsidRPr="00181FCD">
        <w:t>permite</w:t>
      </w:r>
      <w:r w:rsidR="00F373A3" w:rsidRPr="00181FCD">
        <w:t xml:space="preserve"> </w:t>
      </w:r>
      <w:r w:rsidRPr="00181FCD">
        <w:t>el</w:t>
      </w:r>
      <w:r w:rsidR="00F373A3" w:rsidRPr="00181FCD">
        <w:t xml:space="preserve"> </w:t>
      </w:r>
      <w:r w:rsidRPr="00181FCD">
        <w:t>acceso</w:t>
      </w:r>
      <w:r w:rsidR="00F373A3" w:rsidRPr="00181FCD">
        <w:t xml:space="preserve"> </w:t>
      </w:r>
      <w:r w:rsidRPr="00181FCD">
        <w:t>al</w:t>
      </w:r>
      <w:r w:rsidR="00F373A3" w:rsidRPr="00181FCD">
        <w:t xml:space="preserve"> </w:t>
      </w:r>
      <w:r w:rsidRPr="00181FCD">
        <w:t>territorio</w:t>
      </w:r>
      <w:r w:rsidR="00F373A3" w:rsidRPr="00181FCD">
        <w:t xml:space="preserve"> </w:t>
      </w:r>
      <w:r w:rsidRPr="00181FCD">
        <w:t>de</w:t>
      </w:r>
      <w:r w:rsidR="00F373A3" w:rsidRPr="00181FCD">
        <w:t xml:space="preserve"> </w:t>
      </w:r>
      <w:r w:rsidRPr="00181FCD">
        <w:t>Bulgaria</w:t>
      </w:r>
      <w:r w:rsidR="00F373A3" w:rsidRPr="00181FCD">
        <w:t xml:space="preserve"> </w:t>
      </w:r>
      <w:r w:rsidRPr="00181FCD">
        <w:t>de</w:t>
      </w:r>
      <w:r w:rsidR="00F373A3" w:rsidRPr="00181FCD">
        <w:t xml:space="preserve"> </w:t>
      </w:r>
      <w:r w:rsidRPr="00181FCD">
        <w:t>las</w:t>
      </w:r>
      <w:r w:rsidR="00F373A3" w:rsidRPr="00181FCD">
        <w:t xml:space="preserve"> </w:t>
      </w:r>
      <w:r w:rsidRPr="00181FCD">
        <w:t>personas</w:t>
      </w:r>
      <w:r w:rsidR="00F373A3" w:rsidRPr="00181FCD">
        <w:t xml:space="preserve"> </w:t>
      </w:r>
      <w:r w:rsidRPr="00181FCD">
        <w:t>que</w:t>
      </w:r>
      <w:r w:rsidR="00F373A3" w:rsidRPr="00181FCD">
        <w:t xml:space="preserve"> </w:t>
      </w:r>
      <w:r w:rsidRPr="00181FCD">
        <w:t>buscar</w:t>
      </w:r>
      <w:r w:rsidR="00F373A3" w:rsidRPr="00181FCD">
        <w:t xml:space="preserve"> </w:t>
      </w:r>
      <w:r w:rsidRPr="00181FCD">
        <w:t>protección</w:t>
      </w:r>
      <w:r w:rsidR="00F373A3" w:rsidRPr="00181FCD">
        <w:t xml:space="preserve"> </w:t>
      </w:r>
      <w:r w:rsidRPr="00181FCD">
        <w:t>internacional</w:t>
      </w:r>
      <w:r w:rsidR="00F373A3" w:rsidRPr="00181FCD">
        <w:t xml:space="preserve"> </w:t>
      </w:r>
      <w:r w:rsidRPr="00181FCD">
        <w:t>y</w:t>
      </w:r>
      <w:r w:rsidR="00F373A3" w:rsidRPr="00181FCD">
        <w:t xml:space="preserve"> </w:t>
      </w:r>
      <w:r w:rsidRPr="00181FCD">
        <w:t>aplica</w:t>
      </w:r>
      <w:r w:rsidR="00F373A3" w:rsidRPr="00181FCD">
        <w:t xml:space="preserve"> </w:t>
      </w:r>
      <w:r w:rsidRPr="00181FCD">
        <w:t>el</w:t>
      </w:r>
      <w:r w:rsidR="00F373A3" w:rsidRPr="00181FCD">
        <w:t xml:space="preserve"> </w:t>
      </w:r>
      <w:r w:rsidRPr="00181FCD">
        <w:t>principio</w:t>
      </w:r>
      <w:r w:rsidR="00F373A3" w:rsidRPr="00181FCD">
        <w:t xml:space="preserve"> </w:t>
      </w:r>
      <w:r w:rsidRPr="00181FCD">
        <w:t>de</w:t>
      </w:r>
      <w:r w:rsidR="00F373A3" w:rsidRPr="00181FCD">
        <w:t xml:space="preserve"> </w:t>
      </w:r>
      <w:r w:rsidRPr="00181FCD">
        <w:t>no</w:t>
      </w:r>
      <w:r w:rsidR="00F373A3" w:rsidRPr="00181FCD">
        <w:t xml:space="preserve"> </w:t>
      </w:r>
      <w:r w:rsidRPr="00181FCD">
        <w:t>devolución.</w:t>
      </w:r>
    </w:p>
    <w:p w:rsidR="001937F4" w:rsidRPr="00181FCD" w:rsidRDefault="001937F4" w:rsidP="00347B20">
      <w:pPr>
        <w:pStyle w:val="SingleTxtG"/>
        <w:suppressAutoHyphens/>
      </w:pPr>
      <w:r w:rsidRPr="00181FCD">
        <w:t>123.</w:t>
      </w:r>
      <w:r w:rsidRPr="00181FCD">
        <w:tab/>
        <w:t>Cada</w:t>
      </w:r>
      <w:r w:rsidR="00F373A3" w:rsidRPr="00181FCD">
        <w:t xml:space="preserve"> </w:t>
      </w:r>
      <w:r w:rsidRPr="00181FCD">
        <w:t>persona</w:t>
      </w:r>
      <w:r w:rsidR="00F373A3" w:rsidRPr="00181FCD">
        <w:t xml:space="preserve"> </w:t>
      </w:r>
      <w:r w:rsidRPr="00181FCD">
        <w:t>puede</w:t>
      </w:r>
      <w:r w:rsidR="00F373A3" w:rsidRPr="00181FCD">
        <w:t xml:space="preserve"> </w:t>
      </w:r>
      <w:r w:rsidRPr="00181FCD">
        <w:t>declarar</w:t>
      </w:r>
      <w:r w:rsidR="00F373A3" w:rsidRPr="00181FCD">
        <w:t xml:space="preserve"> </w:t>
      </w:r>
      <w:r w:rsidRPr="00181FCD">
        <w:t>ante</w:t>
      </w:r>
      <w:r w:rsidR="00F373A3" w:rsidRPr="00181FCD">
        <w:t xml:space="preserve"> </w:t>
      </w:r>
      <w:r w:rsidRPr="00181FCD">
        <w:t>los</w:t>
      </w:r>
      <w:r w:rsidR="00F373A3" w:rsidRPr="00181FCD">
        <w:t xml:space="preserve"> </w:t>
      </w:r>
      <w:r w:rsidRPr="00181FCD">
        <w:t>agentes</w:t>
      </w:r>
      <w:r w:rsidR="00F373A3" w:rsidRPr="00181FCD">
        <w:t xml:space="preserve"> </w:t>
      </w:r>
      <w:r w:rsidRPr="00181FCD">
        <w:t>de</w:t>
      </w:r>
      <w:r w:rsidR="00F373A3" w:rsidRPr="00181FCD">
        <w:t xml:space="preserve"> </w:t>
      </w:r>
      <w:r w:rsidRPr="00181FCD">
        <w:t>la</w:t>
      </w:r>
      <w:r w:rsidR="00F373A3" w:rsidRPr="00181FCD">
        <w:t xml:space="preserve"> </w:t>
      </w:r>
      <w:r w:rsidRPr="00181FCD">
        <w:t>policía</w:t>
      </w:r>
      <w:r w:rsidR="00F373A3" w:rsidRPr="00181FCD">
        <w:t xml:space="preserve"> </w:t>
      </w:r>
      <w:r w:rsidRPr="00181FCD">
        <w:t>de</w:t>
      </w:r>
      <w:r w:rsidR="00F373A3" w:rsidRPr="00181FCD">
        <w:t xml:space="preserve"> </w:t>
      </w:r>
      <w:r w:rsidRPr="00181FCD">
        <w:t>fronteras</w:t>
      </w:r>
      <w:r w:rsidR="00F373A3" w:rsidRPr="00181FCD">
        <w:t xml:space="preserve"> </w:t>
      </w:r>
      <w:r w:rsidRPr="00181FCD">
        <w:t>su</w:t>
      </w:r>
      <w:r w:rsidR="00F373A3" w:rsidRPr="00181FCD">
        <w:t xml:space="preserve"> </w:t>
      </w:r>
      <w:r w:rsidRPr="00181FCD">
        <w:t>voluntad</w:t>
      </w:r>
      <w:r w:rsidR="00F373A3" w:rsidRPr="00181FCD">
        <w:t xml:space="preserve"> </w:t>
      </w:r>
      <w:r w:rsidRPr="00181FCD">
        <w:t>de</w:t>
      </w:r>
      <w:r w:rsidR="00F373A3" w:rsidRPr="00181FCD">
        <w:t xml:space="preserve"> </w:t>
      </w:r>
      <w:r w:rsidRPr="00181FCD">
        <w:t>que</w:t>
      </w:r>
      <w:r w:rsidR="00F373A3" w:rsidRPr="00181FCD">
        <w:t xml:space="preserve"> </w:t>
      </w:r>
      <w:r w:rsidRPr="00181FCD">
        <w:t>se</w:t>
      </w:r>
      <w:r w:rsidR="00F373A3" w:rsidRPr="00181FCD">
        <w:t xml:space="preserve"> </w:t>
      </w:r>
      <w:r w:rsidRPr="00181FCD">
        <w:t>le</w:t>
      </w:r>
      <w:r w:rsidR="00F373A3" w:rsidRPr="00181FCD">
        <w:t xml:space="preserve"> </w:t>
      </w:r>
      <w:r w:rsidRPr="00181FCD">
        <w:t>conceda</w:t>
      </w:r>
      <w:r w:rsidR="00F373A3" w:rsidRPr="00181FCD">
        <w:t xml:space="preserve"> </w:t>
      </w:r>
      <w:r w:rsidRPr="00181FCD">
        <w:t>la</w:t>
      </w:r>
      <w:r w:rsidR="00F373A3" w:rsidRPr="00181FCD">
        <w:t xml:space="preserve"> </w:t>
      </w:r>
      <w:r w:rsidRPr="00181FCD">
        <w:t>protección</w:t>
      </w:r>
      <w:r w:rsidR="00F373A3" w:rsidRPr="00181FCD">
        <w:t xml:space="preserve"> </w:t>
      </w:r>
      <w:r w:rsidRPr="00181FCD">
        <w:t>internacional</w:t>
      </w:r>
      <w:r w:rsidR="00F373A3" w:rsidRPr="00181FCD">
        <w:t xml:space="preserve"> </w:t>
      </w:r>
      <w:r w:rsidRPr="00181FCD">
        <w:t>en</w:t>
      </w:r>
      <w:r w:rsidR="00F373A3" w:rsidRPr="00181FCD">
        <w:t xml:space="preserve"> </w:t>
      </w:r>
      <w:r w:rsidRPr="00181FCD">
        <w:t>la</w:t>
      </w:r>
      <w:r w:rsidR="00F373A3" w:rsidRPr="00181FCD">
        <w:t xml:space="preserve"> </w:t>
      </w:r>
      <w:r w:rsidRPr="00181FCD">
        <w:t>República</w:t>
      </w:r>
      <w:r w:rsidR="00F373A3" w:rsidRPr="00181FCD">
        <w:t xml:space="preserve"> </w:t>
      </w:r>
      <w:r w:rsidRPr="00181FCD">
        <w:t>de</w:t>
      </w:r>
      <w:r w:rsidR="00F373A3" w:rsidRPr="00181FCD">
        <w:t xml:space="preserve"> </w:t>
      </w:r>
      <w:r w:rsidRPr="00181FCD">
        <w:t>Bulgaria</w:t>
      </w:r>
      <w:r w:rsidR="00F373A3" w:rsidRPr="00181FCD">
        <w:t xml:space="preserve"> </w:t>
      </w:r>
      <w:r w:rsidRPr="00181FCD">
        <w:t>y</w:t>
      </w:r>
      <w:r w:rsidR="00F373A3" w:rsidRPr="00181FCD">
        <w:t xml:space="preserve"> </w:t>
      </w:r>
      <w:r w:rsidRPr="00181FCD">
        <w:t>recibir</w:t>
      </w:r>
      <w:r w:rsidR="00F373A3" w:rsidRPr="00181FCD">
        <w:t xml:space="preserve"> </w:t>
      </w:r>
      <w:r w:rsidRPr="00181FCD">
        <w:t>suficiente</w:t>
      </w:r>
      <w:r w:rsidR="00F373A3" w:rsidRPr="00181FCD">
        <w:t xml:space="preserve"> </w:t>
      </w:r>
      <w:r w:rsidRPr="00181FCD">
        <w:t>información</w:t>
      </w:r>
      <w:r w:rsidR="00F373A3" w:rsidRPr="00181FCD">
        <w:t xml:space="preserve"> </w:t>
      </w:r>
      <w:r w:rsidRPr="00181FCD">
        <w:t>en</w:t>
      </w:r>
      <w:r w:rsidR="00F373A3" w:rsidRPr="00181FCD">
        <w:t xml:space="preserve"> </w:t>
      </w:r>
      <w:r w:rsidRPr="00181FCD">
        <w:t>relación</w:t>
      </w:r>
      <w:r w:rsidR="00F373A3" w:rsidRPr="00181FCD">
        <w:t xml:space="preserve"> </w:t>
      </w:r>
      <w:r w:rsidRPr="00181FCD">
        <w:t>con</w:t>
      </w:r>
      <w:r w:rsidR="00F373A3" w:rsidRPr="00181FCD">
        <w:t xml:space="preserve"> </w:t>
      </w:r>
      <w:r w:rsidRPr="00181FCD">
        <w:t>sus</w:t>
      </w:r>
      <w:r w:rsidR="00F373A3" w:rsidRPr="00181FCD">
        <w:t xml:space="preserve"> </w:t>
      </w:r>
      <w:r w:rsidRPr="00181FCD">
        <w:t>derechos.</w:t>
      </w:r>
    </w:p>
    <w:p w:rsidR="001937F4" w:rsidRPr="00181FCD" w:rsidRDefault="001937F4" w:rsidP="00347B20">
      <w:pPr>
        <w:pStyle w:val="SingleTxtG"/>
        <w:suppressAutoHyphens/>
      </w:pPr>
      <w:r w:rsidRPr="00181FCD">
        <w:t>124.</w:t>
      </w:r>
      <w:r w:rsidRPr="00181FCD">
        <w:tab/>
        <w:t>Se</w:t>
      </w:r>
      <w:r w:rsidR="00F373A3" w:rsidRPr="00181FCD">
        <w:t xml:space="preserve"> </w:t>
      </w:r>
      <w:r w:rsidRPr="00181FCD">
        <w:t>imparte</w:t>
      </w:r>
      <w:r w:rsidR="00F373A3" w:rsidRPr="00181FCD">
        <w:t xml:space="preserve"> </w:t>
      </w:r>
      <w:r w:rsidRPr="00181FCD">
        <w:t>capacitación</w:t>
      </w:r>
      <w:r w:rsidR="00F373A3" w:rsidRPr="00181FCD">
        <w:t xml:space="preserve"> </w:t>
      </w:r>
      <w:r w:rsidRPr="00181FCD">
        <w:t>a</w:t>
      </w:r>
      <w:r w:rsidR="00F373A3" w:rsidRPr="00181FCD">
        <w:t xml:space="preserve"> </w:t>
      </w:r>
      <w:r w:rsidRPr="00181FCD">
        <w:t>los</w:t>
      </w:r>
      <w:r w:rsidR="00F373A3" w:rsidRPr="00181FCD">
        <w:t xml:space="preserve"> </w:t>
      </w:r>
      <w:r w:rsidRPr="00181FCD">
        <w:t>funcionarios</w:t>
      </w:r>
      <w:r w:rsidR="00F373A3" w:rsidRPr="00181FCD">
        <w:t xml:space="preserve"> </w:t>
      </w:r>
      <w:r w:rsidRPr="00181FCD">
        <w:t>del</w:t>
      </w:r>
      <w:r w:rsidR="00F373A3" w:rsidRPr="00181FCD">
        <w:t xml:space="preserve"> </w:t>
      </w:r>
      <w:r w:rsidRPr="00181FCD">
        <w:t>Ministerio</w:t>
      </w:r>
      <w:r w:rsidR="00F373A3" w:rsidRPr="00181FCD">
        <w:t xml:space="preserve"> </w:t>
      </w:r>
      <w:r w:rsidRPr="00181FCD">
        <w:t>del</w:t>
      </w:r>
      <w:r w:rsidR="00F373A3" w:rsidRPr="00181FCD">
        <w:t xml:space="preserve"> </w:t>
      </w:r>
      <w:r w:rsidRPr="00181FCD">
        <w:t>Interior</w:t>
      </w:r>
      <w:r w:rsidR="00F373A3" w:rsidRPr="00181FCD">
        <w:t xml:space="preserve"> </w:t>
      </w:r>
      <w:r w:rsidRPr="00181FCD">
        <w:t>que</w:t>
      </w:r>
      <w:r w:rsidR="00F373A3" w:rsidRPr="00181FCD">
        <w:t xml:space="preserve"> </w:t>
      </w:r>
      <w:r w:rsidRPr="00181FCD">
        <w:t>trabajan</w:t>
      </w:r>
      <w:r w:rsidR="00F373A3" w:rsidRPr="00181FCD">
        <w:t xml:space="preserve"> </w:t>
      </w:r>
      <w:r w:rsidRPr="00181FCD">
        <w:t>en</w:t>
      </w:r>
      <w:r w:rsidR="00F373A3" w:rsidRPr="00181FCD">
        <w:t xml:space="preserve"> </w:t>
      </w:r>
      <w:r w:rsidRPr="00181FCD">
        <w:t>los</w:t>
      </w:r>
      <w:r w:rsidR="00F373A3" w:rsidRPr="00181FCD">
        <w:t xml:space="preserve"> </w:t>
      </w:r>
      <w:r w:rsidRPr="00181FCD">
        <w:t>pasos</w:t>
      </w:r>
      <w:r w:rsidR="00F373A3" w:rsidRPr="00181FCD">
        <w:t xml:space="preserve"> </w:t>
      </w:r>
      <w:r w:rsidRPr="00181FCD">
        <w:t>fronterizos,</w:t>
      </w:r>
      <w:r w:rsidR="00F373A3" w:rsidRPr="00181FCD">
        <w:t xml:space="preserve"> </w:t>
      </w:r>
      <w:r w:rsidRPr="00181FCD">
        <w:t>así</w:t>
      </w:r>
      <w:r w:rsidR="00F373A3" w:rsidRPr="00181FCD">
        <w:t xml:space="preserve"> </w:t>
      </w:r>
      <w:r w:rsidRPr="00181FCD">
        <w:t>como</w:t>
      </w:r>
      <w:r w:rsidR="00F373A3" w:rsidRPr="00181FCD">
        <w:t xml:space="preserve"> </w:t>
      </w:r>
      <w:r w:rsidRPr="00181FCD">
        <w:t>los</w:t>
      </w:r>
      <w:r w:rsidR="00F373A3" w:rsidRPr="00181FCD">
        <w:t xml:space="preserve"> </w:t>
      </w:r>
      <w:r w:rsidRPr="00181FCD">
        <w:t>responsables</w:t>
      </w:r>
      <w:r w:rsidR="00F373A3" w:rsidRPr="00181FCD">
        <w:t xml:space="preserve"> </w:t>
      </w:r>
      <w:r w:rsidRPr="00181FCD">
        <w:t>de</w:t>
      </w:r>
      <w:r w:rsidR="00F373A3" w:rsidRPr="00181FCD">
        <w:t xml:space="preserve"> </w:t>
      </w:r>
      <w:r w:rsidRPr="00181FCD">
        <w:t>la</w:t>
      </w:r>
      <w:r w:rsidR="00F373A3" w:rsidRPr="00181FCD">
        <w:t xml:space="preserve"> </w:t>
      </w:r>
      <w:r w:rsidRPr="00181FCD">
        <w:t>vigilancia</w:t>
      </w:r>
      <w:r w:rsidR="00F373A3" w:rsidRPr="00181FCD">
        <w:t xml:space="preserve"> </w:t>
      </w:r>
      <w:r w:rsidRPr="00181FCD">
        <w:t>en</w:t>
      </w:r>
      <w:r w:rsidR="00F373A3" w:rsidRPr="00181FCD">
        <w:t xml:space="preserve"> </w:t>
      </w:r>
      <w:r w:rsidRPr="00181FCD">
        <w:t>la</w:t>
      </w:r>
      <w:r w:rsidR="00F373A3" w:rsidRPr="00181FCD">
        <w:t xml:space="preserve"> </w:t>
      </w:r>
      <w:r w:rsidRPr="00181FCD">
        <w:t>frontera</w:t>
      </w:r>
      <w:r w:rsidR="00F373A3" w:rsidRPr="00181FCD">
        <w:t xml:space="preserve"> </w:t>
      </w:r>
      <w:r w:rsidRPr="00181FCD">
        <w:t>verde,</w:t>
      </w:r>
      <w:r w:rsidR="00F373A3" w:rsidRPr="00181FCD">
        <w:t xml:space="preserve"> </w:t>
      </w:r>
      <w:r w:rsidRPr="00181FCD">
        <w:t>en</w:t>
      </w:r>
      <w:r w:rsidR="00F373A3" w:rsidRPr="00181FCD">
        <w:t xml:space="preserve"> </w:t>
      </w:r>
      <w:r w:rsidRPr="00181FCD">
        <w:t>temas</w:t>
      </w:r>
      <w:r w:rsidR="00F373A3" w:rsidRPr="00181FCD">
        <w:t xml:space="preserve"> </w:t>
      </w:r>
      <w:r w:rsidRPr="00181FCD">
        <w:t>relacionados</w:t>
      </w:r>
      <w:r w:rsidR="00F373A3" w:rsidRPr="00181FCD">
        <w:t xml:space="preserve"> </w:t>
      </w:r>
      <w:r w:rsidRPr="00181FCD">
        <w:t>con</w:t>
      </w:r>
      <w:r w:rsidR="00F373A3" w:rsidRPr="00181FCD">
        <w:t xml:space="preserve"> </w:t>
      </w:r>
      <w:r w:rsidRPr="00181FCD">
        <w:t>el</w:t>
      </w:r>
      <w:r w:rsidR="00F373A3" w:rsidRPr="00181FCD">
        <w:t xml:space="preserve"> </w:t>
      </w:r>
      <w:r w:rsidRPr="00181FCD">
        <w:t>respeto</w:t>
      </w:r>
      <w:r w:rsidR="00F373A3" w:rsidRPr="00181FCD">
        <w:t xml:space="preserve"> </w:t>
      </w:r>
      <w:r w:rsidRPr="00181FCD">
        <w:t>de</w:t>
      </w:r>
      <w:r w:rsidR="00F373A3" w:rsidRPr="00181FCD">
        <w:t xml:space="preserve"> </w:t>
      </w:r>
      <w:r w:rsidRPr="00181FCD">
        <w:t>los</w:t>
      </w:r>
      <w:r w:rsidR="00F373A3" w:rsidRPr="00181FCD">
        <w:t xml:space="preserve"> </w:t>
      </w:r>
      <w:r w:rsidRPr="00181FCD">
        <w:t>derechos</w:t>
      </w:r>
      <w:r w:rsidR="00F373A3" w:rsidRPr="00181FCD">
        <w:t xml:space="preserve"> </w:t>
      </w:r>
      <w:r w:rsidRPr="00181FCD">
        <w:t>humanos</w:t>
      </w:r>
      <w:r w:rsidR="00F373A3" w:rsidRPr="00181FCD">
        <w:t xml:space="preserve"> </w:t>
      </w:r>
      <w:r w:rsidRPr="00181FCD">
        <w:t>fundamentales,</w:t>
      </w:r>
      <w:r w:rsidR="00F373A3" w:rsidRPr="00181FCD">
        <w:t xml:space="preserve"> </w:t>
      </w:r>
      <w:r w:rsidRPr="00181FCD">
        <w:t>especialmente</w:t>
      </w:r>
      <w:r w:rsidR="00F373A3" w:rsidRPr="00181FCD">
        <w:t xml:space="preserve"> </w:t>
      </w:r>
      <w:r w:rsidRPr="00181FCD">
        <w:t>en</w:t>
      </w:r>
      <w:r w:rsidR="00F373A3" w:rsidRPr="00181FCD">
        <w:t xml:space="preserve"> </w:t>
      </w:r>
      <w:r w:rsidRPr="00181FCD">
        <w:t>los</w:t>
      </w:r>
      <w:r w:rsidR="00F373A3" w:rsidRPr="00181FCD">
        <w:t xml:space="preserve"> </w:t>
      </w:r>
      <w:r w:rsidRPr="00181FCD">
        <w:t>casos</w:t>
      </w:r>
      <w:r w:rsidR="00F373A3" w:rsidRPr="00181FCD">
        <w:t xml:space="preserve"> </w:t>
      </w:r>
      <w:r w:rsidRPr="00181FCD">
        <w:t>de</w:t>
      </w:r>
      <w:r w:rsidR="00F373A3" w:rsidRPr="00181FCD">
        <w:t xml:space="preserve"> </w:t>
      </w:r>
      <w:r w:rsidRPr="00181FCD">
        <w:t>los</w:t>
      </w:r>
      <w:r w:rsidR="00F373A3" w:rsidRPr="00181FCD">
        <w:t xml:space="preserve"> </w:t>
      </w:r>
      <w:r w:rsidRPr="00181FCD">
        <w:t>solicitantes</w:t>
      </w:r>
      <w:r w:rsidR="00F373A3" w:rsidRPr="00181FCD">
        <w:t xml:space="preserve"> </w:t>
      </w:r>
      <w:r w:rsidRPr="00181FCD">
        <w:t>de</w:t>
      </w:r>
      <w:r w:rsidR="00F373A3" w:rsidRPr="00181FCD">
        <w:t xml:space="preserve"> </w:t>
      </w:r>
      <w:r w:rsidRPr="00181FCD">
        <w:t>asilo.</w:t>
      </w:r>
      <w:r w:rsidR="00F373A3" w:rsidRPr="00181FCD">
        <w:t xml:space="preserve"> </w:t>
      </w:r>
      <w:r w:rsidRPr="00181FCD">
        <w:t>Con</w:t>
      </w:r>
      <w:r w:rsidR="00F373A3" w:rsidRPr="00181FCD">
        <w:t xml:space="preserve"> </w:t>
      </w:r>
      <w:r w:rsidRPr="00181FCD">
        <w:t>el</w:t>
      </w:r>
      <w:r w:rsidR="00F373A3" w:rsidRPr="00181FCD">
        <w:t xml:space="preserve"> </w:t>
      </w:r>
      <w:r w:rsidRPr="00181FCD">
        <w:t>apoyo</w:t>
      </w:r>
      <w:r w:rsidR="00F373A3" w:rsidRPr="00181FCD">
        <w:t xml:space="preserve"> </w:t>
      </w:r>
      <w:r w:rsidRPr="00181FCD">
        <w:t>del</w:t>
      </w:r>
      <w:r w:rsidR="00F373A3" w:rsidRPr="00181FCD">
        <w:t xml:space="preserve"> </w:t>
      </w:r>
      <w:r w:rsidRPr="00181FCD">
        <w:t>ACNUR,</w:t>
      </w:r>
      <w:r w:rsidR="00F373A3" w:rsidRPr="00181FCD">
        <w:t xml:space="preserve"> </w:t>
      </w:r>
      <w:r w:rsidRPr="00181FCD">
        <w:t>el</w:t>
      </w:r>
      <w:r w:rsidR="00F373A3" w:rsidRPr="00181FCD">
        <w:t xml:space="preserve"> </w:t>
      </w:r>
      <w:r w:rsidRPr="00181FCD">
        <w:t>Comité</w:t>
      </w:r>
      <w:r w:rsidR="00F373A3" w:rsidRPr="00181FCD">
        <w:t xml:space="preserve"> </w:t>
      </w:r>
      <w:r w:rsidRPr="00181FCD">
        <w:t>Búlgaro</w:t>
      </w:r>
      <w:r w:rsidR="00F373A3" w:rsidRPr="00181FCD">
        <w:t xml:space="preserve"> </w:t>
      </w:r>
      <w:r w:rsidRPr="00181FCD">
        <w:t>de</w:t>
      </w:r>
      <w:r w:rsidR="00F373A3" w:rsidRPr="00181FCD">
        <w:t xml:space="preserve"> </w:t>
      </w:r>
      <w:r w:rsidRPr="00181FCD">
        <w:t>Helsinki,</w:t>
      </w:r>
      <w:r w:rsidR="00F373A3" w:rsidRPr="00181FCD">
        <w:t xml:space="preserve"> </w:t>
      </w:r>
      <w:r w:rsidRPr="00181FCD">
        <w:t>la</w:t>
      </w:r>
      <w:r w:rsidR="00F373A3" w:rsidRPr="00181FCD">
        <w:t xml:space="preserve"> </w:t>
      </w:r>
      <w:r w:rsidRPr="00181FCD">
        <w:t>Cruz</w:t>
      </w:r>
      <w:r w:rsidR="00F373A3" w:rsidRPr="00181FCD">
        <w:t xml:space="preserve"> </w:t>
      </w:r>
      <w:r w:rsidRPr="00181FCD">
        <w:t>Roja</w:t>
      </w:r>
      <w:r w:rsidR="00F373A3" w:rsidRPr="00181FCD">
        <w:t xml:space="preserve"> </w:t>
      </w:r>
      <w:r w:rsidRPr="00181FCD">
        <w:t>de</w:t>
      </w:r>
      <w:r w:rsidR="00F373A3" w:rsidRPr="00181FCD">
        <w:t xml:space="preserve"> </w:t>
      </w:r>
      <w:r w:rsidRPr="00181FCD">
        <w:t>Bulgaria</w:t>
      </w:r>
      <w:r w:rsidR="00F373A3" w:rsidRPr="00181FCD">
        <w:t xml:space="preserve"> </w:t>
      </w:r>
      <w:r w:rsidRPr="00181FCD">
        <w:t>y</w:t>
      </w:r>
      <w:r w:rsidR="00F373A3" w:rsidRPr="00181FCD">
        <w:t xml:space="preserve"> </w:t>
      </w:r>
      <w:r w:rsidRPr="00181FCD">
        <w:t>la</w:t>
      </w:r>
      <w:r w:rsidR="00F373A3" w:rsidRPr="00181FCD">
        <w:t xml:space="preserve"> </w:t>
      </w:r>
      <w:r w:rsidRPr="00181FCD">
        <w:t>Agencia</w:t>
      </w:r>
      <w:r w:rsidR="00F373A3" w:rsidRPr="00181FCD">
        <w:t xml:space="preserve"> </w:t>
      </w:r>
      <w:r w:rsidRPr="00181FCD">
        <w:t>Estatal</w:t>
      </w:r>
      <w:r w:rsidR="00F373A3" w:rsidRPr="00181FCD">
        <w:t xml:space="preserve"> </w:t>
      </w:r>
      <w:r w:rsidRPr="00181FCD">
        <w:t>para</w:t>
      </w:r>
      <w:r w:rsidR="00F373A3" w:rsidRPr="00181FCD">
        <w:t xml:space="preserve"> </w:t>
      </w:r>
      <w:r w:rsidRPr="00181FCD">
        <w:t>los</w:t>
      </w:r>
      <w:r w:rsidR="00F373A3" w:rsidRPr="00181FCD">
        <w:t xml:space="preserve"> </w:t>
      </w:r>
      <w:r w:rsidRPr="00181FCD">
        <w:t>Refugiados,</w:t>
      </w:r>
      <w:r w:rsidR="00F373A3" w:rsidRPr="00181FCD">
        <w:t xml:space="preserve"> </w:t>
      </w:r>
      <w:r w:rsidRPr="00181FCD">
        <w:t>todos</w:t>
      </w:r>
      <w:r w:rsidR="00F373A3" w:rsidRPr="00181FCD">
        <w:t xml:space="preserve"> </w:t>
      </w:r>
      <w:r w:rsidRPr="00181FCD">
        <w:t>los</w:t>
      </w:r>
      <w:r w:rsidR="00F373A3" w:rsidRPr="00181FCD">
        <w:t xml:space="preserve"> </w:t>
      </w:r>
      <w:r w:rsidRPr="00181FCD">
        <w:t>años</w:t>
      </w:r>
      <w:r w:rsidR="00F373A3" w:rsidRPr="00181FCD">
        <w:t xml:space="preserve"> </w:t>
      </w:r>
      <w:r w:rsidRPr="00181FCD">
        <w:t>se</w:t>
      </w:r>
      <w:r w:rsidR="00F373A3" w:rsidRPr="00181FCD">
        <w:t xml:space="preserve"> </w:t>
      </w:r>
      <w:r w:rsidRPr="00181FCD">
        <w:t>imparten</w:t>
      </w:r>
      <w:r w:rsidR="00F373A3" w:rsidRPr="00181FCD">
        <w:t xml:space="preserve"> </w:t>
      </w:r>
      <w:r w:rsidRPr="00181FCD">
        <w:t>cursos</w:t>
      </w:r>
      <w:r w:rsidR="00F373A3" w:rsidRPr="00181FCD">
        <w:t xml:space="preserve"> </w:t>
      </w:r>
      <w:r w:rsidRPr="00181FCD">
        <w:t>de</w:t>
      </w:r>
      <w:r w:rsidR="00F373A3" w:rsidRPr="00181FCD">
        <w:t xml:space="preserve"> </w:t>
      </w:r>
      <w:r w:rsidRPr="00181FCD">
        <w:t>formación</w:t>
      </w:r>
      <w:r w:rsidR="00F373A3" w:rsidRPr="00181FCD">
        <w:t xml:space="preserve"> </w:t>
      </w:r>
      <w:r w:rsidRPr="00181FCD">
        <w:t>sobre</w:t>
      </w:r>
      <w:r w:rsidR="00F373A3" w:rsidRPr="00181FCD">
        <w:t xml:space="preserve"> </w:t>
      </w:r>
      <w:r w:rsidRPr="00181FCD">
        <w:t>el</w:t>
      </w:r>
      <w:r w:rsidR="00F373A3" w:rsidRPr="00181FCD">
        <w:t xml:space="preserve"> </w:t>
      </w:r>
      <w:r w:rsidRPr="00181FCD">
        <w:t>acceso</w:t>
      </w:r>
      <w:r w:rsidR="00F373A3" w:rsidRPr="00181FCD">
        <w:t xml:space="preserve"> </w:t>
      </w:r>
      <w:r w:rsidRPr="00181FCD">
        <w:t>al</w:t>
      </w:r>
      <w:r w:rsidR="00F373A3" w:rsidRPr="00181FCD">
        <w:t xml:space="preserve"> </w:t>
      </w:r>
      <w:r w:rsidRPr="00181FCD">
        <w:t>territorio</w:t>
      </w:r>
      <w:r w:rsidR="00F373A3" w:rsidRPr="00181FCD">
        <w:t xml:space="preserve"> </w:t>
      </w:r>
      <w:r w:rsidRPr="00181FCD">
        <w:t>y</w:t>
      </w:r>
      <w:r w:rsidR="00F373A3" w:rsidRPr="00181FCD">
        <w:t xml:space="preserve"> </w:t>
      </w:r>
      <w:r w:rsidRPr="00181FCD">
        <w:t>el</w:t>
      </w:r>
      <w:r w:rsidR="00F373A3" w:rsidRPr="00181FCD">
        <w:t xml:space="preserve"> </w:t>
      </w:r>
      <w:r w:rsidRPr="00181FCD">
        <w:t>procedimiento</w:t>
      </w:r>
      <w:r w:rsidR="00F373A3" w:rsidRPr="00181FCD">
        <w:t xml:space="preserve"> </w:t>
      </w:r>
      <w:r w:rsidRPr="00181FCD">
        <w:t>de</w:t>
      </w:r>
      <w:r w:rsidR="00F373A3" w:rsidRPr="00181FCD">
        <w:t xml:space="preserve"> </w:t>
      </w:r>
      <w:r w:rsidRPr="00181FCD">
        <w:t>concesión</w:t>
      </w:r>
      <w:r w:rsidR="00F373A3" w:rsidRPr="00181FCD">
        <w:t xml:space="preserve"> </w:t>
      </w:r>
      <w:r w:rsidRPr="00181FCD">
        <w:t>de</w:t>
      </w:r>
      <w:r w:rsidR="00F373A3" w:rsidRPr="00181FCD">
        <w:t xml:space="preserve"> </w:t>
      </w:r>
      <w:r w:rsidRPr="00181FCD">
        <w:t>protección</w:t>
      </w:r>
      <w:r w:rsidR="00F373A3" w:rsidRPr="00181FCD">
        <w:t xml:space="preserve"> </w:t>
      </w:r>
      <w:r w:rsidRPr="00181FCD">
        <w:t>a</w:t>
      </w:r>
      <w:r w:rsidR="00F373A3" w:rsidRPr="00181FCD">
        <w:t xml:space="preserve"> </w:t>
      </w:r>
      <w:r w:rsidRPr="00181FCD">
        <w:t>los</w:t>
      </w:r>
      <w:r w:rsidR="00F373A3" w:rsidRPr="00181FCD">
        <w:t xml:space="preserve"> </w:t>
      </w:r>
      <w:r w:rsidRPr="00181FCD">
        <w:t>refugiados</w:t>
      </w:r>
      <w:r w:rsidR="00F373A3" w:rsidRPr="00181FCD">
        <w:t xml:space="preserve"> </w:t>
      </w:r>
      <w:r w:rsidRPr="00181FCD">
        <w:t>en</w:t>
      </w:r>
      <w:r w:rsidR="00F373A3" w:rsidRPr="00181FCD">
        <w:t xml:space="preserve"> </w:t>
      </w:r>
      <w:r w:rsidRPr="00181FCD">
        <w:t>Bulgaria,</w:t>
      </w:r>
      <w:r w:rsidR="00F373A3" w:rsidRPr="00181FCD">
        <w:t xml:space="preserve"> </w:t>
      </w:r>
      <w:r w:rsidRPr="00181FCD">
        <w:t>así</w:t>
      </w:r>
      <w:r w:rsidR="00F373A3" w:rsidRPr="00181FCD">
        <w:t xml:space="preserve"> </w:t>
      </w:r>
      <w:r w:rsidRPr="00181FCD">
        <w:t>como</w:t>
      </w:r>
      <w:r w:rsidR="00F373A3" w:rsidRPr="00181FCD">
        <w:t xml:space="preserve"> </w:t>
      </w:r>
      <w:r w:rsidRPr="00181FCD">
        <w:t>sobre</w:t>
      </w:r>
      <w:r w:rsidR="00F373A3" w:rsidRPr="00181FCD">
        <w:t xml:space="preserve"> </w:t>
      </w:r>
      <w:r w:rsidRPr="00181FCD">
        <w:t>los</w:t>
      </w:r>
      <w:r w:rsidR="00F373A3" w:rsidRPr="00181FCD">
        <w:t xml:space="preserve"> </w:t>
      </w:r>
      <w:r w:rsidRPr="00181FCD">
        <w:t>grupos</w:t>
      </w:r>
      <w:r w:rsidR="00F373A3" w:rsidRPr="00181FCD">
        <w:t xml:space="preserve"> </w:t>
      </w:r>
      <w:r w:rsidRPr="00181FCD">
        <w:t>vulnerables.</w:t>
      </w:r>
    </w:p>
    <w:p w:rsidR="001937F4" w:rsidRPr="00181FCD" w:rsidRDefault="001937F4" w:rsidP="005652C6">
      <w:pPr>
        <w:pStyle w:val="Bullet1G"/>
      </w:pPr>
      <w:r w:rsidRPr="00181FCD">
        <w:t>Con</w:t>
      </w:r>
      <w:r w:rsidR="00F373A3" w:rsidRPr="00181FCD">
        <w:t xml:space="preserve"> </w:t>
      </w:r>
      <w:r w:rsidRPr="00181FCD">
        <w:t>el</w:t>
      </w:r>
      <w:r w:rsidR="00F373A3" w:rsidRPr="00181FCD">
        <w:t xml:space="preserve"> </w:t>
      </w:r>
      <w:r w:rsidRPr="00181FCD">
        <w:t>fin</w:t>
      </w:r>
      <w:r w:rsidR="00F373A3" w:rsidRPr="00181FCD">
        <w:t xml:space="preserve"> </w:t>
      </w:r>
      <w:r w:rsidRPr="00181FCD">
        <w:t>de</w:t>
      </w:r>
      <w:r w:rsidR="00F373A3" w:rsidRPr="00181FCD">
        <w:t xml:space="preserve"> </w:t>
      </w:r>
      <w:r w:rsidRPr="00181FCD">
        <w:t>respetar</w:t>
      </w:r>
      <w:r w:rsidR="00F373A3" w:rsidRPr="00181FCD">
        <w:t xml:space="preserve"> </w:t>
      </w:r>
      <w:r w:rsidRPr="00181FCD">
        <w:t>el</w:t>
      </w:r>
      <w:r w:rsidR="00F373A3" w:rsidRPr="00181FCD">
        <w:t xml:space="preserve"> </w:t>
      </w:r>
      <w:r w:rsidRPr="00181FCD">
        <w:t>principio</w:t>
      </w:r>
      <w:r w:rsidR="00F373A3" w:rsidRPr="00181FCD">
        <w:t xml:space="preserve"> </w:t>
      </w:r>
      <w:r w:rsidRPr="00181FCD">
        <w:t>de</w:t>
      </w:r>
      <w:r w:rsidR="00F373A3" w:rsidRPr="00181FCD">
        <w:t xml:space="preserve"> </w:t>
      </w:r>
      <w:r w:rsidRPr="00181FCD">
        <w:t>no</w:t>
      </w:r>
      <w:r w:rsidR="00F373A3" w:rsidRPr="00181FCD">
        <w:t xml:space="preserve"> </w:t>
      </w:r>
      <w:r w:rsidRPr="00181FCD">
        <w:t>devolución,</w:t>
      </w:r>
      <w:r w:rsidR="00F373A3" w:rsidRPr="00181FCD">
        <w:t xml:space="preserve"> </w:t>
      </w:r>
      <w:r w:rsidRPr="00181FCD">
        <w:t>se</w:t>
      </w:r>
      <w:r w:rsidR="00F373A3" w:rsidRPr="00181FCD">
        <w:t xml:space="preserve"> </w:t>
      </w:r>
      <w:r w:rsidRPr="00181FCD">
        <w:t>han</w:t>
      </w:r>
      <w:r w:rsidR="00F373A3" w:rsidRPr="00181FCD">
        <w:t xml:space="preserve"> </w:t>
      </w:r>
      <w:r w:rsidRPr="00181FCD">
        <w:t>enviado</w:t>
      </w:r>
      <w:r w:rsidR="00F373A3" w:rsidRPr="00181FCD">
        <w:t xml:space="preserve"> </w:t>
      </w:r>
      <w:r w:rsidRPr="00181FCD">
        <w:t>instrucciones</w:t>
      </w:r>
      <w:r w:rsidR="00F373A3" w:rsidRPr="00181FCD">
        <w:t xml:space="preserve"> </w:t>
      </w:r>
      <w:r w:rsidRPr="00181FCD">
        <w:t>a</w:t>
      </w:r>
      <w:r w:rsidR="00F373A3" w:rsidRPr="00181FCD">
        <w:t xml:space="preserve"> </w:t>
      </w:r>
      <w:r w:rsidRPr="00181FCD">
        <w:t>todos</w:t>
      </w:r>
      <w:r w:rsidR="00F373A3" w:rsidRPr="00181FCD">
        <w:t xml:space="preserve"> </w:t>
      </w:r>
      <w:r w:rsidRPr="00181FCD">
        <w:t>los</w:t>
      </w:r>
      <w:r w:rsidR="00F373A3" w:rsidRPr="00181FCD">
        <w:t xml:space="preserve"> </w:t>
      </w:r>
      <w:r w:rsidRPr="00181FCD">
        <w:t>pasos</w:t>
      </w:r>
      <w:r w:rsidR="00F373A3" w:rsidRPr="00181FCD">
        <w:t xml:space="preserve"> </w:t>
      </w:r>
      <w:r w:rsidRPr="00181FCD">
        <w:t>fronterizos</w:t>
      </w:r>
      <w:r w:rsidR="00F373A3" w:rsidRPr="00181FCD">
        <w:t xml:space="preserve"> </w:t>
      </w:r>
      <w:r w:rsidRPr="00181FCD">
        <w:t>sobre</w:t>
      </w:r>
      <w:r w:rsidR="00F373A3" w:rsidRPr="00181FCD">
        <w:t xml:space="preserve"> </w:t>
      </w:r>
      <w:r w:rsidRPr="00181FCD">
        <w:t>la</w:t>
      </w:r>
      <w:r w:rsidR="00F373A3" w:rsidRPr="00181FCD">
        <w:t xml:space="preserve"> </w:t>
      </w:r>
      <w:r w:rsidRPr="00181FCD">
        <w:t>manera</w:t>
      </w:r>
      <w:r w:rsidR="00F373A3" w:rsidRPr="00181FCD">
        <w:t xml:space="preserve"> </w:t>
      </w:r>
      <w:r w:rsidRPr="00181FCD">
        <w:t>de</w:t>
      </w:r>
      <w:r w:rsidR="00F373A3" w:rsidRPr="00181FCD">
        <w:t xml:space="preserve"> </w:t>
      </w:r>
      <w:r w:rsidRPr="00181FCD">
        <w:t>presentar</w:t>
      </w:r>
      <w:r w:rsidR="00F373A3" w:rsidRPr="00181FCD">
        <w:t xml:space="preserve"> </w:t>
      </w:r>
      <w:r w:rsidRPr="00181FCD">
        <w:t>una</w:t>
      </w:r>
      <w:r w:rsidR="00F373A3" w:rsidRPr="00181FCD">
        <w:t xml:space="preserve"> </w:t>
      </w:r>
      <w:r w:rsidRPr="00181FCD">
        <w:t>solicitud</w:t>
      </w:r>
      <w:r w:rsidR="00F373A3" w:rsidRPr="00181FCD">
        <w:t xml:space="preserve"> </w:t>
      </w:r>
      <w:r w:rsidRPr="00181FCD">
        <w:t>de</w:t>
      </w:r>
      <w:r w:rsidR="00F373A3" w:rsidRPr="00181FCD">
        <w:t xml:space="preserve"> </w:t>
      </w:r>
      <w:r w:rsidRPr="00181FCD">
        <w:t>protección</w:t>
      </w:r>
      <w:r w:rsidR="00F373A3" w:rsidRPr="00181FCD">
        <w:t xml:space="preserve"> </w:t>
      </w:r>
      <w:r w:rsidRPr="00181FCD">
        <w:t>en</w:t>
      </w:r>
      <w:r w:rsidR="00F373A3" w:rsidRPr="00181FCD">
        <w:t xml:space="preserve"> </w:t>
      </w:r>
      <w:r w:rsidRPr="00181FCD">
        <w:t>Bulgaria</w:t>
      </w:r>
      <w:r w:rsidR="00F373A3" w:rsidRPr="00181FCD">
        <w:t xml:space="preserve"> </w:t>
      </w:r>
      <w:r w:rsidRPr="00181FCD">
        <w:t>ante</w:t>
      </w:r>
      <w:r w:rsidR="00F373A3" w:rsidRPr="00181FCD">
        <w:t xml:space="preserve"> </w:t>
      </w:r>
      <w:r w:rsidRPr="00181FCD">
        <w:t>los</w:t>
      </w:r>
      <w:r w:rsidR="00F373A3" w:rsidRPr="00181FCD">
        <w:t xml:space="preserve"> </w:t>
      </w:r>
      <w:r w:rsidRPr="00181FCD">
        <w:t>funcionarios</w:t>
      </w:r>
      <w:r w:rsidR="00F373A3" w:rsidRPr="00181FCD">
        <w:t xml:space="preserve"> </w:t>
      </w:r>
      <w:r w:rsidRPr="00181FCD">
        <w:t>de</w:t>
      </w:r>
      <w:r w:rsidR="00F373A3" w:rsidRPr="00181FCD">
        <w:t xml:space="preserve"> </w:t>
      </w:r>
      <w:r w:rsidRPr="00181FCD">
        <w:t>la</w:t>
      </w:r>
      <w:r w:rsidR="00F373A3" w:rsidRPr="00181FCD">
        <w:t xml:space="preserve"> </w:t>
      </w:r>
      <w:r w:rsidRPr="00181FCD">
        <w:t>Agencia</w:t>
      </w:r>
      <w:r w:rsidR="00F373A3" w:rsidRPr="00181FCD">
        <w:t xml:space="preserve"> </w:t>
      </w:r>
      <w:r w:rsidRPr="00181FCD">
        <w:t>Estatal</w:t>
      </w:r>
      <w:r w:rsidR="00F373A3" w:rsidRPr="00181FCD">
        <w:t xml:space="preserve"> </w:t>
      </w:r>
      <w:r w:rsidRPr="00181FCD">
        <w:t>para</w:t>
      </w:r>
      <w:r w:rsidR="00F373A3" w:rsidRPr="00181FCD">
        <w:t xml:space="preserve"> </w:t>
      </w:r>
      <w:r w:rsidRPr="00181FCD">
        <w:t>los</w:t>
      </w:r>
      <w:r w:rsidR="00F373A3" w:rsidRPr="00181FCD">
        <w:t xml:space="preserve"> </w:t>
      </w:r>
      <w:r w:rsidRPr="00181FCD">
        <w:t>Refugiados</w:t>
      </w:r>
      <w:r w:rsidR="005652C6" w:rsidRPr="00181FCD">
        <w:t>.</w:t>
      </w:r>
    </w:p>
    <w:p w:rsidR="001937F4" w:rsidRPr="00181FCD" w:rsidRDefault="001937F4" w:rsidP="005652C6">
      <w:pPr>
        <w:pStyle w:val="Bullet1G"/>
      </w:pPr>
      <w:r w:rsidRPr="00181FCD">
        <w:t>Se</w:t>
      </w:r>
      <w:r w:rsidR="00F373A3" w:rsidRPr="00181FCD">
        <w:t xml:space="preserve"> </w:t>
      </w:r>
      <w:r w:rsidRPr="00181FCD">
        <w:t>presta</w:t>
      </w:r>
      <w:r w:rsidR="00F373A3" w:rsidRPr="00181FCD">
        <w:t xml:space="preserve"> </w:t>
      </w:r>
      <w:r w:rsidRPr="00181FCD">
        <w:t>especial</w:t>
      </w:r>
      <w:r w:rsidR="00F373A3" w:rsidRPr="00181FCD">
        <w:t xml:space="preserve"> </w:t>
      </w:r>
      <w:r w:rsidRPr="00181FCD">
        <w:t>atención</w:t>
      </w:r>
      <w:r w:rsidR="00F373A3" w:rsidRPr="00181FCD">
        <w:t xml:space="preserve"> </w:t>
      </w:r>
      <w:r w:rsidRPr="00181FCD">
        <w:t>a</w:t>
      </w:r>
      <w:r w:rsidR="00F373A3" w:rsidRPr="00181FCD">
        <w:t xml:space="preserve"> </w:t>
      </w:r>
      <w:r w:rsidRPr="00181FCD">
        <w:t>un</w:t>
      </w:r>
      <w:r w:rsidR="00F373A3" w:rsidRPr="00181FCD">
        <w:t xml:space="preserve"> </w:t>
      </w:r>
      <w:r w:rsidRPr="00181FCD">
        <w:t>proceso</w:t>
      </w:r>
      <w:r w:rsidR="00F373A3" w:rsidRPr="00181FCD">
        <w:t xml:space="preserve"> </w:t>
      </w:r>
      <w:r w:rsidRPr="00181FCD">
        <w:t>de</w:t>
      </w:r>
      <w:r w:rsidR="00F373A3" w:rsidRPr="00181FCD">
        <w:t xml:space="preserve"> </w:t>
      </w:r>
      <w:r w:rsidRPr="00181FCD">
        <w:t>filtrado</w:t>
      </w:r>
      <w:r w:rsidR="00F373A3" w:rsidRPr="00181FCD">
        <w:t xml:space="preserve"> </w:t>
      </w:r>
      <w:r w:rsidRPr="00181FCD">
        <w:t>de</w:t>
      </w:r>
      <w:r w:rsidR="00F373A3" w:rsidRPr="00181FCD">
        <w:t xml:space="preserve"> </w:t>
      </w:r>
      <w:r w:rsidRPr="00181FCD">
        <w:t>los</w:t>
      </w:r>
      <w:r w:rsidR="00F373A3" w:rsidRPr="00181FCD">
        <w:t xml:space="preserve"> </w:t>
      </w:r>
      <w:r w:rsidRPr="00181FCD">
        <w:t>solicitantes</w:t>
      </w:r>
      <w:r w:rsidR="00F373A3" w:rsidRPr="00181FCD">
        <w:t xml:space="preserve"> </w:t>
      </w:r>
      <w:r w:rsidRPr="00181FCD">
        <w:t>de</w:t>
      </w:r>
      <w:r w:rsidR="00F373A3" w:rsidRPr="00181FCD">
        <w:t xml:space="preserve"> </w:t>
      </w:r>
      <w:r w:rsidRPr="00181FCD">
        <w:t>asilo,</w:t>
      </w:r>
      <w:r w:rsidR="00F373A3" w:rsidRPr="00181FCD">
        <w:t xml:space="preserve"> </w:t>
      </w:r>
      <w:r w:rsidRPr="00181FCD">
        <w:t>con</w:t>
      </w:r>
      <w:r w:rsidR="00F373A3" w:rsidRPr="00181FCD">
        <w:t xml:space="preserve"> </w:t>
      </w:r>
      <w:r w:rsidRPr="00181FCD">
        <w:t>miras</w:t>
      </w:r>
      <w:r w:rsidR="00F373A3" w:rsidRPr="00181FCD">
        <w:t xml:space="preserve"> </w:t>
      </w:r>
      <w:r w:rsidRPr="00181FCD">
        <w:t>a</w:t>
      </w:r>
      <w:r w:rsidR="00F373A3" w:rsidRPr="00181FCD">
        <w:t xml:space="preserve"> </w:t>
      </w:r>
      <w:r w:rsidRPr="00181FCD">
        <w:t>identificar</w:t>
      </w:r>
      <w:r w:rsidR="00F373A3" w:rsidRPr="00181FCD">
        <w:t xml:space="preserve"> </w:t>
      </w:r>
      <w:r w:rsidRPr="00181FCD">
        <w:t>a</w:t>
      </w:r>
      <w:r w:rsidR="00F373A3" w:rsidRPr="00181FCD">
        <w:t xml:space="preserve"> </w:t>
      </w:r>
      <w:r w:rsidRPr="00181FCD">
        <w:t>las</w:t>
      </w:r>
      <w:r w:rsidR="00F373A3" w:rsidRPr="00181FCD">
        <w:t xml:space="preserve"> </w:t>
      </w:r>
      <w:r w:rsidRPr="00181FCD">
        <w:t>personas</w:t>
      </w:r>
      <w:r w:rsidR="00F373A3" w:rsidRPr="00181FCD">
        <w:t xml:space="preserve"> </w:t>
      </w:r>
      <w:r w:rsidRPr="00181FCD">
        <w:t>vulnerables</w:t>
      </w:r>
      <w:r w:rsidR="00F373A3" w:rsidRPr="00181FCD">
        <w:t xml:space="preserve"> </w:t>
      </w:r>
      <w:r w:rsidRPr="00181FCD">
        <w:t>y</w:t>
      </w:r>
      <w:r w:rsidR="00F373A3" w:rsidRPr="00181FCD">
        <w:t xml:space="preserve"> </w:t>
      </w:r>
      <w:r w:rsidRPr="00181FCD">
        <w:t>personas</w:t>
      </w:r>
      <w:r w:rsidR="00F373A3" w:rsidRPr="00181FCD">
        <w:t xml:space="preserve"> </w:t>
      </w:r>
      <w:r w:rsidRPr="00181FCD">
        <w:t>con</w:t>
      </w:r>
      <w:r w:rsidR="00F373A3" w:rsidRPr="00181FCD">
        <w:t xml:space="preserve"> </w:t>
      </w:r>
      <w:r w:rsidRPr="00181FCD">
        <w:t>necesidades</w:t>
      </w:r>
      <w:r w:rsidR="00F373A3" w:rsidRPr="00181FCD">
        <w:t xml:space="preserve"> </w:t>
      </w:r>
      <w:r w:rsidRPr="00181FCD">
        <w:t>específicas.</w:t>
      </w:r>
      <w:r w:rsidR="00F373A3" w:rsidRPr="00181FCD">
        <w:t xml:space="preserve"> </w:t>
      </w:r>
      <w:r w:rsidRPr="00181FCD">
        <w:t>En</w:t>
      </w:r>
      <w:r w:rsidR="00F373A3" w:rsidRPr="00181FCD">
        <w:t xml:space="preserve"> </w:t>
      </w:r>
      <w:r w:rsidRPr="00181FCD">
        <w:t>el</w:t>
      </w:r>
      <w:r w:rsidR="00F373A3" w:rsidRPr="00181FCD">
        <w:t xml:space="preserve"> </w:t>
      </w:r>
      <w:r w:rsidRPr="00181FCD">
        <w:t>marco</w:t>
      </w:r>
      <w:r w:rsidR="00F373A3" w:rsidRPr="00181FCD">
        <w:t xml:space="preserve"> </w:t>
      </w:r>
      <w:r w:rsidRPr="00181FCD">
        <w:t>de</w:t>
      </w:r>
      <w:r w:rsidR="00F373A3" w:rsidRPr="00181FCD">
        <w:t xml:space="preserve"> </w:t>
      </w:r>
      <w:r w:rsidRPr="00181FCD">
        <w:t>diversos</w:t>
      </w:r>
      <w:r w:rsidR="00F373A3" w:rsidRPr="00181FCD">
        <w:t xml:space="preserve"> </w:t>
      </w:r>
      <w:r w:rsidRPr="00181FCD">
        <w:t>programas</w:t>
      </w:r>
      <w:r w:rsidR="00F373A3" w:rsidRPr="00181FCD">
        <w:t xml:space="preserve"> </w:t>
      </w:r>
      <w:r w:rsidRPr="00181FCD">
        <w:t>se</w:t>
      </w:r>
      <w:r w:rsidR="00F373A3" w:rsidRPr="00181FCD">
        <w:t xml:space="preserve"> </w:t>
      </w:r>
      <w:r w:rsidRPr="00181FCD">
        <w:t>imparte</w:t>
      </w:r>
      <w:r w:rsidR="00F373A3" w:rsidRPr="00181FCD">
        <w:t xml:space="preserve"> </w:t>
      </w:r>
      <w:r w:rsidRPr="00181FCD">
        <w:t>capacitación</w:t>
      </w:r>
      <w:r w:rsidR="00F373A3" w:rsidRPr="00181FCD">
        <w:t xml:space="preserve"> </w:t>
      </w:r>
      <w:r w:rsidRPr="00181FCD">
        <w:t>a</w:t>
      </w:r>
      <w:r w:rsidR="00F373A3" w:rsidRPr="00181FCD">
        <w:t xml:space="preserve"> </w:t>
      </w:r>
      <w:r w:rsidRPr="00181FCD">
        <w:t>los</w:t>
      </w:r>
      <w:r w:rsidR="00F373A3" w:rsidRPr="00181FCD">
        <w:t xml:space="preserve"> </w:t>
      </w:r>
      <w:r w:rsidRPr="00181FCD">
        <w:t>agentes</w:t>
      </w:r>
      <w:r w:rsidR="00F373A3" w:rsidRPr="00181FCD">
        <w:t xml:space="preserve"> </w:t>
      </w:r>
      <w:r w:rsidRPr="00181FCD">
        <w:t>de</w:t>
      </w:r>
      <w:r w:rsidR="00F373A3" w:rsidRPr="00181FCD">
        <w:t xml:space="preserve"> </w:t>
      </w:r>
      <w:r w:rsidRPr="00181FCD">
        <w:t>policía</w:t>
      </w:r>
      <w:r w:rsidR="00F373A3" w:rsidRPr="00181FCD">
        <w:t xml:space="preserve"> </w:t>
      </w:r>
      <w:r w:rsidRPr="00181FCD">
        <w:t>fronteriza</w:t>
      </w:r>
      <w:r w:rsidR="00F373A3" w:rsidRPr="00181FCD">
        <w:t xml:space="preserve"> </w:t>
      </w:r>
      <w:r w:rsidRPr="00181FCD">
        <w:t>para</w:t>
      </w:r>
      <w:r w:rsidR="00F373A3" w:rsidRPr="00181FCD">
        <w:t xml:space="preserve"> </w:t>
      </w:r>
      <w:r w:rsidRPr="00181FCD">
        <w:t>que</w:t>
      </w:r>
      <w:r w:rsidR="00F373A3" w:rsidRPr="00181FCD">
        <w:t xml:space="preserve"> </w:t>
      </w:r>
      <w:r w:rsidRPr="00181FCD">
        <w:t>identifiquen</w:t>
      </w:r>
      <w:r w:rsidR="00F373A3" w:rsidRPr="00181FCD">
        <w:t xml:space="preserve"> </w:t>
      </w:r>
      <w:r w:rsidRPr="00181FCD">
        <w:t>a</w:t>
      </w:r>
      <w:r w:rsidR="00F373A3" w:rsidRPr="00181FCD">
        <w:t xml:space="preserve"> </w:t>
      </w:r>
      <w:r w:rsidRPr="00181FCD">
        <w:t>los</w:t>
      </w:r>
      <w:r w:rsidR="00F373A3" w:rsidRPr="00181FCD">
        <w:t xml:space="preserve"> </w:t>
      </w:r>
      <w:r w:rsidRPr="00181FCD">
        <w:t>grupos</w:t>
      </w:r>
      <w:r w:rsidR="00F373A3" w:rsidRPr="00181FCD">
        <w:t xml:space="preserve"> </w:t>
      </w:r>
      <w:r w:rsidRPr="00181FCD">
        <w:t>vulnerables</w:t>
      </w:r>
      <w:r w:rsidR="00F373A3" w:rsidRPr="00181FCD">
        <w:t xml:space="preserve"> </w:t>
      </w:r>
      <w:r w:rsidRPr="00181FCD">
        <w:t>y</w:t>
      </w:r>
      <w:r w:rsidR="00F373A3" w:rsidRPr="00181FCD">
        <w:t xml:space="preserve"> </w:t>
      </w:r>
      <w:r w:rsidRPr="00181FCD">
        <w:t>grupos</w:t>
      </w:r>
      <w:r w:rsidR="00F373A3" w:rsidRPr="00181FCD">
        <w:t xml:space="preserve"> </w:t>
      </w:r>
      <w:r w:rsidRPr="00181FCD">
        <w:t>en</w:t>
      </w:r>
      <w:r w:rsidR="00F373A3" w:rsidRPr="00181FCD">
        <w:t xml:space="preserve"> </w:t>
      </w:r>
      <w:r w:rsidRPr="00181FCD">
        <w:t>riesgo,</w:t>
      </w:r>
      <w:r w:rsidR="00F373A3" w:rsidRPr="00181FCD">
        <w:t xml:space="preserve"> </w:t>
      </w:r>
      <w:r w:rsidRPr="00181FCD">
        <w:t>así</w:t>
      </w:r>
      <w:r w:rsidR="00F373A3" w:rsidRPr="00181FCD">
        <w:t xml:space="preserve"> </w:t>
      </w:r>
      <w:r w:rsidRPr="00181FCD">
        <w:t>como</w:t>
      </w:r>
      <w:r w:rsidR="00F373A3" w:rsidRPr="00181FCD">
        <w:t xml:space="preserve"> </w:t>
      </w:r>
      <w:r w:rsidRPr="00181FCD">
        <w:t>sobre</w:t>
      </w:r>
      <w:r w:rsidR="00F373A3" w:rsidRPr="00181FCD">
        <w:t xml:space="preserve"> </w:t>
      </w:r>
      <w:r w:rsidRPr="00181FCD">
        <w:t>las</w:t>
      </w:r>
      <w:r w:rsidR="00F373A3" w:rsidRPr="00181FCD">
        <w:t xml:space="preserve"> </w:t>
      </w:r>
      <w:r w:rsidRPr="00181FCD">
        <w:t>normas</w:t>
      </w:r>
      <w:r w:rsidR="00F373A3" w:rsidRPr="00181FCD">
        <w:t xml:space="preserve"> </w:t>
      </w:r>
      <w:r w:rsidRPr="00181FCD">
        <w:t>para</w:t>
      </w:r>
      <w:r w:rsidR="00F373A3" w:rsidRPr="00181FCD">
        <w:t xml:space="preserve"> </w:t>
      </w:r>
      <w:r w:rsidRPr="00181FCD">
        <w:t>tratar</w:t>
      </w:r>
      <w:r w:rsidR="00F373A3" w:rsidRPr="00181FCD">
        <w:t xml:space="preserve"> </w:t>
      </w:r>
      <w:r w:rsidRPr="00181FCD">
        <w:t>a</w:t>
      </w:r>
      <w:r w:rsidR="00F373A3" w:rsidRPr="00181FCD">
        <w:t xml:space="preserve"> </w:t>
      </w:r>
      <w:r w:rsidRPr="00181FCD">
        <w:t>las</w:t>
      </w:r>
      <w:r w:rsidR="00F373A3" w:rsidRPr="00181FCD">
        <w:t xml:space="preserve"> </w:t>
      </w:r>
      <w:r w:rsidRPr="00181FCD">
        <w:t>personas</w:t>
      </w:r>
      <w:r w:rsidR="00F373A3" w:rsidRPr="00181FCD">
        <w:t xml:space="preserve"> </w:t>
      </w:r>
      <w:r w:rsidRPr="00181FCD">
        <w:t>identificadas</w:t>
      </w:r>
      <w:r w:rsidR="00F373A3" w:rsidRPr="00181FCD">
        <w:t xml:space="preserve"> </w:t>
      </w:r>
      <w:r w:rsidRPr="00181FCD">
        <w:t>como</w:t>
      </w:r>
      <w:r w:rsidR="00F373A3" w:rsidRPr="00181FCD">
        <w:t xml:space="preserve"> </w:t>
      </w:r>
      <w:r w:rsidRPr="00181FCD">
        <w:t>posibles</w:t>
      </w:r>
      <w:r w:rsidR="00F373A3" w:rsidRPr="00181FCD">
        <w:t xml:space="preserve"> </w:t>
      </w:r>
      <w:r w:rsidRPr="00181FCD">
        <w:t>víctimas</w:t>
      </w:r>
      <w:r w:rsidR="00F373A3" w:rsidRPr="00181FCD">
        <w:t xml:space="preserve"> </w:t>
      </w:r>
      <w:r w:rsidRPr="00181FCD">
        <w:t>de</w:t>
      </w:r>
      <w:r w:rsidR="00F373A3" w:rsidRPr="00181FCD">
        <w:t xml:space="preserve"> </w:t>
      </w:r>
      <w:r w:rsidRPr="00181FCD">
        <w:t>persecución</w:t>
      </w:r>
      <w:r w:rsidR="00F373A3" w:rsidRPr="00181FCD">
        <w:t xml:space="preserve"> </w:t>
      </w:r>
      <w:r w:rsidRPr="00181FCD">
        <w:t>en</w:t>
      </w:r>
      <w:r w:rsidR="00F373A3" w:rsidRPr="00181FCD">
        <w:t xml:space="preserve"> </w:t>
      </w:r>
      <w:r w:rsidRPr="00181FCD">
        <w:t>su</w:t>
      </w:r>
      <w:r w:rsidR="00F373A3" w:rsidRPr="00181FCD">
        <w:t xml:space="preserve"> </w:t>
      </w:r>
      <w:r w:rsidRPr="00181FCD">
        <w:t>país</w:t>
      </w:r>
      <w:r w:rsidR="00F373A3" w:rsidRPr="00181FCD">
        <w:t xml:space="preserve"> </w:t>
      </w:r>
      <w:r w:rsidRPr="00181FCD">
        <w:t>de</w:t>
      </w:r>
      <w:r w:rsidR="00F373A3" w:rsidRPr="00181FCD">
        <w:t xml:space="preserve"> </w:t>
      </w:r>
      <w:r w:rsidRPr="00181FCD">
        <w:t>origen</w:t>
      </w:r>
      <w:r w:rsidR="005652C6" w:rsidRPr="00181FCD">
        <w:t>.</w:t>
      </w:r>
    </w:p>
    <w:p w:rsidR="001937F4" w:rsidRPr="00181FCD" w:rsidRDefault="005652C6" w:rsidP="005652C6">
      <w:pPr>
        <w:pStyle w:val="Bullet1G"/>
      </w:pPr>
      <w:r w:rsidRPr="00181FCD">
        <w:t xml:space="preserve">Se </w:t>
      </w:r>
      <w:r w:rsidR="001937F4" w:rsidRPr="00181FCD">
        <w:t>dan</w:t>
      </w:r>
      <w:r w:rsidR="00F373A3" w:rsidRPr="00181FCD">
        <w:t xml:space="preserve"> </w:t>
      </w:r>
      <w:r w:rsidR="001937F4" w:rsidRPr="00181FCD">
        <w:t>instrucciones</w:t>
      </w:r>
      <w:r w:rsidR="00F373A3" w:rsidRPr="00181FCD">
        <w:t xml:space="preserve"> </w:t>
      </w:r>
      <w:r w:rsidR="001937F4" w:rsidRPr="00181FCD">
        <w:t>iniciales</w:t>
      </w:r>
      <w:r w:rsidR="00F373A3" w:rsidRPr="00181FCD">
        <w:t xml:space="preserve"> </w:t>
      </w:r>
      <w:r w:rsidR="001937F4" w:rsidRPr="00181FCD">
        <w:t>(información</w:t>
      </w:r>
      <w:r w:rsidR="00F373A3" w:rsidRPr="00181FCD">
        <w:t xml:space="preserve"> </w:t>
      </w:r>
      <w:r w:rsidR="001937F4" w:rsidRPr="00181FCD">
        <w:t>básica)</w:t>
      </w:r>
      <w:r w:rsidR="00F373A3" w:rsidRPr="00181FCD">
        <w:t xml:space="preserve"> </w:t>
      </w:r>
      <w:r w:rsidR="001937F4" w:rsidRPr="00181FCD">
        <w:t>a</w:t>
      </w:r>
      <w:r w:rsidR="00F373A3" w:rsidRPr="00181FCD">
        <w:t xml:space="preserve"> </w:t>
      </w:r>
      <w:r w:rsidR="001937F4" w:rsidRPr="00181FCD">
        <w:t>los</w:t>
      </w:r>
      <w:r w:rsidR="00F373A3" w:rsidRPr="00181FCD">
        <w:t xml:space="preserve"> </w:t>
      </w:r>
      <w:r w:rsidR="001937F4" w:rsidRPr="00181FCD">
        <w:t>funcionarios</w:t>
      </w:r>
      <w:r w:rsidR="00F373A3" w:rsidRPr="00181FCD">
        <w:t xml:space="preserve"> </w:t>
      </w:r>
      <w:r w:rsidR="001937F4" w:rsidRPr="00181FCD">
        <w:t>desplegados</w:t>
      </w:r>
      <w:r w:rsidR="00F373A3" w:rsidRPr="00181FCD">
        <w:t xml:space="preserve"> </w:t>
      </w:r>
      <w:r w:rsidR="001937F4" w:rsidRPr="00181FCD">
        <w:t>en</w:t>
      </w:r>
      <w:r w:rsidR="00F373A3" w:rsidRPr="00181FCD">
        <w:t xml:space="preserve"> </w:t>
      </w:r>
      <w:r w:rsidR="001937F4" w:rsidRPr="00181FCD">
        <w:t>la</w:t>
      </w:r>
      <w:r w:rsidR="00F373A3" w:rsidRPr="00181FCD">
        <w:t xml:space="preserve"> "</w:t>
      </w:r>
      <w:r w:rsidR="001937F4" w:rsidRPr="00181FCD">
        <w:t>frontera</w:t>
      </w:r>
      <w:r w:rsidR="00F373A3" w:rsidRPr="00181FCD">
        <w:t xml:space="preserve"> </w:t>
      </w:r>
      <w:r w:rsidR="001937F4" w:rsidRPr="00181FCD">
        <w:t>verde</w:t>
      </w:r>
      <w:r w:rsidR="00F373A3" w:rsidRPr="00181FCD">
        <w:t>"</w:t>
      </w:r>
      <w:r w:rsidR="001937F4" w:rsidRPr="00181FCD">
        <w:t>,</w:t>
      </w:r>
      <w:r w:rsidR="00F373A3" w:rsidRPr="00181FCD">
        <w:t xml:space="preserve"> </w:t>
      </w:r>
      <w:r w:rsidR="001937F4" w:rsidRPr="00181FCD">
        <w:t>con</w:t>
      </w:r>
      <w:r w:rsidR="00F373A3" w:rsidRPr="00181FCD">
        <w:t xml:space="preserve"> </w:t>
      </w:r>
      <w:r w:rsidR="001937F4" w:rsidRPr="00181FCD">
        <w:t>el</w:t>
      </w:r>
      <w:r w:rsidR="00F373A3" w:rsidRPr="00181FCD">
        <w:t xml:space="preserve"> </w:t>
      </w:r>
      <w:r w:rsidR="001937F4" w:rsidRPr="00181FCD">
        <w:t>fin</w:t>
      </w:r>
      <w:r w:rsidR="00F373A3" w:rsidRPr="00181FCD">
        <w:t xml:space="preserve"> </w:t>
      </w:r>
      <w:r w:rsidR="001937F4" w:rsidRPr="00181FCD">
        <w:t>de</w:t>
      </w:r>
      <w:r w:rsidR="00F373A3" w:rsidRPr="00181FCD">
        <w:t xml:space="preserve"> </w:t>
      </w:r>
      <w:r w:rsidR="001937F4" w:rsidRPr="00181FCD">
        <w:t>que</w:t>
      </w:r>
      <w:r w:rsidR="00F373A3" w:rsidRPr="00181FCD">
        <w:t xml:space="preserve"> </w:t>
      </w:r>
      <w:r w:rsidR="001937F4" w:rsidRPr="00181FCD">
        <w:t>se</w:t>
      </w:r>
      <w:r w:rsidR="00F373A3" w:rsidRPr="00181FCD">
        <w:t xml:space="preserve"> </w:t>
      </w:r>
      <w:r w:rsidR="001937F4" w:rsidRPr="00181FCD">
        <w:t>familiaricen</w:t>
      </w:r>
      <w:r w:rsidR="00F373A3" w:rsidRPr="00181FCD">
        <w:t xml:space="preserve"> </w:t>
      </w:r>
      <w:r w:rsidR="001937F4" w:rsidRPr="00181FCD">
        <w:t>con</w:t>
      </w:r>
      <w:r w:rsidR="00F373A3" w:rsidRPr="00181FCD">
        <w:t xml:space="preserve"> </w:t>
      </w:r>
      <w:r w:rsidR="001937F4" w:rsidRPr="00181FCD">
        <w:t>el</w:t>
      </w:r>
      <w:r w:rsidR="00F373A3" w:rsidRPr="00181FCD">
        <w:t xml:space="preserve"> </w:t>
      </w:r>
      <w:r w:rsidR="001937F4" w:rsidRPr="00181FCD">
        <w:t>panorama</w:t>
      </w:r>
      <w:r w:rsidR="00F373A3" w:rsidRPr="00181FCD">
        <w:t xml:space="preserve"> </w:t>
      </w:r>
      <w:r w:rsidR="001937F4" w:rsidRPr="00181FCD">
        <w:t>de</w:t>
      </w:r>
      <w:r w:rsidR="00F373A3" w:rsidRPr="00181FCD">
        <w:t xml:space="preserve"> </w:t>
      </w:r>
      <w:r w:rsidR="001937F4" w:rsidRPr="00181FCD">
        <w:t>la</w:t>
      </w:r>
      <w:r w:rsidR="00F373A3" w:rsidRPr="00181FCD">
        <w:t xml:space="preserve"> </w:t>
      </w:r>
      <w:r w:rsidR="001937F4" w:rsidRPr="00181FCD">
        <w:t>situación</w:t>
      </w:r>
      <w:r w:rsidR="00F373A3" w:rsidRPr="00181FCD">
        <w:t xml:space="preserve"> </w:t>
      </w:r>
      <w:r w:rsidR="001937F4" w:rsidRPr="00181FCD">
        <w:t>en</w:t>
      </w:r>
      <w:r w:rsidR="00F373A3" w:rsidRPr="00181FCD">
        <w:t xml:space="preserve"> </w:t>
      </w:r>
      <w:r w:rsidR="001937F4" w:rsidRPr="00181FCD">
        <w:t>la</w:t>
      </w:r>
      <w:r w:rsidR="00F373A3" w:rsidRPr="00181FCD">
        <w:t xml:space="preserve"> </w:t>
      </w:r>
      <w:r w:rsidR="001937F4" w:rsidRPr="00181FCD">
        <w:t>zona</w:t>
      </w:r>
      <w:r w:rsidR="00F373A3" w:rsidRPr="00181FCD">
        <w:t xml:space="preserve"> </w:t>
      </w:r>
      <w:r w:rsidR="001937F4" w:rsidRPr="00181FCD">
        <w:t>fronteriza</w:t>
      </w:r>
      <w:r w:rsidR="00F373A3" w:rsidRPr="00181FCD">
        <w:t xml:space="preserve"> </w:t>
      </w:r>
      <w:r w:rsidR="001937F4" w:rsidRPr="00181FCD">
        <w:t>y</w:t>
      </w:r>
      <w:r w:rsidR="00F373A3" w:rsidRPr="00181FCD">
        <w:t xml:space="preserve"> </w:t>
      </w:r>
      <w:r w:rsidR="001937F4" w:rsidRPr="00181FCD">
        <w:t>los</w:t>
      </w:r>
      <w:r w:rsidR="00F373A3" w:rsidRPr="00181FCD">
        <w:t xml:space="preserve"> </w:t>
      </w:r>
      <w:r w:rsidR="001937F4" w:rsidRPr="00181FCD">
        <w:t>principios</w:t>
      </w:r>
      <w:r w:rsidR="00F373A3" w:rsidRPr="00181FCD">
        <w:t xml:space="preserve"> </w:t>
      </w:r>
      <w:r w:rsidR="001937F4" w:rsidRPr="00181FCD">
        <w:t>de</w:t>
      </w:r>
      <w:r w:rsidR="00F373A3" w:rsidRPr="00181FCD">
        <w:t xml:space="preserve"> </w:t>
      </w:r>
      <w:r w:rsidR="001937F4" w:rsidRPr="00181FCD">
        <w:t>los</w:t>
      </w:r>
      <w:r w:rsidR="00F373A3" w:rsidRPr="00181FCD">
        <w:t xml:space="preserve"> </w:t>
      </w:r>
      <w:r w:rsidR="001937F4" w:rsidRPr="00181FCD">
        <w:t>derechos</w:t>
      </w:r>
      <w:r w:rsidR="00F373A3" w:rsidRPr="00181FCD">
        <w:t xml:space="preserve"> </w:t>
      </w:r>
      <w:r w:rsidR="001937F4" w:rsidRPr="00181FCD">
        <w:t>humanos</w:t>
      </w:r>
      <w:r w:rsidR="00F373A3" w:rsidRPr="00181FCD">
        <w:t xml:space="preserve"> </w:t>
      </w:r>
      <w:r w:rsidR="001937F4" w:rsidRPr="00181FCD">
        <w:t>en</w:t>
      </w:r>
      <w:r w:rsidR="00F373A3" w:rsidRPr="00181FCD">
        <w:t xml:space="preserve"> </w:t>
      </w:r>
      <w:r w:rsidR="001937F4" w:rsidRPr="00181FCD">
        <w:t>general</w:t>
      </w:r>
      <w:r w:rsidRPr="00181FCD">
        <w:t>.</w:t>
      </w:r>
    </w:p>
    <w:p w:rsidR="001937F4" w:rsidRPr="00181FCD" w:rsidRDefault="001937F4" w:rsidP="005652C6">
      <w:pPr>
        <w:pStyle w:val="Bullet1G"/>
      </w:pPr>
      <w:r w:rsidRPr="00181FCD">
        <w:t>En</w:t>
      </w:r>
      <w:r w:rsidR="00F373A3" w:rsidRPr="00181FCD">
        <w:t xml:space="preserve"> </w:t>
      </w:r>
      <w:r w:rsidRPr="00181FCD">
        <w:t>las</w:t>
      </w:r>
      <w:r w:rsidR="00F373A3" w:rsidRPr="00181FCD">
        <w:t xml:space="preserve"> </w:t>
      </w:r>
      <w:r w:rsidRPr="00181FCD">
        <w:t>instrucciones</w:t>
      </w:r>
      <w:r w:rsidR="00F373A3" w:rsidRPr="00181FCD">
        <w:t xml:space="preserve"> </w:t>
      </w:r>
      <w:r w:rsidRPr="00181FCD">
        <w:t>diarias</w:t>
      </w:r>
      <w:r w:rsidR="00F373A3" w:rsidRPr="00181FCD">
        <w:t xml:space="preserve"> </w:t>
      </w:r>
      <w:r w:rsidRPr="00181FCD">
        <w:t>también</w:t>
      </w:r>
      <w:r w:rsidR="00F373A3" w:rsidRPr="00181FCD">
        <w:t xml:space="preserve"> </w:t>
      </w:r>
      <w:r w:rsidRPr="00181FCD">
        <w:t>se</w:t>
      </w:r>
      <w:r w:rsidR="00F373A3" w:rsidRPr="00181FCD">
        <w:t xml:space="preserve"> </w:t>
      </w:r>
      <w:r w:rsidRPr="00181FCD">
        <w:t>presta</w:t>
      </w:r>
      <w:r w:rsidR="00F373A3" w:rsidRPr="00181FCD">
        <w:t xml:space="preserve"> </w:t>
      </w:r>
      <w:r w:rsidRPr="00181FCD">
        <w:t>atención</w:t>
      </w:r>
      <w:r w:rsidR="00F373A3" w:rsidRPr="00181FCD">
        <w:t xml:space="preserve"> </w:t>
      </w:r>
      <w:r w:rsidRPr="00181FCD">
        <w:t>especial</w:t>
      </w:r>
      <w:r w:rsidR="00F373A3" w:rsidRPr="00181FCD">
        <w:t xml:space="preserve"> </w:t>
      </w:r>
      <w:r w:rsidRPr="00181FCD">
        <w:t>al</w:t>
      </w:r>
      <w:r w:rsidR="00F373A3" w:rsidRPr="00181FCD">
        <w:t xml:space="preserve"> </w:t>
      </w:r>
      <w:r w:rsidRPr="00181FCD">
        <w:t>estricto</w:t>
      </w:r>
      <w:r w:rsidR="00F373A3" w:rsidRPr="00181FCD">
        <w:t xml:space="preserve"> </w:t>
      </w:r>
      <w:r w:rsidRPr="00181FCD">
        <w:t>respeto</w:t>
      </w:r>
      <w:r w:rsidR="00F373A3" w:rsidRPr="00181FCD">
        <w:t xml:space="preserve"> </w:t>
      </w:r>
      <w:r w:rsidRPr="00181FCD">
        <w:t>de</w:t>
      </w:r>
      <w:r w:rsidR="00F373A3" w:rsidRPr="00181FCD">
        <w:t xml:space="preserve"> </w:t>
      </w:r>
      <w:r w:rsidRPr="00181FCD">
        <w:t>las</w:t>
      </w:r>
      <w:r w:rsidR="00F373A3" w:rsidRPr="00181FCD">
        <w:t xml:space="preserve"> </w:t>
      </w:r>
      <w:r w:rsidRPr="00181FCD">
        <w:t>normas</w:t>
      </w:r>
      <w:r w:rsidR="00F373A3" w:rsidRPr="00181FCD">
        <w:t xml:space="preserve"> </w:t>
      </w:r>
      <w:r w:rsidRPr="00181FCD">
        <w:t>sobre</w:t>
      </w:r>
      <w:r w:rsidR="00F373A3" w:rsidRPr="00181FCD">
        <w:t xml:space="preserve"> </w:t>
      </w:r>
      <w:r w:rsidRPr="00181FCD">
        <w:t>uso</w:t>
      </w:r>
      <w:r w:rsidR="00F373A3" w:rsidRPr="00181FCD">
        <w:t xml:space="preserve"> </w:t>
      </w:r>
      <w:r w:rsidRPr="00181FCD">
        <w:t>de</w:t>
      </w:r>
      <w:r w:rsidR="00F373A3" w:rsidRPr="00181FCD">
        <w:t xml:space="preserve"> </w:t>
      </w:r>
      <w:r w:rsidRPr="00181FCD">
        <w:t>las</w:t>
      </w:r>
      <w:r w:rsidR="00F373A3" w:rsidRPr="00181FCD">
        <w:t xml:space="preserve"> </w:t>
      </w:r>
      <w:r w:rsidRPr="00181FCD">
        <w:t>armas,</w:t>
      </w:r>
      <w:r w:rsidR="00F373A3" w:rsidRPr="00181FCD">
        <w:t xml:space="preserve"> </w:t>
      </w:r>
      <w:r w:rsidRPr="00181FCD">
        <w:t>dispositivos</w:t>
      </w:r>
      <w:r w:rsidR="00F373A3" w:rsidRPr="00181FCD">
        <w:t xml:space="preserve"> </w:t>
      </w:r>
      <w:r w:rsidRPr="00181FCD">
        <w:t>auxiliares</w:t>
      </w:r>
      <w:r w:rsidR="00F373A3" w:rsidRPr="00181FCD">
        <w:t xml:space="preserve"> </w:t>
      </w:r>
      <w:r w:rsidRPr="00181FCD">
        <w:t>y</w:t>
      </w:r>
      <w:r w:rsidR="00F373A3" w:rsidRPr="00181FCD">
        <w:t xml:space="preserve"> </w:t>
      </w:r>
      <w:r w:rsidRPr="00181FCD">
        <w:t>la</w:t>
      </w:r>
      <w:r w:rsidR="00F373A3" w:rsidRPr="00181FCD">
        <w:t xml:space="preserve"> </w:t>
      </w:r>
      <w:r w:rsidRPr="00181FCD">
        <w:t>fuerza</w:t>
      </w:r>
      <w:r w:rsidR="00F373A3" w:rsidRPr="00181FCD">
        <w:t xml:space="preserve"> </w:t>
      </w:r>
      <w:r w:rsidRPr="00181FCD">
        <w:t>física</w:t>
      </w:r>
      <w:r w:rsidR="005652C6" w:rsidRPr="00181FCD">
        <w:t>.</w:t>
      </w:r>
    </w:p>
    <w:p w:rsidR="001937F4" w:rsidRPr="00181FCD" w:rsidRDefault="001937F4" w:rsidP="00347B20">
      <w:pPr>
        <w:pStyle w:val="SingleTxtG"/>
        <w:suppressAutoHyphens/>
      </w:pPr>
      <w:r w:rsidRPr="00181FCD">
        <w:t>125.</w:t>
      </w:r>
      <w:r w:rsidRPr="00181FCD">
        <w:tab/>
        <w:t>Los</w:t>
      </w:r>
      <w:r w:rsidR="00F373A3" w:rsidRPr="00181FCD">
        <w:t xml:space="preserve"> </w:t>
      </w:r>
      <w:r w:rsidRPr="00181FCD">
        <w:t>agentes</w:t>
      </w:r>
      <w:r w:rsidR="00F373A3" w:rsidRPr="00181FCD">
        <w:t xml:space="preserve"> </w:t>
      </w:r>
      <w:r w:rsidRPr="00181FCD">
        <w:t>de</w:t>
      </w:r>
      <w:r w:rsidR="00F373A3" w:rsidRPr="00181FCD">
        <w:t xml:space="preserve"> </w:t>
      </w:r>
      <w:r w:rsidRPr="00181FCD">
        <w:t>policía</w:t>
      </w:r>
      <w:r w:rsidR="00F373A3" w:rsidRPr="00181FCD">
        <w:t xml:space="preserve"> </w:t>
      </w:r>
      <w:r w:rsidRPr="00181FCD">
        <w:t>de</w:t>
      </w:r>
      <w:r w:rsidR="00F373A3" w:rsidRPr="00181FCD">
        <w:t xml:space="preserve"> </w:t>
      </w:r>
      <w:r w:rsidRPr="00181FCD">
        <w:t>rango</w:t>
      </w:r>
      <w:r w:rsidR="00F373A3" w:rsidRPr="00181FCD">
        <w:t xml:space="preserve"> </w:t>
      </w:r>
      <w:r w:rsidRPr="00181FCD">
        <w:t>superior</w:t>
      </w:r>
      <w:r w:rsidR="00F373A3" w:rsidRPr="00181FCD">
        <w:t xml:space="preserve"> </w:t>
      </w:r>
      <w:r w:rsidRPr="00181FCD">
        <w:t>ejercen</w:t>
      </w:r>
      <w:r w:rsidR="00F373A3" w:rsidRPr="00181FCD">
        <w:t xml:space="preserve"> </w:t>
      </w:r>
      <w:r w:rsidRPr="00181FCD">
        <w:t>un</w:t>
      </w:r>
      <w:r w:rsidR="00F373A3" w:rsidRPr="00181FCD">
        <w:t xml:space="preserve"> </w:t>
      </w:r>
      <w:r w:rsidRPr="00181FCD">
        <w:t>control</w:t>
      </w:r>
      <w:r w:rsidR="00F373A3" w:rsidRPr="00181FCD">
        <w:t xml:space="preserve"> </w:t>
      </w:r>
      <w:r w:rsidRPr="00181FCD">
        <w:t>diario</w:t>
      </w:r>
      <w:r w:rsidR="00F373A3" w:rsidRPr="00181FCD">
        <w:t xml:space="preserve"> </w:t>
      </w:r>
      <w:r w:rsidRPr="00181FCD">
        <w:t>en</w:t>
      </w:r>
      <w:r w:rsidR="00F373A3" w:rsidRPr="00181FCD">
        <w:t xml:space="preserve"> </w:t>
      </w:r>
      <w:r w:rsidRPr="00181FCD">
        <w:t>relación</w:t>
      </w:r>
      <w:r w:rsidR="00F373A3" w:rsidRPr="00181FCD">
        <w:t xml:space="preserve"> </w:t>
      </w:r>
      <w:r w:rsidRPr="00181FCD">
        <w:t>con</w:t>
      </w:r>
      <w:r w:rsidR="00F373A3" w:rsidRPr="00181FCD">
        <w:t xml:space="preserve"> </w:t>
      </w:r>
      <w:r w:rsidRPr="00181FCD">
        <w:t>las</w:t>
      </w:r>
      <w:r w:rsidR="00F373A3" w:rsidRPr="00181FCD">
        <w:t xml:space="preserve"> </w:t>
      </w:r>
      <w:r w:rsidRPr="00181FCD">
        <w:t>instrucciones</w:t>
      </w:r>
      <w:r w:rsidR="00F373A3" w:rsidRPr="00181FCD">
        <w:t xml:space="preserve"> </w:t>
      </w:r>
      <w:r w:rsidRPr="00181FCD">
        <w:t>dadas</w:t>
      </w:r>
      <w:r w:rsidR="00F373A3" w:rsidRPr="00181FCD">
        <w:t xml:space="preserve"> </w:t>
      </w:r>
      <w:r w:rsidRPr="00181FCD">
        <w:t>para</w:t>
      </w:r>
      <w:r w:rsidR="00F373A3" w:rsidRPr="00181FCD">
        <w:t xml:space="preserve"> </w:t>
      </w:r>
      <w:r w:rsidRPr="00181FCD">
        <w:t>la</w:t>
      </w:r>
      <w:r w:rsidR="00F373A3" w:rsidRPr="00181FCD">
        <w:t xml:space="preserve"> </w:t>
      </w:r>
      <w:r w:rsidRPr="00181FCD">
        <w:t>ejecución</w:t>
      </w:r>
      <w:r w:rsidR="00F373A3" w:rsidRPr="00181FCD">
        <w:t xml:space="preserve"> </w:t>
      </w:r>
      <w:r w:rsidRPr="00181FCD">
        <w:t>de</w:t>
      </w:r>
      <w:r w:rsidR="00F373A3" w:rsidRPr="00181FCD">
        <w:t xml:space="preserve"> </w:t>
      </w:r>
      <w:r w:rsidRPr="00181FCD">
        <w:t>actividades</w:t>
      </w:r>
      <w:r w:rsidR="00F373A3" w:rsidRPr="00181FCD">
        <w:t xml:space="preserve"> </w:t>
      </w:r>
      <w:r w:rsidRPr="00181FCD">
        <w:t>de</w:t>
      </w:r>
      <w:r w:rsidR="00F373A3" w:rsidRPr="00181FCD">
        <w:t xml:space="preserve"> </w:t>
      </w:r>
      <w:r w:rsidRPr="00181FCD">
        <w:t>servicio.</w:t>
      </w:r>
    </w:p>
    <w:p w:rsidR="001937F4" w:rsidRPr="00181FCD" w:rsidRDefault="001937F4" w:rsidP="00347B20">
      <w:pPr>
        <w:pStyle w:val="SingleTxtG"/>
        <w:suppressAutoHyphens/>
      </w:pPr>
      <w:r w:rsidRPr="00181FCD">
        <w:t>126.</w:t>
      </w:r>
      <w:r w:rsidRPr="00181FCD">
        <w:tab/>
        <w:t>Otra</w:t>
      </w:r>
      <w:r w:rsidR="00F373A3" w:rsidRPr="00181FCD">
        <w:t xml:space="preserve"> </w:t>
      </w:r>
      <w:r w:rsidRPr="00181FCD">
        <w:t>garantía</w:t>
      </w:r>
      <w:r w:rsidR="00F373A3" w:rsidRPr="00181FCD">
        <w:t xml:space="preserve"> </w:t>
      </w:r>
      <w:r w:rsidRPr="00181FCD">
        <w:t>es</w:t>
      </w:r>
      <w:r w:rsidR="00F373A3" w:rsidRPr="00181FCD">
        <w:t xml:space="preserve"> </w:t>
      </w:r>
      <w:r w:rsidRPr="00181FCD">
        <w:t>el</w:t>
      </w:r>
      <w:r w:rsidR="00F373A3" w:rsidRPr="00181FCD">
        <w:t xml:space="preserve"> </w:t>
      </w:r>
      <w:r w:rsidRPr="00181FCD">
        <w:t>apoyo</w:t>
      </w:r>
      <w:r w:rsidR="00F373A3" w:rsidRPr="00181FCD">
        <w:t xml:space="preserve"> </w:t>
      </w:r>
      <w:r w:rsidRPr="00181FCD">
        <w:t>proporcionado</w:t>
      </w:r>
      <w:r w:rsidR="00F373A3" w:rsidRPr="00181FCD">
        <w:t xml:space="preserve"> </w:t>
      </w:r>
      <w:r w:rsidRPr="00181FCD">
        <w:t>por</w:t>
      </w:r>
      <w:r w:rsidR="00F373A3" w:rsidRPr="00181FCD">
        <w:t xml:space="preserve"> </w:t>
      </w:r>
      <w:r w:rsidRPr="00181FCD">
        <w:t>Frontex,</w:t>
      </w:r>
      <w:r w:rsidR="00F373A3" w:rsidRPr="00181FCD">
        <w:t xml:space="preserve"> </w:t>
      </w:r>
      <w:r w:rsidRPr="00181FCD">
        <w:t>así</w:t>
      </w:r>
      <w:r w:rsidR="00F373A3" w:rsidRPr="00181FCD">
        <w:t xml:space="preserve"> </w:t>
      </w:r>
      <w:r w:rsidRPr="00181FCD">
        <w:t>como</w:t>
      </w:r>
      <w:r w:rsidR="00F373A3" w:rsidRPr="00181FCD">
        <w:t xml:space="preserve"> </w:t>
      </w:r>
      <w:r w:rsidRPr="00181FCD">
        <w:t>el</w:t>
      </w:r>
      <w:r w:rsidR="00F373A3" w:rsidRPr="00181FCD">
        <w:t xml:space="preserve"> </w:t>
      </w:r>
      <w:r w:rsidRPr="00181FCD">
        <w:t>hecho</w:t>
      </w:r>
      <w:r w:rsidR="00F373A3" w:rsidRPr="00181FCD">
        <w:t xml:space="preserve"> </w:t>
      </w:r>
      <w:r w:rsidRPr="00181FCD">
        <w:t>de</w:t>
      </w:r>
      <w:r w:rsidR="00F373A3" w:rsidRPr="00181FCD">
        <w:t xml:space="preserve"> </w:t>
      </w:r>
      <w:r w:rsidRPr="00181FCD">
        <w:t>que</w:t>
      </w:r>
      <w:r w:rsidR="00F373A3" w:rsidRPr="00181FCD">
        <w:t xml:space="preserve"> </w:t>
      </w:r>
      <w:r w:rsidRPr="00181FCD">
        <w:t>todos</w:t>
      </w:r>
      <w:r w:rsidR="00F373A3" w:rsidRPr="00181FCD">
        <w:t xml:space="preserve"> </w:t>
      </w:r>
      <w:r w:rsidRPr="00181FCD">
        <w:t>los</w:t>
      </w:r>
      <w:r w:rsidR="00F373A3" w:rsidRPr="00181FCD">
        <w:t xml:space="preserve"> </w:t>
      </w:r>
      <w:r w:rsidRPr="00181FCD">
        <w:t>procedimientos</w:t>
      </w:r>
      <w:r w:rsidR="00F373A3" w:rsidRPr="00181FCD">
        <w:t xml:space="preserve"> </w:t>
      </w:r>
      <w:r w:rsidRPr="00181FCD">
        <w:t>aplicables</w:t>
      </w:r>
      <w:r w:rsidR="00F373A3" w:rsidRPr="00181FCD">
        <w:t xml:space="preserve"> </w:t>
      </w:r>
      <w:r w:rsidRPr="00181FCD">
        <w:t>a</w:t>
      </w:r>
      <w:r w:rsidR="00F373A3" w:rsidRPr="00181FCD">
        <w:t xml:space="preserve"> </w:t>
      </w:r>
      <w:r w:rsidRPr="00181FCD">
        <w:t>los</w:t>
      </w:r>
      <w:r w:rsidR="00F373A3" w:rsidRPr="00181FCD">
        <w:t xml:space="preserve"> </w:t>
      </w:r>
      <w:r w:rsidRPr="00181FCD">
        <w:t>nacionales</w:t>
      </w:r>
      <w:r w:rsidR="00F373A3" w:rsidRPr="00181FCD">
        <w:t xml:space="preserve"> </w:t>
      </w:r>
      <w:r w:rsidRPr="00181FCD">
        <w:t>de</w:t>
      </w:r>
      <w:r w:rsidR="00F373A3" w:rsidRPr="00181FCD">
        <w:t xml:space="preserve"> </w:t>
      </w:r>
      <w:r w:rsidRPr="00181FCD">
        <w:t>terceros</w:t>
      </w:r>
      <w:r w:rsidR="00F373A3" w:rsidRPr="00181FCD">
        <w:t xml:space="preserve"> </w:t>
      </w:r>
      <w:r w:rsidRPr="00181FCD">
        <w:t>países</w:t>
      </w:r>
      <w:r w:rsidR="00F373A3" w:rsidRPr="00181FCD">
        <w:t xml:space="preserve"> </w:t>
      </w:r>
      <w:r w:rsidRPr="00181FCD">
        <w:t>aprehendidos</w:t>
      </w:r>
      <w:r w:rsidR="00F373A3" w:rsidRPr="00181FCD">
        <w:t xml:space="preserve"> </w:t>
      </w:r>
      <w:r w:rsidRPr="00181FCD">
        <w:t>se</w:t>
      </w:r>
      <w:r w:rsidR="00F373A3" w:rsidRPr="00181FCD">
        <w:t xml:space="preserve"> </w:t>
      </w:r>
      <w:r w:rsidRPr="00181FCD">
        <w:t>ejecutan</w:t>
      </w:r>
      <w:r w:rsidR="00F373A3" w:rsidRPr="00181FCD">
        <w:t xml:space="preserve"> </w:t>
      </w:r>
      <w:r w:rsidRPr="00181FCD">
        <w:t>con</w:t>
      </w:r>
      <w:r w:rsidR="00F373A3" w:rsidRPr="00181FCD">
        <w:t xml:space="preserve"> </w:t>
      </w:r>
      <w:r w:rsidRPr="00181FCD">
        <w:t>la</w:t>
      </w:r>
      <w:r w:rsidR="00F373A3" w:rsidRPr="00181FCD">
        <w:t xml:space="preserve"> </w:t>
      </w:r>
      <w:r w:rsidRPr="00181FCD">
        <w:t>presencia</w:t>
      </w:r>
      <w:r w:rsidR="00F373A3" w:rsidRPr="00181FCD">
        <w:t xml:space="preserve"> </w:t>
      </w:r>
      <w:r w:rsidRPr="00181FCD">
        <w:t>permanente</w:t>
      </w:r>
      <w:r w:rsidR="00F373A3" w:rsidRPr="00181FCD">
        <w:t xml:space="preserve"> </w:t>
      </w:r>
      <w:r w:rsidRPr="00181FCD">
        <w:t>y</w:t>
      </w:r>
      <w:r w:rsidR="00F373A3" w:rsidRPr="00181FCD">
        <w:t xml:space="preserve"> </w:t>
      </w:r>
      <w:r w:rsidRPr="00181FCD">
        <w:t>participación</w:t>
      </w:r>
      <w:r w:rsidR="00F373A3" w:rsidRPr="00181FCD">
        <w:t xml:space="preserve"> </w:t>
      </w:r>
      <w:r w:rsidRPr="00181FCD">
        <w:t>de</w:t>
      </w:r>
      <w:r w:rsidR="00F373A3" w:rsidRPr="00181FCD">
        <w:t xml:space="preserve"> </w:t>
      </w:r>
      <w:r w:rsidRPr="00181FCD">
        <w:t>agentes</w:t>
      </w:r>
      <w:r w:rsidR="00F373A3" w:rsidRPr="00181FCD">
        <w:t xml:space="preserve"> </w:t>
      </w:r>
      <w:r w:rsidRPr="00181FCD">
        <w:t>invitados.</w:t>
      </w:r>
      <w:r w:rsidR="00F373A3" w:rsidRPr="00181FCD">
        <w:t xml:space="preserve"> </w:t>
      </w:r>
      <w:r w:rsidRPr="00181FCD">
        <w:t>Durante</w:t>
      </w:r>
      <w:r w:rsidR="00F373A3" w:rsidRPr="00181FCD">
        <w:t xml:space="preserve"> </w:t>
      </w:r>
      <w:r w:rsidRPr="00181FCD">
        <w:t>las</w:t>
      </w:r>
      <w:r w:rsidR="00F373A3" w:rsidRPr="00181FCD">
        <w:t xml:space="preserve"> </w:t>
      </w:r>
      <w:r w:rsidRPr="00181FCD">
        <w:t>entrevistas,</w:t>
      </w:r>
      <w:r w:rsidR="00F373A3" w:rsidRPr="00181FCD">
        <w:t xml:space="preserve"> </w:t>
      </w:r>
      <w:r w:rsidRPr="00181FCD">
        <w:t>las</w:t>
      </w:r>
      <w:r w:rsidR="00F373A3" w:rsidRPr="00181FCD">
        <w:t xml:space="preserve"> </w:t>
      </w:r>
      <w:r w:rsidRPr="00181FCD">
        <w:t>personas</w:t>
      </w:r>
      <w:r w:rsidR="00F373A3" w:rsidRPr="00181FCD">
        <w:t xml:space="preserve"> </w:t>
      </w:r>
      <w:r w:rsidRPr="00181FCD">
        <w:t>que</w:t>
      </w:r>
      <w:r w:rsidR="00F373A3" w:rsidRPr="00181FCD">
        <w:t xml:space="preserve"> </w:t>
      </w:r>
      <w:r w:rsidRPr="00181FCD">
        <w:t>buscan</w:t>
      </w:r>
      <w:r w:rsidR="00F373A3" w:rsidRPr="00181FCD">
        <w:t xml:space="preserve"> </w:t>
      </w:r>
      <w:r w:rsidRPr="00181FCD">
        <w:t>protección</w:t>
      </w:r>
      <w:r w:rsidR="00F373A3" w:rsidRPr="00181FCD">
        <w:t xml:space="preserve"> </w:t>
      </w:r>
      <w:r w:rsidRPr="00181FCD">
        <w:t>pueden</w:t>
      </w:r>
      <w:r w:rsidR="00F373A3" w:rsidRPr="00181FCD">
        <w:t xml:space="preserve"> </w:t>
      </w:r>
      <w:r w:rsidRPr="00181FCD">
        <w:t>declarar</w:t>
      </w:r>
      <w:r w:rsidR="00F373A3" w:rsidRPr="00181FCD">
        <w:t xml:space="preserve"> </w:t>
      </w:r>
      <w:r w:rsidRPr="00181FCD">
        <w:t>directamente</w:t>
      </w:r>
      <w:r w:rsidR="00F373A3" w:rsidRPr="00181FCD">
        <w:t xml:space="preserve"> </w:t>
      </w:r>
      <w:r w:rsidRPr="00181FCD">
        <w:t>los</w:t>
      </w:r>
      <w:r w:rsidR="00F373A3" w:rsidRPr="00181FCD">
        <w:t xml:space="preserve"> </w:t>
      </w:r>
      <w:r w:rsidRPr="00181FCD">
        <w:t>casos</w:t>
      </w:r>
      <w:r w:rsidR="00F373A3" w:rsidRPr="00181FCD">
        <w:t xml:space="preserve"> </w:t>
      </w:r>
      <w:r w:rsidRPr="00181FCD">
        <w:t>de</w:t>
      </w:r>
      <w:r w:rsidR="00F373A3" w:rsidRPr="00181FCD">
        <w:t xml:space="preserve"> </w:t>
      </w:r>
      <w:r w:rsidRPr="00181FCD">
        <w:t>comportamientos</w:t>
      </w:r>
      <w:r w:rsidR="00F373A3" w:rsidRPr="00181FCD">
        <w:t xml:space="preserve"> </w:t>
      </w:r>
      <w:r w:rsidRPr="00181FCD">
        <w:t>intolerantes</w:t>
      </w:r>
      <w:r w:rsidR="00F373A3" w:rsidRPr="00181FCD">
        <w:t xml:space="preserve"> </w:t>
      </w:r>
      <w:r w:rsidRPr="00181FCD">
        <w:t>u</w:t>
      </w:r>
      <w:r w:rsidR="00F373A3" w:rsidRPr="00181FCD">
        <w:t xml:space="preserve"> </w:t>
      </w:r>
      <w:r w:rsidRPr="00181FCD">
        <w:t>ofensivos,</w:t>
      </w:r>
      <w:r w:rsidR="00F373A3" w:rsidRPr="00181FCD">
        <w:t xml:space="preserve"> </w:t>
      </w:r>
      <w:r w:rsidRPr="00181FCD">
        <w:t>poco</w:t>
      </w:r>
      <w:r w:rsidR="00F373A3" w:rsidRPr="00181FCD">
        <w:t xml:space="preserve"> </w:t>
      </w:r>
      <w:r w:rsidRPr="00181FCD">
        <w:t>profesionales</w:t>
      </w:r>
      <w:r w:rsidR="00F373A3" w:rsidRPr="00181FCD">
        <w:t xml:space="preserve"> </w:t>
      </w:r>
      <w:r w:rsidRPr="00181FCD">
        <w:t>u</w:t>
      </w:r>
      <w:r w:rsidR="00F373A3" w:rsidRPr="00181FCD">
        <w:t xml:space="preserve"> </w:t>
      </w:r>
      <w:r w:rsidRPr="00181FCD">
        <w:t>otro</w:t>
      </w:r>
      <w:r w:rsidR="00F373A3" w:rsidRPr="00181FCD">
        <w:t xml:space="preserve"> </w:t>
      </w:r>
      <w:r w:rsidRPr="00181FCD">
        <w:t>tipo</w:t>
      </w:r>
      <w:r w:rsidR="00F373A3" w:rsidRPr="00181FCD">
        <w:t xml:space="preserve"> </w:t>
      </w:r>
      <w:r w:rsidRPr="00181FCD">
        <w:t>de</w:t>
      </w:r>
      <w:r w:rsidR="00F373A3" w:rsidRPr="00181FCD">
        <w:t xml:space="preserve"> </w:t>
      </w:r>
      <w:r w:rsidRPr="00181FCD">
        <w:t>conducta</w:t>
      </w:r>
      <w:r w:rsidR="00F373A3" w:rsidRPr="00181FCD">
        <w:t xml:space="preserve"> </w:t>
      </w:r>
      <w:r w:rsidRPr="00181FCD">
        <w:t>ilegal.</w:t>
      </w:r>
      <w:r w:rsidR="00F373A3" w:rsidRPr="00181FCD">
        <w:t xml:space="preserve"> </w:t>
      </w:r>
      <w:r w:rsidRPr="00181FCD">
        <w:t>Todos</w:t>
      </w:r>
      <w:r w:rsidR="00F373A3" w:rsidRPr="00181FCD">
        <w:t xml:space="preserve"> </w:t>
      </w:r>
      <w:r w:rsidRPr="00181FCD">
        <w:t>estos</w:t>
      </w:r>
      <w:r w:rsidR="00F373A3" w:rsidRPr="00181FCD">
        <w:t xml:space="preserve"> </w:t>
      </w:r>
      <w:r w:rsidRPr="00181FCD">
        <w:t>casos</w:t>
      </w:r>
      <w:r w:rsidR="00F373A3" w:rsidRPr="00181FCD">
        <w:t xml:space="preserve"> </w:t>
      </w:r>
      <w:r w:rsidRPr="00181FCD">
        <w:t>se</w:t>
      </w:r>
      <w:r w:rsidR="00F373A3" w:rsidRPr="00181FCD">
        <w:t xml:space="preserve"> </w:t>
      </w:r>
      <w:r w:rsidRPr="00181FCD">
        <w:t>comunican</w:t>
      </w:r>
      <w:r w:rsidR="00F373A3" w:rsidRPr="00181FCD">
        <w:t xml:space="preserve"> </w:t>
      </w:r>
      <w:r w:rsidRPr="00181FCD">
        <w:t>directamente</w:t>
      </w:r>
      <w:r w:rsidR="00F373A3" w:rsidRPr="00181FCD">
        <w:t xml:space="preserve"> </w:t>
      </w:r>
      <w:r w:rsidRPr="00181FCD">
        <w:t>a</w:t>
      </w:r>
      <w:r w:rsidR="00F373A3" w:rsidRPr="00181FCD">
        <w:t xml:space="preserve"> </w:t>
      </w:r>
      <w:r w:rsidRPr="00181FCD">
        <w:t>la</w:t>
      </w:r>
      <w:r w:rsidR="00F373A3" w:rsidRPr="00181FCD">
        <w:t xml:space="preserve"> </w:t>
      </w:r>
      <w:r w:rsidRPr="00181FCD">
        <w:t>Agencia</w:t>
      </w:r>
      <w:r w:rsidR="00F373A3" w:rsidRPr="00181FCD">
        <w:t xml:space="preserve"> </w:t>
      </w:r>
      <w:r w:rsidRPr="00181FCD">
        <w:t>Frontex.</w:t>
      </w:r>
    </w:p>
    <w:p w:rsidR="001937F4" w:rsidRPr="00181FCD" w:rsidRDefault="001937F4" w:rsidP="00347B20">
      <w:pPr>
        <w:pStyle w:val="SingleTxtG"/>
        <w:suppressAutoHyphens/>
      </w:pPr>
      <w:r w:rsidRPr="00181FCD">
        <w:t>127.</w:t>
      </w:r>
      <w:r w:rsidRPr="00181FCD">
        <w:tab/>
        <w:t>Para</w:t>
      </w:r>
      <w:r w:rsidR="00F373A3" w:rsidRPr="00181FCD">
        <w:t xml:space="preserve"> </w:t>
      </w:r>
      <w:r w:rsidRPr="00181FCD">
        <w:t>una</w:t>
      </w:r>
      <w:r w:rsidR="00F373A3" w:rsidRPr="00181FCD">
        <w:t xml:space="preserve"> </w:t>
      </w:r>
      <w:r w:rsidRPr="00181FCD">
        <w:t>mayor</w:t>
      </w:r>
      <w:r w:rsidR="00F373A3" w:rsidRPr="00181FCD">
        <w:t xml:space="preserve"> </w:t>
      </w:r>
      <w:r w:rsidRPr="00181FCD">
        <w:t>transparencia,</w:t>
      </w:r>
      <w:r w:rsidR="00F373A3" w:rsidRPr="00181FCD">
        <w:t xml:space="preserve"> </w:t>
      </w:r>
      <w:r w:rsidRPr="00181FCD">
        <w:t>se</w:t>
      </w:r>
      <w:r w:rsidR="00F373A3" w:rsidRPr="00181FCD">
        <w:t xml:space="preserve"> </w:t>
      </w:r>
      <w:r w:rsidRPr="00181FCD">
        <w:t>proporciona</w:t>
      </w:r>
      <w:r w:rsidR="00F373A3" w:rsidRPr="00181FCD">
        <w:t xml:space="preserve"> </w:t>
      </w:r>
      <w:r w:rsidRPr="00181FCD">
        <w:t>acceso,</w:t>
      </w:r>
      <w:r w:rsidR="00F373A3" w:rsidRPr="00181FCD">
        <w:t xml:space="preserve"> </w:t>
      </w:r>
      <w:r w:rsidRPr="00181FCD">
        <w:t>sin</w:t>
      </w:r>
      <w:r w:rsidR="00F373A3" w:rsidRPr="00181FCD">
        <w:t xml:space="preserve"> </w:t>
      </w:r>
      <w:r w:rsidRPr="00181FCD">
        <w:t>notificación</w:t>
      </w:r>
      <w:r w:rsidR="00F373A3" w:rsidRPr="00181FCD">
        <w:t xml:space="preserve"> </w:t>
      </w:r>
      <w:r w:rsidRPr="00181FCD">
        <w:t>previa,</w:t>
      </w:r>
      <w:r w:rsidR="00F373A3" w:rsidRPr="00181FCD">
        <w:t xml:space="preserve"> </w:t>
      </w:r>
      <w:r w:rsidRPr="00181FCD">
        <w:t>a</w:t>
      </w:r>
      <w:r w:rsidR="00F373A3" w:rsidRPr="00181FCD">
        <w:t xml:space="preserve"> </w:t>
      </w:r>
      <w:r w:rsidRPr="00181FCD">
        <w:t>los</w:t>
      </w:r>
      <w:r w:rsidR="00F373A3" w:rsidRPr="00181FCD">
        <w:t xml:space="preserve"> </w:t>
      </w:r>
      <w:r w:rsidRPr="00181FCD">
        <w:t>equipos</w:t>
      </w:r>
      <w:r w:rsidR="00F373A3" w:rsidRPr="00181FCD">
        <w:t xml:space="preserve"> </w:t>
      </w:r>
      <w:r w:rsidRPr="00181FCD">
        <w:t>de</w:t>
      </w:r>
      <w:r w:rsidR="00F373A3" w:rsidRPr="00181FCD">
        <w:t xml:space="preserve"> </w:t>
      </w:r>
      <w:r w:rsidRPr="00181FCD">
        <w:t>supervisión</w:t>
      </w:r>
      <w:r w:rsidR="00F373A3" w:rsidRPr="00181FCD">
        <w:t xml:space="preserve"> </w:t>
      </w:r>
      <w:r w:rsidRPr="00181FCD">
        <w:t>regional</w:t>
      </w:r>
      <w:r w:rsidR="00F373A3" w:rsidRPr="00181FCD">
        <w:t xml:space="preserve"> </w:t>
      </w:r>
      <w:r w:rsidRPr="00181FCD">
        <w:t>del</w:t>
      </w:r>
      <w:r w:rsidR="00F373A3" w:rsidRPr="00181FCD">
        <w:t xml:space="preserve"> </w:t>
      </w:r>
      <w:r w:rsidRPr="00181FCD">
        <w:t>Comité</w:t>
      </w:r>
      <w:r w:rsidR="00F373A3" w:rsidRPr="00181FCD">
        <w:t xml:space="preserve"> </w:t>
      </w:r>
      <w:r w:rsidRPr="00181FCD">
        <w:t>Búlgaro</w:t>
      </w:r>
      <w:r w:rsidR="00F373A3" w:rsidRPr="00181FCD">
        <w:t xml:space="preserve"> </w:t>
      </w:r>
      <w:r w:rsidRPr="00181FCD">
        <w:t>de</w:t>
      </w:r>
      <w:r w:rsidR="00F373A3" w:rsidRPr="00181FCD">
        <w:t xml:space="preserve"> </w:t>
      </w:r>
      <w:r w:rsidRPr="00181FCD">
        <w:t>Helsinki.</w:t>
      </w:r>
      <w:r w:rsidR="00F373A3" w:rsidRPr="00181FCD">
        <w:t xml:space="preserve"> </w:t>
      </w:r>
      <w:r w:rsidRPr="00181FCD">
        <w:t>Los</w:t>
      </w:r>
      <w:r w:rsidR="00F373A3" w:rsidRPr="00181FCD">
        <w:t xml:space="preserve"> </w:t>
      </w:r>
      <w:r w:rsidRPr="00181FCD">
        <w:t>representantes</w:t>
      </w:r>
      <w:r w:rsidR="00F373A3" w:rsidRPr="00181FCD">
        <w:t xml:space="preserve"> </w:t>
      </w:r>
      <w:r w:rsidRPr="00181FCD">
        <w:t>de</w:t>
      </w:r>
      <w:r w:rsidR="00F373A3" w:rsidRPr="00181FCD">
        <w:t xml:space="preserve"> </w:t>
      </w:r>
      <w:r w:rsidRPr="00181FCD">
        <w:t>este</w:t>
      </w:r>
      <w:r w:rsidR="00F373A3" w:rsidRPr="00181FCD">
        <w:t xml:space="preserve"> </w:t>
      </w:r>
      <w:r w:rsidRPr="00181FCD">
        <w:t>Comité</w:t>
      </w:r>
      <w:r w:rsidR="00F373A3" w:rsidRPr="00181FCD">
        <w:t xml:space="preserve"> </w:t>
      </w:r>
      <w:r w:rsidRPr="00181FCD">
        <w:t>emiten</w:t>
      </w:r>
      <w:r w:rsidR="00F373A3" w:rsidRPr="00181FCD">
        <w:t xml:space="preserve"> </w:t>
      </w:r>
      <w:r w:rsidRPr="00181FCD">
        <w:t>informes</w:t>
      </w:r>
      <w:r w:rsidR="00F373A3" w:rsidRPr="00181FCD">
        <w:t xml:space="preserve"> </w:t>
      </w:r>
      <w:r w:rsidRPr="00181FCD">
        <w:t>anuales</w:t>
      </w:r>
      <w:r w:rsidR="00F373A3" w:rsidRPr="00181FCD">
        <w:t xml:space="preserve"> </w:t>
      </w:r>
      <w:r w:rsidRPr="00181FCD">
        <w:t>sobre</w:t>
      </w:r>
      <w:r w:rsidR="00F373A3" w:rsidRPr="00181FCD">
        <w:t xml:space="preserve"> </w:t>
      </w:r>
      <w:r w:rsidRPr="00181FCD">
        <w:t>el</w:t>
      </w:r>
      <w:r w:rsidR="00F373A3" w:rsidRPr="00181FCD">
        <w:t xml:space="preserve"> </w:t>
      </w:r>
      <w:r w:rsidRPr="00181FCD">
        <w:t>seguimiento</w:t>
      </w:r>
      <w:r w:rsidR="00F373A3" w:rsidRPr="00181FCD">
        <w:t xml:space="preserve"> </w:t>
      </w:r>
      <w:r w:rsidRPr="00181FCD">
        <w:t>realizado</w:t>
      </w:r>
      <w:r w:rsidR="00F373A3" w:rsidRPr="00181FCD">
        <w:t xml:space="preserve"> </w:t>
      </w:r>
      <w:r w:rsidRPr="00181FCD">
        <w:t>en</w:t>
      </w:r>
      <w:r w:rsidR="00F373A3" w:rsidRPr="00181FCD">
        <w:t xml:space="preserve"> </w:t>
      </w:r>
      <w:r w:rsidRPr="00181FCD">
        <w:t>la</w:t>
      </w:r>
      <w:r w:rsidR="00F373A3" w:rsidRPr="00181FCD">
        <w:t xml:space="preserve"> </w:t>
      </w:r>
      <w:r w:rsidRPr="00181FCD">
        <w:t>frontera.</w:t>
      </w:r>
      <w:r w:rsidR="00F373A3" w:rsidRPr="00181FCD">
        <w:t xml:space="preserve"> </w:t>
      </w:r>
      <w:r w:rsidRPr="00181FCD">
        <w:t>Los</w:t>
      </w:r>
      <w:r w:rsidR="00F373A3" w:rsidRPr="00181FCD">
        <w:t xml:space="preserve"> </w:t>
      </w:r>
      <w:r w:rsidRPr="00181FCD">
        <w:t>equipos</w:t>
      </w:r>
      <w:r w:rsidR="00F373A3" w:rsidRPr="00181FCD">
        <w:t xml:space="preserve"> </w:t>
      </w:r>
      <w:r w:rsidRPr="00181FCD">
        <w:t>del</w:t>
      </w:r>
      <w:r w:rsidR="00F373A3" w:rsidRPr="00181FCD">
        <w:t xml:space="preserve"> </w:t>
      </w:r>
      <w:r w:rsidRPr="00181FCD">
        <w:t>ACNUR</w:t>
      </w:r>
      <w:r w:rsidR="00F373A3" w:rsidRPr="00181FCD">
        <w:t xml:space="preserve"> </w:t>
      </w:r>
      <w:r w:rsidRPr="00181FCD">
        <w:t>llevan</w:t>
      </w:r>
      <w:r w:rsidR="00F373A3" w:rsidRPr="00181FCD">
        <w:t xml:space="preserve"> </w:t>
      </w:r>
      <w:r w:rsidRPr="00181FCD">
        <w:t>a</w:t>
      </w:r>
      <w:r w:rsidR="00F373A3" w:rsidRPr="00181FCD">
        <w:t xml:space="preserve"> </w:t>
      </w:r>
      <w:r w:rsidRPr="00181FCD">
        <w:t>cabo</w:t>
      </w:r>
      <w:r w:rsidR="00F373A3" w:rsidRPr="00181FCD">
        <w:t xml:space="preserve"> </w:t>
      </w:r>
      <w:r w:rsidRPr="00181FCD">
        <w:t>una</w:t>
      </w:r>
      <w:r w:rsidR="00F373A3" w:rsidRPr="00181FCD">
        <w:t xml:space="preserve"> </w:t>
      </w:r>
      <w:r w:rsidRPr="00181FCD">
        <w:t>supervisión</w:t>
      </w:r>
      <w:r w:rsidR="00F373A3" w:rsidRPr="00181FCD">
        <w:t xml:space="preserve"> </w:t>
      </w:r>
      <w:r w:rsidRPr="00181FCD">
        <w:t>adicional.</w:t>
      </w:r>
    </w:p>
    <w:p w:rsidR="001937F4" w:rsidRPr="00181FCD" w:rsidRDefault="001937F4" w:rsidP="00347B20">
      <w:pPr>
        <w:pStyle w:val="SingleTxtG"/>
        <w:suppressAutoHyphens/>
      </w:pPr>
      <w:r w:rsidRPr="00181FCD">
        <w:t>128.</w:t>
      </w:r>
      <w:r w:rsidRPr="00181FCD">
        <w:tab/>
        <w:t>Con</w:t>
      </w:r>
      <w:r w:rsidR="00F373A3" w:rsidRPr="00181FCD">
        <w:t xml:space="preserve"> </w:t>
      </w:r>
      <w:r w:rsidRPr="00181FCD">
        <w:t>miras</w:t>
      </w:r>
      <w:r w:rsidR="00F373A3" w:rsidRPr="00181FCD">
        <w:t xml:space="preserve"> </w:t>
      </w:r>
      <w:r w:rsidRPr="00181FCD">
        <w:t>a</w:t>
      </w:r>
      <w:r w:rsidR="00F373A3" w:rsidRPr="00181FCD">
        <w:t xml:space="preserve"> </w:t>
      </w:r>
      <w:r w:rsidRPr="00181FCD">
        <w:t>aumentar</w:t>
      </w:r>
      <w:r w:rsidR="00F373A3" w:rsidRPr="00181FCD">
        <w:t xml:space="preserve"> </w:t>
      </w:r>
      <w:r w:rsidRPr="00181FCD">
        <w:t>el</w:t>
      </w:r>
      <w:r w:rsidR="00672EC2" w:rsidRPr="00181FCD">
        <w:t xml:space="preserve"> </w:t>
      </w:r>
      <w:r w:rsidRPr="00181FCD">
        <w:t>control</w:t>
      </w:r>
      <w:r w:rsidR="00F373A3" w:rsidRPr="00181FCD">
        <w:t xml:space="preserve"> </w:t>
      </w:r>
      <w:r w:rsidRPr="00181FCD">
        <w:t>sobre</w:t>
      </w:r>
      <w:r w:rsidR="00F373A3" w:rsidRPr="00181FCD">
        <w:t xml:space="preserve"> </w:t>
      </w:r>
      <w:r w:rsidRPr="00181FCD">
        <w:t>las</w:t>
      </w:r>
      <w:r w:rsidR="00F373A3" w:rsidRPr="00181FCD">
        <w:t xml:space="preserve"> </w:t>
      </w:r>
      <w:r w:rsidRPr="00181FCD">
        <w:t>patrullas</w:t>
      </w:r>
      <w:r w:rsidR="00F373A3" w:rsidRPr="00181FCD">
        <w:t xml:space="preserve"> </w:t>
      </w:r>
      <w:r w:rsidRPr="00181FCD">
        <w:t>de</w:t>
      </w:r>
      <w:r w:rsidR="00F373A3" w:rsidRPr="00181FCD">
        <w:t xml:space="preserve"> </w:t>
      </w:r>
      <w:r w:rsidRPr="00181FCD">
        <w:t>la</w:t>
      </w:r>
      <w:r w:rsidR="00F373A3" w:rsidRPr="00181FCD">
        <w:t xml:space="preserve"> </w:t>
      </w:r>
      <w:r w:rsidRPr="00181FCD">
        <w:t>policía</w:t>
      </w:r>
      <w:r w:rsidR="00F373A3" w:rsidRPr="00181FCD">
        <w:t xml:space="preserve"> </w:t>
      </w:r>
      <w:r w:rsidRPr="00181FCD">
        <w:t>fronteriza,</w:t>
      </w:r>
      <w:r w:rsidR="00F373A3" w:rsidRPr="00181FCD">
        <w:t xml:space="preserve"> </w:t>
      </w:r>
      <w:r w:rsidRPr="00181FCD">
        <w:t>en</w:t>
      </w:r>
      <w:r w:rsidR="00F373A3" w:rsidRPr="00181FCD">
        <w:t xml:space="preserve"> </w:t>
      </w:r>
      <w:r w:rsidRPr="00181FCD">
        <w:t>febrero</w:t>
      </w:r>
      <w:r w:rsidR="00F373A3" w:rsidRPr="00181FCD">
        <w:t xml:space="preserve"> </w:t>
      </w:r>
      <w:r w:rsidRPr="00181FCD">
        <w:t>de</w:t>
      </w:r>
      <w:r w:rsidR="00F373A3" w:rsidRPr="00181FCD">
        <w:t xml:space="preserve"> </w:t>
      </w:r>
      <w:r w:rsidRPr="00181FCD">
        <w:t>2015</w:t>
      </w:r>
      <w:r w:rsidR="00F373A3" w:rsidRPr="00181FCD">
        <w:t xml:space="preserve"> </w:t>
      </w:r>
      <w:r w:rsidRPr="00181FCD">
        <w:t>se</w:t>
      </w:r>
      <w:r w:rsidR="00F373A3" w:rsidRPr="00181FCD">
        <w:t xml:space="preserve"> </w:t>
      </w:r>
      <w:r w:rsidRPr="00181FCD">
        <w:t>decidió</w:t>
      </w:r>
      <w:r w:rsidR="00F373A3" w:rsidRPr="00181FCD">
        <w:t xml:space="preserve"> </w:t>
      </w:r>
      <w:r w:rsidRPr="00181FCD">
        <w:t>que</w:t>
      </w:r>
      <w:r w:rsidR="00F373A3" w:rsidRPr="00181FCD">
        <w:t xml:space="preserve"> </w:t>
      </w:r>
      <w:r w:rsidRPr="00181FCD">
        <w:t>los</w:t>
      </w:r>
      <w:r w:rsidR="00F373A3" w:rsidRPr="00181FCD">
        <w:t xml:space="preserve"> </w:t>
      </w:r>
      <w:r w:rsidRPr="00181FCD">
        <w:t>equipos</w:t>
      </w:r>
      <w:r w:rsidR="00F373A3" w:rsidRPr="00181FCD">
        <w:t xml:space="preserve"> </w:t>
      </w:r>
      <w:r w:rsidRPr="00181FCD">
        <w:t>conjuntos</w:t>
      </w:r>
      <w:r w:rsidR="00F373A3" w:rsidRPr="00181FCD">
        <w:t xml:space="preserve"> </w:t>
      </w:r>
      <w:r w:rsidRPr="00181FCD">
        <w:t>de</w:t>
      </w:r>
      <w:r w:rsidR="00F373A3" w:rsidRPr="00181FCD">
        <w:t xml:space="preserve"> </w:t>
      </w:r>
      <w:r w:rsidRPr="00181FCD">
        <w:t>representantes</w:t>
      </w:r>
      <w:r w:rsidR="00F373A3" w:rsidRPr="00181FCD">
        <w:t xml:space="preserve"> </w:t>
      </w:r>
      <w:r w:rsidRPr="00181FCD">
        <w:t>de</w:t>
      </w:r>
      <w:r w:rsidR="00F373A3" w:rsidRPr="00181FCD">
        <w:t xml:space="preserve"> </w:t>
      </w:r>
      <w:r w:rsidRPr="00181FCD">
        <w:t>la</w:t>
      </w:r>
      <w:r w:rsidR="00F373A3" w:rsidRPr="00181FCD">
        <w:t xml:space="preserve"> </w:t>
      </w:r>
      <w:r w:rsidRPr="00181FCD">
        <w:t>Dirección</w:t>
      </w:r>
      <w:r w:rsidR="00F373A3" w:rsidRPr="00181FCD">
        <w:t xml:space="preserve"> </w:t>
      </w:r>
      <w:r w:rsidRPr="00181FCD">
        <w:t>General</w:t>
      </w:r>
      <w:r w:rsidR="00F373A3" w:rsidRPr="00181FCD">
        <w:t xml:space="preserve"> </w:t>
      </w:r>
      <w:r w:rsidRPr="00181FCD">
        <w:t>de</w:t>
      </w:r>
      <w:r w:rsidR="00F373A3" w:rsidRPr="00181FCD">
        <w:t xml:space="preserve"> </w:t>
      </w:r>
      <w:r w:rsidRPr="00181FCD">
        <w:t>la</w:t>
      </w:r>
      <w:r w:rsidR="00F373A3" w:rsidRPr="00181FCD">
        <w:t xml:space="preserve"> </w:t>
      </w:r>
      <w:r w:rsidRPr="00181FCD">
        <w:t>Policía</w:t>
      </w:r>
      <w:r w:rsidR="00F373A3" w:rsidRPr="00181FCD">
        <w:t xml:space="preserve"> </w:t>
      </w:r>
      <w:r w:rsidRPr="00181FCD">
        <w:t>de</w:t>
      </w:r>
      <w:r w:rsidR="00F373A3" w:rsidRPr="00181FCD">
        <w:t xml:space="preserve"> </w:t>
      </w:r>
      <w:r w:rsidRPr="00181FCD">
        <w:t>Fronteras,</w:t>
      </w:r>
      <w:r w:rsidR="00F373A3" w:rsidRPr="00181FCD">
        <w:t xml:space="preserve"> </w:t>
      </w:r>
      <w:r w:rsidRPr="00181FCD">
        <w:t>el</w:t>
      </w:r>
      <w:r w:rsidR="00F373A3" w:rsidRPr="00181FCD">
        <w:t xml:space="preserve"> </w:t>
      </w:r>
      <w:r w:rsidRPr="00181FCD">
        <w:t>ACNUR</w:t>
      </w:r>
      <w:r w:rsidR="00F373A3" w:rsidRPr="00181FCD">
        <w:t xml:space="preserve"> </w:t>
      </w:r>
      <w:r w:rsidRPr="00181FCD">
        <w:t>y</w:t>
      </w:r>
      <w:r w:rsidR="00F373A3" w:rsidRPr="00181FCD">
        <w:t xml:space="preserve"> </w:t>
      </w:r>
      <w:r w:rsidRPr="00181FCD">
        <w:t>el</w:t>
      </w:r>
      <w:r w:rsidR="00F373A3" w:rsidRPr="00181FCD">
        <w:t xml:space="preserve"> </w:t>
      </w:r>
      <w:r w:rsidRPr="00181FCD">
        <w:t>Comité</w:t>
      </w:r>
      <w:r w:rsidR="00F373A3" w:rsidRPr="00181FCD">
        <w:t xml:space="preserve"> </w:t>
      </w:r>
      <w:r w:rsidRPr="00181FCD">
        <w:t>Búlgaro</w:t>
      </w:r>
      <w:r w:rsidR="00F373A3" w:rsidRPr="00181FCD">
        <w:t xml:space="preserve"> </w:t>
      </w:r>
      <w:r w:rsidRPr="00181FCD">
        <w:t>de</w:t>
      </w:r>
      <w:r w:rsidR="00F373A3" w:rsidRPr="00181FCD">
        <w:t xml:space="preserve"> </w:t>
      </w:r>
      <w:r w:rsidRPr="00181FCD">
        <w:t>Helsinki</w:t>
      </w:r>
      <w:r w:rsidR="00F373A3" w:rsidRPr="00181FCD">
        <w:t xml:space="preserve"> </w:t>
      </w:r>
      <w:r w:rsidRPr="00181FCD">
        <w:t>realicen</w:t>
      </w:r>
      <w:r w:rsidR="00F373A3" w:rsidRPr="00181FCD">
        <w:t xml:space="preserve"> </w:t>
      </w:r>
      <w:r w:rsidRPr="00181FCD">
        <w:t>controles</w:t>
      </w:r>
      <w:r w:rsidR="00F373A3" w:rsidRPr="00181FCD">
        <w:t xml:space="preserve"> </w:t>
      </w:r>
      <w:r w:rsidRPr="00181FCD">
        <w:t>sin</w:t>
      </w:r>
      <w:r w:rsidR="00F373A3" w:rsidRPr="00181FCD">
        <w:t xml:space="preserve"> </w:t>
      </w:r>
      <w:r w:rsidRPr="00181FCD">
        <w:t>previo</w:t>
      </w:r>
      <w:r w:rsidR="00F373A3" w:rsidRPr="00181FCD">
        <w:t xml:space="preserve"> </w:t>
      </w:r>
      <w:r w:rsidRPr="00181FCD">
        <w:t>aviso</w:t>
      </w:r>
      <w:r w:rsidR="00F373A3" w:rsidRPr="00181FCD">
        <w:t xml:space="preserve"> </w:t>
      </w:r>
      <w:r w:rsidRPr="00181FCD">
        <w:t>para</w:t>
      </w:r>
      <w:r w:rsidR="00F373A3" w:rsidRPr="00181FCD">
        <w:t xml:space="preserve"> </w:t>
      </w:r>
      <w:r w:rsidRPr="00181FCD">
        <w:t>verificar</w:t>
      </w:r>
      <w:r w:rsidR="00F373A3" w:rsidRPr="00181FCD">
        <w:t xml:space="preserve"> </w:t>
      </w:r>
      <w:r w:rsidRPr="00181FCD">
        <w:t>si</w:t>
      </w:r>
      <w:r w:rsidR="00F373A3" w:rsidRPr="00181FCD">
        <w:t xml:space="preserve"> </w:t>
      </w:r>
      <w:r w:rsidRPr="00181FCD">
        <w:t>se</w:t>
      </w:r>
      <w:r w:rsidR="00F373A3" w:rsidRPr="00181FCD">
        <w:t xml:space="preserve"> </w:t>
      </w:r>
      <w:r w:rsidRPr="00181FCD">
        <w:t>respeta</w:t>
      </w:r>
      <w:r w:rsidR="00F373A3" w:rsidRPr="00181FCD">
        <w:t xml:space="preserve"> </w:t>
      </w:r>
      <w:r w:rsidRPr="00181FCD">
        <w:t>el</w:t>
      </w:r>
      <w:r w:rsidR="00F373A3" w:rsidRPr="00181FCD">
        <w:t xml:space="preserve"> </w:t>
      </w:r>
      <w:r w:rsidRPr="00181FCD">
        <w:t>principio</w:t>
      </w:r>
      <w:r w:rsidR="00F373A3" w:rsidRPr="00181FCD">
        <w:t xml:space="preserve"> </w:t>
      </w:r>
      <w:r w:rsidRPr="00181FCD">
        <w:t>de</w:t>
      </w:r>
      <w:r w:rsidR="00F373A3" w:rsidRPr="00181FCD">
        <w:t xml:space="preserve"> </w:t>
      </w:r>
      <w:r w:rsidRPr="00181FCD">
        <w:t>no</w:t>
      </w:r>
      <w:r w:rsidR="00F373A3" w:rsidRPr="00181FCD">
        <w:t xml:space="preserve"> </w:t>
      </w:r>
      <w:r w:rsidRPr="00181FCD">
        <w:t>devolución</w:t>
      </w:r>
      <w:r w:rsidR="00F373A3" w:rsidRPr="00181FCD">
        <w:t xml:space="preserve"> </w:t>
      </w:r>
      <w:r w:rsidRPr="00181FCD">
        <w:t>y</w:t>
      </w:r>
      <w:r w:rsidR="00F373A3" w:rsidRPr="00181FCD">
        <w:t xml:space="preserve"> </w:t>
      </w:r>
      <w:r w:rsidRPr="00181FCD">
        <w:t>se</w:t>
      </w:r>
      <w:r w:rsidR="00F373A3" w:rsidRPr="00181FCD">
        <w:t xml:space="preserve"> </w:t>
      </w:r>
      <w:r w:rsidRPr="00181FCD">
        <w:t>facilita</w:t>
      </w:r>
      <w:r w:rsidR="00F373A3" w:rsidRPr="00181FCD">
        <w:t xml:space="preserve"> </w:t>
      </w:r>
      <w:r w:rsidRPr="00181FCD">
        <w:t>el</w:t>
      </w:r>
      <w:r w:rsidR="00F373A3" w:rsidRPr="00181FCD">
        <w:t xml:space="preserve"> </w:t>
      </w:r>
      <w:r w:rsidRPr="00181FCD">
        <w:t>acceso</w:t>
      </w:r>
      <w:r w:rsidR="00F373A3" w:rsidRPr="00181FCD">
        <w:t xml:space="preserve"> </w:t>
      </w:r>
      <w:r w:rsidRPr="00181FCD">
        <w:t>al</w:t>
      </w:r>
      <w:r w:rsidR="00F373A3" w:rsidRPr="00181FCD">
        <w:t xml:space="preserve"> </w:t>
      </w:r>
      <w:r w:rsidRPr="00181FCD">
        <w:t>territorio</w:t>
      </w:r>
      <w:r w:rsidR="00F373A3" w:rsidRPr="00181FCD">
        <w:t xml:space="preserve"> </w:t>
      </w:r>
      <w:r w:rsidRPr="00181FCD">
        <w:t>a</w:t>
      </w:r>
      <w:r w:rsidR="00F373A3" w:rsidRPr="00181FCD">
        <w:t xml:space="preserve"> </w:t>
      </w:r>
      <w:r w:rsidRPr="00181FCD">
        <w:t>los</w:t>
      </w:r>
      <w:r w:rsidR="00F373A3" w:rsidRPr="00181FCD">
        <w:t xml:space="preserve"> </w:t>
      </w:r>
      <w:r w:rsidRPr="00181FCD">
        <w:t>solicitantes</w:t>
      </w:r>
      <w:r w:rsidR="00F373A3" w:rsidRPr="00181FCD">
        <w:t xml:space="preserve"> </w:t>
      </w:r>
      <w:r w:rsidRPr="00181FCD">
        <w:t>de</w:t>
      </w:r>
      <w:r w:rsidR="00F373A3" w:rsidRPr="00181FCD">
        <w:t xml:space="preserve"> </w:t>
      </w:r>
      <w:r w:rsidRPr="00181FCD">
        <w:t>asilo.</w:t>
      </w:r>
    </w:p>
    <w:p w:rsidR="001937F4" w:rsidRPr="00181FCD" w:rsidRDefault="001937F4" w:rsidP="00347B20">
      <w:pPr>
        <w:pStyle w:val="SingleTxtG"/>
        <w:suppressAutoHyphens/>
      </w:pPr>
      <w:r w:rsidRPr="00181FCD">
        <w:t>129.</w:t>
      </w:r>
      <w:r w:rsidRPr="00181FCD">
        <w:tab/>
        <w:t>La</w:t>
      </w:r>
      <w:r w:rsidR="00F373A3" w:rsidRPr="00181FCD">
        <w:t xml:space="preserve"> </w:t>
      </w:r>
      <w:r w:rsidRPr="00181FCD">
        <w:t>Comisión</w:t>
      </w:r>
      <w:r w:rsidR="00F373A3" w:rsidRPr="00181FCD">
        <w:t xml:space="preserve"> </w:t>
      </w:r>
      <w:r w:rsidRPr="00181FCD">
        <w:t>Europea,</w:t>
      </w:r>
      <w:r w:rsidR="00F373A3" w:rsidRPr="00181FCD">
        <w:t xml:space="preserve"> </w:t>
      </w:r>
      <w:r w:rsidRPr="00181FCD">
        <w:t>la</w:t>
      </w:r>
      <w:r w:rsidR="00F373A3" w:rsidRPr="00181FCD">
        <w:t xml:space="preserve"> </w:t>
      </w:r>
      <w:r w:rsidRPr="00181FCD">
        <w:t>Oficina</w:t>
      </w:r>
      <w:r w:rsidR="00F373A3" w:rsidRPr="00181FCD">
        <w:t xml:space="preserve"> </w:t>
      </w:r>
      <w:r w:rsidRPr="00181FCD">
        <w:t>Europea</w:t>
      </w:r>
      <w:r w:rsidR="00F373A3" w:rsidRPr="00181FCD">
        <w:t xml:space="preserve"> </w:t>
      </w:r>
      <w:r w:rsidRPr="00181FCD">
        <w:t>de</w:t>
      </w:r>
      <w:r w:rsidR="00F373A3" w:rsidRPr="00181FCD">
        <w:t xml:space="preserve"> </w:t>
      </w:r>
      <w:r w:rsidRPr="00181FCD">
        <w:t>Apoyo</w:t>
      </w:r>
      <w:r w:rsidR="00F373A3" w:rsidRPr="00181FCD">
        <w:t xml:space="preserve"> </w:t>
      </w:r>
      <w:r w:rsidRPr="00181FCD">
        <w:t>al</w:t>
      </w:r>
      <w:r w:rsidR="00F373A3" w:rsidRPr="00181FCD">
        <w:t xml:space="preserve"> </w:t>
      </w:r>
      <w:r w:rsidRPr="00181FCD">
        <w:t>Asilo</w:t>
      </w:r>
      <w:r w:rsidR="00F373A3" w:rsidRPr="00181FCD">
        <w:t xml:space="preserve"> </w:t>
      </w:r>
      <w:r w:rsidRPr="00181FCD">
        <w:t>y</w:t>
      </w:r>
      <w:r w:rsidR="00F373A3" w:rsidRPr="00181FCD">
        <w:t xml:space="preserve"> </w:t>
      </w:r>
      <w:r w:rsidRPr="00181FCD">
        <w:t>el</w:t>
      </w:r>
      <w:r w:rsidR="00F373A3" w:rsidRPr="00181FCD">
        <w:t xml:space="preserve"> </w:t>
      </w:r>
      <w:r w:rsidRPr="00181FCD">
        <w:t>ACNUR</w:t>
      </w:r>
      <w:r w:rsidR="00F373A3" w:rsidRPr="00181FCD">
        <w:t xml:space="preserve"> </w:t>
      </w:r>
      <w:r w:rsidRPr="00181FCD">
        <w:t>han</w:t>
      </w:r>
      <w:r w:rsidR="00F373A3" w:rsidRPr="00181FCD">
        <w:t xml:space="preserve"> </w:t>
      </w:r>
      <w:r w:rsidRPr="00181FCD">
        <w:t>observado</w:t>
      </w:r>
      <w:r w:rsidR="00F373A3" w:rsidRPr="00181FCD">
        <w:t xml:space="preserve"> </w:t>
      </w:r>
      <w:r w:rsidRPr="00181FCD">
        <w:t>un</w:t>
      </w:r>
      <w:r w:rsidR="00F373A3" w:rsidRPr="00181FCD">
        <w:t xml:space="preserve"> </w:t>
      </w:r>
      <w:r w:rsidRPr="00181FCD">
        <w:t>progreso</w:t>
      </w:r>
      <w:r w:rsidR="00F373A3" w:rsidRPr="00181FCD">
        <w:t xml:space="preserve"> </w:t>
      </w:r>
      <w:r w:rsidRPr="00181FCD">
        <w:t>significativo</w:t>
      </w:r>
      <w:r w:rsidR="00F373A3" w:rsidRPr="00181FCD">
        <w:t xml:space="preserve"> </w:t>
      </w:r>
      <w:r w:rsidRPr="00181FCD">
        <w:t>en</w:t>
      </w:r>
      <w:r w:rsidR="00F373A3" w:rsidRPr="00181FCD">
        <w:t xml:space="preserve"> </w:t>
      </w:r>
      <w:r w:rsidRPr="00181FCD">
        <w:t>Bulgaria</w:t>
      </w:r>
      <w:r w:rsidR="00F373A3" w:rsidRPr="00181FCD">
        <w:t xml:space="preserve"> </w:t>
      </w:r>
      <w:r w:rsidRPr="00181FCD">
        <w:t>con</w:t>
      </w:r>
      <w:r w:rsidR="00F373A3" w:rsidRPr="00181FCD">
        <w:t xml:space="preserve"> </w:t>
      </w:r>
      <w:r w:rsidRPr="00181FCD">
        <w:t>respecto</w:t>
      </w:r>
      <w:r w:rsidR="00F373A3" w:rsidRPr="00181FCD">
        <w:t xml:space="preserve"> </w:t>
      </w:r>
      <w:r w:rsidRPr="00181FCD">
        <w:t>al</w:t>
      </w:r>
      <w:r w:rsidR="00F373A3" w:rsidRPr="00181FCD">
        <w:t xml:space="preserve"> </w:t>
      </w:r>
      <w:r w:rsidRPr="00181FCD">
        <w:t>registro,</w:t>
      </w:r>
      <w:r w:rsidR="00F373A3" w:rsidRPr="00181FCD">
        <w:t xml:space="preserve"> </w:t>
      </w:r>
      <w:r w:rsidRPr="00181FCD">
        <w:t>la</w:t>
      </w:r>
      <w:r w:rsidR="00F373A3" w:rsidRPr="00181FCD">
        <w:t xml:space="preserve"> </w:t>
      </w:r>
      <w:r w:rsidRPr="00181FCD">
        <w:t>tramitación</w:t>
      </w:r>
      <w:r w:rsidR="00F373A3" w:rsidRPr="00181FCD">
        <w:t xml:space="preserve"> </w:t>
      </w:r>
      <w:r w:rsidRPr="00181FCD">
        <w:t>de</w:t>
      </w:r>
      <w:r w:rsidR="00F373A3" w:rsidRPr="00181FCD">
        <w:t xml:space="preserve"> </w:t>
      </w:r>
      <w:r w:rsidRPr="00181FCD">
        <w:t>las</w:t>
      </w:r>
      <w:r w:rsidR="00F373A3" w:rsidRPr="00181FCD">
        <w:t xml:space="preserve"> </w:t>
      </w:r>
      <w:r w:rsidRPr="00181FCD">
        <w:t>solicitudes</w:t>
      </w:r>
      <w:r w:rsidR="00F373A3" w:rsidRPr="00181FCD">
        <w:t xml:space="preserve"> </w:t>
      </w:r>
      <w:r w:rsidRPr="00181FCD">
        <w:t>de</w:t>
      </w:r>
      <w:r w:rsidR="00F373A3" w:rsidRPr="00181FCD">
        <w:t xml:space="preserve"> </w:t>
      </w:r>
      <w:r w:rsidRPr="00181FCD">
        <w:t>protección</w:t>
      </w:r>
      <w:r w:rsidR="00F373A3" w:rsidRPr="00181FCD">
        <w:t xml:space="preserve"> </w:t>
      </w:r>
      <w:r w:rsidRPr="00181FCD">
        <w:t>internacional</w:t>
      </w:r>
      <w:r w:rsidR="00F373A3" w:rsidRPr="00181FCD">
        <w:t xml:space="preserve"> </w:t>
      </w:r>
      <w:r w:rsidRPr="00181FCD">
        <w:t>y</w:t>
      </w:r>
      <w:r w:rsidR="00F373A3" w:rsidRPr="00181FCD">
        <w:t xml:space="preserve"> </w:t>
      </w:r>
      <w:r w:rsidRPr="00181FCD">
        <w:t>las</w:t>
      </w:r>
      <w:r w:rsidR="00F373A3" w:rsidRPr="00181FCD">
        <w:t xml:space="preserve"> </w:t>
      </w:r>
      <w:r w:rsidRPr="00181FCD">
        <w:t>condiciones</w:t>
      </w:r>
      <w:r w:rsidR="00F373A3" w:rsidRPr="00181FCD">
        <w:t xml:space="preserve"> </w:t>
      </w:r>
      <w:r w:rsidRPr="00181FCD">
        <w:t>generales</w:t>
      </w:r>
      <w:r w:rsidR="00F373A3" w:rsidRPr="00181FCD">
        <w:t xml:space="preserve"> </w:t>
      </w:r>
      <w:r w:rsidRPr="00181FCD">
        <w:t>de</w:t>
      </w:r>
      <w:r w:rsidR="00F373A3" w:rsidRPr="00181FCD">
        <w:t xml:space="preserve"> </w:t>
      </w:r>
      <w:r w:rsidRPr="00181FCD">
        <w:t>recepción.</w:t>
      </w:r>
    </w:p>
    <w:p w:rsidR="001937F4" w:rsidRPr="00181FCD" w:rsidRDefault="001937F4" w:rsidP="00347B20">
      <w:pPr>
        <w:pStyle w:val="SingleTxtG"/>
        <w:suppressAutoHyphens/>
      </w:pPr>
      <w:r w:rsidRPr="00181FCD">
        <w:t>130.</w:t>
      </w:r>
      <w:r w:rsidRPr="00181FCD">
        <w:tab/>
        <w:t>En</w:t>
      </w:r>
      <w:r w:rsidR="00F373A3" w:rsidRPr="00181FCD">
        <w:t xml:space="preserve"> </w:t>
      </w:r>
      <w:r w:rsidRPr="00181FCD">
        <w:t>cuanto</w:t>
      </w:r>
      <w:r w:rsidR="00F373A3" w:rsidRPr="00181FCD">
        <w:t xml:space="preserve"> </w:t>
      </w:r>
      <w:r w:rsidRPr="00181FCD">
        <w:t>al</w:t>
      </w:r>
      <w:r w:rsidR="00F373A3" w:rsidRPr="00181FCD">
        <w:t xml:space="preserve"> </w:t>
      </w:r>
      <w:r w:rsidRPr="00181FCD">
        <w:t>derecho</w:t>
      </w:r>
      <w:r w:rsidR="00F373A3" w:rsidRPr="00181FCD">
        <w:t xml:space="preserve"> </w:t>
      </w:r>
      <w:r w:rsidRPr="00181FCD">
        <w:t>de</w:t>
      </w:r>
      <w:r w:rsidR="00F373A3" w:rsidRPr="00181FCD">
        <w:t xml:space="preserve"> </w:t>
      </w:r>
      <w:r w:rsidRPr="00181FCD">
        <w:t>apelación</w:t>
      </w:r>
      <w:r w:rsidR="00F373A3" w:rsidRPr="00181FCD">
        <w:t xml:space="preserve"> </w:t>
      </w:r>
      <w:r w:rsidRPr="00181FCD">
        <w:t>en</w:t>
      </w:r>
      <w:r w:rsidR="00F373A3" w:rsidRPr="00181FCD">
        <w:t xml:space="preserve"> </w:t>
      </w:r>
      <w:r w:rsidRPr="00181FCD">
        <w:t>el</w:t>
      </w:r>
      <w:r w:rsidR="00F373A3" w:rsidRPr="00181FCD">
        <w:t xml:space="preserve"> </w:t>
      </w:r>
      <w:r w:rsidRPr="00181FCD">
        <w:t>país,</w:t>
      </w:r>
      <w:r w:rsidR="00F373A3" w:rsidRPr="00181FCD">
        <w:t xml:space="preserve"> </w:t>
      </w:r>
      <w:r w:rsidRPr="00181FCD">
        <w:t>en</w:t>
      </w:r>
      <w:r w:rsidR="00F373A3" w:rsidRPr="00181FCD">
        <w:t xml:space="preserve"> </w:t>
      </w:r>
      <w:r w:rsidRPr="00181FCD">
        <w:t>virtud</w:t>
      </w:r>
      <w:r w:rsidR="00F373A3" w:rsidRPr="00181FCD">
        <w:t xml:space="preserve"> </w:t>
      </w:r>
      <w:r w:rsidRPr="00181FCD">
        <w:t>del</w:t>
      </w:r>
      <w:r w:rsidR="00F373A3" w:rsidRPr="00181FCD">
        <w:t xml:space="preserve"> </w:t>
      </w:r>
      <w:r w:rsidRPr="00181FCD">
        <w:t>marco</w:t>
      </w:r>
      <w:r w:rsidR="00F373A3" w:rsidRPr="00181FCD">
        <w:t xml:space="preserve"> </w:t>
      </w:r>
      <w:r w:rsidRPr="00181FCD">
        <w:t>jurídico</w:t>
      </w:r>
      <w:r w:rsidR="00F373A3" w:rsidRPr="00181FCD">
        <w:t xml:space="preserve"> </w:t>
      </w:r>
      <w:r w:rsidRPr="00181FCD">
        <w:t>europeo</w:t>
      </w:r>
      <w:r w:rsidR="00F373A3" w:rsidRPr="00181FCD">
        <w:t xml:space="preserve"> </w:t>
      </w:r>
      <w:r w:rsidRPr="00181FCD">
        <w:t>y</w:t>
      </w:r>
      <w:r w:rsidR="00F373A3" w:rsidRPr="00181FCD">
        <w:t xml:space="preserve"> </w:t>
      </w:r>
      <w:r w:rsidRPr="00181FCD">
        <w:t>nacional,</w:t>
      </w:r>
      <w:r w:rsidR="00F373A3" w:rsidRPr="00181FCD">
        <w:t xml:space="preserve"> </w:t>
      </w:r>
      <w:r w:rsidRPr="00181FCD">
        <w:t>mientras</w:t>
      </w:r>
      <w:r w:rsidR="00F373A3" w:rsidRPr="00181FCD">
        <w:t xml:space="preserve"> </w:t>
      </w:r>
      <w:r w:rsidRPr="00181FCD">
        <w:t>se</w:t>
      </w:r>
      <w:r w:rsidR="00F373A3" w:rsidRPr="00181FCD">
        <w:t xml:space="preserve"> </w:t>
      </w:r>
      <w:r w:rsidRPr="00181FCD">
        <w:t>tramita</w:t>
      </w:r>
      <w:r w:rsidR="00F373A3" w:rsidRPr="00181FCD">
        <w:t xml:space="preserve"> </w:t>
      </w:r>
      <w:r w:rsidRPr="00181FCD">
        <w:t>la</w:t>
      </w:r>
      <w:r w:rsidR="00F373A3" w:rsidRPr="00181FCD">
        <w:t xml:space="preserve"> </w:t>
      </w:r>
      <w:r w:rsidRPr="00181FCD">
        <w:t>apelación</w:t>
      </w:r>
      <w:r w:rsidR="00F373A3" w:rsidRPr="00181FCD">
        <w:t xml:space="preserve"> </w:t>
      </w:r>
      <w:r w:rsidRPr="00181FCD">
        <w:t>de</w:t>
      </w:r>
      <w:r w:rsidR="00F373A3" w:rsidRPr="00181FCD">
        <w:t xml:space="preserve"> </w:t>
      </w:r>
      <w:r w:rsidRPr="00181FCD">
        <w:t>la</w:t>
      </w:r>
      <w:r w:rsidR="00F373A3" w:rsidRPr="00181FCD">
        <w:t xml:space="preserve"> </w:t>
      </w:r>
      <w:r w:rsidRPr="00181FCD">
        <w:t>denegación</w:t>
      </w:r>
      <w:r w:rsidR="00F373A3" w:rsidRPr="00181FCD">
        <w:t xml:space="preserve"> </w:t>
      </w:r>
      <w:r w:rsidRPr="00181FCD">
        <w:t>de</w:t>
      </w:r>
      <w:r w:rsidR="00F373A3" w:rsidRPr="00181FCD">
        <w:t xml:space="preserve"> </w:t>
      </w:r>
      <w:r w:rsidRPr="00181FCD">
        <w:t>protección</w:t>
      </w:r>
      <w:r w:rsidR="00F373A3" w:rsidRPr="00181FCD">
        <w:t xml:space="preserve"> </w:t>
      </w:r>
      <w:r w:rsidRPr="00181FCD">
        <w:t>internacional,</w:t>
      </w:r>
      <w:r w:rsidR="00F373A3" w:rsidRPr="00181FCD">
        <w:t xml:space="preserve"> </w:t>
      </w:r>
      <w:r w:rsidRPr="00181FCD">
        <w:t>se</w:t>
      </w:r>
      <w:r w:rsidR="00F373A3" w:rsidRPr="00181FCD">
        <w:t xml:space="preserve"> </w:t>
      </w:r>
      <w:r w:rsidRPr="00181FCD">
        <w:t>podrá</w:t>
      </w:r>
      <w:r w:rsidR="00F373A3" w:rsidRPr="00181FCD">
        <w:t xml:space="preserve"> </w:t>
      </w:r>
      <w:r w:rsidRPr="00181FCD">
        <w:t>no</w:t>
      </w:r>
      <w:r w:rsidR="00F373A3" w:rsidRPr="00181FCD">
        <w:t xml:space="preserve"> </w:t>
      </w:r>
      <w:r w:rsidRPr="00181FCD">
        <w:t>admitir</w:t>
      </w:r>
      <w:r w:rsidR="00672EC2" w:rsidRPr="00181FCD">
        <w:t xml:space="preserve"> </w:t>
      </w:r>
      <w:r w:rsidRPr="00181FCD">
        <w:t>o</w:t>
      </w:r>
      <w:r w:rsidR="00F373A3" w:rsidRPr="00181FCD">
        <w:t xml:space="preserve"> </w:t>
      </w:r>
      <w:r w:rsidRPr="00181FCD">
        <w:t>deportar</w:t>
      </w:r>
      <w:r w:rsidR="00F373A3" w:rsidRPr="00181FCD">
        <w:t xml:space="preserve"> </w:t>
      </w:r>
      <w:r w:rsidRPr="00181FCD">
        <w:t>a</w:t>
      </w:r>
      <w:r w:rsidR="00F373A3" w:rsidRPr="00181FCD">
        <w:t xml:space="preserve"> </w:t>
      </w:r>
      <w:r w:rsidRPr="00181FCD">
        <w:t>un</w:t>
      </w:r>
      <w:r w:rsidR="00F373A3" w:rsidRPr="00181FCD">
        <w:t xml:space="preserve"> </w:t>
      </w:r>
      <w:r w:rsidRPr="00181FCD">
        <w:t>extranjero</w:t>
      </w:r>
      <w:r w:rsidR="00F373A3" w:rsidRPr="00181FCD">
        <w:t xml:space="preserve"> </w:t>
      </w:r>
      <w:r w:rsidRPr="00181FCD">
        <w:t>si</w:t>
      </w:r>
      <w:r w:rsidR="00F373A3" w:rsidRPr="00181FCD">
        <w:t xml:space="preserve"> </w:t>
      </w:r>
      <w:r w:rsidRPr="00181FCD">
        <w:t>hay</w:t>
      </w:r>
      <w:r w:rsidR="00F373A3" w:rsidRPr="00181FCD">
        <w:t xml:space="preserve"> </w:t>
      </w:r>
      <w:r w:rsidRPr="00181FCD">
        <w:t>razones</w:t>
      </w:r>
      <w:r w:rsidR="00F373A3" w:rsidRPr="00181FCD">
        <w:t xml:space="preserve"> </w:t>
      </w:r>
      <w:r w:rsidRPr="00181FCD">
        <w:t>para</w:t>
      </w:r>
      <w:r w:rsidR="00F373A3" w:rsidRPr="00181FCD">
        <w:t xml:space="preserve"> </w:t>
      </w:r>
      <w:r w:rsidRPr="00181FCD">
        <w:t>creer</w:t>
      </w:r>
      <w:r w:rsidR="00F373A3" w:rsidRPr="00181FCD">
        <w:t xml:space="preserve"> </w:t>
      </w:r>
      <w:r w:rsidRPr="00181FCD">
        <w:t>que</w:t>
      </w:r>
      <w:r w:rsidR="00F373A3" w:rsidRPr="00181FCD">
        <w:t xml:space="preserve"> </w:t>
      </w:r>
      <w:r w:rsidRPr="00181FCD">
        <w:t>representa</w:t>
      </w:r>
      <w:r w:rsidR="00F373A3" w:rsidRPr="00181FCD">
        <w:t xml:space="preserve"> </w:t>
      </w:r>
      <w:r w:rsidRPr="00181FCD">
        <w:t>una</w:t>
      </w:r>
      <w:r w:rsidR="00F373A3" w:rsidRPr="00181FCD">
        <w:t xml:space="preserve"> </w:t>
      </w:r>
      <w:r w:rsidRPr="00181FCD">
        <w:t>amenaza</w:t>
      </w:r>
      <w:r w:rsidR="00F373A3" w:rsidRPr="00181FCD">
        <w:t xml:space="preserve"> </w:t>
      </w:r>
      <w:r w:rsidRPr="00181FCD">
        <w:t>para</w:t>
      </w:r>
      <w:r w:rsidR="00F373A3" w:rsidRPr="00181FCD">
        <w:t xml:space="preserve"> </w:t>
      </w:r>
      <w:r w:rsidRPr="00181FCD">
        <w:t>la</w:t>
      </w:r>
      <w:r w:rsidR="00F373A3" w:rsidRPr="00181FCD">
        <w:t xml:space="preserve"> </w:t>
      </w:r>
      <w:r w:rsidRPr="00181FCD">
        <w:t>seguridad</w:t>
      </w:r>
      <w:r w:rsidR="00F373A3" w:rsidRPr="00181FCD">
        <w:t xml:space="preserve"> </w:t>
      </w:r>
      <w:r w:rsidRPr="00181FCD">
        <w:t>nacional</w:t>
      </w:r>
      <w:r w:rsidR="00F373A3" w:rsidRPr="00181FCD">
        <w:t xml:space="preserve"> </w:t>
      </w:r>
      <w:r w:rsidRPr="00181FCD">
        <w:t>y</w:t>
      </w:r>
      <w:r w:rsidR="00F373A3" w:rsidRPr="00181FCD">
        <w:t xml:space="preserve"> </w:t>
      </w:r>
      <w:r w:rsidRPr="00181FCD">
        <w:t>la</w:t>
      </w:r>
      <w:r w:rsidR="00F373A3" w:rsidRPr="00181FCD">
        <w:t xml:space="preserve"> </w:t>
      </w:r>
      <w:r w:rsidRPr="00181FCD">
        <w:t>sociedad,</w:t>
      </w:r>
      <w:r w:rsidR="00F373A3" w:rsidRPr="00181FCD">
        <w:t xml:space="preserve"> </w:t>
      </w:r>
      <w:r w:rsidRPr="00181FCD">
        <w:t>o</w:t>
      </w:r>
      <w:r w:rsidR="00F373A3" w:rsidRPr="00181FCD">
        <w:t xml:space="preserve"> </w:t>
      </w:r>
      <w:r w:rsidRPr="00181FCD">
        <w:t>si</w:t>
      </w:r>
      <w:r w:rsidR="00F373A3" w:rsidRPr="00181FCD">
        <w:t xml:space="preserve"> </w:t>
      </w:r>
      <w:r w:rsidRPr="00181FCD">
        <w:t>alguna</w:t>
      </w:r>
      <w:r w:rsidR="00F373A3" w:rsidRPr="00181FCD">
        <w:t xml:space="preserve"> </w:t>
      </w:r>
      <w:r w:rsidRPr="00181FCD">
        <w:t>vez</w:t>
      </w:r>
      <w:r w:rsidR="00F373A3" w:rsidRPr="00181FCD">
        <w:t xml:space="preserve"> </w:t>
      </w:r>
      <w:r w:rsidRPr="00181FCD">
        <w:t>fue</w:t>
      </w:r>
      <w:r w:rsidR="00F373A3" w:rsidRPr="00181FCD">
        <w:t xml:space="preserve"> </w:t>
      </w:r>
      <w:r w:rsidRPr="00181FCD">
        <w:t>condenado,</w:t>
      </w:r>
      <w:r w:rsidR="00F373A3" w:rsidRPr="00181FCD">
        <w:t xml:space="preserve"> </w:t>
      </w:r>
      <w:r w:rsidRPr="00181FCD">
        <w:t>con</w:t>
      </w:r>
      <w:r w:rsidR="00F373A3" w:rsidRPr="00181FCD">
        <w:t xml:space="preserve"> </w:t>
      </w:r>
      <w:r w:rsidRPr="00181FCD">
        <w:t>sentencia</w:t>
      </w:r>
      <w:r w:rsidR="00F373A3" w:rsidRPr="00181FCD">
        <w:t xml:space="preserve"> </w:t>
      </w:r>
      <w:r w:rsidRPr="00181FCD">
        <w:t>firme,</w:t>
      </w:r>
      <w:r w:rsidR="00F373A3" w:rsidRPr="00181FCD">
        <w:t xml:space="preserve"> </w:t>
      </w:r>
      <w:r w:rsidRPr="00181FCD">
        <w:t>por</w:t>
      </w:r>
      <w:r w:rsidR="00F373A3" w:rsidRPr="00181FCD">
        <w:t xml:space="preserve"> </w:t>
      </w:r>
      <w:r w:rsidRPr="00181FCD">
        <w:t>un</w:t>
      </w:r>
      <w:r w:rsidR="00F373A3" w:rsidRPr="00181FCD">
        <w:t xml:space="preserve"> </w:t>
      </w:r>
      <w:r w:rsidRPr="00181FCD">
        <w:t>delito</w:t>
      </w:r>
      <w:r w:rsidR="00F373A3" w:rsidRPr="00181FCD">
        <w:t xml:space="preserve"> </w:t>
      </w:r>
      <w:r w:rsidRPr="00181FCD">
        <w:t>grave.</w:t>
      </w:r>
    </w:p>
    <w:p w:rsidR="001937F4" w:rsidRPr="00181FCD" w:rsidRDefault="001937F4" w:rsidP="00347B20">
      <w:pPr>
        <w:pStyle w:val="SingleTxtG"/>
        <w:suppressAutoHyphens/>
      </w:pPr>
      <w:r w:rsidRPr="00181FCD">
        <w:t>131.</w:t>
      </w:r>
      <w:r w:rsidRPr="00181FCD">
        <w:tab/>
        <w:t>Se</w:t>
      </w:r>
      <w:r w:rsidR="00F373A3" w:rsidRPr="00181FCD">
        <w:t xml:space="preserve"> </w:t>
      </w:r>
      <w:r w:rsidRPr="00181FCD">
        <w:t>han</w:t>
      </w:r>
      <w:r w:rsidR="00F373A3" w:rsidRPr="00181FCD">
        <w:t xml:space="preserve"> </w:t>
      </w:r>
      <w:r w:rsidRPr="00181FCD">
        <w:t>facilitado</w:t>
      </w:r>
      <w:r w:rsidR="00F373A3" w:rsidRPr="00181FCD">
        <w:t xml:space="preserve"> </w:t>
      </w:r>
      <w:r w:rsidRPr="00181FCD">
        <w:t>los</w:t>
      </w:r>
      <w:r w:rsidR="00F373A3" w:rsidRPr="00181FCD">
        <w:t xml:space="preserve"> </w:t>
      </w:r>
      <w:r w:rsidRPr="00181FCD">
        <w:t>servicios</w:t>
      </w:r>
      <w:r w:rsidR="00F373A3" w:rsidRPr="00181FCD">
        <w:t xml:space="preserve"> </w:t>
      </w:r>
      <w:r w:rsidRPr="00181FCD">
        <w:t>de</w:t>
      </w:r>
      <w:r w:rsidR="00F373A3" w:rsidRPr="00181FCD">
        <w:t xml:space="preserve"> </w:t>
      </w:r>
      <w:r w:rsidRPr="00181FCD">
        <w:t>intérpretes</w:t>
      </w:r>
      <w:r w:rsidR="00F373A3" w:rsidRPr="00181FCD">
        <w:t xml:space="preserve"> </w:t>
      </w:r>
      <w:r w:rsidRPr="00181FCD">
        <w:t>de</w:t>
      </w:r>
      <w:r w:rsidR="00F373A3" w:rsidRPr="00181FCD">
        <w:t xml:space="preserve"> </w:t>
      </w:r>
      <w:r w:rsidRPr="00181FCD">
        <w:t>y</w:t>
      </w:r>
      <w:r w:rsidR="00F373A3" w:rsidRPr="00181FCD">
        <w:t xml:space="preserve"> </w:t>
      </w:r>
      <w:r w:rsidRPr="00181FCD">
        <w:t>a</w:t>
      </w:r>
      <w:r w:rsidR="00F373A3" w:rsidRPr="00181FCD">
        <w:t xml:space="preserve"> </w:t>
      </w:r>
      <w:r w:rsidRPr="00181FCD">
        <w:t>idiomas</w:t>
      </w:r>
      <w:r w:rsidR="00F373A3" w:rsidRPr="00181FCD">
        <w:t xml:space="preserve"> </w:t>
      </w:r>
      <w:r w:rsidRPr="00181FCD">
        <w:t>poco</w:t>
      </w:r>
      <w:r w:rsidR="00F373A3" w:rsidRPr="00181FCD">
        <w:t xml:space="preserve"> </w:t>
      </w:r>
      <w:r w:rsidRPr="00181FCD">
        <w:t>comunes,</w:t>
      </w:r>
      <w:r w:rsidR="00F373A3" w:rsidRPr="00181FCD">
        <w:t xml:space="preserve"> </w:t>
      </w:r>
      <w:r w:rsidRPr="00181FCD">
        <w:t>con</w:t>
      </w:r>
      <w:r w:rsidR="00F373A3" w:rsidRPr="00181FCD">
        <w:t xml:space="preserve"> </w:t>
      </w:r>
      <w:r w:rsidRPr="00181FCD">
        <w:t>la</w:t>
      </w:r>
      <w:r w:rsidR="00F373A3" w:rsidRPr="00181FCD">
        <w:t xml:space="preserve"> </w:t>
      </w:r>
      <w:r w:rsidRPr="00181FCD">
        <w:t>posibilidad,</w:t>
      </w:r>
      <w:r w:rsidR="00F373A3" w:rsidRPr="00181FCD">
        <w:t xml:space="preserve"> </w:t>
      </w:r>
      <w:r w:rsidRPr="00181FCD">
        <w:t>en</w:t>
      </w:r>
      <w:r w:rsidR="00F373A3" w:rsidRPr="00181FCD">
        <w:t xml:space="preserve"> </w:t>
      </w:r>
      <w:r w:rsidRPr="00181FCD">
        <w:t>caso</w:t>
      </w:r>
      <w:r w:rsidR="00F373A3" w:rsidRPr="00181FCD">
        <w:t xml:space="preserve"> </w:t>
      </w:r>
      <w:r w:rsidRPr="00181FCD">
        <w:t>de</w:t>
      </w:r>
      <w:r w:rsidR="00F373A3" w:rsidRPr="00181FCD">
        <w:t xml:space="preserve"> </w:t>
      </w:r>
      <w:r w:rsidRPr="00181FCD">
        <w:t>necesidad,</w:t>
      </w:r>
      <w:r w:rsidR="00F373A3" w:rsidRPr="00181FCD">
        <w:t xml:space="preserve"> </w:t>
      </w:r>
      <w:r w:rsidRPr="00181FCD">
        <w:t>de</w:t>
      </w:r>
      <w:r w:rsidR="00F373A3" w:rsidRPr="00181FCD">
        <w:t xml:space="preserve"> </w:t>
      </w:r>
      <w:r w:rsidRPr="00181FCD">
        <w:t>consultas</w:t>
      </w:r>
      <w:r w:rsidR="00F373A3" w:rsidRPr="00181FCD">
        <w:t xml:space="preserve"> </w:t>
      </w:r>
      <w:r w:rsidRPr="00181FCD">
        <w:t>médicas</w:t>
      </w:r>
      <w:r w:rsidR="00F373A3" w:rsidRPr="00181FCD">
        <w:t xml:space="preserve"> </w:t>
      </w:r>
      <w:r w:rsidRPr="00181FCD">
        <w:t>y</w:t>
      </w:r>
      <w:r w:rsidR="00F373A3" w:rsidRPr="00181FCD">
        <w:t xml:space="preserve"> </w:t>
      </w:r>
      <w:r w:rsidRPr="00181FCD">
        <w:t>psicológicas.</w:t>
      </w:r>
      <w:r w:rsidR="00F373A3" w:rsidRPr="00181FCD">
        <w:t xml:space="preserve"> </w:t>
      </w:r>
      <w:r w:rsidRPr="00181FCD">
        <w:t>Por</w:t>
      </w:r>
      <w:r w:rsidR="00F373A3" w:rsidRPr="00181FCD">
        <w:t xml:space="preserve"> </w:t>
      </w:r>
      <w:r w:rsidRPr="00181FCD">
        <w:t>otra</w:t>
      </w:r>
      <w:r w:rsidR="00F373A3" w:rsidRPr="00181FCD">
        <w:t xml:space="preserve"> </w:t>
      </w:r>
      <w:r w:rsidRPr="00181FCD">
        <w:t>parte,</w:t>
      </w:r>
      <w:r w:rsidR="00F373A3" w:rsidRPr="00181FCD">
        <w:t xml:space="preserve"> </w:t>
      </w:r>
      <w:r w:rsidRPr="00181FCD">
        <w:t>en</w:t>
      </w:r>
      <w:r w:rsidR="006E0DF5" w:rsidRPr="00181FCD">
        <w:t> </w:t>
      </w:r>
      <w:r w:rsidRPr="00181FCD">
        <w:t>abril</w:t>
      </w:r>
      <w:r w:rsidR="00F373A3" w:rsidRPr="00181FCD">
        <w:t xml:space="preserve"> </w:t>
      </w:r>
      <w:r w:rsidRPr="00181FCD">
        <w:t>de</w:t>
      </w:r>
      <w:r w:rsidR="00F373A3" w:rsidRPr="00181FCD">
        <w:t xml:space="preserve"> </w:t>
      </w:r>
      <w:r w:rsidRPr="00181FCD">
        <w:t>2010,</w:t>
      </w:r>
      <w:r w:rsidR="00F373A3" w:rsidRPr="00181FCD">
        <w:t xml:space="preserve"> </w:t>
      </w:r>
      <w:r w:rsidRPr="00181FCD">
        <w:t>se</w:t>
      </w:r>
      <w:r w:rsidR="00F373A3" w:rsidRPr="00181FCD">
        <w:t xml:space="preserve"> </w:t>
      </w:r>
      <w:r w:rsidRPr="00181FCD">
        <w:t>añadió</w:t>
      </w:r>
      <w:r w:rsidR="00F373A3" w:rsidRPr="00181FCD">
        <w:t xml:space="preserve"> </w:t>
      </w:r>
      <w:r w:rsidRPr="00181FCD">
        <w:t>al</w:t>
      </w:r>
      <w:r w:rsidR="00F373A3" w:rsidRPr="00181FCD">
        <w:t xml:space="preserve"> </w:t>
      </w:r>
      <w:r w:rsidRPr="00181FCD">
        <w:t>artículo</w:t>
      </w:r>
      <w:r w:rsidR="00F373A3" w:rsidRPr="00181FCD">
        <w:t xml:space="preserve"> </w:t>
      </w:r>
      <w:r w:rsidRPr="00181FCD">
        <w:t>55</w:t>
      </w:r>
      <w:r w:rsidR="00F373A3" w:rsidRPr="00181FCD">
        <w:t xml:space="preserve"> </w:t>
      </w:r>
      <w:r w:rsidRPr="00181FCD">
        <w:t>del</w:t>
      </w:r>
      <w:r w:rsidR="00F373A3" w:rsidRPr="00181FCD">
        <w:t xml:space="preserve"> </w:t>
      </w:r>
      <w:r w:rsidRPr="00181FCD">
        <w:t>Código</w:t>
      </w:r>
      <w:r w:rsidR="00F373A3" w:rsidRPr="00181FCD">
        <w:t xml:space="preserve"> </w:t>
      </w:r>
      <w:r w:rsidRPr="00181FCD">
        <w:t>de</w:t>
      </w:r>
      <w:r w:rsidR="00F373A3" w:rsidRPr="00181FCD">
        <w:t xml:space="preserve"> </w:t>
      </w:r>
      <w:r w:rsidRPr="00181FCD">
        <w:t>Procedimiento</w:t>
      </w:r>
      <w:r w:rsidR="00F373A3" w:rsidRPr="00181FCD">
        <w:t xml:space="preserve"> </w:t>
      </w:r>
      <w:r w:rsidRPr="00181FCD">
        <w:t>Penal</w:t>
      </w:r>
      <w:r w:rsidR="00F373A3" w:rsidRPr="00181FCD">
        <w:t xml:space="preserve"> </w:t>
      </w:r>
      <w:r w:rsidRPr="00181FCD">
        <w:t>un</w:t>
      </w:r>
      <w:r w:rsidR="00F373A3" w:rsidRPr="00181FCD">
        <w:t xml:space="preserve"> </w:t>
      </w:r>
      <w:r w:rsidRPr="00181FCD">
        <w:t>nuevo</w:t>
      </w:r>
      <w:r w:rsidR="00F373A3" w:rsidRPr="00181FCD">
        <w:t xml:space="preserve"> </w:t>
      </w:r>
      <w:r w:rsidRPr="00181FCD">
        <w:t>párrafo</w:t>
      </w:r>
      <w:r w:rsidR="00F373A3" w:rsidRPr="00181FCD">
        <w:t xml:space="preserve"> </w:t>
      </w:r>
      <w:r w:rsidRPr="00181FCD">
        <w:t>3),</w:t>
      </w:r>
      <w:r w:rsidR="00F373A3" w:rsidRPr="00181FCD">
        <w:t xml:space="preserve"> </w:t>
      </w:r>
      <w:r w:rsidRPr="00181FCD">
        <w:t>en</w:t>
      </w:r>
      <w:r w:rsidR="00F373A3" w:rsidRPr="00181FCD">
        <w:t xml:space="preserve"> </w:t>
      </w:r>
      <w:r w:rsidRPr="00181FCD">
        <w:t>el</w:t>
      </w:r>
      <w:r w:rsidR="00F373A3" w:rsidRPr="00181FCD">
        <w:t xml:space="preserve"> </w:t>
      </w:r>
      <w:r w:rsidRPr="00181FCD">
        <w:t>que</w:t>
      </w:r>
      <w:r w:rsidR="00F373A3" w:rsidRPr="00181FCD">
        <w:t xml:space="preserve"> </w:t>
      </w:r>
      <w:r w:rsidRPr="00181FCD">
        <w:t>se</w:t>
      </w:r>
      <w:r w:rsidR="00F373A3" w:rsidRPr="00181FCD">
        <w:t xml:space="preserve"> </w:t>
      </w:r>
      <w:r w:rsidRPr="00181FCD">
        <w:t>concede</w:t>
      </w:r>
      <w:r w:rsidR="00F373A3" w:rsidRPr="00181FCD">
        <w:t xml:space="preserve"> </w:t>
      </w:r>
      <w:r w:rsidRPr="00181FCD">
        <w:t>expresamente</w:t>
      </w:r>
      <w:r w:rsidR="00F373A3" w:rsidRPr="00181FCD">
        <w:t xml:space="preserve"> </w:t>
      </w:r>
      <w:r w:rsidRPr="00181FCD">
        <w:t>un</w:t>
      </w:r>
      <w:r w:rsidR="00F373A3" w:rsidRPr="00181FCD">
        <w:t xml:space="preserve"> </w:t>
      </w:r>
      <w:r w:rsidRPr="00181FCD">
        <w:t>nuevo</w:t>
      </w:r>
      <w:r w:rsidR="00F373A3" w:rsidRPr="00181FCD">
        <w:t xml:space="preserve"> </w:t>
      </w:r>
      <w:r w:rsidRPr="00181FCD">
        <w:t>derecho</w:t>
      </w:r>
      <w:r w:rsidR="00F373A3" w:rsidRPr="00181FCD">
        <w:t xml:space="preserve"> </w:t>
      </w:r>
      <w:r w:rsidRPr="00181FCD">
        <w:t>a</w:t>
      </w:r>
      <w:r w:rsidR="00F373A3" w:rsidRPr="00181FCD">
        <w:t xml:space="preserve"> </w:t>
      </w:r>
      <w:r w:rsidRPr="00181FCD">
        <w:t>los</w:t>
      </w:r>
      <w:r w:rsidR="00F373A3" w:rsidRPr="00181FCD">
        <w:t xml:space="preserve"> </w:t>
      </w:r>
      <w:r w:rsidRPr="00181FCD">
        <w:t>acusados:</w:t>
      </w:r>
      <w:r w:rsidR="00F373A3" w:rsidRPr="00181FCD">
        <w:t xml:space="preserve"> "</w:t>
      </w:r>
      <w:r w:rsidRPr="00181FCD">
        <w:t>El</w:t>
      </w:r>
      <w:r w:rsidR="006E0DF5" w:rsidRPr="00181FCD">
        <w:t> </w:t>
      </w:r>
      <w:r w:rsidRPr="00181FCD">
        <w:t>acusado</w:t>
      </w:r>
      <w:r w:rsidR="00F373A3" w:rsidRPr="00181FCD">
        <w:t xml:space="preserve"> </w:t>
      </w:r>
      <w:r w:rsidRPr="00181FCD">
        <w:t>que</w:t>
      </w:r>
      <w:r w:rsidR="00F373A3" w:rsidRPr="00181FCD">
        <w:t xml:space="preserve"> </w:t>
      </w:r>
      <w:r w:rsidRPr="00181FCD">
        <w:t>no</w:t>
      </w:r>
      <w:r w:rsidR="00F373A3" w:rsidRPr="00181FCD">
        <w:t xml:space="preserve"> </w:t>
      </w:r>
      <w:r w:rsidRPr="00181FCD">
        <w:t>hable</w:t>
      </w:r>
      <w:r w:rsidR="00F373A3" w:rsidRPr="00181FCD">
        <w:t xml:space="preserve"> </w:t>
      </w:r>
      <w:r w:rsidRPr="00181FCD">
        <w:t>el</w:t>
      </w:r>
      <w:r w:rsidR="00F373A3" w:rsidRPr="00181FCD">
        <w:t xml:space="preserve"> </w:t>
      </w:r>
      <w:r w:rsidRPr="00181FCD">
        <w:t>idioma</w:t>
      </w:r>
      <w:r w:rsidR="00F373A3" w:rsidRPr="00181FCD">
        <w:t xml:space="preserve"> </w:t>
      </w:r>
      <w:r w:rsidRPr="00181FCD">
        <w:t>búlgaro</w:t>
      </w:r>
      <w:r w:rsidR="00F373A3" w:rsidRPr="00181FCD">
        <w:t xml:space="preserve"> </w:t>
      </w:r>
      <w:r w:rsidRPr="00181FCD">
        <w:t>tendrá</w:t>
      </w:r>
      <w:r w:rsidR="00F373A3" w:rsidRPr="00181FCD">
        <w:t xml:space="preserve"> </w:t>
      </w:r>
      <w:r w:rsidRPr="00181FCD">
        <w:t>derecho</w:t>
      </w:r>
      <w:r w:rsidR="00F373A3" w:rsidRPr="00181FCD">
        <w:t xml:space="preserve"> </w:t>
      </w:r>
      <w:r w:rsidRPr="00181FCD">
        <w:t>en</w:t>
      </w:r>
      <w:r w:rsidR="00F373A3" w:rsidRPr="00181FCD">
        <w:t xml:space="preserve"> </w:t>
      </w:r>
      <w:r w:rsidRPr="00181FCD">
        <w:t>un</w:t>
      </w:r>
      <w:r w:rsidR="00F373A3" w:rsidRPr="00181FCD">
        <w:t xml:space="preserve"> </w:t>
      </w:r>
      <w:r w:rsidRPr="00181FCD">
        <w:t>proceso</w:t>
      </w:r>
      <w:r w:rsidR="00F373A3" w:rsidRPr="00181FCD">
        <w:t xml:space="preserve"> </w:t>
      </w:r>
      <w:r w:rsidRPr="00181FCD">
        <w:t>penal</w:t>
      </w:r>
      <w:r w:rsidR="00F373A3" w:rsidRPr="00181FCD">
        <w:t xml:space="preserve"> </w:t>
      </w:r>
      <w:r w:rsidRPr="00181FCD">
        <w:t>a</w:t>
      </w:r>
      <w:r w:rsidR="00F373A3" w:rsidRPr="00181FCD">
        <w:t xml:space="preserve"> </w:t>
      </w:r>
      <w:r w:rsidRPr="00181FCD">
        <w:t>servicios</w:t>
      </w:r>
      <w:r w:rsidR="00F373A3" w:rsidRPr="00181FCD">
        <w:t xml:space="preserve"> </w:t>
      </w:r>
      <w:r w:rsidRPr="00181FCD">
        <w:t>de</w:t>
      </w:r>
      <w:r w:rsidR="00F373A3" w:rsidRPr="00181FCD">
        <w:t xml:space="preserve"> </w:t>
      </w:r>
      <w:r w:rsidRPr="00181FCD">
        <w:t>interpretación</w:t>
      </w:r>
      <w:r w:rsidR="00F373A3" w:rsidRPr="00181FCD">
        <w:t xml:space="preserve"> </w:t>
      </w:r>
      <w:r w:rsidRPr="00181FCD">
        <w:t>y</w:t>
      </w:r>
      <w:r w:rsidR="00F373A3" w:rsidRPr="00181FCD">
        <w:t xml:space="preserve"> </w:t>
      </w:r>
      <w:r w:rsidRPr="00181FCD">
        <w:t>traducción</w:t>
      </w:r>
      <w:r w:rsidR="00F373A3" w:rsidRPr="00181FCD">
        <w:t xml:space="preserve"> </w:t>
      </w:r>
      <w:r w:rsidRPr="00181FCD">
        <w:t>en</w:t>
      </w:r>
      <w:r w:rsidR="00F373A3" w:rsidRPr="00181FCD">
        <w:t xml:space="preserve"> </w:t>
      </w:r>
      <w:r w:rsidRPr="00181FCD">
        <w:t>un</w:t>
      </w:r>
      <w:r w:rsidR="00F373A3" w:rsidRPr="00181FCD">
        <w:t xml:space="preserve"> </w:t>
      </w:r>
      <w:r w:rsidRPr="00181FCD">
        <w:t>idioma</w:t>
      </w:r>
      <w:r w:rsidR="00F373A3" w:rsidRPr="00181FCD">
        <w:t xml:space="preserve"> </w:t>
      </w:r>
      <w:r w:rsidRPr="00181FCD">
        <w:t>que</w:t>
      </w:r>
      <w:r w:rsidR="00F373A3" w:rsidRPr="00181FCD">
        <w:t xml:space="preserve"> </w:t>
      </w:r>
      <w:r w:rsidRPr="00181FCD">
        <w:t>entienda.</w:t>
      </w:r>
      <w:r w:rsidR="00F373A3" w:rsidRPr="00181FCD">
        <w:t xml:space="preserve"> </w:t>
      </w:r>
      <w:r w:rsidRPr="00181FCD">
        <w:t>Se</w:t>
      </w:r>
      <w:r w:rsidR="00F373A3" w:rsidRPr="00181FCD">
        <w:t xml:space="preserve"> </w:t>
      </w:r>
      <w:r w:rsidRPr="00181FCD">
        <w:t>deberá</w:t>
      </w:r>
      <w:r w:rsidR="00F373A3" w:rsidRPr="00181FCD">
        <w:t xml:space="preserve"> </w:t>
      </w:r>
      <w:r w:rsidRPr="00181FCD">
        <w:t>facilitar</w:t>
      </w:r>
      <w:r w:rsidR="00F373A3" w:rsidRPr="00181FCD">
        <w:t xml:space="preserve"> </w:t>
      </w:r>
      <w:r w:rsidRPr="00181FCD">
        <w:t>al</w:t>
      </w:r>
      <w:r w:rsidR="00F373A3" w:rsidRPr="00181FCD">
        <w:t xml:space="preserve"> </w:t>
      </w:r>
      <w:r w:rsidRPr="00181FCD">
        <w:t>acusado</w:t>
      </w:r>
      <w:r w:rsidR="00F373A3" w:rsidRPr="00181FCD">
        <w:t xml:space="preserve"> </w:t>
      </w:r>
      <w:r w:rsidRPr="00181FCD">
        <w:t>una</w:t>
      </w:r>
      <w:r w:rsidR="00F373A3" w:rsidRPr="00181FCD">
        <w:t xml:space="preserve"> </w:t>
      </w:r>
      <w:r w:rsidRPr="00181FCD">
        <w:t>traducción</w:t>
      </w:r>
      <w:r w:rsidR="00F373A3" w:rsidRPr="00181FCD">
        <w:t xml:space="preserve"> </w:t>
      </w:r>
      <w:r w:rsidRPr="00181FCD">
        <w:t>escrita</w:t>
      </w:r>
      <w:r w:rsidR="00F373A3" w:rsidRPr="00181FCD">
        <w:t xml:space="preserve"> </w:t>
      </w:r>
      <w:r w:rsidRPr="00181FCD">
        <w:t>de</w:t>
      </w:r>
      <w:r w:rsidR="00F373A3" w:rsidRPr="00181FCD">
        <w:t xml:space="preserve"> </w:t>
      </w:r>
      <w:r w:rsidRPr="00181FCD">
        <w:t>la</w:t>
      </w:r>
      <w:r w:rsidR="00F373A3" w:rsidRPr="00181FCD">
        <w:t xml:space="preserve"> </w:t>
      </w:r>
      <w:r w:rsidRPr="00181FCD">
        <w:t>diligencia</w:t>
      </w:r>
      <w:r w:rsidR="00F373A3" w:rsidRPr="00181FCD">
        <w:t xml:space="preserve"> </w:t>
      </w:r>
      <w:r w:rsidRPr="00181FCD">
        <w:t>de</w:t>
      </w:r>
      <w:r w:rsidR="00F373A3" w:rsidRPr="00181FCD">
        <w:t xml:space="preserve"> </w:t>
      </w:r>
      <w:r w:rsidRPr="00181FCD">
        <w:t>acusación,</w:t>
      </w:r>
      <w:r w:rsidR="00F373A3" w:rsidRPr="00181FCD">
        <w:t xml:space="preserve"> </w:t>
      </w:r>
      <w:r w:rsidRPr="00181FCD">
        <w:t>los</w:t>
      </w:r>
      <w:r w:rsidR="00F373A3" w:rsidRPr="00181FCD">
        <w:t xml:space="preserve"> </w:t>
      </w:r>
      <w:r w:rsidRPr="00181FCD">
        <w:t>decretos</w:t>
      </w:r>
      <w:r w:rsidR="00F373A3" w:rsidRPr="00181FCD">
        <w:t xml:space="preserve"> </w:t>
      </w:r>
      <w:r w:rsidRPr="00181FCD">
        <w:t>de</w:t>
      </w:r>
      <w:r w:rsidR="00F373A3" w:rsidRPr="00181FCD">
        <w:t xml:space="preserve"> </w:t>
      </w:r>
      <w:r w:rsidRPr="00181FCD">
        <w:t>los</w:t>
      </w:r>
      <w:r w:rsidR="00F373A3" w:rsidRPr="00181FCD">
        <w:t xml:space="preserve"> </w:t>
      </w:r>
      <w:r w:rsidRPr="00181FCD">
        <w:t>tribunales</w:t>
      </w:r>
      <w:r w:rsidR="00F373A3" w:rsidRPr="00181FCD">
        <w:t xml:space="preserve"> </w:t>
      </w:r>
      <w:r w:rsidRPr="00181FCD">
        <w:t>para</w:t>
      </w:r>
      <w:r w:rsidR="00F373A3" w:rsidRPr="00181FCD">
        <w:t xml:space="preserve"> </w:t>
      </w:r>
      <w:r w:rsidRPr="00181FCD">
        <w:t>que</w:t>
      </w:r>
      <w:r w:rsidR="00F373A3" w:rsidRPr="00181FCD">
        <w:t xml:space="preserve"> </w:t>
      </w:r>
      <w:r w:rsidRPr="00181FCD">
        <w:t>se</w:t>
      </w:r>
      <w:r w:rsidR="00F373A3" w:rsidRPr="00181FCD">
        <w:t xml:space="preserve"> </w:t>
      </w:r>
      <w:r w:rsidRPr="00181FCD">
        <w:t>imponga</w:t>
      </w:r>
      <w:r w:rsidR="00F373A3" w:rsidRPr="00181FCD">
        <w:t xml:space="preserve"> </w:t>
      </w:r>
      <w:r w:rsidRPr="00181FCD">
        <w:t>una</w:t>
      </w:r>
      <w:r w:rsidR="00F373A3" w:rsidRPr="00181FCD">
        <w:t xml:space="preserve"> </w:t>
      </w:r>
      <w:r w:rsidRPr="00181FCD">
        <w:t>medida</w:t>
      </w:r>
      <w:r w:rsidR="00F373A3" w:rsidRPr="00181FCD">
        <w:t xml:space="preserve"> </w:t>
      </w:r>
      <w:r w:rsidRPr="00181FCD">
        <w:t>de</w:t>
      </w:r>
      <w:r w:rsidR="00F373A3" w:rsidRPr="00181FCD">
        <w:t xml:space="preserve"> </w:t>
      </w:r>
      <w:r w:rsidRPr="00181FCD">
        <w:t>restricción,</w:t>
      </w:r>
      <w:r w:rsidR="00F373A3" w:rsidRPr="00181FCD">
        <w:t xml:space="preserve"> </w:t>
      </w:r>
      <w:r w:rsidRPr="00181FCD">
        <w:t>el</w:t>
      </w:r>
      <w:r w:rsidR="00F373A3" w:rsidRPr="00181FCD">
        <w:t xml:space="preserve"> </w:t>
      </w:r>
      <w:r w:rsidRPr="00181FCD">
        <w:t>auto</w:t>
      </w:r>
      <w:r w:rsidR="00F373A3" w:rsidRPr="00181FCD">
        <w:t xml:space="preserve"> </w:t>
      </w:r>
      <w:r w:rsidRPr="00181FCD">
        <w:t>de</w:t>
      </w:r>
      <w:r w:rsidR="00F373A3" w:rsidRPr="00181FCD">
        <w:t xml:space="preserve"> </w:t>
      </w:r>
      <w:r w:rsidRPr="00181FCD">
        <w:t>procesamiento,</w:t>
      </w:r>
      <w:r w:rsidR="00F373A3" w:rsidRPr="00181FCD">
        <w:t xml:space="preserve"> </w:t>
      </w:r>
      <w:r w:rsidRPr="00181FCD">
        <w:t>la</w:t>
      </w:r>
      <w:r w:rsidR="00F373A3" w:rsidRPr="00181FCD">
        <w:t xml:space="preserve"> </w:t>
      </w:r>
      <w:r w:rsidRPr="00181FCD">
        <w:t>sentencia,</w:t>
      </w:r>
      <w:r w:rsidR="00F373A3" w:rsidRPr="00181FCD">
        <w:t xml:space="preserve"> </w:t>
      </w:r>
      <w:r w:rsidRPr="00181FCD">
        <w:t>la</w:t>
      </w:r>
      <w:r w:rsidR="00F373A3" w:rsidRPr="00181FCD">
        <w:t xml:space="preserve"> </w:t>
      </w:r>
      <w:r w:rsidRPr="00181FCD">
        <w:t>decisión</w:t>
      </w:r>
      <w:r w:rsidR="00F373A3" w:rsidRPr="00181FCD">
        <w:t xml:space="preserve"> </w:t>
      </w:r>
      <w:r w:rsidRPr="00181FCD">
        <w:t>del</w:t>
      </w:r>
      <w:r w:rsidR="00F373A3" w:rsidRPr="00181FCD">
        <w:t xml:space="preserve"> </w:t>
      </w:r>
      <w:r w:rsidRPr="00181FCD">
        <w:t>Tribunal</w:t>
      </w:r>
      <w:r w:rsidR="00F373A3" w:rsidRPr="00181FCD">
        <w:t xml:space="preserve"> </w:t>
      </w:r>
      <w:r w:rsidRPr="00181FCD">
        <w:t>de</w:t>
      </w:r>
      <w:r w:rsidR="00F373A3" w:rsidRPr="00181FCD">
        <w:t xml:space="preserve"> </w:t>
      </w:r>
      <w:r w:rsidRPr="00181FCD">
        <w:t>Apelación</w:t>
      </w:r>
      <w:r w:rsidR="00F373A3" w:rsidRPr="00181FCD">
        <w:t xml:space="preserve"> </w:t>
      </w:r>
      <w:r w:rsidRPr="00181FCD">
        <w:t>y</w:t>
      </w:r>
      <w:r w:rsidR="00F373A3" w:rsidRPr="00181FCD">
        <w:t xml:space="preserve"> </w:t>
      </w:r>
      <w:r w:rsidRPr="00181FCD">
        <w:t>la</w:t>
      </w:r>
      <w:r w:rsidR="00F373A3" w:rsidRPr="00181FCD">
        <w:t xml:space="preserve"> </w:t>
      </w:r>
      <w:r w:rsidRPr="00181FCD">
        <w:t>decisión</w:t>
      </w:r>
      <w:r w:rsidR="00F373A3" w:rsidRPr="00181FCD">
        <w:t xml:space="preserve"> </w:t>
      </w:r>
      <w:r w:rsidRPr="00181FCD">
        <w:t>de</w:t>
      </w:r>
      <w:r w:rsidR="00F373A3" w:rsidRPr="00181FCD">
        <w:t xml:space="preserve"> </w:t>
      </w:r>
      <w:r w:rsidRPr="00181FCD">
        <w:t>la</w:t>
      </w:r>
      <w:r w:rsidR="00F373A3" w:rsidRPr="00181FCD">
        <w:t xml:space="preserve"> </w:t>
      </w:r>
      <w:r w:rsidRPr="00181FCD">
        <w:t>instancia</w:t>
      </w:r>
      <w:r w:rsidR="00F373A3" w:rsidRPr="00181FCD">
        <w:t xml:space="preserve"> </w:t>
      </w:r>
      <w:r w:rsidRPr="00181FCD">
        <w:t>de</w:t>
      </w:r>
      <w:r w:rsidR="00F373A3" w:rsidRPr="00181FCD">
        <w:t xml:space="preserve"> </w:t>
      </w:r>
      <w:r w:rsidRPr="00181FCD">
        <w:t>casación.</w:t>
      </w:r>
      <w:r w:rsidR="00F373A3" w:rsidRPr="00181FCD">
        <w:t xml:space="preserve"> </w:t>
      </w:r>
      <w:r w:rsidRPr="00181FCD">
        <w:t>El</w:t>
      </w:r>
      <w:r w:rsidR="00F373A3" w:rsidRPr="00181FCD">
        <w:t xml:space="preserve"> </w:t>
      </w:r>
      <w:r w:rsidRPr="00181FCD">
        <w:t>acusado</w:t>
      </w:r>
      <w:r w:rsidR="00F373A3" w:rsidRPr="00181FCD">
        <w:t xml:space="preserve"> </w:t>
      </w:r>
      <w:r w:rsidRPr="00181FCD">
        <w:t>tendrá</w:t>
      </w:r>
      <w:r w:rsidR="00F373A3" w:rsidRPr="00181FCD">
        <w:t xml:space="preserve"> </w:t>
      </w:r>
      <w:r w:rsidRPr="00181FCD">
        <w:t>derecho</w:t>
      </w:r>
      <w:r w:rsidR="00F373A3" w:rsidRPr="00181FCD">
        <w:t xml:space="preserve"> </w:t>
      </w:r>
      <w:r w:rsidRPr="00181FCD">
        <w:t>a</w:t>
      </w:r>
      <w:r w:rsidR="00F373A3" w:rsidRPr="00181FCD">
        <w:t xml:space="preserve"> </w:t>
      </w:r>
      <w:r w:rsidRPr="00181FCD">
        <w:t>rechazar</w:t>
      </w:r>
      <w:r w:rsidR="00F373A3" w:rsidRPr="00181FCD">
        <w:t xml:space="preserve"> </w:t>
      </w:r>
      <w:r w:rsidRPr="00181FCD">
        <w:t>la</w:t>
      </w:r>
      <w:r w:rsidR="00F373A3" w:rsidRPr="00181FCD">
        <w:t xml:space="preserve"> </w:t>
      </w:r>
      <w:r w:rsidRPr="00181FCD">
        <w:t>traducción</w:t>
      </w:r>
      <w:r w:rsidR="00F373A3" w:rsidRPr="00181FCD">
        <w:t xml:space="preserve"> </w:t>
      </w:r>
      <w:r w:rsidRPr="00181FCD">
        <w:t>escrita</w:t>
      </w:r>
      <w:r w:rsidR="00F373A3" w:rsidRPr="00181FCD">
        <w:t xml:space="preserve"> </w:t>
      </w:r>
      <w:r w:rsidRPr="00181FCD">
        <w:t>de</w:t>
      </w:r>
      <w:r w:rsidR="00F373A3" w:rsidRPr="00181FCD">
        <w:t xml:space="preserve"> </w:t>
      </w:r>
      <w:r w:rsidRPr="00181FCD">
        <w:t>conformidad</w:t>
      </w:r>
      <w:r w:rsidR="00F373A3" w:rsidRPr="00181FCD">
        <w:t xml:space="preserve"> </w:t>
      </w:r>
      <w:r w:rsidRPr="00181FCD">
        <w:t>con</w:t>
      </w:r>
      <w:r w:rsidR="00F373A3" w:rsidRPr="00181FCD">
        <w:t xml:space="preserve"> </w:t>
      </w:r>
      <w:r w:rsidRPr="00181FCD">
        <w:t>el</w:t>
      </w:r>
      <w:r w:rsidR="00F373A3" w:rsidRPr="00181FCD">
        <w:t xml:space="preserve"> </w:t>
      </w:r>
      <w:r w:rsidRPr="00181FCD">
        <w:t>presente</w:t>
      </w:r>
      <w:r w:rsidR="00F373A3" w:rsidRPr="00181FCD">
        <w:t xml:space="preserve"> </w:t>
      </w:r>
      <w:r w:rsidRPr="00181FCD">
        <w:t>Código,</w:t>
      </w:r>
      <w:r w:rsidR="00F373A3" w:rsidRPr="00181FCD">
        <w:t xml:space="preserve"> </w:t>
      </w:r>
      <w:r w:rsidRPr="00181FCD">
        <w:t>cuando</w:t>
      </w:r>
      <w:r w:rsidR="00F373A3" w:rsidRPr="00181FCD">
        <w:t xml:space="preserve"> </w:t>
      </w:r>
      <w:r w:rsidRPr="00181FCD">
        <w:t>tenga</w:t>
      </w:r>
      <w:r w:rsidR="00F373A3" w:rsidRPr="00181FCD">
        <w:t xml:space="preserve"> </w:t>
      </w:r>
      <w:r w:rsidRPr="00181FCD">
        <w:t>un</w:t>
      </w:r>
      <w:r w:rsidR="00F373A3" w:rsidRPr="00181FCD">
        <w:t xml:space="preserve"> </w:t>
      </w:r>
      <w:r w:rsidRPr="00181FCD">
        <w:t>abogado</w:t>
      </w:r>
      <w:r w:rsidR="00F373A3" w:rsidRPr="00181FCD">
        <w:t xml:space="preserve"> </w:t>
      </w:r>
      <w:r w:rsidRPr="00181FCD">
        <w:t>defensor</w:t>
      </w:r>
      <w:r w:rsidR="00F373A3" w:rsidRPr="00181FCD">
        <w:t xml:space="preserve"> </w:t>
      </w:r>
      <w:r w:rsidRPr="00181FCD">
        <w:t>y</w:t>
      </w:r>
      <w:r w:rsidR="00F373A3" w:rsidRPr="00181FCD">
        <w:t xml:space="preserve"> </w:t>
      </w:r>
      <w:r w:rsidRPr="00181FCD">
        <w:t>sus</w:t>
      </w:r>
      <w:r w:rsidR="00F373A3" w:rsidRPr="00181FCD">
        <w:t xml:space="preserve"> </w:t>
      </w:r>
      <w:r w:rsidRPr="00181FCD">
        <w:t>derechos</w:t>
      </w:r>
      <w:r w:rsidR="00F373A3" w:rsidRPr="00181FCD">
        <w:t xml:space="preserve"> </w:t>
      </w:r>
      <w:r w:rsidRPr="00181FCD">
        <w:t>procesales</w:t>
      </w:r>
      <w:r w:rsidR="00F373A3" w:rsidRPr="00181FCD">
        <w:t xml:space="preserve"> </w:t>
      </w:r>
      <w:r w:rsidRPr="00181FCD">
        <w:t>estén</w:t>
      </w:r>
      <w:r w:rsidR="00F373A3" w:rsidRPr="00181FCD">
        <w:t xml:space="preserve"> </w:t>
      </w:r>
      <w:r w:rsidRPr="00181FCD">
        <w:t>protegidos</w:t>
      </w:r>
      <w:r w:rsidR="00F373A3" w:rsidRPr="00181FCD">
        <w:t>"</w:t>
      </w:r>
      <w:r w:rsidRPr="00181FCD">
        <w:t>.</w:t>
      </w:r>
      <w:r w:rsidR="00F373A3" w:rsidRPr="00181FCD">
        <w:t xml:space="preserve"> </w:t>
      </w:r>
      <w:r w:rsidRPr="00181FCD">
        <w:t>Esos</w:t>
      </w:r>
      <w:r w:rsidR="00F373A3" w:rsidRPr="00181FCD">
        <w:t xml:space="preserve"> </w:t>
      </w:r>
      <w:r w:rsidRPr="00181FCD">
        <w:t>derechos</w:t>
      </w:r>
      <w:r w:rsidR="00F373A3" w:rsidRPr="00181FCD">
        <w:t xml:space="preserve"> </w:t>
      </w:r>
      <w:r w:rsidRPr="00181FCD">
        <w:t>también</w:t>
      </w:r>
      <w:r w:rsidR="00F373A3" w:rsidRPr="00181FCD">
        <w:t xml:space="preserve"> </w:t>
      </w:r>
      <w:r w:rsidRPr="00181FCD">
        <w:t>se</w:t>
      </w:r>
      <w:r w:rsidR="00F373A3" w:rsidRPr="00181FCD">
        <w:t xml:space="preserve"> </w:t>
      </w:r>
      <w:r w:rsidRPr="00181FCD">
        <w:t>aplican</w:t>
      </w:r>
      <w:r w:rsidR="00F373A3" w:rsidRPr="00181FCD">
        <w:t xml:space="preserve"> </w:t>
      </w:r>
      <w:r w:rsidRPr="00181FCD">
        <w:t>a</w:t>
      </w:r>
      <w:r w:rsidR="00F373A3" w:rsidRPr="00181FCD">
        <w:t xml:space="preserve"> </w:t>
      </w:r>
      <w:r w:rsidRPr="00181FCD">
        <w:t>los</w:t>
      </w:r>
      <w:r w:rsidR="00F373A3" w:rsidRPr="00181FCD">
        <w:t xml:space="preserve"> </w:t>
      </w:r>
      <w:r w:rsidRPr="00181FCD">
        <w:t>solicitantes</w:t>
      </w:r>
      <w:r w:rsidR="00F373A3" w:rsidRPr="00181FCD">
        <w:t xml:space="preserve"> </w:t>
      </w:r>
      <w:r w:rsidRPr="00181FCD">
        <w:t>de</w:t>
      </w:r>
      <w:r w:rsidR="00F373A3" w:rsidRPr="00181FCD">
        <w:t xml:space="preserve"> </w:t>
      </w:r>
      <w:r w:rsidRPr="00181FCD">
        <w:t>asilo.</w:t>
      </w:r>
    </w:p>
    <w:p w:rsidR="001937F4" w:rsidRPr="00181FCD" w:rsidRDefault="001937F4" w:rsidP="00347B20">
      <w:pPr>
        <w:pStyle w:val="SingleTxtG"/>
        <w:suppressAutoHyphens/>
      </w:pPr>
      <w:r w:rsidRPr="00181FCD">
        <w:t>132.</w:t>
      </w:r>
      <w:r w:rsidRPr="00181FCD">
        <w:tab/>
        <w:t>Desde</w:t>
      </w:r>
      <w:r w:rsidR="00F373A3" w:rsidRPr="00181FCD">
        <w:t xml:space="preserve"> </w:t>
      </w:r>
      <w:r w:rsidRPr="00181FCD">
        <w:t>el</w:t>
      </w:r>
      <w:r w:rsidR="00F373A3" w:rsidRPr="00181FCD">
        <w:t xml:space="preserve"> </w:t>
      </w:r>
      <w:r w:rsidRPr="00181FCD">
        <w:t>comienzo</w:t>
      </w:r>
      <w:r w:rsidR="00F373A3" w:rsidRPr="00181FCD">
        <w:t xml:space="preserve"> </w:t>
      </w:r>
      <w:r w:rsidRPr="00181FCD">
        <w:t>de</w:t>
      </w:r>
      <w:r w:rsidR="00F373A3" w:rsidRPr="00181FCD">
        <w:t xml:space="preserve"> </w:t>
      </w:r>
      <w:r w:rsidRPr="00181FCD">
        <w:t>2015</w:t>
      </w:r>
      <w:r w:rsidR="00F373A3" w:rsidRPr="00181FCD">
        <w:t xml:space="preserve"> </w:t>
      </w:r>
      <w:r w:rsidRPr="00181FCD">
        <w:t>y</w:t>
      </w:r>
      <w:r w:rsidR="00F373A3" w:rsidRPr="00181FCD">
        <w:t xml:space="preserve"> </w:t>
      </w:r>
      <w:r w:rsidRPr="00181FCD">
        <w:t>hasta</w:t>
      </w:r>
      <w:r w:rsidR="00F373A3" w:rsidRPr="00181FCD">
        <w:t xml:space="preserve"> </w:t>
      </w:r>
      <w:r w:rsidRPr="00181FCD">
        <w:t>el</w:t>
      </w:r>
      <w:r w:rsidR="00F373A3" w:rsidRPr="00181FCD">
        <w:t xml:space="preserve"> </w:t>
      </w:r>
      <w:r w:rsidRPr="00181FCD">
        <w:t>5</w:t>
      </w:r>
      <w:r w:rsidR="00F373A3" w:rsidRPr="00181FCD">
        <w:t xml:space="preserve"> </w:t>
      </w:r>
      <w:r w:rsidRPr="00181FCD">
        <w:t>de</w:t>
      </w:r>
      <w:r w:rsidR="00F373A3" w:rsidRPr="00181FCD">
        <w:t xml:space="preserve"> </w:t>
      </w:r>
      <w:r w:rsidRPr="00181FCD">
        <w:t>noviembre</w:t>
      </w:r>
      <w:r w:rsidR="00F373A3" w:rsidRPr="00181FCD">
        <w:t xml:space="preserve"> </w:t>
      </w:r>
      <w:r w:rsidRPr="00181FCD">
        <w:t>de</w:t>
      </w:r>
      <w:r w:rsidR="00F373A3" w:rsidRPr="00181FCD">
        <w:t xml:space="preserve"> </w:t>
      </w:r>
      <w:r w:rsidRPr="00181FCD">
        <w:t>2015,</w:t>
      </w:r>
      <w:r w:rsidR="00F373A3" w:rsidRPr="00181FCD">
        <w:t xml:space="preserve"> </w:t>
      </w:r>
      <w:r w:rsidRPr="00181FCD">
        <w:t>ha</w:t>
      </w:r>
      <w:r w:rsidR="00F373A3" w:rsidRPr="00181FCD">
        <w:t xml:space="preserve"> </w:t>
      </w:r>
      <w:r w:rsidRPr="00181FCD">
        <w:t>habido</w:t>
      </w:r>
      <w:r w:rsidR="00F373A3" w:rsidRPr="00181FCD">
        <w:t xml:space="preserve"> </w:t>
      </w:r>
      <w:r w:rsidRPr="00181FCD">
        <w:t>87.477</w:t>
      </w:r>
      <w:r w:rsidR="00F373A3" w:rsidRPr="00181FCD">
        <w:t xml:space="preserve"> </w:t>
      </w:r>
      <w:r w:rsidRPr="00181FCD">
        <w:t>intentos</w:t>
      </w:r>
      <w:r w:rsidR="00F373A3" w:rsidRPr="00181FCD">
        <w:t xml:space="preserve"> </w:t>
      </w:r>
      <w:r w:rsidRPr="00181FCD">
        <w:t>de</w:t>
      </w:r>
      <w:r w:rsidR="00F373A3" w:rsidRPr="00181FCD">
        <w:t xml:space="preserve"> </w:t>
      </w:r>
      <w:r w:rsidRPr="00181FCD">
        <w:t>ciudadanos</w:t>
      </w:r>
      <w:r w:rsidR="00F373A3" w:rsidRPr="00181FCD">
        <w:t xml:space="preserve"> </w:t>
      </w:r>
      <w:r w:rsidRPr="00181FCD">
        <w:t>de</w:t>
      </w:r>
      <w:r w:rsidR="00F373A3" w:rsidRPr="00181FCD">
        <w:t xml:space="preserve"> </w:t>
      </w:r>
      <w:r w:rsidRPr="00181FCD">
        <w:t>terceros</w:t>
      </w:r>
      <w:r w:rsidR="00F373A3" w:rsidRPr="00181FCD">
        <w:t xml:space="preserve"> </w:t>
      </w:r>
      <w:r w:rsidRPr="00181FCD">
        <w:t>países</w:t>
      </w:r>
      <w:r w:rsidR="00F373A3" w:rsidRPr="00181FCD">
        <w:t xml:space="preserve"> </w:t>
      </w:r>
      <w:r w:rsidRPr="00181FCD">
        <w:t>de</w:t>
      </w:r>
      <w:r w:rsidR="00F373A3" w:rsidRPr="00181FCD">
        <w:t xml:space="preserve"> </w:t>
      </w:r>
      <w:r w:rsidRPr="00181FCD">
        <w:t>cruzar</w:t>
      </w:r>
      <w:r w:rsidR="00F373A3" w:rsidRPr="00181FCD">
        <w:t xml:space="preserve"> </w:t>
      </w:r>
      <w:r w:rsidRPr="00181FCD">
        <w:t>las</w:t>
      </w:r>
      <w:r w:rsidR="00F373A3" w:rsidRPr="00181FCD">
        <w:t xml:space="preserve"> </w:t>
      </w:r>
      <w:r w:rsidRPr="00181FCD">
        <w:t>fronteras</w:t>
      </w:r>
      <w:r w:rsidR="00F373A3" w:rsidRPr="00181FCD">
        <w:t xml:space="preserve"> </w:t>
      </w:r>
      <w:r w:rsidRPr="00181FCD">
        <w:t>del</w:t>
      </w:r>
      <w:r w:rsidR="00F373A3" w:rsidRPr="00181FCD">
        <w:t xml:space="preserve"> </w:t>
      </w:r>
      <w:r w:rsidRPr="00181FCD">
        <w:t>Estado.</w:t>
      </w:r>
      <w:r w:rsidR="00F373A3" w:rsidRPr="00181FCD">
        <w:t xml:space="preserve"> </w:t>
      </w:r>
      <w:r w:rsidRPr="00181FCD">
        <w:t>Para</w:t>
      </w:r>
      <w:r w:rsidR="00F373A3" w:rsidRPr="00181FCD">
        <w:t xml:space="preserve"> </w:t>
      </w:r>
      <w:r w:rsidRPr="00181FCD">
        <w:t>el</w:t>
      </w:r>
      <w:r w:rsidR="00F373A3" w:rsidRPr="00181FCD">
        <w:t xml:space="preserve"> </w:t>
      </w:r>
      <w:r w:rsidRPr="00181FCD">
        <w:t>mismo</w:t>
      </w:r>
      <w:r w:rsidR="00F373A3" w:rsidRPr="00181FCD">
        <w:t xml:space="preserve"> </w:t>
      </w:r>
      <w:r w:rsidRPr="00181FCD">
        <w:t>período,</w:t>
      </w:r>
      <w:r w:rsidR="00F373A3" w:rsidRPr="00181FCD">
        <w:t xml:space="preserve"> </w:t>
      </w:r>
      <w:r w:rsidRPr="00181FCD">
        <w:t>los</w:t>
      </w:r>
      <w:r w:rsidR="00F373A3" w:rsidRPr="00181FCD">
        <w:t xml:space="preserve"> </w:t>
      </w:r>
      <w:r w:rsidRPr="00181FCD">
        <w:t>órganos</w:t>
      </w:r>
      <w:r w:rsidR="00F373A3" w:rsidRPr="00181FCD">
        <w:t xml:space="preserve"> </w:t>
      </w:r>
      <w:r w:rsidRPr="00181FCD">
        <w:t>del</w:t>
      </w:r>
      <w:r w:rsidR="00F373A3" w:rsidRPr="00181FCD">
        <w:t xml:space="preserve"> </w:t>
      </w:r>
      <w:r w:rsidRPr="00181FCD">
        <w:t>Ministerio</w:t>
      </w:r>
      <w:r w:rsidR="00F373A3" w:rsidRPr="00181FCD">
        <w:t xml:space="preserve"> </w:t>
      </w:r>
      <w:r w:rsidRPr="00181FCD">
        <w:t>del</w:t>
      </w:r>
      <w:r w:rsidR="00F373A3" w:rsidRPr="00181FCD">
        <w:t xml:space="preserve"> </w:t>
      </w:r>
      <w:r w:rsidRPr="00181FCD">
        <w:t>Interior</w:t>
      </w:r>
      <w:r w:rsidR="00F373A3" w:rsidRPr="00181FCD">
        <w:t xml:space="preserve"> </w:t>
      </w:r>
      <w:r w:rsidRPr="00181FCD">
        <w:t>detuvieron</w:t>
      </w:r>
      <w:r w:rsidR="00F373A3" w:rsidRPr="00181FCD">
        <w:t xml:space="preserve"> </w:t>
      </w:r>
      <w:r w:rsidRPr="00181FCD">
        <w:t>a</w:t>
      </w:r>
      <w:r w:rsidR="00F373A3" w:rsidRPr="00181FCD">
        <w:t xml:space="preserve"> </w:t>
      </w:r>
      <w:r w:rsidRPr="00181FCD">
        <w:t>26.593</w:t>
      </w:r>
      <w:r w:rsidR="00F373A3" w:rsidRPr="00181FCD">
        <w:t xml:space="preserve"> </w:t>
      </w:r>
      <w:r w:rsidRPr="00181FCD">
        <w:t>extranjeros</w:t>
      </w:r>
      <w:r w:rsidR="00F373A3" w:rsidRPr="00181FCD">
        <w:t xml:space="preserve"> </w:t>
      </w:r>
      <w:r w:rsidRPr="00181FCD">
        <w:t>no</w:t>
      </w:r>
      <w:r w:rsidR="00F373A3" w:rsidRPr="00181FCD">
        <w:t xml:space="preserve"> </w:t>
      </w:r>
      <w:r w:rsidRPr="00181FCD">
        <w:t>registrados.</w:t>
      </w:r>
    </w:p>
    <w:p w:rsidR="001937F4" w:rsidRPr="00181FCD" w:rsidRDefault="001937F4" w:rsidP="003D2550">
      <w:pPr>
        <w:pStyle w:val="SingleTxtG"/>
        <w:suppressAutoHyphens/>
        <w:spacing w:after="240"/>
      </w:pPr>
      <w:r w:rsidRPr="00181FCD">
        <w:t>133</w:t>
      </w:r>
      <w:r w:rsidR="00470CF3" w:rsidRPr="00181FCD">
        <w:t>.</w:t>
      </w:r>
      <w:r w:rsidRPr="00181FCD">
        <w:tab/>
        <w:t>Del</w:t>
      </w:r>
      <w:r w:rsidR="00F373A3" w:rsidRPr="00181FCD">
        <w:t xml:space="preserve"> </w:t>
      </w:r>
      <w:r w:rsidRPr="00181FCD">
        <w:t>1</w:t>
      </w:r>
      <w:r w:rsidR="00F373A3" w:rsidRPr="00181FCD">
        <w:t xml:space="preserve"> </w:t>
      </w:r>
      <w:r w:rsidRPr="00181FCD">
        <w:t>de</w:t>
      </w:r>
      <w:r w:rsidR="00F373A3" w:rsidRPr="00181FCD">
        <w:t xml:space="preserve"> </w:t>
      </w:r>
      <w:r w:rsidRPr="00181FCD">
        <w:t>enero</w:t>
      </w:r>
      <w:r w:rsidR="00F373A3" w:rsidRPr="00181FCD">
        <w:t xml:space="preserve"> </w:t>
      </w:r>
      <w:r w:rsidRPr="00181FCD">
        <w:t>al</w:t>
      </w:r>
      <w:r w:rsidR="00F373A3" w:rsidRPr="00181FCD">
        <w:t xml:space="preserve"> </w:t>
      </w:r>
      <w:r w:rsidRPr="00181FCD">
        <w:t>5</w:t>
      </w:r>
      <w:r w:rsidR="00F373A3" w:rsidRPr="00181FCD">
        <w:t xml:space="preserve"> </w:t>
      </w:r>
      <w:r w:rsidRPr="00181FCD">
        <w:t>de</w:t>
      </w:r>
      <w:r w:rsidR="00F373A3" w:rsidRPr="00181FCD">
        <w:t xml:space="preserve"> </w:t>
      </w:r>
      <w:r w:rsidRPr="00181FCD">
        <w:t>noviembre</w:t>
      </w:r>
      <w:r w:rsidR="00F373A3" w:rsidRPr="00181FCD">
        <w:t xml:space="preserve"> </w:t>
      </w:r>
      <w:r w:rsidRPr="00181FCD">
        <w:t>de</w:t>
      </w:r>
      <w:r w:rsidR="00F373A3" w:rsidRPr="00181FCD">
        <w:t xml:space="preserve"> </w:t>
      </w:r>
      <w:r w:rsidRPr="00181FCD">
        <w:t>2015,</w:t>
      </w:r>
      <w:r w:rsidR="00F373A3" w:rsidRPr="00181FCD">
        <w:t xml:space="preserve"> </w:t>
      </w:r>
      <w:r w:rsidRPr="00181FCD">
        <w:t>se</w:t>
      </w:r>
      <w:r w:rsidR="00F373A3" w:rsidRPr="00181FCD">
        <w:t xml:space="preserve"> </w:t>
      </w:r>
      <w:r w:rsidRPr="00181FCD">
        <w:t>deportó</w:t>
      </w:r>
      <w:r w:rsidR="00F373A3" w:rsidRPr="00181FCD">
        <w:t xml:space="preserve"> </w:t>
      </w:r>
      <w:r w:rsidRPr="00181FCD">
        <w:t>a</w:t>
      </w:r>
      <w:r w:rsidR="00F373A3" w:rsidRPr="00181FCD">
        <w:t xml:space="preserve"> </w:t>
      </w:r>
      <w:r w:rsidRPr="00181FCD">
        <w:t>712</w:t>
      </w:r>
      <w:r w:rsidR="00F373A3" w:rsidRPr="00181FCD">
        <w:t xml:space="preserve"> </w:t>
      </w:r>
      <w:r w:rsidRPr="00181FCD">
        <w:t>personas</w:t>
      </w:r>
      <w:r w:rsidR="00F373A3" w:rsidRPr="00181FCD">
        <w:t xml:space="preserve"> </w:t>
      </w:r>
      <w:r w:rsidRPr="00181FCD">
        <w:t>de</w:t>
      </w:r>
      <w:r w:rsidR="00F373A3" w:rsidRPr="00181FCD">
        <w:t xml:space="preserve"> </w:t>
      </w:r>
      <w:r w:rsidRPr="00181FCD">
        <w:t>terceros</w:t>
      </w:r>
      <w:r w:rsidR="00F373A3" w:rsidRPr="00181FCD">
        <w:t xml:space="preserve"> </w:t>
      </w:r>
      <w:r w:rsidRPr="00181FCD">
        <w:t>países</w:t>
      </w:r>
      <w:r w:rsidR="00F373A3" w:rsidRPr="00181FCD">
        <w:t xml:space="preserve"> </w:t>
      </w:r>
      <w:r w:rsidRPr="00181FCD">
        <w:t>que</w:t>
      </w:r>
      <w:r w:rsidR="00F373A3" w:rsidRPr="00181FCD">
        <w:t xml:space="preserve"> </w:t>
      </w:r>
      <w:r w:rsidRPr="00181FCD">
        <w:t>residían</w:t>
      </w:r>
      <w:r w:rsidR="00F373A3" w:rsidRPr="00181FCD">
        <w:t xml:space="preserve"> </w:t>
      </w:r>
      <w:r w:rsidRPr="00181FCD">
        <w:t>ilegalmente.</w:t>
      </w:r>
    </w:p>
    <w:p w:rsidR="001937F4" w:rsidRPr="00181FCD" w:rsidRDefault="00E47095" w:rsidP="00E47095">
      <w:pPr>
        <w:pStyle w:val="SingleTxtG"/>
        <w:suppressAutoHyphens/>
        <w:spacing w:after="0"/>
        <w:ind w:left="1021" w:right="0"/>
      </w:pPr>
      <w:r w:rsidRPr="00181FCD">
        <w:rPr>
          <w:noProof/>
          <w:sz w:val="24"/>
          <w:szCs w:val="24"/>
        </w:rPr>
        <w:pict>
          <v:shape id="Chart 1" o:spid="_x0000_i1026" type="#_x0000_t75" style="width:425.25pt;height:276pt;visibility:visible">
            <v:imagedata r:id="rId8" o:title="" cropbottom="2527f" cropleft="4997f"/>
          </v:shape>
        </w:pict>
      </w:r>
    </w:p>
    <w:p w:rsidR="001937F4" w:rsidRPr="00181FCD" w:rsidRDefault="001937F4" w:rsidP="005E4A28">
      <w:pPr>
        <w:pStyle w:val="SingleTxtG"/>
        <w:suppressAutoHyphens/>
        <w:spacing w:before="240"/>
      </w:pPr>
      <w:r w:rsidRPr="00181FCD">
        <w:t>134.</w:t>
      </w:r>
      <w:r w:rsidRPr="00181FCD">
        <w:tab/>
        <w:t>Entre</w:t>
      </w:r>
      <w:r w:rsidR="00F373A3" w:rsidRPr="00181FCD">
        <w:t xml:space="preserve"> </w:t>
      </w:r>
      <w:r w:rsidRPr="00181FCD">
        <w:t>el</w:t>
      </w:r>
      <w:r w:rsidR="00F373A3" w:rsidRPr="00181FCD">
        <w:t xml:space="preserve"> </w:t>
      </w:r>
      <w:r w:rsidRPr="00181FCD">
        <w:t>1</w:t>
      </w:r>
      <w:r w:rsidR="00F373A3" w:rsidRPr="00181FCD">
        <w:t xml:space="preserve"> </w:t>
      </w:r>
      <w:r w:rsidRPr="00181FCD">
        <w:t>de</w:t>
      </w:r>
      <w:r w:rsidR="00F373A3" w:rsidRPr="00181FCD">
        <w:t xml:space="preserve"> </w:t>
      </w:r>
      <w:r w:rsidRPr="00181FCD">
        <w:t>enero</w:t>
      </w:r>
      <w:r w:rsidR="00F373A3" w:rsidRPr="00181FCD">
        <w:t xml:space="preserve"> </w:t>
      </w:r>
      <w:r w:rsidRPr="00181FCD">
        <w:t>de</w:t>
      </w:r>
      <w:r w:rsidR="00F373A3" w:rsidRPr="00181FCD">
        <w:t xml:space="preserve"> </w:t>
      </w:r>
      <w:r w:rsidRPr="00181FCD">
        <w:t>1993</w:t>
      </w:r>
      <w:r w:rsidR="00F373A3" w:rsidRPr="00181FCD">
        <w:t xml:space="preserve"> </w:t>
      </w:r>
      <w:r w:rsidRPr="00181FCD">
        <w:t>y</w:t>
      </w:r>
      <w:r w:rsidR="00F373A3" w:rsidRPr="00181FCD">
        <w:t xml:space="preserve"> </w:t>
      </w:r>
      <w:r w:rsidRPr="00181FCD">
        <w:t>el</w:t>
      </w:r>
      <w:r w:rsidR="00F373A3" w:rsidRPr="00181FCD">
        <w:t xml:space="preserve"> </w:t>
      </w:r>
      <w:r w:rsidRPr="00181FCD">
        <w:t>30</w:t>
      </w:r>
      <w:r w:rsidR="00F373A3" w:rsidRPr="00181FCD">
        <w:t xml:space="preserve"> </w:t>
      </w:r>
      <w:r w:rsidRPr="00181FCD">
        <w:t>de</w:t>
      </w:r>
      <w:r w:rsidR="00F373A3" w:rsidRPr="00181FCD">
        <w:t xml:space="preserve"> </w:t>
      </w:r>
      <w:r w:rsidRPr="00181FCD">
        <w:t>octubre</w:t>
      </w:r>
      <w:r w:rsidR="00F373A3" w:rsidRPr="00181FCD">
        <w:t xml:space="preserve"> </w:t>
      </w:r>
      <w:r w:rsidRPr="00181FCD">
        <w:t>de</w:t>
      </w:r>
      <w:r w:rsidR="00F373A3" w:rsidRPr="00181FCD">
        <w:t xml:space="preserve"> </w:t>
      </w:r>
      <w:r w:rsidRPr="00181FCD">
        <w:t>2015,</w:t>
      </w:r>
      <w:r w:rsidR="00672EC2" w:rsidRPr="00181FCD">
        <w:t xml:space="preserve"> </w:t>
      </w:r>
      <w:r w:rsidRPr="00181FCD">
        <w:t>los</w:t>
      </w:r>
      <w:r w:rsidR="00F373A3" w:rsidRPr="00181FCD">
        <w:t xml:space="preserve"> </w:t>
      </w:r>
      <w:r w:rsidRPr="00181FCD">
        <w:t>primeros</w:t>
      </w:r>
      <w:r w:rsidR="00F373A3" w:rsidRPr="00181FCD">
        <w:t xml:space="preserve"> </w:t>
      </w:r>
      <w:r w:rsidRPr="00181FCD">
        <w:t>cinco</w:t>
      </w:r>
      <w:r w:rsidR="00672EC2" w:rsidRPr="00181FCD">
        <w:t xml:space="preserve"> </w:t>
      </w:r>
      <w:r w:rsidRPr="00181FCD">
        <w:t>países</w:t>
      </w:r>
      <w:r w:rsidR="00F373A3" w:rsidRPr="00181FCD">
        <w:t xml:space="preserve"> </w:t>
      </w:r>
      <w:r w:rsidRPr="00181FCD">
        <w:t>por</w:t>
      </w:r>
      <w:r w:rsidR="00F373A3" w:rsidRPr="00181FCD">
        <w:t xml:space="preserve"> </w:t>
      </w:r>
      <w:r w:rsidRPr="00181FCD">
        <w:t>número</w:t>
      </w:r>
      <w:r w:rsidR="00F373A3" w:rsidRPr="00181FCD">
        <w:t xml:space="preserve"> </w:t>
      </w:r>
      <w:r w:rsidRPr="00181FCD">
        <w:t>de</w:t>
      </w:r>
      <w:r w:rsidR="00F373A3" w:rsidRPr="00181FCD">
        <w:t xml:space="preserve"> </w:t>
      </w:r>
      <w:r w:rsidRPr="00181FCD">
        <w:t>solicitudes</w:t>
      </w:r>
      <w:r w:rsidR="00F373A3" w:rsidRPr="00181FCD">
        <w:t xml:space="preserve"> </w:t>
      </w:r>
      <w:r w:rsidRPr="00181FCD">
        <w:t>de</w:t>
      </w:r>
      <w:r w:rsidR="00F373A3" w:rsidRPr="00181FCD">
        <w:t xml:space="preserve"> </w:t>
      </w:r>
      <w:r w:rsidRPr="00181FCD">
        <w:t>protección</w:t>
      </w:r>
      <w:r w:rsidR="00F373A3" w:rsidRPr="00181FCD">
        <w:t xml:space="preserve"> </w:t>
      </w:r>
      <w:r w:rsidRPr="00181FCD">
        <w:t>internacional</w:t>
      </w:r>
      <w:r w:rsidR="00F373A3" w:rsidRPr="00181FCD">
        <w:t xml:space="preserve"> </w:t>
      </w:r>
      <w:r w:rsidRPr="00181FCD">
        <w:t>presentadas</w:t>
      </w:r>
      <w:r w:rsidR="00F373A3" w:rsidRPr="00181FCD">
        <w:t xml:space="preserve"> </w:t>
      </w:r>
      <w:r w:rsidRPr="00181FCD">
        <w:t>son</w:t>
      </w:r>
      <w:r w:rsidR="00F373A3" w:rsidRPr="00181FCD">
        <w:t xml:space="preserve"> </w:t>
      </w:r>
      <w:r w:rsidRPr="00181FCD">
        <w:t>los</w:t>
      </w:r>
      <w:r w:rsidR="00F373A3" w:rsidRPr="00181FCD">
        <w:t xml:space="preserve"> </w:t>
      </w:r>
      <w:r w:rsidRPr="00181FCD">
        <w:t>siguientes:</w:t>
      </w:r>
    </w:p>
    <w:p w:rsidR="001937F4" w:rsidRPr="00181FCD" w:rsidRDefault="001937F4" w:rsidP="005E4A28">
      <w:pPr>
        <w:pStyle w:val="Bullet1G"/>
      </w:pPr>
      <w:r w:rsidRPr="00181FCD">
        <w:t>Siria</w:t>
      </w:r>
      <w:r w:rsidR="00F373A3" w:rsidRPr="00181FCD">
        <w:t xml:space="preserve"> </w:t>
      </w:r>
      <w:r w:rsidRPr="00181FCD">
        <w:t>–</w:t>
      </w:r>
      <w:r w:rsidR="00F373A3" w:rsidRPr="00181FCD">
        <w:t xml:space="preserve"> </w:t>
      </w:r>
      <w:r w:rsidRPr="00181FCD">
        <w:t>17.061</w:t>
      </w:r>
      <w:r w:rsidR="005E4A28" w:rsidRPr="00181FCD">
        <w:t>;</w:t>
      </w:r>
    </w:p>
    <w:p w:rsidR="001937F4" w:rsidRPr="00181FCD" w:rsidRDefault="001937F4" w:rsidP="005E4A28">
      <w:pPr>
        <w:pStyle w:val="Bullet1G"/>
      </w:pPr>
      <w:r w:rsidRPr="00181FCD">
        <w:t>Afganistán</w:t>
      </w:r>
      <w:r w:rsidR="00F373A3" w:rsidRPr="00181FCD">
        <w:t xml:space="preserve"> </w:t>
      </w:r>
      <w:r w:rsidR="005E4A28" w:rsidRPr="00181FCD">
        <w:t>–</w:t>
      </w:r>
      <w:r w:rsidR="00F373A3" w:rsidRPr="00181FCD">
        <w:t xml:space="preserve"> </w:t>
      </w:r>
      <w:r w:rsidRPr="00181FCD">
        <w:t>13.549</w:t>
      </w:r>
      <w:r w:rsidR="005E4A28" w:rsidRPr="00181FCD">
        <w:t>;</w:t>
      </w:r>
    </w:p>
    <w:p w:rsidR="001937F4" w:rsidRPr="00181FCD" w:rsidRDefault="001937F4" w:rsidP="005E4A28">
      <w:pPr>
        <w:pStyle w:val="Bullet1G"/>
      </w:pPr>
      <w:r w:rsidRPr="00181FCD">
        <w:t>Iraq</w:t>
      </w:r>
      <w:r w:rsidR="00F373A3" w:rsidRPr="00181FCD">
        <w:t xml:space="preserve"> </w:t>
      </w:r>
      <w:r w:rsidRPr="00181FCD">
        <w:t>–</w:t>
      </w:r>
      <w:r w:rsidR="00F373A3" w:rsidRPr="00181FCD">
        <w:t xml:space="preserve"> </w:t>
      </w:r>
      <w:r w:rsidRPr="00181FCD">
        <w:t>11.396</w:t>
      </w:r>
      <w:r w:rsidR="005E4A28" w:rsidRPr="00181FCD">
        <w:t>;</w:t>
      </w:r>
    </w:p>
    <w:p w:rsidR="001937F4" w:rsidRPr="00181FCD" w:rsidRDefault="001937F4" w:rsidP="005E4A28">
      <w:pPr>
        <w:pStyle w:val="Bullet1G"/>
      </w:pPr>
      <w:r w:rsidRPr="00181FCD">
        <w:t>Personas</w:t>
      </w:r>
      <w:r w:rsidR="00F373A3" w:rsidRPr="00181FCD">
        <w:t xml:space="preserve"> </w:t>
      </w:r>
      <w:r w:rsidRPr="00181FCD">
        <w:t>sin</w:t>
      </w:r>
      <w:r w:rsidR="00F373A3" w:rsidRPr="00181FCD">
        <w:t xml:space="preserve"> </w:t>
      </w:r>
      <w:r w:rsidRPr="00181FCD">
        <w:t>ciudadanía</w:t>
      </w:r>
      <w:r w:rsidR="00F373A3" w:rsidRPr="00181FCD">
        <w:t xml:space="preserve"> </w:t>
      </w:r>
      <w:r w:rsidR="005E4A28" w:rsidRPr="00181FCD">
        <w:t>–</w:t>
      </w:r>
      <w:r w:rsidR="00F373A3" w:rsidRPr="00181FCD">
        <w:t xml:space="preserve"> </w:t>
      </w:r>
      <w:r w:rsidRPr="00181FCD">
        <w:t>2.024</w:t>
      </w:r>
      <w:r w:rsidR="005E4A28" w:rsidRPr="00181FCD">
        <w:t>;</w:t>
      </w:r>
    </w:p>
    <w:p w:rsidR="001937F4" w:rsidRPr="00181FCD" w:rsidRDefault="001937F4" w:rsidP="005E4A28">
      <w:pPr>
        <w:pStyle w:val="Bullet1G"/>
      </w:pPr>
      <w:r w:rsidRPr="00181FCD">
        <w:t>Armenia</w:t>
      </w:r>
      <w:r w:rsidR="00F373A3" w:rsidRPr="00181FCD">
        <w:t xml:space="preserve"> </w:t>
      </w:r>
      <w:r w:rsidR="005E4A28" w:rsidRPr="00181FCD">
        <w:t>–</w:t>
      </w:r>
      <w:r w:rsidR="00F373A3" w:rsidRPr="00181FCD">
        <w:t xml:space="preserve"> </w:t>
      </w:r>
      <w:r w:rsidRPr="00181FCD">
        <w:t>1.916</w:t>
      </w:r>
      <w:r w:rsidR="005E4A28" w:rsidRPr="00181FCD">
        <w:t>.</w:t>
      </w:r>
    </w:p>
    <w:p w:rsidR="001937F4" w:rsidRPr="00181FCD" w:rsidRDefault="001937F4" w:rsidP="00347B20">
      <w:pPr>
        <w:pStyle w:val="SingleTxtG"/>
        <w:suppressAutoHyphens/>
      </w:pPr>
      <w:r w:rsidRPr="00181FCD">
        <w:t>135.</w:t>
      </w:r>
      <w:r w:rsidRPr="00181FCD">
        <w:tab/>
        <w:t>Los</w:t>
      </w:r>
      <w:r w:rsidR="00F373A3" w:rsidRPr="00181FCD">
        <w:t xml:space="preserve"> </w:t>
      </w:r>
      <w:r w:rsidRPr="00181FCD">
        <w:t>cinco</w:t>
      </w:r>
      <w:r w:rsidR="00F373A3" w:rsidRPr="00181FCD">
        <w:t xml:space="preserve"> </w:t>
      </w:r>
      <w:r w:rsidRPr="00181FCD">
        <w:t>primeros</w:t>
      </w:r>
      <w:r w:rsidR="00F373A3" w:rsidRPr="00181FCD">
        <w:t xml:space="preserve"> </w:t>
      </w:r>
      <w:r w:rsidRPr="00181FCD">
        <w:t>países</w:t>
      </w:r>
      <w:r w:rsidR="00F373A3" w:rsidRPr="00181FCD">
        <w:t xml:space="preserve"> </w:t>
      </w:r>
      <w:r w:rsidRPr="00181FCD">
        <w:t>de</w:t>
      </w:r>
      <w:r w:rsidR="00F373A3" w:rsidRPr="00181FCD">
        <w:t xml:space="preserve"> </w:t>
      </w:r>
      <w:r w:rsidRPr="00181FCD">
        <w:t>origen</w:t>
      </w:r>
      <w:r w:rsidR="00F373A3" w:rsidRPr="00181FCD">
        <w:t xml:space="preserve"> </w:t>
      </w:r>
      <w:r w:rsidRPr="00181FCD">
        <w:t>por</w:t>
      </w:r>
      <w:r w:rsidR="00F373A3" w:rsidRPr="00181FCD">
        <w:t xml:space="preserve"> </w:t>
      </w:r>
      <w:r w:rsidRPr="00181FCD">
        <w:t>número</w:t>
      </w:r>
      <w:r w:rsidR="00F373A3" w:rsidRPr="00181FCD">
        <w:t xml:space="preserve"> </w:t>
      </w:r>
      <w:r w:rsidRPr="00181FCD">
        <w:t>de</w:t>
      </w:r>
      <w:r w:rsidR="00F373A3" w:rsidRPr="00181FCD">
        <w:t xml:space="preserve"> </w:t>
      </w:r>
      <w:r w:rsidRPr="00181FCD">
        <w:t>solicitudes</w:t>
      </w:r>
      <w:r w:rsidR="00F373A3" w:rsidRPr="00181FCD">
        <w:t xml:space="preserve"> </w:t>
      </w:r>
      <w:r w:rsidRPr="00181FCD">
        <w:t>presentadas</w:t>
      </w:r>
      <w:r w:rsidR="00F373A3" w:rsidRPr="00181FCD">
        <w:t xml:space="preserve"> </w:t>
      </w:r>
      <w:r w:rsidRPr="00181FCD">
        <w:t>del</w:t>
      </w:r>
      <w:r w:rsidR="00F373A3" w:rsidRPr="00181FCD">
        <w:t xml:space="preserve"> </w:t>
      </w:r>
      <w:r w:rsidRPr="00181FCD">
        <w:t>1</w:t>
      </w:r>
      <w:r w:rsidR="00F373A3" w:rsidRPr="00181FCD">
        <w:t xml:space="preserve"> </w:t>
      </w:r>
      <w:r w:rsidRPr="00181FCD">
        <w:t>de</w:t>
      </w:r>
      <w:r w:rsidR="00F373A3" w:rsidRPr="00181FCD">
        <w:t xml:space="preserve"> </w:t>
      </w:r>
      <w:r w:rsidRPr="00181FCD">
        <w:t>enero</w:t>
      </w:r>
      <w:r w:rsidR="00F373A3" w:rsidRPr="00181FCD">
        <w:t xml:space="preserve"> </w:t>
      </w:r>
      <w:r w:rsidRPr="00181FCD">
        <w:t>al</w:t>
      </w:r>
      <w:r w:rsidR="00F373A3" w:rsidRPr="00181FCD">
        <w:t xml:space="preserve"> </w:t>
      </w:r>
      <w:r w:rsidRPr="00181FCD">
        <w:t>30</w:t>
      </w:r>
      <w:r w:rsidR="00F373A3" w:rsidRPr="00181FCD">
        <w:t xml:space="preserve"> </w:t>
      </w:r>
      <w:r w:rsidRPr="00181FCD">
        <w:t>de</w:t>
      </w:r>
      <w:r w:rsidR="00F373A3" w:rsidRPr="00181FCD">
        <w:t xml:space="preserve"> </w:t>
      </w:r>
      <w:r w:rsidRPr="00181FCD">
        <w:t>septiembre</w:t>
      </w:r>
      <w:r w:rsidR="00F373A3" w:rsidRPr="00181FCD">
        <w:t xml:space="preserve"> </w:t>
      </w:r>
      <w:r w:rsidRPr="00181FCD">
        <w:t>de</w:t>
      </w:r>
      <w:r w:rsidR="00F373A3" w:rsidRPr="00181FCD">
        <w:t xml:space="preserve"> </w:t>
      </w:r>
      <w:r w:rsidRPr="00181FCD">
        <w:t>2015</w:t>
      </w:r>
      <w:r w:rsidR="00F373A3" w:rsidRPr="00181FCD">
        <w:t xml:space="preserve"> </w:t>
      </w:r>
      <w:r w:rsidRPr="00181FCD">
        <w:t>son</w:t>
      </w:r>
      <w:r w:rsidR="00F373A3" w:rsidRPr="00181FCD">
        <w:t xml:space="preserve"> </w:t>
      </w:r>
      <w:r w:rsidRPr="00181FCD">
        <w:t>los</w:t>
      </w:r>
      <w:r w:rsidR="00F373A3" w:rsidRPr="00181FCD">
        <w:t xml:space="preserve"> </w:t>
      </w:r>
      <w:r w:rsidRPr="00181FCD">
        <w:t>siguientes:</w:t>
      </w:r>
    </w:p>
    <w:p w:rsidR="001937F4" w:rsidRPr="00181FCD" w:rsidRDefault="001937F4" w:rsidP="0086464E">
      <w:pPr>
        <w:pStyle w:val="Bullet1G"/>
      </w:pPr>
      <w:r w:rsidRPr="00181FCD">
        <w:t>Siria</w:t>
      </w:r>
      <w:r w:rsidR="00F373A3" w:rsidRPr="00181FCD">
        <w:t xml:space="preserve"> </w:t>
      </w:r>
      <w:r w:rsidRPr="00181FCD">
        <w:t>–</w:t>
      </w:r>
      <w:r w:rsidR="00F373A3" w:rsidRPr="00181FCD">
        <w:t xml:space="preserve"> </w:t>
      </w:r>
      <w:r w:rsidRPr="00181FCD">
        <w:t>5.509</w:t>
      </w:r>
      <w:r w:rsidR="0086464E" w:rsidRPr="00181FCD">
        <w:t>;</w:t>
      </w:r>
    </w:p>
    <w:p w:rsidR="001937F4" w:rsidRPr="00181FCD" w:rsidRDefault="001937F4" w:rsidP="0086464E">
      <w:pPr>
        <w:pStyle w:val="Bullet1G"/>
      </w:pPr>
      <w:r w:rsidRPr="00181FCD">
        <w:t>Iraq</w:t>
      </w:r>
      <w:r w:rsidR="00F373A3" w:rsidRPr="00181FCD">
        <w:t xml:space="preserve"> </w:t>
      </w:r>
      <w:r w:rsidR="0086464E" w:rsidRPr="00181FCD">
        <w:t>–</w:t>
      </w:r>
      <w:r w:rsidR="00F373A3" w:rsidRPr="00181FCD">
        <w:t xml:space="preserve"> </w:t>
      </w:r>
      <w:r w:rsidRPr="00181FCD">
        <w:t>5.259</w:t>
      </w:r>
      <w:r w:rsidR="0086464E" w:rsidRPr="00181FCD">
        <w:t>;</w:t>
      </w:r>
    </w:p>
    <w:p w:rsidR="001937F4" w:rsidRPr="00181FCD" w:rsidRDefault="001937F4" w:rsidP="0086464E">
      <w:pPr>
        <w:pStyle w:val="Bullet1G"/>
      </w:pPr>
      <w:r w:rsidRPr="00181FCD">
        <w:t>Afganistán</w:t>
      </w:r>
      <w:r w:rsidR="00F373A3" w:rsidRPr="00181FCD">
        <w:t xml:space="preserve"> </w:t>
      </w:r>
      <w:r w:rsidR="0086464E" w:rsidRPr="00181FCD">
        <w:t>–</w:t>
      </w:r>
      <w:r w:rsidR="00F373A3" w:rsidRPr="00181FCD">
        <w:t xml:space="preserve"> </w:t>
      </w:r>
      <w:r w:rsidRPr="00181FCD">
        <w:t>4.447</w:t>
      </w:r>
      <w:r w:rsidR="0086464E" w:rsidRPr="00181FCD">
        <w:t>;</w:t>
      </w:r>
    </w:p>
    <w:p w:rsidR="001937F4" w:rsidRPr="00181FCD" w:rsidRDefault="001937F4" w:rsidP="0086464E">
      <w:pPr>
        <w:pStyle w:val="Bullet1G"/>
      </w:pPr>
      <w:r w:rsidRPr="00181FCD">
        <w:t>Pakistán</w:t>
      </w:r>
      <w:r w:rsidR="00F373A3" w:rsidRPr="00181FCD">
        <w:t xml:space="preserve"> </w:t>
      </w:r>
      <w:r w:rsidR="0086464E" w:rsidRPr="00181FCD">
        <w:t>–</w:t>
      </w:r>
      <w:r w:rsidR="00F373A3" w:rsidRPr="00181FCD">
        <w:t xml:space="preserve"> </w:t>
      </w:r>
      <w:r w:rsidRPr="00181FCD">
        <w:t>460</w:t>
      </w:r>
      <w:r w:rsidR="0086464E" w:rsidRPr="00181FCD">
        <w:t>;</w:t>
      </w:r>
    </w:p>
    <w:p w:rsidR="001937F4" w:rsidRPr="00181FCD" w:rsidRDefault="001937F4" w:rsidP="0086464E">
      <w:pPr>
        <w:pStyle w:val="Bullet1G"/>
      </w:pPr>
      <w:r w:rsidRPr="00181FCD">
        <w:t>Irán</w:t>
      </w:r>
      <w:r w:rsidR="00F373A3" w:rsidRPr="00181FCD">
        <w:t xml:space="preserve"> </w:t>
      </w:r>
      <w:r w:rsidR="0086464E" w:rsidRPr="00181FCD">
        <w:t>–</w:t>
      </w:r>
      <w:r w:rsidR="00F373A3" w:rsidRPr="00181FCD">
        <w:t xml:space="preserve"> </w:t>
      </w:r>
      <w:r w:rsidRPr="00181FCD">
        <w:t>160</w:t>
      </w:r>
      <w:r w:rsidR="0086464E" w:rsidRPr="00181FCD">
        <w:t>.</w:t>
      </w:r>
    </w:p>
    <w:p w:rsidR="001937F4" w:rsidRPr="00181FCD" w:rsidRDefault="001937F4" w:rsidP="00347B20">
      <w:pPr>
        <w:pStyle w:val="SingleTxtG"/>
        <w:suppressAutoHyphens/>
      </w:pPr>
      <w:r w:rsidRPr="00181FCD">
        <w:t>136.</w:t>
      </w:r>
      <w:r w:rsidRPr="00181FCD">
        <w:tab/>
        <w:t>En</w:t>
      </w:r>
      <w:r w:rsidR="00F373A3" w:rsidRPr="00181FCD">
        <w:t xml:space="preserve"> </w:t>
      </w:r>
      <w:r w:rsidRPr="00181FCD">
        <w:t>el</w:t>
      </w:r>
      <w:r w:rsidR="00F373A3" w:rsidRPr="00181FCD">
        <w:t xml:space="preserve"> </w:t>
      </w:r>
      <w:r w:rsidRPr="00181FCD">
        <w:t>anexo</w:t>
      </w:r>
      <w:r w:rsidR="00F373A3" w:rsidRPr="00181FCD">
        <w:t xml:space="preserve"> </w:t>
      </w:r>
      <w:r w:rsidRPr="00181FCD">
        <w:t>1</w:t>
      </w:r>
      <w:r w:rsidR="00F373A3" w:rsidRPr="00181FCD">
        <w:t xml:space="preserve"> </w:t>
      </w:r>
      <w:r w:rsidRPr="00181FCD">
        <w:t>se</w:t>
      </w:r>
      <w:r w:rsidR="00F373A3" w:rsidRPr="00181FCD">
        <w:t xml:space="preserve"> </w:t>
      </w:r>
      <w:r w:rsidRPr="00181FCD">
        <w:t>puede</w:t>
      </w:r>
      <w:r w:rsidR="00F373A3" w:rsidRPr="00181FCD">
        <w:t xml:space="preserve"> </w:t>
      </w:r>
      <w:r w:rsidRPr="00181FCD">
        <w:t>consultar</w:t>
      </w:r>
      <w:r w:rsidR="00F373A3" w:rsidRPr="00181FCD">
        <w:t xml:space="preserve"> </w:t>
      </w:r>
      <w:r w:rsidRPr="00181FCD">
        <w:t>la</w:t>
      </w:r>
      <w:r w:rsidR="00F373A3" w:rsidRPr="00181FCD">
        <w:t xml:space="preserve"> </w:t>
      </w:r>
      <w:r w:rsidRPr="00181FCD">
        <w:t>información</w:t>
      </w:r>
      <w:r w:rsidR="00F373A3" w:rsidRPr="00181FCD">
        <w:t xml:space="preserve"> </w:t>
      </w:r>
      <w:r w:rsidRPr="00181FCD">
        <w:t>sobre</w:t>
      </w:r>
      <w:r w:rsidR="00F373A3" w:rsidRPr="00181FCD">
        <w:t xml:space="preserve"> </w:t>
      </w:r>
      <w:r w:rsidRPr="00181FCD">
        <w:t>el</w:t>
      </w:r>
      <w:r w:rsidR="00F373A3" w:rsidRPr="00181FCD">
        <w:t xml:space="preserve"> </w:t>
      </w:r>
      <w:r w:rsidRPr="00181FCD">
        <w:t>número</w:t>
      </w:r>
      <w:r w:rsidR="00F373A3" w:rsidRPr="00181FCD">
        <w:t xml:space="preserve"> </w:t>
      </w:r>
      <w:r w:rsidRPr="00181FCD">
        <w:t>de</w:t>
      </w:r>
      <w:r w:rsidR="00F373A3" w:rsidRPr="00181FCD">
        <w:t xml:space="preserve"> </w:t>
      </w:r>
      <w:r w:rsidRPr="00181FCD">
        <w:t>personas</w:t>
      </w:r>
      <w:r w:rsidR="00F373A3" w:rsidRPr="00181FCD">
        <w:t xml:space="preserve"> </w:t>
      </w:r>
      <w:r w:rsidRPr="00181FCD">
        <w:t>que</w:t>
      </w:r>
      <w:r w:rsidR="00F373A3" w:rsidRPr="00181FCD">
        <w:t xml:space="preserve"> </w:t>
      </w:r>
      <w:r w:rsidRPr="00181FCD">
        <w:t>obtuvieron</w:t>
      </w:r>
      <w:r w:rsidR="00F373A3" w:rsidRPr="00181FCD">
        <w:t xml:space="preserve"> </w:t>
      </w:r>
      <w:r w:rsidRPr="00181FCD">
        <w:t>la</w:t>
      </w:r>
      <w:r w:rsidR="00F373A3" w:rsidRPr="00181FCD">
        <w:t xml:space="preserve"> </w:t>
      </w:r>
      <w:r w:rsidRPr="00181FCD">
        <w:t>condición</w:t>
      </w:r>
      <w:r w:rsidR="00F373A3" w:rsidRPr="00181FCD">
        <w:t xml:space="preserve"> </w:t>
      </w:r>
      <w:r w:rsidRPr="00181FCD">
        <w:t>de</w:t>
      </w:r>
      <w:r w:rsidR="00F373A3" w:rsidRPr="00181FCD">
        <w:t xml:space="preserve"> </w:t>
      </w:r>
      <w:r w:rsidRPr="00181FCD">
        <w:t>refugiado</w:t>
      </w:r>
      <w:r w:rsidR="00F373A3" w:rsidRPr="00181FCD">
        <w:t xml:space="preserve"> </w:t>
      </w:r>
      <w:r w:rsidRPr="00181FCD">
        <w:t>o</w:t>
      </w:r>
      <w:r w:rsidR="00F373A3" w:rsidRPr="00181FCD">
        <w:t xml:space="preserve"> </w:t>
      </w:r>
      <w:r w:rsidRPr="00181FCD">
        <w:t>una</w:t>
      </w:r>
      <w:r w:rsidR="00F373A3" w:rsidRPr="00181FCD">
        <w:t xml:space="preserve"> </w:t>
      </w:r>
      <w:r w:rsidRPr="00181FCD">
        <w:t>condición</w:t>
      </w:r>
      <w:r w:rsidR="00F373A3" w:rsidRPr="00181FCD">
        <w:t xml:space="preserve"> </w:t>
      </w:r>
      <w:r w:rsidRPr="00181FCD">
        <w:t>especial</w:t>
      </w:r>
      <w:r w:rsidR="00F373A3" w:rsidRPr="00181FCD">
        <w:t xml:space="preserve"> </w:t>
      </w:r>
      <w:r w:rsidRPr="00181FCD">
        <w:t>por</w:t>
      </w:r>
      <w:r w:rsidR="00F373A3" w:rsidRPr="00181FCD">
        <w:t xml:space="preserve"> </w:t>
      </w:r>
      <w:r w:rsidRPr="00181FCD">
        <w:t>motivos</w:t>
      </w:r>
      <w:r w:rsidR="00F373A3" w:rsidRPr="00181FCD">
        <w:t xml:space="preserve"> </w:t>
      </w:r>
      <w:r w:rsidRPr="00181FCD">
        <w:t>humanitarios,</w:t>
      </w:r>
      <w:r w:rsidR="00F373A3" w:rsidRPr="00181FCD">
        <w:t xml:space="preserve"> </w:t>
      </w:r>
      <w:r w:rsidRPr="00181FCD">
        <w:t>por</w:t>
      </w:r>
      <w:r w:rsidR="00F373A3" w:rsidRPr="00181FCD">
        <w:t xml:space="preserve"> </w:t>
      </w:r>
      <w:r w:rsidRPr="00181FCD">
        <w:t>país</w:t>
      </w:r>
      <w:r w:rsidR="00F373A3" w:rsidRPr="00181FCD">
        <w:t xml:space="preserve"> </w:t>
      </w:r>
      <w:r w:rsidRPr="00181FCD">
        <w:t>de</w:t>
      </w:r>
      <w:r w:rsidR="00F373A3" w:rsidRPr="00181FCD">
        <w:t xml:space="preserve"> </w:t>
      </w:r>
      <w:r w:rsidRPr="00181FCD">
        <w:t>origen,</w:t>
      </w:r>
      <w:r w:rsidR="00F373A3" w:rsidRPr="00181FCD">
        <w:t xml:space="preserve"> </w:t>
      </w:r>
      <w:r w:rsidRPr="00181FCD">
        <w:t>del</w:t>
      </w:r>
      <w:r w:rsidR="00F373A3" w:rsidRPr="00181FCD">
        <w:t xml:space="preserve"> </w:t>
      </w:r>
      <w:r w:rsidRPr="00181FCD">
        <w:t>1</w:t>
      </w:r>
      <w:r w:rsidR="00F373A3" w:rsidRPr="00181FCD">
        <w:t xml:space="preserve"> </w:t>
      </w:r>
      <w:r w:rsidRPr="00181FCD">
        <w:t>de</w:t>
      </w:r>
      <w:r w:rsidR="00F373A3" w:rsidRPr="00181FCD">
        <w:t xml:space="preserve"> </w:t>
      </w:r>
      <w:r w:rsidRPr="00181FCD">
        <w:t>enero</w:t>
      </w:r>
      <w:r w:rsidR="00F373A3" w:rsidRPr="00181FCD">
        <w:t xml:space="preserve"> </w:t>
      </w:r>
      <w:r w:rsidRPr="00181FCD">
        <w:t>de</w:t>
      </w:r>
      <w:r w:rsidR="00F373A3" w:rsidRPr="00181FCD">
        <w:t xml:space="preserve"> </w:t>
      </w:r>
      <w:r w:rsidRPr="00181FCD">
        <w:t>2009</w:t>
      </w:r>
      <w:r w:rsidR="00F373A3" w:rsidRPr="00181FCD">
        <w:t xml:space="preserve"> </w:t>
      </w:r>
      <w:r w:rsidRPr="00181FCD">
        <w:t>al</w:t>
      </w:r>
      <w:r w:rsidR="00F373A3" w:rsidRPr="00181FCD">
        <w:t xml:space="preserve"> </w:t>
      </w:r>
      <w:r w:rsidRPr="00181FCD">
        <w:t>31</w:t>
      </w:r>
      <w:r w:rsidR="00F373A3" w:rsidRPr="00181FCD">
        <w:t xml:space="preserve"> </w:t>
      </w:r>
      <w:r w:rsidRPr="00181FCD">
        <w:t>de</w:t>
      </w:r>
      <w:r w:rsidR="00F373A3" w:rsidRPr="00181FCD">
        <w:t xml:space="preserve"> </w:t>
      </w:r>
      <w:r w:rsidRPr="00181FCD">
        <w:t>octubre</w:t>
      </w:r>
      <w:r w:rsidR="00F373A3" w:rsidRPr="00181FCD">
        <w:t xml:space="preserve"> </w:t>
      </w:r>
      <w:r w:rsidRPr="00181FCD">
        <w:t>de</w:t>
      </w:r>
      <w:r w:rsidR="00F373A3" w:rsidRPr="00181FCD">
        <w:t xml:space="preserve"> </w:t>
      </w:r>
      <w:r w:rsidRPr="00181FCD">
        <w:t>2015.</w:t>
      </w:r>
    </w:p>
    <w:p w:rsidR="001937F4" w:rsidRPr="00181FCD" w:rsidRDefault="00BE74A7" w:rsidP="00BE74A7">
      <w:pPr>
        <w:pStyle w:val="H23G"/>
      </w:pPr>
      <w:r w:rsidRPr="00181FCD">
        <w:tab/>
      </w:r>
      <w:r w:rsidRPr="00181FCD">
        <w:tab/>
      </w:r>
      <w:r w:rsidR="001937F4" w:rsidRPr="00181FCD">
        <w:t>Respuesta</w:t>
      </w:r>
      <w:r w:rsidR="00F373A3" w:rsidRPr="00181FCD">
        <w:t xml:space="preserve"> </w:t>
      </w:r>
      <w:r w:rsidR="001937F4" w:rsidRPr="00181FCD">
        <w:t>a</w:t>
      </w:r>
      <w:r w:rsidR="00F373A3" w:rsidRPr="00181FCD">
        <w:t xml:space="preserve"> </w:t>
      </w:r>
      <w:r w:rsidR="001937F4" w:rsidRPr="00181FCD">
        <w:t>las</w:t>
      </w:r>
      <w:r w:rsidR="00F373A3" w:rsidRPr="00181FCD">
        <w:t xml:space="preserve"> </w:t>
      </w:r>
      <w:r w:rsidR="001937F4" w:rsidRPr="00181FCD">
        <w:t>cuestiones</w:t>
      </w:r>
      <w:r w:rsidR="00F373A3" w:rsidRPr="00181FCD">
        <w:t xml:space="preserve"> </w:t>
      </w:r>
      <w:r w:rsidR="001937F4" w:rsidRPr="00181FCD">
        <w:t>planteadas</w:t>
      </w:r>
      <w:r w:rsidR="00F373A3" w:rsidRPr="00181FCD">
        <w:t xml:space="preserve"> </w:t>
      </w:r>
      <w:r w:rsidR="001937F4" w:rsidRPr="00181FCD">
        <w:t>en</w:t>
      </w:r>
      <w:r w:rsidR="00F373A3" w:rsidRPr="00181FCD">
        <w:t xml:space="preserve"> </w:t>
      </w:r>
      <w:r w:rsidR="001937F4" w:rsidRPr="00181FCD">
        <w:t>el</w:t>
      </w:r>
      <w:r w:rsidR="00F373A3" w:rsidRPr="00181FCD">
        <w:t xml:space="preserve"> </w:t>
      </w:r>
      <w:r w:rsidR="001937F4" w:rsidRPr="00181FCD">
        <w:t>párrafo</w:t>
      </w:r>
      <w:r w:rsidR="00F373A3" w:rsidRPr="00181FCD">
        <w:t xml:space="preserve"> </w:t>
      </w:r>
      <w:r w:rsidR="001937F4" w:rsidRPr="00181FCD">
        <w:t>13</w:t>
      </w:r>
      <w:r w:rsidR="00F373A3" w:rsidRPr="00181FCD">
        <w:t xml:space="preserve"> </w:t>
      </w:r>
      <w:r w:rsidR="001937F4" w:rsidRPr="00181FCD">
        <w:t>de</w:t>
      </w:r>
      <w:r w:rsidR="00F373A3" w:rsidRPr="00181FCD">
        <w:t xml:space="preserve"> </w:t>
      </w:r>
      <w:r w:rsidR="001937F4" w:rsidRPr="00181FCD">
        <w:t>la</w:t>
      </w:r>
      <w:r w:rsidR="00F373A3" w:rsidRPr="00181FCD">
        <w:t xml:space="preserve"> </w:t>
      </w:r>
      <w:r w:rsidR="001937F4" w:rsidRPr="00181FCD">
        <w:t>lista</w:t>
      </w:r>
      <w:r w:rsidR="00F373A3" w:rsidRPr="00181FCD">
        <w:t xml:space="preserve"> </w:t>
      </w:r>
      <w:r w:rsidR="001937F4" w:rsidRPr="00181FCD">
        <w:t>de</w:t>
      </w:r>
      <w:r w:rsidR="00F373A3" w:rsidRPr="00181FCD">
        <w:t xml:space="preserve"> </w:t>
      </w:r>
      <w:r w:rsidR="001937F4" w:rsidRPr="00181FCD">
        <w:t>cuestiones</w:t>
      </w:r>
    </w:p>
    <w:p w:rsidR="001937F4" w:rsidRPr="00181FCD" w:rsidRDefault="001937F4" w:rsidP="00347B20">
      <w:pPr>
        <w:pStyle w:val="SingleTxtG"/>
        <w:suppressAutoHyphens/>
      </w:pPr>
      <w:r w:rsidRPr="00181FCD">
        <w:t>137.</w:t>
      </w:r>
      <w:r w:rsidRPr="00181FCD">
        <w:tab/>
        <w:t>La</w:t>
      </w:r>
      <w:r w:rsidR="00F373A3" w:rsidRPr="00181FCD">
        <w:t xml:space="preserve"> </w:t>
      </w:r>
      <w:r w:rsidRPr="00181FCD">
        <w:t>Agencia</w:t>
      </w:r>
      <w:r w:rsidR="00F373A3" w:rsidRPr="00181FCD">
        <w:t xml:space="preserve"> </w:t>
      </w:r>
      <w:r w:rsidRPr="00181FCD">
        <w:t>Estatal</w:t>
      </w:r>
      <w:r w:rsidR="00F373A3" w:rsidRPr="00181FCD">
        <w:t xml:space="preserve"> </w:t>
      </w:r>
      <w:r w:rsidRPr="00181FCD">
        <w:t>para</w:t>
      </w:r>
      <w:r w:rsidR="00F373A3" w:rsidRPr="00181FCD">
        <w:t xml:space="preserve"> </w:t>
      </w:r>
      <w:r w:rsidRPr="00181FCD">
        <w:t>los</w:t>
      </w:r>
      <w:r w:rsidR="00F373A3" w:rsidRPr="00181FCD">
        <w:t xml:space="preserve"> </w:t>
      </w:r>
      <w:r w:rsidRPr="00181FCD">
        <w:t>Refugiados</w:t>
      </w:r>
      <w:r w:rsidR="00F373A3" w:rsidRPr="00181FCD">
        <w:t xml:space="preserve"> </w:t>
      </w:r>
      <w:r w:rsidRPr="00181FCD">
        <w:t>no</w:t>
      </w:r>
      <w:r w:rsidR="00F373A3" w:rsidRPr="00181FCD">
        <w:t xml:space="preserve"> </w:t>
      </w:r>
      <w:r w:rsidRPr="00181FCD">
        <w:t>ha</w:t>
      </w:r>
      <w:r w:rsidR="00F373A3" w:rsidRPr="00181FCD">
        <w:t xml:space="preserve"> </w:t>
      </w:r>
      <w:r w:rsidRPr="00181FCD">
        <w:t>podido</w:t>
      </w:r>
      <w:r w:rsidR="00F373A3" w:rsidRPr="00181FCD">
        <w:t xml:space="preserve"> </w:t>
      </w:r>
      <w:r w:rsidRPr="00181FCD">
        <w:t>encontrar</w:t>
      </w:r>
      <w:r w:rsidR="00F373A3" w:rsidRPr="00181FCD">
        <w:t xml:space="preserve"> </w:t>
      </w:r>
      <w:r w:rsidRPr="00181FCD">
        <w:t>ninguna</w:t>
      </w:r>
      <w:r w:rsidR="00F373A3" w:rsidRPr="00181FCD">
        <w:t xml:space="preserve"> </w:t>
      </w:r>
      <w:r w:rsidRPr="00181FCD">
        <w:t>información</w:t>
      </w:r>
      <w:r w:rsidR="00F373A3" w:rsidRPr="00181FCD">
        <w:t xml:space="preserve"> </w:t>
      </w:r>
      <w:r w:rsidRPr="00181FCD">
        <w:t>sobre</w:t>
      </w:r>
      <w:r w:rsidR="00F373A3" w:rsidRPr="00181FCD">
        <w:t xml:space="preserve"> </w:t>
      </w:r>
      <w:r w:rsidRPr="00181FCD">
        <w:t>una</w:t>
      </w:r>
      <w:r w:rsidR="00F373A3" w:rsidRPr="00181FCD">
        <w:t xml:space="preserve"> </w:t>
      </w:r>
      <w:r w:rsidRPr="00181FCD">
        <w:t>persona</w:t>
      </w:r>
      <w:r w:rsidR="00F373A3" w:rsidRPr="00181FCD">
        <w:t xml:space="preserve"> </w:t>
      </w:r>
      <w:r w:rsidRPr="00181FCD">
        <w:t>llamada</w:t>
      </w:r>
      <w:r w:rsidR="00F373A3" w:rsidRPr="00181FCD">
        <w:t xml:space="preserve"> </w:t>
      </w:r>
      <w:r w:rsidRPr="00181FCD">
        <w:t>Youssef</w:t>
      </w:r>
      <w:r w:rsidR="00F373A3" w:rsidRPr="00181FCD">
        <w:t xml:space="preserve"> </w:t>
      </w:r>
      <w:r w:rsidRPr="00181FCD">
        <w:t>Kayed.</w:t>
      </w:r>
      <w:r w:rsidR="00F373A3" w:rsidRPr="00181FCD">
        <w:t xml:space="preserve"> </w:t>
      </w:r>
      <w:r w:rsidRPr="00181FCD">
        <w:t>Por</w:t>
      </w:r>
      <w:r w:rsidR="00F373A3" w:rsidRPr="00181FCD">
        <w:t xml:space="preserve"> </w:t>
      </w:r>
      <w:r w:rsidRPr="00181FCD">
        <w:t>lo</w:t>
      </w:r>
      <w:r w:rsidR="00F373A3" w:rsidRPr="00181FCD">
        <w:t xml:space="preserve"> </w:t>
      </w:r>
      <w:r w:rsidRPr="00181FCD">
        <w:t>tanto,</w:t>
      </w:r>
      <w:r w:rsidR="00F373A3" w:rsidRPr="00181FCD">
        <w:t xml:space="preserve"> </w:t>
      </w:r>
      <w:r w:rsidRPr="00181FCD">
        <w:t>no</w:t>
      </w:r>
      <w:r w:rsidR="00F373A3" w:rsidRPr="00181FCD">
        <w:t xml:space="preserve"> </w:t>
      </w:r>
      <w:r w:rsidRPr="00181FCD">
        <w:t>se</w:t>
      </w:r>
      <w:r w:rsidR="00F373A3" w:rsidRPr="00181FCD">
        <w:t xml:space="preserve"> </w:t>
      </w:r>
      <w:r w:rsidRPr="00181FCD">
        <w:t>puede</w:t>
      </w:r>
      <w:r w:rsidR="00F373A3" w:rsidRPr="00181FCD">
        <w:t xml:space="preserve"> </w:t>
      </w:r>
      <w:r w:rsidRPr="00181FCD">
        <w:t>llevar</w:t>
      </w:r>
      <w:r w:rsidR="00F373A3" w:rsidRPr="00181FCD">
        <w:t xml:space="preserve"> </w:t>
      </w:r>
      <w:r w:rsidRPr="00181FCD">
        <w:t>a</w:t>
      </w:r>
      <w:r w:rsidR="00F373A3" w:rsidRPr="00181FCD">
        <w:t xml:space="preserve"> </w:t>
      </w:r>
      <w:r w:rsidRPr="00181FCD">
        <w:t>cabo</w:t>
      </w:r>
      <w:r w:rsidR="00F373A3" w:rsidRPr="00181FCD">
        <w:t xml:space="preserve"> </w:t>
      </w:r>
      <w:r w:rsidRPr="00181FCD">
        <w:t>un</w:t>
      </w:r>
      <w:r w:rsidR="00F373A3" w:rsidRPr="00181FCD">
        <w:t xml:space="preserve"> </w:t>
      </w:r>
      <w:r w:rsidRPr="00181FCD">
        <w:t>seguimiento.</w:t>
      </w:r>
    </w:p>
    <w:p w:rsidR="001937F4" w:rsidRPr="00181FCD" w:rsidRDefault="001937F4" w:rsidP="00347B20">
      <w:pPr>
        <w:pStyle w:val="SingleTxtG"/>
        <w:suppressAutoHyphens/>
      </w:pPr>
      <w:r w:rsidRPr="00181FCD">
        <w:t>138.</w:t>
      </w:r>
      <w:r w:rsidRPr="00181FCD">
        <w:tab/>
        <w:t>Por</w:t>
      </w:r>
      <w:r w:rsidR="00F373A3" w:rsidRPr="00181FCD">
        <w:t xml:space="preserve"> </w:t>
      </w:r>
      <w:r w:rsidRPr="00181FCD">
        <w:t>su</w:t>
      </w:r>
      <w:r w:rsidR="00F373A3" w:rsidRPr="00181FCD">
        <w:t xml:space="preserve"> </w:t>
      </w:r>
      <w:r w:rsidRPr="00181FCD">
        <w:t>parte,</w:t>
      </w:r>
      <w:r w:rsidR="00F373A3" w:rsidRPr="00181FCD">
        <w:t xml:space="preserve"> </w:t>
      </w:r>
      <w:r w:rsidRPr="00181FCD">
        <w:t>Moussa</w:t>
      </w:r>
      <w:r w:rsidR="00F373A3" w:rsidRPr="00181FCD">
        <w:t xml:space="preserve"> </w:t>
      </w:r>
      <w:r w:rsidRPr="00181FCD">
        <w:t>Kamel</w:t>
      </w:r>
      <w:r w:rsidR="00F373A3" w:rsidRPr="00181FCD">
        <w:t xml:space="preserve"> </w:t>
      </w:r>
      <w:r w:rsidRPr="00181FCD">
        <w:t>Ismael</w:t>
      </w:r>
      <w:r w:rsidR="00F373A3" w:rsidRPr="00181FCD">
        <w:t xml:space="preserve"> </w:t>
      </w:r>
      <w:r w:rsidRPr="00181FCD">
        <w:t>presentó</w:t>
      </w:r>
      <w:r w:rsidR="00F373A3" w:rsidRPr="00181FCD">
        <w:t xml:space="preserve"> </w:t>
      </w:r>
      <w:r w:rsidRPr="00181FCD">
        <w:t>una</w:t>
      </w:r>
      <w:r w:rsidR="00F373A3" w:rsidRPr="00181FCD">
        <w:t xml:space="preserve"> </w:t>
      </w:r>
      <w:r w:rsidRPr="00181FCD">
        <w:t>solicitud</w:t>
      </w:r>
      <w:r w:rsidR="00F373A3" w:rsidRPr="00181FCD">
        <w:t xml:space="preserve"> </w:t>
      </w:r>
      <w:r w:rsidRPr="00181FCD">
        <w:t>el</w:t>
      </w:r>
      <w:r w:rsidR="00F373A3" w:rsidRPr="00181FCD">
        <w:t xml:space="preserve"> </w:t>
      </w:r>
      <w:r w:rsidRPr="00181FCD">
        <w:t>19</w:t>
      </w:r>
      <w:r w:rsidR="00F373A3" w:rsidRPr="00181FCD">
        <w:t xml:space="preserve"> </w:t>
      </w:r>
      <w:r w:rsidRPr="00181FCD">
        <w:t>de</w:t>
      </w:r>
      <w:r w:rsidR="00F373A3" w:rsidRPr="00181FCD">
        <w:t xml:space="preserve"> </w:t>
      </w:r>
      <w:r w:rsidRPr="00181FCD">
        <w:t>agosto</w:t>
      </w:r>
      <w:r w:rsidR="00F373A3" w:rsidRPr="00181FCD">
        <w:t xml:space="preserve"> </w:t>
      </w:r>
      <w:r w:rsidRPr="00181FCD">
        <w:t>de</w:t>
      </w:r>
      <w:r w:rsidR="00F373A3" w:rsidRPr="00181FCD">
        <w:t xml:space="preserve"> </w:t>
      </w:r>
      <w:r w:rsidRPr="00181FCD">
        <w:t>2009</w:t>
      </w:r>
      <w:r w:rsidR="00F373A3" w:rsidRPr="00181FCD">
        <w:t xml:space="preserve"> </w:t>
      </w:r>
      <w:r w:rsidRPr="00181FCD">
        <w:t>y</w:t>
      </w:r>
      <w:r w:rsidR="00F373A3" w:rsidRPr="00181FCD">
        <w:t xml:space="preserve"> </w:t>
      </w:r>
      <w:r w:rsidRPr="00181FCD">
        <w:t>fue</w:t>
      </w:r>
      <w:r w:rsidR="00F373A3" w:rsidRPr="00181FCD">
        <w:t xml:space="preserve"> </w:t>
      </w:r>
      <w:r w:rsidRPr="00181FCD">
        <w:t>registrado</w:t>
      </w:r>
      <w:r w:rsidR="00F373A3" w:rsidRPr="00181FCD">
        <w:t xml:space="preserve"> </w:t>
      </w:r>
      <w:r w:rsidRPr="00181FCD">
        <w:t>en</w:t>
      </w:r>
      <w:r w:rsidR="00F373A3" w:rsidRPr="00181FCD">
        <w:t xml:space="preserve"> </w:t>
      </w:r>
      <w:r w:rsidRPr="00181FCD">
        <w:t>el</w:t>
      </w:r>
      <w:r w:rsidR="00F373A3" w:rsidRPr="00181FCD">
        <w:t xml:space="preserve"> </w:t>
      </w:r>
      <w:r w:rsidRPr="00181FCD">
        <w:t>mismo</w:t>
      </w:r>
      <w:r w:rsidR="00F373A3" w:rsidRPr="00181FCD">
        <w:t xml:space="preserve"> </w:t>
      </w:r>
      <w:r w:rsidRPr="00181FCD">
        <w:t>día</w:t>
      </w:r>
      <w:r w:rsidR="00F373A3" w:rsidRPr="00181FCD">
        <w:t xml:space="preserve"> </w:t>
      </w:r>
      <w:r w:rsidRPr="00181FCD">
        <w:t>como</w:t>
      </w:r>
      <w:r w:rsidR="00F373A3" w:rsidRPr="00181FCD">
        <w:t xml:space="preserve"> </w:t>
      </w:r>
      <w:r w:rsidRPr="00181FCD">
        <w:t>Муса</w:t>
      </w:r>
      <w:r w:rsidR="00F373A3" w:rsidRPr="00181FCD">
        <w:t xml:space="preserve"> </w:t>
      </w:r>
      <w:r w:rsidRPr="00181FCD">
        <w:t>Камил</w:t>
      </w:r>
      <w:r w:rsidR="00F373A3" w:rsidRPr="00181FCD">
        <w:t xml:space="preserve"> </w:t>
      </w:r>
      <w:r w:rsidRPr="00181FCD">
        <w:t>Исмаил,</w:t>
      </w:r>
      <w:r w:rsidR="00F373A3" w:rsidRPr="00181FCD">
        <w:t xml:space="preserve"> </w:t>
      </w:r>
      <w:r w:rsidRPr="00181FCD">
        <w:t>persona</w:t>
      </w:r>
      <w:r w:rsidR="00F373A3" w:rsidRPr="00181FCD">
        <w:t xml:space="preserve"> </w:t>
      </w:r>
      <w:r w:rsidRPr="00181FCD">
        <w:t>sin</w:t>
      </w:r>
      <w:r w:rsidR="00F373A3" w:rsidRPr="00181FCD">
        <w:t xml:space="preserve"> </w:t>
      </w:r>
      <w:r w:rsidRPr="00181FCD">
        <w:t>ciudadanía.</w:t>
      </w:r>
      <w:r w:rsidR="00F373A3" w:rsidRPr="00181FCD">
        <w:t xml:space="preserve"> </w:t>
      </w:r>
      <w:r w:rsidRPr="00181FCD">
        <w:t>El</w:t>
      </w:r>
      <w:r w:rsidR="00F373A3" w:rsidRPr="00181FCD">
        <w:t xml:space="preserve"> </w:t>
      </w:r>
      <w:r w:rsidRPr="00181FCD">
        <w:t>Presidente</w:t>
      </w:r>
      <w:r w:rsidR="00F373A3" w:rsidRPr="00181FCD">
        <w:t xml:space="preserve"> </w:t>
      </w:r>
      <w:r w:rsidRPr="00181FCD">
        <w:t>de</w:t>
      </w:r>
      <w:r w:rsidR="00F373A3" w:rsidRPr="00181FCD">
        <w:t xml:space="preserve"> </w:t>
      </w:r>
      <w:r w:rsidRPr="00181FCD">
        <w:t>la</w:t>
      </w:r>
      <w:r w:rsidR="00F373A3" w:rsidRPr="00181FCD">
        <w:t xml:space="preserve"> </w:t>
      </w:r>
      <w:r w:rsidRPr="00181FCD">
        <w:t>Agencia</w:t>
      </w:r>
      <w:r w:rsidR="00F373A3" w:rsidRPr="00181FCD">
        <w:t xml:space="preserve"> </w:t>
      </w:r>
      <w:r w:rsidRPr="00181FCD">
        <w:t>Estatal</w:t>
      </w:r>
      <w:r w:rsidR="00F373A3" w:rsidRPr="00181FCD">
        <w:t xml:space="preserve"> </w:t>
      </w:r>
      <w:r w:rsidRPr="00181FCD">
        <w:t>para</w:t>
      </w:r>
      <w:r w:rsidR="00F373A3" w:rsidRPr="00181FCD">
        <w:t xml:space="preserve"> </w:t>
      </w:r>
      <w:r w:rsidRPr="00181FCD">
        <w:t>los</w:t>
      </w:r>
      <w:r w:rsidR="00F373A3" w:rsidRPr="00181FCD">
        <w:t xml:space="preserve"> </w:t>
      </w:r>
      <w:r w:rsidRPr="00181FCD">
        <w:t>Refugiados</w:t>
      </w:r>
      <w:r w:rsidR="00F373A3" w:rsidRPr="00181FCD">
        <w:t xml:space="preserve"> </w:t>
      </w:r>
      <w:r w:rsidRPr="00181FCD">
        <w:t>le</w:t>
      </w:r>
      <w:r w:rsidR="00F373A3" w:rsidRPr="00181FCD">
        <w:t xml:space="preserve"> </w:t>
      </w:r>
      <w:r w:rsidRPr="00181FCD">
        <w:t>denegó</w:t>
      </w:r>
      <w:r w:rsidR="00F373A3" w:rsidRPr="00181FCD">
        <w:t xml:space="preserve"> </w:t>
      </w:r>
      <w:r w:rsidRPr="00181FCD">
        <w:t>la</w:t>
      </w:r>
      <w:r w:rsidR="00F373A3" w:rsidRPr="00181FCD">
        <w:t xml:space="preserve"> </w:t>
      </w:r>
      <w:r w:rsidRPr="00181FCD">
        <w:t>condición</w:t>
      </w:r>
      <w:r w:rsidR="00F373A3" w:rsidRPr="00181FCD">
        <w:t xml:space="preserve"> </w:t>
      </w:r>
      <w:r w:rsidRPr="00181FCD">
        <w:t>de</w:t>
      </w:r>
      <w:r w:rsidR="00F373A3" w:rsidRPr="00181FCD">
        <w:t xml:space="preserve"> </w:t>
      </w:r>
      <w:r w:rsidRPr="00181FCD">
        <w:t>refugiado</w:t>
      </w:r>
      <w:r w:rsidR="00F373A3" w:rsidRPr="00181FCD">
        <w:t xml:space="preserve"> </w:t>
      </w:r>
      <w:r w:rsidRPr="00181FCD">
        <w:t>o</w:t>
      </w:r>
      <w:r w:rsidR="00F373A3" w:rsidRPr="00181FCD">
        <w:t xml:space="preserve"> </w:t>
      </w:r>
      <w:r w:rsidRPr="00181FCD">
        <w:t>la</w:t>
      </w:r>
      <w:r w:rsidR="00F373A3" w:rsidRPr="00181FCD">
        <w:t xml:space="preserve"> </w:t>
      </w:r>
      <w:r w:rsidRPr="00181FCD">
        <w:t>condición</w:t>
      </w:r>
      <w:r w:rsidR="00F373A3" w:rsidRPr="00181FCD">
        <w:t xml:space="preserve"> </w:t>
      </w:r>
      <w:r w:rsidRPr="00181FCD">
        <w:t>especial</w:t>
      </w:r>
      <w:r w:rsidR="00F373A3" w:rsidRPr="00181FCD">
        <w:t xml:space="preserve"> </w:t>
      </w:r>
      <w:r w:rsidRPr="00181FCD">
        <w:t>reconocida</w:t>
      </w:r>
      <w:r w:rsidR="00F373A3" w:rsidRPr="00181FCD">
        <w:t xml:space="preserve"> </w:t>
      </w:r>
      <w:r w:rsidRPr="00181FCD">
        <w:t>a</w:t>
      </w:r>
      <w:r w:rsidR="00F373A3" w:rsidRPr="00181FCD">
        <w:t xml:space="preserve"> </w:t>
      </w:r>
      <w:r w:rsidRPr="00181FCD">
        <w:t>un</w:t>
      </w:r>
      <w:r w:rsidR="00F373A3" w:rsidRPr="00181FCD">
        <w:t xml:space="preserve"> </w:t>
      </w:r>
      <w:r w:rsidRPr="00181FCD">
        <w:t>extranjero</w:t>
      </w:r>
      <w:r w:rsidR="00F373A3" w:rsidRPr="00181FCD">
        <w:t xml:space="preserve"> </w:t>
      </w:r>
      <w:r w:rsidRPr="00181FCD">
        <w:t>por</w:t>
      </w:r>
      <w:r w:rsidR="00F373A3" w:rsidRPr="00181FCD">
        <w:t xml:space="preserve"> </w:t>
      </w:r>
      <w:r w:rsidRPr="00181FCD">
        <w:t>motivos</w:t>
      </w:r>
      <w:r w:rsidR="00672EC2" w:rsidRPr="00181FCD">
        <w:t xml:space="preserve"> </w:t>
      </w:r>
      <w:r w:rsidRPr="00181FCD">
        <w:t>humanitarios.</w:t>
      </w:r>
      <w:r w:rsidR="00F373A3" w:rsidRPr="00181FCD">
        <w:t xml:space="preserve"> </w:t>
      </w:r>
      <w:r w:rsidRPr="00181FCD">
        <w:t>El</w:t>
      </w:r>
      <w:r w:rsidR="00F373A3" w:rsidRPr="00181FCD">
        <w:t xml:space="preserve"> </w:t>
      </w:r>
      <w:r w:rsidRPr="00181FCD">
        <w:t>1</w:t>
      </w:r>
      <w:r w:rsidR="00F373A3" w:rsidRPr="00181FCD">
        <w:t xml:space="preserve"> </w:t>
      </w:r>
      <w:r w:rsidRPr="00181FCD">
        <w:t>de</w:t>
      </w:r>
      <w:r w:rsidR="00F373A3" w:rsidRPr="00181FCD">
        <w:t xml:space="preserve"> </w:t>
      </w:r>
      <w:r w:rsidRPr="00181FCD">
        <w:t>diciembre</w:t>
      </w:r>
      <w:r w:rsidR="00F373A3" w:rsidRPr="00181FCD">
        <w:t xml:space="preserve"> </w:t>
      </w:r>
      <w:r w:rsidRPr="00181FCD">
        <w:t>de</w:t>
      </w:r>
      <w:r w:rsidR="00F373A3" w:rsidRPr="00181FCD">
        <w:t xml:space="preserve"> </w:t>
      </w:r>
      <w:r w:rsidRPr="00181FCD">
        <w:t>2010</w:t>
      </w:r>
      <w:r w:rsidR="00F373A3" w:rsidRPr="00181FCD">
        <w:t xml:space="preserve"> </w:t>
      </w:r>
      <w:r w:rsidRPr="00181FCD">
        <w:t>el</w:t>
      </w:r>
      <w:r w:rsidR="00F373A3" w:rsidRPr="00181FCD">
        <w:t xml:space="preserve"> </w:t>
      </w:r>
      <w:r w:rsidRPr="00181FCD">
        <w:t>Grupo</w:t>
      </w:r>
      <w:r w:rsidR="00F373A3" w:rsidRPr="00181FCD">
        <w:t xml:space="preserve"> </w:t>
      </w:r>
      <w:r w:rsidRPr="00181FCD">
        <w:t>Especial</w:t>
      </w:r>
      <w:r w:rsidR="00F373A3" w:rsidRPr="00181FCD">
        <w:t xml:space="preserve"> </w:t>
      </w:r>
      <w:r w:rsidRPr="00181FCD">
        <w:t>de</w:t>
      </w:r>
      <w:r w:rsidR="00F373A3" w:rsidRPr="00181FCD">
        <w:t xml:space="preserve"> </w:t>
      </w:r>
      <w:r w:rsidRPr="00181FCD">
        <w:t>Tres</w:t>
      </w:r>
      <w:r w:rsidR="00F373A3" w:rsidRPr="00181FCD">
        <w:t xml:space="preserve"> </w:t>
      </w:r>
      <w:r w:rsidRPr="00181FCD">
        <w:t>Miembros</w:t>
      </w:r>
      <w:r w:rsidR="00F373A3" w:rsidRPr="00181FCD">
        <w:t xml:space="preserve"> </w:t>
      </w:r>
      <w:r w:rsidRPr="00181FCD">
        <w:t>del</w:t>
      </w:r>
      <w:r w:rsidR="00F373A3" w:rsidRPr="00181FCD">
        <w:t xml:space="preserve"> </w:t>
      </w:r>
      <w:r w:rsidRPr="00181FCD">
        <w:t>Tribunal</w:t>
      </w:r>
      <w:r w:rsidR="00F373A3" w:rsidRPr="00181FCD">
        <w:t xml:space="preserve"> </w:t>
      </w:r>
      <w:r w:rsidRPr="00181FCD">
        <w:t>Supremo</w:t>
      </w:r>
      <w:r w:rsidR="00F373A3" w:rsidRPr="00181FCD">
        <w:t xml:space="preserve"> </w:t>
      </w:r>
      <w:r w:rsidRPr="00181FCD">
        <w:t>Administrativo</w:t>
      </w:r>
      <w:r w:rsidR="00672EC2" w:rsidRPr="00181FCD">
        <w:t xml:space="preserve"> </w:t>
      </w:r>
      <w:r w:rsidRPr="00181FCD">
        <w:t>desestimó</w:t>
      </w:r>
      <w:r w:rsidR="00F373A3" w:rsidRPr="00181FCD">
        <w:t xml:space="preserve"> </w:t>
      </w:r>
      <w:r w:rsidRPr="00181FCD">
        <w:t>el</w:t>
      </w:r>
      <w:r w:rsidR="00F373A3" w:rsidRPr="00181FCD">
        <w:t xml:space="preserve"> </w:t>
      </w:r>
      <w:r w:rsidRPr="00181FCD">
        <w:t>recurso</w:t>
      </w:r>
      <w:r w:rsidR="00F373A3" w:rsidRPr="00181FCD">
        <w:t xml:space="preserve"> </w:t>
      </w:r>
      <w:r w:rsidRPr="00181FCD">
        <w:t>contra</w:t>
      </w:r>
      <w:r w:rsidR="00F373A3" w:rsidRPr="00181FCD">
        <w:t xml:space="preserve"> </w:t>
      </w:r>
      <w:r w:rsidRPr="00181FCD">
        <w:t>esta</w:t>
      </w:r>
      <w:r w:rsidR="00F373A3" w:rsidRPr="00181FCD">
        <w:t xml:space="preserve"> </w:t>
      </w:r>
      <w:r w:rsidRPr="00181FCD">
        <w:t>denegación.</w:t>
      </w:r>
      <w:r w:rsidR="00F373A3" w:rsidRPr="00181FCD">
        <w:t xml:space="preserve"> </w:t>
      </w:r>
      <w:r w:rsidRPr="00181FCD">
        <w:t>El</w:t>
      </w:r>
      <w:r w:rsidR="00F373A3" w:rsidRPr="00181FCD">
        <w:t xml:space="preserve"> </w:t>
      </w:r>
      <w:r w:rsidRPr="00181FCD">
        <w:t>Grupo</w:t>
      </w:r>
      <w:r w:rsidR="00F373A3" w:rsidRPr="00181FCD">
        <w:t xml:space="preserve"> </w:t>
      </w:r>
      <w:r w:rsidRPr="00181FCD">
        <w:t>Especial</w:t>
      </w:r>
      <w:r w:rsidR="00F373A3" w:rsidRPr="00181FCD">
        <w:t xml:space="preserve"> </w:t>
      </w:r>
      <w:r w:rsidRPr="00181FCD">
        <w:t>de</w:t>
      </w:r>
      <w:r w:rsidR="00F373A3" w:rsidRPr="00181FCD">
        <w:t xml:space="preserve"> </w:t>
      </w:r>
      <w:r w:rsidRPr="00181FCD">
        <w:t>Cinco</w:t>
      </w:r>
      <w:r w:rsidR="00F373A3" w:rsidRPr="00181FCD">
        <w:t xml:space="preserve"> </w:t>
      </w:r>
      <w:r w:rsidRPr="00181FCD">
        <w:t>miembros</w:t>
      </w:r>
      <w:r w:rsidR="00F373A3" w:rsidRPr="00181FCD">
        <w:t xml:space="preserve"> </w:t>
      </w:r>
      <w:r w:rsidRPr="00181FCD">
        <w:t>del</w:t>
      </w:r>
      <w:r w:rsidR="00F373A3" w:rsidRPr="00181FCD">
        <w:t xml:space="preserve"> </w:t>
      </w:r>
      <w:r w:rsidRPr="00181FCD">
        <w:t>mismo</w:t>
      </w:r>
      <w:r w:rsidR="00F373A3" w:rsidRPr="00181FCD">
        <w:t xml:space="preserve"> </w:t>
      </w:r>
      <w:r w:rsidRPr="00181FCD">
        <w:t>Tribunal</w:t>
      </w:r>
      <w:r w:rsidR="00F373A3" w:rsidRPr="00181FCD">
        <w:t xml:space="preserve"> </w:t>
      </w:r>
      <w:r w:rsidRPr="00181FCD">
        <w:t>confirmó</w:t>
      </w:r>
      <w:r w:rsidR="00F373A3" w:rsidRPr="00181FCD">
        <w:t xml:space="preserve"> </w:t>
      </w:r>
      <w:r w:rsidRPr="00181FCD">
        <w:t>el</w:t>
      </w:r>
      <w:r w:rsidR="00F373A3" w:rsidRPr="00181FCD">
        <w:t xml:space="preserve"> </w:t>
      </w:r>
      <w:r w:rsidRPr="00181FCD">
        <w:t>fallo</w:t>
      </w:r>
      <w:r w:rsidR="00F373A3" w:rsidRPr="00181FCD">
        <w:t xml:space="preserve"> </w:t>
      </w:r>
      <w:r w:rsidRPr="00181FCD">
        <w:t>del</w:t>
      </w:r>
      <w:r w:rsidR="00F373A3" w:rsidRPr="00181FCD">
        <w:t xml:space="preserve"> </w:t>
      </w:r>
      <w:r w:rsidRPr="00181FCD">
        <w:t>tribunal</w:t>
      </w:r>
      <w:r w:rsidR="00F373A3" w:rsidRPr="00181FCD">
        <w:t xml:space="preserve"> </w:t>
      </w:r>
      <w:r w:rsidRPr="00181FCD">
        <w:t>de</w:t>
      </w:r>
      <w:r w:rsidR="00F373A3" w:rsidRPr="00181FCD">
        <w:t xml:space="preserve"> </w:t>
      </w:r>
      <w:r w:rsidRPr="00181FCD">
        <w:t>primera</w:t>
      </w:r>
      <w:r w:rsidR="00F373A3" w:rsidRPr="00181FCD">
        <w:t xml:space="preserve"> </w:t>
      </w:r>
      <w:r w:rsidRPr="00181FCD">
        <w:t>instancia,</w:t>
      </w:r>
      <w:r w:rsidR="00F373A3" w:rsidRPr="00181FCD">
        <w:t xml:space="preserve"> </w:t>
      </w:r>
      <w:r w:rsidRPr="00181FCD">
        <w:t>afirmando</w:t>
      </w:r>
      <w:r w:rsidR="00F373A3" w:rsidRPr="00181FCD">
        <w:t xml:space="preserve"> </w:t>
      </w:r>
      <w:r w:rsidRPr="00181FCD">
        <w:t>que</w:t>
      </w:r>
      <w:r w:rsidR="00F373A3" w:rsidRPr="00181FCD">
        <w:t xml:space="preserve"> </w:t>
      </w:r>
      <w:r w:rsidRPr="00181FCD">
        <w:t>no</w:t>
      </w:r>
      <w:r w:rsidR="00F373A3" w:rsidRPr="00181FCD">
        <w:t xml:space="preserve"> </w:t>
      </w:r>
      <w:r w:rsidRPr="00181FCD">
        <w:t>se</w:t>
      </w:r>
      <w:r w:rsidR="00F373A3" w:rsidRPr="00181FCD">
        <w:t xml:space="preserve"> </w:t>
      </w:r>
      <w:r w:rsidRPr="00181FCD">
        <w:t>daban</w:t>
      </w:r>
      <w:r w:rsidR="00F373A3" w:rsidRPr="00181FCD">
        <w:t xml:space="preserve"> </w:t>
      </w:r>
      <w:r w:rsidRPr="00181FCD">
        <w:t>las</w:t>
      </w:r>
      <w:r w:rsidR="00F373A3" w:rsidRPr="00181FCD">
        <w:t xml:space="preserve"> </w:t>
      </w:r>
      <w:r w:rsidRPr="00181FCD">
        <w:t>condiciones</w:t>
      </w:r>
      <w:r w:rsidR="00F373A3" w:rsidRPr="00181FCD">
        <w:t xml:space="preserve"> </w:t>
      </w:r>
      <w:r w:rsidRPr="00181FCD">
        <w:t>requeridas</w:t>
      </w:r>
      <w:r w:rsidR="00F373A3" w:rsidRPr="00181FCD">
        <w:t xml:space="preserve"> </w:t>
      </w:r>
      <w:r w:rsidRPr="00181FCD">
        <w:t>para</w:t>
      </w:r>
      <w:r w:rsidR="00F373A3" w:rsidRPr="00181FCD">
        <w:t xml:space="preserve"> </w:t>
      </w:r>
      <w:r w:rsidRPr="00181FCD">
        <w:t>hacer</w:t>
      </w:r>
      <w:r w:rsidR="00F373A3" w:rsidRPr="00181FCD">
        <w:t xml:space="preserve"> </w:t>
      </w:r>
      <w:r w:rsidRPr="00181FCD">
        <w:t>lugar</w:t>
      </w:r>
      <w:r w:rsidR="00F373A3" w:rsidRPr="00181FCD">
        <w:t xml:space="preserve"> </w:t>
      </w:r>
      <w:r w:rsidRPr="00181FCD">
        <w:t>a</w:t>
      </w:r>
      <w:r w:rsidR="00F373A3" w:rsidRPr="00181FCD">
        <w:t xml:space="preserve"> </w:t>
      </w:r>
      <w:r w:rsidRPr="00181FCD">
        <w:t>la</w:t>
      </w:r>
      <w:r w:rsidR="00F373A3" w:rsidRPr="00181FCD">
        <w:t xml:space="preserve"> </w:t>
      </w:r>
      <w:r w:rsidRPr="00181FCD">
        <w:t>solicitud</w:t>
      </w:r>
      <w:r w:rsidR="00F373A3" w:rsidRPr="00181FCD">
        <w:t xml:space="preserve"> </w:t>
      </w:r>
      <w:r w:rsidRPr="00181FCD">
        <w:t>del</w:t>
      </w:r>
      <w:r w:rsidR="00F373A3" w:rsidRPr="00181FCD">
        <w:t xml:space="preserve"> </w:t>
      </w:r>
      <w:r w:rsidRPr="00181FCD">
        <w:t>Sr.</w:t>
      </w:r>
      <w:r w:rsidR="00B91BD7" w:rsidRPr="00181FCD">
        <w:t> </w:t>
      </w:r>
      <w:r w:rsidRPr="00181FCD">
        <w:t>Ismael.</w:t>
      </w:r>
      <w:r w:rsidR="00F373A3" w:rsidRPr="00181FCD">
        <w:t xml:space="preserve"> </w:t>
      </w:r>
      <w:r w:rsidRPr="00181FCD">
        <w:t>Este</w:t>
      </w:r>
      <w:r w:rsidR="00F373A3" w:rsidRPr="00181FCD">
        <w:t xml:space="preserve"> </w:t>
      </w:r>
      <w:r w:rsidRPr="00181FCD">
        <w:t>no</w:t>
      </w:r>
      <w:r w:rsidR="00F373A3" w:rsidRPr="00181FCD">
        <w:t xml:space="preserve"> </w:t>
      </w:r>
      <w:r w:rsidRPr="00181FCD">
        <w:t>presentó</w:t>
      </w:r>
      <w:r w:rsidR="00F373A3" w:rsidRPr="00181FCD">
        <w:t xml:space="preserve"> </w:t>
      </w:r>
      <w:r w:rsidRPr="00181FCD">
        <w:t>ulteriormente</w:t>
      </w:r>
      <w:r w:rsidR="00F373A3" w:rsidRPr="00181FCD">
        <w:t xml:space="preserve"> </w:t>
      </w:r>
      <w:r w:rsidRPr="00181FCD">
        <w:t>ninguna</w:t>
      </w:r>
      <w:r w:rsidR="00F373A3" w:rsidRPr="00181FCD">
        <w:t xml:space="preserve"> </w:t>
      </w:r>
      <w:r w:rsidRPr="00181FCD">
        <w:t>otra</w:t>
      </w:r>
      <w:r w:rsidR="00F373A3" w:rsidRPr="00181FCD">
        <w:t xml:space="preserve"> </w:t>
      </w:r>
      <w:r w:rsidRPr="00181FCD">
        <w:t>solicitud</w:t>
      </w:r>
      <w:r w:rsidR="00F373A3" w:rsidRPr="00181FCD">
        <w:t xml:space="preserve"> </w:t>
      </w:r>
      <w:r w:rsidRPr="00181FCD">
        <w:t>de</w:t>
      </w:r>
      <w:r w:rsidR="00F373A3" w:rsidRPr="00181FCD">
        <w:t xml:space="preserve"> </w:t>
      </w:r>
      <w:r w:rsidRPr="00181FCD">
        <w:t>protección.</w:t>
      </w:r>
    </w:p>
    <w:p w:rsidR="001937F4" w:rsidRPr="00181FCD" w:rsidRDefault="00BE74A7" w:rsidP="00BE74A7">
      <w:pPr>
        <w:pStyle w:val="H23G"/>
      </w:pPr>
      <w:r w:rsidRPr="00181FCD">
        <w:tab/>
      </w:r>
      <w:r w:rsidRPr="00181FCD">
        <w:tab/>
      </w:r>
      <w:r w:rsidR="001937F4" w:rsidRPr="00181FCD">
        <w:t>Respuesta</w:t>
      </w:r>
      <w:r w:rsidR="00F373A3" w:rsidRPr="00181FCD">
        <w:t xml:space="preserve"> </w:t>
      </w:r>
      <w:r w:rsidR="001937F4" w:rsidRPr="00181FCD">
        <w:t>a</w:t>
      </w:r>
      <w:r w:rsidR="00F373A3" w:rsidRPr="00181FCD">
        <w:t xml:space="preserve"> </w:t>
      </w:r>
      <w:r w:rsidR="001937F4" w:rsidRPr="00181FCD">
        <w:t>las</w:t>
      </w:r>
      <w:r w:rsidR="00F373A3" w:rsidRPr="00181FCD">
        <w:t xml:space="preserve"> </w:t>
      </w:r>
      <w:r w:rsidR="001937F4" w:rsidRPr="00181FCD">
        <w:t>cuestiones</w:t>
      </w:r>
      <w:r w:rsidR="00F373A3" w:rsidRPr="00181FCD">
        <w:t xml:space="preserve"> </w:t>
      </w:r>
      <w:r w:rsidR="001937F4" w:rsidRPr="00181FCD">
        <w:t>planteadas</w:t>
      </w:r>
      <w:r w:rsidR="00F373A3" w:rsidRPr="00181FCD">
        <w:t xml:space="preserve"> </w:t>
      </w:r>
      <w:r w:rsidR="001937F4" w:rsidRPr="00181FCD">
        <w:t>en</w:t>
      </w:r>
      <w:r w:rsidR="00F373A3" w:rsidRPr="00181FCD">
        <w:t xml:space="preserve"> </w:t>
      </w:r>
      <w:r w:rsidR="001937F4" w:rsidRPr="00181FCD">
        <w:t>el</w:t>
      </w:r>
      <w:r w:rsidR="00F373A3" w:rsidRPr="00181FCD">
        <w:t xml:space="preserve"> </w:t>
      </w:r>
      <w:r w:rsidR="001937F4" w:rsidRPr="00181FCD">
        <w:t>párrafo</w:t>
      </w:r>
      <w:r w:rsidR="00F373A3" w:rsidRPr="00181FCD">
        <w:t xml:space="preserve"> </w:t>
      </w:r>
      <w:r w:rsidR="001937F4" w:rsidRPr="00181FCD">
        <w:t>14</w:t>
      </w:r>
      <w:r w:rsidR="00F373A3" w:rsidRPr="00181FCD">
        <w:t xml:space="preserve"> </w:t>
      </w:r>
      <w:r w:rsidR="001937F4" w:rsidRPr="00181FCD">
        <w:t>de</w:t>
      </w:r>
      <w:r w:rsidR="00F373A3" w:rsidRPr="00181FCD">
        <w:t xml:space="preserve"> </w:t>
      </w:r>
      <w:r w:rsidR="001937F4" w:rsidRPr="00181FCD">
        <w:t>la</w:t>
      </w:r>
      <w:r w:rsidR="00F373A3" w:rsidRPr="00181FCD">
        <w:t xml:space="preserve"> </w:t>
      </w:r>
      <w:r w:rsidR="001937F4" w:rsidRPr="00181FCD">
        <w:t>lista</w:t>
      </w:r>
      <w:r w:rsidR="00F373A3" w:rsidRPr="00181FCD">
        <w:t xml:space="preserve"> </w:t>
      </w:r>
      <w:r w:rsidR="001937F4" w:rsidRPr="00181FCD">
        <w:t>de</w:t>
      </w:r>
      <w:r w:rsidR="00F373A3" w:rsidRPr="00181FCD">
        <w:t xml:space="preserve"> </w:t>
      </w:r>
      <w:r w:rsidR="001937F4" w:rsidRPr="00181FCD">
        <w:t>cuestiones</w:t>
      </w:r>
    </w:p>
    <w:p w:rsidR="001937F4" w:rsidRPr="00181FCD" w:rsidRDefault="001937F4" w:rsidP="00347B20">
      <w:pPr>
        <w:pStyle w:val="SingleTxtG"/>
        <w:suppressAutoHyphens/>
      </w:pPr>
      <w:r w:rsidRPr="00181FCD">
        <w:t>139.</w:t>
      </w:r>
      <w:r w:rsidRPr="00181FCD">
        <w:tab/>
        <w:t>En</w:t>
      </w:r>
      <w:r w:rsidR="00F373A3" w:rsidRPr="00181FCD">
        <w:t xml:space="preserve"> </w:t>
      </w:r>
      <w:r w:rsidRPr="00181FCD">
        <w:t>el</w:t>
      </w:r>
      <w:r w:rsidR="00F373A3" w:rsidRPr="00181FCD">
        <w:t xml:space="preserve"> </w:t>
      </w:r>
      <w:r w:rsidRPr="00181FCD">
        <w:t>periodo</w:t>
      </w:r>
      <w:r w:rsidR="00F373A3" w:rsidRPr="00181FCD">
        <w:t xml:space="preserve"> </w:t>
      </w:r>
      <w:r w:rsidRPr="00181FCD">
        <w:t>sobre</w:t>
      </w:r>
      <w:r w:rsidR="00F373A3" w:rsidRPr="00181FCD">
        <w:t xml:space="preserve"> </w:t>
      </w:r>
      <w:r w:rsidRPr="00181FCD">
        <w:t>el</w:t>
      </w:r>
      <w:r w:rsidR="00F373A3" w:rsidRPr="00181FCD">
        <w:t xml:space="preserve"> </w:t>
      </w:r>
      <w:r w:rsidRPr="00181FCD">
        <w:t>que</w:t>
      </w:r>
      <w:r w:rsidR="00F373A3" w:rsidRPr="00181FCD">
        <w:t xml:space="preserve"> </w:t>
      </w:r>
      <w:r w:rsidRPr="00181FCD">
        <w:t>se</w:t>
      </w:r>
      <w:r w:rsidR="00F373A3" w:rsidRPr="00181FCD">
        <w:t xml:space="preserve"> </w:t>
      </w:r>
      <w:r w:rsidRPr="00181FCD">
        <w:t>informa</w:t>
      </w:r>
      <w:r w:rsidR="00F373A3" w:rsidRPr="00181FCD">
        <w:t xml:space="preserve"> </w:t>
      </w:r>
      <w:r w:rsidRPr="00181FCD">
        <w:t>la</w:t>
      </w:r>
      <w:r w:rsidR="00F373A3" w:rsidRPr="00181FCD">
        <w:t xml:space="preserve"> </w:t>
      </w:r>
      <w:r w:rsidRPr="00181FCD">
        <w:t>República</w:t>
      </w:r>
      <w:r w:rsidR="00F373A3" w:rsidRPr="00181FCD">
        <w:t xml:space="preserve"> </w:t>
      </w:r>
      <w:r w:rsidRPr="00181FCD">
        <w:t>de</w:t>
      </w:r>
      <w:r w:rsidR="00F373A3" w:rsidRPr="00181FCD">
        <w:t xml:space="preserve"> </w:t>
      </w:r>
      <w:r w:rsidRPr="00181FCD">
        <w:t>Bulgaria</w:t>
      </w:r>
      <w:r w:rsidR="00F373A3" w:rsidRPr="00181FCD">
        <w:t xml:space="preserve"> </w:t>
      </w:r>
      <w:r w:rsidRPr="00181FCD">
        <w:t>firmó</w:t>
      </w:r>
      <w:r w:rsidR="00F373A3" w:rsidRPr="00181FCD">
        <w:t xml:space="preserve"> </w:t>
      </w:r>
      <w:r w:rsidRPr="00181FCD">
        <w:t>y</w:t>
      </w:r>
      <w:r w:rsidR="00F373A3" w:rsidRPr="00181FCD">
        <w:t xml:space="preserve"> </w:t>
      </w:r>
      <w:r w:rsidRPr="00181FCD">
        <w:t>ratificó</w:t>
      </w:r>
      <w:r w:rsidR="00F373A3" w:rsidRPr="00181FCD">
        <w:t xml:space="preserve"> </w:t>
      </w:r>
      <w:r w:rsidRPr="00181FCD">
        <w:t>la</w:t>
      </w:r>
      <w:r w:rsidR="00F373A3" w:rsidRPr="00181FCD">
        <w:t xml:space="preserve"> </w:t>
      </w:r>
      <w:r w:rsidRPr="00181FCD">
        <w:t>Convención</w:t>
      </w:r>
      <w:r w:rsidR="00F373A3" w:rsidRPr="00181FCD">
        <w:t xml:space="preserve"> </w:t>
      </w:r>
      <w:r w:rsidRPr="00181FCD">
        <w:t>para</w:t>
      </w:r>
      <w:r w:rsidR="00F373A3" w:rsidRPr="00181FCD">
        <w:t xml:space="preserve"> </w:t>
      </w:r>
      <w:r w:rsidRPr="00181FCD">
        <w:t>Reducir</w:t>
      </w:r>
      <w:r w:rsidR="00F373A3" w:rsidRPr="00181FCD">
        <w:t xml:space="preserve"> </w:t>
      </w:r>
      <w:r w:rsidRPr="00181FCD">
        <w:t>los</w:t>
      </w:r>
      <w:r w:rsidR="00F373A3" w:rsidRPr="00181FCD">
        <w:t xml:space="preserve"> </w:t>
      </w:r>
      <w:r w:rsidRPr="00181FCD">
        <w:t>Casos</w:t>
      </w:r>
      <w:r w:rsidR="00F373A3" w:rsidRPr="00181FCD">
        <w:t xml:space="preserve"> </w:t>
      </w:r>
      <w:r w:rsidRPr="00181FCD">
        <w:t>de</w:t>
      </w:r>
      <w:r w:rsidR="00F373A3" w:rsidRPr="00181FCD">
        <w:t xml:space="preserve"> </w:t>
      </w:r>
      <w:r w:rsidRPr="00181FCD">
        <w:t>Apatridia.</w:t>
      </w:r>
      <w:r w:rsidR="00F373A3" w:rsidRPr="00181FCD">
        <w:t xml:space="preserve"> </w:t>
      </w:r>
      <w:r w:rsidRPr="00181FCD">
        <w:t>El</w:t>
      </w:r>
      <w:r w:rsidR="00F373A3" w:rsidRPr="00181FCD">
        <w:t xml:space="preserve"> </w:t>
      </w:r>
      <w:r w:rsidRPr="00181FCD">
        <w:t>Estado</w:t>
      </w:r>
      <w:r w:rsidR="00F373A3" w:rsidRPr="00181FCD">
        <w:t xml:space="preserve"> </w:t>
      </w:r>
      <w:r w:rsidRPr="00181FCD">
        <w:t>formuló</w:t>
      </w:r>
      <w:r w:rsidR="00F373A3" w:rsidRPr="00181FCD">
        <w:t xml:space="preserve"> </w:t>
      </w:r>
      <w:r w:rsidRPr="00181FCD">
        <w:t>reservas</w:t>
      </w:r>
      <w:r w:rsidR="00F373A3" w:rsidRPr="00181FCD">
        <w:t xml:space="preserve"> </w:t>
      </w:r>
      <w:r w:rsidRPr="00181FCD">
        <w:t>al</w:t>
      </w:r>
      <w:r w:rsidR="00F373A3" w:rsidRPr="00181FCD">
        <w:t xml:space="preserve"> </w:t>
      </w:r>
      <w:r w:rsidRPr="00181FCD">
        <w:t>artículo</w:t>
      </w:r>
      <w:r w:rsidR="00F373A3" w:rsidRPr="00181FCD">
        <w:t xml:space="preserve"> </w:t>
      </w:r>
      <w:r w:rsidRPr="00181FCD">
        <w:t>7,</w:t>
      </w:r>
      <w:r w:rsidR="00F373A3" w:rsidRPr="00181FCD">
        <w:t xml:space="preserve"> </w:t>
      </w:r>
      <w:r w:rsidRPr="00181FCD">
        <w:t>párrafo</w:t>
      </w:r>
      <w:r w:rsidR="00F373A3" w:rsidRPr="00181FCD">
        <w:t xml:space="preserve"> </w:t>
      </w:r>
      <w:r w:rsidRPr="00181FCD">
        <w:t>2;</w:t>
      </w:r>
      <w:r w:rsidR="00F373A3" w:rsidRPr="00181FCD">
        <w:t xml:space="preserve"> </w:t>
      </w:r>
      <w:r w:rsidRPr="00181FCD">
        <w:t>los</w:t>
      </w:r>
      <w:r w:rsidR="00F373A3" w:rsidRPr="00181FCD">
        <w:t xml:space="preserve"> </w:t>
      </w:r>
      <w:r w:rsidRPr="00181FCD">
        <w:t>artículos</w:t>
      </w:r>
      <w:r w:rsidR="00F373A3" w:rsidRPr="00181FCD">
        <w:t xml:space="preserve"> </w:t>
      </w:r>
      <w:r w:rsidRPr="00181FCD">
        <w:t>21</w:t>
      </w:r>
      <w:r w:rsidR="00F373A3" w:rsidRPr="00181FCD">
        <w:t xml:space="preserve"> </w:t>
      </w:r>
      <w:r w:rsidRPr="00181FCD">
        <w:t>y</w:t>
      </w:r>
      <w:r w:rsidR="00F373A3" w:rsidRPr="00181FCD">
        <w:t xml:space="preserve"> </w:t>
      </w:r>
      <w:r w:rsidRPr="00181FCD">
        <w:t>23;</w:t>
      </w:r>
      <w:r w:rsidR="00F373A3" w:rsidRPr="00181FCD">
        <w:t xml:space="preserve"> </w:t>
      </w:r>
      <w:r w:rsidRPr="00181FCD">
        <w:t>el</w:t>
      </w:r>
      <w:r w:rsidR="00F373A3" w:rsidRPr="00181FCD">
        <w:t xml:space="preserve"> </w:t>
      </w:r>
      <w:r w:rsidRPr="00181FCD">
        <w:t>artículo</w:t>
      </w:r>
      <w:r w:rsidR="00F373A3" w:rsidRPr="00181FCD">
        <w:t xml:space="preserve"> </w:t>
      </w:r>
      <w:r w:rsidRPr="00181FCD">
        <w:t>24,</w:t>
      </w:r>
      <w:r w:rsidR="00F373A3" w:rsidRPr="00181FCD">
        <w:t xml:space="preserve"> </w:t>
      </w:r>
      <w:r w:rsidRPr="00181FCD">
        <w:t>párrafo</w:t>
      </w:r>
      <w:r w:rsidR="00F373A3" w:rsidRPr="00181FCD">
        <w:t xml:space="preserve"> </w:t>
      </w:r>
      <w:r w:rsidRPr="00181FCD">
        <w:t>1,</w:t>
      </w:r>
      <w:r w:rsidR="00F373A3" w:rsidRPr="00181FCD">
        <w:t xml:space="preserve"> </w:t>
      </w:r>
      <w:r w:rsidRPr="00181FCD">
        <w:t>inciso</w:t>
      </w:r>
      <w:r w:rsidR="00F373A3" w:rsidRPr="00181FCD">
        <w:t xml:space="preserve"> </w:t>
      </w:r>
      <w:r w:rsidRPr="00181FCD">
        <w:t>b,</w:t>
      </w:r>
      <w:r w:rsidR="00F373A3" w:rsidRPr="00181FCD">
        <w:t xml:space="preserve"> </w:t>
      </w:r>
      <w:r w:rsidRPr="00181FCD">
        <w:t>párrafos</w:t>
      </w:r>
      <w:r w:rsidR="00F373A3" w:rsidRPr="00181FCD">
        <w:t xml:space="preserve"> </w:t>
      </w:r>
      <w:r w:rsidRPr="00181FCD">
        <w:t>2</w:t>
      </w:r>
      <w:r w:rsidR="00F373A3" w:rsidRPr="00181FCD">
        <w:t xml:space="preserve"> </w:t>
      </w:r>
      <w:r w:rsidRPr="00181FCD">
        <w:t>y</w:t>
      </w:r>
      <w:r w:rsidR="00F373A3" w:rsidRPr="00181FCD">
        <w:t xml:space="preserve"> </w:t>
      </w:r>
      <w:r w:rsidRPr="00181FCD">
        <w:t>3;</w:t>
      </w:r>
      <w:r w:rsidR="00F373A3" w:rsidRPr="00181FCD">
        <w:t xml:space="preserve"> </w:t>
      </w:r>
      <w:r w:rsidRPr="00181FCD">
        <w:t>y</w:t>
      </w:r>
      <w:r w:rsidR="00F373A3" w:rsidRPr="00181FCD">
        <w:t xml:space="preserve"> </w:t>
      </w:r>
      <w:r w:rsidRPr="00181FCD">
        <w:t>los</w:t>
      </w:r>
      <w:r w:rsidR="00F373A3" w:rsidRPr="00181FCD">
        <w:t xml:space="preserve"> </w:t>
      </w:r>
      <w:r w:rsidRPr="00181FCD">
        <w:t>artículos</w:t>
      </w:r>
      <w:r w:rsidR="00F373A3" w:rsidRPr="00181FCD">
        <w:t xml:space="preserve"> </w:t>
      </w:r>
      <w:r w:rsidRPr="00181FCD">
        <w:t>27,</w:t>
      </w:r>
      <w:r w:rsidR="00F373A3" w:rsidRPr="00181FCD">
        <w:t xml:space="preserve"> </w:t>
      </w:r>
      <w:r w:rsidRPr="00181FCD">
        <w:t>28</w:t>
      </w:r>
      <w:r w:rsidR="00F373A3" w:rsidRPr="00181FCD">
        <w:t xml:space="preserve"> </w:t>
      </w:r>
      <w:r w:rsidRPr="00181FCD">
        <w:t>y</w:t>
      </w:r>
      <w:r w:rsidR="00F373A3" w:rsidRPr="00181FCD">
        <w:t xml:space="preserve"> </w:t>
      </w:r>
      <w:r w:rsidRPr="00181FCD">
        <w:t>31</w:t>
      </w:r>
      <w:r w:rsidR="00F373A3" w:rsidRPr="00181FCD">
        <w:t xml:space="preserve"> </w:t>
      </w:r>
      <w:r w:rsidRPr="00181FCD">
        <w:t>de</w:t>
      </w:r>
      <w:r w:rsidR="00F373A3" w:rsidRPr="00181FCD">
        <w:t xml:space="preserve"> </w:t>
      </w:r>
      <w:r w:rsidRPr="00181FCD">
        <w:t>la</w:t>
      </w:r>
      <w:r w:rsidR="00F373A3" w:rsidRPr="00181FCD">
        <w:t xml:space="preserve"> </w:t>
      </w:r>
      <w:r w:rsidRPr="00181FCD">
        <w:t>Convención.</w:t>
      </w:r>
      <w:r w:rsidR="00F373A3" w:rsidRPr="00181FCD">
        <w:t xml:space="preserve"> </w:t>
      </w:r>
      <w:r w:rsidRPr="00181FCD">
        <w:t>Las</w:t>
      </w:r>
      <w:r w:rsidR="00F373A3" w:rsidRPr="00181FCD">
        <w:t xml:space="preserve"> </w:t>
      </w:r>
      <w:r w:rsidRPr="00181FCD">
        <w:t>reservas</w:t>
      </w:r>
      <w:r w:rsidR="00F373A3" w:rsidRPr="00181FCD">
        <w:t xml:space="preserve"> </w:t>
      </w:r>
      <w:r w:rsidRPr="00181FCD">
        <w:t>se</w:t>
      </w:r>
      <w:r w:rsidR="00F373A3" w:rsidRPr="00181FCD">
        <w:t xml:space="preserve"> </w:t>
      </w:r>
      <w:r w:rsidRPr="00181FCD">
        <w:t>fundaban</w:t>
      </w:r>
      <w:r w:rsidR="00F373A3" w:rsidRPr="00181FCD">
        <w:t xml:space="preserve"> </w:t>
      </w:r>
      <w:r w:rsidRPr="00181FCD">
        <w:t>en</w:t>
      </w:r>
      <w:r w:rsidR="00F373A3" w:rsidRPr="00181FCD">
        <w:t xml:space="preserve"> </w:t>
      </w:r>
      <w:r w:rsidRPr="00181FCD">
        <w:t>exigencias</w:t>
      </w:r>
      <w:r w:rsidR="00F373A3" w:rsidRPr="00181FCD">
        <w:t xml:space="preserve"> </w:t>
      </w:r>
      <w:r w:rsidRPr="00181FCD">
        <w:t>de</w:t>
      </w:r>
      <w:r w:rsidR="00F373A3" w:rsidRPr="00181FCD">
        <w:t xml:space="preserve"> </w:t>
      </w:r>
      <w:r w:rsidRPr="00181FCD">
        <w:t>las</w:t>
      </w:r>
      <w:r w:rsidR="00F373A3" w:rsidRPr="00181FCD">
        <w:t xml:space="preserve"> </w:t>
      </w:r>
      <w:r w:rsidRPr="00181FCD">
        <w:t>legislaciones</w:t>
      </w:r>
      <w:r w:rsidR="00F373A3" w:rsidRPr="00181FCD">
        <w:t xml:space="preserve"> </w:t>
      </w:r>
      <w:r w:rsidRPr="00181FCD">
        <w:t>nacionales</w:t>
      </w:r>
      <w:r w:rsidR="00F373A3" w:rsidRPr="00181FCD">
        <w:t xml:space="preserve"> </w:t>
      </w:r>
      <w:r w:rsidRPr="00181FCD">
        <w:t>y</w:t>
      </w:r>
      <w:r w:rsidR="00F373A3" w:rsidRPr="00181FCD">
        <w:t xml:space="preserve"> </w:t>
      </w:r>
      <w:r w:rsidRPr="00181FCD">
        <w:t>de</w:t>
      </w:r>
      <w:r w:rsidR="00F373A3" w:rsidRPr="00181FCD">
        <w:t xml:space="preserve"> </w:t>
      </w:r>
      <w:r w:rsidRPr="00181FCD">
        <w:t>la</w:t>
      </w:r>
      <w:r w:rsidR="00F373A3" w:rsidRPr="00181FCD">
        <w:t xml:space="preserve"> </w:t>
      </w:r>
      <w:r w:rsidRPr="00181FCD">
        <w:t>Unión</w:t>
      </w:r>
      <w:r w:rsidR="00F373A3" w:rsidRPr="00181FCD">
        <w:t xml:space="preserve"> </w:t>
      </w:r>
      <w:r w:rsidRPr="00181FCD">
        <w:t>Europea,</w:t>
      </w:r>
      <w:r w:rsidR="00F373A3" w:rsidRPr="00181FCD">
        <w:t xml:space="preserve"> </w:t>
      </w:r>
      <w:r w:rsidRPr="00181FCD">
        <w:t>que</w:t>
      </w:r>
      <w:r w:rsidR="00F373A3" w:rsidRPr="00181FCD">
        <w:t xml:space="preserve"> </w:t>
      </w:r>
      <w:r w:rsidRPr="00181FCD">
        <w:t>no</w:t>
      </w:r>
      <w:r w:rsidR="00F373A3" w:rsidRPr="00181FCD">
        <w:t xml:space="preserve"> </w:t>
      </w:r>
      <w:r w:rsidRPr="00181FCD">
        <w:t>pueden</w:t>
      </w:r>
      <w:r w:rsidR="00F373A3" w:rsidRPr="00181FCD">
        <w:t xml:space="preserve"> </w:t>
      </w:r>
      <w:r w:rsidRPr="00181FCD">
        <w:t>cambiarse.</w:t>
      </w:r>
    </w:p>
    <w:p w:rsidR="001937F4" w:rsidRPr="00181FCD" w:rsidRDefault="001937F4" w:rsidP="00347B20">
      <w:pPr>
        <w:pStyle w:val="SingleTxtG"/>
        <w:suppressAutoHyphens/>
      </w:pPr>
      <w:r w:rsidRPr="00181FCD">
        <w:t>140.</w:t>
      </w:r>
      <w:r w:rsidRPr="00181FCD">
        <w:tab/>
        <w:t>A</w:t>
      </w:r>
      <w:r w:rsidR="00F373A3" w:rsidRPr="00181FCD">
        <w:t xml:space="preserve"> </w:t>
      </w:r>
      <w:r w:rsidRPr="00181FCD">
        <w:t>fin</w:t>
      </w:r>
      <w:r w:rsidR="00F373A3" w:rsidRPr="00181FCD">
        <w:t xml:space="preserve"> </w:t>
      </w:r>
      <w:r w:rsidRPr="00181FCD">
        <w:t>de</w:t>
      </w:r>
      <w:r w:rsidR="00F373A3" w:rsidRPr="00181FCD">
        <w:t xml:space="preserve"> </w:t>
      </w:r>
      <w:r w:rsidRPr="00181FCD">
        <w:t>atender</w:t>
      </w:r>
      <w:r w:rsidR="00F373A3" w:rsidRPr="00181FCD">
        <w:t xml:space="preserve"> </w:t>
      </w:r>
      <w:r w:rsidRPr="00181FCD">
        <w:t>a</w:t>
      </w:r>
      <w:r w:rsidR="00F373A3" w:rsidRPr="00181FCD">
        <w:t xml:space="preserve"> </w:t>
      </w:r>
      <w:r w:rsidRPr="00181FCD">
        <w:t>las</w:t>
      </w:r>
      <w:r w:rsidR="00F373A3" w:rsidRPr="00181FCD">
        <w:t xml:space="preserve"> </w:t>
      </w:r>
      <w:r w:rsidRPr="00181FCD">
        <w:t>obligaciones</w:t>
      </w:r>
      <w:r w:rsidR="00F373A3" w:rsidRPr="00181FCD">
        <w:t xml:space="preserve"> </w:t>
      </w:r>
      <w:r w:rsidRPr="00181FCD">
        <w:t>asumidas</w:t>
      </w:r>
      <w:r w:rsidR="00F373A3" w:rsidRPr="00181FCD">
        <w:t xml:space="preserve"> </w:t>
      </w:r>
      <w:r w:rsidRPr="00181FCD">
        <w:t>en</w:t>
      </w:r>
      <w:r w:rsidR="00F373A3" w:rsidRPr="00181FCD">
        <w:t xml:space="preserve"> </w:t>
      </w:r>
      <w:r w:rsidRPr="00181FCD">
        <w:t>virtud</w:t>
      </w:r>
      <w:r w:rsidR="00F373A3" w:rsidRPr="00181FCD">
        <w:t xml:space="preserve"> </w:t>
      </w:r>
      <w:r w:rsidRPr="00181FCD">
        <w:t>de</w:t>
      </w:r>
      <w:r w:rsidR="00F373A3" w:rsidRPr="00181FCD">
        <w:t xml:space="preserve"> </w:t>
      </w:r>
      <w:r w:rsidRPr="00181FCD">
        <w:t>la</w:t>
      </w:r>
      <w:r w:rsidR="00F373A3" w:rsidRPr="00181FCD">
        <w:t xml:space="preserve"> </w:t>
      </w:r>
      <w:r w:rsidRPr="00181FCD">
        <w:t>Convención,</w:t>
      </w:r>
      <w:r w:rsidR="00F373A3" w:rsidRPr="00181FCD">
        <w:t xml:space="preserve"> </w:t>
      </w:r>
      <w:r w:rsidRPr="00181FCD">
        <w:t>se</w:t>
      </w:r>
      <w:r w:rsidR="00F373A3" w:rsidRPr="00181FCD">
        <w:t xml:space="preserve"> </w:t>
      </w:r>
      <w:r w:rsidRPr="00181FCD">
        <w:t>han</w:t>
      </w:r>
      <w:r w:rsidR="00F373A3" w:rsidRPr="00181FCD">
        <w:t xml:space="preserve"> </w:t>
      </w:r>
      <w:r w:rsidRPr="00181FCD">
        <w:t>introducido</w:t>
      </w:r>
      <w:r w:rsidR="00F373A3" w:rsidRPr="00181FCD">
        <w:t xml:space="preserve"> </w:t>
      </w:r>
      <w:r w:rsidRPr="00181FCD">
        <w:t>modificaciones</w:t>
      </w:r>
      <w:r w:rsidR="00F373A3" w:rsidRPr="00181FCD">
        <w:t xml:space="preserve"> </w:t>
      </w:r>
      <w:r w:rsidRPr="00181FCD">
        <w:t>en</w:t>
      </w:r>
      <w:r w:rsidR="00F373A3" w:rsidRPr="00181FCD">
        <w:t xml:space="preserve"> </w:t>
      </w:r>
      <w:r w:rsidRPr="00181FCD">
        <w:t>la</w:t>
      </w:r>
      <w:r w:rsidR="00F373A3" w:rsidRPr="00181FCD">
        <w:t xml:space="preserve"> </w:t>
      </w:r>
      <w:r w:rsidRPr="00181FCD">
        <w:t>legislación</w:t>
      </w:r>
      <w:r w:rsidR="00F373A3" w:rsidRPr="00181FCD">
        <w:t xml:space="preserve"> </w:t>
      </w:r>
      <w:r w:rsidRPr="00181FCD">
        <w:t>búlgara.</w:t>
      </w:r>
      <w:r w:rsidR="00F373A3" w:rsidRPr="00181FCD">
        <w:t xml:space="preserve"> </w:t>
      </w:r>
      <w:r w:rsidRPr="00181FCD">
        <w:t>En</w:t>
      </w:r>
      <w:r w:rsidR="00F373A3" w:rsidRPr="00181FCD">
        <w:t xml:space="preserve"> </w:t>
      </w:r>
      <w:r w:rsidRPr="00181FCD">
        <w:t>particular,</w:t>
      </w:r>
      <w:r w:rsidR="00F373A3" w:rsidRPr="00181FCD">
        <w:t xml:space="preserve"> </w:t>
      </w:r>
      <w:r w:rsidRPr="00181FCD">
        <w:t>en</w:t>
      </w:r>
      <w:r w:rsidR="00F373A3" w:rsidRPr="00181FCD">
        <w:t xml:space="preserve"> </w:t>
      </w:r>
      <w:r w:rsidRPr="00181FCD">
        <w:t>la</w:t>
      </w:r>
      <w:r w:rsidR="00F373A3" w:rsidRPr="00181FCD">
        <w:t xml:space="preserve"> </w:t>
      </w:r>
      <w:r w:rsidRPr="00181FCD">
        <w:t>Ley</w:t>
      </w:r>
      <w:r w:rsidR="00F373A3" w:rsidRPr="00181FCD">
        <w:t xml:space="preserve"> </w:t>
      </w:r>
      <w:r w:rsidRPr="00181FCD">
        <w:t>de</w:t>
      </w:r>
      <w:r w:rsidR="00F373A3" w:rsidRPr="00181FCD">
        <w:t xml:space="preserve"> </w:t>
      </w:r>
      <w:r w:rsidRPr="00181FCD">
        <w:t>Extranjería</w:t>
      </w:r>
      <w:r w:rsidR="00F373A3" w:rsidRPr="00181FCD">
        <w:t xml:space="preserve"> </w:t>
      </w:r>
      <w:r w:rsidRPr="00181FCD">
        <w:t>se</w:t>
      </w:r>
      <w:r w:rsidR="00F373A3" w:rsidRPr="00181FCD">
        <w:t xml:space="preserve"> </w:t>
      </w:r>
      <w:r w:rsidRPr="00181FCD">
        <w:t>ha</w:t>
      </w:r>
      <w:r w:rsidR="00F373A3" w:rsidRPr="00181FCD">
        <w:t xml:space="preserve"> </w:t>
      </w:r>
      <w:r w:rsidRPr="00181FCD">
        <w:t>ampliado</w:t>
      </w:r>
      <w:r w:rsidR="00F373A3" w:rsidRPr="00181FCD">
        <w:t xml:space="preserve"> </w:t>
      </w:r>
      <w:r w:rsidRPr="00181FCD">
        <w:t>la</w:t>
      </w:r>
      <w:r w:rsidR="00F373A3" w:rsidRPr="00181FCD">
        <w:t xml:space="preserve"> </w:t>
      </w:r>
      <w:r w:rsidRPr="00181FCD">
        <w:t>noción</w:t>
      </w:r>
      <w:r w:rsidR="00F373A3" w:rsidRPr="00181FCD">
        <w:t xml:space="preserve"> </w:t>
      </w:r>
      <w:r w:rsidRPr="00181FCD">
        <w:t>de</w:t>
      </w:r>
      <w:r w:rsidR="00F373A3" w:rsidRPr="00181FCD">
        <w:t xml:space="preserve"> "</w:t>
      </w:r>
      <w:r w:rsidRPr="00181FCD">
        <w:t>extranjero</w:t>
      </w:r>
      <w:r w:rsidR="00F373A3" w:rsidRPr="00181FCD">
        <w:t>"</w:t>
      </w:r>
      <w:r w:rsidRPr="00181FCD">
        <w:t>.</w:t>
      </w:r>
      <w:r w:rsidR="00F373A3" w:rsidRPr="00181FCD">
        <w:t xml:space="preserve"> </w:t>
      </w:r>
      <w:r w:rsidRPr="00181FCD">
        <w:t>Según</w:t>
      </w:r>
      <w:r w:rsidR="00F373A3" w:rsidRPr="00181FCD">
        <w:t xml:space="preserve"> </w:t>
      </w:r>
      <w:r w:rsidRPr="00181FCD">
        <w:t>la</w:t>
      </w:r>
      <w:r w:rsidR="00F373A3" w:rsidRPr="00181FCD">
        <w:t xml:space="preserve"> </w:t>
      </w:r>
      <w:r w:rsidR="001247AC" w:rsidRPr="00181FCD">
        <w:t>ley</w:t>
      </w:r>
      <w:r w:rsidRPr="00181FCD">
        <w:t>,</w:t>
      </w:r>
      <w:r w:rsidR="00F373A3" w:rsidRPr="00181FCD">
        <w:t xml:space="preserve"> "</w:t>
      </w:r>
      <w:r w:rsidRPr="00181FCD">
        <w:t>se</w:t>
      </w:r>
      <w:r w:rsidR="00F373A3" w:rsidRPr="00181FCD">
        <w:t xml:space="preserve"> </w:t>
      </w:r>
      <w:r w:rsidRPr="00181FCD">
        <w:t>considera</w:t>
      </w:r>
      <w:r w:rsidR="00F373A3" w:rsidRPr="00181FCD">
        <w:t xml:space="preserve"> </w:t>
      </w:r>
      <w:r w:rsidRPr="00181FCD">
        <w:t>también</w:t>
      </w:r>
      <w:r w:rsidR="00F373A3" w:rsidRPr="00181FCD">
        <w:t xml:space="preserve"> </w:t>
      </w:r>
      <w:r w:rsidRPr="00181FCD">
        <w:t>extranjero</w:t>
      </w:r>
      <w:r w:rsidR="00F373A3" w:rsidRPr="00181FCD">
        <w:t xml:space="preserve"> </w:t>
      </w:r>
      <w:r w:rsidRPr="00181FCD">
        <w:t>a</w:t>
      </w:r>
      <w:r w:rsidR="00F373A3" w:rsidRPr="00181FCD">
        <w:t xml:space="preserve"> </w:t>
      </w:r>
      <w:r w:rsidRPr="00181FCD">
        <w:t>la</w:t>
      </w:r>
      <w:r w:rsidR="00F373A3" w:rsidRPr="00181FCD">
        <w:t xml:space="preserve"> </w:t>
      </w:r>
      <w:r w:rsidRPr="00181FCD">
        <w:t>persona</w:t>
      </w:r>
      <w:r w:rsidR="00F373A3" w:rsidRPr="00181FCD">
        <w:t xml:space="preserve"> </w:t>
      </w:r>
      <w:r w:rsidRPr="00181FCD">
        <w:t>que</w:t>
      </w:r>
      <w:r w:rsidR="00F373A3" w:rsidRPr="00181FCD">
        <w:t xml:space="preserve"> </w:t>
      </w:r>
      <w:r w:rsidRPr="00181FCD">
        <w:t>no</w:t>
      </w:r>
      <w:r w:rsidR="00F373A3" w:rsidRPr="00181FCD">
        <w:t xml:space="preserve"> </w:t>
      </w:r>
      <w:r w:rsidRPr="00181FCD">
        <w:t>es</w:t>
      </w:r>
      <w:r w:rsidR="00F373A3" w:rsidRPr="00181FCD">
        <w:t xml:space="preserve"> </w:t>
      </w:r>
      <w:r w:rsidRPr="00181FCD">
        <w:t>ciudadano</w:t>
      </w:r>
      <w:r w:rsidR="00F373A3" w:rsidRPr="00181FCD">
        <w:t xml:space="preserve"> </w:t>
      </w:r>
      <w:r w:rsidRPr="00181FCD">
        <w:t>de</w:t>
      </w:r>
      <w:r w:rsidR="00F373A3" w:rsidRPr="00181FCD">
        <w:t xml:space="preserve"> </w:t>
      </w:r>
      <w:r w:rsidRPr="00181FCD">
        <w:t>un</w:t>
      </w:r>
      <w:r w:rsidR="00F373A3" w:rsidRPr="00181FCD">
        <w:t xml:space="preserve"> </w:t>
      </w:r>
      <w:r w:rsidRPr="00181FCD">
        <w:t>país,</w:t>
      </w:r>
      <w:r w:rsidR="00F373A3" w:rsidRPr="00181FCD">
        <w:t xml:space="preserve"> </w:t>
      </w:r>
      <w:r w:rsidRPr="00181FCD">
        <w:t>de</w:t>
      </w:r>
      <w:r w:rsidR="00F373A3" w:rsidRPr="00181FCD">
        <w:t xml:space="preserve"> </w:t>
      </w:r>
      <w:r w:rsidRPr="00181FCD">
        <w:t>conformidad</w:t>
      </w:r>
      <w:r w:rsidR="00F373A3" w:rsidRPr="00181FCD">
        <w:t xml:space="preserve"> </w:t>
      </w:r>
      <w:r w:rsidRPr="00181FCD">
        <w:t>con</w:t>
      </w:r>
      <w:r w:rsidR="00F373A3" w:rsidRPr="00181FCD">
        <w:t xml:space="preserve"> </w:t>
      </w:r>
      <w:r w:rsidRPr="00181FCD">
        <w:t>su</w:t>
      </w:r>
      <w:r w:rsidR="00F373A3" w:rsidRPr="00181FCD">
        <w:t xml:space="preserve"> </w:t>
      </w:r>
      <w:r w:rsidRPr="00181FCD">
        <w:t>legislación</w:t>
      </w:r>
      <w:r w:rsidR="00F373A3" w:rsidRPr="00181FCD">
        <w:t>"</w:t>
      </w:r>
      <w:r w:rsidRPr="00181FCD">
        <w:t>.</w:t>
      </w:r>
      <w:r w:rsidR="00F373A3" w:rsidRPr="00181FCD">
        <w:t xml:space="preserve"> </w:t>
      </w:r>
      <w:r w:rsidRPr="00181FCD">
        <w:t>Una</w:t>
      </w:r>
      <w:r w:rsidR="00F373A3" w:rsidRPr="00181FCD">
        <w:t xml:space="preserve"> </w:t>
      </w:r>
      <w:r w:rsidRPr="00181FCD">
        <w:t>vez</w:t>
      </w:r>
      <w:r w:rsidR="00F373A3" w:rsidRPr="00181FCD">
        <w:t xml:space="preserve"> </w:t>
      </w:r>
      <w:r w:rsidRPr="00181FCD">
        <w:t>que</w:t>
      </w:r>
      <w:r w:rsidR="00F373A3" w:rsidRPr="00181FCD">
        <w:t xml:space="preserve"> </w:t>
      </w:r>
      <w:r w:rsidRPr="00181FCD">
        <w:t>un</w:t>
      </w:r>
      <w:r w:rsidR="00F373A3" w:rsidRPr="00181FCD">
        <w:t xml:space="preserve"> </w:t>
      </w:r>
      <w:r w:rsidRPr="00181FCD">
        <w:t>apátrida</w:t>
      </w:r>
      <w:r w:rsidR="00F373A3" w:rsidRPr="00181FCD">
        <w:t xml:space="preserve"> </w:t>
      </w:r>
      <w:r w:rsidRPr="00181FCD">
        <w:t>haya</w:t>
      </w:r>
      <w:r w:rsidR="00F373A3" w:rsidRPr="00181FCD">
        <w:t xml:space="preserve"> </w:t>
      </w:r>
      <w:r w:rsidRPr="00181FCD">
        <w:t>presentado</w:t>
      </w:r>
      <w:r w:rsidR="00F373A3" w:rsidRPr="00181FCD">
        <w:t xml:space="preserve"> </w:t>
      </w:r>
      <w:r w:rsidRPr="00181FCD">
        <w:t>una</w:t>
      </w:r>
      <w:r w:rsidR="00F373A3" w:rsidRPr="00181FCD">
        <w:t xml:space="preserve"> </w:t>
      </w:r>
      <w:r w:rsidRPr="00181FCD">
        <w:t>solicitud</w:t>
      </w:r>
      <w:r w:rsidR="00F373A3" w:rsidRPr="00181FCD">
        <w:t xml:space="preserve"> </w:t>
      </w:r>
      <w:r w:rsidRPr="00181FCD">
        <w:t>de</w:t>
      </w:r>
      <w:r w:rsidR="00F373A3" w:rsidRPr="00181FCD">
        <w:t xml:space="preserve"> </w:t>
      </w:r>
      <w:r w:rsidRPr="00181FCD">
        <w:t>la</w:t>
      </w:r>
      <w:r w:rsidR="00F373A3" w:rsidRPr="00181FCD">
        <w:t xml:space="preserve"> </w:t>
      </w:r>
      <w:r w:rsidRPr="00181FCD">
        <w:t>condición</w:t>
      </w:r>
      <w:r w:rsidR="00F373A3" w:rsidRPr="00181FCD">
        <w:t xml:space="preserve"> </w:t>
      </w:r>
      <w:r w:rsidRPr="00181FCD">
        <w:t>de</w:t>
      </w:r>
      <w:r w:rsidR="00F373A3" w:rsidRPr="00181FCD">
        <w:t xml:space="preserve"> </w:t>
      </w:r>
      <w:r w:rsidRPr="00181FCD">
        <w:t>refugiado,</w:t>
      </w:r>
      <w:r w:rsidR="00F373A3" w:rsidRPr="00181FCD">
        <w:t xml:space="preserve"> </w:t>
      </w:r>
      <w:r w:rsidRPr="00181FCD">
        <w:t>tendrá</w:t>
      </w:r>
      <w:r w:rsidR="00F373A3" w:rsidRPr="00181FCD">
        <w:t xml:space="preserve"> </w:t>
      </w:r>
      <w:r w:rsidRPr="00181FCD">
        <w:t>los</w:t>
      </w:r>
      <w:r w:rsidR="00F373A3" w:rsidRPr="00181FCD">
        <w:t xml:space="preserve"> </w:t>
      </w:r>
      <w:r w:rsidRPr="00181FCD">
        <w:t>mismos</w:t>
      </w:r>
      <w:r w:rsidR="00F373A3" w:rsidRPr="00181FCD">
        <w:t xml:space="preserve"> </w:t>
      </w:r>
      <w:r w:rsidRPr="00181FCD">
        <w:t>derechos</w:t>
      </w:r>
      <w:r w:rsidR="00F373A3" w:rsidRPr="00181FCD">
        <w:t xml:space="preserve"> </w:t>
      </w:r>
      <w:r w:rsidRPr="00181FCD">
        <w:t>y</w:t>
      </w:r>
      <w:r w:rsidR="00F373A3" w:rsidRPr="00181FCD">
        <w:t xml:space="preserve"> </w:t>
      </w:r>
      <w:r w:rsidRPr="00181FCD">
        <w:t>obligaciones</w:t>
      </w:r>
      <w:r w:rsidR="00F373A3" w:rsidRPr="00181FCD">
        <w:t xml:space="preserve"> </w:t>
      </w:r>
      <w:r w:rsidRPr="00181FCD">
        <w:t>que</w:t>
      </w:r>
      <w:r w:rsidR="00F373A3" w:rsidRPr="00181FCD">
        <w:t xml:space="preserve"> </w:t>
      </w:r>
      <w:r w:rsidRPr="00181FCD">
        <w:t>los</w:t>
      </w:r>
      <w:r w:rsidR="00F373A3" w:rsidRPr="00181FCD">
        <w:t xml:space="preserve"> </w:t>
      </w:r>
      <w:r w:rsidRPr="00181FCD">
        <w:t>nacionales</w:t>
      </w:r>
      <w:r w:rsidR="00F373A3" w:rsidRPr="00181FCD">
        <w:t xml:space="preserve"> </w:t>
      </w:r>
      <w:r w:rsidRPr="00181FCD">
        <w:t>búlgaros.</w:t>
      </w:r>
      <w:r w:rsidR="00F373A3" w:rsidRPr="00181FCD">
        <w:t xml:space="preserve"> </w:t>
      </w:r>
      <w:r w:rsidRPr="00181FCD">
        <w:t>Si</w:t>
      </w:r>
      <w:r w:rsidR="00F373A3" w:rsidRPr="00181FCD">
        <w:t xml:space="preserve"> </w:t>
      </w:r>
      <w:r w:rsidRPr="00181FCD">
        <w:t>reciben</w:t>
      </w:r>
      <w:r w:rsidR="00F373A3" w:rsidRPr="00181FCD">
        <w:t xml:space="preserve"> </w:t>
      </w:r>
      <w:r w:rsidRPr="00181FCD">
        <w:t>la</w:t>
      </w:r>
      <w:r w:rsidR="00F373A3" w:rsidRPr="00181FCD">
        <w:t xml:space="preserve"> </w:t>
      </w:r>
      <w:r w:rsidRPr="00181FCD">
        <w:t>condición</w:t>
      </w:r>
      <w:r w:rsidR="00F373A3" w:rsidRPr="00181FCD">
        <w:t xml:space="preserve"> </w:t>
      </w:r>
      <w:r w:rsidRPr="00181FCD">
        <w:t>especial</w:t>
      </w:r>
      <w:r w:rsidR="00F373A3" w:rsidRPr="00181FCD">
        <w:t xml:space="preserve"> </w:t>
      </w:r>
      <w:r w:rsidRPr="00181FCD">
        <w:t>por</w:t>
      </w:r>
      <w:r w:rsidR="00F373A3" w:rsidRPr="00181FCD">
        <w:t xml:space="preserve"> </w:t>
      </w:r>
      <w:r w:rsidRPr="00181FCD">
        <w:t>motivos</w:t>
      </w:r>
      <w:r w:rsidR="00F373A3" w:rsidRPr="00181FCD">
        <w:t xml:space="preserve"> </w:t>
      </w:r>
      <w:r w:rsidRPr="00181FCD">
        <w:t>humanitarios,</w:t>
      </w:r>
      <w:r w:rsidR="00F373A3" w:rsidRPr="00181FCD">
        <w:t xml:space="preserve"> </w:t>
      </w:r>
      <w:r w:rsidRPr="00181FCD">
        <w:t>esas</w:t>
      </w:r>
      <w:r w:rsidR="00F373A3" w:rsidRPr="00181FCD">
        <w:t xml:space="preserve"> </w:t>
      </w:r>
      <w:r w:rsidRPr="00181FCD">
        <w:t>personas</w:t>
      </w:r>
      <w:r w:rsidR="00F373A3" w:rsidRPr="00181FCD">
        <w:t xml:space="preserve"> </w:t>
      </w:r>
      <w:r w:rsidRPr="00181FCD">
        <w:t>tendrán</w:t>
      </w:r>
      <w:r w:rsidR="00F373A3" w:rsidRPr="00181FCD">
        <w:t xml:space="preserve"> </w:t>
      </w:r>
      <w:r w:rsidRPr="00181FCD">
        <w:t>los</w:t>
      </w:r>
      <w:r w:rsidR="00F373A3" w:rsidRPr="00181FCD">
        <w:t xml:space="preserve"> </w:t>
      </w:r>
      <w:r w:rsidRPr="00181FCD">
        <w:t>derechos</w:t>
      </w:r>
      <w:r w:rsidR="00F373A3" w:rsidRPr="00181FCD">
        <w:t xml:space="preserve"> </w:t>
      </w:r>
      <w:r w:rsidRPr="00181FCD">
        <w:t>y</w:t>
      </w:r>
      <w:r w:rsidR="00F373A3" w:rsidRPr="00181FCD">
        <w:t xml:space="preserve"> </w:t>
      </w:r>
      <w:r w:rsidRPr="00181FCD">
        <w:t>obligaciones</w:t>
      </w:r>
      <w:r w:rsidR="00F373A3" w:rsidRPr="00181FCD">
        <w:t xml:space="preserve"> </w:t>
      </w:r>
      <w:r w:rsidRPr="00181FCD">
        <w:t>de</w:t>
      </w:r>
      <w:r w:rsidR="00F373A3" w:rsidRPr="00181FCD">
        <w:t xml:space="preserve"> </w:t>
      </w:r>
      <w:r w:rsidRPr="00181FCD">
        <w:t>los</w:t>
      </w:r>
      <w:r w:rsidR="00F373A3" w:rsidRPr="00181FCD">
        <w:t xml:space="preserve"> </w:t>
      </w:r>
      <w:r w:rsidRPr="00181FCD">
        <w:t>extranjeros</w:t>
      </w:r>
      <w:r w:rsidR="00F373A3" w:rsidRPr="00181FCD">
        <w:t xml:space="preserve"> </w:t>
      </w:r>
      <w:r w:rsidRPr="00181FCD">
        <w:t>con</w:t>
      </w:r>
      <w:r w:rsidR="00F373A3" w:rsidRPr="00181FCD">
        <w:t xml:space="preserve"> </w:t>
      </w:r>
      <w:r w:rsidRPr="00181FCD">
        <w:t>residencia</w:t>
      </w:r>
      <w:r w:rsidR="00F373A3" w:rsidRPr="00181FCD">
        <w:t xml:space="preserve"> </w:t>
      </w:r>
      <w:r w:rsidRPr="00181FCD">
        <w:t>permanente</w:t>
      </w:r>
      <w:r w:rsidR="00F373A3" w:rsidRPr="00181FCD">
        <w:t xml:space="preserve"> </w:t>
      </w:r>
      <w:r w:rsidRPr="00181FCD">
        <w:t>en</w:t>
      </w:r>
      <w:r w:rsidR="00F373A3" w:rsidRPr="00181FCD">
        <w:t xml:space="preserve"> </w:t>
      </w:r>
      <w:r w:rsidRPr="00181FCD">
        <w:t>Bulgaria.</w:t>
      </w:r>
    </w:p>
    <w:p w:rsidR="001937F4" w:rsidRPr="00181FCD" w:rsidRDefault="001937F4" w:rsidP="00347B20">
      <w:pPr>
        <w:pStyle w:val="SingleTxtG"/>
        <w:suppressAutoHyphens/>
      </w:pPr>
      <w:r w:rsidRPr="00181FCD">
        <w:t>141.</w:t>
      </w:r>
      <w:r w:rsidRPr="00181FCD">
        <w:tab/>
        <w:t>Dentro</w:t>
      </w:r>
      <w:r w:rsidR="00F373A3" w:rsidRPr="00181FCD">
        <w:t xml:space="preserve"> </w:t>
      </w:r>
      <w:r w:rsidRPr="00181FCD">
        <w:t>del</w:t>
      </w:r>
      <w:r w:rsidR="00F373A3" w:rsidRPr="00181FCD">
        <w:t xml:space="preserve"> </w:t>
      </w:r>
      <w:r w:rsidRPr="00181FCD">
        <w:t>grupo</w:t>
      </w:r>
      <w:r w:rsidR="00F373A3" w:rsidRPr="00181FCD">
        <w:t xml:space="preserve"> </w:t>
      </w:r>
      <w:r w:rsidRPr="00181FCD">
        <w:t>de</w:t>
      </w:r>
      <w:r w:rsidR="00F373A3" w:rsidRPr="00181FCD">
        <w:t xml:space="preserve"> </w:t>
      </w:r>
      <w:r w:rsidRPr="00181FCD">
        <w:t>trabajo</w:t>
      </w:r>
      <w:r w:rsidR="00F373A3" w:rsidRPr="00181FCD">
        <w:t xml:space="preserve"> </w:t>
      </w:r>
      <w:r w:rsidRPr="00181FCD">
        <w:t>intergubernamental</w:t>
      </w:r>
      <w:r w:rsidR="00F373A3" w:rsidRPr="00181FCD">
        <w:t xml:space="preserve"> </w:t>
      </w:r>
      <w:r w:rsidRPr="00181FCD">
        <w:t>creado</w:t>
      </w:r>
      <w:r w:rsidR="00F373A3" w:rsidRPr="00181FCD">
        <w:t xml:space="preserve"> </w:t>
      </w:r>
      <w:r w:rsidRPr="00181FCD">
        <w:t>en</w:t>
      </w:r>
      <w:r w:rsidR="00F373A3" w:rsidRPr="00181FCD">
        <w:t xml:space="preserve"> </w:t>
      </w:r>
      <w:r w:rsidRPr="00181FCD">
        <w:t>el</w:t>
      </w:r>
      <w:r w:rsidR="00F373A3" w:rsidRPr="00181FCD">
        <w:t xml:space="preserve"> </w:t>
      </w:r>
      <w:r w:rsidRPr="00181FCD">
        <w:t>Ministerio</w:t>
      </w:r>
      <w:r w:rsidR="00F373A3" w:rsidRPr="00181FCD">
        <w:t xml:space="preserve"> </w:t>
      </w:r>
      <w:r w:rsidRPr="00181FCD">
        <w:t>de</w:t>
      </w:r>
      <w:r w:rsidR="00F373A3" w:rsidRPr="00181FCD">
        <w:t xml:space="preserve"> </w:t>
      </w:r>
      <w:r w:rsidRPr="00181FCD">
        <w:t>Justicia</w:t>
      </w:r>
      <w:r w:rsidR="00F373A3" w:rsidRPr="00181FCD">
        <w:t xml:space="preserve"> </w:t>
      </w:r>
      <w:r w:rsidRPr="00181FCD">
        <w:t>para</w:t>
      </w:r>
      <w:r w:rsidR="00F373A3" w:rsidRPr="00181FCD">
        <w:t xml:space="preserve"> </w:t>
      </w:r>
      <w:r w:rsidRPr="00181FCD">
        <w:t>la</w:t>
      </w:r>
      <w:r w:rsidR="00F373A3" w:rsidRPr="00181FCD">
        <w:t xml:space="preserve"> </w:t>
      </w:r>
      <w:r w:rsidRPr="00181FCD">
        <w:t>aplicación</w:t>
      </w:r>
      <w:r w:rsidR="00F373A3" w:rsidRPr="00181FCD">
        <w:t xml:space="preserve"> </w:t>
      </w:r>
      <w:r w:rsidRPr="00181FCD">
        <w:t>de</w:t>
      </w:r>
      <w:r w:rsidR="00F373A3" w:rsidRPr="00181FCD">
        <w:t xml:space="preserve"> </w:t>
      </w:r>
      <w:r w:rsidRPr="00181FCD">
        <w:t>la</w:t>
      </w:r>
      <w:r w:rsidR="00F373A3" w:rsidRPr="00181FCD">
        <w:t xml:space="preserve"> </w:t>
      </w:r>
      <w:r w:rsidRPr="00181FCD">
        <w:t>citada</w:t>
      </w:r>
      <w:r w:rsidR="00F373A3" w:rsidRPr="00181FCD">
        <w:t xml:space="preserve"> </w:t>
      </w:r>
      <w:r w:rsidRPr="00181FCD">
        <w:t>Convención,</w:t>
      </w:r>
      <w:r w:rsidR="00F373A3" w:rsidRPr="00181FCD">
        <w:t xml:space="preserve"> </w:t>
      </w:r>
      <w:r w:rsidRPr="00181FCD">
        <w:t>se</w:t>
      </w:r>
      <w:r w:rsidR="00F373A3" w:rsidRPr="00181FCD">
        <w:t xml:space="preserve"> </w:t>
      </w:r>
      <w:r w:rsidRPr="00181FCD">
        <w:t>aprobó</w:t>
      </w:r>
      <w:r w:rsidR="00F373A3" w:rsidRPr="00181FCD">
        <w:t xml:space="preserve"> </w:t>
      </w:r>
      <w:r w:rsidRPr="00181FCD">
        <w:t>una</w:t>
      </w:r>
      <w:r w:rsidR="00F373A3" w:rsidRPr="00181FCD">
        <w:t xml:space="preserve"> </w:t>
      </w:r>
      <w:r w:rsidRPr="00181FCD">
        <w:t>decisión</w:t>
      </w:r>
      <w:r w:rsidR="00F373A3" w:rsidRPr="00181FCD">
        <w:t xml:space="preserve"> </w:t>
      </w:r>
      <w:r w:rsidRPr="00181FCD">
        <w:t>sobre</w:t>
      </w:r>
      <w:r w:rsidR="00F373A3" w:rsidRPr="00181FCD">
        <w:t xml:space="preserve"> </w:t>
      </w:r>
      <w:r w:rsidRPr="00181FCD">
        <w:t>la</w:t>
      </w:r>
      <w:r w:rsidR="00F373A3" w:rsidRPr="00181FCD">
        <w:t xml:space="preserve"> </w:t>
      </w:r>
      <w:r w:rsidRPr="00181FCD">
        <w:t>condición</w:t>
      </w:r>
      <w:r w:rsidR="00F373A3" w:rsidRPr="00181FCD">
        <w:t xml:space="preserve"> </w:t>
      </w:r>
      <w:r w:rsidRPr="00181FCD">
        <w:t>de</w:t>
      </w:r>
      <w:r w:rsidR="00F373A3" w:rsidRPr="00181FCD">
        <w:t xml:space="preserve"> "</w:t>
      </w:r>
      <w:r w:rsidRPr="00181FCD">
        <w:t>apátrida</w:t>
      </w:r>
      <w:r w:rsidR="00F373A3" w:rsidRPr="00181FCD">
        <w:t>"</w:t>
      </w:r>
      <w:r w:rsidRPr="00181FCD">
        <w:t>,</w:t>
      </w:r>
      <w:r w:rsidR="00F373A3" w:rsidRPr="00181FCD">
        <w:t xml:space="preserve"> </w:t>
      </w:r>
      <w:r w:rsidRPr="00181FCD">
        <w:t>que</w:t>
      </w:r>
      <w:r w:rsidR="00F373A3" w:rsidRPr="00181FCD">
        <w:t xml:space="preserve"> </w:t>
      </w:r>
      <w:r w:rsidRPr="00181FCD">
        <w:t>sería</w:t>
      </w:r>
      <w:r w:rsidR="00F373A3" w:rsidRPr="00181FCD">
        <w:t xml:space="preserve"> </w:t>
      </w:r>
      <w:r w:rsidRPr="00181FCD">
        <w:t>otorgada</w:t>
      </w:r>
      <w:r w:rsidR="00F373A3" w:rsidRPr="00181FCD">
        <w:t xml:space="preserve"> </w:t>
      </w:r>
      <w:r w:rsidRPr="00181FCD">
        <w:t>por</w:t>
      </w:r>
      <w:r w:rsidR="00F373A3" w:rsidRPr="00181FCD">
        <w:t xml:space="preserve"> </w:t>
      </w:r>
      <w:r w:rsidRPr="00181FCD">
        <w:t>una</w:t>
      </w:r>
      <w:r w:rsidR="00F373A3" w:rsidRPr="00181FCD">
        <w:t xml:space="preserve"> </w:t>
      </w:r>
      <w:r w:rsidRPr="00181FCD">
        <w:t>dependencia</w:t>
      </w:r>
      <w:r w:rsidR="00F373A3" w:rsidRPr="00181FCD">
        <w:t xml:space="preserve"> </w:t>
      </w:r>
      <w:r w:rsidRPr="00181FCD">
        <w:t>del</w:t>
      </w:r>
      <w:r w:rsidR="00F373A3" w:rsidRPr="00181FCD">
        <w:t xml:space="preserve"> </w:t>
      </w:r>
      <w:r w:rsidRPr="00181FCD">
        <w:t>Ministerio</w:t>
      </w:r>
      <w:r w:rsidR="00F373A3" w:rsidRPr="00181FCD">
        <w:t xml:space="preserve"> </w:t>
      </w:r>
      <w:r w:rsidRPr="00181FCD">
        <w:t>del</w:t>
      </w:r>
      <w:r w:rsidR="00F373A3" w:rsidRPr="00181FCD">
        <w:t xml:space="preserve"> </w:t>
      </w:r>
      <w:r w:rsidRPr="00181FCD">
        <w:t>Interior.</w:t>
      </w:r>
    </w:p>
    <w:p w:rsidR="001937F4" w:rsidRPr="00181FCD" w:rsidRDefault="001937F4" w:rsidP="00347B20">
      <w:pPr>
        <w:pStyle w:val="SingleTxtG"/>
        <w:suppressAutoHyphens/>
      </w:pPr>
      <w:r w:rsidRPr="00181FCD">
        <w:t>142.</w:t>
      </w:r>
      <w:r w:rsidRPr="00181FCD">
        <w:tab/>
        <w:t>A</w:t>
      </w:r>
      <w:r w:rsidR="00F373A3" w:rsidRPr="00181FCD">
        <w:t xml:space="preserve"> </w:t>
      </w:r>
      <w:r w:rsidRPr="00181FCD">
        <w:t>finales</w:t>
      </w:r>
      <w:r w:rsidR="00F373A3" w:rsidRPr="00181FCD">
        <w:t xml:space="preserve"> </w:t>
      </w:r>
      <w:r w:rsidRPr="00181FCD">
        <w:t>de</w:t>
      </w:r>
      <w:r w:rsidR="00F373A3" w:rsidRPr="00181FCD">
        <w:t xml:space="preserve"> </w:t>
      </w:r>
      <w:r w:rsidRPr="00181FCD">
        <w:t>2015</w:t>
      </w:r>
      <w:r w:rsidR="00F373A3" w:rsidRPr="00181FCD">
        <w:t xml:space="preserve"> </w:t>
      </w:r>
      <w:r w:rsidRPr="00181FCD">
        <w:t>el</w:t>
      </w:r>
      <w:r w:rsidR="00F373A3" w:rsidRPr="00181FCD">
        <w:t xml:space="preserve"> </w:t>
      </w:r>
      <w:r w:rsidRPr="00181FCD">
        <w:t>Consejo</w:t>
      </w:r>
      <w:r w:rsidR="00F373A3" w:rsidRPr="00181FCD">
        <w:t xml:space="preserve"> </w:t>
      </w:r>
      <w:r w:rsidRPr="00181FCD">
        <w:t>de</w:t>
      </w:r>
      <w:r w:rsidR="00F373A3" w:rsidRPr="00181FCD">
        <w:t xml:space="preserve"> </w:t>
      </w:r>
      <w:r w:rsidRPr="00181FCD">
        <w:t>Ministros</w:t>
      </w:r>
      <w:r w:rsidR="00F373A3" w:rsidRPr="00181FCD">
        <w:t xml:space="preserve"> </w:t>
      </w:r>
      <w:r w:rsidRPr="00181FCD">
        <w:t>ha</w:t>
      </w:r>
      <w:r w:rsidR="00F373A3" w:rsidRPr="00181FCD">
        <w:t xml:space="preserve"> </w:t>
      </w:r>
      <w:r w:rsidRPr="00181FCD">
        <w:t>de</w:t>
      </w:r>
      <w:r w:rsidR="00F373A3" w:rsidRPr="00181FCD">
        <w:t xml:space="preserve"> </w:t>
      </w:r>
      <w:r w:rsidRPr="00181FCD">
        <w:t>examinar</w:t>
      </w:r>
      <w:r w:rsidR="00F373A3" w:rsidRPr="00181FCD">
        <w:t xml:space="preserve"> </w:t>
      </w:r>
      <w:r w:rsidRPr="00181FCD">
        <w:t>nuevas</w:t>
      </w:r>
      <w:r w:rsidR="00F373A3" w:rsidRPr="00181FCD">
        <w:t xml:space="preserve"> </w:t>
      </w:r>
      <w:r w:rsidRPr="00181FCD">
        <w:t>modificaciones</w:t>
      </w:r>
      <w:r w:rsidR="00F373A3" w:rsidRPr="00181FCD">
        <w:t xml:space="preserve"> </w:t>
      </w:r>
      <w:r w:rsidRPr="00181FCD">
        <w:t>a</w:t>
      </w:r>
      <w:r w:rsidR="00F373A3" w:rsidRPr="00181FCD">
        <w:t xml:space="preserve"> </w:t>
      </w:r>
      <w:r w:rsidRPr="00181FCD">
        <w:t>la</w:t>
      </w:r>
      <w:r w:rsidR="00F373A3" w:rsidRPr="00181FCD">
        <w:t xml:space="preserve"> </w:t>
      </w:r>
      <w:r w:rsidRPr="00181FCD">
        <w:t>Ley</w:t>
      </w:r>
      <w:r w:rsidR="00F373A3" w:rsidRPr="00181FCD">
        <w:t xml:space="preserve"> </w:t>
      </w:r>
      <w:r w:rsidRPr="00181FCD">
        <w:t>de</w:t>
      </w:r>
      <w:r w:rsidR="00F373A3" w:rsidRPr="00181FCD">
        <w:t xml:space="preserve"> </w:t>
      </w:r>
      <w:r w:rsidRPr="00181FCD">
        <w:t>Extranjería.</w:t>
      </w:r>
      <w:r w:rsidR="00F373A3" w:rsidRPr="00181FCD">
        <w:t xml:space="preserve"> </w:t>
      </w:r>
      <w:r w:rsidRPr="00181FCD">
        <w:t>Estas</w:t>
      </w:r>
      <w:r w:rsidR="00F373A3" w:rsidRPr="00181FCD">
        <w:t xml:space="preserve"> </w:t>
      </w:r>
      <w:r w:rsidRPr="00181FCD">
        <w:t>se</w:t>
      </w:r>
      <w:r w:rsidR="00F373A3" w:rsidRPr="00181FCD">
        <w:t xml:space="preserve"> </w:t>
      </w:r>
      <w:r w:rsidRPr="00181FCD">
        <w:t>refieren</w:t>
      </w:r>
      <w:r w:rsidR="00F373A3" w:rsidRPr="00181FCD">
        <w:t xml:space="preserve"> </w:t>
      </w:r>
      <w:r w:rsidRPr="00181FCD">
        <w:t>a</w:t>
      </w:r>
      <w:r w:rsidR="00F373A3" w:rsidRPr="00181FCD">
        <w:t xml:space="preserve"> </w:t>
      </w:r>
      <w:r w:rsidRPr="00181FCD">
        <w:t>la</w:t>
      </w:r>
      <w:r w:rsidR="00F373A3" w:rsidRPr="00181FCD">
        <w:t xml:space="preserve"> </w:t>
      </w:r>
      <w:r w:rsidRPr="00181FCD">
        <w:t>concesión</w:t>
      </w:r>
      <w:r w:rsidR="00F373A3" w:rsidRPr="00181FCD">
        <w:t xml:space="preserve"> </w:t>
      </w:r>
      <w:r w:rsidRPr="00181FCD">
        <w:t>de</w:t>
      </w:r>
      <w:r w:rsidR="00F373A3" w:rsidRPr="00181FCD">
        <w:t xml:space="preserve"> </w:t>
      </w:r>
      <w:r w:rsidRPr="00181FCD">
        <w:t>una</w:t>
      </w:r>
      <w:r w:rsidR="00F373A3" w:rsidRPr="00181FCD">
        <w:t xml:space="preserve"> </w:t>
      </w:r>
      <w:r w:rsidRPr="00181FCD">
        <w:t>condición</w:t>
      </w:r>
      <w:r w:rsidR="00F373A3" w:rsidRPr="00181FCD">
        <w:t xml:space="preserve"> </w:t>
      </w:r>
      <w:r w:rsidRPr="00181FCD">
        <w:t>jurídica</w:t>
      </w:r>
      <w:r w:rsidR="00F373A3" w:rsidRPr="00181FCD">
        <w:t xml:space="preserve"> </w:t>
      </w:r>
      <w:r w:rsidRPr="00181FCD">
        <w:t>a</w:t>
      </w:r>
      <w:r w:rsidR="00F373A3" w:rsidRPr="00181FCD">
        <w:t xml:space="preserve"> </w:t>
      </w:r>
      <w:r w:rsidRPr="00181FCD">
        <w:t>una</w:t>
      </w:r>
      <w:r w:rsidR="00F373A3" w:rsidRPr="00181FCD">
        <w:t xml:space="preserve"> </w:t>
      </w:r>
      <w:r w:rsidRPr="00181FCD">
        <w:t>persona</w:t>
      </w:r>
      <w:r w:rsidR="00F373A3" w:rsidRPr="00181FCD">
        <w:t xml:space="preserve"> </w:t>
      </w:r>
      <w:r w:rsidRPr="00181FCD">
        <w:t>sin</w:t>
      </w:r>
      <w:r w:rsidR="00F373A3" w:rsidRPr="00181FCD">
        <w:t xml:space="preserve"> </w:t>
      </w:r>
      <w:r w:rsidRPr="00181FCD">
        <w:t>ciudadanía,</w:t>
      </w:r>
      <w:r w:rsidR="00F373A3" w:rsidRPr="00181FCD">
        <w:t xml:space="preserve"> </w:t>
      </w:r>
      <w:r w:rsidRPr="00181FCD">
        <w:t>según</w:t>
      </w:r>
      <w:r w:rsidR="00F373A3" w:rsidRPr="00181FCD">
        <w:t xml:space="preserve"> </w:t>
      </w:r>
      <w:r w:rsidRPr="00181FCD">
        <w:t>lo</w:t>
      </w:r>
      <w:r w:rsidR="00F373A3" w:rsidRPr="00181FCD">
        <w:t xml:space="preserve"> </w:t>
      </w:r>
      <w:r w:rsidRPr="00181FCD">
        <w:t>dispuesto</w:t>
      </w:r>
      <w:r w:rsidR="00F373A3" w:rsidRPr="00181FCD">
        <w:t xml:space="preserve"> </w:t>
      </w:r>
      <w:r w:rsidRPr="00181FCD">
        <w:t>por</w:t>
      </w:r>
      <w:r w:rsidR="00F373A3" w:rsidRPr="00181FCD">
        <w:t xml:space="preserve"> </w:t>
      </w:r>
      <w:r w:rsidRPr="00181FCD">
        <w:t>la</w:t>
      </w:r>
      <w:r w:rsidR="00F373A3" w:rsidRPr="00181FCD">
        <w:t xml:space="preserve"> </w:t>
      </w:r>
      <w:r w:rsidRPr="00181FCD">
        <w:t>Ley</w:t>
      </w:r>
      <w:r w:rsidR="00F373A3" w:rsidRPr="00181FCD">
        <w:t xml:space="preserve"> </w:t>
      </w:r>
      <w:r w:rsidRPr="00181FCD">
        <w:t>de</w:t>
      </w:r>
      <w:r w:rsidR="00F373A3" w:rsidRPr="00181FCD">
        <w:t xml:space="preserve"> </w:t>
      </w:r>
      <w:r w:rsidRPr="00181FCD">
        <w:t>Ratificación</w:t>
      </w:r>
      <w:r w:rsidR="00F373A3" w:rsidRPr="00181FCD">
        <w:t xml:space="preserve"> </w:t>
      </w:r>
      <w:r w:rsidRPr="00181FCD">
        <w:t>de</w:t>
      </w:r>
      <w:r w:rsidR="00F373A3" w:rsidRPr="00181FCD">
        <w:t xml:space="preserve"> </w:t>
      </w:r>
      <w:r w:rsidRPr="00181FCD">
        <w:t>la</w:t>
      </w:r>
      <w:r w:rsidR="00F373A3" w:rsidRPr="00181FCD">
        <w:t xml:space="preserve"> </w:t>
      </w:r>
      <w:r w:rsidRPr="00181FCD">
        <w:t>Convención</w:t>
      </w:r>
      <w:r w:rsidR="00F373A3" w:rsidRPr="00181FCD">
        <w:t xml:space="preserve"> </w:t>
      </w:r>
      <w:r w:rsidRPr="00181FCD">
        <w:t>para</w:t>
      </w:r>
      <w:r w:rsidR="00F373A3" w:rsidRPr="00181FCD">
        <w:t xml:space="preserve"> </w:t>
      </w:r>
      <w:r w:rsidRPr="00181FCD">
        <w:t>Reducir</w:t>
      </w:r>
      <w:r w:rsidR="00F373A3" w:rsidRPr="00181FCD">
        <w:t xml:space="preserve"> </w:t>
      </w:r>
      <w:r w:rsidRPr="00181FCD">
        <w:t>los</w:t>
      </w:r>
      <w:r w:rsidR="00F373A3" w:rsidRPr="00181FCD">
        <w:t xml:space="preserve"> </w:t>
      </w:r>
      <w:r w:rsidRPr="00181FCD">
        <w:t>Casos</w:t>
      </w:r>
      <w:r w:rsidR="00F373A3" w:rsidRPr="00181FCD">
        <w:t xml:space="preserve"> </w:t>
      </w:r>
      <w:r w:rsidRPr="00181FCD">
        <w:t>de</w:t>
      </w:r>
      <w:r w:rsidR="00F373A3" w:rsidRPr="00181FCD">
        <w:t xml:space="preserve"> </w:t>
      </w:r>
      <w:r w:rsidRPr="00181FCD">
        <w:t>Apatridia.</w:t>
      </w:r>
      <w:r w:rsidR="00F373A3" w:rsidRPr="00181FCD">
        <w:t xml:space="preserve"> </w:t>
      </w:r>
      <w:r w:rsidRPr="00181FCD">
        <w:t>El</w:t>
      </w:r>
      <w:r w:rsidR="00F373A3" w:rsidRPr="00181FCD">
        <w:t xml:space="preserve"> </w:t>
      </w:r>
      <w:r w:rsidRPr="00181FCD">
        <w:t>Ministerio</w:t>
      </w:r>
      <w:r w:rsidR="00F373A3" w:rsidRPr="00181FCD">
        <w:t xml:space="preserve"> </w:t>
      </w:r>
      <w:r w:rsidRPr="00181FCD">
        <w:t>del</w:t>
      </w:r>
      <w:r w:rsidR="00F373A3" w:rsidRPr="00181FCD">
        <w:t xml:space="preserve"> </w:t>
      </w:r>
      <w:r w:rsidRPr="00181FCD">
        <w:t>Interior</w:t>
      </w:r>
      <w:r w:rsidR="00F373A3" w:rsidRPr="00181FCD">
        <w:t xml:space="preserve"> </w:t>
      </w:r>
      <w:r w:rsidRPr="00181FCD">
        <w:t>estará</w:t>
      </w:r>
      <w:r w:rsidR="00F373A3" w:rsidRPr="00181FCD">
        <w:t xml:space="preserve"> </w:t>
      </w:r>
      <w:r w:rsidRPr="00181FCD">
        <w:t>encargado</w:t>
      </w:r>
      <w:r w:rsidR="00F373A3" w:rsidRPr="00181FCD">
        <w:t xml:space="preserve"> </w:t>
      </w:r>
      <w:r w:rsidRPr="00181FCD">
        <w:t>de</w:t>
      </w:r>
      <w:r w:rsidR="00F373A3" w:rsidRPr="00181FCD">
        <w:t xml:space="preserve"> </w:t>
      </w:r>
      <w:r w:rsidRPr="00181FCD">
        <w:t>la</w:t>
      </w:r>
      <w:r w:rsidR="00F373A3" w:rsidRPr="00181FCD">
        <w:t xml:space="preserve"> </w:t>
      </w:r>
      <w:r w:rsidRPr="00181FCD">
        <w:t>redacción</w:t>
      </w:r>
      <w:r w:rsidR="00F373A3" w:rsidRPr="00181FCD">
        <w:t xml:space="preserve"> </w:t>
      </w:r>
      <w:r w:rsidRPr="00181FCD">
        <w:t>y</w:t>
      </w:r>
      <w:r w:rsidR="00F373A3" w:rsidRPr="00181FCD">
        <w:t xml:space="preserve"> </w:t>
      </w:r>
      <w:r w:rsidRPr="00181FCD">
        <w:t>aplicación</w:t>
      </w:r>
      <w:r w:rsidR="00F373A3" w:rsidRPr="00181FCD">
        <w:t xml:space="preserve"> </w:t>
      </w:r>
      <w:r w:rsidRPr="00181FCD">
        <w:t>futura</w:t>
      </w:r>
      <w:r w:rsidR="00F373A3" w:rsidRPr="00181FCD">
        <w:t xml:space="preserve"> </w:t>
      </w:r>
      <w:r w:rsidRPr="00181FCD">
        <w:t>de</w:t>
      </w:r>
      <w:r w:rsidR="00F373A3" w:rsidRPr="00181FCD">
        <w:t xml:space="preserve"> </w:t>
      </w:r>
      <w:r w:rsidRPr="00181FCD">
        <w:t>las</w:t>
      </w:r>
      <w:r w:rsidR="00F373A3" w:rsidRPr="00181FCD">
        <w:t xml:space="preserve"> </w:t>
      </w:r>
      <w:r w:rsidRPr="00181FCD">
        <w:t>modificaciones.</w:t>
      </w:r>
    </w:p>
    <w:p w:rsidR="001937F4" w:rsidRPr="00181FCD" w:rsidRDefault="00BE74A7" w:rsidP="00BE74A7">
      <w:pPr>
        <w:pStyle w:val="H1G"/>
      </w:pPr>
      <w:r w:rsidRPr="00181FCD">
        <w:tab/>
      </w:r>
      <w:r w:rsidRPr="00181FCD">
        <w:tab/>
      </w:r>
      <w:r w:rsidR="001937F4" w:rsidRPr="00181FCD">
        <w:t>Artículos</w:t>
      </w:r>
      <w:r w:rsidR="00F373A3" w:rsidRPr="00181FCD">
        <w:t xml:space="preserve"> </w:t>
      </w:r>
      <w:r w:rsidR="001937F4" w:rsidRPr="00181FCD">
        <w:t>5,</w:t>
      </w:r>
      <w:r w:rsidR="00F373A3" w:rsidRPr="00181FCD">
        <w:t xml:space="preserve"> </w:t>
      </w:r>
      <w:r w:rsidR="001937F4" w:rsidRPr="00181FCD">
        <w:t>7</w:t>
      </w:r>
      <w:r w:rsidR="00F373A3" w:rsidRPr="00181FCD">
        <w:t xml:space="preserve"> </w:t>
      </w:r>
      <w:r w:rsidR="001937F4" w:rsidRPr="00181FCD">
        <w:t>y</w:t>
      </w:r>
      <w:r w:rsidR="00F373A3" w:rsidRPr="00181FCD">
        <w:t xml:space="preserve"> </w:t>
      </w:r>
      <w:r w:rsidR="001937F4" w:rsidRPr="00181FCD">
        <w:t>8</w:t>
      </w:r>
    </w:p>
    <w:p w:rsidR="001937F4" w:rsidRPr="00181FCD" w:rsidRDefault="00BE74A7" w:rsidP="00BE74A7">
      <w:pPr>
        <w:pStyle w:val="H23G"/>
      </w:pPr>
      <w:r w:rsidRPr="00181FCD">
        <w:tab/>
      </w:r>
      <w:r w:rsidRPr="00181FCD">
        <w:tab/>
      </w:r>
      <w:r w:rsidR="001937F4" w:rsidRPr="00181FCD">
        <w:t>Respuesta</w:t>
      </w:r>
      <w:r w:rsidR="00F373A3" w:rsidRPr="00181FCD">
        <w:t xml:space="preserve"> </w:t>
      </w:r>
      <w:r w:rsidR="001937F4" w:rsidRPr="00181FCD">
        <w:t>a</w:t>
      </w:r>
      <w:r w:rsidR="00F373A3" w:rsidRPr="00181FCD">
        <w:t xml:space="preserve"> </w:t>
      </w:r>
      <w:r w:rsidR="001937F4" w:rsidRPr="00181FCD">
        <w:t>las</w:t>
      </w:r>
      <w:r w:rsidR="00F373A3" w:rsidRPr="00181FCD">
        <w:t xml:space="preserve"> </w:t>
      </w:r>
      <w:r w:rsidR="001937F4" w:rsidRPr="00181FCD">
        <w:t>cuestiones</w:t>
      </w:r>
      <w:r w:rsidR="00F373A3" w:rsidRPr="00181FCD">
        <w:t xml:space="preserve"> </w:t>
      </w:r>
      <w:r w:rsidR="001937F4" w:rsidRPr="00181FCD">
        <w:t>planteadas</w:t>
      </w:r>
      <w:r w:rsidR="00F373A3" w:rsidRPr="00181FCD">
        <w:t xml:space="preserve"> </w:t>
      </w:r>
      <w:r w:rsidR="001937F4" w:rsidRPr="00181FCD">
        <w:t>en</w:t>
      </w:r>
      <w:r w:rsidR="00F373A3" w:rsidRPr="00181FCD">
        <w:t xml:space="preserve"> </w:t>
      </w:r>
      <w:r w:rsidR="001937F4" w:rsidRPr="00181FCD">
        <w:t>el</w:t>
      </w:r>
      <w:r w:rsidR="00F373A3" w:rsidRPr="00181FCD">
        <w:t xml:space="preserve"> </w:t>
      </w:r>
      <w:r w:rsidR="001937F4" w:rsidRPr="00181FCD">
        <w:t>párrafo</w:t>
      </w:r>
      <w:r w:rsidR="00F373A3" w:rsidRPr="00181FCD">
        <w:t xml:space="preserve"> </w:t>
      </w:r>
      <w:r w:rsidR="001937F4" w:rsidRPr="00181FCD">
        <w:t>15</w:t>
      </w:r>
      <w:r w:rsidR="00F373A3" w:rsidRPr="00181FCD">
        <w:t xml:space="preserve"> </w:t>
      </w:r>
      <w:r w:rsidR="001937F4" w:rsidRPr="00181FCD">
        <w:t>de</w:t>
      </w:r>
      <w:r w:rsidR="00F373A3" w:rsidRPr="00181FCD">
        <w:t xml:space="preserve"> </w:t>
      </w:r>
      <w:r w:rsidR="001937F4" w:rsidRPr="00181FCD">
        <w:t>la</w:t>
      </w:r>
      <w:r w:rsidR="00F373A3" w:rsidRPr="00181FCD">
        <w:t xml:space="preserve"> </w:t>
      </w:r>
      <w:r w:rsidR="001937F4" w:rsidRPr="00181FCD">
        <w:t>lista</w:t>
      </w:r>
      <w:r w:rsidR="00F373A3" w:rsidRPr="00181FCD">
        <w:t xml:space="preserve"> </w:t>
      </w:r>
      <w:r w:rsidR="001937F4" w:rsidRPr="00181FCD">
        <w:t>de</w:t>
      </w:r>
      <w:r w:rsidR="00F373A3" w:rsidRPr="00181FCD">
        <w:t xml:space="preserve"> </w:t>
      </w:r>
      <w:r w:rsidR="001937F4" w:rsidRPr="00181FCD">
        <w:t>cuestiones</w:t>
      </w:r>
    </w:p>
    <w:p w:rsidR="001937F4" w:rsidRPr="00181FCD" w:rsidRDefault="001937F4" w:rsidP="00347B20">
      <w:pPr>
        <w:pStyle w:val="SingleTxtG"/>
        <w:suppressAutoHyphens/>
      </w:pPr>
      <w:r w:rsidRPr="00181FCD">
        <w:t>143.</w:t>
      </w:r>
      <w:r w:rsidRPr="00181FCD">
        <w:tab/>
        <w:t>Se</w:t>
      </w:r>
      <w:r w:rsidR="00F373A3" w:rsidRPr="00181FCD">
        <w:t xml:space="preserve"> </w:t>
      </w:r>
      <w:r w:rsidRPr="00181FCD">
        <w:t>ha</w:t>
      </w:r>
      <w:r w:rsidR="00F373A3" w:rsidRPr="00181FCD">
        <w:t xml:space="preserve"> </w:t>
      </w:r>
      <w:r w:rsidRPr="00181FCD">
        <w:t>llevado</w:t>
      </w:r>
      <w:r w:rsidR="00F373A3" w:rsidRPr="00181FCD">
        <w:t xml:space="preserve"> </w:t>
      </w:r>
      <w:r w:rsidRPr="00181FCD">
        <w:t>a</w:t>
      </w:r>
      <w:r w:rsidR="00F373A3" w:rsidRPr="00181FCD">
        <w:t xml:space="preserve"> </w:t>
      </w:r>
      <w:r w:rsidRPr="00181FCD">
        <w:t>cabo</w:t>
      </w:r>
      <w:r w:rsidR="00F373A3" w:rsidRPr="00181FCD">
        <w:t xml:space="preserve"> </w:t>
      </w:r>
      <w:r w:rsidRPr="00181FCD">
        <w:t>un</w:t>
      </w:r>
      <w:r w:rsidR="00F373A3" w:rsidRPr="00181FCD">
        <w:t xml:space="preserve"> </w:t>
      </w:r>
      <w:r w:rsidRPr="00181FCD">
        <w:t>análisis</w:t>
      </w:r>
      <w:r w:rsidR="00F373A3" w:rsidRPr="00181FCD">
        <w:t xml:space="preserve"> </w:t>
      </w:r>
      <w:r w:rsidRPr="00181FCD">
        <w:t>exhaustivo</w:t>
      </w:r>
      <w:r w:rsidR="00F373A3" w:rsidRPr="00181FCD">
        <w:t xml:space="preserve"> </w:t>
      </w:r>
      <w:r w:rsidRPr="00181FCD">
        <w:t>de</w:t>
      </w:r>
      <w:r w:rsidR="00F373A3" w:rsidRPr="00181FCD">
        <w:t xml:space="preserve"> </w:t>
      </w:r>
      <w:r w:rsidRPr="00181FCD">
        <w:t>la</w:t>
      </w:r>
      <w:r w:rsidR="00F373A3" w:rsidRPr="00181FCD">
        <w:t xml:space="preserve"> </w:t>
      </w:r>
      <w:r w:rsidRPr="00181FCD">
        <w:t>armonización</w:t>
      </w:r>
      <w:r w:rsidR="00F373A3" w:rsidRPr="00181FCD">
        <w:t xml:space="preserve"> </w:t>
      </w:r>
      <w:r w:rsidRPr="00181FCD">
        <w:t>de</w:t>
      </w:r>
      <w:r w:rsidR="00F373A3" w:rsidRPr="00181FCD">
        <w:t xml:space="preserve"> </w:t>
      </w:r>
      <w:r w:rsidRPr="00181FCD">
        <w:t>la</w:t>
      </w:r>
      <w:r w:rsidR="00F373A3" w:rsidRPr="00181FCD">
        <w:t xml:space="preserve"> </w:t>
      </w:r>
      <w:r w:rsidRPr="00181FCD">
        <w:t>legislación</w:t>
      </w:r>
      <w:r w:rsidR="00F373A3" w:rsidRPr="00181FCD">
        <w:t xml:space="preserve"> </w:t>
      </w:r>
      <w:r w:rsidRPr="00181FCD">
        <w:t>búlgara</w:t>
      </w:r>
      <w:r w:rsidR="00F373A3" w:rsidRPr="00181FCD">
        <w:t xml:space="preserve"> </w:t>
      </w:r>
      <w:r w:rsidRPr="00181FCD">
        <w:t>con</w:t>
      </w:r>
      <w:r w:rsidR="00F373A3" w:rsidRPr="00181FCD">
        <w:t xml:space="preserve"> </w:t>
      </w:r>
      <w:r w:rsidRPr="00181FCD">
        <w:t>las</w:t>
      </w:r>
      <w:r w:rsidR="00F373A3" w:rsidRPr="00181FCD">
        <w:t xml:space="preserve"> </w:t>
      </w:r>
      <w:r w:rsidRPr="00181FCD">
        <w:t>disposiciones</w:t>
      </w:r>
      <w:r w:rsidR="00F373A3" w:rsidRPr="00181FCD">
        <w:t xml:space="preserve"> </w:t>
      </w:r>
      <w:r w:rsidRPr="00181FCD">
        <w:t>de</w:t>
      </w:r>
      <w:r w:rsidR="00F373A3" w:rsidRPr="00181FCD">
        <w:t xml:space="preserve"> </w:t>
      </w:r>
      <w:r w:rsidRPr="00181FCD">
        <w:t>la</w:t>
      </w:r>
      <w:r w:rsidR="00F373A3" w:rsidRPr="00181FCD">
        <w:t xml:space="preserve"> </w:t>
      </w:r>
      <w:r w:rsidRPr="00181FCD">
        <w:t>Convención</w:t>
      </w:r>
      <w:r w:rsidR="00F373A3" w:rsidRPr="00181FCD">
        <w:t xml:space="preserve"> </w:t>
      </w:r>
      <w:r w:rsidRPr="00181FCD">
        <w:t>contra</w:t>
      </w:r>
      <w:r w:rsidR="00F373A3" w:rsidRPr="00181FCD">
        <w:t xml:space="preserve"> </w:t>
      </w:r>
      <w:r w:rsidRPr="00181FCD">
        <w:t>la</w:t>
      </w:r>
      <w:r w:rsidR="00F373A3" w:rsidRPr="00181FCD">
        <w:t xml:space="preserve"> </w:t>
      </w:r>
      <w:r w:rsidRPr="00181FCD">
        <w:t>Tortura.</w:t>
      </w:r>
      <w:r w:rsidR="00F373A3" w:rsidRPr="00181FCD">
        <w:t xml:space="preserve"> </w:t>
      </w:r>
      <w:r w:rsidRPr="00181FCD">
        <w:t>Se</w:t>
      </w:r>
      <w:r w:rsidR="00F373A3" w:rsidRPr="00181FCD">
        <w:t xml:space="preserve"> </w:t>
      </w:r>
      <w:r w:rsidRPr="00181FCD">
        <w:t>examinará</w:t>
      </w:r>
      <w:r w:rsidR="00F373A3" w:rsidRPr="00181FCD">
        <w:t xml:space="preserve"> </w:t>
      </w:r>
      <w:r w:rsidRPr="00181FCD">
        <w:t>la</w:t>
      </w:r>
      <w:r w:rsidR="00F373A3" w:rsidRPr="00181FCD">
        <w:t xml:space="preserve"> </w:t>
      </w:r>
      <w:r w:rsidRPr="00181FCD">
        <w:t>cuestión</w:t>
      </w:r>
      <w:r w:rsidR="00F373A3" w:rsidRPr="00181FCD">
        <w:t xml:space="preserve"> </w:t>
      </w:r>
      <w:r w:rsidRPr="00181FCD">
        <w:t>de</w:t>
      </w:r>
      <w:r w:rsidR="00F373A3" w:rsidRPr="00181FCD">
        <w:t xml:space="preserve"> </w:t>
      </w:r>
      <w:r w:rsidRPr="00181FCD">
        <w:t>introducir</w:t>
      </w:r>
      <w:r w:rsidR="00F373A3" w:rsidRPr="00181FCD">
        <w:t xml:space="preserve"> </w:t>
      </w:r>
      <w:r w:rsidRPr="00181FCD">
        <w:t>en</w:t>
      </w:r>
      <w:r w:rsidR="00F373A3" w:rsidRPr="00181FCD">
        <w:t xml:space="preserve"> </w:t>
      </w:r>
      <w:r w:rsidRPr="00181FCD">
        <w:t>la</w:t>
      </w:r>
      <w:r w:rsidR="00F373A3" w:rsidRPr="00181FCD">
        <w:t xml:space="preserve"> </w:t>
      </w:r>
      <w:r w:rsidRPr="00181FCD">
        <w:t>legislación</w:t>
      </w:r>
      <w:r w:rsidR="00F373A3" w:rsidRPr="00181FCD">
        <w:t xml:space="preserve"> </w:t>
      </w:r>
      <w:r w:rsidRPr="00181FCD">
        <w:t>de</w:t>
      </w:r>
      <w:r w:rsidR="00F373A3" w:rsidRPr="00181FCD">
        <w:t xml:space="preserve"> </w:t>
      </w:r>
      <w:r w:rsidRPr="00181FCD">
        <w:t>Bulgaria</w:t>
      </w:r>
      <w:r w:rsidR="00F373A3" w:rsidRPr="00181FCD">
        <w:t xml:space="preserve"> </w:t>
      </w:r>
      <w:r w:rsidRPr="00181FCD">
        <w:t>medidas</w:t>
      </w:r>
      <w:r w:rsidR="00F373A3" w:rsidRPr="00181FCD">
        <w:t xml:space="preserve"> </w:t>
      </w:r>
      <w:r w:rsidRPr="00181FCD">
        <w:t>jurídicas</w:t>
      </w:r>
      <w:r w:rsidR="00F373A3" w:rsidRPr="00181FCD">
        <w:t xml:space="preserve"> </w:t>
      </w:r>
      <w:r w:rsidRPr="00181FCD">
        <w:t>que</w:t>
      </w:r>
      <w:r w:rsidR="00F373A3" w:rsidRPr="00181FCD">
        <w:t xml:space="preserve"> </w:t>
      </w:r>
      <w:r w:rsidRPr="00181FCD">
        <w:t>establezcan</w:t>
      </w:r>
      <w:r w:rsidR="00F373A3" w:rsidRPr="00181FCD">
        <w:t xml:space="preserve"> </w:t>
      </w:r>
      <w:r w:rsidRPr="00181FCD">
        <w:t>la</w:t>
      </w:r>
      <w:r w:rsidR="00F373A3" w:rsidRPr="00181FCD">
        <w:t xml:space="preserve"> </w:t>
      </w:r>
      <w:r w:rsidRPr="00181FCD">
        <w:t>jurisdicción</w:t>
      </w:r>
      <w:r w:rsidR="00F373A3" w:rsidRPr="00181FCD">
        <w:t xml:space="preserve"> </w:t>
      </w:r>
      <w:r w:rsidRPr="00181FCD">
        <w:t>para</w:t>
      </w:r>
      <w:r w:rsidR="00F373A3" w:rsidRPr="00181FCD">
        <w:t xml:space="preserve"> </w:t>
      </w:r>
      <w:r w:rsidRPr="00181FCD">
        <w:t>intervenir</w:t>
      </w:r>
      <w:r w:rsidR="00F373A3" w:rsidRPr="00181FCD">
        <w:t xml:space="preserve"> </w:t>
      </w:r>
      <w:r w:rsidRPr="00181FCD">
        <w:t>en</w:t>
      </w:r>
      <w:r w:rsidR="00F373A3" w:rsidRPr="00181FCD">
        <w:t xml:space="preserve"> </w:t>
      </w:r>
      <w:r w:rsidRPr="00181FCD">
        <w:t>los</w:t>
      </w:r>
      <w:r w:rsidR="00F373A3" w:rsidRPr="00181FCD">
        <w:t xml:space="preserve"> </w:t>
      </w:r>
      <w:r w:rsidRPr="00181FCD">
        <w:t>delitos</w:t>
      </w:r>
      <w:r w:rsidR="00F373A3" w:rsidRPr="00181FCD">
        <w:t xml:space="preserve"> </w:t>
      </w:r>
      <w:r w:rsidRPr="00181FCD">
        <w:t>mencionados</w:t>
      </w:r>
      <w:r w:rsidR="00F373A3" w:rsidRPr="00181FCD">
        <w:t xml:space="preserve"> </w:t>
      </w:r>
      <w:r w:rsidRPr="00181FCD">
        <w:t>en</w:t>
      </w:r>
      <w:r w:rsidR="00F373A3" w:rsidRPr="00181FCD">
        <w:t xml:space="preserve"> </w:t>
      </w:r>
      <w:r w:rsidRPr="00181FCD">
        <w:t>el</w:t>
      </w:r>
      <w:r w:rsidR="00F373A3" w:rsidRPr="00181FCD">
        <w:t xml:space="preserve"> </w:t>
      </w:r>
      <w:r w:rsidRPr="00181FCD">
        <w:t>artículo</w:t>
      </w:r>
      <w:r w:rsidR="00F373A3" w:rsidRPr="00181FCD">
        <w:t xml:space="preserve"> </w:t>
      </w:r>
      <w:r w:rsidRPr="00181FCD">
        <w:t>4</w:t>
      </w:r>
      <w:r w:rsidR="00F373A3" w:rsidRPr="00181FCD">
        <w:t xml:space="preserve"> </w:t>
      </w:r>
      <w:r w:rsidRPr="00181FCD">
        <w:t>de</w:t>
      </w:r>
      <w:r w:rsidR="00F373A3" w:rsidRPr="00181FCD">
        <w:t xml:space="preserve"> </w:t>
      </w:r>
      <w:r w:rsidRPr="00181FCD">
        <w:t>la</w:t>
      </w:r>
      <w:r w:rsidR="00F373A3" w:rsidRPr="00181FCD">
        <w:t xml:space="preserve"> </w:t>
      </w:r>
      <w:r w:rsidRPr="00181FCD">
        <w:t>Convención</w:t>
      </w:r>
      <w:r w:rsidR="00F373A3" w:rsidRPr="00181FCD">
        <w:t xml:space="preserve"> </w:t>
      </w:r>
      <w:r w:rsidRPr="00181FCD">
        <w:t>respecto</w:t>
      </w:r>
      <w:r w:rsidR="00F373A3" w:rsidRPr="00181FCD">
        <w:t xml:space="preserve"> </w:t>
      </w:r>
      <w:r w:rsidRPr="00181FCD">
        <w:t>de</w:t>
      </w:r>
      <w:r w:rsidR="00F373A3" w:rsidRPr="00181FCD">
        <w:t xml:space="preserve"> </w:t>
      </w:r>
      <w:r w:rsidRPr="00181FCD">
        <w:t>todos</w:t>
      </w:r>
      <w:r w:rsidR="00F373A3" w:rsidRPr="00181FCD">
        <w:t xml:space="preserve"> </w:t>
      </w:r>
      <w:r w:rsidRPr="00181FCD">
        <w:t>los</w:t>
      </w:r>
      <w:r w:rsidR="00F373A3" w:rsidRPr="00181FCD">
        <w:t xml:space="preserve"> </w:t>
      </w:r>
      <w:r w:rsidRPr="00181FCD">
        <w:t>actos</w:t>
      </w:r>
      <w:r w:rsidR="00F373A3" w:rsidRPr="00181FCD">
        <w:t xml:space="preserve"> </w:t>
      </w:r>
      <w:r w:rsidRPr="00181FCD">
        <w:t>de</w:t>
      </w:r>
      <w:r w:rsidR="00F373A3" w:rsidRPr="00181FCD">
        <w:t xml:space="preserve"> </w:t>
      </w:r>
      <w:r w:rsidRPr="00181FCD">
        <w:t>tortura,</w:t>
      </w:r>
      <w:r w:rsidR="00F373A3" w:rsidRPr="00181FCD">
        <w:t xml:space="preserve"> </w:t>
      </w:r>
      <w:r w:rsidRPr="00181FCD">
        <w:t>y</w:t>
      </w:r>
      <w:r w:rsidR="00F373A3" w:rsidRPr="00181FCD">
        <w:t xml:space="preserve"> </w:t>
      </w:r>
      <w:r w:rsidRPr="00181FCD">
        <w:t>no</w:t>
      </w:r>
      <w:r w:rsidR="00F373A3" w:rsidRPr="00181FCD">
        <w:t xml:space="preserve"> </w:t>
      </w:r>
      <w:r w:rsidRPr="00181FCD">
        <w:t>solo</w:t>
      </w:r>
      <w:r w:rsidR="00F373A3" w:rsidRPr="00181FCD">
        <w:t xml:space="preserve"> </w:t>
      </w:r>
      <w:r w:rsidRPr="00181FCD">
        <w:t>de</w:t>
      </w:r>
      <w:r w:rsidR="00F373A3" w:rsidRPr="00181FCD">
        <w:t xml:space="preserve"> </w:t>
      </w:r>
      <w:r w:rsidRPr="00181FCD">
        <w:t>los</w:t>
      </w:r>
      <w:r w:rsidR="00F373A3" w:rsidRPr="00181FCD">
        <w:t xml:space="preserve"> </w:t>
      </w:r>
      <w:r w:rsidRPr="00181FCD">
        <w:t>que</w:t>
      </w:r>
      <w:r w:rsidR="00F373A3" w:rsidRPr="00181FCD">
        <w:t xml:space="preserve"> </w:t>
      </w:r>
      <w:r w:rsidRPr="00181FCD">
        <w:t>constituyen</w:t>
      </w:r>
      <w:r w:rsidR="00F373A3" w:rsidRPr="00181FCD">
        <w:t xml:space="preserve"> </w:t>
      </w:r>
      <w:r w:rsidRPr="00181FCD">
        <w:t>crímenes</w:t>
      </w:r>
      <w:r w:rsidR="00F373A3" w:rsidRPr="00181FCD">
        <w:t xml:space="preserve"> </w:t>
      </w:r>
      <w:r w:rsidRPr="00181FCD">
        <w:t>de</w:t>
      </w:r>
      <w:r w:rsidR="00F373A3" w:rsidRPr="00181FCD">
        <w:t xml:space="preserve"> </w:t>
      </w:r>
      <w:r w:rsidRPr="00181FCD">
        <w:t>guerra.</w:t>
      </w:r>
    </w:p>
    <w:p w:rsidR="001937F4" w:rsidRPr="00181FCD" w:rsidRDefault="00BE74A7" w:rsidP="00BE74A7">
      <w:pPr>
        <w:pStyle w:val="H1G"/>
      </w:pPr>
      <w:r w:rsidRPr="00181FCD">
        <w:tab/>
      </w:r>
      <w:r w:rsidRPr="00181FCD">
        <w:tab/>
      </w:r>
      <w:r w:rsidR="001937F4" w:rsidRPr="00181FCD">
        <w:t>Artículo</w:t>
      </w:r>
      <w:r w:rsidR="00F373A3" w:rsidRPr="00181FCD">
        <w:t xml:space="preserve"> </w:t>
      </w:r>
      <w:r w:rsidR="001937F4" w:rsidRPr="00181FCD">
        <w:t>10</w:t>
      </w:r>
    </w:p>
    <w:p w:rsidR="001937F4" w:rsidRPr="00181FCD" w:rsidRDefault="00BE74A7" w:rsidP="00BE74A7">
      <w:pPr>
        <w:pStyle w:val="H23G"/>
      </w:pPr>
      <w:r w:rsidRPr="00181FCD">
        <w:tab/>
      </w:r>
      <w:r w:rsidRPr="00181FCD">
        <w:tab/>
      </w:r>
      <w:r w:rsidR="001937F4" w:rsidRPr="00181FCD">
        <w:t>Respuesta</w:t>
      </w:r>
      <w:r w:rsidR="00F373A3" w:rsidRPr="00181FCD">
        <w:t xml:space="preserve"> </w:t>
      </w:r>
      <w:r w:rsidR="001937F4" w:rsidRPr="00181FCD">
        <w:t>a</w:t>
      </w:r>
      <w:r w:rsidR="00F373A3" w:rsidRPr="00181FCD">
        <w:t xml:space="preserve"> </w:t>
      </w:r>
      <w:r w:rsidR="001937F4" w:rsidRPr="00181FCD">
        <w:t>las</w:t>
      </w:r>
      <w:r w:rsidR="00F373A3" w:rsidRPr="00181FCD">
        <w:t xml:space="preserve"> </w:t>
      </w:r>
      <w:r w:rsidR="001937F4" w:rsidRPr="00181FCD">
        <w:t>cuestiones</w:t>
      </w:r>
      <w:r w:rsidR="00F373A3" w:rsidRPr="00181FCD">
        <w:t xml:space="preserve"> </w:t>
      </w:r>
      <w:r w:rsidR="001937F4" w:rsidRPr="00181FCD">
        <w:t>planteadas</w:t>
      </w:r>
      <w:r w:rsidR="00F373A3" w:rsidRPr="00181FCD">
        <w:t xml:space="preserve"> </w:t>
      </w:r>
      <w:r w:rsidR="001937F4" w:rsidRPr="00181FCD">
        <w:t>en</w:t>
      </w:r>
      <w:r w:rsidR="00F373A3" w:rsidRPr="00181FCD">
        <w:t xml:space="preserve"> </w:t>
      </w:r>
      <w:r w:rsidR="001937F4" w:rsidRPr="00181FCD">
        <w:t>el</w:t>
      </w:r>
      <w:r w:rsidR="00F373A3" w:rsidRPr="00181FCD">
        <w:t xml:space="preserve"> </w:t>
      </w:r>
      <w:r w:rsidR="001937F4" w:rsidRPr="00181FCD">
        <w:t>párrafo</w:t>
      </w:r>
      <w:r w:rsidR="00F373A3" w:rsidRPr="00181FCD">
        <w:t xml:space="preserve"> </w:t>
      </w:r>
      <w:r w:rsidR="001937F4" w:rsidRPr="00181FCD">
        <w:t>16</w:t>
      </w:r>
      <w:r w:rsidR="00F373A3" w:rsidRPr="00181FCD">
        <w:t xml:space="preserve"> </w:t>
      </w:r>
      <w:r w:rsidR="001937F4" w:rsidRPr="00181FCD">
        <w:t>de</w:t>
      </w:r>
      <w:r w:rsidR="00F373A3" w:rsidRPr="00181FCD">
        <w:t xml:space="preserve"> </w:t>
      </w:r>
      <w:r w:rsidR="001937F4" w:rsidRPr="00181FCD">
        <w:t>la</w:t>
      </w:r>
      <w:r w:rsidR="00F373A3" w:rsidRPr="00181FCD">
        <w:t xml:space="preserve"> </w:t>
      </w:r>
      <w:r w:rsidR="001937F4" w:rsidRPr="00181FCD">
        <w:t>lista</w:t>
      </w:r>
      <w:r w:rsidR="00F373A3" w:rsidRPr="00181FCD">
        <w:t xml:space="preserve"> </w:t>
      </w:r>
      <w:r w:rsidR="001937F4" w:rsidRPr="00181FCD">
        <w:t>de</w:t>
      </w:r>
      <w:r w:rsidR="00F373A3" w:rsidRPr="00181FCD">
        <w:t xml:space="preserve"> </w:t>
      </w:r>
      <w:r w:rsidR="001937F4" w:rsidRPr="00181FCD">
        <w:t>cuestiones</w:t>
      </w:r>
    </w:p>
    <w:p w:rsidR="001937F4" w:rsidRPr="00181FCD" w:rsidRDefault="001937F4" w:rsidP="00347B20">
      <w:pPr>
        <w:pStyle w:val="SingleTxtG"/>
        <w:suppressAutoHyphens/>
      </w:pPr>
      <w:r w:rsidRPr="00181FCD">
        <w:t>144.</w:t>
      </w:r>
      <w:r w:rsidRPr="00181FCD">
        <w:tab/>
        <w:t>Desde</w:t>
      </w:r>
      <w:r w:rsidR="00F373A3" w:rsidRPr="00181FCD">
        <w:t xml:space="preserve"> </w:t>
      </w:r>
      <w:r w:rsidRPr="00181FCD">
        <w:t>principios</w:t>
      </w:r>
      <w:r w:rsidR="00F373A3" w:rsidRPr="00181FCD">
        <w:t xml:space="preserve"> </w:t>
      </w:r>
      <w:r w:rsidRPr="00181FCD">
        <w:t>de</w:t>
      </w:r>
      <w:r w:rsidR="00F373A3" w:rsidRPr="00181FCD">
        <w:t xml:space="preserve"> </w:t>
      </w:r>
      <w:r w:rsidRPr="00181FCD">
        <w:t>2015</w:t>
      </w:r>
      <w:r w:rsidR="00F373A3" w:rsidRPr="00181FCD">
        <w:t xml:space="preserve"> </w:t>
      </w:r>
      <w:r w:rsidRPr="00181FCD">
        <w:t>se</w:t>
      </w:r>
      <w:r w:rsidR="00F373A3" w:rsidRPr="00181FCD">
        <w:t xml:space="preserve"> </w:t>
      </w:r>
      <w:r w:rsidRPr="00181FCD">
        <w:t>revisado</w:t>
      </w:r>
      <w:r w:rsidR="00F373A3" w:rsidRPr="00181FCD">
        <w:t xml:space="preserve"> </w:t>
      </w:r>
      <w:r w:rsidRPr="00181FCD">
        <w:t>de</w:t>
      </w:r>
      <w:r w:rsidR="00F373A3" w:rsidRPr="00181FCD">
        <w:t xml:space="preserve"> </w:t>
      </w:r>
      <w:r w:rsidRPr="00181FCD">
        <w:t>forma</w:t>
      </w:r>
      <w:r w:rsidR="00F373A3" w:rsidRPr="00181FCD">
        <w:t xml:space="preserve"> </w:t>
      </w:r>
      <w:r w:rsidRPr="00181FCD">
        <w:t>sustancial</w:t>
      </w:r>
      <w:r w:rsidR="00F373A3" w:rsidRPr="00181FCD">
        <w:t xml:space="preserve"> </w:t>
      </w:r>
      <w:r w:rsidRPr="00181FCD">
        <w:t>el</w:t>
      </w:r>
      <w:r w:rsidR="00F373A3" w:rsidRPr="00181FCD">
        <w:t xml:space="preserve"> </w:t>
      </w:r>
      <w:r w:rsidRPr="00181FCD">
        <w:t>contenido</w:t>
      </w:r>
      <w:r w:rsidR="00F373A3" w:rsidRPr="00181FCD">
        <w:t xml:space="preserve"> </w:t>
      </w:r>
      <w:r w:rsidRPr="00181FCD">
        <w:t>educativo</w:t>
      </w:r>
      <w:r w:rsidR="00F373A3" w:rsidRPr="00181FCD">
        <w:t xml:space="preserve"> </w:t>
      </w:r>
      <w:r w:rsidRPr="00181FCD">
        <w:t>del</w:t>
      </w:r>
      <w:r w:rsidR="00F373A3" w:rsidRPr="00181FCD">
        <w:t xml:space="preserve"> </w:t>
      </w:r>
      <w:r w:rsidRPr="00181FCD">
        <w:t>programa</w:t>
      </w:r>
      <w:r w:rsidR="00F373A3" w:rsidRPr="00181FCD">
        <w:t xml:space="preserve"> </w:t>
      </w:r>
      <w:r w:rsidRPr="00181FCD">
        <w:t>de</w:t>
      </w:r>
      <w:r w:rsidR="00F373A3" w:rsidRPr="00181FCD">
        <w:t xml:space="preserve"> </w:t>
      </w:r>
      <w:r w:rsidRPr="00181FCD">
        <w:t>formación</w:t>
      </w:r>
      <w:r w:rsidR="00F373A3" w:rsidRPr="00181FCD">
        <w:t xml:space="preserve"> </w:t>
      </w:r>
      <w:r w:rsidRPr="00181FCD">
        <w:t>profesional</w:t>
      </w:r>
      <w:r w:rsidR="00F373A3" w:rsidRPr="00181FCD">
        <w:t xml:space="preserve"> </w:t>
      </w:r>
      <w:r w:rsidRPr="00181FCD">
        <w:t>inicial</w:t>
      </w:r>
      <w:r w:rsidR="00F373A3" w:rsidRPr="00181FCD">
        <w:t xml:space="preserve"> </w:t>
      </w:r>
      <w:r w:rsidRPr="00181FCD">
        <w:t>para</w:t>
      </w:r>
      <w:r w:rsidR="00F373A3" w:rsidRPr="00181FCD">
        <w:t xml:space="preserve"> </w:t>
      </w:r>
      <w:r w:rsidRPr="00181FCD">
        <w:t>el</w:t>
      </w:r>
      <w:r w:rsidR="00F373A3" w:rsidRPr="00181FCD">
        <w:t xml:space="preserve"> </w:t>
      </w:r>
      <w:r w:rsidRPr="00181FCD">
        <w:t>personal</w:t>
      </w:r>
      <w:r w:rsidR="00F373A3" w:rsidRPr="00181FCD">
        <w:t xml:space="preserve"> </w:t>
      </w:r>
      <w:r w:rsidRPr="00181FCD">
        <w:t>penitenciario,</w:t>
      </w:r>
      <w:r w:rsidR="00F373A3" w:rsidRPr="00181FCD">
        <w:t xml:space="preserve"> </w:t>
      </w:r>
      <w:r w:rsidRPr="00181FCD">
        <w:t>en</w:t>
      </w:r>
      <w:r w:rsidR="00F373A3" w:rsidRPr="00181FCD">
        <w:t xml:space="preserve"> </w:t>
      </w:r>
      <w:r w:rsidRPr="00181FCD">
        <w:t>atención</w:t>
      </w:r>
      <w:r w:rsidR="00F373A3" w:rsidRPr="00181FCD">
        <w:t xml:space="preserve"> </w:t>
      </w:r>
      <w:r w:rsidRPr="00181FCD">
        <w:t>a</w:t>
      </w:r>
      <w:r w:rsidR="00F373A3" w:rsidRPr="00181FCD">
        <w:t xml:space="preserve"> </w:t>
      </w:r>
      <w:r w:rsidRPr="00181FCD">
        <w:t>las</w:t>
      </w:r>
      <w:r w:rsidR="00F373A3" w:rsidRPr="00181FCD">
        <w:t xml:space="preserve"> </w:t>
      </w:r>
      <w:r w:rsidRPr="00181FCD">
        <w:t>recomendaciones</w:t>
      </w:r>
      <w:r w:rsidR="00F373A3" w:rsidRPr="00181FCD">
        <w:t xml:space="preserve"> </w:t>
      </w:r>
      <w:r w:rsidRPr="00181FCD">
        <w:t>formuladas</w:t>
      </w:r>
      <w:r w:rsidR="00F373A3" w:rsidRPr="00181FCD">
        <w:t xml:space="preserve"> </w:t>
      </w:r>
      <w:r w:rsidRPr="00181FCD">
        <w:t>en</w:t>
      </w:r>
      <w:r w:rsidR="00F373A3" w:rsidRPr="00181FCD">
        <w:t xml:space="preserve"> </w:t>
      </w:r>
      <w:r w:rsidRPr="00181FCD">
        <w:t>los</w:t>
      </w:r>
      <w:r w:rsidR="00F373A3" w:rsidRPr="00181FCD">
        <w:t xml:space="preserve"> </w:t>
      </w:r>
      <w:r w:rsidRPr="00181FCD">
        <w:t>últimos</w:t>
      </w:r>
      <w:r w:rsidR="00F373A3" w:rsidRPr="00181FCD">
        <w:t xml:space="preserve"> </w:t>
      </w:r>
      <w:r w:rsidRPr="00181FCD">
        <w:t>informes</w:t>
      </w:r>
      <w:r w:rsidR="00F373A3" w:rsidRPr="00181FCD">
        <w:t xml:space="preserve"> </w:t>
      </w:r>
      <w:r w:rsidRPr="00181FCD">
        <w:t>del</w:t>
      </w:r>
      <w:r w:rsidR="00F373A3" w:rsidRPr="00181FCD">
        <w:t xml:space="preserve"> </w:t>
      </w:r>
      <w:r w:rsidRPr="00181FCD">
        <w:t>Comité</w:t>
      </w:r>
      <w:r w:rsidR="00F373A3" w:rsidRPr="00181FCD">
        <w:t xml:space="preserve"> </w:t>
      </w:r>
      <w:r w:rsidRPr="00181FCD">
        <w:t>contra</w:t>
      </w:r>
      <w:r w:rsidR="00F373A3" w:rsidRPr="00181FCD">
        <w:t xml:space="preserve"> </w:t>
      </w:r>
      <w:r w:rsidRPr="00181FCD">
        <w:t>la</w:t>
      </w:r>
      <w:r w:rsidR="00F373A3" w:rsidRPr="00181FCD">
        <w:t xml:space="preserve"> </w:t>
      </w:r>
      <w:r w:rsidRPr="00181FCD">
        <w:t>Tortura.</w:t>
      </w:r>
    </w:p>
    <w:p w:rsidR="001937F4" w:rsidRPr="00181FCD" w:rsidRDefault="001937F4" w:rsidP="00347B20">
      <w:pPr>
        <w:pStyle w:val="SingleTxtG"/>
        <w:suppressAutoHyphens/>
      </w:pPr>
      <w:r w:rsidRPr="00181FCD">
        <w:t>145.</w:t>
      </w:r>
      <w:r w:rsidRPr="00181FCD">
        <w:tab/>
        <w:t>Se</w:t>
      </w:r>
      <w:r w:rsidR="00F373A3" w:rsidRPr="00181FCD">
        <w:t xml:space="preserve"> </w:t>
      </w:r>
      <w:r w:rsidRPr="00181FCD">
        <w:t>ha</w:t>
      </w:r>
      <w:r w:rsidR="00F373A3" w:rsidRPr="00181FCD">
        <w:t xml:space="preserve"> </w:t>
      </w:r>
      <w:r w:rsidRPr="00181FCD">
        <w:t>introducido</w:t>
      </w:r>
      <w:r w:rsidR="00F373A3" w:rsidRPr="00181FCD">
        <w:t xml:space="preserve"> </w:t>
      </w:r>
      <w:r w:rsidRPr="00181FCD">
        <w:t>un</w:t>
      </w:r>
      <w:r w:rsidR="00F373A3" w:rsidRPr="00181FCD">
        <w:t xml:space="preserve"> </w:t>
      </w:r>
      <w:r w:rsidRPr="00181FCD">
        <w:t>módulo</w:t>
      </w:r>
      <w:r w:rsidR="00F373A3" w:rsidRPr="00181FCD">
        <w:t xml:space="preserve"> </w:t>
      </w:r>
      <w:r w:rsidRPr="00181FCD">
        <w:t>separado</w:t>
      </w:r>
      <w:r w:rsidR="00F373A3" w:rsidRPr="00181FCD">
        <w:t xml:space="preserve"> </w:t>
      </w:r>
      <w:r w:rsidRPr="00181FCD">
        <w:t>de</w:t>
      </w:r>
      <w:r w:rsidR="00F373A3" w:rsidRPr="00181FCD">
        <w:t xml:space="preserve"> </w:t>
      </w:r>
      <w:r w:rsidRPr="00181FCD">
        <w:t>capacitación</w:t>
      </w:r>
      <w:r w:rsidR="00F373A3" w:rsidRPr="00181FCD">
        <w:t xml:space="preserve"> </w:t>
      </w:r>
      <w:r w:rsidRPr="00181FCD">
        <w:t>en</w:t>
      </w:r>
      <w:r w:rsidR="00F373A3" w:rsidRPr="00181FCD">
        <w:t xml:space="preserve"> </w:t>
      </w:r>
      <w:r w:rsidRPr="00181FCD">
        <w:t>derechos</w:t>
      </w:r>
      <w:r w:rsidR="00F373A3" w:rsidRPr="00181FCD">
        <w:t xml:space="preserve"> </w:t>
      </w:r>
      <w:r w:rsidRPr="00181FCD">
        <w:t>humanos,</w:t>
      </w:r>
      <w:r w:rsidR="00F373A3" w:rsidRPr="00181FCD">
        <w:t xml:space="preserve"> </w:t>
      </w:r>
      <w:r w:rsidRPr="00181FCD">
        <w:t>que</w:t>
      </w:r>
      <w:r w:rsidR="00F373A3" w:rsidRPr="00181FCD">
        <w:t xml:space="preserve"> </w:t>
      </w:r>
      <w:r w:rsidRPr="00181FCD">
        <w:t>consta</w:t>
      </w:r>
      <w:r w:rsidR="00F373A3" w:rsidRPr="00181FCD">
        <w:t xml:space="preserve"> </w:t>
      </w:r>
      <w:r w:rsidRPr="00181FCD">
        <w:t>de</w:t>
      </w:r>
      <w:r w:rsidR="00F373A3" w:rsidRPr="00181FCD">
        <w:t xml:space="preserve"> </w:t>
      </w:r>
      <w:r w:rsidRPr="00181FCD">
        <w:t>16</w:t>
      </w:r>
      <w:r w:rsidR="00F373A3" w:rsidRPr="00181FCD">
        <w:t xml:space="preserve"> </w:t>
      </w:r>
      <w:r w:rsidRPr="00181FCD">
        <w:t>horas</w:t>
      </w:r>
      <w:r w:rsidR="00F373A3" w:rsidRPr="00181FCD">
        <w:t xml:space="preserve"> </w:t>
      </w:r>
      <w:r w:rsidRPr="00181FCD">
        <w:t>de</w:t>
      </w:r>
      <w:r w:rsidR="00F373A3" w:rsidRPr="00181FCD">
        <w:t xml:space="preserve"> </w:t>
      </w:r>
      <w:r w:rsidRPr="00181FCD">
        <w:t>formación.</w:t>
      </w:r>
      <w:r w:rsidR="00F373A3" w:rsidRPr="00181FCD">
        <w:t xml:space="preserve"> </w:t>
      </w:r>
      <w:r w:rsidRPr="00181FCD">
        <w:t>En</w:t>
      </w:r>
      <w:r w:rsidR="00F373A3" w:rsidRPr="00181FCD">
        <w:t xml:space="preserve"> </w:t>
      </w:r>
      <w:r w:rsidRPr="00181FCD">
        <w:t>este</w:t>
      </w:r>
      <w:r w:rsidR="00F373A3" w:rsidRPr="00181FCD">
        <w:t xml:space="preserve"> </w:t>
      </w:r>
      <w:r w:rsidRPr="00181FCD">
        <w:t>módulo</w:t>
      </w:r>
      <w:r w:rsidR="00F373A3" w:rsidRPr="00181FCD">
        <w:t xml:space="preserve"> </w:t>
      </w:r>
      <w:r w:rsidRPr="00181FCD">
        <w:t>se</w:t>
      </w:r>
      <w:r w:rsidR="00F373A3" w:rsidRPr="00181FCD">
        <w:t xml:space="preserve"> </w:t>
      </w:r>
      <w:r w:rsidRPr="00181FCD">
        <w:t>destacan</w:t>
      </w:r>
      <w:r w:rsidR="00F373A3" w:rsidRPr="00181FCD">
        <w:t xml:space="preserve"> </w:t>
      </w:r>
      <w:r w:rsidRPr="00181FCD">
        <w:t>los</w:t>
      </w:r>
      <w:r w:rsidR="00F373A3" w:rsidRPr="00181FCD">
        <w:t xml:space="preserve"> </w:t>
      </w:r>
      <w:r w:rsidRPr="00181FCD">
        <w:t>instrumentos</w:t>
      </w:r>
      <w:r w:rsidR="00F373A3" w:rsidRPr="00181FCD">
        <w:t xml:space="preserve"> </w:t>
      </w:r>
      <w:r w:rsidRPr="00181FCD">
        <w:t>jurídicos</w:t>
      </w:r>
      <w:r w:rsidR="00F373A3" w:rsidRPr="00181FCD">
        <w:t xml:space="preserve"> </w:t>
      </w:r>
      <w:r w:rsidRPr="00181FCD">
        <w:t>internacionales</w:t>
      </w:r>
      <w:r w:rsidR="00F373A3" w:rsidRPr="00181FCD">
        <w:t xml:space="preserve"> </w:t>
      </w:r>
      <w:r w:rsidRPr="00181FCD">
        <w:t>que</w:t>
      </w:r>
      <w:r w:rsidR="00F373A3" w:rsidRPr="00181FCD">
        <w:t xml:space="preserve"> </w:t>
      </w:r>
      <w:r w:rsidRPr="00181FCD">
        <w:t>regulan</w:t>
      </w:r>
      <w:r w:rsidR="00F373A3" w:rsidRPr="00181FCD">
        <w:t xml:space="preserve"> </w:t>
      </w:r>
      <w:r w:rsidRPr="00181FCD">
        <w:t>los</w:t>
      </w:r>
      <w:r w:rsidR="00F373A3" w:rsidRPr="00181FCD">
        <w:t xml:space="preserve"> </w:t>
      </w:r>
      <w:r w:rsidRPr="00181FCD">
        <w:t>derechos</w:t>
      </w:r>
      <w:r w:rsidR="00F373A3" w:rsidRPr="00181FCD">
        <w:t xml:space="preserve"> </w:t>
      </w:r>
      <w:r w:rsidRPr="00181FCD">
        <w:t>humanos</w:t>
      </w:r>
      <w:r w:rsidR="00F373A3" w:rsidRPr="00181FCD">
        <w:t xml:space="preserve"> </w:t>
      </w:r>
      <w:r w:rsidRPr="00181FCD">
        <w:t>y</w:t>
      </w:r>
      <w:r w:rsidR="00F373A3" w:rsidRPr="00181FCD">
        <w:t xml:space="preserve"> </w:t>
      </w:r>
      <w:r w:rsidRPr="00181FCD">
        <w:t>la</w:t>
      </w:r>
      <w:r w:rsidR="00F373A3" w:rsidRPr="00181FCD">
        <w:t xml:space="preserve"> </w:t>
      </w:r>
      <w:r w:rsidRPr="00181FCD">
        <w:t>prohibición</w:t>
      </w:r>
      <w:r w:rsidR="00F373A3" w:rsidRPr="00181FCD">
        <w:t xml:space="preserve"> </w:t>
      </w:r>
      <w:r w:rsidRPr="00181FCD">
        <w:t>de</w:t>
      </w:r>
      <w:r w:rsidR="00F373A3" w:rsidRPr="00181FCD">
        <w:t xml:space="preserve"> </w:t>
      </w:r>
      <w:r w:rsidRPr="00181FCD">
        <w:t>la</w:t>
      </w:r>
      <w:r w:rsidR="00F373A3" w:rsidRPr="00181FCD">
        <w:t xml:space="preserve"> </w:t>
      </w:r>
      <w:r w:rsidRPr="00181FCD">
        <w:t>tortura.</w:t>
      </w:r>
      <w:r w:rsidR="00F373A3" w:rsidRPr="00181FCD">
        <w:t xml:space="preserve"> </w:t>
      </w:r>
      <w:r w:rsidRPr="00181FCD">
        <w:t>Se</w:t>
      </w:r>
      <w:r w:rsidR="00F373A3" w:rsidRPr="00181FCD">
        <w:t xml:space="preserve"> </w:t>
      </w:r>
      <w:r w:rsidRPr="00181FCD">
        <w:t>examinan</w:t>
      </w:r>
      <w:r w:rsidR="00F373A3" w:rsidRPr="00181FCD">
        <w:t xml:space="preserve"> </w:t>
      </w:r>
      <w:r w:rsidRPr="00181FCD">
        <w:t>en</w:t>
      </w:r>
      <w:r w:rsidR="00F373A3" w:rsidRPr="00181FCD">
        <w:t xml:space="preserve"> </w:t>
      </w:r>
      <w:r w:rsidRPr="00181FCD">
        <w:t>detalle</w:t>
      </w:r>
      <w:r w:rsidR="00F373A3" w:rsidRPr="00181FCD">
        <w:t xml:space="preserve"> </w:t>
      </w:r>
      <w:r w:rsidRPr="00181FCD">
        <w:t>el</w:t>
      </w:r>
      <w:r w:rsidR="00F373A3" w:rsidRPr="00181FCD">
        <w:t xml:space="preserve"> </w:t>
      </w:r>
      <w:r w:rsidRPr="00181FCD">
        <w:t>Convenio</w:t>
      </w:r>
      <w:r w:rsidR="00F373A3" w:rsidRPr="00181FCD">
        <w:t xml:space="preserve"> </w:t>
      </w:r>
      <w:r w:rsidRPr="00181FCD">
        <w:t>Europeo</w:t>
      </w:r>
      <w:r w:rsidR="00F373A3" w:rsidRPr="00181FCD">
        <w:t xml:space="preserve"> </w:t>
      </w:r>
      <w:r w:rsidRPr="00181FCD">
        <w:t>para</w:t>
      </w:r>
      <w:r w:rsidR="00F373A3" w:rsidRPr="00181FCD">
        <w:t xml:space="preserve"> </w:t>
      </w:r>
      <w:r w:rsidRPr="00181FCD">
        <w:t>la</w:t>
      </w:r>
      <w:r w:rsidR="00F373A3" w:rsidRPr="00181FCD">
        <w:t xml:space="preserve"> </w:t>
      </w:r>
      <w:r w:rsidRPr="00181FCD">
        <w:t>Protección</w:t>
      </w:r>
      <w:r w:rsidR="00F373A3" w:rsidRPr="00181FCD">
        <w:t xml:space="preserve"> </w:t>
      </w:r>
      <w:r w:rsidRPr="00181FCD">
        <w:t>de</w:t>
      </w:r>
      <w:r w:rsidR="00F373A3" w:rsidRPr="00181FCD">
        <w:t xml:space="preserve"> </w:t>
      </w:r>
      <w:r w:rsidRPr="00181FCD">
        <w:t>los</w:t>
      </w:r>
      <w:r w:rsidR="00F373A3" w:rsidRPr="00181FCD">
        <w:t xml:space="preserve"> </w:t>
      </w:r>
      <w:r w:rsidRPr="00181FCD">
        <w:t>Derechos</w:t>
      </w:r>
      <w:r w:rsidR="00F373A3" w:rsidRPr="00181FCD">
        <w:t xml:space="preserve"> </w:t>
      </w:r>
      <w:r w:rsidRPr="00181FCD">
        <w:t>Humanos</w:t>
      </w:r>
      <w:r w:rsidR="00F373A3" w:rsidRPr="00181FCD">
        <w:t xml:space="preserve"> </w:t>
      </w:r>
      <w:r w:rsidRPr="00181FCD">
        <w:t>y</w:t>
      </w:r>
      <w:r w:rsidR="00F373A3" w:rsidRPr="00181FCD">
        <w:t xml:space="preserve"> </w:t>
      </w:r>
      <w:r w:rsidRPr="00181FCD">
        <w:t>de</w:t>
      </w:r>
      <w:r w:rsidR="00F373A3" w:rsidRPr="00181FCD">
        <w:t xml:space="preserve"> </w:t>
      </w:r>
      <w:r w:rsidRPr="00181FCD">
        <w:t>las</w:t>
      </w:r>
      <w:r w:rsidR="00F373A3" w:rsidRPr="00181FCD">
        <w:t xml:space="preserve"> </w:t>
      </w:r>
      <w:r w:rsidRPr="00181FCD">
        <w:t>Libertades</w:t>
      </w:r>
      <w:r w:rsidR="00F373A3" w:rsidRPr="00181FCD">
        <w:t xml:space="preserve"> </w:t>
      </w:r>
      <w:r w:rsidRPr="00181FCD">
        <w:t>Fundamentales,</w:t>
      </w:r>
      <w:r w:rsidR="00F373A3" w:rsidRPr="00181FCD">
        <w:t xml:space="preserve"> </w:t>
      </w:r>
      <w:r w:rsidRPr="00181FCD">
        <w:t>así</w:t>
      </w:r>
      <w:r w:rsidR="00F373A3" w:rsidRPr="00181FCD">
        <w:t xml:space="preserve"> </w:t>
      </w:r>
      <w:r w:rsidRPr="00181FCD">
        <w:t>como</w:t>
      </w:r>
      <w:r w:rsidR="00F373A3" w:rsidRPr="00181FCD">
        <w:t xml:space="preserve"> </w:t>
      </w:r>
      <w:r w:rsidRPr="00181FCD">
        <w:t>el</w:t>
      </w:r>
      <w:r w:rsidR="00F373A3" w:rsidRPr="00181FCD">
        <w:t xml:space="preserve"> </w:t>
      </w:r>
      <w:r w:rsidRPr="00181FCD">
        <w:t>Convenio</w:t>
      </w:r>
      <w:r w:rsidR="00F373A3" w:rsidRPr="00181FCD">
        <w:t xml:space="preserve"> </w:t>
      </w:r>
      <w:r w:rsidRPr="00181FCD">
        <w:t>Europeo</w:t>
      </w:r>
      <w:r w:rsidR="00F373A3" w:rsidRPr="00181FCD">
        <w:t xml:space="preserve"> </w:t>
      </w:r>
      <w:r w:rsidRPr="00181FCD">
        <w:t>para</w:t>
      </w:r>
      <w:r w:rsidR="00F373A3" w:rsidRPr="00181FCD">
        <w:t xml:space="preserve"> </w:t>
      </w:r>
      <w:r w:rsidRPr="00181FCD">
        <w:t>la</w:t>
      </w:r>
      <w:r w:rsidR="00F373A3" w:rsidRPr="00181FCD">
        <w:t xml:space="preserve"> </w:t>
      </w:r>
      <w:r w:rsidRPr="00181FCD">
        <w:t>Prevención</w:t>
      </w:r>
      <w:r w:rsidR="00F373A3" w:rsidRPr="00181FCD">
        <w:t xml:space="preserve"> </w:t>
      </w:r>
      <w:r w:rsidRPr="00181FCD">
        <w:t>de</w:t>
      </w:r>
      <w:r w:rsidR="00F373A3" w:rsidRPr="00181FCD">
        <w:t xml:space="preserve"> </w:t>
      </w:r>
      <w:r w:rsidRPr="00181FCD">
        <w:t>la</w:t>
      </w:r>
      <w:r w:rsidR="00F373A3" w:rsidRPr="00181FCD">
        <w:t xml:space="preserve"> </w:t>
      </w:r>
      <w:r w:rsidRPr="00181FCD">
        <w:t>Tortura</w:t>
      </w:r>
      <w:r w:rsidR="00F373A3" w:rsidRPr="00181FCD">
        <w:t xml:space="preserve"> </w:t>
      </w:r>
      <w:r w:rsidRPr="00181FCD">
        <w:t>y</w:t>
      </w:r>
      <w:r w:rsidR="00F373A3" w:rsidRPr="00181FCD">
        <w:t xml:space="preserve"> </w:t>
      </w:r>
      <w:r w:rsidRPr="00181FCD">
        <w:t>otros</w:t>
      </w:r>
      <w:r w:rsidR="00F373A3" w:rsidRPr="00181FCD">
        <w:t xml:space="preserve"> </w:t>
      </w:r>
      <w:r w:rsidRPr="00181FCD">
        <w:t>Tratos</w:t>
      </w:r>
      <w:r w:rsidR="00F373A3" w:rsidRPr="00181FCD">
        <w:t xml:space="preserve"> </w:t>
      </w:r>
      <w:r w:rsidRPr="00181FCD">
        <w:t>Inhumanos</w:t>
      </w:r>
      <w:r w:rsidR="00F373A3" w:rsidRPr="00181FCD">
        <w:t xml:space="preserve"> </w:t>
      </w:r>
      <w:r w:rsidRPr="00181FCD">
        <w:t>o</w:t>
      </w:r>
      <w:r w:rsidR="00F373A3" w:rsidRPr="00181FCD">
        <w:t xml:space="preserve"> </w:t>
      </w:r>
      <w:r w:rsidRPr="00181FCD">
        <w:t>Degradantes.</w:t>
      </w:r>
    </w:p>
    <w:p w:rsidR="001937F4" w:rsidRPr="00181FCD" w:rsidRDefault="001937F4" w:rsidP="00347B20">
      <w:pPr>
        <w:pStyle w:val="SingleTxtG"/>
        <w:suppressAutoHyphens/>
      </w:pPr>
      <w:r w:rsidRPr="00181FCD">
        <w:t>146.</w:t>
      </w:r>
      <w:r w:rsidRPr="00181FCD">
        <w:tab/>
        <w:t>Tras</w:t>
      </w:r>
      <w:r w:rsidR="00F373A3" w:rsidRPr="00181FCD">
        <w:t xml:space="preserve"> </w:t>
      </w:r>
      <w:r w:rsidRPr="00181FCD">
        <w:t>sus</w:t>
      </w:r>
      <w:r w:rsidR="00F373A3" w:rsidRPr="00181FCD">
        <w:t xml:space="preserve"> </w:t>
      </w:r>
      <w:r w:rsidRPr="00181FCD">
        <w:t>visitas</w:t>
      </w:r>
      <w:r w:rsidR="00F373A3" w:rsidRPr="00181FCD">
        <w:t xml:space="preserve"> </w:t>
      </w:r>
      <w:r w:rsidRPr="00181FCD">
        <w:t>periódicas,</w:t>
      </w:r>
      <w:r w:rsidR="00F373A3" w:rsidRPr="00181FCD">
        <w:t xml:space="preserve"> </w:t>
      </w:r>
      <w:r w:rsidRPr="00181FCD">
        <w:t>el</w:t>
      </w:r>
      <w:r w:rsidR="00F373A3" w:rsidRPr="00181FCD">
        <w:t xml:space="preserve"> </w:t>
      </w:r>
      <w:r w:rsidRPr="00181FCD">
        <w:t>Comité</w:t>
      </w:r>
      <w:r w:rsidR="00F373A3" w:rsidRPr="00181FCD">
        <w:t xml:space="preserve"> </w:t>
      </w:r>
      <w:r w:rsidRPr="00181FCD">
        <w:t>Europeo</w:t>
      </w:r>
      <w:r w:rsidR="00F373A3" w:rsidRPr="00181FCD">
        <w:t xml:space="preserve"> </w:t>
      </w:r>
      <w:r w:rsidRPr="00181FCD">
        <w:t>para</w:t>
      </w:r>
      <w:r w:rsidR="00F373A3" w:rsidRPr="00181FCD">
        <w:t xml:space="preserve"> </w:t>
      </w:r>
      <w:r w:rsidRPr="00181FCD">
        <w:t>la</w:t>
      </w:r>
      <w:r w:rsidR="00F373A3" w:rsidRPr="00181FCD">
        <w:t xml:space="preserve"> </w:t>
      </w:r>
      <w:r w:rsidRPr="00181FCD">
        <w:t>Prevención</w:t>
      </w:r>
      <w:r w:rsidR="00F373A3" w:rsidRPr="00181FCD">
        <w:t xml:space="preserve"> </w:t>
      </w:r>
      <w:r w:rsidRPr="00181FCD">
        <w:t>de</w:t>
      </w:r>
      <w:r w:rsidR="00F373A3" w:rsidRPr="00181FCD">
        <w:t xml:space="preserve"> </w:t>
      </w:r>
      <w:r w:rsidRPr="00181FCD">
        <w:t>la</w:t>
      </w:r>
      <w:r w:rsidR="00F373A3" w:rsidRPr="00181FCD">
        <w:t xml:space="preserve"> </w:t>
      </w:r>
      <w:r w:rsidRPr="00181FCD">
        <w:t>Tortura</w:t>
      </w:r>
      <w:r w:rsidR="00F373A3" w:rsidRPr="00181FCD">
        <w:t xml:space="preserve"> </w:t>
      </w:r>
      <w:r w:rsidRPr="00181FCD">
        <w:t>refleja</w:t>
      </w:r>
      <w:r w:rsidR="00F373A3" w:rsidRPr="00181FCD">
        <w:t xml:space="preserve"> </w:t>
      </w:r>
      <w:r w:rsidRPr="00181FCD">
        <w:t>en</w:t>
      </w:r>
      <w:r w:rsidR="00F373A3" w:rsidRPr="00181FCD">
        <w:t xml:space="preserve"> </w:t>
      </w:r>
      <w:r w:rsidRPr="00181FCD">
        <w:t>sus</w:t>
      </w:r>
      <w:r w:rsidR="00F373A3" w:rsidRPr="00181FCD">
        <w:t xml:space="preserve"> </w:t>
      </w:r>
      <w:r w:rsidRPr="00181FCD">
        <w:t>informes</w:t>
      </w:r>
      <w:r w:rsidR="00F373A3" w:rsidRPr="00181FCD">
        <w:t xml:space="preserve"> </w:t>
      </w:r>
      <w:r w:rsidRPr="00181FCD">
        <w:t>algunos</w:t>
      </w:r>
      <w:r w:rsidR="00F373A3" w:rsidRPr="00181FCD">
        <w:t xml:space="preserve"> </w:t>
      </w:r>
      <w:r w:rsidRPr="00181FCD">
        <w:t>casos</w:t>
      </w:r>
      <w:r w:rsidR="00F373A3" w:rsidRPr="00181FCD">
        <w:t xml:space="preserve"> </w:t>
      </w:r>
      <w:r w:rsidRPr="00181FCD">
        <w:t>de</w:t>
      </w:r>
      <w:r w:rsidR="00F373A3" w:rsidRPr="00181FCD">
        <w:t xml:space="preserve"> </w:t>
      </w:r>
      <w:r w:rsidRPr="00181FCD">
        <w:t>uso</w:t>
      </w:r>
      <w:r w:rsidR="00F373A3" w:rsidRPr="00181FCD">
        <w:t xml:space="preserve"> </w:t>
      </w:r>
      <w:r w:rsidRPr="00181FCD">
        <w:t>ilegal</w:t>
      </w:r>
      <w:r w:rsidR="00F373A3" w:rsidRPr="00181FCD">
        <w:t xml:space="preserve"> </w:t>
      </w:r>
      <w:r w:rsidRPr="00181FCD">
        <w:t>de</w:t>
      </w:r>
      <w:r w:rsidR="00F373A3" w:rsidRPr="00181FCD">
        <w:t xml:space="preserve"> </w:t>
      </w:r>
      <w:r w:rsidRPr="00181FCD">
        <w:t>la</w:t>
      </w:r>
      <w:r w:rsidR="00F373A3" w:rsidRPr="00181FCD">
        <w:t xml:space="preserve"> </w:t>
      </w:r>
      <w:r w:rsidRPr="00181FCD">
        <w:t>fuerza</w:t>
      </w:r>
      <w:r w:rsidR="00F373A3" w:rsidRPr="00181FCD">
        <w:t xml:space="preserve"> </w:t>
      </w:r>
      <w:r w:rsidRPr="00181FCD">
        <w:t>física</w:t>
      </w:r>
      <w:r w:rsidR="00F373A3" w:rsidRPr="00181FCD">
        <w:t xml:space="preserve"> </w:t>
      </w:r>
      <w:r w:rsidRPr="00181FCD">
        <w:t>y</w:t>
      </w:r>
      <w:r w:rsidR="00F373A3" w:rsidRPr="00181FCD">
        <w:t xml:space="preserve"> </w:t>
      </w:r>
      <w:r w:rsidRPr="00181FCD">
        <w:t>dispositivos</w:t>
      </w:r>
      <w:r w:rsidR="00F373A3" w:rsidRPr="00181FCD">
        <w:t xml:space="preserve"> </w:t>
      </w:r>
      <w:r w:rsidRPr="00181FCD">
        <w:t>auxiliares</w:t>
      </w:r>
      <w:r w:rsidR="00F373A3" w:rsidRPr="00181FCD">
        <w:t xml:space="preserve"> </w:t>
      </w:r>
      <w:r w:rsidRPr="00181FCD">
        <w:t>por</w:t>
      </w:r>
      <w:r w:rsidR="00F373A3" w:rsidRPr="00181FCD">
        <w:t xml:space="preserve"> </w:t>
      </w:r>
      <w:r w:rsidRPr="00181FCD">
        <w:t>parte</w:t>
      </w:r>
      <w:r w:rsidR="00F373A3" w:rsidRPr="00181FCD">
        <w:t xml:space="preserve"> </w:t>
      </w:r>
      <w:r w:rsidRPr="00181FCD">
        <w:t>del</w:t>
      </w:r>
      <w:r w:rsidR="00F373A3" w:rsidRPr="00181FCD">
        <w:t xml:space="preserve"> </w:t>
      </w:r>
      <w:r w:rsidRPr="00181FCD">
        <w:t>personal</w:t>
      </w:r>
      <w:r w:rsidR="00F373A3" w:rsidRPr="00181FCD">
        <w:t xml:space="preserve"> </w:t>
      </w:r>
      <w:r w:rsidRPr="00181FCD">
        <w:t>de</w:t>
      </w:r>
      <w:r w:rsidR="00F373A3" w:rsidRPr="00181FCD">
        <w:t xml:space="preserve"> </w:t>
      </w:r>
      <w:r w:rsidRPr="00181FCD">
        <w:t>vigilancia</w:t>
      </w:r>
      <w:r w:rsidR="00F373A3" w:rsidRPr="00181FCD">
        <w:t xml:space="preserve"> </w:t>
      </w:r>
      <w:r w:rsidRPr="00181FCD">
        <w:t>y</w:t>
      </w:r>
      <w:r w:rsidR="00F373A3" w:rsidRPr="00181FCD">
        <w:t xml:space="preserve"> </w:t>
      </w:r>
      <w:r w:rsidRPr="00181FCD">
        <w:t>seguridad</w:t>
      </w:r>
      <w:r w:rsidR="00F373A3" w:rsidRPr="00181FCD">
        <w:t xml:space="preserve"> </w:t>
      </w:r>
      <w:r w:rsidRPr="00181FCD">
        <w:t>en</w:t>
      </w:r>
      <w:r w:rsidR="00F373A3" w:rsidRPr="00181FCD">
        <w:t xml:space="preserve"> </w:t>
      </w:r>
      <w:r w:rsidRPr="00181FCD">
        <w:t>su</w:t>
      </w:r>
      <w:r w:rsidR="00F373A3" w:rsidRPr="00181FCD">
        <w:t xml:space="preserve"> </w:t>
      </w:r>
      <w:r w:rsidRPr="00181FCD">
        <w:t>trato</w:t>
      </w:r>
      <w:r w:rsidR="00F373A3" w:rsidRPr="00181FCD">
        <w:t xml:space="preserve"> </w:t>
      </w:r>
      <w:r w:rsidRPr="00181FCD">
        <w:t>con</w:t>
      </w:r>
      <w:r w:rsidR="00F373A3" w:rsidRPr="00181FCD">
        <w:t xml:space="preserve"> </w:t>
      </w:r>
      <w:r w:rsidRPr="00181FCD">
        <w:t>los</w:t>
      </w:r>
      <w:r w:rsidR="00F373A3" w:rsidRPr="00181FCD">
        <w:t xml:space="preserve"> </w:t>
      </w:r>
      <w:r w:rsidRPr="00181FCD">
        <w:t>reclusos.</w:t>
      </w:r>
      <w:r w:rsidR="00F373A3" w:rsidRPr="00181FCD">
        <w:t xml:space="preserve"> </w:t>
      </w:r>
      <w:r w:rsidRPr="00181FCD">
        <w:t>Se</w:t>
      </w:r>
      <w:r w:rsidR="00F373A3" w:rsidRPr="00181FCD">
        <w:t xml:space="preserve"> </w:t>
      </w:r>
      <w:r w:rsidRPr="00181FCD">
        <w:t>ha</w:t>
      </w:r>
      <w:r w:rsidR="00F373A3" w:rsidRPr="00181FCD">
        <w:t xml:space="preserve"> </w:t>
      </w:r>
      <w:r w:rsidRPr="00181FCD">
        <w:t>reiterado</w:t>
      </w:r>
      <w:r w:rsidR="00F373A3" w:rsidRPr="00181FCD">
        <w:t xml:space="preserve"> </w:t>
      </w:r>
      <w:r w:rsidRPr="00181FCD">
        <w:t>en</w:t>
      </w:r>
      <w:r w:rsidR="00F373A3" w:rsidRPr="00181FCD">
        <w:t xml:space="preserve"> </w:t>
      </w:r>
      <w:r w:rsidRPr="00181FCD">
        <w:t>múltiples</w:t>
      </w:r>
      <w:r w:rsidR="00F373A3" w:rsidRPr="00181FCD">
        <w:t xml:space="preserve"> </w:t>
      </w:r>
      <w:r w:rsidRPr="00181FCD">
        <w:t>ocasiones</w:t>
      </w:r>
      <w:r w:rsidR="00F373A3" w:rsidRPr="00181FCD">
        <w:t xml:space="preserve"> </w:t>
      </w:r>
      <w:r w:rsidRPr="00181FCD">
        <w:t>que,</w:t>
      </w:r>
      <w:r w:rsidR="00F373A3" w:rsidRPr="00181FCD">
        <w:t xml:space="preserve"> </w:t>
      </w:r>
      <w:r w:rsidRPr="00181FCD">
        <w:t>de</w:t>
      </w:r>
      <w:r w:rsidR="00F373A3" w:rsidRPr="00181FCD">
        <w:t xml:space="preserve"> </w:t>
      </w:r>
      <w:r w:rsidRPr="00181FCD">
        <w:t>acuerdo</w:t>
      </w:r>
      <w:r w:rsidR="00F373A3" w:rsidRPr="00181FCD">
        <w:t xml:space="preserve"> </w:t>
      </w:r>
      <w:r w:rsidRPr="00181FCD">
        <w:t>con</w:t>
      </w:r>
      <w:r w:rsidR="00F373A3" w:rsidRPr="00181FCD">
        <w:t xml:space="preserve"> </w:t>
      </w:r>
      <w:r w:rsidRPr="00181FCD">
        <w:t>la</w:t>
      </w:r>
      <w:r w:rsidR="00F373A3" w:rsidRPr="00181FCD">
        <w:t xml:space="preserve"> </w:t>
      </w:r>
      <w:r w:rsidRPr="00181FCD">
        <w:t>legislación</w:t>
      </w:r>
      <w:r w:rsidR="00F373A3" w:rsidRPr="00181FCD">
        <w:t xml:space="preserve"> </w:t>
      </w:r>
      <w:r w:rsidRPr="00181FCD">
        <w:t>europea</w:t>
      </w:r>
      <w:r w:rsidR="00F373A3" w:rsidRPr="00181FCD">
        <w:t xml:space="preserve"> </w:t>
      </w:r>
      <w:r w:rsidRPr="00181FCD">
        <w:t>y</w:t>
      </w:r>
      <w:r w:rsidR="00F373A3" w:rsidRPr="00181FCD">
        <w:t xml:space="preserve"> </w:t>
      </w:r>
      <w:r w:rsidRPr="00181FCD">
        <w:t>búlgara,</w:t>
      </w:r>
      <w:r w:rsidR="00F373A3" w:rsidRPr="00181FCD">
        <w:t xml:space="preserve"> </w:t>
      </w:r>
      <w:r w:rsidRPr="00181FCD">
        <w:t>la</w:t>
      </w:r>
      <w:r w:rsidR="00F373A3" w:rsidRPr="00181FCD">
        <w:t xml:space="preserve"> </w:t>
      </w:r>
      <w:r w:rsidRPr="00181FCD">
        <w:t>pena</w:t>
      </w:r>
      <w:r w:rsidR="00F373A3" w:rsidRPr="00181FCD">
        <w:t xml:space="preserve"> </w:t>
      </w:r>
      <w:r w:rsidRPr="00181FCD">
        <w:t>y</w:t>
      </w:r>
      <w:r w:rsidR="00F373A3" w:rsidRPr="00181FCD">
        <w:t xml:space="preserve"> </w:t>
      </w:r>
      <w:r w:rsidRPr="00181FCD">
        <w:t>su</w:t>
      </w:r>
      <w:r w:rsidR="00F373A3" w:rsidRPr="00181FCD">
        <w:t xml:space="preserve"> </w:t>
      </w:r>
      <w:r w:rsidRPr="00181FCD">
        <w:t>ejecución</w:t>
      </w:r>
      <w:r w:rsidR="00F373A3" w:rsidRPr="00181FCD">
        <w:t xml:space="preserve"> </w:t>
      </w:r>
      <w:r w:rsidRPr="00181FCD">
        <w:t>no</w:t>
      </w:r>
      <w:r w:rsidR="00F373A3" w:rsidRPr="00181FCD">
        <w:t xml:space="preserve"> </w:t>
      </w:r>
      <w:r w:rsidRPr="00181FCD">
        <w:t>deben</w:t>
      </w:r>
      <w:r w:rsidR="00F373A3" w:rsidRPr="00181FCD">
        <w:t xml:space="preserve"> </w:t>
      </w:r>
      <w:r w:rsidRPr="00181FCD">
        <w:t>estar</w:t>
      </w:r>
      <w:r w:rsidR="00F373A3" w:rsidRPr="00181FCD">
        <w:t xml:space="preserve"> </w:t>
      </w:r>
      <w:r w:rsidRPr="00181FCD">
        <w:t>dirigidas</w:t>
      </w:r>
      <w:r w:rsidR="00F373A3" w:rsidRPr="00181FCD">
        <w:t xml:space="preserve"> </w:t>
      </w:r>
      <w:r w:rsidRPr="00181FCD">
        <w:t>a</w:t>
      </w:r>
      <w:r w:rsidR="00F373A3" w:rsidRPr="00181FCD">
        <w:t xml:space="preserve"> </w:t>
      </w:r>
      <w:r w:rsidRPr="00181FCD">
        <w:t>provocar</w:t>
      </w:r>
      <w:r w:rsidR="00F373A3" w:rsidRPr="00181FCD">
        <w:t xml:space="preserve"> </w:t>
      </w:r>
      <w:r w:rsidRPr="00181FCD">
        <w:t>sufrimiento</w:t>
      </w:r>
      <w:r w:rsidR="00F373A3" w:rsidRPr="00181FCD">
        <w:t xml:space="preserve"> </w:t>
      </w:r>
      <w:r w:rsidRPr="00181FCD">
        <w:t>físico</w:t>
      </w:r>
      <w:r w:rsidR="00F373A3" w:rsidRPr="00181FCD">
        <w:t xml:space="preserve"> </w:t>
      </w:r>
      <w:r w:rsidRPr="00181FCD">
        <w:t>u</w:t>
      </w:r>
      <w:r w:rsidR="00F373A3" w:rsidRPr="00181FCD">
        <w:t xml:space="preserve"> </w:t>
      </w:r>
      <w:r w:rsidRPr="00181FCD">
        <w:t>ofender</w:t>
      </w:r>
      <w:r w:rsidR="00F373A3" w:rsidRPr="00181FCD">
        <w:t xml:space="preserve"> </w:t>
      </w:r>
      <w:r w:rsidRPr="00181FCD">
        <w:t>la</w:t>
      </w:r>
      <w:r w:rsidR="00F373A3" w:rsidRPr="00181FCD">
        <w:t xml:space="preserve"> </w:t>
      </w:r>
      <w:r w:rsidRPr="00181FCD">
        <w:t>dignidad</w:t>
      </w:r>
      <w:r w:rsidR="00F373A3" w:rsidRPr="00181FCD">
        <w:t xml:space="preserve"> </w:t>
      </w:r>
      <w:r w:rsidRPr="00181FCD">
        <w:t>humana.</w:t>
      </w:r>
      <w:r w:rsidR="00F373A3" w:rsidRPr="00181FCD">
        <w:t xml:space="preserve"> </w:t>
      </w:r>
      <w:r w:rsidRPr="00181FCD">
        <w:t>En</w:t>
      </w:r>
      <w:r w:rsidR="00F373A3" w:rsidRPr="00181FCD">
        <w:t xml:space="preserve"> </w:t>
      </w:r>
      <w:r w:rsidRPr="00181FCD">
        <w:t>este</w:t>
      </w:r>
      <w:r w:rsidR="00F373A3" w:rsidRPr="00181FCD">
        <w:t xml:space="preserve"> </w:t>
      </w:r>
      <w:r w:rsidRPr="00181FCD">
        <w:t>sentido,</w:t>
      </w:r>
      <w:r w:rsidR="00F373A3" w:rsidRPr="00181FCD">
        <w:t xml:space="preserve"> </w:t>
      </w:r>
      <w:r w:rsidRPr="00181FCD">
        <w:t>se</w:t>
      </w:r>
      <w:r w:rsidR="00F373A3" w:rsidRPr="00181FCD">
        <w:t xml:space="preserve"> </w:t>
      </w:r>
      <w:r w:rsidRPr="00181FCD">
        <w:t>presentan</w:t>
      </w:r>
      <w:r w:rsidR="00F373A3" w:rsidRPr="00181FCD">
        <w:t xml:space="preserve"> </w:t>
      </w:r>
      <w:r w:rsidRPr="00181FCD">
        <w:t>casos</w:t>
      </w:r>
      <w:r w:rsidR="00F373A3" w:rsidRPr="00181FCD">
        <w:t xml:space="preserve"> </w:t>
      </w:r>
      <w:r w:rsidRPr="00181FCD">
        <w:t>reales</w:t>
      </w:r>
      <w:r w:rsidR="00F373A3" w:rsidRPr="00181FCD">
        <w:t xml:space="preserve"> </w:t>
      </w:r>
      <w:r w:rsidRPr="00181FCD">
        <w:t>extraídos</w:t>
      </w:r>
      <w:r w:rsidR="00F373A3" w:rsidRPr="00181FCD">
        <w:t xml:space="preserve"> </w:t>
      </w:r>
      <w:r w:rsidRPr="00181FCD">
        <w:t>de</w:t>
      </w:r>
      <w:r w:rsidR="00F373A3" w:rsidRPr="00181FCD">
        <w:t xml:space="preserve"> </w:t>
      </w:r>
      <w:r w:rsidRPr="00181FCD">
        <w:t>la</w:t>
      </w:r>
      <w:r w:rsidR="00F373A3" w:rsidRPr="00181FCD">
        <w:t xml:space="preserve"> </w:t>
      </w:r>
      <w:r w:rsidRPr="00181FCD">
        <w:t>práctica</w:t>
      </w:r>
      <w:r w:rsidR="00F373A3" w:rsidRPr="00181FCD">
        <w:t xml:space="preserve"> </w:t>
      </w:r>
      <w:r w:rsidRPr="00181FCD">
        <w:t>que</w:t>
      </w:r>
      <w:r w:rsidR="00F373A3" w:rsidRPr="00181FCD">
        <w:t xml:space="preserve"> </w:t>
      </w:r>
      <w:r w:rsidRPr="00181FCD">
        <w:t>deberán</w:t>
      </w:r>
      <w:r w:rsidR="00F373A3" w:rsidRPr="00181FCD">
        <w:t xml:space="preserve"> </w:t>
      </w:r>
      <w:r w:rsidRPr="00181FCD">
        <w:t>ser</w:t>
      </w:r>
      <w:r w:rsidR="00F373A3" w:rsidRPr="00181FCD">
        <w:t xml:space="preserve"> </w:t>
      </w:r>
      <w:r w:rsidRPr="00181FCD">
        <w:t>resueltos</w:t>
      </w:r>
      <w:r w:rsidR="00F373A3" w:rsidRPr="00181FCD">
        <w:t xml:space="preserve"> </w:t>
      </w:r>
      <w:r w:rsidRPr="00181FCD">
        <w:t>por</w:t>
      </w:r>
      <w:r w:rsidR="00F373A3" w:rsidRPr="00181FCD">
        <w:t xml:space="preserve"> </w:t>
      </w:r>
      <w:r w:rsidRPr="00181FCD">
        <w:t>los</w:t>
      </w:r>
      <w:r w:rsidR="00F373A3" w:rsidRPr="00181FCD">
        <w:t xml:space="preserve"> </w:t>
      </w:r>
      <w:r w:rsidRPr="00181FCD">
        <w:t>alumnos,</w:t>
      </w:r>
      <w:r w:rsidR="00F373A3" w:rsidRPr="00181FCD">
        <w:t xml:space="preserve"> </w:t>
      </w:r>
      <w:r w:rsidRPr="00181FCD">
        <w:t>para</w:t>
      </w:r>
      <w:r w:rsidR="00F373A3" w:rsidRPr="00181FCD">
        <w:t xml:space="preserve"> </w:t>
      </w:r>
      <w:r w:rsidRPr="00181FCD">
        <w:t>lo</w:t>
      </w:r>
      <w:r w:rsidR="00F373A3" w:rsidRPr="00181FCD">
        <w:t xml:space="preserve"> </w:t>
      </w:r>
      <w:r w:rsidRPr="00181FCD">
        <w:t>cual</w:t>
      </w:r>
      <w:r w:rsidR="00F373A3" w:rsidRPr="00181FCD">
        <w:t xml:space="preserve"> </w:t>
      </w:r>
      <w:r w:rsidRPr="00181FCD">
        <w:t>se</w:t>
      </w:r>
      <w:r w:rsidR="00F373A3" w:rsidRPr="00181FCD">
        <w:t xml:space="preserve"> </w:t>
      </w:r>
      <w:r w:rsidRPr="00181FCD">
        <w:t>verán</w:t>
      </w:r>
      <w:r w:rsidR="00F373A3" w:rsidRPr="00181FCD">
        <w:t xml:space="preserve"> </w:t>
      </w:r>
      <w:r w:rsidRPr="00181FCD">
        <w:t>obligados</w:t>
      </w:r>
      <w:r w:rsidR="00F373A3" w:rsidRPr="00181FCD">
        <w:t xml:space="preserve"> </w:t>
      </w:r>
      <w:r w:rsidRPr="00181FCD">
        <w:t>a</w:t>
      </w:r>
      <w:r w:rsidR="00F373A3" w:rsidRPr="00181FCD">
        <w:t xml:space="preserve"> </w:t>
      </w:r>
      <w:r w:rsidRPr="00181FCD">
        <w:t>tomar</w:t>
      </w:r>
      <w:r w:rsidR="00F373A3" w:rsidRPr="00181FCD">
        <w:t xml:space="preserve"> </w:t>
      </w:r>
      <w:r w:rsidRPr="00181FCD">
        <w:t>decisiones</w:t>
      </w:r>
      <w:r w:rsidR="00F373A3" w:rsidRPr="00181FCD">
        <w:t xml:space="preserve"> </w:t>
      </w:r>
      <w:r w:rsidRPr="00181FCD">
        <w:t>y</w:t>
      </w:r>
      <w:r w:rsidR="00F373A3" w:rsidRPr="00181FCD">
        <w:t xml:space="preserve"> </w:t>
      </w:r>
      <w:r w:rsidRPr="00181FCD">
        <w:t>reaccionar</w:t>
      </w:r>
      <w:r w:rsidR="00F373A3" w:rsidRPr="00181FCD">
        <w:t xml:space="preserve"> </w:t>
      </w:r>
      <w:r w:rsidRPr="00181FCD">
        <w:t>en</w:t>
      </w:r>
      <w:r w:rsidR="00F373A3" w:rsidRPr="00181FCD">
        <w:t xml:space="preserve"> </w:t>
      </w:r>
      <w:r w:rsidRPr="00181FCD">
        <w:t>diferentes</w:t>
      </w:r>
      <w:r w:rsidR="00F373A3" w:rsidRPr="00181FCD">
        <w:t xml:space="preserve"> </w:t>
      </w:r>
      <w:r w:rsidRPr="00181FCD">
        <w:t>situaciones,</w:t>
      </w:r>
      <w:r w:rsidR="00F373A3" w:rsidRPr="00181FCD">
        <w:t xml:space="preserve"> </w:t>
      </w:r>
      <w:r w:rsidRPr="00181FCD">
        <w:t>de</w:t>
      </w:r>
      <w:r w:rsidR="00F373A3" w:rsidRPr="00181FCD">
        <w:t xml:space="preserve"> </w:t>
      </w:r>
      <w:r w:rsidRPr="00181FCD">
        <w:t>preferencia</w:t>
      </w:r>
      <w:r w:rsidR="00F373A3" w:rsidRPr="00181FCD">
        <w:t xml:space="preserve"> </w:t>
      </w:r>
      <w:r w:rsidRPr="00181FCD">
        <w:t>sin</w:t>
      </w:r>
      <w:r w:rsidR="00F373A3" w:rsidRPr="00181FCD">
        <w:t xml:space="preserve"> </w:t>
      </w:r>
      <w:r w:rsidRPr="00181FCD">
        <w:t>usar</w:t>
      </w:r>
      <w:r w:rsidR="00F373A3" w:rsidRPr="00181FCD">
        <w:t xml:space="preserve"> </w:t>
      </w:r>
      <w:r w:rsidRPr="00181FCD">
        <w:t>la</w:t>
      </w:r>
      <w:r w:rsidR="00F373A3" w:rsidRPr="00181FCD">
        <w:t xml:space="preserve"> </w:t>
      </w:r>
      <w:r w:rsidRPr="00181FCD">
        <w:t>fuerza</w:t>
      </w:r>
      <w:r w:rsidR="00F373A3" w:rsidRPr="00181FCD">
        <w:t xml:space="preserve"> </w:t>
      </w:r>
      <w:r w:rsidRPr="00181FCD">
        <w:t>física.</w:t>
      </w:r>
    </w:p>
    <w:p w:rsidR="001937F4" w:rsidRPr="00181FCD" w:rsidRDefault="001937F4" w:rsidP="00347B20">
      <w:pPr>
        <w:pStyle w:val="SingleTxtG"/>
        <w:suppressAutoHyphens/>
      </w:pPr>
      <w:r w:rsidRPr="00181FCD">
        <w:t>147.</w:t>
      </w:r>
      <w:r w:rsidRPr="00181FCD">
        <w:tab/>
        <w:t>La</w:t>
      </w:r>
      <w:r w:rsidR="00F373A3" w:rsidRPr="00181FCD">
        <w:t xml:space="preserve"> </w:t>
      </w:r>
      <w:r w:rsidRPr="00181FCD">
        <w:t>eficacia</w:t>
      </w:r>
      <w:r w:rsidR="00F373A3" w:rsidRPr="00181FCD">
        <w:t xml:space="preserve"> </w:t>
      </w:r>
      <w:r w:rsidRPr="00181FCD">
        <w:t>de</w:t>
      </w:r>
      <w:r w:rsidR="00F373A3" w:rsidRPr="00181FCD">
        <w:t xml:space="preserve"> </w:t>
      </w:r>
      <w:r w:rsidRPr="00181FCD">
        <w:t>la</w:t>
      </w:r>
      <w:r w:rsidR="00F373A3" w:rsidRPr="00181FCD">
        <w:t xml:space="preserve"> </w:t>
      </w:r>
      <w:r w:rsidRPr="00181FCD">
        <w:t>formación</w:t>
      </w:r>
      <w:r w:rsidR="00F373A3" w:rsidRPr="00181FCD">
        <w:t xml:space="preserve"> </w:t>
      </w:r>
      <w:r w:rsidRPr="00181FCD">
        <w:t>se</w:t>
      </w:r>
      <w:r w:rsidR="00F373A3" w:rsidRPr="00181FCD">
        <w:t xml:space="preserve"> </w:t>
      </w:r>
      <w:r w:rsidRPr="00181FCD">
        <w:t>evalúa</w:t>
      </w:r>
      <w:r w:rsidR="00F373A3" w:rsidRPr="00181FCD">
        <w:t xml:space="preserve"> </w:t>
      </w:r>
      <w:r w:rsidRPr="00181FCD">
        <w:t>mediante</w:t>
      </w:r>
      <w:r w:rsidR="00F373A3" w:rsidRPr="00181FCD">
        <w:t xml:space="preserve"> </w:t>
      </w:r>
      <w:r w:rsidRPr="00181FCD">
        <w:t>un</w:t>
      </w:r>
      <w:r w:rsidR="00F373A3" w:rsidRPr="00181FCD">
        <w:t xml:space="preserve"> </w:t>
      </w:r>
      <w:r w:rsidRPr="00181FCD">
        <w:t>examen</w:t>
      </w:r>
      <w:r w:rsidR="00F373A3" w:rsidRPr="00181FCD">
        <w:t xml:space="preserve"> </w:t>
      </w:r>
      <w:r w:rsidRPr="00181FCD">
        <w:t>teórico</w:t>
      </w:r>
      <w:r w:rsidR="00F373A3" w:rsidRPr="00181FCD">
        <w:t xml:space="preserve"> </w:t>
      </w:r>
      <w:r w:rsidRPr="00181FCD">
        <w:t>y</w:t>
      </w:r>
      <w:r w:rsidR="00F373A3" w:rsidRPr="00181FCD">
        <w:t xml:space="preserve"> </w:t>
      </w:r>
      <w:r w:rsidRPr="00181FCD">
        <w:t>práctico.</w:t>
      </w:r>
      <w:r w:rsidR="00F373A3" w:rsidRPr="00181FCD">
        <w:t xml:space="preserve"> </w:t>
      </w:r>
      <w:r w:rsidRPr="00181FCD">
        <w:t>Esa</w:t>
      </w:r>
      <w:r w:rsidR="00F373A3" w:rsidRPr="00181FCD">
        <w:t xml:space="preserve"> </w:t>
      </w:r>
      <w:r w:rsidRPr="00181FCD">
        <w:t>evaluación</w:t>
      </w:r>
      <w:r w:rsidR="00F373A3" w:rsidRPr="00181FCD">
        <w:t xml:space="preserve"> </w:t>
      </w:r>
      <w:r w:rsidRPr="00181FCD">
        <w:t>está</w:t>
      </w:r>
      <w:r w:rsidR="00F373A3" w:rsidRPr="00181FCD">
        <w:t xml:space="preserve"> </w:t>
      </w:r>
      <w:r w:rsidRPr="00181FCD">
        <w:t>a</w:t>
      </w:r>
      <w:r w:rsidR="00F373A3" w:rsidRPr="00181FCD">
        <w:t xml:space="preserve"> </w:t>
      </w:r>
      <w:r w:rsidRPr="00181FCD">
        <w:t>cargo</w:t>
      </w:r>
      <w:r w:rsidR="00F373A3" w:rsidRPr="00181FCD">
        <w:t xml:space="preserve"> </w:t>
      </w:r>
      <w:r w:rsidRPr="00181FCD">
        <w:t>de</w:t>
      </w:r>
      <w:r w:rsidR="00F373A3" w:rsidRPr="00181FCD">
        <w:t xml:space="preserve"> </w:t>
      </w:r>
      <w:r w:rsidRPr="00181FCD">
        <w:t>una</w:t>
      </w:r>
      <w:r w:rsidR="00F373A3" w:rsidRPr="00181FCD">
        <w:t xml:space="preserve"> </w:t>
      </w:r>
      <w:r w:rsidRPr="00181FCD">
        <w:t>Comisión,</w:t>
      </w:r>
      <w:r w:rsidR="00F373A3" w:rsidRPr="00181FCD">
        <w:t xml:space="preserve"> </w:t>
      </w:r>
      <w:r w:rsidRPr="00181FCD">
        <w:t>designada</w:t>
      </w:r>
      <w:r w:rsidR="00F373A3" w:rsidRPr="00181FCD">
        <w:t xml:space="preserve"> </w:t>
      </w:r>
      <w:r w:rsidRPr="00181FCD">
        <w:t>por</w:t>
      </w:r>
      <w:r w:rsidR="00F373A3" w:rsidRPr="00181FCD">
        <w:t xml:space="preserve"> </w:t>
      </w:r>
      <w:r w:rsidRPr="00181FCD">
        <w:t>el</w:t>
      </w:r>
      <w:r w:rsidR="00F373A3" w:rsidRPr="00181FCD">
        <w:t xml:space="preserve"> </w:t>
      </w:r>
      <w:r w:rsidRPr="00181FCD">
        <w:t>Director</w:t>
      </w:r>
      <w:r w:rsidR="00F373A3" w:rsidRPr="00181FCD">
        <w:t xml:space="preserve"> </w:t>
      </w:r>
      <w:r w:rsidRPr="00181FCD">
        <w:t>Jefe</w:t>
      </w:r>
      <w:r w:rsidR="00F373A3" w:rsidRPr="00181FCD">
        <w:t xml:space="preserve"> </w:t>
      </w:r>
      <w:r w:rsidRPr="00181FCD">
        <w:t>de</w:t>
      </w:r>
      <w:r w:rsidR="00F373A3" w:rsidRPr="00181FCD">
        <w:t xml:space="preserve"> </w:t>
      </w:r>
      <w:r w:rsidRPr="00181FCD">
        <w:t>la</w:t>
      </w:r>
      <w:r w:rsidR="00F373A3" w:rsidRPr="00181FCD">
        <w:t xml:space="preserve"> </w:t>
      </w:r>
      <w:r w:rsidRPr="00181FCD">
        <w:t>Dirección</w:t>
      </w:r>
      <w:r w:rsidR="00F373A3" w:rsidRPr="00181FCD">
        <w:t xml:space="preserve"> </w:t>
      </w:r>
      <w:r w:rsidRPr="00181FCD">
        <w:t>General</w:t>
      </w:r>
      <w:r w:rsidR="00F373A3" w:rsidRPr="00181FCD">
        <w:rPr>
          <w:rtl/>
        </w:rPr>
        <w:t xml:space="preserve"> </w:t>
      </w:r>
      <w:r w:rsidRPr="00181FCD">
        <w:rPr>
          <w:rtl/>
        </w:rPr>
        <w:t>de</w:t>
      </w:r>
      <w:r w:rsidR="00F373A3" w:rsidRPr="00181FCD">
        <w:rPr>
          <w:rtl/>
        </w:rPr>
        <w:t xml:space="preserve"> </w:t>
      </w:r>
      <w:r w:rsidRPr="00181FCD">
        <w:t>Ejecución</w:t>
      </w:r>
      <w:r w:rsidR="00F373A3" w:rsidRPr="00181FCD">
        <w:t xml:space="preserve"> </w:t>
      </w:r>
      <w:r w:rsidRPr="00181FCD">
        <w:t>de</w:t>
      </w:r>
      <w:r w:rsidR="00F373A3" w:rsidRPr="00181FCD">
        <w:t xml:space="preserve"> </w:t>
      </w:r>
      <w:r w:rsidRPr="00181FCD">
        <w:t>Penas,</w:t>
      </w:r>
      <w:r w:rsidR="00F373A3" w:rsidRPr="00181FCD">
        <w:t xml:space="preserve"> </w:t>
      </w:r>
      <w:r w:rsidRPr="00181FCD">
        <w:t>con</w:t>
      </w:r>
      <w:r w:rsidR="00F373A3" w:rsidRPr="00181FCD">
        <w:t xml:space="preserve"> </w:t>
      </w:r>
      <w:r w:rsidRPr="00181FCD">
        <w:t>participación</w:t>
      </w:r>
      <w:r w:rsidR="00F373A3" w:rsidRPr="00181FCD">
        <w:t xml:space="preserve"> </w:t>
      </w:r>
      <w:r w:rsidRPr="00181FCD">
        <w:t>de</w:t>
      </w:r>
      <w:r w:rsidR="00F373A3" w:rsidRPr="00181FCD">
        <w:t xml:space="preserve"> </w:t>
      </w:r>
      <w:r w:rsidRPr="00181FCD">
        <w:t>los</w:t>
      </w:r>
      <w:r w:rsidR="00F373A3" w:rsidRPr="00181FCD">
        <w:t xml:space="preserve"> </w:t>
      </w:r>
      <w:r w:rsidRPr="00181FCD">
        <w:t>jefes</w:t>
      </w:r>
      <w:r w:rsidR="00F373A3" w:rsidRPr="00181FCD">
        <w:t xml:space="preserve"> </w:t>
      </w:r>
      <w:r w:rsidRPr="00181FCD">
        <w:t>de</w:t>
      </w:r>
      <w:r w:rsidR="00F373A3" w:rsidRPr="00181FCD">
        <w:t xml:space="preserve"> </w:t>
      </w:r>
      <w:r w:rsidRPr="00181FCD">
        <w:t>las</w:t>
      </w:r>
      <w:r w:rsidR="00F373A3" w:rsidRPr="00181FCD">
        <w:t xml:space="preserve"> </w:t>
      </w:r>
      <w:r w:rsidRPr="00181FCD">
        <w:t>unidades</w:t>
      </w:r>
      <w:r w:rsidR="00F373A3" w:rsidRPr="00181FCD">
        <w:t xml:space="preserve"> </w:t>
      </w:r>
      <w:r w:rsidRPr="00181FCD">
        <w:t>territoriales.</w:t>
      </w:r>
      <w:r w:rsidR="00F373A3" w:rsidRPr="00181FCD">
        <w:t xml:space="preserve"> </w:t>
      </w:r>
      <w:r w:rsidRPr="00181FCD">
        <w:t>Los</w:t>
      </w:r>
      <w:r w:rsidR="00F373A3" w:rsidRPr="00181FCD">
        <w:t xml:space="preserve"> </w:t>
      </w:r>
      <w:r w:rsidRPr="00181FCD">
        <w:t>participantes</w:t>
      </w:r>
      <w:r w:rsidR="00F373A3" w:rsidRPr="00181FCD">
        <w:t xml:space="preserve"> </w:t>
      </w:r>
      <w:r w:rsidRPr="00181FCD">
        <w:t>exponen</w:t>
      </w:r>
      <w:r w:rsidR="00F373A3" w:rsidRPr="00181FCD">
        <w:t xml:space="preserve"> </w:t>
      </w:r>
      <w:r w:rsidRPr="00181FCD">
        <w:t>sus</w:t>
      </w:r>
      <w:r w:rsidR="00F373A3" w:rsidRPr="00181FCD">
        <w:t xml:space="preserve"> </w:t>
      </w:r>
      <w:r w:rsidRPr="00181FCD">
        <w:t>conocimientos</w:t>
      </w:r>
      <w:r w:rsidR="00F373A3" w:rsidRPr="00181FCD">
        <w:t xml:space="preserve"> </w:t>
      </w:r>
      <w:r w:rsidRPr="00181FCD">
        <w:t>y</w:t>
      </w:r>
      <w:r w:rsidR="00F373A3" w:rsidRPr="00181FCD">
        <w:t xml:space="preserve"> </w:t>
      </w:r>
      <w:r w:rsidRPr="00181FCD">
        <w:t>demuestran</w:t>
      </w:r>
      <w:r w:rsidR="00F373A3" w:rsidRPr="00181FCD">
        <w:t xml:space="preserve"> </w:t>
      </w:r>
      <w:r w:rsidRPr="00181FCD">
        <w:t>sus</w:t>
      </w:r>
      <w:r w:rsidR="00F373A3" w:rsidRPr="00181FCD">
        <w:t xml:space="preserve"> </w:t>
      </w:r>
      <w:r w:rsidRPr="00181FCD">
        <w:t>aptitudes</w:t>
      </w:r>
      <w:r w:rsidR="00F373A3" w:rsidRPr="00181FCD">
        <w:t xml:space="preserve"> </w:t>
      </w:r>
      <w:r w:rsidRPr="00181FCD">
        <w:t>prácticas</w:t>
      </w:r>
      <w:r w:rsidR="00F373A3" w:rsidRPr="00181FCD">
        <w:t xml:space="preserve"> </w:t>
      </w:r>
      <w:r w:rsidRPr="00181FCD">
        <w:t>ante</w:t>
      </w:r>
      <w:r w:rsidR="00F373A3" w:rsidRPr="00181FCD">
        <w:t xml:space="preserve"> </w:t>
      </w:r>
      <w:r w:rsidRPr="00181FCD">
        <w:t>la</w:t>
      </w:r>
      <w:r w:rsidR="00F373A3" w:rsidRPr="00181FCD">
        <w:t xml:space="preserve"> </w:t>
      </w:r>
      <w:r w:rsidRPr="00181FCD">
        <w:t>Comisión.</w:t>
      </w:r>
      <w:r w:rsidR="00F373A3" w:rsidRPr="00181FCD">
        <w:t xml:space="preserve"> </w:t>
      </w:r>
      <w:r w:rsidRPr="00181FCD">
        <w:t>Durante</w:t>
      </w:r>
      <w:r w:rsidR="00F373A3" w:rsidRPr="00181FCD">
        <w:t xml:space="preserve"> </w:t>
      </w:r>
      <w:r w:rsidRPr="00181FCD">
        <w:t>los</w:t>
      </w:r>
      <w:r w:rsidR="00F373A3" w:rsidRPr="00181FCD">
        <w:t xml:space="preserve"> </w:t>
      </w:r>
      <w:r w:rsidRPr="00181FCD">
        <w:t>últimos</w:t>
      </w:r>
      <w:r w:rsidR="00F373A3" w:rsidRPr="00181FCD">
        <w:t xml:space="preserve"> </w:t>
      </w:r>
      <w:r w:rsidRPr="00181FCD">
        <w:t>tres</w:t>
      </w:r>
      <w:r w:rsidR="00F373A3" w:rsidRPr="00181FCD">
        <w:t xml:space="preserve"> </w:t>
      </w:r>
      <w:r w:rsidRPr="00181FCD">
        <w:t>años</w:t>
      </w:r>
      <w:r w:rsidR="00F373A3" w:rsidRPr="00181FCD">
        <w:t xml:space="preserve"> </w:t>
      </w:r>
      <w:r w:rsidRPr="00181FCD">
        <w:t>han</w:t>
      </w:r>
      <w:r w:rsidR="00F373A3" w:rsidRPr="00181FCD">
        <w:t xml:space="preserve"> </w:t>
      </w:r>
      <w:r w:rsidRPr="00181FCD">
        <w:t>participado</w:t>
      </w:r>
      <w:r w:rsidR="00F373A3" w:rsidRPr="00181FCD">
        <w:t xml:space="preserve"> </w:t>
      </w:r>
      <w:r w:rsidRPr="00181FCD">
        <w:t>en</w:t>
      </w:r>
      <w:r w:rsidR="00F373A3" w:rsidRPr="00181FCD">
        <w:t xml:space="preserve"> </w:t>
      </w:r>
      <w:r w:rsidRPr="00181FCD">
        <w:t>esta</w:t>
      </w:r>
      <w:r w:rsidR="00F373A3" w:rsidRPr="00181FCD">
        <w:t xml:space="preserve"> </w:t>
      </w:r>
      <w:r w:rsidRPr="00181FCD">
        <w:t>formación</w:t>
      </w:r>
      <w:r w:rsidR="00F373A3" w:rsidRPr="00181FCD">
        <w:t xml:space="preserve"> </w:t>
      </w:r>
      <w:r w:rsidRPr="00181FCD">
        <w:t>inicial</w:t>
      </w:r>
      <w:r w:rsidR="00F373A3" w:rsidRPr="00181FCD">
        <w:t xml:space="preserve"> </w:t>
      </w:r>
      <w:r w:rsidRPr="00181FCD">
        <w:t>más</w:t>
      </w:r>
      <w:r w:rsidR="00F373A3" w:rsidRPr="00181FCD">
        <w:t xml:space="preserve"> </w:t>
      </w:r>
      <w:r w:rsidRPr="00181FCD">
        <w:t>de</w:t>
      </w:r>
      <w:r w:rsidR="00F373A3" w:rsidRPr="00181FCD">
        <w:t xml:space="preserve"> </w:t>
      </w:r>
      <w:r w:rsidRPr="00181FCD">
        <w:t>500</w:t>
      </w:r>
      <w:r w:rsidR="00F373A3" w:rsidRPr="00181FCD">
        <w:t xml:space="preserve"> </w:t>
      </w:r>
      <w:r w:rsidRPr="00181FCD">
        <w:t>personas,</w:t>
      </w:r>
      <w:r w:rsidR="00F373A3" w:rsidRPr="00181FCD">
        <w:t xml:space="preserve"> </w:t>
      </w:r>
      <w:r w:rsidRPr="00181FCD">
        <w:t>y</w:t>
      </w:r>
      <w:r w:rsidR="00F373A3" w:rsidRPr="00181FCD">
        <w:t xml:space="preserve"> </w:t>
      </w:r>
      <w:r w:rsidRPr="00181FCD">
        <w:t>solo</w:t>
      </w:r>
      <w:r w:rsidR="00F373A3" w:rsidRPr="00181FCD">
        <w:t xml:space="preserve"> </w:t>
      </w:r>
      <w:r w:rsidRPr="00181FCD">
        <w:t>tres</w:t>
      </w:r>
      <w:r w:rsidR="00F373A3" w:rsidRPr="00181FCD">
        <w:t xml:space="preserve"> </w:t>
      </w:r>
      <w:r w:rsidRPr="00181FCD">
        <w:t>de</w:t>
      </w:r>
      <w:r w:rsidR="00F373A3" w:rsidRPr="00181FCD">
        <w:t xml:space="preserve"> </w:t>
      </w:r>
      <w:r w:rsidRPr="00181FCD">
        <w:t>ellas</w:t>
      </w:r>
      <w:r w:rsidR="00F373A3" w:rsidRPr="00181FCD">
        <w:t xml:space="preserve"> </w:t>
      </w:r>
      <w:r w:rsidRPr="00181FCD">
        <w:t>no</w:t>
      </w:r>
      <w:r w:rsidR="00F373A3" w:rsidRPr="00181FCD">
        <w:t xml:space="preserve"> </w:t>
      </w:r>
      <w:r w:rsidRPr="00181FCD">
        <w:t>superaron</w:t>
      </w:r>
      <w:r w:rsidR="00F373A3" w:rsidRPr="00181FCD">
        <w:t xml:space="preserve"> </w:t>
      </w:r>
      <w:r w:rsidRPr="00181FCD">
        <w:t>satisfactoriamente</w:t>
      </w:r>
      <w:r w:rsidR="00F373A3" w:rsidRPr="00181FCD">
        <w:t xml:space="preserve"> </w:t>
      </w:r>
      <w:r w:rsidRPr="00181FCD">
        <w:t>el</w:t>
      </w:r>
      <w:r w:rsidR="00F373A3" w:rsidRPr="00181FCD">
        <w:t xml:space="preserve"> </w:t>
      </w:r>
      <w:r w:rsidRPr="00181FCD">
        <w:t>examen,</w:t>
      </w:r>
      <w:r w:rsidR="00F373A3" w:rsidRPr="00181FCD">
        <w:t xml:space="preserve"> </w:t>
      </w:r>
      <w:r w:rsidRPr="00181FCD">
        <w:t>por</w:t>
      </w:r>
      <w:r w:rsidR="00F373A3" w:rsidRPr="00181FCD">
        <w:t xml:space="preserve"> </w:t>
      </w:r>
      <w:r w:rsidRPr="00181FCD">
        <w:t>lo</w:t>
      </w:r>
      <w:r w:rsidR="00F373A3" w:rsidRPr="00181FCD">
        <w:t xml:space="preserve"> </w:t>
      </w:r>
      <w:r w:rsidRPr="00181FCD">
        <w:t>que</w:t>
      </w:r>
      <w:r w:rsidR="00F373A3" w:rsidRPr="00181FCD">
        <w:t xml:space="preserve"> </w:t>
      </w:r>
      <w:r w:rsidRPr="00181FCD">
        <w:t>se</w:t>
      </w:r>
      <w:r w:rsidR="00F373A3" w:rsidRPr="00181FCD">
        <w:t xml:space="preserve"> </w:t>
      </w:r>
      <w:r w:rsidRPr="00181FCD">
        <w:t>dieron</w:t>
      </w:r>
      <w:r w:rsidR="00F373A3" w:rsidRPr="00181FCD">
        <w:t xml:space="preserve"> </w:t>
      </w:r>
      <w:r w:rsidRPr="00181FCD">
        <w:t>por</w:t>
      </w:r>
      <w:r w:rsidR="00F373A3" w:rsidRPr="00181FCD">
        <w:t xml:space="preserve"> </w:t>
      </w:r>
      <w:r w:rsidRPr="00181FCD">
        <w:t>terminados</w:t>
      </w:r>
      <w:r w:rsidR="00F373A3" w:rsidRPr="00181FCD">
        <w:t xml:space="preserve"> </w:t>
      </w:r>
      <w:r w:rsidRPr="00181FCD">
        <w:t>sus</w:t>
      </w:r>
      <w:r w:rsidR="00F373A3" w:rsidRPr="00181FCD">
        <w:t xml:space="preserve"> </w:t>
      </w:r>
      <w:r w:rsidRPr="00181FCD">
        <w:t>contratos</w:t>
      </w:r>
      <w:r w:rsidR="00F373A3" w:rsidRPr="00181FCD">
        <w:t xml:space="preserve"> </w:t>
      </w:r>
      <w:r w:rsidRPr="00181FCD">
        <w:t>de</w:t>
      </w:r>
      <w:r w:rsidR="00F373A3" w:rsidRPr="00181FCD">
        <w:t xml:space="preserve"> </w:t>
      </w:r>
      <w:r w:rsidRPr="00181FCD">
        <w:t>trabajo.</w:t>
      </w:r>
    </w:p>
    <w:p w:rsidR="001937F4" w:rsidRPr="00181FCD" w:rsidRDefault="00BE74A7" w:rsidP="00BE74A7">
      <w:pPr>
        <w:pStyle w:val="H23G"/>
      </w:pPr>
      <w:r w:rsidRPr="00181FCD">
        <w:tab/>
      </w:r>
      <w:r w:rsidRPr="00181FCD">
        <w:tab/>
      </w:r>
      <w:r w:rsidR="001937F4" w:rsidRPr="00181FCD">
        <w:t>Respuesta</w:t>
      </w:r>
      <w:r w:rsidR="00F373A3" w:rsidRPr="00181FCD">
        <w:t xml:space="preserve"> </w:t>
      </w:r>
      <w:r w:rsidR="001937F4" w:rsidRPr="00181FCD">
        <w:t>a</w:t>
      </w:r>
      <w:r w:rsidR="00F373A3" w:rsidRPr="00181FCD">
        <w:t xml:space="preserve"> </w:t>
      </w:r>
      <w:r w:rsidR="001937F4" w:rsidRPr="00181FCD">
        <w:t>las</w:t>
      </w:r>
      <w:r w:rsidR="00F373A3" w:rsidRPr="00181FCD">
        <w:t xml:space="preserve"> </w:t>
      </w:r>
      <w:r w:rsidR="001937F4" w:rsidRPr="00181FCD">
        <w:t>cuestiones</w:t>
      </w:r>
      <w:r w:rsidR="00F373A3" w:rsidRPr="00181FCD">
        <w:t xml:space="preserve"> </w:t>
      </w:r>
      <w:r w:rsidR="001937F4" w:rsidRPr="00181FCD">
        <w:t>planteadas</w:t>
      </w:r>
      <w:r w:rsidR="00F373A3" w:rsidRPr="00181FCD">
        <w:t xml:space="preserve"> </w:t>
      </w:r>
      <w:r w:rsidR="001937F4" w:rsidRPr="00181FCD">
        <w:t>en</w:t>
      </w:r>
      <w:r w:rsidR="00F373A3" w:rsidRPr="00181FCD">
        <w:t xml:space="preserve"> </w:t>
      </w:r>
      <w:r w:rsidR="001937F4" w:rsidRPr="00181FCD">
        <w:t>el</w:t>
      </w:r>
      <w:r w:rsidR="00F373A3" w:rsidRPr="00181FCD">
        <w:t xml:space="preserve"> </w:t>
      </w:r>
      <w:r w:rsidR="001937F4" w:rsidRPr="00181FCD">
        <w:t>párrafo</w:t>
      </w:r>
      <w:r w:rsidR="00F373A3" w:rsidRPr="00181FCD">
        <w:t xml:space="preserve"> </w:t>
      </w:r>
      <w:r w:rsidR="001937F4" w:rsidRPr="00181FCD">
        <w:t>17</w:t>
      </w:r>
      <w:r w:rsidR="00F373A3" w:rsidRPr="00181FCD">
        <w:t xml:space="preserve"> </w:t>
      </w:r>
      <w:r w:rsidR="001937F4" w:rsidRPr="00181FCD">
        <w:t>de</w:t>
      </w:r>
      <w:r w:rsidR="00F373A3" w:rsidRPr="00181FCD">
        <w:t xml:space="preserve"> </w:t>
      </w:r>
      <w:r w:rsidR="001937F4" w:rsidRPr="00181FCD">
        <w:t>la</w:t>
      </w:r>
      <w:r w:rsidR="00F373A3" w:rsidRPr="00181FCD">
        <w:t xml:space="preserve"> </w:t>
      </w:r>
      <w:r w:rsidR="001937F4" w:rsidRPr="00181FCD">
        <w:t>lista</w:t>
      </w:r>
      <w:r w:rsidR="00F373A3" w:rsidRPr="00181FCD">
        <w:t xml:space="preserve"> </w:t>
      </w:r>
      <w:r w:rsidR="001937F4" w:rsidRPr="00181FCD">
        <w:t>de</w:t>
      </w:r>
      <w:r w:rsidR="00F373A3" w:rsidRPr="00181FCD">
        <w:t xml:space="preserve"> </w:t>
      </w:r>
      <w:r w:rsidR="001937F4" w:rsidRPr="00181FCD">
        <w:t>cuestiones</w:t>
      </w:r>
    </w:p>
    <w:p w:rsidR="001937F4" w:rsidRPr="00181FCD" w:rsidRDefault="001937F4" w:rsidP="00347B20">
      <w:pPr>
        <w:pStyle w:val="SingleTxtG"/>
        <w:suppressAutoHyphens/>
      </w:pPr>
      <w:r w:rsidRPr="00181FCD">
        <w:t>148.</w:t>
      </w:r>
      <w:r w:rsidRPr="00181FCD">
        <w:tab/>
        <w:t>Los</w:t>
      </w:r>
      <w:r w:rsidR="00F373A3" w:rsidRPr="00181FCD">
        <w:t xml:space="preserve"> </w:t>
      </w:r>
      <w:r w:rsidRPr="00181FCD">
        <w:t>representantes</w:t>
      </w:r>
      <w:r w:rsidR="00F373A3" w:rsidRPr="00181FCD">
        <w:t xml:space="preserve"> </w:t>
      </w:r>
      <w:r w:rsidRPr="00181FCD">
        <w:t>del</w:t>
      </w:r>
      <w:r w:rsidR="00F373A3" w:rsidRPr="00181FCD">
        <w:t xml:space="preserve"> </w:t>
      </w:r>
      <w:r w:rsidRPr="00181FCD">
        <w:t>Ministerio</w:t>
      </w:r>
      <w:r w:rsidR="00F373A3" w:rsidRPr="00181FCD">
        <w:t xml:space="preserve"> </w:t>
      </w:r>
      <w:r w:rsidRPr="00181FCD">
        <w:t>del</w:t>
      </w:r>
      <w:r w:rsidR="00F373A3" w:rsidRPr="00181FCD">
        <w:t xml:space="preserve"> </w:t>
      </w:r>
      <w:r w:rsidRPr="00181FCD">
        <w:t>Interior</w:t>
      </w:r>
      <w:r w:rsidR="00F373A3" w:rsidRPr="00181FCD">
        <w:t xml:space="preserve"> </w:t>
      </w:r>
      <w:r w:rsidRPr="00181FCD">
        <w:t>participan</w:t>
      </w:r>
      <w:r w:rsidR="00F373A3" w:rsidRPr="00181FCD">
        <w:t xml:space="preserve"> </w:t>
      </w:r>
      <w:r w:rsidRPr="00181FCD">
        <w:t>activamente</w:t>
      </w:r>
      <w:r w:rsidR="00F373A3" w:rsidRPr="00181FCD">
        <w:t xml:space="preserve"> </w:t>
      </w:r>
      <w:r w:rsidRPr="00181FCD">
        <w:t>en</w:t>
      </w:r>
      <w:r w:rsidR="00F373A3" w:rsidRPr="00181FCD">
        <w:t xml:space="preserve"> </w:t>
      </w:r>
      <w:r w:rsidRPr="00181FCD">
        <w:t>conferencias,</w:t>
      </w:r>
      <w:r w:rsidR="00F373A3" w:rsidRPr="00181FCD">
        <w:t xml:space="preserve"> </w:t>
      </w:r>
      <w:r w:rsidRPr="00181FCD">
        <w:t>seminarios,</w:t>
      </w:r>
      <w:r w:rsidR="00F373A3" w:rsidRPr="00181FCD">
        <w:t xml:space="preserve"> </w:t>
      </w:r>
      <w:r w:rsidRPr="00181FCD">
        <w:t>mesas</w:t>
      </w:r>
      <w:r w:rsidR="00F373A3" w:rsidRPr="00181FCD">
        <w:t xml:space="preserve"> </w:t>
      </w:r>
      <w:r w:rsidRPr="00181FCD">
        <w:t>redondas</w:t>
      </w:r>
      <w:r w:rsidR="00F373A3" w:rsidRPr="00181FCD">
        <w:t xml:space="preserve"> </w:t>
      </w:r>
      <w:r w:rsidRPr="00181FCD">
        <w:t>y</w:t>
      </w:r>
      <w:r w:rsidR="00F373A3" w:rsidRPr="00181FCD">
        <w:t xml:space="preserve"> </w:t>
      </w:r>
      <w:r w:rsidRPr="00181FCD">
        <w:t>programas</w:t>
      </w:r>
      <w:r w:rsidR="00F373A3" w:rsidRPr="00181FCD">
        <w:t xml:space="preserve"> </w:t>
      </w:r>
      <w:r w:rsidRPr="00181FCD">
        <w:t>de</w:t>
      </w:r>
      <w:r w:rsidR="00F373A3" w:rsidRPr="00181FCD">
        <w:t xml:space="preserve"> </w:t>
      </w:r>
      <w:r w:rsidRPr="00181FCD">
        <w:t>televisión</w:t>
      </w:r>
      <w:r w:rsidR="00F373A3" w:rsidRPr="00181FCD">
        <w:t xml:space="preserve"> </w:t>
      </w:r>
      <w:r w:rsidRPr="00181FCD">
        <w:t>que</w:t>
      </w:r>
      <w:r w:rsidR="00F373A3" w:rsidRPr="00181FCD">
        <w:t xml:space="preserve"> </w:t>
      </w:r>
      <w:r w:rsidRPr="00181FCD">
        <w:t>se</w:t>
      </w:r>
      <w:r w:rsidR="00F373A3" w:rsidRPr="00181FCD">
        <w:t xml:space="preserve"> </w:t>
      </w:r>
      <w:r w:rsidRPr="00181FCD">
        <w:t>ocupan</w:t>
      </w:r>
      <w:r w:rsidR="00F373A3" w:rsidRPr="00181FCD">
        <w:t xml:space="preserve"> </w:t>
      </w:r>
      <w:r w:rsidRPr="00181FCD">
        <w:t>de</w:t>
      </w:r>
      <w:r w:rsidR="00F373A3" w:rsidRPr="00181FCD">
        <w:t xml:space="preserve"> </w:t>
      </w:r>
      <w:r w:rsidRPr="00181FCD">
        <w:t>la</w:t>
      </w:r>
      <w:r w:rsidR="00F373A3" w:rsidRPr="00181FCD">
        <w:t xml:space="preserve"> </w:t>
      </w:r>
      <w:r w:rsidRPr="00181FCD">
        <w:t>violencia</w:t>
      </w:r>
      <w:r w:rsidR="00F373A3" w:rsidRPr="00181FCD">
        <w:t xml:space="preserve"> </w:t>
      </w:r>
      <w:r w:rsidRPr="00181FCD">
        <w:t>doméstica.</w:t>
      </w:r>
      <w:r w:rsidR="00F373A3" w:rsidRPr="00181FCD">
        <w:t xml:space="preserve"> </w:t>
      </w:r>
      <w:r w:rsidRPr="00181FCD">
        <w:t>Junto</w:t>
      </w:r>
      <w:r w:rsidR="00F373A3" w:rsidRPr="00181FCD">
        <w:t xml:space="preserve"> </w:t>
      </w:r>
      <w:r w:rsidRPr="00181FCD">
        <w:t>con</w:t>
      </w:r>
      <w:r w:rsidR="00F373A3" w:rsidRPr="00181FCD">
        <w:t xml:space="preserve"> </w:t>
      </w:r>
      <w:r w:rsidRPr="00181FCD">
        <w:t>algunas</w:t>
      </w:r>
      <w:r w:rsidR="00F373A3" w:rsidRPr="00181FCD">
        <w:t xml:space="preserve"> </w:t>
      </w:r>
      <w:r w:rsidRPr="00181FCD">
        <w:t>ONG,</w:t>
      </w:r>
      <w:r w:rsidR="00F373A3" w:rsidRPr="00181FCD">
        <w:t xml:space="preserve"> </w:t>
      </w:r>
      <w:r w:rsidRPr="00181FCD">
        <w:t>se</w:t>
      </w:r>
      <w:r w:rsidR="00F373A3" w:rsidRPr="00181FCD">
        <w:t xml:space="preserve"> </w:t>
      </w:r>
      <w:r w:rsidRPr="00181FCD">
        <w:t>organizó</w:t>
      </w:r>
      <w:r w:rsidR="00F373A3" w:rsidRPr="00181FCD">
        <w:t xml:space="preserve"> </w:t>
      </w:r>
      <w:r w:rsidRPr="00181FCD">
        <w:t>una</w:t>
      </w:r>
      <w:r w:rsidR="00F373A3" w:rsidRPr="00181FCD">
        <w:t xml:space="preserve"> </w:t>
      </w:r>
      <w:r w:rsidRPr="00181FCD">
        <w:t>serie</w:t>
      </w:r>
      <w:r w:rsidR="00F373A3" w:rsidRPr="00181FCD">
        <w:t xml:space="preserve"> </w:t>
      </w:r>
      <w:r w:rsidRPr="00181FCD">
        <w:t>de</w:t>
      </w:r>
      <w:r w:rsidR="00F373A3" w:rsidRPr="00181FCD">
        <w:t xml:space="preserve"> </w:t>
      </w:r>
      <w:r w:rsidRPr="00181FCD">
        <w:t>seminarios</w:t>
      </w:r>
      <w:r w:rsidR="00F373A3" w:rsidRPr="00181FCD">
        <w:t xml:space="preserve"> </w:t>
      </w:r>
      <w:r w:rsidRPr="00181FCD">
        <w:t>de</w:t>
      </w:r>
      <w:r w:rsidR="00F373A3" w:rsidRPr="00181FCD">
        <w:t xml:space="preserve"> </w:t>
      </w:r>
      <w:r w:rsidRPr="00181FCD">
        <w:t>capacitación</w:t>
      </w:r>
      <w:r w:rsidR="00F373A3" w:rsidRPr="00181FCD">
        <w:t xml:space="preserve"> </w:t>
      </w:r>
      <w:r w:rsidRPr="00181FCD">
        <w:t>en</w:t>
      </w:r>
      <w:r w:rsidR="00F373A3" w:rsidRPr="00181FCD">
        <w:t xml:space="preserve"> </w:t>
      </w:r>
      <w:r w:rsidRPr="00181FCD">
        <w:t>este</w:t>
      </w:r>
      <w:r w:rsidR="00F373A3" w:rsidRPr="00181FCD">
        <w:t xml:space="preserve"> </w:t>
      </w:r>
      <w:r w:rsidRPr="00181FCD">
        <w:t>ámbito</w:t>
      </w:r>
      <w:r w:rsidR="00F373A3" w:rsidRPr="00181FCD">
        <w:t xml:space="preserve"> </w:t>
      </w:r>
      <w:r w:rsidRPr="00181FCD">
        <w:t>para</w:t>
      </w:r>
      <w:r w:rsidR="00F373A3" w:rsidRPr="00181FCD">
        <w:t xml:space="preserve"> </w:t>
      </w:r>
      <w:r w:rsidRPr="00181FCD">
        <w:t>agentes</w:t>
      </w:r>
      <w:r w:rsidR="00F373A3" w:rsidRPr="00181FCD">
        <w:t xml:space="preserve"> </w:t>
      </w:r>
      <w:r w:rsidRPr="00181FCD">
        <w:t>de</w:t>
      </w:r>
      <w:r w:rsidR="00F373A3" w:rsidRPr="00181FCD">
        <w:t xml:space="preserve"> </w:t>
      </w:r>
      <w:r w:rsidRPr="00181FCD">
        <w:t>policía.</w:t>
      </w:r>
      <w:r w:rsidR="00F373A3" w:rsidRPr="00181FCD">
        <w:t xml:space="preserve"> </w:t>
      </w:r>
      <w:r w:rsidRPr="00181FCD">
        <w:t>Los</w:t>
      </w:r>
      <w:r w:rsidR="00F373A3" w:rsidRPr="00181FCD">
        <w:t xml:space="preserve"> </w:t>
      </w:r>
      <w:r w:rsidRPr="00181FCD">
        <w:t>psicólogos</w:t>
      </w:r>
      <w:r w:rsidR="00F373A3" w:rsidRPr="00181FCD">
        <w:t xml:space="preserve"> </w:t>
      </w:r>
      <w:r w:rsidRPr="00181FCD">
        <w:t>del</w:t>
      </w:r>
      <w:r w:rsidR="00F373A3" w:rsidRPr="00181FCD">
        <w:t xml:space="preserve"> </w:t>
      </w:r>
      <w:r w:rsidRPr="00181FCD">
        <w:t>Instituto</w:t>
      </w:r>
      <w:r w:rsidR="00F373A3" w:rsidRPr="00181FCD">
        <w:t xml:space="preserve"> </w:t>
      </w:r>
      <w:r w:rsidRPr="00181FCD">
        <w:t>de</w:t>
      </w:r>
      <w:r w:rsidR="00F373A3" w:rsidRPr="00181FCD">
        <w:t xml:space="preserve"> </w:t>
      </w:r>
      <w:r w:rsidRPr="00181FCD">
        <w:t>Psicología</w:t>
      </w:r>
      <w:r w:rsidR="00F373A3" w:rsidRPr="00181FCD">
        <w:t xml:space="preserve"> </w:t>
      </w:r>
      <w:r w:rsidRPr="00181FCD">
        <w:t>del</w:t>
      </w:r>
      <w:r w:rsidR="00F373A3" w:rsidRPr="00181FCD">
        <w:t xml:space="preserve"> </w:t>
      </w:r>
      <w:r w:rsidRPr="00181FCD">
        <w:t>Ministerio</w:t>
      </w:r>
      <w:r w:rsidR="00F373A3" w:rsidRPr="00181FCD">
        <w:t xml:space="preserve"> </w:t>
      </w:r>
      <w:r w:rsidRPr="00181FCD">
        <w:t>del</w:t>
      </w:r>
      <w:r w:rsidR="00F373A3" w:rsidRPr="00181FCD">
        <w:t xml:space="preserve"> </w:t>
      </w:r>
      <w:r w:rsidRPr="00181FCD">
        <w:t>Interior</w:t>
      </w:r>
      <w:r w:rsidR="00F373A3" w:rsidRPr="00181FCD">
        <w:t xml:space="preserve"> </w:t>
      </w:r>
      <w:r w:rsidRPr="00181FCD">
        <w:t>también</w:t>
      </w:r>
      <w:r w:rsidR="00F373A3" w:rsidRPr="00181FCD">
        <w:t xml:space="preserve"> </w:t>
      </w:r>
      <w:r w:rsidRPr="00181FCD">
        <w:t>participaron</w:t>
      </w:r>
      <w:r w:rsidR="00F373A3" w:rsidRPr="00181FCD">
        <w:t xml:space="preserve"> </w:t>
      </w:r>
      <w:r w:rsidRPr="00181FCD">
        <w:t>en</w:t>
      </w:r>
      <w:r w:rsidR="00F373A3" w:rsidRPr="00181FCD">
        <w:t xml:space="preserve"> </w:t>
      </w:r>
      <w:r w:rsidRPr="00181FCD">
        <w:t>algunas</w:t>
      </w:r>
      <w:r w:rsidR="00F373A3" w:rsidRPr="00181FCD">
        <w:t xml:space="preserve"> </w:t>
      </w:r>
      <w:r w:rsidRPr="00181FCD">
        <w:t>de</w:t>
      </w:r>
      <w:r w:rsidR="00F373A3" w:rsidRPr="00181FCD">
        <w:t xml:space="preserve"> </w:t>
      </w:r>
      <w:r w:rsidRPr="00181FCD">
        <w:t>las</w:t>
      </w:r>
      <w:r w:rsidR="00F373A3" w:rsidRPr="00181FCD">
        <w:t xml:space="preserve"> </w:t>
      </w:r>
      <w:r w:rsidRPr="00181FCD">
        <w:t>sesiones</w:t>
      </w:r>
      <w:r w:rsidR="00F373A3" w:rsidRPr="00181FCD">
        <w:t xml:space="preserve"> </w:t>
      </w:r>
      <w:r w:rsidRPr="00181FCD">
        <w:t>de</w:t>
      </w:r>
      <w:r w:rsidR="00F373A3" w:rsidRPr="00181FCD">
        <w:t xml:space="preserve"> </w:t>
      </w:r>
      <w:r w:rsidRPr="00181FCD">
        <w:t>formación.</w:t>
      </w:r>
    </w:p>
    <w:p w:rsidR="001937F4" w:rsidRPr="00181FCD" w:rsidRDefault="001937F4" w:rsidP="00347B20">
      <w:pPr>
        <w:pStyle w:val="SingleTxtG"/>
        <w:suppressAutoHyphens/>
      </w:pPr>
      <w:r w:rsidRPr="00181FCD">
        <w:t>149.</w:t>
      </w:r>
      <w:r w:rsidRPr="00181FCD">
        <w:tab/>
        <w:t>En</w:t>
      </w:r>
      <w:r w:rsidR="00F373A3" w:rsidRPr="00181FCD">
        <w:t xml:space="preserve"> </w:t>
      </w:r>
      <w:r w:rsidRPr="00181FCD">
        <w:t>el</w:t>
      </w:r>
      <w:r w:rsidR="00F373A3" w:rsidRPr="00181FCD">
        <w:t xml:space="preserve"> </w:t>
      </w:r>
      <w:r w:rsidRPr="00181FCD">
        <w:t>periodo</w:t>
      </w:r>
      <w:r w:rsidR="00F373A3" w:rsidRPr="00181FCD">
        <w:t xml:space="preserve"> </w:t>
      </w:r>
      <w:r w:rsidRPr="00181FCD">
        <w:t>de</w:t>
      </w:r>
      <w:r w:rsidR="00F373A3" w:rsidRPr="00181FCD">
        <w:t xml:space="preserve"> </w:t>
      </w:r>
      <w:r w:rsidRPr="00181FCD">
        <w:t>enero</w:t>
      </w:r>
      <w:r w:rsidR="00F373A3" w:rsidRPr="00181FCD">
        <w:t xml:space="preserve"> </w:t>
      </w:r>
      <w:r w:rsidRPr="00181FCD">
        <w:t>de</w:t>
      </w:r>
      <w:r w:rsidR="00F373A3" w:rsidRPr="00181FCD">
        <w:t xml:space="preserve"> </w:t>
      </w:r>
      <w:r w:rsidRPr="00181FCD">
        <w:t>2011</w:t>
      </w:r>
      <w:r w:rsidR="00F373A3" w:rsidRPr="00181FCD">
        <w:t xml:space="preserve"> </w:t>
      </w:r>
      <w:r w:rsidRPr="00181FCD">
        <w:t>a</w:t>
      </w:r>
      <w:r w:rsidR="00F373A3" w:rsidRPr="00181FCD">
        <w:t xml:space="preserve"> </w:t>
      </w:r>
      <w:r w:rsidRPr="00181FCD">
        <w:t>agosto</w:t>
      </w:r>
      <w:r w:rsidR="00F373A3" w:rsidRPr="00181FCD">
        <w:t xml:space="preserve"> </w:t>
      </w:r>
      <w:r w:rsidRPr="00181FCD">
        <w:t>de</w:t>
      </w:r>
      <w:r w:rsidR="00F373A3" w:rsidRPr="00181FCD">
        <w:t xml:space="preserve"> </w:t>
      </w:r>
      <w:r w:rsidRPr="00181FCD">
        <w:t>2014,</w:t>
      </w:r>
      <w:r w:rsidR="00F373A3" w:rsidRPr="00181FCD">
        <w:t xml:space="preserve"> </w:t>
      </w:r>
      <w:r w:rsidRPr="00181FCD">
        <w:t>la</w:t>
      </w:r>
      <w:r w:rsidR="00F373A3" w:rsidRPr="00181FCD">
        <w:t xml:space="preserve"> </w:t>
      </w:r>
      <w:r w:rsidRPr="00181FCD">
        <w:t>Dirección</w:t>
      </w:r>
      <w:r w:rsidR="00F373A3" w:rsidRPr="00181FCD">
        <w:t xml:space="preserve"> </w:t>
      </w:r>
      <w:r w:rsidRPr="00181FCD">
        <w:t>General</w:t>
      </w:r>
      <w:r w:rsidR="00F373A3" w:rsidRPr="00181FCD">
        <w:t xml:space="preserve"> </w:t>
      </w:r>
      <w:r w:rsidRPr="00181FCD">
        <w:t>de</w:t>
      </w:r>
      <w:r w:rsidR="00F373A3" w:rsidRPr="00181FCD">
        <w:t xml:space="preserve"> </w:t>
      </w:r>
      <w:r w:rsidRPr="00181FCD">
        <w:t>Orden</w:t>
      </w:r>
      <w:r w:rsidR="00F373A3" w:rsidRPr="00181FCD">
        <w:t xml:space="preserve"> </w:t>
      </w:r>
      <w:r w:rsidRPr="00181FCD">
        <w:t>Público</w:t>
      </w:r>
      <w:r w:rsidR="00F373A3" w:rsidRPr="00181FCD">
        <w:t xml:space="preserve"> </w:t>
      </w:r>
      <w:r w:rsidRPr="00181FCD">
        <w:t>y</w:t>
      </w:r>
      <w:r w:rsidR="00F373A3" w:rsidRPr="00181FCD">
        <w:t xml:space="preserve"> </w:t>
      </w:r>
      <w:r w:rsidRPr="00181FCD">
        <w:t>Policía</w:t>
      </w:r>
      <w:r w:rsidR="00F373A3" w:rsidRPr="00181FCD">
        <w:t xml:space="preserve"> </w:t>
      </w:r>
      <w:r w:rsidRPr="00181FCD">
        <w:t>de</w:t>
      </w:r>
      <w:r w:rsidR="00F373A3" w:rsidRPr="00181FCD">
        <w:t xml:space="preserve"> </w:t>
      </w:r>
      <w:r w:rsidRPr="00181FCD">
        <w:t>Seguridad,</w:t>
      </w:r>
      <w:r w:rsidR="00F373A3" w:rsidRPr="00181FCD">
        <w:t xml:space="preserve"> </w:t>
      </w:r>
      <w:r w:rsidRPr="00181FCD">
        <w:t>la</w:t>
      </w:r>
      <w:r w:rsidR="00F373A3" w:rsidRPr="00181FCD">
        <w:t xml:space="preserve"> </w:t>
      </w:r>
      <w:r w:rsidRPr="00181FCD">
        <w:t>Dirección</w:t>
      </w:r>
      <w:r w:rsidR="00F373A3" w:rsidRPr="00181FCD">
        <w:t xml:space="preserve"> </w:t>
      </w:r>
      <w:r w:rsidRPr="00181FCD">
        <w:t>del</w:t>
      </w:r>
      <w:r w:rsidR="00F373A3" w:rsidRPr="00181FCD">
        <w:t xml:space="preserve"> </w:t>
      </w:r>
      <w:r w:rsidRPr="00181FCD">
        <w:t>Interior</w:t>
      </w:r>
      <w:r w:rsidR="00F373A3" w:rsidRPr="00181FCD">
        <w:t xml:space="preserve"> </w:t>
      </w:r>
      <w:r w:rsidRPr="00181FCD">
        <w:t>de</w:t>
      </w:r>
      <w:r w:rsidR="00F373A3" w:rsidRPr="00181FCD">
        <w:t xml:space="preserve"> </w:t>
      </w:r>
      <w:r w:rsidRPr="00181FCD">
        <w:t>la</w:t>
      </w:r>
      <w:r w:rsidR="00F373A3" w:rsidRPr="00181FCD">
        <w:t xml:space="preserve"> </w:t>
      </w:r>
      <w:r w:rsidRPr="00181FCD">
        <w:t>Zona</w:t>
      </w:r>
      <w:r w:rsidR="00F373A3" w:rsidRPr="00181FCD">
        <w:t xml:space="preserve"> </w:t>
      </w:r>
      <w:r w:rsidRPr="00181FCD">
        <w:t>Metropolitana</w:t>
      </w:r>
      <w:r w:rsidR="00F373A3" w:rsidRPr="00181FCD">
        <w:t xml:space="preserve"> </w:t>
      </w:r>
      <w:r w:rsidRPr="00181FCD">
        <w:t>de</w:t>
      </w:r>
      <w:r w:rsidR="00F373A3" w:rsidRPr="00181FCD">
        <w:t xml:space="preserve"> </w:t>
      </w:r>
      <w:r w:rsidRPr="00181FCD">
        <w:t>Sofía</w:t>
      </w:r>
      <w:r w:rsidR="00F373A3" w:rsidRPr="00181FCD">
        <w:t xml:space="preserve"> </w:t>
      </w:r>
      <w:r w:rsidRPr="00181FCD">
        <w:t>y</w:t>
      </w:r>
      <w:r w:rsidR="00F373A3" w:rsidRPr="00181FCD">
        <w:t xml:space="preserve"> </w:t>
      </w:r>
      <w:r w:rsidRPr="00181FCD">
        <w:t>las</w:t>
      </w:r>
      <w:r w:rsidR="00F373A3" w:rsidRPr="00181FCD">
        <w:t xml:space="preserve"> </w:t>
      </w:r>
      <w:r w:rsidRPr="00181FCD">
        <w:t>Direcciones</w:t>
      </w:r>
      <w:r w:rsidR="00F373A3" w:rsidRPr="00181FCD">
        <w:t xml:space="preserve"> </w:t>
      </w:r>
      <w:r w:rsidRPr="00181FCD">
        <w:t>Regionales</w:t>
      </w:r>
      <w:r w:rsidR="00F373A3" w:rsidRPr="00181FCD">
        <w:t xml:space="preserve"> </w:t>
      </w:r>
      <w:r w:rsidRPr="00181FCD">
        <w:t>del</w:t>
      </w:r>
      <w:r w:rsidR="00F373A3" w:rsidRPr="00181FCD">
        <w:t xml:space="preserve"> </w:t>
      </w:r>
      <w:r w:rsidRPr="00181FCD">
        <w:t>Ministerio</w:t>
      </w:r>
      <w:r w:rsidR="00F373A3" w:rsidRPr="00181FCD">
        <w:t xml:space="preserve"> </w:t>
      </w:r>
      <w:r w:rsidRPr="00181FCD">
        <w:t>del</w:t>
      </w:r>
      <w:r w:rsidR="00F373A3" w:rsidRPr="00181FCD">
        <w:t xml:space="preserve"> </w:t>
      </w:r>
      <w:r w:rsidRPr="00181FCD">
        <w:t>Interior</w:t>
      </w:r>
      <w:r w:rsidR="00F373A3" w:rsidRPr="00181FCD">
        <w:t xml:space="preserve"> </w:t>
      </w:r>
      <w:r w:rsidRPr="00181FCD">
        <w:t>han</w:t>
      </w:r>
      <w:r w:rsidR="00F373A3" w:rsidRPr="00181FCD">
        <w:t xml:space="preserve"> </w:t>
      </w:r>
      <w:r w:rsidRPr="00181FCD">
        <w:t>llevado</w:t>
      </w:r>
      <w:r w:rsidR="00F373A3" w:rsidRPr="00181FCD">
        <w:t xml:space="preserve"> </w:t>
      </w:r>
      <w:r w:rsidRPr="00181FCD">
        <w:t>a</w:t>
      </w:r>
      <w:r w:rsidR="00F373A3" w:rsidRPr="00181FCD">
        <w:t xml:space="preserve"> </w:t>
      </w:r>
      <w:r w:rsidRPr="00181FCD">
        <w:t>cabo</w:t>
      </w:r>
      <w:r w:rsidR="00F373A3" w:rsidRPr="00181FCD">
        <w:t xml:space="preserve"> </w:t>
      </w:r>
      <w:r w:rsidRPr="00181FCD">
        <w:t>una</w:t>
      </w:r>
      <w:r w:rsidR="00F373A3" w:rsidRPr="00181FCD">
        <w:t xml:space="preserve"> </w:t>
      </w:r>
      <w:r w:rsidRPr="00181FCD">
        <w:t>serie</w:t>
      </w:r>
      <w:r w:rsidR="00F373A3" w:rsidRPr="00181FCD">
        <w:t xml:space="preserve"> </w:t>
      </w:r>
      <w:r w:rsidRPr="00181FCD">
        <w:t>de</w:t>
      </w:r>
      <w:r w:rsidR="00F373A3" w:rsidRPr="00181FCD">
        <w:t xml:space="preserve"> </w:t>
      </w:r>
      <w:r w:rsidRPr="00181FCD">
        <w:t>actividades</w:t>
      </w:r>
      <w:r w:rsidR="00F373A3" w:rsidRPr="00181FCD">
        <w:t xml:space="preserve"> </w:t>
      </w:r>
      <w:r w:rsidRPr="00181FCD">
        <w:t>específicas</w:t>
      </w:r>
      <w:r w:rsidR="00F373A3" w:rsidRPr="00181FCD">
        <w:t xml:space="preserve"> </w:t>
      </w:r>
      <w:r w:rsidRPr="00181FCD">
        <w:t>para</w:t>
      </w:r>
      <w:r w:rsidR="00F373A3" w:rsidRPr="00181FCD">
        <w:t xml:space="preserve"> </w:t>
      </w:r>
      <w:r w:rsidRPr="00181FCD">
        <w:t>combatir</w:t>
      </w:r>
      <w:r w:rsidR="00F373A3" w:rsidRPr="00181FCD">
        <w:t xml:space="preserve"> </w:t>
      </w:r>
      <w:r w:rsidRPr="00181FCD">
        <w:t>la</w:t>
      </w:r>
      <w:r w:rsidR="00F373A3" w:rsidRPr="00181FCD">
        <w:t xml:space="preserve"> </w:t>
      </w:r>
      <w:r w:rsidRPr="00181FCD">
        <w:t>violencia</w:t>
      </w:r>
      <w:r w:rsidR="00F373A3" w:rsidRPr="00181FCD">
        <w:t xml:space="preserve"> </w:t>
      </w:r>
      <w:r w:rsidRPr="00181FCD">
        <w:t>doméstica.</w:t>
      </w:r>
      <w:r w:rsidR="00F373A3" w:rsidRPr="00181FCD">
        <w:t xml:space="preserve"> </w:t>
      </w:r>
      <w:r w:rsidRPr="00181FCD">
        <w:t>A</w:t>
      </w:r>
      <w:r w:rsidR="00F373A3" w:rsidRPr="00181FCD">
        <w:t xml:space="preserve"> </w:t>
      </w:r>
      <w:r w:rsidRPr="00181FCD">
        <w:t>nivel</w:t>
      </w:r>
      <w:r w:rsidR="00F373A3" w:rsidRPr="00181FCD">
        <w:t xml:space="preserve"> </w:t>
      </w:r>
      <w:r w:rsidRPr="00181FCD">
        <w:t>regional,</w:t>
      </w:r>
      <w:r w:rsidR="00F373A3" w:rsidRPr="00181FCD">
        <w:t xml:space="preserve"> </w:t>
      </w:r>
      <w:r w:rsidRPr="00181FCD">
        <w:t>junto</w:t>
      </w:r>
      <w:r w:rsidR="00F373A3" w:rsidRPr="00181FCD">
        <w:t xml:space="preserve"> </w:t>
      </w:r>
      <w:r w:rsidRPr="00181FCD">
        <w:t>con</w:t>
      </w:r>
      <w:r w:rsidR="00F373A3" w:rsidRPr="00181FCD">
        <w:t xml:space="preserve"> </w:t>
      </w:r>
      <w:r w:rsidRPr="00181FCD">
        <w:t>las</w:t>
      </w:r>
      <w:r w:rsidR="00F373A3" w:rsidRPr="00181FCD">
        <w:t xml:space="preserve"> </w:t>
      </w:r>
      <w:r w:rsidRPr="00181FCD">
        <w:t>ONG,</w:t>
      </w:r>
      <w:r w:rsidR="00F373A3" w:rsidRPr="00181FCD">
        <w:t xml:space="preserve"> </w:t>
      </w:r>
      <w:r w:rsidRPr="00181FCD">
        <w:t>se</w:t>
      </w:r>
      <w:r w:rsidR="00F373A3" w:rsidRPr="00181FCD">
        <w:t xml:space="preserve"> </w:t>
      </w:r>
      <w:r w:rsidRPr="00181FCD">
        <w:t>organizaron</w:t>
      </w:r>
      <w:r w:rsidR="00F373A3" w:rsidRPr="00181FCD">
        <w:t xml:space="preserve"> </w:t>
      </w:r>
      <w:r w:rsidRPr="00181FCD">
        <w:t>alrededor</w:t>
      </w:r>
      <w:r w:rsidR="00F373A3" w:rsidRPr="00181FCD">
        <w:t xml:space="preserve"> </w:t>
      </w:r>
      <w:r w:rsidRPr="00181FCD">
        <w:t>de</w:t>
      </w:r>
      <w:r w:rsidR="00F373A3" w:rsidRPr="00181FCD">
        <w:t xml:space="preserve"> </w:t>
      </w:r>
      <w:r w:rsidRPr="00181FCD">
        <w:t>60</w:t>
      </w:r>
      <w:r w:rsidR="00F373A3" w:rsidRPr="00181FCD">
        <w:t xml:space="preserve"> </w:t>
      </w:r>
      <w:r w:rsidRPr="00181FCD">
        <w:t>proyectos</w:t>
      </w:r>
      <w:r w:rsidR="00F373A3" w:rsidRPr="00181FCD">
        <w:t xml:space="preserve"> </w:t>
      </w:r>
      <w:r w:rsidRPr="00181FCD">
        <w:t>y</w:t>
      </w:r>
      <w:r w:rsidR="00F373A3" w:rsidRPr="00181FCD">
        <w:t xml:space="preserve"> </w:t>
      </w:r>
      <w:r w:rsidRPr="00181FCD">
        <w:t>eventos</w:t>
      </w:r>
      <w:r w:rsidR="00F373A3" w:rsidRPr="00181FCD">
        <w:t xml:space="preserve"> </w:t>
      </w:r>
      <w:r w:rsidRPr="00181FCD">
        <w:t>de</w:t>
      </w:r>
      <w:r w:rsidR="00F373A3" w:rsidRPr="00181FCD">
        <w:t xml:space="preserve"> </w:t>
      </w:r>
      <w:r w:rsidRPr="00181FCD">
        <w:t>prevención</w:t>
      </w:r>
      <w:r w:rsidR="00F373A3" w:rsidRPr="00181FCD">
        <w:t xml:space="preserve"> </w:t>
      </w:r>
      <w:r w:rsidRPr="00181FCD">
        <w:t>y</w:t>
      </w:r>
      <w:r w:rsidR="00F373A3" w:rsidRPr="00181FCD">
        <w:t xml:space="preserve"> </w:t>
      </w:r>
      <w:r w:rsidRPr="00181FCD">
        <w:t>se</w:t>
      </w:r>
      <w:r w:rsidR="00F373A3" w:rsidRPr="00181FCD">
        <w:t xml:space="preserve"> </w:t>
      </w:r>
      <w:r w:rsidRPr="00181FCD">
        <w:t>impartió</w:t>
      </w:r>
      <w:r w:rsidR="00F373A3" w:rsidRPr="00181FCD">
        <w:t xml:space="preserve"> </w:t>
      </w:r>
      <w:r w:rsidRPr="00181FCD">
        <w:t>formación</w:t>
      </w:r>
      <w:r w:rsidR="00F373A3" w:rsidRPr="00181FCD">
        <w:t xml:space="preserve"> </w:t>
      </w:r>
      <w:r w:rsidRPr="00181FCD">
        <w:t>a</w:t>
      </w:r>
      <w:r w:rsidR="00F373A3" w:rsidRPr="00181FCD">
        <w:t xml:space="preserve"> </w:t>
      </w:r>
      <w:r w:rsidRPr="00181FCD">
        <w:t>más</w:t>
      </w:r>
      <w:r w:rsidR="00F373A3" w:rsidRPr="00181FCD">
        <w:t xml:space="preserve"> </w:t>
      </w:r>
      <w:r w:rsidRPr="00181FCD">
        <w:t>de</w:t>
      </w:r>
      <w:r w:rsidR="00F373A3" w:rsidRPr="00181FCD">
        <w:t xml:space="preserve"> </w:t>
      </w:r>
      <w:r w:rsidRPr="00181FCD">
        <w:t>800</w:t>
      </w:r>
      <w:r w:rsidR="00F373A3" w:rsidRPr="00181FCD">
        <w:t xml:space="preserve"> </w:t>
      </w:r>
      <w:r w:rsidRPr="00181FCD">
        <w:t>agentes</w:t>
      </w:r>
      <w:r w:rsidR="00F373A3" w:rsidRPr="00181FCD">
        <w:t xml:space="preserve"> </w:t>
      </w:r>
      <w:r w:rsidRPr="00181FCD">
        <w:t>de</w:t>
      </w:r>
      <w:r w:rsidR="00F373A3" w:rsidRPr="00181FCD">
        <w:t xml:space="preserve"> </w:t>
      </w:r>
      <w:r w:rsidRPr="00181FCD">
        <w:t>policía</w:t>
      </w:r>
      <w:r w:rsidR="00F373A3" w:rsidRPr="00181FCD">
        <w:t xml:space="preserve"> </w:t>
      </w:r>
      <w:r w:rsidRPr="00181FCD">
        <w:t>de</w:t>
      </w:r>
      <w:r w:rsidR="00F373A3" w:rsidRPr="00181FCD">
        <w:t xml:space="preserve"> </w:t>
      </w:r>
      <w:r w:rsidRPr="00181FCD">
        <w:t>la</w:t>
      </w:r>
      <w:r w:rsidR="00F373A3" w:rsidRPr="00181FCD">
        <w:t xml:space="preserve"> </w:t>
      </w:r>
      <w:r w:rsidRPr="00181FCD">
        <w:t>Dirección</w:t>
      </w:r>
      <w:r w:rsidR="00F373A3" w:rsidRPr="00181FCD">
        <w:t xml:space="preserve"> </w:t>
      </w:r>
      <w:r w:rsidRPr="00181FCD">
        <w:t>del</w:t>
      </w:r>
      <w:r w:rsidR="00F373A3" w:rsidRPr="00181FCD">
        <w:t xml:space="preserve"> </w:t>
      </w:r>
      <w:r w:rsidRPr="00181FCD">
        <w:t>Interior</w:t>
      </w:r>
      <w:r w:rsidR="00F373A3" w:rsidRPr="00181FCD">
        <w:t xml:space="preserve"> </w:t>
      </w:r>
      <w:r w:rsidRPr="00181FCD">
        <w:t>de</w:t>
      </w:r>
      <w:r w:rsidR="00F373A3" w:rsidRPr="00181FCD">
        <w:t xml:space="preserve"> </w:t>
      </w:r>
      <w:r w:rsidRPr="00181FCD">
        <w:t>la</w:t>
      </w:r>
      <w:r w:rsidR="00F373A3" w:rsidRPr="00181FCD">
        <w:t xml:space="preserve"> </w:t>
      </w:r>
      <w:r w:rsidRPr="00181FCD">
        <w:t>Zona</w:t>
      </w:r>
      <w:r w:rsidR="00F373A3" w:rsidRPr="00181FCD">
        <w:t xml:space="preserve"> </w:t>
      </w:r>
      <w:r w:rsidRPr="00181FCD">
        <w:t>Metropolitana</w:t>
      </w:r>
      <w:r w:rsidR="00F373A3" w:rsidRPr="00181FCD">
        <w:t xml:space="preserve"> </w:t>
      </w:r>
      <w:r w:rsidRPr="00181FCD">
        <w:t>de</w:t>
      </w:r>
      <w:r w:rsidR="00F373A3" w:rsidRPr="00181FCD">
        <w:t xml:space="preserve"> </w:t>
      </w:r>
      <w:r w:rsidRPr="00181FCD">
        <w:t>Sofía</w:t>
      </w:r>
      <w:r w:rsidR="00F373A3" w:rsidRPr="00181FCD">
        <w:t xml:space="preserve"> </w:t>
      </w:r>
      <w:r w:rsidRPr="00181FCD">
        <w:t>y</w:t>
      </w:r>
      <w:r w:rsidR="00F373A3" w:rsidRPr="00181FCD">
        <w:t xml:space="preserve"> </w:t>
      </w:r>
      <w:r w:rsidRPr="00181FCD">
        <w:t>las</w:t>
      </w:r>
      <w:r w:rsidR="00F373A3" w:rsidRPr="00181FCD">
        <w:t xml:space="preserve"> </w:t>
      </w:r>
      <w:r w:rsidRPr="00181FCD">
        <w:t>Direcciones</w:t>
      </w:r>
      <w:r w:rsidR="00F373A3" w:rsidRPr="00181FCD">
        <w:t xml:space="preserve"> </w:t>
      </w:r>
      <w:r w:rsidRPr="00181FCD">
        <w:t>Regionales</w:t>
      </w:r>
      <w:r w:rsidR="00F373A3" w:rsidRPr="00181FCD">
        <w:t xml:space="preserve"> </w:t>
      </w:r>
      <w:r w:rsidRPr="00181FCD">
        <w:t>del</w:t>
      </w:r>
      <w:r w:rsidR="00F373A3" w:rsidRPr="00181FCD">
        <w:t xml:space="preserve"> </w:t>
      </w:r>
      <w:r w:rsidRPr="00181FCD">
        <w:t>Ministerio</w:t>
      </w:r>
      <w:r w:rsidR="00F373A3" w:rsidRPr="00181FCD">
        <w:t xml:space="preserve"> </w:t>
      </w:r>
      <w:r w:rsidRPr="00181FCD">
        <w:t>del</w:t>
      </w:r>
      <w:r w:rsidR="00F373A3" w:rsidRPr="00181FCD">
        <w:t xml:space="preserve"> </w:t>
      </w:r>
      <w:r w:rsidRPr="00181FCD">
        <w:t>Interior.</w:t>
      </w:r>
    </w:p>
    <w:p w:rsidR="001937F4" w:rsidRPr="00181FCD" w:rsidRDefault="001937F4" w:rsidP="00347B20">
      <w:pPr>
        <w:pStyle w:val="SingleTxtG"/>
        <w:suppressAutoHyphens/>
      </w:pPr>
      <w:r w:rsidRPr="00181FCD">
        <w:t>150.</w:t>
      </w:r>
      <w:r w:rsidRPr="00181FCD">
        <w:tab/>
        <w:t>En</w:t>
      </w:r>
      <w:r w:rsidR="00F373A3" w:rsidRPr="00181FCD">
        <w:t xml:space="preserve"> </w:t>
      </w:r>
      <w:r w:rsidRPr="00181FCD">
        <w:t>2012,</w:t>
      </w:r>
      <w:r w:rsidR="00F373A3" w:rsidRPr="00181FCD">
        <w:t xml:space="preserve"> </w:t>
      </w:r>
      <w:r w:rsidRPr="00181FCD">
        <w:t>el</w:t>
      </w:r>
      <w:r w:rsidR="00F373A3" w:rsidRPr="00181FCD">
        <w:t xml:space="preserve"> </w:t>
      </w:r>
      <w:r w:rsidRPr="00181FCD">
        <w:t>Instituto</w:t>
      </w:r>
      <w:r w:rsidR="00F373A3" w:rsidRPr="00181FCD">
        <w:t xml:space="preserve"> </w:t>
      </w:r>
      <w:r w:rsidRPr="00181FCD">
        <w:t>Nacional</w:t>
      </w:r>
      <w:r w:rsidR="00F373A3" w:rsidRPr="00181FCD">
        <w:t xml:space="preserve"> </w:t>
      </w:r>
      <w:r w:rsidRPr="00181FCD">
        <w:t>de</w:t>
      </w:r>
      <w:r w:rsidR="00F373A3" w:rsidRPr="00181FCD">
        <w:t xml:space="preserve"> </w:t>
      </w:r>
      <w:r w:rsidRPr="00181FCD">
        <w:t>Justicia</w:t>
      </w:r>
      <w:r w:rsidR="00F373A3" w:rsidRPr="00181FCD">
        <w:t xml:space="preserve"> </w:t>
      </w:r>
      <w:r w:rsidRPr="00181FCD">
        <w:t>organizó</w:t>
      </w:r>
      <w:r w:rsidR="00F373A3" w:rsidRPr="00181FCD">
        <w:t xml:space="preserve"> </w:t>
      </w:r>
      <w:r w:rsidRPr="00181FCD">
        <w:t>un</w:t>
      </w:r>
      <w:r w:rsidR="00F373A3" w:rsidRPr="00181FCD">
        <w:t xml:space="preserve"> </w:t>
      </w:r>
      <w:r w:rsidRPr="00181FCD">
        <w:t>curso</w:t>
      </w:r>
      <w:r w:rsidR="00F373A3" w:rsidRPr="00181FCD">
        <w:t xml:space="preserve"> </w:t>
      </w:r>
      <w:r w:rsidRPr="00181FCD">
        <w:t>de</w:t>
      </w:r>
      <w:r w:rsidR="00F373A3" w:rsidRPr="00181FCD">
        <w:t xml:space="preserve"> </w:t>
      </w:r>
      <w:r w:rsidRPr="00181FCD">
        <w:t>educación</w:t>
      </w:r>
      <w:r w:rsidR="00F373A3" w:rsidRPr="00181FCD">
        <w:t xml:space="preserve"> </w:t>
      </w:r>
      <w:r w:rsidRPr="00181FCD">
        <w:t>a</w:t>
      </w:r>
      <w:r w:rsidR="00F373A3" w:rsidRPr="00181FCD">
        <w:t xml:space="preserve"> </w:t>
      </w:r>
      <w:r w:rsidRPr="00181FCD">
        <w:t>distancia</w:t>
      </w:r>
      <w:r w:rsidR="00F373A3" w:rsidRPr="00181FCD">
        <w:t xml:space="preserve"> </w:t>
      </w:r>
      <w:r w:rsidRPr="00181FCD">
        <w:t>sobre</w:t>
      </w:r>
      <w:r w:rsidR="00F373A3" w:rsidRPr="00181FCD">
        <w:t xml:space="preserve"> </w:t>
      </w:r>
      <w:r w:rsidRPr="00181FCD">
        <w:t>el</w:t>
      </w:r>
      <w:r w:rsidR="00F373A3" w:rsidRPr="00181FCD">
        <w:t xml:space="preserve"> </w:t>
      </w:r>
      <w:r w:rsidRPr="00181FCD">
        <w:t>tema</w:t>
      </w:r>
      <w:r w:rsidR="00F373A3" w:rsidRPr="00181FCD">
        <w:t xml:space="preserve"> </w:t>
      </w:r>
      <w:r w:rsidRPr="00181FCD">
        <w:t>del</w:t>
      </w:r>
      <w:r w:rsidR="00F373A3" w:rsidRPr="00181FCD">
        <w:t xml:space="preserve"> "</w:t>
      </w:r>
      <w:r w:rsidRPr="00181FCD">
        <w:t>Procedimiento</w:t>
      </w:r>
      <w:r w:rsidR="00F373A3" w:rsidRPr="00181FCD">
        <w:t xml:space="preserve"> </w:t>
      </w:r>
      <w:r w:rsidRPr="00181FCD">
        <w:t>para</w:t>
      </w:r>
      <w:r w:rsidR="00F373A3" w:rsidRPr="00181FCD">
        <w:t xml:space="preserve"> </w:t>
      </w:r>
      <w:r w:rsidRPr="00181FCD">
        <w:t>la</w:t>
      </w:r>
      <w:r w:rsidR="00F373A3" w:rsidRPr="00181FCD">
        <w:t xml:space="preserve"> </w:t>
      </w:r>
      <w:r w:rsidRPr="00181FCD">
        <w:t>imposición</w:t>
      </w:r>
      <w:r w:rsidR="00F373A3" w:rsidRPr="00181FCD">
        <w:t xml:space="preserve"> </w:t>
      </w:r>
      <w:r w:rsidRPr="00181FCD">
        <w:t>de</w:t>
      </w:r>
      <w:r w:rsidR="00F373A3" w:rsidRPr="00181FCD">
        <w:t xml:space="preserve"> </w:t>
      </w:r>
      <w:r w:rsidRPr="00181FCD">
        <w:t>medidas</w:t>
      </w:r>
      <w:r w:rsidR="00F373A3" w:rsidRPr="00181FCD">
        <w:t xml:space="preserve"> </w:t>
      </w:r>
      <w:r w:rsidRPr="00181FCD">
        <w:t>de</w:t>
      </w:r>
      <w:r w:rsidR="00F373A3" w:rsidRPr="00181FCD">
        <w:t xml:space="preserve"> </w:t>
      </w:r>
      <w:r w:rsidRPr="00181FCD">
        <w:t>protección</w:t>
      </w:r>
      <w:r w:rsidR="00F373A3" w:rsidRPr="00181FCD">
        <w:t xml:space="preserve"> </w:t>
      </w:r>
      <w:r w:rsidRPr="00181FCD">
        <w:t>contra</w:t>
      </w:r>
      <w:r w:rsidR="00F373A3" w:rsidRPr="00181FCD">
        <w:t xml:space="preserve"> </w:t>
      </w:r>
      <w:r w:rsidRPr="00181FCD">
        <w:t>la</w:t>
      </w:r>
      <w:r w:rsidR="00F373A3" w:rsidRPr="00181FCD">
        <w:t xml:space="preserve"> </w:t>
      </w:r>
      <w:r w:rsidRPr="00181FCD">
        <w:t>violencia</w:t>
      </w:r>
      <w:r w:rsidR="00F373A3" w:rsidRPr="00181FCD">
        <w:t xml:space="preserve"> </w:t>
      </w:r>
      <w:r w:rsidRPr="00181FCD">
        <w:t>doméstica</w:t>
      </w:r>
      <w:r w:rsidR="00F373A3" w:rsidRPr="00181FCD">
        <w:t>"</w:t>
      </w:r>
      <w:r w:rsidRPr="00181FCD">
        <w:t>.</w:t>
      </w:r>
      <w:r w:rsidR="00F373A3" w:rsidRPr="00181FCD">
        <w:t xml:space="preserve"> </w:t>
      </w:r>
      <w:r w:rsidRPr="00181FCD">
        <w:t>Participaron</w:t>
      </w:r>
      <w:r w:rsidR="00F373A3" w:rsidRPr="00181FCD">
        <w:t xml:space="preserve"> </w:t>
      </w:r>
      <w:r w:rsidRPr="00181FCD">
        <w:t>en</w:t>
      </w:r>
      <w:r w:rsidR="00F373A3" w:rsidRPr="00181FCD">
        <w:t xml:space="preserve"> </w:t>
      </w:r>
      <w:r w:rsidRPr="00181FCD">
        <w:t>el</w:t>
      </w:r>
      <w:r w:rsidR="00F373A3" w:rsidRPr="00181FCD">
        <w:t xml:space="preserve"> </w:t>
      </w:r>
      <w:r w:rsidRPr="00181FCD">
        <w:t>curso</w:t>
      </w:r>
      <w:r w:rsidR="00F373A3" w:rsidRPr="00181FCD">
        <w:t xml:space="preserve"> </w:t>
      </w:r>
      <w:r w:rsidRPr="00181FCD">
        <w:t>21</w:t>
      </w:r>
      <w:r w:rsidR="00F373A3" w:rsidRPr="00181FCD">
        <w:t xml:space="preserve"> </w:t>
      </w:r>
      <w:r w:rsidRPr="00181FCD">
        <w:t>magistrados.</w:t>
      </w:r>
    </w:p>
    <w:p w:rsidR="001937F4" w:rsidRPr="00181FCD" w:rsidRDefault="001937F4" w:rsidP="00347B20">
      <w:pPr>
        <w:pStyle w:val="SingleTxtG"/>
        <w:suppressAutoHyphens/>
      </w:pPr>
      <w:r w:rsidRPr="00181FCD">
        <w:t>151.</w:t>
      </w:r>
      <w:r w:rsidRPr="00181FCD">
        <w:tab/>
        <w:t>La</w:t>
      </w:r>
      <w:r w:rsidR="00F373A3" w:rsidRPr="00181FCD">
        <w:t xml:space="preserve"> </w:t>
      </w:r>
      <w:r w:rsidRPr="00181FCD">
        <w:t>Dirección</w:t>
      </w:r>
      <w:r w:rsidR="00F373A3" w:rsidRPr="00181FCD">
        <w:t xml:space="preserve"> </w:t>
      </w:r>
      <w:r w:rsidRPr="00181FCD">
        <w:t>General</w:t>
      </w:r>
      <w:r w:rsidR="00F373A3" w:rsidRPr="00181FCD">
        <w:t xml:space="preserve"> </w:t>
      </w:r>
      <w:r w:rsidRPr="00181FCD">
        <w:t>de</w:t>
      </w:r>
      <w:r w:rsidR="00F373A3" w:rsidRPr="00181FCD">
        <w:t xml:space="preserve"> </w:t>
      </w:r>
      <w:r w:rsidRPr="00181FCD">
        <w:t>la</w:t>
      </w:r>
      <w:r w:rsidR="00F373A3" w:rsidRPr="00181FCD">
        <w:t xml:space="preserve"> </w:t>
      </w:r>
      <w:r w:rsidRPr="00181FCD">
        <w:t>Policía</w:t>
      </w:r>
      <w:r w:rsidR="00F373A3" w:rsidRPr="00181FCD">
        <w:t xml:space="preserve"> </w:t>
      </w:r>
      <w:r w:rsidRPr="00181FCD">
        <w:t>Criminal</w:t>
      </w:r>
      <w:r w:rsidR="00F373A3" w:rsidRPr="00181FCD">
        <w:t xml:space="preserve"> </w:t>
      </w:r>
      <w:r w:rsidRPr="00181FCD">
        <w:t>está</w:t>
      </w:r>
      <w:r w:rsidR="00F373A3" w:rsidRPr="00181FCD">
        <w:t xml:space="preserve"> </w:t>
      </w:r>
      <w:r w:rsidRPr="00181FCD">
        <w:t>ejecutando</w:t>
      </w:r>
      <w:r w:rsidR="00F373A3" w:rsidRPr="00181FCD">
        <w:t xml:space="preserve"> </w:t>
      </w:r>
      <w:r w:rsidRPr="00181FCD">
        <w:t>un</w:t>
      </w:r>
      <w:r w:rsidR="00F373A3" w:rsidRPr="00181FCD">
        <w:t xml:space="preserve"> </w:t>
      </w:r>
      <w:r w:rsidRPr="00181FCD">
        <w:t>proyecto</w:t>
      </w:r>
      <w:r w:rsidR="00F373A3" w:rsidRPr="00181FCD">
        <w:t xml:space="preserve"> </w:t>
      </w:r>
      <w:r w:rsidRPr="00181FCD">
        <w:t>titulado</w:t>
      </w:r>
      <w:r w:rsidR="00F373A3" w:rsidRPr="00181FCD">
        <w:t xml:space="preserve"> "</w:t>
      </w:r>
      <w:r w:rsidRPr="00181FCD">
        <w:t>Mejora</w:t>
      </w:r>
      <w:r w:rsidR="00F373A3" w:rsidRPr="00181FCD">
        <w:t xml:space="preserve"> </w:t>
      </w:r>
      <w:r w:rsidRPr="00181FCD">
        <w:t>de</w:t>
      </w:r>
      <w:r w:rsidR="00F373A3" w:rsidRPr="00181FCD">
        <w:t xml:space="preserve"> </w:t>
      </w:r>
      <w:r w:rsidRPr="00181FCD">
        <w:t>la</w:t>
      </w:r>
      <w:r w:rsidR="00F373A3" w:rsidRPr="00181FCD">
        <w:t xml:space="preserve"> </w:t>
      </w:r>
      <w:r w:rsidRPr="00181FCD">
        <w:t>capacidad</w:t>
      </w:r>
      <w:r w:rsidR="00F373A3" w:rsidRPr="00181FCD">
        <w:t xml:space="preserve"> </w:t>
      </w:r>
      <w:r w:rsidRPr="00181FCD">
        <w:t>administrativa</w:t>
      </w:r>
      <w:r w:rsidR="00F373A3" w:rsidRPr="00181FCD">
        <w:t xml:space="preserve"> </w:t>
      </w:r>
      <w:r w:rsidRPr="00181FCD">
        <w:t>de</w:t>
      </w:r>
      <w:r w:rsidR="00F373A3" w:rsidRPr="00181FCD">
        <w:t xml:space="preserve"> </w:t>
      </w:r>
      <w:r w:rsidRPr="00181FCD">
        <w:t>los</w:t>
      </w:r>
      <w:r w:rsidR="00F373A3" w:rsidRPr="00181FCD">
        <w:t xml:space="preserve"> </w:t>
      </w:r>
      <w:r w:rsidRPr="00181FCD">
        <w:t>agentes</w:t>
      </w:r>
      <w:r w:rsidR="00F373A3" w:rsidRPr="00181FCD">
        <w:t xml:space="preserve"> </w:t>
      </w:r>
      <w:r w:rsidRPr="00181FCD">
        <w:t>de</w:t>
      </w:r>
      <w:r w:rsidR="00F373A3" w:rsidRPr="00181FCD">
        <w:t xml:space="preserve"> </w:t>
      </w:r>
      <w:r w:rsidRPr="00181FCD">
        <w:t>policía</w:t>
      </w:r>
      <w:r w:rsidR="00F373A3" w:rsidRPr="00181FCD">
        <w:t xml:space="preserve"> </w:t>
      </w:r>
      <w:r w:rsidRPr="00181FCD">
        <w:t>para</w:t>
      </w:r>
      <w:r w:rsidR="00F373A3" w:rsidRPr="00181FCD">
        <w:t xml:space="preserve"> </w:t>
      </w:r>
      <w:r w:rsidRPr="00181FCD">
        <w:t>la</w:t>
      </w:r>
      <w:r w:rsidR="00F373A3" w:rsidRPr="00181FCD">
        <w:t xml:space="preserve"> </w:t>
      </w:r>
      <w:r w:rsidRPr="00181FCD">
        <w:t>prevención</w:t>
      </w:r>
      <w:r w:rsidR="00F373A3" w:rsidRPr="00181FCD">
        <w:t xml:space="preserve"> </w:t>
      </w:r>
      <w:r w:rsidRPr="00181FCD">
        <w:t>de</w:t>
      </w:r>
      <w:r w:rsidR="00F373A3" w:rsidRPr="00181FCD">
        <w:t xml:space="preserve"> </w:t>
      </w:r>
      <w:r w:rsidRPr="00181FCD">
        <w:t>los</w:t>
      </w:r>
      <w:r w:rsidR="00F373A3" w:rsidRPr="00181FCD">
        <w:t xml:space="preserve"> </w:t>
      </w:r>
      <w:r w:rsidRPr="00181FCD">
        <w:t>delitos</w:t>
      </w:r>
      <w:r w:rsidR="00F373A3" w:rsidRPr="00181FCD">
        <w:t xml:space="preserve"> </w:t>
      </w:r>
      <w:r w:rsidRPr="00181FCD">
        <w:t>sexuales</w:t>
      </w:r>
      <w:r w:rsidR="00F373A3" w:rsidRPr="00181FCD">
        <w:t xml:space="preserve"> </w:t>
      </w:r>
      <w:r w:rsidRPr="00181FCD">
        <w:t>contra</w:t>
      </w:r>
      <w:r w:rsidR="00F373A3" w:rsidRPr="00181FCD">
        <w:t xml:space="preserve"> </w:t>
      </w:r>
      <w:r w:rsidRPr="00181FCD">
        <w:t>los</w:t>
      </w:r>
      <w:r w:rsidR="00F373A3" w:rsidRPr="00181FCD">
        <w:t xml:space="preserve"> </w:t>
      </w:r>
      <w:r w:rsidRPr="00181FCD">
        <w:t>niños</w:t>
      </w:r>
      <w:r w:rsidR="00F373A3" w:rsidRPr="00181FCD">
        <w:t>"</w:t>
      </w:r>
      <w:r w:rsidRPr="00181FCD">
        <w:t>.</w:t>
      </w:r>
      <w:r w:rsidR="00F373A3" w:rsidRPr="00181FCD">
        <w:t xml:space="preserve"> </w:t>
      </w:r>
      <w:r w:rsidRPr="00181FCD">
        <w:t>En</w:t>
      </w:r>
      <w:r w:rsidR="00F373A3" w:rsidRPr="00181FCD">
        <w:t xml:space="preserve"> </w:t>
      </w:r>
      <w:r w:rsidRPr="00181FCD">
        <w:t>el</w:t>
      </w:r>
      <w:r w:rsidR="00F373A3" w:rsidRPr="00181FCD">
        <w:t xml:space="preserve"> </w:t>
      </w:r>
      <w:r w:rsidRPr="00181FCD">
        <w:t>período</w:t>
      </w:r>
      <w:r w:rsidR="00F373A3" w:rsidRPr="00181FCD">
        <w:t xml:space="preserve"> </w:t>
      </w:r>
      <w:r w:rsidRPr="00181FCD">
        <w:t>de</w:t>
      </w:r>
      <w:r w:rsidR="00F373A3" w:rsidRPr="00181FCD">
        <w:t xml:space="preserve"> </w:t>
      </w:r>
      <w:r w:rsidRPr="00181FCD">
        <w:t>un</w:t>
      </w:r>
      <w:r w:rsidR="00F373A3" w:rsidRPr="00181FCD">
        <w:t xml:space="preserve"> </w:t>
      </w:r>
      <w:r w:rsidRPr="00181FCD">
        <w:t>año</w:t>
      </w:r>
      <w:r w:rsidR="00F373A3" w:rsidRPr="00181FCD">
        <w:t xml:space="preserve"> </w:t>
      </w:r>
      <w:r w:rsidRPr="00181FCD">
        <w:t>se</w:t>
      </w:r>
      <w:r w:rsidR="00F373A3" w:rsidRPr="00181FCD">
        <w:t xml:space="preserve"> </w:t>
      </w:r>
      <w:r w:rsidRPr="00181FCD">
        <w:t>impartieron</w:t>
      </w:r>
      <w:r w:rsidR="00F373A3" w:rsidRPr="00181FCD">
        <w:t xml:space="preserve"> </w:t>
      </w:r>
      <w:r w:rsidRPr="00181FCD">
        <w:t>en</w:t>
      </w:r>
      <w:r w:rsidR="00F373A3" w:rsidRPr="00181FCD">
        <w:t xml:space="preserve"> </w:t>
      </w:r>
      <w:r w:rsidRPr="00181FCD">
        <w:t>la</w:t>
      </w:r>
      <w:r w:rsidR="00F373A3" w:rsidRPr="00181FCD">
        <w:t xml:space="preserve"> </w:t>
      </w:r>
      <w:r w:rsidRPr="00181FCD">
        <w:t>Academia</w:t>
      </w:r>
      <w:r w:rsidR="00F373A3" w:rsidRPr="00181FCD">
        <w:t xml:space="preserve"> </w:t>
      </w:r>
      <w:r w:rsidRPr="00181FCD">
        <w:t>del</w:t>
      </w:r>
      <w:r w:rsidR="00F373A3" w:rsidRPr="00181FCD">
        <w:t xml:space="preserve"> </w:t>
      </w:r>
      <w:r w:rsidRPr="00181FCD">
        <w:t>Ministerio</w:t>
      </w:r>
      <w:r w:rsidR="00F373A3" w:rsidRPr="00181FCD">
        <w:t xml:space="preserve"> </w:t>
      </w:r>
      <w:r w:rsidRPr="00181FCD">
        <w:t>del</w:t>
      </w:r>
      <w:r w:rsidR="00F373A3" w:rsidRPr="00181FCD">
        <w:t xml:space="preserve"> </w:t>
      </w:r>
      <w:r w:rsidRPr="00181FCD">
        <w:t>Interior</w:t>
      </w:r>
      <w:r w:rsidR="00F373A3" w:rsidRPr="00181FCD">
        <w:t xml:space="preserve"> </w:t>
      </w:r>
      <w:r w:rsidRPr="00181FCD">
        <w:t>cinco</w:t>
      </w:r>
      <w:r w:rsidR="00F373A3" w:rsidRPr="00181FCD">
        <w:t xml:space="preserve"> </w:t>
      </w:r>
      <w:r w:rsidRPr="00181FCD">
        <w:t>cursos</w:t>
      </w:r>
      <w:r w:rsidR="00F373A3" w:rsidRPr="00181FCD">
        <w:t xml:space="preserve"> </w:t>
      </w:r>
      <w:r w:rsidRPr="00181FCD">
        <w:t>sobre</w:t>
      </w:r>
      <w:r w:rsidR="00F373A3" w:rsidRPr="00181FCD">
        <w:t xml:space="preserve"> </w:t>
      </w:r>
      <w:r w:rsidRPr="00181FCD">
        <w:t>los</w:t>
      </w:r>
      <w:r w:rsidR="00F373A3" w:rsidRPr="00181FCD">
        <w:t xml:space="preserve"> </w:t>
      </w:r>
      <w:r w:rsidRPr="00181FCD">
        <w:t>métodos</w:t>
      </w:r>
      <w:r w:rsidR="00F373A3" w:rsidRPr="00181FCD">
        <w:t xml:space="preserve"> </w:t>
      </w:r>
      <w:r w:rsidRPr="00181FCD">
        <w:t>especiales</w:t>
      </w:r>
      <w:r w:rsidR="00F373A3" w:rsidRPr="00181FCD">
        <w:t xml:space="preserve"> </w:t>
      </w:r>
      <w:r w:rsidRPr="00181FCD">
        <w:t>para</w:t>
      </w:r>
      <w:r w:rsidR="00F373A3" w:rsidRPr="00181FCD">
        <w:t xml:space="preserve"> </w:t>
      </w:r>
      <w:r w:rsidRPr="00181FCD">
        <w:t>tomar</w:t>
      </w:r>
      <w:r w:rsidR="00F373A3" w:rsidRPr="00181FCD">
        <w:t xml:space="preserve"> </w:t>
      </w:r>
      <w:r w:rsidRPr="00181FCD">
        <w:t>declaración</w:t>
      </w:r>
      <w:r w:rsidR="00F373A3" w:rsidRPr="00181FCD">
        <w:t xml:space="preserve"> </w:t>
      </w:r>
      <w:r w:rsidRPr="00181FCD">
        <w:t>a</w:t>
      </w:r>
      <w:r w:rsidR="00F373A3" w:rsidRPr="00181FCD">
        <w:t xml:space="preserve"> </w:t>
      </w:r>
      <w:r w:rsidRPr="00181FCD">
        <w:t>los</w:t>
      </w:r>
      <w:r w:rsidR="00F373A3" w:rsidRPr="00181FCD">
        <w:t xml:space="preserve"> </w:t>
      </w:r>
      <w:r w:rsidRPr="00181FCD">
        <w:t>niños</w:t>
      </w:r>
      <w:r w:rsidR="00F373A3" w:rsidRPr="00181FCD">
        <w:t xml:space="preserve"> </w:t>
      </w:r>
      <w:r w:rsidRPr="00181FCD">
        <w:t>víctimas</w:t>
      </w:r>
      <w:r w:rsidR="00F373A3" w:rsidRPr="00181FCD">
        <w:t xml:space="preserve"> </w:t>
      </w:r>
      <w:r w:rsidRPr="00181FCD">
        <w:t>o</w:t>
      </w:r>
      <w:r w:rsidR="00F373A3" w:rsidRPr="00181FCD">
        <w:t xml:space="preserve"> </w:t>
      </w:r>
      <w:r w:rsidRPr="00181FCD">
        <w:t>expuestos</w:t>
      </w:r>
      <w:r w:rsidR="00F373A3" w:rsidRPr="00181FCD">
        <w:t xml:space="preserve"> </w:t>
      </w:r>
      <w:r w:rsidRPr="00181FCD">
        <w:t>a</w:t>
      </w:r>
      <w:r w:rsidR="00F373A3" w:rsidRPr="00181FCD">
        <w:t xml:space="preserve"> </w:t>
      </w:r>
      <w:r w:rsidRPr="00181FCD">
        <w:t>la</w:t>
      </w:r>
      <w:r w:rsidR="00F373A3" w:rsidRPr="00181FCD">
        <w:t xml:space="preserve"> </w:t>
      </w:r>
      <w:r w:rsidRPr="00181FCD">
        <w:t>violencia.</w:t>
      </w:r>
      <w:r w:rsidR="00F373A3" w:rsidRPr="00181FCD">
        <w:t xml:space="preserve"> </w:t>
      </w:r>
      <w:r w:rsidRPr="00181FCD">
        <w:t>Se</w:t>
      </w:r>
      <w:r w:rsidR="00F373A3" w:rsidRPr="00181FCD">
        <w:t xml:space="preserve"> </w:t>
      </w:r>
      <w:r w:rsidRPr="00181FCD">
        <w:t>capacitó</w:t>
      </w:r>
      <w:r w:rsidR="00F373A3" w:rsidRPr="00181FCD">
        <w:t xml:space="preserve"> </w:t>
      </w:r>
      <w:r w:rsidRPr="00181FCD">
        <w:t>a</w:t>
      </w:r>
      <w:r w:rsidR="00F373A3" w:rsidRPr="00181FCD">
        <w:t xml:space="preserve"> </w:t>
      </w:r>
      <w:r w:rsidRPr="00181FCD">
        <w:t>un</w:t>
      </w:r>
      <w:r w:rsidR="00F373A3" w:rsidRPr="00181FCD">
        <w:t xml:space="preserve"> </w:t>
      </w:r>
      <w:r w:rsidRPr="00181FCD">
        <w:t>total</w:t>
      </w:r>
      <w:r w:rsidR="00F373A3" w:rsidRPr="00181FCD">
        <w:t xml:space="preserve"> </w:t>
      </w:r>
      <w:r w:rsidRPr="00181FCD">
        <w:t>de</w:t>
      </w:r>
      <w:r w:rsidR="00F373A3" w:rsidRPr="00181FCD">
        <w:t xml:space="preserve"> </w:t>
      </w:r>
      <w:r w:rsidRPr="00181FCD">
        <w:t>115</w:t>
      </w:r>
      <w:r w:rsidR="00F373A3" w:rsidRPr="00181FCD">
        <w:t xml:space="preserve"> </w:t>
      </w:r>
      <w:r w:rsidRPr="00181FCD">
        <w:t>agentes</w:t>
      </w:r>
      <w:r w:rsidR="00F373A3" w:rsidRPr="00181FCD">
        <w:t xml:space="preserve"> </w:t>
      </w:r>
      <w:r w:rsidRPr="00181FCD">
        <w:t>de</w:t>
      </w:r>
      <w:r w:rsidR="00F373A3" w:rsidRPr="00181FCD">
        <w:t xml:space="preserve"> </w:t>
      </w:r>
      <w:r w:rsidRPr="00181FCD">
        <w:t>policía.</w:t>
      </w:r>
      <w:r w:rsidR="00F373A3" w:rsidRPr="00181FCD">
        <w:t xml:space="preserve"> </w:t>
      </w:r>
      <w:r w:rsidRPr="00181FCD">
        <w:t>El</w:t>
      </w:r>
      <w:r w:rsidR="00F373A3" w:rsidRPr="00181FCD">
        <w:t xml:space="preserve"> </w:t>
      </w:r>
      <w:r w:rsidRPr="00181FCD">
        <w:t>programa</w:t>
      </w:r>
      <w:r w:rsidR="00F373A3" w:rsidRPr="00181FCD">
        <w:t xml:space="preserve"> </w:t>
      </w:r>
      <w:r w:rsidRPr="00181FCD">
        <w:t>del</w:t>
      </w:r>
      <w:r w:rsidR="00F373A3" w:rsidRPr="00181FCD">
        <w:t xml:space="preserve"> </w:t>
      </w:r>
      <w:r w:rsidRPr="00181FCD">
        <w:t>curso</w:t>
      </w:r>
      <w:r w:rsidR="00F373A3" w:rsidRPr="00181FCD">
        <w:t xml:space="preserve"> </w:t>
      </w:r>
      <w:r w:rsidRPr="00181FCD">
        <w:t>se</w:t>
      </w:r>
      <w:r w:rsidR="00F373A3" w:rsidRPr="00181FCD">
        <w:t xml:space="preserve"> </w:t>
      </w:r>
      <w:r w:rsidRPr="00181FCD">
        <w:t>elaboró</w:t>
      </w:r>
      <w:r w:rsidR="00F373A3" w:rsidRPr="00181FCD">
        <w:t xml:space="preserve"> </w:t>
      </w:r>
      <w:r w:rsidRPr="00181FCD">
        <w:t>como</w:t>
      </w:r>
      <w:r w:rsidR="00F373A3" w:rsidRPr="00181FCD">
        <w:t xml:space="preserve"> </w:t>
      </w:r>
      <w:r w:rsidRPr="00181FCD">
        <w:t>parte</w:t>
      </w:r>
      <w:r w:rsidR="00F373A3" w:rsidRPr="00181FCD">
        <w:t xml:space="preserve"> </w:t>
      </w:r>
      <w:r w:rsidRPr="00181FCD">
        <w:t>del</w:t>
      </w:r>
      <w:r w:rsidR="00F373A3" w:rsidRPr="00181FCD">
        <w:t xml:space="preserve"> </w:t>
      </w:r>
      <w:r w:rsidRPr="00181FCD">
        <w:t>proyecto</w:t>
      </w:r>
      <w:r w:rsidR="00F373A3" w:rsidRPr="00181FCD">
        <w:t xml:space="preserve"> "</w:t>
      </w:r>
      <w:r w:rsidRPr="00181FCD">
        <w:t>Escuchar</w:t>
      </w:r>
      <w:r w:rsidR="00F373A3" w:rsidRPr="00181FCD">
        <w:t xml:space="preserve"> </w:t>
      </w:r>
      <w:r w:rsidRPr="00181FCD">
        <w:t>al</w:t>
      </w:r>
      <w:r w:rsidR="00F373A3" w:rsidRPr="00181FCD">
        <w:t xml:space="preserve"> </w:t>
      </w:r>
      <w:r w:rsidRPr="00181FCD">
        <w:t>niño</w:t>
      </w:r>
      <w:r w:rsidR="00F373A3" w:rsidRPr="00181FCD">
        <w:t>"</w:t>
      </w:r>
      <w:r w:rsidRPr="00181FCD">
        <w:t>,</w:t>
      </w:r>
      <w:r w:rsidR="00F373A3" w:rsidRPr="00181FCD">
        <w:t xml:space="preserve"> </w:t>
      </w:r>
      <w:r w:rsidRPr="00181FCD">
        <w:t>junto</w:t>
      </w:r>
      <w:r w:rsidR="00F373A3" w:rsidRPr="00181FCD">
        <w:t xml:space="preserve"> </w:t>
      </w:r>
      <w:r w:rsidRPr="00181FCD">
        <w:t>con</w:t>
      </w:r>
      <w:r w:rsidR="00F373A3" w:rsidRPr="00181FCD">
        <w:t xml:space="preserve"> </w:t>
      </w:r>
      <w:r w:rsidRPr="00181FCD">
        <w:t>expertos</w:t>
      </w:r>
      <w:r w:rsidR="00F373A3" w:rsidRPr="00181FCD">
        <w:t xml:space="preserve"> </w:t>
      </w:r>
      <w:r w:rsidRPr="00181FCD">
        <w:t>del</w:t>
      </w:r>
      <w:r w:rsidR="00F373A3" w:rsidRPr="00181FCD">
        <w:t xml:space="preserve"> </w:t>
      </w:r>
      <w:r w:rsidRPr="00181FCD">
        <w:t>Instituto</w:t>
      </w:r>
      <w:r w:rsidR="00F373A3" w:rsidRPr="00181FCD">
        <w:t xml:space="preserve"> </w:t>
      </w:r>
      <w:r w:rsidRPr="00181FCD">
        <w:t>de</w:t>
      </w:r>
      <w:r w:rsidR="00F373A3" w:rsidRPr="00181FCD">
        <w:t xml:space="preserve"> </w:t>
      </w:r>
      <w:r w:rsidRPr="00181FCD">
        <w:t>Actividades</w:t>
      </w:r>
      <w:r w:rsidR="00F373A3" w:rsidRPr="00181FCD">
        <w:t xml:space="preserve"> </w:t>
      </w:r>
      <w:r w:rsidRPr="00181FCD">
        <w:t>y</w:t>
      </w:r>
      <w:r w:rsidR="00F373A3" w:rsidRPr="00181FCD">
        <w:t xml:space="preserve"> </w:t>
      </w:r>
      <w:r w:rsidRPr="00181FCD">
        <w:t>Prácticas</w:t>
      </w:r>
      <w:r w:rsidR="00F373A3" w:rsidRPr="00181FCD">
        <w:t xml:space="preserve"> </w:t>
      </w:r>
      <w:r w:rsidRPr="00181FCD">
        <w:t>Sociales.</w:t>
      </w:r>
    </w:p>
    <w:p w:rsidR="001937F4" w:rsidRPr="00181FCD" w:rsidRDefault="001937F4" w:rsidP="00347B20">
      <w:pPr>
        <w:pStyle w:val="SingleTxtG"/>
        <w:suppressAutoHyphens/>
      </w:pPr>
      <w:r w:rsidRPr="00181FCD">
        <w:t>152.</w:t>
      </w:r>
      <w:r w:rsidRPr="00181FCD">
        <w:tab/>
        <w:t>Está</w:t>
      </w:r>
      <w:r w:rsidR="00F373A3" w:rsidRPr="00181FCD">
        <w:t xml:space="preserve"> </w:t>
      </w:r>
      <w:r w:rsidRPr="00181FCD">
        <w:t>previsto</w:t>
      </w:r>
      <w:r w:rsidR="00F373A3" w:rsidRPr="00181FCD">
        <w:t xml:space="preserve"> </w:t>
      </w:r>
      <w:r w:rsidRPr="00181FCD">
        <w:t>aprobar</w:t>
      </w:r>
      <w:r w:rsidR="00F373A3" w:rsidRPr="00181FCD">
        <w:t xml:space="preserve"> </w:t>
      </w:r>
      <w:r w:rsidRPr="00181FCD">
        <w:t>el</w:t>
      </w:r>
      <w:r w:rsidR="00F373A3" w:rsidRPr="00181FCD">
        <w:t xml:space="preserve"> </w:t>
      </w:r>
      <w:r w:rsidRPr="00181FCD">
        <w:t>establecimiento</w:t>
      </w:r>
      <w:r w:rsidR="00F373A3" w:rsidRPr="00181FCD">
        <w:t xml:space="preserve"> </w:t>
      </w:r>
      <w:r w:rsidRPr="00181FCD">
        <w:t>de</w:t>
      </w:r>
      <w:r w:rsidR="00F373A3" w:rsidRPr="00181FCD">
        <w:t xml:space="preserve"> </w:t>
      </w:r>
      <w:r w:rsidRPr="00181FCD">
        <w:t>un</w:t>
      </w:r>
      <w:r w:rsidR="00F373A3" w:rsidRPr="00181FCD">
        <w:t xml:space="preserve"> </w:t>
      </w:r>
      <w:r w:rsidRPr="00181FCD">
        <w:t>mecanismo</w:t>
      </w:r>
      <w:r w:rsidR="00F373A3" w:rsidRPr="00181FCD">
        <w:t xml:space="preserve"> </w:t>
      </w:r>
      <w:r w:rsidRPr="00181FCD">
        <w:t>nacional</w:t>
      </w:r>
      <w:r w:rsidR="00F373A3" w:rsidRPr="00181FCD">
        <w:t xml:space="preserve"> </w:t>
      </w:r>
      <w:r w:rsidRPr="00181FCD">
        <w:t>de</w:t>
      </w:r>
      <w:r w:rsidR="00F373A3" w:rsidRPr="00181FCD">
        <w:t xml:space="preserve"> </w:t>
      </w:r>
      <w:r w:rsidRPr="00181FCD">
        <w:t>coordinación</w:t>
      </w:r>
      <w:r w:rsidR="00F373A3" w:rsidRPr="00181FCD">
        <w:t xml:space="preserve"> </w:t>
      </w:r>
      <w:r w:rsidRPr="00181FCD">
        <w:t>del</w:t>
      </w:r>
      <w:r w:rsidR="00F373A3" w:rsidRPr="00181FCD">
        <w:t xml:space="preserve"> </w:t>
      </w:r>
      <w:r w:rsidRPr="00181FCD">
        <w:t>apoyo</w:t>
      </w:r>
      <w:r w:rsidR="00F373A3" w:rsidRPr="00181FCD">
        <w:t xml:space="preserve"> </w:t>
      </w:r>
      <w:r w:rsidRPr="00181FCD">
        <w:t>y</w:t>
      </w:r>
      <w:r w:rsidR="00F373A3" w:rsidRPr="00181FCD">
        <w:t xml:space="preserve"> </w:t>
      </w:r>
      <w:r w:rsidRPr="00181FCD">
        <w:t>la</w:t>
      </w:r>
      <w:r w:rsidR="00F373A3" w:rsidRPr="00181FCD">
        <w:t xml:space="preserve"> </w:t>
      </w:r>
      <w:r w:rsidRPr="00181FCD">
        <w:t>asistencia</w:t>
      </w:r>
      <w:r w:rsidR="00F373A3" w:rsidRPr="00181FCD">
        <w:t xml:space="preserve"> </w:t>
      </w:r>
      <w:r w:rsidRPr="00181FCD">
        <w:t>a</w:t>
      </w:r>
      <w:r w:rsidR="00F373A3" w:rsidRPr="00181FCD">
        <w:t xml:space="preserve"> </w:t>
      </w:r>
      <w:r w:rsidRPr="00181FCD">
        <w:t>las</w:t>
      </w:r>
      <w:r w:rsidR="00F373A3" w:rsidRPr="00181FCD">
        <w:t xml:space="preserve"> </w:t>
      </w:r>
      <w:r w:rsidRPr="00181FCD">
        <w:t>víctimas</w:t>
      </w:r>
      <w:r w:rsidR="00F373A3" w:rsidRPr="00181FCD">
        <w:t xml:space="preserve"> </w:t>
      </w:r>
      <w:r w:rsidRPr="00181FCD">
        <w:t>de</w:t>
      </w:r>
      <w:r w:rsidR="00F373A3" w:rsidRPr="00181FCD">
        <w:t xml:space="preserve"> </w:t>
      </w:r>
      <w:r w:rsidRPr="00181FCD">
        <w:t>la</w:t>
      </w:r>
      <w:r w:rsidR="00F373A3" w:rsidRPr="00181FCD">
        <w:t xml:space="preserve"> </w:t>
      </w:r>
      <w:r w:rsidRPr="00181FCD">
        <w:t>violencia</w:t>
      </w:r>
      <w:r w:rsidR="00F373A3" w:rsidRPr="00181FCD">
        <w:t xml:space="preserve"> </w:t>
      </w:r>
      <w:r w:rsidRPr="00181FCD">
        <w:t>doméstica</w:t>
      </w:r>
      <w:r w:rsidR="00F373A3" w:rsidRPr="00181FCD">
        <w:t xml:space="preserve"> </w:t>
      </w:r>
      <w:r w:rsidRPr="00181FCD">
        <w:t>y</w:t>
      </w:r>
      <w:r w:rsidR="00F373A3" w:rsidRPr="00181FCD">
        <w:t xml:space="preserve"> </w:t>
      </w:r>
      <w:r w:rsidRPr="00181FCD">
        <w:t>las</w:t>
      </w:r>
      <w:r w:rsidR="00F373A3" w:rsidRPr="00181FCD">
        <w:t xml:space="preserve"> </w:t>
      </w:r>
      <w:r w:rsidRPr="00181FCD">
        <w:t>normas</w:t>
      </w:r>
      <w:r w:rsidR="00F373A3" w:rsidRPr="00181FCD">
        <w:t xml:space="preserve"> </w:t>
      </w:r>
      <w:r w:rsidRPr="00181FCD">
        <w:t>para</w:t>
      </w:r>
      <w:r w:rsidR="00F373A3" w:rsidRPr="00181FCD">
        <w:t xml:space="preserve"> </w:t>
      </w:r>
      <w:r w:rsidRPr="00181FCD">
        <w:t>los</w:t>
      </w:r>
      <w:r w:rsidR="00F373A3" w:rsidRPr="00181FCD">
        <w:t xml:space="preserve"> </w:t>
      </w:r>
      <w:r w:rsidRPr="00181FCD">
        <w:t>servicios</w:t>
      </w:r>
      <w:r w:rsidR="00F373A3" w:rsidRPr="00181FCD">
        <w:t xml:space="preserve"> </w:t>
      </w:r>
      <w:r w:rsidRPr="00181FCD">
        <w:t>que</w:t>
      </w:r>
      <w:r w:rsidR="00F373A3" w:rsidRPr="00181FCD">
        <w:t xml:space="preserve"> </w:t>
      </w:r>
      <w:r w:rsidRPr="00181FCD">
        <w:t>se</w:t>
      </w:r>
      <w:r w:rsidR="00F373A3" w:rsidRPr="00181FCD">
        <w:t xml:space="preserve"> </w:t>
      </w:r>
      <w:r w:rsidRPr="00181FCD">
        <w:t>prestan</w:t>
      </w:r>
      <w:r w:rsidR="00F373A3" w:rsidRPr="00181FCD">
        <w:t xml:space="preserve"> </w:t>
      </w:r>
      <w:r w:rsidRPr="00181FCD">
        <w:t>a</w:t>
      </w:r>
      <w:r w:rsidR="00F373A3" w:rsidRPr="00181FCD">
        <w:t xml:space="preserve"> </w:t>
      </w:r>
      <w:r w:rsidRPr="00181FCD">
        <w:t>esas</w:t>
      </w:r>
      <w:r w:rsidR="00F373A3" w:rsidRPr="00181FCD">
        <w:t xml:space="preserve"> </w:t>
      </w:r>
      <w:r w:rsidRPr="00181FCD">
        <w:t>víctimas.</w:t>
      </w:r>
    </w:p>
    <w:p w:rsidR="001937F4" w:rsidRPr="00181FCD" w:rsidRDefault="001937F4" w:rsidP="00347B20">
      <w:pPr>
        <w:pStyle w:val="SingleTxtG"/>
        <w:suppressAutoHyphens/>
      </w:pPr>
      <w:r w:rsidRPr="00181FCD">
        <w:t>153.</w:t>
      </w:r>
      <w:r w:rsidRPr="00181FCD">
        <w:tab/>
        <w:t>En</w:t>
      </w:r>
      <w:r w:rsidR="00F373A3" w:rsidRPr="00181FCD">
        <w:t xml:space="preserve"> </w:t>
      </w:r>
      <w:r w:rsidRPr="00181FCD">
        <w:t>colaboración</w:t>
      </w:r>
      <w:r w:rsidR="00F373A3" w:rsidRPr="00181FCD">
        <w:t xml:space="preserve"> </w:t>
      </w:r>
      <w:r w:rsidRPr="00181FCD">
        <w:t>con</w:t>
      </w:r>
      <w:r w:rsidR="00F373A3" w:rsidRPr="00181FCD">
        <w:t xml:space="preserve"> </w:t>
      </w:r>
      <w:r w:rsidRPr="00181FCD">
        <w:t>las</w:t>
      </w:r>
      <w:r w:rsidR="00F373A3" w:rsidRPr="00181FCD">
        <w:t xml:space="preserve"> </w:t>
      </w:r>
      <w:r w:rsidRPr="00181FCD">
        <w:t>autoridades</w:t>
      </w:r>
      <w:r w:rsidR="00F373A3" w:rsidRPr="00181FCD">
        <w:t xml:space="preserve"> </w:t>
      </w:r>
      <w:r w:rsidRPr="00181FCD">
        <w:t>locales,</w:t>
      </w:r>
      <w:r w:rsidR="00F373A3" w:rsidRPr="00181FCD">
        <w:t xml:space="preserve"> </w:t>
      </w:r>
      <w:r w:rsidRPr="00181FCD">
        <w:t>instituciones</w:t>
      </w:r>
      <w:r w:rsidR="00F373A3" w:rsidRPr="00181FCD">
        <w:t xml:space="preserve"> </w:t>
      </w:r>
      <w:r w:rsidRPr="00181FCD">
        <w:t>académicas</w:t>
      </w:r>
      <w:r w:rsidR="00F373A3" w:rsidRPr="00181FCD">
        <w:t xml:space="preserve"> </w:t>
      </w:r>
      <w:r w:rsidRPr="00181FCD">
        <w:t>y</w:t>
      </w:r>
      <w:r w:rsidR="00F373A3" w:rsidRPr="00181FCD">
        <w:t xml:space="preserve"> </w:t>
      </w:r>
      <w:r w:rsidR="00BE267D" w:rsidRPr="00181FCD">
        <w:t>ONG</w:t>
      </w:r>
      <w:r w:rsidRPr="00181FCD">
        <w:t>,</w:t>
      </w:r>
      <w:r w:rsidR="00F373A3" w:rsidRPr="00181FCD">
        <w:t xml:space="preserve"> </w:t>
      </w:r>
      <w:r w:rsidRPr="00181FCD">
        <w:t>se</w:t>
      </w:r>
      <w:r w:rsidR="00F373A3" w:rsidRPr="00181FCD">
        <w:t xml:space="preserve"> </w:t>
      </w:r>
      <w:r w:rsidRPr="00181FCD">
        <w:t>han</w:t>
      </w:r>
      <w:r w:rsidR="00F373A3" w:rsidRPr="00181FCD">
        <w:t xml:space="preserve"> </w:t>
      </w:r>
      <w:r w:rsidRPr="00181FCD">
        <w:t>organizado</w:t>
      </w:r>
      <w:r w:rsidR="00F373A3" w:rsidRPr="00181FCD">
        <w:t xml:space="preserve"> </w:t>
      </w:r>
      <w:r w:rsidRPr="00181FCD">
        <w:t>diversas</w:t>
      </w:r>
      <w:r w:rsidR="00F373A3" w:rsidRPr="00181FCD">
        <w:t xml:space="preserve"> </w:t>
      </w:r>
      <w:r w:rsidRPr="00181FCD">
        <w:t>campañas</w:t>
      </w:r>
      <w:r w:rsidR="00F373A3" w:rsidRPr="00181FCD">
        <w:t xml:space="preserve"> </w:t>
      </w:r>
      <w:r w:rsidRPr="00181FCD">
        <w:t>de</w:t>
      </w:r>
      <w:r w:rsidR="00F373A3" w:rsidRPr="00181FCD">
        <w:t xml:space="preserve"> </w:t>
      </w:r>
      <w:r w:rsidRPr="00181FCD">
        <w:t>información</w:t>
      </w:r>
      <w:r w:rsidR="00F373A3" w:rsidRPr="00181FCD">
        <w:t xml:space="preserve"> </w:t>
      </w:r>
      <w:r w:rsidRPr="00181FCD">
        <w:t>para</w:t>
      </w:r>
      <w:r w:rsidR="00F373A3" w:rsidRPr="00181FCD">
        <w:t xml:space="preserve"> </w:t>
      </w:r>
      <w:r w:rsidRPr="00181FCD">
        <w:t>aumentar</w:t>
      </w:r>
      <w:r w:rsidR="00F373A3" w:rsidRPr="00181FCD">
        <w:t xml:space="preserve"> </w:t>
      </w:r>
      <w:r w:rsidRPr="00181FCD">
        <w:t>la</w:t>
      </w:r>
      <w:r w:rsidR="00F373A3" w:rsidRPr="00181FCD">
        <w:t xml:space="preserve"> </w:t>
      </w:r>
      <w:r w:rsidRPr="00181FCD">
        <w:t>conciencia</w:t>
      </w:r>
      <w:r w:rsidR="00F373A3" w:rsidRPr="00181FCD">
        <w:t xml:space="preserve"> </w:t>
      </w:r>
      <w:r w:rsidRPr="00181FCD">
        <w:t>pública</w:t>
      </w:r>
      <w:r w:rsidR="00F373A3" w:rsidRPr="00181FCD">
        <w:t xml:space="preserve"> </w:t>
      </w:r>
      <w:r w:rsidRPr="00181FCD">
        <w:t>sobre</w:t>
      </w:r>
      <w:r w:rsidR="00F373A3" w:rsidRPr="00181FCD">
        <w:t xml:space="preserve"> </w:t>
      </w:r>
      <w:r w:rsidRPr="00181FCD">
        <w:t>el</w:t>
      </w:r>
      <w:r w:rsidR="00F373A3" w:rsidRPr="00181FCD">
        <w:t xml:space="preserve"> </w:t>
      </w:r>
      <w:r w:rsidRPr="00181FCD">
        <w:t>problema</w:t>
      </w:r>
      <w:r w:rsidR="00F373A3" w:rsidRPr="00181FCD">
        <w:t xml:space="preserve"> </w:t>
      </w:r>
      <w:r w:rsidRPr="00181FCD">
        <w:t>de</w:t>
      </w:r>
      <w:r w:rsidR="00F373A3" w:rsidRPr="00181FCD">
        <w:t xml:space="preserve"> </w:t>
      </w:r>
      <w:r w:rsidRPr="00181FCD">
        <w:t>la</w:t>
      </w:r>
      <w:r w:rsidR="00F373A3" w:rsidRPr="00181FCD">
        <w:t xml:space="preserve"> </w:t>
      </w:r>
      <w:r w:rsidRPr="00181FCD">
        <w:t>trata</w:t>
      </w:r>
      <w:r w:rsidR="00F373A3" w:rsidRPr="00181FCD">
        <w:t xml:space="preserve"> </w:t>
      </w:r>
      <w:r w:rsidRPr="00181FCD">
        <w:t>de</w:t>
      </w:r>
      <w:r w:rsidR="00F373A3" w:rsidRPr="00181FCD">
        <w:t xml:space="preserve"> </w:t>
      </w:r>
      <w:r w:rsidRPr="00181FCD">
        <w:t>seres</w:t>
      </w:r>
      <w:r w:rsidR="00F373A3" w:rsidRPr="00181FCD">
        <w:t xml:space="preserve"> </w:t>
      </w:r>
      <w:r w:rsidRPr="00181FCD">
        <w:t>humanos,</w:t>
      </w:r>
      <w:r w:rsidR="00F373A3" w:rsidRPr="00181FCD">
        <w:t xml:space="preserve"> </w:t>
      </w:r>
      <w:r w:rsidRPr="00181FCD">
        <w:t>establecer</w:t>
      </w:r>
      <w:r w:rsidR="00F373A3" w:rsidRPr="00181FCD">
        <w:t xml:space="preserve"> </w:t>
      </w:r>
      <w:r w:rsidRPr="00181FCD">
        <w:t>mecanismos</w:t>
      </w:r>
      <w:r w:rsidR="00F373A3" w:rsidRPr="00181FCD">
        <w:t xml:space="preserve"> </w:t>
      </w:r>
      <w:r w:rsidRPr="00181FCD">
        <w:t>para</w:t>
      </w:r>
      <w:r w:rsidR="00F373A3" w:rsidRPr="00181FCD">
        <w:t xml:space="preserve"> </w:t>
      </w:r>
      <w:r w:rsidRPr="00181FCD">
        <w:t>limitar</w:t>
      </w:r>
      <w:r w:rsidR="00F373A3" w:rsidRPr="00181FCD">
        <w:t xml:space="preserve"> </w:t>
      </w:r>
      <w:r w:rsidRPr="00181FCD">
        <w:t>el</w:t>
      </w:r>
      <w:r w:rsidR="00F373A3" w:rsidRPr="00181FCD">
        <w:t xml:space="preserve"> </w:t>
      </w:r>
      <w:r w:rsidRPr="00181FCD">
        <w:t>fenómeno</w:t>
      </w:r>
      <w:r w:rsidR="00F373A3" w:rsidRPr="00181FCD">
        <w:t xml:space="preserve"> </w:t>
      </w:r>
      <w:r w:rsidRPr="00181FCD">
        <w:t>y</w:t>
      </w:r>
      <w:r w:rsidR="00F373A3" w:rsidRPr="00181FCD">
        <w:t xml:space="preserve"> </w:t>
      </w:r>
      <w:r w:rsidRPr="00181FCD">
        <w:t>promover</w:t>
      </w:r>
      <w:r w:rsidR="00F373A3" w:rsidRPr="00181FCD">
        <w:t xml:space="preserve"> </w:t>
      </w:r>
      <w:r w:rsidRPr="00181FCD">
        <w:t>la</w:t>
      </w:r>
      <w:r w:rsidR="00F373A3" w:rsidRPr="00181FCD">
        <w:t xml:space="preserve"> </w:t>
      </w:r>
      <w:r w:rsidRPr="00181FCD">
        <w:t>intolerancia</w:t>
      </w:r>
      <w:r w:rsidR="00F373A3" w:rsidRPr="00181FCD">
        <w:t xml:space="preserve"> </w:t>
      </w:r>
      <w:r w:rsidRPr="00181FCD">
        <w:t>pública</w:t>
      </w:r>
      <w:r w:rsidR="00F373A3" w:rsidRPr="00181FCD">
        <w:t xml:space="preserve"> </w:t>
      </w:r>
      <w:r w:rsidRPr="00181FCD">
        <w:t>frente</w:t>
      </w:r>
      <w:r w:rsidR="00F373A3" w:rsidRPr="00181FCD">
        <w:t xml:space="preserve"> </w:t>
      </w:r>
      <w:r w:rsidRPr="00181FCD">
        <w:t>a</w:t>
      </w:r>
      <w:r w:rsidR="00F373A3" w:rsidRPr="00181FCD">
        <w:t xml:space="preserve"> </w:t>
      </w:r>
      <w:r w:rsidRPr="00181FCD">
        <w:t>ese</w:t>
      </w:r>
      <w:r w:rsidR="00F373A3" w:rsidRPr="00181FCD">
        <w:t xml:space="preserve"> </w:t>
      </w:r>
      <w:r w:rsidRPr="00181FCD">
        <w:t>flagelo</w:t>
      </w:r>
      <w:r w:rsidR="00F373A3" w:rsidRPr="00181FCD">
        <w:t xml:space="preserve"> </w:t>
      </w:r>
      <w:r w:rsidRPr="00181FCD">
        <w:t>dentro</w:t>
      </w:r>
      <w:r w:rsidR="00F373A3" w:rsidRPr="00181FCD">
        <w:t xml:space="preserve"> </w:t>
      </w:r>
      <w:r w:rsidRPr="00181FCD">
        <w:t>de</w:t>
      </w:r>
      <w:r w:rsidR="00F373A3" w:rsidRPr="00181FCD">
        <w:t xml:space="preserve"> </w:t>
      </w:r>
      <w:r w:rsidRPr="00181FCD">
        <w:t>los</w:t>
      </w:r>
      <w:r w:rsidR="00F373A3" w:rsidRPr="00181FCD">
        <w:t xml:space="preserve"> </w:t>
      </w:r>
      <w:r w:rsidRPr="00181FCD">
        <w:t>grupos</w:t>
      </w:r>
      <w:r w:rsidR="00F373A3" w:rsidRPr="00181FCD">
        <w:t xml:space="preserve"> </w:t>
      </w:r>
      <w:r w:rsidRPr="00181FCD">
        <w:t>de</w:t>
      </w:r>
      <w:r w:rsidR="00F373A3" w:rsidRPr="00181FCD">
        <w:t xml:space="preserve"> </w:t>
      </w:r>
      <w:r w:rsidRPr="00181FCD">
        <w:t>la</w:t>
      </w:r>
      <w:r w:rsidR="00F373A3" w:rsidRPr="00181FCD">
        <w:t xml:space="preserve"> </w:t>
      </w:r>
      <w:r w:rsidRPr="00181FCD">
        <w:t>población</w:t>
      </w:r>
      <w:r w:rsidR="00F373A3" w:rsidRPr="00181FCD">
        <w:t xml:space="preserve"> </w:t>
      </w:r>
      <w:r w:rsidRPr="00181FCD">
        <w:t>expuestos</w:t>
      </w:r>
      <w:r w:rsidR="00F373A3" w:rsidRPr="00181FCD">
        <w:t xml:space="preserve"> </w:t>
      </w:r>
      <w:r w:rsidRPr="00181FCD">
        <w:t>a</w:t>
      </w:r>
      <w:r w:rsidR="00F373A3" w:rsidRPr="00181FCD">
        <w:t xml:space="preserve"> </w:t>
      </w:r>
      <w:r w:rsidRPr="00181FCD">
        <w:t>riesgo,</w:t>
      </w:r>
      <w:r w:rsidR="00F373A3" w:rsidRPr="00181FCD">
        <w:t xml:space="preserve"> </w:t>
      </w:r>
      <w:r w:rsidRPr="00181FCD">
        <w:t>como</w:t>
      </w:r>
      <w:r w:rsidR="00F373A3" w:rsidRPr="00181FCD">
        <w:t xml:space="preserve"> </w:t>
      </w:r>
      <w:r w:rsidRPr="00181FCD">
        <w:t>mujeres,</w:t>
      </w:r>
      <w:r w:rsidR="00F373A3" w:rsidRPr="00181FCD">
        <w:t xml:space="preserve"> </w:t>
      </w:r>
      <w:r w:rsidRPr="00181FCD">
        <w:t>niños,</w:t>
      </w:r>
      <w:r w:rsidR="00F373A3" w:rsidRPr="00181FCD">
        <w:t xml:space="preserve"> </w:t>
      </w:r>
      <w:r w:rsidRPr="00181FCD">
        <w:t>minorías</w:t>
      </w:r>
      <w:r w:rsidR="00F373A3" w:rsidRPr="00181FCD">
        <w:t xml:space="preserve"> </w:t>
      </w:r>
      <w:r w:rsidRPr="00181FCD">
        <w:t>étnicas,</w:t>
      </w:r>
      <w:r w:rsidR="00F373A3" w:rsidRPr="00181FCD">
        <w:t xml:space="preserve"> </w:t>
      </w:r>
      <w:r w:rsidRPr="00181FCD">
        <w:t>desempleados</w:t>
      </w:r>
      <w:r w:rsidR="00F373A3" w:rsidRPr="00181FCD">
        <w:t xml:space="preserve"> </w:t>
      </w:r>
      <w:r w:rsidRPr="00181FCD">
        <w:t>y</w:t>
      </w:r>
      <w:r w:rsidR="00F373A3" w:rsidRPr="00181FCD">
        <w:t xml:space="preserve"> </w:t>
      </w:r>
      <w:r w:rsidRPr="00181FCD">
        <w:t>personas</w:t>
      </w:r>
      <w:r w:rsidR="00F373A3" w:rsidRPr="00181FCD">
        <w:t xml:space="preserve"> </w:t>
      </w:r>
      <w:r w:rsidRPr="00181FCD">
        <w:t>que</w:t>
      </w:r>
      <w:r w:rsidR="00F373A3" w:rsidRPr="00181FCD">
        <w:t xml:space="preserve"> </w:t>
      </w:r>
      <w:r w:rsidRPr="00181FCD">
        <w:t>dependen</w:t>
      </w:r>
      <w:r w:rsidR="00F373A3" w:rsidRPr="00181FCD">
        <w:t xml:space="preserve"> </w:t>
      </w:r>
      <w:r w:rsidRPr="00181FCD">
        <w:t>de</w:t>
      </w:r>
      <w:r w:rsidR="00F373A3" w:rsidRPr="00181FCD">
        <w:t xml:space="preserve"> </w:t>
      </w:r>
      <w:r w:rsidRPr="00181FCD">
        <w:t>la</w:t>
      </w:r>
      <w:r w:rsidR="00F373A3" w:rsidRPr="00181FCD">
        <w:t xml:space="preserve"> </w:t>
      </w:r>
      <w:r w:rsidRPr="00181FCD">
        <w:t>asistencia</w:t>
      </w:r>
      <w:r w:rsidR="00F373A3" w:rsidRPr="00181FCD">
        <w:t xml:space="preserve"> </w:t>
      </w:r>
      <w:r w:rsidRPr="00181FCD">
        <w:t>social.</w:t>
      </w:r>
      <w:r w:rsidR="00F373A3" w:rsidRPr="00181FCD">
        <w:t xml:space="preserve"> </w:t>
      </w:r>
      <w:r w:rsidRPr="00181FCD">
        <w:t>Se</w:t>
      </w:r>
      <w:r w:rsidR="00F373A3" w:rsidRPr="00181FCD">
        <w:t xml:space="preserve"> </w:t>
      </w:r>
      <w:r w:rsidRPr="00181FCD">
        <w:t>ofrecieron</w:t>
      </w:r>
      <w:r w:rsidR="00F373A3" w:rsidRPr="00181FCD">
        <w:t xml:space="preserve"> </w:t>
      </w:r>
      <w:r w:rsidRPr="00181FCD">
        <w:t>cursos</w:t>
      </w:r>
      <w:r w:rsidR="00F373A3" w:rsidRPr="00181FCD">
        <w:t xml:space="preserve"> </w:t>
      </w:r>
      <w:r w:rsidRPr="00181FCD">
        <w:t>especiales</w:t>
      </w:r>
      <w:r w:rsidR="00F373A3" w:rsidRPr="00181FCD">
        <w:t xml:space="preserve"> </w:t>
      </w:r>
      <w:r w:rsidRPr="00181FCD">
        <w:t>para</w:t>
      </w:r>
      <w:r w:rsidR="00F373A3" w:rsidRPr="00181FCD">
        <w:t xml:space="preserve"> </w:t>
      </w:r>
      <w:r w:rsidRPr="00181FCD">
        <w:t>profesores</w:t>
      </w:r>
      <w:r w:rsidR="00F373A3" w:rsidRPr="00181FCD">
        <w:t xml:space="preserve"> </w:t>
      </w:r>
      <w:r w:rsidRPr="00181FCD">
        <w:t>sobre</w:t>
      </w:r>
      <w:r w:rsidR="00F373A3" w:rsidRPr="00181FCD">
        <w:t xml:space="preserve"> </w:t>
      </w:r>
      <w:r w:rsidRPr="00181FCD">
        <w:t>la</w:t>
      </w:r>
      <w:r w:rsidR="00F373A3" w:rsidRPr="00181FCD">
        <w:t xml:space="preserve"> </w:t>
      </w:r>
      <w:r w:rsidRPr="00181FCD">
        <w:t>organización</w:t>
      </w:r>
      <w:r w:rsidR="00F373A3" w:rsidRPr="00181FCD">
        <w:t xml:space="preserve"> </w:t>
      </w:r>
      <w:r w:rsidRPr="00181FCD">
        <w:t>de</w:t>
      </w:r>
      <w:r w:rsidR="00F373A3" w:rsidRPr="00181FCD">
        <w:t xml:space="preserve"> </w:t>
      </w:r>
      <w:r w:rsidRPr="00181FCD">
        <w:t>debates</w:t>
      </w:r>
      <w:r w:rsidR="00F373A3" w:rsidRPr="00181FCD">
        <w:t xml:space="preserve"> </w:t>
      </w:r>
      <w:r w:rsidRPr="00181FCD">
        <w:t>interactivos</w:t>
      </w:r>
      <w:r w:rsidR="00F373A3" w:rsidRPr="00181FCD">
        <w:t xml:space="preserve"> </w:t>
      </w:r>
      <w:r w:rsidRPr="00181FCD">
        <w:t>en</w:t>
      </w:r>
      <w:r w:rsidR="00F373A3" w:rsidRPr="00181FCD">
        <w:t xml:space="preserve"> </w:t>
      </w:r>
      <w:r w:rsidRPr="00181FCD">
        <w:t>relación</w:t>
      </w:r>
      <w:r w:rsidR="00F373A3" w:rsidRPr="00181FCD">
        <w:t xml:space="preserve"> </w:t>
      </w:r>
      <w:r w:rsidRPr="00181FCD">
        <w:t>con</w:t>
      </w:r>
      <w:r w:rsidR="00F373A3" w:rsidRPr="00181FCD">
        <w:t xml:space="preserve"> </w:t>
      </w:r>
      <w:r w:rsidRPr="00181FCD">
        <w:t>la</w:t>
      </w:r>
      <w:r w:rsidR="00F373A3" w:rsidRPr="00181FCD">
        <w:t xml:space="preserve"> </w:t>
      </w:r>
      <w:r w:rsidRPr="00181FCD">
        <w:t>trata</w:t>
      </w:r>
      <w:r w:rsidR="00F373A3" w:rsidRPr="00181FCD">
        <w:t xml:space="preserve"> </w:t>
      </w:r>
      <w:r w:rsidRPr="00181FCD">
        <w:t>de</w:t>
      </w:r>
      <w:r w:rsidR="00F373A3" w:rsidRPr="00181FCD">
        <w:t xml:space="preserve"> </w:t>
      </w:r>
      <w:r w:rsidRPr="00181FCD">
        <w:t>seres</w:t>
      </w:r>
      <w:r w:rsidR="00F373A3" w:rsidRPr="00181FCD">
        <w:t xml:space="preserve"> </w:t>
      </w:r>
      <w:r w:rsidRPr="00181FCD">
        <w:t>humanos,</w:t>
      </w:r>
      <w:r w:rsidR="00F373A3" w:rsidRPr="00181FCD">
        <w:t xml:space="preserve"> </w:t>
      </w:r>
      <w:r w:rsidRPr="00181FCD">
        <w:t>como</w:t>
      </w:r>
      <w:r w:rsidR="00F373A3" w:rsidRPr="00181FCD">
        <w:t xml:space="preserve"> </w:t>
      </w:r>
      <w:r w:rsidRPr="00181FCD">
        <w:t>parte</w:t>
      </w:r>
      <w:r w:rsidR="00F373A3" w:rsidRPr="00181FCD">
        <w:t xml:space="preserve"> </w:t>
      </w:r>
      <w:r w:rsidRPr="00181FCD">
        <w:t>de</w:t>
      </w:r>
      <w:r w:rsidR="00F373A3" w:rsidRPr="00181FCD">
        <w:t xml:space="preserve"> </w:t>
      </w:r>
      <w:r w:rsidRPr="00181FCD">
        <w:t>la</w:t>
      </w:r>
      <w:r w:rsidR="00F373A3" w:rsidRPr="00181FCD">
        <w:t xml:space="preserve"> </w:t>
      </w:r>
      <w:r w:rsidRPr="00181FCD">
        <w:t>campaña</w:t>
      </w:r>
      <w:r w:rsidR="00F373A3" w:rsidRPr="00181FCD">
        <w:t xml:space="preserve"> "</w:t>
      </w:r>
      <w:r w:rsidRPr="00181FCD">
        <w:t>La</w:t>
      </w:r>
      <w:r w:rsidR="00F373A3" w:rsidRPr="00181FCD">
        <w:t xml:space="preserve"> </w:t>
      </w:r>
      <w:r w:rsidRPr="00181FCD">
        <w:t>trata</w:t>
      </w:r>
      <w:r w:rsidR="00F373A3" w:rsidRPr="00181FCD">
        <w:t xml:space="preserve"> </w:t>
      </w:r>
      <w:r w:rsidRPr="00181FCD">
        <w:t>de</w:t>
      </w:r>
      <w:r w:rsidR="00F373A3" w:rsidRPr="00181FCD">
        <w:t xml:space="preserve"> </w:t>
      </w:r>
      <w:r w:rsidRPr="00181FCD">
        <w:t>personas</w:t>
      </w:r>
      <w:r w:rsidR="00F373A3" w:rsidRPr="00181FCD">
        <w:t xml:space="preserve"> </w:t>
      </w:r>
      <w:r w:rsidR="001247AC" w:rsidRPr="00181FCD">
        <w:t>–</w:t>
      </w:r>
      <w:r w:rsidR="00F373A3" w:rsidRPr="00181FCD">
        <w:t xml:space="preserve"> </w:t>
      </w:r>
      <w:r w:rsidRPr="00181FCD">
        <w:t>es</w:t>
      </w:r>
      <w:r w:rsidR="00F373A3" w:rsidRPr="00181FCD">
        <w:t xml:space="preserve"> </w:t>
      </w:r>
      <w:r w:rsidRPr="00181FCD">
        <w:t>hora</w:t>
      </w:r>
      <w:r w:rsidR="00F373A3" w:rsidRPr="00181FCD">
        <w:t xml:space="preserve"> </w:t>
      </w:r>
      <w:r w:rsidRPr="00181FCD">
        <w:t>de</w:t>
      </w:r>
      <w:r w:rsidR="00F373A3" w:rsidRPr="00181FCD">
        <w:t xml:space="preserve"> </w:t>
      </w:r>
      <w:r w:rsidRPr="00181FCD">
        <w:t>actuar</w:t>
      </w:r>
      <w:r w:rsidR="00F373A3" w:rsidRPr="00181FCD">
        <w:t>"</w:t>
      </w:r>
      <w:r w:rsidRPr="00181FCD">
        <w:t>.</w:t>
      </w:r>
      <w:r w:rsidR="00F373A3" w:rsidRPr="00181FCD">
        <w:t xml:space="preserve"> </w:t>
      </w:r>
      <w:r w:rsidRPr="00181FCD">
        <w:t>También</w:t>
      </w:r>
      <w:r w:rsidR="00F373A3" w:rsidRPr="00181FCD">
        <w:t xml:space="preserve"> </w:t>
      </w:r>
      <w:r w:rsidRPr="00181FCD">
        <w:t>se</w:t>
      </w:r>
      <w:r w:rsidR="00F373A3" w:rsidRPr="00181FCD">
        <w:t xml:space="preserve"> </w:t>
      </w:r>
      <w:r w:rsidRPr="00181FCD">
        <w:t>organizaron</w:t>
      </w:r>
      <w:r w:rsidR="00F373A3" w:rsidRPr="00181FCD">
        <w:t xml:space="preserve"> </w:t>
      </w:r>
      <w:r w:rsidRPr="00181FCD">
        <w:t>seminarios</w:t>
      </w:r>
      <w:r w:rsidR="00F373A3" w:rsidRPr="00181FCD">
        <w:t xml:space="preserve"> </w:t>
      </w:r>
      <w:r w:rsidRPr="00181FCD">
        <w:t>para</w:t>
      </w:r>
      <w:r w:rsidR="00F373A3" w:rsidRPr="00181FCD">
        <w:t xml:space="preserve"> </w:t>
      </w:r>
      <w:r w:rsidRPr="00181FCD">
        <w:t>estudiantes.</w:t>
      </w:r>
      <w:r w:rsidR="00F373A3" w:rsidRPr="00181FCD">
        <w:t xml:space="preserve"> </w:t>
      </w:r>
      <w:r w:rsidRPr="00181FCD">
        <w:t>Al</w:t>
      </w:r>
      <w:r w:rsidR="00F373A3" w:rsidRPr="00181FCD">
        <w:t xml:space="preserve"> </w:t>
      </w:r>
      <w:r w:rsidRPr="00181FCD">
        <w:t>sumarse</w:t>
      </w:r>
      <w:r w:rsidR="00F373A3" w:rsidRPr="00181FCD">
        <w:t xml:space="preserve"> </w:t>
      </w:r>
      <w:r w:rsidRPr="00181FCD">
        <w:t>el</w:t>
      </w:r>
      <w:r w:rsidR="00F373A3" w:rsidRPr="00181FCD">
        <w:t xml:space="preserve"> </w:t>
      </w:r>
      <w:r w:rsidRPr="00181FCD">
        <w:t>sector</w:t>
      </w:r>
      <w:r w:rsidR="00F373A3" w:rsidRPr="00181FCD">
        <w:t xml:space="preserve"> </w:t>
      </w:r>
      <w:r w:rsidRPr="00181FCD">
        <w:t>empresarial</w:t>
      </w:r>
      <w:r w:rsidR="00F373A3" w:rsidRPr="00181FCD">
        <w:t xml:space="preserve"> </w:t>
      </w:r>
      <w:r w:rsidRPr="00181FCD">
        <w:t>se</w:t>
      </w:r>
      <w:r w:rsidR="00F373A3" w:rsidRPr="00181FCD">
        <w:t xml:space="preserve"> </w:t>
      </w:r>
      <w:r w:rsidRPr="00181FCD">
        <w:t>amplía</w:t>
      </w:r>
      <w:r w:rsidR="00F373A3" w:rsidRPr="00181FCD">
        <w:t xml:space="preserve"> </w:t>
      </w:r>
      <w:r w:rsidRPr="00181FCD">
        <w:t>el</w:t>
      </w:r>
      <w:r w:rsidR="00F373A3" w:rsidRPr="00181FCD">
        <w:t xml:space="preserve"> </w:t>
      </w:r>
      <w:r w:rsidRPr="00181FCD">
        <w:t>número</w:t>
      </w:r>
      <w:r w:rsidR="00F373A3" w:rsidRPr="00181FCD">
        <w:t xml:space="preserve"> </w:t>
      </w:r>
      <w:r w:rsidRPr="00181FCD">
        <w:t>de</w:t>
      </w:r>
      <w:r w:rsidR="00F373A3" w:rsidRPr="00181FCD">
        <w:t xml:space="preserve"> </w:t>
      </w:r>
      <w:r w:rsidRPr="00181FCD">
        <w:t>participantes</w:t>
      </w:r>
      <w:r w:rsidR="00F373A3" w:rsidRPr="00181FCD">
        <w:t xml:space="preserve"> </w:t>
      </w:r>
      <w:r w:rsidRPr="00181FCD">
        <w:t>en</w:t>
      </w:r>
      <w:r w:rsidR="00F373A3" w:rsidRPr="00181FCD">
        <w:t xml:space="preserve"> </w:t>
      </w:r>
      <w:r w:rsidRPr="00181FCD">
        <w:t>el</w:t>
      </w:r>
      <w:r w:rsidR="00F373A3" w:rsidRPr="00181FCD">
        <w:t xml:space="preserve"> </w:t>
      </w:r>
      <w:r w:rsidRPr="00181FCD">
        <w:t>Código</w:t>
      </w:r>
      <w:r w:rsidR="00F373A3" w:rsidRPr="00181FCD">
        <w:t xml:space="preserve"> </w:t>
      </w:r>
      <w:r w:rsidRPr="00181FCD">
        <w:t>de</w:t>
      </w:r>
      <w:r w:rsidR="00F373A3" w:rsidRPr="00181FCD">
        <w:t xml:space="preserve"> </w:t>
      </w:r>
      <w:r w:rsidRPr="00181FCD">
        <w:t>Conducta</w:t>
      </w:r>
      <w:r w:rsidR="00F373A3" w:rsidRPr="00181FCD">
        <w:t xml:space="preserve"> </w:t>
      </w:r>
      <w:r w:rsidRPr="00181FCD">
        <w:t>para</w:t>
      </w:r>
      <w:r w:rsidR="00F373A3" w:rsidRPr="00181FCD">
        <w:t xml:space="preserve"> </w:t>
      </w:r>
      <w:r w:rsidRPr="00181FCD">
        <w:t>la</w:t>
      </w:r>
      <w:r w:rsidR="00F373A3" w:rsidRPr="00181FCD">
        <w:t xml:space="preserve"> </w:t>
      </w:r>
      <w:r w:rsidRPr="00181FCD">
        <w:t>Prevención</w:t>
      </w:r>
      <w:r w:rsidR="00F373A3" w:rsidRPr="00181FCD">
        <w:t xml:space="preserve"> </w:t>
      </w:r>
      <w:r w:rsidRPr="00181FCD">
        <w:t>de</w:t>
      </w:r>
      <w:r w:rsidR="00F373A3" w:rsidRPr="00181FCD">
        <w:t xml:space="preserve"> </w:t>
      </w:r>
      <w:r w:rsidRPr="00181FCD">
        <w:t>la</w:t>
      </w:r>
      <w:r w:rsidR="00F373A3" w:rsidRPr="00181FCD">
        <w:t xml:space="preserve"> </w:t>
      </w:r>
      <w:r w:rsidRPr="00181FCD">
        <w:t>Trata</w:t>
      </w:r>
      <w:r w:rsidR="00F373A3" w:rsidRPr="00181FCD">
        <w:t xml:space="preserve"> </w:t>
      </w:r>
      <w:r w:rsidRPr="00181FCD">
        <w:t>y</w:t>
      </w:r>
      <w:r w:rsidR="00F373A3" w:rsidRPr="00181FCD">
        <w:t xml:space="preserve"> </w:t>
      </w:r>
      <w:r w:rsidRPr="00181FCD">
        <w:t>la</w:t>
      </w:r>
      <w:r w:rsidR="00F373A3" w:rsidRPr="00181FCD">
        <w:t xml:space="preserve"> </w:t>
      </w:r>
      <w:r w:rsidRPr="00181FCD">
        <w:t>Explotación</w:t>
      </w:r>
      <w:r w:rsidR="00F373A3" w:rsidRPr="00181FCD">
        <w:t xml:space="preserve"> </w:t>
      </w:r>
      <w:r w:rsidRPr="00181FCD">
        <w:t>Sexual</w:t>
      </w:r>
      <w:r w:rsidR="00F373A3" w:rsidRPr="00181FCD">
        <w:t xml:space="preserve"> </w:t>
      </w:r>
      <w:r w:rsidRPr="00181FCD">
        <w:t>de</w:t>
      </w:r>
      <w:r w:rsidR="00F373A3" w:rsidRPr="00181FCD">
        <w:t xml:space="preserve"> </w:t>
      </w:r>
      <w:r w:rsidRPr="00181FCD">
        <w:t>Niños</w:t>
      </w:r>
      <w:r w:rsidR="00F373A3" w:rsidRPr="00181FCD">
        <w:t xml:space="preserve"> </w:t>
      </w:r>
      <w:r w:rsidRPr="00181FCD">
        <w:t>en</w:t>
      </w:r>
      <w:r w:rsidR="00F373A3" w:rsidRPr="00181FCD">
        <w:t xml:space="preserve"> </w:t>
      </w:r>
      <w:r w:rsidRPr="00181FCD">
        <w:t>el</w:t>
      </w:r>
      <w:r w:rsidR="00F373A3" w:rsidRPr="00181FCD">
        <w:t xml:space="preserve"> </w:t>
      </w:r>
      <w:r w:rsidRPr="00181FCD">
        <w:t>Turismo.</w:t>
      </w:r>
      <w:r w:rsidR="00F373A3" w:rsidRPr="00181FCD">
        <w:t xml:space="preserve"> </w:t>
      </w:r>
      <w:r w:rsidRPr="00181FCD">
        <w:t>El</w:t>
      </w:r>
      <w:r w:rsidR="00F373A3" w:rsidRPr="00181FCD">
        <w:t xml:space="preserve"> </w:t>
      </w:r>
      <w:r w:rsidRPr="00181FCD">
        <w:t>proyecto</w:t>
      </w:r>
      <w:r w:rsidR="00F373A3" w:rsidRPr="00181FCD">
        <w:t xml:space="preserve"> </w:t>
      </w:r>
      <w:r w:rsidRPr="00181FCD">
        <w:t>se</w:t>
      </w:r>
      <w:r w:rsidR="00F373A3" w:rsidRPr="00181FCD">
        <w:t xml:space="preserve"> </w:t>
      </w:r>
      <w:r w:rsidRPr="00181FCD">
        <w:t>ejecuta</w:t>
      </w:r>
      <w:r w:rsidR="00F373A3" w:rsidRPr="00181FCD">
        <w:t xml:space="preserve"> </w:t>
      </w:r>
      <w:r w:rsidRPr="00181FCD">
        <w:t>como</w:t>
      </w:r>
      <w:r w:rsidR="00F373A3" w:rsidRPr="00181FCD">
        <w:t xml:space="preserve"> </w:t>
      </w:r>
      <w:r w:rsidRPr="00181FCD">
        <w:t>un</w:t>
      </w:r>
      <w:r w:rsidR="00F373A3" w:rsidRPr="00181FCD">
        <w:t xml:space="preserve"> </w:t>
      </w:r>
      <w:r w:rsidRPr="00181FCD">
        <w:t>esfuerzo</w:t>
      </w:r>
      <w:r w:rsidR="00F373A3" w:rsidRPr="00181FCD">
        <w:t xml:space="preserve"> </w:t>
      </w:r>
      <w:r w:rsidRPr="00181FCD">
        <w:t>común</w:t>
      </w:r>
      <w:r w:rsidR="00F373A3" w:rsidRPr="00181FCD">
        <w:t xml:space="preserve"> </w:t>
      </w:r>
      <w:r w:rsidRPr="00181FCD">
        <w:t>de</w:t>
      </w:r>
      <w:r w:rsidR="00F373A3" w:rsidRPr="00181FCD">
        <w:t xml:space="preserve"> </w:t>
      </w:r>
      <w:r w:rsidRPr="00181FCD">
        <w:t>la</w:t>
      </w:r>
      <w:r w:rsidR="00F373A3" w:rsidRPr="00181FCD">
        <w:t xml:space="preserve"> </w:t>
      </w:r>
      <w:r w:rsidRPr="00181FCD">
        <w:t>Agencia</w:t>
      </w:r>
      <w:r w:rsidR="00F373A3" w:rsidRPr="00181FCD">
        <w:t xml:space="preserve"> </w:t>
      </w:r>
      <w:r w:rsidRPr="00181FCD">
        <w:t>Estatal</w:t>
      </w:r>
      <w:r w:rsidR="00F373A3" w:rsidRPr="00181FCD">
        <w:t xml:space="preserve"> </w:t>
      </w:r>
      <w:r w:rsidRPr="00181FCD">
        <w:t>de</w:t>
      </w:r>
      <w:r w:rsidR="00F373A3" w:rsidRPr="00181FCD">
        <w:t xml:space="preserve"> </w:t>
      </w:r>
      <w:r w:rsidRPr="00181FCD">
        <w:t>Protección</w:t>
      </w:r>
      <w:r w:rsidR="00F373A3" w:rsidRPr="00181FCD">
        <w:t xml:space="preserve"> </w:t>
      </w:r>
      <w:r w:rsidRPr="00181FCD">
        <w:t>del</w:t>
      </w:r>
      <w:r w:rsidR="00F373A3" w:rsidRPr="00181FCD">
        <w:t xml:space="preserve"> </w:t>
      </w:r>
      <w:r w:rsidRPr="00181FCD">
        <w:t>Niño,</w:t>
      </w:r>
      <w:r w:rsidR="00F373A3" w:rsidRPr="00181FCD">
        <w:t xml:space="preserve"> </w:t>
      </w:r>
      <w:r w:rsidRPr="00181FCD">
        <w:t>la</w:t>
      </w:r>
      <w:r w:rsidR="00F373A3" w:rsidRPr="00181FCD">
        <w:t xml:space="preserve"> </w:t>
      </w:r>
      <w:r w:rsidRPr="00181FCD">
        <w:t>Organización</w:t>
      </w:r>
      <w:r w:rsidR="00F373A3" w:rsidRPr="00181FCD">
        <w:t xml:space="preserve"> </w:t>
      </w:r>
      <w:r w:rsidRPr="00181FCD">
        <w:t>para</w:t>
      </w:r>
      <w:r w:rsidR="00F373A3" w:rsidRPr="00181FCD">
        <w:t xml:space="preserve"> </w:t>
      </w:r>
      <w:r w:rsidRPr="00181FCD">
        <w:t>la</w:t>
      </w:r>
      <w:r w:rsidR="00F373A3" w:rsidRPr="00181FCD">
        <w:t xml:space="preserve"> </w:t>
      </w:r>
      <w:r w:rsidRPr="00181FCD">
        <w:t>Seguridad</w:t>
      </w:r>
      <w:r w:rsidR="00F373A3" w:rsidRPr="00181FCD">
        <w:t xml:space="preserve"> </w:t>
      </w:r>
      <w:r w:rsidRPr="00181FCD">
        <w:t>y</w:t>
      </w:r>
      <w:r w:rsidR="00F373A3" w:rsidRPr="00181FCD">
        <w:t xml:space="preserve"> </w:t>
      </w:r>
      <w:r w:rsidRPr="00181FCD">
        <w:t>la</w:t>
      </w:r>
      <w:r w:rsidR="00F373A3" w:rsidRPr="00181FCD">
        <w:t xml:space="preserve"> </w:t>
      </w:r>
      <w:r w:rsidRPr="00181FCD">
        <w:t>Cooperación</w:t>
      </w:r>
      <w:r w:rsidR="00F373A3" w:rsidRPr="00181FCD">
        <w:t xml:space="preserve"> </w:t>
      </w:r>
      <w:r w:rsidRPr="00181FCD">
        <w:t>en</w:t>
      </w:r>
      <w:r w:rsidR="00F373A3" w:rsidRPr="00181FCD">
        <w:t xml:space="preserve"> </w:t>
      </w:r>
      <w:r w:rsidRPr="00181FCD">
        <w:t>Europa</w:t>
      </w:r>
      <w:r w:rsidR="00F373A3" w:rsidRPr="00181FCD">
        <w:t xml:space="preserve"> </w:t>
      </w:r>
      <w:r w:rsidRPr="00181FCD">
        <w:t>(OSCE)</w:t>
      </w:r>
      <w:r w:rsidR="00F373A3" w:rsidRPr="00181FCD">
        <w:t xml:space="preserve"> </w:t>
      </w:r>
      <w:r w:rsidRPr="00181FCD">
        <w:t>y</w:t>
      </w:r>
      <w:r w:rsidR="00F373A3" w:rsidRPr="00181FCD">
        <w:t xml:space="preserve"> </w:t>
      </w:r>
      <w:r w:rsidR="009B582C" w:rsidRPr="00181FCD">
        <w:t>ONG</w:t>
      </w:r>
      <w:r w:rsidRPr="00181FCD">
        <w:t>.</w:t>
      </w:r>
      <w:r w:rsidR="00F373A3" w:rsidRPr="00181FCD">
        <w:t xml:space="preserve"> </w:t>
      </w:r>
      <w:r w:rsidRPr="00181FCD">
        <w:t>La</w:t>
      </w:r>
      <w:r w:rsidR="00F373A3" w:rsidRPr="00181FCD">
        <w:t xml:space="preserve"> </w:t>
      </w:r>
      <w:r w:rsidRPr="00181FCD">
        <w:t>vulnerabilidad</w:t>
      </w:r>
      <w:r w:rsidR="00F373A3" w:rsidRPr="00181FCD">
        <w:t xml:space="preserve"> </w:t>
      </w:r>
      <w:r w:rsidRPr="00181FCD">
        <w:t>específica</w:t>
      </w:r>
      <w:r w:rsidR="00F373A3" w:rsidRPr="00181FCD">
        <w:t xml:space="preserve"> </w:t>
      </w:r>
      <w:r w:rsidRPr="00181FCD">
        <w:t>de</w:t>
      </w:r>
      <w:r w:rsidR="00F373A3" w:rsidRPr="00181FCD">
        <w:t xml:space="preserve"> </w:t>
      </w:r>
      <w:r w:rsidRPr="00181FCD">
        <w:t>los</w:t>
      </w:r>
      <w:r w:rsidR="00F373A3" w:rsidRPr="00181FCD">
        <w:t xml:space="preserve"> </w:t>
      </w:r>
      <w:r w:rsidRPr="00181FCD">
        <w:t>romaníes</w:t>
      </w:r>
      <w:r w:rsidR="00F373A3" w:rsidRPr="00181FCD">
        <w:t xml:space="preserve"> </w:t>
      </w:r>
      <w:r w:rsidRPr="00181FCD">
        <w:t>está</w:t>
      </w:r>
      <w:r w:rsidR="00F373A3" w:rsidRPr="00181FCD">
        <w:t xml:space="preserve"> </w:t>
      </w:r>
      <w:r w:rsidRPr="00181FCD">
        <w:t>abarcada</w:t>
      </w:r>
      <w:r w:rsidR="00F373A3" w:rsidRPr="00181FCD">
        <w:t xml:space="preserve"> </w:t>
      </w:r>
      <w:r w:rsidRPr="00181FCD">
        <w:t>en</w:t>
      </w:r>
      <w:r w:rsidR="00F373A3" w:rsidRPr="00181FCD">
        <w:t xml:space="preserve"> </w:t>
      </w:r>
      <w:r w:rsidRPr="00181FCD">
        <w:t>el</w:t>
      </w:r>
      <w:r w:rsidR="00F373A3" w:rsidRPr="00181FCD">
        <w:t xml:space="preserve"> </w:t>
      </w:r>
      <w:r w:rsidRPr="00181FCD">
        <w:t>Programa</w:t>
      </w:r>
      <w:r w:rsidR="00F373A3" w:rsidRPr="00181FCD">
        <w:t xml:space="preserve"> </w:t>
      </w:r>
      <w:r w:rsidRPr="00181FCD">
        <w:t>Nacional</w:t>
      </w:r>
      <w:r w:rsidR="00F373A3" w:rsidRPr="00181FCD">
        <w:t xml:space="preserve"> </w:t>
      </w:r>
      <w:r w:rsidRPr="00181FCD">
        <w:t>de</w:t>
      </w:r>
      <w:r w:rsidR="00F373A3" w:rsidRPr="00181FCD">
        <w:t xml:space="preserve"> </w:t>
      </w:r>
      <w:r w:rsidRPr="00181FCD">
        <w:t>Prevención</w:t>
      </w:r>
      <w:r w:rsidR="00F373A3" w:rsidRPr="00181FCD">
        <w:t xml:space="preserve"> </w:t>
      </w:r>
      <w:r w:rsidRPr="00181FCD">
        <w:t>y</w:t>
      </w:r>
      <w:r w:rsidR="00F373A3" w:rsidRPr="00181FCD">
        <w:t xml:space="preserve"> </w:t>
      </w:r>
      <w:r w:rsidRPr="00181FCD">
        <w:t>Lucha</w:t>
      </w:r>
      <w:r w:rsidR="00F373A3" w:rsidRPr="00181FCD">
        <w:t xml:space="preserve"> </w:t>
      </w:r>
      <w:r w:rsidRPr="00181FCD">
        <w:t>contra</w:t>
      </w:r>
      <w:r w:rsidR="00F373A3" w:rsidRPr="00181FCD">
        <w:t xml:space="preserve"> </w:t>
      </w:r>
      <w:r w:rsidRPr="00181FCD">
        <w:t>la</w:t>
      </w:r>
      <w:r w:rsidR="00F373A3" w:rsidRPr="00181FCD">
        <w:t xml:space="preserve"> </w:t>
      </w:r>
      <w:r w:rsidRPr="00181FCD">
        <w:t>Trata</w:t>
      </w:r>
      <w:r w:rsidR="00F373A3" w:rsidRPr="00181FCD">
        <w:t xml:space="preserve"> </w:t>
      </w:r>
      <w:r w:rsidRPr="00181FCD">
        <w:t>de</w:t>
      </w:r>
      <w:r w:rsidR="00F373A3" w:rsidRPr="00181FCD">
        <w:t xml:space="preserve"> </w:t>
      </w:r>
      <w:r w:rsidRPr="00181FCD">
        <w:t>Seres</w:t>
      </w:r>
      <w:r w:rsidR="00F373A3" w:rsidRPr="00181FCD">
        <w:t xml:space="preserve"> </w:t>
      </w:r>
      <w:r w:rsidRPr="00181FCD">
        <w:t>Humanos</w:t>
      </w:r>
      <w:r w:rsidR="00F373A3" w:rsidRPr="00181FCD">
        <w:t xml:space="preserve"> </w:t>
      </w:r>
      <w:r w:rsidRPr="00181FCD">
        <w:t>y</w:t>
      </w:r>
      <w:r w:rsidR="00F373A3" w:rsidRPr="00181FCD">
        <w:t xml:space="preserve"> </w:t>
      </w:r>
      <w:r w:rsidRPr="00181FCD">
        <w:t>Protección</w:t>
      </w:r>
      <w:r w:rsidR="00F373A3" w:rsidRPr="00181FCD">
        <w:t xml:space="preserve"> </w:t>
      </w:r>
      <w:r w:rsidRPr="00181FCD">
        <w:t>de</w:t>
      </w:r>
      <w:r w:rsidR="00F373A3" w:rsidRPr="00181FCD">
        <w:t xml:space="preserve"> </w:t>
      </w:r>
      <w:r w:rsidRPr="00181FCD">
        <w:t>las</w:t>
      </w:r>
      <w:r w:rsidR="00F373A3" w:rsidRPr="00181FCD">
        <w:t xml:space="preserve"> </w:t>
      </w:r>
      <w:r w:rsidRPr="00181FCD">
        <w:t>Víctimas.</w:t>
      </w:r>
    </w:p>
    <w:p w:rsidR="001937F4" w:rsidRPr="00181FCD" w:rsidRDefault="001937F4" w:rsidP="00347B20">
      <w:pPr>
        <w:pStyle w:val="SingleTxtG"/>
        <w:suppressAutoHyphens/>
      </w:pPr>
      <w:r w:rsidRPr="00181FCD">
        <w:t>154.</w:t>
      </w:r>
      <w:r w:rsidRPr="00181FCD">
        <w:tab/>
        <w:t>En</w:t>
      </w:r>
      <w:r w:rsidR="00F373A3" w:rsidRPr="00181FCD">
        <w:t xml:space="preserve"> </w:t>
      </w:r>
      <w:r w:rsidRPr="00181FCD">
        <w:t>cuanto</w:t>
      </w:r>
      <w:r w:rsidR="00F373A3" w:rsidRPr="00181FCD">
        <w:t xml:space="preserve"> </w:t>
      </w:r>
      <w:r w:rsidRPr="00181FCD">
        <w:t>a</w:t>
      </w:r>
      <w:r w:rsidR="00F373A3" w:rsidRPr="00181FCD">
        <w:t xml:space="preserve"> </w:t>
      </w:r>
      <w:r w:rsidRPr="00181FCD">
        <w:t>la</w:t>
      </w:r>
      <w:r w:rsidR="00F373A3" w:rsidRPr="00181FCD">
        <w:t xml:space="preserve"> </w:t>
      </w:r>
      <w:r w:rsidRPr="00181FCD">
        <w:t>prevención</w:t>
      </w:r>
      <w:r w:rsidR="00F373A3" w:rsidRPr="00181FCD">
        <w:t xml:space="preserve"> </w:t>
      </w:r>
      <w:r w:rsidRPr="00181FCD">
        <w:t>de</w:t>
      </w:r>
      <w:r w:rsidR="00F373A3" w:rsidRPr="00181FCD">
        <w:t xml:space="preserve"> </w:t>
      </w:r>
      <w:r w:rsidRPr="00181FCD">
        <w:t>la</w:t>
      </w:r>
      <w:r w:rsidR="00F373A3" w:rsidRPr="00181FCD">
        <w:t xml:space="preserve"> </w:t>
      </w:r>
      <w:r w:rsidRPr="00181FCD">
        <w:t>explotación</w:t>
      </w:r>
      <w:r w:rsidR="00F373A3" w:rsidRPr="00181FCD">
        <w:t xml:space="preserve"> </w:t>
      </w:r>
      <w:r w:rsidRPr="00181FCD">
        <w:t>laboral,</w:t>
      </w:r>
      <w:r w:rsidR="00F373A3" w:rsidRPr="00181FCD">
        <w:t xml:space="preserve"> </w:t>
      </w:r>
      <w:r w:rsidRPr="00181FCD">
        <w:t>cabe</w:t>
      </w:r>
      <w:r w:rsidR="00F373A3" w:rsidRPr="00181FCD">
        <w:t xml:space="preserve"> </w:t>
      </w:r>
      <w:r w:rsidRPr="00181FCD">
        <w:t>destacar</w:t>
      </w:r>
      <w:r w:rsidR="00F373A3" w:rsidRPr="00181FCD">
        <w:t xml:space="preserve"> </w:t>
      </w:r>
      <w:r w:rsidRPr="00181FCD">
        <w:t>que</w:t>
      </w:r>
      <w:r w:rsidR="00F373A3" w:rsidRPr="00181FCD">
        <w:t xml:space="preserve"> </w:t>
      </w:r>
      <w:r w:rsidRPr="00181FCD">
        <w:t>se</w:t>
      </w:r>
      <w:r w:rsidR="00F373A3" w:rsidRPr="00181FCD">
        <w:t xml:space="preserve"> </w:t>
      </w:r>
      <w:r w:rsidRPr="00181FCD">
        <w:t>han</w:t>
      </w:r>
      <w:r w:rsidR="00F373A3" w:rsidRPr="00181FCD">
        <w:t xml:space="preserve"> </w:t>
      </w:r>
      <w:r w:rsidRPr="00181FCD">
        <w:t>iniciado</w:t>
      </w:r>
      <w:r w:rsidR="00F373A3" w:rsidRPr="00181FCD">
        <w:t xml:space="preserve"> </w:t>
      </w:r>
      <w:r w:rsidRPr="00181FCD">
        <w:t>campañas</w:t>
      </w:r>
      <w:r w:rsidR="00F373A3" w:rsidRPr="00181FCD">
        <w:t xml:space="preserve"> </w:t>
      </w:r>
      <w:r w:rsidRPr="00181FCD">
        <w:t>dirigidas</w:t>
      </w:r>
      <w:r w:rsidR="00F373A3" w:rsidRPr="00181FCD">
        <w:t xml:space="preserve"> </w:t>
      </w:r>
      <w:r w:rsidRPr="00181FCD">
        <w:t>específicamente</w:t>
      </w:r>
      <w:r w:rsidR="00F373A3" w:rsidRPr="00181FCD">
        <w:t xml:space="preserve"> </w:t>
      </w:r>
      <w:r w:rsidRPr="00181FCD">
        <w:t>al</w:t>
      </w:r>
      <w:r w:rsidR="00F373A3" w:rsidRPr="00181FCD">
        <w:t xml:space="preserve"> </w:t>
      </w:r>
      <w:r w:rsidRPr="00181FCD">
        <w:t>trabajo</w:t>
      </w:r>
      <w:r w:rsidR="00F373A3" w:rsidRPr="00181FCD">
        <w:t xml:space="preserve"> </w:t>
      </w:r>
      <w:r w:rsidRPr="00181FCD">
        <w:t>de</w:t>
      </w:r>
      <w:r w:rsidR="00F373A3" w:rsidRPr="00181FCD">
        <w:t xml:space="preserve"> </w:t>
      </w:r>
      <w:r w:rsidRPr="00181FCD">
        <w:t>temporada.</w:t>
      </w:r>
      <w:r w:rsidR="00F373A3" w:rsidRPr="00181FCD">
        <w:t xml:space="preserve"> </w:t>
      </w:r>
      <w:r w:rsidRPr="00181FCD">
        <w:t>La</w:t>
      </w:r>
      <w:r w:rsidR="00F373A3" w:rsidRPr="00181FCD">
        <w:t xml:space="preserve"> </w:t>
      </w:r>
      <w:r w:rsidRPr="00181FCD">
        <w:t>Comisión</w:t>
      </w:r>
      <w:r w:rsidR="00F373A3" w:rsidRPr="00181FCD">
        <w:t xml:space="preserve"> </w:t>
      </w:r>
      <w:r w:rsidRPr="00181FCD">
        <w:t>Nacional</w:t>
      </w:r>
      <w:r w:rsidR="00F373A3" w:rsidRPr="00181FCD">
        <w:t xml:space="preserve"> </w:t>
      </w:r>
      <w:r w:rsidRPr="00181FCD">
        <w:t>de</w:t>
      </w:r>
      <w:r w:rsidR="00F373A3" w:rsidRPr="00181FCD">
        <w:t xml:space="preserve"> </w:t>
      </w:r>
      <w:r w:rsidRPr="00181FCD">
        <w:t>Lucha</w:t>
      </w:r>
      <w:r w:rsidR="00F373A3" w:rsidRPr="00181FCD">
        <w:t xml:space="preserve"> </w:t>
      </w:r>
      <w:r w:rsidRPr="00181FCD">
        <w:t>contra</w:t>
      </w:r>
      <w:r w:rsidR="00F373A3" w:rsidRPr="00181FCD">
        <w:t xml:space="preserve"> </w:t>
      </w:r>
      <w:r w:rsidRPr="00181FCD">
        <w:t>la</w:t>
      </w:r>
      <w:r w:rsidR="00F373A3" w:rsidRPr="00181FCD">
        <w:t xml:space="preserve"> </w:t>
      </w:r>
      <w:r w:rsidRPr="00181FCD">
        <w:t>Trata</w:t>
      </w:r>
      <w:r w:rsidR="00F373A3" w:rsidRPr="00181FCD">
        <w:t xml:space="preserve"> </w:t>
      </w:r>
      <w:r w:rsidRPr="00181FCD">
        <w:t>de</w:t>
      </w:r>
      <w:r w:rsidR="00F373A3" w:rsidRPr="00181FCD">
        <w:t xml:space="preserve"> </w:t>
      </w:r>
      <w:r w:rsidRPr="00181FCD">
        <w:t>Seres</w:t>
      </w:r>
      <w:r w:rsidR="00F373A3" w:rsidRPr="00181FCD">
        <w:t xml:space="preserve"> </w:t>
      </w:r>
      <w:r w:rsidRPr="00181FCD">
        <w:t>Humanos</w:t>
      </w:r>
      <w:r w:rsidR="00672EC2" w:rsidRPr="00181FCD">
        <w:t xml:space="preserve"> </w:t>
      </w:r>
      <w:r w:rsidRPr="00181FCD">
        <w:t>organiza</w:t>
      </w:r>
      <w:r w:rsidR="00F373A3" w:rsidRPr="00181FCD">
        <w:t xml:space="preserve"> </w:t>
      </w:r>
      <w:r w:rsidRPr="00181FCD">
        <w:t>cursos</w:t>
      </w:r>
      <w:r w:rsidR="00F373A3" w:rsidRPr="00181FCD">
        <w:t xml:space="preserve"> </w:t>
      </w:r>
      <w:r w:rsidRPr="00181FCD">
        <w:t>de</w:t>
      </w:r>
      <w:r w:rsidR="00F373A3" w:rsidRPr="00181FCD">
        <w:t xml:space="preserve"> </w:t>
      </w:r>
      <w:r w:rsidRPr="00181FCD">
        <w:t>capacitación</w:t>
      </w:r>
      <w:r w:rsidR="00F373A3" w:rsidRPr="00181FCD">
        <w:t xml:space="preserve"> </w:t>
      </w:r>
      <w:r w:rsidRPr="00181FCD">
        <w:t>multidisciplinarios</w:t>
      </w:r>
      <w:r w:rsidR="00F373A3" w:rsidRPr="00181FCD">
        <w:t xml:space="preserve"> </w:t>
      </w:r>
      <w:r w:rsidRPr="00181FCD">
        <w:t>para</w:t>
      </w:r>
      <w:r w:rsidR="00F373A3" w:rsidRPr="00181FCD">
        <w:t xml:space="preserve"> </w:t>
      </w:r>
      <w:r w:rsidRPr="00181FCD">
        <w:t>agentes</w:t>
      </w:r>
      <w:r w:rsidR="00F373A3" w:rsidRPr="00181FCD">
        <w:t xml:space="preserve"> </w:t>
      </w:r>
      <w:r w:rsidRPr="00181FCD">
        <w:t>de</w:t>
      </w:r>
      <w:r w:rsidR="00F373A3" w:rsidRPr="00181FCD">
        <w:t xml:space="preserve"> </w:t>
      </w:r>
      <w:r w:rsidRPr="00181FCD">
        <w:t>policía,</w:t>
      </w:r>
      <w:r w:rsidR="00F373A3" w:rsidRPr="00181FCD">
        <w:t xml:space="preserve"> </w:t>
      </w:r>
      <w:r w:rsidRPr="00181FCD">
        <w:t>fiscales,</w:t>
      </w:r>
      <w:r w:rsidR="00F373A3" w:rsidRPr="00181FCD">
        <w:t xml:space="preserve"> </w:t>
      </w:r>
      <w:r w:rsidRPr="00181FCD">
        <w:t>jueces</w:t>
      </w:r>
      <w:r w:rsidR="00F373A3" w:rsidRPr="00181FCD">
        <w:t xml:space="preserve"> </w:t>
      </w:r>
      <w:r w:rsidRPr="00181FCD">
        <w:t>y</w:t>
      </w:r>
      <w:r w:rsidR="00F373A3" w:rsidRPr="00181FCD">
        <w:t xml:space="preserve"> </w:t>
      </w:r>
      <w:r w:rsidRPr="00181FCD">
        <w:t>otros</w:t>
      </w:r>
      <w:r w:rsidR="00F373A3" w:rsidRPr="00181FCD">
        <w:t xml:space="preserve"> </w:t>
      </w:r>
      <w:r w:rsidRPr="00181FCD">
        <w:t>funcionarios</w:t>
      </w:r>
      <w:r w:rsidR="00F373A3" w:rsidRPr="00181FCD">
        <w:t xml:space="preserve"> </w:t>
      </w:r>
      <w:r w:rsidRPr="00181FCD">
        <w:t>que</w:t>
      </w:r>
      <w:r w:rsidR="00F373A3" w:rsidRPr="00181FCD">
        <w:t xml:space="preserve"> </w:t>
      </w:r>
      <w:r w:rsidRPr="00181FCD">
        <w:t>trabajan</w:t>
      </w:r>
      <w:r w:rsidR="00F373A3" w:rsidRPr="00181FCD">
        <w:t xml:space="preserve"> </w:t>
      </w:r>
      <w:r w:rsidRPr="00181FCD">
        <w:t>en</w:t>
      </w:r>
      <w:r w:rsidR="00F373A3" w:rsidRPr="00181FCD">
        <w:t xml:space="preserve"> </w:t>
      </w:r>
      <w:r w:rsidRPr="00181FCD">
        <w:t>ese</w:t>
      </w:r>
      <w:r w:rsidR="00F373A3" w:rsidRPr="00181FCD">
        <w:t xml:space="preserve"> </w:t>
      </w:r>
      <w:r w:rsidRPr="00181FCD">
        <w:t>ámbito,</w:t>
      </w:r>
      <w:r w:rsidR="00F373A3" w:rsidRPr="00181FCD">
        <w:t xml:space="preserve"> </w:t>
      </w:r>
      <w:r w:rsidRPr="00181FCD">
        <w:t>como</w:t>
      </w:r>
      <w:r w:rsidR="00F373A3" w:rsidRPr="00181FCD">
        <w:t xml:space="preserve"> </w:t>
      </w:r>
      <w:r w:rsidRPr="00181FCD">
        <w:t>periodistas,</w:t>
      </w:r>
      <w:r w:rsidR="00F373A3" w:rsidRPr="00181FCD">
        <w:t xml:space="preserve"> </w:t>
      </w:r>
      <w:r w:rsidRPr="00181FCD">
        <w:t>maestros</w:t>
      </w:r>
      <w:r w:rsidR="00F373A3" w:rsidRPr="00181FCD">
        <w:t xml:space="preserve"> </w:t>
      </w:r>
      <w:r w:rsidRPr="00181FCD">
        <w:t>y</w:t>
      </w:r>
      <w:r w:rsidR="00F373A3" w:rsidRPr="00181FCD">
        <w:t xml:space="preserve"> </w:t>
      </w:r>
      <w:r w:rsidRPr="00181FCD">
        <w:t>consejeros</w:t>
      </w:r>
      <w:r w:rsidR="00F373A3" w:rsidRPr="00181FCD">
        <w:t xml:space="preserve"> </w:t>
      </w:r>
      <w:r w:rsidRPr="00181FCD">
        <w:t>educativos,</w:t>
      </w:r>
      <w:r w:rsidR="00F373A3" w:rsidRPr="00181FCD">
        <w:t xml:space="preserve"> </w:t>
      </w:r>
      <w:r w:rsidRPr="00181FCD">
        <w:t>sacerdotes,</w:t>
      </w:r>
      <w:r w:rsidR="00F373A3" w:rsidRPr="00181FCD">
        <w:t xml:space="preserve"> </w:t>
      </w:r>
      <w:r w:rsidRPr="00181FCD">
        <w:t>etc.</w:t>
      </w:r>
      <w:r w:rsidR="00F373A3" w:rsidRPr="00181FCD">
        <w:t xml:space="preserve"> </w:t>
      </w:r>
      <w:r w:rsidRPr="00181FCD">
        <w:t>La</w:t>
      </w:r>
      <w:r w:rsidR="00F373A3" w:rsidRPr="00181FCD">
        <w:t xml:space="preserve"> </w:t>
      </w:r>
      <w:r w:rsidRPr="00181FCD">
        <w:t>Academia</w:t>
      </w:r>
      <w:r w:rsidR="00F373A3" w:rsidRPr="00181FCD">
        <w:t xml:space="preserve"> </w:t>
      </w:r>
      <w:r w:rsidRPr="00181FCD">
        <w:t>del</w:t>
      </w:r>
      <w:r w:rsidR="00F373A3" w:rsidRPr="00181FCD">
        <w:t xml:space="preserve"> </w:t>
      </w:r>
      <w:r w:rsidRPr="00181FCD">
        <w:t>Ministerio</w:t>
      </w:r>
      <w:r w:rsidR="00F373A3" w:rsidRPr="00181FCD">
        <w:t xml:space="preserve"> </w:t>
      </w:r>
      <w:r w:rsidRPr="00181FCD">
        <w:t>del</w:t>
      </w:r>
      <w:r w:rsidR="00F373A3" w:rsidRPr="00181FCD">
        <w:t xml:space="preserve"> </w:t>
      </w:r>
      <w:r w:rsidRPr="00181FCD">
        <w:t>Interior</w:t>
      </w:r>
      <w:r w:rsidR="00F373A3" w:rsidRPr="00181FCD">
        <w:t xml:space="preserve"> </w:t>
      </w:r>
      <w:r w:rsidRPr="00181FCD">
        <w:t>imparte</w:t>
      </w:r>
      <w:r w:rsidR="00F373A3" w:rsidRPr="00181FCD">
        <w:t xml:space="preserve"> </w:t>
      </w:r>
      <w:r w:rsidRPr="00181FCD">
        <w:t>cursos</w:t>
      </w:r>
      <w:r w:rsidR="00F373A3" w:rsidRPr="00181FCD">
        <w:t xml:space="preserve"> </w:t>
      </w:r>
      <w:r w:rsidRPr="00181FCD">
        <w:t>sobre</w:t>
      </w:r>
      <w:r w:rsidR="00F373A3" w:rsidRPr="00181FCD">
        <w:t xml:space="preserve"> </w:t>
      </w:r>
      <w:r w:rsidRPr="00181FCD">
        <w:t>el</w:t>
      </w:r>
      <w:r w:rsidR="00F373A3" w:rsidRPr="00181FCD">
        <w:t xml:space="preserve"> </w:t>
      </w:r>
      <w:r w:rsidRPr="00181FCD">
        <w:t>tema</w:t>
      </w:r>
      <w:r w:rsidR="00F373A3" w:rsidRPr="00181FCD">
        <w:t xml:space="preserve"> </w:t>
      </w:r>
      <w:r w:rsidRPr="00181FCD">
        <w:t>de</w:t>
      </w:r>
      <w:r w:rsidR="00F373A3" w:rsidRPr="00181FCD">
        <w:t xml:space="preserve"> </w:t>
      </w:r>
      <w:r w:rsidRPr="00181FCD">
        <w:t>la</w:t>
      </w:r>
      <w:r w:rsidR="00F373A3" w:rsidRPr="00181FCD">
        <w:t xml:space="preserve"> </w:t>
      </w:r>
      <w:r w:rsidRPr="00181FCD">
        <w:t>lucha</w:t>
      </w:r>
      <w:r w:rsidR="00F373A3" w:rsidRPr="00181FCD">
        <w:t xml:space="preserve"> </w:t>
      </w:r>
      <w:r w:rsidRPr="00181FCD">
        <w:t>contra</w:t>
      </w:r>
      <w:r w:rsidR="00F373A3" w:rsidRPr="00181FCD">
        <w:t xml:space="preserve"> </w:t>
      </w:r>
      <w:r w:rsidRPr="00181FCD">
        <w:t>la</w:t>
      </w:r>
      <w:r w:rsidR="00F373A3" w:rsidRPr="00181FCD">
        <w:t xml:space="preserve"> </w:t>
      </w:r>
      <w:r w:rsidRPr="00181FCD">
        <w:t>trata</w:t>
      </w:r>
      <w:r w:rsidR="00F373A3" w:rsidRPr="00181FCD">
        <w:t xml:space="preserve"> </w:t>
      </w:r>
      <w:r w:rsidRPr="00181FCD">
        <w:t>de</w:t>
      </w:r>
      <w:r w:rsidR="00F373A3" w:rsidRPr="00181FCD">
        <w:t xml:space="preserve"> </w:t>
      </w:r>
      <w:r w:rsidRPr="00181FCD">
        <w:t>seres</w:t>
      </w:r>
      <w:r w:rsidR="00F373A3" w:rsidRPr="00181FCD">
        <w:t xml:space="preserve"> </w:t>
      </w:r>
      <w:r w:rsidRPr="00181FCD">
        <w:t>humanos</w:t>
      </w:r>
      <w:r w:rsidR="00F373A3" w:rsidRPr="00181FCD">
        <w:t xml:space="preserve"> </w:t>
      </w:r>
      <w:r w:rsidRPr="00181FCD">
        <w:t>para</w:t>
      </w:r>
      <w:r w:rsidR="00F373A3" w:rsidRPr="00181FCD">
        <w:t xml:space="preserve"> </w:t>
      </w:r>
      <w:r w:rsidRPr="00181FCD">
        <w:t>los</w:t>
      </w:r>
      <w:r w:rsidR="00F373A3" w:rsidRPr="00181FCD">
        <w:t xml:space="preserve"> </w:t>
      </w:r>
      <w:r w:rsidRPr="00181FCD">
        <w:t>empleados</w:t>
      </w:r>
      <w:r w:rsidR="00F373A3" w:rsidRPr="00181FCD">
        <w:t xml:space="preserve"> </w:t>
      </w:r>
      <w:r w:rsidRPr="00181FCD">
        <w:t>de</w:t>
      </w:r>
      <w:r w:rsidR="00F373A3" w:rsidRPr="00181FCD">
        <w:t xml:space="preserve"> </w:t>
      </w:r>
      <w:r w:rsidRPr="00181FCD">
        <w:t>ese</w:t>
      </w:r>
      <w:r w:rsidR="00F373A3" w:rsidRPr="00181FCD">
        <w:t xml:space="preserve"> </w:t>
      </w:r>
      <w:r w:rsidRPr="00181FCD">
        <w:t>Ministerio.</w:t>
      </w:r>
      <w:r w:rsidR="00F373A3" w:rsidRPr="00181FCD">
        <w:t xml:space="preserve"> </w:t>
      </w:r>
      <w:r w:rsidRPr="00181FCD">
        <w:t>En</w:t>
      </w:r>
      <w:r w:rsidR="00F373A3" w:rsidRPr="00181FCD">
        <w:t xml:space="preserve"> </w:t>
      </w:r>
      <w:r w:rsidRPr="00181FCD">
        <w:t>cumplimiento</w:t>
      </w:r>
      <w:r w:rsidR="00F373A3" w:rsidRPr="00181FCD">
        <w:t xml:space="preserve"> </w:t>
      </w:r>
      <w:r w:rsidRPr="00181FCD">
        <w:t>del</w:t>
      </w:r>
      <w:r w:rsidR="00F373A3" w:rsidRPr="00181FCD">
        <w:t xml:space="preserve"> </w:t>
      </w:r>
      <w:r w:rsidRPr="00181FCD">
        <w:t>Programa</w:t>
      </w:r>
      <w:r w:rsidR="00F373A3" w:rsidRPr="00181FCD">
        <w:t xml:space="preserve"> </w:t>
      </w:r>
      <w:r w:rsidRPr="00181FCD">
        <w:t>Anual</w:t>
      </w:r>
      <w:r w:rsidR="00F373A3" w:rsidRPr="00181FCD">
        <w:t xml:space="preserve"> </w:t>
      </w:r>
      <w:r w:rsidRPr="00181FCD">
        <w:t>en</w:t>
      </w:r>
      <w:r w:rsidR="00F373A3" w:rsidRPr="00181FCD">
        <w:t xml:space="preserve"> </w:t>
      </w:r>
      <w:r w:rsidRPr="00181FCD">
        <w:t>el</w:t>
      </w:r>
      <w:r w:rsidR="00F373A3" w:rsidRPr="00181FCD">
        <w:t xml:space="preserve"> </w:t>
      </w:r>
      <w:r w:rsidRPr="00181FCD">
        <w:t>marco</w:t>
      </w:r>
      <w:r w:rsidR="00F373A3" w:rsidRPr="00181FCD">
        <w:t xml:space="preserve"> </w:t>
      </w:r>
      <w:r w:rsidRPr="00181FCD">
        <w:t>del</w:t>
      </w:r>
      <w:r w:rsidR="00F373A3" w:rsidRPr="00181FCD">
        <w:t xml:space="preserve"> </w:t>
      </w:r>
      <w:r w:rsidRPr="00181FCD">
        <w:t>Fondo</w:t>
      </w:r>
      <w:r w:rsidR="00F373A3" w:rsidRPr="00181FCD">
        <w:t xml:space="preserve"> </w:t>
      </w:r>
      <w:r w:rsidRPr="00181FCD">
        <w:t>Europeo</w:t>
      </w:r>
      <w:r w:rsidR="00F373A3" w:rsidRPr="00181FCD">
        <w:t xml:space="preserve"> </w:t>
      </w:r>
      <w:r w:rsidRPr="00181FCD">
        <w:t>para</w:t>
      </w:r>
      <w:r w:rsidR="00F373A3" w:rsidRPr="00181FCD">
        <w:t xml:space="preserve"> </w:t>
      </w:r>
      <w:r w:rsidRPr="00181FCD">
        <w:t>las</w:t>
      </w:r>
      <w:r w:rsidR="00F373A3" w:rsidRPr="00181FCD">
        <w:t xml:space="preserve"> </w:t>
      </w:r>
      <w:r w:rsidRPr="00181FCD">
        <w:t>Fronteras</w:t>
      </w:r>
      <w:r w:rsidR="00F373A3" w:rsidRPr="00181FCD">
        <w:t xml:space="preserve"> </w:t>
      </w:r>
      <w:r w:rsidRPr="00181FCD">
        <w:t>Exteriores,</w:t>
      </w:r>
      <w:r w:rsidR="00F373A3" w:rsidRPr="00181FCD">
        <w:t xml:space="preserve"> </w:t>
      </w:r>
      <w:r w:rsidRPr="00181FCD">
        <w:t>la</w:t>
      </w:r>
      <w:r w:rsidR="00F373A3" w:rsidRPr="00181FCD">
        <w:t xml:space="preserve"> </w:t>
      </w:r>
      <w:r w:rsidRPr="00181FCD">
        <w:t>Dirección</w:t>
      </w:r>
      <w:r w:rsidR="00F373A3" w:rsidRPr="00181FCD">
        <w:t xml:space="preserve"> </w:t>
      </w:r>
      <w:r w:rsidRPr="00181FCD">
        <w:t>General</w:t>
      </w:r>
      <w:r w:rsidR="00F373A3" w:rsidRPr="00181FCD">
        <w:t xml:space="preserve"> </w:t>
      </w:r>
      <w:r w:rsidRPr="00181FCD">
        <w:t>de</w:t>
      </w:r>
      <w:r w:rsidR="00F373A3" w:rsidRPr="00181FCD">
        <w:t xml:space="preserve"> </w:t>
      </w:r>
      <w:r w:rsidRPr="00181FCD">
        <w:t>la</w:t>
      </w:r>
      <w:r w:rsidR="00F373A3" w:rsidRPr="00181FCD">
        <w:t xml:space="preserve"> </w:t>
      </w:r>
      <w:r w:rsidRPr="00181FCD">
        <w:t>Policía</w:t>
      </w:r>
      <w:r w:rsidR="00F373A3" w:rsidRPr="00181FCD">
        <w:t xml:space="preserve"> </w:t>
      </w:r>
      <w:r w:rsidRPr="00181FCD">
        <w:t>de</w:t>
      </w:r>
      <w:r w:rsidR="00F373A3" w:rsidRPr="00181FCD">
        <w:t xml:space="preserve"> </w:t>
      </w:r>
      <w:r w:rsidRPr="00181FCD">
        <w:t>Fronteras</w:t>
      </w:r>
      <w:r w:rsidR="00F373A3" w:rsidRPr="00181FCD">
        <w:t xml:space="preserve"> </w:t>
      </w:r>
      <w:r w:rsidRPr="00181FCD">
        <w:t>organiza</w:t>
      </w:r>
      <w:r w:rsidR="00F373A3" w:rsidRPr="00181FCD">
        <w:t xml:space="preserve"> </w:t>
      </w:r>
      <w:r w:rsidRPr="00181FCD">
        <w:t>cursos</w:t>
      </w:r>
      <w:r w:rsidR="00F373A3" w:rsidRPr="00181FCD">
        <w:t xml:space="preserve"> </w:t>
      </w:r>
      <w:r w:rsidRPr="00181FCD">
        <w:t>de</w:t>
      </w:r>
      <w:r w:rsidR="00F373A3" w:rsidRPr="00181FCD">
        <w:t xml:space="preserve"> </w:t>
      </w:r>
      <w:r w:rsidRPr="00181FCD">
        <w:t>formación</w:t>
      </w:r>
      <w:r w:rsidR="00F373A3" w:rsidRPr="00181FCD">
        <w:t xml:space="preserve"> </w:t>
      </w:r>
      <w:r w:rsidRPr="00181FCD">
        <w:t>para</w:t>
      </w:r>
      <w:r w:rsidR="00F373A3" w:rsidRPr="00181FCD">
        <w:t xml:space="preserve"> </w:t>
      </w:r>
      <w:r w:rsidRPr="00181FCD">
        <w:t>sus</w:t>
      </w:r>
      <w:r w:rsidR="00F373A3" w:rsidRPr="00181FCD">
        <w:t xml:space="preserve"> </w:t>
      </w:r>
      <w:r w:rsidRPr="00181FCD">
        <w:t>empleados.</w:t>
      </w:r>
      <w:r w:rsidR="00F373A3" w:rsidRPr="00181FCD">
        <w:t xml:space="preserve"> </w:t>
      </w:r>
      <w:r w:rsidRPr="00181FCD">
        <w:t>La</w:t>
      </w:r>
      <w:r w:rsidR="00F373A3" w:rsidRPr="00181FCD">
        <w:t xml:space="preserve"> </w:t>
      </w:r>
      <w:r w:rsidRPr="00181FCD">
        <w:t>trata</w:t>
      </w:r>
      <w:r w:rsidR="00F373A3" w:rsidRPr="00181FCD">
        <w:t xml:space="preserve"> </w:t>
      </w:r>
      <w:r w:rsidRPr="00181FCD">
        <w:t>de</w:t>
      </w:r>
      <w:r w:rsidR="00F373A3" w:rsidRPr="00181FCD">
        <w:t xml:space="preserve"> </w:t>
      </w:r>
      <w:r w:rsidRPr="00181FCD">
        <w:t>seres</w:t>
      </w:r>
      <w:r w:rsidR="00F373A3" w:rsidRPr="00181FCD">
        <w:t xml:space="preserve"> </w:t>
      </w:r>
      <w:r w:rsidRPr="00181FCD">
        <w:t>humanos</w:t>
      </w:r>
      <w:r w:rsidR="00F373A3" w:rsidRPr="00181FCD">
        <w:t xml:space="preserve"> </w:t>
      </w:r>
      <w:r w:rsidRPr="00181FCD">
        <w:t>es</w:t>
      </w:r>
      <w:r w:rsidR="00F373A3" w:rsidRPr="00181FCD">
        <w:t xml:space="preserve"> </w:t>
      </w:r>
      <w:r w:rsidRPr="00181FCD">
        <w:t>uno</w:t>
      </w:r>
      <w:r w:rsidR="00F373A3" w:rsidRPr="00181FCD">
        <w:t xml:space="preserve"> </w:t>
      </w:r>
      <w:r w:rsidRPr="00181FCD">
        <w:t>de</w:t>
      </w:r>
      <w:r w:rsidR="00F373A3" w:rsidRPr="00181FCD">
        <w:t xml:space="preserve"> </w:t>
      </w:r>
      <w:r w:rsidRPr="00181FCD">
        <w:t>los</w:t>
      </w:r>
      <w:r w:rsidR="00F373A3" w:rsidRPr="00181FCD">
        <w:t xml:space="preserve"> </w:t>
      </w:r>
      <w:r w:rsidRPr="00181FCD">
        <w:t>temas</w:t>
      </w:r>
      <w:r w:rsidR="00F373A3" w:rsidRPr="00181FCD">
        <w:t xml:space="preserve"> </w:t>
      </w:r>
      <w:r w:rsidRPr="00181FCD">
        <w:t>incluidos</w:t>
      </w:r>
      <w:r w:rsidR="00F373A3" w:rsidRPr="00181FCD">
        <w:t xml:space="preserve"> </w:t>
      </w:r>
      <w:r w:rsidRPr="00181FCD">
        <w:t>como</w:t>
      </w:r>
      <w:r w:rsidR="00F373A3" w:rsidRPr="00181FCD">
        <w:t xml:space="preserve"> </w:t>
      </w:r>
      <w:r w:rsidRPr="00181FCD">
        <w:t>parte</w:t>
      </w:r>
      <w:r w:rsidR="00F373A3" w:rsidRPr="00181FCD">
        <w:t xml:space="preserve"> </w:t>
      </w:r>
      <w:r w:rsidRPr="00181FCD">
        <w:t>de</w:t>
      </w:r>
      <w:r w:rsidR="00F373A3" w:rsidRPr="00181FCD">
        <w:t xml:space="preserve"> </w:t>
      </w:r>
      <w:r w:rsidRPr="00181FCD">
        <w:t>la</w:t>
      </w:r>
      <w:r w:rsidR="00F373A3" w:rsidRPr="00181FCD">
        <w:t xml:space="preserve"> </w:t>
      </w:r>
      <w:r w:rsidRPr="00181FCD">
        <w:t>capacitación</w:t>
      </w:r>
      <w:r w:rsidR="00F373A3" w:rsidRPr="00181FCD">
        <w:t xml:space="preserve"> </w:t>
      </w:r>
      <w:r w:rsidRPr="00181FCD">
        <w:t>permanente</w:t>
      </w:r>
      <w:r w:rsidR="00F373A3" w:rsidRPr="00181FCD">
        <w:t xml:space="preserve"> </w:t>
      </w:r>
      <w:r w:rsidRPr="00181FCD">
        <w:t>en</w:t>
      </w:r>
      <w:r w:rsidR="00F373A3" w:rsidRPr="00181FCD">
        <w:t xml:space="preserve"> </w:t>
      </w:r>
      <w:r w:rsidRPr="00181FCD">
        <w:t>el</w:t>
      </w:r>
      <w:r w:rsidR="00F373A3" w:rsidRPr="00181FCD">
        <w:t xml:space="preserve"> </w:t>
      </w:r>
      <w:r w:rsidRPr="00181FCD">
        <w:t>trabajo.</w:t>
      </w:r>
      <w:r w:rsidR="00F373A3" w:rsidRPr="00181FCD">
        <w:t xml:space="preserve"> </w:t>
      </w:r>
      <w:r w:rsidRPr="00181FCD">
        <w:t>Se</w:t>
      </w:r>
      <w:r w:rsidR="00F373A3" w:rsidRPr="00181FCD">
        <w:t xml:space="preserve"> </w:t>
      </w:r>
      <w:r w:rsidRPr="00181FCD">
        <w:t>imparten</w:t>
      </w:r>
      <w:r w:rsidR="00F373A3" w:rsidRPr="00181FCD">
        <w:t xml:space="preserve"> </w:t>
      </w:r>
      <w:r w:rsidRPr="00181FCD">
        <w:t>cursos</w:t>
      </w:r>
      <w:r w:rsidR="00F373A3" w:rsidRPr="00181FCD">
        <w:t xml:space="preserve"> </w:t>
      </w:r>
      <w:r w:rsidRPr="00181FCD">
        <w:t>de</w:t>
      </w:r>
      <w:r w:rsidR="00F373A3" w:rsidRPr="00181FCD">
        <w:t xml:space="preserve"> </w:t>
      </w:r>
      <w:r w:rsidRPr="00181FCD">
        <w:t>formación</w:t>
      </w:r>
      <w:r w:rsidR="00F373A3" w:rsidRPr="00181FCD">
        <w:t xml:space="preserve"> </w:t>
      </w:r>
      <w:r w:rsidRPr="00181FCD">
        <w:t>conjuntos</w:t>
      </w:r>
      <w:r w:rsidR="00F373A3" w:rsidRPr="00181FCD">
        <w:t xml:space="preserve"> </w:t>
      </w:r>
      <w:r w:rsidRPr="00181FCD">
        <w:t>en</w:t>
      </w:r>
      <w:r w:rsidR="00F373A3" w:rsidRPr="00181FCD">
        <w:t xml:space="preserve"> </w:t>
      </w:r>
      <w:r w:rsidRPr="00181FCD">
        <w:t>el</w:t>
      </w:r>
      <w:r w:rsidR="00F373A3" w:rsidRPr="00181FCD">
        <w:t xml:space="preserve"> </w:t>
      </w:r>
      <w:r w:rsidRPr="00181FCD">
        <w:t>Instituto</w:t>
      </w:r>
      <w:r w:rsidR="00F373A3" w:rsidRPr="00181FCD">
        <w:t xml:space="preserve"> </w:t>
      </w:r>
      <w:r w:rsidRPr="00181FCD">
        <w:t>Nacional</w:t>
      </w:r>
      <w:r w:rsidR="00F373A3" w:rsidRPr="00181FCD">
        <w:t xml:space="preserve"> </w:t>
      </w:r>
      <w:r w:rsidRPr="00181FCD">
        <w:t>de</w:t>
      </w:r>
      <w:r w:rsidR="00F373A3" w:rsidRPr="00181FCD">
        <w:t xml:space="preserve"> </w:t>
      </w:r>
      <w:r w:rsidRPr="00181FCD">
        <w:t>Justicia,</w:t>
      </w:r>
      <w:r w:rsidR="00F373A3" w:rsidRPr="00181FCD">
        <w:t xml:space="preserve"> </w:t>
      </w:r>
      <w:r w:rsidRPr="00181FCD">
        <w:t>la</w:t>
      </w:r>
      <w:r w:rsidR="00F373A3" w:rsidRPr="00181FCD">
        <w:t xml:space="preserve"> </w:t>
      </w:r>
      <w:r w:rsidRPr="00181FCD">
        <w:t>Academia</w:t>
      </w:r>
      <w:r w:rsidR="00F373A3" w:rsidRPr="00181FCD">
        <w:t xml:space="preserve"> </w:t>
      </w:r>
      <w:r w:rsidRPr="00181FCD">
        <w:t>del</w:t>
      </w:r>
      <w:r w:rsidR="00F373A3" w:rsidRPr="00181FCD">
        <w:t xml:space="preserve"> </w:t>
      </w:r>
      <w:r w:rsidRPr="00181FCD">
        <w:t>Ministerio</w:t>
      </w:r>
      <w:r w:rsidR="00F373A3" w:rsidRPr="00181FCD">
        <w:t xml:space="preserve"> </w:t>
      </w:r>
      <w:r w:rsidRPr="00181FCD">
        <w:t>del</w:t>
      </w:r>
      <w:r w:rsidR="00F373A3" w:rsidRPr="00181FCD">
        <w:t xml:space="preserve"> </w:t>
      </w:r>
      <w:r w:rsidRPr="00181FCD">
        <w:t>Interior</w:t>
      </w:r>
      <w:r w:rsidR="00F373A3" w:rsidRPr="00181FCD">
        <w:t xml:space="preserve"> </w:t>
      </w:r>
      <w:r w:rsidRPr="00181FCD">
        <w:t>y</w:t>
      </w:r>
      <w:r w:rsidR="00F373A3" w:rsidRPr="00181FCD">
        <w:t xml:space="preserve"> </w:t>
      </w:r>
      <w:r w:rsidRPr="00181FCD">
        <w:t>el</w:t>
      </w:r>
      <w:r w:rsidR="00F373A3" w:rsidRPr="00181FCD">
        <w:t xml:space="preserve"> </w:t>
      </w:r>
      <w:r w:rsidRPr="00181FCD">
        <w:t>Instituto</w:t>
      </w:r>
      <w:r w:rsidR="00F373A3" w:rsidRPr="00181FCD">
        <w:t xml:space="preserve"> </w:t>
      </w:r>
      <w:r w:rsidRPr="00181FCD">
        <w:t>Diplomático</w:t>
      </w:r>
      <w:r w:rsidR="00F373A3" w:rsidRPr="00181FCD">
        <w:t xml:space="preserve"> </w:t>
      </w:r>
      <w:r w:rsidRPr="00181FCD">
        <w:t>del</w:t>
      </w:r>
      <w:r w:rsidR="00F373A3" w:rsidRPr="00181FCD">
        <w:t xml:space="preserve"> </w:t>
      </w:r>
      <w:r w:rsidRPr="00181FCD">
        <w:t>Ministerio</w:t>
      </w:r>
      <w:r w:rsidR="00F373A3" w:rsidRPr="00181FCD">
        <w:t xml:space="preserve"> </w:t>
      </w:r>
      <w:r w:rsidRPr="00181FCD">
        <w:t>de</w:t>
      </w:r>
      <w:r w:rsidR="00F373A3" w:rsidRPr="00181FCD">
        <w:t xml:space="preserve"> </w:t>
      </w:r>
      <w:r w:rsidRPr="00181FCD">
        <w:t>Relaciones</w:t>
      </w:r>
      <w:r w:rsidR="00F373A3" w:rsidRPr="00181FCD">
        <w:t xml:space="preserve"> </w:t>
      </w:r>
      <w:r w:rsidRPr="00181FCD">
        <w:t>Exteriores.</w:t>
      </w:r>
    </w:p>
    <w:p w:rsidR="001937F4" w:rsidRPr="00181FCD" w:rsidRDefault="001937F4" w:rsidP="00347B20">
      <w:pPr>
        <w:pStyle w:val="SingleTxtG"/>
        <w:suppressAutoHyphens/>
      </w:pPr>
      <w:r w:rsidRPr="00181FCD">
        <w:t>155.</w:t>
      </w:r>
      <w:r w:rsidRPr="00181FCD">
        <w:tab/>
        <w:t>La</w:t>
      </w:r>
      <w:r w:rsidR="00F373A3" w:rsidRPr="00181FCD">
        <w:t xml:space="preserve"> </w:t>
      </w:r>
      <w:r w:rsidRPr="00181FCD">
        <w:t>Comisión</w:t>
      </w:r>
      <w:r w:rsidR="00F373A3" w:rsidRPr="00181FCD">
        <w:t xml:space="preserve"> </w:t>
      </w:r>
      <w:r w:rsidRPr="00181FCD">
        <w:t>Nacional</w:t>
      </w:r>
      <w:r w:rsidR="00F373A3" w:rsidRPr="00181FCD">
        <w:t xml:space="preserve"> </w:t>
      </w:r>
      <w:r w:rsidRPr="00181FCD">
        <w:t>de</w:t>
      </w:r>
      <w:r w:rsidR="00F373A3" w:rsidRPr="00181FCD">
        <w:t xml:space="preserve"> </w:t>
      </w:r>
      <w:r w:rsidRPr="00181FCD">
        <w:t>Lucha</w:t>
      </w:r>
      <w:r w:rsidR="00F373A3" w:rsidRPr="00181FCD">
        <w:t xml:space="preserve"> </w:t>
      </w:r>
      <w:r w:rsidRPr="00181FCD">
        <w:t>contra</w:t>
      </w:r>
      <w:r w:rsidR="00F373A3" w:rsidRPr="00181FCD">
        <w:t xml:space="preserve"> </w:t>
      </w:r>
      <w:r w:rsidRPr="00181FCD">
        <w:t>la</w:t>
      </w:r>
      <w:r w:rsidR="00F373A3" w:rsidRPr="00181FCD">
        <w:t xml:space="preserve"> </w:t>
      </w:r>
      <w:r w:rsidRPr="00181FCD">
        <w:t>Trata</w:t>
      </w:r>
      <w:r w:rsidR="00F373A3" w:rsidRPr="00181FCD">
        <w:t xml:space="preserve"> </w:t>
      </w:r>
      <w:r w:rsidRPr="00181FCD">
        <w:t>de</w:t>
      </w:r>
      <w:r w:rsidR="00F373A3" w:rsidRPr="00181FCD">
        <w:t xml:space="preserve"> </w:t>
      </w:r>
      <w:r w:rsidRPr="00181FCD">
        <w:t>Seres</w:t>
      </w:r>
      <w:r w:rsidR="00F373A3" w:rsidRPr="00181FCD">
        <w:t xml:space="preserve"> </w:t>
      </w:r>
      <w:r w:rsidRPr="00181FCD">
        <w:t>Humanos</w:t>
      </w:r>
      <w:r w:rsidR="00F373A3" w:rsidRPr="00181FCD">
        <w:t xml:space="preserve"> </w:t>
      </w:r>
      <w:r w:rsidRPr="00181FCD">
        <w:t>ejecutó</w:t>
      </w:r>
      <w:r w:rsidR="00F373A3" w:rsidRPr="00181FCD">
        <w:t xml:space="preserve"> </w:t>
      </w:r>
      <w:r w:rsidRPr="00181FCD">
        <w:t>el</w:t>
      </w:r>
      <w:r w:rsidR="00F373A3" w:rsidRPr="00181FCD">
        <w:t xml:space="preserve"> </w:t>
      </w:r>
      <w:r w:rsidRPr="00181FCD">
        <w:t>proyecto</w:t>
      </w:r>
      <w:r w:rsidR="00F373A3" w:rsidRPr="00181FCD">
        <w:t xml:space="preserve"> "</w:t>
      </w:r>
      <w:r w:rsidRPr="00181FCD">
        <w:t>Prevención</w:t>
      </w:r>
      <w:r w:rsidR="00F373A3" w:rsidRPr="00181FCD">
        <w:t xml:space="preserve"> </w:t>
      </w:r>
      <w:r w:rsidRPr="00181FCD">
        <w:t>de</w:t>
      </w:r>
      <w:r w:rsidR="00F373A3" w:rsidRPr="00181FCD">
        <w:t xml:space="preserve"> </w:t>
      </w:r>
      <w:r w:rsidRPr="00181FCD">
        <w:t>la</w:t>
      </w:r>
      <w:r w:rsidR="00F373A3" w:rsidRPr="00181FCD">
        <w:t xml:space="preserve"> </w:t>
      </w:r>
      <w:r w:rsidRPr="00181FCD">
        <w:t>trata</w:t>
      </w:r>
      <w:r w:rsidR="00F373A3" w:rsidRPr="00181FCD">
        <w:t xml:space="preserve"> </w:t>
      </w:r>
      <w:r w:rsidRPr="00181FCD">
        <w:t>de</w:t>
      </w:r>
      <w:r w:rsidR="00F373A3" w:rsidRPr="00181FCD">
        <w:t xml:space="preserve"> </w:t>
      </w:r>
      <w:r w:rsidRPr="00181FCD">
        <w:t>seres</w:t>
      </w:r>
      <w:r w:rsidR="00F373A3" w:rsidRPr="00181FCD">
        <w:t xml:space="preserve"> </w:t>
      </w:r>
      <w:r w:rsidRPr="00181FCD">
        <w:t>humanos</w:t>
      </w:r>
      <w:r w:rsidR="00F373A3" w:rsidRPr="00181FCD">
        <w:t xml:space="preserve"> </w:t>
      </w:r>
      <w:r w:rsidRPr="00181FCD">
        <w:t>pertenecientes</w:t>
      </w:r>
      <w:r w:rsidR="00F373A3" w:rsidRPr="00181FCD">
        <w:t xml:space="preserve"> </w:t>
      </w:r>
      <w:r w:rsidRPr="00181FCD">
        <w:t>a</w:t>
      </w:r>
      <w:r w:rsidR="00F373A3" w:rsidRPr="00181FCD">
        <w:t xml:space="preserve"> </w:t>
      </w:r>
      <w:r w:rsidRPr="00181FCD">
        <w:t>minorías</w:t>
      </w:r>
      <w:r w:rsidR="00F373A3" w:rsidRPr="00181FCD">
        <w:t xml:space="preserve"> </w:t>
      </w:r>
      <w:r w:rsidRPr="00181FCD">
        <w:t>étnicas,</w:t>
      </w:r>
      <w:r w:rsidR="00F373A3" w:rsidRPr="00181FCD">
        <w:t xml:space="preserve"> </w:t>
      </w:r>
      <w:r w:rsidRPr="00181FCD">
        <w:t>con</w:t>
      </w:r>
      <w:r w:rsidR="00F373A3" w:rsidRPr="00181FCD">
        <w:t xml:space="preserve"> </w:t>
      </w:r>
      <w:r w:rsidRPr="00181FCD">
        <w:t>un</w:t>
      </w:r>
      <w:r w:rsidR="00F373A3" w:rsidRPr="00181FCD">
        <w:t xml:space="preserve"> </w:t>
      </w:r>
      <w:r w:rsidRPr="00181FCD">
        <w:t>enfoque</w:t>
      </w:r>
      <w:r w:rsidR="00F373A3" w:rsidRPr="00181FCD">
        <w:t xml:space="preserve"> </w:t>
      </w:r>
      <w:r w:rsidRPr="00181FCD">
        <w:t>centrado</w:t>
      </w:r>
      <w:r w:rsidR="00F373A3" w:rsidRPr="00181FCD">
        <w:t xml:space="preserve"> </w:t>
      </w:r>
      <w:r w:rsidRPr="00181FCD">
        <w:t>en</w:t>
      </w:r>
      <w:r w:rsidR="00F373A3" w:rsidRPr="00181FCD">
        <w:t xml:space="preserve"> </w:t>
      </w:r>
      <w:r w:rsidRPr="00181FCD">
        <w:t>la</w:t>
      </w:r>
      <w:r w:rsidR="00F373A3" w:rsidRPr="00181FCD">
        <w:t xml:space="preserve"> </w:t>
      </w:r>
      <w:r w:rsidRPr="00181FCD">
        <w:t>minoría</w:t>
      </w:r>
      <w:r w:rsidR="00F373A3" w:rsidRPr="00181FCD">
        <w:t xml:space="preserve"> </w:t>
      </w:r>
      <w:r w:rsidRPr="00181FCD">
        <w:t>romaní</w:t>
      </w:r>
      <w:r w:rsidR="00F373A3" w:rsidRPr="00181FCD">
        <w:t xml:space="preserve"> </w:t>
      </w:r>
      <w:r w:rsidRPr="00181FCD">
        <w:t>en</w:t>
      </w:r>
      <w:r w:rsidR="00F373A3" w:rsidRPr="00181FCD">
        <w:t xml:space="preserve"> </w:t>
      </w:r>
      <w:r w:rsidRPr="00181FCD">
        <w:t>Bulgaria</w:t>
      </w:r>
      <w:r w:rsidR="00F373A3" w:rsidRPr="00181FCD">
        <w:t>"</w:t>
      </w:r>
      <w:r w:rsidRPr="00181FCD">
        <w:t>,</w:t>
      </w:r>
      <w:r w:rsidR="00F373A3" w:rsidRPr="00181FCD">
        <w:t xml:space="preserve"> </w:t>
      </w:r>
      <w:r w:rsidRPr="00181FCD">
        <w:t>en</w:t>
      </w:r>
      <w:r w:rsidR="00F373A3" w:rsidRPr="00181FCD">
        <w:t xml:space="preserve"> </w:t>
      </w:r>
      <w:r w:rsidRPr="00181FCD">
        <w:t>colaboración</w:t>
      </w:r>
      <w:r w:rsidR="00F373A3" w:rsidRPr="00181FCD">
        <w:t xml:space="preserve"> </w:t>
      </w:r>
      <w:r w:rsidRPr="00181FCD">
        <w:t>con</w:t>
      </w:r>
      <w:r w:rsidR="00F373A3" w:rsidRPr="00181FCD">
        <w:t xml:space="preserve"> </w:t>
      </w:r>
      <w:r w:rsidRPr="00181FCD">
        <w:t>el</w:t>
      </w:r>
      <w:r w:rsidR="00F373A3" w:rsidRPr="00181FCD">
        <w:t xml:space="preserve"> </w:t>
      </w:r>
      <w:r w:rsidRPr="00181FCD">
        <w:t>municipio</w:t>
      </w:r>
      <w:r w:rsidR="00F373A3" w:rsidRPr="00181FCD">
        <w:t xml:space="preserve"> </w:t>
      </w:r>
      <w:r w:rsidRPr="00181FCD">
        <w:t>de</w:t>
      </w:r>
      <w:r w:rsidR="00F373A3" w:rsidRPr="00181FCD">
        <w:t xml:space="preserve"> </w:t>
      </w:r>
      <w:r w:rsidRPr="00181FCD">
        <w:t>Varna,</w:t>
      </w:r>
      <w:r w:rsidR="00F373A3" w:rsidRPr="00181FCD">
        <w:t xml:space="preserve"> </w:t>
      </w:r>
      <w:r w:rsidRPr="00181FCD">
        <w:t>la</w:t>
      </w:r>
      <w:r w:rsidR="00F373A3" w:rsidRPr="00181FCD">
        <w:t xml:space="preserve"> </w:t>
      </w:r>
      <w:r w:rsidRPr="00181FCD">
        <w:t>Asociación</w:t>
      </w:r>
      <w:r w:rsidR="00F373A3" w:rsidRPr="00181FCD">
        <w:t xml:space="preserve"> </w:t>
      </w:r>
      <w:r w:rsidRPr="00181FCD">
        <w:t>Sauchastie,</w:t>
      </w:r>
      <w:r w:rsidR="00F373A3" w:rsidRPr="00181FCD">
        <w:t xml:space="preserve"> </w:t>
      </w:r>
      <w:r w:rsidRPr="00181FCD">
        <w:t>la</w:t>
      </w:r>
      <w:r w:rsidR="00F373A3" w:rsidRPr="00181FCD">
        <w:t xml:space="preserve"> </w:t>
      </w:r>
      <w:r w:rsidRPr="00181FCD">
        <w:t>Asociación</w:t>
      </w:r>
      <w:r w:rsidR="00F373A3" w:rsidRPr="00181FCD">
        <w:t xml:space="preserve"> </w:t>
      </w:r>
      <w:r w:rsidRPr="00181FCD">
        <w:t>de</w:t>
      </w:r>
      <w:r w:rsidR="00F373A3" w:rsidRPr="00181FCD">
        <w:t xml:space="preserve"> </w:t>
      </w:r>
      <w:r w:rsidRPr="00181FCD">
        <w:t>Planificación</w:t>
      </w:r>
      <w:r w:rsidR="00F373A3" w:rsidRPr="00181FCD">
        <w:t xml:space="preserve"> </w:t>
      </w:r>
      <w:r w:rsidRPr="00181FCD">
        <w:t>Familiar</w:t>
      </w:r>
      <w:r w:rsidR="00F373A3" w:rsidRPr="00181FCD">
        <w:t xml:space="preserve"> </w:t>
      </w:r>
      <w:r w:rsidRPr="00181FCD">
        <w:t>de</w:t>
      </w:r>
      <w:r w:rsidR="00F373A3" w:rsidRPr="00181FCD">
        <w:t xml:space="preserve"> </w:t>
      </w:r>
      <w:r w:rsidRPr="00181FCD">
        <w:t>Bulgaria</w:t>
      </w:r>
      <w:r w:rsidR="00F373A3" w:rsidRPr="00181FCD">
        <w:t xml:space="preserve"> </w:t>
      </w:r>
      <w:r w:rsidRPr="00181FCD">
        <w:t>y</w:t>
      </w:r>
      <w:r w:rsidR="00F373A3" w:rsidRPr="00181FCD">
        <w:t xml:space="preserve"> </w:t>
      </w:r>
      <w:r w:rsidRPr="00181FCD">
        <w:t>la</w:t>
      </w:r>
      <w:r w:rsidR="00F373A3" w:rsidRPr="00181FCD">
        <w:t xml:space="preserve"> </w:t>
      </w:r>
      <w:r w:rsidRPr="00181FCD">
        <w:t>Red</w:t>
      </w:r>
      <w:r w:rsidR="00F373A3" w:rsidRPr="00181FCD">
        <w:t xml:space="preserve"> </w:t>
      </w:r>
      <w:r w:rsidRPr="00181FCD">
        <w:t>Nacional</w:t>
      </w:r>
      <w:r w:rsidR="00F373A3" w:rsidRPr="00181FCD">
        <w:t xml:space="preserve"> </w:t>
      </w:r>
      <w:r w:rsidRPr="00181FCD">
        <w:t>de</w:t>
      </w:r>
      <w:r w:rsidR="00F373A3" w:rsidRPr="00181FCD">
        <w:t xml:space="preserve"> </w:t>
      </w:r>
      <w:r w:rsidRPr="00181FCD">
        <w:t>Mediadores</w:t>
      </w:r>
      <w:r w:rsidR="00F373A3" w:rsidRPr="00181FCD">
        <w:t xml:space="preserve"> </w:t>
      </w:r>
      <w:r w:rsidRPr="00181FCD">
        <w:t>de</w:t>
      </w:r>
      <w:r w:rsidR="00F373A3" w:rsidRPr="00181FCD">
        <w:t xml:space="preserve"> </w:t>
      </w:r>
      <w:r w:rsidRPr="00181FCD">
        <w:t>la</w:t>
      </w:r>
      <w:r w:rsidR="00F373A3" w:rsidRPr="00181FCD">
        <w:t xml:space="preserve"> </w:t>
      </w:r>
      <w:r w:rsidRPr="00181FCD">
        <w:t>Salud.</w:t>
      </w:r>
      <w:r w:rsidR="00F373A3" w:rsidRPr="00181FCD">
        <w:t xml:space="preserve"> </w:t>
      </w:r>
      <w:r w:rsidRPr="00181FCD">
        <w:t>El</w:t>
      </w:r>
      <w:r w:rsidR="00F373A3" w:rsidRPr="00181FCD">
        <w:t xml:space="preserve"> </w:t>
      </w:r>
      <w:r w:rsidRPr="00181FCD">
        <w:t>proyecto</w:t>
      </w:r>
      <w:r w:rsidR="00F373A3" w:rsidRPr="00181FCD">
        <w:t xml:space="preserve"> </w:t>
      </w:r>
      <w:r w:rsidRPr="00181FCD">
        <w:t>tiene</w:t>
      </w:r>
      <w:r w:rsidR="00F373A3" w:rsidRPr="00181FCD">
        <w:t xml:space="preserve"> </w:t>
      </w:r>
      <w:r w:rsidRPr="00181FCD">
        <w:t>como</w:t>
      </w:r>
      <w:r w:rsidR="00F373A3" w:rsidRPr="00181FCD">
        <w:t xml:space="preserve"> </w:t>
      </w:r>
      <w:r w:rsidRPr="00181FCD">
        <w:t>objetivo</w:t>
      </w:r>
      <w:r w:rsidR="00F373A3" w:rsidRPr="00181FCD">
        <w:t xml:space="preserve"> </w:t>
      </w:r>
      <w:r w:rsidRPr="00181FCD">
        <w:t>reducir</w:t>
      </w:r>
      <w:r w:rsidR="00F373A3" w:rsidRPr="00181FCD">
        <w:t xml:space="preserve"> </w:t>
      </w:r>
      <w:r w:rsidRPr="00181FCD">
        <w:t>el</w:t>
      </w:r>
      <w:r w:rsidR="00F373A3" w:rsidRPr="00181FCD">
        <w:t xml:space="preserve"> </w:t>
      </w:r>
      <w:r w:rsidRPr="00181FCD">
        <w:t>número</w:t>
      </w:r>
      <w:r w:rsidR="00F373A3" w:rsidRPr="00181FCD">
        <w:t xml:space="preserve"> </w:t>
      </w:r>
      <w:r w:rsidRPr="00181FCD">
        <w:t>de</w:t>
      </w:r>
      <w:r w:rsidR="00F373A3" w:rsidRPr="00181FCD">
        <w:t xml:space="preserve"> </w:t>
      </w:r>
      <w:r w:rsidRPr="00181FCD">
        <w:t>posibles</w:t>
      </w:r>
      <w:r w:rsidR="00F373A3" w:rsidRPr="00181FCD">
        <w:t xml:space="preserve"> </w:t>
      </w:r>
      <w:r w:rsidRPr="00181FCD">
        <w:t>víctimas</w:t>
      </w:r>
      <w:r w:rsidR="00F373A3" w:rsidRPr="00181FCD">
        <w:t xml:space="preserve"> </w:t>
      </w:r>
      <w:r w:rsidRPr="00181FCD">
        <w:t>de</w:t>
      </w:r>
      <w:r w:rsidR="00F373A3" w:rsidRPr="00181FCD">
        <w:t xml:space="preserve"> </w:t>
      </w:r>
      <w:r w:rsidRPr="00181FCD">
        <w:t>trata</w:t>
      </w:r>
      <w:r w:rsidR="00F373A3" w:rsidRPr="00181FCD">
        <w:t xml:space="preserve"> </w:t>
      </w:r>
      <w:r w:rsidRPr="00181FCD">
        <w:t>de</w:t>
      </w:r>
      <w:r w:rsidR="00F373A3" w:rsidRPr="00181FCD">
        <w:t xml:space="preserve"> </w:t>
      </w:r>
      <w:r w:rsidRPr="00181FCD">
        <w:t>origen</w:t>
      </w:r>
      <w:r w:rsidR="00F373A3" w:rsidRPr="00181FCD">
        <w:t xml:space="preserve"> </w:t>
      </w:r>
      <w:r w:rsidRPr="00181FCD">
        <w:t>romaní.</w:t>
      </w:r>
      <w:r w:rsidR="00F373A3" w:rsidRPr="00181FCD">
        <w:t xml:space="preserve"> </w:t>
      </w:r>
      <w:r w:rsidRPr="00181FCD">
        <w:t>El</w:t>
      </w:r>
      <w:r w:rsidR="00F373A3" w:rsidRPr="00181FCD">
        <w:t xml:space="preserve"> </w:t>
      </w:r>
      <w:r w:rsidRPr="00181FCD">
        <w:t>proyecto</w:t>
      </w:r>
      <w:r w:rsidR="00F373A3" w:rsidRPr="00181FCD">
        <w:t xml:space="preserve"> </w:t>
      </w:r>
      <w:r w:rsidRPr="00181FCD">
        <w:t>se</w:t>
      </w:r>
      <w:r w:rsidR="00F373A3" w:rsidRPr="00181FCD">
        <w:t xml:space="preserve"> </w:t>
      </w:r>
      <w:r w:rsidRPr="00181FCD">
        <w:t>propone,</w:t>
      </w:r>
      <w:r w:rsidR="00F373A3" w:rsidRPr="00181FCD">
        <w:t xml:space="preserve"> </w:t>
      </w:r>
      <w:r w:rsidRPr="00181FCD">
        <w:t>asimismo,</w:t>
      </w:r>
      <w:r w:rsidR="00F373A3" w:rsidRPr="00181FCD">
        <w:t xml:space="preserve"> </w:t>
      </w:r>
      <w:r w:rsidRPr="00181FCD">
        <w:t>servir</w:t>
      </w:r>
      <w:r w:rsidR="00F373A3" w:rsidRPr="00181FCD">
        <w:t xml:space="preserve"> </w:t>
      </w:r>
      <w:r w:rsidRPr="00181FCD">
        <w:t>como</w:t>
      </w:r>
      <w:r w:rsidR="00F373A3" w:rsidRPr="00181FCD">
        <w:t xml:space="preserve"> </w:t>
      </w:r>
      <w:r w:rsidRPr="00181FCD">
        <w:t>modelo</w:t>
      </w:r>
      <w:r w:rsidR="00F373A3" w:rsidRPr="00181FCD">
        <w:t xml:space="preserve"> </w:t>
      </w:r>
      <w:r w:rsidRPr="00181FCD">
        <w:t>para</w:t>
      </w:r>
      <w:r w:rsidR="00F373A3" w:rsidRPr="00181FCD">
        <w:t xml:space="preserve"> </w:t>
      </w:r>
      <w:r w:rsidRPr="00181FCD">
        <w:t>una</w:t>
      </w:r>
      <w:r w:rsidR="00F373A3" w:rsidRPr="00181FCD">
        <w:t xml:space="preserve"> </w:t>
      </w:r>
      <w:r w:rsidRPr="00181FCD">
        <w:t>política</w:t>
      </w:r>
      <w:r w:rsidR="00F373A3" w:rsidRPr="00181FCD">
        <w:t xml:space="preserve"> </w:t>
      </w:r>
      <w:r w:rsidRPr="00181FCD">
        <w:t>integral</w:t>
      </w:r>
      <w:r w:rsidR="00F373A3" w:rsidRPr="00181FCD">
        <w:t xml:space="preserve"> </w:t>
      </w:r>
      <w:r w:rsidRPr="00181FCD">
        <w:t>del</w:t>
      </w:r>
      <w:r w:rsidR="00F373A3" w:rsidRPr="00181FCD">
        <w:t xml:space="preserve"> </w:t>
      </w:r>
      <w:r w:rsidRPr="00181FCD">
        <w:t>Estado</w:t>
      </w:r>
      <w:r w:rsidR="00F373A3" w:rsidRPr="00181FCD">
        <w:t xml:space="preserve"> </w:t>
      </w:r>
      <w:r w:rsidRPr="00181FCD">
        <w:t>de</w:t>
      </w:r>
      <w:r w:rsidR="00F373A3" w:rsidRPr="00181FCD">
        <w:t xml:space="preserve"> </w:t>
      </w:r>
      <w:r w:rsidRPr="00181FCD">
        <w:t>lucha</w:t>
      </w:r>
      <w:r w:rsidR="00F373A3" w:rsidRPr="00181FCD">
        <w:t xml:space="preserve"> </w:t>
      </w:r>
      <w:r w:rsidRPr="00181FCD">
        <w:t>contra</w:t>
      </w:r>
      <w:r w:rsidR="00F373A3" w:rsidRPr="00181FCD">
        <w:t xml:space="preserve"> </w:t>
      </w:r>
      <w:r w:rsidRPr="00181FCD">
        <w:t>la</w:t>
      </w:r>
      <w:r w:rsidR="00F373A3" w:rsidRPr="00181FCD">
        <w:t xml:space="preserve"> </w:t>
      </w:r>
      <w:r w:rsidRPr="00181FCD">
        <w:t>trata</w:t>
      </w:r>
      <w:r w:rsidR="00F373A3" w:rsidRPr="00181FCD">
        <w:t xml:space="preserve"> </w:t>
      </w:r>
      <w:r w:rsidRPr="00181FCD">
        <w:t>de</w:t>
      </w:r>
      <w:r w:rsidR="00F373A3" w:rsidRPr="00181FCD">
        <w:t xml:space="preserve"> </w:t>
      </w:r>
      <w:r w:rsidRPr="00181FCD">
        <w:t>seres</w:t>
      </w:r>
      <w:r w:rsidR="00F373A3" w:rsidRPr="00181FCD">
        <w:t xml:space="preserve"> </w:t>
      </w:r>
      <w:r w:rsidRPr="00181FCD">
        <w:t>humanos</w:t>
      </w:r>
      <w:r w:rsidR="00F373A3" w:rsidRPr="00181FCD">
        <w:t xml:space="preserve"> </w:t>
      </w:r>
      <w:r w:rsidRPr="00181FCD">
        <w:t>que</w:t>
      </w:r>
      <w:r w:rsidR="00F373A3" w:rsidRPr="00181FCD">
        <w:t xml:space="preserve"> </w:t>
      </w:r>
      <w:r w:rsidRPr="00181FCD">
        <w:t>afecta</w:t>
      </w:r>
      <w:r w:rsidR="00F373A3" w:rsidRPr="00181FCD">
        <w:t xml:space="preserve"> </w:t>
      </w:r>
      <w:r w:rsidRPr="00181FCD">
        <w:t>a</w:t>
      </w:r>
      <w:r w:rsidR="00F373A3" w:rsidRPr="00181FCD">
        <w:t xml:space="preserve"> </w:t>
      </w:r>
      <w:r w:rsidRPr="00181FCD">
        <w:t>los</w:t>
      </w:r>
      <w:r w:rsidR="00F373A3" w:rsidRPr="00181FCD">
        <w:t xml:space="preserve"> </w:t>
      </w:r>
      <w:r w:rsidRPr="00181FCD">
        <w:t>grupos</w:t>
      </w:r>
      <w:r w:rsidR="00F373A3" w:rsidRPr="00181FCD">
        <w:t xml:space="preserve"> </w:t>
      </w:r>
      <w:r w:rsidRPr="00181FCD">
        <w:t>étnicos</w:t>
      </w:r>
      <w:r w:rsidR="00F373A3" w:rsidRPr="00181FCD">
        <w:t xml:space="preserve"> </w:t>
      </w:r>
      <w:r w:rsidRPr="00181FCD">
        <w:t>vulnerables</w:t>
      </w:r>
      <w:r w:rsidR="00F373A3" w:rsidRPr="00181FCD">
        <w:t xml:space="preserve"> </w:t>
      </w:r>
      <w:r w:rsidRPr="00181FCD">
        <w:t>de</w:t>
      </w:r>
      <w:r w:rsidR="00F373A3" w:rsidRPr="00181FCD">
        <w:t xml:space="preserve"> </w:t>
      </w:r>
      <w:r w:rsidRPr="00181FCD">
        <w:t>Bulgaria.</w:t>
      </w:r>
      <w:r w:rsidR="00F373A3" w:rsidRPr="00181FCD">
        <w:t xml:space="preserve"> </w:t>
      </w:r>
      <w:r w:rsidRPr="00181FCD">
        <w:t>En</w:t>
      </w:r>
      <w:r w:rsidR="00F373A3" w:rsidRPr="00181FCD">
        <w:t xml:space="preserve"> </w:t>
      </w:r>
      <w:r w:rsidRPr="00181FCD">
        <w:t>el</w:t>
      </w:r>
      <w:r w:rsidR="00F373A3" w:rsidRPr="00181FCD">
        <w:t xml:space="preserve"> </w:t>
      </w:r>
      <w:r w:rsidRPr="00181FCD">
        <w:t>marco</w:t>
      </w:r>
      <w:r w:rsidR="00F373A3" w:rsidRPr="00181FCD">
        <w:t xml:space="preserve"> </w:t>
      </w:r>
      <w:r w:rsidRPr="00181FCD">
        <w:t>del</w:t>
      </w:r>
      <w:r w:rsidR="00F373A3" w:rsidRPr="00181FCD">
        <w:t xml:space="preserve"> </w:t>
      </w:r>
      <w:r w:rsidRPr="00181FCD">
        <w:t>proyecto,</w:t>
      </w:r>
      <w:r w:rsidR="00F373A3" w:rsidRPr="00181FCD">
        <w:t xml:space="preserve"> </w:t>
      </w:r>
      <w:r w:rsidRPr="00181FCD">
        <w:t>está</w:t>
      </w:r>
      <w:r w:rsidR="00F373A3" w:rsidRPr="00181FCD">
        <w:t xml:space="preserve"> </w:t>
      </w:r>
      <w:r w:rsidRPr="00181FCD">
        <w:t>en</w:t>
      </w:r>
      <w:r w:rsidR="00F373A3" w:rsidRPr="00181FCD">
        <w:t xml:space="preserve"> </w:t>
      </w:r>
      <w:r w:rsidRPr="00181FCD">
        <w:t>curso</w:t>
      </w:r>
      <w:r w:rsidR="00F373A3" w:rsidRPr="00181FCD">
        <w:t xml:space="preserve"> </w:t>
      </w:r>
      <w:r w:rsidRPr="00181FCD">
        <w:t>el</w:t>
      </w:r>
      <w:r w:rsidR="00F373A3" w:rsidRPr="00181FCD">
        <w:t xml:space="preserve"> </w:t>
      </w:r>
      <w:r w:rsidRPr="00181FCD">
        <w:t>trabajo</w:t>
      </w:r>
      <w:r w:rsidR="00F373A3" w:rsidRPr="00181FCD">
        <w:t xml:space="preserve"> </w:t>
      </w:r>
      <w:r w:rsidRPr="00181FCD">
        <w:t>de</w:t>
      </w:r>
      <w:r w:rsidR="00F373A3" w:rsidRPr="00181FCD">
        <w:t xml:space="preserve"> </w:t>
      </w:r>
      <w:r w:rsidRPr="00181FCD">
        <w:t>campo</w:t>
      </w:r>
      <w:r w:rsidR="00F373A3" w:rsidRPr="00181FCD">
        <w:t xml:space="preserve"> </w:t>
      </w:r>
      <w:r w:rsidRPr="00181FCD">
        <w:t>entre</w:t>
      </w:r>
      <w:r w:rsidR="00F373A3" w:rsidRPr="00181FCD">
        <w:t xml:space="preserve"> </w:t>
      </w:r>
      <w:r w:rsidRPr="00181FCD">
        <w:t>la</w:t>
      </w:r>
      <w:r w:rsidR="00F373A3" w:rsidRPr="00181FCD">
        <w:t xml:space="preserve"> </w:t>
      </w:r>
      <w:r w:rsidRPr="00181FCD">
        <w:t>comunidad</w:t>
      </w:r>
      <w:r w:rsidR="00F373A3" w:rsidRPr="00181FCD">
        <w:t xml:space="preserve"> </w:t>
      </w:r>
      <w:r w:rsidRPr="00181FCD">
        <w:t>romaní.</w:t>
      </w:r>
    </w:p>
    <w:p w:rsidR="001937F4" w:rsidRPr="00181FCD" w:rsidRDefault="001937F4" w:rsidP="00347B20">
      <w:pPr>
        <w:pStyle w:val="SingleTxtG"/>
        <w:suppressAutoHyphens/>
      </w:pPr>
      <w:r w:rsidRPr="00181FCD">
        <w:t>156.</w:t>
      </w:r>
      <w:r w:rsidRPr="00181FCD">
        <w:tab/>
        <w:t>Las</w:t>
      </w:r>
      <w:r w:rsidR="00F373A3" w:rsidRPr="00181FCD">
        <w:t xml:space="preserve"> </w:t>
      </w:r>
      <w:r w:rsidRPr="00181FCD">
        <w:t>comisiones</w:t>
      </w:r>
      <w:r w:rsidR="00F373A3" w:rsidRPr="00181FCD">
        <w:t xml:space="preserve"> </w:t>
      </w:r>
      <w:r w:rsidRPr="00181FCD">
        <w:t>locales</w:t>
      </w:r>
      <w:r w:rsidR="00F373A3" w:rsidRPr="00181FCD">
        <w:t xml:space="preserve"> </w:t>
      </w:r>
      <w:r w:rsidRPr="00181FCD">
        <w:t>de</w:t>
      </w:r>
      <w:r w:rsidR="00F373A3" w:rsidRPr="00181FCD">
        <w:t xml:space="preserve"> </w:t>
      </w:r>
      <w:r w:rsidRPr="00181FCD">
        <w:t>la</w:t>
      </w:r>
      <w:r w:rsidR="00F373A3" w:rsidRPr="00181FCD">
        <w:t xml:space="preserve"> </w:t>
      </w:r>
      <w:r w:rsidRPr="00181FCD">
        <w:t>Comisión</w:t>
      </w:r>
      <w:r w:rsidR="00F373A3" w:rsidRPr="00181FCD">
        <w:t xml:space="preserve"> </w:t>
      </w:r>
      <w:r w:rsidRPr="00181FCD">
        <w:t>Nacional</w:t>
      </w:r>
      <w:r w:rsidR="00F373A3" w:rsidRPr="00181FCD">
        <w:t xml:space="preserve"> </w:t>
      </w:r>
      <w:r w:rsidRPr="00181FCD">
        <w:t>de</w:t>
      </w:r>
      <w:r w:rsidR="00F373A3" w:rsidRPr="00181FCD">
        <w:t xml:space="preserve"> </w:t>
      </w:r>
      <w:r w:rsidRPr="00181FCD">
        <w:t>Lucha</w:t>
      </w:r>
      <w:r w:rsidR="00F373A3" w:rsidRPr="00181FCD">
        <w:t xml:space="preserve"> </w:t>
      </w:r>
      <w:r w:rsidRPr="00181FCD">
        <w:t>contra</w:t>
      </w:r>
      <w:r w:rsidR="00F373A3" w:rsidRPr="00181FCD">
        <w:t xml:space="preserve"> </w:t>
      </w:r>
      <w:r w:rsidRPr="00181FCD">
        <w:t>la</w:t>
      </w:r>
      <w:r w:rsidR="00F373A3" w:rsidRPr="00181FCD">
        <w:t xml:space="preserve"> </w:t>
      </w:r>
      <w:r w:rsidRPr="00181FCD">
        <w:t>Trata</w:t>
      </w:r>
      <w:r w:rsidR="00F373A3" w:rsidRPr="00181FCD">
        <w:t xml:space="preserve"> </w:t>
      </w:r>
      <w:r w:rsidRPr="00181FCD">
        <w:t>de</w:t>
      </w:r>
      <w:r w:rsidR="00F373A3" w:rsidRPr="00181FCD">
        <w:t xml:space="preserve"> </w:t>
      </w:r>
      <w:r w:rsidRPr="00181FCD">
        <w:t>Seres</w:t>
      </w:r>
      <w:r w:rsidR="00F373A3" w:rsidRPr="00181FCD">
        <w:t xml:space="preserve"> </w:t>
      </w:r>
      <w:r w:rsidRPr="00181FCD">
        <w:t>Humanos</w:t>
      </w:r>
      <w:r w:rsidR="00F373A3" w:rsidRPr="00181FCD">
        <w:t xml:space="preserve"> </w:t>
      </w:r>
      <w:r w:rsidRPr="00181FCD">
        <w:t>organizan</w:t>
      </w:r>
      <w:r w:rsidR="00F373A3" w:rsidRPr="00181FCD">
        <w:t xml:space="preserve"> </w:t>
      </w:r>
      <w:r w:rsidRPr="00181FCD">
        <w:t>iniciativas</w:t>
      </w:r>
      <w:r w:rsidR="00F373A3" w:rsidRPr="00181FCD">
        <w:t xml:space="preserve"> </w:t>
      </w:r>
      <w:r w:rsidRPr="00181FCD">
        <w:t>locales</w:t>
      </w:r>
      <w:r w:rsidR="00F373A3" w:rsidRPr="00181FCD">
        <w:t xml:space="preserve"> </w:t>
      </w:r>
      <w:r w:rsidRPr="00181FCD">
        <w:t>en</w:t>
      </w:r>
      <w:r w:rsidR="00F373A3" w:rsidRPr="00181FCD">
        <w:t xml:space="preserve"> </w:t>
      </w:r>
      <w:r w:rsidRPr="00181FCD">
        <w:t>pequeñas</w:t>
      </w:r>
      <w:r w:rsidR="00F373A3" w:rsidRPr="00181FCD">
        <w:t xml:space="preserve"> </w:t>
      </w:r>
      <w:r w:rsidRPr="00181FCD">
        <w:t>ciudades</w:t>
      </w:r>
      <w:r w:rsidR="00F373A3" w:rsidRPr="00181FCD">
        <w:t xml:space="preserve"> </w:t>
      </w:r>
      <w:r w:rsidRPr="00181FCD">
        <w:t>y</w:t>
      </w:r>
      <w:r w:rsidR="00F373A3" w:rsidRPr="00181FCD">
        <w:t xml:space="preserve"> </w:t>
      </w:r>
      <w:r w:rsidRPr="00181FCD">
        <w:t>aldeas,</w:t>
      </w:r>
      <w:r w:rsidR="00F373A3" w:rsidRPr="00181FCD">
        <w:t xml:space="preserve"> </w:t>
      </w:r>
      <w:r w:rsidRPr="00181FCD">
        <w:t>a</w:t>
      </w:r>
      <w:r w:rsidR="00F373A3" w:rsidRPr="00181FCD">
        <w:t xml:space="preserve"> </w:t>
      </w:r>
      <w:r w:rsidRPr="00181FCD">
        <w:t>través</w:t>
      </w:r>
      <w:r w:rsidR="00F373A3" w:rsidRPr="00181FCD">
        <w:t xml:space="preserve"> </w:t>
      </w:r>
      <w:r w:rsidRPr="00181FCD">
        <w:t>de</w:t>
      </w:r>
      <w:r w:rsidR="00F373A3" w:rsidRPr="00181FCD">
        <w:t xml:space="preserve"> </w:t>
      </w:r>
      <w:r w:rsidRPr="00181FCD">
        <w:t>sus</w:t>
      </w:r>
      <w:r w:rsidR="00F373A3" w:rsidRPr="00181FCD">
        <w:t xml:space="preserve"> </w:t>
      </w:r>
      <w:r w:rsidRPr="00181FCD">
        <w:t>redes</w:t>
      </w:r>
      <w:r w:rsidR="00F373A3" w:rsidRPr="00181FCD">
        <w:t xml:space="preserve"> </w:t>
      </w:r>
      <w:r w:rsidRPr="00181FCD">
        <w:t>de</w:t>
      </w:r>
      <w:r w:rsidR="00F373A3" w:rsidRPr="00181FCD">
        <w:t xml:space="preserve"> </w:t>
      </w:r>
      <w:r w:rsidRPr="00181FCD">
        <w:t>voluntarios.</w:t>
      </w:r>
      <w:r w:rsidR="00F373A3" w:rsidRPr="00181FCD">
        <w:t xml:space="preserve"> </w:t>
      </w:r>
      <w:r w:rsidRPr="00181FCD">
        <w:t>Las</w:t>
      </w:r>
      <w:r w:rsidR="00F373A3" w:rsidRPr="00181FCD">
        <w:t xml:space="preserve"> </w:t>
      </w:r>
      <w:r w:rsidRPr="00181FCD">
        <w:t>actividades</w:t>
      </w:r>
      <w:r w:rsidR="00F373A3" w:rsidRPr="00181FCD">
        <w:t xml:space="preserve"> </w:t>
      </w:r>
      <w:r w:rsidRPr="00181FCD">
        <w:t>y</w:t>
      </w:r>
      <w:r w:rsidR="00F373A3" w:rsidRPr="00181FCD">
        <w:t xml:space="preserve"> </w:t>
      </w:r>
      <w:r w:rsidRPr="00181FCD">
        <w:t>los</w:t>
      </w:r>
      <w:r w:rsidR="00F373A3" w:rsidRPr="00181FCD">
        <w:t xml:space="preserve"> </w:t>
      </w:r>
      <w:r w:rsidRPr="00181FCD">
        <w:t>grupos</w:t>
      </w:r>
      <w:r w:rsidR="00F373A3" w:rsidRPr="00181FCD">
        <w:t xml:space="preserve"> </w:t>
      </w:r>
      <w:r w:rsidRPr="00181FCD">
        <w:t>de</w:t>
      </w:r>
      <w:r w:rsidR="00F373A3" w:rsidRPr="00181FCD">
        <w:t xml:space="preserve"> </w:t>
      </w:r>
      <w:r w:rsidRPr="00181FCD">
        <w:t>destinatarios</w:t>
      </w:r>
      <w:r w:rsidR="00F373A3" w:rsidRPr="00181FCD">
        <w:t xml:space="preserve"> </w:t>
      </w:r>
      <w:r w:rsidRPr="00181FCD">
        <w:t>varían</w:t>
      </w:r>
      <w:r w:rsidR="00F373A3" w:rsidRPr="00181FCD">
        <w:t xml:space="preserve"> </w:t>
      </w:r>
      <w:r w:rsidRPr="00181FCD">
        <w:t>cada</w:t>
      </w:r>
      <w:r w:rsidR="00F373A3" w:rsidRPr="00181FCD">
        <w:t xml:space="preserve"> </w:t>
      </w:r>
      <w:r w:rsidRPr="00181FCD">
        <w:t>año</w:t>
      </w:r>
      <w:r w:rsidR="00F373A3" w:rsidRPr="00181FCD">
        <w:t xml:space="preserve"> </w:t>
      </w:r>
      <w:r w:rsidRPr="00181FCD">
        <w:t>en</w:t>
      </w:r>
      <w:r w:rsidR="00F373A3" w:rsidRPr="00181FCD">
        <w:t xml:space="preserve"> </w:t>
      </w:r>
      <w:r w:rsidRPr="00181FCD">
        <w:t>función</w:t>
      </w:r>
      <w:r w:rsidR="00F373A3" w:rsidRPr="00181FCD">
        <w:t xml:space="preserve"> </w:t>
      </w:r>
      <w:r w:rsidRPr="00181FCD">
        <w:t>de</w:t>
      </w:r>
      <w:r w:rsidR="00F373A3" w:rsidRPr="00181FCD">
        <w:t xml:space="preserve"> </w:t>
      </w:r>
      <w:r w:rsidRPr="00181FCD">
        <w:t>las</w:t>
      </w:r>
      <w:r w:rsidR="00F373A3" w:rsidRPr="00181FCD">
        <w:t xml:space="preserve"> </w:t>
      </w:r>
      <w:r w:rsidRPr="00181FCD">
        <w:t>necesidades</w:t>
      </w:r>
      <w:r w:rsidR="00F373A3" w:rsidRPr="00181FCD">
        <w:t xml:space="preserve"> </w:t>
      </w:r>
      <w:r w:rsidRPr="00181FCD">
        <w:t>específicas</w:t>
      </w:r>
      <w:r w:rsidR="00F373A3" w:rsidRPr="00181FCD">
        <w:t xml:space="preserve"> </w:t>
      </w:r>
      <w:r w:rsidRPr="00181FCD">
        <w:t>de</w:t>
      </w:r>
      <w:r w:rsidR="00F373A3" w:rsidRPr="00181FCD">
        <w:t xml:space="preserve"> </w:t>
      </w:r>
      <w:r w:rsidRPr="00181FCD">
        <w:t>la</w:t>
      </w:r>
      <w:r w:rsidR="00F373A3" w:rsidRPr="00181FCD">
        <w:t xml:space="preserve"> </w:t>
      </w:r>
      <w:r w:rsidRPr="00181FCD">
        <w:t>región,</w:t>
      </w:r>
      <w:r w:rsidR="00F373A3" w:rsidRPr="00181FCD">
        <w:t xml:space="preserve"> </w:t>
      </w:r>
      <w:r w:rsidRPr="00181FCD">
        <w:t>pero</w:t>
      </w:r>
      <w:r w:rsidR="00F373A3" w:rsidRPr="00181FCD">
        <w:t xml:space="preserve"> </w:t>
      </w:r>
      <w:r w:rsidRPr="00181FCD">
        <w:t>también</w:t>
      </w:r>
      <w:r w:rsidR="00F373A3" w:rsidRPr="00181FCD">
        <w:t xml:space="preserve"> </w:t>
      </w:r>
      <w:r w:rsidRPr="00181FCD">
        <w:t>están</w:t>
      </w:r>
      <w:r w:rsidR="00F373A3" w:rsidRPr="00181FCD">
        <w:t xml:space="preserve"> </w:t>
      </w:r>
      <w:r w:rsidRPr="00181FCD">
        <w:t>en</w:t>
      </w:r>
      <w:r w:rsidR="00F373A3" w:rsidRPr="00181FCD">
        <w:t xml:space="preserve"> </w:t>
      </w:r>
      <w:r w:rsidRPr="00181FCD">
        <w:t>consonancia</w:t>
      </w:r>
      <w:r w:rsidR="00F373A3" w:rsidRPr="00181FCD">
        <w:t xml:space="preserve"> </w:t>
      </w:r>
      <w:r w:rsidRPr="00181FCD">
        <w:t>con</w:t>
      </w:r>
      <w:r w:rsidR="00F373A3" w:rsidRPr="00181FCD">
        <w:t xml:space="preserve"> </w:t>
      </w:r>
      <w:r w:rsidRPr="00181FCD">
        <w:t>la</w:t>
      </w:r>
      <w:r w:rsidR="00F373A3" w:rsidRPr="00181FCD">
        <w:t xml:space="preserve"> </w:t>
      </w:r>
      <w:r w:rsidRPr="00181FCD">
        <w:t>campaña</w:t>
      </w:r>
      <w:r w:rsidR="00F373A3" w:rsidRPr="00181FCD">
        <w:t xml:space="preserve"> </w:t>
      </w:r>
      <w:r w:rsidRPr="00181FCD">
        <w:t>llevada</w:t>
      </w:r>
      <w:r w:rsidR="00F373A3" w:rsidRPr="00181FCD">
        <w:t xml:space="preserve"> </w:t>
      </w:r>
      <w:r w:rsidRPr="00181FCD">
        <w:t>a</w:t>
      </w:r>
      <w:r w:rsidR="00F373A3" w:rsidRPr="00181FCD">
        <w:t xml:space="preserve"> </w:t>
      </w:r>
      <w:r w:rsidRPr="00181FCD">
        <w:t>cabo</w:t>
      </w:r>
      <w:r w:rsidR="00F373A3" w:rsidRPr="00181FCD">
        <w:t xml:space="preserve"> </w:t>
      </w:r>
      <w:r w:rsidRPr="00181FCD">
        <w:t>por</w:t>
      </w:r>
      <w:r w:rsidR="00F373A3" w:rsidRPr="00181FCD">
        <w:t xml:space="preserve"> </w:t>
      </w:r>
      <w:r w:rsidRPr="00181FCD">
        <w:t>la</w:t>
      </w:r>
      <w:r w:rsidR="00F373A3" w:rsidRPr="00181FCD">
        <w:t xml:space="preserve"> </w:t>
      </w:r>
      <w:r w:rsidRPr="00181FCD">
        <w:t>Comisión</w:t>
      </w:r>
      <w:r w:rsidR="00F373A3" w:rsidRPr="00181FCD">
        <w:t xml:space="preserve"> </w:t>
      </w:r>
      <w:r w:rsidRPr="00181FCD">
        <w:t>Nacional</w:t>
      </w:r>
      <w:r w:rsidR="00F373A3" w:rsidRPr="00181FCD">
        <w:t xml:space="preserve"> </w:t>
      </w:r>
      <w:r w:rsidRPr="00181FCD">
        <w:t>a</w:t>
      </w:r>
      <w:r w:rsidR="00F373A3" w:rsidRPr="00181FCD">
        <w:t xml:space="preserve"> </w:t>
      </w:r>
      <w:r w:rsidRPr="00181FCD">
        <w:t>nivel</w:t>
      </w:r>
      <w:r w:rsidR="00F373A3" w:rsidRPr="00181FCD">
        <w:t xml:space="preserve"> </w:t>
      </w:r>
      <w:r w:rsidRPr="00181FCD">
        <w:t>de</w:t>
      </w:r>
      <w:r w:rsidR="00F373A3" w:rsidRPr="00181FCD">
        <w:t xml:space="preserve"> </w:t>
      </w:r>
      <w:r w:rsidRPr="00181FCD">
        <w:t>todo</w:t>
      </w:r>
      <w:r w:rsidR="00F373A3" w:rsidRPr="00181FCD">
        <w:t xml:space="preserve"> </w:t>
      </w:r>
      <w:r w:rsidRPr="00181FCD">
        <w:t>el</w:t>
      </w:r>
      <w:r w:rsidR="00F373A3" w:rsidRPr="00181FCD">
        <w:t xml:space="preserve"> </w:t>
      </w:r>
      <w:r w:rsidRPr="00181FCD">
        <w:t>país.</w:t>
      </w:r>
    </w:p>
    <w:p w:rsidR="001937F4" w:rsidRPr="00181FCD" w:rsidRDefault="001937F4" w:rsidP="00347B20">
      <w:pPr>
        <w:pStyle w:val="SingleTxtG"/>
        <w:suppressAutoHyphens/>
      </w:pPr>
      <w:r w:rsidRPr="00181FCD">
        <w:t>157.</w:t>
      </w:r>
      <w:r w:rsidRPr="00181FCD">
        <w:tab/>
        <w:t>La</w:t>
      </w:r>
      <w:r w:rsidR="00F373A3" w:rsidRPr="00181FCD">
        <w:t xml:space="preserve"> </w:t>
      </w:r>
      <w:r w:rsidRPr="00181FCD">
        <w:t>Comisión</w:t>
      </w:r>
      <w:r w:rsidR="00F373A3" w:rsidRPr="00181FCD">
        <w:t xml:space="preserve"> </w:t>
      </w:r>
      <w:r w:rsidRPr="00181FCD">
        <w:t>Nacional</w:t>
      </w:r>
      <w:r w:rsidR="00F373A3" w:rsidRPr="00181FCD">
        <w:t xml:space="preserve"> </w:t>
      </w:r>
      <w:r w:rsidRPr="00181FCD">
        <w:t>también</w:t>
      </w:r>
      <w:r w:rsidR="00F373A3" w:rsidRPr="00181FCD">
        <w:t xml:space="preserve"> </w:t>
      </w:r>
      <w:r w:rsidRPr="00181FCD">
        <w:t>organiza</w:t>
      </w:r>
      <w:r w:rsidR="00F373A3" w:rsidRPr="00181FCD">
        <w:t xml:space="preserve"> </w:t>
      </w:r>
      <w:r w:rsidRPr="00181FCD">
        <w:t>campañas</w:t>
      </w:r>
      <w:r w:rsidR="00F373A3" w:rsidRPr="00181FCD">
        <w:t xml:space="preserve"> </w:t>
      </w:r>
      <w:r w:rsidRPr="00181FCD">
        <w:t>paralelas,</w:t>
      </w:r>
      <w:r w:rsidR="00F373A3" w:rsidRPr="00181FCD">
        <w:t xml:space="preserve"> </w:t>
      </w:r>
      <w:r w:rsidRPr="00181FCD">
        <w:t>en</w:t>
      </w:r>
      <w:r w:rsidR="00F373A3" w:rsidRPr="00181FCD">
        <w:t xml:space="preserve"> </w:t>
      </w:r>
      <w:r w:rsidRPr="00181FCD">
        <w:t>función</w:t>
      </w:r>
      <w:r w:rsidR="00F373A3" w:rsidRPr="00181FCD">
        <w:t xml:space="preserve"> </w:t>
      </w:r>
      <w:r w:rsidRPr="00181FCD">
        <w:t>de</w:t>
      </w:r>
      <w:r w:rsidR="00F373A3" w:rsidRPr="00181FCD">
        <w:t xml:space="preserve"> </w:t>
      </w:r>
      <w:r w:rsidRPr="00181FCD">
        <w:t>las</w:t>
      </w:r>
      <w:r w:rsidR="00F373A3" w:rsidRPr="00181FCD">
        <w:t xml:space="preserve"> </w:t>
      </w:r>
      <w:r w:rsidRPr="00181FCD">
        <w:t>tendencias</w:t>
      </w:r>
      <w:r w:rsidR="00F373A3" w:rsidRPr="00181FCD">
        <w:t xml:space="preserve"> </w:t>
      </w:r>
      <w:r w:rsidRPr="00181FCD">
        <w:t>de</w:t>
      </w:r>
      <w:r w:rsidR="00F373A3" w:rsidRPr="00181FCD">
        <w:t xml:space="preserve"> </w:t>
      </w:r>
      <w:r w:rsidRPr="00181FCD">
        <w:t>la</w:t>
      </w:r>
      <w:r w:rsidR="00F373A3" w:rsidRPr="00181FCD">
        <w:t xml:space="preserve"> </w:t>
      </w:r>
      <w:r w:rsidRPr="00181FCD">
        <w:t>trata</w:t>
      </w:r>
      <w:r w:rsidR="00F373A3" w:rsidRPr="00181FCD">
        <w:t xml:space="preserve"> </w:t>
      </w:r>
      <w:r w:rsidRPr="00181FCD">
        <w:t>de</w:t>
      </w:r>
      <w:r w:rsidR="00F373A3" w:rsidRPr="00181FCD">
        <w:t xml:space="preserve"> </w:t>
      </w:r>
      <w:r w:rsidRPr="00181FCD">
        <w:t>seres</w:t>
      </w:r>
      <w:r w:rsidR="00F373A3" w:rsidRPr="00181FCD">
        <w:t xml:space="preserve"> </w:t>
      </w:r>
      <w:r w:rsidRPr="00181FCD">
        <w:t>humanos</w:t>
      </w:r>
      <w:r w:rsidR="00F373A3" w:rsidRPr="00181FCD">
        <w:t xml:space="preserve"> </w:t>
      </w:r>
      <w:r w:rsidRPr="00181FCD">
        <w:t>y</w:t>
      </w:r>
      <w:r w:rsidR="00F373A3" w:rsidRPr="00181FCD">
        <w:t xml:space="preserve"> </w:t>
      </w:r>
      <w:r w:rsidRPr="00181FCD">
        <w:t>de</w:t>
      </w:r>
      <w:r w:rsidR="00F373A3" w:rsidRPr="00181FCD">
        <w:t xml:space="preserve"> </w:t>
      </w:r>
      <w:r w:rsidRPr="00181FCD">
        <w:t>la</w:t>
      </w:r>
      <w:r w:rsidR="00F373A3" w:rsidRPr="00181FCD">
        <w:t xml:space="preserve"> </w:t>
      </w:r>
      <w:r w:rsidRPr="00181FCD">
        <w:t>evolución</w:t>
      </w:r>
      <w:r w:rsidR="00F373A3" w:rsidRPr="00181FCD">
        <w:t xml:space="preserve"> </w:t>
      </w:r>
      <w:r w:rsidRPr="00181FCD">
        <w:t>en</w:t>
      </w:r>
      <w:r w:rsidR="00F373A3" w:rsidRPr="00181FCD">
        <w:t xml:space="preserve"> </w:t>
      </w:r>
      <w:r w:rsidRPr="00181FCD">
        <w:t>la</w:t>
      </w:r>
      <w:r w:rsidR="00F373A3" w:rsidRPr="00181FCD">
        <w:t xml:space="preserve"> </w:t>
      </w:r>
      <w:r w:rsidRPr="00181FCD">
        <w:t>reglamentación</w:t>
      </w:r>
      <w:r w:rsidR="00F373A3" w:rsidRPr="00181FCD">
        <w:t xml:space="preserve"> </w:t>
      </w:r>
      <w:r w:rsidRPr="00181FCD">
        <w:t>jurídica.</w:t>
      </w:r>
      <w:r w:rsidR="00F373A3" w:rsidRPr="00181FCD">
        <w:t xml:space="preserve"> </w:t>
      </w:r>
      <w:r w:rsidRPr="00181FCD">
        <w:t>En</w:t>
      </w:r>
      <w:r w:rsidR="00F373A3" w:rsidRPr="00181FCD">
        <w:t xml:space="preserve"> </w:t>
      </w:r>
      <w:r w:rsidRPr="00181FCD">
        <w:t>2012,</w:t>
      </w:r>
      <w:r w:rsidR="00F373A3" w:rsidRPr="00181FCD">
        <w:t xml:space="preserve"> </w:t>
      </w:r>
      <w:r w:rsidRPr="00181FCD">
        <w:t>por</w:t>
      </w:r>
      <w:r w:rsidR="00F373A3" w:rsidRPr="00181FCD">
        <w:t xml:space="preserve"> </w:t>
      </w:r>
      <w:r w:rsidRPr="00181FCD">
        <w:t>ejemplo,</w:t>
      </w:r>
      <w:r w:rsidR="00F373A3" w:rsidRPr="00181FCD">
        <w:t xml:space="preserve"> </w:t>
      </w:r>
      <w:r w:rsidRPr="00181FCD">
        <w:t>se</w:t>
      </w:r>
      <w:r w:rsidR="00F373A3" w:rsidRPr="00181FCD">
        <w:t xml:space="preserve"> </w:t>
      </w:r>
      <w:r w:rsidRPr="00181FCD">
        <w:t>llevó</w:t>
      </w:r>
      <w:r w:rsidR="00F373A3" w:rsidRPr="00181FCD">
        <w:t xml:space="preserve"> </w:t>
      </w:r>
      <w:r w:rsidRPr="00181FCD">
        <w:t>a</w:t>
      </w:r>
      <w:r w:rsidR="00F373A3" w:rsidRPr="00181FCD">
        <w:t xml:space="preserve"> </w:t>
      </w:r>
      <w:r w:rsidRPr="00181FCD">
        <w:t>cabo</w:t>
      </w:r>
      <w:r w:rsidR="00F373A3" w:rsidRPr="00181FCD">
        <w:t xml:space="preserve"> </w:t>
      </w:r>
      <w:r w:rsidRPr="00181FCD">
        <w:t>una</w:t>
      </w:r>
      <w:r w:rsidR="00F373A3" w:rsidRPr="00181FCD">
        <w:t xml:space="preserve"> </w:t>
      </w:r>
      <w:r w:rsidRPr="00181FCD">
        <w:t>campaña</w:t>
      </w:r>
      <w:r w:rsidR="00F373A3" w:rsidRPr="00181FCD">
        <w:t xml:space="preserve"> </w:t>
      </w:r>
      <w:r w:rsidRPr="00181FCD">
        <w:t>en</w:t>
      </w:r>
      <w:r w:rsidR="00F373A3" w:rsidRPr="00181FCD">
        <w:t xml:space="preserve"> </w:t>
      </w:r>
      <w:r w:rsidRPr="00181FCD">
        <w:t>relación</w:t>
      </w:r>
      <w:r w:rsidR="00F373A3" w:rsidRPr="00181FCD">
        <w:t xml:space="preserve"> </w:t>
      </w:r>
      <w:r w:rsidRPr="00181FCD">
        <w:t>con</w:t>
      </w:r>
      <w:r w:rsidR="00F373A3" w:rsidRPr="00181FCD">
        <w:t xml:space="preserve"> </w:t>
      </w:r>
      <w:r w:rsidRPr="00181FCD">
        <w:t>el</w:t>
      </w:r>
      <w:r w:rsidR="00F373A3" w:rsidRPr="00181FCD">
        <w:t xml:space="preserve"> </w:t>
      </w:r>
      <w:r w:rsidRPr="00181FCD">
        <w:t>artículo</w:t>
      </w:r>
      <w:r w:rsidR="00F373A3" w:rsidRPr="00181FCD">
        <w:t xml:space="preserve"> </w:t>
      </w:r>
      <w:r w:rsidRPr="00181FCD">
        <w:t>159c</w:t>
      </w:r>
      <w:r w:rsidR="00F373A3" w:rsidRPr="00181FCD">
        <w:t xml:space="preserve"> </w:t>
      </w:r>
      <w:r w:rsidRPr="00181FCD">
        <w:t>del</w:t>
      </w:r>
      <w:r w:rsidR="00F373A3" w:rsidRPr="00181FCD">
        <w:t xml:space="preserve"> </w:t>
      </w:r>
      <w:r w:rsidRPr="00181FCD">
        <w:t>Código</w:t>
      </w:r>
      <w:r w:rsidR="00F373A3" w:rsidRPr="00181FCD">
        <w:t xml:space="preserve"> </w:t>
      </w:r>
      <w:r w:rsidRPr="00181FCD">
        <w:t>Penal</w:t>
      </w:r>
      <w:r w:rsidR="00F373A3" w:rsidRPr="00181FCD">
        <w:t xml:space="preserve"> </w:t>
      </w:r>
      <w:r w:rsidRPr="00181FCD">
        <w:t>de</w:t>
      </w:r>
      <w:r w:rsidR="00F373A3" w:rsidRPr="00181FCD">
        <w:t xml:space="preserve"> </w:t>
      </w:r>
      <w:r w:rsidRPr="00181FCD">
        <w:t>Bulgaria,</w:t>
      </w:r>
      <w:r w:rsidR="00F373A3" w:rsidRPr="00181FCD">
        <w:t xml:space="preserve"> </w:t>
      </w:r>
      <w:r w:rsidRPr="00181FCD">
        <w:t>que</w:t>
      </w:r>
      <w:r w:rsidR="00F373A3" w:rsidRPr="00181FCD">
        <w:t xml:space="preserve"> </w:t>
      </w:r>
      <w:r w:rsidRPr="00181FCD">
        <w:t>tipifica</w:t>
      </w:r>
      <w:r w:rsidR="00F373A3" w:rsidRPr="00181FCD">
        <w:t xml:space="preserve"> </w:t>
      </w:r>
      <w:r w:rsidRPr="00181FCD">
        <w:t>como</w:t>
      </w:r>
      <w:r w:rsidR="00F373A3" w:rsidRPr="00181FCD">
        <w:t xml:space="preserve"> </w:t>
      </w:r>
      <w:r w:rsidRPr="00181FCD">
        <w:t>delito</w:t>
      </w:r>
      <w:r w:rsidR="00F373A3" w:rsidRPr="00181FCD">
        <w:t xml:space="preserve"> </w:t>
      </w:r>
      <w:r w:rsidRPr="00181FCD">
        <w:t>el</w:t>
      </w:r>
      <w:r w:rsidR="00F373A3" w:rsidRPr="00181FCD">
        <w:t xml:space="preserve"> </w:t>
      </w:r>
      <w:r w:rsidRPr="00181FCD">
        <w:t>uso</w:t>
      </w:r>
      <w:r w:rsidR="00F373A3" w:rsidRPr="00181FCD">
        <w:t xml:space="preserve"> </w:t>
      </w:r>
      <w:r w:rsidRPr="00181FCD">
        <w:t>a</w:t>
      </w:r>
      <w:r w:rsidR="00F373A3" w:rsidRPr="00181FCD">
        <w:t xml:space="preserve"> </w:t>
      </w:r>
      <w:r w:rsidRPr="00181FCD">
        <w:t>sabiendas</w:t>
      </w:r>
      <w:r w:rsidR="00F373A3" w:rsidRPr="00181FCD">
        <w:t xml:space="preserve"> </w:t>
      </w:r>
      <w:r w:rsidRPr="00181FCD">
        <w:t>de</w:t>
      </w:r>
      <w:r w:rsidR="00F373A3" w:rsidRPr="00181FCD">
        <w:t xml:space="preserve"> </w:t>
      </w:r>
      <w:r w:rsidRPr="00181FCD">
        <w:t>servicios</w:t>
      </w:r>
      <w:r w:rsidR="00F373A3" w:rsidRPr="00181FCD">
        <w:t xml:space="preserve"> </w:t>
      </w:r>
      <w:r w:rsidRPr="00181FCD">
        <w:t>sexuales</w:t>
      </w:r>
      <w:r w:rsidR="00F373A3" w:rsidRPr="00181FCD">
        <w:t xml:space="preserve"> </w:t>
      </w:r>
      <w:r w:rsidRPr="00181FCD">
        <w:t>de</w:t>
      </w:r>
      <w:r w:rsidR="00F373A3" w:rsidRPr="00181FCD">
        <w:t xml:space="preserve"> </w:t>
      </w:r>
      <w:r w:rsidRPr="00181FCD">
        <w:t>las</w:t>
      </w:r>
      <w:r w:rsidR="00F373A3" w:rsidRPr="00181FCD">
        <w:t xml:space="preserve"> </w:t>
      </w:r>
      <w:r w:rsidRPr="00181FCD">
        <w:t>víctimas</w:t>
      </w:r>
      <w:r w:rsidR="00F373A3" w:rsidRPr="00181FCD">
        <w:t xml:space="preserve"> </w:t>
      </w:r>
      <w:r w:rsidRPr="00181FCD">
        <w:t>de</w:t>
      </w:r>
      <w:r w:rsidR="00F373A3" w:rsidRPr="00181FCD">
        <w:t xml:space="preserve"> </w:t>
      </w:r>
      <w:r w:rsidRPr="00181FCD">
        <w:t>la</w:t>
      </w:r>
      <w:r w:rsidR="00F373A3" w:rsidRPr="00181FCD">
        <w:t xml:space="preserve"> </w:t>
      </w:r>
      <w:r w:rsidRPr="00181FCD">
        <w:t>trata.</w:t>
      </w:r>
    </w:p>
    <w:p w:rsidR="001937F4" w:rsidRPr="00181FCD" w:rsidRDefault="00BE74A7" w:rsidP="00BE74A7">
      <w:pPr>
        <w:pStyle w:val="H1G"/>
      </w:pPr>
      <w:r w:rsidRPr="00181FCD">
        <w:tab/>
      </w:r>
      <w:r w:rsidRPr="00181FCD">
        <w:tab/>
      </w:r>
      <w:r w:rsidR="001937F4" w:rsidRPr="00181FCD">
        <w:t>Artículo</w:t>
      </w:r>
      <w:r w:rsidR="00F373A3" w:rsidRPr="00181FCD">
        <w:t xml:space="preserve"> </w:t>
      </w:r>
      <w:r w:rsidR="001937F4" w:rsidRPr="00181FCD">
        <w:t>11</w:t>
      </w:r>
    </w:p>
    <w:p w:rsidR="001937F4" w:rsidRPr="00181FCD" w:rsidRDefault="00BE74A7" w:rsidP="00BE74A7">
      <w:pPr>
        <w:pStyle w:val="H23G"/>
      </w:pPr>
      <w:r w:rsidRPr="00181FCD">
        <w:tab/>
      </w:r>
      <w:r w:rsidRPr="00181FCD">
        <w:tab/>
      </w:r>
      <w:r w:rsidR="001937F4" w:rsidRPr="00181FCD">
        <w:t>Respuesta</w:t>
      </w:r>
      <w:r w:rsidR="00F373A3" w:rsidRPr="00181FCD">
        <w:t xml:space="preserve"> </w:t>
      </w:r>
      <w:r w:rsidR="001937F4" w:rsidRPr="00181FCD">
        <w:t>a</w:t>
      </w:r>
      <w:r w:rsidR="00F373A3" w:rsidRPr="00181FCD">
        <w:t xml:space="preserve"> </w:t>
      </w:r>
      <w:r w:rsidR="001937F4" w:rsidRPr="00181FCD">
        <w:t>las</w:t>
      </w:r>
      <w:r w:rsidR="00F373A3" w:rsidRPr="00181FCD">
        <w:t xml:space="preserve"> </w:t>
      </w:r>
      <w:r w:rsidR="001937F4" w:rsidRPr="00181FCD">
        <w:t>cuestiones</w:t>
      </w:r>
      <w:r w:rsidR="00F373A3" w:rsidRPr="00181FCD">
        <w:t xml:space="preserve"> </w:t>
      </w:r>
      <w:r w:rsidR="001937F4" w:rsidRPr="00181FCD">
        <w:t>planteadas</w:t>
      </w:r>
      <w:r w:rsidR="00F373A3" w:rsidRPr="00181FCD">
        <w:t xml:space="preserve"> </w:t>
      </w:r>
      <w:r w:rsidR="001937F4" w:rsidRPr="00181FCD">
        <w:t>en</w:t>
      </w:r>
      <w:r w:rsidR="00F373A3" w:rsidRPr="00181FCD">
        <w:t xml:space="preserve"> </w:t>
      </w:r>
      <w:r w:rsidR="001937F4" w:rsidRPr="00181FCD">
        <w:t>el</w:t>
      </w:r>
      <w:r w:rsidR="00F373A3" w:rsidRPr="00181FCD">
        <w:t xml:space="preserve"> </w:t>
      </w:r>
      <w:r w:rsidR="001937F4" w:rsidRPr="00181FCD">
        <w:t>párrafo</w:t>
      </w:r>
      <w:r w:rsidR="00F373A3" w:rsidRPr="00181FCD">
        <w:t xml:space="preserve"> </w:t>
      </w:r>
      <w:r w:rsidR="001937F4" w:rsidRPr="00181FCD">
        <w:t>18</w:t>
      </w:r>
      <w:r w:rsidR="00F373A3" w:rsidRPr="00181FCD">
        <w:t xml:space="preserve"> </w:t>
      </w:r>
      <w:r w:rsidR="001937F4" w:rsidRPr="00181FCD">
        <w:t>de</w:t>
      </w:r>
      <w:r w:rsidR="00F373A3" w:rsidRPr="00181FCD">
        <w:t xml:space="preserve"> </w:t>
      </w:r>
      <w:r w:rsidR="001937F4" w:rsidRPr="00181FCD">
        <w:t>la</w:t>
      </w:r>
      <w:r w:rsidR="00F373A3" w:rsidRPr="00181FCD">
        <w:t xml:space="preserve"> </w:t>
      </w:r>
      <w:r w:rsidR="001937F4" w:rsidRPr="00181FCD">
        <w:t>lista</w:t>
      </w:r>
      <w:r w:rsidR="00F373A3" w:rsidRPr="00181FCD">
        <w:t xml:space="preserve"> </w:t>
      </w:r>
      <w:r w:rsidR="001937F4" w:rsidRPr="00181FCD">
        <w:t>de</w:t>
      </w:r>
      <w:r w:rsidR="00F373A3" w:rsidRPr="00181FCD">
        <w:t xml:space="preserve"> </w:t>
      </w:r>
      <w:r w:rsidR="001937F4" w:rsidRPr="00181FCD">
        <w:t>cuestiones</w:t>
      </w:r>
    </w:p>
    <w:p w:rsidR="001937F4" w:rsidRPr="00181FCD" w:rsidRDefault="00BE74A7" w:rsidP="00BE74A7">
      <w:pPr>
        <w:pStyle w:val="H23G"/>
        <w:jc w:val="both"/>
      </w:pPr>
      <w:r w:rsidRPr="00181FCD">
        <w:tab/>
      </w:r>
      <w:r w:rsidR="001937F4" w:rsidRPr="00181FCD">
        <w:t>a)</w:t>
      </w:r>
      <w:r w:rsidR="001937F4" w:rsidRPr="00181FCD">
        <w:tab/>
        <w:t>Mediante</w:t>
      </w:r>
      <w:r w:rsidR="00F373A3" w:rsidRPr="00181FCD">
        <w:t xml:space="preserve"> </w:t>
      </w:r>
      <w:r w:rsidR="001937F4" w:rsidRPr="00181FCD">
        <w:t>la</w:t>
      </w:r>
      <w:r w:rsidR="00F373A3" w:rsidRPr="00181FCD">
        <w:t xml:space="preserve"> </w:t>
      </w:r>
      <w:r w:rsidR="001937F4" w:rsidRPr="00181FCD">
        <w:t>Decisión</w:t>
      </w:r>
      <w:r w:rsidR="00F373A3" w:rsidRPr="00181FCD">
        <w:t xml:space="preserve"> </w:t>
      </w:r>
      <w:r w:rsidR="001937F4" w:rsidRPr="00181FCD">
        <w:t>núm.</w:t>
      </w:r>
      <w:r w:rsidR="00F373A3" w:rsidRPr="00181FCD">
        <w:t xml:space="preserve"> </w:t>
      </w:r>
      <w:r w:rsidR="001937F4" w:rsidRPr="00181FCD">
        <w:t>767/08.12.2008,</w:t>
      </w:r>
      <w:r w:rsidR="00F373A3" w:rsidRPr="00181FCD">
        <w:t xml:space="preserve"> </w:t>
      </w:r>
      <w:r w:rsidR="001937F4" w:rsidRPr="00181FCD">
        <w:t>el</w:t>
      </w:r>
      <w:r w:rsidR="00F373A3" w:rsidRPr="00181FCD">
        <w:t xml:space="preserve"> </w:t>
      </w:r>
      <w:r w:rsidR="001937F4" w:rsidRPr="00181FCD">
        <w:t>Gobierno</w:t>
      </w:r>
      <w:r w:rsidR="00F373A3" w:rsidRPr="00181FCD">
        <w:t xml:space="preserve"> </w:t>
      </w:r>
      <w:r w:rsidR="001937F4" w:rsidRPr="00181FCD">
        <w:t>de</w:t>
      </w:r>
      <w:r w:rsidR="00F373A3" w:rsidRPr="00181FCD">
        <w:t xml:space="preserve"> </w:t>
      </w:r>
      <w:r w:rsidR="001937F4" w:rsidRPr="00181FCD">
        <w:t>Bulgaria</w:t>
      </w:r>
      <w:r w:rsidR="00F373A3" w:rsidRPr="00181FCD">
        <w:t xml:space="preserve"> </w:t>
      </w:r>
      <w:r w:rsidR="001937F4" w:rsidRPr="00181FCD">
        <w:t>aprobó</w:t>
      </w:r>
      <w:r w:rsidR="00F373A3" w:rsidRPr="00181FCD">
        <w:t xml:space="preserve"> </w:t>
      </w:r>
      <w:r w:rsidR="001937F4" w:rsidRPr="00181FCD">
        <w:t>la</w:t>
      </w:r>
      <w:r w:rsidR="00F373A3" w:rsidRPr="00181FCD">
        <w:t xml:space="preserve"> </w:t>
      </w:r>
      <w:r w:rsidR="001937F4" w:rsidRPr="00181FCD">
        <w:t>Estrategia</w:t>
      </w:r>
      <w:r w:rsidR="00F373A3" w:rsidRPr="00181FCD">
        <w:t xml:space="preserve"> </w:t>
      </w:r>
      <w:r w:rsidR="001937F4" w:rsidRPr="00181FCD">
        <w:t>para</w:t>
      </w:r>
      <w:r w:rsidR="00F373A3" w:rsidRPr="00181FCD">
        <w:t xml:space="preserve"> </w:t>
      </w:r>
      <w:r w:rsidR="001937F4" w:rsidRPr="00181FCD">
        <w:t>la</w:t>
      </w:r>
      <w:r w:rsidR="00F373A3" w:rsidRPr="00181FCD">
        <w:t xml:space="preserve"> </w:t>
      </w:r>
      <w:r w:rsidR="001937F4" w:rsidRPr="00181FCD">
        <w:t>Reforma</w:t>
      </w:r>
      <w:r w:rsidR="00F373A3" w:rsidRPr="00181FCD">
        <w:t xml:space="preserve"> </w:t>
      </w:r>
      <w:r w:rsidR="001937F4" w:rsidRPr="00181FCD">
        <w:t>de</w:t>
      </w:r>
      <w:r w:rsidR="00F373A3" w:rsidRPr="00181FCD">
        <w:t xml:space="preserve"> </w:t>
      </w:r>
      <w:r w:rsidR="001937F4" w:rsidRPr="00181FCD">
        <w:t>los</w:t>
      </w:r>
      <w:r w:rsidR="00F373A3" w:rsidRPr="00181FCD">
        <w:t xml:space="preserve"> </w:t>
      </w:r>
      <w:r w:rsidR="001937F4" w:rsidRPr="00181FCD">
        <w:t>Centros</w:t>
      </w:r>
      <w:r w:rsidR="00F373A3" w:rsidRPr="00181FCD">
        <w:t xml:space="preserve"> </w:t>
      </w:r>
      <w:r w:rsidR="001937F4" w:rsidRPr="00181FCD">
        <w:t>de</w:t>
      </w:r>
      <w:r w:rsidR="00F373A3" w:rsidRPr="00181FCD">
        <w:t xml:space="preserve"> </w:t>
      </w:r>
      <w:r w:rsidR="001937F4" w:rsidRPr="00181FCD">
        <w:t>Detención</w:t>
      </w:r>
      <w:r w:rsidR="00F373A3" w:rsidRPr="00181FCD">
        <w:t xml:space="preserve"> </w:t>
      </w:r>
      <w:r w:rsidR="001937F4" w:rsidRPr="00181FCD">
        <w:t>(2009-2015),</w:t>
      </w:r>
      <w:r w:rsidR="00F373A3" w:rsidRPr="00181FCD">
        <w:t xml:space="preserve"> </w:t>
      </w:r>
      <w:r w:rsidR="001937F4" w:rsidRPr="00181FCD">
        <w:t>un</w:t>
      </w:r>
      <w:r w:rsidR="00F373A3" w:rsidRPr="00181FCD">
        <w:t xml:space="preserve"> </w:t>
      </w:r>
      <w:r w:rsidR="001937F4" w:rsidRPr="00181FCD">
        <w:t>Plan</w:t>
      </w:r>
      <w:r w:rsidR="00F373A3" w:rsidRPr="00181FCD">
        <w:t xml:space="preserve"> </w:t>
      </w:r>
      <w:r w:rsidR="001937F4" w:rsidRPr="00181FCD">
        <w:t>de</w:t>
      </w:r>
      <w:r w:rsidR="00F373A3" w:rsidRPr="00181FCD">
        <w:t xml:space="preserve"> </w:t>
      </w:r>
      <w:r w:rsidR="001937F4" w:rsidRPr="00181FCD">
        <w:t>Acción</w:t>
      </w:r>
      <w:r w:rsidR="00F373A3" w:rsidRPr="00181FCD">
        <w:t xml:space="preserve"> </w:t>
      </w:r>
      <w:r w:rsidR="001937F4" w:rsidRPr="00181FCD">
        <w:t>para</w:t>
      </w:r>
      <w:r w:rsidR="00F373A3" w:rsidRPr="00181FCD">
        <w:t xml:space="preserve"> </w:t>
      </w:r>
      <w:r w:rsidR="001937F4" w:rsidRPr="00181FCD">
        <w:t>su</w:t>
      </w:r>
      <w:r w:rsidR="00F373A3" w:rsidRPr="00181FCD">
        <w:t xml:space="preserve"> </w:t>
      </w:r>
      <w:r w:rsidR="001937F4" w:rsidRPr="00181FCD">
        <w:t>aplicación</w:t>
      </w:r>
      <w:r w:rsidR="00F373A3" w:rsidRPr="00181FCD">
        <w:t xml:space="preserve"> </w:t>
      </w:r>
      <w:r w:rsidR="001937F4" w:rsidRPr="00181FCD">
        <w:t>y</w:t>
      </w:r>
      <w:r w:rsidR="00F373A3" w:rsidRPr="00181FCD">
        <w:t xml:space="preserve"> </w:t>
      </w:r>
      <w:r w:rsidR="001937F4" w:rsidRPr="00181FCD">
        <w:t>un</w:t>
      </w:r>
      <w:r w:rsidR="00F373A3" w:rsidRPr="00181FCD">
        <w:t xml:space="preserve"> </w:t>
      </w:r>
      <w:r w:rsidR="001937F4" w:rsidRPr="00181FCD">
        <w:t>Programa</w:t>
      </w:r>
      <w:r w:rsidR="00F373A3" w:rsidRPr="00181FCD">
        <w:t xml:space="preserve"> </w:t>
      </w:r>
      <w:r w:rsidR="001937F4" w:rsidRPr="00181FCD">
        <w:t>de</w:t>
      </w:r>
      <w:r w:rsidR="00F373A3" w:rsidRPr="00181FCD">
        <w:t xml:space="preserve"> </w:t>
      </w:r>
      <w:r w:rsidR="001937F4" w:rsidRPr="00181FCD">
        <w:t>inversión</w:t>
      </w:r>
      <w:r w:rsidR="00F373A3" w:rsidRPr="00181FCD">
        <w:t xml:space="preserve"> </w:t>
      </w:r>
      <w:r w:rsidR="001937F4" w:rsidRPr="00181FCD">
        <w:t>para</w:t>
      </w:r>
      <w:r w:rsidR="00F373A3" w:rsidRPr="00181FCD">
        <w:t xml:space="preserve"> </w:t>
      </w:r>
      <w:r w:rsidR="001937F4" w:rsidRPr="00181FCD">
        <w:t>la</w:t>
      </w:r>
      <w:r w:rsidR="00F373A3" w:rsidRPr="00181FCD">
        <w:t xml:space="preserve"> </w:t>
      </w:r>
      <w:r w:rsidR="001937F4" w:rsidRPr="00181FCD">
        <w:t>construcción,</w:t>
      </w:r>
      <w:r w:rsidR="00F373A3" w:rsidRPr="00181FCD">
        <w:t xml:space="preserve"> </w:t>
      </w:r>
      <w:r w:rsidR="001937F4" w:rsidRPr="00181FCD">
        <w:t>reconstrucción</w:t>
      </w:r>
      <w:r w:rsidR="00F373A3" w:rsidRPr="00181FCD">
        <w:t xml:space="preserve"> </w:t>
      </w:r>
      <w:r w:rsidR="001937F4" w:rsidRPr="00181FCD">
        <w:t>y</w:t>
      </w:r>
      <w:r w:rsidR="00F373A3" w:rsidRPr="00181FCD">
        <w:t xml:space="preserve"> </w:t>
      </w:r>
      <w:r w:rsidR="001937F4" w:rsidRPr="00181FCD">
        <w:t>modernización</w:t>
      </w:r>
      <w:r w:rsidR="00F373A3" w:rsidRPr="00181FCD">
        <w:t xml:space="preserve"> </w:t>
      </w:r>
      <w:r w:rsidR="001937F4" w:rsidRPr="00181FCD">
        <w:t>de</w:t>
      </w:r>
      <w:r w:rsidR="00F373A3" w:rsidRPr="00181FCD">
        <w:t xml:space="preserve"> </w:t>
      </w:r>
      <w:r w:rsidR="001937F4" w:rsidRPr="00181FCD">
        <w:t>las</w:t>
      </w:r>
      <w:r w:rsidR="00F373A3" w:rsidRPr="00181FCD">
        <w:t xml:space="preserve"> </w:t>
      </w:r>
      <w:r w:rsidR="001937F4" w:rsidRPr="00181FCD">
        <w:t>instalaciones</w:t>
      </w:r>
      <w:r w:rsidR="00F373A3" w:rsidRPr="00181FCD">
        <w:t xml:space="preserve"> </w:t>
      </w:r>
      <w:r w:rsidR="001937F4" w:rsidRPr="00181FCD">
        <w:t>del</w:t>
      </w:r>
      <w:r w:rsidR="00F373A3" w:rsidRPr="00181FCD">
        <w:t xml:space="preserve"> </w:t>
      </w:r>
      <w:r w:rsidR="001937F4" w:rsidRPr="00181FCD">
        <w:t>sistema</w:t>
      </w:r>
      <w:r w:rsidR="00F373A3" w:rsidRPr="00181FCD">
        <w:t xml:space="preserve"> </w:t>
      </w:r>
      <w:r w:rsidR="001937F4" w:rsidRPr="00181FCD">
        <w:t>penitenciario</w:t>
      </w:r>
      <w:r w:rsidR="00F373A3" w:rsidRPr="00181FCD">
        <w:t xml:space="preserve"> </w:t>
      </w:r>
      <w:r w:rsidR="001937F4" w:rsidRPr="00181FCD">
        <w:t>y</w:t>
      </w:r>
      <w:r w:rsidR="00F373A3" w:rsidRPr="00181FCD">
        <w:t xml:space="preserve"> </w:t>
      </w:r>
      <w:r w:rsidR="001937F4" w:rsidRPr="00181FCD">
        <w:t>de</w:t>
      </w:r>
      <w:r w:rsidR="00F373A3" w:rsidRPr="00181FCD">
        <w:t xml:space="preserve"> </w:t>
      </w:r>
      <w:r w:rsidR="001937F4" w:rsidRPr="00181FCD">
        <w:t>libertad</w:t>
      </w:r>
      <w:r w:rsidR="00F373A3" w:rsidRPr="00181FCD">
        <w:t xml:space="preserve"> </w:t>
      </w:r>
      <w:r w:rsidR="001937F4" w:rsidRPr="00181FCD">
        <w:t>condicional.</w:t>
      </w:r>
    </w:p>
    <w:p w:rsidR="001937F4" w:rsidRPr="00181FCD" w:rsidRDefault="001937F4" w:rsidP="00347B20">
      <w:pPr>
        <w:pStyle w:val="SingleTxtG"/>
        <w:suppressAutoHyphens/>
      </w:pPr>
      <w:r w:rsidRPr="00181FCD">
        <w:t>158.</w:t>
      </w:r>
      <w:r w:rsidRPr="00181FCD">
        <w:tab/>
        <w:t>El</w:t>
      </w:r>
      <w:r w:rsidR="00F373A3" w:rsidRPr="00181FCD">
        <w:t xml:space="preserve"> </w:t>
      </w:r>
      <w:r w:rsidRPr="00181FCD">
        <w:t>propósito</w:t>
      </w:r>
      <w:r w:rsidR="00F373A3" w:rsidRPr="00181FCD">
        <w:t xml:space="preserve"> </w:t>
      </w:r>
      <w:r w:rsidRPr="00181FCD">
        <w:t>principal</w:t>
      </w:r>
      <w:r w:rsidR="00F373A3" w:rsidRPr="00181FCD">
        <w:t xml:space="preserve"> </w:t>
      </w:r>
      <w:r w:rsidRPr="00181FCD">
        <w:t>de</w:t>
      </w:r>
      <w:r w:rsidR="00F373A3" w:rsidRPr="00181FCD">
        <w:t xml:space="preserve"> </w:t>
      </w:r>
      <w:r w:rsidRPr="00181FCD">
        <w:t>la</w:t>
      </w:r>
      <w:r w:rsidR="00F373A3" w:rsidRPr="00181FCD">
        <w:t xml:space="preserve"> </w:t>
      </w:r>
      <w:r w:rsidRPr="00181FCD">
        <w:t>Estrategia</w:t>
      </w:r>
      <w:r w:rsidR="00F373A3" w:rsidRPr="00181FCD">
        <w:t xml:space="preserve"> </w:t>
      </w:r>
      <w:r w:rsidRPr="00181FCD">
        <w:t>es</w:t>
      </w:r>
      <w:r w:rsidR="00F373A3" w:rsidRPr="00181FCD">
        <w:t xml:space="preserve"> </w:t>
      </w:r>
      <w:r w:rsidRPr="00181FCD">
        <w:t>modernizar</w:t>
      </w:r>
      <w:r w:rsidR="00F373A3" w:rsidRPr="00181FCD">
        <w:t xml:space="preserve"> </w:t>
      </w:r>
      <w:r w:rsidRPr="00181FCD">
        <w:t>y</w:t>
      </w:r>
      <w:r w:rsidR="00F373A3" w:rsidRPr="00181FCD">
        <w:t xml:space="preserve"> </w:t>
      </w:r>
      <w:r w:rsidRPr="00181FCD">
        <w:t>reformar</w:t>
      </w:r>
      <w:r w:rsidR="00F373A3" w:rsidRPr="00181FCD">
        <w:t xml:space="preserve"> </w:t>
      </w:r>
      <w:r w:rsidRPr="00181FCD">
        <w:t>el</w:t>
      </w:r>
      <w:r w:rsidR="00F373A3" w:rsidRPr="00181FCD">
        <w:t xml:space="preserve"> </w:t>
      </w:r>
      <w:r w:rsidRPr="00181FCD">
        <w:t>sistema</w:t>
      </w:r>
      <w:r w:rsidR="00F373A3" w:rsidRPr="00181FCD">
        <w:t xml:space="preserve"> </w:t>
      </w:r>
      <w:r w:rsidRPr="00181FCD">
        <w:t>penitenciario</w:t>
      </w:r>
      <w:r w:rsidR="00F373A3" w:rsidRPr="00181FCD">
        <w:t xml:space="preserve"> </w:t>
      </w:r>
      <w:r w:rsidRPr="00181FCD">
        <w:t>para</w:t>
      </w:r>
      <w:r w:rsidR="00F373A3" w:rsidRPr="00181FCD">
        <w:t xml:space="preserve"> </w:t>
      </w:r>
      <w:r w:rsidRPr="00181FCD">
        <w:t>ajustarlo</w:t>
      </w:r>
      <w:r w:rsidR="00F373A3" w:rsidRPr="00181FCD">
        <w:t xml:space="preserve"> </w:t>
      </w:r>
      <w:r w:rsidRPr="00181FCD">
        <w:t>a</w:t>
      </w:r>
      <w:r w:rsidR="00F373A3" w:rsidRPr="00181FCD">
        <w:t xml:space="preserve"> </w:t>
      </w:r>
      <w:r w:rsidRPr="00181FCD">
        <w:t>las</w:t>
      </w:r>
      <w:r w:rsidR="00F373A3" w:rsidRPr="00181FCD">
        <w:t xml:space="preserve"> </w:t>
      </w:r>
      <w:r w:rsidRPr="00181FCD">
        <w:t>normas</w:t>
      </w:r>
      <w:r w:rsidR="00F373A3" w:rsidRPr="00181FCD">
        <w:t xml:space="preserve"> </w:t>
      </w:r>
      <w:r w:rsidRPr="00181FCD">
        <w:t>europeas</w:t>
      </w:r>
      <w:r w:rsidR="00F373A3" w:rsidRPr="00181FCD">
        <w:t xml:space="preserve"> </w:t>
      </w:r>
      <w:r w:rsidRPr="00181FCD">
        <w:t>y</w:t>
      </w:r>
      <w:r w:rsidR="00F373A3" w:rsidRPr="00181FCD">
        <w:t xml:space="preserve"> </w:t>
      </w:r>
      <w:r w:rsidRPr="00181FCD">
        <w:t>aplicar</w:t>
      </w:r>
      <w:r w:rsidR="00F373A3" w:rsidRPr="00181FCD">
        <w:t xml:space="preserve"> </w:t>
      </w:r>
      <w:r w:rsidRPr="00181FCD">
        <w:t>de</w:t>
      </w:r>
      <w:r w:rsidR="00F373A3" w:rsidRPr="00181FCD">
        <w:t xml:space="preserve"> </w:t>
      </w:r>
      <w:r w:rsidRPr="00181FCD">
        <w:t>forma</w:t>
      </w:r>
      <w:r w:rsidR="00F373A3" w:rsidRPr="00181FCD">
        <w:t xml:space="preserve"> </w:t>
      </w:r>
      <w:r w:rsidRPr="00181FCD">
        <w:t>más</w:t>
      </w:r>
      <w:r w:rsidR="00F373A3" w:rsidRPr="00181FCD">
        <w:t xml:space="preserve"> </w:t>
      </w:r>
      <w:r w:rsidRPr="00181FCD">
        <w:t>humana</w:t>
      </w:r>
      <w:r w:rsidR="00F373A3" w:rsidRPr="00181FCD">
        <w:t xml:space="preserve"> </w:t>
      </w:r>
      <w:r w:rsidRPr="00181FCD">
        <w:t>los</w:t>
      </w:r>
      <w:r w:rsidR="00F373A3" w:rsidRPr="00181FCD">
        <w:t xml:space="preserve"> </w:t>
      </w:r>
      <w:r w:rsidRPr="00181FCD">
        <w:t>diversos</w:t>
      </w:r>
      <w:r w:rsidR="00F373A3" w:rsidRPr="00181FCD">
        <w:t xml:space="preserve"> </w:t>
      </w:r>
      <w:r w:rsidRPr="00181FCD">
        <w:t>tipos</w:t>
      </w:r>
      <w:r w:rsidR="00F373A3" w:rsidRPr="00181FCD">
        <w:t xml:space="preserve"> </w:t>
      </w:r>
      <w:r w:rsidRPr="00181FCD">
        <w:t>de</w:t>
      </w:r>
      <w:r w:rsidR="00F373A3" w:rsidRPr="00181FCD">
        <w:t xml:space="preserve"> </w:t>
      </w:r>
      <w:r w:rsidRPr="00181FCD">
        <w:t>penas,</w:t>
      </w:r>
      <w:r w:rsidR="00F373A3" w:rsidRPr="00181FCD">
        <w:t xml:space="preserve"> </w:t>
      </w:r>
      <w:r w:rsidRPr="00181FCD">
        <w:t>con</w:t>
      </w:r>
      <w:r w:rsidR="00F373A3" w:rsidRPr="00181FCD">
        <w:t xml:space="preserve"> </w:t>
      </w:r>
      <w:r w:rsidRPr="00181FCD">
        <w:t>miras</w:t>
      </w:r>
      <w:r w:rsidR="00F373A3" w:rsidRPr="00181FCD">
        <w:t xml:space="preserve"> </w:t>
      </w:r>
      <w:r w:rsidRPr="00181FCD">
        <w:t>a</w:t>
      </w:r>
      <w:r w:rsidR="00F373A3" w:rsidRPr="00181FCD">
        <w:t xml:space="preserve"> </w:t>
      </w:r>
      <w:r w:rsidRPr="00181FCD">
        <w:t>lograr</w:t>
      </w:r>
      <w:r w:rsidR="00F373A3" w:rsidRPr="00181FCD">
        <w:t xml:space="preserve"> </w:t>
      </w:r>
      <w:r w:rsidRPr="00181FCD">
        <w:t>los</w:t>
      </w:r>
      <w:r w:rsidR="00F373A3" w:rsidRPr="00181FCD">
        <w:t xml:space="preserve"> </w:t>
      </w:r>
      <w:r w:rsidRPr="00181FCD">
        <w:t>objetivos</w:t>
      </w:r>
      <w:r w:rsidR="00F373A3" w:rsidRPr="00181FCD">
        <w:t xml:space="preserve"> </w:t>
      </w:r>
      <w:r w:rsidRPr="00181FCD">
        <w:t>buscados</w:t>
      </w:r>
      <w:r w:rsidR="00F373A3" w:rsidRPr="00181FCD">
        <w:t xml:space="preserve"> </w:t>
      </w:r>
      <w:r w:rsidRPr="00181FCD">
        <w:t>con</w:t>
      </w:r>
      <w:r w:rsidR="00F373A3" w:rsidRPr="00181FCD">
        <w:t xml:space="preserve"> </w:t>
      </w:r>
      <w:r w:rsidRPr="00181FCD">
        <w:t>la</w:t>
      </w:r>
      <w:r w:rsidR="00F373A3" w:rsidRPr="00181FCD">
        <w:t xml:space="preserve"> </w:t>
      </w:r>
      <w:r w:rsidRPr="00181FCD">
        <w:t>imposición</w:t>
      </w:r>
      <w:r w:rsidR="00F373A3" w:rsidRPr="00181FCD">
        <w:t xml:space="preserve"> </w:t>
      </w:r>
      <w:r w:rsidRPr="00181FCD">
        <w:t>de</w:t>
      </w:r>
      <w:r w:rsidR="00F373A3" w:rsidRPr="00181FCD">
        <w:t xml:space="preserve"> </w:t>
      </w:r>
      <w:r w:rsidRPr="00181FCD">
        <w:t>dichas</w:t>
      </w:r>
      <w:r w:rsidR="00F373A3" w:rsidRPr="00181FCD">
        <w:t xml:space="preserve"> </w:t>
      </w:r>
      <w:r w:rsidRPr="00181FCD">
        <w:t>sanciones.</w:t>
      </w:r>
      <w:r w:rsidR="00F373A3" w:rsidRPr="00181FCD">
        <w:t xml:space="preserve"> </w:t>
      </w:r>
    </w:p>
    <w:p w:rsidR="001937F4" w:rsidRPr="00181FCD" w:rsidRDefault="001937F4" w:rsidP="00347B20">
      <w:pPr>
        <w:pStyle w:val="SingleTxtG"/>
        <w:suppressAutoHyphens/>
      </w:pPr>
      <w:r w:rsidRPr="00181FCD">
        <w:t>159.</w:t>
      </w:r>
      <w:r w:rsidRPr="00181FCD">
        <w:tab/>
        <w:t>A</w:t>
      </w:r>
      <w:r w:rsidR="00F373A3" w:rsidRPr="00181FCD">
        <w:t xml:space="preserve"> </w:t>
      </w:r>
      <w:r w:rsidRPr="00181FCD">
        <w:t>causa</w:t>
      </w:r>
      <w:r w:rsidR="00F373A3" w:rsidRPr="00181FCD">
        <w:t xml:space="preserve"> </w:t>
      </w:r>
      <w:r w:rsidRPr="00181FCD">
        <w:t>de</w:t>
      </w:r>
      <w:r w:rsidR="00F373A3" w:rsidRPr="00181FCD">
        <w:t xml:space="preserve"> </w:t>
      </w:r>
      <w:r w:rsidRPr="00181FCD">
        <w:t>la</w:t>
      </w:r>
      <w:r w:rsidR="00F373A3" w:rsidRPr="00181FCD">
        <w:t xml:space="preserve"> </w:t>
      </w:r>
      <w:r w:rsidRPr="00181FCD">
        <w:t>severa</w:t>
      </w:r>
      <w:r w:rsidR="00F373A3" w:rsidRPr="00181FCD">
        <w:t xml:space="preserve"> </w:t>
      </w:r>
      <w:r w:rsidRPr="00181FCD">
        <w:t>crisis</w:t>
      </w:r>
      <w:r w:rsidR="00F373A3" w:rsidRPr="00181FCD">
        <w:t xml:space="preserve"> </w:t>
      </w:r>
      <w:r w:rsidRPr="00181FCD">
        <w:t>económica</w:t>
      </w:r>
      <w:r w:rsidR="00F373A3" w:rsidRPr="00181FCD">
        <w:t xml:space="preserve"> </w:t>
      </w:r>
      <w:r w:rsidRPr="00181FCD">
        <w:t>y</w:t>
      </w:r>
      <w:r w:rsidR="00F373A3" w:rsidRPr="00181FCD">
        <w:t xml:space="preserve"> </w:t>
      </w:r>
      <w:r w:rsidRPr="00181FCD">
        <w:t>financiera</w:t>
      </w:r>
      <w:r w:rsidR="00F373A3" w:rsidRPr="00181FCD">
        <w:t xml:space="preserve"> </w:t>
      </w:r>
      <w:r w:rsidRPr="00181FCD">
        <w:t>de</w:t>
      </w:r>
      <w:r w:rsidR="00F373A3" w:rsidRPr="00181FCD">
        <w:t xml:space="preserve"> </w:t>
      </w:r>
      <w:r w:rsidRPr="00181FCD">
        <w:t>los</w:t>
      </w:r>
      <w:r w:rsidR="00F373A3" w:rsidRPr="00181FCD">
        <w:t xml:space="preserve"> </w:t>
      </w:r>
      <w:r w:rsidRPr="00181FCD">
        <w:t>últimos</w:t>
      </w:r>
      <w:r w:rsidR="00F373A3" w:rsidRPr="00181FCD">
        <w:t xml:space="preserve"> </w:t>
      </w:r>
      <w:r w:rsidRPr="00181FCD">
        <w:t>años,</w:t>
      </w:r>
      <w:r w:rsidR="00F373A3" w:rsidRPr="00181FCD">
        <w:t xml:space="preserve"> </w:t>
      </w:r>
      <w:r w:rsidRPr="00181FCD">
        <w:t>el</w:t>
      </w:r>
      <w:r w:rsidR="00F373A3" w:rsidRPr="00181FCD">
        <w:t xml:space="preserve"> </w:t>
      </w:r>
      <w:r w:rsidRPr="00181FCD">
        <w:t>Gobierno</w:t>
      </w:r>
      <w:r w:rsidR="00F373A3" w:rsidRPr="00181FCD">
        <w:t xml:space="preserve"> </w:t>
      </w:r>
      <w:r w:rsidRPr="00181FCD">
        <w:t>de</w:t>
      </w:r>
      <w:r w:rsidR="00F373A3" w:rsidRPr="00181FCD">
        <w:t xml:space="preserve"> </w:t>
      </w:r>
      <w:r w:rsidRPr="00181FCD">
        <w:t>Bulgaria</w:t>
      </w:r>
      <w:r w:rsidR="00F373A3" w:rsidRPr="00181FCD">
        <w:t xml:space="preserve"> </w:t>
      </w:r>
      <w:r w:rsidRPr="00181FCD">
        <w:t>aplicó</w:t>
      </w:r>
      <w:r w:rsidR="00F373A3" w:rsidRPr="00181FCD">
        <w:t xml:space="preserve"> </w:t>
      </w:r>
      <w:r w:rsidRPr="00181FCD">
        <w:t>estrictas</w:t>
      </w:r>
      <w:r w:rsidR="00F373A3" w:rsidRPr="00181FCD">
        <w:t xml:space="preserve"> </w:t>
      </w:r>
      <w:r w:rsidRPr="00181FCD">
        <w:t>medidas</w:t>
      </w:r>
      <w:r w:rsidR="00F373A3" w:rsidRPr="00181FCD">
        <w:t xml:space="preserve"> </w:t>
      </w:r>
      <w:r w:rsidRPr="00181FCD">
        <w:t>de</w:t>
      </w:r>
      <w:r w:rsidR="00F373A3" w:rsidRPr="00181FCD">
        <w:t xml:space="preserve"> </w:t>
      </w:r>
      <w:r w:rsidRPr="00181FCD">
        <w:t>austeridad.</w:t>
      </w:r>
      <w:r w:rsidR="00F373A3" w:rsidRPr="00181FCD">
        <w:t xml:space="preserve"> </w:t>
      </w:r>
      <w:r w:rsidRPr="00181FCD">
        <w:t>Como</w:t>
      </w:r>
      <w:r w:rsidR="00F373A3" w:rsidRPr="00181FCD">
        <w:t xml:space="preserve"> </w:t>
      </w:r>
      <w:r w:rsidRPr="00181FCD">
        <w:t>resultado,</w:t>
      </w:r>
      <w:r w:rsidR="00F373A3" w:rsidRPr="00181FCD">
        <w:t xml:space="preserve"> </w:t>
      </w:r>
      <w:r w:rsidRPr="00181FCD">
        <w:t>el</w:t>
      </w:r>
      <w:r w:rsidR="00F373A3" w:rsidRPr="00181FCD">
        <w:t xml:space="preserve"> </w:t>
      </w:r>
      <w:r w:rsidRPr="00181FCD">
        <w:t>presupuesto</w:t>
      </w:r>
      <w:r w:rsidR="00F373A3" w:rsidRPr="00181FCD">
        <w:t xml:space="preserve"> </w:t>
      </w:r>
      <w:r w:rsidRPr="00181FCD">
        <w:t>de</w:t>
      </w:r>
      <w:r w:rsidR="00F373A3" w:rsidRPr="00181FCD">
        <w:t xml:space="preserve"> </w:t>
      </w:r>
      <w:r w:rsidRPr="00181FCD">
        <w:t>gasto</w:t>
      </w:r>
      <w:r w:rsidR="00F373A3" w:rsidRPr="00181FCD">
        <w:t xml:space="preserve"> </w:t>
      </w:r>
      <w:r w:rsidRPr="00181FCD">
        <w:t>de</w:t>
      </w:r>
      <w:r w:rsidR="00F373A3" w:rsidRPr="00181FCD">
        <w:t xml:space="preserve"> </w:t>
      </w:r>
      <w:r w:rsidRPr="00181FCD">
        <w:t>capital</w:t>
      </w:r>
      <w:r w:rsidR="00F373A3" w:rsidRPr="00181FCD">
        <w:t xml:space="preserve"> </w:t>
      </w:r>
      <w:r w:rsidRPr="00181FCD">
        <w:t>se</w:t>
      </w:r>
      <w:r w:rsidR="00F373A3" w:rsidRPr="00181FCD">
        <w:t xml:space="preserve"> </w:t>
      </w:r>
      <w:r w:rsidRPr="00181FCD">
        <w:t>redujo</w:t>
      </w:r>
      <w:r w:rsidR="00F373A3" w:rsidRPr="00181FCD">
        <w:t xml:space="preserve"> </w:t>
      </w:r>
      <w:r w:rsidRPr="00181FCD">
        <w:t>significativamente.</w:t>
      </w:r>
      <w:r w:rsidR="00F373A3" w:rsidRPr="00181FCD">
        <w:t xml:space="preserve"> </w:t>
      </w:r>
    </w:p>
    <w:p w:rsidR="001937F4" w:rsidRPr="00181FCD" w:rsidRDefault="001937F4" w:rsidP="00347B20">
      <w:pPr>
        <w:pStyle w:val="SingleTxtG"/>
        <w:suppressAutoHyphens/>
      </w:pPr>
      <w:r w:rsidRPr="00181FCD">
        <w:t>160.</w:t>
      </w:r>
      <w:r w:rsidRPr="00181FCD">
        <w:tab/>
        <w:t>Debido</w:t>
      </w:r>
      <w:r w:rsidR="00F373A3" w:rsidRPr="00181FCD">
        <w:t xml:space="preserve"> </w:t>
      </w:r>
      <w:r w:rsidRPr="00181FCD">
        <w:t>a</w:t>
      </w:r>
      <w:r w:rsidR="00F373A3" w:rsidRPr="00181FCD">
        <w:t xml:space="preserve"> </w:t>
      </w:r>
      <w:r w:rsidRPr="00181FCD">
        <w:t>la</w:t>
      </w:r>
      <w:r w:rsidR="00F373A3" w:rsidRPr="00181FCD">
        <w:t xml:space="preserve"> </w:t>
      </w:r>
      <w:r w:rsidRPr="00181FCD">
        <w:t>insuficiencia</w:t>
      </w:r>
      <w:r w:rsidR="00F373A3" w:rsidRPr="00181FCD">
        <w:t xml:space="preserve"> </w:t>
      </w:r>
      <w:r w:rsidRPr="00181FCD">
        <w:t>de</w:t>
      </w:r>
      <w:r w:rsidR="00F373A3" w:rsidRPr="00181FCD">
        <w:t xml:space="preserve"> </w:t>
      </w:r>
      <w:r w:rsidRPr="00181FCD">
        <w:t>las</w:t>
      </w:r>
      <w:r w:rsidR="00F373A3" w:rsidRPr="00181FCD">
        <w:t xml:space="preserve"> </w:t>
      </w:r>
      <w:r w:rsidRPr="00181FCD">
        <w:t>inversiones</w:t>
      </w:r>
      <w:r w:rsidR="00F373A3" w:rsidRPr="00181FCD">
        <w:t xml:space="preserve"> </w:t>
      </w:r>
      <w:r w:rsidRPr="00181FCD">
        <w:t>destinadas</w:t>
      </w:r>
      <w:r w:rsidR="00F373A3" w:rsidRPr="00181FCD">
        <w:t xml:space="preserve"> </w:t>
      </w:r>
      <w:r w:rsidRPr="00181FCD">
        <w:t>específicamente</w:t>
      </w:r>
      <w:r w:rsidR="00F373A3" w:rsidRPr="00181FCD">
        <w:t xml:space="preserve"> </w:t>
      </w:r>
      <w:r w:rsidRPr="00181FCD">
        <w:t>al</w:t>
      </w:r>
      <w:r w:rsidR="00F373A3" w:rsidRPr="00181FCD">
        <w:t xml:space="preserve"> </w:t>
      </w:r>
      <w:r w:rsidRPr="00181FCD">
        <w:t>sistema</w:t>
      </w:r>
      <w:r w:rsidR="00F373A3" w:rsidRPr="00181FCD">
        <w:t xml:space="preserve"> </w:t>
      </w:r>
      <w:r w:rsidRPr="00181FCD">
        <w:t>penitenciario,</w:t>
      </w:r>
      <w:r w:rsidR="00672EC2" w:rsidRPr="00181FCD">
        <w:t xml:space="preserve"> </w:t>
      </w:r>
      <w:r w:rsidRPr="00181FCD">
        <w:t>se</w:t>
      </w:r>
      <w:r w:rsidR="00F373A3" w:rsidRPr="00181FCD">
        <w:t xml:space="preserve"> </w:t>
      </w:r>
      <w:r w:rsidRPr="00181FCD">
        <w:t>comenzó</w:t>
      </w:r>
      <w:r w:rsidR="00F373A3" w:rsidRPr="00181FCD">
        <w:t xml:space="preserve"> </w:t>
      </w:r>
      <w:r w:rsidRPr="00181FCD">
        <w:t>a</w:t>
      </w:r>
      <w:r w:rsidR="00F373A3" w:rsidRPr="00181FCD">
        <w:t xml:space="preserve"> </w:t>
      </w:r>
      <w:r w:rsidRPr="00181FCD">
        <w:t>buscar</w:t>
      </w:r>
      <w:r w:rsidR="00F373A3" w:rsidRPr="00181FCD">
        <w:t xml:space="preserve"> </w:t>
      </w:r>
      <w:r w:rsidRPr="00181FCD">
        <w:t>y</w:t>
      </w:r>
      <w:r w:rsidR="00F373A3" w:rsidRPr="00181FCD">
        <w:t xml:space="preserve"> </w:t>
      </w:r>
      <w:r w:rsidRPr="00181FCD">
        <w:t>captar</w:t>
      </w:r>
      <w:r w:rsidR="00F373A3" w:rsidRPr="00181FCD">
        <w:t xml:space="preserve"> </w:t>
      </w:r>
      <w:r w:rsidRPr="00181FCD">
        <w:t>recursos</w:t>
      </w:r>
      <w:r w:rsidR="00F373A3" w:rsidRPr="00181FCD">
        <w:t xml:space="preserve"> </w:t>
      </w:r>
      <w:r w:rsidRPr="00181FCD">
        <w:t>económicos</w:t>
      </w:r>
      <w:r w:rsidR="00F373A3" w:rsidRPr="00181FCD">
        <w:t xml:space="preserve"> </w:t>
      </w:r>
      <w:r w:rsidRPr="00181FCD">
        <w:t>adicionales</w:t>
      </w:r>
      <w:r w:rsidR="00F373A3" w:rsidRPr="00181FCD">
        <w:t xml:space="preserve"> </w:t>
      </w:r>
      <w:r w:rsidRPr="00181FCD">
        <w:t>a</w:t>
      </w:r>
      <w:r w:rsidR="00F373A3" w:rsidRPr="00181FCD">
        <w:t xml:space="preserve"> </w:t>
      </w:r>
      <w:r w:rsidRPr="00181FCD">
        <w:t>través</w:t>
      </w:r>
      <w:r w:rsidR="00F373A3" w:rsidRPr="00181FCD">
        <w:t xml:space="preserve"> </w:t>
      </w:r>
      <w:r w:rsidRPr="00181FCD">
        <w:t>de</w:t>
      </w:r>
      <w:r w:rsidR="00F373A3" w:rsidRPr="00181FCD">
        <w:t xml:space="preserve"> </w:t>
      </w:r>
      <w:r w:rsidRPr="00181FCD">
        <w:t>programas</w:t>
      </w:r>
      <w:r w:rsidR="00F373A3" w:rsidRPr="00181FCD">
        <w:t xml:space="preserve"> </w:t>
      </w:r>
      <w:r w:rsidRPr="00181FCD">
        <w:t>europeos.</w:t>
      </w:r>
      <w:r w:rsidR="00F373A3" w:rsidRPr="00181FCD">
        <w:t xml:space="preserve"> </w:t>
      </w:r>
      <w:r w:rsidRPr="00181FCD">
        <w:t>En</w:t>
      </w:r>
      <w:r w:rsidR="00F373A3" w:rsidRPr="00181FCD">
        <w:t xml:space="preserve"> </w:t>
      </w:r>
      <w:r w:rsidRPr="00181FCD">
        <w:t>este</w:t>
      </w:r>
      <w:r w:rsidR="00F373A3" w:rsidRPr="00181FCD">
        <w:t xml:space="preserve"> </w:t>
      </w:r>
      <w:r w:rsidRPr="00181FCD">
        <w:t>contexto,</w:t>
      </w:r>
      <w:r w:rsidR="00F373A3" w:rsidRPr="00181FCD">
        <w:t xml:space="preserve"> </w:t>
      </w:r>
      <w:r w:rsidRPr="00181FCD">
        <w:t>el</w:t>
      </w:r>
      <w:r w:rsidR="00F373A3" w:rsidRPr="00181FCD">
        <w:t xml:space="preserve"> </w:t>
      </w:r>
      <w:r w:rsidRPr="00181FCD">
        <w:t>Mecanismo</w:t>
      </w:r>
      <w:r w:rsidR="00F373A3" w:rsidRPr="00181FCD">
        <w:t xml:space="preserve"> </w:t>
      </w:r>
      <w:r w:rsidRPr="00181FCD">
        <w:t>Financiero</w:t>
      </w:r>
      <w:r w:rsidR="00F373A3" w:rsidRPr="00181FCD">
        <w:t xml:space="preserve"> </w:t>
      </w:r>
      <w:r w:rsidRPr="00181FCD">
        <w:t>Noruego</w:t>
      </w:r>
      <w:r w:rsidR="00F373A3" w:rsidRPr="00181FCD">
        <w:t xml:space="preserve"> </w:t>
      </w:r>
      <w:r w:rsidRPr="00181FCD">
        <w:t>ofrece</w:t>
      </w:r>
      <w:r w:rsidR="00F373A3" w:rsidRPr="00181FCD">
        <w:t xml:space="preserve"> </w:t>
      </w:r>
      <w:r w:rsidRPr="00181FCD">
        <w:t>condiciones</w:t>
      </w:r>
      <w:r w:rsidR="00F373A3" w:rsidRPr="00181FCD">
        <w:t xml:space="preserve"> </w:t>
      </w:r>
      <w:r w:rsidRPr="00181FCD">
        <w:t>y</w:t>
      </w:r>
      <w:r w:rsidR="00F373A3" w:rsidRPr="00181FCD">
        <w:t xml:space="preserve"> </w:t>
      </w:r>
      <w:r w:rsidRPr="00181FCD">
        <w:t>oportunidades</w:t>
      </w:r>
      <w:r w:rsidR="00F373A3" w:rsidRPr="00181FCD">
        <w:t xml:space="preserve"> </w:t>
      </w:r>
      <w:r w:rsidRPr="00181FCD">
        <w:t>muy</w:t>
      </w:r>
      <w:r w:rsidR="00F373A3" w:rsidRPr="00181FCD">
        <w:t xml:space="preserve"> </w:t>
      </w:r>
      <w:r w:rsidRPr="00181FCD">
        <w:t>favorables</w:t>
      </w:r>
      <w:r w:rsidR="00F373A3" w:rsidRPr="00181FCD">
        <w:t xml:space="preserve"> </w:t>
      </w:r>
      <w:r w:rsidRPr="00181FCD">
        <w:t>para</w:t>
      </w:r>
      <w:r w:rsidR="00F373A3" w:rsidRPr="00181FCD">
        <w:t xml:space="preserve"> </w:t>
      </w:r>
      <w:r w:rsidRPr="00181FCD">
        <w:t>lograr</w:t>
      </w:r>
      <w:r w:rsidR="00F373A3" w:rsidRPr="00181FCD">
        <w:t xml:space="preserve"> </w:t>
      </w:r>
      <w:r w:rsidRPr="00181FCD">
        <w:t>un</w:t>
      </w:r>
      <w:r w:rsidR="00F373A3" w:rsidRPr="00181FCD">
        <w:t xml:space="preserve"> </w:t>
      </w:r>
      <w:r w:rsidRPr="00181FCD">
        <w:t>avance</w:t>
      </w:r>
      <w:r w:rsidR="00F373A3" w:rsidRPr="00181FCD">
        <w:t xml:space="preserve"> </w:t>
      </w:r>
      <w:r w:rsidRPr="00181FCD">
        <w:t>importante</w:t>
      </w:r>
      <w:r w:rsidR="00F373A3" w:rsidRPr="00181FCD">
        <w:t xml:space="preserve"> </w:t>
      </w:r>
      <w:r w:rsidRPr="00181FCD">
        <w:t>en</w:t>
      </w:r>
      <w:r w:rsidR="00F373A3" w:rsidRPr="00181FCD">
        <w:t xml:space="preserve"> </w:t>
      </w:r>
      <w:r w:rsidRPr="00181FCD">
        <w:t>la</w:t>
      </w:r>
      <w:r w:rsidR="00F373A3" w:rsidRPr="00181FCD">
        <w:t xml:space="preserve"> </w:t>
      </w:r>
      <w:r w:rsidRPr="00181FCD">
        <w:t>ampliación,</w:t>
      </w:r>
      <w:r w:rsidR="00F373A3" w:rsidRPr="00181FCD">
        <w:t xml:space="preserve"> </w:t>
      </w:r>
      <w:r w:rsidRPr="00181FCD">
        <w:t>reorganización</w:t>
      </w:r>
      <w:r w:rsidR="00F373A3" w:rsidRPr="00181FCD">
        <w:t xml:space="preserve"> </w:t>
      </w:r>
      <w:r w:rsidRPr="00181FCD">
        <w:t>y</w:t>
      </w:r>
      <w:r w:rsidR="00F373A3" w:rsidRPr="00181FCD">
        <w:t xml:space="preserve"> </w:t>
      </w:r>
      <w:r w:rsidRPr="00181FCD">
        <w:t>modernización</w:t>
      </w:r>
      <w:r w:rsidR="00F373A3" w:rsidRPr="00181FCD">
        <w:t xml:space="preserve"> </w:t>
      </w:r>
      <w:r w:rsidRPr="00181FCD">
        <w:t>de</w:t>
      </w:r>
      <w:r w:rsidR="00F373A3" w:rsidRPr="00181FCD">
        <w:t xml:space="preserve"> </w:t>
      </w:r>
      <w:r w:rsidRPr="00181FCD">
        <w:t>las</w:t>
      </w:r>
      <w:r w:rsidR="00F373A3" w:rsidRPr="00181FCD">
        <w:t xml:space="preserve"> </w:t>
      </w:r>
      <w:r w:rsidRPr="00181FCD">
        <w:t>instalaciones</w:t>
      </w:r>
      <w:r w:rsidR="00F373A3" w:rsidRPr="00181FCD">
        <w:t xml:space="preserve"> </w:t>
      </w:r>
      <w:r w:rsidRPr="00181FCD">
        <w:t>y</w:t>
      </w:r>
      <w:r w:rsidR="00F373A3" w:rsidRPr="00181FCD">
        <w:t xml:space="preserve"> </w:t>
      </w:r>
      <w:r w:rsidRPr="00181FCD">
        <w:t>los</w:t>
      </w:r>
      <w:r w:rsidR="00F373A3" w:rsidRPr="00181FCD">
        <w:t xml:space="preserve"> </w:t>
      </w:r>
      <w:r w:rsidRPr="00181FCD">
        <w:t>equipos</w:t>
      </w:r>
      <w:r w:rsidR="00F373A3" w:rsidRPr="00181FCD">
        <w:t xml:space="preserve"> </w:t>
      </w:r>
      <w:r w:rsidRPr="00181FCD">
        <w:t>en</w:t>
      </w:r>
      <w:r w:rsidR="00F373A3" w:rsidRPr="00181FCD">
        <w:t xml:space="preserve"> </w:t>
      </w:r>
      <w:r w:rsidRPr="00181FCD">
        <w:t>las</w:t>
      </w:r>
      <w:r w:rsidR="00F373A3" w:rsidRPr="00181FCD">
        <w:t xml:space="preserve"> </w:t>
      </w:r>
      <w:r w:rsidRPr="00181FCD">
        <w:t>cárceles</w:t>
      </w:r>
      <w:r w:rsidR="00F373A3" w:rsidRPr="00181FCD">
        <w:t xml:space="preserve"> </w:t>
      </w:r>
      <w:r w:rsidRPr="00181FCD">
        <w:t>y</w:t>
      </w:r>
      <w:r w:rsidR="00F373A3" w:rsidRPr="00181FCD">
        <w:t xml:space="preserve"> </w:t>
      </w:r>
      <w:r w:rsidRPr="00181FCD">
        <w:t>los</w:t>
      </w:r>
      <w:r w:rsidR="00F373A3" w:rsidRPr="00181FCD">
        <w:t xml:space="preserve"> </w:t>
      </w:r>
      <w:r w:rsidRPr="00181FCD">
        <w:t>lugares</w:t>
      </w:r>
      <w:r w:rsidR="00F373A3" w:rsidRPr="00181FCD">
        <w:t xml:space="preserve"> </w:t>
      </w:r>
      <w:r w:rsidRPr="00181FCD">
        <w:t>de</w:t>
      </w:r>
      <w:r w:rsidR="00F373A3" w:rsidRPr="00181FCD">
        <w:t xml:space="preserve"> </w:t>
      </w:r>
      <w:r w:rsidRPr="00181FCD">
        <w:t>detención.</w:t>
      </w:r>
      <w:r w:rsidR="00F373A3" w:rsidRPr="00181FCD">
        <w:t xml:space="preserve"> </w:t>
      </w:r>
    </w:p>
    <w:p w:rsidR="001937F4" w:rsidRPr="00181FCD" w:rsidRDefault="001937F4" w:rsidP="00347B20">
      <w:pPr>
        <w:pStyle w:val="SingleTxtG"/>
        <w:suppressAutoHyphens/>
      </w:pPr>
      <w:r w:rsidRPr="00181FCD">
        <w:t>161.</w:t>
      </w:r>
      <w:r w:rsidRPr="00181FCD">
        <w:tab/>
        <w:t>La</w:t>
      </w:r>
      <w:r w:rsidR="00F373A3" w:rsidRPr="00181FCD">
        <w:t xml:space="preserve"> </w:t>
      </w:r>
      <w:r w:rsidRPr="00181FCD">
        <w:t>Dirección</w:t>
      </w:r>
      <w:r w:rsidR="00F373A3" w:rsidRPr="00181FCD">
        <w:t xml:space="preserve"> </w:t>
      </w:r>
      <w:r w:rsidRPr="00181FCD">
        <w:t>General</w:t>
      </w:r>
      <w:r w:rsidR="00672EC2" w:rsidRPr="00181FCD">
        <w:t xml:space="preserve"> de </w:t>
      </w:r>
      <w:r w:rsidRPr="00181FCD">
        <w:t>Ejecución</w:t>
      </w:r>
      <w:r w:rsidR="00F373A3" w:rsidRPr="00181FCD">
        <w:t xml:space="preserve"> </w:t>
      </w:r>
      <w:r w:rsidRPr="00181FCD">
        <w:t>de</w:t>
      </w:r>
      <w:r w:rsidR="00F373A3" w:rsidRPr="00181FCD">
        <w:t xml:space="preserve"> </w:t>
      </w:r>
      <w:r w:rsidRPr="00181FCD">
        <w:t>Pena</w:t>
      </w:r>
      <w:r w:rsidRPr="00181FCD">
        <w:rPr>
          <w:rtl/>
        </w:rPr>
        <w:t>s</w:t>
      </w:r>
      <w:r w:rsidR="00F373A3" w:rsidRPr="00181FCD">
        <w:t xml:space="preserve"> </w:t>
      </w:r>
      <w:r w:rsidRPr="00181FCD">
        <w:t>es</w:t>
      </w:r>
      <w:r w:rsidR="00F373A3" w:rsidRPr="00181FCD">
        <w:t xml:space="preserve"> </w:t>
      </w:r>
      <w:r w:rsidRPr="00181FCD">
        <w:t>la</w:t>
      </w:r>
      <w:r w:rsidR="00F373A3" w:rsidRPr="00181FCD">
        <w:t xml:space="preserve"> </w:t>
      </w:r>
      <w:r w:rsidRPr="00181FCD">
        <w:t>beneficiaria</w:t>
      </w:r>
      <w:r w:rsidR="00F373A3" w:rsidRPr="00181FCD">
        <w:t xml:space="preserve"> </w:t>
      </w:r>
      <w:r w:rsidRPr="00181FCD">
        <w:t>de</w:t>
      </w:r>
      <w:r w:rsidR="00F373A3" w:rsidRPr="00181FCD">
        <w:t xml:space="preserve"> </w:t>
      </w:r>
      <w:r w:rsidRPr="00181FCD">
        <w:t>las</w:t>
      </w:r>
      <w:r w:rsidR="00F373A3" w:rsidRPr="00181FCD">
        <w:t xml:space="preserve"> </w:t>
      </w:r>
      <w:r w:rsidRPr="00181FCD">
        <w:t>ayudas</w:t>
      </w:r>
      <w:r w:rsidR="00F373A3" w:rsidRPr="00181FCD">
        <w:t xml:space="preserve"> </w:t>
      </w:r>
      <w:r w:rsidRPr="00181FCD">
        <w:t>en</w:t>
      </w:r>
      <w:r w:rsidR="00F373A3" w:rsidRPr="00181FCD">
        <w:t xml:space="preserve"> </w:t>
      </w:r>
      <w:r w:rsidRPr="00181FCD">
        <w:t>virtud</w:t>
      </w:r>
      <w:r w:rsidR="00F373A3" w:rsidRPr="00181FCD">
        <w:t xml:space="preserve"> </w:t>
      </w:r>
      <w:r w:rsidRPr="00181FCD">
        <w:t>del</w:t>
      </w:r>
      <w:r w:rsidR="00F373A3" w:rsidRPr="00181FCD">
        <w:t xml:space="preserve"> </w:t>
      </w:r>
      <w:r w:rsidRPr="00181FCD">
        <w:t>área</w:t>
      </w:r>
      <w:r w:rsidR="00F373A3" w:rsidRPr="00181FCD">
        <w:t xml:space="preserve"> </w:t>
      </w:r>
      <w:r w:rsidRPr="00181FCD">
        <w:t>BG</w:t>
      </w:r>
      <w:r w:rsidR="00F373A3" w:rsidRPr="00181FCD">
        <w:t xml:space="preserve"> </w:t>
      </w:r>
      <w:r w:rsidRPr="00181FCD">
        <w:t>032</w:t>
      </w:r>
      <w:r w:rsidR="00F373A3" w:rsidRPr="00181FCD">
        <w:t xml:space="preserve"> </w:t>
      </w:r>
      <w:r w:rsidRPr="00181FCD">
        <w:t>del</w:t>
      </w:r>
      <w:r w:rsidR="00F373A3" w:rsidRPr="00181FCD">
        <w:t xml:space="preserve"> </w:t>
      </w:r>
      <w:r w:rsidRPr="00181FCD">
        <w:t>Mecanismo</w:t>
      </w:r>
      <w:r w:rsidR="00F373A3" w:rsidRPr="00181FCD">
        <w:t xml:space="preserve"> </w:t>
      </w:r>
      <w:r w:rsidRPr="00181FCD">
        <w:t>Financiero</w:t>
      </w:r>
      <w:r w:rsidR="00F373A3" w:rsidRPr="00181FCD">
        <w:t xml:space="preserve"> </w:t>
      </w:r>
      <w:r w:rsidRPr="00181FCD">
        <w:t>Noruego</w:t>
      </w:r>
      <w:r w:rsidR="00F373A3" w:rsidRPr="00181FCD">
        <w:t xml:space="preserve"> </w:t>
      </w:r>
      <w:r w:rsidRPr="00181FCD">
        <w:t>2009-2014.</w:t>
      </w:r>
      <w:r w:rsidR="00F373A3" w:rsidRPr="00181FCD">
        <w:t xml:space="preserve"> </w:t>
      </w:r>
      <w:r w:rsidRPr="00181FCD">
        <w:t>En</w:t>
      </w:r>
      <w:r w:rsidR="00F373A3" w:rsidRPr="00181FCD">
        <w:t xml:space="preserve"> </w:t>
      </w:r>
      <w:r w:rsidRPr="00181FCD">
        <w:t>el</w:t>
      </w:r>
      <w:r w:rsidR="00F373A3" w:rsidRPr="00181FCD">
        <w:t xml:space="preserve"> </w:t>
      </w:r>
      <w:r w:rsidRPr="00181FCD">
        <w:t>marco</w:t>
      </w:r>
      <w:r w:rsidR="00F373A3" w:rsidRPr="00181FCD">
        <w:t xml:space="preserve"> </w:t>
      </w:r>
      <w:r w:rsidRPr="00181FCD">
        <w:t>de</w:t>
      </w:r>
      <w:r w:rsidR="00F373A3" w:rsidRPr="00181FCD">
        <w:t xml:space="preserve"> </w:t>
      </w:r>
      <w:r w:rsidRPr="00181FCD">
        <w:t>esta</w:t>
      </w:r>
      <w:r w:rsidR="00F373A3" w:rsidRPr="00181FCD">
        <w:t xml:space="preserve"> </w:t>
      </w:r>
      <w:r w:rsidRPr="00181FCD">
        <w:t>ayuda</w:t>
      </w:r>
      <w:r w:rsidR="00F373A3" w:rsidRPr="00181FCD">
        <w:t xml:space="preserve"> </w:t>
      </w:r>
      <w:r w:rsidRPr="00181FCD">
        <w:t>financiera</w:t>
      </w:r>
      <w:r w:rsidR="00F373A3" w:rsidRPr="00181FCD">
        <w:t xml:space="preserve"> </w:t>
      </w:r>
      <w:r w:rsidRPr="00181FCD">
        <w:t>se</w:t>
      </w:r>
      <w:r w:rsidR="00F373A3" w:rsidRPr="00181FCD">
        <w:t xml:space="preserve"> </w:t>
      </w:r>
      <w:r w:rsidRPr="00181FCD">
        <w:t>ejecuta</w:t>
      </w:r>
      <w:r w:rsidR="00F373A3" w:rsidRPr="00181FCD">
        <w:t xml:space="preserve"> </w:t>
      </w:r>
      <w:r w:rsidRPr="00181FCD">
        <w:t>el</w:t>
      </w:r>
      <w:r w:rsidR="00F373A3" w:rsidRPr="00181FCD">
        <w:t xml:space="preserve"> </w:t>
      </w:r>
      <w:r w:rsidRPr="00181FCD">
        <w:t>proyecto</w:t>
      </w:r>
      <w:r w:rsidR="00F373A3" w:rsidRPr="00181FCD">
        <w:t xml:space="preserve"> </w:t>
      </w:r>
      <w:r w:rsidRPr="00181FCD">
        <w:t>BG-15-1,</w:t>
      </w:r>
      <w:r w:rsidR="00F373A3" w:rsidRPr="00181FCD">
        <w:t xml:space="preserve"> </w:t>
      </w:r>
      <w:r w:rsidRPr="00181FCD">
        <w:t>titulado</w:t>
      </w:r>
      <w:r w:rsidR="00F373A3" w:rsidRPr="00181FCD">
        <w:t xml:space="preserve"> "</w:t>
      </w:r>
      <w:r w:rsidRPr="00181FCD">
        <w:t>Mejora</w:t>
      </w:r>
      <w:r w:rsidR="00F373A3" w:rsidRPr="00181FCD">
        <w:t xml:space="preserve"> </w:t>
      </w:r>
      <w:r w:rsidRPr="00181FCD">
        <w:t>de</w:t>
      </w:r>
      <w:r w:rsidR="00F373A3" w:rsidRPr="00181FCD">
        <w:t xml:space="preserve"> </w:t>
      </w:r>
      <w:r w:rsidRPr="00181FCD">
        <w:t>las</w:t>
      </w:r>
      <w:r w:rsidR="00F373A3" w:rsidRPr="00181FCD">
        <w:t xml:space="preserve"> </w:t>
      </w:r>
      <w:r w:rsidRPr="00181FCD">
        <w:t>condiciones</w:t>
      </w:r>
      <w:r w:rsidR="00F373A3" w:rsidRPr="00181FCD">
        <w:t xml:space="preserve"> </w:t>
      </w:r>
      <w:r w:rsidRPr="00181FCD">
        <w:t>en</w:t>
      </w:r>
      <w:r w:rsidR="00F373A3" w:rsidRPr="00181FCD">
        <w:t xml:space="preserve"> </w:t>
      </w:r>
      <w:r w:rsidRPr="00181FCD">
        <w:t>las</w:t>
      </w:r>
      <w:r w:rsidR="00F373A3" w:rsidRPr="00181FCD">
        <w:t xml:space="preserve"> </w:t>
      </w:r>
      <w:r w:rsidRPr="00181FCD">
        <w:t>cárceles</w:t>
      </w:r>
      <w:r w:rsidR="00F373A3" w:rsidRPr="00181FCD">
        <w:t xml:space="preserve"> </w:t>
      </w:r>
      <w:r w:rsidRPr="00181FCD">
        <w:t>y</w:t>
      </w:r>
      <w:r w:rsidR="00F373A3" w:rsidRPr="00181FCD">
        <w:t xml:space="preserve"> </w:t>
      </w:r>
      <w:r w:rsidRPr="00181FCD">
        <w:t>centros</w:t>
      </w:r>
      <w:r w:rsidR="00F373A3" w:rsidRPr="00181FCD">
        <w:t xml:space="preserve"> </w:t>
      </w:r>
      <w:r w:rsidRPr="00181FCD">
        <w:t>de</w:t>
      </w:r>
      <w:r w:rsidR="00F373A3" w:rsidRPr="00181FCD">
        <w:t xml:space="preserve"> </w:t>
      </w:r>
      <w:r w:rsidRPr="00181FCD">
        <w:t>detención</w:t>
      </w:r>
      <w:r w:rsidR="00F373A3" w:rsidRPr="00181FCD">
        <w:t xml:space="preserve"> </w:t>
      </w:r>
      <w:r w:rsidRPr="00181FCD">
        <w:t>para</w:t>
      </w:r>
      <w:r w:rsidR="00F373A3" w:rsidRPr="00181FCD">
        <w:t xml:space="preserve"> </w:t>
      </w:r>
      <w:r w:rsidRPr="00181FCD">
        <w:t>investigación,</w:t>
      </w:r>
      <w:r w:rsidR="00F373A3" w:rsidRPr="00181FCD">
        <w:t xml:space="preserve"> </w:t>
      </w:r>
      <w:r w:rsidRPr="00181FCD">
        <w:t>mediante</w:t>
      </w:r>
      <w:r w:rsidR="00F373A3" w:rsidRPr="00181FCD">
        <w:t xml:space="preserve"> </w:t>
      </w:r>
      <w:r w:rsidRPr="00181FCD">
        <w:t>el</w:t>
      </w:r>
      <w:r w:rsidR="00F373A3" w:rsidRPr="00181FCD">
        <w:t xml:space="preserve"> </w:t>
      </w:r>
      <w:r w:rsidRPr="00181FCD">
        <w:t>reacondicionamiento</w:t>
      </w:r>
      <w:r w:rsidR="00F373A3" w:rsidRPr="00181FCD">
        <w:t xml:space="preserve"> </w:t>
      </w:r>
      <w:r w:rsidRPr="00181FCD">
        <w:t>de</w:t>
      </w:r>
      <w:r w:rsidR="00F373A3" w:rsidRPr="00181FCD">
        <w:t xml:space="preserve"> </w:t>
      </w:r>
      <w:r w:rsidRPr="00181FCD">
        <w:t>las</w:t>
      </w:r>
      <w:r w:rsidR="00F373A3" w:rsidRPr="00181FCD">
        <w:t xml:space="preserve"> </w:t>
      </w:r>
      <w:r w:rsidRPr="00181FCD">
        <w:t>infraestructuras</w:t>
      </w:r>
      <w:r w:rsidR="00F373A3" w:rsidRPr="00181FCD">
        <w:t xml:space="preserve"> </w:t>
      </w:r>
      <w:r w:rsidRPr="00181FCD">
        <w:t>para</w:t>
      </w:r>
      <w:r w:rsidR="00F373A3" w:rsidRPr="00181FCD">
        <w:t xml:space="preserve"> </w:t>
      </w:r>
      <w:r w:rsidRPr="00181FCD">
        <w:t>garantizar</w:t>
      </w:r>
      <w:r w:rsidR="00F373A3" w:rsidRPr="00181FCD">
        <w:t xml:space="preserve"> </w:t>
      </w:r>
      <w:r w:rsidRPr="00181FCD">
        <w:t>el</w:t>
      </w:r>
      <w:r w:rsidR="00F373A3" w:rsidRPr="00181FCD">
        <w:t xml:space="preserve"> </w:t>
      </w:r>
      <w:r w:rsidRPr="00181FCD">
        <w:t>respeto</w:t>
      </w:r>
      <w:r w:rsidR="00F373A3" w:rsidRPr="00181FCD">
        <w:t xml:space="preserve"> </w:t>
      </w:r>
      <w:r w:rsidRPr="00181FCD">
        <w:t>de</w:t>
      </w:r>
      <w:r w:rsidR="00F373A3" w:rsidRPr="00181FCD">
        <w:t xml:space="preserve"> </w:t>
      </w:r>
      <w:r w:rsidRPr="00181FCD">
        <w:t>los</w:t>
      </w:r>
      <w:r w:rsidR="00F373A3" w:rsidRPr="00181FCD">
        <w:t xml:space="preserve"> </w:t>
      </w:r>
      <w:r w:rsidRPr="00181FCD">
        <w:t>derechos</w:t>
      </w:r>
      <w:r w:rsidR="00F373A3" w:rsidRPr="00181FCD">
        <w:t xml:space="preserve"> </w:t>
      </w:r>
      <w:r w:rsidRPr="00181FCD">
        <w:t>humanos</w:t>
      </w:r>
      <w:r w:rsidR="00F373A3" w:rsidRPr="00181FCD">
        <w:t>"</w:t>
      </w:r>
      <w:r w:rsidRPr="00181FCD">
        <w:t>.</w:t>
      </w:r>
      <w:r w:rsidR="00F373A3" w:rsidRPr="00181FCD">
        <w:t xml:space="preserve"> </w:t>
      </w:r>
      <w:r w:rsidRPr="00181FCD">
        <w:t>El</w:t>
      </w:r>
      <w:r w:rsidR="00F373A3" w:rsidRPr="00181FCD">
        <w:t xml:space="preserve"> </w:t>
      </w:r>
      <w:r w:rsidRPr="00181FCD">
        <w:t>presupuesto</w:t>
      </w:r>
      <w:r w:rsidR="00F373A3" w:rsidRPr="00181FCD">
        <w:t xml:space="preserve"> </w:t>
      </w:r>
      <w:r w:rsidRPr="00181FCD">
        <w:t>total</w:t>
      </w:r>
      <w:r w:rsidR="00F373A3" w:rsidRPr="00181FCD">
        <w:t xml:space="preserve"> </w:t>
      </w:r>
      <w:r w:rsidRPr="00181FCD">
        <w:t>del</w:t>
      </w:r>
      <w:r w:rsidR="00F373A3" w:rsidRPr="00181FCD">
        <w:t xml:space="preserve"> </w:t>
      </w:r>
      <w:r w:rsidRPr="00181FCD">
        <w:t>proyecto</w:t>
      </w:r>
      <w:r w:rsidR="00F373A3" w:rsidRPr="00181FCD">
        <w:t xml:space="preserve"> </w:t>
      </w:r>
      <w:r w:rsidRPr="00181FCD">
        <w:t>es</w:t>
      </w:r>
      <w:r w:rsidR="00F373A3" w:rsidRPr="00181FCD">
        <w:t xml:space="preserve"> </w:t>
      </w:r>
      <w:r w:rsidRPr="00181FCD">
        <w:t>de</w:t>
      </w:r>
      <w:r w:rsidR="00F373A3" w:rsidRPr="00181FCD">
        <w:t xml:space="preserve"> </w:t>
      </w:r>
      <w:r w:rsidRPr="00181FCD">
        <w:t>7.058.056</w:t>
      </w:r>
      <w:r w:rsidR="00F373A3" w:rsidRPr="00181FCD">
        <w:t xml:space="preserve"> </w:t>
      </w:r>
      <w:r w:rsidRPr="00181FCD">
        <w:t>euros.</w:t>
      </w:r>
      <w:r w:rsidR="00F373A3" w:rsidRPr="00181FCD">
        <w:t xml:space="preserve"> </w:t>
      </w:r>
      <w:r w:rsidRPr="00181FCD">
        <w:t>Entre</w:t>
      </w:r>
      <w:r w:rsidR="00F373A3" w:rsidRPr="00181FCD">
        <w:t xml:space="preserve"> </w:t>
      </w:r>
      <w:r w:rsidRPr="00181FCD">
        <w:t>las</w:t>
      </w:r>
      <w:r w:rsidR="00F373A3" w:rsidRPr="00181FCD">
        <w:t xml:space="preserve"> </w:t>
      </w:r>
      <w:r w:rsidRPr="00181FCD">
        <w:t>actividades</w:t>
      </w:r>
      <w:r w:rsidR="00F373A3" w:rsidRPr="00181FCD">
        <w:t xml:space="preserve"> </w:t>
      </w:r>
      <w:r w:rsidRPr="00181FCD">
        <w:t>figuran</w:t>
      </w:r>
      <w:r w:rsidR="00F373A3" w:rsidRPr="00181FCD">
        <w:t xml:space="preserve"> </w:t>
      </w:r>
      <w:r w:rsidRPr="00181FCD">
        <w:t>obras</w:t>
      </w:r>
      <w:r w:rsidR="00F373A3" w:rsidRPr="00181FCD">
        <w:t xml:space="preserve"> </w:t>
      </w:r>
      <w:r w:rsidRPr="00181FCD">
        <w:t>de</w:t>
      </w:r>
      <w:r w:rsidR="00F373A3" w:rsidRPr="00181FCD">
        <w:t xml:space="preserve"> </w:t>
      </w:r>
      <w:r w:rsidRPr="00181FCD">
        <w:t>reconstrucción,</w:t>
      </w:r>
      <w:r w:rsidR="00F373A3" w:rsidRPr="00181FCD">
        <w:t xml:space="preserve"> </w:t>
      </w:r>
      <w:r w:rsidRPr="00181FCD">
        <w:t>construcción</w:t>
      </w:r>
      <w:r w:rsidR="00F373A3" w:rsidRPr="00181FCD">
        <w:t xml:space="preserve"> </w:t>
      </w:r>
      <w:r w:rsidRPr="00181FCD">
        <w:t>y</w:t>
      </w:r>
      <w:r w:rsidR="00F373A3" w:rsidRPr="00181FCD">
        <w:t xml:space="preserve"> </w:t>
      </w:r>
      <w:r w:rsidRPr="00181FCD">
        <w:t>montaje,</w:t>
      </w:r>
      <w:r w:rsidR="00F373A3" w:rsidRPr="00181FCD">
        <w:t xml:space="preserve"> </w:t>
      </w:r>
      <w:r w:rsidRPr="00181FCD">
        <w:t>así</w:t>
      </w:r>
      <w:r w:rsidR="00F373A3" w:rsidRPr="00181FCD">
        <w:t xml:space="preserve"> </w:t>
      </w:r>
      <w:r w:rsidRPr="00181FCD">
        <w:t>como</w:t>
      </w:r>
      <w:r w:rsidR="00F373A3" w:rsidRPr="00181FCD">
        <w:t xml:space="preserve"> </w:t>
      </w:r>
      <w:r w:rsidRPr="00181FCD">
        <w:t>entrega</w:t>
      </w:r>
      <w:r w:rsidR="00F373A3" w:rsidRPr="00181FCD">
        <w:t xml:space="preserve"> </w:t>
      </w:r>
      <w:r w:rsidRPr="00181FCD">
        <w:t>e</w:t>
      </w:r>
      <w:r w:rsidR="00F373A3" w:rsidRPr="00181FCD">
        <w:t xml:space="preserve"> </w:t>
      </w:r>
      <w:r w:rsidRPr="00181FCD">
        <w:t>instalación</w:t>
      </w:r>
      <w:r w:rsidR="00F373A3" w:rsidRPr="00181FCD">
        <w:t xml:space="preserve"> </w:t>
      </w:r>
      <w:r w:rsidRPr="00181FCD">
        <w:t>de</w:t>
      </w:r>
      <w:r w:rsidR="00F373A3" w:rsidRPr="00181FCD">
        <w:t xml:space="preserve"> </w:t>
      </w:r>
      <w:r w:rsidRPr="00181FCD">
        <w:t>equipos,</w:t>
      </w:r>
      <w:r w:rsidR="00F373A3" w:rsidRPr="00181FCD">
        <w:t xml:space="preserve"> </w:t>
      </w:r>
      <w:r w:rsidRPr="00181FCD">
        <w:t>en</w:t>
      </w:r>
      <w:r w:rsidR="00F373A3" w:rsidRPr="00181FCD">
        <w:t xml:space="preserve"> </w:t>
      </w:r>
      <w:r w:rsidRPr="00181FCD">
        <w:t>diez</w:t>
      </w:r>
      <w:r w:rsidR="00F373A3" w:rsidRPr="00181FCD">
        <w:t xml:space="preserve"> </w:t>
      </w:r>
      <w:r w:rsidRPr="00181FCD">
        <w:t>emplazamientos</w:t>
      </w:r>
      <w:r w:rsidR="00F373A3" w:rsidRPr="00181FCD">
        <w:t xml:space="preserve"> </w:t>
      </w:r>
      <w:r w:rsidRPr="00181FCD">
        <w:t>distintos</w:t>
      </w:r>
      <w:r w:rsidR="00F373A3" w:rsidRPr="00181FCD">
        <w:t xml:space="preserve"> </w:t>
      </w:r>
      <w:r w:rsidRPr="00181FCD">
        <w:t>del</w:t>
      </w:r>
      <w:r w:rsidR="00F373A3" w:rsidRPr="00181FCD">
        <w:t xml:space="preserve"> </w:t>
      </w:r>
      <w:r w:rsidRPr="00181FCD">
        <w:t>sistema</w:t>
      </w:r>
      <w:r w:rsidR="00F373A3" w:rsidRPr="00181FCD">
        <w:t xml:space="preserve"> </w:t>
      </w:r>
      <w:r w:rsidRPr="00181FCD">
        <w:t>penitenciario.</w:t>
      </w:r>
    </w:p>
    <w:p w:rsidR="001937F4" w:rsidRPr="00181FCD" w:rsidRDefault="00BE74A7" w:rsidP="00BE74A7">
      <w:pPr>
        <w:pStyle w:val="H23G"/>
        <w:jc w:val="both"/>
      </w:pPr>
      <w:r w:rsidRPr="00181FCD">
        <w:tab/>
      </w:r>
      <w:r w:rsidR="001937F4" w:rsidRPr="00181FCD">
        <w:t>b)</w:t>
      </w:r>
      <w:r w:rsidR="001937F4" w:rsidRPr="00181FCD">
        <w:tab/>
        <w:t>Con</w:t>
      </w:r>
      <w:r w:rsidR="00F373A3" w:rsidRPr="00181FCD">
        <w:t xml:space="preserve"> </w:t>
      </w:r>
      <w:r w:rsidR="001937F4" w:rsidRPr="00181FCD">
        <w:t>el</w:t>
      </w:r>
      <w:r w:rsidR="00F373A3" w:rsidRPr="00181FCD">
        <w:t xml:space="preserve"> </w:t>
      </w:r>
      <w:r w:rsidR="001937F4" w:rsidRPr="00181FCD">
        <w:t>fin</w:t>
      </w:r>
      <w:r w:rsidR="00F373A3" w:rsidRPr="00181FCD">
        <w:t xml:space="preserve"> </w:t>
      </w:r>
      <w:r w:rsidR="001937F4" w:rsidRPr="00181FCD">
        <w:t>de</w:t>
      </w:r>
      <w:r w:rsidR="00F373A3" w:rsidRPr="00181FCD">
        <w:t xml:space="preserve"> </w:t>
      </w:r>
      <w:r w:rsidR="001937F4" w:rsidRPr="00181FCD">
        <w:t>reducir</w:t>
      </w:r>
      <w:r w:rsidR="00F373A3" w:rsidRPr="00181FCD">
        <w:t xml:space="preserve"> </w:t>
      </w:r>
      <w:r w:rsidR="001937F4" w:rsidRPr="00181FCD">
        <w:t>el</w:t>
      </w:r>
      <w:r w:rsidR="00F373A3" w:rsidRPr="00181FCD">
        <w:t xml:space="preserve"> </w:t>
      </w:r>
      <w:r w:rsidR="001937F4" w:rsidRPr="00181FCD">
        <w:t>hacinamiento</w:t>
      </w:r>
      <w:r w:rsidR="00F373A3" w:rsidRPr="00181FCD">
        <w:t xml:space="preserve"> </w:t>
      </w:r>
      <w:r w:rsidR="001937F4" w:rsidRPr="00181FCD">
        <w:t>en</w:t>
      </w:r>
      <w:r w:rsidR="00F373A3" w:rsidRPr="00181FCD">
        <w:t xml:space="preserve"> </w:t>
      </w:r>
      <w:r w:rsidR="001937F4" w:rsidRPr="00181FCD">
        <w:t>las</w:t>
      </w:r>
      <w:r w:rsidR="00F373A3" w:rsidRPr="00181FCD">
        <w:t xml:space="preserve"> </w:t>
      </w:r>
      <w:r w:rsidR="001937F4" w:rsidRPr="00181FCD">
        <w:t>cárceles,</w:t>
      </w:r>
      <w:r w:rsidR="00F373A3" w:rsidRPr="00181FCD">
        <w:t xml:space="preserve"> </w:t>
      </w:r>
      <w:r w:rsidR="001937F4" w:rsidRPr="00181FCD">
        <w:t>la</w:t>
      </w:r>
      <w:r w:rsidR="00F373A3" w:rsidRPr="00181FCD">
        <w:t xml:space="preserve"> </w:t>
      </w:r>
      <w:r w:rsidR="001937F4" w:rsidRPr="00181FCD">
        <w:t>administración</w:t>
      </w:r>
      <w:r w:rsidR="00F373A3" w:rsidRPr="00181FCD">
        <w:t xml:space="preserve"> </w:t>
      </w:r>
      <w:r w:rsidR="001937F4" w:rsidRPr="00181FCD">
        <w:t>de</w:t>
      </w:r>
      <w:r w:rsidR="00F373A3" w:rsidRPr="00181FCD">
        <w:t xml:space="preserve"> </w:t>
      </w:r>
      <w:r w:rsidR="001937F4" w:rsidRPr="00181FCD">
        <w:t>la</w:t>
      </w:r>
      <w:r w:rsidR="00F373A3" w:rsidRPr="00181FCD">
        <w:t xml:space="preserve"> </w:t>
      </w:r>
      <w:r w:rsidR="001937F4" w:rsidRPr="00181FCD">
        <w:t>Dirección</w:t>
      </w:r>
      <w:r w:rsidR="00F373A3" w:rsidRPr="00181FCD">
        <w:t xml:space="preserve"> </w:t>
      </w:r>
      <w:r w:rsidR="001937F4" w:rsidRPr="00181FCD">
        <w:t>General</w:t>
      </w:r>
      <w:r w:rsidR="00F373A3" w:rsidRPr="00181FCD">
        <w:t xml:space="preserve"> </w:t>
      </w:r>
      <w:r w:rsidR="001937F4" w:rsidRPr="00181FCD">
        <w:t>tomó</w:t>
      </w:r>
      <w:r w:rsidR="00F373A3" w:rsidRPr="00181FCD">
        <w:t xml:space="preserve"> </w:t>
      </w:r>
      <w:r w:rsidR="001937F4" w:rsidRPr="00181FCD">
        <w:t>las</w:t>
      </w:r>
      <w:r w:rsidR="00F373A3" w:rsidRPr="00181FCD">
        <w:t xml:space="preserve"> </w:t>
      </w:r>
      <w:r w:rsidR="001937F4" w:rsidRPr="00181FCD">
        <w:t>siguientes</w:t>
      </w:r>
      <w:r w:rsidR="00F373A3" w:rsidRPr="00181FCD">
        <w:t xml:space="preserve"> </w:t>
      </w:r>
      <w:r w:rsidR="001937F4" w:rsidRPr="00181FCD">
        <w:t>medidas.</w:t>
      </w:r>
    </w:p>
    <w:p w:rsidR="001937F4" w:rsidRPr="00181FCD" w:rsidRDefault="001937F4" w:rsidP="00347B20">
      <w:pPr>
        <w:pStyle w:val="SingleTxtG"/>
        <w:suppressAutoHyphens/>
      </w:pPr>
      <w:r w:rsidRPr="00181FCD">
        <w:t>162.</w:t>
      </w:r>
      <w:r w:rsidRPr="00181FCD">
        <w:tab/>
        <w:t>Como</w:t>
      </w:r>
      <w:r w:rsidR="00F373A3" w:rsidRPr="00181FCD">
        <w:t xml:space="preserve"> </w:t>
      </w:r>
      <w:r w:rsidRPr="00181FCD">
        <w:t>resultado</w:t>
      </w:r>
      <w:r w:rsidR="00F373A3" w:rsidRPr="00181FCD">
        <w:t xml:space="preserve"> </w:t>
      </w:r>
      <w:r w:rsidRPr="00181FCD">
        <w:t>de</w:t>
      </w:r>
      <w:r w:rsidR="00F373A3" w:rsidRPr="00181FCD">
        <w:t xml:space="preserve"> </w:t>
      </w:r>
      <w:r w:rsidRPr="00181FCD">
        <w:t>los</w:t>
      </w:r>
      <w:r w:rsidR="00F373A3" w:rsidRPr="00181FCD">
        <w:t xml:space="preserve"> </w:t>
      </w:r>
      <w:r w:rsidRPr="00181FCD">
        <w:t>cambios</w:t>
      </w:r>
      <w:r w:rsidR="00F373A3" w:rsidRPr="00181FCD">
        <w:t xml:space="preserve"> </w:t>
      </w:r>
      <w:r w:rsidRPr="00181FCD">
        <w:t>legislativos,</w:t>
      </w:r>
      <w:r w:rsidR="00F373A3" w:rsidRPr="00181FCD">
        <w:t xml:space="preserve"> </w:t>
      </w:r>
      <w:r w:rsidRPr="00181FCD">
        <w:t>la</w:t>
      </w:r>
      <w:r w:rsidR="00F373A3" w:rsidRPr="00181FCD">
        <w:t xml:space="preserve"> </w:t>
      </w:r>
      <w:r w:rsidRPr="00181FCD">
        <w:t>distribución</w:t>
      </w:r>
      <w:r w:rsidR="00F373A3" w:rsidRPr="00181FCD">
        <w:t xml:space="preserve"> </w:t>
      </w:r>
      <w:r w:rsidRPr="00181FCD">
        <w:t>de</w:t>
      </w:r>
      <w:r w:rsidR="00F373A3" w:rsidRPr="00181FCD">
        <w:t xml:space="preserve"> </w:t>
      </w:r>
      <w:r w:rsidRPr="00181FCD">
        <w:t>los</w:t>
      </w:r>
      <w:r w:rsidR="00F373A3" w:rsidRPr="00181FCD">
        <w:t xml:space="preserve"> </w:t>
      </w:r>
      <w:r w:rsidRPr="00181FCD">
        <w:t>reclusos</w:t>
      </w:r>
      <w:r w:rsidR="00F373A3" w:rsidRPr="00181FCD">
        <w:t xml:space="preserve"> </w:t>
      </w:r>
      <w:r w:rsidRPr="00181FCD">
        <w:t>se</w:t>
      </w:r>
      <w:r w:rsidR="00F373A3" w:rsidRPr="00181FCD">
        <w:t xml:space="preserve"> </w:t>
      </w:r>
      <w:r w:rsidRPr="00181FCD">
        <w:t>realiza</w:t>
      </w:r>
      <w:r w:rsidR="00F373A3" w:rsidRPr="00181FCD">
        <w:t xml:space="preserve"> </w:t>
      </w:r>
      <w:r w:rsidRPr="00181FCD">
        <w:t>no</w:t>
      </w:r>
      <w:r w:rsidR="00F373A3" w:rsidRPr="00181FCD">
        <w:t xml:space="preserve"> </w:t>
      </w:r>
      <w:r w:rsidRPr="00181FCD">
        <w:t>solo</w:t>
      </w:r>
      <w:r w:rsidR="00F373A3" w:rsidRPr="00181FCD">
        <w:t xml:space="preserve"> </w:t>
      </w:r>
      <w:r w:rsidRPr="00181FCD">
        <w:t>en</w:t>
      </w:r>
      <w:r w:rsidR="00F373A3" w:rsidRPr="00181FCD">
        <w:t xml:space="preserve"> </w:t>
      </w:r>
      <w:r w:rsidRPr="00181FCD">
        <w:t>función</w:t>
      </w:r>
      <w:r w:rsidR="00F373A3" w:rsidRPr="00181FCD">
        <w:t xml:space="preserve"> </w:t>
      </w:r>
      <w:r w:rsidRPr="00181FCD">
        <w:t>de</w:t>
      </w:r>
      <w:r w:rsidR="00F373A3" w:rsidRPr="00181FCD">
        <w:t xml:space="preserve"> </w:t>
      </w:r>
      <w:r w:rsidRPr="00181FCD">
        <w:t>su</w:t>
      </w:r>
      <w:r w:rsidR="00F373A3" w:rsidRPr="00181FCD">
        <w:t xml:space="preserve"> </w:t>
      </w:r>
      <w:r w:rsidRPr="00181FCD">
        <w:t>dirección</w:t>
      </w:r>
      <w:r w:rsidR="00F373A3" w:rsidRPr="00181FCD">
        <w:t xml:space="preserve"> </w:t>
      </w:r>
      <w:r w:rsidRPr="00181FCD">
        <w:t>permanente,</w:t>
      </w:r>
      <w:r w:rsidR="00F373A3" w:rsidRPr="00181FCD">
        <w:t xml:space="preserve"> </w:t>
      </w:r>
      <w:r w:rsidRPr="00181FCD">
        <w:t>sino</w:t>
      </w:r>
      <w:r w:rsidR="00F373A3" w:rsidRPr="00181FCD">
        <w:t xml:space="preserve"> </w:t>
      </w:r>
      <w:r w:rsidRPr="00181FCD">
        <w:t>también</w:t>
      </w:r>
      <w:r w:rsidR="00F373A3" w:rsidRPr="00181FCD">
        <w:t xml:space="preserve"> </w:t>
      </w:r>
      <w:r w:rsidRPr="00181FCD">
        <w:t>de</w:t>
      </w:r>
      <w:r w:rsidR="00F373A3" w:rsidRPr="00181FCD">
        <w:t xml:space="preserve"> </w:t>
      </w:r>
      <w:r w:rsidRPr="00181FCD">
        <w:t>su</w:t>
      </w:r>
      <w:r w:rsidR="00F373A3" w:rsidRPr="00181FCD">
        <w:t xml:space="preserve"> </w:t>
      </w:r>
      <w:r w:rsidRPr="00181FCD">
        <w:t>dirección</w:t>
      </w:r>
      <w:r w:rsidR="00F373A3" w:rsidRPr="00181FCD">
        <w:t xml:space="preserve"> </w:t>
      </w:r>
      <w:r w:rsidRPr="00181FCD">
        <w:t>actual,</w:t>
      </w:r>
      <w:r w:rsidR="00F373A3" w:rsidRPr="00181FCD">
        <w:t xml:space="preserve"> </w:t>
      </w:r>
      <w:r w:rsidRPr="00181FCD">
        <w:t>según</w:t>
      </w:r>
      <w:r w:rsidR="00F373A3" w:rsidRPr="00181FCD">
        <w:t xml:space="preserve"> </w:t>
      </w:r>
      <w:r w:rsidRPr="00181FCD">
        <w:t>el</w:t>
      </w:r>
      <w:r w:rsidR="00F373A3" w:rsidRPr="00181FCD">
        <w:t xml:space="preserve"> </w:t>
      </w:r>
      <w:r w:rsidRPr="00181FCD">
        <w:t>régimen</w:t>
      </w:r>
      <w:r w:rsidR="00F373A3" w:rsidRPr="00181FCD">
        <w:t xml:space="preserve"> </w:t>
      </w:r>
      <w:r w:rsidRPr="00181FCD">
        <w:t>determinado</w:t>
      </w:r>
      <w:r w:rsidR="00F373A3" w:rsidRPr="00181FCD">
        <w:t xml:space="preserve"> </w:t>
      </w:r>
      <w:r w:rsidRPr="00181FCD">
        <w:t>por</w:t>
      </w:r>
      <w:r w:rsidR="00F373A3" w:rsidRPr="00181FCD">
        <w:t xml:space="preserve"> </w:t>
      </w:r>
      <w:r w:rsidRPr="00181FCD">
        <w:t>el</w:t>
      </w:r>
      <w:r w:rsidR="00F373A3" w:rsidRPr="00181FCD">
        <w:t xml:space="preserve"> </w:t>
      </w:r>
      <w:r w:rsidRPr="00181FCD">
        <w:t>tribunal.</w:t>
      </w:r>
      <w:r w:rsidR="00F373A3" w:rsidRPr="00181FCD">
        <w:t xml:space="preserve"> </w:t>
      </w:r>
      <w:r w:rsidRPr="00181FCD">
        <w:t>Se</w:t>
      </w:r>
      <w:r w:rsidR="00F373A3" w:rsidRPr="00181FCD">
        <w:t xml:space="preserve"> </w:t>
      </w:r>
      <w:r w:rsidRPr="00181FCD">
        <w:t>ha</w:t>
      </w:r>
      <w:r w:rsidR="00F373A3" w:rsidRPr="00181FCD">
        <w:t xml:space="preserve"> </w:t>
      </w:r>
      <w:r w:rsidRPr="00181FCD">
        <w:t>modificado</w:t>
      </w:r>
      <w:r w:rsidR="00F373A3" w:rsidRPr="00181FCD">
        <w:t xml:space="preserve"> </w:t>
      </w:r>
      <w:r w:rsidRPr="00181FCD">
        <w:t>la</w:t>
      </w:r>
      <w:r w:rsidR="00F373A3" w:rsidRPr="00181FCD">
        <w:t xml:space="preserve"> </w:t>
      </w:r>
      <w:r w:rsidRPr="00181FCD">
        <w:t>Orden</w:t>
      </w:r>
      <w:r w:rsidR="00F373A3" w:rsidRPr="00181FCD">
        <w:t xml:space="preserve"> </w:t>
      </w:r>
      <w:r w:rsidRPr="00181FCD">
        <w:t>sobre</w:t>
      </w:r>
      <w:r w:rsidR="00F373A3" w:rsidRPr="00181FCD">
        <w:t xml:space="preserve"> </w:t>
      </w:r>
      <w:r w:rsidRPr="00181FCD">
        <w:t>la</w:t>
      </w:r>
      <w:r w:rsidR="00F373A3" w:rsidRPr="00181FCD">
        <w:t xml:space="preserve"> </w:t>
      </w:r>
      <w:r w:rsidRPr="00181FCD">
        <w:t>Distribución</w:t>
      </w:r>
      <w:r w:rsidR="00F373A3" w:rsidRPr="00181FCD">
        <w:t xml:space="preserve"> </w:t>
      </w:r>
      <w:r w:rsidRPr="00181FCD">
        <w:t>de</w:t>
      </w:r>
      <w:r w:rsidR="00F373A3" w:rsidRPr="00181FCD">
        <w:t xml:space="preserve"> </w:t>
      </w:r>
      <w:r w:rsidRPr="00181FCD">
        <w:t>los</w:t>
      </w:r>
      <w:r w:rsidR="00F373A3" w:rsidRPr="00181FCD">
        <w:t xml:space="preserve"> </w:t>
      </w:r>
      <w:r w:rsidRPr="00181FCD">
        <w:t>Reclusos</w:t>
      </w:r>
      <w:r w:rsidR="00F373A3" w:rsidRPr="00181FCD">
        <w:t xml:space="preserve"> </w:t>
      </w:r>
      <w:r w:rsidRPr="00181FCD">
        <w:t>en</w:t>
      </w:r>
      <w:r w:rsidR="00F373A3" w:rsidRPr="00181FCD">
        <w:t xml:space="preserve"> </w:t>
      </w:r>
      <w:r w:rsidRPr="00181FCD">
        <w:t>Cárceles</w:t>
      </w:r>
      <w:r w:rsidR="00F373A3" w:rsidRPr="00181FCD">
        <w:t xml:space="preserve"> </w:t>
      </w:r>
      <w:r w:rsidRPr="00181FCD">
        <w:t>y</w:t>
      </w:r>
      <w:r w:rsidR="00F373A3" w:rsidRPr="00181FCD">
        <w:t xml:space="preserve"> </w:t>
      </w:r>
      <w:r w:rsidRPr="00181FCD">
        <w:t>Prisiones</w:t>
      </w:r>
      <w:r w:rsidR="00F373A3" w:rsidRPr="00181FCD">
        <w:t xml:space="preserve"> </w:t>
      </w:r>
      <w:r w:rsidRPr="00181FCD">
        <w:t>Albergues.</w:t>
      </w:r>
      <w:r w:rsidR="00F373A3" w:rsidRPr="00181FCD">
        <w:t xml:space="preserve"> </w:t>
      </w:r>
      <w:r w:rsidRPr="00181FCD">
        <w:t>Se</w:t>
      </w:r>
      <w:r w:rsidR="00F373A3" w:rsidRPr="00181FCD">
        <w:t xml:space="preserve"> </w:t>
      </w:r>
      <w:r w:rsidRPr="00181FCD">
        <w:t>utilizan</w:t>
      </w:r>
      <w:r w:rsidR="00F373A3" w:rsidRPr="00181FCD">
        <w:t xml:space="preserve"> </w:t>
      </w:r>
      <w:r w:rsidRPr="00181FCD">
        <w:t>activamente</w:t>
      </w:r>
      <w:r w:rsidR="00F373A3" w:rsidRPr="00181FCD">
        <w:t xml:space="preserve"> </w:t>
      </w:r>
      <w:r w:rsidRPr="00181FCD">
        <w:t>los</w:t>
      </w:r>
      <w:r w:rsidR="00F373A3" w:rsidRPr="00181FCD">
        <w:t xml:space="preserve"> </w:t>
      </w:r>
      <w:r w:rsidRPr="00181FCD">
        <w:t>mecanismos</w:t>
      </w:r>
      <w:r w:rsidR="00F373A3" w:rsidRPr="00181FCD">
        <w:t xml:space="preserve"> </w:t>
      </w:r>
      <w:r w:rsidRPr="00181FCD">
        <w:t>jurídicos</w:t>
      </w:r>
      <w:r w:rsidR="00F373A3" w:rsidRPr="00181FCD">
        <w:t xml:space="preserve"> </w:t>
      </w:r>
      <w:r w:rsidRPr="00181FCD">
        <w:t>en</w:t>
      </w:r>
      <w:r w:rsidR="00F373A3" w:rsidRPr="00181FCD">
        <w:t xml:space="preserve"> </w:t>
      </w:r>
      <w:r w:rsidRPr="00181FCD">
        <w:t>vigor</w:t>
      </w:r>
      <w:r w:rsidR="00F373A3" w:rsidRPr="00181FCD">
        <w:t xml:space="preserve"> </w:t>
      </w:r>
      <w:r w:rsidRPr="00181FCD">
        <w:t>para</w:t>
      </w:r>
      <w:r w:rsidR="00F373A3" w:rsidRPr="00181FCD">
        <w:t xml:space="preserve"> </w:t>
      </w:r>
      <w:r w:rsidRPr="00181FCD">
        <w:t>cambiar</w:t>
      </w:r>
      <w:r w:rsidR="00F373A3" w:rsidRPr="00181FCD">
        <w:t xml:space="preserve"> </w:t>
      </w:r>
      <w:r w:rsidRPr="00181FCD">
        <w:t>la</w:t>
      </w:r>
      <w:r w:rsidR="00F373A3" w:rsidRPr="00181FCD">
        <w:t xml:space="preserve"> </w:t>
      </w:r>
      <w:r w:rsidRPr="00181FCD">
        <w:t>situación</w:t>
      </w:r>
      <w:r w:rsidR="00F373A3" w:rsidRPr="00181FCD">
        <w:t xml:space="preserve"> </w:t>
      </w:r>
      <w:r w:rsidRPr="00181FCD">
        <w:t>jurídica</w:t>
      </w:r>
      <w:r w:rsidR="00F373A3" w:rsidRPr="00181FCD">
        <w:t xml:space="preserve"> </w:t>
      </w:r>
      <w:r w:rsidRPr="00181FCD">
        <w:t>de</w:t>
      </w:r>
      <w:r w:rsidR="00F373A3" w:rsidRPr="00181FCD">
        <w:t xml:space="preserve"> </w:t>
      </w:r>
      <w:r w:rsidRPr="00181FCD">
        <w:t>los</w:t>
      </w:r>
      <w:r w:rsidR="00F373A3" w:rsidRPr="00181FCD">
        <w:t xml:space="preserve"> </w:t>
      </w:r>
      <w:r w:rsidRPr="00181FCD">
        <w:t>individuos,</w:t>
      </w:r>
      <w:r w:rsidR="00F373A3" w:rsidRPr="00181FCD">
        <w:t xml:space="preserve"> </w:t>
      </w:r>
      <w:r w:rsidRPr="00181FCD">
        <w:t>mediante</w:t>
      </w:r>
      <w:r w:rsidR="00F373A3" w:rsidRPr="00181FCD">
        <w:t xml:space="preserve"> </w:t>
      </w:r>
      <w:r w:rsidRPr="00181FCD">
        <w:t>la</w:t>
      </w:r>
      <w:r w:rsidR="00F373A3" w:rsidRPr="00181FCD">
        <w:t xml:space="preserve"> </w:t>
      </w:r>
      <w:r w:rsidRPr="00181FCD">
        <w:t>aplicación</w:t>
      </w:r>
      <w:r w:rsidR="00F373A3" w:rsidRPr="00181FCD">
        <w:t xml:space="preserve"> </w:t>
      </w:r>
      <w:r w:rsidRPr="00181FCD">
        <w:t>de</w:t>
      </w:r>
      <w:r w:rsidR="00F373A3" w:rsidRPr="00181FCD">
        <w:t xml:space="preserve"> </w:t>
      </w:r>
      <w:r w:rsidRPr="00181FCD">
        <w:t>la</w:t>
      </w:r>
      <w:r w:rsidR="00F373A3" w:rsidRPr="00181FCD">
        <w:t xml:space="preserve"> </w:t>
      </w:r>
      <w:r w:rsidRPr="00181FCD">
        <w:t>disposición</w:t>
      </w:r>
      <w:r w:rsidR="00F373A3" w:rsidRPr="00181FCD">
        <w:t xml:space="preserve"> </w:t>
      </w:r>
      <w:r w:rsidRPr="00181FCD">
        <w:t>sobre</w:t>
      </w:r>
      <w:r w:rsidR="00F373A3" w:rsidRPr="00181FCD">
        <w:t xml:space="preserve"> </w:t>
      </w:r>
      <w:r w:rsidRPr="00181FCD">
        <w:t>libertad</w:t>
      </w:r>
      <w:r w:rsidR="00F373A3" w:rsidRPr="00181FCD">
        <w:t xml:space="preserve"> </w:t>
      </w:r>
      <w:r w:rsidRPr="00181FCD">
        <w:t>condicional</w:t>
      </w:r>
      <w:r w:rsidR="00F373A3" w:rsidRPr="00181FCD">
        <w:t xml:space="preserve"> </w:t>
      </w:r>
      <w:r w:rsidRPr="00181FCD">
        <w:t>y</w:t>
      </w:r>
      <w:r w:rsidR="00F373A3" w:rsidRPr="00181FCD">
        <w:t xml:space="preserve"> </w:t>
      </w:r>
      <w:r w:rsidRPr="00181FCD">
        <w:t>libertad</w:t>
      </w:r>
      <w:r w:rsidR="00F373A3" w:rsidRPr="00181FCD">
        <w:t xml:space="preserve"> </w:t>
      </w:r>
      <w:r w:rsidRPr="00181FCD">
        <w:t>condicional</w:t>
      </w:r>
      <w:r w:rsidR="00F373A3" w:rsidRPr="00181FCD">
        <w:t xml:space="preserve"> </w:t>
      </w:r>
      <w:r w:rsidRPr="00181FCD">
        <w:t>anticipada</w:t>
      </w:r>
      <w:r w:rsidR="00F373A3" w:rsidRPr="00181FCD">
        <w:t xml:space="preserve"> </w:t>
      </w:r>
      <w:r w:rsidRPr="00181FCD">
        <w:t>(en</w:t>
      </w:r>
      <w:r w:rsidR="006E0DF5" w:rsidRPr="00181FCD">
        <w:t> </w:t>
      </w:r>
      <w:r w:rsidRPr="00181FCD">
        <w:t>2013</w:t>
      </w:r>
      <w:r w:rsidR="00F373A3" w:rsidRPr="00181FCD">
        <w:t xml:space="preserve"> </w:t>
      </w:r>
      <w:r w:rsidRPr="00181FCD">
        <w:t>la</w:t>
      </w:r>
      <w:r w:rsidR="00F373A3" w:rsidRPr="00181FCD">
        <w:t xml:space="preserve"> </w:t>
      </w:r>
      <w:r w:rsidRPr="00181FCD">
        <w:t>disposición</w:t>
      </w:r>
      <w:r w:rsidR="00F373A3" w:rsidRPr="00181FCD">
        <w:t xml:space="preserve"> </w:t>
      </w:r>
      <w:r w:rsidRPr="00181FCD">
        <w:t>sobre</w:t>
      </w:r>
      <w:r w:rsidR="00F373A3" w:rsidRPr="00181FCD">
        <w:t xml:space="preserve"> </w:t>
      </w:r>
      <w:r w:rsidRPr="00181FCD">
        <w:t>libertad</w:t>
      </w:r>
      <w:r w:rsidR="00F373A3" w:rsidRPr="00181FCD">
        <w:t xml:space="preserve"> </w:t>
      </w:r>
      <w:r w:rsidRPr="00181FCD">
        <w:t>condicional</w:t>
      </w:r>
      <w:r w:rsidR="00F373A3" w:rsidRPr="00181FCD">
        <w:t xml:space="preserve"> </w:t>
      </w:r>
      <w:r w:rsidRPr="00181FCD">
        <w:t>anticipada</w:t>
      </w:r>
      <w:r w:rsidR="00F373A3" w:rsidRPr="00181FCD">
        <w:t xml:space="preserve"> </w:t>
      </w:r>
      <w:r w:rsidRPr="00181FCD">
        <w:t>se</w:t>
      </w:r>
      <w:r w:rsidR="00F373A3" w:rsidRPr="00181FCD">
        <w:t xml:space="preserve"> </w:t>
      </w:r>
      <w:r w:rsidRPr="00181FCD">
        <w:t>aplicó</w:t>
      </w:r>
      <w:r w:rsidR="00F373A3" w:rsidRPr="00181FCD">
        <w:t xml:space="preserve"> </w:t>
      </w:r>
      <w:r w:rsidRPr="00181FCD">
        <w:t>a</w:t>
      </w:r>
      <w:r w:rsidR="00F373A3" w:rsidRPr="00181FCD">
        <w:t xml:space="preserve"> </w:t>
      </w:r>
      <w:r w:rsidRPr="00181FCD">
        <w:t>853</w:t>
      </w:r>
      <w:r w:rsidR="00F373A3" w:rsidRPr="00181FCD">
        <w:t xml:space="preserve"> </w:t>
      </w:r>
      <w:r w:rsidRPr="00181FCD">
        <w:t>reclusos,</w:t>
      </w:r>
      <w:r w:rsidR="00F373A3" w:rsidRPr="00181FCD">
        <w:t xml:space="preserve"> </w:t>
      </w:r>
      <w:r w:rsidRPr="00181FCD">
        <w:t>y</w:t>
      </w:r>
      <w:r w:rsidR="00F373A3" w:rsidRPr="00181FCD">
        <w:t xml:space="preserve"> </w:t>
      </w:r>
      <w:r w:rsidRPr="00181FCD">
        <w:t>en</w:t>
      </w:r>
      <w:r w:rsidR="00F373A3" w:rsidRPr="00181FCD">
        <w:t xml:space="preserve"> </w:t>
      </w:r>
      <w:r w:rsidRPr="00181FCD">
        <w:t>2014,</w:t>
      </w:r>
      <w:r w:rsidR="00F373A3" w:rsidRPr="00181FCD">
        <w:rPr>
          <w:rtl/>
        </w:rPr>
        <w:t xml:space="preserve"> </w:t>
      </w:r>
      <w:r w:rsidRPr="00181FCD">
        <w:t>a</w:t>
      </w:r>
      <w:r w:rsidR="00F373A3" w:rsidRPr="00181FCD">
        <w:t xml:space="preserve"> </w:t>
      </w:r>
      <w:r w:rsidRPr="00181FCD">
        <w:t>942),</w:t>
      </w:r>
      <w:r w:rsidR="00F373A3" w:rsidRPr="00181FCD">
        <w:t xml:space="preserve"> </w:t>
      </w:r>
      <w:r w:rsidRPr="00181FCD">
        <w:t>así</w:t>
      </w:r>
      <w:r w:rsidR="00F373A3" w:rsidRPr="00181FCD">
        <w:t xml:space="preserve"> </w:t>
      </w:r>
      <w:r w:rsidRPr="00181FCD">
        <w:t>como</w:t>
      </w:r>
      <w:r w:rsidR="00F373A3" w:rsidRPr="00181FCD">
        <w:t xml:space="preserve"> </w:t>
      </w:r>
      <w:r w:rsidRPr="00181FCD">
        <w:t>los</w:t>
      </w:r>
      <w:r w:rsidR="00F373A3" w:rsidRPr="00181FCD">
        <w:t xml:space="preserve"> </w:t>
      </w:r>
      <w:r w:rsidRPr="00181FCD">
        <w:t>métodos</w:t>
      </w:r>
      <w:r w:rsidR="00F373A3" w:rsidRPr="00181FCD">
        <w:t xml:space="preserve"> </w:t>
      </w:r>
      <w:r w:rsidRPr="00181FCD">
        <w:t>para</w:t>
      </w:r>
      <w:r w:rsidR="00F373A3" w:rsidRPr="00181FCD">
        <w:t xml:space="preserve"> </w:t>
      </w:r>
      <w:r w:rsidRPr="00181FCD">
        <w:t>aliviar</w:t>
      </w:r>
      <w:r w:rsidR="00F373A3" w:rsidRPr="00181FCD">
        <w:t xml:space="preserve"> </w:t>
      </w:r>
      <w:r w:rsidRPr="00181FCD">
        <w:t>las</w:t>
      </w:r>
      <w:r w:rsidR="00F373A3" w:rsidRPr="00181FCD">
        <w:t xml:space="preserve"> </w:t>
      </w:r>
      <w:r w:rsidRPr="00181FCD">
        <w:t>condiciones</w:t>
      </w:r>
      <w:r w:rsidR="00F373A3" w:rsidRPr="00181FCD">
        <w:t xml:space="preserve"> </w:t>
      </w:r>
      <w:r w:rsidRPr="00181FCD">
        <w:t>de</w:t>
      </w:r>
      <w:r w:rsidR="00F373A3" w:rsidRPr="00181FCD">
        <w:t xml:space="preserve"> </w:t>
      </w:r>
      <w:r w:rsidRPr="00181FCD">
        <w:t>cumplimiento</w:t>
      </w:r>
      <w:r w:rsidR="00F373A3" w:rsidRPr="00181FCD">
        <w:t xml:space="preserve"> </w:t>
      </w:r>
      <w:r w:rsidRPr="00181FCD">
        <w:t>de</w:t>
      </w:r>
      <w:r w:rsidR="00F373A3" w:rsidRPr="00181FCD">
        <w:t xml:space="preserve"> </w:t>
      </w:r>
      <w:r w:rsidRPr="00181FCD">
        <w:t>las</w:t>
      </w:r>
      <w:r w:rsidR="00F373A3" w:rsidRPr="00181FCD">
        <w:t xml:space="preserve"> </w:t>
      </w:r>
      <w:r w:rsidRPr="00181FCD">
        <w:t>penas,</w:t>
      </w:r>
      <w:r w:rsidR="00F373A3" w:rsidRPr="00181FCD">
        <w:t xml:space="preserve"> </w:t>
      </w:r>
      <w:r w:rsidRPr="00181FCD">
        <w:t>mediante</w:t>
      </w:r>
      <w:r w:rsidR="00F373A3" w:rsidRPr="00181FCD">
        <w:t xml:space="preserve"> </w:t>
      </w:r>
      <w:r w:rsidRPr="00181FCD">
        <w:t>la</w:t>
      </w:r>
      <w:r w:rsidR="00F373A3" w:rsidRPr="00181FCD">
        <w:t xml:space="preserve"> </w:t>
      </w:r>
      <w:r w:rsidRPr="00181FCD">
        <w:t>sustitución</w:t>
      </w:r>
      <w:r w:rsidR="00F373A3" w:rsidRPr="00181FCD">
        <w:t xml:space="preserve"> </w:t>
      </w:r>
      <w:r w:rsidRPr="00181FCD">
        <w:t>del</w:t>
      </w:r>
      <w:r w:rsidR="00F373A3" w:rsidRPr="00181FCD">
        <w:t xml:space="preserve"> </w:t>
      </w:r>
      <w:r w:rsidRPr="00181FCD">
        <w:t>régimen</w:t>
      </w:r>
      <w:r w:rsidR="00F373A3" w:rsidRPr="00181FCD">
        <w:t xml:space="preserve"> </w:t>
      </w:r>
      <w:r w:rsidRPr="00181FCD">
        <w:t>determinado</w:t>
      </w:r>
      <w:r w:rsidR="00F373A3" w:rsidRPr="00181FCD">
        <w:t xml:space="preserve"> </w:t>
      </w:r>
      <w:r w:rsidRPr="00181FCD">
        <w:t>por</w:t>
      </w:r>
      <w:r w:rsidR="00F373A3" w:rsidRPr="00181FCD">
        <w:t xml:space="preserve"> </w:t>
      </w:r>
      <w:r w:rsidRPr="00181FCD">
        <w:t>el</w:t>
      </w:r>
      <w:r w:rsidR="00F373A3" w:rsidRPr="00181FCD">
        <w:t xml:space="preserve"> </w:t>
      </w:r>
      <w:r w:rsidRPr="00181FCD">
        <w:t>tribunal</w:t>
      </w:r>
      <w:r w:rsidR="00F373A3" w:rsidRPr="00181FCD">
        <w:t xml:space="preserve"> </w:t>
      </w:r>
      <w:r w:rsidRPr="00181FCD">
        <w:t>por</w:t>
      </w:r>
      <w:r w:rsidR="00F373A3" w:rsidRPr="00181FCD">
        <w:t xml:space="preserve"> </w:t>
      </w:r>
      <w:r w:rsidRPr="00181FCD">
        <w:t>otro</w:t>
      </w:r>
      <w:r w:rsidR="00F373A3" w:rsidRPr="00181FCD">
        <w:t xml:space="preserve"> </w:t>
      </w:r>
      <w:r w:rsidRPr="00181FCD">
        <w:t>menos</w:t>
      </w:r>
      <w:r w:rsidR="00F373A3" w:rsidRPr="00181FCD">
        <w:t xml:space="preserve"> </w:t>
      </w:r>
      <w:r w:rsidRPr="00181FCD">
        <w:t>estricto</w:t>
      </w:r>
      <w:r w:rsidR="00F373A3" w:rsidRPr="00181FCD">
        <w:t xml:space="preserve"> </w:t>
      </w:r>
      <w:r w:rsidRPr="00181FCD">
        <w:t>y</w:t>
      </w:r>
      <w:r w:rsidR="00F373A3" w:rsidRPr="00181FCD">
        <w:t xml:space="preserve"> </w:t>
      </w:r>
      <w:r w:rsidRPr="00181FCD">
        <w:t>el</w:t>
      </w:r>
      <w:r w:rsidR="00F373A3" w:rsidRPr="00181FCD">
        <w:t xml:space="preserve"> </w:t>
      </w:r>
      <w:r w:rsidRPr="00181FCD">
        <w:t>traslado</w:t>
      </w:r>
      <w:r w:rsidR="00F373A3" w:rsidRPr="00181FCD">
        <w:t xml:space="preserve"> </w:t>
      </w:r>
      <w:r w:rsidRPr="00181FCD">
        <w:t>de</w:t>
      </w:r>
      <w:r w:rsidR="00F373A3" w:rsidRPr="00181FCD">
        <w:t xml:space="preserve"> </w:t>
      </w:r>
      <w:r w:rsidRPr="00181FCD">
        <w:t>las</w:t>
      </w:r>
      <w:r w:rsidR="00F373A3" w:rsidRPr="00181FCD">
        <w:t xml:space="preserve"> </w:t>
      </w:r>
      <w:r w:rsidRPr="00181FCD">
        <w:t>personas</w:t>
      </w:r>
      <w:r w:rsidR="00F373A3" w:rsidRPr="00181FCD">
        <w:t xml:space="preserve"> </w:t>
      </w:r>
      <w:r w:rsidRPr="00181FCD">
        <w:t>condenadas</w:t>
      </w:r>
      <w:r w:rsidR="00F373A3" w:rsidRPr="00181FCD">
        <w:t xml:space="preserve"> </w:t>
      </w:r>
      <w:r w:rsidRPr="00181FCD">
        <w:t>a</w:t>
      </w:r>
      <w:r w:rsidR="00F373A3" w:rsidRPr="00181FCD">
        <w:t xml:space="preserve"> </w:t>
      </w:r>
      <w:r w:rsidRPr="00181FCD">
        <w:t>centros</w:t>
      </w:r>
      <w:r w:rsidR="00F373A3" w:rsidRPr="00181FCD">
        <w:t xml:space="preserve"> </w:t>
      </w:r>
      <w:r w:rsidRPr="00181FCD">
        <w:t>de</w:t>
      </w:r>
      <w:r w:rsidR="00F373A3" w:rsidRPr="00181FCD">
        <w:t xml:space="preserve"> </w:t>
      </w:r>
      <w:r w:rsidRPr="00181FCD">
        <w:t>régimen</w:t>
      </w:r>
      <w:r w:rsidR="00F373A3" w:rsidRPr="00181FCD">
        <w:t xml:space="preserve"> </w:t>
      </w:r>
      <w:r w:rsidRPr="00181FCD">
        <w:t>abierto.</w:t>
      </w:r>
      <w:r w:rsidR="00F373A3" w:rsidRPr="00181FCD">
        <w:t xml:space="preserve"> </w:t>
      </w:r>
      <w:r w:rsidRPr="00181FCD">
        <w:t>La</w:t>
      </w:r>
      <w:r w:rsidR="00F373A3" w:rsidRPr="00181FCD">
        <w:t xml:space="preserve"> </w:t>
      </w:r>
      <w:r w:rsidRPr="00181FCD">
        <w:t>residencia</w:t>
      </w:r>
      <w:r w:rsidR="00F373A3" w:rsidRPr="00181FCD">
        <w:t xml:space="preserve"> </w:t>
      </w:r>
      <w:r w:rsidRPr="00181FCD">
        <w:t>de</w:t>
      </w:r>
      <w:r w:rsidR="00F373A3" w:rsidRPr="00181FCD">
        <w:t xml:space="preserve"> </w:t>
      </w:r>
      <w:r w:rsidRPr="00181FCD">
        <w:t>detención</w:t>
      </w:r>
      <w:r w:rsidR="00F373A3" w:rsidRPr="00181FCD">
        <w:t xml:space="preserve"> </w:t>
      </w:r>
      <w:r w:rsidRPr="00181FCD">
        <w:t>de</w:t>
      </w:r>
      <w:r w:rsidR="00F373A3" w:rsidRPr="00181FCD">
        <w:t xml:space="preserve"> </w:t>
      </w:r>
      <w:r w:rsidRPr="00181FCD">
        <w:t>Vit,</w:t>
      </w:r>
      <w:r w:rsidR="00F373A3" w:rsidRPr="00181FCD">
        <w:t xml:space="preserve"> </w:t>
      </w:r>
      <w:r w:rsidRPr="00181FCD">
        <w:t>que</w:t>
      </w:r>
      <w:r w:rsidR="00F373A3" w:rsidRPr="00181FCD">
        <w:t xml:space="preserve"> </w:t>
      </w:r>
      <w:r w:rsidRPr="00181FCD">
        <w:t>forma</w:t>
      </w:r>
      <w:r w:rsidR="00F373A3" w:rsidRPr="00181FCD">
        <w:t xml:space="preserve"> </w:t>
      </w:r>
      <w:r w:rsidRPr="00181FCD">
        <w:t>parte</w:t>
      </w:r>
      <w:r w:rsidR="00F373A3" w:rsidRPr="00181FCD">
        <w:t xml:space="preserve"> </w:t>
      </w:r>
      <w:r w:rsidRPr="00181FCD">
        <w:t>de</w:t>
      </w:r>
      <w:r w:rsidR="00F373A3" w:rsidRPr="00181FCD">
        <w:t xml:space="preserve"> </w:t>
      </w:r>
      <w:r w:rsidRPr="00181FCD">
        <w:t>la</w:t>
      </w:r>
      <w:r w:rsidR="00F373A3" w:rsidRPr="00181FCD">
        <w:t xml:space="preserve"> </w:t>
      </w:r>
      <w:r w:rsidRPr="00181FCD">
        <w:t>cárcel</w:t>
      </w:r>
      <w:r w:rsidR="00F373A3" w:rsidRPr="00181FCD">
        <w:t xml:space="preserve"> </w:t>
      </w:r>
      <w:r w:rsidRPr="00181FCD">
        <w:t>de</w:t>
      </w:r>
      <w:r w:rsidR="00F373A3" w:rsidRPr="00181FCD">
        <w:t xml:space="preserve"> </w:t>
      </w:r>
      <w:r w:rsidRPr="00181FCD">
        <w:t>Pleven,</w:t>
      </w:r>
      <w:r w:rsidR="00F373A3" w:rsidRPr="00181FCD">
        <w:t xml:space="preserve"> </w:t>
      </w:r>
      <w:r w:rsidRPr="00181FCD">
        <w:t>ha</w:t>
      </w:r>
      <w:r w:rsidR="00F373A3" w:rsidRPr="00181FCD">
        <w:t xml:space="preserve"> </w:t>
      </w:r>
      <w:r w:rsidRPr="00181FCD">
        <w:t>pasado</w:t>
      </w:r>
      <w:r w:rsidR="00F373A3" w:rsidRPr="00181FCD">
        <w:t xml:space="preserve"> </w:t>
      </w:r>
      <w:r w:rsidRPr="00181FCD">
        <w:t>de</w:t>
      </w:r>
      <w:r w:rsidR="00F373A3" w:rsidRPr="00181FCD">
        <w:t xml:space="preserve"> </w:t>
      </w:r>
      <w:r w:rsidRPr="00181FCD">
        <w:t>ser</w:t>
      </w:r>
      <w:r w:rsidR="00F373A3" w:rsidRPr="00181FCD">
        <w:t xml:space="preserve"> </w:t>
      </w:r>
      <w:r w:rsidRPr="00181FCD">
        <w:t>una</w:t>
      </w:r>
      <w:r w:rsidR="00F373A3" w:rsidRPr="00181FCD">
        <w:t xml:space="preserve"> </w:t>
      </w:r>
      <w:r w:rsidRPr="00181FCD">
        <w:t>prisión</w:t>
      </w:r>
      <w:r w:rsidR="00F373A3" w:rsidRPr="00181FCD">
        <w:t xml:space="preserve"> </w:t>
      </w:r>
      <w:r w:rsidRPr="00181FCD">
        <w:t>albergue</w:t>
      </w:r>
      <w:r w:rsidR="00F373A3" w:rsidRPr="00181FCD">
        <w:t xml:space="preserve"> </w:t>
      </w:r>
      <w:r w:rsidRPr="00181FCD">
        <w:t>de</w:t>
      </w:r>
      <w:r w:rsidR="00F373A3" w:rsidRPr="00181FCD">
        <w:t xml:space="preserve"> </w:t>
      </w:r>
      <w:r w:rsidRPr="00181FCD">
        <w:t>régimen</w:t>
      </w:r>
      <w:r w:rsidR="00F373A3" w:rsidRPr="00181FCD">
        <w:t xml:space="preserve"> </w:t>
      </w:r>
      <w:r w:rsidRPr="00181FCD">
        <w:t>abierto</w:t>
      </w:r>
      <w:r w:rsidR="00F373A3" w:rsidRPr="00181FCD">
        <w:t xml:space="preserve"> </w:t>
      </w:r>
      <w:r w:rsidRPr="00181FCD">
        <w:t>a</w:t>
      </w:r>
      <w:r w:rsidR="00F373A3" w:rsidRPr="00181FCD">
        <w:t xml:space="preserve"> </w:t>
      </w:r>
      <w:r w:rsidRPr="00181FCD">
        <w:t>una</w:t>
      </w:r>
      <w:r w:rsidR="00F373A3" w:rsidRPr="00181FCD">
        <w:t xml:space="preserve"> </w:t>
      </w:r>
      <w:r w:rsidRPr="00181FCD">
        <w:t>de</w:t>
      </w:r>
      <w:r w:rsidR="00F373A3" w:rsidRPr="00181FCD">
        <w:t xml:space="preserve"> </w:t>
      </w:r>
      <w:r w:rsidRPr="00181FCD">
        <w:t>régimen</w:t>
      </w:r>
      <w:r w:rsidR="00F373A3" w:rsidRPr="00181FCD">
        <w:t xml:space="preserve"> </w:t>
      </w:r>
      <w:r w:rsidRPr="00181FCD">
        <w:t>cerrado.</w:t>
      </w:r>
    </w:p>
    <w:p w:rsidR="001937F4" w:rsidRPr="00181FCD" w:rsidRDefault="001937F4" w:rsidP="00347B20">
      <w:pPr>
        <w:pStyle w:val="SingleTxtG"/>
        <w:suppressAutoHyphens/>
      </w:pPr>
      <w:r w:rsidRPr="00181FCD">
        <w:t>163.</w:t>
      </w:r>
      <w:r w:rsidRPr="00181FCD">
        <w:tab/>
        <w:t>A</w:t>
      </w:r>
      <w:r w:rsidR="00F373A3" w:rsidRPr="00181FCD">
        <w:t xml:space="preserve"> </w:t>
      </w:r>
      <w:r w:rsidRPr="00181FCD">
        <w:t>raíz</w:t>
      </w:r>
      <w:r w:rsidR="00F373A3" w:rsidRPr="00181FCD">
        <w:t xml:space="preserve"> </w:t>
      </w:r>
      <w:r w:rsidRPr="00181FCD">
        <w:t>de</w:t>
      </w:r>
      <w:r w:rsidR="00F373A3" w:rsidRPr="00181FCD">
        <w:t xml:space="preserve"> </w:t>
      </w:r>
      <w:r w:rsidRPr="00181FCD">
        <w:t>la</w:t>
      </w:r>
      <w:r w:rsidR="00F373A3" w:rsidRPr="00181FCD">
        <w:t xml:space="preserve"> </w:t>
      </w:r>
      <w:r w:rsidRPr="00181FCD">
        <w:t>aplicación</w:t>
      </w:r>
      <w:r w:rsidR="00F373A3" w:rsidRPr="00181FCD">
        <w:t xml:space="preserve"> </w:t>
      </w:r>
      <w:r w:rsidRPr="00181FCD">
        <w:t>de</w:t>
      </w:r>
      <w:r w:rsidR="00F373A3" w:rsidRPr="00181FCD">
        <w:t xml:space="preserve"> </w:t>
      </w:r>
      <w:r w:rsidRPr="00181FCD">
        <w:t>penas</w:t>
      </w:r>
      <w:r w:rsidR="00F373A3" w:rsidRPr="00181FCD">
        <w:t xml:space="preserve"> </w:t>
      </w:r>
      <w:r w:rsidRPr="00181FCD">
        <w:t>como</w:t>
      </w:r>
      <w:r w:rsidR="00F373A3" w:rsidRPr="00181FCD">
        <w:t xml:space="preserve"> </w:t>
      </w:r>
      <w:r w:rsidRPr="00181FCD">
        <w:t>la</w:t>
      </w:r>
      <w:r w:rsidR="00F373A3" w:rsidRPr="00181FCD">
        <w:t xml:space="preserve"> </w:t>
      </w:r>
      <w:r w:rsidRPr="00181FCD">
        <w:t>libertad</w:t>
      </w:r>
      <w:r w:rsidR="00F373A3" w:rsidRPr="00181FCD">
        <w:t xml:space="preserve"> </w:t>
      </w:r>
      <w:r w:rsidRPr="00181FCD">
        <w:t>condicional,</w:t>
      </w:r>
      <w:r w:rsidR="00F373A3" w:rsidRPr="00181FCD">
        <w:t xml:space="preserve"> </w:t>
      </w:r>
      <w:r w:rsidRPr="00181FCD">
        <w:t>las</w:t>
      </w:r>
      <w:r w:rsidR="00F373A3" w:rsidRPr="00181FCD">
        <w:t xml:space="preserve"> </w:t>
      </w:r>
      <w:r w:rsidRPr="00181FCD">
        <w:t>medidas</w:t>
      </w:r>
      <w:r w:rsidR="00F373A3" w:rsidRPr="00181FCD">
        <w:t xml:space="preserve"> </w:t>
      </w:r>
      <w:r w:rsidRPr="00181FCD">
        <w:t>alternativas</w:t>
      </w:r>
      <w:r w:rsidR="00F373A3" w:rsidRPr="00181FCD">
        <w:t xml:space="preserve"> </w:t>
      </w:r>
      <w:r w:rsidRPr="00181FCD">
        <w:t>y</w:t>
      </w:r>
      <w:r w:rsidR="00F373A3" w:rsidRPr="00181FCD">
        <w:t xml:space="preserve"> </w:t>
      </w:r>
      <w:r w:rsidRPr="00181FCD">
        <w:t>la</w:t>
      </w:r>
      <w:r w:rsidR="00F373A3" w:rsidRPr="00181FCD">
        <w:t xml:space="preserve"> </w:t>
      </w:r>
      <w:r w:rsidRPr="00181FCD">
        <w:t>libertad</w:t>
      </w:r>
      <w:r w:rsidR="00F373A3" w:rsidRPr="00181FCD">
        <w:t xml:space="preserve"> </w:t>
      </w:r>
      <w:r w:rsidRPr="00181FCD">
        <w:t>condicional</w:t>
      </w:r>
      <w:r w:rsidR="00F373A3" w:rsidRPr="00181FCD">
        <w:t xml:space="preserve"> </w:t>
      </w:r>
      <w:r w:rsidRPr="00181FCD">
        <w:t>anticipada,</w:t>
      </w:r>
      <w:r w:rsidR="00F373A3" w:rsidRPr="00181FCD">
        <w:t xml:space="preserve"> </w:t>
      </w:r>
      <w:r w:rsidRPr="00181FCD">
        <w:t>se</w:t>
      </w:r>
      <w:r w:rsidR="00F373A3" w:rsidRPr="00181FCD">
        <w:t xml:space="preserve"> </w:t>
      </w:r>
      <w:r w:rsidRPr="00181FCD">
        <w:t>perfila</w:t>
      </w:r>
      <w:r w:rsidR="00F373A3" w:rsidRPr="00181FCD">
        <w:t xml:space="preserve"> </w:t>
      </w:r>
      <w:r w:rsidRPr="00181FCD">
        <w:t>una</w:t>
      </w:r>
      <w:r w:rsidR="00F373A3" w:rsidRPr="00181FCD">
        <w:t xml:space="preserve"> </w:t>
      </w:r>
      <w:r w:rsidRPr="00181FCD">
        <w:t>tendencia</w:t>
      </w:r>
      <w:r w:rsidR="00F373A3" w:rsidRPr="00181FCD">
        <w:t xml:space="preserve"> </w:t>
      </w:r>
      <w:r w:rsidRPr="00181FCD">
        <w:t>marcada</w:t>
      </w:r>
      <w:r w:rsidR="00F373A3" w:rsidRPr="00181FCD">
        <w:t xml:space="preserve"> </w:t>
      </w:r>
      <w:r w:rsidRPr="00181FCD">
        <w:t>a</w:t>
      </w:r>
      <w:r w:rsidR="00F373A3" w:rsidRPr="00181FCD">
        <w:t xml:space="preserve"> </w:t>
      </w:r>
      <w:r w:rsidRPr="00181FCD">
        <w:t>la</w:t>
      </w:r>
      <w:r w:rsidR="00F373A3" w:rsidRPr="00181FCD">
        <w:t xml:space="preserve"> </w:t>
      </w:r>
      <w:r w:rsidRPr="00181FCD">
        <w:t>disminución</w:t>
      </w:r>
      <w:r w:rsidR="00F373A3" w:rsidRPr="00181FCD">
        <w:t xml:space="preserve"> </w:t>
      </w:r>
      <w:r w:rsidRPr="00181FCD">
        <w:t>de</w:t>
      </w:r>
      <w:r w:rsidR="00F373A3" w:rsidRPr="00181FCD">
        <w:t xml:space="preserve"> </w:t>
      </w:r>
      <w:r w:rsidRPr="00181FCD">
        <w:t>la</w:t>
      </w:r>
      <w:r w:rsidR="00F373A3" w:rsidRPr="00181FCD">
        <w:t xml:space="preserve"> </w:t>
      </w:r>
      <w:r w:rsidRPr="00181FCD">
        <w:t>población</w:t>
      </w:r>
      <w:r w:rsidR="00F373A3" w:rsidRPr="00181FCD">
        <w:t xml:space="preserve"> </w:t>
      </w:r>
      <w:r w:rsidRPr="00181FCD">
        <w:t>de</w:t>
      </w:r>
      <w:r w:rsidR="00F373A3" w:rsidRPr="00181FCD">
        <w:t xml:space="preserve"> </w:t>
      </w:r>
      <w:r w:rsidRPr="00181FCD">
        <w:t>reclusos.</w:t>
      </w:r>
      <w:r w:rsidR="00F373A3" w:rsidRPr="00181FCD">
        <w:t xml:space="preserve"> </w:t>
      </w:r>
      <w:r w:rsidRPr="00181FCD">
        <w:t>El</w:t>
      </w:r>
      <w:r w:rsidR="00F373A3" w:rsidRPr="00181FCD">
        <w:t xml:space="preserve"> </w:t>
      </w:r>
      <w:r w:rsidRPr="00181FCD">
        <w:t>1</w:t>
      </w:r>
      <w:r w:rsidR="00F373A3" w:rsidRPr="00181FCD">
        <w:t xml:space="preserve"> </w:t>
      </w:r>
      <w:r w:rsidRPr="00181FCD">
        <w:t>de</w:t>
      </w:r>
      <w:r w:rsidR="00F373A3" w:rsidRPr="00181FCD">
        <w:t xml:space="preserve"> </w:t>
      </w:r>
      <w:r w:rsidRPr="00181FCD">
        <w:t>enero</w:t>
      </w:r>
      <w:r w:rsidR="00F373A3" w:rsidRPr="00181FCD">
        <w:t xml:space="preserve"> </w:t>
      </w:r>
      <w:r w:rsidRPr="00181FCD">
        <w:t>de</w:t>
      </w:r>
      <w:r w:rsidR="00F373A3" w:rsidRPr="00181FCD">
        <w:t xml:space="preserve"> </w:t>
      </w:r>
      <w:r w:rsidRPr="00181FCD">
        <w:t>2013</w:t>
      </w:r>
      <w:r w:rsidR="00F373A3" w:rsidRPr="00181FCD">
        <w:t xml:space="preserve"> </w:t>
      </w:r>
      <w:r w:rsidRPr="00181FCD">
        <w:t>las</w:t>
      </w:r>
      <w:r w:rsidR="00F373A3" w:rsidRPr="00181FCD">
        <w:t xml:space="preserve"> </w:t>
      </w:r>
      <w:r w:rsidRPr="00181FCD">
        <w:t>cárceles</w:t>
      </w:r>
      <w:r w:rsidR="00F373A3" w:rsidRPr="00181FCD">
        <w:t xml:space="preserve"> </w:t>
      </w:r>
      <w:r w:rsidRPr="00181FCD">
        <w:t>alojaban</w:t>
      </w:r>
      <w:r w:rsidR="00F373A3" w:rsidRPr="00181FCD">
        <w:t xml:space="preserve"> </w:t>
      </w:r>
      <w:r w:rsidRPr="00181FCD">
        <w:t>a</w:t>
      </w:r>
      <w:r w:rsidR="00F373A3" w:rsidRPr="00181FCD">
        <w:t xml:space="preserve"> </w:t>
      </w:r>
      <w:r w:rsidRPr="00181FCD">
        <w:t>9.493</w:t>
      </w:r>
      <w:r w:rsidR="00F373A3" w:rsidRPr="00181FCD">
        <w:t xml:space="preserve"> </w:t>
      </w:r>
      <w:r w:rsidRPr="00181FCD">
        <w:t>personas,</w:t>
      </w:r>
      <w:r w:rsidR="00F373A3" w:rsidRPr="00181FCD">
        <w:t xml:space="preserve"> </w:t>
      </w:r>
      <w:r w:rsidRPr="00181FCD">
        <w:t>que</w:t>
      </w:r>
      <w:r w:rsidR="00F373A3" w:rsidRPr="00181FCD">
        <w:t xml:space="preserve"> </w:t>
      </w:r>
      <w:r w:rsidRPr="00181FCD">
        <w:t>pasaron</w:t>
      </w:r>
      <w:r w:rsidR="00F373A3" w:rsidRPr="00181FCD">
        <w:t xml:space="preserve"> </w:t>
      </w:r>
      <w:r w:rsidRPr="00181FCD">
        <w:t>a</w:t>
      </w:r>
      <w:r w:rsidR="00F373A3" w:rsidRPr="00181FCD">
        <w:t xml:space="preserve"> </w:t>
      </w:r>
      <w:r w:rsidRPr="00181FCD">
        <w:t>ser</w:t>
      </w:r>
      <w:r w:rsidR="00F373A3" w:rsidRPr="00181FCD">
        <w:t xml:space="preserve"> </w:t>
      </w:r>
      <w:r w:rsidRPr="00181FCD">
        <w:t>8.834</w:t>
      </w:r>
      <w:r w:rsidR="00F373A3" w:rsidRPr="00181FCD">
        <w:t xml:space="preserve"> </w:t>
      </w:r>
      <w:r w:rsidRPr="00181FCD">
        <w:t>el</w:t>
      </w:r>
      <w:r w:rsidR="00F373A3" w:rsidRPr="00181FCD">
        <w:t xml:space="preserve"> </w:t>
      </w:r>
      <w:r w:rsidRPr="00181FCD">
        <w:t>1</w:t>
      </w:r>
      <w:r w:rsidR="00F373A3" w:rsidRPr="00181FCD">
        <w:t xml:space="preserve"> </w:t>
      </w:r>
      <w:r w:rsidRPr="00181FCD">
        <w:t>de</w:t>
      </w:r>
      <w:r w:rsidR="00F373A3" w:rsidRPr="00181FCD">
        <w:t xml:space="preserve"> </w:t>
      </w:r>
      <w:r w:rsidRPr="00181FCD">
        <w:t>enero</w:t>
      </w:r>
      <w:r w:rsidR="00F373A3" w:rsidRPr="00181FCD">
        <w:t xml:space="preserve"> </w:t>
      </w:r>
      <w:r w:rsidRPr="00181FCD">
        <w:t>de</w:t>
      </w:r>
      <w:r w:rsidR="00F373A3" w:rsidRPr="00181FCD">
        <w:t xml:space="preserve"> </w:t>
      </w:r>
      <w:r w:rsidRPr="00181FCD">
        <w:t>2014,</w:t>
      </w:r>
      <w:r w:rsidR="00F373A3" w:rsidRPr="00181FCD">
        <w:t xml:space="preserve"> </w:t>
      </w:r>
      <w:r w:rsidRPr="00181FCD">
        <w:t>7.870</w:t>
      </w:r>
      <w:r w:rsidR="00F373A3" w:rsidRPr="00181FCD">
        <w:t xml:space="preserve"> </w:t>
      </w:r>
      <w:r w:rsidRPr="00181FCD">
        <w:t>el</w:t>
      </w:r>
      <w:r w:rsidR="00F373A3" w:rsidRPr="00181FCD">
        <w:t xml:space="preserve"> </w:t>
      </w:r>
      <w:r w:rsidRPr="00181FCD">
        <w:t>1</w:t>
      </w:r>
      <w:r w:rsidR="00F373A3" w:rsidRPr="00181FCD">
        <w:t xml:space="preserve"> </w:t>
      </w:r>
      <w:r w:rsidRPr="00181FCD">
        <w:t>de</w:t>
      </w:r>
      <w:r w:rsidR="00F373A3" w:rsidRPr="00181FCD">
        <w:t xml:space="preserve"> </w:t>
      </w:r>
      <w:r w:rsidRPr="00181FCD">
        <w:t>enero</w:t>
      </w:r>
      <w:r w:rsidR="00F373A3" w:rsidRPr="00181FCD">
        <w:t xml:space="preserve"> </w:t>
      </w:r>
      <w:r w:rsidRPr="00181FCD">
        <w:t>de</w:t>
      </w:r>
      <w:r w:rsidR="00F373A3" w:rsidRPr="00181FCD">
        <w:t xml:space="preserve"> </w:t>
      </w:r>
      <w:r w:rsidRPr="00181FCD">
        <w:t>2015</w:t>
      </w:r>
      <w:r w:rsidR="00F373A3" w:rsidRPr="00181FCD">
        <w:t xml:space="preserve"> </w:t>
      </w:r>
      <w:r w:rsidRPr="00181FCD">
        <w:t>y</w:t>
      </w:r>
      <w:r w:rsidR="00F373A3" w:rsidRPr="00181FCD">
        <w:t xml:space="preserve"> </w:t>
      </w:r>
      <w:r w:rsidRPr="00181FCD">
        <w:t>7.583</w:t>
      </w:r>
      <w:r w:rsidR="00F373A3" w:rsidRPr="00181FCD">
        <w:t xml:space="preserve"> </w:t>
      </w:r>
      <w:r w:rsidRPr="00181FCD">
        <w:t>el</w:t>
      </w:r>
      <w:r w:rsidR="00F373A3" w:rsidRPr="00181FCD">
        <w:t xml:space="preserve"> </w:t>
      </w:r>
      <w:r w:rsidRPr="00181FCD">
        <w:t>1</w:t>
      </w:r>
      <w:r w:rsidR="00F373A3" w:rsidRPr="00181FCD">
        <w:t xml:space="preserve"> </w:t>
      </w:r>
      <w:r w:rsidRPr="00181FCD">
        <w:t>de</w:t>
      </w:r>
      <w:r w:rsidR="00F373A3" w:rsidRPr="00181FCD">
        <w:t xml:space="preserve"> </w:t>
      </w:r>
      <w:r w:rsidRPr="00181FCD">
        <w:t>septiembre</w:t>
      </w:r>
      <w:r w:rsidR="00F373A3" w:rsidRPr="00181FCD">
        <w:t xml:space="preserve"> </w:t>
      </w:r>
      <w:r w:rsidRPr="00181FCD">
        <w:t>de</w:t>
      </w:r>
      <w:r w:rsidR="00F373A3" w:rsidRPr="00181FCD">
        <w:t xml:space="preserve"> </w:t>
      </w:r>
      <w:r w:rsidRPr="00181FCD">
        <w:t>2015.</w:t>
      </w:r>
    </w:p>
    <w:p w:rsidR="001937F4" w:rsidRPr="00181FCD" w:rsidRDefault="001937F4" w:rsidP="00347B20">
      <w:pPr>
        <w:pStyle w:val="SingleTxtG"/>
        <w:suppressAutoHyphens/>
      </w:pPr>
      <w:r w:rsidRPr="00181FCD">
        <w:t>164.</w:t>
      </w:r>
      <w:r w:rsidRPr="00181FCD">
        <w:tab/>
        <w:t>Existe</w:t>
      </w:r>
      <w:r w:rsidR="00F373A3" w:rsidRPr="00181FCD">
        <w:t xml:space="preserve"> </w:t>
      </w:r>
      <w:r w:rsidRPr="00181FCD">
        <w:t>una</w:t>
      </w:r>
      <w:r w:rsidR="00F373A3" w:rsidRPr="00181FCD">
        <w:t xml:space="preserve"> </w:t>
      </w:r>
      <w:r w:rsidRPr="00181FCD">
        <w:t>intensa</w:t>
      </w:r>
      <w:r w:rsidR="00F373A3" w:rsidRPr="00181FCD">
        <w:t xml:space="preserve"> </w:t>
      </w:r>
      <w:r w:rsidRPr="00181FCD">
        <w:t>interacción</w:t>
      </w:r>
      <w:r w:rsidR="00F373A3" w:rsidRPr="00181FCD">
        <w:t xml:space="preserve"> </w:t>
      </w:r>
      <w:r w:rsidRPr="00181FCD">
        <w:t>entre</w:t>
      </w:r>
      <w:r w:rsidR="00F373A3" w:rsidRPr="00181FCD">
        <w:t xml:space="preserve"> </w:t>
      </w:r>
      <w:r w:rsidRPr="00181FCD">
        <w:t>el</w:t>
      </w:r>
      <w:r w:rsidR="00F373A3" w:rsidRPr="00181FCD">
        <w:t xml:space="preserve"> </w:t>
      </w:r>
      <w:r w:rsidRPr="00181FCD">
        <w:t>sistema</w:t>
      </w:r>
      <w:r w:rsidR="00F373A3" w:rsidRPr="00181FCD">
        <w:t xml:space="preserve"> </w:t>
      </w:r>
      <w:r w:rsidRPr="00181FCD">
        <w:t>penitenciario</w:t>
      </w:r>
      <w:r w:rsidR="00F373A3" w:rsidRPr="00181FCD">
        <w:t xml:space="preserve"> </w:t>
      </w:r>
      <w:r w:rsidRPr="00181FCD">
        <w:t>y</w:t>
      </w:r>
      <w:r w:rsidR="00F373A3" w:rsidRPr="00181FCD">
        <w:t xml:space="preserve"> </w:t>
      </w:r>
      <w:r w:rsidRPr="00181FCD">
        <w:t>la</w:t>
      </w:r>
      <w:r w:rsidR="00F373A3" w:rsidRPr="00181FCD">
        <w:t xml:space="preserve"> </w:t>
      </w:r>
      <w:r w:rsidRPr="00181FCD">
        <w:t>institución</w:t>
      </w:r>
      <w:r w:rsidR="00F373A3" w:rsidRPr="00181FCD">
        <w:t xml:space="preserve"> </w:t>
      </w:r>
      <w:r w:rsidRPr="00181FCD">
        <w:t>del</w:t>
      </w:r>
      <w:r w:rsidR="00F373A3" w:rsidRPr="00181FCD">
        <w:t xml:space="preserve"> </w:t>
      </w:r>
      <w:r w:rsidRPr="00181FCD">
        <w:t>Defensor</w:t>
      </w:r>
      <w:r w:rsidR="00F373A3" w:rsidRPr="00181FCD">
        <w:t xml:space="preserve"> </w:t>
      </w:r>
      <w:r w:rsidRPr="00181FCD">
        <w:t>del</w:t>
      </w:r>
      <w:r w:rsidR="00F373A3" w:rsidRPr="00181FCD">
        <w:t xml:space="preserve"> </w:t>
      </w:r>
      <w:r w:rsidRPr="00181FCD">
        <w:t>Pueblo</w:t>
      </w:r>
      <w:r w:rsidR="00F373A3" w:rsidRPr="00181FCD">
        <w:t xml:space="preserve"> </w:t>
      </w:r>
      <w:r w:rsidRPr="00181FCD">
        <w:t>de</w:t>
      </w:r>
      <w:r w:rsidR="00F373A3" w:rsidRPr="00181FCD">
        <w:t xml:space="preserve"> </w:t>
      </w:r>
      <w:r w:rsidRPr="00181FCD">
        <w:t>la</w:t>
      </w:r>
      <w:r w:rsidR="00F373A3" w:rsidRPr="00181FCD">
        <w:t xml:space="preserve"> </w:t>
      </w:r>
      <w:r w:rsidRPr="00181FCD">
        <w:t>República</w:t>
      </w:r>
      <w:r w:rsidR="00F373A3" w:rsidRPr="00181FCD">
        <w:t xml:space="preserve"> </w:t>
      </w:r>
      <w:r w:rsidRPr="00181FCD">
        <w:t>de</w:t>
      </w:r>
      <w:r w:rsidR="00F373A3" w:rsidRPr="00181FCD">
        <w:t xml:space="preserve"> </w:t>
      </w:r>
      <w:r w:rsidRPr="00181FCD">
        <w:t>Bulgaria,</w:t>
      </w:r>
      <w:r w:rsidR="00F373A3" w:rsidRPr="00181FCD">
        <w:t xml:space="preserve"> </w:t>
      </w:r>
      <w:r w:rsidRPr="00181FCD">
        <w:t>las</w:t>
      </w:r>
      <w:r w:rsidR="00F373A3" w:rsidRPr="00181FCD">
        <w:t xml:space="preserve"> </w:t>
      </w:r>
      <w:r w:rsidRPr="00181FCD">
        <w:t>organizaciones</w:t>
      </w:r>
      <w:r w:rsidR="00F373A3" w:rsidRPr="00181FCD">
        <w:t xml:space="preserve"> </w:t>
      </w:r>
      <w:r w:rsidRPr="00181FCD">
        <w:t>de</w:t>
      </w:r>
      <w:r w:rsidR="00F373A3" w:rsidRPr="00181FCD">
        <w:t xml:space="preserve"> </w:t>
      </w:r>
      <w:r w:rsidRPr="00181FCD">
        <w:t>derechos</w:t>
      </w:r>
      <w:r w:rsidR="00F373A3" w:rsidRPr="00181FCD">
        <w:t xml:space="preserve"> </w:t>
      </w:r>
      <w:r w:rsidRPr="00181FCD">
        <w:t>humanos</w:t>
      </w:r>
      <w:r w:rsidR="00F373A3" w:rsidRPr="00181FCD">
        <w:t xml:space="preserve"> </w:t>
      </w:r>
      <w:r w:rsidRPr="00181FCD">
        <w:t>y</w:t>
      </w:r>
      <w:r w:rsidR="00F373A3" w:rsidRPr="00181FCD">
        <w:t xml:space="preserve"> </w:t>
      </w:r>
      <w:r w:rsidRPr="00181FCD">
        <w:t>las</w:t>
      </w:r>
      <w:r w:rsidR="00F373A3" w:rsidRPr="00181FCD">
        <w:t xml:space="preserve"> </w:t>
      </w:r>
      <w:r w:rsidRPr="00181FCD">
        <w:t>ONG.</w:t>
      </w:r>
      <w:r w:rsidR="00F373A3" w:rsidRPr="00181FCD">
        <w:t xml:space="preserve"> </w:t>
      </w:r>
      <w:r w:rsidRPr="00181FCD">
        <w:t>Las</w:t>
      </w:r>
      <w:r w:rsidR="00F373A3" w:rsidRPr="00181FCD">
        <w:t xml:space="preserve"> </w:t>
      </w:r>
      <w:r w:rsidRPr="00181FCD">
        <w:t>prisiones</w:t>
      </w:r>
      <w:r w:rsidR="00F373A3" w:rsidRPr="00181FCD">
        <w:t xml:space="preserve"> </w:t>
      </w:r>
      <w:r w:rsidRPr="00181FCD">
        <w:t>están</w:t>
      </w:r>
      <w:r w:rsidR="00F373A3" w:rsidRPr="00181FCD">
        <w:t xml:space="preserve"> </w:t>
      </w:r>
      <w:r w:rsidRPr="00181FCD">
        <w:t>sujetas</w:t>
      </w:r>
      <w:r w:rsidR="00F373A3" w:rsidRPr="00181FCD">
        <w:t xml:space="preserve"> </w:t>
      </w:r>
      <w:r w:rsidRPr="00181FCD">
        <w:t>a</w:t>
      </w:r>
      <w:r w:rsidR="00F373A3" w:rsidRPr="00181FCD">
        <w:t xml:space="preserve"> </w:t>
      </w:r>
      <w:r w:rsidRPr="00181FCD">
        <w:t>inspecciones</w:t>
      </w:r>
      <w:r w:rsidR="00F373A3" w:rsidRPr="00181FCD">
        <w:t xml:space="preserve"> </w:t>
      </w:r>
      <w:r w:rsidRPr="00181FCD">
        <w:t>periódicas</w:t>
      </w:r>
      <w:r w:rsidR="00F373A3" w:rsidRPr="00181FCD">
        <w:t xml:space="preserve"> </w:t>
      </w:r>
      <w:r w:rsidRPr="00181FCD">
        <w:t>de</w:t>
      </w:r>
      <w:r w:rsidR="00F373A3" w:rsidRPr="00181FCD">
        <w:t xml:space="preserve"> </w:t>
      </w:r>
      <w:r w:rsidRPr="00181FCD">
        <w:t>los</w:t>
      </w:r>
      <w:r w:rsidR="00F373A3" w:rsidRPr="00181FCD">
        <w:t xml:space="preserve"> </w:t>
      </w:r>
      <w:r w:rsidRPr="00181FCD">
        <w:t>representantes</w:t>
      </w:r>
      <w:r w:rsidR="00F373A3" w:rsidRPr="00181FCD">
        <w:t xml:space="preserve"> </w:t>
      </w:r>
      <w:r w:rsidRPr="00181FCD">
        <w:t>del</w:t>
      </w:r>
      <w:r w:rsidR="00F373A3" w:rsidRPr="00181FCD">
        <w:t xml:space="preserve"> </w:t>
      </w:r>
      <w:r w:rsidRPr="00181FCD">
        <w:t>Mecanismo</w:t>
      </w:r>
      <w:r w:rsidR="00F373A3" w:rsidRPr="00181FCD">
        <w:t xml:space="preserve"> </w:t>
      </w:r>
      <w:r w:rsidRPr="00181FCD">
        <w:t>Nacional</w:t>
      </w:r>
      <w:r w:rsidR="00F373A3" w:rsidRPr="00181FCD">
        <w:t xml:space="preserve"> </w:t>
      </w:r>
      <w:r w:rsidRPr="00181FCD">
        <w:t>de</w:t>
      </w:r>
      <w:r w:rsidR="00F373A3" w:rsidRPr="00181FCD">
        <w:t xml:space="preserve"> </w:t>
      </w:r>
      <w:r w:rsidRPr="00181FCD">
        <w:t>Prevención</w:t>
      </w:r>
      <w:r w:rsidR="00F373A3" w:rsidRPr="00181FCD">
        <w:t xml:space="preserve"> </w:t>
      </w:r>
      <w:r w:rsidRPr="00181FCD">
        <w:t>del</w:t>
      </w:r>
      <w:r w:rsidR="00F373A3" w:rsidRPr="00181FCD">
        <w:t xml:space="preserve"> </w:t>
      </w:r>
      <w:r w:rsidRPr="00181FCD">
        <w:t>Defensor</w:t>
      </w:r>
      <w:r w:rsidR="00F373A3" w:rsidRPr="00181FCD">
        <w:t xml:space="preserve"> </w:t>
      </w:r>
      <w:r w:rsidRPr="00181FCD">
        <w:t>del</w:t>
      </w:r>
      <w:r w:rsidR="00F373A3" w:rsidRPr="00181FCD">
        <w:t xml:space="preserve"> </w:t>
      </w:r>
      <w:r w:rsidRPr="00181FCD">
        <w:t>Pueblo</w:t>
      </w:r>
      <w:r w:rsidR="00F373A3" w:rsidRPr="00181FCD">
        <w:t xml:space="preserve"> </w:t>
      </w:r>
      <w:r w:rsidRPr="00181FCD">
        <w:t>y</w:t>
      </w:r>
      <w:r w:rsidR="00F373A3" w:rsidRPr="00181FCD">
        <w:t xml:space="preserve"> </w:t>
      </w:r>
      <w:r w:rsidRPr="00181FCD">
        <w:t>los</w:t>
      </w:r>
      <w:r w:rsidR="00F373A3" w:rsidRPr="00181FCD">
        <w:t xml:space="preserve"> </w:t>
      </w:r>
      <w:r w:rsidRPr="00181FCD">
        <w:t>investigadores</w:t>
      </w:r>
      <w:r w:rsidR="00F373A3" w:rsidRPr="00181FCD">
        <w:t xml:space="preserve"> </w:t>
      </w:r>
      <w:r w:rsidRPr="00181FCD">
        <w:t>del</w:t>
      </w:r>
      <w:r w:rsidR="00F373A3" w:rsidRPr="00181FCD">
        <w:t xml:space="preserve"> </w:t>
      </w:r>
      <w:r w:rsidRPr="00181FCD">
        <w:t>Comité</w:t>
      </w:r>
      <w:r w:rsidR="00F373A3" w:rsidRPr="00181FCD">
        <w:t xml:space="preserve"> </w:t>
      </w:r>
      <w:r w:rsidRPr="00181FCD">
        <w:t>Búlgaro</w:t>
      </w:r>
      <w:r w:rsidR="00F373A3" w:rsidRPr="00181FCD">
        <w:t xml:space="preserve"> </w:t>
      </w:r>
      <w:r w:rsidRPr="00181FCD">
        <w:t>de</w:t>
      </w:r>
      <w:r w:rsidR="00F373A3" w:rsidRPr="00181FCD">
        <w:t xml:space="preserve"> </w:t>
      </w:r>
      <w:r w:rsidRPr="00181FCD">
        <w:t>Helsinki.</w:t>
      </w:r>
    </w:p>
    <w:p w:rsidR="001937F4" w:rsidRPr="00181FCD" w:rsidRDefault="00BE74A7" w:rsidP="00BE74A7">
      <w:pPr>
        <w:pStyle w:val="H23G"/>
        <w:jc w:val="both"/>
      </w:pPr>
      <w:r w:rsidRPr="00181FCD">
        <w:tab/>
      </w:r>
      <w:r w:rsidR="001937F4" w:rsidRPr="00181FCD">
        <w:t>c)</w:t>
      </w:r>
      <w:r w:rsidR="001937F4" w:rsidRPr="00181FCD">
        <w:tab/>
        <w:t>Las</w:t>
      </w:r>
      <w:r w:rsidR="00F373A3" w:rsidRPr="00181FCD">
        <w:t xml:space="preserve"> </w:t>
      </w:r>
      <w:r w:rsidR="001937F4" w:rsidRPr="00181FCD">
        <w:t>restricciones</w:t>
      </w:r>
      <w:r w:rsidR="00F373A3" w:rsidRPr="00181FCD">
        <w:t xml:space="preserve"> </w:t>
      </w:r>
      <w:r w:rsidR="001937F4" w:rsidRPr="00181FCD">
        <w:t>financieras</w:t>
      </w:r>
      <w:r w:rsidR="00F373A3" w:rsidRPr="00181FCD">
        <w:t xml:space="preserve"> </w:t>
      </w:r>
      <w:r w:rsidR="001937F4" w:rsidRPr="00181FCD">
        <w:t>impuestas</w:t>
      </w:r>
      <w:r w:rsidR="00F373A3" w:rsidRPr="00181FCD">
        <w:t xml:space="preserve"> </w:t>
      </w:r>
      <w:r w:rsidR="001937F4" w:rsidRPr="00181FCD">
        <w:t>en</w:t>
      </w:r>
      <w:r w:rsidR="00F373A3" w:rsidRPr="00181FCD">
        <w:t xml:space="preserve"> </w:t>
      </w:r>
      <w:r w:rsidR="001937F4" w:rsidRPr="00181FCD">
        <w:t>relación</w:t>
      </w:r>
      <w:r w:rsidR="00F373A3" w:rsidRPr="00181FCD">
        <w:t xml:space="preserve"> </w:t>
      </w:r>
      <w:r w:rsidR="001937F4" w:rsidRPr="00181FCD">
        <w:t>con</w:t>
      </w:r>
      <w:r w:rsidR="00F373A3" w:rsidRPr="00181FCD">
        <w:t xml:space="preserve"> </w:t>
      </w:r>
      <w:r w:rsidR="001937F4" w:rsidRPr="00181FCD">
        <w:t>el</w:t>
      </w:r>
      <w:r w:rsidR="00F373A3" w:rsidRPr="00181FCD">
        <w:t xml:space="preserve"> </w:t>
      </w:r>
      <w:r w:rsidR="001937F4" w:rsidRPr="00181FCD">
        <w:t>gasto</w:t>
      </w:r>
      <w:r w:rsidR="00F373A3" w:rsidRPr="00181FCD">
        <w:t xml:space="preserve"> </w:t>
      </w:r>
      <w:r w:rsidR="001937F4" w:rsidRPr="00181FCD">
        <w:t>de</w:t>
      </w:r>
      <w:r w:rsidR="00F373A3" w:rsidRPr="00181FCD">
        <w:t xml:space="preserve"> </w:t>
      </w:r>
      <w:r w:rsidR="001937F4" w:rsidRPr="00181FCD">
        <w:t>capital</w:t>
      </w:r>
      <w:r w:rsidR="00F373A3" w:rsidRPr="00181FCD">
        <w:t xml:space="preserve"> </w:t>
      </w:r>
      <w:r w:rsidR="001937F4" w:rsidRPr="00181FCD">
        <w:t>impiden</w:t>
      </w:r>
      <w:r w:rsidR="00F373A3" w:rsidRPr="00181FCD">
        <w:t xml:space="preserve"> </w:t>
      </w:r>
      <w:r w:rsidR="001937F4" w:rsidRPr="00181FCD">
        <w:t>cumplir</w:t>
      </w:r>
      <w:r w:rsidR="00F373A3" w:rsidRPr="00181FCD">
        <w:t xml:space="preserve"> </w:t>
      </w:r>
      <w:r w:rsidR="001937F4" w:rsidRPr="00181FCD">
        <w:t>el</w:t>
      </w:r>
      <w:r w:rsidR="00F373A3" w:rsidRPr="00181FCD">
        <w:t xml:space="preserve"> </w:t>
      </w:r>
      <w:r w:rsidR="001937F4" w:rsidRPr="00181FCD">
        <w:t>compromiso</w:t>
      </w:r>
      <w:r w:rsidR="00F373A3" w:rsidRPr="00181FCD">
        <w:t xml:space="preserve"> </w:t>
      </w:r>
      <w:r w:rsidR="001937F4" w:rsidRPr="00181FCD">
        <w:t>de</w:t>
      </w:r>
      <w:r w:rsidR="00F373A3" w:rsidRPr="00181FCD">
        <w:t xml:space="preserve"> </w:t>
      </w:r>
      <w:r w:rsidR="001937F4" w:rsidRPr="00181FCD">
        <w:t>construir</w:t>
      </w:r>
      <w:r w:rsidR="00F373A3" w:rsidRPr="00181FCD">
        <w:t xml:space="preserve"> </w:t>
      </w:r>
      <w:r w:rsidR="001937F4" w:rsidRPr="00181FCD">
        <w:t>nuevas</w:t>
      </w:r>
      <w:r w:rsidR="00F373A3" w:rsidRPr="00181FCD">
        <w:t xml:space="preserve"> </w:t>
      </w:r>
      <w:r w:rsidR="001937F4" w:rsidRPr="00181FCD">
        <w:t>prisiones</w:t>
      </w:r>
      <w:r w:rsidR="00F373A3" w:rsidRPr="00181FCD">
        <w:t xml:space="preserve"> </w:t>
      </w:r>
      <w:r w:rsidR="001937F4" w:rsidRPr="00181FCD">
        <w:t>o</w:t>
      </w:r>
      <w:r w:rsidR="00F373A3" w:rsidRPr="00181FCD">
        <w:t xml:space="preserve"> </w:t>
      </w:r>
      <w:r w:rsidR="001937F4" w:rsidRPr="00181FCD">
        <w:t>reconstruir</w:t>
      </w:r>
      <w:r w:rsidR="00F373A3" w:rsidRPr="00181FCD">
        <w:t xml:space="preserve"> </w:t>
      </w:r>
      <w:r w:rsidR="001937F4" w:rsidRPr="00181FCD">
        <w:t>y</w:t>
      </w:r>
      <w:r w:rsidR="00F373A3" w:rsidRPr="00181FCD">
        <w:t xml:space="preserve"> </w:t>
      </w:r>
      <w:r w:rsidR="001937F4" w:rsidRPr="00181FCD">
        <w:t>ampliar</w:t>
      </w:r>
      <w:r w:rsidR="00F373A3" w:rsidRPr="00181FCD">
        <w:t xml:space="preserve"> </w:t>
      </w:r>
      <w:r w:rsidR="001937F4" w:rsidRPr="00181FCD">
        <w:t>la</w:t>
      </w:r>
      <w:r w:rsidR="00F373A3" w:rsidRPr="00181FCD">
        <w:t xml:space="preserve"> </w:t>
      </w:r>
      <w:r w:rsidR="001937F4" w:rsidRPr="00181FCD">
        <w:t>capacidad</w:t>
      </w:r>
      <w:r w:rsidR="00F373A3" w:rsidRPr="00181FCD">
        <w:t xml:space="preserve"> </w:t>
      </w:r>
      <w:r w:rsidR="001937F4" w:rsidRPr="00181FCD">
        <w:t>de</w:t>
      </w:r>
      <w:r w:rsidR="00F373A3" w:rsidRPr="00181FCD">
        <w:t xml:space="preserve"> </w:t>
      </w:r>
      <w:r w:rsidR="001937F4" w:rsidRPr="00181FCD">
        <w:t>las</w:t>
      </w:r>
      <w:r w:rsidR="00F373A3" w:rsidRPr="00181FCD">
        <w:t xml:space="preserve"> </w:t>
      </w:r>
      <w:r w:rsidR="001937F4" w:rsidRPr="00181FCD">
        <w:t>existentes.</w:t>
      </w:r>
    </w:p>
    <w:p w:rsidR="001937F4" w:rsidRPr="00181FCD" w:rsidRDefault="001937F4" w:rsidP="00347B20">
      <w:pPr>
        <w:pStyle w:val="SingleTxtG"/>
        <w:suppressAutoHyphens/>
      </w:pPr>
      <w:r w:rsidRPr="00181FCD">
        <w:t>165.</w:t>
      </w:r>
      <w:r w:rsidRPr="00181FCD">
        <w:tab/>
        <w:t>No</w:t>
      </w:r>
      <w:r w:rsidR="00F373A3" w:rsidRPr="00181FCD">
        <w:t xml:space="preserve"> </w:t>
      </w:r>
      <w:r w:rsidRPr="00181FCD">
        <w:t>obstante,</w:t>
      </w:r>
      <w:r w:rsidR="00F373A3" w:rsidRPr="00181FCD">
        <w:t xml:space="preserve"> </w:t>
      </w:r>
      <w:r w:rsidRPr="00181FCD">
        <w:t>en</w:t>
      </w:r>
      <w:r w:rsidR="00F373A3" w:rsidRPr="00181FCD">
        <w:t xml:space="preserve"> </w:t>
      </w:r>
      <w:r w:rsidRPr="00181FCD">
        <w:t>el</w:t>
      </w:r>
      <w:r w:rsidR="00F373A3" w:rsidRPr="00181FCD">
        <w:t xml:space="preserve"> </w:t>
      </w:r>
      <w:r w:rsidRPr="00181FCD">
        <w:t>marco</w:t>
      </w:r>
      <w:r w:rsidR="00F373A3" w:rsidRPr="00181FCD">
        <w:t xml:space="preserve"> </w:t>
      </w:r>
      <w:r w:rsidRPr="00181FCD">
        <w:t>del</w:t>
      </w:r>
      <w:r w:rsidR="00F373A3" w:rsidRPr="00181FCD">
        <w:t xml:space="preserve"> </w:t>
      </w:r>
      <w:r w:rsidRPr="00181FCD">
        <w:t>Mecanismo</w:t>
      </w:r>
      <w:r w:rsidR="00F373A3" w:rsidRPr="00181FCD">
        <w:t xml:space="preserve"> </w:t>
      </w:r>
      <w:r w:rsidRPr="00181FCD">
        <w:t>Financiero</w:t>
      </w:r>
      <w:r w:rsidR="00F373A3" w:rsidRPr="00181FCD">
        <w:t xml:space="preserve"> </w:t>
      </w:r>
      <w:r w:rsidRPr="00181FCD">
        <w:t>Noruego</w:t>
      </w:r>
      <w:r w:rsidR="00F373A3" w:rsidRPr="00181FCD">
        <w:t xml:space="preserve"> </w:t>
      </w:r>
      <w:r w:rsidRPr="00181FCD">
        <w:t>se</w:t>
      </w:r>
      <w:r w:rsidR="00F373A3" w:rsidRPr="00181FCD">
        <w:t xml:space="preserve"> </w:t>
      </w:r>
      <w:r w:rsidRPr="00181FCD">
        <w:t>han</w:t>
      </w:r>
      <w:r w:rsidR="00F373A3" w:rsidRPr="00181FCD">
        <w:t xml:space="preserve"> </w:t>
      </w:r>
      <w:r w:rsidRPr="00181FCD">
        <w:t>emprendido</w:t>
      </w:r>
      <w:r w:rsidR="00F373A3" w:rsidRPr="00181FCD">
        <w:t xml:space="preserve"> </w:t>
      </w:r>
      <w:r w:rsidRPr="00181FCD">
        <w:t>algunas</w:t>
      </w:r>
      <w:r w:rsidR="00F373A3" w:rsidRPr="00181FCD">
        <w:t xml:space="preserve"> </w:t>
      </w:r>
      <w:r w:rsidRPr="00181FCD">
        <w:t>obras</w:t>
      </w:r>
      <w:r w:rsidR="00F373A3" w:rsidRPr="00181FCD">
        <w:t xml:space="preserve"> </w:t>
      </w:r>
      <w:r w:rsidRPr="00181FCD">
        <w:t>de</w:t>
      </w:r>
      <w:r w:rsidR="00F373A3" w:rsidRPr="00181FCD">
        <w:t xml:space="preserve"> </w:t>
      </w:r>
      <w:r w:rsidRPr="00181FCD">
        <w:t>construcción</w:t>
      </w:r>
      <w:r w:rsidR="00F373A3" w:rsidRPr="00181FCD">
        <w:t xml:space="preserve"> </w:t>
      </w:r>
      <w:r w:rsidRPr="00181FCD">
        <w:t>en</w:t>
      </w:r>
      <w:r w:rsidR="00F373A3" w:rsidRPr="00181FCD">
        <w:t xml:space="preserve"> </w:t>
      </w:r>
      <w:r w:rsidRPr="00181FCD">
        <w:t>la</w:t>
      </w:r>
      <w:r w:rsidR="00F373A3" w:rsidRPr="00181FCD">
        <w:t xml:space="preserve"> </w:t>
      </w:r>
      <w:r w:rsidRPr="00181FCD">
        <w:t>prisión</w:t>
      </w:r>
      <w:r w:rsidR="00F373A3" w:rsidRPr="00181FCD">
        <w:t xml:space="preserve"> </w:t>
      </w:r>
      <w:r w:rsidRPr="00181FCD">
        <w:t>albergue</w:t>
      </w:r>
      <w:r w:rsidR="00F373A3" w:rsidRPr="00181FCD">
        <w:t xml:space="preserve"> </w:t>
      </w:r>
      <w:r w:rsidRPr="00181FCD">
        <w:t>del</w:t>
      </w:r>
      <w:r w:rsidR="00F373A3" w:rsidRPr="00181FCD">
        <w:t xml:space="preserve"> </w:t>
      </w:r>
      <w:r w:rsidRPr="00181FCD">
        <w:t>pueblo</w:t>
      </w:r>
      <w:r w:rsidR="00F373A3" w:rsidRPr="00181FCD">
        <w:t xml:space="preserve"> </w:t>
      </w:r>
      <w:r w:rsidRPr="00181FCD">
        <w:t>de</w:t>
      </w:r>
      <w:r w:rsidR="00F373A3" w:rsidRPr="00181FCD">
        <w:t xml:space="preserve"> </w:t>
      </w:r>
      <w:r w:rsidRPr="00181FCD">
        <w:t>Debelt,</w:t>
      </w:r>
      <w:r w:rsidR="00F373A3" w:rsidRPr="00181FCD">
        <w:t xml:space="preserve"> </w:t>
      </w:r>
      <w:r w:rsidRPr="00181FCD">
        <w:t>que</w:t>
      </w:r>
      <w:r w:rsidR="00F373A3" w:rsidRPr="00181FCD">
        <w:t xml:space="preserve"> </w:t>
      </w:r>
      <w:r w:rsidRPr="00181FCD">
        <w:t>forma</w:t>
      </w:r>
      <w:r w:rsidR="00F373A3" w:rsidRPr="00181FCD">
        <w:t xml:space="preserve"> </w:t>
      </w:r>
      <w:r w:rsidRPr="00181FCD">
        <w:t>parte</w:t>
      </w:r>
      <w:r w:rsidR="00F373A3" w:rsidRPr="00181FCD">
        <w:t xml:space="preserve"> </w:t>
      </w:r>
      <w:r w:rsidRPr="00181FCD">
        <w:t>de</w:t>
      </w:r>
      <w:r w:rsidR="00F373A3" w:rsidRPr="00181FCD">
        <w:t xml:space="preserve"> </w:t>
      </w:r>
      <w:r w:rsidRPr="00181FCD">
        <w:t>la</w:t>
      </w:r>
      <w:r w:rsidR="00F373A3" w:rsidRPr="00181FCD">
        <w:t xml:space="preserve"> </w:t>
      </w:r>
      <w:r w:rsidRPr="00181FCD">
        <w:t>cárcel</w:t>
      </w:r>
      <w:r w:rsidR="00F373A3" w:rsidRPr="00181FCD">
        <w:t xml:space="preserve"> </w:t>
      </w:r>
      <w:r w:rsidRPr="00181FCD">
        <w:t>de</w:t>
      </w:r>
      <w:r w:rsidR="00F373A3" w:rsidRPr="00181FCD">
        <w:t xml:space="preserve"> </w:t>
      </w:r>
      <w:r w:rsidRPr="00181FCD">
        <w:t>la</w:t>
      </w:r>
      <w:r w:rsidR="00F373A3" w:rsidRPr="00181FCD">
        <w:t xml:space="preserve"> </w:t>
      </w:r>
      <w:r w:rsidRPr="00181FCD">
        <w:t>ciudad</w:t>
      </w:r>
      <w:r w:rsidR="00F373A3" w:rsidRPr="00181FCD">
        <w:t xml:space="preserve"> </w:t>
      </w:r>
      <w:r w:rsidRPr="00181FCD">
        <w:t>de</w:t>
      </w:r>
      <w:r w:rsidR="00F373A3" w:rsidRPr="00181FCD">
        <w:t xml:space="preserve"> </w:t>
      </w:r>
      <w:r w:rsidRPr="00181FCD">
        <w:t>Burgas,</w:t>
      </w:r>
      <w:r w:rsidR="00F373A3" w:rsidRPr="00181FCD">
        <w:t xml:space="preserve"> </w:t>
      </w:r>
      <w:r w:rsidRPr="00181FCD">
        <w:t>así</w:t>
      </w:r>
      <w:r w:rsidR="00F373A3" w:rsidRPr="00181FCD">
        <w:t xml:space="preserve"> </w:t>
      </w:r>
      <w:r w:rsidRPr="00181FCD">
        <w:t>como</w:t>
      </w:r>
      <w:r w:rsidR="00F373A3" w:rsidRPr="00181FCD">
        <w:t xml:space="preserve"> </w:t>
      </w:r>
      <w:r w:rsidRPr="00181FCD">
        <w:t>en</w:t>
      </w:r>
      <w:r w:rsidR="00F373A3" w:rsidRPr="00181FCD">
        <w:t xml:space="preserve"> </w:t>
      </w:r>
      <w:r w:rsidRPr="00181FCD">
        <w:t>la</w:t>
      </w:r>
      <w:r w:rsidR="00F373A3" w:rsidRPr="00181FCD">
        <w:t xml:space="preserve"> </w:t>
      </w:r>
      <w:r w:rsidRPr="00181FCD">
        <w:t>prisión</w:t>
      </w:r>
      <w:r w:rsidR="00F373A3" w:rsidRPr="00181FCD">
        <w:t xml:space="preserve"> </w:t>
      </w:r>
      <w:r w:rsidRPr="00181FCD">
        <w:t>albergue</w:t>
      </w:r>
      <w:r w:rsidR="00F373A3" w:rsidRPr="00181FCD">
        <w:t xml:space="preserve"> </w:t>
      </w:r>
      <w:r w:rsidRPr="00181FCD">
        <w:t>de</w:t>
      </w:r>
      <w:r w:rsidR="00F373A3" w:rsidRPr="00181FCD">
        <w:t xml:space="preserve"> </w:t>
      </w:r>
      <w:r w:rsidRPr="00181FCD">
        <w:t>Razdelna,</w:t>
      </w:r>
      <w:r w:rsidR="00F373A3" w:rsidRPr="00181FCD">
        <w:t xml:space="preserve"> </w:t>
      </w:r>
      <w:r w:rsidRPr="00181FCD">
        <w:t>que</w:t>
      </w:r>
      <w:r w:rsidR="00F373A3" w:rsidRPr="00181FCD">
        <w:t xml:space="preserve"> </w:t>
      </w:r>
      <w:r w:rsidRPr="00181FCD">
        <w:t>forma</w:t>
      </w:r>
      <w:r w:rsidR="00F373A3" w:rsidRPr="00181FCD">
        <w:t xml:space="preserve"> </w:t>
      </w:r>
      <w:r w:rsidRPr="00181FCD">
        <w:t>parte</w:t>
      </w:r>
      <w:r w:rsidR="00F373A3" w:rsidRPr="00181FCD">
        <w:t xml:space="preserve"> </w:t>
      </w:r>
      <w:r w:rsidRPr="00181FCD">
        <w:t>de</w:t>
      </w:r>
      <w:r w:rsidR="00F373A3" w:rsidRPr="00181FCD">
        <w:t xml:space="preserve"> </w:t>
      </w:r>
      <w:r w:rsidRPr="00181FCD">
        <w:t>la</w:t>
      </w:r>
      <w:r w:rsidR="00F373A3" w:rsidRPr="00181FCD">
        <w:t xml:space="preserve"> </w:t>
      </w:r>
      <w:r w:rsidRPr="00181FCD">
        <w:t>cárcel</w:t>
      </w:r>
      <w:r w:rsidR="00F373A3" w:rsidRPr="00181FCD">
        <w:t xml:space="preserve"> </w:t>
      </w:r>
      <w:r w:rsidRPr="00181FCD">
        <w:t>de</w:t>
      </w:r>
      <w:r w:rsidR="00F373A3" w:rsidRPr="00181FCD">
        <w:t xml:space="preserve"> </w:t>
      </w:r>
      <w:r w:rsidRPr="00181FCD">
        <w:t>Varna.</w:t>
      </w:r>
      <w:r w:rsidR="00F373A3" w:rsidRPr="00181FCD">
        <w:t xml:space="preserve"> </w:t>
      </w:r>
      <w:r w:rsidRPr="00181FCD">
        <w:t>Una</w:t>
      </w:r>
      <w:r w:rsidR="00F373A3" w:rsidRPr="00181FCD">
        <w:t xml:space="preserve"> </w:t>
      </w:r>
      <w:r w:rsidRPr="00181FCD">
        <w:t>vez</w:t>
      </w:r>
      <w:r w:rsidR="00F373A3" w:rsidRPr="00181FCD">
        <w:t xml:space="preserve"> </w:t>
      </w:r>
      <w:r w:rsidRPr="00181FCD">
        <w:t>que</w:t>
      </w:r>
      <w:r w:rsidR="00F373A3" w:rsidRPr="00181FCD">
        <w:t xml:space="preserve"> </w:t>
      </w:r>
      <w:r w:rsidRPr="00181FCD">
        <w:t>finalicen</w:t>
      </w:r>
      <w:r w:rsidR="00F373A3" w:rsidRPr="00181FCD">
        <w:t xml:space="preserve"> </w:t>
      </w:r>
      <w:r w:rsidRPr="00181FCD">
        <w:t>las</w:t>
      </w:r>
      <w:r w:rsidR="00F373A3" w:rsidRPr="00181FCD">
        <w:t xml:space="preserve"> </w:t>
      </w:r>
      <w:r w:rsidRPr="00181FCD">
        <w:t>obras,</w:t>
      </w:r>
      <w:r w:rsidR="00F373A3" w:rsidRPr="00181FCD">
        <w:t xml:space="preserve"> </w:t>
      </w:r>
      <w:r w:rsidRPr="00181FCD">
        <w:t>se</w:t>
      </w:r>
      <w:r w:rsidR="00F373A3" w:rsidRPr="00181FCD">
        <w:t xml:space="preserve"> </w:t>
      </w:r>
      <w:r w:rsidRPr="00181FCD">
        <w:t>trasladará</w:t>
      </w:r>
      <w:r w:rsidR="00F373A3" w:rsidRPr="00181FCD">
        <w:t xml:space="preserve"> </w:t>
      </w:r>
      <w:r w:rsidRPr="00181FCD">
        <w:t>a</w:t>
      </w:r>
      <w:r w:rsidR="00F373A3" w:rsidRPr="00181FCD">
        <w:t xml:space="preserve"> </w:t>
      </w:r>
      <w:r w:rsidRPr="00181FCD">
        <w:t>algunos</w:t>
      </w:r>
      <w:r w:rsidR="00F373A3" w:rsidRPr="00181FCD">
        <w:t xml:space="preserve"> </w:t>
      </w:r>
      <w:r w:rsidRPr="00181FCD">
        <w:t>reclusos</w:t>
      </w:r>
      <w:r w:rsidR="00F373A3" w:rsidRPr="00181FCD">
        <w:t xml:space="preserve"> </w:t>
      </w:r>
      <w:r w:rsidRPr="00181FCD">
        <w:t>a</w:t>
      </w:r>
      <w:r w:rsidR="00F373A3" w:rsidRPr="00181FCD">
        <w:t xml:space="preserve"> </w:t>
      </w:r>
      <w:r w:rsidRPr="00181FCD">
        <w:t>esas</w:t>
      </w:r>
      <w:r w:rsidR="00F373A3" w:rsidRPr="00181FCD">
        <w:t xml:space="preserve"> </w:t>
      </w:r>
      <w:r w:rsidRPr="00181FCD">
        <w:t>instalaciones,</w:t>
      </w:r>
      <w:r w:rsidR="00F373A3" w:rsidRPr="00181FCD">
        <w:t xml:space="preserve"> </w:t>
      </w:r>
      <w:r w:rsidRPr="00181FCD">
        <w:t>con</w:t>
      </w:r>
      <w:r w:rsidR="00F373A3" w:rsidRPr="00181FCD">
        <w:t xml:space="preserve"> </w:t>
      </w:r>
      <w:r w:rsidRPr="00181FCD">
        <w:t>lo</w:t>
      </w:r>
      <w:r w:rsidR="00F373A3" w:rsidRPr="00181FCD">
        <w:t xml:space="preserve"> </w:t>
      </w:r>
      <w:r w:rsidRPr="00181FCD">
        <w:t>que</w:t>
      </w:r>
      <w:r w:rsidR="00F373A3" w:rsidRPr="00181FCD">
        <w:t xml:space="preserve"> </w:t>
      </w:r>
      <w:r w:rsidRPr="00181FCD">
        <w:t>se</w:t>
      </w:r>
      <w:r w:rsidR="00F373A3" w:rsidRPr="00181FCD">
        <w:t xml:space="preserve"> </w:t>
      </w:r>
      <w:r w:rsidRPr="00181FCD">
        <w:t>resolverá</w:t>
      </w:r>
      <w:r w:rsidR="00F373A3" w:rsidRPr="00181FCD">
        <w:t xml:space="preserve"> </w:t>
      </w:r>
      <w:r w:rsidRPr="00181FCD">
        <w:t>el</w:t>
      </w:r>
      <w:r w:rsidR="00F373A3" w:rsidRPr="00181FCD">
        <w:t xml:space="preserve"> </w:t>
      </w:r>
      <w:r w:rsidRPr="00181FCD">
        <w:t>problema</w:t>
      </w:r>
      <w:r w:rsidR="00F373A3" w:rsidRPr="00181FCD">
        <w:t xml:space="preserve"> </w:t>
      </w:r>
      <w:r w:rsidRPr="00181FCD">
        <w:t>de</w:t>
      </w:r>
      <w:r w:rsidR="00F373A3" w:rsidRPr="00181FCD">
        <w:t xml:space="preserve"> </w:t>
      </w:r>
      <w:r w:rsidRPr="00181FCD">
        <w:t>hacinamiento</w:t>
      </w:r>
      <w:r w:rsidR="00F373A3" w:rsidRPr="00181FCD">
        <w:t xml:space="preserve"> </w:t>
      </w:r>
      <w:r w:rsidRPr="00181FCD">
        <w:t>en</w:t>
      </w:r>
      <w:r w:rsidR="00F373A3" w:rsidRPr="00181FCD">
        <w:t xml:space="preserve"> </w:t>
      </w:r>
      <w:r w:rsidRPr="00181FCD">
        <w:t>las</w:t>
      </w:r>
      <w:r w:rsidR="00F373A3" w:rsidRPr="00181FCD">
        <w:t xml:space="preserve"> </w:t>
      </w:r>
      <w:r w:rsidRPr="00181FCD">
        <w:t>dos</w:t>
      </w:r>
      <w:r w:rsidR="00F373A3" w:rsidRPr="00181FCD">
        <w:t xml:space="preserve"> </w:t>
      </w:r>
      <w:r w:rsidRPr="00181FCD">
        <w:t>cárceles.</w:t>
      </w:r>
    </w:p>
    <w:p w:rsidR="001937F4" w:rsidRPr="00181FCD" w:rsidRDefault="001937F4" w:rsidP="00347B20">
      <w:pPr>
        <w:pStyle w:val="SingleTxtG"/>
        <w:suppressAutoHyphens/>
      </w:pPr>
      <w:r w:rsidRPr="00181FCD">
        <w:t>166.</w:t>
      </w:r>
      <w:r w:rsidRPr="00181FCD">
        <w:tab/>
        <w:t>El</w:t>
      </w:r>
      <w:r w:rsidR="00F373A3" w:rsidRPr="00181FCD">
        <w:t xml:space="preserve"> </w:t>
      </w:r>
      <w:r w:rsidRPr="00181FCD">
        <w:t>1</w:t>
      </w:r>
      <w:r w:rsidR="00F373A3" w:rsidRPr="00181FCD">
        <w:t xml:space="preserve"> </w:t>
      </w:r>
      <w:r w:rsidRPr="00181FCD">
        <w:t>de</w:t>
      </w:r>
      <w:r w:rsidR="00F373A3" w:rsidRPr="00181FCD">
        <w:t xml:space="preserve"> </w:t>
      </w:r>
      <w:r w:rsidRPr="00181FCD">
        <w:t>enero</w:t>
      </w:r>
      <w:r w:rsidR="00F373A3" w:rsidRPr="00181FCD">
        <w:t xml:space="preserve"> </w:t>
      </w:r>
      <w:r w:rsidRPr="00181FCD">
        <w:t>de</w:t>
      </w:r>
      <w:r w:rsidR="00F373A3" w:rsidRPr="00181FCD">
        <w:t xml:space="preserve"> </w:t>
      </w:r>
      <w:r w:rsidRPr="00181FCD">
        <w:t>2019</w:t>
      </w:r>
      <w:r w:rsidR="00F373A3" w:rsidRPr="00181FCD">
        <w:t xml:space="preserve"> </w:t>
      </w:r>
      <w:r w:rsidRPr="00181FCD">
        <w:t>entrará</w:t>
      </w:r>
      <w:r w:rsidR="00F373A3" w:rsidRPr="00181FCD">
        <w:t xml:space="preserve"> </w:t>
      </w:r>
      <w:r w:rsidRPr="00181FCD">
        <w:t>en</w:t>
      </w:r>
      <w:r w:rsidR="00F373A3" w:rsidRPr="00181FCD">
        <w:t xml:space="preserve"> </w:t>
      </w:r>
      <w:r w:rsidRPr="00181FCD">
        <w:t>vigor</w:t>
      </w:r>
      <w:r w:rsidR="00F373A3" w:rsidRPr="00181FCD">
        <w:t xml:space="preserve"> </w:t>
      </w:r>
      <w:r w:rsidRPr="00181FCD">
        <w:t>la</w:t>
      </w:r>
      <w:r w:rsidR="00F373A3" w:rsidRPr="00181FCD">
        <w:t xml:space="preserve"> </w:t>
      </w:r>
      <w:r w:rsidRPr="00181FCD">
        <w:t>reglamentación</w:t>
      </w:r>
      <w:r w:rsidR="00F373A3" w:rsidRPr="00181FCD">
        <w:t xml:space="preserve"> </w:t>
      </w:r>
      <w:r w:rsidRPr="00181FCD">
        <w:t>de</w:t>
      </w:r>
      <w:r w:rsidR="00F373A3" w:rsidRPr="00181FCD">
        <w:t xml:space="preserve"> </w:t>
      </w:r>
      <w:r w:rsidRPr="00181FCD">
        <w:t>la</w:t>
      </w:r>
      <w:r w:rsidR="00F373A3" w:rsidRPr="00181FCD">
        <w:t xml:space="preserve"> </w:t>
      </w:r>
      <w:r w:rsidRPr="00181FCD">
        <w:t>Ley</w:t>
      </w:r>
      <w:r w:rsidR="00F373A3" w:rsidRPr="00181FCD">
        <w:t xml:space="preserve"> </w:t>
      </w:r>
      <w:r w:rsidRPr="00181FCD">
        <w:t>de</w:t>
      </w:r>
      <w:r w:rsidR="00F373A3" w:rsidRPr="00181FCD">
        <w:t xml:space="preserve"> </w:t>
      </w:r>
      <w:r w:rsidRPr="00181FCD">
        <w:t>Ejecución</w:t>
      </w:r>
      <w:r w:rsidR="00F373A3" w:rsidRPr="00181FCD">
        <w:t xml:space="preserve"> </w:t>
      </w:r>
      <w:r w:rsidRPr="00181FCD">
        <w:t>de</w:t>
      </w:r>
      <w:r w:rsidR="00F373A3" w:rsidRPr="00181FCD">
        <w:t xml:space="preserve"> </w:t>
      </w:r>
      <w:r w:rsidRPr="00181FCD">
        <w:t>Penas</w:t>
      </w:r>
      <w:r w:rsidR="00F373A3" w:rsidRPr="00181FCD">
        <w:t xml:space="preserve"> </w:t>
      </w:r>
      <w:r w:rsidRPr="00181FCD">
        <w:t>y</w:t>
      </w:r>
      <w:r w:rsidR="00F373A3" w:rsidRPr="00181FCD">
        <w:t xml:space="preserve"> </w:t>
      </w:r>
      <w:r w:rsidRPr="00181FCD">
        <w:t>Detención</w:t>
      </w:r>
      <w:r w:rsidR="00F373A3" w:rsidRPr="00181FCD">
        <w:t xml:space="preserve"> </w:t>
      </w:r>
      <w:r w:rsidRPr="00181FCD">
        <w:t>Preventiva,</w:t>
      </w:r>
      <w:r w:rsidR="00F373A3" w:rsidRPr="00181FCD">
        <w:t xml:space="preserve"> </w:t>
      </w:r>
      <w:r w:rsidRPr="00181FCD">
        <w:t>que</w:t>
      </w:r>
      <w:r w:rsidR="00F373A3" w:rsidRPr="00181FCD">
        <w:t xml:space="preserve"> </w:t>
      </w:r>
      <w:r w:rsidRPr="00181FCD">
        <w:t>regula</w:t>
      </w:r>
      <w:r w:rsidR="00F373A3" w:rsidRPr="00181FCD">
        <w:t xml:space="preserve"> </w:t>
      </w:r>
      <w:r w:rsidRPr="00181FCD">
        <w:t>la</w:t>
      </w:r>
      <w:r w:rsidR="00F373A3" w:rsidRPr="00181FCD">
        <w:t xml:space="preserve"> </w:t>
      </w:r>
      <w:r w:rsidRPr="00181FCD">
        <w:t>aplicación</w:t>
      </w:r>
      <w:r w:rsidR="00F373A3" w:rsidRPr="00181FCD">
        <w:t xml:space="preserve"> </w:t>
      </w:r>
      <w:r w:rsidRPr="00181FCD">
        <w:t>de</w:t>
      </w:r>
      <w:r w:rsidR="00F373A3" w:rsidRPr="00181FCD">
        <w:t xml:space="preserve"> </w:t>
      </w:r>
      <w:r w:rsidRPr="00181FCD">
        <w:t>una</w:t>
      </w:r>
      <w:r w:rsidR="00F373A3" w:rsidRPr="00181FCD">
        <w:t xml:space="preserve"> </w:t>
      </w:r>
      <w:r w:rsidRPr="00181FCD">
        <w:t>norma</w:t>
      </w:r>
      <w:r w:rsidR="00F373A3" w:rsidRPr="00181FCD">
        <w:t xml:space="preserve"> </w:t>
      </w:r>
      <w:r w:rsidRPr="00181FCD">
        <w:t>para</w:t>
      </w:r>
      <w:r w:rsidR="00F373A3" w:rsidRPr="00181FCD">
        <w:t xml:space="preserve"> </w:t>
      </w:r>
      <w:r w:rsidRPr="00181FCD">
        <w:t>ofrecer</w:t>
      </w:r>
      <w:r w:rsidR="00F373A3" w:rsidRPr="00181FCD">
        <w:t xml:space="preserve"> </w:t>
      </w:r>
      <w:r w:rsidRPr="00181FCD">
        <w:t>a</w:t>
      </w:r>
      <w:r w:rsidR="00F373A3" w:rsidRPr="00181FCD">
        <w:t xml:space="preserve"> </w:t>
      </w:r>
      <w:r w:rsidRPr="00181FCD">
        <w:t>cada</w:t>
      </w:r>
      <w:r w:rsidR="00F373A3" w:rsidRPr="00181FCD">
        <w:t xml:space="preserve"> </w:t>
      </w:r>
      <w:r w:rsidRPr="00181FCD">
        <w:t>recluso</w:t>
      </w:r>
      <w:r w:rsidR="00F373A3" w:rsidRPr="00181FCD">
        <w:t xml:space="preserve"> </w:t>
      </w:r>
      <w:r w:rsidRPr="00181FCD">
        <w:t>una</w:t>
      </w:r>
      <w:r w:rsidR="00F373A3" w:rsidRPr="00181FCD">
        <w:t xml:space="preserve"> </w:t>
      </w:r>
      <w:r w:rsidRPr="00181FCD">
        <w:t>superficie</w:t>
      </w:r>
      <w:r w:rsidR="00F373A3" w:rsidRPr="00181FCD">
        <w:t xml:space="preserve"> </w:t>
      </w:r>
      <w:r w:rsidRPr="00181FCD">
        <w:t>mínima</w:t>
      </w:r>
      <w:r w:rsidR="00F373A3" w:rsidRPr="00181FCD">
        <w:t xml:space="preserve"> </w:t>
      </w:r>
      <w:r w:rsidRPr="00181FCD">
        <w:t>de</w:t>
      </w:r>
      <w:r w:rsidR="00F373A3" w:rsidRPr="00181FCD">
        <w:t xml:space="preserve"> </w:t>
      </w:r>
      <w:r w:rsidRPr="00181FCD">
        <w:t>4</w:t>
      </w:r>
      <w:r w:rsidR="00F373A3" w:rsidRPr="00181FCD">
        <w:t xml:space="preserve"> </w:t>
      </w:r>
      <w:r w:rsidR="002C1B2F" w:rsidRPr="00181FCD">
        <w:t>m</w:t>
      </w:r>
      <w:r w:rsidR="002C1B2F" w:rsidRPr="00181FCD">
        <w:rPr>
          <w:vertAlign w:val="superscript"/>
        </w:rPr>
        <w:t>2</w:t>
      </w:r>
      <w:r w:rsidRPr="00181FCD">
        <w:t>.</w:t>
      </w:r>
    </w:p>
    <w:p w:rsidR="001937F4" w:rsidRPr="00181FCD" w:rsidRDefault="00BE74A7" w:rsidP="00BE74A7">
      <w:pPr>
        <w:pStyle w:val="H23G"/>
        <w:jc w:val="both"/>
      </w:pPr>
      <w:r w:rsidRPr="00181FCD">
        <w:tab/>
      </w:r>
      <w:r w:rsidR="001937F4" w:rsidRPr="00181FCD">
        <w:t>d)</w:t>
      </w:r>
      <w:r w:rsidR="001937F4" w:rsidRPr="00181FCD">
        <w:tab/>
        <w:t>La</w:t>
      </w:r>
      <w:r w:rsidR="00F373A3" w:rsidRPr="00181FCD">
        <w:t xml:space="preserve"> </w:t>
      </w:r>
      <w:r w:rsidR="001937F4" w:rsidRPr="00181FCD">
        <w:t>práctica</w:t>
      </w:r>
      <w:r w:rsidR="00F373A3" w:rsidRPr="00181FCD">
        <w:t xml:space="preserve"> </w:t>
      </w:r>
      <w:r w:rsidR="001937F4" w:rsidRPr="00181FCD">
        <w:t>confirmada</w:t>
      </w:r>
      <w:r w:rsidR="00F373A3" w:rsidRPr="00181FCD">
        <w:t xml:space="preserve"> </w:t>
      </w:r>
      <w:r w:rsidR="001937F4" w:rsidRPr="00181FCD">
        <w:t>de</w:t>
      </w:r>
      <w:r w:rsidR="00F373A3" w:rsidRPr="00181FCD">
        <w:t xml:space="preserve"> </w:t>
      </w:r>
      <w:r w:rsidR="001937F4" w:rsidRPr="00181FCD">
        <w:t>casos</w:t>
      </w:r>
      <w:r w:rsidR="00F373A3" w:rsidRPr="00181FCD">
        <w:t xml:space="preserve"> </w:t>
      </w:r>
      <w:r w:rsidR="001937F4" w:rsidRPr="00181FCD">
        <w:t>de</w:t>
      </w:r>
      <w:r w:rsidR="00F373A3" w:rsidRPr="00181FCD">
        <w:t xml:space="preserve"> </w:t>
      </w:r>
      <w:r w:rsidR="001937F4" w:rsidRPr="00181FCD">
        <w:t>corrupción</w:t>
      </w:r>
      <w:r w:rsidR="00F373A3" w:rsidRPr="00181FCD">
        <w:t xml:space="preserve"> </w:t>
      </w:r>
      <w:r w:rsidR="001937F4" w:rsidRPr="00181FCD">
        <w:t>mostró</w:t>
      </w:r>
      <w:r w:rsidR="00F373A3" w:rsidRPr="00181FCD">
        <w:t xml:space="preserve"> </w:t>
      </w:r>
      <w:r w:rsidR="001937F4" w:rsidRPr="00181FCD">
        <w:t>la</w:t>
      </w:r>
      <w:r w:rsidR="00F373A3" w:rsidRPr="00181FCD">
        <w:t xml:space="preserve"> </w:t>
      </w:r>
      <w:r w:rsidR="001937F4" w:rsidRPr="00181FCD">
        <w:t>necesidad</w:t>
      </w:r>
      <w:r w:rsidR="00F373A3" w:rsidRPr="00181FCD">
        <w:t xml:space="preserve"> </w:t>
      </w:r>
      <w:r w:rsidR="001937F4" w:rsidRPr="00181FCD">
        <w:t>de</w:t>
      </w:r>
      <w:r w:rsidR="00F373A3" w:rsidRPr="00181FCD">
        <w:t xml:space="preserve"> </w:t>
      </w:r>
      <w:r w:rsidR="001937F4" w:rsidRPr="00181FCD">
        <w:t>elaborar</w:t>
      </w:r>
      <w:r w:rsidR="00F373A3" w:rsidRPr="00181FCD">
        <w:t xml:space="preserve"> </w:t>
      </w:r>
      <w:r w:rsidR="001937F4" w:rsidRPr="00181FCD">
        <w:t>una</w:t>
      </w:r>
      <w:r w:rsidR="00F373A3" w:rsidRPr="00181FCD">
        <w:t xml:space="preserve"> </w:t>
      </w:r>
      <w:r w:rsidR="001937F4" w:rsidRPr="00181FCD">
        <w:t>Estrategia</w:t>
      </w:r>
      <w:r w:rsidR="00F373A3" w:rsidRPr="00181FCD">
        <w:t xml:space="preserve"> </w:t>
      </w:r>
      <w:r w:rsidR="001937F4" w:rsidRPr="00181FCD">
        <w:t>para</w:t>
      </w:r>
      <w:r w:rsidR="00F373A3" w:rsidRPr="00181FCD">
        <w:t xml:space="preserve"> </w:t>
      </w:r>
      <w:r w:rsidR="001937F4" w:rsidRPr="00181FCD">
        <w:t>Prevenir</w:t>
      </w:r>
      <w:r w:rsidR="00F373A3" w:rsidRPr="00181FCD">
        <w:t xml:space="preserve"> </w:t>
      </w:r>
      <w:r w:rsidR="001937F4" w:rsidRPr="00181FCD">
        <w:t>y</w:t>
      </w:r>
      <w:r w:rsidR="00F373A3" w:rsidRPr="00181FCD">
        <w:t xml:space="preserve"> </w:t>
      </w:r>
      <w:r w:rsidR="001937F4" w:rsidRPr="00181FCD">
        <w:t>Combatir</w:t>
      </w:r>
      <w:r w:rsidR="00F373A3" w:rsidRPr="00181FCD">
        <w:t xml:space="preserve"> </w:t>
      </w:r>
      <w:r w:rsidR="001937F4" w:rsidRPr="00181FCD">
        <w:t>la</w:t>
      </w:r>
      <w:r w:rsidR="00F373A3" w:rsidRPr="00181FCD">
        <w:t xml:space="preserve"> </w:t>
      </w:r>
      <w:r w:rsidR="001937F4" w:rsidRPr="00181FCD">
        <w:t>Corrupción</w:t>
      </w:r>
      <w:r w:rsidR="00F373A3" w:rsidRPr="00181FCD">
        <w:t xml:space="preserve"> </w:t>
      </w:r>
      <w:r w:rsidR="001937F4" w:rsidRPr="00181FCD">
        <w:t>en</w:t>
      </w:r>
      <w:r w:rsidR="00F373A3" w:rsidRPr="00181FCD">
        <w:t xml:space="preserve"> </w:t>
      </w:r>
      <w:r w:rsidR="001937F4" w:rsidRPr="00181FCD">
        <w:t>la</w:t>
      </w:r>
      <w:r w:rsidR="00F373A3" w:rsidRPr="00181FCD">
        <w:t xml:space="preserve"> </w:t>
      </w:r>
      <w:r w:rsidR="001937F4" w:rsidRPr="00181FCD">
        <w:t>Dirección</w:t>
      </w:r>
      <w:r w:rsidR="00F373A3" w:rsidRPr="00181FCD">
        <w:t xml:space="preserve"> </w:t>
      </w:r>
      <w:r w:rsidR="001937F4" w:rsidRPr="00181FCD">
        <w:t>General</w:t>
      </w:r>
      <w:r w:rsidR="00F373A3" w:rsidRPr="00181FCD">
        <w:t xml:space="preserve"> </w:t>
      </w:r>
      <w:r w:rsidR="001937F4" w:rsidRPr="00181FCD">
        <w:t>de</w:t>
      </w:r>
      <w:r w:rsidR="00F373A3" w:rsidRPr="00181FCD">
        <w:t xml:space="preserve"> </w:t>
      </w:r>
      <w:r w:rsidR="001937F4" w:rsidRPr="00181FCD">
        <w:t>Ejecución</w:t>
      </w:r>
      <w:r w:rsidR="00F373A3" w:rsidRPr="00181FCD">
        <w:t xml:space="preserve"> </w:t>
      </w:r>
      <w:r w:rsidR="001937F4" w:rsidRPr="00181FCD">
        <w:t>de</w:t>
      </w:r>
      <w:r w:rsidR="00F373A3" w:rsidRPr="00181FCD">
        <w:t xml:space="preserve"> </w:t>
      </w:r>
      <w:r w:rsidR="001937F4" w:rsidRPr="00181FCD">
        <w:t>Penas</w:t>
      </w:r>
      <w:r w:rsidR="00F373A3" w:rsidRPr="00181FCD">
        <w:t xml:space="preserve"> </w:t>
      </w:r>
      <w:r w:rsidR="001937F4" w:rsidRPr="00181FCD">
        <w:t>y</w:t>
      </w:r>
      <w:r w:rsidR="00F373A3" w:rsidRPr="00181FCD">
        <w:t xml:space="preserve"> </w:t>
      </w:r>
      <w:r w:rsidR="001937F4" w:rsidRPr="00181FCD">
        <w:t>sus</w:t>
      </w:r>
      <w:r w:rsidR="00F373A3" w:rsidRPr="00181FCD">
        <w:t xml:space="preserve"> </w:t>
      </w:r>
      <w:r w:rsidR="001937F4" w:rsidRPr="00181FCD">
        <w:t>unidades</w:t>
      </w:r>
      <w:r w:rsidR="00F373A3" w:rsidRPr="00181FCD">
        <w:t xml:space="preserve"> </w:t>
      </w:r>
      <w:r w:rsidR="001937F4" w:rsidRPr="00181FCD">
        <w:t>territoriales.</w:t>
      </w:r>
      <w:r w:rsidR="00F373A3" w:rsidRPr="00181FCD">
        <w:t xml:space="preserve"> </w:t>
      </w:r>
      <w:r w:rsidR="001937F4" w:rsidRPr="00181FCD">
        <w:t>En</w:t>
      </w:r>
      <w:r w:rsidR="00F373A3" w:rsidRPr="00181FCD">
        <w:t xml:space="preserve"> </w:t>
      </w:r>
      <w:r w:rsidR="001937F4" w:rsidRPr="00181FCD">
        <w:t>2012,</w:t>
      </w:r>
      <w:r w:rsidR="00F373A3" w:rsidRPr="00181FCD">
        <w:t xml:space="preserve"> </w:t>
      </w:r>
      <w:r w:rsidR="001937F4" w:rsidRPr="00181FCD">
        <w:t>el</w:t>
      </w:r>
      <w:r w:rsidR="00F373A3" w:rsidRPr="00181FCD">
        <w:t xml:space="preserve"> </w:t>
      </w:r>
      <w:r w:rsidR="001937F4" w:rsidRPr="00181FCD">
        <w:t>Ministerio</w:t>
      </w:r>
      <w:r w:rsidR="00F373A3" w:rsidRPr="00181FCD">
        <w:t xml:space="preserve"> </w:t>
      </w:r>
      <w:r w:rsidR="001937F4" w:rsidRPr="00181FCD">
        <w:t>de</w:t>
      </w:r>
      <w:r w:rsidR="00F373A3" w:rsidRPr="00181FCD">
        <w:t xml:space="preserve"> </w:t>
      </w:r>
      <w:r w:rsidR="001937F4" w:rsidRPr="00181FCD">
        <w:t>Justicia</w:t>
      </w:r>
      <w:r w:rsidR="00F373A3" w:rsidRPr="00181FCD">
        <w:t xml:space="preserve"> </w:t>
      </w:r>
      <w:r w:rsidR="001937F4" w:rsidRPr="00181FCD">
        <w:t>aprobó</w:t>
      </w:r>
      <w:r w:rsidR="00F373A3" w:rsidRPr="00181FCD">
        <w:t xml:space="preserve"> </w:t>
      </w:r>
      <w:r w:rsidR="001937F4" w:rsidRPr="00181FCD">
        <w:t>la</w:t>
      </w:r>
      <w:r w:rsidR="00F373A3" w:rsidRPr="00181FCD">
        <w:t xml:space="preserve"> </w:t>
      </w:r>
      <w:r w:rsidR="001937F4" w:rsidRPr="00181FCD">
        <w:t>Estrategia,</w:t>
      </w:r>
      <w:r w:rsidR="00F373A3" w:rsidRPr="00181FCD">
        <w:t xml:space="preserve"> </w:t>
      </w:r>
      <w:r w:rsidR="001937F4" w:rsidRPr="00181FCD">
        <w:t>que</w:t>
      </w:r>
      <w:r w:rsidR="00F373A3" w:rsidRPr="00181FCD">
        <w:t xml:space="preserve"> </w:t>
      </w:r>
      <w:r w:rsidR="001937F4" w:rsidRPr="00181FCD">
        <w:t>se</w:t>
      </w:r>
      <w:r w:rsidR="00F373A3" w:rsidRPr="00181FCD">
        <w:t xml:space="preserve"> </w:t>
      </w:r>
      <w:r w:rsidR="001937F4" w:rsidRPr="00181FCD">
        <w:t>envió</w:t>
      </w:r>
      <w:r w:rsidR="00F373A3" w:rsidRPr="00181FCD">
        <w:t xml:space="preserve"> </w:t>
      </w:r>
      <w:r w:rsidR="001937F4" w:rsidRPr="00181FCD">
        <w:t>a</w:t>
      </w:r>
      <w:r w:rsidR="00F373A3" w:rsidRPr="00181FCD">
        <w:t xml:space="preserve"> </w:t>
      </w:r>
      <w:r w:rsidR="001937F4" w:rsidRPr="00181FCD">
        <w:t>los</w:t>
      </w:r>
      <w:r w:rsidR="00F373A3" w:rsidRPr="00181FCD">
        <w:t xml:space="preserve"> </w:t>
      </w:r>
      <w:r w:rsidR="001937F4" w:rsidRPr="00181FCD">
        <w:t>empleados</w:t>
      </w:r>
      <w:r w:rsidR="00F373A3" w:rsidRPr="00181FCD">
        <w:t xml:space="preserve"> </w:t>
      </w:r>
      <w:r w:rsidR="001937F4" w:rsidRPr="00181FCD">
        <w:t>de</w:t>
      </w:r>
      <w:r w:rsidR="00F373A3" w:rsidRPr="00181FCD">
        <w:t xml:space="preserve"> </w:t>
      </w:r>
      <w:r w:rsidR="001937F4" w:rsidRPr="00181FCD">
        <w:t>todas</w:t>
      </w:r>
      <w:r w:rsidR="00F373A3" w:rsidRPr="00181FCD">
        <w:t xml:space="preserve"> </w:t>
      </w:r>
      <w:r w:rsidR="001937F4" w:rsidRPr="00181FCD">
        <w:t>las</w:t>
      </w:r>
      <w:r w:rsidR="00F373A3" w:rsidRPr="00181FCD">
        <w:t xml:space="preserve"> </w:t>
      </w:r>
      <w:r w:rsidR="001937F4" w:rsidRPr="00181FCD">
        <w:t>unidades</w:t>
      </w:r>
      <w:r w:rsidR="00F373A3" w:rsidRPr="00181FCD">
        <w:t xml:space="preserve"> </w:t>
      </w:r>
      <w:r w:rsidR="001937F4" w:rsidRPr="00181FCD">
        <w:t>territoriales.</w:t>
      </w:r>
    </w:p>
    <w:p w:rsidR="001937F4" w:rsidRPr="00181FCD" w:rsidRDefault="001937F4" w:rsidP="00347B20">
      <w:pPr>
        <w:pStyle w:val="SingleTxtG"/>
        <w:suppressAutoHyphens/>
      </w:pPr>
      <w:r w:rsidRPr="00181FCD">
        <w:t>167.</w:t>
      </w:r>
      <w:r w:rsidRPr="00181FCD">
        <w:tab/>
        <w:t>En</w:t>
      </w:r>
      <w:r w:rsidR="00F373A3" w:rsidRPr="00181FCD">
        <w:t xml:space="preserve"> </w:t>
      </w:r>
      <w:r w:rsidRPr="00181FCD">
        <w:t>los</w:t>
      </w:r>
      <w:r w:rsidR="00F373A3" w:rsidRPr="00181FCD">
        <w:t xml:space="preserve"> </w:t>
      </w:r>
      <w:r w:rsidRPr="00181FCD">
        <w:t>últimos</w:t>
      </w:r>
      <w:r w:rsidR="00F373A3" w:rsidRPr="00181FCD">
        <w:t xml:space="preserve"> </w:t>
      </w:r>
      <w:r w:rsidRPr="00181FCD">
        <w:t>dos</w:t>
      </w:r>
      <w:r w:rsidR="00F373A3" w:rsidRPr="00181FCD">
        <w:t xml:space="preserve"> </w:t>
      </w:r>
      <w:r w:rsidRPr="00181FCD">
        <w:t>años</w:t>
      </w:r>
      <w:r w:rsidR="00F373A3" w:rsidRPr="00181FCD">
        <w:t xml:space="preserve"> </w:t>
      </w:r>
      <w:r w:rsidRPr="00181FCD">
        <w:t>se</w:t>
      </w:r>
      <w:r w:rsidR="00F373A3" w:rsidRPr="00181FCD">
        <w:t xml:space="preserve"> </w:t>
      </w:r>
      <w:r w:rsidRPr="00181FCD">
        <w:t>ha</w:t>
      </w:r>
      <w:r w:rsidR="00F373A3" w:rsidRPr="00181FCD">
        <w:t xml:space="preserve"> </w:t>
      </w:r>
      <w:r w:rsidRPr="00181FCD">
        <w:t>puesto</w:t>
      </w:r>
      <w:r w:rsidR="00F373A3" w:rsidRPr="00181FCD">
        <w:t xml:space="preserve"> </w:t>
      </w:r>
      <w:r w:rsidRPr="00181FCD">
        <w:t>en</w:t>
      </w:r>
      <w:r w:rsidR="00F373A3" w:rsidRPr="00181FCD">
        <w:t xml:space="preserve"> </w:t>
      </w:r>
      <w:r w:rsidRPr="00181FCD">
        <w:t>práctica</w:t>
      </w:r>
      <w:r w:rsidR="00F373A3" w:rsidRPr="00181FCD">
        <w:t xml:space="preserve"> </w:t>
      </w:r>
      <w:r w:rsidRPr="00181FCD">
        <w:t>un</w:t>
      </w:r>
      <w:r w:rsidR="00F373A3" w:rsidRPr="00181FCD">
        <w:t xml:space="preserve"> </w:t>
      </w:r>
      <w:r w:rsidRPr="00181FCD">
        <w:t>módulo</w:t>
      </w:r>
      <w:r w:rsidR="00F373A3" w:rsidRPr="00181FCD">
        <w:t xml:space="preserve"> </w:t>
      </w:r>
      <w:r w:rsidRPr="00181FCD">
        <w:t>de</w:t>
      </w:r>
      <w:r w:rsidR="00F373A3" w:rsidRPr="00181FCD">
        <w:t xml:space="preserve"> </w:t>
      </w:r>
      <w:r w:rsidRPr="00181FCD">
        <w:t>formación</w:t>
      </w:r>
      <w:r w:rsidR="00F373A3" w:rsidRPr="00181FCD">
        <w:t xml:space="preserve"> </w:t>
      </w:r>
      <w:r w:rsidRPr="00181FCD">
        <w:t>específico</w:t>
      </w:r>
      <w:r w:rsidR="00F373A3" w:rsidRPr="00181FCD">
        <w:t xml:space="preserve"> </w:t>
      </w:r>
      <w:r w:rsidRPr="00181FCD">
        <w:t>con</w:t>
      </w:r>
      <w:r w:rsidR="00F373A3" w:rsidRPr="00181FCD">
        <w:t xml:space="preserve"> </w:t>
      </w:r>
      <w:r w:rsidRPr="00181FCD">
        <w:t>el</w:t>
      </w:r>
      <w:r w:rsidR="00F373A3" w:rsidRPr="00181FCD">
        <w:t xml:space="preserve"> </w:t>
      </w:r>
      <w:r w:rsidRPr="00181FCD">
        <w:t>fin</w:t>
      </w:r>
      <w:r w:rsidR="00F373A3" w:rsidRPr="00181FCD">
        <w:t xml:space="preserve"> </w:t>
      </w:r>
      <w:r w:rsidRPr="00181FCD">
        <w:t>de</w:t>
      </w:r>
      <w:r w:rsidR="00F373A3" w:rsidRPr="00181FCD">
        <w:t xml:space="preserve"> </w:t>
      </w:r>
      <w:r w:rsidRPr="00181FCD">
        <w:t>prevenir</w:t>
      </w:r>
      <w:r w:rsidR="00F373A3" w:rsidRPr="00181FCD">
        <w:t xml:space="preserve"> </w:t>
      </w:r>
      <w:r w:rsidRPr="00181FCD">
        <w:t>y</w:t>
      </w:r>
      <w:r w:rsidR="00F373A3" w:rsidRPr="00181FCD">
        <w:t xml:space="preserve"> </w:t>
      </w:r>
      <w:r w:rsidRPr="00181FCD">
        <w:t>combatir</w:t>
      </w:r>
      <w:r w:rsidR="00F373A3" w:rsidRPr="00181FCD">
        <w:t xml:space="preserve"> </w:t>
      </w:r>
      <w:r w:rsidRPr="00181FCD">
        <w:t>la</w:t>
      </w:r>
      <w:r w:rsidR="00F373A3" w:rsidRPr="00181FCD">
        <w:t xml:space="preserve"> </w:t>
      </w:r>
      <w:r w:rsidRPr="00181FCD">
        <w:t>corrupción.</w:t>
      </w:r>
      <w:r w:rsidR="00F373A3" w:rsidRPr="00181FCD">
        <w:t xml:space="preserve"> </w:t>
      </w:r>
      <w:r w:rsidRPr="00181FCD">
        <w:t>En</w:t>
      </w:r>
      <w:r w:rsidR="00F373A3" w:rsidRPr="00181FCD">
        <w:t xml:space="preserve"> </w:t>
      </w:r>
      <w:r w:rsidRPr="00181FCD">
        <w:t>dicho</w:t>
      </w:r>
      <w:r w:rsidR="00F373A3" w:rsidRPr="00181FCD">
        <w:t xml:space="preserve"> </w:t>
      </w:r>
      <w:r w:rsidRPr="00181FCD">
        <w:t>módulo</w:t>
      </w:r>
      <w:r w:rsidR="00F373A3" w:rsidRPr="00181FCD">
        <w:t xml:space="preserve"> </w:t>
      </w:r>
      <w:r w:rsidRPr="00181FCD">
        <w:t>se</w:t>
      </w:r>
      <w:r w:rsidR="00F373A3" w:rsidRPr="00181FCD">
        <w:t xml:space="preserve"> </w:t>
      </w:r>
      <w:r w:rsidRPr="00181FCD">
        <w:t>examinan</w:t>
      </w:r>
      <w:r w:rsidR="00F373A3" w:rsidRPr="00181FCD">
        <w:t xml:space="preserve"> </w:t>
      </w:r>
      <w:r w:rsidRPr="00181FCD">
        <w:t>los</w:t>
      </w:r>
      <w:r w:rsidR="00F373A3" w:rsidRPr="00181FCD">
        <w:t xml:space="preserve"> </w:t>
      </w:r>
      <w:r w:rsidRPr="00181FCD">
        <w:t>asuntos</w:t>
      </w:r>
      <w:r w:rsidR="00F373A3" w:rsidRPr="00181FCD">
        <w:t xml:space="preserve"> </w:t>
      </w:r>
      <w:r w:rsidRPr="00181FCD">
        <w:t>relacionados</w:t>
      </w:r>
      <w:r w:rsidR="00F373A3" w:rsidRPr="00181FCD">
        <w:t xml:space="preserve"> </w:t>
      </w:r>
      <w:r w:rsidRPr="00181FCD">
        <w:t>con</w:t>
      </w:r>
      <w:r w:rsidR="00F373A3" w:rsidRPr="00181FCD">
        <w:t xml:space="preserve"> </w:t>
      </w:r>
      <w:r w:rsidRPr="00181FCD">
        <w:t>la</w:t>
      </w:r>
      <w:r w:rsidR="00F373A3" w:rsidRPr="00181FCD">
        <w:t xml:space="preserve"> </w:t>
      </w:r>
      <w:r w:rsidRPr="00181FCD">
        <w:t>corrupción</w:t>
      </w:r>
      <w:r w:rsidR="00F373A3" w:rsidRPr="00181FCD">
        <w:t xml:space="preserve"> </w:t>
      </w:r>
      <w:r w:rsidRPr="00181FCD">
        <w:t>en</w:t>
      </w:r>
      <w:r w:rsidR="00F373A3" w:rsidRPr="00181FCD">
        <w:t xml:space="preserve"> </w:t>
      </w:r>
      <w:r w:rsidRPr="00181FCD">
        <w:t>la</w:t>
      </w:r>
      <w:r w:rsidR="00F373A3" w:rsidRPr="00181FCD">
        <w:t xml:space="preserve"> </w:t>
      </w:r>
      <w:r w:rsidRPr="00181FCD">
        <w:t>sociedad</w:t>
      </w:r>
      <w:r w:rsidR="00F373A3" w:rsidRPr="00181FCD">
        <w:t xml:space="preserve"> </w:t>
      </w:r>
      <w:r w:rsidRPr="00181FCD">
        <w:t>en</w:t>
      </w:r>
      <w:r w:rsidR="00F373A3" w:rsidRPr="00181FCD">
        <w:t xml:space="preserve"> </w:t>
      </w:r>
      <w:r w:rsidRPr="00181FCD">
        <w:t>general</w:t>
      </w:r>
      <w:r w:rsidR="00F373A3" w:rsidRPr="00181FCD">
        <w:t xml:space="preserve"> </w:t>
      </w:r>
      <w:r w:rsidRPr="00181FCD">
        <w:t>y</w:t>
      </w:r>
      <w:r w:rsidR="00F373A3" w:rsidRPr="00181FCD">
        <w:t xml:space="preserve"> </w:t>
      </w:r>
      <w:r w:rsidRPr="00181FCD">
        <w:t>en</w:t>
      </w:r>
      <w:r w:rsidR="00F373A3" w:rsidRPr="00181FCD">
        <w:t xml:space="preserve"> </w:t>
      </w:r>
      <w:r w:rsidRPr="00181FCD">
        <w:t>el</w:t>
      </w:r>
      <w:r w:rsidR="00F373A3" w:rsidRPr="00181FCD">
        <w:t xml:space="preserve"> </w:t>
      </w:r>
      <w:r w:rsidRPr="00181FCD">
        <w:t>sistema</w:t>
      </w:r>
      <w:r w:rsidR="00F373A3" w:rsidRPr="00181FCD">
        <w:t xml:space="preserve"> </w:t>
      </w:r>
      <w:r w:rsidRPr="00181FCD">
        <w:t>penitenciario</w:t>
      </w:r>
      <w:r w:rsidR="00F373A3" w:rsidRPr="00181FCD">
        <w:t xml:space="preserve"> </w:t>
      </w:r>
      <w:r w:rsidRPr="00181FCD">
        <w:t>en</w:t>
      </w:r>
      <w:r w:rsidR="00F373A3" w:rsidRPr="00181FCD">
        <w:t xml:space="preserve"> </w:t>
      </w:r>
      <w:r w:rsidRPr="00181FCD">
        <w:t>particular.</w:t>
      </w:r>
      <w:r w:rsidR="00F373A3" w:rsidRPr="00181FCD">
        <w:t xml:space="preserve"> </w:t>
      </w:r>
      <w:r w:rsidRPr="00181FCD">
        <w:t>Se</w:t>
      </w:r>
      <w:r w:rsidR="00F373A3" w:rsidRPr="00181FCD">
        <w:t xml:space="preserve"> </w:t>
      </w:r>
      <w:r w:rsidRPr="00181FCD">
        <w:t>estudian</w:t>
      </w:r>
      <w:r w:rsidR="00F373A3" w:rsidRPr="00181FCD">
        <w:t xml:space="preserve"> </w:t>
      </w:r>
      <w:r w:rsidRPr="00181FCD">
        <w:t>con</w:t>
      </w:r>
      <w:r w:rsidR="00F373A3" w:rsidRPr="00181FCD">
        <w:t xml:space="preserve"> </w:t>
      </w:r>
      <w:r w:rsidRPr="00181FCD">
        <w:t>especial</w:t>
      </w:r>
      <w:r w:rsidR="00F373A3" w:rsidRPr="00181FCD">
        <w:t xml:space="preserve"> </w:t>
      </w:r>
      <w:r w:rsidRPr="00181FCD">
        <w:t>detenimiento</w:t>
      </w:r>
      <w:r w:rsidR="00F373A3" w:rsidRPr="00181FCD">
        <w:t xml:space="preserve"> </w:t>
      </w:r>
      <w:r w:rsidRPr="00181FCD">
        <w:t>los</w:t>
      </w:r>
      <w:r w:rsidR="00F373A3" w:rsidRPr="00181FCD">
        <w:t xml:space="preserve"> </w:t>
      </w:r>
      <w:r w:rsidRPr="00181FCD">
        <w:t>actos</w:t>
      </w:r>
      <w:r w:rsidR="00F373A3" w:rsidRPr="00181FCD">
        <w:t xml:space="preserve"> </w:t>
      </w:r>
      <w:r w:rsidRPr="00181FCD">
        <w:t>que</w:t>
      </w:r>
      <w:r w:rsidR="00F373A3" w:rsidRPr="00181FCD">
        <w:t xml:space="preserve"> </w:t>
      </w:r>
      <w:r w:rsidRPr="00181FCD">
        <w:t>podrían</w:t>
      </w:r>
      <w:r w:rsidR="00F373A3" w:rsidRPr="00181FCD">
        <w:t xml:space="preserve"> </w:t>
      </w:r>
      <w:r w:rsidRPr="00181FCD">
        <w:t>favorecer</w:t>
      </w:r>
      <w:r w:rsidR="00F373A3" w:rsidRPr="00181FCD">
        <w:t xml:space="preserve"> </w:t>
      </w:r>
      <w:r w:rsidRPr="00181FCD">
        <w:t>las</w:t>
      </w:r>
      <w:r w:rsidR="00F373A3" w:rsidRPr="00181FCD">
        <w:t xml:space="preserve"> </w:t>
      </w:r>
      <w:r w:rsidRPr="00181FCD">
        <w:t>prácticas</w:t>
      </w:r>
      <w:r w:rsidR="00F373A3" w:rsidRPr="00181FCD">
        <w:t xml:space="preserve"> </w:t>
      </w:r>
      <w:r w:rsidRPr="00181FCD">
        <w:t>de</w:t>
      </w:r>
      <w:r w:rsidR="00F373A3" w:rsidRPr="00181FCD">
        <w:t xml:space="preserve"> </w:t>
      </w:r>
      <w:r w:rsidRPr="00181FCD">
        <w:t>corrupción.</w:t>
      </w:r>
      <w:r w:rsidR="00F373A3" w:rsidRPr="00181FCD">
        <w:t xml:space="preserve"> </w:t>
      </w:r>
      <w:r w:rsidRPr="00181FCD">
        <w:t>Se</w:t>
      </w:r>
      <w:r w:rsidR="00F373A3" w:rsidRPr="00181FCD">
        <w:t xml:space="preserve"> </w:t>
      </w:r>
      <w:r w:rsidRPr="00181FCD">
        <w:t>debate</w:t>
      </w:r>
      <w:r w:rsidR="00F373A3" w:rsidRPr="00181FCD">
        <w:t xml:space="preserve"> </w:t>
      </w:r>
      <w:r w:rsidRPr="00181FCD">
        <w:t>sobre</w:t>
      </w:r>
      <w:r w:rsidR="00F373A3" w:rsidRPr="00181FCD">
        <w:t xml:space="preserve"> </w:t>
      </w:r>
      <w:r w:rsidRPr="00181FCD">
        <w:t>casos</w:t>
      </w:r>
      <w:r w:rsidR="00F373A3" w:rsidRPr="00181FCD">
        <w:t xml:space="preserve"> </w:t>
      </w:r>
      <w:r w:rsidRPr="00181FCD">
        <w:t>prácticos</w:t>
      </w:r>
      <w:r w:rsidR="00F373A3" w:rsidRPr="00181FCD">
        <w:t xml:space="preserve"> </w:t>
      </w:r>
      <w:r w:rsidRPr="00181FCD">
        <w:t>reales.</w:t>
      </w:r>
      <w:r w:rsidR="00F373A3" w:rsidRPr="00181FCD">
        <w:t xml:space="preserve"> </w:t>
      </w:r>
      <w:r w:rsidRPr="00181FCD">
        <w:t>Algunos</w:t>
      </w:r>
      <w:r w:rsidR="00F373A3" w:rsidRPr="00181FCD">
        <w:t xml:space="preserve"> </w:t>
      </w:r>
      <w:r w:rsidRPr="00181FCD">
        <w:t>representantes</w:t>
      </w:r>
      <w:r w:rsidR="00F373A3" w:rsidRPr="00181FCD">
        <w:t xml:space="preserve"> </w:t>
      </w:r>
      <w:r w:rsidRPr="00181FCD">
        <w:t>del</w:t>
      </w:r>
      <w:r w:rsidR="00F373A3" w:rsidRPr="00181FCD">
        <w:t xml:space="preserve"> </w:t>
      </w:r>
      <w:r w:rsidRPr="00181FCD">
        <w:t>Ministerio</w:t>
      </w:r>
      <w:r w:rsidR="00F373A3" w:rsidRPr="00181FCD">
        <w:t xml:space="preserve"> </w:t>
      </w:r>
      <w:r w:rsidRPr="00181FCD">
        <w:t>del</w:t>
      </w:r>
      <w:r w:rsidR="00F373A3" w:rsidRPr="00181FCD">
        <w:t xml:space="preserve"> </w:t>
      </w:r>
      <w:r w:rsidRPr="00181FCD">
        <w:t>Interior</w:t>
      </w:r>
      <w:r w:rsidR="00F373A3" w:rsidRPr="00181FCD">
        <w:t xml:space="preserve"> </w:t>
      </w:r>
      <w:r w:rsidRPr="00181FCD">
        <w:t>y</w:t>
      </w:r>
      <w:r w:rsidR="00F373A3" w:rsidRPr="00181FCD">
        <w:t xml:space="preserve"> </w:t>
      </w:r>
      <w:r w:rsidRPr="00181FCD">
        <w:t>de</w:t>
      </w:r>
      <w:r w:rsidR="00F373A3" w:rsidRPr="00181FCD">
        <w:t xml:space="preserve"> </w:t>
      </w:r>
      <w:r w:rsidRPr="00181FCD">
        <w:t>la</w:t>
      </w:r>
      <w:r w:rsidR="00F373A3" w:rsidRPr="00181FCD">
        <w:t xml:space="preserve"> </w:t>
      </w:r>
      <w:r w:rsidRPr="00181FCD">
        <w:t>Fiscalía</w:t>
      </w:r>
      <w:r w:rsidR="00F373A3" w:rsidRPr="00181FCD">
        <w:t xml:space="preserve"> </w:t>
      </w:r>
      <w:r w:rsidRPr="00181FCD">
        <w:t>participan</w:t>
      </w:r>
      <w:r w:rsidR="00F373A3" w:rsidRPr="00181FCD">
        <w:t xml:space="preserve"> </w:t>
      </w:r>
      <w:r w:rsidRPr="00181FCD">
        <w:t>como</w:t>
      </w:r>
      <w:r w:rsidR="00F373A3" w:rsidRPr="00181FCD">
        <w:t xml:space="preserve"> </w:t>
      </w:r>
      <w:r w:rsidRPr="00181FCD">
        <w:t>ponentes</w:t>
      </w:r>
      <w:r w:rsidR="00F373A3" w:rsidRPr="00181FCD">
        <w:t xml:space="preserve"> </w:t>
      </w:r>
      <w:r w:rsidRPr="00181FCD">
        <w:t>invitados.</w:t>
      </w:r>
      <w:r w:rsidR="00F373A3" w:rsidRPr="00181FCD">
        <w:t xml:space="preserve"> </w:t>
      </w:r>
      <w:r w:rsidRPr="00181FCD">
        <w:t>Además</w:t>
      </w:r>
      <w:r w:rsidR="00F373A3" w:rsidRPr="00181FCD">
        <w:t xml:space="preserve"> </w:t>
      </w:r>
      <w:r w:rsidRPr="00181FCD">
        <w:t>de</w:t>
      </w:r>
      <w:r w:rsidR="00F373A3" w:rsidRPr="00181FCD">
        <w:t xml:space="preserve"> </w:t>
      </w:r>
      <w:r w:rsidRPr="00181FCD">
        <w:t>formar</w:t>
      </w:r>
      <w:r w:rsidR="00F373A3" w:rsidRPr="00181FCD">
        <w:t xml:space="preserve"> </w:t>
      </w:r>
      <w:r w:rsidRPr="00181FCD">
        <w:t>parte</w:t>
      </w:r>
      <w:r w:rsidR="00F373A3" w:rsidRPr="00181FCD">
        <w:t xml:space="preserve"> </w:t>
      </w:r>
      <w:r w:rsidRPr="00181FCD">
        <w:t>del</w:t>
      </w:r>
      <w:r w:rsidR="00F373A3" w:rsidRPr="00181FCD">
        <w:t xml:space="preserve"> </w:t>
      </w:r>
      <w:r w:rsidRPr="00181FCD">
        <w:t>plan</w:t>
      </w:r>
      <w:r w:rsidR="00F373A3" w:rsidRPr="00181FCD">
        <w:t xml:space="preserve"> </w:t>
      </w:r>
      <w:r w:rsidRPr="00181FCD">
        <w:t>de</w:t>
      </w:r>
      <w:r w:rsidR="00F373A3" w:rsidRPr="00181FCD">
        <w:t xml:space="preserve"> </w:t>
      </w:r>
      <w:r w:rsidRPr="00181FCD">
        <w:t>estudios</w:t>
      </w:r>
      <w:r w:rsidR="00F373A3" w:rsidRPr="00181FCD">
        <w:t xml:space="preserve"> </w:t>
      </w:r>
      <w:r w:rsidRPr="00181FCD">
        <w:t>de</w:t>
      </w:r>
      <w:r w:rsidR="00F373A3" w:rsidRPr="00181FCD">
        <w:t xml:space="preserve"> </w:t>
      </w:r>
      <w:r w:rsidRPr="00181FCD">
        <w:t>formación</w:t>
      </w:r>
      <w:r w:rsidR="00F373A3" w:rsidRPr="00181FCD">
        <w:t xml:space="preserve"> </w:t>
      </w:r>
      <w:r w:rsidRPr="00181FCD">
        <w:t>inicial,</w:t>
      </w:r>
      <w:r w:rsidR="00F373A3" w:rsidRPr="00181FCD">
        <w:t xml:space="preserve"> </w:t>
      </w:r>
      <w:r w:rsidRPr="00181FCD">
        <w:t>el</w:t>
      </w:r>
      <w:r w:rsidR="00F373A3" w:rsidRPr="00181FCD">
        <w:t xml:space="preserve"> </w:t>
      </w:r>
      <w:r w:rsidRPr="00181FCD">
        <w:t>módulo</w:t>
      </w:r>
      <w:r w:rsidR="00F373A3" w:rsidRPr="00181FCD">
        <w:t xml:space="preserve"> </w:t>
      </w:r>
      <w:r w:rsidRPr="00181FCD">
        <w:t>también</w:t>
      </w:r>
      <w:r w:rsidR="00F373A3" w:rsidRPr="00181FCD">
        <w:t xml:space="preserve"> </w:t>
      </w:r>
      <w:r w:rsidRPr="00181FCD">
        <w:t>está</w:t>
      </w:r>
      <w:r w:rsidR="00F373A3" w:rsidRPr="00181FCD">
        <w:t xml:space="preserve"> </w:t>
      </w:r>
      <w:r w:rsidRPr="00181FCD">
        <w:t>incluido</w:t>
      </w:r>
      <w:r w:rsidR="00F373A3" w:rsidRPr="00181FCD">
        <w:t xml:space="preserve"> </w:t>
      </w:r>
      <w:r w:rsidRPr="00181FCD">
        <w:t>en</w:t>
      </w:r>
      <w:r w:rsidR="00F373A3" w:rsidRPr="00181FCD">
        <w:t xml:space="preserve"> </w:t>
      </w:r>
      <w:r w:rsidRPr="00181FCD">
        <w:t>la</w:t>
      </w:r>
      <w:r w:rsidR="00F373A3" w:rsidRPr="00181FCD">
        <w:t xml:space="preserve"> </w:t>
      </w:r>
      <w:r w:rsidRPr="00181FCD">
        <w:t>formación</w:t>
      </w:r>
      <w:r w:rsidR="00F373A3" w:rsidRPr="00181FCD">
        <w:t xml:space="preserve"> </w:t>
      </w:r>
      <w:r w:rsidRPr="00181FCD">
        <w:t>especializada</w:t>
      </w:r>
      <w:r w:rsidR="00F373A3" w:rsidRPr="00181FCD">
        <w:t xml:space="preserve"> </w:t>
      </w:r>
      <w:r w:rsidRPr="00181FCD">
        <w:t>y</w:t>
      </w:r>
      <w:r w:rsidR="00F373A3" w:rsidRPr="00181FCD">
        <w:t xml:space="preserve"> </w:t>
      </w:r>
      <w:r w:rsidRPr="00181FCD">
        <w:t>la</w:t>
      </w:r>
      <w:r w:rsidR="00F373A3" w:rsidRPr="00181FCD">
        <w:t xml:space="preserve"> </w:t>
      </w:r>
      <w:r w:rsidRPr="00181FCD">
        <w:t>formación</w:t>
      </w:r>
      <w:r w:rsidR="00F373A3" w:rsidRPr="00181FCD">
        <w:t xml:space="preserve"> </w:t>
      </w:r>
      <w:r w:rsidRPr="00181FCD">
        <w:t>profesional</w:t>
      </w:r>
      <w:r w:rsidR="00F373A3" w:rsidRPr="00181FCD">
        <w:t xml:space="preserve"> </w:t>
      </w:r>
      <w:r w:rsidRPr="00181FCD">
        <w:t>continua.</w:t>
      </w:r>
    </w:p>
    <w:p w:rsidR="001937F4" w:rsidRPr="00181FCD" w:rsidRDefault="00BE74A7" w:rsidP="00BE74A7">
      <w:pPr>
        <w:pStyle w:val="H23G"/>
        <w:jc w:val="both"/>
      </w:pPr>
      <w:r w:rsidRPr="00181FCD">
        <w:tab/>
      </w:r>
      <w:r w:rsidR="001937F4" w:rsidRPr="00181FCD">
        <w:t>e)</w:t>
      </w:r>
      <w:r w:rsidR="001937F4" w:rsidRPr="00181FCD">
        <w:tab/>
        <w:t>Entre</w:t>
      </w:r>
      <w:r w:rsidR="00F373A3" w:rsidRPr="00181FCD">
        <w:t xml:space="preserve"> </w:t>
      </w:r>
      <w:r w:rsidR="001937F4" w:rsidRPr="00181FCD">
        <w:t>las</w:t>
      </w:r>
      <w:r w:rsidR="00F373A3" w:rsidRPr="00181FCD">
        <w:t xml:space="preserve"> </w:t>
      </w:r>
      <w:r w:rsidR="001937F4" w:rsidRPr="00181FCD">
        <w:t>prioridades</w:t>
      </w:r>
      <w:r w:rsidR="00F373A3" w:rsidRPr="00181FCD">
        <w:t xml:space="preserve"> </w:t>
      </w:r>
      <w:r w:rsidR="001937F4" w:rsidRPr="00181FCD">
        <w:t>de</w:t>
      </w:r>
      <w:r w:rsidR="00F373A3" w:rsidRPr="00181FCD">
        <w:t xml:space="preserve"> </w:t>
      </w:r>
      <w:r w:rsidR="001937F4" w:rsidRPr="00181FCD">
        <w:t>la</w:t>
      </w:r>
      <w:r w:rsidR="00F373A3" w:rsidRPr="00181FCD">
        <w:t xml:space="preserve"> </w:t>
      </w:r>
      <w:r w:rsidR="001937F4" w:rsidRPr="00181FCD">
        <w:t>reforma</w:t>
      </w:r>
      <w:r w:rsidR="00F373A3" w:rsidRPr="00181FCD">
        <w:t xml:space="preserve"> </w:t>
      </w:r>
      <w:r w:rsidR="001937F4" w:rsidRPr="00181FCD">
        <w:t>del</w:t>
      </w:r>
      <w:r w:rsidR="00F373A3" w:rsidRPr="00181FCD">
        <w:t xml:space="preserve"> </w:t>
      </w:r>
      <w:r w:rsidR="001937F4" w:rsidRPr="00181FCD">
        <w:t>sistema</w:t>
      </w:r>
      <w:r w:rsidR="00F373A3" w:rsidRPr="00181FCD">
        <w:t xml:space="preserve"> </w:t>
      </w:r>
      <w:r w:rsidR="001937F4" w:rsidRPr="00181FCD">
        <w:t>penitenciario</w:t>
      </w:r>
      <w:r w:rsidR="00F373A3" w:rsidRPr="00181FCD">
        <w:t xml:space="preserve"> </w:t>
      </w:r>
      <w:r w:rsidR="001937F4" w:rsidRPr="00181FCD">
        <w:t>figura</w:t>
      </w:r>
      <w:r w:rsidR="00F373A3" w:rsidRPr="00181FCD">
        <w:t xml:space="preserve"> </w:t>
      </w:r>
      <w:r w:rsidR="001937F4" w:rsidRPr="00181FCD">
        <w:t>mejorar</w:t>
      </w:r>
      <w:r w:rsidR="00F373A3" w:rsidRPr="00181FCD">
        <w:t xml:space="preserve"> </w:t>
      </w:r>
      <w:r w:rsidR="001937F4" w:rsidRPr="00181FCD">
        <w:t>las</w:t>
      </w:r>
      <w:r w:rsidR="00F373A3" w:rsidRPr="00181FCD">
        <w:t xml:space="preserve"> </w:t>
      </w:r>
      <w:r w:rsidR="001937F4" w:rsidRPr="00181FCD">
        <w:t>condiciones</w:t>
      </w:r>
      <w:r w:rsidR="00F373A3" w:rsidRPr="00181FCD">
        <w:t xml:space="preserve"> </w:t>
      </w:r>
      <w:r w:rsidR="001937F4" w:rsidRPr="00181FCD">
        <w:t>materiales</w:t>
      </w:r>
      <w:r w:rsidR="00F373A3" w:rsidRPr="00181FCD">
        <w:t xml:space="preserve"> </w:t>
      </w:r>
      <w:r w:rsidR="001937F4" w:rsidRPr="00181FCD">
        <w:t>en</w:t>
      </w:r>
      <w:r w:rsidR="00F373A3" w:rsidRPr="00181FCD">
        <w:t xml:space="preserve"> </w:t>
      </w:r>
      <w:r w:rsidR="001937F4" w:rsidRPr="00181FCD">
        <w:t>las</w:t>
      </w:r>
      <w:r w:rsidR="00F373A3" w:rsidRPr="00181FCD">
        <w:t xml:space="preserve"> </w:t>
      </w:r>
      <w:r w:rsidR="001937F4" w:rsidRPr="00181FCD">
        <w:t>cárceles,</w:t>
      </w:r>
      <w:r w:rsidR="00F373A3" w:rsidRPr="00181FCD">
        <w:t xml:space="preserve"> </w:t>
      </w:r>
      <w:r w:rsidR="001937F4" w:rsidRPr="00181FCD">
        <w:t>y</w:t>
      </w:r>
      <w:r w:rsidR="00F373A3" w:rsidRPr="00181FCD">
        <w:t xml:space="preserve"> </w:t>
      </w:r>
      <w:r w:rsidR="001937F4" w:rsidRPr="00181FCD">
        <w:t>adaptarlas</w:t>
      </w:r>
      <w:r w:rsidR="00F373A3" w:rsidRPr="00181FCD">
        <w:t xml:space="preserve"> </w:t>
      </w:r>
      <w:r w:rsidR="001937F4" w:rsidRPr="00181FCD">
        <w:t>a</w:t>
      </w:r>
      <w:r w:rsidR="00F373A3" w:rsidRPr="00181FCD">
        <w:t xml:space="preserve"> </w:t>
      </w:r>
      <w:r w:rsidR="001937F4" w:rsidRPr="00181FCD">
        <w:t>las</w:t>
      </w:r>
      <w:r w:rsidR="00F373A3" w:rsidRPr="00181FCD">
        <w:t xml:space="preserve"> </w:t>
      </w:r>
      <w:r w:rsidR="001937F4" w:rsidRPr="00181FCD">
        <w:t>normas</w:t>
      </w:r>
      <w:r w:rsidR="00F373A3" w:rsidRPr="00181FCD">
        <w:t xml:space="preserve"> </w:t>
      </w:r>
      <w:r w:rsidR="001937F4" w:rsidRPr="00181FCD">
        <w:t>básicas</w:t>
      </w:r>
      <w:r w:rsidR="00F373A3" w:rsidRPr="00181FCD">
        <w:t xml:space="preserve"> </w:t>
      </w:r>
      <w:r w:rsidR="001937F4" w:rsidRPr="00181FCD">
        <w:t>internacionales</w:t>
      </w:r>
      <w:r w:rsidR="00F373A3" w:rsidRPr="00181FCD">
        <w:t xml:space="preserve"> </w:t>
      </w:r>
      <w:r w:rsidR="001937F4" w:rsidRPr="00181FCD">
        <w:t>relativas</w:t>
      </w:r>
      <w:r w:rsidR="00F373A3" w:rsidRPr="00181FCD">
        <w:t xml:space="preserve"> </w:t>
      </w:r>
      <w:r w:rsidR="001937F4" w:rsidRPr="00181FCD">
        <w:t>a</w:t>
      </w:r>
      <w:r w:rsidR="00F373A3" w:rsidRPr="00181FCD">
        <w:t xml:space="preserve"> </w:t>
      </w:r>
      <w:r w:rsidR="001937F4" w:rsidRPr="00181FCD">
        <w:t>los</w:t>
      </w:r>
      <w:r w:rsidR="00F373A3" w:rsidRPr="00181FCD">
        <w:t xml:space="preserve"> </w:t>
      </w:r>
      <w:r w:rsidR="001937F4" w:rsidRPr="00181FCD">
        <w:t>centros</w:t>
      </w:r>
      <w:r w:rsidR="00F373A3" w:rsidRPr="00181FCD">
        <w:t xml:space="preserve"> </w:t>
      </w:r>
      <w:r w:rsidR="001937F4" w:rsidRPr="00181FCD">
        <w:t>de</w:t>
      </w:r>
      <w:r w:rsidR="00F373A3" w:rsidRPr="00181FCD">
        <w:t xml:space="preserve"> </w:t>
      </w:r>
      <w:r w:rsidR="001937F4" w:rsidRPr="00181FCD">
        <w:t>detención</w:t>
      </w:r>
      <w:r w:rsidR="00F373A3" w:rsidRPr="00181FCD">
        <w:t xml:space="preserve"> </w:t>
      </w:r>
      <w:r w:rsidR="001937F4" w:rsidRPr="00181FCD">
        <w:t>y</w:t>
      </w:r>
      <w:r w:rsidR="00F373A3" w:rsidRPr="00181FCD">
        <w:t xml:space="preserve"> </w:t>
      </w:r>
      <w:r w:rsidR="001937F4" w:rsidRPr="00181FCD">
        <w:t>las</w:t>
      </w:r>
      <w:r w:rsidR="00F373A3" w:rsidRPr="00181FCD">
        <w:t xml:space="preserve"> </w:t>
      </w:r>
      <w:r w:rsidR="001937F4" w:rsidRPr="00181FCD">
        <w:t>normas</w:t>
      </w:r>
      <w:r w:rsidR="00F373A3" w:rsidRPr="00181FCD">
        <w:t xml:space="preserve"> </w:t>
      </w:r>
      <w:r w:rsidR="001937F4" w:rsidRPr="00181FCD">
        <w:t>penitenciarias</w:t>
      </w:r>
      <w:r w:rsidR="00F373A3" w:rsidRPr="00181FCD">
        <w:t xml:space="preserve"> </w:t>
      </w:r>
      <w:r w:rsidR="001937F4" w:rsidRPr="00181FCD">
        <w:t>europeas.</w:t>
      </w:r>
    </w:p>
    <w:p w:rsidR="001937F4" w:rsidRPr="00181FCD" w:rsidRDefault="001937F4" w:rsidP="00347B20">
      <w:pPr>
        <w:pStyle w:val="SingleTxtG"/>
        <w:suppressAutoHyphens/>
      </w:pPr>
      <w:r w:rsidRPr="00181FCD">
        <w:t>168.</w:t>
      </w:r>
      <w:r w:rsidRPr="00181FCD">
        <w:tab/>
        <w:t>Debido</w:t>
      </w:r>
      <w:r w:rsidR="00F373A3" w:rsidRPr="00181FCD">
        <w:t xml:space="preserve"> </w:t>
      </w:r>
      <w:r w:rsidRPr="00181FCD">
        <w:t>a</w:t>
      </w:r>
      <w:r w:rsidR="00F373A3" w:rsidRPr="00181FCD">
        <w:t xml:space="preserve"> </w:t>
      </w:r>
      <w:r w:rsidRPr="00181FCD">
        <w:t>la</w:t>
      </w:r>
      <w:r w:rsidR="00F373A3" w:rsidRPr="00181FCD">
        <w:t xml:space="preserve"> </w:t>
      </w:r>
      <w:r w:rsidRPr="00181FCD">
        <w:t>crisis</w:t>
      </w:r>
      <w:r w:rsidR="00F373A3" w:rsidRPr="00181FCD">
        <w:t xml:space="preserve"> </w:t>
      </w:r>
      <w:r w:rsidRPr="00181FCD">
        <w:t>financiera</w:t>
      </w:r>
      <w:r w:rsidR="00F373A3" w:rsidRPr="00181FCD">
        <w:t xml:space="preserve"> </w:t>
      </w:r>
      <w:r w:rsidRPr="00181FCD">
        <w:t>y</w:t>
      </w:r>
      <w:r w:rsidR="00F373A3" w:rsidRPr="00181FCD">
        <w:t xml:space="preserve"> </w:t>
      </w:r>
      <w:r w:rsidRPr="00181FCD">
        <w:t>económica</w:t>
      </w:r>
      <w:r w:rsidR="00F373A3" w:rsidRPr="00181FCD">
        <w:t xml:space="preserve"> </w:t>
      </w:r>
      <w:r w:rsidRPr="00181FCD">
        <w:t>y</w:t>
      </w:r>
      <w:r w:rsidR="00F373A3" w:rsidRPr="00181FCD">
        <w:t xml:space="preserve"> </w:t>
      </w:r>
      <w:r w:rsidRPr="00181FCD">
        <w:t>las</w:t>
      </w:r>
      <w:r w:rsidR="00F373A3" w:rsidRPr="00181FCD">
        <w:t xml:space="preserve"> </w:t>
      </w:r>
      <w:r w:rsidRPr="00181FCD">
        <w:t>medidas</w:t>
      </w:r>
      <w:r w:rsidR="00F373A3" w:rsidRPr="00181FCD">
        <w:t xml:space="preserve"> </w:t>
      </w:r>
      <w:r w:rsidRPr="00181FCD">
        <w:t>posteriores</w:t>
      </w:r>
      <w:r w:rsidR="00F373A3" w:rsidRPr="00181FCD">
        <w:t xml:space="preserve"> </w:t>
      </w:r>
      <w:r w:rsidRPr="00181FCD">
        <w:t>restrictivas</w:t>
      </w:r>
      <w:r w:rsidR="00F373A3" w:rsidRPr="00181FCD">
        <w:t xml:space="preserve"> </w:t>
      </w:r>
      <w:r w:rsidRPr="00181FCD">
        <w:t>del</w:t>
      </w:r>
      <w:r w:rsidR="00F373A3" w:rsidRPr="00181FCD">
        <w:t xml:space="preserve"> </w:t>
      </w:r>
      <w:r w:rsidRPr="00181FCD">
        <w:t>presupuesto</w:t>
      </w:r>
      <w:r w:rsidR="00F373A3" w:rsidRPr="00181FCD">
        <w:t xml:space="preserve"> </w:t>
      </w:r>
      <w:r w:rsidRPr="00181FCD">
        <w:t>se</w:t>
      </w:r>
      <w:r w:rsidR="00F373A3" w:rsidRPr="00181FCD">
        <w:t xml:space="preserve"> </w:t>
      </w:r>
      <w:r w:rsidRPr="00181FCD">
        <w:t>aplazó</w:t>
      </w:r>
      <w:r w:rsidR="00F373A3" w:rsidRPr="00181FCD">
        <w:t xml:space="preserve"> </w:t>
      </w:r>
      <w:r w:rsidRPr="00181FCD">
        <w:t>la</w:t>
      </w:r>
      <w:r w:rsidR="00F373A3" w:rsidRPr="00181FCD">
        <w:t xml:space="preserve"> </w:t>
      </w:r>
      <w:r w:rsidRPr="00181FCD">
        <w:t>implantación</w:t>
      </w:r>
      <w:r w:rsidR="00F373A3" w:rsidRPr="00181FCD">
        <w:t xml:space="preserve"> </w:t>
      </w:r>
      <w:r w:rsidRPr="00181FCD">
        <w:t>y</w:t>
      </w:r>
      <w:r w:rsidR="00F373A3" w:rsidRPr="00181FCD">
        <w:t xml:space="preserve"> </w:t>
      </w:r>
      <w:r w:rsidRPr="00181FCD">
        <w:t>aplicación</w:t>
      </w:r>
      <w:r w:rsidR="00F373A3" w:rsidRPr="00181FCD">
        <w:t xml:space="preserve"> </w:t>
      </w:r>
      <w:r w:rsidRPr="00181FCD">
        <w:t>de</w:t>
      </w:r>
      <w:r w:rsidR="00F373A3" w:rsidRPr="00181FCD">
        <w:t xml:space="preserve"> </w:t>
      </w:r>
      <w:r w:rsidRPr="00181FCD">
        <w:t>dos</w:t>
      </w:r>
      <w:r w:rsidR="00F373A3" w:rsidRPr="00181FCD">
        <w:t xml:space="preserve"> </w:t>
      </w:r>
      <w:r w:rsidRPr="00181FCD">
        <w:t>normas</w:t>
      </w:r>
      <w:r w:rsidR="00F373A3" w:rsidRPr="00181FCD">
        <w:t xml:space="preserve"> </w:t>
      </w:r>
      <w:r w:rsidRPr="00181FCD">
        <w:t>básicas,</w:t>
      </w:r>
      <w:r w:rsidR="00F373A3" w:rsidRPr="00181FCD">
        <w:t xml:space="preserve"> </w:t>
      </w:r>
      <w:r w:rsidRPr="00181FCD">
        <w:t>a</w:t>
      </w:r>
      <w:r w:rsidR="00F373A3" w:rsidRPr="00181FCD">
        <w:t xml:space="preserve"> </w:t>
      </w:r>
      <w:r w:rsidRPr="00181FCD">
        <w:t>saber,</w:t>
      </w:r>
      <w:r w:rsidR="00F373A3" w:rsidRPr="00181FCD">
        <w:t xml:space="preserve"> </w:t>
      </w:r>
      <w:r w:rsidRPr="00181FCD">
        <w:t>la</w:t>
      </w:r>
      <w:r w:rsidR="00F373A3" w:rsidRPr="00181FCD">
        <w:t xml:space="preserve"> </w:t>
      </w:r>
      <w:r w:rsidRPr="00181FCD">
        <w:t>garantía</w:t>
      </w:r>
      <w:r w:rsidR="00F373A3" w:rsidRPr="00181FCD">
        <w:t xml:space="preserve"> </w:t>
      </w:r>
      <w:r w:rsidRPr="00181FCD">
        <w:t>de</w:t>
      </w:r>
      <w:r w:rsidR="00F373A3" w:rsidRPr="00181FCD">
        <w:t xml:space="preserve"> </w:t>
      </w:r>
      <w:r w:rsidRPr="00181FCD">
        <w:t>un</w:t>
      </w:r>
      <w:r w:rsidR="00F373A3" w:rsidRPr="00181FCD">
        <w:t xml:space="preserve"> </w:t>
      </w:r>
      <w:r w:rsidRPr="00181FCD">
        <w:t>espacio</w:t>
      </w:r>
      <w:r w:rsidR="00F373A3" w:rsidRPr="00181FCD">
        <w:t xml:space="preserve"> </w:t>
      </w:r>
      <w:r w:rsidRPr="00181FCD">
        <w:t>vital</w:t>
      </w:r>
      <w:r w:rsidR="00F373A3" w:rsidRPr="00181FCD">
        <w:t xml:space="preserve"> </w:t>
      </w:r>
      <w:r w:rsidRPr="00181FCD">
        <w:t>mínimo</w:t>
      </w:r>
      <w:r w:rsidR="00F373A3" w:rsidRPr="00181FCD">
        <w:t xml:space="preserve"> </w:t>
      </w:r>
      <w:r w:rsidRPr="00181FCD">
        <w:t>de</w:t>
      </w:r>
      <w:r w:rsidR="00F373A3" w:rsidRPr="00181FCD">
        <w:t xml:space="preserve"> </w:t>
      </w:r>
      <w:r w:rsidRPr="00181FCD">
        <w:t>4</w:t>
      </w:r>
      <w:r w:rsidR="00F373A3" w:rsidRPr="00181FCD">
        <w:t xml:space="preserve"> </w:t>
      </w:r>
      <w:r w:rsidR="002C1B2F" w:rsidRPr="00181FCD">
        <w:t>m</w:t>
      </w:r>
      <w:r w:rsidR="002C1B2F" w:rsidRPr="00181FCD">
        <w:rPr>
          <w:vertAlign w:val="superscript"/>
        </w:rPr>
        <w:t>2</w:t>
      </w:r>
      <w:r w:rsidR="002C1B2F" w:rsidRPr="00181FCD">
        <w:t xml:space="preserve"> </w:t>
      </w:r>
      <w:r w:rsidRPr="00181FCD">
        <w:t>por</w:t>
      </w:r>
      <w:r w:rsidR="00F373A3" w:rsidRPr="00181FCD">
        <w:t xml:space="preserve"> </w:t>
      </w:r>
      <w:r w:rsidRPr="00181FCD">
        <w:t>recluso</w:t>
      </w:r>
      <w:r w:rsidR="00F373A3" w:rsidRPr="00181FCD">
        <w:t xml:space="preserve"> </w:t>
      </w:r>
      <w:r w:rsidRPr="00181FCD">
        <w:t>y</w:t>
      </w:r>
      <w:r w:rsidR="00F373A3" w:rsidRPr="00181FCD">
        <w:t xml:space="preserve"> </w:t>
      </w:r>
      <w:r w:rsidRPr="00181FCD">
        <w:t>la</w:t>
      </w:r>
      <w:r w:rsidR="00F373A3" w:rsidRPr="00181FCD">
        <w:t xml:space="preserve"> </w:t>
      </w:r>
      <w:r w:rsidRPr="00181FCD">
        <w:t>observancia</w:t>
      </w:r>
      <w:r w:rsidR="00F373A3" w:rsidRPr="00181FCD">
        <w:t xml:space="preserve"> </w:t>
      </w:r>
      <w:r w:rsidRPr="00181FCD">
        <w:t>de</w:t>
      </w:r>
      <w:r w:rsidR="00F373A3" w:rsidRPr="00181FCD">
        <w:t xml:space="preserve"> </w:t>
      </w:r>
      <w:r w:rsidRPr="00181FCD">
        <w:t>las</w:t>
      </w:r>
      <w:r w:rsidR="00F373A3" w:rsidRPr="00181FCD">
        <w:t xml:space="preserve"> </w:t>
      </w:r>
      <w:r w:rsidRPr="00181FCD">
        <w:t>condiciones</w:t>
      </w:r>
      <w:r w:rsidR="00F373A3" w:rsidRPr="00181FCD">
        <w:t xml:space="preserve"> </w:t>
      </w:r>
      <w:r w:rsidRPr="00181FCD">
        <w:t>de</w:t>
      </w:r>
      <w:r w:rsidR="00F373A3" w:rsidRPr="00181FCD">
        <w:t xml:space="preserve"> </w:t>
      </w:r>
      <w:r w:rsidRPr="00181FCD">
        <w:t>vida</w:t>
      </w:r>
      <w:r w:rsidR="00F373A3" w:rsidRPr="00181FCD">
        <w:t xml:space="preserve"> </w:t>
      </w:r>
      <w:r w:rsidRPr="00181FCD">
        <w:t>e</w:t>
      </w:r>
      <w:r w:rsidR="00F373A3" w:rsidRPr="00181FCD">
        <w:t xml:space="preserve"> </w:t>
      </w:r>
      <w:r w:rsidRPr="00181FCD">
        <w:t>higiene</w:t>
      </w:r>
      <w:r w:rsidR="00F373A3" w:rsidRPr="00181FCD">
        <w:t xml:space="preserve"> </w:t>
      </w:r>
      <w:r w:rsidRPr="00181FCD">
        <w:t>a</w:t>
      </w:r>
      <w:r w:rsidR="00F373A3" w:rsidRPr="00181FCD">
        <w:t xml:space="preserve"> </w:t>
      </w:r>
      <w:r w:rsidRPr="00181FCD">
        <w:t>nivel</w:t>
      </w:r>
      <w:r w:rsidR="00F373A3" w:rsidRPr="00181FCD">
        <w:t xml:space="preserve"> </w:t>
      </w:r>
      <w:r w:rsidRPr="00181FCD">
        <w:t>europeo.</w:t>
      </w:r>
    </w:p>
    <w:p w:rsidR="001937F4" w:rsidRPr="00181FCD" w:rsidRDefault="001937F4" w:rsidP="00347B20">
      <w:pPr>
        <w:pStyle w:val="SingleTxtG"/>
        <w:suppressAutoHyphens/>
      </w:pPr>
      <w:r w:rsidRPr="00181FCD">
        <w:t>169.</w:t>
      </w:r>
      <w:r w:rsidRPr="00181FCD">
        <w:tab/>
        <w:t>A</w:t>
      </w:r>
      <w:r w:rsidR="00F373A3" w:rsidRPr="00181FCD">
        <w:t xml:space="preserve"> </w:t>
      </w:r>
      <w:r w:rsidRPr="00181FCD">
        <w:t>pesar</w:t>
      </w:r>
      <w:r w:rsidR="00F373A3" w:rsidRPr="00181FCD">
        <w:t xml:space="preserve"> </w:t>
      </w:r>
      <w:r w:rsidRPr="00181FCD">
        <w:t>de</w:t>
      </w:r>
      <w:r w:rsidR="00F373A3" w:rsidRPr="00181FCD">
        <w:t xml:space="preserve"> </w:t>
      </w:r>
      <w:r w:rsidRPr="00181FCD">
        <w:t>las</w:t>
      </w:r>
      <w:r w:rsidR="00F373A3" w:rsidRPr="00181FCD">
        <w:t xml:space="preserve"> </w:t>
      </w:r>
      <w:r w:rsidRPr="00181FCD">
        <w:t>graves</w:t>
      </w:r>
      <w:r w:rsidR="00F373A3" w:rsidRPr="00181FCD">
        <w:t xml:space="preserve"> </w:t>
      </w:r>
      <w:r w:rsidRPr="00181FCD">
        <w:t>dificultades</w:t>
      </w:r>
      <w:r w:rsidR="00F373A3" w:rsidRPr="00181FCD">
        <w:t xml:space="preserve"> </w:t>
      </w:r>
      <w:r w:rsidRPr="00181FCD">
        <w:t>financieras</w:t>
      </w:r>
      <w:r w:rsidR="00F373A3" w:rsidRPr="00181FCD">
        <w:t xml:space="preserve"> </w:t>
      </w:r>
      <w:r w:rsidRPr="00181FCD">
        <w:t>y</w:t>
      </w:r>
      <w:r w:rsidR="00F373A3" w:rsidRPr="00181FCD">
        <w:t xml:space="preserve"> </w:t>
      </w:r>
      <w:r w:rsidRPr="00181FCD">
        <w:t>de</w:t>
      </w:r>
      <w:r w:rsidR="00F373A3" w:rsidRPr="00181FCD">
        <w:t xml:space="preserve"> </w:t>
      </w:r>
      <w:r w:rsidRPr="00181FCD">
        <w:t>las</w:t>
      </w:r>
      <w:r w:rsidR="00F373A3" w:rsidRPr="00181FCD">
        <w:t xml:space="preserve"> </w:t>
      </w:r>
      <w:r w:rsidRPr="00181FCD">
        <w:t>limitaciones</w:t>
      </w:r>
      <w:r w:rsidR="00F373A3" w:rsidRPr="00181FCD">
        <w:t xml:space="preserve"> </w:t>
      </w:r>
      <w:r w:rsidRPr="00181FCD">
        <w:t>en</w:t>
      </w:r>
      <w:r w:rsidR="00F373A3" w:rsidRPr="00181FCD">
        <w:t xml:space="preserve"> </w:t>
      </w:r>
      <w:r w:rsidRPr="00181FCD">
        <w:t>el</w:t>
      </w:r>
      <w:r w:rsidR="00F373A3" w:rsidRPr="00181FCD">
        <w:t xml:space="preserve"> </w:t>
      </w:r>
      <w:r w:rsidRPr="00181FCD">
        <w:t>presupuesto</w:t>
      </w:r>
      <w:r w:rsidR="00F373A3" w:rsidRPr="00181FCD">
        <w:t xml:space="preserve"> </w:t>
      </w:r>
      <w:r w:rsidRPr="00181FCD">
        <w:t>de</w:t>
      </w:r>
      <w:r w:rsidR="00F373A3" w:rsidRPr="00181FCD">
        <w:t xml:space="preserve"> </w:t>
      </w:r>
      <w:r w:rsidRPr="00181FCD">
        <w:t>gastos</w:t>
      </w:r>
      <w:r w:rsidR="00F373A3" w:rsidRPr="00181FCD">
        <w:t xml:space="preserve"> </w:t>
      </w:r>
      <w:r w:rsidRPr="00181FCD">
        <w:t>de</w:t>
      </w:r>
      <w:r w:rsidR="00F373A3" w:rsidRPr="00181FCD">
        <w:t xml:space="preserve"> </w:t>
      </w:r>
      <w:r w:rsidRPr="00181FCD">
        <w:t>capital,</w:t>
      </w:r>
      <w:r w:rsidR="00F373A3" w:rsidRPr="00181FCD">
        <w:t xml:space="preserve"> </w:t>
      </w:r>
      <w:r w:rsidRPr="00181FCD">
        <w:t>en</w:t>
      </w:r>
      <w:r w:rsidR="00F373A3" w:rsidRPr="00181FCD">
        <w:t xml:space="preserve"> </w:t>
      </w:r>
      <w:r w:rsidRPr="00181FCD">
        <w:t>los</w:t>
      </w:r>
      <w:r w:rsidR="00F373A3" w:rsidRPr="00181FCD">
        <w:t xml:space="preserve"> </w:t>
      </w:r>
      <w:r w:rsidRPr="00181FCD">
        <w:t>últimos</w:t>
      </w:r>
      <w:r w:rsidR="00F373A3" w:rsidRPr="00181FCD">
        <w:t xml:space="preserve"> </w:t>
      </w:r>
      <w:r w:rsidRPr="00181FCD">
        <w:t>años</w:t>
      </w:r>
      <w:r w:rsidR="00F373A3" w:rsidRPr="00181FCD">
        <w:t xml:space="preserve"> </w:t>
      </w:r>
      <w:r w:rsidRPr="00181FCD">
        <w:t>se</w:t>
      </w:r>
      <w:r w:rsidR="00F373A3" w:rsidRPr="00181FCD">
        <w:t xml:space="preserve"> </w:t>
      </w:r>
      <w:r w:rsidRPr="00181FCD">
        <w:t>han</w:t>
      </w:r>
      <w:r w:rsidR="00F373A3" w:rsidRPr="00181FCD">
        <w:t xml:space="preserve"> </w:t>
      </w:r>
      <w:r w:rsidRPr="00181FCD">
        <w:t>emprendido</w:t>
      </w:r>
      <w:r w:rsidR="00F373A3" w:rsidRPr="00181FCD">
        <w:t xml:space="preserve"> </w:t>
      </w:r>
      <w:r w:rsidRPr="00181FCD">
        <w:t>continuamente</w:t>
      </w:r>
      <w:r w:rsidR="00F373A3" w:rsidRPr="00181FCD">
        <w:t xml:space="preserve"> </w:t>
      </w:r>
      <w:r w:rsidRPr="00181FCD">
        <w:t>en</w:t>
      </w:r>
      <w:r w:rsidR="00F373A3" w:rsidRPr="00181FCD">
        <w:t xml:space="preserve"> </w:t>
      </w:r>
      <w:r w:rsidRPr="00181FCD">
        <w:t>las</w:t>
      </w:r>
      <w:r w:rsidR="00F373A3" w:rsidRPr="00181FCD">
        <w:t xml:space="preserve"> </w:t>
      </w:r>
      <w:r w:rsidRPr="00181FCD">
        <w:t>cárceles</w:t>
      </w:r>
      <w:r w:rsidR="00F373A3" w:rsidRPr="00181FCD">
        <w:t xml:space="preserve"> </w:t>
      </w:r>
      <w:r w:rsidRPr="00181FCD">
        <w:t>obras</w:t>
      </w:r>
      <w:r w:rsidR="00F373A3" w:rsidRPr="00181FCD">
        <w:t xml:space="preserve"> </w:t>
      </w:r>
      <w:r w:rsidRPr="00181FCD">
        <w:t>de</w:t>
      </w:r>
      <w:r w:rsidR="00F373A3" w:rsidRPr="00181FCD">
        <w:t xml:space="preserve"> </w:t>
      </w:r>
      <w:r w:rsidRPr="00181FCD">
        <w:t>reacondicionamiento</w:t>
      </w:r>
      <w:r w:rsidR="00F373A3" w:rsidRPr="00181FCD">
        <w:t xml:space="preserve"> </w:t>
      </w:r>
      <w:r w:rsidRPr="00181FCD">
        <w:t>de</w:t>
      </w:r>
      <w:r w:rsidR="00F373A3" w:rsidRPr="00181FCD">
        <w:t xml:space="preserve"> </w:t>
      </w:r>
      <w:r w:rsidRPr="00181FCD">
        <w:t>las</w:t>
      </w:r>
      <w:r w:rsidR="00F373A3" w:rsidRPr="00181FCD">
        <w:t xml:space="preserve"> </w:t>
      </w:r>
      <w:r w:rsidRPr="00181FCD">
        <w:t>instalaciones</w:t>
      </w:r>
      <w:r w:rsidR="00F373A3" w:rsidRPr="00181FCD">
        <w:t xml:space="preserve"> </w:t>
      </w:r>
      <w:r w:rsidRPr="00181FCD">
        <w:t>materiales,</w:t>
      </w:r>
      <w:r w:rsidR="00F373A3" w:rsidRPr="00181FCD">
        <w:t xml:space="preserve"> </w:t>
      </w:r>
      <w:r w:rsidRPr="00181FCD">
        <w:t>para</w:t>
      </w:r>
      <w:r w:rsidR="00F373A3" w:rsidRPr="00181FCD">
        <w:t xml:space="preserve"> </w:t>
      </w:r>
      <w:r w:rsidRPr="00181FCD">
        <w:t>mejorar</w:t>
      </w:r>
      <w:r w:rsidR="00F373A3" w:rsidRPr="00181FCD">
        <w:t xml:space="preserve"> </w:t>
      </w:r>
      <w:r w:rsidRPr="00181FCD">
        <w:t>las</w:t>
      </w:r>
      <w:r w:rsidR="00F373A3" w:rsidRPr="00181FCD">
        <w:t xml:space="preserve"> </w:t>
      </w:r>
      <w:r w:rsidRPr="00181FCD">
        <w:t>condiciones</w:t>
      </w:r>
      <w:r w:rsidR="00F373A3" w:rsidRPr="00181FCD">
        <w:t xml:space="preserve"> </w:t>
      </w:r>
      <w:r w:rsidRPr="00181FCD">
        <w:t>de</w:t>
      </w:r>
      <w:r w:rsidR="00F373A3" w:rsidRPr="00181FCD">
        <w:t xml:space="preserve"> </w:t>
      </w:r>
      <w:r w:rsidRPr="00181FCD">
        <w:t>vida</w:t>
      </w:r>
      <w:r w:rsidR="00F373A3" w:rsidRPr="00181FCD">
        <w:t xml:space="preserve"> </w:t>
      </w:r>
      <w:r w:rsidRPr="00181FCD">
        <w:t>de</w:t>
      </w:r>
      <w:r w:rsidR="00F373A3" w:rsidRPr="00181FCD">
        <w:t xml:space="preserve"> </w:t>
      </w:r>
      <w:r w:rsidRPr="00181FCD">
        <w:t>los</w:t>
      </w:r>
      <w:r w:rsidR="00F373A3" w:rsidRPr="00181FCD">
        <w:t xml:space="preserve"> </w:t>
      </w:r>
      <w:r w:rsidRPr="00181FCD">
        <w:t>reclusos</w:t>
      </w:r>
      <w:r w:rsidR="00F373A3" w:rsidRPr="00181FCD">
        <w:t xml:space="preserve"> </w:t>
      </w:r>
      <w:r w:rsidRPr="00181FCD">
        <w:t>y</w:t>
      </w:r>
      <w:r w:rsidR="00F373A3" w:rsidRPr="00181FCD">
        <w:t xml:space="preserve"> </w:t>
      </w:r>
      <w:r w:rsidRPr="00181FCD">
        <w:t>otras</w:t>
      </w:r>
      <w:r w:rsidR="00F373A3" w:rsidRPr="00181FCD">
        <w:t xml:space="preserve"> </w:t>
      </w:r>
      <w:r w:rsidRPr="00181FCD">
        <w:t>personas</w:t>
      </w:r>
      <w:r w:rsidR="00F373A3" w:rsidRPr="00181FCD">
        <w:t xml:space="preserve"> </w:t>
      </w:r>
      <w:r w:rsidRPr="00181FCD">
        <w:t>en</w:t>
      </w:r>
      <w:r w:rsidR="00F373A3" w:rsidRPr="00181FCD">
        <w:t xml:space="preserve"> </w:t>
      </w:r>
      <w:r w:rsidRPr="00181FCD">
        <w:t>los</w:t>
      </w:r>
      <w:r w:rsidR="00F373A3" w:rsidRPr="00181FCD">
        <w:t xml:space="preserve"> </w:t>
      </w:r>
      <w:r w:rsidRPr="00181FCD">
        <w:t>centros</w:t>
      </w:r>
      <w:r w:rsidR="00F373A3" w:rsidRPr="00181FCD">
        <w:t xml:space="preserve"> </w:t>
      </w:r>
      <w:r w:rsidRPr="00181FCD">
        <w:t>de</w:t>
      </w:r>
      <w:r w:rsidR="00F373A3" w:rsidRPr="00181FCD">
        <w:t xml:space="preserve"> </w:t>
      </w:r>
      <w:r w:rsidRPr="00181FCD">
        <w:t>detención</w:t>
      </w:r>
      <w:r w:rsidR="00F373A3" w:rsidRPr="00181FCD">
        <w:t xml:space="preserve"> </w:t>
      </w:r>
      <w:r w:rsidRPr="00181FCD">
        <w:t>de</w:t>
      </w:r>
      <w:r w:rsidR="00F373A3" w:rsidRPr="00181FCD">
        <w:t xml:space="preserve"> </w:t>
      </w:r>
      <w:r w:rsidRPr="00181FCD">
        <w:t>todo</w:t>
      </w:r>
      <w:r w:rsidR="00F373A3" w:rsidRPr="00181FCD">
        <w:t xml:space="preserve"> </w:t>
      </w:r>
      <w:r w:rsidRPr="00181FCD">
        <w:t>el</w:t>
      </w:r>
      <w:r w:rsidR="00F373A3" w:rsidRPr="00181FCD">
        <w:t xml:space="preserve"> </w:t>
      </w:r>
      <w:r w:rsidRPr="00181FCD">
        <w:t>país.</w:t>
      </w:r>
    </w:p>
    <w:p w:rsidR="001937F4" w:rsidRPr="00181FCD" w:rsidRDefault="001937F4" w:rsidP="00347B20">
      <w:pPr>
        <w:pStyle w:val="SingleTxtG"/>
        <w:suppressAutoHyphens/>
      </w:pPr>
      <w:r w:rsidRPr="00181FCD">
        <w:t>170.</w:t>
      </w:r>
      <w:r w:rsidRPr="00181FCD">
        <w:tab/>
        <w:t>En</w:t>
      </w:r>
      <w:r w:rsidR="00F373A3" w:rsidRPr="00181FCD">
        <w:t xml:space="preserve"> </w:t>
      </w:r>
      <w:r w:rsidRPr="00181FCD">
        <w:t>2014</w:t>
      </w:r>
      <w:r w:rsidR="00F373A3" w:rsidRPr="00181FCD">
        <w:t xml:space="preserve"> </w:t>
      </w:r>
      <w:r w:rsidRPr="00181FCD">
        <w:t>se</w:t>
      </w:r>
      <w:r w:rsidR="00F373A3" w:rsidRPr="00181FCD">
        <w:t xml:space="preserve"> </w:t>
      </w:r>
      <w:r w:rsidRPr="00181FCD">
        <w:t>llevó</w:t>
      </w:r>
      <w:r w:rsidR="00F373A3" w:rsidRPr="00181FCD">
        <w:t xml:space="preserve"> </w:t>
      </w:r>
      <w:r w:rsidRPr="00181FCD">
        <w:t>a</w:t>
      </w:r>
      <w:r w:rsidR="00F373A3" w:rsidRPr="00181FCD">
        <w:t xml:space="preserve"> </w:t>
      </w:r>
      <w:r w:rsidRPr="00181FCD">
        <w:t>cabo</w:t>
      </w:r>
      <w:r w:rsidR="00F373A3" w:rsidRPr="00181FCD">
        <w:t xml:space="preserve"> </w:t>
      </w:r>
      <w:r w:rsidRPr="00181FCD">
        <w:t>una</w:t>
      </w:r>
      <w:r w:rsidR="00F373A3" w:rsidRPr="00181FCD">
        <w:t xml:space="preserve"> </w:t>
      </w:r>
      <w:r w:rsidRPr="00181FCD">
        <w:t>serie</w:t>
      </w:r>
      <w:r w:rsidR="00F373A3" w:rsidRPr="00181FCD">
        <w:t xml:space="preserve"> </w:t>
      </w:r>
      <w:r w:rsidRPr="00181FCD">
        <w:t>de</w:t>
      </w:r>
      <w:r w:rsidR="00F373A3" w:rsidRPr="00181FCD">
        <w:t xml:space="preserve"> </w:t>
      </w:r>
      <w:r w:rsidRPr="00181FCD">
        <w:t>obras</w:t>
      </w:r>
      <w:r w:rsidR="00F373A3" w:rsidRPr="00181FCD">
        <w:t xml:space="preserve"> </w:t>
      </w:r>
      <w:r w:rsidRPr="00181FCD">
        <w:t>de</w:t>
      </w:r>
      <w:r w:rsidR="00F373A3" w:rsidRPr="00181FCD">
        <w:t xml:space="preserve"> </w:t>
      </w:r>
      <w:r w:rsidRPr="00181FCD">
        <w:t>reparación,</w:t>
      </w:r>
      <w:r w:rsidR="00F373A3" w:rsidRPr="00181FCD">
        <w:t xml:space="preserve"> </w:t>
      </w:r>
      <w:r w:rsidRPr="00181FCD">
        <w:t>financiadas</w:t>
      </w:r>
      <w:r w:rsidR="00F373A3" w:rsidRPr="00181FCD">
        <w:t xml:space="preserve"> </w:t>
      </w:r>
      <w:r w:rsidRPr="00181FCD">
        <w:t>con</w:t>
      </w:r>
      <w:r w:rsidR="00F373A3" w:rsidRPr="00181FCD">
        <w:t xml:space="preserve"> </w:t>
      </w:r>
      <w:r w:rsidRPr="00181FCD">
        <w:t>cargo</w:t>
      </w:r>
      <w:r w:rsidR="00F373A3" w:rsidRPr="00181FCD">
        <w:t xml:space="preserve"> </w:t>
      </w:r>
      <w:r w:rsidRPr="00181FCD">
        <w:t>al</w:t>
      </w:r>
      <w:r w:rsidR="00F373A3" w:rsidRPr="00181FCD">
        <w:t xml:space="preserve"> </w:t>
      </w:r>
      <w:r w:rsidRPr="00181FCD">
        <w:t>presupuesto,</w:t>
      </w:r>
      <w:r w:rsidR="00F373A3" w:rsidRPr="00181FCD">
        <w:t xml:space="preserve"> </w:t>
      </w:r>
      <w:r w:rsidRPr="00181FCD">
        <w:t>como</w:t>
      </w:r>
      <w:r w:rsidR="00F373A3" w:rsidRPr="00181FCD">
        <w:t xml:space="preserve"> </w:t>
      </w:r>
      <w:r w:rsidRPr="00181FCD">
        <w:t>la</w:t>
      </w:r>
      <w:r w:rsidR="00F373A3" w:rsidRPr="00181FCD">
        <w:t xml:space="preserve"> </w:t>
      </w:r>
      <w:r w:rsidRPr="00181FCD">
        <w:t>reparación</w:t>
      </w:r>
      <w:r w:rsidR="00F373A3" w:rsidRPr="00181FCD">
        <w:t xml:space="preserve"> </w:t>
      </w:r>
      <w:r w:rsidRPr="00181FCD">
        <w:t>del</w:t>
      </w:r>
      <w:r w:rsidR="00F373A3" w:rsidRPr="00181FCD">
        <w:t xml:space="preserve"> </w:t>
      </w:r>
      <w:r w:rsidRPr="00181FCD">
        <w:t>techo</w:t>
      </w:r>
      <w:r w:rsidR="00F373A3" w:rsidRPr="00181FCD">
        <w:t xml:space="preserve"> </w:t>
      </w:r>
      <w:r w:rsidRPr="00181FCD">
        <w:t>de</w:t>
      </w:r>
      <w:r w:rsidR="00F373A3" w:rsidRPr="00181FCD">
        <w:t xml:space="preserve"> </w:t>
      </w:r>
      <w:r w:rsidRPr="00181FCD">
        <w:t>la</w:t>
      </w:r>
      <w:r w:rsidR="00F373A3" w:rsidRPr="00181FCD">
        <w:t xml:space="preserve"> </w:t>
      </w:r>
      <w:r w:rsidRPr="00181FCD">
        <w:t>cárcel</w:t>
      </w:r>
      <w:r w:rsidR="00F373A3" w:rsidRPr="00181FCD">
        <w:t xml:space="preserve"> </w:t>
      </w:r>
      <w:r w:rsidRPr="00181FCD">
        <w:t>de</w:t>
      </w:r>
      <w:r w:rsidR="00F373A3" w:rsidRPr="00181FCD">
        <w:t xml:space="preserve"> </w:t>
      </w:r>
      <w:r w:rsidRPr="00181FCD">
        <w:t>la</w:t>
      </w:r>
      <w:r w:rsidR="00F373A3" w:rsidRPr="00181FCD">
        <w:t xml:space="preserve"> </w:t>
      </w:r>
      <w:r w:rsidRPr="00181FCD">
        <w:t>ciudad</w:t>
      </w:r>
      <w:r w:rsidR="00F373A3" w:rsidRPr="00181FCD">
        <w:t xml:space="preserve"> </w:t>
      </w:r>
      <w:r w:rsidRPr="00181FCD">
        <w:t>de</w:t>
      </w:r>
      <w:r w:rsidR="00F373A3" w:rsidRPr="00181FCD">
        <w:t xml:space="preserve"> </w:t>
      </w:r>
      <w:r w:rsidRPr="00181FCD">
        <w:t>Lovech,</w:t>
      </w:r>
      <w:r w:rsidR="00F373A3" w:rsidRPr="00181FCD">
        <w:t xml:space="preserve"> </w:t>
      </w:r>
      <w:r w:rsidRPr="00181FCD">
        <w:t>diversas</w:t>
      </w:r>
      <w:r w:rsidR="00F373A3" w:rsidRPr="00181FCD">
        <w:t xml:space="preserve"> </w:t>
      </w:r>
      <w:r w:rsidRPr="00181FCD">
        <w:t>reparaciones</w:t>
      </w:r>
      <w:r w:rsidR="00F373A3" w:rsidRPr="00181FCD">
        <w:t xml:space="preserve"> </w:t>
      </w:r>
      <w:r w:rsidRPr="00181FCD">
        <w:t>en</w:t>
      </w:r>
      <w:r w:rsidR="00F373A3" w:rsidRPr="00181FCD">
        <w:t xml:space="preserve"> </w:t>
      </w:r>
      <w:r w:rsidRPr="00181FCD">
        <w:t>la</w:t>
      </w:r>
      <w:r w:rsidR="00F373A3" w:rsidRPr="00181FCD">
        <w:t xml:space="preserve"> </w:t>
      </w:r>
      <w:r w:rsidRPr="00181FCD">
        <w:t>prisión</w:t>
      </w:r>
      <w:r w:rsidR="00F373A3" w:rsidRPr="00181FCD">
        <w:t xml:space="preserve"> </w:t>
      </w:r>
      <w:r w:rsidRPr="00181FCD">
        <w:t>albergue</w:t>
      </w:r>
      <w:r w:rsidR="00F373A3" w:rsidRPr="00181FCD">
        <w:t xml:space="preserve"> </w:t>
      </w:r>
      <w:r w:rsidRPr="00181FCD">
        <w:t>de</w:t>
      </w:r>
      <w:r w:rsidR="00F373A3" w:rsidRPr="00181FCD">
        <w:t xml:space="preserve"> </w:t>
      </w:r>
      <w:r w:rsidRPr="00181FCD">
        <w:t>régimen</w:t>
      </w:r>
      <w:r w:rsidR="00F373A3" w:rsidRPr="00181FCD">
        <w:t xml:space="preserve"> </w:t>
      </w:r>
      <w:r w:rsidRPr="00181FCD">
        <w:t>abierto</w:t>
      </w:r>
      <w:r w:rsidR="00F373A3" w:rsidRPr="00181FCD">
        <w:t xml:space="preserve"> </w:t>
      </w:r>
      <w:r w:rsidRPr="00181FCD">
        <w:t>de</w:t>
      </w:r>
      <w:r w:rsidR="00F373A3" w:rsidRPr="00181FCD">
        <w:t xml:space="preserve"> </w:t>
      </w:r>
      <w:r w:rsidRPr="00181FCD">
        <w:t>Veliko</w:t>
      </w:r>
      <w:r w:rsidR="00F373A3" w:rsidRPr="00181FCD">
        <w:t xml:space="preserve"> </w:t>
      </w:r>
      <w:r w:rsidRPr="00181FCD">
        <w:t>Tarnovo,</w:t>
      </w:r>
      <w:r w:rsidR="00F373A3" w:rsidRPr="00181FCD">
        <w:t xml:space="preserve"> </w:t>
      </w:r>
      <w:r w:rsidRPr="00181FCD">
        <w:t>que</w:t>
      </w:r>
      <w:r w:rsidR="00F373A3" w:rsidRPr="00181FCD">
        <w:t xml:space="preserve"> </w:t>
      </w:r>
      <w:r w:rsidRPr="00181FCD">
        <w:t>forma</w:t>
      </w:r>
      <w:r w:rsidR="00F373A3" w:rsidRPr="00181FCD">
        <w:t xml:space="preserve"> </w:t>
      </w:r>
      <w:r w:rsidRPr="00181FCD">
        <w:t>parte</w:t>
      </w:r>
      <w:r w:rsidR="00F373A3" w:rsidRPr="00181FCD">
        <w:t xml:space="preserve"> </w:t>
      </w:r>
      <w:r w:rsidRPr="00181FCD">
        <w:t>de</w:t>
      </w:r>
      <w:r w:rsidR="00F373A3" w:rsidRPr="00181FCD">
        <w:t xml:space="preserve"> </w:t>
      </w:r>
      <w:r w:rsidRPr="00181FCD">
        <w:t>la</w:t>
      </w:r>
      <w:r w:rsidR="00F373A3" w:rsidRPr="00181FCD">
        <w:t xml:space="preserve"> </w:t>
      </w:r>
      <w:r w:rsidRPr="00181FCD">
        <w:t>cárcel</w:t>
      </w:r>
      <w:r w:rsidR="00F373A3" w:rsidRPr="00181FCD">
        <w:t xml:space="preserve"> </w:t>
      </w:r>
      <w:r w:rsidRPr="00181FCD">
        <w:t>del</w:t>
      </w:r>
      <w:r w:rsidR="00F373A3" w:rsidRPr="00181FCD">
        <w:t xml:space="preserve"> </w:t>
      </w:r>
      <w:r w:rsidRPr="00181FCD">
        <w:t>mismo</w:t>
      </w:r>
      <w:r w:rsidR="00F373A3" w:rsidRPr="00181FCD">
        <w:t xml:space="preserve"> </w:t>
      </w:r>
      <w:r w:rsidRPr="00181FCD">
        <w:t>nombre,</w:t>
      </w:r>
      <w:r w:rsidR="00F373A3" w:rsidRPr="00181FCD">
        <w:t xml:space="preserve"> </w:t>
      </w:r>
      <w:r w:rsidRPr="00181FCD">
        <w:t>reacondicionamiento</w:t>
      </w:r>
      <w:r w:rsidR="00F373A3" w:rsidRPr="00181FCD">
        <w:t xml:space="preserve"> </w:t>
      </w:r>
      <w:r w:rsidRPr="00181FCD">
        <w:t>de</w:t>
      </w:r>
      <w:r w:rsidR="00F373A3" w:rsidRPr="00181FCD">
        <w:t xml:space="preserve"> </w:t>
      </w:r>
      <w:r w:rsidRPr="00181FCD">
        <w:t>celdas</w:t>
      </w:r>
      <w:r w:rsidR="00F373A3" w:rsidRPr="00181FCD">
        <w:t xml:space="preserve"> </w:t>
      </w:r>
      <w:r w:rsidRPr="00181FCD">
        <w:t>en</w:t>
      </w:r>
      <w:r w:rsidR="00F373A3" w:rsidRPr="00181FCD">
        <w:t xml:space="preserve"> </w:t>
      </w:r>
      <w:r w:rsidRPr="00181FCD">
        <w:t>el</w:t>
      </w:r>
      <w:r w:rsidR="00F373A3" w:rsidRPr="00181FCD">
        <w:t xml:space="preserve"> </w:t>
      </w:r>
      <w:r w:rsidRPr="00181FCD">
        <w:t>centro</w:t>
      </w:r>
      <w:r w:rsidR="00F373A3" w:rsidRPr="00181FCD">
        <w:t xml:space="preserve"> </w:t>
      </w:r>
      <w:r w:rsidRPr="00181FCD">
        <w:t>de</w:t>
      </w:r>
      <w:r w:rsidR="00F373A3" w:rsidRPr="00181FCD">
        <w:t xml:space="preserve"> </w:t>
      </w:r>
      <w:r w:rsidRPr="00181FCD">
        <w:t>detención</w:t>
      </w:r>
      <w:r w:rsidR="00F373A3" w:rsidRPr="00181FCD">
        <w:t xml:space="preserve"> </w:t>
      </w:r>
      <w:r w:rsidRPr="00181FCD">
        <w:t>de</w:t>
      </w:r>
      <w:r w:rsidR="00F373A3" w:rsidRPr="00181FCD">
        <w:t xml:space="preserve"> </w:t>
      </w:r>
      <w:r w:rsidRPr="00181FCD">
        <w:t>Ruse,</w:t>
      </w:r>
      <w:r w:rsidR="00F373A3" w:rsidRPr="00181FCD">
        <w:t xml:space="preserve"> </w:t>
      </w:r>
      <w:r w:rsidRPr="00181FCD">
        <w:t>renovación</w:t>
      </w:r>
      <w:r w:rsidR="00F373A3" w:rsidRPr="00181FCD">
        <w:t xml:space="preserve"> </w:t>
      </w:r>
      <w:r w:rsidRPr="00181FCD">
        <w:t>de</w:t>
      </w:r>
      <w:r w:rsidR="00F373A3" w:rsidRPr="00181FCD">
        <w:t xml:space="preserve"> </w:t>
      </w:r>
      <w:r w:rsidRPr="00181FCD">
        <w:t>los</w:t>
      </w:r>
      <w:r w:rsidR="00F373A3" w:rsidRPr="00181FCD">
        <w:t xml:space="preserve"> </w:t>
      </w:r>
      <w:r w:rsidRPr="00181FCD">
        <w:t>aseos</w:t>
      </w:r>
      <w:r w:rsidR="00F373A3" w:rsidRPr="00181FCD">
        <w:t xml:space="preserve"> </w:t>
      </w:r>
      <w:r w:rsidRPr="00181FCD">
        <w:t>y</w:t>
      </w:r>
      <w:r w:rsidR="00F373A3" w:rsidRPr="00181FCD">
        <w:t xml:space="preserve"> </w:t>
      </w:r>
      <w:r w:rsidRPr="00181FCD">
        <w:t>cuartos</w:t>
      </w:r>
      <w:r w:rsidR="00F373A3" w:rsidRPr="00181FCD">
        <w:t xml:space="preserve"> </w:t>
      </w:r>
      <w:r w:rsidRPr="00181FCD">
        <w:t>de</w:t>
      </w:r>
      <w:r w:rsidR="00F373A3" w:rsidRPr="00181FCD">
        <w:t xml:space="preserve"> </w:t>
      </w:r>
      <w:r w:rsidRPr="00181FCD">
        <w:t>baño</w:t>
      </w:r>
      <w:r w:rsidR="00F373A3" w:rsidRPr="00181FCD">
        <w:t xml:space="preserve"> </w:t>
      </w:r>
      <w:r w:rsidRPr="00181FCD">
        <w:t>en</w:t>
      </w:r>
      <w:r w:rsidR="00F373A3" w:rsidRPr="00181FCD">
        <w:t xml:space="preserve"> </w:t>
      </w:r>
      <w:r w:rsidRPr="00181FCD">
        <w:t>el</w:t>
      </w:r>
      <w:r w:rsidR="00F373A3" w:rsidRPr="00181FCD">
        <w:t xml:space="preserve"> </w:t>
      </w:r>
      <w:r w:rsidRPr="00181FCD">
        <w:t>centro</w:t>
      </w:r>
      <w:r w:rsidR="00F373A3" w:rsidRPr="00181FCD">
        <w:t xml:space="preserve"> </w:t>
      </w:r>
      <w:r w:rsidRPr="00181FCD">
        <w:t>penitenciario</w:t>
      </w:r>
      <w:r w:rsidR="00F373A3" w:rsidRPr="00181FCD">
        <w:t xml:space="preserve"> </w:t>
      </w:r>
      <w:r w:rsidRPr="00181FCD">
        <w:t>de</w:t>
      </w:r>
      <w:r w:rsidR="00F373A3" w:rsidRPr="00181FCD">
        <w:t xml:space="preserve"> </w:t>
      </w:r>
      <w:r w:rsidRPr="00181FCD">
        <w:t>la</w:t>
      </w:r>
      <w:r w:rsidR="00F373A3" w:rsidRPr="00181FCD">
        <w:t xml:space="preserve"> </w:t>
      </w:r>
      <w:r w:rsidRPr="00181FCD">
        <w:t>ciudad</w:t>
      </w:r>
      <w:r w:rsidR="00F373A3" w:rsidRPr="00181FCD">
        <w:t xml:space="preserve"> </w:t>
      </w:r>
      <w:r w:rsidRPr="00181FCD">
        <w:t>de</w:t>
      </w:r>
      <w:r w:rsidR="00F373A3" w:rsidRPr="00181FCD">
        <w:t xml:space="preserve"> </w:t>
      </w:r>
      <w:r w:rsidRPr="00181FCD">
        <w:t>Blagoevgrad</w:t>
      </w:r>
      <w:r w:rsidR="00F373A3" w:rsidRPr="00181FCD">
        <w:t xml:space="preserve"> </w:t>
      </w:r>
      <w:r w:rsidRPr="00181FCD">
        <w:t>y</w:t>
      </w:r>
      <w:r w:rsidR="00F373A3" w:rsidRPr="00181FCD">
        <w:t xml:space="preserve"> </w:t>
      </w:r>
      <w:r w:rsidRPr="00181FCD">
        <w:t>trabajos</w:t>
      </w:r>
      <w:r w:rsidR="00F373A3" w:rsidRPr="00181FCD">
        <w:t xml:space="preserve"> </w:t>
      </w:r>
      <w:r w:rsidRPr="00181FCD">
        <w:t>de</w:t>
      </w:r>
      <w:r w:rsidR="00F373A3" w:rsidRPr="00181FCD">
        <w:t xml:space="preserve"> </w:t>
      </w:r>
      <w:r w:rsidRPr="00181FCD">
        <w:t>reparación</w:t>
      </w:r>
      <w:r w:rsidR="00F373A3" w:rsidRPr="00181FCD">
        <w:t xml:space="preserve"> </w:t>
      </w:r>
      <w:r w:rsidRPr="00181FCD">
        <w:t>en</w:t>
      </w:r>
      <w:r w:rsidR="00F373A3" w:rsidRPr="00181FCD">
        <w:t xml:space="preserve"> </w:t>
      </w:r>
      <w:r w:rsidRPr="00181FCD">
        <w:t>el</w:t>
      </w:r>
      <w:r w:rsidR="00F373A3" w:rsidRPr="00181FCD">
        <w:t xml:space="preserve"> </w:t>
      </w:r>
      <w:r w:rsidRPr="00181FCD">
        <w:t>edificio</w:t>
      </w:r>
      <w:r w:rsidR="00F373A3" w:rsidRPr="00181FCD">
        <w:t xml:space="preserve"> </w:t>
      </w:r>
      <w:r w:rsidRPr="00181FCD">
        <w:t>de</w:t>
      </w:r>
      <w:r w:rsidR="00F373A3" w:rsidRPr="00181FCD">
        <w:t xml:space="preserve"> </w:t>
      </w:r>
      <w:r w:rsidRPr="00181FCD">
        <w:t>la</w:t>
      </w:r>
      <w:r w:rsidR="00F373A3" w:rsidRPr="00181FCD">
        <w:t xml:space="preserve"> </w:t>
      </w:r>
      <w:r w:rsidRPr="00181FCD">
        <w:t>cocina</w:t>
      </w:r>
      <w:r w:rsidR="00F373A3" w:rsidRPr="00181FCD">
        <w:t xml:space="preserve"> </w:t>
      </w:r>
      <w:r w:rsidRPr="00181FCD">
        <w:t>de</w:t>
      </w:r>
      <w:r w:rsidR="00F373A3" w:rsidRPr="00181FCD">
        <w:t xml:space="preserve"> </w:t>
      </w:r>
      <w:r w:rsidRPr="00181FCD">
        <w:t>la</w:t>
      </w:r>
      <w:r w:rsidR="00F373A3" w:rsidRPr="00181FCD">
        <w:t xml:space="preserve"> </w:t>
      </w:r>
      <w:r w:rsidRPr="00181FCD">
        <w:t>cárcel</w:t>
      </w:r>
      <w:r w:rsidR="00F373A3" w:rsidRPr="00181FCD">
        <w:t xml:space="preserve"> </w:t>
      </w:r>
      <w:r w:rsidRPr="00181FCD">
        <w:t>de</w:t>
      </w:r>
      <w:r w:rsidR="00F373A3" w:rsidRPr="00181FCD">
        <w:t xml:space="preserve"> </w:t>
      </w:r>
      <w:r w:rsidRPr="00181FCD">
        <w:t>Bobov</w:t>
      </w:r>
      <w:r w:rsidR="00F373A3" w:rsidRPr="00181FCD">
        <w:t xml:space="preserve"> </w:t>
      </w:r>
      <w:r w:rsidRPr="00181FCD">
        <w:t>Dol.</w:t>
      </w:r>
    </w:p>
    <w:p w:rsidR="001937F4" w:rsidRPr="00181FCD" w:rsidRDefault="001937F4" w:rsidP="00347B20">
      <w:pPr>
        <w:pStyle w:val="SingleTxtG"/>
        <w:suppressAutoHyphens/>
      </w:pPr>
      <w:r w:rsidRPr="00181FCD">
        <w:t>171.</w:t>
      </w:r>
      <w:r w:rsidRPr="00181FCD">
        <w:tab/>
        <w:t>Gracias</w:t>
      </w:r>
      <w:r w:rsidR="00F373A3" w:rsidRPr="00181FCD">
        <w:t xml:space="preserve"> </w:t>
      </w:r>
      <w:r w:rsidRPr="00181FCD">
        <w:t>a</w:t>
      </w:r>
      <w:r w:rsidR="00F373A3" w:rsidRPr="00181FCD">
        <w:t xml:space="preserve"> </w:t>
      </w:r>
      <w:r w:rsidRPr="00181FCD">
        <w:t>los</w:t>
      </w:r>
      <w:r w:rsidR="00F373A3" w:rsidRPr="00181FCD">
        <w:t xml:space="preserve"> </w:t>
      </w:r>
      <w:r w:rsidRPr="00181FCD">
        <w:t>fondos</w:t>
      </w:r>
      <w:r w:rsidR="00F373A3" w:rsidRPr="00181FCD">
        <w:t xml:space="preserve"> </w:t>
      </w:r>
      <w:r w:rsidRPr="00181FCD">
        <w:t>proporcionados</w:t>
      </w:r>
      <w:r w:rsidR="00F373A3" w:rsidRPr="00181FCD">
        <w:t xml:space="preserve"> </w:t>
      </w:r>
      <w:r w:rsidRPr="00181FCD">
        <w:t>por</w:t>
      </w:r>
      <w:r w:rsidR="00F373A3" w:rsidRPr="00181FCD">
        <w:t xml:space="preserve"> </w:t>
      </w:r>
      <w:r w:rsidRPr="00181FCD">
        <w:t>el</w:t>
      </w:r>
      <w:r w:rsidR="00F373A3" w:rsidRPr="00181FCD">
        <w:t xml:space="preserve"> </w:t>
      </w:r>
      <w:r w:rsidRPr="00181FCD">
        <w:t>Mecanismo</w:t>
      </w:r>
      <w:r w:rsidR="00F373A3" w:rsidRPr="00181FCD">
        <w:t xml:space="preserve"> </w:t>
      </w:r>
      <w:r w:rsidRPr="00181FCD">
        <w:t>Financiero</w:t>
      </w:r>
      <w:r w:rsidR="00F373A3" w:rsidRPr="00181FCD">
        <w:t xml:space="preserve"> </w:t>
      </w:r>
      <w:r w:rsidRPr="00181FCD">
        <w:t>Noruego,</w:t>
      </w:r>
      <w:r w:rsidR="00F373A3" w:rsidRPr="00181FCD">
        <w:t xml:space="preserve"> </w:t>
      </w:r>
      <w:r w:rsidR="00BE74A7" w:rsidRPr="00181FCD">
        <w:t>2009</w:t>
      </w:r>
      <w:r w:rsidR="00BE74A7" w:rsidRPr="00181FCD">
        <w:noBreakHyphen/>
      </w:r>
      <w:r w:rsidRPr="00181FCD">
        <w:t>2014,</w:t>
      </w:r>
      <w:r w:rsidR="00F373A3" w:rsidRPr="00181FCD">
        <w:t xml:space="preserve"> </w:t>
      </w:r>
      <w:r w:rsidRPr="00181FCD">
        <w:t>en</w:t>
      </w:r>
      <w:r w:rsidR="00F373A3" w:rsidRPr="00181FCD">
        <w:t xml:space="preserve"> </w:t>
      </w:r>
      <w:r w:rsidRPr="00181FCD">
        <w:t>la</w:t>
      </w:r>
      <w:r w:rsidR="00F373A3" w:rsidRPr="00181FCD">
        <w:t xml:space="preserve"> </w:t>
      </w:r>
      <w:r w:rsidRPr="00181FCD">
        <w:t>ciudad</w:t>
      </w:r>
      <w:r w:rsidR="00F373A3" w:rsidRPr="00181FCD">
        <w:t xml:space="preserve"> </w:t>
      </w:r>
      <w:r w:rsidRPr="00181FCD">
        <w:t>de</w:t>
      </w:r>
      <w:r w:rsidR="00F373A3" w:rsidRPr="00181FCD">
        <w:t xml:space="preserve"> </w:t>
      </w:r>
      <w:r w:rsidRPr="00181FCD">
        <w:t>Shumen</w:t>
      </w:r>
      <w:r w:rsidR="00F373A3" w:rsidRPr="00181FCD">
        <w:t xml:space="preserve"> </w:t>
      </w:r>
      <w:r w:rsidRPr="00181FCD">
        <w:t>se</w:t>
      </w:r>
      <w:r w:rsidR="00F373A3" w:rsidRPr="00181FCD">
        <w:t xml:space="preserve"> </w:t>
      </w:r>
      <w:r w:rsidRPr="00181FCD">
        <w:t>construyó</w:t>
      </w:r>
      <w:r w:rsidR="00F373A3" w:rsidRPr="00181FCD">
        <w:t xml:space="preserve"> </w:t>
      </w:r>
      <w:r w:rsidRPr="00181FCD">
        <w:t>y</w:t>
      </w:r>
      <w:r w:rsidR="00F373A3" w:rsidRPr="00181FCD">
        <w:t xml:space="preserve"> </w:t>
      </w:r>
      <w:r w:rsidRPr="00181FCD">
        <w:t>se</w:t>
      </w:r>
      <w:r w:rsidR="00F373A3" w:rsidRPr="00181FCD">
        <w:t xml:space="preserve"> </w:t>
      </w:r>
      <w:r w:rsidRPr="00181FCD">
        <w:t>puso</w:t>
      </w:r>
      <w:r w:rsidR="00F373A3" w:rsidRPr="00181FCD">
        <w:t xml:space="preserve"> </w:t>
      </w:r>
      <w:r w:rsidRPr="00181FCD">
        <w:t>en</w:t>
      </w:r>
      <w:r w:rsidR="00F373A3" w:rsidRPr="00181FCD">
        <w:t xml:space="preserve"> </w:t>
      </w:r>
      <w:r w:rsidRPr="00181FCD">
        <w:t>funcionamiento</w:t>
      </w:r>
      <w:r w:rsidR="00F373A3" w:rsidRPr="00181FCD">
        <w:t xml:space="preserve"> </w:t>
      </w:r>
      <w:r w:rsidRPr="00181FCD">
        <w:t>un</w:t>
      </w:r>
      <w:r w:rsidR="00F373A3" w:rsidRPr="00181FCD">
        <w:t xml:space="preserve"> </w:t>
      </w:r>
      <w:r w:rsidRPr="00181FCD">
        <w:t>nuevo</w:t>
      </w:r>
      <w:r w:rsidR="00F373A3" w:rsidRPr="00181FCD">
        <w:t xml:space="preserve"> </w:t>
      </w:r>
      <w:r w:rsidRPr="00181FCD">
        <w:t>centro</w:t>
      </w:r>
      <w:r w:rsidR="00F373A3" w:rsidRPr="00181FCD">
        <w:t xml:space="preserve"> </w:t>
      </w:r>
      <w:r w:rsidRPr="00181FCD">
        <w:t>de</w:t>
      </w:r>
      <w:r w:rsidR="00F373A3" w:rsidRPr="00181FCD">
        <w:t xml:space="preserve"> </w:t>
      </w:r>
      <w:r w:rsidRPr="00181FCD">
        <w:t>detención</w:t>
      </w:r>
      <w:r w:rsidR="00F373A3" w:rsidRPr="00181FCD">
        <w:t xml:space="preserve"> </w:t>
      </w:r>
      <w:r w:rsidRPr="00181FCD">
        <w:t>y</w:t>
      </w:r>
      <w:r w:rsidR="00F373A3" w:rsidRPr="00181FCD">
        <w:t xml:space="preserve"> </w:t>
      </w:r>
      <w:r w:rsidRPr="00181FCD">
        <w:t>de</w:t>
      </w:r>
      <w:r w:rsidR="00F373A3" w:rsidRPr="00181FCD">
        <w:t xml:space="preserve"> </w:t>
      </w:r>
      <w:r w:rsidRPr="00181FCD">
        <w:t>servicios</w:t>
      </w:r>
      <w:r w:rsidR="00F373A3" w:rsidRPr="00181FCD">
        <w:t xml:space="preserve"> </w:t>
      </w:r>
      <w:r w:rsidRPr="00181FCD">
        <w:t>de</w:t>
      </w:r>
      <w:r w:rsidR="00F373A3" w:rsidRPr="00181FCD">
        <w:t xml:space="preserve"> </w:t>
      </w:r>
      <w:r w:rsidRPr="00181FCD">
        <w:t>libertad</w:t>
      </w:r>
      <w:r w:rsidR="00F373A3" w:rsidRPr="00181FCD">
        <w:t xml:space="preserve"> </w:t>
      </w:r>
      <w:r w:rsidRPr="00181FCD">
        <w:t>condicional,</w:t>
      </w:r>
      <w:r w:rsidR="00F373A3" w:rsidRPr="00181FCD">
        <w:t xml:space="preserve"> </w:t>
      </w:r>
      <w:r w:rsidRPr="00181FCD">
        <w:t>dotado</w:t>
      </w:r>
      <w:r w:rsidR="00F373A3" w:rsidRPr="00181FCD">
        <w:t xml:space="preserve"> </w:t>
      </w:r>
      <w:r w:rsidRPr="00181FCD">
        <w:t>del</w:t>
      </w:r>
      <w:r w:rsidR="00F373A3" w:rsidRPr="00181FCD">
        <w:t xml:space="preserve"> </w:t>
      </w:r>
      <w:r w:rsidRPr="00181FCD">
        <w:t>equipo</w:t>
      </w:r>
      <w:r w:rsidR="00F373A3" w:rsidRPr="00181FCD">
        <w:t xml:space="preserve"> </w:t>
      </w:r>
      <w:r w:rsidRPr="00181FCD">
        <w:t>y</w:t>
      </w:r>
      <w:r w:rsidR="00F373A3" w:rsidRPr="00181FCD">
        <w:t xml:space="preserve"> </w:t>
      </w:r>
      <w:r w:rsidRPr="00181FCD">
        <w:t>el</w:t>
      </w:r>
      <w:r w:rsidR="00F373A3" w:rsidRPr="00181FCD">
        <w:t xml:space="preserve"> </w:t>
      </w:r>
      <w:r w:rsidRPr="00181FCD">
        <w:t>mobiliario</w:t>
      </w:r>
      <w:r w:rsidR="00F373A3" w:rsidRPr="00181FCD">
        <w:t xml:space="preserve"> </w:t>
      </w:r>
      <w:r w:rsidRPr="00181FCD">
        <w:t>necesarios.</w:t>
      </w:r>
      <w:r w:rsidR="00F373A3" w:rsidRPr="00181FCD">
        <w:t xml:space="preserve"> </w:t>
      </w:r>
      <w:r w:rsidRPr="00181FCD">
        <w:t>Se</w:t>
      </w:r>
      <w:r w:rsidR="00F373A3" w:rsidRPr="00181FCD">
        <w:t xml:space="preserve"> </w:t>
      </w:r>
      <w:r w:rsidRPr="00181FCD">
        <w:t>llevaron</w:t>
      </w:r>
      <w:r w:rsidR="00F373A3" w:rsidRPr="00181FCD">
        <w:t xml:space="preserve"> </w:t>
      </w:r>
      <w:r w:rsidRPr="00181FCD">
        <w:t>a</w:t>
      </w:r>
      <w:r w:rsidR="00F373A3" w:rsidRPr="00181FCD">
        <w:t xml:space="preserve"> </w:t>
      </w:r>
      <w:r w:rsidRPr="00181FCD">
        <w:t>cabo</w:t>
      </w:r>
      <w:r w:rsidR="00F373A3" w:rsidRPr="00181FCD">
        <w:t xml:space="preserve"> </w:t>
      </w:r>
      <w:r w:rsidRPr="00181FCD">
        <w:t>importantes</w:t>
      </w:r>
      <w:r w:rsidR="00F373A3" w:rsidRPr="00181FCD">
        <w:t xml:space="preserve"> </w:t>
      </w:r>
      <w:r w:rsidRPr="00181FCD">
        <w:t>obras</w:t>
      </w:r>
      <w:r w:rsidR="00F373A3" w:rsidRPr="00181FCD">
        <w:t xml:space="preserve"> </w:t>
      </w:r>
      <w:r w:rsidRPr="00181FCD">
        <w:t>de</w:t>
      </w:r>
      <w:r w:rsidR="00F373A3" w:rsidRPr="00181FCD">
        <w:t xml:space="preserve"> </w:t>
      </w:r>
      <w:r w:rsidRPr="00181FCD">
        <w:t>reparación</w:t>
      </w:r>
      <w:r w:rsidR="00F373A3" w:rsidRPr="00181FCD">
        <w:t xml:space="preserve"> </w:t>
      </w:r>
      <w:r w:rsidRPr="00181FCD">
        <w:t>en</w:t>
      </w:r>
      <w:r w:rsidR="00F373A3" w:rsidRPr="00181FCD">
        <w:t xml:space="preserve"> </w:t>
      </w:r>
      <w:r w:rsidRPr="00181FCD">
        <w:t>el</w:t>
      </w:r>
      <w:r w:rsidR="00F373A3" w:rsidRPr="00181FCD">
        <w:t xml:space="preserve"> </w:t>
      </w:r>
      <w:r w:rsidRPr="00181FCD">
        <w:t>departamento</w:t>
      </w:r>
      <w:r w:rsidR="00F373A3" w:rsidRPr="00181FCD">
        <w:t xml:space="preserve"> </w:t>
      </w:r>
      <w:r w:rsidRPr="00181FCD">
        <w:t>de</w:t>
      </w:r>
      <w:r w:rsidR="00F373A3" w:rsidRPr="00181FCD">
        <w:t xml:space="preserve"> </w:t>
      </w:r>
      <w:r w:rsidRPr="00181FCD">
        <w:t>psiquiatría</w:t>
      </w:r>
      <w:r w:rsidR="00F373A3" w:rsidRPr="00181FCD">
        <w:t xml:space="preserve"> </w:t>
      </w:r>
      <w:r w:rsidRPr="00181FCD">
        <w:t>del</w:t>
      </w:r>
      <w:r w:rsidR="00F373A3" w:rsidRPr="00181FCD">
        <w:t xml:space="preserve"> </w:t>
      </w:r>
      <w:r w:rsidRPr="00181FCD">
        <w:t>Hospital</w:t>
      </w:r>
      <w:r w:rsidR="00F373A3" w:rsidRPr="00181FCD">
        <w:t xml:space="preserve"> </w:t>
      </w:r>
      <w:r w:rsidRPr="00181FCD">
        <w:t>Especializado</w:t>
      </w:r>
      <w:r w:rsidR="00F373A3" w:rsidRPr="00181FCD">
        <w:t xml:space="preserve"> </w:t>
      </w:r>
      <w:r w:rsidRPr="00181FCD">
        <w:t>para</w:t>
      </w:r>
      <w:r w:rsidR="00F373A3" w:rsidRPr="00181FCD">
        <w:t xml:space="preserve"> </w:t>
      </w:r>
      <w:r w:rsidRPr="00181FCD">
        <w:t>Reclusos,</w:t>
      </w:r>
      <w:r w:rsidR="00F373A3" w:rsidRPr="00181FCD">
        <w:t xml:space="preserve"> </w:t>
      </w:r>
      <w:r w:rsidRPr="00181FCD">
        <w:t>que</w:t>
      </w:r>
      <w:r w:rsidR="00F373A3" w:rsidRPr="00181FCD">
        <w:t xml:space="preserve"> </w:t>
      </w:r>
      <w:r w:rsidRPr="00181FCD">
        <w:t>forma</w:t>
      </w:r>
      <w:r w:rsidR="00F373A3" w:rsidRPr="00181FCD">
        <w:t xml:space="preserve"> </w:t>
      </w:r>
      <w:r w:rsidRPr="00181FCD">
        <w:t>parte</w:t>
      </w:r>
      <w:r w:rsidR="00F373A3" w:rsidRPr="00181FCD">
        <w:t xml:space="preserve"> </w:t>
      </w:r>
      <w:r w:rsidRPr="00181FCD">
        <w:t>de</w:t>
      </w:r>
      <w:r w:rsidR="00F373A3" w:rsidRPr="00181FCD">
        <w:t xml:space="preserve"> </w:t>
      </w:r>
      <w:r w:rsidRPr="00181FCD">
        <w:t>la</w:t>
      </w:r>
      <w:r w:rsidR="00F373A3" w:rsidRPr="00181FCD">
        <w:t xml:space="preserve"> </w:t>
      </w:r>
      <w:r w:rsidRPr="00181FCD">
        <w:t>cárcel</w:t>
      </w:r>
      <w:r w:rsidR="00F373A3" w:rsidRPr="00181FCD">
        <w:t xml:space="preserve"> </w:t>
      </w:r>
      <w:r w:rsidRPr="00181FCD">
        <w:t>de</w:t>
      </w:r>
      <w:r w:rsidR="00F373A3" w:rsidRPr="00181FCD">
        <w:t xml:space="preserve"> </w:t>
      </w:r>
      <w:r w:rsidRPr="00181FCD">
        <w:t>Lovech,</w:t>
      </w:r>
      <w:r w:rsidR="00F373A3" w:rsidRPr="00181FCD">
        <w:t xml:space="preserve"> </w:t>
      </w:r>
      <w:r w:rsidRPr="00181FCD">
        <w:t>así</w:t>
      </w:r>
      <w:r w:rsidR="00F373A3" w:rsidRPr="00181FCD">
        <w:t xml:space="preserve"> </w:t>
      </w:r>
      <w:r w:rsidRPr="00181FCD">
        <w:t>como</w:t>
      </w:r>
      <w:r w:rsidR="00F373A3" w:rsidRPr="00181FCD">
        <w:t xml:space="preserve"> </w:t>
      </w:r>
      <w:r w:rsidRPr="00181FCD">
        <w:t>obras</w:t>
      </w:r>
      <w:r w:rsidR="00F373A3" w:rsidRPr="00181FCD">
        <w:t xml:space="preserve"> </w:t>
      </w:r>
      <w:r w:rsidRPr="00181FCD">
        <w:t>de</w:t>
      </w:r>
      <w:r w:rsidR="00F373A3" w:rsidRPr="00181FCD">
        <w:t xml:space="preserve"> </w:t>
      </w:r>
      <w:r w:rsidRPr="00181FCD">
        <w:t>reparación</w:t>
      </w:r>
      <w:r w:rsidR="00F373A3" w:rsidRPr="00181FCD">
        <w:t xml:space="preserve"> </w:t>
      </w:r>
      <w:r w:rsidRPr="00181FCD">
        <w:t>y</w:t>
      </w:r>
      <w:r w:rsidR="00F373A3" w:rsidRPr="00181FCD">
        <w:t xml:space="preserve"> </w:t>
      </w:r>
      <w:r w:rsidRPr="00181FCD">
        <w:t>dotación</w:t>
      </w:r>
      <w:r w:rsidR="00F373A3" w:rsidRPr="00181FCD">
        <w:t xml:space="preserve"> </w:t>
      </w:r>
      <w:r w:rsidRPr="00181FCD">
        <w:t>de</w:t>
      </w:r>
      <w:r w:rsidR="00F373A3" w:rsidRPr="00181FCD">
        <w:t xml:space="preserve"> </w:t>
      </w:r>
      <w:r w:rsidRPr="00181FCD">
        <w:t>equipo</w:t>
      </w:r>
      <w:r w:rsidR="00F373A3" w:rsidRPr="00181FCD">
        <w:t xml:space="preserve"> </w:t>
      </w:r>
      <w:r w:rsidRPr="00181FCD">
        <w:t>en</w:t>
      </w:r>
      <w:r w:rsidR="00F373A3" w:rsidRPr="00181FCD">
        <w:t xml:space="preserve"> </w:t>
      </w:r>
      <w:r w:rsidRPr="00181FCD">
        <w:t>las</w:t>
      </w:r>
      <w:r w:rsidR="00F373A3" w:rsidRPr="00181FCD">
        <w:t xml:space="preserve"> </w:t>
      </w:r>
      <w:r w:rsidRPr="00181FCD">
        <w:t>instalaciones</w:t>
      </w:r>
      <w:r w:rsidR="00F373A3" w:rsidRPr="00181FCD">
        <w:t xml:space="preserve"> </w:t>
      </w:r>
      <w:r w:rsidRPr="00181FCD">
        <w:t>de</w:t>
      </w:r>
      <w:r w:rsidR="00F373A3" w:rsidRPr="00181FCD">
        <w:t xml:space="preserve"> </w:t>
      </w:r>
      <w:r w:rsidRPr="00181FCD">
        <w:t>la</w:t>
      </w:r>
      <w:r w:rsidR="00F373A3" w:rsidRPr="00181FCD">
        <w:t xml:space="preserve"> </w:t>
      </w:r>
      <w:r w:rsidRPr="00181FCD">
        <w:t>cocina</w:t>
      </w:r>
      <w:r w:rsidR="00F373A3" w:rsidRPr="00181FCD">
        <w:t xml:space="preserve"> </w:t>
      </w:r>
      <w:r w:rsidRPr="00181FCD">
        <w:t>del</w:t>
      </w:r>
      <w:r w:rsidR="00F373A3" w:rsidRPr="00181FCD">
        <w:t xml:space="preserve"> </w:t>
      </w:r>
      <w:r w:rsidRPr="00181FCD">
        <w:t>hospital.</w:t>
      </w:r>
      <w:r w:rsidR="00F373A3" w:rsidRPr="00181FCD">
        <w:t xml:space="preserve"> </w:t>
      </w:r>
      <w:r w:rsidRPr="00181FCD">
        <w:t>También</w:t>
      </w:r>
      <w:r w:rsidR="00F373A3" w:rsidRPr="00181FCD">
        <w:t xml:space="preserve"> </w:t>
      </w:r>
      <w:r w:rsidRPr="00181FCD">
        <w:t>se</w:t>
      </w:r>
      <w:r w:rsidR="00F373A3" w:rsidRPr="00181FCD">
        <w:t xml:space="preserve"> </w:t>
      </w:r>
      <w:r w:rsidRPr="00181FCD">
        <w:t>renovaron</w:t>
      </w:r>
      <w:r w:rsidR="00F373A3" w:rsidRPr="00181FCD">
        <w:t xml:space="preserve"> </w:t>
      </w:r>
      <w:r w:rsidRPr="00181FCD">
        <w:t>el</w:t>
      </w:r>
      <w:r w:rsidR="00F373A3" w:rsidRPr="00181FCD">
        <w:t xml:space="preserve"> </w:t>
      </w:r>
      <w:r w:rsidRPr="00181FCD">
        <w:t>equipo</w:t>
      </w:r>
      <w:r w:rsidR="00F373A3" w:rsidRPr="00181FCD">
        <w:t xml:space="preserve"> </w:t>
      </w:r>
      <w:r w:rsidRPr="00181FCD">
        <w:t>y</w:t>
      </w:r>
      <w:r w:rsidR="00F373A3" w:rsidRPr="00181FCD">
        <w:t xml:space="preserve"> </w:t>
      </w:r>
      <w:r w:rsidRPr="00181FCD">
        <w:t>el</w:t>
      </w:r>
      <w:r w:rsidR="00F373A3" w:rsidRPr="00181FCD">
        <w:t xml:space="preserve"> </w:t>
      </w:r>
      <w:r w:rsidRPr="00181FCD">
        <w:t>mobiliario</w:t>
      </w:r>
      <w:r w:rsidR="00F373A3" w:rsidRPr="00181FCD">
        <w:t xml:space="preserve"> </w:t>
      </w:r>
      <w:r w:rsidRPr="00181FCD">
        <w:t>del</w:t>
      </w:r>
      <w:r w:rsidR="00F373A3" w:rsidRPr="00181FCD">
        <w:t xml:space="preserve"> </w:t>
      </w:r>
      <w:r w:rsidRPr="00181FCD">
        <w:t>centro</w:t>
      </w:r>
      <w:r w:rsidR="00F373A3" w:rsidRPr="00181FCD">
        <w:t xml:space="preserve"> </w:t>
      </w:r>
      <w:r w:rsidRPr="00181FCD">
        <w:t>médico</w:t>
      </w:r>
      <w:r w:rsidR="00F373A3" w:rsidRPr="00181FCD">
        <w:t xml:space="preserve"> </w:t>
      </w:r>
      <w:r w:rsidRPr="00181FCD">
        <w:t>de</w:t>
      </w:r>
      <w:r w:rsidR="00F373A3" w:rsidRPr="00181FCD">
        <w:t xml:space="preserve"> </w:t>
      </w:r>
      <w:r w:rsidRPr="00181FCD">
        <w:t>la</w:t>
      </w:r>
      <w:r w:rsidR="00F373A3" w:rsidRPr="00181FCD">
        <w:t xml:space="preserve"> </w:t>
      </w:r>
      <w:r w:rsidRPr="00181FCD">
        <w:t>cárcel</w:t>
      </w:r>
      <w:r w:rsidR="00F373A3" w:rsidRPr="00181FCD">
        <w:t xml:space="preserve"> </w:t>
      </w:r>
      <w:r w:rsidRPr="00181FCD">
        <w:t>de</w:t>
      </w:r>
      <w:r w:rsidR="00F373A3" w:rsidRPr="00181FCD">
        <w:t xml:space="preserve"> </w:t>
      </w:r>
      <w:r w:rsidRPr="00181FCD">
        <w:t>Sliven.</w:t>
      </w:r>
    </w:p>
    <w:p w:rsidR="001937F4" w:rsidRPr="00181FCD" w:rsidRDefault="001937F4" w:rsidP="00347B20">
      <w:pPr>
        <w:pStyle w:val="SingleTxtG"/>
        <w:suppressAutoHyphens/>
      </w:pPr>
      <w:r w:rsidRPr="00181FCD">
        <w:t>172.</w:t>
      </w:r>
      <w:r w:rsidRPr="00181FCD">
        <w:tab/>
        <w:t>Se</w:t>
      </w:r>
      <w:r w:rsidR="00F373A3" w:rsidRPr="00181FCD">
        <w:t xml:space="preserve"> </w:t>
      </w:r>
      <w:r w:rsidRPr="00181FCD">
        <w:t>realizaron</w:t>
      </w:r>
      <w:r w:rsidR="00F373A3" w:rsidRPr="00181FCD">
        <w:t xml:space="preserve"> </w:t>
      </w:r>
      <w:r w:rsidRPr="00181FCD">
        <w:t>trabajos</w:t>
      </w:r>
      <w:r w:rsidR="00F373A3" w:rsidRPr="00181FCD">
        <w:t xml:space="preserve"> </w:t>
      </w:r>
      <w:r w:rsidRPr="00181FCD">
        <w:t>de</w:t>
      </w:r>
      <w:r w:rsidR="00F373A3" w:rsidRPr="00181FCD">
        <w:t xml:space="preserve"> </w:t>
      </w:r>
      <w:r w:rsidRPr="00181FCD">
        <w:t>reparación</w:t>
      </w:r>
      <w:r w:rsidR="00F373A3" w:rsidRPr="00181FCD">
        <w:t xml:space="preserve"> </w:t>
      </w:r>
      <w:r w:rsidRPr="00181FCD">
        <w:t>en</w:t>
      </w:r>
      <w:r w:rsidR="00F373A3" w:rsidRPr="00181FCD">
        <w:t xml:space="preserve"> </w:t>
      </w:r>
      <w:r w:rsidRPr="00181FCD">
        <w:t>el</w:t>
      </w:r>
      <w:r w:rsidR="00F373A3" w:rsidRPr="00181FCD">
        <w:t xml:space="preserve"> </w:t>
      </w:r>
      <w:r w:rsidRPr="00181FCD">
        <w:t>edificio</w:t>
      </w:r>
      <w:r w:rsidR="00F373A3" w:rsidRPr="00181FCD">
        <w:t xml:space="preserve"> </w:t>
      </w:r>
      <w:r w:rsidRPr="00181FCD">
        <w:t>principal</w:t>
      </w:r>
      <w:r w:rsidR="00F373A3" w:rsidRPr="00181FCD">
        <w:t xml:space="preserve"> </w:t>
      </w:r>
      <w:r w:rsidRPr="00181FCD">
        <w:t>y</w:t>
      </w:r>
      <w:r w:rsidR="00F373A3" w:rsidRPr="00181FCD">
        <w:t xml:space="preserve"> </w:t>
      </w:r>
      <w:r w:rsidRPr="00181FCD">
        <w:t>las</w:t>
      </w:r>
      <w:r w:rsidR="00F373A3" w:rsidRPr="00181FCD">
        <w:t xml:space="preserve"> </w:t>
      </w:r>
      <w:r w:rsidRPr="00181FCD">
        <w:t>instalaciones</w:t>
      </w:r>
      <w:r w:rsidR="00F373A3" w:rsidRPr="00181FCD">
        <w:t xml:space="preserve"> </w:t>
      </w:r>
      <w:r w:rsidRPr="00181FCD">
        <w:t>de</w:t>
      </w:r>
      <w:r w:rsidR="00F373A3" w:rsidRPr="00181FCD">
        <w:t xml:space="preserve"> </w:t>
      </w:r>
      <w:r w:rsidRPr="00181FCD">
        <w:t>la</w:t>
      </w:r>
      <w:r w:rsidR="00F373A3" w:rsidRPr="00181FCD">
        <w:t xml:space="preserve"> </w:t>
      </w:r>
      <w:r w:rsidRPr="00181FCD">
        <w:t>cocina</w:t>
      </w:r>
      <w:r w:rsidR="00F373A3" w:rsidRPr="00181FCD">
        <w:t xml:space="preserve"> </w:t>
      </w:r>
      <w:r w:rsidRPr="00181FCD">
        <w:t>de</w:t>
      </w:r>
      <w:r w:rsidR="00F373A3" w:rsidRPr="00181FCD">
        <w:t xml:space="preserve"> </w:t>
      </w:r>
      <w:r w:rsidRPr="00181FCD">
        <w:t>la</w:t>
      </w:r>
      <w:r w:rsidR="00F373A3" w:rsidRPr="00181FCD">
        <w:t xml:space="preserve"> </w:t>
      </w:r>
      <w:r w:rsidRPr="00181FCD">
        <w:t>prisión</w:t>
      </w:r>
      <w:r w:rsidR="00F373A3" w:rsidRPr="00181FCD">
        <w:t xml:space="preserve"> </w:t>
      </w:r>
      <w:r w:rsidRPr="00181FCD">
        <w:t>albergue</w:t>
      </w:r>
      <w:r w:rsidR="00F373A3" w:rsidRPr="00181FCD">
        <w:t xml:space="preserve"> </w:t>
      </w:r>
      <w:r w:rsidRPr="00181FCD">
        <w:t>de</w:t>
      </w:r>
      <w:r w:rsidR="00F373A3" w:rsidRPr="00181FCD">
        <w:t xml:space="preserve"> </w:t>
      </w:r>
      <w:r w:rsidRPr="00181FCD">
        <w:t>régimen</w:t>
      </w:r>
      <w:r w:rsidR="00F373A3" w:rsidRPr="00181FCD">
        <w:t xml:space="preserve"> </w:t>
      </w:r>
      <w:r w:rsidRPr="00181FCD">
        <w:t>cerrado</w:t>
      </w:r>
      <w:r w:rsidR="00F373A3" w:rsidRPr="00181FCD">
        <w:t xml:space="preserve"> </w:t>
      </w:r>
      <w:r w:rsidRPr="00181FCD">
        <w:t>de</w:t>
      </w:r>
      <w:r w:rsidR="00F373A3" w:rsidRPr="00181FCD">
        <w:t xml:space="preserve"> </w:t>
      </w:r>
      <w:r w:rsidRPr="00181FCD">
        <w:t>Atlant,</w:t>
      </w:r>
      <w:r w:rsidR="00F373A3" w:rsidRPr="00181FCD">
        <w:t xml:space="preserve"> </w:t>
      </w:r>
      <w:r w:rsidRPr="00181FCD">
        <w:t>en</w:t>
      </w:r>
      <w:r w:rsidR="00F373A3" w:rsidRPr="00181FCD">
        <w:t xml:space="preserve"> </w:t>
      </w:r>
      <w:r w:rsidRPr="00181FCD">
        <w:t>la</w:t>
      </w:r>
      <w:r w:rsidR="00F373A3" w:rsidRPr="00181FCD">
        <w:t xml:space="preserve"> </w:t>
      </w:r>
      <w:r w:rsidRPr="00181FCD">
        <w:t>ciudad</w:t>
      </w:r>
      <w:r w:rsidR="00F373A3" w:rsidRPr="00181FCD">
        <w:t xml:space="preserve"> </w:t>
      </w:r>
      <w:r w:rsidRPr="00181FCD">
        <w:t>de</w:t>
      </w:r>
      <w:r w:rsidR="00F373A3" w:rsidRPr="00181FCD">
        <w:t xml:space="preserve"> </w:t>
      </w:r>
      <w:r w:rsidRPr="00181FCD">
        <w:t>Troyan,</w:t>
      </w:r>
      <w:r w:rsidR="00F373A3" w:rsidRPr="00181FCD">
        <w:t xml:space="preserve"> </w:t>
      </w:r>
      <w:r w:rsidRPr="00181FCD">
        <w:t>que</w:t>
      </w:r>
      <w:r w:rsidR="00F373A3" w:rsidRPr="00181FCD">
        <w:t xml:space="preserve"> </w:t>
      </w:r>
      <w:r w:rsidRPr="00181FCD">
        <w:t>forma</w:t>
      </w:r>
      <w:r w:rsidR="00F373A3" w:rsidRPr="00181FCD">
        <w:t xml:space="preserve"> </w:t>
      </w:r>
      <w:r w:rsidRPr="00181FCD">
        <w:t>parte</w:t>
      </w:r>
      <w:r w:rsidR="00F373A3" w:rsidRPr="00181FCD">
        <w:t xml:space="preserve"> </w:t>
      </w:r>
      <w:r w:rsidRPr="00181FCD">
        <w:t>de</w:t>
      </w:r>
      <w:r w:rsidR="00F373A3" w:rsidRPr="00181FCD">
        <w:t xml:space="preserve"> </w:t>
      </w:r>
      <w:r w:rsidRPr="00181FCD">
        <w:t>la</w:t>
      </w:r>
      <w:r w:rsidR="00F373A3" w:rsidRPr="00181FCD">
        <w:t xml:space="preserve"> </w:t>
      </w:r>
      <w:r w:rsidRPr="00181FCD">
        <w:t>cárcel</w:t>
      </w:r>
      <w:r w:rsidR="00F373A3" w:rsidRPr="00181FCD">
        <w:t xml:space="preserve"> </w:t>
      </w:r>
      <w:r w:rsidRPr="00181FCD">
        <w:t>de</w:t>
      </w:r>
      <w:r w:rsidR="00F373A3" w:rsidRPr="00181FCD">
        <w:t xml:space="preserve"> </w:t>
      </w:r>
      <w:r w:rsidRPr="00181FCD">
        <w:t>Lovech.</w:t>
      </w:r>
      <w:r w:rsidR="00F373A3" w:rsidRPr="00181FCD">
        <w:t xml:space="preserve"> </w:t>
      </w:r>
      <w:r w:rsidRPr="00181FCD">
        <w:t>Se</w:t>
      </w:r>
      <w:r w:rsidR="00F373A3" w:rsidRPr="00181FCD">
        <w:t xml:space="preserve"> </w:t>
      </w:r>
      <w:r w:rsidRPr="00181FCD">
        <w:t>han</w:t>
      </w:r>
      <w:r w:rsidR="00F373A3" w:rsidRPr="00181FCD">
        <w:t xml:space="preserve"> </w:t>
      </w:r>
      <w:r w:rsidRPr="00181FCD">
        <w:t>emprendido</w:t>
      </w:r>
      <w:r w:rsidR="00F373A3" w:rsidRPr="00181FCD">
        <w:t xml:space="preserve"> </w:t>
      </w:r>
      <w:r w:rsidRPr="00181FCD">
        <w:t>asimismo</w:t>
      </w:r>
      <w:r w:rsidR="00F373A3" w:rsidRPr="00181FCD">
        <w:t xml:space="preserve"> </w:t>
      </w:r>
      <w:r w:rsidRPr="00181FCD">
        <w:t>importantes</w:t>
      </w:r>
      <w:r w:rsidR="00F373A3" w:rsidRPr="00181FCD">
        <w:t xml:space="preserve"> </w:t>
      </w:r>
      <w:r w:rsidRPr="00181FCD">
        <w:t>obras</w:t>
      </w:r>
      <w:r w:rsidR="00F373A3" w:rsidRPr="00181FCD">
        <w:t xml:space="preserve"> </w:t>
      </w:r>
      <w:r w:rsidRPr="00181FCD">
        <w:t>de</w:t>
      </w:r>
      <w:r w:rsidR="00F373A3" w:rsidRPr="00181FCD">
        <w:t xml:space="preserve"> </w:t>
      </w:r>
      <w:r w:rsidRPr="00181FCD">
        <w:t>reparación,</w:t>
      </w:r>
      <w:r w:rsidR="00F373A3" w:rsidRPr="00181FCD">
        <w:t xml:space="preserve"> </w:t>
      </w:r>
      <w:r w:rsidRPr="00181FCD">
        <w:t>como</w:t>
      </w:r>
      <w:r w:rsidR="00F373A3" w:rsidRPr="00181FCD">
        <w:t xml:space="preserve"> </w:t>
      </w:r>
      <w:r w:rsidRPr="00181FCD">
        <w:t>la</w:t>
      </w:r>
      <w:r w:rsidR="00F373A3" w:rsidRPr="00181FCD">
        <w:t xml:space="preserve"> </w:t>
      </w:r>
      <w:r w:rsidRPr="00181FCD">
        <w:t>sustitución</w:t>
      </w:r>
      <w:r w:rsidR="00F373A3" w:rsidRPr="00181FCD">
        <w:t xml:space="preserve"> </w:t>
      </w:r>
      <w:r w:rsidRPr="00181FCD">
        <w:t>del</w:t>
      </w:r>
      <w:r w:rsidR="00F373A3" w:rsidRPr="00181FCD">
        <w:t xml:space="preserve"> </w:t>
      </w:r>
      <w:r w:rsidRPr="00181FCD">
        <w:t>mobiliario</w:t>
      </w:r>
      <w:r w:rsidR="00F373A3" w:rsidRPr="00181FCD">
        <w:t xml:space="preserve"> </w:t>
      </w:r>
      <w:r w:rsidRPr="00181FCD">
        <w:t>y</w:t>
      </w:r>
      <w:r w:rsidR="00F373A3" w:rsidRPr="00181FCD">
        <w:t xml:space="preserve"> </w:t>
      </w:r>
      <w:r w:rsidRPr="00181FCD">
        <w:t>equipamiento</w:t>
      </w:r>
      <w:r w:rsidR="00F373A3" w:rsidRPr="00181FCD">
        <w:t xml:space="preserve"> </w:t>
      </w:r>
      <w:r w:rsidRPr="00181FCD">
        <w:t>en</w:t>
      </w:r>
      <w:r w:rsidR="00F373A3" w:rsidRPr="00181FCD">
        <w:t xml:space="preserve"> </w:t>
      </w:r>
      <w:r w:rsidRPr="00181FCD">
        <w:t>las</w:t>
      </w:r>
      <w:r w:rsidR="00F373A3" w:rsidRPr="00181FCD">
        <w:t xml:space="preserve"> </w:t>
      </w:r>
      <w:r w:rsidRPr="00181FCD">
        <w:t>instalaciones</w:t>
      </w:r>
      <w:r w:rsidR="00F373A3" w:rsidRPr="00181FCD">
        <w:t xml:space="preserve"> </w:t>
      </w:r>
      <w:r w:rsidRPr="00181FCD">
        <w:t>de</w:t>
      </w:r>
      <w:r w:rsidR="00F373A3" w:rsidRPr="00181FCD">
        <w:t xml:space="preserve"> </w:t>
      </w:r>
      <w:r w:rsidRPr="00181FCD">
        <w:t>la</w:t>
      </w:r>
      <w:r w:rsidR="00F373A3" w:rsidRPr="00181FCD">
        <w:t xml:space="preserve"> </w:t>
      </w:r>
      <w:r w:rsidRPr="00181FCD">
        <w:t>cocina</w:t>
      </w:r>
      <w:r w:rsidR="00F373A3" w:rsidRPr="00181FCD">
        <w:t xml:space="preserve"> </w:t>
      </w:r>
      <w:r w:rsidRPr="00181FCD">
        <w:t>de</w:t>
      </w:r>
      <w:r w:rsidR="00F373A3" w:rsidRPr="00181FCD">
        <w:t xml:space="preserve"> </w:t>
      </w:r>
      <w:r w:rsidRPr="00181FCD">
        <w:t>la</w:t>
      </w:r>
      <w:r w:rsidR="00F373A3" w:rsidRPr="00181FCD">
        <w:t xml:space="preserve"> </w:t>
      </w:r>
      <w:r w:rsidRPr="00181FCD">
        <w:t>cárcel</w:t>
      </w:r>
      <w:r w:rsidR="00F373A3" w:rsidRPr="00181FCD">
        <w:t xml:space="preserve"> </w:t>
      </w:r>
      <w:r w:rsidRPr="00181FCD">
        <w:t>de</w:t>
      </w:r>
      <w:r w:rsidR="00F373A3" w:rsidRPr="00181FCD">
        <w:t xml:space="preserve"> </w:t>
      </w:r>
      <w:r w:rsidRPr="00181FCD">
        <w:t>Lovech,</w:t>
      </w:r>
      <w:r w:rsidR="00F373A3" w:rsidRPr="00181FCD">
        <w:t xml:space="preserve"> </w:t>
      </w:r>
      <w:r w:rsidRPr="00181FCD">
        <w:t>y</w:t>
      </w:r>
      <w:r w:rsidR="00F373A3" w:rsidRPr="00181FCD">
        <w:t xml:space="preserve"> </w:t>
      </w:r>
      <w:r w:rsidRPr="00181FCD">
        <w:t>la</w:t>
      </w:r>
      <w:r w:rsidR="00F373A3" w:rsidRPr="00181FCD">
        <w:t xml:space="preserve"> </w:t>
      </w:r>
      <w:r w:rsidRPr="00181FCD">
        <w:t>construcción</w:t>
      </w:r>
      <w:r w:rsidR="00F373A3" w:rsidRPr="00181FCD">
        <w:t xml:space="preserve"> </w:t>
      </w:r>
      <w:r w:rsidRPr="00181FCD">
        <w:t>de</w:t>
      </w:r>
      <w:r w:rsidR="00F373A3" w:rsidRPr="00181FCD">
        <w:t xml:space="preserve"> </w:t>
      </w:r>
      <w:r w:rsidRPr="00181FCD">
        <w:t>una</w:t>
      </w:r>
      <w:r w:rsidR="00F373A3" w:rsidRPr="00181FCD">
        <w:t xml:space="preserve"> </w:t>
      </w:r>
      <w:r w:rsidRPr="00181FCD">
        <w:t>nueva</w:t>
      </w:r>
      <w:r w:rsidR="00F373A3" w:rsidRPr="00181FCD">
        <w:t xml:space="preserve"> </w:t>
      </w:r>
      <w:r w:rsidRPr="00181FCD">
        <w:t>cocina</w:t>
      </w:r>
      <w:r w:rsidR="00F373A3" w:rsidRPr="00181FCD">
        <w:t xml:space="preserve"> </w:t>
      </w:r>
      <w:r w:rsidRPr="00181FCD">
        <w:t>equipada</w:t>
      </w:r>
      <w:r w:rsidR="00F373A3" w:rsidRPr="00181FCD">
        <w:t xml:space="preserve"> </w:t>
      </w:r>
      <w:r w:rsidRPr="00181FCD">
        <w:t>y</w:t>
      </w:r>
      <w:r w:rsidR="00F373A3" w:rsidRPr="00181FCD">
        <w:t xml:space="preserve"> </w:t>
      </w:r>
      <w:r w:rsidRPr="00181FCD">
        <w:t>amueblada</w:t>
      </w:r>
      <w:r w:rsidR="00F373A3" w:rsidRPr="00181FCD">
        <w:t xml:space="preserve"> </w:t>
      </w:r>
      <w:r w:rsidRPr="00181FCD">
        <w:t>en</w:t>
      </w:r>
      <w:r w:rsidR="00F373A3" w:rsidRPr="00181FCD">
        <w:t xml:space="preserve"> </w:t>
      </w:r>
      <w:r w:rsidRPr="00181FCD">
        <w:t>la</w:t>
      </w:r>
      <w:r w:rsidR="00F373A3" w:rsidRPr="00181FCD">
        <w:t xml:space="preserve"> </w:t>
      </w:r>
      <w:r w:rsidRPr="00181FCD">
        <w:t>cárcel</w:t>
      </w:r>
      <w:r w:rsidR="00F373A3" w:rsidRPr="00181FCD">
        <w:t xml:space="preserve"> </w:t>
      </w:r>
      <w:r w:rsidRPr="00181FCD">
        <w:t>de</w:t>
      </w:r>
      <w:r w:rsidR="00F373A3" w:rsidRPr="00181FCD">
        <w:t xml:space="preserve"> </w:t>
      </w:r>
      <w:r w:rsidRPr="00181FCD">
        <w:t>Burgas.</w:t>
      </w:r>
      <w:r w:rsidR="00F373A3" w:rsidRPr="00181FCD">
        <w:t xml:space="preserve"> </w:t>
      </w:r>
      <w:r w:rsidRPr="00181FCD">
        <w:t>Se</w:t>
      </w:r>
      <w:r w:rsidR="00F373A3" w:rsidRPr="00181FCD">
        <w:t xml:space="preserve"> </w:t>
      </w:r>
      <w:r w:rsidRPr="00181FCD">
        <w:t>espera</w:t>
      </w:r>
      <w:r w:rsidR="00F373A3" w:rsidRPr="00181FCD">
        <w:t xml:space="preserve"> </w:t>
      </w:r>
      <w:r w:rsidRPr="00181FCD">
        <w:t>que</w:t>
      </w:r>
      <w:r w:rsidR="00F373A3" w:rsidRPr="00181FCD">
        <w:t xml:space="preserve"> </w:t>
      </w:r>
      <w:r w:rsidRPr="00181FCD">
        <w:t>las</w:t>
      </w:r>
      <w:r w:rsidR="00F373A3" w:rsidRPr="00181FCD">
        <w:t xml:space="preserve"> </w:t>
      </w:r>
      <w:r w:rsidRPr="00181FCD">
        <w:t>obras</w:t>
      </w:r>
      <w:r w:rsidR="00F373A3" w:rsidRPr="00181FCD">
        <w:t xml:space="preserve"> </w:t>
      </w:r>
      <w:r w:rsidRPr="00181FCD">
        <w:t>en</w:t>
      </w:r>
      <w:r w:rsidR="00F373A3" w:rsidRPr="00181FCD">
        <w:t xml:space="preserve"> </w:t>
      </w:r>
      <w:r w:rsidRPr="00181FCD">
        <w:t>estos</w:t>
      </w:r>
      <w:r w:rsidR="00F373A3" w:rsidRPr="00181FCD">
        <w:t xml:space="preserve"> </w:t>
      </w:r>
      <w:r w:rsidRPr="00181FCD">
        <w:t>tres</w:t>
      </w:r>
      <w:r w:rsidR="00F373A3" w:rsidRPr="00181FCD">
        <w:t xml:space="preserve"> </w:t>
      </w:r>
      <w:r w:rsidRPr="00181FCD">
        <w:t>emplazamientos</w:t>
      </w:r>
      <w:r w:rsidR="00F373A3" w:rsidRPr="00181FCD">
        <w:t xml:space="preserve"> </w:t>
      </w:r>
      <w:r w:rsidRPr="00181FCD">
        <w:t>finalicen</w:t>
      </w:r>
      <w:r w:rsidR="00F373A3" w:rsidRPr="00181FCD">
        <w:t xml:space="preserve"> </w:t>
      </w:r>
      <w:r w:rsidRPr="00181FCD">
        <w:t>en</w:t>
      </w:r>
      <w:r w:rsidR="00F373A3" w:rsidRPr="00181FCD">
        <w:t xml:space="preserve"> </w:t>
      </w:r>
      <w:r w:rsidRPr="00181FCD">
        <w:t>el</w:t>
      </w:r>
      <w:r w:rsidR="00F373A3" w:rsidRPr="00181FCD">
        <w:t xml:space="preserve"> </w:t>
      </w:r>
      <w:r w:rsidRPr="00181FCD">
        <w:t>primer</w:t>
      </w:r>
      <w:r w:rsidR="00F373A3" w:rsidRPr="00181FCD">
        <w:t xml:space="preserve"> </w:t>
      </w:r>
      <w:r w:rsidRPr="00181FCD">
        <w:t>trimestre</w:t>
      </w:r>
      <w:r w:rsidR="00F373A3" w:rsidRPr="00181FCD">
        <w:t xml:space="preserve"> </w:t>
      </w:r>
      <w:r w:rsidRPr="00181FCD">
        <w:t>de</w:t>
      </w:r>
      <w:r w:rsidR="00F373A3" w:rsidRPr="00181FCD">
        <w:t xml:space="preserve"> </w:t>
      </w:r>
      <w:r w:rsidRPr="00181FCD">
        <w:t>2016.</w:t>
      </w:r>
    </w:p>
    <w:p w:rsidR="001937F4" w:rsidRPr="00181FCD" w:rsidRDefault="001937F4" w:rsidP="00347B20">
      <w:pPr>
        <w:pStyle w:val="SingleTxtG"/>
        <w:suppressAutoHyphens/>
      </w:pPr>
      <w:r w:rsidRPr="00181FCD">
        <w:t>173.</w:t>
      </w:r>
      <w:r w:rsidRPr="00181FCD">
        <w:tab/>
        <w:t>Este</w:t>
      </w:r>
      <w:r w:rsidR="00F373A3" w:rsidRPr="00181FCD">
        <w:t xml:space="preserve"> </w:t>
      </w:r>
      <w:r w:rsidRPr="00181FCD">
        <w:t>proyecto</w:t>
      </w:r>
      <w:r w:rsidR="00F373A3" w:rsidRPr="00181FCD">
        <w:t xml:space="preserve"> </w:t>
      </w:r>
      <w:r w:rsidRPr="00181FCD">
        <w:t>contempla</w:t>
      </w:r>
      <w:r w:rsidR="00F373A3" w:rsidRPr="00181FCD">
        <w:t xml:space="preserve"> </w:t>
      </w:r>
      <w:r w:rsidRPr="00181FCD">
        <w:t>también</w:t>
      </w:r>
      <w:r w:rsidR="00F373A3" w:rsidRPr="00181FCD">
        <w:t xml:space="preserve"> </w:t>
      </w:r>
      <w:r w:rsidRPr="00181FCD">
        <w:t>la</w:t>
      </w:r>
      <w:r w:rsidR="00F373A3" w:rsidRPr="00181FCD">
        <w:t xml:space="preserve"> </w:t>
      </w:r>
      <w:r w:rsidRPr="00181FCD">
        <w:t>reforma</w:t>
      </w:r>
      <w:r w:rsidR="00F373A3" w:rsidRPr="00181FCD">
        <w:t xml:space="preserve"> </w:t>
      </w:r>
      <w:r w:rsidRPr="00181FCD">
        <w:t>y</w:t>
      </w:r>
      <w:r w:rsidR="00F373A3" w:rsidRPr="00181FCD">
        <w:t xml:space="preserve"> </w:t>
      </w:r>
      <w:r w:rsidRPr="00181FCD">
        <w:t>reorganización</w:t>
      </w:r>
      <w:r w:rsidR="00F373A3" w:rsidRPr="00181FCD">
        <w:t xml:space="preserve"> </w:t>
      </w:r>
      <w:r w:rsidRPr="00181FCD">
        <w:t>de</w:t>
      </w:r>
      <w:r w:rsidR="00F373A3" w:rsidRPr="00181FCD">
        <w:t xml:space="preserve"> </w:t>
      </w:r>
      <w:r w:rsidRPr="00181FCD">
        <w:t>las</w:t>
      </w:r>
      <w:r w:rsidR="00F373A3" w:rsidRPr="00181FCD">
        <w:t xml:space="preserve"> </w:t>
      </w:r>
      <w:r w:rsidRPr="00181FCD">
        <w:t>prisiones</w:t>
      </w:r>
      <w:r w:rsidR="00F373A3" w:rsidRPr="00181FCD">
        <w:t xml:space="preserve"> </w:t>
      </w:r>
      <w:r w:rsidRPr="00181FCD">
        <w:t>albergue</w:t>
      </w:r>
      <w:r w:rsidR="00F373A3" w:rsidRPr="00181FCD">
        <w:t xml:space="preserve"> </w:t>
      </w:r>
      <w:r w:rsidRPr="00181FCD">
        <w:t>de</w:t>
      </w:r>
      <w:r w:rsidR="00F373A3" w:rsidRPr="00181FCD">
        <w:t xml:space="preserve"> </w:t>
      </w:r>
      <w:r w:rsidRPr="00181FCD">
        <w:t>las</w:t>
      </w:r>
      <w:r w:rsidR="00F373A3" w:rsidRPr="00181FCD">
        <w:t xml:space="preserve"> </w:t>
      </w:r>
      <w:r w:rsidRPr="00181FCD">
        <w:t>aldeas</w:t>
      </w:r>
      <w:r w:rsidR="00F373A3" w:rsidRPr="00181FCD">
        <w:t xml:space="preserve"> </w:t>
      </w:r>
      <w:r w:rsidRPr="00181FCD">
        <w:t>de</w:t>
      </w:r>
      <w:r w:rsidR="00F373A3" w:rsidRPr="00181FCD">
        <w:t xml:space="preserve"> </w:t>
      </w:r>
      <w:r w:rsidRPr="00181FCD">
        <w:t>Debelt</w:t>
      </w:r>
      <w:r w:rsidR="00F373A3" w:rsidRPr="00181FCD">
        <w:t xml:space="preserve"> </w:t>
      </w:r>
      <w:r w:rsidRPr="00181FCD">
        <w:t>y</w:t>
      </w:r>
      <w:r w:rsidR="00F373A3" w:rsidRPr="00181FCD">
        <w:t xml:space="preserve"> </w:t>
      </w:r>
      <w:r w:rsidRPr="00181FCD">
        <w:t>Razdelna.</w:t>
      </w:r>
      <w:r w:rsidR="00F373A3" w:rsidRPr="00181FCD">
        <w:t xml:space="preserve"> </w:t>
      </w:r>
      <w:r w:rsidRPr="00181FCD">
        <w:t>Se</w:t>
      </w:r>
      <w:r w:rsidR="00F373A3" w:rsidRPr="00181FCD">
        <w:t xml:space="preserve"> </w:t>
      </w:r>
      <w:r w:rsidRPr="00181FCD">
        <w:t>ejecutaron</w:t>
      </w:r>
      <w:r w:rsidR="00F373A3" w:rsidRPr="00181FCD">
        <w:t xml:space="preserve"> </w:t>
      </w:r>
      <w:r w:rsidRPr="00181FCD">
        <w:t>obras</w:t>
      </w:r>
      <w:r w:rsidR="00F373A3" w:rsidRPr="00181FCD">
        <w:t xml:space="preserve"> </w:t>
      </w:r>
      <w:r w:rsidRPr="00181FCD">
        <w:t>de</w:t>
      </w:r>
      <w:r w:rsidR="00F373A3" w:rsidRPr="00181FCD">
        <w:t xml:space="preserve"> </w:t>
      </w:r>
      <w:r w:rsidRPr="00181FCD">
        <w:t>reparación</w:t>
      </w:r>
      <w:r w:rsidR="00F373A3" w:rsidRPr="00181FCD">
        <w:t xml:space="preserve"> </w:t>
      </w:r>
      <w:r w:rsidRPr="00181FCD">
        <w:t>en</w:t>
      </w:r>
      <w:r w:rsidR="00F373A3" w:rsidRPr="00181FCD">
        <w:t xml:space="preserve"> </w:t>
      </w:r>
      <w:r w:rsidRPr="00181FCD">
        <w:t>uno</w:t>
      </w:r>
      <w:r w:rsidR="00F373A3" w:rsidRPr="00181FCD">
        <w:t xml:space="preserve"> </w:t>
      </w:r>
      <w:r w:rsidRPr="00181FCD">
        <w:t>de</w:t>
      </w:r>
      <w:r w:rsidR="00F373A3" w:rsidRPr="00181FCD">
        <w:t xml:space="preserve"> </w:t>
      </w:r>
      <w:r w:rsidRPr="00181FCD">
        <w:t>los</w:t>
      </w:r>
      <w:r w:rsidR="00F373A3" w:rsidRPr="00181FCD">
        <w:t xml:space="preserve"> </w:t>
      </w:r>
      <w:r w:rsidRPr="00181FCD">
        <w:t>corredores</w:t>
      </w:r>
      <w:r w:rsidR="00F373A3" w:rsidRPr="00181FCD">
        <w:t xml:space="preserve"> </w:t>
      </w:r>
      <w:r w:rsidRPr="00181FCD">
        <w:t>de</w:t>
      </w:r>
      <w:r w:rsidR="00F373A3" w:rsidRPr="00181FCD">
        <w:t xml:space="preserve"> </w:t>
      </w:r>
      <w:r w:rsidRPr="00181FCD">
        <w:t>la</w:t>
      </w:r>
      <w:r w:rsidR="00F373A3" w:rsidRPr="00181FCD">
        <w:t xml:space="preserve"> </w:t>
      </w:r>
      <w:r w:rsidRPr="00181FCD">
        <w:t>cárcel</w:t>
      </w:r>
      <w:r w:rsidR="00F373A3" w:rsidRPr="00181FCD">
        <w:t xml:space="preserve"> </w:t>
      </w:r>
      <w:r w:rsidRPr="00181FCD">
        <w:t>de</w:t>
      </w:r>
      <w:r w:rsidR="00F373A3" w:rsidRPr="00181FCD">
        <w:t xml:space="preserve"> </w:t>
      </w:r>
      <w:r w:rsidRPr="00181FCD">
        <w:t>Burgas,</w:t>
      </w:r>
      <w:r w:rsidR="00F373A3" w:rsidRPr="00181FCD">
        <w:t xml:space="preserve"> </w:t>
      </w:r>
      <w:r w:rsidRPr="00181FCD">
        <w:t>con</w:t>
      </w:r>
      <w:r w:rsidR="00F373A3" w:rsidRPr="00181FCD">
        <w:t xml:space="preserve"> </w:t>
      </w:r>
      <w:r w:rsidRPr="00181FCD">
        <w:t>fondos</w:t>
      </w:r>
      <w:r w:rsidR="00F373A3" w:rsidRPr="00181FCD">
        <w:t xml:space="preserve"> </w:t>
      </w:r>
      <w:r w:rsidRPr="00181FCD">
        <w:t>del</w:t>
      </w:r>
      <w:r w:rsidR="00F373A3" w:rsidRPr="00181FCD">
        <w:t xml:space="preserve"> </w:t>
      </w:r>
      <w:r w:rsidRPr="00181FCD">
        <w:t>presupuesto</w:t>
      </w:r>
      <w:r w:rsidR="00F373A3" w:rsidRPr="00181FCD">
        <w:t xml:space="preserve"> </w:t>
      </w:r>
      <w:r w:rsidRPr="00181FCD">
        <w:t>de</w:t>
      </w:r>
      <w:r w:rsidR="00F373A3" w:rsidRPr="00181FCD">
        <w:t xml:space="preserve"> </w:t>
      </w:r>
      <w:r w:rsidRPr="00181FCD">
        <w:t>la</w:t>
      </w:r>
      <w:r w:rsidR="00F373A3" w:rsidRPr="00181FCD">
        <w:t xml:space="preserve"> </w:t>
      </w:r>
      <w:r w:rsidRPr="00181FCD">
        <w:t>Dirección</w:t>
      </w:r>
      <w:r w:rsidR="00F373A3" w:rsidRPr="00181FCD">
        <w:t xml:space="preserve"> </w:t>
      </w:r>
      <w:r w:rsidRPr="00181FCD">
        <w:t>General</w:t>
      </w:r>
      <w:r w:rsidR="00F373A3" w:rsidRPr="00181FCD">
        <w:t xml:space="preserve"> </w:t>
      </w:r>
      <w:r w:rsidRPr="00181FCD">
        <w:t>de</w:t>
      </w:r>
      <w:r w:rsidR="00F373A3" w:rsidRPr="00181FCD">
        <w:t xml:space="preserve"> </w:t>
      </w:r>
      <w:r w:rsidRPr="00181FCD">
        <w:t>Ejecución</w:t>
      </w:r>
      <w:r w:rsidR="00F373A3" w:rsidRPr="00181FCD">
        <w:t xml:space="preserve"> </w:t>
      </w:r>
      <w:r w:rsidRPr="00181FCD">
        <w:t>de</w:t>
      </w:r>
      <w:r w:rsidR="00F373A3" w:rsidRPr="00181FCD">
        <w:t xml:space="preserve"> </w:t>
      </w:r>
      <w:r w:rsidRPr="00181FCD">
        <w:t>Penas.</w:t>
      </w:r>
      <w:r w:rsidR="00F373A3" w:rsidRPr="00181FCD">
        <w:t xml:space="preserve"> </w:t>
      </w:r>
      <w:r w:rsidRPr="00181FCD">
        <w:t>Posteriormente</w:t>
      </w:r>
      <w:r w:rsidR="00F373A3" w:rsidRPr="00181FCD">
        <w:t xml:space="preserve"> </w:t>
      </w:r>
      <w:r w:rsidRPr="00181FCD">
        <w:t>se</w:t>
      </w:r>
      <w:r w:rsidR="00F373A3" w:rsidRPr="00181FCD">
        <w:t xml:space="preserve"> </w:t>
      </w:r>
      <w:r w:rsidRPr="00181FCD">
        <w:t>reubicó</w:t>
      </w:r>
      <w:r w:rsidR="00F373A3" w:rsidRPr="00181FCD">
        <w:t xml:space="preserve"> </w:t>
      </w:r>
      <w:r w:rsidRPr="00181FCD">
        <w:t>el</w:t>
      </w:r>
      <w:r w:rsidR="00F373A3" w:rsidRPr="00181FCD">
        <w:t xml:space="preserve"> </w:t>
      </w:r>
      <w:r w:rsidRPr="00181FCD">
        <w:t>centro</w:t>
      </w:r>
      <w:r w:rsidR="00F373A3" w:rsidRPr="00181FCD">
        <w:t xml:space="preserve"> </w:t>
      </w:r>
      <w:r w:rsidRPr="00181FCD">
        <w:t>de</w:t>
      </w:r>
      <w:r w:rsidR="00F373A3" w:rsidRPr="00181FCD">
        <w:t xml:space="preserve"> </w:t>
      </w:r>
      <w:r w:rsidRPr="00181FCD">
        <w:t>detención</w:t>
      </w:r>
      <w:r w:rsidR="00F373A3" w:rsidRPr="00181FCD">
        <w:t xml:space="preserve"> </w:t>
      </w:r>
      <w:r w:rsidRPr="00181FCD">
        <w:t>de</w:t>
      </w:r>
      <w:r w:rsidR="00F373A3" w:rsidRPr="00181FCD">
        <w:t xml:space="preserve"> </w:t>
      </w:r>
      <w:r w:rsidRPr="00181FCD">
        <w:t>Burgas.</w:t>
      </w:r>
      <w:r w:rsidR="00F373A3" w:rsidRPr="00181FCD">
        <w:t xml:space="preserve"> </w:t>
      </w:r>
      <w:r w:rsidRPr="00181FCD">
        <w:t>También</w:t>
      </w:r>
      <w:r w:rsidR="00F373A3" w:rsidRPr="00181FCD">
        <w:t xml:space="preserve"> </w:t>
      </w:r>
      <w:r w:rsidRPr="00181FCD">
        <w:t>se</w:t>
      </w:r>
      <w:r w:rsidR="00F373A3" w:rsidRPr="00181FCD">
        <w:t xml:space="preserve"> </w:t>
      </w:r>
      <w:r w:rsidRPr="00181FCD">
        <w:t>trasladó</w:t>
      </w:r>
      <w:r w:rsidR="00F373A3" w:rsidRPr="00181FCD">
        <w:t xml:space="preserve"> </w:t>
      </w:r>
      <w:r w:rsidRPr="00181FCD">
        <w:t>el</w:t>
      </w:r>
      <w:r w:rsidR="00F373A3" w:rsidRPr="00181FCD">
        <w:t xml:space="preserve"> </w:t>
      </w:r>
      <w:r w:rsidRPr="00181FCD">
        <w:t>centro</w:t>
      </w:r>
      <w:r w:rsidR="00F373A3" w:rsidRPr="00181FCD">
        <w:t xml:space="preserve"> </w:t>
      </w:r>
      <w:r w:rsidRPr="00181FCD">
        <w:t>de</w:t>
      </w:r>
      <w:r w:rsidR="00F373A3" w:rsidRPr="00181FCD">
        <w:t xml:space="preserve"> </w:t>
      </w:r>
      <w:r w:rsidRPr="00181FCD">
        <w:t>detención</w:t>
      </w:r>
      <w:r w:rsidR="00F373A3" w:rsidRPr="00181FCD">
        <w:t xml:space="preserve"> </w:t>
      </w:r>
      <w:r w:rsidRPr="00181FCD">
        <w:t>de</w:t>
      </w:r>
      <w:r w:rsidR="00F373A3" w:rsidRPr="00181FCD">
        <w:t xml:space="preserve"> </w:t>
      </w:r>
      <w:r w:rsidRPr="00181FCD">
        <w:t>Pleven,</w:t>
      </w:r>
      <w:r w:rsidR="00F373A3" w:rsidRPr="00181FCD">
        <w:t xml:space="preserve"> </w:t>
      </w:r>
      <w:r w:rsidRPr="00181FCD">
        <w:t>que</w:t>
      </w:r>
      <w:r w:rsidR="00F373A3" w:rsidRPr="00181FCD">
        <w:t xml:space="preserve"> </w:t>
      </w:r>
      <w:r w:rsidRPr="00181FCD">
        <w:t>forma</w:t>
      </w:r>
      <w:r w:rsidR="00F373A3" w:rsidRPr="00181FCD">
        <w:t xml:space="preserve"> </w:t>
      </w:r>
      <w:r w:rsidRPr="00181FCD">
        <w:t>parte</w:t>
      </w:r>
      <w:r w:rsidR="00F373A3" w:rsidRPr="00181FCD">
        <w:t xml:space="preserve"> </w:t>
      </w:r>
      <w:r w:rsidRPr="00181FCD">
        <w:t>de</w:t>
      </w:r>
      <w:r w:rsidR="00F373A3" w:rsidRPr="00181FCD">
        <w:t xml:space="preserve"> </w:t>
      </w:r>
      <w:r w:rsidRPr="00181FCD">
        <w:t>la</w:t>
      </w:r>
      <w:r w:rsidR="00F373A3" w:rsidRPr="00181FCD">
        <w:t xml:space="preserve"> </w:t>
      </w:r>
      <w:r w:rsidRPr="00181FCD">
        <w:t>cárcel</w:t>
      </w:r>
      <w:r w:rsidR="00F373A3" w:rsidRPr="00181FCD">
        <w:t xml:space="preserve"> </w:t>
      </w:r>
      <w:r w:rsidRPr="00181FCD">
        <w:t>de</w:t>
      </w:r>
      <w:r w:rsidR="00F373A3" w:rsidRPr="00181FCD">
        <w:t xml:space="preserve"> </w:t>
      </w:r>
      <w:r w:rsidRPr="00181FCD">
        <w:t>esa</w:t>
      </w:r>
      <w:r w:rsidR="00F373A3" w:rsidRPr="00181FCD">
        <w:t xml:space="preserve"> </w:t>
      </w:r>
      <w:r w:rsidRPr="00181FCD">
        <w:t>ciudad,</w:t>
      </w:r>
      <w:r w:rsidR="00F373A3" w:rsidRPr="00181FCD">
        <w:t xml:space="preserve"> </w:t>
      </w:r>
      <w:r w:rsidRPr="00181FCD">
        <w:t>a</w:t>
      </w:r>
      <w:r w:rsidR="00F373A3" w:rsidRPr="00181FCD">
        <w:t xml:space="preserve"> </w:t>
      </w:r>
      <w:r w:rsidRPr="00181FCD">
        <w:t>un</w:t>
      </w:r>
      <w:r w:rsidR="00F373A3" w:rsidRPr="00181FCD">
        <w:t xml:space="preserve"> </w:t>
      </w:r>
      <w:r w:rsidRPr="00181FCD">
        <w:t>nuevo</w:t>
      </w:r>
      <w:r w:rsidR="00F373A3" w:rsidRPr="00181FCD">
        <w:t xml:space="preserve"> </w:t>
      </w:r>
      <w:r w:rsidRPr="00181FCD">
        <w:t>emplazamiento</w:t>
      </w:r>
      <w:r w:rsidR="00F373A3" w:rsidRPr="00181FCD">
        <w:t xml:space="preserve"> </w:t>
      </w:r>
      <w:r w:rsidRPr="00181FCD">
        <w:t>donde</w:t>
      </w:r>
      <w:r w:rsidR="00F373A3" w:rsidRPr="00181FCD">
        <w:t xml:space="preserve"> </w:t>
      </w:r>
      <w:r w:rsidRPr="00181FCD">
        <w:t>los</w:t>
      </w:r>
      <w:r w:rsidR="00F373A3" w:rsidRPr="00181FCD">
        <w:t xml:space="preserve"> </w:t>
      </w:r>
      <w:r w:rsidRPr="00181FCD">
        <w:t>detenidos</w:t>
      </w:r>
      <w:r w:rsidR="00F373A3" w:rsidRPr="00181FCD">
        <w:t xml:space="preserve"> </w:t>
      </w:r>
      <w:r w:rsidRPr="00181FCD">
        <w:t>disponen</w:t>
      </w:r>
      <w:r w:rsidR="00F373A3" w:rsidRPr="00181FCD">
        <w:t xml:space="preserve"> </w:t>
      </w:r>
      <w:r w:rsidRPr="00181FCD">
        <w:t>de</w:t>
      </w:r>
      <w:r w:rsidR="00F373A3" w:rsidRPr="00181FCD">
        <w:t xml:space="preserve"> </w:t>
      </w:r>
      <w:r w:rsidRPr="00181FCD">
        <w:t>luz</w:t>
      </w:r>
      <w:r w:rsidR="00F373A3" w:rsidRPr="00181FCD">
        <w:t xml:space="preserve"> </w:t>
      </w:r>
      <w:r w:rsidRPr="00181FCD">
        <w:t>solar</w:t>
      </w:r>
      <w:r w:rsidR="00F373A3" w:rsidRPr="00181FCD">
        <w:t xml:space="preserve"> </w:t>
      </w:r>
      <w:r w:rsidRPr="00181FCD">
        <w:t>directa,</w:t>
      </w:r>
      <w:r w:rsidR="00F373A3" w:rsidRPr="00181FCD">
        <w:t xml:space="preserve"> </w:t>
      </w:r>
      <w:r w:rsidRPr="00181FCD">
        <w:t>zona</w:t>
      </w:r>
      <w:r w:rsidR="00F373A3" w:rsidRPr="00181FCD">
        <w:t xml:space="preserve"> </w:t>
      </w:r>
      <w:r w:rsidRPr="00181FCD">
        <w:t>de</w:t>
      </w:r>
      <w:r w:rsidR="00F373A3" w:rsidRPr="00181FCD">
        <w:t xml:space="preserve"> </w:t>
      </w:r>
      <w:r w:rsidRPr="00181FCD">
        <w:t>espacios</w:t>
      </w:r>
      <w:r w:rsidR="00F373A3" w:rsidRPr="00181FCD">
        <w:t xml:space="preserve"> </w:t>
      </w:r>
      <w:r w:rsidRPr="00181FCD">
        <w:t>abiertos</w:t>
      </w:r>
      <w:r w:rsidR="00F373A3" w:rsidRPr="00181FCD">
        <w:t xml:space="preserve"> </w:t>
      </w:r>
      <w:r w:rsidRPr="00181FCD">
        <w:t>y</w:t>
      </w:r>
      <w:r w:rsidR="00F373A3" w:rsidRPr="00181FCD">
        <w:t xml:space="preserve"> </w:t>
      </w:r>
      <w:r w:rsidRPr="00181FCD">
        <w:t>aseos</w:t>
      </w:r>
      <w:r w:rsidR="00F373A3" w:rsidRPr="00181FCD">
        <w:t xml:space="preserve"> </w:t>
      </w:r>
      <w:r w:rsidRPr="00181FCD">
        <w:t>en</w:t>
      </w:r>
      <w:r w:rsidR="00F373A3" w:rsidRPr="00181FCD">
        <w:t xml:space="preserve"> </w:t>
      </w:r>
      <w:r w:rsidRPr="00181FCD">
        <w:t>los</w:t>
      </w:r>
      <w:r w:rsidR="00F373A3" w:rsidRPr="00181FCD">
        <w:t xml:space="preserve"> </w:t>
      </w:r>
      <w:r w:rsidRPr="00181FCD">
        <w:t>sectores</w:t>
      </w:r>
      <w:r w:rsidR="00F373A3" w:rsidRPr="00181FCD">
        <w:t xml:space="preserve"> </w:t>
      </w:r>
      <w:r w:rsidRPr="00181FCD">
        <w:t>de</w:t>
      </w:r>
      <w:r w:rsidR="00F373A3" w:rsidRPr="00181FCD">
        <w:t xml:space="preserve"> </w:t>
      </w:r>
      <w:r w:rsidRPr="00181FCD">
        <w:t>alojamiento.</w:t>
      </w:r>
    </w:p>
    <w:p w:rsidR="001937F4" w:rsidRPr="00181FCD" w:rsidRDefault="001937F4" w:rsidP="00347B20">
      <w:pPr>
        <w:pStyle w:val="SingleTxtG"/>
        <w:suppressAutoHyphens/>
      </w:pPr>
      <w:r w:rsidRPr="00181FCD">
        <w:t>174.</w:t>
      </w:r>
      <w:r w:rsidRPr="00181FCD">
        <w:tab/>
        <w:t>En</w:t>
      </w:r>
      <w:r w:rsidR="00F373A3" w:rsidRPr="00181FCD">
        <w:t xml:space="preserve"> </w:t>
      </w:r>
      <w:r w:rsidRPr="00181FCD">
        <w:t>atención</w:t>
      </w:r>
      <w:r w:rsidR="00F373A3" w:rsidRPr="00181FCD">
        <w:t xml:space="preserve"> </w:t>
      </w:r>
      <w:r w:rsidRPr="00181FCD">
        <w:t>a</w:t>
      </w:r>
      <w:r w:rsidR="00F373A3" w:rsidRPr="00181FCD">
        <w:t xml:space="preserve"> </w:t>
      </w:r>
      <w:r w:rsidRPr="00181FCD">
        <w:t>las</w:t>
      </w:r>
      <w:r w:rsidR="00F373A3" w:rsidRPr="00181FCD">
        <w:t xml:space="preserve"> </w:t>
      </w:r>
      <w:r w:rsidRPr="00181FCD">
        <w:t>recomendaciones</w:t>
      </w:r>
      <w:r w:rsidR="00F373A3" w:rsidRPr="00181FCD">
        <w:t xml:space="preserve"> </w:t>
      </w:r>
      <w:r w:rsidRPr="00181FCD">
        <w:t>del</w:t>
      </w:r>
      <w:r w:rsidR="00F373A3" w:rsidRPr="00181FCD">
        <w:t xml:space="preserve"> </w:t>
      </w:r>
      <w:r w:rsidRPr="00181FCD">
        <w:t>Comité</w:t>
      </w:r>
      <w:r w:rsidR="00F373A3" w:rsidRPr="00181FCD">
        <w:t xml:space="preserve"> </w:t>
      </w:r>
      <w:r w:rsidRPr="00181FCD">
        <w:t>Europeo</w:t>
      </w:r>
      <w:r w:rsidR="00F373A3" w:rsidRPr="00181FCD">
        <w:t xml:space="preserve"> </w:t>
      </w:r>
      <w:r w:rsidRPr="00181FCD">
        <w:t>para</w:t>
      </w:r>
      <w:r w:rsidR="00F373A3" w:rsidRPr="00181FCD">
        <w:t xml:space="preserve"> </w:t>
      </w:r>
      <w:r w:rsidRPr="00181FCD">
        <w:t>la</w:t>
      </w:r>
      <w:r w:rsidR="00F373A3" w:rsidRPr="00181FCD">
        <w:t xml:space="preserve"> </w:t>
      </w:r>
      <w:r w:rsidRPr="00181FCD">
        <w:t>Prevención</w:t>
      </w:r>
      <w:r w:rsidR="00F373A3" w:rsidRPr="00181FCD">
        <w:t xml:space="preserve"> </w:t>
      </w:r>
      <w:r w:rsidRPr="00181FCD">
        <w:t>de</w:t>
      </w:r>
      <w:r w:rsidR="00F373A3" w:rsidRPr="00181FCD">
        <w:t xml:space="preserve"> </w:t>
      </w:r>
      <w:r w:rsidRPr="00181FCD">
        <w:t>la</w:t>
      </w:r>
      <w:r w:rsidR="00F373A3" w:rsidRPr="00181FCD">
        <w:t xml:space="preserve"> </w:t>
      </w:r>
      <w:r w:rsidRPr="00181FCD">
        <w:t>Tortura</w:t>
      </w:r>
      <w:r w:rsidR="00F373A3" w:rsidRPr="00181FCD">
        <w:t xml:space="preserve"> </w:t>
      </w:r>
      <w:r w:rsidRPr="00181FCD">
        <w:t>y</w:t>
      </w:r>
      <w:r w:rsidR="00F373A3" w:rsidRPr="00181FCD">
        <w:t xml:space="preserve"> </w:t>
      </w:r>
      <w:r w:rsidRPr="00181FCD">
        <w:t>de</w:t>
      </w:r>
      <w:r w:rsidR="00F373A3" w:rsidRPr="00181FCD">
        <w:t xml:space="preserve"> </w:t>
      </w:r>
      <w:r w:rsidRPr="00181FCD">
        <w:t>las</w:t>
      </w:r>
      <w:r w:rsidR="00F373A3" w:rsidRPr="00181FCD">
        <w:t xml:space="preserve"> </w:t>
      </w:r>
      <w:r w:rsidRPr="00181FCD">
        <w:t>Penas</w:t>
      </w:r>
      <w:r w:rsidR="00F373A3" w:rsidRPr="00181FCD">
        <w:t xml:space="preserve"> </w:t>
      </w:r>
      <w:r w:rsidRPr="00181FCD">
        <w:t>o</w:t>
      </w:r>
      <w:r w:rsidR="00F373A3" w:rsidRPr="00181FCD">
        <w:t xml:space="preserve"> </w:t>
      </w:r>
      <w:r w:rsidRPr="00181FCD">
        <w:t>Tratos</w:t>
      </w:r>
      <w:r w:rsidR="00F373A3" w:rsidRPr="00181FCD">
        <w:t xml:space="preserve"> </w:t>
      </w:r>
      <w:r w:rsidRPr="00181FCD">
        <w:t>Inhumanos</w:t>
      </w:r>
      <w:r w:rsidR="00F373A3" w:rsidRPr="00181FCD">
        <w:t xml:space="preserve"> </w:t>
      </w:r>
      <w:r w:rsidRPr="00181FCD">
        <w:t>o</w:t>
      </w:r>
      <w:r w:rsidR="00F373A3" w:rsidRPr="00181FCD">
        <w:t xml:space="preserve"> </w:t>
      </w:r>
      <w:r w:rsidRPr="00181FCD">
        <w:t>Degradantes,</w:t>
      </w:r>
      <w:r w:rsidR="00F373A3" w:rsidRPr="00181FCD">
        <w:t xml:space="preserve"> </w:t>
      </w:r>
      <w:r w:rsidRPr="00181FCD">
        <w:t>de</w:t>
      </w:r>
      <w:r w:rsidR="00F373A3" w:rsidRPr="00181FCD">
        <w:t xml:space="preserve"> </w:t>
      </w:r>
      <w:r w:rsidRPr="00181FCD">
        <w:t>que</w:t>
      </w:r>
      <w:r w:rsidR="00F373A3" w:rsidRPr="00181FCD">
        <w:t xml:space="preserve"> </w:t>
      </w:r>
      <w:r w:rsidRPr="00181FCD">
        <w:t>los</w:t>
      </w:r>
      <w:r w:rsidR="00F373A3" w:rsidRPr="00181FCD">
        <w:t xml:space="preserve"> </w:t>
      </w:r>
      <w:r w:rsidRPr="00181FCD">
        <w:t>reclusos</w:t>
      </w:r>
      <w:r w:rsidR="00F373A3" w:rsidRPr="00181FCD">
        <w:t xml:space="preserve"> </w:t>
      </w:r>
      <w:r w:rsidRPr="00181FCD">
        <w:t>deben</w:t>
      </w:r>
      <w:r w:rsidR="00F373A3" w:rsidRPr="00181FCD">
        <w:t xml:space="preserve"> </w:t>
      </w:r>
      <w:r w:rsidRPr="00181FCD">
        <w:t>tener</w:t>
      </w:r>
      <w:r w:rsidR="00F373A3" w:rsidRPr="00181FCD">
        <w:t xml:space="preserve"> </w:t>
      </w:r>
      <w:r w:rsidRPr="00181FCD">
        <w:t>acceso</w:t>
      </w:r>
      <w:r w:rsidR="00F373A3" w:rsidRPr="00181FCD">
        <w:t xml:space="preserve"> </w:t>
      </w:r>
      <w:r w:rsidRPr="00181FCD">
        <w:t>a</w:t>
      </w:r>
      <w:r w:rsidR="00F373A3" w:rsidRPr="00181FCD">
        <w:t xml:space="preserve"> </w:t>
      </w:r>
      <w:r w:rsidRPr="00181FCD">
        <w:t>los</w:t>
      </w:r>
      <w:r w:rsidR="00F373A3" w:rsidRPr="00181FCD">
        <w:t xml:space="preserve"> </w:t>
      </w:r>
      <w:r w:rsidRPr="00181FCD">
        <w:t>aseos</w:t>
      </w:r>
      <w:r w:rsidR="00F373A3" w:rsidRPr="00181FCD">
        <w:t xml:space="preserve"> </w:t>
      </w:r>
      <w:r w:rsidRPr="00181FCD">
        <w:t>durante</w:t>
      </w:r>
      <w:r w:rsidR="00F373A3" w:rsidRPr="00181FCD">
        <w:t xml:space="preserve"> </w:t>
      </w:r>
      <w:r w:rsidRPr="00181FCD">
        <w:t>las</w:t>
      </w:r>
      <w:r w:rsidR="00F373A3" w:rsidRPr="00181FCD">
        <w:t xml:space="preserve"> </w:t>
      </w:r>
      <w:r w:rsidRPr="00181FCD">
        <w:t>24</w:t>
      </w:r>
      <w:r w:rsidR="00F373A3" w:rsidRPr="00181FCD">
        <w:t xml:space="preserve"> </w:t>
      </w:r>
      <w:r w:rsidRPr="00181FCD">
        <w:t>horas</w:t>
      </w:r>
      <w:r w:rsidR="00F373A3" w:rsidRPr="00181FCD">
        <w:t xml:space="preserve"> </w:t>
      </w:r>
      <w:r w:rsidRPr="00181FCD">
        <w:t>del</w:t>
      </w:r>
      <w:r w:rsidR="00F373A3" w:rsidRPr="00181FCD">
        <w:t xml:space="preserve"> </w:t>
      </w:r>
      <w:r w:rsidRPr="00181FCD">
        <w:t>día,</w:t>
      </w:r>
      <w:r w:rsidR="00F373A3" w:rsidRPr="00181FCD">
        <w:t xml:space="preserve"> </w:t>
      </w:r>
      <w:r w:rsidRPr="00181FCD">
        <w:t>se</w:t>
      </w:r>
      <w:r w:rsidR="00F373A3" w:rsidRPr="00181FCD">
        <w:t xml:space="preserve"> </w:t>
      </w:r>
      <w:r w:rsidRPr="00181FCD">
        <w:t>han</w:t>
      </w:r>
      <w:r w:rsidR="00F373A3" w:rsidRPr="00181FCD">
        <w:t xml:space="preserve"> </w:t>
      </w:r>
      <w:r w:rsidRPr="00181FCD">
        <w:t>iniciado</w:t>
      </w:r>
      <w:r w:rsidR="00F373A3" w:rsidRPr="00181FCD">
        <w:t xml:space="preserve"> </w:t>
      </w:r>
      <w:r w:rsidRPr="00181FCD">
        <w:t>importantes</w:t>
      </w:r>
      <w:r w:rsidR="00F373A3" w:rsidRPr="00181FCD">
        <w:t xml:space="preserve"> </w:t>
      </w:r>
      <w:r w:rsidRPr="00181FCD">
        <w:t>obras</w:t>
      </w:r>
      <w:r w:rsidR="00F373A3" w:rsidRPr="00181FCD">
        <w:t xml:space="preserve"> </w:t>
      </w:r>
      <w:r w:rsidRPr="00181FCD">
        <w:t>de</w:t>
      </w:r>
      <w:r w:rsidR="00F373A3" w:rsidRPr="00181FCD">
        <w:t xml:space="preserve"> </w:t>
      </w:r>
      <w:r w:rsidRPr="00181FCD">
        <w:t>reforma</w:t>
      </w:r>
      <w:r w:rsidR="00F373A3" w:rsidRPr="00181FCD">
        <w:t xml:space="preserve"> </w:t>
      </w:r>
      <w:r w:rsidRPr="00181FCD">
        <w:t>en</w:t>
      </w:r>
      <w:r w:rsidR="00F373A3" w:rsidRPr="00181FCD">
        <w:t xml:space="preserve"> </w:t>
      </w:r>
      <w:r w:rsidRPr="00181FCD">
        <w:t>el</w:t>
      </w:r>
      <w:r w:rsidR="00F373A3" w:rsidRPr="00181FCD">
        <w:t xml:space="preserve"> </w:t>
      </w:r>
      <w:r w:rsidRPr="00181FCD">
        <w:t>marco</w:t>
      </w:r>
      <w:r w:rsidR="00F373A3" w:rsidRPr="00181FCD">
        <w:t xml:space="preserve"> </w:t>
      </w:r>
      <w:r w:rsidRPr="00181FCD">
        <w:t>del</w:t>
      </w:r>
      <w:r w:rsidR="00F373A3" w:rsidRPr="00181FCD">
        <w:t xml:space="preserve"> </w:t>
      </w:r>
      <w:r w:rsidRPr="00181FCD">
        <w:t>proyecto,</w:t>
      </w:r>
      <w:r w:rsidR="00F373A3" w:rsidRPr="00181FCD">
        <w:t xml:space="preserve"> </w:t>
      </w:r>
      <w:r w:rsidRPr="00181FCD">
        <w:t>entre</w:t>
      </w:r>
      <w:r w:rsidR="00F373A3" w:rsidRPr="00181FCD">
        <w:t xml:space="preserve"> </w:t>
      </w:r>
      <w:r w:rsidRPr="00181FCD">
        <w:t>ellas</w:t>
      </w:r>
      <w:r w:rsidR="00F373A3" w:rsidRPr="00181FCD">
        <w:t xml:space="preserve"> </w:t>
      </w:r>
      <w:r w:rsidRPr="00181FCD">
        <w:t>la</w:t>
      </w:r>
      <w:r w:rsidR="00F373A3" w:rsidRPr="00181FCD">
        <w:t xml:space="preserve"> </w:t>
      </w:r>
      <w:r w:rsidRPr="00181FCD">
        <w:t>construcción</w:t>
      </w:r>
      <w:r w:rsidR="00F373A3" w:rsidRPr="00181FCD">
        <w:t xml:space="preserve"> </w:t>
      </w:r>
      <w:r w:rsidRPr="00181FCD">
        <w:t>de</w:t>
      </w:r>
      <w:r w:rsidR="00F373A3" w:rsidRPr="00181FCD">
        <w:t xml:space="preserve"> </w:t>
      </w:r>
      <w:r w:rsidRPr="00181FCD">
        <w:t>aseos</w:t>
      </w:r>
      <w:r w:rsidR="00F373A3" w:rsidRPr="00181FCD">
        <w:t xml:space="preserve"> </w:t>
      </w:r>
      <w:r w:rsidRPr="00181FCD">
        <w:t>en</w:t>
      </w:r>
      <w:r w:rsidR="00F373A3" w:rsidRPr="00181FCD">
        <w:t xml:space="preserve"> </w:t>
      </w:r>
      <w:r w:rsidRPr="00181FCD">
        <w:t>la</w:t>
      </w:r>
      <w:r w:rsidR="00F373A3" w:rsidRPr="00181FCD">
        <w:t xml:space="preserve"> </w:t>
      </w:r>
      <w:r w:rsidRPr="00181FCD">
        <w:t>cárcel</w:t>
      </w:r>
      <w:r w:rsidR="00F373A3" w:rsidRPr="00181FCD">
        <w:t xml:space="preserve"> </w:t>
      </w:r>
      <w:r w:rsidRPr="00181FCD">
        <w:t>de</w:t>
      </w:r>
      <w:r w:rsidR="00F373A3" w:rsidRPr="00181FCD">
        <w:t xml:space="preserve"> </w:t>
      </w:r>
      <w:r w:rsidRPr="00181FCD">
        <w:t>Stara</w:t>
      </w:r>
      <w:r w:rsidR="00F373A3" w:rsidRPr="00181FCD">
        <w:t xml:space="preserve"> </w:t>
      </w:r>
      <w:r w:rsidRPr="00181FCD">
        <w:t>Zagora.</w:t>
      </w:r>
      <w:r w:rsidR="00F373A3" w:rsidRPr="00181FCD">
        <w:t xml:space="preserve"> </w:t>
      </w:r>
      <w:r w:rsidRPr="00181FCD">
        <w:t>Según</w:t>
      </w:r>
      <w:r w:rsidR="00F373A3" w:rsidRPr="00181FCD">
        <w:t xml:space="preserve"> </w:t>
      </w:r>
      <w:r w:rsidRPr="00181FCD">
        <w:t>el</w:t>
      </w:r>
      <w:r w:rsidR="00F373A3" w:rsidRPr="00181FCD">
        <w:t xml:space="preserve"> </w:t>
      </w:r>
      <w:r w:rsidRPr="00181FCD">
        <w:t>plan</w:t>
      </w:r>
      <w:r w:rsidR="00F373A3" w:rsidRPr="00181FCD">
        <w:t xml:space="preserve"> </w:t>
      </w:r>
      <w:r w:rsidRPr="00181FCD">
        <w:t>previsto,</w:t>
      </w:r>
      <w:r w:rsidR="00F373A3" w:rsidRPr="00181FCD">
        <w:t xml:space="preserve"> </w:t>
      </w:r>
      <w:r w:rsidRPr="00181FCD">
        <w:t>las</w:t>
      </w:r>
      <w:r w:rsidR="00F373A3" w:rsidRPr="00181FCD">
        <w:t xml:space="preserve"> </w:t>
      </w:r>
      <w:r w:rsidRPr="00181FCD">
        <w:t>obras</w:t>
      </w:r>
      <w:r w:rsidR="00F373A3" w:rsidRPr="00181FCD">
        <w:t xml:space="preserve"> </w:t>
      </w:r>
      <w:r w:rsidRPr="00181FCD">
        <w:t>se</w:t>
      </w:r>
      <w:r w:rsidR="00F373A3" w:rsidRPr="00181FCD">
        <w:t xml:space="preserve"> </w:t>
      </w:r>
      <w:r w:rsidRPr="00181FCD">
        <w:t>entregarán</w:t>
      </w:r>
      <w:r w:rsidR="00F373A3" w:rsidRPr="00181FCD">
        <w:t xml:space="preserve"> </w:t>
      </w:r>
      <w:r w:rsidRPr="00181FCD">
        <w:t>durante</w:t>
      </w:r>
      <w:r w:rsidR="00F373A3" w:rsidRPr="00181FCD">
        <w:t xml:space="preserve"> </w:t>
      </w:r>
      <w:r w:rsidRPr="00181FCD">
        <w:t>el</w:t>
      </w:r>
      <w:r w:rsidR="00F373A3" w:rsidRPr="00181FCD">
        <w:t xml:space="preserve"> </w:t>
      </w:r>
      <w:r w:rsidRPr="00181FCD">
        <w:t>primer</w:t>
      </w:r>
      <w:r w:rsidR="00F373A3" w:rsidRPr="00181FCD">
        <w:t xml:space="preserve"> </w:t>
      </w:r>
      <w:r w:rsidRPr="00181FCD">
        <w:t>trimestre</w:t>
      </w:r>
      <w:r w:rsidR="00F373A3" w:rsidRPr="00181FCD">
        <w:t xml:space="preserve"> </w:t>
      </w:r>
      <w:r w:rsidRPr="00181FCD">
        <w:t>de</w:t>
      </w:r>
      <w:r w:rsidR="00F373A3" w:rsidRPr="00181FCD">
        <w:t xml:space="preserve"> </w:t>
      </w:r>
      <w:r w:rsidRPr="00181FCD">
        <w:t>2016.</w:t>
      </w:r>
    </w:p>
    <w:p w:rsidR="001937F4" w:rsidRPr="00181FCD" w:rsidRDefault="001937F4" w:rsidP="00347B20">
      <w:pPr>
        <w:pStyle w:val="SingleTxtG"/>
        <w:suppressAutoHyphens/>
      </w:pPr>
      <w:r w:rsidRPr="00181FCD">
        <w:t>175.</w:t>
      </w:r>
      <w:r w:rsidRPr="00181FCD">
        <w:tab/>
        <w:t>En</w:t>
      </w:r>
      <w:r w:rsidR="00F373A3" w:rsidRPr="00181FCD">
        <w:t xml:space="preserve"> </w:t>
      </w:r>
      <w:r w:rsidRPr="00181FCD">
        <w:t>respuesta</w:t>
      </w:r>
      <w:r w:rsidR="00F373A3" w:rsidRPr="00181FCD">
        <w:t xml:space="preserve"> </w:t>
      </w:r>
      <w:r w:rsidRPr="00181FCD">
        <w:t>a</w:t>
      </w:r>
      <w:r w:rsidR="00F373A3" w:rsidRPr="00181FCD">
        <w:t xml:space="preserve"> </w:t>
      </w:r>
      <w:r w:rsidRPr="00181FCD">
        <w:t>la</w:t>
      </w:r>
      <w:r w:rsidR="00F373A3" w:rsidRPr="00181FCD">
        <w:t xml:space="preserve"> </w:t>
      </w:r>
      <w:r w:rsidRPr="00181FCD">
        <w:t>misma</w:t>
      </w:r>
      <w:r w:rsidR="00F373A3" w:rsidRPr="00181FCD">
        <w:t xml:space="preserve"> </w:t>
      </w:r>
      <w:r w:rsidRPr="00181FCD">
        <w:t>recomendación,</w:t>
      </w:r>
      <w:r w:rsidR="00F373A3" w:rsidRPr="00181FCD">
        <w:t xml:space="preserve"> </w:t>
      </w:r>
      <w:r w:rsidRPr="00181FCD">
        <w:t>la</w:t>
      </w:r>
      <w:r w:rsidR="00F373A3" w:rsidRPr="00181FCD">
        <w:t xml:space="preserve"> </w:t>
      </w:r>
      <w:r w:rsidRPr="00181FCD">
        <w:t>Dirección</w:t>
      </w:r>
      <w:r w:rsidR="00F373A3" w:rsidRPr="00181FCD">
        <w:t xml:space="preserve"> </w:t>
      </w:r>
      <w:r w:rsidRPr="00181FCD">
        <w:t>General</w:t>
      </w:r>
      <w:r w:rsidR="00672EC2" w:rsidRPr="00181FCD">
        <w:t xml:space="preserve"> de </w:t>
      </w:r>
      <w:r w:rsidRPr="00181FCD">
        <w:t>Ejecución</w:t>
      </w:r>
      <w:r w:rsidR="00F373A3" w:rsidRPr="00181FCD">
        <w:t xml:space="preserve"> </w:t>
      </w:r>
      <w:r w:rsidRPr="00181FCD">
        <w:t>de</w:t>
      </w:r>
      <w:r w:rsidR="00F373A3" w:rsidRPr="00181FCD">
        <w:t xml:space="preserve"> </w:t>
      </w:r>
      <w:r w:rsidRPr="00181FCD">
        <w:t>Penas</w:t>
      </w:r>
      <w:r w:rsidR="00F373A3" w:rsidRPr="00181FCD">
        <w:t xml:space="preserve"> </w:t>
      </w:r>
      <w:r w:rsidRPr="00181FCD">
        <w:t>tomó</w:t>
      </w:r>
      <w:r w:rsidR="00F373A3" w:rsidRPr="00181FCD">
        <w:t xml:space="preserve"> </w:t>
      </w:r>
      <w:r w:rsidRPr="00181FCD">
        <w:t>medidas</w:t>
      </w:r>
      <w:r w:rsidR="00F373A3" w:rsidRPr="00181FCD">
        <w:t xml:space="preserve"> </w:t>
      </w:r>
      <w:r w:rsidRPr="00181FCD">
        <w:t>para</w:t>
      </w:r>
      <w:r w:rsidR="00F373A3" w:rsidRPr="00181FCD">
        <w:t xml:space="preserve"> </w:t>
      </w:r>
      <w:r w:rsidRPr="00181FCD">
        <w:t>reparar</w:t>
      </w:r>
      <w:r w:rsidR="00F373A3" w:rsidRPr="00181FCD">
        <w:t xml:space="preserve"> </w:t>
      </w:r>
      <w:r w:rsidRPr="00181FCD">
        <w:t>y</w:t>
      </w:r>
      <w:r w:rsidR="00F373A3" w:rsidRPr="00181FCD">
        <w:t xml:space="preserve"> </w:t>
      </w:r>
      <w:r w:rsidRPr="00181FCD">
        <w:t>construir</w:t>
      </w:r>
      <w:r w:rsidR="00F373A3" w:rsidRPr="00181FCD">
        <w:t xml:space="preserve"> </w:t>
      </w:r>
      <w:r w:rsidRPr="00181FCD">
        <w:t>aseos</w:t>
      </w:r>
      <w:r w:rsidR="00F373A3" w:rsidRPr="00181FCD">
        <w:t xml:space="preserve"> </w:t>
      </w:r>
      <w:r w:rsidRPr="00181FCD">
        <w:t>en</w:t>
      </w:r>
      <w:r w:rsidR="00F373A3" w:rsidRPr="00181FCD">
        <w:t xml:space="preserve"> </w:t>
      </w:r>
      <w:r w:rsidRPr="00181FCD">
        <w:t>las</w:t>
      </w:r>
      <w:r w:rsidR="00F373A3" w:rsidRPr="00181FCD">
        <w:t xml:space="preserve"> </w:t>
      </w:r>
      <w:r w:rsidRPr="00181FCD">
        <w:t>cárceles</w:t>
      </w:r>
      <w:r w:rsidR="00F373A3" w:rsidRPr="00181FCD">
        <w:t xml:space="preserve"> </w:t>
      </w:r>
      <w:r w:rsidRPr="00181FCD">
        <w:t>de</w:t>
      </w:r>
      <w:r w:rsidR="00F373A3" w:rsidRPr="00181FCD">
        <w:t xml:space="preserve"> </w:t>
      </w:r>
      <w:r w:rsidRPr="00181FCD">
        <w:t>Burgas,</w:t>
      </w:r>
      <w:r w:rsidR="00F373A3" w:rsidRPr="00181FCD">
        <w:t xml:space="preserve"> </w:t>
      </w:r>
      <w:r w:rsidRPr="00181FCD">
        <w:t>Varna</w:t>
      </w:r>
      <w:r w:rsidR="00F373A3" w:rsidRPr="00181FCD">
        <w:t xml:space="preserve"> </w:t>
      </w:r>
      <w:r w:rsidRPr="00181FCD">
        <w:t>y</w:t>
      </w:r>
      <w:r w:rsidR="00F373A3" w:rsidRPr="00181FCD">
        <w:t xml:space="preserve"> </w:t>
      </w:r>
      <w:r w:rsidRPr="00181FCD">
        <w:t>Sliven.</w:t>
      </w:r>
      <w:r w:rsidR="00F373A3" w:rsidRPr="00181FCD">
        <w:t xml:space="preserve"> </w:t>
      </w:r>
      <w:r w:rsidRPr="00181FCD">
        <w:t>Se</w:t>
      </w:r>
      <w:r w:rsidR="00F373A3" w:rsidRPr="00181FCD">
        <w:t xml:space="preserve"> </w:t>
      </w:r>
      <w:r w:rsidRPr="00181FCD">
        <w:t>espera</w:t>
      </w:r>
      <w:r w:rsidR="00F373A3" w:rsidRPr="00181FCD">
        <w:t xml:space="preserve"> </w:t>
      </w:r>
      <w:r w:rsidRPr="00181FCD">
        <w:t>que</w:t>
      </w:r>
      <w:r w:rsidR="00F373A3" w:rsidRPr="00181FCD">
        <w:t xml:space="preserve"> </w:t>
      </w:r>
      <w:r w:rsidRPr="00181FCD">
        <w:t>los</w:t>
      </w:r>
      <w:r w:rsidR="00F373A3" w:rsidRPr="00181FCD">
        <w:t xml:space="preserve"> </w:t>
      </w:r>
      <w:r w:rsidRPr="00181FCD">
        <w:t>proyectos</w:t>
      </w:r>
      <w:r w:rsidR="00F373A3" w:rsidRPr="00181FCD">
        <w:t xml:space="preserve"> </w:t>
      </w:r>
      <w:r w:rsidRPr="00181FCD">
        <w:t>estén</w:t>
      </w:r>
      <w:r w:rsidR="00F373A3" w:rsidRPr="00181FCD">
        <w:t xml:space="preserve"> </w:t>
      </w:r>
      <w:r w:rsidRPr="00181FCD">
        <w:t>acabados</w:t>
      </w:r>
      <w:r w:rsidR="00F373A3" w:rsidRPr="00181FCD">
        <w:t xml:space="preserve"> </w:t>
      </w:r>
      <w:r w:rsidRPr="00181FCD">
        <w:t>a</w:t>
      </w:r>
      <w:r w:rsidR="00F373A3" w:rsidRPr="00181FCD">
        <w:t xml:space="preserve"> </w:t>
      </w:r>
      <w:r w:rsidRPr="00181FCD">
        <w:t>finales</w:t>
      </w:r>
      <w:r w:rsidR="00F373A3" w:rsidRPr="00181FCD">
        <w:t xml:space="preserve"> </w:t>
      </w:r>
      <w:r w:rsidRPr="00181FCD">
        <w:t>del</w:t>
      </w:r>
      <w:r w:rsidR="00F373A3" w:rsidRPr="00181FCD">
        <w:t xml:space="preserve"> </w:t>
      </w:r>
      <w:r w:rsidRPr="00181FCD">
        <w:t>segundo</w:t>
      </w:r>
      <w:r w:rsidR="00F373A3" w:rsidRPr="00181FCD">
        <w:t xml:space="preserve"> </w:t>
      </w:r>
      <w:r w:rsidRPr="00181FCD">
        <w:t>trimestre</w:t>
      </w:r>
      <w:r w:rsidR="00F373A3" w:rsidRPr="00181FCD">
        <w:t xml:space="preserve"> </w:t>
      </w:r>
      <w:r w:rsidRPr="00181FCD">
        <w:t>de</w:t>
      </w:r>
      <w:r w:rsidR="00F373A3" w:rsidRPr="00181FCD">
        <w:t xml:space="preserve"> </w:t>
      </w:r>
      <w:r w:rsidRPr="00181FCD">
        <w:t>2016</w:t>
      </w:r>
      <w:r w:rsidR="00F373A3" w:rsidRPr="00181FCD">
        <w:t xml:space="preserve"> </w:t>
      </w:r>
      <w:r w:rsidRPr="00181FCD">
        <w:t>y</w:t>
      </w:r>
      <w:r w:rsidR="00F373A3" w:rsidRPr="00181FCD">
        <w:t xml:space="preserve"> </w:t>
      </w:r>
      <w:r w:rsidRPr="00181FCD">
        <w:t>los</w:t>
      </w:r>
      <w:r w:rsidR="00F373A3" w:rsidRPr="00181FCD">
        <w:t xml:space="preserve"> </w:t>
      </w:r>
      <w:r w:rsidRPr="00181FCD">
        <w:t>trabajos</w:t>
      </w:r>
      <w:r w:rsidR="00F373A3" w:rsidRPr="00181FCD">
        <w:t xml:space="preserve"> </w:t>
      </w:r>
      <w:r w:rsidRPr="00181FCD">
        <w:t>concluyan</w:t>
      </w:r>
      <w:r w:rsidR="00F373A3" w:rsidRPr="00181FCD">
        <w:t xml:space="preserve"> </w:t>
      </w:r>
      <w:r w:rsidRPr="00181FCD">
        <w:t>antes</w:t>
      </w:r>
      <w:r w:rsidR="00F373A3" w:rsidRPr="00181FCD">
        <w:t xml:space="preserve"> </w:t>
      </w:r>
      <w:r w:rsidRPr="00181FCD">
        <w:t>de</w:t>
      </w:r>
      <w:r w:rsidR="00F373A3" w:rsidRPr="00181FCD">
        <w:t xml:space="preserve"> </w:t>
      </w:r>
      <w:r w:rsidRPr="00181FCD">
        <w:t>finales</w:t>
      </w:r>
      <w:r w:rsidR="00F373A3" w:rsidRPr="00181FCD">
        <w:t xml:space="preserve"> </w:t>
      </w:r>
      <w:r w:rsidRPr="00181FCD">
        <w:t>de</w:t>
      </w:r>
      <w:r w:rsidR="00F373A3" w:rsidRPr="00181FCD">
        <w:t xml:space="preserve"> </w:t>
      </w:r>
      <w:r w:rsidRPr="00181FCD">
        <w:t>2017.</w:t>
      </w:r>
    </w:p>
    <w:p w:rsidR="001937F4" w:rsidRPr="00181FCD" w:rsidRDefault="001937F4" w:rsidP="00347B20">
      <w:pPr>
        <w:pStyle w:val="SingleTxtG"/>
        <w:suppressAutoHyphens/>
      </w:pPr>
      <w:r w:rsidRPr="00181FCD">
        <w:t>176.</w:t>
      </w:r>
      <w:r w:rsidRPr="00181FCD">
        <w:tab/>
        <w:t>En</w:t>
      </w:r>
      <w:r w:rsidR="00F373A3" w:rsidRPr="00181FCD">
        <w:t xml:space="preserve"> </w:t>
      </w:r>
      <w:r w:rsidRPr="00181FCD">
        <w:t>ejecución</w:t>
      </w:r>
      <w:r w:rsidR="00F373A3" w:rsidRPr="00181FCD">
        <w:t xml:space="preserve"> </w:t>
      </w:r>
      <w:r w:rsidRPr="00181FCD">
        <w:t>de</w:t>
      </w:r>
      <w:r w:rsidR="00F373A3" w:rsidRPr="00181FCD">
        <w:t xml:space="preserve"> </w:t>
      </w:r>
      <w:r w:rsidRPr="00181FCD">
        <w:t>las</w:t>
      </w:r>
      <w:r w:rsidR="00F373A3" w:rsidRPr="00181FCD">
        <w:t xml:space="preserve"> </w:t>
      </w:r>
      <w:r w:rsidRPr="00181FCD">
        <w:t>recomendaciones</w:t>
      </w:r>
      <w:r w:rsidR="00F373A3" w:rsidRPr="00181FCD">
        <w:t xml:space="preserve"> </w:t>
      </w:r>
      <w:r w:rsidRPr="00181FCD">
        <w:t>del</w:t>
      </w:r>
      <w:r w:rsidR="00F373A3" w:rsidRPr="00181FCD">
        <w:t xml:space="preserve"> </w:t>
      </w:r>
      <w:r w:rsidRPr="00181FCD">
        <w:t>Comité</w:t>
      </w:r>
      <w:r w:rsidR="00F373A3" w:rsidRPr="00181FCD">
        <w:t xml:space="preserve"> </w:t>
      </w:r>
      <w:r w:rsidRPr="00181FCD">
        <w:t>Europeo,</w:t>
      </w:r>
      <w:r w:rsidR="00F373A3" w:rsidRPr="00181FCD">
        <w:t xml:space="preserve"> </w:t>
      </w:r>
      <w:r w:rsidRPr="00181FCD">
        <w:t>recogidas</w:t>
      </w:r>
      <w:r w:rsidR="00F373A3" w:rsidRPr="00181FCD">
        <w:t xml:space="preserve"> </w:t>
      </w:r>
      <w:r w:rsidRPr="00181FCD">
        <w:t>en</w:t>
      </w:r>
      <w:r w:rsidR="00F373A3" w:rsidRPr="00181FCD">
        <w:t xml:space="preserve"> </w:t>
      </w:r>
      <w:r w:rsidRPr="00181FCD">
        <w:t>el</w:t>
      </w:r>
      <w:r w:rsidR="00F373A3" w:rsidRPr="00181FCD">
        <w:t xml:space="preserve"> </w:t>
      </w:r>
      <w:r w:rsidRPr="00181FCD">
        <w:t>informe</w:t>
      </w:r>
      <w:r w:rsidR="00F373A3" w:rsidRPr="00181FCD">
        <w:t xml:space="preserve"> </w:t>
      </w:r>
      <w:r w:rsidRPr="00181FCD">
        <w:t>redactado</w:t>
      </w:r>
      <w:r w:rsidR="00F373A3" w:rsidRPr="00181FCD">
        <w:t xml:space="preserve"> </w:t>
      </w:r>
      <w:r w:rsidRPr="00181FCD">
        <w:t>tras</w:t>
      </w:r>
      <w:r w:rsidR="00F373A3" w:rsidRPr="00181FCD">
        <w:t xml:space="preserve"> </w:t>
      </w:r>
      <w:r w:rsidRPr="00181FCD">
        <w:t>la</w:t>
      </w:r>
      <w:r w:rsidR="00F373A3" w:rsidRPr="00181FCD">
        <w:t xml:space="preserve"> </w:t>
      </w:r>
      <w:r w:rsidRPr="00181FCD">
        <w:t>visita</w:t>
      </w:r>
      <w:r w:rsidR="00F373A3" w:rsidRPr="00181FCD">
        <w:t xml:space="preserve"> </w:t>
      </w:r>
      <w:r w:rsidRPr="00181FCD">
        <w:t>realizada</w:t>
      </w:r>
      <w:r w:rsidR="00F373A3" w:rsidRPr="00181FCD">
        <w:t xml:space="preserve"> </w:t>
      </w:r>
      <w:r w:rsidRPr="00181FCD">
        <w:t>en</w:t>
      </w:r>
      <w:r w:rsidR="00F373A3" w:rsidRPr="00181FCD">
        <w:t xml:space="preserve"> </w:t>
      </w:r>
      <w:r w:rsidRPr="00181FCD">
        <w:t>2014,</w:t>
      </w:r>
      <w:r w:rsidR="00F373A3" w:rsidRPr="00181FCD">
        <w:t xml:space="preserve"> </w:t>
      </w:r>
      <w:r w:rsidRPr="00181FCD">
        <w:t>que</w:t>
      </w:r>
      <w:r w:rsidR="00F373A3" w:rsidRPr="00181FCD">
        <w:t xml:space="preserve"> </w:t>
      </w:r>
      <w:r w:rsidRPr="00181FCD">
        <w:t>sugieren</w:t>
      </w:r>
      <w:r w:rsidR="00F373A3" w:rsidRPr="00181FCD">
        <w:t xml:space="preserve"> </w:t>
      </w:r>
      <w:r w:rsidRPr="00181FCD">
        <w:t>trasladar</w:t>
      </w:r>
      <w:r w:rsidR="00F373A3" w:rsidRPr="00181FCD">
        <w:t xml:space="preserve"> </w:t>
      </w:r>
      <w:r w:rsidRPr="00181FCD">
        <w:t>el</w:t>
      </w:r>
      <w:r w:rsidR="00F373A3" w:rsidRPr="00181FCD">
        <w:t xml:space="preserve"> </w:t>
      </w:r>
      <w:r w:rsidRPr="00181FCD">
        <w:t>hogar</w:t>
      </w:r>
      <w:r w:rsidR="00F373A3" w:rsidRPr="00181FCD">
        <w:t xml:space="preserve"> </w:t>
      </w:r>
      <w:r w:rsidRPr="00181FCD">
        <w:t>correccional</w:t>
      </w:r>
      <w:r w:rsidR="00F373A3" w:rsidRPr="00181FCD">
        <w:t xml:space="preserve"> </w:t>
      </w:r>
      <w:r w:rsidRPr="00181FCD">
        <w:t>de</w:t>
      </w:r>
      <w:r w:rsidR="00F373A3" w:rsidRPr="00181FCD">
        <w:t xml:space="preserve"> </w:t>
      </w:r>
      <w:r w:rsidRPr="00181FCD">
        <w:t>la</w:t>
      </w:r>
      <w:r w:rsidR="00F373A3" w:rsidRPr="00181FCD">
        <w:t xml:space="preserve"> </w:t>
      </w:r>
      <w:r w:rsidRPr="00181FCD">
        <w:t>localidad</w:t>
      </w:r>
      <w:r w:rsidR="00F373A3" w:rsidRPr="00181FCD">
        <w:t xml:space="preserve"> </w:t>
      </w:r>
      <w:r w:rsidRPr="00181FCD">
        <w:t>de</w:t>
      </w:r>
      <w:r w:rsidR="00F373A3" w:rsidRPr="00181FCD">
        <w:t xml:space="preserve"> </w:t>
      </w:r>
      <w:r w:rsidRPr="00181FCD">
        <w:t>Boychinovtsi</w:t>
      </w:r>
      <w:r w:rsidR="00F373A3" w:rsidRPr="00181FCD">
        <w:t xml:space="preserve"> </w:t>
      </w:r>
      <w:r w:rsidRPr="00181FCD">
        <w:t>a</w:t>
      </w:r>
      <w:r w:rsidR="00F373A3" w:rsidRPr="00181FCD">
        <w:t xml:space="preserve"> </w:t>
      </w:r>
      <w:r w:rsidRPr="00181FCD">
        <w:t>un</w:t>
      </w:r>
      <w:r w:rsidR="00F373A3" w:rsidRPr="00181FCD">
        <w:t xml:space="preserve"> </w:t>
      </w:r>
      <w:r w:rsidRPr="00181FCD">
        <w:t>lugar</w:t>
      </w:r>
      <w:r w:rsidR="00F373A3" w:rsidRPr="00181FCD">
        <w:t xml:space="preserve"> </w:t>
      </w:r>
      <w:r w:rsidRPr="00181FCD">
        <w:t>más</w:t>
      </w:r>
      <w:r w:rsidR="00F373A3" w:rsidRPr="00181FCD">
        <w:t xml:space="preserve"> </w:t>
      </w:r>
      <w:r w:rsidRPr="00181FCD">
        <w:t>pequeño</w:t>
      </w:r>
      <w:r w:rsidR="00F373A3" w:rsidRPr="00181FCD">
        <w:t xml:space="preserve"> </w:t>
      </w:r>
      <w:r w:rsidRPr="00181FCD">
        <w:t>y</w:t>
      </w:r>
      <w:r w:rsidR="00F373A3" w:rsidRPr="00181FCD">
        <w:t xml:space="preserve"> </w:t>
      </w:r>
      <w:r w:rsidRPr="00181FCD">
        <w:t>construido</w:t>
      </w:r>
      <w:r w:rsidR="00F373A3" w:rsidRPr="00181FCD">
        <w:t xml:space="preserve"> </w:t>
      </w:r>
      <w:r w:rsidRPr="00181FCD">
        <w:t>específicamente</w:t>
      </w:r>
      <w:r w:rsidR="00F373A3" w:rsidRPr="00181FCD">
        <w:t xml:space="preserve"> </w:t>
      </w:r>
      <w:r w:rsidRPr="00181FCD">
        <w:t>para</w:t>
      </w:r>
      <w:r w:rsidR="00F373A3" w:rsidRPr="00181FCD">
        <w:t xml:space="preserve"> </w:t>
      </w:r>
      <w:r w:rsidRPr="00181FCD">
        <w:t>este</w:t>
      </w:r>
      <w:r w:rsidR="00F373A3" w:rsidRPr="00181FCD">
        <w:t xml:space="preserve"> </w:t>
      </w:r>
      <w:r w:rsidRPr="00181FCD">
        <w:t>fin,</w:t>
      </w:r>
      <w:r w:rsidR="00F373A3" w:rsidRPr="00181FCD">
        <w:t xml:space="preserve"> </w:t>
      </w:r>
      <w:r w:rsidRPr="00181FCD">
        <w:t>con</w:t>
      </w:r>
      <w:r w:rsidR="00F373A3" w:rsidRPr="00181FCD">
        <w:t xml:space="preserve"> </w:t>
      </w:r>
      <w:r w:rsidRPr="00181FCD">
        <w:t>un</w:t>
      </w:r>
      <w:r w:rsidR="00F373A3" w:rsidRPr="00181FCD">
        <w:t xml:space="preserve"> </w:t>
      </w:r>
      <w:r w:rsidRPr="00181FCD">
        <w:t>acceso</w:t>
      </w:r>
      <w:r w:rsidR="00F373A3" w:rsidRPr="00181FCD">
        <w:t xml:space="preserve"> </w:t>
      </w:r>
      <w:r w:rsidRPr="00181FCD">
        <w:t>más</w:t>
      </w:r>
      <w:r w:rsidR="00F373A3" w:rsidRPr="00181FCD">
        <w:t xml:space="preserve"> </w:t>
      </w:r>
      <w:r w:rsidRPr="00181FCD">
        <w:t>fácil</w:t>
      </w:r>
      <w:r w:rsidR="00F373A3" w:rsidRPr="00181FCD">
        <w:t xml:space="preserve"> </w:t>
      </w:r>
      <w:r w:rsidRPr="00181FCD">
        <w:t>y</w:t>
      </w:r>
      <w:r w:rsidR="00F373A3" w:rsidRPr="00181FCD">
        <w:t xml:space="preserve"> </w:t>
      </w:r>
      <w:r w:rsidRPr="00181FCD">
        <w:t>una</w:t>
      </w:r>
      <w:r w:rsidR="00F373A3" w:rsidRPr="00181FCD">
        <w:t xml:space="preserve"> </w:t>
      </w:r>
      <w:r w:rsidRPr="00181FCD">
        <w:t>mejor</w:t>
      </w:r>
      <w:r w:rsidR="00F373A3" w:rsidRPr="00181FCD">
        <w:t xml:space="preserve"> </w:t>
      </w:r>
      <w:r w:rsidRPr="00181FCD">
        <w:t>comunicación,</w:t>
      </w:r>
      <w:r w:rsidR="00F373A3" w:rsidRPr="00181FCD">
        <w:t xml:space="preserve"> </w:t>
      </w:r>
      <w:r w:rsidRPr="00181FCD">
        <w:t>se</w:t>
      </w:r>
      <w:r w:rsidR="00F373A3" w:rsidRPr="00181FCD">
        <w:t xml:space="preserve"> </w:t>
      </w:r>
      <w:r w:rsidRPr="00181FCD">
        <w:t>están</w:t>
      </w:r>
      <w:r w:rsidR="00F373A3" w:rsidRPr="00181FCD">
        <w:t xml:space="preserve"> </w:t>
      </w:r>
      <w:r w:rsidRPr="00181FCD">
        <w:t>llevando</w:t>
      </w:r>
      <w:r w:rsidR="00F373A3" w:rsidRPr="00181FCD">
        <w:t xml:space="preserve"> </w:t>
      </w:r>
      <w:r w:rsidRPr="00181FCD">
        <w:t>a</w:t>
      </w:r>
      <w:r w:rsidR="00F373A3" w:rsidRPr="00181FCD">
        <w:t xml:space="preserve"> </w:t>
      </w:r>
      <w:r w:rsidRPr="00181FCD">
        <w:t>cabo</w:t>
      </w:r>
      <w:r w:rsidR="00F373A3" w:rsidRPr="00181FCD">
        <w:t xml:space="preserve"> </w:t>
      </w:r>
      <w:r w:rsidRPr="00181FCD">
        <w:t>trabajos</w:t>
      </w:r>
      <w:r w:rsidR="00F373A3" w:rsidRPr="00181FCD">
        <w:t xml:space="preserve"> </w:t>
      </w:r>
      <w:r w:rsidRPr="00181FCD">
        <w:t>de</w:t>
      </w:r>
      <w:r w:rsidR="00F373A3" w:rsidRPr="00181FCD">
        <w:t xml:space="preserve"> </w:t>
      </w:r>
      <w:r w:rsidRPr="00181FCD">
        <w:t>diseño</w:t>
      </w:r>
      <w:r w:rsidR="00F373A3" w:rsidRPr="00181FCD">
        <w:t xml:space="preserve"> </w:t>
      </w:r>
      <w:r w:rsidRPr="00181FCD">
        <w:t>y</w:t>
      </w:r>
      <w:r w:rsidR="00F373A3" w:rsidRPr="00181FCD">
        <w:t xml:space="preserve"> </w:t>
      </w:r>
      <w:r w:rsidRPr="00181FCD">
        <w:t>reparación</w:t>
      </w:r>
      <w:r w:rsidR="00F373A3" w:rsidRPr="00181FCD">
        <w:t xml:space="preserve"> </w:t>
      </w:r>
      <w:r w:rsidRPr="00181FCD">
        <w:t>en</w:t>
      </w:r>
      <w:r w:rsidR="00F373A3" w:rsidRPr="00181FCD">
        <w:t xml:space="preserve"> </w:t>
      </w:r>
      <w:r w:rsidRPr="00181FCD">
        <w:t>un</w:t>
      </w:r>
      <w:r w:rsidR="00F373A3" w:rsidRPr="00181FCD">
        <w:t xml:space="preserve"> </w:t>
      </w:r>
      <w:r w:rsidRPr="00181FCD">
        <w:t>edificio</w:t>
      </w:r>
      <w:r w:rsidR="00F373A3" w:rsidRPr="00181FCD">
        <w:t xml:space="preserve"> </w:t>
      </w:r>
      <w:r w:rsidRPr="00181FCD">
        <w:t>de</w:t>
      </w:r>
      <w:r w:rsidR="00F373A3" w:rsidRPr="00181FCD">
        <w:t xml:space="preserve"> </w:t>
      </w:r>
      <w:r w:rsidRPr="00181FCD">
        <w:t>la</w:t>
      </w:r>
      <w:r w:rsidR="00F373A3" w:rsidRPr="00181FCD">
        <w:t xml:space="preserve"> </w:t>
      </w:r>
      <w:r w:rsidRPr="00181FCD">
        <w:t>ciudad</w:t>
      </w:r>
      <w:r w:rsidR="00F373A3" w:rsidRPr="00181FCD">
        <w:t xml:space="preserve"> </w:t>
      </w:r>
      <w:r w:rsidRPr="00181FCD">
        <w:t>de</w:t>
      </w:r>
      <w:r w:rsidR="00F373A3" w:rsidRPr="00181FCD">
        <w:t xml:space="preserve"> </w:t>
      </w:r>
      <w:r w:rsidRPr="00181FCD">
        <w:t>Vratsa,</w:t>
      </w:r>
      <w:r w:rsidR="00F373A3" w:rsidRPr="00181FCD">
        <w:t xml:space="preserve"> </w:t>
      </w:r>
      <w:r w:rsidRPr="00181FCD">
        <w:t>con</w:t>
      </w:r>
      <w:r w:rsidR="00F373A3" w:rsidRPr="00181FCD">
        <w:t xml:space="preserve"> </w:t>
      </w:r>
      <w:r w:rsidRPr="00181FCD">
        <w:t>el</w:t>
      </w:r>
      <w:r w:rsidR="00F373A3" w:rsidRPr="00181FCD">
        <w:t xml:space="preserve"> </w:t>
      </w:r>
      <w:r w:rsidRPr="00181FCD">
        <w:t>fin</w:t>
      </w:r>
      <w:r w:rsidR="00F373A3" w:rsidRPr="00181FCD">
        <w:t xml:space="preserve"> </w:t>
      </w:r>
      <w:r w:rsidRPr="00181FCD">
        <w:t>de</w:t>
      </w:r>
      <w:r w:rsidR="00F373A3" w:rsidRPr="00181FCD">
        <w:t xml:space="preserve"> </w:t>
      </w:r>
      <w:r w:rsidRPr="00181FCD">
        <w:t>reorganizarlo</w:t>
      </w:r>
      <w:r w:rsidR="00F373A3" w:rsidRPr="00181FCD">
        <w:t xml:space="preserve"> </w:t>
      </w:r>
      <w:r w:rsidRPr="00181FCD">
        <w:t>y</w:t>
      </w:r>
      <w:r w:rsidR="00F373A3" w:rsidRPr="00181FCD">
        <w:t xml:space="preserve"> </w:t>
      </w:r>
      <w:r w:rsidRPr="00181FCD">
        <w:t>adaptarlo</w:t>
      </w:r>
      <w:r w:rsidR="00F373A3" w:rsidRPr="00181FCD">
        <w:t xml:space="preserve"> </w:t>
      </w:r>
      <w:r w:rsidRPr="00181FCD">
        <w:t>a</w:t>
      </w:r>
      <w:r w:rsidR="00F373A3" w:rsidRPr="00181FCD">
        <w:t xml:space="preserve"> </w:t>
      </w:r>
      <w:r w:rsidRPr="00181FCD">
        <w:t>las</w:t>
      </w:r>
      <w:r w:rsidR="00F373A3" w:rsidRPr="00181FCD">
        <w:t xml:space="preserve"> </w:t>
      </w:r>
      <w:r w:rsidRPr="00181FCD">
        <w:t>necesidades</w:t>
      </w:r>
      <w:r w:rsidR="00F373A3" w:rsidRPr="00181FCD">
        <w:t xml:space="preserve"> </w:t>
      </w:r>
      <w:r w:rsidRPr="00181FCD">
        <w:t>de</w:t>
      </w:r>
      <w:r w:rsidR="00F373A3" w:rsidRPr="00181FCD">
        <w:t xml:space="preserve"> </w:t>
      </w:r>
      <w:r w:rsidRPr="00181FCD">
        <w:t>un</w:t>
      </w:r>
      <w:r w:rsidR="00F373A3" w:rsidRPr="00181FCD">
        <w:t xml:space="preserve"> </w:t>
      </w:r>
      <w:r w:rsidRPr="00181FCD">
        <w:t>hogar</w:t>
      </w:r>
      <w:r w:rsidR="00F373A3" w:rsidRPr="00181FCD">
        <w:t xml:space="preserve"> </w:t>
      </w:r>
      <w:r w:rsidRPr="00181FCD">
        <w:t>correccional.</w:t>
      </w:r>
      <w:r w:rsidR="00F373A3" w:rsidRPr="00181FCD">
        <w:t xml:space="preserve"> </w:t>
      </w:r>
      <w:r w:rsidRPr="00181FCD">
        <w:t>El</w:t>
      </w:r>
      <w:r w:rsidR="00F373A3" w:rsidRPr="00181FCD">
        <w:t xml:space="preserve"> </w:t>
      </w:r>
      <w:r w:rsidRPr="00181FCD">
        <w:t>proyecto</w:t>
      </w:r>
      <w:r w:rsidR="00F373A3" w:rsidRPr="00181FCD">
        <w:t xml:space="preserve"> </w:t>
      </w:r>
      <w:r w:rsidRPr="00181FCD">
        <w:t>está</w:t>
      </w:r>
      <w:r w:rsidR="00F373A3" w:rsidRPr="00181FCD">
        <w:t xml:space="preserve"> </w:t>
      </w:r>
      <w:r w:rsidRPr="00181FCD">
        <w:t>preparado</w:t>
      </w:r>
      <w:r w:rsidR="00F373A3" w:rsidRPr="00181FCD">
        <w:t xml:space="preserve"> </w:t>
      </w:r>
      <w:r w:rsidRPr="00181FCD">
        <w:t>y</w:t>
      </w:r>
      <w:r w:rsidR="00F373A3" w:rsidRPr="00181FCD">
        <w:t xml:space="preserve"> </w:t>
      </w:r>
      <w:r w:rsidRPr="00181FCD">
        <w:t>pendiente</w:t>
      </w:r>
      <w:r w:rsidR="00F373A3" w:rsidRPr="00181FCD">
        <w:t xml:space="preserve"> </w:t>
      </w:r>
      <w:r w:rsidRPr="00181FCD">
        <w:t>de</w:t>
      </w:r>
      <w:r w:rsidR="00F373A3" w:rsidRPr="00181FCD">
        <w:t xml:space="preserve"> </w:t>
      </w:r>
      <w:r w:rsidRPr="00181FCD">
        <w:t>aprobación</w:t>
      </w:r>
      <w:r w:rsidR="00F373A3" w:rsidRPr="00181FCD">
        <w:t xml:space="preserve"> </w:t>
      </w:r>
      <w:r w:rsidRPr="00181FCD">
        <w:t>de</w:t>
      </w:r>
      <w:r w:rsidR="00F373A3" w:rsidRPr="00181FCD">
        <w:t xml:space="preserve"> </w:t>
      </w:r>
      <w:r w:rsidRPr="00181FCD">
        <w:t>conformidad</w:t>
      </w:r>
      <w:r w:rsidR="00F373A3" w:rsidRPr="00181FCD">
        <w:t xml:space="preserve"> </w:t>
      </w:r>
      <w:r w:rsidRPr="00181FCD">
        <w:t>con</w:t>
      </w:r>
      <w:r w:rsidR="00F373A3" w:rsidRPr="00181FCD">
        <w:t xml:space="preserve"> </w:t>
      </w:r>
      <w:r w:rsidRPr="00181FCD">
        <w:t>la</w:t>
      </w:r>
      <w:r w:rsidR="00F373A3" w:rsidRPr="00181FCD">
        <w:t xml:space="preserve"> </w:t>
      </w:r>
      <w:r w:rsidRPr="00181FCD">
        <w:t>legislación</w:t>
      </w:r>
      <w:r w:rsidR="00F373A3" w:rsidRPr="00181FCD">
        <w:t xml:space="preserve"> </w:t>
      </w:r>
      <w:r w:rsidRPr="00181FCD">
        <w:t>búlgara.</w:t>
      </w:r>
      <w:r w:rsidR="00F373A3" w:rsidRPr="00181FCD">
        <w:t xml:space="preserve"> </w:t>
      </w:r>
      <w:r w:rsidRPr="00181FCD">
        <w:t>Después</w:t>
      </w:r>
      <w:r w:rsidR="00F373A3" w:rsidRPr="00181FCD">
        <w:t xml:space="preserve"> </w:t>
      </w:r>
      <w:r w:rsidRPr="00181FCD">
        <w:t>del</w:t>
      </w:r>
      <w:r w:rsidR="00F373A3" w:rsidRPr="00181FCD">
        <w:t xml:space="preserve"> </w:t>
      </w:r>
      <w:r w:rsidRPr="00181FCD">
        <w:t>traslado</w:t>
      </w:r>
      <w:r w:rsidR="00F373A3" w:rsidRPr="00181FCD">
        <w:t xml:space="preserve"> </w:t>
      </w:r>
      <w:r w:rsidRPr="00181FCD">
        <w:t>del</w:t>
      </w:r>
      <w:r w:rsidR="00F373A3" w:rsidRPr="00181FCD">
        <w:t xml:space="preserve"> </w:t>
      </w:r>
      <w:r w:rsidRPr="00181FCD">
        <w:t>hogar</w:t>
      </w:r>
      <w:r w:rsidR="00F373A3" w:rsidRPr="00181FCD">
        <w:t xml:space="preserve"> </w:t>
      </w:r>
      <w:r w:rsidRPr="00181FCD">
        <w:t>correccional</w:t>
      </w:r>
      <w:r w:rsidR="00F373A3" w:rsidRPr="00181FCD">
        <w:t xml:space="preserve"> </w:t>
      </w:r>
      <w:r w:rsidRPr="00181FCD">
        <w:t>a</w:t>
      </w:r>
      <w:r w:rsidR="00F373A3" w:rsidRPr="00181FCD">
        <w:t xml:space="preserve"> </w:t>
      </w:r>
      <w:r w:rsidRPr="00181FCD">
        <w:t>Vratsa,</w:t>
      </w:r>
      <w:r w:rsidR="00F373A3" w:rsidRPr="00181FCD">
        <w:t xml:space="preserve"> </w:t>
      </w:r>
      <w:r w:rsidRPr="00181FCD">
        <w:t>se</w:t>
      </w:r>
      <w:r w:rsidR="00F373A3" w:rsidRPr="00181FCD">
        <w:t xml:space="preserve"> </w:t>
      </w:r>
      <w:r w:rsidRPr="00181FCD">
        <w:t>abrirá</w:t>
      </w:r>
      <w:r w:rsidR="00F373A3" w:rsidRPr="00181FCD">
        <w:t xml:space="preserve"> </w:t>
      </w:r>
      <w:r w:rsidRPr="00181FCD">
        <w:t>una</w:t>
      </w:r>
      <w:r w:rsidR="00F373A3" w:rsidRPr="00181FCD">
        <w:t xml:space="preserve"> </w:t>
      </w:r>
      <w:r w:rsidRPr="00181FCD">
        <w:t>prisión</w:t>
      </w:r>
      <w:r w:rsidR="00F373A3" w:rsidRPr="00181FCD">
        <w:t xml:space="preserve"> </w:t>
      </w:r>
      <w:r w:rsidRPr="00181FCD">
        <w:t>albergue</w:t>
      </w:r>
      <w:r w:rsidR="00F373A3" w:rsidRPr="00181FCD">
        <w:t xml:space="preserve"> </w:t>
      </w:r>
      <w:r w:rsidRPr="00181FCD">
        <w:t>de</w:t>
      </w:r>
      <w:r w:rsidR="00F373A3" w:rsidRPr="00181FCD">
        <w:t xml:space="preserve"> </w:t>
      </w:r>
      <w:r w:rsidRPr="00181FCD">
        <w:t>régimen</w:t>
      </w:r>
      <w:r w:rsidR="00F373A3" w:rsidRPr="00181FCD">
        <w:t xml:space="preserve"> </w:t>
      </w:r>
      <w:r w:rsidRPr="00181FCD">
        <w:t>cerrado</w:t>
      </w:r>
      <w:r w:rsidR="00F373A3" w:rsidRPr="00181FCD">
        <w:t xml:space="preserve"> </w:t>
      </w:r>
      <w:r w:rsidRPr="00181FCD">
        <w:t>en</w:t>
      </w:r>
      <w:r w:rsidR="00F373A3" w:rsidRPr="00181FCD">
        <w:t xml:space="preserve"> </w:t>
      </w:r>
      <w:r w:rsidRPr="00181FCD">
        <w:t>Boychinovtsi.</w:t>
      </w:r>
      <w:r w:rsidR="00F373A3" w:rsidRPr="00181FCD">
        <w:t xml:space="preserve"> </w:t>
      </w:r>
      <w:r w:rsidRPr="00181FCD">
        <w:t>De</w:t>
      </w:r>
      <w:r w:rsidR="00F373A3" w:rsidRPr="00181FCD">
        <w:t xml:space="preserve"> </w:t>
      </w:r>
      <w:r w:rsidRPr="00181FCD">
        <w:t>este</w:t>
      </w:r>
      <w:r w:rsidR="00F373A3" w:rsidRPr="00181FCD">
        <w:t xml:space="preserve"> </w:t>
      </w:r>
      <w:r w:rsidRPr="00181FCD">
        <w:t>modo</w:t>
      </w:r>
      <w:r w:rsidR="00F373A3" w:rsidRPr="00181FCD">
        <w:t xml:space="preserve"> </w:t>
      </w:r>
      <w:r w:rsidRPr="00181FCD">
        <w:t>se</w:t>
      </w:r>
      <w:r w:rsidR="00F373A3" w:rsidRPr="00181FCD">
        <w:t xml:space="preserve"> </w:t>
      </w:r>
      <w:r w:rsidRPr="00181FCD">
        <w:t>disminuirá</w:t>
      </w:r>
      <w:r w:rsidR="00F373A3" w:rsidRPr="00181FCD">
        <w:t xml:space="preserve"> </w:t>
      </w:r>
      <w:r w:rsidRPr="00181FCD">
        <w:t>el</w:t>
      </w:r>
      <w:r w:rsidR="00F373A3" w:rsidRPr="00181FCD">
        <w:t xml:space="preserve"> </w:t>
      </w:r>
      <w:r w:rsidRPr="00181FCD">
        <w:t>hacinamiento</w:t>
      </w:r>
      <w:r w:rsidR="00F373A3" w:rsidRPr="00181FCD">
        <w:t xml:space="preserve"> </w:t>
      </w:r>
      <w:r w:rsidRPr="00181FCD">
        <w:t>en</w:t>
      </w:r>
      <w:r w:rsidR="00F373A3" w:rsidRPr="00181FCD">
        <w:t xml:space="preserve"> </w:t>
      </w:r>
      <w:r w:rsidRPr="00181FCD">
        <w:t>los</w:t>
      </w:r>
      <w:r w:rsidR="00F373A3" w:rsidRPr="00181FCD">
        <w:t xml:space="preserve"> </w:t>
      </w:r>
      <w:r w:rsidRPr="00181FCD">
        <w:t>centros</w:t>
      </w:r>
      <w:r w:rsidR="00F373A3" w:rsidRPr="00181FCD">
        <w:t xml:space="preserve"> </w:t>
      </w:r>
      <w:r w:rsidRPr="00181FCD">
        <w:t>de</w:t>
      </w:r>
      <w:r w:rsidR="00F373A3" w:rsidRPr="00181FCD">
        <w:t xml:space="preserve"> </w:t>
      </w:r>
      <w:r w:rsidRPr="00181FCD">
        <w:t>régimen</w:t>
      </w:r>
      <w:r w:rsidR="00F373A3" w:rsidRPr="00181FCD">
        <w:t xml:space="preserve"> </w:t>
      </w:r>
      <w:r w:rsidRPr="00181FCD">
        <w:t>cerrado</w:t>
      </w:r>
      <w:r w:rsidR="00F373A3" w:rsidRPr="00181FCD">
        <w:t xml:space="preserve"> </w:t>
      </w:r>
      <w:r w:rsidRPr="00181FCD">
        <w:t>de</w:t>
      </w:r>
      <w:r w:rsidR="00F373A3" w:rsidRPr="00181FCD">
        <w:t xml:space="preserve"> </w:t>
      </w:r>
      <w:r w:rsidRPr="00181FCD">
        <w:t>todo</w:t>
      </w:r>
      <w:r w:rsidR="00F373A3" w:rsidRPr="00181FCD">
        <w:t xml:space="preserve"> </w:t>
      </w:r>
      <w:r w:rsidRPr="00181FCD">
        <w:t>el</w:t>
      </w:r>
      <w:r w:rsidR="00F373A3" w:rsidRPr="00181FCD">
        <w:t xml:space="preserve"> </w:t>
      </w:r>
      <w:r w:rsidRPr="00181FCD">
        <w:t>país.</w:t>
      </w:r>
    </w:p>
    <w:p w:rsidR="001937F4" w:rsidRPr="00181FCD" w:rsidRDefault="00E924E7" w:rsidP="00E924E7">
      <w:pPr>
        <w:pStyle w:val="H23G"/>
        <w:jc w:val="both"/>
      </w:pPr>
      <w:r w:rsidRPr="00181FCD">
        <w:tab/>
      </w:r>
      <w:r w:rsidR="001937F4" w:rsidRPr="00181FCD">
        <w:t>f)</w:t>
      </w:r>
      <w:r w:rsidR="001937F4" w:rsidRPr="00181FCD">
        <w:tab/>
        <w:t>En</w:t>
      </w:r>
      <w:r w:rsidR="00F373A3" w:rsidRPr="00181FCD">
        <w:t xml:space="preserve"> </w:t>
      </w:r>
      <w:r w:rsidR="001937F4" w:rsidRPr="00181FCD">
        <w:t>relación</w:t>
      </w:r>
      <w:r w:rsidR="00F373A3" w:rsidRPr="00181FCD">
        <w:t xml:space="preserve"> </w:t>
      </w:r>
      <w:r w:rsidR="001937F4" w:rsidRPr="00181FCD">
        <w:t>con</w:t>
      </w:r>
      <w:r w:rsidR="00F373A3" w:rsidRPr="00181FCD">
        <w:t xml:space="preserve"> </w:t>
      </w:r>
      <w:r w:rsidR="001937F4" w:rsidRPr="00181FCD">
        <w:t>la</w:t>
      </w:r>
      <w:r w:rsidR="00F373A3" w:rsidRPr="00181FCD">
        <w:t xml:space="preserve"> </w:t>
      </w:r>
      <w:r w:rsidR="001937F4" w:rsidRPr="00181FCD">
        <w:t>prestación</w:t>
      </w:r>
      <w:r w:rsidR="00F373A3" w:rsidRPr="00181FCD">
        <w:t xml:space="preserve"> </w:t>
      </w:r>
      <w:r w:rsidR="001937F4" w:rsidRPr="00181FCD">
        <w:t>de</w:t>
      </w:r>
      <w:r w:rsidR="00F373A3" w:rsidRPr="00181FCD">
        <w:t xml:space="preserve"> </w:t>
      </w:r>
      <w:r w:rsidR="001937F4" w:rsidRPr="00181FCD">
        <w:t>servicios</w:t>
      </w:r>
      <w:r w:rsidR="00F373A3" w:rsidRPr="00181FCD">
        <w:t xml:space="preserve"> </w:t>
      </w:r>
      <w:r w:rsidR="001937F4" w:rsidRPr="00181FCD">
        <w:t>médicos</w:t>
      </w:r>
      <w:r w:rsidR="00F373A3" w:rsidRPr="00181FCD">
        <w:t xml:space="preserve"> </w:t>
      </w:r>
      <w:r w:rsidR="001937F4" w:rsidRPr="00181FCD">
        <w:t>a</w:t>
      </w:r>
      <w:r w:rsidR="00F373A3" w:rsidRPr="00181FCD">
        <w:t xml:space="preserve"> </w:t>
      </w:r>
      <w:r w:rsidR="001937F4" w:rsidRPr="00181FCD">
        <w:t>los</w:t>
      </w:r>
      <w:r w:rsidR="00F373A3" w:rsidRPr="00181FCD">
        <w:t xml:space="preserve"> </w:t>
      </w:r>
      <w:r w:rsidR="001937F4" w:rsidRPr="00181FCD">
        <w:t>reclusos</w:t>
      </w:r>
      <w:r w:rsidR="00F373A3" w:rsidRPr="00181FCD">
        <w:t xml:space="preserve"> </w:t>
      </w:r>
      <w:r w:rsidR="001937F4" w:rsidRPr="00181FCD">
        <w:t>y</w:t>
      </w:r>
      <w:r w:rsidR="00F373A3" w:rsidRPr="00181FCD">
        <w:t xml:space="preserve"> </w:t>
      </w:r>
      <w:r w:rsidR="001937F4" w:rsidRPr="00181FCD">
        <w:t>los</w:t>
      </w:r>
      <w:r w:rsidR="00F373A3" w:rsidRPr="00181FCD">
        <w:t xml:space="preserve"> </w:t>
      </w:r>
      <w:r w:rsidR="001937F4" w:rsidRPr="00181FCD">
        <w:t>detenidos,</w:t>
      </w:r>
      <w:r w:rsidR="00F373A3" w:rsidRPr="00181FCD">
        <w:t xml:space="preserve"> </w:t>
      </w:r>
      <w:r w:rsidR="001937F4" w:rsidRPr="00181FCD">
        <w:t>se</w:t>
      </w:r>
      <w:r w:rsidR="00F373A3" w:rsidRPr="00181FCD">
        <w:t xml:space="preserve"> </w:t>
      </w:r>
      <w:r w:rsidR="001937F4" w:rsidRPr="00181FCD">
        <w:t>han</w:t>
      </w:r>
      <w:r w:rsidR="00F373A3" w:rsidRPr="00181FCD">
        <w:t xml:space="preserve"> </w:t>
      </w:r>
      <w:r w:rsidR="001937F4" w:rsidRPr="00181FCD">
        <w:t>contratado</w:t>
      </w:r>
      <w:r w:rsidR="00F373A3" w:rsidRPr="00181FCD">
        <w:t xml:space="preserve"> </w:t>
      </w:r>
      <w:r w:rsidR="001937F4" w:rsidRPr="00181FCD">
        <w:t>profesionales</w:t>
      </w:r>
      <w:r w:rsidR="00F373A3" w:rsidRPr="00181FCD">
        <w:t xml:space="preserve"> </w:t>
      </w:r>
      <w:r w:rsidR="001937F4" w:rsidRPr="00181FCD">
        <w:t>médicos</w:t>
      </w:r>
      <w:r w:rsidR="00F373A3" w:rsidRPr="00181FCD">
        <w:t xml:space="preserve"> </w:t>
      </w:r>
      <w:r w:rsidR="001937F4" w:rsidRPr="00181FCD">
        <w:t>en</w:t>
      </w:r>
      <w:r w:rsidR="00F373A3" w:rsidRPr="00181FCD">
        <w:t xml:space="preserve"> </w:t>
      </w:r>
      <w:r w:rsidR="001937F4" w:rsidRPr="00181FCD">
        <w:t>las</w:t>
      </w:r>
      <w:r w:rsidR="00F373A3" w:rsidRPr="00181FCD">
        <w:t xml:space="preserve"> </w:t>
      </w:r>
      <w:r w:rsidR="001937F4" w:rsidRPr="00181FCD">
        <w:t>respectivas</w:t>
      </w:r>
      <w:r w:rsidR="00F373A3" w:rsidRPr="00181FCD">
        <w:t xml:space="preserve"> </w:t>
      </w:r>
      <w:r w:rsidR="001937F4" w:rsidRPr="00181FCD">
        <w:t>unidades</w:t>
      </w:r>
      <w:r w:rsidR="00F373A3" w:rsidRPr="00181FCD">
        <w:t xml:space="preserve"> </w:t>
      </w:r>
      <w:r w:rsidR="001937F4" w:rsidRPr="00181FCD">
        <w:t>territoriales.</w:t>
      </w:r>
      <w:r w:rsidR="00F373A3" w:rsidRPr="00181FCD">
        <w:t xml:space="preserve"> </w:t>
      </w:r>
      <w:r w:rsidR="001937F4" w:rsidRPr="00181FCD">
        <w:t>Los</w:t>
      </w:r>
      <w:r w:rsidR="00F373A3" w:rsidRPr="00181FCD">
        <w:t xml:space="preserve"> </w:t>
      </w:r>
      <w:r w:rsidR="001937F4" w:rsidRPr="00181FCD">
        <w:t>especialistas</w:t>
      </w:r>
      <w:r w:rsidR="00F373A3" w:rsidRPr="00181FCD">
        <w:t xml:space="preserve"> </w:t>
      </w:r>
      <w:r w:rsidR="001937F4" w:rsidRPr="00181FCD">
        <w:t>externos,</w:t>
      </w:r>
      <w:r w:rsidR="00F373A3" w:rsidRPr="00181FCD">
        <w:t xml:space="preserve"> </w:t>
      </w:r>
      <w:r w:rsidR="001937F4" w:rsidRPr="00181FCD">
        <w:t>incorporados</w:t>
      </w:r>
      <w:r w:rsidR="00F373A3" w:rsidRPr="00181FCD">
        <w:t xml:space="preserve"> </w:t>
      </w:r>
      <w:r w:rsidR="001937F4" w:rsidRPr="00181FCD">
        <w:t>mediante</w:t>
      </w:r>
      <w:r w:rsidR="00F373A3" w:rsidRPr="00181FCD">
        <w:t xml:space="preserve"> </w:t>
      </w:r>
      <w:r w:rsidR="001937F4" w:rsidRPr="00181FCD">
        <w:t>contratos</w:t>
      </w:r>
      <w:r w:rsidR="00F373A3" w:rsidRPr="00181FCD">
        <w:t xml:space="preserve"> </w:t>
      </w:r>
      <w:r w:rsidR="001937F4" w:rsidRPr="00181FCD">
        <w:t>a</w:t>
      </w:r>
      <w:r w:rsidR="00F373A3" w:rsidRPr="00181FCD">
        <w:t xml:space="preserve"> </w:t>
      </w:r>
      <w:r w:rsidR="001937F4" w:rsidRPr="00181FCD">
        <w:t>tiempo</w:t>
      </w:r>
      <w:r w:rsidR="00F373A3" w:rsidRPr="00181FCD">
        <w:t xml:space="preserve"> </w:t>
      </w:r>
      <w:r w:rsidR="001937F4" w:rsidRPr="00181FCD">
        <w:t>parcial</w:t>
      </w:r>
      <w:r w:rsidR="00F373A3" w:rsidRPr="00181FCD">
        <w:t xml:space="preserve"> </w:t>
      </w:r>
      <w:r w:rsidR="001937F4" w:rsidRPr="00181FCD">
        <w:t>o</w:t>
      </w:r>
      <w:r w:rsidR="00F373A3" w:rsidRPr="00181FCD">
        <w:t xml:space="preserve"> </w:t>
      </w:r>
      <w:r w:rsidR="001937F4" w:rsidRPr="00181FCD">
        <w:t>de</w:t>
      </w:r>
      <w:r w:rsidR="00F373A3" w:rsidRPr="00181FCD">
        <w:t xml:space="preserve"> </w:t>
      </w:r>
      <w:r w:rsidR="001937F4" w:rsidRPr="00181FCD">
        <w:t>acuerdo</w:t>
      </w:r>
      <w:r w:rsidR="00F373A3" w:rsidRPr="00181FCD">
        <w:t xml:space="preserve"> </w:t>
      </w:r>
      <w:r w:rsidR="001937F4" w:rsidRPr="00181FCD">
        <w:t>con</w:t>
      </w:r>
      <w:r w:rsidR="00F373A3" w:rsidRPr="00181FCD">
        <w:t xml:space="preserve"> </w:t>
      </w:r>
      <w:r w:rsidR="001937F4" w:rsidRPr="00181FCD">
        <w:t>el</w:t>
      </w:r>
      <w:r w:rsidR="00F373A3" w:rsidRPr="00181FCD">
        <w:t xml:space="preserve"> </w:t>
      </w:r>
      <w:r w:rsidR="001937F4" w:rsidRPr="00181FCD">
        <w:t>contrato</w:t>
      </w:r>
      <w:r w:rsidR="00F373A3" w:rsidRPr="00181FCD">
        <w:t xml:space="preserve"> </w:t>
      </w:r>
      <w:r w:rsidR="001937F4" w:rsidRPr="00181FCD">
        <w:t>marco</w:t>
      </w:r>
      <w:r w:rsidR="00F373A3" w:rsidRPr="00181FCD">
        <w:t xml:space="preserve"> </w:t>
      </w:r>
      <w:r w:rsidR="001937F4" w:rsidRPr="00181FCD">
        <w:t>nacional,</w:t>
      </w:r>
      <w:r w:rsidR="00F373A3" w:rsidRPr="00181FCD">
        <w:t xml:space="preserve"> </w:t>
      </w:r>
      <w:r w:rsidR="001937F4" w:rsidRPr="00181FCD">
        <w:t>deberán</w:t>
      </w:r>
      <w:r w:rsidR="00F373A3" w:rsidRPr="00181FCD">
        <w:t xml:space="preserve"> </w:t>
      </w:r>
      <w:r w:rsidR="001937F4" w:rsidRPr="00181FCD">
        <w:t>prestar</w:t>
      </w:r>
      <w:r w:rsidR="00F373A3" w:rsidRPr="00181FCD">
        <w:t xml:space="preserve"> </w:t>
      </w:r>
      <w:r w:rsidR="001937F4" w:rsidRPr="00181FCD">
        <w:t>servicios</w:t>
      </w:r>
      <w:r w:rsidR="00F373A3" w:rsidRPr="00181FCD">
        <w:t xml:space="preserve"> </w:t>
      </w:r>
      <w:r w:rsidR="001937F4" w:rsidRPr="00181FCD">
        <w:t>médicos</w:t>
      </w:r>
      <w:r w:rsidR="00F373A3" w:rsidRPr="00181FCD">
        <w:t xml:space="preserve"> </w:t>
      </w:r>
      <w:r w:rsidR="001937F4" w:rsidRPr="00181FCD">
        <w:t>de</w:t>
      </w:r>
      <w:r w:rsidR="00F373A3" w:rsidRPr="00181FCD">
        <w:t xml:space="preserve"> </w:t>
      </w:r>
      <w:r w:rsidR="001937F4" w:rsidRPr="00181FCD">
        <w:t>atención</w:t>
      </w:r>
      <w:r w:rsidR="00F373A3" w:rsidRPr="00181FCD">
        <w:t xml:space="preserve"> </w:t>
      </w:r>
      <w:r w:rsidR="001937F4" w:rsidRPr="00181FCD">
        <w:t>psiquiátrica</w:t>
      </w:r>
      <w:r w:rsidR="00F373A3" w:rsidRPr="00181FCD">
        <w:t xml:space="preserve"> </w:t>
      </w:r>
      <w:r w:rsidR="001937F4" w:rsidRPr="00181FCD">
        <w:t>y</w:t>
      </w:r>
      <w:r w:rsidR="00F373A3" w:rsidRPr="00181FCD">
        <w:t xml:space="preserve"> </w:t>
      </w:r>
      <w:r w:rsidR="001937F4" w:rsidRPr="00181FCD">
        <w:t>odontológica.</w:t>
      </w:r>
      <w:r w:rsidR="00F373A3" w:rsidRPr="00181FCD">
        <w:t xml:space="preserve"> </w:t>
      </w:r>
      <w:r w:rsidR="001937F4" w:rsidRPr="00181FCD">
        <w:t>Los</w:t>
      </w:r>
      <w:r w:rsidR="00F373A3" w:rsidRPr="00181FCD">
        <w:t xml:space="preserve"> </w:t>
      </w:r>
      <w:r w:rsidR="001937F4" w:rsidRPr="00181FCD">
        <w:t>cargos</w:t>
      </w:r>
      <w:r w:rsidR="00F373A3" w:rsidRPr="00181FCD">
        <w:t xml:space="preserve"> </w:t>
      </w:r>
      <w:r w:rsidR="001937F4" w:rsidRPr="00181FCD">
        <w:t>de</w:t>
      </w:r>
      <w:r w:rsidR="00F373A3" w:rsidRPr="00181FCD">
        <w:t xml:space="preserve"> </w:t>
      </w:r>
      <w:r w:rsidR="001937F4" w:rsidRPr="00181FCD">
        <w:t>personal</w:t>
      </w:r>
      <w:r w:rsidR="00F373A3" w:rsidRPr="00181FCD">
        <w:t xml:space="preserve"> </w:t>
      </w:r>
      <w:r w:rsidR="001937F4" w:rsidRPr="00181FCD">
        <w:t>médico</w:t>
      </w:r>
      <w:r w:rsidR="00F373A3" w:rsidRPr="00181FCD">
        <w:t xml:space="preserve"> </w:t>
      </w:r>
      <w:r w:rsidR="001937F4" w:rsidRPr="00181FCD">
        <w:t>penitenciario</w:t>
      </w:r>
      <w:r w:rsidR="00F373A3" w:rsidRPr="00181FCD">
        <w:t xml:space="preserve"> </w:t>
      </w:r>
      <w:r w:rsidR="001937F4" w:rsidRPr="00181FCD">
        <w:t>previamente</w:t>
      </w:r>
      <w:r w:rsidR="00F373A3" w:rsidRPr="00181FCD">
        <w:t xml:space="preserve"> </w:t>
      </w:r>
      <w:r w:rsidR="001937F4" w:rsidRPr="00181FCD">
        <w:t>vacantes</w:t>
      </w:r>
      <w:r w:rsidR="00F373A3" w:rsidRPr="00181FCD">
        <w:t xml:space="preserve"> </w:t>
      </w:r>
      <w:r w:rsidR="001937F4" w:rsidRPr="00181FCD">
        <w:t>están</w:t>
      </w:r>
      <w:r w:rsidR="00F373A3" w:rsidRPr="00181FCD">
        <w:t xml:space="preserve"> </w:t>
      </w:r>
      <w:r w:rsidR="001937F4" w:rsidRPr="00181FCD">
        <w:t>ocupados</w:t>
      </w:r>
      <w:r w:rsidR="00F373A3" w:rsidRPr="00181FCD">
        <w:t xml:space="preserve"> </w:t>
      </w:r>
      <w:r w:rsidR="001937F4" w:rsidRPr="00181FCD">
        <w:t>ahora</w:t>
      </w:r>
      <w:r w:rsidR="00F373A3" w:rsidRPr="00181FCD">
        <w:t xml:space="preserve"> </w:t>
      </w:r>
      <w:r w:rsidR="001937F4" w:rsidRPr="00181FCD">
        <w:t>por</w:t>
      </w:r>
      <w:r w:rsidR="00F373A3" w:rsidRPr="00181FCD">
        <w:t xml:space="preserve"> </w:t>
      </w:r>
      <w:r w:rsidR="001937F4" w:rsidRPr="00181FCD">
        <w:t>médicos</w:t>
      </w:r>
      <w:r w:rsidR="00F373A3" w:rsidRPr="00181FCD">
        <w:t xml:space="preserve"> </w:t>
      </w:r>
      <w:r w:rsidR="001937F4" w:rsidRPr="00181FCD">
        <w:t>de</w:t>
      </w:r>
      <w:r w:rsidR="00F373A3" w:rsidRPr="00181FCD">
        <w:t xml:space="preserve"> </w:t>
      </w:r>
      <w:r w:rsidR="001937F4" w:rsidRPr="00181FCD">
        <w:t>cabecera.</w:t>
      </w:r>
    </w:p>
    <w:p w:rsidR="001937F4" w:rsidRPr="00181FCD" w:rsidRDefault="00E924E7" w:rsidP="00E924E7">
      <w:pPr>
        <w:pStyle w:val="H23G"/>
      </w:pPr>
      <w:r w:rsidRPr="00181FCD">
        <w:tab/>
      </w:r>
      <w:r w:rsidRPr="00181FCD">
        <w:tab/>
      </w:r>
      <w:r w:rsidR="001937F4" w:rsidRPr="00181FCD">
        <w:t>Respuesta</w:t>
      </w:r>
      <w:r w:rsidR="00F373A3" w:rsidRPr="00181FCD">
        <w:t xml:space="preserve"> </w:t>
      </w:r>
      <w:r w:rsidR="001937F4" w:rsidRPr="00181FCD">
        <w:t>a</w:t>
      </w:r>
      <w:r w:rsidR="00F373A3" w:rsidRPr="00181FCD">
        <w:t xml:space="preserve"> </w:t>
      </w:r>
      <w:r w:rsidR="001937F4" w:rsidRPr="00181FCD">
        <w:t>las</w:t>
      </w:r>
      <w:r w:rsidR="00F373A3" w:rsidRPr="00181FCD">
        <w:t xml:space="preserve"> </w:t>
      </w:r>
      <w:r w:rsidR="001937F4" w:rsidRPr="00181FCD">
        <w:t>cuestiones</w:t>
      </w:r>
      <w:r w:rsidR="00F373A3" w:rsidRPr="00181FCD">
        <w:t xml:space="preserve"> </w:t>
      </w:r>
      <w:r w:rsidR="001937F4" w:rsidRPr="00181FCD">
        <w:t>planteadas</w:t>
      </w:r>
      <w:r w:rsidR="00F373A3" w:rsidRPr="00181FCD">
        <w:t xml:space="preserve"> </w:t>
      </w:r>
      <w:r w:rsidR="001937F4" w:rsidRPr="00181FCD">
        <w:t>en</w:t>
      </w:r>
      <w:r w:rsidR="00F373A3" w:rsidRPr="00181FCD">
        <w:t xml:space="preserve"> </w:t>
      </w:r>
      <w:r w:rsidR="001937F4" w:rsidRPr="00181FCD">
        <w:t>el</w:t>
      </w:r>
      <w:r w:rsidR="00F373A3" w:rsidRPr="00181FCD">
        <w:t xml:space="preserve"> </w:t>
      </w:r>
      <w:r w:rsidR="001937F4" w:rsidRPr="00181FCD">
        <w:t>párrafo</w:t>
      </w:r>
      <w:r w:rsidR="00F373A3" w:rsidRPr="00181FCD">
        <w:t xml:space="preserve"> </w:t>
      </w:r>
      <w:r w:rsidR="001937F4" w:rsidRPr="00181FCD">
        <w:t>19</w:t>
      </w:r>
      <w:r w:rsidR="00F373A3" w:rsidRPr="00181FCD">
        <w:t xml:space="preserve"> </w:t>
      </w:r>
      <w:r w:rsidR="001937F4" w:rsidRPr="00181FCD">
        <w:t>de</w:t>
      </w:r>
      <w:r w:rsidR="00F373A3" w:rsidRPr="00181FCD">
        <w:t xml:space="preserve"> </w:t>
      </w:r>
      <w:r w:rsidR="001937F4" w:rsidRPr="00181FCD">
        <w:t>la</w:t>
      </w:r>
      <w:r w:rsidR="00F373A3" w:rsidRPr="00181FCD">
        <w:t xml:space="preserve"> </w:t>
      </w:r>
      <w:r w:rsidR="001937F4" w:rsidRPr="00181FCD">
        <w:t>lista</w:t>
      </w:r>
      <w:r w:rsidR="00F373A3" w:rsidRPr="00181FCD">
        <w:t xml:space="preserve"> </w:t>
      </w:r>
      <w:r w:rsidR="001937F4" w:rsidRPr="00181FCD">
        <w:t>de</w:t>
      </w:r>
      <w:r w:rsidR="00F373A3" w:rsidRPr="00181FCD">
        <w:t xml:space="preserve"> </w:t>
      </w:r>
      <w:r w:rsidR="001937F4" w:rsidRPr="00181FCD">
        <w:t>cuestiones</w:t>
      </w:r>
    </w:p>
    <w:p w:rsidR="001937F4" w:rsidRPr="00181FCD" w:rsidRDefault="001937F4" w:rsidP="00347B20">
      <w:pPr>
        <w:pStyle w:val="SingleTxtG"/>
        <w:suppressAutoHyphens/>
      </w:pPr>
      <w:r w:rsidRPr="00181FCD">
        <w:t>177.</w:t>
      </w:r>
      <w:r w:rsidRPr="00181FCD">
        <w:tab/>
        <w:t>Mediante</w:t>
      </w:r>
      <w:r w:rsidR="00F373A3" w:rsidRPr="00181FCD">
        <w:t xml:space="preserve"> </w:t>
      </w:r>
      <w:r w:rsidRPr="00181FCD">
        <w:t>la</w:t>
      </w:r>
      <w:r w:rsidR="00F373A3" w:rsidRPr="00181FCD">
        <w:t xml:space="preserve"> </w:t>
      </w:r>
      <w:r w:rsidRPr="00181FCD">
        <w:t>Orden</w:t>
      </w:r>
      <w:r w:rsidR="00F373A3" w:rsidRPr="00181FCD">
        <w:t xml:space="preserve"> </w:t>
      </w:r>
      <w:r w:rsidRPr="00181FCD">
        <w:t>ЛС-04-368/06.03.2014,</w:t>
      </w:r>
      <w:r w:rsidR="00F373A3" w:rsidRPr="00181FCD">
        <w:t xml:space="preserve"> </w:t>
      </w:r>
      <w:r w:rsidRPr="00181FCD">
        <w:t>el</w:t>
      </w:r>
      <w:r w:rsidR="00F373A3" w:rsidRPr="00181FCD">
        <w:t xml:space="preserve"> </w:t>
      </w:r>
      <w:r w:rsidRPr="00181FCD">
        <w:t>Ministerio</w:t>
      </w:r>
      <w:r w:rsidR="00F373A3" w:rsidRPr="00181FCD">
        <w:t xml:space="preserve"> </w:t>
      </w:r>
      <w:r w:rsidRPr="00181FCD">
        <w:t>de</w:t>
      </w:r>
      <w:r w:rsidR="00F373A3" w:rsidRPr="00181FCD">
        <w:t xml:space="preserve"> </w:t>
      </w:r>
      <w:r w:rsidRPr="00181FCD">
        <w:t>Justicia</w:t>
      </w:r>
      <w:r w:rsidR="00F373A3" w:rsidRPr="00181FCD">
        <w:t xml:space="preserve"> </w:t>
      </w:r>
      <w:r w:rsidRPr="00181FCD">
        <w:t>creó</w:t>
      </w:r>
      <w:r w:rsidR="00F373A3" w:rsidRPr="00181FCD">
        <w:t xml:space="preserve"> </w:t>
      </w:r>
      <w:r w:rsidRPr="00181FCD">
        <w:t>una</w:t>
      </w:r>
      <w:r w:rsidR="00F373A3" w:rsidRPr="00181FCD">
        <w:t xml:space="preserve"> </w:t>
      </w:r>
      <w:r w:rsidRPr="00181FCD">
        <w:t>Comisión</w:t>
      </w:r>
      <w:r w:rsidR="00F373A3" w:rsidRPr="00181FCD">
        <w:t xml:space="preserve"> </w:t>
      </w:r>
      <w:r w:rsidRPr="00181FCD">
        <w:t>para</w:t>
      </w:r>
      <w:r w:rsidR="00F373A3" w:rsidRPr="00181FCD">
        <w:t xml:space="preserve"> </w:t>
      </w:r>
      <w:r w:rsidRPr="00181FCD">
        <w:t>evaluar</w:t>
      </w:r>
      <w:r w:rsidR="00F373A3" w:rsidRPr="00181FCD">
        <w:t xml:space="preserve"> </w:t>
      </w:r>
      <w:r w:rsidRPr="00181FCD">
        <w:t>la</w:t>
      </w:r>
      <w:r w:rsidR="00F373A3" w:rsidRPr="00181FCD">
        <w:t xml:space="preserve"> </w:t>
      </w:r>
      <w:r w:rsidRPr="00181FCD">
        <w:t>estructura</w:t>
      </w:r>
      <w:r w:rsidR="00F373A3" w:rsidRPr="00181FCD">
        <w:t xml:space="preserve"> </w:t>
      </w:r>
      <w:r w:rsidRPr="00181FCD">
        <w:t>de</w:t>
      </w:r>
      <w:r w:rsidR="00F373A3" w:rsidRPr="00181FCD">
        <w:t xml:space="preserve"> </w:t>
      </w:r>
      <w:r w:rsidRPr="00181FCD">
        <w:t>empleo</w:t>
      </w:r>
      <w:r w:rsidR="00F373A3" w:rsidRPr="00181FCD">
        <w:t xml:space="preserve"> </w:t>
      </w:r>
      <w:r w:rsidRPr="00181FCD">
        <w:t>permanente</w:t>
      </w:r>
      <w:r w:rsidR="00F373A3" w:rsidRPr="00181FCD">
        <w:t xml:space="preserve"> </w:t>
      </w:r>
      <w:r w:rsidRPr="00181FCD">
        <w:t>y</w:t>
      </w:r>
      <w:r w:rsidR="00F373A3" w:rsidRPr="00181FCD">
        <w:t xml:space="preserve"> </w:t>
      </w:r>
      <w:r w:rsidRPr="00181FCD">
        <w:t>el</w:t>
      </w:r>
      <w:r w:rsidR="00F373A3" w:rsidRPr="00181FCD">
        <w:t xml:space="preserve"> </w:t>
      </w:r>
      <w:r w:rsidRPr="00181FCD">
        <w:t>volumen</w:t>
      </w:r>
      <w:r w:rsidR="00F373A3" w:rsidRPr="00181FCD">
        <w:t xml:space="preserve"> </w:t>
      </w:r>
      <w:r w:rsidRPr="00181FCD">
        <w:t>de</w:t>
      </w:r>
      <w:r w:rsidR="00F373A3" w:rsidRPr="00181FCD">
        <w:t xml:space="preserve"> </w:t>
      </w:r>
      <w:r w:rsidRPr="00181FCD">
        <w:t>trabajo</w:t>
      </w:r>
      <w:r w:rsidR="00F373A3" w:rsidRPr="00181FCD">
        <w:t xml:space="preserve"> </w:t>
      </w:r>
      <w:r w:rsidRPr="00181FCD">
        <w:t>de</w:t>
      </w:r>
      <w:r w:rsidR="00F373A3" w:rsidRPr="00181FCD">
        <w:t xml:space="preserve"> </w:t>
      </w:r>
      <w:r w:rsidRPr="00181FCD">
        <w:t>las</w:t>
      </w:r>
      <w:r w:rsidR="00F373A3" w:rsidRPr="00181FCD">
        <w:t xml:space="preserve"> </w:t>
      </w:r>
      <w:r w:rsidRPr="00181FCD">
        <w:t>unidades</w:t>
      </w:r>
      <w:r w:rsidR="00F373A3" w:rsidRPr="00181FCD">
        <w:t xml:space="preserve"> </w:t>
      </w:r>
      <w:r w:rsidRPr="00181FCD">
        <w:t>territoriales</w:t>
      </w:r>
      <w:r w:rsidR="00F373A3" w:rsidRPr="00181FCD">
        <w:t xml:space="preserve"> </w:t>
      </w:r>
      <w:r w:rsidRPr="00181FCD">
        <w:t>de</w:t>
      </w:r>
      <w:r w:rsidR="00F373A3" w:rsidRPr="00181FCD">
        <w:t xml:space="preserve"> </w:t>
      </w:r>
      <w:r w:rsidRPr="00181FCD">
        <w:t>la</w:t>
      </w:r>
      <w:r w:rsidR="00F373A3" w:rsidRPr="00181FCD">
        <w:t xml:space="preserve"> </w:t>
      </w:r>
      <w:r w:rsidRPr="00181FCD">
        <w:t>Dirección</w:t>
      </w:r>
      <w:r w:rsidR="00F373A3" w:rsidRPr="00181FCD">
        <w:t xml:space="preserve"> </w:t>
      </w:r>
      <w:r w:rsidRPr="00181FCD">
        <w:t>General</w:t>
      </w:r>
      <w:r w:rsidR="00F373A3" w:rsidRPr="00181FCD">
        <w:t xml:space="preserve"> </w:t>
      </w:r>
      <w:r w:rsidRPr="00181FCD">
        <w:t>de</w:t>
      </w:r>
      <w:r w:rsidR="00F373A3" w:rsidRPr="00181FCD">
        <w:t xml:space="preserve"> </w:t>
      </w:r>
      <w:r w:rsidRPr="00181FCD">
        <w:t>Ejecución</w:t>
      </w:r>
      <w:r w:rsidR="00F373A3" w:rsidRPr="00181FCD">
        <w:t xml:space="preserve"> </w:t>
      </w:r>
      <w:r w:rsidRPr="00181FCD">
        <w:t>de</w:t>
      </w:r>
      <w:r w:rsidR="00F373A3" w:rsidRPr="00181FCD">
        <w:t xml:space="preserve"> </w:t>
      </w:r>
      <w:r w:rsidRPr="00181FCD">
        <w:t>Penas.</w:t>
      </w:r>
      <w:r w:rsidR="00F373A3" w:rsidRPr="00181FCD">
        <w:t xml:space="preserve"> </w:t>
      </w:r>
      <w:r w:rsidRPr="00181FCD">
        <w:t>Su</w:t>
      </w:r>
      <w:r w:rsidR="00F373A3" w:rsidRPr="00181FCD">
        <w:t xml:space="preserve"> </w:t>
      </w:r>
      <w:r w:rsidRPr="00181FCD">
        <w:t>tarea</w:t>
      </w:r>
      <w:r w:rsidR="00F373A3" w:rsidRPr="00181FCD">
        <w:t xml:space="preserve"> </w:t>
      </w:r>
      <w:r w:rsidRPr="00181FCD">
        <w:t>era</w:t>
      </w:r>
      <w:r w:rsidR="00F373A3" w:rsidRPr="00181FCD">
        <w:t xml:space="preserve"> </w:t>
      </w:r>
      <w:r w:rsidRPr="00181FCD">
        <w:t>también</w:t>
      </w:r>
      <w:r w:rsidR="00F373A3" w:rsidRPr="00181FCD">
        <w:t xml:space="preserve"> </w:t>
      </w:r>
      <w:r w:rsidRPr="00181FCD">
        <w:t>formular</w:t>
      </w:r>
      <w:r w:rsidR="00F373A3" w:rsidRPr="00181FCD">
        <w:t xml:space="preserve"> </w:t>
      </w:r>
      <w:r w:rsidRPr="00181FCD">
        <w:t>propuestas</w:t>
      </w:r>
      <w:r w:rsidR="00F373A3" w:rsidRPr="00181FCD">
        <w:t xml:space="preserve"> </w:t>
      </w:r>
      <w:r w:rsidRPr="00181FCD">
        <w:t>para</w:t>
      </w:r>
      <w:r w:rsidR="00F373A3" w:rsidRPr="00181FCD">
        <w:t xml:space="preserve"> </w:t>
      </w:r>
      <w:r w:rsidRPr="00181FCD">
        <w:t>evaluar</w:t>
      </w:r>
      <w:r w:rsidR="00F373A3" w:rsidRPr="00181FCD">
        <w:t xml:space="preserve"> </w:t>
      </w:r>
      <w:r w:rsidRPr="00181FCD">
        <w:t>las</w:t>
      </w:r>
      <w:r w:rsidR="00F373A3" w:rsidRPr="00181FCD">
        <w:t xml:space="preserve"> </w:t>
      </w:r>
      <w:r w:rsidRPr="00181FCD">
        <w:t>condiciones</w:t>
      </w:r>
      <w:r w:rsidR="00F373A3" w:rsidRPr="00181FCD">
        <w:t xml:space="preserve"> </w:t>
      </w:r>
      <w:r w:rsidRPr="00181FCD">
        <w:t>necesarias</w:t>
      </w:r>
      <w:r w:rsidR="00F373A3" w:rsidRPr="00181FCD">
        <w:t xml:space="preserve"> </w:t>
      </w:r>
      <w:r w:rsidRPr="00181FCD">
        <w:t>para</w:t>
      </w:r>
      <w:r w:rsidR="00F373A3" w:rsidRPr="00181FCD">
        <w:t xml:space="preserve"> </w:t>
      </w:r>
      <w:r w:rsidRPr="00181FCD">
        <w:t>la</w:t>
      </w:r>
      <w:r w:rsidR="00F373A3" w:rsidRPr="00181FCD">
        <w:t xml:space="preserve"> </w:t>
      </w:r>
      <w:r w:rsidRPr="00181FCD">
        <w:t>apertura</w:t>
      </w:r>
      <w:r w:rsidR="00F373A3" w:rsidRPr="00181FCD">
        <w:t xml:space="preserve"> </w:t>
      </w:r>
      <w:r w:rsidRPr="00181FCD">
        <w:t>o</w:t>
      </w:r>
      <w:r w:rsidR="00F373A3" w:rsidRPr="00181FCD">
        <w:t xml:space="preserve"> </w:t>
      </w:r>
      <w:r w:rsidRPr="00181FCD">
        <w:t>el</w:t>
      </w:r>
      <w:r w:rsidR="00F373A3" w:rsidRPr="00181FCD">
        <w:t xml:space="preserve"> </w:t>
      </w:r>
      <w:r w:rsidRPr="00181FCD">
        <w:t>cierre</w:t>
      </w:r>
      <w:r w:rsidR="00F373A3" w:rsidRPr="00181FCD">
        <w:t xml:space="preserve"> </w:t>
      </w:r>
      <w:r w:rsidRPr="00181FCD">
        <w:t>de</w:t>
      </w:r>
      <w:r w:rsidR="00F373A3" w:rsidRPr="00181FCD">
        <w:t xml:space="preserve"> </w:t>
      </w:r>
      <w:r w:rsidRPr="00181FCD">
        <w:t>prisiones</w:t>
      </w:r>
      <w:r w:rsidR="00F373A3" w:rsidRPr="00181FCD">
        <w:t xml:space="preserve"> </w:t>
      </w:r>
      <w:r w:rsidRPr="00181FCD">
        <w:t>y</w:t>
      </w:r>
      <w:r w:rsidR="00F373A3" w:rsidRPr="00181FCD">
        <w:t xml:space="preserve"> </w:t>
      </w:r>
      <w:r w:rsidRPr="00181FCD">
        <w:t>realizar</w:t>
      </w:r>
      <w:r w:rsidR="00F373A3" w:rsidRPr="00181FCD">
        <w:t xml:space="preserve"> </w:t>
      </w:r>
      <w:r w:rsidRPr="00181FCD">
        <w:t>cambios</w:t>
      </w:r>
      <w:r w:rsidR="00F373A3" w:rsidRPr="00181FCD">
        <w:t xml:space="preserve"> </w:t>
      </w:r>
      <w:r w:rsidRPr="00181FCD">
        <w:t>en</w:t>
      </w:r>
      <w:r w:rsidR="00F373A3" w:rsidRPr="00181FCD">
        <w:t xml:space="preserve"> </w:t>
      </w:r>
      <w:r w:rsidRPr="00181FCD">
        <w:t>la</w:t>
      </w:r>
      <w:r w:rsidR="00F373A3" w:rsidRPr="00181FCD">
        <w:t xml:space="preserve"> </w:t>
      </w:r>
      <w:r w:rsidRPr="00181FCD">
        <w:t>estructura</w:t>
      </w:r>
      <w:r w:rsidR="00F373A3" w:rsidRPr="00181FCD">
        <w:t xml:space="preserve"> </w:t>
      </w:r>
      <w:r w:rsidRPr="00181FCD">
        <w:t>de</w:t>
      </w:r>
      <w:r w:rsidR="00F373A3" w:rsidRPr="00181FCD">
        <w:t xml:space="preserve"> </w:t>
      </w:r>
      <w:r w:rsidRPr="00181FCD">
        <w:t>la</w:t>
      </w:r>
      <w:r w:rsidR="00F373A3" w:rsidRPr="00181FCD">
        <w:t xml:space="preserve"> </w:t>
      </w:r>
      <w:r w:rsidRPr="00181FCD">
        <w:t>plantilla</w:t>
      </w:r>
      <w:r w:rsidR="00F373A3" w:rsidRPr="00181FCD">
        <w:t xml:space="preserve"> </w:t>
      </w:r>
      <w:r w:rsidRPr="00181FCD">
        <w:t>de</w:t>
      </w:r>
      <w:r w:rsidR="00F373A3" w:rsidRPr="00181FCD">
        <w:t xml:space="preserve"> </w:t>
      </w:r>
      <w:r w:rsidRPr="00181FCD">
        <w:t>la</w:t>
      </w:r>
      <w:r w:rsidR="00F373A3" w:rsidRPr="00181FCD">
        <w:t xml:space="preserve"> </w:t>
      </w:r>
      <w:r w:rsidRPr="00181FCD">
        <w:t>Dirección</w:t>
      </w:r>
      <w:r w:rsidR="00F373A3" w:rsidRPr="00181FCD">
        <w:t xml:space="preserve"> </w:t>
      </w:r>
      <w:r w:rsidRPr="00181FCD">
        <w:t>General.</w:t>
      </w:r>
    </w:p>
    <w:p w:rsidR="001937F4" w:rsidRPr="00181FCD" w:rsidRDefault="001937F4" w:rsidP="00347B20">
      <w:pPr>
        <w:pStyle w:val="SingleTxtG"/>
        <w:suppressAutoHyphens/>
      </w:pPr>
      <w:r w:rsidRPr="00181FCD">
        <w:t>178.</w:t>
      </w:r>
      <w:r w:rsidRPr="00181FCD">
        <w:tab/>
        <w:t>Con</w:t>
      </w:r>
      <w:r w:rsidR="00F373A3" w:rsidRPr="00181FCD">
        <w:t xml:space="preserve"> </w:t>
      </w:r>
      <w:r w:rsidRPr="00181FCD">
        <w:t>el</w:t>
      </w:r>
      <w:r w:rsidR="00F373A3" w:rsidRPr="00181FCD">
        <w:t xml:space="preserve"> </w:t>
      </w:r>
      <w:r w:rsidRPr="00181FCD">
        <w:t>objeto</w:t>
      </w:r>
      <w:r w:rsidR="00F373A3" w:rsidRPr="00181FCD">
        <w:t xml:space="preserve"> </w:t>
      </w:r>
      <w:r w:rsidRPr="00181FCD">
        <w:t>de</w:t>
      </w:r>
      <w:r w:rsidR="00F373A3" w:rsidRPr="00181FCD">
        <w:t xml:space="preserve"> </w:t>
      </w:r>
      <w:r w:rsidRPr="00181FCD">
        <w:t>preparar</w:t>
      </w:r>
      <w:r w:rsidR="00F373A3" w:rsidRPr="00181FCD">
        <w:t xml:space="preserve"> </w:t>
      </w:r>
      <w:r w:rsidRPr="00181FCD">
        <w:t>las</w:t>
      </w:r>
      <w:r w:rsidR="00F373A3" w:rsidRPr="00181FCD">
        <w:t xml:space="preserve"> </w:t>
      </w:r>
      <w:r w:rsidRPr="00181FCD">
        <w:t>observaciones</w:t>
      </w:r>
      <w:r w:rsidR="00F373A3" w:rsidRPr="00181FCD">
        <w:t xml:space="preserve"> </w:t>
      </w:r>
      <w:r w:rsidRPr="00181FCD">
        <w:t>sobre</w:t>
      </w:r>
      <w:r w:rsidR="00F373A3" w:rsidRPr="00181FCD">
        <w:t xml:space="preserve"> </w:t>
      </w:r>
      <w:r w:rsidRPr="00181FCD">
        <w:t>el</w:t>
      </w:r>
      <w:r w:rsidR="00F373A3" w:rsidRPr="00181FCD">
        <w:t xml:space="preserve"> </w:t>
      </w:r>
      <w:r w:rsidRPr="00181FCD">
        <w:t>cierre</w:t>
      </w:r>
      <w:r w:rsidR="00F373A3" w:rsidRPr="00181FCD">
        <w:t xml:space="preserve"> </w:t>
      </w:r>
      <w:r w:rsidRPr="00181FCD">
        <w:t>de</w:t>
      </w:r>
      <w:r w:rsidR="00F373A3" w:rsidRPr="00181FCD">
        <w:t xml:space="preserve"> </w:t>
      </w:r>
      <w:r w:rsidRPr="00181FCD">
        <w:t>centros</w:t>
      </w:r>
      <w:r w:rsidR="00F373A3" w:rsidRPr="00181FCD">
        <w:t xml:space="preserve"> </w:t>
      </w:r>
      <w:r w:rsidRPr="00181FCD">
        <w:t>de</w:t>
      </w:r>
      <w:r w:rsidR="00F373A3" w:rsidRPr="00181FCD">
        <w:t xml:space="preserve"> </w:t>
      </w:r>
      <w:r w:rsidRPr="00181FCD">
        <w:t>detención</w:t>
      </w:r>
      <w:r w:rsidR="00F373A3" w:rsidRPr="00181FCD">
        <w:t xml:space="preserve"> </w:t>
      </w:r>
      <w:r w:rsidRPr="00181FCD">
        <w:t>se</w:t>
      </w:r>
      <w:r w:rsidR="00F373A3" w:rsidRPr="00181FCD">
        <w:t xml:space="preserve"> </w:t>
      </w:r>
      <w:r w:rsidRPr="00181FCD">
        <w:t>emprendió</w:t>
      </w:r>
      <w:r w:rsidR="00F373A3" w:rsidRPr="00181FCD">
        <w:t xml:space="preserve"> </w:t>
      </w:r>
      <w:r w:rsidRPr="00181FCD">
        <w:t>una</w:t>
      </w:r>
      <w:r w:rsidR="00F373A3" w:rsidRPr="00181FCD">
        <w:t xml:space="preserve"> </w:t>
      </w:r>
      <w:r w:rsidRPr="00181FCD">
        <w:t>evaluación</w:t>
      </w:r>
      <w:r w:rsidR="00F373A3" w:rsidRPr="00181FCD">
        <w:t xml:space="preserve"> </w:t>
      </w:r>
      <w:r w:rsidRPr="00181FCD">
        <w:t>de</w:t>
      </w:r>
      <w:r w:rsidR="00F373A3" w:rsidRPr="00181FCD">
        <w:t xml:space="preserve"> </w:t>
      </w:r>
      <w:r w:rsidRPr="00181FCD">
        <w:t>las</w:t>
      </w:r>
      <w:r w:rsidR="00F373A3" w:rsidRPr="00181FCD">
        <w:t xml:space="preserve"> </w:t>
      </w:r>
      <w:r w:rsidRPr="00181FCD">
        <w:t>condiciones</w:t>
      </w:r>
      <w:r w:rsidR="00F373A3" w:rsidRPr="00181FCD">
        <w:t xml:space="preserve"> </w:t>
      </w:r>
      <w:r w:rsidRPr="00181FCD">
        <w:t>materiales</w:t>
      </w:r>
      <w:r w:rsidR="00F373A3" w:rsidRPr="00181FCD">
        <w:t xml:space="preserve"> </w:t>
      </w:r>
      <w:r w:rsidRPr="00181FCD">
        <w:t>de</w:t>
      </w:r>
      <w:r w:rsidR="00F373A3" w:rsidRPr="00181FCD">
        <w:t xml:space="preserve"> </w:t>
      </w:r>
      <w:r w:rsidRPr="00181FCD">
        <w:t>esos</w:t>
      </w:r>
      <w:r w:rsidR="00F373A3" w:rsidRPr="00181FCD">
        <w:t xml:space="preserve"> </w:t>
      </w:r>
      <w:r w:rsidRPr="00181FCD">
        <w:t>centros,</w:t>
      </w:r>
      <w:r w:rsidR="00F373A3" w:rsidRPr="00181FCD">
        <w:t xml:space="preserve"> </w:t>
      </w:r>
      <w:r w:rsidRPr="00181FCD">
        <w:t>la</w:t>
      </w:r>
      <w:r w:rsidR="00F373A3" w:rsidRPr="00181FCD">
        <w:t xml:space="preserve"> </w:t>
      </w:r>
      <w:r w:rsidRPr="00181FCD">
        <w:t>existencia</w:t>
      </w:r>
      <w:r w:rsidR="00F373A3" w:rsidRPr="00181FCD">
        <w:t xml:space="preserve"> </w:t>
      </w:r>
      <w:r w:rsidRPr="00181FCD">
        <w:t>de</w:t>
      </w:r>
      <w:r w:rsidR="00F373A3" w:rsidRPr="00181FCD">
        <w:t xml:space="preserve"> </w:t>
      </w:r>
      <w:r w:rsidRPr="00181FCD">
        <w:t>espacios</w:t>
      </w:r>
      <w:r w:rsidR="00F373A3" w:rsidRPr="00181FCD">
        <w:t xml:space="preserve"> </w:t>
      </w:r>
      <w:r w:rsidRPr="00181FCD">
        <w:t>abiertos,</w:t>
      </w:r>
      <w:r w:rsidR="00F373A3" w:rsidRPr="00181FCD">
        <w:t xml:space="preserve"> </w:t>
      </w:r>
      <w:r w:rsidRPr="00181FCD">
        <w:t>el</w:t>
      </w:r>
      <w:r w:rsidR="00F373A3" w:rsidRPr="00181FCD">
        <w:t xml:space="preserve"> </w:t>
      </w:r>
      <w:r w:rsidRPr="00181FCD">
        <w:t>número</w:t>
      </w:r>
      <w:r w:rsidR="00F373A3" w:rsidRPr="00181FCD">
        <w:t xml:space="preserve"> </w:t>
      </w:r>
      <w:r w:rsidRPr="00181FCD">
        <w:t>de</w:t>
      </w:r>
      <w:r w:rsidR="00F373A3" w:rsidRPr="00181FCD">
        <w:t xml:space="preserve"> </w:t>
      </w:r>
      <w:r w:rsidRPr="00181FCD">
        <w:t>detenidos</w:t>
      </w:r>
      <w:r w:rsidR="00F373A3" w:rsidRPr="00181FCD">
        <w:t xml:space="preserve"> </w:t>
      </w:r>
      <w:r w:rsidRPr="00181FCD">
        <w:t>en</w:t>
      </w:r>
      <w:r w:rsidR="00F373A3" w:rsidRPr="00181FCD">
        <w:t xml:space="preserve"> </w:t>
      </w:r>
      <w:r w:rsidRPr="00181FCD">
        <w:t>cada</w:t>
      </w:r>
      <w:r w:rsidR="00F373A3" w:rsidRPr="00181FCD">
        <w:t xml:space="preserve"> </w:t>
      </w:r>
      <w:r w:rsidRPr="00181FCD">
        <w:t>centro</w:t>
      </w:r>
      <w:r w:rsidR="00F373A3" w:rsidRPr="00181FCD">
        <w:t xml:space="preserve"> </w:t>
      </w:r>
      <w:r w:rsidRPr="00181FCD">
        <w:t>y</w:t>
      </w:r>
      <w:r w:rsidR="00F373A3" w:rsidRPr="00181FCD">
        <w:t xml:space="preserve"> </w:t>
      </w:r>
      <w:r w:rsidRPr="00181FCD">
        <w:t>el</w:t>
      </w:r>
      <w:r w:rsidR="00F373A3" w:rsidRPr="00181FCD">
        <w:t xml:space="preserve"> </w:t>
      </w:r>
      <w:r w:rsidRPr="00181FCD">
        <w:t>número</w:t>
      </w:r>
      <w:r w:rsidR="00F373A3" w:rsidRPr="00181FCD">
        <w:t xml:space="preserve"> </w:t>
      </w:r>
      <w:r w:rsidRPr="00181FCD">
        <w:t>de</w:t>
      </w:r>
      <w:r w:rsidR="00F373A3" w:rsidRPr="00181FCD">
        <w:t xml:space="preserve"> </w:t>
      </w:r>
      <w:r w:rsidRPr="00181FCD">
        <w:t>reclusos.</w:t>
      </w:r>
      <w:r w:rsidR="00F373A3" w:rsidRPr="00181FCD">
        <w:t xml:space="preserve"> </w:t>
      </w:r>
      <w:r w:rsidRPr="00181FCD">
        <w:t>Se</w:t>
      </w:r>
      <w:r w:rsidR="00F373A3" w:rsidRPr="00181FCD">
        <w:t xml:space="preserve"> </w:t>
      </w:r>
      <w:r w:rsidRPr="00181FCD">
        <w:t>indicó</w:t>
      </w:r>
      <w:r w:rsidR="00F373A3" w:rsidRPr="00181FCD">
        <w:t xml:space="preserve"> </w:t>
      </w:r>
      <w:r w:rsidRPr="00181FCD">
        <w:t>también</w:t>
      </w:r>
      <w:r w:rsidR="00F373A3" w:rsidRPr="00181FCD">
        <w:t xml:space="preserve"> </w:t>
      </w:r>
      <w:r w:rsidRPr="00181FCD">
        <w:t>el</w:t>
      </w:r>
      <w:r w:rsidR="00F373A3" w:rsidRPr="00181FCD">
        <w:t xml:space="preserve"> </w:t>
      </w:r>
      <w:r w:rsidRPr="00181FCD">
        <w:t>respectivo</w:t>
      </w:r>
      <w:r w:rsidR="00F373A3" w:rsidRPr="00181FCD">
        <w:t xml:space="preserve"> </w:t>
      </w:r>
      <w:r w:rsidRPr="00181FCD">
        <w:t>número</w:t>
      </w:r>
      <w:r w:rsidR="00F373A3" w:rsidRPr="00181FCD">
        <w:t xml:space="preserve"> </w:t>
      </w:r>
      <w:r w:rsidRPr="00181FCD">
        <w:t>de</w:t>
      </w:r>
      <w:r w:rsidR="00F373A3" w:rsidRPr="00181FCD">
        <w:t xml:space="preserve"> </w:t>
      </w:r>
      <w:r w:rsidRPr="00181FCD">
        <w:t>días</w:t>
      </w:r>
      <w:r w:rsidR="00F373A3" w:rsidRPr="00181FCD">
        <w:t xml:space="preserve"> </w:t>
      </w:r>
      <w:r w:rsidRPr="00181FCD">
        <w:t>por</w:t>
      </w:r>
      <w:r w:rsidR="00F373A3" w:rsidRPr="00181FCD">
        <w:t xml:space="preserve"> </w:t>
      </w:r>
      <w:r w:rsidRPr="00181FCD">
        <w:t>persona,</w:t>
      </w:r>
      <w:r w:rsidR="00F373A3" w:rsidRPr="00181FCD">
        <w:t xml:space="preserve"> </w:t>
      </w:r>
      <w:r w:rsidRPr="00181FCD">
        <w:t>los</w:t>
      </w:r>
      <w:r w:rsidR="00F373A3" w:rsidRPr="00181FCD">
        <w:t xml:space="preserve"> </w:t>
      </w:r>
      <w:r w:rsidRPr="00181FCD">
        <w:t>gastos</w:t>
      </w:r>
      <w:r w:rsidR="00F373A3" w:rsidRPr="00181FCD">
        <w:t xml:space="preserve"> </w:t>
      </w:r>
      <w:r w:rsidRPr="00181FCD">
        <w:t>efectuados</w:t>
      </w:r>
      <w:r w:rsidR="00F373A3" w:rsidRPr="00181FCD">
        <w:t xml:space="preserve"> </w:t>
      </w:r>
      <w:r w:rsidRPr="00181FCD">
        <w:t>para</w:t>
      </w:r>
      <w:r w:rsidR="00F373A3" w:rsidRPr="00181FCD">
        <w:t xml:space="preserve"> </w:t>
      </w:r>
      <w:r w:rsidRPr="00181FCD">
        <w:t>el</w:t>
      </w:r>
      <w:r w:rsidR="00F373A3" w:rsidRPr="00181FCD">
        <w:t xml:space="preserve"> </w:t>
      </w:r>
      <w:r w:rsidRPr="00181FCD">
        <w:t>mantenimiento</w:t>
      </w:r>
      <w:r w:rsidR="00F373A3" w:rsidRPr="00181FCD">
        <w:t xml:space="preserve"> </w:t>
      </w:r>
      <w:r w:rsidRPr="00181FCD">
        <w:t>de</w:t>
      </w:r>
      <w:r w:rsidR="00F373A3" w:rsidRPr="00181FCD">
        <w:t xml:space="preserve"> </w:t>
      </w:r>
      <w:r w:rsidRPr="00181FCD">
        <w:t>la</w:t>
      </w:r>
      <w:r w:rsidR="00F373A3" w:rsidRPr="00181FCD">
        <w:t xml:space="preserve"> </w:t>
      </w:r>
      <w:r w:rsidRPr="00181FCD">
        <w:t>instalación</w:t>
      </w:r>
      <w:r w:rsidR="00F373A3" w:rsidRPr="00181FCD">
        <w:t xml:space="preserve"> </w:t>
      </w:r>
      <w:r w:rsidRPr="00181FCD">
        <w:t>y</w:t>
      </w:r>
      <w:r w:rsidR="00F373A3" w:rsidRPr="00181FCD">
        <w:t xml:space="preserve"> </w:t>
      </w:r>
      <w:r w:rsidRPr="00181FCD">
        <w:t>el</w:t>
      </w:r>
      <w:r w:rsidR="00F373A3" w:rsidRPr="00181FCD">
        <w:t xml:space="preserve"> </w:t>
      </w:r>
      <w:r w:rsidRPr="00181FCD">
        <w:t>gasto</w:t>
      </w:r>
      <w:r w:rsidR="00F373A3" w:rsidRPr="00181FCD">
        <w:t xml:space="preserve"> </w:t>
      </w:r>
      <w:r w:rsidRPr="00181FCD">
        <w:t>destinado</w:t>
      </w:r>
      <w:r w:rsidR="00F373A3" w:rsidRPr="00181FCD">
        <w:t xml:space="preserve"> </w:t>
      </w:r>
      <w:r w:rsidRPr="00181FCD">
        <w:t>a</w:t>
      </w:r>
      <w:r w:rsidR="00F373A3" w:rsidRPr="00181FCD">
        <w:t xml:space="preserve"> </w:t>
      </w:r>
      <w:r w:rsidRPr="00181FCD">
        <w:t>los</w:t>
      </w:r>
      <w:r w:rsidR="00F373A3" w:rsidRPr="00181FCD">
        <w:t xml:space="preserve"> </w:t>
      </w:r>
      <w:r w:rsidRPr="00181FCD">
        <w:t>reclusos</w:t>
      </w:r>
      <w:r w:rsidR="00F373A3" w:rsidRPr="00181FCD">
        <w:t xml:space="preserve"> </w:t>
      </w:r>
      <w:r w:rsidRPr="00181FCD">
        <w:t>y</w:t>
      </w:r>
      <w:r w:rsidR="00F373A3" w:rsidRPr="00181FCD">
        <w:t xml:space="preserve"> </w:t>
      </w:r>
      <w:r w:rsidRPr="00181FCD">
        <w:t>a</w:t>
      </w:r>
      <w:r w:rsidR="00F373A3" w:rsidRPr="00181FCD">
        <w:t xml:space="preserve"> </w:t>
      </w:r>
      <w:r w:rsidRPr="00181FCD">
        <w:t>la</w:t>
      </w:r>
      <w:r w:rsidR="00F373A3" w:rsidRPr="00181FCD">
        <w:t xml:space="preserve"> </w:t>
      </w:r>
      <w:r w:rsidRPr="00181FCD">
        <w:t>remuneración</w:t>
      </w:r>
      <w:r w:rsidR="00F373A3" w:rsidRPr="00181FCD">
        <w:t xml:space="preserve"> </w:t>
      </w:r>
      <w:r w:rsidRPr="00181FCD">
        <w:t>del</w:t>
      </w:r>
      <w:r w:rsidR="00F373A3" w:rsidRPr="00181FCD">
        <w:t xml:space="preserve"> </w:t>
      </w:r>
      <w:r w:rsidRPr="00181FCD">
        <w:t>personal</w:t>
      </w:r>
      <w:r w:rsidR="00F373A3" w:rsidRPr="00181FCD">
        <w:t xml:space="preserve"> </w:t>
      </w:r>
      <w:r w:rsidRPr="00181FCD">
        <w:t>y</w:t>
      </w:r>
      <w:r w:rsidR="00F373A3" w:rsidRPr="00181FCD">
        <w:t xml:space="preserve"> </w:t>
      </w:r>
      <w:r w:rsidRPr="00181FCD">
        <w:t>la</w:t>
      </w:r>
      <w:r w:rsidR="00F373A3" w:rsidRPr="00181FCD">
        <w:t xml:space="preserve"> </w:t>
      </w:r>
      <w:r w:rsidRPr="00181FCD">
        <w:t>disponibilidad</w:t>
      </w:r>
      <w:r w:rsidR="00F373A3" w:rsidRPr="00181FCD">
        <w:t xml:space="preserve"> </w:t>
      </w:r>
      <w:r w:rsidRPr="00181FCD">
        <w:t>de</w:t>
      </w:r>
      <w:r w:rsidR="00F373A3" w:rsidRPr="00181FCD">
        <w:t xml:space="preserve"> </w:t>
      </w:r>
      <w:r w:rsidRPr="00181FCD">
        <w:t>los</w:t>
      </w:r>
      <w:r w:rsidR="00F373A3" w:rsidRPr="00181FCD">
        <w:t xml:space="preserve"> </w:t>
      </w:r>
      <w:r w:rsidRPr="00181FCD">
        <w:t>centros</w:t>
      </w:r>
      <w:r w:rsidR="00F373A3" w:rsidRPr="00181FCD">
        <w:t xml:space="preserve"> </w:t>
      </w:r>
      <w:r w:rsidRPr="00181FCD">
        <w:t>cercanos</w:t>
      </w:r>
      <w:r w:rsidR="00F373A3" w:rsidRPr="00181FCD">
        <w:t xml:space="preserve"> </w:t>
      </w:r>
      <w:r w:rsidRPr="00181FCD">
        <w:t>donde</w:t>
      </w:r>
      <w:r w:rsidR="00F373A3" w:rsidRPr="00181FCD">
        <w:t xml:space="preserve"> </w:t>
      </w:r>
      <w:r w:rsidRPr="00181FCD">
        <w:t>se</w:t>
      </w:r>
      <w:r w:rsidR="00F373A3" w:rsidRPr="00181FCD">
        <w:t xml:space="preserve"> </w:t>
      </w:r>
      <w:r w:rsidRPr="00181FCD">
        <w:t>podría</w:t>
      </w:r>
      <w:r w:rsidR="00F373A3" w:rsidRPr="00181FCD">
        <w:t xml:space="preserve"> </w:t>
      </w:r>
      <w:r w:rsidRPr="00181FCD">
        <w:t>trasladar</w:t>
      </w:r>
      <w:r w:rsidR="00F373A3" w:rsidRPr="00181FCD">
        <w:t xml:space="preserve"> </w:t>
      </w:r>
      <w:r w:rsidRPr="00181FCD">
        <w:t>a</w:t>
      </w:r>
      <w:r w:rsidR="00F373A3" w:rsidRPr="00181FCD">
        <w:t xml:space="preserve"> </w:t>
      </w:r>
      <w:r w:rsidRPr="00181FCD">
        <w:t>los</w:t>
      </w:r>
      <w:r w:rsidR="00F373A3" w:rsidRPr="00181FCD">
        <w:t xml:space="preserve"> </w:t>
      </w:r>
      <w:r w:rsidRPr="00181FCD">
        <w:t>detenidos.</w:t>
      </w:r>
    </w:p>
    <w:p w:rsidR="001937F4" w:rsidRPr="00181FCD" w:rsidRDefault="001937F4" w:rsidP="00347B20">
      <w:pPr>
        <w:pStyle w:val="SingleTxtG"/>
        <w:suppressAutoHyphens/>
      </w:pPr>
      <w:r w:rsidRPr="00181FCD">
        <w:t>179.</w:t>
      </w:r>
      <w:r w:rsidRPr="00181FCD">
        <w:tab/>
        <w:t>A</w:t>
      </w:r>
      <w:r w:rsidR="00F373A3" w:rsidRPr="00181FCD">
        <w:t xml:space="preserve"> </w:t>
      </w:r>
      <w:r w:rsidRPr="00181FCD">
        <w:t>día</w:t>
      </w:r>
      <w:r w:rsidR="00F373A3" w:rsidRPr="00181FCD">
        <w:t xml:space="preserve"> </w:t>
      </w:r>
      <w:r w:rsidRPr="00181FCD">
        <w:t>de</w:t>
      </w:r>
      <w:r w:rsidR="00F373A3" w:rsidRPr="00181FCD">
        <w:t xml:space="preserve"> </w:t>
      </w:r>
      <w:r w:rsidRPr="00181FCD">
        <w:t>hoy</w:t>
      </w:r>
      <w:r w:rsidR="00F373A3" w:rsidRPr="00181FCD">
        <w:t xml:space="preserve"> </w:t>
      </w:r>
      <w:r w:rsidRPr="00181FCD">
        <w:t>se</w:t>
      </w:r>
      <w:r w:rsidR="00F373A3" w:rsidRPr="00181FCD">
        <w:t xml:space="preserve"> </w:t>
      </w:r>
      <w:r w:rsidRPr="00181FCD">
        <w:t>han</w:t>
      </w:r>
      <w:r w:rsidR="00F373A3" w:rsidRPr="00181FCD">
        <w:t xml:space="preserve"> </w:t>
      </w:r>
      <w:r w:rsidRPr="00181FCD">
        <w:t>cerrado</w:t>
      </w:r>
      <w:r w:rsidR="00F373A3" w:rsidRPr="00181FCD">
        <w:t xml:space="preserve"> </w:t>
      </w:r>
      <w:r w:rsidRPr="00181FCD">
        <w:t>centros</w:t>
      </w:r>
      <w:r w:rsidR="00F373A3" w:rsidRPr="00181FCD">
        <w:t xml:space="preserve"> </w:t>
      </w:r>
      <w:r w:rsidRPr="00181FCD">
        <w:t>de</w:t>
      </w:r>
      <w:r w:rsidR="00F373A3" w:rsidRPr="00181FCD">
        <w:t xml:space="preserve"> </w:t>
      </w:r>
      <w:r w:rsidRPr="00181FCD">
        <w:t>detención</w:t>
      </w:r>
      <w:r w:rsidR="00F373A3" w:rsidRPr="00181FCD">
        <w:t xml:space="preserve"> </w:t>
      </w:r>
      <w:r w:rsidRPr="00181FCD">
        <w:t>en</w:t>
      </w:r>
      <w:r w:rsidR="00F373A3" w:rsidRPr="00181FCD">
        <w:t xml:space="preserve"> </w:t>
      </w:r>
      <w:r w:rsidRPr="00181FCD">
        <w:t>las</w:t>
      </w:r>
      <w:r w:rsidR="00F373A3" w:rsidRPr="00181FCD">
        <w:t xml:space="preserve"> </w:t>
      </w:r>
      <w:r w:rsidRPr="00181FCD">
        <w:t>localidades</w:t>
      </w:r>
      <w:r w:rsidR="00F373A3" w:rsidRPr="00181FCD">
        <w:t xml:space="preserve"> </w:t>
      </w:r>
      <w:r w:rsidRPr="00181FCD">
        <w:t>de</w:t>
      </w:r>
      <w:r w:rsidR="00F373A3" w:rsidRPr="00181FCD">
        <w:t xml:space="preserve"> </w:t>
      </w:r>
      <w:r w:rsidRPr="00181FCD">
        <w:t>Petrich,</w:t>
      </w:r>
      <w:r w:rsidR="00F373A3" w:rsidRPr="00181FCD">
        <w:t xml:space="preserve"> </w:t>
      </w:r>
      <w:r w:rsidRPr="00181FCD">
        <w:t>Oryahovo,</w:t>
      </w:r>
      <w:r w:rsidR="00F373A3" w:rsidRPr="00181FCD">
        <w:t xml:space="preserve"> </w:t>
      </w:r>
      <w:r w:rsidRPr="00181FCD">
        <w:t>Lom,</w:t>
      </w:r>
      <w:r w:rsidR="00F373A3" w:rsidRPr="00181FCD">
        <w:t xml:space="preserve"> </w:t>
      </w:r>
      <w:r w:rsidRPr="00181FCD">
        <w:t>Popovo,</w:t>
      </w:r>
      <w:r w:rsidR="00F373A3" w:rsidRPr="00181FCD">
        <w:t xml:space="preserve"> </w:t>
      </w:r>
      <w:r w:rsidRPr="00181FCD">
        <w:t>Slivnitsa,</w:t>
      </w:r>
      <w:r w:rsidR="00F373A3" w:rsidRPr="00181FCD">
        <w:t xml:space="preserve"> </w:t>
      </w:r>
      <w:r w:rsidRPr="00181FCD">
        <w:t>Samokov,</w:t>
      </w:r>
      <w:r w:rsidR="00F373A3" w:rsidRPr="00181FCD">
        <w:t xml:space="preserve"> </w:t>
      </w:r>
      <w:r w:rsidRPr="00181FCD">
        <w:t>Svishtov</w:t>
      </w:r>
      <w:r w:rsidR="00F373A3" w:rsidRPr="00181FCD">
        <w:t xml:space="preserve"> </w:t>
      </w:r>
      <w:r w:rsidRPr="00181FCD">
        <w:t>y</w:t>
      </w:r>
      <w:r w:rsidR="00F373A3" w:rsidRPr="00181FCD">
        <w:t xml:space="preserve"> </w:t>
      </w:r>
      <w:r w:rsidRPr="00181FCD">
        <w:t>Balchik.</w:t>
      </w:r>
      <w:r w:rsidR="00F373A3" w:rsidRPr="00181FCD">
        <w:t xml:space="preserve"> </w:t>
      </w:r>
      <w:r w:rsidRPr="00181FCD">
        <w:t>Dichos</w:t>
      </w:r>
      <w:r w:rsidR="00F373A3" w:rsidRPr="00181FCD">
        <w:t xml:space="preserve"> </w:t>
      </w:r>
      <w:r w:rsidRPr="00181FCD">
        <w:t>centros</w:t>
      </w:r>
      <w:r w:rsidR="00F373A3" w:rsidRPr="00181FCD">
        <w:t xml:space="preserve"> </w:t>
      </w:r>
      <w:r w:rsidRPr="00181FCD">
        <w:t>no</w:t>
      </w:r>
      <w:r w:rsidR="00F373A3" w:rsidRPr="00181FCD">
        <w:t xml:space="preserve"> </w:t>
      </w:r>
      <w:r w:rsidRPr="00181FCD">
        <w:t>cumplían</w:t>
      </w:r>
      <w:r w:rsidR="00F373A3" w:rsidRPr="00181FCD">
        <w:t xml:space="preserve"> </w:t>
      </w:r>
      <w:r w:rsidRPr="00181FCD">
        <w:t>con</w:t>
      </w:r>
      <w:r w:rsidR="00F373A3" w:rsidRPr="00181FCD">
        <w:t xml:space="preserve"> </w:t>
      </w:r>
      <w:r w:rsidRPr="00181FCD">
        <w:t>los</w:t>
      </w:r>
      <w:r w:rsidR="00F373A3" w:rsidRPr="00181FCD">
        <w:t xml:space="preserve"> </w:t>
      </w:r>
      <w:r w:rsidRPr="00181FCD">
        <w:t>requisitos</w:t>
      </w:r>
      <w:r w:rsidR="00F373A3" w:rsidRPr="00181FCD">
        <w:t xml:space="preserve"> </w:t>
      </w:r>
      <w:r w:rsidRPr="00181FCD">
        <w:t>europeos</w:t>
      </w:r>
      <w:r w:rsidR="00F373A3" w:rsidRPr="00181FCD">
        <w:t xml:space="preserve"> </w:t>
      </w:r>
      <w:r w:rsidRPr="00181FCD">
        <w:t>para</w:t>
      </w:r>
      <w:r w:rsidR="00F373A3" w:rsidRPr="00181FCD">
        <w:t xml:space="preserve"> </w:t>
      </w:r>
      <w:r w:rsidRPr="00181FCD">
        <w:t>el</w:t>
      </w:r>
      <w:r w:rsidR="00F373A3" w:rsidRPr="00181FCD">
        <w:t xml:space="preserve"> </w:t>
      </w:r>
      <w:r w:rsidRPr="00181FCD">
        <w:t>trato</w:t>
      </w:r>
      <w:r w:rsidR="00F373A3" w:rsidRPr="00181FCD">
        <w:t xml:space="preserve"> </w:t>
      </w:r>
      <w:r w:rsidRPr="00181FCD">
        <w:t>de</w:t>
      </w:r>
      <w:r w:rsidR="00F373A3" w:rsidRPr="00181FCD">
        <w:t xml:space="preserve"> </w:t>
      </w:r>
      <w:r w:rsidRPr="00181FCD">
        <w:t>los</w:t>
      </w:r>
      <w:r w:rsidR="00F373A3" w:rsidRPr="00181FCD">
        <w:t xml:space="preserve"> </w:t>
      </w:r>
      <w:r w:rsidRPr="00181FCD">
        <w:t>detenidos,</w:t>
      </w:r>
      <w:r w:rsidR="00F373A3" w:rsidRPr="00181FCD">
        <w:t xml:space="preserve"> </w:t>
      </w:r>
      <w:r w:rsidRPr="00181FCD">
        <w:t>que</w:t>
      </w:r>
      <w:r w:rsidR="00F373A3" w:rsidRPr="00181FCD">
        <w:t xml:space="preserve"> </w:t>
      </w:r>
      <w:r w:rsidRPr="00181FCD">
        <w:t>estaban</w:t>
      </w:r>
      <w:r w:rsidR="00F373A3" w:rsidRPr="00181FCD">
        <w:t xml:space="preserve"> </w:t>
      </w:r>
      <w:r w:rsidRPr="00181FCD">
        <w:t>alojados</w:t>
      </w:r>
      <w:r w:rsidR="00F373A3" w:rsidRPr="00181FCD">
        <w:t xml:space="preserve"> </w:t>
      </w:r>
      <w:r w:rsidRPr="00181FCD">
        <w:t>en</w:t>
      </w:r>
      <w:r w:rsidR="00F373A3" w:rsidRPr="00181FCD">
        <w:t xml:space="preserve"> </w:t>
      </w:r>
      <w:r w:rsidRPr="00181FCD">
        <w:t>instalaciones</w:t>
      </w:r>
      <w:r w:rsidR="00F373A3" w:rsidRPr="00181FCD">
        <w:t xml:space="preserve"> </w:t>
      </w:r>
      <w:r w:rsidRPr="00181FCD">
        <w:t>subterráneas</w:t>
      </w:r>
      <w:r w:rsidR="00F373A3" w:rsidRPr="00181FCD">
        <w:t xml:space="preserve"> </w:t>
      </w:r>
      <w:r w:rsidRPr="00181FCD">
        <w:t>y</w:t>
      </w:r>
      <w:r w:rsidR="00F373A3" w:rsidRPr="00181FCD">
        <w:t xml:space="preserve"> </w:t>
      </w:r>
      <w:r w:rsidRPr="00181FCD">
        <w:t>en</w:t>
      </w:r>
      <w:r w:rsidR="00F373A3" w:rsidRPr="00181FCD">
        <w:t xml:space="preserve"> </w:t>
      </w:r>
      <w:r w:rsidRPr="00181FCD">
        <w:t>condiciones</w:t>
      </w:r>
      <w:r w:rsidR="00F373A3" w:rsidRPr="00181FCD">
        <w:t xml:space="preserve"> </w:t>
      </w:r>
      <w:r w:rsidRPr="00181FCD">
        <w:t>materiales</w:t>
      </w:r>
      <w:r w:rsidR="00F373A3" w:rsidRPr="00181FCD">
        <w:t xml:space="preserve"> </w:t>
      </w:r>
      <w:r w:rsidRPr="00181FCD">
        <w:t>precarias.</w:t>
      </w:r>
      <w:r w:rsidR="00F373A3" w:rsidRPr="00181FCD">
        <w:t xml:space="preserve"> </w:t>
      </w:r>
    </w:p>
    <w:p w:rsidR="001937F4" w:rsidRPr="00181FCD" w:rsidRDefault="001937F4" w:rsidP="00347B20">
      <w:pPr>
        <w:pStyle w:val="SingleTxtG"/>
        <w:suppressAutoHyphens/>
      </w:pPr>
      <w:r w:rsidRPr="00181FCD">
        <w:t>180.</w:t>
      </w:r>
      <w:r w:rsidRPr="00181FCD">
        <w:tab/>
        <w:t>En</w:t>
      </w:r>
      <w:r w:rsidR="00F373A3" w:rsidRPr="00181FCD">
        <w:t xml:space="preserve"> </w:t>
      </w:r>
      <w:r w:rsidRPr="00181FCD">
        <w:t>la</w:t>
      </w:r>
      <w:r w:rsidR="00F373A3" w:rsidRPr="00181FCD">
        <w:t xml:space="preserve"> </w:t>
      </w:r>
      <w:r w:rsidRPr="00181FCD">
        <w:t>actualidad</w:t>
      </w:r>
      <w:r w:rsidR="00F373A3" w:rsidRPr="00181FCD">
        <w:t xml:space="preserve"> </w:t>
      </w:r>
      <w:r w:rsidRPr="00181FCD">
        <w:t>hay</w:t>
      </w:r>
      <w:r w:rsidR="00F373A3" w:rsidRPr="00181FCD">
        <w:t xml:space="preserve"> </w:t>
      </w:r>
      <w:r w:rsidRPr="00181FCD">
        <w:t>34</w:t>
      </w:r>
      <w:r w:rsidR="00F373A3" w:rsidRPr="00181FCD">
        <w:t xml:space="preserve"> </w:t>
      </w:r>
      <w:r w:rsidRPr="00181FCD">
        <w:t>centros</w:t>
      </w:r>
      <w:r w:rsidR="00F373A3" w:rsidRPr="00181FCD">
        <w:t xml:space="preserve"> </w:t>
      </w:r>
      <w:r w:rsidRPr="00181FCD">
        <w:t>de</w:t>
      </w:r>
      <w:r w:rsidR="00F373A3" w:rsidRPr="00181FCD">
        <w:t xml:space="preserve"> </w:t>
      </w:r>
      <w:r w:rsidRPr="00181FCD">
        <w:t>detención</w:t>
      </w:r>
      <w:r w:rsidR="00F373A3" w:rsidRPr="00181FCD">
        <w:t xml:space="preserve"> </w:t>
      </w:r>
      <w:r w:rsidRPr="00181FCD">
        <w:t>en</w:t>
      </w:r>
      <w:r w:rsidR="00F373A3" w:rsidRPr="00181FCD">
        <w:t xml:space="preserve"> </w:t>
      </w:r>
      <w:r w:rsidRPr="00181FCD">
        <w:t>funcionamiento</w:t>
      </w:r>
      <w:r w:rsidR="00F373A3" w:rsidRPr="00181FCD">
        <w:t xml:space="preserve"> </w:t>
      </w:r>
      <w:r w:rsidRPr="00181FCD">
        <w:t>en</w:t>
      </w:r>
      <w:r w:rsidR="00F373A3" w:rsidRPr="00181FCD">
        <w:t xml:space="preserve"> </w:t>
      </w:r>
      <w:r w:rsidRPr="00181FCD">
        <w:t>el</w:t>
      </w:r>
      <w:r w:rsidR="00F373A3" w:rsidRPr="00181FCD">
        <w:t xml:space="preserve"> </w:t>
      </w:r>
      <w:r w:rsidRPr="00181FCD">
        <w:t>territorio</w:t>
      </w:r>
      <w:r w:rsidR="00F373A3" w:rsidRPr="00181FCD">
        <w:t xml:space="preserve"> </w:t>
      </w:r>
      <w:r w:rsidRPr="00181FCD">
        <w:t>de</w:t>
      </w:r>
      <w:r w:rsidR="00F373A3" w:rsidRPr="00181FCD">
        <w:t xml:space="preserve"> </w:t>
      </w:r>
      <w:r w:rsidRPr="00181FCD">
        <w:t>Bulgaria.</w:t>
      </w:r>
      <w:r w:rsidR="00F373A3" w:rsidRPr="00181FCD">
        <w:t xml:space="preserve"> </w:t>
      </w:r>
      <w:r w:rsidRPr="00181FCD">
        <w:t>De</w:t>
      </w:r>
      <w:r w:rsidR="00F373A3" w:rsidRPr="00181FCD">
        <w:t xml:space="preserve"> </w:t>
      </w:r>
      <w:r w:rsidRPr="00181FCD">
        <w:t>conformidad</w:t>
      </w:r>
      <w:r w:rsidR="00F373A3" w:rsidRPr="00181FCD">
        <w:t xml:space="preserve"> </w:t>
      </w:r>
      <w:r w:rsidRPr="00181FCD">
        <w:t>con</w:t>
      </w:r>
      <w:r w:rsidR="00F373A3" w:rsidRPr="00181FCD">
        <w:t xml:space="preserve"> </w:t>
      </w:r>
      <w:r w:rsidRPr="00181FCD">
        <w:t>lo</w:t>
      </w:r>
      <w:r w:rsidR="00F373A3" w:rsidRPr="00181FCD">
        <w:t xml:space="preserve"> </w:t>
      </w:r>
      <w:r w:rsidRPr="00181FCD">
        <w:t>dispuesto</w:t>
      </w:r>
      <w:r w:rsidR="00F373A3" w:rsidRPr="00181FCD">
        <w:t xml:space="preserve"> </w:t>
      </w:r>
      <w:r w:rsidRPr="00181FCD">
        <w:t>en</w:t>
      </w:r>
      <w:r w:rsidR="00F373A3" w:rsidRPr="00181FCD">
        <w:t xml:space="preserve"> </w:t>
      </w:r>
      <w:r w:rsidRPr="00181FCD">
        <w:t>el</w:t>
      </w:r>
      <w:r w:rsidR="00F373A3" w:rsidRPr="00181FCD">
        <w:t xml:space="preserve"> </w:t>
      </w:r>
      <w:r w:rsidRPr="00181FCD">
        <w:t>Marco</w:t>
      </w:r>
      <w:r w:rsidR="00F373A3" w:rsidRPr="00181FCD">
        <w:t xml:space="preserve"> </w:t>
      </w:r>
      <w:r w:rsidRPr="00181FCD">
        <w:t>de</w:t>
      </w:r>
      <w:r w:rsidR="00F373A3" w:rsidRPr="00181FCD">
        <w:t xml:space="preserve"> </w:t>
      </w:r>
      <w:r w:rsidRPr="00181FCD">
        <w:t>referencia</w:t>
      </w:r>
      <w:r w:rsidR="00F373A3" w:rsidRPr="00181FCD">
        <w:t xml:space="preserve"> </w:t>
      </w:r>
      <w:r w:rsidRPr="00181FCD">
        <w:t>para</w:t>
      </w:r>
      <w:r w:rsidR="00F373A3" w:rsidRPr="00181FCD">
        <w:t xml:space="preserve"> </w:t>
      </w:r>
      <w:r w:rsidRPr="00181FCD">
        <w:t>el</w:t>
      </w:r>
      <w:r w:rsidR="00F373A3" w:rsidRPr="00181FCD">
        <w:t xml:space="preserve"> </w:t>
      </w:r>
      <w:r w:rsidRPr="00181FCD">
        <w:t>establecimiento</w:t>
      </w:r>
      <w:r w:rsidR="00F373A3" w:rsidRPr="00181FCD">
        <w:t xml:space="preserve"> </w:t>
      </w:r>
      <w:r w:rsidRPr="00181FCD">
        <w:t>de</w:t>
      </w:r>
      <w:r w:rsidR="00F373A3" w:rsidRPr="00181FCD">
        <w:t xml:space="preserve"> </w:t>
      </w:r>
      <w:r w:rsidRPr="00181FCD">
        <w:t>las</w:t>
      </w:r>
      <w:r w:rsidR="00F373A3" w:rsidRPr="00181FCD">
        <w:t xml:space="preserve"> </w:t>
      </w:r>
      <w:r w:rsidRPr="00181FCD">
        <w:t>prioridades</w:t>
      </w:r>
      <w:r w:rsidR="00F373A3" w:rsidRPr="00181FCD">
        <w:t xml:space="preserve"> </w:t>
      </w:r>
      <w:r w:rsidRPr="00181FCD">
        <w:t>en</w:t>
      </w:r>
      <w:r w:rsidR="00F373A3" w:rsidRPr="00181FCD">
        <w:t xml:space="preserve"> </w:t>
      </w:r>
      <w:r w:rsidRPr="00181FCD">
        <w:t>la</w:t>
      </w:r>
      <w:r w:rsidR="00F373A3" w:rsidRPr="00181FCD">
        <w:t xml:space="preserve"> </w:t>
      </w:r>
      <w:r w:rsidRPr="00181FCD">
        <w:t>gestión</w:t>
      </w:r>
      <w:r w:rsidR="00F373A3" w:rsidRPr="00181FCD">
        <w:t xml:space="preserve"> </w:t>
      </w:r>
      <w:r w:rsidRPr="00181FCD">
        <w:t>del</w:t>
      </w:r>
      <w:r w:rsidR="00F373A3" w:rsidRPr="00181FCD">
        <w:t xml:space="preserve"> </w:t>
      </w:r>
      <w:r w:rsidRPr="00181FCD">
        <w:t>Director</w:t>
      </w:r>
      <w:r w:rsidR="00F373A3" w:rsidRPr="00181FCD">
        <w:t xml:space="preserve"> </w:t>
      </w:r>
      <w:r w:rsidRPr="00181FCD">
        <w:t>de</w:t>
      </w:r>
      <w:r w:rsidR="00F373A3" w:rsidRPr="00181FCD">
        <w:t xml:space="preserve"> </w:t>
      </w:r>
      <w:r w:rsidRPr="00181FCD">
        <w:t>la</w:t>
      </w:r>
      <w:r w:rsidR="00F373A3" w:rsidRPr="00181FCD">
        <w:t xml:space="preserve"> </w:t>
      </w:r>
      <w:r w:rsidRPr="00181FCD">
        <w:t>Dirección</w:t>
      </w:r>
      <w:r w:rsidR="00F373A3" w:rsidRPr="00181FCD">
        <w:t xml:space="preserve"> </w:t>
      </w:r>
      <w:r w:rsidRPr="00181FCD">
        <w:t>General</w:t>
      </w:r>
      <w:r w:rsidR="00F373A3" w:rsidRPr="00181FCD">
        <w:t xml:space="preserve"> </w:t>
      </w:r>
      <w:r w:rsidRPr="00181FCD">
        <w:t>de</w:t>
      </w:r>
      <w:r w:rsidR="00F373A3" w:rsidRPr="00181FCD">
        <w:t xml:space="preserve"> </w:t>
      </w:r>
      <w:r w:rsidRPr="00181FCD">
        <w:t>Ejecución</w:t>
      </w:r>
      <w:r w:rsidR="00F373A3" w:rsidRPr="00181FCD">
        <w:t xml:space="preserve"> </w:t>
      </w:r>
      <w:r w:rsidRPr="00181FCD">
        <w:t>de</w:t>
      </w:r>
      <w:r w:rsidR="00F373A3" w:rsidRPr="00181FCD">
        <w:t xml:space="preserve"> </w:t>
      </w:r>
      <w:r w:rsidRPr="00181FCD">
        <w:t>Penas,</w:t>
      </w:r>
      <w:r w:rsidR="00F373A3" w:rsidRPr="00181FCD">
        <w:t xml:space="preserve"> </w:t>
      </w:r>
      <w:r w:rsidRPr="00181FCD">
        <w:t>dirigido</w:t>
      </w:r>
      <w:r w:rsidR="00F373A3" w:rsidRPr="00181FCD">
        <w:t xml:space="preserve"> </w:t>
      </w:r>
      <w:r w:rsidRPr="00181FCD">
        <w:t>al</w:t>
      </w:r>
      <w:r w:rsidR="00F373A3" w:rsidRPr="00181FCD">
        <w:t xml:space="preserve"> </w:t>
      </w:r>
      <w:r w:rsidRPr="00181FCD">
        <w:t>Ministro</w:t>
      </w:r>
      <w:r w:rsidR="00F373A3" w:rsidRPr="00181FCD">
        <w:t xml:space="preserve"> </w:t>
      </w:r>
      <w:r w:rsidRPr="00181FCD">
        <w:t>de</w:t>
      </w:r>
      <w:r w:rsidR="00F373A3" w:rsidRPr="00181FCD">
        <w:t xml:space="preserve"> </w:t>
      </w:r>
      <w:r w:rsidRPr="00181FCD">
        <w:t>Justicia,</w:t>
      </w:r>
      <w:r w:rsidR="00F373A3" w:rsidRPr="00181FCD">
        <w:t xml:space="preserve"> </w:t>
      </w:r>
      <w:r w:rsidRPr="00181FCD">
        <w:t>en</w:t>
      </w:r>
      <w:r w:rsidR="00F373A3" w:rsidRPr="00181FCD">
        <w:t xml:space="preserve"> </w:t>
      </w:r>
      <w:r w:rsidRPr="00181FCD">
        <w:t>el</w:t>
      </w:r>
      <w:r w:rsidR="00F373A3" w:rsidRPr="00181FCD">
        <w:t xml:space="preserve"> </w:t>
      </w:r>
      <w:r w:rsidRPr="00181FCD">
        <w:t>punto</w:t>
      </w:r>
      <w:r w:rsidR="00F373A3" w:rsidRPr="00181FCD">
        <w:t xml:space="preserve"> </w:t>
      </w:r>
      <w:r w:rsidRPr="00181FCD">
        <w:t>2</w:t>
      </w:r>
      <w:r w:rsidR="00F373A3" w:rsidRPr="00181FCD">
        <w:t xml:space="preserve"> </w:t>
      </w:r>
      <w:r w:rsidRPr="00181FCD">
        <w:t>del</w:t>
      </w:r>
      <w:r w:rsidR="00F373A3" w:rsidRPr="00181FCD">
        <w:t xml:space="preserve"> </w:t>
      </w:r>
      <w:r w:rsidRPr="00181FCD">
        <w:t>capítulo</w:t>
      </w:r>
      <w:r w:rsidR="00F373A3" w:rsidRPr="00181FCD">
        <w:t xml:space="preserve"> </w:t>
      </w:r>
      <w:r w:rsidRPr="00181FCD">
        <w:t>IV</w:t>
      </w:r>
      <w:r w:rsidR="00F373A3" w:rsidRPr="00181FCD">
        <w:t xml:space="preserve"> </w:t>
      </w:r>
      <w:r w:rsidRPr="00181FCD">
        <w:t>del</w:t>
      </w:r>
      <w:r w:rsidR="00F373A3" w:rsidRPr="00181FCD">
        <w:t xml:space="preserve"> </w:t>
      </w:r>
      <w:r w:rsidRPr="00181FCD">
        <w:t>documento</w:t>
      </w:r>
      <w:r w:rsidR="00F373A3" w:rsidRPr="00181FCD">
        <w:t xml:space="preserve"> </w:t>
      </w:r>
      <w:r w:rsidRPr="00181FCD">
        <w:t>de</w:t>
      </w:r>
      <w:r w:rsidR="00F373A3" w:rsidRPr="00181FCD">
        <w:t xml:space="preserve"> "</w:t>
      </w:r>
      <w:r w:rsidRPr="00181FCD">
        <w:t>Medidas</w:t>
      </w:r>
      <w:r w:rsidR="00F373A3" w:rsidRPr="00181FCD">
        <w:t xml:space="preserve"> </w:t>
      </w:r>
      <w:r w:rsidRPr="00181FCD">
        <w:t>de</w:t>
      </w:r>
      <w:r w:rsidR="00F373A3" w:rsidRPr="00181FCD">
        <w:t xml:space="preserve"> </w:t>
      </w:r>
      <w:r w:rsidRPr="00181FCD">
        <w:t>organización</w:t>
      </w:r>
      <w:r w:rsidR="00F373A3" w:rsidRPr="00181FCD">
        <w:t xml:space="preserve"> </w:t>
      </w:r>
      <w:r w:rsidRPr="00181FCD">
        <w:t>en</w:t>
      </w:r>
      <w:r w:rsidR="00F373A3" w:rsidRPr="00181FCD">
        <w:t xml:space="preserve"> </w:t>
      </w:r>
      <w:r w:rsidRPr="00181FCD">
        <w:t>la</w:t>
      </w:r>
      <w:r w:rsidR="00F373A3" w:rsidRPr="00181FCD">
        <w:t xml:space="preserve"> </w:t>
      </w:r>
      <w:r w:rsidRPr="00181FCD">
        <w:t>Dirección</w:t>
      </w:r>
      <w:r w:rsidR="00F373A3" w:rsidRPr="00181FCD">
        <w:t xml:space="preserve"> </w:t>
      </w:r>
      <w:r w:rsidRPr="00181FCD">
        <w:t>General</w:t>
      </w:r>
      <w:r w:rsidR="00F373A3" w:rsidRPr="00181FCD">
        <w:t xml:space="preserve"> </w:t>
      </w:r>
      <w:r w:rsidRPr="00181FCD">
        <w:t>de</w:t>
      </w:r>
      <w:r w:rsidR="00F373A3" w:rsidRPr="00181FCD">
        <w:t xml:space="preserve"> </w:t>
      </w:r>
      <w:r w:rsidRPr="00181FCD">
        <w:t>Ejecución</w:t>
      </w:r>
      <w:r w:rsidR="00F373A3" w:rsidRPr="00181FCD">
        <w:t xml:space="preserve"> </w:t>
      </w:r>
      <w:r w:rsidRPr="00181FCD">
        <w:t>de</w:t>
      </w:r>
      <w:r w:rsidR="00F373A3" w:rsidRPr="00181FCD">
        <w:t xml:space="preserve"> </w:t>
      </w:r>
      <w:r w:rsidRPr="00181FCD">
        <w:t>Penas</w:t>
      </w:r>
      <w:r w:rsidR="00F373A3" w:rsidRPr="00181FCD">
        <w:t>"</w:t>
      </w:r>
      <w:r w:rsidRPr="00181FCD">
        <w:t>,</w:t>
      </w:r>
      <w:r w:rsidR="00F373A3" w:rsidRPr="00181FCD">
        <w:t xml:space="preserve"> </w:t>
      </w:r>
      <w:r w:rsidRPr="00181FCD">
        <w:t>está</w:t>
      </w:r>
      <w:r w:rsidR="00F373A3" w:rsidRPr="00181FCD">
        <w:t xml:space="preserve"> </w:t>
      </w:r>
      <w:r w:rsidRPr="00181FCD">
        <w:t>en</w:t>
      </w:r>
      <w:r w:rsidR="00F373A3" w:rsidRPr="00181FCD">
        <w:t xml:space="preserve"> </w:t>
      </w:r>
      <w:r w:rsidRPr="00181FCD">
        <w:t>curso</w:t>
      </w:r>
      <w:r w:rsidR="00F373A3" w:rsidRPr="00181FCD">
        <w:t xml:space="preserve"> </w:t>
      </w:r>
      <w:r w:rsidRPr="00181FCD">
        <w:t>la</w:t>
      </w:r>
      <w:r w:rsidR="00F373A3" w:rsidRPr="00181FCD">
        <w:t xml:space="preserve"> </w:t>
      </w:r>
      <w:r w:rsidRPr="00181FCD">
        <w:t>reubicación</w:t>
      </w:r>
      <w:r w:rsidR="00F373A3" w:rsidRPr="00181FCD">
        <w:t xml:space="preserve"> </w:t>
      </w:r>
      <w:r w:rsidRPr="00181FCD">
        <w:t>gradual</w:t>
      </w:r>
      <w:r w:rsidR="00F373A3" w:rsidRPr="00181FCD">
        <w:t xml:space="preserve"> </w:t>
      </w:r>
      <w:r w:rsidRPr="00181FCD">
        <w:t>de</w:t>
      </w:r>
      <w:r w:rsidR="00F373A3" w:rsidRPr="00181FCD">
        <w:t xml:space="preserve"> </w:t>
      </w:r>
      <w:r w:rsidRPr="00181FCD">
        <w:t>los</w:t>
      </w:r>
      <w:r w:rsidR="00F373A3" w:rsidRPr="00181FCD">
        <w:t xml:space="preserve"> </w:t>
      </w:r>
      <w:r w:rsidRPr="00181FCD">
        <w:t>centros</w:t>
      </w:r>
      <w:r w:rsidR="00F373A3" w:rsidRPr="00181FCD">
        <w:t xml:space="preserve"> </w:t>
      </w:r>
      <w:r w:rsidRPr="00181FCD">
        <w:t>de</w:t>
      </w:r>
      <w:r w:rsidR="00F373A3" w:rsidRPr="00181FCD">
        <w:t xml:space="preserve"> </w:t>
      </w:r>
      <w:r w:rsidRPr="00181FCD">
        <w:t>detención.</w:t>
      </w:r>
      <w:r w:rsidR="00F373A3" w:rsidRPr="00181FCD">
        <w:t xml:space="preserve"> </w:t>
      </w:r>
      <w:r w:rsidRPr="00181FCD">
        <w:t>Tras</w:t>
      </w:r>
      <w:r w:rsidR="00F373A3" w:rsidRPr="00181FCD">
        <w:t xml:space="preserve"> </w:t>
      </w:r>
      <w:r w:rsidRPr="00181FCD">
        <w:t>la</w:t>
      </w:r>
      <w:r w:rsidR="00F373A3" w:rsidRPr="00181FCD">
        <w:t xml:space="preserve"> </w:t>
      </w:r>
      <w:r w:rsidRPr="00181FCD">
        <w:t>reorganización,</w:t>
      </w:r>
      <w:r w:rsidR="00F373A3" w:rsidRPr="00181FCD">
        <w:t xml:space="preserve"> </w:t>
      </w:r>
      <w:r w:rsidRPr="00181FCD">
        <w:t>construcción</w:t>
      </w:r>
      <w:r w:rsidR="00F373A3" w:rsidRPr="00181FCD">
        <w:t xml:space="preserve"> </w:t>
      </w:r>
      <w:r w:rsidRPr="00181FCD">
        <w:t>y</w:t>
      </w:r>
      <w:r w:rsidR="00F373A3" w:rsidRPr="00181FCD">
        <w:t xml:space="preserve"> </w:t>
      </w:r>
      <w:r w:rsidRPr="00181FCD">
        <w:t>reconstrucción</w:t>
      </w:r>
      <w:r w:rsidR="00F373A3" w:rsidRPr="00181FCD">
        <w:t xml:space="preserve"> </w:t>
      </w:r>
      <w:r w:rsidRPr="00181FCD">
        <w:t>de</w:t>
      </w:r>
      <w:r w:rsidR="00F373A3" w:rsidRPr="00181FCD">
        <w:t xml:space="preserve"> </w:t>
      </w:r>
      <w:r w:rsidRPr="00181FCD">
        <w:t>edificios</w:t>
      </w:r>
      <w:r w:rsidR="00F373A3" w:rsidRPr="00181FCD">
        <w:t xml:space="preserve"> </w:t>
      </w:r>
      <w:r w:rsidRPr="00181FCD">
        <w:t>y</w:t>
      </w:r>
      <w:r w:rsidR="00F373A3" w:rsidRPr="00181FCD">
        <w:t xml:space="preserve"> </w:t>
      </w:r>
      <w:r w:rsidRPr="00181FCD">
        <w:t>locales</w:t>
      </w:r>
      <w:r w:rsidR="00F373A3" w:rsidRPr="00181FCD">
        <w:t xml:space="preserve"> </w:t>
      </w:r>
      <w:r w:rsidRPr="00181FCD">
        <w:t>en</w:t>
      </w:r>
      <w:r w:rsidR="00F373A3" w:rsidRPr="00181FCD">
        <w:t xml:space="preserve"> </w:t>
      </w:r>
      <w:r w:rsidRPr="00181FCD">
        <w:t>las</w:t>
      </w:r>
      <w:r w:rsidR="00F373A3" w:rsidRPr="00181FCD">
        <w:t xml:space="preserve"> </w:t>
      </w:r>
      <w:r w:rsidRPr="00181FCD">
        <w:t>diferentes</w:t>
      </w:r>
      <w:r w:rsidR="00F373A3" w:rsidRPr="00181FCD">
        <w:t xml:space="preserve"> </w:t>
      </w:r>
      <w:r w:rsidRPr="00181FCD">
        <w:t>regiones</w:t>
      </w:r>
      <w:r w:rsidR="00F373A3" w:rsidRPr="00181FCD">
        <w:t xml:space="preserve"> </w:t>
      </w:r>
      <w:r w:rsidRPr="00181FCD">
        <w:t>donde</w:t>
      </w:r>
      <w:r w:rsidR="00F373A3" w:rsidRPr="00181FCD">
        <w:t xml:space="preserve"> </w:t>
      </w:r>
      <w:r w:rsidRPr="00181FCD">
        <w:t>se</w:t>
      </w:r>
      <w:r w:rsidR="00F373A3" w:rsidRPr="00181FCD">
        <w:t xml:space="preserve"> </w:t>
      </w:r>
      <w:r w:rsidRPr="00181FCD">
        <w:t>encuentran</w:t>
      </w:r>
      <w:r w:rsidR="00F373A3" w:rsidRPr="00181FCD">
        <w:t xml:space="preserve"> </w:t>
      </w:r>
      <w:r w:rsidRPr="00181FCD">
        <w:t>las</w:t>
      </w:r>
      <w:r w:rsidR="00F373A3" w:rsidRPr="00181FCD">
        <w:t xml:space="preserve"> </w:t>
      </w:r>
      <w:r w:rsidRPr="00181FCD">
        <w:t>prisiones,</w:t>
      </w:r>
      <w:r w:rsidR="00F373A3" w:rsidRPr="00181FCD">
        <w:t xml:space="preserve"> </w:t>
      </w:r>
      <w:r w:rsidRPr="00181FCD">
        <w:t>se</w:t>
      </w:r>
      <w:r w:rsidR="00F373A3" w:rsidRPr="00181FCD">
        <w:t xml:space="preserve"> </w:t>
      </w:r>
      <w:r w:rsidRPr="00181FCD">
        <w:t>han</w:t>
      </w:r>
      <w:r w:rsidR="00F373A3" w:rsidRPr="00181FCD">
        <w:t xml:space="preserve"> </w:t>
      </w:r>
      <w:r w:rsidRPr="00181FCD">
        <w:t>realizado</w:t>
      </w:r>
      <w:r w:rsidR="00F373A3" w:rsidRPr="00181FCD">
        <w:t xml:space="preserve"> </w:t>
      </w:r>
      <w:r w:rsidRPr="00181FCD">
        <w:t>los</w:t>
      </w:r>
      <w:r w:rsidR="00F373A3" w:rsidRPr="00181FCD">
        <w:t xml:space="preserve"> </w:t>
      </w:r>
      <w:r w:rsidRPr="00181FCD">
        <w:t>siguientes</w:t>
      </w:r>
      <w:r w:rsidR="00F373A3" w:rsidRPr="00181FCD">
        <w:t xml:space="preserve"> </w:t>
      </w:r>
      <w:r w:rsidRPr="00181FCD">
        <w:t>traslados:</w:t>
      </w:r>
    </w:p>
    <w:p w:rsidR="001937F4" w:rsidRPr="00181FCD" w:rsidRDefault="001937F4" w:rsidP="00E924E7">
      <w:pPr>
        <w:pStyle w:val="Bullet1G"/>
      </w:pPr>
      <w:r w:rsidRPr="00181FCD">
        <w:t>Centro</w:t>
      </w:r>
      <w:r w:rsidR="00F373A3" w:rsidRPr="00181FCD">
        <w:t xml:space="preserve"> </w:t>
      </w:r>
      <w:r w:rsidRPr="00181FCD">
        <w:t>de</w:t>
      </w:r>
      <w:r w:rsidR="00F373A3" w:rsidRPr="00181FCD">
        <w:t xml:space="preserve"> </w:t>
      </w:r>
      <w:r w:rsidRPr="00181FCD">
        <w:t>detención</w:t>
      </w:r>
      <w:r w:rsidR="00F373A3" w:rsidRPr="00181FCD">
        <w:t xml:space="preserve"> </w:t>
      </w:r>
      <w:r w:rsidRPr="00181FCD">
        <w:t>de</w:t>
      </w:r>
      <w:r w:rsidR="00F373A3" w:rsidRPr="00181FCD">
        <w:t xml:space="preserve"> </w:t>
      </w:r>
      <w:r w:rsidRPr="00181FCD">
        <w:t>Burgas:</w:t>
      </w:r>
      <w:r w:rsidR="00F373A3" w:rsidRPr="00181FCD">
        <w:t xml:space="preserve"> </w:t>
      </w:r>
      <w:r w:rsidRPr="00181FCD">
        <w:t>trasladado</w:t>
      </w:r>
      <w:r w:rsidR="00F373A3" w:rsidRPr="00181FCD">
        <w:t xml:space="preserve"> </w:t>
      </w:r>
      <w:r w:rsidRPr="00181FCD">
        <w:t>a</w:t>
      </w:r>
      <w:r w:rsidR="00F373A3" w:rsidRPr="00181FCD">
        <w:t xml:space="preserve"> </w:t>
      </w:r>
      <w:r w:rsidRPr="00181FCD">
        <w:t>un</w:t>
      </w:r>
      <w:r w:rsidR="00F373A3" w:rsidRPr="00181FCD">
        <w:t xml:space="preserve"> </w:t>
      </w:r>
      <w:r w:rsidRPr="00181FCD">
        <w:t>edificio</w:t>
      </w:r>
      <w:r w:rsidR="00F373A3" w:rsidRPr="00181FCD">
        <w:t xml:space="preserve"> </w:t>
      </w:r>
      <w:r w:rsidRPr="00181FCD">
        <w:t>en</w:t>
      </w:r>
      <w:r w:rsidR="00F373A3" w:rsidRPr="00181FCD">
        <w:t xml:space="preserve"> </w:t>
      </w:r>
      <w:r w:rsidRPr="00181FCD">
        <w:t>la</w:t>
      </w:r>
      <w:r w:rsidR="00F373A3" w:rsidRPr="00181FCD">
        <w:t xml:space="preserve"> </w:t>
      </w:r>
      <w:r w:rsidRPr="00181FCD">
        <w:t>región</w:t>
      </w:r>
      <w:r w:rsidR="00F373A3" w:rsidRPr="00181FCD">
        <w:t xml:space="preserve"> </w:t>
      </w:r>
      <w:r w:rsidRPr="00181FCD">
        <w:t>de</w:t>
      </w:r>
      <w:r w:rsidR="00F373A3" w:rsidRPr="00181FCD">
        <w:t xml:space="preserve"> </w:t>
      </w:r>
      <w:r w:rsidRPr="00181FCD">
        <w:t>la</w:t>
      </w:r>
      <w:r w:rsidR="00F373A3" w:rsidRPr="00181FCD">
        <w:t xml:space="preserve"> </w:t>
      </w:r>
      <w:r w:rsidRPr="00181FCD">
        <w:t>cárcel</w:t>
      </w:r>
      <w:r w:rsidR="00F373A3" w:rsidRPr="00181FCD">
        <w:t xml:space="preserve"> </w:t>
      </w:r>
      <w:r w:rsidRPr="00181FCD">
        <w:t>de</w:t>
      </w:r>
      <w:r w:rsidR="00F373A3" w:rsidRPr="00181FCD">
        <w:t xml:space="preserve"> </w:t>
      </w:r>
      <w:r w:rsidR="00E924E7" w:rsidRPr="00181FCD">
        <w:t>Burgas;</w:t>
      </w:r>
    </w:p>
    <w:p w:rsidR="001937F4" w:rsidRPr="00181FCD" w:rsidRDefault="001937F4" w:rsidP="00E924E7">
      <w:pPr>
        <w:pStyle w:val="Bullet1G"/>
      </w:pPr>
      <w:r w:rsidRPr="00181FCD">
        <w:t>Centro</w:t>
      </w:r>
      <w:r w:rsidR="00F373A3" w:rsidRPr="00181FCD">
        <w:t xml:space="preserve"> </w:t>
      </w:r>
      <w:r w:rsidRPr="00181FCD">
        <w:t>de</w:t>
      </w:r>
      <w:r w:rsidR="00F373A3" w:rsidRPr="00181FCD">
        <w:t xml:space="preserve"> </w:t>
      </w:r>
      <w:r w:rsidRPr="00181FCD">
        <w:t>detención</w:t>
      </w:r>
      <w:r w:rsidR="00F373A3" w:rsidRPr="00181FCD">
        <w:t xml:space="preserve"> </w:t>
      </w:r>
      <w:r w:rsidRPr="00181FCD">
        <w:t>de</w:t>
      </w:r>
      <w:r w:rsidR="00F373A3" w:rsidRPr="00181FCD">
        <w:t xml:space="preserve"> </w:t>
      </w:r>
      <w:r w:rsidRPr="00181FCD">
        <w:t>Pleven:</w:t>
      </w:r>
      <w:r w:rsidR="00F373A3" w:rsidRPr="00181FCD">
        <w:t xml:space="preserve"> </w:t>
      </w:r>
      <w:r w:rsidRPr="00181FCD">
        <w:t>trasladado</w:t>
      </w:r>
      <w:r w:rsidR="00F373A3" w:rsidRPr="00181FCD">
        <w:t xml:space="preserve"> </w:t>
      </w:r>
      <w:r w:rsidRPr="00181FCD">
        <w:t>a</w:t>
      </w:r>
      <w:r w:rsidR="00F373A3" w:rsidRPr="00181FCD">
        <w:t xml:space="preserve"> </w:t>
      </w:r>
      <w:r w:rsidRPr="00181FCD">
        <w:t>un</w:t>
      </w:r>
      <w:r w:rsidR="00F373A3" w:rsidRPr="00181FCD">
        <w:t xml:space="preserve"> </w:t>
      </w:r>
      <w:r w:rsidRPr="00181FCD">
        <w:t>edificio</w:t>
      </w:r>
      <w:r w:rsidR="00F373A3" w:rsidRPr="00181FCD">
        <w:t xml:space="preserve"> </w:t>
      </w:r>
      <w:r w:rsidRPr="00181FCD">
        <w:t>en</w:t>
      </w:r>
      <w:r w:rsidR="00F373A3" w:rsidRPr="00181FCD">
        <w:t xml:space="preserve"> </w:t>
      </w:r>
      <w:r w:rsidRPr="00181FCD">
        <w:t>la</w:t>
      </w:r>
      <w:r w:rsidR="00F373A3" w:rsidRPr="00181FCD">
        <w:t xml:space="preserve"> </w:t>
      </w:r>
      <w:r w:rsidRPr="00181FCD">
        <w:t>región</w:t>
      </w:r>
      <w:r w:rsidR="00F373A3" w:rsidRPr="00181FCD">
        <w:t xml:space="preserve"> </w:t>
      </w:r>
      <w:r w:rsidRPr="00181FCD">
        <w:t>de</w:t>
      </w:r>
      <w:r w:rsidR="00F373A3" w:rsidRPr="00181FCD">
        <w:t xml:space="preserve"> </w:t>
      </w:r>
      <w:r w:rsidRPr="00181FCD">
        <w:t>la</w:t>
      </w:r>
      <w:r w:rsidR="00F373A3" w:rsidRPr="00181FCD">
        <w:t xml:space="preserve"> </w:t>
      </w:r>
      <w:r w:rsidRPr="00181FCD">
        <w:t>cárcel</w:t>
      </w:r>
      <w:r w:rsidR="00F373A3" w:rsidRPr="00181FCD">
        <w:t xml:space="preserve"> </w:t>
      </w:r>
      <w:r w:rsidRPr="00181FCD">
        <w:t>de</w:t>
      </w:r>
      <w:r w:rsidR="00F373A3" w:rsidRPr="00181FCD">
        <w:t xml:space="preserve"> </w:t>
      </w:r>
      <w:r w:rsidR="00E924E7" w:rsidRPr="00181FCD">
        <w:t>Pleven;</w:t>
      </w:r>
    </w:p>
    <w:p w:rsidR="001937F4" w:rsidRPr="00181FCD" w:rsidRDefault="001937F4" w:rsidP="00E924E7">
      <w:pPr>
        <w:pStyle w:val="Bullet1G"/>
      </w:pPr>
      <w:r w:rsidRPr="00181FCD">
        <w:t>Centro</w:t>
      </w:r>
      <w:r w:rsidR="00F373A3" w:rsidRPr="00181FCD">
        <w:t xml:space="preserve"> </w:t>
      </w:r>
      <w:r w:rsidRPr="00181FCD">
        <w:t>de</w:t>
      </w:r>
      <w:r w:rsidR="00F373A3" w:rsidRPr="00181FCD">
        <w:t xml:space="preserve"> </w:t>
      </w:r>
      <w:r w:rsidRPr="00181FCD">
        <w:t>detención</w:t>
      </w:r>
      <w:r w:rsidR="00F373A3" w:rsidRPr="00181FCD">
        <w:t xml:space="preserve"> </w:t>
      </w:r>
      <w:r w:rsidRPr="00181FCD">
        <w:t>de</w:t>
      </w:r>
      <w:r w:rsidR="00F373A3" w:rsidRPr="00181FCD">
        <w:t xml:space="preserve"> </w:t>
      </w:r>
      <w:r w:rsidRPr="00181FCD">
        <w:t>Shumen:</w:t>
      </w:r>
      <w:r w:rsidR="00F373A3" w:rsidRPr="00181FCD">
        <w:t xml:space="preserve"> </w:t>
      </w:r>
      <w:r w:rsidRPr="00181FCD">
        <w:t>trasladado</w:t>
      </w:r>
      <w:r w:rsidR="00F373A3" w:rsidRPr="00181FCD">
        <w:t xml:space="preserve"> </w:t>
      </w:r>
      <w:r w:rsidRPr="00181FCD">
        <w:t>al</w:t>
      </w:r>
      <w:r w:rsidR="00F373A3" w:rsidRPr="00181FCD">
        <w:t xml:space="preserve"> </w:t>
      </w:r>
      <w:r w:rsidRPr="00181FCD">
        <w:t>edificio</w:t>
      </w:r>
      <w:r w:rsidR="00F373A3" w:rsidRPr="00181FCD">
        <w:t xml:space="preserve"> </w:t>
      </w:r>
      <w:r w:rsidRPr="00181FCD">
        <w:t>del</w:t>
      </w:r>
      <w:r w:rsidR="00F373A3" w:rsidRPr="00181FCD">
        <w:t xml:space="preserve"> </w:t>
      </w:r>
      <w:r w:rsidRPr="00181FCD">
        <w:t>nuevo</w:t>
      </w:r>
      <w:r w:rsidR="00F373A3" w:rsidRPr="00181FCD">
        <w:t xml:space="preserve"> </w:t>
      </w:r>
      <w:r w:rsidRPr="00181FCD">
        <w:t>centro</w:t>
      </w:r>
      <w:r w:rsidR="00F373A3" w:rsidRPr="00181FCD">
        <w:t xml:space="preserve"> </w:t>
      </w:r>
      <w:r w:rsidRPr="00181FCD">
        <w:t>de</w:t>
      </w:r>
      <w:r w:rsidR="00F373A3" w:rsidRPr="00181FCD">
        <w:t xml:space="preserve"> </w:t>
      </w:r>
      <w:r w:rsidRPr="00181FCD">
        <w:t>detención,</w:t>
      </w:r>
      <w:r w:rsidR="00F373A3" w:rsidRPr="00181FCD">
        <w:t xml:space="preserve"> </w:t>
      </w:r>
      <w:r w:rsidRPr="00181FCD">
        <w:t>renovado</w:t>
      </w:r>
      <w:r w:rsidR="00F373A3" w:rsidRPr="00181FCD">
        <w:t xml:space="preserve"> </w:t>
      </w:r>
      <w:r w:rsidRPr="00181FCD">
        <w:t>con</w:t>
      </w:r>
      <w:r w:rsidR="00F373A3" w:rsidRPr="00181FCD">
        <w:t xml:space="preserve"> </w:t>
      </w:r>
      <w:r w:rsidRPr="00181FCD">
        <w:t>fondos</w:t>
      </w:r>
      <w:r w:rsidR="00F373A3" w:rsidRPr="00181FCD">
        <w:t xml:space="preserve"> </w:t>
      </w:r>
      <w:r w:rsidRPr="00181FCD">
        <w:t>concedidos</w:t>
      </w:r>
      <w:r w:rsidR="00F373A3" w:rsidRPr="00181FCD">
        <w:t xml:space="preserve"> </w:t>
      </w:r>
      <w:r w:rsidRPr="00181FCD">
        <w:t>por</w:t>
      </w:r>
      <w:r w:rsidR="00F373A3" w:rsidRPr="00181FCD">
        <w:t xml:space="preserve"> </w:t>
      </w:r>
      <w:r w:rsidRPr="00181FCD">
        <w:t>el</w:t>
      </w:r>
      <w:r w:rsidR="00F373A3" w:rsidRPr="00181FCD">
        <w:t xml:space="preserve"> </w:t>
      </w:r>
      <w:r w:rsidRPr="00181FCD">
        <w:t>Mecanismo</w:t>
      </w:r>
      <w:r w:rsidR="00F373A3" w:rsidRPr="00181FCD">
        <w:t xml:space="preserve"> </w:t>
      </w:r>
      <w:r w:rsidRPr="00181FCD">
        <w:t>Financiero</w:t>
      </w:r>
      <w:r w:rsidR="00F373A3" w:rsidRPr="00181FCD">
        <w:t xml:space="preserve"> </w:t>
      </w:r>
      <w:r w:rsidRPr="00181FCD">
        <w:t>Noruego</w:t>
      </w:r>
      <w:r w:rsidR="00F373A3" w:rsidRPr="00181FCD">
        <w:t xml:space="preserve"> </w:t>
      </w:r>
      <w:r w:rsidRPr="00181FCD">
        <w:t>y</w:t>
      </w:r>
      <w:r w:rsidR="00F373A3" w:rsidRPr="00181FCD">
        <w:t xml:space="preserve"> </w:t>
      </w:r>
      <w:r w:rsidRPr="00181FCD">
        <w:t>el</w:t>
      </w:r>
      <w:r w:rsidR="00F373A3" w:rsidRPr="00181FCD">
        <w:t xml:space="preserve"> </w:t>
      </w:r>
      <w:r w:rsidRPr="00181FCD">
        <w:t>Mecanismo</w:t>
      </w:r>
      <w:r w:rsidR="00F373A3" w:rsidRPr="00181FCD">
        <w:t xml:space="preserve"> </w:t>
      </w:r>
      <w:r w:rsidRPr="00181FCD">
        <w:t>Financiero</w:t>
      </w:r>
      <w:r w:rsidR="00F373A3" w:rsidRPr="00181FCD">
        <w:t xml:space="preserve"> </w:t>
      </w:r>
      <w:r w:rsidRPr="00181FCD">
        <w:t>del</w:t>
      </w:r>
      <w:r w:rsidR="00F373A3" w:rsidRPr="00181FCD">
        <w:t xml:space="preserve"> </w:t>
      </w:r>
      <w:r w:rsidRPr="00181FCD">
        <w:t>Espacio</w:t>
      </w:r>
      <w:r w:rsidR="00F373A3" w:rsidRPr="00181FCD">
        <w:t xml:space="preserve"> </w:t>
      </w:r>
      <w:r w:rsidRPr="00181FCD">
        <w:t>Económico</w:t>
      </w:r>
      <w:r w:rsidR="00F373A3" w:rsidRPr="00181FCD">
        <w:t xml:space="preserve"> </w:t>
      </w:r>
      <w:r w:rsidRPr="00181FCD">
        <w:t>Europeo.</w:t>
      </w:r>
    </w:p>
    <w:p w:rsidR="001937F4" w:rsidRPr="00181FCD" w:rsidRDefault="001937F4" w:rsidP="00347B20">
      <w:pPr>
        <w:pStyle w:val="SingleTxtG"/>
        <w:suppressAutoHyphens/>
      </w:pPr>
      <w:r w:rsidRPr="00181FCD">
        <w:t>181.</w:t>
      </w:r>
      <w:r w:rsidRPr="00181FCD">
        <w:tab/>
        <w:t>Después</w:t>
      </w:r>
      <w:r w:rsidR="00F373A3" w:rsidRPr="00181FCD">
        <w:t xml:space="preserve"> </w:t>
      </w:r>
      <w:r w:rsidRPr="00181FCD">
        <w:t>de</w:t>
      </w:r>
      <w:r w:rsidR="00F373A3" w:rsidRPr="00181FCD">
        <w:t xml:space="preserve"> </w:t>
      </w:r>
      <w:r w:rsidRPr="00181FCD">
        <w:t>obtener</w:t>
      </w:r>
      <w:r w:rsidR="00F373A3" w:rsidRPr="00181FCD">
        <w:t xml:space="preserve"> </w:t>
      </w:r>
      <w:r w:rsidRPr="00181FCD">
        <w:t>los</w:t>
      </w:r>
      <w:r w:rsidR="00F373A3" w:rsidRPr="00181FCD">
        <w:t xml:space="preserve"> </w:t>
      </w:r>
      <w:r w:rsidRPr="00181FCD">
        <w:t>fondos</w:t>
      </w:r>
      <w:r w:rsidR="00F373A3" w:rsidRPr="00181FCD">
        <w:t xml:space="preserve"> </w:t>
      </w:r>
      <w:r w:rsidRPr="00181FCD">
        <w:t>necesarios</w:t>
      </w:r>
      <w:r w:rsidR="00F373A3" w:rsidRPr="00181FCD">
        <w:t xml:space="preserve"> </w:t>
      </w:r>
      <w:r w:rsidRPr="00181FCD">
        <w:t>para</w:t>
      </w:r>
      <w:r w:rsidR="00F373A3" w:rsidRPr="00181FCD">
        <w:t xml:space="preserve"> </w:t>
      </w:r>
      <w:r w:rsidRPr="00181FCD">
        <w:t>la</w:t>
      </w:r>
      <w:r w:rsidR="00F373A3" w:rsidRPr="00181FCD">
        <w:t xml:space="preserve"> </w:t>
      </w:r>
      <w:r w:rsidRPr="00181FCD">
        <w:t>reconstrucción</w:t>
      </w:r>
      <w:r w:rsidR="00F373A3" w:rsidRPr="00181FCD">
        <w:t xml:space="preserve"> </w:t>
      </w:r>
      <w:r w:rsidRPr="00181FCD">
        <w:t>de</w:t>
      </w:r>
      <w:r w:rsidR="00F373A3" w:rsidRPr="00181FCD">
        <w:t xml:space="preserve"> </w:t>
      </w:r>
      <w:r w:rsidRPr="00181FCD">
        <w:t>locales</w:t>
      </w:r>
      <w:r w:rsidR="00F373A3" w:rsidRPr="00181FCD">
        <w:t xml:space="preserve"> </w:t>
      </w:r>
      <w:r w:rsidRPr="00181FCD">
        <w:t>y</w:t>
      </w:r>
      <w:r w:rsidR="00F373A3" w:rsidRPr="00181FCD">
        <w:t xml:space="preserve"> </w:t>
      </w:r>
      <w:r w:rsidRPr="00181FCD">
        <w:t>la</w:t>
      </w:r>
      <w:r w:rsidR="00F373A3" w:rsidRPr="00181FCD">
        <w:t xml:space="preserve"> </w:t>
      </w:r>
      <w:r w:rsidRPr="00181FCD">
        <w:t>construcción</w:t>
      </w:r>
      <w:r w:rsidR="00F373A3" w:rsidRPr="00181FCD">
        <w:t xml:space="preserve"> </w:t>
      </w:r>
      <w:r w:rsidRPr="00181FCD">
        <w:t>de</w:t>
      </w:r>
      <w:r w:rsidR="00F373A3" w:rsidRPr="00181FCD">
        <w:t xml:space="preserve"> </w:t>
      </w:r>
      <w:r w:rsidRPr="00181FCD">
        <w:t>instalaciones,</w:t>
      </w:r>
      <w:r w:rsidR="00F373A3" w:rsidRPr="00181FCD">
        <w:t xml:space="preserve"> </w:t>
      </w:r>
      <w:r w:rsidRPr="00181FCD">
        <w:t>de</w:t>
      </w:r>
      <w:r w:rsidR="00F373A3" w:rsidRPr="00181FCD">
        <w:t xml:space="preserve"> </w:t>
      </w:r>
      <w:r w:rsidRPr="00181FCD">
        <w:t>acuerdo</w:t>
      </w:r>
      <w:r w:rsidR="00F373A3" w:rsidRPr="00181FCD">
        <w:t xml:space="preserve"> </w:t>
      </w:r>
      <w:r w:rsidRPr="00181FCD">
        <w:t>con</w:t>
      </w:r>
      <w:r w:rsidR="00F373A3" w:rsidRPr="00181FCD">
        <w:t xml:space="preserve"> </w:t>
      </w:r>
      <w:r w:rsidRPr="00181FCD">
        <w:t>los</w:t>
      </w:r>
      <w:r w:rsidR="00F373A3" w:rsidRPr="00181FCD">
        <w:t xml:space="preserve"> </w:t>
      </w:r>
      <w:r w:rsidRPr="00181FCD">
        <w:t>requisitos</w:t>
      </w:r>
      <w:r w:rsidR="00F373A3" w:rsidRPr="00181FCD">
        <w:t xml:space="preserve"> </w:t>
      </w:r>
      <w:r w:rsidRPr="00181FCD">
        <w:t>exigidos,</w:t>
      </w:r>
      <w:r w:rsidR="00F373A3" w:rsidRPr="00181FCD">
        <w:t xml:space="preserve"> </w:t>
      </w:r>
      <w:r w:rsidRPr="00181FCD">
        <w:t>se</w:t>
      </w:r>
      <w:r w:rsidR="00F373A3" w:rsidRPr="00181FCD">
        <w:t xml:space="preserve"> </w:t>
      </w:r>
      <w:r w:rsidRPr="00181FCD">
        <w:t>prevé</w:t>
      </w:r>
      <w:r w:rsidR="00F373A3" w:rsidRPr="00181FCD">
        <w:t xml:space="preserve"> </w:t>
      </w:r>
      <w:r w:rsidRPr="00181FCD">
        <w:t>la</w:t>
      </w:r>
      <w:r w:rsidR="00F373A3" w:rsidRPr="00181FCD">
        <w:t xml:space="preserve"> </w:t>
      </w:r>
      <w:r w:rsidRPr="00181FCD">
        <w:t>reubicación</w:t>
      </w:r>
      <w:r w:rsidR="00F373A3" w:rsidRPr="00181FCD">
        <w:t xml:space="preserve"> </w:t>
      </w:r>
      <w:r w:rsidRPr="00181FCD">
        <w:t>de</w:t>
      </w:r>
      <w:r w:rsidR="00F373A3" w:rsidRPr="00181FCD">
        <w:t xml:space="preserve"> </w:t>
      </w:r>
      <w:r w:rsidRPr="00181FCD">
        <w:t>otros</w:t>
      </w:r>
      <w:r w:rsidR="00F373A3" w:rsidRPr="00181FCD">
        <w:t xml:space="preserve"> </w:t>
      </w:r>
      <w:r w:rsidRPr="00181FCD">
        <w:t>centros</w:t>
      </w:r>
      <w:r w:rsidR="00F373A3" w:rsidRPr="00181FCD">
        <w:t xml:space="preserve"> </w:t>
      </w:r>
      <w:r w:rsidRPr="00181FCD">
        <w:t>de</w:t>
      </w:r>
      <w:r w:rsidR="00F373A3" w:rsidRPr="00181FCD">
        <w:t xml:space="preserve"> </w:t>
      </w:r>
      <w:r w:rsidRPr="00181FCD">
        <w:t>detención:</w:t>
      </w:r>
    </w:p>
    <w:p w:rsidR="001937F4" w:rsidRPr="00181FCD" w:rsidRDefault="001937F4" w:rsidP="00E924E7">
      <w:pPr>
        <w:pStyle w:val="Bullet1G"/>
      </w:pPr>
      <w:r w:rsidRPr="00181FCD">
        <w:t>Centro</w:t>
      </w:r>
      <w:r w:rsidR="00F373A3" w:rsidRPr="00181FCD">
        <w:t xml:space="preserve"> </w:t>
      </w:r>
      <w:r w:rsidRPr="00181FCD">
        <w:t>de</w:t>
      </w:r>
      <w:r w:rsidR="00F373A3" w:rsidRPr="00181FCD">
        <w:t xml:space="preserve"> </w:t>
      </w:r>
      <w:r w:rsidRPr="00181FCD">
        <w:t>detención</w:t>
      </w:r>
      <w:r w:rsidR="00F373A3" w:rsidRPr="00181FCD">
        <w:t xml:space="preserve"> </w:t>
      </w:r>
      <w:r w:rsidRPr="00181FCD">
        <w:t>de</w:t>
      </w:r>
      <w:r w:rsidR="00F373A3" w:rsidRPr="00181FCD">
        <w:t xml:space="preserve"> </w:t>
      </w:r>
      <w:r w:rsidRPr="00181FCD">
        <w:t>Vratsa:</w:t>
      </w:r>
      <w:r w:rsidR="00F373A3" w:rsidRPr="00181FCD">
        <w:t xml:space="preserve"> </w:t>
      </w:r>
      <w:r w:rsidRPr="00181FCD">
        <w:t>se</w:t>
      </w:r>
      <w:r w:rsidR="00F373A3" w:rsidRPr="00181FCD">
        <w:t xml:space="preserve"> </w:t>
      </w:r>
      <w:r w:rsidRPr="00181FCD">
        <w:t>trasladará</w:t>
      </w:r>
      <w:r w:rsidR="00F373A3" w:rsidRPr="00181FCD">
        <w:t xml:space="preserve"> </w:t>
      </w:r>
      <w:r w:rsidRPr="00181FCD">
        <w:t>a</w:t>
      </w:r>
      <w:r w:rsidR="00F373A3" w:rsidRPr="00181FCD">
        <w:t xml:space="preserve"> </w:t>
      </w:r>
      <w:r w:rsidRPr="00181FCD">
        <w:t>la</w:t>
      </w:r>
      <w:r w:rsidR="00F373A3" w:rsidRPr="00181FCD">
        <w:t xml:space="preserve"> </w:t>
      </w:r>
      <w:r w:rsidRPr="00181FCD">
        <w:t>primera</w:t>
      </w:r>
      <w:r w:rsidR="00F373A3" w:rsidRPr="00181FCD">
        <w:t xml:space="preserve"> </w:t>
      </w:r>
      <w:r w:rsidRPr="00181FCD">
        <w:t>planta</w:t>
      </w:r>
      <w:r w:rsidR="00F373A3" w:rsidRPr="00181FCD">
        <w:t xml:space="preserve"> </w:t>
      </w:r>
      <w:r w:rsidRPr="00181FCD">
        <w:t>del</w:t>
      </w:r>
      <w:r w:rsidR="00F373A3" w:rsidRPr="00181FCD">
        <w:t xml:space="preserve"> </w:t>
      </w:r>
      <w:r w:rsidRPr="00181FCD">
        <w:t>edificio</w:t>
      </w:r>
      <w:r w:rsidR="00F373A3" w:rsidRPr="00181FCD">
        <w:t xml:space="preserve"> </w:t>
      </w:r>
      <w:r w:rsidRPr="00181FCD">
        <w:t>principal</w:t>
      </w:r>
      <w:r w:rsidR="00F373A3" w:rsidRPr="00181FCD">
        <w:t xml:space="preserve"> </w:t>
      </w:r>
      <w:r w:rsidRPr="00181FCD">
        <w:t>de</w:t>
      </w:r>
      <w:r w:rsidR="00F373A3" w:rsidRPr="00181FCD">
        <w:t xml:space="preserve"> </w:t>
      </w:r>
      <w:r w:rsidRPr="00181FCD">
        <w:t>la</w:t>
      </w:r>
      <w:r w:rsidR="00F373A3" w:rsidRPr="00181FCD">
        <w:t xml:space="preserve"> </w:t>
      </w:r>
      <w:r w:rsidRPr="00181FCD">
        <w:t>cárcel</w:t>
      </w:r>
      <w:r w:rsidR="00F373A3" w:rsidRPr="00181FCD">
        <w:t xml:space="preserve"> </w:t>
      </w:r>
      <w:r w:rsidRPr="00181FCD">
        <w:t>de</w:t>
      </w:r>
      <w:r w:rsidR="00F373A3" w:rsidRPr="00181FCD">
        <w:t xml:space="preserve"> </w:t>
      </w:r>
      <w:r w:rsidR="00E924E7" w:rsidRPr="00181FCD">
        <w:t>Vratsa.</w:t>
      </w:r>
    </w:p>
    <w:p w:rsidR="001937F4" w:rsidRPr="00181FCD" w:rsidRDefault="001937F4" w:rsidP="00E924E7">
      <w:pPr>
        <w:pStyle w:val="Bullet1G"/>
      </w:pPr>
      <w:r w:rsidRPr="00181FCD">
        <w:t>Centro</w:t>
      </w:r>
      <w:r w:rsidR="00F373A3" w:rsidRPr="00181FCD">
        <w:t xml:space="preserve"> </w:t>
      </w:r>
      <w:r w:rsidRPr="00181FCD">
        <w:t>de</w:t>
      </w:r>
      <w:r w:rsidR="00F373A3" w:rsidRPr="00181FCD">
        <w:t xml:space="preserve"> </w:t>
      </w:r>
      <w:r w:rsidRPr="00181FCD">
        <w:t>detención</w:t>
      </w:r>
      <w:r w:rsidR="00F373A3" w:rsidRPr="00181FCD">
        <w:t xml:space="preserve"> </w:t>
      </w:r>
      <w:r w:rsidRPr="00181FCD">
        <w:t>de</w:t>
      </w:r>
      <w:r w:rsidR="00F373A3" w:rsidRPr="00181FCD">
        <w:t xml:space="preserve"> </w:t>
      </w:r>
      <w:r w:rsidRPr="00181FCD">
        <w:t>Sliven:</w:t>
      </w:r>
      <w:r w:rsidR="00F373A3" w:rsidRPr="00181FCD">
        <w:t xml:space="preserve"> </w:t>
      </w:r>
      <w:r w:rsidRPr="00181FCD">
        <w:t>se</w:t>
      </w:r>
      <w:r w:rsidR="00F373A3" w:rsidRPr="00181FCD">
        <w:t xml:space="preserve"> </w:t>
      </w:r>
      <w:r w:rsidRPr="00181FCD">
        <w:t>trasladará</w:t>
      </w:r>
      <w:r w:rsidR="00F373A3" w:rsidRPr="00181FCD">
        <w:t xml:space="preserve"> </w:t>
      </w:r>
      <w:r w:rsidRPr="00181FCD">
        <w:t>al</w:t>
      </w:r>
      <w:r w:rsidR="00F373A3" w:rsidRPr="00181FCD">
        <w:t xml:space="preserve"> </w:t>
      </w:r>
      <w:r w:rsidRPr="00181FCD">
        <w:t>edificio</w:t>
      </w:r>
      <w:r w:rsidR="00F373A3" w:rsidRPr="00181FCD">
        <w:t xml:space="preserve"> </w:t>
      </w:r>
      <w:r w:rsidRPr="00181FCD">
        <w:t>situado</w:t>
      </w:r>
      <w:r w:rsidR="00F373A3" w:rsidRPr="00181FCD">
        <w:t xml:space="preserve"> </w:t>
      </w:r>
      <w:r w:rsidRPr="00181FCD">
        <w:t>en</w:t>
      </w:r>
      <w:r w:rsidR="00F373A3" w:rsidRPr="00181FCD">
        <w:t xml:space="preserve"> </w:t>
      </w:r>
      <w:r w:rsidRPr="00181FCD">
        <w:t>el</w:t>
      </w:r>
      <w:r w:rsidR="00F373A3" w:rsidRPr="00181FCD">
        <w:t xml:space="preserve"> </w:t>
      </w:r>
      <w:r w:rsidRPr="00181FCD">
        <w:t>territorio</w:t>
      </w:r>
      <w:r w:rsidR="00F373A3" w:rsidRPr="00181FCD">
        <w:t xml:space="preserve"> </w:t>
      </w:r>
      <w:r w:rsidRPr="00181FCD">
        <w:t>de</w:t>
      </w:r>
      <w:r w:rsidR="00F373A3" w:rsidRPr="00181FCD">
        <w:t xml:space="preserve"> </w:t>
      </w:r>
      <w:r w:rsidRPr="00181FCD">
        <w:t>la</w:t>
      </w:r>
      <w:r w:rsidR="00F373A3" w:rsidRPr="00181FCD">
        <w:t xml:space="preserve"> </w:t>
      </w:r>
      <w:r w:rsidRPr="00181FCD">
        <w:t>cárcel</w:t>
      </w:r>
      <w:r w:rsidR="00F373A3" w:rsidRPr="00181FCD">
        <w:t xml:space="preserve"> </w:t>
      </w:r>
      <w:r w:rsidRPr="00181FCD">
        <w:t>de</w:t>
      </w:r>
      <w:r w:rsidR="00F373A3" w:rsidRPr="00181FCD">
        <w:t xml:space="preserve"> </w:t>
      </w:r>
      <w:r w:rsidRPr="00181FCD">
        <w:t>Sliven.</w:t>
      </w:r>
    </w:p>
    <w:p w:rsidR="001937F4" w:rsidRPr="00181FCD" w:rsidRDefault="001937F4" w:rsidP="00E924E7">
      <w:pPr>
        <w:pStyle w:val="Bullet1G"/>
      </w:pPr>
      <w:r w:rsidRPr="00181FCD">
        <w:t>Centro</w:t>
      </w:r>
      <w:r w:rsidR="00F373A3" w:rsidRPr="00181FCD">
        <w:t xml:space="preserve"> </w:t>
      </w:r>
      <w:r w:rsidRPr="00181FCD">
        <w:t>de</w:t>
      </w:r>
      <w:r w:rsidR="00F373A3" w:rsidRPr="00181FCD">
        <w:t xml:space="preserve"> </w:t>
      </w:r>
      <w:r w:rsidRPr="00181FCD">
        <w:t>detención</w:t>
      </w:r>
      <w:r w:rsidR="00F373A3" w:rsidRPr="00181FCD">
        <w:t xml:space="preserve"> </w:t>
      </w:r>
      <w:r w:rsidRPr="00181FCD">
        <w:t>de</w:t>
      </w:r>
      <w:r w:rsidR="00F373A3" w:rsidRPr="00181FCD">
        <w:t xml:space="preserve"> </w:t>
      </w:r>
      <w:r w:rsidRPr="00181FCD">
        <w:t>Pazardzhik:</w:t>
      </w:r>
      <w:r w:rsidR="00F373A3" w:rsidRPr="00181FCD">
        <w:t xml:space="preserve"> </w:t>
      </w:r>
      <w:r w:rsidRPr="00181FCD">
        <w:t>se</w:t>
      </w:r>
      <w:r w:rsidR="00F373A3" w:rsidRPr="00181FCD">
        <w:t xml:space="preserve"> </w:t>
      </w:r>
      <w:r w:rsidRPr="00181FCD">
        <w:t>trasladará</w:t>
      </w:r>
      <w:r w:rsidR="00F373A3" w:rsidRPr="00181FCD">
        <w:t xml:space="preserve"> </w:t>
      </w:r>
      <w:r w:rsidRPr="00181FCD">
        <w:t>a</w:t>
      </w:r>
      <w:r w:rsidR="00F373A3" w:rsidRPr="00181FCD">
        <w:t xml:space="preserve"> </w:t>
      </w:r>
      <w:r w:rsidRPr="00181FCD">
        <w:t>una</w:t>
      </w:r>
      <w:r w:rsidR="00F373A3" w:rsidRPr="00181FCD">
        <w:t xml:space="preserve"> </w:t>
      </w:r>
      <w:r w:rsidRPr="00181FCD">
        <w:t>planta</w:t>
      </w:r>
      <w:r w:rsidR="00F373A3" w:rsidRPr="00181FCD">
        <w:t xml:space="preserve"> </w:t>
      </w:r>
      <w:r w:rsidRPr="00181FCD">
        <w:t>desocupada</w:t>
      </w:r>
      <w:r w:rsidR="00F373A3" w:rsidRPr="00181FCD">
        <w:t xml:space="preserve"> </w:t>
      </w:r>
      <w:r w:rsidRPr="00181FCD">
        <w:t>de</w:t>
      </w:r>
      <w:r w:rsidR="00F373A3" w:rsidRPr="00181FCD">
        <w:t xml:space="preserve"> </w:t>
      </w:r>
      <w:r w:rsidRPr="00181FCD">
        <w:t>la</w:t>
      </w:r>
      <w:r w:rsidR="00F373A3" w:rsidRPr="00181FCD">
        <w:t xml:space="preserve"> </w:t>
      </w:r>
      <w:r w:rsidRPr="00181FCD">
        <w:t>cárcel</w:t>
      </w:r>
      <w:r w:rsidR="00F373A3" w:rsidRPr="00181FCD">
        <w:t xml:space="preserve"> </w:t>
      </w:r>
      <w:r w:rsidRPr="00181FCD">
        <w:t>de</w:t>
      </w:r>
      <w:r w:rsidR="00F373A3" w:rsidRPr="00181FCD">
        <w:t xml:space="preserve"> </w:t>
      </w:r>
      <w:r w:rsidRPr="00181FCD">
        <w:t>Pazardzhik,</w:t>
      </w:r>
      <w:r w:rsidR="00F373A3" w:rsidRPr="00181FCD">
        <w:t xml:space="preserve"> </w:t>
      </w:r>
      <w:r w:rsidRPr="00181FCD">
        <w:t>tras</w:t>
      </w:r>
      <w:r w:rsidR="00F373A3" w:rsidRPr="00181FCD">
        <w:t xml:space="preserve"> </w:t>
      </w:r>
      <w:r w:rsidRPr="00181FCD">
        <w:t>la</w:t>
      </w:r>
      <w:r w:rsidR="00F373A3" w:rsidRPr="00181FCD">
        <w:t xml:space="preserve"> </w:t>
      </w:r>
      <w:r w:rsidRPr="00181FCD">
        <w:t>construcción</w:t>
      </w:r>
      <w:r w:rsidR="00F373A3" w:rsidRPr="00181FCD">
        <w:t xml:space="preserve"> </w:t>
      </w:r>
      <w:r w:rsidRPr="00181FCD">
        <w:t>de</w:t>
      </w:r>
      <w:r w:rsidR="00F373A3" w:rsidRPr="00181FCD">
        <w:t xml:space="preserve"> </w:t>
      </w:r>
      <w:r w:rsidRPr="00181FCD">
        <w:t>una</w:t>
      </w:r>
      <w:r w:rsidR="00F373A3" w:rsidRPr="00181FCD">
        <w:t xml:space="preserve"> </w:t>
      </w:r>
      <w:r w:rsidRPr="00181FCD">
        <w:t>entrada</w:t>
      </w:r>
      <w:r w:rsidR="00F373A3" w:rsidRPr="00181FCD">
        <w:t xml:space="preserve"> </w:t>
      </w:r>
      <w:r w:rsidRPr="00181FCD">
        <w:t>independiente</w:t>
      </w:r>
      <w:r w:rsidR="00F373A3" w:rsidRPr="00181FCD">
        <w:t xml:space="preserve"> </w:t>
      </w:r>
      <w:r w:rsidRPr="00181FCD">
        <w:t>para</w:t>
      </w:r>
      <w:r w:rsidR="00F373A3" w:rsidRPr="00181FCD">
        <w:t xml:space="preserve"> </w:t>
      </w:r>
      <w:r w:rsidRPr="00181FCD">
        <w:t>el</w:t>
      </w:r>
      <w:r w:rsidR="00F373A3" w:rsidRPr="00181FCD">
        <w:t xml:space="preserve"> </w:t>
      </w:r>
      <w:r w:rsidRPr="00181FCD">
        <w:t>centro</w:t>
      </w:r>
      <w:r w:rsidR="00F373A3" w:rsidRPr="00181FCD">
        <w:t xml:space="preserve"> </w:t>
      </w:r>
      <w:r w:rsidRPr="00181FCD">
        <w:t>de</w:t>
      </w:r>
      <w:r w:rsidR="00F373A3" w:rsidRPr="00181FCD">
        <w:t xml:space="preserve"> </w:t>
      </w:r>
      <w:r w:rsidRPr="00181FCD">
        <w:t>detención.</w:t>
      </w:r>
    </w:p>
    <w:p w:rsidR="001937F4" w:rsidRPr="00181FCD" w:rsidRDefault="001937F4" w:rsidP="00E924E7">
      <w:pPr>
        <w:pStyle w:val="Bullet1G"/>
      </w:pPr>
      <w:r w:rsidRPr="00181FCD">
        <w:t>Centro</w:t>
      </w:r>
      <w:r w:rsidR="00F373A3" w:rsidRPr="00181FCD">
        <w:t xml:space="preserve"> </w:t>
      </w:r>
      <w:r w:rsidRPr="00181FCD">
        <w:t>de</w:t>
      </w:r>
      <w:r w:rsidR="00F373A3" w:rsidRPr="00181FCD">
        <w:t xml:space="preserve"> </w:t>
      </w:r>
      <w:r w:rsidRPr="00181FCD">
        <w:t>detención</w:t>
      </w:r>
      <w:r w:rsidR="00F373A3" w:rsidRPr="00181FCD">
        <w:t xml:space="preserve"> </w:t>
      </w:r>
      <w:r w:rsidRPr="00181FCD">
        <w:t>de</w:t>
      </w:r>
      <w:r w:rsidR="00F373A3" w:rsidRPr="00181FCD">
        <w:t xml:space="preserve"> </w:t>
      </w:r>
      <w:r w:rsidRPr="00181FCD">
        <w:t>Dupnitsa:</w:t>
      </w:r>
      <w:r w:rsidR="00F373A3" w:rsidRPr="00181FCD">
        <w:t xml:space="preserve"> </w:t>
      </w:r>
      <w:r w:rsidRPr="00181FCD">
        <w:t>se</w:t>
      </w:r>
      <w:r w:rsidR="00F373A3" w:rsidRPr="00181FCD">
        <w:t xml:space="preserve"> </w:t>
      </w:r>
      <w:r w:rsidRPr="00181FCD">
        <w:t>trasladará</w:t>
      </w:r>
      <w:r w:rsidR="00F373A3" w:rsidRPr="00181FCD">
        <w:t xml:space="preserve"> </w:t>
      </w:r>
      <w:r w:rsidRPr="00181FCD">
        <w:t>a</w:t>
      </w:r>
      <w:r w:rsidR="00F373A3" w:rsidRPr="00181FCD">
        <w:t xml:space="preserve"> </w:t>
      </w:r>
      <w:r w:rsidRPr="00181FCD">
        <w:t>una</w:t>
      </w:r>
      <w:r w:rsidR="00F373A3" w:rsidRPr="00181FCD">
        <w:t xml:space="preserve"> </w:t>
      </w:r>
      <w:r w:rsidRPr="00181FCD">
        <w:t>planta</w:t>
      </w:r>
      <w:r w:rsidR="00F373A3" w:rsidRPr="00181FCD">
        <w:t xml:space="preserve"> </w:t>
      </w:r>
      <w:r w:rsidRPr="00181FCD">
        <w:t>asignada</w:t>
      </w:r>
      <w:r w:rsidR="00F373A3" w:rsidRPr="00181FCD">
        <w:t xml:space="preserve"> </w:t>
      </w:r>
      <w:r w:rsidRPr="00181FCD">
        <w:t>en</w:t>
      </w:r>
      <w:r w:rsidR="00F373A3" w:rsidRPr="00181FCD">
        <w:t xml:space="preserve"> </w:t>
      </w:r>
      <w:r w:rsidRPr="00181FCD">
        <w:t>el</w:t>
      </w:r>
      <w:r w:rsidR="00F373A3" w:rsidRPr="00181FCD">
        <w:t xml:space="preserve"> </w:t>
      </w:r>
      <w:r w:rsidRPr="00181FCD">
        <w:t>edificio</w:t>
      </w:r>
      <w:r w:rsidR="00F373A3" w:rsidRPr="00181FCD">
        <w:t xml:space="preserve"> </w:t>
      </w:r>
      <w:r w:rsidRPr="00181FCD">
        <w:t>de</w:t>
      </w:r>
      <w:r w:rsidR="00F373A3" w:rsidRPr="00181FCD">
        <w:t xml:space="preserve"> </w:t>
      </w:r>
      <w:r w:rsidRPr="00181FCD">
        <w:t>la</w:t>
      </w:r>
      <w:r w:rsidR="00F373A3" w:rsidRPr="00181FCD">
        <w:t xml:space="preserve"> </w:t>
      </w:r>
      <w:r w:rsidRPr="00181FCD">
        <w:t>prisión</w:t>
      </w:r>
      <w:r w:rsidR="00F373A3" w:rsidRPr="00181FCD">
        <w:t xml:space="preserve"> </w:t>
      </w:r>
      <w:r w:rsidRPr="00181FCD">
        <w:t>albergue</w:t>
      </w:r>
      <w:r w:rsidR="00F373A3" w:rsidRPr="00181FCD">
        <w:t xml:space="preserve"> </w:t>
      </w:r>
      <w:r w:rsidRPr="00181FCD">
        <w:t>de</w:t>
      </w:r>
      <w:r w:rsidR="00F373A3" w:rsidRPr="00181FCD">
        <w:t xml:space="preserve"> </w:t>
      </w:r>
      <w:r w:rsidRPr="00181FCD">
        <w:t>Samoranovo,</w:t>
      </w:r>
      <w:r w:rsidR="00F373A3" w:rsidRPr="00181FCD">
        <w:t xml:space="preserve"> </w:t>
      </w:r>
      <w:r w:rsidRPr="00181FCD">
        <w:t>que</w:t>
      </w:r>
      <w:r w:rsidR="00F373A3" w:rsidRPr="00181FCD">
        <w:t xml:space="preserve"> </w:t>
      </w:r>
      <w:r w:rsidRPr="00181FCD">
        <w:t>forma</w:t>
      </w:r>
      <w:r w:rsidR="00F373A3" w:rsidRPr="00181FCD">
        <w:t xml:space="preserve"> </w:t>
      </w:r>
      <w:r w:rsidRPr="00181FCD">
        <w:t>parte</w:t>
      </w:r>
      <w:r w:rsidR="00F373A3" w:rsidRPr="00181FCD">
        <w:t xml:space="preserve"> </w:t>
      </w:r>
      <w:r w:rsidRPr="00181FCD">
        <w:t>de</w:t>
      </w:r>
      <w:r w:rsidR="00F373A3" w:rsidRPr="00181FCD">
        <w:t xml:space="preserve"> </w:t>
      </w:r>
      <w:r w:rsidRPr="00181FCD">
        <w:t>la</w:t>
      </w:r>
      <w:r w:rsidR="00F373A3" w:rsidRPr="00181FCD">
        <w:t xml:space="preserve"> </w:t>
      </w:r>
      <w:r w:rsidRPr="00181FCD">
        <w:t>cárcel</w:t>
      </w:r>
      <w:r w:rsidR="00F373A3" w:rsidRPr="00181FCD">
        <w:t xml:space="preserve"> </w:t>
      </w:r>
      <w:r w:rsidRPr="00181FCD">
        <w:t>de</w:t>
      </w:r>
      <w:r w:rsidR="00F373A3" w:rsidRPr="00181FCD">
        <w:t xml:space="preserve"> </w:t>
      </w:r>
      <w:r w:rsidRPr="00181FCD">
        <w:t>Bobov</w:t>
      </w:r>
      <w:r w:rsidR="00F373A3" w:rsidRPr="00181FCD">
        <w:t xml:space="preserve"> </w:t>
      </w:r>
      <w:r w:rsidRPr="00181FCD">
        <w:t>Dol.</w:t>
      </w:r>
    </w:p>
    <w:p w:rsidR="001937F4" w:rsidRPr="00181FCD" w:rsidRDefault="001937F4" w:rsidP="00E924E7">
      <w:pPr>
        <w:pStyle w:val="Bullet1G"/>
      </w:pPr>
      <w:r w:rsidRPr="00181FCD">
        <w:t>Centro</w:t>
      </w:r>
      <w:r w:rsidR="00F373A3" w:rsidRPr="00181FCD">
        <w:t xml:space="preserve"> </w:t>
      </w:r>
      <w:r w:rsidRPr="00181FCD">
        <w:t>de</w:t>
      </w:r>
      <w:r w:rsidR="00F373A3" w:rsidRPr="00181FCD">
        <w:t xml:space="preserve"> </w:t>
      </w:r>
      <w:r w:rsidRPr="00181FCD">
        <w:t>detención</w:t>
      </w:r>
      <w:r w:rsidR="00F373A3" w:rsidRPr="00181FCD">
        <w:t xml:space="preserve"> </w:t>
      </w:r>
      <w:r w:rsidRPr="00181FCD">
        <w:t>de</w:t>
      </w:r>
      <w:r w:rsidR="00F373A3" w:rsidRPr="00181FCD">
        <w:t xml:space="preserve"> </w:t>
      </w:r>
      <w:r w:rsidRPr="00181FCD">
        <w:t>Kyustendil:</w:t>
      </w:r>
      <w:r w:rsidR="00F373A3" w:rsidRPr="00181FCD">
        <w:t xml:space="preserve"> </w:t>
      </w:r>
      <w:r w:rsidRPr="00181FCD">
        <w:t>se</w:t>
      </w:r>
      <w:r w:rsidR="00F373A3" w:rsidRPr="00181FCD">
        <w:t xml:space="preserve"> </w:t>
      </w:r>
      <w:r w:rsidRPr="00181FCD">
        <w:t>trasladará</w:t>
      </w:r>
      <w:r w:rsidR="00F373A3" w:rsidRPr="00181FCD">
        <w:t xml:space="preserve"> </w:t>
      </w:r>
      <w:r w:rsidRPr="00181FCD">
        <w:t>a</w:t>
      </w:r>
      <w:r w:rsidR="00F373A3" w:rsidRPr="00181FCD">
        <w:t xml:space="preserve"> </w:t>
      </w:r>
      <w:r w:rsidRPr="00181FCD">
        <w:t>la</w:t>
      </w:r>
      <w:r w:rsidR="00F373A3" w:rsidRPr="00181FCD">
        <w:t xml:space="preserve"> </w:t>
      </w:r>
      <w:r w:rsidRPr="00181FCD">
        <w:t>cárcel</w:t>
      </w:r>
      <w:r w:rsidR="00F373A3" w:rsidRPr="00181FCD">
        <w:t xml:space="preserve"> </w:t>
      </w:r>
      <w:r w:rsidRPr="00181FCD">
        <w:t>de</w:t>
      </w:r>
      <w:r w:rsidR="00F373A3" w:rsidRPr="00181FCD">
        <w:t xml:space="preserve"> </w:t>
      </w:r>
      <w:r w:rsidRPr="00181FCD">
        <w:t>Bobov</w:t>
      </w:r>
      <w:r w:rsidR="00F373A3" w:rsidRPr="00181FCD">
        <w:t xml:space="preserve"> </w:t>
      </w:r>
      <w:r w:rsidRPr="00181FCD">
        <w:t>Dol.</w:t>
      </w:r>
    </w:p>
    <w:p w:rsidR="001937F4" w:rsidRPr="00181FCD" w:rsidRDefault="001937F4" w:rsidP="00E924E7">
      <w:pPr>
        <w:pStyle w:val="Bullet1G"/>
      </w:pPr>
      <w:r w:rsidRPr="00181FCD">
        <w:t>Centro</w:t>
      </w:r>
      <w:r w:rsidR="00F373A3" w:rsidRPr="00181FCD">
        <w:t xml:space="preserve"> </w:t>
      </w:r>
      <w:r w:rsidRPr="00181FCD">
        <w:t>de</w:t>
      </w:r>
      <w:r w:rsidR="00F373A3" w:rsidRPr="00181FCD">
        <w:t xml:space="preserve"> </w:t>
      </w:r>
      <w:r w:rsidRPr="00181FCD">
        <w:t>detención</w:t>
      </w:r>
      <w:r w:rsidR="00F373A3" w:rsidRPr="00181FCD">
        <w:t xml:space="preserve"> </w:t>
      </w:r>
      <w:r w:rsidRPr="00181FCD">
        <w:t>de</w:t>
      </w:r>
      <w:r w:rsidR="00F373A3" w:rsidRPr="00181FCD">
        <w:t xml:space="preserve"> </w:t>
      </w:r>
      <w:r w:rsidRPr="00181FCD">
        <w:t>Lovech:</w:t>
      </w:r>
      <w:r w:rsidR="00F373A3" w:rsidRPr="00181FCD">
        <w:t xml:space="preserve"> </w:t>
      </w:r>
      <w:r w:rsidRPr="00181FCD">
        <w:t>se</w:t>
      </w:r>
      <w:r w:rsidR="00F373A3" w:rsidRPr="00181FCD">
        <w:t xml:space="preserve"> </w:t>
      </w:r>
      <w:r w:rsidRPr="00181FCD">
        <w:t>trasladará</w:t>
      </w:r>
      <w:r w:rsidR="00F373A3" w:rsidRPr="00181FCD">
        <w:t xml:space="preserve"> </w:t>
      </w:r>
      <w:r w:rsidRPr="00181FCD">
        <w:t>a</w:t>
      </w:r>
      <w:r w:rsidR="00F373A3" w:rsidRPr="00181FCD">
        <w:t xml:space="preserve"> </w:t>
      </w:r>
      <w:r w:rsidRPr="00181FCD">
        <w:t>una</w:t>
      </w:r>
      <w:r w:rsidR="00F373A3" w:rsidRPr="00181FCD">
        <w:t xml:space="preserve"> </w:t>
      </w:r>
      <w:r w:rsidRPr="00181FCD">
        <w:t>de</w:t>
      </w:r>
      <w:r w:rsidR="00F373A3" w:rsidRPr="00181FCD">
        <w:t xml:space="preserve"> </w:t>
      </w:r>
      <w:r w:rsidRPr="00181FCD">
        <w:t>las</w:t>
      </w:r>
      <w:r w:rsidR="00F373A3" w:rsidRPr="00181FCD">
        <w:t xml:space="preserve"> </w:t>
      </w:r>
      <w:r w:rsidRPr="00181FCD">
        <w:t>plantas</w:t>
      </w:r>
      <w:r w:rsidR="00F373A3" w:rsidRPr="00181FCD">
        <w:t xml:space="preserve"> </w:t>
      </w:r>
      <w:r w:rsidRPr="00181FCD">
        <w:t>del</w:t>
      </w:r>
      <w:r w:rsidR="00F373A3" w:rsidRPr="00181FCD">
        <w:t xml:space="preserve"> </w:t>
      </w:r>
      <w:r w:rsidRPr="00181FCD">
        <w:t>antiguo</w:t>
      </w:r>
      <w:r w:rsidR="00F373A3" w:rsidRPr="00181FCD">
        <w:t xml:space="preserve"> </w:t>
      </w:r>
      <w:r w:rsidRPr="00181FCD">
        <w:t>hospital,</w:t>
      </w:r>
      <w:r w:rsidR="00F373A3" w:rsidRPr="00181FCD">
        <w:t xml:space="preserve"> </w:t>
      </w:r>
      <w:r w:rsidRPr="00181FCD">
        <w:t>que</w:t>
      </w:r>
      <w:r w:rsidR="00F373A3" w:rsidRPr="00181FCD">
        <w:t xml:space="preserve"> </w:t>
      </w:r>
      <w:r w:rsidRPr="00181FCD">
        <w:t>forma</w:t>
      </w:r>
      <w:r w:rsidR="00F373A3" w:rsidRPr="00181FCD">
        <w:t xml:space="preserve"> </w:t>
      </w:r>
      <w:r w:rsidRPr="00181FCD">
        <w:t>parte</w:t>
      </w:r>
      <w:r w:rsidR="00F373A3" w:rsidRPr="00181FCD">
        <w:t xml:space="preserve"> </w:t>
      </w:r>
      <w:r w:rsidRPr="00181FCD">
        <w:t>del</w:t>
      </w:r>
      <w:r w:rsidR="00F373A3" w:rsidRPr="00181FCD">
        <w:t xml:space="preserve"> </w:t>
      </w:r>
      <w:r w:rsidRPr="00181FCD">
        <w:t>recinto</w:t>
      </w:r>
      <w:r w:rsidR="00F373A3" w:rsidRPr="00181FCD">
        <w:t xml:space="preserve"> </w:t>
      </w:r>
      <w:r w:rsidRPr="00181FCD">
        <w:t>de</w:t>
      </w:r>
      <w:r w:rsidR="00F373A3" w:rsidRPr="00181FCD">
        <w:t xml:space="preserve"> </w:t>
      </w:r>
      <w:r w:rsidRPr="00181FCD">
        <w:t>la</w:t>
      </w:r>
      <w:r w:rsidR="00F373A3" w:rsidRPr="00181FCD">
        <w:t xml:space="preserve"> </w:t>
      </w:r>
      <w:r w:rsidRPr="00181FCD">
        <w:t>cárcel</w:t>
      </w:r>
      <w:r w:rsidR="00F373A3" w:rsidRPr="00181FCD">
        <w:t xml:space="preserve"> </w:t>
      </w:r>
      <w:r w:rsidRPr="00181FCD">
        <w:t>de</w:t>
      </w:r>
      <w:r w:rsidR="00F373A3" w:rsidRPr="00181FCD">
        <w:t xml:space="preserve"> </w:t>
      </w:r>
      <w:r w:rsidRPr="00181FCD">
        <w:t>Lovech.</w:t>
      </w:r>
      <w:r w:rsidR="00F373A3" w:rsidRPr="00181FCD">
        <w:t xml:space="preserve"> </w:t>
      </w:r>
      <w:r w:rsidRPr="00181FCD">
        <w:t>A</w:t>
      </w:r>
      <w:r w:rsidR="00F373A3" w:rsidRPr="00181FCD">
        <w:t xml:space="preserve"> </w:t>
      </w:r>
      <w:r w:rsidRPr="00181FCD">
        <w:t>día</w:t>
      </w:r>
      <w:r w:rsidR="00F373A3" w:rsidRPr="00181FCD">
        <w:t xml:space="preserve"> </w:t>
      </w:r>
      <w:r w:rsidRPr="00181FCD">
        <w:t>de</w:t>
      </w:r>
      <w:r w:rsidR="00F373A3" w:rsidRPr="00181FCD">
        <w:t xml:space="preserve"> </w:t>
      </w:r>
      <w:r w:rsidRPr="00181FCD">
        <w:t>hoy</w:t>
      </w:r>
      <w:r w:rsidR="00F373A3" w:rsidRPr="00181FCD">
        <w:t xml:space="preserve"> </w:t>
      </w:r>
      <w:r w:rsidRPr="00181FCD">
        <w:t>se</w:t>
      </w:r>
      <w:r w:rsidR="00F373A3" w:rsidRPr="00181FCD">
        <w:t xml:space="preserve"> </w:t>
      </w:r>
      <w:r w:rsidRPr="00181FCD">
        <w:t>han</w:t>
      </w:r>
      <w:r w:rsidR="00F373A3" w:rsidRPr="00181FCD">
        <w:t xml:space="preserve"> </w:t>
      </w:r>
      <w:r w:rsidRPr="00181FCD">
        <w:t>realizado</w:t>
      </w:r>
      <w:r w:rsidR="00F373A3" w:rsidRPr="00181FCD">
        <w:t xml:space="preserve"> </w:t>
      </w:r>
      <w:r w:rsidRPr="00181FCD">
        <w:t>obras</w:t>
      </w:r>
      <w:r w:rsidR="00F373A3" w:rsidRPr="00181FCD">
        <w:t xml:space="preserve"> </w:t>
      </w:r>
      <w:r w:rsidRPr="00181FCD">
        <w:t>para</w:t>
      </w:r>
      <w:r w:rsidR="00F373A3" w:rsidRPr="00181FCD">
        <w:t xml:space="preserve"> </w:t>
      </w:r>
      <w:r w:rsidRPr="00181FCD">
        <w:t>dividir</w:t>
      </w:r>
      <w:r w:rsidR="00F373A3" w:rsidRPr="00181FCD">
        <w:t xml:space="preserve"> </w:t>
      </w:r>
      <w:r w:rsidRPr="00181FCD">
        <w:t>las</w:t>
      </w:r>
      <w:r w:rsidR="00F373A3" w:rsidRPr="00181FCD">
        <w:t xml:space="preserve"> </w:t>
      </w:r>
      <w:r w:rsidRPr="00181FCD">
        <w:t>celdas</w:t>
      </w:r>
      <w:r w:rsidR="00F373A3" w:rsidRPr="00181FCD">
        <w:t xml:space="preserve"> </w:t>
      </w:r>
      <w:r w:rsidRPr="00181FCD">
        <w:t>en</w:t>
      </w:r>
      <w:r w:rsidR="00F373A3" w:rsidRPr="00181FCD">
        <w:t xml:space="preserve"> </w:t>
      </w:r>
      <w:r w:rsidRPr="00181FCD">
        <w:t>las</w:t>
      </w:r>
      <w:r w:rsidR="00F373A3" w:rsidRPr="00181FCD">
        <w:t xml:space="preserve"> </w:t>
      </w:r>
      <w:r w:rsidRPr="00181FCD">
        <w:t>plantas</w:t>
      </w:r>
      <w:r w:rsidR="00F373A3" w:rsidRPr="00181FCD">
        <w:t xml:space="preserve"> </w:t>
      </w:r>
      <w:r w:rsidRPr="00181FCD">
        <w:t>respectivas,</w:t>
      </w:r>
      <w:r w:rsidR="00F373A3" w:rsidRPr="00181FCD">
        <w:t xml:space="preserve"> </w:t>
      </w:r>
      <w:r w:rsidRPr="00181FCD">
        <w:t>crear</w:t>
      </w:r>
      <w:r w:rsidR="00F373A3" w:rsidRPr="00181FCD">
        <w:t xml:space="preserve"> </w:t>
      </w:r>
      <w:r w:rsidRPr="00181FCD">
        <w:t>un</w:t>
      </w:r>
      <w:r w:rsidR="00F373A3" w:rsidRPr="00181FCD">
        <w:t xml:space="preserve"> </w:t>
      </w:r>
      <w:r w:rsidRPr="00181FCD">
        <w:t>espacio</w:t>
      </w:r>
      <w:r w:rsidR="00F373A3" w:rsidRPr="00181FCD">
        <w:t xml:space="preserve"> </w:t>
      </w:r>
      <w:r w:rsidRPr="00181FCD">
        <w:t>al</w:t>
      </w:r>
      <w:r w:rsidR="00F373A3" w:rsidRPr="00181FCD">
        <w:t xml:space="preserve"> </w:t>
      </w:r>
      <w:r w:rsidRPr="00181FCD">
        <w:t>aire</w:t>
      </w:r>
      <w:r w:rsidR="00F373A3" w:rsidRPr="00181FCD">
        <w:t xml:space="preserve"> </w:t>
      </w:r>
      <w:r w:rsidRPr="00181FCD">
        <w:t>libre,</w:t>
      </w:r>
      <w:r w:rsidR="00F373A3" w:rsidRPr="00181FCD">
        <w:t xml:space="preserve"> </w:t>
      </w:r>
      <w:r w:rsidRPr="00181FCD">
        <w:t>locales</w:t>
      </w:r>
      <w:r w:rsidR="00F373A3" w:rsidRPr="00181FCD">
        <w:t xml:space="preserve"> </w:t>
      </w:r>
      <w:r w:rsidRPr="00181FCD">
        <w:t>para</w:t>
      </w:r>
      <w:r w:rsidR="00F373A3" w:rsidRPr="00181FCD">
        <w:t xml:space="preserve"> </w:t>
      </w:r>
      <w:r w:rsidRPr="00181FCD">
        <w:t>actividades</w:t>
      </w:r>
      <w:r w:rsidR="00F373A3" w:rsidRPr="00181FCD">
        <w:t xml:space="preserve"> </w:t>
      </w:r>
      <w:r w:rsidRPr="00181FCD">
        <w:t>relacionadas</w:t>
      </w:r>
      <w:r w:rsidR="00F373A3" w:rsidRPr="00181FCD">
        <w:t xml:space="preserve"> </w:t>
      </w:r>
      <w:r w:rsidRPr="00181FCD">
        <w:t>con</w:t>
      </w:r>
      <w:r w:rsidR="00F373A3" w:rsidRPr="00181FCD">
        <w:t xml:space="preserve"> </w:t>
      </w:r>
      <w:r w:rsidRPr="00181FCD">
        <w:t>el</w:t>
      </w:r>
      <w:r w:rsidR="00F373A3" w:rsidRPr="00181FCD">
        <w:t xml:space="preserve"> </w:t>
      </w:r>
      <w:r w:rsidRPr="00181FCD">
        <w:t>procedimiento</w:t>
      </w:r>
      <w:r w:rsidR="00F373A3" w:rsidRPr="00181FCD">
        <w:t xml:space="preserve"> </w:t>
      </w:r>
      <w:r w:rsidRPr="00181FCD">
        <w:t>o</w:t>
      </w:r>
      <w:r w:rsidR="00F373A3" w:rsidRPr="00181FCD">
        <w:t xml:space="preserve"> </w:t>
      </w:r>
      <w:r w:rsidRPr="00181FCD">
        <w:t>la</w:t>
      </w:r>
      <w:r w:rsidR="00F373A3" w:rsidRPr="00181FCD">
        <w:t xml:space="preserve"> </w:t>
      </w:r>
      <w:r w:rsidRPr="00181FCD">
        <w:t>investigación,</w:t>
      </w:r>
      <w:r w:rsidR="00F373A3" w:rsidRPr="00181FCD">
        <w:t xml:space="preserve"> </w:t>
      </w:r>
      <w:r w:rsidRPr="00181FCD">
        <w:t>espacios</w:t>
      </w:r>
      <w:r w:rsidR="00F373A3" w:rsidRPr="00181FCD">
        <w:t xml:space="preserve"> </w:t>
      </w:r>
      <w:r w:rsidRPr="00181FCD">
        <w:t>comunes</w:t>
      </w:r>
      <w:r w:rsidR="00F373A3" w:rsidRPr="00181FCD">
        <w:t xml:space="preserve"> </w:t>
      </w:r>
      <w:r w:rsidRPr="00181FCD">
        <w:t>y</w:t>
      </w:r>
      <w:r w:rsidR="00F373A3" w:rsidRPr="00181FCD">
        <w:t xml:space="preserve"> </w:t>
      </w:r>
      <w:r w:rsidRPr="00181FCD">
        <w:t>espacios</w:t>
      </w:r>
      <w:r w:rsidR="00F373A3" w:rsidRPr="00181FCD">
        <w:t xml:space="preserve"> </w:t>
      </w:r>
      <w:r w:rsidRPr="00181FCD">
        <w:t>para</w:t>
      </w:r>
      <w:r w:rsidR="00F373A3" w:rsidRPr="00181FCD">
        <w:t xml:space="preserve"> </w:t>
      </w:r>
      <w:r w:rsidRPr="00181FCD">
        <w:t>usos</w:t>
      </w:r>
      <w:r w:rsidR="00F373A3" w:rsidRPr="00181FCD">
        <w:t xml:space="preserve"> </w:t>
      </w:r>
      <w:r w:rsidRPr="00181FCD">
        <w:t>sanitarios</w:t>
      </w:r>
      <w:r w:rsidR="00F373A3" w:rsidRPr="00181FCD">
        <w:t xml:space="preserve"> </w:t>
      </w:r>
      <w:r w:rsidRPr="00181FCD">
        <w:t>y</w:t>
      </w:r>
      <w:r w:rsidR="00F373A3" w:rsidRPr="00181FCD">
        <w:t xml:space="preserve"> </w:t>
      </w:r>
      <w:r w:rsidRPr="00181FCD">
        <w:t>locales</w:t>
      </w:r>
      <w:r w:rsidR="00F373A3" w:rsidRPr="00181FCD">
        <w:t xml:space="preserve"> </w:t>
      </w:r>
      <w:r w:rsidRPr="00181FCD">
        <w:t>para</w:t>
      </w:r>
      <w:r w:rsidR="00F373A3" w:rsidRPr="00181FCD">
        <w:t xml:space="preserve"> </w:t>
      </w:r>
      <w:r w:rsidRPr="00181FCD">
        <w:t>la</w:t>
      </w:r>
      <w:r w:rsidR="00F373A3" w:rsidRPr="00181FCD">
        <w:t xml:space="preserve"> </w:t>
      </w:r>
      <w:r w:rsidRPr="00181FCD">
        <w:t>administración</w:t>
      </w:r>
      <w:r w:rsidR="00F373A3" w:rsidRPr="00181FCD">
        <w:t xml:space="preserve"> </w:t>
      </w:r>
      <w:r w:rsidRPr="00181FCD">
        <w:t>de</w:t>
      </w:r>
      <w:r w:rsidR="00F373A3" w:rsidRPr="00181FCD">
        <w:t xml:space="preserve"> </w:t>
      </w:r>
      <w:r w:rsidRPr="00181FCD">
        <w:t>la</w:t>
      </w:r>
      <w:r w:rsidR="00F373A3" w:rsidRPr="00181FCD">
        <w:t xml:space="preserve"> </w:t>
      </w:r>
      <w:r w:rsidRPr="00181FCD">
        <w:t>prisión.</w:t>
      </w:r>
      <w:r w:rsidR="00F373A3" w:rsidRPr="00181FCD">
        <w:t xml:space="preserve"> </w:t>
      </w:r>
      <w:r w:rsidRPr="00181FCD">
        <w:t>El</w:t>
      </w:r>
      <w:r w:rsidR="00F373A3" w:rsidRPr="00181FCD">
        <w:t xml:space="preserve"> </w:t>
      </w:r>
      <w:r w:rsidRPr="00181FCD">
        <w:t>nuevo</w:t>
      </w:r>
      <w:r w:rsidR="00F373A3" w:rsidRPr="00181FCD">
        <w:t xml:space="preserve"> </w:t>
      </w:r>
      <w:r w:rsidRPr="00181FCD">
        <w:t>centro</w:t>
      </w:r>
      <w:r w:rsidR="00F373A3" w:rsidRPr="00181FCD">
        <w:t xml:space="preserve"> </w:t>
      </w:r>
      <w:r w:rsidRPr="00181FCD">
        <w:t>de</w:t>
      </w:r>
      <w:r w:rsidR="00F373A3" w:rsidRPr="00181FCD">
        <w:t xml:space="preserve"> </w:t>
      </w:r>
      <w:r w:rsidRPr="00181FCD">
        <w:t>detención</w:t>
      </w:r>
      <w:r w:rsidR="00F373A3" w:rsidRPr="00181FCD">
        <w:t xml:space="preserve"> </w:t>
      </w:r>
      <w:r w:rsidRPr="00181FCD">
        <w:t>ubicado</w:t>
      </w:r>
      <w:r w:rsidR="00F373A3" w:rsidRPr="00181FCD">
        <w:t xml:space="preserve"> </w:t>
      </w:r>
      <w:r w:rsidRPr="00181FCD">
        <w:t>en</w:t>
      </w:r>
      <w:r w:rsidR="00F373A3" w:rsidRPr="00181FCD">
        <w:t xml:space="preserve"> </w:t>
      </w:r>
      <w:r w:rsidRPr="00181FCD">
        <w:t>Lovech</w:t>
      </w:r>
      <w:r w:rsidR="00F373A3" w:rsidRPr="00181FCD">
        <w:t xml:space="preserve"> </w:t>
      </w:r>
      <w:r w:rsidRPr="00181FCD">
        <w:t>entrará</w:t>
      </w:r>
      <w:r w:rsidR="00F373A3" w:rsidRPr="00181FCD">
        <w:t xml:space="preserve"> </w:t>
      </w:r>
      <w:r w:rsidRPr="00181FCD">
        <w:t>en</w:t>
      </w:r>
      <w:r w:rsidR="00F373A3" w:rsidRPr="00181FCD">
        <w:t xml:space="preserve"> </w:t>
      </w:r>
      <w:r w:rsidRPr="00181FCD">
        <w:t>servicio</w:t>
      </w:r>
      <w:r w:rsidR="00F373A3" w:rsidRPr="00181FCD">
        <w:t xml:space="preserve"> </w:t>
      </w:r>
      <w:r w:rsidRPr="00181FCD">
        <w:t>a</w:t>
      </w:r>
      <w:r w:rsidR="00F373A3" w:rsidRPr="00181FCD">
        <w:t xml:space="preserve"> </w:t>
      </w:r>
      <w:r w:rsidRPr="00181FCD">
        <w:t>finales</w:t>
      </w:r>
      <w:r w:rsidR="00F373A3" w:rsidRPr="00181FCD">
        <w:t xml:space="preserve"> </w:t>
      </w:r>
      <w:r w:rsidRPr="00181FCD">
        <w:t>de</w:t>
      </w:r>
      <w:r w:rsidR="00F373A3" w:rsidRPr="00181FCD">
        <w:t xml:space="preserve"> </w:t>
      </w:r>
      <w:r w:rsidRPr="00181FCD">
        <w:t>2015</w:t>
      </w:r>
      <w:r w:rsidR="00F373A3" w:rsidRPr="00181FCD">
        <w:t xml:space="preserve"> </w:t>
      </w:r>
      <w:r w:rsidRPr="00181FCD">
        <w:t>y</w:t>
      </w:r>
      <w:r w:rsidR="00F373A3" w:rsidRPr="00181FCD">
        <w:t xml:space="preserve"> </w:t>
      </w:r>
      <w:r w:rsidRPr="00181FCD">
        <w:t>el</w:t>
      </w:r>
      <w:r w:rsidR="00F373A3" w:rsidRPr="00181FCD">
        <w:t xml:space="preserve"> </w:t>
      </w:r>
      <w:r w:rsidRPr="00181FCD">
        <w:t>antiguo</w:t>
      </w:r>
      <w:r w:rsidR="00F373A3" w:rsidRPr="00181FCD">
        <w:t xml:space="preserve"> </w:t>
      </w:r>
      <w:r w:rsidRPr="00181FCD">
        <w:t>se</w:t>
      </w:r>
      <w:r w:rsidR="00F373A3" w:rsidRPr="00181FCD">
        <w:t xml:space="preserve"> </w:t>
      </w:r>
      <w:r w:rsidRPr="00181FCD">
        <w:t>cerrará.</w:t>
      </w:r>
    </w:p>
    <w:p w:rsidR="001937F4" w:rsidRPr="00181FCD" w:rsidRDefault="00E924E7" w:rsidP="00E924E7">
      <w:pPr>
        <w:pStyle w:val="H23G"/>
      </w:pPr>
      <w:r w:rsidRPr="00181FCD">
        <w:tab/>
      </w:r>
      <w:r w:rsidRPr="00181FCD">
        <w:tab/>
      </w:r>
      <w:r w:rsidR="001937F4" w:rsidRPr="00181FCD">
        <w:t>Respuesta</w:t>
      </w:r>
      <w:r w:rsidR="00F373A3" w:rsidRPr="00181FCD">
        <w:t xml:space="preserve"> </w:t>
      </w:r>
      <w:r w:rsidR="001937F4" w:rsidRPr="00181FCD">
        <w:t>a</w:t>
      </w:r>
      <w:r w:rsidR="00F373A3" w:rsidRPr="00181FCD">
        <w:t xml:space="preserve"> </w:t>
      </w:r>
      <w:r w:rsidR="001937F4" w:rsidRPr="00181FCD">
        <w:t>las</w:t>
      </w:r>
      <w:r w:rsidR="00F373A3" w:rsidRPr="00181FCD">
        <w:t xml:space="preserve"> </w:t>
      </w:r>
      <w:r w:rsidR="001937F4" w:rsidRPr="00181FCD">
        <w:t>cuestiones</w:t>
      </w:r>
      <w:r w:rsidR="00F373A3" w:rsidRPr="00181FCD">
        <w:t xml:space="preserve"> </w:t>
      </w:r>
      <w:r w:rsidR="001937F4" w:rsidRPr="00181FCD">
        <w:t>planteadas</w:t>
      </w:r>
      <w:r w:rsidR="00F373A3" w:rsidRPr="00181FCD">
        <w:t xml:space="preserve"> </w:t>
      </w:r>
      <w:r w:rsidR="001937F4" w:rsidRPr="00181FCD">
        <w:t>en</w:t>
      </w:r>
      <w:r w:rsidR="00F373A3" w:rsidRPr="00181FCD">
        <w:t xml:space="preserve"> </w:t>
      </w:r>
      <w:r w:rsidR="001937F4" w:rsidRPr="00181FCD">
        <w:t>el</w:t>
      </w:r>
      <w:r w:rsidR="00F373A3" w:rsidRPr="00181FCD">
        <w:t xml:space="preserve"> </w:t>
      </w:r>
      <w:r w:rsidR="001937F4" w:rsidRPr="00181FCD">
        <w:t>párrafo</w:t>
      </w:r>
      <w:r w:rsidR="00F373A3" w:rsidRPr="00181FCD">
        <w:t xml:space="preserve"> </w:t>
      </w:r>
      <w:r w:rsidR="001937F4" w:rsidRPr="00181FCD">
        <w:t>20</w:t>
      </w:r>
      <w:r w:rsidR="00F373A3" w:rsidRPr="00181FCD">
        <w:t xml:space="preserve"> </w:t>
      </w:r>
      <w:r w:rsidR="001937F4" w:rsidRPr="00181FCD">
        <w:t>de</w:t>
      </w:r>
      <w:r w:rsidR="00F373A3" w:rsidRPr="00181FCD">
        <w:t xml:space="preserve"> </w:t>
      </w:r>
      <w:r w:rsidR="001937F4" w:rsidRPr="00181FCD">
        <w:t>la</w:t>
      </w:r>
      <w:r w:rsidR="00F373A3" w:rsidRPr="00181FCD">
        <w:t xml:space="preserve"> </w:t>
      </w:r>
      <w:r w:rsidR="001937F4" w:rsidRPr="00181FCD">
        <w:t>lista</w:t>
      </w:r>
      <w:r w:rsidR="00F373A3" w:rsidRPr="00181FCD">
        <w:t xml:space="preserve"> </w:t>
      </w:r>
      <w:r w:rsidR="001937F4" w:rsidRPr="00181FCD">
        <w:t>de</w:t>
      </w:r>
      <w:r w:rsidR="00F373A3" w:rsidRPr="00181FCD">
        <w:t xml:space="preserve"> </w:t>
      </w:r>
      <w:r w:rsidR="001937F4" w:rsidRPr="00181FCD">
        <w:t>cuestiones</w:t>
      </w:r>
    </w:p>
    <w:p w:rsidR="001937F4" w:rsidRPr="00181FCD" w:rsidRDefault="001937F4" w:rsidP="00347B20">
      <w:pPr>
        <w:pStyle w:val="SingleTxtG"/>
        <w:suppressAutoHyphens/>
      </w:pPr>
      <w:r w:rsidRPr="00181FCD">
        <w:t>182.</w:t>
      </w:r>
      <w:r w:rsidRPr="00181FCD">
        <w:tab/>
        <w:t>En</w:t>
      </w:r>
      <w:r w:rsidR="00F373A3" w:rsidRPr="00181FCD">
        <w:t xml:space="preserve"> </w:t>
      </w:r>
      <w:r w:rsidRPr="00181FCD">
        <w:t>los</w:t>
      </w:r>
      <w:r w:rsidR="00F373A3" w:rsidRPr="00181FCD">
        <w:t xml:space="preserve"> </w:t>
      </w:r>
      <w:r w:rsidRPr="00181FCD">
        <w:t>departamentos</w:t>
      </w:r>
      <w:r w:rsidR="00F373A3" w:rsidRPr="00181FCD">
        <w:t xml:space="preserve"> </w:t>
      </w:r>
      <w:r w:rsidRPr="00181FCD">
        <w:t>de</w:t>
      </w:r>
      <w:r w:rsidR="00F373A3" w:rsidRPr="00181FCD">
        <w:t xml:space="preserve"> </w:t>
      </w:r>
      <w:r w:rsidRPr="00181FCD">
        <w:t>la</w:t>
      </w:r>
      <w:r w:rsidR="00F373A3" w:rsidRPr="00181FCD">
        <w:t xml:space="preserve"> </w:t>
      </w:r>
      <w:r w:rsidRPr="00181FCD">
        <w:t>Dirección</w:t>
      </w:r>
      <w:r w:rsidR="00F373A3" w:rsidRPr="00181FCD">
        <w:t xml:space="preserve"> </w:t>
      </w:r>
      <w:r w:rsidRPr="00181FCD">
        <w:t>General</w:t>
      </w:r>
      <w:r w:rsidR="00F373A3" w:rsidRPr="00181FCD">
        <w:t xml:space="preserve"> </w:t>
      </w:r>
      <w:r w:rsidRPr="00181FCD">
        <w:t>de</w:t>
      </w:r>
      <w:r w:rsidR="00F373A3" w:rsidRPr="00181FCD">
        <w:t xml:space="preserve"> </w:t>
      </w:r>
      <w:r w:rsidRPr="00181FCD">
        <w:t>Ejecución</w:t>
      </w:r>
      <w:r w:rsidR="00F373A3" w:rsidRPr="00181FCD">
        <w:t xml:space="preserve"> </w:t>
      </w:r>
      <w:r w:rsidRPr="00181FCD">
        <w:t>de</w:t>
      </w:r>
      <w:r w:rsidR="00F373A3" w:rsidRPr="00181FCD">
        <w:t xml:space="preserve"> </w:t>
      </w:r>
      <w:r w:rsidRPr="00181FCD">
        <w:t>Penas</w:t>
      </w:r>
      <w:r w:rsidR="00F373A3" w:rsidRPr="00181FCD">
        <w:t xml:space="preserve"> </w:t>
      </w:r>
      <w:r w:rsidRPr="00181FCD">
        <w:t>se</w:t>
      </w:r>
      <w:r w:rsidR="00F373A3" w:rsidRPr="00181FCD">
        <w:t xml:space="preserve"> </w:t>
      </w:r>
      <w:r w:rsidRPr="00181FCD">
        <w:t>aloja</w:t>
      </w:r>
      <w:r w:rsidR="00F373A3" w:rsidRPr="00181FCD">
        <w:t xml:space="preserve"> </w:t>
      </w:r>
      <w:r w:rsidRPr="00181FCD">
        <w:t>a</w:t>
      </w:r>
      <w:r w:rsidR="00F373A3" w:rsidRPr="00181FCD">
        <w:t xml:space="preserve"> </w:t>
      </w:r>
      <w:r w:rsidRPr="00181FCD">
        <w:t>los</w:t>
      </w:r>
      <w:r w:rsidR="00F373A3" w:rsidRPr="00181FCD">
        <w:t xml:space="preserve"> </w:t>
      </w:r>
      <w:r w:rsidRPr="00181FCD">
        <w:t>reclusos</w:t>
      </w:r>
      <w:r w:rsidR="00F373A3" w:rsidRPr="00181FCD">
        <w:t xml:space="preserve"> </w:t>
      </w:r>
      <w:r w:rsidRPr="00181FCD">
        <w:t>y</w:t>
      </w:r>
      <w:r w:rsidR="00F373A3" w:rsidRPr="00181FCD">
        <w:t xml:space="preserve"> </w:t>
      </w:r>
      <w:r w:rsidRPr="00181FCD">
        <w:t>se</w:t>
      </w:r>
      <w:r w:rsidR="00F373A3" w:rsidRPr="00181FCD">
        <w:t xml:space="preserve"> </w:t>
      </w:r>
      <w:r w:rsidRPr="00181FCD">
        <w:t>los</w:t>
      </w:r>
      <w:r w:rsidR="00F373A3" w:rsidRPr="00181FCD">
        <w:t xml:space="preserve"> </w:t>
      </w:r>
      <w:r w:rsidRPr="00181FCD">
        <w:t>distribuye</w:t>
      </w:r>
      <w:r w:rsidR="00F373A3" w:rsidRPr="00181FCD">
        <w:t xml:space="preserve"> </w:t>
      </w:r>
      <w:r w:rsidRPr="00181FCD">
        <w:t>en</w:t>
      </w:r>
      <w:r w:rsidR="00F373A3" w:rsidRPr="00181FCD">
        <w:t xml:space="preserve"> </w:t>
      </w:r>
      <w:r w:rsidRPr="00181FCD">
        <w:t>diferentes</w:t>
      </w:r>
      <w:r w:rsidR="00F373A3" w:rsidRPr="00181FCD">
        <w:t xml:space="preserve"> </w:t>
      </w:r>
      <w:r w:rsidRPr="00181FCD">
        <w:t>grupos</w:t>
      </w:r>
      <w:r w:rsidR="00F373A3" w:rsidRPr="00181FCD">
        <w:t xml:space="preserve"> </w:t>
      </w:r>
      <w:r w:rsidRPr="00181FCD">
        <w:t>y</w:t>
      </w:r>
      <w:r w:rsidR="00F373A3" w:rsidRPr="00181FCD">
        <w:t xml:space="preserve"> </w:t>
      </w:r>
      <w:r w:rsidRPr="00181FCD">
        <w:t>lugares</w:t>
      </w:r>
      <w:r w:rsidR="00F373A3" w:rsidRPr="00181FCD">
        <w:t xml:space="preserve"> </w:t>
      </w:r>
      <w:r w:rsidRPr="00181FCD">
        <w:t>para</w:t>
      </w:r>
      <w:r w:rsidR="00F373A3" w:rsidRPr="00181FCD">
        <w:t xml:space="preserve"> </w:t>
      </w:r>
      <w:r w:rsidRPr="00181FCD">
        <w:t>dormir.</w:t>
      </w:r>
      <w:r w:rsidR="00F373A3" w:rsidRPr="00181FCD">
        <w:t xml:space="preserve"> </w:t>
      </w:r>
      <w:r w:rsidRPr="00181FCD">
        <w:t>La</w:t>
      </w:r>
      <w:r w:rsidR="00F373A3" w:rsidRPr="00181FCD">
        <w:t xml:space="preserve"> </w:t>
      </w:r>
      <w:r w:rsidRPr="00181FCD">
        <w:t>distribución</w:t>
      </w:r>
      <w:r w:rsidR="00F373A3" w:rsidRPr="00181FCD">
        <w:t xml:space="preserve"> </w:t>
      </w:r>
      <w:r w:rsidRPr="00181FCD">
        <w:t>se</w:t>
      </w:r>
      <w:r w:rsidR="00F373A3" w:rsidRPr="00181FCD">
        <w:t xml:space="preserve"> </w:t>
      </w:r>
      <w:r w:rsidRPr="00181FCD">
        <w:t>realiza</w:t>
      </w:r>
      <w:r w:rsidR="00F373A3" w:rsidRPr="00181FCD">
        <w:t xml:space="preserve"> </w:t>
      </w:r>
      <w:r w:rsidRPr="00181FCD">
        <w:t>tras</w:t>
      </w:r>
      <w:r w:rsidR="00F373A3" w:rsidRPr="00181FCD">
        <w:t xml:space="preserve"> </w:t>
      </w:r>
      <w:r w:rsidRPr="00181FCD">
        <w:t>un</w:t>
      </w:r>
      <w:r w:rsidR="00F373A3" w:rsidRPr="00181FCD">
        <w:t xml:space="preserve"> </w:t>
      </w:r>
      <w:r w:rsidRPr="00181FCD">
        <w:t>análisis</w:t>
      </w:r>
      <w:r w:rsidR="00F373A3" w:rsidRPr="00181FCD">
        <w:t xml:space="preserve"> </w:t>
      </w:r>
      <w:r w:rsidRPr="00181FCD">
        <w:t>y</w:t>
      </w:r>
      <w:r w:rsidR="00F373A3" w:rsidRPr="00181FCD">
        <w:t xml:space="preserve"> </w:t>
      </w:r>
      <w:r w:rsidRPr="00181FCD">
        <w:t>una</w:t>
      </w:r>
      <w:r w:rsidR="00F373A3" w:rsidRPr="00181FCD">
        <w:t xml:space="preserve"> </w:t>
      </w:r>
      <w:r w:rsidRPr="00181FCD">
        <w:t>evaluación</w:t>
      </w:r>
      <w:r w:rsidR="00F373A3" w:rsidRPr="00181FCD">
        <w:t xml:space="preserve"> </w:t>
      </w:r>
      <w:r w:rsidRPr="00181FCD">
        <w:t>detallados</w:t>
      </w:r>
      <w:r w:rsidR="00F373A3" w:rsidRPr="00181FCD">
        <w:t xml:space="preserve"> </w:t>
      </w:r>
      <w:r w:rsidRPr="00181FCD">
        <w:t>a</w:t>
      </w:r>
      <w:r w:rsidR="00F373A3" w:rsidRPr="00181FCD">
        <w:t xml:space="preserve"> </w:t>
      </w:r>
      <w:r w:rsidRPr="00181FCD">
        <w:t>cargo</w:t>
      </w:r>
      <w:r w:rsidR="00F373A3" w:rsidRPr="00181FCD">
        <w:t xml:space="preserve"> </w:t>
      </w:r>
      <w:r w:rsidRPr="00181FCD">
        <w:t>de</w:t>
      </w:r>
      <w:r w:rsidR="00F373A3" w:rsidRPr="00181FCD">
        <w:t xml:space="preserve"> </w:t>
      </w:r>
      <w:r w:rsidRPr="00181FCD">
        <w:t>los</w:t>
      </w:r>
      <w:r w:rsidR="00F373A3" w:rsidRPr="00181FCD">
        <w:t xml:space="preserve"> </w:t>
      </w:r>
      <w:r w:rsidRPr="00181FCD">
        <w:t>inspectores</w:t>
      </w:r>
      <w:r w:rsidR="00F373A3" w:rsidRPr="00181FCD">
        <w:t xml:space="preserve"> </w:t>
      </w:r>
      <w:r w:rsidRPr="00181FCD">
        <w:t>de</w:t>
      </w:r>
      <w:r w:rsidR="00F373A3" w:rsidRPr="00181FCD">
        <w:t xml:space="preserve"> </w:t>
      </w:r>
      <w:r w:rsidRPr="00181FCD">
        <w:t>la</w:t>
      </w:r>
      <w:r w:rsidR="00F373A3" w:rsidRPr="00181FCD">
        <w:t xml:space="preserve"> </w:t>
      </w:r>
      <w:r w:rsidRPr="00181FCD">
        <w:t>Dirección</w:t>
      </w:r>
      <w:r w:rsidR="00F373A3" w:rsidRPr="00181FCD">
        <w:t xml:space="preserve"> </w:t>
      </w:r>
      <w:r w:rsidRPr="00181FCD">
        <w:t>del</w:t>
      </w:r>
      <w:r w:rsidR="00F373A3" w:rsidRPr="00181FCD">
        <w:t xml:space="preserve"> </w:t>
      </w:r>
      <w:r w:rsidRPr="00181FCD">
        <w:t>Interior</w:t>
      </w:r>
      <w:r w:rsidR="00F373A3" w:rsidRPr="00181FCD">
        <w:t xml:space="preserve"> </w:t>
      </w:r>
      <w:r w:rsidRPr="00181FCD">
        <w:t>de</w:t>
      </w:r>
      <w:r w:rsidR="00F373A3" w:rsidRPr="00181FCD">
        <w:t xml:space="preserve"> </w:t>
      </w:r>
      <w:r w:rsidRPr="00181FCD">
        <w:t>la</w:t>
      </w:r>
      <w:r w:rsidR="00F373A3" w:rsidRPr="00181FCD">
        <w:t xml:space="preserve"> </w:t>
      </w:r>
      <w:r w:rsidRPr="00181FCD">
        <w:t>Zona</w:t>
      </w:r>
      <w:r w:rsidR="00F373A3" w:rsidRPr="00181FCD">
        <w:t xml:space="preserve"> </w:t>
      </w:r>
      <w:r w:rsidRPr="00181FCD">
        <w:t>Metropolitana</w:t>
      </w:r>
      <w:r w:rsidR="00F373A3" w:rsidRPr="00181FCD">
        <w:t xml:space="preserve"> </w:t>
      </w:r>
      <w:r w:rsidRPr="00181FCD">
        <w:t>de</w:t>
      </w:r>
      <w:r w:rsidR="00F373A3" w:rsidRPr="00181FCD">
        <w:t xml:space="preserve"> </w:t>
      </w:r>
      <w:r w:rsidRPr="00181FCD">
        <w:t>Sofía</w:t>
      </w:r>
      <w:r w:rsidR="00F373A3" w:rsidRPr="00181FCD">
        <w:t xml:space="preserve"> </w:t>
      </w:r>
      <w:r w:rsidRPr="00181FCD">
        <w:t>y</w:t>
      </w:r>
      <w:r w:rsidR="00F373A3" w:rsidRPr="00181FCD">
        <w:t xml:space="preserve"> </w:t>
      </w:r>
      <w:r w:rsidRPr="00181FCD">
        <w:t>un</w:t>
      </w:r>
      <w:r w:rsidR="00F373A3" w:rsidRPr="00181FCD">
        <w:t xml:space="preserve"> </w:t>
      </w:r>
      <w:r w:rsidRPr="00181FCD">
        <w:t>psicólogo,</w:t>
      </w:r>
      <w:r w:rsidR="00F373A3" w:rsidRPr="00181FCD">
        <w:t xml:space="preserve"> </w:t>
      </w:r>
      <w:r w:rsidRPr="00181FCD">
        <w:t>que</w:t>
      </w:r>
      <w:r w:rsidR="00F373A3" w:rsidRPr="00181FCD">
        <w:t xml:space="preserve"> </w:t>
      </w:r>
      <w:r w:rsidRPr="00181FCD">
        <w:t>analizan</w:t>
      </w:r>
      <w:r w:rsidR="00F373A3" w:rsidRPr="00181FCD">
        <w:t xml:space="preserve"> </w:t>
      </w:r>
      <w:r w:rsidRPr="00181FCD">
        <w:t>el</w:t>
      </w:r>
      <w:r w:rsidR="00F373A3" w:rsidRPr="00181FCD">
        <w:t xml:space="preserve"> </w:t>
      </w:r>
      <w:r w:rsidRPr="00181FCD">
        <w:t>riesgo</w:t>
      </w:r>
      <w:r w:rsidR="00F373A3" w:rsidRPr="00181FCD">
        <w:t xml:space="preserve"> </w:t>
      </w:r>
      <w:r w:rsidRPr="00181FCD">
        <w:t>de</w:t>
      </w:r>
      <w:r w:rsidR="00F373A3" w:rsidRPr="00181FCD">
        <w:t xml:space="preserve"> </w:t>
      </w:r>
      <w:r w:rsidRPr="00181FCD">
        <w:t>colocar</w:t>
      </w:r>
      <w:r w:rsidR="00672EC2" w:rsidRPr="00181FCD">
        <w:t xml:space="preserve"> </w:t>
      </w:r>
      <w:r w:rsidRPr="00181FCD">
        <w:t>a</w:t>
      </w:r>
      <w:r w:rsidR="00F373A3" w:rsidRPr="00181FCD">
        <w:t xml:space="preserve"> </w:t>
      </w:r>
      <w:r w:rsidRPr="00181FCD">
        <w:t>determinados</w:t>
      </w:r>
      <w:r w:rsidR="00F373A3" w:rsidRPr="00181FCD">
        <w:t xml:space="preserve"> </w:t>
      </w:r>
      <w:r w:rsidRPr="00181FCD">
        <w:t>reclusos</w:t>
      </w:r>
      <w:r w:rsidR="00F373A3" w:rsidRPr="00181FCD">
        <w:t xml:space="preserve"> </w:t>
      </w:r>
      <w:r w:rsidRPr="00181FCD">
        <w:t>en</w:t>
      </w:r>
      <w:r w:rsidR="00F373A3" w:rsidRPr="00181FCD">
        <w:t xml:space="preserve"> </w:t>
      </w:r>
      <w:r w:rsidRPr="00181FCD">
        <w:t>habitaciones</w:t>
      </w:r>
      <w:r w:rsidR="00F373A3" w:rsidRPr="00181FCD">
        <w:t xml:space="preserve"> </w:t>
      </w:r>
      <w:r w:rsidRPr="00181FCD">
        <w:t>compartidas.</w:t>
      </w:r>
      <w:r w:rsidR="00F373A3" w:rsidRPr="00181FCD">
        <w:t xml:space="preserve"> </w:t>
      </w:r>
      <w:r w:rsidRPr="00181FCD">
        <w:t>En</w:t>
      </w:r>
      <w:r w:rsidR="00F373A3" w:rsidRPr="00181FCD">
        <w:t xml:space="preserve"> </w:t>
      </w:r>
      <w:r w:rsidRPr="00181FCD">
        <w:t>las</w:t>
      </w:r>
      <w:r w:rsidR="00F373A3" w:rsidRPr="00181FCD">
        <w:t xml:space="preserve"> </w:t>
      </w:r>
      <w:r w:rsidRPr="00181FCD">
        <w:t>prisiones</w:t>
      </w:r>
      <w:r w:rsidR="00F373A3" w:rsidRPr="00181FCD">
        <w:t xml:space="preserve"> </w:t>
      </w:r>
      <w:r w:rsidRPr="00181FCD">
        <w:t>que</w:t>
      </w:r>
      <w:r w:rsidR="00F373A3" w:rsidRPr="00181FCD">
        <w:t xml:space="preserve"> </w:t>
      </w:r>
      <w:r w:rsidRPr="00181FCD">
        <w:t>se</w:t>
      </w:r>
      <w:r w:rsidR="00F373A3" w:rsidRPr="00181FCD">
        <w:t xml:space="preserve"> </w:t>
      </w:r>
      <w:r w:rsidRPr="00181FCD">
        <w:t>están</w:t>
      </w:r>
      <w:r w:rsidR="00F373A3" w:rsidRPr="00181FCD">
        <w:t xml:space="preserve"> </w:t>
      </w:r>
      <w:r w:rsidRPr="00181FCD">
        <w:t>reformando,</w:t>
      </w:r>
      <w:r w:rsidR="00F373A3" w:rsidRPr="00181FCD">
        <w:t xml:space="preserve"> </w:t>
      </w:r>
      <w:r w:rsidRPr="00181FCD">
        <w:t>las</w:t>
      </w:r>
      <w:r w:rsidR="00F373A3" w:rsidRPr="00181FCD">
        <w:t xml:space="preserve"> </w:t>
      </w:r>
      <w:r w:rsidRPr="00181FCD">
        <w:t>habitaciones</w:t>
      </w:r>
      <w:r w:rsidR="00F373A3" w:rsidRPr="00181FCD">
        <w:t xml:space="preserve"> </w:t>
      </w:r>
      <w:r w:rsidRPr="00181FCD">
        <w:t>dan</w:t>
      </w:r>
      <w:r w:rsidR="00F373A3" w:rsidRPr="00181FCD">
        <w:t xml:space="preserve"> </w:t>
      </w:r>
      <w:r w:rsidRPr="00181FCD">
        <w:t>cabida</w:t>
      </w:r>
      <w:r w:rsidR="00F373A3" w:rsidRPr="00181FCD">
        <w:t xml:space="preserve"> </w:t>
      </w:r>
      <w:r w:rsidRPr="00181FCD">
        <w:t>como</w:t>
      </w:r>
      <w:r w:rsidR="00F373A3" w:rsidRPr="00181FCD">
        <w:t xml:space="preserve"> </w:t>
      </w:r>
      <w:r w:rsidRPr="00181FCD">
        <w:t>máximo</w:t>
      </w:r>
      <w:r w:rsidR="00F373A3" w:rsidRPr="00181FCD">
        <w:t xml:space="preserve"> </w:t>
      </w:r>
      <w:r w:rsidRPr="00181FCD">
        <w:t>a</w:t>
      </w:r>
      <w:r w:rsidR="00F373A3" w:rsidRPr="00181FCD">
        <w:t xml:space="preserve"> </w:t>
      </w:r>
      <w:r w:rsidRPr="00181FCD">
        <w:t>entre</w:t>
      </w:r>
      <w:r w:rsidR="00F373A3" w:rsidRPr="00181FCD">
        <w:t xml:space="preserve"> </w:t>
      </w:r>
      <w:r w:rsidRPr="00181FCD">
        <w:t>cuatro</w:t>
      </w:r>
      <w:r w:rsidR="00F373A3" w:rsidRPr="00181FCD">
        <w:t xml:space="preserve"> </w:t>
      </w:r>
      <w:r w:rsidRPr="00181FCD">
        <w:t>y</w:t>
      </w:r>
      <w:r w:rsidR="00F373A3" w:rsidRPr="00181FCD">
        <w:t xml:space="preserve"> </w:t>
      </w:r>
      <w:r w:rsidRPr="00181FCD">
        <w:t>seis</w:t>
      </w:r>
      <w:r w:rsidR="00F373A3" w:rsidRPr="00181FCD">
        <w:t xml:space="preserve"> </w:t>
      </w:r>
      <w:r w:rsidRPr="00181FCD">
        <w:t>personas,</w:t>
      </w:r>
      <w:r w:rsidR="00F373A3" w:rsidRPr="00181FCD">
        <w:t xml:space="preserve"> </w:t>
      </w:r>
      <w:r w:rsidRPr="00181FCD">
        <w:t>lo</w:t>
      </w:r>
      <w:r w:rsidR="00F373A3" w:rsidRPr="00181FCD">
        <w:t xml:space="preserve"> </w:t>
      </w:r>
      <w:r w:rsidRPr="00181FCD">
        <w:t>que</w:t>
      </w:r>
      <w:r w:rsidR="00F373A3" w:rsidRPr="00181FCD">
        <w:t xml:space="preserve"> </w:t>
      </w:r>
      <w:r w:rsidRPr="00181FCD">
        <w:t>disminuye</w:t>
      </w:r>
      <w:r w:rsidR="00F373A3" w:rsidRPr="00181FCD">
        <w:t xml:space="preserve"> </w:t>
      </w:r>
      <w:r w:rsidRPr="00181FCD">
        <w:t>significativamente</w:t>
      </w:r>
      <w:r w:rsidR="00F373A3" w:rsidRPr="00181FCD">
        <w:t xml:space="preserve"> </w:t>
      </w:r>
      <w:r w:rsidRPr="00181FCD">
        <w:t>el</w:t>
      </w:r>
      <w:r w:rsidR="00F373A3" w:rsidRPr="00181FCD">
        <w:t xml:space="preserve"> </w:t>
      </w:r>
      <w:r w:rsidRPr="00181FCD">
        <w:t>riesgo</w:t>
      </w:r>
      <w:r w:rsidR="00F373A3" w:rsidRPr="00181FCD">
        <w:t xml:space="preserve"> </w:t>
      </w:r>
      <w:r w:rsidRPr="00181FCD">
        <w:t>de</w:t>
      </w:r>
      <w:r w:rsidR="00F373A3" w:rsidRPr="00181FCD">
        <w:t xml:space="preserve"> </w:t>
      </w:r>
      <w:r w:rsidRPr="00181FCD">
        <w:t>conflictos</w:t>
      </w:r>
      <w:r w:rsidR="00F373A3" w:rsidRPr="00181FCD">
        <w:t xml:space="preserve"> </w:t>
      </w:r>
      <w:r w:rsidRPr="00181FCD">
        <w:t>y</w:t>
      </w:r>
      <w:r w:rsidR="00F373A3" w:rsidRPr="00181FCD">
        <w:t xml:space="preserve"> </w:t>
      </w:r>
      <w:r w:rsidRPr="00181FCD">
        <w:t>peleas</w:t>
      </w:r>
      <w:r w:rsidR="00F373A3" w:rsidRPr="00181FCD">
        <w:t xml:space="preserve"> </w:t>
      </w:r>
      <w:r w:rsidRPr="00181FCD">
        <w:t>entre</w:t>
      </w:r>
      <w:r w:rsidR="00F373A3" w:rsidRPr="00181FCD">
        <w:t xml:space="preserve"> </w:t>
      </w:r>
      <w:r w:rsidRPr="00181FCD">
        <w:t>los</w:t>
      </w:r>
      <w:r w:rsidR="00F373A3" w:rsidRPr="00181FCD">
        <w:t xml:space="preserve"> </w:t>
      </w:r>
      <w:r w:rsidRPr="00181FCD">
        <w:t>reclusos.</w:t>
      </w:r>
      <w:r w:rsidR="00F373A3" w:rsidRPr="00181FCD">
        <w:t xml:space="preserve"> </w:t>
      </w:r>
      <w:r w:rsidRPr="00181FCD">
        <w:t>Las</w:t>
      </w:r>
      <w:r w:rsidR="00F373A3" w:rsidRPr="00181FCD">
        <w:t xml:space="preserve"> </w:t>
      </w:r>
      <w:r w:rsidRPr="00181FCD">
        <w:t>obras</w:t>
      </w:r>
      <w:r w:rsidR="00F373A3" w:rsidRPr="00181FCD">
        <w:t xml:space="preserve"> </w:t>
      </w:r>
      <w:r w:rsidRPr="00181FCD">
        <w:t>de</w:t>
      </w:r>
      <w:r w:rsidR="00F373A3" w:rsidRPr="00181FCD">
        <w:t xml:space="preserve"> </w:t>
      </w:r>
      <w:r w:rsidRPr="00181FCD">
        <w:t>construcción</w:t>
      </w:r>
      <w:r w:rsidR="00F373A3" w:rsidRPr="00181FCD">
        <w:t xml:space="preserve"> </w:t>
      </w:r>
      <w:r w:rsidRPr="00181FCD">
        <w:t>de</w:t>
      </w:r>
      <w:r w:rsidR="00F373A3" w:rsidRPr="00181FCD">
        <w:t xml:space="preserve"> </w:t>
      </w:r>
      <w:r w:rsidRPr="00181FCD">
        <w:t>la</w:t>
      </w:r>
      <w:r w:rsidR="00F373A3" w:rsidRPr="00181FCD">
        <w:t xml:space="preserve"> </w:t>
      </w:r>
      <w:r w:rsidRPr="00181FCD">
        <w:t>cárcel</w:t>
      </w:r>
      <w:r w:rsidR="00F373A3" w:rsidRPr="00181FCD">
        <w:t xml:space="preserve"> </w:t>
      </w:r>
      <w:r w:rsidRPr="00181FCD">
        <w:t>de</w:t>
      </w:r>
      <w:r w:rsidR="00F373A3" w:rsidRPr="00181FCD">
        <w:t xml:space="preserve"> </w:t>
      </w:r>
      <w:r w:rsidRPr="00181FCD">
        <w:t>Stara</w:t>
      </w:r>
      <w:r w:rsidR="00F373A3" w:rsidRPr="00181FCD">
        <w:t xml:space="preserve"> </w:t>
      </w:r>
      <w:r w:rsidRPr="00181FCD">
        <w:t>Zagora</w:t>
      </w:r>
      <w:r w:rsidR="00F373A3" w:rsidRPr="00181FCD">
        <w:t xml:space="preserve"> </w:t>
      </w:r>
      <w:r w:rsidRPr="00181FCD">
        <w:t>y</w:t>
      </w:r>
      <w:r w:rsidR="00F373A3" w:rsidRPr="00181FCD">
        <w:t xml:space="preserve"> </w:t>
      </w:r>
      <w:r w:rsidRPr="00181FCD">
        <w:t>de</w:t>
      </w:r>
      <w:r w:rsidR="00F373A3" w:rsidRPr="00181FCD">
        <w:t xml:space="preserve"> </w:t>
      </w:r>
      <w:r w:rsidRPr="00181FCD">
        <w:t>las</w:t>
      </w:r>
      <w:r w:rsidR="00F373A3" w:rsidRPr="00181FCD">
        <w:t xml:space="preserve"> </w:t>
      </w:r>
      <w:r w:rsidRPr="00181FCD">
        <w:t>prisiones</w:t>
      </w:r>
      <w:r w:rsidR="00F373A3" w:rsidRPr="00181FCD">
        <w:t xml:space="preserve"> </w:t>
      </w:r>
      <w:r w:rsidRPr="00181FCD">
        <w:t>albergue</w:t>
      </w:r>
      <w:r w:rsidR="00F373A3" w:rsidRPr="00181FCD">
        <w:t xml:space="preserve"> </w:t>
      </w:r>
      <w:r w:rsidRPr="00181FCD">
        <w:t>de</w:t>
      </w:r>
      <w:r w:rsidR="00F373A3" w:rsidRPr="00181FCD">
        <w:t xml:space="preserve"> </w:t>
      </w:r>
      <w:r w:rsidRPr="00181FCD">
        <w:t>Razdelna</w:t>
      </w:r>
      <w:r w:rsidR="00F373A3" w:rsidRPr="00181FCD">
        <w:t xml:space="preserve"> </w:t>
      </w:r>
      <w:r w:rsidRPr="00181FCD">
        <w:t>y</w:t>
      </w:r>
      <w:r w:rsidR="00F373A3" w:rsidRPr="00181FCD">
        <w:t xml:space="preserve"> </w:t>
      </w:r>
      <w:r w:rsidRPr="00181FCD">
        <w:t>Debelt</w:t>
      </w:r>
      <w:r w:rsidR="00672EC2" w:rsidRPr="00181FCD">
        <w:t xml:space="preserve"> </w:t>
      </w:r>
      <w:r w:rsidRPr="00181FCD">
        <w:t>se</w:t>
      </w:r>
      <w:r w:rsidR="00F373A3" w:rsidRPr="00181FCD">
        <w:t xml:space="preserve"> </w:t>
      </w:r>
      <w:r w:rsidRPr="00181FCD">
        <w:t>basan</w:t>
      </w:r>
      <w:r w:rsidR="00F373A3" w:rsidRPr="00181FCD">
        <w:t xml:space="preserve"> </w:t>
      </w:r>
      <w:r w:rsidRPr="00181FCD">
        <w:t>en</w:t>
      </w:r>
      <w:r w:rsidR="00F373A3" w:rsidRPr="00181FCD">
        <w:t xml:space="preserve"> </w:t>
      </w:r>
      <w:r w:rsidRPr="00181FCD">
        <w:t>el</w:t>
      </w:r>
      <w:r w:rsidR="00F373A3" w:rsidRPr="00181FCD">
        <w:t xml:space="preserve"> </w:t>
      </w:r>
      <w:r w:rsidRPr="00181FCD">
        <w:t>mismo</w:t>
      </w:r>
      <w:r w:rsidR="00F373A3" w:rsidRPr="00181FCD">
        <w:t xml:space="preserve"> </w:t>
      </w:r>
      <w:r w:rsidRPr="00181FCD">
        <w:t>enfoque.</w:t>
      </w:r>
      <w:r w:rsidR="00F373A3" w:rsidRPr="00181FCD">
        <w:t xml:space="preserve"> </w:t>
      </w:r>
      <w:r w:rsidRPr="00181FCD">
        <w:t>Se</w:t>
      </w:r>
      <w:r w:rsidR="00F373A3" w:rsidRPr="00181FCD">
        <w:t xml:space="preserve"> </w:t>
      </w:r>
      <w:r w:rsidRPr="00181FCD">
        <w:t>aplicará</w:t>
      </w:r>
      <w:r w:rsidR="00F373A3" w:rsidRPr="00181FCD">
        <w:t xml:space="preserve"> </w:t>
      </w:r>
      <w:r w:rsidRPr="00181FCD">
        <w:t>un</w:t>
      </w:r>
      <w:r w:rsidR="00F373A3" w:rsidRPr="00181FCD">
        <w:t xml:space="preserve"> </w:t>
      </w:r>
      <w:r w:rsidRPr="00181FCD">
        <w:t>criterio</w:t>
      </w:r>
      <w:r w:rsidR="00F373A3" w:rsidRPr="00181FCD">
        <w:t xml:space="preserve"> </w:t>
      </w:r>
      <w:r w:rsidRPr="00181FCD">
        <w:t>similar</w:t>
      </w:r>
      <w:r w:rsidR="00F373A3" w:rsidRPr="00181FCD">
        <w:t xml:space="preserve"> </w:t>
      </w:r>
      <w:r w:rsidRPr="00181FCD">
        <w:t>en</w:t>
      </w:r>
      <w:r w:rsidR="00F373A3" w:rsidRPr="00181FCD">
        <w:t xml:space="preserve"> </w:t>
      </w:r>
      <w:r w:rsidRPr="00181FCD">
        <w:t>las</w:t>
      </w:r>
      <w:r w:rsidR="00F373A3" w:rsidRPr="00181FCD">
        <w:t xml:space="preserve"> </w:t>
      </w:r>
      <w:r w:rsidRPr="00181FCD">
        <w:t>obras</w:t>
      </w:r>
      <w:r w:rsidR="00F373A3" w:rsidRPr="00181FCD">
        <w:t xml:space="preserve"> </w:t>
      </w:r>
      <w:r w:rsidRPr="00181FCD">
        <w:t>de</w:t>
      </w:r>
      <w:r w:rsidR="00F373A3" w:rsidRPr="00181FCD">
        <w:t xml:space="preserve"> </w:t>
      </w:r>
      <w:r w:rsidRPr="00181FCD">
        <w:t>reparación</w:t>
      </w:r>
      <w:r w:rsidR="00F373A3" w:rsidRPr="00181FCD">
        <w:t xml:space="preserve"> </w:t>
      </w:r>
      <w:r w:rsidRPr="00181FCD">
        <w:t>y</w:t>
      </w:r>
      <w:r w:rsidR="00F373A3" w:rsidRPr="00181FCD">
        <w:t xml:space="preserve"> </w:t>
      </w:r>
      <w:r w:rsidRPr="00181FCD">
        <w:t>construcción</w:t>
      </w:r>
      <w:r w:rsidR="00F373A3" w:rsidRPr="00181FCD">
        <w:t xml:space="preserve"> </w:t>
      </w:r>
      <w:r w:rsidRPr="00181FCD">
        <w:t>previstas</w:t>
      </w:r>
      <w:r w:rsidR="00F373A3" w:rsidRPr="00181FCD">
        <w:t xml:space="preserve"> </w:t>
      </w:r>
      <w:r w:rsidRPr="00181FCD">
        <w:t>en</w:t>
      </w:r>
      <w:r w:rsidR="00F373A3" w:rsidRPr="00181FCD">
        <w:t xml:space="preserve"> </w:t>
      </w:r>
      <w:r w:rsidRPr="00181FCD">
        <w:t>las</w:t>
      </w:r>
      <w:r w:rsidR="00F373A3" w:rsidRPr="00181FCD">
        <w:t xml:space="preserve"> </w:t>
      </w:r>
      <w:r w:rsidRPr="00181FCD">
        <w:t>cárceles</w:t>
      </w:r>
      <w:r w:rsidR="00F373A3" w:rsidRPr="00181FCD">
        <w:t xml:space="preserve"> </w:t>
      </w:r>
      <w:r w:rsidRPr="00181FCD">
        <w:t>de</w:t>
      </w:r>
      <w:r w:rsidR="00F373A3" w:rsidRPr="00181FCD">
        <w:t xml:space="preserve"> </w:t>
      </w:r>
      <w:r w:rsidRPr="00181FCD">
        <w:t>Sliven,</w:t>
      </w:r>
      <w:r w:rsidR="00F373A3" w:rsidRPr="00181FCD">
        <w:t xml:space="preserve"> </w:t>
      </w:r>
      <w:r w:rsidRPr="00181FCD">
        <w:t>Burgas</w:t>
      </w:r>
      <w:r w:rsidR="00F373A3" w:rsidRPr="00181FCD">
        <w:t xml:space="preserve"> </w:t>
      </w:r>
      <w:r w:rsidRPr="00181FCD">
        <w:t>y</w:t>
      </w:r>
      <w:r w:rsidR="00F373A3" w:rsidRPr="00181FCD">
        <w:t xml:space="preserve"> </w:t>
      </w:r>
      <w:r w:rsidRPr="00181FCD">
        <w:t>Varna,</w:t>
      </w:r>
      <w:r w:rsidR="00F373A3" w:rsidRPr="00181FCD">
        <w:t xml:space="preserve"> </w:t>
      </w:r>
      <w:r w:rsidRPr="00181FCD">
        <w:t>así</w:t>
      </w:r>
      <w:r w:rsidR="00F373A3" w:rsidRPr="00181FCD">
        <w:t xml:space="preserve"> </w:t>
      </w:r>
      <w:r w:rsidRPr="00181FCD">
        <w:t>como</w:t>
      </w:r>
      <w:r w:rsidR="00F373A3" w:rsidRPr="00181FCD">
        <w:t xml:space="preserve"> </w:t>
      </w:r>
      <w:r w:rsidRPr="00181FCD">
        <w:t>en</w:t>
      </w:r>
      <w:r w:rsidR="00F373A3" w:rsidRPr="00181FCD">
        <w:t xml:space="preserve"> </w:t>
      </w:r>
      <w:r w:rsidRPr="00181FCD">
        <w:t>el</w:t>
      </w:r>
      <w:r w:rsidR="00F373A3" w:rsidRPr="00181FCD">
        <w:t xml:space="preserve"> </w:t>
      </w:r>
      <w:r w:rsidRPr="00181FCD">
        <w:t>reformatorio</w:t>
      </w:r>
      <w:r w:rsidR="00F373A3" w:rsidRPr="00181FCD">
        <w:t xml:space="preserve"> </w:t>
      </w:r>
      <w:r w:rsidRPr="00181FCD">
        <w:t>para</w:t>
      </w:r>
      <w:r w:rsidR="00F373A3" w:rsidRPr="00181FCD">
        <w:t xml:space="preserve"> </w:t>
      </w:r>
      <w:r w:rsidRPr="00181FCD">
        <w:t>jóvenes</w:t>
      </w:r>
      <w:r w:rsidR="00F373A3" w:rsidRPr="00181FCD">
        <w:t xml:space="preserve"> </w:t>
      </w:r>
      <w:r w:rsidRPr="00181FCD">
        <w:t>menores</w:t>
      </w:r>
      <w:r w:rsidR="00F373A3" w:rsidRPr="00181FCD">
        <w:t xml:space="preserve"> </w:t>
      </w:r>
      <w:r w:rsidRPr="00181FCD">
        <w:t>de</w:t>
      </w:r>
      <w:r w:rsidR="00F373A3" w:rsidRPr="00181FCD">
        <w:t xml:space="preserve"> </w:t>
      </w:r>
      <w:r w:rsidRPr="00181FCD">
        <w:t>edad</w:t>
      </w:r>
      <w:r w:rsidR="00F373A3" w:rsidRPr="00181FCD">
        <w:t xml:space="preserve"> </w:t>
      </w:r>
      <w:r w:rsidRPr="00181FCD">
        <w:t>y</w:t>
      </w:r>
      <w:r w:rsidR="00F373A3" w:rsidRPr="00181FCD">
        <w:t xml:space="preserve"> </w:t>
      </w:r>
      <w:r w:rsidRPr="00181FCD">
        <w:t>la</w:t>
      </w:r>
      <w:r w:rsidR="00F373A3" w:rsidRPr="00181FCD">
        <w:t xml:space="preserve"> </w:t>
      </w:r>
      <w:r w:rsidRPr="00181FCD">
        <w:t>prisión</w:t>
      </w:r>
      <w:r w:rsidR="00F373A3" w:rsidRPr="00181FCD">
        <w:t xml:space="preserve"> </w:t>
      </w:r>
      <w:r w:rsidRPr="00181FCD">
        <w:t>albergue,</w:t>
      </w:r>
      <w:r w:rsidR="00F373A3" w:rsidRPr="00181FCD">
        <w:t xml:space="preserve"> </w:t>
      </w:r>
      <w:r w:rsidRPr="00181FCD">
        <w:t>que</w:t>
      </w:r>
      <w:r w:rsidR="00F373A3" w:rsidRPr="00181FCD">
        <w:t xml:space="preserve"> </w:t>
      </w:r>
      <w:r w:rsidRPr="00181FCD">
        <w:t>forman</w:t>
      </w:r>
      <w:r w:rsidR="00F373A3" w:rsidRPr="00181FCD">
        <w:t xml:space="preserve"> </w:t>
      </w:r>
      <w:r w:rsidRPr="00181FCD">
        <w:t>parte</w:t>
      </w:r>
      <w:r w:rsidR="00F373A3" w:rsidRPr="00181FCD">
        <w:t xml:space="preserve"> </w:t>
      </w:r>
      <w:r w:rsidRPr="00181FCD">
        <w:t>de</w:t>
      </w:r>
      <w:r w:rsidR="00F373A3" w:rsidRPr="00181FCD">
        <w:t xml:space="preserve"> </w:t>
      </w:r>
      <w:r w:rsidRPr="00181FCD">
        <w:t>la</w:t>
      </w:r>
      <w:r w:rsidR="00F373A3" w:rsidRPr="00181FCD">
        <w:t xml:space="preserve"> </w:t>
      </w:r>
      <w:r w:rsidRPr="00181FCD">
        <w:t>cárcel</w:t>
      </w:r>
      <w:r w:rsidR="00F373A3" w:rsidRPr="00181FCD">
        <w:t xml:space="preserve"> </w:t>
      </w:r>
      <w:r w:rsidRPr="00181FCD">
        <w:t>de</w:t>
      </w:r>
      <w:r w:rsidR="00F373A3" w:rsidRPr="00181FCD">
        <w:t xml:space="preserve"> </w:t>
      </w:r>
      <w:r w:rsidRPr="00181FCD">
        <w:t>Vratsa.</w:t>
      </w:r>
    </w:p>
    <w:p w:rsidR="001937F4" w:rsidRPr="00181FCD" w:rsidRDefault="001937F4" w:rsidP="00347B20">
      <w:pPr>
        <w:pStyle w:val="SingleTxtG"/>
        <w:suppressAutoHyphens/>
      </w:pPr>
      <w:r w:rsidRPr="00181FCD">
        <w:t>183.</w:t>
      </w:r>
      <w:r w:rsidRPr="00181FCD">
        <w:tab/>
        <w:t>En</w:t>
      </w:r>
      <w:r w:rsidR="00F373A3" w:rsidRPr="00181FCD">
        <w:t xml:space="preserve"> </w:t>
      </w:r>
      <w:r w:rsidRPr="00181FCD">
        <w:t>todos</w:t>
      </w:r>
      <w:r w:rsidR="00F373A3" w:rsidRPr="00181FCD">
        <w:t xml:space="preserve"> </w:t>
      </w:r>
      <w:r w:rsidRPr="00181FCD">
        <w:t>estos</w:t>
      </w:r>
      <w:r w:rsidR="00F373A3" w:rsidRPr="00181FCD">
        <w:t xml:space="preserve"> </w:t>
      </w:r>
      <w:r w:rsidRPr="00181FCD">
        <w:t>centros</w:t>
      </w:r>
      <w:r w:rsidR="00F373A3" w:rsidRPr="00181FCD">
        <w:t xml:space="preserve"> </w:t>
      </w:r>
      <w:r w:rsidRPr="00181FCD">
        <w:t>de</w:t>
      </w:r>
      <w:r w:rsidR="00F373A3" w:rsidRPr="00181FCD">
        <w:t xml:space="preserve"> </w:t>
      </w:r>
      <w:r w:rsidRPr="00181FCD">
        <w:t>privación</w:t>
      </w:r>
      <w:r w:rsidR="00F373A3" w:rsidRPr="00181FCD">
        <w:t xml:space="preserve"> </w:t>
      </w:r>
      <w:r w:rsidRPr="00181FCD">
        <w:t>de</w:t>
      </w:r>
      <w:r w:rsidR="00F373A3" w:rsidRPr="00181FCD">
        <w:t xml:space="preserve"> </w:t>
      </w:r>
      <w:r w:rsidRPr="00181FCD">
        <w:t>la</w:t>
      </w:r>
      <w:r w:rsidR="00F373A3" w:rsidRPr="00181FCD">
        <w:t xml:space="preserve"> </w:t>
      </w:r>
      <w:r w:rsidRPr="00181FCD">
        <w:t>libertad</w:t>
      </w:r>
      <w:r w:rsidR="00F373A3" w:rsidRPr="00181FCD">
        <w:t xml:space="preserve"> </w:t>
      </w:r>
      <w:r w:rsidRPr="00181FCD">
        <w:t>en</w:t>
      </w:r>
      <w:r w:rsidR="00F373A3" w:rsidRPr="00181FCD">
        <w:t xml:space="preserve"> </w:t>
      </w:r>
      <w:r w:rsidRPr="00181FCD">
        <w:t>régimen</w:t>
      </w:r>
      <w:r w:rsidR="00F373A3" w:rsidRPr="00181FCD">
        <w:t xml:space="preserve"> </w:t>
      </w:r>
      <w:r w:rsidRPr="00181FCD">
        <w:t>cerrado</w:t>
      </w:r>
      <w:r w:rsidR="00F373A3" w:rsidRPr="00181FCD">
        <w:t xml:space="preserve"> </w:t>
      </w:r>
      <w:r w:rsidRPr="00181FCD">
        <w:t>funcionan</w:t>
      </w:r>
      <w:r w:rsidR="00F373A3" w:rsidRPr="00181FCD">
        <w:t xml:space="preserve"> </w:t>
      </w:r>
      <w:r w:rsidRPr="00181FCD">
        <w:t>sistemas</w:t>
      </w:r>
      <w:r w:rsidR="00F373A3" w:rsidRPr="00181FCD">
        <w:t xml:space="preserve"> </w:t>
      </w:r>
      <w:r w:rsidRPr="00181FCD">
        <w:t>de</w:t>
      </w:r>
      <w:r w:rsidR="00F373A3" w:rsidRPr="00181FCD">
        <w:t xml:space="preserve"> </w:t>
      </w:r>
      <w:r w:rsidRPr="00181FCD">
        <w:t>videovigilancia.</w:t>
      </w:r>
      <w:r w:rsidR="00F373A3" w:rsidRPr="00181FCD">
        <w:t xml:space="preserve"> </w:t>
      </w:r>
      <w:r w:rsidRPr="00181FCD">
        <w:t>Dichos</w:t>
      </w:r>
      <w:r w:rsidR="00F373A3" w:rsidRPr="00181FCD">
        <w:t xml:space="preserve"> </w:t>
      </w:r>
      <w:r w:rsidRPr="00181FCD">
        <w:t>sistemas</w:t>
      </w:r>
      <w:r w:rsidR="00F373A3" w:rsidRPr="00181FCD">
        <w:t xml:space="preserve"> </w:t>
      </w:r>
      <w:r w:rsidRPr="00181FCD">
        <w:t>cubren</w:t>
      </w:r>
      <w:r w:rsidR="00F373A3" w:rsidRPr="00181FCD">
        <w:t xml:space="preserve"> </w:t>
      </w:r>
      <w:r w:rsidRPr="00181FCD">
        <w:t>los</w:t>
      </w:r>
      <w:r w:rsidR="00F373A3" w:rsidRPr="00181FCD">
        <w:t xml:space="preserve"> </w:t>
      </w:r>
      <w:r w:rsidRPr="00181FCD">
        <w:t>principales</w:t>
      </w:r>
      <w:r w:rsidR="00F373A3" w:rsidRPr="00181FCD">
        <w:t xml:space="preserve"> </w:t>
      </w:r>
      <w:r w:rsidRPr="00181FCD">
        <w:t>pasillos,</w:t>
      </w:r>
      <w:r w:rsidR="00F373A3" w:rsidRPr="00181FCD">
        <w:t xml:space="preserve"> </w:t>
      </w:r>
      <w:r w:rsidRPr="00181FCD">
        <w:t>los</w:t>
      </w:r>
      <w:r w:rsidR="00F373A3" w:rsidRPr="00181FCD">
        <w:t xml:space="preserve"> </w:t>
      </w:r>
      <w:r w:rsidRPr="00181FCD">
        <w:t>comedores</w:t>
      </w:r>
      <w:r w:rsidR="00F373A3" w:rsidRPr="00181FCD">
        <w:t xml:space="preserve"> </w:t>
      </w:r>
      <w:r w:rsidRPr="00181FCD">
        <w:t>y</w:t>
      </w:r>
      <w:r w:rsidR="00F373A3" w:rsidRPr="00181FCD">
        <w:t xml:space="preserve"> </w:t>
      </w:r>
      <w:r w:rsidRPr="00181FCD">
        <w:t>los</w:t>
      </w:r>
      <w:r w:rsidR="00F373A3" w:rsidRPr="00181FCD">
        <w:t xml:space="preserve"> </w:t>
      </w:r>
      <w:r w:rsidRPr="00181FCD">
        <w:t>espacios</w:t>
      </w:r>
      <w:r w:rsidR="00F373A3" w:rsidRPr="00181FCD">
        <w:t xml:space="preserve"> </w:t>
      </w:r>
      <w:r w:rsidRPr="00181FCD">
        <w:t>abiertos.</w:t>
      </w:r>
      <w:r w:rsidR="00F373A3" w:rsidRPr="00181FCD">
        <w:t xml:space="preserve"> </w:t>
      </w:r>
      <w:r w:rsidRPr="00181FCD">
        <w:t>También</w:t>
      </w:r>
      <w:r w:rsidR="00F373A3" w:rsidRPr="00181FCD">
        <w:t xml:space="preserve"> </w:t>
      </w:r>
      <w:r w:rsidRPr="00181FCD">
        <w:t>hay</w:t>
      </w:r>
      <w:r w:rsidR="00F373A3" w:rsidRPr="00181FCD">
        <w:t xml:space="preserve"> </w:t>
      </w:r>
      <w:r w:rsidRPr="00181FCD">
        <w:t>sistemas</w:t>
      </w:r>
      <w:r w:rsidR="00F373A3" w:rsidRPr="00181FCD">
        <w:t xml:space="preserve"> </w:t>
      </w:r>
      <w:r w:rsidRPr="00181FCD">
        <w:t>de</w:t>
      </w:r>
      <w:r w:rsidR="00F373A3" w:rsidRPr="00181FCD">
        <w:t xml:space="preserve"> </w:t>
      </w:r>
      <w:r w:rsidRPr="00181FCD">
        <w:t>videovigilancia</w:t>
      </w:r>
      <w:r w:rsidR="00F373A3" w:rsidRPr="00181FCD">
        <w:t xml:space="preserve"> </w:t>
      </w:r>
      <w:r w:rsidRPr="00181FCD">
        <w:t>en</w:t>
      </w:r>
      <w:r w:rsidR="00F373A3" w:rsidRPr="00181FCD">
        <w:t xml:space="preserve"> </w:t>
      </w:r>
      <w:r w:rsidRPr="00181FCD">
        <w:t>funcionamiento</w:t>
      </w:r>
      <w:r w:rsidR="00F373A3" w:rsidRPr="00181FCD">
        <w:t xml:space="preserve"> </w:t>
      </w:r>
      <w:r w:rsidRPr="00181FCD">
        <w:t>en</w:t>
      </w:r>
      <w:r w:rsidR="00F373A3" w:rsidRPr="00181FCD">
        <w:t xml:space="preserve"> </w:t>
      </w:r>
      <w:r w:rsidRPr="00181FCD">
        <w:t>algunas</w:t>
      </w:r>
      <w:r w:rsidR="00F373A3" w:rsidRPr="00181FCD">
        <w:t xml:space="preserve"> </w:t>
      </w:r>
      <w:r w:rsidRPr="00181FCD">
        <w:t>prisiones</w:t>
      </w:r>
      <w:r w:rsidR="00F373A3" w:rsidRPr="00181FCD">
        <w:t xml:space="preserve"> </w:t>
      </w:r>
      <w:r w:rsidRPr="00181FCD">
        <w:t>albergue</w:t>
      </w:r>
      <w:r w:rsidR="00F373A3" w:rsidRPr="00181FCD">
        <w:t xml:space="preserve"> </w:t>
      </w:r>
      <w:r w:rsidRPr="00181FCD">
        <w:t>de</w:t>
      </w:r>
      <w:r w:rsidR="00F373A3" w:rsidRPr="00181FCD">
        <w:t xml:space="preserve"> </w:t>
      </w:r>
      <w:r w:rsidRPr="00181FCD">
        <w:t>régimen</w:t>
      </w:r>
      <w:r w:rsidR="00F373A3" w:rsidRPr="00181FCD">
        <w:t xml:space="preserve"> </w:t>
      </w:r>
      <w:r w:rsidRPr="00181FCD">
        <w:t>abierto.</w:t>
      </w:r>
      <w:r w:rsidR="00F373A3" w:rsidRPr="00181FCD">
        <w:t xml:space="preserve"> </w:t>
      </w:r>
      <w:r w:rsidRPr="00181FCD">
        <w:t>Está</w:t>
      </w:r>
      <w:r w:rsidR="00F373A3" w:rsidRPr="00181FCD">
        <w:t xml:space="preserve"> </w:t>
      </w:r>
      <w:r w:rsidRPr="00181FCD">
        <w:t>previsto</w:t>
      </w:r>
      <w:r w:rsidR="00F373A3" w:rsidRPr="00181FCD">
        <w:t xml:space="preserve"> </w:t>
      </w:r>
      <w:r w:rsidRPr="00181FCD">
        <w:t>instalar</w:t>
      </w:r>
      <w:r w:rsidR="00F373A3" w:rsidRPr="00181FCD">
        <w:t xml:space="preserve"> </w:t>
      </w:r>
      <w:r w:rsidRPr="00181FCD">
        <w:t>estos</w:t>
      </w:r>
      <w:r w:rsidR="00F373A3" w:rsidRPr="00181FCD">
        <w:t xml:space="preserve"> </w:t>
      </w:r>
      <w:r w:rsidRPr="00181FCD">
        <w:t>sistemas</w:t>
      </w:r>
      <w:r w:rsidR="00F373A3" w:rsidRPr="00181FCD">
        <w:t xml:space="preserve"> </w:t>
      </w:r>
      <w:r w:rsidRPr="00181FCD">
        <w:t>en</w:t>
      </w:r>
      <w:r w:rsidR="00F373A3" w:rsidRPr="00181FCD">
        <w:t xml:space="preserve"> </w:t>
      </w:r>
      <w:r w:rsidRPr="00181FCD">
        <w:t>todas</w:t>
      </w:r>
      <w:r w:rsidR="00F373A3" w:rsidRPr="00181FCD">
        <w:t xml:space="preserve"> </w:t>
      </w:r>
      <w:r w:rsidRPr="00181FCD">
        <w:t>las</w:t>
      </w:r>
      <w:r w:rsidR="00F373A3" w:rsidRPr="00181FCD">
        <w:t xml:space="preserve"> </w:t>
      </w:r>
      <w:r w:rsidRPr="00181FCD">
        <w:t>prisiones</w:t>
      </w:r>
      <w:r w:rsidR="00F373A3" w:rsidRPr="00181FCD">
        <w:t xml:space="preserve"> </w:t>
      </w:r>
      <w:r w:rsidRPr="00181FCD">
        <w:t>albergue</w:t>
      </w:r>
      <w:r w:rsidR="00F373A3" w:rsidRPr="00181FCD">
        <w:t xml:space="preserve"> </w:t>
      </w:r>
      <w:r w:rsidRPr="00181FCD">
        <w:t>de</w:t>
      </w:r>
      <w:r w:rsidR="00F373A3" w:rsidRPr="00181FCD">
        <w:t xml:space="preserve"> </w:t>
      </w:r>
      <w:r w:rsidRPr="00181FCD">
        <w:t>régimen</w:t>
      </w:r>
      <w:r w:rsidR="00F373A3" w:rsidRPr="00181FCD">
        <w:t xml:space="preserve"> </w:t>
      </w:r>
      <w:r w:rsidRPr="00181FCD">
        <w:t>abierto,</w:t>
      </w:r>
      <w:r w:rsidR="00F373A3" w:rsidRPr="00181FCD">
        <w:t xml:space="preserve"> </w:t>
      </w:r>
      <w:r w:rsidRPr="00181FCD">
        <w:t>y</w:t>
      </w:r>
      <w:r w:rsidR="00F373A3" w:rsidRPr="00181FCD">
        <w:t xml:space="preserve"> </w:t>
      </w:r>
      <w:r w:rsidRPr="00181FCD">
        <w:t>actualizar</w:t>
      </w:r>
      <w:r w:rsidR="00F373A3" w:rsidRPr="00181FCD">
        <w:t xml:space="preserve"> </w:t>
      </w:r>
      <w:r w:rsidRPr="00181FCD">
        <w:t>los</w:t>
      </w:r>
      <w:r w:rsidR="00F373A3" w:rsidRPr="00181FCD">
        <w:t xml:space="preserve"> </w:t>
      </w:r>
      <w:r w:rsidRPr="00181FCD">
        <w:t>sistemas</w:t>
      </w:r>
      <w:r w:rsidR="00F373A3" w:rsidRPr="00181FCD">
        <w:t xml:space="preserve"> </w:t>
      </w:r>
      <w:r w:rsidRPr="00181FCD">
        <w:t>existentes</w:t>
      </w:r>
      <w:r w:rsidR="00F373A3" w:rsidRPr="00181FCD">
        <w:t xml:space="preserve"> </w:t>
      </w:r>
      <w:r w:rsidRPr="00181FCD">
        <w:t>en</w:t>
      </w:r>
      <w:r w:rsidR="00F373A3" w:rsidRPr="00181FCD">
        <w:t xml:space="preserve"> </w:t>
      </w:r>
      <w:r w:rsidRPr="00181FCD">
        <w:t>los</w:t>
      </w:r>
      <w:r w:rsidR="00F373A3" w:rsidRPr="00181FCD">
        <w:t xml:space="preserve"> </w:t>
      </w:r>
      <w:r w:rsidRPr="00181FCD">
        <w:t>centros</w:t>
      </w:r>
      <w:r w:rsidR="00F373A3" w:rsidRPr="00181FCD">
        <w:t xml:space="preserve"> </w:t>
      </w:r>
      <w:r w:rsidRPr="00181FCD">
        <w:t>penitenciarios</w:t>
      </w:r>
      <w:r w:rsidR="00F373A3" w:rsidRPr="00181FCD">
        <w:t xml:space="preserve"> </w:t>
      </w:r>
      <w:r w:rsidRPr="00181FCD">
        <w:t>de</w:t>
      </w:r>
      <w:r w:rsidR="00F373A3" w:rsidRPr="00181FCD">
        <w:t xml:space="preserve"> </w:t>
      </w:r>
      <w:r w:rsidRPr="00181FCD">
        <w:t>régimen</w:t>
      </w:r>
      <w:r w:rsidR="00F373A3" w:rsidRPr="00181FCD">
        <w:t xml:space="preserve"> </w:t>
      </w:r>
      <w:r w:rsidRPr="00181FCD">
        <w:t>cerrado,</w:t>
      </w:r>
      <w:r w:rsidR="00F373A3" w:rsidRPr="00181FCD">
        <w:t xml:space="preserve"> </w:t>
      </w:r>
      <w:r w:rsidRPr="00181FCD">
        <w:t>para</w:t>
      </w:r>
      <w:r w:rsidR="00F373A3" w:rsidRPr="00181FCD">
        <w:t xml:space="preserve"> </w:t>
      </w:r>
      <w:r w:rsidRPr="00181FCD">
        <w:t>que</w:t>
      </w:r>
      <w:r w:rsidR="00F373A3" w:rsidRPr="00181FCD">
        <w:t xml:space="preserve"> </w:t>
      </w:r>
      <w:r w:rsidRPr="00181FCD">
        <w:t>haya</w:t>
      </w:r>
      <w:r w:rsidR="00F373A3" w:rsidRPr="00181FCD">
        <w:t xml:space="preserve"> </w:t>
      </w:r>
      <w:r w:rsidRPr="00181FCD">
        <w:t>videovigilancia</w:t>
      </w:r>
      <w:r w:rsidR="00F373A3" w:rsidRPr="00181FCD">
        <w:t xml:space="preserve"> </w:t>
      </w:r>
      <w:r w:rsidRPr="00181FCD">
        <w:t>en</w:t>
      </w:r>
      <w:r w:rsidR="00F373A3" w:rsidRPr="00181FCD">
        <w:t xml:space="preserve"> </w:t>
      </w:r>
      <w:r w:rsidRPr="00181FCD">
        <w:t>todas</w:t>
      </w:r>
      <w:r w:rsidR="00F373A3" w:rsidRPr="00181FCD">
        <w:t xml:space="preserve"> </w:t>
      </w:r>
      <w:r w:rsidRPr="00181FCD">
        <w:t>las</w:t>
      </w:r>
      <w:r w:rsidR="00F373A3" w:rsidRPr="00181FCD">
        <w:t xml:space="preserve"> </w:t>
      </w:r>
      <w:r w:rsidRPr="00181FCD">
        <w:t>zonas</w:t>
      </w:r>
      <w:r w:rsidR="00F373A3" w:rsidRPr="00181FCD">
        <w:t xml:space="preserve"> </w:t>
      </w:r>
      <w:r w:rsidRPr="00181FCD">
        <w:t>no</w:t>
      </w:r>
      <w:r w:rsidR="00F373A3" w:rsidRPr="00181FCD">
        <w:t xml:space="preserve"> </w:t>
      </w:r>
      <w:r w:rsidRPr="00181FCD">
        <w:t>residenciales</w:t>
      </w:r>
      <w:r w:rsidR="00F373A3" w:rsidRPr="00181FCD">
        <w:t xml:space="preserve"> </w:t>
      </w:r>
      <w:r w:rsidRPr="00181FCD">
        <w:t>utilizadas</w:t>
      </w:r>
      <w:r w:rsidR="00F373A3" w:rsidRPr="00181FCD">
        <w:t xml:space="preserve"> </w:t>
      </w:r>
      <w:r w:rsidRPr="00181FCD">
        <w:t>por</w:t>
      </w:r>
      <w:r w:rsidR="00F373A3" w:rsidRPr="00181FCD">
        <w:t xml:space="preserve"> </w:t>
      </w:r>
      <w:r w:rsidRPr="00181FCD">
        <w:t>los</w:t>
      </w:r>
      <w:r w:rsidR="00F373A3" w:rsidRPr="00181FCD">
        <w:t xml:space="preserve"> </w:t>
      </w:r>
      <w:r w:rsidRPr="00181FCD">
        <w:t>reclusos.</w:t>
      </w:r>
      <w:r w:rsidR="00F373A3" w:rsidRPr="00181FCD">
        <w:t xml:space="preserve"> </w:t>
      </w:r>
    </w:p>
    <w:p w:rsidR="001937F4" w:rsidRPr="00181FCD" w:rsidRDefault="001937F4" w:rsidP="00C256E4">
      <w:pPr>
        <w:pStyle w:val="SingleTxtG"/>
        <w:suppressAutoHyphens/>
      </w:pPr>
      <w:r w:rsidRPr="00181FCD">
        <w:t>184.</w:t>
      </w:r>
      <w:r w:rsidRPr="00181FCD">
        <w:tab/>
        <w:t>Se</w:t>
      </w:r>
      <w:r w:rsidR="00F373A3" w:rsidRPr="00181FCD">
        <w:t xml:space="preserve"> </w:t>
      </w:r>
      <w:r w:rsidRPr="00181FCD">
        <w:t>ha</w:t>
      </w:r>
      <w:r w:rsidR="00F373A3" w:rsidRPr="00181FCD">
        <w:t xml:space="preserve"> </w:t>
      </w:r>
      <w:r w:rsidRPr="00181FCD">
        <w:t>modificado</w:t>
      </w:r>
      <w:r w:rsidR="00F373A3" w:rsidRPr="00181FCD">
        <w:t xml:space="preserve"> </w:t>
      </w:r>
      <w:r w:rsidRPr="00181FCD">
        <w:t>el</w:t>
      </w:r>
      <w:r w:rsidR="00F373A3" w:rsidRPr="00181FCD">
        <w:t xml:space="preserve"> </w:t>
      </w:r>
      <w:r w:rsidRPr="00181FCD">
        <w:t>contenido</w:t>
      </w:r>
      <w:r w:rsidR="00F373A3" w:rsidRPr="00181FCD">
        <w:t xml:space="preserve"> </w:t>
      </w:r>
      <w:r w:rsidRPr="00181FCD">
        <w:t>de</w:t>
      </w:r>
      <w:r w:rsidR="00F373A3" w:rsidRPr="00181FCD">
        <w:t xml:space="preserve"> </w:t>
      </w:r>
      <w:r w:rsidRPr="00181FCD">
        <w:t>los</w:t>
      </w:r>
      <w:r w:rsidR="00F373A3" w:rsidRPr="00181FCD">
        <w:t xml:space="preserve"> </w:t>
      </w:r>
      <w:r w:rsidRPr="00181FCD">
        <w:t>planes</w:t>
      </w:r>
      <w:r w:rsidR="00F373A3" w:rsidRPr="00181FCD">
        <w:t xml:space="preserve"> </w:t>
      </w:r>
      <w:r w:rsidRPr="00181FCD">
        <w:t>de</w:t>
      </w:r>
      <w:r w:rsidR="00F373A3" w:rsidRPr="00181FCD">
        <w:t xml:space="preserve"> </w:t>
      </w:r>
      <w:r w:rsidRPr="00181FCD">
        <w:t>estudio</w:t>
      </w:r>
      <w:r w:rsidR="00F373A3" w:rsidRPr="00181FCD">
        <w:t xml:space="preserve"> </w:t>
      </w:r>
      <w:r w:rsidRPr="00181FCD">
        <w:t>de</w:t>
      </w:r>
      <w:r w:rsidR="00F373A3" w:rsidRPr="00181FCD">
        <w:t xml:space="preserve"> </w:t>
      </w:r>
      <w:r w:rsidRPr="00181FCD">
        <w:t>la</w:t>
      </w:r>
      <w:r w:rsidR="00F373A3" w:rsidRPr="00181FCD">
        <w:t xml:space="preserve"> </w:t>
      </w:r>
      <w:r w:rsidRPr="00181FCD">
        <w:t>formación</w:t>
      </w:r>
      <w:r w:rsidR="00F373A3" w:rsidRPr="00181FCD">
        <w:t xml:space="preserve"> </w:t>
      </w:r>
      <w:r w:rsidRPr="00181FCD">
        <w:t>en</w:t>
      </w:r>
      <w:r w:rsidR="00F373A3" w:rsidRPr="00181FCD">
        <w:t xml:space="preserve"> </w:t>
      </w:r>
      <w:r w:rsidRPr="00181FCD">
        <w:t>psicología</w:t>
      </w:r>
      <w:r w:rsidR="00F373A3" w:rsidRPr="00181FCD">
        <w:t xml:space="preserve"> </w:t>
      </w:r>
      <w:r w:rsidRPr="00181FCD">
        <w:t>penitenciaria,</w:t>
      </w:r>
      <w:r w:rsidR="00F373A3" w:rsidRPr="00181FCD">
        <w:t xml:space="preserve"> </w:t>
      </w:r>
      <w:r w:rsidRPr="00181FCD">
        <w:t>para</w:t>
      </w:r>
      <w:r w:rsidR="00F373A3" w:rsidRPr="00181FCD">
        <w:t xml:space="preserve"> </w:t>
      </w:r>
      <w:r w:rsidRPr="00181FCD">
        <w:t>insistir</w:t>
      </w:r>
      <w:r w:rsidR="00F373A3" w:rsidRPr="00181FCD">
        <w:t xml:space="preserve"> </w:t>
      </w:r>
      <w:r w:rsidRPr="00181FCD">
        <w:t>una</w:t>
      </w:r>
      <w:r w:rsidR="00F373A3" w:rsidRPr="00181FCD">
        <w:t xml:space="preserve"> </w:t>
      </w:r>
      <w:r w:rsidRPr="00181FCD">
        <w:t>vez</w:t>
      </w:r>
      <w:r w:rsidR="00F373A3" w:rsidRPr="00181FCD">
        <w:t xml:space="preserve"> </w:t>
      </w:r>
      <w:r w:rsidRPr="00181FCD">
        <w:t>más</w:t>
      </w:r>
      <w:r w:rsidR="00F373A3" w:rsidRPr="00181FCD">
        <w:t xml:space="preserve"> </w:t>
      </w:r>
      <w:r w:rsidRPr="00181FCD">
        <w:t>en</w:t>
      </w:r>
      <w:r w:rsidR="00F373A3" w:rsidRPr="00181FCD">
        <w:t xml:space="preserve"> </w:t>
      </w:r>
      <w:r w:rsidRPr="00181FCD">
        <w:t>que</w:t>
      </w:r>
      <w:r w:rsidR="00F373A3" w:rsidRPr="00181FCD">
        <w:t xml:space="preserve"> </w:t>
      </w:r>
      <w:r w:rsidRPr="00181FCD">
        <w:t>los</w:t>
      </w:r>
      <w:r w:rsidR="00F373A3" w:rsidRPr="00181FCD">
        <w:t xml:space="preserve"> </w:t>
      </w:r>
      <w:r w:rsidRPr="00181FCD">
        <w:t>problemas</w:t>
      </w:r>
      <w:r w:rsidR="00F373A3" w:rsidRPr="00181FCD">
        <w:t xml:space="preserve"> </w:t>
      </w:r>
      <w:r w:rsidRPr="00181FCD">
        <w:t>deben</w:t>
      </w:r>
      <w:r w:rsidR="00F373A3" w:rsidRPr="00181FCD">
        <w:t xml:space="preserve"> </w:t>
      </w:r>
      <w:r w:rsidRPr="00181FCD">
        <w:t>resolverse</w:t>
      </w:r>
      <w:r w:rsidR="00F373A3" w:rsidRPr="00181FCD">
        <w:t xml:space="preserve"> </w:t>
      </w:r>
      <w:r w:rsidRPr="00181FCD">
        <w:t>sin</w:t>
      </w:r>
      <w:r w:rsidR="00F373A3" w:rsidRPr="00181FCD">
        <w:t xml:space="preserve"> </w:t>
      </w:r>
      <w:r w:rsidRPr="00181FCD">
        <w:t>causar</w:t>
      </w:r>
      <w:r w:rsidR="00F373A3" w:rsidRPr="00181FCD">
        <w:t xml:space="preserve"> </w:t>
      </w:r>
      <w:r w:rsidRPr="00181FCD">
        <w:t>sufrimiento</w:t>
      </w:r>
      <w:r w:rsidR="00F373A3" w:rsidRPr="00181FCD">
        <w:t xml:space="preserve"> </w:t>
      </w:r>
      <w:r w:rsidRPr="00181FCD">
        <w:t>físico.</w:t>
      </w:r>
      <w:r w:rsidR="00F373A3" w:rsidRPr="00181FCD">
        <w:t xml:space="preserve"> </w:t>
      </w:r>
      <w:r w:rsidRPr="00181FCD">
        <w:t>Con</w:t>
      </w:r>
      <w:r w:rsidR="00F373A3" w:rsidRPr="00181FCD">
        <w:t xml:space="preserve"> </w:t>
      </w:r>
      <w:r w:rsidRPr="00181FCD">
        <w:t>el</w:t>
      </w:r>
      <w:r w:rsidR="00F373A3" w:rsidRPr="00181FCD">
        <w:t xml:space="preserve"> </w:t>
      </w:r>
      <w:r w:rsidRPr="00181FCD">
        <w:t>fin</w:t>
      </w:r>
      <w:r w:rsidR="00F373A3" w:rsidRPr="00181FCD">
        <w:t xml:space="preserve"> </w:t>
      </w:r>
      <w:r w:rsidRPr="00181FCD">
        <w:t>de</w:t>
      </w:r>
      <w:r w:rsidR="00F373A3" w:rsidRPr="00181FCD">
        <w:t xml:space="preserve"> </w:t>
      </w:r>
      <w:r w:rsidRPr="00181FCD">
        <w:t>evitar</w:t>
      </w:r>
      <w:r w:rsidR="00F373A3" w:rsidRPr="00181FCD">
        <w:t xml:space="preserve"> </w:t>
      </w:r>
      <w:r w:rsidRPr="00181FCD">
        <w:t>este</w:t>
      </w:r>
      <w:r w:rsidR="00F373A3" w:rsidRPr="00181FCD">
        <w:t xml:space="preserve"> </w:t>
      </w:r>
      <w:r w:rsidRPr="00181FCD">
        <w:t>tipo</w:t>
      </w:r>
      <w:r w:rsidR="00F373A3" w:rsidRPr="00181FCD">
        <w:t xml:space="preserve"> </w:t>
      </w:r>
      <w:r w:rsidRPr="00181FCD">
        <w:t>de</w:t>
      </w:r>
      <w:r w:rsidR="00F373A3" w:rsidRPr="00181FCD">
        <w:t xml:space="preserve"> </w:t>
      </w:r>
      <w:r w:rsidRPr="00181FCD">
        <w:t>situaciones,</w:t>
      </w:r>
      <w:r w:rsidR="00F373A3" w:rsidRPr="00181FCD">
        <w:t xml:space="preserve"> </w:t>
      </w:r>
      <w:r w:rsidRPr="00181FCD">
        <w:t>se</w:t>
      </w:r>
      <w:r w:rsidR="00F373A3" w:rsidRPr="00181FCD">
        <w:t xml:space="preserve"> </w:t>
      </w:r>
      <w:r w:rsidRPr="00181FCD">
        <w:t>hace</w:t>
      </w:r>
      <w:r w:rsidR="00F373A3" w:rsidRPr="00181FCD">
        <w:t xml:space="preserve"> </w:t>
      </w:r>
      <w:r w:rsidRPr="00181FCD">
        <w:t>hincapié</w:t>
      </w:r>
      <w:r w:rsidR="00F373A3" w:rsidRPr="00181FCD">
        <w:t xml:space="preserve"> </w:t>
      </w:r>
      <w:r w:rsidRPr="00181FCD">
        <w:t>en</w:t>
      </w:r>
      <w:r w:rsidR="00F373A3" w:rsidRPr="00181FCD">
        <w:t xml:space="preserve"> </w:t>
      </w:r>
      <w:r w:rsidRPr="00181FCD">
        <w:t>la</w:t>
      </w:r>
      <w:r w:rsidR="00F373A3" w:rsidRPr="00181FCD">
        <w:t xml:space="preserve"> </w:t>
      </w:r>
      <w:r w:rsidRPr="00181FCD">
        <w:t>importancia</w:t>
      </w:r>
      <w:r w:rsidR="00F373A3" w:rsidRPr="00181FCD">
        <w:t xml:space="preserve"> </w:t>
      </w:r>
      <w:r w:rsidRPr="00181FCD">
        <w:t>de</w:t>
      </w:r>
      <w:r w:rsidR="00F373A3" w:rsidRPr="00181FCD">
        <w:t xml:space="preserve"> </w:t>
      </w:r>
      <w:r w:rsidRPr="00181FCD">
        <w:t>la</w:t>
      </w:r>
      <w:r w:rsidR="00F373A3" w:rsidRPr="00181FCD">
        <w:t xml:space="preserve"> </w:t>
      </w:r>
      <w:r w:rsidRPr="00181FCD">
        <w:t>prevención,</w:t>
      </w:r>
      <w:r w:rsidR="00F373A3" w:rsidRPr="00181FCD">
        <w:t xml:space="preserve"> </w:t>
      </w:r>
      <w:r w:rsidRPr="00181FCD">
        <w:t>el</w:t>
      </w:r>
      <w:r w:rsidR="00F373A3" w:rsidRPr="00181FCD">
        <w:t xml:space="preserve"> </w:t>
      </w:r>
      <w:r w:rsidRPr="00181FCD">
        <w:t>seguimiento</w:t>
      </w:r>
      <w:r w:rsidR="00F373A3" w:rsidRPr="00181FCD">
        <w:t xml:space="preserve"> </w:t>
      </w:r>
      <w:r w:rsidRPr="00181FCD">
        <w:t>y</w:t>
      </w:r>
      <w:r w:rsidR="00F373A3" w:rsidRPr="00181FCD">
        <w:t xml:space="preserve"> </w:t>
      </w:r>
      <w:r w:rsidRPr="00181FCD">
        <w:t>la</w:t>
      </w:r>
      <w:r w:rsidR="00F373A3" w:rsidRPr="00181FCD">
        <w:t xml:space="preserve"> </w:t>
      </w:r>
      <w:r w:rsidRPr="00181FCD">
        <w:t>utilización</w:t>
      </w:r>
      <w:r w:rsidR="00F373A3" w:rsidRPr="00181FCD">
        <w:t xml:space="preserve"> </w:t>
      </w:r>
      <w:r w:rsidRPr="00181FCD">
        <w:t>de</w:t>
      </w:r>
      <w:r w:rsidR="00F373A3" w:rsidRPr="00181FCD">
        <w:t xml:space="preserve"> </w:t>
      </w:r>
      <w:r w:rsidRPr="00181FCD">
        <w:t>diversos</w:t>
      </w:r>
      <w:r w:rsidR="00F373A3" w:rsidRPr="00181FCD">
        <w:t xml:space="preserve"> </w:t>
      </w:r>
      <w:r w:rsidRPr="00181FCD">
        <w:t>enfoques</w:t>
      </w:r>
      <w:r w:rsidR="00F373A3" w:rsidRPr="00181FCD">
        <w:t xml:space="preserve"> </w:t>
      </w:r>
      <w:r w:rsidRPr="00181FCD">
        <w:t>en</w:t>
      </w:r>
      <w:r w:rsidR="00F373A3" w:rsidRPr="00181FCD">
        <w:t xml:space="preserve"> </w:t>
      </w:r>
      <w:r w:rsidRPr="00181FCD">
        <w:t>el</w:t>
      </w:r>
      <w:r w:rsidR="00F373A3" w:rsidRPr="00181FCD">
        <w:t xml:space="preserve"> </w:t>
      </w:r>
      <w:r w:rsidRPr="00181FCD">
        <w:t>trato</w:t>
      </w:r>
      <w:r w:rsidR="00F373A3" w:rsidRPr="00181FCD">
        <w:t xml:space="preserve"> </w:t>
      </w:r>
      <w:r w:rsidRPr="00181FCD">
        <w:t>de</w:t>
      </w:r>
      <w:r w:rsidR="00F373A3" w:rsidRPr="00181FCD">
        <w:t xml:space="preserve"> </w:t>
      </w:r>
      <w:r w:rsidRPr="00181FCD">
        <w:t>los</w:t>
      </w:r>
      <w:r w:rsidR="00F373A3" w:rsidRPr="00181FCD">
        <w:t xml:space="preserve"> </w:t>
      </w:r>
      <w:r w:rsidRPr="00181FCD">
        <w:t>reclusos</w:t>
      </w:r>
      <w:r w:rsidR="00F373A3" w:rsidRPr="00181FCD">
        <w:t xml:space="preserve"> </w:t>
      </w:r>
      <w:r w:rsidRPr="00181FCD">
        <w:t>y</w:t>
      </w:r>
      <w:r w:rsidR="00F373A3" w:rsidRPr="00181FCD">
        <w:t xml:space="preserve"> </w:t>
      </w:r>
      <w:r w:rsidRPr="00181FCD">
        <w:t>detenidos.</w:t>
      </w:r>
    </w:p>
    <w:p w:rsidR="001937F4" w:rsidRPr="00181FCD" w:rsidRDefault="001937F4" w:rsidP="00C256E4">
      <w:pPr>
        <w:pStyle w:val="SingleTxtG"/>
        <w:keepLines/>
        <w:suppressAutoHyphens/>
      </w:pPr>
      <w:r w:rsidRPr="00181FCD">
        <w:t>185.</w:t>
      </w:r>
      <w:r w:rsidRPr="00181FCD">
        <w:tab/>
        <w:t>Se</w:t>
      </w:r>
      <w:r w:rsidR="00F373A3" w:rsidRPr="00181FCD">
        <w:t xml:space="preserve"> </w:t>
      </w:r>
      <w:r w:rsidRPr="00181FCD">
        <w:t>examinan</w:t>
      </w:r>
      <w:r w:rsidR="00F373A3" w:rsidRPr="00181FCD">
        <w:t xml:space="preserve"> </w:t>
      </w:r>
      <w:r w:rsidRPr="00181FCD">
        <w:t>los</w:t>
      </w:r>
      <w:r w:rsidR="00F373A3" w:rsidRPr="00181FCD">
        <w:t xml:space="preserve"> </w:t>
      </w:r>
      <w:r w:rsidRPr="00181FCD">
        <w:t>conceptos</w:t>
      </w:r>
      <w:r w:rsidR="00F373A3" w:rsidRPr="00181FCD">
        <w:t xml:space="preserve"> </w:t>
      </w:r>
      <w:r w:rsidRPr="00181FCD">
        <w:t>básicos</w:t>
      </w:r>
      <w:r w:rsidR="00F373A3" w:rsidRPr="00181FCD">
        <w:t xml:space="preserve"> </w:t>
      </w:r>
      <w:r w:rsidRPr="00181FCD">
        <w:t>relacionados</w:t>
      </w:r>
      <w:r w:rsidR="00F373A3" w:rsidRPr="00181FCD">
        <w:t xml:space="preserve"> </w:t>
      </w:r>
      <w:r w:rsidRPr="00181FCD">
        <w:t>con</w:t>
      </w:r>
      <w:r w:rsidR="00F373A3" w:rsidRPr="00181FCD">
        <w:t xml:space="preserve"> </w:t>
      </w:r>
      <w:r w:rsidRPr="00181FCD">
        <w:t>la</w:t>
      </w:r>
      <w:r w:rsidR="00F373A3" w:rsidRPr="00181FCD">
        <w:t xml:space="preserve"> </w:t>
      </w:r>
      <w:r w:rsidRPr="00181FCD">
        <w:t>conducta</w:t>
      </w:r>
      <w:r w:rsidR="00F373A3" w:rsidRPr="00181FCD">
        <w:t xml:space="preserve"> </w:t>
      </w:r>
      <w:r w:rsidRPr="00181FCD">
        <w:t>ética</w:t>
      </w:r>
      <w:r w:rsidR="00F373A3" w:rsidRPr="00181FCD">
        <w:t xml:space="preserve"> </w:t>
      </w:r>
      <w:r w:rsidRPr="00181FCD">
        <w:t>de</w:t>
      </w:r>
      <w:r w:rsidR="00F373A3" w:rsidRPr="00181FCD">
        <w:t xml:space="preserve"> </w:t>
      </w:r>
      <w:r w:rsidRPr="00181FCD">
        <w:t>los</w:t>
      </w:r>
      <w:r w:rsidR="00F373A3" w:rsidRPr="00181FCD">
        <w:t xml:space="preserve"> </w:t>
      </w:r>
      <w:r w:rsidRPr="00181FCD">
        <w:t>empleados.</w:t>
      </w:r>
      <w:r w:rsidR="00F373A3" w:rsidRPr="00181FCD">
        <w:t xml:space="preserve"> </w:t>
      </w:r>
      <w:r w:rsidRPr="00181FCD">
        <w:t>El</w:t>
      </w:r>
      <w:r w:rsidR="00F373A3" w:rsidRPr="00181FCD">
        <w:t xml:space="preserve"> </w:t>
      </w:r>
      <w:r w:rsidRPr="00181FCD">
        <w:t>objetivo</w:t>
      </w:r>
      <w:r w:rsidR="00F373A3" w:rsidRPr="00181FCD">
        <w:t xml:space="preserve"> </w:t>
      </w:r>
      <w:r w:rsidRPr="00181FCD">
        <w:t>es</w:t>
      </w:r>
      <w:r w:rsidR="00F373A3" w:rsidRPr="00181FCD">
        <w:t xml:space="preserve"> </w:t>
      </w:r>
      <w:r w:rsidRPr="00181FCD">
        <w:t>disminuir</w:t>
      </w:r>
      <w:r w:rsidR="00F373A3" w:rsidRPr="00181FCD">
        <w:t xml:space="preserve"> </w:t>
      </w:r>
      <w:r w:rsidRPr="00181FCD">
        <w:t>el</w:t>
      </w:r>
      <w:r w:rsidR="00F373A3" w:rsidRPr="00181FCD">
        <w:t xml:space="preserve"> </w:t>
      </w:r>
      <w:r w:rsidRPr="00181FCD">
        <w:t>trato</w:t>
      </w:r>
      <w:r w:rsidR="00F373A3" w:rsidRPr="00181FCD">
        <w:t xml:space="preserve"> </w:t>
      </w:r>
      <w:r w:rsidRPr="00181FCD">
        <w:t>discriminatorio</w:t>
      </w:r>
      <w:r w:rsidR="00F373A3" w:rsidRPr="00181FCD">
        <w:t xml:space="preserve"> </w:t>
      </w:r>
      <w:r w:rsidRPr="00181FCD">
        <w:t>y</w:t>
      </w:r>
      <w:r w:rsidR="00F373A3" w:rsidRPr="00181FCD">
        <w:t xml:space="preserve"> </w:t>
      </w:r>
      <w:r w:rsidRPr="00181FCD">
        <w:t>la</w:t>
      </w:r>
      <w:r w:rsidR="00F373A3" w:rsidRPr="00181FCD">
        <w:t xml:space="preserve"> </w:t>
      </w:r>
      <w:r w:rsidRPr="00181FCD">
        <w:t>agresión</w:t>
      </w:r>
      <w:r w:rsidR="00F373A3" w:rsidRPr="00181FCD">
        <w:t xml:space="preserve"> </w:t>
      </w:r>
      <w:r w:rsidRPr="00181FCD">
        <w:t>física</w:t>
      </w:r>
      <w:r w:rsidR="00F373A3" w:rsidRPr="00181FCD">
        <w:t xml:space="preserve"> </w:t>
      </w:r>
      <w:r w:rsidRPr="00181FCD">
        <w:t>en</w:t>
      </w:r>
      <w:r w:rsidR="00F373A3" w:rsidRPr="00181FCD">
        <w:t xml:space="preserve"> </w:t>
      </w:r>
      <w:r w:rsidRPr="00181FCD">
        <w:t>general.</w:t>
      </w:r>
      <w:r w:rsidR="00F373A3" w:rsidRPr="00181FCD">
        <w:t xml:space="preserve"> </w:t>
      </w:r>
      <w:r w:rsidRPr="00181FCD">
        <w:t>De</w:t>
      </w:r>
      <w:r w:rsidR="00F373A3" w:rsidRPr="00181FCD">
        <w:t xml:space="preserve"> </w:t>
      </w:r>
      <w:r w:rsidRPr="00181FCD">
        <w:t>acuerdo</w:t>
      </w:r>
      <w:r w:rsidR="00F373A3" w:rsidRPr="00181FCD">
        <w:t xml:space="preserve"> </w:t>
      </w:r>
      <w:r w:rsidRPr="00181FCD">
        <w:t>con</w:t>
      </w:r>
      <w:r w:rsidR="00F373A3" w:rsidRPr="00181FCD">
        <w:t xml:space="preserve"> </w:t>
      </w:r>
      <w:r w:rsidRPr="00181FCD">
        <w:t>los</w:t>
      </w:r>
      <w:r w:rsidR="00F373A3" w:rsidRPr="00181FCD">
        <w:t xml:space="preserve"> </w:t>
      </w:r>
      <w:r w:rsidRPr="00181FCD">
        <w:t>diferentes</w:t>
      </w:r>
      <w:r w:rsidR="00F373A3" w:rsidRPr="00181FCD">
        <w:t xml:space="preserve"> </w:t>
      </w:r>
      <w:r w:rsidRPr="00181FCD">
        <w:t>perfiles</w:t>
      </w:r>
      <w:r w:rsidR="00F373A3" w:rsidRPr="00181FCD">
        <w:t xml:space="preserve"> </w:t>
      </w:r>
      <w:r w:rsidRPr="00181FCD">
        <w:t>psicológicos</w:t>
      </w:r>
      <w:r w:rsidR="00F373A3" w:rsidRPr="00181FCD">
        <w:t xml:space="preserve"> </w:t>
      </w:r>
      <w:r w:rsidRPr="00181FCD">
        <w:t>de</w:t>
      </w:r>
      <w:r w:rsidR="00F373A3" w:rsidRPr="00181FCD">
        <w:t xml:space="preserve"> </w:t>
      </w:r>
      <w:r w:rsidRPr="00181FCD">
        <w:t>los</w:t>
      </w:r>
      <w:r w:rsidR="00F373A3" w:rsidRPr="00181FCD">
        <w:t xml:space="preserve"> </w:t>
      </w:r>
      <w:r w:rsidRPr="00181FCD">
        <w:t>reclusos,</w:t>
      </w:r>
      <w:r w:rsidR="00F373A3" w:rsidRPr="00181FCD">
        <w:t xml:space="preserve"> </w:t>
      </w:r>
      <w:r w:rsidRPr="00181FCD">
        <w:t>se</w:t>
      </w:r>
      <w:r w:rsidR="00F373A3" w:rsidRPr="00181FCD">
        <w:t xml:space="preserve"> </w:t>
      </w:r>
      <w:r w:rsidRPr="00181FCD">
        <w:t>utilizan</w:t>
      </w:r>
      <w:r w:rsidR="00F373A3" w:rsidRPr="00181FCD">
        <w:t xml:space="preserve"> </w:t>
      </w:r>
      <w:r w:rsidRPr="00181FCD">
        <w:t>los</w:t>
      </w:r>
      <w:r w:rsidR="00F373A3" w:rsidRPr="00181FCD">
        <w:t xml:space="preserve"> </w:t>
      </w:r>
      <w:r w:rsidRPr="00181FCD">
        <w:t>juegos</w:t>
      </w:r>
      <w:r w:rsidR="00F373A3" w:rsidRPr="00181FCD">
        <w:t xml:space="preserve"> </w:t>
      </w:r>
      <w:r w:rsidRPr="00181FCD">
        <w:t>de</w:t>
      </w:r>
      <w:r w:rsidR="00F373A3" w:rsidRPr="00181FCD">
        <w:t xml:space="preserve"> </w:t>
      </w:r>
      <w:r w:rsidRPr="00181FCD">
        <w:t>roles</w:t>
      </w:r>
      <w:r w:rsidR="00F373A3" w:rsidRPr="00181FCD">
        <w:t xml:space="preserve"> </w:t>
      </w:r>
      <w:r w:rsidRPr="00181FCD">
        <w:t>situacionales</w:t>
      </w:r>
      <w:r w:rsidR="00F373A3" w:rsidRPr="00181FCD">
        <w:t xml:space="preserve"> </w:t>
      </w:r>
      <w:r w:rsidRPr="00181FCD">
        <w:t>para</w:t>
      </w:r>
      <w:r w:rsidR="00F373A3" w:rsidRPr="00181FCD">
        <w:t xml:space="preserve"> </w:t>
      </w:r>
      <w:r w:rsidRPr="00181FCD">
        <w:t>inculcar</w:t>
      </w:r>
      <w:r w:rsidR="00F373A3" w:rsidRPr="00181FCD">
        <w:t xml:space="preserve"> </w:t>
      </w:r>
      <w:r w:rsidRPr="00181FCD">
        <w:t>a</w:t>
      </w:r>
      <w:r w:rsidR="00F373A3" w:rsidRPr="00181FCD">
        <w:t xml:space="preserve"> </w:t>
      </w:r>
      <w:r w:rsidRPr="00181FCD">
        <w:t>los</w:t>
      </w:r>
      <w:r w:rsidR="00F373A3" w:rsidRPr="00181FCD">
        <w:t xml:space="preserve"> </w:t>
      </w:r>
      <w:r w:rsidRPr="00181FCD">
        <w:t>miembros</w:t>
      </w:r>
      <w:r w:rsidR="00F373A3" w:rsidRPr="00181FCD">
        <w:t xml:space="preserve"> </w:t>
      </w:r>
      <w:r w:rsidRPr="00181FCD">
        <w:t>del</w:t>
      </w:r>
      <w:r w:rsidR="00F373A3" w:rsidRPr="00181FCD">
        <w:t xml:space="preserve"> </w:t>
      </w:r>
      <w:r w:rsidRPr="00181FCD">
        <w:t>personal</w:t>
      </w:r>
      <w:r w:rsidR="00F373A3" w:rsidRPr="00181FCD">
        <w:t xml:space="preserve"> </w:t>
      </w:r>
      <w:r w:rsidRPr="00181FCD">
        <w:t>las</w:t>
      </w:r>
      <w:r w:rsidR="00F373A3" w:rsidRPr="00181FCD">
        <w:t xml:space="preserve"> </w:t>
      </w:r>
      <w:r w:rsidRPr="00181FCD">
        <w:t>aptitudes</w:t>
      </w:r>
      <w:r w:rsidR="00F373A3" w:rsidRPr="00181FCD">
        <w:t xml:space="preserve"> </w:t>
      </w:r>
      <w:r w:rsidRPr="00181FCD">
        <w:t>que</w:t>
      </w:r>
      <w:r w:rsidR="00F373A3" w:rsidRPr="00181FCD">
        <w:t xml:space="preserve"> </w:t>
      </w:r>
      <w:r w:rsidRPr="00181FCD">
        <w:t>les</w:t>
      </w:r>
      <w:r w:rsidR="00F373A3" w:rsidRPr="00181FCD">
        <w:t xml:space="preserve"> </w:t>
      </w:r>
      <w:r w:rsidRPr="00181FCD">
        <w:t>permitan</w:t>
      </w:r>
      <w:r w:rsidR="00F373A3" w:rsidRPr="00181FCD">
        <w:t xml:space="preserve"> </w:t>
      </w:r>
      <w:r w:rsidRPr="00181FCD">
        <w:t>intervenir</w:t>
      </w:r>
      <w:r w:rsidR="00F373A3" w:rsidRPr="00181FCD">
        <w:t xml:space="preserve"> </w:t>
      </w:r>
      <w:r w:rsidRPr="00181FCD">
        <w:t>de</w:t>
      </w:r>
      <w:r w:rsidR="00F373A3" w:rsidRPr="00181FCD">
        <w:t xml:space="preserve"> </w:t>
      </w:r>
      <w:r w:rsidRPr="00181FCD">
        <w:t>una</w:t>
      </w:r>
      <w:r w:rsidR="00F373A3" w:rsidRPr="00181FCD">
        <w:t xml:space="preserve"> </w:t>
      </w:r>
      <w:r w:rsidRPr="00181FCD">
        <w:t>manera</w:t>
      </w:r>
      <w:r w:rsidR="00F373A3" w:rsidRPr="00181FCD">
        <w:t xml:space="preserve"> </w:t>
      </w:r>
      <w:r w:rsidRPr="00181FCD">
        <w:t>adecuada.</w:t>
      </w:r>
      <w:r w:rsidR="00F373A3" w:rsidRPr="00181FCD">
        <w:t xml:space="preserve"> </w:t>
      </w:r>
      <w:r w:rsidRPr="00181FCD">
        <w:t>Durante</w:t>
      </w:r>
      <w:r w:rsidR="00F373A3" w:rsidRPr="00181FCD">
        <w:t xml:space="preserve"> </w:t>
      </w:r>
      <w:r w:rsidRPr="00181FCD">
        <w:t>este</w:t>
      </w:r>
      <w:r w:rsidR="00F373A3" w:rsidRPr="00181FCD">
        <w:t xml:space="preserve"> </w:t>
      </w:r>
      <w:r w:rsidRPr="00181FCD">
        <w:t>tipo</w:t>
      </w:r>
      <w:r w:rsidR="00F373A3" w:rsidRPr="00181FCD">
        <w:t xml:space="preserve"> </w:t>
      </w:r>
      <w:r w:rsidRPr="00181FCD">
        <w:t>de</w:t>
      </w:r>
      <w:r w:rsidR="00F373A3" w:rsidRPr="00181FCD">
        <w:t xml:space="preserve"> </w:t>
      </w:r>
      <w:r w:rsidRPr="00181FCD">
        <w:t>formación</w:t>
      </w:r>
      <w:r w:rsidR="00F373A3" w:rsidRPr="00181FCD">
        <w:t xml:space="preserve"> </w:t>
      </w:r>
      <w:r w:rsidRPr="00181FCD">
        <w:t>psicológica,</w:t>
      </w:r>
      <w:r w:rsidR="00F373A3" w:rsidRPr="00181FCD">
        <w:t xml:space="preserve"> </w:t>
      </w:r>
      <w:r w:rsidRPr="00181FCD">
        <w:t>se</w:t>
      </w:r>
      <w:r w:rsidR="00F373A3" w:rsidRPr="00181FCD">
        <w:t xml:space="preserve"> </w:t>
      </w:r>
      <w:r w:rsidRPr="00181FCD">
        <w:t>hace</w:t>
      </w:r>
      <w:r w:rsidR="00F373A3" w:rsidRPr="00181FCD">
        <w:t xml:space="preserve"> </w:t>
      </w:r>
      <w:r w:rsidRPr="00181FCD">
        <w:t>hincapié</w:t>
      </w:r>
      <w:r w:rsidR="00F373A3" w:rsidRPr="00181FCD">
        <w:t xml:space="preserve"> </w:t>
      </w:r>
      <w:r w:rsidRPr="00181FCD">
        <w:t>en</w:t>
      </w:r>
      <w:r w:rsidR="00F373A3" w:rsidRPr="00181FCD">
        <w:t xml:space="preserve"> </w:t>
      </w:r>
      <w:r w:rsidRPr="00181FCD">
        <w:t>las</w:t>
      </w:r>
      <w:r w:rsidR="00F373A3" w:rsidRPr="00181FCD">
        <w:t xml:space="preserve"> </w:t>
      </w:r>
      <w:r w:rsidRPr="00181FCD">
        <w:t>aptitudes</w:t>
      </w:r>
      <w:r w:rsidR="00F373A3" w:rsidRPr="00181FCD">
        <w:t xml:space="preserve"> </w:t>
      </w:r>
      <w:r w:rsidRPr="00181FCD">
        <w:t>de</w:t>
      </w:r>
      <w:r w:rsidR="00F373A3" w:rsidRPr="00181FCD">
        <w:t xml:space="preserve"> </w:t>
      </w:r>
      <w:r w:rsidRPr="00181FCD">
        <w:t>los</w:t>
      </w:r>
      <w:r w:rsidR="00F373A3" w:rsidRPr="00181FCD">
        <w:t xml:space="preserve"> </w:t>
      </w:r>
      <w:r w:rsidRPr="00181FCD">
        <w:t>miembros</w:t>
      </w:r>
      <w:r w:rsidR="00F373A3" w:rsidRPr="00181FCD">
        <w:t xml:space="preserve"> </w:t>
      </w:r>
      <w:r w:rsidRPr="00181FCD">
        <w:t>del</w:t>
      </w:r>
      <w:r w:rsidR="00F373A3" w:rsidRPr="00181FCD">
        <w:t xml:space="preserve"> </w:t>
      </w:r>
      <w:r w:rsidRPr="00181FCD">
        <w:t>personal</w:t>
      </w:r>
      <w:r w:rsidR="00F373A3" w:rsidRPr="00181FCD">
        <w:t xml:space="preserve"> </w:t>
      </w:r>
      <w:r w:rsidRPr="00181FCD">
        <w:t>para</w:t>
      </w:r>
      <w:r w:rsidR="00F373A3" w:rsidRPr="00181FCD">
        <w:t xml:space="preserve"> </w:t>
      </w:r>
      <w:r w:rsidRPr="00181FCD">
        <w:t>manejar</w:t>
      </w:r>
      <w:r w:rsidR="00F373A3" w:rsidRPr="00181FCD">
        <w:t xml:space="preserve"> </w:t>
      </w:r>
      <w:r w:rsidRPr="00181FCD">
        <w:t>situaciones</w:t>
      </w:r>
      <w:r w:rsidR="00F373A3" w:rsidRPr="00181FCD">
        <w:t xml:space="preserve"> </w:t>
      </w:r>
      <w:r w:rsidRPr="00181FCD">
        <w:t>de</w:t>
      </w:r>
      <w:r w:rsidR="00F373A3" w:rsidRPr="00181FCD">
        <w:t xml:space="preserve"> </w:t>
      </w:r>
      <w:r w:rsidRPr="00181FCD">
        <w:t>conflicto</w:t>
      </w:r>
      <w:r w:rsidR="00F373A3" w:rsidRPr="00181FCD">
        <w:t xml:space="preserve"> </w:t>
      </w:r>
      <w:r w:rsidRPr="00181FCD">
        <w:t>y</w:t>
      </w:r>
      <w:r w:rsidR="00F373A3" w:rsidRPr="00181FCD">
        <w:t xml:space="preserve"> </w:t>
      </w:r>
      <w:r w:rsidRPr="00181FCD">
        <w:t>regular</w:t>
      </w:r>
      <w:r w:rsidR="00F373A3" w:rsidRPr="00181FCD">
        <w:t xml:space="preserve"> </w:t>
      </w:r>
      <w:r w:rsidRPr="00181FCD">
        <w:t>las</w:t>
      </w:r>
      <w:r w:rsidR="00F373A3" w:rsidRPr="00181FCD">
        <w:t xml:space="preserve"> </w:t>
      </w:r>
      <w:r w:rsidRPr="00181FCD">
        <w:t>relaciones</w:t>
      </w:r>
      <w:r w:rsidR="00F373A3" w:rsidRPr="00181FCD">
        <w:t xml:space="preserve"> </w:t>
      </w:r>
      <w:r w:rsidRPr="00181FCD">
        <w:t>entre</w:t>
      </w:r>
      <w:r w:rsidR="00F373A3" w:rsidRPr="00181FCD">
        <w:t xml:space="preserve"> </w:t>
      </w:r>
      <w:r w:rsidRPr="00181FCD">
        <w:t>los</w:t>
      </w:r>
      <w:r w:rsidR="00F373A3" w:rsidRPr="00181FCD">
        <w:t xml:space="preserve"> </w:t>
      </w:r>
      <w:r w:rsidRPr="00181FCD">
        <w:t>reclusos</w:t>
      </w:r>
      <w:r w:rsidR="00F373A3" w:rsidRPr="00181FCD">
        <w:t xml:space="preserve"> </w:t>
      </w:r>
      <w:r w:rsidRPr="00181FCD">
        <w:t>a</w:t>
      </w:r>
      <w:r w:rsidR="00F373A3" w:rsidRPr="00181FCD">
        <w:t xml:space="preserve"> </w:t>
      </w:r>
      <w:r w:rsidRPr="00181FCD">
        <w:t>fin</w:t>
      </w:r>
      <w:r w:rsidR="00F373A3" w:rsidRPr="00181FCD">
        <w:t xml:space="preserve"> </w:t>
      </w:r>
      <w:r w:rsidRPr="00181FCD">
        <w:t>de</w:t>
      </w:r>
      <w:r w:rsidR="00F373A3" w:rsidRPr="00181FCD">
        <w:t xml:space="preserve"> </w:t>
      </w:r>
      <w:r w:rsidRPr="00181FCD">
        <w:t>que</w:t>
      </w:r>
      <w:r w:rsidR="00F373A3" w:rsidRPr="00181FCD">
        <w:t xml:space="preserve"> </w:t>
      </w:r>
      <w:r w:rsidRPr="00181FCD">
        <w:t>disminuya</w:t>
      </w:r>
      <w:r w:rsidR="00F373A3" w:rsidRPr="00181FCD">
        <w:t xml:space="preserve"> </w:t>
      </w:r>
      <w:r w:rsidRPr="00181FCD">
        <w:t>la</w:t>
      </w:r>
      <w:r w:rsidR="00F373A3" w:rsidRPr="00181FCD">
        <w:t xml:space="preserve"> </w:t>
      </w:r>
      <w:r w:rsidRPr="00181FCD">
        <w:t>violencia.</w:t>
      </w:r>
      <w:r w:rsidR="00F373A3" w:rsidRPr="00181FCD">
        <w:t xml:space="preserve"> </w:t>
      </w:r>
    </w:p>
    <w:p w:rsidR="001937F4" w:rsidRPr="00181FCD" w:rsidRDefault="001937F4" w:rsidP="00347B20">
      <w:pPr>
        <w:pStyle w:val="SingleTxtG"/>
        <w:suppressAutoHyphens/>
      </w:pPr>
      <w:r w:rsidRPr="00181FCD">
        <w:t>186.</w:t>
      </w:r>
      <w:r w:rsidRPr="00181FCD">
        <w:tab/>
        <w:t>En</w:t>
      </w:r>
      <w:r w:rsidR="00F373A3" w:rsidRPr="00181FCD">
        <w:t xml:space="preserve"> </w:t>
      </w:r>
      <w:r w:rsidRPr="00181FCD">
        <w:t>virtud</w:t>
      </w:r>
      <w:r w:rsidR="00F373A3" w:rsidRPr="00181FCD">
        <w:t xml:space="preserve"> </w:t>
      </w:r>
      <w:r w:rsidRPr="00181FCD">
        <w:t>del</w:t>
      </w:r>
      <w:r w:rsidR="00F373A3" w:rsidRPr="00181FCD">
        <w:t xml:space="preserve"> </w:t>
      </w:r>
      <w:r w:rsidRPr="00181FCD">
        <w:t>proyecto</w:t>
      </w:r>
      <w:r w:rsidR="00F373A3" w:rsidRPr="00181FCD">
        <w:t xml:space="preserve"> </w:t>
      </w:r>
      <w:r w:rsidRPr="00181FCD">
        <w:t>NFM-2013-BG-15-3,</w:t>
      </w:r>
      <w:r w:rsidR="00F373A3" w:rsidRPr="00181FCD">
        <w:t xml:space="preserve"> </w:t>
      </w:r>
      <w:r w:rsidRPr="00181FCD">
        <w:t>titulado</w:t>
      </w:r>
      <w:r w:rsidR="00F373A3" w:rsidRPr="00181FCD">
        <w:t xml:space="preserve"> "</w:t>
      </w:r>
      <w:r w:rsidRPr="00181FCD">
        <w:t>Mejora</w:t>
      </w:r>
      <w:r w:rsidR="00F373A3" w:rsidRPr="00181FCD">
        <w:t xml:space="preserve"> </w:t>
      </w:r>
      <w:r w:rsidRPr="00181FCD">
        <w:t>de</w:t>
      </w:r>
      <w:r w:rsidR="00F373A3" w:rsidRPr="00181FCD">
        <w:t xml:space="preserve"> </w:t>
      </w:r>
      <w:r w:rsidRPr="00181FCD">
        <w:t>las</w:t>
      </w:r>
      <w:r w:rsidR="00F373A3" w:rsidRPr="00181FCD">
        <w:t xml:space="preserve"> </w:t>
      </w:r>
      <w:r w:rsidRPr="00181FCD">
        <w:t>competencias</w:t>
      </w:r>
      <w:r w:rsidR="00F373A3" w:rsidRPr="00181FCD">
        <w:t xml:space="preserve"> </w:t>
      </w:r>
      <w:r w:rsidRPr="00181FCD">
        <w:t>del</w:t>
      </w:r>
      <w:r w:rsidR="00F373A3" w:rsidRPr="00181FCD">
        <w:t xml:space="preserve"> </w:t>
      </w:r>
      <w:r w:rsidRPr="00181FCD">
        <w:t>personal</w:t>
      </w:r>
      <w:r w:rsidR="00F373A3" w:rsidRPr="00181FCD">
        <w:t xml:space="preserve"> </w:t>
      </w:r>
      <w:r w:rsidRPr="00181FCD">
        <w:t>para</w:t>
      </w:r>
      <w:r w:rsidR="00F373A3" w:rsidRPr="00181FCD">
        <w:t xml:space="preserve"> </w:t>
      </w:r>
      <w:r w:rsidRPr="00181FCD">
        <w:t>sus</w:t>
      </w:r>
      <w:r w:rsidR="00F373A3" w:rsidRPr="00181FCD">
        <w:t xml:space="preserve"> </w:t>
      </w:r>
      <w:r w:rsidRPr="00181FCD">
        <w:t>funciones</w:t>
      </w:r>
      <w:r w:rsidR="00F373A3" w:rsidRPr="00181FCD">
        <w:t xml:space="preserve"> </w:t>
      </w:r>
      <w:r w:rsidRPr="00181FCD">
        <w:t>de</w:t>
      </w:r>
      <w:r w:rsidR="00F373A3" w:rsidRPr="00181FCD">
        <w:t xml:space="preserve"> </w:t>
      </w:r>
      <w:r w:rsidRPr="00181FCD">
        <w:t>selección</w:t>
      </w:r>
      <w:r w:rsidR="00F373A3" w:rsidRPr="00181FCD">
        <w:t xml:space="preserve"> </w:t>
      </w:r>
      <w:r w:rsidRPr="00181FCD">
        <w:t>y</w:t>
      </w:r>
      <w:r w:rsidR="00F373A3" w:rsidRPr="00181FCD">
        <w:t xml:space="preserve"> </w:t>
      </w:r>
      <w:r w:rsidRPr="00181FCD">
        <w:t>asesoramiento</w:t>
      </w:r>
      <w:r w:rsidR="00F373A3" w:rsidRPr="00181FCD">
        <w:t xml:space="preserve"> </w:t>
      </w:r>
      <w:r w:rsidRPr="00181FCD">
        <w:t>según</w:t>
      </w:r>
      <w:r w:rsidR="00F373A3" w:rsidRPr="00181FCD">
        <w:t xml:space="preserve"> </w:t>
      </w:r>
      <w:r w:rsidRPr="00181FCD">
        <w:t>criterios</w:t>
      </w:r>
      <w:r w:rsidR="00F373A3" w:rsidRPr="00181FCD">
        <w:t xml:space="preserve"> </w:t>
      </w:r>
      <w:r w:rsidRPr="00181FCD">
        <w:t>psicológicos</w:t>
      </w:r>
      <w:r w:rsidR="00F373A3" w:rsidRPr="00181FCD">
        <w:t>"</w:t>
      </w:r>
      <w:r w:rsidRPr="00181FCD">
        <w:t>,</w:t>
      </w:r>
      <w:r w:rsidR="00F373A3" w:rsidRPr="00181FCD">
        <w:t xml:space="preserve"> </w:t>
      </w:r>
      <w:r w:rsidRPr="00181FCD">
        <w:t>en</w:t>
      </w:r>
      <w:r w:rsidR="00F373A3" w:rsidRPr="00181FCD">
        <w:t xml:space="preserve"> </w:t>
      </w:r>
      <w:r w:rsidRPr="00181FCD">
        <w:t>cumplimiento</w:t>
      </w:r>
      <w:r w:rsidR="00F373A3" w:rsidRPr="00181FCD">
        <w:t xml:space="preserve"> </w:t>
      </w:r>
      <w:r w:rsidRPr="00181FCD">
        <w:t>del</w:t>
      </w:r>
      <w:r w:rsidR="00F373A3" w:rsidRPr="00181FCD">
        <w:t xml:space="preserve"> </w:t>
      </w:r>
      <w:r w:rsidRPr="00181FCD">
        <w:t>contrato</w:t>
      </w:r>
      <w:r w:rsidR="00F373A3" w:rsidRPr="00181FCD">
        <w:t xml:space="preserve"> </w:t>
      </w:r>
      <w:r w:rsidRPr="00181FCD">
        <w:t>de</w:t>
      </w:r>
      <w:r w:rsidR="00F373A3" w:rsidRPr="00181FCD">
        <w:t xml:space="preserve"> </w:t>
      </w:r>
      <w:r w:rsidRPr="00181FCD">
        <w:t>concesión</w:t>
      </w:r>
      <w:r w:rsidR="00F373A3" w:rsidRPr="00181FCD">
        <w:t xml:space="preserve"> </w:t>
      </w:r>
      <w:r w:rsidRPr="00181FCD">
        <w:t>de</w:t>
      </w:r>
      <w:r w:rsidR="00F373A3" w:rsidRPr="00181FCD">
        <w:t xml:space="preserve"> </w:t>
      </w:r>
      <w:r w:rsidRPr="00181FCD">
        <w:t>subsidios</w:t>
      </w:r>
      <w:r w:rsidR="00672EC2" w:rsidRPr="00181FCD">
        <w:t xml:space="preserve"> </w:t>
      </w:r>
      <w:r w:rsidRPr="00181FCD">
        <w:t>núm.</w:t>
      </w:r>
      <w:r w:rsidR="00F373A3" w:rsidRPr="00181FCD">
        <w:t xml:space="preserve"> </w:t>
      </w:r>
      <w:r w:rsidRPr="00181FCD">
        <w:t>93-00-48/20.02.2013,</w:t>
      </w:r>
      <w:r w:rsidR="00F373A3" w:rsidRPr="00181FCD">
        <w:t xml:space="preserve"> </w:t>
      </w:r>
      <w:r w:rsidRPr="00181FCD">
        <w:t>en</w:t>
      </w:r>
      <w:r w:rsidR="00F373A3" w:rsidRPr="00181FCD">
        <w:t xml:space="preserve"> </w:t>
      </w:r>
      <w:r w:rsidRPr="00181FCD">
        <w:t>el</w:t>
      </w:r>
      <w:r w:rsidR="00F373A3" w:rsidRPr="00181FCD">
        <w:t xml:space="preserve"> </w:t>
      </w:r>
      <w:r w:rsidRPr="00181FCD">
        <w:t>marco</w:t>
      </w:r>
      <w:r w:rsidR="00F373A3" w:rsidRPr="00181FCD">
        <w:t xml:space="preserve"> </w:t>
      </w:r>
      <w:r w:rsidRPr="00181FCD">
        <w:t>del</w:t>
      </w:r>
      <w:r w:rsidR="00F373A3" w:rsidRPr="00181FCD">
        <w:t xml:space="preserve"> </w:t>
      </w:r>
      <w:r w:rsidRPr="00181FCD">
        <w:t>Mecanismo</w:t>
      </w:r>
      <w:r w:rsidR="00F373A3" w:rsidRPr="00181FCD">
        <w:t xml:space="preserve"> </w:t>
      </w:r>
      <w:r w:rsidRPr="00181FCD">
        <w:t>Financiero</w:t>
      </w:r>
      <w:r w:rsidR="00F373A3" w:rsidRPr="00181FCD">
        <w:t xml:space="preserve"> </w:t>
      </w:r>
      <w:r w:rsidRPr="00181FCD">
        <w:t>Noruego</w:t>
      </w:r>
      <w:r w:rsidR="00F373A3" w:rsidRPr="00181FCD">
        <w:t xml:space="preserve"> </w:t>
      </w:r>
      <w:r w:rsidRPr="00181FCD">
        <w:t>2009-2014,</w:t>
      </w:r>
      <w:r w:rsidR="00F373A3" w:rsidRPr="00181FCD">
        <w:t xml:space="preserve"> </w:t>
      </w:r>
      <w:r w:rsidRPr="00181FCD">
        <w:t>existen</w:t>
      </w:r>
      <w:r w:rsidR="00F373A3" w:rsidRPr="00181FCD">
        <w:t xml:space="preserve"> </w:t>
      </w:r>
      <w:r w:rsidRPr="00181FCD">
        <w:t>disposiciones</w:t>
      </w:r>
      <w:r w:rsidR="00F373A3" w:rsidRPr="00181FCD">
        <w:t xml:space="preserve"> </w:t>
      </w:r>
      <w:r w:rsidRPr="00181FCD">
        <w:t>para</w:t>
      </w:r>
      <w:r w:rsidR="00F373A3" w:rsidRPr="00181FCD">
        <w:t xml:space="preserve"> </w:t>
      </w:r>
      <w:r w:rsidRPr="00181FCD">
        <w:t>la</w:t>
      </w:r>
      <w:r w:rsidR="00F373A3" w:rsidRPr="00181FCD">
        <w:t xml:space="preserve"> "</w:t>
      </w:r>
      <w:r w:rsidRPr="00181FCD">
        <w:t>Elaboración</w:t>
      </w:r>
      <w:r w:rsidR="00F373A3" w:rsidRPr="00181FCD">
        <w:t xml:space="preserve"> </w:t>
      </w:r>
      <w:r w:rsidRPr="00181FCD">
        <w:t>y</w:t>
      </w:r>
      <w:r w:rsidR="00F373A3" w:rsidRPr="00181FCD">
        <w:t xml:space="preserve"> </w:t>
      </w:r>
      <w:r w:rsidRPr="00181FCD">
        <w:t>ejecución</w:t>
      </w:r>
      <w:r w:rsidR="00F373A3" w:rsidRPr="00181FCD">
        <w:t xml:space="preserve"> </w:t>
      </w:r>
      <w:r w:rsidRPr="00181FCD">
        <w:t>de</w:t>
      </w:r>
      <w:r w:rsidR="00F373A3" w:rsidRPr="00181FCD">
        <w:t xml:space="preserve"> </w:t>
      </w:r>
      <w:r w:rsidRPr="00181FCD">
        <w:t>un</w:t>
      </w:r>
      <w:r w:rsidR="00F373A3" w:rsidRPr="00181FCD">
        <w:t xml:space="preserve"> </w:t>
      </w:r>
      <w:r w:rsidRPr="00181FCD">
        <w:t>programa</w:t>
      </w:r>
      <w:r w:rsidR="00F373A3" w:rsidRPr="00181FCD">
        <w:t xml:space="preserve"> </w:t>
      </w:r>
      <w:r w:rsidRPr="00181FCD">
        <w:t>para</w:t>
      </w:r>
      <w:r w:rsidR="00F373A3" w:rsidRPr="00181FCD">
        <w:t xml:space="preserve"> </w:t>
      </w:r>
      <w:r w:rsidRPr="00181FCD">
        <w:t>la</w:t>
      </w:r>
      <w:r w:rsidR="00F373A3" w:rsidRPr="00181FCD">
        <w:t xml:space="preserve"> </w:t>
      </w:r>
      <w:r w:rsidRPr="00181FCD">
        <w:t>prevención</w:t>
      </w:r>
      <w:r w:rsidR="00F373A3" w:rsidRPr="00181FCD">
        <w:t xml:space="preserve"> </w:t>
      </w:r>
      <w:r w:rsidRPr="00181FCD">
        <w:t>de</w:t>
      </w:r>
      <w:r w:rsidR="00F373A3" w:rsidRPr="00181FCD">
        <w:t xml:space="preserve"> </w:t>
      </w:r>
      <w:r w:rsidRPr="00181FCD">
        <w:t>la</w:t>
      </w:r>
      <w:r w:rsidR="00F373A3" w:rsidRPr="00181FCD">
        <w:t xml:space="preserve"> </w:t>
      </w:r>
      <w:r w:rsidRPr="00181FCD">
        <w:t>violencia</w:t>
      </w:r>
      <w:r w:rsidR="00F373A3" w:rsidRPr="00181FCD">
        <w:t xml:space="preserve"> </w:t>
      </w:r>
      <w:r w:rsidRPr="00181FCD">
        <w:t>étnica</w:t>
      </w:r>
      <w:r w:rsidR="00F373A3" w:rsidRPr="00181FCD">
        <w:t xml:space="preserve"> </w:t>
      </w:r>
      <w:r w:rsidRPr="00181FCD">
        <w:t>y</w:t>
      </w:r>
      <w:r w:rsidR="00F373A3" w:rsidRPr="00181FCD">
        <w:t xml:space="preserve"> </w:t>
      </w:r>
      <w:r w:rsidRPr="00181FCD">
        <w:t>la</w:t>
      </w:r>
      <w:r w:rsidR="00F373A3" w:rsidRPr="00181FCD">
        <w:t xml:space="preserve"> </w:t>
      </w:r>
      <w:r w:rsidRPr="00181FCD">
        <w:t>integración</w:t>
      </w:r>
      <w:r w:rsidR="00F373A3" w:rsidRPr="00181FCD">
        <w:t xml:space="preserve"> </w:t>
      </w:r>
      <w:r w:rsidRPr="00181FCD">
        <w:t>de</w:t>
      </w:r>
      <w:r w:rsidR="00F373A3" w:rsidRPr="00181FCD">
        <w:t xml:space="preserve"> </w:t>
      </w:r>
      <w:r w:rsidRPr="00181FCD">
        <w:t>los</w:t>
      </w:r>
      <w:r w:rsidR="00F373A3" w:rsidRPr="00181FCD">
        <w:t xml:space="preserve"> </w:t>
      </w:r>
      <w:r w:rsidRPr="00181FCD">
        <w:t>romaníes</w:t>
      </w:r>
      <w:r w:rsidR="00F373A3" w:rsidRPr="00181FCD">
        <w:t>"</w:t>
      </w:r>
      <w:r w:rsidRPr="00181FCD">
        <w:t>.</w:t>
      </w:r>
      <w:r w:rsidR="00F373A3" w:rsidRPr="00181FCD">
        <w:t xml:space="preserve"> </w:t>
      </w:r>
      <w:r w:rsidRPr="00181FCD">
        <w:t>En</w:t>
      </w:r>
      <w:r w:rsidR="00F373A3" w:rsidRPr="00181FCD">
        <w:t xml:space="preserve"> </w:t>
      </w:r>
      <w:r w:rsidRPr="00181FCD">
        <w:t>la</w:t>
      </w:r>
      <w:r w:rsidR="00F373A3" w:rsidRPr="00181FCD">
        <w:t xml:space="preserve"> </w:t>
      </w:r>
      <w:r w:rsidRPr="00181FCD">
        <w:t>actualidad</w:t>
      </w:r>
      <w:r w:rsidR="00F373A3" w:rsidRPr="00181FCD">
        <w:t xml:space="preserve"> </w:t>
      </w:r>
      <w:r w:rsidRPr="00181FCD">
        <w:t>hay</w:t>
      </w:r>
      <w:r w:rsidR="00F373A3" w:rsidRPr="00181FCD">
        <w:t xml:space="preserve"> </w:t>
      </w:r>
      <w:r w:rsidRPr="00181FCD">
        <w:t>una</w:t>
      </w:r>
      <w:r w:rsidR="00F373A3" w:rsidRPr="00181FCD">
        <w:t xml:space="preserve"> </w:t>
      </w:r>
      <w:r w:rsidRPr="00181FCD">
        <w:t>especificación</w:t>
      </w:r>
      <w:r w:rsidR="00F373A3" w:rsidRPr="00181FCD">
        <w:t xml:space="preserve"> </w:t>
      </w:r>
      <w:r w:rsidRPr="00181FCD">
        <w:t>para</w:t>
      </w:r>
      <w:r w:rsidR="00F373A3" w:rsidRPr="00181FCD">
        <w:t xml:space="preserve"> </w:t>
      </w:r>
      <w:r w:rsidRPr="00181FCD">
        <w:t>la</w:t>
      </w:r>
      <w:r w:rsidR="00F373A3" w:rsidRPr="00181FCD">
        <w:t xml:space="preserve"> </w:t>
      </w:r>
      <w:r w:rsidRPr="00181FCD">
        <w:t>preparación</w:t>
      </w:r>
      <w:r w:rsidR="00F373A3" w:rsidRPr="00181FCD">
        <w:t xml:space="preserve"> </w:t>
      </w:r>
      <w:r w:rsidRPr="00181FCD">
        <w:t>de</w:t>
      </w:r>
      <w:r w:rsidR="00F373A3" w:rsidRPr="00181FCD">
        <w:t xml:space="preserve"> </w:t>
      </w:r>
      <w:r w:rsidRPr="00181FCD">
        <w:t>un</w:t>
      </w:r>
      <w:r w:rsidR="00F373A3" w:rsidRPr="00181FCD">
        <w:t xml:space="preserve"> </w:t>
      </w:r>
      <w:r w:rsidRPr="00181FCD">
        <w:t>programa</w:t>
      </w:r>
      <w:r w:rsidR="00F373A3" w:rsidRPr="00181FCD">
        <w:t xml:space="preserve"> </w:t>
      </w:r>
      <w:r w:rsidRPr="00181FCD">
        <w:t>correccional</w:t>
      </w:r>
      <w:r w:rsidR="00F373A3" w:rsidRPr="00181FCD">
        <w:t xml:space="preserve"> </w:t>
      </w:r>
      <w:r w:rsidRPr="00181FCD">
        <w:t>que</w:t>
      </w:r>
      <w:r w:rsidR="00F373A3" w:rsidRPr="00181FCD">
        <w:t xml:space="preserve"> </w:t>
      </w:r>
      <w:r w:rsidRPr="00181FCD">
        <w:t>permita</w:t>
      </w:r>
      <w:r w:rsidR="00F373A3" w:rsidRPr="00181FCD">
        <w:t xml:space="preserve"> </w:t>
      </w:r>
      <w:r w:rsidRPr="00181FCD">
        <w:t>prevenir</w:t>
      </w:r>
      <w:r w:rsidR="00F373A3" w:rsidRPr="00181FCD">
        <w:t xml:space="preserve"> </w:t>
      </w:r>
      <w:r w:rsidRPr="00181FCD">
        <w:t>y</w:t>
      </w:r>
      <w:r w:rsidR="00F373A3" w:rsidRPr="00181FCD">
        <w:t xml:space="preserve"> </w:t>
      </w:r>
      <w:r w:rsidRPr="00181FCD">
        <w:t>manejar</w:t>
      </w:r>
      <w:r w:rsidR="00F373A3" w:rsidRPr="00181FCD">
        <w:t xml:space="preserve"> </w:t>
      </w:r>
      <w:r w:rsidRPr="00181FCD">
        <w:t>la</w:t>
      </w:r>
      <w:r w:rsidR="00F373A3" w:rsidRPr="00181FCD">
        <w:t xml:space="preserve"> </w:t>
      </w:r>
      <w:r w:rsidRPr="00181FCD">
        <w:t>violencia</w:t>
      </w:r>
      <w:r w:rsidR="00F373A3" w:rsidRPr="00181FCD">
        <w:t xml:space="preserve"> </w:t>
      </w:r>
      <w:r w:rsidRPr="00181FCD">
        <w:t>étnica</w:t>
      </w:r>
      <w:r w:rsidR="00F373A3" w:rsidRPr="00181FCD">
        <w:t xml:space="preserve"> </w:t>
      </w:r>
      <w:r w:rsidRPr="00181FCD">
        <w:t>en</w:t>
      </w:r>
      <w:r w:rsidR="00F373A3" w:rsidRPr="00181FCD">
        <w:t xml:space="preserve"> </w:t>
      </w:r>
      <w:r w:rsidRPr="00181FCD">
        <w:t>las</w:t>
      </w:r>
      <w:r w:rsidR="00F373A3" w:rsidRPr="00181FCD">
        <w:t xml:space="preserve"> </w:t>
      </w:r>
      <w:r w:rsidRPr="00181FCD">
        <w:t>cárceles,</w:t>
      </w:r>
      <w:r w:rsidR="00F373A3" w:rsidRPr="00181FCD">
        <w:t xml:space="preserve"> </w:t>
      </w:r>
      <w:r w:rsidRPr="00181FCD">
        <w:t>así</w:t>
      </w:r>
      <w:r w:rsidR="00F373A3" w:rsidRPr="00181FCD">
        <w:t xml:space="preserve"> </w:t>
      </w:r>
      <w:r w:rsidRPr="00181FCD">
        <w:t>como</w:t>
      </w:r>
      <w:r w:rsidR="00F373A3" w:rsidRPr="00181FCD">
        <w:t xml:space="preserve"> </w:t>
      </w:r>
      <w:r w:rsidRPr="00181FCD">
        <w:t>fomentar</w:t>
      </w:r>
      <w:r w:rsidR="00F373A3" w:rsidRPr="00181FCD">
        <w:t xml:space="preserve"> </w:t>
      </w:r>
      <w:r w:rsidRPr="00181FCD">
        <w:t>la</w:t>
      </w:r>
      <w:r w:rsidR="00F373A3" w:rsidRPr="00181FCD">
        <w:t xml:space="preserve"> </w:t>
      </w:r>
      <w:r w:rsidRPr="00181FCD">
        <w:t>tolerancia</w:t>
      </w:r>
      <w:r w:rsidR="00F373A3" w:rsidRPr="00181FCD">
        <w:t xml:space="preserve"> </w:t>
      </w:r>
      <w:r w:rsidRPr="00181FCD">
        <w:t>hacia</w:t>
      </w:r>
      <w:r w:rsidR="00F373A3" w:rsidRPr="00181FCD">
        <w:t xml:space="preserve"> </w:t>
      </w:r>
      <w:r w:rsidRPr="00181FCD">
        <w:t>las</w:t>
      </w:r>
      <w:r w:rsidR="00F373A3" w:rsidRPr="00181FCD">
        <w:t xml:space="preserve"> </w:t>
      </w:r>
      <w:r w:rsidRPr="00181FCD">
        <w:t>diferencias</w:t>
      </w:r>
      <w:r w:rsidR="00F373A3" w:rsidRPr="00181FCD">
        <w:t xml:space="preserve"> </w:t>
      </w:r>
      <w:r w:rsidRPr="00181FCD">
        <w:t>y</w:t>
      </w:r>
      <w:r w:rsidR="00F373A3" w:rsidRPr="00181FCD">
        <w:t xml:space="preserve"> </w:t>
      </w:r>
      <w:r w:rsidRPr="00181FCD">
        <w:t>la</w:t>
      </w:r>
      <w:r w:rsidR="00F373A3" w:rsidRPr="00181FCD">
        <w:t xml:space="preserve"> </w:t>
      </w:r>
      <w:r w:rsidRPr="00181FCD">
        <w:t>integración</w:t>
      </w:r>
      <w:r w:rsidR="00F373A3" w:rsidRPr="00181FCD">
        <w:t xml:space="preserve"> </w:t>
      </w:r>
      <w:r w:rsidRPr="00181FCD">
        <w:t>de</w:t>
      </w:r>
      <w:r w:rsidR="00F373A3" w:rsidRPr="00181FCD">
        <w:t xml:space="preserve"> </w:t>
      </w:r>
      <w:r w:rsidRPr="00181FCD">
        <w:t>los</w:t>
      </w:r>
      <w:r w:rsidR="00F373A3" w:rsidRPr="00181FCD">
        <w:t xml:space="preserve"> </w:t>
      </w:r>
      <w:r w:rsidRPr="00181FCD">
        <w:t>romaníes.</w:t>
      </w:r>
      <w:r w:rsidR="00F373A3" w:rsidRPr="00181FCD">
        <w:t xml:space="preserve"> </w:t>
      </w:r>
      <w:r w:rsidRPr="00181FCD">
        <w:t>También</w:t>
      </w:r>
      <w:r w:rsidR="00F373A3" w:rsidRPr="00181FCD">
        <w:t xml:space="preserve"> </w:t>
      </w:r>
      <w:r w:rsidRPr="00181FCD">
        <w:t>se</w:t>
      </w:r>
      <w:r w:rsidR="00F373A3" w:rsidRPr="00181FCD">
        <w:t xml:space="preserve"> </w:t>
      </w:r>
      <w:r w:rsidRPr="00181FCD">
        <w:t>lleva</w:t>
      </w:r>
      <w:r w:rsidR="00F373A3" w:rsidRPr="00181FCD">
        <w:t xml:space="preserve"> </w:t>
      </w:r>
      <w:r w:rsidRPr="00181FCD">
        <w:t>a</w:t>
      </w:r>
      <w:r w:rsidR="00F373A3" w:rsidRPr="00181FCD">
        <w:t xml:space="preserve"> </w:t>
      </w:r>
      <w:r w:rsidRPr="00181FCD">
        <w:t>cabo</w:t>
      </w:r>
      <w:r w:rsidR="00F373A3" w:rsidRPr="00181FCD">
        <w:t xml:space="preserve"> </w:t>
      </w:r>
      <w:r w:rsidRPr="00181FCD">
        <w:t>una</w:t>
      </w:r>
      <w:r w:rsidR="00F373A3" w:rsidRPr="00181FCD">
        <w:t xml:space="preserve"> </w:t>
      </w:r>
      <w:r w:rsidRPr="00181FCD">
        <w:t>investigación</w:t>
      </w:r>
      <w:r w:rsidR="00F373A3" w:rsidRPr="00181FCD">
        <w:t xml:space="preserve"> </w:t>
      </w:r>
      <w:r w:rsidRPr="00181FCD">
        <w:t>sobre</w:t>
      </w:r>
      <w:r w:rsidR="00F373A3" w:rsidRPr="00181FCD">
        <w:t xml:space="preserve"> </w:t>
      </w:r>
      <w:r w:rsidRPr="00181FCD">
        <w:t>este</w:t>
      </w:r>
      <w:r w:rsidR="00F373A3" w:rsidRPr="00181FCD">
        <w:t xml:space="preserve"> </w:t>
      </w:r>
      <w:r w:rsidRPr="00181FCD">
        <w:t>tema,</w:t>
      </w:r>
      <w:r w:rsidR="00F373A3" w:rsidRPr="00181FCD">
        <w:t xml:space="preserve"> </w:t>
      </w:r>
      <w:r w:rsidRPr="00181FCD">
        <w:t>en</w:t>
      </w:r>
      <w:r w:rsidR="00F373A3" w:rsidRPr="00181FCD">
        <w:t xml:space="preserve"> </w:t>
      </w:r>
      <w:r w:rsidRPr="00181FCD">
        <w:t>colaboración</w:t>
      </w:r>
      <w:r w:rsidR="00F373A3" w:rsidRPr="00181FCD">
        <w:t xml:space="preserve"> </w:t>
      </w:r>
      <w:r w:rsidRPr="00181FCD">
        <w:t>con</w:t>
      </w:r>
      <w:r w:rsidR="00F373A3" w:rsidRPr="00181FCD">
        <w:t xml:space="preserve"> </w:t>
      </w:r>
      <w:r w:rsidRPr="00181FCD">
        <w:t>un</w:t>
      </w:r>
      <w:r w:rsidR="00F373A3" w:rsidRPr="00181FCD">
        <w:t xml:space="preserve"> </w:t>
      </w:r>
      <w:r w:rsidRPr="00181FCD">
        <w:t>experto</w:t>
      </w:r>
      <w:r w:rsidR="00F373A3" w:rsidRPr="00181FCD">
        <w:t xml:space="preserve"> </w:t>
      </w:r>
      <w:r w:rsidRPr="00181FCD">
        <w:t>recomendado</w:t>
      </w:r>
      <w:r w:rsidR="00F373A3" w:rsidRPr="00181FCD">
        <w:t xml:space="preserve"> </w:t>
      </w:r>
      <w:r w:rsidRPr="00181FCD">
        <w:t>por</w:t>
      </w:r>
      <w:r w:rsidR="00F373A3" w:rsidRPr="00181FCD">
        <w:t xml:space="preserve"> </w:t>
      </w:r>
      <w:r w:rsidRPr="00181FCD">
        <w:t>el</w:t>
      </w:r>
      <w:r w:rsidR="00F373A3" w:rsidRPr="00181FCD">
        <w:t xml:space="preserve"> </w:t>
      </w:r>
      <w:r w:rsidRPr="00181FCD">
        <w:t>Consejo</w:t>
      </w:r>
      <w:r w:rsidR="00F373A3" w:rsidRPr="00181FCD">
        <w:t xml:space="preserve"> </w:t>
      </w:r>
      <w:r w:rsidRPr="00181FCD">
        <w:t>de</w:t>
      </w:r>
      <w:r w:rsidR="00F373A3" w:rsidRPr="00181FCD">
        <w:t xml:space="preserve"> </w:t>
      </w:r>
      <w:r w:rsidRPr="00181FCD">
        <w:t>Europa.</w:t>
      </w:r>
      <w:r w:rsidR="00F373A3" w:rsidRPr="00181FCD">
        <w:t xml:space="preserve"> </w:t>
      </w:r>
      <w:r w:rsidRPr="00181FCD">
        <w:t>A</w:t>
      </w:r>
      <w:r w:rsidR="00F373A3" w:rsidRPr="00181FCD">
        <w:t xml:space="preserve"> </w:t>
      </w:r>
      <w:r w:rsidRPr="00181FCD">
        <w:t>través</w:t>
      </w:r>
      <w:r w:rsidR="00F373A3" w:rsidRPr="00181FCD">
        <w:t xml:space="preserve"> </w:t>
      </w:r>
      <w:r w:rsidRPr="00181FCD">
        <w:t>de</w:t>
      </w:r>
      <w:r w:rsidR="00F373A3" w:rsidRPr="00181FCD">
        <w:t xml:space="preserve"> </w:t>
      </w:r>
      <w:r w:rsidRPr="00181FCD">
        <w:t>las</w:t>
      </w:r>
      <w:r w:rsidR="00F373A3" w:rsidRPr="00181FCD">
        <w:t xml:space="preserve"> </w:t>
      </w:r>
      <w:r w:rsidRPr="00181FCD">
        <w:t>actividades</w:t>
      </w:r>
      <w:r w:rsidR="00F373A3" w:rsidRPr="00181FCD">
        <w:t xml:space="preserve"> </w:t>
      </w:r>
      <w:r w:rsidRPr="00181FCD">
        <w:t>de</w:t>
      </w:r>
      <w:r w:rsidR="00F373A3" w:rsidRPr="00181FCD">
        <w:t xml:space="preserve"> </w:t>
      </w:r>
      <w:r w:rsidRPr="00181FCD">
        <w:t>este</w:t>
      </w:r>
      <w:r w:rsidR="00F373A3" w:rsidRPr="00181FCD">
        <w:t xml:space="preserve"> </w:t>
      </w:r>
      <w:r w:rsidRPr="00181FCD">
        <w:t>proyecto,</w:t>
      </w:r>
      <w:r w:rsidR="00F373A3" w:rsidRPr="00181FCD">
        <w:t xml:space="preserve"> </w:t>
      </w:r>
      <w:r w:rsidRPr="00181FCD">
        <w:t>los</w:t>
      </w:r>
      <w:r w:rsidR="00F373A3" w:rsidRPr="00181FCD">
        <w:t xml:space="preserve"> </w:t>
      </w:r>
      <w:r w:rsidRPr="00181FCD">
        <w:t>psicólogos</w:t>
      </w:r>
      <w:r w:rsidR="00F373A3" w:rsidRPr="00181FCD">
        <w:t xml:space="preserve"> </w:t>
      </w:r>
      <w:r w:rsidRPr="00181FCD">
        <w:t>de</w:t>
      </w:r>
      <w:r w:rsidR="00F373A3" w:rsidRPr="00181FCD">
        <w:t xml:space="preserve"> </w:t>
      </w:r>
      <w:r w:rsidRPr="00181FCD">
        <w:t>las</w:t>
      </w:r>
      <w:r w:rsidR="00F373A3" w:rsidRPr="00181FCD">
        <w:t xml:space="preserve"> </w:t>
      </w:r>
      <w:r w:rsidRPr="00181FCD">
        <w:t>cárceles</w:t>
      </w:r>
      <w:r w:rsidR="00F373A3" w:rsidRPr="00181FCD">
        <w:t xml:space="preserve"> </w:t>
      </w:r>
      <w:r w:rsidRPr="00181FCD">
        <w:t>han</w:t>
      </w:r>
      <w:r w:rsidR="00F373A3" w:rsidRPr="00181FCD">
        <w:t xml:space="preserve"> </w:t>
      </w:r>
      <w:r w:rsidRPr="00181FCD">
        <w:t>de</w:t>
      </w:r>
      <w:r w:rsidR="00F373A3" w:rsidRPr="00181FCD">
        <w:t xml:space="preserve"> </w:t>
      </w:r>
      <w:r w:rsidRPr="00181FCD">
        <w:t>dominar</w:t>
      </w:r>
      <w:r w:rsidR="00F373A3" w:rsidRPr="00181FCD">
        <w:t xml:space="preserve"> </w:t>
      </w:r>
      <w:r w:rsidRPr="00181FCD">
        <w:t>las</w:t>
      </w:r>
      <w:r w:rsidR="00F373A3" w:rsidRPr="00181FCD">
        <w:t xml:space="preserve"> </w:t>
      </w:r>
      <w:r w:rsidRPr="00181FCD">
        <w:t>técnicas</w:t>
      </w:r>
      <w:r w:rsidR="00F373A3" w:rsidRPr="00181FCD">
        <w:t xml:space="preserve"> </w:t>
      </w:r>
      <w:r w:rsidRPr="00181FCD">
        <w:t>y</w:t>
      </w:r>
      <w:r w:rsidR="00F373A3" w:rsidRPr="00181FCD">
        <w:t xml:space="preserve"> </w:t>
      </w:r>
      <w:r w:rsidRPr="00181FCD">
        <w:t>aptitudes</w:t>
      </w:r>
      <w:r w:rsidR="00F373A3" w:rsidRPr="00181FCD">
        <w:t xml:space="preserve"> </w:t>
      </w:r>
      <w:r w:rsidRPr="00181FCD">
        <w:t>para</w:t>
      </w:r>
      <w:r w:rsidR="00F373A3" w:rsidRPr="00181FCD">
        <w:t xml:space="preserve"> </w:t>
      </w:r>
      <w:r w:rsidRPr="00181FCD">
        <w:t>ejecutar</w:t>
      </w:r>
      <w:r w:rsidR="00F373A3" w:rsidRPr="00181FCD">
        <w:t xml:space="preserve"> </w:t>
      </w:r>
      <w:r w:rsidRPr="00181FCD">
        <w:t>las</w:t>
      </w:r>
      <w:r w:rsidR="00F373A3" w:rsidRPr="00181FCD">
        <w:t xml:space="preserve"> </w:t>
      </w:r>
      <w:r w:rsidRPr="00181FCD">
        <w:t>actividades</w:t>
      </w:r>
      <w:r w:rsidR="00F373A3" w:rsidRPr="00181FCD">
        <w:t xml:space="preserve"> </w:t>
      </w:r>
      <w:r w:rsidRPr="00181FCD">
        <w:t>previstas</w:t>
      </w:r>
      <w:r w:rsidR="00F373A3" w:rsidRPr="00181FCD">
        <w:t xml:space="preserve"> </w:t>
      </w:r>
      <w:r w:rsidRPr="00181FCD">
        <w:t>en</w:t>
      </w:r>
      <w:r w:rsidR="00F373A3" w:rsidRPr="00181FCD">
        <w:t xml:space="preserve"> </w:t>
      </w:r>
      <w:r w:rsidRPr="00181FCD">
        <w:t>el</w:t>
      </w:r>
      <w:r w:rsidR="00F373A3" w:rsidRPr="00181FCD">
        <w:t xml:space="preserve"> </w:t>
      </w:r>
      <w:r w:rsidRPr="00181FCD">
        <w:t>programa</w:t>
      </w:r>
      <w:r w:rsidR="00F373A3" w:rsidRPr="00181FCD">
        <w:t xml:space="preserve"> </w:t>
      </w:r>
      <w:r w:rsidRPr="00181FCD">
        <w:t>correccional</w:t>
      </w:r>
      <w:r w:rsidR="00F373A3" w:rsidRPr="00181FCD">
        <w:t xml:space="preserve"> </w:t>
      </w:r>
      <w:r w:rsidRPr="00181FCD">
        <w:t>al</w:t>
      </w:r>
      <w:r w:rsidR="00F373A3" w:rsidRPr="00181FCD">
        <w:t xml:space="preserve"> </w:t>
      </w:r>
      <w:r w:rsidRPr="00181FCD">
        <w:t>servicio</w:t>
      </w:r>
      <w:r w:rsidR="00F373A3" w:rsidRPr="00181FCD">
        <w:t xml:space="preserve"> </w:t>
      </w:r>
      <w:r w:rsidRPr="00181FCD">
        <w:t>de</w:t>
      </w:r>
      <w:r w:rsidR="00F373A3" w:rsidRPr="00181FCD">
        <w:t xml:space="preserve"> </w:t>
      </w:r>
      <w:r w:rsidRPr="00181FCD">
        <w:t>las</w:t>
      </w:r>
      <w:r w:rsidR="00F373A3" w:rsidRPr="00181FCD">
        <w:t xml:space="preserve"> </w:t>
      </w:r>
      <w:r w:rsidRPr="00181FCD">
        <w:t>necesidades</w:t>
      </w:r>
      <w:r w:rsidR="00F373A3" w:rsidRPr="00181FCD">
        <w:t xml:space="preserve"> </w:t>
      </w:r>
      <w:r w:rsidRPr="00181FCD">
        <w:t>de</w:t>
      </w:r>
      <w:r w:rsidR="00F373A3" w:rsidRPr="00181FCD">
        <w:t xml:space="preserve"> </w:t>
      </w:r>
      <w:r w:rsidRPr="00181FCD">
        <w:t>los</w:t>
      </w:r>
      <w:r w:rsidR="00F373A3" w:rsidRPr="00181FCD">
        <w:t xml:space="preserve"> </w:t>
      </w:r>
      <w:r w:rsidRPr="00181FCD">
        <w:t>presos.</w:t>
      </w:r>
      <w:r w:rsidR="00F373A3" w:rsidRPr="00181FCD">
        <w:t xml:space="preserve"> </w:t>
      </w:r>
      <w:r w:rsidRPr="00181FCD">
        <w:t>Entre</w:t>
      </w:r>
      <w:r w:rsidR="00F373A3" w:rsidRPr="00181FCD">
        <w:t xml:space="preserve"> </w:t>
      </w:r>
      <w:r w:rsidRPr="00181FCD">
        <w:t>ellas</w:t>
      </w:r>
      <w:r w:rsidR="00F373A3" w:rsidRPr="00181FCD">
        <w:t xml:space="preserve"> </w:t>
      </w:r>
      <w:r w:rsidRPr="00181FCD">
        <w:t>se</w:t>
      </w:r>
      <w:r w:rsidR="00F373A3" w:rsidRPr="00181FCD">
        <w:t xml:space="preserve"> </w:t>
      </w:r>
      <w:r w:rsidRPr="00181FCD">
        <w:t>incluyen</w:t>
      </w:r>
      <w:r w:rsidR="00F373A3" w:rsidRPr="00181FCD">
        <w:t xml:space="preserve"> </w:t>
      </w:r>
      <w:r w:rsidRPr="00181FCD">
        <w:t>la</w:t>
      </w:r>
      <w:r w:rsidR="00F373A3" w:rsidRPr="00181FCD">
        <w:t xml:space="preserve"> </w:t>
      </w:r>
      <w:r w:rsidRPr="00181FCD">
        <w:t>formación</w:t>
      </w:r>
      <w:r w:rsidR="00F373A3" w:rsidRPr="00181FCD">
        <w:t xml:space="preserve"> </w:t>
      </w:r>
      <w:r w:rsidRPr="00181FCD">
        <w:t>de</w:t>
      </w:r>
      <w:r w:rsidR="00F373A3" w:rsidRPr="00181FCD">
        <w:t xml:space="preserve"> </w:t>
      </w:r>
      <w:r w:rsidRPr="00181FCD">
        <w:t>aptitudes</w:t>
      </w:r>
      <w:r w:rsidR="00F373A3" w:rsidRPr="00181FCD">
        <w:t xml:space="preserve"> </w:t>
      </w:r>
      <w:r w:rsidRPr="00181FCD">
        <w:t>para</w:t>
      </w:r>
      <w:r w:rsidR="00F373A3" w:rsidRPr="00181FCD">
        <w:t xml:space="preserve"> </w:t>
      </w:r>
      <w:r w:rsidRPr="00181FCD">
        <w:t>trabajar</w:t>
      </w:r>
      <w:r w:rsidR="00F373A3" w:rsidRPr="00181FCD">
        <w:t xml:space="preserve"> </w:t>
      </w:r>
      <w:r w:rsidRPr="00181FCD">
        <w:t>con</w:t>
      </w:r>
      <w:r w:rsidR="00F373A3" w:rsidRPr="00181FCD">
        <w:t xml:space="preserve"> </w:t>
      </w:r>
      <w:r w:rsidRPr="00181FCD">
        <w:t>personas</w:t>
      </w:r>
      <w:r w:rsidR="00F373A3" w:rsidRPr="00181FCD">
        <w:t xml:space="preserve"> </w:t>
      </w:r>
      <w:r w:rsidRPr="00181FCD">
        <w:t>difíciles</w:t>
      </w:r>
      <w:r w:rsidR="00F373A3" w:rsidRPr="00181FCD">
        <w:t xml:space="preserve"> </w:t>
      </w:r>
      <w:r w:rsidRPr="00181FCD">
        <w:t>y</w:t>
      </w:r>
      <w:r w:rsidR="00F373A3" w:rsidRPr="00181FCD">
        <w:t xml:space="preserve"> </w:t>
      </w:r>
      <w:r w:rsidRPr="00181FCD">
        <w:t>técnicas</w:t>
      </w:r>
      <w:r w:rsidR="00F373A3" w:rsidRPr="00181FCD">
        <w:t xml:space="preserve"> </w:t>
      </w:r>
      <w:r w:rsidRPr="00181FCD">
        <w:t>para</w:t>
      </w:r>
      <w:r w:rsidR="00F373A3" w:rsidRPr="00181FCD">
        <w:t xml:space="preserve"> </w:t>
      </w:r>
      <w:r w:rsidRPr="00181FCD">
        <w:t>el</w:t>
      </w:r>
      <w:r w:rsidR="00F373A3" w:rsidRPr="00181FCD">
        <w:t xml:space="preserve"> </w:t>
      </w:r>
      <w:r w:rsidRPr="00181FCD">
        <w:t>manejo</w:t>
      </w:r>
      <w:r w:rsidR="00F373A3" w:rsidRPr="00181FCD">
        <w:t xml:space="preserve"> </w:t>
      </w:r>
      <w:r w:rsidRPr="00181FCD">
        <w:t>de</w:t>
      </w:r>
      <w:r w:rsidR="00F373A3" w:rsidRPr="00181FCD">
        <w:t xml:space="preserve"> </w:t>
      </w:r>
      <w:r w:rsidRPr="00181FCD">
        <w:t>las</w:t>
      </w:r>
      <w:r w:rsidR="00F373A3" w:rsidRPr="00181FCD">
        <w:t xml:space="preserve"> </w:t>
      </w:r>
      <w:r w:rsidRPr="00181FCD">
        <w:t>emociones</w:t>
      </w:r>
      <w:r w:rsidR="00F373A3" w:rsidRPr="00181FCD">
        <w:t xml:space="preserve"> </w:t>
      </w:r>
      <w:r w:rsidRPr="00181FCD">
        <w:t>negativas</w:t>
      </w:r>
      <w:r w:rsidR="00F373A3" w:rsidRPr="00181FCD">
        <w:t xml:space="preserve"> </w:t>
      </w:r>
      <w:r w:rsidRPr="00181FCD">
        <w:t>intensas</w:t>
      </w:r>
      <w:r w:rsidR="00F373A3" w:rsidRPr="00181FCD">
        <w:t xml:space="preserve"> </w:t>
      </w:r>
      <w:r w:rsidRPr="00181FCD">
        <w:t>provocadas</w:t>
      </w:r>
      <w:r w:rsidR="00F373A3" w:rsidRPr="00181FCD">
        <w:t xml:space="preserve"> </w:t>
      </w:r>
      <w:r w:rsidRPr="00181FCD">
        <w:t>por</w:t>
      </w:r>
      <w:r w:rsidR="00F373A3" w:rsidRPr="00181FCD">
        <w:t xml:space="preserve"> </w:t>
      </w:r>
      <w:r w:rsidRPr="00181FCD">
        <w:t>conflictos</w:t>
      </w:r>
      <w:r w:rsidR="00F373A3" w:rsidRPr="00181FCD">
        <w:t xml:space="preserve"> </w:t>
      </w:r>
      <w:r w:rsidRPr="00181FCD">
        <w:t>entre</w:t>
      </w:r>
      <w:r w:rsidR="00F373A3" w:rsidRPr="00181FCD">
        <w:t xml:space="preserve"> </w:t>
      </w:r>
      <w:r w:rsidRPr="00181FCD">
        <w:t>los</w:t>
      </w:r>
      <w:r w:rsidR="00F373A3" w:rsidRPr="00181FCD">
        <w:t xml:space="preserve"> </w:t>
      </w:r>
      <w:r w:rsidRPr="00181FCD">
        <w:t>reclusos.</w:t>
      </w:r>
      <w:r w:rsidR="00F373A3" w:rsidRPr="00181FCD">
        <w:t xml:space="preserve"> </w:t>
      </w:r>
    </w:p>
    <w:p w:rsidR="001937F4" w:rsidRPr="00181FCD" w:rsidRDefault="001937F4" w:rsidP="00347B20">
      <w:pPr>
        <w:pStyle w:val="SingleTxtG"/>
        <w:suppressAutoHyphens/>
      </w:pPr>
      <w:r w:rsidRPr="00181FCD">
        <w:t>187.</w:t>
      </w:r>
      <w:r w:rsidRPr="00181FCD">
        <w:tab/>
        <w:t>A</w:t>
      </w:r>
      <w:r w:rsidR="00F373A3" w:rsidRPr="00181FCD">
        <w:t xml:space="preserve"> </w:t>
      </w:r>
      <w:r w:rsidRPr="00181FCD">
        <w:t>continuación</w:t>
      </w:r>
      <w:r w:rsidR="00F373A3" w:rsidRPr="00181FCD">
        <w:t xml:space="preserve"> </w:t>
      </w:r>
      <w:r w:rsidRPr="00181FCD">
        <w:t>se</w:t>
      </w:r>
      <w:r w:rsidR="00F373A3" w:rsidRPr="00181FCD">
        <w:t xml:space="preserve"> </w:t>
      </w:r>
      <w:r w:rsidRPr="00181FCD">
        <w:t>detallan</w:t>
      </w:r>
      <w:r w:rsidR="00F373A3" w:rsidRPr="00181FCD">
        <w:t xml:space="preserve"> </w:t>
      </w:r>
      <w:r w:rsidRPr="00181FCD">
        <w:t>las</w:t>
      </w:r>
      <w:r w:rsidR="00F373A3" w:rsidRPr="00181FCD">
        <w:t xml:space="preserve"> </w:t>
      </w:r>
      <w:r w:rsidRPr="00181FCD">
        <w:t>estadísticas</w:t>
      </w:r>
      <w:r w:rsidR="00F373A3" w:rsidRPr="00181FCD">
        <w:t xml:space="preserve"> </w:t>
      </w:r>
      <w:r w:rsidRPr="00181FCD">
        <w:t>sobre</w:t>
      </w:r>
      <w:r w:rsidR="00F373A3" w:rsidRPr="00181FCD">
        <w:t xml:space="preserve"> </w:t>
      </w:r>
      <w:r w:rsidRPr="00181FCD">
        <w:t>el</w:t>
      </w:r>
      <w:r w:rsidR="00F373A3" w:rsidRPr="00181FCD">
        <w:t xml:space="preserve"> </w:t>
      </w:r>
      <w:r w:rsidRPr="00181FCD">
        <w:t>número</w:t>
      </w:r>
      <w:r w:rsidR="00F373A3" w:rsidRPr="00181FCD">
        <w:t xml:space="preserve"> </w:t>
      </w:r>
      <w:r w:rsidRPr="00181FCD">
        <w:t>de</w:t>
      </w:r>
      <w:r w:rsidR="00F373A3" w:rsidRPr="00181FCD">
        <w:t xml:space="preserve"> </w:t>
      </w:r>
      <w:r w:rsidRPr="00181FCD">
        <w:t>fallecimientos</w:t>
      </w:r>
      <w:r w:rsidR="00F373A3" w:rsidRPr="00181FCD">
        <w:t xml:space="preserve"> </w:t>
      </w:r>
      <w:r w:rsidRPr="00181FCD">
        <w:t>en</w:t>
      </w:r>
      <w:r w:rsidR="00F373A3" w:rsidRPr="00181FCD">
        <w:t xml:space="preserve"> </w:t>
      </w:r>
      <w:r w:rsidRPr="00181FCD">
        <w:t>las</w:t>
      </w:r>
      <w:r w:rsidR="00F373A3" w:rsidRPr="00181FCD">
        <w:t xml:space="preserve"> </w:t>
      </w:r>
      <w:r w:rsidRPr="00181FCD">
        <w:t>cárceles:</w:t>
      </w:r>
    </w:p>
    <w:p w:rsidR="001937F4" w:rsidRPr="00181FCD" w:rsidRDefault="001937F4" w:rsidP="00E924E7">
      <w:pPr>
        <w:pStyle w:val="Bullet1G"/>
      </w:pPr>
      <w:r w:rsidRPr="00181FCD">
        <w:t>En</w:t>
      </w:r>
      <w:r w:rsidR="00F373A3" w:rsidRPr="00181FCD">
        <w:t xml:space="preserve"> </w:t>
      </w:r>
      <w:r w:rsidRPr="00181FCD">
        <w:t>2013</w:t>
      </w:r>
      <w:r w:rsidR="00F373A3" w:rsidRPr="00181FCD">
        <w:t xml:space="preserve"> </w:t>
      </w:r>
      <w:r w:rsidRPr="00181FCD">
        <w:t>se</w:t>
      </w:r>
      <w:r w:rsidR="00F373A3" w:rsidRPr="00181FCD">
        <w:t xml:space="preserve"> </w:t>
      </w:r>
      <w:r w:rsidRPr="00181FCD">
        <w:t>registraron</w:t>
      </w:r>
      <w:r w:rsidR="00F373A3" w:rsidRPr="00181FCD">
        <w:t xml:space="preserve"> </w:t>
      </w:r>
      <w:r w:rsidRPr="00181FCD">
        <w:t>32</w:t>
      </w:r>
      <w:r w:rsidR="00F373A3" w:rsidRPr="00181FCD">
        <w:t xml:space="preserve"> </w:t>
      </w:r>
      <w:r w:rsidRPr="00181FCD">
        <w:t>casos</w:t>
      </w:r>
      <w:r w:rsidR="00F373A3" w:rsidRPr="00181FCD">
        <w:t xml:space="preserve"> </w:t>
      </w:r>
      <w:r w:rsidRPr="00181FCD">
        <w:t>de</w:t>
      </w:r>
      <w:r w:rsidR="00F373A3" w:rsidRPr="00181FCD">
        <w:t xml:space="preserve"> </w:t>
      </w:r>
      <w:r w:rsidRPr="00181FCD">
        <w:t>fallecimiento</w:t>
      </w:r>
      <w:r w:rsidR="00F373A3" w:rsidRPr="00181FCD">
        <w:t xml:space="preserve"> </w:t>
      </w:r>
      <w:r w:rsidRPr="00181FCD">
        <w:t>de</w:t>
      </w:r>
      <w:r w:rsidR="00F373A3" w:rsidRPr="00181FCD">
        <w:t xml:space="preserve"> </w:t>
      </w:r>
      <w:r w:rsidRPr="00181FCD">
        <w:t>individuos</w:t>
      </w:r>
      <w:r w:rsidR="00F373A3" w:rsidRPr="00181FCD">
        <w:t xml:space="preserve"> </w:t>
      </w:r>
      <w:r w:rsidRPr="00181FCD">
        <w:t>alojados</w:t>
      </w:r>
      <w:r w:rsidR="00F373A3" w:rsidRPr="00181FCD">
        <w:t xml:space="preserve"> </w:t>
      </w:r>
      <w:r w:rsidRPr="00181FCD">
        <w:t>en</w:t>
      </w:r>
      <w:r w:rsidR="00F373A3" w:rsidRPr="00181FCD">
        <w:t xml:space="preserve"> </w:t>
      </w:r>
      <w:r w:rsidRPr="00181FCD">
        <w:t>prisiones</w:t>
      </w:r>
      <w:r w:rsidR="00F373A3" w:rsidRPr="00181FCD">
        <w:t xml:space="preserve"> </w:t>
      </w:r>
      <w:r w:rsidRPr="00181FCD">
        <w:t>y</w:t>
      </w:r>
      <w:r w:rsidR="00F373A3" w:rsidRPr="00181FCD">
        <w:t xml:space="preserve"> </w:t>
      </w:r>
      <w:r w:rsidRPr="00181FCD">
        <w:t>centros</w:t>
      </w:r>
      <w:r w:rsidR="00F373A3" w:rsidRPr="00181FCD">
        <w:t xml:space="preserve"> </w:t>
      </w:r>
      <w:r w:rsidRPr="00181FCD">
        <w:t>de</w:t>
      </w:r>
      <w:r w:rsidR="00F373A3" w:rsidRPr="00181FCD">
        <w:t xml:space="preserve"> </w:t>
      </w:r>
      <w:r w:rsidRPr="00181FCD">
        <w:t>detención</w:t>
      </w:r>
      <w:r w:rsidR="00F373A3" w:rsidRPr="00181FCD">
        <w:t xml:space="preserve"> </w:t>
      </w:r>
      <w:r w:rsidRPr="00181FCD">
        <w:t>en</w:t>
      </w:r>
      <w:r w:rsidR="00F373A3" w:rsidRPr="00181FCD">
        <w:t xml:space="preserve"> </w:t>
      </w:r>
      <w:r w:rsidRPr="00181FCD">
        <w:t>el</w:t>
      </w:r>
      <w:r w:rsidR="00F373A3" w:rsidRPr="00181FCD">
        <w:t xml:space="preserve"> </w:t>
      </w:r>
      <w:r w:rsidRPr="00181FCD">
        <w:t>conjunto</w:t>
      </w:r>
      <w:r w:rsidR="00F373A3" w:rsidRPr="00181FCD">
        <w:t xml:space="preserve"> </w:t>
      </w:r>
      <w:r w:rsidRPr="00181FCD">
        <w:t>del</w:t>
      </w:r>
      <w:r w:rsidR="00F373A3" w:rsidRPr="00181FCD">
        <w:t xml:space="preserve"> </w:t>
      </w:r>
      <w:r w:rsidRPr="00181FCD">
        <w:t>país.</w:t>
      </w:r>
      <w:r w:rsidR="00F373A3" w:rsidRPr="00181FCD">
        <w:t xml:space="preserve"> </w:t>
      </w:r>
      <w:r w:rsidRPr="00181FCD">
        <w:t>Ocho</w:t>
      </w:r>
      <w:r w:rsidR="00F373A3" w:rsidRPr="00181FCD">
        <w:t xml:space="preserve"> </w:t>
      </w:r>
      <w:r w:rsidRPr="00181FCD">
        <w:t>murieron</w:t>
      </w:r>
      <w:r w:rsidR="00F373A3" w:rsidRPr="00181FCD">
        <w:t xml:space="preserve"> </w:t>
      </w:r>
      <w:r w:rsidRPr="00181FCD">
        <w:t>durante</w:t>
      </w:r>
      <w:r w:rsidR="00F373A3" w:rsidRPr="00181FCD">
        <w:t xml:space="preserve"> </w:t>
      </w:r>
      <w:r w:rsidRPr="00181FCD">
        <w:t>un</w:t>
      </w:r>
      <w:r w:rsidR="00F373A3" w:rsidRPr="00181FCD">
        <w:t xml:space="preserve"> </w:t>
      </w:r>
      <w:r w:rsidRPr="00181FCD">
        <w:t>período</w:t>
      </w:r>
      <w:r w:rsidR="00F373A3" w:rsidRPr="00181FCD">
        <w:t xml:space="preserve"> </w:t>
      </w:r>
      <w:r w:rsidRPr="00181FCD">
        <w:t>de</w:t>
      </w:r>
      <w:r w:rsidR="00F373A3" w:rsidRPr="00181FCD">
        <w:t xml:space="preserve"> </w:t>
      </w:r>
      <w:r w:rsidRPr="00181FCD">
        <w:t>interrupción</w:t>
      </w:r>
      <w:r w:rsidR="00F373A3" w:rsidRPr="00181FCD">
        <w:t xml:space="preserve"> </w:t>
      </w:r>
      <w:r w:rsidRPr="00181FCD">
        <w:t>de</w:t>
      </w:r>
      <w:r w:rsidR="00F373A3" w:rsidRPr="00181FCD">
        <w:t xml:space="preserve"> </w:t>
      </w:r>
      <w:r w:rsidRPr="00181FCD">
        <w:t>su</w:t>
      </w:r>
      <w:r w:rsidR="00F373A3" w:rsidRPr="00181FCD">
        <w:t xml:space="preserve"> </w:t>
      </w:r>
      <w:r w:rsidRPr="00181FCD">
        <w:t>encarcelamiento,</w:t>
      </w:r>
      <w:r w:rsidR="00F373A3" w:rsidRPr="00181FCD">
        <w:t xml:space="preserve"> </w:t>
      </w:r>
      <w:r w:rsidRPr="00181FCD">
        <w:t>6</w:t>
      </w:r>
      <w:r w:rsidR="00F373A3" w:rsidRPr="00181FCD">
        <w:t xml:space="preserve"> </w:t>
      </w:r>
      <w:r w:rsidRPr="00181FCD">
        <w:t>en</w:t>
      </w:r>
      <w:r w:rsidR="00F373A3" w:rsidRPr="00181FCD">
        <w:t xml:space="preserve"> </w:t>
      </w:r>
      <w:r w:rsidRPr="00181FCD">
        <w:t>un</w:t>
      </w:r>
      <w:r w:rsidR="00F373A3" w:rsidRPr="00181FCD">
        <w:t xml:space="preserve"> </w:t>
      </w:r>
      <w:r w:rsidRPr="00181FCD">
        <w:t>centro</w:t>
      </w:r>
      <w:r w:rsidR="00F373A3" w:rsidRPr="00181FCD">
        <w:t xml:space="preserve"> </w:t>
      </w:r>
      <w:r w:rsidRPr="00181FCD">
        <w:t>hospitalario</w:t>
      </w:r>
      <w:r w:rsidR="00F373A3" w:rsidRPr="00181FCD">
        <w:t xml:space="preserve"> </w:t>
      </w:r>
      <w:r w:rsidRPr="00181FCD">
        <w:t>externo,</w:t>
      </w:r>
      <w:r w:rsidR="00F373A3" w:rsidRPr="00181FCD">
        <w:t xml:space="preserve"> </w:t>
      </w:r>
      <w:r w:rsidR="00E924E7" w:rsidRPr="00181FCD">
        <w:t xml:space="preserve">4 </w:t>
      </w:r>
      <w:r w:rsidRPr="00181FCD">
        <w:t>en</w:t>
      </w:r>
      <w:r w:rsidR="00F373A3" w:rsidRPr="00181FCD">
        <w:t xml:space="preserve"> </w:t>
      </w:r>
      <w:r w:rsidRPr="00181FCD">
        <w:t>el</w:t>
      </w:r>
      <w:r w:rsidR="00F373A3" w:rsidRPr="00181FCD">
        <w:t xml:space="preserve"> </w:t>
      </w:r>
      <w:r w:rsidRPr="00181FCD">
        <w:t>Hospital</w:t>
      </w:r>
      <w:r w:rsidR="00F373A3" w:rsidRPr="00181FCD">
        <w:t xml:space="preserve"> </w:t>
      </w:r>
      <w:r w:rsidRPr="00181FCD">
        <w:t>Especializado</w:t>
      </w:r>
      <w:r w:rsidR="00F373A3" w:rsidRPr="00181FCD">
        <w:t xml:space="preserve"> </w:t>
      </w:r>
      <w:r w:rsidRPr="00181FCD">
        <w:t>en</w:t>
      </w:r>
      <w:r w:rsidR="00F373A3" w:rsidRPr="00181FCD">
        <w:t xml:space="preserve"> </w:t>
      </w:r>
      <w:r w:rsidRPr="00181FCD">
        <w:t>el</w:t>
      </w:r>
      <w:r w:rsidR="00F373A3" w:rsidRPr="00181FCD">
        <w:t xml:space="preserve"> </w:t>
      </w:r>
      <w:r w:rsidRPr="00181FCD">
        <w:t>Tratamiento</w:t>
      </w:r>
      <w:r w:rsidR="00F373A3" w:rsidRPr="00181FCD">
        <w:t xml:space="preserve"> </w:t>
      </w:r>
      <w:r w:rsidRPr="00181FCD">
        <w:t>Activo</w:t>
      </w:r>
      <w:r w:rsidR="00F373A3" w:rsidRPr="00181FCD">
        <w:t xml:space="preserve"> </w:t>
      </w:r>
      <w:r w:rsidRPr="00181FCD">
        <w:t>de</w:t>
      </w:r>
      <w:r w:rsidR="00F373A3" w:rsidRPr="00181FCD">
        <w:t xml:space="preserve"> </w:t>
      </w:r>
      <w:r w:rsidRPr="00181FCD">
        <w:t>Reclusos,</w:t>
      </w:r>
      <w:r w:rsidR="00F373A3" w:rsidRPr="00181FCD">
        <w:t xml:space="preserve"> </w:t>
      </w:r>
      <w:r w:rsidRPr="00181FCD">
        <w:t>que</w:t>
      </w:r>
      <w:r w:rsidR="00F373A3" w:rsidRPr="00181FCD">
        <w:t xml:space="preserve"> </w:t>
      </w:r>
      <w:r w:rsidRPr="00181FCD">
        <w:t>forma</w:t>
      </w:r>
      <w:r w:rsidR="00F373A3" w:rsidRPr="00181FCD">
        <w:t xml:space="preserve"> </w:t>
      </w:r>
      <w:r w:rsidRPr="00181FCD">
        <w:t>parte</w:t>
      </w:r>
      <w:r w:rsidR="00F373A3" w:rsidRPr="00181FCD">
        <w:t xml:space="preserve"> </w:t>
      </w:r>
      <w:r w:rsidRPr="00181FCD">
        <w:t>de</w:t>
      </w:r>
      <w:r w:rsidR="00F373A3" w:rsidRPr="00181FCD">
        <w:t xml:space="preserve"> </w:t>
      </w:r>
      <w:r w:rsidRPr="00181FCD">
        <w:t>la</w:t>
      </w:r>
      <w:r w:rsidR="00F373A3" w:rsidRPr="00181FCD">
        <w:t xml:space="preserve"> </w:t>
      </w:r>
      <w:r w:rsidRPr="00181FCD">
        <w:t>cárcel</w:t>
      </w:r>
      <w:r w:rsidR="00F373A3" w:rsidRPr="00181FCD">
        <w:t xml:space="preserve"> </w:t>
      </w:r>
      <w:r w:rsidRPr="00181FCD">
        <w:t>de</w:t>
      </w:r>
      <w:r w:rsidR="00F373A3" w:rsidRPr="00181FCD">
        <w:t xml:space="preserve"> </w:t>
      </w:r>
      <w:r w:rsidRPr="00181FCD">
        <w:t>Sofía,</w:t>
      </w:r>
      <w:r w:rsidR="00F373A3" w:rsidRPr="00181FCD">
        <w:t xml:space="preserve"> </w:t>
      </w:r>
      <w:r w:rsidRPr="00181FCD">
        <w:t>1</w:t>
      </w:r>
      <w:r w:rsidR="00F373A3" w:rsidRPr="00181FCD">
        <w:t xml:space="preserve"> </w:t>
      </w:r>
      <w:r w:rsidRPr="00181FCD">
        <w:t>en</w:t>
      </w:r>
      <w:r w:rsidR="00F373A3" w:rsidRPr="00181FCD">
        <w:t xml:space="preserve"> </w:t>
      </w:r>
      <w:r w:rsidRPr="00181FCD">
        <w:t>el</w:t>
      </w:r>
      <w:r w:rsidR="00F373A3" w:rsidRPr="00181FCD">
        <w:t xml:space="preserve"> </w:t>
      </w:r>
      <w:r w:rsidRPr="00181FCD">
        <w:t>hospital</w:t>
      </w:r>
      <w:r w:rsidR="00F373A3" w:rsidRPr="00181FCD">
        <w:t xml:space="preserve"> </w:t>
      </w:r>
      <w:r w:rsidRPr="00181FCD">
        <w:t>de</w:t>
      </w:r>
      <w:r w:rsidR="00F373A3" w:rsidRPr="00181FCD">
        <w:t xml:space="preserve"> </w:t>
      </w:r>
      <w:r w:rsidRPr="00181FCD">
        <w:t>reclusos</w:t>
      </w:r>
      <w:r w:rsidR="00F373A3" w:rsidRPr="00181FCD">
        <w:t xml:space="preserve"> </w:t>
      </w:r>
      <w:r w:rsidRPr="00181FCD">
        <w:t>de</w:t>
      </w:r>
      <w:r w:rsidR="00F373A3" w:rsidRPr="00181FCD">
        <w:t xml:space="preserve"> </w:t>
      </w:r>
      <w:r w:rsidRPr="00181FCD">
        <w:t>la</w:t>
      </w:r>
      <w:r w:rsidR="00F373A3" w:rsidRPr="00181FCD">
        <w:t xml:space="preserve"> </w:t>
      </w:r>
      <w:r w:rsidRPr="00181FCD">
        <w:t>cárcel</w:t>
      </w:r>
      <w:r w:rsidR="00F373A3" w:rsidRPr="00181FCD">
        <w:t xml:space="preserve"> </w:t>
      </w:r>
      <w:r w:rsidRPr="00181FCD">
        <w:t>de</w:t>
      </w:r>
      <w:r w:rsidR="00F373A3" w:rsidRPr="00181FCD">
        <w:t xml:space="preserve"> </w:t>
      </w:r>
      <w:r w:rsidRPr="00181FCD">
        <w:t>Lovech,</w:t>
      </w:r>
      <w:r w:rsidR="00F373A3" w:rsidRPr="00181FCD">
        <w:t xml:space="preserve"> </w:t>
      </w:r>
      <w:r w:rsidRPr="00181FCD">
        <w:t>11</w:t>
      </w:r>
      <w:r w:rsidR="00F373A3" w:rsidRPr="00181FCD">
        <w:t xml:space="preserve"> </w:t>
      </w:r>
      <w:r w:rsidRPr="00181FCD">
        <w:t>en</w:t>
      </w:r>
      <w:r w:rsidR="00F373A3" w:rsidRPr="00181FCD">
        <w:t xml:space="preserve"> </w:t>
      </w:r>
      <w:r w:rsidRPr="00181FCD">
        <w:t>diferentes</w:t>
      </w:r>
      <w:r w:rsidR="00F373A3" w:rsidRPr="00181FCD">
        <w:t xml:space="preserve"> </w:t>
      </w:r>
      <w:r w:rsidRPr="00181FCD">
        <w:t>prisiones</w:t>
      </w:r>
      <w:r w:rsidR="00F373A3" w:rsidRPr="00181FCD">
        <w:t xml:space="preserve"> </w:t>
      </w:r>
      <w:r w:rsidRPr="00181FCD">
        <w:t>y</w:t>
      </w:r>
      <w:r w:rsidR="00F373A3" w:rsidRPr="00181FCD">
        <w:t xml:space="preserve"> </w:t>
      </w:r>
      <w:r w:rsidRPr="00181FCD">
        <w:t>2</w:t>
      </w:r>
      <w:r w:rsidR="00F373A3" w:rsidRPr="00181FCD">
        <w:t xml:space="preserve"> </w:t>
      </w:r>
      <w:r w:rsidRPr="00181FCD">
        <w:t>durante</w:t>
      </w:r>
      <w:r w:rsidR="00F373A3" w:rsidRPr="00181FCD">
        <w:t xml:space="preserve"> </w:t>
      </w:r>
      <w:r w:rsidRPr="00181FCD">
        <w:t>un</w:t>
      </w:r>
      <w:r w:rsidR="00F373A3" w:rsidRPr="00181FCD">
        <w:t xml:space="preserve"> </w:t>
      </w:r>
      <w:r w:rsidRPr="00181FCD">
        <w:t>permiso</w:t>
      </w:r>
      <w:r w:rsidR="00F373A3" w:rsidRPr="00181FCD">
        <w:t xml:space="preserve"> </w:t>
      </w:r>
      <w:r w:rsidRPr="00181FCD">
        <w:t>para</w:t>
      </w:r>
      <w:r w:rsidR="00F373A3" w:rsidRPr="00181FCD">
        <w:t xml:space="preserve"> </w:t>
      </w:r>
      <w:r w:rsidRPr="00181FCD">
        <w:t>visitar</w:t>
      </w:r>
      <w:r w:rsidR="00F373A3" w:rsidRPr="00181FCD">
        <w:t xml:space="preserve"> </w:t>
      </w:r>
      <w:r w:rsidRPr="00181FCD">
        <w:t>su</w:t>
      </w:r>
      <w:r w:rsidR="00F373A3" w:rsidRPr="00181FCD">
        <w:t xml:space="preserve"> </w:t>
      </w:r>
      <w:r w:rsidRPr="00181FCD">
        <w:t>país</w:t>
      </w:r>
      <w:r w:rsidR="00F373A3" w:rsidRPr="00181FCD">
        <w:t xml:space="preserve"> </w:t>
      </w:r>
      <w:r w:rsidRPr="00181FCD">
        <w:t>de</w:t>
      </w:r>
      <w:r w:rsidR="00F373A3" w:rsidRPr="00181FCD">
        <w:t xml:space="preserve"> </w:t>
      </w:r>
      <w:r w:rsidRPr="00181FCD">
        <w:t>origen.</w:t>
      </w:r>
    </w:p>
    <w:p w:rsidR="001937F4" w:rsidRPr="00181FCD" w:rsidRDefault="001937F4" w:rsidP="00E924E7">
      <w:pPr>
        <w:pStyle w:val="Bullet1G"/>
      </w:pPr>
      <w:r w:rsidRPr="00181FCD">
        <w:t>En</w:t>
      </w:r>
      <w:r w:rsidR="00F373A3" w:rsidRPr="00181FCD">
        <w:t xml:space="preserve"> </w:t>
      </w:r>
      <w:r w:rsidRPr="00181FCD">
        <w:t>2014</w:t>
      </w:r>
      <w:r w:rsidR="00F373A3" w:rsidRPr="00181FCD">
        <w:t xml:space="preserve"> </w:t>
      </w:r>
      <w:r w:rsidRPr="00181FCD">
        <w:t>fallecieron</w:t>
      </w:r>
      <w:r w:rsidR="00F373A3" w:rsidRPr="00181FCD">
        <w:t xml:space="preserve"> </w:t>
      </w:r>
      <w:r w:rsidRPr="00181FCD">
        <w:t>29</w:t>
      </w:r>
      <w:r w:rsidR="00F373A3" w:rsidRPr="00181FCD">
        <w:t xml:space="preserve"> </w:t>
      </w:r>
      <w:r w:rsidRPr="00181FCD">
        <w:t>personas</w:t>
      </w:r>
      <w:r w:rsidR="00F373A3" w:rsidRPr="00181FCD">
        <w:t xml:space="preserve"> </w:t>
      </w:r>
      <w:r w:rsidRPr="00181FCD">
        <w:t>mientras</w:t>
      </w:r>
      <w:r w:rsidR="00F373A3" w:rsidRPr="00181FCD">
        <w:t xml:space="preserve"> </w:t>
      </w:r>
      <w:r w:rsidRPr="00181FCD">
        <w:t>cumplían</w:t>
      </w:r>
      <w:r w:rsidR="00F373A3" w:rsidRPr="00181FCD">
        <w:t xml:space="preserve"> </w:t>
      </w:r>
      <w:r w:rsidRPr="00181FCD">
        <w:t>su</w:t>
      </w:r>
      <w:r w:rsidR="00F373A3" w:rsidRPr="00181FCD">
        <w:t xml:space="preserve"> </w:t>
      </w:r>
      <w:r w:rsidRPr="00181FCD">
        <w:t>pena</w:t>
      </w:r>
      <w:r w:rsidR="00F373A3" w:rsidRPr="00181FCD">
        <w:t xml:space="preserve"> </w:t>
      </w:r>
      <w:r w:rsidRPr="00181FCD">
        <w:t>de</w:t>
      </w:r>
      <w:r w:rsidR="00F373A3" w:rsidRPr="00181FCD">
        <w:t xml:space="preserve"> </w:t>
      </w:r>
      <w:r w:rsidRPr="00181FCD">
        <w:t>prisión</w:t>
      </w:r>
      <w:r w:rsidR="00F373A3" w:rsidRPr="00181FCD">
        <w:t xml:space="preserve"> </w:t>
      </w:r>
      <w:r w:rsidRPr="00181FCD">
        <w:t>o</w:t>
      </w:r>
      <w:r w:rsidR="00F373A3" w:rsidRPr="00181FCD">
        <w:t xml:space="preserve"> </w:t>
      </w:r>
      <w:r w:rsidRPr="00181FCD">
        <w:t>durante</w:t>
      </w:r>
      <w:r w:rsidR="00F373A3" w:rsidRPr="00181FCD">
        <w:t xml:space="preserve"> </w:t>
      </w:r>
      <w:r w:rsidRPr="00181FCD">
        <w:t>su</w:t>
      </w:r>
      <w:r w:rsidR="00F373A3" w:rsidRPr="00181FCD">
        <w:t xml:space="preserve"> </w:t>
      </w:r>
      <w:r w:rsidRPr="00181FCD">
        <w:t>detención</w:t>
      </w:r>
      <w:r w:rsidR="00F373A3" w:rsidRPr="00181FCD">
        <w:t xml:space="preserve"> </w:t>
      </w:r>
      <w:r w:rsidRPr="00181FCD">
        <w:t>en</w:t>
      </w:r>
      <w:r w:rsidR="00F373A3" w:rsidRPr="00181FCD">
        <w:t xml:space="preserve"> </w:t>
      </w:r>
      <w:r w:rsidRPr="00181FCD">
        <w:t>virtud</w:t>
      </w:r>
      <w:r w:rsidR="00F373A3" w:rsidRPr="00181FCD">
        <w:t xml:space="preserve"> </w:t>
      </w:r>
      <w:r w:rsidRPr="00181FCD">
        <w:t>del</w:t>
      </w:r>
      <w:r w:rsidR="00F373A3" w:rsidRPr="00181FCD">
        <w:t xml:space="preserve"> </w:t>
      </w:r>
      <w:r w:rsidRPr="00181FCD">
        <w:t>Código</w:t>
      </w:r>
      <w:r w:rsidR="00F373A3" w:rsidRPr="00181FCD">
        <w:t xml:space="preserve"> </w:t>
      </w:r>
      <w:r w:rsidRPr="00181FCD">
        <w:t>de</w:t>
      </w:r>
      <w:r w:rsidR="00F373A3" w:rsidRPr="00181FCD">
        <w:t xml:space="preserve"> </w:t>
      </w:r>
      <w:r w:rsidRPr="00181FCD">
        <w:t>Procedimiento</w:t>
      </w:r>
      <w:r w:rsidR="00F373A3" w:rsidRPr="00181FCD">
        <w:t xml:space="preserve"> </w:t>
      </w:r>
      <w:r w:rsidRPr="00181FCD">
        <w:t>Penal</w:t>
      </w:r>
      <w:r w:rsidR="00F373A3" w:rsidRPr="00181FCD">
        <w:t xml:space="preserve"> </w:t>
      </w:r>
      <w:r w:rsidRPr="00181FCD">
        <w:t>en</w:t>
      </w:r>
      <w:r w:rsidR="00F373A3" w:rsidRPr="00181FCD">
        <w:t xml:space="preserve"> </w:t>
      </w:r>
      <w:r w:rsidRPr="00181FCD">
        <w:t>los</w:t>
      </w:r>
      <w:r w:rsidR="00F373A3" w:rsidRPr="00181FCD">
        <w:t xml:space="preserve"> </w:t>
      </w:r>
      <w:r w:rsidRPr="00181FCD">
        <w:t>centros</w:t>
      </w:r>
      <w:r w:rsidR="00F373A3" w:rsidRPr="00181FCD">
        <w:t xml:space="preserve"> </w:t>
      </w:r>
      <w:r w:rsidRPr="00181FCD">
        <w:t>penitenciarios</w:t>
      </w:r>
      <w:r w:rsidR="00F373A3" w:rsidRPr="00181FCD">
        <w:t xml:space="preserve"> </w:t>
      </w:r>
      <w:r w:rsidRPr="00181FCD">
        <w:t>de</w:t>
      </w:r>
      <w:r w:rsidR="00F373A3" w:rsidRPr="00181FCD">
        <w:t xml:space="preserve"> </w:t>
      </w:r>
      <w:r w:rsidRPr="00181FCD">
        <w:t>todo</w:t>
      </w:r>
      <w:r w:rsidR="00F373A3" w:rsidRPr="00181FCD">
        <w:t xml:space="preserve"> </w:t>
      </w:r>
      <w:r w:rsidRPr="00181FCD">
        <w:t>el</w:t>
      </w:r>
      <w:r w:rsidR="00F373A3" w:rsidRPr="00181FCD">
        <w:t xml:space="preserve"> </w:t>
      </w:r>
      <w:r w:rsidRPr="00181FCD">
        <w:t>país,</w:t>
      </w:r>
      <w:r w:rsidR="00F373A3" w:rsidRPr="00181FCD">
        <w:t xml:space="preserve"> </w:t>
      </w:r>
      <w:r w:rsidRPr="00181FCD">
        <w:t>de</w:t>
      </w:r>
      <w:r w:rsidR="00F373A3" w:rsidRPr="00181FCD">
        <w:t xml:space="preserve"> </w:t>
      </w:r>
      <w:r w:rsidRPr="00181FCD">
        <w:t>las</w:t>
      </w:r>
      <w:r w:rsidR="00F373A3" w:rsidRPr="00181FCD">
        <w:t xml:space="preserve"> </w:t>
      </w:r>
      <w:r w:rsidRPr="00181FCD">
        <w:t>cuales:</w:t>
      </w:r>
      <w:r w:rsidR="00F373A3" w:rsidRPr="00181FCD">
        <w:t xml:space="preserve"> </w:t>
      </w:r>
      <w:r w:rsidRPr="00181FCD">
        <w:t>7</w:t>
      </w:r>
      <w:r w:rsidR="00F373A3" w:rsidRPr="00181FCD">
        <w:t xml:space="preserve"> </w:t>
      </w:r>
      <w:r w:rsidRPr="00181FCD">
        <w:t>murieron</w:t>
      </w:r>
      <w:r w:rsidR="00F373A3" w:rsidRPr="00181FCD">
        <w:t xml:space="preserve"> </w:t>
      </w:r>
      <w:r w:rsidRPr="00181FCD">
        <w:t>durante</w:t>
      </w:r>
      <w:r w:rsidR="00F373A3" w:rsidRPr="00181FCD">
        <w:t xml:space="preserve"> </w:t>
      </w:r>
      <w:r w:rsidRPr="00181FCD">
        <w:t>un</w:t>
      </w:r>
      <w:r w:rsidR="00F373A3" w:rsidRPr="00181FCD">
        <w:t xml:space="preserve"> </w:t>
      </w:r>
      <w:r w:rsidRPr="00181FCD">
        <w:t>período</w:t>
      </w:r>
      <w:r w:rsidR="00F373A3" w:rsidRPr="00181FCD">
        <w:t xml:space="preserve"> </w:t>
      </w:r>
      <w:r w:rsidRPr="00181FCD">
        <w:t>de</w:t>
      </w:r>
      <w:r w:rsidR="00F373A3" w:rsidRPr="00181FCD">
        <w:t xml:space="preserve"> </w:t>
      </w:r>
      <w:r w:rsidRPr="00181FCD">
        <w:t>interrupción</w:t>
      </w:r>
      <w:r w:rsidR="00F373A3" w:rsidRPr="00181FCD">
        <w:t xml:space="preserve"> </w:t>
      </w:r>
      <w:r w:rsidRPr="00181FCD">
        <w:t>de</w:t>
      </w:r>
      <w:r w:rsidR="00F373A3" w:rsidRPr="00181FCD">
        <w:t xml:space="preserve"> </w:t>
      </w:r>
      <w:r w:rsidRPr="00181FCD">
        <w:t>su</w:t>
      </w:r>
      <w:r w:rsidR="00F373A3" w:rsidRPr="00181FCD">
        <w:t xml:space="preserve"> </w:t>
      </w:r>
      <w:r w:rsidRPr="00181FCD">
        <w:t>encarcelamiento,</w:t>
      </w:r>
      <w:r w:rsidR="00F373A3" w:rsidRPr="00181FCD">
        <w:t xml:space="preserve"> </w:t>
      </w:r>
      <w:r w:rsidRPr="00181FCD">
        <w:t>5</w:t>
      </w:r>
      <w:r w:rsidR="00F373A3" w:rsidRPr="00181FCD">
        <w:t xml:space="preserve"> </w:t>
      </w:r>
      <w:r w:rsidRPr="00181FCD">
        <w:t>en</w:t>
      </w:r>
      <w:r w:rsidR="00F373A3" w:rsidRPr="00181FCD">
        <w:t xml:space="preserve"> </w:t>
      </w:r>
      <w:r w:rsidRPr="00181FCD">
        <w:t>un</w:t>
      </w:r>
      <w:r w:rsidR="00F373A3" w:rsidRPr="00181FCD">
        <w:t xml:space="preserve"> </w:t>
      </w:r>
      <w:r w:rsidRPr="00181FCD">
        <w:t>centro</w:t>
      </w:r>
      <w:r w:rsidR="00F373A3" w:rsidRPr="00181FCD">
        <w:t xml:space="preserve"> </w:t>
      </w:r>
      <w:r w:rsidRPr="00181FCD">
        <w:t>hospitalario</w:t>
      </w:r>
      <w:r w:rsidR="00F373A3" w:rsidRPr="00181FCD">
        <w:t xml:space="preserve"> </w:t>
      </w:r>
      <w:r w:rsidRPr="00181FCD">
        <w:t>externo,</w:t>
      </w:r>
      <w:r w:rsidR="00F373A3" w:rsidRPr="00181FCD">
        <w:t xml:space="preserve"> </w:t>
      </w:r>
      <w:r w:rsidRPr="00181FCD">
        <w:t>8</w:t>
      </w:r>
      <w:r w:rsidR="00F373A3" w:rsidRPr="00181FCD">
        <w:t xml:space="preserve"> </w:t>
      </w:r>
      <w:r w:rsidRPr="00181FCD">
        <w:t>en</w:t>
      </w:r>
      <w:r w:rsidR="00F373A3" w:rsidRPr="00181FCD">
        <w:t xml:space="preserve"> </w:t>
      </w:r>
      <w:r w:rsidRPr="00181FCD">
        <w:t>el</w:t>
      </w:r>
      <w:r w:rsidR="00F373A3" w:rsidRPr="00181FCD">
        <w:t xml:space="preserve"> </w:t>
      </w:r>
      <w:r w:rsidRPr="00181FCD">
        <w:t>Hospital</w:t>
      </w:r>
      <w:r w:rsidR="00F373A3" w:rsidRPr="00181FCD">
        <w:t xml:space="preserve"> </w:t>
      </w:r>
      <w:r w:rsidRPr="00181FCD">
        <w:t>Especializado</w:t>
      </w:r>
      <w:r w:rsidR="00F373A3" w:rsidRPr="00181FCD">
        <w:t xml:space="preserve"> </w:t>
      </w:r>
      <w:r w:rsidRPr="00181FCD">
        <w:t>en</w:t>
      </w:r>
      <w:r w:rsidR="00F373A3" w:rsidRPr="00181FCD">
        <w:t xml:space="preserve"> </w:t>
      </w:r>
      <w:r w:rsidRPr="00181FCD">
        <w:t>el</w:t>
      </w:r>
      <w:r w:rsidR="00F373A3" w:rsidRPr="00181FCD">
        <w:t xml:space="preserve"> </w:t>
      </w:r>
      <w:r w:rsidRPr="00181FCD">
        <w:t>Tratamiento</w:t>
      </w:r>
      <w:r w:rsidR="00F373A3" w:rsidRPr="00181FCD">
        <w:t xml:space="preserve"> </w:t>
      </w:r>
      <w:r w:rsidRPr="00181FCD">
        <w:t>Activo</w:t>
      </w:r>
      <w:r w:rsidR="00F373A3" w:rsidRPr="00181FCD">
        <w:t xml:space="preserve"> </w:t>
      </w:r>
      <w:r w:rsidRPr="00181FCD">
        <w:t>de</w:t>
      </w:r>
      <w:r w:rsidR="00F373A3" w:rsidRPr="00181FCD">
        <w:t xml:space="preserve"> </w:t>
      </w:r>
      <w:r w:rsidRPr="00181FCD">
        <w:t>Reclusos,</w:t>
      </w:r>
      <w:r w:rsidR="00F373A3" w:rsidRPr="00181FCD">
        <w:t xml:space="preserve"> </w:t>
      </w:r>
      <w:r w:rsidRPr="00181FCD">
        <w:t>que</w:t>
      </w:r>
      <w:r w:rsidR="00F373A3" w:rsidRPr="00181FCD">
        <w:t xml:space="preserve"> </w:t>
      </w:r>
      <w:r w:rsidRPr="00181FCD">
        <w:t>forma</w:t>
      </w:r>
      <w:r w:rsidR="00F373A3" w:rsidRPr="00181FCD">
        <w:t xml:space="preserve"> </w:t>
      </w:r>
      <w:r w:rsidRPr="00181FCD">
        <w:t>parte</w:t>
      </w:r>
      <w:r w:rsidR="00F373A3" w:rsidRPr="00181FCD">
        <w:t xml:space="preserve"> </w:t>
      </w:r>
      <w:r w:rsidRPr="00181FCD">
        <w:t>de</w:t>
      </w:r>
      <w:r w:rsidR="00F373A3" w:rsidRPr="00181FCD">
        <w:t xml:space="preserve"> </w:t>
      </w:r>
      <w:r w:rsidRPr="00181FCD">
        <w:t>la</w:t>
      </w:r>
      <w:r w:rsidR="00F373A3" w:rsidRPr="00181FCD">
        <w:t xml:space="preserve"> </w:t>
      </w:r>
      <w:r w:rsidRPr="00181FCD">
        <w:t>cárcel</w:t>
      </w:r>
      <w:r w:rsidR="00F373A3" w:rsidRPr="00181FCD">
        <w:t xml:space="preserve"> </w:t>
      </w:r>
      <w:r w:rsidRPr="00181FCD">
        <w:t>de</w:t>
      </w:r>
      <w:r w:rsidR="00F373A3" w:rsidRPr="00181FCD">
        <w:t xml:space="preserve"> </w:t>
      </w:r>
      <w:r w:rsidRPr="00181FCD">
        <w:t>Sofía,</w:t>
      </w:r>
      <w:r w:rsidR="00F373A3" w:rsidRPr="00181FCD">
        <w:t xml:space="preserve"> </w:t>
      </w:r>
      <w:r w:rsidRPr="00181FCD">
        <w:t>8</w:t>
      </w:r>
      <w:r w:rsidR="00F373A3" w:rsidRPr="00181FCD">
        <w:t xml:space="preserve"> </w:t>
      </w:r>
      <w:r w:rsidRPr="00181FCD">
        <w:t>en</w:t>
      </w:r>
      <w:r w:rsidR="00F373A3" w:rsidRPr="00181FCD">
        <w:t xml:space="preserve"> </w:t>
      </w:r>
      <w:r w:rsidRPr="00181FCD">
        <w:t>diferentes</w:t>
      </w:r>
      <w:r w:rsidR="00F373A3" w:rsidRPr="00181FCD">
        <w:t xml:space="preserve"> </w:t>
      </w:r>
      <w:r w:rsidRPr="00181FCD">
        <w:t>prisiones</w:t>
      </w:r>
      <w:r w:rsidR="00F373A3" w:rsidRPr="00181FCD">
        <w:t xml:space="preserve"> </w:t>
      </w:r>
      <w:r w:rsidRPr="00181FCD">
        <w:t>y</w:t>
      </w:r>
      <w:r w:rsidR="00F373A3" w:rsidRPr="00181FCD">
        <w:t xml:space="preserve"> </w:t>
      </w:r>
      <w:r w:rsidRPr="00181FCD">
        <w:t>1</w:t>
      </w:r>
      <w:r w:rsidR="00F373A3" w:rsidRPr="00181FCD">
        <w:t xml:space="preserve"> </w:t>
      </w:r>
      <w:r w:rsidRPr="00181FCD">
        <w:t>durante</w:t>
      </w:r>
      <w:r w:rsidR="00F373A3" w:rsidRPr="00181FCD">
        <w:t xml:space="preserve"> </w:t>
      </w:r>
      <w:r w:rsidRPr="00181FCD">
        <w:t>un</w:t>
      </w:r>
      <w:r w:rsidR="00F373A3" w:rsidRPr="00181FCD">
        <w:t xml:space="preserve"> </w:t>
      </w:r>
      <w:r w:rsidRPr="00181FCD">
        <w:t>permiso</w:t>
      </w:r>
      <w:r w:rsidR="00F373A3" w:rsidRPr="00181FCD">
        <w:t xml:space="preserve"> </w:t>
      </w:r>
      <w:r w:rsidRPr="00181FCD">
        <w:t>para</w:t>
      </w:r>
      <w:r w:rsidR="00F373A3" w:rsidRPr="00181FCD">
        <w:t xml:space="preserve"> </w:t>
      </w:r>
      <w:r w:rsidRPr="00181FCD">
        <w:t>visitar</w:t>
      </w:r>
      <w:r w:rsidR="00F373A3" w:rsidRPr="00181FCD">
        <w:t xml:space="preserve"> </w:t>
      </w:r>
      <w:r w:rsidRPr="00181FCD">
        <w:t>su</w:t>
      </w:r>
      <w:r w:rsidR="00F373A3" w:rsidRPr="00181FCD">
        <w:t xml:space="preserve"> </w:t>
      </w:r>
      <w:r w:rsidRPr="00181FCD">
        <w:t>país</w:t>
      </w:r>
      <w:r w:rsidR="00F373A3" w:rsidRPr="00181FCD">
        <w:t xml:space="preserve"> </w:t>
      </w:r>
      <w:r w:rsidRPr="00181FCD">
        <w:t>de</w:t>
      </w:r>
      <w:r w:rsidR="00F373A3" w:rsidRPr="00181FCD">
        <w:t xml:space="preserve"> </w:t>
      </w:r>
      <w:r w:rsidRPr="00181FCD">
        <w:t>origen.</w:t>
      </w:r>
    </w:p>
    <w:p w:rsidR="001937F4" w:rsidRPr="00181FCD" w:rsidRDefault="00E924E7" w:rsidP="00E924E7">
      <w:pPr>
        <w:pStyle w:val="H23G"/>
      </w:pPr>
      <w:r w:rsidRPr="00181FCD">
        <w:tab/>
      </w:r>
      <w:r w:rsidRPr="00181FCD">
        <w:tab/>
      </w:r>
      <w:r w:rsidR="001937F4" w:rsidRPr="00181FCD">
        <w:t>Respuesta</w:t>
      </w:r>
      <w:r w:rsidR="00F373A3" w:rsidRPr="00181FCD">
        <w:t xml:space="preserve"> </w:t>
      </w:r>
      <w:r w:rsidR="001937F4" w:rsidRPr="00181FCD">
        <w:t>a</w:t>
      </w:r>
      <w:r w:rsidR="00F373A3" w:rsidRPr="00181FCD">
        <w:t xml:space="preserve"> </w:t>
      </w:r>
      <w:r w:rsidR="001937F4" w:rsidRPr="00181FCD">
        <w:t>las</w:t>
      </w:r>
      <w:r w:rsidR="00F373A3" w:rsidRPr="00181FCD">
        <w:t xml:space="preserve"> </w:t>
      </w:r>
      <w:r w:rsidR="001937F4" w:rsidRPr="00181FCD">
        <w:t>cuestiones</w:t>
      </w:r>
      <w:r w:rsidR="00F373A3" w:rsidRPr="00181FCD">
        <w:t xml:space="preserve"> </w:t>
      </w:r>
      <w:r w:rsidR="001937F4" w:rsidRPr="00181FCD">
        <w:t>planteadas</w:t>
      </w:r>
      <w:r w:rsidR="00F373A3" w:rsidRPr="00181FCD">
        <w:t xml:space="preserve"> </w:t>
      </w:r>
      <w:r w:rsidR="001937F4" w:rsidRPr="00181FCD">
        <w:t>en</w:t>
      </w:r>
      <w:r w:rsidR="00F373A3" w:rsidRPr="00181FCD">
        <w:t xml:space="preserve"> </w:t>
      </w:r>
      <w:r w:rsidR="001937F4" w:rsidRPr="00181FCD">
        <w:t>el</w:t>
      </w:r>
      <w:r w:rsidR="00F373A3" w:rsidRPr="00181FCD">
        <w:t xml:space="preserve"> </w:t>
      </w:r>
      <w:r w:rsidR="001937F4" w:rsidRPr="00181FCD">
        <w:t>párrafo</w:t>
      </w:r>
      <w:r w:rsidR="00F373A3" w:rsidRPr="00181FCD">
        <w:t xml:space="preserve"> </w:t>
      </w:r>
      <w:r w:rsidR="001937F4" w:rsidRPr="00181FCD">
        <w:t>21</w:t>
      </w:r>
      <w:r w:rsidR="00F373A3" w:rsidRPr="00181FCD">
        <w:t xml:space="preserve"> </w:t>
      </w:r>
      <w:r w:rsidR="001937F4" w:rsidRPr="00181FCD">
        <w:t>de</w:t>
      </w:r>
      <w:r w:rsidR="00F373A3" w:rsidRPr="00181FCD">
        <w:t xml:space="preserve"> </w:t>
      </w:r>
      <w:r w:rsidR="001937F4" w:rsidRPr="00181FCD">
        <w:t>la</w:t>
      </w:r>
      <w:r w:rsidR="00F373A3" w:rsidRPr="00181FCD">
        <w:t xml:space="preserve"> </w:t>
      </w:r>
      <w:r w:rsidR="001937F4" w:rsidRPr="00181FCD">
        <w:t>lista</w:t>
      </w:r>
      <w:r w:rsidR="00F373A3" w:rsidRPr="00181FCD">
        <w:t xml:space="preserve"> </w:t>
      </w:r>
      <w:r w:rsidR="001937F4" w:rsidRPr="00181FCD">
        <w:t>de</w:t>
      </w:r>
      <w:r w:rsidR="00F373A3" w:rsidRPr="00181FCD">
        <w:t xml:space="preserve"> </w:t>
      </w:r>
      <w:r w:rsidR="001937F4" w:rsidRPr="00181FCD">
        <w:t>cuestiones</w:t>
      </w:r>
    </w:p>
    <w:p w:rsidR="001937F4" w:rsidRPr="00181FCD" w:rsidRDefault="001937F4" w:rsidP="00347B20">
      <w:pPr>
        <w:pStyle w:val="SingleTxtG"/>
        <w:suppressAutoHyphens/>
      </w:pPr>
      <w:r w:rsidRPr="00181FCD">
        <w:t>188.</w:t>
      </w:r>
      <w:r w:rsidRPr="00181FCD">
        <w:tab/>
        <w:t>De</w:t>
      </w:r>
      <w:r w:rsidR="00F373A3" w:rsidRPr="00181FCD">
        <w:t xml:space="preserve"> </w:t>
      </w:r>
      <w:r w:rsidRPr="00181FCD">
        <w:t>conformidad</w:t>
      </w:r>
      <w:r w:rsidR="00F373A3" w:rsidRPr="00181FCD">
        <w:t xml:space="preserve"> </w:t>
      </w:r>
      <w:r w:rsidRPr="00181FCD">
        <w:t>con</w:t>
      </w:r>
      <w:r w:rsidR="00F373A3" w:rsidRPr="00181FCD">
        <w:t xml:space="preserve"> </w:t>
      </w:r>
      <w:r w:rsidRPr="00181FCD">
        <w:t>el</w:t>
      </w:r>
      <w:r w:rsidR="00F373A3" w:rsidRPr="00181FCD">
        <w:t xml:space="preserve"> </w:t>
      </w:r>
      <w:r w:rsidRPr="00181FCD">
        <w:t>artículo</w:t>
      </w:r>
      <w:r w:rsidR="00F373A3" w:rsidRPr="00181FCD">
        <w:t xml:space="preserve"> </w:t>
      </w:r>
      <w:r w:rsidRPr="00181FCD">
        <w:t>198</w:t>
      </w:r>
      <w:r w:rsidR="00F373A3" w:rsidRPr="00181FCD">
        <w:t xml:space="preserve"> </w:t>
      </w:r>
      <w:r w:rsidRPr="00181FCD">
        <w:t>de</w:t>
      </w:r>
      <w:r w:rsidR="00F373A3" w:rsidRPr="00181FCD">
        <w:t xml:space="preserve"> </w:t>
      </w:r>
      <w:r w:rsidRPr="00181FCD">
        <w:t>la</w:t>
      </w:r>
      <w:r w:rsidR="00F373A3" w:rsidRPr="00181FCD">
        <w:t xml:space="preserve"> </w:t>
      </w:r>
      <w:r w:rsidRPr="00181FCD">
        <w:t>Ley</w:t>
      </w:r>
      <w:r w:rsidR="00F373A3" w:rsidRPr="00181FCD">
        <w:t xml:space="preserve"> </w:t>
      </w:r>
      <w:r w:rsidRPr="00181FCD">
        <w:t>de</w:t>
      </w:r>
      <w:r w:rsidR="00F373A3" w:rsidRPr="00181FCD">
        <w:t xml:space="preserve"> </w:t>
      </w:r>
      <w:r w:rsidRPr="00181FCD">
        <w:t>Ejecución</w:t>
      </w:r>
      <w:r w:rsidR="00F373A3" w:rsidRPr="00181FCD">
        <w:t xml:space="preserve"> </w:t>
      </w:r>
      <w:r w:rsidRPr="00181FCD">
        <w:t>de</w:t>
      </w:r>
      <w:r w:rsidR="00F373A3" w:rsidRPr="00181FCD">
        <w:t xml:space="preserve"> </w:t>
      </w:r>
      <w:r w:rsidRPr="00181FCD">
        <w:t>Penas</w:t>
      </w:r>
      <w:r w:rsidR="00F373A3" w:rsidRPr="00181FCD">
        <w:t xml:space="preserve"> </w:t>
      </w:r>
      <w:r w:rsidRPr="00181FCD">
        <w:t>y</w:t>
      </w:r>
      <w:r w:rsidR="00F373A3" w:rsidRPr="00181FCD">
        <w:t xml:space="preserve"> </w:t>
      </w:r>
      <w:r w:rsidRPr="00181FCD">
        <w:t>Detención</w:t>
      </w:r>
      <w:r w:rsidR="00F373A3" w:rsidRPr="00181FCD">
        <w:t xml:space="preserve"> </w:t>
      </w:r>
      <w:r w:rsidRPr="00181FCD">
        <w:t>Preventiva,</w:t>
      </w:r>
      <w:r w:rsidR="00F373A3" w:rsidRPr="00181FCD">
        <w:t xml:space="preserve"> </w:t>
      </w:r>
      <w:r w:rsidRPr="00181FCD">
        <w:t>el</w:t>
      </w:r>
      <w:r w:rsidR="00F373A3" w:rsidRPr="00181FCD">
        <w:t xml:space="preserve"> </w:t>
      </w:r>
      <w:r w:rsidRPr="00181FCD">
        <w:t>régimen</w:t>
      </w:r>
      <w:r w:rsidR="00F373A3" w:rsidRPr="00181FCD">
        <w:t xml:space="preserve"> </w:t>
      </w:r>
      <w:r w:rsidRPr="00181FCD">
        <w:t>especial</w:t>
      </w:r>
      <w:r w:rsidR="00F373A3" w:rsidRPr="00181FCD">
        <w:t xml:space="preserve"> </w:t>
      </w:r>
      <w:r w:rsidRPr="00181FCD">
        <w:t>inicial</w:t>
      </w:r>
      <w:r w:rsidR="00F373A3" w:rsidRPr="00181FCD">
        <w:t xml:space="preserve"> </w:t>
      </w:r>
      <w:r w:rsidRPr="00181FCD">
        <w:t>de</w:t>
      </w:r>
      <w:r w:rsidR="00F373A3" w:rsidRPr="00181FCD">
        <w:t xml:space="preserve"> </w:t>
      </w:r>
      <w:r w:rsidRPr="00181FCD">
        <w:t>los</w:t>
      </w:r>
      <w:r w:rsidR="00F373A3" w:rsidRPr="00181FCD">
        <w:t xml:space="preserve"> </w:t>
      </w:r>
      <w:r w:rsidRPr="00181FCD">
        <w:t>reclusos</w:t>
      </w:r>
      <w:r w:rsidR="00F373A3" w:rsidRPr="00181FCD">
        <w:t xml:space="preserve"> </w:t>
      </w:r>
      <w:r w:rsidRPr="00181FCD">
        <w:t>condenados</w:t>
      </w:r>
      <w:r w:rsidR="00F373A3" w:rsidRPr="00181FCD">
        <w:t xml:space="preserve"> </w:t>
      </w:r>
      <w:r w:rsidRPr="00181FCD">
        <w:t>a</w:t>
      </w:r>
      <w:r w:rsidR="00F373A3" w:rsidRPr="00181FCD">
        <w:t xml:space="preserve"> </w:t>
      </w:r>
      <w:r w:rsidRPr="00181FCD">
        <w:t>cadena</w:t>
      </w:r>
      <w:r w:rsidR="00F373A3" w:rsidRPr="00181FCD">
        <w:t xml:space="preserve"> </w:t>
      </w:r>
      <w:r w:rsidRPr="00181FCD">
        <w:t>perpetua</w:t>
      </w:r>
      <w:r w:rsidR="00F373A3" w:rsidRPr="00181FCD">
        <w:t xml:space="preserve"> </w:t>
      </w:r>
      <w:r w:rsidRPr="00181FCD">
        <w:t>y</w:t>
      </w:r>
      <w:r w:rsidR="00F373A3" w:rsidRPr="00181FCD">
        <w:t xml:space="preserve"> </w:t>
      </w:r>
      <w:r w:rsidRPr="00181FCD">
        <w:t>a</w:t>
      </w:r>
      <w:r w:rsidR="00F373A3" w:rsidRPr="00181FCD">
        <w:t xml:space="preserve"> </w:t>
      </w:r>
      <w:r w:rsidRPr="00181FCD">
        <w:t>cadena</w:t>
      </w:r>
      <w:r w:rsidR="00F373A3" w:rsidRPr="00181FCD">
        <w:t xml:space="preserve"> </w:t>
      </w:r>
      <w:r w:rsidRPr="00181FCD">
        <w:t>perpetua</w:t>
      </w:r>
      <w:r w:rsidR="00F373A3" w:rsidRPr="00181FCD">
        <w:t xml:space="preserve"> </w:t>
      </w:r>
      <w:r w:rsidRPr="00181FCD">
        <w:t>sin</w:t>
      </w:r>
      <w:r w:rsidR="00F373A3" w:rsidRPr="00181FCD">
        <w:t xml:space="preserve"> </w:t>
      </w:r>
      <w:r w:rsidRPr="00181FCD">
        <w:t>libertad</w:t>
      </w:r>
      <w:r w:rsidR="00F373A3" w:rsidRPr="00181FCD">
        <w:t xml:space="preserve"> </w:t>
      </w:r>
      <w:r w:rsidRPr="00181FCD">
        <w:t>condicional</w:t>
      </w:r>
      <w:r w:rsidR="00F373A3" w:rsidRPr="00181FCD">
        <w:t xml:space="preserve"> </w:t>
      </w:r>
      <w:r w:rsidRPr="00181FCD">
        <w:t>puede</w:t>
      </w:r>
      <w:r w:rsidR="00F373A3" w:rsidRPr="00181FCD">
        <w:t xml:space="preserve"> </w:t>
      </w:r>
      <w:r w:rsidRPr="00181FCD">
        <w:t>sustituirse</w:t>
      </w:r>
      <w:r w:rsidR="00F373A3" w:rsidRPr="00181FCD">
        <w:t xml:space="preserve"> </w:t>
      </w:r>
      <w:r w:rsidRPr="00181FCD">
        <w:t>por</w:t>
      </w:r>
      <w:r w:rsidR="00F373A3" w:rsidRPr="00181FCD">
        <w:t xml:space="preserve"> </w:t>
      </w:r>
      <w:r w:rsidRPr="00181FCD">
        <w:t>uno</w:t>
      </w:r>
      <w:r w:rsidR="00F373A3" w:rsidRPr="00181FCD">
        <w:t xml:space="preserve"> </w:t>
      </w:r>
      <w:r w:rsidRPr="00181FCD">
        <w:t>menos</w:t>
      </w:r>
      <w:r w:rsidR="00F373A3" w:rsidRPr="00181FCD">
        <w:t xml:space="preserve"> </w:t>
      </w:r>
      <w:r w:rsidRPr="00181FCD">
        <w:t>estricto,</w:t>
      </w:r>
      <w:r w:rsidR="00F373A3" w:rsidRPr="00181FCD">
        <w:t xml:space="preserve"> </w:t>
      </w:r>
      <w:r w:rsidRPr="00181FCD">
        <w:t>si</w:t>
      </w:r>
      <w:r w:rsidR="00F373A3" w:rsidRPr="00181FCD">
        <w:t xml:space="preserve"> </w:t>
      </w:r>
      <w:r w:rsidRPr="00181FCD">
        <w:t>demuestran</w:t>
      </w:r>
      <w:r w:rsidR="00F373A3" w:rsidRPr="00181FCD">
        <w:t xml:space="preserve"> </w:t>
      </w:r>
      <w:r w:rsidRPr="00181FCD">
        <w:t>buen</w:t>
      </w:r>
      <w:r w:rsidR="00F373A3" w:rsidRPr="00181FCD">
        <w:t xml:space="preserve"> </w:t>
      </w:r>
      <w:r w:rsidRPr="00181FCD">
        <w:t>comportamiento</w:t>
      </w:r>
      <w:r w:rsidR="00F373A3" w:rsidRPr="00181FCD">
        <w:t xml:space="preserve"> </w:t>
      </w:r>
      <w:r w:rsidRPr="00181FCD">
        <w:t>y</w:t>
      </w:r>
      <w:r w:rsidR="00F373A3" w:rsidRPr="00181FCD">
        <w:t xml:space="preserve"> </w:t>
      </w:r>
      <w:r w:rsidRPr="00181FCD">
        <w:t>han</w:t>
      </w:r>
      <w:r w:rsidR="00F373A3" w:rsidRPr="00181FCD">
        <w:t xml:space="preserve"> </w:t>
      </w:r>
      <w:r w:rsidRPr="00181FCD">
        <w:t>cumplido</w:t>
      </w:r>
      <w:r w:rsidR="00F373A3" w:rsidRPr="00181FCD">
        <w:t xml:space="preserve"> </w:t>
      </w:r>
      <w:r w:rsidRPr="00181FCD">
        <w:t>al</w:t>
      </w:r>
      <w:r w:rsidR="00F373A3" w:rsidRPr="00181FCD">
        <w:t xml:space="preserve"> </w:t>
      </w:r>
      <w:r w:rsidRPr="00181FCD">
        <w:t>menos</w:t>
      </w:r>
      <w:r w:rsidR="00F373A3" w:rsidRPr="00181FCD">
        <w:t xml:space="preserve"> </w:t>
      </w:r>
      <w:r w:rsidRPr="00181FCD">
        <w:t>cinco</w:t>
      </w:r>
      <w:r w:rsidR="00F373A3" w:rsidRPr="00181FCD">
        <w:t xml:space="preserve"> </w:t>
      </w:r>
      <w:r w:rsidRPr="00181FCD">
        <w:t>años</w:t>
      </w:r>
      <w:r w:rsidR="00F373A3" w:rsidRPr="00181FCD">
        <w:t xml:space="preserve"> </w:t>
      </w:r>
      <w:r w:rsidRPr="00181FCD">
        <w:t>de</w:t>
      </w:r>
      <w:r w:rsidR="00F373A3" w:rsidRPr="00181FCD">
        <w:t xml:space="preserve"> </w:t>
      </w:r>
      <w:r w:rsidRPr="00181FCD">
        <w:t>su</w:t>
      </w:r>
      <w:r w:rsidR="00F373A3" w:rsidRPr="00181FCD">
        <w:t xml:space="preserve"> </w:t>
      </w:r>
      <w:r w:rsidRPr="00181FCD">
        <w:t>condena.</w:t>
      </w:r>
    </w:p>
    <w:p w:rsidR="001937F4" w:rsidRPr="00181FCD" w:rsidRDefault="001937F4" w:rsidP="00347B20">
      <w:pPr>
        <w:pStyle w:val="SingleTxtG"/>
        <w:suppressAutoHyphens/>
      </w:pPr>
      <w:r w:rsidRPr="00181FCD">
        <w:t>189.</w:t>
      </w:r>
      <w:r w:rsidRPr="00181FCD">
        <w:tab/>
        <w:t>Los</w:t>
      </w:r>
      <w:r w:rsidR="00F373A3" w:rsidRPr="00181FCD">
        <w:t xml:space="preserve"> </w:t>
      </w:r>
      <w:r w:rsidRPr="00181FCD">
        <w:t>reclusos</w:t>
      </w:r>
      <w:r w:rsidR="00F373A3" w:rsidRPr="00181FCD">
        <w:t xml:space="preserve"> </w:t>
      </w:r>
      <w:r w:rsidRPr="00181FCD">
        <w:t>que</w:t>
      </w:r>
      <w:r w:rsidR="00F373A3" w:rsidRPr="00181FCD">
        <w:t xml:space="preserve"> </w:t>
      </w:r>
      <w:r w:rsidRPr="00181FCD">
        <w:t>forman</w:t>
      </w:r>
      <w:r w:rsidR="00F373A3" w:rsidRPr="00181FCD">
        <w:t xml:space="preserve"> </w:t>
      </w:r>
      <w:r w:rsidRPr="00181FCD">
        <w:t>parte</w:t>
      </w:r>
      <w:r w:rsidR="00F373A3" w:rsidRPr="00181FCD">
        <w:t xml:space="preserve"> </w:t>
      </w:r>
      <w:r w:rsidRPr="00181FCD">
        <w:t>de</w:t>
      </w:r>
      <w:r w:rsidR="00F373A3" w:rsidRPr="00181FCD">
        <w:t xml:space="preserve"> </w:t>
      </w:r>
      <w:r w:rsidRPr="00181FCD">
        <w:t>esta</w:t>
      </w:r>
      <w:r w:rsidR="00F373A3" w:rsidRPr="00181FCD">
        <w:t xml:space="preserve"> </w:t>
      </w:r>
      <w:r w:rsidRPr="00181FCD">
        <w:t>categoría</w:t>
      </w:r>
      <w:r w:rsidR="00F373A3" w:rsidRPr="00181FCD">
        <w:t xml:space="preserve"> </w:t>
      </w:r>
      <w:r w:rsidRPr="00181FCD">
        <w:t>se</w:t>
      </w:r>
      <w:r w:rsidR="00F373A3" w:rsidRPr="00181FCD">
        <w:t xml:space="preserve"> </w:t>
      </w:r>
      <w:r w:rsidRPr="00181FCD">
        <w:t>pueden</w:t>
      </w:r>
      <w:r w:rsidR="00F373A3" w:rsidRPr="00181FCD">
        <w:t xml:space="preserve"> </w:t>
      </w:r>
      <w:r w:rsidRPr="00181FCD">
        <w:t>trasladar</w:t>
      </w:r>
      <w:r w:rsidR="00F373A3" w:rsidRPr="00181FCD">
        <w:t xml:space="preserve"> </w:t>
      </w:r>
      <w:r w:rsidRPr="00181FCD">
        <w:t>a</w:t>
      </w:r>
      <w:r w:rsidR="00F373A3" w:rsidRPr="00181FCD">
        <w:t xml:space="preserve"> </w:t>
      </w:r>
      <w:r w:rsidRPr="00181FCD">
        <w:t>espacios</w:t>
      </w:r>
      <w:r w:rsidR="00F373A3" w:rsidRPr="00181FCD">
        <w:t xml:space="preserve"> </w:t>
      </w:r>
      <w:r w:rsidRPr="00181FCD">
        <w:t>compartidos</w:t>
      </w:r>
      <w:r w:rsidR="00F373A3" w:rsidRPr="00181FCD">
        <w:t xml:space="preserve"> </w:t>
      </w:r>
      <w:r w:rsidRPr="00181FCD">
        <w:t>con</w:t>
      </w:r>
      <w:r w:rsidR="00F373A3" w:rsidRPr="00181FCD">
        <w:t xml:space="preserve"> </w:t>
      </w:r>
      <w:r w:rsidRPr="00181FCD">
        <w:t>otros</w:t>
      </w:r>
      <w:r w:rsidR="00F373A3" w:rsidRPr="00181FCD">
        <w:t xml:space="preserve"> </w:t>
      </w:r>
      <w:r w:rsidRPr="00181FCD">
        <w:t>presos.</w:t>
      </w:r>
      <w:r w:rsidR="00F373A3" w:rsidRPr="00181FCD">
        <w:t xml:space="preserve"> </w:t>
      </w:r>
      <w:r w:rsidRPr="00181FCD">
        <w:t>Ello</w:t>
      </w:r>
      <w:r w:rsidR="00F373A3" w:rsidRPr="00181FCD">
        <w:t xml:space="preserve"> </w:t>
      </w:r>
      <w:r w:rsidRPr="00181FCD">
        <w:t>solo</w:t>
      </w:r>
      <w:r w:rsidR="00F373A3" w:rsidRPr="00181FCD">
        <w:t xml:space="preserve"> </w:t>
      </w:r>
      <w:r w:rsidRPr="00181FCD">
        <w:t>se</w:t>
      </w:r>
      <w:r w:rsidR="00F373A3" w:rsidRPr="00181FCD">
        <w:t xml:space="preserve"> </w:t>
      </w:r>
      <w:r w:rsidRPr="00181FCD">
        <w:t>hace</w:t>
      </w:r>
      <w:r w:rsidR="00F373A3" w:rsidRPr="00181FCD">
        <w:t xml:space="preserve"> </w:t>
      </w:r>
      <w:r w:rsidRPr="00181FCD">
        <w:t>si</w:t>
      </w:r>
      <w:r w:rsidR="00F373A3" w:rsidRPr="00181FCD">
        <w:t xml:space="preserve"> </w:t>
      </w:r>
      <w:r w:rsidRPr="00181FCD">
        <w:t>están</w:t>
      </w:r>
      <w:r w:rsidR="00F373A3" w:rsidRPr="00181FCD">
        <w:t xml:space="preserve"> </w:t>
      </w:r>
      <w:r w:rsidRPr="00181FCD">
        <w:t>internados</w:t>
      </w:r>
      <w:r w:rsidR="00F373A3" w:rsidRPr="00181FCD">
        <w:t xml:space="preserve"> </w:t>
      </w:r>
      <w:r w:rsidRPr="00181FCD">
        <w:t>bajo</w:t>
      </w:r>
      <w:r w:rsidR="00F373A3" w:rsidRPr="00181FCD">
        <w:t xml:space="preserve"> </w:t>
      </w:r>
      <w:r w:rsidRPr="00181FCD">
        <w:t>un</w:t>
      </w:r>
      <w:r w:rsidR="00F373A3" w:rsidRPr="00181FCD">
        <w:t xml:space="preserve"> </w:t>
      </w:r>
      <w:r w:rsidRPr="00181FCD">
        <w:t>régimen</w:t>
      </w:r>
      <w:r w:rsidR="00F373A3" w:rsidRPr="00181FCD">
        <w:t xml:space="preserve"> </w:t>
      </w:r>
      <w:r w:rsidRPr="00181FCD">
        <w:t>estricto</w:t>
      </w:r>
      <w:r w:rsidR="00F373A3" w:rsidRPr="00181FCD">
        <w:t xml:space="preserve"> </w:t>
      </w:r>
      <w:r w:rsidRPr="00181FCD">
        <w:t>y</w:t>
      </w:r>
      <w:r w:rsidR="00F373A3" w:rsidRPr="00181FCD">
        <w:t xml:space="preserve"> </w:t>
      </w:r>
      <w:r w:rsidRPr="00181FCD">
        <w:t>siempre</w:t>
      </w:r>
      <w:r w:rsidR="00F373A3" w:rsidRPr="00181FCD">
        <w:t xml:space="preserve"> </w:t>
      </w:r>
      <w:r w:rsidRPr="00181FCD">
        <w:t>después</w:t>
      </w:r>
      <w:r w:rsidR="00F373A3" w:rsidRPr="00181FCD">
        <w:t xml:space="preserve"> </w:t>
      </w:r>
      <w:r w:rsidRPr="00181FCD">
        <w:t>de</w:t>
      </w:r>
      <w:r w:rsidR="00F373A3" w:rsidRPr="00181FCD">
        <w:t xml:space="preserve"> </w:t>
      </w:r>
      <w:r w:rsidRPr="00181FCD">
        <w:t>la</w:t>
      </w:r>
      <w:r w:rsidR="00F373A3" w:rsidRPr="00181FCD">
        <w:t xml:space="preserve"> </w:t>
      </w:r>
      <w:r w:rsidRPr="00181FCD">
        <w:t>evaluación</w:t>
      </w:r>
      <w:r w:rsidR="00F373A3" w:rsidRPr="00181FCD">
        <w:t xml:space="preserve"> </w:t>
      </w:r>
      <w:r w:rsidRPr="00181FCD">
        <w:t>de</w:t>
      </w:r>
      <w:r w:rsidR="00F373A3" w:rsidRPr="00181FCD">
        <w:t xml:space="preserve"> </w:t>
      </w:r>
      <w:r w:rsidRPr="00181FCD">
        <w:t>su</w:t>
      </w:r>
      <w:r w:rsidR="00F373A3" w:rsidRPr="00181FCD">
        <w:t xml:space="preserve"> </w:t>
      </w:r>
      <w:r w:rsidRPr="00181FCD">
        <w:t>personalidad</w:t>
      </w:r>
      <w:r w:rsidR="00F373A3" w:rsidRPr="00181FCD">
        <w:t xml:space="preserve"> </w:t>
      </w:r>
      <w:r w:rsidRPr="00181FCD">
        <w:t>y</w:t>
      </w:r>
      <w:r w:rsidR="00F373A3" w:rsidRPr="00181FCD">
        <w:t xml:space="preserve"> </w:t>
      </w:r>
      <w:r w:rsidRPr="00181FCD">
        <w:t>de</w:t>
      </w:r>
      <w:r w:rsidR="00F373A3" w:rsidRPr="00181FCD">
        <w:t xml:space="preserve"> </w:t>
      </w:r>
      <w:r w:rsidRPr="00181FCD">
        <w:t>una</w:t>
      </w:r>
      <w:r w:rsidR="00F373A3" w:rsidRPr="00181FCD">
        <w:t xml:space="preserve"> </w:t>
      </w:r>
      <w:r w:rsidRPr="00181FCD">
        <w:t>decisión</w:t>
      </w:r>
      <w:r w:rsidR="00F373A3" w:rsidRPr="00181FCD">
        <w:t xml:space="preserve"> </w:t>
      </w:r>
      <w:r w:rsidRPr="00181FCD">
        <w:t>de</w:t>
      </w:r>
      <w:r w:rsidR="00F373A3" w:rsidRPr="00181FCD">
        <w:t xml:space="preserve"> </w:t>
      </w:r>
      <w:r w:rsidRPr="00181FCD">
        <w:t>la</w:t>
      </w:r>
      <w:r w:rsidR="00F373A3" w:rsidRPr="00181FCD">
        <w:t xml:space="preserve"> </w:t>
      </w:r>
      <w:r w:rsidRPr="00181FCD">
        <w:t>Comisión</w:t>
      </w:r>
      <w:r w:rsidR="00F373A3" w:rsidRPr="00181FCD">
        <w:t xml:space="preserve"> </w:t>
      </w:r>
      <w:r w:rsidRPr="00181FCD">
        <w:t>de</w:t>
      </w:r>
      <w:r w:rsidR="00F373A3" w:rsidRPr="00181FCD">
        <w:t xml:space="preserve"> </w:t>
      </w:r>
      <w:r w:rsidRPr="00181FCD">
        <w:t>Ejecución</w:t>
      </w:r>
      <w:r w:rsidR="00F373A3" w:rsidRPr="00181FCD">
        <w:t xml:space="preserve"> </w:t>
      </w:r>
      <w:r w:rsidRPr="00181FCD">
        <w:t>de</w:t>
      </w:r>
      <w:r w:rsidR="00F373A3" w:rsidRPr="00181FCD">
        <w:t xml:space="preserve"> </w:t>
      </w:r>
      <w:r w:rsidRPr="00181FCD">
        <w:t>Penas.</w:t>
      </w:r>
      <w:r w:rsidR="00F373A3" w:rsidRPr="00181FCD">
        <w:t xml:space="preserve"> </w:t>
      </w:r>
      <w:r w:rsidRPr="00181FCD">
        <w:t>Deben</w:t>
      </w:r>
      <w:r w:rsidR="00F373A3" w:rsidRPr="00181FCD">
        <w:t xml:space="preserve"> </w:t>
      </w:r>
      <w:r w:rsidRPr="00181FCD">
        <w:t>participar</w:t>
      </w:r>
      <w:r w:rsidR="00F373A3" w:rsidRPr="00181FCD">
        <w:t xml:space="preserve"> </w:t>
      </w:r>
      <w:r w:rsidRPr="00181FCD">
        <w:t>en</w:t>
      </w:r>
      <w:r w:rsidR="00F373A3" w:rsidRPr="00181FCD">
        <w:t xml:space="preserve"> </w:t>
      </w:r>
      <w:r w:rsidRPr="00181FCD">
        <w:t>actividades</w:t>
      </w:r>
      <w:r w:rsidR="00F373A3" w:rsidRPr="00181FCD">
        <w:t xml:space="preserve"> </w:t>
      </w:r>
      <w:r w:rsidRPr="00181FCD">
        <w:t>colaborativas</w:t>
      </w:r>
      <w:r w:rsidR="00F373A3" w:rsidRPr="00181FCD">
        <w:t xml:space="preserve"> </w:t>
      </w:r>
      <w:r w:rsidRPr="00181FCD">
        <w:t>relacionadas</w:t>
      </w:r>
      <w:r w:rsidR="00F373A3" w:rsidRPr="00181FCD">
        <w:t xml:space="preserve"> </w:t>
      </w:r>
      <w:r w:rsidRPr="00181FCD">
        <w:t>con</w:t>
      </w:r>
      <w:r w:rsidR="00F373A3" w:rsidRPr="00181FCD">
        <w:t xml:space="preserve"> </w:t>
      </w:r>
      <w:r w:rsidRPr="00181FCD">
        <w:t>trabajo,</w:t>
      </w:r>
      <w:r w:rsidR="00F373A3" w:rsidRPr="00181FCD">
        <w:t xml:space="preserve"> </w:t>
      </w:r>
      <w:r w:rsidRPr="00181FCD">
        <w:t>formación,</w:t>
      </w:r>
      <w:r w:rsidR="00F373A3" w:rsidRPr="00181FCD">
        <w:t xml:space="preserve"> </w:t>
      </w:r>
      <w:r w:rsidRPr="00181FCD">
        <w:t>educación,</w:t>
      </w:r>
      <w:r w:rsidR="00F373A3" w:rsidRPr="00181FCD">
        <w:t xml:space="preserve"> </w:t>
      </w:r>
      <w:r w:rsidRPr="00181FCD">
        <w:t>deportes</w:t>
      </w:r>
      <w:r w:rsidR="00F373A3" w:rsidRPr="00181FCD">
        <w:t xml:space="preserve"> </w:t>
      </w:r>
      <w:r w:rsidRPr="00181FCD">
        <w:t>y</w:t>
      </w:r>
      <w:r w:rsidR="00F373A3" w:rsidRPr="00181FCD">
        <w:t xml:space="preserve"> </w:t>
      </w:r>
      <w:r w:rsidRPr="00181FCD">
        <w:t>de</w:t>
      </w:r>
      <w:r w:rsidR="00F373A3" w:rsidRPr="00181FCD">
        <w:t xml:space="preserve"> </w:t>
      </w:r>
      <w:r w:rsidRPr="00181FCD">
        <w:t>otra</w:t>
      </w:r>
      <w:r w:rsidR="00F373A3" w:rsidRPr="00181FCD">
        <w:t xml:space="preserve"> </w:t>
      </w:r>
      <w:r w:rsidRPr="00181FCD">
        <w:t>índole.</w:t>
      </w:r>
    </w:p>
    <w:p w:rsidR="001937F4" w:rsidRPr="00181FCD" w:rsidRDefault="001937F4" w:rsidP="00347B20">
      <w:pPr>
        <w:pStyle w:val="SingleTxtG"/>
        <w:suppressAutoHyphens/>
      </w:pPr>
      <w:r w:rsidRPr="00181FCD">
        <w:t>190.</w:t>
      </w:r>
      <w:r w:rsidRPr="00181FCD">
        <w:tab/>
        <w:t>En</w:t>
      </w:r>
      <w:r w:rsidR="00F373A3" w:rsidRPr="00181FCD">
        <w:t xml:space="preserve"> </w:t>
      </w:r>
      <w:r w:rsidRPr="00181FCD">
        <w:t>virtud</w:t>
      </w:r>
      <w:r w:rsidR="00F373A3" w:rsidRPr="00181FCD">
        <w:t xml:space="preserve"> </w:t>
      </w:r>
      <w:r w:rsidRPr="00181FCD">
        <w:t>del</w:t>
      </w:r>
      <w:r w:rsidR="00F373A3" w:rsidRPr="00181FCD">
        <w:t xml:space="preserve"> </w:t>
      </w:r>
      <w:r w:rsidRPr="00181FCD">
        <w:t>actual</w:t>
      </w:r>
      <w:r w:rsidR="00F373A3" w:rsidRPr="00181FCD">
        <w:t xml:space="preserve"> </w:t>
      </w:r>
      <w:r w:rsidRPr="00181FCD">
        <w:t>Código</w:t>
      </w:r>
      <w:r w:rsidR="00F373A3" w:rsidRPr="00181FCD">
        <w:t xml:space="preserve"> </w:t>
      </w:r>
      <w:r w:rsidRPr="00181FCD">
        <w:t>Penal,</w:t>
      </w:r>
      <w:r w:rsidR="00F373A3" w:rsidRPr="00181FCD">
        <w:t xml:space="preserve"> </w:t>
      </w:r>
      <w:r w:rsidRPr="00181FCD">
        <w:t>el</w:t>
      </w:r>
      <w:r w:rsidR="00F373A3" w:rsidRPr="00181FCD">
        <w:t xml:space="preserve"> </w:t>
      </w:r>
      <w:r w:rsidRPr="00181FCD">
        <w:t>Presidente</w:t>
      </w:r>
      <w:r w:rsidR="00F373A3" w:rsidRPr="00181FCD">
        <w:t xml:space="preserve"> </w:t>
      </w:r>
      <w:r w:rsidRPr="00181FCD">
        <w:t>de</w:t>
      </w:r>
      <w:r w:rsidR="00F373A3" w:rsidRPr="00181FCD">
        <w:t xml:space="preserve"> </w:t>
      </w:r>
      <w:r w:rsidRPr="00181FCD">
        <w:t>la</w:t>
      </w:r>
      <w:r w:rsidR="00F373A3" w:rsidRPr="00181FCD">
        <w:t xml:space="preserve"> </w:t>
      </w:r>
      <w:r w:rsidRPr="00181FCD">
        <w:t>República</w:t>
      </w:r>
      <w:r w:rsidR="00F373A3" w:rsidRPr="00181FCD">
        <w:t xml:space="preserve"> </w:t>
      </w:r>
      <w:r w:rsidRPr="00181FCD">
        <w:t>de</w:t>
      </w:r>
      <w:r w:rsidR="00F373A3" w:rsidRPr="00181FCD">
        <w:t xml:space="preserve"> </w:t>
      </w:r>
      <w:r w:rsidRPr="00181FCD">
        <w:t>Bulgaria</w:t>
      </w:r>
      <w:r w:rsidR="00F373A3" w:rsidRPr="00181FCD">
        <w:t xml:space="preserve"> </w:t>
      </w:r>
      <w:r w:rsidRPr="00181FCD">
        <w:t>puede,</w:t>
      </w:r>
      <w:r w:rsidR="00F373A3" w:rsidRPr="00181FCD">
        <w:t xml:space="preserve"> </w:t>
      </w:r>
      <w:r w:rsidRPr="00181FCD">
        <w:t>mediante</w:t>
      </w:r>
      <w:r w:rsidR="00F373A3" w:rsidRPr="00181FCD">
        <w:t xml:space="preserve"> </w:t>
      </w:r>
      <w:r w:rsidRPr="00181FCD">
        <w:t>un</w:t>
      </w:r>
      <w:r w:rsidR="00F373A3" w:rsidRPr="00181FCD">
        <w:t xml:space="preserve"> </w:t>
      </w:r>
      <w:r w:rsidRPr="00181FCD">
        <w:t>decreto</w:t>
      </w:r>
      <w:r w:rsidR="00F373A3" w:rsidRPr="00181FCD">
        <w:t xml:space="preserve"> </w:t>
      </w:r>
      <w:r w:rsidRPr="00181FCD">
        <w:t>de</w:t>
      </w:r>
      <w:r w:rsidR="00F373A3" w:rsidRPr="00181FCD">
        <w:t xml:space="preserve"> </w:t>
      </w:r>
      <w:r w:rsidRPr="00181FCD">
        <w:t>indulto,</w:t>
      </w:r>
      <w:r w:rsidR="00F373A3" w:rsidRPr="00181FCD">
        <w:t xml:space="preserve"> </w:t>
      </w:r>
      <w:r w:rsidRPr="00181FCD">
        <w:t>condonar</w:t>
      </w:r>
      <w:r w:rsidR="00F373A3" w:rsidRPr="00181FCD">
        <w:t xml:space="preserve"> </w:t>
      </w:r>
      <w:r w:rsidRPr="00181FCD">
        <w:t>completamente</w:t>
      </w:r>
      <w:r w:rsidR="00F373A3" w:rsidRPr="00181FCD">
        <w:t xml:space="preserve"> </w:t>
      </w:r>
      <w:r w:rsidRPr="00181FCD">
        <w:t>o</w:t>
      </w:r>
      <w:r w:rsidR="00F373A3" w:rsidRPr="00181FCD">
        <w:t xml:space="preserve"> </w:t>
      </w:r>
      <w:r w:rsidRPr="00181FCD">
        <w:t>reducir</w:t>
      </w:r>
      <w:r w:rsidR="00F373A3" w:rsidRPr="00181FCD">
        <w:t xml:space="preserve"> </w:t>
      </w:r>
      <w:r w:rsidRPr="00181FCD">
        <w:t>la</w:t>
      </w:r>
      <w:r w:rsidR="00F373A3" w:rsidRPr="00181FCD">
        <w:t xml:space="preserve"> </w:t>
      </w:r>
      <w:r w:rsidRPr="00181FCD">
        <w:t>pena</w:t>
      </w:r>
      <w:r w:rsidR="00F373A3" w:rsidRPr="00181FCD">
        <w:t xml:space="preserve"> </w:t>
      </w:r>
      <w:r w:rsidRPr="00181FCD">
        <w:t>impuesta,</w:t>
      </w:r>
      <w:r w:rsidR="00F373A3" w:rsidRPr="00181FCD">
        <w:t xml:space="preserve"> </w:t>
      </w:r>
      <w:r w:rsidRPr="00181FCD">
        <w:t>así</w:t>
      </w:r>
      <w:r w:rsidR="00F373A3" w:rsidRPr="00181FCD">
        <w:t xml:space="preserve"> </w:t>
      </w:r>
      <w:r w:rsidRPr="00181FCD">
        <w:t>como</w:t>
      </w:r>
      <w:r w:rsidR="00F373A3" w:rsidRPr="00181FCD">
        <w:t xml:space="preserve"> </w:t>
      </w:r>
      <w:r w:rsidRPr="00181FCD">
        <w:t>indultar</w:t>
      </w:r>
      <w:r w:rsidR="00F373A3" w:rsidRPr="00181FCD">
        <w:t xml:space="preserve"> </w:t>
      </w:r>
      <w:r w:rsidRPr="00181FCD">
        <w:t>o</w:t>
      </w:r>
      <w:r w:rsidR="00F373A3" w:rsidRPr="00181FCD">
        <w:t xml:space="preserve"> </w:t>
      </w:r>
      <w:r w:rsidRPr="00181FCD">
        <w:t>conmutar</w:t>
      </w:r>
      <w:r w:rsidR="00F373A3" w:rsidRPr="00181FCD">
        <w:t xml:space="preserve"> </w:t>
      </w:r>
      <w:r w:rsidRPr="00181FCD">
        <w:t>la</w:t>
      </w:r>
      <w:r w:rsidR="00F373A3" w:rsidRPr="00181FCD">
        <w:t xml:space="preserve"> </w:t>
      </w:r>
      <w:r w:rsidRPr="00181FCD">
        <w:t>pena</w:t>
      </w:r>
      <w:r w:rsidR="00F373A3" w:rsidRPr="00181FCD">
        <w:t xml:space="preserve"> </w:t>
      </w:r>
      <w:r w:rsidRPr="00181FCD">
        <w:t>de</w:t>
      </w:r>
      <w:r w:rsidR="00F373A3" w:rsidRPr="00181FCD">
        <w:t xml:space="preserve"> </w:t>
      </w:r>
      <w:r w:rsidRPr="00181FCD">
        <w:t>cadena</w:t>
      </w:r>
      <w:r w:rsidR="00F373A3" w:rsidRPr="00181FCD">
        <w:t xml:space="preserve"> </w:t>
      </w:r>
      <w:r w:rsidRPr="00181FCD">
        <w:t>perpetua,</w:t>
      </w:r>
      <w:r w:rsidR="00F373A3" w:rsidRPr="00181FCD">
        <w:t xml:space="preserve"> </w:t>
      </w:r>
      <w:r w:rsidRPr="00181FCD">
        <w:t>con</w:t>
      </w:r>
      <w:r w:rsidR="00F373A3" w:rsidRPr="00181FCD">
        <w:t xml:space="preserve"> </w:t>
      </w:r>
      <w:r w:rsidRPr="00181FCD">
        <w:t>o</w:t>
      </w:r>
      <w:r w:rsidR="00F373A3" w:rsidRPr="00181FCD">
        <w:t xml:space="preserve"> </w:t>
      </w:r>
      <w:r w:rsidRPr="00181FCD">
        <w:t>sin</w:t>
      </w:r>
      <w:r w:rsidR="00F373A3" w:rsidRPr="00181FCD">
        <w:t xml:space="preserve"> </w:t>
      </w:r>
      <w:r w:rsidRPr="00181FCD">
        <w:t>libertad</w:t>
      </w:r>
      <w:r w:rsidR="00F373A3" w:rsidRPr="00181FCD">
        <w:t xml:space="preserve"> </w:t>
      </w:r>
      <w:r w:rsidRPr="00181FCD">
        <w:t>condicional.</w:t>
      </w:r>
    </w:p>
    <w:p w:rsidR="001937F4" w:rsidRPr="00181FCD" w:rsidRDefault="00E924E7" w:rsidP="00E924E7">
      <w:pPr>
        <w:pStyle w:val="H23G"/>
      </w:pPr>
      <w:r w:rsidRPr="00181FCD">
        <w:tab/>
      </w:r>
      <w:r w:rsidRPr="00181FCD">
        <w:tab/>
      </w:r>
      <w:r w:rsidR="001937F4" w:rsidRPr="00181FCD">
        <w:t>Respuesta</w:t>
      </w:r>
      <w:r w:rsidR="00F373A3" w:rsidRPr="00181FCD">
        <w:t xml:space="preserve"> </w:t>
      </w:r>
      <w:r w:rsidR="001937F4" w:rsidRPr="00181FCD">
        <w:t>a</w:t>
      </w:r>
      <w:r w:rsidR="00F373A3" w:rsidRPr="00181FCD">
        <w:t xml:space="preserve"> </w:t>
      </w:r>
      <w:r w:rsidR="001937F4" w:rsidRPr="00181FCD">
        <w:t>las</w:t>
      </w:r>
      <w:r w:rsidR="00F373A3" w:rsidRPr="00181FCD">
        <w:t xml:space="preserve"> </w:t>
      </w:r>
      <w:r w:rsidR="001937F4" w:rsidRPr="00181FCD">
        <w:t>cuestiones</w:t>
      </w:r>
      <w:r w:rsidR="00F373A3" w:rsidRPr="00181FCD">
        <w:t xml:space="preserve"> </w:t>
      </w:r>
      <w:r w:rsidR="001937F4" w:rsidRPr="00181FCD">
        <w:t>planteadas</w:t>
      </w:r>
      <w:r w:rsidR="00F373A3" w:rsidRPr="00181FCD">
        <w:t xml:space="preserve"> </w:t>
      </w:r>
      <w:r w:rsidR="001937F4" w:rsidRPr="00181FCD">
        <w:t>en</w:t>
      </w:r>
      <w:r w:rsidR="00F373A3" w:rsidRPr="00181FCD">
        <w:t xml:space="preserve"> </w:t>
      </w:r>
      <w:r w:rsidR="001937F4" w:rsidRPr="00181FCD">
        <w:t>el</w:t>
      </w:r>
      <w:r w:rsidR="00F373A3" w:rsidRPr="00181FCD">
        <w:t xml:space="preserve"> </w:t>
      </w:r>
      <w:r w:rsidR="001937F4" w:rsidRPr="00181FCD">
        <w:t>párrafo</w:t>
      </w:r>
      <w:r w:rsidR="00F373A3" w:rsidRPr="00181FCD">
        <w:t xml:space="preserve"> </w:t>
      </w:r>
      <w:r w:rsidR="001937F4" w:rsidRPr="00181FCD">
        <w:t>22</w:t>
      </w:r>
      <w:r w:rsidR="00F373A3" w:rsidRPr="00181FCD">
        <w:t xml:space="preserve"> </w:t>
      </w:r>
      <w:r w:rsidR="001937F4" w:rsidRPr="00181FCD">
        <w:t>de</w:t>
      </w:r>
      <w:r w:rsidR="00F373A3" w:rsidRPr="00181FCD">
        <w:t xml:space="preserve"> </w:t>
      </w:r>
      <w:r w:rsidR="001937F4" w:rsidRPr="00181FCD">
        <w:t>la</w:t>
      </w:r>
      <w:r w:rsidR="00F373A3" w:rsidRPr="00181FCD">
        <w:t xml:space="preserve"> </w:t>
      </w:r>
      <w:r w:rsidR="001937F4" w:rsidRPr="00181FCD">
        <w:t>lista</w:t>
      </w:r>
      <w:r w:rsidR="00F373A3" w:rsidRPr="00181FCD">
        <w:t xml:space="preserve"> </w:t>
      </w:r>
      <w:r w:rsidR="001937F4" w:rsidRPr="00181FCD">
        <w:t>de</w:t>
      </w:r>
      <w:r w:rsidR="00F373A3" w:rsidRPr="00181FCD">
        <w:t xml:space="preserve"> </w:t>
      </w:r>
      <w:r w:rsidR="001937F4" w:rsidRPr="00181FCD">
        <w:t>cuestiones</w:t>
      </w:r>
    </w:p>
    <w:p w:rsidR="001937F4" w:rsidRPr="00181FCD" w:rsidRDefault="001937F4" w:rsidP="00347B20">
      <w:pPr>
        <w:pStyle w:val="SingleTxtG"/>
        <w:suppressAutoHyphens/>
      </w:pPr>
      <w:r w:rsidRPr="00181FCD">
        <w:t>191.</w:t>
      </w:r>
      <w:r w:rsidRPr="00181FCD">
        <w:tab/>
        <w:t>Se</w:t>
      </w:r>
      <w:r w:rsidR="00F373A3" w:rsidRPr="00181FCD">
        <w:t xml:space="preserve"> </w:t>
      </w:r>
      <w:r w:rsidRPr="00181FCD">
        <w:t>han</w:t>
      </w:r>
      <w:r w:rsidR="00F373A3" w:rsidRPr="00181FCD">
        <w:t xml:space="preserve"> </w:t>
      </w:r>
      <w:r w:rsidRPr="00181FCD">
        <w:t>llevado</w:t>
      </w:r>
      <w:r w:rsidR="00F373A3" w:rsidRPr="00181FCD">
        <w:t xml:space="preserve"> </w:t>
      </w:r>
      <w:r w:rsidRPr="00181FCD">
        <w:t>a</w:t>
      </w:r>
      <w:r w:rsidR="00F373A3" w:rsidRPr="00181FCD">
        <w:t xml:space="preserve"> </w:t>
      </w:r>
      <w:r w:rsidRPr="00181FCD">
        <w:t>cabo</w:t>
      </w:r>
      <w:r w:rsidR="00F373A3" w:rsidRPr="00181FCD">
        <w:t xml:space="preserve"> </w:t>
      </w:r>
      <w:r w:rsidRPr="00181FCD">
        <w:t>22</w:t>
      </w:r>
      <w:r w:rsidR="00F373A3" w:rsidRPr="00181FCD">
        <w:t xml:space="preserve"> </w:t>
      </w:r>
      <w:r w:rsidRPr="00181FCD">
        <w:t>inspecciones</w:t>
      </w:r>
      <w:r w:rsidR="00F373A3" w:rsidRPr="00181FCD">
        <w:t xml:space="preserve"> </w:t>
      </w:r>
      <w:r w:rsidRPr="00181FCD">
        <w:t>en</w:t>
      </w:r>
      <w:r w:rsidR="00F373A3" w:rsidRPr="00181FCD">
        <w:t xml:space="preserve"> </w:t>
      </w:r>
      <w:r w:rsidRPr="00181FCD">
        <w:t>relación</w:t>
      </w:r>
      <w:r w:rsidR="00F373A3" w:rsidRPr="00181FCD">
        <w:t xml:space="preserve"> </w:t>
      </w:r>
      <w:r w:rsidRPr="00181FCD">
        <w:t>con</w:t>
      </w:r>
      <w:r w:rsidR="00F373A3" w:rsidRPr="00181FCD">
        <w:t xml:space="preserve"> </w:t>
      </w:r>
      <w:r w:rsidRPr="00181FCD">
        <w:t>los</w:t>
      </w:r>
      <w:r w:rsidR="00F373A3" w:rsidRPr="00181FCD">
        <w:t xml:space="preserve"> </w:t>
      </w:r>
      <w:r w:rsidRPr="00181FCD">
        <w:t>238</w:t>
      </w:r>
      <w:r w:rsidR="00F373A3" w:rsidRPr="00181FCD">
        <w:t xml:space="preserve"> </w:t>
      </w:r>
      <w:r w:rsidRPr="00181FCD">
        <w:t>casos</w:t>
      </w:r>
      <w:r w:rsidR="00F373A3" w:rsidRPr="00181FCD">
        <w:t xml:space="preserve"> </w:t>
      </w:r>
      <w:r w:rsidRPr="00181FCD">
        <w:t>notificados</w:t>
      </w:r>
      <w:r w:rsidR="00F373A3" w:rsidRPr="00181FCD">
        <w:t xml:space="preserve"> </w:t>
      </w:r>
      <w:r w:rsidRPr="00181FCD">
        <w:t>de</w:t>
      </w:r>
      <w:r w:rsidR="00F373A3" w:rsidRPr="00181FCD">
        <w:t xml:space="preserve"> </w:t>
      </w:r>
      <w:r w:rsidRPr="00181FCD">
        <w:t>muerte</w:t>
      </w:r>
      <w:r w:rsidR="00F373A3" w:rsidRPr="00181FCD">
        <w:t xml:space="preserve"> </w:t>
      </w:r>
      <w:r w:rsidRPr="00181FCD">
        <w:t>de</w:t>
      </w:r>
      <w:r w:rsidR="00F373A3" w:rsidRPr="00181FCD">
        <w:t xml:space="preserve"> </w:t>
      </w:r>
      <w:r w:rsidRPr="00181FCD">
        <w:t>niños</w:t>
      </w:r>
      <w:r w:rsidR="00F373A3" w:rsidRPr="00181FCD">
        <w:t xml:space="preserve"> </w:t>
      </w:r>
      <w:r w:rsidRPr="00181FCD">
        <w:t>en</w:t>
      </w:r>
      <w:r w:rsidR="00F373A3" w:rsidRPr="00181FCD">
        <w:t xml:space="preserve"> </w:t>
      </w:r>
      <w:r w:rsidRPr="00181FCD">
        <w:t>instituciones</w:t>
      </w:r>
      <w:r w:rsidR="00F373A3" w:rsidRPr="00181FCD">
        <w:t xml:space="preserve"> </w:t>
      </w:r>
      <w:r w:rsidRPr="00181FCD">
        <w:t>especializadas.</w:t>
      </w:r>
      <w:r w:rsidR="00F373A3" w:rsidRPr="00181FCD">
        <w:t xml:space="preserve"> </w:t>
      </w:r>
      <w:r w:rsidRPr="00181FCD">
        <w:t>En</w:t>
      </w:r>
      <w:r w:rsidR="00F373A3" w:rsidRPr="00181FCD">
        <w:t xml:space="preserve"> </w:t>
      </w:r>
      <w:r w:rsidRPr="00181FCD">
        <w:t>el</w:t>
      </w:r>
      <w:r w:rsidR="00F373A3" w:rsidRPr="00181FCD">
        <w:t xml:space="preserve"> </w:t>
      </w:r>
      <w:r w:rsidRPr="00181FCD">
        <w:t>curso</w:t>
      </w:r>
      <w:r w:rsidR="00F373A3" w:rsidRPr="00181FCD">
        <w:t xml:space="preserve"> </w:t>
      </w:r>
      <w:r w:rsidRPr="00181FCD">
        <w:t>de</w:t>
      </w:r>
      <w:r w:rsidR="00F373A3" w:rsidRPr="00181FCD">
        <w:t xml:space="preserve"> </w:t>
      </w:r>
      <w:r w:rsidRPr="00181FCD">
        <w:t>las</w:t>
      </w:r>
      <w:r w:rsidR="00F373A3" w:rsidRPr="00181FCD">
        <w:t xml:space="preserve"> </w:t>
      </w:r>
      <w:r w:rsidRPr="00181FCD">
        <w:t>mismas</w:t>
      </w:r>
      <w:r w:rsidR="00F373A3" w:rsidRPr="00181FCD">
        <w:t xml:space="preserve"> </w:t>
      </w:r>
      <w:r w:rsidRPr="00181FCD">
        <w:t>no</w:t>
      </w:r>
      <w:r w:rsidR="00F373A3" w:rsidRPr="00181FCD">
        <w:t xml:space="preserve"> </w:t>
      </w:r>
      <w:r w:rsidRPr="00181FCD">
        <w:t>se</w:t>
      </w:r>
      <w:r w:rsidR="00F373A3" w:rsidRPr="00181FCD">
        <w:t xml:space="preserve"> </w:t>
      </w:r>
      <w:r w:rsidRPr="00181FCD">
        <w:t>determinó</w:t>
      </w:r>
      <w:r w:rsidR="00F373A3" w:rsidRPr="00181FCD">
        <w:t xml:space="preserve"> </w:t>
      </w:r>
      <w:r w:rsidRPr="00181FCD">
        <w:t>que</w:t>
      </w:r>
      <w:r w:rsidR="00F373A3" w:rsidRPr="00181FCD">
        <w:t xml:space="preserve"> </w:t>
      </w:r>
      <w:r w:rsidRPr="00181FCD">
        <w:t>hubiera</w:t>
      </w:r>
      <w:r w:rsidR="00F373A3" w:rsidRPr="00181FCD">
        <w:t xml:space="preserve"> </w:t>
      </w:r>
      <w:r w:rsidRPr="00181FCD">
        <w:t>habido</w:t>
      </w:r>
      <w:r w:rsidR="00F373A3" w:rsidRPr="00181FCD">
        <w:t xml:space="preserve"> </w:t>
      </w:r>
      <w:r w:rsidRPr="00181FCD">
        <w:t>trato</w:t>
      </w:r>
      <w:r w:rsidR="00F373A3" w:rsidRPr="00181FCD">
        <w:t xml:space="preserve"> </w:t>
      </w:r>
      <w:r w:rsidRPr="00181FCD">
        <w:t>inhumano</w:t>
      </w:r>
      <w:r w:rsidR="00F373A3" w:rsidRPr="00181FCD">
        <w:t xml:space="preserve"> </w:t>
      </w:r>
      <w:r w:rsidRPr="00181FCD">
        <w:t>de</w:t>
      </w:r>
      <w:r w:rsidR="00F373A3" w:rsidRPr="00181FCD">
        <w:t xml:space="preserve"> </w:t>
      </w:r>
      <w:r w:rsidRPr="00181FCD">
        <w:t>los</w:t>
      </w:r>
      <w:r w:rsidR="00F373A3" w:rsidRPr="00181FCD">
        <w:t xml:space="preserve"> </w:t>
      </w:r>
      <w:r w:rsidRPr="00181FCD">
        <w:t>niños</w:t>
      </w:r>
      <w:r w:rsidR="00F373A3" w:rsidRPr="00181FCD">
        <w:t xml:space="preserve"> </w:t>
      </w:r>
      <w:r w:rsidRPr="00181FCD">
        <w:t>por</w:t>
      </w:r>
      <w:r w:rsidR="00F373A3" w:rsidRPr="00181FCD">
        <w:t xml:space="preserve"> </w:t>
      </w:r>
      <w:r w:rsidRPr="00181FCD">
        <w:t>parte</w:t>
      </w:r>
      <w:r w:rsidR="00F373A3" w:rsidRPr="00181FCD">
        <w:t xml:space="preserve"> </w:t>
      </w:r>
      <w:r w:rsidRPr="00181FCD">
        <w:t>del</w:t>
      </w:r>
      <w:r w:rsidR="00F373A3" w:rsidRPr="00181FCD">
        <w:t xml:space="preserve"> </w:t>
      </w:r>
      <w:r w:rsidRPr="00181FCD">
        <w:t>personal</w:t>
      </w:r>
      <w:r w:rsidR="00F373A3" w:rsidRPr="00181FCD">
        <w:t xml:space="preserve"> </w:t>
      </w:r>
      <w:r w:rsidRPr="00181FCD">
        <w:t>de</w:t>
      </w:r>
      <w:r w:rsidR="00F373A3" w:rsidRPr="00181FCD">
        <w:t xml:space="preserve"> </w:t>
      </w:r>
      <w:r w:rsidRPr="00181FCD">
        <w:t>las</w:t>
      </w:r>
      <w:r w:rsidR="00F373A3" w:rsidRPr="00181FCD">
        <w:t xml:space="preserve"> </w:t>
      </w:r>
      <w:r w:rsidRPr="00181FCD">
        <w:t>instituciones.</w:t>
      </w:r>
      <w:r w:rsidR="00F373A3" w:rsidRPr="00181FCD">
        <w:t xml:space="preserve"> </w:t>
      </w:r>
      <w:r w:rsidRPr="00181FCD">
        <w:t>En</w:t>
      </w:r>
      <w:r w:rsidR="00F373A3" w:rsidRPr="00181FCD">
        <w:t xml:space="preserve"> </w:t>
      </w:r>
      <w:r w:rsidRPr="00181FCD">
        <w:t>algunas</w:t>
      </w:r>
      <w:r w:rsidR="00F373A3" w:rsidRPr="00181FCD">
        <w:t xml:space="preserve"> </w:t>
      </w:r>
      <w:r w:rsidRPr="00181FCD">
        <w:t>inspecciones</w:t>
      </w:r>
      <w:r w:rsidR="00F373A3" w:rsidRPr="00181FCD">
        <w:t xml:space="preserve"> </w:t>
      </w:r>
      <w:r w:rsidRPr="00181FCD">
        <w:t>se</w:t>
      </w:r>
      <w:r w:rsidR="00F373A3" w:rsidRPr="00181FCD">
        <w:t xml:space="preserve"> </w:t>
      </w:r>
      <w:r w:rsidRPr="00181FCD">
        <w:t>llegó</w:t>
      </w:r>
      <w:r w:rsidR="00F373A3" w:rsidRPr="00181FCD">
        <w:t xml:space="preserve"> </w:t>
      </w:r>
      <w:r w:rsidRPr="00181FCD">
        <w:t>a</w:t>
      </w:r>
      <w:r w:rsidR="00F373A3" w:rsidRPr="00181FCD">
        <w:t xml:space="preserve"> </w:t>
      </w:r>
      <w:r w:rsidRPr="00181FCD">
        <w:t>la</w:t>
      </w:r>
      <w:r w:rsidR="00F373A3" w:rsidRPr="00181FCD">
        <w:t xml:space="preserve"> </w:t>
      </w:r>
      <w:r w:rsidRPr="00181FCD">
        <w:t>conclusión</w:t>
      </w:r>
      <w:r w:rsidR="00F373A3" w:rsidRPr="00181FCD">
        <w:t xml:space="preserve"> </w:t>
      </w:r>
      <w:r w:rsidRPr="00181FCD">
        <w:t>de</w:t>
      </w:r>
      <w:r w:rsidR="00F373A3" w:rsidRPr="00181FCD">
        <w:t xml:space="preserve"> </w:t>
      </w:r>
      <w:r w:rsidRPr="00181FCD">
        <w:t>que</w:t>
      </w:r>
      <w:r w:rsidR="00F373A3" w:rsidRPr="00181FCD">
        <w:t xml:space="preserve"> </w:t>
      </w:r>
      <w:r w:rsidRPr="00181FCD">
        <w:t>en</w:t>
      </w:r>
      <w:r w:rsidR="00F373A3" w:rsidRPr="00181FCD">
        <w:t xml:space="preserve"> </w:t>
      </w:r>
      <w:r w:rsidRPr="00181FCD">
        <w:t>ciertos</w:t>
      </w:r>
      <w:r w:rsidR="00F373A3" w:rsidRPr="00181FCD">
        <w:t xml:space="preserve"> </w:t>
      </w:r>
      <w:r w:rsidRPr="00181FCD">
        <w:t>casos</w:t>
      </w:r>
      <w:r w:rsidR="00F373A3" w:rsidRPr="00181FCD">
        <w:t xml:space="preserve"> </w:t>
      </w:r>
      <w:r w:rsidRPr="00181FCD">
        <w:t>los</w:t>
      </w:r>
      <w:r w:rsidR="00F373A3" w:rsidRPr="00181FCD">
        <w:t xml:space="preserve"> </w:t>
      </w:r>
      <w:r w:rsidRPr="00181FCD">
        <w:t>niños</w:t>
      </w:r>
      <w:r w:rsidR="00F373A3" w:rsidRPr="00181FCD">
        <w:t xml:space="preserve"> </w:t>
      </w:r>
      <w:r w:rsidRPr="00181FCD">
        <w:t>fueron</w:t>
      </w:r>
      <w:r w:rsidR="00F373A3" w:rsidRPr="00181FCD">
        <w:t xml:space="preserve"> </w:t>
      </w:r>
      <w:r w:rsidRPr="00181FCD">
        <w:t>enterrados</w:t>
      </w:r>
      <w:r w:rsidR="00F373A3" w:rsidRPr="00181FCD">
        <w:t xml:space="preserve"> </w:t>
      </w:r>
      <w:r w:rsidRPr="00181FCD">
        <w:t>sin</w:t>
      </w:r>
      <w:r w:rsidR="00F373A3" w:rsidRPr="00181FCD">
        <w:t xml:space="preserve"> </w:t>
      </w:r>
      <w:r w:rsidRPr="00181FCD">
        <w:t>realizarse</w:t>
      </w:r>
      <w:r w:rsidR="00F373A3" w:rsidRPr="00181FCD">
        <w:t xml:space="preserve"> </w:t>
      </w:r>
      <w:r w:rsidRPr="00181FCD">
        <w:t>una</w:t>
      </w:r>
      <w:r w:rsidR="00F373A3" w:rsidRPr="00181FCD">
        <w:t xml:space="preserve"> </w:t>
      </w:r>
      <w:r w:rsidRPr="00181FCD">
        <w:t>autopsia,</w:t>
      </w:r>
      <w:r w:rsidR="00F373A3" w:rsidRPr="00181FCD">
        <w:t xml:space="preserve"> </w:t>
      </w:r>
      <w:r w:rsidRPr="00181FCD">
        <w:t>lo</w:t>
      </w:r>
      <w:r w:rsidR="00F373A3" w:rsidRPr="00181FCD">
        <w:t xml:space="preserve"> </w:t>
      </w:r>
      <w:r w:rsidRPr="00181FCD">
        <w:t>que</w:t>
      </w:r>
      <w:r w:rsidR="00F373A3" w:rsidRPr="00181FCD">
        <w:t xml:space="preserve"> </w:t>
      </w:r>
      <w:r w:rsidRPr="00181FCD">
        <w:t>se</w:t>
      </w:r>
      <w:r w:rsidR="00F373A3" w:rsidRPr="00181FCD">
        <w:t xml:space="preserve"> </w:t>
      </w:r>
      <w:r w:rsidRPr="00181FCD">
        <w:t>atribuye</w:t>
      </w:r>
      <w:r w:rsidR="00F373A3" w:rsidRPr="00181FCD">
        <w:t xml:space="preserve"> </w:t>
      </w:r>
      <w:r w:rsidRPr="00181FCD">
        <w:t>a</w:t>
      </w:r>
      <w:r w:rsidR="00F373A3" w:rsidRPr="00181FCD">
        <w:t xml:space="preserve"> </w:t>
      </w:r>
      <w:r w:rsidRPr="00181FCD">
        <w:t>lagunas</w:t>
      </w:r>
      <w:r w:rsidR="00F373A3" w:rsidRPr="00181FCD">
        <w:t xml:space="preserve"> </w:t>
      </w:r>
      <w:r w:rsidRPr="00181FCD">
        <w:t>en</w:t>
      </w:r>
      <w:r w:rsidR="00F373A3" w:rsidRPr="00181FCD">
        <w:t xml:space="preserve"> </w:t>
      </w:r>
      <w:r w:rsidRPr="00181FCD">
        <w:t>las</w:t>
      </w:r>
      <w:r w:rsidR="00F373A3" w:rsidRPr="00181FCD">
        <w:t xml:space="preserve"> </w:t>
      </w:r>
      <w:r w:rsidRPr="00181FCD">
        <w:t>normas</w:t>
      </w:r>
      <w:r w:rsidR="00F373A3" w:rsidRPr="00181FCD">
        <w:t xml:space="preserve"> </w:t>
      </w:r>
      <w:r w:rsidRPr="00181FCD">
        <w:t>jurídicas</w:t>
      </w:r>
      <w:r w:rsidR="00F373A3" w:rsidRPr="00181FCD">
        <w:t xml:space="preserve"> </w:t>
      </w:r>
      <w:r w:rsidRPr="00181FCD">
        <w:t>vigentes.</w:t>
      </w:r>
      <w:r w:rsidR="00F373A3" w:rsidRPr="00181FCD">
        <w:t xml:space="preserve"> </w:t>
      </w:r>
      <w:r w:rsidRPr="00181FCD">
        <w:t>En</w:t>
      </w:r>
      <w:r w:rsidR="00F373A3" w:rsidRPr="00181FCD">
        <w:t xml:space="preserve"> </w:t>
      </w:r>
      <w:r w:rsidRPr="00181FCD">
        <w:t>consecuencia,</w:t>
      </w:r>
      <w:r w:rsidR="00F373A3" w:rsidRPr="00181FCD">
        <w:t xml:space="preserve"> </w:t>
      </w:r>
      <w:r w:rsidRPr="00181FCD">
        <w:t>se</w:t>
      </w:r>
      <w:r w:rsidR="00F373A3" w:rsidRPr="00181FCD">
        <w:t xml:space="preserve"> </w:t>
      </w:r>
      <w:r w:rsidRPr="00181FCD">
        <w:t>han</w:t>
      </w:r>
      <w:r w:rsidR="00F373A3" w:rsidRPr="00181FCD">
        <w:t xml:space="preserve"> </w:t>
      </w:r>
      <w:r w:rsidRPr="00181FCD">
        <w:t>introducido</w:t>
      </w:r>
      <w:r w:rsidR="00F373A3" w:rsidRPr="00181FCD">
        <w:t xml:space="preserve"> </w:t>
      </w:r>
      <w:r w:rsidRPr="00181FCD">
        <w:t>enmiendas</w:t>
      </w:r>
      <w:r w:rsidR="00F373A3" w:rsidRPr="00181FCD">
        <w:t xml:space="preserve"> </w:t>
      </w:r>
      <w:r w:rsidRPr="00181FCD">
        <w:t>en</w:t>
      </w:r>
      <w:r w:rsidR="00F373A3" w:rsidRPr="00181FCD">
        <w:t xml:space="preserve"> </w:t>
      </w:r>
      <w:r w:rsidRPr="00181FCD">
        <w:t>la</w:t>
      </w:r>
      <w:r w:rsidR="00F373A3" w:rsidRPr="00181FCD">
        <w:t xml:space="preserve"> </w:t>
      </w:r>
      <w:r w:rsidRPr="00181FCD">
        <w:t>Orden</w:t>
      </w:r>
      <w:r w:rsidR="00F373A3" w:rsidRPr="00181FCD">
        <w:t xml:space="preserve"> </w:t>
      </w:r>
      <w:r w:rsidRPr="00181FCD">
        <w:t>sobre</w:t>
      </w:r>
      <w:r w:rsidR="00F373A3" w:rsidRPr="00181FCD">
        <w:t xml:space="preserve"> </w:t>
      </w:r>
      <w:r w:rsidRPr="00181FCD">
        <w:t>los</w:t>
      </w:r>
      <w:r w:rsidR="00F373A3" w:rsidRPr="00181FCD">
        <w:t xml:space="preserve"> </w:t>
      </w:r>
      <w:r w:rsidRPr="00181FCD">
        <w:t>Criterios</w:t>
      </w:r>
      <w:r w:rsidR="00F373A3" w:rsidRPr="00181FCD">
        <w:t xml:space="preserve"> </w:t>
      </w:r>
      <w:r w:rsidRPr="00181FCD">
        <w:t>y</w:t>
      </w:r>
      <w:r w:rsidR="00F373A3" w:rsidRPr="00181FCD">
        <w:t xml:space="preserve"> </w:t>
      </w:r>
      <w:r w:rsidRPr="00181FCD">
        <w:t>las</w:t>
      </w:r>
      <w:r w:rsidR="00F373A3" w:rsidRPr="00181FCD">
        <w:t xml:space="preserve"> </w:t>
      </w:r>
      <w:r w:rsidRPr="00181FCD">
        <w:t>Normas</w:t>
      </w:r>
      <w:r w:rsidR="00F373A3" w:rsidRPr="00181FCD">
        <w:t xml:space="preserve"> </w:t>
      </w:r>
      <w:r w:rsidRPr="00181FCD">
        <w:t>relativos</w:t>
      </w:r>
      <w:r w:rsidR="00F373A3" w:rsidRPr="00181FCD">
        <w:t xml:space="preserve"> </w:t>
      </w:r>
      <w:r w:rsidRPr="00181FCD">
        <w:t>a</w:t>
      </w:r>
      <w:r w:rsidR="00F373A3" w:rsidRPr="00181FCD">
        <w:t xml:space="preserve"> </w:t>
      </w:r>
      <w:r w:rsidRPr="00181FCD">
        <w:t>los</w:t>
      </w:r>
      <w:r w:rsidR="00F373A3" w:rsidRPr="00181FCD">
        <w:t xml:space="preserve"> </w:t>
      </w:r>
      <w:r w:rsidRPr="00181FCD">
        <w:t>Servicios</w:t>
      </w:r>
      <w:r w:rsidR="00F373A3" w:rsidRPr="00181FCD">
        <w:t xml:space="preserve"> </w:t>
      </w:r>
      <w:r w:rsidRPr="00181FCD">
        <w:t>Sociales</w:t>
      </w:r>
      <w:r w:rsidR="00F373A3" w:rsidRPr="00181FCD">
        <w:t xml:space="preserve"> </w:t>
      </w:r>
      <w:r w:rsidRPr="00181FCD">
        <w:t>para</w:t>
      </w:r>
      <w:r w:rsidR="00F373A3" w:rsidRPr="00181FCD">
        <w:t xml:space="preserve"> </w:t>
      </w:r>
      <w:r w:rsidRPr="00181FCD">
        <w:t>Niños</w:t>
      </w:r>
      <w:r w:rsidR="00F373A3" w:rsidRPr="00181FCD">
        <w:t xml:space="preserve"> </w:t>
      </w:r>
      <w:r w:rsidRPr="00181FCD">
        <w:t>y</w:t>
      </w:r>
      <w:r w:rsidR="00F373A3" w:rsidRPr="00181FCD">
        <w:t xml:space="preserve"> </w:t>
      </w:r>
      <w:r w:rsidRPr="00181FCD">
        <w:t>se</w:t>
      </w:r>
      <w:r w:rsidR="00F373A3" w:rsidRPr="00181FCD">
        <w:t xml:space="preserve"> </w:t>
      </w:r>
      <w:r w:rsidRPr="00181FCD">
        <w:t>ha</w:t>
      </w:r>
      <w:r w:rsidR="00F373A3" w:rsidRPr="00181FCD">
        <w:t xml:space="preserve"> </w:t>
      </w:r>
      <w:r w:rsidRPr="00181FCD">
        <w:t>aprobado</w:t>
      </w:r>
      <w:r w:rsidR="00F373A3" w:rsidRPr="00181FCD">
        <w:t xml:space="preserve"> </w:t>
      </w:r>
      <w:r w:rsidRPr="00181FCD">
        <w:t>una</w:t>
      </w:r>
      <w:r w:rsidR="00F373A3" w:rsidRPr="00181FCD">
        <w:t xml:space="preserve"> </w:t>
      </w:r>
      <w:r w:rsidRPr="00181FCD">
        <w:t>nueva</w:t>
      </w:r>
      <w:r w:rsidR="00F373A3" w:rsidRPr="00181FCD">
        <w:t xml:space="preserve"> </w:t>
      </w:r>
      <w:r w:rsidRPr="00181FCD">
        <w:t>norma</w:t>
      </w:r>
      <w:r w:rsidR="00F373A3" w:rsidRPr="00181FCD">
        <w:t xml:space="preserve"> </w:t>
      </w:r>
      <w:r w:rsidRPr="00181FCD">
        <w:t>en</w:t>
      </w:r>
      <w:r w:rsidR="00F373A3" w:rsidRPr="00181FCD">
        <w:t xml:space="preserve"> </w:t>
      </w:r>
      <w:r w:rsidRPr="00181FCD">
        <w:t>relación</w:t>
      </w:r>
      <w:r w:rsidR="00F373A3" w:rsidRPr="00181FCD">
        <w:t xml:space="preserve"> </w:t>
      </w:r>
      <w:r w:rsidRPr="00181FCD">
        <w:t>con</w:t>
      </w:r>
      <w:r w:rsidR="00F373A3" w:rsidRPr="00181FCD">
        <w:t xml:space="preserve"> </w:t>
      </w:r>
      <w:r w:rsidRPr="00181FCD">
        <w:t>los</w:t>
      </w:r>
      <w:r w:rsidR="00F373A3" w:rsidRPr="00181FCD">
        <w:t xml:space="preserve"> </w:t>
      </w:r>
      <w:r w:rsidRPr="00181FCD">
        <w:t>servicios</w:t>
      </w:r>
      <w:r w:rsidR="00F373A3" w:rsidRPr="00181FCD">
        <w:t xml:space="preserve"> </w:t>
      </w:r>
      <w:r w:rsidRPr="00181FCD">
        <w:t>residenciales</w:t>
      </w:r>
      <w:r w:rsidR="00F373A3" w:rsidRPr="00181FCD">
        <w:t xml:space="preserve"> </w:t>
      </w:r>
      <w:r w:rsidRPr="00181FCD">
        <w:t>y</w:t>
      </w:r>
      <w:r w:rsidR="00F373A3" w:rsidRPr="00181FCD">
        <w:t xml:space="preserve"> </w:t>
      </w:r>
      <w:r w:rsidRPr="00181FCD">
        <w:t>los</w:t>
      </w:r>
      <w:r w:rsidR="00F373A3" w:rsidRPr="00181FCD">
        <w:t xml:space="preserve"> </w:t>
      </w:r>
      <w:r w:rsidRPr="00181FCD">
        <w:t>servicios</w:t>
      </w:r>
      <w:r w:rsidR="00F373A3" w:rsidRPr="00181FCD">
        <w:t xml:space="preserve"> </w:t>
      </w:r>
      <w:r w:rsidRPr="00181FCD">
        <w:t>en</w:t>
      </w:r>
      <w:r w:rsidR="00F373A3" w:rsidRPr="00181FCD">
        <w:t xml:space="preserve"> </w:t>
      </w:r>
      <w:r w:rsidRPr="00181FCD">
        <w:t>instituciones</w:t>
      </w:r>
      <w:r w:rsidR="00F373A3" w:rsidRPr="00181FCD">
        <w:t xml:space="preserve"> </w:t>
      </w:r>
      <w:r w:rsidRPr="00181FCD">
        <w:t>especializadas.</w:t>
      </w:r>
      <w:r w:rsidR="00F373A3" w:rsidRPr="00181FCD">
        <w:t xml:space="preserve"> </w:t>
      </w:r>
      <w:r w:rsidRPr="00181FCD">
        <w:t>En</w:t>
      </w:r>
      <w:r w:rsidR="00F373A3" w:rsidRPr="00181FCD">
        <w:t xml:space="preserve"> </w:t>
      </w:r>
      <w:r w:rsidRPr="00181FCD">
        <w:t>virtud</w:t>
      </w:r>
      <w:r w:rsidR="00F373A3" w:rsidRPr="00181FCD">
        <w:t xml:space="preserve"> </w:t>
      </w:r>
      <w:r w:rsidRPr="00181FCD">
        <w:t>de</w:t>
      </w:r>
      <w:r w:rsidR="00F373A3" w:rsidRPr="00181FCD">
        <w:t xml:space="preserve"> </w:t>
      </w:r>
      <w:r w:rsidRPr="00181FCD">
        <w:t>la</w:t>
      </w:r>
      <w:r w:rsidR="00F373A3" w:rsidRPr="00181FCD">
        <w:t xml:space="preserve"> </w:t>
      </w:r>
      <w:r w:rsidRPr="00181FCD">
        <w:t>nueva</w:t>
      </w:r>
      <w:r w:rsidR="00F373A3" w:rsidRPr="00181FCD">
        <w:t xml:space="preserve"> </w:t>
      </w:r>
      <w:r w:rsidRPr="00181FCD">
        <w:t>norma,</w:t>
      </w:r>
      <w:r w:rsidR="00F373A3" w:rsidRPr="00181FCD">
        <w:t xml:space="preserve"> </w:t>
      </w:r>
      <w:r w:rsidRPr="00181FCD">
        <w:t>toda</w:t>
      </w:r>
      <w:r w:rsidR="00F373A3" w:rsidRPr="00181FCD">
        <w:t xml:space="preserve"> </w:t>
      </w:r>
      <w:r w:rsidRPr="00181FCD">
        <w:t>institución</w:t>
      </w:r>
      <w:r w:rsidR="00F373A3" w:rsidRPr="00181FCD">
        <w:t xml:space="preserve"> </w:t>
      </w:r>
      <w:r w:rsidRPr="00181FCD">
        <w:t>especializada</w:t>
      </w:r>
      <w:r w:rsidR="00F373A3" w:rsidRPr="00181FCD">
        <w:t xml:space="preserve"> </w:t>
      </w:r>
      <w:r w:rsidRPr="00181FCD">
        <w:t>o</w:t>
      </w:r>
      <w:r w:rsidR="00F373A3" w:rsidRPr="00181FCD">
        <w:t xml:space="preserve"> </w:t>
      </w:r>
      <w:r w:rsidRPr="00181FCD">
        <w:t>servicio</w:t>
      </w:r>
      <w:r w:rsidR="00F373A3" w:rsidRPr="00181FCD">
        <w:t xml:space="preserve"> </w:t>
      </w:r>
      <w:r w:rsidRPr="00181FCD">
        <w:t>residencial</w:t>
      </w:r>
      <w:r w:rsidR="00F373A3" w:rsidRPr="00181FCD">
        <w:t xml:space="preserve"> </w:t>
      </w:r>
      <w:r w:rsidRPr="00181FCD">
        <w:t>deberá</w:t>
      </w:r>
      <w:r w:rsidR="00F373A3" w:rsidRPr="00181FCD">
        <w:t xml:space="preserve"> </w:t>
      </w:r>
      <w:r w:rsidRPr="00181FCD">
        <w:t>elaborar</w:t>
      </w:r>
      <w:r w:rsidR="00F373A3" w:rsidRPr="00181FCD">
        <w:t xml:space="preserve"> </w:t>
      </w:r>
      <w:r w:rsidRPr="00181FCD">
        <w:t>procedimientos</w:t>
      </w:r>
      <w:r w:rsidR="00F373A3" w:rsidRPr="00181FCD">
        <w:t xml:space="preserve"> </w:t>
      </w:r>
      <w:r w:rsidRPr="00181FCD">
        <w:t>para</w:t>
      </w:r>
      <w:r w:rsidR="00F373A3" w:rsidRPr="00181FCD">
        <w:t xml:space="preserve"> </w:t>
      </w:r>
      <w:r w:rsidRPr="00181FCD">
        <w:t>la</w:t>
      </w:r>
      <w:r w:rsidR="00F373A3" w:rsidRPr="00181FCD">
        <w:t xml:space="preserve"> </w:t>
      </w:r>
      <w:r w:rsidRPr="00181FCD">
        <w:t>inscripción</w:t>
      </w:r>
      <w:r w:rsidR="00F373A3" w:rsidRPr="00181FCD">
        <w:t xml:space="preserve"> </w:t>
      </w:r>
      <w:r w:rsidRPr="00181FCD">
        <w:t>de</w:t>
      </w:r>
      <w:r w:rsidR="00F373A3" w:rsidRPr="00181FCD">
        <w:t xml:space="preserve"> </w:t>
      </w:r>
      <w:r w:rsidRPr="00181FCD">
        <w:t>los</w:t>
      </w:r>
      <w:r w:rsidR="00F373A3" w:rsidRPr="00181FCD">
        <w:t xml:space="preserve"> </w:t>
      </w:r>
      <w:r w:rsidRPr="00181FCD">
        <w:t>casos</w:t>
      </w:r>
      <w:r w:rsidR="00F373A3" w:rsidRPr="00181FCD">
        <w:t xml:space="preserve"> </w:t>
      </w:r>
      <w:r w:rsidRPr="00181FCD">
        <w:t>de</w:t>
      </w:r>
      <w:r w:rsidR="00F373A3" w:rsidRPr="00181FCD">
        <w:t xml:space="preserve"> </w:t>
      </w:r>
      <w:r w:rsidRPr="00181FCD">
        <w:t>muerte</w:t>
      </w:r>
      <w:r w:rsidR="00F373A3" w:rsidRPr="00181FCD">
        <w:t xml:space="preserve"> </w:t>
      </w:r>
      <w:r w:rsidRPr="00181FCD">
        <w:t>y</w:t>
      </w:r>
      <w:r w:rsidR="00F373A3" w:rsidRPr="00181FCD">
        <w:t xml:space="preserve"> </w:t>
      </w:r>
      <w:r w:rsidRPr="00181FCD">
        <w:t>seguir</w:t>
      </w:r>
      <w:r w:rsidR="00F373A3" w:rsidRPr="00181FCD">
        <w:t xml:space="preserve"> </w:t>
      </w:r>
      <w:r w:rsidRPr="00181FCD">
        <w:t>una</w:t>
      </w:r>
      <w:r w:rsidR="00F373A3" w:rsidRPr="00181FCD">
        <w:t xml:space="preserve"> </w:t>
      </w:r>
      <w:r w:rsidRPr="00181FCD">
        <w:t>secuencia</w:t>
      </w:r>
      <w:r w:rsidR="00F373A3" w:rsidRPr="00181FCD">
        <w:t xml:space="preserve"> </w:t>
      </w:r>
      <w:r w:rsidRPr="00181FCD">
        <w:t>de</w:t>
      </w:r>
      <w:r w:rsidR="00F373A3" w:rsidRPr="00181FCD">
        <w:t xml:space="preserve"> </w:t>
      </w:r>
      <w:r w:rsidRPr="00181FCD">
        <w:t>notificaciones</w:t>
      </w:r>
      <w:r w:rsidR="00F373A3" w:rsidRPr="00181FCD">
        <w:t xml:space="preserve"> </w:t>
      </w:r>
      <w:r w:rsidRPr="00181FCD">
        <w:t>a</w:t>
      </w:r>
      <w:r w:rsidR="00F373A3" w:rsidRPr="00181FCD">
        <w:t xml:space="preserve"> </w:t>
      </w:r>
      <w:r w:rsidRPr="00181FCD">
        <w:t>las</w:t>
      </w:r>
      <w:r w:rsidR="00F373A3" w:rsidRPr="00181FCD">
        <w:t xml:space="preserve"> </w:t>
      </w:r>
      <w:r w:rsidRPr="00181FCD">
        <w:t>autoridades</w:t>
      </w:r>
      <w:r w:rsidR="00F373A3" w:rsidRPr="00181FCD">
        <w:t xml:space="preserve"> </w:t>
      </w:r>
      <w:r w:rsidRPr="00181FCD">
        <w:t>competentes,</w:t>
      </w:r>
      <w:r w:rsidR="00F373A3" w:rsidRPr="00181FCD">
        <w:t xml:space="preserve"> </w:t>
      </w:r>
      <w:r w:rsidRPr="00181FCD">
        <w:t>a</w:t>
      </w:r>
      <w:r w:rsidR="00F373A3" w:rsidRPr="00181FCD">
        <w:t xml:space="preserve"> </w:t>
      </w:r>
      <w:r w:rsidRPr="00181FCD">
        <w:t>los</w:t>
      </w:r>
      <w:r w:rsidR="00F373A3" w:rsidRPr="00181FCD">
        <w:t xml:space="preserve"> </w:t>
      </w:r>
      <w:r w:rsidRPr="00181FCD">
        <w:t>padres,</w:t>
      </w:r>
      <w:r w:rsidR="00F373A3" w:rsidRPr="00181FCD">
        <w:t xml:space="preserve"> </w:t>
      </w:r>
      <w:r w:rsidRPr="00181FCD">
        <w:t>tutores</w:t>
      </w:r>
      <w:r w:rsidR="00F373A3" w:rsidRPr="00181FCD">
        <w:t xml:space="preserve"> </w:t>
      </w:r>
      <w:r w:rsidRPr="00181FCD">
        <w:t>o</w:t>
      </w:r>
      <w:r w:rsidR="00F373A3" w:rsidRPr="00181FCD">
        <w:t xml:space="preserve"> </w:t>
      </w:r>
      <w:r w:rsidRPr="00181FCD">
        <w:t>administradores</w:t>
      </w:r>
      <w:r w:rsidR="00F373A3" w:rsidRPr="00181FCD">
        <w:t xml:space="preserve"> </w:t>
      </w:r>
      <w:r w:rsidRPr="00181FCD">
        <w:t>fiduciarios</w:t>
      </w:r>
      <w:r w:rsidR="00F373A3" w:rsidRPr="00181FCD">
        <w:t xml:space="preserve"> </w:t>
      </w:r>
      <w:r w:rsidRPr="00181FCD">
        <w:t>y</w:t>
      </w:r>
      <w:r w:rsidR="00F373A3" w:rsidRPr="00181FCD">
        <w:t xml:space="preserve"> </w:t>
      </w:r>
      <w:r w:rsidRPr="00181FCD">
        <w:t>a</w:t>
      </w:r>
      <w:r w:rsidR="00F373A3" w:rsidRPr="00181FCD">
        <w:t xml:space="preserve"> </w:t>
      </w:r>
      <w:r w:rsidRPr="00181FCD">
        <w:t>la</w:t>
      </w:r>
      <w:r w:rsidR="00F373A3" w:rsidRPr="00181FCD">
        <w:t xml:space="preserve"> </w:t>
      </w:r>
      <w:r w:rsidRPr="00181FCD">
        <w:t>oficina</w:t>
      </w:r>
      <w:r w:rsidR="00F373A3" w:rsidRPr="00181FCD">
        <w:t xml:space="preserve"> </w:t>
      </w:r>
      <w:r w:rsidRPr="00181FCD">
        <w:t>respectiva</w:t>
      </w:r>
      <w:r w:rsidR="00F373A3" w:rsidRPr="00181FCD">
        <w:t xml:space="preserve"> </w:t>
      </w:r>
      <w:r w:rsidRPr="00181FCD">
        <w:t>de</w:t>
      </w:r>
      <w:r w:rsidR="00F373A3" w:rsidRPr="00181FCD">
        <w:t xml:space="preserve"> </w:t>
      </w:r>
      <w:r w:rsidRPr="00181FCD">
        <w:t>la</w:t>
      </w:r>
      <w:r w:rsidR="00F373A3" w:rsidRPr="00181FCD">
        <w:t xml:space="preserve"> </w:t>
      </w:r>
      <w:r w:rsidRPr="00181FCD">
        <w:t>Dirección</w:t>
      </w:r>
      <w:r w:rsidR="00F373A3" w:rsidRPr="00181FCD">
        <w:t xml:space="preserve"> </w:t>
      </w:r>
      <w:r w:rsidRPr="00181FCD">
        <w:t>de</w:t>
      </w:r>
      <w:r w:rsidR="00F373A3" w:rsidRPr="00181FCD">
        <w:t xml:space="preserve"> </w:t>
      </w:r>
      <w:r w:rsidRPr="00181FCD">
        <w:t>Asistencia</w:t>
      </w:r>
      <w:r w:rsidR="00F373A3" w:rsidRPr="00181FCD">
        <w:t xml:space="preserve"> </w:t>
      </w:r>
      <w:r w:rsidRPr="00181FCD">
        <w:t>Social.</w:t>
      </w:r>
    </w:p>
    <w:p w:rsidR="001937F4" w:rsidRPr="00181FCD" w:rsidRDefault="001937F4" w:rsidP="00347B20">
      <w:pPr>
        <w:pStyle w:val="SingleTxtG"/>
        <w:suppressAutoHyphens/>
      </w:pPr>
      <w:r w:rsidRPr="00181FCD">
        <w:t>192.</w:t>
      </w:r>
      <w:r w:rsidRPr="00181FCD">
        <w:tab/>
        <w:t>Además,</w:t>
      </w:r>
      <w:r w:rsidR="00F373A3" w:rsidRPr="00181FCD">
        <w:t xml:space="preserve"> </w:t>
      </w:r>
      <w:r w:rsidRPr="00181FCD">
        <w:t>se</w:t>
      </w:r>
      <w:r w:rsidR="00F373A3" w:rsidRPr="00181FCD">
        <w:t xml:space="preserve"> </w:t>
      </w:r>
      <w:r w:rsidRPr="00181FCD">
        <w:t>ha</w:t>
      </w:r>
      <w:r w:rsidR="00F373A3" w:rsidRPr="00181FCD">
        <w:t xml:space="preserve"> </w:t>
      </w:r>
      <w:r w:rsidRPr="00181FCD">
        <w:t>aprobado</w:t>
      </w:r>
      <w:r w:rsidR="00F373A3" w:rsidRPr="00181FCD">
        <w:t xml:space="preserve"> </w:t>
      </w:r>
      <w:r w:rsidRPr="00181FCD">
        <w:t>y</w:t>
      </w:r>
      <w:r w:rsidR="00F373A3" w:rsidRPr="00181FCD">
        <w:t xml:space="preserve"> </w:t>
      </w:r>
      <w:r w:rsidRPr="00181FCD">
        <w:t>puesto</w:t>
      </w:r>
      <w:r w:rsidR="00F373A3" w:rsidRPr="00181FCD">
        <w:t xml:space="preserve"> </w:t>
      </w:r>
      <w:r w:rsidRPr="00181FCD">
        <w:t>en</w:t>
      </w:r>
      <w:r w:rsidR="00F373A3" w:rsidRPr="00181FCD">
        <w:t xml:space="preserve"> </w:t>
      </w:r>
      <w:r w:rsidRPr="00181FCD">
        <w:t>práctica</w:t>
      </w:r>
      <w:r w:rsidR="00F373A3" w:rsidRPr="00181FCD">
        <w:t xml:space="preserve"> </w:t>
      </w:r>
      <w:r w:rsidRPr="00181FCD">
        <w:t>un</w:t>
      </w:r>
      <w:r w:rsidR="00F373A3" w:rsidRPr="00181FCD">
        <w:t xml:space="preserve"> </w:t>
      </w:r>
      <w:r w:rsidRPr="00181FCD">
        <w:t>Mecanismo</w:t>
      </w:r>
      <w:r w:rsidR="00F373A3" w:rsidRPr="00181FCD">
        <w:t xml:space="preserve"> </w:t>
      </w:r>
      <w:r w:rsidRPr="00181FCD">
        <w:t>Nacional</w:t>
      </w:r>
      <w:r w:rsidR="00F373A3" w:rsidRPr="00181FCD">
        <w:t xml:space="preserve"> </w:t>
      </w:r>
      <w:r w:rsidRPr="00181FCD">
        <w:t>de</w:t>
      </w:r>
      <w:r w:rsidR="00F373A3" w:rsidRPr="00181FCD">
        <w:t xml:space="preserve"> </w:t>
      </w:r>
      <w:r w:rsidRPr="00181FCD">
        <w:t>Coordinación</w:t>
      </w:r>
      <w:r w:rsidR="00F373A3" w:rsidRPr="00181FCD">
        <w:t xml:space="preserve"> </w:t>
      </w:r>
      <w:r w:rsidRPr="00181FCD">
        <w:t>de</w:t>
      </w:r>
      <w:r w:rsidR="00F373A3" w:rsidRPr="00181FCD">
        <w:t xml:space="preserve"> </w:t>
      </w:r>
      <w:r w:rsidRPr="00181FCD">
        <w:t>la</w:t>
      </w:r>
      <w:r w:rsidR="00F373A3" w:rsidRPr="00181FCD">
        <w:t xml:space="preserve"> </w:t>
      </w:r>
      <w:r w:rsidRPr="00181FCD">
        <w:t>Interacción</w:t>
      </w:r>
      <w:r w:rsidR="00F373A3" w:rsidRPr="00181FCD">
        <w:t xml:space="preserve"> </w:t>
      </w:r>
      <w:r w:rsidRPr="00181FCD">
        <w:t>en</w:t>
      </w:r>
      <w:r w:rsidR="00F373A3" w:rsidRPr="00181FCD">
        <w:t xml:space="preserve"> </w:t>
      </w:r>
      <w:r w:rsidRPr="00181FCD">
        <w:t>el</w:t>
      </w:r>
      <w:r w:rsidR="00F373A3" w:rsidRPr="00181FCD">
        <w:t xml:space="preserve"> </w:t>
      </w:r>
      <w:r w:rsidRPr="00181FCD">
        <w:t>Trabajo</w:t>
      </w:r>
      <w:r w:rsidR="00F373A3" w:rsidRPr="00181FCD">
        <w:t xml:space="preserve"> </w:t>
      </w:r>
      <w:r w:rsidRPr="00181FCD">
        <w:t>en</w:t>
      </w:r>
      <w:r w:rsidR="00F373A3" w:rsidRPr="00181FCD">
        <w:t xml:space="preserve"> </w:t>
      </w:r>
      <w:r w:rsidRPr="00181FCD">
        <w:t>los</w:t>
      </w:r>
      <w:r w:rsidR="00F373A3" w:rsidRPr="00181FCD">
        <w:t xml:space="preserve"> </w:t>
      </w:r>
      <w:r w:rsidRPr="00181FCD">
        <w:t>casos</w:t>
      </w:r>
      <w:r w:rsidR="00F373A3" w:rsidRPr="00181FCD">
        <w:t xml:space="preserve"> </w:t>
      </w:r>
      <w:r w:rsidRPr="00181FCD">
        <w:t>de</w:t>
      </w:r>
      <w:r w:rsidR="00F373A3" w:rsidRPr="00181FCD">
        <w:t xml:space="preserve"> </w:t>
      </w:r>
      <w:r w:rsidRPr="00181FCD">
        <w:t>niños</w:t>
      </w:r>
      <w:r w:rsidR="00F373A3" w:rsidRPr="00181FCD">
        <w:t xml:space="preserve"> </w:t>
      </w:r>
      <w:r w:rsidRPr="00181FCD">
        <w:t>víctimas</w:t>
      </w:r>
      <w:r w:rsidR="00F373A3" w:rsidRPr="00181FCD">
        <w:t xml:space="preserve"> </w:t>
      </w:r>
      <w:r w:rsidRPr="00181FCD">
        <w:t>o</w:t>
      </w:r>
      <w:r w:rsidR="00F373A3" w:rsidRPr="00181FCD">
        <w:t xml:space="preserve"> </w:t>
      </w:r>
      <w:r w:rsidRPr="00181FCD">
        <w:t>expuestos</w:t>
      </w:r>
      <w:r w:rsidR="00F373A3" w:rsidRPr="00181FCD">
        <w:t xml:space="preserve"> </w:t>
      </w:r>
      <w:r w:rsidRPr="00181FCD">
        <w:t>a</w:t>
      </w:r>
      <w:r w:rsidR="00F373A3" w:rsidRPr="00181FCD">
        <w:t xml:space="preserve"> </w:t>
      </w:r>
      <w:r w:rsidRPr="00181FCD">
        <w:t>riesgo</w:t>
      </w:r>
      <w:r w:rsidR="00F373A3" w:rsidRPr="00181FCD">
        <w:t xml:space="preserve"> </w:t>
      </w:r>
      <w:r w:rsidRPr="00181FCD">
        <w:t>de</w:t>
      </w:r>
      <w:r w:rsidR="00F373A3" w:rsidRPr="00181FCD">
        <w:t xml:space="preserve"> </w:t>
      </w:r>
      <w:r w:rsidRPr="00181FCD">
        <w:t>violencia</w:t>
      </w:r>
      <w:r w:rsidR="00F373A3" w:rsidRPr="00181FCD">
        <w:t xml:space="preserve"> </w:t>
      </w:r>
      <w:r w:rsidRPr="00181FCD">
        <w:t>y</w:t>
      </w:r>
      <w:r w:rsidR="00F373A3" w:rsidRPr="00181FCD">
        <w:t xml:space="preserve"> </w:t>
      </w:r>
      <w:r w:rsidRPr="00181FCD">
        <w:t>para</w:t>
      </w:r>
      <w:r w:rsidR="00F373A3" w:rsidRPr="00181FCD">
        <w:t xml:space="preserve"> </w:t>
      </w:r>
      <w:r w:rsidRPr="00181FCD">
        <w:t>la</w:t>
      </w:r>
      <w:r w:rsidR="00F373A3" w:rsidRPr="00181FCD">
        <w:t xml:space="preserve"> </w:t>
      </w:r>
      <w:r w:rsidRPr="00181FCD">
        <w:t>intervención</w:t>
      </w:r>
      <w:r w:rsidR="00672EC2" w:rsidRPr="00181FCD">
        <w:t xml:space="preserve"> </w:t>
      </w:r>
      <w:r w:rsidRPr="00181FCD">
        <w:t>en</w:t>
      </w:r>
      <w:r w:rsidR="00F373A3" w:rsidRPr="00181FCD">
        <w:t xml:space="preserve"> </w:t>
      </w:r>
      <w:r w:rsidRPr="00181FCD">
        <w:t>los</w:t>
      </w:r>
      <w:r w:rsidR="00F373A3" w:rsidRPr="00181FCD">
        <w:t xml:space="preserve"> </w:t>
      </w:r>
      <w:r w:rsidRPr="00181FCD">
        <w:t>casos</w:t>
      </w:r>
      <w:r w:rsidR="00F373A3" w:rsidRPr="00181FCD">
        <w:t xml:space="preserve"> </w:t>
      </w:r>
      <w:r w:rsidRPr="00181FCD">
        <w:t>de</w:t>
      </w:r>
      <w:r w:rsidR="00F373A3" w:rsidRPr="00181FCD">
        <w:t xml:space="preserve"> </w:t>
      </w:r>
      <w:r w:rsidRPr="00181FCD">
        <w:t>crisis.</w:t>
      </w:r>
      <w:r w:rsidR="00F373A3" w:rsidRPr="00181FCD">
        <w:t xml:space="preserve"> </w:t>
      </w:r>
      <w:r w:rsidRPr="00181FCD">
        <w:t>De</w:t>
      </w:r>
      <w:r w:rsidR="00F373A3" w:rsidRPr="00181FCD">
        <w:t xml:space="preserve"> </w:t>
      </w:r>
      <w:r w:rsidRPr="00181FCD">
        <w:t>acuerdo</w:t>
      </w:r>
      <w:r w:rsidR="00F373A3" w:rsidRPr="00181FCD">
        <w:t xml:space="preserve"> </w:t>
      </w:r>
      <w:r w:rsidRPr="00181FCD">
        <w:t>con</w:t>
      </w:r>
      <w:r w:rsidR="00F373A3" w:rsidRPr="00181FCD">
        <w:t xml:space="preserve"> </w:t>
      </w:r>
      <w:r w:rsidRPr="00181FCD">
        <w:t>este</w:t>
      </w:r>
      <w:r w:rsidR="00F373A3" w:rsidRPr="00181FCD">
        <w:t xml:space="preserve"> </w:t>
      </w:r>
      <w:r w:rsidRPr="00181FCD">
        <w:t>Mecanismo,</w:t>
      </w:r>
      <w:r w:rsidR="00F373A3" w:rsidRPr="00181FCD">
        <w:t xml:space="preserve"> </w:t>
      </w:r>
      <w:r w:rsidRPr="00181FCD">
        <w:t>todas</w:t>
      </w:r>
      <w:r w:rsidR="00F373A3" w:rsidRPr="00181FCD">
        <w:t xml:space="preserve"> </w:t>
      </w:r>
      <w:r w:rsidRPr="00181FCD">
        <w:t>las</w:t>
      </w:r>
      <w:r w:rsidR="00F373A3" w:rsidRPr="00181FCD">
        <w:t xml:space="preserve"> </w:t>
      </w:r>
      <w:r w:rsidRPr="00181FCD">
        <w:t>instituciones,</w:t>
      </w:r>
      <w:r w:rsidR="00F373A3" w:rsidRPr="00181FCD">
        <w:t xml:space="preserve"> </w:t>
      </w:r>
      <w:r w:rsidRPr="00181FCD">
        <w:t>representantes</w:t>
      </w:r>
      <w:r w:rsidR="00F373A3" w:rsidRPr="00181FCD">
        <w:t xml:space="preserve"> </w:t>
      </w:r>
      <w:r w:rsidRPr="00181FCD">
        <w:t>de</w:t>
      </w:r>
      <w:r w:rsidR="00F373A3" w:rsidRPr="00181FCD">
        <w:t xml:space="preserve"> </w:t>
      </w:r>
      <w:r w:rsidRPr="00181FCD">
        <w:t>organismos</w:t>
      </w:r>
      <w:r w:rsidR="00F373A3" w:rsidRPr="00181FCD">
        <w:t xml:space="preserve"> </w:t>
      </w:r>
      <w:r w:rsidRPr="00181FCD">
        <w:t>ejecutivos</w:t>
      </w:r>
      <w:r w:rsidR="00F373A3" w:rsidRPr="00181FCD">
        <w:t xml:space="preserve"> </w:t>
      </w:r>
      <w:r w:rsidRPr="00181FCD">
        <w:t>y</w:t>
      </w:r>
      <w:r w:rsidR="00F373A3" w:rsidRPr="00181FCD">
        <w:t xml:space="preserve"> </w:t>
      </w:r>
      <w:r w:rsidRPr="00181FCD">
        <w:t>proveedores</w:t>
      </w:r>
      <w:r w:rsidR="00F373A3" w:rsidRPr="00181FCD">
        <w:t xml:space="preserve"> </w:t>
      </w:r>
      <w:r w:rsidRPr="00181FCD">
        <w:t>de</w:t>
      </w:r>
      <w:r w:rsidR="00F373A3" w:rsidRPr="00181FCD">
        <w:t xml:space="preserve"> </w:t>
      </w:r>
      <w:r w:rsidRPr="00181FCD">
        <w:t>servicios</w:t>
      </w:r>
      <w:r w:rsidR="00F373A3" w:rsidRPr="00181FCD">
        <w:t xml:space="preserve"> </w:t>
      </w:r>
      <w:r w:rsidRPr="00181FCD">
        <w:t>sociales</w:t>
      </w:r>
      <w:r w:rsidR="00F373A3" w:rsidRPr="00181FCD">
        <w:t xml:space="preserve"> </w:t>
      </w:r>
      <w:r w:rsidRPr="00181FCD">
        <w:t>deben</w:t>
      </w:r>
      <w:r w:rsidR="00F373A3" w:rsidRPr="00181FCD">
        <w:t xml:space="preserve"> </w:t>
      </w:r>
      <w:r w:rsidRPr="00181FCD">
        <w:t>colaborar</w:t>
      </w:r>
      <w:r w:rsidR="00F373A3" w:rsidRPr="00181FCD">
        <w:t xml:space="preserve"> </w:t>
      </w:r>
      <w:r w:rsidRPr="00181FCD">
        <w:t>conforme</w:t>
      </w:r>
      <w:r w:rsidR="00F373A3" w:rsidRPr="00181FCD">
        <w:t xml:space="preserve"> </w:t>
      </w:r>
      <w:r w:rsidRPr="00181FCD">
        <w:t>al</w:t>
      </w:r>
      <w:r w:rsidR="00F373A3" w:rsidRPr="00181FCD">
        <w:t xml:space="preserve"> </w:t>
      </w:r>
      <w:r w:rsidRPr="00181FCD">
        <w:t>procedimiento</w:t>
      </w:r>
      <w:r w:rsidR="00F373A3" w:rsidRPr="00181FCD">
        <w:t xml:space="preserve"> </w:t>
      </w:r>
      <w:r w:rsidRPr="00181FCD">
        <w:t>específico</w:t>
      </w:r>
      <w:r w:rsidR="00F373A3" w:rsidRPr="00181FCD">
        <w:t xml:space="preserve"> </w:t>
      </w:r>
      <w:r w:rsidRPr="00181FCD">
        <w:t>prescrito.</w:t>
      </w:r>
    </w:p>
    <w:p w:rsidR="001937F4" w:rsidRPr="00181FCD" w:rsidRDefault="001937F4" w:rsidP="00347B20">
      <w:pPr>
        <w:pStyle w:val="SingleTxtG"/>
        <w:suppressAutoHyphens/>
      </w:pPr>
      <w:r w:rsidRPr="00181FCD">
        <w:t>193.</w:t>
      </w:r>
      <w:r w:rsidRPr="00181FCD">
        <w:tab/>
        <w:t>El</w:t>
      </w:r>
      <w:r w:rsidR="00F373A3" w:rsidRPr="00181FCD">
        <w:t xml:space="preserve"> </w:t>
      </w:r>
      <w:r w:rsidRPr="00181FCD">
        <w:t>sistema</w:t>
      </w:r>
      <w:r w:rsidR="00F373A3" w:rsidRPr="00181FCD">
        <w:t xml:space="preserve"> </w:t>
      </w:r>
      <w:r w:rsidRPr="00181FCD">
        <w:t>de</w:t>
      </w:r>
      <w:r w:rsidR="00F373A3" w:rsidRPr="00181FCD">
        <w:t xml:space="preserve"> </w:t>
      </w:r>
      <w:r w:rsidRPr="00181FCD">
        <w:t>servicios</w:t>
      </w:r>
      <w:r w:rsidR="00F373A3" w:rsidRPr="00181FCD">
        <w:t xml:space="preserve"> </w:t>
      </w:r>
      <w:r w:rsidRPr="00181FCD">
        <w:t>sociales</w:t>
      </w:r>
      <w:r w:rsidR="00F373A3" w:rsidRPr="00181FCD">
        <w:t xml:space="preserve"> </w:t>
      </w:r>
      <w:r w:rsidRPr="00181FCD">
        <w:t>en</w:t>
      </w:r>
      <w:r w:rsidR="00F373A3" w:rsidRPr="00181FCD">
        <w:t xml:space="preserve"> </w:t>
      </w:r>
      <w:r w:rsidRPr="00181FCD">
        <w:t>Bulgaria</w:t>
      </w:r>
      <w:r w:rsidR="00F373A3" w:rsidRPr="00181FCD">
        <w:t xml:space="preserve"> </w:t>
      </w:r>
      <w:r w:rsidRPr="00181FCD">
        <w:t>ha</w:t>
      </w:r>
      <w:r w:rsidR="00F373A3" w:rsidRPr="00181FCD">
        <w:t xml:space="preserve"> </w:t>
      </w:r>
      <w:r w:rsidRPr="00181FCD">
        <w:t>evolucionado</w:t>
      </w:r>
      <w:r w:rsidR="00F373A3" w:rsidRPr="00181FCD">
        <w:t xml:space="preserve"> </w:t>
      </w:r>
      <w:r w:rsidRPr="00181FCD">
        <w:t>notablemente</w:t>
      </w:r>
      <w:r w:rsidR="00F373A3" w:rsidRPr="00181FCD">
        <w:t xml:space="preserve"> </w:t>
      </w:r>
      <w:r w:rsidRPr="00181FCD">
        <w:t>en</w:t>
      </w:r>
      <w:r w:rsidR="00F373A3" w:rsidRPr="00181FCD">
        <w:t xml:space="preserve"> </w:t>
      </w:r>
      <w:r w:rsidRPr="00181FCD">
        <w:t>los</w:t>
      </w:r>
      <w:r w:rsidR="00F373A3" w:rsidRPr="00181FCD">
        <w:t xml:space="preserve"> </w:t>
      </w:r>
      <w:r w:rsidRPr="00181FCD">
        <w:t>últimos</w:t>
      </w:r>
      <w:r w:rsidR="00F373A3" w:rsidRPr="00181FCD">
        <w:t xml:space="preserve"> </w:t>
      </w:r>
      <w:r w:rsidRPr="00181FCD">
        <w:t>años,</w:t>
      </w:r>
      <w:r w:rsidR="00F373A3" w:rsidRPr="00181FCD">
        <w:t xml:space="preserve"> </w:t>
      </w:r>
      <w:r w:rsidRPr="00181FCD">
        <w:t>gracias</w:t>
      </w:r>
      <w:r w:rsidR="00F373A3" w:rsidRPr="00181FCD">
        <w:t xml:space="preserve"> </w:t>
      </w:r>
      <w:r w:rsidRPr="00181FCD">
        <w:t>a</w:t>
      </w:r>
      <w:r w:rsidR="00F373A3" w:rsidRPr="00181FCD">
        <w:t xml:space="preserve"> </w:t>
      </w:r>
      <w:r w:rsidRPr="00181FCD">
        <w:t>las</w:t>
      </w:r>
      <w:r w:rsidR="00F373A3" w:rsidRPr="00181FCD">
        <w:t xml:space="preserve"> </w:t>
      </w:r>
      <w:r w:rsidRPr="00181FCD">
        <w:t>recientes</w:t>
      </w:r>
      <w:r w:rsidR="00F373A3" w:rsidRPr="00181FCD">
        <w:t xml:space="preserve"> </w:t>
      </w:r>
      <w:r w:rsidRPr="00181FCD">
        <w:t>reformas</w:t>
      </w:r>
      <w:r w:rsidR="00F373A3" w:rsidRPr="00181FCD">
        <w:t xml:space="preserve"> </w:t>
      </w:r>
      <w:r w:rsidRPr="00181FCD">
        <w:t>en</w:t>
      </w:r>
      <w:r w:rsidR="00F373A3" w:rsidRPr="00181FCD">
        <w:t xml:space="preserve"> </w:t>
      </w:r>
      <w:r w:rsidRPr="00181FCD">
        <w:t>favor</w:t>
      </w:r>
      <w:r w:rsidR="00F373A3" w:rsidRPr="00181FCD">
        <w:t xml:space="preserve"> </w:t>
      </w:r>
      <w:r w:rsidRPr="00181FCD">
        <w:t>del</w:t>
      </w:r>
      <w:r w:rsidR="00F373A3" w:rsidRPr="00181FCD">
        <w:t xml:space="preserve"> </w:t>
      </w:r>
      <w:r w:rsidRPr="00181FCD">
        <w:t>abandono</w:t>
      </w:r>
      <w:r w:rsidR="00F373A3" w:rsidRPr="00181FCD">
        <w:t xml:space="preserve"> </w:t>
      </w:r>
      <w:r w:rsidRPr="00181FCD">
        <w:t>gradual</w:t>
      </w:r>
      <w:r w:rsidR="00F373A3" w:rsidRPr="00181FCD">
        <w:t xml:space="preserve"> </w:t>
      </w:r>
      <w:r w:rsidRPr="00181FCD">
        <w:t>del</w:t>
      </w:r>
      <w:r w:rsidR="00F373A3" w:rsidRPr="00181FCD">
        <w:t xml:space="preserve"> </w:t>
      </w:r>
      <w:r w:rsidRPr="00181FCD">
        <w:t>internamiento</w:t>
      </w:r>
      <w:r w:rsidR="00F373A3" w:rsidRPr="00181FCD">
        <w:t xml:space="preserve"> </w:t>
      </w:r>
      <w:r w:rsidRPr="00181FCD">
        <w:t>en</w:t>
      </w:r>
      <w:r w:rsidR="00672EC2" w:rsidRPr="00181FCD">
        <w:t xml:space="preserve"> </w:t>
      </w:r>
      <w:r w:rsidRPr="00181FCD">
        <w:t>instituciones</w:t>
      </w:r>
      <w:r w:rsidR="00F373A3" w:rsidRPr="00181FCD">
        <w:t xml:space="preserve"> </w:t>
      </w:r>
      <w:r w:rsidRPr="00181FCD">
        <w:t>y</w:t>
      </w:r>
      <w:r w:rsidR="00F373A3" w:rsidRPr="00181FCD">
        <w:t xml:space="preserve"> </w:t>
      </w:r>
      <w:r w:rsidRPr="00181FCD">
        <w:t>la</w:t>
      </w:r>
      <w:r w:rsidR="00F373A3" w:rsidRPr="00181FCD">
        <w:t xml:space="preserve"> </w:t>
      </w:r>
      <w:r w:rsidRPr="00181FCD">
        <w:t>oferta</w:t>
      </w:r>
      <w:r w:rsidR="00F373A3" w:rsidRPr="00181FCD">
        <w:t xml:space="preserve"> </w:t>
      </w:r>
      <w:r w:rsidRPr="00181FCD">
        <w:t>de</w:t>
      </w:r>
      <w:r w:rsidR="00F373A3" w:rsidRPr="00181FCD">
        <w:t xml:space="preserve"> </w:t>
      </w:r>
      <w:r w:rsidRPr="00181FCD">
        <w:t>más</w:t>
      </w:r>
      <w:r w:rsidR="00F373A3" w:rsidRPr="00181FCD">
        <w:t xml:space="preserve"> </w:t>
      </w:r>
      <w:r w:rsidRPr="00181FCD">
        <w:t>servicios</w:t>
      </w:r>
      <w:r w:rsidR="00F373A3" w:rsidRPr="00181FCD">
        <w:t xml:space="preserve"> </w:t>
      </w:r>
      <w:r w:rsidRPr="00181FCD">
        <w:t>comunitarios</w:t>
      </w:r>
      <w:r w:rsidR="00F373A3" w:rsidRPr="00181FCD">
        <w:t xml:space="preserve"> </w:t>
      </w:r>
      <w:r w:rsidRPr="00181FCD">
        <w:t>en</w:t>
      </w:r>
      <w:r w:rsidR="00F373A3" w:rsidRPr="00181FCD">
        <w:t xml:space="preserve"> </w:t>
      </w:r>
      <w:r w:rsidRPr="00181FCD">
        <w:t>un</w:t>
      </w:r>
      <w:r w:rsidR="00F373A3" w:rsidRPr="00181FCD">
        <w:t xml:space="preserve"> </w:t>
      </w:r>
      <w:r w:rsidRPr="00181FCD">
        <w:t>entorno</w:t>
      </w:r>
      <w:r w:rsidR="00F373A3" w:rsidRPr="00181FCD">
        <w:t xml:space="preserve"> </w:t>
      </w:r>
      <w:r w:rsidRPr="00181FCD">
        <w:t>familiar</w:t>
      </w:r>
      <w:r w:rsidR="00F373A3" w:rsidRPr="00181FCD">
        <w:t xml:space="preserve"> </w:t>
      </w:r>
      <w:r w:rsidRPr="00181FCD">
        <w:t>para</w:t>
      </w:r>
      <w:r w:rsidR="00F373A3" w:rsidRPr="00181FCD">
        <w:t xml:space="preserve"> </w:t>
      </w:r>
      <w:r w:rsidRPr="00181FCD">
        <w:t>niños</w:t>
      </w:r>
      <w:r w:rsidR="00F373A3" w:rsidRPr="00181FCD">
        <w:t xml:space="preserve"> </w:t>
      </w:r>
      <w:r w:rsidRPr="00181FCD">
        <w:t>y</w:t>
      </w:r>
      <w:r w:rsidR="00F373A3" w:rsidRPr="00181FCD">
        <w:t xml:space="preserve"> </w:t>
      </w:r>
      <w:r w:rsidRPr="00181FCD">
        <w:t>adultos</w:t>
      </w:r>
      <w:r w:rsidR="00F373A3" w:rsidRPr="00181FCD">
        <w:t xml:space="preserve"> </w:t>
      </w:r>
      <w:r w:rsidRPr="00181FCD">
        <w:t>con</w:t>
      </w:r>
      <w:r w:rsidR="00F373A3" w:rsidRPr="00181FCD">
        <w:t xml:space="preserve"> </w:t>
      </w:r>
      <w:r w:rsidRPr="00181FCD">
        <w:t>discapacidad.</w:t>
      </w:r>
      <w:r w:rsidR="00F373A3" w:rsidRPr="00181FCD">
        <w:t xml:space="preserve"> </w:t>
      </w:r>
      <w:r w:rsidRPr="00181FCD">
        <w:t>Como</w:t>
      </w:r>
      <w:r w:rsidR="00F373A3" w:rsidRPr="00181FCD">
        <w:t xml:space="preserve"> </w:t>
      </w:r>
      <w:r w:rsidRPr="00181FCD">
        <w:t>resultado</w:t>
      </w:r>
      <w:r w:rsidR="00F373A3" w:rsidRPr="00181FCD">
        <w:t xml:space="preserve"> </w:t>
      </w:r>
      <w:r w:rsidRPr="00181FCD">
        <w:t>de</w:t>
      </w:r>
      <w:r w:rsidR="00F373A3" w:rsidRPr="00181FCD">
        <w:t xml:space="preserve"> </w:t>
      </w:r>
      <w:r w:rsidRPr="00181FCD">
        <w:t>la</w:t>
      </w:r>
      <w:r w:rsidR="00F373A3" w:rsidRPr="00181FCD">
        <w:t xml:space="preserve"> </w:t>
      </w:r>
      <w:r w:rsidRPr="00181FCD">
        <w:t>política</w:t>
      </w:r>
      <w:r w:rsidR="00F373A3" w:rsidRPr="00181FCD">
        <w:t xml:space="preserve"> </w:t>
      </w:r>
      <w:r w:rsidRPr="00181FCD">
        <w:t>de</w:t>
      </w:r>
      <w:r w:rsidR="00F373A3" w:rsidRPr="00181FCD">
        <w:t xml:space="preserve"> </w:t>
      </w:r>
      <w:r w:rsidRPr="00181FCD">
        <w:t>desinstitucionalización</w:t>
      </w:r>
      <w:r w:rsidR="00F373A3" w:rsidRPr="00181FCD">
        <w:t xml:space="preserve"> </w:t>
      </w:r>
      <w:r w:rsidRPr="00181FCD">
        <w:t>practicada</w:t>
      </w:r>
      <w:r w:rsidR="00F373A3" w:rsidRPr="00181FCD">
        <w:t xml:space="preserve"> </w:t>
      </w:r>
      <w:r w:rsidRPr="00181FCD">
        <w:t>eficazmente</w:t>
      </w:r>
      <w:r w:rsidR="00F373A3" w:rsidRPr="00181FCD">
        <w:t xml:space="preserve"> </w:t>
      </w:r>
      <w:r w:rsidRPr="00181FCD">
        <w:t>en</w:t>
      </w:r>
      <w:r w:rsidR="00F373A3" w:rsidRPr="00181FCD">
        <w:t xml:space="preserve"> </w:t>
      </w:r>
      <w:r w:rsidRPr="00181FCD">
        <w:t>los</w:t>
      </w:r>
      <w:r w:rsidR="00F373A3" w:rsidRPr="00181FCD">
        <w:t xml:space="preserve"> </w:t>
      </w:r>
      <w:r w:rsidRPr="00181FCD">
        <w:t>últimos</w:t>
      </w:r>
      <w:r w:rsidR="00F373A3" w:rsidRPr="00181FCD">
        <w:t xml:space="preserve"> </w:t>
      </w:r>
      <w:r w:rsidRPr="00181FCD">
        <w:t>años,</w:t>
      </w:r>
      <w:r w:rsidR="00F373A3" w:rsidRPr="00181FCD">
        <w:t xml:space="preserve"> </w:t>
      </w:r>
      <w:r w:rsidRPr="00181FCD">
        <w:t>aumenta</w:t>
      </w:r>
      <w:r w:rsidR="00F373A3" w:rsidRPr="00181FCD">
        <w:t xml:space="preserve"> </w:t>
      </w:r>
      <w:r w:rsidRPr="00181FCD">
        <w:t>constantemente</w:t>
      </w:r>
      <w:r w:rsidR="00F373A3" w:rsidRPr="00181FCD">
        <w:t xml:space="preserve"> </w:t>
      </w:r>
      <w:r w:rsidRPr="00181FCD">
        <w:t>el</w:t>
      </w:r>
      <w:r w:rsidR="00F373A3" w:rsidRPr="00181FCD">
        <w:t xml:space="preserve"> </w:t>
      </w:r>
      <w:r w:rsidRPr="00181FCD">
        <w:t>número</w:t>
      </w:r>
      <w:r w:rsidR="00F373A3" w:rsidRPr="00181FCD">
        <w:t xml:space="preserve"> </w:t>
      </w:r>
      <w:r w:rsidRPr="00181FCD">
        <w:t>de</w:t>
      </w:r>
      <w:r w:rsidR="00F373A3" w:rsidRPr="00181FCD">
        <w:t xml:space="preserve"> </w:t>
      </w:r>
      <w:r w:rsidRPr="00181FCD">
        <w:t>servicios</w:t>
      </w:r>
      <w:r w:rsidR="00F373A3" w:rsidRPr="00181FCD">
        <w:t xml:space="preserve"> </w:t>
      </w:r>
      <w:r w:rsidRPr="00181FCD">
        <w:t>prestados</w:t>
      </w:r>
      <w:r w:rsidR="00F373A3" w:rsidRPr="00181FCD">
        <w:t xml:space="preserve"> </w:t>
      </w:r>
      <w:r w:rsidRPr="00181FCD">
        <w:t>en</w:t>
      </w:r>
      <w:r w:rsidR="00F373A3" w:rsidRPr="00181FCD">
        <w:t xml:space="preserve"> </w:t>
      </w:r>
      <w:r w:rsidRPr="00181FCD">
        <w:t>la</w:t>
      </w:r>
      <w:r w:rsidR="00F373A3" w:rsidRPr="00181FCD">
        <w:t xml:space="preserve"> </w:t>
      </w:r>
      <w:r w:rsidRPr="00181FCD">
        <w:t>comunidad,</w:t>
      </w:r>
      <w:r w:rsidR="00F373A3" w:rsidRPr="00181FCD">
        <w:t xml:space="preserve"> </w:t>
      </w:r>
      <w:r w:rsidRPr="00181FCD">
        <w:t>como</w:t>
      </w:r>
      <w:r w:rsidR="00F373A3" w:rsidRPr="00181FCD">
        <w:t xml:space="preserve"> </w:t>
      </w:r>
      <w:r w:rsidRPr="00181FCD">
        <w:t>alternativa</w:t>
      </w:r>
      <w:r w:rsidR="00F373A3" w:rsidRPr="00181FCD">
        <w:t xml:space="preserve"> </w:t>
      </w:r>
      <w:r w:rsidRPr="00181FCD">
        <w:t>a</w:t>
      </w:r>
      <w:r w:rsidR="00F373A3" w:rsidRPr="00181FCD">
        <w:t xml:space="preserve"> </w:t>
      </w:r>
      <w:r w:rsidRPr="00181FCD">
        <w:t>la</w:t>
      </w:r>
      <w:r w:rsidR="00F373A3" w:rsidRPr="00181FCD">
        <w:t xml:space="preserve"> </w:t>
      </w:r>
      <w:r w:rsidRPr="00181FCD">
        <w:t>atención</w:t>
      </w:r>
      <w:r w:rsidR="00F373A3" w:rsidRPr="00181FCD">
        <w:t xml:space="preserve"> </w:t>
      </w:r>
      <w:r w:rsidRPr="00181FCD">
        <w:t>en</w:t>
      </w:r>
      <w:r w:rsidR="00F373A3" w:rsidRPr="00181FCD">
        <w:t xml:space="preserve"> </w:t>
      </w:r>
      <w:r w:rsidRPr="00181FCD">
        <w:t>instituciones.</w:t>
      </w:r>
      <w:r w:rsidR="00F373A3" w:rsidRPr="00181FCD">
        <w:t xml:space="preserve"> </w:t>
      </w:r>
      <w:r w:rsidRPr="00181FCD">
        <w:t>Entre</w:t>
      </w:r>
      <w:r w:rsidR="00F373A3" w:rsidRPr="00181FCD">
        <w:t xml:space="preserve"> </w:t>
      </w:r>
      <w:r w:rsidRPr="00181FCD">
        <w:t>las</w:t>
      </w:r>
      <w:r w:rsidR="00F373A3" w:rsidRPr="00181FCD">
        <w:t xml:space="preserve"> </w:t>
      </w:r>
      <w:r w:rsidRPr="00181FCD">
        <w:t>principales</w:t>
      </w:r>
      <w:r w:rsidR="00F373A3" w:rsidRPr="00181FCD">
        <w:t xml:space="preserve"> </w:t>
      </w:r>
      <w:r w:rsidRPr="00181FCD">
        <w:t>prioridades</w:t>
      </w:r>
      <w:r w:rsidR="00F373A3" w:rsidRPr="00181FCD">
        <w:t xml:space="preserve"> </w:t>
      </w:r>
      <w:r w:rsidRPr="00181FCD">
        <w:t>de</w:t>
      </w:r>
      <w:r w:rsidR="00F373A3" w:rsidRPr="00181FCD">
        <w:t xml:space="preserve"> </w:t>
      </w:r>
      <w:r w:rsidRPr="00181FCD">
        <w:t>la</w:t>
      </w:r>
      <w:r w:rsidR="00F373A3" w:rsidRPr="00181FCD">
        <w:t xml:space="preserve"> </w:t>
      </w:r>
      <w:r w:rsidRPr="00181FCD">
        <w:t>política</w:t>
      </w:r>
      <w:r w:rsidR="00F373A3" w:rsidRPr="00181FCD">
        <w:t xml:space="preserve"> </w:t>
      </w:r>
      <w:r w:rsidRPr="00181FCD">
        <w:t>social</w:t>
      </w:r>
      <w:r w:rsidR="00F373A3" w:rsidRPr="00181FCD">
        <w:t xml:space="preserve"> </w:t>
      </w:r>
      <w:r w:rsidRPr="00181FCD">
        <w:t>del</w:t>
      </w:r>
      <w:r w:rsidR="00F373A3" w:rsidRPr="00181FCD">
        <w:t xml:space="preserve"> </w:t>
      </w:r>
      <w:r w:rsidRPr="00181FCD">
        <w:t>Gobierno</w:t>
      </w:r>
      <w:r w:rsidR="00F373A3" w:rsidRPr="00181FCD">
        <w:t xml:space="preserve"> </w:t>
      </w:r>
      <w:r w:rsidRPr="00181FCD">
        <w:t>de</w:t>
      </w:r>
      <w:r w:rsidR="00F373A3" w:rsidRPr="00181FCD">
        <w:t xml:space="preserve"> </w:t>
      </w:r>
      <w:r w:rsidRPr="00181FCD">
        <w:t>Bulgaria</w:t>
      </w:r>
      <w:r w:rsidR="00F373A3" w:rsidRPr="00181FCD">
        <w:t xml:space="preserve"> </w:t>
      </w:r>
      <w:r w:rsidRPr="00181FCD">
        <w:t>figuran</w:t>
      </w:r>
      <w:r w:rsidR="00F373A3" w:rsidRPr="00181FCD">
        <w:t xml:space="preserve"> </w:t>
      </w:r>
      <w:r w:rsidRPr="00181FCD">
        <w:t>la</w:t>
      </w:r>
      <w:r w:rsidR="00F373A3" w:rsidRPr="00181FCD">
        <w:t xml:space="preserve"> </w:t>
      </w:r>
      <w:r w:rsidRPr="00181FCD">
        <w:t>creación</w:t>
      </w:r>
      <w:r w:rsidR="00F373A3" w:rsidRPr="00181FCD">
        <w:t xml:space="preserve"> </w:t>
      </w:r>
      <w:r w:rsidRPr="00181FCD">
        <w:t>de</w:t>
      </w:r>
      <w:r w:rsidR="00F373A3" w:rsidRPr="00181FCD">
        <w:t xml:space="preserve"> </w:t>
      </w:r>
      <w:r w:rsidRPr="00181FCD">
        <w:t>una</w:t>
      </w:r>
      <w:r w:rsidR="00F373A3" w:rsidRPr="00181FCD">
        <w:t xml:space="preserve"> </w:t>
      </w:r>
      <w:r w:rsidRPr="00181FCD">
        <w:t>red</w:t>
      </w:r>
      <w:r w:rsidR="00F373A3" w:rsidRPr="00181FCD">
        <w:t xml:space="preserve"> </w:t>
      </w:r>
      <w:r w:rsidRPr="00181FCD">
        <w:t>comunitaria</w:t>
      </w:r>
      <w:r w:rsidR="00F373A3" w:rsidRPr="00181FCD">
        <w:t xml:space="preserve"> </w:t>
      </w:r>
      <w:r w:rsidRPr="00181FCD">
        <w:t>de</w:t>
      </w:r>
      <w:r w:rsidR="00F373A3" w:rsidRPr="00181FCD">
        <w:t xml:space="preserve"> </w:t>
      </w:r>
      <w:r w:rsidRPr="00181FCD">
        <w:t>servicios</w:t>
      </w:r>
      <w:r w:rsidR="00F373A3" w:rsidRPr="00181FCD">
        <w:t xml:space="preserve"> </w:t>
      </w:r>
      <w:r w:rsidRPr="00181FCD">
        <w:t>sociales</w:t>
      </w:r>
      <w:r w:rsidR="00F373A3" w:rsidRPr="00181FCD">
        <w:t xml:space="preserve"> </w:t>
      </w:r>
      <w:r w:rsidRPr="00181FCD">
        <w:t>que</w:t>
      </w:r>
      <w:r w:rsidR="00F373A3" w:rsidRPr="00181FCD">
        <w:t xml:space="preserve"> </w:t>
      </w:r>
      <w:r w:rsidRPr="00181FCD">
        <w:t>funcione</w:t>
      </w:r>
      <w:r w:rsidR="00F373A3" w:rsidRPr="00181FCD">
        <w:t xml:space="preserve"> </w:t>
      </w:r>
      <w:r w:rsidRPr="00181FCD">
        <w:t>eficazmente</w:t>
      </w:r>
      <w:r w:rsidR="00F373A3" w:rsidRPr="00181FCD">
        <w:t xml:space="preserve"> </w:t>
      </w:r>
      <w:r w:rsidRPr="00181FCD">
        <w:t>y</w:t>
      </w:r>
      <w:r w:rsidR="00F373A3" w:rsidRPr="00181FCD">
        <w:t xml:space="preserve"> </w:t>
      </w:r>
      <w:r w:rsidRPr="00181FCD">
        <w:t>la</w:t>
      </w:r>
      <w:r w:rsidR="00F373A3" w:rsidRPr="00181FCD">
        <w:t xml:space="preserve"> </w:t>
      </w:r>
      <w:r w:rsidRPr="00181FCD">
        <w:t>prestación</w:t>
      </w:r>
      <w:r w:rsidR="00F373A3" w:rsidRPr="00181FCD">
        <w:t xml:space="preserve"> </w:t>
      </w:r>
      <w:r w:rsidRPr="00181FCD">
        <w:t>de</w:t>
      </w:r>
      <w:r w:rsidR="00F373A3" w:rsidRPr="00181FCD">
        <w:t xml:space="preserve"> </w:t>
      </w:r>
      <w:r w:rsidRPr="00181FCD">
        <w:t>cuidados</w:t>
      </w:r>
      <w:r w:rsidR="00F373A3" w:rsidRPr="00181FCD">
        <w:t xml:space="preserve"> </w:t>
      </w:r>
      <w:r w:rsidRPr="00181FCD">
        <w:t>de</w:t>
      </w:r>
      <w:r w:rsidR="00F373A3" w:rsidRPr="00181FCD">
        <w:t xml:space="preserve"> </w:t>
      </w:r>
      <w:r w:rsidRPr="00181FCD">
        <w:t>calidad</w:t>
      </w:r>
      <w:r w:rsidR="00F373A3" w:rsidRPr="00181FCD">
        <w:t xml:space="preserve"> </w:t>
      </w:r>
      <w:r w:rsidRPr="00181FCD">
        <w:t>a</w:t>
      </w:r>
      <w:r w:rsidR="00F373A3" w:rsidRPr="00181FCD">
        <w:t xml:space="preserve"> </w:t>
      </w:r>
      <w:r w:rsidRPr="00181FCD">
        <w:t>largo</w:t>
      </w:r>
      <w:r w:rsidR="00F373A3" w:rsidRPr="00181FCD">
        <w:t xml:space="preserve"> </w:t>
      </w:r>
      <w:r w:rsidRPr="00181FCD">
        <w:t>plazo.</w:t>
      </w:r>
    </w:p>
    <w:p w:rsidR="001937F4" w:rsidRPr="00181FCD" w:rsidRDefault="001937F4" w:rsidP="00347B20">
      <w:pPr>
        <w:pStyle w:val="SingleTxtG"/>
        <w:suppressAutoHyphens/>
      </w:pPr>
      <w:r w:rsidRPr="00181FCD">
        <w:t>194.</w:t>
      </w:r>
      <w:r w:rsidRPr="00181FCD">
        <w:tab/>
        <w:t>Se</w:t>
      </w:r>
      <w:r w:rsidR="00F373A3" w:rsidRPr="00181FCD">
        <w:t xml:space="preserve"> </w:t>
      </w:r>
      <w:r w:rsidRPr="00181FCD">
        <w:t>proporcionan</w:t>
      </w:r>
      <w:r w:rsidR="00F373A3" w:rsidRPr="00181FCD">
        <w:t xml:space="preserve"> </w:t>
      </w:r>
      <w:r w:rsidRPr="00181FCD">
        <w:t>a</w:t>
      </w:r>
      <w:r w:rsidR="00F373A3" w:rsidRPr="00181FCD">
        <w:t xml:space="preserve"> </w:t>
      </w:r>
      <w:r w:rsidRPr="00181FCD">
        <w:t>los</w:t>
      </w:r>
      <w:r w:rsidR="00F373A3" w:rsidRPr="00181FCD">
        <w:t xml:space="preserve"> </w:t>
      </w:r>
      <w:r w:rsidRPr="00181FCD">
        <w:t>adultos</w:t>
      </w:r>
      <w:r w:rsidR="00F373A3" w:rsidRPr="00181FCD">
        <w:t xml:space="preserve"> </w:t>
      </w:r>
      <w:r w:rsidRPr="00181FCD">
        <w:t>con</w:t>
      </w:r>
      <w:r w:rsidR="00F373A3" w:rsidRPr="00181FCD">
        <w:t xml:space="preserve"> </w:t>
      </w:r>
      <w:r w:rsidRPr="00181FCD">
        <w:t>discapacidades</w:t>
      </w:r>
      <w:r w:rsidR="00F373A3" w:rsidRPr="00181FCD">
        <w:t xml:space="preserve"> </w:t>
      </w:r>
      <w:r w:rsidRPr="00181FCD">
        <w:t>servicios</w:t>
      </w:r>
      <w:r w:rsidR="00F373A3" w:rsidRPr="00181FCD">
        <w:t xml:space="preserve"> </w:t>
      </w:r>
      <w:r w:rsidRPr="00181FCD">
        <w:t>comunitarios</w:t>
      </w:r>
      <w:r w:rsidR="00F373A3" w:rsidRPr="00181FCD">
        <w:t xml:space="preserve"> </w:t>
      </w:r>
      <w:r w:rsidRPr="00181FCD">
        <w:t>como</w:t>
      </w:r>
      <w:r w:rsidR="00F373A3" w:rsidRPr="00181FCD">
        <w:t xml:space="preserve"> </w:t>
      </w:r>
      <w:r w:rsidRPr="00181FCD">
        <w:t>los</w:t>
      </w:r>
      <w:r w:rsidR="00F373A3" w:rsidRPr="00181FCD">
        <w:t xml:space="preserve"> </w:t>
      </w:r>
      <w:r w:rsidRPr="00181FCD">
        <w:t>siguientes:</w:t>
      </w:r>
      <w:r w:rsidR="00F373A3" w:rsidRPr="00181FCD">
        <w:t xml:space="preserve"> </w:t>
      </w:r>
      <w:r w:rsidRPr="00181FCD">
        <w:t>auxiliar</w:t>
      </w:r>
      <w:r w:rsidR="00F373A3" w:rsidRPr="00181FCD">
        <w:t xml:space="preserve"> </w:t>
      </w:r>
      <w:r w:rsidRPr="00181FCD">
        <w:t>personal;</w:t>
      </w:r>
      <w:r w:rsidR="00F373A3" w:rsidRPr="00181FCD">
        <w:t xml:space="preserve"> </w:t>
      </w:r>
      <w:r w:rsidRPr="00181FCD">
        <w:t>auxiliar</w:t>
      </w:r>
      <w:r w:rsidR="00F373A3" w:rsidRPr="00181FCD">
        <w:t xml:space="preserve"> </w:t>
      </w:r>
      <w:r w:rsidRPr="00181FCD">
        <w:t>social;</w:t>
      </w:r>
      <w:r w:rsidR="00F373A3" w:rsidRPr="00181FCD">
        <w:t xml:space="preserve"> </w:t>
      </w:r>
      <w:r w:rsidRPr="00181FCD">
        <w:t>auxiliar</w:t>
      </w:r>
      <w:r w:rsidR="00F373A3" w:rsidRPr="00181FCD">
        <w:t xml:space="preserve"> </w:t>
      </w:r>
      <w:r w:rsidRPr="00181FCD">
        <w:t>doméstico;</w:t>
      </w:r>
      <w:r w:rsidR="00F373A3" w:rsidRPr="00181FCD">
        <w:t xml:space="preserve"> </w:t>
      </w:r>
      <w:r w:rsidRPr="00181FCD">
        <w:t>centro</w:t>
      </w:r>
      <w:r w:rsidR="00F373A3" w:rsidRPr="00181FCD">
        <w:t xml:space="preserve"> </w:t>
      </w:r>
      <w:r w:rsidRPr="00181FCD">
        <w:t>de</w:t>
      </w:r>
      <w:r w:rsidR="00F373A3" w:rsidRPr="00181FCD">
        <w:t xml:space="preserve"> </w:t>
      </w:r>
      <w:r w:rsidRPr="00181FCD">
        <w:t>día</w:t>
      </w:r>
      <w:r w:rsidR="00F373A3" w:rsidRPr="00181FCD">
        <w:t xml:space="preserve"> </w:t>
      </w:r>
      <w:r w:rsidRPr="00181FCD">
        <w:t>para</w:t>
      </w:r>
      <w:r w:rsidR="00F373A3" w:rsidRPr="00181FCD">
        <w:t xml:space="preserve"> </w:t>
      </w:r>
      <w:r w:rsidRPr="00181FCD">
        <w:t>adultos</w:t>
      </w:r>
      <w:r w:rsidR="00F373A3" w:rsidRPr="00181FCD">
        <w:t xml:space="preserve"> </w:t>
      </w:r>
      <w:r w:rsidRPr="00181FCD">
        <w:t>con</w:t>
      </w:r>
      <w:r w:rsidR="00F373A3" w:rsidRPr="00181FCD">
        <w:t xml:space="preserve"> </w:t>
      </w:r>
      <w:r w:rsidRPr="00181FCD">
        <w:t>discapacidad;</w:t>
      </w:r>
      <w:r w:rsidR="00F373A3" w:rsidRPr="00181FCD">
        <w:t xml:space="preserve"> </w:t>
      </w:r>
      <w:r w:rsidRPr="00181FCD">
        <w:t>centro</w:t>
      </w:r>
      <w:r w:rsidR="00F373A3" w:rsidRPr="00181FCD">
        <w:t xml:space="preserve"> </w:t>
      </w:r>
      <w:r w:rsidRPr="00181FCD">
        <w:t>de</w:t>
      </w:r>
      <w:r w:rsidR="00F373A3" w:rsidRPr="00181FCD">
        <w:t xml:space="preserve"> </w:t>
      </w:r>
      <w:r w:rsidRPr="00181FCD">
        <w:t>rehabilitación</w:t>
      </w:r>
      <w:r w:rsidR="00F373A3" w:rsidRPr="00181FCD">
        <w:t xml:space="preserve"> </w:t>
      </w:r>
      <w:r w:rsidRPr="00181FCD">
        <w:t>e</w:t>
      </w:r>
      <w:r w:rsidR="00F373A3" w:rsidRPr="00181FCD">
        <w:t xml:space="preserve"> </w:t>
      </w:r>
      <w:r w:rsidRPr="00181FCD">
        <w:t>integración</w:t>
      </w:r>
      <w:r w:rsidR="00F373A3" w:rsidRPr="00181FCD">
        <w:t xml:space="preserve"> </w:t>
      </w:r>
      <w:r w:rsidRPr="00181FCD">
        <w:t>social</w:t>
      </w:r>
      <w:r w:rsidR="00F373A3" w:rsidRPr="00181FCD">
        <w:t xml:space="preserve"> </w:t>
      </w:r>
      <w:r w:rsidRPr="00181FCD">
        <w:t>para</w:t>
      </w:r>
      <w:r w:rsidR="00F373A3" w:rsidRPr="00181FCD">
        <w:t xml:space="preserve"> </w:t>
      </w:r>
      <w:r w:rsidRPr="00181FCD">
        <w:t>personas</w:t>
      </w:r>
      <w:r w:rsidR="00F373A3" w:rsidRPr="00181FCD">
        <w:t xml:space="preserve"> </w:t>
      </w:r>
      <w:r w:rsidRPr="00181FCD">
        <w:t>mayores;</w:t>
      </w:r>
      <w:r w:rsidR="00F373A3" w:rsidRPr="00181FCD">
        <w:t xml:space="preserve"> </w:t>
      </w:r>
      <w:r w:rsidRPr="00181FCD">
        <w:t>centro</w:t>
      </w:r>
      <w:r w:rsidR="00F373A3" w:rsidRPr="00181FCD">
        <w:t xml:space="preserve"> </w:t>
      </w:r>
      <w:r w:rsidRPr="00181FCD">
        <w:t>de</w:t>
      </w:r>
      <w:r w:rsidR="00F373A3" w:rsidRPr="00181FCD">
        <w:t xml:space="preserve"> </w:t>
      </w:r>
      <w:r w:rsidRPr="00181FCD">
        <w:t>formación</w:t>
      </w:r>
      <w:r w:rsidR="00F373A3" w:rsidRPr="00181FCD">
        <w:t xml:space="preserve"> </w:t>
      </w:r>
      <w:r w:rsidRPr="00181FCD">
        <w:t>profesional</w:t>
      </w:r>
      <w:r w:rsidR="00F373A3" w:rsidRPr="00181FCD">
        <w:t xml:space="preserve"> </w:t>
      </w:r>
      <w:r w:rsidRPr="00181FCD">
        <w:t>en</w:t>
      </w:r>
      <w:r w:rsidR="00F373A3" w:rsidRPr="00181FCD">
        <w:t xml:space="preserve"> </w:t>
      </w:r>
      <w:r w:rsidRPr="00181FCD">
        <w:t>educación</w:t>
      </w:r>
      <w:r w:rsidR="00F373A3" w:rsidRPr="00181FCD">
        <w:t xml:space="preserve"> </w:t>
      </w:r>
      <w:r w:rsidRPr="00181FCD">
        <w:t>social;</w:t>
      </w:r>
      <w:r w:rsidR="00F373A3" w:rsidRPr="00181FCD">
        <w:t xml:space="preserve"> </w:t>
      </w:r>
      <w:r w:rsidRPr="00181FCD">
        <w:t>hogar</w:t>
      </w:r>
      <w:r w:rsidR="00F373A3" w:rsidRPr="00181FCD">
        <w:t xml:space="preserve"> </w:t>
      </w:r>
      <w:r w:rsidRPr="00181FCD">
        <w:t>protegido;</w:t>
      </w:r>
      <w:r w:rsidR="00F373A3" w:rsidRPr="00181FCD">
        <w:t xml:space="preserve"> </w:t>
      </w:r>
      <w:r w:rsidRPr="00181FCD">
        <w:t>hogar</w:t>
      </w:r>
      <w:r w:rsidR="00F373A3" w:rsidRPr="00181FCD">
        <w:t xml:space="preserve"> </w:t>
      </w:r>
      <w:r w:rsidRPr="00181FCD">
        <w:t>de</w:t>
      </w:r>
      <w:r w:rsidR="00F373A3" w:rsidRPr="00181FCD">
        <w:t xml:space="preserve"> </w:t>
      </w:r>
      <w:r w:rsidRPr="00181FCD">
        <w:t>tránsito;</w:t>
      </w:r>
      <w:r w:rsidR="00F373A3" w:rsidRPr="00181FCD">
        <w:t xml:space="preserve"> </w:t>
      </w:r>
      <w:r w:rsidRPr="00181FCD">
        <w:t>y</w:t>
      </w:r>
      <w:r w:rsidR="00F373A3" w:rsidRPr="00181FCD">
        <w:t xml:space="preserve"> </w:t>
      </w:r>
      <w:r w:rsidRPr="00181FCD">
        <w:t>centro</w:t>
      </w:r>
      <w:r w:rsidR="00F373A3" w:rsidRPr="00181FCD">
        <w:t xml:space="preserve"> </w:t>
      </w:r>
      <w:r w:rsidRPr="00181FCD">
        <w:t>para</w:t>
      </w:r>
      <w:r w:rsidR="00F373A3" w:rsidRPr="00181FCD">
        <w:t xml:space="preserve"> </w:t>
      </w:r>
      <w:r w:rsidRPr="00181FCD">
        <w:t>alojamiento</w:t>
      </w:r>
      <w:r w:rsidR="00F373A3" w:rsidRPr="00181FCD">
        <w:t xml:space="preserve"> </w:t>
      </w:r>
      <w:r w:rsidRPr="00181FCD">
        <w:t>de</w:t>
      </w:r>
      <w:r w:rsidR="00F373A3" w:rsidRPr="00181FCD">
        <w:t xml:space="preserve"> </w:t>
      </w:r>
      <w:r w:rsidRPr="00181FCD">
        <w:t>tipo</w:t>
      </w:r>
      <w:r w:rsidR="00F373A3" w:rsidRPr="00181FCD">
        <w:t xml:space="preserve"> </w:t>
      </w:r>
      <w:r w:rsidRPr="00181FCD">
        <w:t>familiar.</w:t>
      </w:r>
    </w:p>
    <w:p w:rsidR="001937F4" w:rsidRPr="00181FCD" w:rsidRDefault="001937F4" w:rsidP="00347B20">
      <w:pPr>
        <w:pStyle w:val="SingleTxtG"/>
        <w:suppressAutoHyphens/>
      </w:pPr>
      <w:r w:rsidRPr="00181FCD">
        <w:t>195.</w:t>
      </w:r>
      <w:r w:rsidRPr="00181FCD">
        <w:tab/>
        <w:t>A</w:t>
      </w:r>
      <w:r w:rsidR="00F373A3" w:rsidRPr="00181FCD">
        <w:t xml:space="preserve"> </w:t>
      </w:r>
      <w:r w:rsidRPr="00181FCD">
        <w:t>medida</w:t>
      </w:r>
      <w:r w:rsidR="00F373A3" w:rsidRPr="00181FCD">
        <w:t xml:space="preserve"> </w:t>
      </w:r>
      <w:r w:rsidRPr="00181FCD">
        <w:t>que</w:t>
      </w:r>
      <w:r w:rsidR="00F373A3" w:rsidRPr="00181FCD">
        <w:t xml:space="preserve"> </w:t>
      </w:r>
      <w:r w:rsidRPr="00181FCD">
        <w:t>el</w:t>
      </w:r>
      <w:r w:rsidR="00F373A3" w:rsidRPr="00181FCD">
        <w:t xml:space="preserve"> </w:t>
      </w:r>
      <w:r w:rsidRPr="00181FCD">
        <w:t>proceso</w:t>
      </w:r>
      <w:r w:rsidR="00F373A3" w:rsidRPr="00181FCD">
        <w:t xml:space="preserve"> </w:t>
      </w:r>
      <w:r w:rsidRPr="00181FCD">
        <w:t>de</w:t>
      </w:r>
      <w:r w:rsidR="00F373A3" w:rsidRPr="00181FCD">
        <w:t xml:space="preserve"> </w:t>
      </w:r>
      <w:r w:rsidRPr="00181FCD">
        <w:t>desinstitucionalización</w:t>
      </w:r>
      <w:r w:rsidR="00F373A3" w:rsidRPr="00181FCD">
        <w:t xml:space="preserve"> </w:t>
      </w:r>
      <w:r w:rsidRPr="00181FCD">
        <w:t>avanza,</w:t>
      </w:r>
      <w:r w:rsidR="00F373A3" w:rsidRPr="00181FCD">
        <w:t xml:space="preserve"> </w:t>
      </w:r>
      <w:r w:rsidRPr="00181FCD">
        <w:t>se</w:t>
      </w:r>
      <w:r w:rsidR="00F373A3" w:rsidRPr="00181FCD">
        <w:t xml:space="preserve"> </w:t>
      </w:r>
      <w:r w:rsidRPr="00181FCD">
        <w:t>crean</w:t>
      </w:r>
      <w:r w:rsidR="00F373A3" w:rsidRPr="00181FCD">
        <w:t xml:space="preserve"> </w:t>
      </w:r>
      <w:r w:rsidRPr="00181FCD">
        <w:t>nuevos</w:t>
      </w:r>
      <w:r w:rsidR="00F373A3" w:rsidRPr="00181FCD">
        <w:t xml:space="preserve"> </w:t>
      </w:r>
      <w:r w:rsidRPr="00181FCD">
        <w:t>servicios</w:t>
      </w:r>
      <w:r w:rsidR="00F373A3" w:rsidRPr="00181FCD">
        <w:t xml:space="preserve"> </w:t>
      </w:r>
      <w:r w:rsidRPr="00181FCD">
        <w:t>de</w:t>
      </w:r>
      <w:r w:rsidR="00F373A3" w:rsidRPr="00181FCD">
        <w:t xml:space="preserve"> </w:t>
      </w:r>
      <w:r w:rsidRPr="00181FCD">
        <w:t>tipo</w:t>
      </w:r>
      <w:r w:rsidR="00F373A3" w:rsidRPr="00181FCD">
        <w:t xml:space="preserve"> </w:t>
      </w:r>
      <w:r w:rsidRPr="00181FCD">
        <w:t>familiar</w:t>
      </w:r>
      <w:r w:rsidR="00F373A3" w:rsidRPr="00181FCD">
        <w:t xml:space="preserve"> </w:t>
      </w:r>
      <w:r w:rsidRPr="00181FCD">
        <w:t>(hogares</w:t>
      </w:r>
      <w:r w:rsidR="00F373A3" w:rsidRPr="00181FCD">
        <w:t xml:space="preserve"> </w:t>
      </w:r>
      <w:r w:rsidRPr="00181FCD">
        <w:t>para</w:t>
      </w:r>
      <w:r w:rsidR="00F373A3" w:rsidRPr="00181FCD">
        <w:t xml:space="preserve"> </w:t>
      </w:r>
      <w:r w:rsidRPr="00181FCD">
        <w:t>grupos</w:t>
      </w:r>
      <w:r w:rsidR="00F373A3" w:rsidRPr="00181FCD">
        <w:t xml:space="preserve"> </w:t>
      </w:r>
      <w:r w:rsidRPr="00181FCD">
        <w:t>pequeños).</w:t>
      </w:r>
      <w:r w:rsidR="00F373A3" w:rsidRPr="00181FCD">
        <w:t xml:space="preserve"> </w:t>
      </w:r>
      <w:r w:rsidRPr="00181FCD">
        <w:t>Estos</w:t>
      </w:r>
      <w:r w:rsidR="00F373A3" w:rsidRPr="00181FCD">
        <w:t xml:space="preserve"> </w:t>
      </w:r>
      <w:r w:rsidRPr="00181FCD">
        <w:t>hogares</w:t>
      </w:r>
      <w:r w:rsidR="00F373A3" w:rsidRPr="00181FCD">
        <w:t xml:space="preserve"> </w:t>
      </w:r>
      <w:r w:rsidRPr="00181FCD">
        <w:t>acogen</w:t>
      </w:r>
      <w:r w:rsidR="00F373A3" w:rsidRPr="00181FCD">
        <w:t xml:space="preserve"> </w:t>
      </w:r>
      <w:r w:rsidRPr="00181FCD">
        <w:t>a</w:t>
      </w:r>
      <w:r w:rsidR="00F373A3" w:rsidRPr="00181FCD">
        <w:t xml:space="preserve"> </w:t>
      </w:r>
      <w:r w:rsidRPr="00181FCD">
        <w:t>niños</w:t>
      </w:r>
      <w:r w:rsidR="00F373A3" w:rsidRPr="00181FCD">
        <w:t xml:space="preserve"> </w:t>
      </w:r>
      <w:r w:rsidRPr="00181FCD">
        <w:t>de</w:t>
      </w:r>
      <w:r w:rsidR="003929D5" w:rsidRPr="00181FCD">
        <w:t> </w:t>
      </w:r>
      <w:r w:rsidRPr="00181FCD">
        <w:t>12</w:t>
      </w:r>
      <w:r w:rsidR="00F373A3" w:rsidRPr="00181FCD">
        <w:t xml:space="preserve"> </w:t>
      </w:r>
      <w:r w:rsidRPr="00181FCD">
        <w:t>a</w:t>
      </w:r>
      <w:r w:rsidR="00F373A3" w:rsidRPr="00181FCD">
        <w:t xml:space="preserve"> </w:t>
      </w:r>
      <w:r w:rsidRPr="00181FCD">
        <w:t>14</w:t>
      </w:r>
      <w:r w:rsidR="00F373A3" w:rsidRPr="00181FCD">
        <w:t xml:space="preserve"> </w:t>
      </w:r>
      <w:r w:rsidRPr="00181FCD">
        <w:t>años.</w:t>
      </w:r>
      <w:r w:rsidR="00F373A3" w:rsidRPr="00181FCD">
        <w:t xml:space="preserve"> </w:t>
      </w:r>
      <w:r w:rsidRPr="00181FCD">
        <w:t>Los</w:t>
      </w:r>
      <w:r w:rsidR="00F373A3" w:rsidRPr="00181FCD">
        <w:t xml:space="preserve"> </w:t>
      </w:r>
      <w:r w:rsidRPr="00181FCD">
        <w:t>antiguos</w:t>
      </w:r>
      <w:r w:rsidR="00F373A3" w:rsidRPr="00181FCD">
        <w:t xml:space="preserve"> </w:t>
      </w:r>
      <w:r w:rsidRPr="00181FCD">
        <w:t>servicios</w:t>
      </w:r>
      <w:r w:rsidR="00F373A3" w:rsidRPr="00181FCD">
        <w:t xml:space="preserve"> </w:t>
      </w:r>
      <w:r w:rsidRPr="00181FCD">
        <w:t>de</w:t>
      </w:r>
      <w:r w:rsidR="00F373A3" w:rsidRPr="00181FCD">
        <w:t xml:space="preserve"> </w:t>
      </w:r>
      <w:r w:rsidRPr="00181FCD">
        <w:t>atención</w:t>
      </w:r>
      <w:r w:rsidR="00F373A3" w:rsidRPr="00181FCD">
        <w:t xml:space="preserve"> </w:t>
      </w:r>
      <w:r w:rsidRPr="00181FCD">
        <w:t>en</w:t>
      </w:r>
      <w:r w:rsidR="00F373A3" w:rsidRPr="00181FCD">
        <w:t xml:space="preserve"> </w:t>
      </w:r>
      <w:r w:rsidRPr="00181FCD">
        <w:t>instituciones</w:t>
      </w:r>
      <w:r w:rsidR="00F373A3" w:rsidRPr="00181FCD">
        <w:t xml:space="preserve"> </w:t>
      </w:r>
      <w:r w:rsidRPr="00181FCD">
        <w:t>disminuyen</w:t>
      </w:r>
      <w:r w:rsidR="00F373A3" w:rsidRPr="00181FCD">
        <w:t xml:space="preserve"> </w:t>
      </w:r>
      <w:r w:rsidRPr="00181FCD">
        <w:t>progresivamente</w:t>
      </w:r>
      <w:r w:rsidR="00F373A3" w:rsidRPr="00181FCD">
        <w:t xml:space="preserve"> </w:t>
      </w:r>
      <w:r w:rsidRPr="00181FCD">
        <w:t>en</w:t>
      </w:r>
      <w:r w:rsidR="00F373A3" w:rsidRPr="00181FCD">
        <w:t xml:space="preserve"> </w:t>
      </w:r>
      <w:r w:rsidRPr="00181FCD">
        <w:t>número;</w:t>
      </w:r>
      <w:r w:rsidR="00F373A3" w:rsidRPr="00181FCD">
        <w:t xml:space="preserve"> </w:t>
      </w:r>
      <w:r w:rsidRPr="00181FCD">
        <w:t>por</w:t>
      </w:r>
      <w:r w:rsidR="00F373A3" w:rsidRPr="00181FCD">
        <w:t xml:space="preserve"> </w:t>
      </w:r>
      <w:r w:rsidRPr="00181FCD">
        <w:t>ejemplo,</w:t>
      </w:r>
      <w:r w:rsidR="00F373A3" w:rsidRPr="00181FCD">
        <w:t xml:space="preserve"> </w:t>
      </w:r>
      <w:r w:rsidRPr="00181FCD">
        <w:t>a</w:t>
      </w:r>
      <w:r w:rsidR="00F373A3" w:rsidRPr="00181FCD">
        <w:t xml:space="preserve"> </w:t>
      </w:r>
      <w:r w:rsidRPr="00181FCD">
        <w:t>fecha</w:t>
      </w:r>
      <w:r w:rsidR="00F373A3" w:rsidRPr="00181FCD">
        <w:t xml:space="preserve"> </w:t>
      </w:r>
      <w:r w:rsidRPr="00181FCD">
        <w:t>30</w:t>
      </w:r>
      <w:r w:rsidR="00F373A3" w:rsidRPr="00181FCD">
        <w:t xml:space="preserve"> </w:t>
      </w:r>
      <w:r w:rsidRPr="00181FCD">
        <w:t>de</w:t>
      </w:r>
      <w:r w:rsidR="00F373A3" w:rsidRPr="00181FCD">
        <w:t xml:space="preserve"> </w:t>
      </w:r>
      <w:r w:rsidRPr="00181FCD">
        <w:t>abril</w:t>
      </w:r>
      <w:r w:rsidR="00F373A3" w:rsidRPr="00181FCD">
        <w:t xml:space="preserve"> </w:t>
      </w:r>
      <w:r w:rsidRPr="00181FCD">
        <w:t>de</w:t>
      </w:r>
      <w:r w:rsidR="00F373A3" w:rsidRPr="00181FCD">
        <w:t xml:space="preserve"> </w:t>
      </w:r>
      <w:r w:rsidRPr="00181FCD">
        <w:t>2015,</w:t>
      </w:r>
      <w:r w:rsidR="00F373A3" w:rsidRPr="00181FCD">
        <w:t xml:space="preserve"> </w:t>
      </w:r>
      <w:r w:rsidRPr="00181FCD">
        <w:t>206</w:t>
      </w:r>
      <w:r w:rsidR="00F373A3" w:rsidRPr="00181FCD">
        <w:t xml:space="preserve"> </w:t>
      </w:r>
      <w:r w:rsidRPr="00181FCD">
        <w:t>niños</w:t>
      </w:r>
      <w:r w:rsidR="00F373A3" w:rsidRPr="00181FCD">
        <w:t xml:space="preserve"> </w:t>
      </w:r>
      <w:r w:rsidRPr="00181FCD">
        <w:t>residían</w:t>
      </w:r>
      <w:r w:rsidR="00F373A3" w:rsidRPr="00181FCD">
        <w:t xml:space="preserve"> </w:t>
      </w:r>
      <w:r w:rsidRPr="00181FCD">
        <w:t>en</w:t>
      </w:r>
      <w:r w:rsidR="003929D5" w:rsidRPr="00181FCD">
        <w:t> </w:t>
      </w:r>
      <w:r w:rsidRPr="00181FCD">
        <w:t>17</w:t>
      </w:r>
      <w:r w:rsidR="00F373A3" w:rsidRPr="00181FCD">
        <w:t xml:space="preserve"> </w:t>
      </w:r>
      <w:r w:rsidRPr="00181FCD">
        <w:t>hogares</w:t>
      </w:r>
      <w:r w:rsidR="00F373A3" w:rsidRPr="00181FCD">
        <w:t xml:space="preserve"> </w:t>
      </w:r>
      <w:r w:rsidRPr="00181FCD">
        <w:t>para</w:t>
      </w:r>
      <w:r w:rsidR="00F373A3" w:rsidRPr="00181FCD">
        <w:t xml:space="preserve"> </w:t>
      </w:r>
      <w:r w:rsidRPr="00181FCD">
        <w:t>niños</w:t>
      </w:r>
      <w:r w:rsidR="00F373A3" w:rsidRPr="00181FCD">
        <w:t xml:space="preserve"> </w:t>
      </w:r>
      <w:r w:rsidRPr="00181FCD">
        <w:t>con</w:t>
      </w:r>
      <w:r w:rsidR="00F373A3" w:rsidRPr="00181FCD">
        <w:t xml:space="preserve"> </w:t>
      </w:r>
      <w:r w:rsidRPr="00181FCD">
        <w:t>discapacidades</w:t>
      </w:r>
      <w:r w:rsidR="00F373A3" w:rsidRPr="00181FCD">
        <w:t xml:space="preserve"> </w:t>
      </w:r>
      <w:r w:rsidRPr="00181FCD">
        <w:t>mentales</w:t>
      </w:r>
      <w:r w:rsidR="00F373A3" w:rsidRPr="00181FCD">
        <w:t xml:space="preserve"> </w:t>
      </w:r>
      <w:r w:rsidRPr="00181FCD">
        <w:t>y</w:t>
      </w:r>
      <w:r w:rsidR="00F373A3" w:rsidRPr="00181FCD">
        <w:t xml:space="preserve"> </w:t>
      </w:r>
      <w:r w:rsidRPr="00181FCD">
        <w:t>de</w:t>
      </w:r>
      <w:r w:rsidR="00F373A3" w:rsidRPr="00181FCD">
        <w:t xml:space="preserve"> </w:t>
      </w:r>
      <w:r w:rsidRPr="00181FCD">
        <w:t>aprendizaje,</w:t>
      </w:r>
      <w:r w:rsidR="00F373A3" w:rsidRPr="00181FCD">
        <w:t xml:space="preserve"> </w:t>
      </w:r>
      <w:r w:rsidRPr="00181FCD">
        <w:t>frente</w:t>
      </w:r>
      <w:r w:rsidR="00F373A3" w:rsidRPr="00181FCD">
        <w:t xml:space="preserve"> </w:t>
      </w:r>
      <w:r w:rsidRPr="00181FCD">
        <w:t>a</w:t>
      </w:r>
      <w:r w:rsidR="00F373A3" w:rsidRPr="00181FCD">
        <w:t xml:space="preserve"> </w:t>
      </w:r>
      <w:r w:rsidRPr="00181FCD">
        <w:t>1.797</w:t>
      </w:r>
      <w:r w:rsidR="00F373A3" w:rsidRPr="00181FCD">
        <w:t xml:space="preserve"> </w:t>
      </w:r>
      <w:r w:rsidRPr="00181FCD">
        <w:t>en</w:t>
      </w:r>
      <w:r w:rsidR="003929D5" w:rsidRPr="00181FCD">
        <w:t> </w:t>
      </w:r>
      <w:r w:rsidRPr="00181FCD">
        <w:t>2010.</w:t>
      </w:r>
    </w:p>
    <w:p w:rsidR="001937F4" w:rsidRPr="00181FCD" w:rsidRDefault="001937F4" w:rsidP="00347B20">
      <w:pPr>
        <w:pStyle w:val="SingleTxtG"/>
        <w:suppressAutoHyphens/>
      </w:pPr>
      <w:r w:rsidRPr="00181FCD">
        <w:t>196.</w:t>
      </w:r>
      <w:r w:rsidRPr="00181FCD">
        <w:tab/>
        <w:t>La</w:t>
      </w:r>
      <w:r w:rsidR="00F373A3" w:rsidRPr="00181FCD">
        <w:t xml:space="preserve"> </w:t>
      </w:r>
      <w:r w:rsidRPr="00181FCD">
        <w:t>política</w:t>
      </w:r>
      <w:r w:rsidR="00F373A3" w:rsidRPr="00181FCD">
        <w:t xml:space="preserve"> </w:t>
      </w:r>
      <w:r w:rsidRPr="00181FCD">
        <w:t>nacional</w:t>
      </w:r>
      <w:r w:rsidR="00F373A3" w:rsidRPr="00181FCD">
        <w:t xml:space="preserve"> </w:t>
      </w:r>
      <w:r w:rsidRPr="00181FCD">
        <w:t>para</w:t>
      </w:r>
      <w:r w:rsidR="00F373A3" w:rsidRPr="00181FCD">
        <w:t xml:space="preserve"> </w:t>
      </w:r>
      <w:r w:rsidRPr="00181FCD">
        <w:t>las</w:t>
      </w:r>
      <w:r w:rsidR="00F373A3" w:rsidRPr="00181FCD">
        <w:t xml:space="preserve"> </w:t>
      </w:r>
      <w:r w:rsidRPr="00181FCD">
        <w:t>personas</w:t>
      </w:r>
      <w:r w:rsidR="00F373A3" w:rsidRPr="00181FCD">
        <w:t xml:space="preserve"> </w:t>
      </w:r>
      <w:r w:rsidRPr="00181FCD">
        <w:t>con</w:t>
      </w:r>
      <w:r w:rsidR="00F373A3" w:rsidRPr="00181FCD">
        <w:t xml:space="preserve"> </w:t>
      </w:r>
      <w:r w:rsidRPr="00181FCD">
        <w:t>discapacidad</w:t>
      </w:r>
      <w:r w:rsidR="00F373A3" w:rsidRPr="00181FCD">
        <w:t xml:space="preserve"> </w:t>
      </w:r>
      <w:r w:rsidRPr="00181FCD">
        <w:t>se</w:t>
      </w:r>
      <w:r w:rsidR="00F373A3" w:rsidRPr="00181FCD">
        <w:t xml:space="preserve"> </w:t>
      </w:r>
      <w:r w:rsidRPr="00181FCD">
        <w:t>aplica</w:t>
      </w:r>
      <w:r w:rsidR="00F373A3" w:rsidRPr="00181FCD">
        <w:t xml:space="preserve"> </w:t>
      </w:r>
      <w:r w:rsidRPr="00181FCD">
        <w:t>en</w:t>
      </w:r>
      <w:r w:rsidR="00F373A3" w:rsidRPr="00181FCD">
        <w:t xml:space="preserve"> </w:t>
      </w:r>
      <w:r w:rsidRPr="00181FCD">
        <w:t>cumplimiento</w:t>
      </w:r>
      <w:r w:rsidR="00F373A3" w:rsidRPr="00181FCD">
        <w:t xml:space="preserve"> </w:t>
      </w:r>
      <w:r w:rsidRPr="00181FCD">
        <w:t>de</w:t>
      </w:r>
      <w:r w:rsidR="00F373A3" w:rsidRPr="00181FCD">
        <w:t xml:space="preserve"> </w:t>
      </w:r>
      <w:r w:rsidRPr="00181FCD">
        <w:t>los</w:t>
      </w:r>
      <w:r w:rsidR="00F373A3" w:rsidRPr="00181FCD">
        <w:t xml:space="preserve"> </w:t>
      </w:r>
      <w:r w:rsidRPr="00181FCD">
        <w:t>objetivos</w:t>
      </w:r>
      <w:r w:rsidR="00F373A3" w:rsidRPr="00181FCD">
        <w:t xml:space="preserve"> </w:t>
      </w:r>
      <w:r w:rsidRPr="00181FCD">
        <w:t>establecidos</w:t>
      </w:r>
      <w:r w:rsidR="00F373A3" w:rsidRPr="00181FCD">
        <w:t xml:space="preserve"> </w:t>
      </w:r>
      <w:r w:rsidRPr="00181FCD">
        <w:t>en</w:t>
      </w:r>
      <w:r w:rsidR="00F373A3" w:rsidRPr="00181FCD">
        <w:t xml:space="preserve"> </w:t>
      </w:r>
      <w:r w:rsidRPr="00181FCD">
        <w:t>la</w:t>
      </w:r>
      <w:r w:rsidR="00F373A3" w:rsidRPr="00181FCD">
        <w:t xml:space="preserve"> </w:t>
      </w:r>
      <w:r w:rsidRPr="00181FCD">
        <w:t>Estrategia</w:t>
      </w:r>
      <w:r w:rsidR="00F373A3" w:rsidRPr="00181FCD">
        <w:t xml:space="preserve"> </w:t>
      </w:r>
      <w:r w:rsidRPr="00181FCD">
        <w:t>a</w:t>
      </w:r>
      <w:r w:rsidR="00F373A3" w:rsidRPr="00181FCD">
        <w:t xml:space="preserve"> </w:t>
      </w:r>
      <w:r w:rsidRPr="00181FCD">
        <w:t>Largo</w:t>
      </w:r>
      <w:r w:rsidR="00F373A3" w:rsidRPr="00181FCD">
        <w:t xml:space="preserve"> </w:t>
      </w:r>
      <w:r w:rsidRPr="00181FCD">
        <w:t>Plazo.</w:t>
      </w:r>
      <w:r w:rsidR="00F373A3" w:rsidRPr="00181FCD">
        <w:t xml:space="preserve"> </w:t>
      </w:r>
      <w:r w:rsidRPr="00181FCD">
        <w:t>En</w:t>
      </w:r>
      <w:r w:rsidR="00F373A3" w:rsidRPr="00181FCD">
        <w:t xml:space="preserve"> </w:t>
      </w:r>
      <w:r w:rsidRPr="00181FCD">
        <w:t>2012,</w:t>
      </w:r>
      <w:r w:rsidR="00F373A3" w:rsidRPr="00181FCD">
        <w:t xml:space="preserve"> </w:t>
      </w:r>
      <w:r w:rsidRPr="00181FCD">
        <w:t>de</w:t>
      </w:r>
      <w:r w:rsidR="00F373A3" w:rsidRPr="00181FCD">
        <w:t xml:space="preserve"> </w:t>
      </w:r>
      <w:r w:rsidRPr="00181FCD">
        <w:t>acuerdo</w:t>
      </w:r>
      <w:r w:rsidR="00F373A3" w:rsidRPr="00181FCD">
        <w:t xml:space="preserve"> </w:t>
      </w:r>
      <w:r w:rsidRPr="00181FCD">
        <w:t>con</w:t>
      </w:r>
      <w:r w:rsidR="00F373A3" w:rsidRPr="00181FCD">
        <w:t xml:space="preserve"> </w:t>
      </w:r>
      <w:r w:rsidRPr="00181FCD">
        <w:t>el</w:t>
      </w:r>
      <w:r w:rsidR="00F373A3" w:rsidRPr="00181FCD">
        <w:t xml:space="preserve"> </w:t>
      </w:r>
      <w:r w:rsidRPr="00181FCD">
        <w:t>mecanismo</w:t>
      </w:r>
      <w:r w:rsidR="00F373A3" w:rsidRPr="00181FCD">
        <w:t xml:space="preserve"> </w:t>
      </w:r>
      <w:r w:rsidRPr="00181FCD">
        <w:t>de</w:t>
      </w:r>
      <w:r w:rsidR="00F373A3" w:rsidRPr="00181FCD">
        <w:t xml:space="preserve"> </w:t>
      </w:r>
      <w:r w:rsidRPr="00181FCD">
        <w:t>seguimiento</w:t>
      </w:r>
      <w:r w:rsidR="00F373A3" w:rsidRPr="00181FCD">
        <w:t xml:space="preserve"> </w:t>
      </w:r>
      <w:r w:rsidRPr="00181FCD">
        <w:t>de</w:t>
      </w:r>
      <w:r w:rsidR="00F373A3" w:rsidRPr="00181FCD">
        <w:t xml:space="preserve"> </w:t>
      </w:r>
      <w:r w:rsidRPr="00181FCD">
        <w:t>la</w:t>
      </w:r>
      <w:r w:rsidR="00F373A3" w:rsidRPr="00181FCD">
        <w:t xml:space="preserve"> </w:t>
      </w:r>
      <w:r w:rsidRPr="00181FCD">
        <w:t>aplicación</w:t>
      </w:r>
      <w:r w:rsidR="00F373A3" w:rsidRPr="00181FCD">
        <w:t xml:space="preserve"> </w:t>
      </w:r>
      <w:r w:rsidRPr="00181FCD">
        <w:t>de</w:t>
      </w:r>
      <w:r w:rsidR="00F373A3" w:rsidRPr="00181FCD">
        <w:t xml:space="preserve"> </w:t>
      </w:r>
      <w:r w:rsidRPr="00181FCD">
        <w:t>las</w:t>
      </w:r>
      <w:r w:rsidR="00F373A3" w:rsidRPr="00181FCD">
        <w:t xml:space="preserve"> </w:t>
      </w:r>
      <w:r w:rsidRPr="00181FCD">
        <w:t>directrices</w:t>
      </w:r>
      <w:r w:rsidR="00F373A3" w:rsidRPr="00181FCD">
        <w:t xml:space="preserve"> </w:t>
      </w:r>
      <w:r w:rsidRPr="00181FCD">
        <w:t>para</w:t>
      </w:r>
      <w:r w:rsidR="00F373A3" w:rsidRPr="00181FCD">
        <w:t xml:space="preserve"> </w:t>
      </w:r>
      <w:r w:rsidRPr="00181FCD">
        <w:t>la</w:t>
      </w:r>
      <w:r w:rsidR="00F373A3" w:rsidRPr="00181FCD">
        <w:t xml:space="preserve"> </w:t>
      </w:r>
      <w:r w:rsidRPr="00181FCD">
        <w:t>igualdad</w:t>
      </w:r>
      <w:r w:rsidR="00F373A3" w:rsidRPr="00181FCD">
        <w:t xml:space="preserve"> </w:t>
      </w:r>
      <w:r w:rsidRPr="00181FCD">
        <w:t>de</w:t>
      </w:r>
      <w:r w:rsidR="00F373A3" w:rsidRPr="00181FCD">
        <w:t xml:space="preserve"> </w:t>
      </w:r>
      <w:r w:rsidRPr="00181FCD">
        <w:t>oportunidades</w:t>
      </w:r>
      <w:r w:rsidR="00F373A3" w:rsidRPr="00181FCD">
        <w:t xml:space="preserve"> </w:t>
      </w:r>
      <w:r w:rsidRPr="00181FCD">
        <w:t>de</w:t>
      </w:r>
      <w:r w:rsidR="00F373A3" w:rsidRPr="00181FCD">
        <w:t xml:space="preserve"> </w:t>
      </w:r>
      <w:r w:rsidRPr="00181FCD">
        <w:t>las</w:t>
      </w:r>
      <w:r w:rsidR="00F373A3" w:rsidRPr="00181FCD">
        <w:t xml:space="preserve"> </w:t>
      </w:r>
      <w:r w:rsidRPr="00181FCD">
        <w:t>personas</w:t>
      </w:r>
      <w:r w:rsidR="00F373A3" w:rsidRPr="00181FCD">
        <w:t xml:space="preserve"> </w:t>
      </w:r>
      <w:r w:rsidRPr="00181FCD">
        <w:t>con</w:t>
      </w:r>
      <w:r w:rsidR="00F373A3" w:rsidRPr="00181FCD">
        <w:t xml:space="preserve"> </w:t>
      </w:r>
      <w:r w:rsidRPr="00181FCD">
        <w:t>discapacidad,</w:t>
      </w:r>
      <w:r w:rsidR="00F373A3" w:rsidRPr="00181FCD">
        <w:t xml:space="preserve"> </w:t>
      </w:r>
      <w:r w:rsidRPr="00181FCD">
        <w:t>previsto</w:t>
      </w:r>
      <w:r w:rsidR="00F373A3" w:rsidRPr="00181FCD">
        <w:t xml:space="preserve"> </w:t>
      </w:r>
      <w:r w:rsidRPr="00181FCD">
        <w:t>en</w:t>
      </w:r>
      <w:r w:rsidR="00F373A3" w:rsidRPr="00181FCD">
        <w:t xml:space="preserve"> </w:t>
      </w:r>
      <w:r w:rsidRPr="00181FCD">
        <w:t>la</w:t>
      </w:r>
      <w:r w:rsidR="00F373A3" w:rsidRPr="00181FCD">
        <w:t xml:space="preserve"> </w:t>
      </w:r>
      <w:r w:rsidRPr="00181FCD">
        <w:t>Estrategia</w:t>
      </w:r>
      <w:r w:rsidR="00F373A3" w:rsidRPr="00181FCD">
        <w:t xml:space="preserve"> </w:t>
      </w:r>
      <w:r w:rsidRPr="00181FCD">
        <w:t>Nacional</w:t>
      </w:r>
      <w:r w:rsidR="00F373A3" w:rsidRPr="00181FCD">
        <w:t xml:space="preserve"> </w:t>
      </w:r>
      <w:r w:rsidRPr="00181FCD">
        <w:t>a</w:t>
      </w:r>
      <w:r w:rsidR="00F373A3" w:rsidRPr="00181FCD">
        <w:t xml:space="preserve"> </w:t>
      </w:r>
      <w:r w:rsidRPr="00181FCD">
        <w:t>Largo</w:t>
      </w:r>
      <w:r w:rsidR="00F373A3" w:rsidRPr="00181FCD">
        <w:t xml:space="preserve"> </w:t>
      </w:r>
      <w:r w:rsidRPr="00181FCD">
        <w:t>Plazo,</w:t>
      </w:r>
      <w:r w:rsidR="00F373A3" w:rsidRPr="00181FCD">
        <w:t xml:space="preserve"> </w:t>
      </w:r>
      <w:r w:rsidRPr="00181FCD">
        <w:t>se</w:t>
      </w:r>
      <w:r w:rsidR="00F373A3" w:rsidRPr="00181FCD">
        <w:t xml:space="preserve"> </w:t>
      </w:r>
      <w:r w:rsidRPr="00181FCD">
        <w:t>procedió</w:t>
      </w:r>
      <w:r w:rsidR="00F373A3" w:rsidRPr="00181FCD">
        <w:t xml:space="preserve"> </w:t>
      </w:r>
      <w:r w:rsidRPr="00181FCD">
        <w:t>a</w:t>
      </w:r>
      <w:r w:rsidR="00F373A3" w:rsidRPr="00181FCD">
        <w:t xml:space="preserve"> </w:t>
      </w:r>
      <w:r w:rsidRPr="00181FCD">
        <w:t>actualizar</w:t>
      </w:r>
      <w:r w:rsidR="00F373A3" w:rsidRPr="00181FCD">
        <w:t xml:space="preserve"> </w:t>
      </w:r>
      <w:r w:rsidRPr="00181FCD">
        <w:t>la</w:t>
      </w:r>
      <w:r w:rsidR="00F373A3" w:rsidRPr="00181FCD">
        <w:t xml:space="preserve"> </w:t>
      </w:r>
      <w:r w:rsidRPr="00181FCD">
        <w:t>Estrategia</w:t>
      </w:r>
      <w:r w:rsidR="00F373A3" w:rsidRPr="00181FCD">
        <w:t xml:space="preserve"> </w:t>
      </w:r>
      <w:r w:rsidRPr="00181FCD">
        <w:t>para</w:t>
      </w:r>
      <w:r w:rsidR="00F373A3" w:rsidRPr="00181FCD">
        <w:t xml:space="preserve"> </w:t>
      </w:r>
      <w:r w:rsidRPr="00181FCD">
        <w:t>la</w:t>
      </w:r>
      <w:r w:rsidR="00F373A3" w:rsidRPr="00181FCD">
        <w:t xml:space="preserve"> </w:t>
      </w:r>
      <w:r w:rsidRPr="00181FCD">
        <w:t>Igualdad</w:t>
      </w:r>
      <w:r w:rsidR="00F373A3" w:rsidRPr="00181FCD">
        <w:t xml:space="preserve"> </w:t>
      </w:r>
      <w:r w:rsidRPr="00181FCD">
        <w:t>de</w:t>
      </w:r>
      <w:r w:rsidR="00F373A3" w:rsidRPr="00181FCD">
        <w:t xml:space="preserve"> </w:t>
      </w:r>
      <w:r w:rsidRPr="00181FCD">
        <w:t>Oportunidades</w:t>
      </w:r>
      <w:r w:rsidR="00F373A3" w:rsidRPr="00181FCD">
        <w:t xml:space="preserve"> </w:t>
      </w:r>
      <w:r w:rsidRPr="00181FCD">
        <w:t>de</w:t>
      </w:r>
      <w:r w:rsidR="00F373A3" w:rsidRPr="00181FCD">
        <w:t xml:space="preserve"> </w:t>
      </w:r>
      <w:r w:rsidRPr="00181FCD">
        <w:t>las</w:t>
      </w:r>
      <w:r w:rsidR="00F373A3" w:rsidRPr="00181FCD">
        <w:t xml:space="preserve"> </w:t>
      </w:r>
      <w:r w:rsidRPr="00181FCD">
        <w:t>Personas</w:t>
      </w:r>
      <w:r w:rsidR="00F373A3" w:rsidRPr="00181FCD">
        <w:t xml:space="preserve"> </w:t>
      </w:r>
      <w:r w:rsidRPr="00181FCD">
        <w:t>con</w:t>
      </w:r>
      <w:r w:rsidR="00F373A3" w:rsidRPr="00181FCD">
        <w:t xml:space="preserve"> </w:t>
      </w:r>
      <w:r w:rsidRPr="00181FCD">
        <w:t>Discapacidad</w:t>
      </w:r>
      <w:r w:rsidR="00F373A3" w:rsidRPr="00181FCD">
        <w:t xml:space="preserve"> </w:t>
      </w:r>
      <w:r w:rsidRPr="00181FCD">
        <w:t>2008-2015.</w:t>
      </w:r>
      <w:r w:rsidR="00F373A3" w:rsidRPr="00181FCD">
        <w:t xml:space="preserve"> </w:t>
      </w:r>
      <w:r w:rsidRPr="00181FCD">
        <w:t>La</w:t>
      </w:r>
      <w:r w:rsidR="00F373A3" w:rsidRPr="00181FCD">
        <w:t xml:space="preserve"> </w:t>
      </w:r>
      <w:r w:rsidRPr="00181FCD">
        <w:t>Estrategia,</w:t>
      </w:r>
      <w:r w:rsidR="00F373A3" w:rsidRPr="00181FCD">
        <w:t xml:space="preserve"> </w:t>
      </w:r>
      <w:r w:rsidRPr="00181FCD">
        <w:t>aprobada</w:t>
      </w:r>
      <w:r w:rsidR="00F373A3" w:rsidRPr="00181FCD">
        <w:t xml:space="preserve"> </w:t>
      </w:r>
      <w:r w:rsidRPr="00181FCD">
        <w:t>en</w:t>
      </w:r>
      <w:r w:rsidR="00F373A3" w:rsidRPr="00181FCD">
        <w:t xml:space="preserve"> </w:t>
      </w:r>
      <w:r w:rsidRPr="00181FCD">
        <w:t>Consejo</w:t>
      </w:r>
      <w:r w:rsidR="00F373A3" w:rsidRPr="00181FCD">
        <w:t xml:space="preserve"> </w:t>
      </w:r>
      <w:r w:rsidRPr="00181FCD">
        <w:t>de</w:t>
      </w:r>
      <w:r w:rsidR="00F373A3" w:rsidRPr="00181FCD">
        <w:t xml:space="preserve"> </w:t>
      </w:r>
      <w:r w:rsidRPr="00181FCD">
        <w:t>Ministros</w:t>
      </w:r>
      <w:r w:rsidR="00F373A3" w:rsidRPr="00181FCD">
        <w:t xml:space="preserve"> </w:t>
      </w:r>
      <w:r w:rsidRPr="00181FCD">
        <w:t>el</w:t>
      </w:r>
      <w:r w:rsidR="0008164B" w:rsidRPr="00181FCD">
        <w:t> </w:t>
      </w:r>
      <w:r w:rsidRPr="00181FCD">
        <w:t>23</w:t>
      </w:r>
      <w:r w:rsidR="00F373A3" w:rsidRPr="00181FCD">
        <w:t xml:space="preserve"> </w:t>
      </w:r>
      <w:r w:rsidRPr="00181FCD">
        <w:t>de</w:t>
      </w:r>
      <w:r w:rsidR="00F373A3" w:rsidRPr="00181FCD">
        <w:t xml:space="preserve"> </w:t>
      </w:r>
      <w:r w:rsidRPr="00181FCD">
        <w:t>mayo</w:t>
      </w:r>
      <w:r w:rsidR="00F373A3" w:rsidRPr="00181FCD">
        <w:t xml:space="preserve"> </w:t>
      </w:r>
      <w:r w:rsidRPr="00181FCD">
        <w:t>de</w:t>
      </w:r>
      <w:r w:rsidR="00F373A3" w:rsidRPr="00181FCD">
        <w:t xml:space="preserve"> </w:t>
      </w:r>
      <w:r w:rsidRPr="00181FCD">
        <w:t>2012,</w:t>
      </w:r>
      <w:r w:rsidR="00F373A3" w:rsidRPr="00181FCD">
        <w:t xml:space="preserve"> </w:t>
      </w:r>
      <w:r w:rsidRPr="00181FCD">
        <w:t>esboza</w:t>
      </w:r>
      <w:r w:rsidR="00F373A3" w:rsidRPr="00181FCD">
        <w:t xml:space="preserve"> </w:t>
      </w:r>
      <w:r w:rsidRPr="00181FCD">
        <w:t>las</w:t>
      </w:r>
      <w:r w:rsidR="00F373A3" w:rsidRPr="00181FCD">
        <w:t xml:space="preserve"> </w:t>
      </w:r>
      <w:r w:rsidRPr="00181FCD">
        <w:t>medidas</w:t>
      </w:r>
      <w:r w:rsidR="00F373A3" w:rsidRPr="00181FCD">
        <w:t xml:space="preserve"> </w:t>
      </w:r>
      <w:r w:rsidRPr="00181FCD">
        <w:t>específicas</w:t>
      </w:r>
      <w:r w:rsidR="00F373A3" w:rsidRPr="00181FCD">
        <w:t xml:space="preserve"> </w:t>
      </w:r>
      <w:r w:rsidRPr="00181FCD">
        <w:t>necesarias</w:t>
      </w:r>
      <w:r w:rsidR="00F373A3" w:rsidRPr="00181FCD">
        <w:t xml:space="preserve"> </w:t>
      </w:r>
      <w:r w:rsidRPr="00181FCD">
        <w:t>para</w:t>
      </w:r>
      <w:r w:rsidR="00F373A3" w:rsidRPr="00181FCD">
        <w:t xml:space="preserve"> </w:t>
      </w:r>
      <w:r w:rsidRPr="00181FCD">
        <w:t>eliminar</w:t>
      </w:r>
      <w:r w:rsidR="00F373A3" w:rsidRPr="00181FCD">
        <w:t xml:space="preserve"> </w:t>
      </w:r>
      <w:r w:rsidRPr="00181FCD">
        <w:t>todos</w:t>
      </w:r>
      <w:r w:rsidR="00F373A3" w:rsidRPr="00181FCD">
        <w:t xml:space="preserve"> </w:t>
      </w:r>
      <w:r w:rsidRPr="00181FCD">
        <w:t>los</w:t>
      </w:r>
      <w:r w:rsidR="00F373A3" w:rsidRPr="00181FCD">
        <w:t xml:space="preserve"> </w:t>
      </w:r>
      <w:r w:rsidRPr="00181FCD">
        <w:t>obstáculos</w:t>
      </w:r>
      <w:r w:rsidR="00F373A3" w:rsidRPr="00181FCD">
        <w:t xml:space="preserve"> </w:t>
      </w:r>
      <w:r w:rsidRPr="00181FCD">
        <w:t>(psicológicos,</w:t>
      </w:r>
      <w:r w:rsidR="00F373A3" w:rsidRPr="00181FCD">
        <w:t xml:space="preserve"> </w:t>
      </w:r>
      <w:r w:rsidRPr="00181FCD">
        <w:t>educativos,</w:t>
      </w:r>
      <w:r w:rsidR="00F373A3" w:rsidRPr="00181FCD">
        <w:t xml:space="preserve"> </w:t>
      </w:r>
      <w:r w:rsidRPr="00181FCD">
        <w:t>sociales,</w:t>
      </w:r>
      <w:r w:rsidR="00F373A3" w:rsidRPr="00181FCD">
        <w:t xml:space="preserve"> </w:t>
      </w:r>
      <w:r w:rsidRPr="00181FCD">
        <w:t>culturales,</w:t>
      </w:r>
      <w:r w:rsidR="00F373A3" w:rsidRPr="00181FCD">
        <w:t xml:space="preserve"> </w:t>
      </w:r>
      <w:r w:rsidRPr="00181FCD">
        <w:t>profesionales,</w:t>
      </w:r>
      <w:r w:rsidR="00F373A3" w:rsidRPr="00181FCD">
        <w:t xml:space="preserve"> </w:t>
      </w:r>
      <w:r w:rsidRPr="00181FCD">
        <w:t>financieros</w:t>
      </w:r>
      <w:r w:rsidR="00F373A3" w:rsidRPr="00181FCD">
        <w:t xml:space="preserve"> </w:t>
      </w:r>
      <w:r w:rsidRPr="00181FCD">
        <w:t>y</w:t>
      </w:r>
      <w:r w:rsidR="00F373A3" w:rsidRPr="00181FCD">
        <w:t xml:space="preserve"> </w:t>
      </w:r>
      <w:r w:rsidRPr="00181FCD">
        <w:t>arquitectónicos)</w:t>
      </w:r>
      <w:r w:rsidR="00F373A3" w:rsidRPr="00181FCD">
        <w:t xml:space="preserve"> </w:t>
      </w:r>
      <w:r w:rsidRPr="00181FCD">
        <w:t>que</w:t>
      </w:r>
      <w:r w:rsidR="00F373A3" w:rsidRPr="00181FCD">
        <w:t xml:space="preserve"> </w:t>
      </w:r>
      <w:r w:rsidRPr="00181FCD">
        <w:t>se</w:t>
      </w:r>
      <w:r w:rsidR="00F373A3" w:rsidRPr="00181FCD">
        <w:t xml:space="preserve"> </w:t>
      </w:r>
      <w:r w:rsidRPr="00181FCD">
        <w:t>oponen</w:t>
      </w:r>
      <w:r w:rsidR="00F373A3" w:rsidRPr="00181FCD">
        <w:t xml:space="preserve"> </w:t>
      </w:r>
      <w:r w:rsidRPr="00181FCD">
        <w:t>a</w:t>
      </w:r>
      <w:r w:rsidR="00F373A3" w:rsidRPr="00181FCD">
        <w:t xml:space="preserve"> </w:t>
      </w:r>
      <w:r w:rsidRPr="00181FCD">
        <w:t>la</w:t>
      </w:r>
      <w:r w:rsidR="00F373A3" w:rsidRPr="00181FCD">
        <w:t xml:space="preserve"> </w:t>
      </w:r>
      <w:r w:rsidRPr="00181FCD">
        <w:t>inclusión</w:t>
      </w:r>
      <w:r w:rsidR="00F373A3" w:rsidRPr="00181FCD">
        <w:t xml:space="preserve"> </w:t>
      </w:r>
      <w:r w:rsidRPr="00181FCD">
        <w:t>social</w:t>
      </w:r>
      <w:r w:rsidR="00F373A3" w:rsidRPr="00181FCD">
        <w:t xml:space="preserve"> </w:t>
      </w:r>
      <w:r w:rsidRPr="00181FCD">
        <w:t>y</w:t>
      </w:r>
      <w:r w:rsidR="00F373A3" w:rsidRPr="00181FCD">
        <w:t xml:space="preserve"> </w:t>
      </w:r>
      <w:r w:rsidRPr="00181FCD">
        <w:t>la</w:t>
      </w:r>
      <w:r w:rsidR="00F373A3" w:rsidRPr="00181FCD">
        <w:t xml:space="preserve"> </w:t>
      </w:r>
      <w:r w:rsidRPr="00181FCD">
        <w:t>integración</w:t>
      </w:r>
      <w:r w:rsidR="00F373A3" w:rsidRPr="00181FCD">
        <w:t xml:space="preserve"> </w:t>
      </w:r>
      <w:r w:rsidRPr="00181FCD">
        <w:t>en</w:t>
      </w:r>
      <w:r w:rsidR="00F373A3" w:rsidRPr="00181FCD">
        <w:t xml:space="preserve"> </w:t>
      </w:r>
      <w:r w:rsidRPr="00181FCD">
        <w:t>igualdad</w:t>
      </w:r>
      <w:r w:rsidR="00F373A3" w:rsidRPr="00181FCD">
        <w:t xml:space="preserve"> </w:t>
      </w:r>
      <w:r w:rsidRPr="00181FCD">
        <w:t>de</w:t>
      </w:r>
      <w:r w:rsidR="00F373A3" w:rsidRPr="00181FCD">
        <w:t xml:space="preserve"> </w:t>
      </w:r>
      <w:r w:rsidRPr="00181FCD">
        <w:t>condiciones</w:t>
      </w:r>
      <w:r w:rsidR="00F373A3" w:rsidRPr="00181FCD">
        <w:t xml:space="preserve"> </w:t>
      </w:r>
      <w:r w:rsidRPr="00181FCD">
        <w:t>de</w:t>
      </w:r>
      <w:r w:rsidR="00F373A3" w:rsidRPr="00181FCD">
        <w:t xml:space="preserve"> </w:t>
      </w:r>
      <w:r w:rsidRPr="00181FCD">
        <w:t>las</w:t>
      </w:r>
      <w:r w:rsidR="00F373A3" w:rsidRPr="00181FCD">
        <w:t xml:space="preserve"> </w:t>
      </w:r>
      <w:r w:rsidRPr="00181FCD">
        <w:t>personas</w:t>
      </w:r>
      <w:r w:rsidR="00F373A3" w:rsidRPr="00181FCD">
        <w:t xml:space="preserve"> </w:t>
      </w:r>
      <w:r w:rsidRPr="00181FCD">
        <w:t>con</w:t>
      </w:r>
      <w:r w:rsidR="00F373A3" w:rsidRPr="00181FCD">
        <w:t xml:space="preserve"> </w:t>
      </w:r>
      <w:r w:rsidRPr="00181FCD">
        <w:t>discapacidad.</w:t>
      </w:r>
    </w:p>
    <w:p w:rsidR="001937F4" w:rsidRPr="00181FCD" w:rsidRDefault="001937F4" w:rsidP="00C256E4">
      <w:pPr>
        <w:pStyle w:val="SingleTxtG"/>
        <w:keepLines/>
        <w:suppressAutoHyphens/>
      </w:pPr>
      <w:r w:rsidRPr="00181FCD">
        <w:t>197.</w:t>
      </w:r>
      <w:r w:rsidRPr="00181FCD">
        <w:tab/>
        <w:t>La</w:t>
      </w:r>
      <w:r w:rsidR="00F373A3" w:rsidRPr="00181FCD">
        <w:t xml:space="preserve"> </w:t>
      </w:r>
      <w:r w:rsidRPr="00181FCD">
        <w:t>Estrategia</w:t>
      </w:r>
      <w:r w:rsidR="00F373A3" w:rsidRPr="00181FCD">
        <w:t xml:space="preserve"> </w:t>
      </w:r>
      <w:r w:rsidRPr="00181FCD">
        <w:t>para</w:t>
      </w:r>
      <w:r w:rsidR="00F373A3" w:rsidRPr="00181FCD">
        <w:t xml:space="preserve"> </w:t>
      </w:r>
      <w:r w:rsidRPr="00181FCD">
        <w:t>la</w:t>
      </w:r>
      <w:r w:rsidR="00F373A3" w:rsidRPr="00181FCD">
        <w:t xml:space="preserve"> </w:t>
      </w:r>
      <w:r w:rsidRPr="00181FCD">
        <w:t>Igualdad</w:t>
      </w:r>
      <w:r w:rsidR="00F373A3" w:rsidRPr="00181FCD">
        <w:t xml:space="preserve"> </w:t>
      </w:r>
      <w:r w:rsidRPr="00181FCD">
        <w:t>de</w:t>
      </w:r>
      <w:r w:rsidR="00F373A3" w:rsidRPr="00181FCD">
        <w:t xml:space="preserve"> </w:t>
      </w:r>
      <w:r w:rsidRPr="00181FCD">
        <w:t>Oportunidades</w:t>
      </w:r>
      <w:r w:rsidR="00F373A3" w:rsidRPr="00181FCD">
        <w:t xml:space="preserve"> </w:t>
      </w:r>
      <w:r w:rsidRPr="00181FCD">
        <w:t>de</w:t>
      </w:r>
      <w:r w:rsidR="00F373A3" w:rsidRPr="00181FCD">
        <w:t xml:space="preserve"> </w:t>
      </w:r>
      <w:r w:rsidRPr="00181FCD">
        <w:t>las</w:t>
      </w:r>
      <w:r w:rsidR="00F373A3" w:rsidRPr="00181FCD">
        <w:t xml:space="preserve"> </w:t>
      </w:r>
      <w:r w:rsidRPr="00181FCD">
        <w:t>Personas</w:t>
      </w:r>
      <w:r w:rsidR="00F373A3" w:rsidRPr="00181FCD">
        <w:t xml:space="preserve"> </w:t>
      </w:r>
      <w:r w:rsidRPr="00181FCD">
        <w:t>con</w:t>
      </w:r>
      <w:r w:rsidR="00F373A3" w:rsidRPr="00181FCD">
        <w:t xml:space="preserve"> </w:t>
      </w:r>
      <w:r w:rsidRPr="00181FCD">
        <w:t>Discapacidad</w:t>
      </w:r>
      <w:r w:rsidR="00F373A3" w:rsidRPr="00181FCD">
        <w:t xml:space="preserve"> </w:t>
      </w:r>
      <w:r w:rsidRPr="00181FCD">
        <w:t>2008-2015</w:t>
      </w:r>
      <w:r w:rsidR="00F373A3" w:rsidRPr="00181FCD">
        <w:t xml:space="preserve"> </w:t>
      </w:r>
      <w:r w:rsidRPr="00181FCD">
        <w:t>se</w:t>
      </w:r>
      <w:r w:rsidR="00F373A3" w:rsidRPr="00181FCD">
        <w:t xml:space="preserve"> </w:t>
      </w:r>
      <w:r w:rsidRPr="00181FCD">
        <w:t>aprobó</w:t>
      </w:r>
      <w:r w:rsidR="00F373A3" w:rsidRPr="00181FCD">
        <w:t xml:space="preserve"> </w:t>
      </w:r>
      <w:r w:rsidRPr="00181FCD">
        <w:t>en</w:t>
      </w:r>
      <w:r w:rsidR="00F373A3" w:rsidRPr="00181FCD">
        <w:t xml:space="preserve"> </w:t>
      </w:r>
      <w:r w:rsidRPr="00181FCD">
        <w:t>aplicación</w:t>
      </w:r>
      <w:r w:rsidR="00F373A3" w:rsidRPr="00181FCD">
        <w:t xml:space="preserve"> </w:t>
      </w:r>
      <w:r w:rsidRPr="00181FCD">
        <w:t>de</w:t>
      </w:r>
      <w:r w:rsidR="00F373A3" w:rsidRPr="00181FCD">
        <w:t xml:space="preserve"> </w:t>
      </w:r>
      <w:r w:rsidRPr="00181FCD">
        <w:t>las</w:t>
      </w:r>
      <w:r w:rsidR="00F373A3" w:rsidRPr="00181FCD">
        <w:t xml:space="preserve"> </w:t>
      </w:r>
      <w:r w:rsidRPr="00181FCD">
        <w:t>recomendaciones</w:t>
      </w:r>
      <w:r w:rsidR="00F373A3" w:rsidRPr="00181FCD">
        <w:t xml:space="preserve"> </w:t>
      </w:r>
      <w:r w:rsidRPr="00181FCD">
        <w:t>del</w:t>
      </w:r>
      <w:r w:rsidR="00F373A3" w:rsidRPr="00181FCD">
        <w:t xml:space="preserve"> </w:t>
      </w:r>
      <w:r w:rsidRPr="00181FCD">
        <w:t>Consejo</w:t>
      </w:r>
      <w:r w:rsidR="00F373A3" w:rsidRPr="00181FCD">
        <w:t xml:space="preserve"> </w:t>
      </w:r>
      <w:r w:rsidRPr="00181FCD">
        <w:t>de</w:t>
      </w:r>
      <w:r w:rsidR="00F373A3" w:rsidRPr="00181FCD">
        <w:t xml:space="preserve"> </w:t>
      </w:r>
      <w:r w:rsidRPr="00181FCD">
        <w:t>Europa</w:t>
      </w:r>
      <w:r w:rsidR="00F373A3" w:rsidRPr="00181FCD">
        <w:t xml:space="preserve"> </w:t>
      </w:r>
      <w:r w:rsidRPr="00181FCD">
        <w:t>y</w:t>
      </w:r>
      <w:r w:rsidR="00F373A3" w:rsidRPr="00181FCD">
        <w:t xml:space="preserve"> </w:t>
      </w:r>
      <w:r w:rsidRPr="00181FCD">
        <w:t>las</w:t>
      </w:r>
      <w:r w:rsidR="00F373A3" w:rsidRPr="00181FCD">
        <w:t xml:space="preserve"> </w:t>
      </w:r>
      <w:r w:rsidRPr="00181FCD">
        <w:t>buenas</w:t>
      </w:r>
      <w:r w:rsidR="00F373A3" w:rsidRPr="00181FCD">
        <w:t xml:space="preserve"> </w:t>
      </w:r>
      <w:r w:rsidRPr="00181FCD">
        <w:t>prácticas</w:t>
      </w:r>
      <w:r w:rsidR="00F373A3" w:rsidRPr="00181FCD">
        <w:t xml:space="preserve"> </w:t>
      </w:r>
      <w:r w:rsidRPr="00181FCD">
        <w:t>de</w:t>
      </w:r>
      <w:r w:rsidR="00F373A3" w:rsidRPr="00181FCD">
        <w:t xml:space="preserve"> </w:t>
      </w:r>
      <w:r w:rsidRPr="00181FCD">
        <w:t>los</w:t>
      </w:r>
      <w:r w:rsidR="00F373A3" w:rsidRPr="00181FCD">
        <w:t xml:space="preserve"> </w:t>
      </w:r>
      <w:r w:rsidRPr="00181FCD">
        <w:t>Estados</w:t>
      </w:r>
      <w:r w:rsidR="00F373A3" w:rsidRPr="00181FCD">
        <w:t xml:space="preserve"> </w:t>
      </w:r>
      <w:r w:rsidRPr="00181FCD">
        <w:t>miembros</w:t>
      </w:r>
      <w:r w:rsidR="00F373A3" w:rsidRPr="00181FCD">
        <w:t xml:space="preserve"> </w:t>
      </w:r>
      <w:r w:rsidRPr="00181FCD">
        <w:t>de</w:t>
      </w:r>
      <w:r w:rsidR="00F373A3" w:rsidRPr="00181FCD">
        <w:t xml:space="preserve"> </w:t>
      </w:r>
      <w:r w:rsidRPr="00181FCD">
        <w:t>la</w:t>
      </w:r>
      <w:r w:rsidR="00F373A3" w:rsidRPr="00181FCD">
        <w:t xml:space="preserve"> </w:t>
      </w:r>
      <w:r w:rsidRPr="00181FCD">
        <w:t>Unión</w:t>
      </w:r>
      <w:r w:rsidR="00F373A3" w:rsidRPr="00181FCD">
        <w:t xml:space="preserve"> </w:t>
      </w:r>
      <w:r w:rsidRPr="00181FCD">
        <w:t>Europea,</w:t>
      </w:r>
      <w:r w:rsidR="00F373A3" w:rsidRPr="00181FCD">
        <w:t xml:space="preserve"> </w:t>
      </w:r>
      <w:r w:rsidRPr="00181FCD">
        <w:t>los</w:t>
      </w:r>
      <w:r w:rsidR="00F373A3" w:rsidRPr="00181FCD">
        <w:t xml:space="preserve"> </w:t>
      </w:r>
      <w:r w:rsidRPr="00181FCD">
        <w:t>principios</w:t>
      </w:r>
      <w:r w:rsidR="00F373A3" w:rsidRPr="00181FCD">
        <w:t xml:space="preserve"> </w:t>
      </w:r>
      <w:r w:rsidRPr="00181FCD">
        <w:t>de</w:t>
      </w:r>
      <w:r w:rsidR="00F373A3" w:rsidRPr="00181FCD">
        <w:t xml:space="preserve"> </w:t>
      </w:r>
      <w:r w:rsidRPr="00181FCD">
        <w:t>la</w:t>
      </w:r>
      <w:r w:rsidR="00F373A3" w:rsidRPr="00181FCD">
        <w:t xml:space="preserve"> </w:t>
      </w:r>
      <w:r w:rsidRPr="00181FCD">
        <w:t>Convención</w:t>
      </w:r>
      <w:r w:rsidR="00F373A3" w:rsidRPr="00181FCD">
        <w:t xml:space="preserve"> </w:t>
      </w:r>
      <w:r w:rsidRPr="00181FCD">
        <w:t>de</w:t>
      </w:r>
      <w:r w:rsidR="00F373A3" w:rsidRPr="00181FCD">
        <w:t xml:space="preserve"> </w:t>
      </w:r>
      <w:r w:rsidRPr="00181FCD">
        <w:t>las</w:t>
      </w:r>
      <w:r w:rsidR="00F373A3" w:rsidRPr="00181FCD">
        <w:t xml:space="preserve"> </w:t>
      </w:r>
      <w:r w:rsidRPr="00181FCD">
        <w:t>Naciones</w:t>
      </w:r>
      <w:r w:rsidR="00F373A3" w:rsidRPr="00181FCD">
        <w:t xml:space="preserve"> </w:t>
      </w:r>
      <w:r w:rsidRPr="00181FCD">
        <w:t>Unidas</w:t>
      </w:r>
      <w:r w:rsidR="00F373A3" w:rsidRPr="00181FCD">
        <w:t xml:space="preserve"> </w:t>
      </w:r>
      <w:r w:rsidRPr="00181FCD">
        <w:t>sobre</w:t>
      </w:r>
      <w:r w:rsidR="00F373A3" w:rsidRPr="00181FCD">
        <w:t xml:space="preserve"> </w:t>
      </w:r>
      <w:r w:rsidRPr="00181FCD">
        <w:t>los</w:t>
      </w:r>
      <w:r w:rsidR="00F373A3" w:rsidRPr="00181FCD">
        <w:t xml:space="preserve"> </w:t>
      </w:r>
      <w:r w:rsidRPr="00181FCD">
        <w:t>Derechos</w:t>
      </w:r>
      <w:r w:rsidR="00F373A3" w:rsidRPr="00181FCD">
        <w:t xml:space="preserve"> </w:t>
      </w:r>
      <w:r w:rsidRPr="00181FCD">
        <w:t>de</w:t>
      </w:r>
      <w:r w:rsidR="00F373A3" w:rsidRPr="00181FCD">
        <w:t xml:space="preserve"> </w:t>
      </w:r>
      <w:r w:rsidRPr="00181FCD">
        <w:t>las</w:t>
      </w:r>
      <w:r w:rsidR="00F373A3" w:rsidRPr="00181FCD">
        <w:t xml:space="preserve"> </w:t>
      </w:r>
      <w:r w:rsidRPr="00181FCD">
        <w:t>Personas</w:t>
      </w:r>
      <w:r w:rsidR="00F373A3" w:rsidRPr="00181FCD">
        <w:t xml:space="preserve"> </w:t>
      </w:r>
      <w:r w:rsidRPr="00181FCD">
        <w:t>con</w:t>
      </w:r>
      <w:r w:rsidR="00F373A3" w:rsidRPr="00181FCD">
        <w:t xml:space="preserve"> </w:t>
      </w:r>
      <w:r w:rsidRPr="00181FCD">
        <w:t>Discapacidad,</w:t>
      </w:r>
      <w:r w:rsidR="00F373A3" w:rsidRPr="00181FCD">
        <w:t xml:space="preserve"> </w:t>
      </w:r>
      <w:r w:rsidRPr="00181FCD">
        <w:t>las</w:t>
      </w:r>
      <w:r w:rsidR="00F373A3" w:rsidRPr="00181FCD">
        <w:t xml:space="preserve"> </w:t>
      </w:r>
      <w:r w:rsidRPr="00181FCD">
        <w:t>Normas</w:t>
      </w:r>
      <w:r w:rsidR="00F373A3" w:rsidRPr="00181FCD">
        <w:t xml:space="preserve"> </w:t>
      </w:r>
      <w:r w:rsidRPr="00181FCD">
        <w:t>Uniformes</w:t>
      </w:r>
      <w:r w:rsidR="00F373A3" w:rsidRPr="00181FCD">
        <w:t xml:space="preserve"> </w:t>
      </w:r>
      <w:r w:rsidRPr="00181FCD">
        <w:t>de</w:t>
      </w:r>
      <w:r w:rsidR="00F373A3" w:rsidRPr="00181FCD">
        <w:t xml:space="preserve"> </w:t>
      </w:r>
      <w:r w:rsidRPr="00181FCD">
        <w:t>las</w:t>
      </w:r>
      <w:r w:rsidR="00F373A3" w:rsidRPr="00181FCD">
        <w:t xml:space="preserve"> </w:t>
      </w:r>
      <w:r w:rsidRPr="00181FCD">
        <w:t>Naciones</w:t>
      </w:r>
      <w:r w:rsidR="00F373A3" w:rsidRPr="00181FCD">
        <w:t xml:space="preserve"> </w:t>
      </w:r>
      <w:r w:rsidRPr="00181FCD">
        <w:t>Unidas</w:t>
      </w:r>
      <w:r w:rsidR="00F373A3" w:rsidRPr="00181FCD">
        <w:t xml:space="preserve"> </w:t>
      </w:r>
      <w:r w:rsidRPr="00181FCD">
        <w:t>sobre</w:t>
      </w:r>
      <w:r w:rsidR="00F373A3" w:rsidRPr="00181FCD">
        <w:t xml:space="preserve"> </w:t>
      </w:r>
      <w:r w:rsidRPr="00181FCD">
        <w:t>la</w:t>
      </w:r>
      <w:r w:rsidR="00F373A3" w:rsidRPr="00181FCD">
        <w:t xml:space="preserve"> </w:t>
      </w:r>
      <w:r w:rsidRPr="00181FCD">
        <w:t>Igualdad</w:t>
      </w:r>
      <w:r w:rsidR="00F373A3" w:rsidRPr="00181FCD">
        <w:t xml:space="preserve"> </w:t>
      </w:r>
      <w:r w:rsidRPr="00181FCD">
        <w:t>de</w:t>
      </w:r>
      <w:r w:rsidR="00F373A3" w:rsidRPr="00181FCD">
        <w:t xml:space="preserve"> </w:t>
      </w:r>
      <w:r w:rsidRPr="00181FCD">
        <w:t>Oportunidades</w:t>
      </w:r>
      <w:r w:rsidR="00F373A3" w:rsidRPr="00181FCD">
        <w:t xml:space="preserve"> </w:t>
      </w:r>
      <w:r w:rsidRPr="00181FCD">
        <w:t>para</w:t>
      </w:r>
      <w:r w:rsidR="00F373A3" w:rsidRPr="00181FCD">
        <w:t xml:space="preserve"> </w:t>
      </w:r>
      <w:r w:rsidRPr="00181FCD">
        <w:t>las</w:t>
      </w:r>
      <w:r w:rsidR="00F373A3" w:rsidRPr="00181FCD">
        <w:t xml:space="preserve"> </w:t>
      </w:r>
      <w:r w:rsidRPr="00181FCD">
        <w:t>Personas</w:t>
      </w:r>
      <w:r w:rsidR="00F373A3" w:rsidRPr="00181FCD">
        <w:t xml:space="preserve"> </w:t>
      </w:r>
      <w:r w:rsidRPr="00181FCD">
        <w:t>con</w:t>
      </w:r>
      <w:r w:rsidR="00F373A3" w:rsidRPr="00181FCD">
        <w:t xml:space="preserve"> </w:t>
      </w:r>
      <w:r w:rsidRPr="00181FCD">
        <w:t>Discapacidad,</w:t>
      </w:r>
      <w:r w:rsidR="00F373A3" w:rsidRPr="00181FCD">
        <w:t xml:space="preserve"> </w:t>
      </w:r>
      <w:r w:rsidRPr="00181FCD">
        <w:t>la</w:t>
      </w:r>
      <w:r w:rsidR="00F373A3" w:rsidRPr="00181FCD">
        <w:t xml:space="preserve"> </w:t>
      </w:r>
      <w:r w:rsidRPr="00181FCD">
        <w:t>Convención</w:t>
      </w:r>
      <w:r w:rsidR="00F373A3" w:rsidRPr="00181FCD">
        <w:t xml:space="preserve"> </w:t>
      </w:r>
      <w:r w:rsidRPr="00181FCD">
        <w:t>sobre</w:t>
      </w:r>
      <w:r w:rsidR="00F373A3" w:rsidRPr="00181FCD">
        <w:t xml:space="preserve"> </w:t>
      </w:r>
      <w:r w:rsidRPr="00181FCD">
        <w:t>los</w:t>
      </w:r>
      <w:r w:rsidR="00F373A3" w:rsidRPr="00181FCD">
        <w:t xml:space="preserve"> </w:t>
      </w:r>
      <w:r w:rsidRPr="00181FCD">
        <w:t>Derechos</w:t>
      </w:r>
      <w:r w:rsidR="00F373A3" w:rsidRPr="00181FCD">
        <w:t xml:space="preserve"> </w:t>
      </w:r>
      <w:r w:rsidRPr="00181FCD">
        <w:t>del</w:t>
      </w:r>
      <w:r w:rsidR="00F373A3" w:rsidRPr="00181FCD">
        <w:t xml:space="preserve"> </w:t>
      </w:r>
      <w:r w:rsidRPr="00181FCD">
        <w:t>Niño,</w:t>
      </w:r>
      <w:r w:rsidR="00F373A3" w:rsidRPr="00181FCD">
        <w:t xml:space="preserve"> </w:t>
      </w:r>
      <w:r w:rsidRPr="00181FCD">
        <w:t>etc.</w:t>
      </w:r>
      <w:r w:rsidR="00F373A3" w:rsidRPr="00181FCD">
        <w:t xml:space="preserve"> </w:t>
      </w:r>
    </w:p>
    <w:p w:rsidR="001937F4" w:rsidRPr="00181FCD" w:rsidRDefault="001937F4" w:rsidP="00347B20">
      <w:pPr>
        <w:pStyle w:val="SingleTxtG"/>
        <w:suppressAutoHyphens/>
      </w:pPr>
      <w:r w:rsidRPr="00181FCD">
        <w:t>198.</w:t>
      </w:r>
      <w:r w:rsidRPr="00181FCD">
        <w:tab/>
        <w:t>El</w:t>
      </w:r>
      <w:r w:rsidR="00F373A3" w:rsidRPr="00181FCD">
        <w:t xml:space="preserve"> </w:t>
      </w:r>
      <w:r w:rsidRPr="00181FCD">
        <w:t>26</w:t>
      </w:r>
      <w:r w:rsidR="00F373A3" w:rsidRPr="00181FCD">
        <w:t xml:space="preserve"> </w:t>
      </w:r>
      <w:r w:rsidRPr="00181FCD">
        <w:t>de</w:t>
      </w:r>
      <w:r w:rsidR="00F373A3" w:rsidRPr="00181FCD">
        <w:t xml:space="preserve"> </w:t>
      </w:r>
      <w:r w:rsidRPr="00181FCD">
        <w:t>enero</w:t>
      </w:r>
      <w:r w:rsidR="00F373A3" w:rsidRPr="00181FCD">
        <w:t xml:space="preserve"> </w:t>
      </w:r>
      <w:r w:rsidRPr="00181FCD">
        <w:t>de</w:t>
      </w:r>
      <w:r w:rsidR="00F373A3" w:rsidRPr="00181FCD">
        <w:t xml:space="preserve"> </w:t>
      </w:r>
      <w:r w:rsidRPr="00181FCD">
        <w:t>2012,</w:t>
      </w:r>
      <w:r w:rsidR="00F373A3" w:rsidRPr="00181FCD">
        <w:t xml:space="preserve"> </w:t>
      </w:r>
      <w:r w:rsidRPr="00181FCD">
        <w:t>la</w:t>
      </w:r>
      <w:r w:rsidR="00F373A3" w:rsidRPr="00181FCD">
        <w:t xml:space="preserve"> </w:t>
      </w:r>
      <w:r w:rsidRPr="00181FCD">
        <w:t>Asamblea</w:t>
      </w:r>
      <w:r w:rsidR="00F373A3" w:rsidRPr="00181FCD">
        <w:t xml:space="preserve"> </w:t>
      </w:r>
      <w:r w:rsidRPr="00181FCD">
        <w:t>Nacional</w:t>
      </w:r>
      <w:r w:rsidR="00F373A3" w:rsidRPr="00181FCD">
        <w:t xml:space="preserve"> </w:t>
      </w:r>
      <w:r w:rsidRPr="00181FCD">
        <w:t>de</w:t>
      </w:r>
      <w:r w:rsidR="00F373A3" w:rsidRPr="00181FCD">
        <w:t xml:space="preserve"> </w:t>
      </w:r>
      <w:r w:rsidRPr="00181FCD">
        <w:t>la</w:t>
      </w:r>
      <w:r w:rsidR="00F373A3" w:rsidRPr="00181FCD">
        <w:t xml:space="preserve"> </w:t>
      </w:r>
      <w:r w:rsidRPr="00181FCD">
        <w:t>República</w:t>
      </w:r>
      <w:r w:rsidR="00F373A3" w:rsidRPr="00181FCD">
        <w:t xml:space="preserve"> </w:t>
      </w:r>
      <w:r w:rsidRPr="00181FCD">
        <w:t>de</w:t>
      </w:r>
      <w:r w:rsidR="00F373A3" w:rsidRPr="00181FCD">
        <w:t xml:space="preserve"> </w:t>
      </w:r>
      <w:r w:rsidRPr="00181FCD">
        <w:t>Bulgaria</w:t>
      </w:r>
      <w:r w:rsidR="00F373A3" w:rsidRPr="00181FCD">
        <w:t xml:space="preserve"> </w:t>
      </w:r>
      <w:r w:rsidRPr="00181FCD">
        <w:t>ratificó</w:t>
      </w:r>
      <w:r w:rsidR="00F373A3" w:rsidRPr="00181FCD">
        <w:t xml:space="preserve"> </w:t>
      </w:r>
      <w:r w:rsidRPr="00181FCD">
        <w:t>la</w:t>
      </w:r>
      <w:r w:rsidR="00F373A3" w:rsidRPr="00181FCD">
        <w:t xml:space="preserve"> </w:t>
      </w:r>
      <w:r w:rsidRPr="00181FCD">
        <w:t>Convención</w:t>
      </w:r>
      <w:r w:rsidR="00F373A3" w:rsidRPr="00181FCD">
        <w:t xml:space="preserve"> </w:t>
      </w:r>
      <w:r w:rsidRPr="00181FCD">
        <w:t>de</w:t>
      </w:r>
      <w:r w:rsidR="00F373A3" w:rsidRPr="00181FCD">
        <w:t xml:space="preserve"> </w:t>
      </w:r>
      <w:r w:rsidRPr="00181FCD">
        <w:t>las</w:t>
      </w:r>
      <w:r w:rsidR="00F373A3" w:rsidRPr="00181FCD">
        <w:t xml:space="preserve"> </w:t>
      </w:r>
      <w:r w:rsidRPr="00181FCD">
        <w:t>Naciones</w:t>
      </w:r>
      <w:r w:rsidR="00F373A3" w:rsidRPr="00181FCD">
        <w:t xml:space="preserve"> </w:t>
      </w:r>
      <w:r w:rsidRPr="00181FCD">
        <w:t>Unidas</w:t>
      </w:r>
      <w:r w:rsidR="00F373A3" w:rsidRPr="00181FCD">
        <w:t xml:space="preserve"> </w:t>
      </w:r>
      <w:r w:rsidRPr="00181FCD">
        <w:t>sobre</w:t>
      </w:r>
      <w:r w:rsidR="00F373A3" w:rsidRPr="00181FCD">
        <w:t xml:space="preserve"> </w:t>
      </w:r>
      <w:r w:rsidRPr="00181FCD">
        <w:t>los</w:t>
      </w:r>
      <w:r w:rsidR="00F373A3" w:rsidRPr="00181FCD">
        <w:t xml:space="preserve"> </w:t>
      </w:r>
      <w:r w:rsidRPr="00181FCD">
        <w:t>Derechos</w:t>
      </w:r>
      <w:r w:rsidR="00F373A3" w:rsidRPr="00181FCD">
        <w:t xml:space="preserve"> </w:t>
      </w:r>
      <w:r w:rsidRPr="00181FCD">
        <w:t>de</w:t>
      </w:r>
      <w:r w:rsidR="00F373A3" w:rsidRPr="00181FCD">
        <w:t xml:space="preserve"> </w:t>
      </w:r>
      <w:r w:rsidRPr="00181FCD">
        <w:t>las</w:t>
      </w:r>
      <w:r w:rsidR="00F373A3" w:rsidRPr="00181FCD">
        <w:t xml:space="preserve"> </w:t>
      </w:r>
      <w:r w:rsidRPr="00181FCD">
        <w:t>Personas</w:t>
      </w:r>
      <w:r w:rsidR="00F373A3" w:rsidRPr="00181FCD">
        <w:t xml:space="preserve"> </w:t>
      </w:r>
      <w:r w:rsidRPr="00181FCD">
        <w:t>con</w:t>
      </w:r>
      <w:r w:rsidR="00F373A3" w:rsidRPr="00181FCD">
        <w:t xml:space="preserve"> </w:t>
      </w:r>
      <w:r w:rsidRPr="00181FCD">
        <w:t>Discapacidad,</w:t>
      </w:r>
      <w:r w:rsidR="00F373A3" w:rsidRPr="00181FCD">
        <w:t xml:space="preserve"> </w:t>
      </w:r>
      <w:r w:rsidRPr="00181FCD">
        <w:t>y</w:t>
      </w:r>
      <w:r w:rsidR="00F373A3" w:rsidRPr="00181FCD">
        <w:t xml:space="preserve"> </w:t>
      </w:r>
      <w:r w:rsidRPr="00181FCD">
        <w:t>el</w:t>
      </w:r>
      <w:r w:rsidR="00F373A3" w:rsidRPr="00181FCD">
        <w:t xml:space="preserve"> </w:t>
      </w:r>
      <w:r w:rsidRPr="00181FCD">
        <w:t>Ministerio</w:t>
      </w:r>
      <w:r w:rsidR="00F373A3" w:rsidRPr="00181FCD">
        <w:t xml:space="preserve"> </w:t>
      </w:r>
      <w:r w:rsidRPr="00181FCD">
        <w:t>de</w:t>
      </w:r>
      <w:r w:rsidR="00F373A3" w:rsidRPr="00181FCD">
        <w:t xml:space="preserve"> </w:t>
      </w:r>
      <w:r w:rsidRPr="00181FCD">
        <w:t>Trabajo</w:t>
      </w:r>
      <w:r w:rsidR="00F373A3" w:rsidRPr="00181FCD">
        <w:t xml:space="preserve"> </w:t>
      </w:r>
      <w:r w:rsidRPr="00181FCD">
        <w:t>y</w:t>
      </w:r>
      <w:r w:rsidR="00F373A3" w:rsidRPr="00181FCD">
        <w:t xml:space="preserve"> </w:t>
      </w:r>
      <w:r w:rsidRPr="00181FCD">
        <w:t>Política</w:t>
      </w:r>
      <w:r w:rsidR="00F373A3" w:rsidRPr="00181FCD">
        <w:t xml:space="preserve"> </w:t>
      </w:r>
      <w:r w:rsidRPr="00181FCD">
        <w:t>Social,</w:t>
      </w:r>
      <w:r w:rsidR="00F373A3" w:rsidRPr="00181FCD">
        <w:t xml:space="preserve"> </w:t>
      </w:r>
      <w:r w:rsidRPr="00181FCD">
        <w:t>en</w:t>
      </w:r>
      <w:r w:rsidR="00F373A3" w:rsidRPr="00181FCD">
        <w:t xml:space="preserve"> </w:t>
      </w:r>
      <w:r w:rsidRPr="00181FCD">
        <w:t>aplicación</w:t>
      </w:r>
      <w:r w:rsidR="00F373A3" w:rsidRPr="00181FCD">
        <w:t xml:space="preserve"> </w:t>
      </w:r>
      <w:r w:rsidRPr="00181FCD">
        <w:t>del</w:t>
      </w:r>
      <w:r w:rsidR="00F373A3" w:rsidRPr="00181FCD">
        <w:t xml:space="preserve"> </w:t>
      </w:r>
      <w:r w:rsidRPr="00181FCD">
        <w:t>párrafo</w:t>
      </w:r>
      <w:r w:rsidR="00F373A3" w:rsidRPr="00181FCD">
        <w:t xml:space="preserve"> </w:t>
      </w:r>
      <w:r w:rsidRPr="00181FCD">
        <w:t>4</w:t>
      </w:r>
      <w:r w:rsidR="00F373A3" w:rsidRPr="00181FCD">
        <w:t xml:space="preserve"> </w:t>
      </w:r>
      <w:r w:rsidRPr="00181FCD">
        <w:t>de</w:t>
      </w:r>
      <w:r w:rsidR="00F373A3" w:rsidRPr="00181FCD">
        <w:t xml:space="preserve"> </w:t>
      </w:r>
      <w:r w:rsidRPr="00181FCD">
        <w:t>la</w:t>
      </w:r>
      <w:r w:rsidR="00F373A3" w:rsidRPr="00181FCD">
        <w:t xml:space="preserve"> </w:t>
      </w:r>
      <w:r w:rsidRPr="00181FCD">
        <w:t>resolución</w:t>
      </w:r>
      <w:r w:rsidR="00F373A3" w:rsidRPr="00181FCD">
        <w:t xml:space="preserve"> </w:t>
      </w:r>
      <w:r w:rsidRPr="00181FCD">
        <w:t>del</w:t>
      </w:r>
      <w:r w:rsidR="00F373A3" w:rsidRPr="00181FCD">
        <w:t xml:space="preserve"> </w:t>
      </w:r>
      <w:r w:rsidRPr="00181FCD">
        <w:t>Consejo</w:t>
      </w:r>
      <w:r w:rsidR="00F373A3" w:rsidRPr="00181FCD">
        <w:t xml:space="preserve"> </w:t>
      </w:r>
      <w:r w:rsidRPr="00181FCD">
        <w:t>de</w:t>
      </w:r>
      <w:r w:rsidR="00F373A3" w:rsidRPr="00181FCD">
        <w:t xml:space="preserve"> </w:t>
      </w:r>
      <w:r w:rsidRPr="00181FCD">
        <w:t>Ministros</w:t>
      </w:r>
      <w:r w:rsidR="00F373A3" w:rsidRPr="00181FCD">
        <w:t xml:space="preserve"> </w:t>
      </w:r>
      <w:r w:rsidRPr="00181FCD">
        <w:t>sobre</w:t>
      </w:r>
      <w:r w:rsidR="00F373A3" w:rsidRPr="00181FCD">
        <w:t xml:space="preserve"> </w:t>
      </w:r>
      <w:r w:rsidRPr="00181FCD">
        <w:t>la</w:t>
      </w:r>
      <w:r w:rsidR="00F373A3" w:rsidRPr="00181FCD">
        <w:t xml:space="preserve"> </w:t>
      </w:r>
      <w:r w:rsidRPr="00181FCD">
        <w:t>ratificación,</w:t>
      </w:r>
      <w:r w:rsidR="00F373A3" w:rsidRPr="00181FCD">
        <w:t xml:space="preserve"> </w:t>
      </w:r>
      <w:r w:rsidRPr="00181FCD">
        <w:t>elaboró</w:t>
      </w:r>
      <w:r w:rsidR="00F373A3" w:rsidRPr="00181FCD">
        <w:t xml:space="preserve"> </w:t>
      </w:r>
      <w:r w:rsidRPr="00181FCD">
        <w:t>un</w:t>
      </w:r>
      <w:r w:rsidR="00F373A3" w:rsidRPr="00181FCD">
        <w:t xml:space="preserve"> </w:t>
      </w:r>
      <w:r w:rsidRPr="00181FCD">
        <w:t>plan</w:t>
      </w:r>
      <w:r w:rsidR="00F373A3" w:rsidRPr="00181FCD">
        <w:t xml:space="preserve"> </w:t>
      </w:r>
      <w:r w:rsidRPr="00181FCD">
        <w:t>de</w:t>
      </w:r>
      <w:r w:rsidR="00F373A3" w:rsidRPr="00181FCD">
        <w:t xml:space="preserve"> </w:t>
      </w:r>
      <w:r w:rsidRPr="00181FCD">
        <w:t>acción</w:t>
      </w:r>
      <w:r w:rsidR="00F373A3" w:rsidRPr="00181FCD">
        <w:t xml:space="preserve"> </w:t>
      </w:r>
      <w:r w:rsidRPr="00181FCD">
        <w:t>que</w:t>
      </w:r>
      <w:r w:rsidR="00F373A3" w:rsidRPr="00181FCD">
        <w:t xml:space="preserve"> </w:t>
      </w:r>
      <w:r w:rsidRPr="00181FCD">
        <w:t>incluía</w:t>
      </w:r>
      <w:r w:rsidR="00F373A3" w:rsidRPr="00181FCD">
        <w:t xml:space="preserve"> </w:t>
      </w:r>
      <w:r w:rsidRPr="00181FCD">
        <w:t>medidas</w:t>
      </w:r>
      <w:r w:rsidR="00F373A3" w:rsidRPr="00181FCD">
        <w:t xml:space="preserve"> </w:t>
      </w:r>
      <w:r w:rsidRPr="00181FCD">
        <w:t>para</w:t>
      </w:r>
      <w:r w:rsidR="00F373A3" w:rsidRPr="00181FCD">
        <w:t xml:space="preserve"> </w:t>
      </w:r>
      <w:r w:rsidRPr="00181FCD">
        <w:t>que</w:t>
      </w:r>
      <w:r w:rsidR="00F373A3" w:rsidRPr="00181FCD">
        <w:t xml:space="preserve"> </w:t>
      </w:r>
      <w:r w:rsidRPr="00181FCD">
        <w:t>Bulgaria</w:t>
      </w:r>
      <w:r w:rsidR="00F373A3" w:rsidRPr="00181FCD">
        <w:t xml:space="preserve"> </w:t>
      </w:r>
      <w:r w:rsidRPr="00181FCD">
        <w:t>armonizara</w:t>
      </w:r>
      <w:r w:rsidR="00F373A3" w:rsidRPr="00181FCD">
        <w:t xml:space="preserve"> </w:t>
      </w:r>
      <w:r w:rsidRPr="00181FCD">
        <w:t>su</w:t>
      </w:r>
      <w:r w:rsidR="00F373A3" w:rsidRPr="00181FCD">
        <w:t xml:space="preserve"> </w:t>
      </w:r>
      <w:r w:rsidRPr="00181FCD">
        <w:t>marco</w:t>
      </w:r>
      <w:r w:rsidR="00F373A3" w:rsidRPr="00181FCD">
        <w:t xml:space="preserve"> </w:t>
      </w:r>
      <w:r w:rsidRPr="00181FCD">
        <w:t>legislativo</w:t>
      </w:r>
      <w:r w:rsidR="00F373A3" w:rsidRPr="00181FCD">
        <w:t xml:space="preserve"> </w:t>
      </w:r>
      <w:r w:rsidRPr="00181FCD">
        <w:t>y</w:t>
      </w:r>
      <w:r w:rsidR="00F373A3" w:rsidRPr="00181FCD">
        <w:t xml:space="preserve"> </w:t>
      </w:r>
      <w:r w:rsidRPr="00181FCD">
        <w:t>sus</w:t>
      </w:r>
      <w:r w:rsidR="00F373A3" w:rsidRPr="00181FCD">
        <w:t xml:space="preserve"> </w:t>
      </w:r>
      <w:r w:rsidRPr="00181FCD">
        <w:t>políticas</w:t>
      </w:r>
      <w:r w:rsidR="00F373A3" w:rsidRPr="00181FCD">
        <w:t xml:space="preserve"> </w:t>
      </w:r>
      <w:r w:rsidRPr="00181FCD">
        <w:t>sobre</w:t>
      </w:r>
      <w:r w:rsidR="00F373A3" w:rsidRPr="00181FCD">
        <w:t xml:space="preserve"> </w:t>
      </w:r>
      <w:r w:rsidRPr="00181FCD">
        <w:t>personas</w:t>
      </w:r>
      <w:r w:rsidR="00F373A3" w:rsidRPr="00181FCD">
        <w:t xml:space="preserve"> </w:t>
      </w:r>
      <w:r w:rsidRPr="00181FCD">
        <w:t>con</w:t>
      </w:r>
      <w:r w:rsidR="00F373A3" w:rsidRPr="00181FCD">
        <w:t xml:space="preserve"> </w:t>
      </w:r>
      <w:r w:rsidRPr="00181FCD">
        <w:t>discapacidad</w:t>
      </w:r>
      <w:r w:rsidR="00F373A3" w:rsidRPr="00181FCD">
        <w:t xml:space="preserve"> </w:t>
      </w:r>
      <w:r w:rsidRPr="00181FCD">
        <w:t>con</w:t>
      </w:r>
      <w:r w:rsidR="00F373A3" w:rsidRPr="00181FCD">
        <w:t xml:space="preserve"> </w:t>
      </w:r>
      <w:r w:rsidRPr="00181FCD">
        <w:t>las</w:t>
      </w:r>
      <w:r w:rsidR="00F373A3" w:rsidRPr="00181FCD">
        <w:t xml:space="preserve"> </w:t>
      </w:r>
      <w:r w:rsidRPr="00181FCD">
        <w:t>disposiciones</w:t>
      </w:r>
      <w:r w:rsidR="00F373A3" w:rsidRPr="00181FCD">
        <w:t xml:space="preserve"> </w:t>
      </w:r>
      <w:r w:rsidRPr="00181FCD">
        <w:t>de</w:t>
      </w:r>
      <w:r w:rsidR="00F373A3" w:rsidRPr="00181FCD">
        <w:t xml:space="preserve"> </w:t>
      </w:r>
      <w:r w:rsidRPr="00181FCD">
        <w:t>la</w:t>
      </w:r>
      <w:r w:rsidR="00F373A3" w:rsidRPr="00181FCD">
        <w:t xml:space="preserve"> </w:t>
      </w:r>
      <w:r w:rsidRPr="00181FCD">
        <w:t>Convención.</w:t>
      </w:r>
      <w:r w:rsidR="00F373A3" w:rsidRPr="00181FCD">
        <w:t xml:space="preserve"> </w:t>
      </w:r>
      <w:r w:rsidRPr="00181FCD">
        <w:t>El</w:t>
      </w:r>
      <w:r w:rsidR="00F373A3" w:rsidRPr="00181FCD">
        <w:t xml:space="preserve"> </w:t>
      </w:r>
      <w:r w:rsidRPr="00181FCD">
        <w:t>plan</w:t>
      </w:r>
      <w:r w:rsidR="00F373A3" w:rsidRPr="00181FCD">
        <w:t xml:space="preserve"> </w:t>
      </w:r>
      <w:r w:rsidRPr="00181FCD">
        <w:t>se</w:t>
      </w:r>
      <w:r w:rsidR="00F373A3" w:rsidRPr="00181FCD">
        <w:t xml:space="preserve"> </w:t>
      </w:r>
      <w:r w:rsidRPr="00181FCD">
        <w:t>aprobó</w:t>
      </w:r>
      <w:r w:rsidR="00F373A3" w:rsidRPr="00181FCD">
        <w:t xml:space="preserve"> </w:t>
      </w:r>
      <w:r w:rsidRPr="00181FCD">
        <w:t>mediante</w:t>
      </w:r>
      <w:r w:rsidR="00F373A3" w:rsidRPr="00181FCD">
        <w:t xml:space="preserve"> </w:t>
      </w:r>
      <w:r w:rsidRPr="00181FCD">
        <w:t>la</w:t>
      </w:r>
      <w:r w:rsidR="00F373A3" w:rsidRPr="00181FCD">
        <w:t xml:space="preserve"> </w:t>
      </w:r>
      <w:r w:rsidR="00C820BE" w:rsidRPr="00181FCD">
        <w:t xml:space="preserve">Resolución </w:t>
      </w:r>
      <w:r w:rsidRPr="00181FCD">
        <w:t>núm.</w:t>
      </w:r>
      <w:r w:rsidR="00F373A3" w:rsidRPr="00181FCD">
        <w:t xml:space="preserve"> </w:t>
      </w:r>
      <w:r w:rsidRPr="00181FCD">
        <w:t>868</w:t>
      </w:r>
      <w:r w:rsidR="00F373A3" w:rsidRPr="00181FCD">
        <w:t xml:space="preserve"> </w:t>
      </w:r>
      <w:r w:rsidRPr="00181FCD">
        <w:t>del</w:t>
      </w:r>
      <w:r w:rsidR="00F373A3" w:rsidRPr="00181FCD">
        <w:t xml:space="preserve"> </w:t>
      </w:r>
      <w:r w:rsidRPr="00181FCD">
        <w:t>Consejo</w:t>
      </w:r>
      <w:r w:rsidR="00F373A3" w:rsidRPr="00181FCD">
        <w:t xml:space="preserve"> </w:t>
      </w:r>
      <w:r w:rsidRPr="00181FCD">
        <w:t>de</w:t>
      </w:r>
      <w:r w:rsidR="00F373A3" w:rsidRPr="00181FCD">
        <w:t xml:space="preserve"> </w:t>
      </w:r>
      <w:r w:rsidRPr="00181FCD">
        <w:t>Ministros</w:t>
      </w:r>
      <w:r w:rsidR="00F373A3" w:rsidRPr="00181FCD">
        <w:t xml:space="preserve"> </w:t>
      </w:r>
      <w:r w:rsidRPr="00181FCD">
        <w:t>celebrado</w:t>
      </w:r>
      <w:r w:rsidR="00F373A3" w:rsidRPr="00181FCD">
        <w:t xml:space="preserve"> </w:t>
      </w:r>
      <w:r w:rsidRPr="00181FCD">
        <w:t>el</w:t>
      </w:r>
      <w:r w:rsidR="00F373A3" w:rsidRPr="00181FCD">
        <w:t xml:space="preserve"> </w:t>
      </w:r>
      <w:r w:rsidRPr="00181FCD">
        <w:t>19</w:t>
      </w:r>
      <w:r w:rsidR="00F373A3" w:rsidRPr="00181FCD">
        <w:t xml:space="preserve"> </w:t>
      </w:r>
      <w:r w:rsidRPr="00181FCD">
        <w:t>de</w:t>
      </w:r>
      <w:r w:rsidR="00F373A3" w:rsidRPr="00181FCD">
        <w:t xml:space="preserve"> </w:t>
      </w:r>
      <w:r w:rsidRPr="00181FCD">
        <w:t>octubre</w:t>
      </w:r>
      <w:r w:rsidR="00F373A3" w:rsidRPr="00181FCD">
        <w:t xml:space="preserve"> </w:t>
      </w:r>
      <w:r w:rsidRPr="00181FCD">
        <w:t>de</w:t>
      </w:r>
      <w:r w:rsidR="00F373A3" w:rsidRPr="00181FCD">
        <w:t xml:space="preserve"> </w:t>
      </w:r>
      <w:r w:rsidRPr="00181FCD">
        <w:t>2012.</w:t>
      </w:r>
      <w:r w:rsidR="00F373A3" w:rsidRPr="00181FCD">
        <w:t xml:space="preserve"> </w:t>
      </w:r>
      <w:r w:rsidRPr="00181FCD">
        <w:t>Los</w:t>
      </w:r>
      <w:r w:rsidR="00F373A3" w:rsidRPr="00181FCD">
        <w:t xml:space="preserve"> </w:t>
      </w:r>
      <w:r w:rsidRPr="00181FCD">
        <w:t>derechos</w:t>
      </w:r>
      <w:r w:rsidR="00F373A3" w:rsidRPr="00181FCD">
        <w:t xml:space="preserve"> </w:t>
      </w:r>
      <w:r w:rsidRPr="00181FCD">
        <w:t>de</w:t>
      </w:r>
      <w:r w:rsidR="00F373A3" w:rsidRPr="00181FCD">
        <w:t xml:space="preserve"> </w:t>
      </w:r>
      <w:r w:rsidRPr="00181FCD">
        <w:t>las</w:t>
      </w:r>
      <w:r w:rsidR="00F373A3" w:rsidRPr="00181FCD">
        <w:t xml:space="preserve"> </w:t>
      </w:r>
      <w:r w:rsidRPr="00181FCD">
        <w:t>personas</w:t>
      </w:r>
      <w:r w:rsidR="00F373A3" w:rsidRPr="00181FCD">
        <w:t xml:space="preserve"> </w:t>
      </w:r>
      <w:r w:rsidRPr="00181FCD">
        <w:t>con</w:t>
      </w:r>
      <w:r w:rsidR="00F373A3" w:rsidRPr="00181FCD">
        <w:t xml:space="preserve"> </w:t>
      </w:r>
      <w:r w:rsidRPr="00181FCD">
        <w:t>discapacidad,</w:t>
      </w:r>
      <w:r w:rsidR="00F373A3" w:rsidRPr="00181FCD">
        <w:t xml:space="preserve"> </w:t>
      </w:r>
      <w:r w:rsidRPr="00181FCD">
        <w:t>incluidas</w:t>
      </w:r>
      <w:r w:rsidR="00F373A3" w:rsidRPr="00181FCD">
        <w:t xml:space="preserve"> </w:t>
      </w:r>
      <w:r w:rsidRPr="00181FCD">
        <w:t>las</w:t>
      </w:r>
      <w:r w:rsidR="00F373A3" w:rsidRPr="00181FCD">
        <w:t xml:space="preserve"> </w:t>
      </w:r>
      <w:r w:rsidRPr="00181FCD">
        <w:t>discapacidades</w:t>
      </w:r>
      <w:r w:rsidR="00F373A3" w:rsidRPr="00181FCD">
        <w:t xml:space="preserve"> </w:t>
      </w:r>
      <w:r w:rsidRPr="00181FCD">
        <w:t>mentales,</w:t>
      </w:r>
      <w:r w:rsidR="00F373A3" w:rsidRPr="00181FCD">
        <w:t xml:space="preserve"> </w:t>
      </w:r>
      <w:r w:rsidRPr="00181FCD">
        <w:t>constituyen</w:t>
      </w:r>
      <w:r w:rsidR="00F373A3" w:rsidRPr="00181FCD">
        <w:t xml:space="preserve"> </w:t>
      </w:r>
      <w:r w:rsidRPr="00181FCD">
        <w:t>una</w:t>
      </w:r>
      <w:r w:rsidR="00F373A3" w:rsidRPr="00181FCD">
        <w:t xml:space="preserve"> </w:t>
      </w:r>
      <w:r w:rsidRPr="00181FCD">
        <w:t>prioridad</w:t>
      </w:r>
      <w:r w:rsidR="00F373A3" w:rsidRPr="00181FCD">
        <w:t xml:space="preserve"> </w:t>
      </w:r>
      <w:r w:rsidRPr="00181FCD">
        <w:t>del</w:t>
      </w:r>
      <w:r w:rsidR="00F373A3" w:rsidRPr="00181FCD">
        <w:t xml:space="preserve"> </w:t>
      </w:r>
      <w:r w:rsidRPr="00181FCD">
        <w:t>Gobierno</w:t>
      </w:r>
      <w:r w:rsidR="00F373A3" w:rsidRPr="00181FCD">
        <w:t xml:space="preserve"> </w:t>
      </w:r>
      <w:r w:rsidRPr="00181FCD">
        <w:t>de</w:t>
      </w:r>
      <w:r w:rsidR="00F373A3" w:rsidRPr="00181FCD">
        <w:t xml:space="preserve"> </w:t>
      </w:r>
      <w:r w:rsidRPr="00181FCD">
        <w:t>Bulgaria.</w:t>
      </w:r>
      <w:r w:rsidR="00F373A3" w:rsidRPr="00181FCD">
        <w:t xml:space="preserve"> </w:t>
      </w:r>
      <w:r w:rsidRPr="00181FCD">
        <w:t>En</w:t>
      </w:r>
      <w:r w:rsidR="00F373A3" w:rsidRPr="00181FCD">
        <w:t xml:space="preserve"> </w:t>
      </w:r>
      <w:r w:rsidRPr="00181FCD">
        <w:t>los</w:t>
      </w:r>
      <w:r w:rsidR="00F373A3" w:rsidRPr="00181FCD">
        <w:t xml:space="preserve"> </w:t>
      </w:r>
      <w:r w:rsidRPr="00181FCD">
        <w:t>próximos</w:t>
      </w:r>
      <w:r w:rsidR="00F373A3" w:rsidRPr="00181FCD">
        <w:t xml:space="preserve"> </w:t>
      </w:r>
      <w:r w:rsidRPr="00181FCD">
        <w:t>años</w:t>
      </w:r>
      <w:r w:rsidR="00F373A3" w:rsidRPr="00181FCD">
        <w:t xml:space="preserve"> </w:t>
      </w:r>
      <w:r w:rsidRPr="00181FCD">
        <w:t>se</w:t>
      </w:r>
      <w:r w:rsidR="00F373A3" w:rsidRPr="00181FCD">
        <w:t xml:space="preserve"> </w:t>
      </w:r>
      <w:r w:rsidRPr="00181FCD">
        <w:t>destinarán</w:t>
      </w:r>
      <w:r w:rsidR="00F373A3" w:rsidRPr="00181FCD">
        <w:t xml:space="preserve"> </w:t>
      </w:r>
      <w:r w:rsidRPr="00181FCD">
        <w:t>mayores</w:t>
      </w:r>
      <w:r w:rsidR="00F373A3" w:rsidRPr="00181FCD">
        <w:t xml:space="preserve"> </w:t>
      </w:r>
      <w:r w:rsidRPr="00181FCD">
        <w:t>esfuerzos</w:t>
      </w:r>
      <w:r w:rsidR="00F373A3" w:rsidRPr="00181FCD">
        <w:t xml:space="preserve"> </w:t>
      </w:r>
      <w:r w:rsidRPr="00181FCD">
        <w:t>a</w:t>
      </w:r>
      <w:r w:rsidR="00F373A3" w:rsidRPr="00181FCD">
        <w:t xml:space="preserve"> </w:t>
      </w:r>
      <w:r w:rsidRPr="00181FCD">
        <w:t>mejorar</w:t>
      </w:r>
      <w:r w:rsidR="00F373A3" w:rsidRPr="00181FCD">
        <w:t xml:space="preserve"> </w:t>
      </w:r>
      <w:r w:rsidRPr="00181FCD">
        <w:t>su</w:t>
      </w:r>
      <w:r w:rsidR="00F373A3" w:rsidRPr="00181FCD">
        <w:t xml:space="preserve"> </w:t>
      </w:r>
      <w:r w:rsidRPr="00181FCD">
        <w:t>situación</w:t>
      </w:r>
      <w:r w:rsidR="00F373A3" w:rsidRPr="00181FCD">
        <w:t xml:space="preserve"> </w:t>
      </w:r>
      <w:r w:rsidRPr="00181FCD">
        <w:t>y</w:t>
      </w:r>
      <w:r w:rsidR="00F373A3" w:rsidRPr="00181FCD">
        <w:t xml:space="preserve"> </w:t>
      </w:r>
      <w:r w:rsidRPr="00181FCD">
        <w:t>su</w:t>
      </w:r>
      <w:r w:rsidR="00F373A3" w:rsidRPr="00181FCD">
        <w:t xml:space="preserve"> </w:t>
      </w:r>
      <w:r w:rsidRPr="00181FCD">
        <w:t>vida</w:t>
      </w:r>
      <w:r w:rsidR="00F373A3" w:rsidRPr="00181FCD">
        <w:t xml:space="preserve"> </w:t>
      </w:r>
      <w:r w:rsidRPr="00181FCD">
        <w:t>cotidiana,</w:t>
      </w:r>
      <w:r w:rsidR="00F373A3" w:rsidRPr="00181FCD">
        <w:t xml:space="preserve"> </w:t>
      </w:r>
      <w:r w:rsidRPr="00181FCD">
        <w:t>se</w:t>
      </w:r>
      <w:r w:rsidR="00F373A3" w:rsidRPr="00181FCD">
        <w:t xml:space="preserve"> </w:t>
      </w:r>
      <w:r w:rsidRPr="00181FCD">
        <w:t>concluirá</w:t>
      </w:r>
      <w:r w:rsidR="00F373A3" w:rsidRPr="00181FCD">
        <w:t xml:space="preserve"> </w:t>
      </w:r>
      <w:r w:rsidRPr="00181FCD">
        <w:t>el</w:t>
      </w:r>
      <w:r w:rsidR="00F373A3" w:rsidRPr="00181FCD">
        <w:t xml:space="preserve"> </w:t>
      </w:r>
      <w:r w:rsidRPr="00181FCD">
        <w:t>proceso</w:t>
      </w:r>
      <w:r w:rsidR="00F373A3" w:rsidRPr="00181FCD">
        <w:t xml:space="preserve"> </w:t>
      </w:r>
      <w:r w:rsidRPr="00181FCD">
        <w:t>de</w:t>
      </w:r>
      <w:r w:rsidR="00F373A3" w:rsidRPr="00181FCD">
        <w:t xml:space="preserve"> </w:t>
      </w:r>
      <w:r w:rsidRPr="00181FCD">
        <w:t>desinstitucionalización</w:t>
      </w:r>
      <w:r w:rsidR="00F373A3" w:rsidRPr="00181FCD">
        <w:t xml:space="preserve"> </w:t>
      </w:r>
      <w:r w:rsidRPr="00181FCD">
        <w:t>y</w:t>
      </w:r>
      <w:r w:rsidR="00F373A3" w:rsidRPr="00181FCD">
        <w:t xml:space="preserve"> </w:t>
      </w:r>
      <w:r w:rsidRPr="00181FCD">
        <w:t>se</w:t>
      </w:r>
      <w:r w:rsidR="00F373A3" w:rsidRPr="00181FCD">
        <w:t xml:space="preserve"> </w:t>
      </w:r>
      <w:r w:rsidRPr="00181FCD">
        <w:t>aumentará</w:t>
      </w:r>
      <w:r w:rsidR="00F373A3" w:rsidRPr="00181FCD">
        <w:t xml:space="preserve"> </w:t>
      </w:r>
      <w:r w:rsidRPr="00181FCD">
        <w:t>el</w:t>
      </w:r>
      <w:r w:rsidR="00F373A3" w:rsidRPr="00181FCD">
        <w:t xml:space="preserve"> </w:t>
      </w:r>
      <w:r w:rsidRPr="00181FCD">
        <w:t>nivel</w:t>
      </w:r>
      <w:r w:rsidR="00F373A3" w:rsidRPr="00181FCD">
        <w:t xml:space="preserve"> </w:t>
      </w:r>
      <w:r w:rsidRPr="00181FCD">
        <w:t>de</w:t>
      </w:r>
      <w:r w:rsidR="00F373A3" w:rsidRPr="00181FCD">
        <w:t xml:space="preserve"> </w:t>
      </w:r>
      <w:r w:rsidRPr="00181FCD">
        <w:t>la</w:t>
      </w:r>
      <w:r w:rsidR="00F373A3" w:rsidRPr="00181FCD">
        <w:t xml:space="preserve"> </w:t>
      </w:r>
      <w:r w:rsidRPr="00181FCD">
        <w:t>atención</w:t>
      </w:r>
      <w:r w:rsidR="00F373A3" w:rsidRPr="00181FCD">
        <w:t xml:space="preserve"> </w:t>
      </w:r>
      <w:r w:rsidRPr="00181FCD">
        <w:t>prestada</w:t>
      </w:r>
      <w:r w:rsidR="00F373A3" w:rsidRPr="00181FCD">
        <w:t xml:space="preserve"> </w:t>
      </w:r>
      <w:r w:rsidRPr="00181FCD">
        <w:t>en</w:t>
      </w:r>
      <w:r w:rsidR="00F373A3" w:rsidRPr="00181FCD">
        <w:t xml:space="preserve"> </w:t>
      </w:r>
      <w:r w:rsidRPr="00181FCD">
        <w:t>las</w:t>
      </w:r>
      <w:r w:rsidR="00F373A3" w:rsidRPr="00181FCD">
        <w:t xml:space="preserve"> </w:t>
      </w:r>
      <w:r w:rsidRPr="00181FCD">
        <w:t>instituciones.</w:t>
      </w:r>
    </w:p>
    <w:p w:rsidR="001937F4" w:rsidRPr="00181FCD" w:rsidRDefault="005D4F56" w:rsidP="005D4F56">
      <w:pPr>
        <w:pStyle w:val="H1G"/>
      </w:pPr>
      <w:r w:rsidRPr="00181FCD">
        <w:tab/>
      </w:r>
      <w:r w:rsidRPr="00181FCD">
        <w:tab/>
      </w:r>
      <w:r w:rsidR="001937F4" w:rsidRPr="00181FCD">
        <w:t>Artículos</w:t>
      </w:r>
      <w:r w:rsidR="00F373A3" w:rsidRPr="00181FCD">
        <w:t xml:space="preserve"> </w:t>
      </w:r>
      <w:r w:rsidR="001937F4" w:rsidRPr="00181FCD">
        <w:t>12</w:t>
      </w:r>
      <w:r w:rsidR="00F373A3" w:rsidRPr="00181FCD">
        <w:t xml:space="preserve"> </w:t>
      </w:r>
      <w:r w:rsidR="001937F4" w:rsidRPr="00181FCD">
        <w:t>y</w:t>
      </w:r>
      <w:r w:rsidR="00F373A3" w:rsidRPr="00181FCD">
        <w:t xml:space="preserve"> </w:t>
      </w:r>
      <w:r w:rsidR="001937F4" w:rsidRPr="00181FCD">
        <w:t>13</w:t>
      </w:r>
    </w:p>
    <w:p w:rsidR="001937F4" w:rsidRPr="00181FCD" w:rsidRDefault="005D4F56" w:rsidP="005D4F56">
      <w:pPr>
        <w:pStyle w:val="H23G"/>
      </w:pPr>
      <w:r w:rsidRPr="00181FCD">
        <w:tab/>
      </w:r>
      <w:r w:rsidRPr="00181FCD">
        <w:tab/>
      </w:r>
      <w:r w:rsidR="001937F4" w:rsidRPr="00181FCD">
        <w:t>Respuesta</w:t>
      </w:r>
      <w:r w:rsidR="00F373A3" w:rsidRPr="00181FCD">
        <w:t xml:space="preserve"> </w:t>
      </w:r>
      <w:r w:rsidR="001937F4" w:rsidRPr="00181FCD">
        <w:t>a</w:t>
      </w:r>
      <w:r w:rsidR="00F373A3" w:rsidRPr="00181FCD">
        <w:t xml:space="preserve"> </w:t>
      </w:r>
      <w:r w:rsidR="001937F4" w:rsidRPr="00181FCD">
        <w:t>las</w:t>
      </w:r>
      <w:r w:rsidR="00F373A3" w:rsidRPr="00181FCD">
        <w:t xml:space="preserve"> </w:t>
      </w:r>
      <w:r w:rsidR="001937F4" w:rsidRPr="00181FCD">
        <w:t>cuestiones</w:t>
      </w:r>
      <w:r w:rsidR="00F373A3" w:rsidRPr="00181FCD">
        <w:t xml:space="preserve"> </w:t>
      </w:r>
      <w:r w:rsidR="001937F4" w:rsidRPr="00181FCD">
        <w:t>planteadas</w:t>
      </w:r>
      <w:r w:rsidR="00F373A3" w:rsidRPr="00181FCD">
        <w:t xml:space="preserve"> </w:t>
      </w:r>
      <w:r w:rsidR="001937F4" w:rsidRPr="00181FCD">
        <w:t>en</w:t>
      </w:r>
      <w:r w:rsidR="00F373A3" w:rsidRPr="00181FCD">
        <w:t xml:space="preserve"> </w:t>
      </w:r>
      <w:r w:rsidR="001937F4" w:rsidRPr="00181FCD">
        <w:t>el</w:t>
      </w:r>
      <w:r w:rsidR="00F373A3" w:rsidRPr="00181FCD">
        <w:t xml:space="preserve"> </w:t>
      </w:r>
      <w:r w:rsidR="001937F4" w:rsidRPr="00181FCD">
        <w:t>párrafo</w:t>
      </w:r>
      <w:r w:rsidR="00F373A3" w:rsidRPr="00181FCD">
        <w:t xml:space="preserve"> </w:t>
      </w:r>
      <w:r w:rsidR="001937F4" w:rsidRPr="00181FCD">
        <w:t>23</w:t>
      </w:r>
      <w:r w:rsidR="00F373A3" w:rsidRPr="00181FCD">
        <w:t xml:space="preserve"> </w:t>
      </w:r>
      <w:r w:rsidR="001937F4" w:rsidRPr="00181FCD">
        <w:t>de</w:t>
      </w:r>
      <w:r w:rsidR="00F373A3" w:rsidRPr="00181FCD">
        <w:t xml:space="preserve"> </w:t>
      </w:r>
      <w:r w:rsidR="001937F4" w:rsidRPr="00181FCD">
        <w:t>la</w:t>
      </w:r>
      <w:r w:rsidR="00F373A3" w:rsidRPr="00181FCD">
        <w:t xml:space="preserve"> </w:t>
      </w:r>
      <w:r w:rsidR="001937F4" w:rsidRPr="00181FCD">
        <w:t>lista</w:t>
      </w:r>
      <w:r w:rsidR="00F373A3" w:rsidRPr="00181FCD">
        <w:t xml:space="preserve"> </w:t>
      </w:r>
      <w:r w:rsidR="001937F4" w:rsidRPr="00181FCD">
        <w:t>de</w:t>
      </w:r>
      <w:r w:rsidR="00F373A3" w:rsidRPr="00181FCD">
        <w:t xml:space="preserve"> </w:t>
      </w:r>
      <w:r w:rsidR="001937F4" w:rsidRPr="00181FCD">
        <w:t>cuestiones</w:t>
      </w:r>
    </w:p>
    <w:p w:rsidR="001937F4" w:rsidRPr="00181FCD" w:rsidRDefault="001937F4" w:rsidP="00347B20">
      <w:pPr>
        <w:pStyle w:val="SingleTxtG"/>
        <w:suppressAutoHyphens/>
      </w:pPr>
      <w:r w:rsidRPr="00181FCD">
        <w:t>199.</w:t>
      </w:r>
      <w:r w:rsidRPr="00181FCD">
        <w:tab/>
        <w:t>En</w:t>
      </w:r>
      <w:r w:rsidR="00F373A3" w:rsidRPr="00181FCD">
        <w:t xml:space="preserve"> </w:t>
      </w:r>
      <w:r w:rsidRPr="00181FCD">
        <w:t>la</w:t>
      </w:r>
      <w:r w:rsidR="00F373A3" w:rsidRPr="00181FCD">
        <w:t xml:space="preserve"> </w:t>
      </w:r>
      <w:r w:rsidRPr="00181FCD">
        <w:t>República</w:t>
      </w:r>
      <w:r w:rsidR="00F373A3" w:rsidRPr="00181FCD">
        <w:t xml:space="preserve"> </w:t>
      </w:r>
      <w:r w:rsidRPr="00181FCD">
        <w:t>de</w:t>
      </w:r>
      <w:r w:rsidR="00F373A3" w:rsidRPr="00181FCD">
        <w:t xml:space="preserve"> </w:t>
      </w:r>
      <w:r w:rsidRPr="00181FCD">
        <w:t>Bulgaria</w:t>
      </w:r>
      <w:r w:rsidR="00F373A3" w:rsidRPr="00181FCD">
        <w:t xml:space="preserve"> </w:t>
      </w:r>
      <w:r w:rsidRPr="00181FCD">
        <w:t>existe</w:t>
      </w:r>
      <w:r w:rsidR="00F373A3" w:rsidRPr="00181FCD">
        <w:t xml:space="preserve"> </w:t>
      </w:r>
      <w:r w:rsidRPr="00181FCD">
        <w:t>la</w:t>
      </w:r>
      <w:r w:rsidR="00F373A3" w:rsidRPr="00181FCD">
        <w:t xml:space="preserve"> </w:t>
      </w:r>
      <w:r w:rsidRPr="00181FCD">
        <w:t>posibilidad</w:t>
      </w:r>
      <w:r w:rsidR="00F373A3" w:rsidRPr="00181FCD">
        <w:t xml:space="preserve"> </w:t>
      </w:r>
      <w:r w:rsidRPr="00181FCD">
        <w:t>de</w:t>
      </w:r>
      <w:r w:rsidR="00F373A3" w:rsidRPr="00181FCD">
        <w:t xml:space="preserve"> </w:t>
      </w:r>
      <w:r w:rsidRPr="00181FCD">
        <w:t>obtener</w:t>
      </w:r>
      <w:r w:rsidR="00F373A3" w:rsidRPr="00181FCD">
        <w:t xml:space="preserve"> </w:t>
      </w:r>
      <w:r w:rsidRPr="00181FCD">
        <w:t>asistencia</w:t>
      </w:r>
      <w:r w:rsidR="00F373A3" w:rsidRPr="00181FCD">
        <w:t xml:space="preserve"> </w:t>
      </w:r>
      <w:r w:rsidRPr="00181FCD">
        <w:t>y</w:t>
      </w:r>
      <w:r w:rsidR="00F373A3" w:rsidRPr="00181FCD">
        <w:t xml:space="preserve"> </w:t>
      </w:r>
      <w:r w:rsidRPr="00181FCD">
        <w:t>una</w:t>
      </w:r>
      <w:r w:rsidR="00F373A3" w:rsidRPr="00181FCD">
        <w:t xml:space="preserve"> </w:t>
      </w:r>
      <w:r w:rsidRPr="00181FCD">
        <w:t>compensación</w:t>
      </w:r>
      <w:r w:rsidR="00F373A3" w:rsidRPr="00181FCD">
        <w:t xml:space="preserve"> </w:t>
      </w:r>
      <w:r w:rsidRPr="00181FCD">
        <w:t>económica</w:t>
      </w:r>
      <w:r w:rsidR="00F373A3" w:rsidRPr="00181FCD">
        <w:t xml:space="preserve"> </w:t>
      </w:r>
      <w:r w:rsidRPr="00181FCD">
        <w:t>del</w:t>
      </w:r>
      <w:r w:rsidR="00F373A3" w:rsidRPr="00181FCD">
        <w:t xml:space="preserve"> </w:t>
      </w:r>
      <w:r w:rsidRPr="00181FCD">
        <w:t>Estado,</w:t>
      </w:r>
      <w:r w:rsidR="00F373A3" w:rsidRPr="00181FCD">
        <w:t xml:space="preserve"> </w:t>
      </w:r>
      <w:r w:rsidRPr="00181FCD">
        <w:t>que</w:t>
      </w:r>
      <w:r w:rsidR="00F373A3" w:rsidRPr="00181FCD">
        <w:t xml:space="preserve"> </w:t>
      </w:r>
      <w:r w:rsidRPr="00181FCD">
        <w:t>se</w:t>
      </w:r>
      <w:r w:rsidR="00F373A3" w:rsidRPr="00181FCD">
        <w:t xml:space="preserve"> </w:t>
      </w:r>
      <w:r w:rsidRPr="00181FCD">
        <w:t>determina</w:t>
      </w:r>
      <w:r w:rsidR="00F373A3" w:rsidRPr="00181FCD">
        <w:t xml:space="preserve"> </w:t>
      </w:r>
      <w:r w:rsidRPr="00181FCD">
        <w:t>de</w:t>
      </w:r>
      <w:r w:rsidR="00F373A3" w:rsidRPr="00181FCD">
        <w:t xml:space="preserve"> </w:t>
      </w:r>
      <w:r w:rsidRPr="00181FCD">
        <w:t>conformidad</w:t>
      </w:r>
      <w:r w:rsidR="00F373A3" w:rsidRPr="00181FCD">
        <w:t xml:space="preserve"> </w:t>
      </w:r>
      <w:r w:rsidRPr="00181FCD">
        <w:t>con</w:t>
      </w:r>
      <w:r w:rsidR="00F373A3" w:rsidRPr="00181FCD">
        <w:t xml:space="preserve"> </w:t>
      </w:r>
      <w:r w:rsidRPr="00181FCD">
        <w:t>la</w:t>
      </w:r>
      <w:r w:rsidR="00F373A3" w:rsidRPr="00181FCD">
        <w:t xml:space="preserve"> </w:t>
      </w:r>
      <w:r w:rsidRPr="00181FCD">
        <w:t>Ley</w:t>
      </w:r>
      <w:r w:rsidR="00F373A3" w:rsidRPr="00181FCD">
        <w:t xml:space="preserve"> </w:t>
      </w:r>
      <w:r w:rsidRPr="00181FCD">
        <w:t>de</w:t>
      </w:r>
      <w:r w:rsidR="00F373A3" w:rsidRPr="00181FCD">
        <w:t xml:space="preserve"> </w:t>
      </w:r>
      <w:r w:rsidRPr="00181FCD">
        <w:t>Asistencia</w:t>
      </w:r>
      <w:r w:rsidR="00F373A3" w:rsidRPr="00181FCD">
        <w:t xml:space="preserve"> </w:t>
      </w:r>
      <w:r w:rsidRPr="00181FCD">
        <w:t>y</w:t>
      </w:r>
      <w:r w:rsidR="00F373A3" w:rsidRPr="00181FCD">
        <w:t xml:space="preserve"> </w:t>
      </w:r>
      <w:r w:rsidRPr="00181FCD">
        <w:t>Compensación</w:t>
      </w:r>
      <w:r w:rsidR="00F373A3" w:rsidRPr="00181FCD">
        <w:t xml:space="preserve"> </w:t>
      </w:r>
      <w:r w:rsidRPr="00181FCD">
        <w:t>Financiera</w:t>
      </w:r>
      <w:r w:rsidR="00F373A3" w:rsidRPr="00181FCD">
        <w:t xml:space="preserve"> </w:t>
      </w:r>
      <w:r w:rsidRPr="00181FCD">
        <w:t>a</w:t>
      </w:r>
      <w:r w:rsidR="00F373A3" w:rsidRPr="00181FCD">
        <w:t xml:space="preserve"> </w:t>
      </w:r>
      <w:r w:rsidRPr="00181FCD">
        <w:t>las</w:t>
      </w:r>
      <w:r w:rsidR="00F373A3" w:rsidRPr="00181FCD">
        <w:t xml:space="preserve"> </w:t>
      </w:r>
      <w:r w:rsidRPr="00181FCD">
        <w:t>Víctimas</w:t>
      </w:r>
      <w:r w:rsidR="00F373A3" w:rsidRPr="00181FCD">
        <w:t xml:space="preserve"> </w:t>
      </w:r>
      <w:r w:rsidRPr="00181FCD">
        <w:t>de</w:t>
      </w:r>
      <w:r w:rsidR="00F373A3" w:rsidRPr="00181FCD">
        <w:t xml:space="preserve"> </w:t>
      </w:r>
      <w:r w:rsidRPr="00181FCD">
        <w:t>Delitos.</w:t>
      </w:r>
      <w:r w:rsidR="00F373A3" w:rsidRPr="00181FCD">
        <w:t xml:space="preserve"> </w:t>
      </w:r>
      <w:r w:rsidRPr="00181FCD">
        <w:t>Esta</w:t>
      </w:r>
      <w:r w:rsidR="00F373A3" w:rsidRPr="00181FCD">
        <w:t xml:space="preserve"> </w:t>
      </w:r>
      <w:r w:rsidR="00C820BE" w:rsidRPr="00181FCD">
        <w:t>ley</w:t>
      </w:r>
      <w:r w:rsidR="00F373A3" w:rsidRPr="00181FCD">
        <w:t xml:space="preserve"> </w:t>
      </w:r>
      <w:r w:rsidRPr="00181FCD">
        <w:t>regula</w:t>
      </w:r>
      <w:r w:rsidR="00F373A3" w:rsidRPr="00181FCD">
        <w:t xml:space="preserve"> </w:t>
      </w:r>
      <w:r w:rsidRPr="00181FCD">
        <w:t>los</w:t>
      </w:r>
      <w:r w:rsidR="00F373A3" w:rsidRPr="00181FCD">
        <w:t xml:space="preserve"> </w:t>
      </w:r>
      <w:r w:rsidRPr="00181FCD">
        <w:t>términos</w:t>
      </w:r>
      <w:r w:rsidR="00F373A3" w:rsidRPr="00181FCD">
        <w:t xml:space="preserve"> </w:t>
      </w:r>
      <w:r w:rsidRPr="00181FCD">
        <w:t>y</w:t>
      </w:r>
      <w:r w:rsidR="00F373A3" w:rsidRPr="00181FCD">
        <w:t xml:space="preserve"> </w:t>
      </w:r>
      <w:r w:rsidRPr="00181FCD">
        <w:t>condiciones</w:t>
      </w:r>
      <w:r w:rsidR="00F373A3" w:rsidRPr="00181FCD">
        <w:t xml:space="preserve"> </w:t>
      </w:r>
      <w:r w:rsidRPr="00181FCD">
        <w:t>de</w:t>
      </w:r>
      <w:r w:rsidR="00F373A3" w:rsidRPr="00181FCD">
        <w:t xml:space="preserve"> </w:t>
      </w:r>
      <w:r w:rsidRPr="00181FCD">
        <w:t>la</w:t>
      </w:r>
      <w:r w:rsidR="00F373A3" w:rsidRPr="00181FCD">
        <w:t xml:space="preserve"> </w:t>
      </w:r>
      <w:r w:rsidRPr="00181FCD">
        <w:t>asistencia</w:t>
      </w:r>
      <w:r w:rsidR="00F373A3" w:rsidRPr="00181FCD">
        <w:t xml:space="preserve"> </w:t>
      </w:r>
      <w:r w:rsidRPr="00181FCD">
        <w:t>y</w:t>
      </w:r>
      <w:r w:rsidR="00F373A3" w:rsidRPr="00181FCD">
        <w:t xml:space="preserve"> </w:t>
      </w:r>
      <w:r w:rsidRPr="00181FCD">
        <w:t>la</w:t>
      </w:r>
      <w:r w:rsidR="00F373A3" w:rsidRPr="00181FCD">
        <w:t xml:space="preserve"> </w:t>
      </w:r>
      <w:r w:rsidRPr="00181FCD">
        <w:t>compensación</w:t>
      </w:r>
      <w:r w:rsidR="00F373A3" w:rsidRPr="00181FCD">
        <w:t xml:space="preserve"> </w:t>
      </w:r>
      <w:r w:rsidRPr="00181FCD">
        <w:t>económica</w:t>
      </w:r>
      <w:r w:rsidR="00F373A3" w:rsidRPr="00181FCD">
        <w:t xml:space="preserve"> </w:t>
      </w:r>
      <w:r w:rsidRPr="00181FCD">
        <w:t>del</w:t>
      </w:r>
      <w:r w:rsidR="00F373A3" w:rsidRPr="00181FCD">
        <w:t xml:space="preserve"> </w:t>
      </w:r>
      <w:r w:rsidRPr="00181FCD">
        <w:t>Estado</w:t>
      </w:r>
      <w:r w:rsidR="00F373A3" w:rsidRPr="00181FCD">
        <w:t xml:space="preserve"> </w:t>
      </w:r>
      <w:r w:rsidRPr="00181FCD">
        <w:t>a</w:t>
      </w:r>
      <w:r w:rsidR="00F373A3" w:rsidRPr="00181FCD">
        <w:t xml:space="preserve"> </w:t>
      </w:r>
      <w:r w:rsidRPr="00181FCD">
        <w:t>las</w:t>
      </w:r>
      <w:r w:rsidR="00F373A3" w:rsidRPr="00181FCD">
        <w:t xml:space="preserve"> </w:t>
      </w:r>
      <w:r w:rsidRPr="00181FCD">
        <w:t>víctimas,</w:t>
      </w:r>
      <w:r w:rsidR="00F373A3" w:rsidRPr="00181FCD">
        <w:t xml:space="preserve"> </w:t>
      </w:r>
      <w:r w:rsidRPr="00181FCD">
        <w:t>dentro</w:t>
      </w:r>
      <w:r w:rsidR="00F373A3" w:rsidRPr="00181FCD">
        <w:t xml:space="preserve"> </w:t>
      </w:r>
      <w:r w:rsidRPr="00181FCD">
        <w:t>de</w:t>
      </w:r>
      <w:r w:rsidR="00F373A3" w:rsidRPr="00181FCD">
        <w:t xml:space="preserve"> </w:t>
      </w:r>
      <w:r w:rsidRPr="00181FCD">
        <w:t>una</w:t>
      </w:r>
      <w:r w:rsidR="00F373A3" w:rsidRPr="00181FCD">
        <w:t xml:space="preserve"> </w:t>
      </w:r>
      <w:r w:rsidRPr="00181FCD">
        <w:t>determinada</w:t>
      </w:r>
      <w:r w:rsidR="00F373A3" w:rsidRPr="00181FCD">
        <w:t xml:space="preserve"> </w:t>
      </w:r>
      <w:r w:rsidRPr="00181FCD">
        <w:t>categoría</w:t>
      </w:r>
      <w:r w:rsidR="00F373A3" w:rsidRPr="00181FCD">
        <w:t xml:space="preserve"> </w:t>
      </w:r>
      <w:r w:rsidRPr="00181FCD">
        <w:t>de</w:t>
      </w:r>
      <w:r w:rsidR="00F373A3" w:rsidRPr="00181FCD">
        <w:t xml:space="preserve"> </w:t>
      </w:r>
      <w:r w:rsidRPr="00181FCD">
        <w:t>delitos</w:t>
      </w:r>
      <w:r w:rsidR="00F373A3" w:rsidRPr="00181FCD">
        <w:t xml:space="preserve"> </w:t>
      </w:r>
      <w:r w:rsidRPr="00181FCD">
        <w:t>dolosos</w:t>
      </w:r>
      <w:r w:rsidR="00F373A3" w:rsidRPr="00181FCD">
        <w:t xml:space="preserve"> </w:t>
      </w:r>
      <w:r w:rsidRPr="00181FCD">
        <w:t>graves</w:t>
      </w:r>
      <w:r w:rsidR="00F373A3" w:rsidRPr="00181FCD">
        <w:t xml:space="preserve"> </w:t>
      </w:r>
      <w:r w:rsidRPr="00181FCD">
        <w:t>contra</w:t>
      </w:r>
      <w:r w:rsidR="00F373A3" w:rsidRPr="00181FCD">
        <w:t xml:space="preserve"> </w:t>
      </w:r>
      <w:r w:rsidRPr="00181FCD">
        <w:t>la</w:t>
      </w:r>
      <w:r w:rsidR="00F373A3" w:rsidRPr="00181FCD">
        <w:t xml:space="preserve"> </w:t>
      </w:r>
      <w:r w:rsidRPr="00181FCD">
        <w:t>persona,</w:t>
      </w:r>
      <w:r w:rsidR="00F373A3" w:rsidRPr="00181FCD">
        <w:t xml:space="preserve"> </w:t>
      </w:r>
      <w:r w:rsidRPr="00181FCD">
        <w:t>como</w:t>
      </w:r>
      <w:r w:rsidR="00F373A3" w:rsidRPr="00181FCD">
        <w:t xml:space="preserve"> </w:t>
      </w:r>
      <w:r w:rsidRPr="00181FCD">
        <w:t>terrorismo;</w:t>
      </w:r>
      <w:r w:rsidR="00F373A3" w:rsidRPr="00181FCD">
        <w:t xml:space="preserve"> </w:t>
      </w:r>
      <w:r w:rsidRPr="00181FCD">
        <w:t>homicidio</w:t>
      </w:r>
      <w:r w:rsidR="00F373A3" w:rsidRPr="00181FCD">
        <w:t xml:space="preserve"> </w:t>
      </w:r>
      <w:r w:rsidRPr="00181FCD">
        <w:t>premeditado;</w:t>
      </w:r>
      <w:r w:rsidR="00F373A3" w:rsidRPr="00181FCD">
        <w:t xml:space="preserve"> </w:t>
      </w:r>
      <w:r w:rsidRPr="00181FCD">
        <w:t>lesiones</w:t>
      </w:r>
      <w:r w:rsidR="00F373A3" w:rsidRPr="00181FCD">
        <w:t xml:space="preserve"> </w:t>
      </w:r>
      <w:r w:rsidRPr="00181FCD">
        <w:t>corporales</w:t>
      </w:r>
      <w:r w:rsidR="00F373A3" w:rsidRPr="00181FCD">
        <w:t xml:space="preserve"> </w:t>
      </w:r>
      <w:r w:rsidRPr="00181FCD">
        <w:t>graves</w:t>
      </w:r>
      <w:r w:rsidR="00F373A3" w:rsidRPr="00181FCD">
        <w:t xml:space="preserve"> </w:t>
      </w:r>
      <w:r w:rsidRPr="00181FCD">
        <w:t>deliberadas;</w:t>
      </w:r>
      <w:r w:rsidR="00F373A3" w:rsidRPr="00181FCD">
        <w:t xml:space="preserve"> </w:t>
      </w:r>
      <w:r w:rsidRPr="00181FCD">
        <w:t>fornicación</w:t>
      </w:r>
      <w:r w:rsidR="00F373A3" w:rsidRPr="00181FCD">
        <w:t xml:space="preserve"> </w:t>
      </w:r>
      <w:r w:rsidRPr="00181FCD">
        <w:t>y</w:t>
      </w:r>
      <w:r w:rsidR="00F373A3" w:rsidRPr="00181FCD">
        <w:t xml:space="preserve"> </w:t>
      </w:r>
      <w:r w:rsidRPr="00181FCD">
        <w:t>violación</w:t>
      </w:r>
      <w:r w:rsidR="00F373A3" w:rsidRPr="00181FCD">
        <w:t xml:space="preserve"> </w:t>
      </w:r>
      <w:r w:rsidRPr="00181FCD">
        <w:t>con</w:t>
      </w:r>
      <w:r w:rsidR="00F373A3" w:rsidRPr="00181FCD">
        <w:t xml:space="preserve"> </w:t>
      </w:r>
      <w:r w:rsidRPr="00181FCD">
        <w:t>daños</w:t>
      </w:r>
      <w:r w:rsidR="00F373A3" w:rsidRPr="00181FCD">
        <w:t xml:space="preserve"> </w:t>
      </w:r>
      <w:r w:rsidRPr="00181FCD">
        <w:t>graves</w:t>
      </w:r>
      <w:r w:rsidR="00F373A3" w:rsidRPr="00181FCD">
        <w:t xml:space="preserve"> </w:t>
      </w:r>
      <w:r w:rsidRPr="00181FCD">
        <w:t>para</w:t>
      </w:r>
      <w:r w:rsidR="00F373A3" w:rsidRPr="00181FCD">
        <w:t xml:space="preserve"> </w:t>
      </w:r>
      <w:r w:rsidRPr="00181FCD">
        <w:t>la</w:t>
      </w:r>
      <w:r w:rsidR="00F373A3" w:rsidRPr="00181FCD">
        <w:t xml:space="preserve"> </w:t>
      </w:r>
      <w:r w:rsidRPr="00181FCD">
        <w:t>salud;</w:t>
      </w:r>
      <w:r w:rsidR="00F373A3" w:rsidRPr="00181FCD">
        <w:t xml:space="preserve"> </w:t>
      </w:r>
      <w:r w:rsidRPr="00181FCD">
        <w:t>trata</w:t>
      </w:r>
      <w:r w:rsidR="00F373A3" w:rsidRPr="00181FCD">
        <w:t xml:space="preserve"> </w:t>
      </w:r>
      <w:r w:rsidRPr="00181FCD">
        <w:t>de</w:t>
      </w:r>
      <w:r w:rsidR="00F373A3" w:rsidRPr="00181FCD">
        <w:t xml:space="preserve"> </w:t>
      </w:r>
      <w:r w:rsidRPr="00181FCD">
        <w:t>personas;</w:t>
      </w:r>
      <w:r w:rsidR="00F373A3" w:rsidRPr="00181FCD">
        <w:t xml:space="preserve"> </w:t>
      </w:r>
      <w:r w:rsidRPr="00181FCD">
        <w:t>delitos</w:t>
      </w:r>
      <w:r w:rsidR="00F373A3" w:rsidRPr="00181FCD">
        <w:t xml:space="preserve"> </w:t>
      </w:r>
      <w:r w:rsidRPr="00181FCD">
        <w:t>cometidos</w:t>
      </w:r>
      <w:r w:rsidR="00F373A3" w:rsidRPr="00181FCD">
        <w:t xml:space="preserve"> </w:t>
      </w:r>
      <w:r w:rsidRPr="00181FCD">
        <w:t>en</w:t>
      </w:r>
      <w:r w:rsidR="00F373A3" w:rsidRPr="00181FCD">
        <w:t xml:space="preserve"> </w:t>
      </w:r>
      <w:r w:rsidRPr="00181FCD">
        <w:t>nombre</w:t>
      </w:r>
      <w:r w:rsidR="00F373A3" w:rsidRPr="00181FCD">
        <w:t xml:space="preserve"> </w:t>
      </w:r>
      <w:r w:rsidRPr="00181FCD">
        <w:t>o</w:t>
      </w:r>
      <w:r w:rsidR="00F373A3" w:rsidRPr="00181FCD">
        <w:t xml:space="preserve"> </w:t>
      </w:r>
      <w:r w:rsidRPr="00181FCD">
        <w:t>a</w:t>
      </w:r>
      <w:r w:rsidR="00F373A3" w:rsidRPr="00181FCD">
        <w:t xml:space="preserve"> </w:t>
      </w:r>
      <w:r w:rsidRPr="00181FCD">
        <w:t>raíz</w:t>
      </w:r>
      <w:r w:rsidR="00F373A3" w:rsidRPr="00181FCD">
        <w:t xml:space="preserve"> </w:t>
      </w:r>
      <w:r w:rsidRPr="00181FCD">
        <w:t>de</w:t>
      </w:r>
      <w:r w:rsidR="00F373A3" w:rsidRPr="00181FCD">
        <w:t xml:space="preserve"> </w:t>
      </w:r>
      <w:r w:rsidRPr="00181FCD">
        <w:t>la</w:t>
      </w:r>
      <w:r w:rsidR="00F373A3" w:rsidRPr="00181FCD">
        <w:t xml:space="preserve"> </w:t>
      </w:r>
      <w:r w:rsidRPr="00181FCD">
        <w:t>decisión</w:t>
      </w:r>
      <w:r w:rsidR="00F373A3" w:rsidRPr="00181FCD">
        <w:t xml:space="preserve"> </w:t>
      </w:r>
      <w:r w:rsidRPr="00181FCD">
        <w:t>de</w:t>
      </w:r>
      <w:r w:rsidR="00F373A3" w:rsidRPr="00181FCD">
        <w:t xml:space="preserve"> </w:t>
      </w:r>
      <w:r w:rsidRPr="00181FCD">
        <w:t>un</w:t>
      </w:r>
      <w:r w:rsidR="00F373A3" w:rsidRPr="00181FCD">
        <w:t xml:space="preserve"> </w:t>
      </w:r>
      <w:r w:rsidRPr="00181FCD">
        <w:t>grupo</w:t>
      </w:r>
      <w:r w:rsidR="00F373A3" w:rsidRPr="00181FCD">
        <w:t xml:space="preserve"> </w:t>
      </w:r>
      <w:r w:rsidRPr="00181FCD">
        <w:t>de</w:t>
      </w:r>
      <w:r w:rsidR="00F373A3" w:rsidRPr="00181FCD">
        <w:t xml:space="preserve"> </w:t>
      </w:r>
      <w:r w:rsidRPr="00181FCD">
        <w:t>delincuencia</w:t>
      </w:r>
      <w:r w:rsidR="00F373A3" w:rsidRPr="00181FCD">
        <w:t xml:space="preserve"> </w:t>
      </w:r>
      <w:r w:rsidRPr="00181FCD">
        <w:t>organizada,</w:t>
      </w:r>
      <w:r w:rsidR="00F373A3" w:rsidRPr="00181FCD">
        <w:t xml:space="preserve"> </w:t>
      </w:r>
      <w:r w:rsidRPr="00181FCD">
        <w:t>y</w:t>
      </w:r>
      <w:r w:rsidR="00F373A3" w:rsidRPr="00181FCD">
        <w:t xml:space="preserve"> </w:t>
      </w:r>
      <w:r w:rsidRPr="00181FCD">
        <w:t>otros</w:t>
      </w:r>
      <w:r w:rsidR="00F373A3" w:rsidRPr="00181FCD">
        <w:t xml:space="preserve"> </w:t>
      </w:r>
      <w:r w:rsidRPr="00181FCD">
        <w:t>delitos</w:t>
      </w:r>
      <w:r w:rsidR="00F373A3" w:rsidRPr="00181FCD">
        <w:t xml:space="preserve"> </w:t>
      </w:r>
      <w:r w:rsidRPr="00181FCD">
        <w:t>dolosos</w:t>
      </w:r>
      <w:r w:rsidR="00F373A3" w:rsidRPr="00181FCD">
        <w:t xml:space="preserve"> </w:t>
      </w:r>
      <w:r w:rsidRPr="00181FCD">
        <w:t>graves</w:t>
      </w:r>
      <w:r w:rsidR="00F373A3" w:rsidRPr="00181FCD">
        <w:t xml:space="preserve"> </w:t>
      </w:r>
      <w:r w:rsidRPr="00181FCD">
        <w:t>que</w:t>
      </w:r>
      <w:r w:rsidR="00F373A3" w:rsidRPr="00181FCD">
        <w:t xml:space="preserve"> </w:t>
      </w:r>
      <w:r w:rsidRPr="00181FCD">
        <w:t>causen</w:t>
      </w:r>
      <w:r w:rsidR="00F373A3" w:rsidRPr="00181FCD">
        <w:t xml:space="preserve"> </w:t>
      </w:r>
      <w:r w:rsidRPr="00181FCD">
        <w:t>la</w:t>
      </w:r>
      <w:r w:rsidR="00F373A3" w:rsidRPr="00181FCD">
        <w:t xml:space="preserve"> </w:t>
      </w:r>
      <w:r w:rsidRPr="00181FCD">
        <w:t>muerte</w:t>
      </w:r>
      <w:r w:rsidR="00F373A3" w:rsidRPr="00181FCD">
        <w:t xml:space="preserve"> </w:t>
      </w:r>
      <w:r w:rsidRPr="00181FCD">
        <w:t>o</w:t>
      </w:r>
      <w:r w:rsidR="00F373A3" w:rsidRPr="00181FCD">
        <w:t xml:space="preserve"> </w:t>
      </w:r>
      <w:r w:rsidRPr="00181FCD">
        <w:t>lesiones</w:t>
      </w:r>
      <w:r w:rsidR="00F373A3" w:rsidRPr="00181FCD">
        <w:t xml:space="preserve"> </w:t>
      </w:r>
      <w:r w:rsidRPr="00181FCD">
        <w:t>corporales</w:t>
      </w:r>
      <w:r w:rsidR="00F373A3" w:rsidRPr="00181FCD">
        <w:t xml:space="preserve"> </w:t>
      </w:r>
      <w:r w:rsidRPr="00181FCD">
        <w:t>graves.</w:t>
      </w:r>
      <w:r w:rsidR="00F373A3" w:rsidRPr="00181FCD">
        <w:t xml:space="preserve"> </w:t>
      </w:r>
      <w:r w:rsidRPr="00181FCD">
        <w:t>Esa</w:t>
      </w:r>
      <w:r w:rsidR="00F373A3" w:rsidRPr="00181FCD">
        <w:t xml:space="preserve"> </w:t>
      </w:r>
      <w:r w:rsidRPr="00181FCD">
        <w:t>asistencia</w:t>
      </w:r>
      <w:r w:rsidR="00F373A3" w:rsidRPr="00181FCD">
        <w:t xml:space="preserve"> </w:t>
      </w:r>
      <w:r w:rsidRPr="00181FCD">
        <w:t>está</w:t>
      </w:r>
      <w:r w:rsidR="00F373A3" w:rsidRPr="00181FCD">
        <w:t xml:space="preserve"> </w:t>
      </w:r>
      <w:r w:rsidRPr="00181FCD">
        <w:t>a</w:t>
      </w:r>
      <w:r w:rsidR="00F373A3" w:rsidRPr="00181FCD">
        <w:t xml:space="preserve"> </w:t>
      </w:r>
      <w:r w:rsidRPr="00181FCD">
        <w:t>disposición</w:t>
      </w:r>
      <w:r w:rsidR="00F373A3" w:rsidRPr="00181FCD">
        <w:t xml:space="preserve"> </w:t>
      </w:r>
      <w:r w:rsidRPr="00181FCD">
        <w:t>de</w:t>
      </w:r>
      <w:r w:rsidR="00F373A3" w:rsidRPr="00181FCD">
        <w:t xml:space="preserve"> </w:t>
      </w:r>
      <w:r w:rsidRPr="00181FCD">
        <w:t>las</w:t>
      </w:r>
      <w:r w:rsidR="00F373A3" w:rsidRPr="00181FCD">
        <w:t xml:space="preserve"> </w:t>
      </w:r>
      <w:r w:rsidRPr="00181FCD">
        <w:t>personas</w:t>
      </w:r>
      <w:r w:rsidR="00F373A3" w:rsidRPr="00181FCD">
        <w:t xml:space="preserve"> </w:t>
      </w:r>
      <w:r w:rsidRPr="00181FCD">
        <w:t>físicas</w:t>
      </w:r>
      <w:r w:rsidR="00F373A3" w:rsidRPr="00181FCD">
        <w:t xml:space="preserve"> </w:t>
      </w:r>
      <w:r w:rsidRPr="00181FCD">
        <w:t>que</w:t>
      </w:r>
      <w:r w:rsidR="00F373A3" w:rsidRPr="00181FCD">
        <w:t xml:space="preserve"> </w:t>
      </w:r>
      <w:r w:rsidRPr="00181FCD">
        <w:t>hayan</w:t>
      </w:r>
      <w:r w:rsidR="00F373A3" w:rsidRPr="00181FCD">
        <w:t xml:space="preserve"> </w:t>
      </w:r>
      <w:r w:rsidRPr="00181FCD">
        <w:t>sufrido</w:t>
      </w:r>
      <w:r w:rsidR="00F373A3" w:rsidRPr="00181FCD">
        <w:t xml:space="preserve"> </w:t>
      </w:r>
      <w:r w:rsidRPr="00181FCD">
        <w:t>perjuicios</w:t>
      </w:r>
      <w:r w:rsidR="00F373A3" w:rsidRPr="00181FCD">
        <w:t xml:space="preserve"> </w:t>
      </w:r>
      <w:r w:rsidRPr="00181FCD">
        <w:t>materiales</w:t>
      </w:r>
      <w:r w:rsidR="00F373A3" w:rsidRPr="00181FCD">
        <w:t xml:space="preserve"> </w:t>
      </w:r>
      <w:r w:rsidRPr="00181FCD">
        <w:t>o</w:t>
      </w:r>
      <w:r w:rsidR="00F373A3" w:rsidRPr="00181FCD">
        <w:t xml:space="preserve"> </w:t>
      </w:r>
      <w:r w:rsidRPr="00181FCD">
        <w:t>inmateriales</w:t>
      </w:r>
      <w:r w:rsidR="00F373A3" w:rsidRPr="00181FCD">
        <w:t xml:space="preserve"> </w:t>
      </w:r>
      <w:r w:rsidRPr="00181FCD">
        <w:t>y</w:t>
      </w:r>
      <w:r w:rsidR="00F373A3" w:rsidRPr="00181FCD">
        <w:t xml:space="preserve"> </w:t>
      </w:r>
      <w:r w:rsidRPr="00181FCD">
        <w:t>que</w:t>
      </w:r>
      <w:r w:rsidR="00F373A3" w:rsidRPr="00181FCD">
        <w:t xml:space="preserve"> </w:t>
      </w:r>
      <w:r w:rsidRPr="00181FCD">
        <w:t>sean</w:t>
      </w:r>
      <w:r w:rsidR="00F373A3" w:rsidRPr="00181FCD">
        <w:t xml:space="preserve"> </w:t>
      </w:r>
      <w:r w:rsidRPr="00181FCD">
        <w:t>ciudadanos</w:t>
      </w:r>
      <w:r w:rsidR="00F373A3" w:rsidRPr="00181FCD">
        <w:t xml:space="preserve"> </w:t>
      </w:r>
      <w:r w:rsidRPr="00181FCD">
        <w:t>búlgaros</w:t>
      </w:r>
      <w:r w:rsidR="00F373A3" w:rsidRPr="00181FCD">
        <w:t xml:space="preserve"> </w:t>
      </w:r>
      <w:r w:rsidRPr="00181FCD">
        <w:t>o</w:t>
      </w:r>
      <w:r w:rsidR="00F373A3" w:rsidRPr="00181FCD">
        <w:t xml:space="preserve"> </w:t>
      </w:r>
      <w:r w:rsidRPr="00181FCD">
        <w:t>de</w:t>
      </w:r>
      <w:r w:rsidR="00F373A3" w:rsidRPr="00181FCD">
        <w:t xml:space="preserve"> </w:t>
      </w:r>
      <w:r w:rsidRPr="00181FCD">
        <w:t>los</w:t>
      </w:r>
      <w:r w:rsidR="00F373A3" w:rsidRPr="00181FCD">
        <w:t xml:space="preserve"> </w:t>
      </w:r>
      <w:r w:rsidRPr="00181FCD">
        <w:t>Estados</w:t>
      </w:r>
      <w:r w:rsidR="00F373A3" w:rsidRPr="00181FCD">
        <w:t xml:space="preserve"> </w:t>
      </w:r>
      <w:r w:rsidRPr="00181FCD">
        <w:t>miembros</w:t>
      </w:r>
      <w:r w:rsidR="00F373A3" w:rsidRPr="00181FCD">
        <w:t xml:space="preserve"> </w:t>
      </w:r>
      <w:r w:rsidRPr="00181FCD">
        <w:t>de</w:t>
      </w:r>
      <w:r w:rsidR="00F373A3" w:rsidRPr="00181FCD">
        <w:t xml:space="preserve"> </w:t>
      </w:r>
      <w:r w:rsidRPr="00181FCD">
        <w:t>la</w:t>
      </w:r>
      <w:r w:rsidR="00F373A3" w:rsidRPr="00181FCD">
        <w:t xml:space="preserve"> </w:t>
      </w:r>
      <w:r w:rsidRPr="00181FCD">
        <w:t>Unión</w:t>
      </w:r>
      <w:r w:rsidR="00F373A3" w:rsidRPr="00181FCD">
        <w:t xml:space="preserve"> </w:t>
      </w:r>
      <w:r w:rsidRPr="00181FCD">
        <w:t>Europea,</w:t>
      </w:r>
      <w:r w:rsidR="00F373A3" w:rsidRPr="00181FCD">
        <w:t xml:space="preserve"> </w:t>
      </w:r>
      <w:r w:rsidRPr="00181FCD">
        <w:t>o</w:t>
      </w:r>
      <w:r w:rsidR="00F373A3" w:rsidRPr="00181FCD">
        <w:t xml:space="preserve"> </w:t>
      </w:r>
      <w:r w:rsidRPr="00181FCD">
        <w:t>bien</w:t>
      </w:r>
      <w:r w:rsidR="00F373A3" w:rsidRPr="00181FCD">
        <w:t xml:space="preserve"> </w:t>
      </w:r>
      <w:r w:rsidRPr="00181FCD">
        <w:t>otros</w:t>
      </w:r>
      <w:r w:rsidR="00F373A3" w:rsidRPr="00181FCD">
        <w:t xml:space="preserve"> </w:t>
      </w:r>
      <w:r w:rsidRPr="00181FCD">
        <w:t>ciudadanos</w:t>
      </w:r>
      <w:r w:rsidR="00F373A3" w:rsidRPr="00181FCD">
        <w:t xml:space="preserve"> </w:t>
      </w:r>
      <w:r w:rsidRPr="00181FCD">
        <w:t>extranjeros,</w:t>
      </w:r>
      <w:r w:rsidR="00F373A3" w:rsidRPr="00181FCD">
        <w:t xml:space="preserve"> </w:t>
      </w:r>
      <w:r w:rsidRPr="00181FCD">
        <w:t>si</w:t>
      </w:r>
      <w:r w:rsidR="00F373A3" w:rsidRPr="00181FCD">
        <w:t xml:space="preserve"> </w:t>
      </w:r>
      <w:r w:rsidRPr="00181FCD">
        <w:t>así</w:t>
      </w:r>
      <w:r w:rsidR="00F373A3" w:rsidRPr="00181FCD">
        <w:t xml:space="preserve"> </w:t>
      </w:r>
      <w:r w:rsidRPr="00181FCD">
        <w:t>lo</w:t>
      </w:r>
      <w:r w:rsidR="00F373A3" w:rsidRPr="00181FCD">
        <w:t xml:space="preserve"> </w:t>
      </w:r>
      <w:r w:rsidRPr="00181FCD">
        <w:t>estipulan</w:t>
      </w:r>
      <w:r w:rsidR="00F373A3" w:rsidRPr="00181FCD">
        <w:t xml:space="preserve"> </w:t>
      </w:r>
      <w:r w:rsidRPr="00181FCD">
        <w:t>los</w:t>
      </w:r>
      <w:r w:rsidR="00F373A3" w:rsidRPr="00181FCD">
        <w:t xml:space="preserve"> </w:t>
      </w:r>
      <w:r w:rsidRPr="00181FCD">
        <w:t>tratados</w:t>
      </w:r>
      <w:r w:rsidR="00F373A3" w:rsidRPr="00181FCD">
        <w:t xml:space="preserve"> </w:t>
      </w:r>
      <w:r w:rsidRPr="00181FCD">
        <w:t>internacionales</w:t>
      </w:r>
      <w:r w:rsidR="00F373A3" w:rsidRPr="00181FCD">
        <w:t xml:space="preserve"> </w:t>
      </w:r>
      <w:r w:rsidRPr="00181FCD">
        <w:t>en</w:t>
      </w:r>
      <w:r w:rsidR="00F373A3" w:rsidRPr="00181FCD">
        <w:t xml:space="preserve"> </w:t>
      </w:r>
      <w:r w:rsidRPr="00181FCD">
        <w:t>los</w:t>
      </w:r>
      <w:r w:rsidR="00F373A3" w:rsidRPr="00181FCD">
        <w:t xml:space="preserve"> </w:t>
      </w:r>
      <w:r w:rsidRPr="00181FCD">
        <w:t>que</w:t>
      </w:r>
      <w:r w:rsidR="00F373A3" w:rsidRPr="00181FCD">
        <w:t xml:space="preserve"> </w:t>
      </w:r>
      <w:r w:rsidRPr="00181FCD">
        <w:t>Bulgaria</w:t>
      </w:r>
      <w:r w:rsidR="00F373A3" w:rsidRPr="00181FCD">
        <w:t xml:space="preserve"> </w:t>
      </w:r>
      <w:r w:rsidRPr="00181FCD">
        <w:t>es</w:t>
      </w:r>
      <w:r w:rsidR="00F373A3" w:rsidRPr="00181FCD">
        <w:t xml:space="preserve"> </w:t>
      </w:r>
      <w:r w:rsidRPr="00181FCD">
        <w:t>parte.</w:t>
      </w:r>
      <w:r w:rsidR="00F373A3" w:rsidRPr="00181FCD">
        <w:t xml:space="preserve"> </w:t>
      </w:r>
      <w:r w:rsidRPr="00181FCD">
        <w:t>En</w:t>
      </w:r>
      <w:r w:rsidR="00F373A3" w:rsidRPr="00181FCD">
        <w:t xml:space="preserve"> </w:t>
      </w:r>
      <w:r w:rsidRPr="00181FCD">
        <w:t>caso</w:t>
      </w:r>
      <w:r w:rsidR="00F373A3" w:rsidRPr="00181FCD">
        <w:t xml:space="preserve"> </w:t>
      </w:r>
      <w:r w:rsidRPr="00181FCD">
        <w:t>de</w:t>
      </w:r>
      <w:r w:rsidR="00F373A3" w:rsidRPr="00181FCD">
        <w:t xml:space="preserve"> </w:t>
      </w:r>
      <w:r w:rsidRPr="00181FCD">
        <w:t>muerte,</w:t>
      </w:r>
      <w:r w:rsidR="00F373A3" w:rsidRPr="00181FCD">
        <w:t xml:space="preserve"> </w:t>
      </w:r>
      <w:r w:rsidRPr="00181FCD">
        <w:t>pueden</w:t>
      </w:r>
      <w:r w:rsidR="00F373A3" w:rsidRPr="00181FCD">
        <w:t xml:space="preserve"> </w:t>
      </w:r>
      <w:r w:rsidRPr="00181FCD">
        <w:t>recibir</w:t>
      </w:r>
      <w:r w:rsidR="00F373A3" w:rsidRPr="00181FCD">
        <w:t xml:space="preserve"> </w:t>
      </w:r>
      <w:r w:rsidRPr="00181FCD">
        <w:t>la</w:t>
      </w:r>
      <w:r w:rsidR="00F373A3" w:rsidRPr="00181FCD">
        <w:t xml:space="preserve"> </w:t>
      </w:r>
      <w:r w:rsidRPr="00181FCD">
        <w:t>ayuda</w:t>
      </w:r>
      <w:r w:rsidR="00F373A3" w:rsidRPr="00181FCD">
        <w:t xml:space="preserve"> </w:t>
      </w:r>
      <w:r w:rsidRPr="00181FCD">
        <w:t>los</w:t>
      </w:r>
      <w:r w:rsidR="00F373A3" w:rsidRPr="00181FCD">
        <w:t xml:space="preserve"> </w:t>
      </w:r>
      <w:r w:rsidRPr="00181FCD">
        <w:t>hijos,</w:t>
      </w:r>
      <w:r w:rsidR="00F373A3" w:rsidRPr="00181FCD">
        <w:t xml:space="preserve"> </w:t>
      </w:r>
      <w:r w:rsidRPr="00181FCD">
        <w:t>los</w:t>
      </w:r>
      <w:r w:rsidR="00F373A3" w:rsidRPr="00181FCD">
        <w:t xml:space="preserve"> </w:t>
      </w:r>
      <w:r w:rsidRPr="00181FCD">
        <w:t>padres,</w:t>
      </w:r>
      <w:r w:rsidR="00F373A3" w:rsidRPr="00181FCD">
        <w:t xml:space="preserve"> </w:t>
      </w:r>
      <w:r w:rsidRPr="00181FCD">
        <w:t>el</w:t>
      </w:r>
      <w:r w:rsidR="00F373A3" w:rsidRPr="00181FCD">
        <w:t xml:space="preserve"> </w:t>
      </w:r>
      <w:r w:rsidRPr="00181FCD">
        <w:t>cónyuge</w:t>
      </w:r>
      <w:r w:rsidR="00F373A3" w:rsidRPr="00181FCD">
        <w:t xml:space="preserve"> </w:t>
      </w:r>
      <w:r w:rsidRPr="00181FCD">
        <w:t>o</w:t>
      </w:r>
      <w:r w:rsidR="00F373A3" w:rsidRPr="00181FCD">
        <w:t xml:space="preserve"> </w:t>
      </w:r>
      <w:r w:rsidRPr="00181FCD">
        <w:t>la</w:t>
      </w:r>
      <w:r w:rsidR="00F373A3" w:rsidRPr="00181FCD">
        <w:t xml:space="preserve"> </w:t>
      </w:r>
      <w:r w:rsidRPr="00181FCD">
        <w:t>persona</w:t>
      </w:r>
      <w:r w:rsidR="00F373A3" w:rsidRPr="00181FCD">
        <w:t xml:space="preserve"> </w:t>
      </w:r>
      <w:r w:rsidRPr="00181FCD">
        <w:t>con</w:t>
      </w:r>
      <w:r w:rsidR="00F373A3" w:rsidRPr="00181FCD">
        <w:t xml:space="preserve"> </w:t>
      </w:r>
      <w:r w:rsidRPr="00181FCD">
        <w:t>quien</w:t>
      </w:r>
      <w:r w:rsidR="00F373A3" w:rsidRPr="00181FCD">
        <w:t xml:space="preserve"> </w:t>
      </w:r>
      <w:r w:rsidRPr="00181FCD">
        <w:t>la</w:t>
      </w:r>
      <w:r w:rsidR="00F373A3" w:rsidRPr="00181FCD">
        <w:t xml:space="preserve"> </w:t>
      </w:r>
      <w:r w:rsidRPr="00181FCD">
        <w:t>víctima</w:t>
      </w:r>
      <w:r w:rsidR="00F373A3" w:rsidRPr="00181FCD">
        <w:t xml:space="preserve"> </w:t>
      </w:r>
      <w:r w:rsidRPr="00181FCD">
        <w:t>conviva</w:t>
      </w:r>
      <w:r w:rsidR="00F373A3" w:rsidRPr="00181FCD">
        <w:t xml:space="preserve"> </w:t>
      </w:r>
      <w:r w:rsidRPr="00181FCD">
        <w:t>efectivamente.</w:t>
      </w:r>
    </w:p>
    <w:p w:rsidR="001937F4" w:rsidRPr="00181FCD" w:rsidRDefault="001937F4" w:rsidP="00347B20">
      <w:pPr>
        <w:pStyle w:val="SingleTxtG"/>
        <w:suppressAutoHyphens/>
      </w:pPr>
      <w:r w:rsidRPr="00181FCD">
        <w:t>200.</w:t>
      </w:r>
      <w:r w:rsidRPr="00181FCD">
        <w:tab/>
        <w:t>El</w:t>
      </w:r>
      <w:r w:rsidR="00F373A3" w:rsidRPr="00181FCD">
        <w:t xml:space="preserve"> </w:t>
      </w:r>
      <w:r w:rsidRPr="00181FCD">
        <w:t>artículo</w:t>
      </w:r>
      <w:r w:rsidR="00F373A3" w:rsidRPr="00181FCD">
        <w:t xml:space="preserve"> </w:t>
      </w:r>
      <w:r w:rsidRPr="00181FCD">
        <w:t>22</w:t>
      </w:r>
      <w:r w:rsidR="00F373A3" w:rsidRPr="00181FCD">
        <w:t xml:space="preserve"> </w:t>
      </w:r>
      <w:r w:rsidRPr="00181FCD">
        <w:t>de</w:t>
      </w:r>
      <w:r w:rsidR="00F373A3" w:rsidRPr="00181FCD">
        <w:t xml:space="preserve"> </w:t>
      </w:r>
      <w:r w:rsidRPr="00181FCD">
        <w:t>la</w:t>
      </w:r>
      <w:r w:rsidR="00F373A3" w:rsidRPr="00181FCD">
        <w:t xml:space="preserve"> </w:t>
      </w:r>
      <w:r w:rsidRPr="00181FCD">
        <w:t>Ley</w:t>
      </w:r>
      <w:r w:rsidR="00F373A3" w:rsidRPr="00181FCD">
        <w:t xml:space="preserve"> </w:t>
      </w:r>
      <w:r w:rsidRPr="00181FCD">
        <w:t>del</w:t>
      </w:r>
      <w:r w:rsidR="00F373A3" w:rsidRPr="00181FCD">
        <w:t xml:space="preserve"> </w:t>
      </w:r>
      <w:r w:rsidRPr="00181FCD">
        <w:t>Ministerio</w:t>
      </w:r>
      <w:r w:rsidR="00F373A3" w:rsidRPr="00181FCD">
        <w:t xml:space="preserve"> </w:t>
      </w:r>
      <w:r w:rsidRPr="00181FCD">
        <w:t>del</w:t>
      </w:r>
      <w:r w:rsidR="00F373A3" w:rsidRPr="00181FCD">
        <w:t xml:space="preserve"> </w:t>
      </w:r>
      <w:r w:rsidRPr="00181FCD">
        <w:t>Interior</w:t>
      </w:r>
      <w:r w:rsidR="00F373A3" w:rsidRPr="00181FCD">
        <w:t xml:space="preserve"> </w:t>
      </w:r>
      <w:r w:rsidRPr="00181FCD">
        <w:t>establece</w:t>
      </w:r>
      <w:r w:rsidR="00F373A3" w:rsidRPr="00181FCD">
        <w:t xml:space="preserve"> </w:t>
      </w:r>
      <w:r w:rsidRPr="00181FCD">
        <w:t>la</w:t>
      </w:r>
      <w:r w:rsidR="00F373A3" w:rsidRPr="00181FCD">
        <w:t xml:space="preserve"> </w:t>
      </w:r>
      <w:r w:rsidRPr="00181FCD">
        <w:t>prohibición</w:t>
      </w:r>
      <w:r w:rsidR="00F373A3" w:rsidRPr="00181FCD">
        <w:t xml:space="preserve"> </w:t>
      </w:r>
      <w:r w:rsidRPr="00181FCD">
        <w:t>de</w:t>
      </w:r>
      <w:r w:rsidR="00F373A3" w:rsidRPr="00181FCD">
        <w:t xml:space="preserve"> </w:t>
      </w:r>
      <w:r w:rsidRPr="00181FCD">
        <w:t>recopilar</w:t>
      </w:r>
      <w:r w:rsidR="00F373A3" w:rsidRPr="00181FCD">
        <w:t xml:space="preserve"> </w:t>
      </w:r>
      <w:r w:rsidRPr="00181FCD">
        <w:t>información</w:t>
      </w:r>
      <w:r w:rsidR="00F373A3" w:rsidRPr="00181FCD">
        <w:t xml:space="preserve"> </w:t>
      </w:r>
      <w:r w:rsidRPr="00181FCD">
        <w:t>sobre</w:t>
      </w:r>
      <w:r w:rsidR="00F373A3" w:rsidRPr="00181FCD">
        <w:t xml:space="preserve"> </w:t>
      </w:r>
      <w:r w:rsidRPr="00181FCD">
        <w:t>los</w:t>
      </w:r>
      <w:r w:rsidR="00F373A3" w:rsidRPr="00181FCD">
        <w:t xml:space="preserve"> </w:t>
      </w:r>
      <w:r w:rsidRPr="00181FCD">
        <w:t>ciudadanos</w:t>
      </w:r>
      <w:r w:rsidR="00F373A3" w:rsidRPr="00181FCD">
        <w:t xml:space="preserve"> </w:t>
      </w:r>
      <w:r w:rsidRPr="00181FCD">
        <w:t>únicamente</w:t>
      </w:r>
      <w:r w:rsidR="00F373A3" w:rsidRPr="00181FCD">
        <w:t xml:space="preserve"> </w:t>
      </w:r>
      <w:r w:rsidRPr="00181FCD">
        <w:t>sobre</w:t>
      </w:r>
      <w:r w:rsidR="00F373A3" w:rsidRPr="00181FCD">
        <w:t xml:space="preserve"> </w:t>
      </w:r>
      <w:r w:rsidRPr="00181FCD">
        <w:t>la</w:t>
      </w:r>
      <w:r w:rsidR="00F373A3" w:rsidRPr="00181FCD">
        <w:t xml:space="preserve"> </w:t>
      </w:r>
      <w:r w:rsidRPr="00181FCD">
        <w:t>base</w:t>
      </w:r>
      <w:r w:rsidR="00F373A3" w:rsidRPr="00181FCD">
        <w:t xml:space="preserve"> </w:t>
      </w:r>
      <w:r w:rsidRPr="00181FCD">
        <w:t>de</w:t>
      </w:r>
      <w:r w:rsidR="00F373A3" w:rsidRPr="00181FCD">
        <w:t xml:space="preserve"> </w:t>
      </w:r>
      <w:r w:rsidRPr="00181FCD">
        <w:t>la</w:t>
      </w:r>
      <w:r w:rsidR="00F373A3" w:rsidRPr="00181FCD">
        <w:t xml:space="preserve"> </w:t>
      </w:r>
      <w:r w:rsidRPr="00181FCD">
        <w:t>raza</w:t>
      </w:r>
      <w:r w:rsidR="00F373A3" w:rsidRPr="00181FCD">
        <w:t xml:space="preserve"> </w:t>
      </w:r>
      <w:r w:rsidRPr="00181FCD">
        <w:t>o</w:t>
      </w:r>
      <w:r w:rsidR="00F373A3" w:rsidRPr="00181FCD">
        <w:t xml:space="preserve"> </w:t>
      </w:r>
      <w:r w:rsidRPr="00181FCD">
        <w:t>el</w:t>
      </w:r>
      <w:r w:rsidR="00F373A3" w:rsidRPr="00181FCD">
        <w:t xml:space="preserve"> </w:t>
      </w:r>
      <w:r w:rsidRPr="00181FCD">
        <w:t>origen</w:t>
      </w:r>
      <w:r w:rsidR="00F373A3" w:rsidRPr="00181FCD">
        <w:t xml:space="preserve"> </w:t>
      </w:r>
      <w:r w:rsidRPr="00181FCD">
        <w:t>étnico,</w:t>
      </w:r>
      <w:r w:rsidR="00F373A3" w:rsidRPr="00181FCD">
        <w:t xml:space="preserve"> </w:t>
      </w:r>
      <w:r w:rsidRPr="00181FCD">
        <w:t>las</w:t>
      </w:r>
      <w:r w:rsidR="00F373A3" w:rsidRPr="00181FCD">
        <w:t xml:space="preserve"> </w:t>
      </w:r>
      <w:r w:rsidRPr="00181FCD">
        <w:t>convicciones</w:t>
      </w:r>
      <w:r w:rsidR="00F373A3" w:rsidRPr="00181FCD">
        <w:t xml:space="preserve"> </w:t>
      </w:r>
      <w:r w:rsidRPr="00181FCD">
        <w:t>políticas,</w:t>
      </w:r>
      <w:r w:rsidR="00F373A3" w:rsidRPr="00181FCD">
        <w:t xml:space="preserve"> </w:t>
      </w:r>
      <w:r w:rsidRPr="00181FCD">
        <w:t>religiosas</w:t>
      </w:r>
      <w:r w:rsidR="00F373A3" w:rsidRPr="00181FCD">
        <w:t xml:space="preserve"> </w:t>
      </w:r>
      <w:r w:rsidRPr="00181FCD">
        <w:t>o</w:t>
      </w:r>
      <w:r w:rsidR="00F373A3" w:rsidRPr="00181FCD">
        <w:t xml:space="preserve"> </w:t>
      </w:r>
      <w:r w:rsidRPr="00181FCD">
        <w:t>filosóficas,</w:t>
      </w:r>
      <w:r w:rsidR="00F373A3" w:rsidRPr="00181FCD">
        <w:t xml:space="preserve"> </w:t>
      </w:r>
      <w:r w:rsidRPr="00181FCD">
        <w:t>o</w:t>
      </w:r>
      <w:r w:rsidR="00F373A3" w:rsidRPr="00181FCD">
        <w:t xml:space="preserve"> </w:t>
      </w:r>
      <w:r w:rsidRPr="00181FCD">
        <w:t>la</w:t>
      </w:r>
      <w:r w:rsidR="00F373A3" w:rsidRPr="00181FCD">
        <w:t xml:space="preserve"> </w:t>
      </w:r>
      <w:r w:rsidRPr="00181FCD">
        <w:t>pertenencia</w:t>
      </w:r>
      <w:r w:rsidR="00F373A3" w:rsidRPr="00181FCD">
        <w:t xml:space="preserve"> </w:t>
      </w:r>
      <w:r w:rsidRPr="00181FCD">
        <w:t>a</w:t>
      </w:r>
      <w:r w:rsidR="00F373A3" w:rsidRPr="00181FCD">
        <w:t xml:space="preserve"> </w:t>
      </w:r>
      <w:r w:rsidRPr="00181FCD">
        <w:t>partidos</w:t>
      </w:r>
      <w:r w:rsidR="00F373A3" w:rsidRPr="00181FCD">
        <w:t xml:space="preserve"> </w:t>
      </w:r>
      <w:r w:rsidRPr="00181FCD">
        <w:t>políticos,</w:t>
      </w:r>
      <w:r w:rsidR="00F373A3" w:rsidRPr="00181FCD">
        <w:t xml:space="preserve"> </w:t>
      </w:r>
      <w:r w:rsidRPr="00181FCD">
        <w:t>organizaciones</w:t>
      </w:r>
      <w:r w:rsidR="00F373A3" w:rsidRPr="00181FCD">
        <w:t xml:space="preserve"> </w:t>
      </w:r>
      <w:r w:rsidRPr="00181FCD">
        <w:t>o</w:t>
      </w:r>
      <w:r w:rsidR="00F373A3" w:rsidRPr="00181FCD">
        <w:t xml:space="preserve"> </w:t>
      </w:r>
      <w:r w:rsidRPr="00181FCD">
        <w:t>asociaciones</w:t>
      </w:r>
      <w:r w:rsidR="00F373A3" w:rsidRPr="00181FCD">
        <w:t xml:space="preserve"> </w:t>
      </w:r>
      <w:r w:rsidRPr="00181FCD">
        <w:t>con</w:t>
      </w:r>
      <w:r w:rsidR="00F373A3" w:rsidRPr="00181FCD">
        <w:t xml:space="preserve"> </w:t>
      </w:r>
      <w:r w:rsidRPr="00181FCD">
        <w:t>fines</w:t>
      </w:r>
      <w:r w:rsidR="00F373A3" w:rsidRPr="00181FCD">
        <w:t xml:space="preserve"> </w:t>
      </w:r>
      <w:r w:rsidRPr="00181FCD">
        <w:t>religiosos,</w:t>
      </w:r>
      <w:r w:rsidR="00F373A3" w:rsidRPr="00181FCD">
        <w:t xml:space="preserve"> </w:t>
      </w:r>
      <w:r w:rsidRPr="00181FCD">
        <w:t>filosóficos,</w:t>
      </w:r>
      <w:r w:rsidR="00F373A3" w:rsidRPr="00181FCD">
        <w:t xml:space="preserve"> </w:t>
      </w:r>
      <w:r w:rsidRPr="00181FCD">
        <w:t>políticos</w:t>
      </w:r>
      <w:r w:rsidR="00F373A3" w:rsidRPr="00181FCD">
        <w:t xml:space="preserve"> </w:t>
      </w:r>
      <w:r w:rsidRPr="00181FCD">
        <w:t>o</w:t>
      </w:r>
      <w:r w:rsidR="00F373A3" w:rsidRPr="00181FCD">
        <w:t xml:space="preserve"> </w:t>
      </w:r>
      <w:r w:rsidRPr="00181FCD">
        <w:t>sindicales,</w:t>
      </w:r>
      <w:r w:rsidR="00F373A3" w:rsidRPr="00181FCD">
        <w:t xml:space="preserve"> </w:t>
      </w:r>
      <w:r w:rsidRPr="00181FCD">
        <w:t>o</w:t>
      </w:r>
      <w:r w:rsidR="00F373A3" w:rsidRPr="00181FCD">
        <w:t xml:space="preserve"> </w:t>
      </w:r>
      <w:r w:rsidRPr="00181FCD">
        <w:t>en</w:t>
      </w:r>
      <w:r w:rsidR="00F373A3" w:rsidRPr="00181FCD">
        <w:t xml:space="preserve"> </w:t>
      </w:r>
      <w:r w:rsidRPr="00181FCD">
        <w:t>base</w:t>
      </w:r>
      <w:r w:rsidR="00F373A3" w:rsidRPr="00181FCD">
        <w:t xml:space="preserve"> </w:t>
      </w:r>
      <w:r w:rsidRPr="00181FCD">
        <w:t>a</w:t>
      </w:r>
      <w:r w:rsidR="00F373A3" w:rsidRPr="00181FCD">
        <w:t xml:space="preserve"> </w:t>
      </w:r>
      <w:r w:rsidRPr="00181FCD">
        <w:t>su</w:t>
      </w:r>
      <w:r w:rsidR="00F373A3" w:rsidRPr="00181FCD">
        <w:t xml:space="preserve"> </w:t>
      </w:r>
      <w:r w:rsidRPr="00181FCD">
        <w:t>salud</w:t>
      </w:r>
      <w:r w:rsidR="00F373A3" w:rsidRPr="00181FCD">
        <w:t xml:space="preserve"> </w:t>
      </w:r>
      <w:r w:rsidRPr="00181FCD">
        <w:t>o</w:t>
      </w:r>
      <w:r w:rsidR="00F373A3" w:rsidRPr="00181FCD">
        <w:t xml:space="preserve"> </w:t>
      </w:r>
      <w:r w:rsidRPr="00181FCD">
        <w:t>vida</w:t>
      </w:r>
      <w:r w:rsidR="00F373A3" w:rsidRPr="00181FCD">
        <w:t xml:space="preserve"> </w:t>
      </w:r>
      <w:r w:rsidRPr="00181FCD">
        <w:t>sexual.</w:t>
      </w:r>
      <w:r w:rsidR="00F373A3" w:rsidRPr="00181FCD">
        <w:t xml:space="preserve"> </w:t>
      </w:r>
      <w:r w:rsidRPr="00181FCD">
        <w:t>De</w:t>
      </w:r>
      <w:r w:rsidR="00F373A3" w:rsidRPr="00181FCD">
        <w:t xml:space="preserve"> </w:t>
      </w:r>
      <w:r w:rsidRPr="00181FCD">
        <w:t>conformidad</w:t>
      </w:r>
      <w:r w:rsidR="00F373A3" w:rsidRPr="00181FCD">
        <w:t xml:space="preserve"> </w:t>
      </w:r>
      <w:r w:rsidRPr="00181FCD">
        <w:t>con</w:t>
      </w:r>
      <w:r w:rsidR="00F373A3" w:rsidRPr="00181FCD">
        <w:t xml:space="preserve"> </w:t>
      </w:r>
      <w:r w:rsidRPr="00181FCD">
        <w:t>las</w:t>
      </w:r>
      <w:r w:rsidR="00F373A3" w:rsidRPr="00181FCD">
        <w:t xml:space="preserve"> </w:t>
      </w:r>
      <w:r w:rsidRPr="00181FCD">
        <w:t>disposiciones</w:t>
      </w:r>
      <w:r w:rsidR="00F373A3" w:rsidRPr="00181FCD">
        <w:t xml:space="preserve"> </w:t>
      </w:r>
      <w:r w:rsidRPr="00181FCD">
        <w:t>jurídicas</w:t>
      </w:r>
      <w:r w:rsidR="00F373A3" w:rsidRPr="00181FCD">
        <w:t xml:space="preserve"> </w:t>
      </w:r>
      <w:r w:rsidRPr="00181FCD">
        <w:t>antes</w:t>
      </w:r>
      <w:r w:rsidR="00F373A3" w:rsidRPr="00181FCD">
        <w:t xml:space="preserve"> </w:t>
      </w:r>
      <w:r w:rsidRPr="00181FCD">
        <w:t>citadas,</w:t>
      </w:r>
      <w:r w:rsidR="00F373A3" w:rsidRPr="00181FCD">
        <w:t xml:space="preserve"> </w:t>
      </w:r>
      <w:r w:rsidRPr="00181FCD">
        <w:t>las</w:t>
      </w:r>
      <w:r w:rsidR="00F373A3" w:rsidRPr="00181FCD">
        <w:t xml:space="preserve"> </w:t>
      </w:r>
      <w:r w:rsidRPr="00181FCD">
        <w:t>bases</w:t>
      </w:r>
      <w:r w:rsidR="00F373A3" w:rsidRPr="00181FCD">
        <w:t xml:space="preserve"> </w:t>
      </w:r>
      <w:r w:rsidRPr="00181FCD">
        <w:t>de</w:t>
      </w:r>
      <w:r w:rsidR="00F373A3" w:rsidRPr="00181FCD">
        <w:t xml:space="preserve"> </w:t>
      </w:r>
      <w:r w:rsidRPr="00181FCD">
        <w:t>datos</w:t>
      </w:r>
      <w:r w:rsidR="00F373A3" w:rsidRPr="00181FCD">
        <w:t xml:space="preserve"> </w:t>
      </w:r>
      <w:r w:rsidRPr="00181FCD">
        <w:t>del</w:t>
      </w:r>
      <w:r w:rsidR="00F373A3" w:rsidRPr="00181FCD">
        <w:t xml:space="preserve"> </w:t>
      </w:r>
      <w:r w:rsidRPr="00181FCD">
        <w:t>Ministerio</w:t>
      </w:r>
      <w:r w:rsidR="00F373A3" w:rsidRPr="00181FCD">
        <w:t xml:space="preserve"> </w:t>
      </w:r>
      <w:r w:rsidRPr="00181FCD">
        <w:t>del</w:t>
      </w:r>
      <w:r w:rsidR="00F373A3" w:rsidRPr="00181FCD">
        <w:t xml:space="preserve"> </w:t>
      </w:r>
      <w:r w:rsidRPr="00181FCD">
        <w:t>Interior,</w:t>
      </w:r>
      <w:r w:rsidR="00F373A3" w:rsidRPr="00181FCD">
        <w:t xml:space="preserve"> </w:t>
      </w:r>
      <w:r w:rsidRPr="00181FCD">
        <w:t>en</w:t>
      </w:r>
      <w:r w:rsidR="00F373A3" w:rsidRPr="00181FCD">
        <w:t xml:space="preserve"> </w:t>
      </w:r>
      <w:r w:rsidRPr="00181FCD">
        <w:t>particular</w:t>
      </w:r>
      <w:r w:rsidR="00F373A3" w:rsidRPr="00181FCD">
        <w:t xml:space="preserve"> </w:t>
      </w:r>
      <w:r w:rsidRPr="00181FCD">
        <w:t>la</w:t>
      </w:r>
      <w:r w:rsidR="00F373A3" w:rsidRPr="00181FCD">
        <w:t xml:space="preserve"> </w:t>
      </w:r>
      <w:r w:rsidRPr="00181FCD">
        <w:t>de</w:t>
      </w:r>
      <w:r w:rsidR="00F373A3" w:rsidRPr="00181FCD">
        <w:t xml:space="preserve"> </w:t>
      </w:r>
      <w:r w:rsidRPr="00181FCD">
        <w:t>la</w:t>
      </w:r>
      <w:r w:rsidR="00F373A3" w:rsidRPr="00181FCD">
        <w:t xml:space="preserve"> </w:t>
      </w:r>
      <w:r w:rsidRPr="00181FCD">
        <w:t>Dirección</w:t>
      </w:r>
      <w:r w:rsidR="00F373A3" w:rsidRPr="00181FCD">
        <w:t xml:space="preserve"> </w:t>
      </w:r>
      <w:r w:rsidRPr="00181FCD">
        <w:t>de</w:t>
      </w:r>
      <w:r w:rsidR="00F373A3" w:rsidRPr="00181FCD">
        <w:t xml:space="preserve"> </w:t>
      </w:r>
      <w:r w:rsidRPr="00181FCD">
        <w:t>Recursos</w:t>
      </w:r>
      <w:r w:rsidR="00F373A3" w:rsidRPr="00181FCD">
        <w:t xml:space="preserve"> </w:t>
      </w:r>
      <w:r w:rsidRPr="00181FCD">
        <w:t>Humanos,</w:t>
      </w:r>
      <w:r w:rsidR="00F373A3" w:rsidRPr="00181FCD">
        <w:t xml:space="preserve"> </w:t>
      </w:r>
      <w:r w:rsidRPr="00181FCD">
        <w:t>no</w:t>
      </w:r>
      <w:r w:rsidR="00F373A3" w:rsidRPr="00181FCD">
        <w:t xml:space="preserve"> </w:t>
      </w:r>
      <w:r w:rsidRPr="00181FCD">
        <w:t>recogen,</w:t>
      </w:r>
      <w:r w:rsidR="00F373A3" w:rsidRPr="00181FCD">
        <w:t xml:space="preserve"> </w:t>
      </w:r>
      <w:r w:rsidRPr="00181FCD">
        <w:t>procesan</w:t>
      </w:r>
      <w:r w:rsidR="00F373A3" w:rsidRPr="00181FCD">
        <w:t xml:space="preserve"> </w:t>
      </w:r>
      <w:r w:rsidRPr="00181FCD">
        <w:t>ni</w:t>
      </w:r>
      <w:r w:rsidR="00F373A3" w:rsidRPr="00181FCD">
        <w:t xml:space="preserve"> </w:t>
      </w:r>
      <w:r w:rsidRPr="00181FCD">
        <w:t>almacenan</w:t>
      </w:r>
      <w:r w:rsidR="00F373A3" w:rsidRPr="00181FCD">
        <w:t xml:space="preserve"> </w:t>
      </w:r>
      <w:r w:rsidRPr="00181FCD">
        <w:t>información</w:t>
      </w:r>
      <w:r w:rsidR="00F373A3" w:rsidRPr="00181FCD">
        <w:t xml:space="preserve"> </w:t>
      </w:r>
      <w:r w:rsidRPr="00181FCD">
        <w:t>sobre</w:t>
      </w:r>
      <w:r w:rsidR="00F373A3" w:rsidRPr="00181FCD">
        <w:t xml:space="preserve"> </w:t>
      </w:r>
      <w:r w:rsidRPr="00181FCD">
        <w:t>los</w:t>
      </w:r>
      <w:r w:rsidR="00F373A3" w:rsidRPr="00181FCD">
        <w:t xml:space="preserve"> </w:t>
      </w:r>
      <w:r w:rsidRPr="00181FCD">
        <w:t>empleados</w:t>
      </w:r>
      <w:r w:rsidR="00F373A3" w:rsidRPr="00181FCD">
        <w:t xml:space="preserve"> </w:t>
      </w:r>
      <w:r w:rsidRPr="00181FCD">
        <w:t>en</w:t>
      </w:r>
      <w:r w:rsidR="00F373A3" w:rsidRPr="00181FCD">
        <w:t xml:space="preserve"> </w:t>
      </w:r>
      <w:r w:rsidRPr="00181FCD">
        <w:t>virtud</w:t>
      </w:r>
      <w:r w:rsidR="00F373A3" w:rsidRPr="00181FCD">
        <w:t xml:space="preserve"> </w:t>
      </w:r>
      <w:r w:rsidRPr="00181FCD">
        <w:t>de</w:t>
      </w:r>
      <w:r w:rsidR="00F373A3" w:rsidRPr="00181FCD">
        <w:t xml:space="preserve"> </w:t>
      </w:r>
      <w:r w:rsidRPr="00181FCD">
        <w:t>las</w:t>
      </w:r>
      <w:r w:rsidR="00F373A3" w:rsidRPr="00181FCD">
        <w:t xml:space="preserve"> </w:t>
      </w:r>
      <w:r w:rsidRPr="00181FCD">
        <w:t>características</w:t>
      </w:r>
      <w:r w:rsidR="00F373A3" w:rsidRPr="00181FCD">
        <w:t xml:space="preserve"> </w:t>
      </w:r>
      <w:r w:rsidRPr="00181FCD">
        <w:t>indicadas,</w:t>
      </w:r>
      <w:r w:rsidR="00F373A3" w:rsidRPr="00181FCD">
        <w:t xml:space="preserve"> </w:t>
      </w:r>
      <w:r w:rsidRPr="00181FCD">
        <w:t>como</w:t>
      </w:r>
      <w:r w:rsidR="00F373A3" w:rsidRPr="00181FCD">
        <w:t xml:space="preserve"> </w:t>
      </w:r>
      <w:r w:rsidRPr="00181FCD">
        <w:t>su</w:t>
      </w:r>
      <w:r w:rsidR="00F373A3" w:rsidRPr="00181FCD">
        <w:t xml:space="preserve"> </w:t>
      </w:r>
      <w:r w:rsidRPr="00181FCD">
        <w:t>origen</w:t>
      </w:r>
      <w:r w:rsidR="00F373A3" w:rsidRPr="00181FCD">
        <w:t xml:space="preserve"> </w:t>
      </w:r>
      <w:r w:rsidRPr="00181FCD">
        <w:t>étnico.</w:t>
      </w:r>
    </w:p>
    <w:p w:rsidR="001937F4" w:rsidRPr="00181FCD" w:rsidRDefault="005D4F56" w:rsidP="005D4F56">
      <w:pPr>
        <w:pStyle w:val="H1G"/>
      </w:pPr>
      <w:r w:rsidRPr="00181FCD">
        <w:tab/>
      </w:r>
      <w:r w:rsidRPr="00181FCD">
        <w:tab/>
      </w:r>
      <w:r w:rsidR="001937F4" w:rsidRPr="00181FCD">
        <w:t>Artículo</w:t>
      </w:r>
      <w:r w:rsidR="00F373A3" w:rsidRPr="00181FCD">
        <w:t xml:space="preserve"> </w:t>
      </w:r>
      <w:r w:rsidR="001937F4" w:rsidRPr="00181FCD">
        <w:t>14</w:t>
      </w:r>
    </w:p>
    <w:p w:rsidR="001937F4" w:rsidRPr="00181FCD" w:rsidRDefault="005D4F56" w:rsidP="005D4F56">
      <w:pPr>
        <w:pStyle w:val="H23G"/>
      </w:pPr>
      <w:r w:rsidRPr="00181FCD">
        <w:tab/>
      </w:r>
      <w:r w:rsidRPr="00181FCD">
        <w:tab/>
      </w:r>
      <w:r w:rsidR="001937F4" w:rsidRPr="00181FCD">
        <w:t>Respuesta</w:t>
      </w:r>
      <w:r w:rsidR="00F373A3" w:rsidRPr="00181FCD">
        <w:t xml:space="preserve"> </w:t>
      </w:r>
      <w:r w:rsidR="001937F4" w:rsidRPr="00181FCD">
        <w:t>a</w:t>
      </w:r>
      <w:r w:rsidR="00F373A3" w:rsidRPr="00181FCD">
        <w:t xml:space="preserve"> </w:t>
      </w:r>
      <w:r w:rsidR="001937F4" w:rsidRPr="00181FCD">
        <w:t>las</w:t>
      </w:r>
      <w:r w:rsidR="00F373A3" w:rsidRPr="00181FCD">
        <w:t xml:space="preserve"> </w:t>
      </w:r>
      <w:r w:rsidR="001937F4" w:rsidRPr="00181FCD">
        <w:t>cuestiones</w:t>
      </w:r>
      <w:r w:rsidR="00F373A3" w:rsidRPr="00181FCD">
        <w:t xml:space="preserve"> </w:t>
      </w:r>
      <w:r w:rsidR="001937F4" w:rsidRPr="00181FCD">
        <w:t>planteadas</w:t>
      </w:r>
      <w:r w:rsidR="00F373A3" w:rsidRPr="00181FCD">
        <w:t xml:space="preserve"> </w:t>
      </w:r>
      <w:r w:rsidR="001937F4" w:rsidRPr="00181FCD">
        <w:t>en</w:t>
      </w:r>
      <w:r w:rsidR="00F373A3" w:rsidRPr="00181FCD">
        <w:t xml:space="preserve"> </w:t>
      </w:r>
      <w:r w:rsidR="001937F4" w:rsidRPr="00181FCD">
        <w:t>el</w:t>
      </w:r>
      <w:r w:rsidR="00F373A3" w:rsidRPr="00181FCD">
        <w:t xml:space="preserve"> </w:t>
      </w:r>
      <w:r w:rsidR="001937F4" w:rsidRPr="00181FCD">
        <w:t>párrafo</w:t>
      </w:r>
      <w:r w:rsidR="00F373A3" w:rsidRPr="00181FCD">
        <w:t xml:space="preserve"> </w:t>
      </w:r>
      <w:r w:rsidR="001937F4" w:rsidRPr="00181FCD">
        <w:t>24</w:t>
      </w:r>
      <w:r w:rsidR="00F373A3" w:rsidRPr="00181FCD">
        <w:t xml:space="preserve"> </w:t>
      </w:r>
      <w:r w:rsidR="001937F4" w:rsidRPr="00181FCD">
        <w:t>de</w:t>
      </w:r>
      <w:r w:rsidR="00F373A3" w:rsidRPr="00181FCD">
        <w:t xml:space="preserve"> </w:t>
      </w:r>
      <w:r w:rsidR="001937F4" w:rsidRPr="00181FCD">
        <w:t>la</w:t>
      </w:r>
      <w:r w:rsidR="00F373A3" w:rsidRPr="00181FCD">
        <w:t xml:space="preserve"> </w:t>
      </w:r>
      <w:r w:rsidR="001937F4" w:rsidRPr="00181FCD">
        <w:t>lista</w:t>
      </w:r>
      <w:r w:rsidR="00F373A3" w:rsidRPr="00181FCD">
        <w:t xml:space="preserve"> </w:t>
      </w:r>
      <w:r w:rsidR="001937F4" w:rsidRPr="00181FCD">
        <w:t>de</w:t>
      </w:r>
      <w:r w:rsidR="00F373A3" w:rsidRPr="00181FCD">
        <w:t xml:space="preserve"> </w:t>
      </w:r>
      <w:r w:rsidR="001937F4" w:rsidRPr="00181FCD">
        <w:t>cuestiones</w:t>
      </w:r>
    </w:p>
    <w:p w:rsidR="001937F4" w:rsidRPr="00181FCD" w:rsidRDefault="001937F4" w:rsidP="00347B20">
      <w:pPr>
        <w:pStyle w:val="SingleTxtG"/>
        <w:suppressAutoHyphens/>
      </w:pPr>
      <w:r w:rsidRPr="00181FCD">
        <w:t>201.</w:t>
      </w:r>
      <w:r w:rsidRPr="00181FCD">
        <w:tab/>
        <w:t>La</w:t>
      </w:r>
      <w:r w:rsidR="00F373A3" w:rsidRPr="00181FCD">
        <w:t xml:space="preserve"> </w:t>
      </w:r>
      <w:r w:rsidRPr="00181FCD">
        <w:t>Ley</w:t>
      </w:r>
      <w:r w:rsidR="00F373A3" w:rsidRPr="00181FCD">
        <w:t xml:space="preserve"> </w:t>
      </w:r>
      <w:r w:rsidRPr="00181FCD">
        <w:t>de</w:t>
      </w:r>
      <w:r w:rsidR="00F373A3" w:rsidRPr="00181FCD">
        <w:t xml:space="preserve"> </w:t>
      </w:r>
      <w:r w:rsidRPr="00181FCD">
        <w:t>Asistencia</w:t>
      </w:r>
      <w:r w:rsidR="00F373A3" w:rsidRPr="00181FCD">
        <w:t xml:space="preserve"> </w:t>
      </w:r>
      <w:r w:rsidRPr="00181FCD">
        <w:t>y</w:t>
      </w:r>
      <w:r w:rsidR="00F373A3" w:rsidRPr="00181FCD">
        <w:t xml:space="preserve"> </w:t>
      </w:r>
      <w:r w:rsidRPr="00181FCD">
        <w:t>Compensación</w:t>
      </w:r>
      <w:r w:rsidR="00F373A3" w:rsidRPr="00181FCD">
        <w:t xml:space="preserve"> </w:t>
      </w:r>
      <w:r w:rsidRPr="00181FCD">
        <w:t>Financiera</w:t>
      </w:r>
      <w:r w:rsidR="00F373A3" w:rsidRPr="00181FCD">
        <w:t xml:space="preserve"> </w:t>
      </w:r>
      <w:r w:rsidRPr="00181FCD">
        <w:t>a</w:t>
      </w:r>
      <w:r w:rsidR="00F373A3" w:rsidRPr="00181FCD">
        <w:t xml:space="preserve"> </w:t>
      </w:r>
      <w:r w:rsidRPr="00181FCD">
        <w:t>las</w:t>
      </w:r>
      <w:r w:rsidR="00F373A3" w:rsidRPr="00181FCD">
        <w:t xml:space="preserve"> </w:t>
      </w:r>
      <w:r w:rsidRPr="00181FCD">
        <w:t>Víctimas</w:t>
      </w:r>
      <w:r w:rsidR="00F373A3" w:rsidRPr="00181FCD">
        <w:t xml:space="preserve"> </w:t>
      </w:r>
      <w:r w:rsidRPr="00181FCD">
        <w:t>de</w:t>
      </w:r>
      <w:r w:rsidR="00F373A3" w:rsidRPr="00181FCD">
        <w:t xml:space="preserve"> </w:t>
      </w:r>
      <w:r w:rsidRPr="00181FCD">
        <w:t>Delitos</w:t>
      </w:r>
      <w:r w:rsidR="00F373A3" w:rsidRPr="00181FCD">
        <w:t xml:space="preserve"> </w:t>
      </w:r>
      <w:r w:rsidRPr="00181FCD">
        <w:t>regula</w:t>
      </w:r>
      <w:r w:rsidR="00F373A3" w:rsidRPr="00181FCD">
        <w:t xml:space="preserve"> </w:t>
      </w:r>
      <w:r w:rsidRPr="00181FCD">
        <w:t>los</w:t>
      </w:r>
      <w:r w:rsidR="00F373A3" w:rsidRPr="00181FCD">
        <w:t xml:space="preserve"> </w:t>
      </w:r>
      <w:r w:rsidRPr="00181FCD">
        <w:t>términos</w:t>
      </w:r>
      <w:r w:rsidR="00F373A3" w:rsidRPr="00181FCD">
        <w:t xml:space="preserve"> </w:t>
      </w:r>
      <w:r w:rsidRPr="00181FCD">
        <w:t>y</w:t>
      </w:r>
      <w:r w:rsidR="00F373A3" w:rsidRPr="00181FCD">
        <w:t xml:space="preserve"> </w:t>
      </w:r>
      <w:r w:rsidRPr="00181FCD">
        <w:t>condiciones</w:t>
      </w:r>
      <w:r w:rsidR="00F373A3" w:rsidRPr="00181FCD">
        <w:t xml:space="preserve"> </w:t>
      </w:r>
      <w:r w:rsidRPr="00181FCD">
        <w:t>de</w:t>
      </w:r>
      <w:r w:rsidR="00F373A3" w:rsidRPr="00181FCD">
        <w:t xml:space="preserve"> </w:t>
      </w:r>
      <w:r w:rsidRPr="00181FCD">
        <w:t>la</w:t>
      </w:r>
      <w:r w:rsidR="00F373A3" w:rsidRPr="00181FCD">
        <w:t xml:space="preserve"> </w:t>
      </w:r>
      <w:r w:rsidRPr="00181FCD">
        <w:t>asistencia</w:t>
      </w:r>
      <w:r w:rsidR="00F373A3" w:rsidRPr="00181FCD">
        <w:t xml:space="preserve"> </w:t>
      </w:r>
      <w:r w:rsidRPr="00181FCD">
        <w:t>y</w:t>
      </w:r>
      <w:r w:rsidR="00F373A3" w:rsidRPr="00181FCD">
        <w:t xml:space="preserve"> </w:t>
      </w:r>
      <w:r w:rsidRPr="00181FCD">
        <w:t>la</w:t>
      </w:r>
      <w:r w:rsidR="00F373A3" w:rsidRPr="00181FCD">
        <w:t xml:space="preserve"> </w:t>
      </w:r>
      <w:r w:rsidRPr="00181FCD">
        <w:t>compensación</w:t>
      </w:r>
      <w:r w:rsidR="00F373A3" w:rsidRPr="00181FCD">
        <w:t xml:space="preserve"> </w:t>
      </w:r>
      <w:r w:rsidRPr="00181FCD">
        <w:t>económica</w:t>
      </w:r>
      <w:r w:rsidR="00F373A3" w:rsidRPr="00181FCD">
        <w:t xml:space="preserve"> </w:t>
      </w:r>
      <w:r w:rsidRPr="00181FCD">
        <w:t>del</w:t>
      </w:r>
      <w:r w:rsidR="00F373A3" w:rsidRPr="00181FCD">
        <w:t xml:space="preserve"> </w:t>
      </w:r>
      <w:r w:rsidRPr="00181FCD">
        <w:t>Estado</w:t>
      </w:r>
      <w:r w:rsidR="00F373A3" w:rsidRPr="00181FCD">
        <w:t xml:space="preserve"> </w:t>
      </w:r>
      <w:r w:rsidRPr="00181FCD">
        <w:t>a</w:t>
      </w:r>
      <w:r w:rsidR="00F373A3" w:rsidRPr="00181FCD">
        <w:t xml:space="preserve"> </w:t>
      </w:r>
      <w:r w:rsidRPr="00181FCD">
        <w:t>las</w:t>
      </w:r>
      <w:r w:rsidR="00F373A3" w:rsidRPr="00181FCD">
        <w:t xml:space="preserve"> </w:t>
      </w:r>
      <w:r w:rsidRPr="00181FCD">
        <w:t>víctimas,</w:t>
      </w:r>
      <w:r w:rsidR="00F373A3" w:rsidRPr="00181FCD">
        <w:t xml:space="preserve"> </w:t>
      </w:r>
      <w:r w:rsidRPr="00181FCD">
        <w:t>dentro</w:t>
      </w:r>
      <w:r w:rsidR="00F373A3" w:rsidRPr="00181FCD">
        <w:t xml:space="preserve"> </w:t>
      </w:r>
      <w:r w:rsidRPr="00181FCD">
        <w:t>de</w:t>
      </w:r>
      <w:r w:rsidR="00F373A3" w:rsidRPr="00181FCD">
        <w:t xml:space="preserve"> </w:t>
      </w:r>
      <w:r w:rsidRPr="00181FCD">
        <w:t>una</w:t>
      </w:r>
      <w:r w:rsidR="00F373A3" w:rsidRPr="00181FCD">
        <w:t xml:space="preserve"> </w:t>
      </w:r>
      <w:r w:rsidRPr="00181FCD">
        <w:t>determinada</w:t>
      </w:r>
      <w:r w:rsidR="00F373A3" w:rsidRPr="00181FCD">
        <w:t xml:space="preserve"> </w:t>
      </w:r>
      <w:r w:rsidRPr="00181FCD">
        <w:t>categoría</w:t>
      </w:r>
      <w:r w:rsidR="00F373A3" w:rsidRPr="00181FCD">
        <w:t xml:space="preserve"> </w:t>
      </w:r>
      <w:r w:rsidRPr="00181FCD">
        <w:t>de</w:t>
      </w:r>
      <w:r w:rsidR="00F373A3" w:rsidRPr="00181FCD">
        <w:t xml:space="preserve"> </w:t>
      </w:r>
      <w:r w:rsidRPr="00181FCD">
        <w:t>delitos</w:t>
      </w:r>
      <w:r w:rsidR="00F373A3" w:rsidRPr="00181FCD">
        <w:t xml:space="preserve"> </w:t>
      </w:r>
      <w:r w:rsidRPr="00181FCD">
        <w:t>dolosos</w:t>
      </w:r>
      <w:r w:rsidR="00F373A3" w:rsidRPr="00181FCD">
        <w:t xml:space="preserve"> </w:t>
      </w:r>
      <w:r w:rsidRPr="00181FCD">
        <w:t>graves</w:t>
      </w:r>
      <w:r w:rsidR="00F373A3" w:rsidRPr="00181FCD">
        <w:t xml:space="preserve"> </w:t>
      </w:r>
      <w:r w:rsidRPr="00181FCD">
        <w:t>contra</w:t>
      </w:r>
      <w:r w:rsidR="00F373A3" w:rsidRPr="00181FCD">
        <w:t xml:space="preserve"> </w:t>
      </w:r>
      <w:r w:rsidRPr="00181FCD">
        <w:t>la</w:t>
      </w:r>
      <w:r w:rsidR="00F373A3" w:rsidRPr="00181FCD">
        <w:t xml:space="preserve"> </w:t>
      </w:r>
      <w:r w:rsidRPr="00181FCD">
        <w:t>persona,</w:t>
      </w:r>
      <w:r w:rsidR="00F373A3" w:rsidRPr="00181FCD">
        <w:t xml:space="preserve"> </w:t>
      </w:r>
      <w:r w:rsidRPr="00181FCD">
        <w:t>entre</w:t>
      </w:r>
      <w:r w:rsidR="00F373A3" w:rsidRPr="00181FCD">
        <w:t xml:space="preserve"> </w:t>
      </w:r>
      <w:r w:rsidRPr="00181FCD">
        <w:t>ellos</w:t>
      </w:r>
      <w:r w:rsidR="00F373A3" w:rsidRPr="00181FCD">
        <w:t xml:space="preserve"> </w:t>
      </w:r>
      <w:r w:rsidRPr="00181FCD">
        <w:t>el</w:t>
      </w:r>
      <w:r w:rsidR="00F373A3" w:rsidRPr="00181FCD">
        <w:t xml:space="preserve"> </w:t>
      </w:r>
      <w:r w:rsidRPr="00181FCD">
        <w:t>delito</w:t>
      </w:r>
      <w:r w:rsidR="00F373A3" w:rsidRPr="00181FCD">
        <w:t xml:space="preserve"> </w:t>
      </w:r>
      <w:r w:rsidRPr="00181FCD">
        <w:t>de</w:t>
      </w:r>
      <w:r w:rsidR="00F373A3" w:rsidRPr="00181FCD">
        <w:t xml:space="preserve"> "</w:t>
      </w:r>
      <w:r w:rsidRPr="00181FCD">
        <w:t>trata</w:t>
      </w:r>
      <w:r w:rsidR="00F373A3" w:rsidRPr="00181FCD">
        <w:t xml:space="preserve"> </w:t>
      </w:r>
      <w:r w:rsidRPr="00181FCD">
        <w:t>de</w:t>
      </w:r>
      <w:r w:rsidR="00F373A3" w:rsidRPr="00181FCD">
        <w:t xml:space="preserve"> </w:t>
      </w:r>
      <w:r w:rsidRPr="00181FCD">
        <w:t>seres</w:t>
      </w:r>
      <w:r w:rsidR="00F373A3" w:rsidRPr="00181FCD">
        <w:t xml:space="preserve"> </w:t>
      </w:r>
      <w:r w:rsidRPr="00181FCD">
        <w:t>humanos</w:t>
      </w:r>
      <w:r w:rsidR="00F373A3" w:rsidRPr="00181FCD">
        <w:t>"</w:t>
      </w:r>
      <w:r w:rsidRPr="00181FCD">
        <w:t>.</w:t>
      </w:r>
    </w:p>
    <w:p w:rsidR="001937F4" w:rsidRPr="00181FCD" w:rsidRDefault="001937F4" w:rsidP="00347B20">
      <w:pPr>
        <w:pStyle w:val="SingleTxtG"/>
        <w:suppressAutoHyphens/>
      </w:pPr>
      <w:r w:rsidRPr="00181FCD">
        <w:t>202.</w:t>
      </w:r>
      <w:r w:rsidRPr="00181FCD">
        <w:tab/>
        <w:t>Desde</w:t>
      </w:r>
      <w:r w:rsidR="00F373A3" w:rsidRPr="00181FCD">
        <w:t xml:space="preserve"> </w:t>
      </w:r>
      <w:r w:rsidRPr="00181FCD">
        <w:t>principios</w:t>
      </w:r>
      <w:r w:rsidR="00F373A3" w:rsidRPr="00181FCD">
        <w:t xml:space="preserve"> </w:t>
      </w:r>
      <w:r w:rsidRPr="00181FCD">
        <w:t>de</w:t>
      </w:r>
      <w:r w:rsidR="00F373A3" w:rsidRPr="00181FCD">
        <w:t xml:space="preserve"> </w:t>
      </w:r>
      <w:r w:rsidRPr="00181FCD">
        <w:t>2013</w:t>
      </w:r>
      <w:r w:rsidR="00F373A3" w:rsidRPr="00181FCD">
        <w:t xml:space="preserve"> </w:t>
      </w:r>
      <w:r w:rsidRPr="00181FCD">
        <w:t>hasta</w:t>
      </w:r>
      <w:r w:rsidR="00F373A3" w:rsidRPr="00181FCD">
        <w:t xml:space="preserve"> </w:t>
      </w:r>
      <w:r w:rsidRPr="00181FCD">
        <w:t>la</w:t>
      </w:r>
      <w:r w:rsidR="00F373A3" w:rsidRPr="00181FCD">
        <w:t xml:space="preserve"> </w:t>
      </w:r>
      <w:r w:rsidRPr="00181FCD">
        <w:t>fecha,</w:t>
      </w:r>
      <w:r w:rsidR="00F373A3" w:rsidRPr="00181FCD">
        <w:t xml:space="preserve"> </w:t>
      </w:r>
      <w:r w:rsidRPr="00181FCD">
        <w:t>el</w:t>
      </w:r>
      <w:r w:rsidR="00F373A3" w:rsidRPr="00181FCD">
        <w:t xml:space="preserve"> </w:t>
      </w:r>
      <w:r w:rsidRPr="00181FCD">
        <w:t>Consejo</w:t>
      </w:r>
      <w:r w:rsidR="00F373A3" w:rsidRPr="00181FCD">
        <w:t xml:space="preserve"> </w:t>
      </w:r>
      <w:r w:rsidRPr="00181FCD">
        <w:t>Nacional</w:t>
      </w:r>
      <w:r w:rsidR="00F373A3" w:rsidRPr="00181FCD">
        <w:t xml:space="preserve"> </w:t>
      </w:r>
      <w:r w:rsidRPr="00181FCD">
        <w:t>de</w:t>
      </w:r>
      <w:r w:rsidR="00F373A3" w:rsidRPr="00181FCD">
        <w:t xml:space="preserve"> </w:t>
      </w:r>
      <w:r w:rsidRPr="00181FCD">
        <w:t>Asistencia</w:t>
      </w:r>
      <w:r w:rsidR="00F373A3" w:rsidRPr="00181FCD">
        <w:t xml:space="preserve"> </w:t>
      </w:r>
      <w:r w:rsidRPr="00181FCD">
        <w:t>y</w:t>
      </w:r>
      <w:r w:rsidR="00F373A3" w:rsidRPr="00181FCD">
        <w:t xml:space="preserve"> </w:t>
      </w:r>
      <w:r w:rsidRPr="00181FCD">
        <w:t>Compensación</w:t>
      </w:r>
      <w:r w:rsidR="00F373A3" w:rsidRPr="00181FCD">
        <w:t xml:space="preserve"> </w:t>
      </w:r>
      <w:r w:rsidRPr="00181FCD">
        <w:t>a</w:t>
      </w:r>
      <w:r w:rsidR="00F373A3" w:rsidRPr="00181FCD">
        <w:t xml:space="preserve"> </w:t>
      </w:r>
      <w:r w:rsidRPr="00181FCD">
        <w:t>las</w:t>
      </w:r>
      <w:r w:rsidR="00F373A3" w:rsidRPr="00181FCD">
        <w:t xml:space="preserve"> </w:t>
      </w:r>
      <w:r w:rsidRPr="00181FCD">
        <w:t>Víctimas</w:t>
      </w:r>
      <w:r w:rsidR="00F373A3" w:rsidRPr="00181FCD">
        <w:t xml:space="preserve"> </w:t>
      </w:r>
      <w:r w:rsidRPr="00181FCD">
        <w:t>de</w:t>
      </w:r>
      <w:r w:rsidR="00F373A3" w:rsidRPr="00181FCD">
        <w:t xml:space="preserve"> </w:t>
      </w:r>
      <w:r w:rsidRPr="00181FCD">
        <w:t>Delitos</w:t>
      </w:r>
      <w:r w:rsidR="00F373A3" w:rsidRPr="00181FCD">
        <w:t xml:space="preserve"> </w:t>
      </w:r>
      <w:r w:rsidRPr="00181FCD">
        <w:t>del</w:t>
      </w:r>
      <w:r w:rsidR="00F373A3" w:rsidRPr="00181FCD">
        <w:t xml:space="preserve"> </w:t>
      </w:r>
      <w:r w:rsidRPr="00181FCD">
        <w:t>Ministerio</w:t>
      </w:r>
      <w:r w:rsidR="00F373A3" w:rsidRPr="00181FCD">
        <w:t xml:space="preserve"> </w:t>
      </w:r>
      <w:r w:rsidRPr="00181FCD">
        <w:t>de</w:t>
      </w:r>
      <w:r w:rsidR="00F373A3" w:rsidRPr="00181FCD">
        <w:t xml:space="preserve"> </w:t>
      </w:r>
      <w:r w:rsidRPr="00181FCD">
        <w:t>Justicia</w:t>
      </w:r>
      <w:r w:rsidR="00F373A3" w:rsidRPr="00181FCD">
        <w:t xml:space="preserve"> </w:t>
      </w:r>
      <w:r w:rsidRPr="00181FCD">
        <w:t>ha</w:t>
      </w:r>
      <w:r w:rsidR="00F373A3" w:rsidRPr="00181FCD">
        <w:t xml:space="preserve"> </w:t>
      </w:r>
      <w:r w:rsidRPr="00181FCD">
        <w:t>recibido</w:t>
      </w:r>
      <w:r w:rsidR="00F373A3" w:rsidRPr="00181FCD">
        <w:t xml:space="preserve"> </w:t>
      </w:r>
      <w:r w:rsidRPr="00181FCD">
        <w:t>una</w:t>
      </w:r>
      <w:r w:rsidR="00F373A3" w:rsidRPr="00181FCD">
        <w:t xml:space="preserve"> </w:t>
      </w:r>
      <w:r w:rsidRPr="00181FCD">
        <w:t>solicitud</w:t>
      </w:r>
      <w:r w:rsidR="00F373A3" w:rsidRPr="00181FCD">
        <w:t xml:space="preserve"> </w:t>
      </w:r>
      <w:r w:rsidRPr="00181FCD">
        <w:t>de</w:t>
      </w:r>
      <w:r w:rsidR="00F373A3" w:rsidRPr="00181FCD">
        <w:t xml:space="preserve"> </w:t>
      </w:r>
      <w:r w:rsidRPr="00181FCD">
        <w:t>compensación</w:t>
      </w:r>
      <w:r w:rsidR="00F373A3" w:rsidRPr="00181FCD">
        <w:t xml:space="preserve"> </w:t>
      </w:r>
      <w:r w:rsidRPr="00181FCD">
        <w:t>económica</w:t>
      </w:r>
      <w:r w:rsidR="00F373A3" w:rsidRPr="00181FCD">
        <w:t xml:space="preserve"> </w:t>
      </w:r>
      <w:r w:rsidRPr="00181FCD">
        <w:t>presentada</w:t>
      </w:r>
      <w:r w:rsidR="00F373A3" w:rsidRPr="00181FCD">
        <w:t xml:space="preserve"> </w:t>
      </w:r>
      <w:r w:rsidRPr="00181FCD">
        <w:t>por</w:t>
      </w:r>
      <w:r w:rsidR="00672EC2" w:rsidRPr="00181FCD">
        <w:t xml:space="preserve"> </w:t>
      </w:r>
      <w:r w:rsidRPr="00181FCD">
        <w:t>un</w:t>
      </w:r>
      <w:r w:rsidR="00F373A3" w:rsidRPr="00181FCD">
        <w:t xml:space="preserve"> </w:t>
      </w:r>
      <w:r w:rsidRPr="00181FCD">
        <w:t>ciudadano</w:t>
      </w:r>
      <w:r w:rsidR="00F373A3" w:rsidRPr="00181FCD">
        <w:t xml:space="preserve"> </w:t>
      </w:r>
      <w:r w:rsidRPr="00181FCD">
        <w:t>búlgaro</w:t>
      </w:r>
      <w:r w:rsidR="00F373A3" w:rsidRPr="00181FCD">
        <w:t xml:space="preserve"> </w:t>
      </w:r>
      <w:r w:rsidRPr="00181FCD">
        <w:t>víctima</w:t>
      </w:r>
      <w:r w:rsidR="00F373A3" w:rsidRPr="00181FCD">
        <w:t xml:space="preserve"> </w:t>
      </w:r>
      <w:r w:rsidRPr="00181FCD">
        <w:t>de</w:t>
      </w:r>
      <w:r w:rsidR="00F373A3" w:rsidRPr="00181FCD">
        <w:t xml:space="preserve"> </w:t>
      </w:r>
      <w:r w:rsidRPr="00181FCD">
        <w:t>la</w:t>
      </w:r>
      <w:r w:rsidR="00F373A3" w:rsidRPr="00181FCD">
        <w:t xml:space="preserve"> </w:t>
      </w:r>
      <w:r w:rsidRPr="00181FCD">
        <w:t>trata</w:t>
      </w:r>
      <w:r w:rsidR="00F373A3" w:rsidRPr="00181FCD">
        <w:t xml:space="preserve"> </w:t>
      </w:r>
      <w:r w:rsidRPr="00181FCD">
        <w:t>de</w:t>
      </w:r>
      <w:r w:rsidR="00F373A3" w:rsidRPr="00181FCD">
        <w:t xml:space="preserve"> </w:t>
      </w:r>
      <w:r w:rsidRPr="00181FCD">
        <w:t>personas.</w:t>
      </w:r>
      <w:r w:rsidR="00F373A3" w:rsidRPr="00181FCD">
        <w:t xml:space="preserve"> </w:t>
      </w:r>
      <w:r w:rsidRPr="00181FCD">
        <w:t>En</w:t>
      </w:r>
      <w:r w:rsidR="00F373A3" w:rsidRPr="00181FCD">
        <w:t xml:space="preserve"> </w:t>
      </w:r>
      <w:r w:rsidRPr="00181FCD">
        <w:t>virtud</w:t>
      </w:r>
      <w:r w:rsidR="00F373A3" w:rsidRPr="00181FCD">
        <w:t xml:space="preserve"> </w:t>
      </w:r>
      <w:r w:rsidRPr="00181FCD">
        <w:t>de</w:t>
      </w:r>
      <w:r w:rsidR="00F373A3" w:rsidRPr="00181FCD">
        <w:t xml:space="preserve"> </w:t>
      </w:r>
      <w:r w:rsidRPr="00181FCD">
        <w:t>lo</w:t>
      </w:r>
      <w:r w:rsidR="00F373A3" w:rsidRPr="00181FCD">
        <w:t xml:space="preserve"> </w:t>
      </w:r>
      <w:r w:rsidRPr="00181FCD">
        <w:t>dispuesto</w:t>
      </w:r>
      <w:r w:rsidR="00F373A3" w:rsidRPr="00181FCD">
        <w:t xml:space="preserve"> </w:t>
      </w:r>
      <w:r w:rsidRPr="00181FCD">
        <w:t>en</w:t>
      </w:r>
      <w:r w:rsidR="00F373A3" w:rsidRPr="00181FCD">
        <w:t xml:space="preserve"> </w:t>
      </w:r>
      <w:r w:rsidRPr="00181FCD">
        <w:t>la</w:t>
      </w:r>
      <w:r w:rsidR="00F373A3" w:rsidRPr="00181FCD">
        <w:t xml:space="preserve"> </w:t>
      </w:r>
      <w:r w:rsidRPr="00181FCD">
        <w:t>Directiva</w:t>
      </w:r>
      <w:r w:rsidR="00F373A3" w:rsidRPr="00181FCD">
        <w:t xml:space="preserve"> </w:t>
      </w:r>
      <w:r w:rsidRPr="00181FCD">
        <w:t>2004/80/CE,</w:t>
      </w:r>
      <w:r w:rsidR="00F373A3" w:rsidRPr="00181FCD">
        <w:t xml:space="preserve"> </w:t>
      </w:r>
      <w:r w:rsidRPr="00181FCD">
        <w:t>la</w:t>
      </w:r>
      <w:r w:rsidR="00F373A3" w:rsidRPr="00181FCD">
        <w:t xml:space="preserve"> </w:t>
      </w:r>
      <w:r w:rsidRPr="00181FCD">
        <w:t>solicitud</w:t>
      </w:r>
      <w:r w:rsidR="00F373A3" w:rsidRPr="00181FCD">
        <w:t xml:space="preserve"> </w:t>
      </w:r>
      <w:r w:rsidRPr="00181FCD">
        <w:t>se</w:t>
      </w:r>
      <w:r w:rsidR="00F373A3" w:rsidRPr="00181FCD">
        <w:t xml:space="preserve"> </w:t>
      </w:r>
      <w:r w:rsidRPr="00181FCD">
        <w:t>remitió</w:t>
      </w:r>
      <w:r w:rsidR="00F373A3" w:rsidRPr="00181FCD">
        <w:t xml:space="preserve"> </w:t>
      </w:r>
      <w:r w:rsidRPr="00181FCD">
        <w:t>a</w:t>
      </w:r>
      <w:r w:rsidR="00F373A3" w:rsidRPr="00181FCD">
        <w:t xml:space="preserve"> </w:t>
      </w:r>
      <w:r w:rsidRPr="00181FCD">
        <w:t>la</w:t>
      </w:r>
      <w:r w:rsidR="00F373A3" w:rsidRPr="00181FCD">
        <w:t xml:space="preserve"> </w:t>
      </w:r>
      <w:r w:rsidRPr="00181FCD">
        <w:t>autoridad</w:t>
      </w:r>
      <w:r w:rsidR="00F373A3" w:rsidRPr="00181FCD">
        <w:t xml:space="preserve"> </w:t>
      </w:r>
      <w:r w:rsidRPr="00181FCD">
        <w:t>responsable</w:t>
      </w:r>
      <w:r w:rsidR="00F373A3" w:rsidRPr="00181FCD">
        <w:t xml:space="preserve"> </w:t>
      </w:r>
      <w:r w:rsidRPr="00181FCD">
        <w:t>de</w:t>
      </w:r>
      <w:r w:rsidR="00F373A3" w:rsidRPr="00181FCD">
        <w:t xml:space="preserve"> </w:t>
      </w:r>
      <w:r w:rsidRPr="00181FCD">
        <w:t>la</w:t>
      </w:r>
      <w:r w:rsidR="00F373A3" w:rsidRPr="00181FCD">
        <w:t xml:space="preserve"> </w:t>
      </w:r>
      <w:r w:rsidRPr="00181FCD">
        <w:t>adopción</w:t>
      </w:r>
      <w:r w:rsidR="00F373A3" w:rsidRPr="00181FCD">
        <w:t xml:space="preserve"> </w:t>
      </w:r>
      <w:r w:rsidRPr="00181FCD">
        <w:t>de</w:t>
      </w:r>
      <w:r w:rsidR="00F373A3" w:rsidRPr="00181FCD">
        <w:t xml:space="preserve"> </w:t>
      </w:r>
      <w:r w:rsidRPr="00181FCD">
        <w:t>decisiones</w:t>
      </w:r>
      <w:r w:rsidR="00F373A3" w:rsidRPr="00181FCD">
        <w:t xml:space="preserve"> </w:t>
      </w:r>
      <w:r w:rsidRPr="00181FCD">
        <w:t>del</w:t>
      </w:r>
      <w:r w:rsidR="00F373A3" w:rsidRPr="00181FCD">
        <w:t xml:space="preserve"> </w:t>
      </w:r>
      <w:r w:rsidRPr="00181FCD">
        <w:t>Estado</w:t>
      </w:r>
      <w:r w:rsidR="00F373A3" w:rsidRPr="00181FCD">
        <w:t xml:space="preserve"> </w:t>
      </w:r>
      <w:r w:rsidRPr="00181FCD">
        <w:t>miembro</w:t>
      </w:r>
      <w:r w:rsidR="00F373A3" w:rsidRPr="00181FCD">
        <w:t xml:space="preserve"> </w:t>
      </w:r>
      <w:r w:rsidRPr="00181FCD">
        <w:t>de</w:t>
      </w:r>
      <w:r w:rsidR="00F373A3" w:rsidRPr="00181FCD">
        <w:t xml:space="preserve"> </w:t>
      </w:r>
      <w:r w:rsidRPr="00181FCD">
        <w:t>la</w:t>
      </w:r>
      <w:r w:rsidR="00F373A3" w:rsidRPr="00181FCD">
        <w:t xml:space="preserve"> </w:t>
      </w:r>
      <w:r w:rsidRPr="00181FCD">
        <w:t>UE</w:t>
      </w:r>
      <w:r w:rsidR="00F373A3" w:rsidRPr="00181FCD">
        <w:t xml:space="preserve"> </w:t>
      </w:r>
      <w:r w:rsidRPr="00181FCD">
        <w:t>en</w:t>
      </w:r>
      <w:r w:rsidR="00F373A3" w:rsidRPr="00181FCD">
        <w:t xml:space="preserve"> </w:t>
      </w:r>
      <w:r w:rsidRPr="00181FCD">
        <w:t>cuyo</w:t>
      </w:r>
      <w:r w:rsidR="00F373A3" w:rsidRPr="00181FCD">
        <w:t xml:space="preserve"> </w:t>
      </w:r>
      <w:r w:rsidRPr="00181FCD">
        <w:t>territorio</w:t>
      </w:r>
      <w:r w:rsidR="00F373A3" w:rsidRPr="00181FCD">
        <w:t xml:space="preserve"> </w:t>
      </w:r>
      <w:r w:rsidRPr="00181FCD">
        <w:t>se</w:t>
      </w:r>
      <w:r w:rsidR="00F373A3" w:rsidRPr="00181FCD">
        <w:t xml:space="preserve"> </w:t>
      </w:r>
      <w:r w:rsidRPr="00181FCD">
        <w:t>cometió</w:t>
      </w:r>
      <w:r w:rsidR="00F373A3" w:rsidRPr="00181FCD">
        <w:t xml:space="preserve"> </w:t>
      </w:r>
      <w:r w:rsidRPr="00181FCD">
        <w:t>el</w:t>
      </w:r>
      <w:r w:rsidR="00F373A3" w:rsidRPr="00181FCD">
        <w:t xml:space="preserve"> </w:t>
      </w:r>
      <w:r w:rsidRPr="00181FCD">
        <w:t>delito.</w:t>
      </w:r>
      <w:r w:rsidR="00F373A3" w:rsidRPr="00181FCD">
        <w:t xml:space="preserve"> </w:t>
      </w:r>
    </w:p>
    <w:p w:rsidR="001937F4" w:rsidRPr="00181FCD" w:rsidRDefault="001937F4" w:rsidP="00347B20">
      <w:pPr>
        <w:pStyle w:val="SingleTxtG"/>
        <w:suppressAutoHyphens/>
      </w:pPr>
      <w:r w:rsidRPr="00181FCD">
        <w:t>203.</w:t>
      </w:r>
      <w:r w:rsidRPr="00181FCD">
        <w:tab/>
        <w:t>Durante</w:t>
      </w:r>
      <w:r w:rsidR="00F373A3" w:rsidRPr="00181FCD">
        <w:t xml:space="preserve"> </w:t>
      </w:r>
      <w:r w:rsidRPr="00181FCD">
        <w:t>el</w:t>
      </w:r>
      <w:r w:rsidR="00F373A3" w:rsidRPr="00181FCD">
        <w:t xml:space="preserve"> </w:t>
      </w:r>
      <w:r w:rsidRPr="00181FCD">
        <w:t>período</w:t>
      </w:r>
      <w:r w:rsidR="00F373A3" w:rsidRPr="00181FCD">
        <w:t xml:space="preserve"> </w:t>
      </w:r>
      <w:r w:rsidRPr="00181FCD">
        <w:t>2013-2014,</w:t>
      </w:r>
      <w:r w:rsidR="00F373A3" w:rsidRPr="00181FCD">
        <w:t xml:space="preserve"> </w:t>
      </w:r>
      <w:r w:rsidRPr="00181FCD">
        <w:t>las</w:t>
      </w:r>
      <w:r w:rsidR="00F373A3" w:rsidRPr="00181FCD">
        <w:t xml:space="preserve"> </w:t>
      </w:r>
      <w:r w:rsidRPr="00181FCD">
        <w:t>organizaciones</w:t>
      </w:r>
      <w:r w:rsidR="00F373A3" w:rsidRPr="00181FCD">
        <w:t xml:space="preserve"> </w:t>
      </w:r>
      <w:r w:rsidRPr="00181FCD">
        <w:t>de</w:t>
      </w:r>
      <w:r w:rsidR="00F373A3" w:rsidRPr="00181FCD">
        <w:t xml:space="preserve"> </w:t>
      </w:r>
      <w:r w:rsidRPr="00181FCD">
        <w:t>apoyo</w:t>
      </w:r>
      <w:r w:rsidR="00F373A3" w:rsidRPr="00181FCD">
        <w:t xml:space="preserve"> </w:t>
      </w:r>
      <w:r w:rsidRPr="00181FCD">
        <w:t>a</w:t>
      </w:r>
      <w:r w:rsidR="00F373A3" w:rsidRPr="00181FCD">
        <w:t xml:space="preserve"> </w:t>
      </w:r>
      <w:r w:rsidRPr="00181FCD">
        <w:t>las</w:t>
      </w:r>
      <w:r w:rsidR="00F373A3" w:rsidRPr="00181FCD">
        <w:t xml:space="preserve"> </w:t>
      </w:r>
      <w:r w:rsidRPr="00181FCD">
        <w:t>víctimas</w:t>
      </w:r>
      <w:r w:rsidR="00F373A3" w:rsidRPr="00181FCD">
        <w:t xml:space="preserve"> </w:t>
      </w:r>
      <w:r w:rsidRPr="00181FCD">
        <w:t>de</w:t>
      </w:r>
      <w:r w:rsidR="00F373A3" w:rsidRPr="00181FCD">
        <w:t xml:space="preserve"> </w:t>
      </w:r>
      <w:r w:rsidRPr="00181FCD">
        <w:t>delitos</w:t>
      </w:r>
      <w:r w:rsidR="00F373A3" w:rsidRPr="00181FCD">
        <w:t xml:space="preserve"> </w:t>
      </w:r>
      <w:r w:rsidRPr="00181FCD">
        <w:t>que</w:t>
      </w:r>
      <w:r w:rsidR="00F373A3" w:rsidRPr="00181FCD">
        <w:t xml:space="preserve"> </w:t>
      </w:r>
      <w:r w:rsidRPr="00181FCD">
        <w:t>prestan</w:t>
      </w:r>
      <w:r w:rsidR="00F373A3" w:rsidRPr="00181FCD">
        <w:t xml:space="preserve"> </w:t>
      </w:r>
      <w:r w:rsidRPr="00181FCD">
        <w:t>asesoramiento</w:t>
      </w:r>
      <w:r w:rsidR="00F373A3" w:rsidRPr="00181FCD">
        <w:t xml:space="preserve"> </w:t>
      </w:r>
      <w:r w:rsidRPr="00181FCD">
        <w:t>psicológico</w:t>
      </w:r>
      <w:r w:rsidR="00F373A3" w:rsidRPr="00181FCD">
        <w:t xml:space="preserve"> </w:t>
      </w:r>
      <w:r w:rsidRPr="00181FCD">
        <w:t>gratuito</w:t>
      </w:r>
      <w:r w:rsidR="00F373A3" w:rsidRPr="00181FCD">
        <w:t xml:space="preserve"> </w:t>
      </w:r>
      <w:r w:rsidRPr="00181FCD">
        <w:t>y</w:t>
      </w:r>
      <w:r w:rsidR="00F373A3" w:rsidRPr="00181FCD">
        <w:t xml:space="preserve"> </w:t>
      </w:r>
      <w:r w:rsidRPr="00181FCD">
        <w:t>ayuda</w:t>
      </w:r>
      <w:r w:rsidR="00F373A3" w:rsidRPr="00181FCD">
        <w:t xml:space="preserve"> </w:t>
      </w:r>
      <w:r w:rsidRPr="00181FCD">
        <w:t>práctica</w:t>
      </w:r>
      <w:r w:rsidR="00F373A3" w:rsidRPr="00181FCD">
        <w:t xml:space="preserve"> </w:t>
      </w:r>
      <w:r w:rsidRPr="00181FCD">
        <w:t>en</w:t>
      </w:r>
      <w:r w:rsidR="00F373A3" w:rsidRPr="00181FCD">
        <w:t xml:space="preserve"> </w:t>
      </w:r>
      <w:r w:rsidRPr="00181FCD">
        <w:t>virtud</w:t>
      </w:r>
      <w:r w:rsidR="00F373A3" w:rsidRPr="00181FCD">
        <w:t xml:space="preserve"> </w:t>
      </w:r>
      <w:r w:rsidRPr="00181FCD">
        <w:t>de</w:t>
      </w:r>
      <w:r w:rsidR="00F373A3" w:rsidRPr="00181FCD">
        <w:t xml:space="preserve"> </w:t>
      </w:r>
      <w:r w:rsidRPr="00181FCD">
        <w:t>la</w:t>
      </w:r>
      <w:r w:rsidR="00F373A3" w:rsidRPr="00181FCD">
        <w:t xml:space="preserve"> </w:t>
      </w:r>
      <w:r w:rsidRPr="00181FCD">
        <w:t>mencionada</w:t>
      </w:r>
      <w:r w:rsidR="00F373A3" w:rsidRPr="00181FCD">
        <w:t xml:space="preserve"> </w:t>
      </w:r>
      <w:r w:rsidR="00C820BE" w:rsidRPr="00181FCD">
        <w:t>ley</w:t>
      </w:r>
      <w:r w:rsidR="00F373A3" w:rsidRPr="00181FCD">
        <w:t xml:space="preserve"> </w:t>
      </w:r>
      <w:r w:rsidRPr="00181FCD">
        <w:t>han</w:t>
      </w:r>
      <w:r w:rsidR="00F373A3" w:rsidRPr="00181FCD">
        <w:t xml:space="preserve"> </w:t>
      </w:r>
      <w:r w:rsidRPr="00181FCD">
        <w:t>asistido</w:t>
      </w:r>
      <w:r w:rsidR="00F373A3" w:rsidRPr="00181FCD">
        <w:t xml:space="preserve"> </w:t>
      </w:r>
      <w:r w:rsidRPr="00181FCD">
        <w:t>a</w:t>
      </w:r>
      <w:r w:rsidR="00F373A3" w:rsidRPr="00181FCD">
        <w:t xml:space="preserve"> </w:t>
      </w:r>
      <w:r w:rsidRPr="00181FCD">
        <w:t>44</w:t>
      </w:r>
      <w:r w:rsidR="00F373A3" w:rsidRPr="00181FCD">
        <w:t xml:space="preserve"> </w:t>
      </w:r>
      <w:r w:rsidRPr="00181FCD">
        <w:t>víctimas</w:t>
      </w:r>
      <w:r w:rsidR="00F373A3" w:rsidRPr="00181FCD">
        <w:t xml:space="preserve"> </w:t>
      </w:r>
      <w:r w:rsidRPr="00181FCD">
        <w:t>de</w:t>
      </w:r>
      <w:r w:rsidR="00F373A3" w:rsidRPr="00181FCD">
        <w:t xml:space="preserve"> </w:t>
      </w:r>
      <w:r w:rsidRPr="00181FCD">
        <w:t>la</w:t>
      </w:r>
      <w:r w:rsidR="00F373A3" w:rsidRPr="00181FCD">
        <w:t xml:space="preserve"> </w:t>
      </w:r>
      <w:r w:rsidRPr="00181FCD">
        <w:t>trata</w:t>
      </w:r>
      <w:r w:rsidR="00F373A3" w:rsidRPr="00181FCD">
        <w:t xml:space="preserve"> </w:t>
      </w:r>
      <w:r w:rsidRPr="00181FCD">
        <w:t>de</w:t>
      </w:r>
      <w:r w:rsidR="00F373A3" w:rsidRPr="00181FCD">
        <w:t xml:space="preserve"> </w:t>
      </w:r>
      <w:r w:rsidRPr="00181FCD">
        <w:t>personas.</w:t>
      </w:r>
      <w:r w:rsidR="00F373A3" w:rsidRPr="00181FCD">
        <w:t xml:space="preserve"> </w:t>
      </w:r>
      <w:r w:rsidRPr="00181FCD">
        <w:t>La</w:t>
      </w:r>
      <w:r w:rsidR="00F373A3" w:rsidRPr="00181FCD">
        <w:t xml:space="preserve"> </w:t>
      </w:r>
      <w:r w:rsidRPr="00181FCD">
        <w:t>información</w:t>
      </w:r>
      <w:r w:rsidR="00F373A3" w:rsidRPr="00181FCD">
        <w:t xml:space="preserve"> </w:t>
      </w:r>
      <w:r w:rsidRPr="00181FCD">
        <w:t>relativa</w:t>
      </w:r>
      <w:r w:rsidR="00F373A3" w:rsidRPr="00181FCD">
        <w:t xml:space="preserve"> </w:t>
      </w:r>
      <w:r w:rsidRPr="00181FCD">
        <w:t>a</w:t>
      </w:r>
      <w:r w:rsidR="00F373A3" w:rsidRPr="00181FCD">
        <w:t xml:space="preserve"> </w:t>
      </w:r>
      <w:r w:rsidRPr="00181FCD">
        <w:t>la</w:t>
      </w:r>
      <w:r w:rsidR="00F373A3" w:rsidRPr="00181FCD">
        <w:t xml:space="preserve"> </w:t>
      </w:r>
      <w:r w:rsidRPr="00181FCD">
        <w:t>asistencia</w:t>
      </w:r>
      <w:r w:rsidR="00F373A3" w:rsidRPr="00181FCD">
        <w:t xml:space="preserve"> </w:t>
      </w:r>
      <w:r w:rsidRPr="00181FCD">
        <w:t>proporcionada</w:t>
      </w:r>
      <w:r w:rsidR="00F373A3" w:rsidRPr="00181FCD">
        <w:t xml:space="preserve"> </w:t>
      </w:r>
      <w:r w:rsidRPr="00181FCD">
        <w:t>por</w:t>
      </w:r>
      <w:r w:rsidR="00F373A3" w:rsidRPr="00181FCD">
        <w:t xml:space="preserve"> </w:t>
      </w:r>
      <w:r w:rsidRPr="00181FCD">
        <w:t>estas</w:t>
      </w:r>
      <w:r w:rsidR="00F373A3" w:rsidRPr="00181FCD">
        <w:t xml:space="preserve"> </w:t>
      </w:r>
      <w:r w:rsidRPr="00181FCD">
        <w:t>organizaciones</w:t>
      </w:r>
      <w:r w:rsidR="00F373A3" w:rsidRPr="00181FCD">
        <w:t xml:space="preserve"> </w:t>
      </w:r>
      <w:r w:rsidRPr="00181FCD">
        <w:t>en</w:t>
      </w:r>
      <w:r w:rsidR="00F373A3" w:rsidRPr="00181FCD">
        <w:t xml:space="preserve"> </w:t>
      </w:r>
      <w:r w:rsidRPr="00181FCD">
        <w:t>2015</w:t>
      </w:r>
      <w:r w:rsidR="00F373A3" w:rsidRPr="00181FCD">
        <w:t xml:space="preserve"> </w:t>
      </w:r>
      <w:r w:rsidRPr="00181FCD">
        <w:t>estará</w:t>
      </w:r>
      <w:r w:rsidR="00F373A3" w:rsidRPr="00181FCD">
        <w:t xml:space="preserve"> </w:t>
      </w:r>
      <w:r w:rsidRPr="00181FCD">
        <w:t>disponible</w:t>
      </w:r>
      <w:r w:rsidR="00F373A3" w:rsidRPr="00181FCD">
        <w:t xml:space="preserve"> </w:t>
      </w:r>
      <w:r w:rsidRPr="00181FCD">
        <w:t>en</w:t>
      </w:r>
      <w:r w:rsidR="00F373A3" w:rsidRPr="00181FCD">
        <w:t xml:space="preserve"> </w:t>
      </w:r>
      <w:r w:rsidRPr="00181FCD">
        <w:t>2016.</w:t>
      </w:r>
    </w:p>
    <w:p w:rsidR="001937F4" w:rsidRPr="00181FCD" w:rsidRDefault="001937F4" w:rsidP="00347B20">
      <w:pPr>
        <w:pStyle w:val="SingleTxtG"/>
        <w:suppressAutoHyphens/>
      </w:pPr>
      <w:r w:rsidRPr="00181FCD">
        <w:t>204.</w:t>
      </w:r>
      <w:r w:rsidRPr="00181FCD">
        <w:tab/>
        <w:t>La</w:t>
      </w:r>
      <w:r w:rsidR="00F373A3" w:rsidRPr="00181FCD">
        <w:t xml:space="preserve"> </w:t>
      </w:r>
      <w:r w:rsidRPr="00181FCD">
        <w:t>Comisión</w:t>
      </w:r>
      <w:r w:rsidR="00F373A3" w:rsidRPr="00181FCD">
        <w:t xml:space="preserve"> </w:t>
      </w:r>
      <w:r w:rsidRPr="00181FCD">
        <w:t>Nacional</w:t>
      </w:r>
      <w:r w:rsidR="00F373A3" w:rsidRPr="00181FCD">
        <w:t xml:space="preserve"> </w:t>
      </w:r>
      <w:r w:rsidRPr="00181FCD">
        <w:t>de</w:t>
      </w:r>
      <w:r w:rsidR="00F373A3" w:rsidRPr="00181FCD">
        <w:t xml:space="preserve"> </w:t>
      </w:r>
      <w:r w:rsidRPr="00181FCD">
        <w:t>Lucha</w:t>
      </w:r>
      <w:r w:rsidR="00F373A3" w:rsidRPr="00181FCD">
        <w:t xml:space="preserve"> </w:t>
      </w:r>
      <w:r w:rsidRPr="00181FCD">
        <w:t>contra</w:t>
      </w:r>
      <w:r w:rsidR="00F373A3" w:rsidRPr="00181FCD">
        <w:t xml:space="preserve"> </w:t>
      </w:r>
      <w:r w:rsidRPr="00181FCD">
        <w:t>la</w:t>
      </w:r>
      <w:r w:rsidR="00F373A3" w:rsidRPr="00181FCD">
        <w:t xml:space="preserve"> </w:t>
      </w:r>
      <w:r w:rsidRPr="00181FCD">
        <w:t>Trata</w:t>
      </w:r>
      <w:r w:rsidR="00F373A3" w:rsidRPr="00181FCD">
        <w:t xml:space="preserve"> </w:t>
      </w:r>
      <w:r w:rsidRPr="00181FCD">
        <w:t>de</w:t>
      </w:r>
      <w:r w:rsidR="00F373A3" w:rsidRPr="00181FCD">
        <w:t xml:space="preserve"> </w:t>
      </w:r>
      <w:r w:rsidRPr="00181FCD">
        <w:t>Personas</w:t>
      </w:r>
      <w:r w:rsidR="00F373A3" w:rsidRPr="00181FCD">
        <w:t xml:space="preserve"> </w:t>
      </w:r>
      <w:r w:rsidRPr="00181FCD">
        <w:t>continuará</w:t>
      </w:r>
      <w:r w:rsidR="00F373A3" w:rsidRPr="00181FCD">
        <w:t xml:space="preserve"> </w:t>
      </w:r>
      <w:r w:rsidRPr="00181FCD">
        <w:t>trabajando</w:t>
      </w:r>
      <w:r w:rsidR="00F373A3" w:rsidRPr="00181FCD">
        <w:t xml:space="preserve"> </w:t>
      </w:r>
      <w:r w:rsidRPr="00181FCD">
        <w:t>con</w:t>
      </w:r>
      <w:r w:rsidR="00F373A3" w:rsidRPr="00181FCD">
        <w:t xml:space="preserve"> </w:t>
      </w:r>
      <w:r w:rsidRPr="00181FCD">
        <w:t>los</w:t>
      </w:r>
      <w:r w:rsidR="00F373A3" w:rsidRPr="00181FCD">
        <w:t xml:space="preserve"> </w:t>
      </w:r>
      <w:r w:rsidRPr="00181FCD">
        <w:t>grupos</w:t>
      </w:r>
      <w:r w:rsidR="00F373A3" w:rsidRPr="00181FCD">
        <w:t xml:space="preserve"> </w:t>
      </w:r>
      <w:r w:rsidRPr="00181FCD">
        <w:t>vulnerables</w:t>
      </w:r>
      <w:r w:rsidR="00F373A3" w:rsidRPr="00181FCD">
        <w:t xml:space="preserve"> </w:t>
      </w:r>
      <w:r w:rsidRPr="00181FCD">
        <w:t>(especialmente</w:t>
      </w:r>
      <w:r w:rsidR="00F373A3" w:rsidRPr="00181FCD">
        <w:t xml:space="preserve"> </w:t>
      </w:r>
      <w:r w:rsidRPr="00181FCD">
        <w:t>con</w:t>
      </w:r>
      <w:r w:rsidR="00F373A3" w:rsidRPr="00181FCD">
        <w:t xml:space="preserve"> </w:t>
      </w:r>
      <w:r w:rsidRPr="00181FCD">
        <w:t>la</w:t>
      </w:r>
      <w:r w:rsidR="00F373A3" w:rsidRPr="00181FCD">
        <w:t xml:space="preserve"> </w:t>
      </w:r>
      <w:r w:rsidRPr="00181FCD">
        <w:t>comunidad</w:t>
      </w:r>
      <w:r w:rsidR="00F373A3" w:rsidRPr="00181FCD">
        <w:t xml:space="preserve"> </w:t>
      </w:r>
      <w:r w:rsidRPr="00181FCD">
        <w:t>romaní)</w:t>
      </w:r>
      <w:r w:rsidR="00F373A3" w:rsidRPr="00181FCD">
        <w:t xml:space="preserve"> </w:t>
      </w:r>
      <w:r w:rsidRPr="00181FCD">
        <w:t>y</w:t>
      </w:r>
      <w:r w:rsidR="00F373A3" w:rsidRPr="00181FCD">
        <w:t xml:space="preserve"> </w:t>
      </w:r>
      <w:r w:rsidRPr="00181FCD">
        <w:t>tomará</w:t>
      </w:r>
      <w:r w:rsidR="00F373A3" w:rsidRPr="00181FCD">
        <w:t xml:space="preserve"> </w:t>
      </w:r>
      <w:r w:rsidRPr="00181FCD">
        <w:t>las</w:t>
      </w:r>
      <w:r w:rsidR="00F373A3" w:rsidRPr="00181FCD">
        <w:t xml:space="preserve"> </w:t>
      </w:r>
      <w:r w:rsidRPr="00181FCD">
        <w:t>medidas</w:t>
      </w:r>
      <w:r w:rsidR="00F373A3" w:rsidRPr="00181FCD">
        <w:t xml:space="preserve"> </w:t>
      </w:r>
      <w:r w:rsidRPr="00181FCD">
        <w:t>preventivas</w:t>
      </w:r>
      <w:r w:rsidR="00F373A3" w:rsidRPr="00181FCD">
        <w:t xml:space="preserve"> </w:t>
      </w:r>
      <w:r w:rsidRPr="00181FCD">
        <w:t>pertinentes</w:t>
      </w:r>
      <w:r w:rsidR="00F373A3" w:rsidRPr="00181FCD">
        <w:t xml:space="preserve"> </w:t>
      </w:r>
      <w:r w:rsidRPr="00181FCD">
        <w:t>para</w:t>
      </w:r>
      <w:r w:rsidR="00F373A3" w:rsidRPr="00181FCD">
        <w:t xml:space="preserve"> </w:t>
      </w:r>
      <w:r w:rsidRPr="00181FCD">
        <w:t>reducir</w:t>
      </w:r>
      <w:r w:rsidR="00F373A3" w:rsidRPr="00181FCD">
        <w:t xml:space="preserve"> </w:t>
      </w:r>
      <w:r w:rsidRPr="00181FCD">
        <w:t>el</w:t>
      </w:r>
      <w:r w:rsidR="00F373A3" w:rsidRPr="00181FCD">
        <w:t xml:space="preserve"> </w:t>
      </w:r>
      <w:r w:rsidRPr="00181FCD">
        <w:t>número</w:t>
      </w:r>
      <w:r w:rsidR="00F373A3" w:rsidRPr="00181FCD">
        <w:t xml:space="preserve"> </w:t>
      </w:r>
      <w:r w:rsidRPr="00181FCD">
        <w:t>de</w:t>
      </w:r>
      <w:r w:rsidR="00F373A3" w:rsidRPr="00181FCD">
        <w:t xml:space="preserve"> </w:t>
      </w:r>
      <w:r w:rsidRPr="00181FCD">
        <w:t>víctimas</w:t>
      </w:r>
      <w:r w:rsidR="00F373A3" w:rsidRPr="00181FCD">
        <w:t xml:space="preserve"> </w:t>
      </w:r>
      <w:r w:rsidRPr="00181FCD">
        <w:t>de</w:t>
      </w:r>
      <w:r w:rsidR="00F373A3" w:rsidRPr="00181FCD">
        <w:t xml:space="preserve"> </w:t>
      </w:r>
      <w:r w:rsidRPr="00181FCD">
        <w:t>la</w:t>
      </w:r>
      <w:r w:rsidR="00F373A3" w:rsidRPr="00181FCD">
        <w:t xml:space="preserve"> </w:t>
      </w:r>
      <w:r w:rsidRPr="00181FCD">
        <w:t>trata</w:t>
      </w:r>
      <w:r w:rsidR="00F373A3" w:rsidRPr="00181FCD">
        <w:t xml:space="preserve"> </w:t>
      </w:r>
      <w:r w:rsidRPr="00181FCD">
        <w:t>con</w:t>
      </w:r>
      <w:r w:rsidR="00F373A3" w:rsidRPr="00181FCD">
        <w:t xml:space="preserve"> </w:t>
      </w:r>
      <w:r w:rsidRPr="00181FCD">
        <w:t>fines</w:t>
      </w:r>
      <w:r w:rsidR="00F373A3" w:rsidRPr="00181FCD">
        <w:t xml:space="preserve"> </w:t>
      </w:r>
      <w:r w:rsidRPr="00181FCD">
        <w:t>de</w:t>
      </w:r>
      <w:r w:rsidR="00F373A3" w:rsidRPr="00181FCD">
        <w:t xml:space="preserve"> </w:t>
      </w:r>
      <w:r w:rsidRPr="00181FCD">
        <w:t>explotación</w:t>
      </w:r>
      <w:r w:rsidR="00F373A3" w:rsidRPr="00181FCD">
        <w:t xml:space="preserve"> </w:t>
      </w:r>
      <w:r w:rsidRPr="00181FCD">
        <w:t>laboral</w:t>
      </w:r>
      <w:r w:rsidR="00F373A3" w:rsidRPr="00181FCD">
        <w:t xml:space="preserve"> </w:t>
      </w:r>
      <w:r w:rsidRPr="00181FCD">
        <w:t>y</w:t>
      </w:r>
      <w:r w:rsidR="00F373A3" w:rsidRPr="00181FCD">
        <w:t xml:space="preserve"> </w:t>
      </w:r>
      <w:r w:rsidRPr="00181FCD">
        <w:t>sexual,</w:t>
      </w:r>
      <w:r w:rsidR="00672EC2" w:rsidRPr="00181FCD">
        <w:t xml:space="preserve"> </w:t>
      </w:r>
      <w:r w:rsidRPr="00181FCD">
        <w:t>mediante</w:t>
      </w:r>
      <w:r w:rsidR="00F373A3" w:rsidRPr="00181FCD">
        <w:t xml:space="preserve"> </w:t>
      </w:r>
      <w:r w:rsidRPr="00181FCD">
        <w:t>la</w:t>
      </w:r>
      <w:r w:rsidR="00F373A3" w:rsidRPr="00181FCD">
        <w:t xml:space="preserve"> </w:t>
      </w:r>
      <w:r w:rsidRPr="00181FCD">
        <w:t>organización</w:t>
      </w:r>
      <w:r w:rsidR="00F373A3" w:rsidRPr="00181FCD">
        <w:t xml:space="preserve"> </w:t>
      </w:r>
      <w:r w:rsidRPr="00181FCD">
        <w:t>y</w:t>
      </w:r>
      <w:r w:rsidR="00F373A3" w:rsidRPr="00181FCD">
        <w:t xml:space="preserve"> </w:t>
      </w:r>
      <w:r w:rsidRPr="00181FCD">
        <w:t>ejecución</w:t>
      </w:r>
      <w:r w:rsidR="00F373A3" w:rsidRPr="00181FCD">
        <w:t xml:space="preserve"> </w:t>
      </w:r>
      <w:r w:rsidRPr="00181FCD">
        <w:t>de</w:t>
      </w:r>
      <w:r w:rsidR="00F373A3" w:rsidRPr="00181FCD">
        <w:t xml:space="preserve"> </w:t>
      </w:r>
      <w:r w:rsidRPr="00181FCD">
        <w:t>campañas</w:t>
      </w:r>
      <w:r w:rsidR="00F373A3" w:rsidRPr="00181FCD">
        <w:t xml:space="preserve"> </w:t>
      </w:r>
      <w:r w:rsidRPr="00181FCD">
        <w:t>anuales</w:t>
      </w:r>
      <w:r w:rsidR="00F373A3" w:rsidRPr="00181FCD">
        <w:t xml:space="preserve"> </w:t>
      </w:r>
      <w:r w:rsidRPr="00181FCD">
        <w:t>de</w:t>
      </w:r>
      <w:r w:rsidR="00F373A3" w:rsidRPr="00181FCD">
        <w:t xml:space="preserve"> </w:t>
      </w:r>
      <w:r w:rsidRPr="00181FCD">
        <w:t>prevención</w:t>
      </w:r>
      <w:r w:rsidR="00F373A3" w:rsidRPr="00181FCD">
        <w:t xml:space="preserve"> </w:t>
      </w:r>
      <w:r w:rsidRPr="00181FCD">
        <w:t>en</w:t>
      </w:r>
      <w:r w:rsidR="00F373A3" w:rsidRPr="00181FCD">
        <w:t xml:space="preserve"> </w:t>
      </w:r>
      <w:r w:rsidRPr="00181FCD">
        <w:t>este</w:t>
      </w:r>
      <w:r w:rsidR="00F373A3" w:rsidRPr="00181FCD">
        <w:t xml:space="preserve"> </w:t>
      </w:r>
      <w:r w:rsidRPr="00181FCD">
        <w:t>ámbito</w:t>
      </w:r>
      <w:r w:rsidR="00F373A3" w:rsidRPr="00181FCD">
        <w:t xml:space="preserve"> </w:t>
      </w:r>
      <w:r w:rsidRPr="00181FCD">
        <w:t>y</w:t>
      </w:r>
      <w:r w:rsidR="00F373A3" w:rsidRPr="00181FCD">
        <w:t xml:space="preserve"> </w:t>
      </w:r>
      <w:r w:rsidRPr="00181FCD">
        <w:t>la</w:t>
      </w:r>
      <w:r w:rsidR="00F373A3" w:rsidRPr="00181FCD">
        <w:t xml:space="preserve"> </w:t>
      </w:r>
      <w:r w:rsidRPr="00181FCD">
        <w:t>colaboración</w:t>
      </w:r>
      <w:r w:rsidR="00F373A3" w:rsidRPr="00181FCD">
        <w:t xml:space="preserve"> </w:t>
      </w:r>
      <w:r w:rsidRPr="00181FCD">
        <w:t>con</w:t>
      </w:r>
      <w:r w:rsidR="00F373A3" w:rsidRPr="00181FCD">
        <w:t xml:space="preserve"> </w:t>
      </w:r>
      <w:r w:rsidRPr="00181FCD">
        <w:t>jóvenes</w:t>
      </w:r>
      <w:r w:rsidR="00F373A3" w:rsidRPr="00181FCD">
        <w:t xml:space="preserve"> </w:t>
      </w:r>
      <w:r w:rsidRPr="00181FCD">
        <w:t>que</w:t>
      </w:r>
      <w:r w:rsidR="00F373A3" w:rsidRPr="00181FCD">
        <w:t xml:space="preserve"> </w:t>
      </w:r>
      <w:r w:rsidRPr="00181FCD">
        <w:t>forman</w:t>
      </w:r>
      <w:r w:rsidR="00F373A3" w:rsidRPr="00181FCD">
        <w:t xml:space="preserve"> </w:t>
      </w:r>
      <w:r w:rsidRPr="00181FCD">
        <w:t>a</w:t>
      </w:r>
      <w:r w:rsidR="00F373A3" w:rsidRPr="00181FCD">
        <w:t xml:space="preserve"> </w:t>
      </w:r>
      <w:r w:rsidRPr="00181FCD">
        <w:t>sus</w:t>
      </w:r>
      <w:r w:rsidR="00F373A3" w:rsidRPr="00181FCD">
        <w:t xml:space="preserve"> </w:t>
      </w:r>
      <w:r w:rsidRPr="00181FCD">
        <w:t>compañeros</w:t>
      </w:r>
      <w:r w:rsidR="00F373A3" w:rsidRPr="00181FCD">
        <w:t xml:space="preserve"> </w:t>
      </w:r>
      <w:r w:rsidRPr="00181FCD">
        <w:t>sobre</w:t>
      </w:r>
      <w:r w:rsidR="00F373A3" w:rsidRPr="00181FCD">
        <w:t xml:space="preserve"> </w:t>
      </w:r>
      <w:r w:rsidRPr="00181FCD">
        <w:t>la</w:t>
      </w:r>
      <w:r w:rsidR="00F373A3" w:rsidRPr="00181FCD">
        <w:t xml:space="preserve"> </w:t>
      </w:r>
      <w:r w:rsidRPr="00181FCD">
        <w:t>prevención</w:t>
      </w:r>
      <w:r w:rsidR="00F373A3" w:rsidRPr="00181FCD">
        <w:t xml:space="preserve"> </w:t>
      </w:r>
      <w:r w:rsidRPr="00181FCD">
        <w:t>de</w:t>
      </w:r>
      <w:r w:rsidR="00F373A3" w:rsidRPr="00181FCD">
        <w:t xml:space="preserve"> </w:t>
      </w:r>
      <w:r w:rsidRPr="00181FCD">
        <w:t>la</w:t>
      </w:r>
      <w:r w:rsidR="00F373A3" w:rsidRPr="00181FCD">
        <w:t xml:space="preserve"> </w:t>
      </w:r>
      <w:r w:rsidRPr="00181FCD">
        <w:t>trata</w:t>
      </w:r>
      <w:r w:rsidR="00F373A3" w:rsidRPr="00181FCD">
        <w:t xml:space="preserve"> </w:t>
      </w:r>
      <w:r w:rsidRPr="00181FCD">
        <w:t>de</w:t>
      </w:r>
      <w:r w:rsidR="00F373A3" w:rsidRPr="00181FCD">
        <w:t xml:space="preserve"> </w:t>
      </w:r>
      <w:r w:rsidRPr="00181FCD">
        <w:t>personas.</w:t>
      </w:r>
      <w:r w:rsidR="00F373A3" w:rsidRPr="00181FCD">
        <w:t xml:space="preserve"> </w:t>
      </w:r>
    </w:p>
    <w:p w:rsidR="001937F4" w:rsidRPr="00181FCD" w:rsidRDefault="001937F4" w:rsidP="00347B20">
      <w:pPr>
        <w:pStyle w:val="SingleTxtG"/>
        <w:suppressAutoHyphens/>
      </w:pPr>
      <w:r w:rsidRPr="00181FCD">
        <w:t>205.</w:t>
      </w:r>
      <w:r w:rsidRPr="00181FCD">
        <w:tab/>
        <w:t>Está</w:t>
      </w:r>
      <w:r w:rsidR="00F373A3" w:rsidRPr="00181FCD">
        <w:t xml:space="preserve"> </w:t>
      </w:r>
      <w:r w:rsidRPr="00181FCD">
        <w:t>previsto</w:t>
      </w:r>
      <w:r w:rsidR="00F373A3" w:rsidRPr="00181FCD">
        <w:t xml:space="preserve"> </w:t>
      </w:r>
      <w:r w:rsidRPr="00181FCD">
        <w:t>que</w:t>
      </w:r>
      <w:r w:rsidR="00F373A3" w:rsidRPr="00181FCD">
        <w:t xml:space="preserve"> </w:t>
      </w:r>
      <w:r w:rsidRPr="00181FCD">
        <w:t>en</w:t>
      </w:r>
      <w:r w:rsidR="00F373A3" w:rsidRPr="00181FCD">
        <w:t xml:space="preserve"> </w:t>
      </w:r>
      <w:r w:rsidRPr="00181FCD">
        <w:t>2015</w:t>
      </w:r>
      <w:r w:rsidR="00F373A3" w:rsidRPr="00181FCD">
        <w:t xml:space="preserve"> </w:t>
      </w:r>
      <w:r w:rsidRPr="00181FCD">
        <w:t>comience</w:t>
      </w:r>
      <w:r w:rsidR="00F373A3" w:rsidRPr="00181FCD">
        <w:t xml:space="preserve"> </w:t>
      </w:r>
      <w:r w:rsidRPr="00181FCD">
        <w:t>a</w:t>
      </w:r>
      <w:r w:rsidR="00F373A3" w:rsidRPr="00181FCD">
        <w:t xml:space="preserve"> </w:t>
      </w:r>
      <w:r w:rsidRPr="00181FCD">
        <w:t>funcionar</w:t>
      </w:r>
      <w:r w:rsidR="00F373A3" w:rsidRPr="00181FCD">
        <w:t xml:space="preserve"> </w:t>
      </w:r>
      <w:r w:rsidRPr="00181FCD">
        <w:t>una</w:t>
      </w:r>
      <w:r w:rsidR="00F373A3" w:rsidRPr="00181FCD">
        <w:t xml:space="preserve"> </w:t>
      </w:r>
      <w:r w:rsidRPr="00181FCD">
        <w:t>línea</w:t>
      </w:r>
      <w:r w:rsidR="00F373A3" w:rsidRPr="00181FCD">
        <w:t xml:space="preserve"> </w:t>
      </w:r>
      <w:r w:rsidRPr="00181FCD">
        <w:t>telefónica</w:t>
      </w:r>
      <w:r w:rsidR="00F373A3" w:rsidRPr="00181FCD">
        <w:t xml:space="preserve"> </w:t>
      </w:r>
      <w:r w:rsidRPr="00181FCD">
        <w:t>gratuita</w:t>
      </w:r>
      <w:r w:rsidR="00F373A3" w:rsidRPr="00181FCD">
        <w:t xml:space="preserve"> </w:t>
      </w:r>
      <w:r w:rsidRPr="00181FCD">
        <w:t>nacional</w:t>
      </w:r>
      <w:r w:rsidR="00F373A3" w:rsidRPr="00181FCD">
        <w:t xml:space="preserve"> </w:t>
      </w:r>
      <w:r w:rsidRPr="00181FCD">
        <w:t>para</w:t>
      </w:r>
      <w:r w:rsidR="00F373A3" w:rsidRPr="00181FCD">
        <w:t xml:space="preserve"> </w:t>
      </w:r>
      <w:r w:rsidRPr="00181FCD">
        <w:t>las</w:t>
      </w:r>
      <w:r w:rsidR="00F373A3" w:rsidRPr="00181FCD">
        <w:t xml:space="preserve"> </w:t>
      </w:r>
      <w:r w:rsidRPr="00181FCD">
        <w:t>víctimas</w:t>
      </w:r>
      <w:r w:rsidR="00F373A3" w:rsidRPr="00181FCD">
        <w:t xml:space="preserve"> </w:t>
      </w:r>
      <w:r w:rsidRPr="00181FCD">
        <w:t>de</w:t>
      </w:r>
      <w:r w:rsidR="00F373A3" w:rsidRPr="00181FCD">
        <w:t xml:space="preserve"> </w:t>
      </w:r>
      <w:r w:rsidRPr="00181FCD">
        <w:t>la</w:t>
      </w:r>
      <w:r w:rsidR="00F373A3" w:rsidRPr="00181FCD">
        <w:t xml:space="preserve"> </w:t>
      </w:r>
      <w:r w:rsidRPr="00181FCD">
        <w:t>trata,</w:t>
      </w:r>
      <w:r w:rsidR="00F373A3" w:rsidRPr="00181FCD">
        <w:t xml:space="preserve"> </w:t>
      </w:r>
      <w:r w:rsidRPr="00181FCD">
        <w:t>que</w:t>
      </w:r>
      <w:r w:rsidR="00F373A3" w:rsidRPr="00181FCD">
        <w:t xml:space="preserve"> </w:t>
      </w:r>
      <w:r w:rsidRPr="00181FCD">
        <w:t>servirá</w:t>
      </w:r>
      <w:r w:rsidR="00F373A3" w:rsidRPr="00181FCD">
        <w:t xml:space="preserve"> </w:t>
      </w:r>
      <w:r w:rsidRPr="00181FCD">
        <w:t>como</w:t>
      </w:r>
      <w:r w:rsidR="00F373A3" w:rsidRPr="00181FCD">
        <w:t xml:space="preserve"> </w:t>
      </w:r>
      <w:r w:rsidRPr="00181FCD">
        <w:t>herramienta</w:t>
      </w:r>
      <w:r w:rsidR="00F373A3" w:rsidRPr="00181FCD">
        <w:t xml:space="preserve"> </w:t>
      </w:r>
      <w:r w:rsidRPr="00181FCD">
        <w:t>de</w:t>
      </w:r>
      <w:r w:rsidR="00F373A3" w:rsidRPr="00181FCD">
        <w:t xml:space="preserve"> </w:t>
      </w:r>
      <w:r w:rsidRPr="00181FCD">
        <w:t>prevención</w:t>
      </w:r>
      <w:r w:rsidR="00F373A3" w:rsidRPr="00181FCD">
        <w:t xml:space="preserve"> </w:t>
      </w:r>
      <w:r w:rsidRPr="00181FCD">
        <w:t>y</w:t>
      </w:r>
      <w:r w:rsidR="00F373A3" w:rsidRPr="00181FCD">
        <w:t xml:space="preserve"> </w:t>
      </w:r>
      <w:r w:rsidRPr="00181FCD">
        <w:t>como</w:t>
      </w:r>
      <w:r w:rsidR="00F373A3" w:rsidRPr="00181FCD">
        <w:t xml:space="preserve"> </w:t>
      </w:r>
      <w:r w:rsidRPr="00181FCD">
        <w:t>mecanismo</w:t>
      </w:r>
      <w:r w:rsidR="00F373A3" w:rsidRPr="00181FCD">
        <w:t xml:space="preserve"> </w:t>
      </w:r>
      <w:r w:rsidRPr="00181FCD">
        <w:t>de</w:t>
      </w:r>
      <w:r w:rsidR="00F373A3" w:rsidRPr="00181FCD">
        <w:t xml:space="preserve"> </w:t>
      </w:r>
      <w:r w:rsidRPr="00181FCD">
        <w:t>identificación,</w:t>
      </w:r>
      <w:r w:rsidR="00F373A3" w:rsidRPr="00181FCD">
        <w:t xml:space="preserve"> </w:t>
      </w:r>
      <w:r w:rsidRPr="00181FCD">
        <w:t>derivación</w:t>
      </w:r>
      <w:r w:rsidR="00F373A3" w:rsidRPr="00181FCD">
        <w:t xml:space="preserve"> </w:t>
      </w:r>
      <w:r w:rsidRPr="00181FCD">
        <w:t>y</w:t>
      </w:r>
      <w:r w:rsidR="00F373A3" w:rsidRPr="00181FCD">
        <w:t xml:space="preserve"> </w:t>
      </w:r>
      <w:r w:rsidRPr="00181FCD">
        <w:t>apoyo</w:t>
      </w:r>
      <w:r w:rsidR="00F373A3" w:rsidRPr="00181FCD">
        <w:t xml:space="preserve"> </w:t>
      </w:r>
      <w:r w:rsidRPr="00181FCD">
        <w:t>a</w:t>
      </w:r>
      <w:r w:rsidR="00F373A3" w:rsidRPr="00181FCD">
        <w:t xml:space="preserve"> </w:t>
      </w:r>
      <w:r w:rsidRPr="00181FCD">
        <w:t>las</w:t>
      </w:r>
      <w:r w:rsidR="00F373A3" w:rsidRPr="00181FCD">
        <w:t xml:space="preserve"> </w:t>
      </w:r>
      <w:r w:rsidRPr="00181FCD">
        <w:t>víctimas.</w:t>
      </w:r>
      <w:r w:rsidR="00F373A3" w:rsidRPr="00181FCD">
        <w:t xml:space="preserve"> </w:t>
      </w:r>
    </w:p>
    <w:p w:rsidR="001937F4" w:rsidRPr="00181FCD" w:rsidRDefault="001937F4" w:rsidP="00347B20">
      <w:pPr>
        <w:pStyle w:val="SingleTxtG"/>
        <w:suppressAutoHyphens/>
      </w:pPr>
      <w:r w:rsidRPr="00181FCD">
        <w:t>206.</w:t>
      </w:r>
      <w:r w:rsidRPr="00181FCD">
        <w:tab/>
        <w:t>Con</w:t>
      </w:r>
      <w:r w:rsidR="00F373A3" w:rsidRPr="00181FCD">
        <w:t xml:space="preserve"> </w:t>
      </w:r>
      <w:r w:rsidRPr="00181FCD">
        <w:t>el</w:t>
      </w:r>
      <w:r w:rsidR="00F373A3" w:rsidRPr="00181FCD">
        <w:t xml:space="preserve"> </w:t>
      </w:r>
      <w:r w:rsidRPr="00181FCD">
        <w:t>objeto</w:t>
      </w:r>
      <w:r w:rsidR="00F373A3" w:rsidRPr="00181FCD">
        <w:t xml:space="preserve"> </w:t>
      </w:r>
      <w:r w:rsidRPr="00181FCD">
        <w:t>de</w:t>
      </w:r>
      <w:r w:rsidR="00F373A3" w:rsidRPr="00181FCD">
        <w:t xml:space="preserve"> </w:t>
      </w:r>
      <w:r w:rsidRPr="00181FCD">
        <w:t>asegurar</w:t>
      </w:r>
      <w:r w:rsidR="00F373A3" w:rsidRPr="00181FCD">
        <w:t xml:space="preserve"> </w:t>
      </w:r>
      <w:r w:rsidRPr="00181FCD">
        <w:t>la</w:t>
      </w:r>
      <w:r w:rsidR="00F373A3" w:rsidRPr="00181FCD">
        <w:t xml:space="preserve"> </w:t>
      </w:r>
      <w:r w:rsidRPr="00181FCD">
        <w:t>asistencia</w:t>
      </w:r>
      <w:r w:rsidR="00F373A3" w:rsidRPr="00181FCD">
        <w:t xml:space="preserve"> </w:t>
      </w:r>
      <w:r w:rsidRPr="00181FCD">
        <w:t>a</w:t>
      </w:r>
      <w:r w:rsidR="00F373A3" w:rsidRPr="00181FCD">
        <w:t xml:space="preserve"> </w:t>
      </w:r>
      <w:r w:rsidRPr="00181FCD">
        <w:t>las</w:t>
      </w:r>
      <w:r w:rsidR="00F373A3" w:rsidRPr="00181FCD">
        <w:t xml:space="preserve"> </w:t>
      </w:r>
      <w:r w:rsidRPr="00181FCD">
        <w:t>víctimas,</w:t>
      </w:r>
      <w:r w:rsidR="00F373A3" w:rsidRPr="00181FCD">
        <w:t xml:space="preserve"> </w:t>
      </w:r>
      <w:r w:rsidRPr="00181FCD">
        <w:t>la</w:t>
      </w:r>
      <w:r w:rsidR="00F373A3" w:rsidRPr="00181FCD">
        <w:t xml:space="preserve"> </w:t>
      </w:r>
      <w:r w:rsidRPr="00181FCD">
        <w:t>Comisión</w:t>
      </w:r>
      <w:r w:rsidR="00F373A3" w:rsidRPr="00181FCD">
        <w:t xml:space="preserve"> </w:t>
      </w:r>
      <w:r w:rsidRPr="00181FCD">
        <w:t>Nacional</w:t>
      </w:r>
      <w:r w:rsidR="00F373A3" w:rsidRPr="00181FCD">
        <w:t xml:space="preserve"> </w:t>
      </w:r>
      <w:r w:rsidRPr="00181FCD">
        <w:t>de</w:t>
      </w:r>
      <w:r w:rsidR="00F373A3" w:rsidRPr="00181FCD">
        <w:t xml:space="preserve"> </w:t>
      </w:r>
      <w:r w:rsidRPr="00181FCD">
        <w:t>Lucha</w:t>
      </w:r>
      <w:r w:rsidR="00F373A3" w:rsidRPr="00181FCD">
        <w:t xml:space="preserve"> </w:t>
      </w:r>
      <w:r w:rsidRPr="00181FCD">
        <w:t>contra</w:t>
      </w:r>
      <w:r w:rsidR="00F373A3" w:rsidRPr="00181FCD">
        <w:t xml:space="preserve"> </w:t>
      </w:r>
      <w:r w:rsidRPr="00181FCD">
        <w:t>la</w:t>
      </w:r>
      <w:r w:rsidR="00F373A3" w:rsidRPr="00181FCD">
        <w:t xml:space="preserve"> </w:t>
      </w:r>
      <w:r w:rsidRPr="00181FCD">
        <w:t>Trata</w:t>
      </w:r>
      <w:r w:rsidR="00F373A3" w:rsidRPr="00181FCD">
        <w:t xml:space="preserve"> </w:t>
      </w:r>
      <w:r w:rsidRPr="00181FCD">
        <w:t>de</w:t>
      </w:r>
      <w:r w:rsidR="00F373A3" w:rsidRPr="00181FCD">
        <w:t xml:space="preserve"> </w:t>
      </w:r>
      <w:r w:rsidRPr="00181FCD">
        <w:t>Personas</w:t>
      </w:r>
      <w:r w:rsidR="00F373A3" w:rsidRPr="00181FCD">
        <w:t xml:space="preserve"> </w:t>
      </w:r>
      <w:r w:rsidRPr="00181FCD">
        <w:t>tiene</w:t>
      </w:r>
      <w:r w:rsidR="00F373A3" w:rsidRPr="00181FCD">
        <w:t xml:space="preserve"> </w:t>
      </w:r>
      <w:r w:rsidRPr="00181FCD">
        <w:t>el</w:t>
      </w:r>
      <w:r w:rsidR="00F373A3" w:rsidRPr="00181FCD">
        <w:t xml:space="preserve"> </w:t>
      </w:r>
      <w:r w:rsidRPr="00181FCD">
        <w:t>propósito</w:t>
      </w:r>
      <w:r w:rsidR="00F373A3" w:rsidRPr="00181FCD">
        <w:t xml:space="preserve"> </w:t>
      </w:r>
      <w:r w:rsidRPr="00181FCD">
        <w:t>de</w:t>
      </w:r>
      <w:r w:rsidR="00F373A3" w:rsidRPr="00181FCD">
        <w:t xml:space="preserve"> </w:t>
      </w:r>
      <w:r w:rsidRPr="00181FCD">
        <w:t>reabrir</w:t>
      </w:r>
      <w:r w:rsidR="00F373A3" w:rsidRPr="00181FCD">
        <w:t xml:space="preserve"> </w:t>
      </w:r>
      <w:r w:rsidRPr="00181FCD">
        <w:t>dos</w:t>
      </w:r>
      <w:r w:rsidR="00F373A3" w:rsidRPr="00181FCD">
        <w:t xml:space="preserve"> </w:t>
      </w:r>
      <w:r w:rsidRPr="00181FCD">
        <w:t>albergues</w:t>
      </w:r>
      <w:r w:rsidR="00F373A3" w:rsidRPr="00181FCD">
        <w:t xml:space="preserve"> </w:t>
      </w:r>
      <w:r w:rsidRPr="00181FCD">
        <w:t>estatales</w:t>
      </w:r>
      <w:r w:rsidR="00F373A3" w:rsidRPr="00181FCD">
        <w:t xml:space="preserve"> </w:t>
      </w:r>
      <w:r w:rsidRPr="00181FCD">
        <w:t>para</w:t>
      </w:r>
      <w:r w:rsidR="00F373A3" w:rsidRPr="00181FCD">
        <w:t xml:space="preserve"> </w:t>
      </w:r>
      <w:r w:rsidRPr="00181FCD">
        <w:t>las</w:t>
      </w:r>
      <w:r w:rsidR="00F373A3" w:rsidRPr="00181FCD">
        <w:t xml:space="preserve"> </w:t>
      </w:r>
      <w:r w:rsidRPr="00181FCD">
        <w:t>víctimas</w:t>
      </w:r>
      <w:r w:rsidR="00F373A3" w:rsidRPr="00181FCD">
        <w:t xml:space="preserve"> </w:t>
      </w:r>
      <w:r w:rsidRPr="00181FCD">
        <w:t>y</w:t>
      </w:r>
      <w:r w:rsidR="00F373A3" w:rsidRPr="00181FCD">
        <w:t xml:space="preserve"> </w:t>
      </w:r>
      <w:r w:rsidRPr="00181FCD">
        <w:t>crear</w:t>
      </w:r>
      <w:r w:rsidR="00F373A3" w:rsidRPr="00181FCD">
        <w:t xml:space="preserve"> </w:t>
      </w:r>
      <w:r w:rsidRPr="00181FCD">
        <w:t>un</w:t>
      </w:r>
      <w:r w:rsidR="00F373A3" w:rsidRPr="00181FCD">
        <w:t xml:space="preserve"> </w:t>
      </w:r>
      <w:r w:rsidRPr="00181FCD">
        <w:t>nuevo</w:t>
      </w:r>
      <w:r w:rsidR="00F373A3" w:rsidRPr="00181FCD">
        <w:t xml:space="preserve"> </w:t>
      </w:r>
      <w:r w:rsidRPr="00181FCD">
        <w:t>servicio</w:t>
      </w:r>
      <w:r w:rsidR="00F373A3" w:rsidRPr="00181FCD">
        <w:t xml:space="preserve"> </w:t>
      </w:r>
      <w:r w:rsidRPr="00181FCD">
        <w:t>(un</w:t>
      </w:r>
      <w:r w:rsidR="00F373A3" w:rsidRPr="00181FCD">
        <w:t xml:space="preserve"> </w:t>
      </w:r>
      <w:r w:rsidRPr="00181FCD">
        <w:t>nuevo</w:t>
      </w:r>
      <w:r w:rsidR="00F373A3" w:rsidRPr="00181FCD">
        <w:t xml:space="preserve"> </w:t>
      </w:r>
      <w:r w:rsidRPr="00181FCD">
        <w:t>programa</w:t>
      </w:r>
      <w:r w:rsidR="00F373A3" w:rsidRPr="00181FCD">
        <w:t xml:space="preserve"> </w:t>
      </w:r>
      <w:r w:rsidRPr="00181FCD">
        <w:t>para</w:t>
      </w:r>
      <w:r w:rsidR="00F373A3" w:rsidRPr="00181FCD">
        <w:t xml:space="preserve"> </w:t>
      </w:r>
      <w:r w:rsidRPr="00181FCD">
        <w:t>la</w:t>
      </w:r>
      <w:r w:rsidR="00F373A3" w:rsidRPr="00181FCD">
        <w:t xml:space="preserve"> </w:t>
      </w:r>
      <w:r w:rsidRPr="00181FCD">
        <w:t>reintegración</w:t>
      </w:r>
      <w:r w:rsidR="00F373A3" w:rsidRPr="00181FCD">
        <w:t xml:space="preserve"> </w:t>
      </w:r>
      <w:r w:rsidRPr="00181FCD">
        <w:t>y</w:t>
      </w:r>
      <w:r w:rsidR="00F373A3" w:rsidRPr="00181FCD">
        <w:t xml:space="preserve"> </w:t>
      </w:r>
      <w:r w:rsidRPr="00181FCD">
        <w:t>el</w:t>
      </w:r>
      <w:r w:rsidR="00F373A3" w:rsidRPr="00181FCD">
        <w:t xml:space="preserve"> </w:t>
      </w:r>
      <w:r w:rsidRPr="00181FCD">
        <w:t>empoderamiento</w:t>
      </w:r>
      <w:r w:rsidR="00F373A3" w:rsidRPr="00181FCD">
        <w:t xml:space="preserve"> </w:t>
      </w:r>
      <w:r w:rsidRPr="00181FCD">
        <w:t>de</w:t>
      </w:r>
      <w:r w:rsidR="00F373A3" w:rsidRPr="00181FCD">
        <w:t xml:space="preserve"> </w:t>
      </w:r>
      <w:r w:rsidRPr="00181FCD">
        <w:t>las</w:t>
      </w:r>
      <w:r w:rsidR="00F373A3" w:rsidRPr="00181FCD">
        <w:t xml:space="preserve"> </w:t>
      </w:r>
      <w:r w:rsidRPr="00181FCD">
        <w:t>víctimas</w:t>
      </w:r>
      <w:r w:rsidR="00F373A3" w:rsidRPr="00181FCD">
        <w:t xml:space="preserve"> </w:t>
      </w:r>
      <w:r w:rsidRPr="00181FCD">
        <w:t>de</w:t>
      </w:r>
      <w:r w:rsidR="00F373A3" w:rsidRPr="00181FCD">
        <w:t xml:space="preserve"> </w:t>
      </w:r>
      <w:r w:rsidRPr="00181FCD">
        <w:t>la</w:t>
      </w:r>
      <w:r w:rsidR="00F373A3" w:rsidRPr="00181FCD">
        <w:t xml:space="preserve"> </w:t>
      </w:r>
      <w:r w:rsidRPr="00181FCD">
        <w:t>trata,</w:t>
      </w:r>
      <w:r w:rsidR="00F373A3" w:rsidRPr="00181FCD">
        <w:t xml:space="preserve"> </w:t>
      </w:r>
      <w:r w:rsidRPr="00181FCD">
        <w:t>por</w:t>
      </w:r>
      <w:r w:rsidR="00F373A3" w:rsidRPr="00181FCD">
        <w:t xml:space="preserve"> </w:t>
      </w:r>
      <w:r w:rsidRPr="00181FCD">
        <w:t>ejemplo,</w:t>
      </w:r>
      <w:r w:rsidR="00F373A3" w:rsidRPr="00181FCD">
        <w:t xml:space="preserve"> </w:t>
      </w:r>
      <w:r w:rsidRPr="00181FCD">
        <w:t>un</w:t>
      </w:r>
      <w:r w:rsidR="00F373A3" w:rsidRPr="00181FCD">
        <w:t xml:space="preserve"> </w:t>
      </w:r>
      <w:r w:rsidRPr="00181FCD">
        <w:t>hogar</w:t>
      </w:r>
      <w:r w:rsidR="00F373A3" w:rsidRPr="00181FCD">
        <w:t xml:space="preserve"> </w:t>
      </w:r>
      <w:r w:rsidRPr="00181FCD">
        <w:t>de</w:t>
      </w:r>
      <w:r w:rsidR="00F373A3" w:rsidRPr="00181FCD">
        <w:t xml:space="preserve"> </w:t>
      </w:r>
      <w:r w:rsidRPr="00181FCD">
        <w:t>transición)</w:t>
      </w:r>
      <w:r w:rsidR="00F373A3" w:rsidRPr="00181FCD">
        <w:t xml:space="preserve"> </w:t>
      </w:r>
      <w:r w:rsidRPr="00181FCD">
        <w:t>con</w:t>
      </w:r>
      <w:r w:rsidR="00F373A3" w:rsidRPr="00181FCD">
        <w:t xml:space="preserve"> </w:t>
      </w:r>
      <w:r w:rsidRPr="00181FCD">
        <w:t>el</w:t>
      </w:r>
      <w:r w:rsidR="00F373A3" w:rsidRPr="00181FCD">
        <w:t xml:space="preserve"> </w:t>
      </w:r>
      <w:r w:rsidRPr="00181FCD">
        <w:t>propósito</w:t>
      </w:r>
      <w:r w:rsidR="00F373A3" w:rsidRPr="00181FCD">
        <w:t xml:space="preserve"> </w:t>
      </w:r>
      <w:r w:rsidRPr="00181FCD">
        <w:t>de</w:t>
      </w:r>
      <w:r w:rsidR="00F373A3" w:rsidRPr="00181FCD">
        <w:t xml:space="preserve"> </w:t>
      </w:r>
      <w:r w:rsidRPr="00181FCD">
        <w:t>alojarlas</w:t>
      </w:r>
      <w:r w:rsidR="00F373A3" w:rsidRPr="00181FCD">
        <w:t xml:space="preserve"> </w:t>
      </w:r>
      <w:r w:rsidRPr="00181FCD">
        <w:t>mientras</w:t>
      </w:r>
      <w:r w:rsidR="00F373A3" w:rsidRPr="00181FCD">
        <w:t xml:space="preserve"> </w:t>
      </w:r>
      <w:r w:rsidRPr="00181FCD">
        <w:t>se</w:t>
      </w:r>
      <w:r w:rsidR="00F373A3" w:rsidRPr="00181FCD">
        <w:t xml:space="preserve"> </w:t>
      </w:r>
      <w:r w:rsidRPr="00181FCD">
        <w:t>reintegran</w:t>
      </w:r>
      <w:r w:rsidR="00F373A3" w:rsidRPr="00181FCD">
        <w:t xml:space="preserve"> </w:t>
      </w:r>
      <w:r w:rsidRPr="00181FCD">
        <w:t>en</w:t>
      </w:r>
      <w:r w:rsidR="00F373A3" w:rsidRPr="00181FCD">
        <w:t xml:space="preserve"> </w:t>
      </w:r>
      <w:r w:rsidRPr="00181FCD">
        <w:t>la</w:t>
      </w:r>
      <w:r w:rsidR="00F373A3" w:rsidRPr="00181FCD">
        <w:t xml:space="preserve"> </w:t>
      </w:r>
      <w:r w:rsidRPr="00181FCD">
        <w:t>sociedad</w:t>
      </w:r>
      <w:r w:rsidR="00F373A3" w:rsidRPr="00181FCD">
        <w:t xml:space="preserve"> </w:t>
      </w:r>
      <w:r w:rsidRPr="00181FCD">
        <w:t>y</w:t>
      </w:r>
      <w:r w:rsidR="00F373A3" w:rsidRPr="00181FCD">
        <w:t xml:space="preserve"> </w:t>
      </w:r>
      <w:r w:rsidRPr="00181FCD">
        <w:t>potencian</w:t>
      </w:r>
      <w:r w:rsidR="00F373A3" w:rsidRPr="00181FCD">
        <w:t xml:space="preserve"> </w:t>
      </w:r>
      <w:r w:rsidRPr="00181FCD">
        <w:t>su</w:t>
      </w:r>
      <w:r w:rsidR="00F373A3" w:rsidRPr="00181FCD">
        <w:t xml:space="preserve"> </w:t>
      </w:r>
      <w:r w:rsidRPr="00181FCD">
        <w:t>autonomía</w:t>
      </w:r>
      <w:r w:rsidR="00F373A3" w:rsidRPr="00181FCD">
        <w:t xml:space="preserve"> </w:t>
      </w:r>
      <w:r w:rsidRPr="00181FCD">
        <w:t>con</w:t>
      </w:r>
      <w:r w:rsidR="00F373A3" w:rsidRPr="00181FCD">
        <w:t xml:space="preserve"> </w:t>
      </w:r>
      <w:r w:rsidRPr="00181FCD">
        <w:t>nuevas</w:t>
      </w:r>
      <w:r w:rsidR="00F373A3" w:rsidRPr="00181FCD">
        <w:t xml:space="preserve"> </w:t>
      </w:r>
      <w:r w:rsidRPr="00181FCD">
        <w:t>aptitudes.</w:t>
      </w:r>
      <w:r w:rsidR="00F373A3" w:rsidRPr="00181FCD">
        <w:t xml:space="preserve"> </w:t>
      </w:r>
    </w:p>
    <w:p w:rsidR="001937F4" w:rsidRPr="00181FCD" w:rsidRDefault="001937F4" w:rsidP="00347B20">
      <w:pPr>
        <w:pStyle w:val="SingleTxtG"/>
        <w:suppressAutoHyphens/>
      </w:pPr>
      <w:r w:rsidRPr="00181FCD">
        <w:t>207.</w:t>
      </w:r>
      <w:r w:rsidRPr="00181FCD">
        <w:tab/>
        <w:t>En</w:t>
      </w:r>
      <w:r w:rsidR="00F373A3" w:rsidRPr="00181FCD">
        <w:t xml:space="preserve"> </w:t>
      </w:r>
      <w:r w:rsidRPr="00181FCD">
        <w:t>el</w:t>
      </w:r>
      <w:r w:rsidR="00F373A3" w:rsidRPr="00181FCD">
        <w:t xml:space="preserve"> </w:t>
      </w:r>
      <w:r w:rsidRPr="00181FCD">
        <w:t>marco</w:t>
      </w:r>
      <w:r w:rsidR="00F373A3" w:rsidRPr="00181FCD">
        <w:t xml:space="preserve"> </w:t>
      </w:r>
      <w:r w:rsidRPr="00181FCD">
        <w:t>del</w:t>
      </w:r>
      <w:r w:rsidR="00F373A3" w:rsidRPr="00181FCD">
        <w:t xml:space="preserve"> </w:t>
      </w:r>
      <w:r w:rsidRPr="00181FCD">
        <w:t>proyecto</w:t>
      </w:r>
      <w:r w:rsidR="00F373A3" w:rsidRPr="00181FCD">
        <w:t xml:space="preserve"> </w:t>
      </w:r>
      <w:r w:rsidRPr="00181FCD">
        <w:t>denominado</w:t>
      </w:r>
      <w:r w:rsidR="00F373A3" w:rsidRPr="00181FCD">
        <w:t xml:space="preserve"> "</w:t>
      </w:r>
      <w:r w:rsidRPr="00181FCD">
        <w:t>Cooperación</w:t>
      </w:r>
      <w:r w:rsidR="00F373A3" w:rsidRPr="00181FCD">
        <w:t xml:space="preserve"> </w:t>
      </w:r>
      <w:r w:rsidRPr="00181FCD">
        <w:t>entre</w:t>
      </w:r>
      <w:r w:rsidR="00F373A3" w:rsidRPr="00181FCD">
        <w:t xml:space="preserve"> </w:t>
      </w:r>
      <w:r w:rsidRPr="00181FCD">
        <w:t>Suiza</w:t>
      </w:r>
      <w:r w:rsidR="00F373A3" w:rsidRPr="00181FCD">
        <w:t xml:space="preserve"> </w:t>
      </w:r>
      <w:r w:rsidRPr="00181FCD">
        <w:t>y</w:t>
      </w:r>
      <w:r w:rsidR="00F373A3" w:rsidRPr="00181FCD">
        <w:t xml:space="preserve"> </w:t>
      </w:r>
      <w:r w:rsidRPr="00181FCD">
        <w:t>Bulgaria</w:t>
      </w:r>
      <w:r w:rsidR="00F373A3" w:rsidRPr="00181FCD">
        <w:t xml:space="preserve"> </w:t>
      </w:r>
      <w:r w:rsidRPr="00181FCD">
        <w:t>sobre</w:t>
      </w:r>
      <w:r w:rsidR="00F373A3" w:rsidRPr="00181FCD">
        <w:t xml:space="preserve"> </w:t>
      </w:r>
      <w:r w:rsidRPr="00181FCD">
        <w:t>la</w:t>
      </w:r>
      <w:r w:rsidR="00F373A3" w:rsidRPr="00181FCD">
        <w:t xml:space="preserve"> </w:t>
      </w:r>
      <w:r w:rsidRPr="00181FCD">
        <w:t>Identificación</w:t>
      </w:r>
      <w:r w:rsidR="00F373A3" w:rsidRPr="00181FCD">
        <w:t xml:space="preserve"> </w:t>
      </w:r>
      <w:r w:rsidRPr="00181FCD">
        <w:t>y</w:t>
      </w:r>
      <w:r w:rsidR="00F373A3" w:rsidRPr="00181FCD">
        <w:t xml:space="preserve"> </w:t>
      </w:r>
      <w:r w:rsidRPr="00181FCD">
        <w:t>Asistencia</w:t>
      </w:r>
      <w:r w:rsidR="00F373A3" w:rsidRPr="00181FCD">
        <w:t xml:space="preserve"> </w:t>
      </w:r>
      <w:r w:rsidRPr="00181FCD">
        <w:t>a</w:t>
      </w:r>
      <w:r w:rsidR="00F373A3" w:rsidRPr="00181FCD">
        <w:t xml:space="preserve"> </w:t>
      </w:r>
      <w:r w:rsidRPr="00181FCD">
        <w:t>Largo</w:t>
      </w:r>
      <w:r w:rsidR="00F373A3" w:rsidRPr="00181FCD">
        <w:t xml:space="preserve"> </w:t>
      </w:r>
      <w:r w:rsidRPr="00181FCD">
        <w:t>Plazo</w:t>
      </w:r>
      <w:r w:rsidR="00F373A3" w:rsidRPr="00181FCD">
        <w:t xml:space="preserve"> </w:t>
      </w:r>
      <w:r w:rsidRPr="00181FCD">
        <w:t>de</w:t>
      </w:r>
      <w:r w:rsidR="00F373A3" w:rsidRPr="00181FCD">
        <w:t xml:space="preserve"> </w:t>
      </w:r>
      <w:r w:rsidRPr="00181FCD">
        <w:t>Niños</w:t>
      </w:r>
      <w:r w:rsidR="00F373A3" w:rsidRPr="00181FCD">
        <w:t xml:space="preserve"> </w:t>
      </w:r>
      <w:r w:rsidRPr="00181FCD">
        <w:t>y</w:t>
      </w:r>
      <w:r w:rsidR="00F373A3" w:rsidRPr="00181FCD">
        <w:t xml:space="preserve"> </w:t>
      </w:r>
      <w:r w:rsidRPr="00181FCD">
        <w:t>Adultos</w:t>
      </w:r>
      <w:r w:rsidR="00F373A3" w:rsidRPr="00181FCD">
        <w:t xml:space="preserve"> </w:t>
      </w:r>
      <w:r w:rsidRPr="00181FCD">
        <w:t>Víctimas</w:t>
      </w:r>
      <w:r w:rsidR="00F373A3" w:rsidRPr="00181FCD">
        <w:t xml:space="preserve"> </w:t>
      </w:r>
      <w:r w:rsidRPr="00181FCD">
        <w:t>de</w:t>
      </w:r>
      <w:r w:rsidR="00F373A3" w:rsidRPr="00181FCD">
        <w:t xml:space="preserve"> </w:t>
      </w:r>
      <w:r w:rsidRPr="00181FCD">
        <w:t>la</w:t>
      </w:r>
      <w:r w:rsidR="00F373A3" w:rsidRPr="00181FCD">
        <w:t xml:space="preserve"> </w:t>
      </w:r>
      <w:r w:rsidRPr="00181FCD">
        <w:t>Trata</w:t>
      </w:r>
      <w:r w:rsidR="00F373A3" w:rsidRPr="00181FCD">
        <w:t xml:space="preserve"> </w:t>
      </w:r>
      <w:r w:rsidRPr="00181FCD">
        <w:t>de</w:t>
      </w:r>
      <w:r w:rsidR="00F373A3" w:rsidRPr="00181FCD">
        <w:t xml:space="preserve"> </w:t>
      </w:r>
      <w:r w:rsidRPr="00181FCD">
        <w:t>Personas</w:t>
      </w:r>
      <w:r w:rsidR="00F373A3" w:rsidRPr="00181FCD">
        <w:t>"</w:t>
      </w:r>
      <w:r w:rsidRPr="00181FCD">
        <w:t>,</w:t>
      </w:r>
      <w:r w:rsidR="00F373A3" w:rsidRPr="00181FCD">
        <w:t xml:space="preserve"> </w:t>
      </w:r>
      <w:r w:rsidRPr="00181FCD">
        <w:t>que</w:t>
      </w:r>
      <w:r w:rsidR="00F373A3" w:rsidRPr="00181FCD">
        <w:t xml:space="preserve"> </w:t>
      </w:r>
      <w:r w:rsidRPr="00181FCD">
        <w:t>ha</w:t>
      </w:r>
      <w:r w:rsidR="00F373A3" w:rsidRPr="00181FCD">
        <w:t xml:space="preserve"> </w:t>
      </w:r>
      <w:r w:rsidRPr="00181FCD">
        <w:t>de</w:t>
      </w:r>
      <w:r w:rsidR="00F373A3" w:rsidRPr="00181FCD">
        <w:t xml:space="preserve"> </w:t>
      </w:r>
      <w:r w:rsidRPr="00181FCD">
        <w:t>ejecutarse</w:t>
      </w:r>
      <w:r w:rsidR="00F373A3" w:rsidRPr="00181FCD">
        <w:t xml:space="preserve"> </w:t>
      </w:r>
      <w:r w:rsidRPr="00181FCD">
        <w:t>en</w:t>
      </w:r>
      <w:r w:rsidR="00F373A3" w:rsidRPr="00181FCD">
        <w:t xml:space="preserve"> </w:t>
      </w:r>
      <w:r w:rsidRPr="00181FCD">
        <w:t>breve,</w:t>
      </w:r>
      <w:r w:rsidR="00F373A3" w:rsidRPr="00181FCD">
        <w:t xml:space="preserve"> </w:t>
      </w:r>
      <w:r w:rsidRPr="00181FCD">
        <w:t>se</w:t>
      </w:r>
      <w:r w:rsidR="00F373A3" w:rsidRPr="00181FCD">
        <w:t xml:space="preserve"> </w:t>
      </w:r>
      <w:r w:rsidRPr="00181FCD">
        <w:t>creará</w:t>
      </w:r>
      <w:r w:rsidR="00F373A3" w:rsidRPr="00181FCD">
        <w:t xml:space="preserve"> </w:t>
      </w:r>
      <w:r w:rsidRPr="00181FCD">
        <w:t>un</w:t>
      </w:r>
      <w:r w:rsidR="00F373A3" w:rsidRPr="00181FCD">
        <w:t xml:space="preserve"> </w:t>
      </w:r>
      <w:r w:rsidRPr="00181FCD">
        <w:t>nuevo</w:t>
      </w:r>
      <w:r w:rsidR="00F373A3" w:rsidRPr="00181FCD">
        <w:t xml:space="preserve"> </w:t>
      </w:r>
      <w:r w:rsidRPr="00181FCD">
        <w:t>albergue</w:t>
      </w:r>
      <w:r w:rsidR="00F373A3" w:rsidRPr="00181FCD">
        <w:t xml:space="preserve"> </w:t>
      </w:r>
      <w:r w:rsidRPr="00181FCD">
        <w:t>para</w:t>
      </w:r>
      <w:r w:rsidR="00F373A3" w:rsidRPr="00181FCD">
        <w:t xml:space="preserve"> </w:t>
      </w:r>
      <w:r w:rsidRPr="00181FCD">
        <w:t>víctimas</w:t>
      </w:r>
      <w:r w:rsidR="00F373A3" w:rsidRPr="00181FCD">
        <w:t xml:space="preserve"> </w:t>
      </w:r>
      <w:r w:rsidRPr="00181FCD">
        <w:t>de</w:t>
      </w:r>
      <w:r w:rsidR="00F373A3" w:rsidRPr="00181FCD">
        <w:t xml:space="preserve"> </w:t>
      </w:r>
      <w:r w:rsidRPr="00181FCD">
        <w:t>la</w:t>
      </w:r>
      <w:r w:rsidR="00F373A3" w:rsidRPr="00181FCD">
        <w:t xml:space="preserve"> </w:t>
      </w:r>
      <w:r w:rsidRPr="00181FCD">
        <w:t>trata</w:t>
      </w:r>
      <w:r w:rsidR="00F373A3" w:rsidRPr="00181FCD">
        <w:t xml:space="preserve"> </w:t>
      </w:r>
      <w:r w:rsidRPr="00181FCD">
        <w:t>en</w:t>
      </w:r>
      <w:r w:rsidR="00F373A3" w:rsidRPr="00181FCD">
        <w:t xml:space="preserve"> </w:t>
      </w:r>
      <w:r w:rsidRPr="00181FCD">
        <w:t>Sofía,</w:t>
      </w:r>
      <w:r w:rsidR="00F373A3" w:rsidRPr="00181FCD">
        <w:t xml:space="preserve"> </w:t>
      </w:r>
      <w:r w:rsidRPr="00181FCD">
        <w:t>así</w:t>
      </w:r>
      <w:r w:rsidR="00F373A3" w:rsidRPr="00181FCD">
        <w:t xml:space="preserve"> </w:t>
      </w:r>
      <w:r w:rsidRPr="00181FCD">
        <w:t>como</w:t>
      </w:r>
      <w:r w:rsidR="00F373A3" w:rsidRPr="00181FCD">
        <w:t xml:space="preserve"> </w:t>
      </w:r>
      <w:r w:rsidRPr="00181FCD">
        <w:t>un</w:t>
      </w:r>
      <w:r w:rsidR="00F373A3" w:rsidRPr="00181FCD">
        <w:t xml:space="preserve"> </w:t>
      </w:r>
      <w:r w:rsidRPr="00181FCD">
        <w:t>centro</w:t>
      </w:r>
      <w:r w:rsidR="00F373A3" w:rsidRPr="00181FCD">
        <w:t xml:space="preserve"> </w:t>
      </w:r>
      <w:r w:rsidRPr="00181FCD">
        <w:t>de</w:t>
      </w:r>
      <w:r w:rsidR="00F373A3" w:rsidRPr="00181FCD">
        <w:t xml:space="preserve"> </w:t>
      </w:r>
      <w:r w:rsidRPr="00181FCD">
        <w:t>crisis</w:t>
      </w:r>
      <w:r w:rsidR="00F373A3" w:rsidRPr="00181FCD">
        <w:t xml:space="preserve"> </w:t>
      </w:r>
      <w:r w:rsidRPr="00181FCD">
        <w:t>en</w:t>
      </w:r>
      <w:r w:rsidR="00F373A3" w:rsidRPr="00181FCD">
        <w:t xml:space="preserve"> </w:t>
      </w:r>
      <w:r w:rsidRPr="00181FCD">
        <w:t>apoyo</w:t>
      </w:r>
      <w:r w:rsidR="00F373A3" w:rsidRPr="00181FCD">
        <w:t xml:space="preserve"> </w:t>
      </w:r>
      <w:r w:rsidRPr="00181FCD">
        <w:t>de</w:t>
      </w:r>
      <w:r w:rsidR="00F373A3" w:rsidRPr="00181FCD">
        <w:t xml:space="preserve"> </w:t>
      </w:r>
      <w:r w:rsidRPr="00181FCD">
        <w:t>los</w:t>
      </w:r>
      <w:r w:rsidR="00F373A3" w:rsidRPr="00181FCD">
        <w:t xml:space="preserve"> </w:t>
      </w:r>
      <w:r w:rsidRPr="00181FCD">
        <w:t>niños</w:t>
      </w:r>
      <w:r w:rsidR="00F373A3" w:rsidRPr="00181FCD">
        <w:t xml:space="preserve"> </w:t>
      </w:r>
      <w:r w:rsidRPr="00181FCD">
        <w:t>víctimas</w:t>
      </w:r>
      <w:r w:rsidR="00F373A3" w:rsidRPr="00181FCD">
        <w:t xml:space="preserve"> </w:t>
      </w:r>
      <w:r w:rsidRPr="00181FCD">
        <w:t>de</w:t>
      </w:r>
      <w:r w:rsidR="00F373A3" w:rsidRPr="00181FCD">
        <w:t xml:space="preserve"> </w:t>
      </w:r>
      <w:r w:rsidRPr="00181FCD">
        <w:t>ese</w:t>
      </w:r>
      <w:r w:rsidR="00F373A3" w:rsidRPr="00181FCD">
        <w:t xml:space="preserve"> </w:t>
      </w:r>
      <w:r w:rsidRPr="00181FCD">
        <w:t>fenómeno.</w:t>
      </w:r>
    </w:p>
    <w:p w:rsidR="001937F4" w:rsidRPr="00181FCD" w:rsidRDefault="001937F4" w:rsidP="00347B20">
      <w:pPr>
        <w:pStyle w:val="SingleTxtG"/>
        <w:suppressAutoHyphens/>
      </w:pPr>
      <w:r w:rsidRPr="00181FCD">
        <w:t>208.</w:t>
      </w:r>
      <w:r w:rsidRPr="00181FCD">
        <w:tab/>
        <w:t>La</w:t>
      </w:r>
      <w:r w:rsidR="00F373A3" w:rsidRPr="00181FCD">
        <w:t xml:space="preserve"> </w:t>
      </w:r>
      <w:r w:rsidRPr="00181FCD">
        <w:t>Ley</w:t>
      </w:r>
      <w:r w:rsidR="00F373A3" w:rsidRPr="00181FCD">
        <w:t xml:space="preserve"> </w:t>
      </w:r>
      <w:r w:rsidRPr="00181FCD">
        <w:t>de</w:t>
      </w:r>
      <w:r w:rsidR="00F373A3" w:rsidRPr="00181FCD">
        <w:t xml:space="preserve"> </w:t>
      </w:r>
      <w:r w:rsidRPr="00181FCD">
        <w:t>Asistencia</w:t>
      </w:r>
      <w:r w:rsidR="00F373A3" w:rsidRPr="00181FCD">
        <w:t xml:space="preserve"> </w:t>
      </w:r>
      <w:r w:rsidRPr="00181FCD">
        <w:t>y</w:t>
      </w:r>
      <w:r w:rsidR="00F373A3" w:rsidRPr="00181FCD">
        <w:t xml:space="preserve"> </w:t>
      </w:r>
      <w:r w:rsidRPr="00181FCD">
        <w:t>Compensación</w:t>
      </w:r>
      <w:r w:rsidR="00F373A3" w:rsidRPr="00181FCD">
        <w:t xml:space="preserve"> </w:t>
      </w:r>
      <w:r w:rsidRPr="00181FCD">
        <w:t>Financiera</w:t>
      </w:r>
      <w:r w:rsidR="00F373A3" w:rsidRPr="00181FCD">
        <w:t xml:space="preserve"> </w:t>
      </w:r>
      <w:r w:rsidRPr="00181FCD">
        <w:t>a</w:t>
      </w:r>
      <w:r w:rsidR="00F373A3" w:rsidRPr="00181FCD">
        <w:t xml:space="preserve"> </w:t>
      </w:r>
      <w:r w:rsidRPr="00181FCD">
        <w:t>las</w:t>
      </w:r>
      <w:r w:rsidR="00F373A3" w:rsidRPr="00181FCD">
        <w:t xml:space="preserve"> </w:t>
      </w:r>
      <w:r w:rsidRPr="00181FCD">
        <w:t>Víctimas</w:t>
      </w:r>
      <w:r w:rsidR="00F373A3" w:rsidRPr="00181FCD">
        <w:t xml:space="preserve"> </w:t>
      </w:r>
      <w:r w:rsidRPr="00181FCD">
        <w:t>de</w:t>
      </w:r>
      <w:r w:rsidR="00F373A3" w:rsidRPr="00181FCD">
        <w:t xml:space="preserve"> </w:t>
      </w:r>
      <w:r w:rsidRPr="00181FCD">
        <w:t>Delitos</w:t>
      </w:r>
      <w:r w:rsidR="00F373A3" w:rsidRPr="00181FCD">
        <w:t xml:space="preserve"> </w:t>
      </w:r>
      <w:r w:rsidRPr="00181FCD">
        <w:t>está</w:t>
      </w:r>
      <w:r w:rsidR="00F373A3" w:rsidRPr="00181FCD">
        <w:t xml:space="preserve"> </w:t>
      </w:r>
      <w:r w:rsidRPr="00181FCD">
        <w:t>en</w:t>
      </w:r>
      <w:r w:rsidR="00F373A3" w:rsidRPr="00181FCD">
        <w:t xml:space="preserve"> </w:t>
      </w:r>
      <w:r w:rsidRPr="00181FCD">
        <w:t>proceso</w:t>
      </w:r>
      <w:r w:rsidR="00F373A3" w:rsidRPr="00181FCD">
        <w:t xml:space="preserve"> </w:t>
      </w:r>
      <w:r w:rsidRPr="00181FCD">
        <w:t>de</w:t>
      </w:r>
      <w:r w:rsidR="00F373A3" w:rsidRPr="00181FCD">
        <w:t xml:space="preserve"> </w:t>
      </w:r>
      <w:r w:rsidRPr="00181FCD">
        <w:t>reforma.</w:t>
      </w:r>
      <w:r w:rsidR="00F373A3" w:rsidRPr="00181FCD">
        <w:t xml:space="preserve"> </w:t>
      </w:r>
      <w:r w:rsidRPr="00181FCD">
        <w:t>Si</w:t>
      </w:r>
      <w:r w:rsidR="00F373A3" w:rsidRPr="00181FCD">
        <w:t xml:space="preserve"> </w:t>
      </w:r>
      <w:r w:rsidRPr="00181FCD">
        <w:t>se</w:t>
      </w:r>
      <w:r w:rsidR="00F373A3" w:rsidRPr="00181FCD">
        <w:t xml:space="preserve"> </w:t>
      </w:r>
      <w:r w:rsidRPr="00181FCD">
        <w:t>aprueban</w:t>
      </w:r>
      <w:r w:rsidR="00F373A3" w:rsidRPr="00181FCD">
        <w:t xml:space="preserve"> </w:t>
      </w:r>
      <w:r w:rsidRPr="00181FCD">
        <w:t>las</w:t>
      </w:r>
      <w:r w:rsidR="00F373A3" w:rsidRPr="00181FCD">
        <w:t xml:space="preserve"> </w:t>
      </w:r>
      <w:r w:rsidRPr="00181FCD">
        <w:t>modificaciones,</w:t>
      </w:r>
      <w:r w:rsidR="00F373A3" w:rsidRPr="00181FCD">
        <w:t xml:space="preserve"> </w:t>
      </w:r>
      <w:r w:rsidRPr="00181FCD">
        <w:t>se</w:t>
      </w:r>
      <w:r w:rsidR="00F373A3" w:rsidRPr="00181FCD">
        <w:t xml:space="preserve"> </w:t>
      </w:r>
      <w:r w:rsidRPr="00181FCD">
        <w:t>aumentará</w:t>
      </w:r>
      <w:r w:rsidR="00F373A3" w:rsidRPr="00181FCD">
        <w:t xml:space="preserve"> </w:t>
      </w:r>
      <w:r w:rsidRPr="00181FCD">
        <w:t>la</w:t>
      </w:r>
      <w:r w:rsidR="00F373A3" w:rsidRPr="00181FCD">
        <w:t xml:space="preserve"> </w:t>
      </w:r>
      <w:r w:rsidRPr="00181FCD">
        <w:t>indemnización</w:t>
      </w:r>
      <w:r w:rsidR="00F373A3" w:rsidRPr="00181FCD">
        <w:t xml:space="preserve"> </w:t>
      </w:r>
      <w:r w:rsidRPr="00181FCD">
        <w:t>a</w:t>
      </w:r>
      <w:r w:rsidR="00F373A3" w:rsidRPr="00181FCD">
        <w:t xml:space="preserve"> </w:t>
      </w:r>
      <w:r w:rsidRPr="00181FCD">
        <w:t>que</w:t>
      </w:r>
      <w:r w:rsidR="00F373A3" w:rsidRPr="00181FCD">
        <w:t xml:space="preserve"> </w:t>
      </w:r>
      <w:r w:rsidRPr="00181FCD">
        <w:t>tienen</w:t>
      </w:r>
      <w:r w:rsidR="00F373A3" w:rsidRPr="00181FCD">
        <w:t xml:space="preserve"> </w:t>
      </w:r>
      <w:r w:rsidRPr="00181FCD">
        <w:t>derecho</w:t>
      </w:r>
      <w:r w:rsidR="00F373A3" w:rsidRPr="00181FCD">
        <w:t xml:space="preserve"> </w:t>
      </w:r>
      <w:r w:rsidRPr="00181FCD">
        <w:t>las</w:t>
      </w:r>
      <w:r w:rsidR="00F373A3" w:rsidRPr="00181FCD">
        <w:t xml:space="preserve"> </w:t>
      </w:r>
      <w:r w:rsidRPr="00181FCD">
        <w:t>víctimas</w:t>
      </w:r>
      <w:r w:rsidR="00F373A3" w:rsidRPr="00181FCD">
        <w:t xml:space="preserve"> </w:t>
      </w:r>
      <w:r w:rsidRPr="00181FCD">
        <w:t>de</w:t>
      </w:r>
      <w:r w:rsidR="00F373A3" w:rsidRPr="00181FCD">
        <w:t xml:space="preserve"> </w:t>
      </w:r>
      <w:r w:rsidRPr="00181FCD">
        <w:t>violencia</w:t>
      </w:r>
      <w:r w:rsidR="00F373A3" w:rsidRPr="00181FCD">
        <w:t xml:space="preserve"> </w:t>
      </w:r>
      <w:r w:rsidRPr="00181FCD">
        <w:t>(incluidas</w:t>
      </w:r>
      <w:r w:rsidR="00F373A3" w:rsidRPr="00181FCD">
        <w:t xml:space="preserve"> </w:t>
      </w:r>
      <w:r w:rsidRPr="00181FCD">
        <w:t>las</w:t>
      </w:r>
      <w:r w:rsidR="00F373A3" w:rsidRPr="00181FCD">
        <w:t xml:space="preserve"> </w:t>
      </w:r>
      <w:r w:rsidRPr="00181FCD">
        <w:t>víctimas</w:t>
      </w:r>
      <w:r w:rsidR="00F373A3" w:rsidRPr="00181FCD">
        <w:t xml:space="preserve"> </w:t>
      </w:r>
      <w:r w:rsidRPr="00181FCD">
        <w:t>de</w:t>
      </w:r>
      <w:r w:rsidR="00F373A3" w:rsidRPr="00181FCD">
        <w:t xml:space="preserve"> </w:t>
      </w:r>
      <w:r w:rsidRPr="00181FCD">
        <w:t>la</w:t>
      </w:r>
      <w:r w:rsidR="00F373A3" w:rsidRPr="00181FCD">
        <w:t xml:space="preserve"> </w:t>
      </w:r>
      <w:r w:rsidRPr="00181FCD">
        <w:t>trata).</w:t>
      </w:r>
      <w:r w:rsidR="00F373A3" w:rsidRPr="00181FCD">
        <w:t xml:space="preserve"> </w:t>
      </w:r>
      <w:r w:rsidRPr="00181FCD">
        <w:t>También</w:t>
      </w:r>
      <w:r w:rsidR="00F373A3" w:rsidRPr="00181FCD">
        <w:t xml:space="preserve"> </w:t>
      </w:r>
      <w:r w:rsidRPr="00181FCD">
        <w:t>se</w:t>
      </w:r>
      <w:r w:rsidR="00F373A3" w:rsidRPr="00181FCD">
        <w:t xml:space="preserve"> </w:t>
      </w:r>
      <w:r w:rsidRPr="00181FCD">
        <w:t>han</w:t>
      </w:r>
      <w:r w:rsidR="00F373A3" w:rsidRPr="00181FCD">
        <w:t xml:space="preserve"> </w:t>
      </w:r>
      <w:r w:rsidRPr="00181FCD">
        <w:t>previsto</w:t>
      </w:r>
      <w:r w:rsidR="00F373A3" w:rsidRPr="00181FCD">
        <w:t xml:space="preserve"> </w:t>
      </w:r>
      <w:r w:rsidRPr="00181FCD">
        <w:t>una</w:t>
      </w:r>
      <w:r w:rsidR="00F373A3" w:rsidRPr="00181FCD">
        <w:t xml:space="preserve"> </w:t>
      </w:r>
      <w:r w:rsidRPr="00181FCD">
        <w:t>serie</w:t>
      </w:r>
      <w:r w:rsidR="00F373A3" w:rsidRPr="00181FCD">
        <w:t xml:space="preserve"> </w:t>
      </w:r>
      <w:r w:rsidRPr="00181FCD">
        <w:t>de</w:t>
      </w:r>
      <w:r w:rsidR="00F373A3" w:rsidRPr="00181FCD">
        <w:t xml:space="preserve"> </w:t>
      </w:r>
      <w:r w:rsidRPr="00181FCD">
        <w:t>medidas</w:t>
      </w:r>
      <w:r w:rsidR="00F373A3" w:rsidRPr="00181FCD">
        <w:t xml:space="preserve"> </w:t>
      </w:r>
      <w:r w:rsidRPr="00181FCD">
        <w:t>para</w:t>
      </w:r>
      <w:r w:rsidR="00F373A3" w:rsidRPr="00181FCD">
        <w:t xml:space="preserve"> </w:t>
      </w:r>
      <w:r w:rsidRPr="00181FCD">
        <w:t>aumentar</w:t>
      </w:r>
      <w:r w:rsidR="00F373A3" w:rsidRPr="00181FCD">
        <w:t xml:space="preserve"> </w:t>
      </w:r>
      <w:r w:rsidRPr="00181FCD">
        <w:t>la</w:t>
      </w:r>
      <w:r w:rsidR="00F373A3" w:rsidRPr="00181FCD">
        <w:t xml:space="preserve"> </w:t>
      </w:r>
      <w:r w:rsidRPr="00181FCD">
        <w:t>sensibilización</w:t>
      </w:r>
      <w:r w:rsidR="00F373A3" w:rsidRPr="00181FCD">
        <w:t xml:space="preserve"> </w:t>
      </w:r>
      <w:r w:rsidRPr="00181FCD">
        <w:t>entre</w:t>
      </w:r>
      <w:r w:rsidR="00F373A3" w:rsidRPr="00181FCD">
        <w:t xml:space="preserve"> </w:t>
      </w:r>
      <w:r w:rsidRPr="00181FCD">
        <w:t>las</w:t>
      </w:r>
      <w:r w:rsidR="00F373A3" w:rsidRPr="00181FCD">
        <w:t xml:space="preserve"> </w:t>
      </w:r>
      <w:r w:rsidRPr="00181FCD">
        <w:t>víctimas</w:t>
      </w:r>
      <w:r w:rsidR="00F373A3" w:rsidRPr="00181FCD">
        <w:t xml:space="preserve"> </w:t>
      </w:r>
      <w:r w:rsidRPr="00181FCD">
        <w:t>de</w:t>
      </w:r>
      <w:r w:rsidR="00F373A3" w:rsidRPr="00181FCD">
        <w:t xml:space="preserve"> </w:t>
      </w:r>
      <w:r w:rsidRPr="00181FCD">
        <w:t>la</w:t>
      </w:r>
      <w:r w:rsidR="00F373A3" w:rsidRPr="00181FCD">
        <w:t xml:space="preserve"> </w:t>
      </w:r>
      <w:r w:rsidRPr="00181FCD">
        <w:t>violencia.</w:t>
      </w:r>
    </w:p>
    <w:p w:rsidR="001937F4" w:rsidRPr="00181FCD" w:rsidRDefault="001937F4" w:rsidP="00347B20">
      <w:pPr>
        <w:pStyle w:val="SingleTxtG"/>
        <w:suppressAutoHyphens/>
      </w:pPr>
      <w:r w:rsidRPr="00181FCD">
        <w:t>209.</w:t>
      </w:r>
      <w:r w:rsidRPr="00181FCD">
        <w:tab/>
        <w:t>El</w:t>
      </w:r>
      <w:r w:rsidR="00F373A3" w:rsidRPr="00181FCD">
        <w:t xml:space="preserve"> </w:t>
      </w:r>
      <w:r w:rsidRPr="00181FCD">
        <w:t>Estado</w:t>
      </w:r>
      <w:r w:rsidR="00F373A3" w:rsidRPr="00181FCD">
        <w:t xml:space="preserve"> </w:t>
      </w:r>
      <w:r w:rsidRPr="00181FCD">
        <w:t>combina</w:t>
      </w:r>
      <w:r w:rsidR="00F373A3" w:rsidRPr="00181FCD">
        <w:t xml:space="preserve"> </w:t>
      </w:r>
      <w:r w:rsidRPr="00181FCD">
        <w:t>en</w:t>
      </w:r>
      <w:r w:rsidR="00F373A3" w:rsidRPr="00181FCD">
        <w:t xml:space="preserve"> </w:t>
      </w:r>
      <w:r w:rsidRPr="00181FCD">
        <w:t>algunos</w:t>
      </w:r>
      <w:r w:rsidR="00F373A3" w:rsidRPr="00181FCD">
        <w:t xml:space="preserve"> </w:t>
      </w:r>
      <w:r w:rsidRPr="00181FCD">
        <w:t>casos</w:t>
      </w:r>
      <w:r w:rsidR="00F373A3" w:rsidRPr="00181FCD">
        <w:t xml:space="preserve"> </w:t>
      </w:r>
      <w:r w:rsidRPr="00181FCD">
        <w:t>la</w:t>
      </w:r>
      <w:r w:rsidR="00F373A3" w:rsidRPr="00181FCD">
        <w:t xml:space="preserve"> </w:t>
      </w:r>
      <w:r w:rsidRPr="00181FCD">
        <w:t>atención</w:t>
      </w:r>
      <w:r w:rsidR="00F373A3" w:rsidRPr="00181FCD">
        <w:t xml:space="preserve"> </w:t>
      </w:r>
      <w:r w:rsidRPr="00181FCD">
        <w:t>a</w:t>
      </w:r>
      <w:r w:rsidR="00F373A3" w:rsidRPr="00181FCD">
        <w:t xml:space="preserve"> </w:t>
      </w:r>
      <w:r w:rsidRPr="00181FCD">
        <w:t>las</w:t>
      </w:r>
      <w:r w:rsidR="00F373A3" w:rsidRPr="00181FCD">
        <w:t xml:space="preserve"> </w:t>
      </w:r>
      <w:r w:rsidRPr="00181FCD">
        <w:t>víctimas</w:t>
      </w:r>
      <w:r w:rsidR="00F373A3" w:rsidRPr="00181FCD">
        <w:t xml:space="preserve"> </w:t>
      </w:r>
      <w:r w:rsidRPr="00181FCD">
        <w:t>de</w:t>
      </w:r>
      <w:r w:rsidR="00F373A3" w:rsidRPr="00181FCD">
        <w:t xml:space="preserve"> </w:t>
      </w:r>
      <w:r w:rsidRPr="00181FCD">
        <w:t>la</w:t>
      </w:r>
      <w:r w:rsidR="00F373A3" w:rsidRPr="00181FCD">
        <w:t xml:space="preserve"> </w:t>
      </w:r>
      <w:r w:rsidRPr="00181FCD">
        <w:t>trata</w:t>
      </w:r>
      <w:r w:rsidR="00F373A3" w:rsidRPr="00181FCD">
        <w:t xml:space="preserve"> </w:t>
      </w:r>
      <w:r w:rsidRPr="00181FCD">
        <w:t>de</w:t>
      </w:r>
      <w:r w:rsidR="00F373A3" w:rsidRPr="00181FCD">
        <w:t xml:space="preserve"> </w:t>
      </w:r>
      <w:r w:rsidRPr="00181FCD">
        <w:t>personas</w:t>
      </w:r>
      <w:r w:rsidR="00F373A3" w:rsidRPr="00181FCD">
        <w:t xml:space="preserve"> </w:t>
      </w:r>
      <w:r w:rsidRPr="00181FCD">
        <w:t>y</w:t>
      </w:r>
      <w:r w:rsidR="00F373A3" w:rsidRPr="00181FCD">
        <w:t xml:space="preserve"> </w:t>
      </w:r>
      <w:r w:rsidRPr="00181FCD">
        <w:t>de</w:t>
      </w:r>
      <w:r w:rsidR="00F373A3" w:rsidRPr="00181FCD">
        <w:t xml:space="preserve"> </w:t>
      </w:r>
      <w:r w:rsidRPr="00181FCD">
        <w:t>la</w:t>
      </w:r>
      <w:r w:rsidR="00F373A3" w:rsidRPr="00181FCD">
        <w:t xml:space="preserve"> </w:t>
      </w:r>
      <w:r w:rsidRPr="00181FCD">
        <w:t>violencia</w:t>
      </w:r>
      <w:r w:rsidR="00F373A3" w:rsidRPr="00181FCD">
        <w:t xml:space="preserve"> </w:t>
      </w:r>
      <w:r w:rsidRPr="00181FCD">
        <w:t>doméstica.</w:t>
      </w:r>
      <w:r w:rsidR="00F373A3" w:rsidRPr="00181FCD">
        <w:t xml:space="preserve"> </w:t>
      </w:r>
      <w:r w:rsidRPr="00181FCD">
        <w:t>Existe</w:t>
      </w:r>
      <w:r w:rsidR="00F373A3" w:rsidRPr="00181FCD">
        <w:t xml:space="preserve"> </w:t>
      </w:r>
      <w:r w:rsidRPr="00181FCD">
        <w:t>una</w:t>
      </w:r>
      <w:r w:rsidR="00F373A3" w:rsidRPr="00181FCD">
        <w:t xml:space="preserve"> </w:t>
      </w:r>
      <w:r w:rsidRPr="00181FCD">
        <w:t>línea</w:t>
      </w:r>
      <w:r w:rsidR="00F373A3" w:rsidRPr="00181FCD">
        <w:t xml:space="preserve"> </w:t>
      </w:r>
      <w:r w:rsidRPr="00181FCD">
        <w:t>telefónica</w:t>
      </w:r>
      <w:r w:rsidR="00F373A3" w:rsidRPr="00181FCD">
        <w:t xml:space="preserve"> </w:t>
      </w:r>
      <w:r w:rsidRPr="00181FCD">
        <w:t>nacional</w:t>
      </w:r>
      <w:r w:rsidR="00F373A3" w:rsidRPr="00181FCD">
        <w:t xml:space="preserve"> </w:t>
      </w:r>
      <w:r w:rsidRPr="00181FCD">
        <w:t>que</w:t>
      </w:r>
      <w:r w:rsidR="00F373A3" w:rsidRPr="00181FCD">
        <w:t xml:space="preserve"> </w:t>
      </w:r>
      <w:r w:rsidRPr="00181FCD">
        <w:t>funciona</w:t>
      </w:r>
      <w:r w:rsidR="00F373A3" w:rsidRPr="00181FCD">
        <w:t xml:space="preserve"> </w:t>
      </w:r>
      <w:r w:rsidRPr="00181FCD">
        <w:t>las</w:t>
      </w:r>
      <w:r w:rsidR="00F373A3" w:rsidRPr="00181FCD">
        <w:t xml:space="preserve"> </w:t>
      </w:r>
      <w:r w:rsidRPr="00181FCD">
        <w:t>24</w:t>
      </w:r>
      <w:r w:rsidR="00F373A3" w:rsidRPr="00181FCD">
        <w:t xml:space="preserve"> </w:t>
      </w:r>
      <w:r w:rsidRPr="00181FCD">
        <w:t>horas</w:t>
      </w:r>
      <w:r w:rsidR="00F373A3" w:rsidRPr="00181FCD">
        <w:t xml:space="preserve"> </w:t>
      </w:r>
      <w:r w:rsidRPr="00181FCD">
        <w:t>del</w:t>
      </w:r>
      <w:r w:rsidR="00F373A3" w:rsidRPr="00181FCD">
        <w:t xml:space="preserve"> </w:t>
      </w:r>
      <w:r w:rsidRPr="00181FCD">
        <w:t>día</w:t>
      </w:r>
      <w:r w:rsidR="00F373A3" w:rsidRPr="00181FCD">
        <w:t xml:space="preserve"> </w:t>
      </w:r>
      <w:r w:rsidRPr="00181FCD">
        <w:t>para</w:t>
      </w:r>
      <w:r w:rsidR="00F373A3" w:rsidRPr="00181FCD">
        <w:t xml:space="preserve"> </w:t>
      </w:r>
      <w:r w:rsidRPr="00181FCD">
        <w:t>atender</w:t>
      </w:r>
      <w:r w:rsidR="00F373A3" w:rsidRPr="00181FCD">
        <w:t xml:space="preserve"> </w:t>
      </w:r>
      <w:r w:rsidRPr="00181FCD">
        <w:t>a</w:t>
      </w:r>
      <w:r w:rsidR="00F373A3" w:rsidRPr="00181FCD">
        <w:t xml:space="preserve"> </w:t>
      </w:r>
      <w:r w:rsidRPr="00181FCD">
        <w:t>las</w:t>
      </w:r>
      <w:r w:rsidR="00F373A3" w:rsidRPr="00181FCD">
        <w:t xml:space="preserve"> </w:t>
      </w:r>
      <w:r w:rsidRPr="00181FCD">
        <w:t>víctimas</w:t>
      </w:r>
      <w:r w:rsidR="00F373A3" w:rsidRPr="00181FCD">
        <w:t xml:space="preserve"> </w:t>
      </w:r>
      <w:r w:rsidRPr="00181FCD">
        <w:t>de</w:t>
      </w:r>
      <w:r w:rsidR="00F373A3" w:rsidRPr="00181FCD">
        <w:t xml:space="preserve"> </w:t>
      </w:r>
      <w:r w:rsidRPr="00181FCD">
        <w:t>la</w:t>
      </w:r>
      <w:r w:rsidR="00F373A3" w:rsidRPr="00181FCD">
        <w:t xml:space="preserve"> </w:t>
      </w:r>
      <w:r w:rsidRPr="00181FCD">
        <w:t>violencia</w:t>
      </w:r>
      <w:r w:rsidR="00F373A3" w:rsidRPr="00181FCD">
        <w:t xml:space="preserve"> </w:t>
      </w:r>
      <w:r w:rsidRPr="00181FCD">
        <w:t>doméstica.</w:t>
      </w:r>
      <w:r w:rsidR="00F373A3" w:rsidRPr="00181FCD">
        <w:t xml:space="preserve"> </w:t>
      </w:r>
      <w:r w:rsidRPr="00181FCD">
        <w:t>En</w:t>
      </w:r>
      <w:r w:rsidR="00F373A3" w:rsidRPr="00181FCD">
        <w:t xml:space="preserve"> </w:t>
      </w:r>
      <w:r w:rsidRPr="00181FCD">
        <w:t>2011</w:t>
      </w:r>
      <w:r w:rsidR="00F373A3" w:rsidRPr="00181FCD">
        <w:t xml:space="preserve"> </w:t>
      </w:r>
      <w:r w:rsidRPr="00181FCD">
        <w:t>la</w:t>
      </w:r>
      <w:r w:rsidR="00F373A3" w:rsidRPr="00181FCD">
        <w:t xml:space="preserve"> </w:t>
      </w:r>
      <w:r w:rsidRPr="00181FCD">
        <w:t>utilizaron</w:t>
      </w:r>
      <w:r w:rsidR="00F373A3" w:rsidRPr="00181FCD">
        <w:t xml:space="preserve"> </w:t>
      </w:r>
      <w:r w:rsidRPr="00181FCD">
        <w:t>2.791</w:t>
      </w:r>
      <w:r w:rsidR="00F373A3" w:rsidRPr="00181FCD">
        <w:t xml:space="preserve"> </w:t>
      </w:r>
      <w:r w:rsidRPr="00181FCD">
        <w:t>personas.</w:t>
      </w:r>
      <w:r w:rsidR="00F373A3" w:rsidRPr="00181FCD">
        <w:t xml:space="preserve"> </w:t>
      </w:r>
      <w:r w:rsidRPr="00181FCD">
        <w:t>Del</w:t>
      </w:r>
      <w:r w:rsidR="00F373A3" w:rsidRPr="00181FCD">
        <w:t xml:space="preserve"> </w:t>
      </w:r>
      <w:r w:rsidRPr="00181FCD">
        <w:t>total</w:t>
      </w:r>
      <w:r w:rsidR="00F373A3" w:rsidRPr="00181FCD">
        <w:t xml:space="preserve"> </w:t>
      </w:r>
      <w:r w:rsidRPr="00181FCD">
        <w:t>de</w:t>
      </w:r>
      <w:r w:rsidR="00F373A3" w:rsidRPr="00181FCD">
        <w:t xml:space="preserve"> </w:t>
      </w:r>
      <w:r w:rsidRPr="00181FCD">
        <w:t>consultas,</w:t>
      </w:r>
      <w:r w:rsidR="00F373A3" w:rsidRPr="00181FCD">
        <w:t xml:space="preserve"> </w:t>
      </w:r>
      <w:r w:rsidRPr="00181FCD">
        <w:t>2.293</w:t>
      </w:r>
      <w:r w:rsidR="00F373A3" w:rsidRPr="00181FCD">
        <w:t xml:space="preserve"> </w:t>
      </w:r>
      <w:r w:rsidRPr="00181FCD">
        <w:t>fueron</w:t>
      </w:r>
      <w:r w:rsidR="00F373A3" w:rsidRPr="00181FCD">
        <w:t xml:space="preserve"> </w:t>
      </w:r>
      <w:r w:rsidRPr="00181FCD">
        <w:t>sobre</w:t>
      </w:r>
      <w:r w:rsidR="00F373A3" w:rsidRPr="00181FCD">
        <w:t xml:space="preserve"> </w:t>
      </w:r>
      <w:r w:rsidRPr="00181FCD">
        <w:t>temas</w:t>
      </w:r>
      <w:r w:rsidR="00F373A3" w:rsidRPr="00181FCD">
        <w:t xml:space="preserve"> </w:t>
      </w:r>
      <w:r w:rsidRPr="00181FCD">
        <w:t>directamente</w:t>
      </w:r>
      <w:r w:rsidR="00F373A3" w:rsidRPr="00181FCD">
        <w:t xml:space="preserve"> </w:t>
      </w:r>
      <w:r w:rsidRPr="00181FCD">
        <w:t>relacionados</w:t>
      </w:r>
      <w:r w:rsidR="00F373A3" w:rsidRPr="00181FCD">
        <w:t xml:space="preserve"> </w:t>
      </w:r>
      <w:r w:rsidRPr="00181FCD">
        <w:t>con</w:t>
      </w:r>
      <w:r w:rsidR="00F373A3" w:rsidRPr="00181FCD">
        <w:t xml:space="preserve"> </w:t>
      </w:r>
      <w:r w:rsidRPr="00181FCD">
        <w:t>casos</w:t>
      </w:r>
      <w:r w:rsidR="00F373A3" w:rsidRPr="00181FCD">
        <w:t xml:space="preserve"> </w:t>
      </w:r>
      <w:r w:rsidRPr="00181FCD">
        <w:t>de</w:t>
      </w:r>
      <w:r w:rsidR="00F373A3" w:rsidRPr="00181FCD">
        <w:t xml:space="preserve"> </w:t>
      </w:r>
      <w:r w:rsidRPr="00181FCD">
        <w:t>violencia</w:t>
      </w:r>
      <w:r w:rsidR="00F373A3" w:rsidRPr="00181FCD">
        <w:t xml:space="preserve"> </w:t>
      </w:r>
      <w:r w:rsidRPr="00181FCD">
        <w:t>doméstica,</w:t>
      </w:r>
      <w:r w:rsidR="00F373A3" w:rsidRPr="00181FCD">
        <w:t xml:space="preserve"> </w:t>
      </w:r>
      <w:r w:rsidRPr="00181FCD">
        <w:t>55</w:t>
      </w:r>
      <w:r w:rsidR="00F373A3" w:rsidRPr="00181FCD">
        <w:t xml:space="preserve"> </w:t>
      </w:r>
      <w:r w:rsidRPr="00181FCD">
        <w:t>sobre</w:t>
      </w:r>
      <w:r w:rsidR="00F373A3" w:rsidRPr="00181FCD">
        <w:t xml:space="preserve"> </w:t>
      </w:r>
      <w:r w:rsidRPr="00181FCD">
        <w:t>temas</w:t>
      </w:r>
      <w:r w:rsidR="00F373A3" w:rsidRPr="00181FCD">
        <w:t xml:space="preserve"> </w:t>
      </w:r>
      <w:r w:rsidRPr="00181FCD">
        <w:t>relacionados</w:t>
      </w:r>
      <w:r w:rsidR="00F373A3" w:rsidRPr="00181FCD">
        <w:t xml:space="preserve"> </w:t>
      </w:r>
      <w:r w:rsidRPr="00181FCD">
        <w:t>con</w:t>
      </w:r>
      <w:r w:rsidR="00F373A3" w:rsidRPr="00181FCD">
        <w:t xml:space="preserve"> </w:t>
      </w:r>
      <w:r w:rsidRPr="00181FCD">
        <w:t>la</w:t>
      </w:r>
      <w:r w:rsidR="00F373A3" w:rsidRPr="00181FCD">
        <w:t xml:space="preserve"> </w:t>
      </w:r>
      <w:r w:rsidRPr="00181FCD">
        <w:t>trata</w:t>
      </w:r>
      <w:r w:rsidR="00F373A3" w:rsidRPr="00181FCD">
        <w:t xml:space="preserve"> </w:t>
      </w:r>
      <w:r w:rsidRPr="00181FCD">
        <w:t>de</w:t>
      </w:r>
      <w:r w:rsidR="00F373A3" w:rsidRPr="00181FCD">
        <w:t xml:space="preserve"> </w:t>
      </w:r>
      <w:r w:rsidRPr="00181FCD">
        <w:t>personas,</w:t>
      </w:r>
      <w:r w:rsidR="00F373A3" w:rsidRPr="00181FCD">
        <w:t xml:space="preserve"> </w:t>
      </w:r>
      <w:r w:rsidRPr="00181FCD">
        <w:t>55</w:t>
      </w:r>
      <w:r w:rsidR="00F373A3" w:rsidRPr="00181FCD">
        <w:t xml:space="preserve"> </w:t>
      </w:r>
      <w:r w:rsidRPr="00181FCD">
        <w:t>sobre</w:t>
      </w:r>
      <w:r w:rsidR="00F373A3" w:rsidRPr="00181FCD">
        <w:t xml:space="preserve"> </w:t>
      </w:r>
      <w:r w:rsidRPr="00181FCD">
        <w:t>violencia</w:t>
      </w:r>
      <w:r w:rsidR="00F373A3" w:rsidRPr="00181FCD">
        <w:t xml:space="preserve"> </w:t>
      </w:r>
      <w:r w:rsidRPr="00181FCD">
        <w:t>sexual</w:t>
      </w:r>
      <w:r w:rsidR="00F373A3" w:rsidRPr="00181FCD">
        <w:t xml:space="preserve"> </w:t>
      </w:r>
      <w:r w:rsidRPr="00181FCD">
        <w:t>y</w:t>
      </w:r>
      <w:r w:rsidR="00F373A3" w:rsidRPr="00181FCD">
        <w:t xml:space="preserve"> </w:t>
      </w:r>
      <w:r w:rsidRPr="00181FCD">
        <w:t>21</w:t>
      </w:r>
      <w:r w:rsidR="00F373A3" w:rsidRPr="00181FCD">
        <w:t xml:space="preserve"> </w:t>
      </w:r>
      <w:r w:rsidRPr="00181FCD">
        <w:t>sobre</w:t>
      </w:r>
      <w:r w:rsidR="00F373A3" w:rsidRPr="00181FCD">
        <w:t xml:space="preserve"> </w:t>
      </w:r>
      <w:r w:rsidRPr="00181FCD">
        <w:t>otras</w:t>
      </w:r>
      <w:r w:rsidR="00F373A3" w:rsidRPr="00181FCD">
        <w:t xml:space="preserve"> </w:t>
      </w:r>
      <w:r w:rsidRPr="00181FCD">
        <w:t>situaciones</w:t>
      </w:r>
      <w:r w:rsidR="00F373A3" w:rsidRPr="00181FCD">
        <w:t xml:space="preserve"> </w:t>
      </w:r>
      <w:r w:rsidRPr="00181FCD">
        <w:t>traumáticas.</w:t>
      </w:r>
      <w:r w:rsidR="00F373A3" w:rsidRPr="00181FCD">
        <w:t xml:space="preserve"> </w:t>
      </w:r>
      <w:r w:rsidRPr="00181FCD">
        <w:t>Las</w:t>
      </w:r>
      <w:r w:rsidR="00F373A3" w:rsidRPr="00181FCD">
        <w:t xml:space="preserve"> </w:t>
      </w:r>
      <w:r w:rsidRPr="00181FCD">
        <w:t>restantes</w:t>
      </w:r>
      <w:r w:rsidR="00F373A3" w:rsidRPr="00181FCD">
        <w:t xml:space="preserve"> </w:t>
      </w:r>
      <w:r w:rsidRPr="00181FCD">
        <w:t>367</w:t>
      </w:r>
      <w:r w:rsidR="00F373A3" w:rsidRPr="00181FCD">
        <w:t xml:space="preserve"> </w:t>
      </w:r>
      <w:r w:rsidRPr="00181FCD">
        <w:t>consultas</w:t>
      </w:r>
      <w:r w:rsidR="00F373A3" w:rsidRPr="00181FCD">
        <w:t xml:space="preserve"> </w:t>
      </w:r>
      <w:r w:rsidRPr="00181FCD">
        <w:t>se</w:t>
      </w:r>
      <w:r w:rsidR="00F373A3" w:rsidRPr="00181FCD">
        <w:t xml:space="preserve"> </w:t>
      </w:r>
      <w:r w:rsidRPr="00181FCD">
        <w:t>centraban</w:t>
      </w:r>
      <w:r w:rsidR="00F373A3" w:rsidRPr="00181FCD">
        <w:t xml:space="preserve"> </w:t>
      </w:r>
      <w:r w:rsidRPr="00181FCD">
        <w:t>en</w:t>
      </w:r>
      <w:r w:rsidR="00F373A3" w:rsidRPr="00181FCD">
        <w:t xml:space="preserve"> </w:t>
      </w:r>
      <w:r w:rsidRPr="00181FCD">
        <w:t>cuestiones</w:t>
      </w:r>
      <w:r w:rsidR="00F373A3" w:rsidRPr="00181FCD">
        <w:t xml:space="preserve"> </w:t>
      </w:r>
      <w:r w:rsidRPr="00181FCD">
        <w:t>completamente</w:t>
      </w:r>
      <w:r w:rsidR="00F373A3" w:rsidRPr="00181FCD">
        <w:t xml:space="preserve"> </w:t>
      </w:r>
      <w:r w:rsidRPr="00181FCD">
        <w:t>diferentes.</w:t>
      </w:r>
      <w:r w:rsidR="00F373A3" w:rsidRPr="00181FCD">
        <w:t xml:space="preserve"> </w:t>
      </w:r>
      <w:r w:rsidRPr="00181FCD">
        <w:t>En</w:t>
      </w:r>
      <w:r w:rsidR="00F373A3" w:rsidRPr="00181FCD">
        <w:t xml:space="preserve"> </w:t>
      </w:r>
      <w:r w:rsidRPr="00181FCD">
        <w:t>2011,</w:t>
      </w:r>
      <w:r w:rsidR="00F373A3" w:rsidRPr="00181FCD">
        <w:t xml:space="preserve"> </w:t>
      </w:r>
      <w:r w:rsidRPr="00181FCD">
        <w:t>los</w:t>
      </w:r>
      <w:r w:rsidR="00F373A3" w:rsidRPr="00181FCD">
        <w:t xml:space="preserve"> </w:t>
      </w:r>
      <w:r w:rsidRPr="00181FCD">
        <w:t>centros</w:t>
      </w:r>
      <w:r w:rsidR="00F373A3" w:rsidRPr="00181FCD">
        <w:t xml:space="preserve"> </w:t>
      </w:r>
      <w:r w:rsidRPr="00181FCD">
        <w:t>de</w:t>
      </w:r>
      <w:r w:rsidR="00F373A3" w:rsidRPr="00181FCD">
        <w:t xml:space="preserve"> </w:t>
      </w:r>
      <w:r w:rsidRPr="00181FCD">
        <w:t>crisis</w:t>
      </w:r>
      <w:r w:rsidR="00F373A3" w:rsidRPr="00181FCD">
        <w:t xml:space="preserve"> </w:t>
      </w:r>
      <w:r w:rsidRPr="00181FCD">
        <w:t>del</w:t>
      </w:r>
      <w:r w:rsidR="00F373A3" w:rsidRPr="00181FCD">
        <w:t xml:space="preserve"> </w:t>
      </w:r>
      <w:r w:rsidRPr="00181FCD">
        <w:t>país</w:t>
      </w:r>
      <w:r w:rsidR="00F373A3" w:rsidRPr="00181FCD">
        <w:t xml:space="preserve"> </w:t>
      </w:r>
      <w:r w:rsidRPr="00181FCD">
        <w:t>prestaron</w:t>
      </w:r>
      <w:r w:rsidR="00F373A3" w:rsidRPr="00181FCD">
        <w:t xml:space="preserve"> </w:t>
      </w:r>
      <w:r w:rsidRPr="00181FCD">
        <w:t>servicios</w:t>
      </w:r>
      <w:r w:rsidR="00F373A3" w:rsidRPr="00181FCD">
        <w:t xml:space="preserve"> </w:t>
      </w:r>
      <w:r w:rsidRPr="00181FCD">
        <w:t>a</w:t>
      </w:r>
      <w:r w:rsidR="00F373A3" w:rsidRPr="00181FCD">
        <w:t xml:space="preserve"> </w:t>
      </w:r>
      <w:r w:rsidRPr="00181FCD">
        <w:t>266</w:t>
      </w:r>
      <w:r w:rsidR="00F373A3" w:rsidRPr="00181FCD">
        <w:t xml:space="preserve"> </w:t>
      </w:r>
      <w:r w:rsidRPr="00181FCD">
        <w:t>niños.</w:t>
      </w:r>
      <w:r w:rsidR="00F373A3" w:rsidRPr="00181FCD">
        <w:t xml:space="preserve"> </w:t>
      </w:r>
      <w:r w:rsidRPr="00181FCD">
        <w:t>En</w:t>
      </w:r>
      <w:r w:rsidR="00F373A3" w:rsidRPr="00181FCD">
        <w:t xml:space="preserve"> </w:t>
      </w:r>
      <w:r w:rsidRPr="00181FCD">
        <w:t>abril</w:t>
      </w:r>
      <w:r w:rsidR="00F373A3" w:rsidRPr="00181FCD">
        <w:t xml:space="preserve"> </w:t>
      </w:r>
      <w:r w:rsidRPr="00181FCD">
        <w:t>de</w:t>
      </w:r>
      <w:r w:rsidR="00F373A3" w:rsidRPr="00181FCD">
        <w:t xml:space="preserve"> </w:t>
      </w:r>
      <w:r w:rsidRPr="00181FCD">
        <w:t>2012</w:t>
      </w:r>
      <w:r w:rsidR="00F373A3" w:rsidRPr="00181FCD">
        <w:t xml:space="preserve"> </w:t>
      </w:r>
      <w:r w:rsidRPr="00181FCD">
        <w:t>estos</w:t>
      </w:r>
      <w:r w:rsidR="00F373A3" w:rsidRPr="00181FCD">
        <w:t xml:space="preserve"> </w:t>
      </w:r>
      <w:r w:rsidRPr="00181FCD">
        <w:t>centros</w:t>
      </w:r>
      <w:r w:rsidR="00F373A3" w:rsidRPr="00181FCD">
        <w:t xml:space="preserve"> </w:t>
      </w:r>
      <w:r w:rsidRPr="00181FCD">
        <w:t>acogían</w:t>
      </w:r>
      <w:r w:rsidR="00F373A3" w:rsidRPr="00181FCD">
        <w:t xml:space="preserve"> </w:t>
      </w:r>
      <w:r w:rsidRPr="00181FCD">
        <w:t>a</w:t>
      </w:r>
      <w:r w:rsidR="00F373A3" w:rsidRPr="00181FCD">
        <w:t xml:space="preserve"> </w:t>
      </w:r>
      <w:r w:rsidRPr="00181FCD">
        <w:t>75</w:t>
      </w:r>
      <w:r w:rsidR="00F373A3" w:rsidRPr="00181FCD">
        <w:t xml:space="preserve"> </w:t>
      </w:r>
      <w:r w:rsidRPr="00181FCD">
        <w:t>niños.</w:t>
      </w:r>
      <w:r w:rsidR="00F373A3" w:rsidRPr="00181FCD">
        <w:t xml:space="preserve"> </w:t>
      </w:r>
      <w:r w:rsidRPr="00181FCD">
        <w:t>Entre</w:t>
      </w:r>
      <w:r w:rsidR="00F373A3" w:rsidRPr="00181FCD">
        <w:t xml:space="preserve"> </w:t>
      </w:r>
      <w:r w:rsidRPr="00181FCD">
        <w:t>ellos</w:t>
      </w:r>
      <w:r w:rsidR="00F373A3" w:rsidRPr="00181FCD">
        <w:t xml:space="preserve"> </w:t>
      </w:r>
      <w:r w:rsidRPr="00181FCD">
        <w:t>había</w:t>
      </w:r>
      <w:r w:rsidR="00F373A3" w:rsidRPr="00181FCD">
        <w:t xml:space="preserve"> </w:t>
      </w:r>
      <w:r w:rsidRPr="00181FCD">
        <w:t>víctimas</w:t>
      </w:r>
      <w:r w:rsidR="00F373A3" w:rsidRPr="00181FCD">
        <w:t xml:space="preserve"> </w:t>
      </w:r>
      <w:r w:rsidRPr="00181FCD">
        <w:t>de</w:t>
      </w:r>
      <w:r w:rsidR="00F373A3" w:rsidRPr="00181FCD">
        <w:t xml:space="preserve"> </w:t>
      </w:r>
      <w:r w:rsidRPr="00181FCD">
        <w:t>la</w:t>
      </w:r>
      <w:r w:rsidR="00F373A3" w:rsidRPr="00181FCD">
        <w:t xml:space="preserve"> </w:t>
      </w:r>
      <w:r w:rsidRPr="00181FCD">
        <w:t>violencia</w:t>
      </w:r>
      <w:r w:rsidR="00F373A3" w:rsidRPr="00181FCD">
        <w:t xml:space="preserve"> </w:t>
      </w:r>
      <w:r w:rsidRPr="00181FCD">
        <w:t>y</w:t>
      </w:r>
      <w:r w:rsidR="00F373A3" w:rsidRPr="00181FCD">
        <w:t xml:space="preserve"> </w:t>
      </w:r>
      <w:r w:rsidRPr="00181FCD">
        <w:t>de</w:t>
      </w:r>
      <w:r w:rsidR="00F373A3" w:rsidRPr="00181FCD">
        <w:t xml:space="preserve"> </w:t>
      </w:r>
      <w:r w:rsidRPr="00181FCD">
        <w:t>la</w:t>
      </w:r>
      <w:r w:rsidR="00F373A3" w:rsidRPr="00181FCD">
        <w:t xml:space="preserve"> </w:t>
      </w:r>
      <w:r w:rsidRPr="00181FCD">
        <w:t>trata</w:t>
      </w:r>
      <w:r w:rsidR="00F373A3" w:rsidRPr="00181FCD">
        <w:t xml:space="preserve"> </w:t>
      </w:r>
      <w:r w:rsidRPr="00181FCD">
        <w:t>de</w:t>
      </w:r>
      <w:r w:rsidR="00F373A3" w:rsidRPr="00181FCD">
        <w:t xml:space="preserve"> </w:t>
      </w:r>
      <w:r w:rsidRPr="00181FCD">
        <w:t>personas,</w:t>
      </w:r>
      <w:r w:rsidR="00F373A3" w:rsidRPr="00181FCD">
        <w:t xml:space="preserve"> </w:t>
      </w:r>
      <w:r w:rsidRPr="00181FCD">
        <w:t>así</w:t>
      </w:r>
      <w:r w:rsidR="00F373A3" w:rsidRPr="00181FCD">
        <w:t xml:space="preserve"> </w:t>
      </w:r>
      <w:r w:rsidRPr="00181FCD">
        <w:t>como</w:t>
      </w:r>
      <w:r w:rsidR="00F373A3" w:rsidRPr="00181FCD">
        <w:t xml:space="preserve"> </w:t>
      </w:r>
      <w:r w:rsidRPr="00181FCD">
        <w:t>niños</w:t>
      </w:r>
      <w:r w:rsidR="00F373A3" w:rsidRPr="00181FCD">
        <w:t xml:space="preserve"> </w:t>
      </w:r>
      <w:r w:rsidRPr="00181FCD">
        <w:t>que</w:t>
      </w:r>
      <w:r w:rsidR="00F373A3" w:rsidRPr="00181FCD">
        <w:t xml:space="preserve"> </w:t>
      </w:r>
      <w:r w:rsidRPr="00181FCD">
        <w:t>se</w:t>
      </w:r>
      <w:r w:rsidR="00F373A3" w:rsidRPr="00181FCD">
        <w:t xml:space="preserve"> </w:t>
      </w:r>
      <w:r w:rsidRPr="00181FCD">
        <w:t>habían</w:t>
      </w:r>
      <w:r w:rsidR="00F373A3" w:rsidRPr="00181FCD">
        <w:t xml:space="preserve"> </w:t>
      </w:r>
      <w:r w:rsidRPr="00181FCD">
        <w:t>escapado</w:t>
      </w:r>
      <w:r w:rsidR="00F373A3" w:rsidRPr="00181FCD">
        <w:t xml:space="preserve"> </w:t>
      </w:r>
      <w:r w:rsidRPr="00181FCD">
        <w:t>de</w:t>
      </w:r>
      <w:r w:rsidR="00F373A3" w:rsidRPr="00181FCD">
        <w:t xml:space="preserve"> </w:t>
      </w:r>
      <w:r w:rsidRPr="00181FCD">
        <w:t>su</w:t>
      </w:r>
      <w:r w:rsidR="00F373A3" w:rsidRPr="00181FCD">
        <w:t xml:space="preserve"> </w:t>
      </w:r>
      <w:r w:rsidRPr="00181FCD">
        <w:t>casa.</w:t>
      </w:r>
    </w:p>
    <w:p w:rsidR="001937F4" w:rsidRPr="00181FCD" w:rsidRDefault="001937F4" w:rsidP="00347B20">
      <w:pPr>
        <w:pStyle w:val="SingleTxtG"/>
        <w:suppressAutoHyphens/>
      </w:pPr>
      <w:r w:rsidRPr="00181FCD">
        <w:t>210.</w:t>
      </w:r>
      <w:r w:rsidRPr="00181FCD">
        <w:tab/>
        <w:t>También</w:t>
      </w:r>
      <w:r w:rsidR="00F373A3" w:rsidRPr="00181FCD">
        <w:t xml:space="preserve"> </w:t>
      </w:r>
      <w:r w:rsidRPr="00181FCD">
        <w:t>se</w:t>
      </w:r>
      <w:r w:rsidR="00F373A3" w:rsidRPr="00181FCD">
        <w:t xml:space="preserve"> </w:t>
      </w:r>
      <w:r w:rsidRPr="00181FCD">
        <w:t>ha</w:t>
      </w:r>
      <w:r w:rsidR="00F373A3" w:rsidRPr="00181FCD">
        <w:t xml:space="preserve"> </w:t>
      </w:r>
      <w:r w:rsidRPr="00181FCD">
        <w:t>proporcionado</w:t>
      </w:r>
      <w:r w:rsidR="00F373A3" w:rsidRPr="00181FCD">
        <w:t xml:space="preserve"> </w:t>
      </w:r>
      <w:r w:rsidRPr="00181FCD">
        <w:t>apoyo</w:t>
      </w:r>
      <w:r w:rsidR="00F373A3" w:rsidRPr="00181FCD">
        <w:t xml:space="preserve"> </w:t>
      </w:r>
      <w:r w:rsidRPr="00181FCD">
        <w:t>a</w:t>
      </w:r>
      <w:r w:rsidR="00F373A3" w:rsidRPr="00181FCD">
        <w:t xml:space="preserve"> </w:t>
      </w:r>
      <w:r w:rsidRPr="00181FCD">
        <w:t>las</w:t>
      </w:r>
      <w:r w:rsidR="00F373A3" w:rsidRPr="00181FCD">
        <w:t xml:space="preserve"> </w:t>
      </w:r>
      <w:r w:rsidRPr="00181FCD">
        <w:t>víctimas</w:t>
      </w:r>
      <w:r w:rsidR="00F373A3" w:rsidRPr="00181FCD">
        <w:t xml:space="preserve"> </w:t>
      </w:r>
      <w:r w:rsidRPr="00181FCD">
        <w:t>de</w:t>
      </w:r>
      <w:r w:rsidR="00F373A3" w:rsidRPr="00181FCD">
        <w:t xml:space="preserve"> </w:t>
      </w:r>
      <w:r w:rsidRPr="00181FCD">
        <w:t>la</w:t>
      </w:r>
      <w:r w:rsidR="00F373A3" w:rsidRPr="00181FCD">
        <w:t xml:space="preserve"> </w:t>
      </w:r>
      <w:r w:rsidRPr="00181FCD">
        <w:t>violencia</w:t>
      </w:r>
      <w:r w:rsidR="00F373A3" w:rsidRPr="00181FCD">
        <w:t xml:space="preserve"> </w:t>
      </w:r>
      <w:r w:rsidRPr="00181FCD">
        <w:t>doméstica</w:t>
      </w:r>
      <w:r w:rsidR="00F373A3" w:rsidRPr="00181FCD">
        <w:t xml:space="preserve"> </w:t>
      </w:r>
      <w:r w:rsidRPr="00181FCD">
        <w:t>a</w:t>
      </w:r>
      <w:r w:rsidR="00F373A3" w:rsidRPr="00181FCD">
        <w:t xml:space="preserve"> </w:t>
      </w:r>
      <w:r w:rsidRPr="00181FCD">
        <w:t>través</w:t>
      </w:r>
      <w:r w:rsidR="00F373A3" w:rsidRPr="00181FCD">
        <w:t xml:space="preserve"> </w:t>
      </w:r>
      <w:r w:rsidRPr="00181FCD">
        <w:t>del</w:t>
      </w:r>
      <w:r w:rsidR="00F373A3" w:rsidRPr="00181FCD">
        <w:t xml:space="preserve"> </w:t>
      </w:r>
      <w:r w:rsidRPr="00181FCD">
        <w:t>servicio</w:t>
      </w:r>
      <w:r w:rsidR="00F373A3" w:rsidRPr="00181FCD">
        <w:t xml:space="preserve"> </w:t>
      </w:r>
      <w:r w:rsidRPr="00181FCD">
        <w:t>denominado</w:t>
      </w:r>
      <w:r w:rsidR="00F373A3" w:rsidRPr="00181FCD">
        <w:t xml:space="preserve"> </w:t>
      </w:r>
      <w:r w:rsidRPr="00181FCD">
        <w:t>Centro</w:t>
      </w:r>
      <w:r w:rsidR="00F373A3" w:rsidRPr="00181FCD">
        <w:t xml:space="preserve"> </w:t>
      </w:r>
      <w:r w:rsidRPr="00181FCD">
        <w:t>de</w:t>
      </w:r>
      <w:r w:rsidR="00F373A3" w:rsidRPr="00181FCD">
        <w:t xml:space="preserve"> </w:t>
      </w:r>
      <w:r w:rsidRPr="00181FCD">
        <w:t>Crisis.</w:t>
      </w:r>
      <w:r w:rsidR="00F373A3" w:rsidRPr="00181FCD">
        <w:t xml:space="preserve"> </w:t>
      </w:r>
      <w:r w:rsidRPr="00181FCD">
        <w:t>Cuando</w:t>
      </w:r>
      <w:r w:rsidR="00F373A3" w:rsidRPr="00181FCD">
        <w:t xml:space="preserve"> </w:t>
      </w:r>
      <w:r w:rsidRPr="00181FCD">
        <w:t>la</w:t>
      </w:r>
      <w:r w:rsidR="00F373A3" w:rsidRPr="00181FCD">
        <w:t xml:space="preserve"> </w:t>
      </w:r>
      <w:r w:rsidRPr="00181FCD">
        <w:t>víctima</w:t>
      </w:r>
      <w:r w:rsidR="00F373A3" w:rsidRPr="00181FCD">
        <w:t xml:space="preserve"> </w:t>
      </w:r>
      <w:r w:rsidRPr="00181FCD">
        <w:t>de</w:t>
      </w:r>
      <w:r w:rsidR="00F373A3" w:rsidRPr="00181FCD">
        <w:t xml:space="preserve"> </w:t>
      </w:r>
      <w:r w:rsidRPr="00181FCD">
        <w:t>la</w:t>
      </w:r>
      <w:r w:rsidR="00F373A3" w:rsidRPr="00181FCD">
        <w:t xml:space="preserve"> </w:t>
      </w:r>
      <w:r w:rsidRPr="00181FCD">
        <w:t>violencia</w:t>
      </w:r>
      <w:r w:rsidR="00F373A3" w:rsidRPr="00181FCD">
        <w:t xml:space="preserve"> </w:t>
      </w:r>
      <w:r w:rsidRPr="00181FCD">
        <w:t>es</w:t>
      </w:r>
      <w:r w:rsidR="00F373A3" w:rsidRPr="00181FCD">
        <w:t xml:space="preserve"> </w:t>
      </w:r>
      <w:r w:rsidRPr="00181FCD">
        <w:t>una</w:t>
      </w:r>
      <w:r w:rsidR="00F373A3" w:rsidRPr="00181FCD">
        <w:t xml:space="preserve"> </w:t>
      </w:r>
      <w:r w:rsidRPr="00181FCD">
        <w:t>mujer</w:t>
      </w:r>
      <w:r w:rsidR="00F373A3" w:rsidRPr="00181FCD">
        <w:t xml:space="preserve"> </w:t>
      </w:r>
      <w:r w:rsidRPr="00181FCD">
        <w:t>embarazada</w:t>
      </w:r>
      <w:r w:rsidR="00F373A3" w:rsidRPr="00181FCD">
        <w:t xml:space="preserve"> </w:t>
      </w:r>
      <w:r w:rsidRPr="00181FCD">
        <w:t>o</w:t>
      </w:r>
      <w:r w:rsidR="00F373A3" w:rsidRPr="00181FCD">
        <w:t xml:space="preserve"> </w:t>
      </w:r>
      <w:r w:rsidRPr="00181FCD">
        <w:t>acompañada</w:t>
      </w:r>
      <w:r w:rsidR="00F373A3" w:rsidRPr="00181FCD">
        <w:t xml:space="preserve"> </w:t>
      </w:r>
      <w:r w:rsidRPr="00181FCD">
        <w:t>de</w:t>
      </w:r>
      <w:r w:rsidR="00F373A3" w:rsidRPr="00181FCD">
        <w:t xml:space="preserve"> </w:t>
      </w:r>
      <w:r w:rsidRPr="00181FCD">
        <w:t>hijos</w:t>
      </w:r>
      <w:r w:rsidR="00F373A3" w:rsidRPr="00181FCD">
        <w:t xml:space="preserve"> </w:t>
      </w:r>
      <w:r w:rsidRPr="00181FCD">
        <w:t>menores</w:t>
      </w:r>
      <w:r w:rsidR="00F373A3" w:rsidRPr="00181FCD">
        <w:t xml:space="preserve"> </w:t>
      </w:r>
      <w:r w:rsidRPr="00181FCD">
        <w:t>de</w:t>
      </w:r>
      <w:r w:rsidR="00F373A3" w:rsidRPr="00181FCD">
        <w:t xml:space="preserve"> </w:t>
      </w:r>
      <w:r w:rsidR="00B36DCD" w:rsidRPr="00181FCD">
        <w:t xml:space="preserve">3 </w:t>
      </w:r>
      <w:r w:rsidRPr="00181FCD">
        <w:t>años,</w:t>
      </w:r>
      <w:r w:rsidR="00F373A3" w:rsidRPr="00181FCD">
        <w:t xml:space="preserve"> </w:t>
      </w:r>
      <w:r w:rsidRPr="00181FCD">
        <w:t>también</w:t>
      </w:r>
      <w:r w:rsidR="00F373A3" w:rsidRPr="00181FCD">
        <w:t xml:space="preserve"> </w:t>
      </w:r>
      <w:r w:rsidRPr="00181FCD">
        <w:t>puede</w:t>
      </w:r>
      <w:r w:rsidR="00F373A3" w:rsidRPr="00181FCD">
        <w:t xml:space="preserve"> </w:t>
      </w:r>
      <w:r w:rsidRPr="00181FCD">
        <w:t>utilizar</w:t>
      </w:r>
      <w:r w:rsidR="00F373A3" w:rsidRPr="00181FCD">
        <w:t xml:space="preserve"> </w:t>
      </w:r>
      <w:r w:rsidRPr="00181FCD">
        <w:t>los</w:t>
      </w:r>
      <w:r w:rsidR="00F373A3" w:rsidRPr="00181FCD">
        <w:t xml:space="preserve"> </w:t>
      </w:r>
      <w:r w:rsidRPr="00181FCD">
        <w:t>servicios</w:t>
      </w:r>
      <w:r w:rsidR="00F373A3" w:rsidRPr="00181FCD">
        <w:t xml:space="preserve"> </w:t>
      </w:r>
      <w:r w:rsidRPr="00181FCD">
        <w:t>sociales</w:t>
      </w:r>
      <w:r w:rsidR="00F373A3" w:rsidRPr="00181FCD">
        <w:t xml:space="preserve"> </w:t>
      </w:r>
      <w:r w:rsidRPr="00181FCD">
        <w:t>de</w:t>
      </w:r>
      <w:r w:rsidR="00F373A3" w:rsidRPr="00181FCD">
        <w:t xml:space="preserve"> </w:t>
      </w:r>
      <w:r w:rsidRPr="00181FCD">
        <w:t>la</w:t>
      </w:r>
      <w:r w:rsidR="00F373A3" w:rsidRPr="00181FCD">
        <w:t xml:space="preserve"> </w:t>
      </w:r>
      <w:r w:rsidRPr="00181FCD">
        <w:t>Unidad</w:t>
      </w:r>
      <w:r w:rsidR="00F373A3" w:rsidRPr="00181FCD">
        <w:t xml:space="preserve"> </w:t>
      </w:r>
      <w:r w:rsidRPr="00181FCD">
        <w:t>Maternoinfantil.</w:t>
      </w:r>
      <w:r w:rsidR="00F373A3" w:rsidRPr="00181FCD">
        <w:t xml:space="preserve"> </w:t>
      </w:r>
      <w:r w:rsidRPr="00181FCD">
        <w:t>Hay</w:t>
      </w:r>
      <w:r w:rsidR="00F373A3" w:rsidRPr="00181FCD">
        <w:t xml:space="preserve"> </w:t>
      </w:r>
      <w:r w:rsidRPr="00181FCD">
        <w:t>15</w:t>
      </w:r>
      <w:r w:rsidR="00F373A3" w:rsidRPr="00181FCD">
        <w:t xml:space="preserve"> </w:t>
      </w:r>
      <w:r w:rsidRPr="00181FCD">
        <w:t>centros</w:t>
      </w:r>
      <w:r w:rsidR="00F373A3" w:rsidRPr="00181FCD">
        <w:t xml:space="preserve"> </w:t>
      </w:r>
      <w:r w:rsidRPr="00181FCD">
        <w:t>de</w:t>
      </w:r>
      <w:r w:rsidR="00F373A3" w:rsidRPr="00181FCD">
        <w:t xml:space="preserve"> </w:t>
      </w:r>
      <w:r w:rsidRPr="00181FCD">
        <w:t>crisis</w:t>
      </w:r>
      <w:r w:rsidR="00F373A3" w:rsidRPr="00181FCD">
        <w:t xml:space="preserve"> </w:t>
      </w:r>
      <w:r w:rsidRPr="00181FCD">
        <w:t>para</w:t>
      </w:r>
      <w:r w:rsidR="00F373A3" w:rsidRPr="00181FCD">
        <w:t xml:space="preserve"> </w:t>
      </w:r>
      <w:r w:rsidRPr="00181FCD">
        <w:t>niños</w:t>
      </w:r>
      <w:r w:rsidR="00F373A3" w:rsidRPr="00181FCD">
        <w:t xml:space="preserve"> </w:t>
      </w:r>
      <w:r w:rsidRPr="00181FCD">
        <w:t>y</w:t>
      </w:r>
      <w:r w:rsidR="00F373A3" w:rsidRPr="00181FCD">
        <w:t xml:space="preserve"> </w:t>
      </w:r>
      <w:r w:rsidRPr="00181FCD">
        <w:t>adultos</w:t>
      </w:r>
      <w:r w:rsidR="00F373A3" w:rsidRPr="00181FCD">
        <w:t xml:space="preserve"> </w:t>
      </w:r>
      <w:r w:rsidRPr="00181FCD">
        <w:t>en</w:t>
      </w:r>
      <w:r w:rsidR="00F373A3" w:rsidRPr="00181FCD">
        <w:t xml:space="preserve"> </w:t>
      </w:r>
      <w:r w:rsidRPr="00181FCD">
        <w:t>todo</w:t>
      </w:r>
      <w:r w:rsidR="00F373A3" w:rsidRPr="00181FCD">
        <w:t xml:space="preserve"> </w:t>
      </w:r>
      <w:r w:rsidRPr="00181FCD">
        <w:t>el</w:t>
      </w:r>
      <w:r w:rsidR="00F373A3" w:rsidRPr="00181FCD">
        <w:t xml:space="preserve"> </w:t>
      </w:r>
      <w:r w:rsidRPr="00181FCD">
        <w:t>país.</w:t>
      </w:r>
      <w:r w:rsidR="00F373A3" w:rsidRPr="00181FCD">
        <w:t xml:space="preserve"> </w:t>
      </w:r>
      <w:r w:rsidRPr="00181FCD">
        <w:t>En</w:t>
      </w:r>
      <w:r w:rsidR="00F373A3" w:rsidRPr="00181FCD">
        <w:t xml:space="preserve"> </w:t>
      </w:r>
      <w:r w:rsidRPr="00181FCD">
        <w:t>caso</w:t>
      </w:r>
      <w:r w:rsidR="00F373A3" w:rsidRPr="00181FCD">
        <w:t xml:space="preserve"> </w:t>
      </w:r>
      <w:r w:rsidRPr="00181FCD">
        <w:t>de</w:t>
      </w:r>
      <w:r w:rsidR="00F373A3" w:rsidRPr="00181FCD">
        <w:t xml:space="preserve"> </w:t>
      </w:r>
      <w:r w:rsidRPr="00181FCD">
        <w:t>peligro</w:t>
      </w:r>
      <w:r w:rsidR="00F373A3" w:rsidRPr="00181FCD">
        <w:t xml:space="preserve"> </w:t>
      </w:r>
      <w:r w:rsidRPr="00181FCD">
        <w:t>inminente</w:t>
      </w:r>
      <w:r w:rsidR="00F373A3" w:rsidRPr="00181FCD">
        <w:t xml:space="preserve"> </w:t>
      </w:r>
      <w:r w:rsidRPr="00181FCD">
        <w:t>para</w:t>
      </w:r>
      <w:r w:rsidR="00F373A3" w:rsidRPr="00181FCD">
        <w:t xml:space="preserve"> </w:t>
      </w:r>
      <w:r w:rsidRPr="00181FCD">
        <w:t>las</w:t>
      </w:r>
      <w:r w:rsidR="00F373A3" w:rsidRPr="00181FCD">
        <w:t xml:space="preserve"> </w:t>
      </w:r>
      <w:r w:rsidRPr="00181FCD">
        <w:t>personas</w:t>
      </w:r>
      <w:r w:rsidR="00F373A3" w:rsidRPr="00181FCD">
        <w:t xml:space="preserve"> </w:t>
      </w:r>
      <w:r w:rsidRPr="00181FCD">
        <w:t>y</w:t>
      </w:r>
      <w:r w:rsidR="00F373A3" w:rsidRPr="00181FCD">
        <w:t xml:space="preserve"> </w:t>
      </w:r>
      <w:r w:rsidRPr="00181FCD">
        <w:t>los</w:t>
      </w:r>
      <w:r w:rsidR="00F373A3" w:rsidRPr="00181FCD">
        <w:t xml:space="preserve"> </w:t>
      </w:r>
      <w:r w:rsidRPr="00181FCD">
        <w:t>niños</w:t>
      </w:r>
      <w:r w:rsidR="00F373A3" w:rsidRPr="00181FCD">
        <w:t xml:space="preserve"> </w:t>
      </w:r>
      <w:r w:rsidRPr="00181FCD">
        <w:t>alojados</w:t>
      </w:r>
      <w:r w:rsidR="00F373A3" w:rsidRPr="00181FCD">
        <w:t xml:space="preserve"> </w:t>
      </w:r>
      <w:r w:rsidRPr="00181FCD">
        <w:t>en</w:t>
      </w:r>
      <w:r w:rsidR="00F373A3" w:rsidRPr="00181FCD">
        <w:t xml:space="preserve"> </w:t>
      </w:r>
      <w:r w:rsidRPr="00181FCD">
        <w:t>los</w:t>
      </w:r>
      <w:r w:rsidR="00F373A3" w:rsidRPr="00181FCD">
        <w:t xml:space="preserve"> </w:t>
      </w:r>
      <w:r w:rsidRPr="00181FCD">
        <w:t>centros</w:t>
      </w:r>
      <w:r w:rsidR="00F373A3" w:rsidRPr="00181FCD">
        <w:t xml:space="preserve"> </w:t>
      </w:r>
      <w:r w:rsidRPr="00181FCD">
        <w:t>de</w:t>
      </w:r>
      <w:r w:rsidR="00F373A3" w:rsidRPr="00181FCD">
        <w:t xml:space="preserve"> </w:t>
      </w:r>
      <w:r w:rsidRPr="00181FCD">
        <w:t>crisis</w:t>
      </w:r>
      <w:r w:rsidR="00F373A3" w:rsidRPr="00181FCD">
        <w:t xml:space="preserve"> </w:t>
      </w:r>
      <w:r w:rsidRPr="00181FCD">
        <w:t>o</w:t>
      </w:r>
      <w:r w:rsidR="00F373A3" w:rsidRPr="00181FCD">
        <w:t xml:space="preserve"> </w:t>
      </w:r>
      <w:r w:rsidRPr="00181FCD">
        <w:t>en</w:t>
      </w:r>
      <w:r w:rsidR="00F373A3" w:rsidRPr="00181FCD">
        <w:t xml:space="preserve"> </w:t>
      </w:r>
      <w:r w:rsidRPr="00181FCD">
        <w:t>las</w:t>
      </w:r>
      <w:r w:rsidR="00F373A3" w:rsidRPr="00181FCD">
        <w:t xml:space="preserve"> </w:t>
      </w:r>
      <w:r w:rsidRPr="00181FCD">
        <w:t>unidades</w:t>
      </w:r>
      <w:r w:rsidR="00F373A3" w:rsidRPr="00181FCD">
        <w:t xml:space="preserve"> </w:t>
      </w:r>
      <w:r w:rsidRPr="00181FCD">
        <w:t>maternoinfantiles,</w:t>
      </w:r>
      <w:r w:rsidR="00F373A3" w:rsidRPr="00181FCD">
        <w:t xml:space="preserve"> </w:t>
      </w:r>
      <w:r w:rsidRPr="00181FCD">
        <w:t>el</w:t>
      </w:r>
      <w:r w:rsidR="00F373A3" w:rsidRPr="00181FCD">
        <w:t xml:space="preserve"> </w:t>
      </w:r>
      <w:r w:rsidRPr="00181FCD">
        <w:t>proveedor</w:t>
      </w:r>
      <w:r w:rsidR="00F373A3" w:rsidRPr="00181FCD">
        <w:t xml:space="preserve"> </w:t>
      </w:r>
      <w:r w:rsidRPr="00181FCD">
        <w:t>de</w:t>
      </w:r>
      <w:r w:rsidR="00F373A3" w:rsidRPr="00181FCD">
        <w:t xml:space="preserve"> </w:t>
      </w:r>
      <w:r w:rsidRPr="00181FCD">
        <w:t>servicios</w:t>
      </w:r>
      <w:r w:rsidR="00F373A3" w:rsidRPr="00181FCD">
        <w:t xml:space="preserve"> </w:t>
      </w:r>
      <w:r w:rsidRPr="00181FCD">
        <w:t>sociales</w:t>
      </w:r>
      <w:r w:rsidR="00F373A3" w:rsidRPr="00181FCD">
        <w:t xml:space="preserve"> </w:t>
      </w:r>
      <w:r w:rsidRPr="00181FCD">
        <w:t>informará</w:t>
      </w:r>
      <w:r w:rsidR="00F373A3" w:rsidRPr="00181FCD">
        <w:t xml:space="preserve"> </w:t>
      </w:r>
      <w:r w:rsidRPr="00181FCD">
        <w:t>al</w:t>
      </w:r>
      <w:r w:rsidR="00F373A3" w:rsidRPr="00181FCD">
        <w:t xml:space="preserve"> </w:t>
      </w:r>
      <w:r w:rsidRPr="00181FCD">
        <w:t>departamento</w:t>
      </w:r>
      <w:r w:rsidR="00F373A3" w:rsidRPr="00181FCD">
        <w:t xml:space="preserve"> </w:t>
      </w:r>
      <w:r w:rsidRPr="00181FCD">
        <w:t>local</w:t>
      </w:r>
      <w:r w:rsidR="00F373A3" w:rsidRPr="00181FCD">
        <w:t xml:space="preserve"> </w:t>
      </w:r>
      <w:r w:rsidRPr="00181FCD">
        <w:t>del</w:t>
      </w:r>
      <w:r w:rsidR="00F373A3" w:rsidRPr="00181FCD">
        <w:t xml:space="preserve"> </w:t>
      </w:r>
      <w:r w:rsidRPr="00181FCD">
        <w:t>Ministerio</w:t>
      </w:r>
      <w:r w:rsidR="00F373A3" w:rsidRPr="00181FCD">
        <w:t xml:space="preserve"> </w:t>
      </w:r>
      <w:r w:rsidRPr="00181FCD">
        <w:t>del</w:t>
      </w:r>
      <w:r w:rsidR="00F373A3" w:rsidRPr="00181FCD">
        <w:t xml:space="preserve"> </w:t>
      </w:r>
      <w:r w:rsidRPr="00181FCD">
        <w:t>Interior.</w:t>
      </w:r>
    </w:p>
    <w:p w:rsidR="001937F4" w:rsidRPr="00181FCD" w:rsidRDefault="001937F4" w:rsidP="00347B20">
      <w:pPr>
        <w:pStyle w:val="SingleTxtG"/>
        <w:suppressAutoHyphens/>
      </w:pPr>
      <w:r w:rsidRPr="00181FCD">
        <w:t>211.</w:t>
      </w:r>
      <w:r w:rsidRPr="00181FCD">
        <w:tab/>
        <w:t>Asimismo,</w:t>
      </w:r>
      <w:r w:rsidR="00F373A3" w:rsidRPr="00181FCD">
        <w:t xml:space="preserve"> </w:t>
      </w:r>
      <w:r w:rsidRPr="00181FCD">
        <w:t>se</w:t>
      </w:r>
      <w:r w:rsidR="00F373A3" w:rsidRPr="00181FCD">
        <w:t xml:space="preserve"> </w:t>
      </w:r>
      <w:r w:rsidRPr="00181FCD">
        <w:t>prestan</w:t>
      </w:r>
      <w:r w:rsidR="00F373A3" w:rsidRPr="00181FCD">
        <w:t xml:space="preserve"> </w:t>
      </w:r>
      <w:r w:rsidRPr="00181FCD">
        <w:t>servicios</w:t>
      </w:r>
      <w:r w:rsidR="00F373A3" w:rsidRPr="00181FCD">
        <w:t xml:space="preserve"> </w:t>
      </w:r>
      <w:r w:rsidRPr="00181FCD">
        <w:t>de</w:t>
      </w:r>
      <w:r w:rsidR="00F373A3" w:rsidRPr="00181FCD">
        <w:t xml:space="preserve"> </w:t>
      </w:r>
      <w:r w:rsidRPr="00181FCD">
        <w:t>apoyo</w:t>
      </w:r>
      <w:r w:rsidR="00F373A3" w:rsidRPr="00181FCD">
        <w:t xml:space="preserve"> </w:t>
      </w:r>
      <w:r w:rsidRPr="00181FCD">
        <w:t>en</w:t>
      </w:r>
      <w:r w:rsidR="00F373A3" w:rsidRPr="00181FCD">
        <w:t xml:space="preserve"> </w:t>
      </w:r>
      <w:r w:rsidRPr="00181FCD">
        <w:t>66</w:t>
      </w:r>
      <w:r w:rsidR="00F373A3" w:rsidRPr="00181FCD">
        <w:t xml:space="preserve"> </w:t>
      </w:r>
      <w:r w:rsidRPr="00181FCD">
        <w:t>Centros</w:t>
      </w:r>
      <w:r w:rsidR="00F373A3" w:rsidRPr="00181FCD">
        <w:t xml:space="preserve"> </w:t>
      </w:r>
      <w:r w:rsidRPr="00181FCD">
        <w:t>de</w:t>
      </w:r>
      <w:r w:rsidR="00F373A3" w:rsidRPr="00181FCD">
        <w:t xml:space="preserve"> </w:t>
      </w:r>
      <w:r w:rsidRPr="00181FCD">
        <w:t>Rehabilitación</w:t>
      </w:r>
      <w:r w:rsidR="00F373A3" w:rsidRPr="00181FCD">
        <w:t xml:space="preserve"> </w:t>
      </w:r>
      <w:r w:rsidRPr="00181FCD">
        <w:t>e</w:t>
      </w:r>
      <w:r w:rsidR="00F373A3" w:rsidRPr="00181FCD">
        <w:t xml:space="preserve"> </w:t>
      </w:r>
      <w:r w:rsidRPr="00181FCD">
        <w:t>Integración</w:t>
      </w:r>
      <w:r w:rsidR="00F373A3" w:rsidRPr="00181FCD">
        <w:t xml:space="preserve"> </w:t>
      </w:r>
      <w:r w:rsidRPr="00181FCD">
        <w:t>Social,</w:t>
      </w:r>
      <w:r w:rsidR="00F373A3" w:rsidRPr="00181FCD">
        <w:t xml:space="preserve"> </w:t>
      </w:r>
      <w:r w:rsidRPr="00181FCD">
        <w:t>mediante</w:t>
      </w:r>
      <w:r w:rsidR="00F373A3" w:rsidRPr="00181FCD">
        <w:t xml:space="preserve"> </w:t>
      </w:r>
      <w:r w:rsidRPr="00181FCD">
        <w:t>actividades</w:t>
      </w:r>
      <w:r w:rsidR="00F373A3" w:rsidRPr="00181FCD">
        <w:t xml:space="preserve"> </w:t>
      </w:r>
      <w:r w:rsidRPr="00181FCD">
        <w:t>de</w:t>
      </w:r>
      <w:r w:rsidR="00F373A3" w:rsidRPr="00181FCD">
        <w:t xml:space="preserve"> </w:t>
      </w:r>
      <w:r w:rsidRPr="00181FCD">
        <w:t>rehabilitación,</w:t>
      </w:r>
      <w:r w:rsidR="00F373A3" w:rsidRPr="00181FCD">
        <w:t xml:space="preserve"> </w:t>
      </w:r>
      <w:r w:rsidRPr="00181FCD">
        <w:t>asesoramiento</w:t>
      </w:r>
      <w:r w:rsidR="00F373A3" w:rsidRPr="00181FCD">
        <w:t xml:space="preserve"> </w:t>
      </w:r>
      <w:r w:rsidRPr="00181FCD">
        <w:t>social</w:t>
      </w:r>
      <w:r w:rsidR="00F373A3" w:rsidRPr="00181FCD">
        <w:t xml:space="preserve"> </w:t>
      </w:r>
      <w:r w:rsidRPr="00181FCD">
        <w:t>y</w:t>
      </w:r>
      <w:r w:rsidR="00F373A3" w:rsidRPr="00181FCD">
        <w:t xml:space="preserve"> </w:t>
      </w:r>
      <w:r w:rsidRPr="00181FCD">
        <w:t>jurídico,</w:t>
      </w:r>
      <w:r w:rsidR="00F373A3" w:rsidRPr="00181FCD">
        <w:t xml:space="preserve"> </w:t>
      </w:r>
      <w:r w:rsidRPr="00181FCD">
        <w:t>elaboración</w:t>
      </w:r>
      <w:r w:rsidR="00F373A3" w:rsidRPr="00181FCD">
        <w:t xml:space="preserve"> </w:t>
      </w:r>
      <w:r w:rsidRPr="00181FCD">
        <w:t>y</w:t>
      </w:r>
      <w:r w:rsidR="00F373A3" w:rsidRPr="00181FCD">
        <w:t xml:space="preserve"> </w:t>
      </w:r>
      <w:r w:rsidRPr="00181FCD">
        <w:t>ejecución</w:t>
      </w:r>
      <w:r w:rsidR="00F373A3" w:rsidRPr="00181FCD">
        <w:t xml:space="preserve"> </w:t>
      </w:r>
      <w:r w:rsidRPr="00181FCD">
        <w:t>de</w:t>
      </w:r>
      <w:r w:rsidR="00F373A3" w:rsidRPr="00181FCD">
        <w:t xml:space="preserve"> </w:t>
      </w:r>
      <w:r w:rsidRPr="00181FCD">
        <w:t>programas</w:t>
      </w:r>
      <w:r w:rsidR="00F373A3" w:rsidRPr="00181FCD">
        <w:t xml:space="preserve"> </w:t>
      </w:r>
      <w:r w:rsidRPr="00181FCD">
        <w:t>individuales</w:t>
      </w:r>
      <w:r w:rsidR="00F373A3" w:rsidRPr="00181FCD">
        <w:t xml:space="preserve"> </w:t>
      </w:r>
      <w:r w:rsidRPr="00181FCD">
        <w:t>de</w:t>
      </w:r>
      <w:r w:rsidR="00F373A3" w:rsidRPr="00181FCD">
        <w:t xml:space="preserve"> </w:t>
      </w:r>
      <w:r w:rsidRPr="00181FCD">
        <w:t>inclusión</w:t>
      </w:r>
      <w:r w:rsidR="00F373A3" w:rsidRPr="00181FCD">
        <w:t xml:space="preserve"> </w:t>
      </w:r>
      <w:r w:rsidRPr="00181FCD">
        <w:t>social,</w:t>
      </w:r>
      <w:r w:rsidR="00F373A3" w:rsidRPr="00181FCD">
        <w:t xml:space="preserve"> </w:t>
      </w:r>
      <w:r w:rsidRPr="00181FCD">
        <w:t>etc.</w:t>
      </w:r>
      <w:r w:rsidR="00F373A3" w:rsidRPr="00181FCD">
        <w:t xml:space="preserve"> </w:t>
      </w:r>
      <w:r w:rsidRPr="00181FCD">
        <w:t>Estos</w:t>
      </w:r>
      <w:r w:rsidR="00F373A3" w:rsidRPr="00181FCD">
        <w:t xml:space="preserve"> </w:t>
      </w:r>
      <w:r w:rsidRPr="00181FCD">
        <w:t>centros</w:t>
      </w:r>
      <w:r w:rsidR="00F373A3" w:rsidRPr="00181FCD">
        <w:t xml:space="preserve"> </w:t>
      </w:r>
      <w:r w:rsidRPr="00181FCD">
        <w:t>trabajan</w:t>
      </w:r>
      <w:r w:rsidR="00F373A3" w:rsidRPr="00181FCD">
        <w:t xml:space="preserve"> </w:t>
      </w:r>
      <w:r w:rsidRPr="00181FCD">
        <w:t>en</w:t>
      </w:r>
      <w:r w:rsidR="00F373A3" w:rsidRPr="00181FCD">
        <w:t xml:space="preserve"> </w:t>
      </w:r>
      <w:r w:rsidRPr="00181FCD">
        <w:t>cooperación</w:t>
      </w:r>
      <w:r w:rsidR="00F373A3" w:rsidRPr="00181FCD">
        <w:t xml:space="preserve"> </w:t>
      </w:r>
      <w:r w:rsidRPr="00181FCD">
        <w:t>con</w:t>
      </w:r>
      <w:r w:rsidR="00F373A3" w:rsidRPr="00181FCD">
        <w:t xml:space="preserve"> </w:t>
      </w:r>
      <w:r w:rsidRPr="00181FCD">
        <w:t>los</w:t>
      </w:r>
      <w:r w:rsidR="00F373A3" w:rsidRPr="00181FCD">
        <w:t xml:space="preserve"> </w:t>
      </w:r>
      <w:r w:rsidRPr="00181FCD">
        <w:t>centros</w:t>
      </w:r>
      <w:r w:rsidR="00F373A3" w:rsidRPr="00181FCD">
        <w:t xml:space="preserve"> </w:t>
      </w:r>
      <w:r w:rsidRPr="00181FCD">
        <w:t>de</w:t>
      </w:r>
      <w:r w:rsidR="00F373A3" w:rsidRPr="00181FCD">
        <w:t xml:space="preserve"> </w:t>
      </w:r>
      <w:r w:rsidRPr="00181FCD">
        <w:t>crisis.</w:t>
      </w:r>
    </w:p>
    <w:p w:rsidR="001937F4" w:rsidRPr="00181FCD" w:rsidRDefault="001937F4" w:rsidP="00347B20">
      <w:pPr>
        <w:pStyle w:val="SingleTxtG"/>
        <w:suppressAutoHyphens/>
      </w:pPr>
      <w:r w:rsidRPr="00181FCD">
        <w:t>212.</w:t>
      </w:r>
      <w:r w:rsidRPr="00181FCD">
        <w:tab/>
        <w:t>En</w:t>
      </w:r>
      <w:r w:rsidR="00F373A3" w:rsidRPr="00181FCD">
        <w:t xml:space="preserve"> </w:t>
      </w:r>
      <w:r w:rsidRPr="00181FCD">
        <w:t>2014,</w:t>
      </w:r>
      <w:r w:rsidR="00F373A3" w:rsidRPr="00181FCD">
        <w:t xml:space="preserve"> </w:t>
      </w:r>
      <w:r w:rsidRPr="00181FCD">
        <w:t>la</w:t>
      </w:r>
      <w:r w:rsidR="00F373A3" w:rsidRPr="00181FCD">
        <w:t xml:space="preserve"> </w:t>
      </w:r>
      <w:r w:rsidRPr="00181FCD">
        <w:t>Comisión</w:t>
      </w:r>
      <w:r w:rsidR="00F373A3" w:rsidRPr="00181FCD">
        <w:t xml:space="preserve"> </w:t>
      </w:r>
      <w:r w:rsidRPr="00181FCD">
        <w:t>Nacional</w:t>
      </w:r>
      <w:r w:rsidR="00F373A3" w:rsidRPr="00181FCD">
        <w:t xml:space="preserve"> </w:t>
      </w:r>
      <w:r w:rsidRPr="00181FCD">
        <w:t>de</w:t>
      </w:r>
      <w:r w:rsidR="00F373A3" w:rsidRPr="00181FCD">
        <w:t xml:space="preserve"> </w:t>
      </w:r>
      <w:r w:rsidRPr="00181FCD">
        <w:t>Lucha</w:t>
      </w:r>
      <w:r w:rsidR="00F373A3" w:rsidRPr="00181FCD">
        <w:t xml:space="preserve"> </w:t>
      </w:r>
      <w:r w:rsidRPr="00181FCD">
        <w:t>contra</w:t>
      </w:r>
      <w:r w:rsidR="00F373A3" w:rsidRPr="00181FCD">
        <w:t xml:space="preserve"> </w:t>
      </w:r>
      <w:r w:rsidRPr="00181FCD">
        <w:t>la</w:t>
      </w:r>
      <w:r w:rsidR="00F373A3" w:rsidRPr="00181FCD">
        <w:t xml:space="preserve"> </w:t>
      </w:r>
      <w:r w:rsidRPr="00181FCD">
        <w:t>Trata</w:t>
      </w:r>
      <w:r w:rsidR="00F373A3" w:rsidRPr="00181FCD">
        <w:t xml:space="preserve"> </w:t>
      </w:r>
      <w:r w:rsidRPr="00181FCD">
        <w:t>de</w:t>
      </w:r>
      <w:r w:rsidR="00F373A3" w:rsidRPr="00181FCD">
        <w:t xml:space="preserve"> </w:t>
      </w:r>
      <w:r w:rsidRPr="00181FCD">
        <w:t>Personas</w:t>
      </w:r>
      <w:r w:rsidRPr="00181FCD">
        <w:footnoteReference w:id="4"/>
      </w:r>
      <w:bookmarkStart w:id="0" w:name="_ftnref4"/>
      <w:bookmarkEnd w:id="0"/>
      <w:r w:rsidR="00F373A3" w:rsidRPr="00181FCD">
        <w:t xml:space="preserve"> </w:t>
      </w:r>
      <w:r w:rsidRPr="00181FCD">
        <w:t>recibió</w:t>
      </w:r>
      <w:r w:rsidR="00F373A3" w:rsidRPr="00181FCD">
        <w:t xml:space="preserve"> </w:t>
      </w:r>
      <w:r w:rsidRPr="00181FCD">
        <w:t>alrededor</w:t>
      </w:r>
      <w:r w:rsidR="00F373A3" w:rsidRPr="00181FCD">
        <w:t xml:space="preserve"> </w:t>
      </w:r>
      <w:r w:rsidRPr="00181FCD">
        <w:t>de</w:t>
      </w:r>
      <w:r w:rsidR="00F373A3" w:rsidRPr="00181FCD">
        <w:t xml:space="preserve"> </w:t>
      </w:r>
      <w:r w:rsidRPr="00181FCD">
        <w:t>90</w:t>
      </w:r>
      <w:r w:rsidR="00F373A3" w:rsidRPr="00181FCD">
        <w:t xml:space="preserve"> </w:t>
      </w:r>
      <w:r w:rsidRPr="00181FCD">
        <w:t>avisos</w:t>
      </w:r>
      <w:r w:rsidR="00F373A3" w:rsidRPr="00181FCD">
        <w:t xml:space="preserve"> </w:t>
      </w:r>
      <w:r w:rsidRPr="00181FCD">
        <w:t>y</w:t>
      </w:r>
      <w:r w:rsidR="00F373A3" w:rsidRPr="00181FCD">
        <w:t xml:space="preserve"> </w:t>
      </w:r>
      <w:r w:rsidRPr="00181FCD">
        <w:t>solicitudes</w:t>
      </w:r>
      <w:r w:rsidR="00F373A3" w:rsidRPr="00181FCD">
        <w:t xml:space="preserve"> </w:t>
      </w:r>
      <w:r w:rsidRPr="00181FCD">
        <w:t>de</w:t>
      </w:r>
      <w:r w:rsidR="00F373A3" w:rsidRPr="00181FCD">
        <w:t xml:space="preserve"> </w:t>
      </w:r>
      <w:r w:rsidRPr="00181FCD">
        <w:t>asistencia</w:t>
      </w:r>
      <w:r w:rsidR="00F373A3" w:rsidRPr="00181FCD">
        <w:t xml:space="preserve"> </w:t>
      </w:r>
      <w:r w:rsidRPr="00181FCD">
        <w:t>de</w:t>
      </w:r>
      <w:r w:rsidR="00F373A3" w:rsidRPr="00181FCD">
        <w:t xml:space="preserve"> </w:t>
      </w:r>
      <w:r w:rsidRPr="00181FCD">
        <w:t>víctimas</w:t>
      </w:r>
      <w:r w:rsidR="00F373A3" w:rsidRPr="00181FCD">
        <w:t xml:space="preserve"> </w:t>
      </w:r>
      <w:r w:rsidRPr="00181FCD">
        <w:t>de</w:t>
      </w:r>
      <w:r w:rsidR="00F373A3" w:rsidRPr="00181FCD">
        <w:t xml:space="preserve"> </w:t>
      </w:r>
      <w:r w:rsidRPr="00181FCD">
        <w:t>la</w:t>
      </w:r>
      <w:r w:rsidR="00F373A3" w:rsidRPr="00181FCD">
        <w:t xml:space="preserve"> </w:t>
      </w:r>
      <w:r w:rsidRPr="00181FCD">
        <w:t>trata</w:t>
      </w:r>
      <w:r w:rsidR="00F373A3" w:rsidRPr="00181FCD">
        <w:t xml:space="preserve"> </w:t>
      </w:r>
      <w:r w:rsidRPr="00181FCD">
        <w:t>de</w:t>
      </w:r>
      <w:r w:rsidR="00F373A3" w:rsidRPr="00181FCD">
        <w:t xml:space="preserve"> </w:t>
      </w:r>
      <w:r w:rsidRPr="00181FCD">
        <w:t>personas.</w:t>
      </w:r>
      <w:r w:rsidR="00F373A3" w:rsidRPr="00181FCD">
        <w:t xml:space="preserve"> </w:t>
      </w:r>
      <w:r w:rsidRPr="00181FCD">
        <w:t>Estos</w:t>
      </w:r>
      <w:r w:rsidR="00F373A3" w:rsidRPr="00181FCD">
        <w:t xml:space="preserve"> </w:t>
      </w:r>
      <w:r w:rsidRPr="00181FCD">
        <w:t>avisos</w:t>
      </w:r>
      <w:r w:rsidR="00F373A3" w:rsidRPr="00181FCD">
        <w:t xml:space="preserve"> </w:t>
      </w:r>
      <w:r w:rsidRPr="00181FCD">
        <w:t>se</w:t>
      </w:r>
      <w:r w:rsidR="00F373A3" w:rsidRPr="00181FCD">
        <w:t xml:space="preserve"> </w:t>
      </w:r>
      <w:r w:rsidRPr="00181FCD">
        <w:t>referían</w:t>
      </w:r>
      <w:r w:rsidR="00F373A3" w:rsidRPr="00181FCD">
        <w:t xml:space="preserve"> </w:t>
      </w:r>
      <w:r w:rsidRPr="00181FCD">
        <w:t>a</w:t>
      </w:r>
      <w:r w:rsidR="00F373A3" w:rsidRPr="00181FCD">
        <w:t xml:space="preserve"> </w:t>
      </w:r>
      <w:r w:rsidRPr="00181FCD">
        <w:t>más</w:t>
      </w:r>
      <w:r w:rsidR="00F373A3" w:rsidRPr="00181FCD">
        <w:t xml:space="preserve"> </w:t>
      </w:r>
      <w:r w:rsidRPr="00181FCD">
        <w:t>de</w:t>
      </w:r>
      <w:r w:rsidR="00F373A3" w:rsidRPr="00181FCD">
        <w:t xml:space="preserve"> </w:t>
      </w:r>
      <w:r w:rsidRPr="00181FCD">
        <w:t>125</w:t>
      </w:r>
      <w:r w:rsidR="00F373A3" w:rsidRPr="00181FCD">
        <w:t xml:space="preserve"> </w:t>
      </w:r>
      <w:r w:rsidRPr="00181FCD">
        <w:t>individuos.</w:t>
      </w:r>
      <w:r w:rsidR="00F373A3" w:rsidRPr="00181FCD">
        <w:t xml:space="preserve"> </w:t>
      </w:r>
      <w:r w:rsidRPr="00181FCD">
        <w:t>Del</w:t>
      </w:r>
      <w:r w:rsidR="00F373A3" w:rsidRPr="00181FCD">
        <w:t xml:space="preserve"> </w:t>
      </w:r>
      <w:r w:rsidRPr="00181FCD">
        <w:t>total</w:t>
      </w:r>
      <w:r w:rsidR="00F373A3" w:rsidRPr="00181FCD">
        <w:t xml:space="preserve"> </w:t>
      </w:r>
      <w:r w:rsidRPr="00181FCD">
        <w:t>de</w:t>
      </w:r>
      <w:r w:rsidR="00F373A3" w:rsidRPr="00181FCD">
        <w:t xml:space="preserve"> </w:t>
      </w:r>
      <w:r w:rsidRPr="00181FCD">
        <w:t>alertas,</w:t>
      </w:r>
      <w:r w:rsidR="00F373A3" w:rsidRPr="00181FCD">
        <w:t xml:space="preserve"> </w:t>
      </w:r>
      <w:r w:rsidRPr="00181FCD">
        <w:t>16</w:t>
      </w:r>
      <w:r w:rsidR="00F373A3" w:rsidRPr="00181FCD">
        <w:t xml:space="preserve"> </w:t>
      </w:r>
      <w:r w:rsidRPr="00181FCD">
        <w:t>estaban</w:t>
      </w:r>
      <w:r w:rsidR="00F373A3" w:rsidRPr="00181FCD">
        <w:t xml:space="preserve"> </w:t>
      </w:r>
      <w:r w:rsidRPr="00181FCD">
        <w:t>relacionadas</w:t>
      </w:r>
      <w:r w:rsidR="00F373A3" w:rsidRPr="00181FCD">
        <w:t xml:space="preserve"> </w:t>
      </w:r>
      <w:r w:rsidRPr="00181FCD">
        <w:t>con</w:t>
      </w:r>
      <w:r w:rsidR="00F373A3" w:rsidRPr="00181FCD">
        <w:t xml:space="preserve"> </w:t>
      </w:r>
      <w:r w:rsidRPr="00181FCD">
        <w:t>menores</w:t>
      </w:r>
      <w:r w:rsidR="00F373A3" w:rsidRPr="00181FCD">
        <w:t xml:space="preserve"> </w:t>
      </w:r>
      <w:r w:rsidRPr="00181FCD">
        <w:t>de</w:t>
      </w:r>
      <w:r w:rsidR="00F373A3" w:rsidRPr="00181FCD">
        <w:t xml:space="preserve"> </w:t>
      </w:r>
      <w:r w:rsidRPr="00181FCD">
        <w:t>edad</w:t>
      </w:r>
      <w:r w:rsidR="00F373A3" w:rsidRPr="00181FCD">
        <w:t xml:space="preserve"> </w:t>
      </w:r>
      <w:r w:rsidRPr="00181FCD">
        <w:t>y</w:t>
      </w:r>
      <w:r w:rsidR="00F373A3" w:rsidRPr="00181FCD">
        <w:t xml:space="preserve"> </w:t>
      </w:r>
      <w:r w:rsidRPr="00181FCD">
        <w:t>la</w:t>
      </w:r>
      <w:r w:rsidR="00F373A3" w:rsidRPr="00181FCD">
        <w:t xml:space="preserve"> </w:t>
      </w:r>
      <w:r w:rsidRPr="00181FCD">
        <w:t>acción</w:t>
      </w:r>
      <w:r w:rsidR="00F373A3" w:rsidRPr="00181FCD">
        <w:t xml:space="preserve"> </w:t>
      </w:r>
      <w:r w:rsidRPr="00181FCD">
        <w:t>se</w:t>
      </w:r>
      <w:r w:rsidR="00F373A3" w:rsidRPr="00181FCD">
        <w:t xml:space="preserve"> </w:t>
      </w:r>
      <w:r w:rsidRPr="00181FCD">
        <w:t>coordinó</w:t>
      </w:r>
      <w:r w:rsidR="00F373A3" w:rsidRPr="00181FCD">
        <w:t xml:space="preserve"> </w:t>
      </w:r>
      <w:r w:rsidRPr="00181FCD">
        <w:t>con</w:t>
      </w:r>
      <w:r w:rsidR="00F373A3" w:rsidRPr="00181FCD">
        <w:t xml:space="preserve"> </w:t>
      </w:r>
      <w:r w:rsidRPr="00181FCD">
        <w:t>la</w:t>
      </w:r>
      <w:r w:rsidR="00672EC2" w:rsidRPr="00181FCD">
        <w:t xml:space="preserve"> </w:t>
      </w:r>
      <w:r w:rsidRPr="00181FCD">
        <w:t>Agencia</w:t>
      </w:r>
      <w:r w:rsidR="00F373A3" w:rsidRPr="00181FCD">
        <w:t xml:space="preserve"> </w:t>
      </w:r>
      <w:r w:rsidRPr="00181FCD">
        <w:t>Estatal</w:t>
      </w:r>
      <w:r w:rsidR="00F373A3" w:rsidRPr="00181FCD">
        <w:t xml:space="preserve"> </w:t>
      </w:r>
      <w:r w:rsidRPr="00181FCD">
        <w:t>de</w:t>
      </w:r>
      <w:r w:rsidR="00F373A3" w:rsidRPr="00181FCD">
        <w:t xml:space="preserve"> </w:t>
      </w:r>
      <w:r w:rsidRPr="00181FCD">
        <w:t>Protección</w:t>
      </w:r>
      <w:r w:rsidR="00F373A3" w:rsidRPr="00181FCD">
        <w:t xml:space="preserve"> </w:t>
      </w:r>
      <w:r w:rsidRPr="00181FCD">
        <w:t>del</w:t>
      </w:r>
      <w:r w:rsidR="00F373A3" w:rsidRPr="00181FCD">
        <w:t xml:space="preserve"> </w:t>
      </w:r>
      <w:r w:rsidRPr="00181FCD">
        <w:t>Niño.</w:t>
      </w:r>
    </w:p>
    <w:p w:rsidR="001937F4" w:rsidRPr="00181FCD" w:rsidRDefault="001937F4" w:rsidP="00347B20">
      <w:pPr>
        <w:pStyle w:val="SingleTxtG"/>
        <w:suppressAutoHyphens/>
      </w:pPr>
      <w:r w:rsidRPr="00181FCD">
        <w:t>213.</w:t>
      </w:r>
      <w:r w:rsidRPr="00181FCD">
        <w:tab/>
        <w:t>La</w:t>
      </w:r>
      <w:r w:rsidR="00F373A3" w:rsidRPr="00181FCD">
        <w:t xml:space="preserve"> </w:t>
      </w:r>
      <w:r w:rsidRPr="00181FCD">
        <w:t>Comisión</w:t>
      </w:r>
      <w:r w:rsidR="00F373A3" w:rsidRPr="00181FCD">
        <w:t xml:space="preserve"> </w:t>
      </w:r>
      <w:r w:rsidRPr="00181FCD">
        <w:t>transfirió</w:t>
      </w:r>
      <w:r w:rsidR="00F373A3" w:rsidRPr="00181FCD">
        <w:t xml:space="preserve"> </w:t>
      </w:r>
      <w:r w:rsidRPr="00181FCD">
        <w:t>a</w:t>
      </w:r>
      <w:r w:rsidR="00F373A3" w:rsidRPr="00181FCD">
        <w:t xml:space="preserve"> </w:t>
      </w:r>
      <w:r w:rsidRPr="00181FCD">
        <w:t>algunas</w:t>
      </w:r>
      <w:r w:rsidR="00F373A3" w:rsidRPr="00181FCD">
        <w:t xml:space="preserve"> </w:t>
      </w:r>
      <w:r w:rsidRPr="00181FCD">
        <w:t>víctimas</w:t>
      </w:r>
      <w:r w:rsidR="00F373A3" w:rsidRPr="00181FCD">
        <w:t xml:space="preserve"> </w:t>
      </w:r>
      <w:r w:rsidRPr="00181FCD">
        <w:t>de</w:t>
      </w:r>
      <w:r w:rsidR="00F373A3" w:rsidRPr="00181FCD">
        <w:t xml:space="preserve"> </w:t>
      </w:r>
      <w:r w:rsidRPr="00181FCD">
        <w:t>trata</w:t>
      </w:r>
      <w:r w:rsidR="00F373A3" w:rsidRPr="00181FCD">
        <w:t xml:space="preserve"> </w:t>
      </w:r>
      <w:r w:rsidRPr="00181FCD">
        <w:t>a</w:t>
      </w:r>
      <w:r w:rsidR="00F373A3" w:rsidRPr="00181FCD">
        <w:t xml:space="preserve"> </w:t>
      </w:r>
      <w:r w:rsidRPr="00181FCD">
        <w:t>los</w:t>
      </w:r>
      <w:r w:rsidR="00F373A3" w:rsidRPr="00181FCD">
        <w:t xml:space="preserve"> </w:t>
      </w:r>
      <w:r w:rsidRPr="00181FCD">
        <w:t>dos</w:t>
      </w:r>
      <w:r w:rsidR="00F373A3" w:rsidRPr="00181FCD">
        <w:t xml:space="preserve"> </w:t>
      </w:r>
      <w:r w:rsidRPr="00181FCD">
        <w:t>albergues</w:t>
      </w:r>
      <w:r w:rsidR="00F373A3" w:rsidRPr="00181FCD">
        <w:t xml:space="preserve"> </w:t>
      </w:r>
      <w:r w:rsidRPr="00181FCD">
        <w:t>estatales</w:t>
      </w:r>
      <w:r w:rsidR="00F373A3" w:rsidRPr="00181FCD">
        <w:t xml:space="preserve"> </w:t>
      </w:r>
      <w:r w:rsidRPr="00181FCD">
        <w:t>para</w:t>
      </w:r>
      <w:r w:rsidR="00F373A3" w:rsidRPr="00181FCD">
        <w:t xml:space="preserve"> </w:t>
      </w:r>
      <w:r w:rsidRPr="00181FCD">
        <w:t>su</w:t>
      </w:r>
      <w:r w:rsidR="00F373A3" w:rsidRPr="00181FCD">
        <w:t xml:space="preserve"> </w:t>
      </w:r>
      <w:r w:rsidRPr="00181FCD">
        <w:t>alojamiento</w:t>
      </w:r>
      <w:r w:rsidR="00F373A3" w:rsidRPr="00181FCD">
        <w:t xml:space="preserve"> </w:t>
      </w:r>
      <w:r w:rsidRPr="00181FCD">
        <w:t>temporal.</w:t>
      </w:r>
      <w:r w:rsidR="00F373A3" w:rsidRPr="00181FCD">
        <w:t xml:space="preserve"> </w:t>
      </w:r>
      <w:r w:rsidRPr="00181FCD">
        <w:t>Estos</w:t>
      </w:r>
      <w:r w:rsidR="00F373A3" w:rsidRPr="00181FCD">
        <w:t xml:space="preserve"> </w:t>
      </w:r>
      <w:r w:rsidRPr="00181FCD">
        <w:t>centros</w:t>
      </w:r>
      <w:r w:rsidR="00F373A3" w:rsidRPr="00181FCD">
        <w:t xml:space="preserve"> </w:t>
      </w:r>
      <w:r w:rsidRPr="00181FCD">
        <w:t>están</w:t>
      </w:r>
      <w:r w:rsidR="00F373A3" w:rsidRPr="00181FCD">
        <w:t xml:space="preserve"> </w:t>
      </w:r>
      <w:r w:rsidRPr="00181FCD">
        <w:t>gestionados</w:t>
      </w:r>
      <w:r w:rsidR="00F373A3" w:rsidRPr="00181FCD">
        <w:t xml:space="preserve"> </w:t>
      </w:r>
      <w:r w:rsidRPr="00181FCD">
        <w:t>por</w:t>
      </w:r>
      <w:r w:rsidR="00F373A3" w:rsidRPr="00181FCD">
        <w:t xml:space="preserve"> </w:t>
      </w:r>
      <w:r w:rsidRPr="00181FCD">
        <w:t>la</w:t>
      </w:r>
      <w:r w:rsidR="00F373A3" w:rsidRPr="00181FCD">
        <w:t xml:space="preserve"> </w:t>
      </w:r>
      <w:r w:rsidRPr="00181FCD">
        <w:t>Comisión</w:t>
      </w:r>
      <w:r w:rsidR="00F373A3" w:rsidRPr="00181FCD">
        <w:t xml:space="preserve"> </w:t>
      </w:r>
      <w:r w:rsidRPr="00181FCD">
        <w:t>a</w:t>
      </w:r>
      <w:r w:rsidR="00F373A3" w:rsidRPr="00181FCD">
        <w:t xml:space="preserve"> </w:t>
      </w:r>
      <w:r w:rsidRPr="00181FCD">
        <w:t>través</w:t>
      </w:r>
      <w:r w:rsidR="00F373A3" w:rsidRPr="00181FCD">
        <w:t xml:space="preserve"> </w:t>
      </w:r>
      <w:r w:rsidRPr="00181FCD">
        <w:t>de</w:t>
      </w:r>
      <w:r w:rsidR="00F373A3" w:rsidRPr="00181FCD">
        <w:t xml:space="preserve"> </w:t>
      </w:r>
      <w:r w:rsidRPr="00181FCD">
        <w:t>las</w:t>
      </w:r>
      <w:r w:rsidR="00F373A3" w:rsidRPr="00181FCD">
        <w:t xml:space="preserve"> </w:t>
      </w:r>
      <w:r w:rsidRPr="00181FCD">
        <w:t>principales</w:t>
      </w:r>
      <w:r w:rsidR="00F373A3" w:rsidRPr="00181FCD">
        <w:t xml:space="preserve"> </w:t>
      </w:r>
      <w:r w:rsidRPr="00181FCD">
        <w:t>ONG</w:t>
      </w:r>
      <w:r w:rsidR="00F373A3" w:rsidRPr="00181FCD">
        <w:t xml:space="preserve"> </w:t>
      </w:r>
      <w:r w:rsidRPr="00181FCD">
        <w:t>que</w:t>
      </w:r>
      <w:r w:rsidR="00F373A3" w:rsidRPr="00181FCD">
        <w:t xml:space="preserve"> </w:t>
      </w:r>
      <w:r w:rsidRPr="00181FCD">
        <w:t>actúan</w:t>
      </w:r>
      <w:r w:rsidR="00F373A3" w:rsidRPr="00181FCD">
        <w:t xml:space="preserve"> </w:t>
      </w:r>
      <w:r w:rsidRPr="00181FCD">
        <w:t>en</w:t>
      </w:r>
      <w:r w:rsidR="00F373A3" w:rsidRPr="00181FCD">
        <w:t xml:space="preserve"> </w:t>
      </w:r>
      <w:r w:rsidRPr="00181FCD">
        <w:t>ese</w:t>
      </w:r>
      <w:r w:rsidR="00F373A3" w:rsidRPr="00181FCD">
        <w:t xml:space="preserve"> </w:t>
      </w:r>
      <w:r w:rsidRPr="00181FCD">
        <w:t>campo.</w:t>
      </w:r>
      <w:r w:rsidR="00F373A3" w:rsidRPr="00181FCD">
        <w:t xml:space="preserve"> </w:t>
      </w:r>
      <w:r w:rsidRPr="00181FCD">
        <w:t>En</w:t>
      </w:r>
      <w:r w:rsidR="00F373A3" w:rsidRPr="00181FCD">
        <w:t xml:space="preserve"> </w:t>
      </w:r>
      <w:r w:rsidRPr="00181FCD">
        <w:t>la</w:t>
      </w:r>
      <w:r w:rsidR="00F373A3" w:rsidRPr="00181FCD">
        <w:t xml:space="preserve"> </w:t>
      </w:r>
      <w:r w:rsidRPr="00181FCD">
        <w:t>prestación</w:t>
      </w:r>
      <w:r w:rsidR="00F373A3" w:rsidRPr="00181FCD">
        <w:t xml:space="preserve"> </w:t>
      </w:r>
      <w:r w:rsidRPr="00181FCD">
        <w:t>de</w:t>
      </w:r>
      <w:r w:rsidR="00F373A3" w:rsidRPr="00181FCD">
        <w:t xml:space="preserve"> </w:t>
      </w:r>
      <w:r w:rsidRPr="00181FCD">
        <w:t>los</w:t>
      </w:r>
      <w:r w:rsidR="00F373A3" w:rsidRPr="00181FCD">
        <w:t xml:space="preserve"> </w:t>
      </w:r>
      <w:r w:rsidRPr="00181FCD">
        <w:t>servicios</w:t>
      </w:r>
      <w:r w:rsidR="00F373A3" w:rsidRPr="00181FCD">
        <w:t xml:space="preserve"> </w:t>
      </w:r>
      <w:r w:rsidRPr="00181FCD">
        <w:t>se</w:t>
      </w:r>
      <w:r w:rsidR="00F373A3" w:rsidRPr="00181FCD">
        <w:t xml:space="preserve"> </w:t>
      </w:r>
      <w:r w:rsidRPr="00181FCD">
        <w:t>siguen</w:t>
      </w:r>
      <w:r w:rsidR="00F373A3" w:rsidRPr="00181FCD">
        <w:t xml:space="preserve"> </w:t>
      </w:r>
      <w:r w:rsidRPr="00181FCD">
        <w:t>procedimientos</w:t>
      </w:r>
      <w:r w:rsidR="00F373A3" w:rsidRPr="00181FCD">
        <w:t xml:space="preserve"> </w:t>
      </w:r>
      <w:r w:rsidRPr="00181FCD">
        <w:t>de</w:t>
      </w:r>
      <w:r w:rsidR="00F373A3" w:rsidRPr="00181FCD">
        <w:t xml:space="preserve"> </w:t>
      </w:r>
      <w:r w:rsidRPr="00181FCD">
        <w:t>trabajo</w:t>
      </w:r>
      <w:r w:rsidR="00F373A3" w:rsidRPr="00181FCD">
        <w:t xml:space="preserve"> </w:t>
      </w:r>
      <w:r w:rsidRPr="00181FCD">
        <w:t>normalizados,</w:t>
      </w:r>
      <w:r w:rsidR="00F373A3" w:rsidRPr="00181FCD">
        <w:t xml:space="preserve"> </w:t>
      </w:r>
      <w:r w:rsidRPr="00181FCD">
        <w:t>regulados</w:t>
      </w:r>
      <w:r w:rsidR="00F373A3" w:rsidRPr="00181FCD">
        <w:t xml:space="preserve"> </w:t>
      </w:r>
      <w:r w:rsidRPr="00181FCD">
        <w:t>por</w:t>
      </w:r>
      <w:r w:rsidR="00F373A3" w:rsidRPr="00181FCD">
        <w:t xml:space="preserve"> </w:t>
      </w:r>
      <w:r w:rsidRPr="00181FCD">
        <w:t>el</w:t>
      </w:r>
      <w:r w:rsidR="00F373A3" w:rsidRPr="00181FCD">
        <w:t xml:space="preserve"> </w:t>
      </w:r>
      <w:r w:rsidRPr="00181FCD">
        <w:t>Mecanismo</w:t>
      </w:r>
      <w:r w:rsidR="00F373A3" w:rsidRPr="00181FCD">
        <w:t xml:space="preserve"> </w:t>
      </w:r>
      <w:r w:rsidRPr="00181FCD">
        <w:t>Nacional</w:t>
      </w:r>
      <w:r w:rsidR="00F373A3" w:rsidRPr="00181FCD">
        <w:t xml:space="preserve"> </w:t>
      </w:r>
      <w:r w:rsidRPr="00181FCD">
        <w:t>de</w:t>
      </w:r>
      <w:r w:rsidR="00F373A3" w:rsidRPr="00181FCD">
        <w:t xml:space="preserve"> </w:t>
      </w:r>
      <w:r w:rsidRPr="00181FCD">
        <w:t>Remisión</w:t>
      </w:r>
      <w:r w:rsidR="00F373A3" w:rsidRPr="00181FCD">
        <w:t xml:space="preserve"> </w:t>
      </w:r>
      <w:r w:rsidRPr="00181FCD">
        <w:t>de</w:t>
      </w:r>
      <w:r w:rsidR="00F373A3" w:rsidRPr="00181FCD">
        <w:t xml:space="preserve"> </w:t>
      </w:r>
      <w:r w:rsidRPr="00181FCD">
        <w:t>las</w:t>
      </w:r>
      <w:r w:rsidR="00F373A3" w:rsidRPr="00181FCD">
        <w:t xml:space="preserve"> </w:t>
      </w:r>
      <w:r w:rsidRPr="00181FCD">
        <w:t>Víctimas</w:t>
      </w:r>
      <w:r w:rsidR="00F373A3" w:rsidRPr="00181FCD">
        <w:t xml:space="preserve"> </w:t>
      </w:r>
      <w:r w:rsidRPr="00181FCD">
        <w:t>de</w:t>
      </w:r>
      <w:r w:rsidR="00F373A3" w:rsidRPr="00181FCD">
        <w:t xml:space="preserve"> </w:t>
      </w:r>
      <w:r w:rsidRPr="00181FCD">
        <w:t>la</w:t>
      </w:r>
      <w:r w:rsidR="00F373A3" w:rsidRPr="00181FCD">
        <w:t xml:space="preserve"> </w:t>
      </w:r>
      <w:r w:rsidRPr="00181FCD">
        <w:t>Trata</w:t>
      </w:r>
      <w:r w:rsidR="00F373A3" w:rsidRPr="00181FCD">
        <w:t xml:space="preserve"> </w:t>
      </w:r>
      <w:r w:rsidRPr="00181FCD">
        <w:t>de</w:t>
      </w:r>
      <w:r w:rsidR="00F373A3" w:rsidRPr="00181FCD">
        <w:t xml:space="preserve"> </w:t>
      </w:r>
      <w:r w:rsidRPr="00181FCD">
        <w:t>Personas.</w:t>
      </w:r>
      <w:r w:rsidR="00F373A3" w:rsidRPr="00181FCD">
        <w:t xml:space="preserve"> </w:t>
      </w:r>
      <w:r w:rsidRPr="00181FCD">
        <w:t>Cada</w:t>
      </w:r>
      <w:r w:rsidR="00F373A3" w:rsidRPr="00181FCD">
        <w:t xml:space="preserve"> </w:t>
      </w:r>
      <w:r w:rsidRPr="00181FCD">
        <w:t>albergue</w:t>
      </w:r>
      <w:r w:rsidR="00F373A3" w:rsidRPr="00181FCD">
        <w:t xml:space="preserve"> </w:t>
      </w:r>
      <w:r w:rsidRPr="00181FCD">
        <w:t>tiene</w:t>
      </w:r>
      <w:r w:rsidR="00F373A3" w:rsidRPr="00181FCD">
        <w:t xml:space="preserve"> </w:t>
      </w:r>
      <w:r w:rsidRPr="00181FCD">
        <w:t>una</w:t>
      </w:r>
      <w:r w:rsidR="00F373A3" w:rsidRPr="00181FCD">
        <w:t xml:space="preserve"> </w:t>
      </w:r>
      <w:r w:rsidRPr="00181FCD">
        <w:t>capacidad</w:t>
      </w:r>
      <w:r w:rsidR="00F373A3" w:rsidRPr="00181FCD">
        <w:t xml:space="preserve"> </w:t>
      </w:r>
      <w:r w:rsidRPr="00181FCD">
        <w:t>de</w:t>
      </w:r>
      <w:r w:rsidR="00F14C0B" w:rsidRPr="00181FCD">
        <w:t> </w:t>
      </w:r>
      <w:r w:rsidRPr="00181FCD">
        <w:t>4</w:t>
      </w:r>
      <w:r w:rsidR="00F14C0B" w:rsidRPr="00181FCD">
        <w:t> </w:t>
      </w:r>
      <w:r w:rsidRPr="00181FCD">
        <w:t>+</w:t>
      </w:r>
      <w:r w:rsidR="00F373A3" w:rsidRPr="00181FCD">
        <w:t xml:space="preserve"> </w:t>
      </w:r>
      <w:r w:rsidRPr="00181FCD">
        <w:t>2</w:t>
      </w:r>
      <w:r w:rsidR="00F373A3" w:rsidRPr="00181FCD">
        <w:t xml:space="preserve"> </w:t>
      </w:r>
      <w:r w:rsidRPr="00181FCD">
        <w:t>plazas.</w:t>
      </w:r>
      <w:r w:rsidR="00F373A3" w:rsidRPr="00181FCD">
        <w:t xml:space="preserve"> </w:t>
      </w:r>
      <w:r w:rsidRPr="00181FCD">
        <w:t>Todos</w:t>
      </w:r>
      <w:r w:rsidR="00F373A3" w:rsidRPr="00181FCD">
        <w:t xml:space="preserve"> </w:t>
      </w:r>
      <w:r w:rsidRPr="00181FCD">
        <w:t>disponen</w:t>
      </w:r>
      <w:r w:rsidR="00F373A3" w:rsidRPr="00181FCD">
        <w:t xml:space="preserve"> </w:t>
      </w:r>
      <w:r w:rsidRPr="00181FCD">
        <w:t>de</w:t>
      </w:r>
      <w:r w:rsidR="00F373A3" w:rsidRPr="00181FCD">
        <w:t xml:space="preserve"> </w:t>
      </w:r>
      <w:r w:rsidRPr="00181FCD">
        <w:t>trabajadores</w:t>
      </w:r>
      <w:r w:rsidR="00F373A3" w:rsidRPr="00181FCD">
        <w:t xml:space="preserve"> </w:t>
      </w:r>
      <w:r w:rsidRPr="00181FCD">
        <w:t>sociales,</w:t>
      </w:r>
      <w:r w:rsidR="00F373A3" w:rsidRPr="00181FCD">
        <w:t xml:space="preserve"> </w:t>
      </w:r>
      <w:r w:rsidRPr="00181FCD">
        <w:t>un</w:t>
      </w:r>
      <w:r w:rsidR="00F373A3" w:rsidRPr="00181FCD">
        <w:t xml:space="preserve"> </w:t>
      </w:r>
      <w:r w:rsidRPr="00181FCD">
        <w:t>director</w:t>
      </w:r>
      <w:r w:rsidR="00F373A3" w:rsidRPr="00181FCD">
        <w:t xml:space="preserve"> </w:t>
      </w:r>
      <w:r w:rsidRPr="00181FCD">
        <w:t>y</w:t>
      </w:r>
      <w:r w:rsidR="00F373A3" w:rsidRPr="00181FCD">
        <w:t xml:space="preserve"> </w:t>
      </w:r>
      <w:r w:rsidRPr="00181FCD">
        <w:t>un</w:t>
      </w:r>
      <w:r w:rsidR="00F373A3" w:rsidRPr="00181FCD">
        <w:t xml:space="preserve"> </w:t>
      </w:r>
      <w:r w:rsidRPr="00181FCD">
        <w:t>psicólogo.</w:t>
      </w:r>
      <w:r w:rsidR="00F373A3" w:rsidRPr="00181FCD">
        <w:t xml:space="preserve"> </w:t>
      </w:r>
      <w:r w:rsidRPr="00181FCD">
        <w:t>También</w:t>
      </w:r>
      <w:r w:rsidR="00F373A3" w:rsidRPr="00181FCD">
        <w:t xml:space="preserve"> </w:t>
      </w:r>
      <w:r w:rsidRPr="00181FCD">
        <w:t>cuentan</w:t>
      </w:r>
      <w:r w:rsidR="00F373A3" w:rsidRPr="00181FCD">
        <w:t xml:space="preserve"> </w:t>
      </w:r>
      <w:r w:rsidRPr="00181FCD">
        <w:t>con</w:t>
      </w:r>
      <w:r w:rsidR="00F373A3" w:rsidRPr="00181FCD">
        <w:t xml:space="preserve"> </w:t>
      </w:r>
      <w:r w:rsidRPr="00181FCD">
        <w:t>especialistas</w:t>
      </w:r>
      <w:r w:rsidR="00F373A3" w:rsidRPr="00181FCD">
        <w:t xml:space="preserve"> </w:t>
      </w:r>
      <w:r w:rsidRPr="00181FCD">
        <w:t>externos</w:t>
      </w:r>
      <w:r w:rsidR="00F373A3" w:rsidRPr="00181FCD">
        <w:t xml:space="preserve"> </w:t>
      </w:r>
      <w:r w:rsidR="00D10656" w:rsidRPr="00181FCD">
        <w:t>—</w:t>
      </w:r>
      <w:r w:rsidRPr="00181FCD">
        <w:t>médicos,</w:t>
      </w:r>
      <w:r w:rsidR="00F373A3" w:rsidRPr="00181FCD">
        <w:t xml:space="preserve"> </w:t>
      </w:r>
      <w:r w:rsidRPr="00181FCD">
        <w:t>abogados,</w:t>
      </w:r>
      <w:r w:rsidR="00F373A3" w:rsidRPr="00181FCD">
        <w:t xml:space="preserve"> </w:t>
      </w:r>
      <w:r w:rsidRPr="00181FCD">
        <w:t>etc.</w:t>
      </w:r>
      <w:r w:rsidR="00D10656" w:rsidRPr="00181FCD">
        <w:t>—</w:t>
      </w:r>
      <w:r w:rsidR="00F373A3" w:rsidRPr="00181FCD">
        <w:t xml:space="preserve"> </w:t>
      </w:r>
      <w:r w:rsidRPr="00181FCD">
        <w:t>para</w:t>
      </w:r>
      <w:r w:rsidR="00F373A3" w:rsidRPr="00181FCD">
        <w:t xml:space="preserve"> </w:t>
      </w:r>
      <w:r w:rsidRPr="00181FCD">
        <w:t>cubrir</w:t>
      </w:r>
      <w:r w:rsidR="00F373A3" w:rsidRPr="00181FCD">
        <w:t xml:space="preserve"> </w:t>
      </w:r>
      <w:r w:rsidRPr="00181FCD">
        <w:t>las</w:t>
      </w:r>
      <w:r w:rsidR="00F373A3" w:rsidRPr="00181FCD">
        <w:t xml:space="preserve"> </w:t>
      </w:r>
      <w:r w:rsidRPr="00181FCD">
        <w:t>necesidades</w:t>
      </w:r>
      <w:r w:rsidR="00F373A3" w:rsidRPr="00181FCD">
        <w:t xml:space="preserve"> </w:t>
      </w:r>
      <w:r w:rsidRPr="00181FCD">
        <w:t>específicas</w:t>
      </w:r>
      <w:r w:rsidR="00F373A3" w:rsidRPr="00181FCD">
        <w:t xml:space="preserve"> </w:t>
      </w:r>
      <w:r w:rsidRPr="00181FCD">
        <w:t>de</w:t>
      </w:r>
      <w:r w:rsidR="00F373A3" w:rsidRPr="00181FCD">
        <w:t xml:space="preserve"> </w:t>
      </w:r>
      <w:r w:rsidRPr="00181FCD">
        <w:t>las</w:t>
      </w:r>
      <w:r w:rsidR="00F373A3" w:rsidRPr="00181FCD">
        <w:t xml:space="preserve"> </w:t>
      </w:r>
      <w:r w:rsidRPr="00181FCD">
        <w:t>víctimas.</w:t>
      </w:r>
      <w:r w:rsidR="00F373A3" w:rsidRPr="00181FCD">
        <w:t xml:space="preserve"> </w:t>
      </w:r>
      <w:r w:rsidRPr="00181FCD">
        <w:t>Las</w:t>
      </w:r>
      <w:r w:rsidR="00F373A3" w:rsidRPr="00181FCD">
        <w:t xml:space="preserve"> </w:t>
      </w:r>
      <w:r w:rsidRPr="00181FCD">
        <w:t>actividades</w:t>
      </w:r>
      <w:r w:rsidR="00F373A3" w:rsidRPr="00181FCD">
        <w:t xml:space="preserve"> </w:t>
      </w:r>
      <w:r w:rsidRPr="00181FCD">
        <w:t>de</w:t>
      </w:r>
      <w:r w:rsidR="00F373A3" w:rsidRPr="00181FCD">
        <w:t xml:space="preserve"> </w:t>
      </w:r>
      <w:r w:rsidRPr="00181FCD">
        <w:t>los</w:t>
      </w:r>
      <w:r w:rsidR="00F373A3" w:rsidRPr="00181FCD">
        <w:t xml:space="preserve"> </w:t>
      </w:r>
      <w:r w:rsidRPr="00181FCD">
        <w:t>albergues</w:t>
      </w:r>
      <w:r w:rsidR="00F373A3" w:rsidRPr="00181FCD">
        <w:t xml:space="preserve"> </w:t>
      </w:r>
      <w:r w:rsidRPr="00181FCD">
        <w:t>reciben</w:t>
      </w:r>
      <w:r w:rsidR="00F373A3" w:rsidRPr="00181FCD">
        <w:t xml:space="preserve"> </w:t>
      </w:r>
      <w:r w:rsidRPr="00181FCD">
        <w:t>también</w:t>
      </w:r>
      <w:r w:rsidR="00F373A3" w:rsidRPr="00181FCD">
        <w:t xml:space="preserve"> </w:t>
      </w:r>
      <w:r w:rsidRPr="00181FCD">
        <w:t>apoyo</w:t>
      </w:r>
      <w:r w:rsidR="00F373A3" w:rsidRPr="00181FCD">
        <w:t xml:space="preserve"> </w:t>
      </w:r>
      <w:r w:rsidRPr="00181FCD">
        <w:t>de</w:t>
      </w:r>
      <w:r w:rsidR="00F373A3" w:rsidRPr="00181FCD">
        <w:t xml:space="preserve"> </w:t>
      </w:r>
      <w:r w:rsidRPr="00181FCD">
        <w:t>las</w:t>
      </w:r>
      <w:r w:rsidR="00F373A3" w:rsidRPr="00181FCD">
        <w:t xml:space="preserve"> </w:t>
      </w:r>
      <w:r w:rsidRPr="00181FCD">
        <w:t>comisiones</w:t>
      </w:r>
      <w:r w:rsidR="00F373A3" w:rsidRPr="00181FCD">
        <w:t xml:space="preserve"> </w:t>
      </w:r>
      <w:r w:rsidRPr="00181FCD">
        <w:t>locales</w:t>
      </w:r>
      <w:r w:rsidR="00F373A3" w:rsidRPr="00181FCD">
        <w:t xml:space="preserve"> </w:t>
      </w:r>
      <w:r w:rsidRPr="00181FCD">
        <w:t>de</w:t>
      </w:r>
      <w:r w:rsidR="00F373A3" w:rsidRPr="00181FCD">
        <w:t xml:space="preserve"> </w:t>
      </w:r>
      <w:r w:rsidRPr="00181FCD">
        <w:t>lucha</w:t>
      </w:r>
      <w:r w:rsidR="00F373A3" w:rsidRPr="00181FCD">
        <w:t xml:space="preserve"> </w:t>
      </w:r>
      <w:r w:rsidRPr="00181FCD">
        <w:t>contra</w:t>
      </w:r>
      <w:r w:rsidR="00F373A3" w:rsidRPr="00181FCD">
        <w:t xml:space="preserve"> </w:t>
      </w:r>
      <w:r w:rsidRPr="00181FCD">
        <w:t>la</w:t>
      </w:r>
      <w:r w:rsidR="00F373A3" w:rsidRPr="00181FCD">
        <w:t xml:space="preserve"> </w:t>
      </w:r>
      <w:r w:rsidRPr="00181FCD">
        <w:t>trata.</w:t>
      </w:r>
      <w:r w:rsidR="00F373A3" w:rsidRPr="00181FCD">
        <w:t xml:space="preserve"> </w:t>
      </w:r>
      <w:r w:rsidRPr="00181FCD">
        <w:t>Las</w:t>
      </w:r>
      <w:r w:rsidR="00F373A3" w:rsidRPr="00181FCD">
        <w:t xml:space="preserve"> </w:t>
      </w:r>
      <w:r w:rsidRPr="00181FCD">
        <w:t>víctimas</w:t>
      </w:r>
      <w:r w:rsidR="00F373A3" w:rsidRPr="00181FCD">
        <w:t xml:space="preserve"> </w:t>
      </w:r>
      <w:r w:rsidRPr="00181FCD">
        <w:t>y</w:t>
      </w:r>
      <w:r w:rsidR="00F373A3" w:rsidRPr="00181FCD">
        <w:t xml:space="preserve"> </w:t>
      </w:r>
      <w:r w:rsidRPr="00181FCD">
        <w:t>los</w:t>
      </w:r>
      <w:r w:rsidR="00F373A3" w:rsidRPr="00181FCD">
        <w:t xml:space="preserve"> </w:t>
      </w:r>
      <w:r w:rsidRPr="00181FCD">
        <w:t>testigos</w:t>
      </w:r>
      <w:r w:rsidR="00F373A3" w:rsidRPr="00181FCD">
        <w:t xml:space="preserve"> </w:t>
      </w:r>
      <w:r w:rsidRPr="00181FCD">
        <w:t>permanecen</w:t>
      </w:r>
      <w:r w:rsidR="00F373A3" w:rsidRPr="00181FCD">
        <w:t xml:space="preserve"> </w:t>
      </w:r>
      <w:r w:rsidRPr="00181FCD">
        <w:t>en</w:t>
      </w:r>
      <w:r w:rsidR="00F373A3" w:rsidRPr="00181FCD">
        <w:t xml:space="preserve"> </w:t>
      </w:r>
      <w:r w:rsidRPr="00181FCD">
        <w:t>esos</w:t>
      </w:r>
      <w:r w:rsidR="00F373A3" w:rsidRPr="00181FCD">
        <w:t xml:space="preserve"> </w:t>
      </w:r>
      <w:r w:rsidRPr="00181FCD">
        <w:t>albergues</w:t>
      </w:r>
      <w:r w:rsidR="00F373A3" w:rsidRPr="00181FCD">
        <w:t xml:space="preserve"> </w:t>
      </w:r>
      <w:r w:rsidRPr="00181FCD">
        <w:t>hasta</w:t>
      </w:r>
      <w:r w:rsidR="00F373A3" w:rsidRPr="00181FCD">
        <w:t xml:space="preserve"> </w:t>
      </w:r>
      <w:r w:rsidRPr="00181FCD">
        <w:t>el</w:t>
      </w:r>
      <w:r w:rsidR="00F373A3" w:rsidRPr="00181FCD">
        <w:t xml:space="preserve"> </w:t>
      </w:r>
      <w:r w:rsidRPr="00181FCD">
        <w:t>final</w:t>
      </w:r>
      <w:r w:rsidR="00F373A3" w:rsidRPr="00181FCD">
        <w:t xml:space="preserve"> </w:t>
      </w:r>
      <w:r w:rsidRPr="00181FCD">
        <w:t>de</w:t>
      </w:r>
      <w:r w:rsidR="00F373A3" w:rsidRPr="00181FCD">
        <w:t xml:space="preserve"> </w:t>
      </w:r>
      <w:r w:rsidRPr="00181FCD">
        <w:t>las</w:t>
      </w:r>
      <w:r w:rsidR="00F373A3" w:rsidRPr="00181FCD">
        <w:t xml:space="preserve"> </w:t>
      </w:r>
      <w:r w:rsidRPr="00181FCD">
        <w:t>actuaciones</w:t>
      </w:r>
      <w:r w:rsidR="00F373A3" w:rsidRPr="00181FCD">
        <w:t xml:space="preserve"> </w:t>
      </w:r>
      <w:r w:rsidRPr="00181FCD">
        <w:t>penales</w:t>
      </w:r>
      <w:r w:rsidR="00F373A3" w:rsidRPr="00181FCD">
        <w:t xml:space="preserve"> </w:t>
      </w:r>
      <w:r w:rsidRPr="00181FCD">
        <w:t>(las</w:t>
      </w:r>
      <w:r w:rsidR="00F373A3" w:rsidRPr="00181FCD">
        <w:t xml:space="preserve"> </w:t>
      </w:r>
      <w:r w:rsidRPr="00181FCD">
        <w:t>fases</w:t>
      </w:r>
      <w:r w:rsidR="00F373A3" w:rsidRPr="00181FCD">
        <w:t xml:space="preserve"> </w:t>
      </w:r>
      <w:r w:rsidRPr="00181FCD">
        <w:t>de</w:t>
      </w:r>
      <w:r w:rsidR="00F373A3" w:rsidRPr="00181FCD">
        <w:t xml:space="preserve"> </w:t>
      </w:r>
      <w:r w:rsidRPr="00181FCD">
        <w:t>instrucción</w:t>
      </w:r>
      <w:r w:rsidR="00F373A3" w:rsidRPr="00181FCD">
        <w:t xml:space="preserve"> </w:t>
      </w:r>
      <w:r w:rsidRPr="00181FCD">
        <w:t>y</w:t>
      </w:r>
      <w:r w:rsidR="00F373A3" w:rsidRPr="00181FCD">
        <w:t xml:space="preserve"> </w:t>
      </w:r>
      <w:r w:rsidRPr="00181FCD">
        <w:t>juicio).</w:t>
      </w:r>
      <w:r w:rsidR="00F373A3" w:rsidRPr="00181FCD">
        <w:t xml:space="preserve"> </w:t>
      </w:r>
      <w:r w:rsidRPr="00181FCD">
        <w:t>Ello</w:t>
      </w:r>
      <w:r w:rsidR="00F373A3" w:rsidRPr="00181FCD">
        <w:t xml:space="preserve"> </w:t>
      </w:r>
      <w:r w:rsidRPr="00181FCD">
        <w:t>depende</w:t>
      </w:r>
      <w:r w:rsidR="00F373A3" w:rsidRPr="00181FCD">
        <w:t xml:space="preserve"> </w:t>
      </w:r>
      <w:r w:rsidRPr="00181FCD">
        <w:t>también</w:t>
      </w:r>
      <w:r w:rsidR="00F373A3" w:rsidRPr="00181FCD">
        <w:t xml:space="preserve"> </w:t>
      </w:r>
      <w:r w:rsidRPr="00181FCD">
        <w:t>en</w:t>
      </w:r>
      <w:r w:rsidR="00F373A3" w:rsidRPr="00181FCD">
        <w:t xml:space="preserve"> </w:t>
      </w:r>
      <w:r w:rsidRPr="00181FCD">
        <w:t>gran</w:t>
      </w:r>
      <w:r w:rsidR="00F373A3" w:rsidRPr="00181FCD">
        <w:t xml:space="preserve"> </w:t>
      </w:r>
      <w:r w:rsidRPr="00181FCD">
        <w:t>medida</w:t>
      </w:r>
      <w:r w:rsidR="00F373A3" w:rsidRPr="00181FCD">
        <w:t xml:space="preserve"> </w:t>
      </w:r>
      <w:r w:rsidRPr="00181FCD">
        <w:t>de</w:t>
      </w:r>
      <w:r w:rsidR="00F373A3" w:rsidRPr="00181FCD">
        <w:t xml:space="preserve"> </w:t>
      </w:r>
      <w:r w:rsidRPr="00181FCD">
        <w:t>la</w:t>
      </w:r>
      <w:r w:rsidR="00F373A3" w:rsidRPr="00181FCD">
        <w:t xml:space="preserve"> </w:t>
      </w:r>
      <w:r w:rsidRPr="00181FCD">
        <w:t>voluntad</w:t>
      </w:r>
      <w:r w:rsidR="00F373A3" w:rsidRPr="00181FCD">
        <w:t xml:space="preserve"> </w:t>
      </w:r>
      <w:r w:rsidRPr="00181FCD">
        <w:t>y</w:t>
      </w:r>
      <w:r w:rsidR="00F373A3" w:rsidRPr="00181FCD">
        <w:t xml:space="preserve"> </w:t>
      </w:r>
      <w:r w:rsidRPr="00181FCD">
        <w:t>disposición</w:t>
      </w:r>
      <w:r w:rsidR="00F373A3" w:rsidRPr="00181FCD">
        <w:t xml:space="preserve"> </w:t>
      </w:r>
      <w:r w:rsidRPr="00181FCD">
        <w:t>de</w:t>
      </w:r>
      <w:r w:rsidR="00F373A3" w:rsidRPr="00181FCD">
        <w:t xml:space="preserve"> </w:t>
      </w:r>
      <w:r w:rsidRPr="00181FCD">
        <w:t>las</w:t>
      </w:r>
      <w:r w:rsidR="00F373A3" w:rsidRPr="00181FCD">
        <w:t xml:space="preserve"> </w:t>
      </w:r>
      <w:r w:rsidRPr="00181FCD">
        <w:t>víctimas</w:t>
      </w:r>
      <w:r w:rsidR="00F373A3" w:rsidRPr="00181FCD">
        <w:t xml:space="preserve"> </w:t>
      </w:r>
      <w:r w:rsidRPr="00181FCD">
        <w:t>para</w:t>
      </w:r>
      <w:r w:rsidR="00F373A3" w:rsidRPr="00181FCD">
        <w:t xml:space="preserve"> </w:t>
      </w:r>
      <w:r w:rsidRPr="00181FCD">
        <w:t>su</w:t>
      </w:r>
      <w:r w:rsidR="00F373A3" w:rsidRPr="00181FCD">
        <w:t xml:space="preserve"> </w:t>
      </w:r>
      <w:r w:rsidRPr="00181FCD">
        <w:t>reintegración.</w:t>
      </w:r>
    </w:p>
    <w:p w:rsidR="001937F4" w:rsidRPr="00181FCD" w:rsidRDefault="001937F4" w:rsidP="00347B20">
      <w:pPr>
        <w:pStyle w:val="SingleTxtG"/>
        <w:suppressAutoHyphens/>
      </w:pPr>
      <w:r w:rsidRPr="00181FCD">
        <w:t>214.</w:t>
      </w:r>
      <w:r w:rsidRPr="00181FCD">
        <w:tab/>
        <w:t>Siguen</w:t>
      </w:r>
      <w:r w:rsidR="00F373A3" w:rsidRPr="00181FCD">
        <w:t xml:space="preserve"> </w:t>
      </w:r>
      <w:r w:rsidRPr="00181FCD">
        <w:t>en</w:t>
      </w:r>
      <w:r w:rsidR="00F373A3" w:rsidRPr="00181FCD">
        <w:t xml:space="preserve"> </w:t>
      </w:r>
      <w:r w:rsidRPr="00181FCD">
        <w:t>funcionamiento</w:t>
      </w:r>
      <w:r w:rsidR="00F373A3" w:rsidRPr="00181FCD">
        <w:t xml:space="preserve"> </w:t>
      </w:r>
      <w:r w:rsidRPr="00181FCD">
        <w:t>dos</w:t>
      </w:r>
      <w:r w:rsidR="00F373A3" w:rsidRPr="00181FCD">
        <w:t xml:space="preserve"> </w:t>
      </w:r>
      <w:r w:rsidRPr="00181FCD">
        <w:t>albergues</w:t>
      </w:r>
      <w:r w:rsidR="00F373A3" w:rsidRPr="00181FCD">
        <w:t xml:space="preserve"> </w:t>
      </w:r>
      <w:r w:rsidRPr="00181FCD">
        <w:t>para</w:t>
      </w:r>
      <w:r w:rsidR="00F373A3" w:rsidRPr="00181FCD">
        <w:t xml:space="preserve"> </w:t>
      </w:r>
      <w:r w:rsidRPr="00181FCD">
        <w:t>el</w:t>
      </w:r>
      <w:r w:rsidR="00F373A3" w:rsidRPr="00181FCD">
        <w:t xml:space="preserve"> </w:t>
      </w:r>
      <w:r w:rsidRPr="00181FCD">
        <w:t>alojamiento</w:t>
      </w:r>
      <w:r w:rsidR="00F373A3" w:rsidRPr="00181FCD">
        <w:t xml:space="preserve"> </w:t>
      </w:r>
      <w:r w:rsidRPr="00181FCD">
        <w:t>temporal</w:t>
      </w:r>
      <w:r w:rsidR="00F373A3" w:rsidRPr="00181FCD">
        <w:t xml:space="preserve"> </w:t>
      </w:r>
      <w:r w:rsidRPr="00181FCD">
        <w:t>de</w:t>
      </w:r>
      <w:r w:rsidR="00F373A3" w:rsidRPr="00181FCD">
        <w:t xml:space="preserve"> </w:t>
      </w:r>
      <w:r w:rsidRPr="00181FCD">
        <w:t>mujeres</w:t>
      </w:r>
      <w:r w:rsidR="00F373A3" w:rsidRPr="00181FCD">
        <w:t xml:space="preserve"> </w:t>
      </w:r>
      <w:r w:rsidRPr="00181FCD">
        <w:t>adultas</w:t>
      </w:r>
      <w:r w:rsidR="00F373A3" w:rsidRPr="00181FCD">
        <w:t xml:space="preserve"> </w:t>
      </w:r>
      <w:r w:rsidRPr="00181FCD">
        <w:t>víctimas</w:t>
      </w:r>
      <w:r w:rsidR="00F373A3" w:rsidRPr="00181FCD">
        <w:t xml:space="preserve"> </w:t>
      </w:r>
      <w:r w:rsidRPr="00181FCD">
        <w:t>de</w:t>
      </w:r>
      <w:r w:rsidR="00F373A3" w:rsidRPr="00181FCD">
        <w:t xml:space="preserve"> </w:t>
      </w:r>
      <w:r w:rsidRPr="00181FCD">
        <w:t>la</w:t>
      </w:r>
      <w:r w:rsidR="00F373A3" w:rsidRPr="00181FCD">
        <w:t xml:space="preserve"> </w:t>
      </w:r>
      <w:r w:rsidRPr="00181FCD">
        <w:t>trata.</w:t>
      </w:r>
      <w:r w:rsidR="00F373A3" w:rsidRPr="00181FCD">
        <w:t xml:space="preserve"> </w:t>
      </w:r>
      <w:r w:rsidRPr="00181FCD">
        <w:t>Se</w:t>
      </w:r>
      <w:r w:rsidR="00F373A3" w:rsidRPr="00181FCD">
        <w:t xml:space="preserve"> </w:t>
      </w:r>
      <w:r w:rsidRPr="00181FCD">
        <w:t>financian</w:t>
      </w:r>
      <w:r w:rsidR="00F373A3" w:rsidRPr="00181FCD">
        <w:t xml:space="preserve"> </w:t>
      </w:r>
      <w:r w:rsidRPr="00181FCD">
        <w:t>con</w:t>
      </w:r>
      <w:r w:rsidR="00F373A3" w:rsidRPr="00181FCD">
        <w:t xml:space="preserve"> </w:t>
      </w:r>
      <w:r w:rsidRPr="00181FCD">
        <w:t>cargo</w:t>
      </w:r>
      <w:r w:rsidR="00F373A3" w:rsidRPr="00181FCD">
        <w:t xml:space="preserve"> </w:t>
      </w:r>
      <w:r w:rsidRPr="00181FCD">
        <w:t>al</w:t>
      </w:r>
      <w:r w:rsidR="00F373A3" w:rsidRPr="00181FCD">
        <w:t xml:space="preserve"> </w:t>
      </w:r>
      <w:r w:rsidRPr="00181FCD">
        <w:t>presupuesto</w:t>
      </w:r>
      <w:r w:rsidR="00F373A3" w:rsidRPr="00181FCD">
        <w:t xml:space="preserve"> </w:t>
      </w:r>
      <w:r w:rsidRPr="00181FCD">
        <w:t>de</w:t>
      </w:r>
      <w:r w:rsidR="00F373A3" w:rsidRPr="00181FCD">
        <w:t xml:space="preserve"> </w:t>
      </w:r>
      <w:r w:rsidRPr="00181FCD">
        <w:t>la</w:t>
      </w:r>
      <w:r w:rsidR="00F373A3" w:rsidRPr="00181FCD">
        <w:t xml:space="preserve"> </w:t>
      </w:r>
      <w:r w:rsidRPr="00181FCD">
        <w:t>Comisión</w:t>
      </w:r>
      <w:r w:rsidR="00F373A3" w:rsidRPr="00181FCD">
        <w:t xml:space="preserve"> </w:t>
      </w:r>
      <w:r w:rsidRPr="00181FCD">
        <w:t>Nacional</w:t>
      </w:r>
      <w:r w:rsidR="00F14C0B" w:rsidRPr="00181FCD">
        <w:t> </w:t>
      </w:r>
      <w:r w:rsidRPr="00181FCD">
        <w:t>de</w:t>
      </w:r>
      <w:r w:rsidR="00F373A3" w:rsidRPr="00181FCD">
        <w:t xml:space="preserve"> </w:t>
      </w:r>
      <w:r w:rsidRPr="00181FCD">
        <w:t>Lucha</w:t>
      </w:r>
      <w:r w:rsidR="00F373A3" w:rsidRPr="00181FCD">
        <w:t xml:space="preserve"> </w:t>
      </w:r>
      <w:r w:rsidRPr="00181FCD">
        <w:t>contra</w:t>
      </w:r>
      <w:r w:rsidR="00F373A3" w:rsidRPr="00181FCD">
        <w:t xml:space="preserve"> </w:t>
      </w:r>
      <w:r w:rsidRPr="00181FCD">
        <w:t>la</w:t>
      </w:r>
      <w:r w:rsidR="00F373A3" w:rsidRPr="00181FCD">
        <w:t xml:space="preserve"> </w:t>
      </w:r>
      <w:r w:rsidRPr="00181FCD">
        <w:t>Trata</w:t>
      </w:r>
      <w:r w:rsidR="00F373A3" w:rsidRPr="00181FCD">
        <w:t xml:space="preserve"> </w:t>
      </w:r>
      <w:r w:rsidRPr="00181FCD">
        <w:t>de</w:t>
      </w:r>
      <w:r w:rsidR="00F373A3" w:rsidRPr="00181FCD">
        <w:t xml:space="preserve"> </w:t>
      </w:r>
      <w:r w:rsidRPr="00181FCD">
        <w:t>Personas.</w:t>
      </w:r>
      <w:r w:rsidR="00F373A3" w:rsidRPr="00181FCD">
        <w:t xml:space="preserve"> </w:t>
      </w:r>
      <w:r w:rsidRPr="00181FCD">
        <w:t>En</w:t>
      </w:r>
      <w:r w:rsidR="00F373A3" w:rsidRPr="00181FCD">
        <w:t xml:space="preserve"> </w:t>
      </w:r>
      <w:r w:rsidRPr="00181FCD">
        <w:t>septiembre</w:t>
      </w:r>
      <w:r w:rsidR="00F373A3" w:rsidRPr="00181FCD">
        <w:t xml:space="preserve"> </w:t>
      </w:r>
      <w:r w:rsidRPr="00181FCD">
        <w:t>de</w:t>
      </w:r>
      <w:r w:rsidR="00F373A3" w:rsidRPr="00181FCD">
        <w:t xml:space="preserve"> </w:t>
      </w:r>
      <w:r w:rsidRPr="00181FCD">
        <w:t>2014</w:t>
      </w:r>
      <w:r w:rsidR="00F373A3" w:rsidRPr="00181FCD">
        <w:t xml:space="preserve"> </w:t>
      </w:r>
      <w:r w:rsidRPr="00181FCD">
        <w:t>estos</w:t>
      </w:r>
      <w:r w:rsidR="00F373A3" w:rsidRPr="00181FCD">
        <w:t xml:space="preserve"> </w:t>
      </w:r>
      <w:r w:rsidRPr="00181FCD">
        <w:t>albergues</w:t>
      </w:r>
      <w:r w:rsidR="00F373A3" w:rsidRPr="00181FCD">
        <w:t xml:space="preserve"> </w:t>
      </w:r>
      <w:r w:rsidRPr="00181FCD">
        <w:t>acogían</w:t>
      </w:r>
      <w:r w:rsidR="00F373A3" w:rsidRPr="00181FCD">
        <w:t xml:space="preserve"> </w:t>
      </w:r>
      <w:r w:rsidRPr="00181FCD">
        <w:t>a</w:t>
      </w:r>
      <w:r w:rsidR="00F373A3" w:rsidRPr="00181FCD">
        <w:t xml:space="preserve"> </w:t>
      </w:r>
      <w:r w:rsidRPr="00181FCD">
        <w:t>15</w:t>
      </w:r>
      <w:r w:rsidR="00F373A3" w:rsidRPr="00181FCD">
        <w:t xml:space="preserve"> </w:t>
      </w:r>
      <w:r w:rsidRPr="00181FCD">
        <w:t>mujeres</w:t>
      </w:r>
      <w:r w:rsidR="00F373A3" w:rsidRPr="00181FCD">
        <w:t xml:space="preserve"> </w:t>
      </w:r>
      <w:r w:rsidRPr="00181FCD">
        <w:t>víctimas.</w:t>
      </w:r>
      <w:r w:rsidR="00F373A3" w:rsidRPr="00181FCD">
        <w:t xml:space="preserve"> </w:t>
      </w:r>
      <w:r w:rsidRPr="00181FCD">
        <w:t>A</w:t>
      </w:r>
      <w:r w:rsidR="00F373A3" w:rsidRPr="00181FCD">
        <w:t xml:space="preserve"> </w:t>
      </w:r>
      <w:r w:rsidRPr="00181FCD">
        <w:t>modo</w:t>
      </w:r>
      <w:r w:rsidR="00F373A3" w:rsidRPr="00181FCD">
        <w:t xml:space="preserve"> </w:t>
      </w:r>
      <w:r w:rsidRPr="00181FCD">
        <w:t>de</w:t>
      </w:r>
      <w:r w:rsidR="00F373A3" w:rsidRPr="00181FCD">
        <w:t xml:space="preserve"> </w:t>
      </w:r>
      <w:r w:rsidRPr="00181FCD">
        <w:t>comparación,</w:t>
      </w:r>
      <w:r w:rsidR="00F373A3" w:rsidRPr="00181FCD">
        <w:t xml:space="preserve"> </w:t>
      </w:r>
      <w:r w:rsidRPr="00181FCD">
        <w:t>la</w:t>
      </w:r>
      <w:r w:rsidR="00F373A3" w:rsidRPr="00181FCD">
        <w:t xml:space="preserve"> </w:t>
      </w:r>
      <w:r w:rsidRPr="00181FCD">
        <w:t>cifra</w:t>
      </w:r>
      <w:r w:rsidR="00F373A3" w:rsidRPr="00181FCD">
        <w:t xml:space="preserve"> </w:t>
      </w:r>
      <w:r w:rsidRPr="00181FCD">
        <w:t>de</w:t>
      </w:r>
      <w:r w:rsidR="00F373A3" w:rsidRPr="00181FCD">
        <w:t xml:space="preserve"> </w:t>
      </w:r>
      <w:r w:rsidRPr="00181FCD">
        <w:t>mujeres</w:t>
      </w:r>
      <w:r w:rsidR="00F373A3" w:rsidRPr="00181FCD">
        <w:t xml:space="preserve"> </w:t>
      </w:r>
      <w:r w:rsidRPr="00181FCD">
        <w:t>que</w:t>
      </w:r>
      <w:r w:rsidR="00F373A3" w:rsidRPr="00181FCD">
        <w:t xml:space="preserve"> </w:t>
      </w:r>
      <w:r w:rsidRPr="00181FCD">
        <w:t>recibieron</w:t>
      </w:r>
      <w:r w:rsidR="00F373A3" w:rsidRPr="00181FCD">
        <w:t xml:space="preserve"> </w:t>
      </w:r>
      <w:r w:rsidRPr="00181FCD">
        <w:t>apoyo</w:t>
      </w:r>
      <w:r w:rsidR="00F373A3" w:rsidRPr="00181FCD">
        <w:t xml:space="preserve"> </w:t>
      </w:r>
      <w:r w:rsidRPr="00181FCD">
        <w:t>a</w:t>
      </w:r>
      <w:r w:rsidR="00F373A3" w:rsidRPr="00181FCD">
        <w:t xml:space="preserve"> </w:t>
      </w:r>
      <w:r w:rsidRPr="00181FCD">
        <w:t>largo</w:t>
      </w:r>
      <w:r w:rsidR="00F373A3" w:rsidRPr="00181FCD">
        <w:t xml:space="preserve"> </w:t>
      </w:r>
      <w:r w:rsidRPr="00181FCD">
        <w:t>plazo</w:t>
      </w:r>
      <w:r w:rsidR="00F373A3" w:rsidRPr="00181FCD">
        <w:t xml:space="preserve"> </w:t>
      </w:r>
      <w:r w:rsidRPr="00181FCD">
        <w:t>fue</w:t>
      </w:r>
      <w:r w:rsidR="00F373A3" w:rsidRPr="00181FCD">
        <w:t xml:space="preserve"> </w:t>
      </w:r>
      <w:r w:rsidRPr="00181FCD">
        <w:t>de</w:t>
      </w:r>
      <w:r w:rsidR="00F373A3" w:rsidRPr="00181FCD">
        <w:t xml:space="preserve"> </w:t>
      </w:r>
      <w:r w:rsidRPr="00181FCD">
        <w:t>29</w:t>
      </w:r>
      <w:r w:rsidR="00F373A3" w:rsidRPr="00181FCD">
        <w:t xml:space="preserve"> </w:t>
      </w:r>
      <w:r w:rsidRPr="00181FCD">
        <w:t>en</w:t>
      </w:r>
      <w:r w:rsidR="00F373A3" w:rsidRPr="00181FCD">
        <w:t xml:space="preserve"> </w:t>
      </w:r>
      <w:r w:rsidRPr="00181FCD">
        <w:t>2013;</w:t>
      </w:r>
      <w:r w:rsidR="00F373A3" w:rsidRPr="00181FCD">
        <w:t xml:space="preserve"> </w:t>
      </w:r>
      <w:r w:rsidRPr="00181FCD">
        <w:t>de</w:t>
      </w:r>
      <w:r w:rsidR="00F373A3" w:rsidRPr="00181FCD">
        <w:t xml:space="preserve"> </w:t>
      </w:r>
      <w:r w:rsidRPr="00181FCD">
        <w:t>24</w:t>
      </w:r>
      <w:r w:rsidR="00F373A3" w:rsidRPr="00181FCD">
        <w:t xml:space="preserve"> </w:t>
      </w:r>
      <w:r w:rsidRPr="00181FCD">
        <w:t>en</w:t>
      </w:r>
      <w:r w:rsidR="00F373A3" w:rsidRPr="00181FCD">
        <w:t xml:space="preserve"> </w:t>
      </w:r>
      <w:r w:rsidRPr="00181FCD">
        <w:t>2012;</w:t>
      </w:r>
      <w:r w:rsidR="00F373A3" w:rsidRPr="00181FCD">
        <w:t xml:space="preserve"> </w:t>
      </w:r>
      <w:r w:rsidRPr="00181FCD">
        <w:t>y</w:t>
      </w:r>
      <w:r w:rsidR="00F373A3" w:rsidRPr="00181FCD">
        <w:t xml:space="preserve"> </w:t>
      </w:r>
      <w:r w:rsidRPr="00181FCD">
        <w:t>de</w:t>
      </w:r>
      <w:r w:rsidR="00F373A3" w:rsidRPr="00181FCD">
        <w:t xml:space="preserve"> </w:t>
      </w:r>
      <w:r w:rsidRPr="00181FCD">
        <w:t>22</w:t>
      </w:r>
      <w:r w:rsidR="00F373A3" w:rsidRPr="00181FCD">
        <w:t xml:space="preserve"> </w:t>
      </w:r>
      <w:r w:rsidRPr="00181FCD">
        <w:t>en</w:t>
      </w:r>
      <w:r w:rsidR="00F373A3" w:rsidRPr="00181FCD">
        <w:t xml:space="preserve"> </w:t>
      </w:r>
      <w:r w:rsidRPr="00181FCD">
        <w:t>2011.</w:t>
      </w:r>
    </w:p>
    <w:p w:rsidR="001937F4" w:rsidRPr="00181FCD" w:rsidRDefault="001937F4" w:rsidP="00347B20">
      <w:pPr>
        <w:pStyle w:val="SingleTxtG"/>
        <w:suppressAutoHyphens/>
      </w:pPr>
      <w:r w:rsidRPr="00181FCD">
        <w:t>215.</w:t>
      </w:r>
      <w:r w:rsidRPr="00181FCD">
        <w:tab/>
        <w:t>Como</w:t>
      </w:r>
      <w:r w:rsidR="00F373A3" w:rsidRPr="00181FCD">
        <w:t xml:space="preserve"> </w:t>
      </w:r>
      <w:r w:rsidRPr="00181FCD">
        <w:t>ya</w:t>
      </w:r>
      <w:r w:rsidR="00F373A3" w:rsidRPr="00181FCD">
        <w:t xml:space="preserve"> </w:t>
      </w:r>
      <w:r w:rsidRPr="00181FCD">
        <w:t>se</w:t>
      </w:r>
      <w:r w:rsidR="00F373A3" w:rsidRPr="00181FCD">
        <w:t xml:space="preserve"> </w:t>
      </w:r>
      <w:r w:rsidRPr="00181FCD">
        <w:t>ha</w:t>
      </w:r>
      <w:r w:rsidR="00F373A3" w:rsidRPr="00181FCD">
        <w:t xml:space="preserve"> </w:t>
      </w:r>
      <w:r w:rsidRPr="00181FCD">
        <w:t>señalado,</w:t>
      </w:r>
      <w:r w:rsidR="00F373A3" w:rsidRPr="00181FCD">
        <w:t xml:space="preserve"> </w:t>
      </w:r>
      <w:r w:rsidRPr="00181FCD">
        <w:t>en</w:t>
      </w:r>
      <w:r w:rsidR="00F373A3" w:rsidRPr="00181FCD">
        <w:t xml:space="preserve"> </w:t>
      </w:r>
      <w:r w:rsidRPr="00181FCD">
        <w:t>la</w:t>
      </w:r>
      <w:r w:rsidR="00F373A3" w:rsidRPr="00181FCD">
        <w:t xml:space="preserve"> </w:t>
      </w:r>
      <w:r w:rsidRPr="00181FCD">
        <w:t>República</w:t>
      </w:r>
      <w:r w:rsidR="00F373A3" w:rsidRPr="00181FCD">
        <w:t xml:space="preserve"> </w:t>
      </w:r>
      <w:r w:rsidRPr="00181FCD">
        <w:t>de</w:t>
      </w:r>
      <w:r w:rsidR="00F373A3" w:rsidRPr="00181FCD">
        <w:t xml:space="preserve"> </w:t>
      </w:r>
      <w:r w:rsidRPr="00181FCD">
        <w:t>Bulgaria</w:t>
      </w:r>
      <w:r w:rsidR="00F373A3" w:rsidRPr="00181FCD">
        <w:t xml:space="preserve"> </w:t>
      </w:r>
      <w:r w:rsidRPr="00181FCD">
        <w:t>existen</w:t>
      </w:r>
      <w:r w:rsidR="00F373A3" w:rsidRPr="00181FCD">
        <w:t xml:space="preserve"> </w:t>
      </w:r>
      <w:r w:rsidRPr="00181FCD">
        <w:t>centros</w:t>
      </w:r>
      <w:r w:rsidR="00F373A3" w:rsidRPr="00181FCD">
        <w:t xml:space="preserve"> </w:t>
      </w:r>
      <w:r w:rsidRPr="00181FCD">
        <w:t>de</w:t>
      </w:r>
      <w:r w:rsidR="00F373A3" w:rsidRPr="00181FCD">
        <w:t xml:space="preserve"> </w:t>
      </w:r>
      <w:r w:rsidRPr="00181FCD">
        <w:t>crisis</w:t>
      </w:r>
      <w:r w:rsidR="00F373A3" w:rsidRPr="00181FCD">
        <w:t xml:space="preserve"> </w:t>
      </w:r>
      <w:r w:rsidRPr="00181FCD">
        <w:t>para</w:t>
      </w:r>
      <w:r w:rsidR="00F373A3" w:rsidRPr="00181FCD">
        <w:t xml:space="preserve"> </w:t>
      </w:r>
      <w:r w:rsidRPr="00181FCD">
        <w:t>los</w:t>
      </w:r>
      <w:r w:rsidR="00F373A3" w:rsidRPr="00181FCD">
        <w:t xml:space="preserve"> </w:t>
      </w:r>
      <w:r w:rsidRPr="00181FCD">
        <w:t>niños</w:t>
      </w:r>
      <w:r w:rsidR="00F373A3" w:rsidRPr="00181FCD">
        <w:t xml:space="preserve"> </w:t>
      </w:r>
      <w:r w:rsidRPr="00181FCD">
        <w:t>víctimas</w:t>
      </w:r>
      <w:r w:rsidR="00F373A3" w:rsidRPr="00181FCD">
        <w:t xml:space="preserve"> </w:t>
      </w:r>
      <w:r w:rsidRPr="00181FCD">
        <w:t>de</w:t>
      </w:r>
      <w:r w:rsidR="00F373A3" w:rsidRPr="00181FCD">
        <w:t xml:space="preserve"> </w:t>
      </w:r>
      <w:r w:rsidRPr="00181FCD">
        <w:t>la</w:t>
      </w:r>
      <w:r w:rsidR="00F373A3" w:rsidRPr="00181FCD">
        <w:t xml:space="preserve"> </w:t>
      </w:r>
      <w:r w:rsidRPr="00181FCD">
        <w:t>violencia</w:t>
      </w:r>
      <w:r w:rsidR="00F373A3" w:rsidRPr="00181FCD">
        <w:t xml:space="preserve"> </w:t>
      </w:r>
      <w:r w:rsidRPr="00181FCD">
        <w:t>y</w:t>
      </w:r>
      <w:r w:rsidR="00F373A3" w:rsidRPr="00181FCD">
        <w:t xml:space="preserve"> </w:t>
      </w:r>
      <w:r w:rsidRPr="00181FCD">
        <w:t>de</w:t>
      </w:r>
      <w:r w:rsidR="00F373A3" w:rsidRPr="00181FCD">
        <w:t xml:space="preserve"> </w:t>
      </w:r>
      <w:r w:rsidRPr="00181FCD">
        <w:t>la</w:t>
      </w:r>
      <w:r w:rsidR="00F373A3" w:rsidRPr="00181FCD">
        <w:t xml:space="preserve"> </w:t>
      </w:r>
      <w:r w:rsidRPr="00181FCD">
        <w:t>trata</w:t>
      </w:r>
      <w:r w:rsidR="00F373A3" w:rsidRPr="00181FCD">
        <w:t xml:space="preserve"> </w:t>
      </w:r>
      <w:r w:rsidRPr="00181FCD">
        <w:t>de</w:t>
      </w:r>
      <w:r w:rsidR="00F373A3" w:rsidRPr="00181FCD">
        <w:t xml:space="preserve"> </w:t>
      </w:r>
      <w:r w:rsidRPr="00181FCD">
        <w:t>seres</w:t>
      </w:r>
      <w:r w:rsidR="00F373A3" w:rsidRPr="00181FCD">
        <w:t xml:space="preserve"> </w:t>
      </w:r>
      <w:r w:rsidRPr="00181FCD">
        <w:t>humanos,</w:t>
      </w:r>
      <w:r w:rsidR="00F373A3" w:rsidRPr="00181FCD">
        <w:t xml:space="preserve"> </w:t>
      </w:r>
      <w:r w:rsidRPr="00181FCD">
        <w:t>así</w:t>
      </w:r>
      <w:r w:rsidR="00F373A3" w:rsidRPr="00181FCD">
        <w:t xml:space="preserve"> </w:t>
      </w:r>
      <w:r w:rsidRPr="00181FCD">
        <w:t>como</w:t>
      </w:r>
      <w:r w:rsidR="00F373A3" w:rsidRPr="00181FCD">
        <w:t xml:space="preserve"> </w:t>
      </w:r>
      <w:r w:rsidRPr="00181FCD">
        <w:t>centros</w:t>
      </w:r>
      <w:r w:rsidR="00F373A3" w:rsidRPr="00181FCD">
        <w:t xml:space="preserve"> </w:t>
      </w:r>
      <w:r w:rsidRPr="00181FCD">
        <w:t>mixtos,</w:t>
      </w:r>
      <w:r w:rsidR="00672EC2" w:rsidRPr="00181FCD">
        <w:t xml:space="preserve"> </w:t>
      </w:r>
      <w:r w:rsidRPr="00181FCD">
        <w:t>para</w:t>
      </w:r>
      <w:r w:rsidR="00F373A3" w:rsidRPr="00181FCD">
        <w:t xml:space="preserve"> </w:t>
      </w:r>
      <w:r w:rsidRPr="00181FCD">
        <w:t>niños</w:t>
      </w:r>
      <w:r w:rsidR="00F373A3" w:rsidRPr="00181FCD">
        <w:t xml:space="preserve"> </w:t>
      </w:r>
      <w:r w:rsidRPr="00181FCD">
        <w:t>y</w:t>
      </w:r>
      <w:r w:rsidR="00F373A3" w:rsidRPr="00181FCD">
        <w:t xml:space="preserve"> </w:t>
      </w:r>
      <w:r w:rsidRPr="00181FCD">
        <w:t>mujeres.</w:t>
      </w:r>
      <w:r w:rsidR="00F373A3" w:rsidRPr="00181FCD">
        <w:t xml:space="preserve"> </w:t>
      </w:r>
      <w:r w:rsidRPr="00181FCD">
        <w:t>Casi</w:t>
      </w:r>
      <w:r w:rsidR="00F373A3" w:rsidRPr="00181FCD">
        <w:t xml:space="preserve"> </w:t>
      </w:r>
      <w:r w:rsidRPr="00181FCD">
        <w:t>todas</w:t>
      </w:r>
      <w:r w:rsidR="00F373A3" w:rsidRPr="00181FCD">
        <w:t xml:space="preserve"> </w:t>
      </w:r>
      <w:r w:rsidRPr="00181FCD">
        <w:t>las</w:t>
      </w:r>
      <w:r w:rsidR="00F373A3" w:rsidRPr="00181FCD">
        <w:t xml:space="preserve"> </w:t>
      </w:r>
      <w:r w:rsidRPr="00181FCD">
        <w:t>ONG</w:t>
      </w:r>
      <w:r w:rsidR="00F373A3" w:rsidRPr="00181FCD">
        <w:t xml:space="preserve"> </w:t>
      </w:r>
      <w:r w:rsidRPr="00181FCD">
        <w:t>que</w:t>
      </w:r>
      <w:r w:rsidR="00F373A3" w:rsidRPr="00181FCD">
        <w:t xml:space="preserve"> </w:t>
      </w:r>
      <w:r w:rsidRPr="00181FCD">
        <w:t>proporcionan</w:t>
      </w:r>
      <w:r w:rsidR="00F373A3" w:rsidRPr="00181FCD">
        <w:t xml:space="preserve"> </w:t>
      </w:r>
      <w:r w:rsidRPr="00181FCD">
        <w:t>servicios</w:t>
      </w:r>
      <w:r w:rsidR="00F373A3" w:rsidRPr="00181FCD">
        <w:t xml:space="preserve"> </w:t>
      </w:r>
      <w:r w:rsidRPr="00181FCD">
        <w:t>de</w:t>
      </w:r>
      <w:r w:rsidR="00F373A3" w:rsidRPr="00181FCD">
        <w:t xml:space="preserve"> "</w:t>
      </w:r>
      <w:r w:rsidRPr="00181FCD">
        <w:t>centro</w:t>
      </w:r>
      <w:r w:rsidR="00F373A3" w:rsidRPr="00181FCD">
        <w:t xml:space="preserve"> </w:t>
      </w:r>
      <w:r w:rsidRPr="00181FCD">
        <w:t>de</w:t>
      </w:r>
      <w:r w:rsidR="00F373A3" w:rsidRPr="00181FCD">
        <w:t xml:space="preserve"> </w:t>
      </w:r>
      <w:r w:rsidRPr="00181FCD">
        <w:t>crisis</w:t>
      </w:r>
      <w:r w:rsidR="00F373A3" w:rsidRPr="00181FCD">
        <w:t xml:space="preserve">" </w:t>
      </w:r>
      <w:r w:rsidRPr="00181FCD">
        <w:t>están</w:t>
      </w:r>
      <w:r w:rsidR="00F373A3" w:rsidRPr="00181FCD">
        <w:t xml:space="preserve"> </w:t>
      </w:r>
      <w:r w:rsidRPr="00181FCD">
        <w:t>unidas</w:t>
      </w:r>
      <w:r w:rsidR="00F373A3" w:rsidRPr="00181FCD">
        <w:t xml:space="preserve"> </w:t>
      </w:r>
      <w:r w:rsidRPr="00181FCD">
        <w:t>en</w:t>
      </w:r>
      <w:r w:rsidR="00F373A3" w:rsidRPr="00181FCD">
        <w:t xml:space="preserve"> </w:t>
      </w:r>
      <w:r w:rsidRPr="00181FCD">
        <w:t>la</w:t>
      </w:r>
      <w:r w:rsidR="00F373A3" w:rsidRPr="00181FCD">
        <w:t xml:space="preserve"> </w:t>
      </w:r>
      <w:r w:rsidRPr="00181FCD">
        <w:t>llamada</w:t>
      </w:r>
      <w:r w:rsidR="00F373A3" w:rsidRPr="00181FCD">
        <w:t xml:space="preserve"> </w:t>
      </w:r>
      <w:r w:rsidRPr="00181FCD">
        <w:t>Alianza</w:t>
      </w:r>
      <w:r w:rsidR="00F373A3" w:rsidRPr="00181FCD">
        <w:t xml:space="preserve"> </w:t>
      </w:r>
      <w:r w:rsidRPr="00181FCD">
        <w:t>para</w:t>
      </w:r>
      <w:r w:rsidR="00F373A3" w:rsidRPr="00181FCD">
        <w:t xml:space="preserve"> </w:t>
      </w:r>
      <w:r w:rsidRPr="00181FCD">
        <w:t>la</w:t>
      </w:r>
      <w:r w:rsidR="00F373A3" w:rsidRPr="00181FCD">
        <w:t xml:space="preserve"> </w:t>
      </w:r>
      <w:r w:rsidRPr="00181FCD">
        <w:t>Protección</w:t>
      </w:r>
      <w:r w:rsidR="00F373A3" w:rsidRPr="00181FCD">
        <w:t xml:space="preserve"> </w:t>
      </w:r>
      <w:r w:rsidRPr="00181FCD">
        <w:t>contra</w:t>
      </w:r>
      <w:r w:rsidR="00F373A3" w:rsidRPr="00181FCD">
        <w:t xml:space="preserve"> </w:t>
      </w:r>
      <w:r w:rsidRPr="00181FCD">
        <w:t>la</w:t>
      </w:r>
      <w:r w:rsidR="00F373A3" w:rsidRPr="00181FCD">
        <w:t xml:space="preserve"> </w:t>
      </w:r>
      <w:r w:rsidRPr="00181FCD">
        <w:t>Violencia</w:t>
      </w:r>
      <w:r w:rsidR="00F373A3" w:rsidRPr="00181FCD">
        <w:t xml:space="preserve"> </w:t>
      </w:r>
      <w:r w:rsidRPr="00181FCD">
        <w:t>Doméstica.</w:t>
      </w:r>
      <w:r w:rsidR="00F373A3" w:rsidRPr="00181FCD">
        <w:t xml:space="preserve"> </w:t>
      </w:r>
      <w:r w:rsidRPr="00181FCD">
        <w:t>La</w:t>
      </w:r>
      <w:r w:rsidR="00F373A3" w:rsidRPr="00181FCD">
        <w:t xml:space="preserve"> </w:t>
      </w:r>
      <w:r w:rsidRPr="00181FCD">
        <w:t>Fundación</w:t>
      </w:r>
      <w:r w:rsidR="00F373A3" w:rsidRPr="00181FCD">
        <w:t xml:space="preserve"> </w:t>
      </w:r>
      <w:r w:rsidRPr="00181FCD">
        <w:t>Búlgara</w:t>
      </w:r>
      <w:r w:rsidR="00F373A3" w:rsidRPr="00181FCD">
        <w:t xml:space="preserve"> </w:t>
      </w:r>
      <w:r w:rsidRPr="00181FCD">
        <w:t>para</w:t>
      </w:r>
      <w:r w:rsidR="00F373A3" w:rsidRPr="00181FCD">
        <w:t xml:space="preserve"> </w:t>
      </w:r>
      <w:r w:rsidRPr="00181FCD">
        <w:t>la</w:t>
      </w:r>
      <w:r w:rsidR="00F373A3" w:rsidRPr="00181FCD">
        <w:t xml:space="preserve"> </w:t>
      </w:r>
      <w:r w:rsidRPr="00181FCD">
        <w:t>Investigación</w:t>
      </w:r>
      <w:r w:rsidR="00F373A3" w:rsidRPr="00181FCD">
        <w:t xml:space="preserve"> </w:t>
      </w:r>
      <w:r w:rsidRPr="00181FCD">
        <w:t>sobre</w:t>
      </w:r>
      <w:r w:rsidR="00F373A3" w:rsidRPr="00181FCD">
        <w:t xml:space="preserve"> </w:t>
      </w:r>
      <w:r w:rsidRPr="00181FCD">
        <w:t>el</w:t>
      </w:r>
      <w:r w:rsidR="00F373A3" w:rsidRPr="00181FCD">
        <w:t xml:space="preserve"> </w:t>
      </w:r>
      <w:r w:rsidRPr="00181FCD">
        <w:t>Género</w:t>
      </w:r>
      <w:r w:rsidR="00F373A3" w:rsidRPr="00181FCD">
        <w:t xml:space="preserve"> </w:t>
      </w:r>
      <w:r w:rsidRPr="00181FCD">
        <w:t>coordina</w:t>
      </w:r>
      <w:r w:rsidR="00F373A3" w:rsidRPr="00181FCD">
        <w:t xml:space="preserve"> </w:t>
      </w:r>
      <w:r w:rsidRPr="00181FCD">
        <w:t>actualmente</w:t>
      </w:r>
      <w:r w:rsidR="00F373A3" w:rsidRPr="00181FCD">
        <w:t xml:space="preserve"> </w:t>
      </w:r>
      <w:r w:rsidRPr="00181FCD">
        <w:t>dicha</w:t>
      </w:r>
      <w:r w:rsidR="00F373A3" w:rsidRPr="00181FCD">
        <w:t xml:space="preserve"> </w:t>
      </w:r>
      <w:r w:rsidRPr="00181FCD">
        <w:t>Alianza.</w:t>
      </w:r>
      <w:r w:rsidR="00F373A3" w:rsidRPr="00181FCD">
        <w:t xml:space="preserve"> </w:t>
      </w:r>
      <w:r w:rsidRPr="00181FCD">
        <w:t>Entre</w:t>
      </w:r>
      <w:r w:rsidR="00F373A3" w:rsidRPr="00181FCD">
        <w:t xml:space="preserve"> </w:t>
      </w:r>
      <w:r w:rsidRPr="00181FCD">
        <w:t>las</w:t>
      </w:r>
      <w:r w:rsidR="00F373A3" w:rsidRPr="00181FCD">
        <w:t xml:space="preserve"> </w:t>
      </w:r>
      <w:r w:rsidRPr="00181FCD">
        <w:t>organizaciones</w:t>
      </w:r>
      <w:r w:rsidR="00F373A3" w:rsidRPr="00181FCD">
        <w:t xml:space="preserve"> </w:t>
      </w:r>
      <w:r w:rsidRPr="00181FCD">
        <w:t>participantes</w:t>
      </w:r>
      <w:r w:rsidR="00F373A3" w:rsidRPr="00181FCD">
        <w:t xml:space="preserve"> </w:t>
      </w:r>
      <w:r w:rsidRPr="00181FCD">
        <w:t>en</w:t>
      </w:r>
      <w:r w:rsidR="00F373A3" w:rsidRPr="00181FCD">
        <w:t xml:space="preserve"> </w:t>
      </w:r>
      <w:r w:rsidRPr="00181FCD">
        <w:t>el</w:t>
      </w:r>
      <w:r w:rsidR="00F373A3" w:rsidRPr="00181FCD">
        <w:t xml:space="preserve"> </w:t>
      </w:r>
      <w:r w:rsidRPr="00181FCD">
        <w:t>Mecanismos</w:t>
      </w:r>
      <w:r w:rsidR="00F373A3" w:rsidRPr="00181FCD">
        <w:t xml:space="preserve"> </w:t>
      </w:r>
      <w:r w:rsidRPr="00181FCD">
        <w:t>Nacional</w:t>
      </w:r>
      <w:r w:rsidR="00F373A3" w:rsidRPr="00181FCD">
        <w:t xml:space="preserve"> </w:t>
      </w:r>
      <w:r w:rsidRPr="00181FCD">
        <w:t>de</w:t>
      </w:r>
      <w:r w:rsidR="00F373A3" w:rsidRPr="00181FCD">
        <w:t xml:space="preserve"> </w:t>
      </w:r>
      <w:r w:rsidRPr="00181FCD">
        <w:t>Remisión,</w:t>
      </w:r>
      <w:r w:rsidR="00F373A3" w:rsidRPr="00181FCD">
        <w:t xml:space="preserve"> </w:t>
      </w:r>
      <w:r w:rsidRPr="00181FCD">
        <w:t>la</w:t>
      </w:r>
      <w:r w:rsidR="00F373A3" w:rsidRPr="00181FCD">
        <w:t xml:space="preserve"> </w:t>
      </w:r>
      <w:r w:rsidRPr="00181FCD">
        <w:t>Fundación</w:t>
      </w:r>
      <w:r w:rsidR="00F373A3" w:rsidRPr="00181FCD">
        <w:t xml:space="preserve"> </w:t>
      </w:r>
      <w:r w:rsidRPr="00181FCD">
        <w:t>de</w:t>
      </w:r>
      <w:r w:rsidR="00F373A3" w:rsidRPr="00181FCD">
        <w:t xml:space="preserve"> </w:t>
      </w:r>
      <w:r w:rsidRPr="00181FCD">
        <w:t>la</w:t>
      </w:r>
      <w:r w:rsidR="00F373A3" w:rsidRPr="00181FCD">
        <w:t xml:space="preserve"> </w:t>
      </w:r>
      <w:r w:rsidRPr="00181FCD">
        <w:t>Asociación</w:t>
      </w:r>
      <w:r w:rsidR="00F373A3" w:rsidRPr="00181FCD">
        <w:t xml:space="preserve"> </w:t>
      </w:r>
      <w:r w:rsidRPr="00181FCD">
        <w:t>Animus</w:t>
      </w:r>
      <w:r w:rsidR="00F373A3" w:rsidRPr="00181FCD">
        <w:t xml:space="preserve"> </w:t>
      </w:r>
      <w:r w:rsidRPr="00181FCD">
        <w:t>representa</w:t>
      </w:r>
      <w:r w:rsidR="00F373A3" w:rsidRPr="00181FCD">
        <w:t xml:space="preserve"> </w:t>
      </w:r>
      <w:r w:rsidRPr="00181FCD">
        <w:t>a</w:t>
      </w:r>
      <w:r w:rsidR="00F373A3" w:rsidRPr="00181FCD">
        <w:t xml:space="preserve"> </w:t>
      </w:r>
      <w:r w:rsidRPr="00181FCD">
        <w:t>Bulgaria</w:t>
      </w:r>
      <w:r w:rsidR="00F373A3" w:rsidRPr="00181FCD">
        <w:t xml:space="preserve"> </w:t>
      </w:r>
      <w:r w:rsidRPr="00181FCD">
        <w:t>en</w:t>
      </w:r>
      <w:r w:rsidR="00F373A3" w:rsidRPr="00181FCD">
        <w:t xml:space="preserve"> </w:t>
      </w:r>
      <w:r w:rsidRPr="00181FCD">
        <w:t>la</w:t>
      </w:r>
      <w:r w:rsidR="00F373A3" w:rsidRPr="00181FCD">
        <w:t xml:space="preserve"> </w:t>
      </w:r>
      <w:r w:rsidRPr="00181FCD">
        <w:t>red</w:t>
      </w:r>
      <w:r w:rsidR="00F373A3" w:rsidRPr="00181FCD">
        <w:t xml:space="preserve"> </w:t>
      </w:r>
      <w:r w:rsidRPr="00181FCD">
        <w:t>contra</w:t>
      </w:r>
      <w:r w:rsidR="00F373A3" w:rsidRPr="00181FCD">
        <w:t xml:space="preserve"> </w:t>
      </w:r>
      <w:r w:rsidRPr="00181FCD">
        <w:t>la</w:t>
      </w:r>
      <w:r w:rsidR="00F373A3" w:rsidRPr="00181FCD">
        <w:t xml:space="preserve"> </w:t>
      </w:r>
      <w:r w:rsidRPr="00181FCD">
        <w:t>trata</w:t>
      </w:r>
      <w:r w:rsidR="00F373A3" w:rsidRPr="00181FCD">
        <w:t xml:space="preserve"> </w:t>
      </w:r>
      <w:r w:rsidRPr="00181FCD">
        <w:t>denominada</w:t>
      </w:r>
      <w:r w:rsidR="00F373A3" w:rsidRPr="00181FCD">
        <w:t xml:space="preserve"> </w:t>
      </w:r>
      <w:r w:rsidRPr="00181FCD">
        <w:t>La</w:t>
      </w:r>
      <w:r w:rsidR="00F373A3" w:rsidRPr="00181FCD">
        <w:t xml:space="preserve"> </w:t>
      </w:r>
      <w:r w:rsidRPr="00181FCD">
        <w:t>Strada</w:t>
      </w:r>
      <w:r w:rsidR="00F373A3" w:rsidRPr="00181FCD">
        <w:t xml:space="preserve"> </w:t>
      </w:r>
      <w:r w:rsidRPr="00181FCD">
        <w:t>International.</w:t>
      </w:r>
      <w:r w:rsidR="00F373A3" w:rsidRPr="00181FCD">
        <w:t xml:space="preserve"> </w:t>
      </w:r>
      <w:r w:rsidRPr="00181FCD">
        <w:t>Además,</w:t>
      </w:r>
      <w:r w:rsidR="00F373A3" w:rsidRPr="00181FCD">
        <w:t xml:space="preserve"> </w:t>
      </w:r>
      <w:r w:rsidRPr="00181FCD">
        <w:t>coopera</w:t>
      </w:r>
      <w:r w:rsidR="00F373A3" w:rsidRPr="00181FCD">
        <w:t xml:space="preserve"> </w:t>
      </w:r>
      <w:r w:rsidRPr="00181FCD">
        <w:t>con</w:t>
      </w:r>
      <w:r w:rsidR="00F373A3" w:rsidRPr="00181FCD">
        <w:t xml:space="preserve"> </w:t>
      </w:r>
      <w:r w:rsidRPr="00181FCD">
        <w:t>la</w:t>
      </w:r>
      <w:r w:rsidR="00F373A3" w:rsidRPr="00181FCD">
        <w:t xml:space="preserve"> </w:t>
      </w:r>
      <w:r w:rsidRPr="00181FCD">
        <w:t>Comisión</w:t>
      </w:r>
      <w:r w:rsidR="00F373A3" w:rsidRPr="00181FCD">
        <w:t xml:space="preserve"> </w:t>
      </w:r>
      <w:r w:rsidRPr="00181FCD">
        <w:t>Nacional</w:t>
      </w:r>
      <w:r w:rsidR="00F373A3" w:rsidRPr="00181FCD">
        <w:t xml:space="preserve"> </w:t>
      </w:r>
      <w:r w:rsidRPr="00181FCD">
        <w:t>de</w:t>
      </w:r>
      <w:r w:rsidR="00F373A3" w:rsidRPr="00181FCD">
        <w:t xml:space="preserve"> </w:t>
      </w:r>
      <w:r w:rsidRPr="00181FCD">
        <w:t>Lucha</w:t>
      </w:r>
      <w:r w:rsidR="00F373A3" w:rsidRPr="00181FCD">
        <w:t xml:space="preserve"> </w:t>
      </w:r>
      <w:r w:rsidRPr="00181FCD">
        <w:t>contra</w:t>
      </w:r>
      <w:r w:rsidR="00F373A3" w:rsidRPr="00181FCD">
        <w:t xml:space="preserve"> </w:t>
      </w:r>
      <w:r w:rsidRPr="00181FCD">
        <w:t>la</w:t>
      </w:r>
      <w:r w:rsidR="00F373A3" w:rsidRPr="00181FCD">
        <w:t xml:space="preserve"> </w:t>
      </w:r>
      <w:r w:rsidRPr="00181FCD">
        <w:t>Trata</w:t>
      </w:r>
      <w:r w:rsidR="00F373A3" w:rsidRPr="00181FCD">
        <w:t xml:space="preserve"> </w:t>
      </w:r>
      <w:r w:rsidRPr="00181FCD">
        <w:t>de</w:t>
      </w:r>
      <w:r w:rsidR="00F373A3" w:rsidRPr="00181FCD">
        <w:t xml:space="preserve"> </w:t>
      </w:r>
      <w:r w:rsidRPr="00181FCD">
        <w:t>Personas</w:t>
      </w:r>
      <w:r w:rsidR="00F373A3" w:rsidRPr="00181FCD">
        <w:t xml:space="preserve"> </w:t>
      </w:r>
      <w:r w:rsidRPr="00181FCD">
        <w:t>en</w:t>
      </w:r>
      <w:r w:rsidR="00F373A3" w:rsidRPr="00181FCD">
        <w:t xml:space="preserve"> </w:t>
      </w:r>
      <w:r w:rsidRPr="00181FCD">
        <w:t>el</w:t>
      </w:r>
      <w:r w:rsidR="00F373A3" w:rsidRPr="00181FCD">
        <w:t xml:space="preserve"> </w:t>
      </w:r>
      <w:r w:rsidRPr="00181FCD">
        <w:t>alojamiento</w:t>
      </w:r>
      <w:r w:rsidR="00F373A3" w:rsidRPr="00181FCD">
        <w:t xml:space="preserve"> </w:t>
      </w:r>
      <w:r w:rsidRPr="00181FCD">
        <w:t>de</w:t>
      </w:r>
      <w:r w:rsidR="00F373A3" w:rsidRPr="00181FCD">
        <w:t xml:space="preserve"> </w:t>
      </w:r>
      <w:r w:rsidRPr="00181FCD">
        <w:t>las</w:t>
      </w:r>
      <w:r w:rsidR="00F373A3" w:rsidRPr="00181FCD">
        <w:t xml:space="preserve"> </w:t>
      </w:r>
      <w:r w:rsidRPr="00181FCD">
        <w:t>víctimas,</w:t>
      </w:r>
      <w:r w:rsidR="00F373A3" w:rsidRPr="00181FCD">
        <w:t xml:space="preserve"> </w:t>
      </w:r>
      <w:r w:rsidRPr="00181FCD">
        <w:t>antes</w:t>
      </w:r>
      <w:r w:rsidR="00F373A3" w:rsidRPr="00181FCD">
        <w:t xml:space="preserve"> </w:t>
      </w:r>
      <w:r w:rsidRPr="00181FCD">
        <w:t>de</w:t>
      </w:r>
      <w:r w:rsidR="00F373A3" w:rsidRPr="00181FCD">
        <w:t xml:space="preserve"> </w:t>
      </w:r>
      <w:r w:rsidRPr="00181FCD">
        <w:t>su</w:t>
      </w:r>
      <w:r w:rsidR="00F373A3" w:rsidRPr="00181FCD">
        <w:t xml:space="preserve"> </w:t>
      </w:r>
      <w:r w:rsidRPr="00181FCD">
        <w:t>traslado</w:t>
      </w:r>
      <w:r w:rsidR="00F373A3" w:rsidRPr="00181FCD">
        <w:t xml:space="preserve"> </w:t>
      </w:r>
      <w:r w:rsidRPr="00181FCD">
        <w:t>a</w:t>
      </w:r>
      <w:r w:rsidR="00F373A3" w:rsidRPr="00181FCD">
        <w:t xml:space="preserve"> </w:t>
      </w:r>
      <w:r w:rsidRPr="00181FCD">
        <w:t>los</w:t>
      </w:r>
      <w:r w:rsidR="00F373A3" w:rsidRPr="00181FCD">
        <w:t xml:space="preserve"> </w:t>
      </w:r>
      <w:r w:rsidRPr="00181FCD">
        <w:t>centros</w:t>
      </w:r>
      <w:r w:rsidR="00F373A3" w:rsidRPr="00181FCD">
        <w:t xml:space="preserve"> </w:t>
      </w:r>
      <w:r w:rsidRPr="00181FCD">
        <w:t>de</w:t>
      </w:r>
      <w:r w:rsidR="00F373A3" w:rsidRPr="00181FCD">
        <w:t xml:space="preserve"> </w:t>
      </w:r>
      <w:r w:rsidRPr="00181FCD">
        <w:t>crisis</w:t>
      </w:r>
      <w:r w:rsidR="00F373A3" w:rsidRPr="00181FCD">
        <w:t xml:space="preserve"> </w:t>
      </w:r>
      <w:r w:rsidRPr="00181FCD">
        <w:t>y/o</w:t>
      </w:r>
      <w:r w:rsidR="00F373A3" w:rsidRPr="00181FCD">
        <w:t xml:space="preserve"> </w:t>
      </w:r>
      <w:r w:rsidRPr="00181FCD">
        <w:t>albergues,</w:t>
      </w:r>
      <w:r w:rsidR="00F373A3" w:rsidRPr="00181FCD">
        <w:t xml:space="preserve"> </w:t>
      </w:r>
      <w:r w:rsidRPr="00181FCD">
        <w:t>así</w:t>
      </w:r>
      <w:r w:rsidR="00F373A3" w:rsidRPr="00181FCD">
        <w:t xml:space="preserve"> </w:t>
      </w:r>
      <w:r w:rsidRPr="00181FCD">
        <w:t>como</w:t>
      </w:r>
      <w:r w:rsidR="00F373A3" w:rsidRPr="00181FCD">
        <w:t xml:space="preserve"> </w:t>
      </w:r>
      <w:r w:rsidRPr="00181FCD">
        <w:t>en</w:t>
      </w:r>
      <w:r w:rsidR="00F373A3" w:rsidRPr="00181FCD">
        <w:t xml:space="preserve"> </w:t>
      </w:r>
      <w:r w:rsidRPr="00181FCD">
        <w:t>el</w:t>
      </w:r>
      <w:r w:rsidR="00F373A3" w:rsidRPr="00181FCD">
        <w:t xml:space="preserve"> </w:t>
      </w:r>
      <w:r w:rsidRPr="00181FCD">
        <w:t>trabajo</w:t>
      </w:r>
      <w:r w:rsidR="00F373A3" w:rsidRPr="00181FCD">
        <w:t xml:space="preserve"> </w:t>
      </w:r>
      <w:r w:rsidRPr="00181FCD">
        <w:t>social</w:t>
      </w:r>
      <w:r w:rsidR="00F373A3" w:rsidRPr="00181FCD">
        <w:t xml:space="preserve"> </w:t>
      </w:r>
      <w:r w:rsidRPr="00181FCD">
        <w:t>y</w:t>
      </w:r>
      <w:r w:rsidR="00F373A3" w:rsidRPr="00181FCD">
        <w:t xml:space="preserve"> </w:t>
      </w:r>
      <w:r w:rsidRPr="00181FCD">
        <w:t>de</w:t>
      </w:r>
      <w:r w:rsidR="00F373A3" w:rsidRPr="00181FCD">
        <w:t xml:space="preserve"> </w:t>
      </w:r>
      <w:r w:rsidRPr="00181FCD">
        <w:t>asistencia</w:t>
      </w:r>
      <w:r w:rsidR="00F373A3" w:rsidRPr="00181FCD">
        <w:t xml:space="preserve"> </w:t>
      </w:r>
      <w:r w:rsidRPr="00181FCD">
        <w:t>para</w:t>
      </w:r>
      <w:r w:rsidR="00F373A3" w:rsidRPr="00181FCD">
        <w:t xml:space="preserve"> </w:t>
      </w:r>
      <w:r w:rsidRPr="00181FCD">
        <w:t>la</w:t>
      </w:r>
      <w:r w:rsidR="00F373A3" w:rsidRPr="00181FCD">
        <w:t xml:space="preserve"> </w:t>
      </w:r>
      <w:r w:rsidRPr="00181FCD">
        <w:t>acogida.</w:t>
      </w:r>
    </w:p>
    <w:p w:rsidR="001937F4" w:rsidRPr="00181FCD" w:rsidRDefault="001937F4" w:rsidP="00347B20">
      <w:pPr>
        <w:pStyle w:val="SingleTxtG"/>
        <w:suppressAutoHyphens/>
      </w:pPr>
      <w:r w:rsidRPr="00181FCD">
        <w:t>216.</w:t>
      </w:r>
      <w:r w:rsidRPr="00181FCD">
        <w:tab/>
        <w:t>La</w:t>
      </w:r>
      <w:r w:rsidR="00F373A3" w:rsidRPr="00181FCD">
        <w:t xml:space="preserve"> </w:t>
      </w:r>
      <w:r w:rsidRPr="00181FCD">
        <w:t>citada</w:t>
      </w:r>
      <w:r w:rsidR="00F373A3" w:rsidRPr="00181FCD">
        <w:t xml:space="preserve"> </w:t>
      </w:r>
      <w:r w:rsidRPr="00181FCD">
        <w:t>Comisión</w:t>
      </w:r>
      <w:r w:rsidR="00F373A3" w:rsidRPr="00181FCD">
        <w:t xml:space="preserve"> </w:t>
      </w:r>
      <w:r w:rsidRPr="00181FCD">
        <w:t>Nacional</w:t>
      </w:r>
      <w:r w:rsidR="00F373A3" w:rsidRPr="00181FCD">
        <w:t xml:space="preserve"> </w:t>
      </w:r>
      <w:r w:rsidRPr="00181FCD">
        <w:t>coopera</w:t>
      </w:r>
      <w:r w:rsidR="00F373A3" w:rsidRPr="00181FCD">
        <w:t xml:space="preserve"> </w:t>
      </w:r>
      <w:r w:rsidRPr="00181FCD">
        <w:t>activamente</w:t>
      </w:r>
      <w:r w:rsidR="00F373A3" w:rsidRPr="00181FCD">
        <w:t xml:space="preserve"> </w:t>
      </w:r>
      <w:r w:rsidRPr="00181FCD">
        <w:t>con</w:t>
      </w:r>
      <w:r w:rsidR="00F373A3" w:rsidRPr="00181FCD">
        <w:t xml:space="preserve"> </w:t>
      </w:r>
      <w:r w:rsidRPr="00181FCD">
        <w:t>la</w:t>
      </w:r>
      <w:r w:rsidR="00F373A3" w:rsidRPr="00181FCD">
        <w:t xml:space="preserve"> </w:t>
      </w:r>
      <w:r w:rsidRPr="00181FCD">
        <w:t>Organización</w:t>
      </w:r>
      <w:r w:rsidR="00F373A3" w:rsidRPr="00181FCD">
        <w:t xml:space="preserve"> </w:t>
      </w:r>
      <w:r w:rsidRPr="00181FCD">
        <w:t>Internacional</w:t>
      </w:r>
      <w:r w:rsidR="00F373A3" w:rsidRPr="00181FCD">
        <w:t xml:space="preserve"> </w:t>
      </w:r>
      <w:r w:rsidRPr="00181FCD">
        <w:t>para</w:t>
      </w:r>
      <w:r w:rsidR="00F373A3" w:rsidRPr="00181FCD">
        <w:t xml:space="preserve"> </w:t>
      </w:r>
      <w:r w:rsidRPr="00181FCD">
        <w:t>las</w:t>
      </w:r>
      <w:r w:rsidR="00F373A3" w:rsidRPr="00181FCD">
        <w:t xml:space="preserve"> </w:t>
      </w:r>
      <w:r w:rsidRPr="00181FCD">
        <w:t>Migraciones</w:t>
      </w:r>
      <w:r w:rsidR="00F373A3" w:rsidRPr="00181FCD">
        <w:t xml:space="preserve"> </w:t>
      </w:r>
      <w:r w:rsidRPr="00181FCD">
        <w:t>(OIM)</w:t>
      </w:r>
      <w:r w:rsidR="00F373A3" w:rsidRPr="00181FCD">
        <w:t xml:space="preserve"> </w:t>
      </w:r>
      <w:r w:rsidRPr="00181FCD">
        <w:t>en</w:t>
      </w:r>
      <w:r w:rsidR="00F373A3" w:rsidRPr="00181FCD">
        <w:t xml:space="preserve"> </w:t>
      </w:r>
      <w:r w:rsidRPr="00181FCD">
        <w:t>la</w:t>
      </w:r>
      <w:r w:rsidR="00F373A3" w:rsidRPr="00181FCD">
        <w:t xml:space="preserve"> </w:t>
      </w:r>
      <w:r w:rsidRPr="00181FCD">
        <w:t>asistencia</w:t>
      </w:r>
      <w:r w:rsidR="00F373A3" w:rsidRPr="00181FCD">
        <w:t xml:space="preserve"> </w:t>
      </w:r>
      <w:r w:rsidRPr="00181FCD">
        <w:t>y</w:t>
      </w:r>
      <w:r w:rsidR="00F373A3" w:rsidRPr="00181FCD">
        <w:t xml:space="preserve"> </w:t>
      </w:r>
      <w:r w:rsidRPr="00181FCD">
        <w:t>el</w:t>
      </w:r>
      <w:r w:rsidR="00F373A3" w:rsidRPr="00181FCD">
        <w:t xml:space="preserve"> </w:t>
      </w:r>
      <w:r w:rsidRPr="00181FCD">
        <w:t>apoyo</w:t>
      </w:r>
      <w:r w:rsidR="00F373A3" w:rsidRPr="00181FCD">
        <w:t xml:space="preserve"> </w:t>
      </w:r>
      <w:r w:rsidRPr="00181FCD">
        <w:t>a</w:t>
      </w:r>
      <w:r w:rsidR="00F373A3" w:rsidRPr="00181FCD">
        <w:t xml:space="preserve"> </w:t>
      </w:r>
      <w:r w:rsidRPr="00181FCD">
        <w:t>las</w:t>
      </w:r>
      <w:r w:rsidR="00F373A3" w:rsidRPr="00181FCD">
        <w:t xml:space="preserve"> </w:t>
      </w:r>
      <w:r w:rsidRPr="00181FCD">
        <w:t>víctimas</w:t>
      </w:r>
      <w:r w:rsidR="00F373A3" w:rsidRPr="00181FCD">
        <w:t xml:space="preserve"> </w:t>
      </w:r>
      <w:r w:rsidRPr="00181FCD">
        <w:t>de</w:t>
      </w:r>
      <w:r w:rsidR="00F373A3" w:rsidRPr="00181FCD">
        <w:t xml:space="preserve"> </w:t>
      </w:r>
      <w:r w:rsidRPr="00181FCD">
        <w:t>la</w:t>
      </w:r>
      <w:r w:rsidR="00F373A3" w:rsidRPr="00181FCD">
        <w:t xml:space="preserve"> </w:t>
      </w:r>
      <w:r w:rsidRPr="00181FCD">
        <w:t>trata.</w:t>
      </w:r>
      <w:r w:rsidR="00F373A3" w:rsidRPr="00181FCD">
        <w:t xml:space="preserve"> </w:t>
      </w:r>
      <w:r w:rsidRPr="00181FCD">
        <w:t>En</w:t>
      </w:r>
      <w:r w:rsidR="00F373A3" w:rsidRPr="00181FCD">
        <w:t xml:space="preserve"> </w:t>
      </w:r>
      <w:r w:rsidRPr="00181FCD">
        <w:t>muchos</w:t>
      </w:r>
      <w:r w:rsidR="00F373A3" w:rsidRPr="00181FCD">
        <w:t xml:space="preserve"> </w:t>
      </w:r>
      <w:r w:rsidRPr="00181FCD">
        <w:t>casos</w:t>
      </w:r>
      <w:r w:rsidR="00F373A3" w:rsidRPr="00181FCD">
        <w:t xml:space="preserve"> </w:t>
      </w:r>
      <w:r w:rsidRPr="00181FCD">
        <w:t>en</w:t>
      </w:r>
      <w:r w:rsidR="00F373A3" w:rsidRPr="00181FCD">
        <w:t xml:space="preserve"> </w:t>
      </w:r>
      <w:r w:rsidRPr="00181FCD">
        <w:t>que</w:t>
      </w:r>
      <w:r w:rsidR="00F373A3" w:rsidRPr="00181FCD">
        <w:t xml:space="preserve"> </w:t>
      </w:r>
      <w:r w:rsidRPr="00181FCD">
        <w:t>el</w:t>
      </w:r>
      <w:r w:rsidR="00F373A3" w:rsidRPr="00181FCD">
        <w:t xml:space="preserve"> </w:t>
      </w:r>
      <w:r w:rsidRPr="00181FCD">
        <w:t>traslado</w:t>
      </w:r>
      <w:r w:rsidR="00F373A3" w:rsidRPr="00181FCD">
        <w:t xml:space="preserve"> </w:t>
      </w:r>
      <w:r w:rsidRPr="00181FCD">
        <w:t>de</w:t>
      </w:r>
      <w:r w:rsidR="00F373A3" w:rsidRPr="00181FCD">
        <w:t xml:space="preserve"> </w:t>
      </w:r>
      <w:r w:rsidRPr="00181FCD">
        <w:t>las</w:t>
      </w:r>
      <w:r w:rsidR="00F373A3" w:rsidRPr="00181FCD">
        <w:t xml:space="preserve"> </w:t>
      </w:r>
      <w:r w:rsidRPr="00181FCD">
        <w:t>víctimas</w:t>
      </w:r>
      <w:r w:rsidR="00F373A3" w:rsidRPr="00181FCD">
        <w:t xml:space="preserve"> </w:t>
      </w:r>
      <w:r w:rsidRPr="00181FCD">
        <w:t>se</w:t>
      </w:r>
      <w:r w:rsidR="00F373A3" w:rsidRPr="00181FCD">
        <w:t xml:space="preserve"> </w:t>
      </w:r>
      <w:r w:rsidRPr="00181FCD">
        <w:t>hace</w:t>
      </w:r>
      <w:r w:rsidR="00F373A3" w:rsidRPr="00181FCD">
        <w:t xml:space="preserve"> </w:t>
      </w:r>
      <w:r w:rsidRPr="00181FCD">
        <w:t>a</w:t>
      </w:r>
      <w:r w:rsidR="00F373A3" w:rsidRPr="00181FCD">
        <w:t xml:space="preserve"> </w:t>
      </w:r>
      <w:r w:rsidRPr="00181FCD">
        <w:t>través</w:t>
      </w:r>
      <w:r w:rsidR="00F373A3" w:rsidRPr="00181FCD">
        <w:t xml:space="preserve"> </w:t>
      </w:r>
      <w:r w:rsidRPr="00181FCD">
        <w:t>de</w:t>
      </w:r>
      <w:r w:rsidR="00F373A3" w:rsidRPr="00181FCD">
        <w:t xml:space="preserve"> </w:t>
      </w:r>
      <w:r w:rsidRPr="00181FCD">
        <w:t>un</w:t>
      </w:r>
      <w:r w:rsidR="00F373A3" w:rsidRPr="00181FCD">
        <w:t xml:space="preserve"> </w:t>
      </w:r>
      <w:r w:rsidRPr="00181FCD">
        <w:t>programa</w:t>
      </w:r>
      <w:r w:rsidR="00F373A3" w:rsidRPr="00181FCD">
        <w:t xml:space="preserve"> </w:t>
      </w:r>
      <w:r w:rsidRPr="00181FCD">
        <w:t>de</w:t>
      </w:r>
      <w:r w:rsidR="00F373A3" w:rsidRPr="00181FCD">
        <w:t xml:space="preserve"> </w:t>
      </w:r>
      <w:r w:rsidRPr="00181FCD">
        <w:t>retorno</w:t>
      </w:r>
      <w:r w:rsidR="00F373A3" w:rsidRPr="00181FCD">
        <w:t xml:space="preserve"> </w:t>
      </w:r>
      <w:r w:rsidRPr="00181FCD">
        <w:t>voluntario</w:t>
      </w:r>
      <w:r w:rsidR="00F373A3" w:rsidRPr="00181FCD">
        <w:t xml:space="preserve"> </w:t>
      </w:r>
      <w:r w:rsidRPr="00181FCD">
        <w:t>y</w:t>
      </w:r>
      <w:r w:rsidR="00F373A3" w:rsidRPr="00181FCD">
        <w:t xml:space="preserve"> </w:t>
      </w:r>
      <w:r w:rsidRPr="00181FCD">
        <w:t>seguro,</w:t>
      </w:r>
      <w:r w:rsidR="00F373A3" w:rsidRPr="00181FCD">
        <w:t xml:space="preserve"> </w:t>
      </w:r>
      <w:r w:rsidRPr="00181FCD">
        <w:t>la</w:t>
      </w:r>
      <w:r w:rsidR="00F373A3" w:rsidRPr="00181FCD">
        <w:t xml:space="preserve"> </w:t>
      </w:r>
      <w:r w:rsidRPr="00181FCD">
        <w:t>OIM</w:t>
      </w:r>
      <w:r w:rsidR="00F373A3" w:rsidRPr="00181FCD">
        <w:t xml:space="preserve"> </w:t>
      </w:r>
      <w:r w:rsidRPr="00181FCD">
        <w:t>presta</w:t>
      </w:r>
      <w:r w:rsidR="00F373A3" w:rsidRPr="00181FCD">
        <w:t xml:space="preserve"> </w:t>
      </w:r>
      <w:r w:rsidRPr="00181FCD">
        <w:t>asistencia</w:t>
      </w:r>
      <w:r w:rsidR="00F373A3" w:rsidRPr="00181FCD">
        <w:t xml:space="preserve"> </w:t>
      </w:r>
      <w:r w:rsidRPr="00181FCD">
        <w:t>logística</w:t>
      </w:r>
      <w:r w:rsidR="00F373A3" w:rsidRPr="00181FCD">
        <w:t xml:space="preserve"> </w:t>
      </w:r>
      <w:r w:rsidRPr="00181FCD">
        <w:t>y</w:t>
      </w:r>
      <w:r w:rsidR="00F373A3" w:rsidRPr="00181FCD">
        <w:t xml:space="preserve"> </w:t>
      </w:r>
      <w:r w:rsidRPr="00181FCD">
        <w:t>financiera</w:t>
      </w:r>
      <w:r w:rsidR="00F373A3" w:rsidRPr="00181FCD">
        <w:t xml:space="preserve"> </w:t>
      </w:r>
      <w:r w:rsidRPr="00181FCD">
        <w:t>para</w:t>
      </w:r>
      <w:r w:rsidR="00F373A3" w:rsidRPr="00181FCD">
        <w:t xml:space="preserve"> </w:t>
      </w:r>
      <w:r w:rsidRPr="00181FCD">
        <w:t>la</w:t>
      </w:r>
      <w:r w:rsidR="00F373A3" w:rsidRPr="00181FCD">
        <w:t xml:space="preserve"> </w:t>
      </w:r>
      <w:r w:rsidRPr="00181FCD">
        <w:t>repatriación</w:t>
      </w:r>
      <w:r w:rsidR="00F373A3" w:rsidRPr="00181FCD">
        <w:t xml:space="preserve"> </w:t>
      </w:r>
      <w:r w:rsidRPr="00181FCD">
        <w:t>de</w:t>
      </w:r>
      <w:r w:rsidR="00F373A3" w:rsidRPr="00181FCD">
        <w:t xml:space="preserve"> </w:t>
      </w:r>
      <w:r w:rsidRPr="00181FCD">
        <w:t>los</w:t>
      </w:r>
      <w:r w:rsidR="00F373A3" w:rsidRPr="00181FCD">
        <w:t xml:space="preserve"> </w:t>
      </w:r>
      <w:r w:rsidRPr="00181FCD">
        <w:t>ciudadanos</w:t>
      </w:r>
      <w:r w:rsidR="00F373A3" w:rsidRPr="00181FCD">
        <w:t xml:space="preserve"> </w:t>
      </w:r>
      <w:r w:rsidRPr="00181FCD">
        <w:t>búlgaros.</w:t>
      </w:r>
    </w:p>
    <w:p w:rsidR="001937F4" w:rsidRPr="00181FCD" w:rsidRDefault="00F373A3" w:rsidP="00347B20">
      <w:pPr>
        <w:pStyle w:val="H4G"/>
      </w:pPr>
      <w:r w:rsidRPr="00181FCD">
        <w:tab/>
      </w:r>
      <w:r w:rsidRPr="00181FCD">
        <w:tab/>
      </w:r>
      <w:r w:rsidR="001937F4" w:rsidRPr="00181FCD">
        <w:t>Dificultades</w:t>
      </w:r>
      <w:r w:rsidRPr="00181FCD">
        <w:t xml:space="preserve"> </w:t>
      </w:r>
      <w:r w:rsidR="001937F4" w:rsidRPr="00181FCD">
        <w:t>en</w:t>
      </w:r>
      <w:r w:rsidRPr="00181FCD">
        <w:t xml:space="preserve"> </w:t>
      </w:r>
      <w:r w:rsidR="001937F4" w:rsidRPr="00181FCD">
        <w:t>relación</w:t>
      </w:r>
      <w:r w:rsidRPr="00181FCD">
        <w:t xml:space="preserve"> </w:t>
      </w:r>
      <w:r w:rsidR="001937F4" w:rsidRPr="00181FCD">
        <w:t>con</w:t>
      </w:r>
      <w:r w:rsidRPr="00181FCD">
        <w:t xml:space="preserve"> </w:t>
      </w:r>
      <w:r w:rsidR="001937F4" w:rsidRPr="00181FCD">
        <w:t>las</w:t>
      </w:r>
      <w:r w:rsidRPr="00181FCD">
        <w:t xml:space="preserve"> </w:t>
      </w:r>
      <w:r w:rsidR="001937F4" w:rsidRPr="00181FCD">
        <w:t>víctimas</w:t>
      </w:r>
      <w:r w:rsidRPr="00181FCD">
        <w:t xml:space="preserve"> </w:t>
      </w:r>
      <w:r w:rsidR="001937F4" w:rsidRPr="00181FCD">
        <w:t>de</w:t>
      </w:r>
      <w:r w:rsidRPr="00181FCD">
        <w:t xml:space="preserve"> </w:t>
      </w:r>
      <w:r w:rsidR="001937F4" w:rsidRPr="00181FCD">
        <w:t>la</w:t>
      </w:r>
      <w:r w:rsidRPr="00181FCD">
        <w:t xml:space="preserve"> </w:t>
      </w:r>
      <w:r w:rsidR="001937F4" w:rsidRPr="00181FCD">
        <w:t>trata</w:t>
      </w:r>
      <w:r w:rsidRPr="00181FCD">
        <w:t xml:space="preserve"> </w:t>
      </w:r>
      <w:r w:rsidR="001937F4" w:rsidRPr="00181FCD">
        <w:t>de</w:t>
      </w:r>
      <w:r w:rsidRPr="00181FCD">
        <w:t xml:space="preserve"> </w:t>
      </w:r>
      <w:r w:rsidR="001937F4" w:rsidRPr="00181FCD">
        <w:t>personas</w:t>
      </w:r>
      <w:r w:rsidRPr="00181FCD">
        <w:t xml:space="preserve"> </w:t>
      </w:r>
      <w:r w:rsidR="001937F4" w:rsidRPr="00181FCD">
        <w:t>y</w:t>
      </w:r>
      <w:r w:rsidRPr="00181FCD">
        <w:t xml:space="preserve"> </w:t>
      </w:r>
      <w:r w:rsidR="001937F4" w:rsidRPr="00181FCD">
        <w:t>de</w:t>
      </w:r>
      <w:r w:rsidRPr="00181FCD">
        <w:t xml:space="preserve"> </w:t>
      </w:r>
      <w:r w:rsidR="001937F4" w:rsidRPr="00181FCD">
        <w:t>la</w:t>
      </w:r>
      <w:r w:rsidRPr="00181FCD">
        <w:t xml:space="preserve"> </w:t>
      </w:r>
      <w:r w:rsidR="001937F4" w:rsidRPr="00181FCD">
        <w:t>violencia</w:t>
      </w:r>
    </w:p>
    <w:p w:rsidR="001937F4" w:rsidRPr="00181FCD" w:rsidRDefault="001937F4" w:rsidP="00347B20">
      <w:pPr>
        <w:pStyle w:val="SingleTxtG"/>
        <w:suppressAutoHyphens/>
      </w:pPr>
      <w:r w:rsidRPr="00181FCD">
        <w:t>217.</w:t>
      </w:r>
      <w:r w:rsidRPr="00181FCD">
        <w:tab/>
        <w:t>En</w:t>
      </w:r>
      <w:r w:rsidR="00F373A3" w:rsidRPr="00181FCD">
        <w:t xml:space="preserve"> </w:t>
      </w:r>
      <w:r w:rsidRPr="00181FCD">
        <w:t>los</w:t>
      </w:r>
      <w:r w:rsidR="00F373A3" w:rsidRPr="00181FCD">
        <w:t xml:space="preserve"> </w:t>
      </w:r>
      <w:r w:rsidRPr="00181FCD">
        <w:t>dos</w:t>
      </w:r>
      <w:r w:rsidR="00F373A3" w:rsidRPr="00181FCD">
        <w:t xml:space="preserve"> </w:t>
      </w:r>
      <w:r w:rsidRPr="00181FCD">
        <w:t>albergues</w:t>
      </w:r>
      <w:r w:rsidR="00F373A3" w:rsidRPr="00181FCD">
        <w:t xml:space="preserve"> </w:t>
      </w:r>
      <w:r w:rsidRPr="00181FCD">
        <w:t>estatales</w:t>
      </w:r>
      <w:r w:rsidR="00F373A3" w:rsidRPr="00181FCD">
        <w:t xml:space="preserve"> </w:t>
      </w:r>
      <w:r w:rsidRPr="00181FCD">
        <w:t>mencionados,</w:t>
      </w:r>
      <w:r w:rsidR="00F373A3" w:rsidRPr="00181FCD">
        <w:t xml:space="preserve"> </w:t>
      </w:r>
      <w:r w:rsidRPr="00181FCD">
        <w:t>gestionados</w:t>
      </w:r>
      <w:r w:rsidR="00F373A3" w:rsidRPr="00181FCD">
        <w:t xml:space="preserve"> </w:t>
      </w:r>
      <w:r w:rsidRPr="00181FCD">
        <w:t>por</w:t>
      </w:r>
      <w:r w:rsidR="00F373A3" w:rsidRPr="00181FCD">
        <w:t xml:space="preserve"> </w:t>
      </w:r>
      <w:r w:rsidRPr="00181FCD">
        <w:t>la</w:t>
      </w:r>
      <w:r w:rsidR="00F373A3" w:rsidRPr="00181FCD">
        <w:t xml:space="preserve"> </w:t>
      </w:r>
      <w:r w:rsidRPr="00181FCD">
        <w:t>Comisión</w:t>
      </w:r>
      <w:r w:rsidR="00F373A3" w:rsidRPr="00181FCD">
        <w:t xml:space="preserve"> </w:t>
      </w:r>
      <w:r w:rsidRPr="00181FCD">
        <w:t>Nacional</w:t>
      </w:r>
      <w:r w:rsidR="00F373A3" w:rsidRPr="00181FCD">
        <w:t xml:space="preserve"> </w:t>
      </w:r>
      <w:r w:rsidRPr="00181FCD">
        <w:t>de</w:t>
      </w:r>
      <w:r w:rsidR="00F373A3" w:rsidRPr="00181FCD">
        <w:t xml:space="preserve"> </w:t>
      </w:r>
      <w:r w:rsidRPr="00181FCD">
        <w:t>Lucha</w:t>
      </w:r>
      <w:r w:rsidR="00F373A3" w:rsidRPr="00181FCD">
        <w:t xml:space="preserve"> </w:t>
      </w:r>
      <w:r w:rsidRPr="00181FCD">
        <w:t>contra</w:t>
      </w:r>
      <w:r w:rsidR="00F373A3" w:rsidRPr="00181FCD">
        <w:t xml:space="preserve"> </w:t>
      </w:r>
      <w:r w:rsidRPr="00181FCD">
        <w:t>la</w:t>
      </w:r>
      <w:r w:rsidR="00F373A3" w:rsidRPr="00181FCD">
        <w:t xml:space="preserve"> </w:t>
      </w:r>
      <w:r w:rsidRPr="00181FCD">
        <w:t>Trata</w:t>
      </w:r>
      <w:r w:rsidR="00F373A3" w:rsidRPr="00181FCD">
        <w:t xml:space="preserve"> </w:t>
      </w:r>
      <w:r w:rsidRPr="00181FCD">
        <w:t>de</w:t>
      </w:r>
      <w:r w:rsidR="00F373A3" w:rsidRPr="00181FCD">
        <w:t xml:space="preserve"> </w:t>
      </w:r>
      <w:r w:rsidRPr="00181FCD">
        <w:t>Personas</w:t>
      </w:r>
      <w:r w:rsidR="00F373A3" w:rsidRPr="00181FCD">
        <w:t xml:space="preserve"> </w:t>
      </w:r>
      <w:r w:rsidRPr="00181FCD">
        <w:t>y</w:t>
      </w:r>
      <w:r w:rsidR="00F373A3" w:rsidRPr="00181FCD">
        <w:t xml:space="preserve"> </w:t>
      </w:r>
      <w:r w:rsidRPr="00181FCD">
        <w:t>las</w:t>
      </w:r>
      <w:r w:rsidR="00F373A3" w:rsidRPr="00181FCD">
        <w:t xml:space="preserve"> </w:t>
      </w:r>
      <w:r w:rsidRPr="00181FCD">
        <w:t>principales</w:t>
      </w:r>
      <w:r w:rsidR="00F373A3" w:rsidRPr="00181FCD">
        <w:t xml:space="preserve"> </w:t>
      </w:r>
      <w:r w:rsidRPr="00181FCD">
        <w:t>ONG</w:t>
      </w:r>
      <w:r w:rsidR="00F373A3" w:rsidRPr="00181FCD">
        <w:t xml:space="preserve"> </w:t>
      </w:r>
      <w:r w:rsidRPr="00181FCD">
        <w:t>que</w:t>
      </w:r>
      <w:r w:rsidR="00F373A3" w:rsidRPr="00181FCD">
        <w:t xml:space="preserve"> </w:t>
      </w:r>
      <w:r w:rsidRPr="00181FCD">
        <w:t>trabajan</w:t>
      </w:r>
      <w:r w:rsidR="00F373A3" w:rsidRPr="00181FCD">
        <w:t xml:space="preserve"> </w:t>
      </w:r>
      <w:r w:rsidRPr="00181FCD">
        <w:t>en</w:t>
      </w:r>
      <w:r w:rsidR="00F373A3" w:rsidRPr="00181FCD">
        <w:t xml:space="preserve"> </w:t>
      </w:r>
      <w:r w:rsidRPr="00181FCD">
        <w:t>el</w:t>
      </w:r>
      <w:r w:rsidR="00F373A3" w:rsidRPr="00181FCD">
        <w:t xml:space="preserve"> </w:t>
      </w:r>
      <w:r w:rsidRPr="00181FCD">
        <w:t>ámbito</w:t>
      </w:r>
      <w:r w:rsidR="00F373A3" w:rsidRPr="00181FCD">
        <w:t xml:space="preserve"> </w:t>
      </w:r>
      <w:r w:rsidRPr="00181FCD">
        <w:t>de</w:t>
      </w:r>
      <w:r w:rsidR="00F373A3" w:rsidRPr="00181FCD">
        <w:t xml:space="preserve"> </w:t>
      </w:r>
      <w:r w:rsidRPr="00181FCD">
        <w:t>la</w:t>
      </w:r>
      <w:r w:rsidR="00F373A3" w:rsidRPr="00181FCD">
        <w:t xml:space="preserve"> </w:t>
      </w:r>
      <w:r w:rsidRPr="00181FCD">
        <w:t>protección</w:t>
      </w:r>
      <w:r w:rsidR="00F373A3" w:rsidRPr="00181FCD">
        <w:t xml:space="preserve"> </w:t>
      </w:r>
      <w:r w:rsidRPr="00181FCD">
        <w:t>de</w:t>
      </w:r>
      <w:r w:rsidR="00F373A3" w:rsidRPr="00181FCD">
        <w:t xml:space="preserve"> </w:t>
      </w:r>
      <w:r w:rsidRPr="00181FCD">
        <w:t>las</w:t>
      </w:r>
      <w:r w:rsidR="00F373A3" w:rsidRPr="00181FCD">
        <w:t xml:space="preserve"> </w:t>
      </w:r>
      <w:r w:rsidRPr="00181FCD">
        <w:t>víctimas</w:t>
      </w:r>
      <w:r w:rsidR="00F373A3" w:rsidRPr="00181FCD">
        <w:t xml:space="preserve"> </w:t>
      </w:r>
      <w:r w:rsidRPr="00181FCD">
        <w:t>de</w:t>
      </w:r>
      <w:r w:rsidR="00F373A3" w:rsidRPr="00181FCD">
        <w:t xml:space="preserve"> </w:t>
      </w:r>
      <w:r w:rsidRPr="00181FCD">
        <w:t>la</w:t>
      </w:r>
      <w:r w:rsidR="00F373A3" w:rsidRPr="00181FCD">
        <w:t xml:space="preserve"> </w:t>
      </w:r>
      <w:r w:rsidRPr="00181FCD">
        <w:t>violencia</w:t>
      </w:r>
      <w:r w:rsidR="00F373A3" w:rsidRPr="00181FCD">
        <w:t xml:space="preserve"> </w:t>
      </w:r>
      <w:r w:rsidRPr="00181FCD">
        <w:t>y</w:t>
      </w:r>
      <w:r w:rsidR="00F373A3" w:rsidRPr="00181FCD">
        <w:t xml:space="preserve"> </w:t>
      </w:r>
      <w:r w:rsidRPr="00181FCD">
        <w:t>la</w:t>
      </w:r>
      <w:r w:rsidR="00F373A3" w:rsidRPr="00181FCD">
        <w:t xml:space="preserve"> </w:t>
      </w:r>
      <w:r w:rsidRPr="00181FCD">
        <w:t>trata,</w:t>
      </w:r>
      <w:r w:rsidR="00F373A3" w:rsidRPr="00181FCD">
        <w:t xml:space="preserve"> </w:t>
      </w:r>
      <w:r w:rsidRPr="00181FCD">
        <w:t>ha</w:t>
      </w:r>
      <w:r w:rsidR="00F373A3" w:rsidRPr="00181FCD">
        <w:t xml:space="preserve"> </w:t>
      </w:r>
      <w:r w:rsidRPr="00181FCD">
        <w:t>aumentado</w:t>
      </w:r>
      <w:r w:rsidR="00F373A3" w:rsidRPr="00181FCD">
        <w:t xml:space="preserve"> </w:t>
      </w:r>
      <w:r w:rsidRPr="00181FCD">
        <w:t>el</w:t>
      </w:r>
      <w:r w:rsidR="00F373A3" w:rsidRPr="00181FCD">
        <w:t xml:space="preserve"> </w:t>
      </w:r>
      <w:r w:rsidRPr="00181FCD">
        <w:t>número</w:t>
      </w:r>
      <w:r w:rsidR="00F373A3" w:rsidRPr="00181FCD">
        <w:t xml:space="preserve"> </w:t>
      </w:r>
      <w:r w:rsidRPr="00181FCD">
        <w:t>de</w:t>
      </w:r>
      <w:r w:rsidR="00F373A3" w:rsidRPr="00181FCD">
        <w:t xml:space="preserve"> </w:t>
      </w:r>
      <w:r w:rsidRPr="00181FCD">
        <w:t>casos</w:t>
      </w:r>
      <w:r w:rsidR="00F373A3" w:rsidRPr="00181FCD">
        <w:t xml:space="preserve"> </w:t>
      </w:r>
      <w:r w:rsidRPr="00181FCD">
        <w:t>de</w:t>
      </w:r>
      <w:r w:rsidR="00F373A3" w:rsidRPr="00181FCD">
        <w:t xml:space="preserve"> </w:t>
      </w:r>
      <w:r w:rsidRPr="00181FCD">
        <w:t>mujeres</w:t>
      </w:r>
      <w:r w:rsidR="00F373A3" w:rsidRPr="00181FCD">
        <w:t xml:space="preserve"> </w:t>
      </w:r>
      <w:r w:rsidRPr="00181FCD">
        <w:t>con</w:t>
      </w:r>
      <w:r w:rsidR="00F373A3" w:rsidRPr="00181FCD">
        <w:t xml:space="preserve"> </w:t>
      </w:r>
      <w:r w:rsidRPr="00181FCD">
        <w:t>discapacidad</w:t>
      </w:r>
      <w:r w:rsidR="00F373A3" w:rsidRPr="00181FCD">
        <w:t xml:space="preserve"> </w:t>
      </w:r>
      <w:r w:rsidRPr="00181FCD">
        <w:t>mental</w:t>
      </w:r>
      <w:r w:rsidR="00F373A3" w:rsidRPr="00181FCD">
        <w:t xml:space="preserve"> </w:t>
      </w:r>
      <w:r w:rsidRPr="00181FCD">
        <w:t>y</w:t>
      </w:r>
      <w:r w:rsidR="00F373A3" w:rsidRPr="00181FCD">
        <w:t xml:space="preserve"> </w:t>
      </w:r>
      <w:r w:rsidRPr="00181FCD">
        <w:t>trastornos</w:t>
      </w:r>
      <w:r w:rsidR="00F373A3" w:rsidRPr="00181FCD">
        <w:t xml:space="preserve"> </w:t>
      </w:r>
      <w:r w:rsidRPr="00181FCD">
        <w:t>psicológicos</w:t>
      </w:r>
      <w:r w:rsidR="00F373A3" w:rsidRPr="00181FCD">
        <w:t xml:space="preserve"> </w:t>
      </w:r>
      <w:r w:rsidRPr="00181FCD">
        <w:t>o</w:t>
      </w:r>
      <w:r w:rsidR="00F373A3" w:rsidRPr="00181FCD">
        <w:t xml:space="preserve"> </w:t>
      </w:r>
      <w:r w:rsidRPr="00181FCD">
        <w:t>psiquiátricos</w:t>
      </w:r>
      <w:r w:rsidR="00F373A3" w:rsidRPr="00181FCD">
        <w:t xml:space="preserve"> </w:t>
      </w:r>
      <w:r w:rsidRPr="00181FCD">
        <w:t>que</w:t>
      </w:r>
      <w:r w:rsidR="00F373A3" w:rsidRPr="00181FCD">
        <w:t xml:space="preserve"> </w:t>
      </w:r>
      <w:r w:rsidRPr="00181FCD">
        <w:t>han</w:t>
      </w:r>
      <w:r w:rsidR="00F373A3" w:rsidRPr="00181FCD">
        <w:t xml:space="preserve"> </w:t>
      </w:r>
      <w:r w:rsidRPr="00181FCD">
        <w:t>requerido</w:t>
      </w:r>
      <w:r w:rsidR="00F373A3" w:rsidRPr="00181FCD">
        <w:t xml:space="preserve"> </w:t>
      </w:r>
      <w:r w:rsidRPr="00181FCD">
        <w:t>atención.</w:t>
      </w:r>
      <w:r w:rsidR="00F373A3" w:rsidRPr="00181FCD">
        <w:t xml:space="preserve"> </w:t>
      </w:r>
      <w:r w:rsidRPr="00181FCD">
        <w:t>Se</w:t>
      </w:r>
      <w:r w:rsidR="00F373A3" w:rsidRPr="00181FCD">
        <w:t xml:space="preserve"> </w:t>
      </w:r>
      <w:r w:rsidRPr="00181FCD">
        <w:t>cree</w:t>
      </w:r>
      <w:r w:rsidR="00F373A3" w:rsidRPr="00181FCD">
        <w:t xml:space="preserve"> </w:t>
      </w:r>
      <w:r w:rsidRPr="00181FCD">
        <w:t>que,</w:t>
      </w:r>
      <w:r w:rsidR="00F373A3" w:rsidRPr="00181FCD">
        <w:t xml:space="preserve"> </w:t>
      </w:r>
      <w:r w:rsidRPr="00181FCD">
        <w:t>debido</w:t>
      </w:r>
      <w:r w:rsidR="00F373A3" w:rsidRPr="00181FCD">
        <w:t xml:space="preserve"> </w:t>
      </w:r>
      <w:r w:rsidRPr="00181FCD">
        <w:t>a</w:t>
      </w:r>
      <w:r w:rsidR="00F373A3" w:rsidRPr="00181FCD">
        <w:t xml:space="preserve"> </w:t>
      </w:r>
      <w:r w:rsidRPr="00181FCD">
        <w:t>la</w:t>
      </w:r>
      <w:r w:rsidR="00F373A3" w:rsidRPr="00181FCD">
        <w:t xml:space="preserve"> </w:t>
      </w:r>
      <w:r w:rsidRPr="00181FCD">
        <w:t>naturaleza</w:t>
      </w:r>
      <w:r w:rsidR="00F373A3" w:rsidRPr="00181FCD">
        <w:t xml:space="preserve"> </w:t>
      </w:r>
      <w:r w:rsidRPr="00181FCD">
        <w:t>de</w:t>
      </w:r>
      <w:r w:rsidR="00F373A3" w:rsidRPr="00181FCD">
        <w:t xml:space="preserve"> </w:t>
      </w:r>
      <w:r w:rsidRPr="00181FCD">
        <w:t>su</w:t>
      </w:r>
      <w:r w:rsidR="00F373A3" w:rsidRPr="00181FCD">
        <w:t xml:space="preserve"> </w:t>
      </w:r>
      <w:r w:rsidRPr="00181FCD">
        <w:t>discapacidad,</w:t>
      </w:r>
      <w:r w:rsidR="00F373A3" w:rsidRPr="00181FCD">
        <w:t xml:space="preserve"> </w:t>
      </w:r>
      <w:r w:rsidRPr="00181FCD">
        <w:t>las</w:t>
      </w:r>
      <w:r w:rsidR="00F373A3" w:rsidRPr="00181FCD">
        <w:t xml:space="preserve"> </w:t>
      </w:r>
      <w:r w:rsidRPr="00181FCD">
        <w:t>víctimas</w:t>
      </w:r>
      <w:r w:rsidR="00F373A3" w:rsidRPr="00181FCD">
        <w:t xml:space="preserve"> </w:t>
      </w:r>
      <w:r w:rsidRPr="00181FCD">
        <w:t>son</w:t>
      </w:r>
      <w:r w:rsidR="00F373A3" w:rsidRPr="00181FCD">
        <w:t xml:space="preserve"> </w:t>
      </w:r>
      <w:r w:rsidRPr="00181FCD">
        <w:t>más</w:t>
      </w:r>
      <w:r w:rsidR="00F373A3" w:rsidRPr="00181FCD">
        <w:t xml:space="preserve"> </w:t>
      </w:r>
      <w:r w:rsidRPr="00181FCD">
        <w:t>fácilmente</w:t>
      </w:r>
      <w:r w:rsidR="00F373A3" w:rsidRPr="00181FCD">
        <w:t xml:space="preserve"> </w:t>
      </w:r>
      <w:r w:rsidRPr="00181FCD">
        <w:t>manipuladas</w:t>
      </w:r>
      <w:r w:rsidR="00F373A3" w:rsidRPr="00181FCD">
        <w:t xml:space="preserve"> </w:t>
      </w:r>
      <w:r w:rsidRPr="00181FCD">
        <w:t>por</w:t>
      </w:r>
      <w:r w:rsidR="00F373A3" w:rsidRPr="00181FCD">
        <w:t xml:space="preserve"> </w:t>
      </w:r>
      <w:r w:rsidRPr="00181FCD">
        <w:t>los</w:t>
      </w:r>
      <w:r w:rsidR="00F373A3" w:rsidRPr="00181FCD">
        <w:t xml:space="preserve"> </w:t>
      </w:r>
      <w:r w:rsidRPr="00181FCD">
        <w:t>traficantes</w:t>
      </w:r>
      <w:r w:rsidR="00F373A3" w:rsidRPr="00181FCD">
        <w:t xml:space="preserve"> </w:t>
      </w:r>
      <w:r w:rsidRPr="00181FCD">
        <w:t>de</w:t>
      </w:r>
      <w:r w:rsidR="00F373A3" w:rsidRPr="00181FCD">
        <w:t xml:space="preserve"> </w:t>
      </w:r>
      <w:r w:rsidRPr="00181FCD">
        <w:t>personas.</w:t>
      </w:r>
      <w:r w:rsidR="00F373A3" w:rsidRPr="00181FCD">
        <w:t xml:space="preserve"> </w:t>
      </w:r>
      <w:r w:rsidRPr="00181FCD">
        <w:t>En</w:t>
      </w:r>
      <w:r w:rsidR="00F373A3" w:rsidRPr="00181FCD">
        <w:t xml:space="preserve"> </w:t>
      </w:r>
      <w:r w:rsidRPr="00181FCD">
        <w:t>algunos</w:t>
      </w:r>
      <w:r w:rsidR="00F373A3" w:rsidRPr="00181FCD">
        <w:t xml:space="preserve"> </w:t>
      </w:r>
      <w:r w:rsidRPr="00181FCD">
        <w:t>casos,</w:t>
      </w:r>
      <w:r w:rsidR="00F373A3" w:rsidRPr="00181FCD">
        <w:t xml:space="preserve"> </w:t>
      </w:r>
      <w:r w:rsidRPr="00181FCD">
        <w:t>su</w:t>
      </w:r>
      <w:r w:rsidR="00F373A3" w:rsidRPr="00181FCD">
        <w:t xml:space="preserve"> </w:t>
      </w:r>
      <w:r w:rsidRPr="00181FCD">
        <w:t>testimonio</w:t>
      </w:r>
      <w:r w:rsidR="00F373A3" w:rsidRPr="00181FCD">
        <w:t xml:space="preserve"> </w:t>
      </w:r>
      <w:r w:rsidRPr="00181FCD">
        <w:t>contra</w:t>
      </w:r>
      <w:r w:rsidR="00F373A3" w:rsidRPr="00181FCD">
        <w:t xml:space="preserve"> </w:t>
      </w:r>
      <w:r w:rsidRPr="00181FCD">
        <w:t>los</w:t>
      </w:r>
      <w:r w:rsidR="00F373A3" w:rsidRPr="00181FCD">
        <w:t xml:space="preserve"> </w:t>
      </w:r>
      <w:r w:rsidRPr="00181FCD">
        <w:t>traficantes</w:t>
      </w:r>
      <w:r w:rsidR="00F373A3" w:rsidRPr="00181FCD">
        <w:t xml:space="preserve"> </w:t>
      </w:r>
      <w:r w:rsidRPr="00181FCD">
        <w:t>no</w:t>
      </w:r>
      <w:r w:rsidR="00F373A3" w:rsidRPr="00181FCD">
        <w:t xml:space="preserve"> </w:t>
      </w:r>
      <w:r w:rsidRPr="00181FCD">
        <w:t>puede</w:t>
      </w:r>
      <w:r w:rsidR="00F373A3" w:rsidRPr="00181FCD">
        <w:t xml:space="preserve"> </w:t>
      </w:r>
      <w:r w:rsidRPr="00181FCD">
        <w:t>ser</w:t>
      </w:r>
      <w:r w:rsidR="00F373A3" w:rsidRPr="00181FCD">
        <w:t xml:space="preserve"> </w:t>
      </w:r>
      <w:r w:rsidRPr="00181FCD">
        <w:t>tomado</w:t>
      </w:r>
      <w:r w:rsidR="00F373A3" w:rsidRPr="00181FCD">
        <w:t xml:space="preserve"> </w:t>
      </w:r>
      <w:r w:rsidRPr="00181FCD">
        <w:t>en</w:t>
      </w:r>
      <w:r w:rsidR="00F373A3" w:rsidRPr="00181FCD">
        <w:t xml:space="preserve"> </w:t>
      </w:r>
      <w:r w:rsidRPr="00181FCD">
        <w:t>cuenta</w:t>
      </w:r>
      <w:r w:rsidR="00F373A3" w:rsidRPr="00181FCD">
        <w:t xml:space="preserve"> </w:t>
      </w:r>
      <w:r w:rsidRPr="00181FCD">
        <w:t>por</w:t>
      </w:r>
      <w:r w:rsidR="00F373A3" w:rsidRPr="00181FCD">
        <w:t xml:space="preserve"> </w:t>
      </w:r>
      <w:r w:rsidRPr="00181FCD">
        <w:t>el</w:t>
      </w:r>
      <w:r w:rsidR="00F373A3" w:rsidRPr="00181FCD">
        <w:t xml:space="preserve"> </w:t>
      </w:r>
      <w:r w:rsidRPr="00181FCD">
        <w:t>Tribunal</w:t>
      </w:r>
      <w:r w:rsidR="00F373A3" w:rsidRPr="00181FCD">
        <w:t xml:space="preserve"> </w:t>
      </w:r>
      <w:r w:rsidRPr="00181FCD">
        <w:t>de</w:t>
      </w:r>
      <w:r w:rsidR="00F373A3" w:rsidRPr="00181FCD">
        <w:t xml:space="preserve"> </w:t>
      </w:r>
      <w:r w:rsidRPr="00181FCD">
        <w:t>Justicia.</w:t>
      </w:r>
      <w:r w:rsidR="00F373A3" w:rsidRPr="00181FCD">
        <w:t xml:space="preserve"> </w:t>
      </w:r>
      <w:r w:rsidRPr="00181FCD">
        <w:t>Los</w:t>
      </w:r>
      <w:r w:rsidR="00F373A3" w:rsidRPr="00181FCD">
        <w:t xml:space="preserve"> </w:t>
      </w:r>
      <w:r w:rsidRPr="00181FCD">
        <w:t>procedimientos</w:t>
      </w:r>
      <w:r w:rsidR="00F373A3" w:rsidRPr="00181FCD">
        <w:t xml:space="preserve"> </w:t>
      </w:r>
      <w:r w:rsidRPr="00181FCD">
        <w:t>penales</w:t>
      </w:r>
      <w:r w:rsidR="00F373A3" w:rsidRPr="00181FCD">
        <w:t xml:space="preserve"> </w:t>
      </w:r>
      <w:r w:rsidRPr="00181FCD">
        <w:t>prolongados</w:t>
      </w:r>
      <w:r w:rsidR="00F373A3" w:rsidRPr="00181FCD">
        <w:t xml:space="preserve"> </w:t>
      </w:r>
      <w:r w:rsidRPr="00181FCD">
        <w:t>requieren</w:t>
      </w:r>
      <w:r w:rsidR="00F373A3" w:rsidRPr="00181FCD">
        <w:t xml:space="preserve"> </w:t>
      </w:r>
      <w:r w:rsidRPr="00181FCD">
        <w:t>una</w:t>
      </w:r>
      <w:r w:rsidR="00F373A3" w:rsidRPr="00181FCD">
        <w:t xml:space="preserve"> </w:t>
      </w:r>
      <w:r w:rsidRPr="00181FCD">
        <w:t>estancia</w:t>
      </w:r>
      <w:r w:rsidR="00F373A3" w:rsidRPr="00181FCD">
        <w:t xml:space="preserve"> </w:t>
      </w:r>
      <w:r w:rsidRPr="00181FCD">
        <w:t>más</w:t>
      </w:r>
      <w:r w:rsidR="00F373A3" w:rsidRPr="00181FCD">
        <w:t xml:space="preserve"> </w:t>
      </w:r>
      <w:r w:rsidRPr="00181FCD">
        <w:t>larga</w:t>
      </w:r>
      <w:r w:rsidR="00F373A3" w:rsidRPr="00181FCD">
        <w:t xml:space="preserve"> </w:t>
      </w:r>
      <w:r w:rsidRPr="00181FCD">
        <w:t>en</w:t>
      </w:r>
      <w:r w:rsidR="00F373A3" w:rsidRPr="00181FCD">
        <w:t xml:space="preserve"> </w:t>
      </w:r>
      <w:r w:rsidRPr="00181FCD">
        <w:t>los</w:t>
      </w:r>
      <w:r w:rsidR="00F373A3" w:rsidRPr="00181FCD">
        <w:t xml:space="preserve"> </w:t>
      </w:r>
      <w:r w:rsidRPr="00181FCD">
        <w:t>albergues.</w:t>
      </w:r>
      <w:r w:rsidR="00F373A3" w:rsidRPr="00181FCD">
        <w:t xml:space="preserve"> </w:t>
      </w:r>
      <w:r w:rsidRPr="00181FCD">
        <w:t>Las</w:t>
      </w:r>
      <w:r w:rsidR="00F373A3" w:rsidRPr="00181FCD">
        <w:t xml:space="preserve"> </w:t>
      </w:r>
      <w:r w:rsidRPr="00181FCD">
        <w:t>víctimas</w:t>
      </w:r>
      <w:r w:rsidR="00F373A3" w:rsidRPr="00181FCD">
        <w:t xml:space="preserve"> </w:t>
      </w:r>
      <w:r w:rsidRPr="00181FCD">
        <w:t>tienen</w:t>
      </w:r>
      <w:r w:rsidR="00F373A3" w:rsidRPr="00181FCD">
        <w:t xml:space="preserve"> </w:t>
      </w:r>
      <w:r w:rsidRPr="00181FCD">
        <w:t>que</w:t>
      </w:r>
      <w:r w:rsidR="00F373A3" w:rsidRPr="00181FCD">
        <w:t xml:space="preserve"> </w:t>
      </w:r>
      <w:r w:rsidRPr="00181FCD">
        <w:t>estar</w:t>
      </w:r>
      <w:r w:rsidR="00F373A3" w:rsidRPr="00181FCD">
        <w:t xml:space="preserve"> </w:t>
      </w:r>
      <w:r w:rsidRPr="00181FCD">
        <w:t>muy</w:t>
      </w:r>
      <w:r w:rsidR="00F373A3" w:rsidRPr="00181FCD">
        <w:t xml:space="preserve"> </w:t>
      </w:r>
      <w:r w:rsidRPr="00181FCD">
        <w:t>motivadas</w:t>
      </w:r>
      <w:r w:rsidR="00F373A3" w:rsidRPr="00181FCD">
        <w:t xml:space="preserve"> </w:t>
      </w:r>
      <w:r w:rsidRPr="00181FCD">
        <w:t>para</w:t>
      </w:r>
      <w:r w:rsidR="00F373A3" w:rsidRPr="00181FCD">
        <w:t xml:space="preserve"> </w:t>
      </w:r>
      <w:r w:rsidRPr="00181FCD">
        <w:t>acceder</w:t>
      </w:r>
      <w:r w:rsidR="00F373A3" w:rsidRPr="00181FCD">
        <w:t xml:space="preserve"> </w:t>
      </w:r>
      <w:r w:rsidRPr="00181FCD">
        <w:t>a</w:t>
      </w:r>
      <w:r w:rsidR="00F373A3" w:rsidRPr="00181FCD">
        <w:t xml:space="preserve"> </w:t>
      </w:r>
      <w:r w:rsidRPr="00181FCD">
        <w:t>cooperar</w:t>
      </w:r>
      <w:r w:rsidR="00F373A3" w:rsidRPr="00181FCD">
        <w:t xml:space="preserve"> </w:t>
      </w:r>
      <w:r w:rsidRPr="00181FCD">
        <w:t>y</w:t>
      </w:r>
      <w:r w:rsidR="00F373A3" w:rsidRPr="00181FCD">
        <w:t xml:space="preserve"> </w:t>
      </w:r>
      <w:r w:rsidRPr="00181FCD">
        <w:t>testificar.</w:t>
      </w:r>
    </w:p>
    <w:p w:rsidR="001937F4" w:rsidRPr="00181FCD" w:rsidRDefault="001937F4" w:rsidP="00347B20">
      <w:pPr>
        <w:pStyle w:val="SingleTxtG"/>
        <w:suppressAutoHyphens/>
      </w:pPr>
      <w:r w:rsidRPr="00181FCD">
        <w:t>218.</w:t>
      </w:r>
      <w:r w:rsidRPr="00181FCD">
        <w:tab/>
        <w:t>Muchas</w:t>
      </w:r>
      <w:r w:rsidR="00F373A3" w:rsidRPr="00181FCD">
        <w:t xml:space="preserve"> </w:t>
      </w:r>
      <w:r w:rsidRPr="00181FCD">
        <w:t>mujeres</w:t>
      </w:r>
      <w:r w:rsidR="00F373A3" w:rsidRPr="00181FCD">
        <w:t xml:space="preserve"> </w:t>
      </w:r>
      <w:r w:rsidRPr="00181FCD">
        <w:t>padecen</w:t>
      </w:r>
      <w:r w:rsidR="00F373A3" w:rsidRPr="00181FCD">
        <w:t xml:space="preserve"> </w:t>
      </w:r>
      <w:r w:rsidRPr="00181FCD">
        <w:t>enfermedades</w:t>
      </w:r>
      <w:r w:rsidR="00F373A3" w:rsidRPr="00181FCD">
        <w:t xml:space="preserve"> </w:t>
      </w:r>
      <w:r w:rsidRPr="00181FCD">
        <w:t>crónicas</w:t>
      </w:r>
      <w:r w:rsidR="00F373A3" w:rsidRPr="00181FCD">
        <w:t xml:space="preserve"> </w:t>
      </w:r>
      <w:r w:rsidRPr="00181FCD">
        <w:t>o</w:t>
      </w:r>
      <w:r w:rsidR="00F373A3" w:rsidRPr="00181FCD">
        <w:t xml:space="preserve"> </w:t>
      </w:r>
      <w:r w:rsidRPr="00181FCD">
        <w:t>necesitan</w:t>
      </w:r>
      <w:r w:rsidR="00F373A3" w:rsidRPr="00181FCD">
        <w:t xml:space="preserve"> </w:t>
      </w:r>
      <w:r w:rsidRPr="00181FCD">
        <w:t>con</w:t>
      </w:r>
      <w:r w:rsidR="00F373A3" w:rsidRPr="00181FCD">
        <w:t xml:space="preserve"> </w:t>
      </w:r>
      <w:r w:rsidRPr="00181FCD">
        <w:t>urgencia</w:t>
      </w:r>
      <w:r w:rsidR="00F373A3" w:rsidRPr="00181FCD">
        <w:t xml:space="preserve"> </w:t>
      </w:r>
      <w:r w:rsidRPr="00181FCD">
        <w:t>tratamiento</w:t>
      </w:r>
      <w:r w:rsidR="00F373A3" w:rsidRPr="00181FCD">
        <w:t xml:space="preserve"> </w:t>
      </w:r>
      <w:r w:rsidRPr="00181FCD">
        <w:t>dental</w:t>
      </w:r>
      <w:r w:rsidR="00F373A3" w:rsidRPr="00181FCD">
        <w:t xml:space="preserve"> </w:t>
      </w:r>
      <w:r w:rsidRPr="00181FCD">
        <w:t>y</w:t>
      </w:r>
      <w:r w:rsidR="00F373A3" w:rsidRPr="00181FCD">
        <w:t xml:space="preserve"> </w:t>
      </w:r>
      <w:r w:rsidRPr="00181FCD">
        <w:t>otras</w:t>
      </w:r>
      <w:r w:rsidR="00F373A3" w:rsidRPr="00181FCD">
        <w:t xml:space="preserve"> </w:t>
      </w:r>
      <w:r w:rsidRPr="00181FCD">
        <w:t>intervenciones</w:t>
      </w:r>
      <w:r w:rsidR="00F373A3" w:rsidRPr="00181FCD">
        <w:t xml:space="preserve"> </w:t>
      </w:r>
      <w:r w:rsidRPr="00181FCD">
        <w:t>médicas.</w:t>
      </w:r>
      <w:r w:rsidR="00F373A3" w:rsidRPr="00181FCD">
        <w:t xml:space="preserve"> </w:t>
      </w:r>
      <w:r w:rsidRPr="00181FCD">
        <w:t>Numerosas</w:t>
      </w:r>
      <w:r w:rsidR="00F373A3" w:rsidRPr="00181FCD">
        <w:t xml:space="preserve"> </w:t>
      </w:r>
      <w:r w:rsidRPr="00181FCD">
        <w:t>víctimas</w:t>
      </w:r>
      <w:r w:rsidR="00F373A3" w:rsidRPr="00181FCD">
        <w:t xml:space="preserve"> </w:t>
      </w:r>
      <w:r w:rsidRPr="00181FCD">
        <w:t>carecen</w:t>
      </w:r>
      <w:r w:rsidR="00F373A3" w:rsidRPr="00181FCD">
        <w:t xml:space="preserve"> </w:t>
      </w:r>
      <w:r w:rsidRPr="00181FCD">
        <w:t>de</w:t>
      </w:r>
      <w:r w:rsidR="00F373A3" w:rsidRPr="00181FCD">
        <w:t xml:space="preserve"> </w:t>
      </w:r>
      <w:r w:rsidRPr="00181FCD">
        <w:t>seguro</w:t>
      </w:r>
      <w:r w:rsidR="00F373A3" w:rsidRPr="00181FCD">
        <w:t xml:space="preserve"> </w:t>
      </w:r>
      <w:r w:rsidRPr="00181FCD">
        <w:t>médico</w:t>
      </w:r>
      <w:r w:rsidR="00F373A3" w:rsidRPr="00181FCD">
        <w:t xml:space="preserve"> </w:t>
      </w:r>
      <w:r w:rsidRPr="00181FCD">
        <w:t>o</w:t>
      </w:r>
      <w:r w:rsidR="00F373A3" w:rsidRPr="00181FCD">
        <w:t xml:space="preserve"> </w:t>
      </w:r>
      <w:r w:rsidRPr="00181FCD">
        <w:t>han</w:t>
      </w:r>
      <w:r w:rsidR="00F373A3" w:rsidRPr="00181FCD">
        <w:t xml:space="preserve"> </w:t>
      </w:r>
      <w:r w:rsidRPr="00181FCD">
        <w:t>perdido</w:t>
      </w:r>
      <w:r w:rsidR="00F373A3" w:rsidRPr="00181FCD">
        <w:t xml:space="preserve"> </w:t>
      </w:r>
      <w:r w:rsidRPr="00181FCD">
        <w:t>el</w:t>
      </w:r>
      <w:r w:rsidR="00F373A3" w:rsidRPr="00181FCD">
        <w:t xml:space="preserve"> </w:t>
      </w:r>
      <w:r w:rsidRPr="00181FCD">
        <w:t>derecho</w:t>
      </w:r>
      <w:r w:rsidR="00F373A3" w:rsidRPr="00181FCD">
        <w:t xml:space="preserve"> </w:t>
      </w:r>
      <w:r w:rsidRPr="00181FCD">
        <w:t>de</w:t>
      </w:r>
      <w:r w:rsidR="00F373A3" w:rsidRPr="00181FCD">
        <w:t xml:space="preserve"> </w:t>
      </w:r>
      <w:r w:rsidRPr="00181FCD">
        <w:t>cobertura.</w:t>
      </w:r>
      <w:r w:rsidR="00F373A3" w:rsidRPr="00181FCD">
        <w:t xml:space="preserve"> </w:t>
      </w:r>
      <w:r w:rsidRPr="00181FCD">
        <w:t>La</w:t>
      </w:r>
      <w:r w:rsidR="00F373A3" w:rsidRPr="00181FCD">
        <w:t xml:space="preserve"> </w:t>
      </w:r>
      <w:r w:rsidRPr="00181FCD">
        <w:t>República</w:t>
      </w:r>
      <w:r w:rsidR="00F373A3" w:rsidRPr="00181FCD">
        <w:t xml:space="preserve"> </w:t>
      </w:r>
      <w:r w:rsidRPr="00181FCD">
        <w:t>de</w:t>
      </w:r>
      <w:r w:rsidR="00F373A3" w:rsidRPr="00181FCD">
        <w:t xml:space="preserve"> </w:t>
      </w:r>
      <w:r w:rsidRPr="00181FCD">
        <w:t>Bulgaria</w:t>
      </w:r>
      <w:r w:rsidR="00F373A3" w:rsidRPr="00181FCD">
        <w:t xml:space="preserve"> </w:t>
      </w:r>
      <w:r w:rsidRPr="00181FCD">
        <w:t>presta</w:t>
      </w:r>
      <w:r w:rsidR="00F373A3" w:rsidRPr="00181FCD">
        <w:t xml:space="preserve"> </w:t>
      </w:r>
      <w:r w:rsidRPr="00181FCD">
        <w:t>especial</w:t>
      </w:r>
      <w:r w:rsidR="00F373A3" w:rsidRPr="00181FCD">
        <w:t xml:space="preserve"> </w:t>
      </w:r>
      <w:r w:rsidRPr="00181FCD">
        <w:t>atención</w:t>
      </w:r>
      <w:r w:rsidR="00F373A3" w:rsidRPr="00181FCD">
        <w:t xml:space="preserve"> </w:t>
      </w:r>
      <w:r w:rsidRPr="00181FCD">
        <w:t>a</w:t>
      </w:r>
      <w:r w:rsidR="00F373A3" w:rsidRPr="00181FCD">
        <w:t xml:space="preserve"> </w:t>
      </w:r>
      <w:r w:rsidRPr="00181FCD">
        <w:t>los</w:t>
      </w:r>
      <w:r w:rsidR="00F373A3" w:rsidRPr="00181FCD">
        <w:t xml:space="preserve"> </w:t>
      </w:r>
      <w:r w:rsidRPr="00181FCD">
        <w:t>problemas</w:t>
      </w:r>
      <w:r w:rsidR="00F373A3" w:rsidRPr="00181FCD">
        <w:t xml:space="preserve"> </w:t>
      </w:r>
      <w:r w:rsidRPr="00181FCD">
        <w:t>mencionados,</w:t>
      </w:r>
      <w:r w:rsidR="00F373A3" w:rsidRPr="00181FCD">
        <w:t xml:space="preserve"> </w:t>
      </w:r>
      <w:r w:rsidRPr="00181FCD">
        <w:t>entre</w:t>
      </w:r>
      <w:r w:rsidR="00F373A3" w:rsidRPr="00181FCD">
        <w:t xml:space="preserve"> </w:t>
      </w:r>
      <w:r w:rsidRPr="00181FCD">
        <w:t>otros,</w:t>
      </w:r>
      <w:r w:rsidR="00F373A3" w:rsidRPr="00181FCD">
        <w:t xml:space="preserve"> </w:t>
      </w:r>
      <w:r w:rsidRPr="00181FCD">
        <w:t>y</w:t>
      </w:r>
      <w:r w:rsidR="00F373A3" w:rsidRPr="00181FCD">
        <w:t xml:space="preserve"> </w:t>
      </w:r>
      <w:r w:rsidRPr="00181FCD">
        <w:t>se</w:t>
      </w:r>
      <w:r w:rsidR="00F373A3" w:rsidRPr="00181FCD">
        <w:t xml:space="preserve"> </w:t>
      </w:r>
      <w:r w:rsidRPr="00181FCD">
        <w:t>fija</w:t>
      </w:r>
      <w:r w:rsidR="00F373A3" w:rsidRPr="00181FCD">
        <w:t xml:space="preserve"> </w:t>
      </w:r>
      <w:r w:rsidRPr="00181FCD">
        <w:t>el</w:t>
      </w:r>
      <w:r w:rsidR="00F373A3" w:rsidRPr="00181FCD">
        <w:t xml:space="preserve"> </w:t>
      </w:r>
      <w:r w:rsidRPr="00181FCD">
        <w:t>objetivo</w:t>
      </w:r>
      <w:r w:rsidR="00F373A3" w:rsidRPr="00181FCD">
        <w:t xml:space="preserve"> </w:t>
      </w:r>
      <w:r w:rsidRPr="00181FCD">
        <w:t>de</w:t>
      </w:r>
      <w:r w:rsidR="00F373A3" w:rsidRPr="00181FCD">
        <w:t xml:space="preserve"> </w:t>
      </w:r>
      <w:r w:rsidRPr="00181FCD">
        <w:t>continuar</w:t>
      </w:r>
      <w:r w:rsidR="00F373A3" w:rsidRPr="00181FCD">
        <w:t xml:space="preserve"> </w:t>
      </w:r>
      <w:r w:rsidRPr="00181FCD">
        <w:t>y</w:t>
      </w:r>
      <w:r w:rsidR="00F373A3" w:rsidRPr="00181FCD">
        <w:t xml:space="preserve"> </w:t>
      </w:r>
      <w:r w:rsidRPr="00181FCD">
        <w:t>mejorar</w:t>
      </w:r>
      <w:r w:rsidR="00F373A3" w:rsidRPr="00181FCD">
        <w:t xml:space="preserve"> </w:t>
      </w:r>
      <w:r w:rsidRPr="00181FCD">
        <w:t>su</w:t>
      </w:r>
      <w:r w:rsidR="00F373A3" w:rsidRPr="00181FCD">
        <w:t xml:space="preserve"> </w:t>
      </w:r>
      <w:r w:rsidRPr="00181FCD">
        <w:t>trabajo</w:t>
      </w:r>
      <w:r w:rsidR="00F373A3" w:rsidRPr="00181FCD">
        <w:t xml:space="preserve"> </w:t>
      </w:r>
      <w:r w:rsidRPr="00181FCD">
        <w:t>a</w:t>
      </w:r>
      <w:r w:rsidR="00F373A3" w:rsidRPr="00181FCD">
        <w:t xml:space="preserve"> </w:t>
      </w:r>
      <w:r w:rsidRPr="00181FCD">
        <w:t>fin</w:t>
      </w:r>
      <w:r w:rsidR="00F373A3" w:rsidRPr="00181FCD">
        <w:t xml:space="preserve"> </w:t>
      </w:r>
      <w:r w:rsidRPr="00181FCD">
        <w:t>de</w:t>
      </w:r>
      <w:r w:rsidR="00F373A3" w:rsidRPr="00181FCD">
        <w:t xml:space="preserve"> </w:t>
      </w:r>
      <w:r w:rsidRPr="00181FCD">
        <w:t>garantizar</w:t>
      </w:r>
      <w:r w:rsidR="00F373A3" w:rsidRPr="00181FCD">
        <w:t xml:space="preserve"> </w:t>
      </w:r>
      <w:r w:rsidRPr="00181FCD">
        <w:t>la</w:t>
      </w:r>
      <w:r w:rsidR="00F373A3" w:rsidRPr="00181FCD">
        <w:t xml:space="preserve"> </w:t>
      </w:r>
      <w:r w:rsidRPr="00181FCD">
        <w:t>plena</w:t>
      </w:r>
      <w:r w:rsidR="00F373A3" w:rsidRPr="00181FCD">
        <w:t xml:space="preserve"> </w:t>
      </w:r>
      <w:r w:rsidRPr="00181FCD">
        <w:t>protección</w:t>
      </w:r>
      <w:r w:rsidR="00F373A3" w:rsidRPr="00181FCD">
        <w:t xml:space="preserve"> </w:t>
      </w:r>
      <w:r w:rsidRPr="00181FCD">
        <w:t>de</w:t>
      </w:r>
      <w:r w:rsidR="00F373A3" w:rsidRPr="00181FCD">
        <w:t xml:space="preserve"> </w:t>
      </w:r>
      <w:r w:rsidRPr="00181FCD">
        <w:t>las</w:t>
      </w:r>
      <w:r w:rsidR="00F373A3" w:rsidRPr="00181FCD">
        <w:t xml:space="preserve"> </w:t>
      </w:r>
      <w:r w:rsidRPr="00181FCD">
        <w:t>víctimas.</w:t>
      </w:r>
    </w:p>
    <w:p w:rsidR="001937F4" w:rsidRPr="00181FCD" w:rsidRDefault="002C541C" w:rsidP="002C541C">
      <w:pPr>
        <w:pStyle w:val="H1G"/>
      </w:pPr>
      <w:r w:rsidRPr="00181FCD">
        <w:tab/>
      </w:r>
      <w:r w:rsidRPr="00181FCD">
        <w:tab/>
      </w:r>
      <w:r w:rsidR="001937F4" w:rsidRPr="00181FCD">
        <w:t>Artículo</w:t>
      </w:r>
      <w:r w:rsidR="00F373A3" w:rsidRPr="00181FCD">
        <w:t xml:space="preserve"> </w:t>
      </w:r>
      <w:r w:rsidR="001937F4" w:rsidRPr="00181FCD">
        <w:t>15</w:t>
      </w:r>
    </w:p>
    <w:p w:rsidR="001937F4" w:rsidRPr="00181FCD" w:rsidRDefault="002C541C" w:rsidP="002C541C">
      <w:pPr>
        <w:pStyle w:val="H23G"/>
      </w:pPr>
      <w:r w:rsidRPr="00181FCD">
        <w:tab/>
      </w:r>
      <w:r w:rsidRPr="00181FCD">
        <w:tab/>
      </w:r>
      <w:r w:rsidR="001937F4" w:rsidRPr="00181FCD">
        <w:t>Respuesta</w:t>
      </w:r>
      <w:r w:rsidR="00F373A3" w:rsidRPr="00181FCD">
        <w:t xml:space="preserve"> </w:t>
      </w:r>
      <w:r w:rsidR="001937F4" w:rsidRPr="00181FCD">
        <w:t>a</w:t>
      </w:r>
      <w:r w:rsidR="00F373A3" w:rsidRPr="00181FCD">
        <w:t xml:space="preserve"> </w:t>
      </w:r>
      <w:r w:rsidR="001937F4" w:rsidRPr="00181FCD">
        <w:t>las</w:t>
      </w:r>
      <w:r w:rsidR="00F373A3" w:rsidRPr="00181FCD">
        <w:t xml:space="preserve"> </w:t>
      </w:r>
      <w:r w:rsidR="001937F4" w:rsidRPr="00181FCD">
        <w:t>cuestiones</w:t>
      </w:r>
      <w:r w:rsidR="00F373A3" w:rsidRPr="00181FCD">
        <w:t xml:space="preserve"> </w:t>
      </w:r>
      <w:r w:rsidR="001937F4" w:rsidRPr="00181FCD">
        <w:t>planteadas</w:t>
      </w:r>
      <w:r w:rsidR="00F373A3" w:rsidRPr="00181FCD">
        <w:t xml:space="preserve"> </w:t>
      </w:r>
      <w:r w:rsidR="001937F4" w:rsidRPr="00181FCD">
        <w:t>en</w:t>
      </w:r>
      <w:r w:rsidR="00F373A3" w:rsidRPr="00181FCD">
        <w:t xml:space="preserve"> </w:t>
      </w:r>
      <w:r w:rsidR="001937F4" w:rsidRPr="00181FCD">
        <w:t>el</w:t>
      </w:r>
      <w:r w:rsidR="00F373A3" w:rsidRPr="00181FCD">
        <w:t xml:space="preserve"> </w:t>
      </w:r>
      <w:r w:rsidR="001937F4" w:rsidRPr="00181FCD">
        <w:t>párrafo</w:t>
      </w:r>
      <w:r w:rsidR="00F373A3" w:rsidRPr="00181FCD">
        <w:t xml:space="preserve"> </w:t>
      </w:r>
      <w:r w:rsidR="001937F4" w:rsidRPr="00181FCD">
        <w:t>25</w:t>
      </w:r>
      <w:r w:rsidR="00F373A3" w:rsidRPr="00181FCD">
        <w:t xml:space="preserve"> </w:t>
      </w:r>
      <w:r w:rsidR="001937F4" w:rsidRPr="00181FCD">
        <w:t>de</w:t>
      </w:r>
      <w:r w:rsidR="00F373A3" w:rsidRPr="00181FCD">
        <w:t xml:space="preserve"> </w:t>
      </w:r>
      <w:r w:rsidR="001937F4" w:rsidRPr="00181FCD">
        <w:t>la</w:t>
      </w:r>
      <w:r w:rsidR="00F373A3" w:rsidRPr="00181FCD">
        <w:t xml:space="preserve"> </w:t>
      </w:r>
      <w:r w:rsidR="001937F4" w:rsidRPr="00181FCD">
        <w:t>lista</w:t>
      </w:r>
      <w:r w:rsidR="00F373A3" w:rsidRPr="00181FCD">
        <w:t xml:space="preserve"> </w:t>
      </w:r>
      <w:r w:rsidR="001937F4" w:rsidRPr="00181FCD">
        <w:t>de</w:t>
      </w:r>
      <w:r w:rsidR="00F373A3" w:rsidRPr="00181FCD">
        <w:t xml:space="preserve"> </w:t>
      </w:r>
      <w:r w:rsidR="001937F4" w:rsidRPr="00181FCD">
        <w:t>cuestiones</w:t>
      </w:r>
    </w:p>
    <w:p w:rsidR="001937F4" w:rsidRPr="00181FCD" w:rsidRDefault="001937F4" w:rsidP="00347B20">
      <w:pPr>
        <w:pStyle w:val="SingleTxtG"/>
        <w:suppressAutoHyphens/>
      </w:pPr>
      <w:r w:rsidRPr="00181FCD">
        <w:t>219.</w:t>
      </w:r>
      <w:r w:rsidRPr="00181FCD">
        <w:tab/>
        <w:t>La</w:t>
      </w:r>
      <w:r w:rsidR="00F373A3" w:rsidRPr="00181FCD">
        <w:t xml:space="preserve"> </w:t>
      </w:r>
      <w:r w:rsidRPr="00181FCD">
        <w:t>legislación</w:t>
      </w:r>
      <w:r w:rsidR="00F373A3" w:rsidRPr="00181FCD">
        <w:t xml:space="preserve"> </w:t>
      </w:r>
      <w:r w:rsidRPr="00181FCD">
        <w:t>búlgara</w:t>
      </w:r>
      <w:r w:rsidR="00F373A3" w:rsidRPr="00181FCD">
        <w:t xml:space="preserve"> </w:t>
      </w:r>
      <w:r w:rsidRPr="00181FCD">
        <w:t>establece</w:t>
      </w:r>
      <w:r w:rsidR="00F373A3" w:rsidRPr="00181FCD">
        <w:t xml:space="preserve"> </w:t>
      </w:r>
      <w:r w:rsidRPr="00181FCD">
        <w:t>una</w:t>
      </w:r>
      <w:r w:rsidR="00F373A3" w:rsidRPr="00181FCD">
        <w:t xml:space="preserve"> </w:t>
      </w:r>
      <w:r w:rsidRPr="00181FCD">
        <w:t>serie</w:t>
      </w:r>
      <w:r w:rsidR="00F373A3" w:rsidRPr="00181FCD">
        <w:t xml:space="preserve"> </w:t>
      </w:r>
      <w:r w:rsidRPr="00181FCD">
        <w:t>de</w:t>
      </w:r>
      <w:r w:rsidR="00F373A3" w:rsidRPr="00181FCD">
        <w:t xml:space="preserve"> </w:t>
      </w:r>
      <w:r w:rsidRPr="00181FCD">
        <w:t>garantías,</w:t>
      </w:r>
      <w:r w:rsidR="00F373A3" w:rsidRPr="00181FCD">
        <w:t xml:space="preserve"> </w:t>
      </w:r>
      <w:r w:rsidRPr="00181FCD">
        <w:t>incluso</w:t>
      </w:r>
      <w:r w:rsidR="00F373A3" w:rsidRPr="00181FCD">
        <w:t xml:space="preserve"> </w:t>
      </w:r>
      <w:r w:rsidRPr="00181FCD">
        <w:t>en</w:t>
      </w:r>
      <w:r w:rsidR="00F373A3" w:rsidRPr="00181FCD">
        <w:t xml:space="preserve"> </w:t>
      </w:r>
      <w:r w:rsidRPr="00181FCD">
        <w:t>las</w:t>
      </w:r>
      <w:r w:rsidR="00F373A3" w:rsidRPr="00181FCD">
        <w:t xml:space="preserve"> </w:t>
      </w:r>
      <w:r w:rsidRPr="00181FCD">
        <w:t>instancias</w:t>
      </w:r>
      <w:r w:rsidR="00F373A3" w:rsidRPr="00181FCD">
        <w:t xml:space="preserve"> </w:t>
      </w:r>
      <w:r w:rsidRPr="00181FCD">
        <w:t>más</w:t>
      </w:r>
      <w:r w:rsidR="00F373A3" w:rsidRPr="00181FCD">
        <w:t xml:space="preserve"> </w:t>
      </w:r>
      <w:r w:rsidRPr="00181FCD">
        <w:t>elevadas,</w:t>
      </w:r>
      <w:r w:rsidR="00F373A3" w:rsidRPr="00181FCD">
        <w:t xml:space="preserve"> </w:t>
      </w:r>
      <w:r w:rsidRPr="00181FCD">
        <w:t>para</w:t>
      </w:r>
      <w:r w:rsidR="00F373A3" w:rsidRPr="00181FCD">
        <w:t xml:space="preserve"> </w:t>
      </w:r>
      <w:r w:rsidRPr="00181FCD">
        <w:t>que</w:t>
      </w:r>
      <w:r w:rsidR="00F373A3" w:rsidRPr="00181FCD">
        <w:t xml:space="preserve"> </w:t>
      </w:r>
      <w:r w:rsidRPr="00181FCD">
        <w:t>no</w:t>
      </w:r>
      <w:r w:rsidR="00F373A3" w:rsidRPr="00181FCD">
        <w:t xml:space="preserve"> </w:t>
      </w:r>
      <w:r w:rsidRPr="00181FCD">
        <w:t>se</w:t>
      </w:r>
      <w:r w:rsidR="00F373A3" w:rsidRPr="00181FCD">
        <w:t xml:space="preserve"> </w:t>
      </w:r>
      <w:r w:rsidRPr="00181FCD">
        <w:t>utilicen</w:t>
      </w:r>
      <w:r w:rsidR="00F373A3" w:rsidRPr="00181FCD">
        <w:t xml:space="preserve"> </w:t>
      </w:r>
      <w:r w:rsidRPr="00181FCD">
        <w:t>las</w:t>
      </w:r>
      <w:r w:rsidR="00F373A3" w:rsidRPr="00181FCD">
        <w:t xml:space="preserve"> </w:t>
      </w:r>
      <w:r w:rsidRPr="00181FCD">
        <w:t>declaraciones</w:t>
      </w:r>
      <w:r w:rsidR="00F373A3" w:rsidRPr="00181FCD">
        <w:t xml:space="preserve"> </w:t>
      </w:r>
      <w:r w:rsidRPr="00181FCD">
        <w:t>obtenidas</w:t>
      </w:r>
      <w:r w:rsidR="00F373A3" w:rsidRPr="00181FCD">
        <w:t xml:space="preserve"> </w:t>
      </w:r>
      <w:r w:rsidRPr="00181FCD">
        <w:t>bajo</w:t>
      </w:r>
      <w:r w:rsidR="00F373A3" w:rsidRPr="00181FCD">
        <w:t xml:space="preserve"> </w:t>
      </w:r>
      <w:r w:rsidRPr="00181FCD">
        <w:t>tortura</w:t>
      </w:r>
      <w:r w:rsidR="00F373A3" w:rsidRPr="00181FCD">
        <w:t xml:space="preserve"> </w:t>
      </w:r>
      <w:r w:rsidRPr="00181FCD">
        <w:t>como</w:t>
      </w:r>
      <w:r w:rsidR="00F373A3" w:rsidRPr="00181FCD">
        <w:t xml:space="preserve"> </w:t>
      </w:r>
      <w:r w:rsidRPr="00181FCD">
        <w:t>prueba</w:t>
      </w:r>
      <w:r w:rsidR="00F373A3" w:rsidRPr="00181FCD">
        <w:t xml:space="preserve"> </w:t>
      </w:r>
      <w:r w:rsidRPr="00181FCD">
        <w:t>en</w:t>
      </w:r>
      <w:r w:rsidR="002C541C" w:rsidRPr="00181FCD">
        <w:t> </w:t>
      </w:r>
      <w:r w:rsidRPr="00181FCD">
        <w:t>los</w:t>
      </w:r>
      <w:r w:rsidR="00F373A3" w:rsidRPr="00181FCD">
        <w:t xml:space="preserve"> </w:t>
      </w:r>
      <w:r w:rsidRPr="00181FCD">
        <w:t>juicios.</w:t>
      </w:r>
      <w:r w:rsidR="00F373A3" w:rsidRPr="00181FCD">
        <w:t xml:space="preserve"> </w:t>
      </w:r>
      <w:r w:rsidRPr="00181FCD">
        <w:t>En</w:t>
      </w:r>
      <w:r w:rsidR="00F373A3" w:rsidRPr="00181FCD">
        <w:t xml:space="preserve"> </w:t>
      </w:r>
      <w:r w:rsidRPr="00181FCD">
        <w:t>cumplimiento</w:t>
      </w:r>
      <w:r w:rsidR="00F373A3" w:rsidRPr="00181FCD">
        <w:t xml:space="preserve"> </w:t>
      </w:r>
      <w:r w:rsidRPr="00181FCD">
        <w:t>de</w:t>
      </w:r>
      <w:r w:rsidR="00F373A3" w:rsidRPr="00181FCD">
        <w:t xml:space="preserve"> </w:t>
      </w:r>
      <w:r w:rsidRPr="00181FCD">
        <w:t>la</w:t>
      </w:r>
      <w:r w:rsidR="00F373A3" w:rsidRPr="00181FCD">
        <w:t xml:space="preserve"> </w:t>
      </w:r>
      <w:r w:rsidRPr="00181FCD">
        <w:t>Constitución</w:t>
      </w:r>
      <w:r w:rsidR="00F373A3" w:rsidRPr="00181FCD">
        <w:t xml:space="preserve"> </w:t>
      </w:r>
      <w:r w:rsidRPr="00181FCD">
        <w:t>de</w:t>
      </w:r>
      <w:r w:rsidR="00F373A3" w:rsidRPr="00181FCD">
        <w:t xml:space="preserve"> </w:t>
      </w:r>
      <w:r w:rsidRPr="00181FCD">
        <w:t>la</w:t>
      </w:r>
      <w:r w:rsidR="00F373A3" w:rsidRPr="00181FCD">
        <w:t xml:space="preserve"> </w:t>
      </w:r>
      <w:r w:rsidRPr="00181FCD">
        <w:t>República</w:t>
      </w:r>
      <w:r w:rsidR="00F373A3" w:rsidRPr="00181FCD">
        <w:t xml:space="preserve"> </w:t>
      </w:r>
      <w:r w:rsidRPr="00181FCD">
        <w:t>de</w:t>
      </w:r>
      <w:r w:rsidR="00F373A3" w:rsidRPr="00181FCD">
        <w:t xml:space="preserve"> </w:t>
      </w:r>
      <w:r w:rsidRPr="00181FCD">
        <w:t>Bulgaria</w:t>
      </w:r>
      <w:r w:rsidR="00F373A3" w:rsidRPr="00181FCD">
        <w:t xml:space="preserve"> </w:t>
      </w:r>
      <w:r w:rsidRPr="00181FCD">
        <w:t>(art.</w:t>
      </w:r>
      <w:r w:rsidR="00F373A3" w:rsidRPr="00181FCD">
        <w:t xml:space="preserve"> </w:t>
      </w:r>
      <w:r w:rsidRPr="00181FCD">
        <w:t>29,</w:t>
      </w:r>
      <w:r w:rsidR="00F373A3" w:rsidRPr="00181FCD">
        <w:t xml:space="preserve"> </w:t>
      </w:r>
      <w:r w:rsidRPr="00181FCD">
        <w:t>párr.</w:t>
      </w:r>
      <w:r w:rsidR="00F373A3" w:rsidRPr="00181FCD">
        <w:t xml:space="preserve"> </w:t>
      </w:r>
      <w:r w:rsidRPr="00181FCD">
        <w:t>1),</w:t>
      </w:r>
      <w:r w:rsidR="00F373A3" w:rsidRPr="00181FCD">
        <w:t xml:space="preserve"> </w:t>
      </w:r>
      <w:r w:rsidRPr="00181FCD">
        <w:t>nadie</w:t>
      </w:r>
      <w:r w:rsidR="00F373A3" w:rsidRPr="00181FCD">
        <w:t xml:space="preserve"> </w:t>
      </w:r>
      <w:r w:rsidRPr="00181FCD">
        <w:t>será</w:t>
      </w:r>
      <w:r w:rsidR="00F373A3" w:rsidRPr="00181FCD">
        <w:t xml:space="preserve"> </w:t>
      </w:r>
      <w:r w:rsidRPr="00181FCD">
        <w:t>sometido</w:t>
      </w:r>
      <w:r w:rsidR="00F373A3" w:rsidRPr="00181FCD">
        <w:t xml:space="preserve"> </w:t>
      </w:r>
      <w:r w:rsidRPr="00181FCD">
        <w:t>a</w:t>
      </w:r>
      <w:r w:rsidR="00F373A3" w:rsidRPr="00181FCD">
        <w:t xml:space="preserve"> </w:t>
      </w:r>
      <w:r w:rsidRPr="00181FCD">
        <w:t>torturas</w:t>
      </w:r>
      <w:r w:rsidR="00F373A3" w:rsidRPr="00181FCD">
        <w:t xml:space="preserve"> </w:t>
      </w:r>
      <w:r w:rsidRPr="00181FCD">
        <w:t>ni</w:t>
      </w:r>
      <w:r w:rsidR="00F373A3" w:rsidRPr="00181FCD">
        <w:t xml:space="preserve"> </w:t>
      </w:r>
      <w:r w:rsidRPr="00181FCD">
        <w:t>a</w:t>
      </w:r>
      <w:r w:rsidR="00F373A3" w:rsidRPr="00181FCD">
        <w:t xml:space="preserve"> </w:t>
      </w:r>
      <w:r w:rsidRPr="00181FCD">
        <w:t>tratos</w:t>
      </w:r>
      <w:r w:rsidR="00F373A3" w:rsidRPr="00181FCD">
        <w:t xml:space="preserve"> </w:t>
      </w:r>
      <w:r w:rsidRPr="00181FCD">
        <w:t>crueles,</w:t>
      </w:r>
      <w:r w:rsidR="00F373A3" w:rsidRPr="00181FCD">
        <w:t xml:space="preserve"> </w:t>
      </w:r>
      <w:r w:rsidRPr="00181FCD">
        <w:t>inhumanos</w:t>
      </w:r>
      <w:r w:rsidR="00F373A3" w:rsidRPr="00181FCD">
        <w:t xml:space="preserve"> </w:t>
      </w:r>
      <w:r w:rsidRPr="00181FCD">
        <w:t>o</w:t>
      </w:r>
      <w:r w:rsidR="00F373A3" w:rsidRPr="00181FCD">
        <w:t xml:space="preserve"> </w:t>
      </w:r>
      <w:r w:rsidRPr="00181FCD">
        <w:t>degradantes,</w:t>
      </w:r>
      <w:r w:rsidR="00F373A3" w:rsidRPr="00181FCD">
        <w:t xml:space="preserve"> </w:t>
      </w:r>
      <w:r w:rsidRPr="00181FCD">
        <w:t>ni</w:t>
      </w:r>
      <w:r w:rsidR="00F373A3" w:rsidRPr="00181FCD">
        <w:t xml:space="preserve"> </w:t>
      </w:r>
      <w:r w:rsidRPr="00181FCD">
        <w:t>a</w:t>
      </w:r>
      <w:r w:rsidR="00F373A3" w:rsidRPr="00181FCD">
        <w:t xml:space="preserve"> </w:t>
      </w:r>
      <w:r w:rsidRPr="00181FCD">
        <w:t>asimilación</w:t>
      </w:r>
      <w:r w:rsidR="00F373A3" w:rsidRPr="00181FCD">
        <w:t xml:space="preserve"> </w:t>
      </w:r>
      <w:r w:rsidRPr="00181FCD">
        <w:t>forzosa.</w:t>
      </w:r>
      <w:r w:rsidR="00F373A3" w:rsidRPr="00181FCD">
        <w:t xml:space="preserve"> </w:t>
      </w:r>
      <w:r w:rsidRPr="00181FCD">
        <w:t>Nadie</w:t>
      </w:r>
      <w:r w:rsidR="00F373A3" w:rsidRPr="00181FCD">
        <w:t xml:space="preserve"> </w:t>
      </w:r>
      <w:r w:rsidRPr="00181FCD">
        <w:t>podrá</w:t>
      </w:r>
      <w:r w:rsidR="00F373A3" w:rsidRPr="00181FCD">
        <w:t xml:space="preserve"> </w:t>
      </w:r>
      <w:r w:rsidRPr="00181FCD">
        <w:t>ser</w:t>
      </w:r>
      <w:r w:rsidR="00F373A3" w:rsidRPr="00181FCD">
        <w:t xml:space="preserve"> </w:t>
      </w:r>
      <w:r w:rsidRPr="00181FCD">
        <w:t>obligado</w:t>
      </w:r>
      <w:r w:rsidR="00F373A3" w:rsidRPr="00181FCD">
        <w:t xml:space="preserve"> </w:t>
      </w:r>
      <w:r w:rsidRPr="00181FCD">
        <w:t>a</w:t>
      </w:r>
      <w:r w:rsidR="00F373A3" w:rsidRPr="00181FCD">
        <w:t xml:space="preserve"> </w:t>
      </w:r>
      <w:r w:rsidRPr="00181FCD">
        <w:t>declararse</w:t>
      </w:r>
      <w:r w:rsidR="00F373A3" w:rsidRPr="00181FCD">
        <w:t xml:space="preserve"> </w:t>
      </w:r>
      <w:r w:rsidRPr="00181FCD">
        <w:t>culpable</w:t>
      </w:r>
      <w:r w:rsidR="00F373A3" w:rsidRPr="00181FCD">
        <w:t xml:space="preserve"> </w:t>
      </w:r>
      <w:r w:rsidRPr="00181FCD">
        <w:t>ni</w:t>
      </w:r>
      <w:r w:rsidR="00F373A3" w:rsidRPr="00181FCD">
        <w:t xml:space="preserve"> </w:t>
      </w:r>
      <w:r w:rsidRPr="00181FCD">
        <w:t>podrá</w:t>
      </w:r>
      <w:r w:rsidR="00F373A3" w:rsidRPr="00181FCD">
        <w:t xml:space="preserve"> </w:t>
      </w:r>
      <w:r w:rsidRPr="00181FCD">
        <w:t>ser</w:t>
      </w:r>
      <w:r w:rsidR="00F373A3" w:rsidRPr="00181FCD">
        <w:t xml:space="preserve"> </w:t>
      </w:r>
      <w:r w:rsidRPr="00181FCD">
        <w:t>condenado</w:t>
      </w:r>
      <w:r w:rsidR="00F373A3" w:rsidRPr="00181FCD">
        <w:t xml:space="preserve"> </w:t>
      </w:r>
      <w:r w:rsidRPr="00181FCD">
        <w:t>únicamente</w:t>
      </w:r>
      <w:r w:rsidR="00F373A3" w:rsidRPr="00181FCD">
        <w:t xml:space="preserve"> </w:t>
      </w:r>
      <w:r w:rsidRPr="00181FCD">
        <w:t>sobre</w:t>
      </w:r>
      <w:r w:rsidR="00F373A3" w:rsidRPr="00181FCD">
        <w:t xml:space="preserve"> </w:t>
      </w:r>
      <w:r w:rsidRPr="00181FCD">
        <w:t>la</w:t>
      </w:r>
      <w:r w:rsidR="00F373A3" w:rsidRPr="00181FCD">
        <w:t xml:space="preserve"> </w:t>
      </w:r>
      <w:r w:rsidRPr="00181FCD">
        <w:t>base</w:t>
      </w:r>
      <w:r w:rsidR="00F373A3" w:rsidRPr="00181FCD">
        <w:t xml:space="preserve"> </w:t>
      </w:r>
      <w:r w:rsidRPr="00181FCD">
        <w:t>de</w:t>
      </w:r>
      <w:r w:rsidR="00F373A3" w:rsidRPr="00181FCD">
        <w:t xml:space="preserve"> </w:t>
      </w:r>
      <w:r w:rsidRPr="00181FCD">
        <w:t>una</w:t>
      </w:r>
      <w:r w:rsidR="00F373A3" w:rsidRPr="00181FCD">
        <w:t xml:space="preserve"> </w:t>
      </w:r>
      <w:r w:rsidRPr="00181FCD">
        <w:t>confesión</w:t>
      </w:r>
      <w:r w:rsidR="00F373A3" w:rsidRPr="00181FCD">
        <w:t xml:space="preserve"> </w:t>
      </w:r>
      <w:r w:rsidRPr="00181FCD">
        <w:t>(art.</w:t>
      </w:r>
      <w:r w:rsidR="00F373A3" w:rsidRPr="00181FCD">
        <w:t xml:space="preserve"> </w:t>
      </w:r>
      <w:r w:rsidRPr="00181FCD">
        <w:t>31,</w:t>
      </w:r>
      <w:r w:rsidR="00F373A3" w:rsidRPr="00181FCD">
        <w:t xml:space="preserve"> </w:t>
      </w:r>
      <w:r w:rsidRPr="00181FCD">
        <w:t>párr.</w:t>
      </w:r>
      <w:r w:rsidR="00F373A3" w:rsidRPr="00181FCD">
        <w:t xml:space="preserve"> </w:t>
      </w:r>
      <w:r w:rsidRPr="00181FCD">
        <w:t>2).</w:t>
      </w:r>
      <w:r w:rsidR="00F373A3" w:rsidRPr="00181FCD">
        <w:t xml:space="preserve"> </w:t>
      </w:r>
      <w:r w:rsidRPr="00181FCD">
        <w:t>Los</w:t>
      </w:r>
      <w:r w:rsidR="00F373A3" w:rsidRPr="00181FCD">
        <w:t xml:space="preserve"> </w:t>
      </w:r>
      <w:r w:rsidRPr="00181FCD">
        <w:t>derechos</w:t>
      </w:r>
      <w:r w:rsidR="00F373A3" w:rsidRPr="00181FCD">
        <w:t xml:space="preserve"> </w:t>
      </w:r>
      <w:r w:rsidRPr="00181FCD">
        <w:t>de</w:t>
      </w:r>
      <w:r w:rsidR="00F373A3" w:rsidRPr="00181FCD">
        <w:t xml:space="preserve"> </w:t>
      </w:r>
      <w:r w:rsidRPr="00181FCD">
        <w:t>un</w:t>
      </w:r>
      <w:r w:rsidR="00F373A3" w:rsidRPr="00181FCD">
        <w:t xml:space="preserve"> </w:t>
      </w:r>
      <w:r w:rsidRPr="00181FCD">
        <w:t>acusado</w:t>
      </w:r>
      <w:r w:rsidR="00F373A3" w:rsidRPr="00181FCD">
        <w:t xml:space="preserve"> </w:t>
      </w:r>
      <w:r w:rsidRPr="00181FCD">
        <w:t>no</w:t>
      </w:r>
      <w:r w:rsidR="00F373A3" w:rsidRPr="00181FCD">
        <w:t xml:space="preserve"> </w:t>
      </w:r>
      <w:r w:rsidRPr="00181FCD">
        <w:t>podrán</w:t>
      </w:r>
      <w:r w:rsidR="00F373A3" w:rsidRPr="00181FCD">
        <w:t xml:space="preserve"> </w:t>
      </w:r>
      <w:r w:rsidRPr="00181FCD">
        <w:t>restringirse</w:t>
      </w:r>
      <w:r w:rsidR="00F373A3" w:rsidRPr="00181FCD">
        <w:t xml:space="preserve"> </w:t>
      </w:r>
      <w:r w:rsidRPr="00181FCD">
        <w:t>más</w:t>
      </w:r>
      <w:r w:rsidR="00F373A3" w:rsidRPr="00181FCD">
        <w:t xml:space="preserve"> </w:t>
      </w:r>
      <w:r w:rsidRPr="00181FCD">
        <w:t>allá</w:t>
      </w:r>
      <w:r w:rsidR="00F373A3" w:rsidRPr="00181FCD">
        <w:t xml:space="preserve"> </w:t>
      </w:r>
      <w:r w:rsidRPr="00181FCD">
        <w:t>de</w:t>
      </w:r>
      <w:r w:rsidR="00F373A3" w:rsidRPr="00181FCD">
        <w:t xml:space="preserve"> </w:t>
      </w:r>
      <w:r w:rsidRPr="00181FCD">
        <w:t>lo</w:t>
      </w:r>
      <w:r w:rsidR="00F373A3" w:rsidRPr="00181FCD">
        <w:t xml:space="preserve"> </w:t>
      </w:r>
      <w:r w:rsidRPr="00181FCD">
        <w:t>imprescindible</w:t>
      </w:r>
      <w:r w:rsidR="00F373A3" w:rsidRPr="00181FCD">
        <w:t xml:space="preserve"> </w:t>
      </w:r>
      <w:r w:rsidRPr="00181FCD">
        <w:t>para</w:t>
      </w:r>
      <w:r w:rsidR="00F373A3" w:rsidRPr="00181FCD">
        <w:t xml:space="preserve"> </w:t>
      </w:r>
      <w:r w:rsidRPr="00181FCD">
        <w:t>la</w:t>
      </w:r>
      <w:r w:rsidR="00F373A3" w:rsidRPr="00181FCD">
        <w:t xml:space="preserve"> </w:t>
      </w:r>
      <w:r w:rsidRPr="00181FCD">
        <w:t>administración</w:t>
      </w:r>
      <w:r w:rsidR="00F373A3" w:rsidRPr="00181FCD">
        <w:t xml:space="preserve"> </w:t>
      </w:r>
      <w:r w:rsidRPr="00181FCD">
        <w:t>de</w:t>
      </w:r>
      <w:r w:rsidR="00F373A3" w:rsidRPr="00181FCD">
        <w:t xml:space="preserve"> </w:t>
      </w:r>
      <w:r w:rsidRPr="00181FCD">
        <w:t>la</w:t>
      </w:r>
      <w:r w:rsidR="00F373A3" w:rsidRPr="00181FCD">
        <w:t xml:space="preserve"> </w:t>
      </w:r>
      <w:r w:rsidRPr="00181FCD">
        <w:t>justicia</w:t>
      </w:r>
      <w:r w:rsidR="00F373A3" w:rsidRPr="00181FCD">
        <w:t xml:space="preserve"> </w:t>
      </w:r>
      <w:r w:rsidRPr="00181FCD">
        <w:t>(art.</w:t>
      </w:r>
      <w:r w:rsidR="006E0DF5" w:rsidRPr="00181FCD">
        <w:t> </w:t>
      </w:r>
      <w:r w:rsidRPr="00181FCD">
        <w:t>31,</w:t>
      </w:r>
      <w:r w:rsidR="00F373A3" w:rsidRPr="00181FCD">
        <w:t xml:space="preserve"> </w:t>
      </w:r>
      <w:r w:rsidRPr="00181FCD">
        <w:t>párr.</w:t>
      </w:r>
      <w:r w:rsidR="00F373A3" w:rsidRPr="00181FCD">
        <w:t xml:space="preserve"> </w:t>
      </w:r>
      <w:r w:rsidRPr="00181FCD">
        <w:t>4).</w:t>
      </w:r>
    </w:p>
    <w:p w:rsidR="001937F4" w:rsidRPr="00181FCD" w:rsidRDefault="001937F4" w:rsidP="00347B20">
      <w:pPr>
        <w:pStyle w:val="SingleTxtG"/>
        <w:suppressAutoHyphens/>
      </w:pPr>
      <w:r w:rsidRPr="00181FCD">
        <w:t>220.</w:t>
      </w:r>
      <w:r w:rsidRPr="00181FCD">
        <w:tab/>
        <w:t>El</w:t>
      </w:r>
      <w:r w:rsidR="00F373A3" w:rsidRPr="00181FCD">
        <w:t xml:space="preserve"> </w:t>
      </w:r>
      <w:r w:rsidRPr="00181FCD">
        <w:t>Código</w:t>
      </w:r>
      <w:r w:rsidR="00F373A3" w:rsidRPr="00181FCD">
        <w:t xml:space="preserve"> </w:t>
      </w:r>
      <w:r w:rsidRPr="00181FCD">
        <w:t>Penal</w:t>
      </w:r>
      <w:r w:rsidR="00F373A3" w:rsidRPr="00181FCD">
        <w:t xml:space="preserve"> </w:t>
      </w:r>
      <w:r w:rsidRPr="00181FCD">
        <w:t>tipifica</w:t>
      </w:r>
      <w:r w:rsidR="00F373A3" w:rsidRPr="00181FCD">
        <w:t xml:space="preserve"> </w:t>
      </w:r>
      <w:r w:rsidRPr="00181FCD">
        <w:t>como</w:t>
      </w:r>
      <w:r w:rsidR="00F373A3" w:rsidRPr="00181FCD">
        <w:t xml:space="preserve"> </w:t>
      </w:r>
      <w:r w:rsidRPr="00181FCD">
        <w:t>delito</w:t>
      </w:r>
      <w:r w:rsidR="00F373A3" w:rsidRPr="00181FCD">
        <w:t xml:space="preserve"> </w:t>
      </w:r>
      <w:r w:rsidRPr="00181FCD">
        <w:t>el</w:t>
      </w:r>
      <w:r w:rsidR="00F373A3" w:rsidRPr="00181FCD">
        <w:t xml:space="preserve"> </w:t>
      </w:r>
      <w:r w:rsidRPr="00181FCD">
        <w:t>acto</w:t>
      </w:r>
      <w:r w:rsidR="00F373A3" w:rsidRPr="00181FCD">
        <w:t xml:space="preserve"> </w:t>
      </w:r>
      <w:r w:rsidRPr="00181FCD">
        <w:t>de</w:t>
      </w:r>
      <w:r w:rsidR="00F373A3" w:rsidRPr="00181FCD">
        <w:t xml:space="preserve"> </w:t>
      </w:r>
      <w:r w:rsidRPr="00181FCD">
        <w:t>un</w:t>
      </w:r>
      <w:r w:rsidR="00F373A3" w:rsidRPr="00181FCD">
        <w:t xml:space="preserve"> </w:t>
      </w:r>
      <w:r w:rsidRPr="00181FCD">
        <w:t>individuo</w:t>
      </w:r>
      <w:r w:rsidR="00F373A3" w:rsidRPr="00181FCD">
        <w:t xml:space="preserve"> </w:t>
      </w:r>
      <w:r w:rsidRPr="00181FCD">
        <w:t>que,</w:t>
      </w:r>
      <w:r w:rsidR="00F373A3" w:rsidRPr="00181FCD">
        <w:t xml:space="preserve"> </w:t>
      </w:r>
      <w:r w:rsidRPr="00181FCD">
        <w:t>en</w:t>
      </w:r>
      <w:r w:rsidR="00F373A3" w:rsidRPr="00181FCD">
        <w:t xml:space="preserve"> </w:t>
      </w:r>
      <w:r w:rsidRPr="00181FCD">
        <w:t>el</w:t>
      </w:r>
      <w:r w:rsidR="00F373A3" w:rsidRPr="00181FCD">
        <w:t xml:space="preserve"> </w:t>
      </w:r>
      <w:r w:rsidRPr="00181FCD">
        <w:t>desempeño</w:t>
      </w:r>
      <w:r w:rsidR="00F373A3" w:rsidRPr="00181FCD">
        <w:t xml:space="preserve"> </w:t>
      </w:r>
      <w:r w:rsidRPr="00181FCD">
        <w:t>de</w:t>
      </w:r>
      <w:r w:rsidR="00F373A3" w:rsidRPr="00181FCD">
        <w:t xml:space="preserve"> </w:t>
      </w:r>
      <w:r w:rsidRPr="00181FCD">
        <w:t>sus</w:t>
      </w:r>
      <w:r w:rsidR="00F373A3" w:rsidRPr="00181FCD">
        <w:t xml:space="preserve"> </w:t>
      </w:r>
      <w:r w:rsidRPr="00181FCD">
        <w:t>funciones,</w:t>
      </w:r>
      <w:r w:rsidR="00F373A3" w:rsidRPr="00181FCD">
        <w:t xml:space="preserve"> </w:t>
      </w:r>
      <w:r w:rsidRPr="00181FCD">
        <w:t>ejercite</w:t>
      </w:r>
      <w:r w:rsidR="00F373A3" w:rsidRPr="00181FCD">
        <w:t xml:space="preserve"> </w:t>
      </w:r>
      <w:r w:rsidRPr="00181FCD">
        <w:t>ilegalmente</w:t>
      </w:r>
      <w:r w:rsidR="00F373A3" w:rsidRPr="00181FCD">
        <w:t xml:space="preserve"> </w:t>
      </w:r>
      <w:r w:rsidRPr="00181FCD">
        <w:t>la</w:t>
      </w:r>
      <w:r w:rsidR="00F373A3" w:rsidRPr="00181FCD">
        <w:t xml:space="preserve"> </w:t>
      </w:r>
      <w:r w:rsidRPr="00181FCD">
        <w:t>coerción</w:t>
      </w:r>
      <w:r w:rsidR="00F373A3" w:rsidRPr="00181FCD">
        <w:t xml:space="preserve"> </w:t>
      </w:r>
      <w:r w:rsidRPr="00181FCD">
        <w:t>para</w:t>
      </w:r>
      <w:r w:rsidR="00F373A3" w:rsidRPr="00181FCD">
        <w:t xml:space="preserve"> </w:t>
      </w:r>
      <w:r w:rsidRPr="00181FCD">
        <w:t>obtener</w:t>
      </w:r>
      <w:r w:rsidR="00F373A3" w:rsidRPr="00181FCD">
        <w:t xml:space="preserve"> </w:t>
      </w:r>
      <w:r w:rsidRPr="00181FCD">
        <w:t>una</w:t>
      </w:r>
      <w:r w:rsidR="00F373A3" w:rsidRPr="00181FCD">
        <w:t xml:space="preserve"> </w:t>
      </w:r>
      <w:r w:rsidRPr="00181FCD">
        <w:t>confesión,</w:t>
      </w:r>
      <w:r w:rsidR="00F373A3" w:rsidRPr="00181FCD">
        <w:t xml:space="preserve"> </w:t>
      </w:r>
      <w:r w:rsidRPr="00181FCD">
        <w:t>testimonio,</w:t>
      </w:r>
      <w:r w:rsidR="00F373A3" w:rsidRPr="00181FCD">
        <w:t xml:space="preserve"> </w:t>
      </w:r>
      <w:r w:rsidRPr="00181FCD">
        <w:t>conclusión</w:t>
      </w:r>
      <w:r w:rsidR="00F373A3" w:rsidRPr="00181FCD">
        <w:t xml:space="preserve"> </w:t>
      </w:r>
      <w:r w:rsidRPr="00181FCD">
        <w:t>o</w:t>
      </w:r>
      <w:r w:rsidR="00F373A3" w:rsidRPr="00181FCD">
        <w:t xml:space="preserve"> </w:t>
      </w:r>
      <w:r w:rsidRPr="00181FCD">
        <w:t>información</w:t>
      </w:r>
      <w:r w:rsidR="00F373A3" w:rsidRPr="00181FCD">
        <w:t xml:space="preserve"> </w:t>
      </w:r>
      <w:r w:rsidRPr="00181FCD">
        <w:t>de</w:t>
      </w:r>
      <w:r w:rsidR="00F373A3" w:rsidRPr="00181FCD">
        <w:t xml:space="preserve"> </w:t>
      </w:r>
      <w:r w:rsidRPr="00181FCD">
        <w:t>un</w:t>
      </w:r>
      <w:r w:rsidR="00F373A3" w:rsidRPr="00181FCD">
        <w:t xml:space="preserve"> </w:t>
      </w:r>
      <w:r w:rsidRPr="00181FCD">
        <w:t>acusado,</w:t>
      </w:r>
      <w:r w:rsidR="00F373A3" w:rsidRPr="00181FCD">
        <w:t xml:space="preserve"> </w:t>
      </w:r>
      <w:r w:rsidRPr="00181FCD">
        <w:t>testigo</w:t>
      </w:r>
      <w:r w:rsidR="00F373A3" w:rsidRPr="00181FCD">
        <w:t xml:space="preserve"> </w:t>
      </w:r>
      <w:r w:rsidRPr="00181FCD">
        <w:t>o</w:t>
      </w:r>
      <w:r w:rsidR="00F373A3" w:rsidRPr="00181FCD">
        <w:t xml:space="preserve"> </w:t>
      </w:r>
      <w:r w:rsidRPr="00181FCD">
        <w:t>experto</w:t>
      </w:r>
      <w:r w:rsidR="00F373A3" w:rsidRPr="00181FCD">
        <w:t xml:space="preserve"> </w:t>
      </w:r>
      <w:r w:rsidRPr="00181FCD">
        <w:t>(art.</w:t>
      </w:r>
      <w:r w:rsidR="00F373A3" w:rsidRPr="00181FCD">
        <w:t xml:space="preserve"> </w:t>
      </w:r>
      <w:r w:rsidRPr="00181FCD">
        <w:t>287).</w:t>
      </w:r>
      <w:r w:rsidR="00F373A3" w:rsidRPr="00181FCD">
        <w:t xml:space="preserve"> </w:t>
      </w:r>
    </w:p>
    <w:p w:rsidR="001937F4" w:rsidRPr="00181FCD" w:rsidRDefault="001937F4" w:rsidP="00347B20">
      <w:pPr>
        <w:pStyle w:val="SingleTxtG"/>
        <w:suppressAutoHyphens/>
      </w:pPr>
      <w:r w:rsidRPr="00181FCD">
        <w:t>221.</w:t>
      </w:r>
      <w:r w:rsidRPr="00181FCD">
        <w:tab/>
        <w:t>El</w:t>
      </w:r>
      <w:r w:rsidR="00F373A3" w:rsidRPr="00181FCD">
        <w:t xml:space="preserve"> </w:t>
      </w:r>
      <w:r w:rsidRPr="00181FCD">
        <w:t>Código</w:t>
      </w:r>
      <w:r w:rsidR="00F373A3" w:rsidRPr="00181FCD">
        <w:t xml:space="preserve"> </w:t>
      </w:r>
      <w:r w:rsidRPr="00181FCD">
        <w:t>de</w:t>
      </w:r>
      <w:r w:rsidR="00F373A3" w:rsidRPr="00181FCD">
        <w:t xml:space="preserve"> </w:t>
      </w:r>
      <w:r w:rsidRPr="00181FCD">
        <w:t>Procedimiento</w:t>
      </w:r>
      <w:r w:rsidR="00F373A3" w:rsidRPr="00181FCD">
        <w:t xml:space="preserve"> </w:t>
      </w:r>
      <w:r w:rsidRPr="00181FCD">
        <w:t>Penal</w:t>
      </w:r>
      <w:r w:rsidR="00F373A3" w:rsidRPr="00181FCD">
        <w:t xml:space="preserve"> </w:t>
      </w:r>
      <w:r w:rsidRPr="00181FCD">
        <w:t>garantiza</w:t>
      </w:r>
      <w:r w:rsidR="00F373A3" w:rsidRPr="00181FCD">
        <w:t xml:space="preserve"> </w:t>
      </w:r>
      <w:r w:rsidRPr="00181FCD">
        <w:t>que</w:t>
      </w:r>
      <w:r w:rsidR="00F373A3" w:rsidRPr="00181FCD">
        <w:t xml:space="preserve"> </w:t>
      </w:r>
      <w:r w:rsidRPr="00181FCD">
        <w:t>no</w:t>
      </w:r>
      <w:r w:rsidR="00F373A3" w:rsidRPr="00181FCD">
        <w:t xml:space="preserve"> </w:t>
      </w:r>
      <w:r w:rsidRPr="00181FCD">
        <w:t>se</w:t>
      </w:r>
      <w:r w:rsidR="00F373A3" w:rsidRPr="00181FCD">
        <w:t xml:space="preserve"> </w:t>
      </w:r>
      <w:r w:rsidRPr="00181FCD">
        <w:t>aplicará</w:t>
      </w:r>
      <w:r w:rsidR="00F373A3" w:rsidRPr="00181FCD">
        <w:t xml:space="preserve"> </w:t>
      </w:r>
      <w:r w:rsidRPr="00181FCD">
        <w:t>ninguna</w:t>
      </w:r>
      <w:r w:rsidR="00F373A3" w:rsidRPr="00181FCD">
        <w:t xml:space="preserve"> </w:t>
      </w:r>
      <w:r w:rsidRPr="00181FCD">
        <w:t>medida</w:t>
      </w:r>
      <w:r w:rsidR="00F373A3" w:rsidRPr="00181FCD">
        <w:t xml:space="preserve"> </w:t>
      </w:r>
      <w:r w:rsidRPr="00181FCD">
        <w:t>de</w:t>
      </w:r>
      <w:r w:rsidR="00F373A3" w:rsidRPr="00181FCD">
        <w:t xml:space="preserve"> </w:t>
      </w:r>
      <w:r w:rsidRPr="00181FCD">
        <w:t>coerción</w:t>
      </w:r>
      <w:r w:rsidR="00F373A3" w:rsidRPr="00181FCD">
        <w:t xml:space="preserve"> </w:t>
      </w:r>
      <w:r w:rsidRPr="00181FCD">
        <w:t>a</w:t>
      </w:r>
      <w:r w:rsidR="00F373A3" w:rsidRPr="00181FCD">
        <w:t xml:space="preserve"> </w:t>
      </w:r>
      <w:r w:rsidRPr="00181FCD">
        <w:t>una</w:t>
      </w:r>
      <w:r w:rsidR="00F373A3" w:rsidRPr="00181FCD">
        <w:t xml:space="preserve"> </w:t>
      </w:r>
      <w:r w:rsidRPr="00181FCD">
        <w:t>persona</w:t>
      </w:r>
      <w:r w:rsidR="00F373A3" w:rsidRPr="00181FCD">
        <w:t xml:space="preserve"> </w:t>
      </w:r>
      <w:r w:rsidRPr="00181FCD">
        <w:t>participante</w:t>
      </w:r>
      <w:r w:rsidR="00F373A3" w:rsidRPr="00181FCD">
        <w:t xml:space="preserve"> </w:t>
      </w:r>
      <w:r w:rsidRPr="00181FCD">
        <w:t>en</w:t>
      </w:r>
      <w:r w:rsidR="00F373A3" w:rsidRPr="00181FCD">
        <w:t xml:space="preserve"> </w:t>
      </w:r>
      <w:r w:rsidRPr="00181FCD">
        <w:t>un</w:t>
      </w:r>
      <w:r w:rsidR="00F373A3" w:rsidRPr="00181FCD">
        <w:t xml:space="preserve"> </w:t>
      </w:r>
      <w:r w:rsidRPr="00181FCD">
        <w:t>procedimiento</w:t>
      </w:r>
      <w:r w:rsidR="00F373A3" w:rsidRPr="00181FCD">
        <w:t xml:space="preserve"> </w:t>
      </w:r>
      <w:r w:rsidRPr="00181FCD">
        <w:t>penal,</w:t>
      </w:r>
      <w:r w:rsidR="00F373A3" w:rsidRPr="00181FCD">
        <w:t xml:space="preserve"> </w:t>
      </w:r>
      <w:r w:rsidRPr="00181FCD">
        <w:t>con</w:t>
      </w:r>
      <w:r w:rsidR="00F373A3" w:rsidRPr="00181FCD">
        <w:t xml:space="preserve"> </w:t>
      </w:r>
      <w:r w:rsidRPr="00181FCD">
        <w:t>excepción</w:t>
      </w:r>
      <w:r w:rsidR="00F373A3" w:rsidRPr="00181FCD">
        <w:t xml:space="preserve"> </w:t>
      </w:r>
      <w:r w:rsidRPr="00181FCD">
        <w:t>de</w:t>
      </w:r>
      <w:r w:rsidR="00F373A3" w:rsidRPr="00181FCD">
        <w:t xml:space="preserve"> </w:t>
      </w:r>
      <w:r w:rsidRPr="00181FCD">
        <w:t>los</w:t>
      </w:r>
      <w:r w:rsidR="00F373A3" w:rsidRPr="00181FCD">
        <w:t xml:space="preserve"> </w:t>
      </w:r>
      <w:r w:rsidRPr="00181FCD">
        <w:t>casos</w:t>
      </w:r>
      <w:r w:rsidR="00F373A3" w:rsidRPr="00181FCD">
        <w:t xml:space="preserve"> </w:t>
      </w:r>
      <w:r w:rsidRPr="00181FCD">
        <w:t>previstos</w:t>
      </w:r>
      <w:r w:rsidR="00F373A3" w:rsidRPr="00181FCD">
        <w:t xml:space="preserve"> </w:t>
      </w:r>
      <w:r w:rsidRPr="00181FCD">
        <w:t>por</w:t>
      </w:r>
      <w:r w:rsidR="00F373A3" w:rsidRPr="00181FCD">
        <w:t xml:space="preserve"> </w:t>
      </w:r>
      <w:r w:rsidRPr="00181FCD">
        <w:t>la</w:t>
      </w:r>
      <w:r w:rsidR="00F373A3" w:rsidRPr="00181FCD">
        <w:t xml:space="preserve"> </w:t>
      </w:r>
      <w:r w:rsidRPr="00181FCD">
        <w:t>ley</w:t>
      </w:r>
      <w:r w:rsidR="00F373A3" w:rsidRPr="00181FCD">
        <w:t xml:space="preserve"> </w:t>
      </w:r>
      <w:r w:rsidRPr="00181FCD">
        <w:t>y</w:t>
      </w:r>
      <w:r w:rsidR="00F373A3" w:rsidRPr="00181FCD">
        <w:t xml:space="preserve"> </w:t>
      </w:r>
      <w:r w:rsidRPr="00181FCD">
        <w:t>con</w:t>
      </w:r>
      <w:r w:rsidR="00F373A3" w:rsidRPr="00181FCD">
        <w:t xml:space="preserve"> </w:t>
      </w:r>
      <w:r w:rsidRPr="00181FCD">
        <w:t>sujeción</w:t>
      </w:r>
      <w:r w:rsidR="00F373A3" w:rsidRPr="00181FCD">
        <w:t xml:space="preserve"> </w:t>
      </w:r>
      <w:r w:rsidRPr="00181FCD">
        <w:t>a</w:t>
      </w:r>
      <w:r w:rsidR="00F373A3" w:rsidRPr="00181FCD">
        <w:t xml:space="preserve"> </w:t>
      </w:r>
      <w:r w:rsidRPr="00181FCD">
        <w:t>un</w:t>
      </w:r>
      <w:r w:rsidR="00F373A3" w:rsidRPr="00181FCD">
        <w:t xml:space="preserve"> </w:t>
      </w:r>
      <w:r w:rsidRPr="00181FCD">
        <w:t>procedimiento</w:t>
      </w:r>
      <w:r w:rsidR="00F373A3" w:rsidRPr="00181FCD">
        <w:t xml:space="preserve"> </w:t>
      </w:r>
      <w:r w:rsidRPr="00181FCD">
        <w:t>también</w:t>
      </w:r>
      <w:r w:rsidR="00F373A3" w:rsidRPr="00181FCD">
        <w:t xml:space="preserve"> </w:t>
      </w:r>
      <w:r w:rsidRPr="00181FCD">
        <w:t>previsto</w:t>
      </w:r>
      <w:r w:rsidR="00F373A3" w:rsidRPr="00181FCD">
        <w:t xml:space="preserve"> </w:t>
      </w:r>
      <w:r w:rsidRPr="00181FCD">
        <w:t>por</w:t>
      </w:r>
      <w:r w:rsidR="00F373A3" w:rsidRPr="00181FCD">
        <w:t xml:space="preserve"> </w:t>
      </w:r>
      <w:r w:rsidRPr="00181FCD">
        <w:t>la</w:t>
      </w:r>
      <w:r w:rsidR="00F373A3" w:rsidRPr="00181FCD">
        <w:t xml:space="preserve"> </w:t>
      </w:r>
      <w:r w:rsidRPr="00181FCD">
        <w:t>ley</w:t>
      </w:r>
      <w:r w:rsidR="00F373A3" w:rsidRPr="00181FCD">
        <w:t xml:space="preserve"> </w:t>
      </w:r>
      <w:r w:rsidRPr="00181FCD">
        <w:t>(art.</w:t>
      </w:r>
      <w:r w:rsidR="00F373A3" w:rsidRPr="00181FCD">
        <w:t xml:space="preserve"> </w:t>
      </w:r>
      <w:r w:rsidRPr="00181FCD">
        <w:t>17,</w:t>
      </w:r>
      <w:r w:rsidR="00F373A3" w:rsidRPr="00181FCD">
        <w:t xml:space="preserve"> </w:t>
      </w:r>
      <w:r w:rsidRPr="00181FCD">
        <w:t>párr.</w:t>
      </w:r>
      <w:r w:rsidR="00F373A3" w:rsidRPr="00181FCD">
        <w:t xml:space="preserve"> </w:t>
      </w:r>
      <w:r w:rsidRPr="00181FCD">
        <w:t>1).</w:t>
      </w:r>
      <w:r w:rsidR="00F373A3" w:rsidRPr="00181FCD">
        <w:t xml:space="preserve"> </w:t>
      </w:r>
      <w:r w:rsidRPr="00181FCD">
        <w:t>El</w:t>
      </w:r>
      <w:r w:rsidR="00F373A3" w:rsidRPr="00181FCD">
        <w:t xml:space="preserve"> </w:t>
      </w:r>
      <w:r w:rsidRPr="00181FCD">
        <w:t>acusado</w:t>
      </w:r>
      <w:r w:rsidR="00F373A3" w:rsidRPr="00181FCD">
        <w:t xml:space="preserve"> </w:t>
      </w:r>
      <w:r w:rsidRPr="00181FCD">
        <w:t>tendrá</w:t>
      </w:r>
      <w:r w:rsidR="00F373A3" w:rsidRPr="00181FCD">
        <w:t xml:space="preserve"> </w:t>
      </w:r>
      <w:r w:rsidRPr="00181FCD">
        <w:t>derecho</w:t>
      </w:r>
      <w:r w:rsidR="00F373A3" w:rsidRPr="00181FCD">
        <w:t xml:space="preserve"> </w:t>
      </w:r>
      <w:r w:rsidRPr="00181FCD">
        <w:t>a</w:t>
      </w:r>
      <w:r w:rsidR="00F373A3" w:rsidRPr="00181FCD">
        <w:t xml:space="preserve"> </w:t>
      </w:r>
      <w:r w:rsidRPr="00181FCD">
        <w:t>negarse</w:t>
      </w:r>
      <w:r w:rsidR="00F373A3" w:rsidRPr="00181FCD">
        <w:t xml:space="preserve"> </w:t>
      </w:r>
      <w:r w:rsidRPr="00181FCD">
        <w:t>a</w:t>
      </w:r>
      <w:r w:rsidR="00F373A3" w:rsidRPr="00181FCD">
        <w:t xml:space="preserve"> </w:t>
      </w:r>
      <w:r w:rsidRPr="00181FCD">
        <w:t>dar</w:t>
      </w:r>
      <w:r w:rsidR="00F373A3" w:rsidRPr="00181FCD">
        <w:t xml:space="preserve"> </w:t>
      </w:r>
      <w:r w:rsidRPr="00181FCD">
        <w:t>explicaciones</w:t>
      </w:r>
      <w:r w:rsidR="00F373A3" w:rsidRPr="00181FCD">
        <w:t xml:space="preserve"> </w:t>
      </w:r>
      <w:r w:rsidRPr="00181FCD">
        <w:t>(art.</w:t>
      </w:r>
      <w:r w:rsidR="00F373A3" w:rsidRPr="00181FCD">
        <w:t xml:space="preserve"> </w:t>
      </w:r>
      <w:r w:rsidRPr="00181FCD">
        <w:t>115,</w:t>
      </w:r>
      <w:r w:rsidR="00F373A3" w:rsidRPr="00181FCD">
        <w:t xml:space="preserve"> </w:t>
      </w:r>
      <w:r w:rsidRPr="00181FCD">
        <w:t>párr.</w:t>
      </w:r>
      <w:r w:rsidR="00F373A3" w:rsidRPr="00181FCD">
        <w:t xml:space="preserve"> </w:t>
      </w:r>
      <w:r w:rsidRPr="00181FCD">
        <w:t>4)</w:t>
      </w:r>
      <w:r w:rsidR="00F373A3" w:rsidRPr="00181FCD">
        <w:t xml:space="preserve"> </w:t>
      </w:r>
      <w:r w:rsidRPr="00181FCD">
        <w:t>y</w:t>
      </w:r>
      <w:r w:rsidR="00F373A3" w:rsidRPr="00181FCD">
        <w:t xml:space="preserve"> </w:t>
      </w:r>
      <w:r w:rsidRPr="00181FCD">
        <w:t>la</w:t>
      </w:r>
      <w:r w:rsidR="00F373A3" w:rsidRPr="00181FCD">
        <w:t xml:space="preserve"> </w:t>
      </w:r>
      <w:r w:rsidRPr="00181FCD">
        <w:t>acusación</w:t>
      </w:r>
      <w:r w:rsidR="00F373A3" w:rsidRPr="00181FCD">
        <w:t xml:space="preserve"> </w:t>
      </w:r>
      <w:r w:rsidRPr="00181FCD">
        <w:t>y</w:t>
      </w:r>
      <w:r w:rsidR="00F373A3" w:rsidRPr="00181FCD">
        <w:t xml:space="preserve"> </w:t>
      </w:r>
      <w:r w:rsidRPr="00181FCD">
        <w:t>la</w:t>
      </w:r>
      <w:r w:rsidR="00F373A3" w:rsidRPr="00181FCD">
        <w:t xml:space="preserve"> </w:t>
      </w:r>
      <w:r w:rsidRPr="00181FCD">
        <w:t>sentencia</w:t>
      </w:r>
      <w:r w:rsidR="00F373A3" w:rsidRPr="00181FCD">
        <w:t xml:space="preserve"> </w:t>
      </w:r>
      <w:r w:rsidRPr="00181FCD">
        <w:t>no</w:t>
      </w:r>
      <w:r w:rsidR="00F373A3" w:rsidRPr="00181FCD">
        <w:t xml:space="preserve"> </w:t>
      </w:r>
      <w:r w:rsidRPr="00181FCD">
        <w:t>podrán</w:t>
      </w:r>
      <w:r w:rsidR="00F373A3" w:rsidRPr="00181FCD">
        <w:t xml:space="preserve"> </w:t>
      </w:r>
      <w:r w:rsidRPr="00181FCD">
        <w:t>basarse</w:t>
      </w:r>
      <w:r w:rsidR="00F373A3" w:rsidRPr="00181FCD">
        <w:t xml:space="preserve"> </w:t>
      </w:r>
      <w:r w:rsidRPr="00181FCD">
        <w:t>únicamente</w:t>
      </w:r>
      <w:r w:rsidR="00F373A3" w:rsidRPr="00181FCD">
        <w:t xml:space="preserve"> </w:t>
      </w:r>
      <w:r w:rsidRPr="00181FCD">
        <w:t>en</w:t>
      </w:r>
      <w:r w:rsidR="00F373A3" w:rsidRPr="00181FCD">
        <w:t xml:space="preserve"> </w:t>
      </w:r>
      <w:r w:rsidRPr="00181FCD">
        <w:t>las</w:t>
      </w:r>
      <w:r w:rsidR="00F373A3" w:rsidRPr="00181FCD">
        <w:t xml:space="preserve"> </w:t>
      </w:r>
      <w:r w:rsidRPr="00181FCD">
        <w:t>confesiones</w:t>
      </w:r>
      <w:r w:rsidR="00F373A3" w:rsidRPr="00181FCD">
        <w:t xml:space="preserve"> </w:t>
      </w:r>
      <w:r w:rsidRPr="00181FCD">
        <w:t>de</w:t>
      </w:r>
      <w:r w:rsidR="00F373A3" w:rsidRPr="00181FCD">
        <w:t xml:space="preserve"> </w:t>
      </w:r>
      <w:r w:rsidRPr="00181FCD">
        <w:t>la</w:t>
      </w:r>
      <w:r w:rsidR="00F373A3" w:rsidRPr="00181FCD">
        <w:t xml:space="preserve"> </w:t>
      </w:r>
      <w:r w:rsidRPr="00181FCD">
        <w:t>parte</w:t>
      </w:r>
      <w:r w:rsidR="00F373A3" w:rsidRPr="00181FCD">
        <w:t xml:space="preserve"> </w:t>
      </w:r>
      <w:r w:rsidRPr="00181FCD">
        <w:t>acusada</w:t>
      </w:r>
      <w:r w:rsidR="00F373A3" w:rsidRPr="00181FCD">
        <w:t xml:space="preserve"> </w:t>
      </w:r>
      <w:r w:rsidRPr="00181FCD">
        <w:t>(art.</w:t>
      </w:r>
      <w:r w:rsidR="00F373A3" w:rsidRPr="00181FCD">
        <w:t xml:space="preserve"> </w:t>
      </w:r>
      <w:r w:rsidRPr="00181FCD">
        <w:t>116,</w:t>
      </w:r>
      <w:r w:rsidR="00F373A3" w:rsidRPr="00181FCD">
        <w:t xml:space="preserve"> </w:t>
      </w:r>
      <w:r w:rsidRPr="00181FCD">
        <w:t>párr.</w:t>
      </w:r>
      <w:r w:rsidR="00F373A3" w:rsidRPr="00181FCD">
        <w:t xml:space="preserve"> </w:t>
      </w:r>
      <w:r w:rsidRPr="00181FCD">
        <w:t>1).</w:t>
      </w:r>
    </w:p>
    <w:p w:rsidR="001937F4" w:rsidRPr="00181FCD" w:rsidRDefault="002C541C" w:rsidP="002C541C">
      <w:pPr>
        <w:pStyle w:val="H1G"/>
      </w:pPr>
      <w:r w:rsidRPr="00181FCD">
        <w:tab/>
      </w:r>
      <w:r w:rsidRPr="00181FCD">
        <w:tab/>
      </w:r>
      <w:r w:rsidR="001937F4" w:rsidRPr="00181FCD">
        <w:t>Artículo</w:t>
      </w:r>
      <w:r w:rsidR="00F373A3" w:rsidRPr="00181FCD">
        <w:t xml:space="preserve"> </w:t>
      </w:r>
      <w:r w:rsidR="001937F4" w:rsidRPr="00181FCD">
        <w:t>16</w:t>
      </w:r>
    </w:p>
    <w:p w:rsidR="001937F4" w:rsidRPr="00181FCD" w:rsidRDefault="002C541C" w:rsidP="002C541C">
      <w:pPr>
        <w:pStyle w:val="H23G"/>
      </w:pPr>
      <w:r w:rsidRPr="00181FCD">
        <w:tab/>
      </w:r>
      <w:r w:rsidRPr="00181FCD">
        <w:tab/>
      </w:r>
      <w:r w:rsidR="001937F4" w:rsidRPr="00181FCD">
        <w:t>Respuesta</w:t>
      </w:r>
      <w:r w:rsidR="00F373A3" w:rsidRPr="00181FCD">
        <w:t xml:space="preserve"> </w:t>
      </w:r>
      <w:r w:rsidR="001937F4" w:rsidRPr="00181FCD">
        <w:t>a</w:t>
      </w:r>
      <w:r w:rsidR="00F373A3" w:rsidRPr="00181FCD">
        <w:t xml:space="preserve"> </w:t>
      </w:r>
      <w:r w:rsidR="001937F4" w:rsidRPr="00181FCD">
        <w:t>las</w:t>
      </w:r>
      <w:r w:rsidR="00F373A3" w:rsidRPr="00181FCD">
        <w:t xml:space="preserve"> </w:t>
      </w:r>
      <w:r w:rsidR="001937F4" w:rsidRPr="00181FCD">
        <w:t>cuestiones</w:t>
      </w:r>
      <w:r w:rsidR="00F373A3" w:rsidRPr="00181FCD">
        <w:t xml:space="preserve"> </w:t>
      </w:r>
      <w:r w:rsidR="001937F4" w:rsidRPr="00181FCD">
        <w:t>planteadas</w:t>
      </w:r>
      <w:r w:rsidR="00F373A3" w:rsidRPr="00181FCD">
        <w:t xml:space="preserve"> </w:t>
      </w:r>
      <w:r w:rsidR="001937F4" w:rsidRPr="00181FCD">
        <w:t>en</w:t>
      </w:r>
      <w:r w:rsidR="00F373A3" w:rsidRPr="00181FCD">
        <w:t xml:space="preserve"> </w:t>
      </w:r>
      <w:r w:rsidR="001937F4" w:rsidRPr="00181FCD">
        <w:t>el</w:t>
      </w:r>
      <w:r w:rsidR="00F373A3" w:rsidRPr="00181FCD">
        <w:t xml:space="preserve"> </w:t>
      </w:r>
      <w:r w:rsidR="001937F4" w:rsidRPr="00181FCD">
        <w:t>párrafo</w:t>
      </w:r>
      <w:r w:rsidR="00F373A3" w:rsidRPr="00181FCD">
        <w:t xml:space="preserve"> </w:t>
      </w:r>
      <w:r w:rsidR="001937F4" w:rsidRPr="00181FCD">
        <w:t>26</w:t>
      </w:r>
      <w:r w:rsidR="00F373A3" w:rsidRPr="00181FCD">
        <w:t xml:space="preserve"> </w:t>
      </w:r>
      <w:r w:rsidR="001937F4" w:rsidRPr="00181FCD">
        <w:t>de</w:t>
      </w:r>
      <w:r w:rsidR="00F373A3" w:rsidRPr="00181FCD">
        <w:t xml:space="preserve"> </w:t>
      </w:r>
      <w:r w:rsidR="001937F4" w:rsidRPr="00181FCD">
        <w:t>la</w:t>
      </w:r>
      <w:r w:rsidR="00F373A3" w:rsidRPr="00181FCD">
        <w:t xml:space="preserve"> </w:t>
      </w:r>
      <w:r w:rsidR="001937F4" w:rsidRPr="00181FCD">
        <w:t>lista</w:t>
      </w:r>
      <w:r w:rsidR="00F373A3" w:rsidRPr="00181FCD">
        <w:t xml:space="preserve"> </w:t>
      </w:r>
      <w:r w:rsidR="001937F4" w:rsidRPr="00181FCD">
        <w:t>de</w:t>
      </w:r>
      <w:r w:rsidR="00F373A3" w:rsidRPr="00181FCD">
        <w:t xml:space="preserve"> </w:t>
      </w:r>
      <w:r w:rsidR="001937F4" w:rsidRPr="00181FCD">
        <w:t>cuestiones</w:t>
      </w:r>
    </w:p>
    <w:p w:rsidR="001937F4" w:rsidRPr="00181FCD" w:rsidRDefault="001937F4" w:rsidP="00347B20">
      <w:pPr>
        <w:pStyle w:val="SingleTxtG"/>
        <w:suppressAutoHyphens/>
      </w:pPr>
      <w:r w:rsidRPr="00181FCD">
        <w:t>222.</w:t>
      </w:r>
      <w:r w:rsidRPr="00181FCD">
        <w:tab/>
        <w:t>Bulgaria</w:t>
      </w:r>
      <w:r w:rsidR="00F373A3" w:rsidRPr="00181FCD">
        <w:t xml:space="preserve"> </w:t>
      </w:r>
      <w:r w:rsidRPr="00181FCD">
        <w:t>aplica</w:t>
      </w:r>
      <w:r w:rsidR="00F373A3" w:rsidRPr="00181FCD">
        <w:t xml:space="preserve"> </w:t>
      </w:r>
      <w:r w:rsidRPr="00181FCD">
        <w:t>de</w:t>
      </w:r>
      <w:r w:rsidR="00F373A3" w:rsidRPr="00181FCD">
        <w:t xml:space="preserve"> </w:t>
      </w:r>
      <w:r w:rsidRPr="00181FCD">
        <w:t>forma</w:t>
      </w:r>
      <w:r w:rsidR="00F373A3" w:rsidRPr="00181FCD">
        <w:t xml:space="preserve"> </w:t>
      </w:r>
      <w:r w:rsidRPr="00181FCD">
        <w:t>constante</w:t>
      </w:r>
      <w:r w:rsidR="00F373A3" w:rsidRPr="00181FCD">
        <w:t xml:space="preserve"> </w:t>
      </w:r>
      <w:r w:rsidRPr="00181FCD">
        <w:t>una</w:t>
      </w:r>
      <w:r w:rsidR="00F373A3" w:rsidRPr="00181FCD">
        <w:t xml:space="preserve"> </w:t>
      </w:r>
      <w:r w:rsidRPr="00181FCD">
        <w:t>política</w:t>
      </w:r>
      <w:r w:rsidR="00F373A3" w:rsidRPr="00181FCD">
        <w:t xml:space="preserve"> </w:t>
      </w:r>
      <w:r w:rsidRPr="00181FCD">
        <w:t>encaminada</w:t>
      </w:r>
      <w:r w:rsidR="00F373A3" w:rsidRPr="00181FCD">
        <w:t xml:space="preserve"> </w:t>
      </w:r>
      <w:r w:rsidRPr="00181FCD">
        <w:t>a</w:t>
      </w:r>
      <w:r w:rsidR="00F373A3" w:rsidRPr="00181FCD">
        <w:t xml:space="preserve"> </w:t>
      </w:r>
      <w:r w:rsidRPr="00181FCD">
        <w:t>prevenir</w:t>
      </w:r>
      <w:r w:rsidR="00F373A3" w:rsidRPr="00181FCD">
        <w:t xml:space="preserve"> </w:t>
      </w:r>
      <w:r w:rsidRPr="00181FCD">
        <w:t>y</w:t>
      </w:r>
      <w:r w:rsidR="00F373A3" w:rsidRPr="00181FCD">
        <w:t xml:space="preserve"> </w:t>
      </w:r>
      <w:r w:rsidRPr="00181FCD">
        <w:t>erradicar</w:t>
      </w:r>
      <w:r w:rsidR="00F373A3" w:rsidRPr="00181FCD">
        <w:t xml:space="preserve"> </w:t>
      </w:r>
      <w:r w:rsidRPr="00181FCD">
        <w:t>todas</w:t>
      </w:r>
      <w:r w:rsidR="00F373A3" w:rsidRPr="00181FCD">
        <w:t xml:space="preserve"> </w:t>
      </w:r>
      <w:r w:rsidRPr="00181FCD">
        <w:t>las</w:t>
      </w:r>
      <w:r w:rsidR="00F373A3" w:rsidRPr="00181FCD">
        <w:t xml:space="preserve"> </w:t>
      </w:r>
      <w:r w:rsidRPr="00181FCD">
        <w:t>formas</w:t>
      </w:r>
      <w:r w:rsidR="00F373A3" w:rsidRPr="00181FCD">
        <w:t xml:space="preserve"> </w:t>
      </w:r>
      <w:r w:rsidRPr="00181FCD">
        <w:t>de</w:t>
      </w:r>
      <w:r w:rsidR="00F373A3" w:rsidRPr="00181FCD">
        <w:t xml:space="preserve"> </w:t>
      </w:r>
      <w:r w:rsidRPr="00181FCD">
        <w:t>discriminación</w:t>
      </w:r>
      <w:r w:rsidR="00F373A3" w:rsidRPr="00181FCD">
        <w:t xml:space="preserve"> </w:t>
      </w:r>
      <w:r w:rsidRPr="00181FCD">
        <w:t>y</w:t>
      </w:r>
      <w:r w:rsidR="00F373A3" w:rsidRPr="00181FCD">
        <w:t xml:space="preserve"> </w:t>
      </w:r>
      <w:r w:rsidRPr="00181FCD">
        <w:t>a</w:t>
      </w:r>
      <w:r w:rsidR="00F373A3" w:rsidRPr="00181FCD">
        <w:t xml:space="preserve"> </w:t>
      </w:r>
      <w:r w:rsidRPr="00181FCD">
        <w:t>propiciar</w:t>
      </w:r>
      <w:r w:rsidR="00F373A3" w:rsidRPr="00181FCD">
        <w:t xml:space="preserve"> </w:t>
      </w:r>
      <w:r w:rsidRPr="00181FCD">
        <w:t>el</w:t>
      </w:r>
      <w:r w:rsidR="00F373A3" w:rsidRPr="00181FCD">
        <w:t xml:space="preserve"> </w:t>
      </w:r>
      <w:r w:rsidRPr="00181FCD">
        <w:t>entendimiento</w:t>
      </w:r>
      <w:r w:rsidR="00F373A3" w:rsidRPr="00181FCD">
        <w:t xml:space="preserve"> </w:t>
      </w:r>
      <w:r w:rsidRPr="00181FCD">
        <w:t>y</w:t>
      </w:r>
      <w:r w:rsidR="00F373A3" w:rsidRPr="00181FCD">
        <w:t xml:space="preserve"> </w:t>
      </w:r>
      <w:r w:rsidRPr="00181FCD">
        <w:t>la</w:t>
      </w:r>
      <w:r w:rsidR="00F373A3" w:rsidRPr="00181FCD">
        <w:t xml:space="preserve"> </w:t>
      </w:r>
      <w:r w:rsidRPr="00181FCD">
        <w:t>tolerancia</w:t>
      </w:r>
      <w:r w:rsidR="00F373A3" w:rsidRPr="00181FCD">
        <w:t xml:space="preserve"> </w:t>
      </w:r>
      <w:r w:rsidRPr="00181FCD">
        <w:t>entre</w:t>
      </w:r>
      <w:r w:rsidR="00F373A3" w:rsidRPr="00181FCD">
        <w:t xml:space="preserve"> </w:t>
      </w:r>
      <w:r w:rsidRPr="00181FCD">
        <w:t>las</w:t>
      </w:r>
      <w:r w:rsidR="00ED11BB" w:rsidRPr="00181FCD">
        <w:t> </w:t>
      </w:r>
      <w:r w:rsidRPr="00181FCD">
        <w:t>personas</w:t>
      </w:r>
      <w:r w:rsidR="00F373A3" w:rsidRPr="00181FCD">
        <w:t xml:space="preserve"> </w:t>
      </w:r>
      <w:r w:rsidRPr="00181FCD">
        <w:t>pertenecientes</w:t>
      </w:r>
      <w:r w:rsidR="00F373A3" w:rsidRPr="00181FCD">
        <w:t xml:space="preserve"> </w:t>
      </w:r>
      <w:r w:rsidRPr="00181FCD">
        <w:t>a</w:t>
      </w:r>
      <w:r w:rsidR="00F373A3" w:rsidRPr="00181FCD">
        <w:t xml:space="preserve"> </w:t>
      </w:r>
      <w:r w:rsidRPr="00181FCD">
        <w:t>diferentes</w:t>
      </w:r>
      <w:r w:rsidR="00F373A3" w:rsidRPr="00181FCD">
        <w:t xml:space="preserve"> </w:t>
      </w:r>
      <w:r w:rsidRPr="00181FCD">
        <w:t>grupos</w:t>
      </w:r>
      <w:r w:rsidR="00F373A3" w:rsidRPr="00181FCD">
        <w:t xml:space="preserve"> </w:t>
      </w:r>
      <w:r w:rsidRPr="00181FCD">
        <w:t>étnicos,</w:t>
      </w:r>
      <w:r w:rsidR="00F373A3" w:rsidRPr="00181FCD">
        <w:t xml:space="preserve"> </w:t>
      </w:r>
      <w:r w:rsidRPr="00181FCD">
        <w:t>religiosos</w:t>
      </w:r>
      <w:r w:rsidR="00F373A3" w:rsidRPr="00181FCD">
        <w:t xml:space="preserve"> </w:t>
      </w:r>
      <w:r w:rsidRPr="00181FCD">
        <w:t>o</w:t>
      </w:r>
      <w:r w:rsidR="00F373A3" w:rsidRPr="00181FCD">
        <w:t xml:space="preserve"> </w:t>
      </w:r>
      <w:r w:rsidRPr="00181FCD">
        <w:t>lingüísticos</w:t>
      </w:r>
      <w:r w:rsidR="00F373A3" w:rsidRPr="00181FCD">
        <w:t xml:space="preserve"> </w:t>
      </w:r>
      <w:r w:rsidRPr="00181FCD">
        <w:t>de</w:t>
      </w:r>
      <w:r w:rsidR="00F373A3" w:rsidRPr="00181FCD">
        <w:t xml:space="preserve"> </w:t>
      </w:r>
      <w:r w:rsidRPr="00181FCD">
        <w:t>la</w:t>
      </w:r>
      <w:r w:rsidR="00F373A3" w:rsidRPr="00181FCD">
        <w:t xml:space="preserve"> </w:t>
      </w:r>
      <w:r w:rsidRPr="00181FCD">
        <w:t>población.</w:t>
      </w:r>
      <w:r w:rsidR="00F373A3" w:rsidRPr="00181FCD">
        <w:t xml:space="preserve"> </w:t>
      </w:r>
    </w:p>
    <w:p w:rsidR="001937F4" w:rsidRPr="00181FCD" w:rsidRDefault="001937F4" w:rsidP="00347B20">
      <w:pPr>
        <w:pStyle w:val="SingleTxtG"/>
        <w:suppressAutoHyphens/>
      </w:pPr>
      <w:r w:rsidRPr="00181FCD">
        <w:t>223.</w:t>
      </w:r>
      <w:r w:rsidRPr="00181FCD">
        <w:tab/>
        <w:t>Bulgaria</w:t>
      </w:r>
      <w:r w:rsidR="00F373A3" w:rsidRPr="00181FCD">
        <w:t xml:space="preserve"> </w:t>
      </w:r>
      <w:r w:rsidRPr="00181FCD">
        <w:t>cuenta</w:t>
      </w:r>
      <w:r w:rsidR="00F373A3" w:rsidRPr="00181FCD">
        <w:t xml:space="preserve"> </w:t>
      </w:r>
      <w:r w:rsidRPr="00181FCD">
        <w:t>con</w:t>
      </w:r>
      <w:r w:rsidR="00F373A3" w:rsidRPr="00181FCD">
        <w:t xml:space="preserve"> </w:t>
      </w:r>
      <w:r w:rsidRPr="00181FCD">
        <w:t>un</w:t>
      </w:r>
      <w:r w:rsidR="00F373A3" w:rsidRPr="00181FCD">
        <w:t xml:space="preserve"> </w:t>
      </w:r>
      <w:r w:rsidRPr="00181FCD">
        <w:t>marco</w:t>
      </w:r>
      <w:r w:rsidR="00F373A3" w:rsidRPr="00181FCD">
        <w:t xml:space="preserve"> </w:t>
      </w:r>
      <w:r w:rsidRPr="00181FCD">
        <w:t>jurídico</w:t>
      </w:r>
      <w:r w:rsidR="00F373A3" w:rsidRPr="00181FCD">
        <w:t xml:space="preserve"> </w:t>
      </w:r>
      <w:r w:rsidRPr="00181FCD">
        <w:t>adecuado</w:t>
      </w:r>
      <w:r w:rsidR="00F373A3" w:rsidRPr="00181FCD">
        <w:t xml:space="preserve"> </w:t>
      </w:r>
      <w:r w:rsidRPr="00181FCD">
        <w:t>y</w:t>
      </w:r>
      <w:r w:rsidR="00F373A3" w:rsidRPr="00181FCD">
        <w:t xml:space="preserve"> </w:t>
      </w:r>
      <w:r w:rsidRPr="00181FCD">
        <w:t>sólido</w:t>
      </w:r>
      <w:r w:rsidR="00F373A3" w:rsidRPr="00181FCD">
        <w:t xml:space="preserve"> </w:t>
      </w:r>
      <w:r w:rsidRPr="00181FCD">
        <w:t>para</w:t>
      </w:r>
      <w:r w:rsidR="00F373A3" w:rsidRPr="00181FCD">
        <w:t xml:space="preserve"> </w:t>
      </w:r>
      <w:r w:rsidRPr="00181FCD">
        <w:t>combatir</w:t>
      </w:r>
      <w:r w:rsidR="00F373A3" w:rsidRPr="00181FCD">
        <w:t xml:space="preserve"> </w:t>
      </w:r>
      <w:r w:rsidRPr="00181FCD">
        <w:t>todos</w:t>
      </w:r>
      <w:r w:rsidR="00F373A3" w:rsidRPr="00181FCD">
        <w:t xml:space="preserve"> </w:t>
      </w:r>
      <w:r w:rsidRPr="00181FCD">
        <w:t>los</w:t>
      </w:r>
      <w:r w:rsidR="00F373A3" w:rsidRPr="00181FCD">
        <w:t xml:space="preserve"> </w:t>
      </w:r>
      <w:r w:rsidRPr="00181FCD">
        <w:t>delitos</w:t>
      </w:r>
      <w:r w:rsidR="00F373A3" w:rsidRPr="00181FCD">
        <w:t xml:space="preserve"> </w:t>
      </w:r>
      <w:r w:rsidRPr="00181FCD">
        <w:t>motivados</w:t>
      </w:r>
      <w:r w:rsidR="00F373A3" w:rsidRPr="00181FCD">
        <w:t xml:space="preserve"> </w:t>
      </w:r>
      <w:r w:rsidRPr="00181FCD">
        <w:t>por</w:t>
      </w:r>
      <w:r w:rsidR="00F373A3" w:rsidRPr="00181FCD">
        <w:t xml:space="preserve"> </w:t>
      </w:r>
      <w:r w:rsidRPr="00181FCD">
        <w:t>el</w:t>
      </w:r>
      <w:r w:rsidR="00F373A3" w:rsidRPr="00181FCD">
        <w:t xml:space="preserve"> </w:t>
      </w:r>
      <w:r w:rsidRPr="00181FCD">
        <w:t>odio,</w:t>
      </w:r>
      <w:r w:rsidR="00F373A3" w:rsidRPr="00181FCD">
        <w:t xml:space="preserve"> </w:t>
      </w:r>
      <w:r w:rsidRPr="00181FCD">
        <w:t>el</w:t>
      </w:r>
      <w:r w:rsidR="00F373A3" w:rsidRPr="00181FCD">
        <w:t xml:space="preserve"> </w:t>
      </w:r>
      <w:r w:rsidRPr="00181FCD">
        <w:t>racismo,</w:t>
      </w:r>
      <w:r w:rsidR="00F373A3" w:rsidRPr="00181FCD">
        <w:t xml:space="preserve"> </w:t>
      </w:r>
      <w:r w:rsidRPr="00181FCD">
        <w:t>la</w:t>
      </w:r>
      <w:r w:rsidR="00F373A3" w:rsidRPr="00181FCD">
        <w:t xml:space="preserve"> </w:t>
      </w:r>
      <w:r w:rsidRPr="00181FCD">
        <w:t>intolerancia</w:t>
      </w:r>
      <w:r w:rsidR="00F373A3" w:rsidRPr="00181FCD">
        <w:t xml:space="preserve"> </w:t>
      </w:r>
      <w:r w:rsidRPr="00181FCD">
        <w:t>y</w:t>
      </w:r>
      <w:r w:rsidR="00F373A3" w:rsidRPr="00181FCD">
        <w:t xml:space="preserve"> </w:t>
      </w:r>
      <w:r w:rsidRPr="00181FCD">
        <w:t>la</w:t>
      </w:r>
      <w:r w:rsidR="00F373A3" w:rsidRPr="00181FCD">
        <w:t xml:space="preserve"> </w:t>
      </w:r>
      <w:r w:rsidRPr="00181FCD">
        <w:t>xenofobia.</w:t>
      </w:r>
      <w:r w:rsidR="00F373A3" w:rsidRPr="00181FCD">
        <w:t xml:space="preserve"> </w:t>
      </w:r>
      <w:r w:rsidRPr="00181FCD">
        <w:t>El</w:t>
      </w:r>
      <w:r w:rsidR="00F373A3" w:rsidRPr="00181FCD">
        <w:t xml:space="preserve"> </w:t>
      </w:r>
      <w:r w:rsidRPr="00181FCD">
        <w:t>Estado</w:t>
      </w:r>
      <w:r w:rsidR="00F373A3" w:rsidRPr="00181FCD">
        <w:t xml:space="preserve"> </w:t>
      </w:r>
      <w:r w:rsidRPr="00181FCD">
        <w:t>es</w:t>
      </w:r>
      <w:r w:rsidR="00F373A3" w:rsidRPr="00181FCD">
        <w:t xml:space="preserve"> </w:t>
      </w:r>
      <w:r w:rsidRPr="00181FCD">
        <w:t>parte</w:t>
      </w:r>
      <w:r w:rsidR="00F373A3" w:rsidRPr="00181FCD">
        <w:t xml:space="preserve"> </w:t>
      </w:r>
      <w:r w:rsidRPr="00181FCD">
        <w:t>en</w:t>
      </w:r>
      <w:r w:rsidR="00F373A3" w:rsidRPr="00181FCD">
        <w:t xml:space="preserve"> </w:t>
      </w:r>
      <w:r w:rsidRPr="00181FCD">
        <w:t>los</w:t>
      </w:r>
      <w:r w:rsidR="00F373A3" w:rsidRPr="00181FCD">
        <w:t xml:space="preserve"> </w:t>
      </w:r>
      <w:r w:rsidRPr="00181FCD">
        <w:t>principales</w:t>
      </w:r>
      <w:r w:rsidR="00F373A3" w:rsidRPr="00181FCD">
        <w:t xml:space="preserve"> </w:t>
      </w:r>
      <w:r w:rsidRPr="00181FCD">
        <w:t>instrumentos</w:t>
      </w:r>
      <w:r w:rsidR="00F373A3" w:rsidRPr="00181FCD">
        <w:t xml:space="preserve"> </w:t>
      </w:r>
      <w:r w:rsidRPr="00181FCD">
        <w:t>de</w:t>
      </w:r>
      <w:r w:rsidR="00F373A3" w:rsidRPr="00181FCD">
        <w:t xml:space="preserve"> </w:t>
      </w:r>
      <w:r w:rsidRPr="00181FCD">
        <w:t>derechos</w:t>
      </w:r>
      <w:r w:rsidR="00F373A3" w:rsidRPr="00181FCD">
        <w:t xml:space="preserve"> </w:t>
      </w:r>
      <w:r w:rsidRPr="00181FCD">
        <w:t>humanos</w:t>
      </w:r>
      <w:r w:rsidR="00F373A3" w:rsidRPr="00181FCD">
        <w:t xml:space="preserve"> </w:t>
      </w:r>
      <w:r w:rsidRPr="00181FCD">
        <w:t>de</w:t>
      </w:r>
      <w:r w:rsidR="00F373A3" w:rsidRPr="00181FCD">
        <w:t xml:space="preserve"> </w:t>
      </w:r>
      <w:r w:rsidRPr="00181FCD">
        <w:t>las</w:t>
      </w:r>
      <w:r w:rsidR="00F373A3" w:rsidRPr="00181FCD">
        <w:t xml:space="preserve"> </w:t>
      </w:r>
      <w:r w:rsidRPr="00181FCD">
        <w:t>Naciones</w:t>
      </w:r>
      <w:r w:rsidR="00F373A3" w:rsidRPr="00181FCD">
        <w:t xml:space="preserve"> </w:t>
      </w:r>
      <w:r w:rsidRPr="00181FCD">
        <w:t>Unidas</w:t>
      </w:r>
      <w:r w:rsidR="00F373A3" w:rsidRPr="00181FCD">
        <w:t xml:space="preserve"> </w:t>
      </w:r>
      <w:r w:rsidRPr="00181FCD">
        <w:t>y</w:t>
      </w:r>
      <w:r w:rsidR="00F373A3" w:rsidRPr="00181FCD">
        <w:t xml:space="preserve"> </w:t>
      </w:r>
      <w:r w:rsidRPr="00181FCD">
        <w:t>del</w:t>
      </w:r>
      <w:r w:rsidR="00F373A3" w:rsidRPr="00181FCD">
        <w:t xml:space="preserve"> </w:t>
      </w:r>
      <w:r w:rsidRPr="00181FCD">
        <w:t>Consejo</w:t>
      </w:r>
      <w:r w:rsidR="00F373A3" w:rsidRPr="00181FCD">
        <w:t xml:space="preserve"> </w:t>
      </w:r>
      <w:r w:rsidRPr="00181FCD">
        <w:t>de</w:t>
      </w:r>
      <w:r w:rsidR="00F373A3" w:rsidRPr="00181FCD">
        <w:t xml:space="preserve"> </w:t>
      </w:r>
      <w:r w:rsidRPr="00181FCD">
        <w:t>Europa.</w:t>
      </w:r>
      <w:r w:rsidR="00F373A3" w:rsidRPr="00181FCD">
        <w:t xml:space="preserve"> </w:t>
      </w:r>
      <w:r w:rsidRPr="00181FCD">
        <w:t>Además,</w:t>
      </w:r>
      <w:r w:rsidR="00F373A3" w:rsidRPr="00181FCD">
        <w:t xml:space="preserve"> </w:t>
      </w:r>
      <w:r w:rsidRPr="00181FCD">
        <w:t>los</w:t>
      </w:r>
      <w:r w:rsidR="00F373A3" w:rsidRPr="00181FCD">
        <w:t xml:space="preserve"> </w:t>
      </w:r>
      <w:r w:rsidRPr="00181FCD">
        <w:t>órganos</w:t>
      </w:r>
      <w:r w:rsidR="00F373A3" w:rsidRPr="00181FCD">
        <w:t xml:space="preserve"> </w:t>
      </w:r>
      <w:r w:rsidRPr="00181FCD">
        <w:t>estatales</w:t>
      </w:r>
      <w:r w:rsidR="00F373A3" w:rsidRPr="00181FCD">
        <w:t xml:space="preserve"> </w:t>
      </w:r>
      <w:r w:rsidRPr="00181FCD">
        <w:t>aplican</w:t>
      </w:r>
      <w:r w:rsidR="00F373A3" w:rsidRPr="00181FCD">
        <w:t xml:space="preserve"> </w:t>
      </w:r>
      <w:r w:rsidRPr="00181FCD">
        <w:t>plenamente</w:t>
      </w:r>
      <w:r w:rsidR="00F373A3" w:rsidRPr="00181FCD">
        <w:t xml:space="preserve"> </w:t>
      </w:r>
      <w:r w:rsidRPr="00181FCD">
        <w:t>la</w:t>
      </w:r>
      <w:r w:rsidR="00F373A3" w:rsidRPr="00181FCD">
        <w:t xml:space="preserve"> </w:t>
      </w:r>
      <w:r w:rsidRPr="00181FCD">
        <w:t>vasta</w:t>
      </w:r>
      <w:r w:rsidR="00F373A3" w:rsidRPr="00181FCD">
        <w:t xml:space="preserve"> </w:t>
      </w:r>
      <w:r w:rsidRPr="00181FCD">
        <w:t>legislación</w:t>
      </w:r>
      <w:r w:rsidR="00F373A3" w:rsidRPr="00181FCD">
        <w:t xml:space="preserve"> </w:t>
      </w:r>
      <w:r w:rsidRPr="00181FCD">
        <w:t>de</w:t>
      </w:r>
      <w:r w:rsidR="00F373A3" w:rsidRPr="00181FCD">
        <w:t xml:space="preserve"> </w:t>
      </w:r>
      <w:r w:rsidRPr="00181FCD">
        <w:t>Unión</w:t>
      </w:r>
      <w:r w:rsidR="00F373A3" w:rsidRPr="00181FCD">
        <w:t xml:space="preserve"> </w:t>
      </w:r>
      <w:r w:rsidRPr="00181FCD">
        <w:t>Europea</w:t>
      </w:r>
      <w:r w:rsidR="00F373A3" w:rsidRPr="00181FCD">
        <w:t xml:space="preserve"> </w:t>
      </w:r>
      <w:r w:rsidRPr="00181FCD">
        <w:t>al</w:t>
      </w:r>
      <w:r w:rsidR="00F373A3" w:rsidRPr="00181FCD">
        <w:t xml:space="preserve"> </w:t>
      </w:r>
      <w:r w:rsidRPr="00181FCD">
        <w:t>respecto.</w:t>
      </w:r>
      <w:r w:rsidR="00F373A3" w:rsidRPr="00181FCD">
        <w:t xml:space="preserve"> </w:t>
      </w:r>
    </w:p>
    <w:p w:rsidR="001937F4" w:rsidRPr="00181FCD" w:rsidRDefault="001937F4" w:rsidP="00347B20">
      <w:pPr>
        <w:pStyle w:val="SingleTxtG"/>
        <w:suppressAutoHyphens/>
      </w:pPr>
      <w:r w:rsidRPr="00181FCD">
        <w:t>224.</w:t>
      </w:r>
      <w:r w:rsidRPr="00181FCD">
        <w:tab/>
        <w:t>La</w:t>
      </w:r>
      <w:r w:rsidR="00F373A3" w:rsidRPr="00181FCD">
        <w:t xml:space="preserve"> </w:t>
      </w:r>
      <w:r w:rsidRPr="00181FCD">
        <w:t>Constitución</w:t>
      </w:r>
      <w:r w:rsidR="00F373A3" w:rsidRPr="00181FCD">
        <w:t xml:space="preserve"> </w:t>
      </w:r>
      <w:r w:rsidRPr="00181FCD">
        <w:t>de</w:t>
      </w:r>
      <w:r w:rsidR="00F373A3" w:rsidRPr="00181FCD">
        <w:t xml:space="preserve"> </w:t>
      </w:r>
      <w:r w:rsidRPr="00181FCD">
        <w:t>la</w:t>
      </w:r>
      <w:r w:rsidR="00F373A3" w:rsidRPr="00181FCD">
        <w:t xml:space="preserve"> </w:t>
      </w:r>
      <w:r w:rsidRPr="00181FCD">
        <w:t>República</w:t>
      </w:r>
      <w:r w:rsidR="00F373A3" w:rsidRPr="00181FCD">
        <w:t xml:space="preserve"> </w:t>
      </w:r>
      <w:r w:rsidRPr="00181FCD">
        <w:t>de</w:t>
      </w:r>
      <w:r w:rsidR="00F373A3" w:rsidRPr="00181FCD">
        <w:t xml:space="preserve"> </w:t>
      </w:r>
      <w:r w:rsidRPr="00181FCD">
        <w:t>Bulgaria</w:t>
      </w:r>
      <w:r w:rsidR="00F373A3" w:rsidRPr="00181FCD">
        <w:t xml:space="preserve"> </w:t>
      </w:r>
      <w:r w:rsidRPr="00181FCD">
        <w:t>prohíbe</w:t>
      </w:r>
      <w:r w:rsidR="00F373A3" w:rsidRPr="00181FCD">
        <w:t xml:space="preserve"> </w:t>
      </w:r>
      <w:r w:rsidRPr="00181FCD">
        <w:t>terminantemente</w:t>
      </w:r>
      <w:r w:rsidR="00F373A3" w:rsidRPr="00181FCD">
        <w:t xml:space="preserve"> </w:t>
      </w:r>
      <w:r w:rsidRPr="00181FCD">
        <w:t>la</w:t>
      </w:r>
      <w:r w:rsidR="00F373A3" w:rsidRPr="00181FCD">
        <w:t xml:space="preserve"> </w:t>
      </w:r>
      <w:r w:rsidRPr="00181FCD">
        <w:t>discriminación</w:t>
      </w:r>
      <w:r w:rsidR="00F373A3" w:rsidRPr="00181FCD">
        <w:t xml:space="preserve"> </w:t>
      </w:r>
      <w:r w:rsidRPr="00181FCD">
        <w:t>racial.</w:t>
      </w:r>
      <w:r w:rsidR="00F373A3" w:rsidRPr="00181FCD">
        <w:t xml:space="preserve"> </w:t>
      </w:r>
      <w:r w:rsidRPr="00181FCD">
        <w:t>Este</w:t>
      </w:r>
      <w:r w:rsidR="00F373A3" w:rsidRPr="00181FCD">
        <w:t xml:space="preserve"> </w:t>
      </w:r>
      <w:r w:rsidRPr="00181FCD">
        <w:t>principio</w:t>
      </w:r>
      <w:r w:rsidR="00F373A3" w:rsidRPr="00181FCD">
        <w:t xml:space="preserve"> </w:t>
      </w:r>
      <w:r w:rsidRPr="00181FCD">
        <w:t>constitucional</w:t>
      </w:r>
      <w:r w:rsidR="00F373A3" w:rsidRPr="00181FCD">
        <w:t xml:space="preserve"> </w:t>
      </w:r>
      <w:r w:rsidRPr="00181FCD">
        <w:t>se</w:t>
      </w:r>
      <w:r w:rsidR="00F373A3" w:rsidRPr="00181FCD">
        <w:t xml:space="preserve"> </w:t>
      </w:r>
      <w:r w:rsidRPr="00181FCD">
        <w:t>ha</w:t>
      </w:r>
      <w:r w:rsidR="00F373A3" w:rsidRPr="00181FCD">
        <w:t xml:space="preserve"> </w:t>
      </w:r>
      <w:r w:rsidRPr="00181FCD">
        <w:t>incorporado</w:t>
      </w:r>
      <w:r w:rsidR="00F373A3" w:rsidRPr="00181FCD">
        <w:t xml:space="preserve"> </w:t>
      </w:r>
      <w:r w:rsidRPr="00181FCD">
        <w:t>en</w:t>
      </w:r>
      <w:r w:rsidR="00F373A3" w:rsidRPr="00181FCD">
        <w:t xml:space="preserve"> </w:t>
      </w:r>
      <w:r w:rsidRPr="00181FCD">
        <w:t>todos</w:t>
      </w:r>
      <w:r w:rsidR="00F373A3" w:rsidRPr="00181FCD">
        <w:t xml:space="preserve"> </w:t>
      </w:r>
      <w:r w:rsidRPr="00181FCD">
        <w:t>las</w:t>
      </w:r>
      <w:r w:rsidR="00F373A3" w:rsidRPr="00181FCD">
        <w:t xml:space="preserve"> </w:t>
      </w:r>
      <w:r w:rsidRPr="00181FCD">
        <w:t>disposiciones</w:t>
      </w:r>
      <w:r w:rsidR="00F373A3" w:rsidRPr="00181FCD">
        <w:t xml:space="preserve"> </w:t>
      </w:r>
      <w:r w:rsidRPr="00181FCD">
        <w:t>de</w:t>
      </w:r>
      <w:r w:rsidR="00F373A3" w:rsidRPr="00181FCD">
        <w:t xml:space="preserve"> </w:t>
      </w:r>
      <w:r w:rsidRPr="00181FCD">
        <w:t>la</w:t>
      </w:r>
      <w:r w:rsidR="00F373A3" w:rsidRPr="00181FCD">
        <w:t xml:space="preserve"> </w:t>
      </w:r>
      <w:r w:rsidRPr="00181FCD">
        <w:t>legislación</w:t>
      </w:r>
      <w:r w:rsidR="00F373A3" w:rsidRPr="00181FCD">
        <w:t xml:space="preserve"> </w:t>
      </w:r>
      <w:r w:rsidRPr="00181FCD">
        <w:t>interna.</w:t>
      </w:r>
      <w:r w:rsidR="00F373A3" w:rsidRPr="00181FCD">
        <w:t xml:space="preserve"> </w:t>
      </w:r>
      <w:r w:rsidRPr="00181FCD">
        <w:t>Según</w:t>
      </w:r>
      <w:r w:rsidR="00F373A3" w:rsidRPr="00181FCD">
        <w:t xml:space="preserve"> </w:t>
      </w:r>
      <w:r w:rsidRPr="00181FCD">
        <w:t>jurisprudencia</w:t>
      </w:r>
      <w:r w:rsidR="00F373A3" w:rsidRPr="00181FCD">
        <w:t xml:space="preserve"> </w:t>
      </w:r>
      <w:r w:rsidRPr="00181FCD">
        <w:t>reiterada,</w:t>
      </w:r>
      <w:r w:rsidR="00F373A3" w:rsidRPr="00181FCD">
        <w:t xml:space="preserve"> </w:t>
      </w:r>
      <w:r w:rsidRPr="00181FCD">
        <w:t>los</w:t>
      </w:r>
      <w:r w:rsidR="00F373A3" w:rsidRPr="00181FCD">
        <w:t xml:space="preserve"> </w:t>
      </w:r>
      <w:r w:rsidRPr="00181FCD">
        <w:t>tribunales</w:t>
      </w:r>
      <w:r w:rsidR="00F373A3" w:rsidRPr="00181FCD">
        <w:t xml:space="preserve"> </w:t>
      </w:r>
      <w:r w:rsidRPr="00181FCD">
        <w:t>deben</w:t>
      </w:r>
      <w:r w:rsidR="00F373A3" w:rsidRPr="00181FCD">
        <w:t xml:space="preserve"> </w:t>
      </w:r>
      <w:r w:rsidRPr="00181FCD">
        <w:t>considerar</w:t>
      </w:r>
      <w:r w:rsidR="00F373A3" w:rsidRPr="00181FCD">
        <w:t xml:space="preserve"> </w:t>
      </w:r>
      <w:r w:rsidRPr="00181FCD">
        <w:t>la</w:t>
      </w:r>
      <w:r w:rsidR="00F373A3" w:rsidRPr="00181FCD">
        <w:t xml:space="preserve"> </w:t>
      </w:r>
      <w:r w:rsidRPr="00181FCD">
        <w:t>motivación</w:t>
      </w:r>
      <w:r w:rsidR="00F373A3" w:rsidRPr="00181FCD">
        <w:t xml:space="preserve"> </w:t>
      </w:r>
      <w:r w:rsidRPr="00181FCD">
        <w:t>racial</w:t>
      </w:r>
      <w:r w:rsidR="00F373A3" w:rsidRPr="00181FCD">
        <w:t xml:space="preserve"> </w:t>
      </w:r>
      <w:r w:rsidRPr="00181FCD">
        <w:t>como</w:t>
      </w:r>
      <w:r w:rsidR="00F373A3" w:rsidRPr="00181FCD">
        <w:t xml:space="preserve"> </w:t>
      </w:r>
      <w:r w:rsidRPr="00181FCD">
        <w:t>una</w:t>
      </w:r>
      <w:r w:rsidR="00F373A3" w:rsidRPr="00181FCD">
        <w:t xml:space="preserve"> </w:t>
      </w:r>
      <w:r w:rsidRPr="00181FCD">
        <w:t>circunstancia</w:t>
      </w:r>
      <w:r w:rsidR="00F373A3" w:rsidRPr="00181FCD">
        <w:t xml:space="preserve"> </w:t>
      </w:r>
      <w:r w:rsidRPr="00181FCD">
        <w:t>agravante</w:t>
      </w:r>
      <w:r w:rsidR="00F373A3" w:rsidRPr="00181FCD">
        <w:t xml:space="preserve"> </w:t>
      </w:r>
      <w:r w:rsidRPr="00181FCD">
        <w:t>en</w:t>
      </w:r>
      <w:r w:rsidR="00F373A3" w:rsidRPr="00181FCD">
        <w:t xml:space="preserve"> </w:t>
      </w:r>
      <w:r w:rsidRPr="00181FCD">
        <w:t>los</w:t>
      </w:r>
      <w:r w:rsidR="00F373A3" w:rsidRPr="00181FCD">
        <w:t xml:space="preserve"> </w:t>
      </w:r>
      <w:r w:rsidRPr="00181FCD">
        <w:t>delitos</w:t>
      </w:r>
      <w:r w:rsidR="00F373A3" w:rsidRPr="00181FCD">
        <w:t xml:space="preserve"> </w:t>
      </w:r>
      <w:r w:rsidRPr="00181FCD">
        <w:t>penales.</w:t>
      </w:r>
      <w:r w:rsidR="00F373A3" w:rsidRPr="00181FCD">
        <w:t xml:space="preserve"> </w:t>
      </w:r>
      <w:r w:rsidRPr="00181FCD">
        <w:t>En</w:t>
      </w:r>
      <w:r w:rsidR="00F373A3" w:rsidRPr="00181FCD">
        <w:t xml:space="preserve"> </w:t>
      </w:r>
      <w:r w:rsidRPr="00181FCD">
        <w:t>los</w:t>
      </w:r>
      <w:r w:rsidR="00F373A3" w:rsidRPr="00181FCD">
        <w:t xml:space="preserve"> </w:t>
      </w:r>
      <w:r w:rsidRPr="00181FCD">
        <w:t>casos</w:t>
      </w:r>
      <w:r w:rsidR="00F373A3" w:rsidRPr="00181FCD">
        <w:t xml:space="preserve"> </w:t>
      </w:r>
      <w:r w:rsidRPr="00181FCD">
        <w:t>de</w:t>
      </w:r>
      <w:r w:rsidR="00F373A3" w:rsidRPr="00181FCD">
        <w:t xml:space="preserve"> </w:t>
      </w:r>
      <w:r w:rsidRPr="00181FCD">
        <w:t>homicidio</w:t>
      </w:r>
      <w:r w:rsidR="00F373A3" w:rsidRPr="00181FCD">
        <w:t xml:space="preserve"> </w:t>
      </w:r>
      <w:r w:rsidRPr="00181FCD">
        <w:t>intencional,</w:t>
      </w:r>
      <w:r w:rsidR="00F373A3" w:rsidRPr="00181FCD">
        <w:t xml:space="preserve"> </w:t>
      </w:r>
      <w:r w:rsidRPr="00181FCD">
        <w:t>lesiones</w:t>
      </w:r>
      <w:r w:rsidR="00F373A3" w:rsidRPr="00181FCD">
        <w:t xml:space="preserve"> </w:t>
      </w:r>
      <w:r w:rsidRPr="00181FCD">
        <w:t>corporales</w:t>
      </w:r>
      <w:r w:rsidR="00F373A3" w:rsidRPr="00181FCD">
        <w:t xml:space="preserve"> </w:t>
      </w:r>
      <w:r w:rsidRPr="00181FCD">
        <w:t>o</w:t>
      </w:r>
      <w:r w:rsidR="00F373A3" w:rsidRPr="00181FCD">
        <w:t xml:space="preserve"> </w:t>
      </w:r>
      <w:r w:rsidRPr="00181FCD">
        <w:t>incitación</w:t>
      </w:r>
      <w:r w:rsidR="00F373A3" w:rsidRPr="00181FCD">
        <w:t xml:space="preserve"> </w:t>
      </w:r>
      <w:r w:rsidRPr="00181FCD">
        <w:t>a</w:t>
      </w:r>
      <w:r w:rsidR="00F373A3" w:rsidRPr="00181FCD">
        <w:t xml:space="preserve"> </w:t>
      </w:r>
      <w:r w:rsidRPr="00181FCD">
        <w:t>la</w:t>
      </w:r>
      <w:r w:rsidR="00F373A3" w:rsidRPr="00181FCD">
        <w:t xml:space="preserve"> </w:t>
      </w:r>
      <w:r w:rsidRPr="00181FCD">
        <w:t>discriminación,</w:t>
      </w:r>
      <w:r w:rsidR="00F373A3" w:rsidRPr="00181FCD">
        <w:t xml:space="preserve"> </w:t>
      </w:r>
      <w:r w:rsidRPr="00181FCD">
        <w:t>la</w:t>
      </w:r>
      <w:r w:rsidR="00F373A3" w:rsidRPr="00181FCD">
        <w:t xml:space="preserve"> </w:t>
      </w:r>
      <w:r w:rsidRPr="00181FCD">
        <w:t>violencia</w:t>
      </w:r>
      <w:r w:rsidR="00F373A3" w:rsidRPr="00181FCD">
        <w:t xml:space="preserve"> </w:t>
      </w:r>
      <w:r w:rsidRPr="00181FCD">
        <w:t>o</w:t>
      </w:r>
      <w:r w:rsidR="00F373A3" w:rsidRPr="00181FCD">
        <w:t xml:space="preserve"> </w:t>
      </w:r>
      <w:r w:rsidRPr="00181FCD">
        <w:t>el</w:t>
      </w:r>
      <w:r w:rsidR="00F373A3" w:rsidRPr="00181FCD">
        <w:t xml:space="preserve"> </w:t>
      </w:r>
      <w:r w:rsidRPr="00181FCD">
        <w:t>odio</w:t>
      </w:r>
      <w:r w:rsidR="00F373A3" w:rsidRPr="00181FCD">
        <w:t xml:space="preserve"> </w:t>
      </w:r>
      <w:r w:rsidRPr="00181FCD">
        <w:t>por</w:t>
      </w:r>
      <w:r w:rsidR="00F373A3" w:rsidRPr="00181FCD">
        <w:t xml:space="preserve"> </w:t>
      </w:r>
      <w:r w:rsidRPr="00181FCD">
        <w:t>motivos</w:t>
      </w:r>
      <w:r w:rsidR="00F373A3" w:rsidRPr="00181FCD">
        <w:t xml:space="preserve"> </w:t>
      </w:r>
      <w:r w:rsidRPr="00181FCD">
        <w:t>de</w:t>
      </w:r>
      <w:r w:rsidR="00F373A3" w:rsidRPr="00181FCD">
        <w:t xml:space="preserve"> </w:t>
      </w:r>
      <w:r w:rsidRPr="00181FCD">
        <w:t>raza,</w:t>
      </w:r>
      <w:r w:rsidR="00F373A3" w:rsidRPr="00181FCD">
        <w:t xml:space="preserve"> </w:t>
      </w:r>
      <w:r w:rsidRPr="00181FCD">
        <w:t>nacionalidad</w:t>
      </w:r>
      <w:r w:rsidR="00F373A3" w:rsidRPr="00181FCD">
        <w:t xml:space="preserve"> </w:t>
      </w:r>
      <w:r w:rsidRPr="00181FCD">
        <w:t>u</w:t>
      </w:r>
      <w:r w:rsidR="00F373A3" w:rsidRPr="00181FCD">
        <w:t xml:space="preserve"> </w:t>
      </w:r>
      <w:r w:rsidRPr="00181FCD">
        <w:t>origen</w:t>
      </w:r>
      <w:r w:rsidR="00F373A3" w:rsidRPr="00181FCD">
        <w:t xml:space="preserve"> </w:t>
      </w:r>
      <w:r w:rsidRPr="00181FCD">
        <w:t>étnico,</w:t>
      </w:r>
      <w:r w:rsidR="00F373A3" w:rsidRPr="00181FCD">
        <w:t xml:space="preserve"> </w:t>
      </w:r>
      <w:r w:rsidRPr="00181FCD">
        <w:t>o</w:t>
      </w:r>
      <w:r w:rsidR="00F373A3" w:rsidRPr="00181FCD">
        <w:t xml:space="preserve"> </w:t>
      </w:r>
      <w:r w:rsidRPr="00181FCD">
        <w:t>de</w:t>
      </w:r>
      <w:r w:rsidR="00F373A3" w:rsidRPr="00181FCD">
        <w:t xml:space="preserve"> </w:t>
      </w:r>
      <w:r w:rsidRPr="00181FCD">
        <w:t>daños</w:t>
      </w:r>
      <w:r w:rsidR="00F373A3" w:rsidRPr="00181FCD">
        <w:t xml:space="preserve"> </w:t>
      </w:r>
      <w:r w:rsidRPr="00181FCD">
        <w:t>en</w:t>
      </w:r>
      <w:r w:rsidR="00F373A3" w:rsidRPr="00181FCD">
        <w:t xml:space="preserve"> </w:t>
      </w:r>
      <w:r w:rsidRPr="00181FCD">
        <w:t>la</w:t>
      </w:r>
      <w:r w:rsidR="00F373A3" w:rsidRPr="00181FCD">
        <w:t xml:space="preserve"> </w:t>
      </w:r>
      <w:r w:rsidRPr="00181FCD">
        <w:t>propiedad</w:t>
      </w:r>
      <w:r w:rsidR="00F373A3" w:rsidRPr="00181FCD">
        <w:t xml:space="preserve"> </w:t>
      </w:r>
      <w:r w:rsidRPr="00181FCD">
        <w:t>o</w:t>
      </w:r>
      <w:r w:rsidR="00F373A3" w:rsidRPr="00181FCD">
        <w:t xml:space="preserve"> </w:t>
      </w:r>
      <w:r w:rsidRPr="00181FCD">
        <w:t>constitución</w:t>
      </w:r>
      <w:r w:rsidR="00F373A3" w:rsidRPr="00181FCD">
        <w:t xml:space="preserve"> </w:t>
      </w:r>
      <w:r w:rsidRPr="00181FCD">
        <w:t>de</w:t>
      </w:r>
      <w:r w:rsidR="00F373A3" w:rsidRPr="00181FCD">
        <w:t xml:space="preserve"> </w:t>
      </w:r>
      <w:r w:rsidRPr="00181FCD">
        <w:t>organizaciones</w:t>
      </w:r>
      <w:r w:rsidR="00F373A3" w:rsidRPr="00181FCD">
        <w:t xml:space="preserve"> </w:t>
      </w:r>
      <w:r w:rsidRPr="00181FCD">
        <w:t>o</w:t>
      </w:r>
      <w:r w:rsidR="00F373A3" w:rsidRPr="00181FCD">
        <w:t xml:space="preserve"> </w:t>
      </w:r>
      <w:r w:rsidRPr="00181FCD">
        <w:t>grupos</w:t>
      </w:r>
      <w:r w:rsidR="00F373A3" w:rsidRPr="00181FCD">
        <w:t xml:space="preserve"> </w:t>
      </w:r>
      <w:r w:rsidRPr="00181FCD">
        <w:t>con</w:t>
      </w:r>
      <w:r w:rsidR="00F373A3" w:rsidRPr="00181FCD">
        <w:t xml:space="preserve"> </w:t>
      </w:r>
      <w:r w:rsidRPr="00181FCD">
        <w:t>dichos</w:t>
      </w:r>
      <w:r w:rsidR="00F373A3" w:rsidRPr="00181FCD">
        <w:t xml:space="preserve"> </w:t>
      </w:r>
      <w:r w:rsidRPr="00181FCD">
        <w:t>objetivos,</w:t>
      </w:r>
      <w:r w:rsidR="00F373A3" w:rsidRPr="00181FCD">
        <w:t xml:space="preserve"> </w:t>
      </w:r>
      <w:r w:rsidRPr="00181FCD">
        <w:t>la</w:t>
      </w:r>
      <w:r w:rsidR="00F373A3" w:rsidRPr="00181FCD">
        <w:t xml:space="preserve"> </w:t>
      </w:r>
      <w:r w:rsidRPr="00181FCD">
        <w:t>motivación</w:t>
      </w:r>
      <w:r w:rsidR="00F373A3" w:rsidRPr="00181FCD">
        <w:t xml:space="preserve"> </w:t>
      </w:r>
      <w:r w:rsidRPr="00181FCD">
        <w:t>racista</w:t>
      </w:r>
      <w:r w:rsidR="00F373A3" w:rsidRPr="00181FCD">
        <w:t xml:space="preserve"> </w:t>
      </w:r>
      <w:r w:rsidRPr="00181FCD">
        <w:t>funciona</w:t>
      </w:r>
      <w:r w:rsidR="00F373A3" w:rsidRPr="00181FCD">
        <w:t xml:space="preserve"> </w:t>
      </w:r>
      <w:r w:rsidRPr="00181FCD">
        <w:t>como</w:t>
      </w:r>
      <w:r w:rsidR="00F373A3" w:rsidRPr="00181FCD">
        <w:t xml:space="preserve"> </w:t>
      </w:r>
      <w:r w:rsidRPr="00181FCD">
        <w:t>circunstancia</w:t>
      </w:r>
      <w:r w:rsidR="00F373A3" w:rsidRPr="00181FCD">
        <w:t xml:space="preserve"> </w:t>
      </w:r>
      <w:r w:rsidRPr="00181FCD">
        <w:t>agravante</w:t>
      </w:r>
      <w:r w:rsidR="00F373A3" w:rsidRPr="00181FCD">
        <w:t xml:space="preserve"> </w:t>
      </w:r>
      <w:r w:rsidRPr="00181FCD">
        <w:t>del</w:t>
      </w:r>
      <w:r w:rsidR="00F373A3" w:rsidRPr="00181FCD">
        <w:t xml:space="preserve"> </w:t>
      </w:r>
      <w:r w:rsidRPr="00181FCD">
        <w:t>delito.</w:t>
      </w:r>
      <w:r w:rsidR="00F373A3" w:rsidRPr="00181FCD">
        <w:t xml:space="preserve"> </w:t>
      </w:r>
    </w:p>
    <w:p w:rsidR="001937F4" w:rsidRPr="00181FCD" w:rsidRDefault="001937F4" w:rsidP="00347B20">
      <w:pPr>
        <w:pStyle w:val="SingleTxtG"/>
        <w:suppressAutoHyphens/>
      </w:pPr>
      <w:r w:rsidRPr="00181FCD">
        <w:t>225.</w:t>
      </w:r>
      <w:r w:rsidRPr="00181FCD">
        <w:tab/>
        <w:t>A</w:t>
      </w:r>
      <w:r w:rsidR="00F373A3" w:rsidRPr="00181FCD">
        <w:t xml:space="preserve"> </w:t>
      </w:r>
      <w:r w:rsidRPr="00181FCD">
        <w:t>pesar</w:t>
      </w:r>
      <w:r w:rsidR="00F373A3" w:rsidRPr="00181FCD">
        <w:t xml:space="preserve"> </w:t>
      </w:r>
      <w:r w:rsidRPr="00181FCD">
        <w:t>de</w:t>
      </w:r>
      <w:r w:rsidR="00F373A3" w:rsidRPr="00181FCD">
        <w:t xml:space="preserve"> </w:t>
      </w:r>
      <w:r w:rsidRPr="00181FCD">
        <w:t>que</w:t>
      </w:r>
      <w:r w:rsidR="00F373A3" w:rsidRPr="00181FCD">
        <w:t xml:space="preserve"> </w:t>
      </w:r>
      <w:r w:rsidRPr="00181FCD">
        <w:t>la</w:t>
      </w:r>
      <w:r w:rsidR="00F373A3" w:rsidRPr="00181FCD">
        <w:t xml:space="preserve"> </w:t>
      </w:r>
      <w:r w:rsidRPr="00181FCD">
        <w:t>orientación</w:t>
      </w:r>
      <w:r w:rsidR="00F373A3" w:rsidRPr="00181FCD">
        <w:t xml:space="preserve"> </w:t>
      </w:r>
      <w:r w:rsidRPr="00181FCD">
        <w:t>sexual</w:t>
      </w:r>
      <w:r w:rsidR="00F373A3" w:rsidRPr="00181FCD">
        <w:t xml:space="preserve"> </w:t>
      </w:r>
      <w:r w:rsidRPr="00181FCD">
        <w:t>y</w:t>
      </w:r>
      <w:r w:rsidR="00F373A3" w:rsidRPr="00181FCD">
        <w:t xml:space="preserve"> </w:t>
      </w:r>
      <w:r w:rsidRPr="00181FCD">
        <w:t>la</w:t>
      </w:r>
      <w:r w:rsidR="00F373A3" w:rsidRPr="00181FCD">
        <w:t xml:space="preserve"> </w:t>
      </w:r>
      <w:r w:rsidRPr="00181FCD">
        <w:t>identidad</w:t>
      </w:r>
      <w:r w:rsidR="00F373A3" w:rsidRPr="00181FCD">
        <w:t xml:space="preserve"> </w:t>
      </w:r>
      <w:r w:rsidRPr="00181FCD">
        <w:t>de</w:t>
      </w:r>
      <w:r w:rsidR="00F373A3" w:rsidRPr="00181FCD">
        <w:t xml:space="preserve"> </w:t>
      </w:r>
      <w:r w:rsidRPr="00181FCD">
        <w:t>género</w:t>
      </w:r>
      <w:r w:rsidR="00F373A3" w:rsidRPr="00181FCD">
        <w:t xml:space="preserve"> </w:t>
      </w:r>
      <w:r w:rsidRPr="00181FCD">
        <w:t>no</w:t>
      </w:r>
      <w:r w:rsidR="00F373A3" w:rsidRPr="00181FCD">
        <w:t xml:space="preserve"> </w:t>
      </w:r>
      <w:r w:rsidRPr="00181FCD">
        <w:t>están</w:t>
      </w:r>
      <w:r w:rsidR="00F373A3" w:rsidRPr="00181FCD">
        <w:t xml:space="preserve"> </w:t>
      </w:r>
      <w:r w:rsidRPr="00181FCD">
        <w:t>definidas</w:t>
      </w:r>
      <w:r w:rsidR="00F373A3" w:rsidRPr="00181FCD">
        <w:t xml:space="preserve"> </w:t>
      </w:r>
      <w:r w:rsidRPr="00181FCD">
        <w:t>expresamente</w:t>
      </w:r>
      <w:r w:rsidR="00F373A3" w:rsidRPr="00181FCD">
        <w:t xml:space="preserve"> </w:t>
      </w:r>
      <w:r w:rsidRPr="00181FCD">
        <w:t>como</w:t>
      </w:r>
      <w:r w:rsidR="00F373A3" w:rsidRPr="00181FCD">
        <w:t xml:space="preserve"> </w:t>
      </w:r>
      <w:r w:rsidRPr="00181FCD">
        <w:t>circunstancias</w:t>
      </w:r>
      <w:r w:rsidR="00F373A3" w:rsidRPr="00181FCD">
        <w:t xml:space="preserve"> </w:t>
      </w:r>
      <w:r w:rsidRPr="00181FCD">
        <w:t>agravantes</w:t>
      </w:r>
      <w:r w:rsidR="00F373A3" w:rsidRPr="00181FCD">
        <w:t xml:space="preserve"> </w:t>
      </w:r>
      <w:r w:rsidRPr="00181FCD">
        <w:t>en</w:t>
      </w:r>
      <w:r w:rsidR="00F373A3" w:rsidRPr="00181FCD">
        <w:t xml:space="preserve"> </w:t>
      </w:r>
      <w:r w:rsidRPr="00181FCD">
        <w:t>el</w:t>
      </w:r>
      <w:r w:rsidR="00F373A3" w:rsidRPr="00181FCD">
        <w:t xml:space="preserve"> </w:t>
      </w:r>
      <w:r w:rsidRPr="00181FCD">
        <w:t>Código</w:t>
      </w:r>
      <w:r w:rsidR="00F373A3" w:rsidRPr="00181FCD">
        <w:t xml:space="preserve"> </w:t>
      </w:r>
      <w:r w:rsidRPr="00181FCD">
        <w:t>Penal,</w:t>
      </w:r>
      <w:r w:rsidR="00F373A3" w:rsidRPr="00181FCD">
        <w:t xml:space="preserve"> </w:t>
      </w:r>
      <w:r w:rsidRPr="00181FCD">
        <w:t>nada</w:t>
      </w:r>
      <w:r w:rsidR="00F373A3" w:rsidRPr="00181FCD">
        <w:t xml:space="preserve"> </w:t>
      </w:r>
      <w:r w:rsidRPr="00181FCD">
        <w:t>impide</w:t>
      </w:r>
      <w:r w:rsidR="00F373A3" w:rsidRPr="00181FCD">
        <w:t xml:space="preserve"> </w:t>
      </w:r>
      <w:r w:rsidRPr="00181FCD">
        <w:t>que</w:t>
      </w:r>
      <w:r w:rsidR="00F373A3" w:rsidRPr="00181FCD">
        <w:t xml:space="preserve"> </w:t>
      </w:r>
      <w:r w:rsidRPr="00181FCD">
        <w:t>se</w:t>
      </w:r>
      <w:r w:rsidR="00F373A3" w:rsidRPr="00181FCD">
        <w:t xml:space="preserve"> </w:t>
      </w:r>
      <w:r w:rsidRPr="00181FCD">
        <w:t>tengan</w:t>
      </w:r>
      <w:r w:rsidR="00F373A3" w:rsidRPr="00181FCD">
        <w:t xml:space="preserve"> </w:t>
      </w:r>
      <w:r w:rsidRPr="00181FCD">
        <w:t>en</w:t>
      </w:r>
      <w:r w:rsidR="00F373A3" w:rsidRPr="00181FCD">
        <w:t xml:space="preserve"> </w:t>
      </w:r>
      <w:r w:rsidRPr="00181FCD">
        <w:t>cuenta</w:t>
      </w:r>
      <w:r w:rsidR="00F373A3" w:rsidRPr="00181FCD">
        <w:t xml:space="preserve"> </w:t>
      </w:r>
      <w:r w:rsidRPr="00181FCD">
        <w:t>tales</w:t>
      </w:r>
      <w:r w:rsidR="00F373A3" w:rsidRPr="00181FCD">
        <w:t xml:space="preserve"> </w:t>
      </w:r>
      <w:r w:rsidRPr="00181FCD">
        <w:t>elementos</w:t>
      </w:r>
      <w:r w:rsidR="00F373A3" w:rsidRPr="00181FCD">
        <w:t xml:space="preserve"> </w:t>
      </w:r>
      <w:r w:rsidRPr="00181FCD">
        <w:t>del</w:t>
      </w:r>
      <w:r w:rsidR="00F373A3" w:rsidRPr="00181FCD">
        <w:t xml:space="preserve"> </w:t>
      </w:r>
      <w:r w:rsidRPr="00181FCD">
        <w:t>delito</w:t>
      </w:r>
      <w:r w:rsidR="00F373A3" w:rsidRPr="00181FCD">
        <w:t xml:space="preserve"> </w:t>
      </w:r>
      <w:r w:rsidRPr="00181FCD">
        <w:t>durante</w:t>
      </w:r>
      <w:r w:rsidR="00F373A3" w:rsidRPr="00181FCD">
        <w:t xml:space="preserve"> </w:t>
      </w:r>
      <w:r w:rsidRPr="00181FCD">
        <w:t>el</w:t>
      </w:r>
      <w:r w:rsidR="00F373A3" w:rsidRPr="00181FCD">
        <w:t xml:space="preserve"> </w:t>
      </w:r>
      <w:r w:rsidRPr="00181FCD">
        <w:t>juicio</w:t>
      </w:r>
      <w:r w:rsidR="00F373A3" w:rsidRPr="00181FCD">
        <w:t xml:space="preserve"> </w:t>
      </w:r>
      <w:r w:rsidRPr="00181FCD">
        <w:t>o</w:t>
      </w:r>
      <w:r w:rsidR="00F373A3" w:rsidRPr="00181FCD">
        <w:t xml:space="preserve"> </w:t>
      </w:r>
      <w:r w:rsidRPr="00181FCD">
        <w:t>en</w:t>
      </w:r>
      <w:r w:rsidR="00F373A3" w:rsidRPr="00181FCD">
        <w:t xml:space="preserve"> </w:t>
      </w:r>
      <w:r w:rsidRPr="00181FCD">
        <w:t>el</w:t>
      </w:r>
      <w:r w:rsidR="00F373A3" w:rsidRPr="00181FCD">
        <w:t xml:space="preserve"> </w:t>
      </w:r>
      <w:r w:rsidRPr="00181FCD">
        <w:t>momento</w:t>
      </w:r>
      <w:r w:rsidR="00F373A3" w:rsidRPr="00181FCD">
        <w:t xml:space="preserve"> </w:t>
      </w:r>
      <w:r w:rsidRPr="00181FCD">
        <w:t>del</w:t>
      </w:r>
      <w:r w:rsidR="00F373A3" w:rsidRPr="00181FCD">
        <w:t xml:space="preserve"> </w:t>
      </w:r>
      <w:r w:rsidRPr="00181FCD">
        <w:t>veredicto.</w:t>
      </w:r>
      <w:r w:rsidR="00F373A3" w:rsidRPr="00181FCD">
        <w:t xml:space="preserve"> </w:t>
      </w:r>
      <w:r w:rsidRPr="00181FCD">
        <w:t>Las</w:t>
      </w:r>
      <w:r w:rsidR="00F373A3" w:rsidRPr="00181FCD">
        <w:t xml:space="preserve"> </w:t>
      </w:r>
      <w:r w:rsidRPr="00181FCD">
        <w:t>autoridades</w:t>
      </w:r>
      <w:r w:rsidR="00F373A3" w:rsidRPr="00181FCD">
        <w:t xml:space="preserve"> </w:t>
      </w:r>
      <w:r w:rsidRPr="00181FCD">
        <w:t>búlgaras</w:t>
      </w:r>
      <w:r w:rsidR="00F373A3" w:rsidRPr="00181FCD">
        <w:t xml:space="preserve"> </w:t>
      </w:r>
      <w:r w:rsidRPr="00181FCD">
        <w:t>toman</w:t>
      </w:r>
      <w:r w:rsidR="00F373A3" w:rsidRPr="00181FCD">
        <w:t xml:space="preserve"> </w:t>
      </w:r>
      <w:r w:rsidRPr="00181FCD">
        <w:t>nota</w:t>
      </w:r>
      <w:r w:rsidR="00F373A3" w:rsidRPr="00181FCD">
        <w:t xml:space="preserve"> </w:t>
      </w:r>
      <w:r w:rsidRPr="00181FCD">
        <w:t>de</w:t>
      </w:r>
      <w:r w:rsidR="00F373A3" w:rsidRPr="00181FCD">
        <w:t xml:space="preserve"> </w:t>
      </w:r>
      <w:r w:rsidRPr="00181FCD">
        <w:t>la</w:t>
      </w:r>
      <w:r w:rsidR="00F373A3" w:rsidRPr="00181FCD">
        <w:t xml:space="preserve"> </w:t>
      </w:r>
      <w:r w:rsidRPr="00181FCD">
        <w:t>recomendación</w:t>
      </w:r>
      <w:r w:rsidR="00F373A3" w:rsidRPr="00181FCD">
        <w:t xml:space="preserve"> </w:t>
      </w:r>
      <w:r w:rsidRPr="00181FCD">
        <w:t>de</w:t>
      </w:r>
      <w:r w:rsidR="00F373A3" w:rsidRPr="00181FCD">
        <w:t xml:space="preserve"> </w:t>
      </w:r>
      <w:r w:rsidRPr="00181FCD">
        <w:t>incluir</w:t>
      </w:r>
      <w:r w:rsidR="00F373A3" w:rsidRPr="00181FCD">
        <w:t xml:space="preserve"> </w:t>
      </w:r>
      <w:r w:rsidRPr="00181FCD">
        <w:t>el</w:t>
      </w:r>
      <w:r w:rsidR="00F373A3" w:rsidRPr="00181FCD">
        <w:t xml:space="preserve"> </w:t>
      </w:r>
      <w:r w:rsidRPr="00181FCD">
        <w:t>concepto</w:t>
      </w:r>
      <w:r w:rsidR="00F373A3" w:rsidRPr="00181FCD">
        <w:t xml:space="preserve"> </w:t>
      </w:r>
      <w:r w:rsidRPr="00181FCD">
        <w:t>de</w:t>
      </w:r>
      <w:r w:rsidR="00F373A3" w:rsidRPr="00181FCD">
        <w:t xml:space="preserve"> "</w:t>
      </w:r>
      <w:r w:rsidRPr="00181FCD">
        <w:t>orientación</w:t>
      </w:r>
      <w:r w:rsidR="00F373A3" w:rsidRPr="00181FCD">
        <w:t xml:space="preserve"> </w:t>
      </w:r>
      <w:r w:rsidRPr="00181FCD">
        <w:t>sexual</w:t>
      </w:r>
      <w:r w:rsidR="00F373A3" w:rsidRPr="00181FCD">
        <w:t>"</w:t>
      </w:r>
      <w:r w:rsidRPr="00181FCD">
        <w:t>.</w:t>
      </w:r>
    </w:p>
    <w:p w:rsidR="001937F4" w:rsidRPr="00181FCD" w:rsidRDefault="001937F4" w:rsidP="00347B20">
      <w:pPr>
        <w:pStyle w:val="SingleTxtG"/>
        <w:suppressAutoHyphens/>
      </w:pPr>
      <w:r w:rsidRPr="00181FCD">
        <w:t>226.</w:t>
      </w:r>
      <w:r w:rsidRPr="00181FCD">
        <w:tab/>
        <w:t>Se</w:t>
      </w:r>
      <w:r w:rsidR="00F373A3" w:rsidRPr="00181FCD">
        <w:t xml:space="preserve"> </w:t>
      </w:r>
      <w:r w:rsidRPr="00181FCD">
        <w:t>han</w:t>
      </w:r>
      <w:r w:rsidR="00F373A3" w:rsidRPr="00181FCD">
        <w:t xml:space="preserve"> </w:t>
      </w:r>
      <w:r w:rsidRPr="00181FCD">
        <w:t>adoptado</w:t>
      </w:r>
      <w:r w:rsidR="00F373A3" w:rsidRPr="00181FCD">
        <w:t xml:space="preserve"> </w:t>
      </w:r>
      <w:r w:rsidRPr="00181FCD">
        <w:t>medidas</w:t>
      </w:r>
      <w:r w:rsidR="00F373A3" w:rsidRPr="00181FCD">
        <w:t xml:space="preserve"> </w:t>
      </w:r>
      <w:r w:rsidRPr="00181FCD">
        <w:t>formales</w:t>
      </w:r>
      <w:r w:rsidR="00F373A3" w:rsidRPr="00181FCD">
        <w:t xml:space="preserve"> </w:t>
      </w:r>
      <w:r w:rsidRPr="00181FCD">
        <w:t>y</w:t>
      </w:r>
      <w:r w:rsidR="00F373A3" w:rsidRPr="00181FCD">
        <w:t xml:space="preserve"> </w:t>
      </w:r>
      <w:r w:rsidRPr="00181FCD">
        <w:t>apropiadas</w:t>
      </w:r>
      <w:r w:rsidR="00F373A3" w:rsidRPr="00181FCD">
        <w:t xml:space="preserve"> </w:t>
      </w:r>
      <w:r w:rsidRPr="00181FCD">
        <w:t>para</w:t>
      </w:r>
      <w:r w:rsidR="00F373A3" w:rsidRPr="00181FCD">
        <w:t xml:space="preserve"> </w:t>
      </w:r>
      <w:r w:rsidRPr="00181FCD">
        <w:t>mejorar</w:t>
      </w:r>
      <w:r w:rsidR="00F373A3" w:rsidRPr="00181FCD">
        <w:t xml:space="preserve"> </w:t>
      </w:r>
      <w:r w:rsidRPr="00181FCD">
        <w:t>la</w:t>
      </w:r>
      <w:r w:rsidR="00F373A3" w:rsidRPr="00181FCD">
        <w:t xml:space="preserve"> </w:t>
      </w:r>
      <w:r w:rsidRPr="00181FCD">
        <w:t>legislación</w:t>
      </w:r>
      <w:r w:rsidR="00F373A3" w:rsidRPr="00181FCD">
        <w:t xml:space="preserve"> </w:t>
      </w:r>
      <w:r w:rsidRPr="00181FCD">
        <w:t>nacional</w:t>
      </w:r>
      <w:r w:rsidR="00F373A3" w:rsidRPr="00181FCD">
        <w:t xml:space="preserve"> </w:t>
      </w:r>
      <w:r w:rsidRPr="00181FCD">
        <w:t>en</w:t>
      </w:r>
      <w:r w:rsidR="00F373A3" w:rsidRPr="00181FCD">
        <w:t xml:space="preserve"> </w:t>
      </w:r>
      <w:r w:rsidRPr="00181FCD">
        <w:t>relación</w:t>
      </w:r>
      <w:r w:rsidR="00F373A3" w:rsidRPr="00181FCD">
        <w:t xml:space="preserve"> </w:t>
      </w:r>
      <w:r w:rsidRPr="00181FCD">
        <w:t>con</w:t>
      </w:r>
      <w:r w:rsidR="00F373A3" w:rsidRPr="00181FCD">
        <w:t xml:space="preserve"> </w:t>
      </w:r>
      <w:r w:rsidRPr="00181FCD">
        <w:t>la</w:t>
      </w:r>
      <w:r w:rsidR="00F373A3" w:rsidRPr="00181FCD">
        <w:t xml:space="preserve"> </w:t>
      </w:r>
      <w:r w:rsidRPr="00181FCD">
        <w:t>protección</w:t>
      </w:r>
      <w:r w:rsidR="00F373A3" w:rsidRPr="00181FCD">
        <w:t xml:space="preserve"> </w:t>
      </w:r>
      <w:r w:rsidRPr="00181FCD">
        <w:t>ante</w:t>
      </w:r>
      <w:r w:rsidR="00F373A3" w:rsidRPr="00181FCD">
        <w:t xml:space="preserve"> </w:t>
      </w:r>
      <w:r w:rsidRPr="00181FCD">
        <w:t>los</w:t>
      </w:r>
      <w:r w:rsidR="00F373A3" w:rsidRPr="00181FCD">
        <w:t xml:space="preserve"> </w:t>
      </w:r>
      <w:r w:rsidRPr="00181FCD">
        <w:t>delitos</w:t>
      </w:r>
      <w:r w:rsidR="00F373A3" w:rsidRPr="00181FCD">
        <w:t xml:space="preserve"> </w:t>
      </w:r>
      <w:r w:rsidRPr="00181FCD">
        <w:t>motivados</w:t>
      </w:r>
      <w:r w:rsidR="00F373A3" w:rsidRPr="00181FCD">
        <w:t xml:space="preserve"> </w:t>
      </w:r>
      <w:r w:rsidRPr="00181FCD">
        <w:t>por</w:t>
      </w:r>
      <w:r w:rsidR="00F373A3" w:rsidRPr="00181FCD">
        <w:t xml:space="preserve"> </w:t>
      </w:r>
      <w:r w:rsidRPr="00181FCD">
        <w:t>el</w:t>
      </w:r>
      <w:r w:rsidR="00F373A3" w:rsidRPr="00181FCD">
        <w:t xml:space="preserve"> </w:t>
      </w:r>
      <w:r w:rsidRPr="00181FCD">
        <w:t>odio.</w:t>
      </w:r>
      <w:r w:rsidR="00F373A3" w:rsidRPr="00181FCD">
        <w:t xml:space="preserve"> </w:t>
      </w:r>
      <w:r w:rsidRPr="00181FCD">
        <w:t>Las</w:t>
      </w:r>
      <w:r w:rsidR="00F373A3" w:rsidRPr="00181FCD">
        <w:t xml:space="preserve"> </w:t>
      </w:r>
      <w:r w:rsidRPr="00181FCD">
        <w:t>modificaciones</w:t>
      </w:r>
      <w:r w:rsidR="00F373A3" w:rsidRPr="00181FCD">
        <w:t xml:space="preserve"> </w:t>
      </w:r>
      <w:r w:rsidRPr="00181FCD">
        <w:t>del</w:t>
      </w:r>
      <w:r w:rsidR="00F373A3" w:rsidRPr="00181FCD">
        <w:t xml:space="preserve"> </w:t>
      </w:r>
      <w:r w:rsidRPr="00181FCD">
        <w:t>Código</w:t>
      </w:r>
      <w:r w:rsidR="00F373A3" w:rsidRPr="00181FCD">
        <w:t xml:space="preserve"> </w:t>
      </w:r>
      <w:r w:rsidRPr="00181FCD">
        <w:t>Penal</w:t>
      </w:r>
      <w:r w:rsidR="00F373A3" w:rsidRPr="00181FCD">
        <w:t xml:space="preserve"> </w:t>
      </w:r>
      <w:r w:rsidRPr="00181FCD">
        <w:t>tipifican</w:t>
      </w:r>
      <w:r w:rsidR="00F373A3" w:rsidRPr="00181FCD">
        <w:t xml:space="preserve"> </w:t>
      </w:r>
      <w:r w:rsidRPr="00181FCD">
        <w:t>la</w:t>
      </w:r>
      <w:r w:rsidR="00F373A3" w:rsidRPr="00181FCD">
        <w:t xml:space="preserve"> </w:t>
      </w:r>
      <w:r w:rsidRPr="00181FCD">
        <w:t>incitación</w:t>
      </w:r>
      <w:r w:rsidR="00F373A3" w:rsidRPr="00181FCD">
        <w:t xml:space="preserve"> </w:t>
      </w:r>
      <w:r w:rsidRPr="00181FCD">
        <w:t>pública</w:t>
      </w:r>
      <w:r w:rsidR="00F373A3" w:rsidRPr="00181FCD">
        <w:t xml:space="preserve"> </w:t>
      </w:r>
      <w:r w:rsidRPr="00181FCD">
        <w:t>a</w:t>
      </w:r>
      <w:r w:rsidR="00F373A3" w:rsidRPr="00181FCD">
        <w:t xml:space="preserve"> </w:t>
      </w:r>
      <w:r w:rsidRPr="00181FCD">
        <w:t>la</w:t>
      </w:r>
      <w:r w:rsidR="00F373A3" w:rsidRPr="00181FCD">
        <w:t xml:space="preserve"> </w:t>
      </w:r>
      <w:r w:rsidRPr="00181FCD">
        <w:t>violencia</w:t>
      </w:r>
      <w:r w:rsidR="00F373A3" w:rsidRPr="00181FCD">
        <w:t xml:space="preserve"> </w:t>
      </w:r>
      <w:r w:rsidRPr="00181FCD">
        <w:t>o</w:t>
      </w:r>
      <w:r w:rsidR="00F373A3" w:rsidRPr="00181FCD">
        <w:t xml:space="preserve"> </w:t>
      </w:r>
      <w:r w:rsidRPr="00181FCD">
        <w:t>al</w:t>
      </w:r>
      <w:r w:rsidR="00F373A3" w:rsidRPr="00181FCD">
        <w:t xml:space="preserve"> </w:t>
      </w:r>
      <w:r w:rsidRPr="00181FCD">
        <w:t>odio</w:t>
      </w:r>
      <w:r w:rsidR="00F373A3" w:rsidRPr="00181FCD">
        <w:t xml:space="preserve"> </w:t>
      </w:r>
      <w:r w:rsidRPr="00181FCD">
        <w:t>por</w:t>
      </w:r>
      <w:r w:rsidR="00F373A3" w:rsidRPr="00181FCD">
        <w:t xml:space="preserve"> </w:t>
      </w:r>
      <w:r w:rsidRPr="00181FCD">
        <w:t>motivos</w:t>
      </w:r>
      <w:r w:rsidR="00F373A3" w:rsidRPr="00181FCD">
        <w:t xml:space="preserve"> </w:t>
      </w:r>
      <w:r w:rsidRPr="00181FCD">
        <w:t>religiosos.</w:t>
      </w:r>
      <w:r w:rsidR="00F373A3" w:rsidRPr="00181FCD">
        <w:t xml:space="preserve"> </w:t>
      </w:r>
      <w:r w:rsidRPr="00181FCD">
        <w:t>Para</w:t>
      </w:r>
      <w:r w:rsidR="00F373A3" w:rsidRPr="00181FCD">
        <w:t xml:space="preserve"> </w:t>
      </w:r>
      <w:r w:rsidRPr="00181FCD">
        <w:t>identificar</w:t>
      </w:r>
      <w:r w:rsidR="00F373A3" w:rsidRPr="00181FCD">
        <w:t xml:space="preserve"> </w:t>
      </w:r>
      <w:r w:rsidRPr="00181FCD">
        <w:t>correctamente</w:t>
      </w:r>
      <w:r w:rsidR="00F373A3" w:rsidRPr="00181FCD">
        <w:t xml:space="preserve"> </w:t>
      </w:r>
      <w:r w:rsidRPr="00181FCD">
        <w:t>los</w:t>
      </w:r>
      <w:r w:rsidR="00F373A3" w:rsidRPr="00181FCD">
        <w:t xml:space="preserve"> "</w:t>
      </w:r>
      <w:r w:rsidRPr="00181FCD">
        <w:t>delitos</w:t>
      </w:r>
      <w:r w:rsidR="00F373A3" w:rsidRPr="00181FCD">
        <w:t xml:space="preserve"> </w:t>
      </w:r>
      <w:r w:rsidRPr="00181FCD">
        <w:t>motivados</w:t>
      </w:r>
      <w:r w:rsidR="00F373A3" w:rsidRPr="00181FCD">
        <w:t xml:space="preserve"> </w:t>
      </w:r>
      <w:r w:rsidRPr="00181FCD">
        <w:t>por</w:t>
      </w:r>
      <w:r w:rsidR="00F373A3" w:rsidRPr="00181FCD">
        <w:t xml:space="preserve"> </w:t>
      </w:r>
      <w:r w:rsidRPr="00181FCD">
        <w:t>el</w:t>
      </w:r>
      <w:r w:rsidR="00F373A3" w:rsidRPr="00181FCD">
        <w:t xml:space="preserve"> </w:t>
      </w:r>
      <w:r w:rsidRPr="00181FCD">
        <w:t>odio</w:t>
      </w:r>
      <w:r w:rsidR="00F373A3" w:rsidRPr="00181FCD">
        <w:t>"</w:t>
      </w:r>
      <w:r w:rsidRPr="00181FCD">
        <w:t>,</w:t>
      </w:r>
      <w:r w:rsidR="00F373A3" w:rsidRPr="00181FCD">
        <w:t xml:space="preserve"> </w:t>
      </w:r>
      <w:r w:rsidRPr="00181FCD">
        <w:t>el</w:t>
      </w:r>
      <w:r w:rsidR="00F373A3" w:rsidRPr="00181FCD">
        <w:t xml:space="preserve"> </w:t>
      </w:r>
      <w:r w:rsidRPr="00181FCD">
        <w:t>fiscal</w:t>
      </w:r>
      <w:r w:rsidR="00F373A3" w:rsidRPr="00181FCD">
        <w:t xml:space="preserve"> </w:t>
      </w:r>
      <w:r w:rsidRPr="00181FCD">
        <w:t>está</w:t>
      </w:r>
      <w:r w:rsidR="00F373A3" w:rsidRPr="00181FCD">
        <w:t xml:space="preserve"> </w:t>
      </w:r>
      <w:r w:rsidRPr="00181FCD">
        <w:t>obligado</w:t>
      </w:r>
      <w:r w:rsidR="00F373A3" w:rsidRPr="00181FCD">
        <w:t xml:space="preserve"> </w:t>
      </w:r>
      <w:r w:rsidRPr="00181FCD">
        <w:t>a</w:t>
      </w:r>
      <w:r w:rsidR="00F373A3" w:rsidRPr="00181FCD">
        <w:t xml:space="preserve"> </w:t>
      </w:r>
      <w:r w:rsidRPr="00181FCD">
        <w:t>investigar</w:t>
      </w:r>
      <w:r w:rsidR="00F373A3" w:rsidRPr="00181FCD">
        <w:t xml:space="preserve"> </w:t>
      </w:r>
      <w:r w:rsidRPr="00181FCD">
        <w:t>las</w:t>
      </w:r>
      <w:r w:rsidR="00F373A3" w:rsidRPr="00181FCD">
        <w:t xml:space="preserve"> </w:t>
      </w:r>
      <w:r w:rsidRPr="00181FCD">
        <w:t>razones</w:t>
      </w:r>
      <w:r w:rsidR="00F373A3" w:rsidRPr="00181FCD">
        <w:t xml:space="preserve"> </w:t>
      </w:r>
      <w:r w:rsidRPr="00181FCD">
        <w:t>y</w:t>
      </w:r>
      <w:r w:rsidR="00F373A3" w:rsidRPr="00181FCD">
        <w:t xml:space="preserve"> </w:t>
      </w:r>
      <w:r w:rsidRPr="00181FCD">
        <w:t>los</w:t>
      </w:r>
      <w:r w:rsidR="00F373A3" w:rsidRPr="00181FCD">
        <w:t xml:space="preserve"> </w:t>
      </w:r>
      <w:r w:rsidRPr="00181FCD">
        <w:t>motivos</w:t>
      </w:r>
      <w:r w:rsidR="00F373A3" w:rsidRPr="00181FCD">
        <w:t xml:space="preserve"> </w:t>
      </w:r>
      <w:r w:rsidRPr="00181FCD">
        <w:t>de</w:t>
      </w:r>
      <w:r w:rsidR="00F373A3" w:rsidRPr="00181FCD">
        <w:t xml:space="preserve"> </w:t>
      </w:r>
      <w:r w:rsidRPr="00181FCD">
        <w:t>los</w:t>
      </w:r>
      <w:r w:rsidR="00F373A3" w:rsidRPr="00181FCD">
        <w:t xml:space="preserve"> </w:t>
      </w:r>
      <w:r w:rsidRPr="00181FCD">
        <w:t>actos,</w:t>
      </w:r>
      <w:r w:rsidR="00F373A3" w:rsidRPr="00181FCD">
        <w:t xml:space="preserve"> </w:t>
      </w:r>
      <w:r w:rsidRPr="00181FCD">
        <w:t>incluso</w:t>
      </w:r>
      <w:r w:rsidR="00F373A3" w:rsidRPr="00181FCD">
        <w:t xml:space="preserve"> </w:t>
      </w:r>
      <w:r w:rsidRPr="00181FCD">
        <w:t>cuando</w:t>
      </w:r>
      <w:r w:rsidR="00F373A3" w:rsidRPr="00181FCD">
        <w:t xml:space="preserve"> </w:t>
      </w:r>
      <w:r w:rsidRPr="00181FCD">
        <w:t>no</w:t>
      </w:r>
      <w:r w:rsidR="00F373A3" w:rsidRPr="00181FCD">
        <w:t xml:space="preserve"> </w:t>
      </w:r>
      <w:r w:rsidRPr="00181FCD">
        <w:t>son</w:t>
      </w:r>
      <w:r w:rsidR="00F373A3" w:rsidRPr="00181FCD">
        <w:t xml:space="preserve"> </w:t>
      </w:r>
      <w:r w:rsidRPr="00181FCD">
        <w:t>elementos</w:t>
      </w:r>
      <w:r w:rsidR="00F373A3" w:rsidRPr="00181FCD">
        <w:t xml:space="preserve"> </w:t>
      </w:r>
      <w:r w:rsidRPr="00181FCD">
        <w:t>del</w:t>
      </w:r>
      <w:r w:rsidR="00F373A3" w:rsidRPr="00181FCD">
        <w:t xml:space="preserve"> </w:t>
      </w:r>
      <w:r w:rsidRPr="00181FCD">
        <w:t>delito.</w:t>
      </w:r>
    </w:p>
    <w:p w:rsidR="001937F4" w:rsidRPr="00181FCD" w:rsidRDefault="001937F4" w:rsidP="00347B20">
      <w:pPr>
        <w:pStyle w:val="SingleTxtG"/>
        <w:suppressAutoHyphens/>
      </w:pPr>
      <w:r w:rsidRPr="00181FCD">
        <w:t>227.</w:t>
      </w:r>
      <w:r w:rsidRPr="00181FCD">
        <w:tab/>
        <w:t>Todos</w:t>
      </w:r>
      <w:r w:rsidR="00F373A3" w:rsidRPr="00181FCD">
        <w:t xml:space="preserve"> </w:t>
      </w:r>
      <w:r w:rsidRPr="00181FCD">
        <w:t>los</w:t>
      </w:r>
      <w:r w:rsidR="00F373A3" w:rsidRPr="00181FCD">
        <w:t xml:space="preserve"> </w:t>
      </w:r>
      <w:r w:rsidRPr="00181FCD">
        <w:t>delitos</w:t>
      </w:r>
      <w:r w:rsidR="00F373A3" w:rsidRPr="00181FCD">
        <w:t xml:space="preserve"> </w:t>
      </w:r>
      <w:r w:rsidRPr="00181FCD">
        <w:t>motivados</w:t>
      </w:r>
      <w:r w:rsidR="00F373A3" w:rsidRPr="00181FCD">
        <w:t xml:space="preserve"> </w:t>
      </w:r>
      <w:r w:rsidRPr="00181FCD">
        <w:t>por</w:t>
      </w:r>
      <w:r w:rsidR="00F373A3" w:rsidRPr="00181FCD">
        <w:t xml:space="preserve"> </w:t>
      </w:r>
      <w:r w:rsidRPr="00181FCD">
        <w:t>el</w:t>
      </w:r>
      <w:r w:rsidR="00F373A3" w:rsidRPr="00181FCD">
        <w:t xml:space="preserve"> </w:t>
      </w:r>
      <w:r w:rsidRPr="00181FCD">
        <w:t>odio</w:t>
      </w:r>
      <w:r w:rsidR="00F373A3" w:rsidRPr="00181FCD">
        <w:t xml:space="preserve"> </w:t>
      </w:r>
      <w:r w:rsidRPr="00181FCD">
        <w:t>son</w:t>
      </w:r>
      <w:r w:rsidR="00F373A3" w:rsidRPr="00181FCD">
        <w:t xml:space="preserve"> </w:t>
      </w:r>
      <w:r w:rsidRPr="00181FCD">
        <w:t>castigados,</w:t>
      </w:r>
      <w:r w:rsidR="00F373A3" w:rsidRPr="00181FCD">
        <w:t xml:space="preserve"> </w:t>
      </w:r>
      <w:r w:rsidRPr="00181FCD">
        <w:t>y</w:t>
      </w:r>
      <w:r w:rsidR="00F373A3" w:rsidRPr="00181FCD">
        <w:t xml:space="preserve"> </w:t>
      </w:r>
      <w:r w:rsidRPr="00181FCD">
        <w:t>el</w:t>
      </w:r>
      <w:r w:rsidR="00F373A3" w:rsidRPr="00181FCD">
        <w:t xml:space="preserve"> </w:t>
      </w:r>
      <w:r w:rsidRPr="00181FCD">
        <w:t>Estado</w:t>
      </w:r>
      <w:r w:rsidR="00F373A3" w:rsidRPr="00181FCD">
        <w:t xml:space="preserve"> </w:t>
      </w:r>
      <w:r w:rsidRPr="00181FCD">
        <w:t>hace</w:t>
      </w:r>
      <w:r w:rsidR="00F373A3" w:rsidRPr="00181FCD">
        <w:t xml:space="preserve"> </w:t>
      </w:r>
      <w:r w:rsidRPr="00181FCD">
        <w:t>valer</w:t>
      </w:r>
      <w:r w:rsidR="00F373A3" w:rsidRPr="00181FCD">
        <w:t xml:space="preserve"> </w:t>
      </w:r>
      <w:r w:rsidRPr="00181FCD">
        <w:t>todos</w:t>
      </w:r>
      <w:r w:rsidR="00F373A3" w:rsidRPr="00181FCD">
        <w:t xml:space="preserve"> </w:t>
      </w:r>
      <w:r w:rsidRPr="00181FCD">
        <w:t>sus</w:t>
      </w:r>
      <w:r w:rsidR="00F373A3" w:rsidRPr="00181FCD">
        <w:t xml:space="preserve"> </w:t>
      </w:r>
      <w:r w:rsidRPr="00181FCD">
        <w:t>medios</w:t>
      </w:r>
      <w:r w:rsidR="00F373A3" w:rsidRPr="00181FCD">
        <w:t xml:space="preserve"> </w:t>
      </w:r>
      <w:r w:rsidRPr="00181FCD">
        <w:t>a</w:t>
      </w:r>
      <w:r w:rsidR="00F373A3" w:rsidRPr="00181FCD">
        <w:t xml:space="preserve"> </w:t>
      </w:r>
      <w:r w:rsidRPr="00181FCD">
        <w:t>su</w:t>
      </w:r>
      <w:r w:rsidR="00F373A3" w:rsidRPr="00181FCD">
        <w:t xml:space="preserve"> </w:t>
      </w:r>
      <w:r w:rsidRPr="00181FCD">
        <w:t>disposición</w:t>
      </w:r>
      <w:r w:rsidR="00F373A3" w:rsidRPr="00181FCD">
        <w:t xml:space="preserve"> </w:t>
      </w:r>
      <w:r w:rsidRPr="00181FCD">
        <w:t>para</w:t>
      </w:r>
      <w:r w:rsidR="00672EC2" w:rsidRPr="00181FCD">
        <w:t xml:space="preserve"> </w:t>
      </w:r>
      <w:r w:rsidRPr="00181FCD">
        <w:t>llevar</w:t>
      </w:r>
      <w:r w:rsidR="00F373A3" w:rsidRPr="00181FCD">
        <w:t xml:space="preserve"> </w:t>
      </w:r>
      <w:r w:rsidRPr="00181FCD">
        <w:t>a</w:t>
      </w:r>
      <w:r w:rsidR="00F373A3" w:rsidRPr="00181FCD">
        <w:t xml:space="preserve"> </w:t>
      </w:r>
      <w:r w:rsidRPr="00181FCD">
        <w:t>los</w:t>
      </w:r>
      <w:r w:rsidR="00F373A3" w:rsidRPr="00181FCD">
        <w:t xml:space="preserve"> </w:t>
      </w:r>
      <w:r w:rsidRPr="00181FCD">
        <w:t>autores</w:t>
      </w:r>
      <w:r w:rsidR="00F373A3" w:rsidRPr="00181FCD">
        <w:t xml:space="preserve"> </w:t>
      </w:r>
      <w:r w:rsidRPr="00181FCD">
        <w:t>ante</w:t>
      </w:r>
      <w:r w:rsidR="00F373A3" w:rsidRPr="00181FCD">
        <w:t xml:space="preserve"> </w:t>
      </w:r>
      <w:r w:rsidRPr="00181FCD">
        <w:t>la</w:t>
      </w:r>
      <w:r w:rsidR="00F373A3" w:rsidRPr="00181FCD">
        <w:t xml:space="preserve"> </w:t>
      </w:r>
      <w:r w:rsidRPr="00181FCD">
        <w:t>justicia.</w:t>
      </w:r>
      <w:r w:rsidR="00F373A3" w:rsidRPr="00181FCD">
        <w:t xml:space="preserve"> </w:t>
      </w:r>
      <w:r w:rsidRPr="00181FCD">
        <w:t>Ha</w:t>
      </w:r>
      <w:r w:rsidR="00F373A3" w:rsidRPr="00181FCD">
        <w:t xml:space="preserve"> </w:t>
      </w:r>
      <w:r w:rsidRPr="00181FCD">
        <w:t>mejorado</w:t>
      </w:r>
      <w:r w:rsidR="00F373A3" w:rsidRPr="00181FCD">
        <w:t xml:space="preserve"> </w:t>
      </w:r>
      <w:r w:rsidRPr="00181FCD">
        <w:t>de</w:t>
      </w:r>
      <w:r w:rsidR="00F373A3" w:rsidRPr="00181FCD">
        <w:t xml:space="preserve"> </w:t>
      </w:r>
      <w:r w:rsidRPr="00181FCD">
        <w:t>forma</w:t>
      </w:r>
      <w:r w:rsidR="00F373A3" w:rsidRPr="00181FCD">
        <w:t xml:space="preserve"> </w:t>
      </w:r>
      <w:r w:rsidRPr="00181FCD">
        <w:t>esencial</w:t>
      </w:r>
      <w:r w:rsidR="00F373A3" w:rsidRPr="00181FCD">
        <w:t xml:space="preserve"> </w:t>
      </w:r>
      <w:r w:rsidRPr="00181FCD">
        <w:t>la</w:t>
      </w:r>
      <w:r w:rsidR="00F373A3" w:rsidRPr="00181FCD">
        <w:t xml:space="preserve"> </w:t>
      </w:r>
      <w:r w:rsidRPr="00181FCD">
        <w:t>interacción</w:t>
      </w:r>
      <w:r w:rsidR="00F373A3" w:rsidRPr="00181FCD">
        <w:t xml:space="preserve"> </w:t>
      </w:r>
      <w:r w:rsidRPr="00181FCD">
        <w:t>entre</w:t>
      </w:r>
      <w:r w:rsidR="00F373A3" w:rsidRPr="00181FCD">
        <w:t xml:space="preserve"> </w:t>
      </w:r>
      <w:r w:rsidRPr="00181FCD">
        <w:t>la</w:t>
      </w:r>
      <w:r w:rsidR="00F373A3" w:rsidRPr="00181FCD">
        <w:t xml:space="preserve"> </w:t>
      </w:r>
      <w:r w:rsidRPr="00181FCD">
        <w:t>Fiscalía</w:t>
      </w:r>
      <w:r w:rsidR="00F373A3" w:rsidRPr="00181FCD">
        <w:t xml:space="preserve"> </w:t>
      </w:r>
      <w:r w:rsidRPr="00181FCD">
        <w:t>y</w:t>
      </w:r>
      <w:r w:rsidR="00F373A3" w:rsidRPr="00181FCD">
        <w:t xml:space="preserve"> </w:t>
      </w:r>
      <w:r w:rsidRPr="00181FCD">
        <w:t>las</w:t>
      </w:r>
      <w:r w:rsidR="00F373A3" w:rsidRPr="00181FCD">
        <w:t xml:space="preserve"> </w:t>
      </w:r>
      <w:r w:rsidRPr="00181FCD">
        <w:t>autoridades</w:t>
      </w:r>
      <w:r w:rsidR="00F373A3" w:rsidRPr="00181FCD">
        <w:t xml:space="preserve"> </w:t>
      </w:r>
      <w:r w:rsidRPr="00181FCD">
        <w:t>encargadas</w:t>
      </w:r>
      <w:r w:rsidR="00F373A3" w:rsidRPr="00181FCD">
        <w:t xml:space="preserve"> </w:t>
      </w:r>
      <w:r w:rsidRPr="00181FCD">
        <w:t>de</w:t>
      </w:r>
      <w:r w:rsidR="00F373A3" w:rsidRPr="00181FCD">
        <w:t xml:space="preserve"> </w:t>
      </w:r>
      <w:r w:rsidRPr="00181FCD">
        <w:t>las</w:t>
      </w:r>
      <w:r w:rsidR="00F373A3" w:rsidRPr="00181FCD">
        <w:t xml:space="preserve"> </w:t>
      </w:r>
      <w:r w:rsidRPr="00181FCD">
        <w:t>investigaciones</w:t>
      </w:r>
      <w:r w:rsidR="00F373A3" w:rsidRPr="00181FCD">
        <w:t xml:space="preserve"> </w:t>
      </w:r>
      <w:r w:rsidRPr="00181FCD">
        <w:t>a</w:t>
      </w:r>
      <w:r w:rsidR="00F373A3" w:rsidRPr="00181FCD">
        <w:t xml:space="preserve"> </w:t>
      </w:r>
      <w:r w:rsidRPr="00181FCD">
        <w:t>fin</w:t>
      </w:r>
      <w:r w:rsidR="00F373A3" w:rsidRPr="00181FCD">
        <w:t xml:space="preserve"> </w:t>
      </w:r>
      <w:r w:rsidRPr="00181FCD">
        <w:t>de</w:t>
      </w:r>
      <w:r w:rsidR="00F373A3" w:rsidRPr="00181FCD">
        <w:t xml:space="preserve"> </w:t>
      </w:r>
      <w:r w:rsidRPr="00181FCD">
        <w:t>identificar,</w:t>
      </w:r>
      <w:r w:rsidR="00F373A3" w:rsidRPr="00181FCD">
        <w:t xml:space="preserve"> </w:t>
      </w:r>
      <w:r w:rsidRPr="00181FCD">
        <w:t>diferenciar</w:t>
      </w:r>
      <w:r w:rsidR="00F373A3" w:rsidRPr="00181FCD">
        <w:t xml:space="preserve"> </w:t>
      </w:r>
      <w:r w:rsidRPr="00181FCD">
        <w:t>y</w:t>
      </w:r>
      <w:r w:rsidR="00F373A3" w:rsidRPr="00181FCD">
        <w:t xml:space="preserve"> </w:t>
      </w:r>
      <w:r w:rsidRPr="00181FCD">
        <w:t>notificar</w:t>
      </w:r>
      <w:r w:rsidR="00F373A3" w:rsidRPr="00181FCD">
        <w:t xml:space="preserve"> </w:t>
      </w:r>
      <w:r w:rsidRPr="00181FCD">
        <w:t>el</w:t>
      </w:r>
      <w:r w:rsidR="00F373A3" w:rsidRPr="00181FCD">
        <w:t xml:space="preserve"> </w:t>
      </w:r>
      <w:r w:rsidRPr="00181FCD">
        <w:t>motivo</w:t>
      </w:r>
      <w:r w:rsidR="00F373A3" w:rsidRPr="00181FCD">
        <w:t xml:space="preserve"> </w:t>
      </w:r>
      <w:r w:rsidRPr="00181FCD">
        <w:t>de</w:t>
      </w:r>
      <w:r w:rsidR="00F373A3" w:rsidRPr="00181FCD">
        <w:t xml:space="preserve"> </w:t>
      </w:r>
      <w:r w:rsidRPr="00181FCD">
        <w:t>discriminación</w:t>
      </w:r>
      <w:r w:rsidR="00F373A3" w:rsidRPr="00181FCD">
        <w:t xml:space="preserve"> </w:t>
      </w:r>
      <w:r w:rsidRPr="00181FCD">
        <w:t>en</w:t>
      </w:r>
      <w:r w:rsidR="00F373A3" w:rsidRPr="00181FCD">
        <w:t xml:space="preserve"> </w:t>
      </w:r>
      <w:r w:rsidRPr="00181FCD">
        <w:t>la</w:t>
      </w:r>
      <w:r w:rsidR="00F373A3" w:rsidRPr="00181FCD">
        <w:t xml:space="preserve"> </w:t>
      </w:r>
      <w:r w:rsidRPr="00181FCD">
        <w:t>etapa</w:t>
      </w:r>
      <w:r w:rsidR="00F373A3" w:rsidRPr="00181FCD">
        <w:t xml:space="preserve"> </w:t>
      </w:r>
      <w:r w:rsidRPr="00181FCD">
        <w:t>más</w:t>
      </w:r>
      <w:r w:rsidR="00F373A3" w:rsidRPr="00181FCD">
        <w:t xml:space="preserve"> </w:t>
      </w:r>
      <w:r w:rsidRPr="00181FCD">
        <w:t>temprana</w:t>
      </w:r>
      <w:r w:rsidR="00F373A3" w:rsidRPr="00181FCD">
        <w:t xml:space="preserve"> </w:t>
      </w:r>
      <w:r w:rsidRPr="00181FCD">
        <w:t>posible</w:t>
      </w:r>
      <w:r w:rsidR="00F373A3" w:rsidRPr="00181FCD">
        <w:t xml:space="preserve"> </w:t>
      </w:r>
      <w:r w:rsidRPr="00181FCD">
        <w:t>de</w:t>
      </w:r>
      <w:r w:rsidR="00F373A3" w:rsidRPr="00181FCD">
        <w:t xml:space="preserve"> </w:t>
      </w:r>
      <w:r w:rsidRPr="00181FCD">
        <w:t>la</w:t>
      </w:r>
      <w:r w:rsidR="00F373A3" w:rsidRPr="00181FCD">
        <w:t xml:space="preserve"> </w:t>
      </w:r>
      <w:r w:rsidRPr="00181FCD">
        <w:t>fase</w:t>
      </w:r>
      <w:r w:rsidR="00F373A3" w:rsidRPr="00181FCD">
        <w:t xml:space="preserve"> </w:t>
      </w:r>
      <w:r w:rsidRPr="00181FCD">
        <w:t>de</w:t>
      </w:r>
      <w:r w:rsidR="00F373A3" w:rsidRPr="00181FCD">
        <w:t xml:space="preserve"> </w:t>
      </w:r>
      <w:r w:rsidRPr="00181FCD">
        <w:t>instrucción.</w:t>
      </w:r>
      <w:r w:rsidR="00F373A3" w:rsidRPr="00181FCD">
        <w:t xml:space="preserve"> </w:t>
      </w:r>
      <w:r w:rsidRPr="00181FCD">
        <w:t>Las</w:t>
      </w:r>
      <w:r w:rsidR="00F373A3" w:rsidRPr="00181FCD">
        <w:t xml:space="preserve"> </w:t>
      </w:r>
      <w:r w:rsidRPr="00181FCD">
        <w:t>autoridades</w:t>
      </w:r>
      <w:r w:rsidR="00F373A3" w:rsidRPr="00181FCD">
        <w:t xml:space="preserve"> </w:t>
      </w:r>
      <w:r w:rsidRPr="00181FCD">
        <w:t>encargadas</w:t>
      </w:r>
      <w:r w:rsidR="00F373A3" w:rsidRPr="00181FCD">
        <w:t xml:space="preserve"> </w:t>
      </w:r>
      <w:r w:rsidRPr="00181FCD">
        <w:t>de</w:t>
      </w:r>
      <w:r w:rsidR="00F373A3" w:rsidRPr="00181FCD">
        <w:t xml:space="preserve"> </w:t>
      </w:r>
      <w:r w:rsidRPr="00181FCD">
        <w:t>la</w:t>
      </w:r>
      <w:r w:rsidR="00F373A3" w:rsidRPr="00181FCD">
        <w:t xml:space="preserve"> </w:t>
      </w:r>
      <w:r w:rsidRPr="00181FCD">
        <w:t>instrucción</w:t>
      </w:r>
      <w:r w:rsidR="00F373A3" w:rsidRPr="00181FCD">
        <w:t xml:space="preserve"> </w:t>
      </w:r>
      <w:r w:rsidRPr="00181FCD">
        <w:t>coordinan</w:t>
      </w:r>
      <w:r w:rsidR="00F373A3" w:rsidRPr="00181FCD">
        <w:t xml:space="preserve"> </w:t>
      </w:r>
      <w:r w:rsidRPr="00181FCD">
        <w:t>sus</w:t>
      </w:r>
      <w:r w:rsidR="00F373A3" w:rsidRPr="00181FCD">
        <w:t xml:space="preserve"> </w:t>
      </w:r>
      <w:r w:rsidRPr="00181FCD">
        <w:t>actuaciones</w:t>
      </w:r>
      <w:r w:rsidR="00F373A3" w:rsidRPr="00181FCD">
        <w:t xml:space="preserve"> </w:t>
      </w:r>
      <w:r w:rsidRPr="00181FCD">
        <w:t>con</w:t>
      </w:r>
      <w:r w:rsidR="00F373A3" w:rsidRPr="00181FCD">
        <w:t xml:space="preserve"> </w:t>
      </w:r>
      <w:r w:rsidRPr="00181FCD">
        <w:t>el</w:t>
      </w:r>
      <w:r w:rsidR="00F373A3" w:rsidRPr="00181FCD">
        <w:t xml:space="preserve"> </w:t>
      </w:r>
      <w:r w:rsidRPr="00181FCD">
        <w:t>fiscal</w:t>
      </w:r>
      <w:r w:rsidR="00F373A3" w:rsidRPr="00181FCD">
        <w:t xml:space="preserve"> </w:t>
      </w:r>
      <w:r w:rsidRPr="00181FCD">
        <w:t>supervisor,</w:t>
      </w:r>
      <w:r w:rsidR="00F373A3" w:rsidRPr="00181FCD">
        <w:t xml:space="preserve"> </w:t>
      </w:r>
      <w:r w:rsidRPr="00181FCD">
        <w:t>de</w:t>
      </w:r>
      <w:r w:rsidR="00F373A3" w:rsidRPr="00181FCD">
        <w:t xml:space="preserve"> </w:t>
      </w:r>
      <w:r w:rsidRPr="00181FCD">
        <w:t>conformidad</w:t>
      </w:r>
      <w:r w:rsidR="00F373A3" w:rsidRPr="00181FCD">
        <w:t xml:space="preserve"> </w:t>
      </w:r>
      <w:r w:rsidRPr="00181FCD">
        <w:t>con</w:t>
      </w:r>
      <w:r w:rsidR="00F373A3" w:rsidRPr="00181FCD">
        <w:t xml:space="preserve"> </w:t>
      </w:r>
      <w:r w:rsidRPr="00181FCD">
        <w:t>el</w:t>
      </w:r>
      <w:r w:rsidR="00F373A3" w:rsidRPr="00181FCD">
        <w:t xml:space="preserve"> </w:t>
      </w:r>
      <w:r w:rsidRPr="00181FCD">
        <w:t>Código</w:t>
      </w:r>
      <w:r w:rsidR="00F373A3" w:rsidRPr="00181FCD">
        <w:t xml:space="preserve"> </w:t>
      </w:r>
      <w:r w:rsidRPr="00181FCD">
        <w:t>de</w:t>
      </w:r>
      <w:r w:rsidR="00F373A3" w:rsidRPr="00181FCD">
        <w:t xml:space="preserve"> </w:t>
      </w:r>
      <w:r w:rsidRPr="00181FCD">
        <w:t>Procedimiento</w:t>
      </w:r>
      <w:r w:rsidR="00F373A3" w:rsidRPr="00181FCD">
        <w:t xml:space="preserve"> </w:t>
      </w:r>
      <w:r w:rsidRPr="00181FCD">
        <w:t>Penal.</w:t>
      </w:r>
      <w:r w:rsidR="00F373A3" w:rsidRPr="00181FCD">
        <w:t xml:space="preserve"> </w:t>
      </w:r>
      <w:r w:rsidRPr="00181FCD">
        <w:t>Durante</w:t>
      </w:r>
      <w:r w:rsidR="00F373A3" w:rsidRPr="00181FCD">
        <w:t xml:space="preserve"> </w:t>
      </w:r>
      <w:r w:rsidRPr="00181FCD">
        <w:t>la</w:t>
      </w:r>
      <w:r w:rsidR="00F373A3" w:rsidRPr="00181FCD">
        <w:t xml:space="preserve"> </w:t>
      </w:r>
      <w:r w:rsidRPr="00181FCD">
        <w:t>instrucción</w:t>
      </w:r>
      <w:r w:rsidR="00F373A3" w:rsidRPr="00181FCD">
        <w:t xml:space="preserve"> </w:t>
      </w:r>
      <w:r w:rsidRPr="00181FCD">
        <w:t>se</w:t>
      </w:r>
      <w:r w:rsidR="00F373A3" w:rsidRPr="00181FCD">
        <w:t xml:space="preserve"> </w:t>
      </w:r>
      <w:r w:rsidRPr="00181FCD">
        <w:t>presta</w:t>
      </w:r>
      <w:r w:rsidR="00F373A3" w:rsidRPr="00181FCD">
        <w:t xml:space="preserve"> </w:t>
      </w:r>
      <w:r w:rsidRPr="00181FCD">
        <w:t>especial</w:t>
      </w:r>
      <w:r w:rsidR="00F373A3" w:rsidRPr="00181FCD">
        <w:t xml:space="preserve"> </w:t>
      </w:r>
      <w:r w:rsidRPr="00181FCD">
        <w:t>atención</w:t>
      </w:r>
      <w:r w:rsidR="00F373A3" w:rsidRPr="00181FCD">
        <w:t xml:space="preserve"> </w:t>
      </w:r>
      <w:r w:rsidRPr="00181FCD">
        <w:t>a</w:t>
      </w:r>
      <w:r w:rsidR="00F373A3" w:rsidRPr="00181FCD">
        <w:t xml:space="preserve"> </w:t>
      </w:r>
      <w:r w:rsidRPr="00181FCD">
        <w:t>las</w:t>
      </w:r>
      <w:r w:rsidR="00F373A3" w:rsidRPr="00181FCD">
        <w:t xml:space="preserve"> </w:t>
      </w:r>
      <w:r w:rsidRPr="00181FCD">
        <w:t>pruebas</w:t>
      </w:r>
      <w:r w:rsidR="00F373A3" w:rsidRPr="00181FCD">
        <w:t xml:space="preserve"> </w:t>
      </w:r>
      <w:r w:rsidRPr="00181FCD">
        <w:t>que</w:t>
      </w:r>
      <w:r w:rsidR="00F373A3" w:rsidRPr="00181FCD">
        <w:t xml:space="preserve"> </w:t>
      </w:r>
      <w:r w:rsidRPr="00181FCD">
        <w:t>podrían</w:t>
      </w:r>
      <w:r w:rsidR="00F373A3" w:rsidRPr="00181FCD">
        <w:t xml:space="preserve"> </w:t>
      </w:r>
      <w:r w:rsidRPr="00181FCD">
        <w:t>indicar</w:t>
      </w:r>
      <w:r w:rsidR="00F373A3" w:rsidRPr="00181FCD">
        <w:t xml:space="preserve"> </w:t>
      </w:r>
      <w:r w:rsidRPr="00181FCD">
        <w:t>que</w:t>
      </w:r>
      <w:r w:rsidR="00F373A3" w:rsidRPr="00181FCD">
        <w:t xml:space="preserve"> </w:t>
      </w:r>
      <w:r w:rsidRPr="00181FCD">
        <w:t>el</w:t>
      </w:r>
      <w:r w:rsidR="00F373A3" w:rsidRPr="00181FCD">
        <w:t xml:space="preserve"> </w:t>
      </w:r>
      <w:r w:rsidRPr="00181FCD">
        <w:t>acto</w:t>
      </w:r>
      <w:r w:rsidR="00F373A3" w:rsidRPr="00181FCD">
        <w:t xml:space="preserve"> </w:t>
      </w:r>
      <w:r w:rsidRPr="00181FCD">
        <w:t>tiene</w:t>
      </w:r>
      <w:r w:rsidR="00F373A3" w:rsidRPr="00181FCD">
        <w:t xml:space="preserve"> </w:t>
      </w:r>
      <w:r w:rsidRPr="00181FCD">
        <w:t>una</w:t>
      </w:r>
      <w:r w:rsidR="00F373A3" w:rsidRPr="00181FCD">
        <w:t xml:space="preserve"> </w:t>
      </w:r>
      <w:r w:rsidRPr="00181FCD">
        <w:t>motivación</w:t>
      </w:r>
      <w:r w:rsidR="00F373A3" w:rsidRPr="00181FCD">
        <w:t xml:space="preserve"> </w:t>
      </w:r>
      <w:r w:rsidRPr="00181FCD">
        <w:t>discriminatoria.</w:t>
      </w:r>
      <w:r w:rsidR="00F373A3" w:rsidRPr="00181FCD">
        <w:t xml:space="preserve"> </w:t>
      </w:r>
      <w:r w:rsidRPr="00181FCD">
        <w:t>Los</w:t>
      </w:r>
      <w:r w:rsidR="00F373A3" w:rsidRPr="00181FCD">
        <w:t xml:space="preserve"> </w:t>
      </w:r>
      <w:r w:rsidRPr="00181FCD">
        <w:t>funcionarios</w:t>
      </w:r>
      <w:r w:rsidR="00F373A3" w:rsidRPr="00181FCD">
        <w:t xml:space="preserve"> </w:t>
      </w:r>
      <w:r w:rsidRPr="00181FCD">
        <w:t>de</w:t>
      </w:r>
      <w:r w:rsidR="00F373A3" w:rsidRPr="00181FCD">
        <w:t xml:space="preserve"> </w:t>
      </w:r>
      <w:r w:rsidRPr="00181FCD">
        <w:t>investigación</w:t>
      </w:r>
      <w:r w:rsidR="00F373A3" w:rsidRPr="00181FCD">
        <w:t xml:space="preserve"> </w:t>
      </w:r>
      <w:r w:rsidRPr="00181FCD">
        <w:t>y</w:t>
      </w:r>
      <w:r w:rsidR="00F373A3" w:rsidRPr="00181FCD">
        <w:t xml:space="preserve"> </w:t>
      </w:r>
      <w:r w:rsidRPr="00181FCD">
        <w:t>los</w:t>
      </w:r>
      <w:r w:rsidR="00F373A3" w:rsidRPr="00181FCD">
        <w:t xml:space="preserve"> </w:t>
      </w:r>
      <w:r w:rsidRPr="00181FCD">
        <w:t>fiscales</w:t>
      </w:r>
      <w:r w:rsidR="00F373A3" w:rsidRPr="00181FCD">
        <w:t xml:space="preserve"> </w:t>
      </w:r>
      <w:r w:rsidRPr="00181FCD">
        <w:t>tienen</w:t>
      </w:r>
      <w:r w:rsidR="00F373A3" w:rsidRPr="00181FCD">
        <w:t xml:space="preserve"> </w:t>
      </w:r>
      <w:r w:rsidRPr="00181FCD">
        <w:t>la</w:t>
      </w:r>
      <w:r w:rsidR="00F373A3" w:rsidRPr="00181FCD">
        <w:t xml:space="preserve"> </w:t>
      </w:r>
      <w:r w:rsidRPr="00181FCD">
        <w:t>obligación</w:t>
      </w:r>
      <w:r w:rsidR="00F373A3" w:rsidRPr="00181FCD">
        <w:t xml:space="preserve"> </w:t>
      </w:r>
      <w:r w:rsidRPr="00181FCD">
        <w:t>de</w:t>
      </w:r>
      <w:r w:rsidR="00F373A3" w:rsidRPr="00181FCD">
        <w:t xml:space="preserve"> </w:t>
      </w:r>
      <w:r w:rsidRPr="00181FCD">
        <w:t>establecer</w:t>
      </w:r>
      <w:r w:rsidR="00F373A3" w:rsidRPr="00181FCD">
        <w:t xml:space="preserve"> </w:t>
      </w:r>
      <w:r w:rsidRPr="00181FCD">
        <w:t>la</w:t>
      </w:r>
      <w:r w:rsidR="00F373A3" w:rsidRPr="00181FCD">
        <w:t xml:space="preserve"> </w:t>
      </w:r>
      <w:r w:rsidRPr="00181FCD">
        <w:t>verdad</w:t>
      </w:r>
      <w:r w:rsidR="00F373A3" w:rsidRPr="00181FCD">
        <w:t xml:space="preserve"> </w:t>
      </w:r>
      <w:r w:rsidRPr="00181FCD">
        <w:t>objetiva</w:t>
      </w:r>
      <w:r w:rsidR="00F373A3" w:rsidRPr="00181FCD">
        <w:t xml:space="preserve"> </w:t>
      </w:r>
      <w:r w:rsidRPr="00181FCD">
        <w:t>en</w:t>
      </w:r>
      <w:r w:rsidR="00F373A3" w:rsidRPr="00181FCD">
        <w:t xml:space="preserve"> </w:t>
      </w:r>
      <w:r w:rsidRPr="00181FCD">
        <w:t>todo</w:t>
      </w:r>
      <w:r w:rsidR="00F373A3" w:rsidRPr="00181FCD">
        <w:t xml:space="preserve"> </w:t>
      </w:r>
      <w:r w:rsidRPr="00181FCD">
        <w:t>procedimiento</w:t>
      </w:r>
      <w:r w:rsidR="00F373A3" w:rsidRPr="00181FCD">
        <w:t xml:space="preserve"> </w:t>
      </w:r>
      <w:r w:rsidRPr="00181FCD">
        <w:t>penal</w:t>
      </w:r>
      <w:r w:rsidR="00F373A3" w:rsidRPr="00181FCD">
        <w:t xml:space="preserve"> </w:t>
      </w:r>
      <w:r w:rsidRPr="00181FCD">
        <w:t>particular,</w:t>
      </w:r>
      <w:r w:rsidR="00F373A3" w:rsidRPr="00181FCD">
        <w:t xml:space="preserve"> </w:t>
      </w:r>
      <w:r w:rsidRPr="00181FCD">
        <w:t>lo</w:t>
      </w:r>
      <w:r w:rsidR="00F373A3" w:rsidRPr="00181FCD">
        <w:t xml:space="preserve"> </w:t>
      </w:r>
      <w:r w:rsidRPr="00181FCD">
        <w:t>que</w:t>
      </w:r>
      <w:r w:rsidR="00F373A3" w:rsidRPr="00181FCD">
        <w:t xml:space="preserve"> </w:t>
      </w:r>
      <w:r w:rsidRPr="00181FCD">
        <w:t>incluye</w:t>
      </w:r>
      <w:r w:rsidR="00F373A3" w:rsidRPr="00181FCD">
        <w:t xml:space="preserve"> </w:t>
      </w:r>
      <w:r w:rsidRPr="00181FCD">
        <w:t>determinar</w:t>
      </w:r>
      <w:r w:rsidR="00672EC2" w:rsidRPr="00181FCD">
        <w:t xml:space="preserve"> </w:t>
      </w:r>
      <w:r w:rsidRPr="00181FCD">
        <w:t>hechos</w:t>
      </w:r>
      <w:r w:rsidR="00F373A3" w:rsidRPr="00181FCD">
        <w:t xml:space="preserve"> </w:t>
      </w:r>
      <w:r w:rsidRPr="00181FCD">
        <w:t>que</w:t>
      </w:r>
      <w:r w:rsidR="00F373A3" w:rsidRPr="00181FCD">
        <w:t xml:space="preserve"> </w:t>
      </w:r>
      <w:r w:rsidRPr="00181FCD">
        <w:t>puedan</w:t>
      </w:r>
      <w:r w:rsidR="00F373A3" w:rsidRPr="00181FCD">
        <w:t xml:space="preserve"> </w:t>
      </w:r>
      <w:r w:rsidRPr="00181FCD">
        <w:t>revelar</w:t>
      </w:r>
      <w:r w:rsidR="00F373A3" w:rsidRPr="00181FCD">
        <w:t xml:space="preserve"> </w:t>
      </w:r>
      <w:r w:rsidRPr="00181FCD">
        <w:t>un</w:t>
      </w:r>
      <w:r w:rsidR="00F373A3" w:rsidRPr="00181FCD">
        <w:t xml:space="preserve"> </w:t>
      </w:r>
      <w:r w:rsidRPr="00181FCD">
        <w:t>motivo</w:t>
      </w:r>
      <w:r w:rsidR="00F373A3" w:rsidRPr="00181FCD">
        <w:t xml:space="preserve"> </w:t>
      </w:r>
      <w:r w:rsidRPr="00181FCD">
        <w:t>discriminatorio,</w:t>
      </w:r>
      <w:r w:rsidR="00F373A3" w:rsidRPr="00181FCD">
        <w:t xml:space="preserve"> </w:t>
      </w:r>
      <w:r w:rsidRPr="00181FCD">
        <w:t>incluso</w:t>
      </w:r>
      <w:r w:rsidR="00F373A3" w:rsidRPr="00181FCD">
        <w:t xml:space="preserve"> </w:t>
      </w:r>
      <w:r w:rsidRPr="00181FCD">
        <w:t>si</w:t>
      </w:r>
      <w:r w:rsidR="00F373A3" w:rsidRPr="00181FCD">
        <w:t xml:space="preserve"> </w:t>
      </w:r>
      <w:r w:rsidRPr="00181FCD">
        <w:t>la</w:t>
      </w:r>
      <w:r w:rsidR="00F373A3" w:rsidRPr="00181FCD">
        <w:t xml:space="preserve"> </w:t>
      </w:r>
      <w:r w:rsidRPr="00181FCD">
        <w:t>víctima</w:t>
      </w:r>
      <w:r w:rsidR="00F373A3" w:rsidRPr="00181FCD">
        <w:t xml:space="preserve"> </w:t>
      </w:r>
      <w:r w:rsidRPr="00181FCD">
        <w:t>no</w:t>
      </w:r>
      <w:r w:rsidR="00F373A3" w:rsidRPr="00181FCD">
        <w:t xml:space="preserve"> </w:t>
      </w:r>
      <w:r w:rsidRPr="00181FCD">
        <w:t>ha</w:t>
      </w:r>
      <w:r w:rsidR="00F373A3" w:rsidRPr="00181FCD">
        <w:t xml:space="preserve"> </w:t>
      </w:r>
      <w:r w:rsidRPr="00181FCD">
        <w:t>hecho</w:t>
      </w:r>
      <w:r w:rsidR="00F373A3" w:rsidRPr="00181FCD">
        <w:t xml:space="preserve"> </w:t>
      </w:r>
      <w:r w:rsidRPr="00181FCD">
        <w:t>ninguna</w:t>
      </w:r>
      <w:r w:rsidR="00F373A3" w:rsidRPr="00181FCD">
        <w:t xml:space="preserve"> </w:t>
      </w:r>
      <w:r w:rsidRPr="00181FCD">
        <w:t>afirmación</w:t>
      </w:r>
      <w:r w:rsidR="00F373A3" w:rsidRPr="00181FCD">
        <w:t xml:space="preserve"> </w:t>
      </w:r>
      <w:r w:rsidRPr="00181FCD">
        <w:t>en</w:t>
      </w:r>
      <w:r w:rsidR="00F373A3" w:rsidRPr="00181FCD">
        <w:t xml:space="preserve"> </w:t>
      </w:r>
      <w:r w:rsidRPr="00181FCD">
        <w:t>este</w:t>
      </w:r>
      <w:r w:rsidR="00F373A3" w:rsidRPr="00181FCD">
        <w:t xml:space="preserve"> </w:t>
      </w:r>
      <w:r w:rsidRPr="00181FCD">
        <w:t>sentido.</w:t>
      </w:r>
      <w:r w:rsidR="00F373A3" w:rsidRPr="00181FCD">
        <w:t xml:space="preserve"> </w:t>
      </w:r>
      <w:r w:rsidRPr="00181FCD">
        <w:t>El</w:t>
      </w:r>
      <w:r w:rsidR="00F373A3" w:rsidRPr="00181FCD">
        <w:t xml:space="preserve"> </w:t>
      </w:r>
      <w:r w:rsidRPr="00181FCD">
        <w:t>hecho</w:t>
      </w:r>
      <w:r w:rsidR="00F373A3" w:rsidRPr="00181FCD">
        <w:t xml:space="preserve"> </w:t>
      </w:r>
      <w:r w:rsidRPr="00181FCD">
        <w:t>de</w:t>
      </w:r>
      <w:r w:rsidR="00F373A3" w:rsidRPr="00181FCD">
        <w:t xml:space="preserve"> </w:t>
      </w:r>
      <w:r w:rsidRPr="00181FCD">
        <w:t>que</w:t>
      </w:r>
      <w:r w:rsidR="00F373A3" w:rsidRPr="00181FCD">
        <w:t xml:space="preserve"> </w:t>
      </w:r>
      <w:r w:rsidRPr="00181FCD">
        <w:t>la</w:t>
      </w:r>
      <w:r w:rsidR="00F373A3" w:rsidRPr="00181FCD">
        <w:t xml:space="preserve"> </w:t>
      </w:r>
      <w:r w:rsidRPr="00181FCD">
        <w:t>víctima</w:t>
      </w:r>
      <w:r w:rsidR="00F373A3" w:rsidRPr="00181FCD">
        <w:t xml:space="preserve"> </w:t>
      </w:r>
      <w:r w:rsidRPr="00181FCD">
        <w:t>no</w:t>
      </w:r>
      <w:r w:rsidR="00F373A3" w:rsidRPr="00181FCD">
        <w:t xml:space="preserve"> </w:t>
      </w:r>
      <w:r w:rsidRPr="00181FCD">
        <w:t>señale</w:t>
      </w:r>
      <w:r w:rsidR="00F373A3" w:rsidRPr="00181FCD">
        <w:t xml:space="preserve"> </w:t>
      </w:r>
      <w:r w:rsidRPr="00181FCD">
        <w:t>a</w:t>
      </w:r>
      <w:r w:rsidR="00F373A3" w:rsidRPr="00181FCD">
        <w:t xml:space="preserve"> </w:t>
      </w:r>
      <w:r w:rsidRPr="00181FCD">
        <w:t>las</w:t>
      </w:r>
      <w:r w:rsidR="00F373A3" w:rsidRPr="00181FCD">
        <w:t xml:space="preserve"> </w:t>
      </w:r>
      <w:r w:rsidRPr="00181FCD">
        <w:t>autoridades</w:t>
      </w:r>
      <w:r w:rsidR="00F373A3" w:rsidRPr="00181FCD">
        <w:t xml:space="preserve"> </w:t>
      </w:r>
      <w:r w:rsidRPr="00181FCD">
        <w:t>la</w:t>
      </w:r>
      <w:r w:rsidR="00F373A3" w:rsidRPr="00181FCD">
        <w:t xml:space="preserve"> </w:t>
      </w:r>
      <w:r w:rsidRPr="00181FCD">
        <w:t>existencia</w:t>
      </w:r>
      <w:r w:rsidR="00F373A3" w:rsidRPr="00181FCD">
        <w:t xml:space="preserve"> </w:t>
      </w:r>
      <w:r w:rsidRPr="00181FCD">
        <w:t>de</w:t>
      </w:r>
      <w:r w:rsidR="00F373A3" w:rsidRPr="00181FCD">
        <w:t xml:space="preserve"> </w:t>
      </w:r>
      <w:r w:rsidRPr="00181FCD">
        <w:t>circunstancias</w:t>
      </w:r>
      <w:r w:rsidR="00F373A3" w:rsidRPr="00181FCD">
        <w:t xml:space="preserve"> </w:t>
      </w:r>
      <w:r w:rsidRPr="00181FCD">
        <w:t>discriminatorias</w:t>
      </w:r>
      <w:r w:rsidR="00F373A3" w:rsidRPr="00181FCD">
        <w:t xml:space="preserve"> </w:t>
      </w:r>
      <w:r w:rsidRPr="00181FCD">
        <w:t>no</w:t>
      </w:r>
      <w:r w:rsidR="00F373A3" w:rsidRPr="00181FCD">
        <w:t xml:space="preserve"> </w:t>
      </w:r>
      <w:r w:rsidRPr="00181FCD">
        <w:t>impide</w:t>
      </w:r>
      <w:r w:rsidR="00F373A3" w:rsidRPr="00181FCD">
        <w:t xml:space="preserve"> </w:t>
      </w:r>
      <w:r w:rsidRPr="00181FCD">
        <w:t>que</w:t>
      </w:r>
      <w:r w:rsidR="00F373A3" w:rsidRPr="00181FCD">
        <w:t xml:space="preserve"> </w:t>
      </w:r>
      <w:r w:rsidRPr="00181FCD">
        <w:t>durante</w:t>
      </w:r>
      <w:r w:rsidR="00F373A3" w:rsidRPr="00181FCD">
        <w:t xml:space="preserve"> </w:t>
      </w:r>
      <w:r w:rsidRPr="00181FCD">
        <w:t>la</w:t>
      </w:r>
      <w:r w:rsidR="00F373A3" w:rsidRPr="00181FCD">
        <w:t xml:space="preserve"> </w:t>
      </w:r>
      <w:r w:rsidRPr="00181FCD">
        <w:t>instrucción</w:t>
      </w:r>
      <w:r w:rsidR="00F373A3" w:rsidRPr="00181FCD">
        <w:t xml:space="preserve"> </w:t>
      </w:r>
      <w:r w:rsidRPr="00181FCD">
        <w:t>se</w:t>
      </w:r>
      <w:r w:rsidR="00F373A3" w:rsidRPr="00181FCD">
        <w:t xml:space="preserve"> </w:t>
      </w:r>
      <w:r w:rsidRPr="00181FCD">
        <w:t>identifiquen</w:t>
      </w:r>
      <w:r w:rsidR="00F373A3" w:rsidRPr="00181FCD">
        <w:t xml:space="preserve"> </w:t>
      </w:r>
      <w:r w:rsidRPr="00181FCD">
        <w:t>tales</w:t>
      </w:r>
      <w:r w:rsidR="00F373A3" w:rsidRPr="00181FCD">
        <w:t xml:space="preserve"> </w:t>
      </w:r>
      <w:r w:rsidRPr="00181FCD">
        <w:t>circunstancias</w:t>
      </w:r>
      <w:r w:rsidR="00F373A3" w:rsidRPr="00181FCD">
        <w:t xml:space="preserve"> </w:t>
      </w:r>
      <w:r w:rsidRPr="00181FCD">
        <w:t>y</w:t>
      </w:r>
      <w:r w:rsidR="00F373A3" w:rsidRPr="00181FCD">
        <w:t xml:space="preserve"> </w:t>
      </w:r>
      <w:r w:rsidRPr="00181FCD">
        <w:t>se</w:t>
      </w:r>
      <w:r w:rsidR="00F373A3" w:rsidRPr="00181FCD">
        <w:t xml:space="preserve"> </w:t>
      </w:r>
      <w:r w:rsidRPr="00181FCD">
        <w:t>las</w:t>
      </w:r>
      <w:r w:rsidR="00F373A3" w:rsidRPr="00181FCD">
        <w:t xml:space="preserve"> </w:t>
      </w:r>
      <w:r w:rsidRPr="00181FCD">
        <w:t>determine</w:t>
      </w:r>
      <w:r w:rsidR="00F373A3" w:rsidRPr="00181FCD">
        <w:t xml:space="preserve"> </w:t>
      </w:r>
      <w:r w:rsidRPr="00181FCD">
        <w:t>como</w:t>
      </w:r>
      <w:r w:rsidR="00F373A3" w:rsidRPr="00181FCD">
        <w:t xml:space="preserve"> </w:t>
      </w:r>
      <w:r w:rsidRPr="00181FCD">
        <w:t>motivo</w:t>
      </w:r>
      <w:r w:rsidR="00F373A3" w:rsidRPr="00181FCD">
        <w:t xml:space="preserve"> </w:t>
      </w:r>
      <w:r w:rsidRPr="00181FCD">
        <w:t>del</w:t>
      </w:r>
      <w:r w:rsidR="00F373A3" w:rsidRPr="00181FCD">
        <w:t xml:space="preserve"> </w:t>
      </w:r>
      <w:r w:rsidRPr="00181FCD">
        <w:t>delito.</w:t>
      </w:r>
    </w:p>
    <w:p w:rsidR="001937F4" w:rsidRPr="00181FCD" w:rsidRDefault="001937F4" w:rsidP="00347B20">
      <w:pPr>
        <w:pStyle w:val="SingleTxtG"/>
        <w:suppressAutoHyphens/>
      </w:pPr>
      <w:r w:rsidRPr="00181FCD">
        <w:t>228.</w:t>
      </w:r>
      <w:r w:rsidRPr="00181FCD">
        <w:tab/>
        <w:t>Las</w:t>
      </w:r>
      <w:r w:rsidR="00F373A3" w:rsidRPr="00181FCD">
        <w:t xml:space="preserve"> </w:t>
      </w:r>
      <w:r w:rsidRPr="00181FCD">
        <w:t>sanciones</w:t>
      </w:r>
      <w:r w:rsidR="00F373A3" w:rsidRPr="00181FCD">
        <w:t xml:space="preserve"> </w:t>
      </w:r>
      <w:r w:rsidRPr="00181FCD">
        <w:t>penales</w:t>
      </w:r>
      <w:r w:rsidR="00F373A3" w:rsidRPr="00181FCD">
        <w:t xml:space="preserve"> </w:t>
      </w:r>
      <w:r w:rsidRPr="00181FCD">
        <w:t>previstas</w:t>
      </w:r>
      <w:r w:rsidR="00F373A3" w:rsidRPr="00181FCD">
        <w:t xml:space="preserve"> </w:t>
      </w:r>
      <w:r w:rsidRPr="00181FCD">
        <w:t>para</w:t>
      </w:r>
      <w:r w:rsidR="00F373A3" w:rsidRPr="00181FCD">
        <w:t xml:space="preserve"> </w:t>
      </w:r>
      <w:r w:rsidRPr="00181FCD">
        <w:t>los</w:t>
      </w:r>
      <w:r w:rsidR="00F373A3" w:rsidRPr="00181FCD">
        <w:t xml:space="preserve"> </w:t>
      </w:r>
      <w:r w:rsidRPr="00181FCD">
        <w:t>delitos</w:t>
      </w:r>
      <w:r w:rsidR="00F373A3" w:rsidRPr="00181FCD">
        <w:t xml:space="preserve"> </w:t>
      </w:r>
      <w:r w:rsidRPr="00181FCD">
        <w:t>contra</w:t>
      </w:r>
      <w:r w:rsidR="00F373A3" w:rsidRPr="00181FCD">
        <w:t xml:space="preserve"> </w:t>
      </w:r>
      <w:r w:rsidRPr="00181FCD">
        <w:t>la</w:t>
      </w:r>
      <w:r w:rsidR="00F373A3" w:rsidRPr="00181FCD">
        <w:t xml:space="preserve"> </w:t>
      </w:r>
      <w:r w:rsidRPr="00181FCD">
        <w:t>igualdad</w:t>
      </w:r>
      <w:r w:rsidR="00F373A3" w:rsidRPr="00181FCD">
        <w:t xml:space="preserve"> </w:t>
      </w:r>
      <w:r w:rsidRPr="00181FCD">
        <w:t>nacional</w:t>
      </w:r>
      <w:r w:rsidR="00F373A3" w:rsidRPr="00181FCD">
        <w:t xml:space="preserve"> </w:t>
      </w:r>
      <w:r w:rsidRPr="00181FCD">
        <w:t>y</w:t>
      </w:r>
      <w:r w:rsidR="00F373A3" w:rsidRPr="00181FCD">
        <w:t xml:space="preserve"> </w:t>
      </w:r>
      <w:r w:rsidRPr="00181FCD">
        <w:t>racial</w:t>
      </w:r>
      <w:r w:rsidR="00F373A3" w:rsidRPr="00181FCD">
        <w:t xml:space="preserve"> </w:t>
      </w:r>
      <w:r w:rsidRPr="00181FCD">
        <w:t>demuestran</w:t>
      </w:r>
      <w:r w:rsidR="00F373A3" w:rsidRPr="00181FCD">
        <w:t xml:space="preserve"> </w:t>
      </w:r>
      <w:r w:rsidRPr="00181FCD">
        <w:t>que</w:t>
      </w:r>
      <w:r w:rsidR="00F373A3" w:rsidRPr="00181FCD">
        <w:t xml:space="preserve"> </w:t>
      </w:r>
      <w:r w:rsidRPr="00181FCD">
        <w:t>los</w:t>
      </w:r>
      <w:r w:rsidR="00F373A3" w:rsidRPr="00181FCD">
        <w:t xml:space="preserve"> </w:t>
      </w:r>
      <w:r w:rsidRPr="00181FCD">
        <w:t>legisladores</w:t>
      </w:r>
      <w:r w:rsidR="00F373A3" w:rsidRPr="00181FCD">
        <w:t xml:space="preserve"> </w:t>
      </w:r>
      <w:r w:rsidRPr="00181FCD">
        <w:t>consideran</w:t>
      </w:r>
      <w:r w:rsidR="00F373A3" w:rsidRPr="00181FCD">
        <w:t xml:space="preserve"> </w:t>
      </w:r>
      <w:r w:rsidRPr="00181FCD">
        <w:t>que</w:t>
      </w:r>
      <w:r w:rsidR="00F373A3" w:rsidRPr="00181FCD">
        <w:t xml:space="preserve"> </w:t>
      </w:r>
      <w:r w:rsidRPr="00181FCD">
        <w:t>esos</w:t>
      </w:r>
      <w:r w:rsidR="00F373A3" w:rsidRPr="00181FCD">
        <w:t xml:space="preserve"> </w:t>
      </w:r>
      <w:r w:rsidRPr="00181FCD">
        <w:t>actos</w:t>
      </w:r>
      <w:r w:rsidR="00F373A3" w:rsidRPr="00181FCD">
        <w:t xml:space="preserve"> </w:t>
      </w:r>
      <w:r w:rsidRPr="00181FCD">
        <w:t>constituyen</w:t>
      </w:r>
      <w:r w:rsidR="00F373A3" w:rsidRPr="00181FCD">
        <w:t xml:space="preserve"> </w:t>
      </w:r>
      <w:r w:rsidRPr="00181FCD">
        <w:t>una</w:t>
      </w:r>
      <w:r w:rsidR="00F373A3" w:rsidRPr="00181FCD">
        <w:t xml:space="preserve"> </w:t>
      </w:r>
      <w:r w:rsidRPr="00181FCD">
        <w:t>grave</w:t>
      </w:r>
      <w:r w:rsidR="00F373A3" w:rsidRPr="00181FCD">
        <w:t xml:space="preserve"> </w:t>
      </w:r>
      <w:r w:rsidRPr="00181FCD">
        <w:t>amenaza</w:t>
      </w:r>
      <w:r w:rsidR="00F373A3" w:rsidRPr="00181FCD">
        <w:t xml:space="preserve"> </w:t>
      </w:r>
      <w:r w:rsidRPr="00181FCD">
        <w:t>social.</w:t>
      </w:r>
      <w:r w:rsidR="00F373A3" w:rsidRPr="00181FCD">
        <w:t xml:space="preserve"> </w:t>
      </w:r>
      <w:r w:rsidRPr="00181FCD">
        <w:t>Tales</w:t>
      </w:r>
      <w:r w:rsidR="00F373A3" w:rsidRPr="00181FCD">
        <w:t xml:space="preserve"> </w:t>
      </w:r>
      <w:r w:rsidRPr="00181FCD">
        <w:t>delitos</w:t>
      </w:r>
      <w:r w:rsidR="00F373A3" w:rsidRPr="00181FCD">
        <w:t xml:space="preserve"> </w:t>
      </w:r>
      <w:r w:rsidRPr="00181FCD">
        <w:t>están</w:t>
      </w:r>
      <w:r w:rsidR="00F373A3" w:rsidRPr="00181FCD">
        <w:t xml:space="preserve"> </w:t>
      </w:r>
      <w:r w:rsidRPr="00181FCD">
        <w:t>castigados</w:t>
      </w:r>
      <w:r w:rsidR="00F373A3" w:rsidRPr="00181FCD">
        <w:t xml:space="preserve"> </w:t>
      </w:r>
      <w:r w:rsidRPr="00181FCD">
        <w:t>con</w:t>
      </w:r>
      <w:r w:rsidR="00F373A3" w:rsidRPr="00181FCD">
        <w:t xml:space="preserve"> </w:t>
      </w:r>
      <w:r w:rsidRPr="00181FCD">
        <w:t>diferentes</w:t>
      </w:r>
      <w:r w:rsidR="00F373A3" w:rsidRPr="00181FCD">
        <w:t xml:space="preserve"> </w:t>
      </w:r>
      <w:r w:rsidRPr="00181FCD">
        <w:t>periodos</w:t>
      </w:r>
      <w:r w:rsidR="00F373A3" w:rsidRPr="00181FCD">
        <w:t xml:space="preserve"> </w:t>
      </w:r>
      <w:r w:rsidRPr="00181FCD">
        <w:t>de</w:t>
      </w:r>
      <w:r w:rsidR="00F373A3" w:rsidRPr="00181FCD">
        <w:t xml:space="preserve"> </w:t>
      </w:r>
      <w:r w:rsidRPr="00181FCD">
        <w:t>privación</w:t>
      </w:r>
      <w:r w:rsidR="00F373A3" w:rsidRPr="00181FCD">
        <w:t xml:space="preserve"> </w:t>
      </w:r>
      <w:r w:rsidRPr="00181FCD">
        <w:t>de</w:t>
      </w:r>
      <w:r w:rsidR="00F373A3" w:rsidRPr="00181FCD">
        <w:t xml:space="preserve"> </w:t>
      </w:r>
      <w:r w:rsidRPr="00181FCD">
        <w:t>libertad</w:t>
      </w:r>
      <w:r w:rsidR="00F373A3" w:rsidRPr="00181FCD">
        <w:t xml:space="preserve"> </w:t>
      </w:r>
      <w:r w:rsidRPr="00181FCD">
        <w:t>y</w:t>
      </w:r>
      <w:r w:rsidR="00F373A3" w:rsidRPr="00181FCD">
        <w:t xml:space="preserve"> </w:t>
      </w:r>
      <w:r w:rsidRPr="00181FCD">
        <w:t>reprobación</w:t>
      </w:r>
      <w:r w:rsidR="00F373A3" w:rsidRPr="00181FCD">
        <w:t xml:space="preserve"> </w:t>
      </w:r>
      <w:r w:rsidRPr="00181FCD">
        <w:t>pública.</w:t>
      </w:r>
    </w:p>
    <w:p w:rsidR="001937F4" w:rsidRPr="00181FCD" w:rsidRDefault="001937F4" w:rsidP="00347B20">
      <w:pPr>
        <w:pStyle w:val="SingleTxtG"/>
        <w:suppressAutoHyphens/>
      </w:pPr>
      <w:r w:rsidRPr="00181FCD">
        <w:t>229.</w:t>
      </w:r>
      <w:r w:rsidRPr="00181FCD">
        <w:tab/>
        <w:t>Las</w:t>
      </w:r>
      <w:r w:rsidR="00F373A3" w:rsidRPr="00181FCD">
        <w:t xml:space="preserve"> </w:t>
      </w:r>
      <w:r w:rsidRPr="00181FCD">
        <w:t>autoridades</w:t>
      </w:r>
      <w:r w:rsidR="00F373A3" w:rsidRPr="00181FCD">
        <w:t xml:space="preserve"> </w:t>
      </w:r>
      <w:r w:rsidRPr="00181FCD">
        <w:t>búlgaras</w:t>
      </w:r>
      <w:r w:rsidR="00F373A3" w:rsidRPr="00181FCD">
        <w:t xml:space="preserve"> </w:t>
      </w:r>
      <w:r w:rsidRPr="00181FCD">
        <w:t>vigilan</w:t>
      </w:r>
      <w:r w:rsidR="00F373A3" w:rsidRPr="00181FCD">
        <w:t xml:space="preserve"> </w:t>
      </w:r>
      <w:r w:rsidRPr="00181FCD">
        <w:t>de</w:t>
      </w:r>
      <w:r w:rsidR="00F373A3" w:rsidRPr="00181FCD">
        <w:t xml:space="preserve"> </w:t>
      </w:r>
      <w:r w:rsidRPr="00181FCD">
        <w:t>cerca</w:t>
      </w:r>
      <w:r w:rsidR="00F373A3" w:rsidRPr="00181FCD">
        <w:t xml:space="preserve"> </w:t>
      </w:r>
      <w:r w:rsidRPr="00181FCD">
        <w:t>todas</w:t>
      </w:r>
      <w:r w:rsidR="00F373A3" w:rsidRPr="00181FCD">
        <w:t xml:space="preserve"> </w:t>
      </w:r>
      <w:r w:rsidRPr="00181FCD">
        <w:t>las</w:t>
      </w:r>
      <w:r w:rsidR="00F373A3" w:rsidRPr="00181FCD">
        <w:t xml:space="preserve"> </w:t>
      </w:r>
      <w:r w:rsidRPr="00181FCD">
        <w:t>presuntas</w:t>
      </w:r>
      <w:r w:rsidR="00F373A3" w:rsidRPr="00181FCD">
        <w:t xml:space="preserve"> </w:t>
      </w:r>
      <w:r w:rsidRPr="00181FCD">
        <w:t>manifestaciones</w:t>
      </w:r>
      <w:r w:rsidR="00F373A3" w:rsidRPr="00181FCD">
        <w:t xml:space="preserve"> </w:t>
      </w:r>
      <w:r w:rsidRPr="00181FCD">
        <w:t>de</w:t>
      </w:r>
      <w:r w:rsidR="00F373A3" w:rsidRPr="00181FCD">
        <w:t xml:space="preserve"> </w:t>
      </w:r>
      <w:r w:rsidRPr="00181FCD">
        <w:t>racismo</w:t>
      </w:r>
      <w:r w:rsidR="00F373A3" w:rsidRPr="00181FCD">
        <w:t xml:space="preserve"> </w:t>
      </w:r>
      <w:r w:rsidRPr="00181FCD">
        <w:t>e</w:t>
      </w:r>
      <w:r w:rsidR="00F373A3" w:rsidRPr="00181FCD">
        <w:t xml:space="preserve"> </w:t>
      </w:r>
      <w:r w:rsidRPr="00181FCD">
        <w:t>intolerancia</w:t>
      </w:r>
      <w:r w:rsidR="00F373A3" w:rsidRPr="00181FCD">
        <w:t xml:space="preserve"> </w:t>
      </w:r>
      <w:r w:rsidRPr="00181FCD">
        <w:t>hacia</w:t>
      </w:r>
      <w:r w:rsidR="00F373A3" w:rsidRPr="00181FCD">
        <w:t xml:space="preserve"> </w:t>
      </w:r>
      <w:r w:rsidRPr="00181FCD">
        <w:t>cualquier</w:t>
      </w:r>
      <w:r w:rsidR="00F373A3" w:rsidRPr="00181FCD">
        <w:t xml:space="preserve"> </w:t>
      </w:r>
      <w:r w:rsidRPr="00181FCD">
        <w:t>persona</w:t>
      </w:r>
      <w:r w:rsidR="00F373A3" w:rsidRPr="00181FCD">
        <w:t xml:space="preserve"> </w:t>
      </w:r>
      <w:r w:rsidRPr="00181FCD">
        <w:t>en</w:t>
      </w:r>
      <w:r w:rsidR="00F373A3" w:rsidRPr="00181FCD">
        <w:t xml:space="preserve"> </w:t>
      </w:r>
      <w:r w:rsidRPr="00181FCD">
        <w:t>el</w:t>
      </w:r>
      <w:r w:rsidR="00F373A3" w:rsidRPr="00181FCD">
        <w:t xml:space="preserve"> </w:t>
      </w:r>
      <w:r w:rsidRPr="00181FCD">
        <w:t>territorio</w:t>
      </w:r>
      <w:r w:rsidR="00F373A3" w:rsidRPr="00181FCD">
        <w:t xml:space="preserve"> </w:t>
      </w:r>
      <w:r w:rsidRPr="00181FCD">
        <w:t>del</w:t>
      </w:r>
      <w:r w:rsidR="00F373A3" w:rsidRPr="00181FCD">
        <w:t xml:space="preserve"> </w:t>
      </w:r>
      <w:r w:rsidRPr="00181FCD">
        <w:t>Estado</w:t>
      </w:r>
      <w:r w:rsidR="00F373A3" w:rsidRPr="00181FCD">
        <w:t xml:space="preserve"> </w:t>
      </w:r>
      <w:r w:rsidRPr="00181FCD">
        <w:t>y,</w:t>
      </w:r>
      <w:r w:rsidR="00F373A3" w:rsidRPr="00181FCD">
        <w:t xml:space="preserve"> </w:t>
      </w:r>
      <w:r w:rsidRPr="00181FCD">
        <w:t>si</w:t>
      </w:r>
      <w:r w:rsidR="00F373A3" w:rsidRPr="00181FCD">
        <w:t xml:space="preserve"> </w:t>
      </w:r>
      <w:r w:rsidRPr="00181FCD">
        <w:t>es</w:t>
      </w:r>
      <w:r w:rsidR="00F373A3" w:rsidRPr="00181FCD">
        <w:t xml:space="preserve"> </w:t>
      </w:r>
      <w:r w:rsidRPr="00181FCD">
        <w:t>necesario,</w:t>
      </w:r>
      <w:r w:rsidR="00F373A3" w:rsidRPr="00181FCD">
        <w:t xml:space="preserve"> </w:t>
      </w:r>
      <w:r w:rsidRPr="00181FCD">
        <w:t>toman</w:t>
      </w:r>
      <w:r w:rsidR="00F373A3" w:rsidRPr="00181FCD">
        <w:t xml:space="preserve"> </w:t>
      </w:r>
      <w:r w:rsidRPr="00181FCD">
        <w:t>medidas</w:t>
      </w:r>
      <w:r w:rsidR="00F373A3" w:rsidRPr="00181FCD">
        <w:t xml:space="preserve"> </w:t>
      </w:r>
      <w:r w:rsidRPr="00181FCD">
        <w:t>decididas</w:t>
      </w:r>
      <w:r w:rsidR="00F373A3" w:rsidRPr="00181FCD">
        <w:t xml:space="preserve"> </w:t>
      </w:r>
      <w:r w:rsidRPr="00181FCD">
        <w:t>para</w:t>
      </w:r>
      <w:r w:rsidR="00F373A3" w:rsidRPr="00181FCD">
        <w:t xml:space="preserve"> </w:t>
      </w:r>
      <w:r w:rsidRPr="00181FCD">
        <w:t>castigar</w:t>
      </w:r>
      <w:r w:rsidR="00F373A3" w:rsidRPr="00181FCD">
        <w:t xml:space="preserve"> </w:t>
      </w:r>
      <w:r w:rsidRPr="00181FCD">
        <w:t>esos</w:t>
      </w:r>
      <w:r w:rsidR="00F373A3" w:rsidRPr="00181FCD">
        <w:t xml:space="preserve"> </w:t>
      </w:r>
      <w:r w:rsidRPr="00181FCD">
        <w:t>actos.</w:t>
      </w:r>
      <w:r w:rsidR="00F373A3" w:rsidRPr="00181FCD">
        <w:t xml:space="preserve"> </w:t>
      </w:r>
      <w:r w:rsidRPr="00181FCD">
        <w:t>Cabe</w:t>
      </w:r>
      <w:r w:rsidR="00F373A3" w:rsidRPr="00181FCD">
        <w:t xml:space="preserve"> </w:t>
      </w:r>
      <w:r w:rsidRPr="00181FCD">
        <w:t>destacar</w:t>
      </w:r>
      <w:r w:rsidR="00F373A3" w:rsidRPr="00181FCD">
        <w:t xml:space="preserve"> </w:t>
      </w:r>
      <w:r w:rsidRPr="00181FCD">
        <w:t>que</w:t>
      </w:r>
      <w:r w:rsidR="00F373A3" w:rsidRPr="00181FCD">
        <w:t xml:space="preserve"> </w:t>
      </w:r>
      <w:r w:rsidRPr="00181FCD">
        <w:t>Bulgaria</w:t>
      </w:r>
      <w:r w:rsidR="00F373A3" w:rsidRPr="00181FCD">
        <w:t xml:space="preserve"> </w:t>
      </w:r>
      <w:r w:rsidRPr="00181FCD">
        <w:t>no</w:t>
      </w:r>
      <w:r w:rsidR="00F373A3" w:rsidRPr="00181FCD">
        <w:t xml:space="preserve"> </w:t>
      </w:r>
      <w:r w:rsidRPr="00181FCD">
        <w:t>tiene</w:t>
      </w:r>
      <w:r w:rsidR="00F373A3" w:rsidRPr="00181FCD">
        <w:t xml:space="preserve"> </w:t>
      </w:r>
      <w:r w:rsidRPr="00181FCD">
        <w:t>un</w:t>
      </w:r>
      <w:r w:rsidR="00F373A3" w:rsidRPr="00181FCD">
        <w:t xml:space="preserve"> </w:t>
      </w:r>
      <w:r w:rsidRPr="00181FCD">
        <w:t>historial</w:t>
      </w:r>
      <w:r w:rsidR="00F373A3" w:rsidRPr="00181FCD">
        <w:t xml:space="preserve"> </w:t>
      </w:r>
      <w:r w:rsidRPr="00181FCD">
        <w:t>preocupante</w:t>
      </w:r>
      <w:r w:rsidR="00F373A3" w:rsidRPr="00181FCD">
        <w:t xml:space="preserve"> </w:t>
      </w:r>
      <w:r w:rsidRPr="00181FCD">
        <w:t>de</w:t>
      </w:r>
      <w:r w:rsidR="00F373A3" w:rsidRPr="00181FCD">
        <w:t xml:space="preserve"> </w:t>
      </w:r>
      <w:r w:rsidRPr="00181FCD">
        <w:t>actos</w:t>
      </w:r>
      <w:r w:rsidR="00F373A3" w:rsidRPr="00181FCD">
        <w:t xml:space="preserve"> </w:t>
      </w:r>
      <w:r w:rsidRPr="00181FCD">
        <w:t>o</w:t>
      </w:r>
      <w:r w:rsidR="00F373A3" w:rsidRPr="00181FCD">
        <w:t xml:space="preserve"> </w:t>
      </w:r>
      <w:r w:rsidRPr="00181FCD">
        <w:t>manifestaciones</w:t>
      </w:r>
      <w:r w:rsidR="00F373A3" w:rsidRPr="00181FCD">
        <w:t xml:space="preserve"> </w:t>
      </w:r>
      <w:r w:rsidRPr="00181FCD">
        <w:t>de</w:t>
      </w:r>
      <w:r w:rsidR="00F373A3" w:rsidRPr="00181FCD">
        <w:t xml:space="preserve"> </w:t>
      </w:r>
      <w:r w:rsidRPr="00181FCD">
        <w:t>este</w:t>
      </w:r>
      <w:r w:rsidR="00F373A3" w:rsidRPr="00181FCD">
        <w:t xml:space="preserve"> </w:t>
      </w:r>
      <w:r w:rsidRPr="00181FCD">
        <w:t>tipo.</w:t>
      </w:r>
      <w:r w:rsidR="00F373A3" w:rsidRPr="00181FCD">
        <w:t xml:space="preserve"> </w:t>
      </w:r>
      <w:r w:rsidRPr="00181FCD">
        <w:t>No</w:t>
      </w:r>
      <w:r w:rsidR="00F373A3" w:rsidRPr="00181FCD">
        <w:t xml:space="preserve"> </w:t>
      </w:r>
      <w:r w:rsidRPr="00181FCD">
        <w:t>obstante,</w:t>
      </w:r>
      <w:r w:rsidR="00F373A3" w:rsidRPr="00181FCD">
        <w:t xml:space="preserve"> </w:t>
      </w:r>
      <w:r w:rsidRPr="00181FCD">
        <w:t>las</w:t>
      </w:r>
      <w:r w:rsidR="00F373A3" w:rsidRPr="00181FCD">
        <w:t xml:space="preserve"> </w:t>
      </w:r>
      <w:r w:rsidRPr="00181FCD">
        <w:t>autoridades</w:t>
      </w:r>
      <w:r w:rsidR="00F373A3" w:rsidRPr="00181FCD">
        <w:t xml:space="preserve"> </w:t>
      </w:r>
      <w:r w:rsidRPr="00181FCD">
        <w:t>se</w:t>
      </w:r>
      <w:r w:rsidR="00F373A3" w:rsidRPr="00181FCD">
        <w:t xml:space="preserve"> </w:t>
      </w:r>
      <w:r w:rsidRPr="00181FCD">
        <w:t>mantendrán</w:t>
      </w:r>
      <w:r w:rsidR="00F373A3" w:rsidRPr="00181FCD">
        <w:t xml:space="preserve"> </w:t>
      </w:r>
      <w:r w:rsidRPr="00181FCD">
        <w:t>alertas,</w:t>
      </w:r>
      <w:r w:rsidR="00F373A3" w:rsidRPr="00181FCD">
        <w:t xml:space="preserve"> </w:t>
      </w:r>
      <w:r w:rsidRPr="00181FCD">
        <w:t>ya</w:t>
      </w:r>
      <w:r w:rsidR="00F373A3" w:rsidRPr="00181FCD">
        <w:t xml:space="preserve"> </w:t>
      </w:r>
      <w:r w:rsidRPr="00181FCD">
        <w:t>que</w:t>
      </w:r>
      <w:r w:rsidR="00F373A3" w:rsidRPr="00181FCD">
        <w:t xml:space="preserve"> </w:t>
      </w:r>
      <w:r w:rsidRPr="00181FCD">
        <w:t>no</w:t>
      </w:r>
      <w:r w:rsidR="00F373A3" w:rsidRPr="00181FCD">
        <w:t xml:space="preserve"> </w:t>
      </w:r>
      <w:r w:rsidRPr="00181FCD">
        <w:t>se</w:t>
      </w:r>
      <w:r w:rsidR="00F373A3" w:rsidRPr="00181FCD">
        <w:t xml:space="preserve"> </w:t>
      </w:r>
      <w:r w:rsidRPr="00181FCD">
        <w:t>puede</w:t>
      </w:r>
      <w:r w:rsidR="00F373A3" w:rsidRPr="00181FCD">
        <w:t xml:space="preserve"> </w:t>
      </w:r>
      <w:r w:rsidRPr="00181FCD">
        <w:t>descartar</w:t>
      </w:r>
      <w:r w:rsidR="00F373A3" w:rsidRPr="00181FCD">
        <w:t xml:space="preserve"> </w:t>
      </w:r>
      <w:r w:rsidRPr="00181FCD">
        <w:t>un</w:t>
      </w:r>
      <w:r w:rsidR="00F373A3" w:rsidRPr="00181FCD">
        <w:t xml:space="preserve"> </w:t>
      </w:r>
      <w:r w:rsidRPr="00181FCD">
        <w:t>posible</w:t>
      </w:r>
      <w:r w:rsidR="00F373A3" w:rsidRPr="00181FCD">
        <w:t xml:space="preserve"> </w:t>
      </w:r>
      <w:r w:rsidRPr="00181FCD">
        <w:t>cambio</w:t>
      </w:r>
      <w:r w:rsidR="00F373A3" w:rsidRPr="00181FCD">
        <w:t xml:space="preserve"> </w:t>
      </w:r>
      <w:r w:rsidRPr="00181FCD">
        <w:t>de</w:t>
      </w:r>
      <w:r w:rsidR="00F373A3" w:rsidRPr="00181FCD">
        <w:t xml:space="preserve"> </w:t>
      </w:r>
      <w:r w:rsidRPr="00181FCD">
        <w:t>la</w:t>
      </w:r>
      <w:r w:rsidR="00F373A3" w:rsidRPr="00181FCD">
        <w:t xml:space="preserve"> </w:t>
      </w:r>
      <w:r w:rsidRPr="00181FCD">
        <w:t>situación</w:t>
      </w:r>
      <w:r w:rsidR="00F373A3" w:rsidRPr="00181FCD">
        <w:t xml:space="preserve"> </w:t>
      </w:r>
      <w:r w:rsidRPr="00181FCD">
        <w:t>en</w:t>
      </w:r>
      <w:r w:rsidR="00F373A3" w:rsidRPr="00181FCD">
        <w:t xml:space="preserve"> </w:t>
      </w:r>
      <w:r w:rsidRPr="00181FCD">
        <w:t>este</w:t>
      </w:r>
      <w:r w:rsidR="00F373A3" w:rsidRPr="00181FCD">
        <w:t xml:space="preserve"> </w:t>
      </w:r>
      <w:r w:rsidRPr="00181FCD">
        <w:t>sentido.</w:t>
      </w:r>
    </w:p>
    <w:p w:rsidR="001937F4" w:rsidRPr="00181FCD" w:rsidRDefault="002C541C" w:rsidP="002C541C">
      <w:pPr>
        <w:pStyle w:val="H23G"/>
      </w:pPr>
      <w:r w:rsidRPr="00181FCD">
        <w:tab/>
      </w:r>
      <w:r w:rsidRPr="00181FCD">
        <w:tab/>
      </w:r>
      <w:r w:rsidR="001937F4" w:rsidRPr="00181FCD">
        <w:t>Respuesta</w:t>
      </w:r>
      <w:r w:rsidR="00F373A3" w:rsidRPr="00181FCD">
        <w:t xml:space="preserve"> </w:t>
      </w:r>
      <w:r w:rsidR="001937F4" w:rsidRPr="00181FCD">
        <w:t>a</w:t>
      </w:r>
      <w:r w:rsidR="00F373A3" w:rsidRPr="00181FCD">
        <w:t xml:space="preserve"> </w:t>
      </w:r>
      <w:r w:rsidR="001937F4" w:rsidRPr="00181FCD">
        <w:t>las</w:t>
      </w:r>
      <w:r w:rsidR="00F373A3" w:rsidRPr="00181FCD">
        <w:t xml:space="preserve"> </w:t>
      </w:r>
      <w:r w:rsidR="001937F4" w:rsidRPr="00181FCD">
        <w:t>cuestiones</w:t>
      </w:r>
      <w:r w:rsidR="00F373A3" w:rsidRPr="00181FCD">
        <w:t xml:space="preserve"> </w:t>
      </w:r>
      <w:r w:rsidR="001937F4" w:rsidRPr="00181FCD">
        <w:t>planteadas</w:t>
      </w:r>
      <w:r w:rsidR="00F373A3" w:rsidRPr="00181FCD">
        <w:t xml:space="preserve"> </w:t>
      </w:r>
      <w:r w:rsidR="001937F4" w:rsidRPr="00181FCD">
        <w:t>en</w:t>
      </w:r>
      <w:r w:rsidR="00F373A3" w:rsidRPr="00181FCD">
        <w:t xml:space="preserve"> </w:t>
      </w:r>
      <w:r w:rsidR="001937F4" w:rsidRPr="00181FCD">
        <w:t>el</w:t>
      </w:r>
      <w:r w:rsidR="00F373A3" w:rsidRPr="00181FCD">
        <w:t xml:space="preserve"> </w:t>
      </w:r>
      <w:r w:rsidR="001937F4" w:rsidRPr="00181FCD">
        <w:t>párrafo</w:t>
      </w:r>
      <w:r w:rsidR="00F373A3" w:rsidRPr="00181FCD">
        <w:t xml:space="preserve"> </w:t>
      </w:r>
      <w:r w:rsidR="001937F4" w:rsidRPr="00181FCD">
        <w:t>27</w:t>
      </w:r>
      <w:r w:rsidR="00F373A3" w:rsidRPr="00181FCD">
        <w:t xml:space="preserve"> </w:t>
      </w:r>
      <w:r w:rsidR="001937F4" w:rsidRPr="00181FCD">
        <w:t>de</w:t>
      </w:r>
      <w:r w:rsidR="00F373A3" w:rsidRPr="00181FCD">
        <w:t xml:space="preserve"> </w:t>
      </w:r>
      <w:r w:rsidR="001937F4" w:rsidRPr="00181FCD">
        <w:t>la</w:t>
      </w:r>
      <w:r w:rsidR="00F373A3" w:rsidRPr="00181FCD">
        <w:t xml:space="preserve"> </w:t>
      </w:r>
      <w:r w:rsidR="001937F4" w:rsidRPr="00181FCD">
        <w:t>lista</w:t>
      </w:r>
      <w:r w:rsidR="00F373A3" w:rsidRPr="00181FCD">
        <w:t xml:space="preserve"> </w:t>
      </w:r>
      <w:r w:rsidR="001937F4" w:rsidRPr="00181FCD">
        <w:t>de</w:t>
      </w:r>
      <w:r w:rsidR="00F373A3" w:rsidRPr="00181FCD">
        <w:t xml:space="preserve"> </w:t>
      </w:r>
      <w:r w:rsidR="001937F4" w:rsidRPr="00181FCD">
        <w:t>cuestiones</w:t>
      </w:r>
    </w:p>
    <w:p w:rsidR="001937F4" w:rsidRPr="00181FCD" w:rsidRDefault="001937F4" w:rsidP="00347B20">
      <w:pPr>
        <w:pStyle w:val="SingleTxtG"/>
        <w:suppressAutoHyphens/>
      </w:pPr>
      <w:r w:rsidRPr="00181FCD">
        <w:t>230.</w:t>
      </w:r>
      <w:r w:rsidRPr="00181FCD">
        <w:tab/>
        <w:t>En</w:t>
      </w:r>
      <w:r w:rsidR="00F373A3" w:rsidRPr="00181FCD">
        <w:t xml:space="preserve"> </w:t>
      </w:r>
      <w:r w:rsidRPr="00181FCD">
        <w:t>la</w:t>
      </w:r>
      <w:r w:rsidR="00F373A3" w:rsidRPr="00181FCD">
        <w:t xml:space="preserve"> </w:t>
      </w:r>
      <w:r w:rsidRPr="00181FCD">
        <w:t>legislación</w:t>
      </w:r>
      <w:r w:rsidR="00F373A3" w:rsidRPr="00181FCD">
        <w:t xml:space="preserve"> </w:t>
      </w:r>
      <w:r w:rsidRPr="00181FCD">
        <w:t>búlgara</w:t>
      </w:r>
      <w:r w:rsidR="00F373A3" w:rsidRPr="00181FCD">
        <w:t xml:space="preserve"> </w:t>
      </w:r>
      <w:r w:rsidRPr="00181FCD">
        <w:t>sobre</w:t>
      </w:r>
      <w:r w:rsidR="00F373A3" w:rsidRPr="00181FCD">
        <w:t xml:space="preserve"> </w:t>
      </w:r>
      <w:r w:rsidRPr="00181FCD">
        <w:t>la</w:t>
      </w:r>
      <w:r w:rsidR="00F373A3" w:rsidRPr="00181FCD">
        <w:t xml:space="preserve"> </w:t>
      </w:r>
      <w:r w:rsidRPr="00181FCD">
        <w:t>ejecución</w:t>
      </w:r>
      <w:r w:rsidR="00F373A3" w:rsidRPr="00181FCD">
        <w:t xml:space="preserve"> </w:t>
      </w:r>
      <w:r w:rsidRPr="00181FCD">
        <w:t>de</w:t>
      </w:r>
      <w:r w:rsidR="00F373A3" w:rsidRPr="00181FCD">
        <w:t xml:space="preserve"> </w:t>
      </w:r>
      <w:r w:rsidRPr="00181FCD">
        <w:t>penas</w:t>
      </w:r>
      <w:r w:rsidR="00F373A3" w:rsidRPr="00181FCD">
        <w:t xml:space="preserve"> </w:t>
      </w:r>
      <w:r w:rsidRPr="00181FCD">
        <w:t>no</w:t>
      </w:r>
      <w:r w:rsidR="00F373A3" w:rsidRPr="00181FCD">
        <w:t xml:space="preserve"> </w:t>
      </w:r>
      <w:r w:rsidRPr="00181FCD">
        <w:t>existe</w:t>
      </w:r>
      <w:r w:rsidR="00F373A3" w:rsidRPr="00181FCD">
        <w:t xml:space="preserve"> </w:t>
      </w:r>
      <w:r w:rsidRPr="00181FCD">
        <w:t>el</w:t>
      </w:r>
      <w:r w:rsidR="00F373A3" w:rsidRPr="00181FCD">
        <w:t xml:space="preserve"> </w:t>
      </w:r>
      <w:r w:rsidRPr="00181FCD">
        <w:t>castigo</w:t>
      </w:r>
      <w:r w:rsidR="00F373A3" w:rsidRPr="00181FCD">
        <w:t xml:space="preserve"> </w:t>
      </w:r>
      <w:r w:rsidRPr="00181FCD">
        <w:t>corporal</w:t>
      </w:r>
      <w:r w:rsidR="00F373A3" w:rsidRPr="00181FCD">
        <w:t xml:space="preserve"> </w:t>
      </w:r>
      <w:r w:rsidRPr="00181FCD">
        <w:t>como</w:t>
      </w:r>
      <w:r w:rsidR="00F373A3" w:rsidRPr="00181FCD">
        <w:t xml:space="preserve"> </w:t>
      </w:r>
      <w:r w:rsidRPr="00181FCD">
        <w:t>medida</w:t>
      </w:r>
      <w:r w:rsidR="00F373A3" w:rsidRPr="00181FCD">
        <w:t xml:space="preserve"> </w:t>
      </w:r>
      <w:r w:rsidRPr="00181FCD">
        <w:t>disciplinaria,</w:t>
      </w:r>
      <w:r w:rsidR="00F373A3" w:rsidRPr="00181FCD">
        <w:t xml:space="preserve"> </w:t>
      </w:r>
      <w:r w:rsidRPr="00181FCD">
        <w:t>ni</w:t>
      </w:r>
      <w:r w:rsidR="00F373A3" w:rsidRPr="00181FCD">
        <w:t xml:space="preserve"> </w:t>
      </w:r>
      <w:r w:rsidRPr="00181FCD">
        <w:t>se</w:t>
      </w:r>
      <w:r w:rsidR="00F373A3" w:rsidRPr="00181FCD">
        <w:t xml:space="preserve"> </w:t>
      </w:r>
      <w:r w:rsidRPr="00181FCD">
        <w:t>aplica</w:t>
      </w:r>
      <w:r w:rsidR="00F373A3" w:rsidRPr="00181FCD">
        <w:t xml:space="preserve"> </w:t>
      </w:r>
      <w:r w:rsidRPr="00181FCD">
        <w:t>en</w:t>
      </w:r>
      <w:r w:rsidR="00F373A3" w:rsidRPr="00181FCD">
        <w:t xml:space="preserve"> </w:t>
      </w:r>
      <w:r w:rsidRPr="00181FCD">
        <w:t>los</w:t>
      </w:r>
      <w:r w:rsidR="00F373A3" w:rsidRPr="00181FCD">
        <w:t xml:space="preserve"> </w:t>
      </w:r>
      <w:r w:rsidRPr="00181FCD">
        <w:t>centros</w:t>
      </w:r>
      <w:r w:rsidR="00F373A3" w:rsidRPr="00181FCD">
        <w:t xml:space="preserve"> </w:t>
      </w:r>
      <w:r w:rsidRPr="00181FCD">
        <w:t>penitenciarios</w:t>
      </w:r>
      <w:r w:rsidR="00F373A3" w:rsidRPr="00181FCD">
        <w:t xml:space="preserve"> </w:t>
      </w:r>
      <w:r w:rsidRPr="00181FCD">
        <w:t>del</w:t>
      </w:r>
      <w:r w:rsidR="00F373A3" w:rsidRPr="00181FCD">
        <w:t xml:space="preserve"> </w:t>
      </w:r>
      <w:r w:rsidRPr="00181FCD">
        <w:t>país.</w:t>
      </w:r>
    </w:p>
    <w:p w:rsidR="001937F4" w:rsidRPr="00181FCD" w:rsidRDefault="001937F4" w:rsidP="00347B20">
      <w:pPr>
        <w:pStyle w:val="SingleTxtG"/>
        <w:suppressAutoHyphens/>
      </w:pPr>
      <w:r w:rsidRPr="00181FCD">
        <w:t>231.</w:t>
      </w:r>
      <w:r w:rsidRPr="00181FCD">
        <w:tab/>
        <w:t>La</w:t>
      </w:r>
      <w:r w:rsidR="00F373A3" w:rsidRPr="00181FCD">
        <w:t xml:space="preserve"> </w:t>
      </w:r>
      <w:r w:rsidRPr="00181FCD">
        <w:t>reforma</w:t>
      </w:r>
      <w:r w:rsidR="00F373A3" w:rsidRPr="00181FCD">
        <w:t xml:space="preserve"> </w:t>
      </w:r>
      <w:r w:rsidRPr="00181FCD">
        <w:t>del</w:t>
      </w:r>
      <w:r w:rsidR="00F373A3" w:rsidRPr="00181FCD">
        <w:t xml:space="preserve"> </w:t>
      </w:r>
      <w:r w:rsidRPr="00181FCD">
        <w:t>sistema</w:t>
      </w:r>
      <w:r w:rsidR="00F373A3" w:rsidRPr="00181FCD">
        <w:t xml:space="preserve"> </w:t>
      </w:r>
      <w:r w:rsidRPr="00181FCD">
        <w:t>penitenciario</w:t>
      </w:r>
      <w:r w:rsidR="00F373A3" w:rsidRPr="00181FCD">
        <w:t xml:space="preserve"> </w:t>
      </w:r>
      <w:r w:rsidRPr="00181FCD">
        <w:t>forma</w:t>
      </w:r>
      <w:r w:rsidR="00F373A3" w:rsidRPr="00181FCD">
        <w:t xml:space="preserve"> </w:t>
      </w:r>
      <w:r w:rsidRPr="00181FCD">
        <w:t>parte</w:t>
      </w:r>
      <w:r w:rsidR="00F373A3" w:rsidRPr="00181FCD">
        <w:t xml:space="preserve"> </w:t>
      </w:r>
      <w:r w:rsidRPr="00181FCD">
        <w:t>de</w:t>
      </w:r>
      <w:r w:rsidR="00F373A3" w:rsidRPr="00181FCD">
        <w:t xml:space="preserve"> </w:t>
      </w:r>
      <w:r w:rsidRPr="00181FCD">
        <w:t>un</w:t>
      </w:r>
      <w:r w:rsidR="00F373A3" w:rsidRPr="00181FCD">
        <w:t xml:space="preserve"> </w:t>
      </w:r>
      <w:r w:rsidRPr="00181FCD">
        <w:t>proceso</w:t>
      </w:r>
      <w:r w:rsidR="00F373A3" w:rsidRPr="00181FCD">
        <w:t xml:space="preserve"> </w:t>
      </w:r>
      <w:r w:rsidRPr="00181FCD">
        <w:t>acelerado</w:t>
      </w:r>
      <w:r w:rsidR="00F373A3" w:rsidRPr="00181FCD">
        <w:t xml:space="preserve"> </w:t>
      </w:r>
      <w:r w:rsidRPr="00181FCD">
        <w:t>de</w:t>
      </w:r>
      <w:r w:rsidR="00F373A3" w:rsidRPr="00181FCD">
        <w:t xml:space="preserve"> </w:t>
      </w:r>
      <w:r w:rsidRPr="00181FCD">
        <w:t>reforma</w:t>
      </w:r>
      <w:r w:rsidR="00F373A3" w:rsidRPr="00181FCD">
        <w:t xml:space="preserve"> </w:t>
      </w:r>
      <w:r w:rsidRPr="00181FCD">
        <w:t>judicial</w:t>
      </w:r>
      <w:r w:rsidR="00F373A3" w:rsidRPr="00181FCD">
        <w:t xml:space="preserve"> </w:t>
      </w:r>
      <w:r w:rsidRPr="00181FCD">
        <w:t>y</w:t>
      </w:r>
      <w:r w:rsidR="00F373A3" w:rsidRPr="00181FCD">
        <w:t xml:space="preserve"> </w:t>
      </w:r>
      <w:r w:rsidRPr="00181FCD">
        <w:t>de</w:t>
      </w:r>
      <w:r w:rsidR="00F373A3" w:rsidRPr="00181FCD">
        <w:t xml:space="preserve"> </w:t>
      </w:r>
      <w:r w:rsidRPr="00181FCD">
        <w:t>lucha</w:t>
      </w:r>
      <w:r w:rsidR="00F373A3" w:rsidRPr="00181FCD">
        <w:t xml:space="preserve"> </w:t>
      </w:r>
      <w:r w:rsidRPr="00181FCD">
        <w:t>eficaz</w:t>
      </w:r>
      <w:r w:rsidR="00F373A3" w:rsidRPr="00181FCD">
        <w:t xml:space="preserve"> </w:t>
      </w:r>
      <w:r w:rsidRPr="00181FCD">
        <w:t>contra</w:t>
      </w:r>
      <w:r w:rsidR="00F373A3" w:rsidRPr="00181FCD">
        <w:t xml:space="preserve"> </w:t>
      </w:r>
      <w:r w:rsidRPr="00181FCD">
        <w:t>la</w:t>
      </w:r>
      <w:r w:rsidR="00F373A3" w:rsidRPr="00181FCD">
        <w:t xml:space="preserve"> </w:t>
      </w:r>
      <w:r w:rsidRPr="00181FCD">
        <w:t>delincuencia.</w:t>
      </w:r>
      <w:r w:rsidR="00F373A3" w:rsidRPr="00181FCD">
        <w:t xml:space="preserve"> </w:t>
      </w:r>
      <w:r w:rsidRPr="00181FCD">
        <w:t>En</w:t>
      </w:r>
      <w:r w:rsidR="00F373A3" w:rsidRPr="00181FCD">
        <w:t xml:space="preserve"> </w:t>
      </w:r>
      <w:r w:rsidRPr="00181FCD">
        <w:t>líneas</w:t>
      </w:r>
      <w:r w:rsidR="00F373A3" w:rsidRPr="00181FCD">
        <w:t xml:space="preserve"> </w:t>
      </w:r>
      <w:r w:rsidRPr="00181FCD">
        <w:t>generales,</w:t>
      </w:r>
      <w:r w:rsidR="00F373A3" w:rsidRPr="00181FCD">
        <w:t xml:space="preserve"> </w:t>
      </w:r>
      <w:r w:rsidRPr="00181FCD">
        <w:t>ese</w:t>
      </w:r>
      <w:r w:rsidR="00F373A3" w:rsidRPr="00181FCD">
        <w:t xml:space="preserve"> </w:t>
      </w:r>
      <w:r w:rsidRPr="00181FCD">
        <w:t>proceso</w:t>
      </w:r>
      <w:r w:rsidR="00F373A3" w:rsidRPr="00181FCD">
        <w:t xml:space="preserve"> </w:t>
      </w:r>
      <w:r w:rsidRPr="00181FCD">
        <w:t>de</w:t>
      </w:r>
      <w:r w:rsidR="00F373A3" w:rsidRPr="00181FCD">
        <w:t xml:space="preserve"> </w:t>
      </w:r>
      <w:r w:rsidRPr="00181FCD">
        <w:t>reforma</w:t>
      </w:r>
      <w:r w:rsidR="00F373A3" w:rsidRPr="00181FCD">
        <w:t xml:space="preserve"> </w:t>
      </w:r>
      <w:r w:rsidRPr="00181FCD">
        <w:t>es</w:t>
      </w:r>
      <w:r w:rsidR="00F373A3" w:rsidRPr="00181FCD">
        <w:t xml:space="preserve"> </w:t>
      </w:r>
      <w:r w:rsidRPr="00181FCD">
        <w:t>prolongado</w:t>
      </w:r>
      <w:r w:rsidR="00F373A3" w:rsidRPr="00181FCD">
        <w:t xml:space="preserve"> </w:t>
      </w:r>
      <w:r w:rsidRPr="00181FCD">
        <w:t>y</w:t>
      </w:r>
      <w:r w:rsidR="00F373A3" w:rsidRPr="00181FCD">
        <w:t xml:space="preserve"> </w:t>
      </w:r>
      <w:r w:rsidRPr="00181FCD">
        <w:t>difícil,</w:t>
      </w:r>
      <w:r w:rsidR="00F373A3" w:rsidRPr="00181FCD">
        <w:t xml:space="preserve"> </w:t>
      </w:r>
      <w:r w:rsidRPr="00181FCD">
        <w:t>debido</w:t>
      </w:r>
      <w:r w:rsidR="00F373A3" w:rsidRPr="00181FCD">
        <w:t xml:space="preserve"> </w:t>
      </w:r>
      <w:r w:rsidRPr="00181FCD">
        <w:t>a</w:t>
      </w:r>
      <w:r w:rsidR="00F373A3" w:rsidRPr="00181FCD">
        <w:t xml:space="preserve"> </w:t>
      </w:r>
      <w:r w:rsidRPr="00181FCD">
        <w:t>décadas</w:t>
      </w:r>
      <w:r w:rsidR="00F373A3" w:rsidRPr="00181FCD">
        <w:t xml:space="preserve"> </w:t>
      </w:r>
      <w:r w:rsidRPr="00181FCD">
        <w:t>de</w:t>
      </w:r>
      <w:r w:rsidR="00F373A3" w:rsidRPr="00181FCD">
        <w:t xml:space="preserve"> </w:t>
      </w:r>
      <w:r w:rsidRPr="00181FCD">
        <w:t>acumulación</w:t>
      </w:r>
      <w:r w:rsidR="00F373A3" w:rsidRPr="00181FCD">
        <w:t xml:space="preserve"> </w:t>
      </w:r>
      <w:r w:rsidRPr="00181FCD">
        <w:t>de</w:t>
      </w:r>
      <w:r w:rsidR="00F373A3" w:rsidRPr="00181FCD">
        <w:t xml:space="preserve"> </w:t>
      </w:r>
      <w:r w:rsidRPr="00181FCD">
        <w:t>problemas</w:t>
      </w:r>
      <w:r w:rsidR="00F373A3" w:rsidRPr="00181FCD">
        <w:t xml:space="preserve"> </w:t>
      </w:r>
      <w:r w:rsidRPr="00181FCD">
        <w:t>no</w:t>
      </w:r>
      <w:r w:rsidR="00F373A3" w:rsidRPr="00181FCD">
        <w:t xml:space="preserve"> </w:t>
      </w:r>
      <w:r w:rsidRPr="00181FCD">
        <w:t>resueltos</w:t>
      </w:r>
      <w:r w:rsidR="00F373A3" w:rsidRPr="00181FCD">
        <w:t xml:space="preserve"> </w:t>
      </w:r>
      <w:r w:rsidRPr="00181FCD">
        <w:t>y</w:t>
      </w:r>
      <w:r w:rsidR="00F373A3" w:rsidRPr="00181FCD">
        <w:t xml:space="preserve"> </w:t>
      </w:r>
      <w:r w:rsidRPr="00181FCD">
        <w:t>a</w:t>
      </w:r>
      <w:r w:rsidR="00F373A3" w:rsidRPr="00181FCD">
        <w:t xml:space="preserve"> </w:t>
      </w:r>
      <w:r w:rsidRPr="00181FCD">
        <w:t>la</w:t>
      </w:r>
      <w:r w:rsidR="00F373A3" w:rsidRPr="00181FCD">
        <w:t xml:space="preserve"> </w:t>
      </w:r>
      <w:r w:rsidRPr="00181FCD">
        <w:t>impopularidad</w:t>
      </w:r>
      <w:r w:rsidR="00F373A3" w:rsidRPr="00181FCD">
        <w:t xml:space="preserve"> </w:t>
      </w:r>
      <w:r w:rsidRPr="00181FCD">
        <w:t>entre</w:t>
      </w:r>
      <w:r w:rsidR="00F373A3" w:rsidRPr="00181FCD">
        <w:t xml:space="preserve"> </w:t>
      </w:r>
      <w:r w:rsidRPr="00181FCD">
        <w:t>la</w:t>
      </w:r>
      <w:r w:rsidR="00F373A3" w:rsidRPr="00181FCD">
        <w:t xml:space="preserve"> </w:t>
      </w:r>
      <w:r w:rsidRPr="00181FCD">
        <w:t>población</w:t>
      </w:r>
      <w:r w:rsidR="00F373A3" w:rsidRPr="00181FCD">
        <w:t xml:space="preserve"> </w:t>
      </w:r>
      <w:r w:rsidRPr="00181FCD">
        <w:t>de</w:t>
      </w:r>
      <w:r w:rsidR="00F373A3" w:rsidRPr="00181FCD">
        <w:t xml:space="preserve"> </w:t>
      </w:r>
      <w:r w:rsidRPr="00181FCD">
        <w:t>las</w:t>
      </w:r>
      <w:r w:rsidR="00F373A3" w:rsidRPr="00181FCD">
        <w:t xml:space="preserve"> </w:t>
      </w:r>
      <w:r w:rsidRPr="00181FCD">
        <w:t>medidas</w:t>
      </w:r>
      <w:r w:rsidR="00F373A3" w:rsidRPr="00181FCD">
        <w:t xml:space="preserve"> </w:t>
      </w:r>
      <w:r w:rsidRPr="00181FCD">
        <w:t>destinadas</w:t>
      </w:r>
      <w:r w:rsidR="00F373A3" w:rsidRPr="00181FCD">
        <w:t xml:space="preserve"> </w:t>
      </w:r>
      <w:r w:rsidRPr="00181FCD">
        <w:t>a</w:t>
      </w:r>
      <w:r w:rsidR="00F373A3" w:rsidRPr="00181FCD">
        <w:t xml:space="preserve"> </w:t>
      </w:r>
      <w:r w:rsidRPr="00181FCD">
        <w:t>mejorar</w:t>
      </w:r>
      <w:r w:rsidR="00F373A3" w:rsidRPr="00181FCD">
        <w:t xml:space="preserve"> </w:t>
      </w:r>
      <w:r w:rsidRPr="00181FCD">
        <w:t>las</w:t>
      </w:r>
      <w:r w:rsidR="00F373A3" w:rsidRPr="00181FCD">
        <w:t xml:space="preserve"> </w:t>
      </w:r>
      <w:r w:rsidRPr="00181FCD">
        <w:t>condiciones</w:t>
      </w:r>
      <w:r w:rsidR="00F373A3" w:rsidRPr="00181FCD">
        <w:t xml:space="preserve"> </w:t>
      </w:r>
      <w:r w:rsidRPr="00181FCD">
        <w:t>materiales</w:t>
      </w:r>
      <w:r w:rsidR="00F373A3" w:rsidRPr="00181FCD">
        <w:t xml:space="preserve"> </w:t>
      </w:r>
      <w:r w:rsidRPr="00181FCD">
        <w:t>de</w:t>
      </w:r>
      <w:r w:rsidR="00F373A3" w:rsidRPr="00181FCD">
        <w:t xml:space="preserve"> </w:t>
      </w:r>
      <w:r w:rsidRPr="00181FCD">
        <w:t>vida</w:t>
      </w:r>
      <w:r w:rsidR="00F373A3" w:rsidRPr="00181FCD">
        <w:t xml:space="preserve"> </w:t>
      </w:r>
      <w:r w:rsidRPr="00181FCD">
        <w:t>en</w:t>
      </w:r>
      <w:r w:rsidR="00F373A3" w:rsidRPr="00181FCD">
        <w:t xml:space="preserve"> </w:t>
      </w:r>
      <w:r w:rsidRPr="00181FCD">
        <w:t>las</w:t>
      </w:r>
      <w:r w:rsidR="00F373A3" w:rsidRPr="00181FCD">
        <w:t xml:space="preserve"> </w:t>
      </w:r>
      <w:r w:rsidRPr="00181FCD">
        <w:t>cárceles</w:t>
      </w:r>
      <w:r w:rsidR="00F373A3" w:rsidRPr="00181FCD">
        <w:t xml:space="preserve"> </w:t>
      </w:r>
      <w:r w:rsidRPr="00181FCD">
        <w:t>para</w:t>
      </w:r>
      <w:r w:rsidR="00F373A3" w:rsidRPr="00181FCD">
        <w:t xml:space="preserve"> </w:t>
      </w:r>
      <w:r w:rsidRPr="00181FCD">
        <w:t>los</w:t>
      </w:r>
      <w:r w:rsidR="00F373A3" w:rsidRPr="00181FCD">
        <w:t xml:space="preserve"> </w:t>
      </w:r>
      <w:r w:rsidRPr="00181FCD">
        <w:t>autores</w:t>
      </w:r>
      <w:r w:rsidR="00F373A3" w:rsidRPr="00181FCD">
        <w:t xml:space="preserve"> </w:t>
      </w:r>
      <w:r w:rsidRPr="00181FCD">
        <w:t>de</w:t>
      </w:r>
      <w:r w:rsidR="00F373A3" w:rsidRPr="00181FCD">
        <w:t xml:space="preserve"> </w:t>
      </w:r>
      <w:r w:rsidRPr="00181FCD">
        <w:t>delitos.</w:t>
      </w:r>
      <w:r w:rsidR="00F373A3" w:rsidRPr="00181FCD">
        <w:t xml:space="preserve"> </w:t>
      </w:r>
    </w:p>
    <w:p w:rsidR="001937F4" w:rsidRPr="00181FCD" w:rsidRDefault="001937F4" w:rsidP="00347B20">
      <w:pPr>
        <w:pStyle w:val="SingleTxtG"/>
        <w:suppressAutoHyphens/>
      </w:pPr>
      <w:r w:rsidRPr="00181FCD">
        <w:t>232.</w:t>
      </w:r>
      <w:r w:rsidRPr="00181FCD">
        <w:tab/>
        <w:t>No</w:t>
      </w:r>
      <w:r w:rsidR="00F373A3" w:rsidRPr="00181FCD">
        <w:t xml:space="preserve"> </w:t>
      </w:r>
      <w:r w:rsidRPr="00181FCD">
        <w:t>obstante,</w:t>
      </w:r>
      <w:r w:rsidR="00F373A3" w:rsidRPr="00181FCD">
        <w:t xml:space="preserve"> </w:t>
      </w:r>
      <w:r w:rsidRPr="00181FCD">
        <w:t>en</w:t>
      </w:r>
      <w:r w:rsidR="00F373A3" w:rsidRPr="00181FCD">
        <w:t xml:space="preserve"> </w:t>
      </w:r>
      <w:r w:rsidRPr="00181FCD">
        <w:t>los</w:t>
      </w:r>
      <w:r w:rsidR="00F373A3" w:rsidRPr="00181FCD">
        <w:t xml:space="preserve"> </w:t>
      </w:r>
      <w:r w:rsidRPr="00181FCD">
        <w:t>últimos</w:t>
      </w:r>
      <w:r w:rsidR="00F373A3" w:rsidRPr="00181FCD">
        <w:t xml:space="preserve"> </w:t>
      </w:r>
      <w:r w:rsidRPr="00181FCD">
        <w:t>años</w:t>
      </w:r>
      <w:r w:rsidR="00F373A3" w:rsidRPr="00181FCD">
        <w:t xml:space="preserve"> </w:t>
      </w:r>
      <w:r w:rsidRPr="00181FCD">
        <w:t>Bulgaria</w:t>
      </w:r>
      <w:r w:rsidR="00F373A3" w:rsidRPr="00181FCD">
        <w:t xml:space="preserve"> </w:t>
      </w:r>
      <w:r w:rsidRPr="00181FCD">
        <w:t>ha</w:t>
      </w:r>
      <w:r w:rsidR="00F373A3" w:rsidRPr="00181FCD">
        <w:t xml:space="preserve"> </w:t>
      </w:r>
      <w:r w:rsidRPr="00181FCD">
        <w:t>logrado</w:t>
      </w:r>
      <w:r w:rsidR="00F373A3" w:rsidRPr="00181FCD">
        <w:t xml:space="preserve"> </w:t>
      </w:r>
      <w:r w:rsidRPr="00181FCD">
        <w:t>avances</w:t>
      </w:r>
      <w:r w:rsidR="00F373A3" w:rsidRPr="00181FCD">
        <w:t xml:space="preserve"> </w:t>
      </w:r>
      <w:r w:rsidRPr="00181FCD">
        <w:t>significativos</w:t>
      </w:r>
      <w:r w:rsidR="00F373A3" w:rsidRPr="00181FCD">
        <w:t xml:space="preserve"> </w:t>
      </w:r>
      <w:r w:rsidRPr="00181FCD">
        <w:t>en</w:t>
      </w:r>
      <w:r w:rsidR="00F373A3" w:rsidRPr="00181FCD">
        <w:t xml:space="preserve"> </w:t>
      </w:r>
      <w:r w:rsidRPr="00181FCD">
        <w:t>el</w:t>
      </w:r>
      <w:r w:rsidR="00F373A3" w:rsidRPr="00181FCD">
        <w:t xml:space="preserve"> </w:t>
      </w:r>
      <w:r w:rsidRPr="00181FCD">
        <w:t>avance</w:t>
      </w:r>
      <w:r w:rsidR="00F373A3" w:rsidRPr="00181FCD">
        <w:t xml:space="preserve"> </w:t>
      </w:r>
      <w:r w:rsidRPr="00181FCD">
        <w:t>y</w:t>
      </w:r>
      <w:r w:rsidR="00F373A3" w:rsidRPr="00181FCD">
        <w:t xml:space="preserve"> </w:t>
      </w:r>
      <w:r w:rsidRPr="00181FCD">
        <w:t>la</w:t>
      </w:r>
      <w:r w:rsidR="00F373A3" w:rsidRPr="00181FCD">
        <w:t xml:space="preserve"> </w:t>
      </w:r>
      <w:r w:rsidRPr="00181FCD">
        <w:t>mejora</w:t>
      </w:r>
      <w:r w:rsidR="00F373A3" w:rsidRPr="00181FCD">
        <w:t xml:space="preserve"> </w:t>
      </w:r>
      <w:r w:rsidRPr="00181FCD">
        <w:t>de</w:t>
      </w:r>
      <w:r w:rsidR="00F373A3" w:rsidRPr="00181FCD">
        <w:t xml:space="preserve"> </w:t>
      </w:r>
      <w:r w:rsidRPr="00181FCD">
        <w:t>la</w:t>
      </w:r>
      <w:r w:rsidR="00F373A3" w:rsidRPr="00181FCD">
        <w:t xml:space="preserve"> </w:t>
      </w:r>
      <w:r w:rsidRPr="00181FCD">
        <w:t>ejecución</w:t>
      </w:r>
      <w:r w:rsidR="00F373A3" w:rsidRPr="00181FCD">
        <w:t xml:space="preserve"> </w:t>
      </w:r>
      <w:r w:rsidRPr="00181FCD">
        <w:t>de</w:t>
      </w:r>
      <w:r w:rsidR="00F373A3" w:rsidRPr="00181FCD">
        <w:t xml:space="preserve"> </w:t>
      </w:r>
      <w:r w:rsidRPr="00181FCD">
        <w:t>las</w:t>
      </w:r>
      <w:r w:rsidR="00F373A3" w:rsidRPr="00181FCD">
        <w:t xml:space="preserve"> </w:t>
      </w:r>
      <w:r w:rsidRPr="00181FCD">
        <w:t>penas.</w:t>
      </w:r>
    </w:p>
    <w:p w:rsidR="001937F4" w:rsidRPr="00181FCD" w:rsidRDefault="002C541C" w:rsidP="002C541C">
      <w:pPr>
        <w:pStyle w:val="H23G"/>
      </w:pPr>
      <w:r w:rsidRPr="00181FCD">
        <w:tab/>
      </w:r>
      <w:r w:rsidRPr="00181FCD">
        <w:tab/>
      </w:r>
      <w:r w:rsidR="001937F4" w:rsidRPr="00181FCD">
        <w:t>Respuesta</w:t>
      </w:r>
      <w:r w:rsidR="00F373A3" w:rsidRPr="00181FCD">
        <w:t xml:space="preserve"> </w:t>
      </w:r>
      <w:r w:rsidR="001937F4" w:rsidRPr="00181FCD">
        <w:t>a</w:t>
      </w:r>
      <w:r w:rsidR="00F373A3" w:rsidRPr="00181FCD">
        <w:t xml:space="preserve"> </w:t>
      </w:r>
      <w:r w:rsidR="001937F4" w:rsidRPr="00181FCD">
        <w:t>las</w:t>
      </w:r>
      <w:r w:rsidR="00F373A3" w:rsidRPr="00181FCD">
        <w:t xml:space="preserve"> </w:t>
      </w:r>
      <w:r w:rsidR="001937F4" w:rsidRPr="00181FCD">
        <w:t>cuestiones</w:t>
      </w:r>
      <w:r w:rsidR="00F373A3" w:rsidRPr="00181FCD">
        <w:t xml:space="preserve"> </w:t>
      </w:r>
      <w:r w:rsidR="001937F4" w:rsidRPr="00181FCD">
        <w:t>planteadas</w:t>
      </w:r>
      <w:r w:rsidR="00F373A3" w:rsidRPr="00181FCD">
        <w:t xml:space="preserve"> </w:t>
      </w:r>
      <w:r w:rsidR="001937F4" w:rsidRPr="00181FCD">
        <w:t>en</w:t>
      </w:r>
      <w:r w:rsidR="00F373A3" w:rsidRPr="00181FCD">
        <w:t xml:space="preserve"> </w:t>
      </w:r>
      <w:r w:rsidR="001937F4" w:rsidRPr="00181FCD">
        <w:t>el</w:t>
      </w:r>
      <w:r w:rsidR="00F373A3" w:rsidRPr="00181FCD">
        <w:t xml:space="preserve"> </w:t>
      </w:r>
      <w:r w:rsidR="001937F4" w:rsidRPr="00181FCD">
        <w:t>párrafo</w:t>
      </w:r>
      <w:r w:rsidR="00F373A3" w:rsidRPr="00181FCD">
        <w:t xml:space="preserve"> </w:t>
      </w:r>
      <w:r w:rsidR="001937F4" w:rsidRPr="00181FCD">
        <w:t>28</w:t>
      </w:r>
      <w:r w:rsidR="00F373A3" w:rsidRPr="00181FCD">
        <w:t xml:space="preserve"> </w:t>
      </w:r>
      <w:r w:rsidR="001937F4" w:rsidRPr="00181FCD">
        <w:t>de</w:t>
      </w:r>
      <w:r w:rsidR="00F373A3" w:rsidRPr="00181FCD">
        <w:t xml:space="preserve"> </w:t>
      </w:r>
      <w:r w:rsidR="001937F4" w:rsidRPr="00181FCD">
        <w:t>la</w:t>
      </w:r>
      <w:r w:rsidR="00F373A3" w:rsidRPr="00181FCD">
        <w:t xml:space="preserve"> </w:t>
      </w:r>
      <w:r w:rsidR="001937F4" w:rsidRPr="00181FCD">
        <w:t>lista</w:t>
      </w:r>
      <w:r w:rsidR="00F373A3" w:rsidRPr="00181FCD">
        <w:t xml:space="preserve"> </w:t>
      </w:r>
      <w:r w:rsidR="001937F4" w:rsidRPr="00181FCD">
        <w:t>de</w:t>
      </w:r>
      <w:r w:rsidR="00F373A3" w:rsidRPr="00181FCD">
        <w:t xml:space="preserve"> </w:t>
      </w:r>
      <w:r w:rsidR="001937F4" w:rsidRPr="00181FCD">
        <w:t>cuestiones</w:t>
      </w:r>
    </w:p>
    <w:p w:rsidR="001937F4" w:rsidRPr="00181FCD" w:rsidRDefault="001937F4" w:rsidP="00347B20">
      <w:pPr>
        <w:pStyle w:val="SingleTxtG"/>
        <w:suppressAutoHyphens/>
      </w:pPr>
      <w:r w:rsidRPr="00181FCD">
        <w:t>233.</w:t>
      </w:r>
      <w:r w:rsidRPr="00181FCD">
        <w:tab/>
        <w:t>El</w:t>
      </w:r>
      <w:r w:rsidR="00F373A3" w:rsidRPr="00181FCD">
        <w:t xml:space="preserve"> </w:t>
      </w:r>
      <w:r w:rsidRPr="00181FCD">
        <w:t>trabajo</w:t>
      </w:r>
      <w:r w:rsidR="00F373A3" w:rsidRPr="00181FCD">
        <w:t xml:space="preserve"> </w:t>
      </w:r>
      <w:r w:rsidRPr="00181FCD">
        <w:t>infantil</w:t>
      </w:r>
      <w:r w:rsidR="00F373A3" w:rsidRPr="00181FCD">
        <w:t xml:space="preserve"> </w:t>
      </w:r>
      <w:r w:rsidRPr="00181FCD">
        <w:t>es</w:t>
      </w:r>
      <w:r w:rsidR="00F373A3" w:rsidRPr="00181FCD">
        <w:t xml:space="preserve"> </w:t>
      </w:r>
      <w:r w:rsidRPr="00181FCD">
        <w:t>un</w:t>
      </w:r>
      <w:r w:rsidR="00F373A3" w:rsidRPr="00181FCD">
        <w:t xml:space="preserve"> </w:t>
      </w:r>
      <w:r w:rsidRPr="00181FCD">
        <w:t>fenómeno</w:t>
      </w:r>
      <w:r w:rsidR="00F373A3" w:rsidRPr="00181FCD">
        <w:t xml:space="preserve"> </w:t>
      </w:r>
      <w:r w:rsidRPr="00181FCD">
        <w:t>sumamente</w:t>
      </w:r>
      <w:r w:rsidR="00F373A3" w:rsidRPr="00181FCD">
        <w:t xml:space="preserve"> </w:t>
      </w:r>
      <w:r w:rsidRPr="00181FCD">
        <w:t>alarmante</w:t>
      </w:r>
      <w:r w:rsidR="00F373A3" w:rsidRPr="00181FCD">
        <w:t xml:space="preserve"> </w:t>
      </w:r>
      <w:r w:rsidRPr="00181FCD">
        <w:t>que</w:t>
      </w:r>
      <w:r w:rsidR="00F373A3" w:rsidRPr="00181FCD">
        <w:t xml:space="preserve"> </w:t>
      </w:r>
      <w:r w:rsidRPr="00181FCD">
        <w:t>priva</w:t>
      </w:r>
      <w:r w:rsidR="00F373A3" w:rsidRPr="00181FCD">
        <w:t xml:space="preserve"> </w:t>
      </w:r>
      <w:r w:rsidRPr="00181FCD">
        <w:t>a</w:t>
      </w:r>
      <w:r w:rsidR="00F373A3" w:rsidRPr="00181FCD">
        <w:t xml:space="preserve"> </w:t>
      </w:r>
      <w:r w:rsidRPr="00181FCD">
        <w:t>los</w:t>
      </w:r>
      <w:r w:rsidR="00F373A3" w:rsidRPr="00181FCD">
        <w:t xml:space="preserve"> </w:t>
      </w:r>
      <w:r w:rsidRPr="00181FCD">
        <w:t>niños</w:t>
      </w:r>
      <w:r w:rsidR="00F373A3" w:rsidRPr="00181FCD">
        <w:t xml:space="preserve"> </w:t>
      </w:r>
      <w:r w:rsidRPr="00181FCD">
        <w:t>de</w:t>
      </w:r>
      <w:r w:rsidR="00F373A3" w:rsidRPr="00181FCD">
        <w:t xml:space="preserve"> </w:t>
      </w:r>
      <w:r w:rsidRPr="00181FCD">
        <w:t>sus</w:t>
      </w:r>
      <w:r w:rsidR="00F373A3" w:rsidRPr="00181FCD">
        <w:t xml:space="preserve"> </w:t>
      </w:r>
      <w:r w:rsidRPr="00181FCD">
        <w:t>derechos</w:t>
      </w:r>
      <w:r w:rsidR="00F373A3" w:rsidRPr="00181FCD">
        <w:t xml:space="preserve"> </w:t>
      </w:r>
      <w:r w:rsidRPr="00181FCD">
        <w:t>fundamentales,</w:t>
      </w:r>
      <w:r w:rsidR="00F373A3" w:rsidRPr="00181FCD">
        <w:t xml:space="preserve"> </w:t>
      </w:r>
      <w:r w:rsidRPr="00181FCD">
        <w:t>como</w:t>
      </w:r>
      <w:r w:rsidR="00F373A3" w:rsidRPr="00181FCD">
        <w:t xml:space="preserve"> </w:t>
      </w:r>
      <w:r w:rsidRPr="00181FCD">
        <w:t>el</w:t>
      </w:r>
      <w:r w:rsidR="00F373A3" w:rsidRPr="00181FCD">
        <w:t xml:space="preserve"> </w:t>
      </w:r>
      <w:r w:rsidRPr="00181FCD">
        <w:t>de</w:t>
      </w:r>
      <w:r w:rsidR="00F373A3" w:rsidRPr="00181FCD">
        <w:t xml:space="preserve"> </w:t>
      </w:r>
      <w:r w:rsidRPr="00181FCD">
        <w:t>crecer</w:t>
      </w:r>
      <w:r w:rsidR="00F373A3" w:rsidRPr="00181FCD">
        <w:t xml:space="preserve"> </w:t>
      </w:r>
      <w:r w:rsidRPr="00181FCD">
        <w:t>en</w:t>
      </w:r>
      <w:r w:rsidR="00F373A3" w:rsidRPr="00181FCD">
        <w:t xml:space="preserve"> </w:t>
      </w:r>
      <w:r w:rsidRPr="00181FCD">
        <w:t>un</w:t>
      </w:r>
      <w:r w:rsidR="00F373A3" w:rsidRPr="00181FCD">
        <w:t xml:space="preserve"> </w:t>
      </w:r>
      <w:r w:rsidRPr="00181FCD">
        <w:t>entorno</w:t>
      </w:r>
      <w:r w:rsidR="00F373A3" w:rsidRPr="00181FCD">
        <w:t xml:space="preserve"> </w:t>
      </w:r>
      <w:r w:rsidRPr="00181FCD">
        <w:t>familiar</w:t>
      </w:r>
      <w:r w:rsidR="00F373A3" w:rsidRPr="00181FCD">
        <w:t xml:space="preserve"> </w:t>
      </w:r>
      <w:r w:rsidRPr="00181FCD">
        <w:t>y</w:t>
      </w:r>
      <w:r w:rsidR="00F373A3" w:rsidRPr="00181FCD">
        <w:t xml:space="preserve"> </w:t>
      </w:r>
      <w:r w:rsidRPr="00181FCD">
        <w:t>tener</w:t>
      </w:r>
      <w:r w:rsidR="00F373A3" w:rsidRPr="00181FCD">
        <w:t xml:space="preserve"> </w:t>
      </w:r>
      <w:r w:rsidRPr="00181FCD">
        <w:t>acceso</w:t>
      </w:r>
      <w:r w:rsidR="00F373A3" w:rsidRPr="00181FCD">
        <w:t xml:space="preserve"> </w:t>
      </w:r>
      <w:r w:rsidRPr="00181FCD">
        <w:t>a</w:t>
      </w:r>
      <w:r w:rsidR="00F373A3" w:rsidRPr="00181FCD">
        <w:t xml:space="preserve"> </w:t>
      </w:r>
      <w:r w:rsidRPr="00181FCD">
        <w:t>una</w:t>
      </w:r>
      <w:r w:rsidR="00F373A3" w:rsidRPr="00181FCD">
        <w:t xml:space="preserve"> </w:t>
      </w:r>
      <w:r w:rsidRPr="00181FCD">
        <w:t>atención</w:t>
      </w:r>
      <w:r w:rsidR="00F373A3" w:rsidRPr="00181FCD">
        <w:t xml:space="preserve"> </w:t>
      </w:r>
      <w:r w:rsidRPr="00181FCD">
        <w:t>y</w:t>
      </w:r>
      <w:r w:rsidR="00F373A3" w:rsidRPr="00181FCD">
        <w:t xml:space="preserve"> </w:t>
      </w:r>
      <w:r w:rsidRPr="00181FCD">
        <w:t>una</w:t>
      </w:r>
      <w:r w:rsidR="00F373A3" w:rsidRPr="00181FCD">
        <w:t xml:space="preserve"> </w:t>
      </w:r>
      <w:r w:rsidRPr="00181FCD">
        <w:t>educación</w:t>
      </w:r>
      <w:r w:rsidR="00F373A3" w:rsidRPr="00181FCD">
        <w:t xml:space="preserve"> </w:t>
      </w:r>
      <w:r w:rsidRPr="00181FCD">
        <w:t>adecuadas.</w:t>
      </w:r>
      <w:r w:rsidR="00F373A3" w:rsidRPr="00181FCD">
        <w:t xml:space="preserve"> </w:t>
      </w:r>
    </w:p>
    <w:p w:rsidR="001937F4" w:rsidRPr="00181FCD" w:rsidRDefault="001937F4" w:rsidP="00347B20">
      <w:pPr>
        <w:pStyle w:val="SingleTxtG"/>
        <w:suppressAutoHyphens/>
      </w:pPr>
      <w:r w:rsidRPr="00181FCD">
        <w:t>234.</w:t>
      </w:r>
      <w:r w:rsidRPr="00181FCD">
        <w:tab/>
        <w:t>La</w:t>
      </w:r>
      <w:r w:rsidR="00F373A3" w:rsidRPr="00181FCD">
        <w:t xml:space="preserve"> </w:t>
      </w:r>
      <w:r w:rsidRPr="00181FCD">
        <w:t>Constitución</w:t>
      </w:r>
      <w:r w:rsidR="00F373A3" w:rsidRPr="00181FCD">
        <w:t xml:space="preserve"> </w:t>
      </w:r>
      <w:r w:rsidRPr="00181FCD">
        <w:t>prohíbe</w:t>
      </w:r>
      <w:r w:rsidR="00F373A3" w:rsidRPr="00181FCD">
        <w:t xml:space="preserve"> </w:t>
      </w:r>
      <w:r w:rsidRPr="00181FCD">
        <w:t>el</w:t>
      </w:r>
      <w:r w:rsidR="00F373A3" w:rsidRPr="00181FCD">
        <w:t xml:space="preserve"> </w:t>
      </w:r>
      <w:r w:rsidRPr="00181FCD">
        <w:t>trabajo</w:t>
      </w:r>
      <w:r w:rsidR="00F373A3" w:rsidRPr="00181FCD">
        <w:t xml:space="preserve"> </w:t>
      </w:r>
      <w:r w:rsidRPr="00181FCD">
        <w:t>forzoso</w:t>
      </w:r>
      <w:r w:rsidR="00F373A3" w:rsidRPr="00181FCD">
        <w:t xml:space="preserve"> </w:t>
      </w:r>
      <w:r w:rsidRPr="00181FCD">
        <w:t>y</w:t>
      </w:r>
      <w:r w:rsidR="00F373A3" w:rsidRPr="00181FCD">
        <w:t xml:space="preserve"> </w:t>
      </w:r>
      <w:r w:rsidRPr="00181FCD">
        <w:t>el</w:t>
      </w:r>
      <w:r w:rsidR="00F373A3" w:rsidRPr="00181FCD">
        <w:t xml:space="preserve"> </w:t>
      </w:r>
      <w:r w:rsidRPr="00181FCD">
        <w:t>Estado</w:t>
      </w:r>
      <w:r w:rsidR="00F373A3" w:rsidRPr="00181FCD">
        <w:t xml:space="preserve"> </w:t>
      </w:r>
      <w:r w:rsidRPr="00181FCD">
        <w:t>ha</w:t>
      </w:r>
      <w:r w:rsidR="00F373A3" w:rsidRPr="00181FCD">
        <w:t xml:space="preserve"> </w:t>
      </w:r>
      <w:r w:rsidRPr="00181FCD">
        <w:t>elaborado</w:t>
      </w:r>
      <w:r w:rsidR="00F373A3" w:rsidRPr="00181FCD">
        <w:t xml:space="preserve"> </w:t>
      </w:r>
      <w:r w:rsidRPr="00181FCD">
        <w:t>un</w:t>
      </w:r>
      <w:r w:rsidR="00F373A3" w:rsidRPr="00181FCD">
        <w:t xml:space="preserve"> </w:t>
      </w:r>
      <w:r w:rsidRPr="00181FCD">
        <w:t>Plan</w:t>
      </w:r>
      <w:r w:rsidR="00F373A3" w:rsidRPr="00181FCD">
        <w:t xml:space="preserve"> </w:t>
      </w:r>
      <w:r w:rsidRPr="00181FCD">
        <w:t>Nacional</w:t>
      </w:r>
      <w:r w:rsidR="00F373A3" w:rsidRPr="00181FCD">
        <w:t xml:space="preserve"> </w:t>
      </w:r>
      <w:r w:rsidRPr="00181FCD">
        <w:t>de</w:t>
      </w:r>
      <w:r w:rsidR="00F373A3" w:rsidRPr="00181FCD">
        <w:t xml:space="preserve"> </w:t>
      </w:r>
      <w:r w:rsidRPr="00181FCD">
        <w:t>Lucha</w:t>
      </w:r>
      <w:r w:rsidR="00F373A3" w:rsidRPr="00181FCD">
        <w:t xml:space="preserve"> </w:t>
      </w:r>
      <w:r w:rsidRPr="00181FCD">
        <w:t>contra</w:t>
      </w:r>
      <w:r w:rsidR="00F373A3" w:rsidRPr="00181FCD">
        <w:t xml:space="preserve"> </w:t>
      </w:r>
      <w:r w:rsidRPr="00181FCD">
        <w:t>las</w:t>
      </w:r>
      <w:r w:rsidR="00F373A3" w:rsidRPr="00181FCD">
        <w:t xml:space="preserve"> </w:t>
      </w:r>
      <w:r w:rsidRPr="00181FCD">
        <w:t>Peores</w:t>
      </w:r>
      <w:r w:rsidR="00F373A3" w:rsidRPr="00181FCD">
        <w:t xml:space="preserve"> </w:t>
      </w:r>
      <w:r w:rsidRPr="00181FCD">
        <w:t>Formas</w:t>
      </w:r>
      <w:r w:rsidR="00F373A3" w:rsidRPr="00181FCD">
        <w:t xml:space="preserve"> </w:t>
      </w:r>
      <w:r w:rsidRPr="00181FCD">
        <w:t>de</w:t>
      </w:r>
      <w:r w:rsidR="00F373A3" w:rsidRPr="00181FCD">
        <w:t xml:space="preserve"> </w:t>
      </w:r>
      <w:r w:rsidRPr="00181FCD">
        <w:t>Trabajo</w:t>
      </w:r>
      <w:r w:rsidR="00F373A3" w:rsidRPr="00181FCD">
        <w:t xml:space="preserve"> </w:t>
      </w:r>
      <w:r w:rsidRPr="00181FCD">
        <w:t>Infantil.</w:t>
      </w:r>
      <w:r w:rsidR="00F373A3" w:rsidRPr="00181FCD">
        <w:t xml:space="preserve"> </w:t>
      </w:r>
      <w:r w:rsidRPr="00181FCD">
        <w:t>El</w:t>
      </w:r>
      <w:r w:rsidR="00F373A3" w:rsidRPr="00181FCD">
        <w:t xml:space="preserve"> </w:t>
      </w:r>
      <w:r w:rsidRPr="00181FCD">
        <w:t>trabajo</w:t>
      </w:r>
      <w:r w:rsidR="00F373A3" w:rsidRPr="00181FCD">
        <w:t xml:space="preserve"> </w:t>
      </w:r>
      <w:r w:rsidRPr="00181FCD">
        <w:t>infantil</w:t>
      </w:r>
      <w:r w:rsidR="00F373A3" w:rsidRPr="00181FCD">
        <w:t xml:space="preserve"> </w:t>
      </w:r>
      <w:r w:rsidRPr="00181FCD">
        <w:t>está</w:t>
      </w:r>
      <w:r w:rsidR="00F373A3" w:rsidRPr="00181FCD">
        <w:t xml:space="preserve"> </w:t>
      </w:r>
      <w:r w:rsidRPr="00181FCD">
        <w:t>permitido</w:t>
      </w:r>
      <w:r w:rsidR="00F373A3" w:rsidRPr="00181FCD">
        <w:t xml:space="preserve"> </w:t>
      </w:r>
      <w:r w:rsidRPr="00181FCD">
        <w:t>solo</w:t>
      </w:r>
      <w:r w:rsidR="00F373A3" w:rsidRPr="00181FCD">
        <w:t xml:space="preserve"> </w:t>
      </w:r>
      <w:r w:rsidRPr="00181FCD">
        <w:t>previa</w:t>
      </w:r>
      <w:r w:rsidR="00F373A3" w:rsidRPr="00181FCD">
        <w:t xml:space="preserve"> </w:t>
      </w:r>
      <w:r w:rsidRPr="00181FCD">
        <w:t>autorización</w:t>
      </w:r>
      <w:r w:rsidR="00F373A3" w:rsidRPr="00181FCD">
        <w:t xml:space="preserve"> </w:t>
      </w:r>
      <w:r w:rsidRPr="00181FCD">
        <w:t>del</w:t>
      </w:r>
      <w:r w:rsidR="00F373A3" w:rsidRPr="00181FCD">
        <w:t xml:space="preserve"> </w:t>
      </w:r>
      <w:r w:rsidRPr="00181FCD">
        <w:t>Órgano</w:t>
      </w:r>
      <w:r w:rsidR="00F373A3" w:rsidRPr="00181FCD">
        <w:t xml:space="preserve"> </w:t>
      </w:r>
      <w:r w:rsidRPr="00181FCD">
        <w:t>Ejecutivo</w:t>
      </w:r>
      <w:r w:rsidR="00F373A3" w:rsidRPr="00181FCD">
        <w:t xml:space="preserve"> </w:t>
      </w:r>
      <w:r w:rsidRPr="00181FCD">
        <w:t>de</w:t>
      </w:r>
      <w:r w:rsidR="00F373A3" w:rsidRPr="00181FCD">
        <w:t xml:space="preserve"> </w:t>
      </w:r>
      <w:r w:rsidRPr="00181FCD">
        <w:t>la</w:t>
      </w:r>
      <w:r w:rsidR="00F373A3" w:rsidRPr="00181FCD">
        <w:t xml:space="preserve"> </w:t>
      </w:r>
      <w:r w:rsidRPr="00181FCD">
        <w:t>Inspección</w:t>
      </w:r>
      <w:r w:rsidR="00F373A3" w:rsidRPr="00181FCD">
        <w:t xml:space="preserve"> </w:t>
      </w:r>
      <w:r w:rsidRPr="00181FCD">
        <w:t>General</w:t>
      </w:r>
      <w:r w:rsidR="00F373A3" w:rsidRPr="00181FCD">
        <w:t xml:space="preserve"> </w:t>
      </w:r>
      <w:r w:rsidRPr="00181FCD">
        <w:t>del</w:t>
      </w:r>
      <w:r w:rsidR="00F373A3" w:rsidRPr="00181FCD">
        <w:t xml:space="preserve"> </w:t>
      </w:r>
      <w:r w:rsidRPr="00181FCD">
        <w:t>Trabajo,</w:t>
      </w:r>
      <w:r w:rsidR="00F373A3" w:rsidRPr="00181FCD">
        <w:t xml:space="preserve"> </w:t>
      </w:r>
      <w:r w:rsidRPr="00181FCD">
        <w:t>que</w:t>
      </w:r>
      <w:r w:rsidR="00F373A3" w:rsidRPr="00181FCD">
        <w:t xml:space="preserve"> </w:t>
      </w:r>
      <w:r w:rsidRPr="00181FCD">
        <w:t>es</w:t>
      </w:r>
      <w:r w:rsidR="00F373A3" w:rsidRPr="00181FCD">
        <w:t xml:space="preserve"> </w:t>
      </w:r>
      <w:r w:rsidRPr="00181FCD">
        <w:t>la</w:t>
      </w:r>
      <w:r w:rsidR="00F373A3" w:rsidRPr="00181FCD">
        <w:t xml:space="preserve"> </w:t>
      </w:r>
      <w:r w:rsidRPr="00181FCD">
        <w:t>autoridad</w:t>
      </w:r>
      <w:r w:rsidR="00F373A3" w:rsidRPr="00181FCD">
        <w:t xml:space="preserve"> </w:t>
      </w:r>
      <w:r w:rsidRPr="00181FCD">
        <w:t>encargada</w:t>
      </w:r>
      <w:r w:rsidR="00F373A3" w:rsidRPr="00181FCD">
        <w:t xml:space="preserve"> </w:t>
      </w:r>
      <w:r w:rsidRPr="00181FCD">
        <w:t>de</w:t>
      </w:r>
      <w:r w:rsidR="00F373A3" w:rsidRPr="00181FCD">
        <w:t xml:space="preserve"> </w:t>
      </w:r>
      <w:r w:rsidRPr="00181FCD">
        <w:t>hacer</w:t>
      </w:r>
      <w:r w:rsidR="00F373A3" w:rsidRPr="00181FCD">
        <w:t xml:space="preserve"> </w:t>
      </w:r>
      <w:r w:rsidRPr="00181FCD">
        <w:t>cumplir</w:t>
      </w:r>
      <w:r w:rsidR="00F373A3" w:rsidRPr="00181FCD">
        <w:t xml:space="preserve"> </w:t>
      </w:r>
      <w:r w:rsidRPr="00181FCD">
        <w:t>la</w:t>
      </w:r>
      <w:r w:rsidR="00F373A3" w:rsidRPr="00181FCD">
        <w:t xml:space="preserve"> </w:t>
      </w:r>
      <w:r w:rsidRPr="00181FCD">
        <w:t>legislación</w:t>
      </w:r>
      <w:r w:rsidR="00F373A3" w:rsidRPr="00181FCD">
        <w:t xml:space="preserve"> </w:t>
      </w:r>
      <w:r w:rsidRPr="00181FCD">
        <w:t>laboral.</w:t>
      </w:r>
    </w:p>
    <w:p w:rsidR="001937F4" w:rsidRPr="00181FCD" w:rsidRDefault="001937F4" w:rsidP="00347B20">
      <w:pPr>
        <w:pStyle w:val="SingleTxtG"/>
        <w:suppressAutoHyphens/>
      </w:pPr>
      <w:r w:rsidRPr="00181FCD">
        <w:t>235.</w:t>
      </w:r>
      <w:r w:rsidRPr="00181FCD">
        <w:tab/>
        <w:t>Los</w:t>
      </w:r>
      <w:r w:rsidR="00F373A3" w:rsidRPr="00181FCD">
        <w:t xml:space="preserve"> </w:t>
      </w:r>
      <w:r w:rsidRPr="00181FCD">
        <w:t>resultados</w:t>
      </w:r>
      <w:r w:rsidR="00F373A3" w:rsidRPr="00181FCD">
        <w:t xml:space="preserve"> </w:t>
      </w:r>
      <w:r w:rsidRPr="00181FCD">
        <w:t>de</w:t>
      </w:r>
      <w:r w:rsidR="00F373A3" w:rsidRPr="00181FCD">
        <w:t xml:space="preserve"> </w:t>
      </w:r>
      <w:r w:rsidRPr="00181FCD">
        <w:t>las</w:t>
      </w:r>
      <w:r w:rsidR="00F373A3" w:rsidRPr="00181FCD">
        <w:t xml:space="preserve"> </w:t>
      </w:r>
      <w:r w:rsidRPr="00181FCD">
        <w:t>inspecciones</w:t>
      </w:r>
      <w:r w:rsidR="00F373A3" w:rsidRPr="00181FCD">
        <w:t xml:space="preserve"> </w:t>
      </w:r>
      <w:r w:rsidRPr="00181FCD">
        <w:t>laborales</w:t>
      </w:r>
      <w:r w:rsidR="00F373A3" w:rsidRPr="00181FCD">
        <w:t xml:space="preserve"> </w:t>
      </w:r>
      <w:r w:rsidRPr="00181FCD">
        <w:t>en</w:t>
      </w:r>
      <w:r w:rsidR="00F373A3" w:rsidRPr="00181FCD">
        <w:t xml:space="preserve"> </w:t>
      </w:r>
      <w:r w:rsidRPr="00181FCD">
        <w:t>los</w:t>
      </w:r>
      <w:r w:rsidR="00F373A3" w:rsidRPr="00181FCD">
        <w:t xml:space="preserve"> </w:t>
      </w:r>
      <w:r w:rsidRPr="00181FCD">
        <w:t>últimos</w:t>
      </w:r>
      <w:r w:rsidR="00F373A3" w:rsidRPr="00181FCD">
        <w:t xml:space="preserve"> </w:t>
      </w:r>
      <w:r w:rsidRPr="00181FCD">
        <w:t>años</w:t>
      </w:r>
      <w:r w:rsidR="00F373A3" w:rsidRPr="00181FCD">
        <w:t xml:space="preserve"> </w:t>
      </w:r>
      <w:r w:rsidRPr="00181FCD">
        <w:t>muestran</w:t>
      </w:r>
      <w:r w:rsidR="00F373A3" w:rsidRPr="00181FCD">
        <w:t xml:space="preserve"> </w:t>
      </w:r>
      <w:r w:rsidRPr="00181FCD">
        <w:t>que</w:t>
      </w:r>
      <w:r w:rsidR="00F373A3" w:rsidRPr="00181FCD">
        <w:t xml:space="preserve"> </w:t>
      </w:r>
      <w:r w:rsidRPr="00181FCD">
        <w:t>existen</w:t>
      </w:r>
      <w:r w:rsidR="00F373A3" w:rsidRPr="00181FCD">
        <w:t xml:space="preserve"> </w:t>
      </w:r>
      <w:r w:rsidRPr="00181FCD">
        <w:t>problemas</w:t>
      </w:r>
      <w:r w:rsidR="00F373A3" w:rsidRPr="00181FCD">
        <w:t xml:space="preserve"> </w:t>
      </w:r>
      <w:r w:rsidRPr="00181FCD">
        <w:t>relacionados</w:t>
      </w:r>
      <w:r w:rsidR="00F373A3" w:rsidRPr="00181FCD">
        <w:t xml:space="preserve"> </w:t>
      </w:r>
      <w:r w:rsidRPr="00181FCD">
        <w:t>con</w:t>
      </w:r>
      <w:r w:rsidR="00F373A3" w:rsidRPr="00181FCD">
        <w:t xml:space="preserve"> </w:t>
      </w:r>
      <w:r w:rsidRPr="00181FCD">
        <w:t>el</w:t>
      </w:r>
      <w:r w:rsidR="00F373A3" w:rsidRPr="00181FCD">
        <w:t xml:space="preserve"> </w:t>
      </w:r>
      <w:r w:rsidRPr="00181FCD">
        <w:t>empleo</w:t>
      </w:r>
      <w:r w:rsidR="00F373A3" w:rsidRPr="00181FCD">
        <w:t xml:space="preserve"> </w:t>
      </w:r>
      <w:r w:rsidRPr="00181FCD">
        <w:t>de</w:t>
      </w:r>
      <w:r w:rsidR="00F373A3" w:rsidRPr="00181FCD">
        <w:t xml:space="preserve"> </w:t>
      </w:r>
      <w:r w:rsidRPr="00181FCD">
        <w:t>jóvenes</w:t>
      </w:r>
      <w:r w:rsidR="00F373A3" w:rsidRPr="00181FCD">
        <w:t xml:space="preserve"> </w:t>
      </w:r>
      <w:r w:rsidRPr="00181FCD">
        <w:t>menores</w:t>
      </w:r>
      <w:r w:rsidR="00F373A3" w:rsidRPr="00181FCD">
        <w:t xml:space="preserve"> </w:t>
      </w:r>
      <w:r w:rsidRPr="00181FCD">
        <w:t>de</w:t>
      </w:r>
      <w:r w:rsidR="00F373A3" w:rsidRPr="00181FCD">
        <w:t xml:space="preserve"> </w:t>
      </w:r>
      <w:r w:rsidRPr="00181FCD">
        <w:t>edad</w:t>
      </w:r>
      <w:r w:rsidR="00F373A3" w:rsidRPr="00181FCD">
        <w:t xml:space="preserve"> </w:t>
      </w:r>
      <w:r w:rsidRPr="00181FCD">
        <w:t>en</w:t>
      </w:r>
      <w:r w:rsidR="00F373A3" w:rsidRPr="00181FCD">
        <w:t xml:space="preserve"> </w:t>
      </w:r>
      <w:r w:rsidRPr="00181FCD">
        <w:t>el</w:t>
      </w:r>
      <w:r w:rsidR="00F373A3" w:rsidRPr="00181FCD">
        <w:t xml:space="preserve"> </w:t>
      </w:r>
      <w:r w:rsidRPr="00181FCD">
        <w:t>sector</w:t>
      </w:r>
      <w:r w:rsidR="00F373A3" w:rsidRPr="00181FCD">
        <w:t xml:space="preserve"> </w:t>
      </w:r>
      <w:r w:rsidRPr="00181FCD">
        <w:t>de</w:t>
      </w:r>
      <w:r w:rsidR="00F373A3" w:rsidRPr="00181FCD">
        <w:t xml:space="preserve"> </w:t>
      </w:r>
      <w:r w:rsidRPr="00181FCD">
        <w:t>la</w:t>
      </w:r>
      <w:r w:rsidR="00F373A3" w:rsidRPr="00181FCD">
        <w:t xml:space="preserve"> </w:t>
      </w:r>
      <w:r w:rsidRPr="00181FCD">
        <w:t>pequeña</w:t>
      </w:r>
      <w:r w:rsidR="00F373A3" w:rsidRPr="00181FCD">
        <w:t xml:space="preserve"> </w:t>
      </w:r>
      <w:r w:rsidRPr="00181FCD">
        <w:t>y</w:t>
      </w:r>
      <w:r w:rsidR="00F373A3" w:rsidRPr="00181FCD">
        <w:t xml:space="preserve"> </w:t>
      </w:r>
      <w:r w:rsidRPr="00181FCD">
        <w:t>mediana</w:t>
      </w:r>
      <w:r w:rsidR="00F373A3" w:rsidRPr="00181FCD">
        <w:t xml:space="preserve"> </w:t>
      </w:r>
      <w:r w:rsidRPr="00181FCD">
        <w:t>empresa.</w:t>
      </w:r>
      <w:r w:rsidR="00F373A3" w:rsidRPr="00181FCD">
        <w:t xml:space="preserve"> </w:t>
      </w:r>
      <w:r w:rsidRPr="00181FCD">
        <w:t>En</w:t>
      </w:r>
      <w:r w:rsidR="00F373A3" w:rsidRPr="00181FCD">
        <w:t xml:space="preserve"> </w:t>
      </w:r>
      <w:r w:rsidRPr="00181FCD">
        <w:t>la</w:t>
      </w:r>
      <w:r w:rsidR="00F373A3" w:rsidRPr="00181FCD">
        <w:t xml:space="preserve"> </w:t>
      </w:r>
      <w:r w:rsidRPr="00181FCD">
        <w:t>mayoría</w:t>
      </w:r>
      <w:r w:rsidR="00F373A3" w:rsidRPr="00181FCD">
        <w:t xml:space="preserve"> </w:t>
      </w:r>
      <w:r w:rsidRPr="00181FCD">
        <w:t>de</w:t>
      </w:r>
      <w:r w:rsidR="00F373A3" w:rsidRPr="00181FCD">
        <w:t xml:space="preserve"> </w:t>
      </w:r>
      <w:r w:rsidRPr="00181FCD">
        <w:t>los</w:t>
      </w:r>
      <w:r w:rsidR="00F373A3" w:rsidRPr="00181FCD">
        <w:t xml:space="preserve"> </w:t>
      </w:r>
      <w:r w:rsidRPr="00181FCD">
        <w:t>casos,</w:t>
      </w:r>
      <w:r w:rsidR="00F373A3" w:rsidRPr="00181FCD">
        <w:t xml:space="preserve"> </w:t>
      </w:r>
      <w:r w:rsidRPr="00181FCD">
        <w:t>el</w:t>
      </w:r>
      <w:r w:rsidR="00F373A3" w:rsidRPr="00181FCD">
        <w:t xml:space="preserve"> </w:t>
      </w:r>
      <w:r w:rsidRPr="00181FCD">
        <w:t>empleo</w:t>
      </w:r>
      <w:r w:rsidR="00F373A3" w:rsidRPr="00181FCD">
        <w:t xml:space="preserve"> </w:t>
      </w:r>
      <w:r w:rsidRPr="00181FCD">
        <w:t>de</w:t>
      </w:r>
      <w:r w:rsidR="00F373A3" w:rsidRPr="00181FCD">
        <w:t xml:space="preserve"> </w:t>
      </w:r>
      <w:r w:rsidRPr="00181FCD">
        <w:t>menores</w:t>
      </w:r>
      <w:r w:rsidR="00F373A3" w:rsidRPr="00181FCD">
        <w:t xml:space="preserve"> </w:t>
      </w:r>
      <w:r w:rsidRPr="00181FCD">
        <w:t>de</w:t>
      </w:r>
      <w:r w:rsidR="00F373A3" w:rsidRPr="00181FCD">
        <w:t xml:space="preserve"> </w:t>
      </w:r>
      <w:r w:rsidRPr="00181FCD">
        <w:t>edad</w:t>
      </w:r>
      <w:r w:rsidR="00F373A3" w:rsidRPr="00181FCD">
        <w:t xml:space="preserve"> </w:t>
      </w:r>
      <w:r w:rsidRPr="00181FCD">
        <w:t>es</w:t>
      </w:r>
      <w:r w:rsidR="00F373A3" w:rsidRPr="00181FCD">
        <w:t xml:space="preserve"> </w:t>
      </w:r>
      <w:r w:rsidRPr="00181FCD">
        <w:t>temporal</w:t>
      </w:r>
      <w:r w:rsidR="00F373A3" w:rsidRPr="00181FCD">
        <w:t xml:space="preserve"> </w:t>
      </w:r>
      <w:r w:rsidRPr="00181FCD">
        <w:t>y</w:t>
      </w:r>
      <w:r w:rsidR="00F373A3" w:rsidRPr="00181FCD">
        <w:t xml:space="preserve"> </w:t>
      </w:r>
      <w:r w:rsidRPr="00181FCD">
        <w:t>consiste</w:t>
      </w:r>
      <w:r w:rsidR="00F373A3" w:rsidRPr="00181FCD">
        <w:t xml:space="preserve"> </w:t>
      </w:r>
      <w:r w:rsidRPr="00181FCD">
        <w:t>en</w:t>
      </w:r>
      <w:r w:rsidR="00F373A3" w:rsidRPr="00181FCD">
        <w:t xml:space="preserve"> </w:t>
      </w:r>
      <w:r w:rsidRPr="00181FCD">
        <w:t>actividades</w:t>
      </w:r>
      <w:r w:rsidR="00F373A3" w:rsidRPr="00181FCD">
        <w:t xml:space="preserve"> </w:t>
      </w:r>
      <w:r w:rsidRPr="00181FCD">
        <w:t>poco</w:t>
      </w:r>
      <w:r w:rsidR="00F373A3" w:rsidRPr="00181FCD">
        <w:t xml:space="preserve"> </w:t>
      </w:r>
      <w:r w:rsidRPr="00181FCD">
        <w:t>especializadas.</w:t>
      </w:r>
      <w:r w:rsidR="00F373A3" w:rsidRPr="00181FCD">
        <w:t xml:space="preserve"> </w:t>
      </w:r>
      <w:r w:rsidRPr="00181FCD">
        <w:t>Algunos</w:t>
      </w:r>
      <w:r w:rsidR="00F373A3" w:rsidRPr="00181FCD">
        <w:t xml:space="preserve"> </w:t>
      </w:r>
      <w:r w:rsidRPr="00181FCD">
        <w:t>jóvenes</w:t>
      </w:r>
      <w:r w:rsidR="00F373A3" w:rsidRPr="00181FCD">
        <w:t xml:space="preserve"> </w:t>
      </w:r>
      <w:r w:rsidRPr="00181FCD">
        <w:t>de</w:t>
      </w:r>
      <w:r w:rsidR="00F373A3" w:rsidRPr="00181FCD">
        <w:t xml:space="preserve"> </w:t>
      </w:r>
      <w:r w:rsidRPr="00181FCD">
        <w:t>hasta</w:t>
      </w:r>
      <w:r w:rsidR="00F373A3" w:rsidRPr="00181FCD">
        <w:t xml:space="preserve"> </w:t>
      </w:r>
      <w:r w:rsidRPr="00181FCD">
        <w:t>18</w:t>
      </w:r>
      <w:r w:rsidR="00F373A3" w:rsidRPr="00181FCD">
        <w:t xml:space="preserve"> </w:t>
      </w:r>
      <w:r w:rsidRPr="00181FCD">
        <w:t>años</w:t>
      </w:r>
      <w:r w:rsidR="00F373A3" w:rsidRPr="00181FCD">
        <w:t xml:space="preserve"> </w:t>
      </w:r>
      <w:r w:rsidRPr="00181FCD">
        <w:t>de</w:t>
      </w:r>
      <w:r w:rsidR="00F373A3" w:rsidRPr="00181FCD">
        <w:t xml:space="preserve"> </w:t>
      </w:r>
      <w:r w:rsidRPr="00181FCD">
        <w:t>edad</w:t>
      </w:r>
      <w:r w:rsidR="00F373A3" w:rsidRPr="00181FCD">
        <w:t xml:space="preserve"> </w:t>
      </w:r>
      <w:r w:rsidRPr="00181FCD">
        <w:t>participan</w:t>
      </w:r>
      <w:r w:rsidR="00F373A3" w:rsidRPr="00181FCD">
        <w:t xml:space="preserve"> </w:t>
      </w:r>
      <w:r w:rsidRPr="00181FCD">
        <w:t>en</w:t>
      </w:r>
      <w:r w:rsidR="00F373A3" w:rsidRPr="00181FCD">
        <w:t xml:space="preserve"> </w:t>
      </w:r>
      <w:r w:rsidRPr="00181FCD">
        <w:t>las</w:t>
      </w:r>
      <w:r w:rsidR="00F373A3" w:rsidRPr="00181FCD">
        <w:t xml:space="preserve"> </w:t>
      </w:r>
      <w:r w:rsidRPr="00181FCD">
        <w:t>actividades</w:t>
      </w:r>
      <w:r w:rsidR="00F373A3" w:rsidRPr="00181FCD">
        <w:t xml:space="preserve"> </w:t>
      </w:r>
      <w:r w:rsidRPr="00181FCD">
        <w:t>de</w:t>
      </w:r>
      <w:r w:rsidR="00F373A3" w:rsidRPr="00181FCD">
        <w:t xml:space="preserve"> </w:t>
      </w:r>
      <w:r w:rsidRPr="00181FCD">
        <w:t>pequeñas</w:t>
      </w:r>
      <w:r w:rsidR="00F373A3" w:rsidRPr="00181FCD">
        <w:t xml:space="preserve"> </w:t>
      </w:r>
      <w:r w:rsidRPr="00181FCD">
        <w:t>empresas</w:t>
      </w:r>
      <w:r w:rsidR="00F373A3" w:rsidRPr="00181FCD">
        <w:t xml:space="preserve"> </w:t>
      </w:r>
      <w:r w:rsidRPr="00181FCD">
        <w:t>en</w:t>
      </w:r>
      <w:r w:rsidR="00F373A3" w:rsidRPr="00181FCD">
        <w:t xml:space="preserve"> </w:t>
      </w:r>
      <w:r w:rsidRPr="00181FCD">
        <w:t>los</w:t>
      </w:r>
      <w:r w:rsidR="00F373A3" w:rsidRPr="00181FCD">
        <w:t xml:space="preserve"> </w:t>
      </w:r>
      <w:r w:rsidRPr="00181FCD">
        <w:t>sectores</w:t>
      </w:r>
      <w:r w:rsidR="00F373A3" w:rsidRPr="00181FCD">
        <w:t xml:space="preserve"> </w:t>
      </w:r>
      <w:r w:rsidRPr="00181FCD">
        <w:t>del</w:t>
      </w:r>
      <w:r w:rsidR="00F373A3" w:rsidRPr="00181FCD">
        <w:t xml:space="preserve"> </w:t>
      </w:r>
      <w:r w:rsidRPr="00181FCD">
        <w:t>comercio,</w:t>
      </w:r>
      <w:r w:rsidR="00F373A3" w:rsidRPr="00181FCD">
        <w:t xml:space="preserve"> </w:t>
      </w:r>
      <w:r w:rsidRPr="00181FCD">
        <w:t>la</w:t>
      </w:r>
      <w:r w:rsidR="00F373A3" w:rsidRPr="00181FCD">
        <w:t xml:space="preserve"> </w:t>
      </w:r>
      <w:r w:rsidRPr="00181FCD">
        <w:t>hotelería</w:t>
      </w:r>
      <w:r w:rsidR="00F373A3" w:rsidRPr="00181FCD">
        <w:t xml:space="preserve"> </w:t>
      </w:r>
      <w:r w:rsidRPr="00181FCD">
        <w:t>y</w:t>
      </w:r>
      <w:r w:rsidR="00F373A3" w:rsidRPr="00181FCD">
        <w:t xml:space="preserve"> </w:t>
      </w:r>
      <w:r w:rsidRPr="00181FCD">
        <w:t>la</w:t>
      </w:r>
      <w:r w:rsidR="00F373A3" w:rsidRPr="00181FCD">
        <w:t xml:space="preserve"> </w:t>
      </w:r>
      <w:r w:rsidRPr="00181FCD">
        <w:t>gastronomía,</w:t>
      </w:r>
      <w:r w:rsidR="00F373A3" w:rsidRPr="00181FCD">
        <w:t xml:space="preserve"> </w:t>
      </w:r>
      <w:r w:rsidRPr="00181FCD">
        <w:t>así</w:t>
      </w:r>
      <w:r w:rsidR="00F373A3" w:rsidRPr="00181FCD">
        <w:t xml:space="preserve"> </w:t>
      </w:r>
      <w:r w:rsidRPr="00181FCD">
        <w:t>como</w:t>
      </w:r>
      <w:r w:rsidR="00F373A3" w:rsidRPr="00181FCD">
        <w:t xml:space="preserve"> </w:t>
      </w:r>
      <w:r w:rsidRPr="00181FCD">
        <w:t>en</w:t>
      </w:r>
      <w:r w:rsidR="00F373A3" w:rsidRPr="00181FCD">
        <w:t xml:space="preserve"> </w:t>
      </w:r>
      <w:r w:rsidRPr="00181FCD">
        <w:t>pequeñas</w:t>
      </w:r>
      <w:r w:rsidR="00F373A3" w:rsidRPr="00181FCD">
        <w:t xml:space="preserve"> </w:t>
      </w:r>
      <w:r w:rsidRPr="00181FCD">
        <w:t>empresas</w:t>
      </w:r>
      <w:r w:rsidR="00F373A3" w:rsidRPr="00181FCD">
        <w:t xml:space="preserve"> </w:t>
      </w:r>
      <w:r w:rsidRPr="00181FCD">
        <w:t>agrícolas</w:t>
      </w:r>
      <w:r w:rsidR="00F373A3" w:rsidRPr="00181FCD">
        <w:t xml:space="preserve"> </w:t>
      </w:r>
      <w:r w:rsidRPr="00181FCD">
        <w:t>de</w:t>
      </w:r>
      <w:r w:rsidR="00F373A3" w:rsidRPr="00181FCD">
        <w:t xml:space="preserve"> </w:t>
      </w:r>
      <w:r w:rsidRPr="00181FCD">
        <w:t>tipo</w:t>
      </w:r>
      <w:r w:rsidR="00F373A3" w:rsidRPr="00181FCD">
        <w:t xml:space="preserve"> </w:t>
      </w:r>
      <w:r w:rsidRPr="00181FCD">
        <w:t>familiar.</w:t>
      </w:r>
    </w:p>
    <w:p w:rsidR="001937F4" w:rsidRPr="00181FCD" w:rsidRDefault="001937F4" w:rsidP="00347B20">
      <w:pPr>
        <w:pStyle w:val="SingleTxtG"/>
        <w:suppressAutoHyphens/>
      </w:pPr>
      <w:r w:rsidRPr="00181FCD">
        <w:t>236.</w:t>
      </w:r>
      <w:r w:rsidRPr="00181FCD">
        <w:tab/>
        <w:t>Las</w:t>
      </w:r>
      <w:r w:rsidR="00F373A3" w:rsidRPr="00181FCD">
        <w:t xml:space="preserve"> </w:t>
      </w:r>
      <w:r w:rsidRPr="00181FCD">
        <w:t>diferentes</w:t>
      </w:r>
      <w:r w:rsidR="00F373A3" w:rsidRPr="00181FCD">
        <w:t xml:space="preserve"> </w:t>
      </w:r>
      <w:r w:rsidRPr="00181FCD">
        <w:t>formas</w:t>
      </w:r>
      <w:r w:rsidR="00F373A3" w:rsidRPr="00181FCD">
        <w:t xml:space="preserve"> </w:t>
      </w:r>
      <w:r w:rsidRPr="00181FCD">
        <w:t>de</w:t>
      </w:r>
      <w:r w:rsidR="00F373A3" w:rsidRPr="00181FCD">
        <w:t xml:space="preserve"> </w:t>
      </w:r>
      <w:r w:rsidRPr="00181FCD">
        <w:t>trabajo</w:t>
      </w:r>
      <w:r w:rsidR="00F373A3" w:rsidRPr="00181FCD">
        <w:t xml:space="preserve"> </w:t>
      </w:r>
      <w:r w:rsidRPr="00181FCD">
        <w:t>infantil</w:t>
      </w:r>
      <w:r w:rsidR="00F373A3" w:rsidRPr="00181FCD">
        <w:t xml:space="preserve"> </w:t>
      </w:r>
      <w:r w:rsidRPr="00181FCD">
        <w:t>se</w:t>
      </w:r>
      <w:r w:rsidR="00F373A3" w:rsidRPr="00181FCD">
        <w:t xml:space="preserve"> </w:t>
      </w:r>
      <w:r w:rsidRPr="00181FCD">
        <w:t>encuentran</w:t>
      </w:r>
      <w:r w:rsidR="00F373A3" w:rsidRPr="00181FCD">
        <w:t xml:space="preserve"> </w:t>
      </w:r>
      <w:r w:rsidRPr="00181FCD">
        <w:t>principalmente</w:t>
      </w:r>
      <w:r w:rsidR="00F373A3" w:rsidRPr="00181FCD">
        <w:t xml:space="preserve"> </w:t>
      </w:r>
      <w:r w:rsidRPr="00181FCD">
        <w:t>en</w:t>
      </w:r>
      <w:r w:rsidR="00F373A3" w:rsidRPr="00181FCD">
        <w:t xml:space="preserve"> </w:t>
      </w:r>
      <w:r w:rsidRPr="00181FCD">
        <w:t>la</w:t>
      </w:r>
      <w:r w:rsidR="00F373A3" w:rsidRPr="00181FCD">
        <w:t xml:space="preserve"> </w:t>
      </w:r>
      <w:r w:rsidRPr="00181FCD">
        <w:t>economía</w:t>
      </w:r>
      <w:r w:rsidR="00F373A3" w:rsidRPr="00181FCD">
        <w:t xml:space="preserve"> </w:t>
      </w:r>
      <w:r w:rsidRPr="00181FCD">
        <w:t>familiar</w:t>
      </w:r>
      <w:r w:rsidR="00F373A3" w:rsidRPr="00181FCD">
        <w:t xml:space="preserve"> </w:t>
      </w:r>
      <w:r w:rsidRPr="00181FCD">
        <w:t>(agricultura</w:t>
      </w:r>
      <w:r w:rsidR="00F373A3" w:rsidRPr="00181FCD">
        <w:t xml:space="preserve"> </w:t>
      </w:r>
      <w:r w:rsidRPr="00181FCD">
        <w:t>y</w:t>
      </w:r>
      <w:r w:rsidR="00F373A3" w:rsidRPr="00181FCD">
        <w:t xml:space="preserve"> </w:t>
      </w:r>
      <w:r w:rsidRPr="00181FCD">
        <w:t>trabajo</w:t>
      </w:r>
      <w:r w:rsidR="00F373A3" w:rsidRPr="00181FCD">
        <w:t xml:space="preserve"> </w:t>
      </w:r>
      <w:r w:rsidRPr="00181FCD">
        <w:t>en</w:t>
      </w:r>
      <w:r w:rsidR="00F373A3" w:rsidRPr="00181FCD">
        <w:t xml:space="preserve"> </w:t>
      </w:r>
      <w:r w:rsidRPr="00181FCD">
        <w:t>el</w:t>
      </w:r>
      <w:r w:rsidR="00F373A3" w:rsidRPr="00181FCD">
        <w:t xml:space="preserve"> </w:t>
      </w:r>
      <w:r w:rsidRPr="00181FCD">
        <w:t>hogar)</w:t>
      </w:r>
      <w:r w:rsidR="00F373A3" w:rsidRPr="00181FCD">
        <w:t xml:space="preserve"> </w:t>
      </w:r>
      <w:r w:rsidRPr="00181FCD">
        <w:t>y</w:t>
      </w:r>
      <w:r w:rsidR="00F373A3" w:rsidRPr="00181FCD">
        <w:t xml:space="preserve"> </w:t>
      </w:r>
      <w:r w:rsidRPr="00181FCD">
        <w:t>en</w:t>
      </w:r>
      <w:r w:rsidR="00F373A3" w:rsidRPr="00181FCD">
        <w:t xml:space="preserve"> </w:t>
      </w:r>
      <w:r w:rsidRPr="00181FCD">
        <w:t>la</w:t>
      </w:r>
      <w:r w:rsidR="00F373A3" w:rsidRPr="00181FCD">
        <w:t xml:space="preserve"> </w:t>
      </w:r>
      <w:r w:rsidRPr="00181FCD">
        <w:t>economía</w:t>
      </w:r>
      <w:r w:rsidR="00F373A3" w:rsidRPr="00181FCD">
        <w:t xml:space="preserve"> </w:t>
      </w:r>
      <w:r w:rsidRPr="00181FCD">
        <w:t>no</w:t>
      </w:r>
      <w:r w:rsidR="00F373A3" w:rsidRPr="00181FCD">
        <w:t xml:space="preserve"> </w:t>
      </w:r>
      <w:r w:rsidRPr="00181FCD">
        <w:t>estructurada</w:t>
      </w:r>
      <w:r w:rsidR="00F373A3" w:rsidRPr="00181FCD">
        <w:t xml:space="preserve"> </w:t>
      </w:r>
      <w:r w:rsidRPr="00181FCD">
        <w:t>(hotelería,</w:t>
      </w:r>
      <w:r w:rsidR="00F373A3" w:rsidRPr="00181FCD">
        <w:t xml:space="preserve"> </w:t>
      </w:r>
      <w:r w:rsidRPr="00181FCD">
        <w:t>construcción,</w:t>
      </w:r>
      <w:r w:rsidR="00F373A3" w:rsidRPr="00181FCD">
        <w:t xml:space="preserve"> </w:t>
      </w:r>
      <w:r w:rsidRPr="00181FCD">
        <w:t>trabajos</w:t>
      </w:r>
      <w:r w:rsidR="00F373A3" w:rsidRPr="00181FCD">
        <w:t xml:space="preserve"> </w:t>
      </w:r>
      <w:r w:rsidRPr="00181FCD">
        <w:t>callejeros,</w:t>
      </w:r>
      <w:r w:rsidR="00F373A3" w:rsidRPr="00181FCD">
        <w:t xml:space="preserve"> </w:t>
      </w:r>
      <w:r w:rsidRPr="00181FCD">
        <w:t>etc.).</w:t>
      </w:r>
      <w:r w:rsidR="00F373A3" w:rsidRPr="00181FCD">
        <w:t xml:space="preserve"> </w:t>
      </w:r>
      <w:r w:rsidRPr="00181FCD">
        <w:t>En</w:t>
      </w:r>
      <w:r w:rsidR="00F373A3" w:rsidRPr="00181FCD">
        <w:t xml:space="preserve"> </w:t>
      </w:r>
      <w:r w:rsidRPr="00181FCD">
        <w:t>lo</w:t>
      </w:r>
      <w:r w:rsidR="00F373A3" w:rsidRPr="00181FCD">
        <w:t xml:space="preserve"> </w:t>
      </w:r>
      <w:r w:rsidRPr="00181FCD">
        <w:t>que</w:t>
      </w:r>
      <w:r w:rsidR="00F373A3" w:rsidRPr="00181FCD">
        <w:t xml:space="preserve"> </w:t>
      </w:r>
      <w:r w:rsidRPr="00181FCD">
        <w:t>respecta</w:t>
      </w:r>
      <w:r w:rsidR="00F373A3" w:rsidRPr="00181FCD">
        <w:t xml:space="preserve"> </w:t>
      </w:r>
      <w:r w:rsidRPr="00181FCD">
        <w:t>a</w:t>
      </w:r>
      <w:r w:rsidR="00F373A3" w:rsidRPr="00181FCD">
        <w:t xml:space="preserve"> </w:t>
      </w:r>
      <w:r w:rsidRPr="00181FCD">
        <w:t>las</w:t>
      </w:r>
      <w:r w:rsidR="00F373A3" w:rsidRPr="00181FCD">
        <w:t xml:space="preserve"> </w:t>
      </w:r>
      <w:r w:rsidRPr="00181FCD">
        <w:t>condiciones</w:t>
      </w:r>
      <w:r w:rsidR="00F373A3" w:rsidRPr="00181FCD">
        <w:t xml:space="preserve"> </w:t>
      </w:r>
      <w:r w:rsidRPr="00181FCD">
        <w:t>de</w:t>
      </w:r>
      <w:r w:rsidR="00F373A3" w:rsidRPr="00181FCD">
        <w:t xml:space="preserve"> </w:t>
      </w:r>
      <w:r w:rsidRPr="00181FCD">
        <w:t>la</w:t>
      </w:r>
      <w:r w:rsidR="00F373A3" w:rsidRPr="00181FCD">
        <w:t xml:space="preserve"> </w:t>
      </w:r>
      <w:r w:rsidRPr="00181FCD">
        <w:t>migración</w:t>
      </w:r>
      <w:r w:rsidR="00F373A3" w:rsidRPr="00181FCD">
        <w:t xml:space="preserve"> </w:t>
      </w:r>
      <w:r w:rsidRPr="00181FCD">
        <w:t>laboral</w:t>
      </w:r>
      <w:r w:rsidR="00F373A3" w:rsidRPr="00181FCD">
        <w:t xml:space="preserve"> </w:t>
      </w:r>
      <w:r w:rsidRPr="00181FCD">
        <w:t>interna</w:t>
      </w:r>
      <w:r w:rsidR="00F373A3" w:rsidRPr="00181FCD">
        <w:t xml:space="preserve"> </w:t>
      </w:r>
      <w:r w:rsidRPr="00181FCD">
        <w:t>de</w:t>
      </w:r>
      <w:r w:rsidR="00F373A3" w:rsidRPr="00181FCD">
        <w:t xml:space="preserve"> </w:t>
      </w:r>
      <w:r w:rsidRPr="00181FCD">
        <w:t>algunos</w:t>
      </w:r>
      <w:r w:rsidR="00F373A3" w:rsidRPr="00181FCD">
        <w:t xml:space="preserve"> </w:t>
      </w:r>
      <w:r w:rsidRPr="00181FCD">
        <w:t>grupos</w:t>
      </w:r>
      <w:r w:rsidR="00F373A3" w:rsidRPr="00181FCD">
        <w:t xml:space="preserve"> </w:t>
      </w:r>
      <w:r w:rsidRPr="00181FCD">
        <w:t>de</w:t>
      </w:r>
      <w:r w:rsidR="00F373A3" w:rsidRPr="00181FCD">
        <w:t xml:space="preserve"> </w:t>
      </w:r>
      <w:r w:rsidRPr="00181FCD">
        <w:t>jóvenes</w:t>
      </w:r>
      <w:r w:rsidR="00F373A3" w:rsidRPr="00181FCD">
        <w:t xml:space="preserve"> </w:t>
      </w:r>
      <w:r w:rsidRPr="00181FCD">
        <w:t>(durante</w:t>
      </w:r>
      <w:r w:rsidR="00F373A3" w:rsidRPr="00181FCD">
        <w:t xml:space="preserve"> </w:t>
      </w:r>
      <w:r w:rsidRPr="00181FCD">
        <w:t>los</w:t>
      </w:r>
      <w:r w:rsidR="00F373A3" w:rsidRPr="00181FCD">
        <w:t xml:space="preserve"> </w:t>
      </w:r>
      <w:r w:rsidRPr="00181FCD">
        <w:t>períodos</w:t>
      </w:r>
      <w:r w:rsidR="00F373A3" w:rsidRPr="00181FCD">
        <w:t xml:space="preserve"> </w:t>
      </w:r>
      <w:r w:rsidRPr="00181FCD">
        <w:t>de</w:t>
      </w:r>
      <w:r w:rsidR="00F373A3" w:rsidRPr="00181FCD">
        <w:t xml:space="preserve"> </w:t>
      </w:r>
      <w:r w:rsidRPr="00181FCD">
        <w:t>vacaciones),</w:t>
      </w:r>
      <w:r w:rsidR="00F373A3" w:rsidRPr="00181FCD">
        <w:t xml:space="preserve"> </w:t>
      </w:r>
      <w:r w:rsidRPr="00181FCD">
        <w:t>que</w:t>
      </w:r>
      <w:r w:rsidR="00F373A3" w:rsidRPr="00181FCD">
        <w:t xml:space="preserve"> </w:t>
      </w:r>
      <w:r w:rsidRPr="00181FCD">
        <w:t>son</w:t>
      </w:r>
      <w:r w:rsidR="00F373A3" w:rsidRPr="00181FCD">
        <w:t xml:space="preserve"> </w:t>
      </w:r>
      <w:r w:rsidRPr="00181FCD">
        <w:t>contratados</w:t>
      </w:r>
      <w:r w:rsidR="00F373A3" w:rsidRPr="00181FCD">
        <w:t xml:space="preserve"> </w:t>
      </w:r>
      <w:r w:rsidRPr="00181FCD">
        <w:t>para</w:t>
      </w:r>
      <w:r w:rsidR="00F373A3" w:rsidRPr="00181FCD">
        <w:t xml:space="preserve"> </w:t>
      </w:r>
      <w:r w:rsidRPr="00181FCD">
        <w:t>trabajos</w:t>
      </w:r>
      <w:r w:rsidR="00F373A3" w:rsidRPr="00181FCD">
        <w:t xml:space="preserve"> </w:t>
      </w:r>
      <w:r w:rsidRPr="00181FCD">
        <w:t>temporales</w:t>
      </w:r>
      <w:r w:rsidR="00F373A3" w:rsidRPr="00181FCD">
        <w:t xml:space="preserve"> </w:t>
      </w:r>
      <w:r w:rsidRPr="00181FCD">
        <w:t>en</w:t>
      </w:r>
      <w:r w:rsidR="00F373A3" w:rsidRPr="00181FCD">
        <w:t xml:space="preserve"> </w:t>
      </w:r>
      <w:r w:rsidRPr="00181FCD">
        <w:t>empresas</w:t>
      </w:r>
      <w:r w:rsidR="00F373A3" w:rsidRPr="00181FCD">
        <w:t xml:space="preserve"> </w:t>
      </w:r>
      <w:r w:rsidRPr="00181FCD">
        <w:t>pequeñas</w:t>
      </w:r>
      <w:r w:rsidR="00F373A3" w:rsidRPr="00181FCD">
        <w:t xml:space="preserve"> </w:t>
      </w:r>
      <w:r w:rsidRPr="00181FCD">
        <w:t>de</w:t>
      </w:r>
      <w:r w:rsidR="00F373A3" w:rsidRPr="00181FCD">
        <w:t xml:space="preserve"> </w:t>
      </w:r>
      <w:r w:rsidRPr="00181FCD">
        <w:t>los</w:t>
      </w:r>
      <w:r w:rsidR="00F373A3" w:rsidRPr="00181FCD">
        <w:t xml:space="preserve"> </w:t>
      </w:r>
      <w:r w:rsidRPr="00181FCD">
        <w:t>sectores</w:t>
      </w:r>
      <w:r w:rsidR="00F373A3" w:rsidRPr="00181FCD">
        <w:t xml:space="preserve"> </w:t>
      </w:r>
      <w:r w:rsidRPr="00181FCD">
        <w:t>de</w:t>
      </w:r>
      <w:r w:rsidR="00F373A3" w:rsidRPr="00181FCD">
        <w:t xml:space="preserve"> </w:t>
      </w:r>
      <w:r w:rsidRPr="00181FCD">
        <w:t>hoteles</w:t>
      </w:r>
      <w:r w:rsidR="00F373A3" w:rsidRPr="00181FCD">
        <w:t xml:space="preserve"> </w:t>
      </w:r>
      <w:r w:rsidRPr="00181FCD">
        <w:t>y</w:t>
      </w:r>
      <w:r w:rsidR="00F373A3" w:rsidRPr="00181FCD">
        <w:t xml:space="preserve"> </w:t>
      </w:r>
      <w:r w:rsidRPr="00181FCD">
        <w:t>restaurantes,</w:t>
      </w:r>
      <w:r w:rsidR="00F373A3" w:rsidRPr="00181FCD">
        <w:t xml:space="preserve"> </w:t>
      </w:r>
      <w:r w:rsidRPr="00181FCD">
        <w:t>producción</w:t>
      </w:r>
      <w:r w:rsidR="00F373A3" w:rsidRPr="00181FCD">
        <w:t xml:space="preserve"> </w:t>
      </w:r>
      <w:r w:rsidRPr="00181FCD">
        <w:t>de</w:t>
      </w:r>
      <w:r w:rsidR="00F373A3" w:rsidRPr="00181FCD">
        <w:t xml:space="preserve"> </w:t>
      </w:r>
      <w:r w:rsidRPr="00181FCD">
        <w:t>alimentos</w:t>
      </w:r>
      <w:r w:rsidR="00F373A3" w:rsidRPr="00181FCD">
        <w:t xml:space="preserve"> </w:t>
      </w:r>
      <w:r w:rsidRPr="00181FCD">
        <w:t>y</w:t>
      </w:r>
      <w:r w:rsidR="00F373A3" w:rsidRPr="00181FCD">
        <w:t xml:space="preserve"> </w:t>
      </w:r>
      <w:r w:rsidRPr="00181FCD">
        <w:t>ropa,</w:t>
      </w:r>
      <w:r w:rsidR="00F373A3" w:rsidRPr="00181FCD">
        <w:t xml:space="preserve"> </w:t>
      </w:r>
      <w:r w:rsidRPr="00181FCD">
        <w:t>comercio,</w:t>
      </w:r>
      <w:r w:rsidR="00F373A3" w:rsidRPr="00181FCD">
        <w:t xml:space="preserve"> </w:t>
      </w:r>
      <w:r w:rsidRPr="00181FCD">
        <w:t>construcción</w:t>
      </w:r>
      <w:r w:rsidR="00F373A3" w:rsidRPr="00181FCD">
        <w:t xml:space="preserve"> </w:t>
      </w:r>
      <w:r w:rsidRPr="00181FCD">
        <w:t>u</w:t>
      </w:r>
      <w:r w:rsidR="00F373A3" w:rsidRPr="00181FCD">
        <w:t xml:space="preserve"> </w:t>
      </w:r>
      <w:r w:rsidRPr="00181FCD">
        <w:t>otros,</w:t>
      </w:r>
      <w:r w:rsidR="00F373A3" w:rsidRPr="00181FCD">
        <w:t xml:space="preserve"> </w:t>
      </w:r>
      <w:r w:rsidRPr="00181FCD">
        <w:t>los</w:t>
      </w:r>
      <w:r w:rsidR="00F373A3" w:rsidRPr="00181FCD">
        <w:t xml:space="preserve"> </w:t>
      </w:r>
      <w:r w:rsidRPr="00181FCD">
        <w:t>inspectores</w:t>
      </w:r>
      <w:r w:rsidR="00F373A3" w:rsidRPr="00181FCD">
        <w:t xml:space="preserve"> </w:t>
      </w:r>
      <w:r w:rsidRPr="00181FCD">
        <w:t>del</w:t>
      </w:r>
      <w:r w:rsidR="00F373A3" w:rsidRPr="00181FCD">
        <w:t xml:space="preserve"> </w:t>
      </w:r>
      <w:r w:rsidRPr="00181FCD">
        <w:t>trabajo</w:t>
      </w:r>
      <w:r w:rsidR="00F373A3" w:rsidRPr="00181FCD">
        <w:t xml:space="preserve"> </w:t>
      </w:r>
      <w:r w:rsidRPr="00181FCD">
        <w:t>han</w:t>
      </w:r>
      <w:r w:rsidR="00F373A3" w:rsidRPr="00181FCD">
        <w:t xml:space="preserve"> </w:t>
      </w:r>
      <w:r w:rsidRPr="00181FCD">
        <w:t>determinado</w:t>
      </w:r>
      <w:r w:rsidR="00F373A3" w:rsidRPr="00181FCD">
        <w:t xml:space="preserve"> </w:t>
      </w:r>
      <w:r w:rsidRPr="00181FCD">
        <w:t>algunas</w:t>
      </w:r>
      <w:r w:rsidR="00F373A3" w:rsidRPr="00181FCD">
        <w:t xml:space="preserve"> </w:t>
      </w:r>
      <w:r w:rsidRPr="00181FCD">
        <w:t>formas</w:t>
      </w:r>
      <w:r w:rsidR="00F373A3" w:rsidRPr="00181FCD">
        <w:t xml:space="preserve"> </w:t>
      </w:r>
      <w:r w:rsidRPr="00181FCD">
        <w:t>de</w:t>
      </w:r>
      <w:r w:rsidR="00F373A3" w:rsidRPr="00181FCD">
        <w:t xml:space="preserve"> </w:t>
      </w:r>
      <w:r w:rsidRPr="00181FCD">
        <w:t>discriminación</w:t>
      </w:r>
      <w:r w:rsidR="00F373A3" w:rsidRPr="00181FCD">
        <w:t xml:space="preserve"> </w:t>
      </w:r>
      <w:r w:rsidRPr="00181FCD">
        <w:t>entre</w:t>
      </w:r>
      <w:r w:rsidR="00F373A3" w:rsidRPr="00181FCD">
        <w:t xml:space="preserve"> </w:t>
      </w:r>
      <w:r w:rsidRPr="00181FCD">
        <w:t>la</w:t>
      </w:r>
      <w:r w:rsidR="00F373A3" w:rsidRPr="00181FCD">
        <w:t xml:space="preserve"> </w:t>
      </w:r>
      <w:r w:rsidRPr="00181FCD">
        <w:t>mano</w:t>
      </w:r>
      <w:r w:rsidR="00F373A3" w:rsidRPr="00181FCD">
        <w:t xml:space="preserve"> </w:t>
      </w:r>
      <w:r w:rsidRPr="00181FCD">
        <w:t>de</w:t>
      </w:r>
      <w:r w:rsidR="00F373A3" w:rsidRPr="00181FCD">
        <w:t xml:space="preserve"> </w:t>
      </w:r>
      <w:r w:rsidRPr="00181FCD">
        <w:t>obra.</w:t>
      </w:r>
      <w:r w:rsidR="00F373A3" w:rsidRPr="00181FCD">
        <w:t xml:space="preserve"> </w:t>
      </w:r>
      <w:r w:rsidRPr="00181FCD">
        <w:t>Cabe</w:t>
      </w:r>
      <w:r w:rsidR="00F373A3" w:rsidRPr="00181FCD">
        <w:t xml:space="preserve"> </w:t>
      </w:r>
      <w:r w:rsidRPr="00181FCD">
        <w:t>señalar</w:t>
      </w:r>
      <w:r w:rsidR="00F373A3" w:rsidRPr="00181FCD">
        <w:t xml:space="preserve"> </w:t>
      </w:r>
      <w:r w:rsidRPr="00181FCD">
        <w:t>que</w:t>
      </w:r>
      <w:r w:rsidR="00F373A3" w:rsidRPr="00181FCD">
        <w:t xml:space="preserve"> </w:t>
      </w:r>
      <w:r w:rsidRPr="00181FCD">
        <w:t>en</w:t>
      </w:r>
      <w:r w:rsidR="00F373A3" w:rsidRPr="00181FCD">
        <w:t xml:space="preserve"> </w:t>
      </w:r>
      <w:r w:rsidRPr="00181FCD">
        <w:t>las</w:t>
      </w:r>
      <w:r w:rsidR="00F373A3" w:rsidRPr="00181FCD">
        <w:t xml:space="preserve"> </w:t>
      </w:r>
      <w:r w:rsidRPr="00181FCD">
        <w:t>inspecciones</w:t>
      </w:r>
      <w:r w:rsidR="00F373A3" w:rsidRPr="00181FCD">
        <w:t xml:space="preserve"> </w:t>
      </w:r>
      <w:r w:rsidRPr="00181FCD">
        <w:t>no</w:t>
      </w:r>
      <w:r w:rsidR="00F373A3" w:rsidRPr="00181FCD">
        <w:t xml:space="preserve"> </w:t>
      </w:r>
      <w:r w:rsidRPr="00181FCD">
        <w:t>se</w:t>
      </w:r>
      <w:r w:rsidR="00F373A3" w:rsidRPr="00181FCD">
        <w:t xml:space="preserve"> </w:t>
      </w:r>
      <w:r w:rsidRPr="00181FCD">
        <w:t>comprobó</w:t>
      </w:r>
      <w:r w:rsidR="00F373A3" w:rsidRPr="00181FCD">
        <w:t xml:space="preserve"> </w:t>
      </w:r>
      <w:r w:rsidRPr="00181FCD">
        <w:t>ninguna</w:t>
      </w:r>
      <w:r w:rsidR="00F373A3" w:rsidRPr="00181FCD">
        <w:t xml:space="preserve"> </w:t>
      </w:r>
      <w:r w:rsidRPr="00181FCD">
        <w:t>de</w:t>
      </w:r>
      <w:r w:rsidR="00F373A3" w:rsidRPr="00181FCD">
        <w:t xml:space="preserve"> </w:t>
      </w:r>
      <w:r w:rsidRPr="00181FCD">
        <w:t>las</w:t>
      </w:r>
      <w:r w:rsidR="00F373A3" w:rsidRPr="00181FCD">
        <w:t xml:space="preserve"> </w:t>
      </w:r>
      <w:r w:rsidRPr="00181FCD">
        <w:t>peores</w:t>
      </w:r>
      <w:r w:rsidR="00F373A3" w:rsidRPr="00181FCD">
        <w:t xml:space="preserve"> </w:t>
      </w:r>
      <w:r w:rsidRPr="00181FCD">
        <w:t>formas</w:t>
      </w:r>
      <w:r w:rsidR="00F373A3" w:rsidRPr="00181FCD">
        <w:t xml:space="preserve"> </w:t>
      </w:r>
      <w:r w:rsidRPr="00181FCD">
        <w:t>de</w:t>
      </w:r>
      <w:r w:rsidR="00F373A3" w:rsidRPr="00181FCD">
        <w:t xml:space="preserve"> </w:t>
      </w:r>
      <w:r w:rsidRPr="00181FCD">
        <w:t>trabajo</w:t>
      </w:r>
      <w:r w:rsidR="00F373A3" w:rsidRPr="00181FCD">
        <w:t xml:space="preserve"> </w:t>
      </w:r>
      <w:r w:rsidRPr="00181FCD">
        <w:t>infantil,</w:t>
      </w:r>
      <w:r w:rsidR="00F373A3" w:rsidRPr="00181FCD">
        <w:t xml:space="preserve"> </w:t>
      </w:r>
      <w:r w:rsidRPr="00181FCD">
        <w:t>es</w:t>
      </w:r>
      <w:r w:rsidR="00F373A3" w:rsidRPr="00181FCD">
        <w:t xml:space="preserve"> </w:t>
      </w:r>
      <w:r w:rsidRPr="00181FCD">
        <w:t>decir,</w:t>
      </w:r>
      <w:r w:rsidR="00F373A3" w:rsidRPr="00181FCD">
        <w:t xml:space="preserve"> </w:t>
      </w:r>
      <w:r w:rsidRPr="00181FCD">
        <w:t>en</w:t>
      </w:r>
      <w:r w:rsidR="00F373A3" w:rsidRPr="00181FCD">
        <w:t xml:space="preserve"> </w:t>
      </w:r>
      <w:r w:rsidRPr="00181FCD">
        <w:t>infracción</w:t>
      </w:r>
      <w:r w:rsidR="00F373A3" w:rsidRPr="00181FCD">
        <w:t xml:space="preserve"> </w:t>
      </w:r>
      <w:r w:rsidRPr="00181FCD">
        <w:t>de</w:t>
      </w:r>
      <w:r w:rsidR="00F373A3" w:rsidRPr="00181FCD">
        <w:t xml:space="preserve"> </w:t>
      </w:r>
      <w:r w:rsidRPr="00181FCD">
        <w:t>las</w:t>
      </w:r>
      <w:r w:rsidR="00F373A3" w:rsidRPr="00181FCD">
        <w:t xml:space="preserve"> </w:t>
      </w:r>
      <w:r w:rsidRPr="00181FCD">
        <w:t>prohibiciones</w:t>
      </w:r>
      <w:r w:rsidR="00F373A3" w:rsidRPr="00181FCD">
        <w:t xml:space="preserve"> </w:t>
      </w:r>
      <w:r w:rsidRPr="00181FCD">
        <w:t>explícitas</w:t>
      </w:r>
      <w:r w:rsidR="00F373A3" w:rsidRPr="00181FCD">
        <w:t xml:space="preserve"> </w:t>
      </w:r>
      <w:r w:rsidRPr="00181FCD">
        <w:t>contenidas</w:t>
      </w:r>
      <w:r w:rsidR="00F373A3" w:rsidRPr="00181FCD">
        <w:t xml:space="preserve"> </w:t>
      </w:r>
      <w:r w:rsidRPr="00181FCD">
        <w:t>en</w:t>
      </w:r>
      <w:r w:rsidR="00F373A3" w:rsidRPr="00181FCD">
        <w:t xml:space="preserve"> </w:t>
      </w:r>
      <w:r w:rsidRPr="00181FCD">
        <w:t>la</w:t>
      </w:r>
      <w:r w:rsidR="00F373A3" w:rsidRPr="00181FCD">
        <w:t xml:space="preserve"> </w:t>
      </w:r>
      <w:r w:rsidRPr="00181FCD">
        <w:t>legislación</w:t>
      </w:r>
      <w:r w:rsidR="00F373A3" w:rsidRPr="00181FCD">
        <w:t xml:space="preserve"> </w:t>
      </w:r>
      <w:r w:rsidRPr="00181FCD">
        <w:t>nacional</w:t>
      </w:r>
      <w:r w:rsidR="00F373A3" w:rsidRPr="00181FCD">
        <w:t xml:space="preserve"> </w:t>
      </w:r>
      <w:r w:rsidRPr="00181FCD">
        <w:t>sobre</w:t>
      </w:r>
      <w:r w:rsidR="00F373A3" w:rsidRPr="00181FCD">
        <w:t xml:space="preserve"> </w:t>
      </w:r>
      <w:r w:rsidRPr="00181FCD">
        <w:t>el</w:t>
      </w:r>
      <w:r w:rsidR="00F373A3" w:rsidRPr="00181FCD">
        <w:t xml:space="preserve"> </w:t>
      </w:r>
      <w:r w:rsidRPr="00181FCD">
        <w:t>empleo</w:t>
      </w:r>
      <w:r w:rsidR="00F373A3" w:rsidRPr="00181FCD">
        <w:t xml:space="preserve"> </w:t>
      </w:r>
      <w:r w:rsidRPr="00181FCD">
        <w:t>de</w:t>
      </w:r>
      <w:r w:rsidR="00F373A3" w:rsidRPr="00181FCD">
        <w:t xml:space="preserve"> </w:t>
      </w:r>
      <w:r w:rsidRPr="00181FCD">
        <w:t>adolescentes</w:t>
      </w:r>
      <w:r w:rsidR="00F373A3" w:rsidRPr="00181FCD">
        <w:t xml:space="preserve"> </w:t>
      </w:r>
      <w:r w:rsidRPr="00181FCD">
        <w:t>en</w:t>
      </w:r>
      <w:r w:rsidR="00F373A3" w:rsidRPr="00181FCD">
        <w:t xml:space="preserve"> </w:t>
      </w:r>
      <w:r w:rsidRPr="00181FCD">
        <w:t>condiciones</w:t>
      </w:r>
      <w:r w:rsidR="00F373A3" w:rsidRPr="00181FCD">
        <w:t xml:space="preserve"> </w:t>
      </w:r>
      <w:r w:rsidRPr="00181FCD">
        <w:t>laborales</w:t>
      </w:r>
      <w:r w:rsidR="00F373A3" w:rsidRPr="00181FCD">
        <w:t xml:space="preserve"> </w:t>
      </w:r>
      <w:r w:rsidRPr="00181FCD">
        <w:t>peligrosas</w:t>
      </w:r>
      <w:r w:rsidR="00F373A3" w:rsidRPr="00181FCD">
        <w:t xml:space="preserve"> </w:t>
      </w:r>
      <w:r w:rsidRPr="00181FCD">
        <w:t>o</w:t>
      </w:r>
      <w:r w:rsidR="00F373A3" w:rsidRPr="00181FCD">
        <w:t xml:space="preserve"> </w:t>
      </w:r>
      <w:r w:rsidRPr="00181FCD">
        <w:t>nocivas.</w:t>
      </w:r>
      <w:r w:rsidR="00F373A3" w:rsidRPr="00181FCD">
        <w:t xml:space="preserve"> </w:t>
      </w:r>
    </w:p>
    <w:p w:rsidR="001937F4" w:rsidRPr="00181FCD" w:rsidRDefault="001937F4" w:rsidP="00347B20">
      <w:pPr>
        <w:pStyle w:val="SingleTxtG"/>
        <w:suppressAutoHyphens/>
      </w:pPr>
      <w:r w:rsidRPr="00181FCD">
        <w:t>237.</w:t>
      </w:r>
      <w:r w:rsidRPr="00181FCD">
        <w:tab/>
        <w:t>Las</w:t>
      </w:r>
      <w:r w:rsidR="00F373A3" w:rsidRPr="00181FCD">
        <w:t xml:space="preserve"> </w:t>
      </w:r>
      <w:r w:rsidRPr="00181FCD">
        <w:t>medidas</w:t>
      </w:r>
      <w:r w:rsidR="00F373A3" w:rsidRPr="00181FCD">
        <w:t xml:space="preserve"> </w:t>
      </w:r>
      <w:r w:rsidRPr="00181FCD">
        <w:t>preventivas</w:t>
      </w:r>
      <w:r w:rsidR="00F373A3" w:rsidRPr="00181FCD">
        <w:t xml:space="preserve"> </w:t>
      </w:r>
      <w:r w:rsidRPr="00181FCD">
        <w:t>a</w:t>
      </w:r>
      <w:r w:rsidR="00F373A3" w:rsidRPr="00181FCD">
        <w:t xml:space="preserve"> </w:t>
      </w:r>
      <w:r w:rsidRPr="00181FCD">
        <w:t>todos</w:t>
      </w:r>
      <w:r w:rsidR="00F373A3" w:rsidRPr="00181FCD">
        <w:t xml:space="preserve"> </w:t>
      </w:r>
      <w:r w:rsidRPr="00181FCD">
        <w:t>los</w:t>
      </w:r>
      <w:r w:rsidR="00F373A3" w:rsidRPr="00181FCD">
        <w:t xml:space="preserve"> </w:t>
      </w:r>
      <w:r w:rsidRPr="00181FCD">
        <w:t>niveles,</w:t>
      </w:r>
      <w:r w:rsidR="00F373A3" w:rsidRPr="00181FCD">
        <w:t xml:space="preserve"> </w:t>
      </w:r>
      <w:r w:rsidRPr="00181FCD">
        <w:t>la</w:t>
      </w:r>
      <w:r w:rsidR="00F373A3" w:rsidRPr="00181FCD">
        <w:t xml:space="preserve"> </w:t>
      </w:r>
      <w:r w:rsidRPr="00181FCD">
        <w:t>eficacia</w:t>
      </w:r>
      <w:r w:rsidR="00F373A3" w:rsidRPr="00181FCD">
        <w:t xml:space="preserve"> </w:t>
      </w:r>
      <w:r w:rsidRPr="00181FCD">
        <w:t>de</w:t>
      </w:r>
      <w:r w:rsidR="00F373A3" w:rsidRPr="00181FCD">
        <w:t xml:space="preserve"> </w:t>
      </w:r>
      <w:r w:rsidRPr="00181FCD">
        <w:t>las</w:t>
      </w:r>
      <w:r w:rsidR="00F373A3" w:rsidRPr="00181FCD">
        <w:t xml:space="preserve"> </w:t>
      </w:r>
      <w:r w:rsidRPr="00181FCD">
        <w:t>inspecciones</w:t>
      </w:r>
      <w:r w:rsidR="00F373A3" w:rsidRPr="00181FCD">
        <w:t xml:space="preserve"> </w:t>
      </w:r>
      <w:r w:rsidRPr="00181FCD">
        <w:t>y</w:t>
      </w:r>
      <w:r w:rsidR="00F373A3" w:rsidRPr="00181FCD">
        <w:t xml:space="preserve"> </w:t>
      </w:r>
      <w:r w:rsidRPr="00181FCD">
        <w:t>el</w:t>
      </w:r>
      <w:r w:rsidR="00F373A3" w:rsidRPr="00181FCD">
        <w:t xml:space="preserve"> </w:t>
      </w:r>
      <w:r w:rsidRPr="00181FCD">
        <w:t>control</w:t>
      </w:r>
      <w:r w:rsidR="00F373A3" w:rsidRPr="00181FCD">
        <w:t xml:space="preserve"> </w:t>
      </w:r>
      <w:r w:rsidRPr="00181FCD">
        <w:t>del</w:t>
      </w:r>
      <w:r w:rsidR="00F373A3" w:rsidRPr="00181FCD">
        <w:t xml:space="preserve"> </w:t>
      </w:r>
      <w:r w:rsidRPr="00181FCD">
        <w:t>cumplimiento</w:t>
      </w:r>
      <w:r w:rsidR="00F373A3" w:rsidRPr="00181FCD">
        <w:t xml:space="preserve"> </w:t>
      </w:r>
      <w:r w:rsidRPr="00181FCD">
        <w:t>de</w:t>
      </w:r>
      <w:r w:rsidR="00F373A3" w:rsidRPr="00181FCD">
        <w:t xml:space="preserve"> </w:t>
      </w:r>
      <w:r w:rsidRPr="00181FCD">
        <w:t>la</w:t>
      </w:r>
      <w:r w:rsidR="00F373A3" w:rsidRPr="00181FCD">
        <w:t xml:space="preserve"> </w:t>
      </w:r>
      <w:r w:rsidRPr="00181FCD">
        <w:t>normativa</w:t>
      </w:r>
      <w:r w:rsidR="00F373A3" w:rsidRPr="00181FCD">
        <w:t xml:space="preserve"> </w:t>
      </w:r>
      <w:r w:rsidRPr="00181FCD">
        <w:t>en</w:t>
      </w:r>
      <w:r w:rsidR="00F373A3" w:rsidRPr="00181FCD">
        <w:t xml:space="preserve"> </w:t>
      </w:r>
      <w:r w:rsidRPr="00181FCD">
        <w:t>relación</w:t>
      </w:r>
      <w:r w:rsidR="00F373A3" w:rsidRPr="00181FCD">
        <w:t xml:space="preserve"> </w:t>
      </w:r>
      <w:r w:rsidRPr="00181FCD">
        <w:t>con</w:t>
      </w:r>
      <w:r w:rsidR="00F373A3" w:rsidRPr="00181FCD">
        <w:t xml:space="preserve"> </w:t>
      </w:r>
      <w:r w:rsidRPr="00181FCD">
        <w:t>el</w:t>
      </w:r>
      <w:r w:rsidR="00F373A3" w:rsidRPr="00181FCD">
        <w:t xml:space="preserve"> </w:t>
      </w:r>
      <w:r w:rsidRPr="00181FCD">
        <w:t>empleo</w:t>
      </w:r>
      <w:r w:rsidR="00F373A3" w:rsidRPr="00181FCD">
        <w:t xml:space="preserve"> </w:t>
      </w:r>
      <w:r w:rsidRPr="00181FCD">
        <w:t>ilegal</w:t>
      </w:r>
      <w:r w:rsidR="00F373A3" w:rsidRPr="00181FCD">
        <w:t xml:space="preserve"> </w:t>
      </w:r>
      <w:r w:rsidRPr="00181FCD">
        <w:t>del</w:t>
      </w:r>
      <w:r w:rsidR="00F373A3" w:rsidRPr="00181FCD">
        <w:t xml:space="preserve"> </w:t>
      </w:r>
      <w:r w:rsidRPr="00181FCD">
        <w:t>trabajo</w:t>
      </w:r>
      <w:r w:rsidR="00F373A3" w:rsidRPr="00181FCD">
        <w:t xml:space="preserve"> </w:t>
      </w:r>
      <w:r w:rsidRPr="00181FCD">
        <w:t>infantil,</w:t>
      </w:r>
      <w:r w:rsidR="00F373A3" w:rsidRPr="00181FCD">
        <w:t xml:space="preserve"> </w:t>
      </w:r>
      <w:r w:rsidRPr="00181FCD">
        <w:t>así</w:t>
      </w:r>
      <w:r w:rsidR="00F373A3" w:rsidRPr="00181FCD">
        <w:t xml:space="preserve"> </w:t>
      </w:r>
      <w:r w:rsidRPr="00181FCD">
        <w:t>como</w:t>
      </w:r>
      <w:r w:rsidR="00F373A3" w:rsidRPr="00181FCD">
        <w:t xml:space="preserve"> </w:t>
      </w:r>
      <w:r w:rsidRPr="00181FCD">
        <w:t>el</w:t>
      </w:r>
      <w:r w:rsidR="00F373A3" w:rsidRPr="00181FCD">
        <w:t xml:space="preserve"> </w:t>
      </w:r>
      <w:r w:rsidRPr="00181FCD">
        <w:t>acceso</w:t>
      </w:r>
      <w:r w:rsidR="00F373A3" w:rsidRPr="00181FCD">
        <w:t xml:space="preserve"> </w:t>
      </w:r>
      <w:r w:rsidRPr="00181FCD">
        <w:t>de</w:t>
      </w:r>
      <w:r w:rsidR="00F373A3" w:rsidRPr="00181FCD">
        <w:t xml:space="preserve"> </w:t>
      </w:r>
      <w:r w:rsidRPr="00181FCD">
        <w:t>los</w:t>
      </w:r>
      <w:r w:rsidR="00F373A3" w:rsidRPr="00181FCD">
        <w:t xml:space="preserve"> </w:t>
      </w:r>
      <w:r w:rsidRPr="00181FCD">
        <w:t>niños</w:t>
      </w:r>
      <w:r w:rsidR="00F373A3" w:rsidRPr="00181FCD">
        <w:t xml:space="preserve"> </w:t>
      </w:r>
      <w:r w:rsidRPr="00181FCD">
        <w:t>a</w:t>
      </w:r>
      <w:r w:rsidR="00F373A3" w:rsidRPr="00181FCD">
        <w:t xml:space="preserve"> </w:t>
      </w:r>
      <w:r w:rsidRPr="00181FCD">
        <w:t>los</w:t>
      </w:r>
      <w:r w:rsidR="00F373A3" w:rsidRPr="00181FCD">
        <w:t xml:space="preserve"> </w:t>
      </w:r>
      <w:r w:rsidRPr="00181FCD">
        <w:t>diferentes</w:t>
      </w:r>
      <w:r w:rsidR="00F373A3" w:rsidRPr="00181FCD">
        <w:t xml:space="preserve"> </w:t>
      </w:r>
      <w:r w:rsidRPr="00181FCD">
        <w:t>servicios</w:t>
      </w:r>
      <w:r w:rsidR="00F373A3" w:rsidRPr="00181FCD">
        <w:t xml:space="preserve"> </w:t>
      </w:r>
      <w:r w:rsidRPr="00181FCD">
        <w:t>de</w:t>
      </w:r>
      <w:r w:rsidR="00F373A3" w:rsidRPr="00181FCD">
        <w:t xml:space="preserve"> </w:t>
      </w:r>
      <w:r w:rsidRPr="00181FCD">
        <w:t>prevención</w:t>
      </w:r>
      <w:r w:rsidR="00F373A3" w:rsidRPr="00181FCD">
        <w:t xml:space="preserve"> </w:t>
      </w:r>
      <w:r w:rsidRPr="00181FCD">
        <w:t>y</w:t>
      </w:r>
      <w:r w:rsidR="00F373A3" w:rsidRPr="00181FCD">
        <w:t xml:space="preserve"> </w:t>
      </w:r>
      <w:r w:rsidRPr="00181FCD">
        <w:t>protección</w:t>
      </w:r>
      <w:r w:rsidR="00F373A3" w:rsidRPr="00181FCD">
        <w:t xml:space="preserve"> </w:t>
      </w:r>
      <w:r w:rsidRPr="00181FCD">
        <w:t>en</w:t>
      </w:r>
      <w:r w:rsidR="00F373A3" w:rsidRPr="00181FCD">
        <w:t xml:space="preserve"> </w:t>
      </w:r>
      <w:r w:rsidRPr="00181FCD">
        <w:t>relación</w:t>
      </w:r>
      <w:r w:rsidR="00F373A3" w:rsidRPr="00181FCD">
        <w:t xml:space="preserve"> </w:t>
      </w:r>
      <w:r w:rsidRPr="00181FCD">
        <w:t>con</w:t>
      </w:r>
      <w:r w:rsidR="00F373A3" w:rsidRPr="00181FCD">
        <w:t xml:space="preserve"> </w:t>
      </w:r>
      <w:r w:rsidRPr="00181FCD">
        <w:t>sus</w:t>
      </w:r>
      <w:r w:rsidR="00F373A3" w:rsidRPr="00181FCD">
        <w:t xml:space="preserve"> </w:t>
      </w:r>
      <w:r w:rsidRPr="00181FCD">
        <w:t>derechos</w:t>
      </w:r>
      <w:r w:rsidR="00F373A3" w:rsidRPr="00181FCD">
        <w:t xml:space="preserve"> </w:t>
      </w:r>
      <w:r w:rsidRPr="00181FCD">
        <w:t>laborales,</w:t>
      </w:r>
      <w:r w:rsidR="00F373A3" w:rsidRPr="00181FCD">
        <w:t xml:space="preserve"> </w:t>
      </w:r>
      <w:r w:rsidRPr="00181FCD">
        <w:t>son</w:t>
      </w:r>
      <w:r w:rsidR="00F373A3" w:rsidRPr="00181FCD">
        <w:t xml:space="preserve"> </w:t>
      </w:r>
      <w:r w:rsidRPr="00181FCD">
        <w:t>factores</w:t>
      </w:r>
      <w:r w:rsidR="00F373A3" w:rsidRPr="00181FCD">
        <w:t xml:space="preserve"> </w:t>
      </w:r>
      <w:r w:rsidRPr="00181FCD">
        <w:t>importantes</w:t>
      </w:r>
      <w:r w:rsidR="00F373A3" w:rsidRPr="00181FCD">
        <w:t xml:space="preserve"> </w:t>
      </w:r>
      <w:r w:rsidRPr="00181FCD">
        <w:t>para</w:t>
      </w:r>
      <w:r w:rsidR="00F373A3" w:rsidRPr="00181FCD">
        <w:t xml:space="preserve"> </w:t>
      </w:r>
      <w:r w:rsidRPr="00181FCD">
        <w:t>la</w:t>
      </w:r>
      <w:r w:rsidR="00F373A3" w:rsidRPr="00181FCD">
        <w:t xml:space="preserve"> </w:t>
      </w:r>
      <w:r w:rsidRPr="00181FCD">
        <w:t>prevención,</w:t>
      </w:r>
      <w:r w:rsidR="00F373A3" w:rsidRPr="00181FCD">
        <w:t xml:space="preserve"> </w:t>
      </w:r>
      <w:r w:rsidRPr="00181FCD">
        <w:t>la</w:t>
      </w:r>
      <w:r w:rsidR="00F373A3" w:rsidRPr="00181FCD">
        <w:t xml:space="preserve"> </w:t>
      </w:r>
      <w:r w:rsidRPr="00181FCD">
        <w:t>detección</w:t>
      </w:r>
      <w:r w:rsidR="00F373A3" w:rsidRPr="00181FCD">
        <w:t xml:space="preserve"> </w:t>
      </w:r>
      <w:r w:rsidRPr="00181FCD">
        <w:t>y</w:t>
      </w:r>
      <w:r w:rsidR="00F373A3" w:rsidRPr="00181FCD">
        <w:t xml:space="preserve"> </w:t>
      </w:r>
      <w:r w:rsidRPr="00181FCD">
        <w:t>el</w:t>
      </w:r>
      <w:r w:rsidR="00F373A3" w:rsidRPr="00181FCD">
        <w:t xml:space="preserve"> </w:t>
      </w:r>
      <w:r w:rsidRPr="00181FCD">
        <w:t>enjuiciamiento</w:t>
      </w:r>
      <w:r w:rsidR="00F373A3" w:rsidRPr="00181FCD">
        <w:t xml:space="preserve"> </w:t>
      </w:r>
      <w:r w:rsidRPr="00181FCD">
        <w:t>de</w:t>
      </w:r>
      <w:r w:rsidR="00F373A3" w:rsidRPr="00181FCD">
        <w:t xml:space="preserve"> </w:t>
      </w:r>
      <w:r w:rsidRPr="00181FCD">
        <w:t>las</w:t>
      </w:r>
      <w:r w:rsidR="00F373A3" w:rsidRPr="00181FCD">
        <w:t xml:space="preserve"> </w:t>
      </w:r>
      <w:r w:rsidRPr="00181FCD">
        <w:t>violaciones</w:t>
      </w:r>
      <w:r w:rsidR="00F373A3" w:rsidRPr="00181FCD">
        <w:t xml:space="preserve"> </w:t>
      </w:r>
      <w:r w:rsidRPr="00181FCD">
        <w:t>de</w:t>
      </w:r>
      <w:r w:rsidR="00F373A3" w:rsidRPr="00181FCD">
        <w:t xml:space="preserve"> </w:t>
      </w:r>
      <w:r w:rsidRPr="00181FCD">
        <w:t>la</w:t>
      </w:r>
      <w:r w:rsidR="00F373A3" w:rsidRPr="00181FCD">
        <w:t xml:space="preserve"> </w:t>
      </w:r>
      <w:r w:rsidRPr="00181FCD">
        <w:t>legislación</w:t>
      </w:r>
      <w:r w:rsidR="00F373A3" w:rsidRPr="00181FCD">
        <w:t xml:space="preserve"> </w:t>
      </w:r>
      <w:r w:rsidRPr="00181FCD">
        <w:t>del</w:t>
      </w:r>
      <w:r w:rsidR="00F373A3" w:rsidRPr="00181FCD">
        <w:t xml:space="preserve"> </w:t>
      </w:r>
      <w:r w:rsidRPr="00181FCD">
        <w:t>trabajo.</w:t>
      </w:r>
    </w:p>
    <w:p w:rsidR="001937F4" w:rsidRPr="00181FCD" w:rsidRDefault="002C541C" w:rsidP="002C541C">
      <w:pPr>
        <w:pStyle w:val="H1G"/>
      </w:pPr>
      <w:r w:rsidRPr="00181FCD">
        <w:tab/>
      </w:r>
      <w:r w:rsidRPr="00181FCD">
        <w:tab/>
      </w:r>
      <w:r w:rsidR="00D04232" w:rsidRPr="00181FCD">
        <w:t>Otra</w:t>
      </w:r>
      <w:r w:rsidR="001937F4" w:rsidRPr="00181FCD">
        <w:t>s</w:t>
      </w:r>
      <w:r w:rsidR="00F373A3" w:rsidRPr="00181FCD">
        <w:t xml:space="preserve"> </w:t>
      </w:r>
      <w:r w:rsidR="00D04232" w:rsidRPr="00181FCD">
        <w:t>cuestiones</w:t>
      </w:r>
    </w:p>
    <w:p w:rsidR="001937F4" w:rsidRPr="00181FCD" w:rsidRDefault="002C541C" w:rsidP="002C541C">
      <w:pPr>
        <w:pStyle w:val="H23G"/>
      </w:pPr>
      <w:r w:rsidRPr="00181FCD">
        <w:tab/>
      </w:r>
      <w:r w:rsidRPr="00181FCD">
        <w:tab/>
      </w:r>
      <w:r w:rsidR="001937F4" w:rsidRPr="00181FCD">
        <w:t>Respuesta</w:t>
      </w:r>
      <w:r w:rsidR="00F373A3" w:rsidRPr="00181FCD">
        <w:t xml:space="preserve"> </w:t>
      </w:r>
      <w:r w:rsidR="001937F4" w:rsidRPr="00181FCD">
        <w:t>a</w:t>
      </w:r>
      <w:r w:rsidR="00F373A3" w:rsidRPr="00181FCD">
        <w:t xml:space="preserve"> </w:t>
      </w:r>
      <w:r w:rsidR="001937F4" w:rsidRPr="00181FCD">
        <w:t>las</w:t>
      </w:r>
      <w:r w:rsidR="00F373A3" w:rsidRPr="00181FCD">
        <w:t xml:space="preserve"> </w:t>
      </w:r>
      <w:r w:rsidR="001937F4" w:rsidRPr="00181FCD">
        <w:t>cuestiones</w:t>
      </w:r>
      <w:r w:rsidR="00F373A3" w:rsidRPr="00181FCD">
        <w:t xml:space="preserve"> </w:t>
      </w:r>
      <w:r w:rsidR="001937F4" w:rsidRPr="00181FCD">
        <w:t>planteadas</w:t>
      </w:r>
      <w:r w:rsidR="00F373A3" w:rsidRPr="00181FCD">
        <w:t xml:space="preserve"> </w:t>
      </w:r>
      <w:r w:rsidR="001937F4" w:rsidRPr="00181FCD">
        <w:t>en</w:t>
      </w:r>
      <w:r w:rsidR="00F373A3" w:rsidRPr="00181FCD">
        <w:t xml:space="preserve"> </w:t>
      </w:r>
      <w:r w:rsidR="001937F4" w:rsidRPr="00181FCD">
        <w:t>el</w:t>
      </w:r>
      <w:r w:rsidR="00F373A3" w:rsidRPr="00181FCD">
        <w:t xml:space="preserve"> </w:t>
      </w:r>
      <w:r w:rsidR="001937F4" w:rsidRPr="00181FCD">
        <w:t>párrafo</w:t>
      </w:r>
      <w:r w:rsidR="00F373A3" w:rsidRPr="00181FCD">
        <w:t xml:space="preserve"> </w:t>
      </w:r>
      <w:r w:rsidR="001937F4" w:rsidRPr="00181FCD">
        <w:t>29</w:t>
      </w:r>
      <w:r w:rsidR="00F373A3" w:rsidRPr="00181FCD">
        <w:t xml:space="preserve"> </w:t>
      </w:r>
      <w:r w:rsidR="001937F4" w:rsidRPr="00181FCD">
        <w:t>de</w:t>
      </w:r>
      <w:r w:rsidR="00F373A3" w:rsidRPr="00181FCD">
        <w:t xml:space="preserve"> </w:t>
      </w:r>
      <w:r w:rsidR="001937F4" w:rsidRPr="00181FCD">
        <w:t>la</w:t>
      </w:r>
      <w:r w:rsidR="00F373A3" w:rsidRPr="00181FCD">
        <w:t xml:space="preserve"> </w:t>
      </w:r>
      <w:r w:rsidR="001937F4" w:rsidRPr="00181FCD">
        <w:t>lista</w:t>
      </w:r>
      <w:r w:rsidR="00F373A3" w:rsidRPr="00181FCD">
        <w:t xml:space="preserve"> </w:t>
      </w:r>
      <w:r w:rsidR="001937F4" w:rsidRPr="00181FCD">
        <w:t>de</w:t>
      </w:r>
      <w:r w:rsidR="00F373A3" w:rsidRPr="00181FCD">
        <w:t xml:space="preserve"> </w:t>
      </w:r>
      <w:r w:rsidR="001937F4" w:rsidRPr="00181FCD">
        <w:t>cuestiones</w:t>
      </w:r>
    </w:p>
    <w:p w:rsidR="001937F4" w:rsidRPr="00181FCD" w:rsidRDefault="00F373A3" w:rsidP="00347B20">
      <w:pPr>
        <w:pStyle w:val="H4G"/>
      </w:pPr>
      <w:r w:rsidRPr="00181FCD">
        <w:tab/>
      </w:r>
      <w:r w:rsidRPr="00181FCD">
        <w:tab/>
      </w:r>
      <w:r w:rsidR="001937F4" w:rsidRPr="00181FCD">
        <w:t>Medidas</w:t>
      </w:r>
      <w:r w:rsidRPr="00181FCD">
        <w:t xml:space="preserve"> </w:t>
      </w:r>
      <w:r w:rsidR="001937F4" w:rsidRPr="00181FCD">
        <w:t>en</w:t>
      </w:r>
      <w:r w:rsidRPr="00181FCD">
        <w:t xml:space="preserve"> </w:t>
      </w:r>
      <w:r w:rsidR="001937F4" w:rsidRPr="00181FCD">
        <w:t>el</w:t>
      </w:r>
      <w:r w:rsidRPr="00181FCD">
        <w:t xml:space="preserve"> </w:t>
      </w:r>
      <w:r w:rsidR="001937F4" w:rsidRPr="00181FCD">
        <w:t>ámbito</w:t>
      </w:r>
      <w:r w:rsidRPr="00181FCD">
        <w:t xml:space="preserve"> </w:t>
      </w:r>
      <w:r w:rsidR="001937F4" w:rsidRPr="00181FCD">
        <w:t>de</w:t>
      </w:r>
      <w:r w:rsidRPr="00181FCD">
        <w:t xml:space="preserve"> </w:t>
      </w:r>
      <w:r w:rsidR="001937F4" w:rsidRPr="00181FCD">
        <w:t>la</w:t>
      </w:r>
      <w:r w:rsidRPr="00181FCD">
        <w:t xml:space="preserve"> </w:t>
      </w:r>
      <w:r w:rsidR="001937F4" w:rsidRPr="00181FCD">
        <w:t>Unión</w:t>
      </w:r>
      <w:r w:rsidRPr="00181FCD">
        <w:t xml:space="preserve"> </w:t>
      </w:r>
      <w:r w:rsidR="001937F4" w:rsidRPr="00181FCD">
        <w:t>Europea</w:t>
      </w:r>
    </w:p>
    <w:p w:rsidR="001937F4" w:rsidRPr="00181FCD" w:rsidRDefault="001937F4" w:rsidP="00347B20">
      <w:pPr>
        <w:pStyle w:val="SingleTxtG"/>
        <w:suppressAutoHyphens/>
      </w:pPr>
      <w:r w:rsidRPr="00181FCD">
        <w:t>238.</w:t>
      </w:r>
      <w:r w:rsidRPr="00181FCD">
        <w:tab/>
        <w:t>La</w:t>
      </w:r>
      <w:r w:rsidR="00F373A3" w:rsidRPr="00181FCD">
        <w:t xml:space="preserve"> </w:t>
      </w:r>
      <w:r w:rsidRPr="00181FCD">
        <w:t>Unión</w:t>
      </w:r>
      <w:r w:rsidR="00F373A3" w:rsidRPr="00181FCD">
        <w:t xml:space="preserve"> </w:t>
      </w:r>
      <w:r w:rsidRPr="00181FCD">
        <w:t>Europea</w:t>
      </w:r>
      <w:r w:rsidR="00F373A3" w:rsidRPr="00181FCD">
        <w:t xml:space="preserve"> </w:t>
      </w:r>
      <w:r w:rsidRPr="00181FCD">
        <w:t>ha</w:t>
      </w:r>
      <w:r w:rsidR="00F373A3" w:rsidRPr="00181FCD">
        <w:t xml:space="preserve"> </w:t>
      </w:r>
      <w:r w:rsidRPr="00181FCD">
        <w:t>tomado</w:t>
      </w:r>
      <w:r w:rsidR="00F373A3" w:rsidRPr="00181FCD">
        <w:t xml:space="preserve"> </w:t>
      </w:r>
      <w:r w:rsidRPr="00181FCD">
        <w:t>las</w:t>
      </w:r>
      <w:r w:rsidR="00F373A3" w:rsidRPr="00181FCD">
        <w:t xml:space="preserve"> </w:t>
      </w:r>
      <w:r w:rsidRPr="00181FCD">
        <w:t>siguientes</w:t>
      </w:r>
      <w:r w:rsidR="00F373A3" w:rsidRPr="00181FCD">
        <w:t xml:space="preserve"> </w:t>
      </w:r>
      <w:r w:rsidRPr="00181FCD">
        <w:t>medidas</w:t>
      </w:r>
      <w:r w:rsidR="00F373A3" w:rsidRPr="00181FCD">
        <w:t xml:space="preserve"> </w:t>
      </w:r>
      <w:r w:rsidRPr="00181FCD">
        <w:t>urgentes</w:t>
      </w:r>
      <w:r w:rsidR="00F373A3" w:rsidRPr="00181FCD">
        <w:t xml:space="preserve"> </w:t>
      </w:r>
      <w:r w:rsidRPr="00181FCD">
        <w:t>en</w:t>
      </w:r>
      <w:r w:rsidR="00F373A3" w:rsidRPr="00181FCD">
        <w:t xml:space="preserve"> </w:t>
      </w:r>
      <w:r w:rsidRPr="00181FCD">
        <w:t>lo</w:t>
      </w:r>
      <w:r w:rsidR="00F373A3" w:rsidRPr="00181FCD">
        <w:t xml:space="preserve"> </w:t>
      </w:r>
      <w:r w:rsidRPr="00181FCD">
        <w:t>que</w:t>
      </w:r>
      <w:r w:rsidR="00F373A3" w:rsidRPr="00181FCD">
        <w:t xml:space="preserve"> </w:t>
      </w:r>
      <w:r w:rsidRPr="00181FCD">
        <w:t>respecta</w:t>
      </w:r>
      <w:r w:rsidR="00F373A3" w:rsidRPr="00181FCD">
        <w:t xml:space="preserve"> </w:t>
      </w:r>
      <w:r w:rsidRPr="00181FCD">
        <w:t>a</w:t>
      </w:r>
      <w:r w:rsidR="00F373A3" w:rsidRPr="00181FCD">
        <w:t xml:space="preserve"> </w:t>
      </w:r>
      <w:r w:rsidRPr="00181FCD">
        <w:t>la</w:t>
      </w:r>
      <w:r w:rsidR="00F373A3" w:rsidRPr="00181FCD">
        <w:t xml:space="preserve"> </w:t>
      </w:r>
      <w:r w:rsidRPr="00181FCD">
        <w:t>amenaza</w:t>
      </w:r>
      <w:r w:rsidR="00F373A3" w:rsidRPr="00181FCD">
        <w:t xml:space="preserve"> </w:t>
      </w:r>
      <w:r w:rsidRPr="00181FCD">
        <w:t>terrorista:</w:t>
      </w:r>
    </w:p>
    <w:p w:rsidR="001937F4" w:rsidRPr="00181FCD" w:rsidRDefault="001937F4" w:rsidP="002C541C">
      <w:pPr>
        <w:pStyle w:val="Bullet1G"/>
      </w:pPr>
      <w:r w:rsidRPr="00181FCD">
        <w:t>Aceleración</w:t>
      </w:r>
      <w:r w:rsidR="00F373A3" w:rsidRPr="00181FCD">
        <w:t xml:space="preserve"> </w:t>
      </w:r>
      <w:r w:rsidRPr="00181FCD">
        <w:t>de</w:t>
      </w:r>
      <w:r w:rsidR="00F373A3" w:rsidRPr="00181FCD">
        <w:t xml:space="preserve"> </w:t>
      </w:r>
      <w:r w:rsidRPr="00181FCD">
        <w:t>las</w:t>
      </w:r>
      <w:r w:rsidR="00F373A3" w:rsidRPr="00181FCD">
        <w:t xml:space="preserve"> </w:t>
      </w:r>
      <w:r w:rsidRPr="00181FCD">
        <w:t>iniciativas</w:t>
      </w:r>
      <w:r w:rsidR="00F373A3" w:rsidRPr="00181FCD">
        <w:t xml:space="preserve"> </w:t>
      </w:r>
      <w:r w:rsidRPr="00181FCD">
        <w:t>para</w:t>
      </w:r>
      <w:r w:rsidR="00F373A3" w:rsidRPr="00181FCD">
        <w:t xml:space="preserve"> </w:t>
      </w:r>
      <w:r w:rsidRPr="00181FCD">
        <w:t>fortalecer</w:t>
      </w:r>
      <w:r w:rsidR="00F373A3" w:rsidRPr="00181FCD">
        <w:t xml:space="preserve"> </w:t>
      </w:r>
      <w:r w:rsidRPr="00181FCD">
        <w:t>la</w:t>
      </w:r>
      <w:r w:rsidR="00F373A3" w:rsidRPr="00181FCD">
        <w:t xml:space="preserve"> </w:t>
      </w:r>
      <w:r w:rsidRPr="00181FCD">
        <w:t>cooperación</w:t>
      </w:r>
      <w:r w:rsidR="00F373A3" w:rsidRPr="00181FCD">
        <w:t xml:space="preserve"> </w:t>
      </w:r>
      <w:r w:rsidRPr="00181FCD">
        <w:t>en</w:t>
      </w:r>
      <w:r w:rsidR="00F373A3" w:rsidRPr="00181FCD">
        <w:t xml:space="preserve"> </w:t>
      </w:r>
      <w:r w:rsidRPr="00181FCD">
        <w:t>la</w:t>
      </w:r>
      <w:r w:rsidR="00F373A3" w:rsidRPr="00181FCD">
        <w:t xml:space="preserve"> </w:t>
      </w:r>
      <w:r w:rsidRPr="00181FCD">
        <w:t>lucha</w:t>
      </w:r>
      <w:r w:rsidR="00F373A3" w:rsidRPr="00181FCD">
        <w:t xml:space="preserve"> </w:t>
      </w:r>
      <w:r w:rsidRPr="00181FCD">
        <w:t>contra</w:t>
      </w:r>
      <w:r w:rsidR="00F373A3" w:rsidRPr="00181FCD">
        <w:t xml:space="preserve"> </w:t>
      </w:r>
      <w:r w:rsidRPr="00181FCD">
        <w:t>el</w:t>
      </w:r>
      <w:r w:rsidR="00F373A3" w:rsidRPr="00181FCD">
        <w:t xml:space="preserve"> </w:t>
      </w:r>
      <w:r w:rsidRPr="00181FCD">
        <w:t>tráfico</w:t>
      </w:r>
      <w:r w:rsidR="00F373A3" w:rsidRPr="00181FCD">
        <w:t xml:space="preserve"> </w:t>
      </w:r>
      <w:r w:rsidRPr="00181FCD">
        <w:t>ilícito</w:t>
      </w:r>
      <w:r w:rsidR="00F373A3" w:rsidRPr="00181FCD">
        <w:t xml:space="preserve"> </w:t>
      </w:r>
      <w:r w:rsidRPr="00181FCD">
        <w:t>de</w:t>
      </w:r>
      <w:r w:rsidR="00F373A3" w:rsidRPr="00181FCD">
        <w:t xml:space="preserve"> </w:t>
      </w:r>
      <w:r w:rsidRPr="00181FCD">
        <w:t>armas</w:t>
      </w:r>
      <w:r w:rsidR="00F373A3" w:rsidRPr="00181FCD">
        <w:t xml:space="preserve"> </w:t>
      </w:r>
      <w:r w:rsidRPr="00181FCD">
        <w:t>de</w:t>
      </w:r>
      <w:r w:rsidR="00F373A3" w:rsidRPr="00181FCD">
        <w:t xml:space="preserve"> </w:t>
      </w:r>
      <w:r w:rsidRPr="00181FCD">
        <w:t>fuego</w:t>
      </w:r>
      <w:r w:rsidR="00F373A3" w:rsidRPr="00181FCD">
        <w:t xml:space="preserve"> </w:t>
      </w:r>
      <w:r w:rsidRPr="00181FCD">
        <w:t>y,</w:t>
      </w:r>
      <w:r w:rsidR="00F373A3" w:rsidRPr="00181FCD">
        <w:t xml:space="preserve"> </w:t>
      </w:r>
      <w:r w:rsidRPr="00181FCD">
        <w:t>en</w:t>
      </w:r>
      <w:r w:rsidR="00F373A3" w:rsidRPr="00181FCD">
        <w:t xml:space="preserve"> </w:t>
      </w:r>
      <w:r w:rsidRPr="00181FCD">
        <w:t>particular,</w:t>
      </w:r>
      <w:r w:rsidR="00F373A3" w:rsidRPr="00181FCD">
        <w:t xml:space="preserve"> </w:t>
      </w:r>
      <w:r w:rsidRPr="00181FCD">
        <w:t>la</w:t>
      </w:r>
      <w:r w:rsidR="00F373A3" w:rsidRPr="00181FCD">
        <w:t xml:space="preserve"> </w:t>
      </w:r>
      <w:r w:rsidRPr="00181FCD">
        <w:t>venta</w:t>
      </w:r>
      <w:r w:rsidR="00F373A3" w:rsidRPr="00181FCD">
        <w:t xml:space="preserve"> </w:t>
      </w:r>
      <w:r w:rsidRPr="00181FCD">
        <w:t>de</w:t>
      </w:r>
      <w:r w:rsidR="00F373A3" w:rsidRPr="00181FCD">
        <w:t xml:space="preserve"> </w:t>
      </w:r>
      <w:r w:rsidRPr="00181FCD">
        <w:t>armamento</w:t>
      </w:r>
      <w:r w:rsidR="00F373A3" w:rsidRPr="00181FCD">
        <w:t xml:space="preserve"> </w:t>
      </w:r>
      <w:r w:rsidRPr="00181FCD">
        <w:t>a</w:t>
      </w:r>
      <w:r w:rsidR="00F373A3" w:rsidRPr="00181FCD">
        <w:t xml:space="preserve"> </w:t>
      </w:r>
      <w:r w:rsidRPr="00181FCD">
        <w:t>través</w:t>
      </w:r>
      <w:r w:rsidR="00F373A3" w:rsidRPr="00181FCD">
        <w:t xml:space="preserve"> </w:t>
      </w:r>
      <w:r w:rsidRPr="00181FCD">
        <w:t>de</w:t>
      </w:r>
      <w:r w:rsidR="00F373A3" w:rsidRPr="00181FCD">
        <w:t xml:space="preserve"> </w:t>
      </w:r>
      <w:r w:rsidR="002C541C" w:rsidRPr="00181FCD">
        <w:t>Internet;</w:t>
      </w:r>
    </w:p>
    <w:p w:rsidR="001937F4" w:rsidRPr="00181FCD" w:rsidRDefault="001937F4" w:rsidP="002C541C">
      <w:pPr>
        <w:pStyle w:val="Bullet1G"/>
      </w:pPr>
      <w:r w:rsidRPr="00181FCD">
        <w:t>Pronta</w:t>
      </w:r>
      <w:r w:rsidR="00F373A3" w:rsidRPr="00181FCD">
        <w:t xml:space="preserve"> </w:t>
      </w:r>
      <w:r w:rsidRPr="00181FCD">
        <w:t>adopción</w:t>
      </w:r>
      <w:r w:rsidR="00F373A3" w:rsidRPr="00181FCD">
        <w:t xml:space="preserve"> </w:t>
      </w:r>
      <w:r w:rsidRPr="00181FCD">
        <w:t>de</w:t>
      </w:r>
      <w:r w:rsidR="00F373A3" w:rsidRPr="00181FCD">
        <w:t xml:space="preserve"> </w:t>
      </w:r>
      <w:r w:rsidRPr="00181FCD">
        <w:t>la</w:t>
      </w:r>
      <w:r w:rsidR="00F373A3" w:rsidRPr="00181FCD">
        <w:t xml:space="preserve"> </w:t>
      </w:r>
      <w:r w:rsidRPr="00181FCD">
        <w:t>Directiva</w:t>
      </w:r>
      <w:r w:rsidR="00F373A3" w:rsidRPr="00181FCD">
        <w:t xml:space="preserve"> </w:t>
      </w:r>
      <w:r w:rsidRPr="00181FCD">
        <w:t>Europea</w:t>
      </w:r>
      <w:r w:rsidR="00F373A3" w:rsidRPr="00181FCD">
        <w:t xml:space="preserve"> </w:t>
      </w:r>
      <w:r w:rsidRPr="00181FCD">
        <w:t>relativa</w:t>
      </w:r>
      <w:r w:rsidR="00F373A3" w:rsidRPr="00181FCD">
        <w:t xml:space="preserve"> </w:t>
      </w:r>
      <w:r w:rsidRPr="00181FCD">
        <w:t>al</w:t>
      </w:r>
      <w:r w:rsidR="00F373A3" w:rsidRPr="00181FCD">
        <w:t xml:space="preserve"> </w:t>
      </w:r>
      <w:r w:rsidRPr="00181FCD">
        <w:t>Registro</w:t>
      </w:r>
      <w:r w:rsidR="00F373A3" w:rsidRPr="00181FCD">
        <w:t xml:space="preserve"> </w:t>
      </w:r>
      <w:r w:rsidRPr="00181FCD">
        <w:t>de</w:t>
      </w:r>
      <w:r w:rsidR="00F373A3" w:rsidRPr="00181FCD">
        <w:t xml:space="preserve"> </w:t>
      </w:r>
      <w:r w:rsidRPr="00181FCD">
        <w:t>los</w:t>
      </w:r>
      <w:r w:rsidR="00F373A3" w:rsidRPr="00181FCD">
        <w:t xml:space="preserve"> </w:t>
      </w:r>
      <w:r w:rsidRPr="00181FCD">
        <w:t>Nombres</w:t>
      </w:r>
      <w:r w:rsidR="00F373A3" w:rsidRPr="00181FCD">
        <w:t xml:space="preserve"> </w:t>
      </w:r>
      <w:r w:rsidRPr="00181FCD">
        <w:t>de</w:t>
      </w:r>
      <w:r w:rsidR="00F373A3" w:rsidRPr="00181FCD">
        <w:t xml:space="preserve"> </w:t>
      </w:r>
      <w:r w:rsidRPr="00181FCD">
        <w:t>Pasajeros,</w:t>
      </w:r>
      <w:r w:rsidR="00F373A3" w:rsidRPr="00181FCD">
        <w:t xml:space="preserve"> </w:t>
      </w:r>
      <w:r w:rsidRPr="00181FCD">
        <w:t>que</w:t>
      </w:r>
      <w:r w:rsidR="00F373A3" w:rsidRPr="00181FCD">
        <w:t xml:space="preserve"> </w:t>
      </w:r>
      <w:r w:rsidRPr="00181FCD">
        <w:t>permitirá</w:t>
      </w:r>
      <w:r w:rsidR="00F373A3" w:rsidRPr="00181FCD">
        <w:t xml:space="preserve"> </w:t>
      </w:r>
      <w:r w:rsidRPr="00181FCD">
        <w:t>rastrear</w:t>
      </w:r>
      <w:r w:rsidR="00F373A3" w:rsidRPr="00181FCD">
        <w:t xml:space="preserve"> </w:t>
      </w:r>
      <w:r w:rsidRPr="00181FCD">
        <w:t>de</w:t>
      </w:r>
      <w:r w:rsidR="00F373A3" w:rsidRPr="00181FCD">
        <w:t xml:space="preserve"> </w:t>
      </w:r>
      <w:r w:rsidRPr="00181FCD">
        <w:t>manera</w:t>
      </w:r>
      <w:r w:rsidR="00F373A3" w:rsidRPr="00181FCD">
        <w:t xml:space="preserve"> </w:t>
      </w:r>
      <w:r w:rsidRPr="00181FCD">
        <w:t>más</w:t>
      </w:r>
      <w:r w:rsidR="00F373A3" w:rsidRPr="00181FCD">
        <w:t xml:space="preserve"> </w:t>
      </w:r>
      <w:r w:rsidRPr="00181FCD">
        <w:t>eficaz</w:t>
      </w:r>
      <w:r w:rsidR="00F373A3" w:rsidRPr="00181FCD">
        <w:t xml:space="preserve"> </w:t>
      </w:r>
      <w:r w:rsidRPr="00181FCD">
        <w:t>los</w:t>
      </w:r>
      <w:r w:rsidR="00F373A3" w:rsidRPr="00181FCD">
        <w:t xml:space="preserve"> </w:t>
      </w:r>
      <w:r w:rsidRPr="00181FCD">
        <w:t>movimientos</w:t>
      </w:r>
      <w:r w:rsidR="00F373A3" w:rsidRPr="00181FCD">
        <w:t xml:space="preserve"> </w:t>
      </w:r>
      <w:r w:rsidRPr="00181FCD">
        <w:t>de</w:t>
      </w:r>
      <w:r w:rsidR="00F373A3" w:rsidRPr="00181FCD">
        <w:t xml:space="preserve"> </w:t>
      </w:r>
      <w:r w:rsidRPr="00181FCD">
        <w:t>los</w:t>
      </w:r>
      <w:r w:rsidR="00F373A3" w:rsidRPr="00181FCD">
        <w:t xml:space="preserve"> </w:t>
      </w:r>
      <w:r w:rsidRPr="00181FCD">
        <w:t>combatientes</w:t>
      </w:r>
      <w:r w:rsidR="00F373A3" w:rsidRPr="00181FCD">
        <w:t xml:space="preserve"> </w:t>
      </w:r>
      <w:r w:rsidR="002C541C" w:rsidRPr="00181FCD">
        <w:t>extranjeros;</w:t>
      </w:r>
    </w:p>
    <w:p w:rsidR="001937F4" w:rsidRPr="00181FCD" w:rsidRDefault="001937F4" w:rsidP="002C541C">
      <w:pPr>
        <w:pStyle w:val="Bullet1G"/>
      </w:pPr>
      <w:r w:rsidRPr="00181FCD">
        <w:t>Adopción</w:t>
      </w:r>
      <w:r w:rsidR="00F373A3" w:rsidRPr="00181FCD">
        <w:t xml:space="preserve"> </w:t>
      </w:r>
      <w:r w:rsidRPr="00181FCD">
        <w:t>de</w:t>
      </w:r>
      <w:r w:rsidR="00F373A3" w:rsidRPr="00181FCD">
        <w:t xml:space="preserve"> </w:t>
      </w:r>
      <w:r w:rsidRPr="00181FCD">
        <w:t>todas</w:t>
      </w:r>
      <w:r w:rsidR="00F373A3" w:rsidRPr="00181FCD">
        <w:t xml:space="preserve"> </w:t>
      </w:r>
      <w:r w:rsidRPr="00181FCD">
        <w:t>las</w:t>
      </w:r>
      <w:r w:rsidR="00F373A3" w:rsidRPr="00181FCD">
        <w:t xml:space="preserve"> </w:t>
      </w:r>
      <w:r w:rsidRPr="00181FCD">
        <w:t>medidas</w:t>
      </w:r>
      <w:r w:rsidR="00F373A3" w:rsidRPr="00181FCD">
        <w:t xml:space="preserve"> </w:t>
      </w:r>
      <w:r w:rsidRPr="00181FCD">
        <w:t>de</w:t>
      </w:r>
      <w:r w:rsidR="00F373A3" w:rsidRPr="00181FCD">
        <w:t xml:space="preserve"> </w:t>
      </w:r>
      <w:r w:rsidRPr="00181FCD">
        <w:t>seguridad</w:t>
      </w:r>
      <w:r w:rsidR="00F373A3" w:rsidRPr="00181FCD">
        <w:t xml:space="preserve"> </w:t>
      </w:r>
      <w:r w:rsidRPr="00181FCD">
        <w:t>previstas</w:t>
      </w:r>
      <w:r w:rsidR="00F373A3" w:rsidRPr="00181FCD">
        <w:t xml:space="preserve"> </w:t>
      </w:r>
      <w:r w:rsidRPr="00181FCD">
        <w:t>en</w:t>
      </w:r>
      <w:r w:rsidR="00F373A3" w:rsidRPr="00181FCD">
        <w:t xml:space="preserve"> </w:t>
      </w:r>
      <w:r w:rsidRPr="00181FCD">
        <w:t>la</w:t>
      </w:r>
      <w:r w:rsidR="00F373A3" w:rsidRPr="00181FCD">
        <w:t xml:space="preserve"> </w:t>
      </w:r>
      <w:r w:rsidRPr="00181FCD">
        <w:t>legislación</w:t>
      </w:r>
      <w:r w:rsidR="00F373A3" w:rsidRPr="00181FCD">
        <w:t xml:space="preserve"> </w:t>
      </w:r>
      <w:r w:rsidRPr="00181FCD">
        <w:t>de</w:t>
      </w:r>
      <w:r w:rsidR="00F373A3" w:rsidRPr="00181FCD">
        <w:t xml:space="preserve"> </w:t>
      </w:r>
      <w:r w:rsidRPr="00181FCD">
        <w:t>Schengen,</w:t>
      </w:r>
      <w:r w:rsidR="00F373A3" w:rsidRPr="00181FCD">
        <w:t xml:space="preserve"> </w:t>
      </w:r>
      <w:r w:rsidRPr="00181FCD">
        <w:t>sin</w:t>
      </w:r>
      <w:r w:rsidR="00F373A3" w:rsidRPr="00181FCD">
        <w:t xml:space="preserve"> </w:t>
      </w:r>
      <w:r w:rsidRPr="00181FCD">
        <w:t>limitación</w:t>
      </w:r>
      <w:r w:rsidR="00F373A3" w:rsidRPr="00181FCD">
        <w:t xml:space="preserve"> </w:t>
      </w:r>
      <w:r w:rsidRPr="00181FCD">
        <w:t>del</w:t>
      </w:r>
      <w:r w:rsidR="00F373A3" w:rsidRPr="00181FCD">
        <w:t xml:space="preserve"> </w:t>
      </w:r>
      <w:r w:rsidRPr="00181FCD">
        <w:t>derecho</w:t>
      </w:r>
      <w:r w:rsidR="00F373A3" w:rsidRPr="00181FCD">
        <w:t xml:space="preserve"> </w:t>
      </w:r>
      <w:r w:rsidRPr="00181FCD">
        <w:t>de</w:t>
      </w:r>
      <w:r w:rsidR="00F373A3" w:rsidRPr="00181FCD">
        <w:t xml:space="preserve"> </w:t>
      </w:r>
      <w:r w:rsidRPr="00181FCD">
        <w:t>libre</w:t>
      </w:r>
      <w:r w:rsidR="00F373A3" w:rsidRPr="00181FCD">
        <w:t xml:space="preserve"> </w:t>
      </w:r>
      <w:r w:rsidR="002C541C" w:rsidRPr="00181FCD">
        <w:t>circulación;</w:t>
      </w:r>
    </w:p>
    <w:p w:rsidR="001937F4" w:rsidRPr="00181FCD" w:rsidRDefault="001937F4" w:rsidP="002C541C">
      <w:pPr>
        <w:pStyle w:val="Bullet1G"/>
      </w:pPr>
      <w:r w:rsidRPr="00181FCD">
        <w:t>Plena</w:t>
      </w:r>
      <w:r w:rsidR="00F373A3" w:rsidRPr="00181FCD">
        <w:t xml:space="preserve"> </w:t>
      </w:r>
      <w:r w:rsidRPr="00181FCD">
        <w:t>utilización</w:t>
      </w:r>
      <w:r w:rsidR="00F373A3" w:rsidRPr="00181FCD">
        <w:t xml:space="preserve"> </w:t>
      </w:r>
      <w:r w:rsidRPr="00181FCD">
        <w:t>de</w:t>
      </w:r>
      <w:r w:rsidR="00F373A3" w:rsidRPr="00181FCD">
        <w:t xml:space="preserve"> </w:t>
      </w:r>
      <w:r w:rsidRPr="00181FCD">
        <w:t>los</w:t>
      </w:r>
      <w:r w:rsidR="00F373A3" w:rsidRPr="00181FCD">
        <w:t xml:space="preserve"> </w:t>
      </w:r>
      <w:r w:rsidRPr="00181FCD">
        <w:t>indicadores</w:t>
      </w:r>
      <w:r w:rsidR="00F373A3" w:rsidRPr="00181FCD">
        <w:t xml:space="preserve"> </w:t>
      </w:r>
      <w:r w:rsidRPr="00181FCD">
        <w:t>de</w:t>
      </w:r>
      <w:r w:rsidR="00F373A3" w:rsidRPr="00181FCD">
        <w:t xml:space="preserve"> </w:t>
      </w:r>
      <w:r w:rsidRPr="00181FCD">
        <w:t>riesgo</w:t>
      </w:r>
      <w:r w:rsidR="00F373A3" w:rsidRPr="00181FCD">
        <w:t xml:space="preserve"> </w:t>
      </w:r>
      <w:r w:rsidRPr="00181FCD">
        <w:t>comunes</w:t>
      </w:r>
      <w:r w:rsidR="00F373A3" w:rsidRPr="00181FCD">
        <w:t xml:space="preserve"> </w:t>
      </w:r>
      <w:r w:rsidRPr="00181FCD">
        <w:t>y</w:t>
      </w:r>
      <w:r w:rsidR="00F373A3" w:rsidRPr="00181FCD">
        <w:t xml:space="preserve"> </w:t>
      </w:r>
      <w:r w:rsidRPr="00181FCD">
        <w:t>las</w:t>
      </w:r>
      <w:r w:rsidR="00F373A3" w:rsidRPr="00181FCD">
        <w:t xml:space="preserve"> </w:t>
      </w:r>
      <w:r w:rsidRPr="00181FCD">
        <w:t>directrices</w:t>
      </w:r>
      <w:r w:rsidR="00F373A3" w:rsidRPr="00181FCD">
        <w:t xml:space="preserve"> </w:t>
      </w:r>
      <w:r w:rsidRPr="00181FCD">
        <w:t>elaboradas</w:t>
      </w:r>
      <w:r w:rsidR="00F373A3" w:rsidRPr="00181FCD">
        <w:t xml:space="preserve"> </w:t>
      </w:r>
      <w:r w:rsidRPr="00181FCD">
        <w:t>por</w:t>
      </w:r>
      <w:r w:rsidR="00F373A3" w:rsidRPr="00181FCD">
        <w:t xml:space="preserve"> </w:t>
      </w:r>
      <w:r w:rsidRPr="00181FCD">
        <w:t>la</w:t>
      </w:r>
      <w:r w:rsidR="00F373A3" w:rsidRPr="00181FCD">
        <w:t xml:space="preserve"> </w:t>
      </w:r>
      <w:r w:rsidRPr="00181FCD">
        <w:t>UE</w:t>
      </w:r>
      <w:r w:rsidR="00F373A3" w:rsidRPr="00181FCD">
        <w:t xml:space="preserve"> </w:t>
      </w:r>
      <w:r w:rsidRPr="00181FCD">
        <w:t>en</w:t>
      </w:r>
      <w:r w:rsidR="00F373A3" w:rsidRPr="00181FCD">
        <w:t xml:space="preserve"> </w:t>
      </w:r>
      <w:r w:rsidRPr="00181FCD">
        <w:t>relación</w:t>
      </w:r>
      <w:r w:rsidR="00F373A3" w:rsidRPr="00181FCD">
        <w:t xml:space="preserve"> </w:t>
      </w:r>
      <w:r w:rsidRPr="00181FCD">
        <w:t>con</w:t>
      </w:r>
      <w:r w:rsidR="00F373A3" w:rsidRPr="00181FCD">
        <w:t xml:space="preserve"> </w:t>
      </w:r>
      <w:r w:rsidRPr="00181FCD">
        <w:t>la</w:t>
      </w:r>
      <w:r w:rsidR="00F373A3" w:rsidRPr="00181FCD">
        <w:t xml:space="preserve"> </w:t>
      </w:r>
      <w:r w:rsidRPr="00181FCD">
        <w:t>realización</w:t>
      </w:r>
      <w:r w:rsidR="00F373A3" w:rsidRPr="00181FCD">
        <w:t xml:space="preserve"> </w:t>
      </w:r>
      <w:r w:rsidRPr="00181FCD">
        <w:t>de</w:t>
      </w:r>
      <w:r w:rsidR="00F373A3" w:rsidRPr="00181FCD">
        <w:t xml:space="preserve"> </w:t>
      </w:r>
      <w:r w:rsidRPr="00181FCD">
        <w:t>controles</w:t>
      </w:r>
      <w:r w:rsidR="00F373A3" w:rsidRPr="00181FCD">
        <w:t xml:space="preserve"> </w:t>
      </w:r>
      <w:r w:rsidRPr="00181FCD">
        <w:t>en</w:t>
      </w:r>
      <w:r w:rsidR="00F373A3" w:rsidRPr="00181FCD">
        <w:t xml:space="preserve"> </w:t>
      </w:r>
      <w:r w:rsidRPr="00181FCD">
        <w:t>las</w:t>
      </w:r>
      <w:r w:rsidR="00F373A3" w:rsidRPr="00181FCD">
        <w:t xml:space="preserve"> </w:t>
      </w:r>
      <w:r w:rsidR="002C541C" w:rsidRPr="00181FCD">
        <w:t>fronteras;</w:t>
      </w:r>
    </w:p>
    <w:p w:rsidR="001937F4" w:rsidRPr="00181FCD" w:rsidRDefault="001937F4" w:rsidP="002C541C">
      <w:pPr>
        <w:pStyle w:val="Bullet1G"/>
      </w:pPr>
      <w:r w:rsidRPr="00181FCD">
        <w:t>Creación</w:t>
      </w:r>
      <w:r w:rsidR="00F373A3" w:rsidRPr="00181FCD">
        <w:t xml:space="preserve"> </w:t>
      </w:r>
      <w:r w:rsidRPr="00181FCD">
        <w:t>con</w:t>
      </w:r>
      <w:r w:rsidR="00F373A3" w:rsidRPr="00181FCD">
        <w:t xml:space="preserve"> </w:t>
      </w:r>
      <w:r w:rsidRPr="00181FCD">
        <w:t>carácter</w:t>
      </w:r>
      <w:r w:rsidR="00F373A3" w:rsidRPr="00181FCD">
        <w:t xml:space="preserve"> </w:t>
      </w:r>
      <w:r w:rsidRPr="00181FCD">
        <w:t>de</w:t>
      </w:r>
      <w:r w:rsidR="00F373A3" w:rsidRPr="00181FCD">
        <w:t xml:space="preserve"> </w:t>
      </w:r>
      <w:r w:rsidRPr="00181FCD">
        <w:t>urgencia</w:t>
      </w:r>
      <w:r w:rsidR="00F373A3" w:rsidRPr="00181FCD">
        <w:t xml:space="preserve"> </w:t>
      </w:r>
      <w:r w:rsidRPr="00181FCD">
        <w:t>de</w:t>
      </w:r>
      <w:r w:rsidR="00F373A3" w:rsidRPr="00181FCD">
        <w:t xml:space="preserve"> </w:t>
      </w:r>
      <w:r w:rsidRPr="00181FCD">
        <w:t>un</w:t>
      </w:r>
      <w:r w:rsidR="00F373A3" w:rsidRPr="00181FCD">
        <w:t xml:space="preserve"> </w:t>
      </w:r>
      <w:r w:rsidRPr="00181FCD">
        <w:t>Centro</w:t>
      </w:r>
      <w:r w:rsidR="00F373A3" w:rsidRPr="00181FCD">
        <w:t xml:space="preserve"> </w:t>
      </w:r>
      <w:r w:rsidRPr="00181FCD">
        <w:t>Europeo</w:t>
      </w:r>
      <w:r w:rsidR="00F373A3" w:rsidRPr="00181FCD">
        <w:t xml:space="preserve"> </w:t>
      </w:r>
      <w:r w:rsidRPr="00181FCD">
        <w:t>contra</w:t>
      </w:r>
      <w:r w:rsidR="00F373A3" w:rsidRPr="00181FCD">
        <w:t xml:space="preserve"> </w:t>
      </w:r>
      <w:r w:rsidRPr="00181FCD">
        <w:t>el</w:t>
      </w:r>
      <w:r w:rsidR="00F373A3" w:rsidRPr="00181FCD">
        <w:t xml:space="preserve"> </w:t>
      </w:r>
      <w:r w:rsidRPr="00181FCD">
        <w:t>Terrorismo</w:t>
      </w:r>
      <w:r w:rsidR="00F373A3" w:rsidRPr="00181FCD">
        <w:t xml:space="preserve"> </w:t>
      </w:r>
      <w:r w:rsidRPr="00181FCD">
        <w:t>dentro</w:t>
      </w:r>
      <w:r w:rsidR="00F373A3" w:rsidRPr="00181FCD">
        <w:t xml:space="preserve"> </w:t>
      </w:r>
      <w:r w:rsidRPr="00181FCD">
        <w:t>de</w:t>
      </w:r>
      <w:r w:rsidR="00F373A3" w:rsidRPr="00181FCD">
        <w:t xml:space="preserve"> </w:t>
      </w:r>
      <w:r w:rsidRPr="00181FCD">
        <w:t>Europol,</w:t>
      </w:r>
      <w:r w:rsidR="00F373A3" w:rsidRPr="00181FCD">
        <w:t xml:space="preserve"> </w:t>
      </w:r>
      <w:r w:rsidRPr="00181FCD">
        <w:t>que</w:t>
      </w:r>
      <w:r w:rsidR="00F373A3" w:rsidRPr="00181FCD">
        <w:t xml:space="preserve"> </w:t>
      </w:r>
      <w:r w:rsidRPr="00181FCD">
        <w:t>debería</w:t>
      </w:r>
      <w:r w:rsidR="00F373A3" w:rsidRPr="00181FCD">
        <w:t xml:space="preserve"> </w:t>
      </w:r>
      <w:r w:rsidRPr="00181FCD">
        <w:t>fortalecer</w:t>
      </w:r>
      <w:r w:rsidR="00F373A3" w:rsidRPr="00181FCD">
        <w:t xml:space="preserve"> </w:t>
      </w:r>
      <w:r w:rsidRPr="00181FCD">
        <w:t>el</w:t>
      </w:r>
      <w:r w:rsidR="00F373A3" w:rsidRPr="00181FCD">
        <w:t xml:space="preserve"> </w:t>
      </w:r>
      <w:r w:rsidRPr="00181FCD">
        <w:t>intercambio</w:t>
      </w:r>
      <w:r w:rsidR="00F373A3" w:rsidRPr="00181FCD">
        <w:t xml:space="preserve"> </w:t>
      </w:r>
      <w:r w:rsidRPr="00181FCD">
        <w:t>de</w:t>
      </w:r>
      <w:r w:rsidR="00F373A3" w:rsidRPr="00181FCD">
        <w:t xml:space="preserve"> </w:t>
      </w:r>
      <w:r w:rsidRPr="00181FCD">
        <w:t>información</w:t>
      </w:r>
      <w:r w:rsidR="00F373A3" w:rsidRPr="00181FCD">
        <w:t xml:space="preserve"> </w:t>
      </w:r>
      <w:r w:rsidRPr="00181FCD">
        <w:t>y</w:t>
      </w:r>
      <w:r w:rsidR="00F373A3" w:rsidRPr="00181FCD">
        <w:t xml:space="preserve"> </w:t>
      </w:r>
      <w:r w:rsidRPr="00181FCD">
        <w:t>la</w:t>
      </w:r>
      <w:r w:rsidR="00F373A3" w:rsidRPr="00181FCD">
        <w:t xml:space="preserve"> </w:t>
      </w:r>
      <w:r w:rsidRPr="00181FCD">
        <w:t>coordinación</w:t>
      </w:r>
      <w:r w:rsidR="00F373A3" w:rsidRPr="00181FCD">
        <w:t xml:space="preserve"> </w:t>
      </w:r>
      <w:r w:rsidRPr="00181FCD">
        <w:t>entre</w:t>
      </w:r>
      <w:r w:rsidR="00F373A3" w:rsidRPr="00181FCD">
        <w:t xml:space="preserve"> </w:t>
      </w:r>
      <w:r w:rsidRPr="00181FCD">
        <w:t>las</w:t>
      </w:r>
      <w:r w:rsidR="00F373A3" w:rsidRPr="00181FCD">
        <w:t xml:space="preserve"> </w:t>
      </w:r>
      <w:r w:rsidRPr="00181FCD">
        <w:t>autoridades</w:t>
      </w:r>
      <w:r w:rsidR="00F373A3" w:rsidRPr="00181FCD">
        <w:t xml:space="preserve"> </w:t>
      </w:r>
      <w:r w:rsidRPr="00181FCD">
        <w:t>nacionales</w:t>
      </w:r>
      <w:r w:rsidR="00F373A3" w:rsidRPr="00181FCD">
        <w:t xml:space="preserve"> </w:t>
      </w:r>
      <w:r w:rsidR="002C541C" w:rsidRPr="00181FCD">
        <w:t>competentes;</w:t>
      </w:r>
    </w:p>
    <w:p w:rsidR="001937F4" w:rsidRPr="00181FCD" w:rsidRDefault="001937F4" w:rsidP="002C541C">
      <w:pPr>
        <w:pStyle w:val="Bullet1G"/>
      </w:pPr>
      <w:r w:rsidRPr="00181FCD">
        <w:t>Organización</w:t>
      </w:r>
      <w:r w:rsidR="00F373A3" w:rsidRPr="00181FCD">
        <w:t xml:space="preserve"> </w:t>
      </w:r>
      <w:r w:rsidRPr="00181FCD">
        <w:t>de</w:t>
      </w:r>
      <w:r w:rsidR="00F373A3" w:rsidRPr="00181FCD">
        <w:t xml:space="preserve"> </w:t>
      </w:r>
      <w:r w:rsidRPr="00181FCD">
        <w:t>actividades</w:t>
      </w:r>
      <w:r w:rsidR="00F373A3" w:rsidRPr="00181FCD">
        <w:t xml:space="preserve"> </w:t>
      </w:r>
      <w:r w:rsidRPr="00181FCD">
        <w:t>para</w:t>
      </w:r>
      <w:r w:rsidR="00F373A3" w:rsidRPr="00181FCD">
        <w:t xml:space="preserve"> </w:t>
      </w:r>
      <w:r w:rsidRPr="00181FCD">
        <w:t>contrarrestar</w:t>
      </w:r>
      <w:r w:rsidR="00F373A3" w:rsidRPr="00181FCD">
        <w:t xml:space="preserve"> </w:t>
      </w:r>
      <w:r w:rsidRPr="00181FCD">
        <w:t>las</w:t>
      </w:r>
      <w:r w:rsidR="00F373A3" w:rsidRPr="00181FCD">
        <w:t xml:space="preserve"> </w:t>
      </w:r>
      <w:r w:rsidRPr="00181FCD">
        <w:t>posiciones</w:t>
      </w:r>
      <w:r w:rsidR="00F373A3" w:rsidRPr="00181FCD">
        <w:t xml:space="preserve"> </w:t>
      </w:r>
      <w:r w:rsidRPr="00181FCD">
        <w:t>radicalizadas,</w:t>
      </w:r>
      <w:r w:rsidR="00F373A3" w:rsidRPr="00181FCD">
        <w:t xml:space="preserve"> </w:t>
      </w:r>
      <w:r w:rsidRPr="00181FCD">
        <w:t>incluso</w:t>
      </w:r>
      <w:r w:rsidR="00F373A3" w:rsidRPr="00181FCD">
        <w:t xml:space="preserve"> </w:t>
      </w:r>
      <w:r w:rsidRPr="00181FCD">
        <w:t>en</w:t>
      </w:r>
      <w:r w:rsidR="00F373A3" w:rsidRPr="00181FCD">
        <w:t xml:space="preserve"> </w:t>
      </w:r>
      <w:r w:rsidRPr="00181FCD">
        <w:t>el</w:t>
      </w:r>
      <w:r w:rsidR="00F373A3" w:rsidRPr="00181FCD">
        <w:t xml:space="preserve"> </w:t>
      </w:r>
      <w:r w:rsidRPr="00181FCD">
        <w:t>marco</w:t>
      </w:r>
      <w:r w:rsidR="00F373A3" w:rsidRPr="00181FCD">
        <w:t xml:space="preserve"> </w:t>
      </w:r>
      <w:r w:rsidRPr="00181FCD">
        <w:t>de</w:t>
      </w:r>
      <w:r w:rsidR="00F373A3" w:rsidRPr="00181FCD">
        <w:t xml:space="preserve"> </w:t>
      </w:r>
      <w:r w:rsidRPr="00181FCD">
        <w:t>asociaciones</w:t>
      </w:r>
      <w:r w:rsidR="00F373A3" w:rsidRPr="00181FCD">
        <w:t xml:space="preserve"> </w:t>
      </w:r>
      <w:r w:rsidRPr="00181FCD">
        <w:t>público-privadas</w:t>
      </w:r>
      <w:r w:rsidR="00F373A3" w:rsidRPr="00181FCD">
        <w:t xml:space="preserve"> </w:t>
      </w:r>
      <w:r w:rsidRPr="00181FCD">
        <w:t>(el</w:t>
      </w:r>
      <w:r w:rsidR="00F373A3" w:rsidRPr="00181FCD">
        <w:t xml:space="preserve"> </w:t>
      </w:r>
      <w:r w:rsidRPr="00181FCD">
        <w:t>2</w:t>
      </w:r>
      <w:r w:rsidR="00F373A3" w:rsidRPr="00181FCD">
        <w:t xml:space="preserve"> </w:t>
      </w:r>
      <w:r w:rsidRPr="00181FCD">
        <w:t>de</w:t>
      </w:r>
      <w:r w:rsidR="00F373A3" w:rsidRPr="00181FCD">
        <w:t xml:space="preserve"> </w:t>
      </w:r>
      <w:r w:rsidRPr="00181FCD">
        <w:t>diciembre</w:t>
      </w:r>
      <w:r w:rsidR="00F373A3" w:rsidRPr="00181FCD">
        <w:t xml:space="preserve"> </w:t>
      </w:r>
      <w:r w:rsidRPr="00181FCD">
        <w:t>de</w:t>
      </w:r>
      <w:r w:rsidR="00F373A3" w:rsidRPr="00181FCD">
        <w:t xml:space="preserve"> </w:t>
      </w:r>
      <w:r w:rsidRPr="00181FCD">
        <w:t>2015</w:t>
      </w:r>
      <w:r w:rsidR="00F373A3" w:rsidRPr="00181FCD">
        <w:t xml:space="preserve"> </w:t>
      </w:r>
      <w:r w:rsidRPr="00181FCD">
        <w:t>tendrá</w:t>
      </w:r>
      <w:r w:rsidR="00F373A3" w:rsidRPr="00181FCD">
        <w:t xml:space="preserve"> </w:t>
      </w:r>
      <w:r w:rsidRPr="00181FCD">
        <w:t>lugar</w:t>
      </w:r>
      <w:r w:rsidR="00F373A3" w:rsidRPr="00181FCD">
        <w:t xml:space="preserve"> </w:t>
      </w:r>
      <w:r w:rsidRPr="00181FCD">
        <w:t>el</w:t>
      </w:r>
      <w:r w:rsidR="00F373A3" w:rsidRPr="00181FCD">
        <w:t xml:space="preserve"> </w:t>
      </w:r>
      <w:r w:rsidRPr="00181FCD">
        <w:t>primer</w:t>
      </w:r>
      <w:r w:rsidR="00F373A3" w:rsidRPr="00181FCD">
        <w:t xml:space="preserve"> </w:t>
      </w:r>
      <w:r w:rsidRPr="00181FCD">
        <w:t>Foro</w:t>
      </w:r>
      <w:r w:rsidR="00F373A3" w:rsidRPr="00181FCD">
        <w:t xml:space="preserve"> </w:t>
      </w:r>
      <w:r w:rsidRPr="00181FCD">
        <w:t>Europeo</w:t>
      </w:r>
      <w:r w:rsidR="00F373A3" w:rsidRPr="00181FCD">
        <w:t xml:space="preserve"> </w:t>
      </w:r>
      <w:r w:rsidRPr="00181FCD">
        <w:t>con</w:t>
      </w:r>
      <w:r w:rsidR="00F373A3" w:rsidRPr="00181FCD">
        <w:t xml:space="preserve"> </w:t>
      </w:r>
      <w:r w:rsidRPr="00181FCD">
        <w:t>Proveedores</w:t>
      </w:r>
      <w:r w:rsidR="00F373A3" w:rsidRPr="00181FCD">
        <w:t xml:space="preserve"> </w:t>
      </w:r>
      <w:r w:rsidRPr="00181FCD">
        <w:t>de</w:t>
      </w:r>
      <w:r w:rsidR="00F373A3" w:rsidRPr="00181FCD">
        <w:t xml:space="preserve"> </w:t>
      </w:r>
      <w:r w:rsidRPr="00181FCD">
        <w:t>Internet).</w:t>
      </w:r>
    </w:p>
    <w:p w:rsidR="001937F4" w:rsidRPr="00181FCD" w:rsidRDefault="00F373A3" w:rsidP="00347B20">
      <w:pPr>
        <w:pStyle w:val="H4G"/>
      </w:pPr>
      <w:r w:rsidRPr="00181FCD">
        <w:tab/>
      </w:r>
      <w:r w:rsidRPr="00181FCD">
        <w:tab/>
      </w:r>
      <w:r w:rsidR="001937F4" w:rsidRPr="00181FCD">
        <w:t>Medidas</w:t>
      </w:r>
      <w:r w:rsidRPr="00181FCD">
        <w:t xml:space="preserve"> </w:t>
      </w:r>
      <w:r w:rsidR="001937F4" w:rsidRPr="00181FCD">
        <w:t>básicas</w:t>
      </w:r>
      <w:r w:rsidRPr="00181FCD">
        <w:t xml:space="preserve"> </w:t>
      </w:r>
      <w:r w:rsidR="001937F4" w:rsidRPr="00181FCD">
        <w:t>a</w:t>
      </w:r>
      <w:r w:rsidRPr="00181FCD">
        <w:t xml:space="preserve"> </w:t>
      </w:r>
      <w:r w:rsidR="001937F4" w:rsidRPr="00181FCD">
        <w:t>nivel</w:t>
      </w:r>
      <w:r w:rsidRPr="00181FCD">
        <w:t xml:space="preserve"> </w:t>
      </w:r>
      <w:r w:rsidR="001937F4" w:rsidRPr="00181FCD">
        <w:t>nacional</w:t>
      </w:r>
    </w:p>
    <w:p w:rsidR="001937F4" w:rsidRPr="00181FCD" w:rsidRDefault="001937F4" w:rsidP="00347B20">
      <w:pPr>
        <w:pStyle w:val="SingleTxtG"/>
        <w:suppressAutoHyphens/>
      </w:pPr>
      <w:r w:rsidRPr="00181FCD">
        <w:t>239.</w:t>
      </w:r>
      <w:r w:rsidRPr="00181FCD">
        <w:tab/>
        <w:t>Como</w:t>
      </w:r>
      <w:r w:rsidR="00F373A3" w:rsidRPr="00181FCD">
        <w:t xml:space="preserve"> </w:t>
      </w:r>
      <w:r w:rsidRPr="00181FCD">
        <w:t>Estado</w:t>
      </w:r>
      <w:r w:rsidR="00F373A3" w:rsidRPr="00181FCD">
        <w:t xml:space="preserve"> </w:t>
      </w:r>
      <w:r w:rsidRPr="00181FCD">
        <w:t>miembro</w:t>
      </w:r>
      <w:r w:rsidR="00F373A3" w:rsidRPr="00181FCD">
        <w:t xml:space="preserve"> </w:t>
      </w:r>
      <w:r w:rsidRPr="00181FCD">
        <w:t>de</w:t>
      </w:r>
      <w:r w:rsidR="00F373A3" w:rsidRPr="00181FCD">
        <w:t xml:space="preserve"> </w:t>
      </w:r>
      <w:r w:rsidRPr="00181FCD">
        <w:t>la</w:t>
      </w:r>
      <w:r w:rsidR="00F373A3" w:rsidRPr="00181FCD">
        <w:t xml:space="preserve"> </w:t>
      </w:r>
      <w:r w:rsidRPr="00181FCD">
        <w:t>Unión</w:t>
      </w:r>
      <w:r w:rsidR="00F373A3" w:rsidRPr="00181FCD">
        <w:t xml:space="preserve"> </w:t>
      </w:r>
      <w:r w:rsidRPr="00181FCD">
        <w:t>Europea</w:t>
      </w:r>
      <w:r w:rsidR="00F373A3" w:rsidRPr="00181FCD">
        <w:t xml:space="preserve"> </w:t>
      </w:r>
      <w:r w:rsidRPr="00181FCD">
        <w:t>y</w:t>
      </w:r>
      <w:r w:rsidR="00F373A3" w:rsidRPr="00181FCD">
        <w:t xml:space="preserve"> </w:t>
      </w:r>
      <w:r w:rsidRPr="00181FCD">
        <w:t>participante</w:t>
      </w:r>
      <w:r w:rsidR="00F373A3" w:rsidRPr="00181FCD">
        <w:t xml:space="preserve"> </w:t>
      </w:r>
      <w:r w:rsidRPr="00181FCD">
        <w:t>activo</w:t>
      </w:r>
      <w:r w:rsidR="00F373A3" w:rsidRPr="00181FCD">
        <w:t xml:space="preserve"> </w:t>
      </w:r>
      <w:r w:rsidRPr="00181FCD">
        <w:t>en</w:t>
      </w:r>
      <w:r w:rsidR="00F373A3" w:rsidRPr="00181FCD">
        <w:t xml:space="preserve"> </w:t>
      </w:r>
      <w:r w:rsidRPr="00181FCD">
        <w:t>la</w:t>
      </w:r>
      <w:r w:rsidR="00F373A3" w:rsidRPr="00181FCD">
        <w:t xml:space="preserve"> </w:t>
      </w:r>
      <w:r w:rsidRPr="00181FCD">
        <w:t>coalición</w:t>
      </w:r>
      <w:r w:rsidR="00F373A3" w:rsidRPr="00181FCD">
        <w:t xml:space="preserve"> </w:t>
      </w:r>
      <w:r w:rsidRPr="00181FCD">
        <w:t>mundial</w:t>
      </w:r>
      <w:r w:rsidR="00F373A3" w:rsidRPr="00181FCD">
        <w:t xml:space="preserve"> </w:t>
      </w:r>
      <w:r w:rsidRPr="00181FCD">
        <w:t>contra</w:t>
      </w:r>
      <w:r w:rsidR="00F373A3" w:rsidRPr="00181FCD">
        <w:t xml:space="preserve"> </w:t>
      </w:r>
      <w:r w:rsidRPr="00181FCD">
        <w:t>el</w:t>
      </w:r>
      <w:r w:rsidR="00F373A3" w:rsidRPr="00181FCD">
        <w:t xml:space="preserve"> </w:t>
      </w:r>
      <w:r w:rsidRPr="00181FCD">
        <w:t>terrorismo,</w:t>
      </w:r>
      <w:r w:rsidR="00F373A3" w:rsidRPr="00181FCD">
        <w:t xml:space="preserve"> </w:t>
      </w:r>
      <w:r w:rsidRPr="00181FCD">
        <w:t>la</w:t>
      </w:r>
      <w:r w:rsidR="00F373A3" w:rsidRPr="00181FCD">
        <w:t xml:space="preserve"> </w:t>
      </w:r>
      <w:r w:rsidRPr="00181FCD">
        <w:t>República</w:t>
      </w:r>
      <w:r w:rsidR="00F373A3" w:rsidRPr="00181FCD">
        <w:t xml:space="preserve"> </w:t>
      </w:r>
      <w:r w:rsidRPr="00181FCD">
        <w:t>de</w:t>
      </w:r>
      <w:r w:rsidR="00F373A3" w:rsidRPr="00181FCD">
        <w:t xml:space="preserve"> </w:t>
      </w:r>
      <w:r w:rsidRPr="00181FCD">
        <w:t>Bulgaria</w:t>
      </w:r>
      <w:r w:rsidR="00F373A3" w:rsidRPr="00181FCD">
        <w:t xml:space="preserve"> </w:t>
      </w:r>
      <w:r w:rsidRPr="00181FCD">
        <w:t>lleva</w:t>
      </w:r>
      <w:r w:rsidR="00F373A3" w:rsidRPr="00181FCD">
        <w:t xml:space="preserve"> </w:t>
      </w:r>
      <w:r w:rsidRPr="00181FCD">
        <w:t>a</w:t>
      </w:r>
      <w:r w:rsidR="00F373A3" w:rsidRPr="00181FCD">
        <w:t xml:space="preserve"> </w:t>
      </w:r>
      <w:r w:rsidRPr="00181FCD">
        <w:t>cabo</w:t>
      </w:r>
      <w:r w:rsidR="00F373A3" w:rsidRPr="00181FCD">
        <w:t xml:space="preserve"> </w:t>
      </w:r>
      <w:r w:rsidRPr="00181FCD">
        <w:t>una</w:t>
      </w:r>
      <w:r w:rsidR="00F373A3" w:rsidRPr="00181FCD">
        <w:t xml:space="preserve"> </w:t>
      </w:r>
      <w:r w:rsidRPr="00181FCD">
        <w:t>política</w:t>
      </w:r>
      <w:r w:rsidR="00F373A3" w:rsidRPr="00181FCD">
        <w:t xml:space="preserve"> </w:t>
      </w:r>
      <w:r w:rsidRPr="00181FCD">
        <w:t>deliberada,</w:t>
      </w:r>
      <w:r w:rsidR="00F373A3" w:rsidRPr="00181FCD">
        <w:t xml:space="preserve"> </w:t>
      </w:r>
      <w:r w:rsidRPr="00181FCD">
        <w:t>permanente</w:t>
      </w:r>
      <w:r w:rsidR="00F373A3" w:rsidRPr="00181FCD">
        <w:t xml:space="preserve"> </w:t>
      </w:r>
      <w:r w:rsidRPr="00181FCD">
        <w:t>e</w:t>
      </w:r>
      <w:r w:rsidR="00F373A3" w:rsidRPr="00181FCD">
        <w:t xml:space="preserve"> </w:t>
      </w:r>
      <w:r w:rsidRPr="00181FCD">
        <w:t>integral</w:t>
      </w:r>
      <w:r w:rsidR="00F373A3" w:rsidRPr="00181FCD">
        <w:t xml:space="preserve"> </w:t>
      </w:r>
      <w:r w:rsidRPr="00181FCD">
        <w:t>para</w:t>
      </w:r>
      <w:r w:rsidR="00F373A3" w:rsidRPr="00181FCD">
        <w:t xml:space="preserve"> </w:t>
      </w:r>
      <w:r w:rsidRPr="00181FCD">
        <w:t>prevenir</w:t>
      </w:r>
      <w:r w:rsidR="00F373A3" w:rsidRPr="00181FCD">
        <w:t xml:space="preserve"> </w:t>
      </w:r>
      <w:r w:rsidRPr="00181FCD">
        <w:t>y</w:t>
      </w:r>
      <w:r w:rsidR="00F373A3" w:rsidRPr="00181FCD">
        <w:t xml:space="preserve"> </w:t>
      </w:r>
      <w:r w:rsidRPr="00181FCD">
        <w:t>contrarrestar</w:t>
      </w:r>
      <w:r w:rsidR="00F373A3" w:rsidRPr="00181FCD">
        <w:t xml:space="preserve"> </w:t>
      </w:r>
      <w:r w:rsidRPr="00181FCD">
        <w:t>la</w:t>
      </w:r>
      <w:r w:rsidR="00F373A3" w:rsidRPr="00181FCD">
        <w:t xml:space="preserve"> </w:t>
      </w:r>
      <w:r w:rsidRPr="00181FCD">
        <w:t>amenaza</w:t>
      </w:r>
      <w:r w:rsidR="00F373A3" w:rsidRPr="00181FCD">
        <w:t xml:space="preserve"> </w:t>
      </w:r>
      <w:r w:rsidRPr="00181FCD">
        <w:t>terrorista,</w:t>
      </w:r>
      <w:r w:rsidR="00F373A3" w:rsidRPr="00181FCD">
        <w:t xml:space="preserve"> </w:t>
      </w:r>
      <w:r w:rsidRPr="00181FCD">
        <w:t>en</w:t>
      </w:r>
      <w:r w:rsidR="00F373A3" w:rsidRPr="00181FCD">
        <w:t xml:space="preserve"> </w:t>
      </w:r>
      <w:r w:rsidRPr="00181FCD">
        <w:t>cumplimiento</w:t>
      </w:r>
      <w:r w:rsidR="00F373A3" w:rsidRPr="00181FCD">
        <w:t xml:space="preserve"> </w:t>
      </w:r>
      <w:r w:rsidRPr="00181FCD">
        <w:t>de</w:t>
      </w:r>
      <w:r w:rsidR="00F373A3" w:rsidRPr="00181FCD">
        <w:t xml:space="preserve"> </w:t>
      </w:r>
      <w:r w:rsidRPr="00181FCD">
        <w:t>los</w:t>
      </w:r>
      <w:r w:rsidR="00F373A3" w:rsidRPr="00181FCD">
        <w:t xml:space="preserve"> </w:t>
      </w:r>
      <w:r w:rsidRPr="00181FCD">
        <w:t>documentos</w:t>
      </w:r>
      <w:r w:rsidR="00F373A3" w:rsidRPr="00181FCD">
        <w:t xml:space="preserve"> </w:t>
      </w:r>
      <w:r w:rsidRPr="00181FCD">
        <w:t>estratégicos</w:t>
      </w:r>
      <w:r w:rsidR="00F373A3" w:rsidRPr="00181FCD">
        <w:t xml:space="preserve"> </w:t>
      </w:r>
      <w:r w:rsidRPr="00181FCD">
        <w:t>de</w:t>
      </w:r>
      <w:r w:rsidR="00F373A3" w:rsidRPr="00181FCD">
        <w:t xml:space="preserve"> </w:t>
      </w:r>
      <w:r w:rsidRPr="00181FCD">
        <w:t>la</w:t>
      </w:r>
      <w:r w:rsidR="00F373A3" w:rsidRPr="00181FCD">
        <w:t xml:space="preserve"> </w:t>
      </w:r>
      <w:r w:rsidRPr="00181FCD">
        <w:t>UE</w:t>
      </w:r>
      <w:r w:rsidR="00F373A3" w:rsidRPr="00181FCD">
        <w:t xml:space="preserve"> </w:t>
      </w:r>
      <w:r w:rsidRPr="00181FCD">
        <w:t>y</w:t>
      </w:r>
      <w:r w:rsidR="00F373A3" w:rsidRPr="00181FCD">
        <w:t xml:space="preserve"> </w:t>
      </w:r>
      <w:r w:rsidRPr="00181FCD">
        <w:t>las</w:t>
      </w:r>
      <w:r w:rsidR="00F373A3" w:rsidRPr="00181FCD">
        <w:t xml:space="preserve"> </w:t>
      </w:r>
      <w:r w:rsidRPr="00181FCD">
        <w:t>resoluciones</w:t>
      </w:r>
      <w:r w:rsidR="00F373A3" w:rsidRPr="00181FCD">
        <w:t xml:space="preserve"> </w:t>
      </w:r>
      <w:r w:rsidRPr="00181FCD">
        <w:t>del</w:t>
      </w:r>
      <w:r w:rsidR="00F373A3" w:rsidRPr="00181FCD">
        <w:t xml:space="preserve"> </w:t>
      </w:r>
      <w:r w:rsidRPr="00181FCD">
        <w:t>Consejo</w:t>
      </w:r>
      <w:r w:rsidR="00F373A3" w:rsidRPr="00181FCD">
        <w:t xml:space="preserve"> </w:t>
      </w:r>
      <w:r w:rsidRPr="00181FCD">
        <w:t>de</w:t>
      </w:r>
      <w:r w:rsidR="00F373A3" w:rsidRPr="00181FCD">
        <w:t xml:space="preserve"> </w:t>
      </w:r>
      <w:r w:rsidRPr="00181FCD">
        <w:t>Seguridad</w:t>
      </w:r>
      <w:r w:rsidR="00F373A3" w:rsidRPr="00181FCD">
        <w:t xml:space="preserve"> </w:t>
      </w:r>
      <w:r w:rsidRPr="00181FCD">
        <w:t>de</w:t>
      </w:r>
      <w:r w:rsidR="00F373A3" w:rsidRPr="00181FCD">
        <w:t xml:space="preserve"> </w:t>
      </w:r>
      <w:r w:rsidRPr="00181FCD">
        <w:t>las</w:t>
      </w:r>
      <w:r w:rsidR="00F373A3" w:rsidRPr="00181FCD">
        <w:t xml:space="preserve"> </w:t>
      </w:r>
      <w:r w:rsidRPr="00181FCD">
        <w:t>Naciones</w:t>
      </w:r>
      <w:r w:rsidR="00F373A3" w:rsidRPr="00181FCD">
        <w:t xml:space="preserve"> </w:t>
      </w:r>
      <w:r w:rsidRPr="00181FCD">
        <w:t>Unidas.</w:t>
      </w:r>
      <w:r w:rsidR="00F373A3" w:rsidRPr="00181FCD">
        <w:t xml:space="preserve"> </w:t>
      </w:r>
    </w:p>
    <w:p w:rsidR="001937F4" w:rsidRPr="00181FCD" w:rsidRDefault="001937F4" w:rsidP="00347B20">
      <w:pPr>
        <w:pStyle w:val="SingleTxtG"/>
        <w:suppressAutoHyphens/>
      </w:pPr>
      <w:r w:rsidRPr="00181FCD">
        <w:t>240.</w:t>
      </w:r>
      <w:r w:rsidRPr="00181FCD">
        <w:tab/>
        <w:t>Bulgaria</w:t>
      </w:r>
      <w:r w:rsidR="00F373A3" w:rsidRPr="00181FCD">
        <w:t xml:space="preserve"> </w:t>
      </w:r>
      <w:r w:rsidRPr="00181FCD">
        <w:t>condena</w:t>
      </w:r>
      <w:r w:rsidR="00F373A3" w:rsidRPr="00181FCD">
        <w:t xml:space="preserve"> </w:t>
      </w:r>
      <w:r w:rsidRPr="00181FCD">
        <w:t>categóricamente</w:t>
      </w:r>
      <w:r w:rsidR="00F373A3" w:rsidRPr="00181FCD">
        <w:t xml:space="preserve"> </w:t>
      </w:r>
      <w:r w:rsidRPr="00181FCD">
        <w:t>el</w:t>
      </w:r>
      <w:r w:rsidR="00F373A3" w:rsidRPr="00181FCD">
        <w:t xml:space="preserve"> </w:t>
      </w:r>
      <w:r w:rsidRPr="00181FCD">
        <w:t>terrorismo</w:t>
      </w:r>
      <w:r w:rsidR="00F373A3" w:rsidRPr="00181FCD">
        <w:t xml:space="preserve"> </w:t>
      </w:r>
      <w:r w:rsidRPr="00181FCD">
        <w:t>en</w:t>
      </w:r>
      <w:r w:rsidR="00F373A3" w:rsidRPr="00181FCD">
        <w:t xml:space="preserve"> </w:t>
      </w:r>
      <w:r w:rsidRPr="00181FCD">
        <w:t>todas</w:t>
      </w:r>
      <w:r w:rsidR="00F373A3" w:rsidRPr="00181FCD">
        <w:t xml:space="preserve"> </w:t>
      </w:r>
      <w:r w:rsidRPr="00181FCD">
        <w:t>sus</w:t>
      </w:r>
      <w:r w:rsidR="00F373A3" w:rsidRPr="00181FCD">
        <w:t xml:space="preserve"> </w:t>
      </w:r>
      <w:r w:rsidRPr="00181FCD">
        <w:t>formas</w:t>
      </w:r>
      <w:r w:rsidR="00F373A3" w:rsidRPr="00181FCD">
        <w:t xml:space="preserve"> </w:t>
      </w:r>
      <w:r w:rsidRPr="00181FCD">
        <w:t>y</w:t>
      </w:r>
      <w:r w:rsidR="00F373A3" w:rsidRPr="00181FCD">
        <w:t xml:space="preserve"> </w:t>
      </w:r>
      <w:r w:rsidRPr="00181FCD">
        <w:t>apoya</w:t>
      </w:r>
      <w:r w:rsidR="00F373A3" w:rsidRPr="00181FCD">
        <w:t xml:space="preserve"> </w:t>
      </w:r>
      <w:r w:rsidRPr="00181FCD">
        <w:t>las</w:t>
      </w:r>
      <w:r w:rsidR="00F373A3" w:rsidRPr="00181FCD">
        <w:t xml:space="preserve"> </w:t>
      </w:r>
      <w:r w:rsidRPr="00181FCD">
        <w:t>actividades</w:t>
      </w:r>
      <w:r w:rsidR="00F373A3" w:rsidRPr="00181FCD">
        <w:t xml:space="preserve"> </w:t>
      </w:r>
      <w:r w:rsidRPr="00181FCD">
        <w:t>y</w:t>
      </w:r>
      <w:r w:rsidR="00F373A3" w:rsidRPr="00181FCD">
        <w:t xml:space="preserve"> </w:t>
      </w:r>
      <w:r w:rsidRPr="00181FCD">
        <w:t>medidas</w:t>
      </w:r>
      <w:r w:rsidR="00F373A3" w:rsidRPr="00181FCD">
        <w:t xml:space="preserve"> </w:t>
      </w:r>
      <w:r w:rsidRPr="00181FCD">
        <w:t>de</w:t>
      </w:r>
      <w:r w:rsidR="00F373A3" w:rsidRPr="00181FCD">
        <w:t xml:space="preserve"> </w:t>
      </w:r>
      <w:r w:rsidRPr="00181FCD">
        <w:t>lucha</w:t>
      </w:r>
      <w:r w:rsidR="00F373A3" w:rsidRPr="00181FCD">
        <w:t xml:space="preserve"> </w:t>
      </w:r>
      <w:r w:rsidRPr="00181FCD">
        <w:t>eficaces</w:t>
      </w:r>
      <w:r w:rsidR="00F373A3" w:rsidRPr="00181FCD">
        <w:t xml:space="preserve"> </w:t>
      </w:r>
      <w:r w:rsidRPr="00181FCD">
        <w:t>que</w:t>
      </w:r>
      <w:r w:rsidR="00F373A3" w:rsidRPr="00181FCD">
        <w:t xml:space="preserve"> </w:t>
      </w:r>
      <w:r w:rsidRPr="00181FCD">
        <w:t>conduzcan</w:t>
      </w:r>
      <w:r w:rsidR="00F373A3" w:rsidRPr="00181FCD">
        <w:t xml:space="preserve"> </w:t>
      </w:r>
      <w:r w:rsidRPr="00181FCD">
        <w:t>a</w:t>
      </w:r>
      <w:r w:rsidR="00F373A3" w:rsidRPr="00181FCD">
        <w:t xml:space="preserve"> </w:t>
      </w:r>
      <w:r w:rsidRPr="00181FCD">
        <w:t>resultados</w:t>
      </w:r>
      <w:r w:rsidR="00F373A3" w:rsidRPr="00181FCD">
        <w:t xml:space="preserve"> </w:t>
      </w:r>
      <w:r w:rsidRPr="00181FCD">
        <w:t>duraderos.</w:t>
      </w:r>
      <w:r w:rsidR="00F373A3" w:rsidRPr="00181FCD">
        <w:t xml:space="preserve"> </w:t>
      </w:r>
      <w:r w:rsidRPr="00181FCD">
        <w:t>Participa</w:t>
      </w:r>
      <w:r w:rsidR="00F373A3" w:rsidRPr="00181FCD">
        <w:t xml:space="preserve"> </w:t>
      </w:r>
      <w:r w:rsidRPr="00181FCD">
        <w:t>activamente</w:t>
      </w:r>
      <w:r w:rsidR="00F373A3" w:rsidRPr="00181FCD">
        <w:t xml:space="preserve"> </w:t>
      </w:r>
      <w:r w:rsidRPr="00181FCD">
        <w:t>en</w:t>
      </w:r>
      <w:r w:rsidR="00F373A3" w:rsidRPr="00181FCD">
        <w:t xml:space="preserve"> </w:t>
      </w:r>
      <w:r w:rsidRPr="00181FCD">
        <w:t>diferentes</w:t>
      </w:r>
      <w:r w:rsidR="00F373A3" w:rsidRPr="00181FCD">
        <w:t xml:space="preserve"> </w:t>
      </w:r>
      <w:r w:rsidRPr="00181FCD">
        <w:t>iniciativas</w:t>
      </w:r>
      <w:r w:rsidR="00F373A3" w:rsidRPr="00181FCD">
        <w:t xml:space="preserve"> </w:t>
      </w:r>
      <w:r w:rsidRPr="00181FCD">
        <w:t>y</w:t>
      </w:r>
      <w:r w:rsidR="00F373A3" w:rsidRPr="00181FCD">
        <w:t xml:space="preserve"> </w:t>
      </w:r>
      <w:r w:rsidRPr="00181FCD">
        <w:t>proyectos</w:t>
      </w:r>
      <w:r w:rsidR="00F373A3" w:rsidRPr="00181FCD">
        <w:t xml:space="preserve"> </w:t>
      </w:r>
      <w:r w:rsidRPr="00181FCD">
        <w:t>dirigidos</w:t>
      </w:r>
      <w:r w:rsidR="00F373A3" w:rsidRPr="00181FCD">
        <w:t xml:space="preserve"> </w:t>
      </w:r>
      <w:r w:rsidRPr="00181FCD">
        <w:t>a</w:t>
      </w:r>
      <w:r w:rsidR="00F373A3" w:rsidRPr="00181FCD">
        <w:t xml:space="preserve"> </w:t>
      </w:r>
      <w:r w:rsidRPr="00181FCD">
        <w:t>combatir</w:t>
      </w:r>
      <w:r w:rsidR="00F373A3" w:rsidRPr="00181FCD">
        <w:t xml:space="preserve"> </w:t>
      </w:r>
      <w:r w:rsidRPr="00181FCD">
        <w:t>el</w:t>
      </w:r>
      <w:r w:rsidR="00F373A3" w:rsidRPr="00181FCD">
        <w:t xml:space="preserve"> </w:t>
      </w:r>
      <w:r w:rsidRPr="00181FCD">
        <w:t>terrorismo</w:t>
      </w:r>
      <w:r w:rsidR="00F373A3" w:rsidRPr="00181FCD">
        <w:t xml:space="preserve"> </w:t>
      </w:r>
      <w:r w:rsidRPr="00181FCD">
        <w:t>y</w:t>
      </w:r>
      <w:r w:rsidR="00F373A3" w:rsidRPr="00181FCD">
        <w:t xml:space="preserve"> </w:t>
      </w:r>
      <w:r w:rsidRPr="00181FCD">
        <w:t>prevenir</w:t>
      </w:r>
      <w:r w:rsidR="00F373A3" w:rsidRPr="00181FCD">
        <w:t xml:space="preserve"> </w:t>
      </w:r>
      <w:r w:rsidRPr="00181FCD">
        <w:t>la</w:t>
      </w:r>
      <w:r w:rsidR="00F373A3" w:rsidRPr="00181FCD">
        <w:t xml:space="preserve"> </w:t>
      </w:r>
      <w:r w:rsidRPr="00181FCD">
        <w:t>radicalización</w:t>
      </w:r>
      <w:r w:rsidR="00F373A3" w:rsidRPr="00181FCD">
        <w:t xml:space="preserve"> </w:t>
      </w:r>
      <w:r w:rsidRPr="00181FCD">
        <w:t>en</w:t>
      </w:r>
      <w:r w:rsidR="00F373A3" w:rsidRPr="00181FCD">
        <w:t xml:space="preserve"> </w:t>
      </w:r>
      <w:r w:rsidRPr="00181FCD">
        <w:t>la</w:t>
      </w:r>
      <w:r w:rsidR="00F373A3" w:rsidRPr="00181FCD">
        <w:t xml:space="preserve"> </w:t>
      </w:r>
      <w:r w:rsidRPr="00181FCD">
        <w:t>UE</w:t>
      </w:r>
      <w:r w:rsidR="00F373A3" w:rsidRPr="00181FCD">
        <w:t xml:space="preserve"> </w:t>
      </w:r>
      <w:r w:rsidRPr="00181FCD">
        <w:t>y</w:t>
      </w:r>
      <w:r w:rsidR="00F373A3" w:rsidRPr="00181FCD">
        <w:t xml:space="preserve"> </w:t>
      </w:r>
      <w:r w:rsidRPr="00181FCD">
        <w:t>a</w:t>
      </w:r>
      <w:r w:rsidR="00F373A3" w:rsidRPr="00181FCD">
        <w:t xml:space="preserve"> </w:t>
      </w:r>
      <w:r w:rsidRPr="00181FCD">
        <w:t>nivel</w:t>
      </w:r>
      <w:r w:rsidR="00F373A3" w:rsidRPr="00181FCD">
        <w:t xml:space="preserve"> </w:t>
      </w:r>
      <w:r w:rsidRPr="00181FCD">
        <w:t>regional.</w:t>
      </w:r>
      <w:r w:rsidR="00F373A3" w:rsidRPr="00181FCD">
        <w:t xml:space="preserve"> </w:t>
      </w:r>
    </w:p>
    <w:p w:rsidR="001937F4" w:rsidRPr="00181FCD" w:rsidRDefault="001937F4" w:rsidP="00347B20">
      <w:pPr>
        <w:pStyle w:val="SingleTxtG"/>
        <w:suppressAutoHyphens/>
      </w:pPr>
      <w:r w:rsidRPr="00181FCD">
        <w:t>241.</w:t>
      </w:r>
      <w:r w:rsidRPr="00181FCD">
        <w:tab/>
        <w:t>Se</w:t>
      </w:r>
      <w:r w:rsidR="00F373A3" w:rsidRPr="00181FCD">
        <w:t xml:space="preserve"> </w:t>
      </w:r>
      <w:r w:rsidRPr="00181FCD">
        <w:t>está</w:t>
      </w:r>
      <w:r w:rsidR="00F373A3" w:rsidRPr="00181FCD">
        <w:t xml:space="preserve"> </w:t>
      </w:r>
      <w:r w:rsidRPr="00181FCD">
        <w:t>elaborando</w:t>
      </w:r>
      <w:r w:rsidR="00F373A3" w:rsidRPr="00181FCD">
        <w:t xml:space="preserve"> </w:t>
      </w:r>
      <w:r w:rsidRPr="00181FCD">
        <w:t>una</w:t>
      </w:r>
      <w:r w:rsidR="00F373A3" w:rsidRPr="00181FCD">
        <w:t xml:space="preserve"> </w:t>
      </w:r>
      <w:r w:rsidRPr="00181FCD">
        <w:t>Estrategia</w:t>
      </w:r>
      <w:r w:rsidR="00F373A3" w:rsidRPr="00181FCD">
        <w:t xml:space="preserve"> </w:t>
      </w:r>
      <w:r w:rsidRPr="00181FCD">
        <w:t>nacional</w:t>
      </w:r>
      <w:r w:rsidR="00F373A3" w:rsidRPr="00181FCD">
        <w:t xml:space="preserve"> </w:t>
      </w:r>
      <w:r w:rsidRPr="00181FCD">
        <w:t>para</w:t>
      </w:r>
      <w:r w:rsidR="00F373A3" w:rsidRPr="00181FCD">
        <w:t xml:space="preserve"> </w:t>
      </w:r>
      <w:r w:rsidRPr="00181FCD">
        <w:t>combatir</w:t>
      </w:r>
      <w:r w:rsidR="00F373A3" w:rsidRPr="00181FCD">
        <w:t xml:space="preserve"> </w:t>
      </w:r>
      <w:r w:rsidRPr="00181FCD">
        <w:t>la</w:t>
      </w:r>
      <w:r w:rsidR="00F373A3" w:rsidRPr="00181FCD">
        <w:t xml:space="preserve"> </w:t>
      </w:r>
      <w:r w:rsidRPr="00181FCD">
        <w:t>radicalización</w:t>
      </w:r>
      <w:r w:rsidR="00F373A3" w:rsidRPr="00181FCD">
        <w:t xml:space="preserve"> </w:t>
      </w:r>
      <w:r w:rsidRPr="00181FCD">
        <w:t>y</w:t>
      </w:r>
      <w:r w:rsidR="00F373A3" w:rsidRPr="00181FCD">
        <w:t xml:space="preserve"> </w:t>
      </w:r>
      <w:r w:rsidRPr="00181FCD">
        <w:t>el</w:t>
      </w:r>
      <w:r w:rsidR="00F373A3" w:rsidRPr="00181FCD">
        <w:t xml:space="preserve"> </w:t>
      </w:r>
      <w:r w:rsidRPr="00181FCD">
        <w:t>terrorismo,</w:t>
      </w:r>
      <w:r w:rsidR="00F373A3" w:rsidRPr="00181FCD">
        <w:t xml:space="preserve"> </w:t>
      </w:r>
      <w:r w:rsidRPr="00181FCD">
        <w:t>y</w:t>
      </w:r>
      <w:r w:rsidR="00F373A3" w:rsidRPr="00181FCD">
        <w:t xml:space="preserve"> </w:t>
      </w:r>
      <w:r w:rsidRPr="00181FCD">
        <w:t>se</w:t>
      </w:r>
      <w:r w:rsidR="00F373A3" w:rsidRPr="00181FCD">
        <w:t xml:space="preserve"> </w:t>
      </w:r>
      <w:r w:rsidRPr="00181FCD">
        <w:t>han</w:t>
      </w:r>
      <w:r w:rsidR="00F373A3" w:rsidRPr="00181FCD">
        <w:t xml:space="preserve"> </w:t>
      </w:r>
      <w:r w:rsidRPr="00181FCD">
        <w:t>emprendido</w:t>
      </w:r>
      <w:r w:rsidR="00F373A3" w:rsidRPr="00181FCD">
        <w:t xml:space="preserve"> </w:t>
      </w:r>
      <w:r w:rsidRPr="00181FCD">
        <w:t>actividades</w:t>
      </w:r>
      <w:r w:rsidR="00F373A3" w:rsidRPr="00181FCD">
        <w:t xml:space="preserve"> </w:t>
      </w:r>
      <w:r w:rsidRPr="00181FCD">
        <w:t>para</w:t>
      </w:r>
      <w:r w:rsidR="00F373A3" w:rsidRPr="00181FCD">
        <w:t xml:space="preserve"> </w:t>
      </w:r>
      <w:r w:rsidRPr="00181FCD">
        <w:t>aumentar</w:t>
      </w:r>
      <w:r w:rsidR="00F373A3" w:rsidRPr="00181FCD">
        <w:t xml:space="preserve"> </w:t>
      </w:r>
      <w:r w:rsidRPr="00181FCD">
        <w:t>la</w:t>
      </w:r>
      <w:r w:rsidR="00F373A3" w:rsidRPr="00181FCD">
        <w:t xml:space="preserve"> </w:t>
      </w:r>
      <w:r w:rsidRPr="00181FCD">
        <w:t>colaboración</w:t>
      </w:r>
      <w:r w:rsidR="00F373A3" w:rsidRPr="00181FCD">
        <w:t xml:space="preserve"> </w:t>
      </w:r>
      <w:r w:rsidRPr="00181FCD">
        <w:t>público-privada</w:t>
      </w:r>
      <w:r w:rsidR="00F373A3" w:rsidRPr="00181FCD">
        <w:t xml:space="preserve"> </w:t>
      </w:r>
      <w:r w:rsidRPr="00181FCD">
        <w:t>con</w:t>
      </w:r>
      <w:r w:rsidR="00F373A3" w:rsidRPr="00181FCD">
        <w:t xml:space="preserve"> </w:t>
      </w:r>
      <w:r w:rsidRPr="00181FCD">
        <w:t>representantes</w:t>
      </w:r>
      <w:r w:rsidR="00F373A3" w:rsidRPr="00181FCD">
        <w:t xml:space="preserve"> </w:t>
      </w:r>
      <w:r w:rsidRPr="00181FCD">
        <w:t>de</w:t>
      </w:r>
      <w:r w:rsidR="00F373A3" w:rsidRPr="00181FCD">
        <w:t xml:space="preserve"> </w:t>
      </w:r>
      <w:r w:rsidRPr="00181FCD">
        <w:t>la</w:t>
      </w:r>
      <w:r w:rsidR="00F373A3" w:rsidRPr="00181FCD">
        <w:t xml:space="preserve"> </w:t>
      </w:r>
      <w:r w:rsidRPr="00181FCD">
        <w:t>industria</w:t>
      </w:r>
      <w:r w:rsidR="00F373A3" w:rsidRPr="00181FCD">
        <w:t xml:space="preserve"> </w:t>
      </w:r>
      <w:r w:rsidRPr="00181FCD">
        <w:t>de</w:t>
      </w:r>
      <w:r w:rsidR="00F373A3" w:rsidRPr="00181FCD">
        <w:t xml:space="preserve"> </w:t>
      </w:r>
      <w:r w:rsidRPr="00181FCD">
        <w:t>Internet,</w:t>
      </w:r>
      <w:r w:rsidR="00F373A3" w:rsidRPr="00181FCD">
        <w:t xml:space="preserve"> </w:t>
      </w:r>
      <w:r w:rsidRPr="00181FCD">
        <w:t>a</w:t>
      </w:r>
      <w:r w:rsidR="00F373A3" w:rsidRPr="00181FCD">
        <w:t xml:space="preserve"> </w:t>
      </w:r>
      <w:r w:rsidRPr="00181FCD">
        <w:t>fin</w:t>
      </w:r>
      <w:r w:rsidR="00F373A3" w:rsidRPr="00181FCD">
        <w:t xml:space="preserve"> </w:t>
      </w:r>
      <w:r w:rsidRPr="00181FCD">
        <w:t>de</w:t>
      </w:r>
      <w:r w:rsidR="00F373A3" w:rsidRPr="00181FCD">
        <w:t xml:space="preserve"> </w:t>
      </w:r>
      <w:r w:rsidRPr="00181FCD">
        <w:t>eliminar</w:t>
      </w:r>
      <w:r w:rsidR="00F373A3" w:rsidRPr="00181FCD">
        <w:t xml:space="preserve"> </w:t>
      </w:r>
      <w:r w:rsidRPr="00181FCD">
        <w:t>los</w:t>
      </w:r>
      <w:r w:rsidR="00F373A3" w:rsidRPr="00181FCD">
        <w:t xml:space="preserve"> </w:t>
      </w:r>
      <w:r w:rsidRPr="00181FCD">
        <w:t>contenidos</w:t>
      </w:r>
      <w:r w:rsidR="00F373A3" w:rsidRPr="00181FCD">
        <w:t xml:space="preserve"> </w:t>
      </w:r>
      <w:r w:rsidRPr="00181FCD">
        <w:t>relacionados</w:t>
      </w:r>
      <w:r w:rsidR="00F373A3" w:rsidRPr="00181FCD">
        <w:t xml:space="preserve"> </w:t>
      </w:r>
      <w:r w:rsidRPr="00181FCD">
        <w:t>con</w:t>
      </w:r>
      <w:r w:rsidR="00F373A3" w:rsidRPr="00181FCD">
        <w:t xml:space="preserve"> </w:t>
      </w:r>
      <w:r w:rsidRPr="00181FCD">
        <w:t>la</w:t>
      </w:r>
      <w:r w:rsidR="00F373A3" w:rsidRPr="00181FCD">
        <w:t xml:space="preserve"> </w:t>
      </w:r>
      <w:r w:rsidRPr="00181FCD">
        <w:t>propaganda</w:t>
      </w:r>
      <w:r w:rsidR="00F373A3" w:rsidRPr="00181FCD">
        <w:t xml:space="preserve"> </w:t>
      </w:r>
      <w:r w:rsidRPr="00181FCD">
        <w:t>terrorista</w:t>
      </w:r>
      <w:r w:rsidR="00F373A3" w:rsidRPr="00181FCD">
        <w:t xml:space="preserve"> </w:t>
      </w:r>
      <w:r w:rsidRPr="00181FCD">
        <w:t>y</w:t>
      </w:r>
      <w:r w:rsidR="00F373A3" w:rsidRPr="00181FCD">
        <w:t xml:space="preserve"> </w:t>
      </w:r>
      <w:r w:rsidRPr="00181FCD">
        <w:t>extremista,</w:t>
      </w:r>
      <w:r w:rsidR="00F373A3" w:rsidRPr="00181FCD">
        <w:t xml:space="preserve"> </w:t>
      </w:r>
      <w:r w:rsidRPr="00181FCD">
        <w:t>así</w:t>
      </w:r>
      <w:r w:rsidR="00F373A3" w:rsidRPr="00181FCD">
        <w:t xml:space="preserve"> </w:t>
      </w:r>
      <w:r w:rsidRPr="00181FCD">
        <w:t>como</w:t>
      </w:r>
      <w:r w:rsidR="00F373A3" w:rsidRPr="00181FCD">
        <w:t xml:space="preserve"> </w:t>
      </w:r>
      <w:r w:rsidRPr="00181FCD">
        <w:t>los</w:t>
      </w:r>
      <w:r w:rsidR="00F373A3" w:rsidRPr="00181FCD">
        <w:t xml:space="preserve"> </w:t>
      </w:r>
      <w:r w:rsidRPr="00181FCD">
        <w:t>discursos</w:t>
      </w:r>
      <w:r w:rsidR="00F373A3" w:rsidRPr="00181FCD">
        <w:t xml:space="preserve"> </w:t>
      </w:r>
      <w:r w:rsidRPr="00181FCD">
        <w:t>que</w:t>
      </w:r>
      <w:r w:rsidR="00F373A3" w:rsidRPr="00181FCD">
        <w:t xml:space="preserve"> </w:t>
      </w:r>
      <w:r w:rsidRPr="00181FCD">
        <w:t>incitan</w:t>
      </w:r>
      <w:r w:rsidR="00F373A3" w:rsidRPr="00181FCD">
        <w:t xml:space="preserve"> </w:t>
      </w:r>
      <w:r w:rsidRPr="00181FCD">
        <w:t>al</w:t>
      </w:r>
      <w:r w:rsidR="00F373A3" w:rsidRPr="00181FCD">
        <w:t xml:space="preserve"> </w:t>
      </w:r>
      <w:r w:rsidRPr="00181FCD">
        <w:t>odio</w:t>
      </w:r>
      <w:r w:rsidR="00F373A3" w:rsidRPr="00181FCD">
        <w:t xml:space="preserve"> </w:t>
      </w:r>
      <w:r w:rsidRPr="00181FCD">
        <w:t>y</w:t>
      </w:r>
      <w:r w:rsidR="00F373A3" w:rsidRPr="00181FCD">
        <w:t xml:space="preserve"> </w:t>
      </w:r>
      <w:r w:rsidRPr="00181FCD">
        <w:t>la</w:t>
      </w:r>
      <w:r w:rsidR="00F373A3" w:rsidRPr="00181FCD">
        <w:t xml:space="preserve"> </w:t>
      </w:r>
      <w:r w:rsidRPr="00181FCD">
        <w:t>violencia.</w:t>
      </w:r>
    </w:p>
    <w:p w:rsidR="001937F4" w:rsidRPr="00181FCD" w:rsidRDefault="00F373A3" w:rsidP="00347B20">
      <w:pPr>
        <w:pStyle w:val="H4G"/>
      </w:pPr>
      <w:r w:rsidRPr="00181FCD">
        <w:tab/>
      </w:r>
      <w:r w:rsidRPr="00181FCD">
        <w:tab/>
      </w:r>
      <w:r w:rsidR="001937F4" w:rsidRPr="00181FCD">
        <w:t>Cambios</w:t>
      </w:r>
      <w:r w:rsidRPr="00181FCD">
        <w:t xml:space="preserve"> </w:t>
      </w:r>
      <w:r w:rsidR="001937F4" w:rsidRPr="00181FCD">
        <w:t>legislativos</w:t>
      </w:r>
    </w:p>
    <w:p w:rsidR="001937F4" w:rsidRPr="00181FCD" w:rsidRDefault="001937F4" w:rsidP="00347B20">
      <w:pPr>
        <w:pStyle w:val="SingleTxtG"/>
        <w:suppressAutoHyphens/>
      </w:pPr>
      <w:r w:rsidRPr="00181FCD">
        <w:t>242.</w:t>
      </w:r>
      <w:r w:rsidRPr="00181FCD">
        <w:tab/>
        <w:t>Las</w:t>
      </w:r>
      <w:r w:rsidR="00F373A3" w:rsidRPr="00181FCD">
        <w:t xml:space="preserve"> </w:t>
      </w:r>
      <w:r w:rsidRPr="00181FCD">
        <w:t>disposiciones</w:t>
      </w:r>
      <w:r w:rsidR="00F373A3" w:rsidRPr="00181FCD">
        <w:t xml:space="preserve"> </w:t>
      </w:r>
      <w:r w:rsidRPr="00181FCD">
        <w:t>relacionadas</w:t>
      </w:r>
      <w:r w:rsidR="00F373A3" w:rsidRPr="00181FCD">
        <w:t xml:space="preserve"> </w:t>
      </w:r>
      <w:r w:rsidRPr="00181FCD">
        <w:t>con</w:t>
      </w:r>
      <w:r w:rsidR="00F373A3" w:rsidRPr="00181FCD">
        <w:t xml:space="preserve"> </w:t>
      </w:r>
      <w:r w:rsidRPr="00181FCD">
        <w:t>el</w:t>
      </w:r>
      <w:r w:rsidR="00F373A3" w:rsidRPr="00181FCD">
        <w:t xml:space="preserve"> </w:t>
      </w:r>
      <w:r w:rsidRPr="00181FCD">
        <w:t>delito</w:t>
      </w:r>
      <w:r w:rsidR="00F373A3" w:rsidRPr="00181FCD">
        <w:t xml:space="preserve"> </w:t>
      </w:r>
      <w:r w:rsidRPr="00181FCD">
        <w:t>de</w:t>
      </w:r>
      <w:r w:rsidR="00F373A3" w:rsidRPr="00181FCD">
        <w:t xml:space="preserve"> "</w:t>
      </w:r>
      <w:r w:rsidRPr="00181FCD">
        <w:t>terrorismo</w:t>
      </w:r>
      <w:r w:rsidR="00F373A3" w:rsidRPr="00181FCD">
        <w:t xml:space="preserve">" </w:t>
      </w:r>
      <w:r w:rsidRPr="00181FCD">
        <w:t>se</w:t>
      </w:r>
      <w:r w:rsidR="00F373A3" w:rsidRPr="00181FCD">
        <w:t xml:space="preserve"> </w:t>
      </w:r>
      <w:r w:rsidRPr="00181FCD">
        <w:t>estipulan</w:t>
      </w:r>
      <w:r w:rsidR="00F373A3" w:rsidRPr="00181FCD">
        <w:t xml:space="preserve"> </w:t>
      </w:r>
      <w:r w:rsidRPr="00181FCD">
        <w:t>en</w:t>
      </w:r>
      <w:r w:rsidR="00F373A3" w:rsidRPr="00181FCD">
        <w:t xml:space="preserve"> </w:t>
      </w:r>
      <w:r w:rsidRPr="00181FCD">
        <w:t>los</w:t>
      </w:r>
      <w:r w:rsidR="00F373A3" w:rsidRPr="00181FCD">
        <w:t xml:space="preserve"> </w:t>
      </w:r>
      <w:r w:rsidRPr="00181FCD">
        <w:t>artículos</w:t>
      </w:r>
      <w:r w:rsidR="00F373A3" w:rsidRPr="00181FCD">
        <w:t xml:space="preserve"> </w:t>
      </w:r>
      <w:r w:rsidRPr="00181FCD">
        <w:t>108a,</w:t>
      </w:r>
      <w:r w:rsidR="00F373A3" w:rsidRPr="00181FCD">
        <w:t xml:space="preserve"> </w:t>
      </w:r>
      <w:r w:rsidRPr="00181FCD">
        <w:t>109</w:t>
      </w:r>
      <w:r w:rsidR="00F373A3" w:rsidRPr="00181FCD">
        <w:t xml:space="preserve"> </w:t>
      </w:r>
      <w:r w:rsidRPr="00181FCD">
        <w:t>y</w:t>
      </w:r>
      <w:r w:rsidR="00F373A3" w:rsidRPr="00181FCD">
        <w:t xml:space="preserve"> </w:t>
      </w:r>
      <w:r w:rsidRPr="00181FCD">
        <w:t>110</w:t>
      </w:r>
      <w:r w:rsidR="00F373A3" w:rsidRPr="00181FCD">
        <w:t xml:space="preserve"> </w:t>
      </w:r>
      <w:r w:rsidRPr="00181FCD">
        <w:t>del</w:t>
      </w:r>
      <w:r w:rsidR="00F373A3" w:rsidRPr="00181FCD">
        <w:t xml:space="preserve"> </w:t>
      </w:r>
      <w:r w:rsidRPr="00181FCD">
        <w:t>Código</w:t>
      </w:r>
      <w:r w:rsidR="00F373A3" w:rsidRPr="00181FCD">
        <w:t xml:space="preserve"> </w:t>
      </w:r>
      <w:r w:rsidRPr="00181FCD">
        <w:t>Penal.</w:t>
      </w:r>
    </w:p>
    <w:p w:rsidR="001937F4" w:rsidRPr="00181FCD" w:rsidRDefault="001937F4" w:rsidP="00347B20">
      <w:pPr>
        <w:pStyle w:val="SingleTxtG"/>
        <w:suppressAutoHyphens/>
      </w:pPr>
      <w:r w:rsidRPr="00181FCD">
        <w:t>243.</w:t>
      </w:r>
      <w:r w:rsidRPr="00181FCD">
        <w:tab/>
        <w:t>El</w:t>
      </w:r>
      <w:r w:rsidR="00F373A3" w:rsidRPr="00181FCD">
        <w:t xml:space="preserve"> </w:t>
      </w:r>
      <w:r w:rsidRPr="00181FCD">
        <w:t>26</w:t>
      </w:r>
      <w:r w:rsidR="00F373A3" w:rsidRPr="00181FCD">
        <w:t xml:space="preserve"> </w:t>
      </w:r>
      <w:r w:rsidRPr="00181FCD">
        <w:t>de</w:t>
      </w:r>
      <w:r w:rsidR="00F373A3" w:rsidRPr="00181FCD">
        <w:t xml:space="preserve"> </w:t>
      </w:r>
      <w:r w:rsidRPr="00181FCD">
        <w:t>septiembre</w:t>
      </w:r>
      <w:r w:rsidR="00F373A3" w:rsidRPr="00181FCD">
        <w:t xml:space="preserve"> </w:t>
      </w:r>
      <w:r w:rsidRPr="00181FCD">
        <w:t>de</w:t>
      </w:r>
      <w:r w:rsidR="00F373A3" w:rsidRPr="00181FCD">
        <w:t xml:space="preserve"> </w:t>
      </w:r>
      <w:r w:rsidRPr="00181FCD">
        <w:t>2015</w:t>
      </w:r>
      <w:r w:rsidR="00F373A3" w:rsidRPr="00181FCD">
        <w:t xml:space="preserve"> </w:t>
      </w:r>
      <w:r w:rsidRPr="00181FCD">
        <w:t>se</w:t>
      </w:r>
      <w:r w:rsidR="00F373A3" w:rsidRPr="00181FCD">
        <w:t xml:space="preserve"> </w:t>
      </w:r>
      <w:r w:rsidRPr="00181FCD">
        <w:t>modificaron</w:t>
      </w:r>
      <w:r w:rsidR="00F373A3" w:rsidRPr="00181FCD">
        <w:t xml:space="preserve"> </w:t>
      </w:r>
      <w:r w:rsidRPr="00181FCD">
        <w:t>y</w:t>
      </w:r>
      <w:r w:rsidR="00F373A3" w:rsidRPr="00181FCD">
        <w:t xml:space="preserve"> </w:t>
      </w:r>
      <w:r w:rsidRPr="00181FCD">
        <w:t>complementaron</w:t>
      </w:r>
      <w:r w:rsidR="00F373A3" w:rsidRPr="00181FCD">
        <w:t xml:space="preserve"> </w:t>
      </w:r>
      <w:r w:rsidRPr="00181FCD">
        <w:t>estos</w:t>
      </w:r>
      <w:r w:rsidR="00F373A3" w:rsidRPr="00181FCD">
        <w:t xml:space="preserve"> </w:t>
      </w:r>
      <w:r w:rsidRPr="00181FCD">
        <w:t>artículos,</w:t>
      </w:r>
      <w:r w:rsidR="00F373A3" w:rsidRPr="00181FCD">
        <w:t xml:space="preserve"> </w:t>
      </w:r>
      <w:r w:rsidRPr="00181FCD">
        <w:t>con</w:t>
      </w:r>
      <w:r w:rsidR="00F373A3" w:rsidRPr="00181FCD">
        <w:t xml:space="preserve"> </w:t>
      </w:r>
      <w:r w:rsidRPr="00181FCD">
        <w:t>el</w:t>
      </w:r>
      <w:r w:rsidR="00F373A3" w:rsidRPr="00181FCD">
        <w:t xml:space="preserve"> </w:t>
      </w:r>
      <w:r w:rsidRPr="00181FCD">
        <w:t>fin</w:t>
      </w:r>
      <w:r w:rsidR="00F373A3" w:rsidRPr="00181FCD">
        <w:t xml:space="preserve"> </w:t>
      </w:r>
      <w:r w:rsidRPr="00181FCD">
        <w:t>de</w:t>
      </w:r>
      <w:r w:rsidR="00F373A3" w:rsidRPr="00181FCD">
        <w:t xml:space="preserve"> </w:t>
      </w:r>
      <w:r w:rsidRPr="00181FCD">
        <w:t>ajustarlos</w:t>
      </w:r>
      <w:r w:rsidR="00F373A3" w:rsidRPr="00181FCD">
        <w:t xml:space="preserve"> </w:t>
      </w:r>
      <w:r w:rsidRPr="00181FCD">
        <w:t>a</w:t>
      </w:r>
      <w:r w:rsidR="00F373A3" w:rsidRPr="00181FCD">
        <w:t xml:space="preserve"> </w:t>
      </w:r>
      <w:r w:rsidRPr="00181FCD">
        <w:t>las</w:t>
      </w:r>
      <w:r w:rsidR="00F373A3" w:rsidRPr="00181FCD">
        <w:t xml:space="preserve"> </w:t>
      </w:r>
      <w:r w:rsidRPr="00181FCD">
        <w:t>normas</w:t>
      </w:r>
      <w:r w:rsidR="00F373A3" w:rsidRPr="00181FCD">
        <w:t xml:space="preserve"> </w:t>
      </w:r>
      <w:r w:rsidRPr="00181FCD">
        <w:t>internacionales</w:t>
      </w:r>
      <w:r w:rsidR="00F373A3" w:rsidRPr="00181FCD">
        <w:t xml:space="preserve"> </w:t>
      </w:r>
      <w:r w:rsidRPr="00181FCD">
        <w:t>e</w:t>
      </w:r>
      <w:r w:rsidR="00F373A3" w:rsidRPr="00181FCD">
        <w:t xml:space="preserve"> </w:t>
      </w:r>
      <w:r w:rsidRPr="00181FCD">
        <w:t>introducir</w:t>
      </w:r>
      <w:r w:rsidR="00F373A3" w:rsidRPr="00181FCD">
        <w:t xml:space="preserve"> </w:t>
      </w:r>
      <w:r w:rsidRPr="00181FCD">
        <w:t>el</w:t>
      </w:r>
      <w:r w:rsidR="00F373A3" w:rsidRPr="00181FCD">
        <w:t xml:space="preserve"> </w:t>
      </w:r>
      <w:r w:rsidRPr="00181FCD">
        <w:t>delito</w:t>
      </w:r>
      <w:r w:rsidR="00F373A3" w:rsidRPr="00181FCD">
        <w:t xml:space="preserve"> </w:t>
      </w:r>
      <w:r w:rsidRPr="00181FCD">
        <w:t>de</w:t>
      </w:r>
      <w:r w:rsidR="00F373A3" w:rsidRPr="00181FCD">
        <w:t xml:space="preserve"> "</w:t>
      </w:r>
      <w:r w:rsidRPr="00181FCD">
        <w:t>financiación</w:t>
      </w:r>
      <w:r w:rsidR="00F373A3" w:rsidRPr="00181FCD">
        <w:t xml:space="preserve"> </w:t>
      </w:r>
      <w:r w:rsidRPr="00181FCD">
        <w:t>del</w:t>
      </w:r>
      <w:r w:rsidR="00F373A3" w:rsidRPr="00181FCD">
        <w:t xml:space="preserve"> </w:t>
      </w:r>
      <w:r w:rsidRPr="00181FCD">
        <w:t>terrorismo</w:t>
      </w:r>
      <w:r w:rsidR="00F373A3" w:rsidRPr="00181FCD">
        <w:t>"</w:t>
      </w:r>
      <w:r w:rsidRPr="00181FCD">
        <w:t>.</w:t>
      </w:r>
      <w:r w:rsidR="00F373A3" w:rsidRPr="00181FCD">
        <w:t xml:space="preserve"> </w:t>
      </w:r>
      <w:r w:rsidRPr="00181FCD">
        <w:t>También</w:t>
      </w:r>
      <w:r w:rsidR="00F373A3" w:rsidRPr="00181FCD">
        <w:t xml:space="preserve"> </w:t>
      </w:r>
      <w:r w:rsidRPr="00181FCD">
        <w:t>se</w:t>
      </w:r>
      <w:r w:rsidR="00F373A3" w:rsidRPr="00181FCD">
        <w:t xml:space="preserve"> </w:t>
      </w:r>
      <w:r w:rsidRPr="00181FCD">
        <w:t>incorporaron</w:t>
      </w:r>
      <w:r w:rsidR="00F373A3" w:rsidRPr="00181FCD">
        <w:t xml:space="preserve"> </w:t>
      </w:r>
      <w:r w:rsidRPr="00181FCD">
        <w:t>en</w:t>
      </w:r>
      <w:r w:rsidR="00F373A3" w:rsidRPr="00181FCD">
        <w:t xml:space="preserve"> </w:t>
      </w:r>
      <w:r w:rsidRPr="00181FCD">
        <w:t>el</w:t>
      </w:r>
      <w:r w:rsidR="00F373A3" w:rsidRPr="00181FCD">
        <w:t xml:space="preserve"> </w:t>
      </w:r>
      <w:r w:rsidRPr="00181FCD">
        <w:t>Código</w:t>
      </w:r>
      <w:r w:rsidR="00F373A3" w:rsidRPr="00181FCD">
        <w:t xml:space="preserve"> </w:t>
      </w:r>
      <w:r w:rsidRPr="00181FCD">
        <w:t>los</w:t>
      </w:r>
      <w:r w:rsidR="00F373A3" w:rsidRPr="00181FCD">
        <w:t xml:space="preserve"> </w:t>
      </w:r>
      <w:r w:rsidRPr="00181FCD">
        <w:t>requisitos</w:t>
      </w:r>
      <w:r w:rsidR="00F373A3" w:rsidRPr="00181FCD">
        <w:t xml:space="preserve"> </w:t>
      </w:r>
      <w:r w:rsidRPr="00181FCD">
        <w:t>de</w:t>
      </w:r>
      <w:r w:rsidR="00F373A3" w:rsidRPr="00181FCD">
        <w:t xml:space="preserve"> </w:t>
      </w:r>
      <w:r w:rsidRPr="00181FCD">
        <w:t>la</w:t>
      </w:r>
      <w:r w:rsidR="00F373A3" w:rsidRPr="00181FCD">
        <w:t xml:space="preserve"> </w:t>
      </w:r>
      <w:r w:rsidRPr="00181FCD">
        <w:t>resolución</w:t>
      </w:r>
      <w:r w:rsidR="00F373A3" w:rsidRPr="00181FCD">
        <w:t xml:space="preserve"> </w:t>
      </w:r>
      <w:r w:rsidRPr="00181FCD">
        <w:t>2178</w:t>
      </w:r>
      <w:r w:rsidR="00F373A3" w:rsidRPr="00181FCD">
        <w:t xml:space="preserve"> </w:t>
      </w:r>
      <w:r w:rsidRPr="00181FCD">
        <w:t>(2014)</w:t>
      </w:r>
      <w:r w:rsidR="00F373A3" w:rsidRPr="00181FCD">
        <w:t xml:space="preserve"> </w:t>
      </w:r>
      <w:r w:rsidRPr="00181FCD">
        <w:t>del</w:t>
      </w:r>
      <w:r w:rsidR="00F373A3" w:rsidRPr="00181FCD">
        <w:t xml:space="preserve"> </w:t>
      </w:r>
      <w:r w:rsidRPr="00181FCD">
        <w:t>Consejo</w:t>
      </w:r>
      <w:r w:rsidR="00F373A3" w:rsidRPr="00181FCD">
        <w:t xml:space="preserve"> </w:t>
      </w:r>
      <w:r w:rsidRPr="00181FCD">
        <w:t>de</w:t>
      </w:r>
      <w:r w:rsidR="00F373A3" w:rsidRPr="00181FCD">
        <w:t xml:space="preserve"> </w:t>
      </w:r>
      <w:r w:rsidRPr="00181FCD">
        <w:t>Seguridad</w:t>
      </w:r>
      <w:r w:rsidR="00F373A3" w:rsidRPr="00181FCD">
        <w:t xml:space="preserve"> </w:t>
      </w:r>
      <w:r w:rsidRPr="00181FCD">
        <w:t>de</w:t>
      </w:r>
      <w:r w:rsidR="00F373A3" w:rsidRPr="00181FCD">
        <w:t xml:space="preserve"> </w:t>
      </w:r>
      <w:r w:rsidRPr="00181FCD">
        <w:t>las</w:t>
      </w:r>
      <w:r w:rsidR="00F373A3" w:rsidRPr="00181FCD">
        <w:t xml:space="preserve"> </w:t>
      </w:r>
      <w:r w:rsidRPr="00181FCD">
        <w:t>Naciones</w:t>
      </w:r>
      <w:r w:rsidR="00F373A3" w:rsidRPr="00181FCD">
        <w:t xml:space="preserve"> </w:t>
      </w:r>
      <w:r w:rsidRPr="00181FCD">
        <w:t>Unidas,</w:t>
      </w:r>
      <w:r w:rsidR="00F373A3" w:rsidRPr="00181FCD">
        <w:t xml:space="preserve"> </w:t>
      </w:r>
      <w:r w:rsidRPr="00181FCD">
        <w:t>sobre</w:t>
      </w:r>
      <w:r w:rsidR="00F373A3" w:rsidRPr="00181FCD">
        <w:t xml:space="preserve"> </w:t>
      </w:r>
      <w:r w:rsidRPr="00181FCD">
        <w:t>las</w:t>
      </w:r>
      <w:r w:rsidR="00F373A3" w:rsidRPr="00181FCD">
        <w:t xml:space="preserve"> </w:t>
      </w:r>
      <w:r w:rsidRPr="00181FCD">
        <w:t>amenazas</w:t>
      </w:r>
      <w:r w:rsidR="00F373A3" w:rsidRPr="00181FCD">
        <w:t xml:space="preserve"> </w:t>
      </w:r>
      <w:r w:rsidRPr="00181FCD">
        <w:t>a</w:t>
      </w:r>
      <w:r w:rsidR="00F373A3" w:rsidRPr="00181FCD">
        <w:t xml:space="preserve"> </w:t>
      </w:r>
      <w:r w:rsidRPr="00181FCD">
        <w:t>la</w:t>
      </w:r>
      <w:r w:rsidR="00F373A3" w:rsidRPr="00181FCD">
        <w:t xml:space="preserve"> </w:t>
      </w:r>
      <w:r w:rsidRPr="00181FCD">
        <w:t>paz</w:t>
      </w:r>
      <w:r w:rsidR="00F373A3" w:rsidRPr="00181FCD">
        <w:t xml:space="preserve"> </w:t>
      </w:r>
      <w:r w:rsidRPr="00181FCD">
        <w:t>y</w:t>
      </w:r>
      <w:r w:rsidR="00F373A3" w:rsidRPr="00181FCD">
        <w:t xml:space="preserve"> </w:t>
      </w:r>
      <w:r w:rsidRPr="00181FCD">
        <w:t>la</w:t>
      </w:r>
      <w:r w:rsidR="00F373A3" w:rsidRPr="00181FCD">
        <w:t xml:space="preserve"> </w:t>
      </w:r>
      <w:r w:rsidRPr="00181FCD">
        <w:t>seguridad</w:t>
      </w:r>
      <w:r w:rsidR="00F373A3" w:rsidRPr="00181FCD">
        <w:t xml:space="preserve"> </w:t>
      </w:r>
      <w:r w:rsidRPr="00181FCD">
        <w:t>internacionales</w:t>
      </w:r>
      <w:r w:rsidR="00F373A3" w:rsidRPr="00181FCD">
        <w:t xml:space="preserve"> </w:t>
      </w:r>
      <w:r w:rsidRPr="00181FCD">
        <w:t>causadas</w:t>
      </w:r>
      <w:r w:rsidR="00F373A3" w:rsidRPr="00181FCD">
        <w:t xml:space="preserve"> </w:t>
      </w:r>
      <w:r w:rsidRPr="00181FCD">
        <w:t>por</w:t>
      </w:r>
      <w:r w:rsidR="00F373A3" w:rsidRPr="00181FCD">
        <w:t xml:space="preserve"> </w:t>
      </w:r>
      <w:r w:rsidRPr="00181FCD">
        <w:t>actos</w:t>
      </w:r>
      <w:r w:rsidR="00F373A3" w:rsidRPr="00181FCD">
        <w:t xml:space="preserve"> </w:t>
      </w:r>
      <w:r w:rsidRPr="00181FCD">
        <w:t>terroristas.</w:t>
      </w:r>
      <w:r w:rsidR="00F373A3" w:rsidRPr="00181FCD">
        <w:t xml:space="preserve"> </w:t>
      </w:r>
      <w:r w:rsidRPr="00181FCD">
        <w:t>Las</w:t>
      </w:r>
      <w:r w:rsidR="00F373A3" w:rsidRPr="00181FCD">
        <w:t xml:space="preserve"> </w:t>
      </w:r>
      <w:r w:rsidRPr="00181FCD">
        <w:t>modificaciones</w:t>
      </w:r>
      <w:r w:rsidR="00F373A3" w:rsidRPr="00181FCD">
        <w:t xml:space="preserve"> </w:t>
      </w:r>
      <w:r w:rsidRPr="00181FCD">
        <w:t>tienen</w:t>
      </w:r>
      <w:r w:rsidR="00F373A3" w:rsidRPr="00181FCD">
        <w:t xml:space="preserve"> </w:t>
      </w:r>
      <w:r w:rsidRPr="00181FCD">
        <w:t>por</w:t>
      </w:r>
      <w:r w:rsidR="00F373A3" w:rsidRPr="00181FCD">
        <w:t xml:space="preserve"> </w:t>
      </w:r>
      <w:r w:rsidRPr="00181FCD">
        <w:t>objeto:</w:t>
      </w:r>
    </w:p>
    <w:p w:rsidR="001937F4" w:rsidRPr="00181FCD" w:rsidRDefault="001937F4" w:rsidP="002C541C">
      <w:pPr>
        <w:pStyle w:val="Bullet1G"/>
      </w:pPr>
      <w:r w:rsidRPr="00181FCD">
        <w:t>Decidir</w:t>
      </w:r>
      <w:r w:rsidR="00F373A3" w:rsidRPr="00181FCD">
        <w:t xml:space="preserve"> </w:t>
      </w:r>
      <w:r w:rsidRPr="00181FCD">
        <w:t>hacer</w:t>
      </w:r>
      <w:r w:rsidR="00F373A3" w:rsidRPr="00181FCD">
        <w:t xml:space="preserve"> </w:t>
      </w:r>
      <w:r w:rsidRPr="00181FCD">
        <w:t>frente</w:t>
      </w:r>
      <w:r w:rsidR="00F373A3" w:rsidRPr="00181FCD">
        <w:t xml:space="preserve"> </w:t>
      </w:r>
      <w:r w:rsidRPr="00181FCD">
        <w:t>a</w:t>
      </w:r>
      <w:r w:rsidR="00F373A3" w:rsidRPr="00181FCD">
        <w:t xml:space="preserve"> </w:t>
      </w:r>
      <w:r w:rsidRPr="00181FCD">
        <w:t>la</w:t>
      </w:r>
      <w:r w:rsidR="00F373A3" w:rsidRPr="00181FCD">
        <w:t xml:space="preserve"> </w:t>
      </w:r>
      <w:r w:rsidRPr="00181FCD">
        <w:t>amenaza</w:t>
      </w:r>
      <w:r w:rsidR="00F373A3" w:rsidRPr="00181FCD">
        <w:t xml:space="preserve"> </w:t>
      </w:r>
      <w:r w:rsidRPr="00181FCD">
        <w:t>grave</w:t>
      </w:r>
      <w:r w:rsidR="00F373A3" w:rsidRPr="00181FCD">
        <w:t xml:space="preserve"> </w:t>
      </w:r>
      <w:r w:rsidRPr="00181FCD">
        <w:t>y</w:t>
      </w:r>
      <w:r w:rsidR="00F373A3" w:rsidRPr="00181FCD">
        <w:t xml:space="preserve"> </w:t>
      </w:r>
      <w:r w:rsidRPr="00181FCD">
        <w:t>creciente</w:t>
      </w:r>
      <w:r w:rsidR="00F373A3" w:rsidRPr="00181FCD">
        <w:t xml:space="preserve"> </w:t>
      </w:r>
      <w:r w:rsidRPr="00181FCD">
        <w:t>que</w:t>
      </w:r>
      <w:r w:rsidR="00F373A3" w:rsidRPr="00181FCD">
        <w:t xml:space="preserve"> </w:t>
      </w:r>
      <w:r w:rsidRPr="00181FCD">
        <w:t>representan</w:t>
      </w:r>
      <w:r w:rsidR="00F373A3" w:rsidRPr="00181FCD">
        <w:t xml:space="preserve"> </w:t>
      </w:r>
      <w:r w:rsidRPr="00181FCD">
        <w:t>los</w:t>
      </w:r>
      <w:r w:rsidR="00F373A3" w:rsidRPr="00181FCD">
        <w:t xml:space="preserve"> </w:t>
      </w:r>
      <w:r w:rsidRPr="00181FCD">
        <w:t>combatientes</w:t>
      </w:r>
      <w:r w:rsidR="00F373A3" w:rsidRPr="00181FCD">
        <w:t xml:space="preserve"> </w:t>
      </w:r>
      <w:r w:rsidRPr="00181FCD">
        <w:t>terroristas</w:t>
      </w:r>
      <w:r w:rsidR="00F373A3" w:rsidRPr="00181FCD">
        <w:t xml:space="preserve"> </w:t>
      </w:r>
      <w:r w:rsidRPr="00181FCD">
        <w:t>extranjeros,</w:t>
      </w:r>
      <w:r w:rsidR="00F373A3" w:rsidRPr="00181FCD">
        <w:t xml:space="preserve"> </w:t>
      </w:r>
      <w:r w:rsidRPr="00181FCD">
        <w:t>es</w:t>
      </w:r>
      <w:r w:rsidR="00F373A3" w:rsidRPr="00181FCD">
        <w:t xml:space="preserve"> </w:t>
      </w:r>
      <w:r w:rsidRPr="00181FCD">
        <w:t>decir,</w:t>
      </w:r>
      <w:r w:rsidR="00F373A3" w:rsidRPr="00181FCD">
        <w:t xml:space="preserve"> </w:t>
      </w:r>
      <w:r w:rsidRPr="00181FCD">
        <w:t>las</w:t>
      </w:r>
      <w:r w:rsidR="00F373A3" w:rsidRPr="00181FCD">
        <w:t xml:space="preserve"> </w:t>
      </w:r>
      <w:r w:rsidRPr="00181FCD">
        <w:t>personas</w:t>
      </w:r>
      <w:r w:rsidR="00F373A3" w:rsidRPr="00181FCD">
        <w:t xml:space="preserve"> </w:t>
      </w:r>
      <w:r w:rsidRPr="00181FCD">
        <w:t>que</w:t>
      </w:r>
      <w:r w:rsidR="00F373A3" w:rsidRPr="00181FCD">
        <w:t xml:space="preserve"> </w:t>
      </w:r>
      <w:r w:rsidRPr="00181FCD">
        <w:t>viajan</w:t>
      </w:r>
      <w:r w:rsidR="00F373A3" w:rsidRPr="00181FCD">
        <w:t xml:space="preserve"> </w:t>
      </w:r>
      <w:r w:rsidRPr="00181FCD">
        <w:t>a</w:t>
      </w:r>
      <w:r w:rsidR="00F373A3" w:rsidRPr="00181FCD">
        <w:t xml:space="preserve"> </w:t>
      </w:r>
      <w:r w:rsidRPr="00181FCD">
        <w:t>un</w:t>
      </w:r>
      <w:r w:rsidR="00F373A3" w:rsidRPr="00181FCD">
        <w:t xml:space="preserve"> </w:t>
      </w:r>
      <w:r w:rsidRPr="00181FCD">
        <w:t>Estado</w:t>
      </w:r>
      <w:r w:rsidR="00F373A3" w:rsidRPr="00181FCD">
        <w:t xml:space="preserve"> </w:t>
      </w:r>
      <w:r w:rsidRPr="00181FCD">
        <w:t>distinto</w:t>
      </w:r>
      <w:r w:rsidR="00F373A3" w:rsidRPr="00181FCD">
        <w:t xml:space="preserve"> </w:t>
      </w:r>
      <w:r w:rsidRPr="00181FCD">
        <w:t>de</w:t>
      </w:r>
      <w:r w:rsidR="00F373A3" w:rsidRPr="00181FCD">
        <w:t xml:space="preserve"> </w:t>
      </w:r>
      <w:r w:rsidRPr="00181FCD">
        <w:t>su</w:t>
      </w:r>
      <w:r w:rsidR="00F373A3" w:rsidRPr="00181FCD">
        <w:t xml:space="preserve"> </w:t>
      </w:r>
      <w:r w:rsidRPr="00181FCD">
        <w:t>país</w:t>
      </w:r>
      <w:r w:rsidR="00F373A3" w:rsidRPr="00181FCD">
        <w:t xml:space="preserve"> </w:t>
      </w:r>
      <w:r w:rsidRPr="00181FCD">
        <w:t>de</w:t>
      </w:r>
      <w:r w:rsidR="00F373A3" w:rsidRPr="00181FCD">
        <w:t xml:space="preserve"> </w:t>
      </w:r>
      <w:r w:rsidRPr="00181FCD">
        <w:t>residencia</w:t>
      </w:r>
      <w:r w:rsidR="00F373A3" w:rsidRPr="00181FCD">
        <w:t xml:space="preserve"> </w:t>
      </w:r>
      <w:r w:rsidRPr="00181FCD">
        <w:t>o</w:t>
      </w:r>
      <w:r w:rsidR="00F373A3" w:rsidRPr="00181FCD">
        <w:t xml:space="preserve"> </w:t>
      </w:r>
      <w:r w:rsidRPr="00181FCD">
        <w:t>nacionalidad,</w:t>
      </w:r>
      <w:r w:rsidR="00F373A3" w:rsidRPr="00181FCD">
        <w:t xml:space="preserve"> </w:t>
      </w:r>
      <w:r w:rsidRPr="00181FCD">
        <w:t>con</w:t>
      </w:r>
      <w:r w:rsidR="00F373A3" w:rsidRPr="00181FCD">
        <w:t xml:space="preserve"> </w:t>
      </w:r>
      <w:r w:rsidRPr="00181FCD">
        <w:t>el</w:t>
      </w:r>
      <w:r w:rsidR="00F373A3" w:rsidRPr="00181FCD">
        <w:t xml:space="preserve"> </w:t>
      </w:r>
      <w:r w:rsidRPr="00181FCD">
        <w:t>propósito</w:t>
      </w:r>
      <w:r w:rsidR="00F373A3" w:rsidRPr="00181FCD">
        <w:t xml:space="preserve"> </w:t>
      </w:r>
      <w:r w:rsidRPr="00181FCD">
        <w:t>de</w:t>
      </w:r>
      <w:r w:rsidR="00F373A3" w:rsidRPr="00181FCD">
        <w:t xml:space="preserve"> </w:t>
      </w:r>
      <w:r w:rsidRPr="00181FCD">
        <w:t>cometer,</w:t>
      </w:r>
      <w:r w:rsidR="00F373A3" w:rsidRPr="00181FCD">
        <w:t xml:space="preserve"> </w:t>
      </w:r>
      <w:r w:rsidRPr="00181FCD">
        <w:t>planificar</w:t>
      </w:r>
      <w:r w:rsidR="00F373A3" w:rsidRPr="00181FCD">
        <w:t xml:space="preserve"> </w:t>
      </w:r>
      <w:r w:rsidRPr="00181FCD">
        <w:t>o</w:t>
      </w:r>
      <w:r w:rsidR="00F373A3" w:rsidRPr="00181FCD">
        <w:t xml:space="preserve"> </w:t>
      </w:r>
      <w:r w:rsidRPr="00181FCD">
        <w:t>preparar</w:t>
      </w:r>
      <w:r w:rsidR="00F373A3" w:rsidRPr="00181FCD">
        <w:t xml:space="preserve"> </w:t>
      </w:r>
      <w:r w:rsidRPr="00181FCD">
        <w:t>actos</w:t>
      </w:r>
      <w:r w:rsidR="00F373A3" w:rsidRPr="00181FCD">
        <w:t xml:space="preserve"> </w:t>
      </w:r>
      <w:r w:rsidRPr="00181FCD">
        <w:t>terroristas</w:t>
      </w:r>
      <w:r w:rsidR="00F373A3" w:rsidRPr="00181FCD">
        <w:t xml:space="preserve"> </w:t>
      </w:r>
      <w:r w:rsidRPr="00181FCD">
        <w:t>o</w:t>
      </w:r>
      <w:r w:rsidR="00F373A3" w:rsidRPr="00181FCD">
        <w:t xml:space="preserve"> </w:t>
      </w:r>
      <w:r w:rsidRPr="00181FCD">
        <w:t>participar</w:t>
      </w:r>
      <w:r w:rsidR="00F373A3" w:rsidRPr="00181FCD">
        <w:t xml:space="preserve"> </w:t>
      </w:r>
      <w:r w:rsidRPr="00181FCD">
        <w:t>en</w:t>
      </w:r>
      <w:r w:rsidR="00F373A3" w:rsidRPr="00181FCD">
        <w:t xml:space="preserve"> </w:t>
      </w:r>
      <w:r w:rsidRPr="00181FCD">
        <w:t>ellos,</w:t>
      </w:r>
      <w:r w:rsidR="00F373A3" w:rsidRPr="00181FCD">
        <w:t xml:space="preserve"> </w:t>
      </w:r>
      <w:r w:rsidRPr="00181FCD">
        <w:t>o</w:t>
      </w:r>
      <w:r w:rsidR="00F373A3" w:rsidRPr="00181FCD">
        <w:t xml:space="preserve"> </w:t>
      </w:r>
      <w:r w:rsidRPr="00181FCD">
        <w:t>bien</w:t>
      </w:r>
      <w:r w:rsidR="00F373A3" w:rsidRPr="00181FCD">
        <w:t xml:space="preserve"> </w:t>
      </w:r>
      <w:r w:rsidRPr="00181FCD">
        <w:t>de</w:t>
      </w:r>
      <w:r w:rsidR="00F373A3" w:rsidRPr="00181FCD">
        <w:t xml:space="preserve"> </w:t>
      </w:r>
      <w:r w:rsidRPr="00181FCD">
        <w:t>proporcionar</w:t>
      </w:r>
      <w:r w:rsidR="00F373A3" w:rsidRPr="00181FCD">
        <w:t xml:space="preserve"> </w:t>
      </w:r>
      <w:r w:rsidRPr="00181FCD">
        <w:t>o</w:t>
      </w:r>
      <w:r w:rsidR="00F373A3" w:rsidRPr="00181FCD">
        <w:t xml:space="preserve"> </w:t>
      </w:r>
      <w:r w:rsidRPr="00181FCD">
        <w:t>recibir</w:t>
      </w:r>
      <w:r w:rsidR="00F373A3" w:rsidRPr="00181FCD">
        <w:t xml:space="preserve"> </w:t>
      </w:r>
      <w:r w:rsidRPr="00181FCD">
        <w:t>adiestramiento</w:t>
      </w:r>
      <w:r w:rsidR="00F373A3" w:rsidRPr="00181FCD">
        <w:t xml:space="preserve"> </w:t>
      </w:r>
      <w:r w:rsidRPr="00181FCD">
        <w:t>para</w:t>
      </w:r>
      <w:r w:rsidR="00F373A3" w:rsidRPr="00181FCD">
        <w:t xml:space="preserve"> </w:t>
      </w:r>
      <w:r w:rsidRPr="00181FCD">
        <w:t>actos</w:t>
      </w:r>
      <w:r w:rsidR="00F373A3" w:rsidRPr="00181FCD">
        <w:t xml:space="preserve"> </w:t>
      </w:r>
      <w:r w:rsidRPr="00181FCD">
        <w:t>de</w:t>
      </w:r>
      <w:r w:rsidR="00F373A3" w:rsidRPr="00181FCD">
        <w:t xml:space="preserve"> </w:t>
      </w:r>
      <w:r w:rsidRPr="00181FCD">
        <w:t>terrorismo,</w:t>
      </w:r>
      <w:r w:rsidR="00F373A3" w:rsidRPr="00181FCD">
        <w:t xml:space="preserve"> </w:t>
      </w:r>
      <w:r w:rsidRPr="00181FCD">
        <w:t>incluso</w:t>
      </w:r>
      <w:r w:rsidR="00F373A3" w:rsidRPr="00181FCD">
        <w:t xml:space="preserve"> </w:t>
      </w:r>
      <w:r w:rsidRPr="00181FCD">
        <w:t>en</w:t>
      </w:r>
      <w:r w:rsidR="00F373A3" w:rsidRPr="00181FCD">
        <w:t xml:space="preserve"> </w:t>
      </w:r>
      <w:r w:rsidRPr="00181FCD">
        <w:t>relación</w:t>
      </w:r>
      <w:r w:rsidR="00F373A3" w:rsidRPr="00181FCD">
        <w:t xml:space="preserve"> </w:t>
      </w:r>
      <w:r w:rsidRPr="00181FCD">
        <w:t>con</w:t>
      </w:r>
      <w:r w:rsidR="00F373A3" w:rsidRPr="00181FCD">
        <w:t xml:space="preserve"> </w:t>
      </w:r>
      <w:r w:rsidRPr="00181FCD">
        <w:t>conflictos</w:t>
      </w:r>
      <w:r w:rsidR="00F373A3" w:rsidRPr="00181FCD">
        <w:t xml:space="preserve"> </w:t>
      </w:r>
      <w:r w:rsidRPr="00181FCD">
        <w:t>armados.</w:t>
      </w:r>
    </w:p>
    <w:p w:rsidR="001937F4" w:rsidRPr="00181FCD" w:rsidRDefault="001937F4" w:rsidP="002C541C">
      <w:pPr>
        <w:pStyle w:val="Bullet1G"/>
      </w:pPr>
      <w:r w:rsidRPr="00181FCD">
        <w:t>Prevenir</w:t>
      </w:r>
      <w:r w:rsidR="00F373A3" w:rsidRPr="00181FCD">
        <w:t xml:space="preserve"> </w:t>
      </w:r>
      <w:r w:rsidRPr="00181FCD">
        <w:t>la</w:t>
      </w:r>
      <w:r w:rsidR="00F373A3" w:rsidRPr="00181FCD">
        <w:t xml:space="preserve"> </w:t>
      </w:r>
      <w:r w:rsidRPr="00181FCD">
        <w:t>radicalización</w:t>
      </w:r>
      <w:r w:rsidR="00F373A3" w:rsidRPr="00181FCD">
        <w:t xml:space="preserve"> </w:t>
      </w:r>
      <w:r w:rsidRPr="00181FCD">
        <w:t>y</w:t>
      </w:r>
      <w:r w:rsidR="00F373A3" w:rsidRPr="00181FCD">
        <w:t xml:space="preserve"> </w:t>
      </w:r>
      <w:r w:rsidRPr="00181FCD">
        <w:t>el</w:t>
      </w:r>
      <w:r w:rsidR="00F373A3" w:rsidRPr="00181FCD">
        <w:t xml:space="preserve"> </w:t>
      </w:r>
      <w:r w:rsidRPr="00181FCD">
        <w:t>reclutamiento</w:t>
      </w:r>
      <w:r w:rsidR="00F373A3" w:rsidRPr="00181FCD">
        <w:t xml:space="preserve"> </w:t>
      </w:r>
      <w:r w:rsidRPr="00181FCD">
        <w:t>conducentes</w:t>
      </w:r>
      <w:r w:rsidR="00F373A3" w:rsidRPr="00181FCD">
        <w:t xml:space="preserve"> </w:t>
      </w:r>
      <w:r w:rsidRPr="00181FCD">
        <w:t>al</w:t>
      </w:r>
      <w:r w:rsidR="00F373A3" w:rsidRPr="00181FCD">
        <w:t xml:space="preserve"> </w:t>
      </w:r>
      <w:r w:rsidRPr="00181FCD">
        <w:t>terrorismo,</w:t>
      </w:r>
      <w:r w:rsidR="00F373A3" w:rsidRPr="00181FCD">
        <w:t xml:space="preserve"> </w:t>
      </w:r>
      <w:r w:rsidRPr="00181FCD">
        <w:t>y</w:t>
      </w:r>
      <w:r w:rsidR="00F373A3" w:rsidRPr="00181FCD">
        <w:t xml:space="preserve"> </w:t>
      </w:r>
      <w:r w:rsidRPr="00181FCD">
        <w:t>en</w:t>
      </w:r>
      <w:r w:rsidR="00F373A3" w:rsidRPr="00181FCD">
        <w:t xml:space="preserve"> </w:t>
      </w:r>
      <w:r w:rsidRPr="00181FCD">
        <w:t>particular,</w:t>
      </w:r>
      <w:r w:rsidR="00F373A3" w:rsidRPr="00181FCD">
        <w:t xml:space="preserve"> </w:t>
      </w:r>
      <w:r w:rsidRPr="00181FCD">
        <w:t>evitar</w:t>
      </w:r>
      <w:r w:rsidR="00F373A3" w:rsidRPr="00181FCD">
        <w:t xml:space="preserve"> </w:t>
      </w:r>
      <w:r w:rsidRPr="00181FCD">
        <w:t>los</w:t>
      </w:r>
      <w:r w:rsidR="00F373A3" w:rsidRPr="00181FCD">
        <w:t xml:space="preserve"> </w:t>
      </w:r>
      <w:r w:rsidRPr="00181FCD">
        <w:t>viajes</w:t>
      </w:r>
      <w:r w:rsidR="00F373A3" w:rsidRPr="00181FCD">
        <w:t xml:space="preserve"> </w:t>
      </w:r>
      <w:r w:rsidRPr="00181FCD">
        <w:t>de</w:t>
      </w:r>
      <w:r w:rsidR="00F373A3" w:rsidRPr="00181FCD">
        <w:t xml:space="preserve"> </w:t>
      </w:r>
      <w:r w:rsidRPr="00181FCD">
        <w:t>combatientes</w:t>
      </w:r>
      <w:r w:rsidR="00F373A3" w:rsidRPr="00181FCD">
        <w:t xml:space="preserve"> </w:t>
      </w:r>
      <w:r w:rsidRPr="00181FCD">
        <w:t>terroristas</w:t>
      </w:r>
      <w:r w:rsidR="00F373A3" w:rsidRPr="00181FCD">
        <w:t xml:space="preserve"> </w:t>
      </w:r>
      <w:r w:rsidRPr="00181FCD">
        <w:t>extranjeros</w:t>
      </w:r>
      <w:r w:rsidR="00F373A3" w:rsidRPr="00181FCD">
        <w:t xml:space="preserve"> </w:t>
      </w:r>
      <w:r w:rsidRPr="00181FCD">
        <w:t>y</w:t>
      </w:r>
      <w:r w:rsidR="00F373A3" w:rsidRPr="00181FCD">
        <w:t xml:space="preserve"> </w:t>
      </w:r>
      <w:r w:rsidRPr="00181FCD">
        <w:t>luchar</w:t>
      </w:r>
      <w:r w:rsidR="00F373A3" w:rsidRPr="00181FCD">
        <w:t xml:space="preserve"> </w:t>
      </w:r>
      <w:r w:rsidRPr="00181FCD">
        <w:t>contra</w:t>
      </w:r>
      <w:r w:rsidR="00F373A3" w:rsidRPr="00181FCD">
        <w:t xml:space="preserve"> </w:t>
      </w:r>
      <w:r w:rsidRPr="00181FCD">
        <w:t>el</w:t>
      </w:r>
      <w:r w:rsidR="00F373A3" w:rsidRPr="00181FCD">
        <w:t xml:space="preserve"> </w:t>
      </w:r>
      <w:r w:rsidRPr="00181FCD">
        <w:t>extremismo</w:t>
      </w:r>
      <w:r w:rsidR="00F373A3" w:rsidRPr="00181FCD">
        <w:t xml:space="preserve"> </w:t>
      </w:r>
      <w:r w:rsidRPr="00181FCD">
        <w:t>violento</w:t>
      </w:r>
      <w:r w:rsidR="00F373A3" w:rsidRPr="00181FCD">
        <w:t xml:space="preserve"> </w:t>
      </w:r>
      <w:r w:rsidRPr="00181FCD">
        <w:t>que</w:t>
      </w:r>
      <w:r w:rsidR="00F373A3" w:rsidRPr="00181FCD">
        <w:t xml:space="preserve"> </w:t>
      </w:r>
      <w:r w:rsidRPr="00181FCD">
        <w:t>puede</w:t>
      </w:r>
      <w:r w:rsidR="00F373A3" w:rsidRPr="00181FCD">
        <w:t xml:space="preserve"> </w:t>
      </w:r>
      <w:r w:rsidRPr="00181FCD">
        <w:t>conducir</w:t>
      </w:r>
      <w:r w:rsidR="00F373A3" w:rsidRPr="00181FCD">
        <w:t xml:space="preserve"> </w:t>
      </w:r>
      <w:r w:rsidRPr="00181FCD">
        <w:t>al</w:t>
      </w:r>
      <w:r w:rsidR="00F373A3" w:rsidRPr="00181FCD">
        <w:t xml:space="preserve"> </w:t>
      </w:r>
      <w:r w:rsidRPr="00181FCD">
        <w:t>terrorismo,</w:t>
      </w:r>
      <w:r w:rsidR="00F373A3" w:rsidRPr="00181FCD">
        <w:t xml:space="preserve"> </w:t>
      </w:r>
      <w:r w:rsidRPr="00181FCD">
        <w:t>y</w:t>
      </w:r>
      <w:r w:rsidR="00F373A3" w:rsidRPr="00181FCD">
        <w:t xml:space="preserve"> </w:t>
      </w:r>
      <w:r w:rsidRPr="00181FCD">
        <w:t>contrarrestar</w:t>
      </w:r>
      <w:r w:rsidR="00F373A3" w:rsidRPr="00181FCD">
        <w:t xml:space="preserve"> </w:t>
      </w:r>
      <w:r w:rsidRPr="00181FCD">
        <w:t>la</w:t>
      </w:r>
      <w:r w:rsidR="00F373A3" w:rsidRPr="00181FCD">
        <w:t xml:space="preserve"> </w:t>
      </w:r>
      <w:r w:rsidRPr="00181FCD">
        <w:t>incitación</w:t>
      </w:r>
      <w:r w:rsidR="00F373A3" w:rsidRPr="00181FCD">
        <w:t xml:space="preserve"> </w:t>
      </w:r>
      <w:r w:rsidRPr="00181FCD">
        <w:t>a</w:t>
      </w:r>
      <w:r w:rsidR="00F373A3" w:rsidRPr="00181FCD">
        <w:t xml:space="preserve"> </w:t>
      </w:r>
      <w:r w:rsidRPr="00181FCD">
        <w:t>la</w:t>
      </w:r>
      <w:r w:rsidR="00F373A3" w:rsidRPr="00181FCD">
        <w:t xml:space="preserve"> </w:t>
      </w:r>
      <w:r w:rsidRPr="00181FCD">
        <w:t>comisión</w:t>
      </w:r>
      <w:r w:rsidR="00F373A3" w:rsidRPr="00181FCD">
        <w:t xml:space="preserve"> </w:t>
      </w:r>
      <w:r w:rsidRPr="00181FCD">
        <w:t>de</w:t>
      </w:r>
      <w:r w:rsidR="00F373A3" w:rsidRPr="00181FCD">
        <w:t xml:space="preserve"> </w:t>
      </w:r>
      <w:r w:rsidRPr="00181FCD">
        <w:t>actos</w:t>
      </w:r>
      <w:r w:rsidR="00F373A3" w:rsidRPr="00181FCD">
        <w:t xml:space="preserve"> </w:t>
      </w:r>
      <w:r w:rsidRPr="00181FCD">
        <w:t>terroristas.</w:t>
      </w:r>
    </w:p>
    <w:p w:rsidR="001937F4" w:rsidRPr="00181FCD" w:rsidRDefault="001937F4" w:rsidP="002C541C">
      <w:pPr>
        <w:pStyle w:val="Bullet1G"/>
      </w:pPr>
      <w:r w:rsidRPr="00181FCD">
        <w:t>Expresar</w:t>
      </w:r>
      <w:r w:rsidR="00F373A3" w:rsidRPr="00181FCD">
        <w:t xml:space="preserve"> </w:t>
      </w:r>
      <w:r w:rsidRPr="00181FCD">
        <w:t>preocupación</w:t>
      </w:r>
      <w:r w:rsidR="00F373A3" w:rsidRPr="00181FCD">
        <w:t xml:space="preserve"> </w:t>
      </w:r>
      <w:r w:rsidRPr="00181FCD">
        <w:t>por</w:t>
      </w:r>
      <w:r w:rsidR="00F373A3" w:rsidRPr="00181FCD">
        <w:t xml:space="preserve"> </w:t>
      </w:r>
      <w:r w:rsidRPr="00181FCD">
        <w:t>el</w:t>
      </w:r>
      <w:r w:rsidR="00F373A3" w:rsidRPr="00181FCD">
        <w:t xml:space="preserve"> </w:t>
      </w:r>
      <w:r w:rsidRPr="00181FCD">
        <w:t>aumento</w:t>
      </w:r>
      <w:r w:rsidR="00F373A3" w:rsidRPr="00181FCD">
        <w:t xml:space="preserve"> </w:t>
      </w:r>
      <w:r w:rsidRPr="00181FCD">
        <w:t>de</w:t>
      </w:r>
      <w:r w:rsidR="00F373A3" w:rsidRPr="00181FCD">
        <w:t xml:space="preserve"> </w:t>
      </w:r>
      <w:r w:rsidRPr="00181FCD">
        <w:t>la</w:t>
      </w:r>
      <w:r w:rsidR="00F373A3" w:rsidRPr="00181FCD">
        <w:t xml:space="preserve"> </w:t>
      </w:r>
      <w:r w:rsidRPr="00181FCD">
        <w:t>utilización,</w:t>
      </w:r>
      <w:r w:rsidR="00F373A3" w:rsidRPr="00181FCD">
        <w:t xml:space="preserve"> </w:t>
      </w:r>
      <w:r w:rsidRPr="00181FCD">
        <w:t>por</w:t>
      </w:r>
      <w:r w:rsidR="00F373A3" w:rsidRPr="00181FCD">
        <w:t xml:space="preserve"> </w:t>
      </w:r>
      <w:r w:rsidRPr="00181FCD">
        <w:t>parte</w:t>
      </w:r>
      <w:r w:rsidR="00F373A3" w:rsidRPr="00181FCD">
        <w:t xml:space="preserve"> </w:t>
      </w:r>
      <w:r w:rsidRPr="00181FCD">
        <w:t>de</w:t>
      </w:r>
      <w:r w:rsidR="00F373A3" w:rsidRPr="00181FCD">
        <w:t xml:space="preserve"> </w:t>
      </w:r>
      <w:r w:rsidRPr="00181FCD">
        <w:t>los</w:t>
      </w:r>
      <w:r w:rsidR="00F373A3" w:rsidRPr="00181FCD">
        <w:t xml:space="preserve"> </w:t>
      </w:r>
      <w:r w:rsidRPr="00181FCD">
        <w:t>terroristas</w:t>
      </w:r>
      <w:r w:rsidR="00F373A3" w:rsidRPr="00181FCD">
        <w:t xml:space="preserve"> </w:t>
      </w:r>
      <w:r w:rsidRPr="00181FCD">
        <w:t>y</w:t>
      </w:r>
      <w:r w:rsidR="00F373A3" w:rsidRPr="00181FCD">
        <w:t xml:space="preserve"> </w:t>
      </w:r>
      <w:r w:rsidRPr="00181FCD">
        <w:t>sus</w:t>
      </w:r>
      <w:r w:rsidR="00F373A3" w:rsidRPr="00181FCD">
        <w:t xml:space="preserve"> </w:t>
      </w:r>
      <w:r w:rsidRPr="00181FCD">
        <w:t>seguidores,</w:t>
      </w:r>
      <w:r w:rsidR="00F373A3" w:rsidRPr="00181FCD">
        <w:t xml:space="preserve"> </w:t>
      </w:r>
      <w:r w:rsidRPr="00181FCD">
        <w:t>de</w:t>
      </w:r>
      <w:r w:rsidR="00F373A3" w:rsidRPr="00181FCD">
        <w:t xml:space="preserve"> </w:t>
      </w:r>
      <w:r w:rsidRPr="00181FCD">
        <w:t>las</w:t>
      </w:r>
      <w:r w:rsidR="00F373A3" w:rsidRPr="00181FCD">
        <w:t xml:space="preserve"> </w:t>
      </w:r>
      <w:r w:rsidRPr="00181FCD">
        <w:t>tecnologías</w:t>
      </w:r>
      <w:r w:rsidR="00F373A3" w:rsidRPr="00181FCD">
        <w:t xml:space="preserve"> </w:t>
      </w:r>
      <w:r w:rsidRPr="00181FCD">
        <w:t>de</w:t>
      </w:r>
      <w:r w:rsidR="00F373A3" w:rsidRPr="00181FCD">
        <w:t xml:space="preserve"> </w:t>
      </w:r>
      <w:r w:rsidRPr="00181FCD">
        <w:t>la</w:t>
      </w:r>
      <w:r w:rsidR="00F373A3" w:rsidRPr="00181FCD">
        <w:t xml:space="preserve"> </w:t>
      </w:r>
      <w:r w:rsidRPr="00181FCD">
        <w:t>comunicación</w:t>
      </w:r>
      <w:r w:rsidR="00F373A3" w:rsidRPr="00181FCD">
        <w:t xml:space="preserve"> </w:t>
      </w:r>
      <w:r w:rsidRPr="00181FCD">
        <w:t>con</w:t>
      </w:r>
      <w:r w:rsidR="00F373A3" w:rsidRPr="00181FCD">
        <w:t xml:space="preserve"> </w:t>
      </w:r>
      <w:r w:rsidRPr="00181FCD">
        <w:t>el</w:t>
      </w:r>
      <w:r w:rsidR="00F373A3" w:rsidRPr="00181FCD">
        <w:t xml:space="preserve"> </w:t>
      </w:r>
      <w:r w:rsidRPr="00181FCD">
        <w:t>objeto</w:t>
      </w:r>
      <w:r w:rsidR="00F373A3" w:rsidRPr="00181FCD">
        <w:t xml:space="preserve"> </w:t>
      </w:r>
      <w:r w:rsidRPr="00181FCD">
        <w:t>de</w:t>
      </w:r>
      <w:r w:rsidR="00F373A3" w:rsidRPr="00181FCD">
        <w:t xml:space="preserve"> </w:t>
      </w:r>
      <w:r w:rsidRPr="00181FCD">
        <w:t>radicalizar</w:t>
      </w:r>
      <w:r w:rsidR="00F373A3" w:rsidRPr="00181FCD">
        <w:t xml:space="preserve"> </w:t>
      </w:r>
      <w:r w:rsidRPr="00181FCD">
        <w:t>personas</w:t>
      </w:r>
      <w:r w:rsidR="00672EC2" w:rsidRPr="00181FCD">
        <w:t xml:space="preserve"> </w:t>
      </w:r>
      <w:r w:rsidRPr="00181FCD">
        <w:t>con</w:t>
      </w:r>
      <w:r w:rsidR="00F373A3" w:rsidRPr="00181FCD">
        <w:t xml:space="preserve"> </w:t>
      </w:r>
      <w:r w:rsidRPr="00181FCD">
        <w:t>miras</w:t>
      </w:r>
      <w:r w:rsidR="00F373A3" w:rsidRPr="00181FCD">
        <w:t xml:space="preserve"> </w:t>
      </w:r>
      <w:r w:rsidRPr="00181FCD">
        <w:t>al</w:t>
      </w:r>
      <w:r w:rsidR="00F373A3" w:rsidRPr="00181FCD">
        <w:t xml:space="preserve"> </w:t>
      </w:r>
      <w:r w:rsidRPr="00181FCD">
        <w:t>terrorismo,</w:t>
      </w:r>
      <w:r w:rsidR="00F373A3" w:rsidRPr="00181FCD">
        <w:t xml:space="preserve"> </w:t>
      </w:r>
      <w:r w:rsidRPr="00181FCD">
        <w:t>reclutar</w:t>
      </w:r>
      <w:r w:rsidR="00F373A3" w:rsidRPr="00181FCD">
        <w:t xml:space="preserve"> </w:t>
      </w:r>
      <w:r w:rsidRPr="00181FCD">
        <w:t>adeptos</w:t>
      </w:r>
      <w:r w:rsidR="00F373A3" w:rsidRPr="00181FCD">
        <w:t xml:space="preserve"> </w:t>
      </w:r>
      <w:r w:rsidRPr="00181FCD">
        <w:t>e</w:t>
      </w:r>
      <w:r w:rsidR="00F373A3" w:rsidRPr="00181FCD">
        <w:t xml:space="preserve"> </w:t>
      </w:r>
      <w:r w:rsidRPr="00181FCD">
        <w:t>incitar</w:t>
      </w:r>
      <w:r w:rsidR="00F373A3" w:rsidRPr="00181FCD">
        <w:t xml:space="preserve"> </w:t>
      </w:r>
      <w:r w:rsidRPr="00181FCD">
        <w:t>a</w:t>
      </w:r>
      <w:r w:rsidR="00F373A3" w:rsidRPr="00181FCD">
        <w:t xml:space="preserve"> </w:t>
      </w:r>
      <w:r w:rsidRPr="00181FCD">
        <w:t>cometer</w:t>
      </w:r>
      <w:r w:rsidR="00F373A3" w:rsidRPr="00181FCD">
        <w:t xml:space="preserve"> </w:t>
      </w:r>
      <w:r w:rsidRPr="00181FCD">
        <w:t>actos</w:t>
      </w:r>
      <w:r w:rsidR="00F373A3" w:rsidRPr="00181FCD">
        <w:t xml:space="preserve"> </w:t>
      </w:r>
      <w:r w:rsidRPr="00181FCD">
        <w:t>terroristas,</w:t>
      </w:r>
      <w:r w:rsidR="00F373A3" w:rsidRPr="00181FCD">
        <w:t xml:space="preserve"> </w:t>
      </w:r>
      <w:r w:rsidRPr="00181FCD">
        <w:t>en</w:t>
      </w:r>
      <w:r w:rsidR="00F373A3" w:rsidRPr="00181FCD">
        <w:t xml:space="preserve"> </w:t>
      </w:r>
      <w:r w:rsidRPr="00181FCD">
        <w:t>particular</w:t>
      </w:r>
      <w:r w:rsidR="00F373A3" w:rsidRPr="00181FCD">
        <w:t xml:space="preserve"> </w:t>
      </w:r>
      <w:r w:rsidRPr="00181FCD">
        <w:t>a</w:t>
      </w:r>
      <w:r w:rsidR="00F373A3" w:rsidRPr="00181FCD">
        <w:t xml:space="preserve"> </w:t>
      </w:r>
      <w:r w:rsidRPr="00181FCD">
        <w:t>través</w:t>
      </w:r>
      <w:r w:rsidR="00F373A3" w:rsidRPr="00181FCD">
        <w:t xml:space="preserve"> </w:t>
      </w:r>
      <w:r w:rsidRPr="00181FCD">
        <w:t>de</w:t>
      </w:r>
      <w:r w:rsidR="00F373A3" w:rsidRPr="00181FCD">
        <w:t xml:space="preserve"> </w:t>
      </w:r>
      <w:r w:rsidRPr="00181FCD">
        <w:t>Internet,</w:t>
      </w:r>
      <w:r w:rsidR="00F373A3" w:rsidRPr="00181FCD">
        <w:t xml:space="preserve"> </w:t>
      </w:r>
      <w:r w:rsidRPr="00181FCD">
        <w:t>y</w:t>
      </w:r>
      <w:r w:rsidR="00F373A3" w:rsidRPr="00181FCD">
        <w:t xml:space="preserve"> </w:t>
      </w:r>
      <w:r w:rsidRPr="00181FCD">
        <w:t>de</w:t>
      </w:r>
      <w:r w:rsidR="00F373A3" w:rsidRPr="00181FCD">
        <w:t xml:space="preserve"> </w:t>
      </w:r>
      <w:r w:rsidRPr="00181FCD">
        <w:t>facilitar</w:t>
      </w:r>
      <w:r w:rsidR="00F373A3" w:rsidRPr="00181FCD">
        <w:t xml:space="preserve"> </w:t>
      </w:r>
      <w:r w:rsidRPr="00181FCD">
        <w:t>los</w:t>
      </w:r>
      <w:r w:rsidR="00F373A3" w:rsidRPr="00181FCD">
        <w:t xml:space="preserve"> </w:t>
      </w:r>
      <w:r w:rsidRPr="00181FCD">
        <w:t>viajes</w:t>
      </w:r>
      <w:r w:rsidR="00F373A3" w:rsidRPr="00181FCD">
        <w:t xml:space="preserve"> </w:t>
      </w:r>
      <w:r w:rsidRPr="00181FCD">
        <w:t>y</w:t>
      </w:r>
      <w:r w:rsidR="00F373A3" w:rsidRPr="00181FCD">
        <w:t xml:space="preserve"> </w:t>
      </w:r>
      <w:r w:rsidRPr="00181FCD">
        <w:t>las</w:t>
      </w:r>
      <w:r w:rsidR="00F373A3" w:rsidRPr="00181FCD">
        <w:t xml:space="preserve"> </w:t>
      </w:r>
      <w:r w:rsidRPr="00181FCD">
        <w:t>actividades</w:t>
      </w:r>
      <w:r w:rsidR="00F373A3" w:rsidRPr="00181FCD">
        <w:t xml:space="preserve"> </w:t>
      </w:r>
      <w:r w:rsidRPr="00181FCD">
        <w:t>posteriores</w:t>
      </w:r>
      <w:r w:rsidR="00F373A3" w:rsidRPr="00181FCD">
        <w:t xml:space="preserve"> </w:t>
      </w:r>
      <w:r w:rsidRPr="00181FCD">
        <w:t>de</w:t>
      </w:r>
      <w:r w:rsidR="00F373A3" w:rsidRPr="00181FCD">
        <w:t xml:space="preserve"> </w:t>
      </w:r>
      <w:r w:rsidRPr="00181FCD">
        <w:t>los</w:t>
      </w:r>
      <w:r w:rsidR="00F373A3" w:rsidRPr="00181FCD">
        <w:t xml:space="preserve"> </w:t>
      </w:r>
      <w:r w:rsidRPr="00181FCD">
        <w:t>combatientes</w:t>
      </w:r>
      <w:r w:rsidR="00F373A3" w:rsidRPr="00181FCD">
        <w:t xml:space="preserve"> </w:t>
      </w:r>
      <w:r w:rsidRPr="00181FCD">
        <w:t>terroristas</w:t>
      </w:r>
      <w:r w:rsidR="00F373A3" w:rsidRPr="00181FCD">
        <w:t xml:space="preserve"> </w:t>
      </w:r>
      <w:r w:rsidRPr="00181FCD">
        <w:t>extranjeros.</w:t>
      </w:r>
      <w:r w:rsidR="00F373A3" w:rsidRPr="00181FCD">
        <w:t xml:space="preserve"> </w:t>
      </w:r>
      <w:r w:rsidRPr="00181FCD">
        <w:t>Es</w:t>
      </w:r>
      <w:r w:rsidR="00F373A3" w:rsidRPr="00181FCD">
        <w:t xml:space="preserve"> </w:t>
      </w:r>
      <w:r w:rsidRPr="00181FCD">
        <w:t>necesario</w:t>
      </w:r>
      <w:r w:rsidR="00F373A3" w:rsidRPr="00181FCD">
        <w:t xml:space="preserve"> </w:t>
      </w:r>
      <w:r w:rsidRPr="00181FCD">
        <w:t>evitar</w:t>
      </w:r>
      <w:r w:rsidR="00F373A3" w:rsidRPr="00181FCD">
        <w:t xml:space="preserve"> </w:t>
      </w:r>
      <w:r w:rsidRPr="00181FCD">
        <w:t>que</w:t>
      </w:r>
      <w:r w:rsidR="00F373A3" w:rsidRPr="00181FCD">
        <w:t xml:space="preserve"> </w:t>
      </w:r>
      <w:r w:rsidRPr="00181FCD">
        <w:t>los</w:t>
      </w:r>
      <w:r w:rsidR="00F373A3" w:rsidRPr="00181FCD">
        <w:t xml:space="preserve"> </w:t>
      </w:r>
      <w:r w:rsidRPr="00181FCD">
        <w:t>terroristas</w:t>
      </w:r>
      <w:r w:rsidR="00F373A3" w:rsidRPr="00181FCD">
        <w:t xml:space="preserve"> </w:t>
      </w:r>
      <w:r w:rsidRPr="00181FCD">
        <w:t>exploten</w:t>
      </w:r>
      <w:r w:rsidR="00F373A3" w:rsidRPr="00181FCD">
        <w:t xml:space="preserve"> </w:t>
      </w:r>
      <w:r w:rsidRPr="00181FCD">
        <w:t>la</w:t>
      </w:r>
      <w:r w:rsidR="00F373A3" w:rsidRPr="00181FCD">
        <w:t xml:space="preserve"> </w:t>
      </w:r>
      <w:r w:rsidRPr="00181FCD">
        <w:t>tecnología,</w:t>
      </w:r>
      <w:r w:rsidR="00F373A3" w:rsidRPr="00181FCD">
        <w:t xml:space="preserve"> </w:t>
      </w:r>
      <w:r w:rsidRPr="00181FCD">
        <w:t>las</w:t>
      </w:r>
      <w:r w:rsidR="00F373A3" w:rsidRPr="00181FCD">
        <w:t xml:space="preserve"> </w:t>
      </w:r>
      <w:r w:rsidRPr="00181FCD">
        <w:t>comunicaciones</w:t>
      </w:r>
      <w:r w:rsidR="00F373A3" w:rsidRPr="00181FCD">
        <w:t xml:space="preserve"> </w:t>
      </w:r>
      <w:r w:rsidRPr="00181FCD">
        <w:t>y</w:t>
      </w:r>
      <w:r w:rsidR="00F373A3" w:rsidRPr="00181FCD">
        <w:t xml:space="preserve"> </w:t>
      </w:r>
      <w:r w:rsidRPr="00181FCD">
        <w:t>los</w:t>
      </w:r>
      <w:r w:rsidR="00F373A3" w:rsidRPr="00181FCD">
        <w:t xml:space="preserve"> </w:t>
      </w:r>
      <w:r w:rsidRPr="00181FCD">
        <w:t>recursos</w:t>
      </w:r>
      <w:r w:rsidR="00F373A3" w:rsidRPr="00181FCD">
        <w:t xml:space="preserve"> </w:t>
      </w:r>
      <w:r w:rsidRPr="00181FCD">
        <w:t>para</w:t>
      </w:r>
      <w:r w:rsidR="00F373A3" w:rsidRPr="00181FCD">
        <w:t xml:space="preserve"> </w:t>
      </w:r>
      <w:r w:rsidRPr="00181FCD">
        <w:t>promover</w:t>
      </w:r>
      <w:r w:rsidR="00F373A3" w:rsidRPr="00181FCD">
        <w:t xml:space="preserve"> </w:t>
      </w:r>
      <w:r w:rsidRPr="00181FCD">
        <w:t>el</w:t>
      </w:r>
      <w:r w:rsidR="00F373A3" w:rsidRPr="00181FCD">
        <w:t xml:space="preserve"> </w:t>
      </w:r>
      <w:r w:rsidRPr="00181FCD">
        <w:t>apoyo</w:t>
      </w:r>
      <w:r w:rsidR="00F373A3" w:rsidRPr="00181FCD">
        <w:t xml:space="preserve"> </w:t>
      </w:r>
      <w:r w:rsidRPr="00181FCD">
        <w:t>a</w:t>
      </w:r>
      <w:r w:rsidR="00F373A3" w:rsidRPr="00181FCD">
        <w:t xml:space="preserve"> </w:t>
      </w:r>
      <w:r w:rsidRPr="00181FCD">
        <w:t>los</w:t>
      </w:r>
      <w:r w:rsidR="00F373A3" w:rsidRPr="00181FCD">
        <w:t xml:space="preserve"> </w:t>
      </w:r>
      <w:r w:rsidRPr="00181FCD">
        <w:t>actos</w:t>
      </w:r>
      <w:r w:rsidR="00F373A3" w:rsidRPr="00181FCD">
        <w:t xml:space="preserve"> </w:t>
      </w:r>
      <w:r w:rsidRPr="00181FCD">
        <w:t>terroristas,</w:t>
      </w:r>
      <w:r w:rsidR="00F373A3" w:rsidRPr="00181FCD">
        <w:t xml:space="preserve"> </w:t>
      </w:r>
      <w:r w:rsidRPr="00181FCD">
        <w:t>en</w:t>
      </w:r>
      <w:r w:rsidR="00F373A3" w:rsidRPr="00181FCD">
        <w:t xml:space="preserve"> </w:t>
      </w:r>
      <w:r w:rsidRPr="00181FCD">
        <w:t>el</w:t>
      </w:r>
      <w:r w:rsidR="00F373A3" w:rsidRPr="00181FCD">
        <w:t xml:space="preserve"> </w:t>
      </w:r>
      <w:r w:rsidRPr="00181FCD">
        <w:t>respeto</w:t>
      </w:r>
      <w:r w:rsidR="00F373A3" w:rsidRPr="00181FCD">
        <w:t xml:space="preserve"> </w:t>
      </w:r>
      <w:r w:rsidRPr="00181FCD">
        <w:t>de</w:t>
      </w:r>
      <w:r w:rsidR="00F373A3" w:rsidRPr="00181FCD">
        <w:t xml:space="preserve"> </w:t>
      </w:r>
      <w:r w:rsidRPr="00181FCD">
        <w:t>los</w:t>
      </w:r>
      <w:r w:rsidR="00F373A3" w:rsidRPr="00181FCD">
        <w:t xml:space="preserve"> </w:t>
      </w:r>
      <w:r w:rsidRPr="00181FCD">
        <w:t>derechos</w:t>
      </w:r>
      <w:r w:rsidR="00F373A3" w:rsidRPr="00181FCD">
        <w:t xml:space="preserve"> </w:t>
      </w:r>
      <w:r w:rsidRPr="00181FCD">
        <w:t>humanos</w:t>
      </w:r>
      <w:r w:rsidR="00F373A3" w:rsidRPr="00181FCD">
        <w:t xml:space="preserve"> </w:t>
      </w:r>
      <w:r w:rsidRPr="00181FCD">
        <w:t>y</w:t>
      </w:r>
      <w:r w:rsidR="00F373A3" w:rsidRPr="00181FCD">
        <w:t xml:space="preserve"> </w:t>
      </w:r>
      <w:r w:rsidRPr="00181FCD">
        <w:t>las</w:t>
      </w:r>
      <w:r w:rsidR="00F373A3" w:rsidRPr="00181FCD">
        <w:t xml:space="preserve"> </w:t>
      </w:r>
      <w:r w:rsidRPr="00181FCD">
        <w:t>libertades</w:t>
      </w:r>
      <w:r w:rsidR="00F373A3" w:rsidRPr="00181FCD">
        <w:t xml:space="preserve"> </w:t>
      </w:r>
      <w:r w:rsidRPr="00181FCD">
        <w:t>fundamentales</w:t>
      </w:r>
      <w:r w:rsidR="00F373A3" w:rsidRPr="00181FCD">
        <w:t xml:space="preserve"> </w:t>
      </w:r>
      <w:r w:rsidRPr="00181FCD">
        <w:t>y</w:t>
      </w:r>
      <w:r w:rsidR="00F373A3" w:rsidRPr="00181FCD">
        <w:t xml:space="preserve"> </w:t>
      </w:r>
      <w:r w:rsidRPr="00181FCD">
        <w:t>el</w:t>
      </w:r>
      <w:r w:rsidR="00F373A3" w:rsidRPr="00181FCD">
        <w:t xml:space="preserve"> </w:t>
      </w:r>
      <w:r w:rsidRPr="00181FCD">
        <w:t>cumplimiento</w:t>
      </w:r>
      <w:r w:rsidR="00F373A3" w:rsidRPr="00181FCD">
        <w:t xml:space="preserve"> </w:t>
      </w:r>
      <w:r w:rsidRPr="00181FCD">
        <w:t>de</w:t>
      </w:r>
      <w:r w:rsidR="00F373A3" w:rsidRPr="00181FCD">
        <w:t xml:space="preserve"> </w:t>
      </w:r>
      <w:r w:rsidRPr="00181FCD">
        <w:t>otras</w:t>
      </w:r>
      <w:r w:rsidR="00F373A3" w:rsidRPr="00181FCD">
        <w:t xml:space="preserve"> </w:t>
      </w:r>
      <w:r w:rsidRPr="00181FCD">
        <w:t>obligaciones</w:t>
      </w:r>
      <w:r w:rsidR="00F373A3" w:rsidRPr="00181FCD">
        <w:t xml:space="preserve"> </w:t>
      </w:r>
      <w:r w:rsidRPr="00181FCD">
        <w:t>en</w:t>
      </w:r>
      <w:r w:rsidR="00F373A3" w:rsidRPr="00181FCD">
        <w:t xml:space="preserve"> </w:t>
      </w:r>
      <w:r w:rsidRPr="00181FCD">
        <w:t>virtud</w:t>
      </w:r>
      <w:r w:rsidR="00F373A3" w:rsidRPr="00181FCD">
        <w:t xml:space="preserve"> </w:t>
      </w:r>
      <w:r w:rsidRPr="00181FCD">
        <w:t>del</w:t>
      </w:r>
      <w:r w:rsidR="00F373A3" w:rsidRPr="00181FCD">
        <w:t xml:space="preserve"> </w:t>
      </w:r>
      <w:r w:rsidRPr="00181FCD">
        <w:t>derecho</w:t>
      </w:r>
      <w:r w:rsidR="00F373A3" w:rsidRPr="00181FCD">
        <w:t xml:space="preserve"> </w:t>
      </w:r>
      <w:r w:rsidRPr="00181FCD">
        <w:t>internacional.</w:t>
      </w:r>
    </w:p>
    <w:p w:rsidR="001937F4" w:rsidRPr="00181FCD" w:rsidRDefault="00F373A3" w:rsidP="00347B20">
      <w:pPr>
        <w:pStyle w:val="H4G"/>
      </w:pPr>
      <w:r w:rsidRPr="00181FCD">
        <w:tab/>
      </w:r>
      <w:r w:rsidRPr="00181FCD">
        <w:tab/>
      </w:r>
      <w:r w:rsidR="001937F4" w:rsidRPr="00181FCD">
        <w:t>Seguridad</w:t>
      </w:r>
      <w:r w:rsidRPr="00181FCD">
        <w:t xml:space="preserve"> </w:t>
      </w:r>
      <w:r w:rsidR="001937F4" w:rsidRPr="00181FCD">
        <w:t>de</w:t>
      </w:r>
      <w:r w:rsidRPr="00181FCD">
        <w:t xml:space="preserve"> </w:t>
      </w:r>
      <w:r w:rsidR="001937F4" w:rsidRPr="00181FCD">
        <w:t>las</w:t>
      </w:r>
      <w:r w:rsidRPr="00181FCD">
        <w:t xml:space="preserve"> </w:t>
      </w:r>
      <w:r w:rsidR="001937F4" w:rsidRPr="00181FCD">
        <w:t>fronteras</w:t>
      </w:r>
    </w:p>
    <w:p w:rsidR="001937F4" w:rsidRPr="00181FCD" w:rsidRDefault="001937F4" w:rsidP="00347B20">
      <w:pPr>
        <w:pStyle w:val="SingleTxtG"/>
        <w:suppressAutoHyphens/>
      </w:pPr>
      <w:r w:rsidRPr="00181FCD">
        <w:t>244.</w:t>
      </w:r>
      <w:r w:rsidRPr="00181FCD">
        <w:tab/>
        <w:t>Para</w:t>
      </w:r>
      <w:r w:rsidR="00F373A3" w:rsidRPr="00181FCD">
        <w:t xml:space="preserve"> </w:t>
      </w:r>
      <w:r w:rsidRPr="00181FCD">
        <w:t>combatir</w:t>
      </w:r>
      <w:r w:rsidR="00F373A3" w:rsidRPr="00181FCD">
        <w:t xml:space="preserve"> </w:t>
      </w:r>
      <w:r w:rsidRPr="00181FCD">
        <w:t>con</w:t>
      </w:r>
      <w:r w:rsidR="00F373A3" w:rsidRPr="00181FCD">
        <w:t xml:space="preserve"> </w:t>
      </w:r>
      <w:r w:rsidRPr="00181FCD">
        <w:t>éxito</w:t>
      </w:r>
      <w:r w:rsidR="00F373A3" w:rsidRPr="00181FCD">
        <w:t xml:space="preserve"> </w:t>
      </w:r>
      <w:r w:rsidRPr="00181FCD">
        <w:t>la</w:t>
      </w:r>
      <w:r w:rsidR="00F373A3" w:rsidRPr="00181FCD">
        <w:t xml:space="preserve"> </w:t>
      </w:r>
      <w:r w:rsidRPr="00181FCD">
        <w:t>amenaza</w:t>
      </w:r>
      <w:r w:rsidR="00F373A3" w:rsidRPr="00181FCD">
        <w:t xml:space="preserve"> </w:t>
      </w:r>
      <w:r w:rsidRPr="00181FCD">
        <w:t>terrorista</w:t>
      </w:r>
      <w:r w:rsidR="00F373A3" w:rsidRPr="00181FCD">
        <w:t xml:space="preserve"> </w:t>
      </w:r>
      <w:r w:rsidRPr="00181FCD">
        <w:t>es</w:t>
      </w:r>
      <w:r w:rsidR="00F373A3" w:rsidRPr="00181FCD">
        <w:t xml:space="preserve"> </w:t>
      </w:r>
      <w:r w:rsidRPr="00181FCD">
        <w:t>crucial</w:t>
      </w:r>
      <w:r w:rsidR="00F373A3" w:rsidRPr="00181FCD">
        <w:t xml:space="preserve"> </w:t>
      </w:r>
      <w:r w:rsidRPr="00181FCD">
        <w:t>un</w:t>
      </w:r>
      <w:r w:rsidR="00F373A3" w:rsidRPr="00181FCD">
        <w:t xml:space="preserve"> </w:t>
      </w:r>
      <w:r w:rsidRPr="00181FCD">
        <w:t>alto</w:t>
      </w:r>
      <w:r w:rsidR="00F373A3" w:rsidRPr="00181FCD">
        <w:t xml:space="preserve"> </w:t>
      </w:r>
      <w:r w:rsidRPr="00181FCD">
        <w:t>nivel</w:t>
      </w:r>
      <w:r w:rsidR="00F373A3" w:rsidRPr="00181FCD">
        <w:t xml:space="preserve"> </w:t>
      </w:r>
      <w:r w:rsidRPr="00181FCD">
        <w:t>de</w:t>
      </w:r>
      <w:r w:rsidR="00F373A3" w:rsidRPr="00181FCD">
        <w:t xml:space="preserve"> </w:t>
      </w:r>
      <w:r w:rsidRPr="00181FCD">
        <w:t>seguridad</w:t>
      </w:r>
      <w:r w:rsidR="00F373A3" w:rsidRPr="00181FCD">
        <w:t xml:space="preserve"> </w:t>
      </w:r>
      <w:r w:rsidRPr="00181FCD">
        <w:t>en</w:t>
      </w:r>
      <w:r w:rsidR="00F373A3" w:rsidRPr="00181FCD">
        <w:t xml:space="preserve"> </w:t>
      </w:r>
      <w:r w:rsidRPr="00181FCD">
        <w:t>las</w:t>
      </w:r>
      <w:r w:rsidR="00F373A3" w:rsidRPr="00181FCD">
        <w:t xml:space="preserve"> </w:t>
      </w:r>
      <w:r w:rsidRPr="00181FCD">
        <w:t>fronteras.</w:t>
      </w:r>
      <w:r w:rsidR="00F373A3" w:rsidRPr="00181FCD">
        <w:t xml:space="preserve"> </w:t>
      </w:r>
      <w:r w:rsidRPr="00181FCD">
        <w:t>Bulgaria</w:t>
      </w:r>
      <w:r w:rsidR="00F373A3" w:rsidRPr="00181FCD">
        <w:t xml:space="preserve"> </w:t>
      </w:r>
      <w:r w:rsidRPr="00181FCD">
        <w:t>ya</w:t>
      </w:r>
      <w:r w:rsidR="00F373A3" w:rsidRPr="00181FCD">
        <w:t xml:space="preserve"> </w:t>
      </w:r>
      <w:r w:rsidRPr="00181FCD">
        <w:t>ha</w:t>
      </w:r>
      <w:r w:rsidR="00F373A3" w:rsidRPr="00181FCD">
        <w:t xml:space="preserve"> </w:t>
      </w:r>
      <w:r w:rsidRPr="00181FCD">
        <w:t>adoptado</w:t>
      </w:r>
      <w:r w:rsidR="00F373A3" w:rsidRPr="00181FCD">
        <w:t xml:space="preserve"> </w:t>
      </w:r>
      <w:r w:rsidRPr="00181FCD">
        <w:t>medidas</w:t>
      </w:r>
      <w:r w:rsidR="00F373A3" w:rsidRPr="00181FCD">
        <w:t xml:space="preserve"> </w:t>
      </w:r>
      <w:r w:rsidRPr="00181FCD">
        <w:t>para</w:t>
      </w:r>
      <w:r w:rsidR="00F373A3" w:rsidRPr="00181FCD">
        <w:t xml:space="preserve"> </w:t>
      </w:r>
      <w:r w:rsidRPr="00181FCD">
        <w:t>reforzar</w:t>
      </w:r>
      <w:r w:rsidR="00F373A3" w:rsidRPr="00181FCD">
        <w:t xml:space="preserve"> </w:t>
      </w:r>
      <w:r w:rsidRPr="00181FCD">
        <w:t>la</w:t>
      </w:r>
      <w:r w:rsidR="00F373A3" w:rsidRPr="00181FCD">
        <w:t xml:space="preserve"> </w:t>
      </w:r>
      <w:r w:rsidRPr="00181FCD">
        <w:t>seguridad</w:t>
      </w:r>
      <w:r w:rsidR="00F373A3" w:rsidRPr="00181FCD">
        <w:t xml:space="preserve"> </w:t>
      </w:r>
      <w:r w:rsidRPr="00181FCD">
        <w:t>de</w:t>
      </w:r>
      <w:r w:rsidR="00F373A3" w:rsidRPr="00181FCD">
        <w:t xml:space="preserve"> </w:t>
      </w:r>
      <w:r w:rsidRPr="00181FCD">
        <w:t>sus</w:t>
      </w:r>
      <w:r w:rsidR="00F373A3" w:rsidRPr="00181FCD">
        <w:t xml:space="preserve"> </w:t>
      </w:r>
      <w:r w:rsidRPr="00181FCD">
        <w:t>límites.</w:t>
      </w:r>
      <w:r w:rsidR="00F373A3" w:rsidRPr="00181FCD">
        <w:t xml:space="preserve"> </w:t>
      </w:r>
      <w:r w:rsidRPr="00181FCD">
        <w:t>Desde</w:t>
      </w:r>
      <w:r w:rsidR="00F373A3" w:rsidRPr="00181FCD">
        <w:t xml:space="preserve"> </w:t>
      </w:r>
      <w:r w:rsidRPr="00181FCD">
        <w:t>octubre</w:t>
      </w:r>
      <w:r w:rsidR="00F373A3" w:rsidRPr="00181FCD">
        <w:t xml:space="preserve"> </w:t>
      </w:r>
      <w:r w:rsidRPr="00181FCD">
        <w:t>de</w:t>
      </w:r>
      <w:r w:rsidR="00F373A3" w:rsidRPr="00181FCD">
        <w:t xml:space="preserve"> </w:t>
      </w:r>
      <w:r w:rsidRPr="00181FCD">
        <w:t>2014</w:t>
      </w:r>
      <w:r w:rsidR="00F373A3" w:rsidRPr="00181FCD">
        <w:t xml:space="preserve"> </w:t>
      </w:r>
      <w:r w:rsidRPr="00181FCD">
        <w:t>se</w:t>
      </w:r>
      <w:r w:rsidR="00F373A3" w:rsidRPr="00181FCD">
        <w:t xml:space="preserve"> </w:t>
      </w:r>
      <w:r w:rsidRPr="00181FCD">
        <w:t>llevan</w:t>
      </w:r>
      <w:r w:rsidR="00F373A3" w:rsidRPr="00181FCD">
        <w:t xml:space="preserve"> </w:t>
      </w:r>
      <w:r w:rsidRPr="00181FCD">
        <w:t>a</w:t>
      </w:r>
      <w:r w:rsidR="00F373A3" w:rsidRPr="00181FCD">
        <w:t xml:space="preserve"> </w:t>
      </w:r>
      <w:r w:rsidRPr="00181FCD">
        <w:t>cabo</w:t>
      </w:r>
      <w:r w:rsidR="00F373A3" w:rsidRPr="00181FCD">
        <w:t xml:space="preserve"> </w:t>
      </w:r>
      <w:r w:rsidRPr="00181FCD">
        <w:t>en</w:t>
      </w:r>
      <w:r w:rsidR="00F373A3" w:rsidRPr="00181FCD">
        <w:t xml:space="preserve"> </w:t>
      </w:r>
      <w:r w:rsidRPr="00181FCD">
        <w:t>determinados</w:t>
      </w:r>
      <w:r w:rsidR="00F373A3" w:rsidRPr="00181FCD">
        <w:t xml:space="preserve"> </w:t>
      </w:r>
      <w:r w:rsidRPr="00181FCD">
        <w:t>puestos</w:t>
      </w:r>
      <w:r w:rsidR="00F373A3" w:rsidRPr="00181FCD">
        <w:t xml:space="preserve"> </w:t>
      </w:r>
      <w:r w:rsidRPr="00181FCD">
        <w:t>fronterizos</w:t>
      </w:r>
      <w:r w:rsidR="00F373A3" w:rsidRPr="00181FCD">
        <w:t xml:space="preserve"> </w:t>
      </w:r>
      <w:r w:rsidRPr="00181FCD">
        <w:t>controles</w:t>
      </w:r>
      <w:r w:rsidR="00F373A3" w:rsidRPr="00181FCD">
        <w:t xml:space="preserve"> </w:t>
      </w:r>
      <w:r w:rsidRPr="00181FCD">
        <w:t>sistemáticos</w:t>
      </w:r>
      <w:r w:rsidR="00F373A3" w:rsidRPr="00181FCD">
        <w:t xml:space="preserve"> </w:t>
      </w:r>
      <w:r w:rsidRPr="00181FCD">
        <w:t>del</w:t>
      </w:r>
      <w:r w:rsidR="00F373A3" w:rsidRPr="00181FCD">
        <w:t xml:space="preserve"> </w:t>
      </w:r>
      <w:r w:rsidRPr="00181FCD">
        <w:t>100%</w:t>
      </w:r>
      <w:r w:rsidR="00F373A3" w:rsidRPr="00181FCD">
        <w:t xml:space="preserve"> </w:t>
      </w:r>
      <w:r w:rsidRPr="00181FCD">
        <w:t>de</w:t>
      </w:r>
      <w:r w:rsidR="00F373A3" w:rsidRPr="00181FCD">
        <w:t xml:space="preserve"> </w:t>
      </w:r>
      <w:r w:rsidRPr="00181FCD">
        <w:t>los</w:t>
      </w:r>
      <w:r w:rsidR="00F373A3" w:rsidRPr="00181FCD">
        <w:t xml:space="preserve"> </w:t>
      </w:r>
      <w:r w:rsidRPr="00181FCD">
        <w:t>documentos</w:t>
      </w:r>
      <w:r w:rsidR="00F373A3" w:rsidRPr="00181FCD">
        <w:t xml:space="preserve"> </w:t>
      </w:r>
      <w:r w:rsidRPr="00181FCD">
        <w:t>y</w:t>
      </w:r>
      <w:r w:rsidR="00F373A3" w:rsidRPr="00181FCD">
        <w:t xml:space="preserve"> </w:t>
      </w:r>
      <w:r w:rsidRPr="00181FCD">
        <w:t>de</w:t>
      </w:r>
      <w:r w:rsidR="00F373A3" w:rsidRPr="00181FCD">
        <w:t xml:space="preserve"> </w:t>
      </w:r>
      <w:r w:rsidRPr="00181FCD">
        <w:t>las</w:t>
      </w:r>
      <w:r w:rsidR="00F373A3" w:rsidRPr="00181FCD">
        <w:t xml:space="preserve"> </w:t>
      </w:r>
      <w:r w:rsidRPr="00181FCD">
        <w:t>personas,</w:t>
      </w:r>
      <w:r w:rsidR="00F373A3" w:rsidRPr="00181FCD">
        <w:t xml:space="preserve"> </w:t>
      </w:r>
      <w:r w:rsidRPr="00181FCD">
        <w:t>sobre</w:t>
      </w:r>
      <w:r w:rsidR="00F373A3" w:rsidRPr="00181FCD">
        <w:t xml:space="preserve"> </w:t>
      </w:r>
      <w:r w:rsidRPr="00181FCD">
        <w:t>la</w:t>
      </w:r>
      <w:r w:rsidR="00F373A3" w:rsidRPr="00181FCD">
        <w:t xml:space="preserve"> </w:t>
      </w:r>
      <w:r w:rsidRPr="00181FCD">
        <w:t>base</w:t>
      </w:r>
      <w:r w:rsidR="00F373A3" w:rsidRPr="00181FCD">
        <w:t xml:space="preserve"> </w:t>
      </w:r>
      <w:r w:rsidRPr="00181FCD">
        <w:t>del</w:t>
      </w:r>
      <w:r w:rsidR="00F373A3" w:rsidRPr="00181FCD">
        <w:t xml:space="preserve"> </w:t>
      </w:r>
      <w:r w:rsidRPr="00181FCD">
        <w:t>análisis</w:t>
      </w:r>
      <w:r w:rsidR="00F373A3" w:rsidRPr="00181FCD">
        <w:t xml:space="preserve"> </w:t>
      </w:r>
      <w:r w:rsidRPr="00181FCD">
        <w:t>del</w:t>
      </w:r>
      <w:r w:rsidR="00F373A3" w:rsidRPr="00181FCD">
        <w:t xml:space="preserve"> </w:t>
      </w:r>
      <w:r w:rsidRPr="00181FCD">
        <w:t>riesgo.</w:t>
      </w:r>
      <w:r w:rsidR="00F373A3" w:rsidRPr="00181FCD">
        <w:t xml:space="preserve"> </w:t>
      </w:r>
      <w:r w:rsidRPr="00181FCD">
        <w:t>Se</w:t>
      </w:r>
      <w:r w:rsidR="00F373A3" w:rsidRPr="00181FCD">
        <w:t xml:space="preserve"> </w:t>
      </w:r>
      <w:r w:rsidRPr="00181FCD">
        <w:t>han</w:t>
      </w:r>
      <w:r w:rsidR="00F373A3" w:rsidRPr="00181FCD">
        <w:t xml:space="preserve"> </w:t>
      </w:r>
      <w:r w:rsidRPr="00181FCD">
        <w:t>elaborado</w:t>
      </w:r>
      <w:r w:rsidR="00F373A3" w:rsidRPr="00181FCD">
        <w:t xml:space="preserve"> </w:t>
      </w:r>
      <w:r w:rsidRPr="00181FCD">
        <w:t>instrucciones</w:t>
      </w:r>
      <w:r w:rsidR="00F373A3" w:rsidRPr="00181FCD">
        <w:t xml:space="preserve"> </w:t>
      </w:r>
      <w:r w:rsidRPr="00181FCD">
        <w:t>estrictas</w:t>
      </w:r>
      <w:r w:rsidR="00F373A3" w:rsidRPr="00181FCD">
        <w:t xml:space="preserve"> </w:t>
      </w:r>
      <w:r w:rsidRPr="00181FCD">
        <w:t>dirigidas</w:t>
      </w:r>
      <w:r w:rsidR="00F373A3" w:rsidRPr="00181FCD">
        <w:t xml:space="preserve"> </w:t>
      </w:r>
      <w:r w:rsidRPr="00181FCD">
        <w:t>a</w:t>
      </w:r>
      <w:r w:rsidR="00F373A3" w:rsidRPr="00181FCD">
        <w:t xml:space="preserve"> </w:t>
      </w:r>
      <w:r w:rsidRPr="00181FCD">
        <w:t>los</w:t>
      </w:r>
      <w:r w:rsidR="00F373A3" w:rsidRPr="00181FCD">
        <w:t xml:space="preserve"> </w:t>
      </w:r>
      <w:r w:rsidRPr="00181FCD">
        <w:t>oficiales</w:t>
      </w:r>
      <w:r w:rsidR="00F373A3" w:rsidRPr="00181FCD">
        <w:t xml:space="preserve"> </w:t>
      </w:r>
      <w:r w:rsidRPr="00181FCD">
        <w:t>de</w:t>
      </w:r>
      <w:r w:rsidR="00F373A3" w:rsidRPr="00181FCD">
        <w:t xml:space="preserve"> </w:t>
      </w:r>
      <w:r w:rsidRPr="00181FCD">
        <w:t>policía</w:t>
      </w:r>
      <w:r w:rsidR="00F373A3" w:rsidRPr="00181FCD">
        <w:t xml:space="preserve"> </w:t>
      </w:r>
      <w:r w:rsidRPr="00181FCD">
        <w:t>de</w:t>
      </w:r>
      <w:r w:rsidR="00F373A3" w:rsidRPr="00181FCD">
        <w:t xml:space="preserve"> </w:t>
      </w:r>
      <w:r w:rsidRPr="00181FCD">
        <w:t>todas</w:t>
      </w:r>
      <w:r w:rsidR="00F373A3" w:rsidRPr="00181FCD">
        <w:t xml:space="preserve"> </w:t>
      </w:r>
      <w:r w:rsidRPr="00181FCD">
        <w:t>las</w:t>
      </w:r>
      <w:r w:rsidR="00F373A3" w:rsidRPr="00181FCD">
        <w:t xml:space="preserve"> </w:t>
      </w:r>
      <w:r w:rsidRPr="00181FCD">
        <w:t>fronteras</w:t>
      </w:r>
      <w:r w:rsidR="00F373A3" w:rsidRPr="00181FCD">
        <w:t xml:space="preserve"> </w:t>
      </w:r>
      <w:r w:rsidRPr="00181FCD">
        <w:t>para</w:t>
      </w:r>
      <w:r w:rsidR="00F373A3" w:rsidRPr="00181FCD">
        <w:t xml:space="preserve"> </w:t>
      </w:r>
      <w:r w:rsidRPr="00181FCD">
        <w:t>que</w:t>
      </w:r>
      <w:r w:rsidR="00F373A3" w:rsidRPr="00181FCD">
        <w:t xml:space="preserve"> </w:t>
      </w:r>
      <w:r w:rsidRPr="00181FCD">
        <w:t>impidan</w:t>
      </w:r>
      <w:r w:rsidR="00F373A3" w:rsidRPr="00181FCD">
        <w:t xml:space="preserve"> </w:t>
      </w:r>
      <w:r w:rsidRPr="00181FCD">
        <w:t>el</w:t>
      </w:r>
      <w:r w:rsidR="00F373A3" w:rsidRPr="00181FCD">
        <w:t xml:space="preserve"> </w:t>
      </w:r>
      <w:r w:rsidRPr="00181FCD">
        <w:t>paso</w:t>
      </w:r>
      <w:r w:rsidR="00F373A3" w:rsidRPr="00181FCD">
        <w:t xml:space="preserve"> </w:t>
      </w:r>
      <w:r w:rsidRPr="00181FCD">
        <w:t>de</w:t>
      </w:r>
      <w:r w:rsidR="00F373A3" w:rsidRPr="00181FCD">
        <w:t xml:space="preserve"> </w:t>
      </w:r>
      <w:r w:rsidRPr="00181FCD">
        <w:t>individuos</w:t>
      </w:r>
      <w:r w:rsidR="00F373A3" w:rsidRPr="00181FCD">
        <w:t xml:space="preserve"> </w:t>
      </w:r>
      <w:r w:rsidRPr="00181FCD">
        <w:t>que</w:t>
      </w:r>
      <w:r w:rsidR="00F373A3" w:rsidRPr="00181FCD">
        <w:t xml:space="preserve"> </w:t>
      </w:r>
      <w:r w:rsidRPr="00181FCD">
        <w:t>respondan</w:t>
      </w:r>
      <w:r w:rsidR="00F373A3" w:rsidRPr="00181FCD">
        <w:t xml:space="preserve"> </w:t>
      </w:r>
      <w:r w:rsidRPr="00181FCD">
        <w:t>a</w:t>
      </w:r>
      <w:r w:rsidR="00F373A3" w:rsidRPr="00181FCD">
        <w:t xml:space="preserve"> </w:t>
      </w:r>
      <w:r w:rsidRPr="00181FCD">
        <w:t>perfiles</w:t>
      </w:r>
      <w:r w:rsidR="00F373A3" w:rsidRPr="00181FCD">
        <w:t xml:space="preserve"> </w:t>
      </w:r>
      <w:r w:rsidRPr="00181FCD">
        <w:t>de</w:t>
      </w:r>
      <w:r w:rsidR="00F373A3" w:rsidRPr="00181FCD">
        <w:t xml:space="preserve"> </w:t>
      </w:r>
      <w:r w:rsidRPr="00181FCD">
        <w:t>riesgo</w:t>
      </w:r>
      <w:r w:rsidR="00F373A3" w:rsidRPr="00181FCD">
        <w:t xml:space="preserve"> </w:t>
      </w:r>
      <w:r w:rsidRPr="00181FCD">
        <w:t>actualizados</w:t>
      </w:r>
      <w:r w:rsidR="00F373A3" w:rsidRPr="00181FCD">
        <w:t xml:space="preserve"> </w:t>
      </w:r>
      <w:r w:rsidRPr="00181FCD">
        <w:t>que</w:t>
      </w:r>
      <w:r w:rsidR="00F373A3" w:rsidRPr="00181FCD">
        <w:t xml:space="preserve"> </w:t>
      </w:r>
      <w:r w:rsidRPr="00181FCD">
        <w:t>puedan</w:t>
      </w:r>
      <w:r w:rsidR="00F373A3" w:rsidRPr="00181FCD">
        <w:t xml:space="preserve"> </w:t>
      </w:r>
      <w:r w:rsidRPr="00181FCD">
        <w:t>ser</w:t>
      </w:r>
      <w:r w:rsidR="00F373A3" w:rsidRPr="00181FCD">
        <w:t xml:space="preserve"> </w:t>
      </w:r>
      <w:r w:rsidRPr="00181FCD">
        <w:t>identificados</w:t>
      </w:r>
      <w:r w:rsidR="00F373A3" w:rsidRPr="00181FCD">
        <w:t xml:space="preserve"> </w:t>
      </w:r>
      <w:r w:rsidRPr="00181FCD">
        <w:t>como</w:t>
      </w:r>
      <w:r w:rsidR="00F373A3" w:rsidRPr="00181FCD">
        <w:t xml:space="preserve"> </w:t>
      </w:r>
      <w:r w:rsidRPr="00181FCD">
        <w:t>combatientes</w:t>
      </w:r>
      <w:r w:rsidR="00F373A3" w:rsidRPr="00181FCD">
        <w:t xml:space="preserve"> </w:t>
      </w:r>
      <w:r w:rsidRPr="00181FCD">
        <w:t>extranjeros.</w:t>
      </w:r>
      <w:r w:rsidR="00F373A3" w:rsidRPr="00181FCD">
        <w:t xml:space="preserve"> </w:t>
      </w:r>
      <w:r w:rsidRPr="00181FCD">
        <w:t>La</w:t>
      </w:r>
      <w:r w:rsidR="00F373A3" w:rsidRPr="00181FCD">
        <w:t xml:space="preserve"> </w:t>
      </w:r>
      <w:r w:rsidRPr="00181FCD">
        <w:t>variante</w:t>
      </w:r>
      <w:r w:rsidR="00F373A3" w:rsidRPr="00181FCD">
        <w:t xml:space="preserve"> </w:t>
      </w:r>
      <w:r w:rsidRPr="00181FCD">
        <w:t>de</w:t>
      </w:r>
      <w:r w:rsidR="00F373A3" w:rsidRPr="00181FCD">
        <w:t xml:space="preserve"> </w:t>
      </w:r>
      <w:r w:rsidRPr="00181FCD">
        <w:t>consiste</w:t>
      </w:r>
      <w:r w:rsidR="00F373A3" w:rsidRPr="00181FCD">
        <w:t xml:space="preserve"> </w:t>
      </w:r>
      <w:r w:rsidRPr="00181FCD">
        <w:t>en</w:t>
      </w:r>
      <w:r w:rsidR="00F373A3" w:rsidRPr="00181FCD">
        <w:t xml:space="preserve"> </w:t>
      </w:r>
      <w:r w:rsidRPr="00181FCD">
        <w:t>la</w:t>
      </w:r>
      <w:r w:rsidR="00F373A3" w:rsidRPr="00181FCD">
        <w:t xml:space="preserve"> </w:t>
      </w:r>
      <w:r w:rsidRPr="00181FCD">
        <w:t>introducción</w:t>
      </w:r>
      <w:r w:rsidR="00F373A3" w:rsidRPr="00181FCD">
        <w:t xml:space="preserve"> </w:t>
      </w:r>
      <w:r w:rsidRPr="00181FCD">
        <w:t>del</w:t>
      </w:r>
      <w:r w:rsidR="00F373A3" w:rsidRPr="00181FCD">
        <w:t xml:space="preserve"> </w:t>
      </w:r>
      <w:r w:rsidRPr="00181FCD">
        <w:t>control</w:t>
      </w:r>
      <w:r w:rsidR="00F373A3" w:rsidRPr="00181FCD">
        <w:t xml:space="preserve"> </w:t>
      </w:r>
      <w:r w:rsidRPr="00181FCD">
        <w:t>sistemático</w:t>
      </w:r>
      <w:r w:rsidR="00F373A3" w:rsidRPr="00181FCD">
        <w:t xml:space="preserve"> </w:t>
      </w:r>
      <w:r w:rsidRPr="00181FCD">
        <w:t>de</w:t>
      </w:r>
      <w:r w:rsidR="00F373A3" w:rsidRPr="00181FCD">
        <w:t xml:space="preserve"> </w:t>
      </w:r>
      <w:r w:rsidRPr="00181FCD">
        <w:t>los</w:t>
      </w:r>
      <w:r w:rsidR="00F373A3" w:rsidRPr="00181FCD">
        <w:t xml:space="preserve"> </w:t>
      </w:r>
      <w:r w:rsidRPr="00181FCD">
        <w:t>documentos</w:t>
      </w:r>
      <w:r w:rsidR="00F373A3" w:rsidRPr="00181FCD">
        <w:t xml:space="preserve"> </w:t>
      </w:r>
      <w:r w:rsidRPr="00181FCD">
        <w:t>y</w:t>
      </w:r>
      <w:r w:rsidR="00F373A3" w:rsidRPr="00181FCD">
        <w:t xml:space="preserve"> </w:t>
      </w:r>
      <w:r w:rsidRPr="00181FCD">
        <w:t>de</w:t>
      </w:r>
      <w:r w:rsidR="00F373A3" w:rsidRPr="00181FCD">
        <w:t xml:space="preserve"> </w:t>
      </w:r>
      <w:r w:rsidRPr="00181FCD">
        <w:t>las</w:t>
      </w:r>
      <w:r w:rsidR="00F373A3" w:rsidRPr="00181FCD">
        <w:t xml:space="preserve"> </w:t>
      </w:r>
      <w:r w:rsidRPr="00181FCD">
        <w:t>personas</w:t>
      </w:r>
      <w:r w:rsidR="00F373A3" w:rsidRPr="00181FCD">
        <w:t xml:space="preserve"> </w:t>
      </w:r>
      <w:r w:rsidRPr="00181FCD">
        <w:t>mediante</w:t>
      </w:r>
      <w:r w:rsidR="00F373A3" w:rsidRPr="00181FCD">
        <w:t xml:space="preserve"> </w:t>
      </w:r>
      <w:r w:rsidRPr="00181FCD">
        <w:t>la</w:t>
      </w:r>
      <w:r w:rsidR="00F373A3" w:rsidRPr="00181FCD">
        <w:t xml:space="preserve"> </w:t>
      </w:r>
      <w:r w:rsidRPr="00181FCD">
        <w:t>aplicación</w:t>
      </w:r>
      <w:r w:rsidR="00F373A3" w:rsidRPr="00181FCD">
        <w:t xml:space="preserve"> </w:t>
      </w:r>
      <w:r w:rsidRPr="00181FCD">
        <w:t>de</w:t>
      </w:r>
      <w:r w:rsidR="00F373A3" w:rsidRPr="00181FCD">
        <w:t xml:space="preserve"> </w:t>
      </w:r>
      <w:r w:rsidRPr="00181FCD">
        <w:t>los</w:t>
      </w:r>
      <w:r w:rsidR="00F373A3" w:rsidRPr="00181FCD">
        <w:t xml:space="preserve"> </w:t>
      </w:r>
      <w:r w:rsidRPr="00181FCD">
        <w:t>indicadores</w:t>
      </w:r>
      <w:r w:rsidR="00F373A3" w:rsidRPr="00181FCD">
        <w:t xml:space="preserve"> </w:t>
      </w:r>
      <w:r w:rsidRPr="00181FCD">
        <w:t>respectivos</w:t>
      </w:r>
      <w:r w:rsidR="00F373A3" w:rsidRPr="00181FCD">
        <w:t xml:space="preserve"> </w:t>
      </w:r>
      <w:r w:rsidRPr="00181FCD">
        <w:t>y</w:t>
      </w:r>
      <w:r w:rsidR="00F373A3" w:rsidRPr="00181FCD">
        <w:t xml:space="preserve"> </w:t>
      </w:r>
      <w:r w:rsidRPr="00181FCD">
        <w:t>en</w:t>
      </w:r>
      <w:r w:rsidR="00F373A3" w:rsidRPr="00181FCD">
        <w:t xml:space="preserve"> </w:t>
      </w:r>
      <w:r w:rsidRPr="00181FCD">
        <w:t>los</w:t>
      </w:r>
      <w:r w:rsidR="00F373A3" w:rsidRPr="00181FCD">
        <w:t xml:space="preserve"> </w:t>
      </w:r>
      <w:r w:rsidRPr="00181FCD">
        <w:t>puestos</w:t>
      </w:r>
      <w:r w:rsidR="00F373A3" w:rsidRPr="00181FCD">
        <w:t xml:space="preserve"> </w:t>
      </w:r>
      <w:r w:rsidRPr="00181FCD">
        <w:t>de</w:t>
      </w:r>
      <w:r w:rsidR="00F373A3" w:rsidRPr="00181FCD">
        <w:t xml:space="preserve"> </w:t>
      </w:r>
      <w:r w:rsidRPr="00181FCD">
        <w:t>control</w:t>
      </w:r>
      <w:r w:rsidR="00F373A3" w:rsidRPr="00181FCD">
        <w:t xml:space="preserve"> </w:t>
      </w:r>
      <w:r w:rsidRPr="00181FCD">
        <w:t>fronterizo</w:t>
      </w:r>
      <w:r w:rsidR="00F373A3" w:rsidRPr="00181FCD">
        <w:t xml:space="preserve"> </w:t>
      </w:r>
      <w:r w:rsidRPr="00181FCD">
        <w:t>establecidos</w:t>
      </w:r>
      <w:r w:rsidR="00F373A3" w:rsidRPr="00181FCD">
        <w:t xml:space="preserve"> </w:t>
      </w:r>
      <w:r w:rsidRPr="00181FCD">
        <w:t>sobre</w:t>
      </w:r>
      <w:r w:rsidR="00F373A3" w:rsidRPr="00181FCD">
        <w:t xml:space="preserve"> </w:t>
      </w:r>
      <w:r w:rsidRPr="00181FCD">
        <w:t>la</w:t>
      </w:r>
      <w:r w:rsidR="00F373A3" w:rsidRPr="00181FCD">
        <w:t xml:space="preserve"> </w:t>
      </w:r>
      <w:r w:rsidRPr="00181FCD">
        <w:t>base</w:t>
      </w:r>
      <w:r w:rsidR="00F373A3" w:rsidRPr="00181FCD">
        <w:t xml:space="preserve"> </w:t>
      </w:r>
      <w:r w:rsidRPr="00181FCD">
        <w:t>del</w:t>
      </w:r>
      <w:r w:rsidR="00F373A3" w:rsidRPr="00181FCD">
        <w:t xml:space="preserve"> </w:t>
      </w:r>
      <w:r w:rsidRPr="00181FCD">
        <w:t>análisis</w:t>
      </w:r>
      <w:r w:rsidR="00F373A3" w:rsidRPr="00181FCD">
        <w:t xml:space="preserve"> </w:t>
      </w:r>
      <w:r w:rsidRPr="00181FCD">
        <w:t>de</w:t>
      </w:r>
      <w:r w:rsidR="00F373A3" w:rsidRPr="00181FCD">
        <w:t xml:space="preserve"> </w:t>
      </w:r>
      <w:r w:rsidRPr="00181FCD">
        <w:t>riesgos.</w:t>
      </w:r>
    </w:p>
    <w:p w:rsidR="001937F4" w:rsidRPr="00181FCD" w:rsidRDefault="001937F4" w:rsidP="00347B20">
      <w:pPr>
        <w:pStyle w:val="SingleTxtG"/>
        <w:suppressAutoHyphens/>
      </w:pPr>
      <w:r w:rsidRPr="00181FCD">
        <w:t>245.</w:t>
      </w:r>
      <w:r w:rsidRPr="00181FCD">
        <w:tab/>
        <w:t>Además</w:t>
      </w:r>
      <w:r w:rsidR="00F373A3" w:rsidRPr="00181FCD">
        <w:t xml:space="preserve"> </w:t>
      </w:r>
      <w:r w:rsidRPr="00181FCD">
        <w:t>de</w:t>
      </w:r>
      <w:r w:rsidR="00F373A3" w:rsidRPr="00181FCD">
        <w:t xml:space="preserve"> </w:t>
      </w:r>
      <w:r w:rsidRPr="00181FCD">
        <w:t>aplicar</w:t>
      </w:r>
      <w:r w:rsidR="00F373A3" w:rsidRPr="00181FCD">
        <w:t xml:space="preserve"> </w:t>
      </w:r>
      <w:r w:rsidRPr="00181FCD">
        <w:t>los</w:t>
      </w:r>
      <w:r w:rsidR="00F373A3" w:rsidRPr="00181FCD">
        <w:t xml:space="preserve"> </w:t>
      </w:r>
      <w:r w:rsidRPr="00181FCD">
        <w:t>indicadores</w:t>
      </w:r>
      <w:r w:rsidR="00F373A3" w:rsidRPr="00181FCD">
        <w:t xml:space="preserve"> </w:t>
      </w:r>
      <w:r w:rsidRPr="00181FCD">
        <w:t>de</w:t>
      </w:r>
      <w:r w:rsidR="00F373A3" w:rsidRPr="00181FCD">
        <w:t xml:space="preserve"> </w:t>
      </w:r>
      <w:r w:rsidRPr="00181FCD">
        <w:t>riesgo</w:t>
      </w:r>
      <w:r w:rsidR="00F373A3" w:rsidRPr="00181FCD">
        <w:t xml:space="preserve"> </w:t>
      </w:r>
      <w:r w:rsidRPr="00181FCD">
        <w:t>comunes,</w:t>
      </w:r>
      <w:r w:rsidR="00F373A3" w:rsidRPr="00181FCD">
        <w:t xml:space="preserve"> </w:t>
      </w:r>
      <w:r w:rsidRPr="00181FCD">
        <w:t>los</w:t>
      </w:r>
      <w:r w:rsidR="00F373A3" w:rsidRPr="00181FCD">
        <w:t xml:space="preserve"> </w:t>
      </w:r>
      <w:r w:rsidRPr="00181FCD">
        <w:t>oficiales</w:t>
      </w:r>
      <w:r w:rsidR="00F373A3" w:rsidRPr="00181FCD">
        <w:t xml:space="preserve"> </w:t>
      </w:r>
      <w:r w:rsidRPr="00181FCD">
        <w:t>búlgaros</w:t>
      </w:r>
      <w:r w:rsidR="00F373A3" w:rsidRPr="00181FCD">
        <w:t xml:space="preserve"> </w:t>
      </w:r>
      <w:r w:rsidRPr="00181FCD">
        <w:t>de</w:t>
      </w:r>
      <w:r w:rsidR="00F373A3" w:rsidRPr="00181FCD">
        <w:t xml:space="preserve"> </w:t>
      </w:r>
      <w:r w:rsidRPr="00181FCD">
        <w:t>la</w:t>
      </w:r>
      <w:r w:rsidR="00F373A3" w:rsidRPr="00181FCD">
        <w:t xml:space="preserve"> </w:t>
      </w:r>
      <w:r w:rsidRPr="00181FCD">
        <w:t>Policía</w:t>
      </w:r>
      <w:r w:rsidR="00F373A3" w:rsidRPr="00181FCD">
        <w:t xml:space="preserve"> </w:t>
      </w:r>
      <w:r w:rsidRPr="00181FCD">
        <w:t>de</w:t>
      </w:r>
      <w:r w:rsidR="00F373A3" w:rsidRPr="00181FCD">
        <w:t xml:space="preserve"> </w:t>
      </w:r>
      <w:r w:rsidRPr="00181FCD">
        <w:t>Fronteras</w:t>
      </w:r>
      <w:r w:rsidR="00F373A3" w:rsidRPr="00181FCD">
        <w:t xml:space="preserve"> </w:t>
      </w:r>
      <w:r w:rsidRPr="00181FCD">
        <w:t>realizan</w:t>
      </w:r>
      <w:r w:rsidR="00F373A3" w:rsidRPr="00181FCD">
        <w:t xml:space="preserve"> </w:t>
      </w:r>
      <w:r w:rsidRPr="00181FCD">
        <w:t>comprobaciones</w:t>
      </w:r>
      <w:r w:rsidR="00F373A3" w:rsidRPr="00181FCD">
        <w:t xml:space="preserve"> </w:t>
      </w:r>
      <w:r w:rsidRPr="00181FCD">
        <w:t>en</w:t>
      </w:r>
      <w:r w:rsidR="00F373A3" w:rsidRPr="00181FCD">
        <w:t xml:space="preserve"> </w:t>
      </w:r>
      <w:r w:rsidRPr="00181FCD">
        <w:t>tiempo</w:t>
      </w:r>
      <w:r w:rsidR="00F373A3" w:rsidRPr="00181FCD">
        <w:t xml:space="preserve"> </w:t>
      </w:r>
      <w:r w:rsidRPr="00181FCD">
        <w:t>real</w:t>
      </w:r>
      <w:r w:rsidR="00F373A3" w:rsidRPr="00181FCD">
        <w:t xml:space="preserve"> </w:t>
      </w:r>
      <w:r w:rsidRPr="00181FCD">
        <w:t>en</w:t>
      </w:r>
      <w:r w:rsidR="00F373A3" w:rsidRPr="00181FCD">
        <w:t xml:space="preserve"> </w:t>
      </w:r>
      <w:r w:rsidRPr="00181FCD">
        <w:t>el</w:t>
      </w:r>
      <w:r w:rsidR="00F373A3" w:rsidRPr="00181FCD">
        <w:t xml:space="preserve"> </w:t>
      </w:r>
      <w:r w:rsidRPr="00181FCD">
        <w:t>sistema</w:t>
      </w:r>
      <w:r w:rsidR="00F373A3" w:rsidRPr="00181FCD">
        <w:t xml:space="preserve"> </w:t>
      </w:r>
      <w:r w:rsidRPr="00181FCD">
        <w:t>de</w:t>
      </w:r>
      <w:r w:rsidR="00F373A3" w:rsidRPr="00181FCD">
        <w:t xml:space="preserve"> </w:t>
      </w:r>
      <w:r w:rsidRPr="00181FCD">
        <w:t>información</w:t>
      </w:r>
      <w:r w:rsidR="00F373A3" w:rsidRPr="00181FCD">
        <w:t xml:space="preserve"> </w:t>
      </w:r>
      <w:r w:rsidRPr="00181FCD">
        <w:t>de</w:t>
      </w:r>
      <w:r w:rsidR="00F373A3" w:rsidRPr="00181FCD">
        <w:t xml:space="preserve"> </w:t>
      </w:r>
      <w:r w:rsidRPr="00181FCD">
        <w:t>Schengen</w:t>
      </w:r>
      <w:r w:rsidR="00F373A3" w:rsidRPr="00181FCD">
        <w:t xml:space="preserve"> </w:t>
      </w:r>
      <w:r w:rsidRPr="00181FCD">
        <w:t>y</w:t>
      </w:r>
      <w:r w:rsidR="00F373A3" w:rsidRPr="00181FCD">
        <w:t xml:space="preserve"> </w:t>
      </w:r>
      <w:r w:rsidRPr="00181FCD">
        <w:t>la</w:t>
      </w:r>
      <w:r w:rsidR="00F373A3" w:rsidRPr="00181FCD">
        <w:t xml:space="preserve"> </w:t>
      </w:r>
      <w:r w:rsidRPr="00181FCD">
        <w:t>base</w:t>
      </w:r>
      <w:r w:rsidR="00F373A3" w:rsidRPr="00181FCD">
        <w:t xml:space="preserve"> </w:t>
      </w:r>
      <w:r w:rsidRPr="00181FCD">
        <w:t>de</w:t>
      </w:r>
      <w:r w:rsidR="00F373A3" w:rsidRPr="00181FCD">
        <w:t xml:space="preserve"> </w:t>
      </w:r>
      <w:r w:rsidRPr="00181FCD">
        <w:t>datos</w:t>
      </w:r>
      <w:r w:rsidR="00F373A3" w:rsidRPr="00181FCD">
        <w:t xml:space="preserve"> </w:t>
      </w:r>
      <w:r w:rsidRPr="00181FCD">
        <w:t>de</w:t>
      </w:r>
      <w:r w:rsidR="00F373A3" w:rsidRPr="00181FCD">
        <w:t xml:space="preserve"> </w:t>
      </w:r>
      <w:r w:rsidRPr="00181FCD">
        <w:t>Interpol,</w:t>
      </w:r>
      <w:r w:rsidR="00F373A3" w:rsidRPr="00181FCD">
        <w:t xml:space="preserve"> </w:t>
      </w:r>
      <w:r w:rsidRPr="00181FCD">
        <w:t>sobre</w:t>
      </w:r>
      <w:r w:rsidR="00F373A3" w:rsidRPr="00181FCD">
        <w:t xml:space="preserve"> </w:t>
      </w:r>
      <w:r w:rsidRPr="00181FCD">
        <w:t>los</w:t>
      </w:r>
      <w:r w:rsidR="00F373A3" w:rsidRPr="00181FCD">
        <w:t xml:space="preserve"> </w:t>
      </w:r>
      <w:r w:rsidRPr="00181FCD">
        <w:t>documentos</w:t>
      </w:r>
      <w:r w:rsidR="00F373A3" w:rsidRPr="00181FCD">
        <w:t xml:space="preserve"> </w:t>
      </w:r>
      <w:r w:rsidRPr="00181FCD">
        <w:t>de</w:t>
      </w:r>
      <w:r w:rsidR="00F373A3" w:rsidRPr="00181FCD">
        <w:t xml:space="preserve"> </w:t>
      </w:r>
      <w:r w:rsidRPr="00181FCD">
        <w:t>viaje</w:t>
      </w:r>
      <w:r w:rsidR="00F373A3" w:rsidRPr="00181FCD">
        <w:t xml:space="preserve"> </w:t>
      </w:r>
      <w:r w:rsidRPr="00181FCD">
        <w:t>perdidos</w:t>
      </w:r>
      <w:r w:rsidR="00F373A3" w:rsidRPr="00181FCD">
        <w:t xml:space="preserve"> </w:t>
      </w:r>
      <w:r w:rsidRPr="00181FCD">
        <w:t>o</w:t>
      </w:r>
      <w:r w:rsidR="00F373A3" w:rsidRPr="00181FCD">
        <w:t xml:space="preserve"> </w:t>
      </w:r>
      <w:r w:rsidRPr="00181FCD">
        <w:t>robados,</w:t>
      </w:r>
      <w:r w:rsidR="00F373A3" w:rsidRPr="00181FCD">
        <w:t xml:space="preserve"> </w:t>
      </w:r>
      <w:r w:rsidRPr="00181FCD">
        <w:t>lo</w:t>
      </w:r>
      <w:r w:rsidR="00F373A3" w:rsidRPr="00181FCD">
        <w:t xml:space="preserve"> </w:t>
      </w:r>
      <w:r w:rsidRPr="00181FCD">
        <w:t>que</w:t>
      </w:r>
      <w:r w:rsidR="00F373A3" w:rsidRPr="00181FCD">
        <w:t xml:space="preserve"> </w:t>
      </w:r>
      <w:r w:rsidRPr="00181FCD">
        <w:t>ayuda</w:t>
      </w:r>
      <w:r w:rsidR="00F373A3" w:rsidRPr="00181FCD">
        <w:t xml:space="preserve"> </w:t>
      </w:r>
      <w:r w:rsidRPr="00181FCD">
        <w:t>eficazmente</w:t>
      </w:r>
      <w:r w:rsidR="00F373A3" w:rsidRPr="00181FCD">
        <w:t xml:space="preserve"> </w:t>
      </w:r>
      <w:r w:rsidRPr="00181FCD">
        <w:t>en</w:t>
      </w:r>
      <w:r w:rsidR="00F373A3" w:rsidRPr="00181FCD">
        <w:t xml:space="preserve"> </w:t>
      </w:r>
      <w:r w:rsidRPr="00181FCD">
        <w:t>la</w:t>
      </w:r>
      <w:r w:rsidR="00F373A3" w:rsidRPr="00181FCD">
        <w:t xml:space="preserve"> </w:t>
      </w:r>
      <w:r w:rsidRPr="00181FCD">
        <w:t>detección</w:t>
      </w:r>
      <w:r w:rsidR="00F373A3" w:rsidRPr="00181FCD">
        <w:t xml:space="preserve"> </w:t>
      </w:r>
      <w:r w:rsidRPr="00181FCD">
        <w:t>de</w:t>
      </w:r>
      <w:r w:rsidR="00F373A3" w:rsidRPr="00181FCD">
        <w:t xml:space="preserve"> </w:t>
      </w:r>
      <w:r w:rsidRPr="00181FCD">
        <w:t>individuos</w:t>
      </w:r>
      <w:r w:rsidR="00F373A3" w:rsidRPr="00181FCD">
        <w:t xml:space="preserve"> </w:t>
      </w:r>
      <w:r w:rsidRPr="00181FCD">
        <w:t>implicados</w:t>
      </w:r>
      <w:r w:rsidR="00F373A3" w:rsidRPr="00181FCD">
        <w:t xml:space="preserve"> </w:t>
      </w:r>
      <w:r w:rsidRPr="00181FCD">
        <w:t>en</w:t>
      </w:r>
      <w:r w:rsidR="00F373A3" w:rsidRPr="00181FCD">
        <w:t xml:space="preserve"> </w:t>
      </w:r>
      <w:r w:rsidRPr="00181FCD">
        <w:t>actividades</w:t>
      </w:r>
      <w:r w:rsidR="00F373A3" w:rsidRPr="00181FCD">
        <w:t xml:space="preserve"> </w:t>
      </w:r>
      <w:r w:rsidRPr="00181FCD">
        <w:t>terroristas.</w:t>
      </w:r>
      <w:r w:rsidR="00F373A3" w:rsidRPr="00181FCD">
        <w:t xml:space="preserve"> </w:t>
      </w:r>
      <w:r w:rsidRPr="00181FCD">
        <w:t>De</w:t>
      </w:r>
      <w:r w:rsidR="00F373A3" w:rsidRPr="00181FCD">
        <w:t xml:space="preserve"> </w:t>
      </w:r>
      <w:r w:rsidRPr="00181FCD">
        <w:t>particular</w:t>
      </w:r>
      <w:r w:rsidR="00F373A3" w:rsidRPr="00181FCD">
        <w:t xml:space="preserve"> </w:t>
      </w:r>
      <w:r w:rsidRPr="00181FCD">
        <w:t>importancia</w:t>
      </w:r>
      <w:r w:rsidR="00F373A3" w:rsidRPr="00181FCD">
        <w:t xml:space="preserve"> </w:t>
      </w:r>
      <w:r w:rsidRPr="00181FCD">
        <w:t>es</w:t>
      </w:r>
      <w:r w:rsidR="00F373A3" w:rsidRPr="00181FCD">
        <w:t xml:space="preserve"> </w:t>
      </w:r>
      <w:r w:rsidRPr="00181FCD">
        <w:t>el</w:t>
      </w:r>
      <w:r w:rsidR="00F373A3" w:rsidRPr="00181FCD">
        <w:t xml:space="preserve"> </w:t>
      </w:r>
      <w:r w:rsidRPr="00181FCD">
        <w:t>uso</w:t>
      </w:r>
      <w:r w:rsidR="00F373A3" w:rsidRPr="00181FCD">
        <w:t xml:space="preserve"> </w:t>
      </w:r>
      <w:r w:rsidRPr="00181FCD">
        <w:t>intenso</w:t>
      </w:r>
      <w:r w:rsidR="00F373A3" w:rsidRPr="00181FCD">
        <w:t xml:space="preserve"> </w:t>
      </w:r>
      <w:r w:rsidRPr="00181FCD">
        <w:t>de</w:t>
      </w:r>
      <w:r w:rsidR="00F373A3" w:rsidRPr="00181FCD">
        <w:t xml:space="preserve"> </w:t>
      </w:r>
      <w:r w:rsidRPr="00181FCD">
        <w:t>la</w:t>
      </w:r>
      <w:r w:rsidR="00F373A3" w:rsidRPr="00181FCD">
        <w:t xml:space="preserve"> </w:t>
      </w:r>
      <w:r w:rsidRPr="00181FCD">
        <w:t>capacidad</w:t>
      </w:r>
      <w:r w:rsidR="00F373A3" w:rsidRPr="00181FCD">
        <w:t xml:space="preserve"> </w:t>
      </w:r>
      <w:r w:rsidRPr="00181FCD">
        <w:t>de</w:t>
      </w:r>
      <w:r w:rsidR="00F373A3" w:rsidRPr="00181FCD">
        <w:t xml:space="preserve"> </w:t>
      </w:r>
      <w:r w:rsidRPr="00181FCD">
        <w:t>Interpol</w:t>
      </w:r>
      <w:r w:rsidR="00F373A3" w:rsidRPr="00181FCD">
        <w:t xml:space="preserve"> </w:t>
      </w:r>
      <w:r w:rsidRPr="00181FCD">
        <w:t>para</w:t>
      </w:r>
      <w:r w:rsidR="00F373A3" w:rsidRPr="00181FCD">
        <w:t xml:space="preserve"> </w:t>
      </w:r>
      <w:r w:rsidRPr="00181FCD">
        <w:t>detectar</w:t>
      </w:r>
      <w:r w:rsidR="00F373A3" w:rsidRPr="00181FCD">
        <w:t xml:space="preserve"> </w:t>
      </w:r>
      <w:r w:rsidRPr="00181FCD">
        <w:t>la</w:t>
      </w:r>
      <w:r w:rsidR="00F373A3" w:rsidRPr="00181FCD">
        <w:t xml:space="preserve"> </w:t>
      </w:r>
      <w:r w:rsidRPr="00181FCD">
        <w:t>autenticidad</w:t>
      </w:r>
      <w:r w:rsidR="00F373A3" w:rsidRPr="00181FCD">
        <w:t xml:space="preserve"> </w:t>
      </w:r>
      <w:r w:rsidRPr="00181FCD">
        <w:t>de</w:t>
      </w:r>
      <w:r w:rsidR="00F373A3" w:rsidRPr="00181FCD">
        <w:t xml:space="preserve"> </w:t>
      </w:r>
      <w:r w:rsidRPr="00181FCD">
        <w:t>los</w:t>
      </w:r>
      <w:r w:rsidR="00F373A3" w:rsidRPr="00181FCD">
        <w:t xml:space="preserve"> </w:t>
      </w:r>
      <w:r w:rsidRPr="00181FCD">
        <w:t>documentos</w:t>
      </w:r>
      <w:r w:rsidR="00F373A3" w:rsidRPr="00181FCD">
        <w:t xml:space="preserve"> </w:t>
      </w:r>
      <w:r w:rsidRPr="00181FCD">
        <w:t>durante</w:t>
      </w:r>
      <w:r w:rsidR="00F373A3" w:rsidRPr="00181FCD">
        <w:t xml:space="preserve"> </w:t>
      </w:r>
      <w:r w:rsidRPr="00181FCD">
        <w:t>los</w:t>
      </w:r>
      <w:r w:rsidR="00F373A3" w:rsidRPr="00181FCD">
        <w:t xml:space="preserve"> </w:t>
      </w:r>
      <w:r w:rsidRPr="00181FCD">
        <w:t>controles</w:t>
      </w:r>
      <w:r w:rsidR="00F373A3" w:rsidRPr="00181FCD">
        <w:t xml:space="preserve"> </w:t>
      </w:r>
      <w:r w:rsidRPr="00181FCD">
        <w:t>en</w:t>
      </w:r>
      <w:r w:rsidR="00F373A3" w:rsidRPr="00181FCD">
        <w:t xml:space="preserve"> </w:t>
      </w:r>
      <w:r w:rsidRPr="00181FCD">
        <w:t>las</w:t>
      </w:r>
      <w:r w:rsidR="00F373A3" w:rsidRPr="00181FCD">
        <w:t xml:space="preserve"> </w:t>
      </w:r>
      <w:r w:rsidRPr="00181FCD">
        <w:t>fronteras.</w:t>
      </w:r>
    </w:p>
    <w:p w:rsidR="001937F4" w:rsidRPr="00181FCD" w:rsidRDefault="00F373A3" w:rsidP="00347B20">
      <w:pPr>
        <w:pStyle w:val="H4G"/>
      </w:pPr>
      <w:r w:rsidRPr="00181FCD">
        <w:tab/>
      </w:r>
      <w:r w:rsidRPr="00181FCD">
        <w:tab/>
      </w:r>
      <w:r w:rsidR="001937F4" w:rsidRPr="00181FCD">
        <w:t>Formación</w:t>
      </w:r>
      <w:r w:rsidRPr="00181FCD">
        <w:t xml:space="preserve"> </w:t>
      </w:r>
      <w:r w:rsidR="001937F4" w:rsidRPr="00181FCD">
        <w:t>en</w:t>
      </w:r>
      <w:r w:rsidRPr="00181FCD">
        <w:t xml:space="preserve"> </w:t>
      </w:r>
      <w:r w:rsidR="001937F4" w:rsidRPr="00181FCD">
        <w:t>la</w:t>
      </w:r>
      <w:r w:rsidRPr="00181FCD">
        <w:t xml:space="preserve"> </w:t>
      </w:r>
      <w:r w:rsidR="001937F4" w:rsidRPr="00181FCD">
        <w:t>Academia</w:t>
      </w:r>
      <w:r w:rsidRPr="00181FCD">
        <w:t xml:space="preserve"> </w:t>
      </w:r>
      <w:r w:rsidR="001937F4" w:rsidRPr="00181FCD">
        <w:t>del</w:t>
      </w:r>
      <w:r w:rsidRPr="00181FCD">
        <w:t xml:space="preserve"> </w:t>
      </w:r>
      <w:r w:rsidR="001937F4" w:rsidRPr="00181FCD">
        <w:t>Ministerio</w:t>
      </w:r>
      <w:r w:rsidRPr="00181FCD">
        <w:t xml:space="preserve"> </w:t>
      </w:r>
      <w:r w:rsidR="001937F4" w:rsidRPr="00181FCD">
        <w:t>del</w:t>
      </w:r>
      <w:r w:rsidRPr="00181FCD">
        <w:t xml:space="preserve"> </w:t>
      </w:r>
      <w:r w:rsidR="001937F4" w:rsidRPr="00181FCD">
        <w:t>Interior</w:t>
      </w:r>
    </w:p>
    <w:p w:rsidR="001937F4" w:rsidRPr="00181FCD" w:rsidRDefault="001937F4" w:rsidP="00347B20">
      <w:pPr>
        <w:pStyle w:val="SingleTxtG"/>
        <w:suppressAutoHyphens/>
      </w:pPr>
      <w:r w:rsidRPr="00181FCD">
        <w:t>246.</w:t>
      </w:r>
      <w:r w:rsidRPr="00181FCD">
        <w:tab/>
        <w:t>En</w:t>
      </w:r>
      <w:r w:rsidR="00F373A3" w:rsidRPr="00181FCD">
        <w:t xml:space="preserve"> </w:t>
      </w:r>
      <w:r w:rsidRPr="00181FCD">
        <w:t>la</w:t>
      </w:r>
      <w:r w:rsidR="00F373A3" w:rsidRPr="00181FCD">
        <w:t xml:space="preserve"> </w:t>
      </w:r>
      <w:r w:rsidRPr="00181FCD">
        <w:t>Academia</w:t>
      </w:r>
      <w:r w:rsidR="00F373A3" w:rsidRPr="00181FCD">
        <w:t xml:space="preserve"> </w:t>
      </w:r>
      <w:r w:rsidRPr="00181FCD">
        <w:t>del</w:t>
      </w:r>
      <w:r w:rsidR="00F373A3" w:rsidRPr="00181FCD">
        <w:t xml:space="preserve"> </w:t>
      </w:r>
      <w:r w:rsidRPr="00181FCD">
        <w:t>Ministerio</w:t>
      </w:r>
      <w:r w:rsidR="00F373A3" w:rsidRPr="00181FCD">
        <w:t xml:space="preserve"> </w:t>
      </w:r>
      <w:r w:rsidRPr="00181FCD">
        <w:t>del</w:t>
      </w:r>
      <w:r w:rsidR="00F373A3" w:rsidRPr="00181FCD">
        <w:t xml:space="preserve"> </w:t>
      </w:r>
      <w:r w:rsidRPr="00181FCD">
        <w:t>Interior</w:t>
      </w:r>
      <w:r w:rsidR="00F373A3" w:rsidRPr="00181FCD">
        <w:t xml:space="preserve"> </w:t>
      </w:r>
      <w:r w:rsidRPr="00181FCD">
        <w:t>se</w:t>
      </w:r>
      <w:r w:rsidR="00F373A3" w:rsidRPr="00181FCD">
        <w:t xml:space="preserve"> </w:t>
      </w:r>
      <w:r w:rsidRPr="00181FCD">
        <w:t>imparte</w:t>
      </w:r>
      <w:r w:rsidR="00F373A3" w:rsidRPr="00181FCD">
        <w:t xml:space="preserve"> </w:t>
      </w:r>
      <w:r w:rsidRPr="00181FCD">
        <w:t>formación</w:t>
      </w:r>
      <w:r w:rsidR="00F373A3" w:rsidRPr="00181FCD">
        <w:t xml:space="preserve"> </w:t>
      </w:r>
      <w:r w:rsidRPr="00181FCD">
        <w:t>sobre</w:t>
      </w:r>
      <w:r w:rsidR="00F373A3" w:rsidRPr="00181FCD">
        <w:t xml:space="preserve"> </w:t>
      </w:r>
      <w:r w:rsidRPr="00181FCD">
        <w:t>el</w:t>
      </w:r>
      <w:r w:rsidR="00F373A3" w:rsidRPr="00181FCD">
        <w:t xml:space="preserve"> </w:t>
      </w:r>
      <w:r w:rsidRPr="00181FCD">
        <w:t>tema</w:t>
      </w:r>
      <w:r w:rsidR="00166848" w:rsidRPr="00181FCD">
        <w:t xml:space="preserve"> </w:t>
      </w:r>
      <w:r w:rsidR="00F373A3" w:rsidRPr="00181FCD">
        <w:t>"</w:t>
      </w:r>
      <w:r w:rsidRPr="00181FCD">
        <w:t>Gestión</w:t>
      </w:r>
      <w:r w:rsidR="00F373A3" w:rsidRPr="00181FCD">
        <w:t>"</w:t>
      </w:r>
      <w:r w:rsidRPr="00181FCD">
        <w:t>.</w:t>
      </w:r>
      <w:r w:rsidR="00F373A3" w:rsidRPr="00181FCD">
        <w:t xml:space="preserve"> </w:t>
      </w:r>
      <w:r w:rsidRPr="00181FCD">
        <w:t>Esta</w:t>
      </w:r>
      <w:r w:rsidR="00F373A3" w:rsidRPr="00181FCD">
        <w:t xml:space="preserve"> </w:t>
      </w:r>
      <w:r w:rsidRPr="00181FCD">
        <w:t>formación</w:t>
      </w:r>
      <w:r w:rsidR="00F373A3" w:rsidRPr="00181FCD">
        <w:t xml:space="preserve"> </w:t>
      </w:r>
      <w:r w:rsidRPr="00181FCD">
        <w:t>abarca</w:t>
      </w:r>
      <w:r w:rsidR="00F373A3" w:rsidRPr="00181FCD">
        <w:t xml:space="preserve"> </w:t>
      </w:r>
      <w:r w:rsidRPr="00181FCD">
        <w:t>tácticas</w:t>
      </w:r>
      <w:r w:rsidR="00F373A3" w:rsidRPr="00181FCD">
        <w:t xml:space="preserve"> </w:t>
      </w:r>
      <w:r w:rsidRPr="00181FCD">
        <w:t>para</w:t>
      </w:r>
      <w:r w:rsidR="00F373A3" w:rsidRPr="00181FCD">
        <w:t xml:space="preserve"> </w:t>
      </w:r>
      <w:r w:rsidRPr="00181FCD">
        <w:t>combatir</w:t>
      </w:r>
      <w:r w:rsidR="00F373A3" w:rsidRPr="00181FCD">
        <w:t xml:space="preserve"> </w:t>
      </w:r>
      <w:r w:rsidRPr="00181FCD">
        <w:t>el</w:t>
      </w:r>
      <w:r w:rsidR="00F373A3" w:rsidRPr="00181FCD">
        <w:t xml:space="preserve"> </w:t>
      </w:r>
      <w:r w:rsidRPr="00181FCD">
        <w:t>terrorismo,</w:t>
      </w:r>
      <w:r w:rsidR="00F373A3" w:rsidRPr="00181FCD">
        <w:t xml:space="preserve"> </w:t>
      </w:r>
      <w:r w:rsidRPr="00181FCD">
        <w:t>protección</w:t>
      </w:r>
      <w:r w:rsidR="00F373A3" w:rsidRPr="00181FCD">
        <w:t xml:space="preserve"> </w:t>
      </w:r>
      <w:r w:rsidRPr="00181FCD">
        <w:t>de</w:t>
      </w:r>
      <w:r w:rsidR="00F373A3" w:rsidRPr="00181FCD">
        <w:t xml:space="preserve"> </w:t>
      </w:r>
      <w:r w:rsidRPr="00181FCD">
        <w:t>los</w:t>
      </w:r>
      <w:r w:rsidR="00F373A3" w:rsidRPr="00181FCD">
        <w:t xml:space="preserve"> </w:t>
      </w:r>
      <w:r w:rsidRPr="00181FCD">
        <w:t>derechos</w:t>
      </w:r>
      <w:r w:rsidR="00F373A3" w:rsidRPr="00181FCD">
        <w:t xml:space="preserve"> </w:t>
      </w:r>
      <w:r w:rsidRPr="00181FCD">
        <w:t>humanos</w:t>
      </w:r>
      <w:r w:rsidR="00F373A3" w:rsidRPr="00181FCD">
        <w:t xml:space="preserve"> </w:t>
      </w:r>
      <w:r w:rsidRPr="00181FCD">
        <w:t>y</w:t>
      </w:r>
      <w:r w:rsidR="00F373A3" w:rsidRPr="00181FCD">
        <w:t xml:space="preserve"> </w:t>
      </w:r>
      <w:r w:rsidRPr="00181FCD">
        <w:t>participación</w:t>
      </w:r>
      <w:r w:rsidR="00F373A3" w:rsidRPr="00181FCD">
        <w:t xml:space="preserve"> </w:t>
      </w:r>
      <w:r w:rsidRPr="00181FCD">
        <w:t>de</w:t>
      </w:r>
      <w:r w:rsidR="00F373A3" w:rsidRPr="00181FCD">
        <w:t xml:space="preserve"> </w:t>
      </w:r>
      <w:r w:rsidRPr="00181FCD">
        <w:t>la</w:t>
      </w:r>
      <w:r w:rsidR="00F373A3" w:rsidRPr="00181FCD">
        <w:t xml:space="preserve"> </w:t>
      </w:r>
      <w:r w:rsidRPr="00181FCD">
        <w:t>sociedad.</w:t>
      </w:r>
    </w:p>
    <w:p w:rsidR="001937F4" w:rsidRPr="00181FCD" w:rsidRDefault="002C541C" w:rsidP="002C541C">
      <w:pPr>
        <w:pStyle w:val="H1G"/>
      </w:pPr>
      <w:r w:rsidRPr="00181FCD">
        <w:tab/>
      </w:r>
      <w:r w:rsidRPr="00181FCD">
        <w:tab/>
      </w:r>
      <w:r w:rsidR="001937F4" w:rsidRPr="00181FCD">
        <w:t>Información</w:t>
      </w:r>
      <w:r w:rsidR="00F373A3" w:rsidRPr="00181FCD">
        <w:t xml:space="preserve"> </w:t>
      </w:r>
      <w:r w:rsidR="001937F4" w:rsidRPr="00181FCD">
        <w:t>general</w:t>
      </w:r>
      <w:r w:rsidR="00F373A3" w:rsidRPr="00181FCD">
        <w:t xml:space="preserve"> </w:t>
      </w:r>
      <w:r w:rsidR="001937F4" w:rsidRPr="00181FCD">
        <w:t>sobre</w:t>
      </w:r>
      <w:r w:rsidR="00F373A3" w:rsidRPr="00181FCD">
        <w:t xml:space="preserve"> </w:t>
      </w:r>
      <w:r w:rsidR="001937F4" w:rsidRPr="00181FCD">
        <w:t>otras</w:t>
      </w:r>
      <w:r w:rsidR="00F373A3" w:rsidRPr="00181FCD">
        <w:t xml:space="preserve"> </w:t>
      </w:r>
      <w:r w:rsidR="001937F4" w:rsidRPr="00181FCD">
        <w:t>medidas</w:t>
      </w:r>
      <w:r w:rsidR="00F373A3" w:rsidRPr="00181FCD">
        <w:t xml:space="preserve"> </w:t>
      </w:r>
      <w:r w:rsidR="001937F4" w:rsidRPr="00181FCD">
        <w:t>y</w:t>
      </w:r>
      <w:r w:rsidR="00F373A3" w:rsidRPr="00181FCD">
        <w:t xml:space="preserve"> </w:t>
      </w:r>
      <w:r w:rsidR="001937F4" w:rsidRPr="00181FCD">
        <w:t>acontecimientos</w:t>
      </w:r>
      <w:r w:rsidR="00F373A3" w:rsidRPr="00181FCD">
        <w:t xml:space="preserve"> </w:t>
      </w:r>
      <w:r w:rsidR="001937F4" w:rsidRPr="00181FCD">
        <w:t>relativos</w:t>
      </w:r>
      <w:r w:rsidR="00F373A3" w:rsidRPr="00181FCD">
        <w:t xml:space="preserve"> </w:t>
      </w:r>
      <w:r w:rsidR="00B36DCD" w:rsidRPr="00181FCD">
        <w:br/>
      </w:r>
      <w:r w:rsidR="001937F4" w:rsidRPr="00181FCD">
        <w:t>a</w:t>
      </w:r>
      <w:r w:rsidR="00F373A3" w:rsidRPr="00181FCD">
        <w:t xml:space="preserve"> </w:t>
      </w:r>
      <w:r w:rsidR="001937F4" w:rsidRPr="00181FCD">
        <w:t>la</w:t>
      </w:r>
      <w:r w:rsidR="00F373A3" w:rsidRPr="00181FCD">
        <w:t xml:space="preserve"> </w:t>
      </w:r>
      <w:r w:rsidR="001937F4" w:rsidRPr="00181FCD">
        <w:t>aplicación</w:t>
      </w:r>
      <w:r w:rsidR="00F373A3" w:rsidRPr="00181FCD">
        <w:t xml:space="preserve"> </w:t>
      </w:r>
      <w:r w:rsidR="001937F4" w:rsidRPr="00181FCD">
        <w:t>de</w:t>
      </w:r>
      <w:r w:rsidR="00F373A3" w:rsidRPr="00181FCD">
        <w:t xml:space="preserve"> </w:t>
      </w:r>
      <w:r w:rsidR="001937F4" w:rsidRPr="00181FCD">
        <w:t>la</w:t>
      </w:r>
      <w:r w:rsidR="00F373A3" w:rsidRPr="00181FCD">
        <w:t xml:space="preserve"> </w:t>
      </w:r>
      <w:r w:rsidR="001937F4" w:rsidRPr="00181FCD">
        <w:t>Convención</w:t>
      </w:r>
      <w:r w:rsidR="00F373A3" w:rsidRPr="00181FCD">
        <w:t xml:space="preserve"> </w:t>
      </w:r>
      <w:r w:rsidR="001937F4" w:rsidRPr="00181FCD">
        <w:t>en</w:t>
      </w:r>
      <w:r w:rsidR="00F373A3" w:rsidRPr="00181FCD">
        <w:t xml:space="preserve"> </w:t>
      </w:r>
      <w:r w:rsidR="001937F4" w:rsidRPr="00181FCD">
        <w:t>el</w:t>
      </w:r>
      <w:r w:rsidR="00F373A3" w:rsidRPr="00181FCD">
        <w:t xml:space="preserve"> </w:t>
      </w:r>
      <w:r w:rsidR="001937F4" w:rsidRPr="00181FCD">
        <w:t>Estado</w:t>
      </w:r>
      <w:r w:rsidR="00F373A3" w:rsidRPr="00181FCD">
        <w:t xml:space="preserve"> </w:t>
      </w:r>
      <w:r w:rsidR="001937F4" w:rsidRPr="00181FCD">
        <w:t>parte</w:t>
      </w:r>
    </w:p>
    <w:p w:rsidR="001937F4" w:rsidRPr="00181FCD" w:rsidRDefault="002C541C" w:rsidP="002C541C">
      <w:pPr>
        <w:pStyle w:val="H23G"/>
      </w:pPr>
      <w:r w:rsidRPr="00181FCD">
        <w:tab/>
      </w:r>
      <w:r w:rsidRPr="00181FCD">
        <w:tab/>
      </w:r>
      <w:r w:rsidR="001937F4" w:rsidRPr="00181FCD">
        <w:t>Respuesta</w:t>
      </w:r>
      <w:r w:rsidR="00F373A3" w:rsidRPr="00181FCD">
        <w:t xml:space="preserve"> </w:t>
      </w:r>
      <w:r w:rsidR="001937F4" w:rsidRPr="00181FCD">
        <w:t>a</w:t>
      </w:r>
      <w:r w:rsidR="00F373A3" w:rsidRPr="00181FCD">
        <w:t xml:space="preserve"> </w:t>
      </w:r>
      <w:r w:rsidR="001937F4" w:rsidRPr="00181FCD">
        <w:t>las</w:t>
      </w:r>
      <w:r w:rsidR="00F373A3" w:rsidRPr="00181FCD">
        <w:t xml:space="preserve"> </w:t>
      </w:r>
      <w:r w:rsidR="001937F4" w:rsidRPr="00181FCD">
        <w:t>cuestiones</w:t>
      </w:r>
      <w:r w:rsidR="00F373A3" w:rsidRPr="00181FCD">
        <w:t xml:space="preserve"> </w:t>
      </w:r>
      <w:r w:rsidR="001937F4" w:rsidRPr="00181FCD">
        <w:t>planteadas</w:t>
      </w:r>
      <w:r w:rsidR="00F373A3" w:rsidRPr="00181FCD">
        <w:t xml:space="preserve"> </w:t>
      </w:r>
      <w:r w:rsidR="001937F4" w:rsidRPr="00181FCD">
        <w:t>en</w:t>
      </w:r>
      <w:r w:rsidR="00F373A3" w:rsidRPr="00181FCD">
        <w:t xml:space="preserve"> </w:t>
      </w:r>
      <w:r w:rsidR="001937F4" w:rsidRPr="00181FCD">
        <w:t>el</w:t>
      </w:r>
      <w:r w:rsidR="00F373A3" w:rsidRPr="00181FCD">
        <w:t xml:space="preserve"> </w:t>
      </w:r>
      <w:r w:rsidR="001937F4" w:rsidRPr="00181FCD">
        <w:t>párrafo</w:t>
      </w:r>
      <w:r w:rsidR="00F373A3" w:rsidRPr="00181FCD">
        <w:t xml:space="preserve"> </w:t>
      </w:r>
      <w:r w:rsidR="001937F4" w:rsidRPr="00181FCD">
        <w:t>30</w:t>
      </w:r>
      <w:r w:rsidR="00F373A3" w:rsidRPr="00181FCD">
        <w:t xml:space="preserve"> </w:t>
      </w:r>
      <w:r w:rsidR="001937F4" w:rsidRPr="00181FCD">
        <w:t>de</w:t>
      </w:r>
      <w:r w:rsidR="00F373A3" w:rsidRPr="00181FCD">
        <w:t xml:space="preserve"> </w:t>
      </w:r>
      <w:r w:rsidR="001937F4" w:rsidRPr="00181FCD">
        <w:t>la</w:t>
      </w:r>
      <w:r w:rsidR="00F373A3" w:rsidRPr="00181FCD">
        <w:t xml:space="preserve"> </w:t>
      </w:r>
      <w:r w:rsidR="001937F4" w:rsidRPr="00181FCD">
        <w:t>lista</w:t>
      </w:r>
      <w:r w:rsidR="00F373A3" w:rsidRPr="00181FCD">
        <w:t xml:space="preserve"> </w:t>
      </w:r>
      <w:r w:rsidR="001937F4" w:rsidRPr="00181FCD">
        <w:t>de</w:t>
      </w:r>
      <w:r w:rsidR="00F373A3" w:rsidRPr="00181FCD">
        <w:t xml:space="preserve"> </w:t>
      </w:r>
      <w:r w:rsidR="001937F4" w:rsidRPr="00181FCD">
        <w:t>cuestiones</w:t>
      </w:r>
    </w:p>
    <w:p w:rsidR="001937F4" w:rsidRPr="00181FCD" w:rsidRDefault="001937F4" w:rsidP="00347B20">
      <w:pPr>
        <w:pStyle w:val="SingleTxtG"/>
        <w:suppressAutoHyphens/>
      </w:pPr>
      <w:r w:rsidRPr="00181FCD">
        <w:t>247.</w:t>
      </w:r>
      <w:r w:rsidRPr="00181FCD">
        <w:tab/>
        <w:t>En</w:t>
      </w:r>
      <w:r w:rsidR="00F373A3" w:rsidRPr="00181FCD">
        <w:t xml:space="preserve"> </w:t>
      </w:r>
      <w:r w:rsidRPr="00181FCD">
        <w:t>2013,</w:t>
      </w:r>
      <w:r w:rsidR="00F373A3" w:rsidRPr="00181FCD">
        <w:t xml:space="preserve"> </w:t>
      </w:r>
      <w:r w:rsidRPr="00181FCD">
        <w:t>por</w:t>
      </w:r>
      <w:r w:rsidR="00F373A3" w:rsidRPr="00181FCD">
        <w:t xml:space="preserve"> </w:t>
      </w:r>
      <w:r w:rsidRPr="00181FCD">
        <w:t>decisión</w:t>
      </w:r>
      <w:r w:rsidR="00F373A3" w:rsidRPr="00181FCD">
        <w:t xml:space="preserve"> </w:t>
      </w:r>
      <w:r w:rsidRPr="00181FCD">
        <w:t>del</w:t>
      </w:r>
      <w:r w:rsidR="00F373A3" w:rsidRPr="00181FCD">
        <w:t xml:space="preserve"> </w:t>
      </w:r>
      <w:r w:rsidRPr="00181FCD">
        <w:t>Consejo</w:t>
      </w:r>
      <w:r w:rsidR="00F373A3" w:rsidRPr="00181FCD">
        <w:t xml:space="preserve"> </w:t>
      </w:r>
      <w:r w:rsidRPr="00181FCD">
        <w:t>de</w:t>
      </w:r>
      <w:r w:rsidR="00F373A3" w:rsidRPr="00181FCD">
        <w:t xml:space="preserve"> </w:t>
      </w:r>
      <w:r w:rsidRPr="00181FCD">
        <w:t>Ministros,</w:t>
      </w:r>
      <w:r w:rsidR="00F373A3" w:rsidRPr="00181FCD">
        <w:t xml:space="preserve"> </w:t>
      </w:r>
      <w:r w:rsidRPr="00181FCD">
        <w:t>se</w:t>
      </w:r>
      <w:r w:rsidR="00F373A3" w:rsidRPr="00181FCD">
        <w:t xml:space="preserve"> </w:t>
      </w:r>
      <w:r w:rsidRPr="00181FCD">
        <w:t>creó</w:t>
      </w:r>
      <w:r w:rsidR="00F373A3" w:rsidRPr="00181FCD">
        <w:t xml:space="preserve"> </w:t>
      </w:r>
      <w:r w:rsidRPr="00181FCD">
        <w:t>el</w:t>
      </w:r>
      <w:r w:rsidR="00F373A3" w:rsidRPr="00181FCD">
        <w:t xml:space="preserve"> </w:t>
      </w:r>
      <w:r w:rsidRPr="00181FCD">
        <w:t>Mecanismo</w:t>
      </w:r>
      <w:r w:rsidR="00F373A3" w:rsidRPr="00181FCD">
        <w:t xml:space="preserve"> </w:t>
      </w:r>
      <w:r w:rsidRPr="00181FCD">
        <w:t>Nacional</w:t>
      </w:r>
      <w:r w:rsidR="00F373A3" w:rsidRPr="00181FCD">
        <w:t xml:space="preserve"> </w:t>
      </w:r>
      <w:r w:rsidRPr="00181FCD">
        <w:t>de</w:t>
      </w:r>
      <w:r w:rsidR="00F373A3" w:rsidRPr="00181FCD">
        <w:t xml:space="preserve"> </w:t>
      </w:r>
      <w:r w:rsidRPr="00181FCD">
        <w:t>Coordinación</w:t>
      </w:r>
      <w:r w:rsidR="00F373A3" w:rsidRPr="00181FCD">
        <w:t xml:space="preserve"> </w:t>
      </w:r>
      <w:r w:rsidRPr="00181FCD">
        <w:t>para</w:t>
      </w:r>
      <w:r w:rsidR="00F373A3" w:rsidRPr="00181FCD">
        <w:t xml:space="preserve"> </w:t>
      </w:r>
      <w:r w:rsidRPr="00181FCD">
        <w:t>los</w:t>
      </w:r>
      <w:r w:rsidR="00F373A3" w:rsidRPr="00181FCD">
        <w:t xml:space="preserve"> </w:t>
      </w:r>
      <w:r w:rsidRPr="00181FCD">
        <w:t>Derechos</w:t>
      </w:r>
      <w:r w:rsidR="00F373A3" w:rsidRPr="00181FCD">
        <w:t xml:space="preserve"> </w:t>
      </w:r>
      <w:r w:rsidRPr="00181FCD">
        <w:t>Humanos.</w:t>
      </w:r>
      <w:r w:rsidR="00F373A3" w:rsidRPr="00181FCD">
        <w:t xml:space="preserve"> </w:t>
      </w:r>
      <w:r w:rsidRPr="00181FCD">
        <w:t>Su</w:t>
      </w:r>
      <w:r w:rsidR="00F373A3" w:rsidRPr="00181FCD">
        <w:t xml:space="preserve"> </w:t>
      </w:r>
      <w:r w:rsidRPr="00181FCD">
        <w:t>objetivo</w:t>
      </w:r>
      <w:r w:rsidR="00F373A3" w:rsidRPr="00181FCD">
        <w:t xml:space="preserve"> </w:t>
      </w:r>
      <w:r w:rsidRPr="00181FCD">
        <w:t>es</w:t>
      </w:r>
      <w:r w:rsidR="00F373A3" w:rsidRPr="00181FCD">
        <w:t xml:space="preserve"> </w:t>
      </w:r>
      <w:r w:rsidRPr="00181FCD">
        <w:t>mejorar</w:t>
      </w:r>
      <w:r w:rsidR="00F373A3" w:rsidRPr="00181FCD">
        <w:t xml:space="preserve"> </w:t>
      </w:r>
      <w:r w:rsidRPr="00181FCD">
        <w:t>la</w:t>
      </w:r>
      <w:r w:rsidR="00F373A3" w:rsidRPr="00181FCD">
        <w:t xml:space="preserve"> </w:t>
      </w:r>
      <w:r w:rsidRPr="00181FCD">
        <w:t>coordinación</w:t>
      </w:r>
      <w:r w:rsidR="00F373A3" w:rsidRPr="00181FCD">
        <w:t xml:space="preserve"> </w:t>
      </w:r>
      <w:r w:rsidRPr="00181FCD">
        <w:t>horizontal</w:t>
      </w:r>
      <w:r w:rsidR="00F373A3" w:rsidRPr="00181FCD">
        <w:t xml:space="preserve"> </w:t>
      </w:r>
      <w:r w:rsidRPr="00181FCD">
        <w:t>entre</w:t>
      </w:r>
      <w:r w:rsidR="00F373A3" w:rsidRPr="00181FCD">
        <w:t xml:space="preserve"> </w:t>
      </w:r>
      <w:r w:rsidRPr="00181FCD">
        <w:t>las</w:t>
      </w:r>
      <w:r w:rsidR="00F373A3" w:rsidRPr="00181FCD">
        <w:t xml:space="preserve"> </w:t>
      </w:r>
      <w:r w:rsidRPr="00181FCD">
        <w:t>autoridades</w:t>
      </w:r>
      <w:r w:rsidR="00F373A3" w:rsidRPr="00181FCD">
        <w:t xml:space="preserve"> </w:t>
      </w:r>
      <w:r w:rsidRPr="00181FCD">
        <w:t>públicas</w:t>
      </w:r>
      <w:r w:rsidR="00F373A3" w:rsidRPr="00181FCD">
        <w:t xml:space="preserve"> </w:t>
      </w:r>
      <w:r w:rsidRPr="00181FCD">
        <w:t>encargadas</w:t>
      </w:r>
      <w:r w:rsidR="00F373A3" w:rsidRPr="00181FCD">
        <w:t xml:space="preserve"> </w:t>
      </w:r>
      <w:r w:rsidRPr="00181FCD">
        <w:t>de</w:t>
      </w:r>
      <w:r w:rsidR="00F373A3" w:rsidRPr="00181FCD">
        <w:t xml:space="preserve"> </w:t>
      </w:r>
      <w:r w:rsidRPr="00181FCD">
        <w:t>las</w:t>
      </w:r>
      <w:r w:rsidR="00F373A3" w:rsidRPr="00181FCD">
        <w:t xml:space="preserve"> </w:t>
      </w:r>
      <w:r w:rsidRPr="00181FCD">
        <w:t>tareas</w:t>
      </w:r>
      <w:r w:rsidR="00F373A3" w:rsidRPr="00181FCD">
        <w:t xml:space="preserve"> </w:t>
      </w:r>
      <w:r w:rsidRPr="00181FCD">
        <w:t>derivadas</w:t>
      </w:r>
      <w:r w:rsidR="00F373A3" w:rsidRPr="00181FCD">
        <w:t xml:space="preserve"> </w:t>
      </w:r>
      <w:r w:rsidRPr="00181FCD">
        <w:t>de</w:t>
      </w:r>
      <w:r w:rsidR="00F373A3" w:rsidRPr="00181FCD">
        <w:t xml:space="preserve"> </w:t>
      </w:r>
      <w:r w:rsidRPr="00181FCD">
        <w:t>los</w:t>
      </w:r>
      <w:r w:rsidR="00F373A3" w:rsidRPr="00181FCD">
        <w:t xml:space="preserve"> </w:t>
      </w:r>
      <w:r w:rsidRPr="00181FCD">
        <w:t>compromisos</w:t>
      </w:r>
      <w:r w:rsidR="00F373A3" w:rsidRPr="00181FCD">
        <w:t xml:space="preserve"> </w:t>
      </w:r>
      <w:r w:rsidRPr="00181FCD">
        <w:t>asumidos</w:t>
      </w:r>
      <w:r w:rsidR="00F373A3" w:rsidRPr="00181FCD">
        <w:t xml:space="preserve"> </w:t>
      </w:r>
      <w:r w:rsidRPr="00181FCD">
        <w:t>por</w:t>
      </w:r>
      <w:r w:rsidR="00F373A3" w:rsidRPr="00181FCD">
        <w:t xml:space="preserve"> </w:t>
      </w:r>
      <w:r w:rsidRPr="00181FCD">
        <w:t>Bulgaria</w:t>
      </w:r>
      <w:r w:rsidR="00F373A3" w:rsidRPr="00181FCD">
        <w:t xml:space="preserve"> </w:t>
      </w:r>
      <w:r w:rsidRPr="00181FCD">
        <w:t>en</w:t>
      </w:r>
      <w:r w:rsidR="00F373A3" w:rsidRPr="00181FCD">
        <w:t xml:space="preserve"> </w:t>
      </w:r>
      <w:r w:rsidRPr="00181FCD">
        <w:t>virtud</w:t>
      </w:r>
      <w:r w:rsidR="00F373A3" w:rsidRPr="00181FCD">
        <w:t xml:space="preserve"> </w:t>
      </w:r>
      <w:r w:rsidRPr="00181FCD">
        <w:t>de</w:t>
      </w:r>
      <w:r w:rsidR="00F373A3" w:rsidRPr="00181FCD">
        <w:t xml:space="preserve"> </w:t>
      </w:r>
      <w:r w:rsidRPr="00181FCD">
        <w:t>los</w:t>
      </w:r>
      <w:r w:rsidR="00F373A3" w:rsidRPr="00181FCD">
        <w:t xml:space="preserve"> </w:t>
      </w:r>
      <w:r w:rsidRPr="00181FCD">
        <w:t>tratados</w:t>
      </w:r>
      <w:r w:rsidR="00F373A3" w:rsidRPr="00181FCD">
        <w:t xml:space="preserve"> </w:t>
      </w:r>
      <w:r w:rsidRPr="00181FCD">
        <w:t>internacionales</w:t>
      </w:r>
      <w:r w:rsidR="00F373A3" w:rsidRPr="00181FCD">
        <w:t xml:space="preserve"> </w:t>
      </w:r>
      <w:r w:rsidRPr="00181FCD">
        <w:t>de</w:t>
      </w:r>
      <w:r w:rsidR="00F373A3" w:rsidRPr="00181FCD">
        <w:t xml:space="preserve"> </w:t>
      </w:r>
      <w:r w:rsidRPr="00181FCD">
        <w:t>derechos</w:t>
      </w:r>
      <w:r w:rsidR="00F373A3" w:rsidRPr="00181FCD">
        <w:t xml:space="preserve"> </w:t>
      </w:r>
      <w:r w:rsidRPr="00181FCD">
        <w:t>humanos</w:t>
      </w:r>
      <w:r w:rsidR="00F373A3" w:rsidRPr="00181FCD">
        <w:t xml:space="preserve"> </w:t>
      </w:r>
      <w:r w:rsidRPr="00181FCD">
        <w:t>y</w:t>
      </w:r>
      <w:r w:rsidR="00F373A3" w:rsidRPr="00181FCD">
        <w:t xml:space="preserve"> </w:t>
      </w:r>
      <w:r w:rsidRPr="00181FCD">
        <w:t>otros</w:t>
      </w:r>
      <w:r w:rsidR="00F373A3" w:rsidRPr="00181FCD">
        <w:t xml:space="preserve"> </w:t>
      </w:r>
      <w:r w:rsidRPr="00181FCD">
        <w:t>instrumentos.</w:t>
      </w:r>
      <w:r w:rsidR="00F373A3" w:rsidRPr="00181FCD">
        <w:t xml:space="preserve"> </w:t>
      </w:r>
      <w:r w:rsidRPr="00181FCD">
        <w:t>El</w:t>
      </w:r>
      <w:r w:rsidR="00F373A3" w:rsidRPr="00181FCD">
        <w:t xml:space="preserve"> </w:t>
      </w:r>
      <w:r w:rsidRPr="00181FCD">
        <w:t>Mecanismo</w:t>
      </w:r>
      <w:r w:rsidR="00F373A3" w:rsidRPr="00181FCD">
        <w:t xml:space="preserve"> </w:t>
      </w:r>
      <w:r w:rsidRPr="00181FCD">
        <w:t>estudia</w:t>
      </w:r>
      <w:r w:rsidR="00F373A3" w:rsidRPr="00181FCD">
        <w:t xml:space="preserve"> </w:t>
      </w:r>
      <w:r w:rsidRPr="00181FCD">
        <w:t>la</w:t>
      </w:r>
      <w:r w:rsidR="00F373A3" w:rsidRPr="00181FCD">
        <w:t xml:space="preserve"> </w:t>
      </w:r>
      <w:r w:rsidRPr="00181FCD">
        <w:t>conveniencia</w:t>
      </w:r>
      <w:r w:rsidR="00F373A3" w:rsidRPr="00181FCD">
        <w:t xml:space="preserve"> </w:t>
      </w:r>
      <w:r w:rsidRPr="00181FCD">
        <w:t>de</w:t>
      </w:r>
      <w:r w:rsidR="00F373A3" w:rsidRPr="00181FCD">
        <w:t xml:space="preserve"> </w:t>
      </w:r>
      <w:r w:rsidRPr="00181FCD">
        <w:t>firmar</w:t>
      </w:r>
      <w:r w:rsidR="00F373A3" w:rsidRPr="00181FCD">
        <w:t xml:space="preserve"> </w:t>
      </w:r>
      <w:r w:rsidRPr="00181FCD">
        <w:t>nuevos</w:t>
      </w:r>
      <w:r w:rsidR="00F373A3" w:rsidRPr="00181FCD">
        <w:t xml:space="preserve"> </w:t>
      </w:r>
      <w:r w:rsidRPr="00181FCD">
        <w:t>acuerdos</w:t>
      </w:r>
      <w:r w:rsidR="00F373A3" w:rsidRPr="00181FCD">
        <w:t xml:space="preserve"> </w:t>
      </w:r>
      <w:r w:rsidRPr="00181FCD">
        <w:t>internacionales</w:t>
      </w:r>
      <w:r w:rsidR="00F373A3" w:rsidRPr="00181FCD">
        <w:t xml:space="preserve"> </w:t>
      </w:r>
      <w:r w:rsidRPr="00181FCD">
        <w:t>de</w:t>
      </w:r>
      <w:r w:rsidR="00F373A3" w:rsidRPr="00181FCD">
        <w:t xml:space="preserve"> </w:t>
      </w:r>
      <w:r w:rsidRPr="00181FCD">
        <w:t>derechos</w:t>
      </w:r>
      <w:r w:rsidR="00F373A3" w:rsidRPr="00181FCD">
        <w:t xml:space="preserve"> </w:t>
      </w:r>
      <w:r w:rsidRPr="00181FCD">
        <w:t>humanos</w:t>
      </w:r>
      <w:r w:rsidR="00F373A3" w:rsidRPr="00181FCD">
        <w:t xml:space="preserve"> </w:t>
      </w:r>
      <w:r w:rsidRPr="00181FCD">
        <w:t>y</w:t>
      </w:r>
      <w:r w:rsidR="00F373A3" w:rsidRPr="00181FCD">
        <w:t xml:space="preserve"> </w:t>
      </w:r>
      <w:r w:rsidRPr="00181FCD">
        <w:t>adherirse</w:t>
      </w:r>
      <w:r w:rsidR="00F373A3" w:rsidRPr="00181FCD">
        <w:t xml:space="preserve"> </w:t>
      </w:r>
      <w:r w:rsidRPr="00181FCD">
        <w:t>a</w:t>
      </w:r>
      <w:r w:rsidR="00F373A3" w:rsidRPr="00181FCD">
        <w:t xml:space="preserve"> </w:t>
      </w:r>
      <w:r w:rsidRPr="00181FCD">
        <w:t>ellos,</w:t>
      </w:r>
      <w:r w:rsidR="00F373A3" w:rsidRPr="00181FCD">
        <w:t xml:space="preserve"> </w:t>
      </w:r>
      <w:r w:rsidRPr="00181FCD">
        <w:t>y</w:t>
      </w:r>
      <w:r w:rsidR="00F373A3" w:rsidRPr="00181FCD">
        <w:t xml:space="preserve"> </w:t>
      </w:r>
      <w:r w:rsidRPr="00181FCD">
        <w:t>recomienda</w:t>
      </w:r>
      <w:r w:rsidR="00F373A3" w:rsidRPr="00181FCD">
        <w:t xml:space="preserve"> </w:t>
      </w:r>
      <w:r w:rsidRPr="00181FCD">
        <w:t>modificaciones</w:t>
      </w:r>
      <w:r w:rsidR="00F373A3" w:rsidRPr="00181FCD">
        <w:t xml:space="preserve"> </w:t>
      </w:r>
      <w:r w:rsidRPr="00181FCD">
        <w:t>en</w:t>
      </w:r>
      <w:r w:rsidR="00F373A3" w:rsidRPr="00181FCD">
        <w:t xml:space="preserve"> </w:t>
      </w:r>
      <w:r w:rsidRPr="00181FCD">
        <w:t>la</w:t>
      </w:r>
      <w:r w:rsidR="00F373A3" w:rsidRPr="00181FCD">
        <w:t xml:space="preserve"> </w:t>
      </w:r>
      <w:r w:rsidRPr="00181FCD">
        <w:t>legislación</w:t>
      </w:r>
      <w:r w:rsidR="00F373A3" w:rsidRPr="00181FCD">
        <w:t xml:space="preserve"> </w:t>
      </w:r>
      <w:r w:rsidRPr="00181FCD">
        <w:t>interna</w:t>
      </w:r>
      <w:r w:rsidR="00F373A3" w:rsidRPr="00181FCD">
        <w:t xml:space="preserve"> </w:t>
      </w:r>
      <w:r w:rsidRPr="00181FCD">
        <w:t>y</w:t>
      </w:r>
      <w:r w:rsidR="00F373A3" w:rsidRPr="00181FCD">
        <w:t xml:space="preserve"> </w:t>
      </w:r>
      <w:r w:rsidRPr="00181FCD">
        <w:t>en</w:t>
      </w:r>
      <w:r w:rsidR="00F373A3" w:rsidRPr="00181FCD">
        <w:t xml:space="preserve"> </w:t>
      </w:r>
      <w:r w:rsidRPr="00181FCD">
        <w:t>las</w:t>
      </w:r>
      <w:r w:rsidR="00F373A3" w:rsidRPr="00181FCD">
        <w:t xml:space="preserve"> </w:t>
      </w:r>
      <w:r w:rsidRPr="00181FCD">
        <w:t>prácticas</w:t>
      </w:r>
      <w:r w:rsidR="00F373A3" w:rsidRPr="00181FCD">
        <w:t xml:space="preserve"> </w:t>
      </w:r>
      <w:r w:rsidRPr="00181FCD">
        <w:t>administrativas.</w:t>
      </w:r>
      <w:r w:rsidR="00F373A3" w:rsidRPr="00181FCD">
        <w:t xml:space="preserve"> </w:t>
      </w:r>
      <w:r w:rsidRPr="00181FCD">
        <w:t>El</w:t>
      </w:r>
      <w:r w:rsidR="00F373A3" w:rsidRPr="00181FCD">
        <w:t xml:space="preserve"> </w:t>
      </w:r>
      <w:r w:rsidRPr="00181FCD">
        <w:t>Ministro</w:t>
      </w:r>
      <w:r w:rsidR="00F373A3" w:rsidRPr="00181FCD">
        <w:t xml:space="preserve"> </w:t>
      </w:r>
      <w:r w:rsidRPr="00181FCD">
        <w:t>de</w:t>
      </w:r>
      <w:r w:rsidR="00F373A3" w:rsidRPr="00181FCD">
        <w:t xml:space="preserve"> </w:t>
      </w:r>
      <w:r w:rsidRPr="00181FCD">
        <w:t>Relaciones</w:t>
      </w:r>
      <w:r w:rsidR="00F373A3" w:rsidRPr="00181FCD">
        <w:t xml:space="preserve"> </w:t>
      </w:r>
      <w:r w:rsidRPr="00181FCD">
        <w:t>Exteriores</w:t>
      </w:r>
      <w:r w:rsidR="00F373A3" w:rsidRPr="00181FCD">
        <w:t xml:space="preserve"> </w:t>
      </w:r>
      <w:r w:rsidRPr="00181FCD">
        <w:t>preside</w:t>
      </w:r>
      <w:r w:rsidR="00F373A3" w:rsidRPr="00181FCD">
        <w:t xml:space="preserve"> </w:t>
      </w:r>
      <w:r w:rsidRPr="00181FCD">
        <w:t>dicho</w:t>
      </w:r>
      <w:r w:rsidR="00F373A3" w:rsidRPr="00181FCD">
        <w:t xml:space="preserve"> </w:t>
      </w:r>
      <w:r w:rsidRPr="00181FCD">
        <w:t>mecanismo,</w:t>
      </w:r>
      <w:r w:rsidR="00F373A3" w:rsidRPr="00181FCD">
        <w:t xml:space="preserve"> </w:t>
      </w:r>
      <w:r w:rsidRPr="00181FCD">
        <w:t>cuyos</w:t>
      </w:r>
      <w:r w:rsidR="00F373A3" w:rsidRPr="00181FCD">
        <w:t xml:space="preserve"> </w:t>
      </w:r>
      <w:r w:rsidRPr="00181FCD">
        <w:t>miembros</w:t>
      </w:r>
      <w:r w:rsidR="00F373A3" w:rsidRPr="00181FCD">
        <w:t xml:space="preserve"> </w:t>
      </w:r>
      <w:r w:rsidRPr="00181FCD">
        <w:t>son</w:t>
      </w:r>
      <w:r w:rsidR="00F373A3" w:rsidRPr="00181FCD">
        <w:t xml:space="preserve"> </w:t>
      </w:r>
      <w:r w:rsidRPr="00181FCD">
        <w:t>ministros</w:t>
      </w:r>
      <w:r w:rsidR="00F373A3" w:rsidRPr="00181FCD">
        <w:t xml:space="preserve"> </w:t>
      </w:r>
      <w:r w:rsidRPr="00181FCD">
        <w:t>y</w:t>
      </w:r>
      <w:r w:rsidR="00F373A3" w:rsidRPr="00181FCD">
        <w:t xml:space="preserve"> </w:t>
      </w:r>
      <w:r w:rsidRPr="00181FCD">
        <w:t>responsables</w:t>
      </w:r>
      <w:r w:rsidR="00F373A3" w:rsidRPr="00181FCD">
        <w:t xml:space="preserve"> </w:t>
      </w:r>
      <w:r w:rsidRPr="00181FCD">
        <w:t>de</w:t>
      </w:r>
      <w:r w:rsidR="00F373A3" w:rsidRPr="00181FCD">
        <w:t xml:space="preserve"> </w:t>
      </w:r>
      <w:r w:rsidRPr="00181FCD">
        <w:t>organismos</w:t>
      </w:r>
      <w:r w:rsidR="00F373A3" w:rsidRPr="00181FCD">
        <w:t xml:space="preserve"> </w:t>
      </w:r>
      <w:r w:rsidRPr="00181FCD">
        <w:t>estatales</w:t>
      </w:r>
      <w:r w:rsidR="00F373A3" w:rsidRPr="00181FCD">
        <w:t xml:space="preserve"> </w:t>
      </w:r>
      <w:r w:rsidRPr="00181FCD">
        <w:t>e</w:t>
      </w:r>
      <w:r w:rsidR="00F373A3" w:rsidRPr="00181FCD">
        <w:t xml:space="preserve"> </w:t>
      </w:r>
      <w:r w:rsidRPr="00181FCD">
        <w:t>instituciones</w:t>
      </w:r>
      <w:r w:rsidR="00F373A3" w:rsidRPr="00181FCD">
        <w:t xml:space="preserve"> </w:t>
      </w:r>
      <w:r w:rsidRPr="00181FCD">
        <w:t>independientes</w:t>
      </w:r>
      <w:r w:rsidR="00F373A3" w:rsidRPr="00181FCD">
        <w:t xml:space="preserve"> </w:t>
      </w:r>
      <w:r w:rsidRPr="00181FCD">
        <w:t>que</w:t>
      </w:r>
      <w:r w:rsidR="00F373A3" w:rsidRPr="00181FCD">
        <w:t xml:space="preserve"> </w:t>
      </w:r>
      <w:r w:rsidRPr="00181FCD">
        <w:t>trabajan</w:t>
      </w:r>
      <w:r w:rsidR="00F373A3" w:rsidRPr="00181FCD">
        <w:t xml:space="preserve"> </w:t>
      </w:r>
      <w:r w:rsidRPr="00181FCD">
        <w:t>en</w:t>
      </w:r>
      <w:r w:rsidR="00F373A3" w:rsidRPr="00181FCD">
        <w:t xml:space="preserve"> </w:t>
      </w:r>
      <w:r w:rsidRPr="00181FCD">
        <w:t>temas</w:t>
      </w:r>
      <w:r w:rsidR="00F373A3" w:rsidRPr="00181FCD">
        <w:t xml:space="preserve"> </w:t>
      </w:r>
      <w:r w:rsidRPr="00181FCD">
        <w:t>relacionados</w:t>
      </w:r>
      <w:r w:rsidR="00F373A3" w:rsidRPr="00181FCD">
        <w:t xml:space="preserve"> </w:t>
      </w:r>
      <w:r w:rsidRPr="00181FCD">
        <w:t>con</w:t>
      </w:r>
      <w:r w:rsidR="00F373A3" w:rsidRPr="00181FCD">
        <w:t xml:space="preserve"> </w:t>
      </w:r>
      <w:r w:rsidRPr="00181FCD">
        <w:t>los</w:t>
      </w:r>
      <w:r w:rsidR="00F373A3" w:rsidRPr="00181FCD">
        <w:t xml:space="preserve"> </w:t>
      </w:r>
      <w:r w:rsidRPr="00181FCD">
        <w:t>derechos</w:t>
      </w:r>
      <w:r w:rsidR="00F373A3" w:rsidRPr="00181FCD">
        <w:t xml:space="preserve"> </w:t>
      </w:r>
      <w:r w:rsidRPr="00181FCD">
        <w:t>humanos.</w:t>
      </w:r>
      <w:r w:rsidR="00F373A3" w:rsidRPr="00181FCD">
        <w:t xml:space="preserve"> </w:t>
      </w:r>
      <w:r w:rsidRPr="00181FCD">
        <w:t>Las</w:t>
      </w:r>
      <w:r w:rsidR="00F373A3" w:rsidRPr="00181FCD">
        <w:t xml:space="preserve"> </w:t>
      </w:r>
      <w:r w:rsidRPr="00181FCD">
        <w:t>ONG</w:t>
      </w:r>
      <w:r w:rsidR="00F373A3" w:rsidRPr="00181FCD">
        <w:t xml:space="preserve"> </w:t>
      </w:r>
      <w:r w:rsidRPr="00181FCD">
        <w:t>también</w:t>
      </w:r>
      <w:r w:rsidR="00F373A3" w:rsidRPr="00181FCD">
        <w:t xml:space="preserve"> </w:t>
      </w:r>
      <w:r w:rsidRPr="00181FCD">
        <w:t>están</w:t>
      </w:r>
      <w:r w:rsidR="00F373A3" w:rsidRPr="00181FCD">
        <w:t xml:space="preserve"> </w:t>
      </w:r>
      <w:r w:rsidRPr="00181FCD">
        <w:t>representadas.</w:t>
      </w:r>
    </w:p>
    <w:p w:rsidR="001937F4" w:rsidRPr="00181FCD" w:rsidRDefault="001937F4" w:rsidP="00347B20">
      <w:pPr>
        <w:pStyle w:val="SingleTxtG"/>
        <w:suppressAutoHyphens/>
      </w:pPr>
      <w:r w:rsidRPr="00181FCD">
        <w:t>248.</w:t>
      </w:r>
      <w:r w:rsidRPr="00181FCD">
        <w:tab/>
        <w:t>A</w:t>
      </w:r>
      <w:r w:rsidR="00F373A3" w:rsidRPr="00181FCD">
        <w:t xml:space="preserve"> </w:t>
      </w:r>
      <w:r w:rsidRPr="00181FCD">
        <w:t>pesar</w:t>
      </w:r>
      <w:r w:rsidR="00F373A3" w:rsidRPr="00181FCD">
        <w:t xml:space="preserve"> </w:t>
      </w:r>
      <w:r w:rsidRPr="00181FCD">
        <w:t>de</w:t>
      </w:r>
      <w:r w:rsidR="00F373A3" w:rsidRPr="00181FCD">
        <w:t xml:space="preserve"> </w:t>
      </w:r>
      <w:r w:rsidRPr="00181FCD">
        <w:t>que</w:t>
      </w:r>
      <w:r w:rsidR="00F373A3" w:rsidRPr="00181FCD">
        <w:t xml:space="preserve"> </w:t>
      </w:r>
      <w:r w:rsidRPr="00181FCD">
        <w:t>en</w:t>
      </w:r>
      <w:r w:rsidR="00F373A3" w:rsidRPr="00181FCD">
        <w:t xml:space="preserve"> </w:t>
      </w:r>
      <w:r w:rsidRPr="00181FCD">
        <w:t>el</w:t>
      </w:r>
      <w:r w:rsidR="00F373A3" w:rsidRPr="00181FCD">
        <w:t xml:space="preserve"> </w:t>
      </w:r>
      <w:r w:rsidRPr="00181FCD">
        <w:t>período</w:t>
      </w:r>
      <w:r w:rsidR="00F373A3" w:rsidRPr="00181FCD">
        <w:t xml:space="preserve"> </w:t>
      </w:r>
      <w:r w:rsidRPr="00181FCD">
        <w:t>que</w:t>
      </w:r>
      <w:r w:rsidR="00F373A3" w:rsidRPr="00181FCD">
        <w:t xml:space="preserve"> </w:t>
      </w:r>
      <w:r w:rsidRPr="00181FCD">
        <w:t>abarca</w:t>
      </w:r>
      <w:r w:rsidR="00F373A3" w:rsidRPr="00181FCD">
        <w:t xml:space="preserve"> </w:t>
      </w:r>
      <w:r w:rsidRPr="00181FCD">
        <w:t>el</w:t>
      </w:r>
      <w:r w:rsidR="00F373A3" w:rsidRPr="00181FCD">
        <w:t xml:space="preserve"> </w:t>
      </w:r>
      <w:r w:rsidRPr="00181FCD">
        <w:t>informe</w:t>
      </w:r>
      <w:r w:rsidR="00F373A3" w:rsidRPr="00181FCD">
        <w:t xml:space="preserve"> </w:t>
      </w:r>
      <w:r w:rsidRPr="00181FCD">
        <w:t>Bulgaria</w:t>
      </w:r>
      <w:r w:rsidR="00F373A3" w:rsidRPr="00181FCD">
        <w:t xml:space="preserve"> </w:t>
      </w:r>
      <w:r w:rsidRPr="00181FCD">
        <w:t>ha</w:t>
      </w:r>
      <w:r w:rsidR="00F373A3" w:rsidRPr="00181FCD">
        <w:t xml:space="preserve"> </w:t>
      </w:r>
      <w:r w:rsidRPr="00181FCD">
        <w:t>realizado</w:t>
      </w:r>
      <w:r w:rsidR="00F373A3" w:rsidRPr="00181FCD">
        <w:t xml:space="preserve"> </w:t>
      </w:r>
      <w:r w:rsidRPr="00181FCD">
        <w:t>progresos</w:t>
      </w:r>
      <w:r w:rsidR="00F373A3" w:rsidRPr="00181FCD">
        <w:t xml:space="preserve"> </w:t>
      </w:r>
      <w:r w:rsidRPr="00181FCD">
        <w:t>importantes</w:t>
      </w:r>
      <w:r w:rsidR="00F373A3" w:rsidRPr="00181FCD">
        <w:t xml:space="preserve"> </w:t>
      </w:r>
      <w:r w:rsidRPr="00181FCD">
        <w:t>en</w:t>
      </w:r>
      <w:r w:rsidR="00F373A3" w:rsidRPr="00181FCD">
        <w:t xml:space="preserve"> </w:t>
      </w:r>
      <w:r w:rsidRPr="00181FCD">
        <w:t>cuanto</w:t>
      </w:r>
      <w:r w:rsidR="00F373A3" w:rsidRPr="00181FCD">
        <w:t xml:space="preserve"> </w:t>
      </w:r>
      <w:r w:rsidRPr="00181FCD">
        <w:t>a</w:t>
      </w:r>
      <w:r w:rsidR="00F373A3" w:rsidRPr="00181FCD">
        <w:t xml:space="preserve"> </w:t>
      </w:r>
      <w:r w:rsidRPr="00181FCD">
        <w:t>reforzar</w:t>
      </w:r>
      <w:r w:rsidR="00F373A3" w:rsidRPr="00181FCD">
        <w:t xml:space="preserve"> </w:t>
      </w:r>
      <w:r w:rsidRPr="00181FCD">
        <w:t>la</w:t>
      </w:r>
      <w:r w:rsidR="00F373A3" w:rsidRPr="00181FCD">
        <w:t xml:space="preserve"> </w:t>
      </w:r>
      <w:r w:rsidRPr="00181FCD">
        <w:t>capacidad</w:t>
      </w:r>
      <w:r w:rsidR="00F373A3" w:rsidRPr="00181FCD">
        <w:t xml:space="preserve"> </w:t>
      </w:r>
      <w:r w:rsidRPr="00181FCD">
        <w:t>nacional</w:t>
      </w:r>
      <w:r w:rsidR="00F373A3" w:rsidRPr="00181FCD">
        <w:t xml:space="preserve"> </w:t>
      </w:r>
      <w:r w:rsidRPr="00181FCD">
        <w:t>de</w:t>
      </w:r>
      <w:r w:rsidR="00F373A3" w:rsidRPr="00181FCD">
        <w:t xml:space="preserve"> </w:t>
      </w:r>
      <w:r w:rsidRPr="00181FCD">
        <w:t>promoción</w:t>
      </w:r>
      <w:r w:rsidR="00F373A3" w:rsidRPr="00181FCD">
        <w:t xml:space="preserve"> </w:t>
      </w:r>
      <w:r w:rsidRPr="00181FCD">
        <w:t>y</w:t>
      </w:r>
      <w:r w:rsidR="00F373A3" w:rsidRPr="00181FCD">
        <w:t xml:space="preserve"> </w:t>
      </w:r>
      <w:r w:rsidRPr="00181FCD">
        <w:t>protección</w:t>
      </w:r>
      <w:r w:rsidR="00F373A3" w:rsidRPr="00181FCD">
        <w:t xml:space="preserve"> </w:t>
      </w:r>
      <w:r w:rsidRPr="00181FCD">
        <w:t>de</w:t>
      </w:r>
      <w:r w:rsidR="00F373A3" w:rsidRPr="00181FCD">
        <w:t xml:space="preserve"> </w:t>
      </w:r>
      <w:r w:rsidRPr="00181FCD">
        <w:t>los</w:t>
      </w:r>
      <w:r w:rsidR="00F373A3" w:rsidRPr="00181FCD">
        <w:t xml:space="preserve"> </w:t>
      </w:r>
      <w:r w:rsidRPr="00181FCD">
        <w:t>derechos</w:t>
      </w:r>
      <w:r w:rsidR="00F373A3" w:rsidRPr="00181FCD">
        <w:t xml:space="preserve"> </w:t>
      </w:r>
      <w:r w:rsidRPr="00181FCD">
        <w:t>humanos,</w:t>
      </w:r>
      <w:r w:rsidR="00F373A3" w:rsidRPr="00181FCD">
        <w:t xml:space="preserve"> </w:t>
      </w:r>
      <w:r w:rsidRPr="00181FCD">
        <w:t>y</w:t>
      </w:r>
      <w:r w:rsidR="00F373A3" w:rsidRPr="00181FCD">
        <w:t xml:space="preserve"> </w:t>
      </w:r>
      <w:r w:rsidRPr="00181FCD">
        <w:t>que</w:t>
      </w:r>
      <w:r w:rsidR="00F373A3" w:rsidRPr="00181FCD">
        <w:t xml:space="preserve"> </w:t>
      </w:r>
      <w:r w:rsidRPr="00181FCD">
        <w:t>la</w:t>
      </w:r>
      <w:r w:rsidR="00F373A3" w:rsidRPr="00181FCD">
        <w:t xml:space="preserve"> </w:t>
      </w:r>
      <w:r w:rsidRPr="00181FCD">
        <w:t>situación</w:t>
      </w:r>
      <w:r w:rsidR="00F373A3" w:rsidRPr="00181FCD">
        <w:t xml:space="preserve"> </w:t>
      </w:r>
      <w:r w:rsidRPr="00181FCD">
        <w:t>de</w:t>
      </w:r>
      <w:r w:rsidR="00F373A3" w:rsidRPr="00181FCD">
        <w:t xml:space="preserve"> </w:t>
      </w:r>
      <w:r w:rsidRPr="00181FCD">
        <w:t>estos</w:t>
      </w:r>
      <w:r w:rsidR="00F373A3" w:rsidRPr="00181FCD">
        <w:t xml:space="preserve"> </w:t>
      </w:r>
      <w:r w:rsidRPr="00181FCD">
        <w:t>derechos</w:t>
      </w:r>
      <w:r w:rsidR="00F373A3" w:rsidRPr="00181FCD">
        <w:t xml:space="preserve"> </w:t>
      </w:r>
      <w:r w:rsidRPr="00181FCD">
        <w:t>en</w:t>
      </w:r>
      <w:r w:rsidR="00F373A3" w:rsidRPr="00181FCD">
        <w:t xml:space="preserve"> </w:t>
      </w:r>
      <w:r w:rsidRPr="00181FCD">
        <w:t>general</w:t>
      </w:r>
      <w:r w:rsidR="00F373A3" w:rsidRPr="00181FCD">
        <w:t xml:space="preserve"> </w:t>
      </w:r>
      <w:r w:rsidRPr="00181FCD">
        <w:t>ha</w:t>
      </w:r>
      <w:r w:rsidR="00F373A3" w:rsidRPr="00181FCD">
        <w:t xml:space="preserve"> </w:t>
      </w:r>
      <w:r w:rsidRPr="00181FCD">
        <w:t>mejorado</w:t>
      </w:r>
      <w:r w:rsidR="00F373A3" w:rsidRPr="00181FCD">
        <w:t xml:space="preserve"> </w:t>
      </w:r>
      <w:r w:rsidRPr="00181FCD">
        <w:t>considerablemente,</w:t>
      </w:r>
      <w:r w:rsidR="00F373A3" w:rsidRPr="00181FCD">
        <w:t xml:space="preserve"> </w:t>
      </w:r>
      <w:r w:rsidRPr="00181FCD">
        <w:t>para</w:t>
      </w:r>
      <w:r w:rsidR="00F373A3" w:rsidRPr="00181FCD">
        <w:t xml:space="preserve"> </w:t>
      </w:r>
      <w:r w:rsidRPr="00181FCD">
        <w:t>seguir</w:t>
      </w:r>
      <w:r w:rsidR="00F373A3" w:rsidRPr="00181FCD">
        <w:t xml:space="preserve"> </w:t>
      </w:r>
      <w:r w:rsidRPr="00181FCD">
        <w:t>avanzando</w:t>
      </w:r>
      <w:r w:rsidR="00F373A3" w:rsidRPr="00181FCD">
        <w:t xml:space="preserve"> </w:t>
      </w:r>
      <w:r w:rsidRPr="00181FCD">
        <w:t>se</w:t>
      </w:r>
      <w:r w:rsidR="00F373A3" w:rsidRPr="00181FCD">
        <w:t xml:space="preserve"> </w:t>
      </w:r>
      <w:r w:rsidRPr="00181FCD">
        <w:t>requieren</w:t>
      </w:r>
      <w:r w:rsidR="00F373A3" w:rsidRPr="00181FCD">
        <w:t xml:space="preserve"> </w:t>
      </w:r>
      <w:r w:rsidRPr="00181FCD">
        <w:t>esfuerzos</w:t>
      </w:r>
      <w:r w:rsidR="00F373A3" w:rsidRPr="00181FCD">
        <w:t xml:space="preserve"> </w:t>
      </w:r>
      <w:r w:rsidRPr="00181FCD">
        <w:t>adicionales</w:t>
      </w:r>
      <w:r w:rsidR="00F373A3" w:rsidRPr="00181FCD">
        <w:t xml:space="preserve"> </w:t>
      </w:r>
      <w:r w:rsidRPr="00181FCD">
        <w:t>en</w:t>
      </w:r>
      <w:r w:rsidR="00F373A3" w:rsidRPr="00181FCD">
        <w:t xml:space="preserve"> </w:t>
      </w:r>
      <w:r w:rsidRPr="00181FCD">
        <w:t>determinados</w:t>
      </w:r>
      <w:r w:rsidR="00F373A3" w:rsidRPr="00181FCD">
        <w:t xml:space="preserve"> </w:t>
      </w:r>
      <w:r w:rsidRPr="00181FCD">
        <w:t>ámbitos.</w:t>
      </w:r>
      <w:r w:rsidR="00F373A3" w:rsidRPr="00181FCD">
        <w:t xml:space="preserve"> </w:t>
      </w:r>
      <w:r w:rsidRPr="00181FCD">
        <w:t>El</w:t>
      </w:r>
      <w:r w:rsidR="00F373A3" w:rsidRPr="00181FCD">
        <w:t xml:space="preserve"> </w:t>
      </w:r>
      <w:r w:rsidRPr="00181FCD">
        <w:t>Mecanismo</w:t>
      </w:r>
      <w:r w:rsidR="00F373A3" w:rsidRPr="00181FCD">
        <w:t xml:space="preserve"> </w:t>
      </w:r>
      <w:r w:rsidRPr="00181FCD">
        <w:t>Nacional</w:t>
      </w:r>
      <w:r w:rsidR="00F373A3" w:rsidRPr="00181FCD">
        <w:t xml:space="preserve"> </w:t>
      </w:r>
      <w:r w:rsidRPr="00181FCD">
        <w:t>de</w:t>
      </w:r>
      <w:r w:rsidR="00F373A3" w:rsidRPr="00181FCD">
        <w:t xml:space="preserve"> </w:t>
      </w:r>
      <w:r w:rsidRPr="00181FCD">
        <w:t>Coordinación</w:t>
      </w:r>
      <w:r w:rsidR="00F373A3" w:rsidRPr="00181FCD">
        <w:t xml:space="preserve"> </w:t>
      </w:r>
      <w:r w:rsidRPr="00181FCD">
        <w:t>para</w:t>
      </w:r>
      <w:r w:rsidR="00F373A3" w:rsidRPr="00181FCD">
        <w:t xml:space="preserve"> </w:t>
      </w:r>
      <w:r w:rsidRPr="00181FCD">
        <w:t>los</w:t>
      </w:r>
      <w:r w:rsidR="00F373A3" w:rsidRPr="00181FCD">
        <w:t xml:space="preserve"> </w:t>
      </w:r>
      <w:r w:rsidRPr="00181FCD">
        <w:t>Derechos</w:t>
      </w:r>
      <w:r w:rsidR="00F373A3" w:rsidRPr="00181FCD">
        <w:t xml:space="preserve"> </w:t>
      </w:r>
      <w:r w:rsidRPr="00181FCD">
        <w:t>Humanos</w:t>
      </w:r>
      <w:r w:rsidR="00F373A3" w:rsidRPr="00181FCD">
        <w:t xml:space="preserve"> </w:t>
      </w:r>
      <w:r w:rsidRPr="00181FCD">
        <w:t>ha</w:t>
      </w:r>
      <w:r w:rsidR="00F373A3" w:rsidRPr="00181FCD">
        <w:t xml:space="preserve"> </w:t>
      </w:r>
      <w:r w:rsidRPr="00181FCD">
        <w:t>aprobado</w:t>
      </w:r>
      <w:r w:rsidR="00F373A3" w:rsidRPr="00181FCD">
        <w:t xml:space="preserve"> </w:t>
      </w:r>
      <w:r w:rsidRPr="00181FCD">
        <w:t>algunos</w:t>
      </w:r>
      <w:r w:rsidR="00F373A3" w:rsidRPr="00181FCD">
        <w:t xml:space="preserve"> </w:t>
      </w:r>
      <w:r w:rsidRPr="00181FCD">
        <w:t>temas</w:t>
      </w:r>
      <w:r w:rsidR="00F373A3" w:rsidRPr="00181FCD">
        <w:t xml:space="preserve"> </w:t>
      </w:r>
      <w:r w:rsidRPr="00181FCD">
        <w:t>que</w:t>
      </w:r>
      <w:r w:rsidR="00F373A3" w:rsidRPr="00181FCD">
        <w:t xml:space="preserve"> </w:t>
      </w:r>
      <w:r w:rsidRPr="00181FCD">
        <w:t>considera</w:t>
      </w:r>
      <w:r w:rsidR="00F373A3" w:rsidRPr="00181FCD">
        <w:t xml:space="preserve"> </w:t>
      </w:r>
      <w:r w:rsidRPr="00181FCD">
        <w:t>prioridades</w:t>
      </w:r>
      <w:r w:rsidR="00F373A3" w:rsidRPr="00181FCD">
        <w:t xml:space="preserve"> </w:t>
      </w:r>
      <w:r w:rsidRPr="00181FCD">
        <w:t>nacionales</w:t>
      </w:r>
      <w:r w:rsidR="00F373A3" w:rsidRPr="00181FCD">
        <w:t xml:space="preserve"> </w:t>
      </w:r>
      <w:r w:rsidRPr="00181FCD">
        <w:t>para</w:t>
      </w:r>
      <w:r w:rsidR="00F373A3" w:rsidRPr="00181FCD">
        <w:t xml:space="preserve"> </w:t>
      </w:r>
      <w:r w:rsidRPr="00181FCD">
        <w:t>los</w:t>
      </w:r>
      <w:r w:rsidR="00F373A3" w:rsidRPr="00181FCD">
        <w:t xml:space="preserve"> </w:t>
      </w:r>
      <w:r w:rsidRPr="00181FCD">
        <w:t>próximos</w:t>
      </w:r>
      <w:r w:rsidR="00F373A3" w:rsidRPr="00181FCD">
        <w:t xml:space="preserve"> </w:t>
      </w:r>
      <w:r w:rsidRPr="00181FCD">
        <w:t>años</w:t>
      </w:r>
      <w:r w:rsidR="00F373A3" w:rsidRPr="00181FCD">
        <w:t xml:space="preserve"> </w:t>
      </w:r>
      <w:r w:rsidRPr="00181FCD">
        <w:t>en</w:t>
      </w:r>
      <w:r w:rsidR="00F373A3" w:rsidRPr="00181FCD">
        <w:t xml:space="preserve"> </w:t>
      </w:r>
      <w:r w:rsidRPr="00181FCD">
        <w:t>materia</w:t>
      </w:r>
      <w:r w:rsidR="00F373A3" w:rsidRPr="00181FCD">
        <w:t xml:space="preserve"> </w:t>
      </w:r>
      <w:r w:rsidRPr="00181FCD">
        <w:t>de</w:t>
      </w:r>
      <w:r w:rsidR="00F373A3" w:rsidRPr="00181FCD">
        <w:t xml:space="preserve"> </w:t>
      </w:r>
      <w:r w:rsidRPr="00181FCD">
        <w:t>derechos</w:t>
      </w:r>
      <w:r w:rsidR="00F373A3" w:rsidRPr="00181FCD">
        <w:t xml:space="preserve"> </w:t>
      </w:r>
      <w:r w:rsidRPr="00181FCD">
        <w:t>humanos,</w:t>
      </w:r>
      <w:r w:rsidR="00F373A3" w:rsidRPr="00181FCD">
        <w:t xml:space="preserve"> </w:t>
      </w:r>
      <w:r w:rsidRPr="00181FCD">
        <w:t>a</w:t>
      </w:r>
      <w:r w:rsidR="00F373A3" w:rsidRPr="00181FCD">
        <w:t xml:space="preserve"> </w:t>
      </w:r>
      <w:r w:rsidRPr="00181FCD">
        <w:t>saber,</w:t>
      </w:r>
      <w:r w:rsidR="00F373A3" w:rsidRPr="00181FCD">
        <w:t xml:space="preserve"> </w:t>
      </w:r>
      <w:r w:rsidRPr="00181FCD">
        <w:t>la</w:t>
      </w:r>
      <w:r w:rsidR="00F373A3" w:rsidRPr="00181FCD">
        <w:t xml:space="preserve"> </w:t>
      </w:r>
      <w:r w:rsidRPr="00181FCD">
        <w:t>protección</w:t>
      </w:r>
      <w:r w:rsidR="00F373A3" w:rsidRPr="00181FCD">
        <w:t xml:space="preserve"> </w:t>
      </w:r>
      <w:r w:rsidRPr="00181FCD">
        <w:t>de</w:t>
      </w:r>
      <w:r w:rsidR="00F373A3" w:rsidRPr="00181FCD">
        <w:t xml:space="preserve"> </w:t>
      </w:r>
      <w:r w:rsidRPr="00181FCD">
        <w:t>los</w:t>
      </w:r>
      <w:r w:rsidR="00F373A3" w:rsidRPr="00181FCD">
        <w:t xml:space="preserve"> </w:t>
      </w:r>
      <w:r w:rsidRPr="00181FCD">
        <w:t>derechos</w:t>
      </w:r>
      <w:r w:rsidR="00F373A3" w:rsidRPr="00181FCD">
        <w:t xml:space="preserve"> </w:t>
      </w:r>
      <w:r w:rsidRPr="00181FCD">
        <w:t>del</w:t>
      </w:r>
      <w:r w:rsidR="00F373A3" w:rsidRPr="00181FCD">
        <w:t xml:space="preserve"> </w:t>
      </w:r>
      <w:r w:rsidRPr="00181FCD">
        <w:t>niño,</w:t>
      </w:r>
      <w:r w:rsidR="00F373A3" w:rsidRPr="00181FCD">
        <w:t xml:space="preserve"> </w:t>
      </w:r>
      <w:r w:rsidRPr="00181FCD">
        <w:t>en</w:t>
      </w:r>
      <w:r w:rsidR="00F373A3" w:rsidRPr="00181FCD">
        <w:t xml:space="preserve"> </w:t>
      </w:r>
      <w:r w:rsidRPr="00181FCD">
        <w:t>particular</w:t>
      </w:r>
      <w:r w:rsidR="00F373A3" w:rsidRPr="00181FCD">
        <w:t xml:space="preserve"> </w:t>
      </w:r>
      <w:r w:rsidRPr="00181FCD">
        <w:t>la</w:t>
      </w:r>
      <w:r w:rsidR="00F373A3" w:rsidRPr="00181FCD">
        <w:t xml:space="preserve"> </w:t>
      </w:r>
      <w:r w:rsidRPr="00181FCD">
        <w:t>conclusión</w:t>
      </w:r>
      <w:r w:rsidR="00F373A3" w:rsidRPr="00181FCD">
        <w:t xml:space="preserve"> </w:t>
      </w:r>
      <w:r w:rsidRPr="00181FCD">
        <w:t>del</w:t>
      </w:r>
      <w:r w:rsidR="00F373A3" w:rsidRPr="00181FCD">
        <w:t xml:space="preserve"> </w:t>
      </w:r>
      <w:r w:rsidRPr="00181FCD">
        <w:t>proceso</w:t>
      </w:r>
      <w:r w:rsidR="00F373A3" w:rsidRPr="00181FCD">
        <w:t xml:space="preserve"> </w:t>
      </w:r>
      <w:r w:rsidRPr="00181FCD">
        <w:t>de</w:t>
      </w:r>
      <w:r w:rsidR="00F373A3" w:rsidRPr="00181FCD">
        <w:t xml:space="preserve"> </w:t>
      </w:r>
      <w:r w:rsidRPr="00181FCD">
        <w:t>desinstitucionalización;</w:t>
      </w:r>
      <w:r w:rsidR="00F373A3" w:rsidRPr="00181FCD">
        <w:t xml:space="preserve"> </w:t>
      </w:r>
      <w:r w:rsidRPr="00181FCD">
        <w:t>el</w:t>
      </w:r>
      <w:r w:rsidR="00F373A3" w:rsidRPr="00181FCD">
        <w:t xml:space="preserve"> </w:t>
      </w:r>
      <w:r w:rsidRPr="00181FCD">
        <w:t>fomento</w:t>
      </w:r>
      <w:r w:rsidR="00F373A3" w:rsidRPr="00181FCD">
        <w:t xml:space="preserve"> </w:t>
      </w:r>
      <w:r w:rsidRPr="00181FCD">
        <w:t>de</w:t>
      </w:r>
      <w:r w:rsidR="00F373A3" w:rsidRPr="00181FCD">
        <w:t xml:space="preserve"> </w:t>
      </w:r>
      <w:r w:rsidRPr="00181FCD">
        <w:t>la</w:t>
      </w:r>
      <w:r w:rsidR="00F373A3" w:rsidRPr="00181FCD">
        <w:t xml:space="preserve"> </w:t>
      </w:r>
      <w:r w:rsidRPr="00181FCD">
        <w:t>igualdad</w:t>
      </w:r>
      <w:r w:rsidR="00F373A3" w:rsidRPr="00181FCD">
        <w:t xml:space="preserve"> </w:t>
      </w:r>
      <w:r w:rsidRPr="00181FCD">
        <w:t>de</w:t>
      </w:r>
      <w:r w:rsidR="00F373A3" w:rsidRPr="00181FCD">
        <w:t xml:space="preserve"> </w:t>
      </w:r>
      <w:r w:rsidRPr="00181FCD">
        <w:t>género;</w:t>
      </w:r>
      <w:r w:rsidR="00F373A3" w:rsidRPr="00181FCD">
        <w:t xml:space="preserve"> </w:t>
      </w:r>
      <w:r w:rsidRPr="00181FCD">
        <w:t>una</w:t>
      </w:r>
      <w:r w:rsidR="00F373A3" w:rsidRPr="00181FCD">
        <w:t xml:space="preserve"> </w:t>
      </w:r>
      <w:r w:rsidRPr="00181FCD">
        <w:t>mayor</w:t>
      </w:r>
      <w:r w:rsidR="00F373A3" w:rsidRPr="00181FCD">
        <w:t xml:space="preserve"> </w:t>
      </w:r>
      <w:r w:rsidRPr="00181FCD">
        <w:t>promoción</w:t>
      </w:r>
      <w:r w:rsidR="00F373A3" w:rsidRPr="00181FCD">
        <w:t xml:space="preserve"> </w:t>
      </w:r>
      <w:r w:rsidRPr="00181FCD">
        <w:t>de</w:t>
      </w:r>
      <w:r w:rsidR="00F373A3" w:rsidRPr="00181FCD">
        <w:t xml:space="preserve"> </w:t>
      </w:r>
      <w:r w:rsidRPr="00181FCD">
        <w:t>la</w:t>
      </w:r>
      <w:r w:rsidR="00F373A3" w:rsidRPr="00181FCD">
        <w:t xml:space="preserve"> </w:t>
      </w:r>
      <w:r w:rsidRPr="00181FCD">
        <w:t>tradición</w:t>
      </w:r>
      <w:r w:rsidR="00F373A3" w:rsidRPr="00181FCD">
        <w:t xml:space="preserve"> </w:t>
      </w:r>
      <w:r w:rsidRPr="00181FCD">
        <w:t>histórica</w:t>
      </w:r>
      <w:r w:rsidR="00F373A3" w:rsidRPr="00181FCD">
        <w:t xml:space="preserve"> </w:t>
      </w:r>
      <w:r w:rsidRPr="00181FCD">
        <w:t>de</w:t>
      </w:r>
      <w:r w:rsidR="00F373A3" w:rsidRPr="00181FCD">
        <w:t xml:space="preserve"> </w:t>
      </w:r>
      <w:r w:rsidRPr="00181FCD">
        <w:t>tolerancia</w:t>
      </w:r>
      <w:r w:rsidR="00F373A3" w:rsidRPr="00181FCD">
        <w:t xml:space="preserve"> </w:t>
      </w:r>
      <w:r w:rsidRPr="00181FCD">
        <w:t>étnica</w:t>
      </w:r>
      <w:r w:rsidR="00F373A3" w:rsidRPr="00181FCD">
        <w:t xml:space="preserve"> </w:t>
      </w:r>
      <w:r w:rsidRPr="00181FCD">
        <w:t>y</w:t>
      </w:r>
      <w:r w:rsidR="00F373A3" w:rsidRPr="00181FCD">
        <w:t xml:space="preserve"> </w:t>
      </w:r>
      <w:r w:rsidRPr="00181FCD">
        <w:t>religiosa</w:t>
      </w:r>
      <w:r w:rsidR="00F373A3" w:rsidRPr="00181FCD">
        <w:t xml:space="preserve"> </w:t>
      </w:r>
      <w:r w:rsidRPr="00181FCD">
        <w:t>en</w:t>
      </w:r>
      <w:r w:rsidR="00F373A3" w:rsidRPr="00181FCD">
        <w:t xml:space="preserve"> </w:t>
      </w:r>
      <w:r w:rsidRPr="00181FCD">
        <w:t>la</w:t>
      </w:r>
      <w:r w:rsidR="00F373A3" w:rsidRPr="00181FCD">
        <w:t xml:space="preserve"> </w:t>
      </w:r>
      <w:r w:rsidRPr="00181FCD">
        <w:t>sociedad</w:t>
      </w:r>
      <w:r w:rsidR="00F373A3" w:rsidRPr="00181FCD">
        <w:t xml:space="preserve"> </w:t>
      </w:r>
      <w:r w:rsidRPr="00181FCD">
        <w:t>búlgara,</w:t>
      </w:r>
      <w:r w:rsidR="00F373A3" w:rsidRPr="00181FCD">
        <w:t xml:space="preserve"> </w:t>
      </w:r>
      <w:r w:rsidRPr="00181FCD">
        <w:t>incluida</w:t>
      </w:r>
      <w:r w:rsidR="00F373A3" w:rsidRPr="00181FCD">
        <w:t xml:space="preserve"> </w:t>
      </w:r>
      <w:r w:rsidRPr="00181FCD">
        <w:t>la</w:t>
      </w:r>
      <w:r w:rsidR="00F373A3" w:rsidRPr="00181FCD">
        <w:t xml:space="preserve"> </w:t>
      </w:r>
      <w:r w:rsidRPr="00181FCD">
        <w:t>integración</w:t>
      </w:r>
      <w:r w:rsidR="00F373A3" w:rsidRPr="00181FCD">
        <w:t xml:space="preserve"> </w:t>
      </w:r>
      <w:r w:rsidRPr="00181FCD">
        <w:t>de</w:t>
      </w:r>
      <w:r w:rsidR="00F373A3" w:rsidRPr="00181FCD">
        <w:t xml:space="preserve"> </w:t>
      </w:r>
      <w:r w:rsidRPr="00181FCD">
        <w:t>los</w:t>
      </w:r>
      <w:r w:rsidR="00F373A3" w:rsidRPr="00181FCD">
        <w:t xml:space="preserve"> </w:t>
      </w:r>
      <w:r w:rsidRPr="00181FCD">
        <w:t>romaníes</w:t>
      </w:r>
      <w:r w:rsidR="00F373A3" w:rsidRPr="00181FCD">
        <w:t xml:space="preserve"> </w:t>
      </w:r>
      <w:r w:rsidRPr="00181FCD">
        <w:t>y</w:t>
      </w:r>
      <w:r w:rsidR="00F373A3" w:rsidRPr="00181FCD">
        <w:t xml:space="preserve"> </w:t>
      </w:r>
      <w:r w:rsidRPr="00181FCD">
        <w:t>de</w:t>
      </w:r>
      <w:r w:rsidR="00F373A3" w:rsidRPr="00181FCD">
        <w:t xml:space="preserve"> </w:t>
      </w:r>
      <w:r w:rsidRPr="00181FCD">
        <w:t>otras</w:t>
      </w:r>
      <w:r w:rsidR="00F373A3" w:rsidRPr="00181FCD">
        <w:t xml:space="preserve"> </w:t>
      </w:r>
      <w:r w:rsidRPr="00181FCD">
        <w:t>comunidades;</w:t>
      </w:r>
      <w:r w:rsidR="00F373A3" w:rsidRPr="00181FCD">
        <w:t xml:space="preserve"> </w:t>
      </w:r>
      <w:r w:rsidRPr="00181FCD">
        <w:t>la</w:t>
      </w:r>
      <w:r w:rsidR="00F373A3" w:rsidRPr="00181FCD">
        <w:t xml:space="preserve"> </w:t>
      </w:r>
      <w:r w:rsidRPr="00181FCD">
        <w:t>protección</w:t>
      </w:r>
      <w:r w:rsidR="00F373A3" w:rsidRPr="00181FCD">
        <w:t xml:space="preserve"> </w:t>
      </w:r>
      <w:r w:rsidRPr="00181FCD">
        <w:t>de</w:t>
      </w:r>
      <w:r w:rsidR="00F373A3" w:rsidRPr="00181FCD">
        <w:t xml:space="preserve"> </w:t>
      </w:r>
      <w:r w:rsidRPr="00181FCD">
        <w:t>los</w:t>
      </w:r>
      <w:r w:rsidR="00F373A3" w:rsidRPr="00181FCD">
        <w:t xml:space="preserve"> </w:t>
      </w:r>
      <w:r w:rsidRPr="00181FCD">
        <w:t>derechos</w:t>
      </w:r>
      <w:r w:rsidR="00F373A3" w:rsidRPr="00181FCD">
        <w:t xml:space="preserve"> </w:t>
      </w:r>
      <w:r w:rsidRPr="00181FCD">
        <w:t>de</w:t>
      </w:r>
      <w:r w:rsidR="00F373A3" w:rsidRPr="00181FCD">
        <w:t xml:space="preserve"> </w:t>
      </w:r>
      <w:r w:rsidRPr="00181FCD">
        <w:t>los</w:t>
      </w:r>
      <w:r w:rsidR="00F373A3" w:rsidRPr="00181FCD">
        <w:t xml:space="preserve"> </w:t>
      </w:r>
      <w:r w:rsidRPr="00181FCD">
        <w:t>migrantes</w:t>
      </w:r>
      <w:r w:rsidR="00F373A3" w:rsidRPr="00181FCD">
        <w:t xml:space="preserve"> </w:t>
      </w:r>
      <w:r w:rsidRPr="00181FCD">
        <w:t>y</w:t>
      </w:r>
      <w:r w:rsidR="00F373A3" w:rsidRPr="00181FCD">
        <w:t xml:space="preserve"> </w:t>
      </w:r>
      <w:r w:rsidRPr="00181FCD">
        <w:t>los</w:t>
      </w:r>
      <w:r w:rsidR="00F373A3" w:rsidRPr="00181FCD">
        <w:t xml:space="preserve"> </w:t>
      </w:r>
      <w:r w:rsidRPr="00181FCD">
        <w:t>refugiados;</w:t>
      </w:r>
      <w:r w:rsidR="00F373A3" w:rsidRPr="00181FCD">
        <w:t xml:space="preserve"> </w:t>
      </w:r>
      <w:r w:rsidRPr="00181FCD">
        <w:t>la</w:t>
      </w:r>
      <w:r w:rsidR="00F373A3" w:rsidRPr="00181FCD">
        <w:t xml:space="preserve"> </w:t>
      </w:r>
      <w:r w:rsidRPr="00181FCD">
        <w:t>promoción</w:t>
      </w:r>
      <w:r w:rsidR="00F373A3" w:rsidRPr="00181FCD">
        <w:t xml:space="preserve"> </w:t>
      </w:r>
      <w:r w:rsidRPr="00181FCD">
        <w:t>y</w:t>
      </w:r>
      <w:r w:rsidR="00F373A3" w:rsidRPr="00181FCD">
        <w:t xml:space="preserve"> </w:t>
      </w:r>
      <w:r w:rsidRPr="00181FCD">
        <w:t>protección</w:t>
      </w:r>
      <w:r w:rsidR="00F373A3" w:rsidRPr="00181FCD">
        <w:t xml:space="preserve"> </w:t>
      </w:r>
      <w:r w:rsidRPr="00181FCD">
        <w:t>de</w:t>
      </w:r>
      <w:r w:rsidR="00F373A3" w:rsidRPr="00181FCD">
        <w:t xml:space="preserve"> </w:t>
      </w:r>
      <w:r w:rsidRPr="00181FCD">
        <w:t>los</w:t>
      </w:r>
      <w:r w:rsidR="00F373A3" w:rsidRPr="00181FCD">
        <w:t xml:space="preserve"> </w:t>
      </w:r>
      <w:r w:rsidRPr="00181FCD">
        <w:t>derechos</w:t>
      </w:r>
      <w:r w:rsidR="00F373A3" w:rsidRPr="00181FCD">
        <w:t xml:space="preserve"> </w:t>
      </w:r>
      <w:r w:rsidRPr="00181FCD">
        <w:t>de</w:t>
      </w:r>
      <w:r w:rsidR="00F373A3" w:rsidRPr="00181FCD">
        <w:t xml:space="preserve"> </w:t>
      </w:r>
      <w:r w:rsidRPr="00181FCD">
        <w:t>las</w:t>
      </w:r>
      <w:r w:rsidR="00F373A3" w:rsidRPr="00181FCD">
        <w:t xml:space="preserve"> </w:t>
      </w:r>
      <w:r w:rsidRPr="00181FCD">
        <w:t>personas</w:t>
      </w:r>
      <w:r w:rsidR="00F373A3" w:rsidRPr="00181FCD">
        <w:t xml:space="preserve"> </w:t>
      </w:r>
      <w:r w:rsidRPr="00181FCD">
        <w:t>con</w:t>
      </w:r>
      <w:r w:rsidR="00F373A3" w:rsidRPr="00181FCD">
        <w:t xml:space="preserve"> </w:t>
      </w:r>
      <w:r w:rsidRPr="00181FCD">
        <w:t>discapacidad;</w:t>
      </w:r>
      <w:r w:rsidR="00F373A3" w:rsidRPr="00181FCD">
        <w:t xml:space="preserve"> </w:t>
      </w:r>
      <w:r w:rsidRPr="00181FCD">
        <w:t>y</w:t>
      </w:r>
      <w:r w:rsidR="00F373A3" w:rsidRPr="00181FCD">
        <w:t xml:space="preserve"> </w:t>
      </w:r>
      <w:r w:rsidRPr="00181FCD">
        <w:t>la</w:t>
      </w:r>
      <w:r w:rsidR="00F373A3" w:rsidRPr="00181FCD">
        <w:t xml:space="preserve"> </w:t>
      </w:r>
      <w:r w:rsidRPr="00181FCD">
        <w:t>aplicación</w:t>
      </w:r>
      <w:r w:rsidR="00F373A3" w:rsidRPr="00181FCD">
        <w:t xml:space="preserve"> </w:t>
      </w:r>
      <w:r w:rsidRPr="00181FCD">
        <w:t>más</w:t>
      </w:r>
      <w:r w:rsidR="00F373A3" w:rsidRPr="00181FCD">
        <w:t xml:space="preserve"> </w:t>
      </w:r>
      <w:r w:rsidRPr="00181FCD">
        <w:t>efectiva</w:t>
      </w:r>
      <w:r w:rsidR="00F373A3" w:rsidRPr="00181FCD">
        <w:t xml:space="preserve"> </w:t>
      </w:r>
      <w:r w:rsidRPr="00181FCD">
        <w:t>de</w:t>
      </w:r>
      <w:r w:rsidR="00F373A3" w:rsidRPr="00181FCD">
        <w:t xml:space="preserve"> </w:t>
      </w:r>
      <w:r w:rsidRPr="00181FCD">
        <w:t>la</w:t>
      </w:r>
      <w:r w:rsidR="00F373A3" w:rsidRPr="00181FCD">
        <w:t xml:space="preserve"> </w:t>
      </w:r>
      <w:r w:rsidRPr="00181FCD">
        <w:t>legislación</w:t>
      </w:r>
      <w:r w:rsidR="00F373A3" w:rsidRPr="00181FCD">
        <w:t xml:space="preserve"> </w:t>
      </w:r>
      <w:r w:rsidRPr="00181FCD">
        <w:t>nacional</w:t>
      </w:r>
      <w:r w:rsidR="00F373A3" w:rsidRPr="00181FCD">
        <w:t xml:space="preserve"> </w:t>
      </w:r>
      <w:r w:rsidRPr="00181FCD">
        <w:t>y</w:t>
      </w:r>
      <w:r w:rsidR="00F373A3" w:rsidRPr="00181FCD">
        <w:t xml:space="preserve"> </w:t>
      </w:r>
      <w:r w:rsidRPr="00181FCD">
        <w:t>de</w:t>
      </w:r>
      <w:r w:rsidR="00F373A3" w:rsidRPr="00181FCD">
        <w:t xml:space="preserve"> </w:t>
      </w:r>
      <w:r w:rsidRPr="00181FCD">
        <w:t>las</w:t>
      </w:r>
      <w:r w:rsidR="00F373A3" w:rsidRPr="00181FCD">
        <w:t xml:space="preserve"> </w:t>
      </w:r>
      <w:r w:rsidRPr="00181FCD">
        <w:t>prácticas</w:t>
      </w:r>
      <w:r w:rsidR="00F373A3" w:rsidRPr="00181FCD">
        <w:t xml:space="preserve"> </w:t>
      </w:r>
      <w:r w:rsidRPr="00181FCD">
        <w:t>de</w:t>
      </w:r>
      <w:r w:rsidR="00F373A3" w:rsidRPr="00181FCD">
        <w:t xml:space="preserve"> </w:t>
      </w:r>
      <w:r w:rsidRPr="00181FCD">
        <w:t>las</w:t>
      </w:r>
      <w:r w:rsidR="00F373A3" w:rsidRPr="00181FCD">
        <w:t xml:space="preserve"> </w:t>
      </w:r>
      <w:r w:rsidRPr="00181FCD">
        <w:t>instituciones</w:t>
      </w:r>
      <w:r w:rsidR="00F373A3" w:rsidRPr="00181FCD">
        <w:t xml:space="preserve"> </w:t>
      </w:r>
      <w:r w:rsidRPr="00181FCD">
        <w:t>nacionales</w:t>
      </w:r>
      <w:r w:rsidR="00F373A3" w:rsidRPr="00181FCD">
        <w:t xml:space="preserve"> </w:t>
      </w:r>
      <w:r w:rsidRPr="00181FCD">
        <w:t>sobre</w:t>
      </w:r>
      <w:r w:rsidR="00F373A3" w:rsidRPr="00181FCD">
        <w:t xml:space="preserve"> </w:t>
      </w:r>
      <w:r w:rsidRPr="00181FCD">
        <w:t>las</w:t>
      </w:r>
      <w:r w:rsidR="00F373A3" w:rsidRPr="00181FCD">
        <w:t xml:space="preserve"> </w:t>
      </w:r>
      <w:r w:rsidRPr="00181FCD">
        <w:t>cuestiones</w:t>
      </w:r>
      <w:r w:rsidR="00F373A3" w:rsidRPr="00181FCD">
        <w:t xml:space="preserve"> </w:t>
      </w:r>
      <w:r w:rsidRPr="00181FCD">
        <w:t>de</w:t>
      </w:r>
      <w:r w:rsidR="00F373A3" w:rsidRPr="00181FCD">
        <w:t xml:space="preserve"> </w:t>
      </w:r>
      <w:r w:rsidRPr="00181FCD">
        <w:t>derechos</w:t>
      </w:r>
      <w:r w:rsidR="00F373A3" w:rsidRPr="00181FCD">
        <w:t xml:space="preserve"> </w:t>
      </w:r>
      <w:r w:rsidRPr="00181FCD">
        <w:t>humanos.</w:t>
      </w:r>
    </w:p>
    <w:p w:rsidR="001937F4" w:rsidRPr="00181FCD" w:rsidRDefault="001937F4" w:rsidP="00347B20">
      <w:pPr>
        <w:pStyle w:val="SingleTxtG"/>
        <w:suppressAutoHyphens/>
      </w:pPr>
      <w:r w:rsidRPr="00181FCD">
        <w:t>249.</w:t>
      </w:r>
      <w:r w:rsidRPr="00181FCD">
        <w:tab/>
        <w:t>A</w:t>
      </w:r>
      <w:r w:rsidR="00F373A3" w:rsidRPr="00181FCD">
        <w:t xml:space="preserve"> </w:t>
      </w:r>
      <w:r w:rsidRPr="00181FCD">
        <w:t>raíz</w:t>
      </w:r>
      <w:r w:rsidR="00F373A3" w:rsidRPr="00181FCD">
        <w:t xml:space="preserve"> </w:t>
      </w:r>
      <w:r w:rsidRPr="00181FCD">
        <w:t>de</w:t>
      </w:r>
      <w:r w:rsidR="00F373A3" w:rsidRPr="00181FCD">
        <w:t xml:space="preserve"> </w:t>
      </w:r>
      <w:r w:rsidRPr="00181FCD">
        <w:t>las</w:t>
      </w:r>
      <w:r w:rsidR="00F373A3" w:rsidRPr="00181FCD">
        <w:t xml:space="preserve"> </w:t>
      </w:r>
      <w:r w:rsidRPr="00181FCD">
        <w:t>modificaciones</w:t>
      </w:r>
      <w:r w:rsidR="00F373A3" w:rsidRPr="00181FCD">
        <w:t xml:space="preserve"> </w:t>
      </w:r>
      <w:r w:rsidRPr="00181FCD">
        <w:t>introducidas</w:t>
      </w:r>
      <w:r w:rsidR="00F373A3" w:rsidRPr="00181FCD">
        <w:t xml:space="preserve"> </w:t>
      </w:r>
      <w:r w:rsidRPr="00181FCD">
        <w:t>en</w:t>
      </w:r>
      <w:r w:rsidR="00F373A3" w:rsidRPr="00181FCD">
        <w:t xml:space="preserve"> </w:t>
      </w:r>
      <w:r w:rsidRPr="00181FCD">
        <w:t>la</w:t>
      </w:r>
      <w:r w:rsidR="00F373A3" w:rsidRPr="00181FCD">
        <w:t xml:space="preserve"> </w:t>
      </w:r>
      <w:r w:rsidRPr="00181FCD">
        <w:t>Ley</w:t>
      </w:r>
      <w:r w:rsidR="00F373A3" w:rsidRPr="00181FCD">
        <w:t xml:space="preserve"> </w:t>
      </w:r>
      <w:r w:rsidRPr="00181FCD">
        <w:t>del</w:t>
      </w:r>
      <w:r w:rsidR="00F373A3" w:rsidRPr="00181FCD">
        <w:t xml:space="preserve"> </w:t>
      </w:r>
      <w:r w:rsidRPr="00181FCD">
        <w:t>Sistema</w:t>
      </w:r>
      <w:r w:rsidR="00F373A3" w:rsidRPr="00181FCD">
        <w:t xml:space="preserve"> </w:t>
      </w:r>
      <w:r w:rsidRPr="00181FCD">
        <w:t>Judicial</w:t>
      </w:r>
      <w:r w:rsidR="00F373A3" w:rsidRPr="00181FCD">
        <w:t xml:space="preserve"> </w:t>
      </w:r>
      <w:r w:rsidRPr="00181FCD">
        <w:t>(2012)</w:t>
      </w:r>
      <w:r w:rsidR="00F373A3" w:rsidRPr="00181FCD">
        <w:t xml:space="preserve"> </w:t>
      </w:r>
      <w:r w:rsidRPr="00181FCD">
        <w:t>se</w:t>
      </w:r>
      <w:r w:rsidR="00F373A3" w:rsidRPr="00181FCD">
        <w:t xml:space="preserve"> </w:t>
      </w:r>
      <w:r w:rsidRPr="00181FCD">
        <w:t>ha</w:t>
      </w:r>
      <w:r w:rsidR="00F373A3" w:rsidRPr="00181FCD">
        <w:t xml:space="preserve"> </w:t>
      </w:r>
      <w:r w:rsidRPr="00181FCD">
        <w:t>ampliado</w:t>
      </w:r>
      <w:r w:rsidR="00F373A3" w:rsidRPr="00181FCD">
        <w:t xml:space="preserve"> </w:t>
      </w:r>
      <w:r w:rsidRPr="00181FCD">
        <w:t>la</w:t>
      </w:r>
      <w:r w:rsidR="00F373A3" w:rsidRPr="00181FCD">
        <w:t xml:space="preserve"> </w:t>
      </w:r>
      <w:r w:rsidRPr="00181FCD">
        <w:t>capacidad</w:t>
      </w:r>
      <w:r w:rsidR="00F373A3" w:rsidRPr="00181FCD">
        <w:t xml:space="preserve"> </w:t>
      </w:r>
      <w:r w:rsidRPr="00181FCD">
        <w:t>institucional</w:t>
      </w:r>
      <w:r w:rsidR="00F373A3" w:rsidRPr="00181FCD">
        <w:t xml:space="preserve"> </w:t>
      </w:r>
      <w:r w:rsidRPr="00181FCD">
        <w:t>del</w:t>
      </w:r>
      <w:r w:rsidR="00F373A3" w:rsidRPr="00181FCD">
        <w:t xml:space="preserve"> </w:t>
      </w:r>
      <w:r w:rsidRPr="00181FCD">
        <w:t>Consejo</w:t>
      </w:r>
      <w:r w:rsidR="00F373A3" w:rsidRPr="00181FCD">
        <w:t xml:space="preserve"> </w:t>
      </w:r>
      <w:r w:rsidRPr="00181FCD">
        <w:t>Supremo</w:t>
      </w:r>
      <w:r w:rsidR="00F373A3" w:rsidRPr="00181FCD">
        <w:t xml:space="preserve"> </w:t>
      </w:r>
      <w:r w:rsidRPr="00181FCD">
        <w:t>de</w:t>
      </w:r>
      <w:r w:rsidR="00F373A3" w:rsidRPr="00181FCD">
        <w:t xml:space="preserve"> </w:t>
      </w:r>
      <w:r w:rsidRPr="00181FCD">
        <w:t>la</w:t>
      </w:r>
      <w:r w:rsidR="00F373A3" w:rsidRPr="00181FCD">
        <w:t xml:space="preserve"> </w:t>
      </w:r>
      <w:r w:rsidRPr="00181FCD">
        <w:t>Judicatura,</w:t>
      </w:r>
      <w:r w:rsidR="00F373A3" w:rsidRPr="00181FCD">
        <w:t xml:space="preserve"> </w:t>
      </w:r>
      <w:r w:rsidRPr="00181FCD">
        <w:t>la</w:t>
      </w:r>
      <w:r w:rsidR="00F373A3" w:rsidRPr="00181FCD">
        <w:t xml:space="preserve"> </w:t>
      </w:r>
      <w:r w:rsidRPr="00181FCD">
        <w:t>Inspección</w:t>
      </w:r>
      <w:r w:rsidR="00F373A3" w:rsidRPr="00181FCD">
        <w:t xml:space="preserve"> </w:t>
      </w:r>
      <w:r w:rsidRPr="00181FCD">
        <w:t>del</w:t>
      </w:r>
      <w:r w:rsidR="00F373A3" w:rsidRPr="00181FCD">
        <w:t xml:space="preserve"> </w:t>
      </w:r>
      <w:r w:rsidRPr="00181FCD">
        <w:t>Consejo</w:t>
      </w:r>
      <w:r w:rsidR="00F373A3" w:rsidRPr="00181FCD">
        <w:t xml:space="preserve"> </w:t>
      </w:r>
      <w:r w:rsidRPr="00181FCD">
        <w:t>y</w:t>
      </w:r>
      <w:r w:rsidR="00F373A3" w:rsidRPr="00181FCD">
        <w:t xml:space="preserve"> </w:t>
      </w:r>
      <w:r w:rsidRPr="00181FCD">
        <w:t>el</w:t>
      </w:r>
      <w:r w:rsidR="00F373A3" w:rsidRPr="00181FCD">
        <w:t xml:space="preserve"> </w:t>
      </w:r>
      <w:r w:rsidRPr="00181FCD">
        <w:t>Instituto</w:t>
      </w:r>
      <w:r w:rsidR="00F373A3" w:rsidRPr="00181FCD">
        <w:t xml:space="preserve"> </w:t>
      </w:r>
      <w:r w:rsidRPr="00181FCD">
        <w:t>Nacional</w:t>
      </w:r>
      <w:r w:rsidR="00F373A3" w:rsidRPr="00181FCD">
        <w:t xml:space="preserve"> </w:t>
      </w:r>
      <w:r w:rsidRPr="00181FCD">
        <w:t>de</w:t>
      </w:r>
      <w:r w:rsidR="00F373A3" w:rsidRPr="00181FCD">
        <w:t xml:space="preserve"> </w:t>
      </w:r>
      <w:r w:rsidRPr="00181FCD">
        <w:t>Justicia,</w:t>
      </w:r>
      <w:r w:rsidR="00F373A3" w:rsidRPr="00181FCD">
        <w:t xml:space="preserve"> </w:t>
      </w:r>
      <w:r w:rsidRPr="00181FCD">
        <w:t>y</w:t>
      </w:r>
      <w:r w:rsidR="00F373A3" w:rsidRPr="00181FCD">
        <w:t xml:space="preserve"> </w:t>
      </w:r>
      <w:r w:rsidRPr="00181FCD">
        <w:t>se</w:t>
      </w:r>
      <w:r w:rsidR="00F373A3" w:rsidRPr="00181FCD">
        <w:t xml:space="preserve"> </w:t>
      </w:r>
      <w:r w:rsidRPr="00181FCD">
        <w:t>ha</w:t>
      </w:r>
      <w:r w:rsidR="00F373A3" w:rsidRPr="00181FCD">
        <w:t xml:space="preserve"> </w:t>
      </w:r>
      <w:r w:rsidRPr="00181FCD">
        <w:t>establecido</w:t>
      </w:r>
      <w:r w:rsidR="00F373A3" w:rsidRPr="00181FCD">
        <w:t xml:space="preserve"> </w:t>
      </w:r>
      <w:r w:rsidRPr="00181FCD">
        <w:t>un</w:t>
      </w:r>
      <w:r w:rsidR="00F373A3" w:rsidRPr="00181FCD">
        <w:t xml:space="preserve"> </w:t>
      </w:r>
      <w:r w:rsidRPr="00181FCD">
        <w:t>procedimiento</w:t>
      </w:r>
      <w:r w:rsidR="00F373A3" w:rsidRPr="00181FCD">
        <w:t xml:space="preserve"> </w:t>
      </w:r>
      <w:r w:rsidRPr="00181FCD">
        <w:t>para</w:t>
      </w:r>
      <w:r w:rsidR="00F373A3" w:rsidRPr="00181FCD">
        <w:t xml:space="preserve"> </w:t>
      </w:r>
      <w:r w:rsidRPr="00181FCD">
        <w:t>indemnizar</w:t>
      </w:r>
      <w:r w:rsidR="00F373A3" w:rsidRPr="00181FCD">
        <w:t xml:space="preserve"> </w:t>
      </w:r>
      <w:r w:rsidRPr="00181FCD">
        <w:t>a</w:t>
      </w:r>
      <w:r w:rsidR="00F373A3" w:rsidRPr="00181FCD">
        <w:t xml:space="preserve"> </w:t>
      </w:r>
      <w:r w:rsidRPr="00181FCD">
        <w:t>los</w:t>
      </w:r>
      <w:r w:rsidR="00F373A3" w:rsidRPr="00181FCD">
        <w:t xml:space="preserve"> </w:t>
      </w:r>
      <w:r w:rsidRPr="00181FCD">
        <w:t>ciudadanos</w:t>
      </w:r>
      <w:r w:rsidR="00F373A3" w:rsidRPr="00181FCD">
        <w:t xml:space="preserve"> </w:t>
      </w:r>
      <w:r w:rsidRPr="00181FCD">
        <w:t>y</w:t>
      </w:r>
      <w:r w:rsidR="00F373A3" w:rsidRPr="00181FCD">
        <w:t xml:space="preserve"> </w:t>
      </w:r>
      <w:r w:rsidRPr="00181FCD">
        <w:t>a</w:t>
      </w:r>
      <w:r w:rsidR="00F373A3" w:rsidRPr="00181FCD">
        <w:t xml:space="preserve"> </w:t>
      </w:r>
      <w:r w:rsidRPr="00181FCD">
        <w:t>las</w:t>
      </w:r>
      <w:r w:rsidR="00F373A3" w:rsidRPr="00181FCD">
        <w:t xml:space="preserve"> </w:t>
      </w:r>
      <w:r w:rsidRPr="00181FCD">
        <w:t>personas</w:t>
      </w:r>
      <w:r w:rsidR="00F373A3" w:rsidRPr="00181FCD">
        <w:t xml:space="preserve"> </w:t>
      </w:r>
      <w:r w:rsidRPr="00181FCD">
        <w:t>jurídicas</w:t>
      </w:r>
      <w:r w:rsidR="00F373A3" w:rsidRPr="00181FCD">
        <w:t xml:space="preserve"> </w:t>
      </w:r>
      <w:r w:rsidRPr="00181FCD">
        <w:t>por</w:t>
      </w:r>
      <w:r w:rsidR="00F373A3" w:rsidRPr="00181FCD">
        <w:t xml:space="preserve"> </w:t>
      </w:r>
      <w:r w:rsidRPr="00181FCD">
        <w:t>los</w:t>
      </w:r>
      <w:r w:rsidR="00F373A3" w:rsidRPr="00181FCD">
        <w:t xml:space="preserve"> </w:t>
      </w:r>
      <w:r w:rsidRPr="00181FCD">
        <w:t>daños</w:t>
      </w:r>
      <w:r w:rsidR="00F373A3" w:rsidRPr="00181FCD">
        <w:t xml:space="preserve"> </w:t>
      </w:r>
      <w:r w:rsidRPr="00181FCD">
        <w:t>derivados</w:t>
      </w:r>
      <w:r w:rsidR="00F373A3" w:rsidRPr="00181FCD">
        <w:t xml:space="preserve"> </w:t>
      </w:r>
      <w:r w:rsidRPr="00181FCD">
        <w:t>de</w:t>
      </w:r>
      <w:r w:rsidR="00F373A3" w:rsidRPr="00181FCD">
        <w:t xml:space="preserve"> </w:t>
      </w:r>
      <w:r w:rsidRPr="00181FCD">
        <w:t>los</w:t>
      </w:r>
      <w:r w:rsidR="00F373A3" w:rsidRPr="00181FCD">
        <w:t xml:space="preserve"> </w:t>
      </w:r>
      <w:r w:rsidRPr="00181FCD">
        <w:t>retrasos</w:t>
      </w:r>
      <w:r w:rsidR="00F373A3" w:rsidRPr="00181FCD">
        <w:t xml:space="preserve"> </w:t>
      </w:r>
      <w:r w:rsidRPr="00181FCD">
        <w:t>excesivos</w:t>
      </w:r>
      <w:r w:rsidR="00F373A3" w:rsidRPr="00181FCD">
        <w:t xml:space="preserve"> </w:t>
      </w:r>
      <w:r w:rsidRPr="00181FCD">
        <w:t>en</w:t>
      </w:r>
      <w:r w:rsidR="00F373A3" w:rsidRPr="00181FCD">
        <w:t xml:space="preserve"> </w:t>
      </w:r>
      <w:r w:rsidRPr="00181FCD">
        <w:t>la</w:t>
      </w:r>
      <w:r w:rsidR="00F373A3" w:rsidRPr="00181FCD">
        <w:t xml:space="preserve"> </w:t>
      </w:r>
      <w:r w:rsidRPr="00181FCD">
        <w:t>tramitación</w:t>
      </w:r>
      <w:r w:rsidR="00F373A3" w:rsidRPr="00181FCD">
        <w:t xml:space="preserve"> </w:t>
      </w:r>
      <w:r w:rsidRPr="00181FCD">
        <w:t>completa</w:t>
      </w:r>
      <w:r w:rsidR="00F373A3" w:rsidRPr="00181FCD">
        <w:t xml:space="preserve"> </w:t>
      </w:r>
      <w:r w:rsidRPr="00181FCD">
        <w:t>de</w:t>
      </w:r>
      <w:r w:rsidR="00F373A3" w:rsidRPr="00181FCD">
        <w:t xml:space="preserve"> </w:t>
      </w:r>
      <w:r w:rsidRPr="00181FCD">
        <w:t>los</w:t>
      </w:r>
      <w:r w:rsidR="00F373A3" w:rsidRPr="00181FCD">
        <w:t xml:space="preserve"> </w:t>
      </w:r>
      <w:r w:rsidRPr="00181FCD">
        <w:t>procedimientos</w:t>
      </w:r>
      <w:r w:rsidR="00F373A3" w:rsidRPr="00181FCD">
        <w:t xml:space="preserve"> </w:t>
      </w:r>
      <w:r w:rsidRPr="00181FCD">
        <w:t>civiles,</w:t>
      </w:r>
      <w:r w:rsidR="00F373A3" w:rsidRPr="00181FCD">
        <w:t xml:space="preserve"> </w:t>
      </w:r>
      <w:r w:rsidRPr="00181FCD">
        <w:t>administrativos</w:t>
      </w:r>
      <w:r w:rsidR="00F373A3" w:rsidRPr="00181FCD">
        <w:t xml:space="preserve"> </w:t>
      </w:r>
      <w:r w:rsidRPr="00181FCD">
        <w:t>y</w:t>
      </w:r>
      <w:r w:rsidR="00F373A3" w:rsidRPr="00181FCD">
        <w:t xml:space="preserve"> </w:t>
      </w:r>
      <w:r w:rsidRPr="00181FCD">
        <w:t>penales,</w:t>
      </w:r>
      <w:r w:rsidR="00F373A3" w:rsidRPr="00181FCD">
        <w:t xml:space="preserve"> </w:t>
      </w:r>
      <w:r w:rsidRPr="00181FCD">
        <w:t>y</w:t>
      </w:r>
      <w:r w:rsidR="00F373A3" w:rsidRPr="00181FCD">
        <w:t xml:space="preserve"> </w:t>
      </w:r>
      <w:r w:rsidRPr="00181FCD">
        <w:t>de</w:t>
      </w:r>
      <w:r w:rsidR="00F373A3" w:rsidRPr="00181FCD">
        <w:t xml:space="preserve"> </w:t>
      </w:r>
      <w:r w:rsidRPr="00181FCD">
        <w:t>la</w:t>
      </w:r>
      <w:r w:rsidR="00F373A3" w:rsidRPr="00181FCD">
        <w:t xml:space="preserve"> </w:t>
      </w:r>
      <w:r w:rsidRPr="00181FCD">
        <w:t>suspensión</w:t>
      </w:r>
      <w:r w:rsidR="00F373A3" w:rsidRPr="00181FCD">
        <w:t xml:space="preserve"> </w:t>
      </w:r>
      <w:r w:rsidRPr="00181FCD">
        <w:t>de</w:t>
      </w:r>
      <w:r w:rsidR="00F373A3" w:rsidRPr="00181FCD">
        <w:t xml:space="preserve"> </w:t>
      </w:r>
      <w:r w:rsidRPr="00181FCD">
        <w:t>las</w:t>
      </w:r>
      <w:r w:rsidR="00F373A3" w:rsidRPr="00181FCD">
        <w:t xml:space="preserve"> </w:t>
      </w:r>
      <w:r w:rsidRPr="00181FCD">
        <w:t>actuaciones</w:t>
      </w:r>
      <w:r w:rsidR="00F373A3" w:rsidRPr="00181FCD">
        <w:t xml:space="preserve"> </w:t>
      </w:r>
      <w:r w:rsidRPr="00181FCD">
        <w:t>preparatorias.</w:t>
      </w:r>
      <w:r w:rsidR="00F373A3" w:rsidRPr="00181FCD">
        <w:t xml:space="preserve"> </w:t>
      </w:r>
      <w:r w:rsidRPr="00181FCD">
        <w:t>La</w:t>
      </w:r>
      <w:r w:rsidR="00F373A3" w:rsidRPr="00181FCD">
        <w:t xml:space="preserve"> </w:t>
      </w:r>
      <w:r w:rsidRPr="00181FCD">
        <w:t>Asamblea</w:t>
      </w:r>
      <w:r w:rsidR="00F373A3" w:rsidRPr="00181FCD">
        <w:t xml:space="preserve"> </w:t>
      </w:r>
      <w:r w:rsidRPr="00181FCD">
        <w:t>Nacional</w:t>
      </w:r>
      <w:r w:rsidR="00F373A3" w:rsidRPr="00181FCD">
        <w:t xml:space="preserve"> </w:t>
      </w:r>
      <w:r w:rsidRPr="00181FCD">
        <w:t>encomendó</w:t>
      </w:r>
      <w:r w:rsidR="00F373A3" w:rsidRPr="00181FCD">
        <w:t xml:space="preserve"> </w:t>
      </w:r>
      <w:r w:rsidRPr="00181FCD">
        <w:t>al</w:t>
      </w:r>
      <w:r w:rsidR="00F373A3" w:rsidRPr="00181FCD">
        <w:t xml:space="preserve"> </w:t>
      </w:r>
      <w:r w:rsidRPr="00181FCD">
        <w:t>Gobierno</w:t>
      </w:r>
      <w:r w:rsidR="00F373A3" w:rsidRPr="00181FCD">
        <w:t xml:space="preserve"> </w:t>
      </w:r>
      <w:r w:rsidRPr="00181FCD">
        <w:t>que</w:t>
      </w:r>
      <w:r w:rsidR="00F373A3" w:rsidRPr="00181FCD">
        <w:t xml:space="preserve"> </w:t>
      </w:r>
      <w:r w:rsidRPr="00181FCD">
        <w:t>presentara</w:t>
      </w:r>
      <w:r w:rsidR="00F373A3" w:rsidRPr="00181FCD">
        <w:t xml:space="preserve"> </w:t>
      </w:r>
      <w:r w:rsidRPr="00181FCD">
        <w:t>un</w:t>
      </w:r>
      <w:r w:rsidR="00F373A3" w:rsidRPr="00181FCD">
        <w:t xml:space="preserve"> </w:t>
      </w:r>
      <w:r w:rsidRPr="00181FCD">
        <w:t>informe</w:t>
      </w:r>
      <w:r w:rsidR="00F373A3" w:rsidRPr="00181FCD">
        <w:t xml:space="preserve"> </w:t>
      </w:r>
      <w:r w:rsidRPr="00181FCD">
        <w:t>anual</w:t>
      </w:r>
      <w:r w:rsidR="00F373A3" w:rsidRPr="00181FCD">
        <w:t xml:space="preserve"> </w:t>
      </w:r>
      <w:r w:rsidRPr="00181FCD">
        <w:t>sobre</w:t>
      </w:r>
      <w:r w:rsidR="00F373A3" w:rsidRPr="00181FCD">
        <w:t xml:space="preserve"> </w:t>
      </w:r>
      <w:r w:rsidRPr="00181FCD">
        <w:t>la</w:t>
      </w:r>
      <w:r w:rsidR="00F373A3" w:rsidRPr="00181FCD">
        <w:t xml:space="preserve"> </w:t>
      </w:r>
      <w:r w:rsidRPr="00181FCD">
        <w:t>ejecución</w:t>
      </w:r>
      <w:r w:rsidR="00F373A3" w:rsidRPr="00181FCD">
        <w:t xml:space="preserve"> </w:t>
      </w:r>
      <w:r w:rsidRPr="00181FCD">
        <w:t>de</w:t>
      </w:r>
      <w:r w:rsidR="00F373A3" w:rsidRPr="00181FCD">
        <w:t xml:space="preserve"> </w:t>
      </w:r>
      <w:r w:rsidRPr="00181FCD">
        <w:t>las</w:t>
      </w:r>
      <w:r w:rsidR="00F373A3" w:rsidRPr="00181FCD">
        <w:t xml:space="preserve"> </w:t>
      </w:r>
      <w:r w:rsidRPr="00181FCD">
        <w:t>decisiones</w:t>
      </w:r>
      <w:r w:rsidR="00F373A3" w:rsidRPr="00181FCD">
        <w:t xml:space="preserve"> </w:t>
      </w:r>
      <w:r w:rsidRPr="00181FCD">
        <w:t>del</w:t>
      </w:r>
      <w:r w:rsidR="00F373A3" w:rsidRPr="00181FCD">
        <w:t xml:space="preserve"> </w:t>
      </w:r>
      <w:r w:rsidRPr="00181FCD">
        <w:t>Tribunal</w:t>
      </w:r>
      <w:r w:rsidR="00F373A3" w:rsidRPr="00181FCD">
        <w:t xml:space="preserve"> </w:t>
      </w:r>
      <w:r w:rsidRPr="00181FCD">
        <w:t>Europeo</w:t>
      </w:r>
      <w:r w:rsidR="00F373A3" w:rsidRPr="00181FCD">
        <w:t xml:space="preserve"> </w:t>
      </w:r>
      <w:r w:rsidRPr="00181FCD">
        <w:t>de</w:t>
      </w:r>
      <w:r w:rsidR="00F373A3" w:rsidRPr="00181FCD">
        <w:t xml:space="preserve"> </w:t>
      </w:r>
      <w:r w:rsidRPr="00181FCD">
        <w:t>Derechos</w:t>
      </w:r>
      <w:r w:rsidR="00F373A3" w:rsidRPr="00181FCD">
        <w:t xml:space="preserve"> </w:t>
      </w:r>
      <w:r w:rsidRPr="00181FCD">
        <w:t>Humanos</w:t>
      </w:r>
      <w:r w:rsidR="00F373A3" w:rsidRPr="00181FCD">
        <w:t xml:space="preserve"> </w:t>
      </w:r>
      <w:r w:rsidRPr="00181FCD">
        <w:t>contra</w:t>
      </w:r>
      <w:r w:rsidR="00F373A3" w:rsidRPr="00181FCD">
        <w:t xml:space="preserve"> </w:t>
      </w:r>
      <w:r w:rsidRPr="00181FCD">
        <w:t>Bulgaria.</w:t>
      </w:r>
    </w:p>
    <w:p w:rsidR="001937F4" w:rsidRPr="00181FCD" w:rsidRDefault="001937F4" w:rsidP="00347B20">
      <w:pPr>
        <w:pStyle w:val="SingleTxtG"/>
        <w:suppressAutoHyphens/>
      </w:pPr>
      <w:r w:rsidRPr="00181FCD">
        <w:t>250.</w:t>
      </w:r>
      <w:r w:rsidRPr="00181FCD">
        <w:tab/>
        <w:t>En</w:t>
      </w:r>
      <w:r w:rsidR="00F373A3" w:rsidRPr="00181FCD">
        <w:t xml:space="preserve"> </w:t>
      </w:r>
      <w:r w:rsidRPr="00181FCD">
        <w:t>2014,</w:t>
      </w:r>
      <w:r w:rsidR="00F373A3" w:rsidRPr="00181FCD">
        <w:t xml:space="preserve"> </w:t>
      </w:r>
      <w:r w:rsidRPr="00181FCD">
        <w:t>el</w:t>
      </w:r>
      <w:r w:rsidR="00F373A3" w:rsidRPr="00181FCD">
        <w:t xml:space="preserve"> </w:t>
      </w:r>
      <w:r w:rsidRPr="00181FCD">
        <w:t>Gobierno</w:t>
      </w:r>
      <w:r w:rsidR="00F373A3" w:rsidRPr="00181FCD">
        <w:t xml:space="preserve"> </w:t>
      </w:r>
      <w:r w:rsidRPr="00181FCD">
        <w:t>adoptó</w:t>
      </w:r>
      <w:r w:rsidR="00F373A3" w:rsidRPr="00181FCD">
        <w:t xml:space="preserve"> </w:t>
      </w:r>
      <w:r w:rsidRPr="00181FCD">
        <w:t>la</w:t>
      </w:r>
      <w:r w:rsidR="00F373A3" w:rsidRPr="00181FCD">
        <w:t xml:space="preserve"> </w:t>
      </w:r>
      <w:r w:rsidRPr="00181FCD">
        <w:t>decisión</w:t>
      </w:r>
      <w:r w:rsidR="00F373A3" w:rsidRPr="00181FCD">
        <w:t xml:space="preserve"> </w:t>
      </w:r>
      <w:r w:rsidRPr="00181FCD">
        <w:t>de</w:t>
      </w:r>
      <w:r w:rsidR="00F373A3" w:rsidRPr="00181FCD">
        <w:t xml:space="preserve"> </w:t>
      </w:r>
      <w:r w:rsidRPr="00181FCD">
        <w:t>indemnizar</w:t>
      </w:r>
      <w:r w:rsidR="00F373A3" w:rsidRPr="00181FCD">
        <w:t xml:space="preserve"> </w:t>
      </w:r>
      <w:r w:rsidRPr="00181FCD">
        <w:t>con</w:t>
      </w:r>
      <w:r w:rsidR="00F373A3" w:rsidRPr="00181FCD">
        <w:t xml:space="preserve"> </w:t>
      </w:r>
      <w:r w:rsidRPr="00181FCD">
        <w:t>un</w:t>
      </w:r>
      <w:r w:rsidR="00F373A3" w:rsidRPr="00181FCD">
        <w:t xml:space="preserve"> </w:t>
      </w:r>
      <w:r w:rsidRPr="00181FCD">
        <w:t>pago</w:t>
      </w:r>
      <w:r w:rsidR="00F373A3" w:rsidRPr="00181FCD">
        <w:t xml:space="preserve"> </w:t>
      </w:r>
      <w:r w:rsidRPr="00181FCD">
        <w:t>único</w:t>
      </w:r>
      <w:r w:rsidR="00F373A3" w:rsidRPr="00181FCD">
        <w:t xml:space="preserve"> </w:t>
      </w:r>
      <w:r w:rsidRPr="00181FCD">
        <w:t>a</w:t>
      </w:r>
      <w:r w:rsidR="00F373A3" w:rsidRPr="00181FCD">
        <w:t xml:space="preserve"> </w:t>
      </w:r>
      <w:r w:rsidRPr="00181FCD">
        <w:t>todas</w:t>
      </w:r>
      <w:r w:rsidR="00F373A3" w:rsidRPr="00181FCD">
        <w:t xml:space="preserve"> </w:t>
      </w:r>
      <w:r w:rsidRPr="00181FCD">
        <w:t>las</w:t>
      </w:r>
      <w:r w:rsidR="00F373A3" w:rsidRPr="00181FCD">
        <w:t xml:space="preserve"> </w:t>
      </w:r>
      <w:r w:rsidRPr="00181FCD">
        <w:t>personas</w:t>
      </w:r>
      <w:r w:rsidR="00F373A3" w:rsidRPr="00181FCD">
        <w:t xml:space="preserve"> </w:t>
      </w:r>
      <w:r w:rsidRPr="00181FCD">
        <w:t>que</w:t>
      </w:r>
      <w:r w:rsidR="00F373A3" w:rsidRPr="00181FCD">
        <w:t xml:space="preserve"> </w:t>
      </w:r>
      <w:r w:rsidRPr="00181FCD">
        <w:t>habían</w:t>
      </w:r>
      <w:r w:rsidR="00F373A3" w:rsidRPr="00181FCD">
        <w:t xml:space="preserve"> </w:t>
      </w:r>
      <w:r w:rsidRPr="00181FCD">
        <w:t>presentado</w:t>
      </w:r>
      <w:r w:rsidR="00F373A3" w:rsidRPr="00181FCD">
        <w:t xml:space="preserve"> </w:t>
      </w:r>
      <w:r w:rsidRPr="00181FCD">
        <w:t>denuncias</w:t>
      </w:r>
      <w:r w:rsidR="00F373A3" w:rsidRPr="00181FCD">
        <w:t xml:space="preserve"> </w:t>
      </w:r>
      <w:r w:rsidRPr="00181FCD">
        <w:t>individuales</w:t>
      </w:r>
      <w:r w:rsidR="00F373A3" w:rsidRPr="00181FCD">
        <w:t xml:space="preserve"> </w:t>
      </w:r>
      <w:r w:rsidRPr="00181FCD">
        <w:t>y</w:t>
      </w:r>
      <w:r w:rsidR="00F373A3" w:rsidRPr="00181FCD">
        <w:t xml:space="preserve"> </w:t>
      </w:r>
      <w:r w:rsidRPr="00181FCD">
        <w:t>respecto</w:t>
      </w:r>
      <w:r w:rsidR="00F373A3" w:rsidRPr="00181FCD">
        <w:t xml:space="preserve"> </w:t>
      </w:r>
      <w:r w:rsidRPr="00181FCD">
        <w:t>de</w:t>
      </w:r>
      <w:r w:rsidR="00F373A3" w:rsidRPr="00181FCD">
        <w:t xml:space="preserve"> </w:t>
      </w:r>
      <w:r w:rsidRPr="00181FCD">
        <w:t>las</w:t>
      </w:r>
      <w:r w:rsidR="00F373A3" w:rsidRPr="00181FCD">
        <w:t xml:space="preserve"> </w:t>
      </w:r>
      <w:r w:rsidRPr="00181FCD">
        <w:t>cuales</w:t>
      </w:r>
      <w:r w:rsidR="00F373A3" w:rsidRPr="00181FCD">
        <w:t xml:space="preserve"> </w:t>
      </w:r>
      <w:r w:rsidRPr="00181FCD">
        <w:t>los</w:t>
      </w:r>
      <w:r w:rsidR="00F373A3" w:rsidRPr="00181FCD">
        <w:t xml:space="preserve"> </w:t>
      </w:r>
      <w:r w:rsidRPr="00181FCD">
        <w:t>órganos</w:t>
      </w:r>
      <w:r w:rsidR="00F373A3" w:rsidRPr="00181FCD">
        <w:t xml:space="preserve"> </w:t>
      </w:r>
      <w:r w:rsidRPr="00181FCD">
        <w:t>creados</w:t>
      </w:r>
      <w:r w:rsidR="00F373A3" w:rsidRPr="00181FCD">
        <w:t xml:space="preserve"> </w:t>
      </w:r>
      <w:r w:rsidRPr="00181FCD">
        <w:t>en</w:t>
      </w:r>
      <w:r w:rsidR="00F373A3" w:rsidRPr="00181FCD">
        <w:t xml:space="preserve"> </w:t>
      </w:r>
      <w:r w:rsidRPr="00181FCD">
        <w:t>virtud</w:t>
      </w:r>
      <w:r w:rsidR="00F373A3" w:rsidRPr="00181FCD">
        <w:t xml:space="preserve"> </w:t>
      </w:r>
      <w:r w:rsidRPr="00181FCD">
        <w:t>de</w:t>
      </w:r>
      <w:r w:rsidR="00F373A3" w:rsidRPr="00181FCD">
        <w:t xml:space="preserve"> </w:t>
      </w:r>
      <w:r w:rsidRPr="00181FCD">
        <w:t>los</w:t>
      </w:r>
      <w:r w:rsidR="00F373A3" w:rsidRPr="00181FCD">
        <w:t xml:space="preserve"> </w:t>
      </w:r>
      <w:r w:rsidRPr="00181FCD">
        <w:t>instrumentos</w:t>
      </w:r>
      <w:r w:rsidR="00F373A3" w:rsidRPr="00181FCD">
        <w:t xml:space="preserve"> </w:t>
      </w:r>
      <w:r w:rsidRPr="00181FCD">
        <w:t>universales</w:t>
      </w:r>
      <w:r w:rsidR="00F373A3" w:rsidRPr="00181FCD">
        <w:t xml:space="preserve"> </w:t>
      </w:r>
      <w:r w:rsidRPr="00181FCD">
        <w:t>de</w:t>
      </w:r>
      <w:r w:rsidR="00F373A3" w:rsidRPr="00181FCD">
        <w:t xml:space="preserve"> </w:t>
      </w:r>
      <w:r w:rsidRPr="00181FCD">
        <w:t>derechos</w:t>
      </w:r>
      <w:r w:rsidR="00F373A3" w:rsidRPr="00181FCD">
        <w:t xml:space="preserve"> </w:t>
      </w:r>
      <w:r w:rsidRPr="00181FCD">
        <w:t>humanos</w:t>
      </w:r>
      <w:r w:rsidR="00F373A3" w:rsidRPr="00181FCD">
        <w:t xml:space="preserve"> </w:t>
      </w:r>
      <w:r w:rsidRPr="00181FCD">
        <w:t>de</w:t>
      </w:r>
      <w:r w:rsidR="00F373A3" w:rsidRPr="00181FCD">
        <w:t xml:space="preserve"> </w:t>
      </w:r>
      <w:r w:rsidRPr="00181FCD">
        <w:t>las</w:t>
      </w:r>
      <w:r w:rsidR="00F373A3" w:rsidRPr="00181FCD">
        <w:t xml:space="preserve"> </w:t>
      </w:r>
      <w:r w:rsidRPr="00181FCD">
        <w:t>Naciones</w:t>
      </w:r>
      <w:r w:rsidR="00F373A3" w:rsidRPr="00181FCD">
        <w:t xml:space="preserve"> </w:t>
      </w:r>
      <w:r w:rsidRPr="00181FCD">
        <w:t>Unidas</w:t>
      </w:r>
      <w:r w:rsidR="00F373A3" w:rsidRPr="00181FCD">
        <w:t xml:space="preserve"> </w:t>
      </w:r>
      <w:r w:rsidRPr="00181FCD">
        <w:t>habían</w:t>
      </w:r>
      <w:r w:rsidR="00F373A3" w:rsidRPr="00181FCD">
        <w:t xml:space="preserve"> </w:t>
      </w:r>
      <w:r w:rsidRPr="00181FCD">
        <w:t>recomendado</w:t>
      </w:r>
      <w:r w:rsidR="00F373A3" w:rsidRPr="00181FCD">
        <w:t xml:space="preserve"> </w:t>
      </w:r>
      <w:r w:rsidRPr="00181FCD">
        <w:t>pagar</w:t>
      </w:r>
      <w:r w:rsidR="00F373A3" w:rsidRPr="00181FCD">
        <w:t xml:space="preserve"> </w:t>
      </w:r>
      <w:r w:rsidRPr="00181FCD">
        <w:t>daños</w:t>
      </w:r>
      <w:r w:rsidR="00F373A3" w:rsidRPr="00181FCD">
        <w:t xml:space="preserve"> </w:t>
      </w:r>
      <w:r w:rsidRPr="00181FCD">
        <w:t>y</w:t>
      </w:r>
      <w:r w:rsidR="00F373A3" w:rsidRPr="00181FCD">
        <w:t xml:space="preserve"> </w:t>
      </w:r>
      <w:r w:rsidRPr="00181FCD">
        <w:t>perjuicios.</w:t>
      </w:r>
      <w:r w:rsidR="00F373A3" w:rsidRPr="00181FCD">
        <w:t xml:space="preserve"> </w:t>
      </w:r>
      <w:r w:rsidRPr="00181FCD">
        <w:t>Mientras</w:t>
      </w:r>
      <w:r w:rsidR="00F373A3" w:rsidRPr="00181FCD">
        <w:t xml:space="preserve"> </w:t>
      </w:r>
      <w:r w:rsidRPr="00181FCD">
        <w:t>tanto,</w:t>
      </w:r>
      <w:r w:rsidR="00F373A3" w:rsidRPr="00181FCD">
        <w:t xml:space="preserve"> </w:t>
      </w:r>
      <w:r w:rsidRPr="00181FCD">
        <w:t>el</w:t>
      </w:r>
      <w:r w:rsidR="00F373A3" w:rsidRPr="00181FCD">
        <w:t xml:space="preserve"> </w:t>
      </w:r>
      <w:r w:rsidRPr="00181FCD">
        <w:t>Mecanismo</w:t>
      </w:r>
      <w:r w:rsidR="00F373A3" w:rsidRPr="00181FCD">
        <w:t xml:space="preserve"> </w:t>
      </w:r>
      <w:r w:rsidRPr="00181FCD">
        <w:t>Nacional</w:t>
      </w:r>
      <w:r w:rsidR="00F373A3" w:rsidRPr="00181FCD">
        <w:t xml:space="preserve"> </w:t>
      </w:r>
      <w:r w:rsidRPr="00181FCD">
        <w:t>de</w:t>
      </w:r>
      <w:r w:rsidR="00F373A3" w:rsidRPr="00181FCD">
        <w:t xml:space="preserve"> </w:t>
      </w:r>
      <w:r w:rsidRPr="00181FCD">
        <w:t>Coordinación</w:t>
      </w:r>
      <w:r w:rsidR="00F373A3" w:rsidRPr="00181FCD">
        <w:t xml:space="preserve"> </w:t>
      </w:r>
      <w:r w:rsidRPr="00181FCD">
        <w:t>para</w:t>
      </w:r>
      <w:r w:rsidR="00F373A3" w:rsidRPr="00181FCD">
        <w:t xml:space="preserve"> </w:t>
      </w:r>
      <w:r w:rsidRPr="00181FCD">
        <w:t>los</w:t>
      </w:r>
      <w:r w:rsidR="00F373A3" w:rsidRPr="00181FCD">
        <w:t xml:space="preserve"> </w:t>
      </w:r>
      <w:r w:rsidRPr="00181FCD">
        <w:t>Derechos</w:t>
      </w:r>
      <w:r w:rsidR="00F373A3" w:rsidRPr="00181FCD">
        <w:t xml:space="preserve"> </w:t>
      </w:r>
      <w:r w:rsidRPr="00181FCD">
        <w:t>Humanos</w:t>
      </w:r>
      <w:r w:rsidR="00F373A3" w:rsidRPr="00181FCD">
        <w:t xml:space="preserve"> </w:t>
      </w:r>
      <w:r w:rsidRPr="00181FCD">
        <w:t>aprobó</w:t>
      </w:r>
      <w:r w:rsidR="00F373A3" w:rsidRPr="00181FCD">
        <w:t xml:space="preserve"> </w:t>
      </w:r>
      <w:r w:rsidRPr="00181FCD">
        <w:t>el</w:t>
      </w:r>
      <w:r w:rsidR="00F373A3" w:rsidRPr="00181FCD">
        <w:t xml:space="preserve"> </w:t>
      </w:r>
      <w:r w:rsidRPr="00181FCD">
        <w:t>22</w:t>
      </w:r>
      <w:r w:rsidR="00F373A3" w:rsidRPr="00181FCD">
        <w:t xml:space="preserve"> </w:t>
      </w:r>
      <w:r w:rsidRPr="00181FCD">
        <w:t>de</w:t>
      </w:r>
      <w:r w:rsidR="00F373A3" w:rsidRPr="00181FCD">
        <w:t xml:space="preserve"> </w:t>
      </w:r>
      <w:r w:rsidRPr="00181FCD">
        <w:t>enero</w:t>
      </w:r>
      <w:r w:rsidR="00F373A3" w:rsidRPr="00181FCD">
        <w:t xml:space="preserve"> </w:t>
      </w:r>
      <w:r w:rsidRPr="00181FCD">
        <w:t>de</w:t>
      </w:r>
      <w:r w:rsidR="00F373A3" w:rsidRPr="00181FCD">
        <w:t xml:space="preserve"> </w:t>
      </w:r>
      <w:r w:rsidRPr="00181FCD">
        <w:t>2015</w:t>
      </w:r>
      <w:r w:rsidR="00F373A3" w:rsidRPr="00181FCD">
        <w:t xml:space="preserve"> </w:t>
      </w:r>
      <w:r w:rsidRPr="00181FCD">
        <w:t>un</w:t>
      </w:r>
      <w:r w:rsidR="00F373A3" w:rsidRPr="00181FCD">
        <w:t xml:space="preserve"> </w:t>
      </w:r>
      <w:r w:rsidRPr="00181FCD">
        <w:t>mecanismo</w:t>
      </w:r>
      <w:r w:rsidR="00F373A3" w:rsidRPr="00181FCD">
        <w:t xml:space="preserve"> </w:t>
      </w:r>
      <w:r w:rsidRPr="00181FCD">
        <w:t>jurídico</w:t>
      </w:r>
      <w:r w:rsidR="00F373A3" w:rsidRPr="00181FCD">
        <w:t xml:space="preserve"> </w:t>
      </w:r>
      <w:r w:rsidRPr="00181FCD">
        <w:t>de</w:t>
      </w:r>
      <w:r w:rsidR="00F373A3" w:rsidRPr="00181FCD">
        <w:t xml:space="preserve"> </w:t>
      </w:r>
      <w:r w:rsidRPr="00181FCD">
        <w:t>indemnizaciones</w:t>
      </w:r>
      <w:r w:rsidR="00F373A3" w:rsidRPr="00181FCD">
        <w:t xml:space="preserve"> </w:t>
      </w:r>
      <w:r w:rsidRPr="00181FCD">
        <w:t>financieras,</w:t>
      </w:r>
      <w:r w:rsidR="00F373A3" w:rsidRPr="00181FCD">
        <w:t xml:space="preserve"> </w:t>
      </w:r>
      <w:r w:rsidRPr="00181FCD">
        <w:t>en</w:t>
      </w:r>
      <w:r w:rsidR="00F373A3" w:rsidRPr="00181FCD">
        <w:t xml:space="preserve"> </w:t>
      </w:r>
      <w:r w:rsidRPr="00181FCD">
        <w:t>aplicación</w:t>
      </w:r>
      <w:r w:rsidR="00F373A3" w:rsidRPr="00181FCD">
        <w:t xml:space="preserve"> </w:t>
      </w:r>
      <w:r w:rsidRPr="00181FCD">
        <w:t>de</w:t>
      </w:r>
      <w:r w:rsidR="00F373A3" w:rsidRPr="00181FCD">
        <w:t xml:space="preserve"> </w:t>
      </w:r>
      <w:r w:rsidRPr="00181FCD">
        <w:t>las</w:t>
      </w:r>
      <w:r w:rsidR="00F373A3" w:rsidRPr="00181FCD">
        <w:t xml:space="preserve"> </w:t>
      </w:r>
      <w:r w:rsidRPr="00181FCD">
        <w:t>recomendaciones</w:t>
      </w:r>
      <w:r w:rsidR="00F373A3" w:rsidRPr="00181FCD">
        <w:t xml:space="preserve"> </w:t>
      </w:r>
      <w:r w:rsidRPr="00181FCD">
        <w:t>de</w:t>
      </w:r>
      <w:r w:rsidR="00F373A3" w:rsidRPr="00181FCD">
        <w:t xml:space="preserve"> </w:t>
      </w:r>
      <w:r w:rsidRPr="00181FCD">
        <w:t>los</w:t>
      </w:r>
      <w:r w:rsidR="00F373A3" w:rsidRPr="00181FCD">
        <w:t xml:space="preserve"> </w:t>
      </w:r>
      <w:r w:rsidRPr="00181FCD">
        <w:t>órganos</w:t>
      </w:r>
      <w:r w:rsidR="00F373A3" w:rsidRPr="00181FCD">
        <w:t xml:space="preserve"> </w:t>
      </w:r>
      <w:r w:rsidRPr="00181FCD">
        <w:t>de</w:t>
      </w:r>
      <w:r w:rsidR="00F373A3" w:rsidRPr="00181FCD">
        <w:t xml:space="preserve"> </w:t>
      </w:r>
      <w:r w:rsidRPr="00181FCD">
        <w:t>tratados</w:t>
      </w:r>
      <w:r w:rsidR="00F373A3" w:rsidRPr="00181FCD">
        <w:t xml:space="preserve"> </w:t>
      </w:r>
      <w:r w:rsidRPr="00181FCD">
        <w:t>relativas</w:t>
      </w:r>
      <w:r w:rsidR="00F373A3" w:rsidRPr="00181FCD">
        <w:t xml:space="preserve"> </w:t>
      </w:r>
      <w:r w:rsidRPr="00181FCD">
        <w:t>a</w:t>
      </w:r>
      <w:r w:rsidR="00F373A3" w:rsidRPr="00181FCD">
        <w:t xml:space="preserve"> </w:t>
      </w:r>
      <w:r w:rsidRPr="00181FCD">
        <w:t>las</w:t>
      </w:r>
      <w:r w:rsidR="00F373A3" w:rsidRPr="00181FCD">
        <w:t xml:space="preserve"> </w:t>
      </w:r>
      <w:r w:rsidRPr="00181FCD">
        <w:t>denuncias</w:t>
      </w:r>
      <w:r w:rsidR="00F373A3" w:rsidRPr="00181FCD">
        <w:t xml:space="preserve"> </w:t>
      </w:r>
      <w:r w:rsidRPr="00181FCD">
        <w:t>individuales.</w:t>
      </w:r>
    </w:p>
    <w:p w:rsidR="001937F4" w:rsidRPr="00181FCD" w:rsidRDefault="001937F4" w:rsidP="00347B20">
      <w:pPr>
        <w:pStyle w:val="SingleTxtG"/>
        <w:suppressAutoHyphens/>
      </w:pPr>
      <w:r w:rsidRPr="00181FCD">
        <w:t>251.</w:t>
      </w:r>
      <w:r w:rsidRPr="00181FCD">
        <w:tab/>
        <w:t>Durante</w:t>
      </w:r>
      <w:r w:rsidR="00F373A3" w:rsidRPr="00181FCD">
        <w:t xml:space="preserve"> </w:t>
      </w:r>
      <w:r w:rsidRPr="00181FCD">
        <w:t>el</w:t>
      </w:r>
      <w:r w:rsidR="00F373A3" w:rsidRPr="00181FCD">
        <w:t xml:space="preserve"> </w:t>
      </w:r>
      <w:r w:rsidRPr="00181FCD">
        <w:t>período</w:t>
      </w:r>
      <w:r w:rsidR="00F373A3" w:rsidRPr="00181FCD">
        <w:t xml:space="preserve"> </w:t>
      </w:r>
      <w:r w:rsidRPr="00181FCD">
        <w:t>que</w:t>
      </w:r>
      <w:r w:rsidR="00F373A3" w:rsidRPr="00181FCD">
        <w:t xml:space="preserve"> </w:t>
      </w:r>
      <w:r w:rsidRPr="00181FCD">
        <w:t>abarca</w:t>
      </w:r>
      <w:r w:rsidR="00F373A3" w:rsidRPr="00181FCD">
        <w:t xml:space="preserve"> </w:t>
      </w:r>
      <w:r w:rsidRPr="00181FCD">
        <w:t>el</w:t>
      </w:r>
      <w:r w:rsidR="00F373A3" w:rsidRPr="00181FCD">
        <w:t xml:space="preserve"> </w:t>
      </w:r>
      <w:r w:rsidRPr="00181FCD">
        <w:t>informe,</w:t>
      </w:r>
      <w:r w:rsidR="00F373A3" w:rsidRPr="00181FCD">
        <w:t xml:space="preserve"> </w:t>
      </w:r>
      <w:r w:rsidRPr="00181FCD">
        <w:t>Bulgaria</w:t>
      </w:r>
      <w:r w:rsidR="00F373A3" w:rsidRPr="00181FCD">
        <w:t xml:space="preserve"> </w:t>
      </w:r>
      <w:r w:rsidRPr="00181FCD">
        <w:t>firmó</w:t>
      </w:r>
      <w:r w:rsidR="00F373A3" w:rsidRPr="00181FCD">
        <w:t xml:space="preserve"> </w:t>
      </w:r>
      <w:r w:rsidRPr="00181FCD">
        <w:t>y/o</w:t>
      </w:r>
      <w:r w:rsidR="00F373A3" w:rsidRPr="00181FCD">
        <w:t xml:space="preserve"> </w:t>
      </w:r>
      <w:r w:rsidRPr="00181FCD">
        <w:t>ratificó</w:t>
      </w:r>
      <w:r w:rsidR="00F373A3" w:rsidRPr="00181FCD">
        <w:t xml:space="preserve"> </w:t>
      </w:r>
      <w:r w:rsidRPr="00181FCD">
        <w:t>los</w:t>
      </w:r>
      <w:r w:rsidR="00F373A3" w:rsidRPr="00181FCD">
        <w:t xml:space="preserve"> </w:t>
      </w:r>
      <w:r w:rsidRPr="00181FCD">
        <w:t>siguientes</w:t>
      </w:r>
      <w:r w:rsidR="00F373A3" w:rsidRPr="00181FCD">
        <w:t xml:space="preserve"> </w:t>
      </w:r>
      <w:r w:rsidRPr="00181FCD">
        <w:t>instrumentos:</w:t>
      </w:r>
    </w:p>
    <w:p w:rsidR="001937F4" w:rsidRPr="00181FCD" w:rsidRDefault="001937F4" w:rsidP="00847581">
      <w:pPr>
        <w:pStyle w:val="Bullet1G"/>
      </w:pPr>
      <w:r w:rsidRPr="00181FCD">
        <w:t>Protocolo</w:t>
      </w:r>
      <w:r w:rsidR="00F373A3" w:rsidRPr="00181FCD">
        <w:t xml:space="preserve"> </w:t>
      </w:r>
      <w:r w:rsidRPr="00181FCD">
        <w:t>Facultativo</w:t>
      </w:r>
      <w:r w:rsidR="00F373A3" w:rsidRPr="00181FCD">
        <w:t xml:space="preserve"> </w:t>
      </w:r>
      <w:r w:rsidRPr="00181FCD">
        <w:t>de</w:t>
      </w:r>
      <w:r w:rsidR="00F373A3" w:rsidRPr="00181FCD">
        <w:t xml:space="preserve"> </w:t>
      </w:r>
      <w:r w:rsidRPr="00181FCD">
        <w:t>la</w:t>
      </w:r>
      <w:r w:rsidR="00F373A3" w:rsidRPr="00181FCD">
        <w:t xml:space="preserve"> </w:t>
      </w:r>
      <w:r w:rsidRPr="00181FCD">
        <w:t>Convención</w:t>
      </w:r>
      <w:r w:rsidR="00F373A3" w:rsidRPr="00181FCD">
        <w:t xml:space="preserve"> </w:t>
      </w:r>
      <w:r w:rsidRPr="00181FCD">
        <w:t>contra</w:t>
      </w:r>
      <w:r w:rsidR="00F373A3" w:rsidRPr="00181FCD">
        <w:t xml:space="preserve"> </w:t>
      </w:r>
      <w:r w:rsidRPr="00181FCD">
        <w:t>la</w:t>
      </w:r>
      <w:r w:rsidR="00F373A3" w:rsidRPr="00181FCD">
        <w:t xml:space="preserve"> </w:t>
      </w:r>
      <w:r w:rsidRPr="00181FCD">
        <w:t>Tortura</w:t>
      </w:r>
      <w:r w:rsidR="00F373A3" w:rsidRPr="00181FCD">
        <w:t xml:space="preserve"> </w:t>
      </w:r>
      <w:r w:rsidRPr="00181FCD">
        <w:t>y</w:t>
      </w:r>
      <w:r w:rsidR="00F373A3" w:rsidRPr="00181FCD">
        <w:t xml:space="preserve"> </w:t>
      </w:r>
      <w:r w:rsidRPr="00181FCD">
        <w:t>Otros</w:t>
      </w:r>
      <w:r w:rsidR="00F373A3" w:rsidRPr="00181FCD">
        <w:t xml:space="preserve"> </w:t>
      </w:r>
      <w:r w:rsidRPr="00181FCD">
        <w:t>Tratos</w:t>
      </w:r>
      <w:r w:rsidR="00F373A3" w:rsidRPr="00181FCD">
        <w:t xml:space="preserve"> </w:t>
      </w:r>
      <w:r w:rsidRPr="00181FCD">
        <w:t>o</w:t>
      </w:r>
      <w:r w:rsidR="00F373A3" w:rsidRPr="00181FCD">
        <w:t xml:space="preserve"> </w:t>
      </w:r>
      <w:r w:rsidRPr="00181FCD">
        <w:t>Penas</w:t>
      </w:r>
      <w:r w:rsidR="00F373A3" w:rsidRPr="00181FCD">
        <w:t xml:space="preserve"> </w:t>
      </w:r>
      <w:r w:rsidRPr="00181FCD">
        <w:t>Crueles,</w:t>
      </w:r>
      <w:r w:rsidR="00F373A3" w:rsidRPr="00181FCD">
        <w:t xml:space="preserve"> </w:t>
      </w:r>
      <w:r w:rsidRPr="00181FCD">
        <w:t>Inhumanos</w:t>
      </w:r>
      <w:r w:rsidR="00F373A3" w:rsidRPr="00181FCD">
        <w:t xml:space="preserve"> </w:t>
      </w:r>
      <w:r w:rsidRPr="00181FCD">
        <w:t>o</w:t>
      </w:r>
      <w:r w:rsidR="00F373A3" w:rsidRPr="00181FCD">
        <w:t xml:space="preserve"> </w:t>
      </w:r>
      <w:r w:rsidRPr="00181FCD">
        <w:t>Degradantes.</w:t>
      </w:r>
      <w:r w:rsidR="00F373A3" w:rsidRPr="00181FCD">
        <w:t xml:space="preserve"> </w:t>
      </w:r>
      <w:r w:rsidRPr="00181FCD">
        <w:t>Después</w:t>
      </w:r>
      <w:r w:rsidR="00F373A3" w:rsidRPr="00181FCD">
        <w:t xml:space="preserve"> </w:t>
      </w:r>
      <w:r w:rsidRPr="00181FCD">
        <w:t>de</w:t>
      </w:r>
      <w:r w:rsidR="00F373A3" w:rsidRPr="00181FCD">
        <w:t xml:space="preserve"> </w:t>
      </w:r>
      <w:r w:rsidRPr="00181FCD">
        <w:t>las</w:t>
      </w:r>
      <w:r w:rsidR="00F373A3" w:rsidRPr="00181FCD">
        <w:t xml:space="preserve"> </w:t>
      </w:r>
      <w:r w:rsidRPr="00181FCD">
        <w:t>consultas</w:t>
      </w:r>
      <w:r w:rsidR="00F373A3" w:rsidRPr="00181FCD">
        <w:t xml:space="preserve"> </w:t>
      </w:r>
      <w:r w:rsidRPr="00181FCD">
        <w:t>interinstitucionales</w:t>
      </w:r>
      <w:r w:rsidR="00F373A3" w:rsidRPr="00181FCD">
        <w:t xml:space="preserve"> </w:t>
      </w:r>
      <w:r w:rsidRPr="00181FCD">
        <w:t>y</w:t>
      </w:r>
      <w:r w:rsidR="00F373A3" w:rsidRPr="00181FCD">
        <w:t xml:space="preserve"> </w:t>
      </w:r>
      <w:r w:rsidRPr="00181FCD">
        <w:t>las</w:t>
      </w:r>
      <w:r w:rsidR="00F373A3" w:rsidRPr="00181FCD">
        <w:t xml:space="preserve"> </w:t>
      </w:r>
      <w:r w:rsidRPr="00181FCD">
        <w:t>consultas</w:t>
      </w:r>
      <w:r w:rsidR="00F373A3" w:rsidRPr="00181FCD">
        <w:t xml:space="preserve"> </w:t>
      </w:r>
      <w:r w:rsidRPr="00181FCD">
        <w:t>con</w:t>
      </w:r>
      <w:r w:rsidR="00F373A3" w:rsidRPr="00181FCD">
        <w:t xml:space="preserve"> </w:t>
      </w:r>
      <w:r w:rsidRPr="00181FCD">
        <w:t>el</w:t>
      </w:r>
      <w:r w:rsidR="00F373A3" w:rsidRPr="00181FCD">
        <w:t xml:space="preserve"> </w:t>
      </w:r>
      <w:r w:rsidRPr="00181FCD">
        <w:t>sector</w:t>
      </w:r>
      <w:r w:rsidR="00F373A3" w:rsidRPr="00181FCD">
        <w:t xml:space="preserve"> </w:t>
      </w:r>
      <w:r w:rsidRPr="00181FCD">
        <w:t>de</w:t>
      </w:r>
      <w:r w:rsidR="00F373A3" w:rsidRPr="00181FCD">
        <w:t xml:space="preserve"> </w:t>
      </w:r>
      <w:r w:rsidRPr="00181FCD">
        <w:t>las</w:t>
      </w:r>
      <w:r w:rsidR="00F373A3" w:rsidRPr="00181FCD">
        <w:t xml:space="preserve"> </w:t>
      </w:r>
      <w:r w:rsidRPr="00181FCD">
        <w:t>ONG,</w:t>
      </w:r>
      <w:r w:rsidR="00F373A3" w:rsidRPr="00181FCD">
        <w:t xml:space="preserve"> </w:t>
      </w:r>
      <w:r w:rsidRPr="00181FCD">
        <w:t>el</w:t>
      </w:r>
      <w:r w:rsidR="00F373A3" w:rsidRPr="00181FCD">
        <w:t xml:space="preserve"> </w:t>
      </w:r>
      <w:r w:rsidRPr="00181FCD">
        <w:t>Defensor</w:t>
      </w:r>
      <w:r w:rsidR="00F373A3" w:rsidRPr="00181FCD">
        <w:t xml:space="preserve"> </w:t>
      </w:r>
      <w:r w:rsidRPr="00181FCD">
        <w:t>del</w:t>
      </w:r>
      <w:r w:rsidR="00F373A3" w:rsidRPr="00181FCD">
        <w:t xml:space="preserve"> </w:t>
      </w:r>
      <w:r w:rsidRPr="00181FCD">
        <w:t>Pueblo</w:t>
      </w:r>
      <w:r w:rsidR="00F373A3" w:rsidRPr="00181FCD">
        <w:t xml:space="preserve"> </w:t>
      </w:r>
      <w:r w:rsidRPr="00181FCD">
        <w:t>fue</w:t>
      </w:r>
      <w:r w:rsidR="00F373A3" w:rsidRPr="00181FCD">
        <w:t xml:space="preserve"> </w:t>
      </w:r>
      <w:r w:rsidRPr="00181FCD">
        <w:t>designado</w:t>
      </w:r>
      <w:r w:rsidR="00F373A3" w:rsidRPr="00181FCD">
        <w:t xml:space="preserve"> </w:t>
      </w:r>
      <w:r w:rsidRPr="00181FCD">
        <w:t>como</w:t>
      </w:r>
      <w:r w:rsidR="00F373A3" w:rsidRPr="00181FCD">
        <w:t xml:space="preserve"> </w:t>
      </w:r>
      <w:r w:rsidRPr="00181FCD">
        <w:t>mecanismo</w:t>
      </w:r>
      <w:r w:rsidR="00F373A3" w:rsidRPr="00181FCD">
        <w:t xml:space="preserve"> </w:t>
      </w:r>
      <w:r w:rsidRPr="00181FCD">
        <w:t>nacional</w:t>
      </w:r>
      <w:r w:rsidR="00F373A3" w:rsidRPr="00181FCD">
        <w:t xml:space="preserve"> </w:t>
      </w:r>
      <w:r w:rsidRPr="00181FCD">
        <w:t>de</w:t>
      </w:r>
      <w:r w:rsidR="00F373A3" w:rsidRPr="00181FCD">
        <w:t xml:space="preserve"> </w:t>
      </w:r>
      <w:r w:rsidRPr="00181FCD">
        <w:t>prevención.</w:t>
      </w:r>
    </w:p>
    <w:p w:rsidR="001937F4" w:rsidRPr="00181FCD" w:rsidRDefault="001937F4" w:rsidP="00847581">
      <w:pPr>
        <w:pStyle w:val="Bullet1G"/>
      </w:pPr>
      <w:r w:rsidRPr="00181FCD">
        <w:t>Convención</w:t>
      </w:r>
      <w:r w:rsidR="00F373A3" w:rsidRPr="00181FCD">
        <w:t xml:space="preserve"> </w:t>
      </w:r>
      <w:r w:rsidRPr="00181FCD">
        <w:t>sobre</w:t>
      </w:r>
      <w:r w:rsidR="00F373A3" w:rsidRPr="00181FCD">
        <w:t xml:space="preserve"> </w:t>
      </w:r>
      <w:r w:rsidRPr="00181FCD">
        <w:t>los</w:t>
      </w:r>
      <w:r w:rsidR="00F373A3" w:rsidRPr="00181FCD">
        <w:t xml:space="preserve"> </w:t>
      </w:r>
      <w:r w:rsidRPr="00181FCD">
        <w:t>Derechos</w:t>
      </w:r>
      <w:r w:rsidR="00F373A3" w:rsidRPr="00181FCD">
        <w:t xml:space="preserve"> </w:t>
      </w:r>
      <w:r w:rsidRPr="00181FCD">
        <w:t>de</w:t>
      </w:r>
      <w:r w:rsidR="00F373A3" w:rsidRPr="00181FCD">
        <w:t xml:space="preserve"> </w:t>
      </w:r>
      <w:r w:rsidRPr="00181FCD">
        <w:t>las</w:t>
      </w:r>
      <w:r w:rsidR="00F373A3" w:rsidRPr="00181FCD">
        <w:t xml:space="preserve"> </w:t>
      </w:r>
      <w:r w:rsidRPr="00181FCD">
        <w:t>Personas</w:t>
      </w:r>
      <w:r w:rsidR="00F373A3" w:rsidRPr="00181FCD">
        <w:t xml:space="preserve"> </w:t>
      </w:r>
      <w:r w:rsidRPr="00181FCD">
        <w:t>con</w:t>
      </w:r>
      <w:r w:rsidR="00F373A3" w:rsidRPr="00181FCD">
        <w:t xml:space="preserve"> </w:t>
      </w:r>
      <w:r w:rsidRPr="00181FCD">
        <w:t>Discapacidad.</w:t>
      </w:r>
    </w:p>
    <w:p w:rsidR="001937F4" w:rsidRPr="00181FCD" w:rsidRDefault="001937F4" w:rsidP="00847581">
      <w:pPr>
        <w:pStyle w:val="Bullet1G"/>
      </w:pPr>
      <w:r w:rsidRPr="00181FCD">
        <w:t>Convención</w:t>
      </w:r>
      <w:r w:rsidR="00F373A3" w:rsidRPr="00181FCD">
        <w:t xml:space="preserve"> </w:t>
      </w:r>
      <w:r w:rsidRPr="00181FCD">
        <w:t>para</w:t>
      </w:r>
      <w:r w:rsidR="00F373A3" w:rsidRPr="00181FCD">
        <w:t xml:space="preserve"> </w:t>
      </w:r>
      <w:r w:rsidRPr="00181FCD">
        <w:t>Reducir</w:t>
      </w:r>
      <w:r w:rsidR="00F373A3" w:rsidRPr="00181FCD">
        <w:t xml:space="preserve"> </w:t>
      </w:r>
      <w:r w:rsidRPr="00181FCD">
        <w:t>los</w:t>
      </w:r>
      <w:r w:rsidR="00F373A3" w:rsidRPr="00181FCD">
        <w:t xml:space="preserve"> </w:t>
      </w:r>
      <w:r w:rsidRPr="00181FCD">
        <w:t>Casos</w:t>
      </w:r>
      <w:r w:rsidR="00F373A3" w:rsidRPr="00181FCD">
        <w:t xml:space="preserve"> </w:t>
      </w:r>
      <w:r w:rsidRPr="00181FCD">
        <w:t>de</w:t>
      </w:r>
      <w:r w:rsidR="00F373A3" w:rsidRPr="00181FCD">
        <w:t xml:space="preserve"> </w:t>
      </w:r>
      <w:r w:rsidRPr="00181FCD">
        <w:t>Apatridia.</w:t>
      </w:r>
    </w:p>
    <w:p w:rsidR="001937F4" w:rsidRPr="00181FCD" w:rsidRDefault="001937F4" w:rsidP="00847581">
      <w:pPr>
        <w:pStyle w:val="Bullet1G"/>
      </w:pPr>
      <w:r w:rsidRPr="00181FCD">
        <w:t>Protocolo</w:t>
      </w:r>
      <w:r w:rsidR="00F373A3" w:rsidRPr="00181FCD">
        <w:t xml:space="preserve"> </w:t>
      </w:r>
      <w:r w:rsidRPr="00181FCD">
        <w:t>núm.</w:t>
      </w:r>
      <w:r w:rsidR="00F373A3" w:rsidRPr="00181FCD">
        <w:t xml:space="preserve"> </w:t>
      </w:r>
      <w:r w:rsidRPr="00181FCD">
        <w:t>15</w:t>
      </w:r>
      <w:r w:rsidR="00F373A3" w:rsidRPr="00181FCD">
        <w:t xml:space="preserve"> </w:t>
      </w:r>
      <w:r w:rsidRPr="00181FCD">
        <w:t>del</w:t>
      </w:r>
      <w:r w:rsidR="00F373A3" w:rsidRPr="00181FCD">
        <w:t xml:space="preserve"> </w:t>
      </w:r>
      <w:r w:rsidRPr="00181FCD">
        <w:t>Convenio</w:t>
      </w:r>
      <w:r w:rsidR="00F373A3" w:rsidRPr="00181FCD">
        <w:t xml:space="preserve"> </w:t>
      </w:r>
      <w:r w:rsidRPr="00181FCD">
        <w:t>Europeo</w:t>
      </w:r>
      <w:r w:rsidR="00F373A3" w:rsidRPr="00181FCD">
        <w:t xml:space="preserve"> </w:t>
      </w:r>
      <w:r w:rsidRPr="00181FCD">
        <w:t>para</w:t>
      </w:r>
      <w:r w:rsidR="00F373A3" w:rsidRPr="00181FCD">
        <w:t xml:space="preserve"> </w:t>
      </w:r>
      <w:r w:rsidRPr="00181FCD">
        <w:t>la</w:t>
      </w:r>
      <w:r w:rsidR="00F373A3" w:rsidRPr="00181FCD">
        <w:t xml:space="preserve"> </w:t>
      </w:r>
      <w:r w:rsidRPr="00181FCD">
        <w:t>Protección</w:t>
      </w:r>
      <w:r w:rsidR="00F373A3" w:rsidRPr="00181FCD">
        <w:t xml:space="preserve"> </w:t>
      </w:r>
      <w:r w:rsidRPr="00181FCD">
        <w:t>de</w:t>
      </w:r>
      <w:r w:rsidR="00F373A3" w:rsidRPr="00181FCD">
        <w:t xml:space="preserve"> </w:t>
      </w:r>
      <w:r w:rsidRPr="00181FCD">
        <w:t>los</w:t>
      </w:r>
      <w:r w:rsidR="00F373A3" w:rsidRPr="00181FCD">
        <w:t xml:space="preserve"> </w:t>
      </w:r>
      <w:r w:rsidRPr="00181FCD">
        <w:t>Derechos</w:t>
      </w:r>
      <w:r w:rsidR="00F373A3" w:rsidRPr="00181FCD">
        <w:t xml:space="preserve"> </w:t>
      </w:r>
      <w:r w:rsidRPr="00181FCD">
        <w:t>Humanos</w:t>
      </w:r>
      <w:r w:rsidR="00F373A3" w:rsidRPr="00181FCD">
        <w:t xml:space="preserve"> </w:t>
      </w:r>
      <w:r w:rsidRPr="00181FCD">
        <w:t>y</w:t>
      </w:r>
      <w:r w:rsidR="00F373A3" w:rsidRPr="00181FCD">
        <w:t xml:space="preserve"> </w:t>
      </w:r>
      <w:r w:rsidRPr="00181FCD">
        <w:t>de</w:t>
      </w:r>
      <w:r w:rsidR="00F373A3" w:rsidRPr="00181FCD">
        <w:t xml:space="preserve"> </w:t>
      </w:r>
      <w:r w:rsidRPr="00181FCD">
        <w:t>las</w:t>
      </w:r>
      <w:r w:rsidR="00F373A3" w:rsidRPr="00181FCD">
        <w:t xml:space="preserve"> </w:t>
      </w:r>
      <w:r w:rsidRPr="00181FCD">
        <w:t>Libertades</w:t>
      </w:r>
      <w:r w:rsidR="00F373A3" w:rsidRPr="00181FCD">
        <w:t xml:space="preserve"> </w:t>
      </w:r>
      <w:r w:rsidRPr="00181FCD">
        <w:t>Fundamentales.</w:t>
      </w:r>
    </w:p>
    <w:p w:rsidR="00F64D32" w:rsidRPr="00181FCD" w:rsidRDefault="00F64D32" w:rsidP="00347B20">
      <w:pPr>
        <w:suppressAutoHyphens/>
        <w:spacing w:before="240"/>
        <w:jc w:val="center"/>
        <w:rPr>
          <w:u w:val="single"/>
        </w:rPr>
      </w:pPr>
      <w:r w:rsidRPr="00181FCD">
        <w:rPr>
          <w:u w:val="single"/>
        </w:rPr>
        <w:tab/>
      </w:r>
      <w:r w:rsidRPr="00181FCD">
        <w:rPr>
          <w:u w:val="single"/>
        </w:rPr>
        <w:tab/>
      </w:r>
      <w:r w:rsidRPr="00181FCD">
        <w:rPr>
          <w:u w:val="single"/>
        </w:rPr>
        <w:tab/>
      </w:r>
    </w:p>
    <w:sectPr w:rsidR="00F64D32" w:rsidRPr="00181FCD" w:rsidSect="0031039D">
      <w:headerReference w:type="even" r:id="rId9"/>
      <w:headerReference w:type="default" r:id="rId10"/>
      <w:footerReference w:type="even" r:id="rId11"/>
      <w:footerReference w:type="default" r:id="rId12"/>
      <w:footerReference w:type="first" r:id="rId13"/>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05B" w:rsidRDefault="003C705B">
      <w:r>
        <w:separator/>
      </w:r>
    </w:p>
  </w:endnote>
  <w:endnote w:type="continuationSeparator" w:id="0">
    <w:p w:rsidR="003C705B" w:rsidRDefault="003C7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Narkisim">
    <w:panose1 w:val="020E0502050101010101"/>
    <w:charset w:val="B1"/>
    <w:family w:val="swiss"/>
    <w:pitch w:val="variable"/>
    <w:sig w:usb0="00000801" w:usb1="00000000" w:usb2="00000000" w:usb3="00000000" w:csb0="00000020" w:csb1="00000000"/>
  </w:font>
  <w:font w:name="Batang">
    <w:altName w:val="바탕"/>
    <w:panose1 w:val="02030600000101010101"/>
    <w:charset w:val="81"/>
    <w:family w:val="roman"/>
    <w:pitch w:val="variable"/>
    <w:sig w:usb0="B00002AF" w:usb1="69D77CFB" w:usb2="00000030" w:usb3="00000000" w:csb0="0008009F" w:csb1="00000000"/>
  </w:font>
  <w:font w:name="David">
    <w:panose1 w:val="020E0502060401010101"/>
    <w:charset w:val="B1"/>
    <w:family w:val="swiss"/>
    <w:pitch w:val="variable"/>
    <w:sig w:usb0="00000801" w:usb1="00000000" w:usb2="00000000" w:usb3="00000000" w:csb0="00000020" w:csb1="00000000"/>
  </w:font>
  <w:font w:name="Arial TUR">
    <w:charset w:val="00"/>
    <w:family w:val="swiss"/>
    <w:pitch w:val="variable"/>
    <w:sig w:usb0="E0002AFF" w:usb1="C0007843" w:usb2="00000009" w:usb3="00000000" w:csb0="000001FF" w:csb1="00000000"/>
  </w:font>
  <w:font w:name="CGBINH+TimesNewRoman,BoldItalic">
    <w:altName w:val="Times New Roman"/>
    <w:panose1 w:val="00000000000000000000"/>
    <w:charset w:val="00"/>
    <w:family w:val="roman"/>
    <w:notTrueType/>
    <w:pitch w:val="default"/>
    <w:sig w:usb0="00000003" w:usb1="00000000" w:usb2="00000000" w:usb3="00000000" w:csb0="00000001" w:csb1="00000000"/>
  </w:font>
  <w:font w:name="C39T30Lfz">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3A3" w:rsidRDefault="00F373A3" w:rsidP="00DC5BEA">
    <w:pPr>
      <w:pStyle w:val="Footer"/>
      <w:tabs>
        <w:tab w:val="right" w:pos="9638"/>
      </w:tabs>
      <w:suppressAutoHyphens/>
      <w:spacing w:line="240" w:lineRule="auto"/>
    </w:pPr>
    <w:r>
      <w:rPr>
        <w:rStyle w:val="PageNumber"/>
      </w:rPr>
      <w:fldChar w:fldCharType="begin"/>
    </w:r>
    <w:r>
      <w:rPr>
        <w:rStyle w:val="PageNumber"/>
      </w:rPr>
      <w:instrText xml:space="preserve"> PAGE </w:instrText>
    </w:r>
    <w:r>
      <w:rPr>
        <w:rStyle w:val="PageNumber"/>
      </w:rPr>
      <w:fldChar w:fldCharType="separate"/>
    </w:r>
    <w:r w:rsidR="00181FCD">
      <w:rPr>
        <w:rStyle w:val="PageNumber"/>
        <w:noProof/>
      </w:rPr>
      <w:t>2</w:t>
    </w:r>
    <w:r>
      <w:rPr>
        <w:rStyle w:val="PageNumber"/>
      </w:rPr>
      <w:fldChar w:fldCharType="end"/>
    </w:r>
    <w:r>
      <w:rPr>
        <w:rStyle w:val="PageNumber"/>
      </w:rPr>
      <w:tab/>
    </w:r>
    <w:r w:rsidRPr="00FA6AFA">
      <w:rPr>
        <w:lang w:val="en-GB"/>
      </w:rPr>
      <w:t>GE.1</w:t>
    </w:r>
    <w:r>
      <w:rPr>
        <w:lang w:val="en-GB"/>
      </w:rPr>
      <w:t>6</w:t>
    </w:r>
    <w:r w:rsidRPr="00FA6AFA">
      <w:rPr>
        <w:lang w:val="en-GB"/>
      </w:rPr>
      <w:t>-</w:t>
    </w:r>
    <w:r>
      <w:rPr>
        <w:lang w:val="en-GB"/>
      </w:rPr>
      <w:t xml:space="preserve">01925  </w:t>
    </w:r>
    <w:r w:rsidRPr="00FA6AFA">
      <w:rPr>
        <w:lang w:val="en-GB"/>
      </w:rPr>
      <w: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3A3" w:rsidRDefault="00F373A3" w:rsidP="00DC5BEA">
    <w:pPr>
      <w:pStyle w:val="Footer"/>
      <w:tabs>
        <w:tab w:val="right" w:pos="9638"/>
      </w:tabs>
      <w:suppressAutoHyphens/>
      <w:spacing w:line="240" w:lineRule="auto"/>
    </w:pPr>
    <w:r w:rsidRPr="00FA6AFA">
      <w:rPr>
        <w:lang w:val="en-GB"/>
      </w:rPr>
      <w:t>GE.1</w:t>
    </w:r>
    <w:r>
      <w:rPr>
        <w:lang w:val="en-GB"/>
      </w:rPr>
      <w:t>6</w:t>
    </w:r>
    <w:r w:rsidRPr="00FA6AFA">
      <w:rPr>
        <w:lang w:val="en-GB"/>
      </w:rPr>
      <w:t>-</w:t>
    </w:r>
    <w:r>
      <w:rPr>
        <w:lang w:val="en-GB"/>
      </w:rPr>
      <w:t xml:space="preserve">01925  </w:t>
    </w:r>
    <w:r w:rsidRPr="00FA6AFA">
      <w:rPr>
        <w:lang w:val="en-GB"/>
      </w:rPr>
      <w:t>(EXT)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181FCD">
      <w:rPr>
        <w:rStyle w:val="PageNumber"/>
        <w:noProof/>
      </w:rPr>
      <w:t>31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3A3" w:rsidRDefault="00F373A3" w:rsidP="00E948BA">
    <w:pPr>
      <w:pStyle w:val="Footer"/>
      <w:spacing w:before="240"/>
      <w:rPr>
        <w:sz w:val="20"/>
        <w:lang w:val="en-GB"/>
      </w:rPr>
    </w:pPr>
    <w:r w:rsidRPr="001F44C5">
      <w:rPr>
        <w:sz w:val="20"/>
        <w:lang w:val="en-GB"/>
      </w:rPr>
      <w:t>GE.1</w:t>
    </w:r>
    <w:r>
      <w:rPr>
        <w:sz w:val="20"/>
        <w:lang w:val="en-GB"/>
      </w:rPr>
      <w:t>6</w:t>
    </w:r>
    <w:r w:rsidRPr="001F44C5">
      <w:rPr>
        <w:sz w:val="20"/>
        <w:lang w:val="en-GB"/>
      </w:rPr>
      <w:t>-</w:t>
    </w:r>
    <w:r>
      <w:rPr>
        <w:sz w:val="20"/>
        <w:lang w:val="en-GB"/>
      </w:rPr>
      <w:t xml:space="preserve">01925  </w:t>
    </w:r>
    <w:r w:rsidRPr="001F44C5">
      <w:rPr>
        <w:sz w:val="20"/>
        <w:lang w:val="en-GB"/>
      </w:rPr>
      <w:t>(E</w:t>
    </w:r>
    <w:r>
      <w:rPr>
        <w:sz w:val="20"/>
        <w:lang w:val="en-GB"/>
      </w:rPr>
      <w:t>XT</w:t>
    </w:r>
    <w:r w:rsidRPr="001F44C5">
      <w:rPr>
        <w:sz w:val="20"/>
        <w:lang w:val="en-GB"/>
      </w:rPr>
      <w:t>)</w:t>
    </w:r>
    <w:r w:rsidRPr="0031039D">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p>
  <w:p w:rsidR="00E948BA" w:rsidRPr="00E948BA" w:rsidRDefault="00E948BA" w:rsidP="00E948BA">
    <w:pPr>
      <w:rPr>
        <w:rFonts w:ascii="C39T30Lfz" w:hAnsi="C39T30Lfz"/>
        <w:sz w:val="56"/>
        <w:lang w:val="en-GB"/>
      </w:rPr>
    </w:pPr>
    <w:r>
      <w:rPr>
        <w:rFonts w:ascii="C39T30Lfz" w:hAnsi="C39T30Lfz"/>
        <w:sz w:val="56"/>
        <w:lang w:val="en-GB"/>
      </w:rPr>
      <w:t></w:t>
    </w:r>
    <w:r>
      <w:rPr>
        <w:rFonts w:ascii="C39T30Lfz" w:hAnsi="C39T30Lfz"/>
        <w:sz w:val="56"/>
        <w:lang w:val="en-GB"/>
      </w:rPr>
      <w:t></w:t>
    </w:r>
    <w:r>
      <w:rPr>
        <w:rFonts w:ascii="C39T30Lfz" w:hAnsi="C39T30Lfz"/>
        <w:sz w:val="56"/>
        <w:lang w:val="en-GB"/>
      </w:rPr>
      <w:t></w:t>
    </w:r>
    <w:r>
      <w:rPr>
        <w:rFonts w:ascii="C39T30Lfz" w:hAnsi="C39T30Lfz"/>
        <w:sz w:val="56"/>
        <w:lang w:val="en-GB"/>
      </w:rPr>
      <w:t></w:t>
    </w:r>
    <w:r>
      <w:rPr>
        <w:rFonts w:ascii="C39T30Lfz" w:hAnsi="C39T30Lfz"/>
        <w:sz w:val="56"/>
        <w:lang w:val="en-GB"/>
      </w:rPr>
      <w:t></w:t>
    </w:r>
    <w:r>
      <w:rPr>
        <w:rFonts w:ascii="C39T30Lfz" w:hAnsi="C39T30Lfz"/>
        <w:sz w:val="56"/>
        <w:lang w:val="en-GB"/>
      </w:rPr>
      <w:t></w:t>
    </w:r>
    <w:r>
      <w:rPr>
        <w:rFonts w:ascii="C39T30Lfz" w:hAnsi="C39T30Lfz"/>
        <w:sz w:val="56"/>
        <w:lang w:val="en-GB"/>
      </w:rPr>
      <w:t></w:t>
    </w:r>
    <w:r>
      <w:rPr>
        <w:rFonts w:ascii="C39T30Lfz" w:hAnsi="C39T30Lfz"/>
        <w:sz w:val="56"/>
        <w:lang w:val="en-GB"/>
      </w:rPr>
      <w:t></w:t>
    </w:r>
    <w:r>
      <w:rPr>
        <w:rFonts w:ascii="C39T30Lfz" w:hAnsi="C39T30Lfz"/>
        <w:sz w:val="56"/>
        <w:lang w:val="en-GB"/>
      </w:rPr>
      <w:t></w:t>
    </w:r>
    <w:r>
      <w:rPr>
        <w:rFonts w:ascii="C39T30Lfz" w:hAnsi="C39T30Lfz"/>
        <w:noProof/>
        <w:sz w:val="56"/>
        <w:lang w:val="en-US" w:eastAsia="zh-CN"/>
      </w:rPr>
      <w:pict>
        <v:shape id="_x0000_s2050" type="#_x0000_t75" style="position:absolute;margin-left:432.25pt;margin-top:632.1pt;width:50.25pt;height:50.25pt;z-index:2;mso-position-horizontal-relative:margin;mso-position-vertical-relative:margin">
          <v:imagedata r:id="rId2" o:title="6&amp;Size=2&amp;Lang=S"/>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05B" w:rsidRPr="001075E9" w:rsidRDefault="003C705B" w:rsidP="001075E9">
      <w:pPr>
        <w:tabs>
          <w:tab w:val="right" w:pos="2155"/>
        </w:tabs>
        <w:spacing w:after="80" w:line="240" w:lineRule="auto"/>
        <w:ind w:left="680"/>
        <w:rPr>
          <w:u w:val="single"/>
        </w:rPr>
      </w:pPr>
      <w:r>
        <w:rPr>
          <w:u w:val="single"/>
        </w:rPr>
        <w:tab/>
      </w:r>
    </w:p>
  </w:footnote>
  <w:footnote w:type="continuationSeparator" w:id="0">
    <w:p w:rsidR="003C705B" w:rsidRDefault="003C705B" w:rsidP="00407B78">
      <w:pPr>
        <w:tabs>
          <w:tab w:val="right" w:pos="2155"/>
        </w:tabs>
        <w:spacing w:after="80"/>
        <w:ind w:left="680"/>
        <w:rPr>
          <w:u w:val="single"/>
        </w:rPr>
      </w:pPr>
      <w:r>
        <w:rPr>
          <w:u w:val="single"/>
        </w:rPr>
        <w:tab/>
      </w:r>
    </w:p>
  </w:footnote>
  <w:footnote w:id="1">
    <w:p w:rsidR="00F373A3" w:rsidRPr="00C34B5A" w:rsidRDefault="00F373A3" w:rsidP="002C541C">
      <w:pPr>
        <w:pStyle w:val="FootnoteText"/>
        <w:suppressAutoHyphens/>
      </w:pPr>
      <w:r w:rsidRPr="00842309">
        <w:tab/>
      </w:r>
      <w:r w:rsidRPr="00842309">
        <w:rPr>
          <w:rStyle w:val="FootnoteReference"/>
          <w:sz w:val="20"/>
          <w:vertAlign w:val="baseline"/>
        </w:rPr>
        <w:t>*</w:t>
      </w:r>
      <w:r w:rsidRPr="00842309">
        <w:tab/>
      </w:r>
      <w:r w:rsidRPr="00807A14">
        <w:t>Los</w:t>
      </w:r>
      <w:r>
        <w:t xml:space="preserve"> </w:t>
      </w:r>
      <w:r w:rsidRPr="00807A14">
        <w:t>informes</w:t>
      </w:r>
      <w:r>
        <w:t xml:space="preserve"> </w:t>
      </w:r>
      <w:r w:rsidRPr="00807A14">
        <w:t>periódicos</w:t>
      </w:r>
      <w:r>
        <w:t xml:space="preserve"> </w:t>
      </w:r>
      <w:r w:rsidRPr="00807A14">
        <w:t>cuarto</w:t>
      </w:r>
      <w:r>
        <w:t xml:space="preserve"> </w:t>
      </w:r>
      <w:r w:rsidRPr="00807A14">
        <w:t>y</w:t>
      </w:r>
      <w:r>
        <w:t xml:space="preserve"> </w:t>
      </w:r>
      <w:r w:rsidRPr="00807A14">
        <w:t>quinto</w:t>
      </w:r>
      <w:r>
        <w:t xml:space="preserve"> </w:t>
      </w:r>
      <w:r w:rsidRPr="00807A14">
        <w:t>de</w:t>
      </w:r>
      <w:r>
        <w:t xml:space="preserve"> </w:t>
      </w:r>
      <w:r w:rsidRPr="00807A14">
        <w:t>Bulgaria</w:t>
      </w:r>
      <w:r>
        <w:t xml:space="preserve"> </w:t>
      </w:r>
      <w:r w:rsidRPr="00807A14">
        <w:t>figuran</w:t>
      </w:r>
      <w:r>
        <w:t xml:space="preserve"> </w:t>
      </w:r>
      <w:r w:rsidRPr="00807A14">
        <w:t>en</w:t>
      </w:r>
      <w:r>
        <w:t xml:space="preserve"> </w:t>
      </w:r>
      <w:r w:rsidRPr="00807A14">
        <w:t>el</w:t>
      </w:r>
      <w:r>
        <w:t xml:space="preserve"> </w:t>
      </w:r>
      <w:r w:rsidRPr="00807A14">
        <w:t>documento</w:t>
      </w:r>
      <w:r>
        <w:t xml:space="preserve"> </w:t>
      </w:r>
      <w:r w:rsidRPr="00807A14">
        <w:t>CAT/C/BGR/4-5.</w:t>
      </w:r>
      <w:r>
        <w:t xml:space="preserve"> </w:t>
      </w:r>
      <w:r w:rsidRPr="00807A14">
        <w:t>Estos</w:t>
      </w:r>
      <w:r>
        <w:t xml:space="preserve"> </w:t>
      </w:r>
      <w:r w:rsidRPr="00807A14">
        <w:t>informes</w:t>
      </w:r>
      <w:r>
        <w:t xml:space="preserve"> </w:t>
      </w:r>
      <w:r w:rsidRPr="00807A14">
        <w:t>fueron</w:t>
      </w:r>
      <w:r>
        <w:t xml:space="preserve"> </w:t>
      </w:r>
      <w:r w:rsidRPr="00807A14">
        <w:t>examinados</w:t>
      </w:r>
      <w:r>
        <w:t xml:space="preserve"> </w:t>
      </w:r>
      <w:r w:rsidRPr="00807A14">
        <w:t>por</w:t>
      </w:r>
      <w:r>
        <w:t xml:space="preserve"> </w:t>
      </w:r>
      <w:r w:rsidRPr="00807A14">
        <w:t>el</w:t>
      </w:r>
      <w:r>
        <w:t xml:space="preserve"> </w:t>
      </w:r>
      <w:r w:rsidRPr="00807A14">
        <w:t>Comité</w:t>
      </w:r>
      <w:r>
        <w:t xml:space="preserve"> </w:t>
      </w:r>
      <w:r w:rsidRPr="00807A14">
        <w:t>en</w:t>
      </w:r>
      <w:r>
        <w:t xml:space="preserve"> </w:t>
      </w:r>
      <w:r w:rsidRPr="00807A14">
        <w:t>sus</w:t>
      </w:r>
      <w:r>
        <w:t xml:space="preserve"> </w:t>
      </w:r>
      <w:r w:rsidRPr="00807A14">
        <w:t>sesiones</w:t>
      </w:r>
      <w:r>
        <w:t xml:space="preserve"> </w:t>
      </w:r>
      <w:r w:rsidRPr="00807A14">
        <w:t>1032</w:t>
      </w:r>
      <w:r w:rsidR="00672EC2">
        <w:t>ª</w:t>
      </w:r>
      <w:r>
        <w:t xml:space="preserve"> </w:t>
      </w:r>
      <w:r w:rsidRPr="00807A14">
        <w:t>y</w:t>
      </w:r>
      <w:r>
        <w:t xml:space="preserve"> </w:t>
      </w:r>
      <w:r w:rsidRPr="00807A14">
        <w:t>1035</w:t>
      </w:r>
      <w:r w:rsidR="00672EC2">
        <w:t>ª</w:t>
      </w:r>
      <w:r w:rsidRPr="00807A14">
        <w:t>,</w:t>
      </w:r>
      <w:r w:rsidR="00672EC2">
        <w:t xml:space="preserve"> </w:t>
      </w:r>
      <w:r w:rsidRPr="00807A14">
        <w:t>celebradas</w:t>
      </w:r>
      <w:r>
        <w:t xml:space="preserve"> </w:t>
      </w:r>
      <w:r w:rsidRPr="00807A14">
        <w:t>los</w:t>
      </w:r>
      <w:r>
        <w:t xml:space="preserve"> </w:t>
      </w:r>
      <w:r w:rsidRPr="00807A14">
        <w:t>días</w:t>
      </w:r>
      <w:r>
        <w:t xml:space="preserve"> </w:t>
      </w:r>
      <w:r w:rsidRPr="00807A14">
        <w:t>9</w:t>
      </w:r>
      <w:r>
        <w:t xml:space="preserve"> </w:t>
      </w:r>
      <w:r w:rsidRPr="00807A14">
        <w:t>y</w:t>
      </w:r>
      <w:r>
        <w:t xml:space="preserve"> </w:t>
      </w:r>
      <w:r w:rsidRPr="00807A14">
        <w:t>10</w:t>
      </w:r>
      <w:r>
        <w:t xml:space="preserve"> </w:t>
      </w:r>
      <w:r w:rsidRPr="00807A14">
        <w:t>de</w:t>
      </w:r>
      <w:r>
        <w:t xml:space="preserve"> </w:t>
      </w:r>
      <w:r w:rsidRPr="00807A14">
        <w:t>noviembre</w:t>
      </w:r>
      <w:r>
        <w:t xml:space="preserve"> </w:t>
      </w:r>
      <w:r w:rsidRPr="00807A14">
        <w:t>de</w:t>
      </w:r>
      <w:r>
        <w:t xml:space="preserve"> </w:t>
      </w:r>
      <w:r w:rsidRPr="00807A14">
        <w:t>2011</w:t>
      </w:r>
      <w:r>
        <w:t xml:space="preserve"> </w:t>
      </w:r>
      <w:r w:rsidRPr="00807A14">
        <w:t>(CAT/C/SR.1032</w:t>
      </w:r>
      <w:r>
        <w:t xml:space="preserve"> </w:t>
      </w:r>
      <w:r w:rsidRPr="00807A14">
        <w:t>y1035).</w:t>
      </w:r>
      <w:r>
        <w:t xml:space="preserve"> </w:t>
      </w:r>
      <w:r w:rsidRPr="00807A14">
        <w:t>En</w:t>
      </w:r>
      <w:r>
        <w:t xml:space="preserve"> </w:t>
      </w:r>
      <w:r w:rsidRPr="00807A14">
        <w:t>relación</w:t>
      </w:r>
      <w:r>
        <w:t xml:space="preserve"> </w:t>
      </w:r>
      <w:r w:rsidRPr="00807A14">
        <w:t>con</w:t>
      </w:r>
      <w:r>
        <w:t xml:space="preserve"> </w:t>
      </w:r>
      <w:r w:rsidRPr="00807A14">
        <w:t>su</w:t>
      </w:r>
      <w:r>
        <w:t xml:space="preserve"> </w:t>
      </w:r>
      <w:r w:rsidRPr="00807A14">
        <w:t>examen,</w:t>
      </w:r>
      <w:r>
        <w:t xml:space="preserve"> </w:t>
      </w:r>
      <w:r w:rsidRPr="00807A14">
        <w:t>véanse</w:t>
      </w:r>
      <w:r>
        <w:t xml:space="preserve"> </w:t>
      </w:r>
      <w:r w:rsidRPr="00807A14">
        <w:t>las</w:t>
      </w:r>
      <w:r>
        <w:t xml:space="preserve"> </w:t>
      </w:r>
      <w:r w:rsidRPr="00807A14">
        <w:t>observaciones</w:t>
      </w:r>
      <w:r>
        <w:t xml:space="preserve"> </w:t>
      </w:r>
      <w:r w:rsidRPr="00807A14">
        <w:t>finales</w:t>
      </w:r>
      <w:r>
        <w:t xml:space="preserve"> </w:t>
      </w:r>
      <w:r w:rsidRPr="00807A14">
        <w:t>del</w:t>
      </w:r>
      <w:r>
        <w:t xml:space="preserve"> </w:t>
      </w:r>
      <w:r w:rsidRPr="00807A14">
        <w:t>Comité</w:t>
      </w:r>
      <w:r>
        <w:t xml:space="preserve"> </w:t>
      </w:r>
      <w:r w:rsidRPr="00807A14">
        <w:t>(CAT/C/BGR/CO/4-5/Add.1).</w:t>
      </w:r>
    </w:p>
  </w:footnote>
  <w:footnote w:id="2">
    <w:p w:rsidR="00F373A3" w:rsidRPr="00842309" w:rsidRDefault="00F373A3" w:rsidP="002C541C">
      <w:pPr>
        <w:pStyle w:val="FootnoteText"/>
        <w:suppressAutoHyphens/>
        <w:rPr>
          <w:sz w:val="20"/>
        </w:rPr>
      </w:pPr>
      <w:r w:rsidRPr="00842309">
        <w:tab/>
      </w:r>
      <w:r w:rsidRPr="00842309">
        <w:rPr>
          <w:rStyle w:val="FootnoteReference"/>
          <w:sz w:val="20"/>
          <w:vertAlign w:val="baseline"/>
        </w:rPr>
        <w:t>**</w:t>
      </w:r>
      <w:r w:rsidRPr="00842309">
        <w:tab/>
        <w:t>El</w:t>
      </w:r>
      <w:r>
        <w:t xml:space="preserve"> </w:t>
      </w:r>
      <w:r w:rsidRPr="00842309">
        <w:t>presente</w:t>
      </w:r>
      <w:r>
        <w:t xml:space="preserve"> </w:t>
      </w:r>
      <w:r w:rsidRPr="00842309">
        <w:t>documento</w:t>
      </w:r>
      <w:r>
        <w:t xml:space="preserve"> </w:t>
      </w:r>
      <w:r w:rsidRPr="00842309">
        <w:t>se</w:t>
      </w:r>
      <w:r>
        <w:t xml:space="preserve"> </w:t>
      </w:r>
      <w:r w:rsidRPr="00842309">
        <w:t>publica</w:t>
      </w:r>
      <w:r>
        <w:t xml:space="preserve"> </w:t>
      </w:r>
      <w:r w:rsidRPr="00842309">
        <w:t>sin</w:t>
      </w:r>
      <w:r>
        <w:t xml:space="preserve"> </w:t>
      </w:r>
      <w:r w:rsidRPr="00842309">
        <w:t>haber</w:t>
      </w:r>
      <w:r>
        <w:t xml:space="preserve"> </w:t>
      </w:r>
      <w:r w:rsidRPr="00842309">
        <w:t>sido</w:t>
      </w:r>
      <w:r>
        <w:t xml:space="preserve"> </w:t>
      </w:r>
      <w:r w:rsidRPr="00842309">
        <w:t>objeto</w:t>
      </w:r>
      <w:r>
        <w:t xml:space="preserve"> </w:t>
      </w:r>
      <w:r w:rsidRPr="00842309">
        <w:t>de</w:t>
      </w:r>
      <w:r>
        <w:t xml:space="preserve"> </w:t>
      </w:r>
      <w:r w:rsidRPr="00842309">
        <w:t>revisión</w:t>
      </w:r>
      <w:r>
        <w:t xml:space="preserve"> </w:t>
      </w:r>
      <w:r w:rsidRPr="00842309">
        <w:t>editorial</w:t>
      </w:r>
      <w:r>
        <w:t xml:space="preserve"> </w:t>
      </w:r>
      <w:r w:rsidRPr="00842309">
        <w:t>oficial.</w:t>
      </w:r>
    </w:p>
  </w:footnote>
  <w:footnote w:id="3">
    <w:p w:rsidR="00F373A3" w:rsidRPr="00842309" w:rsidRDefault="00F373A3" w:rsidP="002C541C">
      <w:pPr>
        <w:pStyle w:val="FootnoteText"/>
        <w:suppressAutoHyphens/>
      </w:pPr>
      <w:r w:rsidRPr="002C541C">
        <w:rPr>
          <w:rStyle w:val="FootnoteReference"/>
          <w:sz w:val="20"/>
          <w:vertAlign w:val="baseline"/>
        </w:rPr>
        <w:tab/>
        <w:t>*</w:t>
      </w:r>
      <w:r w:rsidRPr="002C541C">
        <w:rPr>
          <w:sz w:val="20"/>
        </w:rPr>
        <w:t>*</w:t>
      </w:r>
      <w:r w:rsidRPr="00842309">
        <w:rPr>
          <w:rStyle w:val="FootnoteReference"/>
          <w:sz w:val="20"/>
          <w:szCs w:val="18"/>
          <w:vertAlign w:val="baseline"/>
        </w:rPr>
        <w:t>*</w:t>
      </w:r>
      <w:r w:rsidRPr="00842309">
        <w:rPr>
          <w:rStyle w:val="FootnoteReference"/>
          <w:sz w:val="20"/>
          <w:vertAlign w:val="baseline"/>
        </w:rPr>
        <w:tab/>
      </w:r>
      <w:r w:rsidRPr="00807A14">
        <w:t>Los</w:t>
      </w:r>
      <w:r>
        <w:t xml:space="preserve"> </w:t>
      </w:r>
      <w:r w:rsidRPr="00807A14">
        <w:t>anexos</w:t>
      </w:r>
      <w:r>
        <w:t xml:space="preserve"> </w:t>
      </w:r>
      <w:r w:rsidRPr="00807A14">
        <w:t>del</w:t>
      </w:r>
      <w:r>
        <w:t xml:space="preserve"> </w:t>
      </w:r>
      <w:r w:rsidRPr="00807A14">
        <w:t>presente</w:t>
      </w:r>
      <w:r>
        <w:t xml:space="preserve"> </w:t>
      </w:r>
      <w:r w:rsidRPr="00807A14">
        <w:t>informe</w:t>
      </w:r>
      <w:r>
        <w:t xml:space="preserve"> </w:t>
      </w:r>
      <w:r w:rsidRPr="00807A14">
        <w:t>se</w:t>
      </w:r>
      <w:r>
        <w:t xml:space="preserve"> </w:t>
      </w:r>
      <w:r w:rsidRPr="00807A14">
        <w:t>pueden</w:t>
      </w:r>
      <w:r>
        <w:t xml:space="preserve"> </w:t>
      </w:r>
      <w:r w:rsidRPr="00807A14">
        <w:t>consultar</w:t>
      </w:r>
      <w:r>
        <w:t xml:space="preserve"> </w:t>
      </w:r>
      <w:r w:rsidRPr="00807A14">
        <w:t>en</w:t>
      </w:r>
      <w:r>
        <w:t xml:space="preserve"> </w:t>
      </w:r>
      <w:r w:rsidRPr="00807A14">
        <w:t>los</w:t>
      </w:r>
      <w:r>
        <w:t xml:space="preserve"> </w:t>
      </w:r>
      <w:r w:rsidRPr="00807A14">
        <w:t>archivos</w:t>
      </w:r>
      <w:r>
        <w:t xml:space="preserve"> </w:t>
      </w:r>
      <w:r w:rsidRPr="00807A14">
        <w:t>de</w:t>
      </w:r>
      <w:r>
        <w:t xml:space="preserve"> </w:t>
      </w:r>
      <w:r w:rsidRPr="00807A14">
        <w:t>la</w:t>
      </w:r>
      <w:r>
        <w:t xml:space="preserve"> </w:t>
      </w:r>
      <w:r w:rsidRPr="00807A14">
        <w:t>Secretaría</w:t>
      </w:r>
      <w:r>
        <w:t xml:space="preserve"> </w:t>
      </w:r>
      <w:r w:rsidRPr="00807A14">
        <w:t>y</w:t>
      </w:r>
      <w:r>
        <w:t xml:space="preserve"> </w:t>
      </w:r>
      <w:r w:rsidRPr="00807A14">
        <w:t>en</w:t>
      </w:r>
      <w:r>
        <w:t xml:space="preserve"> </w:t>
      </w:r>
      <w:r w:rsidRPr="00807A14">
        <w:t>la</w:t>
      </w:r>
      <w:r>
        <w:t xml:space="preserve"> </w:t>
      </w:r>
      <w:r w:rsidRPr="00807A14">
        <w:t>página</w:t>
      </w:r>
      <w:r>
        <w:t xml:space="preserve"> </w:t>
      </w:r>
      <w:r w:rsidRPr="00807A14">
        <w:t>web</w:t>
      </w:r>
      <w:r>
        <w:t xml:space="preserve"> </w:t>
      </w:r>
      <w:r w:rsidRPr="00807A14">
        <w:t>del</w:t>
      </w:r>
      <w:r>
        <w:t xml:space="preserve"> </w:t>
      </w:r>
      <w:r w:rsidRPr="00807A14">
        <w:t>Comité</w:t>
      </w:r>
      <w:r>
        <w:t xml:space="preserve"> </w:t>
      </w:r>
      <w:r w:rsidRPr="00807A14">
        <w:t>contra</w:t>
      </w:r>
      <w:r>
        <w:t xml:space="preserve"> </w:t>
      </w:r>
      <w:r w:rsidRPr="00807A14">
        <w:t>la</w:t>
      </w:r>
      <w:r>
        <w:t xml:space="preserve"> </w:t>
      </w:r>
      <w:r w:rsidRPr="00807A14">
        <w:t>Tortura</w:t>
      </w:r>
      <w:r w:rsidRPr="00842309">
        <w:t>.</w:t>
      </w:r>
    </w:p>
  </w:footnote>
  <w:footnote w:id="4">
    <w:p w:rsidR="00F373A3" w:rsidRPr="00F53A1B" w:rsidRDefault="005D4F56" w:rsidP="002C541C">
      <w:pPr>
        <w:pStyle w:val="FootnoteText"/>
        <w:suppressAutoHyphens/>
        <w:rPr>
          <w:lang w:val="es-ES_tradnl"/>
        </w:rPr>
      </w:pPr>
      <w:r>
        <w:tab/>
      </w:r>
      <w:r w:rsidR="00F373A3">
        <w:rPr>
          <w:rStyle w:val="FootnoteReference"/>
        </w:rPr>
        <w:footnoteRef/>
      </w:r>
      <w:r w:rsidR="00F373A3" w:rsidRPr="00BB72FA">
        <w:tab/>
      </w:r>
      <w:r w:rsidR="00F373A3">
        <w:rPr>
          <w:lang w:val="en-US" w:eastAsia="en-US" w:bidi="ar-SA"/>
        </w:rPr>
        <w:t>Los datos incluidos en los siguientes párrafos proceden del informe anual de 2014 de la Comisión Nacional de Lucha contra la Trata de Personas.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3A3" w:rsidRDefault="00F373A3">
    <w:pPr>
      <w:pStyle w:val="Header"/>
    </w:pPr>
    <w:r w:rsidRPr="00DC5BEA">
      <w:t>CAT/C/</w:t>
    </w:r>
    <w:r>
      <w:t>BGR</w:t>
    </w:r>
    <w:r w:rsidRPr="00DC5BEA">
      <w:t>/</w:t>
    </w:r>
    <w: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3A3" w:rsidRDefault="00F373A3" w:rsidP="0031039D">
    <w:pPr>
      <w:pStyle w:val="Header"/>
      <w:jc w:val="right"/>
    </w:pPr>
    <w:r w:rsidRPr="00DC5BEA">
      <w:t>CAT/C/</w:t>
    </w:r>
    <w:r>
      <w:t>BGR</w:t>
    </w:r>
    <w:r w:rsidRPr="00DC5BEA">
      <w:t>/</w:t>
    </w:r>
    <w: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2A"/>
    <w:multiLevelType w:val="multilevel"/>
    <w:tmpl w:val="00000000"/>
    <w:name w:val="AutoList4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1">
    <w:nsid w:val="0000002B"/>
    <w:multiLevelType w:val="multilevel"/>
    <w:tmpl w:val="00000000"/>
    <w:name w:val="AutoList4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2">
    <w:nsid w:val="00000039"/>
    <w:multiLevelType w:val="multilevel"/>
    <w:tmpl w:val="5322CBD8"/>
    <w:name w:val="AutoList6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3">
    <w:nsid w:val="0000003A"/>
    <w:multiLevelType w:val="multilevel"/>
    <w:tmpl w:val="99AA89DE"/>
    <w:name w:val="AutoList6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4">
    <w:nsid w:val="36A7743B"/>
    <w:multiLevelType w:val="hybridMultilevel"/>
    <w:tmpl w:val="165289D8"/>
    <w:lvl w:ilvl="0" w:tplc="04090001">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6AFD3DE4"/>
    <w:multiLevelType w:val="hybridMultilevel"/>
    <w:tmpl w:val="569E52D4"/>
    <w:lvl w:ilvl="0">
      <w:start w:val="1"/>
      <w:numFmt w:val="bullet"/>
      <w:pStyle w:val="Bullet1G"/>
      <w:lvlText w:val="•"/>
      <w:lvlJc w:val="left"/>
      <w:pPr>
        <w:tabs>
          <w:tab w:val="num" w:pos="1701"/>
        </w:tabs>
        <w:ind w:left="1701" w:hanging="17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6"/>
  </w:num>
  <w:num w:numId="2">
    <w:abstractNumId w:val="14"/>
  </w:num>
  <w:num w:numId="3">
    <w:abstractNumId w:val="18"/>
  </w:num>
  <w:num w:numId="4">
    <w:abstractNumId w:val="17"/>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38FE"/>
    <w:rsid w:val="000018A3"/>
    <w:rsid w:val="000053F4"/>
    <w:rsid w:val="00005496"/>
    <w:rsid w:val="000103E0"/>
    <w:rsid w:val="0001382A"/>
    <w:rsid w:val="00024D45"/>
    <w:rsid w:val="000308D8"/>
    <w:rsid w:val="000328A9"/>
    <w:rsid w:val="00033EE1"/>
    <w:rsid w:val="00037B31"/>
    <w:rsid w:val="00037E76"/>
    <w:rsid w:val="00041FCD"/>
    <w:rsid w:val="00042B72"/>
    <w:rsid w:val="00052DB3"/>
    <w:rsid w:val="000558BD"/>
    <w:rsid w:val="00056EDD"/>
    <w:rsid w:val="0007198F"/>
    <w:rsid w:val="000749C0"/>
    <w:rsid w:val="0008164B"/>
    <w:rsid w:val="00083B25"/>
    <w:rsid w:val="00086825"/>
    <w:rsid w:val="000950C4"/>
    <w:rsid w:val="00095610"/>
    <w:rsid w:val="000A317A"/>
    <w:rsid w:val="000A61B5"/>
    <w:rsid w:val="000A7847"/>
    <w:rsid w:val="000B4CB8"/>
    <w:rsid w:val="000B57E7"/>
    <w:rsid w:val="000C1852"/>
    <w:rsid w:val="000D51A0"/>
    <w:rsid w:val="000E2657"/>
    <w:rsid w:val="000E433A"/>
    <w:rsid w:val="000E79D3"/>
    <w:rsid w:val="000F09DF"/>
    <w:rsid w:val="000F61B2"/>
    <w:rsid w:val="001026A7"/>
    <w:rsid w:val="001030AD"/>
    <w:rsid w:val="001075E9"/>
    <w:rsid w:val="00120D2A"/>
    <w:rsid w:val="001247AC"/>
    <w:rsid w:val="001367A6"/>
    <w:rsid w:val="0014300E"/>
    <w:rsid w:val="0015034F"/>
    <w:rsid w:val="00157AB0"/>
    <w:rsid w:val="001665EA"/>
    <w:rsid w:val="00166848"/>
    <w:rsid w:val="00167AF9"/>
    <w:rsid w:val="00174AFA"/>
    <w:rsid w:val="00180183"/>
    <w:rsid w:val="00181FCD"/>
    <w:rsid w:val="0018649F"/>
    <w:rsid w:val="001937F4"/>
    <w:rsid w:val="00196389"/>
    <w:rsid w:val="001A2F4A"/>
    <w:rsid w:val="001B3EF6"/>
    <w:rsid w:val="001B767C"/>
    <w:rsid w:val="001C0278"/>
    <w:rsid w:val="001C7A89"/>
    <w:rsid w:val="001D0D57"/>
    <w:rsid w:val="001D0FC7"/>
    <w:rsid w:val="001D4517"/>
    <w:rsid w:val="001E2615"/>
    <w:rsid w:val="001F1436"/>
    <w:rsid w:val="001F41A7"/>
    <w:rsid w:val="002007E1"/>
    <w:rsid w:val="00202FAE"/>
    <w:rsid w:val="002034E3"/>
    <w:rsid w:val="00206851"/>
    <w:rsid w:val="00206EEF"/>
    <w:rsid w:val="0021064F"/>
    <w:rsid w:val="0023398D"/>
    <w:rsid w:val="00233FF5"/>
    <w:rsid w:val="00242005"/>
    <w:rsid w:val="00242DC9"/>
    <w:rsid w:val="0024320C"/>
    <w:rsid w:val="00247F65"/>
    <w:rsid w:val="0025487B"/>
    <w:rsid w:val="002651F5"/>
    <w:rsid w:val="00272F54"/>
    <w:rsid w:val="00275B32"/>
    <w:rsid w:val="0029219C"/>
    <w:rsid w:val="00292677"/>
    <w:rsid w:val="002956A9"/>
    <w:rsid w:val="002A2EFC"/>
    <w:rsid w:val="002A340A"/>
    <w:rsid w:val="002B031E"/>
    <w:rsid w:val="002B1258"/>
    <w:rsid w:val="002B2340"/>
    <w:rsid w:val="002B6602"/>
    <w:rsid w:val="002C0E18"/>
    <w:rsid w:val="002C1B2F"/>
    <w:rsid w:val="002C2955"/>
    <w:rsid w:val="002C541C"/>
    <w:rsid w:val="002C796E"/>
    <w:rsid w:val="002C7F47"/>
    <w:rsid w:val="002D4298"/>
    <w:rsid w:val="002D432E"/>
    <w:rsid w:val="002D51CE"/>
    <w:rsid w:val="002D5777"/>
    <w:rsid w:val="002D5AAC"/>
    <w:rsid w:val="002E0995"/>
    <w:rsid w:val="002E3C21"/>
    <w:rsid w:val="002E5600"/>
    <w:rsid w:val="002E5756"/>
    <w:rsid w:val="002F0405"/>
    <w:rsid w:val="002F06E1"/>
    <w:rsid w:val="002F4B52"/>
    <w:rsid w:val="002F71A4"/>
    <w:rsid w:val="002F7F95"/>
    <w:rsid w:val="002F7FD3"/>
    <w:rsid w:val="00300136"/>
    <w:rsid w:val="00300737"/>
    <w:rsid w:val="00301299"/>
    <w:rsid w:val="00306BCE"/>
    <w:rsid w:val="00307FB6"/>
    <w:rsid w:val="0031039D"/>
    <w:rsid w:val="00310E40"/>
    <w:rsid w:val="00315659"/>
    <w:rsid w:val="00317339"/>
    <w:rsid w:val="00317CB4"/>
    <w:rsid w:val="00322004"/>
    <w:rsid w:val="003246B7"/>
    <w:rsid w:val="00336F55"/>
    <w:rsid w:val="00337AC7"/>
    <w:rsid w:val="003402C2"/>
    <w:rsid w:val="00347B20"/>
    <w:rsid w:val="00356D8D"/>
    <w:rsid w:val="00361E85"/>
    <w:rsid w:val="00367066"/>
    <w:rsid w:val="00372932"/>
    <w:rsid w:val="00381587"/>
    <w:rsid w:val="00381C24"/>
    <w:rsid w:val="003844C4"/>
    <w:rsid w:val="0039071B"/>
    <w:rsid w:val="003929D5"/>
    <w:rsid w:val="003958D0"/>
    <w:rsid w:val="003B00E5"/>
    <w:rsid w:val="003B6FF7"/>
    <w:rsid w:val="003C2F9A"/>
    <w:rsid w:val="003C705B"/>
    <w:rsid w:val="003D13F3"/>
    <w:rsid w:val="003D2550"/>
    <w:rsid w:val="003D2789"/>
    <w:rsid w:val="003D6E35"/>
    <w:rsid w:val="003E1126"/>
    <w:rsid w:val="003E3FBA"/>
    <w:rsid w:val="003F0CB5"/>
    <w:rsid w:val="003F1C25"/>
    <w:rsid w:val="0040099F"/>
    <w:rsid w:val="00407B78"/>
    <w:rsid w:val="00417CE3"/>
    <w:rsid w:val="00424203"/>
    <w:rsid w:val="004437D6"/>
    <w:rsid w:val="004469C4"/>
    <w:rsid w:val="00454E07"/>
    <w:rsid w:val="00455041"/>
    <w:rsid w:val="00456146"/>
    <w:rsid w:val="00467153"/>
    <w:rsid w:val="00470CF3"/>
    <w:rsid w:val="00474A8C"/>
    <w:rsid w:val="004757BD"/>
    <w:rsid w:val="00481572"/>
    <w:rsid w:val="0048165A"/>
    <w:rsid w:val="004851ED"/>
    <w:rsid w:val="004A5865"/>
    <w:rsid w:val="004B6CC7"/>
    <w:rsid w:val="004B7AF2"/>
    <w:rsid w:val="004C64E4"/>
    <w:rsid w:val="004D1F2E"/>
    <w:rsid w:val="004D2EB3"/>
    <w:rsid w:val="004D76E4"/>
    <w:rsid w:val="004E5CC6"/>
    <w:rsid w:val="004F67CD"/>
    <w:rsid w:val="005005D1"/>
    <w:rsid w:val="0050108D"/>
    <w:rsid w:val="005023F7"/>
    <w:rsid w:val="00513081"/>
    <w:rsid w:val="00513BCD"/>
    <w:rsid w:val="00516B31"/>
    <w:rsid w:val="00517901"/>
    <w:rsid w:val="00526683"/>
    <w:rsid w:val="00531334"/>
    <w:rsid w:val="0053308D"/>
    <w:rsid w:val="005415F2"/>
    <w:rsid w:val="00541D28"/>
    <w:rsid w:val="005439B0"/>
    <w:rsid w:val="005618CB"/>
    <w:rsid w:val="005652C6"/>
    <w:rsid w:val="005709E0"/>
    <w:rsid w:val="00572E19"/>
    <w:rsid w:val="0057394D"/>
    <w:rsid w:val="00583420"/>
    <w:rsid w:val="005961C8"/>
    <w:rsid w:val="005A29C9"/>
    <w:rsid w:val="005A2CFF"/>
    <w:rsid w:val="005B0B0F"/>
    <w:rsid w:val="005B1946"/>
    <w:rsid w:val="005B31E0"/>
    <w:rsid w:val="005C2D9C"/>
    <w:rsid w:val="005C3A27"/>
    <w:rsid w:val="005D4F56"/>
    <w:rsid w:val="005D7914"/>
    <w:rsid w:val="005E4A28"/>
    <w:rsid w:val="005E7B8B"/>
    <w:rsid w:val="005F0B42"/>
    <w:rsid w:val="00612F10"/>
    <w:rsid w:val="006130A3"/>
    <w:rsid w:val="00615628"/>
    <w:rsid w:val="00616C2F"/>
    <w:rsid w:val="00617F4C"/>
    <w:rsid w:val="006354D0"/>
    <w:rsid w:val="00635D55"/>
    <w:rsid w:val="00636C9B"/>
    <w:rsid w:val="0064368F"/>
    <w:rsid w:val="00652CBE"/>
    <w:rsid w:val="00661E69"/>
    <w:rsid w:val="006626F4"/>
    <w:rsid w:val="00667A13"/>
    <w:rsid w:val="00672EC2"/>
    <w:rsid w:val="006758F8"/>
    <w:rsid w:val="00676F71"/>
    <w:rsid w:val="00681A10"/>
    <w:rsid w:val="00685829"/>
    <w:rsid w:val="00693CFF"/>
    <w:rsid w:val="00693EDA"/>
    <w:rsid w:val="006972BE"/>
    <w:rsid w:val="006B4A33"/>
    <w:rsid w:val="006C2031"/>
    <w:rsid w:val="006C46C6"/>
    <w:rsid w:val="006D039D"/>
    <w:rsid w:val="006D0AEC"/>
    <w:rsid w:val="006D3667"/>
    <w:rsid w:val="006D461A"/>
    <w:rsid w:val="006E0DF5"/>
    <w:rsid w:val="006E53C8"/>
    <w:rsid w:val="006E603C"/>
    <w:rsid w:val="006E685D"/>
    <w:rsid w:val="006F2685"/>
    <w:rsid w:val="006F285A"/>
    <w:rsid w:val="006F35EE"/>
    <w:rsid w:val="006F4BE2"/>
    <w:rsid w:val="006F4E77"/>
    <w:rsid w:val="006F75F0"/>
    <w:rsid w:val="00701112"/>
    <w:rsid w:val="007021FF"/>
    <w:rsid w:val="00705A65"/>
    <w:rsid w:val="007109B8"/>
    <w:rsid w:val="007123E3"/>
    <w:rsid w:val="00717A80"/>
    <w:rsid w:val="00740595"/>
    <w:rsid w:val="00745121"/>
    <w:rsid w:val="00757357"/>
    <w:rsid w:val="00765338"/>
    <w:rsid w:val="00766BB2"/>
    <w:rsid w:val="00771857"/>
    <w:rsid w:val="00781851"/>
    <w:rsid w:val="007905CC"/>
    <w:rsid w:val="00794DB6"/>
    <w:rsid w:val="007B4ACE"/>
    <w:rsid w:val="007C28BD"/>
    <w:rsid w:val="007C6B0C"/>
    <w:rsid w:val="007E02D0"/>
    <w:rsid w:val="007E27C5"/>
    <w:rsid w:val="007E4DD4"/>
    <w:rsid w:val="007F28F7"/>
    <w:rsid w:val="007F2969"/>
    <w:rsid w:val="00803F84"/>
    <w:rsid w:val="00811F13"/>
    <w:rsid w:val="0081353F"/>
    <w:rsid w:val="0082482F"/>
    <w:rsid w:val="00825F8D"/>
    <w:rsid w:val="00834B71"/>
    <w:rsid w:val="00842309"/>
    <w:rsid w:val="00847581"/>
    <w:rsid w:val="008518F3"/>
    <w:rsid w:val="00855B0D"/>
    <w:rsid w:val="00856528"/>
    <w:rsid w:val="00856A8E"/>
    <w:rsid w:val="0086445C"/>
    <w:rsid w:val="0086464E"/>
    <w:rsid w:val="00865769"/>
    <w:rsid w:val="0086793E"/>
    <w:rsid w:val="00881A3A"/>
    <w:rsid w:val="008838FE"/>
    <w:rsid w:val="008930DA"/>
    <w:rsid w:val="00894693"/>
    <w:rsid w:val="008A08D7"/>
    <w:rsid w:val="008A26A0"/>
    <w:rsid w:val="008A33F2"/>
    <w:rsid w:val="008B6909"/>
    <w:rsid w:val="008C41BF"/>
    <w:rsid w:val="008C5E36"/>
    <w:rsid w:val="008D7585"/>
    <w:rsid w:val="008E0030"/>
    <w:rsid w:val="008F33F2"/>
    <w:rsid w:val="00906890"/>
    <w:rsid w:val="00911BE4"/>
    <w:rsid w:val="009133E7"/>
    <w:rsid w:val="00915A84"/>
    <w:rsid w:val="009165CF"/>
    <w:rsid w:val="009271D8"/>
    <w:rsid w:val="0093209F"/>
    <w:rsid w:val="00933014"/>
    <w:rsid w:val="00943673"/>
    <w:rsid w:val="00951972"/>
    <w:rsid w:val="0098073D"/>
    <w:rsid w:val="009848A8"/>
    <w:rsid w:val="009944C4"/>
    <w:rsid w:val="00994EEC"/>
    <w:rsid w:val="009B0DC7"/>
    <w:rsid w:val="009B4762"/>
    <w:rsid w:val="009B49B4"/>
    <w:rsid w:val="009B582C"/>
    <w:rsid w:val="009C6CD1"/>
    <w:rsid w:val="009D02E9"/>
    <w:rsid w:val="009D564A"/>
    <w:rsid w:val="009E16C8"/>
    <w:rsid w:val="009F77E8"/>
    <w:rsid w:val="00A00D24"/>
    <w:rsid w:val="00A07AEB"/>
    <w:rsid w:val="00A1493D"/>
    <w:rsid w:val="00A1547E"/>
    <w:rsid w:val="00A27427"/>
    <w:rsid w:val="00A3455D"/>
    <w:rsid w:val="00A35D86"/>
    <w:rsid w:val="00A607E7"/>
    <w:rsid w:val="00A627D6"/>
    <w:rsid w:val="00A643FD"/>
    <w:rsid w:val="00A80647"/>
    <w:rsid w:val="00A84021"/>
    <w:rsid w:val="00A906DA"/>
    <w:rsid w:val="00A917B3"/>
    <w:rsid w:val="00A93337"/>
    <w:rsid w:val="00A96313"/>
    <w:rsid w:val="00AA3D9E"/>
    <w:rsid w:val="00AA41C0"/>
    <w:rsid w:val="00AA7495"/>
    <w:rsid w:val="00AB3F7D"/>
    <w:rsid w:val="00AB4B51"/>
    <w:rsid w:val="00AB573B"/>
    <w:rsid w:val="00AC5174"/>
    <w:rsid w:val="00AC652C"/>
    <w:rsid w:val="00AC7317"/>
    <w:rsid w:val="00AC74A7"/>
    <w:rsid w:val="00AD3FF6"/>
    <w:rsid w:val="00AE05A6"/>
    <w:rsid w:val="00AE5D8B"/>
    <w:rsid w:val="00AF1B86"/>
    <w:rsid w:val="00B05432"/>
    <w:rsid w:val="00B10CC7"/>
    <w:rsid w:val="00B11F3D"/>
    <w:rsid w:val="00B30918"/>
    <w:rsid w:val="00B320B8"/>
    <w:rsid w:val="00B36DCD"/>
    <w:rsid w:val="00B40459"/>
    <w:rsid w:val="00B46CDC"/>
    <w:rsid w:val="00B539E7"/>
    <w:rsid w:val="00B56926"/>
    <w:rsid w:val="00B62458"/>
    <w:rsid w:val="00B74815"/>
    <w:rsid w:val="00B75E7C"/>
    <w:rsid w:val="00B7779D"/>
    <w:rsid w:val="00B874F6"/>
    <w:rsid w:val="00B91B3E"/>
    <w:rsid w:val="00B91BD7"/>
    <w:rsid w:val="00BB444F"/>
    <w:rsid w:val="00BC0371"/>
    <w:rsid w:val="00BC3327"/>
    <w:rsid w:val="00BC691D"/>
    <w:rsid w:val="00BD33EE"/>
    <w:rsid w:val="00BD3452"/>
    <w:rsid w:val="00BD4538"/>
    <w:rsid w:val="00BD4D3F"/>
    <w:rsid w:val="00BD6A90"/>
    <w:rsid w:val="00BE2255"/>
    <w:rsid w:val="00BE267D"/>
    <w:rsid w:val="00BE3A41"/>
    <w:rsid w:val="00BE6544"/>
    <w:rsid w:val="00BE74A7"/>
    <w:rsid w:val="00BF08EB"/>
    <w:rsid w:val="00BF5A30"/>
    <w:rsid w:val="00BF6881"/>
    <w:rsid w:val="00C04666"/>
    <w:rsid w:val="00C04F9B"/>
    <w:rsid w:val="00C13E7E"/>
    <w:rsid w:val="00C14DB1"/>
    <w:rsid w:val="00C256E4"/>
    <w:rsid w:val="00C32BFD"/>
    <w:rsid w:val="00C34B5A"/>
    <w:rsid w:val="00C37634"/>
    <w:rsid w:val="00C41D79"/>
    <w:rsid w:val="00C429AA"/>
    <w:rsid w:val="00C474F8"/>
    <w:rsid w:val="00C509A8"/>
    <w:rsid w:val="00C51D63"/>
    <w:rsid w:val="00C56529"/>
    <w:rsid w:val="00C60F0C"/>
    <w:rsid w:val="00C662B2"/>
    <w:rsid w:val="00C77CD0"/>
    <w:rsid w:val="00C805C9"/>
    <w:rsid w:val="00C820BE"/>
    <w:rsid w:val="00C904B3"/>
    <w:rsid w:val="00C92939"/>
    <w:rsid w:val="00CA1679"/>
    <w:rsid w:val="00CA3D92"/>
    <w:rsid w:val="00CB1006"/>
    <w:rsid w:val="00CC7DBD"/>
    <w:rsid w:val="00CC7E05"/>
    <w:rsid w:val="00CD328D"/>
    <w:rsid w:val="00CD6024"/>
    <w:rsid w:val="00CD660B"/>
    <w:rsid w:val="00CE5A1A"/>
    <w:rsid w:val="00CE75B7"/>
    <w:rsid w:val="00CF4333"/>
    <w:rsid w:val="00CF55F6"/>
    <w:rsid w:val="00D04232"/>
    <w:rsid w:val="00D057BD"/>
    <w:rsid w:val="00D10656"/>
    <w:rsid w:val="00D20214"/>
    <w:rsid w:val="00D2071B"/>
    <w:rsid w:val="00D307FC"/>
    <w:rsid w:val="00D33D63"/>
    <w:rsid w:val="00D43493"/>
    <w:rsid w:val="00D47707"/>
    <w:rsid w:val="00D47CA1"/>
    <w:rsid w:val="00D562D7"/>
    <w:rsid w:val="00D73B76"/>
    <w:rsid w:val="00D7766A"/>
    <w:rsid w:val="00D90138"/>
    <w:rsid w:val="00D94730"/>
    <w:rsid w:val="00DA49C9"/>
    <w:rsid w:val="00DA75EE"/>
    <w:rsid w:val="00DB1DF7"/>
    <w:rsid w:val="00DB658B"/>
    <w:rsid w:val="00DC5BEA"/>
    <w:rsid w:val="00DD3BC5"/>
    <w:rsid w:val="00DD7D3E"/>
    <w:rsid w:val="00DF4C71"/>
    <w:rsid w:val="00E032B0"/>
    <w:rsid w:val="00E24727"/>
    <w:rsid w:val="00E47095"/>
    <w:rsid w:val="00E65E35"/>
    <w:rsid w:val="00E73F76"/>
    <w:rsid w:val="00E76B3F"/>
    <w:rsid w:val="00E81F54"/>
    <w:rsid w:val="00E924E7"/>
    <w:rsid w:val="00E948BA"/>
    <w:rsid w:val="00E95C7F"/>
    <w:rsid w:val="00E96DC9"/>
    <w:rsid w:val="00EA2820"/>
    <w:rsid w:val="00EA73F7"/>
    <w:rsid w:val="00EB0BD4"/>
    <w:rsid w:val="00EB0D5D"/>
    <w:rsid w:val="00ED11BB"/>
    <w:rsid w:val="00ED570B"/>
    <w:rsid w:val="00EF1360"/>
    <w:rsid w:val="00EF3220"/>
    <w:rsid w:val="00EF54C3"/>
    <w:rsid w:val="00F019CD"/>
    <w:rsid w:val="00F07DBB"/>
    <w:rsid w:val="00F10122"/>
    <w:rsid w:val="00F13E0B"/>
    <w:rsid w:val="00F14C0B"/>
    <w:rsid w:val="00F232B6"/>
    <w:rsid w:val="00F241CE"/>
    <w:rsid w:val="00F373A3"/>
    <w:rsid w:val="00F4579E"/>
    <w:rsid w:val="00F45D29"/>
    <w:rsid w:val="00F474A1"/>
    <w:rsid w:val="00F47D3E"/>
    <w:rsid w:val="00F5295D"/>
    <w:rsid w:val="00F64D32"/>
    <w:rsid w:val="00F85735"/>
    <w:rsid w:val="00F9056A"/>
    <w:rsid w:val="00F94155"/>
    <w:rsid w:val="00FA6826"/>
    <w:rsid w:val="00FA74E0"/>
    <w:rsid w:val="00FB2DE5"/>
    <w:rsid w:val="00FB6CD6"/>
    <w:rsid w:val="00FD2EF7"/>
    <w:rsid w:val="00FD6C1E"/>
    <w:rsid w:val="00FD7EB6"/>
    <w:rsid w:val="00FE2C0C"/>
    <w:rsid w:val="00FE447E"/>
    <w:rsid w:val="00FF1743"/>
    <w:rsid w:val="00FF42E5"/>
    <w:rsid w:val="00FF5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footer" w:uiPriority="99"/>
    <w:lsdException w:name="caption"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link w:val="Heading1Char"/>
    <w:qFormat/>
    <w:rsid w:val="001B3EF6"/>
    <w:pPr>
      <w:keepNext/>
      <w:spacing w:after="0" w:line="240" w:lineRule="auto"/>
      <w:outlineLvl w:val="0"/>
    </w:pPr>
    <w:rPr>
      <w:rFonts w:cs="Arial"/>
      <w:bCs/>
      <w:szCs w:val="32"/>
    </w:rPr>
  </w:style>
  <w:style w:type="paragraph" w:styleId="Heading2">
    <w:name w:val="heading 2"/>
    <w:basedOn w:val="Normal"/>
    <w:next w:val="Normal"/>
    <w:link w:val="Heading2Char"/>
    <w:qFormat/>
    <w:rsid w:val="00681A10"/>
    <w:pPr>
      <w:keepNext/>
      <w:outlineLvl w:val="1"/>
    </w:pPr>
    <w:rPr>
      <w:rFonts w:cs="Arial"/>
      <w:bCs/>
      <w:iCs/>
      <w:szCs w:val="28"/>
    </w:rPr>
  </w:style>
  <w:style w:type="paragraph" w:styleId="Heading3">
    <w:name w:val="heading 3"/>
    <w:basedOn w:val="Normal"/>
    <w:next w:val="Normal"/>
    <w:link w:val="Heading3Char"/>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81A10"/>
    <w:pPr>
      <w:keepNext/>
      <w:spacing w:before="240" w:after="60"/>
      <w:outlineLvl w:val="3"/>
    </w:pPr>
    <w:rPr>
      <w:b/>
      <w:bCs/>
      <w:sz w:val="28"/>
      <w:szCs w:val="28"/>
    </w:rPr>
  </w:style>
  <w:style w:type="paragraph" w:styleId="Heading5">
    <w:name w:val="heading 5"/>
    <w:basedOn w:val="Normal"/>
    <w:next w:val="Normal"/>
    <w:link w:val="Heading5Char"/>
    <w:qFormat/>
    <w:rsid w:val="00681A10"/>
    <w:pPr>
      <w:spacing w:before="240" w:after="60"/>
      <w:outlineLvl w:val="4"/>
    </w:pPr>
    <w:rPr>
      <w:b/>
      <w:bCs/>
      <w:i/>
      <w:iCs/>
      <w:sz w:val="26"/>
      <w:szCs w:val="26"/>
    </w:rPr>
  </w:style>
  <w:style w:type="paragraph" w:styleId="Heading6">
    <w:name w:val="heading 6"/>
    <w:basedOn w:val="Normal"/>
    <w:next w:val="Normal"/>
    <w:link w:val="Heading6Char"/>
    <w:qFormat/>
    <w:rsid w:val="00681A10"/>
    <w:pPr>
      <w:spacing w:before="240" w:after="60"/>
      <w:outlineLvl w:val="5"/>
    </w:pPr>
    <w:rPr>
      <w:b/>
      <w:bCs/>
      <w:sz w:val="22"/>
      <w:szCs w:val="22"/>
    </w:rPr>
  </w:style>
  <w:style w:type="paragraph" w:styleId="Heading7">
    <w:name w:val="heading 7"/>
    <w:basedOn w:val="Normal"/>
    <w:next w:val="Normal"/>
    <w:link w:val="Heading7Char"/>
    <w:qFormat/>
    <w:rsid w:val="00681A10"/>
    <w:pPr>
      <w:spacing w:before="240" w:after="60"/>
      <w:outlineLvl w:val="6"/>
    </w:pPr>
    <w:rPr>
      <w:sz w:val="24"/>
      <w:szCs w:val="24"/>
    </w:rPr>
  </w:style>
  <w:style w:type="paragraph" w:styleId="Heading8">
    <w:name w:val="heading 8"/>
    <w:basedOn w:val="Normal"/>
    <w:next w:val="Normal"/>
    <w:link w:val="Heading8Char"/>
    <w:qFormat/>
    <w:rsid w:val="00681A10"/>
    <w:pPr>
      <w:spacing w:before="240" w:after="60"/>
      <w:outlineLvl w:val="7"/>
    </w:pPr>
    <w:rPr>
      <w:i/>
      <w:iCs/>
      <w:sz w:val="24"/>
      <w:szCs w:val="24"/>
    </w:rPr>
  </w:style>
  <w:style w:type="paragraph" w:styleId="Heading9">
    <w:name w:val="heading 9"/>
    <w:basedOn w:val="Normal"/>
    <w:next w:val="Normal"/>
    <w:link w:val="Heading9Char"/>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rsid w:val="00681A10"/>
  </w:style>
  <w:style w:type="character" w:styleId="FootnoteReference">
    <w:name w:val="footnote reference"/>
    <w:aliases w:val="4_G"/>
    <w:uiPriority w:val="99"/>
    <w:qFormat/>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character" w:customStyle="1" w:styleId="longtext1">
    <w:name w:val="long_text1"/>
    <w:rsid w:val="0031039D"/>
    <w:rPr>
      <w:sz w:val="20"/>
      <w:szCs w:val="20"/>
    </w:rPr>
  </w:style>
  <w:style w:type="paragraph" w:customStyle="1" w:styleId="SingleTxtGA">
    <w:name w:val="_ Single Txt_GA"/>
    <w:basedOn w:val="Normal"/>
    <w:link w:val="SingleTxtGAChar"/>
    <w:rsid w:val="0031039D"/>
    <w:pPr>
      <w:tabs>
        <w:tab w:val="left" w:pos="1928"/>
        <w:tab w:val="left" w:pos="2608"/>
        <w:tab w:val="left" w:pos="3289"/>
        <w:tab w:val="left" w:pos="3969"/>
        <w:tab w:val="left" w:pos="4649"/>
        <w:tab w:val="left" w:pos="5330"/>
      </w:tabs>
      <w:bidi/>
      <w:spacing w:after="120" w:line="380" w:lineRule="exact"/>
      <w:ind w:left="1247" w:right="1247"/>
      <w:jc w:val="lowKashida"/>
    </w:pPr>
    <w:rPr>
      <w:szCs w:val="30"/>
      <w:lang w:val="x-none" w:eastAsia="x-none"/>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link w:val="H23GChar"/>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uiPriority w:val="99"/>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link w:val="FooterChar"/>
    <w:uiPriority w:val="99"/>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link w:val="FootnoteTextChar"/>
    <w:uiPriority w:val="99"/>
    <w:qFormat/>
    <w:rsid w:val="00681A10"/>
    <w:pPr>
      <w:tabs>
        <w:tab w:val="right" w:pos="1021"/>
      </w:tabs>
      <w:spacing w:line="220" w:lineRule="exact"/>
      <w:ind w:left="1134" w:right="1134" w:hanging="1134"/>
    </w:pPr>
    <w:rPr>
      <w:sz w:val="18"/>
    </w:rPr>
  </w:style>
  <w:style w:type="table" w:styleId="TableGrid">
    <w:name w:val="Table Grid"/>
    <w:basedOn w:val="TableNormal"/>
    <w:uiPriority w:val="59"/>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semiHidden/>
    <w:rsid w:val="00681A10"/>
    <w:rPr>
      <w:i/>
      <w:iCs/>
    </w:rPr>
  </w:style>
  <w:style w:type="character" w:styleId="HTMLCode">
    <w:name w:val="HTML Code"/>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uiPriority w:val="99"/>
    <w:rsid w:val="00681A10"/>
    <w:rPr>
      <w:color w:val="0000FF"/>
      <w:u w:val="single"/>
    </w:rPr>
  </w:style>
  <w:style w:type="character" w:styleId="FollowedHyperlink">
    <w:name w:val="FollowedHyperlink"/>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semiHidden/>
    <w:rsid w:val="00681A10"/>
    <w:rPr>
      <w:rFonts w:ascii="Courier New" w:hAnsi="Courier New" w:cs="Courier New"/>
      <w:sz w:val="20"/>
      <w:szCs w:val="20"/>
    </w:rPr>
  </w:style>
  <w:style w:type="paragraph" w:styleId="NormalWeb">
    <w:name w:val="Normal (Web)"/>
    <w:basedOn w:val="Normal"/>
    <w:uiPriority w:val="99"/>
    <w:rsid w:val="00681A10"/>
    <w:rPr>
      <w:sz w:val="24"/>
      <w:szCs w:val="24"/>
    </w:rPr>
  </w:style>
  <w:style w:type="character" w:styleId="LineNumber">
    <w:name w:val="line number"/>
    <w:basedOn w:val="DefaultParagraphFont"/>
    <w:semiHidden/>
    <w:rsid w:val="00681A10"/>
  </w:style>
  <w:style w:type="character" w:styleId="PageNumber">
    <w:name w:val="page number"/>
    <w:aliases w:val="7_G"/>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link w:val="BodyTextIndent2Char"/>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link w:val="BodyTextIndentChar"/>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link w:val="SubtitleChar"/>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qFormat/>
    <w:rsid w:val="00681A10"/>
    <w:rPr>
      <w:b/>
      <w:bCs/>
    </w:rPr>
  </w:style>
  <w:style w:type="paragraph" w:styleId="BodyText">
    <w:name w:val="Body Text"/>
    <w:basedOn w:val="Normal"/>
    <w:link w:val="BodyTextChar"/>
    <w:rsid w:val="00681A10"/>
    <w:pPr>
      <w:spacing w:after="120"/>
    </w:pPr>
  </w:style>
  <w:style w:type="paragraph" w:styleId="BodyText2">
    <w:name w:val="Body Text 2"/>
    <w:basedOn w:val="Normal"/>
    <w:link w:val="BodyText2Char"/>
    <w:rsid w:val="00681A10"/>
    <w:pPr>
      <w:spacing w:after="120" w:line="480" w:lineRule="auto"/>
    </w:pPr>
  </w:style>
  <w:style w:type="paragraph" w:styleId="BodyText3">
    <w:name w:val="Body Text 3"/>
    <w:basedOn w:val="Normal"/>
    <w:link w:val="BodyText3Char"/>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link w:val="EndnoteTextChar"/>
    <w:rsid w:val="00681A10"/>
  </w:style>
  <w:style w:type="paragraph" w:styleId="PlainText">
    <w:name w:val="Plain Text"/>
    <w:basedOn w:val="Normal"/>
    <w:link w:val="PlainTextChar"/>
    <w:rsid w:val="00681A10"/>
    <w:rPr>
      <w:rFonts w:ascii="Courier New" w:hAnsi="Courier New" w:cs="Courier New"/>
    </w:rPr>
  </w:style>
  <w:style w:type="paragraph" w:styleId="Title">
    <w:name w:val="Title"/>
    <w:basedOn w:val="Normal"/>
    <w:link w:val="TitleChar"/>
    <w:qFormat/>
    <w:rsid w:val="00681A10"/>
    <w:pPr>
      <w:spacing w:before="240" w:after="60"/>
      <w:jc w:val="center"/>
      <w:outlineLvl w:val="0"/>
    </w:pPr>
    <w:rPr>
      <w:rFonts w:ascii="Arial" w:hAnsi="Arial" w:cs="Arial"/>
      <w:b/>
      <w:bCs/>
      <w:kern w:val="28"/>
      <w:sz w:val="32"/>
      <w:szCs w:val="32"/>
    </w:rPr>
  </w:style>
  <w:style w:type="character" w:styleId="HTMLVariable">
    <w:name w:val="HTML Variable"/>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 w:type="paragraph" w:customStyle="1" w:styleId="SLGA">
    <w:name w:val="__S_L_GA"/>
    <w:basedOn w:val="Normal"/>
    <w:next w:val="Normal"/>
    <w:rsid w:val="0031039D"/>
    <w:pPr>
      <w:keepNext/>
      <w:keepLines/>
      <w:suppressAutoHyphens/>
      <w:spacing w:before="240" w:after="240" w:line="800" w:lineRule="exact"/>
      <w:ind w:left="1247" w:right="1247"/>
      <w:jc w:val="lowKashida"/>
    </w:pPr>
    <w:rPr>
      <w:rFonts w:cs="Traditional Arabic"/>
      <w:b/>
      <w:bCs/>
      <w:sz w:val="56"/>
      <w:szCs w:val="84"/>
      <w:lang w:val="en-US" w:eastAsia="en-US"/>
    </w:rPr>
  </w:style>
  <w:style w:type="character" w:customStyle="1" w:styleId="SingleTxtGAChar">
    <w:name w:val="_ Single Txt_GA Char"/>
    <w:link w:val="SingleTxtGA"/>
    <w:rsid w:val="0031039D"/>
    <w:rPr>
      <w:szCs w:val="30"/>
      <w:lang w:val="x-none" w:eastAsia="x-none" w:bidi="ar-SA"/>
    </w:rPr>
  </w:style>
  <w:style w:type="character" w:customStyle="1" w:styleId="FooterChar">
    <w:name w:val="Footer Char"/>
    <w:aliases w:val="3_G Char"/>
    <w:link w:val="Footer"/>
    <w:uiPriority w:val="99"/>
    <w:rsid w:val="0031039D"/>
    <w:rPr>
      <w:sz w:val="16"/>
      <w:lang w:val="es-ES" w:eastAsia="es-ES" w:bidi="ar-SA"/>
    </w:rPr>
  </w:style>
  <w:style w:type="paragraph" w:styleId="BalloonText">
    <w:name w:val="Balloon Text"/>
    <w:basedOn w:val="Normal"/>
    <w:link w:val="BalloonTextChar"/>
    <w:uiPriority w:val="99"/>
    <w:rsid w:val="0031039D"/>
    <w:pPr>
      <w:spacing w:line="240" w:lineRule="auto"/>
    </w:pPr>
    <w:rPr>
      <w:rFonts w:ascii="Tahoma" w:hAnsi="Tahoma"/>
      <w:sz w:val="16"/>
      <w:szCs w:val="16"/>
      <w:lang w:val="x-none" w:eastAsia="x-none"/>
    </w:rPr>
  </w:style>
  <w:style w:type="character" w:customStyle="1" w:styleId="BalloonTextChar">
    <w:name w:val="Balloon Text Char"/>
    <w:link w:val="BalloonText"/>
    <w:uiPriority w:val="99"/>
    <w:rsid w:val="0031039D"/>
    <w:rPr>
      <w:rFonts w:ascii="Tahoma" w:hAnsi="Tahoma"/>
      <w:sz w:val="16"/>
      <w:szCs w:val="16"/>
      <w:lang w:val="x-none" w:eastAsia="x-none" w:bidi="ar-SA"/>
    </w:rPr>
  </w:style>
  <w:style w:type="character" w:styleId="CommentReference">
    <w:name w:val="annotation reference"/>
    <w:uiPriority w:val="99"/>
    <w:rsid w:val="0031039D"/>
    <w:rPr>
      <w:sz w:val="16"/>
      <w:szCs w:val="16"/>
    </w:rPr>
  </w:style>
  <w:style w:type="paragraph" w:styleId="CommentText">
    <w:name w:val="annotation text"/>
    <w:basedOn w:val="Normal"/>
    <w:link w:val="CommentTextChar"/>
    <w:uiPriority w:val="99"/>
    <w:rsid w:val="0031039D"/>
  </w:style>
  <w:style w:type="character" w:customStyle="1" w:styleId="CommentTextChar">
    <w:name w:val="Comment Text Char"/>
    <w:link w:val="CommentText"/>
    <w:uiPriority w:val="99"/>
    <w:rsid w:val="0031039D"/>
    <w:rPr>
      <w:lang w:val="es-ES" w:eastAsia="es-ES" w:bidi="ar-SA"/>
    </w:rPr>
  </w:style>
  <w:style w:type="paragraph" w:styleId="Caption">
    <w:name w:val="caption"/>
    <w:basedOn w:val="Normal"/>
    <w:next w:val="Normal"/>
    <w:qFormat/>
    <w:rsid w:val="0031039D"/>
    <w:rPr>
      <w:b/>
      <w:bCs/>
    </w:rPr>
  </w:style>
  <w:style w:type="paragraph" w:styleId="CommentSubject">
    <w:name w:val="annotation subject"/>
    <w:basedOn w:val="CommentText"/>
    <w:next w:val="CommentText"/>
    <w:link w:val="CommentSubjectChar"/>
    <w:uiPriority w:val="99"/>
    <w:rsid w:val="0031039D"/>
    <w:rPr>
      <w:b/>
      <w:bCs/>
    </w:rPr>
  </w:style>
  <w:style w:type="character" w:customStyle="1" w:styleId="CommentSubjectChar">
    <w:name w:val="Comment Subject Char"/>
    <w:link w:val="CommentSubject"/>
    <w:uiPriority w:val="99"/>
    <w:rsid w:val="0031039D"/>
    <w:rPr>
      <w:b/>
      <w:bCs/>
      <w:lang w:val="es-ES" w:eastAsia="es-ES" w:bidi="ar-SA"/>
    </w:rPr>
  </w:style>
  <w:style w:type="character" w:customStyle="1" w:styleId="apple-converted-space">
    <w:name w:val="apple-converted-space"/>
    <w:rsid w:val="0031039D"/>
  </w:style>
  <w:style w:type="character" w:customStyle="1" w:styleId="SingleTxtGChar">
    <w:name w:val="_ Single Txt_G Char"/>
    <w:link w:val="SingleTxtG"/>
    <w:rsid w:val="00AA3D9E"/>
    <w:rPr>
      <w:lang w:val="es-ES" w:eastAsia="es-ES" w:bidi="ar-SA"/>
    </w:rPr>
  </w:style>
  <w:style w:type="character" w:customStyle="1" w:styleId="FootnoteTextChar">
    <w:name w:val="Footnote Text Char"/>
    <w:aliases w:val="5_G Char"/>
    <w:link w:val="FootnoteText"/>
    <w:uiPriority w:val="99"/>
    <w:locked/>
    <w:rsid w:val="00AA3D9E"/>
    <w:rPr>
      <w:sz w:val="18"/>
      <w:lang w:val="es-ES" w:eastAsia="es-ES" w:bidi="ar-SA"/>
    </w:rPr>
  </w:style>
  <w:style w:type="table" w:customStyle="1" w:styleId="TableGrid10">
    <w:name w:val="Table Grid1"/>
    <w:basedOn w:val="TableNormal"/>
    <w:next w:val="TableGrid"/>
    <w:rsid w:val="00AA3D9E"/>
    <w:pPr>
      <w:ind w:firstLine="567"/>
      <w:jc w:val="both"/>
    </w:pPr>
    <w:rPr>
      <w:rFonts w:eastAsia="Calibri"/>
      <w:sz w:val="24"/>
      <w:szCs w:val="24"/>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rsid w:val="00AA3D9E"/>
    <w:pPr>
      <w:ind w:firstLine="567"/>
      <w:jc w:val="both"/>
    </w:pPr>
    <w:rPr>
      <w:rFonts w:eastAsia="Calibri"/>
      <w:sz w:val="24"/>
      <w:szCs w:val="24"/>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rsid w:val="00AA3D9E"/>
    <w:rPr>
      <w:rFonts w:ascii="Calibri" w:eastAsia="Calibri" w:hAnsi="Calibri"/>
      <w:sz w:val="22"/>
      <w:szCs w:val="22"/>
      <w:lang w:val="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AA3D9E"/>
  </w:style>
  <w:style w:type="character" w:customStyle="1" w:styleId="Heading1Char">
    <w:name w:val="Heading 1 Char"/>
    <w:aliases w:val="Table_G Char"/>
    <w:link w:val="Heading1"/>
    <w:rsid w:val="00CB1006"/>
    <w:rPr>
      <w:rFonts w:cs="Arial"/>
      <w:bCs/>
      <w:szCs w:val="32"/>
      <w:lang w:val="es-ES" w:eastAsia="es-ES" w:bidi="ar-SA"/>
    </w:rPr>
  </w:style>
  <w:style w:type="character" w:customStyle="1" w:styleId="Heading2Char">
    <w:name w:val="Heading 2 Char"/>
    <w:link w:val="Heading2"/>
    <w:rsid w:val="00CB1006"/>
    <w:rPr>
      <w:rFonts w:cs="Arial"/>
      <w:bCs/>
      <w:iCs/>
      <w:szCs w:val="28"/>
      <w:lang w:val="es-ES" w:eastAsia="es-ES" w:bidi="ar-SA"/>
    </w:rPr>
  </w:style>
  <w:style w:type="character" w:customStyle="1" w:styleId="Heading3Char">
    <w:name w:val="Heading 3 Char"/>
    <w:link w:val="Heading3"/>
    <w:rsid w:val="00CB1006"/>
    <w:rPr>
      <w:rFonts w:ascii="Arial" w:hAnsi="Arial" w:cs="Arial"/>
      <w:b/>
      <w:bCs/>
      <w:sz w:val="26"/>
      <w:szCs w:val="26"/>
      <w:lang w:val="es-ES" w:eastAsia="es-ES" w:bidi="ar-SA"/>
    </w:rPr>
  </w:style>
  <w:style w:type="character" w:customStyle="1" w:styleId="Heading4Char">
    <w:name w:val="Heading 4 Char"/>
    <w:link w:val="Heading4"/>
    <w:rsid w:val="00CB1006"/>
    <w:rPr>
      <w:b/>
      <w:bCs/>
      <w:sz w:val="28"/>
      <w:szCs w:val="28"/>
      <w:lang w:val="es-ES" w:eastAsia="es-ES" w:bidi="ar-SA"/>
    </w:rPr>
  </w:style>
  <w:style w:type="character" w:customStyle="1" w:styleId="Heading5Char">
    <w:name w:val="Heading 5 Char"/>
    <w:link w:val="Heading5"/>
    <w:rsid w:val="00CB1006"/>
    <w:rPr>
      <w:b/>
      <w:bCs/>
      <w:i/>
      <w:iCs/>
      <w:sz w:val="26"/>
      <w:szCs w:val="26"/>
      <w:lang w:val="es-ES" w:eastAsia="es-ES" w:bidi="ar-SA"/>
    </w:rPr>
  </w:style>
  <w:style w:type="character" w:customStyle="1" w:styleId="Heading6Char">
    <w:name w:val="Heading 6 Char"/>
    <w:link w:val="Heading6"/>
    <w:rsid w:val="00CB1006"/>
    <w:rPr>
      <w:b/>
      <w:bCs/>
      <w:sz w:val="22"/>
      <w:szCs w:val="22"/>
      <w:lang w:val="es-ES" w:eastAsia="es-ES" w:bidi="ar-SA"/>
    </w:rPr>
  </w:style>
  <w:style w:type="character" w:customStyle="1" w:styleId="Heading7Char">
    <w:name w:val="Heading 7 Char"/>
    <w:link w:val="Heading7"/>
    <w:rsid w:val="00CB1006"/>
    <w:rPr>
      <w:sz w:val="24"/>
      <w:szCs w:val="24"/>
      <w:lang w:val="es-ES" w:eastAsia="es-ES" w:bidi="ar-SA"/>
    </w:rPr>
  </w:style>
  <w:style w:type="character" w:customStyle="1" w:styleId="Heading8Char">
    <w:name w:val="Heading 8 Char"/>
    <w:link w:val="Heading8"/>
    <w:rsid w:val="00CB1006"/>
    <w:rPr>
      <w:i/>
      <w:iCs/>
      <w:sz w:val="24"/>
      <w:szCs w:val="24"/>
      <w:lang w:val="es-ES" w:eastAsia="es-ES" w:bidi="ar-SA"/>
    </w:rPr>
  </w:style>
  <w:style w:type="character" w:customStyle="1" w:styleId="Heading9Char">
    <w:name w:val="Heading 9 Char"/>
    <w:link w:val="Heading9"/>
    <w:rsid w:val="00CB1006"/>
    <w:rPr>
      <w:rFonts w:ascii="Arial" w:hAnsi="Arial" w:cs="Arial"/>
      <w:sz w:val="22"/>
      <w:szCs w:val="22"/>
      <w:lang w:val="es-ES" w:eastAsia="es-ES" w:bidi="ar-SA"/>
    </w:rPr>
  </w:style>
  <w:style w:type="paragraph" w:customStyle="1" w:styleId="Quote1">
    <w:name w:val="Quote1"/>
    <w:basedOn w:val="Normal"/>
    <w:next w:val="Normal"/>
    <w:link w:val="QuoteChar"/>
    <w:qFormat/>
    <w:rsid w:val="00CB1006"/>
    <w:pPr>
      <w:spacing w:before="200" w:line="276" w:lineRule="auto"/>
      <w:ind w:left="360" w:right="360"/>
    </w:pPr>
    <w:rPr>
      <w:rFonts w:ascii="Calibri" w:eastAsia="Calibri" w:hAnsi="Calibri" w:cs="Arial"/>
      <w:i/>
      <w:iCs/>
      <w:sz w:val="22"/>
      <w:szCs w:val="22"/>
      <w:lang w:eastAsia="en-US"/>
    </w:rPr>
  </w:style>
  <w:style w:type="character" w:customStyle="1" w:styleId="QuoteChar">
    <w:name w:val="Quote Char"/>
    <w:link w:val="Quote1"/>
    <w:rsid w:val="00CB1006"/>
    <w:rPr>
      <w:rFonts w:ascii="Calibri" w:eastAsia="Calibri" w:hAnsi="Calibri" w:cs="Arial"/>
      <w:i/>
      <w:iCs/>
      <w:sz w:val="22"/>
      <w:szCs w:val="22"/>
      <w:lang w:val="es-ES" w:eastAsia="en-US" w:bidi="ar-SA"/>
    </w:rPr>
  </w:style>
  <w:style w:type="paragraph" w:customStyle="1" w:styleId="1Header">
    <w:name w:val="1_Header"/>
    <w:basedOn w:val="Normal"/>
    <w:rsid w:val="00CB1006"/>
    <w:pPr>
      <w:pBdr>
        <w:bottom w:val="single" w:sz="4" w:space="1" w:color="auto"/>
      </w:pBdr>
      <w:suppressAutoHyphens/>
      <w:spacing w:after="360"/>
    </w:pPr>
    <w:rPr>
      <w:rFonts w:eastAsia="Calibri" w:cs="Arial"/>
    </w:rPr>
  </w:style>
  <w:style w:type="character" w:customStyle="1" w:styleId="SubtitleChar">
    <w:name w:val="Subtitle Char"/>
    <w:link w:val="Subtitle"/>
    <w:rsid w:val="00CB1006"/>
    <w:rPr>
      <w:rFonts w:ascii="Arial" w:hAnsi="Arial" w:cs="Arial"/>
      <w:sz w:val="24"/>
      <w:szCs w:val="24"/>
      <w:lang w:val="es-ES" w:eastAsia="es-ES" w:bidi="ar-SA"/>
    </w:rPr>
  </w:style>
  <w:style w:type="character" w:customStyle="1" w:styleId="SubtleEmphasis1">
    <w:name w:val="Subtle Emphasis1"/>
    <w:qFormat/>
    <w:rsid w:val="00CB1006"/>
    <w:rPr>
      <w:i/>
      <w:iCs/>
    </w:rPr>
  </w:style>
  <w:style w:type="paragraph" w:customStyle="1" w:styleId="EndnoteJ1">
    <w:name w:val="EndnoteJ1"/>
    <w:basedOn w:val="EndnoteText"/>
    <w:rsid w:val="00CB1006"/>
    <w:pPr>
      <w:tabs>
        <w:tab w:val="clear" w:pos="1021"/>
      </w:tabs>
      <w:suppressAutoHyphens/>
      <w:spacing w:after="200" w:line="281" w:lineRule="auto"/>
      <w:ind w:left="0" w:right="0" w:firstLine="0"/>
    </w:pPr>
    <w:rPr>
      <w:rFonts w:ascii="Verdana" w:eastAsia="Calibri" w:hAnsi="Verdana" w:cs="Arial"/>
      <w:sz w:val="15"/>
    </w:rPr>
  </w:style>
  <w:style w:type="character" w:customStyle="1" w:styleId="EndnoteTextChar">
    <w:name w:val="Endnote Text Char"/>
    <w:aliases w:val="2_G Char"/>
    <w:link w:val="EndnoteText"/>
    <w:semiHidden/>
    <w:rsid w:val="00CB1006"/>
    <w:rPr>
      <w:sz w:val="18"/>
      <w:lang w:val="es-ES" w:eastAsia="es-ES" w:bidi="ar-SA"/>
    </w:rPr>
  </w:style>
  <w:style w:type="character" w:customStyle="1" w:styleId="HeaderChar">
    <w:name w:val="Header Char"/>
    <w:aliases w:val="6_G Char"/>
    <w:link w:val="Header"/>
    <w:uiPriority w:val="99"/>
    <w:rsid w:val="00CB1006"/>
    <w:rPr>
      <w:b/>
      <w:sz w:val="18"/>
      <w:lang w:val="es-ES" w:eastAsia="es-ES" w:bidi="ar-SA"/>
    </w:rPr>
  </w:style>
  <w:style w:type="paragraph" w:customStyle="1" w:styleId="HeaderJorsay">
    <w:name w:val="Header_Jorsay"/>
    <w:basedOn w:val="Header"/>
    <w:qFormat/>
    <w:rsid w:val="00CB1006"/>
    <w:pPr>
      <w:pBdr>
        <w:bottom w:val="none" w:sz="0" w:space="0" w:color="auto"/>
      </w:pBdr>
      <w:tabs>
        <w:tab w:val="center" w:pos="4252"/>
        <w:tab w:val="right" w:pos="8504"/>
      </w:tabs>
      <w:spacing w:after="200" w:line="276" w:lineRule="auto"/>
    </w:pPr>
    <w:rPr>
      <w:rFonts w:ascii="Arial" w:eastAsia="Calibri" w:hAnsi="Arial" w:cs="Arial"/>
      <w:b w:val="0"/>
      <w:szCs w:val="18"/>
      <w:lang w:eastAsia="en-US"/>
    </w:rPr>
  </w:style>
  <w:style w:type="paragraph" w:customStyle="1" w:styleId="CeldaJob">
    <w:name w:val="CeldaJob"/>
    <w:basedOn w:val="Normal"/>
    <w:rsid w:val="00CB1006"/>
    <w:pPr>
      <w:spacing w:before="120" w:after="120" w:line="281" w:lineRule="auto"/>
      <w:ind w:left="113" w:right="57"/>
    </w:pPr>
    <w:rPr>
      <w:rFonts w:eastAsia="Calibri" w:cs="Arial"/>
      <w:szCs w:val="22"/>
      <w:lang w:eastAsia="en-US"/>
    </w:rPr>
  </w:style>
  <w:style w:type="character" w:customStyle="1" w:styleId="TitleChar">
    <w:name w:val="Title Char"/>
    <w:link w:val="Title"/>
    <w:rsid w:val="00CB1006"/>
    <w:rPr>
      <w:rFonts w:ascii="Arial" w:hAnsi="Arial" w:cs="Arial"/>
      <w:b/>
      <w:bCs/>
      <w:kern w:val="28"/>
      <w:sz w:val="32"/>
      <w:szCs w:val="32"/>
      <w:lang w:val="es-ES" w:eastAsia="es-ES" w:bidi="ar-SA"/>
    </w:rPr>
  </w:style>
  <w:style w:type="paragraph" w:customStyle="1" w:styleId="NoSpacing1">
    <w:name w:val="No Spacing1"/>
    <w:basedOn w:val="Normal"/>
    <w:qFormat/>
    <w:rsid w:val="00CB1006"/>
    <w:pPr>
      <w:spacing w:line="240" w:lineRule="auto"/>
    </w:pPr>
    <w:rPr>
      <w:rFonts w:eastAsia="Calibri" w:cs="Arial"/>
      <w:szCs w:val="22"/>
      <w:lang w:eastAsia="en-US"/>
    </w:rPr>
  </w:style>
  <w:style w:type="paragraph" w:customStyle="1" w:styleId="ListParagraph1">
    <w:name w:val="List Paragraph1"/>
    <w:basedOn w:val="Normal"/>
    <w:qFormat/>
    <w:rsid w:val="00CB1006"/>
    <w:pPr>
      <w:spacing w:after="200" w:line="276" w:lineRule="auto"/>
      <w:ind w:left="720"/>
      <w:contextualSpacing/>
    </w:pPr>
    <w:rPr>
      <w:rFonts w:eastAsia="Calibri" w:cs="Arial"/>
      <w:szCs w:val="22"/>
      <w:lang w:eastAsia="en-US"/>
    </w:rPr>
  </w:style>
  <w:style w:type="paragraph" w:customStyle="1" w:styleId="IntenseQuote1">
    <w:name w:val="Intense Quote1"/>
    <w:basedOn w:val="Normal"/>
    <w:next w:val="Normal"/>
    <w:link w:val="IntenseQuoteChar"/>
    <w:qFormat/>
    <w:rsid w:val="00CB1006"/>
    <w:pPr>
      <w:pBdr>
        <w:bottom w:val="single" w:sz="4" w:space="1" w:color="auto"/>
      </w:pBdr>
      <w:spacing w:before="200" w:after="280" w:line="276" w:lineRule="auto"/>
      <w:ind w:left="1008" w:right="1152"/>
      <w:jc w:val="both"/>
    </w:pPr>
    <w:rPr>
      <w:rFonts w:ascii="Calibri" w:eastAsia="Calibri" w:hAnsi="Calibri" w:cs="Arial"/>
      <w:b/>
      <w:bCs/>
      <w:i/>
      <w:iCs/>
      <w:sz w:val="22"/>
      <w:szCs w:val="22"/>
      <w:lang w:eastAsia="en-US"/>
    </w:rPr>
  </w:style>
  <w:style w:type="character" w:customStyle="1" w:styleId="IntenseQuoteChar">
    <w:name w:val="Intense Quote Char"/>
    <w:link w:val="IntenseQuote1"/>
    <w:rsid w:val="00CB1006"/>
    <w:rPr>
      <w:rFonts w:ascii="Calibri" w:eastAsia="Calibri" w:hAnsi="Calibri" w:cs="Arial"/>
      <w:b/>
      <w:bCs/>
      <w:i/>
      <w:iCs/>
      <w:sz w:val="22"/>
      <w:szCs w:val="22"/>
      <w:lang w:val="es-ES" w:eastAsia="en-US" w:bidi="ar-SA"/>
    </w:rPr>
  </w:style>
  <w:style w:type="character" w:customStyle="1" w:styleId="IntenseEmphasis1">
    <w:name w:val="Intense Emphasis1"/>
    <w:qFormat/>
    <w:rsid w:val="00CB1006"/>
    <w:rPr>
      <w:b/>
      <w:bCs/>
    </w:rPr>
  </w:style>
  <w:style w:type="character" w:customStyle="1" w:styleId="SubtleReference1">
    <w:name w:val="Subtle Reference1"/>
    <w:qFormat/>
    <w:rsid w:val="00CB1006"/>
    <w:rPr>
      <w:smallCaps/>
    </w:rPr>
  </w:style>
  <w:style w:type="character" w:customStyle="1" w:styleId="IntenseReference1">
    <w:name w:val="Intense Reference1"/>
    <w:qFormat/>
    <w:rsid w:val="00CB1006"/>
    <w:rPr>
      <w:smallCaps/>
      <w:spacing w:val="5"/>
      <w:u w:val="single"/>
    </w:rPr>
  </w:style>
  <w:style w:type="character" w:customStyle="1" w:styleId="BookTitle1">
    <w:name w:val="Book Title1"/>
    <w:qFormat/>
    <w:rsid w:val="00CB1006"/>
    <w:rPr>
      <w:i/>
      <w:iCs/>
      <w:smallCaps/>
      <w:spacing w:val="5"/>
    </w:rPr>
  </w:style>
  <w:style w:type="paragraph" w:customStyle="1" w:styleId="TOCHeading1">
    <w:name w:val="TOC Heading1"/>
    <w:basedOn w:val="Heading1"/>
    <w:next w:val="Normal"/>
    <w:unhideWhenUsed/>
    <w:qFormat/>
    <w:rsid w:val="00CB1006"/>
    <w:pPr>
      <w:keepNext w:val="0"/>
      <w:spacing w:before="480" w:line="276" w:lineRule="auto"/>
      <w:ind w:left="0" w:right="0"/>
      <w:contextualSpacing/>
      <w:jc w:val="left"/>
      <w:outlineLvl w:val="9"/>
    </w:pPr>
    <w:rPr>
      <w:rFonts w:ascii="Cambria" w:eastAsia="SimSun" w:hAnsi="Cambria" w:cs="Times New Roman"/>
      <w:b/>
      <w:sz w:val="28"/>
      <w:szCs w:val="28"/>
      <w:lang w:eastAsia="en-US" w:bidi="en-US"/>
    </w:rPr>
  </w:style>
  <w:style w:type="paragraph" w:customStyle="1" w:styleId="NormalCita">
    <w:name w:val="NormalCita"/>
    <w:basedOn w:val="Normal"/>
    <w:qFormat/>
    <w:rsid w:val="00CB1006"/>
    <w:pPr>
      <w:framePr w:hSpace="141" w:wrap="around" w:vAnchor="text" w:hAnchor="text" w:xAlign="right" w:y="1"/>
      <w:suppressAutoHyphens/>
      <w:autoSpaceDE w:val="0"/>
      <w:autoSpaceDN w:val="0"/>
      <w:adjustRightInd w:val="0"/>
      <w:spacing w:before="120" w:after="120" w:line="281" w:lineRule="auto"/>
      <w:ind w:left="113" w:right="57"/>
      <w:suppressOverlap/>
      <w:textAlignment w:val="center"/>
    </w:pPr>
    <w:rPr>
      <w:rFonts w:ascii="Garamond" w:hAnsi="Garamond"/>
      <w:sz w:val="18"/>
      <w:szCs w:val="17"/>
      <w:lang w:eastAsia="fr-FR"/>
    </w:rPr>
  </w:style>
  <w:style w:type="paragraph" w:customStyle="1" w:styleId="NormalBox">
    <w:name w:val="NormalBox"/>
    <w:basedOn w:val="Normal"/>
    <w:qFormat/>
    <w:rsid w:val="00CB1006"/>
    <w:pPr>
      <w:spacing w:before="120" w:after="120" w:line="281" w:lineRule="auto"/>
      <w:ind w:left="113" w:right="57"/>
    </w:pPr>
    <w:rPr>
      <w:rFonts w:ascii="Garamond" w:hAnsi="Garamond"/>
      <w:sz w:val="18"/>
      <w:szCs w:val="17"/>
      <w:lang w:val="en-US" w:eastAsia="fr-FR"/>
    </w:rPr>
  </w:style>
  <w:style w:type="table" w:customStyle="1" w:styleId="TablaJose">
    <w:name w:val="TablaJose"/>
    <w:basedOn w:val="TableNormal"/>
    <w:rsid w:val="00CB1006"/>
    <w:rPr>
      <w:rFonts w:ascii="Calibri" w:eastAsia="Calibri" w:hAnsi="Calibri" w:cs="Arial"/>
    </w:rPr>
    <w:tblPr/>
  </w:style>
  <w:style w:type="paragraph" w:customStyle="1" w:styleId="TablaJose3">
    <w:name w:val="TablaJose3"/>
    <w:basedOn w:val="Normal"/>
    <w:link w:val="TablaJose3Char"/>
    <w:qFormat/>
    <w:rsid w:val="00CB1006"/>
    <w:pPr>
      <w:spacing w:before="120" w:after="120" w:line="281" w:lineRule="auto"/>
      <w:ind w:left="113" w:right="57"/>
    </w:pPr>
    <w:rPr>
      <w:rFonts w:eastAsia="Calibri" w:cs="Arial"/>
      <w:lang w:val="en-US" w:eastAsia="en-US"/>
    </w:rPr>
  </w:style>
  <w:style w:type="character" w:customStyle="1" w:styleId="TablaJose3Char">
    <w:name w:val="TablaJose3 Char"/>
    <w:link w:val="TablaJose3"/>
    <w:rsid w:val="00CB1006"/>
    <w:rPr>
      <w:rFonts w:eastAsia="Calibri" w:cs="Arial"/>
      <w:lang w:val="en-US" w:eastAsia="en-US" w:bidi="ar-SA"/>
    </w:rPr>
  </w:style>
  <w:style w:type="paragraph" w:customStyle="1" w:styleId="TablaJose4">
    <w:name w:val="TablaJose4"/>
    <w:basedOn w:val="TablaJose3"/>
    <w:autoRedefine/>
    <w:qFormat/>
    <w:rsid w:val="00CB1006"/>
  </w:style>
  <w:style w:type="character" w:customStyle="1" w:styleId="H23GChar">
    <w:name w:val="_ H_2/3_G Char"/>
    <w:link w:val="H23G"/>
    <w:locked/>
    <w:rsid w:val="00CB1006"/>
    <w:rPr>
      <w:b/>
      <w:lang w:val="es-ES" w:eastAsia="es-ES" w:bidi="ar-SA"/>
    </w:rPr>
  </w:style>
  <w:style w:type="paragraph" w:customStyle="1" w:styleId="Default">
    <w:name w:val="Default"/>
    <w:rsid w:val="00CB1006"/>
    <w:pPr>
      <w:autoSpaceDE w:val="0"/>
      <w:autoSpaceDN w:val="0"/>
      <w:adjustRightInd w:val="0"/>
    </w:pPr>
    <w:rPr>
      <w:color w:val="000000"/>
      <w:sz w:val="24"/>
      <w:szCs w:val="24"/>
      <w:lang w:bidi="he-IL"/>
    </w:rPr>
  </w:style>
  <w:style w:type="paragraph" w:customStyle="1" w:styleId="Level1">
    <w:name w:val="Level 1"/>
    <w:basedOn w:val="Normal"/>
    <w:rsid w:val="00CB1006"/>
    <w:pPr>
      <w:widowControl w:val="0"/>
      <w:tabs>
        <w:tab w:val="num" w:pos="360"/>
      </w:tabs>
      <w:autoSpaceDE w:val="0"/>
      <w:autoSpaceDN w:val="0"/>
      <w:adjustRightInd w:val="0"/>
      <w:spacing w:line="240" w:lineRule="auto"/>
      <w:ind w:left="566" w:hanging="566"/>
      <w:outlineLvl w:val="0"/>
    </w:pPr>
    <w:rPr>
      <w:sz w:val="24"/>
      <w:szCs w:val="24"/>
      <w:lang w:val="en-US" w:eastAsia="en-US" w:bidi="he-IL"/>
    </w:rPr>
  </w:style>
  <w:style w:type="character" w:customStyle="1" w:styleId="FootnoteTextChar1">
    <w:name w:val="Footnote Text Char1"/>
    <w:aliases w:val="5_G Char1"/>
    <w:rsid w:val="00CB1006"/>
    <w:rPr>
      <w:rFonts w:ascii="Times New Roman" w:eastAsia="Times New Roman" w:hAnsi="Times New Roman" w:cs="Times New Roman"/>
      <w:sz w:val="18"/>
      <w:lang w:val="en-GB" w:bidi="ar-SA"/>
    </w:rPr>
  </w:style>
  <w:style w:type="paragraph" w:customStyle="1" w:styleId="a">
    <w:name w:val="סעיפים"/>
    <w:basedOn w:val="Normal"/>
    <w:rsid w:val="00CB1006"/>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bidi/>
      <w:spacing w:line="360" w:lineRule="auto"/>
      <w:ind w:left="567" w:hanging="567"/>
      <w:jc w:val="both"/>
    </w:pPr>
    <w:rPr>
      <w:rFonts w:cs="Narkisim"/>
      <w:sz w:val="22"/>
      <w:szCs w:val="24"/>
      <w:lang w:val="en-US" w:eastAsia="en-US" w:bidi="he-IL"/>
    </w:rPr>
  </w:style>
  <w:style w:type="paragraph" w:customStyle="1" w:styleId="parano">
    <w:name w:val="parano"/>
    <w:basedOn w:val="Normal"/>
    <w:rsid w:val="00CB1006"/>
    <w:pPr>
      <w:spacing w:before="100" w:beforeAutospacing="1" w:after="100" w:afterAutospacing="1" w:line="240" w:lineRule="auto"/>
    </w:pPr>
    <w:rPr>
      <w:sz w:val="24"/>
      <w:szCs w:val="24"/>
      <w:lang w:val="en-US" w:eastAsia="en-US" w:bidi="he-IL"/>
    </w:rPr>
  </w:style>
  <w:style w:type="character" w:customStyle="1" w:styleId="BodyTextChar">
    <w:name w:val="Body Text Char"/>
    <w:link w:val="BodyText"/>
    <w:rsid w:val="00CB1006"/>
    <w:rPr>
      <w:lang w:val="es-ES" w:eastAsia="es-ES" w:bidi="ar-SA"/>
    </w:rPr>
  </w:style>
  <w:style w:type="character" w:customStyle="1" w:styleId="CarCar3">
    <w:name w:val=" Car Car3"/>
    <w:rsid w:val="00CB1006"/>
    <w:rPr>
      <w:rFonts w:ascii="Times New Roman" w:eastAsia="Times New Roman" w:hAnsi="Times New Roman" w:cs="Times New Roman"/>
      <w:sz w:val="20"/>
      <w:szCs w:val="20"/>
      <w:lang w:val="en-US" w:bidi="he-IL"/>
    </w:rPr>
  </w:style>
  <w:style w:type="character" w:customStyle="1" w:styleId="a0">
    <w:name w:val="תווי הערת שוליים"/>
    <w:rsid w:val="00CB1006"/>
    <w:rPr>
      <w:vertAlign w:val="superscript"/>
    </w:rPr>
  </w:style>
  <w:style w:type="paragraph" w:customStyle="1" w:styleId="ParaNo0">
    <w:name w:val="ParaNo."/>
    <w:basedOn w:val="Normal"/>
    <w:rsid w:val="00CB1006"/>
    <w:pPr>
      <w:tabs>
        <w:tab w:val="left" w:pos="737"/>
      </w:tabs>
      <w:spacing w:line="240" w:lineRule="auto"/>
      <w:ind w:right="-1"/>
    </w:pPr>
    <w:rPr>
      <w:rFonts w:eastAsia="Batang"/>
      <w:sz w:val="24"/>
      <w:lang w:val="fr-CH" w:eastAsia="en-US"/>
    </w:rPr>
  </w:style>
  <w:style w:type="character" w:customStyle="1" w:styleId="default0">
    <w:name w:val="default"/>
    <w:rsid w:val="00CB1006"/>
    <w:rPr>
      <w:rFonts w:ascii="Times New Roman" w:hAnsi="Times New Roman"/>
      <w:sz w:val="26"/>
    </w:rPr>
  </w:style>
  <w:style w:type="paragraph" w:customStyle="1" w:styleId="CharChar2">
    <w:name w:val="Char Char2"/>
    <w:basedOn w:val="Normal"/>
    <w:rsid w:val="00CB1006"/>
    <w:pPr>
      <w:keepLines/>
      <w:tabs>
        <w:tab w:val="left" w:pos="397"/>
        <w:tab w:val="left" w:pos="794"/>
        <w:tab w:val="left" w:pos="1191"/>
        <w:tab w:val="left" w:pos="1588"/>
        <w:tab w:val="left" w:pos="1985"/>
        <w:tab w:val="left" w:pos="2381"/>
        <w:tab w:val="left" w:pos="2778"/>
        <w:tab w:val="left" w:pos="3175"/>
        <w:tab w:val="left" w:pos="3572"/>
      </w:tabs>
      <w:bidi/>
      <w:spacing w:line="240" w:lineRule="auto"/>
      <w:jc w:val="both"/>
    </w:pPr>
    <w:rPr>
      <w:rFonts w:ascii="Arial" w:hAnsi="Arial" w:cs="David"/>
      <w:noProof/>
      <w:sz w:val="24"/>
      <w:szCs w:val="28"/>
      <w:lang w:val="en-US" w:eastAsia="he-IL" w:bidi="he-IL"/>
    </w:rPr>
  </w:style>
  <w:style w:type="paragraph" w:customStyle="1" w:styleId="CharChar16">
    <w:name w:val="Char Char16"/>
    <w:basedOn w:val="Normal"/>
    <w:rsid w:val="00CB1006"/>
    <w:pPr>
      <w:keepLines/>
      <w:widowControl w:val="0"/>
      <w:tabs>
        <w:tab w:val="left" w:pos="397"/>
        <w:tab w:val="left" w:pos="794"/>
        <w:tab w:val="left" w:pos="1191"/>
        <w:tab w:val="left" w:pos="1588"/>
        <w:tab w:val="left" w:pos="1985"/>
        <w:tab w:val="left" w:pos="2381"/>
        <w:tab w:val="left" w:pos="2778"/>
        <w:tab w:val="left" w:pos="3175"/>
        <w:tab w:val="left" w:pos="3572"/>
      </w:tabs>
      <w:overflowPunct w:val="0"/>
      <w:adjustRightInd w:val="0"/>
      <w:spacing w:line="240" w:lineRule="auto"/>
      <w:jc w:val="both"/>
    </w:pPr>
    <w:rPr>
      <w:rFonts w:ascii="Arial" w:eastAsia="SimSun" w:hAnsi="Arial" w:cs="David"/>
      <w:noProof/>
      <w:kern w:val="28"/>
      <w:szCs w:val="28"/>
      <w:lang w:val="en-US" w:eastAsia="he-IL"/>
    </w:rPr>
  </w:style>
  <w:style w:type="paragraph" w:customStyle="1" w:styleId="a1">
    <w:name w:val="תו"/>
    <w:basedOn w:val="Normal"/>
    <w:rsid w:val="00CB1006"/>
    <w:pPr>
      <w:keepLines/>
      <w:tabs>
        <w:tab w:val="left" w:pos="397"/>
        <w:tab w:val="left" w:pos="794"/>
        <w:tab w:val="left" w:pos="1191"/>
        <w:tab w:val="left" w:pos="1588"/>
        <w:tab w:val="left" w:pos="1985"/>
        <w:tab w:val="left" w:pos="2381"/>
        <w:tab w:val="left" w:pos="2778"/>
        <w:tab w:val="left" w:pos="3175"/>
        <w:tab w:val="left" w:pos="3572"/>
      </w:tabs>
      <w:bidi/>
      <w:spacing w:line="240" w:lineRule="auto"/>
      <w:jc w:val="both"/>
    </w:pPr>
    <w:rPr>
      <w:rFonts w:ascii="Arial" w:hAnsi="Arial" w:cs="David"/>
      <w:noProof/>
      <w:sz w:val="24"/>
      <w:szCs w:val="28"/>
      <w:lang w:val="en-US" w:eastAsia="he-IL" w:bidi="he-IL"/>
    </w:rPr>
  </w:style>
  <w:style w:type="paragraph" w:customStyle="1" w:styleId="CharChar161">
    <w:name w:val="Char Char161"/>
    <w:basedOn w:val="Normal"/>
    <w:rsid w:val="00CB1006"/>
    <w:pPr>
      <w:keepLines/>
      <w:tabs>
        <w:tab w:val="left" w:pos="397"/>
        <w:tab w:val="left" w:pos="794"/>
        <w:tab w:val="left" w:pos="1191"/>
        <w:tab w:val="left" w:pos="1588"/>
        <w:tab w:val="left" w:pos="1985"/>
        <w:tab w:val="left" w:pos="2381"/>
        <w:tab w:val="left" w:pos="2778"/>
        <w:tab w:val="left" w:pos="3175"/>
        <w:tab w:val="left" w:pos="3572"/>
      </w:tabs>
      <w:bidi/>
      <w:spacing w:line="240" w:lineRule="auto"/>
      <w:jc w:val="both"/>
    </w:pPr>
    <w:rPr>
      <w:rFonts w:ascii="Arial" w:hAnsi="Arial" w:cs="David"/>
      <w:noProof/>
      <w:sz w:val="24"/>
      <w:szCs w:val="28"/>
      <w:lang w:val="en-US" w:eastAsia="he-IL" w:bidi="he-IL"/>
    </w:rPr>
  </w:style>
  <w:style w:type="paragraph" w:customStyle="1" w:styleId="CharChar">
    <w:name w:val="Char Char"/>
    <w:basedOn w:val="Normal"/>
    <w:rsid w:val="00CB1006"/>
    <w:pPr>
      <w:keepLines/>
      <w:tabs>
        <w:tab w:val="left" w:pos="397"/>
        <w:tab w:val="left" w:pos="794"/>
        <w:tab w:val="left" w:pos="1191"/>
        <w:tab w:val="left" w:pos="1588"/>
        <w:tab w:val="left" w:pos="1985"/>
        <w:tab w:val="left" w:pos="2381"/>
        <w:tab w:val="left" w:pos="2778"/>
        <w:tab w:val="left" w:pos="3175"/>
        <w:tab w:val="left" w:pos="3572"/>
      </w:tabs>
      <w:bidi/>
      <w:spacing w:line="240" w:lineRule="auto"/>
      <w:jc w:val="both"/>
    </w:pPr>
    <w:rPr>
      <w:rFonts w:ascii="Arial" w:hAnsi="Arial" w:cs="David"/>
      <w:noProof/>
      <w:sz w:val="24"/>
      <w:szCs w:val="28"/>
      <w:lang w:val="en-US" w:eastAsia="he-IL" w:bidi="he-IL"/>
    </w:rPr>
  </w:style>
  <w:style w:type="paragraph" w:customStyle="1" w:styleId="CharChar5CharCharCharCharCharCharCharChar">
    <w:name w:val="Char Char5 תו תו Char Char תו תו Char Char תו תו Char Char תו תו Char Char"/>
    <w:basedOn w:val="Normal"/>
    <w:rsid w:val="00CB1006"/>
    <w:pPr>
      <w:keepLines/>
      <w:tabs>
        <w:tab w:val="left" w:pos="397"/>
        <w:tab w:val="left" w:pos="794"/>
        <w:tab w:val="left" w:pos="1191"/>
        <w:tab w:val="left" w:pos="1588"/>
        <w:tab w:val="left" w:pos="1985"/>
        <w:tab w:val="left" w:pos="2381"/>
        <w:tab w:val="left" w:pos="2778"/>
        <w:tab w:val="left" w:pos="3175"/>
        <w:tab w:val="left" w:pos="3572"/>
      </w:tabs>
      <w:bidi/>
      <w:spacing w:line="240" w:lineRule="auto"/>
      <w:jc w:val="both"/>
    </w:pPr>
    <w:rPr>
      <w:rFonts w:ascii="Arial" w:hAnsi="Arial" w:cs="David"/>
      <w:noProof/>
      <w:sz w:val="24"/>
      <w:szCs w:val="28"/>
      <w:lang w:val="en-US" w:eastAsia="he-IL" w:bidi="he-IL"/>
    </w:rPr>
  </w:style>
  <w:style w:type="paragraph" w:customStyle="1" w:styleId="FileNumber">
    <w:name w:val="File Number"/>
    <w:basedOn w:val="Normal"/>
    <w:rsid w:val="00CB1006"/>
    <w:pPr>
      <w:overflowPunct w:val="0"/>
      <w:autoSpaceDE w:val="0"/>
      <w:autoSpaceDN w:val="0"/>
      <w:bidi/>
      <w:adjustRightInd w:val="0"/>
      <w:spacing w:line="360" w:lineRule="auto"/>
      <w:jc w:val="right"/>
    </w:pPr>
    <w:rPr>
      <w:rFonts w:cs="David"/>
      <w:bCs/>
      <w:szCs w:val="24"/>
      <w:lang w:val="en-US" w:eastAsia="en-US" w:bidi="he-IL"/>
    </w:rPr>
  </w:style>
  <w:style w:type="paragraph" w:customStyle="1" w:styleId="CharCharCharChar1">
    <w:name w:val="Char Char תו תו Char Char1"/>
    <w:basedOn w:val="Normal"/>
    <w:rsid w:val="00CB1006"/>
    <w:pPr>
      <w:keepLines/>
      <w:tabs>
        <w:tab w:val="left" w:pos="397"/>
        <w:tab w:val="left" w:pos="794"/>
        <w:tab w:val="left" w:pos="1191"/>
        <w:tab w:val="left" w:pos="1588"/>
        <w:tab w:val="left" w:pos="1985"/>
        <w:tab w:val="left" w:pos="2381"/>
        <w:tab w:val="left" w:pos="2778"/>
        <w:tab w:val="left" w:pos="3175"/>
        <w:tab w:val="left" w:pos="3572"/>
      </w:tabs>
      <w:bidi/>
      <w:spacing w:line="240" w:lineRule="auto"/>
      <w:jc w:val="both"/>
    </w:pPr>
    <w:rPr>
      <w:rFonts w:ascii="Arial" w:hAnsi="Arial" w:cs="David"/>
      <w:noProof/>
      <w:sz w:val="24"/>
      <w:szCs w:val="28"/>
      <w:lang w:val="en-US" w:eastAsia="he-IL" w:bidi="he-IL"/>
    </w:rPr>
  </w:style>
  <w:style w:type="character" w:customStyle="1" w:styleId="hps">
    <w:name w:val="hps"/>
    <w:rsid w:val="00CB1006"/>
  </w:style>
  <w:style w:type="character" w:customStyle="1" w:styleId="Ruller4">
    <w:name w:val="Ruller4 תו"/>
    <w:link w:val="Ruller40"/>
    <w:locked/>
    <w:rsid w:val="00CB1006"/>
    <w:rPr>
      <w:rFonts w:ascii="Arial TUR" w:hAnsi="Arial TUR"/>
      <w:spacing w:val="10"/>
      <w:sz w:val="28"/>
      <w:lang w:bidi="ar-SA"/>
    </w:rPr>
  </w:style>
  <w:style w:type="paragraph" w:customStyle="1" w:styleId="Ruller40">
    <w:name w:val="Ruller4"/>
    <w:basedOn w:val="Normal"/>
    <w:link w:val="Ruller4"/>
    <w:rsid w:val="00CB1006"/>
    <w:pPr>
      <w:tabs>
        <w:tab w:val="left" w:pos="800"/>
      </w:tabs>
      <w:overflowPunct w:val="0"/>
      <w:autoSpaceDE w:val="0"/>
      <w:autoSpaceDN w:val="0"/>
      <w:bidi/>
      <w:adjustRightInd w:val="0"/>
      <w:spacing w:line="360" w:lineRule="auto"/>
      <w:jc w:val="both"/>
    </w:pPr>
    <w:rPr>
      <w:rFonts w:ascii="Arial TUR" w:hAnsi="Arial TUR"/>
      <w:spacing w:val="10"/>
      <w:sz w:val="28"/>
      <w:lang w:val="en-US" w:eastAsia="en-US"/>
    </w:rPr>
  </w:style>
  <w:style w:type="paragraph" w:customStyle="1" w:styleId="1">
    <w:name w:val="תו1"/>
    <w:basedOn w:val="Normal"/>
    <w:rsid w:val="00CB1006"/>
    <w:pPr>
      <w:keepLines/>
      <w:tabs>
        <w:tab w:val="left" w:pos="397"/>
        <w:tab w:val="left" w:pos="794"/>
        <w:tab w:val="left" w:pos="1191"/>
        <w:tab w:val="left" w:pos="1588"/>
        <w:tab w:val="left" w:pos="1985"/>
        <w:tab w:val="left" w:pos="2381"/>
        <w:tab w:val="left" w:pos="2778"/>
        <w:tab w:val="left" w:pos="3175"/>
        <w:tab w:val="left" w:pos="3572"/>
      </w:tabs>
      <w:bidi/>
      <w:spacing w:line="240" w:lineRule="auto"/>
      <w:jc w:val="both"/>
    </w:pPr>
    <w:rPr>
      <w:rFonts w:ascii="Arial" w:hAnsi="Arial" w:cs="David"/>
      <w:noProof/>
      <w:sz w:val="24"/>
      <w:szCs w:val="28"/>
      <w:lang w:val="en-US" w:eastAsia="he-IL" w:bidi="he-IL"/>
    </w:rPr>
  </w:style>
  <w:style w:type="paragraph" w:customStyle="1" w:styleId="FileNumber0">
    <w:name w:val="סגנון File Number + ימין"/>
    <w:basedOn w:val="FileNumber"/>
    <w:rsid w:val="00CB1006"/>
    <w:pPr>
      <w:jc w:val="left"/>
    </w:pPr>
    <w:rPr>
      <w:szCs w:val="28"/>
    </w:rPr>
  </w:style>
  <w:style w:type="paragraph" w:customStyle="1" w:styleId="10">
    <w:name w:val="רגיל1"/>
    <w:autoRedefine/>
    <w:rsid w:val="00CB1006"/>
    <w:pPr>
      <w:spacing w:before="240" w:line="360" w:lineRule="auto"/>
      <w:jc w:val="both"/>
    </w:pPr>
    <w:rPr>
      <w:color w:val="000000"/>
      <w:sz w:val="24"/>
      <w:szCs w:val="24"/>
      <w:lang w:bidi="he-IL"/>
    </w:rPr>
  </w:style>
  <w:style w:type="paragraph" w:customStyle="1" w:styleId="UPR-MINI">
    <w:name w:val="UPR - MINI"/>
    <w:basedOn w:val="Default"/>
    <w:link w:val="UPR-MINI0"/>
    <w:rsid w:val="00CB1006"/>
    <w:pPr>
      <w:spacing w:beforeLines="60" w:before="144" w:after="60"/>
      <w:ind w:left="142" w:right="-483" w:hanging="426"/>
      <w:jc w:val="both"/>
    </w:pPr>
  </w:style>
  <w:style w:type="character" w:customStyle="1" w:styleId="UPR-MINI0">
    <w:name w:val="UPR - MINI תו"/>
    <w:link w:val="UPR-MINI"/>
    <w:locked/>
    <w:rsid w:val="00CB1006"/>
    <w:rPr>
      <w:color w:val="000000"/>
      <w:sz w:val="24"/>
      <w:szCs w:val="24"/>
      <w:lang w:val="en-US" w:eastAsia="en-US" w:bidi="he-IL"/>
    </w:rPr>
  </w:style>
  <w:style w:type="paragraph" w:customStyle="1" w:styleId="UPR-TINY">
    <w:name w:val="UPR - TINY"/>
    <w:basedOn w:val="UPR-MINI"/>
    <w:link w:val="UPR-TINY0"/>
    <w:rsid w:val="00CB1006"/>
    <w:pPr>
      <w:numPr>
        <w:ilvl w:val="1"/>
      </w:numPr>
      <w:spacing w:beforeLines="0" w:before="12" w:afterLines="60" w:after="144"/>
      <w:ind w:left="567" w:right="-482" w:hanging="283"/>
    </w:pPr>
    <w:rPr>
      <w:color w:val="2A2A2A"/>
    </w:rPr>
  </w:style>
  <w:style w:type="character" w:customStyle="1" w:styleId="UPR-TINY0">
    <w:name w:val="UPR - TINY תו"/>
    <w:link w:val="UPR-TINY"/>
    <w:locked/>
    <w:rsid w:val="00CB1006"/>
    <w:rPr>
      <w:color w:val="2A2A2A"/>
      <w:sz w:val="24"/>
      <w:szCs w:val="24"/>
      <w:lang w:val="en-US" w:eastAsia="en-US" w:bidi="he-IL"/>
    </w:rPr>
  </w:style>
  <w:style w:type="paragraph" w:customStyle="1" w:styleId="Char1">
    <w:name w:val="גופן ברירת המחדל של קטע תו Char1"/>
    <w:aliases w:val="גופן ברירת המחדל של קטע תו תו Char,תו Char תו Char תו Char תו תו תו Char,גופן ברירת המחדל של קטע תו Char תו תו Char,תו Char תו Char תו Char תו תו Char תו תו Char"/>
    <w:basedOn w:val="Normal"/>
    <w:rsid w:val="00CB1006"/>
    <w:pPr>
      <w:keepLines/>
      <w:tabs>
        <w:tab w:val="left" w:pos="397"/>
        <w:tab w:val="left" w:pos="794"/>
        <w:tab w:val="left" w:pos="1191"/>
        <w:tab w:val="left" w:pos="1588"/>
        <w:tab w:val="left" w:pos="1985"/>
        <w:tab w:val="left" w:pos="2381"/>
        <w:tab w:val="left" w:pos="2778"/>
        <w:tab w:val="left" w:pos="3175"/>
        <w:tab w:val="left" w:pos="3572"/>
      </w:tabs>
      <w:bidi/>
      <w:spacing w:line="240" w:lineRule="auto"/>
      <w:jc w:val="both"/>
    </w:pPr>
    <w:rPr>
      <w:rFonts w:ascii="Arial" w:hAnsi="Arial" w:cs="David"/>
      <w:noProof/>
      <w:sz w:val="24"/>
      <w:szCs w:val="28"/>
      <w:lang w:val="en-US" w:eastAsia="he-IL" w:bidi="he-IL"/>
    </w:rPr>
  </w:style>
  <w:style w:type="paragraph" w:styleId="TOC1">
    <w:name w:val="toc 1"/>
    <w:basedOn w:val="Normal"/>
    <w:next w:val="Normal"/>
    <w:autoRedefine/>
    <w:rsid w:val="00CB1006"/>
    <w:pPr>
      <w:bidi/>
      <w:spacing w:after="200" w:line="276" w:lineRule="auto"/>
    </w:pPr>
    <w:rPr>
      <w:rFonts w:ascii="Calibri" w:hAnsi="Calibri" w:cs="Arial"/>
      <w:sz w:val="22"/>
      <w:szCs w:val="22"/>
      <w:lang w:val="en-US" w:eastAsia="en-US" w:bidi="he-IL"/>
    </w:rPr>
  </w:style>
  <w:style w:type="character" w:customStyle="1" w:styleId="BodyTextIndentChar">
    <w:name w:val="Body Text Indent Char"/>
    <w:link w:val="BodyTextIndent"/>
    <w:rsid w:val="00D94730"/>
  </w:style>
  <w:style w:type="character" w:customStyle="1" w:styleId="BodyText2Char">
    <w:name w:val="Body Text 2 Char"/>
    <w:link w:val="BodyText2"/>
    <w:rsid w:val="00D94730"/>
  </w:style>
  <w:style w:type="character" w:customStyle="1" w:styleId="BodyText3Char">
    <w:name w:val="Body Text 3 Char"/>
    <w:link w:val="BodyText3"/>
    <w:rsid w:val="00D94730"/>
    <w:rPr>
      <w:sz w:val="16"/>
      <w:szCs w:val="16"/>
    </w:rPr>
  </w:style>
  <w:style w:type="paragraph" w:customStyle="1" w:styleId="11">
    <w:name w:val="1"/>
    <w:basedOn w:val="Normal"/>
    <w:rsid w:val="00D94730"/>
    <w:pPr>
      <w:spacing w:after="160" w:line="240" w:lineRule="exact"/>
    </w:pPr>
    <w:rPr>
      <w:rFonts w:ascii="Tahoma" w:hAnsi="Tahoma"/>
      <w:lang w:val="en-US" w:eastAsia="en-US"/>
    </w:rPr>
  </w:style>
  <w:style w:type="paragraph" w:customStyle="1" w:styleId="Intent">
    <w:name w:val="Intent"/>
    <w:basedOn w:val="Normal"/>
    <w:next w:val="Normal"/>
    <w:rsid w:val="00D94730"/>
    <w:pPr>
      <w:autoSpaceDE w:val="0"/>
      <w:autoSpaceDN w:val="0"/>
      <w:adjustRightInd w:val="0"/>
      <w:spacing w:before="120" w:after="120" w:line="240" w:lineRule="auto"/>
    </w:pPr>
    <w:rPr>
      <w:rFonts w:ascii="CGBINH+TimesNewRoman,BoldItalic" w:hAnsi="CGBINH+TimesNewRoman,BoldItalic"/>
      <w:sz w:val="24"/>
      <w:szCs w:val="24"/>
      <w:lang w:val="en-US" w:eastAsia="en-US"/>
    </w:rPr>
  </w:style>
  <w:style w:type="paragraph" w:customStyle="1" w:styleId="StyleBodyText3ArialAfter6ptLinespacingsingle">
    <w:name w:val="Style Body Text 3 + Arial After:  6 pt Line spacing:  single"/>
    <w:basedOn w:val="Normal"/>
    <w:next w:val="Normal"/>
    <w:rsid w:val="00D94730"/>
    <w:pPr>
      <w:autoSpaceDE w:val="0"/>
      <w:autoSpaceDN w:val="0"/>
      <w:adjustRightInd w:val="0"/>
      <w:spacing w:before="120" w:after="120" w:line="240" w:lineRule="auto"/>
    </w:pPr>
    <w:rPr>
      <w:rFonts w:ascii="CGBINH+TimesNewRoman,BoldItalic" w:hAnsi="CGBINH+TimesNewRoman,BoldItalic"/>
      <w:sz w:val="24"/>
      <w:szCs w:val="24"/>
      <w:lang w:val="en-US" w:eastAsia="en-US"/>
    </w:rPr>
  </w:style>
  <w:style w:type="character" w:customStyle="1" w:styleId="BodyTextIndent2Char">
    <w:name w:val="Body Text Indent 2 Char"/>
    <w:link w:val="BodyTextIndent2"/>
    <w:rsid w:val="00D94730"/>
  </w:style>
  <w:style w:type="character" w:customStyle="1" w:styleId="PlainTextChar">
    <w:name w:val="Plain Text Char"/>
    <w:link w:val="PlainText"/>
    <w:rsid w:val="00D94730"/>
    <w:rPr>
      <w:rFonts w:ascii="Courier New" w:hAnsi="Courier New" w:cs="Courier New"/>
    </w:rPr>
  </w:style>
  <w:style w:type="character" w:customStyle="1" w:styleId="smalltext1">
    <w:name w:val="smalltext1"/>
    <w:rsid w:val="00D94730"/>
    <w:rPr>
      <w:rFonts w:ascii="Verdana" w:hAnsi="Verdana" w:hint="default"/>
      <w:b w:val="0"/>
      <w:bCs w:val="0"/>
      <w:color w:val="666666"/>
      <w:sz w:val="17"/>
      <w:szCs w:val="17"/>
    </w:rPr>
  </w:style>
  <w:style w:type="paragraph" w:styleId="ListParagraph">
    <w:name w:val="List Paragraph"/>
    <w:basedOn w:val="Normal"/>
    <w:link w:val="ListParagraphChar"/>
    <w:uiPriority w:val="99"/>
    <w:qFormat/>
    <w:rsid w:val="00D94730"/>
    <w:pPr>
      <w:spacing w:line="240" w:lineRule="auto"/>
      <w:ind w:left="720"/>
      <w:contextualSpacing/>
    </w:pPr>
    <w:rPr>
      <w:rFonts w:ascii="Arial" w:hAnsi="Arial"/>
      <w:sz w:val="24"/>
      <w:szCs w:val="24"/>
      <w:lang w:val="en-GB" w:eastAsia="en-US"/>
    </w:rPr>
  </w:style>
  <w:style w:type="character" w:customStyle="1" w:styleId="ListParagraphChar">
    <w:name w:val="List Paragraph Char"/>
    <w:link w:val="ListParagraph"/>
    <w:uiPriority w:val="99"/>
    <w:locked/>
    <w:rsid w:val="00D94730"/>
    <w:rPr>
      <w:rFonts w:ascii="Arial" w:hAnsi="Arial"/>
      <w:sz w:val="24"/>
      <w:szCs w:val="24"/>
      <w:lang w:val="en-GB" w:eastAsia="en-US"/>
    </w:rPr>
  </w:style>
  <w:style w:type="character" w:customStyle="1" w:styleId="longtext">
    <w:name w:val="long_text"/>
    <w:basedOn w:val="DefaultParagraphFont"/>
    <w:rsid w:val="00D94730"/>
  </w:style>
  <w:style w:type="character" w:customStyle="1" w:styleId="shorttext">
    <w:name w:val="short_text"/>
    <w:basedOn w:val="DefaultParagraphFont"/>
    <w:rsid w:val="00D94730"/>
  </w:style>
  <w:style w:type="character" w:customStyle="1" w:styleId="smalltext">
    <w:name w:val="smalltext"/>
    <w:basedOn w:val="DefaultParagraphFont"/>
    <w:rsid w:val="00D94730"/>
  </w:style>
  <w:style w:type="character" w:customStyle="1" w:styleId="text6">
    <w:name w:val="text6"/>
    <w:rsid w:val="00D94730"/>
    <w:rPr>
      <w:rFonts w:ascii="Verdana" w:hAnsi="Verdana" w:hint="default"/>
      <w:b w:val="0"/>
      <w:bCs w:val="0"/>
      <w:color w:val="333333"/>
      <w:sz w:val="17"/>
      <w:szCs w:val="17"/>
    </w:rPr>
  </w:style>
  <w:style w:type="paragraph" w:customStyle="1" w:styleId="ZIS-Textkorper">
    <w:name w:val="ZIS-Textkorper"/>
    <w:basedOn w:val="Default"/>
    <w:next w:val="Default"/>
    <w:uiPriority w:val="99"/>
    <w:rsid w:val="00D94730"/>
    <w:rPr>
      <w:rFonts w:eastAsia="Calibri"/>
      <w:color w:val="auto"/>
      <w:lang w:val="en-GB" w:bidi="ar-SA"/>
    </w:rPr>
  </w:style>
  <w:style w:type="paragraph" w:customStyle="1" w:styleId="ZIS-Aufzahlung">
    <w:name w:val="ZIS-Aufzahlung"/>
    <w:basedOn w:val="Default"/>
    <w:next w:val="Default"/>
    <w:uiPriority w:val="99"/>
    <w:rsid w:val="00D94730"/>
    <w:rPr>
      <w:rFonts w:eastAsia="Calibri"/>
      <w:color w:val="auto"/>
      <w:lang w:val="en-GB" w:bidi="ar-SA"/>
    </w:rPr>
  </w:style>
  <w:style w:type="paragraph" w:customStyle="1" w:styleId="EntEmet">
    <w:name w:val="EntEmet"/>
    <w:basedOn w:val="Normal"/>
    <w:rsid w:val="00D94730"/>
    <w:pPr>
      <w:widowControl w:val="0"/>
      <w:tabs>
        <w:tab w:val="left" w:pos="284"/>
        <w:tab w:val="left" w:pos="567"/>
        <w:tab w:val="left" w:pos="851"/>
        <w:tab w:val="left" w:pos="1134"/>
        <w:tab w:val="left" w:pos="1418"/>
      </w:tabs>
      <w:spacing w:before="40" w:line="240" w:lineRule="auto"/>
    </w:pPr>
    <w:rPr>
      <w:rFonts w:eastAsia="Calibri"/>
      <w:sz w:val="24"/>
      <w:szCs w:val="24"/>
      <w:lang w:val="en-GB" w:eastAsia="fr-BE"/>
    </w:rPr>
  </w:style>
  <w:style w:type="paragraph" w:styleId="NoSpacing">
    <w:name w:val="No Spacing"/>
    <w:uiPriority w:val="1"/>
    <w:qFormat/>
    <w:rsid w:val="00D94730"/>
    <w:rPr>
      <w:rFonts w:ascii="Arial" w:hAnsi="Arial" w:cs="Arial"/>
      <w:sz w:val="24"/>
      <w:szCs w:val="24"/>
    </w:rPr>
  </w:style>
  <w:style w:type="paragraph" w:customStyle="1" w:styleId="DecimalAligned">
    <w:name w:val="Decimal Aligned"/>
    <w:basedOn w:val="Normal"/>
    <w:uiPriority w:val="40"/>
    <w:qFormat/>
    <w:rsid w:val="00D94730"/>
    <w:pPr>
      <w:tabs>
        <w:tab w:val="decimal" w:pos="360"/>
      </w:tabs>
      <w:spacing w:after="200" w:line="276" w:lineRule="auto"/>
    </w:pPr>
    <w:rPr>
      <w:rFonts w:ascii="Calibri" w:hAnsi="Calibri"/>
      <w:sz w:val="22"/>
      <w:szCs w:val="22"/>
      <w:lang w:val="en-US" w:eastAsia="en-US"/>
    </w:rPr>
  </w:style>
  <w:style w:type="character" w:styleId="SubtleEmphasis">
    <w:name w:val="Subtle Emphasis"/>
    <w:uiPriority w:val="19"/>
    <w:qFormat/>
    <w:rsid w:val="00D94730"/>
    <w:rPr>
      <w:rFonts w:ascii="Times New Roman" w:eastAsia="Times New Roman" w:hAnsi="Times New Roman" w:cs="Times New Roman" w:hint="default"/>
      <w:bCs w:val="0"/>
      <w:i/>
      <w:iCs/>
      <w:color w:val="808080"/>
      <w:szCs w:val="22"/>
      <w:lang w:val="en-US"/>
    </w:rPr>
  </w:style>
  <w:style w:type="paragraph" w:styleId="Revision">
    <w:name w:val="Revision"/>
    <w:hidden/>
    <w:uiPriority w:val="99"/>
    <w:semiHidden/>
    <w:rsid w:val="00D94730"/>
    <w:rPr>
      <w:lang w:val="en-GB"/>
    </w:rPr>
  </w:style>
  <w:style w:type="character" w:customStyle="1" w:styleId="preferred">
    <w:name w:val="preferred"/>
    <w:basedOn w:val="DefaultParagraphFont"/>
    <w:rsid w:val="00D94730"/>
  </w:style>
  <w:style w:type="character" w:customStyle="1" w:styleId="en">
    <w:name w:val="en"/>
    <w:basedOn w:val="DefaultParagraphFont"/>
    <w:rsid w:val="00D94730"/>
  </w:style>
  <w:style w:type="character" w:customStyle="1" w:styleId="goog-gtc-unit">
    <w:name w:val="goog-gtc-unit"/>
    <w:basedOn w:val="DefaultParagraphFont"/>
    <w:rsid w:val="001937F4"/>
  </w:style>
  <w:style w:type="character" w:customStyle="1" w:styleId="goog-gtc-translatable">
    <w:name w:val="goog-gtc-translatable"/>
    <w:basedOn w:val="DefaultParagraphFont"/>
    <w:rsid w:val="00193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uari\Mis%20documentos\trabajo_onu\formato%20onu\final_plantilla\Templates_Spa\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116</TotalTime>
  <Pages>44</Pages>
  <Words>22793</Words>
  <Characters>129923</Characters>
  <Application>Microsoft Office Word</Application>
  <DocSecurity>4</DocSecurity>
  <Lines>1082</Lines>
  <Paragraphs>304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DCM</Company>
  <LinksUpToDate>false</LinksUpToDate>
  <CharactersWithSpaces>152412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AdayMartin</dc:creator>
  <cp:keywords/>
  <cp:lastModifiedBy>AdayMartin</cp:lastModifiedBy>
  <cp:revision>5</cp:revision>
  <cp:lastPrinted>2016-06-10T10:37:00Z</cp:lastPrinted>
  <dcterms:created xsi:type="dcterms:W3CDTF">2016-06-10T10:36:00Z</dcterms:created>
  <dcterms:modified xsi:type="dcterms:W3CDTF">2016-06-10T12:27:00Z</dcterms:modified>
</cp:coreProperties>
</file>