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E3C14" w14:paraId="3B891C8F" w14:textId="77777777">
        <w:trPr>
          <w:cantSplit/>
          <w:trHeight w:hRule="exact" w:val="851"/>
        </w:trPr>
        <w:tc>
          <w:tcPr>
            <w:tcW w:w="1276" w:type="dxa"/>
            <w:tcBorders>
              <w:bottom w:val="single" w:sz="4" w:space="0" w:color="auto"/>
            </w:tcBorders>
            <w:vAlign w:val="bottom"/>
          </w:tcPr>
          <w:p w14:paraId="1D555877" w14:textId="77777777" w:rsidR="00BE3C14" w:rsidRDefault="00BE3C14"/>
        </w:tc>
        <w:tc>
          <w:tcPr>
            <w:tcW w:w="2268" w:type="dxa"/>
            <w:tcBorders>
              <w:bottom w:val="single" w:sz="4" w:space="0" w:color="auto"/>
            </w:tcBorders>
            <w:vAlign w:val="bottom"/>
          </w:tcPr>
          <w:p w14:paraId="6E2F9A67" w14:textId="77777777" w:rsidR="00BE3C14" w:rsidRDefault="00B65306">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33436511" w14:textId="77777777" w:rsidR="00BE3C14" w:rsidRPr="00CB4571" w:rsidRDefault="00CB4571" w:rsidP="00CB4571">
            <w:pPr>
              <w:suppressAutoHyphens w:val="0"/>
              <w:jc w:val="right"/>
            </w:pPr>
            <w:r w:rsidRPr="00CB4571">
              <w:rPr>
                <w:sz w:val="40"/>
              </w:rPr>
              <w:t>CAT</w:t>
            </w:r>
            <w:r>
              <w:t>/C/CHE/8</w:t>
            </w:r>
          </w:p>
        </w:tc>
      </w:tr>
      <w:tr w:rsidR="00BE3C14" w14:paraId="1F2DB9B8" w14:textId="77777777">
        <w:trPr>
          <w:cantSplit/>
          <w:trHeight w:hRule="exact" w:val="2835"/>
        </w:trPr>
        <w:tc>
          <w:tcPr>
            <w:tcW w:w="1276" w:type="dxa"/>
            <w:tcBorders>
              <w:top w:val="single" w:sz="4" w:space="0" w:color="auto"/>
              <w:bottom w:val="single" w:sz="12" w:space="0" w:color="auto"/>
            </w:tcBorders>
          </w:tcPr>
          <w:p w14:paraId="16197C8F" w14:textId="77777777" w:rsidR="00BE3C14" w:rsidRDefault="00B65306">
            <w:pPr>
              <w:spacing w:before="120"/>
              <w:jc w:val="center"/>
            </w:pPr>
            <w:r>
              <w:rPr>
                <w:noProof/>
                <w:lang w:val="en-GB" w:eastAsia="en-GB"/>
              </w:rPr>
              <w:drawing>
                <wp:inline distT="0" distB="0" distL="0" distR="0" wp14:anchorId="4C4EAF94" wp14:editId="01B2A1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CC2EEC" w14:textId="77777777" w:rsidR="00BE3C14" w:rsidRDefault="00B65306">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14:paraId="3630FDAF" w14:textId="77777777" w:rsidR="00BE3C14" w:rsidRDefault="00A1609B">
            <w:pPr>
              <w:suppressAutoHyphens w:val="0"/>
              <w:spacing w:before="240" w:line="240" w:lineRule="exact"/>
            </w:pPr>
            <w:proofErr w:type="spellStart"/>
            <w:r>
              <w:t>Distr</w:t>
            </w:r>
            <w:proofErr w:type="spellEnd"/>
            <w:r>
              <w:t>.</w:t>
            </w:r>
            <w:r w:rsidR="00B65306">
              <w:t xml:space="preserve"> </w:t>
            </w:r>
            <w:fldSimple w:instr=" DOCPROPERTY  dist  \* MERGEFORMAT ">
              <w:r w:rsidR="00B65306">
                <w:t>générale</w:t>
              </w:r>
            </w:fldSimple>
          </w:p>
          <w:p w14:paraId="1080F66C" w14:textId="77777777" w:rsidR="00BE3C14" w:rsidRDefault="006C0011">
            <w:pPr>
              <w:suppressAutoHyphens w:val="0"/>
            </w:pPr>
            <w:r>
              <w:t>6</w:t>
            </w:r>
            <w:r w:rsidR="0087164C">
              <w:t> mars 2020</w:t>
            </w:r>
          </w:p>
          <w:p w14:paraId="3E7A4A87" w14:textId="77777777" w:rsidR="00CC681D" w:rsidRDefault="00CC681D">
            <w:pPr>
              <w:suppressAutoHyphens w:val="0"/>
            </w:pPr>
          </w:p>
          <w:p w14:paraId="7489E6D8" w14:textId="77777777" w:rsidR="00BE3C14" w:rsidRDefault="00CC681D">
            <w:pPr>
              <w:suppressAutoHyphens w:val="0"/>
            </w:pPr>
            <w:r>
              <w:t>Orig</w:t>
            </w:r>
            <w:r w:rsidR="00527D6A">
              <w:t>inal</w:t>
            </w:r>
            <w:r w:rsidR="0087164C">
              <w:t> </w:t>
            </w:r>
            <w:r w:rsidR="00527D6A">
              <w:t>: franç</w:t>
            </w:r>
            <w:r>
              <w:t>ais</w:t>
            </w:r>
            <w:r w:rsidR="009F6492">
              <w:fldChar w:fldCharType="begin"/>
            </w:r>
            <w:r w:rsidR="009F6492">
              <w:instrText xml:space="preserve"> DOCPROPERTY  tlang  \* MERGEFORMAT </w:instrText>
            </w:r>
            <w:r w:rsidR="009F6492">
              <w:fldChar w:fldCharType="end"/>
            </w:r>
          </w:p>
          <w:p w14:paraId="6969E972" w14:textId="77777777" w:rsidR="00BE3C14" w:rsidRDefault="00490E54">
            <w:pPr>
              <w:suppressAutoHyphens w:val="0"/>
            </w:pPr>
            <w:fldSimple w:instr=" DOCPROPERTY  virs  \* MERGEFORMAT ">
              <w:r w:rsidR="00B65306">
                <w:t>Anglais, espagnol et français seulement</w:t>
              </w:r>
            </w:fldSimple>
          </w:p>
        </w:tc>
      </w:tr>
    </w:tbl>
    <w:p w14:paraId="383A929F" w14:textId="77777777" w:rsidR="00BE3C14" w:rsidRDefault="00B65306">
      <w:pPr>
        <w:spacing w:before="120"/>
        <w:rPr>
          <w:b/>
          <w:sz w:val="24"/>
          <w:szCs w:val="24"/>
        </w:rPr>
      </w:pPr>
      <w:r>
        <w:rPr>
          <w:b/>
          <w:sz w:val="24"/>
          <w:szCs w:val="24"/>
        </w:rPr>
        <w:t>Comité contre la torture</w:t>
      </w:r>
    </w:p>
    <w:p w14:paraId="3A17C23E" w14:textId="77777777" w:rsidR="00BE3C14" w:rsidRDefault="00B65306" w:rsidP="0087164C">
      <w:pPr>
        <w:pStyle w:val="HMG"/>
      </w:pPr>
      <w:r>
        <w:tab/>
      </w:r>
      <w:r>
        <w:tab/>
      </w:r>
      <w:fldSimple w:instr=" DOCPROPERTY  prepwc  \* MERGEFORMAT ">
        <w:r>
          <w:t>Huitième rapport périodique</w:t>
        </w:r>
      </w:fldSimple>
      <w:r>
        <w:t xml:space="preserve"> soumis par </w:t>
      </w:r>
      <w:fldSimple w:instr=" DOCPROPERTY  countwd  \* MERGEFORMAT ">
        <w:r>
          <w:t>la Suisse</w:t>
        </w:r>
      </w:fldSimple>
      <w:r>
        <w:t xml:space="preserve"> en applic</w:t>
      </w:r>
      <w:bookmarkStart w:id="0" w:name="_GoBack"/>
      <w:bookmarkEnd w:id="0"/>
      <w:r>
        <w:t xml:space="preserve">ation de l’article 19 de la </w:t>
      </w:r>
      <w:r w:rsidR="006A02A6">
        <w:t xml:space="preserve">Convention selon la procédure </w:t>
      </w:r>
      <w:r w:rsidR="0087164C">
        <w:t>simplifiée</w:t>
      </w:r>
      <w:r w:rsidR="006A02A6">
        <w:t xml:space="preserve"> d’établissement </w:t>
      </w:r>
      <w:r w:rsidR="00971C84">
        <w:t>des </w:t>
      </w:r>
      <w:r w:rsidR="006A02A6">
        <w:t>rapports</w:t>
      </w:r>
      <w:r>
        <w:t xml:space="preserve">, attendu en </w:t>
      </w:r>
      <w:r w:rsidR="00CC681D">
        <w:t>2019</w:t>
      </w:r>
      <w:r>
        <w:rPr>
          <w:rStyle w:val="Appelnotedebasdep"/>
          <w:b w:val="0"/>
          <w:sz w:val="20"/>
          <w:vertAlign w:val="baseline"/>
        </w:rPr>
        <w:footnoteReference w:customMarkFollows="1" w:id="2"/>
        <w:t>*</w:t>
      </w:r>
      <w:r w:rsidR="007A7C73" w:rsidRPr="00971C84">
        <w:rPr>
          <w:rStyle w:val="Appelnotedebasdep"/>
          <w:b w:val="0"/>
          <w:position w:val="6"/>
          <w:sz w:val="20"/>
          <w:vertAlign w:val="baseline"/>
        </w:rPr>
        <w:t>,</w:t>
      </w:r>
      <w:r w:rsidR="007A7C73">
        <w:rPr>
          <w:rStyle w:val="Appelnotedebasdep"/>
          <w:b w:val="0"/>
          <w:sz w:val="20"/>
          <w:vertAlign w:val="baseline"/>
        </w:rPr>
        <w:t xml:space="preserve"> </w:t>
      </w:r>
      <w:r w:rsidR="007A7C73" w:rsidRPr="007A7C73">
        <w:rPr>
          <w:rStyle w:val="Appelnotedebasdep"/>
          <w:b w:val="0"/>
          <w:sz w:val="20"/>
          <w:vertAlign w:val="baseline"/>
        </w:rPr>
        <w:footnoteReference w:customMarkFollows="1" w:id="3"/>
        <w:t>**</w:t>
      </w:r>
    </w:p>
    <w:p w14:paraId="3C838E41" w14:textId="77777777" w:rsidR="00BE3C14" w:rsidRDefault="00B65306">
      <w:pPr>
        <w:pStyle w:val="SingleTxtG"/>
        <w:jc w:val="right"/>
      </w:pPr>
      <w:r>
        <w:t>[Date de réception</w:t>
      </w:r>
      <w:r w:rsidR="000F1836">
        <w:t> </w:t>
      </w:r>
      <w:r>
        <w:t xml:space="preserve">: </w:t>
      </w:r>
      <w:r w:rsidR="00CC681D">
        <w:t>16 juillet 2019</w:t>
      </w:r>
      <w:r>
        <w:t>]</w:t>
      </w:r>
    </w:p>
    <w:p w14:paraId="1DF52344" w14:textId="77777777" w:rsidR="0073666E" w:rsidRDefault="0073666E">
      <w:pPr>
        <w:suppressAutoHyphens w:val="0"/>
        <w:kinsoku/>
        <w:overflowPunct/>
        <w:autoSpaceDE/>
        <w:autoSpaceDN/>
        <w:adjustRightInd/>
        <w:snapToGrid/>
        <w:spacing w:after="200" w:line="276" w:lineRule="auto"/>
        <w:rPr>
          <w:color w:val="0000FF"/>
        </w:rPr>
      </w:pPr>
      <w:r>
        <w:rPr>
          <w:color w:val="0000FF"/>
        </w:rPr>
        <w:br w:type="page"/>
      </w:r>
    </w:p>
    <w:p w14:paraId="60569E66" w14:textId="77777777" w:rsidR="0073666E" w:rsidRPr="0073666E" w:rsidRDefault="00FD21D6" w:rsidP="00F026CE">
      <w:pPr>
        <w:pStyle w:val="H1G"/>
      </w:pPr>
      <w:r>
        <w:rPr>
          <w:lang w:val="de-CH"/>
        </w:rPr>
        <w:lastRenderedPageBreak/>
        <w:tab/>
      </w:r>
      <w:r>
        <w:rPr>
          <w:lang w:val="de-CH"/>
        </w:rPr>
        <w:tab/>
      </w:r>
      <w:r w:rsidR="0073666E" w:rsidRPr="0073666E">
        <w:rPr>
          <w:lang w:val="de-CH"/>
        </w:rPr>
        <w:t xml:space="preserve">Liste des </w:t>
      </w:r>
      <w:proofErr w:type="spellStart"/>
      <w:r w:rsidR="0073666E" w:rsidRPr="0073666E">
        <w:rPr>
          <w:lang w:val="de-CH"/>
        </w:rPr>
        <w:t>abréviations</w:t>
      </w:r>
      <w:proofErr w:type="spellEnd"/>
      <w:r w:rsidR="0073666E" w:rsidRPr="0073666E">
        <w:rPr>
          <w:lang w:val="de-CH"/>
        </w:rPr>
        <w:t xml:space="preserve"> (cf. </w:t>
      </w:r>
      <w:proofErr w:type="spellStart"/>
      <w:r w:rsidR="0073666E" w:rsidRPr="00527D6A">
        <w:rPr>
          <w:lang w:val="de-CH"/>
        </w:rPr>
        <w:t>annexe</w:t>
      </w:r>
      <w:proofErr w:type="spellEnd"/>
      <w:r w:rsidR="0073666E" w:rsidRPr="00527D6A">
        <w:rPr>
          <w:lang w:val="de-CH"/>
        </w:rPr>
        <w:t xml:space="preserve"> 1</w:t>
      </w:r>
      <w:r w:rsidR="0073666E" w:rsidRPr="0073666E">
        <w:rPr>
          <w:lang w:val="de-CH"/>
        </w:rPr>
        <w:t>)</w:t>
      </w:r>
    </w:p>
    <w:p w14:paraId="76079FD2" w14:textId="77777777" w:rsidR="0073666E" w:rsidRPr="0073666E" w:rsidRDefault="002472A8" w:rsidP="002472A8">
      <w:pPr>
        <w:pStyle w:val="H1G"/>
        <w:rPr>
          <w:lang w:val="de-CH"/>
        </w:rPr>
      </w:pPr>
      <w:r>
        <w:rPr>
          <w:lang w:val="de-CH"/>
        </w:rPr>
        <w:tab/>
      </w:r>
      <w:r>
        <w:rPr>
          <w:lang w:val="de-CH"/>
        </w:rPr>
        <w:tab/>
      </w:r>
      <w:r w:rsidR="0073666E" w:rsidRPr="0073666E">
        <w:rPr>
          <w:lang w:val="de-CH"/>
        </w:rPr>
        <w:t xml:space="preserve">Remarque </w:t>
      </w:r>
      <w:proofErr w:type="spellStart"/>
      <w:r w:rsidR="0073666E" w:rsidRPr="0073666E">
        <w:rPr>
          <w:lang w:val="de-CH"/>
        </w:rPr>
        <w:t>préliminaire</w:t>
      </w:r>
      <w:proofErr w:type="spellEnd"/>
    </w:p>
    <w:p w14:paraId="1D8B234B" w14:textId="77777777" w:rsidR="00CB6ECE" w:rsidRDefault="00527D6A" w:rsidP="00CB6ECE">
      <w:pPr>
        <w:pStyle w:val="SingleTxtG"/>
        <w:rPr>
          <w:lang w:bidi="en-GB"/>
        </w:rPr>
      </w:pPr>
      <w:r>
        <w:rPr>
          <w:lang w:val="de-CH"/>
        </w:rPr>
        <w:t>1.</w:t>
      </w:r>
      <w:r>
        <w:rPr>
          <w:lang w:val="de-CH"/>
        </w:rPr>
        <w:tab/>
      </w:r>
      <w:r w:rsidR="0073666E" w:rsidRPr="0073666E">
        <w:rPr>
          <w:lang w:val="de-CH"/>
        </w:rPr>
        <w:t xml:space="preserve">Le Comité contre la </w:t>
      </w:r>
      <w:proofErr w:type="spellStart"/>
      <w:r w:rsidR="0073666E" w:rsidRPr="0073666E">
        <w:rPr>
          <w:lang w:val="de-CH"/>
        </w:rPr>
        <w:t>torture</w:t>
      </w:r>
      <w:proofErr w:type="spellEnd"/>
      <w:r w:rsidR="0073666E" w:rsidRPr="0073666E">
        <w:rPr>
          <w:lang w:val="de-CH"/>
        </w:rPr>
        <w:t xml:space="preserve"> a </w:t>
      </w:r>
      <w:proofErr w:type="spellStart"/>
      <w:r w:rsidR="0073666E" w:rsidRPr="0073666E">
        <w:rPr>
          <w:lang w:val="de-CH"/>
        </w:rPr>
        <w:t>examiné</w:t>
      </w:r>
      <w:proofErr w:type="spellEnd"/>
      <w:r w:rsidR="0073666E" w:rsidRPr="0073666E">
        <w:rPr>
          <w:lang w:val="de-CH"/>
        </w:rPr>
        <w:t xml:space="preserve"> le </w:t>
      </w:r>
      <w:proofErr w:type="spellStart"/>
      <w:r w:rsidR="0073666E" w:rsidRPr="0073666E">
        <w:rPr>
          <w:lang w:val="de-CH"/>
        </w:rPr>
        <w:t>septième</w:t>
      </w:r>
      <w:proofErr w:type="spellEnd"/>
      <w:r w:rsidR="0073666E" w:rsidRPr="0073666E">
        <w:rPr>
          <w:lang w:val="de-CH"/>
        </w:rPr>
        <w:t xml:space="preserv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périodique</w:t>
      </w:r>
      <w:proofErr w:type="spellEnd"/>
      <w:r w:rsidR="0073666E" w:rsidRPr="0073666E">
        <w:rPr>
          <w:lang w:val="de-CH"/>
        </w:rPr>
        <w:t xml:space="preserve"> de la Suisse (CAT/C/CHE/7) </w:t>
      </w:r>
      <w:proofErr w:type="spellStart"/>
      <w:r w:rsidR="0073666E" w:rsidRPr="0073666E">
        <w:rPr>
          <w:lang w:val="de-CH"/>
        </w:rPr>
        <w:t>les</w:t>
      </w:r>
      <w:proofErr w:type="spellEnd"/>
      <w:r w:rsidR="0073666E" w:rsidRPr="0073666E">
        <w:rPr>
          <w:lang w:val="de-CH"/>
        </w:rPr>
        <w:t xml:space="preserve"> 3 et 4 </w:t>
      </w:r>
      <w:proofErr w:type="spellStart"/>
      <w:r w:rsidR="0073666E" w:rsidRPr="0073666E">
        <w:rPr>
          <w:lang w:val="de-CH"/>
        </w:rPr>
        <w:t>août</w:t>
      </w:r>
      <w:proofErr w:type="spellEnd"/>
      <w:r w:rsidR="0073666E" w:rsidRPr="0073666E">
        <w:rPr>
          <w:lang w:val="de-CH"/>
        </w:rPr>
        <w:t xml:space="preserve"> 2015 et </w:t>
      </w:r>
      <w:proofErr w:type="spellStart"/>
      <w:r w:rsidR="0073666E" w:rsidRPr="0073666E">
        <w:rPr>
          <w:lang w:val="de-CH"/>
        </w:rPr>
        <w:t>adopté</w:t>
      </w:r>
      <w:proofErr w:type="spellEnd"/>
      <w:r w:rsidR="0073666E" w:rsidRPr="0073666E">
        <w:rPr>
          <w:lang w:val="de-CH"/>
        </w:rPr>
        <w:t xml:space="preserve">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observations</w:t>
      </w:r>
      <w:proofErr w:type="spellEnd"/>
      <w:r w:rsidR="0073666E" w:rsidRPr="0073666E">
        <w:rPr>
          <w:lang w:val="de-CH"/>
        </w:rPr>
        <w:t xml:space="preserve"> (CAT/C/CHE/C0/7) le 7</w:t>
      </w:r>
      <w:r w:rsidR="00EE105B">
        <w:rPr>
          <w:lang w:val="de-CH"/>
        </w:rPr>
        <w:t> </w:t>
      </w:r>
      <w:proofErr w:type="spellStart"/>
      <w:r w:rsidR="0073666E" w:rsidRPr="0073666E">
        <w:rPr>
          <w:lang w:val="de-CH"/>
        </w:rPr>
        <w:t>septembre</w:t>
      </w:r>
      <w:proofErr w:type="spellEnd"/>
      <w:r w:rsidR="0073666E" w:rsidRPr="0073666E">
        <w:rPr>
          <w:lang w:val="de-CH"/>
        </w:rPr>
        <w:t xml:space="preserve"> 2015. Pour la </w:t>
      </w:r>
      <w:proofErr w:type="spellStart"/>
      <w:r w:rsidR="0073666E" w:rsidRPr="0073666E">
        <w:rPr>
          <w:lang w:val="de-CH"/>
        </w:rPr>
        <w:t>présentation</w:t>
      </w:r>
      <w:proofErr w:type="spellEnd"/>
      <w:r w:rsidR="0073666E" w:rsidRPr="0073666E">
        <w:rPr>
          <w:lang w:val="de-CH"/>
        </w:rPr>
        <w:t xml:space="preserve"> de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huitième</w:t>
      </w:r>
      <w:proofErr w:type="spellEnd"/>
      <w:r w:rsidR="0073666E" w:rsidRPr="0073666E">
        <w:rPr>
          <w:lang w:val="de-CH"/>
        </w:rPr>
        <w:t xml:space="preserv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périodique</w:t>
      </w:r>
      <w:proofErr w:type="spellEnd"/>
      <w:r w:rsidR="0073666E" w:rsidRPr="0073666E">
        <w:rPr>
          <w:lang w:val="de-CH"/>
        </w:rPr>
        <w:t xml:space="preserve">, la Suisse a </w:t>
      </w:r>
      <w:proofErr w:type="spellStart"/>
      <w:r w:rsidR="0073666E" w:rsidRPr="0073666E">
        <w:rPr>
          <w:lang w:val="de-CH"/>
        </w:rPr>
        <w:t>accepté</w:t>
      </w:r>
      <w:proofErr w:type="spellEnd"/>
      <w:r w:rsidR="0073666E" w:rsidRPr="0073666E">
        <w:rPr>
          <w:lang w:val="de-CH"/>
        </w:rPr>
        <w:t xml:space="preserve"> de </w:t>
      </w:r>
      <w:proofErr w:type="spellStart"/>
      <w:r w:rsidR="0073666E" w:rsidRPr="0073666E">
        <w:rPr>
          <w:lang w:val="de-CH"/>
        </w:rPr>
        <w:t>suivre</w:t>
      </w:r>
      <w:proofErr w:type="spellEnd"/>
      <w:r w:rsidR="0073666E" w:rsidRPr="0073666E">
        <w:rPr>
          <w:lang w:val="de-CH"/>
        </w:rPr>
        <w:t xml:space="preserve"> la </w:t>
      </w:r>
      <w:proofErr w:type="spellStart"/>
      <w:r w:rsidR="0073666E" w:rsidRPr="0073666E">
        <w:rPr>
          <w:lang w:val="de-CH"/>
        </w:rPr>
        <w:t>nouvelle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facultative</w:t>
      </w:r>
      <w:proofErr w:type="spellEnd"/>
      <w:r w:rsidR="0073666E" w:rsidRPr="0073666E">
        <w:rPr>
          <w:lang w:val="de-CH"/>
        </w:rPr>
        <w:t xml:space="preserve"> </w:t>
      </w:r>
      <w:proofErr w:type="spellStart"/>
      <w:r w:rsidR="0073666E" w:rsidRPr="0073666E">
        <w:rPr>
          <w:lang w:val="de-CH"/>
        </w:rPr>
        <w:t>proposée</w:t>
      </w:r>
      <w:proofErr w:type="spellEnd"/>
      <w:r w:rsidR="0073666E" w:rsidRPr="0073666E">
        <w:rPr>
          <w:lang w:val="de-CH"/>
        </w:rPr>
        <w:t xml:space="preserve"> par le CAT. </w:t>
      </w:r>
      <w:proofErr w:type="spellStart"/>
      <w:r w:rsidR="0073666E" w:rsidRPr="0073666E">
        <w:rPr>
          <w:lang w:val="de-CH"/>
        </w:rPr>
        <w:t>Celui</w:t>
      </w:r>
      <w:proofErr w:type="spellEnd"/>
      <w:r w:rsidR="0073666E" w:rsidRPr="0073666E">
        <w:rPr>
          <w:lang w:val="de-CH"/>
        </w:rPr>
        <w:t xml:space="preserve">-ci a </w:t>
      </w:r>
      <w:proofErr w:type="spellStart"/>
      <w:r w:rsidR="0073666E" w:rsidRPr="0073666E">
        <w:rPr>
          <w:lang w:val="de-CH"/>
        </w:rPr>
        <w:t>adopté</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w:t>
      </w:r>
      <w:proofErr w:type="spellStart"/>
      <w:r w:rsidR="0073666E" w:rsidRPr="0073666E">
        <w:rPr>
          <w:lang w:val="de-CH"/>
        </w:rPr>
        <w:t>sa</w:t>
      </w:r>
      <w:proofErr w:type="spellEnd"/>
      <w:r w:rsidR="0073666E" w:rsidRPr="0073666E">
        <w:rPr>
          <w:lang w:val="de-CH"/>
        </w:rPr>
        <w:t xml:space="preserve"> 62ème </w:t>
      </w:r>
      <w:proofErr w:type="spellStart"/>
      <w:r w:rsidR="0073666E" w:rsidRPr="0073666E">
        <w:rPr>
          <w:lang w:val="de-CH"/>
        </w:rPr>
        <w:t>session</w:t>
      </w:r>
      <w:proofErr w:type="spellEnd"/>
      <w:r w:rsidR="0073666E" w:rsidRPr="0073666E">
        <w:rPr>
          <w:lang w:val="de-CH"/>
        </w:rPr>
        <w:t xml:space="preserve"> (du 6 </w:t>
      </w:r>
      <w:proofErr w:type="spellStart"/>
      <w:r w:rsidR="0073666E" w:rsidRPr="0073666E">
        <w:rPr>
          <w:lang w:val="de-CH"/>
        </w:rPr>
        <w:t>novembre</w:t>
      </w:r>
      <w:proofErr w:type="spellEnd"/>
      <w:r w:rsidR="0073666E" w:rsidRPr="0073666E">
        <w:rPr>
          <w:lang w:val="de-CH"/>
        </w:rPr>
        <w:t xml:space="preserve"> au 6 </w:t>
      </w:r>
      <w:proofErr w:type="spellStart"/>
      <w:r w:rsidR="0073666E" w:rsidRPr="0073666E">
        <w:rPr>
          <w:lang w:val="de-CH"/>
        </w:rPr>
        <w:t>décembre</w:t>
      </w:r>
      <w:proofErr w:type="spellEnd"/>
      <w:r w:rsidR="0073666E" w:rsidRPr="0073666E">
        <w:rPr>
          <w:lang w:val="de-CH"/>
        </w:rPr>
        <w:t xml:space="preserve"> 2017),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liste</w:t>
      </w:r>
      <w:proofErr w:type="spellEnd"/>
      <w:r w:rsidR="0073666E" w:rsidRPr="0073666E">
        <w:rPr>
          <w:lang w:val="de-CH"/>
        </w:rPr>
        <w:t xml:space="preserve"> des </w:t>
      </w:r>
      <w:proofErr w:type="spellStart"/>
      <w:r w:rsidR="0073666E" w:rsidRPr="0073666E">
        <w:rPr>
          <w:lang w:val="de-CH"/>
        </w:rPr>
        <w:t>points</w:t>
      </w:r>
      <w:proofErr w:type="spellEnd"/>
      <w:r w:rsidR="0073666E" w:rsidRPr="0073666E">
        <w:rPr>
          <w:lang w:val="de-CH"/>
        </w:rPr>
        <w:t xml:space="preserve"> à </w:t>
      </w:r>
      <w:proofErr w:type="spellStart"/>
      <w:r w:rsidR="0073666E" w:rsidRPr="0073666E">
        <w:rPr>
          <w:lang w:val="de-CH"/>
        </w:rPr>
        <w:t>traiter</w:t>
      </w:r>
      <w:proofErr w:type="spellEnd"/>
      <w:r w:rsidR="0073666E" w:rsidRPr="0073666E">
        <w:rPr>
          <w:lang w:val="de-CH"/>
        </w:rPr>
        <w:t xml:space="preserve"> par la Suisse (CAT/C/CHE/QPR/8)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de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huitième</w:t>
      </w:r>
      <w:proofErr w:type="spellEnd"/>
      <w:r w:rsidR="0073666E" w:rsidRPr="0073666E">
        <w:rPr>
          <w:lang w:val="de-CH"/>
        </w:rPr>
        <w:t xml:space="preserv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périodique</w:t>
      </w:r>
      <w:proofErr w:type="spellEnd"/>
      <w:r w:rsidR="0073666E" w:rsidRPr="0073666E">
        <w:rPr>
          <w:lang w:val="de-CH"/>
        </w:rPr>
        <w:t xml:space="preserve">. Le </w:t>
      </w:r>
      <w:proofErr w:type="spellStart"/>
      <w:r w:rsidR="0073666E" w:rsidRPr="0073666E">
        <w:rPr>
          <w:lang w:val="de-CH"/>
        </w:rPr>
        <w:t>présent</w:t>
      </w:r>
      <w:proofErr w:type="spellEnd"/>
      <w:r w:rsidR="0073666E" w:rsidRPr="0073666E">
        <w:rPr>
          <w:lang w:val="de-CH"/>
        </w:rPr>
        <w:t xml:space="preserv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donc</w:t>
      </w:r>
      <w:proofErr w:type="spellEnd"/>
      <w:r w:rsidR="0073666E" w:rsidRPr="0073666E">
        <w:rPr>
          <w:lang w:val="de-CH"/>
        </w:rPr>
        <w:t xml:space="preserve"> </w:t>
      </w:r>
      <w:proofErr w:type="spellStart"/>
      <w:r w:rsidR="0073666E" w:rsidRPr="0073666E">
        <w:rPr>
          <w:lang w:val="de-CH"/>
        </w:rPr>
        <w:t>structuré</w:t>
      </w:r>
      <w:proofErr w:type="spellEnd"/>
      <w:r w:rsidR="0073666E" w:rsidRPr="0073666E">
        <w:rPr>
          <w:lang w:val="de-CH"/>
        </w:rPr>
        <w:t xml:space="preserve"> et </w:t>
      </w:r>
      <w:proofErr w:type="spellStart"/>
      <w:r w:rsidR="0073666E" w:rsidRPr="0073666E">
        <w:rPr>
          <w:lang w:val="de-CH"/>
        </w:rPr>
        <w:t>rédigé</w:t>
      </w:r>
      <w:proofErr w:type="spellEnd"/>
      <w:r w:rsidR="0073666E" w:rsidRPr="0073666E">
        <w:rPr>
          <w:lang w:val="de-CH"/>
        </w:rPr>
        <w:t xml:space="preserve"> </w:t>
      </w:r>
      <w:proofErr w:type="spellStart"/>
      <w:r w:rsidR="0073666E" w:rsidRPr="0073666E">
        <w:rPr>
          <w:lang w:val="de-CH"/>
        </w:rPr>
        <w:t>sous</w:t>
      </w:r>
      <w:proofErr w:type="spellEnd"/>
      <w:r w:rsidR="0073666E" w:rsidRPr="0073666E">
        <w:rPr>
          <w:lang w:val="de-CH"/>
        </w:rPr>
        <w:t xml:space="preserve"> forme de </w:t>
      </w:r>
      <w:proofErr w:type="spellStart"/>
      <w:r w:rsidR="0073666E" w:rsidRPr="0073666E">
        <w:rPr>
          <w:lang w:val="de-CH"/>
        </w:rPr>
        <w:t>réponses</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questions</w:t>
      </w:r>
      <w:proofErr w:type="spellEnd"/>
      <w:r w:rsidR="0073666E" w:rsidRPr="0073666E">
        <w:rPr>
          <w:lang w:val="de-CH"/>
        </w:rPr>
        <w:t xml:space="preserve"> </w:t>
      </w:r>
      <w:proofErr w:type="spellStart"/>
      <w:r w:rsidR="0073666E" w:rsidRPr="0073666E">
        <w:rPr>
          <w:lang w:val="de-CH"/>
        </w:rPr>
        <w:t>contenues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la </w:t>
      </w:r>
      <w:proofErr w:type="spellStart"/>
      <w:r w:rsidR="0073666E" w:rsidRPr="0073666E">
        <w:rPr>
          <w:lang w:val="de-CH"/>
        </w:rPr>
        <w:t>liste</w:t>
      </w:r>
      <w:proofErr w:type="spellEnd"/>
      <w:r w:rsidR="0073666E" w:rsidRPr="0073666E">
        <w:rPr>
          <w:lang w:val="de-CH"/>
        </w:rPr>
        <w:t xml:space="preserve"> des </w:t>
      </w:r>
      <w:proofErr w:type="spellStart"/>
      <w:r w:rsidR="0073666E" w:rsidRPr="0073666E">
        <w:rPr>
          <w:lang w:val="de-CH"/>
        </w:rPr>
        <w:t>points</w:t>
      </w:r>
      <w:proofErr w:type="spellEnd"/>
      <w:r w:rsidR="0073666E" w:rsidRPr="0073666E">
        <w:rPr>
          <w:lang w:val="de-CH"/>
        </w:rPr>
        <w:t xml:space="preserve"> à </w:t>
      </w:r>
      <w:proofErr w:type="spellStart"/>
      <w:r w:rsidR="0073666E" w:rsidRPr="0073666E">
        <w:rPr>
          <w:lang w:val="de-CH"/>
        </w:rPr>
        <w:t>traiter</w:t>
      </w:r>
      <w:proofErr w:type="spellEnd"/>
      <w:r w:rsidR="0073666E" w:rsidRPr="0073666E">
        <w:rPr>
          <w:lang w:val="de-CH"/>
        </w:rPr>
        <w:t>.</w:t>
      </w:r>
      <w:r w:rsidR="00CB6ECE" w:rsidRPr="00CB6ECE">
        <w:rPr>
          <w:lang w:bidi="en-GB"/>
        </w:rPr>
        <w:t xml:space="preserve"> </w:t>
      </w:r>
    </w:p>
    <w:p w14:paraId="7DD5AC37" w14:textId="77777777" w:rsidR="0073666E" w:rsidRPr="0073666E" w:rsidRDefault="00CB6ECE" w:rsidP="00CB6ECE">
      <w:pPr>
        <w:pStyle w:val="H1G"/>
        <w:rPr>
          <w:lang w:val="de-CH"/>
        </w:rPr>
      </w:pPr>
      <w:r>
        <w:rPr>
          <w:lang w:bidi="en-GB"/>
        </w:rPr>
        <w:tab/>
      </w:r>
      <w:r>
        <w:rPr>
          <w:lang w:bidi="en-GB"/>
        </w:rPr>
        <w:tab/>
      </w:r>
      <w:r w:rsidR="00527D6A">
        <w:rPr>
          <w:lang w:val="fr-FR"/>
        </w:rPr>
        <w:t>Réponses aux questions posées dans la liste de points établie avant la</w:t>
      </w:r>
      <w:r w:rsidR="00E63971">
        <w:rPr>
          <w:lang w:val="fr-FR"/>
        </w:rPr>
        <w:t> </w:t>
      </w:r>
      <w:r w:rsidR="00527D6A">
        <w:rPr>
          <w:lang w:val="fr-FR"/>
        </w:rPr>
        <w:t>soumission du rapport</w:t>
      </w:r>
      <w:r w:rsidR="00527D6A">
        <w:rPr>
          <w:lang w:bidi="en-GB"/>
        </w:rPr>
        <w:t xml:space="preserve"> </w:t>
      </w:r>
      <w:r>
        <w:rPr>
          <w:lang w:bidi="en-GB"/>
        </w:rPr>
        <w:t>CAT/C/CHE/QPR/8</w:t>
      </w:r>
    </w:p>
    <w:p w14:paraId="093CAE1F" w14:textId="77777777" w:rsidR="0073666E" w:rsidRPr="0073666E" w:rsidRDefault="002472A8" w:rsidP="002472A8">
      <w:pPr>
        <w:pStyle w:val="H1G"/>
        <w:rPr>
          <w:lang w:val="de-CH"/>
        </w:rPr>
      </w:pPr>
      <w:r>
        <w:rPr>
          <w:lang w:val="de-CH"/>
        </w:rPr>
        <w:tab/>
      </w:r>
      <w:r>
        <w:rPr>
          <w:lang w:val="de-CH"/>
        </w:rPr>
        <w:tab/>
      </w:r>
      <w:proofErr w:type="spellStart"/>
      <w:r w:rsidR="0073666E" w:rsidRPr="0073666E">
        <w:rPr>
          <w:lang w:val="de-CH"/>
        </w:rPr>
        <w:t>Articles</w:t>
      </w:r>
      <w:proofErr w:type="spellEnd"/>
      <w:r w:rsidR="0073666E" w:rsidRPr="0073666E">
        <w:rPr>
          <w:lang w:val="de-CH"/>
        </w:rPr>
        <w:t xml:space="preserve"> 1 et 4</w:t>
      </w:r>
    </w:p>
    <w:p w14:paraId="77F0A3B7" w14:textId="77777777" w:rsidR="0073666E" w:rsidRPr="0073666E" w:rsidRDefault="00CB6ECE" w:rsidP="002472A8">
      <w:pPr>
        <w:pStyle w:val="H23G"/>
        <w:rPr>
          <w:lang w:val="de-CH"/>
        </w:rPr>
      </w:pPr>
      <w:r>
        <w:rPr>
          <w:lang w:val="de-CH"/>
        </w:rPr>
        <w:tab/>
      </w:r>
      <w:r>
        <w:rPr>
          <w:lang w:val="de-CH"/>
        </w:rPr>
        <w:tab/>
      </w:r>
      <w:proofErr w:type="spellStart"/>
      <w:r>
        <w:rPr>
          <w:lang w:val="de-CH"/>
        </w:rPr>
        <w:t>Ré</w:t>
      </w:r>
      <w:r w:rsidR="00FD21D6">
        <w:rPr>
          <w:lang w:val="de-CH"/>
        </w:rPr>
        <w:t>ponse</w:t>
      </w:r>
      <w:proofErr w:type="spellEnd"/>
      <w:r w:rsidR="00FD21D6">
        <w:rPr>
          <w:lang w:val="de-CH"/>
        </w:rPr>
        <w:t xml:space="preserve"> </w:t>
      </w:r>
      <w:r w:rsidR="00527D6A">
        <w:rPr>
          <w:lang w:val="fr-FR"/>
        </w:rPr>
        <w:t>à la question posée</w:t>
      </w:r>
      <w:r w:rsidR="00527D6A">
        <w:rPr>
          <w:lang w:val="de-CH"/>
        </w:rPr>
        <w:t xml:space="preserve"> </w:t>
      </w:r>
      <w:r w:rsidR="00FD21D6">
        <w:rPr>
          <w:lang w:val="de-CH"/>
        </w:rPr>
        <w:t xml:space="preserve">au </w:t>
      </w:r>
      <w:proofErr w:type="spellStart"/>
      <w:r w:rsidR="00FD21D6">
        <w:rPr>
          <w:lang w:val="de-CH"/>
        </w:rPr>
        <w:t>paragraphe</w:t>
      </w:r>
      <w:proofErr w:type="spellEnd"/>
      <w:r w:rsidR="00FD21D6">
        <w:rPr>
          <w:lang w:val="de-CH"/>
        </w:rPr>
        <w:t xml:space="preserve"> 2</w:t>
      </w:r>
      <w:r w:rsidR="00F026CE">
        <w:t xml:space="preserve"> </w:t>
      </w:r>
    </w:p>
    <w:p w14:paraId="65C5961E" w14:textId="77777777" w:rsidR="0073666E" w:rsidRPr="0073666E" w:rsidRDefault="0073666E" w:rsidP="0073666E">
      <w:pPr>
        <w:pStyle w:val="SingleTxtG"/>
        <w:rPr>
          <w:lang w:val="de-CH"/>
        </w:rPr>
      </w:pPr>
      <w:r>
        <w:rPr>
          <w:lang w:val="de-CH"/>
        </w:rPr>
        <w:t>2.</w:t>
      </w:r>
      <w:r>
        <w:rPr>
          <w:lang w:val="de-CH"/>
        </w:rPr>
        <w:tab/>
      </w:r>
      <w:proofErr w:type="spellStart"/>
      <w:r w:rsidRPr="0073666E">
        <w:rPr>
          <w:lang w:val="de-CH"/>
        </w:rPr>
        <w:t>Concernant</w:t>
      </w:r>
      <w:proofErr w:type="spellEnd"/>
      <w:r w:rsidRPr="0073666E">
        <w:rPr>
          <w:lang w:val="de-CH"/>
        </w:rPr>
        <w:t xml:space="preserve"> la </w:t>
      </w:r>
      <w:proofErr w:type="spellStart"/>
      <w:r w:rsidRPr="0073666E">
        <w:rPr>
          <w:lang w:val="de-CH"/>
        </w:rPr>
        <w:t>recommandation</w:t>
      </w:r>
      <w:proofErr w:type="spellEnd"/>
      <w:r w:rsidRPr="0073666E">
        <w:rPr>
          <w:lang w:val="de-CH"/>
        </w:rPr>
        <w:t xml:space="preserve"> </w:t>
      </w:r>
      <w:proofErr w:type="spellStart"/>
      <w:r w:rsidRPr="0073666E">
        <w:rPr>
          <w:lang w:val="de-CH"/>
        </w:rPr>
        <w:t>faite</w:t>
      </w:r>
      <w:proofErr w:type="spellEnd"/>
      <w:r w:rsidRPr="0073666E">
        <w:rPr>
          <w:lang w:val="de-CH"/>
        </w:rPr>
        <w:t xml:space="preserve"> à la Suisse </w:t>
      </w:r>
      <w:proofErr w:type="spellStart"/>
      <w:r w:rsidRPr="0073666E">
        <w:rPr>
          <w:lang w:val="de-CH"/>
        </w:rPr>
        <w:t>d’ériger</w:t>
      </w:r>
      <w:proofErr w:type="spellEnd"/>
      <w:r w:rsidRPr="0073666E">
        <w:rPr>
          <w:lang w:val="de-CH"/>
        </w:rPr>
        <w:t xml:space="preserve"> la </w:t>
      </w:r>
      <w:proofErr w:type="spellStart"/>
      <w:r w:rsidRPr="0073666E">
        <w:rPr>
          <w:lang w:val="de-CH"/>
        </w:rPr>
        <w:t>torture</w:t>
      </w:r>
      <w:proofErr w:type="spellEnd"/>
      <w:r w:rsidRPr="0073666E">
        <w:rPr>
          <w:lang w:val="de-CH"/>
        </w:rPr>
        <w:t xml:space="preserve"> en </w:t>
      </w:r>
      <w:proofErr w:type="spellStart"/>
      <w:r w:rsidRPr="0073666E">
        <w:rPr>
          <w:lang w:val="de-CH"/>
        </w:rPr>
        <w:t>infraction</w:t>
      </w:r>
      <w:proofErr w:type="spellEnd"/>
      <w:r w:rsidRPr="0073666E">
        <w:rPr>
          <w:lang w:val="de-CH"/>
        </w:rPr>
        <w:t xml:space="preserve"> </w:t>
      </w:r>
      <w:proofErr w:type="spellStart"/>
      <w:r w:rsidRPr="0073666E">
        <w:rPr>
          <w:lang w:val="de-CH"/>
        </w:rPr>
        <w:t>pénale</w:t>
      </w:r>
      <w:proofErr w:type="spellEnd"/>
      <w:r w:rsidRPr="0073666E">
        <w:rPr>
          <w:lang w:val="de-CH"/>
        </w:rPr>
        <w:t xml:space="preserve"> </w:t>
      </w:r>
      <w:proofErr w:type="spellStart"/>
      <w:r w:rsidRPr="0073666E">
        <w:rPr>
          <w:lang w:val="de-CH"/>
        </w:rPr>
        <w:t>dans</w:t>
      </w:r>
      <w:proofErr w:type="spellEnd"/>
      <w:r w:rsidRPr="0073666E">
        <w:rPr>
          <w:lang w:val="de-CH"/>
        </w:rPr>
        <w:t xml:space="preserve"> le </w:t>
      </w:r>
      <w:proofErr w:type="spellStart"/>
      <w:r w:rsidRPr="0073666E">
        <w:rPr>
          <w:lang w:val="de-CH"/>
        </w:rPr>
        <w:t>droit</w:t>
      </w:r>
      <w:proofErr w:type="spellEnd"/>
      <w:r w:rsidRPr="0073666E">
        <w:rPr>
          <w:lang w:val="de-CH"/>
        </w:rPr>
        <w:t xml:space="preserve"> interne, </w:t>
      </w:r>
      <w:proofErr w:type="spellStart"/>
      <w:r w:rsidRPr="0073666E">
        <w:rPr>
          <w:lang w:val="de-CH"/>
        </w:rPr>
        <w:t>il</w:t>
      </w:r>
      <w:proofErr w:type="spellEnd"/>
      <w:r w:rsidRPr="0073666E">
        <w:rPr>
          <w:lang w:val="de-CH"/>
        </w:rPr>
        <w:t xml:space="preserve"> </w:t>
      </w:r>
      <w:proofErr w:type="spellStart"/>
      <w:r w:rsidRPr="0073666E">
        <w:rPr>
          <w:lang w:val="de-CH"/>
        </w:rPr>
        <w:t>doit</w:t>
      </w:r>
      <w:proofErr w:type="spellEnd"/>
      <w:r w:rsidRPr="0073666E">
        <w:rPr>
          <w:lang w:val="de-CH"/>
        </w:rPr>
        <w:t xml:space="preserve"> </w:t>
      </w:r>
      <w:proofErr w:type="spellStart"/>
      <w:r w:rsidRPr="0073666E">
        <w:rPr>
          <w:lang w:val="de-CH"/>
        </w:rPr>
        <w:t>être</w:t>
      </w:r>
      <w:proofErr w:type="spellEnd"/>
      <w:r w:rsidRPr="0073666E">
        <w:rPr>
          <w:lang w:val="de-CH"/>
        </w:rPr>
        <w:t xml:space="preserve"> </w:t>
      </w:r>
      <w:proofErr w:type="spellStart"/>
      <w:r w:rsidRPr="0073666E">
        <w:rPr>
          <w:lang w:val="de-CH"/>
        </w:rPr>
        <w:t>souligné</w:t>
      </w:r>
      <w:proofErr w:type="spellEnd"/>
      <w:r w:rsidRPr="0073666E">
        <w:rPr>
          <w:lang w:val="de-CH"/>
        </w:rPr>
        <w:t xml:space="preserve"> </w:t>
      </w:r>
      <w:proofErr w:type="spellStart"/>
      <w:r w:rsidRPr="0073666E">
        <w:rPr>
          <w:lang w:val="de-CH"/>
        </w:rPr>
        <w:t>que</w:t>
      </w:r>
      <w:proofErr w:type="spellEnd"/>
      <w:r w:rsidRPr="0073666E">
        <w:rPr>
          <w:lang w:val="de-CH"/>
        </w:rPr>
        <w:t xml:space="preserve"> le </w:t>
      </w:r>
      <w:proofErr w:type="spellStart"/>
      <w:r w:rsidRPr="0073666E">
        <w:rPr>
          <w:lang w:val="de-CH"/>
        </w:rPr>
        <w:t>cadre</w:t>
      </w:r>
      <w:proofErr w:type="spellEnd"/>
      <w:r w:rsidRPr="0073666E">
        <w:rPr>
          <w:lang w:val="de-CH"/>
        </w:rPr>
        <w:t xml:space="preserve"> </w:t>
      </w:r>
      <w:proofErr w:type="spellStart"/>
      <w:r w:rsidRPr="0073666E">
        <w:rPr>
          <w:lang w:val="de-CH"/>
        </w:rPr>
        <w:t>légal</w:t>
      </w:r>
      <w:proofErr w:type="spellEnd"/>
      <w:r w:rsidRPr="0073666E">
        <w:rPr>
          <w:lang w:val="de-CH"/>
        </w:rPr>
        <w:t xml:space="preserve"> </w:t>
      </w:r>
      <w:proofErr w:type="spellStart"/>
      <w:r w:rsidRPr="0073666E">
        <w:rPr>
          <w:lang w:val="de-CH"/>
        </w:rPr>
        <w:t>suisse</w:t>
      </w:r>
      <w:proofErr w:type="spellEnd"/>
      <w:r w:rsidRPr="0073666E">
        <w:rPr>
          <w:lang w:val="de-CH"/>
        </w:rPr>
        <w:t xml:space="preserve"> </w:t>
      </w:r>
      <w:proofErr w:type="spellStart"/>
      <w:r w:rsidRPr="0073666E">
        <w:rPr>
          <w:lang w:val="de-CH"/>
        </w:rPr>
        <w:t>relatif</w:t>
      </w:r>
      <w:proofErr w:type="spellEnd"/>
      <w:r w:rsidRPr="0073666E">
        <w:rPr>
          <w:lang w:val="de-CH"/>
        </w:rPr>
        <w:t xml:space="preserve"> à </w:t>
      </w:r>
      <w:proofErr w:type="spellStart"/>
      <w:r w:rsidRPr="0073666E">
        <w:rPr>
          <w:lang w:val="de-CH"/>
        </w:rPr>
        <w:t>l’incrimination</w:t>
      </w:r>
      <w:proofErr w:type="spellEnd"/>
      <w:r w:rsidRPr="0073666E">
        <w:rPr>
          <w:lang w:val="de-CH"/>
        </w:rPr>
        <w:t xml:space="preserve"> de la </w:t>
      </w:r>
      <w:proofErr w:type="spellStart"/>
      <w:r w:rsidRPr="0073666E">
        <w:rPr>
          <w:lang w:val="de-CH"/>
        </w:rPr>
        <w:t>torture</w:t>
      </w:r>
      <w:proofErr w:type="spellEnd"/>
      <w:r w:rsidRPr="0073666E">
        <w:rPr>
          <w:lang w:val="de-CH"/>
        </w:rPr>
        <w:t xml:space="preserve"> </w:t>
      </w:r>
      <w:proofErr w:type="spellStart"/>
      <w:r w:rsidRPr="0073666E">
        <w:rPr>
          <w:lang w:val="de-CH"/>
        </w:rPr>
        <w:t>respecte</w:t>
      </w:r>
      <w:proofErr w:type="spellEnd"/>
      <w:r w:rsidRPr="0073666E">
        <w:rPr>
          <w:lang w:val="de-CH"/>
        </w:rPr>
        <w:t xml:space="preserve"> </w:t>
      </w:r>
      <w:proofErr w:type="spellStart"/>
      <w:r w:rsidRPr="0073666E">
        <w:rPr>
          <w:lang w:val="de-CH"/>
        </w:rPr>
        <w:t>totalement</w:t>
      </w:r>
      <w:proofErr w:type="spellEnd"/>
      <w:r w:rsidRPr="0073666E">
        <w:rPr>
          <w:lang w:val="de-CH"/>
        </w:rPr>
        <w:t xml:space="preserve"> </w:t>
      </w:r>
      <w:proofErr w:type="spellStart"/>
      <w:r w:rsidRPr="0073666E">
        <w:rPr>
          <w:lang w:val="de-CH"/>
        </w:rPr>
        <w:t>les</w:t>
      </w:r>
      <w:proofErr w:type="spellEnd"/>
      <w:r w:rsidRPr="0073666E">
        <w:rPr>
          <w:lang w:val="de-CH"/>
        </w:rPr>
        <w:t xml:space="preserve"> </w:t>
      </w:r>
      <w:proofErr w:type="spellStart"/>
      <w:r w:rsidRPr="0073666E">
        <w:rPr>
          <w:lang w:val="de-CH"/>
        </w:rPr>
        <w:t>exigences</w:t>
      </w:r>
      <w:proofErr w:type="spellEnd"/>
      <w:r w:rsidRPr="0073666E">
        <w:rPr>
          <w:lang w:val="de-CH"/>
        </w:rPr>
        <w:t xml:space="preserve"> de la</w:t>
      </w:r>
      <w:r w:rsidRPr="0073666E">
        <w:t xml:space="preserve"> Convention</w:t>
      </w:r>
      <w:r w:rsidRPr="0073666E">
        <w:rPr>
          <w:lang w:val="de-CH"/>
        </w:rPr>
        <w:t xml:space="preserve">. En </w:t>
      </w:r>
      <w:proofErr w:type="spellStart"/>
      <w:r w:rsidRPr="0073666E">
        <w:rPr>
          <w:lang w:val="de-CH"/>
        </w:rPr>
        <w:t>effet</w:t>
      </w:r>
      <w:proofErr w:type="spellEnd"/>
      <w:r w:rsidRPr="0073666E">
        <w:rPr>
          <w:lang w:val="de-CH"/>
        </w:rPr>
        <w:t xml:space="preserve">, </w:t>
      </w:r>
      <w:proofErr w:type="spellStart"/>
      <w:r w:rsidRPr="0073666E">
        <w:rPr>
          <w:lang w:val="de-CH"/>
        </w:rPr>
        <w:t>l’art</w:t>
      </w:r>
      <w:proofErr w:type="spellEnd"/>
      <w:r w:rsidRPr="0073666E">
        <w:rPr>
          <w:lang w:val="de-CH"/>
        </w:rPr>
        <w:t xml:space="preserve">. 4 al. 1 de la Convention </w:t>
      </w:r>
      <w:proofErr w:type="spellStart"/>
      <w:r w:rsidRPr="0073666E">
        <w:rPr>
          <w:lang w:val="de-CH"/>
        </w:rPr>
        <w:t>prévoit</w:t>
      </w:r>
      <w:proofErr w:type="spellEnd"/>
      <w:r w:rsidRPr="0073666E">
        <w:rPr>
          <w:lang w:val="de-CH"/>
        </w:rPr>
        <w:t xml:space="preserve"> </w:t>
      </w:r>
      <w:proofErr w:type="spellStart"/>
      <w:r w:rsidRPr="0073666E">
        <w:rPr>
          <w:lang w:val="de-CH"/>
        </w:rPr>
        <w:t>que</w:t>
      </w:r>
      <w:proofErr w:type="spellEnd"/>
      <w:r w:rsidRPr="0073666E">
        <w:rPr>
          <w:lang w:val="de-CH"/>
        </w:rPr>
        <w:t xml:space="preserve"> « </w:t>
      </w:r>
      <w:proofErr w:type="spellStart"/>
      <w:r w:rsidRPr="0073666E">
        <w:rPr>
          <w:lang w:val="de-CH"/>
        </w:rPr>
        <w:t>tout</w:t>
      </w:r>
      <w:proofErr w:type="spellEnd"/>
      <w:r w:rsidRPr="0073666E">
        <w:rPr>
          <w:lang w:val="de-CH"/>
        </w:rPr>
        <w:t xml:space="preserve"> </w:t>
      </w:r>
      <w:r w:rsidR="00D94D41">
        <w:rPr>
          <w:lang w:val="de-CH"/>
        </w:rPr>
        <w:t>État</w:t>
      </w:r>
      <w:r w:rsidRPr="0073666E">
        <w:rPr>
          <w:lang w:val="de-CH"/>
        </w:rPr>
        <w:t xml:space="preserve"> </w:t>
      </w:r>
      <w:proofErr w:type="spellStart"/>
      <w:r w:rsidRPr="0073666E">
        <w:rPr>
          <w:lang w:val="de-CH"/>
        </w:rPr>
        <w:t>partie</w:t>
      </w:r>
      <w:proofErr w:type="spellEnd"/>
      <w:r w:rsidRPr="0073666E">
        <w:rPr>
          <w:lang w:val="de-CH"/>
        </w:rPr>
        <w:t xml:space="preserve"> </w:t>
      </w:r>
      <w:proofErr w:type="spellStart"/>
      <w:r w:rsidRPr="0073666E">
        <w:rPr>
          <w:lang w:val="de-CH"/>
        </w:rPr>
        <w:t>veille</w:t>
      </w:r>
      <w:proofErr w:type="spellEnd"/>
      <w:r w:rsidRPr="0073666E">
        <w:rPr>
          <w:lang w:val="de-CH"/>
        </w:rPr>
        <w:t xml:space="preserve"> à </w:t>
      </w:r>
      <w:proofErr w:type="spellStart"/>
      <w:r w:rsidRPr="0073666E">
        <w:rPr>
          <w:lang w:val="de-CH"/>
        </w:rPr>
        <w:t>ce</w:t>
      </w:r>
      <w:proofErr w:type="spellEnd"/>
      <w:r w:rsidRPr="0073666E">
        <w:rPr>
          <w:lang w:val="de-CH"/>
        </w:rPr>
        <w:t xml:space="preserve"> </w:t>
      </w:r>
      <w:proofErr w:type="spellStart"/>
      <w:r w:rsidRPr="0073666E">
        <w:rPr>
          <w:lang w:val="de-CH"/>
        </w:rPr>
        <w:t>que</w:t>
      </w:r>
      <w:proofErr w:type="spellEnd"/>
      <w:r w:rsidRPr="0073666E">
        <w:rPr>
          <w:lang w:val="de-CH"/>
        </w:rPr>
        <w:t xml:space="preserve"> </w:t>
      </w:r>
      <w:proofErr w:type="spellStart"/>
      <w:r w:rsidRPr="0073666E">
        <w:rPr>
          <w:lang w:val="de-CH"/>
        </w:rPr>
        <w:t>tous</w:t>
      </w:r>
      <w:proofErr w:type="spellEnd"/>
      <w:r w:rsidRPr="0073666E">
        <w:rPr>
          <w:lang w:val="de-CH"/>
        </w:rPr>
        <w:t xml:space="preserve"> </w:t>
      </w:r>
      <w:proofErr w:type="spellStart"/>
      <w:r w:rsidRPr="0073666E">
        <w:rPr>
          <w:lang w:val="de-CH"/>
        </w:rPr>
        <w:t>les</w:t>
      </w:r>
      <w:proofErr w:type="spellEnd"/>
      <w:r w:rsidRPr="0073666E">
        <w:rPr>
          <w:lang w:val="de-CH"/>
        </w:rPr>
        <w:t xml:space="preserve"> </w:t>
      </w:r>
      <w:proofErr w:type="spellStart"/>
      <w:r w:rsidRPr="0073666E">
        <w:rPr>
          <w:lang w:val="de-CH"/>
        </w:rPr>
        <w:t>actes</w:t>
      </w:r>
      <w:proofErr w:type="spellEnd"/>
      <w:r w:rsidRPr="0073666E">
        <w:rPr>
          <w:lang w:val="de-CH"/>
        </w:rPr>
        <w:t xml:space="preserve"> de </w:t>
      </w:r>
      <w:proofErr w:type="spellStart"/>
      <w:r w:rsidRPr="0073666E">
        <w:rPr>
          <w:lang w:val="de-CH"/>
        </w:rPr>
        <w:t>torture</w:t>
      </w:r>
      <w:proofErr w:type="spellEnd"/>
      <w:r w:rsidRPr="0073666E">
        <w:rPr>
          <w:lang w:val="de-CH"/>
        </w:rPr>
        <w:t xml:space="preserve"> </w:t>
      </w:r>
      <w:proofErr w:type="spellStart"/>
      <w:r w:rsidRPr="0073666E">
        <w:rPr>
          <w:lang w:val="de-CH"/>
        </w:rPr>
        <w:t>constituent</w:t>
      </w:r>
      <w:proofErr w:type="spellEnd"/>
      <w:r w:rsidRPr="0073666E">
        <w:rPr>
          <w:lang w:val="de-CH"/>
        </w:rPr>
        <w:t xml:space="preserve"> des </w:t>
      </w:r>
      <w:proofErr w:type="spellStart"/>
      <w:r w:rsidRPr="0073666E">
        <w:rPr>
          <w:lang w:val="de-CH"/>
        </w:rPr>
        <w:t>infractions</w:t>
      </w:r>
      <w:proofErr w:type="spellEnd"/>
      <w:r w:rsidRPr="0073666E">
        <w:rPr>
          <w:lang w:val="de-CH"/>
        </w:rPr>
        <w:t xml:space="preserve"> au </w:t>
      </w:r>
      <w:proofErr w:type="spellStart"/>
      <w:r w:rsidRPr="0073666E">
        <w:rPr>
          <w:lang w:val="de-CH"/>
        </w:rPr>
        <w:t>regard</w:t>
      </w:r>
      <w:proofErr w:type="spellEnd"/>
      <w:r w:rsidRPr="0073666E">
        <w:rPr>
          <w:lang w:val="de-CH"/>
        </w:rPr>
        <w:t xml:space="preserve"> de </w:t>
      </w:r>
      <w:proofErr w:type="spellStart"/>
      <w:r w:rsidRPr="0073666E">
        <w:rPr>
          <w:lang w:val="de-CH"/>
        </w:rPr>
        <w:t>son</w:t>
      </w:r>
      <w:proofErr w:type="spellEnd"/>
      <w:r w:rsidRPr="0073666E">
        <w:rPr>
          <w:lang w:val="de-CH"/>
        </w:rPr>
        <w:t xml:space="preserve"> </w:t>
      </w:r>
      <w:proofErr w:type="spellStart"/>
      <w:r w:rsidRPr="0073666E">
        <w:rPr>
          <w:lang w:val="de-CH"/>
        </w:rPr>
        <w:t>droit</w:t>
      </w:r>
      <w:proofErr w:type="spellEnd"/>
      <w:r w:rsidRPr="0073666E">
        <w:rPr>
          <w:lang w:val="de-CH"/>
        </w:rPr>
        <w:t xml:space="preserve"> </w:t>
      </w:r>
      <w:proofErr w:type="spellStart"/>
      <w:r w:rsidRPr="0073666E">
        <w:rPr>
          <w:lang w:val="de-CH"/>
        </w:rPr>
        <w:t>pénal</w:t>
      </w:r>
      <w:proofErr w:type="spellEnd"/>
      <w:r w:rsidRPr="0073666E">
        <w:rPr>
          <w:lang w:val="de-CH"/>
        </w:rPr>
        <w:t xml:space="preserve"> ». </w:t>
      </w:r>
      <w:proofErr w:type="spellStart"/>
      <w:r w:rsidRPr="0073666E">
        <w:rPr>
          <w:lang w:val="de-CH"/>
        </w:rPr>
        <w:t>L’art</w:t>
      </w:r>
      <w:proofErr w:type="spellEnd"/>
      <w:r w:rsidRPr="0073666E">
        <w:rPr>
          <w:lang w:val="de-CH"/>
        </w:rPr>
        <w:t xml:space="preserve">. 1 de la Convention </w:t>
      </w:r>
      <w:proofErr w:type="spellStart"/>
      <w:r w:rsidRPr="0073666E">
        <w:rPr>
          <w:lang w:val="de-CH"/>
        </w:rPr>
        <w:t>définit</w:t>
      </w:r>
      <w:proofErr w:type="spellEnd"/>
      <w:r w:rsidRPr="0073666E">
        <w:rPr>
          <w:lang w:val="de-CH"/>
        </w:rPr>
        <w:t xml:space="preserve"> </w:t>
      </w:r>
      <w:proofErr w:type="spellStart"/>
      <w:r w:rsidRPr="0073666E">
        <w:rPr>
          <w:lang w:val="de-CH"/>
        </w:rPr>
        <w:t>les</w:t>
      </w:r>
      <w:proofErr w:type="spellEnd"/>
      <w:r w:rsidRPr="0073666E">
        <w:rPr>
          <w:lang w:val="de-CH"/>
        </w:rPr>
        <w:t xml:space="preserve"> </w:t>
      </w:r>
      <w:proofErr w:type="spellStart"/>
      <w:r w:rsidRPr="0073666E">
        <w:rPr>
          <w:lang w:val="de-CH"/>
        </w:rPr>
        <w:t>actes</w:t>
      </w:r>
      <w:proofErr w:type="spellEnd"/>
      <w:r w:rsidRPr="0073666E">
        <w:rPr>
          <w:lang w:val="de-CH"/>
        </w:rPr>
        <w:t xml:space="preserve"> de </w:t>
      </w:r>
      <w:proofErr w:type="spellStart"/>
      <w:r w:rsidRPr="0073666E">
        <w:rPr>
          <w:lang w:val="de-CH"/>
        </w:rPr>
        <w:t>torture</w:t>
      </w:r>
      <w:proofErr w:type="spellEnd"/>
      <w:r w:rsidRPr="0073666E">
        <w:rPr>
          <w:lang w:val="de-CH"/>
        </w:rPr>
        <w:t xml:space="preserve"> </w:t>
      </w:r>
      <w:proofErr w:type="spellStart"/>
      <w:r w:rsidRPr="0073666E">
        <w:rPr>
          <w:lang w:val="de-CH"/>
        </w:rPr>
        <w:t>comme</w:t>
      </w:r>
      <w:proofErr w:type="spellEnd"/>
      <w:r w:rsidRPr="0073666E">
        <w:rPr>
          <w:lang w:val="de-CH"/>
        </w:rPr>
        <w:t xml:space="preserve"> le fait, </w:t>
      </w:r>
      <w:proofErr w:type="spellStart"/>
      <w:r w:rsidRPr="0073666E">
        <w:rPr>
          <w:lang w:val="de-CH"/>
        </w:rPr>
        <w:t>pour</w:t>
      </w:r>
      <w:proofErr w:type="spellEnd"/>
      <w:r w:rsidRPr="0073666E">
        <w:rPr>
          <w:lang w:val="de-CH"/>
        </w:rPr>
        <w:t xml:space="preserve"> </w:t>
      </w:r>
      <w:proofErr w:type="spellStart"/>
      <w:r w:rsidRPr="0073666E">
        <w:rPr>
          <w:lang w:val="de-CH"/>
        </w:rPr>
        <w:t>un</w:t>
      </w:r>
      <w:proofErr w:type="spellEnd"/>
      <w:r w:rsidRPr="0073666E">
        <w:rPr>
          <w:lang w:val="de-CH"/>
        </w:rPr>
        <w:t xml:space="preserve"> </w:t>
      </w:r>
      <w:proofErr w:type="spellStart"/>
      <w:r w:rsidRPr="0073666E">
        <w:rPr>
          <w:lang w:val="de-CH"/>
        </w:rPr>
        <w:t>organe</w:t>
      </w:r>
      <w:proofErr w:type="spellEnd"/>
      <w:r w:rsidRPr="0073666E">
        <w:rPr>
          <w:lang w:val="de-CH"/>
        </w:rPr>
        <w:t xml:space="preserve"> </w:t>
      </w:r>
      <w:proofErr w:type="spellStart"/>
      <w:r w:rsidRPr="0073666E">
        <w:rPr>
          <w:lang w:val="de-CH"/>
        </w:rPr>
        <w:t>public</w:t>
      </w:r>
      <w:proofErr w:type="spellEnd"/>
      <w:r w:rsidRPr="0073666E">
        <w:rPr>
          <w:lang w:val="de-CH"/>
        </w:rPr>
        <w:t xml:space="preserve">, </w:t>
      </w:r>
      <w:proofErr w:type="spellStart"/>
      <w:r w:rsidRPr="0073666E">
        <w:rPr>
          <w:lang w:val="de-CH"/>
        </w:rPr>
        <w:t>d’infliger</w:t>
      </w:r>
      <w:proofErr w:type="spellEnd"/>
      <w:r w:rsidRPr="0073666E">
        <w:rPr>
          <w:lang w:val="de-CH"/>
        </w:rPr>
        <w:t xml:space="preserve"> </w:t>
      </w:r>
      <w:proofErr w:type="spellStart"/>
      <w:r w:rsidRPr="0073666E">
        <w:rPr>
          <w:lang w:val="de-CH"/>
        </w:rPr>
        <w:t>une</w:t>
      </w:r>
      <w:proofErr w:type="spellEnd"/>
      <w:r w:rsidRPr="0073666E">
        <w:rPr>
          <w:lang w:val="de-CH"/>
        </w:rPr>
        <w:t xml:space="preserve"> </w:t>
      </w:r>
      <w:proofErr w:type="spellStart"/>
      <w:r w:rsidRPr="0073666E">
        <w:rPr>
          <w:lang w:val="de-CH"/>
        </w:rPr>
        <w:t>douleur</w:t>
      </w:r>
      <w:proofErr w:type="spellEnd"/>
      <w:r w:rsidRPr="0073666E">
        <w:rPr>
          <w:lang w:val="de-CH"/>
        </w:rPr>
        <w:t xml:space="preserve"> </w:t>
      </w:r>
      <w:proofErr w:type="spellStart"/>
      <w:r w:rsidRPr="0073666E">
        <w:rPr>
          <w:lang w:val="de-CH"/>
        </w:rPr>
        <w:t>ou</w:t>
      </w:r>
      <w:proofErr w:type="spellEnd"/>
      <w:r w:rsidRPr="0073666E">
        <w:rPr>
          <w:lang w:val="de-CH"/>
        </w:rPr>
        <w:t xml:space="preserve"> des </w:t>
      </w:r>
      <w:proofErr w:type="spellStart"/>
      <w:r w:rsidRPr="0073666E">
        <w:rPr>
          <w:lang w:val="de-CH"/>
        </w:rPr>
        <w:t>souffrances</w:t>
      </w:r>
      <w:proofErr w:type="spellEnd"/>
      <w:r w:rsidRPr="0073666E">
        <w:rPr>
          <w:lang w:val="de-CH"/>
        </w:rPr>
        <w:t xml:space="preserve"> </w:t>
      </w:r>
      <w:proofErr w:type="spellStart"/>
      <w:r w:rsidRPr="0073666E">
        <w:rPr>
          <w:lang w:val="de-CH"/>
        </w:rPr>
        <w:t>aiguës</w:t>
      </w:r>
      <w:proofErr w:type="spellEnd"/>
      <w:r w:rsidRPr="0073666E">
        <w:rPr>
          <w:lang w:val="de-CH"/>
        </w:rPr>
        <w:t xml:space="preserve">, </w:t>
      </w:r>
      <w:proofErr w:type="spellStart"/>
      <w:r w:rsidRPr="0073666E">
        <w:rPr>
          <w:lang w:val="de-CH"/>
        </w:rPr>
        <w:t>physiques</w:t>
      </w:r>
      <w:proofErr w:type="spellEnd"/>
      <w:r w:rsidRPr="0073666E">
        <w:rPr>
          <w:lang w:val="de-CH"/>
        </w:rPr>
        <w:t xml:space="preserve"> </w:t>
      </w:r>
      <w:proofErr w:type="spellStart"/>
      <w:r w:rsidRPr="0073666E">
        <w:rPr>
          <w:lang w:val="de-CH"/>
        </w:rPr>
        <w:t>ou</w:t>
      </w:r>
      <w:proofErr w:type="spellEnd"/>
      <w:r w:rsidRPr="0073666E">
        <w:rPr>
          <w:lang w:val="de-CH"/>
        </w:rPr>
        <w:t xml:space="preserve"> mentales, à </w:t>
      </w:r>
      <w:proofErr w:type="spellStart"/>
      <w:r w:rsidRPr="0073666E">
        <w:rPr>
          <w:lang w:val="de-CH"/>
        </w:rPr>
        <w:t>une</w:t>
      </w:r>
      <w:proofErr w:type="spellEnd"/>
      <w:r w:rsidRPr="0073666E">
        <w:rPr>
          <w:lang w:val="de-CH"/>
        </w:rPr>
        <w:t xml:space="preserve"> </w:t>
      </w:r>
      <w:proofErr w:type="spellStart"/>
      <w:r w:rsidRPr="0073666E">
        <w:rPr>
          <w:lang w:val="de-CH"/>
        </w:rPr>
        <w:t>personne</w:t>
      </w:r>
      <w:proofErr w:type="spellEnd"/>
      <w:r w:rsidRPr="0073666E">
        <w:rPr>
          <w:lang w:val="de-CH"/>
        </w:rPr>
        <w:t xml:space="preserve"> </w:t>
      </w:r>
      <w:proofErr w:type="spellStart"/>
      <w:r w:rsidRPr="0073666E">
        <w:rPr>
          <w:lang w:val="de-CH"/>
        </w:rPr>
        <w:t>afin</w:t>
      </w:r>
      <w:proofErr w:type="spellEnd"/>
      <w:r w:rsidRPr="0073666E">
        <w:rPr>
          <w:lang w:val="de-CH"/>
        </w:rPr>
        <w:t xml:space="preserve"> </w:t>
      </w:r>
      <w:proofErr w:type="spellStart"/>
      <w:r w:rsidRPr="0073666E">
        <w:rPr>
          <w:lang w:val="de-CH"/>
        </w:rPr>
        <w:t>notamment</w:t>
      </w:r>
      <w:proofErr w:type="spellEnd"/>
      <w:r w:rsidRPr="0073666E">
        <w:rPr>
          <w:lang w:val="de-CH"/>
        </w:rPr>
        <w:t xml:space="preserve"> </w:t>
      </w:r>
      <w:proofErr w:type="spellStart"/>
      <w:r w:rsidRPr="0073666E">
        <w:rPr>
          <w:lang w:val="de-CH"/>
        </w:rPr>
        <w:t>d’obtenir</w:t>
      </w:r>
      <w:proofErr w:type="spellEnd"/>
      <w:r w:rsidRPr="0073666E">
        <w:rPr>
          <w:lang w:val="de-CH"/>
        </w:rPr>
        <w:t xml:space="preserve"> </w:t>
      </w:r>
      <w:proofErr w:type="spellStart"/>
      <w:r w:rsidRPr="0073666E">
        <w:rPr>
          <w:lang w:val="de-CH"/>
        </w:rPr>
        <w:t>d’elle</w:t>
      </w:r>
      <w:proofErr w:type="spellEnd"/>
      <w:r w:rsidRPr="0073666E">
        <w:rPr>
          <w:lang w:val="de-CH"/>
        </w:rPr>
        <w:t xml:space="preserve"> des </w:t>
      </w:r>
      <w:proofErr w:type="spellStart"/>
      <w:r w:rsidRPr="0073666E">
        <w:rPr>
          <w:lang w:val="de-CH"/>
        </w:rPr>
        <w:t>renseignements</w:t>
      </w:r>
      <w:proofErr w:type="spellEnd"/>
      <w:r w:rsidRPr="0073666E">
        <w:rPr>
          <w:lang w:val="de-CH"/>
        </w:rPr>
        <w:t xml:space="preserve"> </w:t>
      </w:r>
      <w:proofErr w:type="spellStart"/>
      <w:r w:rsidRPr="0073666E">
        <w:rPr>
          <w:lang w:val="de-CH"/>
        </w:rPr>
        <w:t>ou</w:t>
      </w:r>
      <w:proofErr w:type="spellEnd"/>
      <w:r w:rsidRPr="0073666E">
        <w:rPr>
          <w:lang w:val="de-CH"/>
        </w:rPr>
        <w:t xml:space="preserve"> des </w:t>
      </w:r>
      <w:proofErr w:type="spellStart"/>
      <w:r w:rsidRPr="0073666E">
        <w:rPr>
          <w:lang w:val="de-CH"/>
        </w:rPr>
        <w:t>aveux</w:t>
      </w:r>
      <w:proofErr w:type="spellEnd"/>
      <w:r w:rsidRPr="0073666E">
        <w:rPr>
          <w:lang w:val="de-CH"/>
        </w:rPr>
        <w:t xml:space="preserve">, de la </w:t>
      </w:r>
      <w:proofErr w:type="spellStart"/>
      <w:r w:rsidRPr="0073666E">
        <w:rPr>
          <w:lang w:val="de-CH"/>
        </w:rPr>
        <w:t>punir</w:t>
      </w:r>
      <w:proofErr w:type="spellEnd"/>
      <w:r w:rsidRPr="0073666E">
        <w:rPr>
          <w:lang w:val="de-CH"/>
        </w:rPr>
        <w:t xml:space="preserve"> </w:t>
      </w:r>
      <w:proofErr w:type="spellStart"/>
      <w:r w:rsidRPr="0073666E">
        <w:rPr>
          <w:lang w:val="de-CH"/>
        </w:rPr>
        <w:t>ou</w:t>
      </w:r>
      <w:proofErr w:type="spellEnd"/>
      <w:r w:rsidRPr="0073666E">
        <w:rPr>
          <w:lang w:val="de-CH"/>
        </w:rPr>
        <w:t xml:space="preserve"> de </w:t>
      </w:r>
      <w:proofErr w:type="spellStart"/>
      <w:r w:rsidRPr="0073666E">
        <w:rPr>
          <w:lang w:val="de-CH"/>
        </w:rPr>
        <w:t>l’intimider</w:t>
      </w:r>
      <w:proofErr w:type="spellEnd"/>
      <w:r w:rsidRPr="0073666E">
        <w:rPr>
          <w:lang w:val="de-CH"/>
        </w:rPr>
        <w:t xml:space="preserve">. Ce </w:t>
      </w:r>
      <w:proofErr w:type="spellStart"/>
      <w:r w:rsidRPr="0073666E">
        <w:rPr>
          <w:lang w:val="de-CH"/>
        </w:rPr>
        <w:t>qui</w:t>
      </w:r>
      <w:proofErr w:type="spellEnd"/>
      <w:r w:rsidRPr="0073666E">
        <w:rPr>
          <w:lang w:val="de-CH"/>
        </w:rPr>
        <w:t xml:space="preserve"> </w:t>
      </w:r>
      <w:proofErr w:type="spellStart"/>
      <w:r w:rsidRPr="0073666E">
        <w:rPr>
          <w:lang w:val="de-CH"/>
        </w:rPr>
        <w:t>est</w:t>
      </w:r>
      <w:proofErr w:type="spellEnd"/>
      <w:r w:rsidRPr="0073666E">
        <w:rPr>
          <w:lang w:val="de-CH"/>
        </w:rPr>
        <w:t xml:space="preserve"> </w:t>
      </w:r>
      <w:proofErr w:type="spellStart"/>
      <w:r w:rsidRPr="0073666E">
        <w:rPr>
          <w:lang w:val="de-CH"/>
        </w:rPr>
        <w:t>donc</w:t>
      </w:r>
      <w:proofErr w:type="spellEnd"/>
      <w:r w:rsidRPr="0073666E">
        <w:rPr>
          <w:lang w:val="de-CH"/>
        </w:rPr>
        <w:t xml:space="preserve"> </w:t>
      </w:r>
      <w:proofErr w:type="spellStart"/>
      <w:r w:rsidRPr="0073666E">
        <w:rPr>
          <w:lang w:val="de-CH"/>
        </w:rPr>
        <w:t>demandé</w:t>
      </w:r>
      <w:proofErr w:type="spellEnd"/>
      <w:r w:rsidRPr="0073666E">
        <w:rPr>
          <w:lang w:val="de-CH"/>
        </w:rPr>
        <w:t xml:space="preserve"> </w:t>
      </w:r>
      <w:proofErr w:type="spellStart"/>
      <w:r w:rsidRPr="0073666E">
        <w:rPr>
          <w:lang w:val="de-CH"/>
        </w:rPr>
        <w:t>aux</w:t>
      </w:r>
      <w:proofErr w:type="spellEnd"/>
      <w:r w:rsidRPr="0073666E">
        <w:rPr>
          <w:lang w:val="de-CH"/>
        </w:rPr>
        <w:t xml:space="preserve"> </w:t>
      </w:r>
      <w:r w:rsidR="00D94D41">
        <w:rPr>
          <w:lang w:val="de-CH"/>
        </w:rPr>
        <w:t>État</w:t>
      </w:r>
      <w:r w:rsidRPr="0073666E">
        <w:rPr>
          <w:lang w:val="de-CH"/>
        </w:rPr>
        <w:t xml:space="preserve">s </w:t>
      </w:r>
      <w:proofErr w:type="spellStart"/>
      <w:r w:rsidRPr="0073666E">
        <w:rPr>
          <w:lang w:val="de-CH"/>
        </w:rPr>
        <w:t>est</w:t>
      </w:r>
      <w:proofErr w:type="spellEnd"/>
      <w:r w:rsidRPr="0073666E">
        <w:rPr>
          <w:lang w:val="de-CH"/>
        </w:rPr>
        <w:t xml:space="preserve"> </w:t>
      </w:r>
      <w:proofErr w:type="spellStart"/>
      <w:r w:rsidRPr="0073666E">
        <w:rPr>
          <w:lang w:val="de-CH"/>
        </w:rPr>
        <w:t>bien</w:t>
      </w:r>
      <w:proofErr w:type="spellEnd"/>
      <w:r w:rsidRPr="0073666E">
        <w:rPr>
          <w:lang w:val="de-CH"/>
        </w:rPr>
        <w:t xml:space="preserve"> </w:t>
      </w:r>
      <w:proofErr w:type="spellStart"/>
      <w:r w:rsidRPr="0073666E">
        <w:rPr>
          <w:lang w:val="de-CH"/>
        </w:rPr>
        <w:t>d’incriminer</w:t>
      </w:r>
      <w:proofErr w:type="spellEnd"/>
      <w:r w:rsidRPr="0073666E">
        <w:rPr>
          <w:lang w:val="de-CH"/>
        </w:rPr>
        <w:t xml:space="preserve"> </w:t>
      </w:r>
      <w:proofErr w:type="spellStart"/>
      <w:r w:rsidRPr="0073666E">
        <w:rPr>
          <w:lang w:val="de-CH"/>
        </w:rPr>
        <w:t>l’ensemble</w:t>
      </w:r>
      <w:proofErr w:type="spellEnd"/>
      <w:r w:rsidRPr="0073666E">
        <w:rPr>
          <w:lang w:val="de-CH"/>
        </w:rPr>
        <w:t xml:space="preserve"> des </w:t>
      </w:r>
      <w:proofErr w:type="spellStart"/>
      <w:r w:rsidRPr="0073666E">
        <w:rPr>
          <w:lang w:val="de-CH"/>
        </w:rPr>
        <w:t>comportements</w:t>
      </w:r>
      <w:proofErr w:type="spellEnd"/>
      <w:r w:rsidRPr="0073666E">
        <w:rPr>
          <w:lang w:val="de-CH"/>
        </w:rPr>
        <w:t xml:space="preserve"> </w:t>
      </w:r>
      <w:proofErr w:type="spellStart"/>
      <w:r w:rsidRPr="0073666E">
        <w:rPr>
          <w:lang w:val="de-CH"/>
        </w:rPr>
        <w:t>couverts</w:t>
      </w:r>
      <w:proofErr w:type="spellEnd"/>
      <w:r w:rsidRPr="0073666E">
        <w:rPr>
          <w:lang w:val="de-CH"/>
        </w:rPr>
        <w:t xml:space="preserve"> </w:t>
      </w:r>
      <w:proofErr w:type="spellStart"/>
      <w:r w:rsidRPr="0073666E">
        <w:rPr>
          <w:lang w:val="de-CH"/>
        </w:rPr>
        <w:t>pas</w:t>
      </w:r>
      <w:proofErr w:type="spellEnd"/>
      <w:r w:rsidRPr="0073666E">
        <w:rPr>
          <w:lang w:val="de-CH"/>
        </w:rPr>
        <w:t xml:space="preserve"> </w:t>
      </w:r>
      <w:proofErr w:type="spellStart"/>
      <w:r w:rsidRPr="0073666E">
        <w:rPr>
          <w:lang w:val="de-CH"/>
        </w:rPr>
        <w:t>ces</w:t>
      </w:r>
      <w:proofErr w:type="spellEnd"/>
      <w:r w:rsidRPr="0073666E">
        <w:rPr>
          <w:lang w:val="de-CH"/>
        </w:rPr>
        <w:t xml:space="preserve"> deux </w:t>
      </w:r>
      <w:proofErr w:type="spellStart"/>
      <w:r w:rsidRPr="0073666E">
        <w:rPr>
          <w:lang w:val="de-CH"/>
        </w:rPr>
        <w:t>dispositions</w:t>
      </w:r>
      <w:proofErr w:type="spellEnd"/>
      <w:r w:rsidR="000A0B7E">
        <w:rPr>
          <w:lang w:val="de-CH"/>
        </w:rPr>
        <w:t> </w:t>
      </w:r>
      <w:r w:rsidRPr="0073666E">
        <w:rPr>
          <w:lang w:val="de-CH"/>
        </w:rPr>
        <w:t xml:space="preserve">; </w:t>
      </w:r>
      <w:proofErr w:type="spellStart"/>
      <w:r w:rsidRPr="0073666E">
        <w:rPr>
          <w:lang w:val="de-CH"/>
        </w:rPr>
        <w:t>or</w:t>
      </w:r>
      <w:proofErr w:type="spellEnd"/>
      <w:r w:rsidRPr="0073666E">
        <w:rPr>
          <w:lang w:val="de-CH"/>
        </w:rPr>
        <w:t xml:space="preserve">, c’est </w:t>
      </w:r>
      <w:proofErr w:type="spellStart"/>
      <w:r w:rsidRPr="0073666E">
        <w:rPr>
          <w:lang w:val="de-CH"/>
        </w:rPr>
        <w:t>précisément</w:t>
      </w:r>
      <w:proofErr w:type="spellEnd"/>
      <w:r w:rsidRPr="0073666E">
        <w:rPr>
          <w:lang w:val="de-CH"/>
        </w:rPr>
        <w:t xml:space="preserve"> le </w:t>
      </w:r>
      <w:proofErr w:type="spellStart"/>
      <w:r w:rsidRPr="0073666E">
        <w:rPr>
          <w:lang w:val="de-CH"/>
        </w:rPr>
        <w:t>cas</w:t>
      </w:r>
      <w:proofErr w:type="spellEnd"/>
      <w:r w:rsidRPr="0073666E">
        <w:rPr>
          <w:lang w:val="de-CH"/>
        </w:rPr>
        <w:t xml:space="preserve"> en Suisse. </w:t>
      </w:r>
    </w:p>
    <w:p w14:paraId="681CF9CD" w14:textId="77777777" w:rsidR="0073666E" w:rsidRPr="0073666E" w:rsidRDefault="00F026CE" w:rsidP="00F026CE">
      <w:pPr>
        <w:pStyle w:val="SingleTxtG"/>
      </w:pPr>
      <w:r>
        <w:rPr>
          <w:lang w:val="de-CH"/>
        </w:rPr>
        <w:t>3.</w:t>
      </w:r>
      <w:r>
        <w:rPr>
          <w:lang w:val="de-CH"/>
        </w:rPr>
        <w:tab/>
      </w:r>
      <w:r w:rsidR="0073666E" w:rsidRPr="0073666E">
        <w:rPr>
          <w:lang w:val="de-CH"/>
        </w:rPr>
        <w:t xml:space="preserve">Dans le </w:t>
      </w:r>
      <w:proofErr w:type="spellStart"/>
      <w:r w:rsidR="0073666E" w:rsidRPr="0073666E">
        <w:rPr>
          <w:lang w:val="de-CH"/>
        </w:rPr>
        <w:t>contexte</w:t>
      </w:r>
      <w:proofErr w:type="spellEnd"/>
      <w:r w:rsidR="0073666E" w:rsidRPr="0073666E">
        <w:rPr>
          <w:lang w:val="de-CH"/>
        </w:rPr>
        <w:t xml:space="preserve"> des </w:t>
      </w:r>
      <w:proofErr w:type="spellStart"/>
      <w:r w:rsidR="0073666E" w:rsidRPr="0073666E">
        <w:rPr>
          <w:lang w:val="de-CH"/>
        </w:rPr>
        <w:t>crimes</w:t>
      </w:r>
      <w:proofErr w:type="spellEnd"/>
      <w:r w:rsidR="0073666E" w:rsidRPr="0073666E">
        <w:rPr>
          <w:lang w:val="de-CH"/>
        </w:rPr>
        <w:t xml:space="preserve"> contre </w:t>
      </w:r>
      <w:proofErr w:type="spellStart"/>
      <w:r w:rsidR="0073666E" w:rsidRPr="0073666E">
        <w:rPr>
          <w:lang w:val="de-CH"/>
        </w:rPr>
        <w:t>l’humanité</w:t>
      </w:r>
      <w:proofErr w:type="spellEnd"/>
      <w:r w:rsidR="0073666E" w:rsidRPr="0073666E">
        <w:rPr>
          <w:lang w:val="de-CH"/>
        </w:rPr>
        <w:t xml:space="preserve"> </w:t>
      </w:r>
      <w:proofErr w:type="spellStart"/>
      <w:r w:rsidR="0073666E" w:rsidRPr="0073666E">
        <w:rPr>
          <w:lang w:val="de-CH"/>
        </w:rPr>
        <w:t>tout</w:t>
      </w:r>
      <w:proofErr w:type="spellEnd"/>
      <w:r w:rsidR="0073666E" w:rsidRPr="0073666E">
        <w:rPr>
          <w:lang w:val="de-CH"/>
        </w:rPr>
        <w:t xml:space="preserve"> </w:t>
      </w:r>
      <w:proofErr w:type="spellStart"/>
      <w:r w:rsidR="0073666E" w:rsidRPr="0073666E">
        <w:rPr>
          <w:lang w:val="de-CH"/>
        </w:rPr>
        <w:t>d’abord</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faut</w:t>
      </w:r>
      <w:proofErr w:type="spellEnd"/>
      <w:r w:rsidR="0073666E" w:rsidRPr="0073666E">
        <w:rPr>
          <w:lang w:val="de-CH"/>
        </w:rPr>
        <w:t xml:space="preserve"> </w:t>
      </w:r>
      <w:proofErr w:type="spellStart"/>
      <w:r w:rsidR="0073666E" w:rsidRPr="0073666E">
        <w:rPr>
          <w:lang w:val="de-CH"/>
        </w:rPr>
        <w:t>souligner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torture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expressément</w:t>
      </w:r>
      <w:proofErr w:type="spellEnd"/>
      <w:r w:rsidR="0073666E" w:rsidRPr="0073666E">
        <w:rPr>
          <w:lang w:val="de-CH"/>
        </w:rPr>
        <w:t xml:space="preserve"> </w:t>
      </w:r>
      <w:proofErr w:type="spellStart"/>
      <w:r w:rsidR="0073666E" w:rsidRPr="0073666E">
        <w:rPr>
          <w:lang w:val="de-CH"/>
        </w:rPr>
        <w:t>réprimée</w:t>
      </w:r>
      <w:proofErr w:type="spellEnd"/>
      <w:r w:rsidR="0073666E" w:rsidRPr="0073666E">
        <w:rPr>
          <w:lang w:val="de-CH"/>
        </w:rPr>
        <w:t xml:space="preserve"> par </w:t>
      </w:r>
      <w:proofErr w:type="spellStart"/>
      <w:r w:rsidR="0073666E" w:rsidRPr="0073666E">
        <w:rPr>
          <w:lang w:val="de-CH"/>
        </w:rPr>
        <w:t>l’art</w:t>
      </w:r>
      <w:proofErr w:type="spellEnd"/>
      <w:r w:rsidR="0073666E" w:rsidRPr="0073666E">
        <w:rPr>
          <w:lang w:val="de-CH"/>
        </w:rPr>
        <w:t xml:space="preserve">. 264a du </w:t>
      </w:r>
      <w:r w:rsidR="00E63971" w:rsidRPr="0073666E">
        <w:rPr>
          <w:lang w:val="de-CH"/>
        </w:rPr>
        <w:t xml:space="preserve">Code </w:t>
      </w:r>
      <w:proofErr w:type="spellStart"/>
      <w:r w:rsidR="0073666E" w:rsidRPr="0073666E">
        <w:rPr>
          <w:lang w:val="de-CH"/>
        </w:rPr>
        <w:t>pénal</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(CP). </w:t>
      </w:r>
      <w:r w:rsidR="0073666E" w:rsidRPr="0073666E">
        <w:t>En effet, la lettre f de l’alinéa 1</w:t>
      </w:r>
      <w:r w:rsidR="0073666E" w:rsidRPr="0073666E">
        <w:rPr>
          <w:vertAlign w:val="superscript"/>
        </w:rPr>
        <w:t>er</w:t>
      </w:r>
      <w:r w:rsidR="0073666E" w:rsidRPr="0073666E">
        <w:t xml:space="preserve"> de cette disposition punit d’une peine privative de liberté de cinq ans au moins celui qui, </w:t>
      </w:r>
      <w:proofErr w:type="spellStart"/>
      <w:r w:rsidR="0073666E" w:rsidRPr="00F026CE">
        <w:rPr>
          <w:lang w:val="de-CH"/>
        </w:rPr>
        <w:t>dans</w:t>
      </w:r>
      <w:proofErr w:type="spellEnd"/>
      <w:r w:rsidR="0073666E" w:rsidRPr="0073666E">
        <w:t xml:space="preserve"> le cadre d’une attaque généralisée ou systématique lancée contre la population civile, inflige à une personne se trouvant sous sa garde ou sous son contrôle de grandes souffrances ou porte gravement atteinte à son intégrité corporelle ou à sa santé physique ou psychique.</w:t>
      </w:r>
    </w:p>
    <w:p w14:paraId="3AA825CF" w14:textId="77777777" w:rsidR="0073666E" w:rsidRPr="0073666E" w:rsidRDefault="00F026CE" w:rsidP="00F026CE">
      <w:pPr>
        <w:pStyle w:val="SingleTxtG"/>
        <w:rPr>
          <w:lang w:val="de-CH"/>
        </w:rPr>
      </w:pPr>
      <w:r>
        <w:rPr>
          <w:lang w:val="de-CH"/>
        </w:rPr>
        <w:t>4.</w:t>
      </w:r>
      <w:r>
        <w:rPr>
          <w:lang w:val="de-CH"/>
        </w:rPr>
        <w:tab/>
      </w:r>
      <w:r w:rsidR="0073666E" w:rsidRPr="0073666E">
        <w:rPr>
          <w:lang w:val="de-CH"/>
        </w:rPr>
        <w:t xml:space="preserve">Au </w:t>
      </w:r>
      <w:proofErr w:type="spellStart"/>
      <w:r w:rsidR="0073666E" w:rsidRPr="0073666E">
        <w:rPr>
          <w:lang w:val="de-CH"/>
        </w:rPr>
        <w:t>niveau</w:t>
      </w:r>
      <w:proofErr w:type="spellEnd"/>
      <w:r w:rsidR="0073666E" w:rsidRPr="0073666E">
        <w:rPr>
          <w:lang w:val="de-CH"/>
        </w:rPr>
        <w:t xml:space="preserve"> des </w:t>
      </w:r>
      <w:proofErr w:type="spellStart"/>
      <w:r w:rsidR="0073666E" w:rsidRPr="0073666E">
        <w:rPr>
          <w:lang w:val="de-CH"/>
        </w:rPr>
        <w:t>infractions</w:t>
      </w:r>
      <w:proofErr w:type="spellEnd"/>
      <w:r w:rsidR="0073666E" w:rsidRPr="0073666E">
        <w:rPr>
          <w:lang w:val="de-CH"/>
        </w:rPr>
        <w:t xml:space="preserve"> de </w:t>
      </w:r>
      <w:proofErr w:type="spellStart"/>
      <w:r w:rsidR="0073666E" w:rsidRPr="0073666E">
        <w:rPr>
          <w:lang w:val="de-CH"/>
        </w:rPr>
        <w:t>droit</w:t>
      </w:r>
      <w:proofErr w:type="spellEnd"/>
      <w:r w:rsidR="0073666E" w:rsidRPr="0073666E">
        <w:rPr>
          <w:lang w:val="de-CH"/>
        </w:rPr>
        <w:t xml:space="preserve"> commun,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dispositions</w:t>
      </w:r>
      <w:proofErr w:type="spellEnd"/>
      <w:r w:rsidR="0073666E" w:rsidRPr="0073666E">
        <w:rPr>
          <w:lang w:val="de-CH"/>
        </w:rPr>
        <w:t xml:space="preserve"> </w:t>
      </w:r>
      <w:proofErr w:type="spellStart"/>
      <w:r w:rsidR="0073666E" w:rsidRPr="0073666E">
        <w:rPr>
          <w:lang w:val="de-CH"/>
        </w:rPr>
        <w:t>pénales</w:t>
      </w:r>
      <w:proofErr w:type="spellEnd"/>
      <w:r w:rsidR="0073666E" w:rsidRPr="0073666E">
        <w:rPr>
          <w:lang w:val="de-CH"/>
        </w:rPr>
        <w:t xml:space="preserve"> en </w:t>
      </w:r>
      <w:proofErr w:type="spellStart"/>
      <w:r w:rsidR="0073666E" w:rsidRPr="0073666E">
        <w:rPr>
          <w:lang w:val="de-CH"/>
        </w:rPr>
        <w:t>vigueur</w:t>
      </w:r>
      <w:proofErr w:type="spellEnd"/>
      <w:r w:rsidR="0073666E" w:rsidRPr="0073666E">
        <w:rPr>
          <w:lang w:val="de-CH"/>
        </w:rPr>
        <w:t xml:space="preserve"> </w:t>
      </w:r>
      <w:proofErr w:type="spellStart"/>
      <w:r w:rsidR="0073666E" w:rsidRPr="0073666E">
        <w:rPr>
          <w:lang w:val="de-CH"/>
        </w:rPr>
        <w:t>couvrent</w:t>
      </w:r>
      <w:proofErr w:type="spellEnd"/>
      <w:r w:rsidR="0073666E" w:rsidRPr="0073666E">
        <w:rPr>
          <w:lang w:val="de-CH"/>
        </w:rPr>
        <w:t xml:space="preserve"> et </w:t>
      </w:r>
      <w:proofErr w:type="spellStart"/>
      <w:r w:rsidR="0073666E" w:rsidRPr="0073666E">
        <w:rPr>
          <w:lang w:val="de-CH"/>
        </w:rPr>
        <w:t>sanctionnent</w:t>
      </w:r>
      <w:proofErr w:type="spellEnd"/>
      <w:r w:rsidR="0073666E" w:rsidRPr="0073666E">
        <w:rPr>
          <w:lang w:val="de-CH"/>
        </w:rPr>
        <w:t xml:space="preserve"> </w:t>
      </w:r>
      <w:proofErr w:type="spellStart"/>
      <w:r w:rsidR="0073666E" w:rsidRPr="0073666E">
        <w:rPr>
          <w:lang w:val="de-CH"/>
        </w:rPr>
        <w:t>déjà</w:t>
      </w:r>
      <w:proofErr w:type="spellEnd"/>
      <w:r w:rsidR="0073666E" w:rsidRPr="0073666E">
        <w:rPr>
          <w:lang w:val="de-CH"/>
        </w:rPr>
        <w:t xml:space="preserve"> </w:t>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comportements</w:t>
      </w:r>
      <w:proofErr w:type="spellEnd"/>
      <w:r w:rsidR="0073666E" w:rsidRPr="0073666E">
        <w:rPr>
          <w:lang w:val="de-CH"/>
        </w:rPr>
        <w:t xml:space="preserve"> </w:t>
      </w:r>
      <w:proofErr w:type="spellStart"/>
      <w:r w:rsidR="0073666E" w:rsidRPr="0073666E">
        <w:rPr>
          <w:lang w:val="de-CH"/>
        </w:rPr>
        <w:t>visés</w:t>
      </w:r>
      <w:proofErr w:type="spellEnd"/>
      <w:r w:rsidR="0073666E" w:rsidRPr="0073666E">
        <w:rPr>
          <w:lang w:val="de-CH"/>
        </w:rPr>
        <w:t xml:space="preserve"> par </w:t>
      </w:r>
      <w:proofErr w:type="spellStart"/>
      <w:r w:rsidR="0073666E" w:rsidRPr="0073666E">
        <w:rPr>
          <w:lang w:val="de-CH"/>
        </w:rPr>
        <w:t>l’art</w:t>
      </w:r>
      <w:proofErr w:type="spellEnd"/>
      <w:r w:rsidR="0073666E" w:rsidRPr="0073666E">
        <w:rPr>
          <w:lang w:val="de-CH"/>
        </w:rPr>
        <w:t xml:space="preserve">. 1 de la Convention.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w:t>
      </w:r>
      <w:proofErr w:type="spellStart"/>
      <w:r w:rsidR="0073666E" w:rsidRPr="0073666E">
        <w:rPr>
          <w:lang w:val="de-CH"/>
        </w:rPr>
        <w:t>réprimés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atteintes</w:t>
      </w:r>
      <w:proofErr w:type="spellEnd"/>
      <w:r w:rsidR="0073666E" w:rsidRPr="0073666E">
        <w:rPr>
          <w:lang w:val="de-CH"/>
        </w:rPr>
        <w:t xml:space="preserve"> à la </w:t>
      </w:r>
      <w:proofErr w:type="spellStart"/>
      <w:r w:rsidR="0073666E" w:rsidRPr="0073666E">
        <w:rPr>
          <w:lang w:val="de-CH"/>
        </w:rPr>
        <w:t>vie</w:t>
      </w:r>
      <w:proofErr w:type="spellEnd"/>
      <w:r w:rsidR="0073666E" w:rsidRPr="0073666E">
        <w:rPr>
          <w:lang w:val="de-CH"/>
        </w:rPr>
        <w:t xml:space="preserve">, à </w:t>
      </w:r>
      <w:proofErr w:type="spellStart"/>
      <w:r w:rsidR="0073666E" w:rsidRPr="0073666E">
        <w:rPr>
          <w:lang w:val="de-CH"/>
        </w:rPr>
        <w:t>l’intégrité</w:t>
      </w:r>
      <w:proofErr w:type="spellEnd"/>
      <w:r w:rsidR="0073666E" w:rsidRPr="0073666E">
        <w:rPr>
          <w:lang w:val="de-CH"/>
        </w:rPr>
        <w:t xml:space="preserve"> </w:t>
      </w:r>
      <w:proofErr w:type="spellStart"/>
      <w:r w:rsidR="0073666E" w:rsidRPr="0073666E">
        <w:rPr>
          <w:lang w:val="de-CH"/>
        </w:rPr>
        <w:t>physique</w:t>
      </w:r>
      <w:proofErr w:type="spellEnd"/>
      <w:r w:rsidR="0073666E" w:rsidRPr="0073666E">
        <w:rPr>
          <w:lang w:val="de-CH"/>
        </w:rPr>
        <w:t xml:space="preserve">, sexuelle et </w:t>
      </w:r>
      <w:proofErr w:type="spellStart"/>
      <w:r w:rsidR="0073666E" w:rsidRPr="0073666E">
        <w:rPr>
          <w:lang w:val="de-CH"/>
        </w:rPr>
        <w:t>psychique</w:t>
      </w:r>
      <w:proofErr w:type="spellEnd"/>
      <w:r w:rsidR="0073666E" w:rsidRPr="0073666E">
        <w:rPr>
          <w:lang w:val="de-CH"/>
        </w:rPr>
        <w:t xml:space="preserve"> et à la </w:t>
      </w:r>
      <w:proofErr w:type="spellStart"/>
      <w:r w:rsidR="0073666E" w:rsidRPr="0073666E">
        <w:rPr>
          <w:lang w:val="de-CH"/>
        </w:rPr>
        <w:t>liberté</w:t>
      </w:r>
      <w:proofErr w:type="spellEnd"/>
      <w:r w:rsidR="0073666E" w:rsidRPr="0073666E">
        <w:rPr>
          <w:lang w:val="de-CH"/>
        </w:rPr>
        <w:t xml:space="preserve"> (</w:t>
      </w:r>
      <w:proofErr w:type="spellStart"/>
      <w:r w:rsidR="0073666E" w:rsidRPr="0073666E">
        <w:rPr>
          <w:lang w:val="de-CH"/>
        </w:rPr>
        <w:t>menace</w:t>
      </w:r>
      <w:proofErr w:type="spellEnd"/>
      <w:r w:rsidR="0073666E" w:rsidRPr="0073666E">
        <w:rPr>
          <w:lang w:val="de-CH"/>
        </w:rPr>
        <w:t xml:space="preserve">, </w:t>
      </w:r>
      <w:proofErr w:type="spellStart"/>
      <w:r w:rsidR="0073666E" w:rsidRPr="0073666E">
        <w:rPr>
          <w:lang w:val="de-CH"/>
        </w:rPr>
        <w:t>contrainte</w:t>
      </w:r>
      <w:proofErr w:type="spellEnd"/>
      <w:r w:rsidR="0073666E" w:rsidRPr="0073666E">
        <w:rPr>
          <w:lang w:val="de-CH"/>
        </w:rPr>
        <w:t xml:space="preserve">, </w:t>
      </w:r>
      <w:proofErr w:type="spellStart"/>
      <w:r w:rsidR="0073666E" w:rsidRPr="0073666E">
        <w:rPr>
          <w:lang w:val="de-CH"/>
        </w:rPr>
        <w:t>séquestration</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enlèvement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abus</w:t>
      </w:r>
      <w:proofErr w:type="spellEnd"/>
      <w:r w:rsidR="0073666E" w:rsidRPr="0073666E">
        <w:rPr>
          <w:lang w:val="de-CH"/>
        </w:rPr>
        <w:t xml:space="preserve"> </w:t>
      </w:r>
      <w:proofErr w:type="spellStart"/>
      <w:r w:rsidR="0073666E" w:rsidRPr="0073666E">
        <w:rPr>
          <w:lang w:val="de-CH"/>
        </w:rPr>
        <w:t>d’autorité</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encore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actes</w:t>
      </w:r>
      <w:proofErr w:type="spellEnd"/>
      <w:r w:rsidR="0073666E" w:rsidRPr="0073666E">
        <w:rPr>
          <w:lang w:val="de-CH"/>
        </w:rPr>
        <w:t xml:space="preserve"> </w:t>
      </w:r>
      <w:proofErr w:type="spellStart"/>
      <w:r w:rsidR="0073666E" w:rsidRPr="0073666E">
        <w:rPr>
          <w:lang w:val="de-CH"/>
        </w:rPr>
        <w:t>d’entrave</w:t>
      </w:r>
      <w:proofErr w:type="spellEnd"/>
      <w:r w:rsidR="0073666E" w:rsidRPr="0073666E">
        <w:rPr>
          <w:lang w:val="de-CH"/>
        </w:rPr>
        <w:t xml:space="preserve"> à </w:t>
      </w:r>
      <w:proofErr w:type="spellStart"/>
      <w:r w:rsidR="0073666E" w:rsidRPr="0073666E">
        <w:rPr>
          <w:lang w:val="de-CH"/>
        </w:rPr>
        <w:t>l’action</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w:t>
      </w:r>
      <w:r w:rsidR="0073666E" w:rsidRPr="0073666E">
        <w:t xml:space="preserve">Les comportements de mise en danger de la vie ou de la santé sont également sévèrement réprimés.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l’ensemble</w:t>
      </w:r>
      <w:proofErr w:type="spellEnd"/>
      <w:r w:rsidR="0073666E" w:rsidRPr="0073666E">
        <w:rPr>
          <w:lang w:val="de-CH"/>
        </w:rPr>
        <w:t xml:space="preserve"> des </w:t>
      </w:r>
      <w:proofErr w:type="spellStart"/>
      <w:r w:rsidR="0073666E" w:rsidRPr="0073666E">
        <w:rPr>
          <w:lang w:val="de-CH"/>
        </w:rPr>
        <w:t>comportements</w:t>
      </w:r>
      <w:proofErr w:type="spellEnd"/>
      <w:r w:rsidR="0073666E" w:rsidRPr="0073666E">
        <w:rPr>
          <w:lang w:val="de-CH"/>
        </w:rPr>
        <w:t xml:space="preserve"> </w:t>
      </w:r>
      <w:proofErr w:type="spellStart"/>
      <w:r w:rsidR="0073666E" w:rsidRPr="0073666E">
        <w:rPr>
          <w:lang w:val="de-CH"/>
        </w:rPr>
        <w:t>visés</w:t>
      </w:r>
      <w:proofErr w:type="spellEnd"/>
      <w:r w:rsidR="0073666E" w:rsidRPr="0073666E">
        <w:rPr>
          <w:lang w:val="de-CH"/>
        </w:rPr>
        <w:t xml:space="preserve"> par la Convention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incriminés</w:t>
      </w:r>
      <w:proofErr w:type="spellEnd"/>
      <w:r w:rsidR="0073666E" w:rsidRPr="0073666E">
        <w:rPr>
          <w:lang w:val="de-CH"/>
        </w:rPr>
        <w:t xml:space="preserve"> en </w:t>
      </w:r>
      <w:proofErr w:type="spellStart"/>
      <w:r w:rsidR="0073666E" w:rsidRPr="0073666E">
        <w:rPr>
          <w:lang w:val="de-CH"/>
        </w:rPr>
        <w:t>droit</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y </w:t>
      </w:r>
      <w:proofErr w:type="spellStart"/>
      <w:r w:rsidR="0073666E" w:rsidRPr="0073666E">
        <w:rPr>
          <w:lang w:val="de-CH"/>
        </w:rPr>
        <w:t>compris</w:t>
      </w:r>
      <w:proofErr w:type="spellEnd"/>
      <w:r w:rsidR="0073666E" w:rsidRPr="0073666E">
        <w:rPr>
          <w:lang w:val="de-CH"/>
        </w:rPr>
        <w:t xml:space="preserve"> la </w:t>
      </w:r>
      <w:proofErr w:type="spellStart"/>
      <w:r w:rsidR="0073666E" w:rsidRPr="0073666E">
        <w:rPr>
          <w:lang w:val="de-CH"/>
        </w:rPr>
        <w:t>torture</w:t>
      </w:r>
      <w:proofErr w:type="spellEnd"/>
      <w:r w:rsidR="0073666E" w:rsidRPr="0073666E">
        <w:rPr>
          <w:lang w:val="de-CH"/>
        </w:rPr>
        <w:t xml:space="preserve"> mentale,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simulations</w:t>
      </w:r>
      <w:proofErr w:type="spellEnd"/>
      <w:r w:rsidR="0073666E" w:rsidRPr="0073666E">
        <w:rPr>
          <w:lang w:val="de-CH"/>
        </w:rPr>
        <w:t xml:space="preserve"> de </w:t>
      </w:r>
      <w:proofErr w:type="spellStart"/>
      <w:r w:rsidR="0073666E" w:rsidRPr="0073666E">
        <w:rPr>
          <w:lang w:val="de-CH"/>
        </w:rPr>
        <w:t>noyade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actes</w:t>
      </w:r>
      <w:proofErr w:type="spellEnd"/>
      <w:r w:rsidR="0073666E" w:rsidRPr="0073666E">
        <w:rPr>
          <w:lang w:val="de-CH"/>
        </w:rPr>
        <w:t xml:space="preserve"> </w:t>
      </w:r>
      <w:proofErr w:type="spellStart"/>
      <w:r w:rsidR="0073666E" w:rsidRPr="0073666E">
        <w:rPr>
          <w:lang w:val="de-CH"/>
        </w:rPr>
        <w:t>destinés</w:t>
      </w:r>
      <w:proofErr w:type="spellEnd"/>
      <w:r w:rsidR="0073666E" w:rsidRPr="0073666E">
        <w:rPr>
          <w:lang w:val="de-CH"/>
        </w:rPr>
        <w:t xml:space="preserve"> à </w:t>
      </w:r>
      <w:proofErr w:type="spellStart"/>
      <w:r w:rsidR="0073666E" w:rsidRPr="0073666E">
        <w:rPr>
          <w:lang w:val="de-CH"/>
        </w:rPr>
        <w:t>punir</w:t>
      </w:r>
      <w:proofErr w:type="spellEnd"/>
      <w:r w:rsidR="0073666E" w:rsidRPr="0073666E">
        <w:rPr>
          <w:lang w:val="de-CH"/>
        </w:rPr>
        <w:t xml:space="preserve"> – </w:t>
      </w:r>
      <w:proofErr w:type="spellStart"/>
      <w:r w:rsidR="0073666E" w:rsidRPr="0073666E">
        <w:rPr>
          <w:lang w:val="de-CH"/>
        </w:rPr>
        <w:t>exemples</w:t>
      </w:r>
      <w:proofErr w:type="spellEnd"/>
      <w:r w:rsidR="0073666E" w:rsidRPr="0073666E">
        <w:rPr>
          <w:lang w:val="de-CH"/>
        </w:rPr>
        <w:t xml:space="preserve"> </w:t>
      </w:r>
      <w:proofErr w:type="spellStart"/>
      <w:r w:rsidR="0073666E" w:rsidRPr="0073666E">
        <w:rPr>
          <w:lang w:val="de-CH"/>
        </w:rPr>
        <w:t>parfois</w:t>
      </w:r>
      <w:proofErr w:type="spellEnd"/>
      <w:r w:rsidR="0073666E" w:rsidRPr="0073666E">
        <w:rPr>
          <w:lang w:val="de-CH"/>
        </w:rPr>
        <w:t xml:space="preserve"> </w:t>
      </w:r>
      <w:proofErr w:type="spellStart"/>
      <w:r w:rsidR="0073666E" w:rsidRPr="0073666E">
        <w:rPr>
          <w:lang w:val="de-CH"/>
        </w:rPr>
        <w:t>mentionnés</w:t>
      </w:r>
      <w:proofErr w:type="spellEnd"/>
      <w:r w:rsidR="0073666E" w:rsidRPr="0073666E">
        <w:rPr>
          <w:lang w:val="de-CH"/>
        </w:rPr>
        <w:t xml:space="preserve"> par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membres</w:t>
      </w:r>
      <w:proofErr w:type="spellEnd"/>
      <w:r w:rsidR="0073666E" w:rsidRPr="0073666E">
        <w:rPr>
          <w:lang w:val="de-CH"/>
        </w:rPr>
        <w:t xml:space="preserve"> du CAT </w:t>
      </w:r>
      <w:proofErr w:type="spellStart"/>
      <w:r w:rsidR="0073666E" w:rsidRPr="0073666E">
        <w:rPr>
          <w:lang w:val="de-CH"/>
        </w:rPr>
        <w:t>pour</w:t>
      </w:r>
      <w:proofErr w:type="spellEnd"/>
      <w:r w:rsidR="0073666E" w:rsidRPr="0073666E">
        <w:rPr>
          <w:lang w:val="de-CH"/>
        </w:rPr>
        <w:t xml:space="preserve"> illustrer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prétendues</w:t>
      </w:r>
      <w:proofErr w:type="spellEnd"/>
      <w:r w:rsidR="0073666E" w:rsidRPr="0073666E">
        <w:rPr>
          <w:lang w:val="de-CH"/>
        </w:rPr>
        <w:t xml:space="preserve"> </w:t>
      </w:r>
      <w:proofErr w:type="spellStart"/>
      <w:r w:rsidR="0073666E" w:rsidRPr="0073666E">
        <w:rPr>
          <w:lang w:val="de-CH"/>
        </w:rPr>
        <w:t>lacunes</w:t>
      </w:r>
      <w:proofErr w:type="spellEnd"/>
      <w:r w:rsidR="0073666E" w:rsidRPr="0073666E">
        <w:rPr>
          <w:lang w:val="de-CH"/>
        </w:rPr>
        <w:t xml:space="preserve"> du </w:t>
      </w:r>
      <w:proofErr w:type="spellStart"/>
      <w:r w:rsidR="0073666E" w:rsidRPr="0073666E">
        <w:rPr>
          <w:lang w:val="de-CH"/>
        </w:rPr>
        <w:t>droit</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w:t>
      </w:r>
    </w:p>
    <w:p w14:paraId="5FBF4519" w14:textId="77777777" w:rsidR="0073666E" w:rsidRPr="0073666E" w:rsidRDefault="00F026CE" w:rsidP="00F026CE">
      <w:pPr>
        <w:pStyle w:val="SingleTxtG"/>
        <w:rPr>
          <w:lang w:val="de-CH"/>
        </w:rPr>
      </w:pPr>
      <w:r>
        <w:rPr>
          <w:lang w:val="de-CH"/>
        </w:rPr>
        <w:t>5.</w:t>
      </w:r>
      <w:r>
        <w:rPr>
          <w:lang w:val="de-CH"/>
        </w:rPr>
        <w:tab/>
      </w:r>
      <w:r w:rsidR="0073666E" w:rsidRPr="0073666E">
        <w:rPr>
          <w:lang w:val="de-CH"/>
        </w:rPr>
        <w:t xml:space="preserve">A </w:t>
      </w:r>
      <w:proofErr w:type="spellStart"/>
      <w:r w:rsidR="0073666E" w:rsidRPr="0073666E">
        <w:rPr>
          <w:lang w:val="de-CH"/>
        </w:rPr>
        <w:t>noter</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complicité</w:t>
      </w:r>
      <w:proofErr w:type="spellEnd"/>
      <w:r w:rsidR="0073666E" w:rsidRPr="0073666E">
        <w:rPr>
          <w:lang w:val="de-CH"/>
        </w:rPr>
        <w:t xml:space="preserve"> et </w:t>
      </w:r>
      <w:proofErr w:type="spellStart"/>
      <w:r w:rsidR="0073666E" w:rsidRPr="0073666E">
        <w:rPr>
          <w:lang w:val="de-CH"/>
        </w:rPr>
        <w:t>l’instigation</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punissables</w:t>
      </w:r>
      <w:proofErr w:type="spellEnd"/>
      <w:r w:rsidR="0073666E" w:rsidRPr="0073666E">
        <w:rPr>
          <w:lang w:val="de-CH"/>
        </w:rPr>
        <w:t xml:space="preserve"> (art. 24 et 25 CP), de </w:t>
      </w:r>
      <w:proofErr w:type="spellStart"/>
      <w:r w:rsidR="0073666E" w:rsidRPr="0073666E">
        <w:rPr>
          <w:lang w:val="de-CH"/>
        </w:rPr>
        <w:t>même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tentative (art. 22 CP).</w:t>
      </w:r>
    </w:p>
    <w:p w14:paraId="47CAB430" w14:textId="77777777" w:rsidR="0073666E" w:rsidRPr="0073666E" w:rsidRDefault="00F026CE" w:rsidP="00F026CE">
      <w:pPr>
        <w:pStyle w:val="SingleTxtG"/>
        <w:rPr>
          <w:lang w:val="de-CH"/>
        </w:rPr>
      </w:pPr>
      <w:r>
        <w:rPr>
          <w:lang w:val="de-CH"/>
        </w:rPr>
        <w:t>6.</w:t>
      </w:r>
      <w:r>
        <w:rPr>
          <w:lang w:val="de-CH"/>
        </w:rPr>
        <w:tab/>
      </w:r>
      <w:r w:rsidR="0073666E" w:rsidRPr="0073666E">
        <w:rPr>
          <w:lang w:val="de-CH"/>
        </w:rPr>
        <w:t xml:space="preserve">En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concerne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peines</w:t>
      </w:r>
      <w:proofErr w:type="spellEnd"/>
      <w:r w:rsidR="0073666E" w:rsidRPr="0073666E">
        <w:rPr>
          <w:lang w:val="de-CH"/>
        </w:rPr>
        <w:t xml:space="preserve"> </w:t>
      </w:r>
      <w:proofErr w:type="spellStart"/>
      <w:r w:rsidR="0073666E" w:rsidRPr="0073666E">
        <w:rPr>
          <w:lang w:val="de-CH"/>
        </w:rPr>
        <w:t>prévues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infractions</w:t>
      </w:r>
      <w:proofErr w:type="spellEnd"/>
      <w:r w:rsidR="0073666E" w:rsidRPr="0073666E">
        <w:rPr>
          <w:lang w:val="de-CH"/>
        </w:rPr>
        <w:t xml:space="preserve"> </w:t>
      </w:r>
      <w:proofErr w:type="spellStart"/>
      <w:r w:rsidR="0073666E" w:rsidRPr="0073666E">
        <w:rPr>
          <w:lang w:val="de-CH"/>
        </w:rPr>
        <w:t>précitées</w:t>
      </w:r>
      <w:proofErr w:type="spellEnd"/>
      <w:r w:rsidR="0073666E" w:rsidRPr="0073666E">
        <w:rPr>
          <w:lang w:val="de-CH"/>
        </w:rPr>
        <w:t xml:space="preserve">, </w:t>
      </w:r>
      <w:proofErr w:type="spellStart"/>
      <w:r w:rsidR="0073666E" w:rsidRPr="0073666E">
        <w:rPr>
          <w:lang w:val="de-CH"/>
        </w:rPr>
        <w:t>elles</w:t>
      </w:r>
      <w:proofErr w:type="spellEnd"/>
      <w:r w:rsidR="0073666E" w:rsidRPr="0073666E">
        <w:rPr>
          <w:lang w:val="de-CH"/>
        </w:rPr>
        <w:t xml:space="preserve"> </w:t>
      </w:r>
      <w:proofErr w:type="spellStart"/>
      <w:r w:rsidR="0073666E" w:rsidRPr="0073666E">
        <w:rPr>
          <w:lang w:val="de-CH"/>
        </w:rPr>
        <w:t>revêtent</w:t>
      </w:r>
      <w:proofErr w:type="spellEnd"/>
      <w:r w:rsidR="0073666E" w:rsidRPr="0073666E">
        <w:rPr>
          <w:lang w:val="de-CH"/>
        </w:rPr>
        <w:t xml:space="preserve"> </w:t>
      </w:r>
      <w:proofErr w:type="spellStart"/>
      <w:r w:rsidR="0073666E" w:rsidRPr="0073666E">
        <w:rPr>
          <w:lang w:val="de-CH"/>
        </w:rPr>
        <w:t>incontestablement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caractère</w:t>
      </w:r>
      <w:proofErr w:type="spellEnd"/>
      <w:r w:rsidR="0073666E" w:rsidRPr="0073666E">
        <w:rPr>
          <w:lang w:val="de-CH"/>
        </w:rPr>
        <w:t xml:space="preserve"> </w:t>
      </w:r>
      <w:proofErr w:type="spellStart"/>
      <w:r w:rsidR="0073666E" w:rsidRPr="0073666E">
        <w:rPr>
          <w:lang w:val="de-CH"/>
        </w:rPr>
        <w:t>proportionné</w:t>
      </w:r>
      <w:proofErr w:type="spellEnd"/>
      <w:r w:rsidR="0073666E" w:rsidRPr="0073666E">
        <w:rPr>
          <w:lang w:val="de-CH"/>
        </w:rPr>
        <w:t xml:space="preserve"> et </w:t>
      </w:r>
      <w:proofErr w:type="spellStart"/>
      <w:r w:rsidR="0073666E" w:rsidRPr="0073666E">
        <w:rPr>
          <w:lang w:val="de-CH"/>
        </w:rPr>
        <w:t>dissuasif</w:t>
      </w:r>
      <w:proofErr w:type="spellEnd"/>
      <w:r w:rsidR="0073666E" w:rsidRPr="0073666E">
        <w:rPr>
          <w:lang w:val="de-CH"/>
        </w:rPr>
        <w:t xml:space="preserve"> et </w:t>
      </w:r>
      <w:proofErr w:type="spellStart"/>
      <w:r w:rsidR="0073666E" w:rsidRPr="0073666E">
        <w:rPr>
          <w:lang w:val="de-CH"/>
        </w:rPr>
        <w:t>sont</w:t>
      </w:r>
      <w:proofErr w:type="spellEnd"/>
      <w:r w:rsidR="0073666E" w:rsidRPr="0073666E">
        <w:rPr>
          <w:lang w:val="de-CH"/>
        </w:rPr>
        <w:t xml:space="preserve"> en </w:t>
      </w:r>
      <w:proofErr w:type="spellStart"/>
      <w:r w:rsidR="0073666E" w:rsidRPr="0073666E">
        <w:rPr>
          <w:lang w:val="de-CH"/>
        </w:rPr>
        <w:t>parfaite</w:t>
      </w:r>
      <w:proofErr w:type="spellEnd"/>
      <w:r w:rsidR="0073666E" w:rsidRPr="0073666E">
        <w:rPr>
          <w:lang w:val="de-CH"/>
        </w:rPr>
        <w:t xml:space="preserve"> </w:t>
      </w:r>
      <w:proofErr w:type="spellStart"/>
      <w:r w:rsidR="0073666E" w:rsidRPr="0073666E">
        <w:rPr>
          <w:lang w:val="de-CH"/>
        </w:rPr>
        <w:t>adéquation</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l’ensemble</w:t>
      </w:r>
      <w:proofErr w:type="spellEnd"/>
      <w:r w:rsidR="0073666E" w:rsidRPr="0073666E">
        <w:rPr>
          <w:lang w:val="de-CH"/>
        </w:rPr>
        <w:t xml:space="preserve"> des </w:t>
      </w:r>
      <w:proofErr w:type="spellStart"/>
      <w:r w:rsidR="0073666E" w:rsidRPr="0073666E">
        <w:rPr>
          <w:lang w:val="de-CH"/>
        </w:rPr>
        <w:t>peines</w:t>
      </w:r>
      <w:proofErr w:type="spellEnd"/>
      <w:r w:rsidR="0073666E" w:rsidRPr="0073666E">
        <w:rPr>
          <w:lang w:val="de-CH"/>
        </w:rPr>
        <w:t xml:space="preserve"> </w:t>
      </w:r>
      <w:proofErr w:type="spellStart"/>
      <w:r w:rsidR="0073666E" w:rsidRPr="0073666E">
        <w:rPr>
          <w:lang w:val="de-CH"/>
        </w:rPr>
        <w:t>prévues</w:t>
      </w:r>
      <w:proofErr w:type="spellEnd"/>
      <w:r w:rsidR="0073666E" w:rsidRPr="0073666E">
        <w:rPr>
          <w:lang w:val="de-CH"/>
        </w:rPr>
        <w:t xml:space="preserve"> par le CP. En </w:t>
      </w:r>
      <w:proofErr w:type="spellStart"/>
      <w:r w:rsidR="0073666E" w:rsidRPr="0073666E">
        <w:rPr>
          <w:lang w:val="de-CH"/>
        </w:rPr>
        <w:t>cas</w:t>
      </w:r>
      <w:proofErr w:type="spellEnd"/>
      <w:r w:rsidR="0073666E" w:rsidRPr="0073666E">
        <w:rPr>
          <w:lang w:val="de-CH"/>
        </w:rPr>
        <w:t xml:space="preserve"> de </w:t>
      </w:r>
      <w:proofErr w:type="spellStart"/>
      <w:r w:rsidR="0073666E" w:rsidRPr="0073666E">
        <w:rPr>
          <w:lang w:val="de-CH"/>
        </w:rPr>
        <w:t>concours</w:t>
      </w:r>
      <w:proofErr w:type="spellEnd"/>
      <w:r w:rsidR="0073666E" w:rsidRPr="0073666E">
        <w:rPr>
          <w:lang w:val="de-CH"/>
        </w:rPr>
        <w:t xml:space="preserve"> entre </w:t>
      </w:r>
      <w:proofErr w:type="spellStart"/>
      <w:r w:rsidR="0073666E" w:rsidRPr="0073666E">
        <w:rPr>
          <w:lang w:val="de-CH"/>
        </w:rPr>
        <w:t>plusieurs</w:t>
      </w:r>
      <w:proofErr w:type="spellEnd"/>
      <w:r w:rsidR="0073666E" w:rsidRPr="0073666E">
        <w:rPr>
          <w:lang w:val="de-CH"/>
        </w:rPr>
        <w:t xml:space="preserve"> </w:t>
      </w:r>
      <w:proofErr w:type="spellStart"/>
      <w:r w:rsidR="0073666E" w:rsidRPr="0073666E">
        <w:rPr>
          <w:lang w:val="de-CH"/>
        </w:rPr>
        <w:t>infractions</w:t>
      </w:r>
      <w:proofErr w:type="spellEnd"/>
      <w:r w:rsidR="0073666E" w:rsidRPr="0073666E">
        <w:rPr>
          <w:lang w:val="de-CH"/>
        </w:rPr>
        <w:t xml:space="preserve">, le </w:t>
      </w:r>
      <w:proofErr w:type="spellStart"/>
      <w:r w:rsidR="0073666E" w:rsidRPr="0073666E">
        <w:rPr>
          <w:lang w:val="de-CH"/>
        </w:rPr>
        <w:t>plafond</w:t>
      </w:r>
      <w:proofErr w:type="spellEnd"/>
      <w:r w:rsidR="0073666E" w:rsidRPr="0073666E">
        <w:rPr>
          <w:lang w:val="de-CH"/>
        </w:rPr>
        <w:t xml:space="preserve"> de la </w:t>
      </w:r>
      <w:proofErr w:type="spellStart"/>
      <w:r w:rsidR="0073666E" w:rsidRPr="0073666E">
        <w:rPr>
          <w:lang w:val="de-CH"/>
        </w:rPr>
        <w:t>peine</w:t>
      </w:r>
      <w:proofErr w:type="spellEnd"/>
      <w:r w:rsidR="0073666E" w:rsidRPr="0073666E">
        <w:rPr>
          <w:lang w:val="de-CH"/>
        </w:rPr>
        <w:t xml:space="preserve"> </w:t>
      </w:r>
      <w:proofErr w:type="spellStart"/>
      <w:r w:rsidR="0073666E" w:rsidRPr="0073666E">
        <w:rPr>
          <w:lang w:val="de-CH"/>
        </w:rPr>
        <w:t>prévue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l’infraction</w:t>
      </w:r>
      <w:proofErr w:type="spellEnd"/>
      <w:r w:rsidR="0073666E" w:rsidRPr="0073666E">
        <w:rPr>
          <w:lang w:val="de-CH"/>
        </w:rPr>
        <w:t xml:space="preserve"> la plus grave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multiplié</w:t>
      </w:r>
      <w:proofErr w:type="spellEnd"/>
      <w:r w:rsidR="0073666E" w:rsidRPr="0073666E">
        <w:rPr>
          <w:lang w:val="de-CH"/>
        </w:rPr>
        <w:t xml:space="preserve"> par 1.5 (art. 49 CP).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délais</w:t>
      </w:r>
      <w:proofErr w:type="spellEnd"/>
      <w:r w:rsidR="0073666E" w:rsidRPr="0073666E">
        <w:rPr>
          <w:lang w:val="de-CH"/>
        </w:rPr>
        <w:t xml:space="preserve"> de </w:t>
      </w:r>
      <w:proofErr w:type="spellStart"/>
      <w:r w:rsidR="0073666E" w:rsidRPr="0073666E">
        <w:rPr>
          <w:lang w:val="de-CH"/>
        </w:rPr>
        <w:t>prescription</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en </w:t>
      </w:r>
      <w:proofErr w:type="spellStart"/>
      <w:r w:rsidR="0073666E" w:rsidRPr="0073666E">
        <w:rPr>
          <w:lang w:val="de-CH"/>
        </w:rPr>
        <w:t>outre</w:t>
      </w:r>
      <w:proofErr w:type="spellEnd"/>
      <w:r w:rsidR="0073666E" w:rsidRPr="0073666E">
        <w:rPr>
          <w:lang w:val="de-CH"/>
        </w:rPr>
        <w:t xml:space="preserve"> </w:t>
      </w:r>
      <w:proofErr w:type="spellStart"/>
      <w:r w:rsidR="0073666E" w:rsidRPr="0073666E">
        <w:rPr>
          <w:lang w:val="de-CH"/>
        </w:rPr>
        <w:t>suffisamment</w:t>
      </w:r>
      <w:proofErr w:type="spellEnd"/>
      <w:r w:rsidR="0073666E" w:rsidRPr="0073666E">
        <w:rPr>
          <w:lang w:val="de-CH"/>
        </w:rPr>
        <w:t xml:space="preserve"> </w:t>
      </w:r>
      <w:proofErr w:type="spellStart"/>
      <w:r w:rsidR="0073666E" w:rsidRPr="0073666E">
        <w:rPr>
          <w:lang w:val="de-CH"/>
        </w:rPr>
        <w:t>longs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permettre</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pénales</w:t>
      </w:r>
      <w:proofErr w:type="spellEnd"/>
      <w:r w:rsidR="0073666E" w:rsidRPr="0073666E">
        <w:rPr>
          <w:lang w:val="de-CH"/>
        </w:rPr>
        <w:t xml:space="preserve"> </w:t>
      </w:r>
      <w:proofErr w:type="spellStart"/>
      <w:r w:rsidR="0073666E" w:rsidRPr="0073666E">
        <w:rPr>
          <w:lang w:val="de-CH"/>
        </w:rPr>
        <w:t>d’effectuer</w:t>
      </w:r>
      <w:proofErr w:type="spellEnd"/>
      <w:r w:rsidR="0073666E" w:rsidRPr="0073666E">
        <w:rPr>
          <w:lang w:val="de-CH"/>
        </w:rPr>
        <w:t xml:space="preserve"> </w:t>
      </w:r>
      <w:proofErr w:type="spellStart"/>
      <w:r w:rsidR="0073666E" w:rsidRPr="0073666E">
        <w:rPr>
          <w:lang w:val="de-CH"/>
        </w:rPr>
        <w:t>leur</w:t>
      </w:r>
      <w:proofErr w:type="spellEnd"/>
      <w:r w:rsidR="0073666E" w:rsidRPr="0073666E">
        <w:rPr>
          <w:lang w:val="de-CH"/>
        </w:rPr>
        <w:t xml:space="preserve"> </w:t>
      </w:r>
      <w:proofErr w:type="spellStart"/>
      <w:r w:rsidR="0073666E" w:rsidRPr="0073666E">
        <w:rPr>
          <w:lang w:val="de-CH"/>
        </w:rPr>
        <w:t>travail</w:t>
      </w:r>
      <w:proofErr w:type="spellEnd"/>
      <w:r w:rsidR="0073666E" w:rsidRPr="0073666E">
        <w:rPr>
          <w:lang w:val="de-CH"/>
        </w:rPr>
        <w:t xml:space="preserve"> en </w:t>
      </w:r>
      <w:proofErr w:type="spellStart"/>
      <w:r w:rsidR="0073666E" w:rsidRPr="0073666E">
        <w:rPr>
          <w:lang w:val="de-CH"/>
        </w:rPr>
        <w:t>toute</w:t>
      </w:r>
      <w:proofErr w:type="spellEnd"/>
      <w:r w:rsidR="0073666E" w:rsidRPr="0073666E">
        <w:rPr>
          <w:lang w:val="de-CH"/>
        </w:rPr>
        <w:t xml:space="preserve"> </w:t>
      </w:r>
      <w:proofErr w:type="spellStart"/>
      <w:r w:rsidR="0073666E" w:rsidRPr="0073666E">
        <w:rPr>
          <w:lang w:val="de-CH"/>
        </w:rPr>
        <w:t>sérénité</w:t>
      </w:r>
      <w:proofErr w:type="spellEnd"/>
      <w:r w:rsidR="0073666E" w:rsidRPr="0073666E">
        <w:rPr>
          <w:lang w:val="de-CH"/>
        </w:rPr>
        <w:t xml:space="preserve">, </w:t>
      </w:r>
      <w:proofErr w:type="spellStart"/>
      <w:r w:rsidR="0073666E" w:rsidRPr="0073666E">
        <w:rPr>
          <w:lang w:val="de-CH"/>
        </w:rPr>
        <w:t>tout</w:t>
      </w:r>
      <w:proofErr w:type="spellEnd"/>
      <w:r w:rsidR="0073666E" w:rsidRPr="0073666E">
        <w:rPr>
          <w:lang w:val="de-CH"/>
        </w:rPr>
        <w:t xml:space="preserve"> en </w:t>
      </w:r>
      <w:proofErr w:type="spellStart"/>
      <w:r w:rsidR="0073666E" w:rsidRPr="0073666E">
        <w:rPr>
          <w:lang w:val="de-CH"/>
        </w:rPr>
        <w:t>respectant</w:t>
      </w:r>
      <w:proofErr w:type="spellEnd"/>
      <w:r w:rsidR="0073666E" w:rsidRPr="0073666E">
        <w:rPr>
          <w:lang w:val="de-CH"/>
        </w:rPr>
        <w:t xml:space="preserve"> le </w:t>
      </w:r>
      <w:proofErr w:type="spellStart"/>
      <w:r w:rsidR="0073666E" w:rsidRPr="0073666E">
        <w:rPr>
          <w:lang w:val="de-CH"/>
        </w:rPr>
        <w:t>principe</w:t>
      </w:r>
      <w:proofErr w:type="spellEnd"/>
      <w:r w:rsidR="0073666E" w:rsidRPr="0073666E">
        <w:rPr>
          <w:lang w:val="de-CH"/>
        </w:rPr>
        <w:t xml:space="preserve"> de </w:t>
      </w:r>
      <w:proofErr w:type="spellStart"/>
      <w:r w:rsidR="0073666E" w:rsidRPr="0073666E">
        <w:rPr>
          <w:lang w:val="de-CH"/>
        </w:rPr>
        <w:t>célérité</w:t>
      </w:r>
      <w:proofErr w:type="spellEnd"/>
      <w:r w:rsidR="0073666E" w:rsidRPr="0073666E">
        <w:rPr>
          <w:lang w:val="de-CH"/>
        </w:rPr>
        <w:t xml:space="preserve"> </w:t>
      </w:r>
      <w:proofErr w:type="spellStart"/>
      <w:r w:rsidR="0073666E" w:rsidRPr="0073666E">
        <w:rPr>
          <w:lang w:val="de-CH"/>
        </w:rPr>
        <w:t>prévu</w:t>
      </w:r>
      <w:proofErr w:type="spellEnd"/>
      <w:r w:rsidR="0073666E" w:rsidRPr="0073666E">
        <w:rPr>
          <w:lang w:val="de-CH"/>
        </w:rPr>
        <w:t xml:space="preserve"> par </w:t>
      </w:r>
      <w:proofErr w:type="spellStart"/>
      <w:r w:rsidR="0073666E" w:rsidRPr="0073666E">
        <w:rPr>
          <w:lang w:val="de-CH"/>
        </w:rPr>
        <w:t>l’art</w:t>
      </w:r>
      <w:proofErr w:type="spellEnd"/>
      <w:r w:rsidR="0073666E" w:rsidRPr="0073666E">
        <w:rPr>
          <w:lang w:val="de-CH"/>
        </w:rPr>
        <w:t xml:space="preserve">. 5 du </w:t>
      </w:r>
      <w:r w:rsidR="00D94D41" w:rsidRPr="0073666E">
        <w:rPr>
          <w:lang w:val="de-CH"/>
        </w:rPr>
        <w:t xml:space="preserve">Code </w:t>
      </w:r>
      <w:r w:rsidR="0073666E" w:rsidRPr="0073666E">
        <w:rPr>
          <w:lang w:val="de-CH"/>
        </w:rPr>
        <w:t xml:space="preserve">de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pénal</w:t>
      </w:r>
      <w:r w:rsidR="00D94D41">
        <w:rPr>
          <w:lang w:val="de-CH"/>
        </w:rPr>
        <w:t>e</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(CPP). Ces </w:t>
      </w:r>
      <w:proofErr w:type="spellStart"/>
      <w:r w:rsidR="0073666E" w:rsidRPr="0073666E">
        <w:rPr>
          <w:lang w:val="de-CH"/>
        </w:rPr>
        <w:t>délais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lastRenderedPageBreak/>
        <w:t>oscillent</w:t>
      </w:r>
      <w:proofErr w:type="spellEnd"/>
      <w:r w:rsidR="0073666E" w:rsidRPr="0073666E">
        <w:rPr>
          <w:lang w:val="de-CH"/>
        </w:rPr>
        <w:t xml:space="preserve"> entre </w:t>
      </w:r>
      <w:proofErr w:type="spellStart"/>
      <w:r w:rsidR="0073666E" w:rsidRPr="0073666E">
        <w:rPr>
          <w:lang w:val="de-CH"/>
        </w:rPr>
        <w:t>sept</w:t>
      </w:r>
      <w:proofErr w:type="spellEnd"/>
      <w:r w:rsidR="0073666E" w:rsidRPr="0073666E">
        <w:rPr>
          <w:lang w:val="de-CH"/>
        </w:rPr>
        <w:t xml:space="preserve"> et </w:t>
      </w:r>
      <w:proofErr w:type="spellStart"/>
      <w:r w:rsidR="0073666E" w:rsidRPr="0073666E">
        <w:rPr>
          <w:lang w:val="de-CH"/>
        </w:rPr>
        <w:t>trente</w:t>
      </w:r>
      <w:proofErr w:type="spellEnd"/>
      <w:r w:rsidR="0073666E" w:rsidRPr="0073666E">
        <w:rPr>
          <w:lang w:val="de-CH"/>
        </w:rPr>
        <w:t xml:space="preserve"> ans </w:t>
      </w:r>
      <w:proofErr w:type="spellStart"/>
      <w:r w:rsidR="0073666E" w:rsidRPr="0073666E">
        <w:rPr>
          <w:lang w:val="de-CH"/>
        </w:rPr>
        <w:t>selon</w:t>
      </w:r>
      <w:proofErr w:type="spellEnd"/>
      <w:r w:rsidR="0073666E" w:rsidRPr="0073666E">
        <w:rPr>
          <w:lang w:val="de-CH"/>
        </w:rPr>
        <w:t xml:space="preserve"> la </w:t>
      </w:r>
      <w:proofErr w:type="spellStart"/>
      <w:r w:rsidR="0073666E" w:rsidRPr="0073666E">
        <w:rPr>
          <w:lang w:val="de-CH"/>
        </w:rPr>
        <w:t>gravité</w:t>
      </w:r>
      <w:proofErr w:type="spellEnd"/>
      <w:r w:rsidR="0073666E" w:rsidRPr="0073666E">
        <w:rPr>
          <w:lang w:val="de-CH"/>
        </w:rPr>
        <w:t xml:space="preserve"> de </w:t>
      </w:r>
      <w:proofErr w:type="spellStart"/>
      <w:r w:rsidR="0073666E" w:rsidRPr="0073666E">
        <w:rPr>
          <w:lang w:val="de-CH"/>
        </w:rPr>
        <w:t>l’infraction</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d’ailleurs</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prolongés</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la </w:t>
      </w:r>
      <w:proofErr w:type="spellStart"/>
      <w:r w:rsidR="0073666E" w:rsidRPr="0073666E">
        <w:rPr>
          <w:lang w:val="de-CH"/>
        </w:rPr>
        <w:t>révision</w:t>
      </w:r>
      <w:proofErr w:type="spellEnd"/>
      <w:r w:rsidR="0073666E" w:rsidRPr="0073666E">
        <w:rPr>
          <w:lang w:val="de-CH"/>
        </w:rPr>
        <w:t xml:space="preserve"> de la </w:t>
      </w:r>
      <w:proofErr w:type="spellStart"/>
      <w:r w:rsidR="0073666E" w:rsidRPr="0073666E">
        <w:rPr>
          <w:lang w:val="de-CH"/>
        </w:rPr>
        <w:t>partie</w:t>
      </w:r>
      <w:proofErr w:type="spellEnd"/>
      <w:r w:rsidR="0073666E" w:rsidRPr="0073666E">
        <w:rPr>
          <w:lang w:val="de-CH"/>
        </w:rPr>
        <w:t xml:space="preserve"> </w:t>
      </w:r>
      <w:proofErr w:type="spellStart"/>
      <w:r w:rsidR="0073666E" w:rsidRPr="0073666E">
        <w:rPr>
          <w:lang w:val="de-CH"/>
        </w:rPr>
        <w:t>générale</w:t>
      </w:r>
      <w:proofErr w:type="spellEnd"/>
      <w:r w:rsidR="0073666E" w:rsidRPr="0073666E">
        <w:rPr>
          <w:lang w:val="de-CH"/>
        </w:rPr>
        <w:t xml:space="preserve"> du CP et </w:t>
      </w:r>
      <w:proofErr w:type="spellStart"/>
      <w:r w:rsidR="0073666E" w:rsidRPr="0073666E">
        <w:rPr>
          <w:lang w:val="de-CH"/>
        </w:rPr>
        <w:t>ils</w:t>
      </w:r>
      <w:proofErr w:type="spellEnd"/>
      <w:r w:rsidR="0073666E" w:rsidRPr="0073666E">
        <w:rPr>
          <w:lang w:val="de-CH"/>
        </w:rPr>
        <w:t xml:space="preserve"> </w:t>
      </w:r>
      <w:proofErr w:type="spellStart"/>
      <w:r w:rsidR="0073666E" w:rsidRPr="0073666E">
        <w:rPr>
          <w:lang w:val="de-CH"/>
        </w:rPr>
        <w:t>cessent</w:t>
      </w:r>
      <w:proofErr w:type="spellEnd"/>
      <w:r w:rsidR="0073666E" w:rsidRPr="0073666E">
        <w:rPr>
          <w:lang w:val="de-CH"/>
        </w:rPr>
        <w:t xml:space="preserve"> de </w:t>
      </w:r>
      <w:proofErr w:type="spellStart"/>
      <w:r w:rsidR="0073666E" w:rsidRPr="0073666E">
        <w:rPr>
          <w:lang w:val="de-CH"/>
        </w:rPr>
        <w:t>courir</w:t>
      </w:r>
      <w:proofErr w:type="spellEnd"/>
      <w:r w:rsidR="0073666E" w:rsidRPr="0073666E">
        <w:rPr>
          <w:lang w:val="de-CH"/>
        </w:rPr>
        <w:t xml:space="preserve"> </w:t>
      </w:r>
      <w:proofErr w:type="spellStart"/>
      <w:r w:rsidR="0073666E" w:rsidRPr="0073666E">
        <w:rPr>
          <w:lang w:val="de-CH"/>
        </w:rPr>
        <w:t>dès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jugement</w:t>
      </w:r>
      <w:proofErr w:type="spellEnd"/>
      <w:r w:rsidR="0073666E" w:rsidRPr="0073666E">
        <w:rPr>
          <w:lang w:val="de-CH"/>
        </w:rPr>
        <w:t xml:space="preserve"> de </w:t>
      </w:r>
      <w:proofErr w:type="spellStart"/>
      <w:r w:rsidR="0073666E" w:rsidRPr="0073666E">
        <w:rPr>
          <w:lang w:val="de-CH"/>
        </w:rPr>
        <w:t>première</w:t>
      </w:r>
      <w:proofErr w:type="spellEnd"/>
      <w:r w:rsidR="0073666E" w:rsidRPr="0073666E">
        <w:rPr>
          <w:lang w:val="de-CH"/>
        </w:rPr>
        <w:t xml:space="preserve"> </w:t>
      </w:r>
      <w:proofErr w:type="spellStart"/>
      <w:r w:rsidR="0073666E" w:rsidRPr="0073666E">
        <w:rPr>
          <w:lang w:val="de-CH"/>
        </w:rPr>
        <w:t>instance</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rendu</w:t>
      </w:r>
      <w:proofErr w:type="spellEnd"/>
      <w:r w:rsidR="0073666E" w:rsidRPr="0073666E">
        <w:rPr>
          <w:lang w:val="de-CH"/>
        </w:rPr>
        <w:t xml:space="preserve"> (art. 97 CP). Dans le </w:t>
      </w:r>
      <w:proofErr w:type="spellStart"/>
      <w:r w:rsidR="0073666E" w:rsidRPr="0073666E">
        <w:rPr>
          <w:lang w:val="de-CH"/>
        </w:rPr>
        <w:t>contexte</w:t>
      </w:r>
      <w:proofErr w:type="spellEnd"/>
      <w:r w:rsidR="0073666E" w:rsidRPr="0073666E">
        <w:rPr>
          <w:lang w:val="de-CH"/>
        </w:rPr>
        <w:t xml:space="preserve"> des </w:t>
      </w:r>
      <w:proofErr w:type="spellStart"/>
      <w:r w:rsidR="0073666E" w:rsidRPr="0073666E">
        <w:rPr>
          <w:lang w:val="de-CH"/>
        </w:rPr>
        <w:t>crimes</w:t>
      </w:r>
      <w:proofErr w:type="spellEnd"/>
      <w:r w:rsidR="0073666E" w:rsidRPr="0073666E">
        <w:rPr>
          <w:lang w:val="de-CH"/>
        </w:rPr>
        <w:t xml:space="preserve"> contre </w:t>
      </w:r>
      <w:proofErr w:type="spellStart"/>
      <w:r w:rsidR="0073666E" w:rsidRPr="0073666E">
        <w:rPr>
          <w:lang w:val="de-CH"/>
        </w:rPr>
        <w:t>l’humanité</w:t>
      </w:r>
      <w:proofErr w:type="spellEnd"/>
      <w:r w:rsidR="0073666E" w:rsidRPr="0073666E">
        <w:rPr>
          <w:lang w:val="de-CH"/>
        </w:rPr>
        <w:t xml:space="preserve">, la </w:t>
      </w:r>
      <w:proofErr w:type="spellStart"/>
      <w:r w:rsidR="0073666E" w:rsidRPr="0073666E">
        <w:rPr>
          <w:lang w:val="de-CH"/>
        </w:rPr>
        <w:t>torture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même</w:t>
      </w:r>
      <w:proofErr w:type="spellEnd"/>
      <w:r w:rsidR="0073666E" w:rsidRPr="0073666E">
        <w:rPr>
          <w:lang w:val="de-CH"/>
        </w:rPr>
        <w:t xml:space="preserve"> </w:t>
      </w:r>
      <w:proofErr w:type="spellStart"/>
      <w:r w:rsidR="0073666E" w:rsidRPr="0073666E">
        <w:rPr>
          <w:lang w:val="de-CH"/>
        </w:rPr>
        <w:t>imprescriptible</w:t>
      </w:r>
      <w:proofErr w:type="spellEnd"/>
      <w:r w:rsidR="0073666E" w:rsidRPr="0073666E">
        <w:rPr>
          <w:lang w:val="de-CH"/>
        </w:rPr>
        <w:t xml:space="preserve"> (art. 101 CP). </w:t>
      </w:r>
    </w:p>
    <w:p w14:paraId="466F62B0" w14:textId="77777777" w:rsidR="0073666E" w:rsidRPr="0073666E" w:rsidRDefault="00B56636" w:rsidP="00B56636">
      <w:pPr>
        <w:pStyle w:val="SingleTxtG"/>
        <w:rPr>
          <w:lang w:val="de-CH"/>
        </w:rPr>
      </w:pPr>
      <w:r>
        <w:rPr>
          <w:lang w:val="de-CH"/>
        </w:rPr>
        <w:t>7.</w:t>
      </w:r>
      <w:r>
        <w:rPr>
          <w:lang w:val="de-CH"/>
        </w:rPr>
        <w:tab/>
      </w:r>
      <w:r w:rsidR="0073666E" w:rsidRPr="0073666E">
        <w:rPr>
          <w:lang w:val="de-CH"/>
        </w:rPr>
        <w:t xml:space="preserve">En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concerne</w:t>
      </w:r>
      <w:proofErr w:type="spellEnd"/>
      <w:r w:rsidR="0073666E" w:rsidRPr="0073666E">
        <w:rPr>
          <w:lang w:val="de-CH"/>
        </w:rPr>
        <w:t xml:space="preserve"> la </w:t>
      </w:r>
      <w:proofErr w:type="spellStart"/>
      <w:r w:rsidR="0073666E" w:rsidRPr="0073666E">
        <w:rPr>
          <w:lang w:val="de-CH"/>
        </w:rPr>
        <w:t>coopération</w:t>
      </w:r>
      <w:proofErr w:type="spellEnd"/>
      <w:r w:rsidR="0073666E" w:rsidRPr="0073666E">
        <w:rPr>
          <w:lang w:val="de-CH"/>
        </w:rPr>
        <w:t xml:space="preserve"> </w:t>
      </w:r>
      <w:proofErr w:type="spellStart"/>
      <w:r w:rsidR="0073666E" w:rsidRPr="0073666E">
        <w:rPr>
          <w:lang w:val="de-CH"/>
        </w:rPr>
        <w:t>judiciaire</w:t>
      </w:r>
      <w:proofErr w:type="spellEnd"/>
      <w:r w:rsidR="0073666E" w:rsidRPr="0073666E">
        <w:rPr>
          <w:lang w:val="de-CH"/>
        </w:rPr>
        <w:t xml:space="preserve"> internationale (</w:t>
      </w:r>
      <w:proofErr w:type="spellStart"/>
      <w:r w:rsidR="0073666E" w:rsidRPr="0073666E">
        <w:rPr>
          <w:lang w:val="de-CH"/>
        </w:rPr>
        <w:t>entraide</w:t>
      </w:r>
      <w:proofErr w:type="spellEnd"/>
      <w:r w:rsidR="0073666E" w:rsidRPr="0073666E">
        <w:rPr>
          <w:lang w:val="de-CH"/>
        </w:rPr>
        <w:t xml:space="preserve">, </w:t>
      </w:r>
      <w:proofErr w:type="spellStart"/>
      <w:r w:rsidR="0073666E" w:rsidRPr="0073666E">
        <w:rPr>
          <w:lang w:val="de-CH"/>
        </w:rPr>
        <w:t>extradition</w:t>
      </w:r>
      <w:proofErr w:type="spellEnd"/>
      <w:r w:rsidR="0073666E" w:rsidRPr="0073666E">
        <w:rPr>
          <w:lang w:val="de-CH"/>
        </w:rPr>
        <w:t xml:space="preserve">), </w:t>
      </w:r>
      <w:proofErr w:type="spellStart"/>
      <w:r w:rsidR="0073666E" w:rsidRPr="0073666E">
        <w:rPr>
          <w:lang w:val="de-CH"/>
        </w:rPr>
        <w:t>aucun</w:t>
      </w:r>
      <w:proofErr w:type="spellEnd"/>
      <w:r w:rsidR="0073666E" w:rsidRPr="0073666E">
        <w:rPr>
          <w:lang w:val="de-CH"/>
        </w:rPr>
        <w:t xml:space="preserve"> </w:t>
      </w:r>
      <w:proofErr w:type="spellStart"/>
      <w:r w:rsidR="0073666E" w:rsidRPr="0073666E">
        <w:rPr>
          <w:lang w:val="de-CH"/>
        </w:rPr>
        <w:t>problème</w:t>
      </w:r>
      <w:proofErr w:type="spellEnd"/>
      <w:r w:rsidR="0073666E" w:rsidRPr="0073666E">
        <w:rPr>
          <w:lang w:val="de-CH"/>
        </w:rPr>
        <w:t xml:space="preserve"> ne se </w:t>
      </w:r>
      <w:proofErr w:type="spellStart"/>
      <w:r w:rsidR="0073666E" w:rsidRPr="0073666E">
        <w:rPr>
          <w:lang w:val="de-CH"/>
        </w:rPr>
        <w:t>pose</w:t>
      </w:r>
      <w:proofErr w:type="spellEnd"/>
      <w:r w:rsidR="0073666E" w:rsidRPr="0073666E">
        <w:rPr>
          <w:lang w:val="de-CH"/>
        </w:rPr>
        <w:t xml:space="preserve">, </w:t>
      </w:r>
      <w:r w:rsidR="0073666E" w:rsidRPr="00B56636">
        <w:t>puisque</w:t>
      </w:r>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actes</w:t>
      </w:r>
      <w:proofErr w:type="spellEnd"/>
      <w:r w:rsidR="0073666E" w:rsidRPr="0073666E">
        <w:rPr>
          <w:lang w:val="de-CH"/>
        </w:rPr>
        <w:t xml:space="preserve"> </w:t>
      </w:r>
      <w:proofErr w:type="spellStart"/>
      <w:r w:rsidR="0073666E" w:rsidRPr="0073666E">
        <w:rPr>
          <w:lang w:val="de-CH"/>
        </w:rPr>
        <w:t>qualifiés</w:t>
      </w:r>
      <w:proofErr w:type="spellEnd"/>
      <w:r w:rsidR="0073666E" w:rsidRPr="0073666E">
        <w:rPr>
          <w:lang w:val="de-CH"/>
        </w:rPr>
        <w:t xml:space="preserve"> de </w:t>
      </w:r>
      <w:proofErr w:type="spellStart"/>
      <w:r w:rsidR="0073666E" w:rsidRPr="0073666E">
        <w:rPr>
          <w:lang w:val="de-CH"/>
        </w:rPr>
        <w:t>torture</w:t>
      </w:r>
      <w:proofErr w:type="spellEnd"/>
      <w:r w:rsidR="0073666E" w:rsidRPr="0073666E">
        <w:rPr>
          <w:lang w:val="de-CH"/>
        </w:rPr>
        <w:t xml:space="preserve"> par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requérant</w:t>
      </w:r>
      <w:proofErr w:type="spellEnd"/>
      <w:r w:rsidR="0073666E" w:rsidRPr="0073666E">
        <w:rPr>
          <w:lang w:val="de-CH"/>
        </w:rPr>
        <w:t xml:space="preserve"> </w:t>
      </w:r>
      <w:proofErr w:type="spellStart"/>
      <w:r w:rsidR="0073666E" w:rsidRPr="0073666E">
        <w:rPr>
          <w:lang w:val="de-CH"/>
        </w:rPr>
        <w:t>peuvent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considérés</w:t>
      </w:r>
      <w:proofErr w:type="spellEnd"/>
      <w:r w:rsidR="0073666E" w:rsidRPr="0073666E">
        <w:rPr>
          <w:lang w:val="de-CH"/>
        </w:rPr>
        <w:t xml:space="preserve"> </w:t>
      </w:r>
      <w:proofErr w:type="spellStart"/>
      <w:r w:rsidR="0073666E" w:rsidRPr="0073666E">
        <w:rPr>
          <w:lang w:val="de-CH"/>
        </w:rPr>
        <w:t>comme</w:t>
      </w:r>
      <w:proofErr w:type="spellEnd"/>
      <w:r w:rsidR="0073666E" w:rsidRPr="0073666E">
        <w:rPr>
          <w:lang w:val="de-CH"/>
        </w:rPr>
        <w:t xml:space="preserve"> des </w:t>
      </w:r>
      <w:proofErr w:type="spellStart"/>
      <w:r w:rsidR="0073666E" w:rsidRPr="0073666E">
        <w:rPr>
          <w:lang w:val="de-CH"/>
        </w:rPr>
        <w:t>infractions</w:t>
      </w:r>
      <w:proofErr w:type="spellEnd"/>
      <w:r w:rsidR="0073666E" w:rsidRPr="0073666E">
        <w:rPr>
          <w:lang w:val="de-CH"/>
        </w:rPr>
        <w:t xml:space="preserve"> </w:t>
      </w:r>
      <w:proofErr w:type="spellStart"/>
      <w:r w:rsidR="0073666E" w:rsidRPr="0073666E">
        <w:rPr>
          <w:lang w:val="de-CH"/>
        </w:rPr>
        <w:t>d’après</w:t>
      </w:r>
      <w:proofErr w:type="spellEnd"/>
      <w:r w:rsidR="0073666E" w:rsidRPr="0073666E">
        <w:rPr>
          <w:lang w:val="de-CH"/>
        </w:rPr>
        <w:t xml:space="preserve"> le </w:t>
      </w:r>
      <w:proofErr w:type="spellStart"/>
      <w:r w:rsidR="0073666E" w:rsidRPr="0073666E">
        <w:rPr>
          <w:lang w:val="de-CH"/>
        </w:rPr>
        <w:t>droit</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w:t>
      </w:r>
      <w:proofErr w:type="spellStart"/>
      <w:r w:rsidR="0073666E" w:rsidRPr="0073666E">
        <w:rPr>
          <w:lang w:val="de-CH"/>
        </w:rPr>
        <w:t>comme</w:t>
      </w:r>
      <w:proofErr w:type="spellEnd"/>
      <w:r w:rsidR="0073666E" w:rsidRPr="0073666E">
        <w:rPr>
          <w:lang w:val="de-CH"/>
        </w:rPr>
        <w:t xml:space="preserve"> </w:t>
      </w:r>
      <w:proofErr w:type="spellStart"/>
      <w:r w:rsidR="0073666E" w:rsidRPr="0073666E">
        <w:rPr>
          <w:lang w:val="de-CH"/>
        </w:rPr>
        <w:t>cela</w:t>
      </w:r>
      <w:proofErr w:type="spellEnd"/>
      <w:r w:rsidR="0073666E" w:rsidRPr="0073666E">
        <w:rPr>
          <w:lang w:val="de-CH"/>
        </w:rPr>
        <w:t xml:space="preserve"> </w:t>
      </w:r>
      <w:proofErr w:type="spellStart"/>
      <w:r w:rsidR="0073666E" w:rsidRPr="0073666E">
        <w:rPr>
          <w:lang w:val="de-CH"/>
        </w:rPr>
        <w:t>vient</w:t>
      </w:r>
      <w:proofErr w:type="spellEnd"/>
      <w:r w:rsidR="0073666E" w:rsidRPr="0073666E">
        <w:rPr>
          <w:lang w:val="de-CH"/>
        </w:rPr>
        <w:t xml:space="preserve"> d’être </w:t>
      </w:r>
      <w:proofErr w:type="spellStart"/>
      <w:r w:rsidR="0073666E" w:rsidRPr="0073666E">
        <w:rPr>
          <w:lang w:val="de-CH"/>
        </w:rPr>
        <w:t>mentionné</w:t>
      </w:r>
      <w:proofErr w:type="spellEnd"/>
      <w:r w:rsidR="0073666E" w:rsidRPr="0073666E">
        <w:rPr>
          <w:lang w:val="de-CH"/>
        </w:rPr>
        <w:t xml:space="preserve">. </w:t>
      </w:r>
    </w:p>
    <w:p w14:paraId="3A29DE31" w14:textId="77777777" w:rsidR="0073666E" w:rsidRPr="0073666E" w:rsidRDefault="00B56636" w:rsidP="00B56636">
      <w:pPr>
        <w:pStyle w:val="SingleTxtG"/>
        <w:rPr>
          <w:lang w:val="de-CH"/>
        </w:rPr>
      </w:pPr>
      <w:r>
        <w:rPr>
          <w:lang w:val="de-CH"/>
        </w:rPr>
        <w:t>8.</w:t>
      </w:r>
      <w:r>
        <w:rPr>
          <w:lang w:val="de-CH"/>
        </w:rPr>
        <w:tab/>
      </w:r>
      <w:r w:rsidR="0073666E" w:rsidRPr="0073666E">
        <w:rPr>
          <w:lang w:val="de-CH"/>
        </w:rPr>
        <w:t xml:space="preserve">Il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finalement</w:t>
      </w:r>
      <w:proofErr w:type="spellEnd"/>
      <w:r w:rsidR="0073666E" w:rsidRPr="0073666E">
        <w:rPr>
          <w:lang w:val="de-CH"/>
        </w:rPr>
        <w:t xml:space="preserve"> à </w:t>
      </w:r>
      <w:proofErr w:type="spellStart"/>
      <w:r w:rsidR="0073666E" w:rsidRPr="0073666E">
        <w:rPr>
          <w:lang w:val="de-CH"/>
        </w:rPr>
        <w:t>noter</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souligner</w:t>
      </w:r>
      <w:proofErr w:type="spellEnd"/>
      <w:r w:rsidR="0073666E" w:rsidRPr="0073666E">
        <w:rPr>
          <w:lang w:val="de-CH"/>
        </w:rPr>
        <w:t xml:space="preserve"> à </w:t>
      </w:r>
      <w:proofErr w:type="spellStart"/>
      <w:r w:rsidR="0073666E" w:rsidRPr="0073666E">
        <w:rPr>
          <w:lang w:val="de-CH"/>
        </w:rPr>
        <w:t>quel</w:t>
      </w:r>
      <w:proofErr w:type="spellEnd"/>
      <w:r w:rsidR="0073666E" w:rsidRPr="0073666E">
        <w:rPr>
          <w:lang w:val="de-CH"/>
        </w:rPr>
        <w:t xml:space="preserve"> </w:t>
      </w:r>
      <w:proofErr w:type="spellStart"/>
      <w:r w:rsidR="0073666E" w:rsidRPr="0073666E">
        <w:rPr>
          <w:lang w:val="de-CH"/>
        </w:rPr>
        <w:t>point</w:t>
      </w:r>
      <w:proofErr w:type="spellEnd"/>
      <w:r w:rsidR="0073666E" w:rsidRPr="0073666E">
        <w:rPr>
          <w:lang w:val="de-CH"/>
        </w:rPr>
        <w:t xml:space="preserve"> la Suisse </w:t>
      </w:r>
      <w:proofErr w:type="spellStart"/>
      <w:r w:rsidR="0073666E" w:rsidRPr="0073666E">
        <w:rPr>
          <w:lang w:val="de-CH"/>
        </w:rPr>
        <w:t>applique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tolérance</w:t>
      </w:r>
      <w:proofErr w:type="spellEnd"/>
      <w:r w:rsidR="0073666E" w:rsidRPr="0073666E">
        <w:rPr>
          <w:lang w:val="de-CH"/>
        </w:rPr>
        <w:t xml:space="preserve"> </w:t>
      </w:r>
      <w:proofErr w:type="spellStart"/>
      <w:r w:rsidR="0073666E" w:rsidRPr="0073666E">
        <w:rPr>
          <w:lang w:val="de-CH"/>
        </w:rPr>
        <w:t>zéro</w:t>
      </w:r>
      <w:proofErr w:type="spellEnd"/>
      <w:r w:rsidR="0073666E" w:rsidRPr="0073666E">
        <w:rPr>
          <w:lang w:val="de-CH"/>
        </w:rPr>
        <w:t xml:space="preserve"> à </w:t>
      </w:r>
      <w:proofErr w:type="spellStart"/>
      <w:r w:rsidR="0073666E" w:rsidRPr="0073666E">
        <w:rPr>
          <w:lang w:val="de-CH"/>
        </w:rPr>
        <w:t>l’encontre</w:t>
      </w:r>
      <w:proofErr w:type="spellEnd"/>
      <w:r w:rsidR="0073666E" w:rsidRPr="0073666E">
        <w:rPr>
          <w:lang w:val="de-CH"/>
        </w:rPr>
        <w:t xml:space="preserve"> </w:t>
      </w:r>
      <w:r w:rsidR="0073666E" w:rsidRPr="00B56636">
        <w:t>des</w:t>
      </w:r>
      <w:r w:rsidR="0073666E" w:rsidRPr="0073666E">
        <w:rPr>
          <w:lang w:val="de-CH"/>
        </w:rPr>
        <w:t xml:space="preserve"> </w:t>
      </w:r>
      <w:proofErr w:type="spellStart"/>
      <w:r w:rsidR="0073666E" w:rsidRPr="0073666E">
        <w:rPr>
          <w:lang w:val="de-CH"/>
        </w:rPr>
        <w:t>actes</w:t>
      </w:r>
      <w:proofErr w:type="spellEnd"/>
      <w:r w:rsidR="0073666E" w:rsidRPr="0073666E">
        <w:rPr>
          <w:lang w:val="de-CH"/>
        </w:rPr>
        <w:t xml:space="preserve"> de </w:t>
      </w:r>
      <w:proofErr w:type="spellStart"/>
      <w:r w:rsidR="0073666E" w:rsidRPr="0073666E">
        <w:rPr>
          <w:lang w:val="de-CH"/>
        </w:rPr>
        <w:t>torture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moyens</w:t>
      </w:r>
      <w:proofErr w:type="spellEnd"/>
      <w:r w:rsidR="0073666E" w:rsidRPr="0073666E">
        <w:rPr>
          <w:lang w:val="de-CH"/>
        </w:rPr>
        <w:t xml:space="preserve"> de </w:t>
      </w:r>
      <w:proofErr w:type="spellStart"/>
      <w:r w:rsidR="0073666E" w:rsidRPr="0073666E">
        <w:rPr>
          <w:lang w:val="de-CH"/>
        </w:rPr>
        <w:t>contrainte</w:t>
      </w:r>
      <w:proofErr w:type="spellEnd"/>
      <w:r w:rsidR="0073666E" w:rsidRPr="0073666E">
        <w:rPr>
          <w:lang w:val="de-CH"/>
        </w:rPr>
        <w:t xml:space="preserve">, le </w:t>
      </w:r>
      <w:proofErr w:type="spellStart"/>
      <w:r w:rsidR="0073666E" w:rsidRPr="0073666E">
        <w:rPr>
          <w:lang w:val="de-CH"/>
        </w:rPr>
        <w:t>recours</w:t>
      </w:r>
      <w:proofErr w:type="spellEnd"/>
      <w:r w:rsidR="0073666E" w:rsidRPr="0073666E">
        <w:rPr>
          <w:lang w:val="de-CH"/>
        </w:rPr>
        <w:t xml:space="preserve"> à la </w:t>
      </w:r>
      <w:proofErr w:type="spellStart"/>
      <w:r w:rsidR="0073666E" w:rsidRPr="0073666E">
        <w:rPr>
          <w:lang w:val="de-CH"/>
        </w:rPr>
        <w:t>force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menaces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promesses</w:t>
      </w:r>
      <w:proofErr w:type="spellEnd"/>
      <w:r w:rsidR="0073666E" w:rsidRPr="0073666E">
        <w:rPr>
          <w:lang w:val="de-CH"/>
        </w:rPr>
        <w:t xml:space="preserve">, la </w:t>
      </w:r>
      <w:proofErr w:type="spellStart"/>
      <w:r w:rsidR="0073666E" w:rsidRPr="0073666E">
        <w:rPr>
          <w:lang w:val="de-CH"/>
        </w:rPr>
        <w:t>tromperie</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moyens</w:t>
      </w:r>
      <w:proofErr w:type="spellEnd"/>
      <w:r w:rsidR="0073666E" w:rsidRPr="0073666E">
        <w:rPr>
          <w:lang w:val="de-CH"/>
        </w:rPr>
        <w:t xml:space="preserve"> </w:t>
      </w:r>
      <w:proofErr w:type="spellStart"/>
      <w:r w:rsidR="0073666E" w:rsidRPr="0073666E">
        <w:rPr>
          <w:lang w:val="de-CH"/>
        </w:rPr>
        <w:t>susceptibles</w:t>
      </w:r>
      <w:proofErr w:type="spellEnd"/>
      <w:r w:rsidR="0073666E" w:rsidRPr="0073666E">
        <w:rPr>
          <w:lang w:val="de-CH"/>
        </w:rPr>
        <w:t xml:space="preserve"> de </w:t>
      </w:r>
      <w:proofErr w:type="spellStart"/>
      <w:r w:rsidR="0073666E" w:rsidRPr="0073666E">
        <w:rPr>
          <w:lang w:val="de-CH"/>
        </w:rPr>
        <w:t>restreindre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facultés</w:t>
      </w:r>
      <w:proofErr w:type="spellEnd"/>
      <w:r w:rsidR="0073666E" w:rsidRPr="0073666E">
        <w:rPr>
          <w:lang w:val="de-CH"/>
        </w:rPr>
        <w:t xml:space="preserve"> </w:t>
      </w:r>
      <w:proofErr w:type="spellStart"/>
      <w:r w:rsidR="0073666E" w:rsidRPr="0073666E">
        <w:rPr>
          <w:lang w:val="de-CH"/>
        </w:rPr>
        <w:t>intellectuelles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le </w:t>
      </w:r>
      <w:proofErr w:type="spellStart"/>
      <w:r w:rsidR="0073666E" w:rsidRPr="0073666E">
        <w:rPr>
          <w:lang w:val="de-CH"/>
        </w:rPr>
        <w:t>libre</w:t>
      </w:r>
      <w:proofErr w:type="spellEnd"/>
      <w:r w:rsidR="0073666E" w:rsidRPr="0073666E">
        <w:rPr>
          <w:lang w:val="de-CH"/>
        </w:rPr>
        <w:t xml:space="preserve"> </w:t>
      </w:r>
      <w:proofErr w:type="spellStart"/>
      <w:r w:rsidR="0073666E" w:rsidRPr="0073666E">
        <w:rPr>
          <w:lang w:val="de-CH"/>
        </w:rPr>
        <w:t>arbitre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interdits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l’administration</w:t>
      </w:r>
      <w:proofErr w:type="spellEnd"/>
      <w:r w:rsidR="0073666E" w:rsidRPr="0073666E">
        <w:rPr>
          <w:lang w:val="de-CH"/>
        </w:rPr>
        <w:t xml:space="preserve"> des </w:t>
      </w:r>
      <w:proofErr w:type="spellStart"/>
      <w:r w:rsidR="0073666E" w:rsidRPr="0073666E">
        <w:rPr>
          <w:lang w:val="de-CH"/>
        </w:rPr>
        <w:t>preuves</w:t>
      </w:r>
      <w:proofErr w:type="spellEnd"/>
      <w:r w:rsidR="0073666E" w:rsidRPr="0073666E">
        <w:rPr>
          <w:lang w:val="de-CH"/>
        </w:rPr>
        <w:t xml:space="preserve"> (</w:t>
      </w:r>
      <w:r w:rsidR="00DA30AF">
        <w:rPr>
          <w:lang w:val="de-CH"/>
        </w:rPr>
        <w:t>art. </w:t>
      </w:r>
      <w:r w:rsidR="0073666E" w:rsidRPr="0073666E">
        <w:rPr>
          <w:lang w:val="de-CH"/>
        </w:rPr>
        <w:t xml:space="preserve">140 CPP).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éventuelles</w:t>
      </w:r>
      <w:proofErr w:type="spellEnd"/>
      <w:r w:rsidR="0073666E" w:rsidRPr="0073666E">
        <w:rPr>
          <w:lang w:val="de-CH"/>
        </w:rPr>
        <w:t xml:space="preserve"> </w:t>
      </w:r>
      <w:proofErr w:type="spellStart"/>
      <w:r w:rsidR="0073666E" w:rsidRPr="0073666E">
        <w:rPr>
          <w:lang w:val="de-CH"/>
        </w:rPr>
        <w:t>preuves</w:t>
      </w:r>
      <w:proofErr w:type="spellEnd"/>
      <w:r w:rsidR="0073666E" w:rsidRPr="0073666E">
        <w:rPr>
          <w:lang w:val="de-CH"/>
        </w:rPr>
        <w:t xml:space="preserve"> </w:t>
      </w:r>
      <w:proofErr w:type="spellStart"/>
      <w:r w:rsidR="0073666E" w:rsidRPr="0073666E">
        <w:rPr>
          <w:lang w:val="de-CH"/>
        </w:rPr>
        <w:t>obtenues</w:t>
      </w:r>
      <w:proofErr w:type="spellEnd"/>
      <w:r w:rsidR="0073666E" w:rsidRPr="0073666E">
        <w:rPr>
          <w:lang w:val="de-CH"/>
        </w:rPr>
        <w:t xml:space="preserve"> par le </w:t>
      </w:r>
      <w:proofErr w:type="spellStart"/>
      <w:r w:rsidR="0073666E" w:rsidRPr="0073666E">
        <w:rPr>
          <w:lang w:val="de-CH"/>
        </w:rPr>
        <w:t>biais</w:t>
      </w:r>
      <w:proofErr w:type="spellEnd"/>
      <w:r w:rsidR="0073666E" w:rsidRPr="0073666E">
        <w:rPr>
          <w:lang w:val="de-CH"/>
        </w:rPr>
        <w:t xml:space="preserve"> de </w:t>
      </w:r>
      <w:proofErr w:type="spellStart"/>
      <w:r w:rsidR="0073666E" w:rsidRPr="0073666E">
        <w:rPr>
          <w:lang w:val="de-CH"/>
        </w:rPr>
        <w:t>telles</w:t>
      </w:r>
      <w:proofErr w:type="spellEnd"/>
      <w:r w:rsidR="0073666E" w:rsidRPr="0073666E">
        <w:rPr>
          <w:lang w:val="de-CH"/>
        </w:rPr>
        <w:t xml:space="preserve"> </w:t>
      </w:r>
      <w:proofErr w:type="spellStart"/>
      <w:r w:rsidR="0073666E" w:rsidRPr="0073666E">
        <w:rPr>
          <w:lang w:val="de-CH"/>
        </w:rPr>
        <w:t>méthodes</w:t>
      </w:r>
      <w:proofErr w:type="spellEnd"/>
      <w:r w:rsidR="0073666E" w:rsidRPr="0073666E">
        <w:rPr>
          <w:lang w:val="de-CH"/>
        </w:rPr>
        <w:t xml:space="preserve"> </w:t>
      </w:r>
      <w:proofErr w:type="spellStart"/>
      <w:r w:rsidR="0073666E" w:rsidRPr="0073666E">
        <w:rPr>
          <w:lang w:val="de-CH"/>
        </w:rPr>
        <w:t>seraient</w:t>
      </w:r>
      <w:proofErr w:type="spellEnd"/>
      <w:r w:rsidR="0073666E" w:rsidRPr="0073666E">
        <w:rPr>
          <w:lang w:val="de-CH"/>
        </w:rPr>
        <w:t xml:space="preserve"> </w:t>
      </w:r>
      <w:proofErr w:type="spellStart"/>
      <w:r w:rsidR="0073666E" w:rsidRPr="0073666E">
        <w:rPr>
          <w:lang w:val="de-CH"/>
        </w:rPr>
        <w:t>absolument</w:t>
      </w:r>
      <w:proofErr w:type="spellEnd"/>
      <w:r w:rsidR="0073666E" w:rsidRPr="0073666E">
        <w:rPr>
          <w:lang w:val="de-CH"/>
        </w:rPr>
        <w:t xml:space="preserve"> </w:t>
      </w:r>
      <w:proofErr w:type="spellStart"/>
      <w:r w:rsidR="0073666E" w:rsidRPr="0073666E">
        <w:rPr>
          <w:lang w:val="de-CH"/>
        </w:rPr>
        <w:t>inexploitables</w:t>
      </w:r>
      <w:proofErr w:type="spellEnd"/>
      <w:r w:rsidR="0073666E" w:rsidRPr="0073666E">
        <w:rPr>
          <w:lang w:val="de-CH"/>
        </w:rPr>
        <w:t xml:space="preserve"> (art. 141, al. 1, CPP). </w:t>
      </w:r>
    </w:p>
    <w:p w14:paraId="733DD8FC" w14:textId="77777777" w:rsidR="0073666E" w:rsidRPr="0073666E" w:rsidRDefault="00B56636" w:rsidP="00B56636">
      <w:pPr>
        <w:pStyle w:val="SingleTxtG"/>
        <w:rPr>
          <w:lang w:val="de-CH"/>
        </w:rPr>
      </w:pPr>
      <w:r>
        <w:rPr>
          <w:lang w:val="de-CH"/>
        </w:rPr>
        <w:t>9.</w:t>
      </w:r>
      <w:r>
        <w:rPr>
          <w:lang w:val="de-CH"/>
        </w:rPr>
        <w:tab/>
      </w:r>
      <w:r w:rsidR="0073666E" w:rsidRPr="0073666E">
        <w:rPr>
          <w:lang w:val="de-CH"/>
        </w:rPr>
        <w:t xml:space="preserve">A la </w:t>
      </w:r>
      <w:proofErr w:type="spellStart"/>
      <w:r w:rsidR="0073666E" w:rsidRPr="0073666E">
        <w:rPr>
          <w:lang w:val="de-CH"/>
        </w:rPr>
        <w:t>lumière</w:t>
      </w:r>
      <w:proofErr w:type="spellEnd"/>
      <w:r w:rsidR="0073666E" w:rsidRPr="0073666E">
        <w:rPr>
          <w:lang w:val="de-CH"/>
        </w:rPr>
        <w:t xml:space="preserve"> de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éléments</w:t>
      </w:r>
      <w:proofErr w:type="spellEnd"/>
      <w:r w:rsidR="0073666E" w:rsidRPr="0073666E">
        <w:rPr>
          <w:lang w:val="de-CH"/>
        </w:rPr>
        <w:t xml:space="preserve">, la Suisse </w:t>
      </w:r>
      <w:proofErr w:type="spellStart"/>
      <w:r w:rsidR="0073666E" w:rsidRPr="0073666E">
        <w:rPr>
          <w:lang w:val="de-CH"/>
        </w:rPr>
        <w:t>estime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création</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norme </w:t>
      </w:r>
      <w:proofErr w:type="spellStart"/>
      <w:r w:rsidR="0073666E" w:rsidRPr="0073666E">
        <w:rPr>
          <w:lang w:val="de-CH"/>
        </w:rPr>
        <w:t>pénale</w:t>
      </w:r>
      <w:proofErr w:type="spellEnd"/>
      <w:r w:rsidR="0073666E" w:rsidRPr="0073666E">
        <w:rPr>
          <w:lang w:val="de-CH"/>
        </w:rPr>
        <w:t xml:space="preserve"> </w:t>
      </w:r>
      <w:proofErr w:type="spellStart"/>
      <w:r w:rsidR="0073666E" w:rsidRPr="0073666E">
        <w:rPr>
          <w:lang w:val="de-CH"/>
        </w:rPr>
        <w:t>réprimant</w:t>
      </w:r>
      <w:proofErr w:type="spellEnd"/>
      <w:r w:rsidR="0073666E" w:rsidRPr="0073666E">
        <w:rPr>
          <w:lang w:val="de-CH"/>
        </w:rPr>
        <w:t xml:space="preserve"> </w:t>
      </w:r>
      <w:proofErr w:type="spellStart"/>
      <w:r w:rsidR="0073666E" w:rsidRPr="0073666E">
        <w:rPr>
          <w:lang w:val="de-CH"/>
        </w:rPr>
        <w:t>expressément</w:t>
      </w:r>
      <w:proofErr w:type="spellEnd"/>
      <w:r w:rsidR="0073666E" w:rsidRPr="0073666E">
        <w:rPr>
          <w:lang w:val="de-CH"/>
        </w:rPr>
        <w:t xml:space="preserve"> la </w:t>
      </w:r>
      <w:proofErr w:type="spellStart"/>
      <w:r w:rsidR="0073666E" w:rsidRPr="0073666E">
        <w:rPr>
          <w:lang w:val="de-CH"/>
        </w:rPr>
        <w:t>torture</w:t>
      </w:r>
      <w:proofErr w:type="spellEnd"/>
      <w:r w:rsidR="0073666E" w:rsidRPr="0073666E">
        <w:rPr>
          <w:lang w:val="de-CH"/>
        </w:rPr>
        <w:t xml:space="preserve"> </w:t>
      </w:r>
      <w:proofErr w:type="spellStart"/>
      <w:r w:rsidR="0073666E" w:rsidRPr="0073666E">
        <w:rPr>
          <w:lang w:val="de-CH"/>
        </w:rPr>
        <w:t>n’est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nécessaire</w:t>
      </w:r>
      <w:proofErr w:type="spellEnd"/>
      <w:r w:rsidR="0073666E" w:rsidRPr="0073666E">
        <w:rPr>
          <w:lang w:val="de-CH"/>
        </w:rPr>
        <w:t xml:space="preserve"> et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législation</w:t>
      </w:r>
      <w:proofErr w:type="spellEnd"/>
      <w:r w:rsidR="0073666E" w:rsidRPr="0073666E">
        <w:rPr>
          <w:lang w:val="de-CH"/>
        </w:rPr>
        <w:t xml:space="preserve"> </w:t>
      </w:r>
      <w:proofErr w:type="spellStart"/>
      <w:r w:rsidR="0073666E" w:rsidRPr="0073666E">
        <w:rPr>
          <w:lang w:val="de-CH"/>
        </w:rPr>
        <w:t>respecte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art. 1 et 4 de la Convention. </w:t>
      </w:r>
    </w:p>
    <w:p w14:paraId="26BA3DED" w14:textId="77777777" w:rsidR="0073666E" w:rsidRDefault="00F026CE" w:rsidP="00F026CE">
      <w:pPr>
        <w:pStyle w:val="H1G"/>
        <w:rPr>
          <w:lang w:val="de-CH"/>
        </w:rPr>
      </w:pPr>
      <w:r>
        <w:rPr>
          <w:lang w:val="de-CH"/>
        </w:rPr>
        <w:tab/>
      </w:r>
      <w:r>
        <w:rPr>
          <w:lang w:val="de-CH"/>
        </w:rPr>
        <w:tab/>
      </w:r>
      <w:proofErr w:type="spellStart"/>
      <w:r w:rsidR="0073666E" w:rsidRPr="0073666E">
        <w:rPr>
          <w:lang w:val="de-CH"/>
        </w:rPr>
        <w:t>Article</w:t>
      </w:r>
      <w:proofErr w:type="spellEnd"/>
      <w:r w:rsidR="0073666E" w:rsidRPr="0073666E">
        <w:rPr>
          <w:lang w:val="de-CH"/>
        </w:rPr>
        <w:t xml:space="preserve"> 2</w:t>
      </w:r>
    </w:p>
    <w:p w14:paraId="51E662AC" w14:textId="77777777" w:rsidR="00F026CE" w:rsidRPr="0073666E" w:rsidRDefault="008E3E4A" w:rsidP="00F026CE">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3</w:t>
      </w:r>
      <w:r w:rsidR="00F026CE">
        <w:t xml:space="preserve"> </w:t>
      </w:r>
    </w:p>
    <w:p w14:paraId="0E643575" w14:textId="77777777" w:rsidR="0073666E" w:rsidRPr="0073666E" w:rsidRDefault="00B56636" w:rsidP="00D94D41">
      <w:pPr>
        <w:pStyle w:val="SingleTxtG"/>
      </w:pPr>
      <w:r>
        <w:rPr>
          <w:lang w:val="de-CH"/>
        </w:rPr>
        <w:t>10.</w:t>
      </w:r>
      <w:r>
        <w:rPr>
          <w:lang w:val="de-CH"/>
        </w:rPr>
        <w:tab/>
      </w:r>
      <w:proofErr w:type="spellStart"/>
      <w:r w:rsidR="0073666E" w:rsidRPr="0073666E">
        <w:rPr>
          <w:lang w:val="de-CH"/>
        </w:rPr>
        <w:t>Concernant</w:t>
      </w:r>
      <w:proofErr w:type="spellEnd"/>
      <w:r w:rsidR="0073666E" w:rsidRPr="0073666E">
        <w:rPr>
          <w:lang w:val="de-CH"/>
        </w:rPr>
        <w:t xml:space="preserve"> le </w:t>
      </w:r>
      <w:proofErr w:type="spellStart"/>
      <w:r w:rsidR="0073666E" w:rsidRPr="0073666E">
        <w:rPr>
          <w:lang w:val="de-CH"/>
        </w:rPr>
        <w:t>droit</w:t>
      </w:r>
      <w:proofErr w:type="spellEnd"/>
      <w:r w:rsidR="0073666E" w:rsidRPr="0073666E">
        <w:rPr>
          <w:lang w:val="de-CH"/>
        </w:rPr>
        <w:t xml:space="preserve"> du </w:t>
      </w:r>
      <w:proofErr w:type="spellStart"/>
      <w:r w:rsidR="0073666E" w:rsidRPr="0073666E">
        <w:rPr>
          <w:lang w:val="de-CH"/>
        </w:rPr>
        <w:t>prévenu</w:t>
      </w:r>
      <w:proofErr w:type="spellEnd"/>
      <w:r w:rsidR="0073666E" w:rsidRPr="0073666E">
        <w:rPr>
          <w:lang w:val="de-CH"/>
        </w:rPr>
        <w:t xml:space="preserve"> </w:t>
      </w:r>
      <w:proofErr w:type="spellStart"/>
      <w:r w:rsidR="0073666E" w:rsidRPr="0073666E">
        <w:rPr>
          <w:lang w:val="de-CH"/>
        </w:rPr>
        <w:t>d’avoir</w:t>
      </w:r>
      <w:proofErr w:type="spellEnd"/>
      <w:r w:rsidR="0073666E" w:rsidRPr="0073666E">
        <w:rPr>
          <w:lang w:val="de-CH"/>
        </w:rPr>
        <w:t xml:space="preserve"> </w:t>
      </w:r>
      <w:proofErr w:type="spellStart"/>
      <w:r w:rsidR="0073666E" w:rsidRPr="0073666E">
        <w:rPr>
          <w:lang w:val="de-CH"/>
        </w:rPr>
        <w:t>accès</w:t>
      </w:r>
      <w:proofErr w:type="spellEnd"/>
      <w:r w:rsidR="0073666E" w:rsidRPr="0073666E">
        <w:rPr>
          <w:lang w:val="de-CH"/>
        </w:rPr>
        <w:t xml:space="preserve"> à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avocat</w:t>
      </w:r>
      <w:proofErr w:type="spellEnd"/>
      <w:r w:rsidR="0073666E" w:rsidRPr="0073666E">
        <w:rPr>
          <w:lang w:val="de-CH"/>
        </w:rPr>
        <w:t xml:space="preserve">, y </w:t>
      </w:r>
      <w:proofErr w:type="spellStart"/>
      <w:r w:rsidR="0073666E" w:rsidRPr="0073666E">
        <w:rPr>
          <w:lang w:val="de-CH"/>
        </w:rPr>
        <w:t>compris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de la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d’appréhension</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nécessaire</w:t>
      </w:r>
      <w:proofErr w:type="spellEnd"/>
      <w:r w:rsidR="0073666E" w:rsidRPr="0073666E">
        <w:rPr>
          <w:lang w:val="de-CH"/>
        </w:rPr>
        <w:t xml:space="preserve"> de </w:t>
      </w:r>
      <w:proofErr w:type="spellStart"/>
      <w:r w:rsidR="0073666E" w:rsidRPr="0073666E">
        <w:rPr>
          <w:lang w:val="de-CH"/>
        </w:rPr>
        <w:t>rappeler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l’appréhension</w:t>
      </w:r>
      <w:proofErr w:type="spellEnd"/>
      <w:r w:rsidR="0073666E" w:rsidRPr="0073666E">
        <w:rPr>
          <w:lang w:val="de-CH"/>
        </w:rPr>
        <w:t xml:space="preserve"> au sens de </w:t>
      </w:r>
      <w:proofErr w:type="spellStart"/>
      <w:r w:rsidR="0073666E" w:rsidRPr="0073666E">
        <w:rPr>
          <w:lang w:val="de-CH"/>
        </w:rPr>
        <w:t>l’art</w:t>
      </w:r>
      <w:proofErr w:type="spellEnd"/>
      <w:r w:rsidR="0073666E" w:rsidRPr="0073666E">
        <w:rPr>
          <w:lang w:val="de-CH"/>
        </w:rPr>
        <w:t xml:space="preserve">. 215 CPP a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unique</w:t>
      </w:r>
      <w:proofErr w:type="spellEnd"/>
      <w:r w:rsidR="0073666E" w:rsidRPr="0073666E">
        <w:rPr>
          <w:lang w:val="de-CH"/>
        </w:rPr>
        <w:t xml:space="preserve"> but </w:t>
      </w:r>
      <w:proofErr w:type="spellStart"/>
      <w:r w:rsidR="0073666E" w:rsidRPr="0073666E">
        <w:rPr>
          <w:lang w:val="de-CH"/>
        </w:rPr>
        <w:t>d’établir</w:t>
      </w:r>
      <w:proofErr w:type="spellEnd"/>
      <w:r w:rsidR="0073666E" w:rsidRPr="0073666E">
        <w:rPr>
          <w:lang w:val="de-CH"/>
        </w:rPr>
        <w:t xml:space="preserve"> </w:t>
      </w:r>
      <w:proofErr w:type="spellStart"/>
      <w:r w:rsidR="0073666E" w:rsidRPr="0073666E">
        <w:rPr>
          <w:lang w:val="de-CH"/>
        </w:rPr>
        <w:t>l’identité</w:t>
      </w:r>
      <w:proofErr w:type="spellEnd"/>
      <w:r w:rsidR="0073666E" w:rsidRPr="0073666E">
        <w:rPr>
          <w:lang w:val="de-CH"/>
        </w:rPr>
        <w:t xml:space="preserve"> de la </w:t>
      </w:r>
      <w:proofErr w:type="spellStart"/>
      <w:r w:rsidR="0073666E" w:rsidRPr="0073666E">
        <w:rPr>
          <w:lang w:val="de-CH"/>
        </w:rPr>
        <w:t>personne</w:t>
      </w:r>
      <w:proofErr w:type="spellEnd"/>
      <w:r w:rsidR="0073666E" w:rsidRPr="0073666E">
        <w:rPr>
          <w:lang w:val="de-CH"/>
        </w:rPr>
        <w:t xml:space="preserve"> et de </w:t>
      </w:r>
      <w:proofErr w:type="spellStart"/>
      <w:r w:rsidR="0073666E" w:rsidRPr="0073666E">
        <w:rPr>
          <w:lang w:val="de-CH"/>
        </w:rPr>
        <w:t>déterminer</w:t>
      </w:r>
      <w:proofErr w:type="spellEnd"/>
      <w:r w:rsidR="0073666E" w:rsidRPr="0073666E">
        <w:rPr>
          <w:lang w:val="de-CH"/>
        </w:rPr>
        <w:t xml:space="preserve">, en </w:t>
      </w:r>
      <w:proofErr w:type="spellStart"/>
      <w:r w:rsidR="0073666E" w:rsidRPr="0073666E">
        <w:rPr>
          <w:lang w:val="de-CH"/>
        </w:rPr>
        <w:t>fonction</w:t>
      </w:r>
      <w:proofErr w:type="spellEnd"/>
      <w:r w:rsidR="0073666E" w:rsidRPr="0073666E">
        <w:rPr>
          <w:lang w:val="de-CH"/>
        </w:rPr>
        <w:t xml:space="preserve"> des </w:t>
      </w:r>
      <w:proofErr w:type="spellStart"/>
      <w:r w:rsidR="0073666E" w:rsidRPr="0073666E">
        <w:rPr>
          <w:lang w:val="de-CH"/>
        </w:rPr>
        <w:t>faits</w:t>
      </w:r>
      <w:proofErr w:type="spellEnd"/>
      <w:r w:rsidR="0073666E" w:rsidRPr="0073666E">
        <w:rPr>
          <w:lang w:val="de-CH"/>
        </w:rPr>
        <w:t xml:space="preserve"> </w:t>
      </w:r>
      <w:proofErr w:type="spellStart"/>
      <w:r w:rsidR="0073666E" w:rsidRPr="0073666E">
        <w:rPr>
          <w:lang w:val="de-CH"/>
        </w:rPr>
        <w:t>concrets</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situation</w:t>
      </w:r>
      <w:proofErr w:type="spellEnd"/>
      <w:r w:rsidR="0073666E" w:rsidRPr="0073666E">
        <w:rPr>
          <w:lang w:val="de-CH"/>
        </w:rPr>
        <w:t xml:space="preserve"> </w:t>
      </w:r>
      <w:proofErr w:type="spellStart"/>
      <w:r w:rsidR="0073666E" w:rsidRPr="0073666E">
        <w:rPr>
          <w:lang w:val="de-CH"/>
        </w:rPr>
        <w:t>donnée</w:t>
      </w:r>
      <w:proofErr w:type="spellEnd"/>
      <w:r w:rsidR="0073666E" w:rsidRPr="0073666E">
        <w:rPr>
          <w:lang w:val="de-CH"/>
        </w:rPr>
        <w:t xml:space="preserve">, si </w:t>
      </w:r>
      <w:proofErr w:type="spellStart"/>
      <w:r w:rsidR="0073666E" w:rsidRPr="0073666E">
        <w:rPr>
          <w:lang w:val="de-CH"/>
        </w:rPr>
        <w:t>elle</w:t>
      </w:r>
      <w:proofErr w:type="spellEnd"/>
      <w:r w:rsidR="0073666E" w:rsidRPr="0073666E">
        <w:rPr>
          <w:lang w:val="de-CH"/>
        </w:rPr>
        <w:t xml:space="preserve"> </w:t>
      </w:r>
      <w:proofErr w:type="spellStart"/>
      <w:r w:rsidR="0073666E" w:rsidRPr="0073666E">
        <w:rPr>
          <w:lang w:val="de-CH"/>
        </w:rPr>
        <w:t>pourrait</w:t>
      </w:r>
      <w:proofErr w:type="spellEnd"/>
      <w:r w:rsidR="0073666E" w:rsidRPr="0073666E">
        <w:rPr>
          <w:lang w:val="de-CH"/>
        </w:rPr>
        <w:t xml:space="preserve"> </w:t>
      </w:r>
      <w:proofErr w:type="spellStart"/>
      <w:r w:rsidR="0073666E" w:rsidRPr="0073666E">
        <w:rPr>
          <w:lang w:val="de-CH"/>
        </w:rPr>
        <w:t>avoir</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lien</w:t>
      </w:r>
      <w:proofErr w:type="spellEnd"/>
      <w:r w:rsidR="0073666E" w:rsidRPr="0073666E">
        <w:rPr>
          <w:lang w:val="de-CH"/>
        </w:rPr>
        <w:t xml:space="preserve"> </w:t>
      </w:r>
      <w:proofErr w:type="spellStart"/>
      <w:r w:rsidR="0073666E" w:rsidRPr="0073666E">
        <w:rPr>
          <w:lang w:val="de-CH"/>
        </w:rPr>
        <w:t>quelconque</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des </w:t>
      </w:r>
      <w:proofErr w:type="spellStart"/>
      <w:r w:rsidR="0073666E" w:rsidRPr="0073666E">
        <w:rPr>
          <w:lang w:val="de-CH"/>
        </w:rPr>
        <w:t>infractions</w:t>
      </w:r>
      <w:proofErr w:type="spellEnd"/>
      <w:r w:rsidR="0073666E" w:rsidRPr="0073666E">
        <w:rPr>
          <w:lang w:val="de-CH"/>
        </w:rPr>
        <w:t xml:space="preserve">. </w:t>
      </w:r>
      <w:r w:rsidR="0073666E" w:rsidRPr="0073666E">
        <w:t>La mention expresse qu’il ne s’agit que d’un bref entretien signifie que l’interrogatoire ne peut être que sommaire et exclusivement destiné à déterminer s’il y a lieu de procéder à des recherches plus approfondies</w:t>
      </w:r>
      <w:r w:rsidR="0073666E" w:rsidRPr="009E1FD5">
        <w:rPr>
          <w:rStyle w:val="Appelnotedebasdep"/>
        </w:rPr>
        <w:footnoteReference w:id="4"/>
      </w:r>
      <w:r w:rsidR="00C251CA">
        <w:t>.</w:t>
      </w:r>
      <w:r w:rsidR="0073666E" w:rsidRPr="0073666E">
        <w:t xml:space="preserve"> </w:t>
      </w:r>
      <w:proofErr w:type="spellStart"/>
      <w:r w:rsidR="0073666E" w:rsidRPr="0073666E">
        <w:rPr>
          <w:lang w:val="de-CH"/>
        </w:rPr>
        <w:t>Dès</w:t>
      </w:r>
      <w:proofErr w:type="spellEnd"/>
      <w:r w:rsidR="0073666E" w:rsidRPr="0073666E">
        <w:rPr>
          <w:lang w:val="de-CH"/>
        </w:rPr>
        <w:t xml:space="preserve"> </w:t>
      </w:r>
      <w:r w:rsidR="0073666E" w:rsidRPr="00B56636">
        <w:t>l’instant</w:t>
      </w:r>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soupçon</w:t>
      </w:r>
      <w:proofErr w:type="spellEnd"/>
      <w:r w:rsidR="0073666E" w:rsidRPr="0073666E">
        <w:rPr>
          <w:lang w:val="de-CH"/>
        </w:rPr>
        <w:t xml:space="preserve"> </w:t>
      </w:r>
      <w:proofErr w:type="spellStart"/>
      <w:r w:rsidR="0073666E" w:rsidRPr="0073666E">
        <w:rPr>
          <w:lang w:val="de-CH"/>
        </w:rPr>
        <w:t>apparaît</w:t>
      </w:r>
      <w:proofErr w:type="spellEnd"/>
      <w:r w:rsidR="0073666E" w:rsidRPr="0073666E">
        <w:rPr>
          <w:lang w:val="de-CH"/>
        </w:rPr>
        <w:t xml:space="preserve">, </w:t>
      </w:r>
      <w:proofErr w:type="spellStart"/>
      <w:r w:rsidR="0073666E" w:rsidRPr="0073666E">
        <w:rPr>
          <w:lang w:val="de-CH"/>
        </w:rPr>
        <w:t>l’appréhension</w:t>
      </w:r>
      <w:proofErr w:type="spellEnd"/>
      <w:r w:rsidR="0073666E" w:rsidRPr="0073666E">
        <w:rPr>
          <w:lang w:val="de-CH"/>
        </w:rPr>
        <w:t xml:space="preserve"> se </w:t>
      </w:r>
      <w:proofErr w:type="spellStart"/>
      <w:r w:rsidR="0073666E" w:rsidRPr="0073666E">
        <w:rPr>
          <w:lang w:val="de-CH"/>
        </w:rPr>
        <w:t>mue</w:t>
      </w:r>
      <w:proofErr w:type="spellEnd"/>
      <w:r w:rsidR="0073666E" w:rsidRPr="0073666E">
        <w:rPr>
          <w:lang w:val="de-CH"/>
        </w:rPr>
        <w:t xml:space="preserve"> en </w:t>
      </w:r>
      <w:proofErr w:type="spellStart"/>
      <w:r w:rsidR="0073666E" w:rsidRPr="0073666E">
        <w:rPr>
          <w:lang w:val="de-CH"/>
        </w:rPr>
        <w:t>arrestation</w:t>
      </w:r>
      <w:proofErr w:type="spellEnd"/>
      <w:r w:rsidR="0073666E" w:rsidRPr="0073666E">
        <w:rPr>
          <w:lang w:val="de-CH"/>
        </w:rPr>
        <w:t xml:space="preserve"> </w:t>
      </w:r>
      <w:proofErr w:type="spellStart"/>
      <w:r w:rsidR="0073666E" w:rsidRPr="0073666E">
        <w:rPr>
          <w:lang w:val="de-CH"/>
        </w:rPr>
        <w:t>provisoire</w:t>
      </w:r>
      <w:proofErr w:type="spellEnd"/>
      <w:r w:rsidR="0073666E" w:rsidRPr="0073666E">
        <w:rPr>
          <w:lang w:val="de-CH"/>
        </w:rPr>
        <w:t xml:space="preserve"> au sens de </w:t>
      </w:r>
      <w:proofErr w:type="spellStart"/>
      <w:r w:rsidR="0073666E" w:rsidRPr="0073666E">
        <w:rPr>
          <w:lang w:val="de-CH"/>
        </w:rPr>
        <w:t>l’art</w:t>
      </w:r>
      <w:proofErr w:type="spellEnd"/>
      <w:r w:rsidR="0073666E" w:rsidRPr="0073666E">
        <w:rPr>
          <w:lang w:val="de-CH"/>
        </w:rPr>
        <w:t xml:space="preserve">. 217 CPP, de </w:t>
      </w:r>
      <w:proofErr w:type="spellStart"/>
      <w:r w:rsidR="0073666E" w:rsidRPr="0073666E">
        <w:rPr>
          <w:lang w:val="de-CH"/>
        </w:rPr>
        <w:t>sorte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police</w:t>
      </w:r>
      <w:proofErr w:type="spellEnd"/>
      <w:r w:rsidR="0073666E" w:rsidRPr="0073666E">
        <w:rPr>
          <w:lang w:val="de-CH"/>
        </w:rPr>
        <w:t xml:space="preserve"> </w:t>
      </w:r>
      <w:proofErr w:type="spellStart"/>
      <w:r w:rsidR="0073666E" w:rsidRPr="0073666E">
        <w:rPr>
          <w:lang w:val="de-CH"/>
        </w:rPr>
        <w:t>doit</w:t>
      </w:r>
      <w:proofErr w:type="spellEnd"/>
      <w:r w:rsidR="0073666E" w:rsidRPr="0073666E">
        <w:rPr>
          <w:lang w:val="de-CH"/>
        </w:rPr>
        <w:t xml:space="preserve"> </w:t>
      </w:r>
      <w:proofErr w:type="spellStart"/>
      <w:r w:rsidR="0073666E" w:rsidRPr="0073666E">
        <w:rPr>
          <w:lang w:val="de-CH"/>
        </w:rPr>
        <w:t>informer</w:t>
      </w:r>
      <w:proofErr w:type="spellEnd"/>
      <w:r w:rsidR="0073666E" w:rsidRPr="0073666E">
        <w:rPr>
          <w:lang w:val="de-CH"/>
        </w:rPr>
        <w:t xml:space="preserve"> le </w:t>
      </w:r>
      <w:proofErr w:type="spellStart"/>
      <w:r w:rsidR="0073666E" w:rsidRPr="0073666E">
        <w:rPr>
          <w:lang w:val="de-CH"/>
        </w:rPr>
        <w:t>prévenu</w:t>
      </w:r>
      <w:proofErr w:type="spellEnd"/>
      <w:r w:rsidR="0073666E" w:rsidRPr="0073666E">
        <w:rPr>
          <w:lang w:val="de-CH"/>
        </w:rPr>
        <w:t xml:space="preserve"> de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droit</w:t>
      </w:r>
      <w:proofErr w:type="spellEnd"/>
      <w:r w:rsidR="0073666E" w:rsidRPr="0073666E">
        <w:rPr>
          <w:lang w:val="de-CH"/>
        </w:rPr>
        <w:t xml:space="preserve"> de faire </w:t>
      </w:r>
      <w:proofErr w:type="spellStart"/>
      <w:r w:rsidR="0073666E" w:rsidRPr="0073666E">
        <w:rPr>
          <w:lang w:val="de-CH"/>
        </w:rPr>
        <w:t>appel</w:t>
      </w:r>
      <w:proofErr w:type="spellEnd"/>
      <w:r w:rsidR="0073666E" w:rsidRPr="0073666E">
        <w:rPr>
          <w:lang w:val="de-CH"/>
        </w:rPr>
        <w:t xml:space="preserve"> à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avocat</w:t>
      </w:r>
      <w:proofErr w:type="spellEnd"/>
      <w:r w:rsidR="0073666E" w:rsidRPr="0073666E">
        <w:rPr>
          <w:lang w:val="de-CH"/>
        </w:rPr>
        <w:t xml:space="preserve"> (art. 219, al. 1, CPP, en </w:t>
      </w:r>
      <w:proofErr w:type="spellStart"/>
      <w:r w:rsidR="0073666E" w:rsidRPr="0073666E">
        <w:rPr>
          <w:lang w:val="de-CH"/>
        </w:rPr>
        <w:t>relation</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158 CPP). </w:t>
      </w:r>
      <w:r w:rsidR="0073666E" w:rsidRPr="0073666E">
        <w:t>La législation suisse respecte ainsi pleinement les principes développés par la Cour européenne des droits de l</w:t>
      </w:r>
      <w:r w:rsidR="00BD72D7">
        <w:t>’homme (CourEDH) selon lesquels « il </w:t>
      </w:r>
      <w:r w:rsidR="0073666E" w:rsidRPr="0073666E">
        <w:t>faut, en règle générale, que l’accès à un avocat soit consenti dès le premier interrogatoire d’un suspect par la police »</w:t>
      </w:r>
      <w:r w:rsidR="0073666E" w:rsidRPr="009E1FD5">
        <w:rPr>
          <w:rStyle w:val="Appelnotedebasdep"/>
        </w:rPr>
        <w:footnoteReference w:id="5"/>
      </w:r>
      <w:r w:rsidR="0073666E" w:rsidRPr="0073666E">
        <w:t>.</w:t>
      </w:r>
    </w:p>
    <w:p w14:paraId="35637C3B" w14:textId="77777777" w:rsidR="0073666E" w:rsidRPr="0073666E" w:rsidRDefault="00B56636" w:rsidP="00B56636">
      <w:pPr>
        <w:pStyle w:val="SingleTxtG"/>
        <w:rPr>
          <w:lang w:val="de-CH"/>
        </w:rPr>
      </w:pPr>
      <w:r>
        <w:rPr>
          <w:lang w:val="de-CH"/>
        </w:rPr>
        <w:t>11.</w:t>
      </w:r>
      <w:r>
        <w:rPr>
          <w:lang w:val="de-CH"/>
        </w:rPr>
        <w:tab/>
      </w:r>
      <w:r w:rsidR="0073666E" w:rsidRPr="0073666E">
        <w:rPr>
          <w:lang w:val="de-CH"/>
        </w:rPr>
        <w:t xml:space="preserve">De la </w:t>
      </w:r>
      <w:proofErr w:type="spellStart"/>
      <w:r w:rsidR="0073666E" w:rsidRPr="0073666E">
        <w:rPr>
          <w:lang w:val="de-CH"/>
        </w:rPr>
        <w:t>même</w:t>
      </w:r>
      <w:proofErr w:type="spellEnd"/>
      <w:r w:rsidR="0073666E" w:rsidRPr="0073666E">
        <w:rPr>
          <w:lang w:val="de-CH"/>
        </w:rPr>
        <w:t xml:space="preserve"> </w:t>
      </w:r>
      <w:proofErr w:type="spellStart"/>
      <w:r w:rsidR="0073666E" w:rsidRPr="0073666E">
        <w:rPr>
          <w:lang w:val="de-CH"/>
        </w:rPr>
        <w:t>manière</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w:t>
      </w:r>
      <w:proofErr w:type="spellStart"/>
      <w:r w:rsidR="0073666E" w:rsidRPr="0073666E">
        <w:rPr>
          <w:lang w:val="de-CH"/>
        </w:rPr>
        <w:t>légal</w:t>
      </w:r>
      <w:proofErr w:type="spellEnd"/>
      <w:r w:rsidR="0073666E" w:rsidRPr="0073666E">
        <w:rPr>
          <w:lang w:val="de-CH"/>
        </w:rPr>
        <w:t xml:space="preserve"> </w:t>
      </w:r>
      <w:proofErr w:type="spellStart"/>
      <w:r w:rsidR="0073666E" w:rsidRPr="0073666E">
        <w:rPr>
          <w:lang w:val="de-CH"/>
        </w:rPr>
        <w:t>garantit</w:t>
      </w:r>
      <w:proofErr w:type="spellEnd"/>
      <w:r w:rsidR="0073666E" w:rsidRPr="0073666E">
        <w:rPr>
          <w:lang w:val="de-CH"/>
        </w:rPr>
        <w:t xml:space="preserve"> au </w:t>
      </w:r>
      <w:proofErr w:type="spellStart"/>
      <w:r w:rsidR="0073666E" w:rsidRPr="0073666E">
        <w:rPr>
          <w:lang w:val="de-CH"/>
        </w:rPr>
        <w:t>prévenu</w:t>
      </w:r>
      <w:proofErr w:type="spellEnd"/>
      <w:r w:rsidR="0073666E" w:rsidRPr="0073666E">
        <w:rPr>
          <w:lang w:val="de-CH"/>
        </w:rPr>
        <w:t xml:space="preserve"> le </w:t>
      </w:r>
      <w:proofErr w:type="spellStart"/>
      <w:r w:rsidR="0073666E" w:rsidRPr="0073666E">
        <w:rPr>
          <w:lang w:val="de-CH"/>
        </w:rPr>
        <w:t>droit</w:t>
      </w:r>
      <w:proofErr w:type="spellEnd"/>
      <w:r w:rsidR="0073666E" w:rsidRPr="0073666E">
        <w:rPr>
          <w:lang w:val="de-CH"/>
        </w:rPr>
        <w:t xml:space="preserve"> </w:t>
      </w:r>
      <w:proofErr w:type="spellStart"/>
      <w:r w:rsidR="0073666E" w:rsidRPr="0073666E">
        <w:rPr>
          <w:lang w:val="de-CH"/>
        </w:rPr>
        <w:t>d’informer</w:t>
      </w:r>
      <w:proofErr w:type="spellEnd"/>
      <w:r w:rsidR="0073666E" w:rsidRPr="0073666E">
        <w:rPr>
          <w:lang w:val="de-CH"/>
        </w:rPr>
        <w:t xml:space="preserve">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proches</w:t>
      </w:r>
      <w:proofErr w:type="spellEnd"/>
      <w:r w:rsidR="0073666E" w:rsidRPr="0073666E">
        <w:rPr>
          <w:lang w:val="de-CH"/>
        </w:rPr>
        <w:t xml:space="preserve"> </w:t>
      </w:r>
      <w:proofErr w:type="spellStart"/>
      <w:r w:rsidR="0073666E" w:rsidRPr="0073666E">
        <w:rPr>
          <w:lang w:val="de-CH"/>
        </w:rPr>
        <w:t>dès</w:t>
      </w:r>
      <w:proofErr w:type="spellEnd"/>
      <w:r w:rsidR="0073666E" w:rsidRPr="0073666E">
        <w:rPr>
          <w:lang w:val="de-CH"/>
        </w:rPr>
        <w:t xml:space="preserv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arrestation</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employeur</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la </w:t>
      </w:r>
      <w:proofErr w:type="spellStart"/>
      <w:r w:rsidR="0073666E" w:rsidRPr="0073666E">
        <w:rPr>
          <w:lang w:val="de-CH"/>
        </w:rPr>
        <w:t>représentation</w:t>
      </w:r>
      <w:proofErr w:type="spellEnd"/>
      <w:r w:rsidR="0073666E" w:rsidRPr="0073666E">
        <w:rPr>
          <w:lang w:val="de-CH"/>
        </w:rPr>
        <w:t xml:space="preserve"> </w:t>
      </w:r>
      <w:proofErr w:type="spellStart"/>
      <w:r w:rsidR="0073666E" w:rsidRPr="0073666E">
        <w:rPr>
          <w:lang w:val="de-CH"/>
        </w:rPr>
        <w:t>diplomatique</w:t>
      </w:r>
      <w:proofErr w:type="spellEnd"/>
      <w:r w:rsidR="0073666E" w:rsidRPr="0073666E">
        <w:rPr>
          <w:lang w:val="de-CH"/>
        </w:rPr>
        <w:t xml:space="preserve"> </w:t>
      </w:r>
      <w:proofErr w:type="spellStart"/>
      <w:r w:rsidR="0073666E" w:rsidRPr="0073666E">
        <w:rPr>
          <w:lang w:val="de-CH"/>
        </w:rPr>
        <w:t>étrangère</w:t>
      </w:r>
      <w:proofErr w:type="spellEnd"/>
      <w:r w:rsidR="0073666E" w:rsidRPr="0073666E">
        <w:rPr>
          <w:lang w:val="de-CH"/>
        </w:rPr>
        <w:t xml:space="preserve"> </w:t>
      </w:r>
      <w:proofErr w:type="spellStart"/>
      <w:r w:rsidR="0073666E" w:rsidRPr="0073666E">
        <w:rPr>
          <w:lang w:val="de-CH"/>
        </w:rPr>
        <w:t>dont</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relève</w:t>
      </w:r>
      <w:proofErr w:type="spellEnd"/>
      <w:r w:rsidR="0073666E" w:rsidRPr="0073666E">
        <w:rPr>
          <w:lang w:val="de-CH"/>
        </w:rPr>
        <w:t xml:space="preserve"> (art. 214 CPP).</w:t>
      </w:r>
    </w:p>
    <w:p w14:paraId="44A1BC26" w14:textId="77777777" w:rsidR="0073666E" w:rsidRPr="0073666E" w:rsidRDefault="00B56636" w:rsidP="00B56636">
      <w:pPr>
        <w:pStyle w:val="SingleTxtG"/>
      </w:pPr>
      <w:r>
        <w:t>12.</w:t>
      </w:r>
      <w:r>
        <w:tab/>
      </w:r>
      <w:r w:rsidR="0073666E" w:rsidRPr="0073666E">
        <w:t xml:space="preserve">En ce qui concerne l’examen médical, le Conseil fédéral a rappelé dans son message relatif au nouveau CPP que l’ordre juridique suisse garantit à toute personne appréhendée le droit de se faire </w:t>
      </w:r>
      <w:r w:rsidR="0073666E" w:rsidRPr="00B56636">
        <w:t>examiner</w:t>
      </w:r>
      <w:r w:rsidR="0073666E" w:rsidRPr="0073666E">
        <w:t xml:space="preserve"> par un médecin indépendant dès son arrestation et à chaque fois qu’elle le demande, ce dans le respect du choix du médecin effectué par la personne appréhendée, sous réserve des cas d’indisponibilité du médecin choisi et du risque de collusion</w:t>
      </w:r>
      <w:r w:rsidR="0073666E" w:rsidRPr="009E1FD5">
        <w:rPr>
          <w:rStyle w:val="Appelnotedebasdep"/>
        </w:rPr>
        <w:footnoteReference w:id="6"/>
      </w:r>
      <w:r w:rsidR="00C251CA" w:rsidRPr="00971C84">
        <w:t>.</w:t>
      </w:r>
      <w:r w:rsidR="0073666E" w:rsidRPr="0073666E">
        <w:t xml:space="preserve"> La jurisprudence du Tribunal fédéral (TF) va dans le même sens</w:t>
      </w:r>
      <w:r w:rsidR="0073666E" w:rsidRPr="009E1FD5">
        <w:rPr>
          <w:rStyle w:val="Appelnotedebasdep"/>
        </w:rPr>
        <w:footnoteReference w:id="7"/>
      </w:r>
      <w:r w:rsidR="00C251CA" w:rsidRPr="00971C84">
        <w:t>.</w:t>
      </w:r>
      <w:r w:rsidR="0073666E" w:rsidRPr="0073666E">
        <w:t xml:space="preserve"> </w:t>
      </w:r>
    </w:p>
    <w:p w14:paraId="0BBBDA0C" w14:textId="77777777" w:rsidR="0073666E" w:rsidRPr="0073666E" w:rsidRDefault="00B56636" w:rsidP="00B56636">
      <w:pPr>
        <w:pStyle w:val="SingleTxtG"/>
        <w:rPr>
          <w:lang w:val="de-CH"/>
        </w:rPr>
      </w:pPr>
      <w:r>
        <w:rPr>
          <w:lang w:val="de-CH"/>
        </w:rPr>
        <w:t>13.</w:t>
      </w:r>
      <w:r>
        <w:rPr>
          <w:lang w:val="de-CH"/>
        </w:rPr>
        <w:tab/>
      </w:r>
      <w:r w:rsidR="0073666E" w:rsidRPr="0073666E">
        <w:rPr>
          <w:lang w:val="de-CH"/>
        </w:rPr>
        <w:t xml:space="preserve">A </w:t>
      </w:r>
      <w:proofErr w:type="spellStart"/>
      <w:r w:rsidR="0073666E" w:rsidRPr="0073666E">
        <w:rPr>
          <w:lang w:val="de-CH"/>
        </w:rPr>
        <w:t>noter</w:t>
      </w:r>
      <w:proofErr w:type="spellEnd"/>
      <w:r w:rsidR="0073666E" w:rsidRPr="0073666E">
        <w:rPr>
          <w:lang w:val="de-CH"/>
        </w:rPr>
        <w:t xml:space="preserve"> </w:t>
      </w:r>
      <w:proofErr w:type="spellStart"/>
      <w:r w:rsidR="0073666E" w:rsidRPr="0073666E">
        <w:rPr>
          <w:lang w:val="de-CH"/>
        </w:rPr>
        <w:t>encore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droit</w:t>
      </w:r>
      <w:proofErr w:type="spellEnd"/>
      <w:r w:rsidR="0073666E" w:rsidRPr="0073666E">
        <w:rPr>
          <w:lang w:val="de-CH"/>
        </w:rPr>
        <w:t xml:space="preserve"> à </w:t>
      </w:r>
      <w:proofErr w:type="spellStart"/>
      <w:r w:rsidR="0073666E" w:rsidRPr="0073666E">
        <w:rPr>
          <w:lang w:val="de-CH"/>
        </w:rPr>
        <w:t>l’information</w:t>
      </w:r>
      <w:proofErr w:type="spellEnd"/>
      <w:r w:rsidR="0073666E" w:rsidRPr="0073666E">
        <w:rPr>
          <w:lang w:val="de-CH"/>
        </w:rPr>
        <w:t xml:space="preserve"> </w:t>
      </w:r>
      <w:proofErr w:type="spellStart"/>
      <w:r w:rsidR="0073666E" w:rsidRPr="0073666E">
        <w:rPr>
          <w:lang w:val="de-CH"/>
        </w:rPr>
        <w:t>revêt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importance</w:t>
      </w:r>
      <w:proofErr w:type="spellEnd"/>
      <w:r w:rsidR="0073666E" w:rsidRPr="0073666E">
        <w:rPr>
          <w:lang w:val="de-CH"/>
        </w:rPr>
        <w:t xml:space="preserve"> </w:t>
      </w:r>
      <w:proofErr w:type="spellStart"/>
      <w:r w:rsidR="0073666E" w:rsidRPr="0073666E">
        <w:rPr>
          <w:lang w:val="de-CH"/>
        </w:rPr>
        <w:t>fondamentale</w:t>
      </w:r>
      <w:proofErr w:type="spellEnd"/>
      <w:r w:rsidR="0073666E" w:rsidRPr="0073666E">
        <w:rPr>
          <w:lang w:val="de-CH"/>
        </w:rPr>
        <w:t xml:space="preserve"> en Suisse. </w:t>
      </w:r>
      <w:proofErr w:type="spellStart"/>
      <w:r w:rsidR="0073666E" w:rsidRPr="0073666E">
        <w:rPr>
          <w:lang w:val="de-CH"/>
        </w:rPr>
        <w:t>L’information</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droits</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dès</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w:t>
      </w:r>
      <w:proofErr w:type="spellStart"/>
      <w:r w:rsidR="0073666E" w:rsidRPr="0073666E">
        <w:rPr>
          <w:lang w:val="de-CH"/>
        </w:rPr>
        <w:t>considérée</w:t>
      </w:r>
      <w:proofErr w:type="spellEnd"/>
      <w:r w:rsidR="0073666E" w:rsidRPr="0073666E">
        <w:rPr>
          <w:lang w:val="de-CH"/>
        </w:rPr>
        <w:t xml:space="preserve"> </w:t>
      </w:r>
      <w:proofErr w:type="spellStart"/>
      <w:r w:rsidR="0073666E" w:rsidRPr="0073666E">
        <w:rPr>
          <w:lang w:val="de-CH"/>
        </w:rPr>
        <w:t>comme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règle</w:t>
      </w:r>
      <w:proofErr w:type="spellEnd"/>
      <w:r w:rsidR="0073666E" w:rsidRPr="0073666E">
        <w:rPr>
          <w:lang w:val="de-CH"/>
        </w:rPr>
        <w:t xml:space="preserve"> de </w:t>
      </w:r>
      <w:proofErr w:type="spellStart"/>
      <w:r w:rsidR="0073666E" w:rsidRPr="0073666E">
        <w:rPr>
          <w:lang w:val="de-CH"/>
        </w:rPr>
        <w:t>validité</w:t>
      </w:r>
      <w:proofErr w:type="spellEnd"/>
      <w:r w:rsidR="0073666E" w:rsidRPr="0073666E">
        <w:rPr>
          <w:lang w:val="de-CH"/>
        </w:rPr>
        <w:t xml:space="preserve"> et non </w:t>
      </w:r>
      <w:proofErr w:type="spellStart"/>
      <w:r w:rsidR="0073666E" w:rsidRPr="0073666E">
        <w:rPr>
          <w:lang w:val="de-CH"/>
        </w:rPr>
        <w:t>comme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r w:rsidR="0073666E" w:rsidRPr="00B56636">
        <w:t>simple</w:t>
      </w:r>
      <w:r w:rsidR="0073666E" w:rsidRPr="0073666E">
        <w:rPr>
          <w:lang w:val="de-CH"/>
        </w:rPr>
        <w:t xml:space="preserve"> </w:t>
      </w:r>
      <w:proofErr w:type="spellStart"/>
      <w:r w:rsidR="0073666E" w:rsidRPr="0073666E">
        <w:rPr>
          <w:lang w:val="de-CH"/>
        </w:rPr>
        <w:t>prescription</w:t>
      </w:r>
      <w:proofErr w:type="spellEnd"/>
      <w:r w:rsidR="0073666E" w:rsidRPr="0073666E">
        <w:rPr>
          <w:lang w:val="de-CH"/>
        </w:rPr>
        <w:t xml:space="preserve"> </w:t>
      </w:r>
      <w:proofErr w:type="spellStart"/>
      <w:r w:rsidR="0073666E" w:rsidRPr="0073666E">
        <w:rPr>
          <w:lang w:val="de-CH"/>
        </w:rPr>
        <w:t>d’ordre</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et </w:t>
      </w:r>
      <w:proofErr w:type="spellStart"/>
      <w:r w:rsidR="0073666E" w:rsidRPr="0073666E">
        <w:rPr>
          <w:lang w:val="de-CH"/>
        </w:rPr>
        <w:t>conformément</w:t>
      </w:r>
      <w:proofErr w:type="spellEnd"/>
      <w:r w:rsidR="0073666E" w:rsidRPr="0073666E">
        <w:rPr>
          <w:lang w:val="de-CH"/>
        </w:rPr>
        <w:t xml:space="preserve"> à </w:t>
      </w:r>
      <w:proofErr w:type="spellStart"/>
      <w:r w:rsidR="0073666E" w:rsidRPr="0073666E">
        <w:rPr>
          <w:lang w:val="de-CH"/>
        </w:rPr>
        <w:t>l’art</w:t>
      </w:r>
      <w:proofErr w:type="spellEnd"/>
      <w:r w:rsidR="0073666E" w:rsidRPr="0073666E">
        <w:rPr>
          <w:lang w:val="de-CH"/>
        </w:rPr>
        <w:t xml:space="preserve">. 158, al. 2, </w:t>
      </w:r>
      <w:r w:rsidR="0073666E" w:rsidRPr="0073666E">
        <w:rPr>
          <w:lang w:val="de-CH"/>
        </w:rPr>
        <w:lastRenderedPageBreak/>
        <w:t xml:space="preserve">CPP,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preuves</w:t>
      </w:r>
      <w:proofErr w:type="spellEnd"/>
      <w:r w:rsidR="0073666E" w:rsidRPr="0073666E">
        <w:rPr>
          <w:lang w:val="de-CH"/>
        </w:rPr>
        <w:t xml:space="preserve"> </w:t>
      </w:r>
      <w:proofErr w:type="spellStart"/>
      <w:r w:rsidR="0073666E" w:rsidRPr="0073666E">
        <w:rPr>
          <w:lang w:val="de-CH"/>
        </w:rPr>
        <w:t>obtenues</w:t>
      </w:r>
      <w:proofErr w:type="spellEnd"/>
      <w:r w:rsidR="0073666E" w:rsidRPr="0073666E">
        <w:rPr>
          <w:lang w:val="de-CH"/>
        </w:rPr>
        <w:t xml:space="preserve"> </w:t>
      </w:r>
      <w:proofErr w:type="spellStart"/>
      <w:r w:rsidR="0073666E" w:rsidRPr="0073666E">
        <w:rPr>
          <w:lang w:val="de-CH"/>
        </w:rPr>
        <w:t>sans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l’information</w:t>
      </w:r>
      <w:proofErr w:type="spellEnd"/>
      <w:r w:rsidR="0073666E" w:rsidRPr="0073666E">
        <w:rPr>
          <w:lang w:val="de-CH"/>
        </w:rPr>
        <w:t xml:space="preserve"> </w:t>
      </w:r>
      <w:proofErr w:type="spellStart"/>
      <w:r w:rsidR="0073666E" w:rsidRPr="0073666E">
        <w:rPr>
          <w:lang w:val="de-CH"/>
        </w:rPr>
        <w:t>ait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donnée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purement</w:t>
      </w:r>
      <w:proofErr w:type="spellEnd"/>
      <w:r w:rsidR="0073666E" w:rsidRPr="0073666E">
        <w:rPr>
          <w:lang w:val="de-CH"/>
        </w:rPr>
        <w:t xml:space="preserve"> et </w:t>
      </w:r>
      <w:proofErr w:type="spellStart"/>
      <w:r w:rsidR="0073666E" w:rsidRPr="0073666E">
        <w:rPr>
          <w:lang w:val="de-CH"/>
        </w:rPr>
        <w:t>simplement</w:t>
      </w:r>
      <w:proofErr w:type="spellEnd"/>
      <w:r w:rsidR="0073666E" w:rsidRPr="0073666E">
        <w:rPr>
          <w:lang w:val="de-CH"/>
        </w:rPr>
        <w:t xml:space="preserve"> </w:t>
      </w:r>
      <w:proofErr w:type="spellStart"/>
      <w:r w:rsidR="0073666E" w:rsidRPr="0073666E">
        <w:rPr>
          <w:lang w:val="de-CH"/>
        </w:rPr>
        <w:t>inexploitables</w:t>
      </w:r>
      <w:proofErr w:type="spellEnd"/>
      <w:r w:rsidR="0073666E" w:rsidRPr="0073666E">
        <w:rPr>
          <w:lang w:val="de-CH"/>
        </w:rPr>
        <w:t xml:space="preserve">, </w:t>
      </w:r>
      <w:proofErr w:type="spellStart"/>
      <w:r w:rsidR="0073666E" w:rsidRPr="0073666E">
        <w:rPr>
          <w:lang w:val="de-CH"/>
        </w:rPr>
        <w:t>quelle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l’infraction</w:t>
      </w:r>
      <w:proofErr w:type="spellEnd"/>
      <w:r w:rsidR="0073666E" w:rsidRPr="0073666E">
        <w:rPr>
          <w:lang w:val="de-CH"/>
        </w:rPr>
        <w:t xml:space="preserve"> </w:t>
      </w:r>
      <w:proofErr w:type="spellStart"/>
      <w:r w:rsidR="0073666E" w:rsidRPr="0073666E">
        <w:rPr>
          <w:lang w:val="de-CH"/>
        </w:rPr>
        <w:t>commise</w:t>
      </w:r>
      <w:proofErr w:type="spellEnd"/>
      <w:r w:rsidR="0073666E" w:rsidRPr="0073666E">
        <w:rPr>
          <w:lang w:val="de-CH"/>
        </w:rPr>
        <w:t xml:space="preserve"> et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gravité</w:t>
      </w:r>
      <w:proofErr w:type="spellEnd"/>
      <w:r w:rsidR="0073666E" w:rsidRPr="009E1FD5">
        <w:rPr>
          <w:rStyle w:val="Appelnotedebasdep"/>
        </w:rPr>
        <w:footnoteReference w:id="8"/>
      </w:r>
      <w:r w:rsidR="009D6952">
        <w:rPr>
          <w:lang w:val="de-CH"/>
        </w:rPr>
        <w:t>.</w:t>
      </w:r>
    </w:p>
    <w:p w14:paraId="40A8A27A" w14:textId="77777777" w:rsidR="0073666E" w:rsidRPr="0073666E" w:rsidRDefault="00B56636" w:rsidP="00B56636">
      <w:pPr>
        <w:pStyle w:val="SingleTxtG"/>
        <w:rPr>
          <w:lang w:val="de-CH"/>
        </w:rPr>
      </w:pPr>
      <w:r>
        <w:rPr>
          <w:lang w:val="de-CH"/>
        </w:rPr>
        <w:t>14.</w:t>
      </w:r>
      <w:r>
        <w:rPr>
          <w:lang w:val="de-CH"/>
        </w:rPr>
        <w:tab/>
      </w:r>
      <w:proofErr w:type="spellStart"/>
      <w:r w:rsidR="0073666E" w:rsidRPr="0073666E">
        <w:rPr>
          <w:lang w:val="de-CH"/>
        </w:rPr>
        <w:t>Enfin</w:t>
      </w:r>
      <w:proofErr w:type="spellEnd"/>
      <w:r w:rsidR="0073666E" w:rsidRPr="0073666E">
        <w:rPr>
          <w:lang w:val="de-CH"/>
        </w:rPr>
        <w:t xml:space="preserve"> et de </w:t>
      </w:r>
      <w:proofErr w:type="spellStart"/>
      <w:r w:rsidR="0073666E" w:rsidRPr="0073666E">
        <w:rPr>
          <w:lang w:val="de-CH"/>
        </w:rPr>
        <w:t>manière</w:t>
      </w:r>
      <w:proofErr w:type="spellEnd"/>
      <w:r w:rsidR="0073666E" w:rsidRPr="0073666E">
        <w:rPr>
          <w:lang w:val="de-CH"/>
        </w:rPr>
        <w:t xml:space="preserve"> </w:t>
      </w:r>
      <w:proofErr w:type="spellStart"/>
      <w:r w:rsidR="0073666E" w:rsidRPr="0073666E">
        <w:rPr>
          <w:lang w:val="de-CH"/>
        </w:rPr>
        <w:t>générale</w:t>
      </w:r>
      <w:proofErr w:type="spellEnd"/>
      <w:r w:rsidR="0073666E" w:rsidRPr="0073666E">
        <w:rPr>
          <w:lang w:val="de-CH"/>
        </w:rPr>
        <w:t xml:space="preserve">, le </w:t>
      </w:r>
      <w:proofErr w:type="spellStart"/>
      <w:r w:rsidR="0073666E" w:rsidRPr="0073666E">
        <w:rPr>
          <w:lang w:val="de-CH"/>
        </w:rPr>
        <w:t>prévenu</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faire </w:t>
      </w:r>
      <w:proofErr w:type="spellStart"/>
      <w:r w:rsidR="0073666E" w:rsidRPr="0073666E">
        <w:rPr>
          <w:lang w:val="de-CH"/>
        </w:rPr>
        <w:t>vérifier</w:t>
      </w:r>
      <w:proofErr w:type="spellEnd"/>
      <w:r w:rsidR="0073666E" w:rsidRPr="0073666E">
        <w:rPr>
          <w:lang w:val="de-CH"/>
        </w:rPr>
        <w:t xml:space="preserve"> la </w:t>
      </w:r>
      <w:proofErr w:type="spellStart"/>
      <w:r w:rsidR="0073666E" w:rsidRPr="0073666E">
        <w:rPr>
          <w:lang w:val="de-CH"/>
        </w:rPr>
        <w:t>régularité</w:t>
      </w:r>
      <w:proofErr w:type="spellEnd"/>
      <w:r w:rsidR="0073666E" w:rsidRPr="0073666E">
        <w:rPr>
          <w:lang w:val="de-CH"/>
        </w:rPr>
        <w:t xml:space="preserve"> de la </w:t>
      </w:r>
      <w:proofErr w:type="spellStart"/>
      <w:r w:rsidR="0073666E" w:rsidRPr="0073666E">
        <w:rPr>
          <w:lang w:val="de-CH"/>
        </w:rPr>
        <w:t>procédure</w:t>
      </w:r>
      <w:proofErr w:type="spellEnd"/>
      <w:r w:rsidR="0073666E" w:rsidRPr="0073666E">
        <w:rPr>
          <w:lang w:val="de-CH"/>
        </w:rPr>
        <w:t xml:space="preserve"> en </w:t>
      </w:r>
      <w:proofErr w:type="spellStart"/>
      <w:r w:rsidR="0073666E" w:rsidRPr="0073666E">
        <w:rPr>
          <w:lang w:val="de-CH"/>
        </w:rPr>
        <w:t>déposant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recours</w:t>
      </w:r>
      <w:proofErr w:type="spellEnd"/>
      <w:r w:rsidR="0073666E" w:rsidRPr="0073666E">
        <w:rPr>
          <w:lang w:val="de-CH"/>
        </w:rPr>
        <w:t xml:space="preserve"> contre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décisions</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actes</w:t>
      </w:r>
      <w:proofErr w:type="spellEnd"/>
      <w:r w:rsidR="0073666E" w:rsidRPr="0073666E">
        <w:rPr>
          <w:lang w:val="de-CH"/>
        </w:rPr>
        <w:t xml:space="preserve"> de </w:t>
      </w:r>
      <w:proofErr w:type="spellStart"/>
      <w:r w:rsidR="0073666E" w:rsidRPr="0073666E">
        <w:rPr>
          <w:lang w:val="de-CH"/>
        </w:rPr>
        <w:t>procédure</w:t>
      </w:r>
      <w:proofErr w:type="spellEnd"/>
      <w:r w:rsidR="0073666E" w:rsidRPr="0073666E">
        <w:rPr>
          <w:lang w:val="de-CH"/>
        </w:rPr>
        <w:t xml:space="preserve"> de la </w:t>
      </w:r>
      <w:proofErr w:type="spellStart"/>
      <w:r w:rsidR="0073666E" w:rsidRPr="0073666E">
        <w:rPr>
          <w:lang w:val="de-CH"/>
        </w:rPr>
        <w:t>police</w:t>
      </w:r>
      <w:proofErr w:type="spellEnd"/>
      <w:r w:rsidR="0073666E" w:rsidRPr="0073666E">
        <w:rPr>
          <w:lang w:val="de-CH"/>
        </w:rPr>
        <w:t xml:space="preserve"> et du </w:t>
      </w:r>
      <w:proofErr w:type="spellStart"/>
      <w:r w:rsidR="0073666E" w:rsidRPr="0073666E">
        <w:rPr>
          <w:lang w:val="de-CH"/>
        </w:rPr>
        <w:t>ministère</w:t>
      </w:r>
      <w:proofErr w:type="spellEnd"/>
      <w:r w:rsidR="0073666E" w:rsidRPr="0073666E">
        <w:rPr>
          <w:lang w:val="de-CH"/>
        </w:rPr>
        <w:t xml:space="preserve"> </w:t>
      </w:r>
      <w:proofErr w:type="spellStart"/>
      <w:r w:rsidR="0073666E" w:rsidRPr="0073666E">
        <w:rPr>
          <w:lang w:val="de-CH"/>
        </w:rPr>
        <w:t>public</w:t>
      </w:r>
      <w:proofErr w:type="spellEnd"/>
      <w:r w:rsidR="0073666E" w:rsidRPr="0073666E">
        <w:rPr>
          <w:lang w:val="de-CH"/>
        </w:rPr>
        <w:t xml:space="preserve"> (art. 393 CPP). Il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se </w:t>
      </w:r>
      <w:proofErr w:type="spellStart"/>
      <w:r w:rsidR="0073666E" w:rsidRPr="0073666E">
        <w:rPr>
          <w:lang w:val="de-CH"/>
        </w:rPr>
        <w:t>plaindre</w:t>
      </w:r>
      <w:proofErr w:type="spellEnd"/>
      <w:r w:rsidR="0073666E" w:rsidRPr="0073666E">
        <w:rPr>
          <w:lang w:val="de-CH"/>
        </w:rPr>
        <w:t xml:space="preserve"> de la façon </w:t>
      </w:r>
      <w:proofErr w:type="spellStart"/>
      <w:r w:rsidR="0073666E" w:rsidRPr="0073666E">
        <w:rPr>
          <w:lang w:val="de-CH"/>
        </w:rPr>
        <w:t>dont</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traité</w:t>
      </w:r>
      <w:proofErr w:type="spellEnd"/>
      <w:r w:rsidR="0073666E" w:rsidRPr="0073666E">
        <w:rPr>
          <w:lang w:val="de-CH"/>
        </w:rPr>
        <w:t xml:space="preserve"> </w:t>
      </w:r>
      <w:proofErr w:type="spellStart"/>
      <w:r w:rsidR="0073666E" w:rsidRPr="0073666E">
        <w:rPr>
          <w:lang w:val="de-CH"/>
        </w:rPr>
        <w:t>durant</w:t>
      </w:r>
      <w:proofErr w:type="spellEnd"/>
      <w:r w:rsidR="0073666E" w:rsidRPr="0073666E">
        <w:rPr>
          <w:lang w:val="de-CH"/>
        </w:rPr>
        <w:t xml:space="preserve"> la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devant</w:t>
      </w:r>
      <w:proofErr w:type="spellEnd"/>
      <w:r w:rsidR="0073666E" w:rsidRPr="0073666E">
        <w:rPr>
          <w:lang w:val="de-CH"/>
        </w:rPr>
        <w:t xml:space="preserve"> le </w:t>
      </w:r>
      <w:proofErr w:type="spellStart"/>
      <w:r w:rsidR="0073666E" w:rsidRPr="0073666E">
        <w:rPr>
          <w:lang w:val="de-CH"/>
        </w:rPr>
        <w:t>juge</w:t>
      </w:r>
      <w:proofErr w:type="spellEnd"/>
      <w:r w:rsidR="0073666E" w:rsidRPr="0073666E">
        <w:rPr>
          <w:lang w:val="de-CH"/>
        </w:rPr>
        <w:t xml:space="preserve"> du </w:t>
      </w:r>
      <w:proofErr w:type="spellStart"/>
      <w:r w:rsidR="0073666E" w:rsidRPr="0073666E">
        <w:rPr>
          <w:lang w:val="de-CH"/>
        </w:rPr>
        <w:t>fond</w:t>
      </w:r>
      <w:proofErr w:type="spellEnd"/>
      <w:r w:rsidR="0073666E" w:rsidRPr="0073666E">
        <w:rPr>
          <w:lang w:val="de-CH"/>
        </w:rPr>
        <w:t xml:space="preserve">, </w:t>
      </w:r>
      <w:proofErr w:type="spellStart"/>
      <w:r w:rsidR="0073666E" w:rsidRPr="0073666E">
        <w:rPr>
          <w:lang w:val="de-CH"/>
        </w:rPr>
        <w:t>puis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appel</w:t>
      </w:r>
      <w:proofErr w:type="spellEnd"/>
      <w:r w:rsidR="0073666E" w:rsidRPr="0073666E">
        <w:rPr>
          <w:lang w:val="de-CH"/>
        </w:rPr>
        <w:t xml:space="preserve"> à </w:t>
      </w:r>
      <w:proofErr w:type="spellStart"/>
      <w:r w:rsidR="0073666E" w:rsidRPr="0073666E">
        <w:rPr>
          <w:lang w:val="de-CH"/>
        </w:rPr>
        <w:t>l’autorité</w:t>
      </w:r>
      <w:proofErr w:type="spellEnd"/>
      <w:r w:rsidR="0073666E" w:rsidRPr="0073666E">
        <w:rPr>
          <w:lang w:val="de-CH"/>
        </w:rPr>
        <w:t xml:space="preserve"> supérieure (398 CPP). </w:t>
      </w:r>
    </w:p>
    <w:p w14:paraId="206DEAEE" w14:textId="77777777" w:rsidR="0073666E" w:rsidRPr="0073666E" w:rsidRDefault="001477E9" w:rsidP="001477E9">
      <w:pPr>
        <w:pStyle w:val="SingleTxtG"/>
        <w:rPr>
          <w:lang w:val="de-CH"/>
        </w:rPr>
      </w:pPr>
      <w:r>
        <w:rPr>
          <w:lang w:val="de-CH"/>
        </w:rPr>
        <w:t>15.</w:t>
      </w:r>
      <w:r>
        <w:rPr>
          <w:lang w:val="de-CH"/>
        </w:rPr>
        <w:tab/>
      </w:r>
      <w:proofErr w:type="spellStart"/>
      <w:r w:rsidR="0073666E" w:rsidRPr="0073666E">
        <w:rPr>
          <w:lang w:val="de-CH"/>
        </w:rPr>
        <w:t>Toutes</w:t>
      </w:r>
      <w:proofErr w:type="spellEnd"/>
      <w:r w:rsidR="0073666E" w:rsidRPr="0073666E">
        <w:rPr>
          <w:lang w:val="de-CH"/>
        </w:rPr>
        <w:t xml:space="preserv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garantissent</w:t>
      </w:r>
      <w:proofErr w:type="spellEnd"/>
      <w:r w:rsidR="0073666E" w:rsidRPr="0073666E">
        <w:rPr>
          <w:lang w:val="de-CH"/>
        </w:rPr>
        <w:t xml:space="preserve"> au </w:t>
      </w:r>
      <w:proofErr w:type="spellStart"/>
      <w:r w:rsidR="0073666E" w:rsidRPr="0073666E">
        <w:rPr>
          <w:lang w:val="de-CH"/>
        </w:rPr>
        <w:t>prévenu</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équitable</w:t>
      </w:r>
      <w:proofErr w:type="spellEnd"/>
      <w:r w:rsidR="0073666E" w:rsidRPr="0073666E">
        <w:rPr>
          <w:lang w:val="de-CH"/>
        </w:rPr>
        <w:t xml:space="preserve">. </w:t>
      </w:r>
    </w:p>
    <w:p w14:paraId="33DA6050" w14:textId="77777777" w:rsidR="0073666E" w:rsidRPr="0073666E" w:rsidRDefault="001477E9" w:rsidP="001477E9">
      <w:pPr>
        <w:pStyle w:val="H23G"/>
        <w:rPr>
          <w:bCs/>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4</w:t>
      </w:r>
    </w:p>
    <w:p w14:paraId="5BADAB36" w14:textId="77777777" w:rsidR="0073666E" w:rsidRPr="001477E9" w:rsidRDefault="001477E9" w:rsidP="001477E9">
      <w:pPr>
        <w:pStyle w:val="SingleTxtG"/>
      </w:pPr>
      <w:r>
        <w:t>16.</w:t>
      </w:r>
      <w:r>
        <w:tab/>
      </w:r>
      <w:r w:rsidR="0073666E" w:rsidRPr="0073666E">
        <w:t>Depuis 2011, la Suisse a un projet pilote pour une institution nationale des droits de l</w:t>
      </w:r>
      <w:r w:rsidR="00A27519">
        <w:t>’</w:t>
      </w:r>
      <w:r w:rsidR="0073666E" w:rsidRPr="0073666E">
        <w:t xml:space="preserve">homme (INDH), sous la </w:t>
      </w:r>
      <w:r w:rsidR="0073666E" w:rsidRPr="001477E9">
        <w:t>forme du Centre de compétence pour les droits humains (CSDH)</w:t>
      </w:r>
      <w:r w:rsidR="0073666E" w:rsidRPr="009E1FD5">
        <w:rPr>
          <w:rStyle w:val="Appelnotedebasdep"/>
        </w:rPr>
        <w:footnoteReference w:id="9"/>
      </w:r>
      <w:r w:rsidR="0073666E" w:rsidRPr="001477E9">
        <w:t>. Ce projet a fait l</w:t>
      </w:r>
      <w:r w:rsidR="00A27519">
        <w:t>’</w:t>
      </w:r>
      <w:r w:rsidR="0073666E" w:rsidRPr="001477E9">
        <w:t>objet d</w:t>
      </w:r>
      <w:r w:rsidR="00A27519">
        <w:t>’</w:t>
      </w:r>
      <w:r w:rsidR="0073666E" w:rsidRPr="001477E9">
        <w:t xml:space="preserve">une évaluation indépendante au printemps 2015. </w:t>
      </w:r>
    </w:p>
    <w:p w14:paraId="308E21C4" w14:textId="77777777" w:rsidR="0073666E" w:rsidRPr="001477E9" w:rsidRDefault="001477E9" w:rsidP="001477E9">
      <w:pPr>
        <w:pStyle w:val="SingleTxtG"/>
      </w:pPr>
      <w:r>
        <w:t>17.</w:t>
      </w:r>
      <w:r>
        <w:tab/>
      </w:r>
      <w:r w:rsidR="0073666E" w:rsidRPr="001477E9">
        <w:t>Sur la base de cette évaluation, le Conseil fédéral a décidé de l</w:t>
      </w:r>
      <w:r w:rsidR="00A27519">
        <w:t>’</w:t>
      </w:r>
      <w:r w:rsidR="0073666E" w:rsidRPr="001477E9">
        <w:t>orientation des travaux pour la mise en place d</w:t>
      </w:r>
      <w:r w:rsidR="00A27519">
        <w:t>’</w:t>
      </w:r>
      <w:r w:rsidR="0073666E" w:rsidRPr="001477E9">
        <w:t>une INDH. En 2015, il a demandé aux Départements compétents de lui soumettre plusieurs options pour la nouvelle institution.</w:t>
      </w:r>
    </w:p>
    <w:p w14:paraId="57B22C4D" w14:textId="77777777" w:rsidR="0073666E" w:rsidRPr="001477E9" w:rsidRDefault="001477E9" w:rsidP="001477E9">
      <w:pPr>
        <w:pStyle w:val="SingleTxtG"/>
      </w:pPr>
      <w:r>
        <w:t>18.</w:t>
      </w:r>
      <w:r>
        <w:tab/>
      </w:r>
      <w:r w:rsidR="0073666E" w:rsidRPr="001477E9">
        <w:t xml:space="preserve">En juin 2016, le Conseil fédéral a pris connaissance des options étudiées pour une réglementation pérenne et a mandaté les Départements responsables afin qu’ils préparent un avant-projet de loi pour une INDH selon le modèle statu quo+. Ce modèle prévoit une solution durable qui se fonde sur le développement du projet pilote tout en remédiant aux déficits constatés lors de son évaluation. </w:t>
      </w:r>
      <w:r w:rsidR="002B6ED6">
        <w:t>À</w:t>
      </w:r>
      <w:r w:rsidR="0073666E" w:rsidRPr="001477E9">
        <w:t xml:space="preserve"> la différence du projet pilote, l</w:t>
      </w:r>
      <w:r w:rsidR="00A27519">
        <w:t>’</w:t>
      </w:r>
      <w:r w:rsidR="0073666E" w:rsidRPr="001477E9">
        <w:t>institution doit être fondée sur une base légale et pouvoir décider librement du financement de base alloué.</w:t>
      </w:r>
    </w:p>
    <w:p w14:paraId="695A667A" w14:textId="77777777" w:rsidR="0073666E" w:rsidRPr="001477E9" w:rsidRDefault="001477E9" w:rsidP="001477E9">
      <w:pPr>
        <w:pStyle w:val="SingleTxtG"/>
      </w:pPr>
      <w:r>
        <w:t>19.</w:t>
      </w:r>
      <w:r>
        <w:tab/>
      </w:r>
      <w:r w:rsidR="0073666E" w:rsidRPr="001477E9">
        <w:t>Le Centre suisse de compétence pour les droits humains a été lancé comme projet pilote pour une institution nationale de protection des droits de l’homme. Il est constitué d’un réseau entre plusieurs universités, auxquelles étaient associées jusqu’en 2015 une haute-école et une ONG. Il est financé par la Confédération à hauteur d’un million de francs par année et fournit en contrepartie des prestations définies dans des contrats de prestations annuels. Il</w:t>
      </w:r>
      <w:r w:rsidR="00BD46DF">
        <w:t> </w:t>
      </w:r>
      <w:r w:rsidR="0073666E" w:rsidRPr="001477E9">
        <w:t>fournit également des prestations rémunérées séparément sur demande d’autorités publiques à tous les niveaux de l’</w:t>
      </w:r>
      <w:r w:rsidR="00D94D41">
        <w:t>État</w:t>
      </w:r>
      <w:r w:rsidR="0073666E" w:rsidRPr="001477E9">
        <w:t xml:space="preserve"> fédéral, d’entreprises privées ou d’ONG.</w:t>
      </w:r>
    </w:p>
    <w:p w14:paraId="4C1A54B9" w14:textId="77777777" w:rsidR="0073666E" w:rsidRPr="0073666E" w:rsidRDefault="001477E9" w:rsidP="001477E9">
      <w:pPr>
        <w:pStyle w:val="SingleTxtG"/>
        <w:rPr>
          <w:lang w:val="de-CH"/>
        </w:rPr>
      </w:pPr>
      <w:r>
        <w:t>20.</w:t>
      </w:r>
      <w:r>
        <w:tab/>
      </w:r>
      <w:r w:rsidR="0073666E" w:rsidRPr="001477E9">
        <w:t>L’INDH qui est projetée constitue un développement du projet pilote vers une meilleure mise en œuvre des Principes de Paris. L’INDH recevrait un financement de base annuel d’un million de francs</w:t>
      </w:r>
      <w:r w:rsidR="0073666E" w:rsidRPr="0073666E">
        <w:t xml:space="preserve"> suisses sous la forme d’une subvention, ce qui lui permettrait de décider elle-même de ses activités à l’intérieur de son mandat. </w:t>
      </w:r>
      <w:proofErr w:type="spellStart"/>
      <w:r w:rsidR="0073666E" w:rsidRPr="0073666E">
        <w:rPr>
          <w:lang w:val="de-CH"/>
        </w:rPr>
        <w:t>Comme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le </w:t>
      </w:r>
      <w:proofErr w:type="spellStart"/>
      <w:r w:rsidR="0073666E" w:rsidRPr="0073666E">
        <w:rPr>
          <w:lang w:val="de-CH"/>
        </w:rPr>
        <w:t>projet</w:t>
      </w:r>
      <w:proofErr w:type="spellEnd"/>
      <w:r w:rsidR="0073666E" w:rsidRPr="0073666E">
        <w:rPr>
          <w:lang w:val="de-CH"/>
        </w:rPr>
        <w:t xml:space="preserve"> </w:t>
      </w:r>
      <w:proofErr w:type="spellStart"/>
      <w:r w:rsidR="0073666E" w:rsidRPr="0073666E">
        <w:rPr>
          <w:lang w:val="de-CH"/>
        </w:rPr>
        <w:t>pilote</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prévu</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l’INDH</w:t>
      </w:r>
      <w:proofErr w:type="spellEnd"/>
      <w:r w:rsidR="0073666E" w:rsidRPr="0073666E">
        <w:rPr>
          <w:lang w:val="de-CH"/>
        </w:rPr>
        <w:t xml:space="preserve"> </w:t>
      </w:r>
      <w:proofErr w:type="spellStart"/>
      <w:r w:rsidR="0073666E" w:rsidRPr="0073666E">
        <w:rPr>
          <w:lang w:val="de-CH"/>
        </w:rPr>
        <w:t>fournisse</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des </w:t>
      </w:r>
      <w:proofErr w:type="spellStart"/>
      <w:r w:rsidR="0073666E" w:rsidRPr="0073666E">
        <w:rPr>
          <w:lang w:val="de-CH"/>
        </w:rPr>
        <w:t>prestations</w:t>
      </w:r>
      <w:proofErr w:type="spellEnd"/>
      <w:r w:rsidR="0073666E" w:rsidRPr="0073666E">
        <w:rPr>
          <w:lang w:val="de-CH"/>
        </w:rPr>
        <w:t xml:space="preserve"> </w:t>
      </w:r>
      <w:proofErr w:type="spellStart"/>
      <w:r w:rsidR="0073666E" w:rsidRPr="0073666E">
        <w:rPr>
          <w:lang w:val="de-CH"/>
        </w:rPr>
        <w:t>rémunérées</w:t>
      </w:r>
      <w:proofErr w:type="spellEnd"/>
      <w:r w:rsidR="0073666E" w:rsidRPr="0073666E">
        <w:rPr>
          <w:lang w:val="de-CH"/>
        </w:rPr>
        <w:t xml:space="preserve"> </w:t>
      </w:r>
      <w:proofErr w:type="spellStart"/>
      <w:r w:rsidR="0073666E" w:rsidRPr="0073666E">
        <w:rPr>
          <w:lang w:val="de-CH"/>
        </w:rPr>
        <w:t>séparément</w:t>
      </w:r>
      <w:proofErr w:type="spellEnd"/>
      <w:r w:rsidR="0073666E" w:rsidRPr="0073666E">
        <w:rPr>
          <w:lang w:val="de-CH"/>
        </w:rPr>
        <w:t xml:space="preserve">. </w:t>
      </w:r>
    </w:p>
    <w:p w14:paraId="29312775" w14:textId="77777777" w:rsidR="0073666E" w:rsidRPr="001477E9" w:rsidRDefault="001477E9" w:rsidP="001477E9">
      <w:pPr>
        <w:pStyle w:val="SingleTxtG"/>
      </w:pPr>
      <w:r>
        <w:t>21.</w:t>
      </w:r>
      <w:r>
        <w:tab/>
      </w:r>
      <w:r w:rsidR="0073666E" w:rsidRPr="0073666E">
        <w:t xml:space="preserve">Les </w:t>
      </w:r>
      <w:r w:rsidR="0073666E" w:rsidRPr="001477E9">
        <w:t>travaux pour la mise en place d’une INDH suisse se poursuivent.</w:t>
      </w:r>
    </w:p>
    <w:p w14:paraId="5DC37CB5" w14:textId="77777777" w:rsidR="0073666E" w:rsidRPr="0073666E" w:rsidRDefault="001477E9" w:rsidP="001477E9">
      <w:pPr>
        <w:pStyle w:val="SingleTxtG"/>
        <w:rPr>
          <w:lang w:val="de-CH"/>
        </w:rPr>
      </w:pPr>
      <w:r>
        <w:t>22.</w:t>
      </w:r>
      <w:r>
        <w:tab/>
      </w:r>
      <w:r w:rsidR="0073666E" w:rsidRPr="001477E9">
        <w:t>Par décision du 28 juin 2017, le Conseil fédéral a soumis l</w:t>
      </w:r>
      <w:r w:rsidR="00A27519">
        <w:t>’</w:t>
      </w:r>
      <w:r w:rsidR="0073666E" w:rsidRPr="001477E9">
        <w:t>avant-projet de loi en consultation auprès des cantons, des partis politiques et des organisations intéressées. La consultation s</w:t>
      </w:r>
      <w:r w:rsidR="00A27519">
        <w:t>’</w:t>
      </w:r>
      <w:r w:rsidR="0073666E" w:rsidRPr="001477E9">
        <w:t>est terminée fin octobre 2017. La grande majorité des prises de position étaient favorables à l</w:t>
      </w:r>
      <w:r w:rsidR="00A27519">
        <w:t>’</w:t>
      </w:r>
      <w:r w:rsidR="0073666E" w:rsidRPr="001477E9">
        <w:t>avant-projet. En pondérant les réponses, l</w:t>
      </w:r>
      <w:r w:rsidR="00A27519">
        <w:t>’</w:t>
      </w:r>
      <w:r w:rsidR="0073666E" w:rsidRPr="001477E9">
        <w:t>orientation du projet a été confirmée. Selon la procédure</w:t>
      </w:r>
      <w:r w:rsidR="0073666E" w:rsidRPr="0073666E">
        <w:rPr>
          <w:lang w:val="de-CH"/>
        </w:rPr>
        <w:t xml:space="preserve"> </w:t>
      </w:r>
      <w:proofErr w:type="spellStart"/>
      <w:r w:rsidR="0073666E" w:rsidRPr="0073666E">
        <w:rPr>
          <w:lang w:val="de-CH"/>
        </w:rPr>
        <w:t>applicable</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prévu</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résultats</w:t>
      </w:r>
      <w:proofErr w:type="spellEnd"/>
      <w:r w:rsidR="0073666E" w:rsidRPr="0073666E">
        <w:rPr>
          <w:lang w:val="de-CH"/>
        </w:rPr>
        <w:t xml:space="preserve"> de la </w:t>
      </w:r>
      <w:proofErr w:type="spellStart"/>
      <w:r w:rsidR="0073666E" w:rsidRPr="0073666E">
        <w:rPr>
          <w:lang w:val="de-CH"/>
        </w:rPr>
        <w:t>consultation</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publié</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le </w:t>
      </w:r>
      <w:proofErr w:type="spellStart"/>
      <w:r w:rsidR="0073666E" w:rsidRPr="0073666E">
        <w:rPr>
          <w:lang w:val="de-CH"/>
        </w:rPr>
        <w:t>projet</w:t>
      </w:r>
      <w:proofErr w:type="spellEnd"/>
      <w:r w:rsidR="0073666E" w:rsidRPr="0073666E">
        <w:rPr>
          <w:lang w:val="de-CH"/>
        </w:rPr>
        <w:t xml:space="preserve"> de </w:t>
      </w:r>
      <w:proofErr w:type="spellStart"/>
      <w:r w:rsidR="0073666E" w:rsidRPr="0073666E">
        <w:rPr>
          <w:lang w:val="de-CH"/>
        </w:rPr>
        <w:t>loi</w:t>
      </w:r>
      <w:proofErr w:type="spellEnd"/>
      <w:r w:rsidR="0073666E" w:rsidRPr="0073666E">
        <w:rPr>
          <w:lang w:val="de-CH"/>
        </w:rPr>
        <w:t xml:space="preserve"> et le </w:t>
      </w:r>
      <w:proofErr w:type="spellStart"/>
      <w:r w:rsidR="0073666E" w:rsidRPr="0073666E">
        <w:rPr>
          <w:lang w:val="de-CH"/>
        </w:rPr>
        <w:t>message</w:t>
      </w:r>
      <w:proofErr w:type="spellEnd"/>
      <w:r w:rsidR="0073666E" w:rsidRPr="0073666E">
        <w:rPr>
          <w:lang w:val="de-CH"/>
        </w:rPr>
        <w:t xml:space="preserve"> à </w:t>
      </w:r>
      <w:proofErr w:type="spellStart"/>
      <w:r w:rsidR="0073666E" w:rsidRPr="0073666E">
        <w:rPr>
          <w:lang w:val="de-CH"/>
        </w:rPr>
        <w:t>l</w:t>
      </w:r>
      <w:r w:rsidR="00A27519">
        <w:rPr>
          <w:lang w:val="de-CH"/>
        </w:rPr>
        <w:t>’</w:t>
      </w:r>
      <w:r w:rsidR="0073666E" w:rsidRPr="0073666E">
        <w:rPr>
          <w:lang w:val="de-CH"/>
        </w:rPr>
        <w:t>adresse</w:t>
      </w:r>
      <w:proofErr w:type="spellEnd"/>
      <w:r w:rsidR="0073666E" w:rsidRPr="0073666E">
        <w:rPr>
          <w:lang w:val="de-CH"/>
        </w:rPr>
        <w:t xml:space="preserve"> du </w:t>
      </w:r>
      <w:proofErr w:type="spellStart"/>
      <w:r w:rsidR="0073666E" w:rsidRPr="0073666E">
        <w:rPr>
          <w:lang w:val="de-CH"/>
        </w:rPr>
        <w:t>Parlement</w:t>
      </w:r>
      <w:proofErr w:type="spellEnd"/>
      <w:r w:rsidR="0073666E" w:rsidRPr="0073666E">
        <w:rPr>
          <w:lang w:val="de-CH"/>
        </w:rPr>
        <w:t xml:space="preserve">. </w:t>
      </w:r>
    </w:p>
    <w:p w14:paraId="2F94175A" w14:textId="77777777" w:rsidR="0073666E" w:rsidRPr="0073666E" w:rsidRDefault="001477E9" w:rsidP="001477E9">
      <w:pPr>
        <w:pStyle w:val="SingleTxtG"/>
      </w:pPr>
      <w:r>
        <w:rPr>
          <w:lang w:val="fr-FR"/>
        </w:rPr>
        <w:t>23.</w:t>
      </w:r>
      <w:r>
        <w:rPr>
          <w:lang w:val="fr-FR"/>
        </w:rPr>
        <w:tab/>
      </w:r>
      <w:r w:rsidR="0073666E" w:rsidRPr="0073666E">
        <w:rPr>
          <w:lang w:val="fr-FR"/>
        </w:rPr>
        <w:t xml:space="preserve">La consultation </w:t>
      </w:r>
      <w:r w:rsidR="0073666E" w:rsidRPr="001477E9">
        <w:t>menée</w:t>
      </w:r>
      <w:r w:rsidR="0073666E" w:rsidRPr="0073666E">
        <w:rPr>
          <w:lang w:val="fr-FR"/>
        </w:rPr>
        <w:t xml:space="preserve"> </w:t>
      </w:r>
      <w:r w:rsidR="0073666E" w:rsidRPr="0073666E">
        <w:t xml:space="preserve">entre juillet et octobre 2017 </w:t>
      </w:r>
      <w:r w:rsidR="0073666E" w:rsidRPr="0073666E">
        <w:rPr>
          <w:lang w:val="fr-FR"/>
        </w:rPr>
        <w:t>a confirmé le besoin de créer une Institution nationale des droits de l’homme en Suisse. Afin d’intégrer les demandes formulées lors de cette procédure de consultation le modèle proposé sera adapté.</w:t>
      </w:r>
    </w:p>
    <w:p w14:paraId="5F50AB3D" w14:textId="77777777" w:rsidR="0073666E" w:rsidRPr="0073666E" w:rsidRDefault="00FD21D6" w:rsidP="001477E9">
      <w:pPr>
        <w:pStyle w:val="H23G"/>
        <w:rPr>
          <w:bCs/>
          <w:lang w:val="de-CH"/>
        </w:rPr>
      </w:pPr>
      <w:r>
        <w:rPr>
          <w:lang w:val="de-CH"/>
        </w:rPr>
        <w:lastRenderedPageBreak/>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5</w:t>
      </w:r>
      <w:r w:rsidR="001477E9">
        <w:t xml:space="preserve"> </w:t>
      </w:r>
    </w:p>
    <w:p w14:paraId="34C6314E" w14:textId="77777777" w:rsidR="0073666E" w:rsidRPr="001477E9" w:rsidRDefault="001477E9" w:rsidP="001477E9">
      <w:pPr>
        <w:pStyle w:val="SingleTxtG"/>
      </w:pPr>
      <w:r>
        <w:t>24.</w:t>
      </w:r>
      <w:r>
        <w:tab/>
      </w:r>
      <w:r w:rsidR="0073666E" w:rsidRPr="0073666E">
        <w:t>Concernant les ressources allouées à la Commission nationale de prévention de la torture (CNPT), celle-ci disposait, pour l’année 2017-2018, d’un budget d’environ 0,8</w:t>
      </w:r>
      <w:r w:rsidR="00BD46DF">
        <w:t> </w:t>
      </w:r>
      <w:r w:rsidR="0073666E" w:rsidRPr="0073666E">
        <w:t xml:space="preserve">million de francs. </w:t>
      </w:r>
      <w:r w:rsidR="0073666E" w:rsidRPr="0073666E">
        <w:rPr>
          <w:lang w:val="de-CH"/>
        </w:rPr>
        <w:t xml:space="preserve">Elle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libre</w:t>
      </w:r>
      <w:proofErr w:type="spellEnd"/>
      <w:r w:rsidR="0073666E" w:rsidRPr="0073666E">
        <w:rPr>
          <w:lang w:val="de-CH"/>
        </w:rPr>
        <w:t xml:space="preserve"> de </w:t>
      </w:r>
      <w:proofErr w:type="spellStart"/>
      <w:r w:rsidR="0073666E" w:rsidRPr="0073666E">
        <w:rPr>
          <w:lang w:val="de-CH"/>
        </w:rPr>
        <w:t>choisir</w:t>
      </w:r>
      <w:proofErr w:type="spellEnd"/>
      <w:r w:rsidR="0073666E" w:rsidRPr="0073666E">
        <w:rPr>
          <w:lang w:val="de-CH"/>
        </w:rPr>
        <w:t xml:space="preserve"> </w:t>
      </w:r>
      <w:proofErr w:type="spellStart"/>
      <w:r w:rsidR="0073666E" w:rsidRPr="0073666E">
        <w:rPr>
          <w:lang w:val="de-CH"/>
        </w:rPr>
        <w:t>comment</w:t>
      </w:r>
      <w:proofErr w:type="spellEnd"/>
      <w:r w:rsidR="0073666E" w:rsidRPr="0073666E">
        <w:rPr>
          <w:lang w:val="de-CH"/>
        </w:rPr>
        <w:t xml:space="preserve"> </w:t>
      </w:r>
      <w:proofErr w:type="spellStart"/>
      <w:r w:rsidR="0073666E" w:rsidRPr="0073666E">
        <w:rPr>
          <w:lang w:val="de-CH"/>
        </w:rPr>
        <w:t>elle</w:t>
      </w:r>
      <w:proofErr w:type="spellEnd"/>
      <w:r w:rsidR="0073666E" w:rsidRPr="0073666E">
        <w:rPr>
          <w:lang w:val="de-CH"/>
        </w:rPr>
        <w:t xml:space="preserve"> veut en </w:t>
      </w:r>
      <w:proofErr w:type="spellStart"/>
      <w:r w:rsidR="0073666E" w:rsidRPr="0073666E">
        <w:rPr>
          <w:lang w:val="de-CH"/>
        </w:rPr>
        <w:t>disposer</w:t>
      </w:r>
      <w:proofErr w:type="spellEnd"/>
      <w:r w:rsidR="0073666E" w:rsidRPr="0073666E">
        <w:rPr>
          <w:lang w:val="de-CH"/>
        </w:rPr>
        <w:t xml:space="preserve">. Elle </w:t>
      </w:r>
      <w:proofErr w:type="spellStart"/>
      <w:r w:rsidR="0073666E" w:rsidRPr="0073666E">
        <w:rPr>
          <w:lang w:val="de-CH"/>
        </w:rPr>
        <w:t>doit</w:t>
      </w:r>
      <w:proofErr w:type="spellEnd"/>
      <w:r w:rsidR="0073666E" w:rsidRPr="0073666E">
        <w:rPr>
          <w:lang w:val="de-CH"/>
        </w:rPr>
        <w:t xml:space="preserve"> </w:t>
      </w:r>
      <w:proofErr w:type="spellStart"/>
      <w:r w:rsidR="0073666E" w:rsidRPr="0073666E">
        <w:rPr>
          <w:lang w:val="de-CH"/>
        </w:rPr>
        <w:t>cependant</w:t>
      </w:r>
      <w:proofErr w:type="spellEnd"/>
      <w:r w:rsidR="0073666E" w:rsidRPr="0073666E">
        <w:rPr>
          <w:lang w:val="de-CH"/>
        </w:rPr>
        <w:t xml:space="preserve"> </w:t>
      </w:r>
      <w:proofErr w:type="spellStart"/>
      <w:r w:rsidR="0073666E" w:rsidRPr="0073666E">
        <w:rPr>
          <w:lang w:val="de-CH"/>
        </w:rPr>
        <w:t>exécuter</w:t>
      </w:r>
      <w:proofErr w:type="spellEnd"/>
      <w:r w:rsidR="0073666E" w:rsidRPr="0073666E">
        <w:rPr>
          <w:lang w:val="de-CH"/>
        </w:rPr>
        <w:t xml:space="preserve">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tâches</w:t>
      </w:r>
      <w:proofErr w:type="spellEnd"/>
      <w:r w:rsidR="0073666E" w:rsidRPr="0073666E">
        <w:rPr>
          <w:lang w:val="de-CH"/>
        </w:rPr>
        <w:t xml:space="preserve"> </w:t>
      </w:r>
      <w:r w:rsidR="0073666E" w:rsidRPr="001477E9">
        <w:t xml:space="preserve">dans les limites de ce budget. Une augmentation de ses ressources financières n’est pour l’heure pas envisagée. </w:t>
      </w:r>
    </w:p>
    <w:p w14:paraId="325E57A0" w14:textId="77777777" w:rsidR="0073666E" w:rsidRPr="0073666E" w:rsidRDefault="001477E9" w:rsidP="001477E9">
      <w:pPr>
        <w:pStyle w:val="SingleTxtG"/>
        <w:rPr>
          <w:lang w:val="de-CH"/>
        </w:rPr>
      </w:pPr>
      <w:r>
        <w:t>25.</w:t>
      </w:r>
      <w:r>
        <w:tab/>
      </w:r>
      <w:r w:rsidR="0073666E" w:rsidRPr="001477E9">
        <w:t>La CNPT émet chaque année des recommandations, notamment dans les domaines suivants</w:t>
      </w:r>
      <w:r w:rsidR="00222D58">
        <w:t> </w:t>
      </w:r>
      <w:r w:rsidR="0073666E" w:rsidRPr="001477E9">
        <w:t>: conditions matérielles</w:t>
      </w:r>
      <w:r w:rsidR="0073666E" w:rsidRPr="0073666E">
        <w:rPr>
          <w:lang w:val="de-CH"/>
        </w:rPr>
        <w:t xml:space="preserve"> de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éclairage</w:t>
      </w:r>
      <w:proofErr w:type="spellEnd"/>
      <w:r w:rsidR="0073666E" w:rsidRPr="0073666E">
        <w:rPr>
          <w:lang w:val="de-CH"/>
        </w:rPr>
        <w:t xml:space="preserve"> des </w:t>
      </w:r>
      <w:proofErr w:type="spellStart"/>
      <w:r w:rsidR="0073666E" w:rsidRPr="0073666E">
        <w:rPr>
          <w:lang w:val="de-CH"/>
        </w:rPr>
        <w:t>cellules</w:t>
      </w:r>
      <w:proofErr w:type="spellEnd"/>
      <w:r w:rsidR="0073666E" w:rsidRPr="0073666E">
        <w:rPr>
          <w:lang w:val="de-CH"/>
        </w:rPr>
        <w:t xml:space="preserve">, </w:t>
      </w:r>
      <w:proofErr w:type="spellStart"/>
      <w:r w:rsidR="0073666E" w:rsidRPr="0073666E">
        <w:rPr>
          <w:lang w:val="de-CH"/>
        </w:rPr>
        <w:t>repas</w:t>
      </w:r>
      <w:proofErr w:type="spellEnd"/>
      <w:r w:rsidR="0073666E" w:rsidRPr="0073666E">
        <w:rPr>
          <w:lang w:val="de-CH"/>
        </w:rPr>
        <w:t xml:space="preserve">, </w:t>
      </w:r>
      <w:proofErr w:type="spellStart"/>
      <w:r w:rsidR="0073666E" w:rsidRPr="0073666E">
        <w:rPr>
          <w:lang w:val="de-CH"/>
        </w:rPr>
        <w:t>promenade</w:t>
      </w:r>
      <w:proofErr w:type="spellEnd"/>
      <w:r w:rsidR="0073666E" w:rsidRPr="0073666E">
        <w:rPr>
          <w:lang w:val="de-CH"/>
        </w:rPr>
        <w:t xml:space="preserve">), </w:t>
      </w:r>
      <w:proofErr w:type="spellStart"/>
      <w:r w:rsidR="0073666E" w:rsidRPr="0073666E">
        <w:rPr>
          <w:lang w:val="de-CH"/>
        </w:rPr>
        <w:t>fouilles</w:t>
      </w:r>
      <w:proofErr w:type="spellEnd"/>
      <w:r w:rsidR="0073666E" w:rsidRPr="0073666E">
        <w:rPr>
          <w:lang w:val="de-CH"/>
        </w:rPr>
        <w:t xml:space="preserve"> </w:t>
      </w:r>
      <w:proofErr w:type="spellStart"/>
      <w:r w:rsidR="0073666E" w:rsidRPr="0073666E">
        <w:rPr>
          <w:lang w:val="de-CH"/>
        </w:rPr>
        <w:t>corporelles</w:t>
      </w:r>
      <w:proofErr w:type="spellEnd"/>
      <w:r w:rsidR="000A0B7E">
        <w:rPr>
          <w:lang w:val="de-CH"/>
        </w:rPr>
        <w:t> </w:t>
      </w:r>
      <w:r w:rsidR="0073666E" w:rsidRPr="0073666E">
        <w:rPr>
          <w:lang w:val="de-CH"/>
        </w:rPr>
        <w:t xml:space="preserve">; </w:t>
      </w:r>
      <w:proofErr w:type="spellStart"/>
      <w:r w:rsidR="0073666E" w:rsidRPr="0073666E">
        <w:rPr>
          <w:lang w:val="de-CH"/>
        </w:rPr>
        <w:t>visites</w:t>
      </w:r>
      <w:proofErr w:type="spellEnd"/>
      <w:r w:rsidR="0073666E" w:rsidRPr="0073666E">
        <w:rPr>
          <w:lang w:val="de-CH"/>
        </w:rPr>
        <w:t xml:space="preserve"> de </w:t>
      </w:r>
      <w:proofErr w:type="spellStart"/>
      <w:r w:rsidR="0073666E" w:rsidRPr="0073666E">
        <w:rPr>
          <w:lang w:val="de-CH"/>
        </w:rPr>
        <w:t>proches</w:t>
      </w:r>
      <w:proofErr w:type="spellEnd"/>
      <w:r w:rsidR="0073666E" w:rsidRPr="0073666E">
        <w:rPr>
          <w:lang w:val="de-CH"/>
        </w:rPr>
        <w:t xml:space="preserve">, de </w:t>
      </w:r>
      <w:proofErr w:type="spellStart"/>
      <w:r w:rsidR="0073666E" w:rsidRPr="0073666E">
        <w:rPr>
          <w:lang w:val="de-CH"/>
        </w:rPr>
        <w:t>médecins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conseils</w:t>
      </w:r>
      <w:proofErr w:type="spellEnd"/>
      <w:r w:rsidR="0073666E" w:rsidRPr="0073666E">
        <w:rPr>
          <w:lang w:val="de-CH"/>
        </w:rPr>
        <w:t xml:space="preserve"> </w:t>
      </w:r>
      <w:proofErr w:type="spellStart"/>
      <w:r w:rsidR="0073666E" w:rsidRPr="0073666E">
        <w:rPr>
          <w:lang w:val="de-CH"/>
        </w:rPr>
        <w:t>juridiques</w:t>
      </w:r>
      <w:proofErr w:type="spellEnd"/>
      <w:r w:rsidR="000A0B7E">
        <w:rPr>
          <w:lang w:val="de-CH"/>
        </w:rPr>
        <w:t> </w:t>
      </w:r>
      <w:r w:rsidR="0073666E" w:rsidRPr="0073666E">
        <w:rPr>
          <w:lang w:val="de-CH"/>
        </w:rPr>
        <w:t xml:space="preserve">; </w:t>
      </w:r>
      <w:proofErr w:type="spellStart"/>
      <w:r w:rsidR="0073666E" w:rsidRPr="0073666E">
        <w:rPr>
          <w:lang w:val="de-CH"/>
        </w:rPr>
        <w:t>prise</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w:t>
      </w:r>
      <w:proofErr w:type="spellStart"/>
      <w:r w:rsidR="0073666E" w:rsidRPr="0073666E">
        <w:rPr>
          <w:lang w:val="de-CH"/>
        </w:rPr>
        <w:t>médicale</w:t>
      </w:r>
      <w:proofErr w:type="spellEnd"/>
      <w:r w:rsidR="0073666E" w:rsidRPr="0073666E">
        <w:rPr>
          <w:lang w:val="de-CH"/>
        </w:rPr>
        <w:t xml:space="preserve"> et </w:t>
      </w:r>
      <w:proofErr w:type="spellStart"/>
      <w:r w:rsidR="0073666E" w:rsidRPr="0073666E">
        <w:rPr>
          <w:lang w:val="de-CH"/>
        </w:rPr>
        <w:t>psychiatrique</w:t>
      </w:r>
      <w:proofErr w:type="spellEnd"/>
      <w:r w:rsidR="0073666E" w:rsidRPr="0073666E">
        <w:rPr>
          <w:lang w:val="de-CH"/>
        </w:rPr>
        <w:t xml:space="preserve"> des </w:t>
      </w:r>
      <w:proofErr w:type="spellStart"/>
      <w:r w:rsidR="0073666E" w:rsidRPr="0073666E">
        <w:rPr>
          <w:lang w:val="de-CH"/>
        </w:rPr>
        <w:t>détenus</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des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présentant</w:t>
      </w:r>
      <w:proofErr w:type="spellEnd"/>
      <w:r w:rsidR="0073666E" w:rsidRPr="0073666E">
        <w:rPr>
          <w:lang w:val="de-CH"/>
        </w:rPr>
        <w:t xml:space="preserve"> des </w:t>
      </w:r>
      <w:proofErr w:type="spellStart"/>
      <w:r w:rsidR="0073666E" w:rsidRPr="0073666E">
        <w:rPr>
          <w:lang w:val="de-CH"/>
        </w:rPr>
        <w:t>tendances</w:t>
      </w:r>
      <w:proofErr w:type="spellEnd"/>
      <w:r w:rsidR="0073666E" w:rsidRPr="0073666E">
        <w:rPr>
          <w:lang w:val="de-CH"/>
        </w:rPr>
        <w:t xml:space="preserve"> </w:t>
      </w:r>
      <w:proofErr w:type="spellStart"/>
      <w:r w:rsidR="0073666E" w:rsidRPr="0073666E">
        <w:rPr>
          <w:lang w:val="de-CH"/>
        </w:rPr>
        <w:t>suicidaires</w:t>
      </w:r>
      <w:proofErr w:type="spellEnd"/>
      <w:r w:rsidR="000A0B7E">
        <w:rPr>
          <w:lang w:val="de-CH"/>
        </w:rPr>
        <w:t> </w:t>
      </w:r>
      <w:r w:rsidR="0073666E" w:rsidRPr="0073666E">
        <w:rPr>
          <w:lang w:val="de-CH"/>
        </w:rPr>
        <w:t xml:space="preserve">; </w:t>
      </w:r>
      <w:proofErr w:type="spellStart"/>
      <w:r w:rsidR="0073666E" w:rsidRPr="0073666E">
        <w:rPr>
          <w:lang w:val="de-CH"/>
        </w:rPr>
        <w:t>régime</w:t>
      </w:r>
      <w:proofErr w:type="spellEnd"/>
      <w:r w:rsidR="0073666E" w:rsidRPr="0073666E">
        <w:rPr>
          <w:lang w:val="de-CH"/>
        </w:rPr>
        <w:t xml:space="preserve"> </w:t>
      </w:r>
      <w:proofErr w:type="spellStart"/>
      <w:r w:rsidR="0073666E" w:rsidRPr="0073666E">
        <w:rPr>
          <w:lang w:val="de-CH"/>
        </w:rPr>
        <w:t>disciplinaire</w:t>
      </w:r>
      <w:proofErr w:type="spellEnd"/>
      <w:r w:rsidR="0073666E" w:rsidRPr="0073666E">
        <w:rPr>
          <w:lang w:val="de-CH"/>
        </w:rPr>
        <w:t xml:space="preserve"> (la CNPT </w:t>
      </w:r>
      <w:proofErr w:type="spellStart"/>
      <w:r w:rsidR="0073666E" w:rsidRPr="0073666E">
        <w:rPr>
          <w:lang w:val="de-CH"/>
        </w:rPr>
        <w:t>estime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durée</w:t>
      </w:r>
      <w:proofErr w:type="spellEnd"/>
      <w:r w:rsidR="0073666E" w:rsidRPr="0073666E">
        <w:rPr>
          <w:lang w:val="de-CH"/>
        </w:rPr>
        <w:t xml:space="preserve"> des </w:t>
      </w:r>
      <w:proofErr w:type="spellStart"/>
      <w:r w:rsidR="0073666E" w:rsidRPr="0073666E">
        <w:rPr>
          <w:lang w:val="de-CH"/>
        </w:rPr>
        <w:t>arrêts</w:t>
      </w:r>
      <w:proofErr w:type="spellEnd"/>
      <w:r w:rsidR="0073666E" w:rsidRPr="0073666E">
        <w:rPr>
          <w:lang w:val="de-CH"/>
        </w:rPr>
        <w:t xml:space="preserve"> ne </w:t>
      </w:r>
      <w:proofErr w:type="spellStart"/>
      <w:r w:rsidR="0073666E" w:rsidRPr="0073666E">
        <w:rPr>
          <w:lang w:val="de-CH"/>
        </w:rPr>
        <w:t>devrait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dépasser</w:t>
      </w:r>
      <w:proofErr w:type="spellEnd"/>
      <w:r w:rsidR="0073666E" w:rsidRPr="0073666E">
        <w:rPr>
          <w:lang w:val="de-CH"/>
        </w:rPr>
        <w:t xml:space="preserve"> </w:t>
      </w:r>
      <w:proofErr w:type="spellStart"/>
      <w:r w:rsidR="0073666E" w:rsidRPr="0073666E">
        <w:rPr>
          <w:lang w:val="de-CH"/>
        </w:rPr>
        <w:t>quatorze</w:t>
      </w:r>
      <w:proofErr w:type="spellEnd"/>
      <w:r w:rsidR="0073666E" w:rsidRPr="0073666E">
        <w:rPr>
          <w:lang w:val="de-CH"/>
        </w:rPr>
        <w:t xml:space="preserve"> </w:t>
      </w:r>
      <w:proofErr w:type="spellStart"/>
      <w:r w:rsidR="0073666E" w:rsidRPr="0073666E">
        <w:rPr>
          <w:lang w:val="de-CH"/>
        </w:rPr>
        <w:t>jours</w:t>
      </w:r>
      <w:proofErr w:type="spellEnd"/>
      <w:r w:rsidR="0073666E" w:rsidRPr="0073666E">
        <w:rPr>
          <w:lang w:val="de-CH"/>
        </w:rPr>
        <w:t>)</w:t>
      </w:r>
      <w:r w:rsidR="000A0B7E">
        <w:rPr>
          <w:lang w:val="de-CH"/>
        </w:rPr>
        <w:t> </w:t>
      </w:r>
      <w:r w:rsidR="0073666E" w:rsidRPr="0073666E">
        <w:rPr>
          <w:lang w:val="de-CH"/>
        </w:rPr>
        <w:t xml:space="preserve">; </w:t>
      </w:r>
      <w:proofErr w:type="spellStart"/>
      <w:r w:rsidR="0073666E" w:rsidRPr="0073666E">
        <w:rPr>
          <w:lang w:val="de-CH"/>
        </w:rPr>
        <w:t>séparation</w:t>
      </w:r>
      <w:proofErr w:type="spellEnd"/>
      <w:r w:rsidR="0073666E" w:rsidRPr="0073666E">
        <w:rPr>
          <w:lang w:val="de-CH"/>
        </w:rPr>
        <w:t xml:space="preserve"> des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placées</w:t>
      </w:r>
      <w:proofErr w:type="spellEnd"/>
      <w:r w:rsidR="0073666E" w:rsidRPr="0073666E">
        <w:rPr>
          <w:lang w:val="de-CH"/>
        </w:rPr>
        <w:t xml:space="preserve"> en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provisoire</w:t>
      </w:r>
      <w:proofErr w:type="spellEnd"/>
      <w:r w:rsidR="0073666E" w:rsidRPr="0073666E">
        <w:rPr>
          <w:lang w:val="de-CH"/>
        </w:rPr>
        <w:t xml:space="preserve">, en </w:t>
      </w:r>
      <w:proofErr w:type="spellStart"/>
      <w:r w:rsidR="0073666E" w:rsidRPr="0073666E">
        <w:rPr>
          <w:lang w:val="de-CH"/>
        </w:rPr>
        <w:t>exécution</w:t>
      </w:r>
      <w:proofErr w:type="spellEnd"/>
      <w:r w:rsidR="0073666E" w:rsidRPr="0073666E">
        <w:rPr>
          <w:lang w:val="de-CH"/>
        </w:rPr>
        <w:t xml:space="preserve"> de </w:t>
      </w:r>
      <w:proofErr w:type="spellStart"/>
      <w:r w:rsidR="0073666E" w:rsidRPr="0073666E">
        <w:rPr>
          <w:lang w:val="de-CH"/>
        </w:rPr>
        <w:t>peine</w:t>
      </w:r>
      <w:proofErr w:type="spellEnd"/>
      <w:r w:rsidR="0073666E" w:rsidRPr="0073666E">
        <w:rPr>
          <w:lang w:val="de-CH"/>
        </w:rPr>
        <w:t xml:space="preserve">, en </w:t>
      </w:r>
      <w:proofErr w:type="spellStart"/>
      <w:r w:rsidR="0073666E" w:rsidRPr="0073666E">
        <w:rPr>
          <w:lang w:val="de-CH"/>
        </w:rPr>
        <w:t>détention</w:t>
      </w:r>
      <w:proofErr w:type="spellEnd"/>
      <w:r w:rsidR="0073666E" w:rsidRPr="0073666E">
        <w:rPr>
          <w:lang w:val="de-CH"/>
        </w:rPr>
        <w:t xml:space="preserve"> administrative en </w:t>
      </w:r>
      <w:proofErr w:type="spellStart"/>
      <w:r w:rsidR="0073666E" w:rsidRPr="0073666E">
        <w:rPr>
          <w:lang w:val="de-CH"/>
        </w:rPr>
        <w:t>application</w:t>
      </w:r>
      <w:proofErr w:type="spellEnd"/>
      <w:r w:rsidR="0073666E" w:rsidRPr="0073666E">
        <w:rPr>
          <w:lang w:val="de-CH"/>
        </w:rPr>
        <w:t xml:space="preserve"> du </w:t>
      </w:r>
      <w:proofErr w:type="spellStart"/>
      <w:r w:rsidR="0073666E" w:rsidRPr="0073666E">
        <w:rPr>
          <w:lang w:val="de-CH"/>
        </w:rPr>
        <w:t>droit</w:t>
      </w:r>
      <w:proofErr w:type="spellEnd"/>
      <w:r w:rsidR="0073666E" w:rsidRPr="0073666E">
        <w:rPr>
          <w:lang w:val="de-CH"/>
        </w:rPr>
        <w:t xml:space="preserve"> des </w:t>
      </w:r>
      <w:proofErr w:type="spellStart"/>
      <w:r w:rsidR="0073666E" w:rsidRPr="0073666E">
        <w:rPr>
          <w:lang w:val="de-CH"/>
        </w:rPr>
        <w:t>étrangers</w:t>
      </w:r>
      <w:proofErr w:type="spellEnd"/>
      <w:r w:rsidR="0073666E" w:rsidRPr="0073666E">
        <w:rPr>
          <w:lang w:val="de-CH"/>
        </w:rPr>
        <w:t xml:space="preserve"> et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section</w:t>
      </w:r>
      <w:proofErr w:type="spellEnd"/>
      <w:r w:rsidR="0073666E" w:rsidRPr="0073666E">
        <w:rPr>
          <w:lang w:val="de-CH"/>
        </w:rPr>
        <w:t xml:space="preserve"> de haute </w:t>
      </w:r>
      <w:proofErr w:type="spellStart"/>
      <w:r w:rsidR="0073666E" w:rsidRPr="0073666E">
        <w:rPr>
          <w:lang w:val="de-CH"/>
        </w:rPr>
        <w:t>sécurité</w:t>
      </w:r>
      <w:proofErr w:type="spellEnd"/>
      <w:r w:rsidR="0073666E" w:rsidRPr="0073666E">
        <w:rPr>
          <w:lang w:val="de-CH"/>
        </w:rPr>
        <w:t xml:space="preserve">. </w:t>
      </w:r>
      <w:r w:rsidR="002B6ED6">
        <w:rPr>
          <w:lang w:val="de-CH"/>
        </w:rPr>
        <w:t>À</w:t>
      </w:r>
      <w:r w:rsidR="0073666E" w:rsidRPr="0073666E">
        <w:rPr>
          <w:lang w:val="de-CH"/>
        </w:rPr>
        <w:t xml:space="preserve"> </w:t>
      </w:r>
      <w:proofErr w:type="spellStart"/>
      <w:r w:rsidR="0073666E" w:rsidRPr="0073666E">
        <w:rPr>
          <w:lang w:val="de-CH"/>
        </w:rPr>
        <w:t>cet</w:t>
      </w:r>
      <w:proofErr w:type="spellEnd"/>
      <w:r w:rsidR="0073666E" w:rsidRPr="0073666E">
        <w:rPr>
          <w:lang w:val="de-CH"/>
        </w:rPr>
        <w:t xml:space="preserve"> </w:t>
      </w:r>
      <w:proofErr w:type="spellStart"/>
      <w:r w:rsidR="0073666E" w:rsidRPr="0073666E">
        <w:rPr>
          <w:lang w:val="de-CH"/>
        </w:rPr>
        <w:t>égard</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utile</w:t>
      </w:r>
      <w:proofErr w:type="spellEnd"/>
      <w:r w:rsidR="0073666E" w:rsidRPr="0073666E">
        <w:rPr>
          <w:lang w:val="de-CH"/>
        </w:rPr>
        <w:t xml:space="preserve"> de </w:t>
      </w:r>
      <w:proofErr w:type="spellStart"/>
      <w:r w:rsidR="0073666E" w:rsidRPr="0073666E">
        <w:rPr>
          <w:lang w:val="de-CH"/>
        </w:rPr>
        <w:t>préciser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selon</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123, al. 2, de la </w:t>
      </w:r>
      <w:proofErr w:type="spellStart"/>
      <w:r w:rsidR="0073666E" w:rsidRPr="0073666E">
        <w:rPr>
          <w:lang w:val="de-CH"/>
        </w:rPr>
        <w:t>Constitution</w:t>
      </w:r>
      <w:proofErr w:type="spellEnd"/>
      <w:r w:rsidR="0073666E" w:rsidRPr="0073666E">
        <w:rPr>
          <w:lang w:val="de-CH"/>
        </w:rPr>
        <w:t xml:space="preserve"> </w:t>
      </w:r>
      <w:proofErr w:type="spellStart"/>
      <w:r w:rsidR="0073666E" w:rsidRPr="0073666E">
        <w:rPr>
          <w:lang w:val="de-CH"/>
        </w:rPr>
        <w:t>fédérale</w:t>
      </w:r>
      <w:proofErr w:type="spellEnd"/>
      <w:r w:rsidR="0073666E" w:rsidRPr="0073666E">
        <w:rPr>
          <w:lang w:val="de-CH"/>
        </w:rPr>
        <w:t xml:space="preserve"> (</w:t>
      </w:r>
      <w:proofErr w:type="spellStart"/>
      <w:r w:rsidR="0073666E" w:rsidRPr="0073666E">
        <w:rPr>
          <w:lang w:val="de-CH"/>
        </w:rPr>
        <w:t>Cst</w:t>
      </w:r>
      <w:proofErr w:type="spellEnd"/>
      <w:r w:rsidR="0073666E" w:rsidRPr="0073666E">
        <w:rPr>
          <w:lang w:val="de-CH"/>
        </w:rPr>
        <w:t xml:space="preserve">.), </w:t>
      </w:r>
      <w:proofErr w:type="spellStart"/>
      <w:r w:rsidR="0073666E" w:rsidRPr="0073666E">
        <w:rPr>
          <w:lang w:val="de-CH"/>
        </w:rPr>
        <w:t>l’exécution</w:t>
      </w:r>
      <w:proofErr w:type="spellEnd"/>
      <w:r w:rsidR="0073666E" w:rsidRPr="0073666E">
        <w:rPr>
          <w:lang w:val="de-CH"/>
        </w:rPr>
        <w:t xml:space="preserve"> des </w:t>
      </w:r>
      <w:proofErr w:type="spellStart"/>
      <w:r w:rsidR="0073666E" w:rsidRPr="0073666E">
        <w:rPr>
          <w:lang w:val="de-CH"/>
        </w:rPr>
        <w:t>peines</w:t>
      </w:r>
      <w:proofErr w:type="spellEnd"/>
      <w:r w:rsidR="0073666E" w:rsidRPr="0073666E">
        <w:rPr>
          <w:lang w:val="de-CH"/>
        </w:rPr>
        <w:t xml:space="preserve"> et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ressortit</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Il</w:t>
      </w:r>
      <w:r w:rsidR="002B6ED6">
        <w:rPr>
          <w:lang w:val="de-CH"/>
        </w:rPr>
        <w:t> </w:t>
      </w:r>
      <w:r w:rsidR="0073666E" w:rsidRPr="0073666E">
        <w:rPr>
          <w:lang w:val="de-CH"/>
        </w:rPr>
        <w:t xml:space="preserve">en </w:t>
      </w:r>
      <w:proofErr w:type="spellStart"/>
      <w:r w:rsidR="0073666E" w:rsidRPr="0073666E">
        <w:rPr>
          <w:lang w:val="de-CH"/>
        </w:rPr>
        <w:t>va</w:t>
      </w:r>
      <w:proofErr w:type="spellEnd"/>
      <w:r w:rsidR="0073666E" w:rsidRPr="0073666E">
        <w:rPr>
          <w:lang w:val="de-CH"/>
        </w:rPr>
        <w:t xml:space="preserve"> de </w:t>
      </w:r>
      <w:proofErr w:type="spellStart"/>
      <w:r w:rsidR="0073666E" w:rsidRPr="0073666E">
        <w:rPr>
          <w:lang w:val="de-CH"/>
        </w:rPr>
        <w:t>même</w:t>
      </w:r>
      <w:proofErr w:type="spellEnd"/>
      <w:r w:rsidR="0073666E" w:rsidRPr="0073666E">
        <w:rPr>
          <w:lang w:val="de-CH"/>
        </w:rPr>
        <w:t xml:space="preserve"> en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concerne</w:t>
      </w:r>
      <w:proofErr w:type="spellEnd"/>
      <w:r w:rsidR="0073666E" w:rsidRPr="0073666E">
        <w:rPr>
          <w:lang w:val="de-CH"/>
        </w:rPr>
        <w:t xml:space="preserve"> la </w:t>
      </w:r>
      <w:proofErr w:type="spellStart"/>
      <w:r w:rsidR="0073666E" w:rsidRPr="0073666E">
        <w:rPr>
          <w:lang w:val="de-CH"/>
        </w:rPr>
        <w:t>détention</w:t>
      </w:r>
      <w:proofErr w:type="spellEnd"/>
      <w:r w:rsidR="0073666E" w:rsidRPr="0073666E">
        <w:rPr>
          <w:lang w:val="de-CH"/>
        </w:rPr>
        <w:t xml:space="preserve"> administrative (art. 80, al. 1, de la </w:t>
      </w:r>
      <w:proofErr w:type="spellStart"/>
      <w:r w:rsidR="0073666E" w:rsidRPr="0073666E">
        <w:rPr>
          <w:lang w:val="de-CH"/>
        </w:rPr>
        <w:t>loi</w:t>
      </w:r>
      <w:proofErr w:type="spellEnd"/>
      <w:r w:rsidR="0073666E" w:rsidRPr="0073666E">
        <w:rPr>
          <w:lang w:val="de-CH"/>
        </w:rPr>
        <w:t xml:space="preserve"> </w:t>
      </w:r>
      <w:proofErr w:type="spellStart"/>
      <w:r w:rsidR="0073666E" w:rsidRPr="0073666E">
        <w:rPr>
          <w:lang w:val="de-CH"/>
        </w:rPr>
        <w:t>fédérale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étrangers</w:t>
      </w:r>
      <w:proofErr w:type="spellEnd"/>
      <w:r w:rsidR="0073666E" w:rsidRPr="0073666E">
        <w:rPr>
          <w:lang w:val="de-CH"/>
        </w:rPr>
        <w:t xml:space="preserve"> et </w:t>
      </w:r>
      <w:proofErr w:type="spellStart"/>
      <w:r w:rsidR="0073666E" w:rsidRPr="0073666E">
        <w:rPr>
          <w:lang w:val="de-CH"/>
        </w:rPr>
        <w:t>l’intégration</w:t>
      </w:r>
      <w:proofErr w:type="spellEnd"/>
      <w:r w:rsidR="0073666E" w:rsidRPr="0073666E">
        <w:rPr>
          <w:lang w:val="de-CH"/>
        </w:rPr>
        <w:t xml:space="preserve"> [LEI]). Il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de la </w:t>
      </w:r>
      <w:proofErr w:type="spellStart"/>
      <w:r w:rsidR="0073666E" w:rsidRPr="0073666E">
        <w:rPr>
          <w:lang w:val="de-CH"/>
        </w:rPr>
        <w:t>responsabilité</w:t>
      </w:r>
      <w:proofErr w:type="spellEnd"/>
      <w:r w:rsidR="0073666E" w:rsidRPr="0073666E">
        <w:rPr>
          <w:lang w:val="de-CH"/>
        </w:rPr>
        <w:t xml:space="preserve"> des </w:t>
      </w:r>
      <w:proofErr w:type="spellStart"/>
      <w:r w:rsidR="0073666E" w:rsidRPr="0073666E">
        <w:rPr>
          <w:lang w:val="de-CH"/>
        </w:rPr>
        <w:t>cantons</w:t>
      </w:r>
      <w:proofErr w:type="spellEnd"/>
      <w:r w:rsidR="0073666E" w:rsidRPr="0073666E">
        <w:rPr>
          <w:lang w:val="de-CH"/>
        </w:rPr>
        <w:t xml:space="preserve"> de </w:t>
      </w:r>
      <w:proofErr w:type="spellStart"/>
      <w:r w:rsidR="0073666E" w:rsidRPr="0073666E">
        <w:rPr>
          <w:lang w:val="de-CH"/>
        </w:rPr>
        <w:t>mettre</w:t>
      </w:r>
      <w:proofErr w:type="spellEnd"/>
      <w:r w:rsidR="0073666E" w:rsidRPr="0073666E">
        <w:rPr>
          <w:lang w:val="de-CH"/>
        </w:rPr>
        <w:t xml:space="preserve"> en </w:t>
      </w:r>
      <w:proofErr w:type="spellStart"/>
      <w:r w:rsidR="0073666E" w:rsidRPr="0073666E">
        <w:rPr>
          <w:lang w:val="de-CH"/>
        </w:rPr>
        <w:t>œuvre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recommandations</w:t>
      </w:r>
      <w:proofErr w:type="spellEnd"/>
      <w:r w:rsidR="0073666E" w:rsidRPr="0073666E">
        <w:rPr>
          <w:lang w:val="de-CH"/>
        </w:rPr>
        <w:t xml:space="preserve"> de la CNPT. </w:t>
      </w:r>
    </w:p>
    <w:p w14:paraId="68546A3E" w14:textId="77777777" w:rsidR="0073666E" w:rsidRPr="0073666E" w:rsidRDefault="001477E9" w:rsidP="001477E9">
      <w:pPr>
        <w:pStyle w:val="SingleTxtG"/>
        <w:rPr>
          <w:lang w:val="de-CH"/>
        </w:rPr>
      </w:pPr>
      <w:r>
        <w:t>26.</w:t>
      </w:r>
      <w:r>
        <w:tab/>
      </w:r>
      <w:r w:rsidR="0073666E" w:rsidRPr="0073666E">
        <w:t xml:space="preserve">Dans ce contexte, il convient cependant de préciser qu’il a été décidé, en 2013, de créer un Centre suisse de compétences en matière d’exécution des sanctions pénales (CSCSP), lequel a officiellement commencé ses activités en août 2018. Le CSCSP a pour but d’appuyer la Conférence des directrices et directeurs des départements cantonaux de justice et police (CCDJP), les cantons et les Concordats </w:t>
      </w:r>
      <w:proofErr w:type="spellStart"/>
      <w:r w:rsidR="0073666E" w:rsidRPr="0073666E">
        <w:t>inter-cantonaux</w:t>
      </w:r>
      <w:proofErr w:type="spellEnd"/>
      <w:r w:rsidR="0073666E" w:rsidRPr="0073666E">
        <w:t xml:space="preserve"> d’exécution des peines et mesures en matière </w:t>
      </w:r>
      <w:r w:rsidR="0073666E" w:rsidRPr="001477E9">
        <w:t>de</w:t>
      </w:r>
      <w:r w:rsidR="0073666E" w:rsidRPr="0073666E">
        <w:t xml:space="preserve"> planification stratégique et de développement de l’exécution des sanctions pénales en Suisse. </w:t>
      </w:r>
      <w:r w:rsidR="0073666E" w:rsidRPr="0073666E">
        <w:rPr>
          <w:lang w:val="de-CH"/>
        </w:rPr>
        <w:t xml:space="preserve">Il </w:t>
      </w:r>
      <w:proofErr w:type="spellStart"/>
      <w:r w:rsidR="0073666E" w:rsidRPr="0073666E">
        <w:rPr>
          <w:lang w:val="de-CH"/>
        </w:rPr>
        <w:t>vise</w:t>
      </w:r>
      <w:proofErr w:type="spellEnd"/>
      <w:r w:rsidR="0073666E" w:rsidRPr="0073666E">
        <w:rPr>
          <w:lang w:val="de-CH"/>
        </w:rPr>
        <w:t xml:space="preserve"> à </w:t>
      </w:r>
      <w:proofErr w:type="spellStart"/>
      <w:r w:rsidR="0073666E" w:rsidRPr="0073666E">
        <w:rPr>
          <w:lang w:val="de-CH"/>
        </w:rPr>
        <w:t>harmoniser</w:t>
      </w:r>
      <w:proofErr w:type="spellEnd"/>
      <w:r w:rsidR="0073666E" w:rsidRPr="0073666E">
        <w:rPr>
          <w:lang w:val="de-CH"/>
        </w:rPr>
        <w:t xml:space="preserve"> la </w:t>
      </w:r>
      <w:proofErr w:type="spellStart"/>
      <w:r w:rsidR="0073666E" w:rsidRPr="0073666E">
        <w:rPr>
          <w:lang w:val="de-CH"/>
        </w:rPr>
        <w:t>pratique</w:t>
      </w:r>
      <w:proofErr w:type="spellEnd"/>
      <w:r w:rsidR="0073666E" w:rsidRPr="0073666E">
        <w:rPr>
          <w:lang w:val="de-CH"/>
        </w:rPr>
        <w:t xml:space="preserve"> au sein des </w:t>
      </w:r>
      <w:proofErr w:type="spellStart"/>
      <w:r w:rsidR="0073666E" w:rsidRPr="0073666E">
        <w:rPr>
          <w:lang w:val="de-CH"/>
        </w:rPr>
        <w:t>cantons</w:t>
      </w:r>
      <w:proofErr w:type="spellEnd"/>
      <w:r w:rsidR="0073666E" w:rsidRPr="0073666E">
        <w:rPr>
          <w:lang w:val="de-CH"/>
        </w:rPr>
        <w:t xml:space="preserve"> et des </w:t>
      </w:r>
      <w:proofErr w:type="spellStart"/>
      <w:r w:rsidR="0073666E" w:rsidRPr="0073666E">
        <w:rPr>
          <w:lang w:val="de-CH"/>
        </w:rPr>
        <w:t>Concordats</w:t>
      </w:r>
      <w:proofErr w:type="spellEnd"/>
      <w:r w:rsidR="0073666E" w:rsidRPr="0073666E">
        <w:rPr>
          <w:lang w:val="de-CH"/>
        </w:rPr>
        <w:t xml:space="preserve"> </w:t>
      </w:r>
      <w:proofErr w:type="spellStart"/>
      <w:r w:rsidR="0073666E" w:rsidRPr="0073666E">
        <w:rPr>
          <w:lang w:val="de-CH"/>
        </w:rPr>
        <w:t>afin</w:t>
      </w:r>
      <w:proofErr w:type="spellEnd"/>
      <w:r w:rsidR="0073666E" w:rsidRPr="0073666E">
        <w:rPr>
          <w:lang w:val="de-CH"/>
        </w:rPr>
        <w:t xml:space="preserve"> </w:t>
      </w:r>
      <w:proofErr w:type="spellStart"/>
      <w:r w:rsidR="0073666E" w:rsidRPr="0073666E">
        <w:rPr>
          <w:lang w:val="de-CH"/>
        </w:rPr>
        <w:t>d’assurer</w:t>
      </w:r>
      <w:proofErr w:type="spellEnd"/>
      <w:r w:rsidR="0073666E" w:rsidRPr="0073666E">
        <w:rPr>
          <w:lang w:val="de-CH"/>
        </w:rPr>
        <w:t xml:space="preserve"> des </w:t>
      </w:r>
      <w:proofErr w:type="spellStart"/>
      <w:r w:rsidR="0073666E" w:rsidRPr="0073666E">
        <w:rPr>
          <w:lang w:val="de-CH"/>
        </w:rPr>
        <w:t>standards</w:t>
      </w:r>
      <w:proofErr w:type="spellEnd"/>
      <w:r w:rsidR="0073666E" w:rsidRPr="0073666E">
        <w:rPr>
          <w:lang w:val="de-CH"/>
        </w:rPr>
        <w:t xml:space="preserve"> </w:t>
      </w:r>
      <w:proofErr w:type="spellStart"/>
      <w:r w:rsidR="0073666E" w:rsidRPr="0073666E">
        <w:rPr>
          <w:lang w:val="de-CH"/>
        </w:rPr>
        <w:t>minimaux</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domaine</w:t>
      </w:r>
      <w:proofErr w:type="spellEnd"/>
      <w:r w:rsidR="0073666E" w:rsidRPr="0073666E">
        <w:rPr>
          <w:lang w:val="de-CH"/>
        </w:rPr>
        <w:t xml:space="preserve"> de </w:t>
      </w:r>
      <w:proofErr w:type="spellStart"/>
      <w:r w:rsidR="0073666E" w:rsidRPr="0073666E">
        <w:rPr>
          <w:lang w:val="de-CH"/>
        </w:rPr>
        <w:t>l’exécution</w:t>
      </w:r>
      <w:proofErr w:type="spellEnd"/>
      <w:r w:rsidR="0073666E" w:rsidRPr="0073666E">
        <w:rPr>
          <w:lang w:val="de-CH"/>
        </w:rPr>
        <w:t xml:space="preserve"> des </w:t>
      </w:r>
      <w:proofErr w:type="spellStart"/>
      <w:r w:rsidR="0073666E" w:rsidRPr="0073666E">
        <w:rPr>
          <w:lang w:val="de-CH"/>
        </w:rPr>
        <w:t>sanctions</w:t>
      </w:r>
      <w:proofErr w:type="spellEnd"/>
      <w:r w:rsidR="0073666E" w:rsidRPr="0073666E">
        <w:rPr>
          <w:lang w:val="de-CH"/>
        </w:rPr>
        <w:t xml:space="preserve"> </w:t>
      </w:r>
      <w:proofErr w:type="spellStart"/>
      <w:r w:rsidR="0073666E" w:rsidRPr="0073666E">
        <w:rPr>
          <w:lang w:val="de-CH"/>
        </w:rPr>
        <w:t>pénales</w:t>
      </w:r>
      <w:proofErr w:type="spellEnd"/>
      <w:r w:rsidR="0073666E" w:rsidRPr="0073666E">
        <w:rPr>
          <w:lang w:val="de-CH"/>
        </w:rPr>
        <w:t xml:space="preserve"> au </w:t>
      </w:r>
      <w:proofErr w:type="spellStart"/>
      <w:r w:rsidR="0073666E" w:rsidRPr="0073666E">
        <w:rPr>
          <w:lang w:val="de-CH"/>
        </w:rPr>
        <w:t>niveau</w:t>
      </w:r>
      <w:proofErr w:type="spellEnd"/>
      <w:r w:rsidR="0073666E" w:rsidRPr="0073666E">
        <w:rPr>
          <w:lang w:val="de-CH"/>
        </w:rPr>
        <w:t xml:space="preserve"> national. </w:t>
      </w:r>
      <w:r w:rsidR="002B6ED6">
        <w:rPr>
          <w:lang w:val="de-CH"/>
        </w:rPr>
        <w:t>À</w:t>
      </w:r>
      <w:r w:rsidR="0073666E" w:rsidRPr="0073666E">
        <w:rPr>
          <w:lang w:val="de-CH"/>
        </w:rPr>
        <w:t xml:space="preserve"> </w:t>
      </w:r>
      <w:proofErr w:type="spellStart"/>
      <w:r w:rsidR="0073666E" w:rsidRPr="0073666E">
        <w:rPr>
          <w:lang w:val="de-CH"/>
        </w:rPr>
        <w:t>titre</w:t>
      </w:r>
      <w:proofErr w:type="spellEnd"/>
      <w:r w:rsidR="0073666E" w:rsidRPr="0073666E">
        <w:rPr>
          <w:lang w:val="de-CH"/>
        </w:rPr>
        <w:t xml:space="preserve"> </w:t>
      </w:r>
      <w:proofErr w:type="spellStart"/>
      <w:r w:rsidR="0073666E" w:rsidRPr="0073666E">
        <w:rPr>
          <w:lang w:val="de-CH"/>
        </w:rPr>
        <w:t>d’exemple</w:t>
      </w:r>
      <w:proofErr w:type="spellEnd"/>
      <w:r w:rsidR="0073666E" w:rsidRPr="0073666E">
        <w:rPr>
          <w:lang w:val="de-CH"/>
        </w:rPr>
        <w:t xml:space="preserve">, le CSCSP </w:t>
      </w:r>
      <w:proofErr w:type="spellStart"/>
      <w:r w:rsidR="0073666E" w:rsidRPr="0073666E">
        <w:rPr>
          <w:lang w:val="de-CH"/>
        </w:rPr>
        <w:t>développe</w:t>
      </w:r>
      <w:proofErr w:type="spellEnd"/>
      <w:r w:rsidR="0073666E" w:rsidRPr="0073666E">
        <w:rPr>
          <w:lang w:val="de-CH"/>
        </w:rPr>
        <w:t xml:space="preserve"> </w:t>
      </w:r>
      <w:proofErr w:type="spellStart"/>
      <w:r w:rsidR="0073666E" w:rsidRPr="0073666E">
        <w:rPr>
          <w:lang w:val="de-CH"/>
        </w:rPr>
        <w:t>actuellement</w:t>
      </w:r>
      <w:proofErr w:type="spellEnd"/>
      <w:r w:rsidR="0073666E" w:rsidRPr="0073666E">
        <w:rPr>
          <w:lang w:val="de-CH"/>
        </w:rPr>
        <w:t xml:space="preserve"> des </w:t>
      </w:r>
      <w:proofErr w:type="spellStart"/>
      <w:r w:rsidR="0073666E" w:rsidRPr="0073666E">
        <w:rPr>
          <w:lang w:val="de-CH"/>
        </w:rPr>
        <w:t>standards</w:t>
      </w:r>
      <w:proofErr w:type="spellEnd"/>
      <w:r w:rsidR="0073666E" w:rsidRPr="0073666E">
        <w:rPr>
          <w:lang w:val="de-CH"/>
        </w:rPr>
        <w:t xml:space="preserve"> </w:t>
      </w:r>
      <w:proofErr w:type="spellStart"/>
      <w:r w:rsidR="0073666E" w:rsidRPr="0073666E">
        <w:rPr>
          <w:lang w:val="de-CH"/>
        </w:rPr>
        <w:t>minimaux</w:t>
      </w:r>
      <w:proofErr w:type="spellEnd"/>
      <w:r w:rsidR="0073666E" w:rsidRPr="0073666E">
        <w:rPr>
          <w:lang w:val="de-CH"/>
        </w:rPr>
        <w:t xml:space="preserve"> </w:t>
      </w:r>
      <w:proofErr w:type="spellStart"/>
      <w:r w:rsidR="0073666E" w:rsidRPr="0073666E">
        <w:rPr>
          <w:lang w:val="de-CH"/>
        </w:rPr>
        <w:t>concernant</w:t>
      </w:r>
      <w:proofErr w:type="spellEnd"/>
      <w:r w:rsidR="0073666E" w:rsidRPr="0073666E">
        <w:rPr>
          <w:lang w:val="de-CH"/>
        </w:rPr>
        <w:t xml:space="preserve"> la </w:t>
      </w:r>
      <w:proofErr w:type="spellStart"/>
      <w:r w:rsidR="0073666E" w:rsidRPr="0073666E">
        <w:rPr>
          <w:lang w:val="de-CH"/>
        </w:rPr>
        <w:t>prise</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w:t>
      </w:r>
      <w:proofErr w:type="spellStart"/>
      <w:r w:rsidR="0073666E" w:rsidRPr="0073666E">
        <w:rPr>
          <w:lang w:val="de-CH"/>
        </w:rPr>
        <w:t>psychiatrique</w:t>
      </w:r>
      <w:proofErr w:type="spellEnd"/>
      <w:r w:rsidR="0073666E" w:rsidRPr="0073666E">
        <w:rPr>
          <w:lang w:val="de-CH"/>
        </w:rPr>
        <w:t xml:space="preserve"> des </w:t>
      </w:r>
      <w:proofErr w:type="spellStart"/>
      <w:r w:rsidR="0073666E" w:rsidRPr="0073666E">
        <w:rPr>
          <w:lang w:val="de-CH"/>
        </w:rPr>
        <w:t>détenus</w:t>
      </w:r>
      <w:proofErr w:type="spellEnd"/>
      <w:r w:rsidR="0073666E" w:rsidRPr="0073666E">
        <w:rPr>
          <w:lang w:val="de-CH"/>
        </w:rPr>
        <w:t xml:space="preserve"> </w:t>
      </w:r>
      <w:proofErr w:type="spellStart"/>
      <w:r w:rsidR="0073666E" w:rsidRPr="0073666E">
        <w:rPr>
          <w:lang w:val="de-CH"/>
        </w:rPr>
        <w:t>atteints</w:t>
      </w:r>
      <w:proofErr w:type="spellEnd"/>
      <w:r w:rsidR="0073666E" w:rsidRPr="0073666E">
        <w:rPr>
          <w:lang w:val="de-CH"/>
        </w:rPr>
        <w:t xml:space="preserve"> de </w:t>
      </w:r>
      <w:proofErr w:type="spellStart"/>
      <w:r w:rsidR="0073666E" w:rsidRPr="0073666E">
        <w:rPr>
          <w:lang w:val="de-CH"/>
        </w:rPr>
        <w:t>troubles</w:t>
      </w:r>
      <w:proofErr w:type="spellEnd"/>
      <w:r w:rsidR="0073666E" w:rsidRPr="0073666E">
        <w:rPr>
          <w:lang w:val="de-CH"/>
        </w:rPr>
        <w:t xml:space="preserve"> </w:t>
      </w:r>
      <w:proofErr w:type="spellStart"/>
      <w:r w:rsidR="0073666E" w:rsidRPr="0073666E">
        <w:rPr>
          <w:lang w:val="de-CH"/>
        </w:rPr>
        <w:t>psychiques</w:t>
      </w:r>
      <w:proofErr w:type="spellEnd"/>
      <w:r w:rsidR="0073666E" w:rsidRPr="0073666E">
        <w:rPr>
          <w:lang w:val="de-CH"/>
        </w:rPr>
        <w:t xml:space="preserve"> en Suisse,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w:t>
      </w:r>
      <w:proofErr w:type="spellStart"/>
      <w:r w:rsidR="0073666E" w:rsidRPr="0073666E">
        <w:rPr>
          <w:lang w:val="de-CH"/>
        </w:rPr>
        <w:t>afin</w:t>
      </w:r>
      <w:proofErr w:type="spellEnd"/>
      <w:r w:rsidR="0073666E" w:rsidRPr="0073666E">
        <w:rPr>
          <w:lang w:val="de-CH"/>
        </w:rPr>
        <w:t xml:space="preserve"> de </w:t>
      </w:r>
      <w:proofErr w:type="spellStart"/>
      <w:r w:rsidR="0073666E" w:rsidRPr="0073666E">
        <w:rPr>
          <w:lang w:val="de-CH"/>
        </w:rPr>
        <w:t>répondre</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recommandations</w:t>
      </w:r>
      <w:proofErr w:type="spellEnd"/>
      <w:r w:rsidR="0073666E" w:rsidRPr="0073666E">
        <w:rPr>
          <w:lang w:val="de-CH"/>
        </w:rPr>
        <w:t xml:space="preserve"> de divers </w:t>
      </w:r>
      <w:proofErr w:type="spellStart"/>
      <w:r w:rsidR="0073666E" w:rsidRPr="0073666E">
        <w:rPr>
          <w:lang w:val="de-CH"/>
        </w:rPr>
        <w:t>organes</w:t>
      </w:r>
      <w:proofErr w:type="spellEnd"/>
      <w:r w:rsidR="0073666E" w:rsidRPr="0073666E">
        <w:rPr>
          <w:lang w:val="de-CH"/>
        </w:rPr>
        <w:t xml:space="preserve"> </w:t>
      </w:r>
      <w:proofErr w:type="spellStart"/>
      <w:r w:rsidR="0073666E" w:rsidRPr="0073666E">
        <w:rPr>
          <w:lang w:val="de-CH"/>
        </w:rPr>
        <w:t>internationaux</w:t>
      </w:r>
      <w:proofErr w:type="spellEnd"/>
      <w:r w:rsidR="0073666E" w:rsidRPr="0073666E">
        <w:rPr>
          <w:lang w:val="de-CH"/>
        </w:rPr>
        <w:t>.</w:t>
      </w:r>
    </w:p>
    <w:p w14:paraId="097CB38E" w14:textId="77777777" w:rsidR="0073666E" w:rsidRPr="0073666E" w:rsidRDefault="001477E9" w:rsidP="001477E9">
      <w:pPr>
        <w:pStyle w:val="H1G"/>
        <w:rPr>
          <w:lang w:val="de-CH"/>
        </w:rPr>
      </w:pPr>
      <w:r>
        <w:rPr>
          <w:lang w:val="de-CH"/>
        </w:rPr>
        <w:tab/>
      </w:r>
      <w:r>
        <w:rPr>
          <w:lang w:val="de-CH"/>
        </w:rPr>
        <w:tab/>
      </w:r>
      <w:proofErr w:type="spellStart"/>
      <w:r w:rsidR="0073666E" w:rsidRPr="0073666E">
        <w:rPr>
          <w:lang w:val="de-CH"/>
        </w:rPr>
        <w:t>Article</w:t>
      </w:r>
      <w:proofErr w:type="spellEnd"/>
      <w:r w:rsidR="0073666E" w:rsidRPr="0073666E">
        <w:rPr>
          <w:lang w:val="de-CH"/>
        </w:rPr>
        <w:t xml:space="preserve"> 3</w:t>
      </w:r>
    </w:p>
    <w:p w14:paraId="1000F8B3" w14:textId="77777777" w:rsidR="00D15B10" w:rsidRDefault="00D15B10" w:rsidP="00D15B10">
      <w:pPr>
        <w:pStyle w:val="H23G"/>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sidR="001477E9">
        <w:rPr>
          <w:lang w:val="de-CH"/>
        </w:rPr>
        <w:t xml:space="preserve">au </w:t>
      </w:r>
      <w:proofErr w:type="spellStart"/>
      <w:r w:rsidR="001477E9">
        <w:rPr>
          <w:lang w:val="de-CH"/>
        </w:rPr>
        <w:t>paragraphe</w:t>
      </w:r>
      <w:proofErr w:type="spellEnd"/>
      <w:r w:rsidR="001477E9">
        <w:rPr>
          <w:lang w:val="de-CH"/>
        </w:rPr>
        <w:t xml:space="preserve"> </w:t>
      </w:r>
      <w:r>
        <w:rPr>
          <w:lang w:val="de-CH"/>
        </w:rPr>
        <w:t>6</w:t>
      </w:r>
      <w:r w:rsidR="001477E9">
        <w:rPr>
          <w:lang w:val="de-CH"/>
        </w:rPr>
        <w:t xml:space="preserve"> </w:t>
      </w:r>
    </w:p>
    <w:p w14:paraId="1051A1A7" w14:textId="77777777" w:rsidR="0073666E" w:rsidRPr="0073666E" w:rsidRDefault="00D15B10" w:rsidP="00D15B10">
      <w:pPr>
        <w:pStyle w:val="SingleTxtG"/>
      </w:pPr>
      <w:r>
        <w:t>27.</w:t>
      </w:r>
      <w:r>
        <w:tab/>
      </w:r>
      <w:r w:rsidR="0073666E" w:rsidRPr="0073666E">
        <w:t>Avant de traiter du système d’évaluation des risques de violation du principe de non-refoulement, il est important de souligner en premier lieu que le Comité des ministres du Conseil de l</w:t>
      </w:r>
      <w:r w:rsidR="00A27519">
        <w:t>’</w:t>
      </w:r>
      <w:r w:rsidR="0073666E" w:rsidRPr="0073666E">
        <w:t>Europe, organe chargé de surveiller l</w:t>
      </w:r>
      <w:r w:rsidR="00A27519">
        <w:t>’</w:t>
      </w:r>
      <w:r w:rsidR="0073666E" w:rsidRPr="0073666E">
        <w:t>exécution des arrêts de la Cour européenne des droits de l</w:t>
      </w:r>
      <w:r w:rsidR="00A27519">
        <w:t>’</w:t>
      </w:r>
      <w:r w:rsidR="0073666E" w:rsidRPr="0073666E">
        <w:t>homme, a été satisfait des mesures prises tant sur le plan individuel que général pour exécuter entièrement lesdits arrêts et a adopté ses résolutions finales dans les deux affaires le 7 décembre 2018 et le 18 avril 2018</w:t>
      </w:r>
      <w:r w:rsidR="0073666E" w:rsidRPr="009E1FD5">
        <w:rPr>
          <w:rStyle w:val="Appelnotedebasdep"/>
        </w:rPr>
        <w:footnoteReference w:id="10"/>
      </w:r>
      <w:r w:rsidR="0073666E" w:rsidRPr="0073666E">
        <w:t xml:space="preserve">. </w:t>
      </w:r>
    </w:p>
    <w:p w14:paraId="26B3471B" w14:textId="77777777" w:rsidR="0073666E" w:rsidRPr="00D15B10" w:rsidRDefault="00D15B10" w:rsidP="00D15B10">
      <w:pPr>
        <w:pStyle w:val="SingleTxtG"/>
      </w:pPr>
      <w:r>
        <w:t>28.</w:t>
      </w:r>
      <w:r>
        <w:tab/>
      </w:r>
      <w:r w:rsidR="0073666E" w:rsidRPr="00D15B10">
        <w:t>Toujours à titre préliminaire, il sied de rappeler que les arrêts de la CourEDH dans les affaires X c. Suisse, du 26 janvier 2017, et A.I. c. Suisse, du 30 mai 2017 concernent des cas d’asile et non d’extradition. Les dossiers d’extradition diffèrent des situations de renvoi hors du territoire suisse liées au droit des étrangers.</w:t>
      </w:r>
    </w:p>
    <w:p w14:paraId="46BB9C91" w14:textId="77777777" w:rsidR="0073666E" w:rsidRPr="0073666E" w:rsidRDefault="00D15B10" w:rsidP="00D15B10">
      <w:pPr>
        <w:pStyle w:val="SingleTxtG"/>
        <w:rPr>
          <w:lang w:val="de-CH"/>
        </w:rPr>
      </w:pPr>
      <w:r>
        <w:t>29.</w:t>
      </w:r>
      <w:r>
        <w:tab/>
      </w:r>
      <w:r w:rsidR="0073666E" w:rsidRPr="00D15B10">
        <w:t>En matière d’extradition, l’art. 2 de la loi fédérale sur l’entraide internationale en matière pénale (EIMP) prohibe la coopération extraditionnelle – et l’entraide de manière générale – avec</w:t>
      </w:r>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r w:rsidR="00D94D41">
        <w:rPr>
          <w:lang w:val="de-CH"/>
        </w:rPr>
        <w:t>État</w:t>
      </w:r>
      <w:r w:rsidR="0073666E" w:rsidRPr="0073666E">
        <w:rPr>
          <w:lang w:val="de-CH"/>
        </w:rPr>
        <w:t xml:space="preserve"> </w:t>
      </w:r>
      <w:proofErr w:type="spellStart"/>
      <w:r w:rsidR="0073666E" w:rsidRPr="0073666E">
        <w:rPr>
          <w:lang w:val="de-CH"/>
        </w:rPr>
        <w:t>requérant</w:t>
      </w:r>
      <w:proofErr w:type="spellEnd"/>
      <w:r w:rsidR="00222D58">
        <w:rPr>
          <w:lang w:val="de-CH"/>
        </w:rPr>
        <w:t> </w:t>
      </w:r>
      <w:r w:rsidR="0073666E" w:rsidRPr="0073666E">
        <w:rPr>
          <w:lang w:val="de-CH"/>
        </w:rPr>
        <w:t>:</w:t>
      </w:r>
    </w:p>
    <w:p w14:paraId="267244A3"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D15B10">
        <w:t>S</w:t>
      </w:r>
      <w:r w:rsidR="0073666E" w:rsidRPr="0073666E">
        <w:t>’il y a lieu d’admettre que la procédure à l’étranger n’est pas conforme aux principes de procédure fixés par la Convention européenne de sauvegarde des droits de l</w:t>
      </w:r>
      <w:r w:rsidR="00A27519">
        <w:t>’</w:t>
      </w:r>
      <w:r w:rsidR="0073666E" w:rsidRPr="0073666E">
        <w:t>homme et des libertés fondamentales (CEDH) ou par le Pacte international relatif aux droits civils et politiques (Pacte ONU II)</w:t>
      </w:r>
      <w:r w:rsidR="00222D58">
        <w:t> </w:t>
      </w:r>
      <w:r w:rsidR="0073666E" w:rsidRPr="0073666E">
        <w:t xml:space="preserve">; </w:t>
      </w:r>
    </w:p>
    <w:p w14:paraId="08BFF284" w14:textId="77777777" w:rsidR="0073666E" w:rsidRPr="0073666E" w:rsidRDefault="00971C84" w:rsidP="00971C84">
      <w:pPr>
        <w:pStyle w:val="Bullet1G"/>
        <w:numPr>
          <w:ilvl w:val="0"/>
          <w:numId w:val="0"/>
        </w:numPr>
        <w:tabs>
          <w:tab w:val="left" w:pos="1701"/>
        </w:tabs>
        <w:ind w:left="1701" w:hanging="170"/>
        <w:rPr>
          <w:lang w:val="de-CH"/>
        </w:rPr>
      </w:pPr>
      <w:r w:rsidRPr="0073666E">
        <w:rPr>
          <w:lang w:val="de-CH"/>
        </w:rPr>
        <w:lastRenderedPageBreak/>
        <w:t>•</w:t>
      </w:r>
      <w:r w:rsidRPr="0073666E">
        <w:rPr>
          <w:lang w:val="de-CH"/>
        </w:rPr>
        <w:tab/>
      </w:r>
      <w:r w:rsidR="00D15B10" w:rsidRPr="0073666E">
        <w:rPr>
          <w:lang w:val="de-CH"/>
        </w:rPr>
        <w:t xml:space="preserve">Si la </w:t>
      </w:r>
      <w:proofErr w:type="spellStart"/>
      <w:r w:rsidR="00D15B10" w:rsidRPr="0073666E">
        <w:rPr>
          <w:lang w:val="de-CH"/>
        </w:rPr>
        <w:t>demande</w:t>
      </w:r>
      <w:proofErr w:type="spellEnd"/>
      <w:r w:rsidR="00D15B10" w:rsidRPr="0073666E">
        <w:rPr>
          <w:lang w:val="de-CH"/>
        </w:rPr>
        <w:t xml:space="preserve"> </w:t>
      </w:r>
      <w:proofErr w:type="spellStart"/>
      <w:r w:rsidR="00D15B10" w:rsidRPr="0073666E">
        <w:rPr>
          <w:lang w:val="de-CH"/>
        </w:rPr>
        <w:t>d’entraide</w:t>
      </w:r>
      <w:proofErr w:type="spellEnd"/>
      <w:r w:rsidR="00D15B10" w:rsidRPr="0073666E">
        <w:rPr>
          <w:lang w:val="de-CH"/>
        </w:rPr>
        <w:t xml:space="preserve"> </w:t>
      </w:r>
      <w:proofErr w:type="spellStart"/>
      <w:r w:rsidR="00D15B10" w:rsidRPr="0073666E">
        <w:rPr>
          <w:lang w:val="de-CH"/>
        </w:rPr>
        <w:t>tend</w:t>
      </w:r>
      <w:proofErr w:type="spellEnd"/>
      <w:r w:rsidR="00D15B10" w:rsidRPr="0073666E">
        <w:rPr>
          <w:lang w:val="de-CH"/>
        </w:rPr>
        <w:t xml:space="preserve"> à </w:t>
      </w:r>
      <w:proofErr w:type="spellStart"/>
      <w:r w:rsidR="00D15B10" w:rsidRPr="0073666E">
        <w:rPr>
          <w:lang w:val="de-CH"/>
        </w:rPr>
        <w:t>po</w:t>
      </w:r>
      <w:r w:rsidR="0073666E" w:rsidRPr="0073666E">
        <w:rPr>
          <w:lang w:val="de-CH"/>
        </w:rPr>
        <w:t>ursuivre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à </w:t>
      </w:r>
      <w:proofErr w:type="spellStart"/>
      <w:r w:rsidR="0073666E" w:rsidRPr="0073666E">
        <w:rPr>
          <w:lang w:val="de-CH"/>
        </w:rPr>
        <w:t>punir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personne</w:t>
      </w:r>
      <w:proofErr w:type="spellEnd"/>
      <w:r w:rsidR="0073666E" w:rsidRPr="0073666E">
        <w:rPr>
          <w:lang w:val="de-CH"/>
        </w:rPr>
        <w:t xml:space="preserve"> en </w:t>
      </w:r>
      <w:proofErr w:type="spellStart"/>
      <w:r w:rsidR="0073666E" w:rsidRPr="0073666E">
        <w:rPr>
          <w:lang w:val="de-CH"/>
        </w:rPr>
        <w:t>raison</w:t>
      </w:r>
      <w:proofErr w:type="spellEnd"/>
      <w:r w:rsidR="0073666E" w:rsidRPr="0073666E">
        <w:rPr>
          <w:lang w:val="de-CH"/>
        </w:rPr>
        <w:t xml:space="preserve"> de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opinions</w:t>
      </w:r>
      <w:proofErr w:type="spellEnd"/>
      <w:r w:rsidR="0073666E" w:rsidRPr="0073666E">
        <w:rPr>
          <w:lang w:val="de-CH"/>
        </w:rPr>
        <w:t xml:space="preserve"> </w:t>
      </w:r>
      <w:proofErr w:type="spellStart"/>
      <w:r w:rsidR="0073666E" w:rsidRPr="0073666E">
        <w:rPr>
          <w:lang w:val="de-CH"/>
        </w:rPr>
        <w:t>politiques</w:t>
      </w:r>
      <w:proofErr w:type="spellEnd"/>
      <w:r w:rsidR="0073666E" w:rsidRPr="0073666E">
        <w:rPr>
          <w:lang w:val="de-CH"/>
        </w:rPr>
        <w:t xml:space="preserve">, de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appartenance</w:t>
      </w:r>
      <w:proofErr w:type="spellEnd"/>
      <w:r w:rsidR="0073666E" w:rsidRPr="0073666E">
        <w:rPr>
          <w:lang w:val="de-CH"/>
        </w:rPr>
        <w:t xml:space="preserve"> à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groupe</w:t>
      </w:r>
      <w:proofErr w:type="spellEnd"/>
      <w:r w:rsidR="0073666E" w:rsidRPr="0073666E">
        <w:rPr>
          <w:lang w:val="de-CH"/>
        </w:rPr>
        <w:t xml:space="preserve"> social </w:t>
      </w:r>
      <w:proofErr w:type="spellStart"/>
      <w:r w:rsidR="0073666E" w:rsidRPr="0073666E">
        <w:rPr>
          <w:lang w:val="de-CH"/>
        </w:rPr>
        <w:t>déterminé</w:t>
      </w:r>
      <w:proofErr w:type="spellEnd"/>
      <w:r w:rsidR="0073666E" w:rsidRPr="0073666E">
        <w:rPr>
          <w:lang w:val="de-CH"/>
        </w:rPr>
        <w:t xml:space="preserve">, de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race</w:t>
      </w:r>
      <w:proofErr w:type="spellEnd"/>
      <w:r w:rsidR="0073666E" w:rsidRPr="0073666E">
        <w:rPr>
          <w:lang w:val="de-CH"/>
        </w:rPr>
        <w:t xml:space="preserve">, de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confession</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nationalité</w:t>
      </w:r>
      <w:proofErr w:type="spellEnd"/>
      <w:r w:rsidR="000A0B7E">
        <w:rPr>
          <w:lang w:val="de-CH"/>
        </w:rPr>
        <w:t> </w:t>
      </w:r>
      <w:r w:rsidR="0073666E" w:rsidRPr="0073666E">
        <w:rPr>
          <w:lang w:val="de-CH"/>
        </w:rPr>
        <w:t xml:space="preserve">; </w:t>
      </w:r>
    </w:p>
    <w:p w14:paraId="46C76880" w14:textId="77777777" w:rsidR="0073666E" w:rsidRPr="0073666E" w:rsidRDefault="00971C84" w:rsidP="00971C84">
      <w:pPr>
        <w:pStyle w:val="Bullet1G"/>
        <w:numPr>
          <w:ilvl w:val="0"/>
          <w:numId w:val="0"/>
        </w:numPr>
        <w:tabs>
          <w:tab w:val="left" w:pos="1701"/>
        </w:tabs>
        <w:ind w:left="1701" w:hanging="170"/>
        <w:rPr>
          <w:lang w:val="de-CH"/>
        </w:rPr>
      </w:pPr>
      <w:r w:rsidRPr="0073666E">
        <w:rPr>
          <w:lang w:val="de-CH"/>
        </w:rPr>
        <w:t>•</w:t>
      </w:r>
      <w:r w:rsidRPr="0073666E">
        <w:rPr>
          <w:lang w:val="de-CH"/>
        </w:rPr>
        <w:tab/>
      </w:r>
      <w:proofErr w:type="spellStart"/>
      <w:r w:rsidR="00D15B10" w:rsidRPr="0073666E">
        <w:rPr>
          <w:lang w:val="de-CH"/>
        </w:rPr>
        <w:t>S’il</w:t>
      </w:r>
      <w:proofErr w:type="spellEnd"/>
      <w:r w:rsidR="00D15B10" w:rsidRPr="0073666E">
        <w:rPr>
          <w:lang w:val="de-CH"/>
        </w:rPr>
        <w:t xml:space="preserve"> </w:t>
      </w:r>
      <w:proofErr w:type="spellStart"/>
      <w:r w:rsidR="00D15B10" w:rsidRPr="0073666E">
        <w:rPr>
          <w:lang w:val="de-CH"/>
        </w:rPr>
        <w:t>existe</w:t>
      </w:r>
      <w:proofErr w:type="spellEnd"/>
      <w:r w:rsidR="00D15B10" w:rsidRPr="0073666E">
        <w:rPr>
          <w:lang w:val="de-CH"/>
        </w:rPr>
        <w:t xml:space="preserve"> </w:t>
      </w:r>
      <w:proofErr w:type="spellStart"/>
      <w:r w:rsidR="00D15B10" w:rsidRPr="0073666E">
        <w:rPr>
          <w:lang w:val="de-CH"/>
        </w:rPr>
        <w:t>un</w:t>
      </w:r>
      <w:proofErr w:type="spellEnd"/>
      <w:r w:rsidR="00D15B10" w:rsidRPr="0073666E">
        <w:rPr>
          <w:lang w:val="de-CH"/>
        </w:rPr>
        <w:t xml:space="preserve"> </w:t>
      </w:r>
      <w:proofErr w:type="spellStart"/>
      <w:r w:rsidR="00D15B10" w:rsidRPr="0073666E">
        <w:rPr>
          <w:lang w:val="de-CH"/>
        </w:rPr>
        <w:t>risque</w:t>
      </w:r>
      <w:proofErr w:type="spellEnd"/>
      <w:r w:rsidR="00D15B10" w:rsidRPr="0073666E">
        <w:rPr>
          <w:lang w:val="de-CH"/>
        </w:rPr>
        <w:t xml:space="preserve"> </w:t>
      </w:r>
      <w:proofErr w:type="spellStart"/>
      <w:r w:rsidR="00D15B10" w:rsidRPr="0073666E">
        <w:rPr>
          <w:lang w:val="de-CH"/>
        </w:rPr>
        <w:t>d’aggraver</w:t>
      </w:r>
      <w:proofErr w:type="spellEnd"/>
      <w:r w:rsidR="00D15B10" w:rsidRPr="0073666E">
        <w:rPr>
          <w:lang w:val="de-CH"/>
        </w:rPr>
        <w:t xml:space="preserve"> la </w:t>
      </w:r>
      <w:proofErr w:type="spellStart"/>
      <w:r w:rsidR="00D15B10" w:rsidRPr="0073666E">
        <w:rPr>
          <w:lang w:val="de-CH"/>
        </w:rPr>
        <w:t>situation</w:t>
      </w:r>
      <w:proofErr w:type="spellEnd"/>
      <w:r w:rsidR="00D15B10" w:rsidRPr="0073666E">
        <w:rPr>
          <w:lang w:val="de-CH"/>
        </w:rPr>
        <w:t xml:space="preserve"> de la </w:t>
      </w:r>
      <w:proofErr w:type="spellStart"/>
      <w:r w:rsidR="00D15B10" w:rsidRPr="0073666E">
        <w:rPr>
          <w:lang w:val="de-CH"/>
        </w:rPr>
        <w:t>personne</w:t>
      </w:r>
      <w:proofErr w:type="spellEnd"/>
      <w:r w:rsidR="00D15B10" w:rsidRPr="0073666E">
        <w:rPr>
          <w:lang w:val="de-CH"/>
        </w:rPr>
        <w:t xml:space="preserve"> </w:t>
      </w:r>
      <w:proofErr w:type="spellStart"/>
      <w:r w:rsidR="00D15B10" w:rsidRPr="0073666E">
        <w:rPr>
          <w:lang w:val="de-CH"/>
        </w:rPr>
        <w:t>poursuivie</w:t>
      </w:r>
      <w:proofErr w:type="spellEnd"/>
      <w:r w:rsidR="00D15B10" w:rsidRPr="0073666E">
        <w:rPr>
          <w:lang w:val="de-CH"/>
        </w:rPr>
        <w:t xml:space="preserve"> </w:t>
      </w:r>
      <w:proofErr w:type="spellStart"/>
      <w:r w:rsidR="00D15B10" w:rsidRPr="0073666E">
        <w:rPr>
          <w:lang w:val="de-CH"/>
        </w:rPr>
        <w:t>pour</w:t>
      </w:r>
      <w:proofErr w:type="spellEnd"/>
      <w:r w:rsidR="00D15B10" w:rsidRPr="0073666E">
        <w:rPr>
          <w:lang w:val="de-CH"/>
        </w:rPr>
        <w:t xml:space="preserve"> </w:t>
      </w:r>
      <w:proofErr w:type="spellStart"/>
      <w:r w:rsidR="00D15B10" w:rsidRPr="0073666E">
        <w:rPr>
          <w:lang w:val="de-CH"/>
        </w:rPr>
        <w:t>l’une</w:t>
      </w:r>
      <w:proofErr w:type="spellEnd"/>
      <w:r w:rsidR="00D15B10"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l’autre</w:t>
      </w:r>
      <w:proofErr w:type="spellEnd"/>
      <w:r w:rsidR="0073666E" w:rsidRPr="0073666E">
        <w:rPr>
          <w:lang w:val="de-CH"/>
        </w:rPr>
        <w:t xml:space="preserve"> des </w:t>
      </w:r>
      <w:proofErr w:type="spellStart"/>
      <w:r w:rsidR="0073666E" w:rsidRPr="0073666E">
        <w:rPr>
          <w:lang w:val="de-CH"/>
        </w:rPr>
        <w:t>raisons</w:t>
      </w:r>
      <w:proofErr w:type="spellEnd"/>
      <w:r w:rsidR="0073666E" w:rsidRPr="0073666E">
        <w:rPr>
          <w:lang w:val="de-CH"/>
        </w:rPr>
        <w:t xml:space="preserve"> </w:t>
      </w:r>
      <w:proofErr w:type="spellStart"/>
      <w:r w:rsidR="0073666E" w:rsidRPr="0073666E">
        <w:rPr>
          <w:lang w:val="de-CH"/>
        </w:rPr>
        <w:t>indiquées</w:t>
      </w:r>
      <w:proofErr w:type="spellEnd"/>
      <w:r w:rsidR="0073666E" w:rsidRPr="0073666E">
        <w:rPr>
          <w:lang w:val="de-CH"/>
        </w:rPr>
        <w:t xml:space="preserve"> ci-dessus </w:t>
      </w:r>
      <w:proofErr w:type="spellStart"/>
      <w:r w:rsidR="0073666E" w:rsidRPr="0073666E">
        <w:rPr>
          <w:lang w:val="de-CH"/>
        </w:rPr>
        <w:t>ou</w:t>
      </w:r>
      <w:proofErr w:type="spellEnd"/>
      <w:r w:rsidR="000A0B7E">
        <w:rPr>
          <w:lang w:val="de-CH"/>
        </w:rPr>
        <w:t> </w:t>
      </w:r>
      <w:r w:rsidR="0073666E" w:rsidRPr="0073666E">
        <w:rPr>
          <w:lang w:val="de-CH"/>
        </w:rPr>
        <w:t xml:space="preserve">; </w:t>
      </w:r>
    </w:p>
    <w:p w14:paraId="6B00D954" w14:textId="77777777" w:rsidR="0073666E" w:rsidRPr="0073666E" w:rsidRDefault="00971C84" w:rsidP="00971C84">
      <w:pPr>
        <w:pStyle w:val="Bullet1G"/>
        <w:numPr>
          <w:ilvl w:val="0"/>
          <w:numId w:val="0"/>
        </w:numPr>
        <w:tabs>
          <w:tab w:val="left" w:pos="1701"/>
        </w:tabs>
        <w:ind w:left="1701" w:hanging="170"/>
        <w:rPr>
          <w:lang w:val="de-CH"/>
        </w:rPr>
      </w:pPr>
      <w:r w:rsidRPr="0073666E">
        <w:rPr>
          <w:lang w:val="de-CH"/>
        </w:rPr>
        <w:t>•</w:t>
      </w:r>
      <w:r w:rsidRPr="0073666E">
        <w:rPr>
          <w:lang w:val="de-CH"/>
        </w:rPr>
        <w:tab/>
      </w:r>
      <w:r w:rsidR="00D15B10" w:rsidRPr="0073666E">
        <w:rPr>
          <w:lang w:val="de-CH"/>
        </w:rPr>
        <w:t xml:space="preserve">Si la </w:t>
      </w:r>
      <w:proofErr w:type="spellStart"/>
      <w:r w:rsidR="00D15B10" w:rsidRPr="0073666E">
        <w:rPr>
          <w:lang w:val="de-CH"/>
        </w:rPr>
        <w:t>demande</w:t>
      </w:r>
      <w:proofErr w:type="spellEnd"/>
      <w:r w:rsidR="00D15B10" w:rsidRPr="0073666E">
        <w:rPr>
          <w:lang w:val="de-CH"/>
        </w:rPr>
        <w:t xml:space="preserve"> </w:t>
      </w:r>
      <w:proofErr w:type="spellStart"/>
      <w:r w:rsidR="0073666E" w:rsidRPr="0073666E">
        <w:rPr>
          <w:lang w:val="de-CH"/>
        </w:rPr>
        <w:t>présente</w:t>
      </w:r>
      <w:proofErr w:type="spellEnd"/>
      <w:r w:rsidR="0073666E" w:rsidRPr="0073666E">
        <w:rPr>
          <w:lang w:val="de-CH"/>
        </w:rPr>
        <w:t xml:space="preserve"> </w:t>
      </w:r>
      <w:proofErr w:type="spellStart"/>
      <w:r w:rsidR="0073666E" w:rsidRPr="0073666E">
        <w:rPr>
          <w:lang w:val="de-CH"/>
        </w:rPr>
        <w:t>d’autres</w:t>
      </w:r>
      <w:proofErr w:type="spellEnd"/>
      <w:r w:rsidR="0073666E" w:rsidRPr="0073666E">
        <w:rPr>
          <w:lang w:val="de-CH"/>
        </w:rPr>
        <w:t xml:space="preserve"> </w:t>
      </w:r>
      <w:proofErr w:type="spellStart"/>
      <w:r w:rsidR="0073666E" w:rsidRPr="0073666E">
        <w:rPr>
          <w:lang w:val="de-CH"/>
        </w:rPr>
        <w:t>défauts</w:t>
      </w:r>
      <w:proofErr w:type="spellEnd"/>
      <w:r w:rsidR="0073666E" w:rsidRPr="0073666E">
        <w:rPr>
          <w:lang w:val="de-CH"/>
        </w:rPr>
        <w:t xml:space="preserve"> </w:t>
      </w:r>
      <w:proofErr w:type="spellStart"/>
      <w:r w:rsidR="0073666E" w:rsidRPr="0073666E">
        <w:rPr>
          <w:lang w:val="de-CH"/>
        </w:rPr>
        <w:t>graves</w:t>
      </w:r>
      <w:proofErr w:type="spellEnd"/>
      <w:r w:rsidR="0073666E" w:rsidRPr="0073666E">
        <w:rPr>
          <w:lang w:val="de-CH"/>
        </w:rPr>
        <w:t>.</w:t>
      </w:r>
    </w:p>
    <w:p w14:paraId="1A9E5BC3" w14:textId="77777777" w:rsidR="0073666E" w:rsidRPr="0073666E" w:rsidRDefault="00D15B10" w:rsidP="00D15B10">
      <w:pPr>
        <w:pStyle w:val="SingleTxtG"/>
      </w:pPr>
      <w:r>
        <w:t>30.</w:t>
      </w:r>
      <w:r>
        <w:tab/>
      </w:r>
      <w:r w:rsidR="0073666E" w:rsidRPr="0073666E">
        <w:t>Lors de la réception par la Suisse de demandes formelles d’extradition de l’étranger, l’Office fédéral de la justice (</w:t>
      </w:r>
      <w:r w:rsidR="0073666E" w:rsidRPr="00D15B10">
        <w:t>OFJ</w:t>
      </w:r>
      <w:r w:rsidR="0073666E" w:rsidRPr="0073666E">
        <w:t>), autorité suisse compétente en matière d’extraditions, évalue – au cas par cas – les risques éventuels en matière de droits de l’homme inhérents à la remise d’un individu à l’</w:t>
      </w:r>
      <w:r w:rsidR="00D94D41">
        <w:t>État</w:t>
      </w:r>
      <w:r w:rsidR="0073666E" w:rsidRPr="0073666E">
        <w:t xml:space="preserve"> requérant. La jurisprudence distingue trois catégories de cas de figure, à savoir ceux où il n’y a, en principe, pas de doute à avoir quant au fait que l’</w:t>
      </w:r>
      <w:r w:rsidR="00D94D41">
        <w:t>État</w:t>
      </w:r>
      <w:r w:rsidR="0073666E" w:rsidRPr="0073666E">
        <w:t xml:space="preserve"> en question respecte les droits de l’homme, ceux où une extradition peut être accordée moyennant l’obtention de garanties particulières, et, enfin, ceux où une extradition est exclue, au vu des risques concrets de traitement prohibé</w:t>
      </w:r>
      <w:r w:rsidR="0073666E" w:rsidRPr="009E1FD5">
        <w:rPr>
          <w:rStyle w:val="Appelnotedebasdep"/>
        </w:rPr>
        <w:footnoteReference w:id="11"/>
      </w:r>
      <w:r w:rsidR="00BD46DF" w:rsidRPr="00971C84">
        <w:t> :</w:t>
      </w:r>
    </w:p>
    <w:p w14:paraId="4832FF36"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73666E" w:rsidRPr="0073666E">
        <w:t>La première catégorie regroupe les situations où il s’agit d’extrader une personne vers des pays à tradition démocratique possédant une culture d’</w:t>
      </w:r>
      <w:r w:rsidR="00D94D41">
        <w:t>État</w:t>
      </w:r>
      <w:r w:rsidR="0073666E" w:rsidRPr="0073666E">
        <w:t xml:space="preserve"> de droit</w:t>
      </w:r>
      <w:r w:rsidR="0073666E" w:rsidRPr="009E1FD5">
        <w:rPr>
          <w:rStyle w:val="Appelnotedebasdep"/>
        </w:rPr>
        <w:footnoteReference w:id="12"/>
      </w:r>
      <w:r w:rsidR="0073666E" w:rsidRPr="0073666E">
        <w:rPr>
          <w:vertAlign w:val="superscript"/>
        </w:rPr>
        <w:t xml:space="preserve"> </w:t>
      </w:r>
      <w:r w:rsidR="0073666E" w:rsidRPr="0073666E">
        <w:t xml:space="preserve">– soit en particulier les pays </w:t>
      </w:r>
      <w:proofErr w:type="spellStart"/>
      <w:r w:rsidR="0073666E" w:rsidRPr="0073666E">
        <w:rPr>
          <w:lang w:val="de-CH"/>
        </w:rPr>
        <w:t>occidentaux</w:t>
      </w:r>
      <w:proofErr w:type="spellEnd"/>
      <w:r w:rsidR="0073666E" w:rsidRPr="0073666E">
        <w:t xml:space="preserve"> – qui ne présentent aucun problème sous l’angle du respect des droits de l’homme et, partant, sous l’angle de l’art. 3 CEDH. L’entraide peut ainsi être accordée – en principe – sans garanties particulières. Il s’agit notamment des </w:t>
      </w:r>
      <w:r w:rsidR="00D94D41">
        <w:t>État</w:t>
      </w:r>
      <w:r w:rsidR="0073666E" w:rsidRPr="0073666E">
        <w:t>s de l’Union européenne ainsi que de la majorité des pays</w:t>
      </w:r>
      <w:r w:rsidR="00CB6ECE">
        <w:t xml:space="preserve"> membres du Conseil de l’Europe</w:t>
      </w:r>
      <w:r w:rsidR="000A0B7E">
        <w:t> </w:t>
      </w:r>
      <w:r w:rsidR="00CB6ECE">
        <w:t>;</w:t>
      </w:r>
    </w:p>
    <w:p w14:paraId="67759D5F"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73666E" w:rsidRPr="0073666E">
        <w:t>Entrent dans la seconde catégorie les cas où il existe des risques de violation des droits de l’homme ou des principes fondamentaux. Ces risques peuvent cependant être éliminés – ou à tout le moins fortement réduits – grâce à la fourniture de garanties diplomatiques par l’</w:t>
      </w:r>
      <w:r w:rsidR="00D94D41">
        <w:t>État</w:t>
      </w:r>
      <w:r w:rsidR="0073666E" w:rsidRPr="0073666E">
        <w:t xml:space="preserve"> requérant, de </w:t>
      </w:r>
      <w:proofErr w:type="spellStart"/>
      <w:r w:rsidR="0073666E" w:rsidRPr="0073666E">
        <w:rPr>
          <w:lang w:val="de-CH"/>
        </w:rPr>
        <w:t>telle</w:t>
      </w:r>
      <w:proofErr w:type="spellEnd"/>
      <w:r w:rsidR="0073666E" w:rsidRPr="0073666E">
        <w:t xml:space="preserve"> sorte que le risque résiduel demeure purement théorique</w:t>
      </w:r>
      <w:r w:rsidR="000A0B7E">
        <w:t> </w:t>
      </w:r>
      <w:r w:rsidR="0073666E" w:rsidRPr="0073666E">
        <w:t>; ces garanties portent sur l’engagement de l’</w:t>
      </w:r>
      <w:r w:rsidR="00D94D41">
        <w:t>État</w:t>
      </w:r>
      <w:r w:rsidR="0073666E" w:rsidRPr="0073666E">
        <w:t xml:space="preserve"> requérant, d’une part, à respecter les droits fondamentaux de l’intéressé après sa remise et, d’autre part, à permettre aux autorités suisses de s’assurer du respect effectif par les autorités étrangères des assurances fournies. En règle générale, les pays de la deuxième catégorie ont adhéré au Conseil de l’Europe et sont soumis à sa surveillance, faisant naître une présomption de respect des droits prévus par la CEDH. Pour cette catégorie d’</w:t>
      </w:r>
      <w:r w:rsidR="00D94D41">
        <w:t>État</w:t>
      </w:r>
      <w:r w:rsidR="0073666E" w:rsidRPr="0073666E">
        <w:t xml:space="preserve">s, un risque abstrait de violation ne suffit pas pour refuser l’extradition, sans quoi la Suisse ne pourrait plus accorder la remise de personnes recherchées à ces pays, ce qui aurait pour effet que les délinquants en fuite pourraient se soustraire à la justice, sapant ainsi les fondements de l’extradition. Cette deuxième catégorie regroupe ainsi des pays membres du Conseil de l’Europe, comme la Russie ou l’Ukraine, mais également des </w:t>
      </w:r>
      <w:r w:rsidR="00D94D41">
        <w:t>État</w:t>
      </w:r>
      <w:r w:rsidR="0073666E" w:rsidRPr="0073666E">
        <w:t>s tier</w:t>
      </w:r>
      <w:r w:rsidR="00CB6ECE">
        <w:t>s comme le Mexique ou le Brésil</w:t>
      </w:r>
      <w:r w:rsidR="000A0B7E">
        <w:t> </w:t>
      </w:r>
      <w:r w:rsidR="00CB6ECE">
        <w:t>;</w:t>
      </w:r>
    </w:p>
    <w:p w14:paraId="26232ECA"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73666E" w:rsidRPr="0073666E">
        <w:t xml:space="preserve">La troisième catégorie vise les cas où il existe des motifs concrets de penser qu’un danger de torture </w:t>
      </w:r>
      <w:proofErr w:type="spellStart"/>
      <w:r w:rsidR="0073666E" w:rsidRPr="0073666E">
        <w:rPr>
          <w:lang w:val="de-CH"/>
        </w:rPr>
        <w:t>menace</w:t>
      </w:r>
      <w:proofErr w:type="spellEnd"/>
      <w:r w:rsidR="0073666E" w:rsidRPr="0073666E">
        <w:t xml:space="preserve"> l’extradable, risque que même l’obtention d’assurances ne permettrait pas d’éliminer ou à tout le moins de réduire</w:t>
      </w:r>
      <w:r w:rsidR="000A0B7E">
        <w:t> </w:t>
      </w:r>
      <w:r w:rsidR="0073666E" w:rsidRPr="0073666E">
        <w:t>; l’extradition est alors exclue. Tel est, par exemple, le cas pour l’Iran</w:t>
      </w:r>
      <w:r w:rsidR="0073666E" w:rsidRPr="009E1FD5">
        <w:rPr>
          <w:rStyle w:val="Appelnotedebasdep"/>
        </w:rPr>
        <w:footnoteReference w:id="13"/>
      </w:r>
      <w:r w:rsidR="00F87024" w:rsidRPr="00971C84">
        <w:rPr>
          <w:lang w:val="de-CH"/>
        </w:rPr>
        <w:t>.</w:t>
      </w:r>
    </w:p>
    <w:p w14:paraId="2EC6B6BA" w14:textId="77777777" w:rsidR="0073666E" w:rsidRPr="00D15B10" w:rsidRDefault="00D15B10" w:rsidP="00D15B10">
      <w:pPr>
        <w:pStyle w:val="SingleTxtG"/>
      </w:pPr>
      <w:r>
        <w:rPr>
          <w:lang w:val="de-CH"/>
        </w:rPr>
        <w:t>31.</w:t>
      </w:r>
      <w:r>
        <w:rPr>
          <w:lang w:val="de-CH"/>
        </w:rPr>
        <w:tab/>
      </w:r>
      <w:proofErr w:type="spellStart"/>
      <w:r w:rsidR="0073666E" w:rsidRPr="0073666E">
        <w:rPr>
          <w:lang w:val="de-CH"/>
        </w:rPr>
        <w:t>Lorsque</w:t>
      </w:r>
      <w:proofErr w:type="spellEnd"/>
      <w:r w:rsidR="0073666E" w:rsidRPr="0073666E">
        <w:rPr>
          <w:lang w:val="de-CH"/>
        </w:rPr>
        <w:t xml:space="preserve"> la Suisse </w:t>
      </w:r>
      <w:proofErr w:type="spellStart"/>
      <w:r w:rsidR="0073666E" w:rsidRPr="0073666E">
        <w:rPr>
          <w:lang w:val="de-CH"/>
        </w:rPr>
        <w:t>envisage</w:t>
      </w:r>
      <w:proofErr w:type="spellEnd"/>
      <w:r w:rsidR="0073666E" w:rsidRPr="0073666E">
        <w:rPr>
          <w:lang w:val="de-CH"/>
        </w:rPr>
        <w:t xml:space="preserve"> de </w:t>
      </w:r>
      <w:proofErr w:type="spellStart"/>
      <w:r w:rsidR="0073666E" w:rsidRPr="0073666E">
        <w:rPr>
          <w:lang w:val="de-CH"/>
        </w:rPr>
        <w:t>coopérer</w:t>
      </w:r>
      <w:proofErr w:type="spellEnd"/>
      <w:r w:rsidR="0073666E" w:rsidRPr="0073666E">
        <w:rPr>
          <w:lang w:val="de-CH"/>
        </w:rPr>
        <w:t xml:space="preserve"> en </w:t>
      </w:r>
      <w:proofErr w:type="spellStart"/>
      <w:r w:rsidR="0073666E" w:rsidRPr="0073666E">
        <w:rPr>
          <w:lang w:val="de-CH"/>
        </w:rPr>
        <w:t>matière</w:t>
      </w:r>
      <w:proofErr w:type="spellEnd"/>
      <w:r w:rsidR="0073666E" w:rsidRPr="0073666E">
        <w:rPr>
          <w:lang w:val="de-CH"/>
        </w:rPr>
        <w:t xml:space="preserve"> </w:t>
      </w:r>
      <w:proofErr w:type="spellStart"/>
      <w:r w:rsidR="0073666E" w:rsidRPr="0073666E">
        <w:rPr>
          <w:lang w:val="de-CH"/>
        </w:rPr>
        <w:t>d’extradition</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r w:rsidR="00D94D41">
        <w:rPr>
          <w:lang w:val="de-CH"/>
        </w:rPr>
        <w:t>État</w:t>
      </w:r>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la </w:t>
      </w:r>
      <w:proofErr w:type="spellStart"/>
      <w:r w:rsidR="0073666E" w:rsidRPr="0073666E">
        <w:rPr>
          <w:lang w:val="de-CH"/>
        </w:rPr>
        <w:t>première</w:t>
      </w:r>
      <w:proofErr w:type="spellEnd"/>
      <w:r w:rsidR="0073666E" w:rsidRPr="0073666E">
        <w:rPr>
          <w:lang w:val="de-CH"/>
        </w:rPr>
        <w:t xml:space="preserve"> </w:t>
      </w:r>
      <w:proofErr w:type="spellStart"/>
      <w:r w:rsidR="0073666E" w:rsidRPr="0073666E">
        <w:rPr>
          <w:lang w:val="de-CH"/>
        </w:rPr>
        <w:t>fois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si la </w:t>
      </w:r>
      <w:proofErr w:type="spellStart"/>
      <w:r w:rsidR="0073666E" w:rsidRPr="0073666E">
        <w:rPr>
          <w:lang w:val="de-CH"/>
        </w:rPr>
        <w:t>situation</w:t>
      </w:r>
      <w:proofErr w:type="spellEnd"/>
      <w:r w:rsidR="0073666E" w:rsidRPr="0073666E">
        <w:rPr>
          <w:lang w:val="de-CH"/>
        </w:rPr>
        <w:t xml:space="preserve"> relative </w:t>
      </w:r>
      <w:proofErr w:type="spellStart"/>
      <w:r w:rsidR="0073666E" w:rsidRPr="0073666E">
        <w:rPr>
          <w:lang w:val="de-CH"/>
        </w:rPr>
        <w:t>aux</w:t>
      </w:r>
      <w:proofErr w:type="spellEnd"/>
      <w:r w:rsidR="0073666E" w:rsidRPr="0073666E">
        <w:rPr>
          <w:lang w:val="de-CH"/>
        </w:rPr>
        <w:t xml:space="preserve"> </w:t>
      </w:r>
      <w:r w:rsidR="0073666E" w:rsidRPr="00D15B10">
        <w:t>droits de l’homme dans l’</w:t>
      </w:r>
      <w:r w:rsidR="00D94D41">
        <w:t>État</w:t>
      </w:r>
      <w:r w:rsidR="0073666E" w:rsidRPr="00D15B10">
        <w:t xml:space="preserve"> requérant s’est péjorée depuis la dernière relation extraditionnelle, faisant apparaître un risque concret que les droits fondamentaux de l’extradable soient lésés, l’OFJ procède alors à un examen de l’ensemble des circonstances du cas d’espèce. L’analyse porte sur le contexte politico-juridique de l’</w:t>
      </w:r>
      <w:r w:rsidR="00D94D41">
        <w:t>État</w:t>
      </w:r>
      <w:r w:rsidR="0073666E" w:rsidRPr="00D15B10">
        <w:t xml:space="preserve"> requérant. Elle prend également en compte la situation personnelle de la personne dont l’extradition est demandée.</w:t>
      </w:r>
    </w:p>
    <w:p w14:paraId="185CD204" w14:textId="77777777" w:rsidR="0073666E" w:rsidRPr="0073666E" w:rsidRDefault="00D15B10" w:rsidP="00D15B10">
      <w:pPr>
        <w:pStyle w:val="SingleTxtG"/>
      </w:pPr>
      <w:r>
        <w:lastRenderedPageBreak/>
        <w:t>32.</w:t>
      </w:r>
      <w:r>
        <w:tab/>
      </w:r>
      <w:r w:rsidR="0073666E" w:rsidRPr="00D15B10">
        <w:t>Afin d’examiner la conformité de l’extradition au regard du droit international dans les hypothèses précitées et d’évaluer la situation politico</w:t>
      </w:r>
      <w:r w:rsidR="0073666E" w:rsidRPr="0073666E">
        <w:t>-juridique de l’</w:t>
      </w:r>
      <w:r w:rsidR="00D94D41">
        <w:t>État</w:t>
      </w:r>
      <w:r w:rsidR="0073666E" w:rsidRPr="0073666E">
        <w:t xml:space="preserve"> requérant, l’OFJ peut, notamment, demander un rapport à la Direction du droit international public (DDIP) dépendant du Département fédéral des affaires étrangères (DFAE). </w:t>
      </w:r>
      <w:r w:rsidR="0073666E" w:rsidRPr="0073666E">
        <w:rPr>
          <w:lang w:val="de-CH"/>
        </w:rPr>
        <w:t xml:space="preserve">La DDIP </w:t>
      </w:r>
      <w:proofErr w:type="spellStart"/>
      <w:r w:rsidR="0073666E" w:rsidRPr="0073666E">
        <w:rPr>
          <w:lang w:val="de-CH"/>
        </w:rPr>
        <w:t>consulte</w:t>
      </w:r>
      <w:proofErr w:type="spellEnd"/>
      <w:r w:rsidR="0073666E" w:rsidRPr="0073666E">
        <w:rPr>
          <w:lang w:val="de-CH"/>
        </w:rPr>
        <w:t xml:space="preserve"> divers </w:t>
      </w:r>
      <w:proofErr w:type="spellStart"/>
      <w:r w:rsidR="0073666E" w:rsidRPr="0073666E">
        <w:rPr>
          <w:lang w:val="de-CH"/>
        </w:rPr>
        <w:t>organes</w:t>
      </w:r>
      <w:proofErr w:type="spellEnd"/>
      <w:r w:rsidR="0073666E" w:rsidRPr="0073666E">
        <w:rPr>
          <w:lang w:val="de-CH"/>
        </w:rPr>
        <w:t xml:space="preserve"> internes </w:t>
      </w:r>
      <w:proofErr w:type="spellStart"/>
      <w:r w:rsidR="0073666E" w:rsidRPr="0073666E">
        <w:rPr>
          <w:lang w:val="de-CH"/>
        </w:rPr>
        <w:t>mais</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la </w:t>
      </w:r>
      <w:proofErr w:type="spellStart"/>
      <w:r w:rsidR="0073666E" w:rsidRPr="0073666E">
        <w:rPr>
          <w:lang w:val="de-CH"/>
        </w:rPr>
        <w:t>représentation</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w:t>
      </w:r>
      <w:proofErr w:type="spellStart"/>
      <w:r w:rsidR="0073666E" w:rsidRPr="0073666E">
        <w:rPr>
          <w:lang w:val="de-CH"/>
        </w:rPr>
        <w:t>près</w:t>
      </w:r>
      <w:proofErr w:type="spellEnd"/>
      <w:r w:rsidR="0073666E" w:rsidRPr="0073666E">
        <w:rPr>
          <w:lang w:val="de-CH"/>
        </w:rPr>
        <w:t xml:space="preserve">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requérant</w:t>
      </w:r>
      <w:proofErr w:type="spellEnd"/>
      <w:r w:rsidR="000A0B7E">
        <w:rPr>
          <w:lang w:val="de-CH"/>
        </w:rPr>
        <w:t> </w:t>
      </w:r>
      <w:r w:rsidR="0073666E" w:rsidRPr="0073666E">
        <w:rPr>
          <w:lang w:val="de-CH"/>
        </w:rPr>
        <w:t xml:space="preserve">; </w:t>
      </w:r>
      <w:proofErr w:type="spellStart"/>
      <w:r w:rsidR="0073666E" w:rsidRPr="0073666E">
        <w:rPr>
          <w:lang w:val="de-CH"/>
        </w:rPr>
        <w:t>elle</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se </w:t>
      </w:r>
      <w:proofErr w:type="spellStart"/>
      <w:r w:rsidR="0073666E" w:rsidRPr="0073666E">
        <w:rPr>
          <w:lang w:val="de-CH"/>
        </w:rPr>
        <w:t>référer</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rapports</w:t>
      </w:r>
      <w:proofErr w:type="spellEnd"/>
      <w:r w:rsidR="0073666E" w:rsidRPr="0073666E">
        <w:rPr>
          <w:lang w:val="de-CH"/>
        </w:rPr>
        <w:t xml:space="preserve"> </w:t>
      </w:r>
      <w:proofErr w:type="spellStart"/>
      <w:r w:rsidR="0073666E" w:rsidRPr="0073666E">
        <w:rPr>
          <w:lang w:val="de-CH"/>
        </w:rPr>
        <w:t>d’organisations</w:t>
      </w:r>
      <w:proofErr w:type="spellEnd"/>
      <w:r w:rsidR="0073666E" w:rsidRPr="0073666E">
        <w:rPr>
          <w:lang w:val="de-CH"/>
        </w:rPr>
        <w:t xml:space="preserve"> non-gouvernementales et/</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d’institutions</w:t>
      </w:r>
      <w:proofErr w:type="spellEnd"/>
      <w:r w:rsidR="0073666E" w:rsidRPr="0073666E">
        <w:rPr>
          <w:lang w:val="de-CH"/>
        </w:rPr>
        <w:t xml:space="preserve"> internationales. Ces </w:t>
      </w:r>
      <w:proofErr w:type="spellStart"/>
      <w:r w:rsidR="0073666E" w:rsidRPr="0073666E">
        <w:rPr>
          <w:lang w:val="de-CH"/>
        </w:rPr>
        <w:t>informations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synthétisées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confidentiel</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ensuite</w:t>
      </w:r>
      <w:proofErr w:type="spellEnd"/>
      <w:r w:rsidR="0073666E" w:rsidRPr="0073666E">
        <w:rPr>
          <w:lang w:val="de-CH"/>
        </w:rPr>
        <w:t xml:space="preserve"> </w:t>
      </w:r>
      <w:proofErr w:type="spellStart"/>
      <w:r w:rsidR="0073666E" w:rsidRPr="0073666E">
        <w:rPr>
          <w:lang w:val="de-CH"/>
        </w:rPr>
        <w:t>transmis</w:t>
      </w:r>
      <w:proofErr w:type="spellEnd"/>
      <w:r w:rsidR="0073666E" w:rsidRPr="0073666E">
        <w:rPr>
          <w:lang w:val="de-CH"/>
        </w:rPr>
        <w:t xml:space="preserve"> à </w:t>
      </w:r>
      <w:proofErr w:type="spellStart"/>
      <w:r w:rsidR="0073666E" w:rsidRPr="0073666E">
        <w:rPr>
          <w:lang w:val="de-CH"/>
        </w:rPr>
        <w:t>l’OFJ</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préavis</w:t>
      </w:r>
      <w:proofErr w:type="spellEnd"/>
      <w:r w:rsidR="0073666E" w:rsidRPr="0073666E">
        <w:rPr>
          <w:lang w:val="de-CH"/>
        </w:rPr>
        <w:t xml:space="preserve"> </w:t>
      </w:r>
      <w:proofErr w:type="spellStart"/>
      <w:r w:rsidR="0073666E" w:rsidRPr="0073666E">
        <w:rPr>
          <w:lang w:val="de-CH"/>
        </w:rPr>
        <w:t>quant</w:t>
      </w:r>
      <w:proofErr w:type="spellEnd"/>
      <w:r w:rsidR="0073666E" w:rsidRPr="0073666E">
        <w:rPr>
          <w:lang w:val="de-CH"/>
        </w:rPr>
        <w:t xml:space="preserve"> à la </w:t>
      </w:r>
      <w:proofErr w:type="spellStart"/>
      <w:r w:rsidR="0073666E" w:rsidRPr="0073666E">
        <w:rPr>
          <w:lang w:val="de-CH"/>
        </w:rPr>
        <w:t>possibilité</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extradition</w:t>
      </w:r>
      <w:proofErr w:type="spellEnd"/>
      <w:r w:rsidR="0073666E" w:rsidRPr="0073666E">
        <w:rPr>
          <w:lang w:val="de-CH"/>
        </w:rPr>
        <w:t xml:space="preserve">. </w:t>
      </w:r>
      <w:r w:rsidR="0073666E" w:rsidRPr="0073666E">
        <w:t>La décision d’initier et/ou de poursuivre la procédure revient à l’OFJ</w:t>
      </w:r>
      <w:r w:rsidR="000A0B7E">
        <w:t> </w:t>
      </w:r>
      <w:r w:rsidR="0073666E" w:rsidRPr="0073666E">
        <w:t xml:space="preserve">; ce dernier est, le cas échéant, habilité à user de tout moyen qui paraît utile pour procéder aux vérifications qui s’imposent. </w:t>
      </w:r>
      <w:r w:rsidR="0073666E" w:rsidRPr="0073666E">
        <w:rPr>
          <w:lang w:val="de-CH"/>
        </w:rPr>
        <w:t xml:space="preserve">Il </w:t>
      </w:r>
      <w:proofErr w:type="spellStart"/>
      <w:r w:rsidR="0073666E" w:rsidRPr="0073666E">
        <w:rPr>
          <w:lang w:val="de-CH"/>
        </w:rPr>
        <w:t>tient</w:t>
      </w:r>
      <w:proofErr w:type="spellEnd"/>
      <w:r w:rsidR="0073666E" w:rsidRPr="0073666E">
        <w:rPr>
          <w:lang w:val="de-CH"/>
        </w:rPr>
        <w:t xml:space="preserve"> </w:t>
      </w:r>
      <w:proofErr w:type="spellStart"/>
      <w:r w:rsidR="0073666E" w:rsidRPr="0073666E">
        <w:rPr>
          <w:lang w:val="de-CH"/>
        </w:rPr>
        <w:t>compte</w:t>
      </w:r>
      <w:proofErr w:type="spellEnd"/>
      <w:r w:rsidR="0073666E" w:rsidRPr="0073666E">
        <w:rPr>
          <w:lang w:val="de-CH"/>
        </w:rPr>
        <w:t xml:space="preserve"> de </w:t>
      </w:r>
      <w:proofErr w:type="spellStart"/>
      <w:r w:rsidR="0073666E" w:rsidRPr="0073666E">
        <w:rPr>
          <w:lang w:val="de-CH"/>
        </w:rPr>
        <w:t>l’ensemble</w:t>
      </w:r>
      <w:proofErr w:type="spellEnd"/>
      <w:r w:rsidR="0073666E" w:rsidRPr="0073666E">
        <w:rPr>
          <w:lang w:val="de-CH"/>
        </w:rPr>
        <w:t xml:space="preserve"> des </w:t>
      </w:r>
      <w:proofErr w:type="spellStart"/>
      <w:r w:rsidR="0073666E" w:rsidRPr="0073666E">
        <w:rPr>
          <w:lang w:val="de-CH"/>
        </w:rPr>
        <w:t>informations</w:t>
      </w:r>
      <w:proofErr w:type="spellEnd"/>
      <w:r w:rsidR="0073666E" w:rsidRPr="0073666E">
        <w:rPr>
          <w:lang w:val="de-CH"/>
        </w:rPr>
        <w:t xml:space="preserve"> </w:t>
      </w:r>
      <w:proofErr w:type="spellStart"/>
      <w:r w:rsidR="0073666E" w:rsidRPr="0073666E">
        <w:rPr>
          <w:lang w:val="de-CH"/>
        </w:rPr>
        <w:t>pertinentes</w:t>
      </w:r>
      <w:proofErr w:type="spellEnd"/>
      <w:r w:rsidR="0073666E" w:rsidRPr="0073666E">
        <w:rPr>
          <w:lang w:val="de-CH"/>
        </w:rPr>
        <w:t xml:space="preserve"> disponibles, y </w:t>
      </w:r>
      <w:proofErr w:type="spellStart"/>
      <w:r w:rsidR="0073666E" w:rsidRPr="0073666E">
        <w:rPr>
          <w:lang w:val="de-CH"/>
        </w:rPr>
        <w:t>compris</w:t>
      </w:r>
      <w:proofErr w:type="spellEnd"/>
      <w:r w:rsidR="0073666E" w:rsidRPr="0073666E">
        <w:rPr>
          <w:lang w:val="de-CH"/>
        </w:rPr>
        <w:t xml:space="preserve"> des </w:t>
      </w:r>
      <w:proofErr w:type="spellStart"/>
      <w:r w:rsidR="0073666E" w:rsidRPr="0073666E">
        <w:rPr>
          <w:lang w:val="de-CH"/>
        </w:rPr>
        <w:t>griefs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fait </w:t>
      </w:r>
      <w:proofErr w:type="spellStart"/>
      <w:r w:rsidR="0073666E" w:rsidRPr="0073666E">
        <w:rPr>
          <w:lang w:val="de-CH"/>
        </w:rPr>
        <w:t>valoir</w:t>
      </w:r>
      <w:proofErr w:type="spellEnd"/>
      <w:r w:rsidR="0073666E" w:rsidRPr="0073666E">
        <w:rPr>
          <w:lang w:val="de-CH"/>
        </w:rPr>
        <w:t xml:space="preserve">, le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échéant</w:t>
      </w:r>
      <w:proofErr w:type="spellEnd"/>
      <w:r w:rsidR="0073666E" w:rsidRPr="0073666E">
        <w:rPr>
          <w:lang w:val="de-CH"/>
        </w:rPr>
        <w:t xml:space="preserv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poursuivie</w:t>
      </w:r>
      <w:proofErr w:type="spellEnd"/>
      <w:r w:rsidR="0073666E" w:rsidRPr="0073666E">
        <w:rPr>
          <w:lang w:val="de-CH"/>
        </w:rPr>
        <w:t xml:space="preserve">, </w:t>
      </w:r>
      <w:proofErr w:type="spellStart"/>
      <w:r w:rsidR="0073666E" w:rsidRPr="0073666E">
        <w:rPr>
          <w:lang w:val="de-CH"/>
        </w:rPr>
        <w:t>voire</w:t>
      </w:r>
      <w:proofErr w:type="spellEnd"/>
      <w:r w:rsidR="0073666E" w:rsidRPr="0073666E">
        <w:rPr>
          <w:lang w:val="de-CH"/>
        </w:rPr>
        <w:t xml:space="preserve"> de </w:t>
      </w:r>
      <w:proofErr w:type="spellStart"/>
      <w:r w:rsidR="0073666E" w:rsidRPr="0073666E">
        <w:rPr>
          <w:lang w:val="de-CH"/>
        </w:rPr>
        <w:t>certains</w:t>
      </w:r>
      <w:proofErr w:type="spellEnd"/>
      <w:r w:rsidR="0073666E" w:rsidRPr="0073666E">
        <w:rPr>
          <w:lang w:val="de-CH"/>
        </w:rPr>
        <w:t xml:space="preserve"> </w:t>
      </w:r>
      <w:proofErr w:type="spellStart"/>
      <w:r w:rsidR="0073666E" w:rsidRPr="0073666E">
        <w:rPr>
          <w:lang w:val="de-CH"/>
        </w:rPr>
        <w:t>rapports</w:t>
      </w:r>
      <w:proofErr w:type="spellEnd"/>
      <w:r w:rsidR="0073666E" w:rsidRPr="0073666E">
        <w:rPr>
          <w:lang w:val="de-CH"/>
        </w:rPr>
        <w:t xml:space="preserve"> </w:t>
      </w:r>
      <w:proofErr w:type="spellStart"/>
      <w:r w:rsidR="0073666E" w:rsidRPr="0073666E">
        <w:rPr>
          <w:lang w:val="de-CH"/>
        </w:rPr>
        <w:t>d’organisations</w:t>
      </w:r>
      <w:proofErr w:type="spellEnd"/>
      <w:r w:rsidR="0073666E" w:rsidRPr="0073666E">
        <w:rPr>
          <w:lang w:val="de-CH"/>
        </w:rPr>
        <w:t xml:space="preserve"> non-gouvernementales.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poursuivie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invitée</w:t>
      </w:r>
      <w:proofErr w:type="spellEnd"/>
      <w:r w:rsidR="0073666E" w:rsidRPr="0073666E">
        <w:rPr>
          <w:lang w:val="de-CH"/>
        </w:rPr>
        <w:t xml:space="preserve"> à se </w:t>
      </w:r>
      <w:proofErr w:type="spellStart"/>
      <w:r w:rsidR="0073666E" w:rsidRPr="0073666E">
        <w:rPr>
          <w:lang w:val="de-CH"/>
        </w:rPr>
        <w:t>déterminer</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audition</w:t>
      </w:r>
      <w:proofErr w:type="spellEnd"/>
      <w:r w:rsidR="0073666E" w:rsidRPr="0073666E">
        <w:rPr>
          <w:lang w:val="de-CH"/>
        </w:rPr>
        <w:t xml:space="preserve"> </w:t>
      </w:r>
      <w:proofErr w:type="spellStart"/>
      <w:r w:rsidR="0073666E" w:rsidRPr="0073666E">
        <w:rPr>
          <w:lang w:val="de-CH"/>
        </w:rPr>
        <w:t>effectuée</w:t>
      </w:r>
      <w:proofErr w:type="spellEnd"/>
      <w:r w:rsidR="0073666E" w:rsidRPr="0073666E">
        <w:rPr>
          <w:lang w:val="de-CH"/>
        </w:rPr>
        <w:t xml:space="preserve"> </w:t>
      </w:r>
      <w:proofErr w:type="spellStart"/>
      <w:r w:rsidR="0073666E" w:rsidRPr="0073666E">
        <w:rPr>
          <w:lang w:val="de-CH"/>
        </w:rPr>
        <w:t>devant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autorité</w:t>
      </w:r>
      <w:proofErr w:type="spellEnd"/>
      <w:r w:rsidR="0073666E" w:rsidRPr="0073666E">
        <w:rPr>
          <w:lang w:val="de-CH"/>
        </w:rPr>
        <w:t xml:space="preserve"> de </w:t>
      </w:r>
      <w:proofErr w:type="spellStart"/>
      <w:r w:rsidR="0073666E" w:rsidRPr="0073666E">
        <w:rPr>
          <w:lang w:val="de-CH"/>
        </w:rPr>
        <w:t>poursuite</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délégation</w:t>
      </w:r>
      <w:proofErr w:type="spellEnd"/>
      <w:r w:rsidR="0073666E" w:rsidRPr="0073666E">
        <w:rPr>
          <w:lang w:val="de-CH"/>
        </w:rPr>
        <w:t xml:space="preserve"> de </w:t>
      </w:r>
      <w:proofErr w:type="spellStart"/>
      <w:r w:rsidR="0073666E" w:rsidRPr="0073666E">
        <w:rPr>
          <w:lang w:val="de-CH"/>
        </w:rPr>
        <w:t>l’OFJ</w:t>
      </w:r>
      <w:proofErr w:type="spellEnd"/>
      <w:r w:rsidR="0073666E" w:rsidRPr="0073666E">
        <w:rPr>
          <w:lang w:val="de-CH"/>
        </w:rPr>
        <w:t xml:space="preserve"> et </w:t>
      </w:r>
      <w:proofErr w:type="spellStart"/>
      <w:r w:rsidR="0073666E" w:rsidRPr="0073666E">
        <w:rPr>
          <w:lang w:val="de-CH"/>
        </w:rPr>
        <w:t>durant</w:t>
      </w:r>
      <w:proofErr w:type="spellEnd"/>
      <w:r w:rsidR="0073666E" w:rsidRPr="0073666E">
        <w:rPr>
          <w:lang w:val="de-CH"/>
        </w:rPr>
        <w:t xml:space="preserve"> </w:t>
      </w:r>
      <w:proofErr w:type="spellStart"/>
      <w:r w:rsidR="0073666E" w:rsidRPr="0073666E">
        <w:rPr>
          <w:lang w:val="de-CH"/>
        </w:rPr>
        <w:t>laquelle</w:t>
      </w:r>
      <w:proofErr w:type="spellEnd"/>
      <w:r w:rsidR="0073666E" w:rsidRPr="0073666E">
        <w:rPr>
          <w:lang w:val="de-CH"/>
        </w:rPr>
        <w:t xml:space="preserve"> la </w:t>
      </w:r>
      <w:proofErr w:type="spellStart"/>
      <w:r w:rsidR="0073666E" w:rsidRPr="0073666E">
        <w:rPr>
          <w:lang w:val="de-CH"/>
        </w:rPr>
        <w:t>demande</w:t>
      </w:r>
      <w:proofErr w:type="spellEnd"/>
      <w:r w:rsidR="0073666E" w:rsidRPr="0073666E">
        <w:rPr>
          <w:lang w:val="de-CH"/>
        </w:rPr>
        <w:t xml:space="preserve"> formelle </w:t>
      </w:r>
      <w:proofErr w:type="spellStart"/>
      <w:r w:rsidR="0073666E" w:rsidRPr="0073666E">
        <w:rPr>
          <w:lang w:val="de-CH"/>
        </w:rPr>
        <w:t>d’extradition</w:t>
      </w:r>
      <w:proofErr w:type="spellEnd"/>
      <w:r w:rsidR="0073666E" w:rsidRPr="0073666E">
        <w:rPr>
          <w:lang w:val="de-CH"/>
        </w:rPr>
        <w:t xml:space="preserve"> </w:t>
      </w:r>
      <w:proofErr w:type="spellStart"/>
      <w:r w:rsidR="0073666E" w:rsidRPr="0073666E">
        <w:rPr>
          <w:lang w:val="de-CH"/>
        </w:rPr>
        <w:t>étrangère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portée</w:t>
      </w:r>
      <w:proofErr w:type="spellEnd"/>
      <w:r w:rsidR="0073666E" w:rsidRPr="0073666E">
        <w:rPr>
          <w:lang w:val="de-CH"/>
        </w:rPr>
        <w:t xml:space="preserve"> à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connaissance</w:t>
      </w:r>
      <w:proofErr w:type="spellEnd"/>
      <w:r w:rsidR="0073666E" w:rsidRPr="0073666E">
        <w:rPr>
          <w:lang w:val="de-CH"/>
        </w:rPr>
        <w:t xml:space="preserve">, </w:t>
      </w:r>
      <w:proofErr w:type="spellStart"/>
      <w:r w:rsidR="0073666E" w:rsidRPr="0073666E">
        <w:rPr>
          <w:lang w:val="de-CH"/>
        </w:rPr>
        <w:t>conformément</w:t>
      </w:r>
      <w:proofErr w:type="spellEnd"/>
      <w:r w:rsidR="0073666E" w:rsidRPr="0073666E">
        <w:rPr>
          <w:lang w:val="de-CH"/>
        </w:rPr>
        <w:t xml:space="preserve"> à </w:t>
      </w:r>
      <w:proofErr w:type="spellStart"/>
      <w:r w:rsidR="0073666E" w:rsidRPr="0073666E">
        <w:rPr>
          <w:lang w:val="de-CH"/>
        </w:rPr>
        <w:t>l’art</w:t>
      </w:r>
      <w:proofErr w:type="spellEnd"/>
      <w:r w:rsidR="0073666E" w:rsidRPr="0073666E">
        <w:rPr>
          <w:lang w:val="de-CH"/>
        </w:rPr>
        <w:t xml:space="preserve">. 52, al. 1 et 2, EIMP, </w:t>
      </w:r>
      <w:proofErr w:type="spellStart"/>
      <w:r w:rsidR="0073666E" w:rsidRPr="0073666E">
        <w:rPr>
          <w:lang w:val="de-CH"/>
        </w:rPr>
        <w:t>puis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prise</w:t>
      </w:r>
      <w:proofErr w:type="spellEnd"/>
      <w:r w:rsidR="0073666E" w:rsidRPr="0073666E">
        <w:rPr>
          <w:lang w:val="de-CH"/>
        </w:rPr>
        <w:t xml:space="preserve"> de </w:t>
      </w:r>
      <w:proofErr w:type="spellStart"/>
      <w:r w:rsidR="0073666E" w:rsidRPr="0073666E">
        <w:rPr>
          <w:lang w:val="de-CH"/>
        </w:rPr>
        <w:t>position</w:t>
      </w:r>
      <w:proofErr w:type="spellEnd"/>
      <w:r w:rsidR="0073666E" w:rsidRPr="0073666E">
        <w:rPr>
          <w:lang w:val="de-CH"/>
        </w:rPr>
        <w:t xml:space="preserve"> </w:t>
      </w:r>
      <w:proofErr w:type="spellStart"/>
      <w:r w:rsidR="0073666E" w:rsidRPr="0073666E">
        <w:rPr>
          <w:lang w:val="de-CH"/>
        </w:rPr>
        <w:t>écrite</w:t>
      </w:r>
      <w:proofErr w:type="spellEnd"/>
      <w:r w:rsidR="0073666E" w:rsidRPr="0073666E">
        <w:rPr>
          <w:lang w:val="de-CH"/>
        </w:rPr>
        <w:t xml:space="preserve"> au sens de </w:t>
      </w:r>
      <w:proofErr w:type="spellStart"/>
      <w:r w:rsidR="0073666E" w:rsidRPr="0073666E">
        <w:rPr>
          <w:lang w:val="de-CH"/>
        </w:rPr>
        <w:t>l’art</w:t>
      </w:r>
      <w:proofErr w:type="spellEnd"/>
      <w:r w:rsidR="0073666E" w:rsidRPr="0073666E">
        <w:rPr>
          <w:lang w:val="de-CH"/>
        </w:rPr>
        <w:t xml:space="preserve">. 55, al. 1, EIMP. L’OFJ </w:t>
      </w:r>
      <w:proofErr w:type="spellStart"/>
      <w:r w:rsidR="0073666E" w:rsidRPr="0073666E">
        <w:rPr>
          <w:lang w:val="de-CH"/>
        </w:rPr>
        <w:t>prend</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en </w:t>
      </w:r>
      <w:proofErr w:type="spellStart"/>
      <w:r w:rsidR="0073666E" w:rsidRPr="0073666E">
        <w:rPr>
          <w:lang w:val="de-CH"/>
        </w:rPr>
        <w:t>compte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éléments</w:t>
      </w:r>
      <w:proofErr w:type="spellEnd"/>
      <w:r w:rsidR="0073666E" w:rsidRPr="0073666E">
        <w:rPr>
          <w:lang w:val="de-CH"/>
        </w:rPr>
        <w:t xml:space="preserve"> </w:t>
      </w:r>
      <w:proofErr w:type="spellStart"/>
      <w:r w:rsidR="0073666E" w:rsidRPr="0073666E">
        <w:rPr>
          <w:lang w:val="de-CH"/>
        </w:rPr>
        <w:t>fournis</w:t>
      </w:r>
      <w:proofErr w:type="spellEnd"/>
      <w:r w:rsidR="0073666E" w:rsidRPr="0073666E">
        <w:rPr>
          <w:lang w:val="de-CH"/>
        </w:rPr>
        <w:t xml:space="preserve"> par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poursuivie</w:t>
      </w:r>
      <w:proofErr w:type="spellEnd"/>
      <w:r w:rsidR="0073666E" w:rsidRPr="0073666E">
        <w:rPr>
          <w:lang w:val="de-CH"/>
        </w:rPr>
        <w:t xml:space="preserve">. Ces </w:t>
      </w:r>
      <w:proofErr w:type="spellStart"/>
      <w:r w:rsidR="0073666E" w:rsidRPr="0073666E">
        <w:rPr>
          <w:lang w:val="de-CH"/>
        </w:rPr>
        <w:t>derniers</w:t>
      </w:r>
      <w:proofErr w:type="spellEnd"/>
      <w:r w:rsidR="0073666E" w:rsidRPr="0073666E">
        <w:rPr>
          <w:lang w:val="de-CH"/>
        </w:rPr>
        <w:t xml:space="preserve"> </w:t>
      </w:r>
      <w:proofErr w:type="spellStart"/>
      <w:r w:rsidR="0073666E" w:rsidRPr="0073666E">
        <w:rPr>
          <w:lang w:val="de-CH"/>
        </w:rPr>
        <w:t>concernent</w:t>
      </w:r>
      <w:proofErr w:type="spellEnd"/>
      <w:r w:rsidR="0073666E" w:rsidRPr="0073666E">
        <w:rPr>
          <w:lang w:val="de-CH"/>
        </w:rPr>
        <w:t xml:space="preserve"> non </w:t>
      </w:r>
      <w:proofErr w:type="spellStart"/>
      <w:r w:rsidR="0073666E" w:rsidRPr="0073666E">
        <w:rPr>
          <w:lang w:val="de-CH"/>
        </w:rPr>
        <w:t>seulement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griefs</w:t>
      </w:r>
      <w:proofErr w:type="spellEnd"/>
      <w:r w:rsidR="0073666E" w:rsidRPr="0073666E">
        <w:rPr>
          <w:lang w:val="de-CH"/>
        </w:rPr>
        <w:t xml:space="preserve"> </w:t>
      </w:r>
      <w:proofErr w:type="spellStart"/>
      <w:r w:rsidR="0073666E" w:rsidRPr="0073666E">
        <w:rPr>
          <w:lang w:val="de-CH"/>
        </w:rPr>
        <w:t>usuellement</w:t>
      </w:r>
      <w:proofErr w:type="spellEnd"/>
      <w:r w:rsidR="0073666E" w:rsidRPr="0073666E">
        <w:rPr>
          <w:lang w:val="de-CH"/>
        </w:rPr>
        <w:t xml:space="preserve"> </w:t>
      </w:r>
      <w:proofErr w:type="spellStart"/>
      <w:r w:rsidR="0073666E" w:rsidRPr="0073666E">
        <w:rPr>
          <w:lang w:val="de-CH"/>
        </w:rPr>
        <w:t>invoqués</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d’extradition</w:t>
      </w:r>
      <w:proofErr w:type="spellEnd"/>
      <w:r w:rsidR="0073666E" w:rsidRPr="0073666E">
        <w:rPr>
          <w:lang w:val="de-CH"/>
        </w:rPr>
        <w:t xml:space="preserve"> </w:t>
      </w:r>
      <w:proofErr w:type="spellStart"/>
      <w:r w:rsidR="0073666E" w:rsidRPr="0073666E">
        <w:rPr>
          <w:lang w:val="de-CH"/>
        </w:rPr>
        <w:t>mais</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tout</w:t>
      </w:r>
      <w:proofErr w:type="spellEnd"/>
      <w:r w:rsidR="0073666E" w:rsidRPr="0073666E">
        <w:rPr>
          <w:lang w:val="de-CH"/>
        </w:rPr>
        <w:t xml:space="preserve"> </w:t>
      </w:r>
      <w:proofErr w:type="spellStart"/>
      <w:r w:rsidR="0073666E" w:rsidRPr="0073666E">
        <w:rPr>
          <w:lang w:val="de-CH"/>
        </w:rPr>
        <w:t>argument</w:t>
      </w:r>
      <w:proofErr w:type="spellEnd"/>
      <w:r w:rsidR="0073666E" w:rsidRPr="0073666E">
        <w:rPr>
          <w:lang w:val="de-CH"/>
        </w:rPr>
        <w:t xml:space="preserve"> </w:t>
      </w:r>
      <w:proofErr w:type="spellStart"/>
      <w:r w:rsidR="0073666E" w:rsidRPr="0073666E">
        <w:rPr>
          <w:lang w:val="de-CH"/>
        </w:rPr>
        <w:t>pouvant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soulevé</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d’asile</w:t>
      </w:r>
      <w:proofErr w:type="spellEnd"/>
      <w:r w:rsidR="0073666E" w:rsidRPr="0073666E">
        <w:rPr>
          <w:lang w:val="de-CH"/>
        </w:rPr>
        <w:t xml:space="preserve">. En </w:t>
      </w:r>
      <w:proofErr w:type="spellStart"/>
      <w:r w:rsidR="0073666E" w:rsidRPr="0073666E">
        <w:rPr>
          <w:lang w:val="de-CH"/>
        </w:rPr>
        <w:t>effet</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55a EIMP </w:t>
      </w:r>
      <w:proofErr w:type="spellStart"/>
      <w:r w:rsidR="0073666E" w:rsidRPr="0073666E">
        <w:rPr>
          <w:lang w:val="de-CH"/>
        </w:rPr>
        <w:t>prévoit</w:t>
      </w:r>
      <w:proofErr w:type="spellEnd"/>
      <w:r w:rsidR="0073666E" w:rsidRPr="0073666E">
        <w:rPr>
          <w:lang w:val="de-CH"/>
        </w:rPr>
        <w:t xml:space="preserve"> </w:t>
      </w:r>
      <w:proofErr w:type="spellStart"/>
      <w:r w:rsidR="0073666E" w:rsidRPr="0073666E">
        <w:rPr>
          <w:lang w:val="de-CH"/>
        </w:rPr>
        <w:t>explicitement</w:t>
      </w:r>
      <w:proofErr w:type="spellEnd"/>
      <w:r w:rsidR="0073666E" w:rsidRPr="0073666E">
        <w:rPr>
          <w:lang w:val="de-CH"/>
        </w:rPr>
        <w:t xml:space="preserve"> la </w:t>
      </w:r>
      <w:proofErr w:type="spellStart"/>
      <w:r w:rsidR="0073666E" w:rsidRPr="0073666E">
        <w:rPr>
          <w:lang w:val="de-CH"/>
        </w:rPr>
        <w:t>consultation</w:t>
      </w:r>
      <w:proofErr w:type="spellEnd"/>
      <w:r w:rsidR="0073666E" w:rsidRPr="0073666E">
        <w:rPr>
          <w:lang w:val="de-CH"/>
        </w:rPr>
        <w:t xml:space="preserve"> de </w:t>
      </w:r>
      <w:proofErr w:type="spellStart"/>
      <w:r w:rsidR="0073666E" w:rsidRPr="0073666E">
        <w:rPr>
          <w:lang w:val="de-CH"/>
        </w:rPr>
        <w:t>l’ensemble</w:t>
      </w:r>
      <w:proofErr w:type="spellEnd"/>
      <w:r w:rsidR="0073666E" w:rsidRPr="0073666E">
        <w:rPr>
          <w:lang w:val="de-CH"/>
        </w:rPr>
        <w:t xml:space="preserve"> des </w:t>
      </w:r>
      <w:proofErr w:type="spellStart"/>
      <w:r w:rsidR="0073666E" w:rsidRPr="0073666E">
        <w:rPr>
          <w:lang w:val="de-CH"/>
        </w:rPr>
        <w:t>documents</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d’asile</w:t>
      </w:r>
      <w:proofErr w:type="spellEnd"/>
      <w:r w:rsidR="0073666E" w:rsidRPr="0073666E">
        <w:rPr>
          <w:lang w:val="de-CH"/>
        </w:rPr>
        <w:t xml:space="preserve"> </w:t>
      </w:r>
      <w:proofErr w:type="spellStart"/>
      <w:r w:rsidR="0073666E" w:rsidRPr="0073666E">
        <w:rPr>
          <w:lang w:val="de-CH"/>
        </w:rPr>
        <w:t>existant</w:t>
      </w:r>
      <w:proofErr w:type="spellEnd"/>
      <w:r w:rsidR="0073666E" w:rsidRPr="0073666E">
        <w:rPr>
          <w:lang w:val="de-CH"/>
        </w:rPr>
        <w:t xml:space="preserve"> en </w:t>
      </w:r>
      <w:proofErr w:type="spellStart"/>
      <w:r w:rsidR="0073666E" w:rsidRPr="0073666E">
        <w:rPr>
          <w:lang w:val="de-CH"/>
        </w:rPr>
        <w:t>parallèle</w:t>
      </w:r>
      <w:proofErr w:type="spellEnd"/>
      <w:r w:rsidR="0073666E" w:rsidRPr="0073666E">
        <w:rPr>
          <w:lang w:val="de-CH"/>
        </w:rPr>
        <w:t xml:space="preserve"> de la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d’extradition</w:t>
      </w:r>
      <w:proofErr w:type="spellEnd"/>
      <w:r w:rsidR="0073666E" w:rsidRPr="0073666E">
        <w:rPr>
          <w:lang w:val="de-CH"/>
        </w:rPr>
        <w:t xml:space="preserve">. Au </w:t>
      </w:r>
      <w:proofErr w:type="spellStart"/>
      <w:r w:rsidR="0073666E" w:rsidRPr="0073666E">
        <w:rPr>
          <w:lang w:val="de-CH"/>
        </w:rPr>
        <w:t>moment</w:t>
      </w:r>
      <w:proofErr w:type="spellEnd"/>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w:t>
      </w:r>
      <w:proofErr w:type="spellStart"/>
      <w:r w:rsidR="0073666E" w:rsidRPr="0073666E">
        <w:rPr>
          <w:lang w:val="de-CH"/>
        </w:rPr>
        <w:t>l’OFJ</w:t>
      </w:r>
      <w:proofErr w:type="spellEnd"/>
      <w:r w:rsidR="0073666E" w:rsidRPr="0073666E">
        <w:rPr>
          <w:lang w:val="de-CH"/>
        </w:rPr>
        <w:t xml:space="preserve"> </w:t>
      </w:r>
      <w:proofErr w:type="spellStart"/>
      <w:r w:rsidR="0073666E" w:rsidRPr="0073666E">
        <w:rPr>
          <w:lang w:val="de-CH"/>
        </w:rPr>
        <w:t>statue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l’extradition</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doit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établi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l’ensemble</w:t>
      </w:r>
      <w:proofErr w:type="spellEnd"/>
      <w:r w:rsidR="0073666E" w:rsidRPr="0073666E">
        <w:rPr>
          <w:lang w:val="de-CH"/>
        </w:rPr>
        <w:t xml:space="preserve"> des </w:t>
      </w:r>
      <w:proofErr w:type="spellStart"/>
      <w:r w:rsidR="0073666E" w:rsidRPr="0073666E">
        <w:rPr>
          <w:lang w:val="de-CH"/>
        </w:rPr>
        <w:t>droits</w:t>
      </w:r>
      <w:proofErr w:type="spellEnd"/>
      <w:r w:rsidR="0073666E" w:rsidRPr="0073666E">
        <w:rPr>
          <w:lang w:val="de-CH"/>
        </w:rPr>
        <w:t xml:space="preserve"> </w:t>
      </w:r>
      <w:proofErr w:type="spellStart"/>
      <w:r w:rsidR="0073666E" w:rsidRPr="0073666E">
        <w:rPr>
          <w:lang w:val="de-CH"/>
        </w:rPr>
        <w:t>fondamentaux</w:t>
      </w:r>
      <w:proofErr w:type="spellEnd"/>
      <w:r w:rsidR="0073666E" w:rsidRPr="0073666E">
        <w:rPr>
          <w:lang w:val="de-CH"/>
        </w:rPr>
        <w:t xml:space="preserve"> de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extradée</w:t>
      </w:r>
      <w:proofErr w:type="spellEnd"/>
      <w:r w:rsidR="0073666E" w:rsidRPr="0073666E">
        <w:rPr>
          <w:lang w:val="de-CH"/>
        </w:rPr>
        <w:t xml:space="preserve"> </w:t>
      </w:r>
      <w:proofErr w:type="spellStart"/>
      <w:r w:rsidR="0073666E" w:rsidRPr="0073666E">
        <w:rPr>
          <w:lang w:val="de-CH"/>
        </w:rPr>
        <w:t>seront</w:t>
      </w:r>
      <w:proofErr w:type="spellEnd"/>
      <w:r w:rsidR="0073666E" w:rsidRPr="0073666E">
        <w:rPr>
          <w:lang w:val="de-CH"/>
        </w:rPr>
        <w:t xml:space="preserve"> </w:t>
      </w:r>
      <w:proofErr w:type="spellStart"/>
      <w:r w:rsidR="0073666E" w:rsidRPr="0073666E">
        <w:rPr>
          <w:lang w:val="de-CH"/>
        </w:rPr>
        <w:t>respectés</w:t>
      </w:r>
      <w:proofErr w:type="spellEnd"/>
      <w:r w:rsidR="0073666E" w:rsidRPr="0073666E">
        <w:rPr>
          <w:lang w:val="de-CH"/>
        </w:rPr>
        <w:t xml:space="preserve">, </w:t>
      </w:r>
      <w:proofErr w:type="spellStart"/>
      <w:r w:rsidR="0073666E" w:rsidRPr="0073666E">
        <w:rPr>
          <w:lang w:val="de-CH"/>
        </w:rPr>
        <w:t>conformément</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exigences</w:t>
      </w:r>
      <w:proofErr w:type="spellEnd"/>
      <w:r w:rsidR="0073666E" w:rsidRPr="0073666E">
        <w:rPr>
          <w:lang w:val="de-CH"/>
        </w:rPr>
        <w:t xml:space="preserve"> de </w:t>
      </w:r>
      <w:proofErr w:type="spellStart"/>
      <w:r w:rsidR="0073666E" w:rsidRPr="0073666E">
        <w:rPr>
          <w:lang w:val="de-CH"/>
        </w:rPr>
        <w:t>l’art</w:t>
      </w:r>
      <w:proofErr w:type="spellEnd"/>
      <w:r w:rsidR="0073666E" w:rsidRPr="0073666E">
        <w:rPr>
          <w:lang w:val="de-CH"/>
        </w:rPr>
        <w:t xml:space="preserve">. 2 EIMP. </w:t>
      </w:r>
      <w:r w:rsidR="0073666E" w:rsidRPr="0073666E">
        <w:t>Il convient de préciser que le non-respect des garanties diplomatiques fournies par l’</w:t>
      </w:r>
      <w:r w:rsidR="00D94D41">
        <w:t>État</w:t>
      </w:r>
      <w:r w:rsidR="0073666E" w:rsidRPr="0073666E">
        <w:t xml:space="preserve"> requérant engage sa responsabilité internationale</w:t>
      </w:r>
      <w:r w:rsidR="0073666E" w:rsidRPr="009E1FD5">
        <w:rPr>
          <w:rStyle w:val="Appelnotedebasdep"/>
        </w:rPr>
        <w:footnoteReference w:id="14"/>
      </w:r>
      <w:r w:rsidR="007C10B9" w:rsidRPr="00971C84">
        <w:t>.</w:t>
      </w:r>
    </w:p>
    <w:p w14:paraId="3BF1B221" w14:textId="77777777" w:rsidR="0073666E" w:rsidRPr="00D15B10" w:rsidRDefault="00D15B10" w:rsidP="00D15B10">
      <w:pPr>
        <w:pStyle w:val="SingleTxtG"/>
      </w:pPr>
      <w:r>
        <w:rPr>
          <w:lang w:val="de-CH"/>
        </w:rPr>
        <w:t>33.</w:t>
      </w:r>
      <w:r>
        <w:rPr>
          <w:lang w:val="de-CH"/>
        </w:rPr>
        <w:tab/>
      </w:r>
      <w:r w:rsidR="0073666E" w:rsidRPr="0073666E">
        <w:rPr>
          <w:lang w:val="de-CH"/>
        </w:rPr>
        <w:t xml:space="preserve">Au </w:t>
      </w:r>
      <w:proofErr w:type="spellStart"/>
      <w:r w:rsidR="0073666E" w:rsidRPr="0073666E">
        <w:rPr>
          <w:lang w:val="de-CH"/>
        </w:rPr>
        <w:t>surplus</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utile</w:t>
      </w:r>
      <w:proofErr w:type="spellEnd"/>
      <w:r w:rsidR="0073666E" w:rsidRPr="0073666E">
        <w:rPr>
          <w:lang w:val="de-CH"/>
        </w:rPr>
        <w:t xml:space="preserve"> de </w:t>
      </w:r>
      <w:proofErr w:type="spellStart"/>
      <w:r w:rsidR="0073666E" w:rsidRPr="0073666E">
        <w:rPr>
          <w:lang w:val="de-CH"/>
        </w:rPr>
        <w:t>rappeler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principe</w:t>
      </w:r>
      <w:proofErr w:type="spellEnd"/>
      <w:r w:rsidR="0073666E" w:rsidRPr="0073666E">
        <w:rPr>
          <w:lang w:val="de-CH"/>
        </w:rPr>
        <w:t xml:space="preserve"> de non-refoulement </w:t>
      </w:r>
      <w:proofErr w:type="spellStart"/>
      <w:r w:rsidR="0073666E" w:rsidRPr="0073666E">
        <w:rPr>
          <w:lang w:val="de-CH"/>
        </w:rPr>
        <w:t>s’applique</w:t>
      </w:r>
      <w:proofErr w:type="spellEnd"/>
      <w:r w:rsidR="0073666E" w:rsidRPr="0073666E">
        <w:rPr>
          <w:lang w:val="de-CH"/>
        </w:rPr>
        <w:t xml:space="preserve"> à </w:t>
      </w:r>
      <w:proofErr w:type="spellStart"/>
      <w:r w:rsidR="0073666E" w:rsidRPr="0073666E">
        <w:rPr>
          <w:lang w:val="de-CH"/>
        </w:rPr>
        <w:t>toute</w:t>
      </w:r>
      <w:proofErr w:type="spellEnd"/>
      <w:r w:rsidR="0073666E" w:rsidRPr="0073666E">
        <w:rPr>
          <w:lang w:val="de-CH"/>
        </w:rPr>
        <w:t xml:space="preserve">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dont</w:t>
      </w:r>
      <w:proofErr w:type="spellEnd"/>
      <w:r w:rsidR="0073666E" w:rsidRPr="0073666E">
        <w:rPr>
          <w:lang w:val="de-CH"/>
        </w:rPr>
        <w:t xml:space="preserve"> </w:t>
      </w:r>
      <w:proofErr w:type="spellStart"/>
      <w:r w:rsidR="0073666E" w:rsidRPr="0073666E">
        <w:rPr>
          <w:lang w:val="de-CH"/>
        </w:rPr>
        <w:t>l’extradition</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demandée</w:t>
      </w:r>
      <w:proofErr w:type="spellEnd"/>
      <w:r w:rsidR="0073666E" w:rsidRPr="0073666E">
        <w:rPr>
          <w:lang w:val="de-CH"/>
        </w:rPr>
        <w:t xml:space="preserve"> et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bénéficie</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statut</w:t>
      </w:r>
      <w:proofErr w:type="spellEnd"/>
      <w:r w:rsidR="0073666E" w:rsidRPr="0073666E">
        <w:rPr>
          <w:lang w:val="de-CH"/>
        </w:rPr>
        <w:t xml:space="preserve"> de </w:t>
      </w:r>
      <w:proofErr w:type="spellStart"/>
      <w:r w:rsidR="0073666E" w:rsidRPr="0073666E">
        <w:rPr>
          <w:lang w:val="de-CH"/>
        </w:rPr>
        <w:t>réfugié</w:t>
      </w:r>
      <w:proofErr w:type="spellEnd"/>
      <w:r w:rsidR="0073666E" w:rsidRPr="0073666E">
        <w:rPr>
          <w:lang w:val="de-CH"/>
        </w:rPr>
        <w:t xml:space="preserve"> au sens de </w:t>
      </w:r>
      <w:proofErr w:type="spellStart"/>
      <w:r w:rsidR="0073666E" w:rsidRPr="0073666E">
        <w:rPr>
          <w:lang w:val="de-CH"/>
        </w:rPr>
        <w:t>l’art</w:t>
      </w:r>
      <w:proofErr w:type="spellEnd"/>
      <w:r w:rsidR="0073666E" w:rsidRPr="0073666E">
        <w:rPr>
          <w:lang w:val="de-CH"/>
        </w:rPr>
        <w:t xml:space="preserve">. 33 </w:t>
      </w:r>
      <w:r w:rsidR="0073666E" w:rsidRPr="00D15B10">
        <w:t>de la Convention du 28 juillet 1951 relative au statut des réfugiés et conformément à l’art. 5 de la loi fédérale sur l’asile (</w:t>
      </w:r>
      <w:proofErr w:type="spellStart"/>
      <w:r w:rsidR="0073666E" w:rsidRPr="00D15B10">
        <w:t>LAsi</w:t>
      </w:r>
      <w:proofErr w:type="spellEnd"/>
      <w:r w:rsidR="0073666E" w:rsidRPr="00D15B10">
        <w:t xml:space="preserve">). Il n’est pas nécessaire que le statut de réfugié ait été obtenu en Suisse. Cette protection n’empêche toutefois l’extradition de la personne recherchée que vers son </w:t>
      </w:r>
      <w:r w:rsidR="00D94D41">
        <w:t>État</w:t>
      </w:r>
      <w:r w:rsidR="0073666E" w:rsidRPr="00D15B10">
        <w:t xml:space="preserve"> d’origine.</w:t>
      </w:r>
    </w:p>
    <w:p w14:paraId="424B6B30" w14:textId="77777777" w:rsidR="0073666E" w:rsidRPr="00D15B10" w:rsidRDefault="00D15B10" w:rsidP="00D15B10">
      <w:pPr>
        <w:pStyle w:val="SingleTxtG"/>
      </w:pPr>
      <w:r>
        <w:t>34.</w:t>
      </w:r>
      <w:r>
        <w:tab/>
      </w:r>
      <w:r w:rsidR="0073666E" w:rsidRPr="00D15B10">
        <w:t xml:space="preserve">Dans la pratique extraditionnelle usuelle, l’OFJ ne requiert en principe pas de son propre chef des expertises médicales. Toutefois, dans la mesure où la situation le nécessiterait, une voire plusieurs expertises peuvent être requises par l’OFJ si des éclaircissements sur la condition de la personne concernée s’imposent. </w:t>
      </w:r>
      <w:r w:rsidR="002B6ED6">
        <w:t>À</w:t>
      </w:r>
      <w:r w:rsidR="0073666E" w:rsidRPr="00D15B10">
        <w:t xml:space="preserve"> ce jour, une expertise médicale, établie sur base du Protocole d’Istanbul, n’a été présentée qu’à une reprise dans une procédure d’extradition, à savoir dans l’affaire </w:t>
      </w:r>
      <w:proofErr w:type="spellStart"/>
      <w:r w:rsidR="0073666E" w:rsidRPr="00D15B10">
        <w:t>Nekane</w:t>
      </w:r>
      <w:proofErr w:type="spellEnd"/>
      <w:r w:rsidR="0073666E" w:rsidRPr="00D15B10">
        <w:t xml:space="preserve"> </w:t>
      </w:r>
      <w:proofErr w:type="spellStart"/>
      <w:r w:rsidR="0073666E" w:rsidRPr="00D15B10">
        <w:t>Txapartegi</w:t>
      </w:r>
      <w:proofErr w:type="spellEnd"/>
      <w:r w:rsidR="0073666E" w:rsidRPr="00D15B10">
        <w:t xml:space="preserve">, qui sera traitée au paragraphe 48ss. </w:t>
      </w:r>
    </w:p>
    <w:p w14:paraId="625BEA0D" w14:textId="77777777" w:rsidR="0073666E" w:rsidRPr="0073666E" w:rsidRDefault="00D15B10" w:rsidP="00D15B10">
      <w:pPr>
        <w:pStyle w:val="SingleTxtG"/>
        <w:rPr>
          <w:lang w:val="de-CH"/>
        </w:rPr>
      </w:pPr>
      <w:r>
        <w:t>35.</w:t>
      </w:r>
      <w:r>
        <w:tab/>
      </w:r>
      <w:r w:rsidR="0073666E" w:rsidRPr="00D15B10">
        <w:t>Au cours de la procédure d’extradition, et comme mentionné ci-dessus, il peut arriver que la personne recherchée produise – dans le cadre de ses déterminations éventuelles à la demande formelle</w:t>
      </w:r>
      <w:r w:rsidR="0073666E" w:rsidRPr="0073666E">
        <w:t xml:space="preserve"> d’extradition étrangère – des attestations et/ou des rapports médicaux</w:t>
      </w:r>
      <w:r w:rsidR="0073666E" w:rsidRPr="009E1FD5">
        <w:rPr>
          <w:rStyle w:val="Appelnotedebasdep"/>
        </w:rPr>
        <w:footnoteReference w:id="15"/>
      </w:r>
      <w:r w:rsidR="00CB6ECE">
        <w:t>.</w:t>
      </w:r>
      <w:r w:rsidR="0073666E" w:rsidRPr="0073666E">
        <w:t xml:space="preserve"> Ces derniers peuvent porter sur un risque de traitements prohibés, dont ferait l’objet la personne recherchée en cas d’extradition, mais également sur son état de santé, lequel constituerait un obstacle à l’extradition. </w:t>
      </w:r>
      <w:r w:rsidR="0073666E" w:rsidRPr="0073666E">
        <w:rPr>
          <w:lang w:val="de-CH"/>
        </w:rPr>
        <w:t xml:space="preserve">Ces </w:t>
      </w:r>
      <w:proofErr w:type="spellStart"/>
      <w:r w:rsidR="0073666E" w:rsidRPr="0073666E">
        <w:rPr>
          <w:lang w:val="de-CH"/>
        </w:rPr>
        <w:t>pièces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examinées</w:t>
      </w:r>
      <w:proofErr w:type="spellEnd"/>
      <w:r w:rsidR="0073666E" w:rsidRPr="0073666E">
        <w:rPr>
          <w:lang w:val="de-CH"/>
        </w:rPr>
        <w:t xml:space="preserve"> </w:t>
      </w:r>
      <w:proofErr w:type="spellStart"/>
      <w:r w:rsidR="0073666E" w:rsidRPr="0073666E">
        <w:rPr>
          <w:lang w:val="de-CH"/>
        </w:rPr>
        <w:t>lorsque</w:t>
      </w:r>
      <w:proofErr w:type="spellEnd"/>
      <w:r w:rsidR="0073666E" w:rsidRPr="0073666E">
        <w:rPr>
          <w:lang w:val="de-CH"/>
        </w:rPr>
        <w:t xml:space="preserve"> </w:t>
      </w:r>
      <w:proofErr w:type="spellStart"/>
      <w:r w:rsidR="0073666E" w:rsidRPr="0073666E">
        <w:rPr>
          <w:lang w:val="de-CH"/>
        </w:rPr>
        <w:t>l’OFJ</w:t>
      </w:r>
      <w:proofErr w:type="spellEnd"/>
      <w:r w:rsidR="0073666E" w:rsidRPr="0073666E">
        <w:rPr>
          <w:lang w:val="de-CH"/>
        </w:rPr>
        <w:t xml:space="preserve"> </w:t>
      </w:r>
      <w:proofErr w:type="spellStart"/>
      <w:r w:rsidR="0073666E" w:rsidRPr="0073666E">
        <w:rPr>
          <w:lang w:val="de-CH"/>
        </w:rPr>
        <w:t>statue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l’extradition</w:t>
      </w:r>
      <w:proofErr w:type="spellEnd"/>
      <w:r w:rsidR="0073666E" w:rsidRPr="0073666E">
        <w:rPr>
          <w:lang w:val="de-CH"/>
        </w:rPr>
        <w:t xml:space="preserve">. </w:t>
      </w:r>
      <w:proofErr w:type="spellStart"/>
      <w:r w:rsidR="0073666E" w:rsidRPr="0073666E">
        <w:rPr>
          <w:lang w:val="de-CH"/>
        </w:rPr>
        <w:t>Toutefois</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ne </w:t>
      </w:r>
      <w:proofErr w:type="spellStart"/>
      <w:r w:rsidR="0073666E" w:rsidRPr="0073666E">
        <w:rPr>
          <w:lang w:val="de-CH"/>
        </w:rPr>
        <w:t>faut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perdre</w:t>
      </w:r>
      <w:proofErr w:type="spellEnd"/>
      <w:r w:rsidR="0073666E" w:rsidRPr="0073666E">
        <w:rPr>
          <w:lang w:val="de-CH"/>
        </w:rPr>
        <w:t xml:space="preserve"> de </w:t>
      </w:r>
      <w:proofErr w:type="spellStart"/>
      <w:r w:rsidR="0073666E" w:rsidRPr="0073666E">
        <w:rPr>
          <w:lang w:val="de-CH"/>
        </w:rPr>
        <w:t>vue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part</w:t>
      </w:r>
      <w:proofErr w:type="spellEnd"/>
      <w:r w:rsidR="0073666E" w:rsidRPr="0073666E">
        <w:rPr>
          <w:lang w:val="de-CH"/>
        </w:rPr>
        <w:t xml:space="preserve">, </w:t>
      </w:r>
      <w:proofErr w:type="spellStart"/>
      <w:r w:rsidR="0073666E" w:rsidRPr="0073666E">
        <w:rPr>
          <w:lang w:val="de-CH"/>
        </w:rPr>
        <w:t>l’état</w:t>
      </w:r>
      <w:proofErr w:type="spellEnd"/>
      <w:r w:rsidR="0073666E" w:rsidRPr="0073666E">
        <w:rPr>
          <w:lang w:val="de-CH"/>
        </w:rPr>
        <w:t xml:space="preserve"> de </w:t>
      </w:r>
      <w:proofErr w:type="spellStart"/>
      <w:r w:rsidR="0073666E" w:rsidRPr="0073666E">
        <w:rPr>
          <w:lang w:val="de-CH"/>
        </w:rPr>
        <w:t>santé</w:t>
      </w:r>
      <w:proofErr w:type="spellEnd"/>
      <w:r w:rsidR="0073666E" w:rsidRPr="0073666E">
        <w:rPr>
          <w:lang w:val="de-CH"/>
        </w:rPr>
        <w:t xml:space="preserve"> de </w:t>
      </w:r>
      <w:proofErr w:type="spellStart"/>
      <w:r w:rsidR="0073666E" w:rsidRPr="0073666E">
        <w:rPr>
          <w:lang w:val="de-CH"/>
        </w:rPr>
        <w:t>l’extradable</w:t>
      </w:r>
      <w:proofErr w:type="spellEnd"/>
      <w:r w:rsidR="0073666E" w:rsidRPr="0073666E">
        <w:rPr>
          <w:lang w:val="de-CH"/>
        </w:rPr>
        <w:t xml:space="preserve"> ne </w:t>
      </w:r>
      <w:proofErr w:type="spellStart"/>
      <w:r w:rsidR="0073666E" w:rsidRPr="0073666E">
        <w:rPr>
          <w:lang w:val="de-CH"/>
        </w:rPr>
        <w:t>constitue</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en </w:t>
      </w:r>
      <w:proofErr w:type="spellStart"/>
      <w:r w:rsidR="0073666E" w:rsidRPr="0073666E">
        <w:rPr>
          <w:lang w:val="de-CH"/>
        </w:rPr>
        <w:t>soi</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motif</w:t>
      </w:r>
      <w:proofErr w:type="spellEnd"/>
      <w:r w:rsidR="0073666E" w:rsidRPr="0073666E">
        <w:rPr>
          <w:lang w:val="de-CH"/>
        </w:rPr>
        <w:t xml:space="preserve"> de </w:t>
      </w:r>
      <w:proofErr w:type="spellStart"/>
      <w:r w:rsidR="0073666E" w:rsidRPr="0073666E">
        <w:rPr>
          <w:lang w:val="de-CH"/>
        </w:rPr>
        <w:t>refus</w:t>
      </w:r>
      <w:proofErr w:type="spellEnd"/>
      <w:r w:rsidR="0073666E" w:rsidRPr="0073666E">
        <w:rPr>
          <w:lang w:val="de-CH"/>
        </w:rPr>
        <w:t xml:space="preserve"> de </w:t>
      </w:r>
      <w:proofErr w:type="spellStart"/>
      <w:r w:rsidR="0073666E" w:rsidRPr="0073666E">
        <w:rPr>
          <w:lang w:val="de-CH"/>
        </w:rPr>
        <w:t>l’extradition</w:t>
      </w:r>
      <w:proofErr w:type="spellEnd"/>
      <w:r w:rsidR="0073666E" w:rsidRPr="0073666E">
        <w:rPr>
          <w:lang w:val="de-CH"/>
        </w:rPr>
        <w:t xml:space="preserve"> au sens de la Convention </w:t>
      </w:r>
      <w:proofErr w:type="spellStart"/>
      <w:r w:rsidR="0073666E" w:rsidRPr="0073666E">
        <w:rPr>
          <w:lang w:val="de-CH"/>
        </w:rPr>
        <w:t>européenne</w:t>
      </w:r>
      <w:proofErr w:type="spellEnd"/>
      <w:r w:rsidR="0073666E" w:rsidRPr="0073666E">
        <w:rPr>
          <w:lang w:val="de-CH"/>
        </w:rPr>
        <w:t xml:space="preserve"> </w:t>
      </w:r>
      <w:proofErr w:type="spellStart"/>
      <w:r w:rsidR="0073666E" w:rsidRPr="0073666E">
        <w:rPr>
          <w:lang w:val="de-CH"/>
        </w:rPr>
        <w:t>d’extradition</w:t>
      </w:r>
      <w:proofErr w:type="spellEnd"/>
      <w:r w:rsidR="0073666E" w:rsidRPr="0073666E">
        <w:rPr>
          <w:lang w:val="de-CH"/>
        </w:rPr>
        <w:t xml:space="preserve"> (</w:t>
      </w:r>
      <w:proofErr w:type="spellStart"/>
      <w:r w:rsidR="0073666E" w:rsidRPr="0073666E">
        <w:rPr>
          <w:lang w:val="de-CH"/>
        </w:rPr>
        <w:t>CEExtr</w:t>
      </w:r>
      <w:proofErr w:type="spellEnd"/>
      <w:r w:rsidR="0073666E" w:rsidRPr="0073666E">
        <w:rPr>
          <w:lang w:val="de-CH"/>
        </w:rPr>
        <w:t xml:space="preserve">) </w:t>
      </w:r>
      <w:proofErr w:type="spellStart"/>
      <w:r w:rsidR="0073666E" w:rsidRPr="0073666E">
        <w:rPr>
          <w:lang w:val="de-CH"/>
        </w:rPr>
        <w:t>comme</w:t>
      </w:r>
      <w:proofErr w:type="spellEnd"/>
      <w:r w:rsidR="0073666E" w:rsidRPr="0073666E">
        <w:rPr>
          <w:lang w:val="de-CH"/>
        </w:rPr>
        <w:t xml:space="preserve"> de </w:t>
      </w:r>
      <w:proofErr w:type="spellStart"/>
      <w:r w:rsidR="0073666E" w:rsidRPr="0073666E">
        <w:rPr>
          <w:lang w:val="de-CH"/>
        </w:rPr>
        <w:t>l’EIMP</w:t>
      </w:r>
      <w:proofErr w:type="spellEnd"/>
      <w:r w:rsidR="0073666E" w:rsidRPr="0073666E">
        <w:rPr>
          <w:lang w:val="de-CH"/>
        </w:rPr>
        <w:t xml:space="preserve"> et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d’autre</w:t>
      </w:r>
      <w:proofErr w:type="spellEnd"/>
      <w:r w:rsidR="0073666E" w:rsidRPr="0073666E">
        <w:rPr>
          <w:lang w:val="de-CH"/>
        </w:rPr>
        <w:t xml:space="preserve"> </w:t>
      </w:r>
      <w:proofErr w:type="spellStart"/>
      <w:r w:rsidR="0073666E" w:rsidRPr="0073666E">
        <w:rPr>
          <w:lang w:val="de-CH"/>
        </w:rPr>
        <w:t>part</w:t>
      </w:r>
      <w:proofErr w:type="spellEnd"/>
      <w:r w:rsidR="0073666E" w:rsidRPr="0073666E">
        <w:rPr>
          <w:lang w:val="de-CH"/>
        </w:rPr>
        <w:t xml:space="preserve">, si </w:t>
      </w:r>
      <w:proofErr w:type="spellStart"/>
      <w:r w:rsidR="0073666E" w:rsidRPr="0073666E">
        <w:rPr>
          <w:lang w:val="de-CH"/>
        </w:rPr>
        <w:t>l’extradition</w:t>
      </w:r>
      <w:proofErr w:type="spellEnd"/>
      <w:r w:rsidR="0073666E" w:rsidRPr="0073666E">
        <w:rPr>
          <w:lang w:val="de-CH"/>
        </w:rPr>
        <w:t xml:space="preserve"> de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constituait</w:t>
      </w:r>
      <w:proofErr w:type="spellEnd"/>
      <w:r w:rsidR="0073666E" w:rsidRPr="0073666E">
        <w:rPr>
          <w:lang w:val="de-CH"/>
        </w:rPr>
        <w:t xml:space="preserve"> </w:t>
      </w:r>
      <w:proofErr w:type="spellStart"/>
      <w:r w:rsidR="0073666E" w:rsidRPr="0073666E">
        <w:rPr>
          <w:lang w:val="de-CH"/>
        </w:rPr>
        <w:t>effectivement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risque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santé</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dernier</w:t>
      </w:r>
      <w:proofErr w:type="spellEnd"/>
      <w:r w:rsidR="0073666E" w:rsidRPr="0073666E">
        <w:rPr>
          <w:lang w:val="de-CH"/>
        </w:rPr>
        <w:t xml:space="preserve"> </w:t>
      </w:r>
      <w:proofErr w:type="spellStart"/>
      <w:r w:rsidR="0073666E" w:rsidRPr="0073666E">
        <w:rPr>
          <w:lang w:val="de-CH"/>
        </w:rPr>
        <w:t>pourrait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évité</w:t>
      </w:r>
      <w:proofErr w:type="spellEnd"/>
      <w:r w:rsidR="0073666E" w:rsidRPr="0073666E">
        <w:rPr>
          <w:lang w:val="de-CH"/>
        </w:rPr>
        <w:t xml:space="preserve">, en </w:t>
      </w:r>
      <w:proofErr w:type="spellStart"/>
      <w:r w:rsidR="0073666E" w:rsidRPr="0073666E">
        <w:rPr>
          <w:lang w:val="de-CH"/>
        </w:rPr>
        <w:t>particulier</w:t>
      </w:r>
      <w:proofErr w:type="spellEnd"/>
      <w:r w:rsidR="0073666E" w:rsidRPr="0073666E">
        <w:rPr>
          <w:lang w:val="de-CH"/>
        </w:rPr>
        <w:t xml:space="preserve">, par </w:t>
      </w:r>
      <w:proofErr w:type="spellStart"/>
      <w:r w:rsidR="0073666E" w:rsidRPr="0073666E">
        <w:rPr>
          <w:lang w:val="de-CH"/>
        </w:rPr>
        <w:t>l’assurance</w:t>
      </w:r>
      <w:proofErr w:type="spellEnd"/>
      <w:r w:rsidR="0073666E" w:rsidRPr="0073666E">
        <w:rPr>
          <w:lang w:val="de-CH"/>
        </w:rPr>
        <w:t xml:space="preserve"> </w:t>
      </w:r>
      <w:proofErr w:type="spellStart"/>
      <w:r w:rsidR="0073666E" w:rsidRPr="0073666E">
        <w:rPr>
          <w:lang w:val="de-CH"/>
        </w:rPr>
        <w:t>donnée</w:t>
      </w:r>
      <w:proofErr w:type="spellEnd"/>
      <w:r w:rsidR="0073666E" w:rsidRPr="0073666E">
        <w:rPr>
          <w:lang w:val="de-CH"/>
        </w:rPr>
        <w:t xml:space="preserve"> </w:t>
      </w:r>
      <w:proofErr w:type="spellStart"/>
      <w:r w:rsidR="0073666E" w:rsidRPr="0073666E">
        <w:rPr>
          <w:lang w:val="de-CH"/>
        </w:rPr>
        <w:t>formellement</w:t>
      </w:r>
      <w:proofErr w:type="spellEnd"/>
      <w:r w:rsidR="0073666E" w:rsidRPr="0073666E">
        <w:rPr>
          <w:lang w:val="de-CH"/>
        </w:rPr>
        <w:t xml:space="preserve"> par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requérant</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suivi</w:t>
      </w:r>
      <w:proofErr w:type="spellEnd"/>
      <w:r w:rsidR="0073666E" w:rsidRPr="0073666E">
        <w:rPr>
          <w:lang w:val="de-CH"/>
        </w:rPr>
        <w:t xml:space="preserve"> </w:t>
      </w:r>
      <w:proofErr w:type="spellStart"/>
      <w:r w:rsidR="0073666E" w:rsidRPr="0073666E">
        <w:rPr>
          <w:lang w:val="de-CH"/>
        </w:rPr>
        <w:t>médical</w:t>
      </w:r>
      <w:proofErr w:type="spellEnd"/>
      <w:r w:rsidR="0073666E" w:rsidRPr="0073666E">
        <w:rPr>
          <w:lang w:val="de-CH"/>
        </w:rPr>
        <w:t xml:space="preserve"> </w:t>
      </w:r>
      <w:proofErr w:type="spellStart"/>
      <w:r w:rsidR="0073666E" w:rsidRPr="0073666E">
        <w:rPr>
          <w:lang w:val="de-CH"/>
        </w:rPr>
        <w:t>adéquat</w:t>
      </w:r>
      <w:proofErr w:type="spellEnd"/>
      <w:r w:rsidR="0073666E" w:rsidRPr="0073666E">
        <w:rPr>
          <w:lang w:val="de-CH"/>
        </w:rPr>
        <w:t xml:space="preserve"> </w:t>
      </w:r>
      <w:proofErr w:type="spellStart"/>
      <w:r w:rsidR="0073666E" w:rsidRPr="0073666E">
        <w:rPr>
          <w:lang w:val="de-CH"/>
        </w:rPr>
        <w:t>tout</w:t>
      </w:r>
      <w:proofErr w:type="spellEnd"/>
      <w:r w:rsidR="0073666E" w:rsidRPr="0073666E">
        <w:rPr>
          <w:lang w:val="de-CH"/>
        </w:rPr>
        <w:t xml:space="preserve"> </w:t>
      </w:r>
      <w:proofErr w:type="spellStart"/>
      <w:r w:rsidR="0073666E" w:rsidRPr="0073666E">
        <w:rPr>
          <w:lang w:val="de-CH"/>
        </w:rPr>
        <w:t>comme</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accès</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soins</w:t>
      </w:r>
      <w:proofErr w:type="spellEnd"/>
      <w:r w:rsidR="0073666E" w:rsidRPr="0073666E">
        <w:rPr>
          <w:lang w:val="de-CH"/>
        </w:rPr>
        <w:t xml:space="preserve"> et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médicaments</w:t>
      </w:r>
      <w:proofErr w:type="spellEnd"/>
      <w:r w:rsidR="0073666E" w:rsidRPr="0073666E">
        <w:rPr>
          <w:lang w:val="de-CH"/>
        </w:rPr>
        <w:t xml:space="preserve">. </w:t>
      </w:r>
      <w:r w:rsidR="002B6ED6">
        <w:rPr>
          <w:lang w:val="de-CH"/>
        </w:rPr>
        <w:t>À</w:t>
      </w:r>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jour, </w:t>
      </w:r>
      <w:proofErr w:type="spellStart"/>
      <w:r w:rsidR="0073666E" w:rsidRPr="0073666E">
        <w:rPr>
          <w:lang w:val="de-CH"/>
        </w:rPr>
        <w:t>l’OFJ</w:t>
      </w:r>
      <w:proofErr w:type="spellEnd"/>
      <w:r w:rsidR="0073666E" w:rsidRPr="0073666E">
        <w:rPr>
          <w:lang w:val="de-CH"/>
        </w:rPr>
        <w:t xml:space="preserve"> </w:t>
      </w:r>
      <w:proofErr w:type="spellStart"/>
      <w:r w:rsidR="0073666E" w:rsidRPr="0073666E">
        <w:rPr>
          <w:lang w:val="de-CH"/>
        </w:rPr>
        <w:t>n’a</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eu</w:t>
      </w:r>
      <w:proofErr w:type="spellEnd"/>
      <w:r w:rsidR="0073666E" w:rsidRPr="0073666E">
        <w:rPr>
          <w:lang w:val="de-CH"/>
        </w:rPr>
        <w:t xml:space="preserve"> à </w:t>
      </w:r>
      <w:proofErr w:type="spellStart"/>
      <w:r w:rsidR="0073666E" w:rsidRPr="0073666E">
        <w:rPr>
          <w:lang w:val="de-CH"/>
        </w:rPr>
        <w:t>déplorer</w:t>
      </w:r>
      <w:proofErr w:type="spellEnd"/>
      <w:r w:rsidR="0073666E" w:rsidRPr="0073666E">
        <w:rPr>
          <w:lang w:val="de-CH"/>
        </w:rPr>
        <w:t xml:space="preserve"> de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w:t>
      </w:r>
      <w:proofErr w:type="spellStart"/>
      <w:r w:rsidR="0073666E" w:rsidRPr="0073666E">
        <w:rPr>
          <w:lang w:val="de-CH"/>
        </w:rPr>
        <w:t>l’intégrité</w:t>
      </w:r>
      <w:proofErr w:type="spellEnd"/>
      <w:r w:rsidR="0073666E" w:rsidRPr="0073666E">
        <w:rPr>
          <w:lang w:val="de-CH"/>
        </w:rPr>
        <w:t xml:space="preserve"> de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extradée</w:t>
      </w:r>
      <w:proofErr w:type="spellEnd"/>
      <w:r w:rsidR="0073666E" w:rsidRPr="0073666E">
        <w:rPr>
          <w:lang w:val="de-CH"/>
        </w:rPr>
        <w:t xml:space="preserve"> </w:t>
      </w:r>
      <w:proofErr w:type="spellStart"/>
      <w:r w:rsidR="0073666E" w:rsidRPr="0073666E">
        <w:rPr>
          <w:lang w:val="de-CH"/>
        </w:rPr>
        <w:t>aurait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lastRenderedPageBreak/>
        <w:t>effectivement</w:t>
      </w:r>
      <w:proofErr w:type="spellEnd"/>
      <w:r w:rsidR="0073666E" w:rsidRPr="0073666E">
        <w:rPr>
          <w:lang w:val="de-CH"/>
        </w:rPr>
        <w:t xml:space="preserve"> </w:t>
      </w:r>
      <w:proofErr w:type="spellStart"/>
      <w:r w:rsidR="0073666E" w:rsidRPr="0073666E">
        <w:rPr>
          <w:lang w:val="de-CH"/>
        </w:rPr>
        <w:t>mise</w:t>
      </w:r>
      <w:proofErr w:type="spellEnd"/>
      <w:r w:rsidR="0073666E" w:rsidRPr="0073666E">
        <w:rPr>
          <w:lang w:val="de-CH"/>
        </w:rPr>
        <w:t xml:space="preserve"> en </w:t>
      </w:r>
      <w:proofErr w:type="spellStart"/>
      <w:r w:rsidR="0073666E" w:rsidRPr="0073666E">
        <w:rPr>
          <w:lang w:val="de-CH"/>
        </w:rPr>
        <w:t>péril</w:t>
      </w:r>
      <w:proofErr w:type="spellEnd"/>
      <w:r w:rsidR="0073666E" w:rsidRPr="0073666E">
        <w:rPr>
          <w:lang w:val="de-CH"/>
        </w:rPr>
        <w:t xml:space="preserve"> à la </w:t>
      </w:r>
      <w:proofErr w:type="spellStart"/>
      <w:r w:rsidR="0073666E" w:rsidRPr="0073666E">
        <w:rPr>
          <w:lang w:val="de-CH"/>
        </w:rPr>
        <w:t>suite</w:t>
      </w:r>
      <w:proofErr w:type="spellEnd"/>
      <w:r w:rsidR="0073666E" w:rsidRPr="0073666E">
        <w:rPr>
          <w:lang w:val="de-CH"/>
        </w:rPr>
        <w:t xml:space="preserve"> de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remise</w:t>
      </w:r>
      <w:proofErr w:type="spellEnd"/>
      <w:r w:rsidR="0073666E" w:rsidRPr="0073666E">
        <w:rPr>
          <w:lang w:val="de-CH"/>
        </w:rPr>
        <w:t xml:space="preserve"> à </w:t>
      </w:r>
      <w:proofErr w:type="spellStart"/>
      <w:r w:rsidR="0073666E" w:rsidRPr="0073666E">
        <w:rPr>
          <w:lang w:val="de-CH"/>
        </w:rPr>
        <w:t>un</w:t>
      </w:r>
      <w:proofErr w:type="spellEnd"/>
      <w:r w:rsidR="0073666E" w:rsidRPr="0073666E">
        <w:rPr>
          <w:lang w:val="de-CH"/>
        </w:rPr>
        <w:t xml:space="preserve"> </w:t>
      </w:r>
      <w:r w:rsidR="00D94D41">
        <w:rPr>
          <w:lang w:val="de-CH"/>
        </w:rPr>
        <w:t>État</w:t>
      </w:r>
      <w:r w:rsidR="0073666E" w:rsidRPr="0073666E">
        <w:rPr>
          <w:lang w:val="de-CH"/>
        </w:rPr>
        <w:t xml:space="preserve"> </w:t>
      </w:r>
      <w:proofErr w:type="spellStart"/>
      <w:r w:rsidR="0073666E" w:rsidRPr="0073666E">
        <w:rPr>
          <w:lang w:val="de-CH"/>
        </w:rPr>
        <w:t>requérant</w:t>
      </w:r>
      <w:proofErr w:type="spellEnd"/>
      <w:r w:rsidR="0073666E" w:rsidRPr="0073666E">
        <w:rPr>
          <w:lang w:val="de-CH"/>
        </w:rPr>
        <w:t xml:space="preserve">. Dans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contexte</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sied</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de </w:t>
      </w:r>
      <w:proofErr w:type="spellStart"/>
      <w:r w:rsidR="0073666E" w:rsidRPr="0073666E">
        <w:rPr>
          <w:lang w:val="de-CH"/>
        </w:rPr>
        <w:t>préciser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Suisse – au </w:t>
      </w:r>
      <w:proofErr w:type="spellStart"/>
      <w:r w:rsidR="0073666E" w:rsidRPr="0073666E">
        <w:rPr>
          <w:lang w:val="de-CH"/>
        </w:rPr>
        <w:t>cours</w:t>
      </w:r>
      <w:proofErr w:type="spellEnd"/>
      <w:r w:rsidR="0073666E" w:rsidRPr="0073666E">
        <w:rPr>
          <w:lang w:val="de-CH"/>
        </w:rPr>
        <w:t xml:space="preserve"> de la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d’extradition</w:t>
      </w:r>
      <w:proofErr w:type="spellEnd"/>
      <w:r w:rsidR="0073666E" w:rsidRPr="0073666E">
        <w:rPr>
          <w:lang w:val="de-CH"/>
        </w:rPr>
        <w:t xml:space="preserve"> – </w:t>
      </w:r>
      <w:proofErr w:type="spellStart"/>
      <w:r w:rsidR="0073666E" w:rsidRPr="0073666E">
        <w:rPr>
          <w:lang w:val="de-CH"/>
        </w:rPr>
        <w:t>prend</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au </w:t>
      </w:r>
      <w:proofErr w:type="spellStart"/>
      <w:r w:rsidR="0073666E" w:rsidRPr="0073666E">
        <w:rPr>
          <w:lang w:val="de-CH"/>
        </w:rPr>
        <w:t>besoin</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dispositions</w:t>
      </w:r>
      <w:proofErr w:type="spellEnd"/>
      <w:r w:rsidR="0073666E" w:rsidRPr="0073666E">
        <w:rPr>
          <w:lang w:val="de-CH"/>
        </w:rPr>
        <w:t xml:space="preserve"> </w:t>
      </w:r>
      <w:proofErr w:type="spellStart"/>
      <w:r w:rsidR="0073666E" w:rsidRPr="0073666E">
        <w:rPr>
          <w:lang w:val="de-CH"/>
        </w:rPr>
        <w:t>nécessaires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assurer</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suivi</w:t>
      </w:r>
      <w:proofErr w:type="spellEnd"/>
      <w:r w:rsidR="0073666E" w:rsidRPr="0073666E">
        <w:rPr>
          <w:lang w:val="de-CH"/>
        </w:rPr>
        <w:t xml:space="preserve"> </w:t>
      </w:r>
      <w:proofErr w:type="spellStart"/>
      <w:r w:rsidR="0073666E" w:rsidRPr="0073666E">
        <w:rPr>
          <w:lang w:val="de-CH"/>
        </w:rPr>
        <w:t>médical</w:t>
      </w:r>
      <w:proofErr w:type="spellEnd"/>
      <w:r w:rsidR="0073666E" w:rsidRPr="0073666E">
        <w:rPr>
          <w:lang w:val="de-CH"/>
        </w:rPr>
        <w:t xml:space="preserve"> </w:t>
      </w:r>
      <w:proofErr w:type="spellStart"/>
      <w:r w:rsidR="0073666E" w:rsidRPr="0073666E">
        <w:rPr>
          <w:lang w:val="de-CH"/>
        </w:rPr>
        <w:t>adéquat</w:t>
      </w:r>
      <w:proofErr w:type="spellEnd"/>
      <w:r w:rsidR="0073666E" w:rsidRPr="0073666E">
        <w:rPr>
          <w:lang w:val="de-CH"/>
        </w:rPr>
        <w:t xml:space="preserve"> de </w:t>
      </w:r>
      <w:proofErr w:type="spellStart"/>
      <w:r w:rsidR="0073666E" w:rsidRPr="0073666E">
        <w:rPr>
          <w:lang w:val="de-CH"/>
        </w:rPr>
        <w:t>l’extradable</w:t>
      </w:r>
      <w:proofErr w:type="spellEnd"/>
      <w:r w:rsidR="000A0B7E">
        <w:rPr>
          <w:lang w:val="de-CH"/>
        </w:rPr>
        <w:t> </w:t>
      </w:r>
      <w:r w:rsidR="0073666E" w:rsidRPr="0073666E">
        <w:rPr>
          <w:lang w:val="de-CH"/>
        </w:rPr>
        <w:t xml:space="preserve">; </w:t>
      </w:r>
      <w:proofErr w:type="spellStart"/>
      <w:r w:rsidR="0073666E" w:rsidRPr="0073666E">
        <w:rPr>
          <w:lang w:val="de-CH"/>
        </w:rPr>
        <w:t>ceci</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consister</w:t>
      </w:r>
      <w:proofErr w:type="spellEnd"/>
      <w:r w:rsidR="0073666E" w:rsidRPr="0073666E">
        <w:rPr>
          <w:lang w:val="de-CH"/>
        </w:rPr>
        <w:t xml:space="preserve"> à </w:t>
      </w:r>
      <w:proofErr w:type="spellStart"/>
      <w:r w:rsidR="0073666E" w:rsidRPr="0073666E">
        <w:rPr>
          <w:lang w:val="de-CH"/>
        </w:rPr>
        <w:t>placer</w:t>
      </w:r>
      <w:proofErr w:type="spellEnd"/>
      <w:r w:rsidR="0073666E" w:rsidRPr="0073666E">
        <w:rPr>
          <w:lang w:val="de-CH"/>
        </w:rPr>
        <w:t xml:space="preserv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recherchée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établissement</w:t>
      </w:r>
      <w:proofErr w:type="spellEnd"/>
      <w:r w:rsidR="0073666E" w:rsidRPr="0073666E">
        <w:rPr>
          <w:lang w:val="de-CH"/>
        </w:rPr>
        <w:t xml:space="preserve"> </w:t>
      </w:r>
      <w:proofErr w:type="spellStart"/>
      <w:r w:rsidR="0073666E" w:rsidRPr="0073666E">
        <w:rPr>
          <w:lang w:val="de-CH"/>
        </w:rPr>
        <w:t>hospitalier</w:t>
      </w:r>
      <w:proofErr w:type="spellEnd"/>
      <w:r w:rsidR="0073666E" w:rsidRPr="0073666E">
        <w:rPr>
          <w:lang w:val="de-CH"/>
        </w:rPr>
        <w:t xml:space="preserve"> </w:t>
      </w:r>
      <w:proofErr w:type="spellStart"/>
      <w:r w:rsidR="0073666E" w:rsidRPr="0073666E">
        <w:rPr>
          <w:lang w:val="de-CH"/>
        </w:rPr>
        <w:t>fermé</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encore</w:t>
      </w:r>
      <w:proofErr w:type="spellEnd"/>
      <w:r w:rsidR="0073666E" w:rsidRPr="0073666E">
        <w:rPr>
          <w:lang w:val="de-CH"/>
        </w:rPr>
        <w:t xml:space="preserve"> à </w:t>
      </w:r>
      <w:proofErr w:type="spellStart"/>
      <w:r w:rsidR="0073666E" w:rsidRPr="0073666E">
        <w:rPr>
          <w:lang w:val="de-CH"/>
        </w:rPr>
        <w:t>assurer</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transport</w:t>
      </w:r>
      <w:proofErr w:type="spellEnd"/>
      <w:r w:rsidR="0073666E" w:rsidRPr="0073666E">
        <w:rPr>
          <w:lang w:val="de-CH"/>
        </w:rPr>
        <w:t xml:space="preserve"> </w:t>
      </w:r>
      <w:proofErr w:type="spellStart"/>
      <w:r w:rsidR="0073666E" w:rsidRPr="0073666E">
        <w:rPr>
          <w:lang w:val="de-CH"/>
        </w:rPr>
        <w:t>médicalisé</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remise</w:t>
      </w:r>
      <w:proofErr w:type="spellEnd"/>
      <w:r w:rsidR="0073666E" w:rsidRPr="0073666E">
        <w:rPr>
          <w:lang w:val="de-CH"/>
        </w:rPr>
        <w:t>.</w:t>
      </w:r>
    </w:p>
    <w:p w14:paraId="7B2ED7D9" w14:textId="77777777" w:rsidR="0073666E" w:rsidRPr="0073666E" w:rsidRDefault="00D15B10" w:rsidP="00D15B10">
      <w:pPr>
        <w:pStyle w:val="SingleTxtG"/>
      </w:pPr>
      <w:r>
        <w:t>36.</w:t>
      </w:r>
      <w:r>
        <w:tab/>
      </w:r>
      <w:r w:rsidR="0073666E" w:rsidRPr="0073666E">
        <w:t>Concernant la crédibilité des allégations de l’intéressé, il sied de préciser en premier lieu que, conformément à la jurisprudence fédérale, un risque abstrait de violation des droits fondamentaux ne suffit</w:t>
      </w:r>
      <w:r w:rsidR="00CB6ECE">
        <w:t xml:space="preserve"> pas pour refuser l’extradition</w:t>
      </w:r>
      <w:r w:rsidR="0073666E" w:rsidRPr="009E1FD5">
        <w:rPr>
          <w:rStyle w:val="Appelnotedebasdep"/>
        </w:rPr>
        <w:footnoteReference w:id="16"/>
      </w:r>
      <w:r w:rsidR="00CB6ECE">
        <w:t>.</w:t>
      </w:r>
      <w:r w:rsidR="0073666E" w:rsidRPr="0073666E">
        <w:t xml:space="preserve"> Une critique générale de la situation des droits de l’homme dans l’</w:t>
      </w:r>
      <w:r w:rsidR="00D94D41">
        <w:t>État</w:t>
      </w:r>
      <w:r w:rsidR="0073666E" w:rsidRPr="0073666E">
        <w:t xml:space="preserve"> requérant n’est pas déterminante non plus et le fardeau de la preuve incombe à la personne q</w:t>
      </w:r>
      <w:r w:rsidR="00CB6ECE">
        <w:t>ui se prévaut de la disposition</w:t>
      </w:r>
      <w:r w:rsidR="0073666E" w:rsidRPr="009E1FD5">
        <w:rPr>
          <w:rStyle w:val="Appelnotedebasdep"/>
        </w:rPr>
        <w:footnoteReference w:id="17"/>
      </w:r>
      <w:r w:rsidR="00CB6ECE">
        <w:t>.</w:t>
      </w:r>
      <w:r w:rsidR="0073666E" w:rsidRPr="0073666E">
        <w:t xml:space="preserve"> Ainsi, il appartient à la personne, dont l’extradition est demandée, de rendre vraisemblable l’existence d’un risque sérieux et objectif d’une violation grave des droits de l’homme dans l’</w:t>
      </w:r>
      <w:r w:rsidR="00D94D41">
        <w:t>État</w:t>
      </w:r>
      <w:r w:rsidR="0073666E" w:rsidRPr="0073666E">
        <w:t xml:space="preserve"> requérant, susceptible de la toucher de manière concrète</w:t>
      </w:r>
      <w:r w:rsidR="0073666E" w:rsidRPr="009E1FD5">
        <w:rPr>
          <w:rStyle w:val="Appelnotedebasdep"/>
        </w:rPr>
        <w:footnoteReference w:id="18"/>
      </w:r>
      <w:r w:rsidR="00CB6ECE">
        <w:t>.</w:t>
      </w:r>
      <w:r w:rsidR="0073666E" w:rsidRPr="0073666E">
        <w:t xml:space="preserve"> </w:t>
      </w:r>
    </w:p>
    <w:p w14:paraId="4F1BABF3" w14:textId="77777777" w:rsidR="0073666E" w:rsidRPr="00D15B10" w:rsidRDefault="00D15B10" w:rsidP="00D15B10">
      <w:pPr>
        <w:pStyle w:val="SingleTxtG"/>
      </w:pPr>
      <w:r>
        <w:t>37.</w:t>
      </w:r>
      <w:r>
        <w:tab/>
      </w:r>
      <w:r w:rsidR="0073666E" w:rsidRPr="0073666E">
        <w:t>L’OFJ examine, dans un premier temps, la vraisemblance de même que la crédibilité des allégations de l’extradable quant à l’existence potentielle de traitements prohibés au sein de l’</w:t>
      </w:r>
      <w:r w:rsidR="00D94D41">
        <w:t>État</w:t>
      </w:r>
      <w:r w:rsidR="0073666E" w:rsidRPr="0073666E">
        <w:t xml:space="preserve"> requérant. L’analyse est effectuée sur la base de la documentation extraditionnelle de l’</w:t>
      </w:r>
      <w:r w:rsidR="00D94D41">
        <w:t>État</w:t>
      </w:r>
      <w:r w:rsidR="0073666E" w:rsidRPr="0073666E">
        <w:t xml:space="preserve"> requérant, des allégations de la personne poursuivie et des pièces qu’elle produit au cours </w:t>
      </w:r>
      <w:r w:rsidR="0073666E" w:rsidRPr="00D15B10">
        <w:t xml:space="preserve">de la procédure. Il ne faut pas perdre de vue que, conformément à une pratique constante en matière d’extradition et selon le principe de la bonne foi régissant les relations extraditionnelles entre </w:t>
      </w:r>
      <w:r w:rsidR="00D94D41">
        <w:t>État</w:t>
      </w:r>
      <w:r w:rsidR="0073666E" w:rsidRPr="00D15B10">
        <w:t>s, il n’y a pas lieu, pour l’</w:t>
      </w:r>
      <w:r w:rsidR="00D94D41">
        <w:t>État</w:t>
      </w:r>
      <w:r w:rsidR="0073666E" w:rsidRPr="00D15B10">
        <w:t xml:space="preserve"> requis, de remettre en cause les déclarations de l’</w:t>
      </w:r>
      <w:r w:rsidR="00D94D41">
        <w:t>État</w:t>
      </w:r>
      <w:r w:rsidR="0073666E" w:rsidRPr="00D15B10">
        <w:t xml:space="preserve"> requérant, sous réserve d’éventuelles contradictions manifestes</w:t>
      </w:r>
      <w:r w:rsidR="0073666E" w:rsidRPr="009E1FD5">
        <w:rPr>
          <w:rStyle w:val="Appelnotedebasdep"/>
        </w:rPr>
        <w:footnoteReference w:id="19"/>
      </w:r>
      <w:r w:rsidR="00CB6ECE">
        <w:t>.</w:t>
      </w:r>
      <w:r w:rsidR="0073666E" w:rsidRPr="00D15B10">
        <w:t xml:space="preserve"> Il</w:t>
      </w:r>
      <w:r w:rsidR="00777BFF">
        <w:t> </w:t>
      </w:r>
      <w:r w:rsidR="0073666E" w:rsidRPr="00D15B10">
        <w:t>faut cependant souligner qu’en cas de doute sur d’éventuelles irrégularités, la Suisse peut, à tout moment, requérir formellement de l’</w:t>
      </w:r>
      <w:r w:rsidR="00D94D41">
        <w:t>État</w:t>
      </w:r>
      <w:r w:rsidR="0073666E" w:rsidRPr="00D15B10">
        <w:t xml:space="preserve"> requérant des compléments d’information et/ou lui demander de se déterminer sur les griefs soulevés par la personne poursuivie.</w:t>
      </w:r>
    </w:p>
    <w:p w14:paraId="73A05687" w14:textId="77777777" w:rsidR="0073666E" w:rsidRPr="00D15B10" w:rsidRDefault="00D15B10" w:rsidP="00D15B10">
      <w:pPr>
        <w:pStyle w:val="SingleTxtG"/>
      </w:pPr>
      <w:r>
        <w:t>38.</w:t>
      </w:r>
      <w:r>
        <w:tab/>
      </w:r>
      <w:r w:rsidR="0073666E" w:rsidRPr="00D15B10">
        <w:t xml:space="preserve">Finalement, dans l’éventualité où les éléments figurant au dossier rendraient crédibles et vraisemblables les allégations de l’extradable, une expertise médicale indépendante pourrait être requise par l’OFJ dans le cadre de la procédure d’extradition. </w:t>
      </w:r>
      <w:r w:rsidR="002B6ED6">
        <w:t>À</w:t>
      </w:r>
      <w:r w:rsidR="0073666E" w:rsidRPr="00D15B10">
        <w:t xml:space="preserve"> ce jour toutefois, le recours à une telle démarche n’a jamais été jugé nécessaire.</w:t>
      </w:r>
    </w:p>
    <w:p w14:paraId="69245D4B" w14:textId="77777777" w:rsidR="0073666E" w:rsidRPr="0073666E" w:rsidRDefault="00D15B10" w:rsidP="00D15B10">
      <w:pPr>
        <w:pStyle w:val="SingleTxtG"/>
        <w:rPr>
          <w:lang w:val="de-CH"/>
        </w:rPr>
      </w:pPr>
      <w:r>
        <w:t>39.</w:t>
      </w:r>
      <w:r>
        <w:tab/>
      </w:r>
      <w:r w:rsidR="0073666E" w:rsidRPr="00D15B10">
        <w:t>Concernant la procédure d’asile, le Secrétariat d’</w:t>
      </w:r>
      <w:r w:rsidR="00D94D41">
        <w:t>État</w:t>
      </w:r>
      <w:r w:rsidR="0073666E" w:rsidRPr="00D15B10">
        <w:t xml:space="preserve"> aux migrations (SEM) examine toujours soigneusement les risques de violation du principe de non-refoulement. Il scrute ainsi de près la situation des droits de l’homme et la situation politique dans le pays d’origine du requérant d’asile</w:t>
      </w:r>
      <w:r w:rsidR="0073666E" w:rsidRPr="0073666E">
        <w:rPr>
          <w:lang w:val="de-CH"/>
        </w:rPr>
        <w:t xml:space="preserve">. Il se </w:t>
      </w:r>
      <w:proofErr w:type="spellStart"/>
      <w:r w:rsidR="0073666E" w:rsidRPr="0073666E">
        <w:rPr>
          <w:lang w:val="de-CH"/>
        </w:rPr>
        <w:t>fonde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faire </w:t>
      </w:r>
      <w:proofErr w:type="spellStart"/>
      <w:r w:rsidR="0073666E" w:rsidRPr="0073666E">
        <w:rPr>
          <w:lang w:val="de-CH"/>
        </w:rPr>
        <w:t>sur</w:t>
      </w:r>
      <w:proofErr w:type="spellEnd"/>
      <w:r w:rsidR="0073666E" w:rsidRPr="0073666E">
        <w:rPr>
          <w:lang w:val="de-CH"/>
        </w:rPr>
        <w:t xml:space="preserve"> la </w:t>
      </w:r>
      <w:proofErr w:type="spellStart"/>
      <w:r w:rsidR="0073666E" w:rsidRPr="0073666E">
        <w:rPr>
          <w:lang w:val="de-CH"/>
        </w:rPr>
        <w:t>jurisprudence</w:t>
      </w:r>
      <w:proofErr w:type="spellEnd"/>
      <w:r w:rsidR="0073666E" w:rsidRPr="0073666E">
        <w:rPr>
          <w:lang w:val="de-CH"/>
        </w:rPr>
        <w:t xml:space="preserve"> nationale, internationale et supranationale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principes</w:t>
      </w:r>
      <w:proofErr w:type="spellEnd"/>
      <w:r w:rsidR="0073666E" w:rsidRPr="0073666E">
        <w:rPr>
          <w:lang w:val="de-CH"/>
        </w:rPr>
        <w:t xml:space="preserve"> </w:t>
      </w:r>
      <w:proofErr w:type="spellStart"/>
      <w:r w:rsidR="0073666E" w:rsidRPr="0073666E">
        <w:rPr>
          <w:lang w:val="de-CH"/>
        </w:rPr>
        <w:t>directeurs</w:t>
      </w:r>
      <w:proofErr w:type="spellEnd"/>
      <w:r w:rsidR="0073666E" w:rsidRPr="0073666E">
        <w:rPr>
          <w:lang w:val="de-CH"/>
        </w:rPr>
        <w:t xml:space="preserve"> du Haut </w:t>
      </w:r>
      <w:proofErr w:type="spellStart"/>
      <w:r w:rsidR="0073666E" w:rsidRPr="0073666E">
        <w:rPr>
          <w:lang w:val="de-CH"/>
        </w:rPr>
        <w:t>Commissariat</w:t>
      </w:r>
      <w:proofErr w:type="spellEnd"/>
      <w:r w:rsidR="0073666E" w:rsidRPr="0073666E">
        <w:rPr>
          <w:lang w:val="de-CH"/>
        </w:rPr>
        <w:t xml:space="preserve"> des </w:t>
      </w:r>
      <w:proofErr w:type="spellStart"/>
      <w:r w:rsidR="0073666E" w:rsidRPr="0073666E">
        <w:rPr>
          <w:lang w:val="de-CH"/>
        </w:rPr>
        <w:t>Nations</w:t>
      </w:r>
      <w:proofErr w:type="spellEnd"/>
      <w:r w:rsidR="0073666E" w:rsidRPr="0073666E">
        <w:rPr>
          <w:lang w:val="de-CH"/>
        </w:rPr>
        <w:t xml:space="preserve"> </w:t>
      </w:r>
      <w:proofErr w:type="spellStart"/>
      <w:r w:rsidR="0073666E" w:rsidRPr="0073666E">
        <w:rPr>
          <w:lang w:val="de-CH"/>
        </w:rPr>
        <w:t>Unies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réfugiés</w:t>
      </w:r>
      <w:proofErr w:type="spellEnd"/>
      <w:r w:rsidR="0073666E" w:rsidRPr="0073666E">
        <w:rPr>
          <w:lang w:val="de-CH"/>
        </w:rPr>
        <w:t xml:space="preserve"> (HCR) </w:t>
      </w:r>
      <w:proofErr w:type="spellStart"/>
      <w:r w:rsidR="0073666E" w:rsidRPr="0073666E">
        <w:rPr>
          <w:lang w:val="de-CH"/>
        </w:rPr>
        <w:t>relatifs</w:t>
      </w:r>
      <w:proofErr w:type="spellEnd"/>
      <w:r w:rsidR="0073666E" w:rsidRPr="0073666E">
        <w:rPr>
          <w:lang w:val="de-CH"/>
        </w:rPr>
        <w:t xml:space="preserve"> à </w:t>
      </w:r>
      <w:proofErr w:type="spellStart"/>
      <w:r w:rsidR="0073666E" w:rsidRPr="0073666E">
        <w:rPr>
          <w:lang w:val="de-CH"/>
        </w:rPr>
        <w:t>l’égibilité</w:t>
      </w:r>
      <w:proofErr w:type="spellEnd"/>
      <w:r w:rsidR="0073666E" w:rsidRPr="0073666E">
        <w:rPr>
          <w:lang w:val="de-CH"/>
        </w:rPr>
        <w:t xml:space="preserve"> au </w:t>
      </w:r>
      <w:proofErr w:type="spellStart"/>
      <w:r w:rsidR="0073666E" w:rsidRPr="0073666E">
        <w:rPr>
          <w:lang w:val="de-CH"/>
        </w:rPr>
        <w:t>statut</w:t>
      </w:r>
      <w:proofErr w:type="spellEnd"/>
      <w:r w:rsidR="0073666E" w:rsidRPr="0073666E">
        <w:rPr>
          <w:lang w:val="de-CH"/>
        </w:rPr>
        <w:t xml:space="preserve"> de </w:t>
      </w:r>
      <w:proofErr w:type="spellStart"/>
      <w:r w:rsidR="0073666E" w:rsidRPr="0073666E">
        <w:rPr>
          <w:lang w:val="de-CH"/>
        </w:rPr>
        <w:t>réfugié</w:t>
      </w:r>
      <w:proofErr w:type="spellEnd"/>
      <w:r w:rsidR="0073666E" w:rsidRPr="0073666E">
        <w:rPr>
          <w:lang w:val="de-CH"/>
        </w:rPr>
        <w:t xml:space="preserve">. En </w:t>
      </w:r>
      <w:proofErr w:type="spellStart"/>
      <w:r w:rsidR="0073666E" w:rsidRPr="0073666E">
        <w:rPr>
          <w:lang w:val="de-CH"/>
        </w:rPr>
        <w:t>tant</w:t>
      </w:r>
      <w:proofErr w:type="spellEnd"/>
      <w:r w:rsidR="0073666E" w:rsidRPr="0073666E">
        <w:rPr>
          <w:lang w:val="de-CH"/>
        </w:rPr>
        <w:t xml:space="preserve"> </w:t>
      </w:r>
      <w:proofErr w:type="spellStart"/>
      <w:r w:rsidR="0073666E" w:rsidRPr="0073666E">
        <w:rPr>
          <w:lang w:val="de-CH"/>
        </w:rPr>
        <w:t>qu’</w:t>
      </w:r>
      <w:r w:rsidR="00D94D41">
        <w:rPr>
          <w:lang w:val="de-CH"/>
        </w:rPr>
        <w:t>État</w:t>
      </w:r>
      <w:proofErr w:type="spellEnd"/>
      <w:r w:rsidR="0073666E" w:rsidRPr="0073666E">
        <w:rPr>
          <w:lang w:val="de-CH"/>
        </w:rPr>
        <w:t xml:space="preserve"> </w:t>
      </w:r>
      <w:proofErr w:type="spellStart"/>
      <w:r w:rsidR="0073666E" w:rsidRPr="0073666E">
        <w:rPr>
          <w:lang w:val="de-CH"/>
        </w:rPr>
        <w:t>associé</w:t>
      </w:r>
      <w:proofErr w:type="spellEnd"/>
      <w:r w:rsidR="0073666E" w:rsidRPr="0073666E">
        <w:rPr>
          <w:lang w:val="de-CH"/>
        </w:rPr>
        <w:t xml:space="preserve">, la Suisse </w:t>
      </w:r>
      <w:proofErr w:type="spellStart"/>
      <w:r w:rsidR="0073666E" w:rsidRPr="0073666E">
        <w:rPr>
          <w:lang w:val="de-CH"/>
        </w:rPr>
        <w:t>travaille</w:t>
      </w:r>
      <w:proofErr w:type="spellEnd"/>
      <w:r w:rsidR="0073666E" w:rsidRPr="0073666E">
        <w:rPr>
          <w:lang w:val="de-CH"/>
        </w:rPr>
        <w:t xml:space="preserve"> </w:t>
      </w:r>
      <w:proofErr w:type="spellStart"/>
      <w:r w:rsidR="0073666E" w:rsidRPr="0073666E">
        <w:rPr>
          <w:lang w:val="de-CH"/>
        </w:rPr>
        <w:t>étroitement</w:t>
      </w:r>
      <w:proofErr w:type="spellEnd"/>
      <w:r w:rsidR="0073666E" w:rsidRPr="0073666E">
        <w:rPr>
          <w:lang w:val="de-CH"/>
        </w:rPr>
        <w:t xml:space="preserve"> </w:t>
      </w:r>
      <w:proofErr w:type="spellStart"/>
      <w:r w:rsidR="0073666E" w:rsidRPr="0073666E">
        <w:rPr>
          <w:lang w:val="de-CH"/>
        </w:rPr>
        <w:t>depuis</w:t>
      </w:r>
      <w:proofErr w:type="spellEnd"/>
      <w:r w:rsidR="0073666E" w:rsidRPr="0073666E">
        <w:rPr>
          <w:lang w:val="de-CH"/>
        </w:rPr>
        <w:t xml:space="preserve"> 2016 </w:t>
      </w:r>
      <w:proofErr w:type="spellStart"/>
      <w:r w:rsidR="0073666E" w:rsidRPr="0073666E">
        <w:rPr>
          <w:lang w:val="de-CH"/>
        </w:rPr>
        <w:t>avec</w:t>
      </w:r>
      <w:proofErr w:type="spellEnd"/>
      <w:r w:rsidR="0073666E" w:rsidRPr="0073666E">
        <w:rPr>
          <w:lang w:val="de-CH"/>
        </w:rPr>
        <w:t xml:space="preserve"> le Bureau </w:t>
      </w:r>
      <w:proofErr w:type="spellStart"/>
      <w:r w:rsidR="0073666E" w:rsidRPr="0073666E">
        <w:rPr>
          <w:lang w:val="de-CH"/>
        </w:rPr>
        <w:t>européen</w:t>
      </w:r>
      <w:proofErr w:type="spellEnd"/>
      <w:r w:rsidR="0073666E" w:rsidRPr="0073666E">
        <w:rPr>
          <w:lang w:val="de-CH"/>
        </w:rPr>
        <w:t xml:space="preserve"> </w:t>
      </w:r>
      <w:proofErr w:type="spellStart"/>
      <w:r w:rsidR="0073666E" w:rsidRPr="0073666E">
        <w:rPr>
          <w:lang w:val="de-CH"/>
        </w:rPr>
        <w:t>d</w:t>
      </w:r>
      <w:r w:rsidR="00A27519">
        <w:rPr>
          <w:lang w:val="de-CH"/>
        </w:rPr>
        <w:t>’</w:t>
      </w:r>
      <w:r w:rsidR="0073666E" w:rsidRPr="0073666E">
        <w:rPr>
          <w:lang w:val="de-CH"/>
        </w:rPr>
        <w:t>appui</w:t>
      </w:r>
      <w:proofErr w:type="spellEnd"/>
      <w:r w:rsidR="0073666E" w:rsidRPr="0073666E">
        <w:rPr>
          <w:lang w:val="de-CH"/>
        </w:rPr>
        <w:t xml:space="preserve"> en </w:t>
      </w:r>
      <w:proofErr w:type="spellStart"/>
      <w:r w:rsidR="0073666E" w:rsidRPr="0073666E">
        <w:rPr>
          <w:lang w:val="de-CH"/>
        </w:rPr>
        <w:t>matière</w:t>
      </w:r>
      <w:proofErr w:type="spellEnd"/>
      <w:r w:rsidR="0073666E" w:rsidRPr="0073666E">
        <w:rPr>
          <w:lang w:val="de-CH"/>
        </w:rPr>
        <w:t xml:space="preserve"> </w:t>
      </w:r>
      <w:proofErr w:type="spellStart"/>
      <w:r w:rsidR="0073666E" w:rsidRPr="0073666E">
        <w:rPr>
          <w:lang w:val="de-CH"/>
        </w:rPr>
        <w:t>d</w:t>
      </w:r>
      <w:r w:rsidR="00A27519">
        <w:rPr>
          <w:lang w:val="de-CH"/>
        </w:rPr>
        <w:t>’</w:t>
      </w:r>
      <w:r w:rsidR="0073666E" w:rsidRPr="0073666E">
        <w:rPr>
          <w:lang w:val="de-CH"/>
        </w:rPr>
        <w:t>asile</w:t>
      </w:r>
      <w:proofErr w:type="spellEnd"/>
      <w:r w:rsidR="0073666E" w:rsidRPr="0073666E">
        <w:rPr>
          <w:lang w:val="de-CH"/>
        </w:rPr>
        <w:t xml:space="preserve"> (EASO). Le SEM </w:t>
      </w:r>
      <w:proofErr w:type="spellStart"/>
      <w:r w:rsidR="0073666E" w:rsidRPr="0073666E">
        <w:rPr>
          <w:lang w:val="de-CH"/>
        </w:rPr>
        <w:t>dispose</w:t>
      </w:r>
      <w:proofErr w:type="spellEnd"/>
      <w:r w:rsidR="0073666E" w:rsidRPr="0073666E">
        <w:rPr>
          <w:lang w:val="de-CH"/>
        </w:rPr>
        <w:t xml:space="preserve"> en </w:t>
      </w:r>
      <w:proofErr w:type="spellStart"/>
      <w:r w:rsidR="0073666E" w:rsidRPr="0073666E">
        <w:rPr>
          <w:lang w:val="de-CH"/>
        </w:rPr>
        <w:t>outre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unité</w:t>
      </w:r>
      <w:proofErr w:type="spellEnd"/>
      <w:r w:rsidR="0073666E" w:rsidRPr="0073666E">
        <w:rPr>
          <w:lang w:val="de-CH"/>
        </w:rPr>
        <w:t xml:space="preserve"> </w:t>
      </w:r>
      <w:proofErr w:type="spellStart"/>
      <w:r w:rsidR="0073666E" w:rsidRPr="0073666E">
        <w:rPr>
          <w:lang w:val="de-CH"/>
        </w:rPr>
        <w:t>d’analyse</w:t>
      </w:r>
      <w:proofErr w:type="spellEnd"/>
      <w:r w:rsidR="0073666E" w:rsidRPr="0073666E">
        <w:rPr>
          <w:lang w:val="de-CH"/>
        </w:rPr>
        <w:t xml:space="preserve"> </w:t>
      </w:r>
      <w:proofErr w:type="spellStart"/>
      <w:r w:rsidR="0073666E" w:rsidRPr="0073666E">
        <w:rPr>
          <w:lang w:val="de-CH"/>
        </w:rPr>
        <w:t>indépendante</w:t>
      </w:r>
      <w:proofErr w:type="spellEnd"/>
      <w:r w:rsidR="0073666E" w:rsidRPr="0073666E">
        <w:rPr>
          <w:lang w:val="de-CH"/>
        </w:rPr>
        <w:t xml:space="preserve"> </w:t>
      </w:r>
      <w:proofErr w:type="spellStart"/>
      <w:r w:rsidR="0073666E" w:rsidRPr="0073666E">
        <w:rPr>
          <w:lang w:val="de-CH"/>
        </w:rPr>
        <w:t>chargée</w:t>
      </w:r>
      <w:proofErr w:type="spellEnd"/>
      <w:r w:rsidR="0073666E" w:rsidRPr="0073666E">
        <w:rPr>
          <w:lang w:val="de-CH"/>
        </w:rPr>
        <w:t xml:space="preserve"> de </w:t>
      </w:r>
      <w:proofErr w:type="spellStart"/>
      <w:r w:rsidR="0073666E" w:rsidRPr="0073666E">
        <w:rPr>
          <w:lang w:val="de-CH"/>
        </w:rPr>
        <w:t>traiter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informations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pays</w:t>
      </w:r>
      <w:proofErr w:type="spellEnd"/>
      <w:r w:rsidR="0073666E" w:rsidRPr="0073666E">
        <w:rPr>
          <w:lang w:val="de-CH"/>
        </w:rPr>
        <w:t xml:space="preserve"> </w:t>
      </w:r>
      <w:proofErr w:type="spellStart"/>
      <w:r w:rsidR="0073666E" w:rsidRPr="0073666E">
        <w:rPr>
          <w:lang w:val="de-CH"/>
        </w:rPr>
        <w:t>d’origine</w:t>
      </w:r>
      <w:proofErr w:type="spellEnd"/>
      <w:r w:rsidR="0073666E" w:rsidRPr="0073666E">
        <w:rPr>
          <w:lang w:val="de-CH"/>
        </w:rPr>
        <w:t xml:space="preserve"> (COI).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informations</w:t>
      </w:r>
      <w:proofErr w:type="spellEnd"/>
      <w:r w:rsidR="0073666E" w:rsidRPr="0073666E">
        <w:rPr>
          <w:lang w:val="de-CH"/>
        </w:rPr>
        <w:t xml:space="preserve"> </w:t>
      </w:r>
      <w:proofErr w:type="spellStart"/>
      <w:r w:rsidR="0073666E" w:rsidRPr="0073666E">
        <w:rPr>
          <w:lang w:val="de-CH"/>
        </w:rPr>
        <w:t>qu’elle</w:t>
      </w:r>
      <w:proofErr w:type="spellEnd"/>
      <w:r w:rsidR="0073666E" w:rsidRPr="0073666E">
        <w:rPr>
          <w:lang w:val="de-CH"/>
        </w:rPr>
        <w:t xml:space="preserve"> </w:t>
      </w:r>
      <w:proofErr w:type="spellStart"/>
      <w:r w:rsidR="0073666E" w:rsidRPr="0073666E">
        <w:rPr>
          <w:lang w:val="de-CH"/>
        </w:rPr>
        <w:t>réunit</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prises</w:t>
      </w:r>
      <w:proofErr w:type="spellEnd"/>
      <w:r w:rsidR="0073666E" w:rsidRPr="0073666E">
        <w:rPr>
          <w:lang w:val="de-CH"/>
        </w:rPr>
        <w:t xml:space="preserve"> en </w:t>
      </w:r>
      <w:proofErr w:type="spellStart"/>
      <w:r w:rsidR="0073666E" w:rsidRPr="0073666E">
        <w:rPr>
          <w:lang w:val="de-CH"/>
        </w:rPr>
        <w:t>compte</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w:t>
      </w:r>
      <w:proofErr w:type="spellStart"/>
      <w:r w:rsidR="0073666E" w:rsidRPr="0073666E">
        <w:rPr>
          <w:lang w:val="de-CH"/>
        </w:rPr>
        <w:t>l’appréciation</w:t>
      </w:r>
      <w:proofErr w:type="spellEnd"/>
      <w:r w:rsidR="0073666E" w:rsidRPr="0073666E">
        <w:rPr>
          <w:lang w:val="de-CH"/>
        </w:rPr>
        <w:t xml:space="preserve"> des </w:t>
      </w:r>
      <w:proofErr w:type="spellStart"/>
      <w:r w:rsidR="0073666E" w:rsidRPr="0073666E">
        <w:rPr>
          <w:lang w:val="de-CH"/>
        </w:rPr>
        <w:t>demandes</w:t>
      </w:r>
      <w:proofErr w:type="spellEnd"/>
      <w:r w:rsidR="0073666E" w:rsidRPr="0073666E">
        <w:rPr>
          <w:lang w:val="de-CH"/>
        </w:rPr>
        <w:t xml:space="preserve"> </w:t>
      </w:r>
      <w:proofErr w:type="spellStart"/>
      <w:r w:rsidR="0073666E" w:rsidRPr="0073666E">
        <w:rPr>
          <w:lang w:val="de-CH"/>
        </w:rPr>
        <w:t>d’asile</w:t>
      </w:r>
      <w:proofErr w:type="spellEnd"/>
      <w:r w:rsidR="0073666E" w:rsidRPr="0073666E">
        <w:rPr>
          <w:lang w:val="de-CH"/>
        </w:rPr>
        <w:t xml:space="preserve">. </w:t>
      </w:r>
      <w:r w:rsidR="0073666E" w:rsidRPr="0073666E">
        <w:t>L’ensemble du domaine de l’asile était soumis le 1</w:t>
      </w:r>
      <w:r w:rsidR="0073666E" w:rsidRPr="0073666E">
        <w:rPr>
          <w:vertAlign w:val="superscript"/>
        </w:rPr>
        <w:t>er</w:t>
      </w:r>
      <w:r w:rsidR="0073666E" w:rsidRPr="0073666E">
        <w:t xml:space="preserve"> mars 2019 à une restructuration visant à accélérer la procédure. </w:t>
      </w:r>
      <w:r w:rsidR="0073666E" w:rsidRPr="0073666E">
        <w:rPr>
          <w:lang w:val="de-CH"/>
        </w:rPr>
        <w:t xml:space="preserve">Le but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d’assurer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d’accorder</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non </w:t>
      </w:r>
      <w:proofErr w:type="spellStart"/>
      <w:r w:rsidR="0073666E" w:rsidRPr="0073666E">
        <w:rPr>
          <w:lang w:val="de-CH"/>
        </w:rPr>
        <w:t>l’asile</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prise</w:t>
      </w:r>
      <w:proofErr w:type="spellEnd"/>
      <w:r w:rsidR="0073666E" w:rsidRPr="0073666E">
        <w:rPr>
          <w:lang w:val="de-CH"/>
        </w:rPr>
        <w:t xml:space="preserve"> le plus </w:t>
      </w:r>
      <w:proofErr w:type="spellStart"/>
      <w:r w:rsidR="0073666E" w:rsidRPr="0073666E">
        <w:rPr>
          <w:lang w:val="de-CH"/>
        </w:rPr>
        <w:t>rapidement</w:t>
      </w:r>
      <w:proofErr w:type="spellEnd"/>
      <w:r w:rsidR="0073666E" w:rsidRPr="0073666E">
        <w:rPr>
          <w:lang w:val="de-CH"/>
        </w:rPr>
        <w:t xml:space="preserve"> possible après </w:t>
      </w:r>
      <w:proofErr w:type="spellStart"/>
      <w:r w:rsidR="0073666E" w:rsidRPr="0073666E">
        <w:rPr>
          <w:lang w:val="de-CH"/>
        </w:rPr>
        <w:t>l’audition</w:t>
      </w:r>
      <w:proofErr w:type="spellEnd"/>
      <w:r w:rsidR="0073666E" w:rsidRPr="0073666E">
        <w:rPr>
          <w:lang w:val="de-CH"/>
        </w:rPr>
        <w:t xml:space="preserve"> et en </w:t>
      </w:r>
      <w:proofErr w:type="spellStart"/>
      <w:r w:rsidR="0073666E" w:rsidRPr="0073666E">
        <w:rPr>
          <w:lang w:val="de-CH"/>
        </w:rPr>
        <w:t>principe</w:t>
      </w:r>
      <w:proofErr w:type="spellEnd"/>
      <w:r w:rsidR="0073666E" w:rsidRPr="0073666E">
        <w:rPr>
          <w:lang w:val="de-CH"/>
        </w:rPr>
        <w:t xml:space="preserve"> par la </w:t>
      </w:r>
      <w:proofErr w:type="spellStart"/>
      <w:r w:rsidR="0073666E" w:rsidRPr="0073666E">
        <w:rPr>
          <w:lang w:val="de-CH"/>
        </w:rPr>
        <w:t>même</w:t>
      </w:r>
      <w:proofErr w:type="spellEnd"/>
      <w:r w:rsidR="0073666E" w:rsidRPr="0073666E">
        <w:rPr>
          <w:lang w:val="de-CH"/>
        </w:rPr>
        <w:t xml:space="preserve">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mesure</w:t>
      </w:r>
      <w:proofErr w:type="spellEnd"/>
      <w:r w:rsidR="0073666E" w:rsidRPr="0073666E">
        <w:rPr>
          <w:lang w:val="de-CH"/>
        </w:rPr>
        <w:t xml:space="preserve"> </w:t>
      </w:r>
      <w:proofErr w:type="spellStart"/>
      <w:r w:rsidR="0073666E" w:rsidRPr="0073666E">
        <w:rPr>
          <w:lang w:val="de-CH"/>
        </w:rPr>
        <w:t>permettra</w:t>
      </w:r>
      <w:proofErr w:type="spellEnd"/>
      <w:r w:rsidR="0073666E" w:rsidRPr="0073666E">
        <w:rPr>
          <w:lang w:val="de-CH"/>
        </w:rPr>
        <w:t xml:space="preserve"> de </w:t>
      </w:r>
      <w:proofErr w:type="spellStart"/>
      <w:r w:rsidR="0073666E" w:rsidRPr="0073666E">
        <w:rPr>
          <w:lang w:val="de-CH"/>
        </w:rPr>
        <w:t>toujours</w:t>
      </w:r>
      <w:proofErr w:type="spellEnd"/>
      <w:r w:rsidR="0073666E" w:rsidRPr="0073666E">
        <w:rPr>
          <w:lang w:val="de-CH"/>
        </w:rPr>
        <w:t xml:space="preserve"> </w:t>
      </w:r>
      <w:proofErr w:type="spellStart"/>
      <w:r w:rsidR="0073666E" w:rsidRPr="0073666E">
        <w:rPr>
          <w:lang w:val="de-CH"/>
        </w:rPr>
        <w:t>tenir</w:t>
      </w:r>
      <w:proofErr w:type="spellEnd"/>
      <w:r w:rsidR="0073666E" w:rsidRPr="0073666E">
        <w:rPr>
          <w:lang w:val="de-CH"/>
        </w:rPr>
        <w:t xml:space="preserve"> </w:t>
      </w:r>
      <w:proofErr w:type="spellStart"/>
      <w:r w:rsidR="0073666E" w:rsidRPr="0073666E">
        <w:rPr>
          <w:lang w:val="de-CH"/>
        </w:rPr>
        <w:t>compte</w:t>
      </w:r>
      <w:proofErr w:type="spellEnd"/>
      <w:r w:rsidR="0073666E" w:rsidRPr="0073666E">
        <w:rPr>
          <w:lang w:val="de-CH"/>
        </w:rPr>
        <w:t xml:space="preserve"> des </w:t>
      </w:r>
      <w:proofErr w:type="spellStart"/>
      <w:r w:rsidR="0073666E" w:rsidRPr="0073666E">
        <w:rPr>
          <w:lang w:val="de-CH"/>
        </w:rPr>
        <w:t>conditions</w:t>
      </w:r>
      <w:proofErr w:type="spellEnd"/>
      <w:r w:rsidR="0073666E" w:rsidRPr="0073666E">
        <w:rPr>
          <w:lang w:val="de-CH"/>
        </w:rPr>
        <w:t xml:space="preserve"> </w:t>
      </w:r>
      <w:proofErr w:type="spellStart"/>
      <w:r w:rsidR="0073666E" w:rsidRPr="0073666E">
        <w:rPr>
          <w:lang w:val="de-CH"/>
        </w:rPr>
        <w:t>actuelles</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la </w:t>
      </w:r>
      <w:proofErr w:type="spellStart"/>
      <w:r w:rsidR="0073666E" w:rsidRPr="0073666E">
        <w:rPr>
          <w:lang w:val="de-CH"/>
        </w:rPr>
        <w:t>décision</w:t>
      </w:r>
      <w:proofErr w:type="spellEnd"/>
      <w:r w:rsidR="0073666E" w:rsidRPr="0073666E">
        <w:rPr>
          <w:lang w:val="de-CH"/>
        </w:rPr>
        <w:t>.</w:t>
      </w:r>
    </w:p>
    <w:p w14:paraId="331C07F3" w14:textId="77777777" w:rsidR="0073666E" w:rsidRPr="0073666E" w:rsidRDefault="00D15B10" w:rsidP="00D15B10">
      <w:pPr>
        <w:pStyle w:val="SingleTxtG"/>
        <w:rPr>
          <w:lang w:val="de-CH"/>
        </w:rPr>
      </w:pPr>
      <w:r>
        <w:rPr>
          <w:lang w:val="de-CH"/>
        </w:rPr>
        <w:t>40.</w:t>
      </w:r>
      <w:r>
        <w:rPr>
          <w:lang w:val="de-CH"/>
        </w:rPr>
        <w:tab/>
      </w:r>
      <w:r w:rsidR="0073666E" w:rsidRPr="0073666E">
        <w:rPr>
          <w:lang w:val="de-CH"/>
        </w:rPr>
        <w:t xml:space="preserve">Le SEM ne </w:t>
      </w:r>
      <w:proofErr w:type="spellStart"/>
      <w:r w:rsidR="0073666E" w:rsidRPr="0073666E">
        <w:rPr>
          <w:lang w:val="de-CH"/>
        </w:rPr>
        <w:t>dispose</w:t>
      </w:r>
      <w:proofErr w:type="spellEnd"/>
      <w:r w:rsidR="0073666E" w:rsidRPr="0073666E">
        <w:rPr>
          <w:lang w:val="de-CH"/>
        </w:rPr>
        <w:t xml:space="preserve"> </w:t>
      </w:r>
      <w:proofErr w:type="spellStart"/>
      <w:r w:rsidR="0073666E" w:rsidRPr="0073666E">
        <w:rPr>
          <w:lang w:val="de-CH"/>
        </w:rPr>
        <w:t>actuellement</w:t>
      </w:r>
      <w:proofErr w:type="spellEnd"/>
      <w:r w:rsidR="0073666E" w:rsidRPr="0073666E">
        <w:rPr>
          <w:lang w:val="de-CH"/>
        </w:rPr>
        <w:t xml:space="preserve"> </w:t>
      </w:r>
      <w:proofErr w:type="spellStart"/>
      <w:r w:rsidR="0073666E" w:rsidRPr="0073666E">
        <w:rPr>
          <w:lang w:val="de-CH"/>
        </w:rPr>
        <w:t>d’aucune</w:t>
      </w:r>
      <w:proofErr w:type="spellEnd"/>
      <w:r w:rsidR="0073666E" w:rsidRPr="0073666E">
        <w:rPr>
          <w:lang w:val="de-CH"/>
        </w:rPr>
        <w:t xml:space="preserve"> </w:t>
      </w:r>
      <w:proofErr w:type="spellStart"/>
      <w:r w:rsidR="0073666E" w:rsidRPr="0073666E">
        <w:rPr>
          <w:lang w:val="de-CH"/>
        </w:rPr>
        <w:t>directive</w:t>
      </w:r>
      <w:proofErr w:type="spellEnd"/>
      <w:r w:rsidR="0073666E" w:rsidRPr="0073666E">
        <w:rPr>
          <w:lang w:val="de-CH"/>
        </w:rPr>
        <w:t xml:space="preserve"> se </w:t>
      </w:r>
      <w:proofErr w:type="spellStart"/>
      <w:r w:rsidR="0073666E" w:rsidRPr="0073666E">
        <w:rPr>
          <w:lang w:val="de-CH"/>
        </w:rPr>
        <w:t>référant</w:t>
      </w:r>
      <w:proofErr w:type="spellEnd"/>
      <w:r w:rsidR="0073666E" w:rsidRPr="0073666E">
        <w:rPr>
          <w:lang w:val="de-CH"/>
        </w:rPr>
        <w:t xml:space="preserve"> </w:t>
      </w:r>
      <w:proofErr w:type="spellStart"/>
      <w:r w:rsidR="0073666E" w:rsidRPr="0073666E">
        <w:rPr>
          <w:lang w:val="de-CH"/>
        </w:rPr>
        <w:t>concrètement</w:t>
      </w:r>
      <w:proofErr w:type="spellEnd"/>
      <w:r w:rsidR="0073666E" w:rsidRPr="0073666E">
        <w:rPr>
          <w:lang w:val="de-CH"/>
        </w:rPr>
        <w:t xml:space="preserve"> au </w:t>
      </w:r>
      <w:proofErr w:type="spellStart"/>
      <w:r w:rsidR="0073666E" w:rsidRPr="0073666E">
        <w:rPr>
          <w:lang w:val="de-CH"/>
        </w:rPr>
        <w:t>caractère</w:t>
      </w:r>
      <w:proofErr w:type="spellEnd"/>
      <w:r w:rsidR="0073666E" w:rsidRPr="0073666E">
        <w:rPr>
          <w:lang w:val="de-CH"/>
        </w:rPr>
        <w:t xml:space="preserve"> </w:t>
      </w:r>
      <w:proofErr w:type="spellStart"/>
      <w:r w:rsidR="0073666E" w:rsidRPr="0073666E">
        <w:rPr>
          <w:lang w:val="de-CH"/>
        </w:rPr>
        <w:t>probant</w:t>
      </w:r>
      <w:proofErr w:type="spellEnd"/>
      <w:r w:rsidR="0073666E" w:rsidRPr="0073666E">
        <w:rPr>
          <w:lang w:val="de-CH"/>
        </w:rPr>
        <w:t xml:space="preserve"> des </w:t>
      </w:r>
      <w:proofErr w:type="spellStart"/>
      <w:r w:rsidR="0073666E" w:rsidRPr="0073666E">
        <w:rPr>
          <w:lang w:val="de-CH"/>
        </w:rPr>
        <w:t>expertises</w:t>
      </w:r>
      <w:proofErr w:type="spellEnd"/>
      <w:r w:rsidR="0073666E" w:rsidRPr="0073666E">
        <w:rPr>
          <w:lang w:val="de-CH"/>
        </w:rPr>
        <w:t xml:space="preserve"> au sens du </w:t>
      </w:r>
      <w:proofErr w:type="spellStart"/>
      <w:r w:rsidR="0073666E" w:rsidRPr="0073666E">
        <w:rPr>
          <w:lang w:val="de-CH"/>
        </w:rPr>
        <w:t>Protocole</w:t>
      </w:r>
      <w:proofErr w:type="spellEnd"/>
      <w:r w:rsidR="0073666E" w:rsidRPr="0073666E">
        <w:rPr>
          <w:lang w:val="de-CH"/>
        </w:rPr>
        <w:t xml:space="preserve"> </w:t>
      </w:r>
      <w:proofErr w:type="spellStart"/>
      <w:r w:rsidR="0073666E" w:rsidRPr="0073666E">
        <w:rPr>
          <w:lang w:val="de-CH"/>
        </w:rPr>
        <w:t>d’Istanbul</w:t>
      </w:r>
      <w:proofErr w:type="spellEnd"/>
      <w:r w:rsidR="0073666E" w:rsidRPr="0073666E">
        <w:rPr>
          <w:lang w:val="de-CH"/>
        </w:rPr>
        <w:t xml:space="preserve">. La </w:t>
      </w:r>
      <w:proofErr w:type="spellStart"/>
      <w:r w:rsidR="0073666E" w:rsidRPr="0073666E">
        <w:rPr>
          <w:lang w:val="de-CH"/>
        </w:rPr>
        <w:t>loi</w:t>
      </w:r>
      <w:proofErr w:type="spellEnd"/>
      <w:r w:rsidR="0073666E" w:rsidRPr="0073666E">
        <w:rPr>
          <w:lang w:val="de-CH"/>
        </w:rPr>
        <w:t xml:space="preserve"> </w:t>
      </w:r>
      <w:proofErr w:type="spellStart"/>
      <w:r w:rsidR="0073666E" w:rsidRPr="0073666E">
        <w:rPr>
          <w:lang w:val="de-CH"/>
        </w:rPr>
        <w:t>fédérale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la </w:t>
      </w:r>
      <w:proofErr w:type="spellStart"/>
      <w:r w:rsidR="0073666E" w:rsidRPr="0073666E">
        <w:rPr>
          <w:lang w:val="de-CH"/>
        </w:rPr>
        <w:t>procédure</w:t>
      </w:r>
      <w:proofErr w:type="spellEnd"/>
      <w:r w:rsidR="0073666E" w:rsidRPr="0073666E">
        <w:rPr>
          <w:lang w:val="de-CH"/>
        </w:rPr>
        <w:t xml:space="preserve"> administrative (PA) </w:t>
      </w:r>
      <w:proofErr w:type="spellStart"/>
      <w:r w:rsidR="0073666E" w:rsidRPr="0073666E">
        <w:rPr>
          <w:lang w:val="de-CH"/>
        </w:rPr>
        <w:t>prévoit</w:t>
      </w:r>
      <w:proofErr w:type="spellEnd"/>
      <w:r w:rsidR="0073666E" w:rsidRPr="0073666E">
        <w:rPr>
          <w:lang w:val="de-CH"/>
        </w:rPr>
        <w:t xml:space="preserve"> </w:t>
      </w:r>
      <w:proofErr w:type="spellStart"/>
      <w:r w:rsidR="0073666E" w:rsidRPr="0073666E">
        <w:rPr>
          <w:lang w:val="de-CH"/>
        </w:rPr>
        <w:t>toutefois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l’autorité</w:t>
      </w:r>
      <w:proofErr w:type="spellEnd"/>
      <w:r w:rsidR="0073666E" w:rsidRPr="0073666E">
        <w:rPr>
          <w:lang w:val="de-CH"/>
        </w:rPr>
        <w:t xml:space="preserve"> </w:t>
      </w:r>
      <w:proofErr w:type="spellStart"/>
      <w:r w:rsidR="0073666E" w:rsidRPr="0073666E">
        <w:rPr>
          <w:lang w:val="de-CH"/>
        </w:rPr>
        <w:t>constate</w:t>
      </w:r>
      <w:proofErr w:type="spellEnd"/>
      <w:r w:rsidR="0073666E" w:rsidRPr="0073666E">
        <w:rPr>
          <w:lang w:val="de-CH"/>
        </w:rPr>
        <w:t xml:space="preserve"> </w:t>
      </w:r>
      <w:proofErr w:type="spellStart"/>
      <w:r w:rsidR="0073666E" w:rsidRPr="0073666E">
        <w:rPr>
          <w:lang w:val="de-CH"/>
        </w:rPr>
        <w:t>d’office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faits</w:t>
      </w:r>
      <w:proofErr w:type="spellEnd"/>
      <w:r w:rsidR="0073666E" w:rsidRPr="0073666E">
        <w:rPr>
          <w:lang w:val="de-CH"/>
        </w:rPr>
        <w:t xml:space="preserve"> et </w:t>
      </w:r>
      <w:proofErr w:type="spellStart"/>
      <w:r w:rsidR="0073666E" w:rsidRPr="0073666E">
        <w:rPr>
          <w:lang w:val="de-CH"/>
        </w:rPr>
        <w:t>lui</w:t>
      </w:r>
      <w:proofErr w:type="spellEnd"/>
      <w:r w:rsidR="0073666E" w:rsidRPr="0073666E">
        <w:rPr>
          <w:lang w:val="de-CH"/>
        </w:rPr>
        <w:t xml:space="preserve"> </w:t>
      </w:r>
      <w:proofErr w:type="spellStart"/>
      <w:r w:rsidR="0073666E" w:rsidRPr="0073666E">
        <w:rPr>
          <w:lang w:val="de-CH"/>
        </w:rPr>
        <w:t>permet</w:t>
      </w:r>
      <w:proofErr w:type="spellEnd"/>
      <w:r w:rsidR="0073666E" w:rsidRPr="0073666E">
        <w:rPr>
          <w:lang w:val="de-CH"/>
        </w:rPr>
        <w:t xml:space="preserve"> de </w:t>
      </w:r>
      <w:r w:rsidR="0073666E" w:rsidRPr="00D15B10">
        <w:t>demander</w:t>
      </w:r>
      <w:r w:rsidR="0073666E" w:rsidRPr="0073666E">
        <w:rPr>
          <w:lang w:val="de-CH"/>
        </w:rPr>
        <w:t xml:space="preserve"> des </w:t>
      </w:r>
      <w:proofErr w:type="spellStart"/>
      <w:r w:rsidR="0073666E" w:rsidRPr="0073666E">
        <w:rPr>
          <w:lang w:val="de-CH"/>
        </w:rPr>
        <w:t>expertises</w:t>
      </w:r>
      <w:proofErr w:type="spellEnd"/>
      <w:r w:rsidR="0073666E" w:rsidRPr="0073666E">
        <w:rPr>
          <w:lang w:val="de-CH"/>
        </w:rPr>
        <w:t xml:space="preserve"> (art. 12, </w:t>
      </w:r>
      <w:proofErr w:type="spellStart"/>
      <w:r w:rsidR="0073666E" w:rsidRPr="0073666E">
        <w:rPr>
          <w:lang w:val="de-CH"/>
        </w:rPr>
        <w:t>let</w:t>
      </w:r>
      <w:proofErr w:type="spellEnd"/>
      <w:r w:rsidR="0073666E" w:rsidRPr="0073666E">
        <w:rPr>
          <w:lang w:val="de-CH"/>
        </w:rPr>
        <w:t xml:space="preserve">. e, PA). Il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donc</w:t>
      </w:r>
      <w:proofErr w:type="spellEnd"/>
      <w:r w:rsidR="0073666E" w:rsidRPr="0073666E">
        <w:rPr>
          <w:lang w:val="de-CH"/>
        </w:rPr>
        <w:t xml:space="preserve"> </w:t>
      </w:r>
      <w:proofErr w:type="spellStart"/>
      <w:r w:rsidR="0073666E" w:rsidRPr="0073666E">
        <w:rPr>
          <w:lang w:val="de-CH"/>
        </w:rPr>
        <w:t>déjà</w:t>
      </w:r>
      <w:proofErr w:type="spellEnd"/>
      <w:r w:rsidR="0073666E" w:rsidRPr="0073666E">
        <w:rPr>
          <w:lang w:val="de-CH"/>
        </w:rPr>
        <w:t xml:space="preserve"> possible de </w:t>
      </w:r>
      <w:proofErr w:type="spellStart"/>
      <w:r w:rsidR="0073666E" w:rsidRPr="0073666E">
        <w:rPr>
          <w:lang w:val="de-CH"/>
        </w:rPr>
        <w:t>requérir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expertise</w:t>
      </w:r>
      <w:proofErr w:type="spellEnd"/>
      <w:r w:rsidR="0073666E" w:rsidRPr="0073666E">
        <w:rPr>
          <w:lang w:val="de-CH"/>
        </w:rPr>
        <w:t xml:space="preserve"> en </w:t>
      </w:r>
      <w:proofErr w:type="spellStart"/>
      <w:r w:rsidR="0073666E" w:rsidRPr="0073666E">
        <w:rPr>
          <w:lang w:val="de-CH"/>
        </w:rPr>
        <w:t>cas</w:t>
      </w:r>
      <w:proofErr w:type="spellEnd"/>
      <w:r w:rsidR="0073666E" w:rsidRPr="0073666E">
        <w:rPr>
          <w:lang w:val="de-CH"/>
        </w:rPr>
        <w:t xml:space="preserve"> de </w:t>
      </w:r>
      <w:proofErr w:type="spellStart"/>
      <w:r w:rsidR="0073666E" w:rsidRPr="0073666E">
        <w:rPr>
          <w:lang w:val="de-CH"/>
        </w:rPr>
        <w:t>soupçon</w:t>
      </w:r>
      <w:proofErr w:type="spellEnd"/>
      <w:r w:rsidR="0073666E" w:rsidRPr="0073666E">
        <w:rPr>
          <w:lang w:val="de-CH"/>
        </w:rPr>
        <w:t xml:space="preserve">, </w:t>
      </w:r>
      <w:proofErr w:type="spellStart"/>
      <w:r w:rsidR="0073666E" w:rsidRPr="0073666E">
        <w:rPr>
          <w:lang w:val="de-CH"/>
        </w:rPr>
        <w:t>contesté</w:t>
      </w:r>
      <w:proofErr w:type="spellEnd"/>
      <w:r w:rsidR="0073666E" w:rsidRPr="0073666E">
        <w:rPr>
          <w:lang w:val="de-CH"/>
        </w:rPr>
        <w:t xml:space="preserve">, de </w:t>
      </w:r>
      <w:proofErr w:type="spellStart"/>
      <w:r w:rsidR="0073666E" w:rsidRPr="0073666E">
        <w:rPr>
          <w:lang w:val="de-CH"/>
        </w:rPr>
        <w:t>torture</w:t>
      </w:r>
      <w:proofErr w:type="spellEnd"/>
      <w:r w:rsidR="0073666E" w:rsidRPr="0073666E">
        <w:rPr>
          <w:lang w:val="de-CH"/>
        </w:rPr>
        <w:t xml:space="preserve">. Dans la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d’asile</w:t>
      </w:r>
      <w:proofErr w:type="spellEnd"/>
      <w:r w:rsidR="0073666E" w:rsidRPr="0073666E">
        <w:rPr>
          <w:lang w:val="de-CH"/>
        </w:rPr>
        <w:t xml:space="preserve">, le </w:t>
      </w:r>
      <w:proofErr w:type="spellStart"/>
      <w:r w:rsidR="0073666E" w:rsidRPr="0073666E">
        <w:rPr>
          <w:lang w:val="de-CH"/>
        </w:rPr>
        <w:lastRenderedPageBreak/>
        <w:t>requérant</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en </w:t>
      </w:r>
      <w:proofErr w:type="spellStart"/>
      <w:r w:rsidR="0073666E" w:rsidRPr="0073666E">
        <w:rPr>
          <w:lang w:val="de-CH"/>
        </w:rPr>
        <w:t>outre</w:t>
      </w:r>
      <w:proofErr w:type="spellEnd"/>
      <w:r w:rsidR="0073666E" w:rsidRPr="0073666E">
        <w:rPr>
          <w:lang w:val="de-CH"/>
        </w:rPr>
        <w:t xml:space="preserve"> </w:t>
      </w:r>
      <w:proofErr w:type="spellStart"/>
      <w:r w:rsidR="0073666E" w:rsidRPr="0073666E">
        <w:rPr>
          <w:lang w:val="de-CH"/>
        </w:rPr>
        <w:t>tenu</w:t>
      </w:r>
      <w:proofErr w:type="spellEnd"/>
      <w:r w:rsidR="0073666E" w:rsidRPr="0073666E">
        <w:rPr>
          <w:lang w:val="de-CH"/>
        </w:rPr>
        <w:t xml:space="preserve"> de </w:t>
      </w:r>
      <w:proofErr w:type="spellStart"/>
      <w:r w:rsidR="0073666E" w:rsidRPr="0073666E">
        <w:rPr>
          <w:lang w:val="de-CH"/>
        </w:rPr>
        <w:t>collaborer</w:t>
      </w:r>
      <w:proofErr w:type="spellEnd"/>
      <w:r w:rsidR="0073666E" w:rsidRPr="0073666E">
        <w:rPr>
          <w:lang w:val="de-CH"/>
        </w:rPr>
        <w:t xml:space="preserve"> à </w:t>
      </w:r>
      <w:proofErr w:type="spellStart"/>
      <w:r w:rsidR="0073666E" w:rsidRPr="0073666E">
        <w:rPr>
          <w:lang w:val="de-CH"/>
        </w:rPr>
        <w:t>l’établissement</w:t>
      </w:r>
      <w:proofErr w:type="spellEnd"/>
      <w:r w:rsidR="0073666E" w:rsidRPr="0073666E">
        <w:rPr>
          <w:lang w:val="de-CH"/>
        </w:rPr>
        <w:t xml:space="preserve"> des </w:t>
      </w:r>
      <w:proofErr w:type="spellStart"/>
      <w:r w:rsidR="0073666E" w:rsidRPr="0073666E">
        <w:rPr>
          <w:lang w:val="de-CH"/>
        </w:rPr>
        <w:t>faits</w:t>
      </w:r>
      <w:proofErr w:type="spellEnd"/>
      <w:r w:rsidR="0073666E" w:rsidRPr="0073666E">
        <w:rPr>
          <w:lang w:val="de-CH"/>
        </w:rPr>
        <w:t xml:space="preserve">. Il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participer</w:t>
      </w:r>
      <w:proofErr w:type="spellEnd"/>
      <w:r w:rsidR="0073666E" w:rsidRPr="0073666E">
        <w:rPr>
          <w:lang w:val="de-CH"/>
        </w:rPr>
        <w:t xml:space="preserve"> à </w:t>
      </w:r>
      <w:proofErr w:type="spellStart"/>
      <w:r w:rsidR="0073666E" w:rsidRPr="0073666E">
        <w:rPr>
          <w:lang w:val="de-CH"/>
        </w:rPr>
        <w:t>l’administration</w:t>
      </w:r>
      <w:proofErr w:type="spellEnd"/>
      <w:r w:rsidR="0073666E" w:rsidRPr="0073666E">
        <w:rPr>
          <w:lang w:val="de-CH"/>
        </w:rPr>
        <w:t xml:space="preserve"> des </w:t>
      </w:r>
      <w:proofErr w:type="spellStart"/>
      <w:r w:rsidR="0073666E" w:rsidRPr="0073666E">
        <w:rPr>
          <w:lang w:val="de-CH"/>
        </w:rPr>
        <w:t>preuves</w:t>
      </w:r>
      <w:proofErr w:type="spellEnd"/>
      <w:r w:rsidR="0073666E" w:rsidRPr="0073666E">
        <w:rPr>
          <w:lang w:val="de-CH"/>
        </w:rPr>
        <w:t xml:space="preserve"> en </w:t>
      </w:r>
      <w:proofErr w:type="spellStart"/>
      <w:r w:rsidR="0073666E" w:rsidRPr="0073666E">
        <w:rPr>
          <w:lang w:val="de-CH"/>
        </w:rPr>
        <w:t>en</w:t>
      </w:r>
      <w:proofErr w:type="spellEnd"/>
      <w:r w:rsidR="0073666E" w:rsidRPr="0073666E">
        <w:rPr>
          <w:lang w:val="de-CH"/>
        </w:rPr>
        <w:t xml:space="preserve"> </w:t>
      </w:r>
      <w:proofErr w:type="spellStart"/>
      <w:r w:rsidR="0073666E" w:rsidRPr="0073666E">
        <w:rPr>
          <w:lang w:val="de-CH"/>
        </w:rPr>
        <w:t>fournissant</w:t>
      </w:r>
      <w:proofErr w:type="spellEnd"/>
      <w:r w:rsidR="0073666E" w:rsidRPr="0073666E">
        <w:rPr>
          <w:lang w:val="de-CH"/>
        </w:rPr>
        <w:t xml:space="preserve">. Il </w:t>
      </w:r>
      <w:proofErr w:type="spellStart"/>
      <w:r w:rsidR="0073666E" w:rsidRPr="0073666E">
        <w:rPr>
          <w:lang w:val="de-CH"/>
        </w:rPr>
        <w:t>incombe</w:t>
      </w:r>
      <w:proofErr w:type="spellEnd"/>
      <w:r w:rsidR="0073666E" w:rsidRPr="0073666E">
        <w:rPr>
          <w:lang w:val="de-CH"/>
        </w:rPr>
        <w:t xml:space="preserve"> </w:t>
      </w:r>
      <w:proofErr w:type="spellStart"/>
      <w:r w:rsidR="0073666E" w:rsidRPr="0073666E">
        <w:rPr>
          <w:lang w:val="de-CH"/>
        </w:rPr>
        <w:t>alors</w:t>
      </w:r>
      <w:proofErr w:type="spellEnd"/>
      <w:r w:rsidR="0073666E" w:rsidRPr="0073666E">
        <w:rPr>
          <w:lang w:val="de-CH"/>
        </w:rPr>
        <w:t xml:space="preserve"> au SEM </w:t>
      </w:r>
      <w:proofErr w:type="spellStart"/>
      <w:r w:rsidR="0073666E" w:rsidRPr="0073666E">
        <w:rPr>
          <w:lang w:val="de-CH"/>
        </w:rPr>
        <w:t>d’évaluer</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travail</w:t>
      </w:r>
      <w:proofErr w:type="spellEnd"/>
      <w:r w:rsidR="0073666E" w:rsidRPr="0073666E">
        <w:rPr>
          <w:lang w:val="de-CH"/>
        </w:rPr>
        <w:t xml:space="preserve"> </w:t>
      </w:r>
      <w:proofErr w:type="spellStart"/>
      <w:r w:rsidR="0073666E" w:rsidRPr="0073666E">
        <w:rPr>
          <w:lang w:val="de-CH"/>
        </w:rPr>
        <w:t>d’appréciation</w:t>
      </w:r>
      <w:proofErr w:type="spellEnd"/>
      <w:r w:rsidR="0073666E" w:rsidRPr="0073666E">
        <w:rPr>
          <w:lang w:val="de-CH"/>
        </w:rPr>
        <w:t xml:space="preserve">, si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preuves</w:t>
      </w:r>
      <w:proofErr w:type="spellEnd"/>
      <w:r w:rsidR="0073666E" w:rsidRPr="0073666E">
        <w:rPr>
          <w:lang w:val="de-CH"/>
        </w:rPr>
        <w:t xml:space="preserve"> </w:t>
      </w:r>
      <w:proofErr w:type="spellStart"/>
      <w:r w:rsidR="0073666E" w:rsidRPr="0073666E">
        <w:rPr>
          <w:lang w:val="de-CH"/>
        </w:rPr>
        <w:t>apportées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proposées</w:t>
      </w:r>
      <w:proofErr w:type="spellEnd"/>
      <w:r w:rsidR="0073666E" w:rsidRPr="0073666E">
        <w:rPr>
          <w:lang w:val="de-CH"/>
        </w:rPr>
        <w:t xml:space="preserve"> </w:t>
      </w:r>
      <w:proofErr w:type="spellStart"/>
      <w:r w:rsidR="0073666E" w:rsidRPr="0073666E">
        <w:rPr>
          <w:lang w:val="de-CH"/>
        </w:rPr>
        <w:t>contribuent</w:t>
      </w:r>
      <w:proofErr w:type="spellEnd"/>
      <w:r w:rsidR="0073666E" w:rsidRPr="0073666E">
        <w:rPr>
          <w:lang w:val="de-CH"/>
        </w:rPr>
        <w:t xml:space="preserve"> </w:t>
      </w:r>
      <w:proofErr w:type="spellStart"/>
      <w:r w:rsidR="0073666E" w:rsidRPr="0073666E">
        <w:rPr>
          <w:lang w:val="de-CH"/>
        </w:rPr>
        <w:t>effectivement</w:t>
      </w:r>
      <w:proofErr w:type="spellEnd"/>
      <w:r w:rsidR="0073666E" w:rsidRPr="0073666E">
        <w:rPr>
          <w:lang w:val="de-CH"/>
        </w:rPr>
        <w:t xml:space="preserve"> à la </w:t>
      </w:r>
      <w:proofErr w:type="spellStart"/>
      <w:r w:rsidR="0073666E" w:rsidRPr="0073666E">
        <w:rPr>
          <w:lang w:val="de-CH"/>
        </w:rPr>
        <w:t>constatation</w:t>
      </w:r>
      <w:proofErr w:type="spellEnd"/>
      <w:r w:rsidR="0073666E" w:rsidRPr="0073666E">
        <w:rPr>
          <w:lang w:val="de-CH"/>
        </w:rPr>
        <w:t xml:space="preserve"> des </w:t>
      </w:r>
      <w:proofErr w:type="spellStart"/>
      <w:r w:rsidR="0073666E" w:rsidRPr="0073666E">
        <w:rPr>
          <w:lang w:val="de-CH"/>
        </w:rPr>
        <w:t>faits</w:t>
      </w:r>
      <w:proofErr w:type="spellEnd"/>
      <w:r w:rsidR="0073666E" w:rsidRPr="0073666E">
        <w:rPr>
          <w:lang w:val="de-CH"/>
        </w:rPr>
        <w:t xml:space="preserve"> </w:t>
      </w:r>
      <w:proofErr w:type="spellStart"/>
      <w:r w:rsidR="0073666E" w:rsidRPr="0073666E">
        <w:rPr>
          <w:lang w:val="de-CH"/>
        </w:rPr>
        <w:t>pertinents</w:t>
      </w:r>
      <w:proofErr w:type="spellEnd"/>
      <w:r w:rsidR="0073666E" w:rsidRPr="0073666E">
        <w:rPr>
          <w:lang w:val="de-CH"/>
        </w:rPr>
        <w:t>.</w:t>
      </w:r>
    </w:p>
    <w:p w14:paraId="5569B8DD" w14:textId="77777777" w:rsidR="0073666E" w:rsidRPr="0073666E" w:rsidRDefault="00D15B10" w:rsidP="00D15B10">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7 </w:t>
      </w:r>
    </w:p>
    <w:p w14:paraId="53E5C9FB" w14:textId="77777777" w:rsidR="0073666E" w:rsidRPr="00D15B10" w:rsidRDefault="00D15B10" w:rsidP="00D15B10">
      <w:pPr>
        <w:pStyle w:val="SingleTxtG"/>
      </w:pPr>
      <w:r>
        <w:t>41.</w:t>
      </w:r>
      <w:r>
        <w:tab/>
      </w:r>
      <w:r w:rsidR="0073666E" w:rsidRPr="0073666E">
        <w:t>En cas d’extradition assujettie à la transmission préalable, par l’</w:t>
      </w:r>
      <w:r w:rsidR="00D94D41">
        <w:t>État</w:t>
      </w:r>
      <w:r w:rsidR="0073666E" w:rsidRPr="0073666E">
        <w:t xml:space="preserve"> requérant, de garanties formelles </w:t>
      </w:r>
      <w:r w:rsidR="0073666E" w:rsidRPr="00D15B10">
        <w:t>relatives au respect des droits fondamentaux de la personne extradée, la Suisse exige l’assurance que l’extradé pourra, notamment, s’adresser en tout temps au représentant diplomatique de la Suisse dans l’</w:t>
      </w:r>
      <w:r w:rsidR="00D94D41">
        <w:t>État</w:t>
      </w:r>
      <w:r w:rsidR="0073666E" w:rsidRPr="00D15B10">
        <w:t xml:space="preserve"> de destination. Le représentant pourra s’enquérir de l’état de la procédure et assister à tous les débats judiciaires</w:t>
      </w:r>
      <w:r w:rsidR="000A0B7E">
        <w:t> </w:t>
      </w:r>
      <w:r w:rsidR="0073666E" w:rsidRPr="00D15B10">
        <w:t>; un exemplaire de la décision mettant fin à la procédure pénale lui sera remis. De plus, la Suisse doit être informée de tout changement du lieu de détention de l’extradé.</w:t>
      </w:r>
    </w:p>
    <w:p w14:paraId="318277E7" w14:textId="77777777" w:rsidR="0073666E" w:rsidRPr="0073666E" w:rsidRDefault="00D15B10" w:rsidP="00D15B10">
      <w:pPr>
        <w:pStyle w:val="SingleTxtG"/>
        <w:rPr>
          <w:lang w:val="de-CH"/>
        </w:rPr>
      </w:pPr>
      <w:r>
        <w:t>42.</w:t>
      </w:r>
      <w:r>
        <w:tab/>
      </w:r>
      <w:r w:rsidR="0073666E" w:rsidRPr="00D15B10">
        <w:t>Dans l’h</w:t>
      </w:r>
      <w:r w:rsidR="0073666E" w:rsidRPr="0073666E">
        <w:t xml:space="preserve">ypothèse où, après sa remise, la personne extradée dénonce d’éventuels manquements des autorités étrangères à leurs </w:t>
      </w:r>
      <w:proofErr w:type="spellStart"/>
      <w:r w:rsidR="0073666E" w:rsidRPr="0073666E">
        <w:rPr>
          <w:lang w:val="de-CH"/>
        </w:rPr>
        <w:t>engagements</w:t>
      </w:r>
      <w:proofErr w:type="spellEnd"/>
      <w:r w:rsidR="0073666E" w:rsidRPr="0073666E">
        <w:t>, l’OFJ mandate la représentation diplomatique suisse présente sur place afin de déterminer l’état effectif de la situation</w:t>
      </w:r>
      <w:r w:rsidR="000A0B7E">
        <w:t> </w:t>
      </w:r>
      <w:r w:rsidR="0073666E" w:rsidRPr="0073666E">
        <w:t xml:space="preserve">; un rapport est alors établi. </w:t>
      </w:r>
      <w:r w:rsidR="0073666E" w:rsidRPr="0073666E">
        <w:rPr>
          <w:lang w:val="de-CH"/>
        </w:rPr>
        <w:t xml:space="preserve">Au </w:t>
      </w:r>
      <w:proofErr w:type="spellStart"/>
      <w:r w:rsidR="0073666E" w:rsidRPr="0073666E">
        <w:rPr>
          <w:lang w:val="de-CH"/>
        </w:rPr>
        <w:t>besoin</w:t>
      </w:r>
      <w:proofErr w:type="spellEnd"/>
      <w:r w:rsidR="0073666E" w:rsidRPr="0073666E">
        <w:rPr>
          <w:lang w:val="de-CH"/>
        </w:rPr>
        <w:t xml:space="preserve">, </w:t>
      </w:r>
      <w:proofErr w:type="spellStart"/>
      <w:r w:rsidR="0073666E" w:rsidRPr="0073666E">
        <w:rPr>
          <w:lang w:val="de-CH"/>
        </w:rPr>
        <w:t>l’engagement</w:t>
      </w:r>
      <w:proofErr w:type="spellEnd"/>
      <w:r w:rsidR="0073666E" w:rsidRPr="0073666E">
        <w:rPr>
          <w:lang w:val="de-CH"/>
        </w:rPr>
        <w:t xml:space="preserve"> </w:t>
      </w:r>
      <w:proofErr w:type="spellStart"/>
      <w:r w:rsidR="0073666E" w:rsidRPr="0073666E">
        <w:rPr>
          <w:lang w:val="de-CH"/>
        </w:rPr>
        <w:t>d’experts</w:t>
      </w:r>
      <w:proofErr w:type="spellEnd"/>
      <w:r w:rsidR="0073666E" w:rsidRPr="0073666E">
        <w:rPr>
          <w:lang w:val="de-CH"/>
        </w:rPr>
        <w:t xml:space="preserve"> – par exemple de </w:t>
      </w:r>
      <w:proofErr w:type="spellStart"/>
      <w:r w:rsidR="0073666E" w:rsidRPr="0073666E">
        <w:rPr>
          <w:lang w:val="de-CH"/>
        </w:rPr>
        <w:t>médecins</w:t>
      </w:r>
      <w:proofErr w:type="spellEnd"/>
      <w:r w:rsidR="0073666E" w:rsidRPr="0073666E">
        <w:rPr>
          <w:lang w:val="de-CH"/>
        </w:rPr>
        <w:t xml:space="preserve"> –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envisagé</w:t>
      </w:r>
      <w:proofErr w:type="spellEnd"/>
      <w:r w:rsidR="0073666E" w:rsidRPr="0073666E">
        <w:rPr>
          <w:lang w:val="de-CH"/>
        </w:rPr>
        <w:t xml:space="preserve">. En </w:t>
      </w:r>
      <w:proofErr w:type="spellStart"/>
      <w:r w:rsidR="0073666E" w:rsidRPr="0073666E">
        <w:rPr>
          <w:lang w:val="de-CH"/>
        </w:rPr>
        <w:t>cas</w:t>
      </w:r>
      <w:proofErr w:type="spellEnd"/>
      <w:r w:rsidR="0073666E" w:rsidRPr="0073666E">
        <w:rPr>
          <w:lang w:val="de-CH"/>
        </w:rPr>
        <w:t xml:space="preserve"> de </w:t>
      </w:r>
      <w:proofErr w:type="spellStart"/>
      <w:r w:rsidR="0073666E" w:rsidRPr="0073666E">
        <w:rPr>
          <w:lang w:val="de-CH"/>
        </w:rPr>
        <w:t>doutes</w:t>
      </w:r>
      <w:proofErr w:type="spellEnd"/>
      <w:r w:rsidR="0073666E" w:rsidRPr="0073666E">
        <w:rPr>
          <w:lang w:val="de-CH"/>
        </w:rPr>
        <w:t xml:space="preserve"> de </w:t>
      </w:r>
      <w:proofErr w:type="spellStart"/>
      <w:r w:rsidR="0073666E" w:rsidRPr="0073666E">
        <w:rPr>
          <w:lang w:val="de-CH"/>
        </w:rPr>
        <w:t>violation</w:t>
      </w:r>
      <w:proofErr w:type="spellEnd"/>
      <w:r w:rsidR="0073666E" w:rsidRPr="0073666E">
        <w:rPr>
          <w:lang w:val="de-CH"/>
        </w:rPr>
        <w:t xml:space="preserve"> </w:t>
      </w:r>
      <w:proofErr w:type="spellStart"/>
      <w:r w:rsidR="0073666E" w:rsidRPr="0073666E">
        <w:rPr>
          <w:lang w:val="de-CH"/>
        </w:rPr>
        <w:t>effective</w:t>
      </w:r>
      <w:proofErr w:type="spellEnd"/>
      <w:r w:rsidR="0073666E" w:rsidRPr="0073666E">
        <w:rPr>
          <w:lang w:val="de-CH"/>
        </w:rPr>
        <w:t xml:space="preserve"> des </w:t>
      </w:r>
      <w:proofErr w:type="spellStart"/>
      <w:r w:rsidR="0073666E" w:rsidRPr="0073666E">
        <w:rPr>
          <w:lang w:val="de-CH"/>
        </w:rPr>
        <w:t>garanties</w:t>
      </w:r>
      <w:proofErr w:type="spellEnd"/>
      <w:r w:rsidR="0073666E" w:rsidRPr="0073666E">
        <w:rPr>
          <w:lang w:val="de-CH"/>
        </w:rPr>
        <w:t xml:space="preserve"> </w:t>
      </w:r>
      <w:proofErr w:type="spellStart"/>
      <w:r w:rsidR="0073666E" w:rsidRPr="0073666E">
        <w:rPr>
          <w:lang w:val="de-CH"/>
        </w:rPr>
        <w:t>données</w:t>
      </w:r>
      <w:proofErr w:type="spellEnd"/>
      <w:r w:rsidR="0073666E" w:rsidRPr="0073666E">
        <w:rPr>
          <w:lang w:val="de-CH"/>
        </w:rPr>
        <w:t xml:space="preserve">, la Suisse interpelle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auquel</w:t>
      </w:r>
      <w:proofErr w:type="spellEnd"/>
      <w:r w:rsidR="0073666E" w:rsidRPr="0073666E">
        <w:rPr>
          <w:lang w:val="de-CH"/>
        </w:rPr>
        <w:t xml:space="preserve"> </w:t>
      </w:r>
      <w:proofErr w:type="spellStart"/>
      <w:r w:rsidR="0073666E" w:rsidRPr="0073666E">
        <w:rPr>
          <w:lang w:val="de-CH"/>
        </w:rPr>
        <w:t>l’extradition</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accordée</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tel</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survenu</w:t>
      </w:r>
      <w:proofErr w:type="spellEnd"/>
      <w:r w:rsidR="0073666E" w:rsidRPr="0073666E">
        <w:rPr>
          <w:lang w:val="de-CH"/>
        </w:rPr>
        <w:t xml:space="preserve"> à la </w:t>
      </w:r>
      <w:proofErr w:type="spellStart"/>
      <w:r w:rsidR="0073666E" w:rsidRPr="0073666E">
        <w:rPr>
          <w:lang w:val="de-CH"/>
        </w:rPr>
        <w:t>suite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extradition</w:t>
      </w:r>
      <w:proofErr w:type="spellEnd"/>
      <w:r w:rsidR="0073666E" w:rsidRPr="0073666E">
        <w:rPr>
          <w:lang w:val="de-CH"/>
        </w:rPr>
        <w:t xml:space="preserve"> en Ukraine en 2016; </w:t>
      </w:r>
      <w:proofErr w:type="spellStart"/>
      <w:r w:rsidR="0073666E" w:rsidRPr="0073666E">
        <w:rPr>
          <w:lang w:val="de-CH"/>
        </w:rPr>
        <w:t>suite</w:t>
      </w:r>
      <w:proofErr w:type="spellEnd"/>
      <w:r w:rsidR="0073666E" w:rsidRPr="0073666E">
        <w:rPr>
          <w:lang w:val="de-CH"/>
        </w:rPr>
        <w:t xml:space="preserve"> à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interpellation</w:t>
      </w:r>
      <w:proofErr w:type="spellEnd"/>
      <w:r w:rsidR="0073666E" w:rsidRPr="0073666E">
        <w:rPr>
          <w:lang w:val="de-CH"/>
        </w:rPr>
        <w:t xml:space="preserve">, </w:t>
      </w:r>
      <w:proofErr w:type="spellStart"/>
      <w:r w:rsidR="0073666E" w:rsidRPr="0073666E">
        <w:rPr>
          <w:lang w:val="de-CH"/>
        </w:rPr>
        <w:t>l’extradé</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remis en </w:t>
      </w:r>
      <w:proofErr w:type="spellStart"/>
      <w:r w:rsidR="0073666E" w:rsidRPr="0073666E">
        <w:rPr>
          <w:lang w:val="de-CH"/>
        </w:rPr>
        <w:t>liberté</w:t>
      </w:r>
      <w:proofErr w:type="spellEnd"/>
      <w:r w:rsidR="0073666E" w:rsidRPr="0073666E">
        <w:rPr>
          <w:lang w:val="de-CH"/>
        </w:rPr>
        <w:t xml:space="preserve"> par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ukrainiennes</w:t>
      </w:r>
      <w:proofErr w:type="spellEnd"/>
      <w:r w:rsidR="0073666E" w:rsidRPr="0073666E">
        <w:rPr>
          <w:lang w:val="de-CH"/>
        </w:rPr>
        <w:t xml:space="preserve">. </w:t>
      </w:r>
    </w:p>
    <w:p w14:paraId="753EAAF6" w14:textId="77777777" w:rsidR="0073666E" w:rsidRPr="0073666E" w:rsidRDefault="00D15B10" w:rsidP="00D15B10">
      <w:pPr>
        <w:pStyle w:val="SingleTxtG"/>
        <w:rPr>
          <w:lang w:val="de-CH"/>
        </w:rPr>
      </w:pPr>
      <w:r>
        <w:rPr>
          <w:lang w:val="de-CH"/>
        </w:rPr>
        <w:t>43.</w:t>
      </w:r>
      <w:r>
        <w:rPr>
          <w:lang w:val="de-CH"/>
        </w:rPr>
        <w:tab/>
      </w:r>
      <w:r w:rsidR="0073666E" w:rsidRPr="0073666E">
        <w:rPr>
          <w:lang w:val="de-CH"/>
        </w:rPr>
        <w:t xml:space="preserve">En </w:t>
      </w:r>
      <w:proofErr w:type="spellStart"/>
      <w:r w:rsidR="0073666E" w:rsidRPr="0073666E">
        <w:rPr>
          <w:lang w:val="de-CH"/>
        </w:rPr>
        <w:t>pratique</w:t>
      </w:r>
      <w:proofErr w:type="spellEnd"/>
      <w:r w:rsidR="0073666E" w:rsidRPr="0073666E">
        <w:rPr>
          <w:lang w:val="de-CH"/>
        </w:rPr>
        <w:t xml:space="preserve">, le </w:t>
      </w:r>
      <w:proofErr w:type="spellStart"/>
      <w:r w:rsidR="0073666E" w:rsidRPr="0073666E">
        <w:rPr>
          <w:lang w:val="de-CH"/>
        </w:rPr>
        <w:t>système</w:t>
      </w:r>
      <w:proofErr w:type="spellEnd"/>
      <w:r w:rsidR="0073666E" w:rsidRPr="0073666E">
        <w:rPr>
          <w:lang w:val="de-CH"/>
        </w:rPr>
        <w:t xml:space="preserve"> de </w:t>
      </w:r>
      <w:proofErr w:type="spellStart"/>
      <w:r w:rsidR="0073666E" w:rsidRPr="0073666E">
        <w:rPr>
          <w:lang w:val="de-CH"/>
        </w:rPr>
        <w:t>monitoring</w:t>
      </w:r>
      <w:proofErr w:type="spellEnd"/>
      <w:r w:rsidR="0073666E" w:rsidRPr="0073666E">
        <w:rPr>
          <w:lang w:val="de-CH"/>
        </w:rPr>
        <w:t xml:space="preserve"> </w:t>
      </w:r>
      <w:proofErr w:type="spellStart"/>
      <w:r w:rsidR="0073666E" w:rsidRPr="0073666E">
        <w:rPr>
          <w:lang w:val="de-CH"/>
        </w:rPr>
        <w:t>décrit</w:t>
      </w:r>
      <w:proofErr w:type="spellEnd"/>
      <w:r w:rsidR="0073666E" w:rsidRPr="0073666E">
        <w:rPr>
          <w:lang w:val="de-CH"/>
        </w:rPr>
        <w:t xml:space="preserve"> ci-dessus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instrument</w:t>
      </w:r>
      <w:proofErr w:type="spellEnd"/>
      <w:r w:rsidR="0073666E" w:rsidRPr="0073666E">
        <w:rPr>
          <w:lang w:val="de-CH"/>
        </w:rPr>
        <w:t xml:space="preserve"> </w:t>
      </w:r>
      <w:proofErr w:type="spellStart"/>
      <w:r w:rsidR="0073666E" w:rsidRPr="0073666E">
        <w:rPr>
          <w:lang w:val="de-CH"/>
        </w:rPr>
        <w:t>fiable</w:t>
      </w:r>
      <w:proofErr w:type="spellEnd"/>
      <w:r w:rsidR="0073666E" w:rsidRPr="0073666E">
        <w:rPr>
          <w:lang w:val="de-CH"/>
        </w:rPr>
        <w:t xml:space="preserve"> et </w:t>
      </w:r>
      <w:proofErr w:type="spellStart"/>
      <w:r w:rsidR="0073666E" w:rsidRPr="0073666E">
        <w:rPr>
          <w:lang w:val="de-CH"/>
        </w:rPr>
        <w:t>efficace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s’assurer</w:t>
      </w:r>
      <w:proofErr w:type="spellEnd"/>
      <w:r w:rsidR="0073666E" w:rsidRPr="0073666E">
        <w:rPr>
          <w:lang w:val="de-CH"/>
        </w:rPr>
        <w:t xml:space="preserve"> du </w:t>
      </w:r>
      <w:proofErr w:type="spellStart"/>
      <w:r w:rsidR="0073666E" w:rsidRPr="0073666E">
        <w:rPr>
          <w:lang w:val="de-CH"/>
        </w:rPr>
        <w:t>respect</w:t>
      </w:r>
      <w:proofErr w:type="spellEnd"/>
      <w:r w:rsidR="0073666E" w:rsidRPr="0073666E">
        <w:rPr>
          <w:lang w:val="de-CH"/>
        </w:rPr>
        <w:t xml:space="preserve">, par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requérant</w:t>
      </w:r>
      <w:proofErr w:type="spellEnd"/>
      <w:r w:rsidR="0073666E" w:rsidRPr="0073666E">
        <w:rPr>
          <w:lang w:val="de-CH"/>
        </w:rPr>
        <w:t xml:space="preserve">, des </w:t>
      </w:r>
      <w:proofErr w:type="spellStart"/>
      <w:r w:rsidR="0073666E" w:rsidRPr="0073666E">
        <w:rPr>
          <w:lang w:val="de-CH"/>
        </w:rPr>
        <w:t>garanties</w:t>
      </w:r>
      <w:proofErr w:type="spellEnd"/>
      <w:r w:rsidR="0073666E" w:rsidRPr="0073666E">
        <w:rPr>
          <w:lang w:val="de-CH"/>
        </w:rPr>
        <w:t xml:space="preserve"> </w:t>
      </w:r>
      <w:proofErr w:type="spellStart"/>
      <w:r w:rsidR="0073666E" w:rsidRPr="0073666E">
        <w:rPr>
          <w:lang w:val="de-CH"/>
        </w:rPr>
        <w:t>fournies</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la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d’extradition</w:t>
      </w:r>
      <w:proofErr w:type="spellEnd"/>
      <w:r w:rsidR="0073666E" w:rsidRPr="0073666E">
        <w:rPr>
          <w:lang w:val="de-CH"/>
        </w:rPr>
        <w:t xml:space="preserve">. </w:t>
      </w:r>
      <w:r w:rsidR="002B6ED6">
        <w:rPr>
          <w:lang w:val="de-CH"/>
        </w:rPr>
        <w:t>À</w:t>
      </w:r>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jour,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dénonciations</w:t>
      </w:r>
      <w:proofErr w:type="spellEnd"/>
      <w:r w:rsidR="0073666E" w:rsidRPr="0073666E">
        <w:rPr>
          <w:lang w:val="de-CH"/>
        </w:rPr>
        <w:t xml:space="preserve"> par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extradées</w:t>
      </w:r>
      <w:proofErr w:type="spellEnd"/>
      <w:r w:rsidR="0073666E" w:rsidRPr="0073666E">
        <w:rPr>
          <w:lang w:val="de-CH"/>
        </w:rPr>
        <w:t xml:space="preserve"> de </w:t>
      </w:r>
      <w:proofErr w:type="spellStart"/>
      <w:r w:rsidR="0073666E" w:rsidRPr="0073666E">
        <w:rPr>
          <w:lang w:val="de-CH"/>
        </w:rPr>
        <w:t>traitements</w:t>
      </w:r>
      <w:proofErr w:type="spellEnd"/>
      <w:r w:rsidR="0073666E" w:rsidRPr="0073666E">
        <w:rPr>
          <w:lang w:val="de-CH"/>
        </w:rPr>
        <w:t xml:space="preserve"> </w:t>
      </w:r>
      <w:proofErr w:type="spellStart"/>
      <w:r w:rsidR="0073666E" w:rsidRPr="0073666E">
        <w:rPr>
          <w:lang w:val="de-CH"/>
        </w:rPr>
        <w:t>prohibés</w:t>
      </w:r>
      <w:proofErr w:type="spellEnd"/>
      <w:r w:rsidR="0073666E" w:rsidRPr="0073666E">
        <w:rPr>
          <w:lang w:val="de-CH"/>
        </w:rPr>
        <w:t xml:space="preserve"> </w:t>
      </w:r>
      <w:proofErr w:type="spellStart"/>
      <w:r w:rsidR="0073666E" w:rsidRPr="0073666E">
        <w:rPr>
          <w:lang w:val="de-CH"/>
        </w:rPr>
        <w:t>demeurent</w:t>
      </w:r>
      <w:proofErr w:type="spellEnd"/>
      <w:r w:rsidR="0073666E" w:rsidRPr="0073666E">
        <w:rPr>
          <w:lang w:val="de-CH"/>
        </w:rPr>
        <w:t xml:space="preserve"> </w:t>
      </w:r>
      <w:proofErr w:type="spellStart"/>
      <w:r w:rsidR="0073666E" w:rsidRPr="0073666E">
        <w:rPr>
          <w:lang w:val="de-CH"/>
        </w:rPr>
        <w:t>exceptionnelles</w:t>
      </w:r>
      <w:proofErr w:type="spellEnd"/>
      <w:r w:rsidR="000A0B7E">
        <w:rPr>
          <w:lang w:val="de-CH"/>
        </w:rPr>
        <w:t> </w:t>
      </w:r>
      <w:r w:rsidR="0073666E" w:rsidRPr="0073666E">
        <w:rPr>
          <w:lang w:val="de-CH"/>
        </w:rPr>
        <w:t xml:space="preserve">; la </w:t>
      </w:r>
      <w:proofErr w:type="spellStart"/>
      <w:r w:rsidR="0073666E" w:rsidRPr="0073666E">
        <w:rPr>
          <w:lang w:val="de-CH"/>
        </w:rPr>
        <w:t>plupart</w:t>
      </w:r>
      <w:proofErr w:type="spellEnd"/>
      <w:r w:rsidR="0073666E" w:rsidRPr="0073666E">
        <w:rPr>
          <w:lang w:val="de-CH"/>
        </w:rPr>
        <w:t xml:space="preserve"> </w:t>
      </w:r>
      <w:proofErr w:type="spellStart"/>
      <w:r w:rsidR="0073666E" w:rsidRPr="0073666E">
        <w:rPr>
          <w:lang w:val="de-CH"/>
        </w:rPr>
        <w:t>d’entre</w:t>
      </w:r>
      <w:proofErr w:type="spellEnd"/>
      <w:r w:rsidR="0073666E" w:rsidRPr="0073666E">
        <w:rPr>
          <w:lang w:val="de-CH"/>
        </w:rPr>
        <w:t xml:space="preserve"> </w:t>
      </w:r>
      <w:proofErr w:type="spellStart"/>
      <w:r w:rsidR="0073666E" w:rsidRPr="0073666E">
        <w:rPr>
          <w:lang w:val="de-CH"/>
        </w:rPr>
        <w:t>elles</w:t>
      </w:r>
      <w:proofErr w:type="spellEnd"/>
      <w:r w:rsidR="0073666E" w:rsidRPr="0073666E">
        <w:rPr>
          <w:lang w:val="de-CH"/>
        </w:rPr>
        <w:t xml:space="preserve"> </w:t>
      </w:r>
      <w:proofErr w:type="spellStart"/>
      <w:r w:rsidR="0073666E" w:rsidRPr="0073666E">
        <w:rPr>
          <w:lang w:val="de-CH"/>
        </w:rPr>
        <w:t>n’ont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permis</w:t>
      </w:r>
      <w:proofErr w:type="spellEnd"/>
      <w:r w:rsidR="0073666E" w:rsidRPr="0073666E">
        <w:rPr>
          <w:lang w:val="de-CH"/>
        </w:rPr>
        <w:t xml:space="preserve"> de </w:t>
      </w:r>
      <w:proofErr w:type="spellStart"/>
      <w:r w:rsidR="0073666E" w:rsidRPr="0073666E">
        <w:rPr>
          <w:lang w:val="de-CH"/>
        </w:rPr>
        <w:t>constater</w:t>
      </w:r>
      <w:proofErr w:type="spellEnd"/>
      <w:r w:rsidR="0073666E" w:rsidRPr="0073666E">
        <w:rPr>
          <w:lang w:val="de-CH"/>
        </w:rPr>
        <w:t xml:space="preserve"> de </w:t>
      </w:r>
      <w:proofErr w:type="spellStart"/>
      <w:r w:rsidR="0073666E" w:rsidRPr="0073666E">
        <w:rPr>
          <w:lang w:val="de-CH"/>
        </w:rPr>
        <w:t>violations</w:t>
      </w:r>
      <w:proofErr w:type="spellEnd"/>
      <w:r w:rsidR="0073666E" w:rsidRPr="0073666E">
        <w:rPr>
          <w:lang w:val="de-CH"/>
        </w:rPr>
        <w:t xml:space="preserve"> </w:t>
      </w:r>
      <w:proofErr w:type="spellStart"/>
      <w:r w:rsidR="0073666E" w:rsidRPr="0073666E">
        <w:rPr>
          <w:lang w:val="de-CH"/>
        </w:rPr>
        <w:t>effectives</w:t>
      </w:r>
      <w:proofErr w:type="spellEnd"/>
      <w:r w:rsidR="0073666E" w:rsidRPr="0073666E">
        <w:rPr>
          <w:lang w:val="de-CH"/>
        </w:rPr>
        <w:t xml:space="preserve"> des </w:t>
      </w:r>
      <w:proofErr w:type="spellStart"/>
      <w:r w:rsidR="0073666E" w:rsidRPr="0073666E">
        <w:rPr>
          <w:lang w:val="de-CH"/>
        </w:rPr>
        <w:t>assurances</w:t>
      </w:r>
      <w:proofErr w:type="spellEnd"/>
      <w:r w:rsidR="0073666E" w:rsidRPr="0073666E">
        <w:rPr>
          <w:lang w:val="de-CH"/>
        </w:rPr>
        <w:t xml:space="preserve"> </w:t>
      </w:r>
      <w:proofErr w:type="spellStart"/>
      <w:r w:rsidR="0073666E" w:rsidRPr="0073666E">
        <w:rPr>
          <w:lang w:val="de-CH"/>
        </w:rPr>
        <w:t>données</w:t>
      </w:r>
      <w:proofErr w:type="spellEnd"/>
      <w:r w:rsidR="0073666E" w:rsidRPr="0073666E">
        <w:rPr>
          <w:lang w:val="de-CH"/>
        </w:rPr>
        <w:t xml:space="preserve"> par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requérant</w:t>
      </w:r>
      <w:proofErr w:type="spellEnd"/>
      <w:r w:rsidR="0073666E" w:rsidRPr="0073666E">
        <w:rPr>
          <w:lang w:val="de-CH"/>
        </w:rPr>
        <w:t xml:space="preserve"> </w:t>
      </w:r>
      <w:proofErr w:type="spellStart"/>
      <w:r w:rsidR="0073666E" w:rsidRPr="0073666E">
        <w:rPr>
          <w:lang w:val="de-CH"/>
        </w:rPr>
        <w:t>alors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de </w:t>
      </w:r>
      <w:proofErr w:type="spellStart"/>
      <w:r w:rsidR="0073666E" w:rsidRPr="0073666E">
        <w:rPr>
          <w:lang w:val="de-CH"/>
        </w:rPr>
        <w:t>contrôle</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prises</w:t>
      </w:r>
      <w:proofErr w:type="spellEnd"/>
      <w:r w:rsidR="0073666E" w:rsidRPr="0073666E">
        <w:rPr>
          <w:lang w:val="de-CH"/>
        </w:rPr>
        <w:t xml:space="preserve"> par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helvétiques</w:t>
      </w:r>
      <w:proofErr w:type="spellEnd"/>
      <w:r w:rsidR="0073666E" w:rsidRPr="0073666E">
        <w:rPr>
          <w:lang w:val="de-CH"/>
        </w:rPr>
        <w:t xml:space="preserve">. Plus rares </w:t>
      </w:r>
      <w:proofErr w:type="spellStart"/>
      <w:r w:rsidR="0073666E" w:rsidRPr="0073666E">
        <w:rPr>
          <w:lang w:val="de-CH"/>
        </w:rPr>
        <w:t>encore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affaires</w:t>
      </w:r>
      <w:proofErr w:type="spellEnd"/>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relations</w:t>
      </w:r>
      <w:proofErr w:type="spellEnd"/>
      <w:r w:rsidR="0073666E" w:rsidRPr="0073666E">
        <w:rPr>
          <w:lang w:val="de-CH"/>
        </w:rPr>
        <w:t xml:space="preserve"> </w:t>
      </w:r>
      <w:proofErr w:type="spellStart"/>
      <w:r w:rsidR="0073666E" w:rsidRPr="0073666E">
        <w:rPr>
          <w:lang w:val="de-CH"/>
        </w:rPr>
        <w:t>extraditionnelles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dû</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interrompues</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l’</w:t>
      </w:r>
      <w:r w:rsidR="00D94D41">
        <w:rPr>
          <w:lang w:val="de-CH"/>
        </w:rPr>
        <w:t>État</w:t>
      </w:r>
      <w:proofErr w:type="spellEnd"/>
      <w:r w:rsidR="00C058E5">
        <w:rPr>
          <w:lang w:val="de-CH"/>
        </w:rPr>
        <w:t xml:space="preserve"> </w:t>
      </w:r>
      <w:proofErr w:type="spellStart"/>
      <w:r w:rsidR="00C058E5">
        <w:rPr>
          <w:lang w:val="de-CH"/>
        </w:rPr>
        <w:t>requérant</w:t>
      </w:r>
      <w:proofErr w:type="spellEnd"/>
      <w:r w:rsidR="00C058E5">
        <w:rPr>
          <w:lang w:val="de-CH"/>
        </w:rPr>
        <w:t xml:space="preserve">. Tel </w:t>
      </w:r>
      <w:proofErr w:type="spellStart"/>
      <w:r w:rsidR="00C058E5">
        <w:rPr>
          <w:lang w:val="de-CH"/>
        </w:rPr>
        <w:t>fû</w:t>
      </w:r>
      <w:r w:rsidR="0073666E" w:rsidRPr="0073666E">
        <w:rPr>
          <w:lang w:val="de-CH"/>
        </w:rPr>
        <w:t>t</w:t>
      </w:r>
      <w:proofErr w:type="spellEnd"/>
      <w:r w:rsidR="0073666E" w:rsidRPr="0073666E">
        <w:rPr>
          <w:lang w:val="de-CH"/>
        </w:rPr>
        <w:t xml:space="preserve"> </w:t>
      </w:r>
      <w:proofErr w:type="spellStart"/>
      <w:r w:rsidR="0073666E" w:rsidRPr="0073666E">
        <w:rPr>
          <w:lang w:val="de-CH"/>
        </w:rPr>
        <w:t>cependant</w:t>
      </w:r>
      <w:proofErr w:type="spellEnd"/>
      <w:r w:rsidR="0073666E" w:rsidRPr="0073666E">
        <w:rPr>
          <w:lang w:val="de-CH"/>
        </w:rPr>
        <w:t xml:space="preserve"> le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l’Inde</w:t>
      </w:r>
      <w:proofErr w:type="spellEnd"/>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deux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extradées</w:t>
      </w:r>
      <w:proofErr w:type="spellEnd"/>
      <w:r w:rsidR="0073666E" w:rsidRPr="0073666E">
        <w:rPr>
          <w:lang w:val="de-CH"/>
        </w:rPr>
        <w:t xml:space="preserve"> de Suisse en 1997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détenues</w:t>
      </w:r>
      <w:proofErr w:type="spellEnd"/>
      <w:r w:rsidR="0073666E" w:rsidRPr="0073666E">
        <w:rPr>
          <w:lang w:val="de-CH"/>
        </w:rPr>
        <w:t xml:space="preserve"> </w:t>
      </w:r>
      <w:proofErr w:type="spellStart"/>
      <w:r w:rsidR="0073666E" w:rsidRPr="0073666E">
        <w:rPr>
          <w:lang w:val="de-CH"/>
        </w:rPr>
        <w:t>jusqu’en</w:t>
      </w:r>
      <w:proofErr w:type="spellEnd"/>
      <w:r w:rsidR="0073666E" w:rsidRPr="0073666E">
        <w:rPr>
          <w:lang w:val="de-CH"/>
        </w:rPr>
        <w:t xml:space="preserve"> 2004, </w:t>
      </w:r>
      <w:proofErr w:type="spellStart"/>
      <w:r w:rsidR="0073666E" w:rsidRPr="0073666E">
        <w:rPr>
          <w:lang w:val="de-CH"/>
        </w:rPr>
        <w:t>puis</w:t>
      </w:r>
      <w:proofErr w:type="spellEnd"/>
      <w:r w:rsidR="0073666E" w:rsidRPr="0073666E">
        <w:rPr>
          <w:lang w:val="de-CH"/>
        </w:rPr>
        <w:t xml:space="preserve"> </w:t>
      </w:r>
      <w:proofErr w:type="spellStart"/>
      <w:r w:rsidR="0073666E" w:rsidRPr="0073666E">
        <w:rPr>
          <w:lang w:val="de-CH"/>
        </w:rPr>
        <w:t>assignées</w:t>
      </w:r>
      <w:proofErr w:type="spellEnd"/>
      <w:r w:rsidR="0073666E" w:rsidRPr="0073666E">
        <w:rPr>
          <w:lang w:val="de-CH"/>
        </w:rPr>
        <w:t xml:space="preserve"> à </w:t>
      </w:r>
      <w:proofErr w:type="spellStart"/>
      <w:r w:rsidR="0073666E" w:rsidRPr="0073666E">
        <w:rPr>
          <w:lang w:val="de-CH"/>
        </w:rPr>
        <w:t>résidence</w:t>
      </w:r>
      <w:proofErr w:type="spellEnd"/>
      <w:r w:rsidR="0073666E" w:rsidRPr="0073666E">
        <w:rPr>
          <w:lang w:val="de-CH"/>
        </w:rPr>
        <w:t xml:space="preserve">, </w:t>
      </w:r>
      <w:proofErr w:type="spellStart"/>
      <w:r w:rsidR="0073666E" w:rsidRPr="0073666E">
        <w:rPr>
          <w:lang w:val="de-CH"/>
        </w:rPr>
        <w:t>ceci</w:t>
      </w:r>
      <w:proofErr w:type="spellEnd"/>
      <w:r w:rsidR="0073666E" w:rsidRPr="0073666E">
        <w:rPr>
          <w:lang w:val="de-CH"/>
        </w:rPr>
        <w:t xml:space="preserve"> </w:t>
      </w:r>
      <w:proofErr w:type="spellStart"/>
      <w:r w:rsidR="0073666E" w:rsidRPr="0073666E">
        <w:rPr>
          <w:lang w:val="de-CH"/>
        </w:rPr>
        <w:t>sans</w:t>
      </w:r>
      <w:proofErr w:type="spellEnd"/>
      <w:r w:rsidR="0073666E" w:rsidRPr="0073666E">
        <w:rPr>
          <w:lang w:val="de-CH"/>
        </w:rPr>
        <w:t xml:space="preserve"> </w:t>
      </w:r>
      <w:proofErr w:type="spellStart"/>
      <w:r w:rsidR="0073666E" w:rsidRPr="0073666E">
        <w:rPr>
          <w:lang w:val="de-CH"/>
        </w:rPr>
        <w:t>avoir</w:t>
      </w:r>
      <w:proofErr w:type="spellEnd"/>
      <w:r w:rsidR="0073666E" w:rsidRPr="0073666E">
        <w:rPr>
          <w:lang w:val="de-CH"/>
        </w:rPr>
        <w:t xml:space="preserve"> </w:t>
      </w:r>
      <w:proofErr w:type="spellStart"/>
      <w:r w:rsidR="0073666E" w:rsidRPr="0073666E">
        <w:rPr>
          <w:lang w:val="de-CH"/>
        </w:rPr>
        <w:t>bénéficié</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procès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délai</w:t>
      </w:r>
      <w:proofErr w:type="spellEnd"/>
      <w:r w:rsidR="0073666E" w:rsidRPr="0073666E">
        <w:rPr>
          <w:lang w:val="de-CH"/>
        </w:rPr>
        <w:t xml:space="preserve"> </w:t>
      </w:r>
      <w:proofErr w:type="spellStart"/>
      <w:r w:rsidR="0073666E" w:rsidRPr="0073666E">
        <w:rPr>
          <w:lang w:val="de-CH"/>
        </w:rPr>
        <w:t>raisonnablement</w:t>
      </w:r>
      <w:proofErr w:type="spellEnd"/>
      <w:r w:rsidR="0073666E" w:rsidRPr="0073666E">
        <w:rPr>
          <w:lang w:val="de-CH"/>
        </w:rPr>
        <w:t xml:space="preserve"> </w:t>
      </w:r>
      <w:proofErr w:type="spellStart"/>
      <w:r w:rsidR="0073666E" w:rsidRPr="0073666E">
        <w:rPr>
          <w:lang w:val="de-CH"/>
        </w:rPr>
        <w:t>exigible</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affaire</w:t>
      </w:r>
      <w:proofErr w:type="spellEnd"/>
      <w:r w:rsidR="0073666E" w:rsidRPr="0073666E">
        <w:rPr>
          <w:lang w:val="de-CH"/>
        </w:rPr>
        <w:t xml:space="preserve"> a </w:t>
      </w:r>
      <w:proofErr w:type="spellStart"/>
      <w:r w:rsidR="0073666E" w:rsidRPr="0073666E">
        <w:rPr>
          <w:lang w:val="de-CH"/>
        </w:rPr>
        <w:t>eu</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conséquence</w:t>
      </w:r>
      <w:proofErr w:type="spellEnd"/>
      <w:r w:rsidR="0073666E" w:rsidRPr="0073666E">
        <w:rPr>
          <w:lang w:val="de-CH"/>
        </w:rPr>
        <w:t xml:space="preserve"> </w:t>
      </w:r>
      <w:proofErr w:type="spellStart"/>
      <w:r w:rsidR="0073666E" w:rsidRPr="0073666E">
        <w:rPr>
          <w:lang w:val="de-CH"/>
        </w:rPr>
        <w:t>concrète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Suisse </w:t>
      </w:r>
      <w:proofErr w:type="spellStart"/>
      <w:r w:rsidR="0073666E" w:rsidRPr="0073666E">
        <w:rPr>
          <w:lang w:val="de-CH"/>
        </w:rPr>
        <w:t>n’a</w:t>
      </w:r>
      <w:proofErr w:type="spellEnd"/>
      <w:r w:rsidR="0073666E" w:rsidRPr="0073666E">
        <w:rPr>
          <w:lang w:val="de-CH"/>
        </w:rPr>
        <w:t xml:space="preserve"> plus </w:t>
      </w:r>
      <w:proofErr w:type="spellStart"/>
      <w:r w:rsidR="0073666E" w:rsidRPr="0073666E">
        <w:rPr>
          <w:lang w:val="de-CH"/>
        </w:rPr>
        <w:t>procédé</w:t>
      </w:r>
      <w:proofErr w:type="spellEnd"/>
      <w:r w:rsidR="0073666E" w:rsidRPr="0073666E">
        <w:rPr>
          <w:lang w:val="de-CH"/>
        </w:rPr>
        <w:t xml:space="preserve"> à des </w:t>
      </w:r>
      <w:proofErr w:type="spellStart"/>
      <w:r w:rsidR="0073666E" w:rsidRPr="0073666E">
        <w:rPr>
          <w:lang w:val="de-CH"/>
        </w:rPr>
        <w:t>extraditions</w:t>
      </w:r>
      <w:proofErr w:type="spellEnd"/>
      <w:r w:rsidR="0073666E" w:rsidRPr="0073666E">
        <w:rPr>
          <w:lang w:val="de-CH"/>
        </w:rPr>
        <w:t xml:space="preserve"> </w:t>
      </w:r>
      <w:proofErr w:type="spellStart"/>
      <w:r w:rsidR="0073666E" w:rsidRPr="0073666E">
        <w:rPr>
          <w:lang w:val="de-CH"/>
        </w:rPr>
        <w:t>vers</w:t>
      </w:r>
      <w:proofErr w:type="spellEnd"/>
      <w:r w:rsidR="0073666E" w:rsidRPr="0073666E">
        <w:rPr>
          <w:lang w:val="de-CH"/>
        </w:rPr>
        <w:t xml:space="preserve"> </w:t>
      </w:r>
      <w:proofErr w:type="spellStart"/>
      <w:r w:rsidR="0073666E" w:rsidRPr="0073666E">
        <w:rPr>
          <w:lang w:val="de-CH"/>
        </w:rPr>
        <w:t>l’Inde</w:t>
      </w:r>
      <w:proofErr w:type="spellEnd"/>
      <w:r w:rsidR="0073666E" w:rsidRPr="0073666E">
        <w:rPr>
          <w:lang w:val="de-CH"/>
        </w:rPr>
        <w:t>.</w:t>
      </w:r>
    </w:p>
    <w:p w14:paraId="00319B9A" w14:textId="77777777" w:rsidR="0073666E" w:rsidRPr="0073666E" w:rsidRDefault="00D15B10" w:rsidP="00D15B10">
      <w:pPr>
        <w:pStyle w:val="SingleTxtG"/>
        <w:rPr>
          <w:lang w:val="de-CH"/>
        </w:rPr>
      </w:pPr>
      <w:r>
        <w:rPr>
          <w:lang w:val="de-CH"/>
        </w:rPr>
        <w:t>44.</w:t>
      </w:r>
      <w:r>
        <w:rPr>
          <w:lang w:val="de-CH"/>
        </w:rPr>
        <w:tab/>
      </w:r>
      <w:proofErr w:type="spellStart"/>
      <w:r w:rsidR="0073666E" w:rsidRPr="0073666E">
        <w:rPr>
          <w:lang w:val="de-CH"/>
        </w:rPr>
        <w:t>Depuis</w:t>
      </w:r>
      <w:proofErr w:type="spellEnd"/>
      <w:r w:rsidR="0073666E" w:rsidRPr="0073666E">
        <w:rPr>
          <w:lang w:val="de-CH"/>
        </w:rPr>
        <w:t xml:space="preserve"> </w:t>
      </w:r>
      <w:proofErr w:type="spellStart"/>
      <w:r w:rsidR="0073666E" w:rsidRPr="0073666E">
        <w:rPr>
          <w:lang w:val="de-CH"/>
        </w:rPr>
        <w:t>l’intervention</w:t>
      </w:r>
      <w:proofErr w:type="spellEnd"/>
      <w:r w:rsidR="0073666E" w:rsidRPr="0073666E">
        <w:rPr>
          <w:lang w:val="de-CH"/>
        </w:rPr>
        <w:t xml:space="preserve"> de </w:t>
      </w:r>
      <w:proofErr w:type="spellStart"/>
      <w:r w:rsidR="0073666E" w:rsidRPr="0073666E">
        <w:rPr>
          <w:lang w:val="de-CH"/>
        </w:rPr>
        <w:t>l’OFJ</w:t>
      </w:r>
      <w:proofErr w:type="spellEnd"/>
      <w:r w:rsidR="0073666E" w:rsidRPr="0073666E">
        <w:rPr>
          <w:lang w:val="de-CH"/>
        </w:rPr>
        <w:t xml:space="preserve">, en 2016, </w:t>
      </w:r>
      <w:proofErr w:type="spellStart"/>
      <w:r w:rsidR="0073666E" w:rsidRPr="0073666E">
        <w:rPr>
          <w:lang w:val="de-CH"/>
        </w:rPr>
        <w:t>auprès</w:t>
      </w:r>
      <w:proofErr w:type="spellEnd"/>
      <w:r w:rsidR="0073666E" w:rsidRPr="0073666E">
        <w:rPr>
          <w:lang w:val="de-CH"/>
        </w:rPr>
        <w:t xml:space="preserve"> des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ukrainiennes</w:t>
      </w:r>
      <w:proofErr w:type="spellEnd"/>
      <w:r w:rsidR="0073666E" w:rsidRPr="0073666E">
        <w:rPr>
          <w:lang w:val="de-CH"/>
        </w:rPr>
        <w:t xml:space="preserve"> </w:t>
      </w:r>
      <w:proofErr w:type="spellStart"/>
      <w:r w:rsidR="0073666E" w:rsidRPr="0073666E">
        <w:rPr>
          <w:lang w:val="de-CH"/>
        </w:rPr>
        <w:t>susmentionnées</w:t>
      </w:r>
      <w:proofErr w:type="spellEnd"/>
      <w:r w:rsidR="0073666E" w:rsidRPr="0073666E">
        <w:rPr>
          <w:lang w:val="de-CH"/>
        </w:rPr>
        <w:t xml:space="preserve">, la Suisse </w:t>
      </w:r>
      <w:proofErr w:type="spellStart"/>
      <w:r w:rsidR="0073666E" w:rsidRPr="0073666E">
        <w:rPr>
          <w:lang w:val="de-CH"/>
        </w:rPr>
        <w:t>n’a</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eu</w:t>
      </w:r>
      <w:proofErr w:type="spellEnd"/>
      <w:r w:rsidR="0073666E" w:rsidRPr="0073666E">
        <w:rPr>
          <w:lang w:val="de-CH"/>
        </w:rPr>
        <w:t xml:space="preserve"> à </w:t>
      </w:r>
      <w:proofErr w:type="spellStart"/>
      <w:r w:rsidR="0073666E" w:rsidRPr="0073666E">
        <w:rPr>
          <w:lang w:val="de-CH"/>
        </w:rPr>
        <w:t>constater</w:t>
      </w:r>
      <w:proofErr w:type="spellEnd"/>
      <w:r w:rsidR="0073666E" w:rsidRPr="0073666E">
        <w:rPr>
          <w:lang w:val="de-CH"/>
        </w:rPr>
        <w:t xml:space="preserve"> </w:t>
      </w:r>
      <w:proofErr w:type="spellStart"/>
      <w:r w:rsidR="0073666E" w:rsidRPr="0073666E">
        <w:rPr>
          <w:lang w:val="de-CH"/>
        </w:rPr>
        <w:t>d’autres</w:t>
      </w:r>
      <w:proofErr w:type="spellEnd"/>
      <w:r w:rsidR="0073666E" w:rsidRPr="0073666E">
        <w:rPr>
          <w:lang w:val="de-CH"/>
        </w:rPr>
        <w:t xml:space="preserve"> </w:t>
      </w:r>
      <w:proofErr w:type="spellStart"/>
      <w:r w:rsidR="0073666E" w:rsidRPr="0073666E">
        <w:rPr>
          <w:lang w:val="de-CH"/>
        </w:rPr>
        <w:t>manquements</w:t>
      </w:r>
      <w:proofErr w:type="spellEnd"/>
      <w:r w:rsidR="0073666E" w:rsidRPr="0073666E">
        <w:rPr>
          <w:lang w:val="de-CH"/>
        </w:rPr>
        <w:t xml:space="preserve"> </w:t>
      </w:r>
      <w:proofErr w:type="spellStart"/>
      <w:r w:rsidR="0073666E" w:rsidRPr="0073666E">
        <w:rPr>
          <w:lang w:val="de-CH"/>
        </w:rPr>
        <w:t>d’</w:t>
      </w:r>
      <w:r w:rsidR="00D94D41">
        <w:rPr>
          <w:lang w:val="de-CH"/>
        </w:rPr>
        <w:t>État</w:t>
      </w:r>
      <w:r w:rsidR="0073666E" w:rsidRPr="0073666E">
        <w:rPr>
          <w:lang w:val="de-CH"/>
        </w:rPr>
        <w:t>s</w:t>
      </w:r>
      <w:proofErr w:type="spellEnd"/>
      <w:r w:rsidR="0073666E" w:rsidRPr="0073666E">
        <w:rPr>
          <w:lang w:val="de-CH"/>
        </w:rPr>
        <w:t xml:space="preserve"> </w:t>
      </w:r>
      <w:proofErr w:type="spellStart"/>
      <w:r w:rsidR="0073666E" w:rsidRPr="0073666E">
        <w:rPr>
          <w:lang w:val="de-CH"/>
        </w:rPr>
        <w:t>requérants</w:t>
      </w:r>
      <w:proofErr w:type="spellEnd"/>
      <w:r w:rsidR="0073666E" w:rsidRPr="0073666E">
        <w:rPr>
          <w:lang w:val="de-CH"/>
        </w:rPr>
        <w:t xml:space="preserve"> à </w:t>
      </w:r>
      <w:proofErr w:type="spellStart"/>
      <w:r w:rsidR="0073666E" w:rsidRPr="0073666E">
        <w:rPr>
          <w:lang w:val="de-CH"/>
        </w:rPr>
        <w:t>leurs</w:t>
      </w:r>
      <w:proofErr w:type="spellEnd"/>
      <w:r w:rsidR="0073666E" w:rsidRPr="0073666E">
        <w:rPr>
          <w:lang w:val="de-CH"/>
        </w:rPr>
        <w:t xml:space="preserve"> </w:t>
      </w:r>
      <w:proofErr w:type="spellStart"/>
      <w:r w:rsidR="0073666E" w:rsidRPr="0073666E">
        <w:rPr>
          <w:lang w:val="de-CH"/>
        </w:rPr>
        <w:t>engagements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rares </w:t>
      </w:r>
      <w:proofErr w:type="spellStart"/>
      <w:r w:rsidR="0073666E" w:rsidRPr="0073666E">
        <w:rPr>
          <w:lang w:val="de-CH"/>
        </w:rPr>
        <w:t>dénonciations</w:t>
      </w:r>
      <w:proofErr w:type="spellEnd"/>
      <w:r w:rsidR="0073666E" w:rsidRPr="0073666E">
        <w:rPr>
          <w:lang w:val="de-CH"/>
        </w:rPr>
        <w:t xml:space="preserve"> </w:t>
      </w:r>
      <w:proofErr w:type="spellStart"/>
      <w:r w:rsidR="0073666E" w:rsidRPr="0073666E">
        <w:rPr>
          <w:lang w:val="de-CH"/>
        </w:rPr>
        <w:t>faites</w:t>
      </w:r>
      <w:proofErr w:type="spellEnd"/>
      <w:r w:rsidR="0073666E" w:rsidRPr="0073666E">
        <w:rPr>
          <w:lang w:val="de-CH"/>
        </w:rPr>
        <w:t xml:space="preserve"> à </w:t>
      </w:r>
      <w:proofErr w:type="spellStart"/>
      <w:r w:rsidR="0073666E" w:rsidRPr="0073666E">
        <w:rPr>
          <w:lang w:val="de-CH"/>
        </w:rPr>
        <w:t>l’OFJ</w:t>
      </w:r>
      <w:proofErr w:type="spellEnd"/>
      <w:r w:rsidR="0073666E" w:rsidRPr="0073666E">
        <w:rPr>
          <w:lang w:val="de-CH"/>
        </w:rPr>
        <w:t xml:space="preserve"> entre-</w:t>
      </w:r>
      <w:proofErr w:type="spellStart"/>
      <w:r w:rsidR="0073666E" w:rsidRPr="0073666E">
        <w:rPr>
          <w:lang w:val="de-CH"/>
        </w:rPr>
        <w:t>temps</w:t>
      </w:r>
      <w:proofErr w:type="spellEnd"/>
      <w:r w:rsidR="0073666E" w:rsidRPr="0073666E">
        <w:rPr>
          <w:lang w:val="de-CH"/>
        </w:rPr>
        <w:t xml:space="preserve"> se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toutes</w:t>
      </w:r>
      <w:proofErr w:type="spellEnd"/>
      <w:r w:rsidR="0073666E" w:rsidRPr="0073666E">
        <w:rPr>
          <w:lang w:val="de-CH"/>
        </w:rPr>
        <w:t xml:space="preserve"> </w:t>
      </w:r>
      <w:proofErr w:type="spellStart"/>
      <w:r w:rsidR="0073666E" w:rsidRPr="0073666E">
        <w:rPr>
          <w:lang w:val="de-CH"/>
        </w:rPr>
        <w:t>révélées</w:t>
      </w:r>
      <w:proofErr w:type="spellEnd"/>
      <w:r w:rsidR="0073666E" w:rsidRPr="0073666E">
        <w:rPr>
          <w:lang w:val="de-CH"/>
        </w:rPr>
        <w:t xml:space="preserve"> </w:t>
      </w:r>
      <w:proofErr w:type="spellStart"/>
      <w:r w:rsidR="0073666E" w:rsidRPr="0073666E">
        <w:rPr>
          <w:lang w:val="de-CH"/>
        </w:rPr>
        <w:t>infondées</w:t>
      </w:r>
      <w:proofErr w:type="spellEnd"/>
      <w:r w:rsidR="0073666E" w:rsidRPr="0073666E">
        <w:rPr>
          <w:lang w:val="de-CH"/>
        </w:rPr>
        <w:t>.</w:t>
      </w:r>
    </w:p>
    <w:p w14:paraId="0A2B1CB8" w14:textId="77777777" w:rsidR="0073666E" w:rsidRPr="0073666E" w:rsidRDefault="00D15B10" w:rsidP="00D15B10">
      <w:pPr>
        <w:pStyle w:val="SingleTxtG"/>
      </w:pPr>
      <w:r>
        <w:t>45.</w:t>
      </w:r>
      <w:r>
        <w:tab/>
      </w:r>
      <w:r w:rsidR="0073666E" w:rsidRPr="0073666E">
        <w:t xml:space="preserve">Concrètement, l’OFJ considère que des garanties formelles doivent être systématiquement apportées par </w:t>
      </w:r>
      <w:proofErr w:type="spellStart"/>
      <w:r w:rsidR="0073666E" w:rsidRPr="00D15B10">
        <w:rPr>
          <w:lang w:val="de-CH"/>
        </w:rPr>
        <w:t>certains</w:t>
      </w:r>
      <w:proofErr w:type="spellEnd"/>
      <w:r w:rsidR="0073666E" w:rsidRPr="0073666E">
        <w:t xml:space="preserve"> </w:t>
      </w:r>
      <w:r w:rsidR="00D94D41">
        <w:t>État</w:t>
      </w:r>
      <w:r w:rsidR="0073666E" w:rsidRPr="0073666E">
        <w:t>s</w:t>
      </w:r>
      <w:r w:rsidR="000A0B7E">
        <w:t> </w:t>
      </w:r>
      <w:r w:rsidR="0073666E" w:rsidRPr="0073666E">
        <w:t xml:space="preserve">; cette vision est notamment consolidée par la jurisprudence fédérale rendue en matière d’extradition. </w:t>
      </w:r>
    </w:p>
    <w:p w14:paraId="32F9740C" w14:textId="77777777" w:rsidR="0073666E" w:rsidRPr="0073666E" w:rsidRDefault="00D15B10" w:rsidP="00D15B10">
      <w:pPr>
        <w:pStyle w:val="SingleTxtG"/>
      </w:pPr>
      <w:r>
        <w:t>46.</w:t>
      </w:r>
      <w:r>
        <w:tab/>
      </w:r>
      <w:r w:rsidR="0073666E" w:rsidRPr="0073666E">
        <w:t>Comme évoqué plus haut, des garanties formelles sont notamment requises auprès de pays européens comme la Russie, l’Ukraine, la Bulgarie, le Kosovo, la Moldavie ou l’Albanie</w:t>
      </w:r>
      <w:r w:rsidR="000A0B7E">
        <w:t> </w:t>
      </w:r>
      <w:r w:rsidR="0073666E" w:rsidRPr="0073666E">
        <w:t xml:space="preserve">; s’ajoutent à ces derniers des </w:t>
      </w:r>
      <w:r w:rsidR="00D94D41">
        <w:t>État</w:t>
      </w:r>
      <w:r w:rsidR="0073666E" w:rsidRPr="0073666E">
        <w:t>s tiers comme le Mexique ou le Brésil</w:t>
      </w:r>
      <w:r w:rsidR="0073666E" w:rsidRPr="009E1FD5">
        <w:rPr>
          <w:rStyle w:val="Appelnotedebasdep"/>
        </w:rPr>
        <w:footnoteReference w:id="20"/>
      </w:r>
      <w:r w:rsidR="00CB6ECE">
        <w:t>.</w:t>
      </w:r>
      <w:r w:rsidR="0073666E" w:rsidRPr="0073666E">
        <w:t xml:space="preserve"> Il en va de même lorsque des relations extraditionnelles sont initiées avec un </w:t>
      </w:r>
      <w:r w:rsidR="00D94D41">
        <w:t>État</w:t>
      </w:r>
      <w:r w:rsidR="0073666E" w:rsidRPr="0073666E">
        <w:t xml:space="preserve"> pour la première fois où lorsque la situation politico-juridique du pays en question s’est péjorée depuis la dernière relation extraditionnelle.</w:t>
      </w:r>
    </w:p>
    <w:p w14:paraId="26E5B0DD" w14:textId="77777777" w:rsidR="0073666E" w:rsidRPr="0073666E" w:rsidRDefault="00D15B10" w:rsidP="00D15B10">
      <w:pPr>
        <w:pStyle w:val="SingleTxtG"/>
        <w:rPr>
          <w:lang w:val="de-CH"/>
        </w:rPr>
      </w:pPr>
      <w:r>
        <w:rPr>
          <w:lang w:val="de-CH"/>
        </w:rPr>
        <w:t>47.</w:t>
      </w:r>
      <w:r>
        <w:rPr>
          <w:lang w:val="de-CH"/>
        </w:rPr>
        <w:tab/>
      </w:r>
      <w:proofErr w:type="spellStart"/>
      <w:r w:rsidR="0073666E" w:rsidRPr="0073666E">
        <w:rPr>
          <w:lang w:val="de-CH"/>
        </w:rPr>
        <w:t>Depuis</w:t>
      </w:r>
      <w:proofErr w:type="spellEnd"/>
      <w:r w:rsidR="0073666E" w:rsidRPr="0073666E">
        <w:rPr>
          <w:lang w:val="de-CH"/>
        </w:rPr>
        <w:t xml:space="preserve"> 2015, </w:t>
      </w:r>
      <w:proofErr w:type="spellStart"/>
      <w:r w:rsidR="0073666E" w:rsidRPr="0073666E">
        <w:rPr>
          <w:lang w:val="de-CH"/>
        </w:rPr>
        <w:t>l’OFJ</w:t>
      </w:r>
      <w:proofErr w:type="spellEnd"/>
      <w:r w:rsidR="0073666E" w:rsidRPr="0073666E">
        <w:rPr>
          <w:lang w:val="de-CH"/>
        </w:rPr>
        <w:t xml:space="preserve"> </w:t>
      </w:r>
      <w:proofErr w:type="spellStart"/>
      <w:r w:rsidR="0073666E" w:rsidRPr="0073666E">
        <w:rPr>
          <w:lang w:val="de-CH"/>
        </w:rPr>
        <w:t>recense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trentaine</w:t>
      </w:r>
      <w:proofErr w:type="spellEnd"/>
      <w:r w:rsidR="0073666E" w:rsidRPr="0073666E">
        <w:rPr>
          <w:lang w:val="de-CH"/>
        </w:rPr>
        <w:t xml:space="preserve"> de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d’extraditions</w:t>
      </w:r>
      <w:proofErr w:type="spellEnd"/>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des </w:t>
      </w:r>
      <w:proofErr w:type="spellStart"/>
      <w:r w:rsidR="0073666E" w:rsidRPr="0073666E">
        <w:rPr>
          <w:lang w:val="de-CH"/>
        </w:rPr>
        <w:t>garanties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r w:rsidR="0073666E" w:rsidRPr="00D15B10">
        <w:t>formellement</w:t>
      </w:r>
      <w:r w:rsidR="0073666E" w:rsidRPr="0073666E">
        <w:rPr>
          <w:lang w:val="de-CH"/>
        </w:rPr>
        <w:t xml:space="preserve"> </w:t>
      </w:r>
      <w:proofErr w:type="spellStart"/>
      <w:r w:rsidR="0073666E" w:rsidRPr="0073666E">
        <w:rPr>
          <w:lang w:val="de-CH"/>
        </w:rPr>
        <w:t>demandées</w:t>
      </w:r>
      <w:proofErr w:type="spellEnd"/>
      <w:r w:rsidR="0073666E" w:rsidRPr="0073666E">
        <w:rPr>
          <w:lang w:val="de-CH"/>
        </w:rPr>
        <w:t xml:space="preserve">. Dans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w:t>
      </w:r>
      <w:proofErr w:type="spellStart"/>
      <w:r w:rsidR="0073666E" w:rsidRPr="0073666E">
        <w:rPr>
          <w:lang w:val="de-CH"/>
        </w:rPr>
        <w:t>elles</w:t>
      </w:r>
      <w:proofErr w:type="spellEnd"/>
      <w:r w:rsidR="0073666E" w:rsidRPr="0073666E">
        <w:rPr>
          <w:lang w:val="de-CH"/>
        </w:rPr>
        <w:t xml:space="preserve"> </w:t>
      </w:r>
      <w:proofErr w:type="spellStart"/>
      <w:r w:rsidR="0073666E" w:rsidRPr="0073666E">
        <w:rPr>
          <w:lang w:val="de-CH"/>
        </w:rPr>
        <w:t>n’ont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apportées</w:t>
      </w:r>
      <w:proofErr w:type="spellEnd"/>
      <w:r w:rsidR="0073666E" w:rsidRPr="0073666E">
        <w:rPr>
          <w:lang w:val="de-CH"/>
        </w:rPr>
        <w:t xml:space="preserve"> en </w:t>
      </w:r>
      <w:proofErr w:type="spellStart"/>
      <w:r w:rsidR="0073666E" w:rsidRPr="0073666E">
        <w:rPr>
          <w:lang w:val="de-CH"/>
        </w:rPr>
        <w:t>temps</w:t>
      </w:r>
      <w:proofErr w:type="spellEnd"/>
      <w:r w:rsidR="0073666E" w:rsidRPr="0073666E">
        <w:rPr>
          <w:lang w:val="de-CH"/>
        </w:rPr>
        <w:t xml:space="preserve"> </w:t>
      </w:r>
      <w:proofErr w:type="spellStart"/>
      <w:r w:rsidR="0073666E" w:rsidRPr="0073666E">
        <w:rPr>
          <w:lang w:val="de-CH"/>
        </w:rPr>
        <w:t>utile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apportées</w:t>
      </w:r>
      <w:proofErr w:type="spellEnd"/>
      <w:r w:rsidR="0073666E" w:rsidRPr="0073666E">
        <w:rPr>
          <w:lang w:val="de-CH"/>
        </w:rPr>
        <w:t xml:space="preserve"> de </w:t>
      </w:r>
      <w:proofErr w:type="spellStart"/>
      <w:r w:rsidR="0073666E" w:rsidRPr="0073666E">
        <w:rPr>
          <w:lang w:val="de-CH"/>
        </w:rPr>
        <w:t>manière</w:t>
      </w:r>
      <w:proofErr w:type="spellEnd"/>
      <w:r w:rsidR="0073666E" w:rsidRPr="0073666E">
        <w:rPr>
          <w:lang w:val="de-CH"/>
        </w:rPr>
        <w:t xml:space="preserve"> partielle par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requérant</w:t>
      </w:r>
      <w:proofErr w:type="spellEnd"/>
      <w:r w:rsidR="0073666E" w:rsidRPr="0073666E">
        <w:rPr>
          <w:lang w:val="de-CH"/>
        </w:rPr>
        <w:t xml:space="preserve">, </w:t>
      </w:r>
      <w:proofErr w:type="spellStart"/>
      <w:r w:rsidR="0073666E" w:rsidRPr="0073666E">
        <w:rPr>
          <w:lang w:val="de-CH"/>
        </w:rPr>
        <w:t>l’extradition</w:t>
      </w:r>
      <w:proofErr w:type="spellEnd"/>
      <w:r w:rsidR="0073666E" w:rsidRPr="0073666E">
        <w:rPr>
          <w:lang w:val="de-CH"/>
        </w:rPr>
        <w:t xml:space="preserve"> de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poursuivie</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systématiquement</w:t>
      </w:r>
      <w:proofErr w:type="spellEnd"/>
      <w:r w:rsidR="0073666E" w:rsidRPr="0073666E">
        <w:rPr>
          <w:lang w:val="de-CH"/>
        </w:rPr>
        <w:t xml:space="preserve"> </w:t>
      </w:r>
      <w:proofErr w:type="spellStart"/>
      <w:r w:rsidR="0073666E" w:rsidRPr="0073666E">
        <w:rPr>
          <w:lang w:val="de-CH"/>
        </w:rPr>
        <w:t>refusée</w:t>
      </w:r>
      <w:proofErr w:type="spellEnd"/>
      <w:r w:rsidR="0073666E" w:rsidRPr="0073666E">
        <w:rPr>
          <w:lang w:val="de-CH"/>
        </w:rPr>
        <w:t xml:space="preserve">. </w:t>
      </w:r>
    </w:p>
    <w:p w14:paraId="54BEE7F0" w14:textId="77777777" w:rsidR="0073666E" w:rsidRPr="0073666E" w:rsidRDefault="00D15B10" w:rsidP="00D15B10">
      <w:pPr>
        <w:pStyle w:val="SingleTxtG"/>
      </w:pPr>
      <w:r>
        <w:t>48.</w:t>
      </w:r>
      <w:r>
        <w:tab/>
      </w:r>
      <w:r w:rsidR="0073666E" w:rsidRPr="0073666E">
        <w:t xml:space="preserve">En avril 2016, </w:t>
      </w:r>
      <w:proofErr w:type="spellStart"/>
      <w:r w:rsidR="0073666E" w:rsidRPr="0073666E">
        <w:t>Nekane</w:t>
      </w:r>
      <w:proofErr w:type="spellEnd"/>
      <w:r w:rsidR="0073666E" w:rsidRPr="0073666E">
        <w:t xml:space="preserve"> </w:t>
      </w:r>
      <w:proofErr w:type="spellStart"/>
      <w:r w:rsidR="0073666E" w:rsidRPr="0073666E">
        <w:t>Txapartegi</w:t>
      </w:r>
      <w:proofErr w:type="spellEnd"/>
      <w:r w:rsidR="0073666E" w:rsidRPr="0073666E">
        <w:t xml:space="preserve"> a été arrêtée en Suisse en vue d’extradition sur la base d’une recherche internationale espagnole inscrite depuis 2012 dans le Système d’Information Schengen (SIS) et d’une demande formelle d’extradition déposée à l’OFJ par </w:t>
      </w:r>
      <w:r w:rsidR="0073666E" w:rsidRPr="0073666E">
        <w:lastRenderedPageBreak/>
        <w:t>le Ministère espagnol de la justice en mai 2015. Après un examen minutieux des différents éléments du dossier, l’OFJ a décidé d’accorder l’extradition de</w:t>
      </w:r>
      <w:r w:rsidR="00C22620">
        <w:t xml:space="preserve"> l’intéressée à l’Espagne le 22 </w:t>
      </w:r>
      <w:r w:rsidR="0073666E" w:rsidRPr="0073666E">
        <w:t>mars 2017. De son côté, le SEM a rejeté la demande d’asile de l’intéressée le 24 mars 2017.</w:t>
      </w:r>
    </w:p>
    <w:p w14:paraId="3AD4B59F" w14:textId="77777777" w:rsidR="0073666E" w:rsidRPr="0073666E" w:rsidRDefault="00D15B10" w:rsidP="00D15B10">
      <w:pPr>
        <w:pStyle w:val="SingleTxtG"/>
        <w:rPr>
          <w:lang w:val="de-CH"/>
        </w:rPr>
      </w:pPr>
      <w:r>
        <w:t>49.</w:t>
      </w:r>
      <w:r>
        <w:tab/>
      </w:r>
      <w:r w:rsidR="0073666E" w:rsidRPr="0073666E">
        <w:t xml:space="preserve">L’intéressée a recouru contre la décision d’extradition de l’OFJ au Tribunal pénal fédéral (TPF). </w:t>
      </w:r>
      <w:r w:rsidR="0073666E" w:rsidRPr="0073666E">
        <w:rPr>
          <w:lang w:val="de-CH"/>
        </w:rPr>
        <w:t xml:space="preserve">Elle a </w:t>
      </w:r>
      <w:proofErr w:type="spellStart"/>
      <w:r w:rsidR="0073666E" w:rsidRPr="0073666E">
        <w:rPr>
          <w:lang w:val="de-CH"/>
        </w:rPr>
        <w:t>également</w:t>
      </w:r>
      <w:proofErr w:type="spellEnd"/>
      <w:r w:rsidR="0073666E" w:rsidRPr="0073666E">
        <w:rPr>
          <w:lang w:val="de-CH"/>
        </w:rPr>
        <w:t xml:space="preserve"> </w:t>
      </w:r>
      <w:proofErr w:type="spellStart"/>
      <w:r w:rsidR="0073666E" w:rsidRPr="0073666E">
        <w:rPr>
          <w:lang w:val="de-CH"/>
        </w:rPr>
        <w:t>attaqué</w:t>
      </w:r>
      <w:proofErr w:type="spellEnd"/>
      <w:r w:rsidR="0073666E" w:rsidRPr="0073666E">
        <w:rPr>
          <w:lang w:val="de-CH"/>
        </w:rPr>
        <w:t xml:space="preserve"> la </w:t>
      </w:r>
      <w:proofErr w:type="spellStart"/>
      <w:r w:rsidR="0073666E" w:rsidRPr="0073666E">
        <w:rPr>
          <w:lang w:val="de-CH"/>
        </w:rPr>
        <w:t>décision</w:t>
      </w:r>
      <w:proofErr w:type="spellEnd"/>
      <w:r w:rsidR="0073666E" w:rsidRPr="0073666E">
        <w:rPr>
          <w:lang w:val="de-CH"/>
        </w:rPr>
        <w:t xml:space="preserve"> du SEM </w:t>
      </w:r>
      <w:proofErr w:type="spellStart"/>
      <w:r w:rsidR="0073666E" w:rsidRPr="0073666E">
        <w:rPr>
          <w:lang w:val="de-CH"/>
        </w:rPr>
        <w:t>auprès</w:t>
      </w:r>
      <w:proofErr w:type="spellEnd"/>
      <w:r w:rsidR="0073666E" w:rsidRPr="0073666E">
        <w:rPr>
          <w:lang w:val="de-CH"/>
        </w:rPr>
        <w:t xml:space="preserve"> du Tribunal </w:t>
      </w:r>
      <w:proofErr w:type="spellStart"/>
      <w:r w:rsidR="0073666E" w:rsidRPr="0073666E">
        <w:rPr>
          <w:lang w:val="de-CH"/>
        </w:rPr>
        <w:t>administratif</w:t>
      </w:r>
      <w:proofErr w:type="spellEnd"/>
      <w:r w:rsidR="0073666E" w:rsidRPr="0073666E">
        <w:rPr>
          <w:lang w:val="de-CH"/>
        </w:rPr>
        <w:t xml:space="preserve"> </w:t>
      </w:r>
      <w:proofErr w:type="spellStart"/>
      <w:r w:rsidR="0073666E" w:rsidRPr="0073666E">
        <w:rPr>
          <w:lang w:val="de-CH"/>
        </w:rPr>
        <w:t>fédéral</w:t>
      </w:r>
      <w:proofErr w:type="spellEnd"/>
      <w:r w:rsidR="0073666E" w:rsidRPr="0073666E">
        <w:rPr>
          <w:lang w:val="de-CH"/>
        </w:rPr>
        <w:t xml:space="preserve"> (TAF). </w:t>
      </w:r>
      <w:r w:rsidR="0073666E" w:rsidRPr="0073666E">
        <w:t>Le TPF a rejeté le recours de l’intéressée, confirmant ainsi la décision d’extradition de l’OFJ</w:t>
      </w:r>
      <w:r w:rsidR="000A0B7E">
        <w:t> </w:t>
      </w:r>
      <w:r w:rsidR="0073666E" w:rsidRPr="0073666E">
        <w:t>; l’objection du délit politique soulevée par la défense a également été rejetée à cette occasion</w:t>
      </w:r>
      <w:r w:rsidR="0073666E" w:rsidRPr="009E1FD5">
        <w:rPr>
          <w:rStyle w:val="Appelnotedebasdep"/>
        </w:rPr>
        <w:footnoteReference w:id="21"/>
      </w:r>
      <w:r w:rsidR="00CB6ECE">
        <w:t>.</w:t>
      </w:r>
    </w:p>
    <w:p w14:paraId="0D48653D" w14:textId="77777777" w:rsidR="0073666E" w:rsidRPr="0073666E" w:rsidRDefault="00D15B10" w:rsidP="00D15B10">
      <w:pPr>
        <w:pStyle w:val="SingleTxtG"/>
      </w:pPr>
      <w:r>
        <w:t>50.</w:t>
      </w:r>
      <w:r>
        <w:tab/>
      </w:r>
      <w:r w:rsidR="0073666E" w:rsidRPr="0073666E">
        <w:t xml:space="preserve">Suite à l’arrêt du TPF, l’intéressée a porté sa cause devant le TF. Elle a fait parallèlement constater, par les autorités judiciaires espagnoles, la prescription, au regard du droit espagnol, de la peine privative de liberté qu’elle devait encore purger. Le Ministère espagnol de la justice a retiré formellement sa demande d’extradition. Suite à ce retrait, l’OFJ a levé immédiatement la détention extraditionnelle ordonnée à l’encontre de </w:t>
      </w:r>
      <w:proofErr w:type="spellStart"/>
      <w:r w:rsidR="0073666E" w:rsidRPr="0073666E">
        <w:t>Nekane</w:t>
      </w:r>
      <w:proofErr w:type="spellEnd"/>
      <w:r w:rsidR="0073666E" w:rsidRPr="0073666E">
        <w:t xml:space="preserve"> </w:t>
      </w:r>
      <w:proofErr w:type="spellStart"/>
      <w:r w:rsidR="0073666E" w:rsidRPr="0073666E">
        <w:t>Txapartegi</w:t>
      </w:r>
      <w:proofErr w:type="spellEnd"/>
      <w:r w:rsidR="0073666E" w:rsidRPr="0073666E">
        <w:t>. La procédure de recours au TF a été constatée comme étant sans objet.</w:t>
      </w:r>
    </w:p>
    <w:p w14:paraId="2D608BC9" w14:textId="77777777" w:rsidR="0073666E" w:rsidRPr="0073666E" w:rsidRDefault="00F5509B" w:rsidP="00F5509B">
      <w:pPr>
        <w:pStyle w:val="SingleTxtG"/>
      </w:pPr>
      <w:r>
        <w:t>51.</w:t>
      </w:r>
      <w:r>
        <w:tab/>
      </w:r>
      <w:r w:rsidR="0073666E" w:rsidRPr="0073666E">
        <w:t>Le 27 novembre 2017, le TAF a rejeté le recours de l’intéressée contre la décision de refus d’asile du SEM</w:t>
      </w:r>
      <w:r w:rsidR="0073666E" w:rsidRPr="009E1FD5">
        <w:rPr>
          <w:rStyle w:val="Appelnotedebasdep"/>
        </w:rPr>
        <w:footnoteReference w:id="22"/>
      </w:r>
      <w:r w:rsidR="0073666E" w:rsidRPr="0073666E">
        <w:t xml:space="preserve">. Le TAF a notamment relevé, en substance, que la peine n’étant plus exécutoire, il y avait lieu d’admettre que l’intéressée n’avait plus à craindre de poursuites en Espagne. Il n’existait donc plus aucun fait déterminant au plan du droit d’asile et des réfugiés. Dans ces circonstances, le TAF n’avait plus à examiner la crédibilité des allégations de torture et de la persécution consécutive à laquelle serait exposée la </w:t>
      </w:r>
      <w:proofErr w:type="spellStart"/>
      <w:r w:rsidR="0073666E" w:rsidRPr="0073666E">
        <w:t>recourante</w:t>
      </w:r>
      <w:proofErr w:type="spellEnd"/>
      <w:r w:rsidR="0073666E" w:rsidRPr="0073666E">
        <w:t>, ce qui aurait pu justifier sa qualité de réfugiée.</w:t>
      </w:r>
    </w:p>
    <w:p w14:paraId="6BDF6174" w14:textId="77777777" w:rsidR="0073666E" w:rsidRPr="0073666E" w:rsidRDefault="00F5509B" w:rsidP="00F5509B">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8 </w:t>
      </w:r>
    </w:p>
    <w:p w14:paraId="73AA8B42" w14:textId="77777777" w:rsidR="0073666E" w:rsidRPr="0073666E" w:rsidRDefault="00F5509B" w:rsidP="00F5509B">
      <w:pPr>
        <w:pStyle w:val="SingleTxtG"/>
        <w:rPr>
          <w:lang w:val="de-CH"/>
        </w:rPr>
      </w:pPr>
      <w:r>
        <w:rPr>
          <w:lang w:val="de-CH"/>
        </w:rPr>
        <w:t>52.</w:t>
      </w:r>
      <w:r>
        <w:rPr>
          <w:lang w:val="de-CH"/>
        </w:rPr>
        <w:tab/>
      </w:r>
      <w:r w:rsidR="0073666E" w:rsidRPr="0073666E">
        <w:rPr>
          <w:lang w:val="de-CH"/>
        </w:rPr>
        <w:t xml:space="preserve">La </w:t>
      </w:r>
      <w:proofErr w:type="spellStart"/>
      <w:r w:rsidR="0073666E" w:rsidRPr="0073666E">
        <w:rPr>
          <w:lang w:val="de-CH"/>
        </w:rPr>
        <w:t>reprise</w:t>
      </w:r>
      <w:proofErr w:type="spellEnd"/>
      <w:r w:rsidR="0073666E" w:rsidRPr="0073666E">
        <w:rPr>
          <w:lang w:val="de-CH"/>
        </w:rPr>
        <w:t xml:space="preserve"> de la </w:t>
      </w:r>
      <w:proofErr w:type="spellStart"/>
      <w:r w:rsidR="0073666E" w:rsidRPr="0073666E">
        <w:rPr>
          <w:lang w:val="de-CH"/>
        </w:rPr>
        <w:t>directive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retour</w:t>
      </w:r>
      <w:r w:rsidR="0073666E" w:rsidRPr="009E1FD5">
        <w:rPr>
          <w:rStyle w:val="Appelnotedebasdep"/>
        </w:rPr>
        <w:footnoteReference w:id="23"/>
      </w:r>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constitue</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développement</w:t>
      </w:r>
      <w:proofErr w:type="spellEnd"/>
      <w:r w:rsidR="0073666E" w:rsidRPr="0073666E">
        <w:rPr>
          <w:lang w:val="de-CH"/>
        </w:rPr>
        <w:t xml:space="preserve"> de </w:t>
      </w:r>
      <w:proofErr w:type="spellStart"/>
      <w:r w:rsidR="0073666E" w:rsidRPr="0073666E">
        <w:rPr>
          <w:lang w:val="de-CH"/>
        </w:rPr>
        <w:t>l’acquis</w:t>
      </w:r>
      <w:proofErr w:type="spellEnd"/>
      <w:r w:rsidR="0073666E" w:rsidRPr="0073666E">
        <w:rPr>
          <w:lang w:val="de-CH"/>
        </w:rPr>
        <w:t xml:space="preserve"> de Schengen, a </w:t>
      </w:r>
      <w:proofErr w:type="spellStart"/>
      <w:r w:rsidR="0073666E" w:rsidRPr="00F5509B">
        <w:t>entrainé</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adaptation</w:t>
      </w:r>
      <w:proofErr w:type="spellEnd"/>
      <w:r w:rsidR="0073666E" w:rsidRPr="0073666E">
        <w:rPr>
          <w:lang w:val="de-CH"/>
        </w:rPr>
        <w:t xml:space="preserve"> de la LEI. La </w:t>
      </w:r>
      <w:proofErr w:type="spellStart"/>
      <w:r w:rsidR="0073666E" w:rsidRPr="0073666E">
        <w:rPr>
          <w:lang w:val="de-CH"/>
        </w:rPr>
        <w:t>directive</w:t>
      </w:r>
      <w:proofErr w:type="spellEnd"/>
      <w:r w:rsidR="0073666E" w:rsidRPr="0073666E">
        <w:rPr>
          <w:lang w:val="de-CH"/>
        </w:rPr>
        <w:t xml:space="preserve"> a </w:t>
      </w:r>
      <w:proofErr w:type="spellStart"/>
      <w:r w:rsidR="0073666E" w:rsidRPr="0073666E">
        <w:rPr>
          <w:lang w:val="de-CH"/>
        </w:rPr>
        <w:t>eu</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effet</w:t>
      </w:r>
      <w:proofErr w:type="spellEnd"/>
      <w:r w:rsidR="0073666E" w:rsidRPr="0073666E">
        <w:rPr>
          <w:lang w:val="de-CH"/>
        </w:rPr>
        <w:t xml:space="preserve"> </w:t>
      </w:r>
      <w:proofErr w:type="spellStart"/>
      <w:r w:rsidR="0073666E" w:rsidRPr="0073666E">
        <w:rPr>
          <w:lang w:val="de-CH"/>
        </w:rPr>
        <w:t>d’harmoniser</w:t>
      </w:r>
      <w:proofErr w:type="spellEnd"/>
      <w:r w:rsidR="0073666E" w:rsidRPr="0073666E">
        <w:rPr>
          <w:lang w:val="de-CH"/>
        </w:rPr>
        <w:t xml:space="preserve"> la </w:t>
      </w:r>
      <w:proofErr w:type="spellStart"/>
      <w:r w:rsidR="0073666E" w:rsidRPr="0073666E">
        <w:rPr>
          <w:lang w:val="de-CH"/>
        </w:rPr>
        <w:t>procédure</w:t>
      </w:r>
      <w:proofErr w:type="spellEnd"/>
      <w:r w:rsidR="0073666E" w:rsidRPr="0073666E">
        <w:rPr>
          <w:lang w:val="de-CH"/>
        </w:rPr>
        <w:t xml:space="preserve"> de retour des </w:t>
      </w:r>
      <w:proofErr w:type="spellStart"/>
      <w:r w:rsidR="0073666E" w:rsidRPr="0073666E">
        <w:rPr>
          <w:lang w:val="de-CH"/>
        </w:rPr>
        <w:t>personnes</w:t>
      </w:r>
      <w:proofErr w:type="spellEnd"/>
      <w:r w:rsidR="0073666E" w:rsidRPr="0073666E">
        <w:rPr>
          <w:lang w:val="de-CH"/>
        </w:rPr>
        <w:t xml:space="preserve"> en </w:t>
      </w:r>
      <w:proofErr w:type="spellStart"/>
      <w:r w:rsidR="0073666E" w:rsidRPr="0073666E">
        <w:rPr>
          <w:lang w:val="de-CH"/>
        </w:rPr>
        <w:t>séjour</w:t>
      </w:r>
      <w:proofErr w:type="spellEnd"/>
      <w:r w:rsidR="0073666E" w:rsidRPr="0073666E">
        <w:rPr>
          <w:lang w:val="de-CH"/>
        </w:rPr>
        <w:t xml:space="preserve"> </w:t>
      </w:r>
      <w:proofErr w:type="spellStart"/>
      <w:r w:rsidR="0073666E" w:rsidRPr="0073666E">
        <w:rPr>
          <w:lang w:val="de-CH"/>
        </w:rPr>
        <w:t>irrégulier</w:t>
      </w:r>
      <w:proofErr w:type="spellEnd"/>
      <w:r w:rsidR="0073666E" w:rsidRPr="0073666E">
        <w:rPr>
          <w:lang w:val="de-CH"/>
        </w:rPr>
        <w:t xml:space="preserve"> </w:t>
      </w:r>
      <w:proofErr w:type="spellStart"/>
      <w:r w:rsidR="0073666E" w:rsidRPr="0073666E">
        <w:rPr>
          <w:lang w:val="de-CH"/>
        </w:rPr>
        <w:t>ressortissantes</w:t>
      </w:r>
      <w:proofErr w:type="spellEnd"/>
      <w:r w:rsidR="0073666E" w:rsidRPr="0073666E">
        <w:rPr>
          <w:lang w:val="de-CH"/>
        </w:rPr>
        <w:t xml:space="preserve"> de </w:t>
      </w:r>
      <w:proofErr w:type="spellStart"/>
      <w:r w:rsidR="0073666E" w:rsidRPr="0073666E">
        <w:rPr>
          <w:lang w:val="de-CH"/>
        </w:rPr>
        <w:t>pays</w:t>
      </w:r>
      <w:proofErr w:type="spellEnd"/>
      <w:r w:rsidR="0073666E" w:rsidRPr="0073666E">
        <w:rPr>
          <w:lang w:val="de-CH"/>
        </w:rPr>
        <w:t xml:space="preserve"> </w:t>
      </w:r>
      <w:proofErr w:type="spellStart"/>
      <w:r w:rsidR="0073666E" w:rsidRPr="0073666E">
        <w:rPr>
          <w:lang w:val="de-CH"/>
        </w:rPr>
        <w:t>extérieurs</w:t>
      </w:r>
      <w:proofErr w:type="spellEnd"/>
      <w:r w:rsidR="0073666E" w:rsidRPr="0073666E">
        <w:rPr>
          <w:lang w:val="de-CH"/>
        </w:rPr>
        <w:t xml:space="preserve"> à </w:t>
      </w:r>
      <w:proofErr w:type="spellStart"/>
      <w:r w:rsidR="0073666E" w:rsidRPr="0073666E">
        <w:rPr>
          <w:lang w:val="de-CH"/>
        </w:rPr>
        <w:t>l’Union</w:t>
      </w:r>
      <w:proofErr w:type="spellEnd"/>
      <w:r w:rsidR="0073666E" w:rsidRPr="0073666E">
        <w:rPr>
          <w:lang w:val="de-CH"/>
        </w:rPr>
        <w:t xml:space="preserve"> </w:t>
      </w:r>
      <w:proofErr w:type="spellStart"/>
      <w:r w:rsidR="0073666E" w:rsidRPr="0073666E">
        <w:rPr>
          <w:lang w:val="de-CH"/>
        </w:rPr>
        <w:t>européenne</w:t>
      </w:r>
      <w:proofErr w:type="spellEnd"/>
      <w:r w:rsidR="0073666E" w:rsidRPr="0073666E">
        <w:rPr>
          <w:lang w:val="de-CH"/>
        </w:rPr>
        <w:t xml:space="preserve"> (UE) et à </w:t>
      </w:r>
      <w:proofErr w:type="spellStart"/>
      <w:r w:rsidR="0073666E" w:rsidRPr="0073666E">
        <w:rPr>
          <w:lang w:val="de-CH"/>
        </w:rPr>
        <w:t>l’Association</w:t>
      </w:r>
      <w:proofErr w:type="spellEnd"/>
      <w:r w:rsidR="0073666E" w:rsidRPr="0073666E">
        <w:rPr>
          <w:lang w:val="de-CH"/>
        </w:rPr>
        <w:t xml:space="preserve"> </w:t>
      </w:r>
      <w:proofErr w:type="spellStart"/>
      <w:r w:rsidR="0073666E" w:rsidRPr="0073666E">
        <w:rPr>
          <w:lang w:val="de-CH"/>
        </w:rPr>
        <w:t>européenne</w:t>
      </w:r>
      <w:proofErr w:type="spellEnd"/>
      <w:r w:rsidR="0073666E" w:rsidRPr="0073666E">
        <w:rPr>
          <w:lang w:val="de-CH"/>
        </w:rPr>
        <w:t xml:space="preserve"> de </w:t>
      </w:r>
      <w:proofErr w:type="spellStart"/>
      <w:r w:rsidR="0073666E" w:rsidRPr="0073666E">
        <w:rPr>
          <w:lang w:val="de-CH"/>
        </w:rPr>
        <w:t>libre-échange</w:t>
      </w:r>
      <w:proofErr w:type="spellEnd"/>
      <w:r w:rsidR="0073666E" w:rsidRPr="0073666E">
        <w:rPr>
          <w:lang w:val="de-CH"/>
        </w:rPr>
        <w:t xml:space="preserve"> (AELE), </w:t>
      </w:r>
      <w:proofErr w:type="spellStart"/>
      <w:r w:rsidR="0073666E" w:rsidRPr="0073666E">
        <w:rPr>
          <w:lang w:val="de-CH"/>
        </w:rPr>
        <w:t>dits</w:t>
      </w:r>
      <w:proofErr w:type="spellEnd"/>
      <w:r w:rsidR="0073666E" w:rsidRPr="0073666E">
        <w:rPr>
          <w:lang w:val="de-CH"/>
        </w:rPr>
        <w:t xml:space="preserve"> </w:t>
      </w:r>
      <w:r w:rsidR="00D94D41">
        <w:rPr>
          <w:lang w:val="de-CH"/>
        </w:rPr>
        <w:t>État</w:t>
      </w:r>
      <w:r w:rsidR="0073666E" w:rsidRPr="0073666E">
        <w:rPr>
          <w:lang w:val="de-CH"/>
        </w:rPr>
        <w:t xml:space="preserve">s </w:t>
      </w:r>
      <w:proofErr w:type="spellStart"/>
      <w:r w:rsidR="0073666E" w:rsidRPr="0073666E">
        <w:rPr>
          <w:lang w:val="de-CH"/>
        </w:rPr>
        <w:t>tiers</w:t>
      </w:r>
      <w:proofErr w:type="spellEnd"/>
      <w:r w:rsidR="0073666E" w:rsidRPr="0073666E">
        <w:rPr>
          <w:lang w:val="de-CH"/>
        </w:rPr>
        <w:t xml:space="preserve">, à </w:t>
      </w:r>
      <w:proofErr w:type="spellStart"/>
      <w:r w:rsidR="0073666E" w:rsidRPr="0073666E">
        <w:rPr>
          <w:lang w:val="de-CH"/>
        </w:rPr>
        <w:t>l’intérieur</w:t>
      </w:r>
      <w:proofErr w:type="spellEnd"/>
      <w:r w:rsidR="0073666E" w:rsidRPr="0073666E">
        <w:rPr>
          <w:lang w:val="de-CH"/>
        </w:rPr>
        <w:t xml:space="preserve"> de </w:t>
      </w:r>
      <w:proofErr w:type="spellStart"/>
      <w:r w:rsidR="0073666E" w:rsidRPr="0073666E">
        <w:rPr>
          <w:lang w:val="de-CH"/>
        </w:rPr>
        <w:t>l’espace</w:t>
      </w:r>
      <w:proofErr w:type="spellEnd"/>
      <w:r w:rsidR="0073666E" w:rsidRPr="0073666E">
        <w:rPr>
          <w:lang w:val="de-CH"/>
        </w:rPr>
        <w:t xml:space="preserve"> Schengen. Elle </w:t>
      </w:r>
      <w:proofErr w:type="spellStart"/>
      <w:r w:rsidR="0073666E" w:rsidRPr="0073666E">
        <w:rPr>
          <w:lang w:val="de-CH"/>
        </w:rPr>
        <w:t>contient</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des </w:t>
      </w:r>
      <w:proofErr w:type="spellStart"/>
      <w:r w:rsidR="0073666E" w:rsidRPr="0073666E">
        <w:rPr>
          <w:lang w:val="de-CH"/>
        </w:rPr>
        <w:t>prescriptions</w:t>
      </w:r>
      <w:proofErr w:type="spellEnd"/>
      <w:r w:rsidR="0073666E" w:rsidRPr="0073666E">
        <w:rPr>
          <w:lang w:val="de-CH"/>
        </w:rPr>
        <w:t xml:space="preserve"> </w:t>
      </w:r>
      <w:proofErr w:type="spellStart"/>
      <w:r w:rsidR="0073666E" w:rsidRPr="0073666E">
        <w:rPr>
          <w:lang w:val="de-CH"/>
        </w:rPr>
        <w:t>applicables</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décisions</w:t>
      </w:r>
      <w:proofErr w:type="spellEnd"/>
      <w:r w:rsidR="0073666E" w:rsidRPr="0073666E">
        <w:rPr>
          <w:lang w:val="de-CH"/>
        </w:rPr>
        <w:t xml:space="preserve"> de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L’absence</w:t>
      </w:r>
      <w:proofErr w:type="spellEnd"/>
      <w:r w:rsidR="0073666E" w:rsidRPr="0073666E">
        <w:rPr>
          <w:lang w:val="de-CH"/>
        </w:rPr>
        <w:t xml:space="preserve"> de forme du </w:t>
      </w:r>
      <w:proofErr w:type="spellStart"/>
      <w:r w:rsidR="0073666E" w:rsidRPr="0073666E">
        <w:rPr>
          <w:lang w:val="de-CH"/>
        </w:rPr>
        <w:t>renvoi</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remplacée</w:t>
      </w:r>
      <w:proofErr w:type="spellEnd"/>
      <w:r w:rsidR="0073666E" w:rsidRPr="0073666E">
        <w:rPr>
          <w:lang w:val="de-CH"/>
        </w:rPr>
        <w:t xml:space="preserve"> par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formelle (art. 64 LEI).</w:t>
      </w:r>
    </w:p>
    <w:p w14:paraId="70AD675F" w14:textId="77777777" w:rsidR="0073666E" w:rsidRPr="0073666E" w:rsidRDefault="00F5509B" w:rsidP="00F5509B">
      <w:pPr>
        <w:pStyle w:val="SingleTxtG"/>
      </w:pPr>
      <w:r>
        <w:rPr>
          <w:lang w:val="de-CH"/>
        </w:rPr>
        <w:t>53.</w:t>
      </w:r>
      <w:r>
        <w:rPr>
          <w:lang w:val="de-CH"/>
        </w:rPr>
        <w:tab/>
      </w:r>
      <w:proofErr w:type="spellStart"/>
      <w:r w:rsidR="0073666E" w:rsidRPr="0073666E">
        <w:rPr>
          <w:lang w:val="de-CH"/>
        </w:rPr>
        <w:t>Matériellement</w:t>
      </w:r>
      <w:proofErr w:type="spellEnd"/>
      <w:r w:rsidR="0073666E" w:rsidRPr="0073666E">
        <w:rPr>
          <w:lang w:val="de-CH"/>
        </w:rPr>
        <w:t xml:space="preserve">, </w:t>
      </w:r>
      <w:proofErr w:type="spellStart"/>
      <w:r w:rsidR="0073666E" w:rsidRPr="0073666E">
        <w:rPr>
          <w:lang w:val="de-CH"/>
        </w:rPr>
        <w:t>l’adoption</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de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concrétisée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art. 64 </w:t>
      </w:r>
      <w:proofErr w:type="spellStart"/>
      <w:r w:rsidR="0073666E" w:rsidRPr="0073666E">
        <w:rPr>
          <w:lang w:val="de-CH"/>
        </w:rPr>
        <w:t>ss</w:t>
      </w:r>
      <w:proofErr w:type="spellEnd"/>
      <w:r w:rsidR="0073666E" w:rsidRPr="0073666E">
        <w:rPr>
          <w:lang w:val="de-CH"/>
        </w:rPr>
        <w:t xml:space="preserve"> LEI et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dispositions</w:t>
      </w:r>
      <w:proofErr w:type="spellEnd"/>
      <w:r w:rsidR="0073666E" w:rsidRPr="0073666E">
        <w:rPr>
          <w:lang w:val="de-CH"/>
        </w:rPr>
        <w:t xml:space="preserve"> </w:t>
      </w:r>
      <w:proofErr w:type="spellStart"/>
      <w:r w:rsidR="0073666E" w:rsidRPr="0073666E">
        <w:rPr>
          <w:lang w:val="de-CH"/>
        </w:rPr>
        <w:t>correspondantes</w:t>
      </w:r>
      <w:proofErr w:type="spellEnd"/>
      <w:r w:rsidR="0073666E" w:rsidRPr="0073666E">
        <w:rPr>
          <w:lang w:val="de-CH"/>
        </w:rPr>
        <w:t xml:space="preserve"> de </w:t>
      </w:r>
      <w:proofErr w:type="spellStart"/>
      <w:r w:rsidR="0073666E" w:rsidRPr="0073666E">
        <w:rPr>
          <w:lang w:val="de-CH"/>
        </w:rPr>
        <w:t>l’ordonnance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w:t>
      </w:r>
      <w:r w:rsidR="00A27519">
        <w:rPr>
          <w:lang w:val="de-CH"/>
        </w:rPr>
        <w:t>’</w:t>
      </w:r>
      <w:r w:rsidR="0073666E" w:rsidRPr="0073666E">
        <w:rPr>
          <w:lang w:val="de-CH"/>
        </w:rPr>
        <w:t>exécution</w:t>
      </w:r>
      <w:proofErr w:type="spellEnd"/>
      <w:r w:rsidR="0073666E" w:rsidRPr="0073666E">
        <w:rPr>
          <w:lang w:val="de-CH"/>
        </w:rPr>
        <w:t xml:space="preserve"> du </w:t>
      </w:r>
      <w:proofErr w:type="spellStart"/>
      <w:r w:rsidR="0073666E" w:rsidRPr="0073666E">
        <w:rPr>
          <w:lang w:val="de-CH"/>
        </w:rPr>
        <w:t>renvoi</w:t>
      </w:r>
      <w:proofErr w:type="spellEnd"/>
      <w:r w:rsidR="0073666E" w:rsidRPr="0073666E">
        <w:rPr>
          <w:lang w:val="de-CH"/>
        </w:rPr>
        <w:t xml:space="preserve"> et de </w:t>
      </w:r>
      <w:proofErr w:type="spellStart"/>
      <w:r w:rsidR="0073666E" w:rsidRPr="0073666E">
        <w:rPr>
          <w:lang w:val="de-CH"/>
        </w:rPr>
        <w:t>l</w:t>
      </w:r>
      <w:r w:rsidR="00A27519">
        <w:rPr>
          <w:lang w:val="de-CH"/>
        </w:rPr>
        <w:t>’</w:t>
      </w:r>
      <w:r w:rsidR="0073666E" w:rsidRPr="0073666E">
        <w:rPr>
          <w:lang w:val="de-CH"/>
        </w:rPr>
        <w:t>expulsion</w:t>
      </w:r>
      <w:proofErr w:type="spellEnd"/>
      <w:r w:rsidR="0073666E" w:rsidRPr="0073666E">
        <w:rPr>
          <w:lang w:val="de-CH"/>
        </w:rPr>
        <w:t xml:space="preserve"> </w:t>
      </w:r>
      <w:proofErr w:type="spellStart"/>
      <w:r w:rsidR="0073666E" w:rsidRPr="0073666E">
        <w:rPr>
          <w:lang w:val="de-CH"/>
        </w:rPr>
        <w:t>d</w:t>
      </w:r>
      <w:r w:rsidR="00A27519">
        <w:rPr>
          <w:lang w:val="de-CH"/>
        </w:rPr>
        <w:t>’</w:t>
      </w:r>
      <w:r w:rsidR="0073666E" w:rsidRPr="0073666E">
        <w:rPr>
          <w:lang w:val="de-CH"/>
        </w:rPr>
        <w:t>étrangers</w:t>
      </w:r>
      <w:proofErr w:type="spellEnd"/>
      <w:r w:rsidR="0073666E" w:rsidRPr="0073666E">
        <w:rPr>
          <w:lang w:val="de-CH"/>
        </w:rPr>
        <w:t xml:space="preserve"> (OERE, art. 26b à 26e).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recours</w:t>
      </w:r>
      <w:proofErr w:type="spellEnd"/>
      <w:r w:rsidR="0073666E" w:rsidRPr="0073666E">
        <w:rPr>
          <w:lang w:val="de-CH"/>
        </w:rPr>
        <w:t xml:space="preserve"> contre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de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n’a</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d’effet</w:t>
      </w:r>
      <w:proofErr w:type="spellEnd"/>
      <w:r w:rsidR="0073666E" w:rsidRPr="0073666E">
        <w:rPr>
          <w:lang w:val="de-CH"/>
        </w:rPr>
        <w:t xml:space="preserve"> </w:t>
      </w:r>
      <w:proofErr w:type="spellStart"/>
      <w:r w:rsidR="0073666E" w:rsidRPr="0073666E">
        <w:rPr>
          <w:lang w:val="de-CH"/>
        </w:rPr>
        <w:t>suspensif</w:t>
      </w:r>
      <w:proofErr w:type="spellEnd"/>
      <w:r w:rsidR="0073666E" w:rsidRPr="0073666E">
        <w:rPr>
          <w:lang w:val="de-CH"/>
        </w:rPr>
        <w:t xml:space="preserve">. </w:t>
      </w:r>
      <w:proofErr w:type="spellStart"/>
      <w:r w:rsidR="0073666E" w:rsidRPr="0073666E">
        <w:rPr>
          <w:lang w:val="de-CH"/>
        </w:rPr>
        <w:t>L’instance</w:t>
      </w:r>
      <w:proofErr w:type="spellEnd"/>
      <w:r w:rsidR="0073666E" w:rsidRPr="0073666E">
        <w:rPr>
          <w:lang w:val="de-CH"/>
        </w:rPr>
        <w:t xml:space="preserve"> </w:t>
      </w:r>
      <w:proofErr w:type="spellStart"/>
      <w:r w:rsidR="0073666E" w:rsidRPr="0073666E">
        <w:rPr>
          <w:lang w:val="de-CH"/>
        </w:rPr>
        <w:t>compétente</w:t>
      </w:r>
      <w:proofErr w:type="spellEnd"/>
      <w:r w:rsidR="0073666E" w:rsidRPr="0073666E">
        <w:rPr>
          <w:lang w:val="de-CH"/>
        </w:rPr>
        <w:t xml:space="preserve">, </w:t>
      </w:r>
      <w:proofErr w:type="spellStart"/>
      <w:r w:rsidR="0073666E" w:rsidRPr="0073666E">
        <w:rPr>
          <w:lang w:val="de-CH"/>
        </w:rPr>
        <w:t>généralement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tribunal</w:t>
      </w:r>
      <w:proofErr w:type="spellEnd"/>
      <w:r w:rsidR="0073666E" w:rsidRPr="0073666E">
        <w:rPr>
          <w:lang w:val="de-CH"/>
        </w:rPr>
        <w:t xml:space="preserve"> </w:t>
      </w:r>
      <w:proofErr w:type="spellStart"/>
      <w:r w:rsidR="0073666E" w:rsidRPr="0073666E">
        <w:rPr>
          <w:lang w:val="de-CH"/>
        </w:rPr>
        <w:t>cantonal</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toutefois</w:t>
      </w:r>
      <w:proofErr w:type="spellEnd"/>
      <w:r w:rsidR="0073666E" w:rsidRPr="0073666E">
        <w:rPr>
          <w:lang w:val="de-CH"/>
        </w:rPr>
        <w:t xml:space="preserve"> le </w:t>
      </w:r>
      <w:proofErr w:type="spellStart"/>
      <w:r w:rsidR="0073666E" w:rsidRPr="0073666E">
        <w:rPr>
          <w:lang w:val="de-CH"/>
        </w:rPr>
        <w:t>rétablir</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possibilité</w:t>
      </w:r>
      <w:proofErr w:type="spellEnd"/>
      <w:r w:rsidR="0073666E" w:rsidRPr="0073666E">
        <w:rPr>
          <w:lang w:val="de-CH"/>
        </w:rPr>
        <w:t xml:space="preserve"> </w:t>
      </w:r>
      <w:proofErr w:type="spellStart"/>
      <w:r w:rsidR="0073666E" w:rsidRPr="0073666E">
        <w:rPr>
          <w:lang w:val="de-CH"/>
        </w:rPr>
        <w:t>correspond</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prescriptions</w:t>
      </w:r>
      <w:proofErr w:type="spellEnd"/>
      <w:r w:rsidR="0073666E" w:rsidRPr="0073666E">
        <w:rPr>
          <w:lang w:val="de-CH"/>
        </w:rPr>
        <w:t xml:space="preserve"> de </w:t>
      </w:r>
      <w:proofErr w:type="spellStart"/>
      <w:r w:rsidR="0073666E" w:rsidRPr="0073666E">
        <w:rPr>
          <w:lang w:val="de-CH"/>
        </w:rPr>
        <w:t>l’art</w:t>
      </w:r>
      <w:proofErr w:type="spellEnd"/>
      <w:r w:rsidR="0073666E" w:rsidRPr="0073666E">
        <w:rPr>
          <w:lang w:val="de-CH"/>
        </w:rPr>
        <w:t xml:space="preserve">. 13, par. 1 et 2, de la </w:t>
      </w:r>
      <w:proofErr w:type="spellStart"/>
      <w:r w:rsidR="0073666E" w:rsidRPr="0073666E">
        <w:rPr>
          <w:lang w:val="de-CH"/>
        </w:rPr>
        <w:t>directive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retour. </w:t>
      </w:r>
      <w:proofErr w:type="spellStart"/>
      <w:r w:rsidR="0073666E" w:rsidRPr="0073666E">
        <w:rPr>
          <w:lang w:val="de-CH"/>
        </w:rPr>
        <w:t>Lorsqu’une</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de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prise</w:t>
      </w:r>
      <w:proofErr w:type="spellEnd"/>
      <w:r w:rsidR="0073666E" w:rsidRPr="0073666E">
        <w:rPr>
          <w:lang w:val="de-CH"/>
        </w:rPr>
        <w:t xml:space="preserve"> en vertu de </w:t>
      </w:r>
      <w:proofErr w:type="spellStart"/>
      <w:r w:rsidR="0073666E" w:rsidRPr="0073666E">
        <w:rPr>
          <w:lang w:val="de-CH"/>
        </w:rPr>
        <w:t>l’art</w:t>
      </w:r>
      <w:proofErr w:type="spellEnd"/>
      <w:r w:rsidR="0073666E" w:rsidRPr="0073666E">
        <w:rPr>
          <w:lang w:val="de-CH"/>
        </w:rPr>
        <w:t xml:space="preserve">. 64a LEI, </w:t>
      </w:r>
      <w:proofErr w:type="spellStart"/>
      <w:r w:rsidR="0073666E" w:rsidRPr="0073666E">
        <w:rPr>
          <w:lang w:val="de-CH"/>
        </w:rPr>
        <w:t>l’étranger</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demander</w:t>
      </w:r>
      <w:proofErr w:type="spellEnd"/>
      <w:r w:rsidR="0073666E" w:rsidRPr="0073666E">
        <w:rPr>
          <w:lang w:val="de-CH"/>
        </w:rPr>
        <w:t xml:space="preserve">, </w:t>
      </w:r>
      <w:proofErr w:type="spellStart"/>
      <w:r w:rsidR="0073666E" w:rsidRPr="0073666E">
        <w:rPr>
          <w:lang w:val="de-CH"/>
        </w:rPr>
        <w:t>pendant</w:t>
      </w:r>
      <w:proofErr w:type="spellEnd"/>
      <w:r w:rsidR="0073666E" w:rsidRPr="0073666E">
        <w:rPr>
          <w:lang w:val="de-CH"/>
        </w:rPr>
        <w:t xml:space="preserve"> le </w:t>
      </w:r>
      <w:proofErr w:type="spellStart"/>
      <w:r w:rsidR="0073666E" w:rsidRPr="0073666E">
        <w:rPr>
          <w:lang w:val="de-CH"/>
        </w:rPr>
        <w:t>délai</w:t>
      </w:r>
      <w:proofErr w:type="spellEnd"/>
      <w:r w:rsidR="0073666E" w:rsidRPr="0073666E">
        <w:rPr>
          <w:lang w:val="de-CH"/>
        </w:rPr>
        <w:t xml:space="preserve"> de </w:t>
      </w:r>
      <w:proofErr w:type="spellStart"/>
      <w:r w:rsidR="0073666E" w:rsidRPr="0073666E">
        <w:rPr>
          <w:lang w:val="de-CH"/>
        </w:rPr>
        <w:t>recours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l’effet</w:t>
      </w:r>
      <w:proofErr w:type="spellEnd"/>
      <w:r w:rsidR="0073666E" w:rsidRPr="0073666E">
        <w:rPr>
          <w:lang w:val="de-CH"/>
        </w:rPr>
        <w:t xml:space="preserve"> </w:t>
      </w:r>
      <w:proofErr w:type="spellStart"/>
      <w:r w:rsidR="0073666E" w:rsidRPr="0073666E">
        <w:rPr>
          <w:lang w:val="de-CH"/>
        </w:rPr>
        <w:t>suspensif</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accordé</w:t>
      </w:r>
      <w:proofErr w:type="spellEnd"/>
      <w:r w:rsidR="0073666E" w:rsidRPr="0073666E">
        <w:rPr>
          <w:lang w:val="de-CH"/>
        </w:rPr>
        <w:t xml:space="preserve">. </w:t>
      </w:r>
      <w:r w:rsidR="0073666E" w:rsidRPr="0073666E">
        <w:t xml:space="preserve">Le TAF statue dans les cinq jours suivant le dépôt de la demande. </w:t>
      </w:r>
    </w:p>
    <w:p w14:paraId="4763A637" w14:textId="77777777" w:rsidR="0073666E" w:rsidRPr="0073666E" w:rsidRDefault="00F5509B" w:rsidP="00F5509B">
      <w:pPr>
        <w:pStyle w:val="SingleTxtG"/>
        <w:rPr>
          <w:lang w:val="de-CH"/>
        </w:rPr>
      </w:pPr>
      <w:r>
        <w:t>54.</w:t>
      </w:r>
      <w:r>
        <w:tab/>
      </w:r>
      <w:r w:rsidR="0073666E" w:rsidRPr="0073666E">
        <w:t xml:space="preserve">Une des exceptions prévues par la directive sur le retour (par rapport au principe qu’une décision doit toujours être rendue) concerne les renvois fondés sur un accord de réadmission conclu avec d’autres </w:t>
      </w:r>
      <w:r w:rsidR="00D94D41">
        <w:t>État</w:t>
      </w:r>
      <w:r w:rsidR="0073666E" w:rsidRPr="0073666E">
        <w:t xml:space="preserve">s Schengen et déjà appliqué au moment de l’entrée en vigueur de la directive. </w:t>
      </w:r>
      <w:r w:rsidR="0073666E" w:rsidRPr="0073666E">
        <w:rPr>
          <w:lang w:val="de-CH"/>
        </w:rPr>
        <w:t xml:space="preserve">En </w:t>
      </w:r>
      <w:proofErr w:type="spellStart"/>
      <w:r w:rsidR="0073666E" w:rsidRPr="0073666E">
        <w:rPr>
          <w:lang w:val="de-CH"/>
        </w:rPr>
        <w:t>cas</w:t>
      </w:r>
      <w:proofErr w:type="spellEnd"/>
      <w:r w:rsidR="0073666E" w:rsidRPr="0073666E">
        <w:rPr>
          <w:lang w:val="de-CH"/>
        </w:rPr>
        <w:t xml:space="preserve"> de </w:t>
      </w:r>
      <w:proofErr w:type="spellStart"/>
      <w:r w:rsidR="0073666E" w:rsidRPr="0073666E">
        <w:rPr>
          <w:lang w:val="de-CH"/>
        </w:rPr>
        <w:t>réadmission</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la </w:t>
      </w:r>
      <w:proofErr w:type="spellStart"/>
      <w:r w:rsidR="0073666E" w:rsidRPr="0073666E">
        <w:rPr>
          <w:lang w:val="de-CH"/>
        </w:rPr>
        <w:t>base</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accord</w:t>
      </w:r>
      <w:proofErr w:type="spellEnd"/>
      <w:r w:rsidR="0073666E" w:rsidRPr="0073666E">
        <w:rPr>
          <w:lang w:val="de-CH"/>
        </w:rPr>
        <w:t xml:space="preserve"> </w:t>
      </w:r>
      <w:proofErr w:type="spellStart"/>
      <w:r w:rsidR="0073666E" w:rsidRPr="0073666E">
        <w:rPr>
          <w:lang w:val="de-CH"/>
        </w:rPr>
        <w:t>bilatéral</w:t>
      </w:r>
      <w:proofErr w:type="spellEnd"/>
      <w:r w:rsidR="0073666E" w:rsidRPr="0073666E">
        <w:rPr>
          <w:lang w:val="de-CH"/>
        </w:rPr>
        <w:t xml:space="preserve">,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reprend</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concernée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compétent</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exécuter</w:t>
      </w:r>
      <w:proofErr w:type="spellEnd"/>
      <w:r w:rsidR="0073666E" w:rsidRPr="0073666E">
        <w:rPr>
          <w:lang w:val="de-CH"/>
        </w:rPr>
        <w:t xml:space="preserve"> la </w:t>
      </w:r>
      <w:proofErr w:type="spellStart"/>
      <w:r w:rsidR="0073666E" w:rsidRPr="0073666E">
        <w:rPr>
          <w:lang w:val="de-CH"/>
        </w:rPr>
        <w:t>procédure</w:t>
      </w:r>
      <w:proofErr w:type="spellEnd"/>
      <w:r w:rsidR="0073666E" w:rsidRPr="0073666E">
        <w:rPr>
          <w:lang w:val="de-CH"/>
        </w:rPr>
        <w:t xml:space="preserve"> de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selon</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consignes</w:t>
      </w:r>
      <w:proofErr w:type="spellEnd"/>
      <w:r w:rsidR="0073666E" w:rsidRPr="0073666E">
        <w:rPr>
          <w:lang w:val="de-CH"/>
        </w:rPr>
        <w:t xml:space="preserve"> de la </w:t>
      </w:r>
      <w:proofErr w:type="spellStart"/>
      <w:r w:rsidR="0073666E" w:rsidRPr="0073666E">
        <w:rPr>
          <w:lang w:val="de-CH"/>
        </w:rPr>
        <w:t>directive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retour. Pour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raison</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64c LEI </w:t>
      </w:r>
      <w:proofErr w:type="spellStart"/>
      <w:r w:rsidR="0073666E" w:rsidRPr="0073666E">
        <w:rPr>
          <w:lang w:val="de-CH"/>
        </w:rPr>
        <w:t>prévoit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sans</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formelle et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en </w:t>
      </w:r>
      <w:proofErr w:type="spellStart"/>
      <w:r w:rsidR="0073666E" w:rsidRPr="0073666E">
        <w:rPr>
          <w:lang w:val="de-CH"/>
        </w:rPr>
        <w:t>principe</w:t>
      </w:r>
      <w:proofErr w:type="spellEnd"/>
      <w:r w:rsidR="0073666E" w:rsidRPr="0073666E">
        <w:rPr>
          <w:lang w:val="de-CH"/>
        </w:rPr>
        <w:t xml:space="preserve"> possible de </w:t>
      </w:r>
      <w:proofErr w:type="spellStart"/>
      <w:r w:rsidR="0073666E" w:rsidRPr="0073666E">
        <w:rPr>
          <w:lang w:val="de-CH"/>
        </w:rPr>
        <w:t>renoncer</w:t>
      </w:r>
      <w:proofErr w:type="spellEnd"/>
      <w:r w:rsidR="0073666E" w:rsidRPr="0073666E">
        <w:rPr>
          <w:lang w:val="de-CH"/>
        </w:rPr>
        <w:t xml:space="preserve"> à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de </w:t>
      </w:r>
      <w:proofErr w:type="spellStart"/>
      <w:r w:rsidR="0073666E" w:rsidRPr="0073666E">
        <w:rPr>
          <w:lang w:val="de-CH"/>
        </w:rPr>
        <w:t>recours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demande</w:t>
      </w:r>
      <w:proofErr w:type="spellEnd"/>
      <w:r w:rsidR="0073666E" w:rsidRPr="0073666E">
        <w:rPr>
          <w:lang w:val="de-CH"/>
        </w:rPr>
        <w:t xml:space="preserve"> </w:t>
      </w:r>
      <w:proofErr w:type="spellStart"/>
      <w:r w:rsidR="0073666E" w:rsidRPr="0073666E">
        <w:rPr>
          <w:lang w:val="de-CH"/>
        </w:rPr>
        <w:t>immédiate</w:t>
      </w:r>
      <w:proofErr w:type="spellEnd"/>
      <w:r w:rsidR="0073666E" w:rsidRPr="0073666E">
        <w:rPr>
          <w:lang w:val="de-CH"/>
        </w:rPr>
        <w:t xml:space="preserve"> de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concernée</w:t>
      </w:r>
      <w:proofErr w:type="spellEnd"/>
      <w:r w:rsidR="0073666E" w:rsidRPr="0073666E">
        <w:rPr>
          <w:lang w:val="de-CH"/>
        </w:rPr>
        <w:t xml:space="preserve">, la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rendue</w:t>
      </w:r>
      <w:proofErr w:type="spellEnd"/>
      <w:r w:rsidR="0073666E" w:rsidRPr="0073666E">
        <w:rPr>
          <w:lang w:val="de-CH"/>
        </w:rPr>
        <w:t xml:space="preserve"> au </w:t>
      </w:r>
      <w:proofErr w:type="spellStart"/>
      <w:r w:rsidR="0073666E" w:rsidRPr="0073666E">
        <w:rPr>
          <w:lang w:val="de-CH"/>
        </w:rPr>
        <w:t>moyen</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formulaire</w:t>
      </w:r>
      <w:proofErr w:type="spellEnd"/>
      <w:r w:rsidR="0073666E" w:rsidRPr="0073666E">
        <w:rPr>
          <w:lang w:val="de-CH"/>
        </w:rPr>
        <w:t xml:space="preserve"> type. La </w:t>
      </w:r>
      <w:proofErr w:type="spellStart"/>
      <w:r w:rsidR="0073666E" w:rsidRPr="0073666E">
        <w:rPr>
          <w:lang w:val="de-CH"/>
        </w:rPr>
        <w:t>directive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retour </w:t>
      </w:r>
      <w:proofErr w:type="spellStart"/>
      <w:r w:rsidR="0073666E" w:rsidRPr="0073666E">
        <w:rPr>
          <w:lang w:val="de-CH"/>
        </w:rPr>
        <w:t>ne</w:t>
      </w:r>
      <w:proofErr w:type="spellEnd"/>
      <w:r w:rsidR="0073666E" w:rsidRPr="0073666E">
        <w:rPr>
          <w:lang w:val="de-CH"/>
        </w:rPr>
        <w:t xml:space="preserve"> </w:t>
      </w:r>
      <w:proofErr w:type="spellStart"/>
      <w:r w:rsidR="0073666E" w:rsidRPr="0073666E">
        <w:rPr>
          <w:lang w:val="de-CH"/>
        </w:rPr>
        <w:t>l’exige</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mais</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mesure</w:t>
      </w:r>
      <w:proofErr w:type="spellEnd"/>
      <w:r w:rsidR="0073666E" w:rsidRPr="0073666E">
        <w:rPr>
          <w:lang w:val="de-CH"/>
        </w:rPr>
        <w:t xml:space="preserve"> </w:t>
      </w:r>
      <w:proofErr w:type="spellStart"/>
      <w:r w:rsidR="0073666E" w:rsidRPr="0073666E">
        <w:rPr>
          <w:lang w:val="de-CH"/>
        </w:rPr>
        <w:t>permet</w:t>
      </w:r>
      <w:proofErr w:type="spellEnd"/>
      <w:r w:rsidR="0073666E" w:rsidRPr="0073666E">
        <w:rPr>
          <w:lang w:val="de-CH"/>
        </w:rPr>
        <w:t xml:space="preserve"> </w:t>
      </w:r>
      <w:proofErr w:type="spellStart"/>
      <w:r w:rsidR="0073666E" w:rsidRPr="0073666E">
        <w:rPr>
          <w:lang w:val="de-CH"/>
        </w:rPr>
        <w:t>d’assurer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contrôle</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pays</w:t>
      </w:r>
      <w:proofErr w:type="spellEnd"/>
      <w:r w:rsidR="0073666E" w:rsidRPr="0073666E">
        <w:rPr>
          <w:lang w:val="de-CH"/>
        </w:rPr>
        <w:t xml:space="preserve"> </w:t>
      </w:r>
      <w:proofErr w:type="spellStart"/>
      <w:r w:rsidR="0073666E" w:rsidRPr="0073666E">
        <w:rPr>
          <w:lang w:val="de-CH"/>
        </w:rPr>
        <w:t>d’origine</w:t>
      </w:r>
      <w:proofErr w:type="spellEnd"/>
      <w:r w:rsidR="0073666E" w:rsidRPr="0073666E">
        <w:rPr>
          <w:lang w:val="de-CH"/>
        </w:rPr>
        <w:t xml:space="preserve"> </w:t>
      </w:r>
      <w:proofErr w:type="spellStart"/>
      <w:r w:rsidR="0073666E" w:rsidRPr="0073666E">
        <w:rPr>
          <w:lang w:val="de-CH"/>
        </w:rPr>
        <w:t>puisse</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fait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w:t>
      </w:r>
    </w:p>
    <w:p w14:paraId="54EC6BD0" w14:textId="77777777" w:rsidR="0073666E" w:rsidRPr="0073666E" w:rsidRDefault="00F5509B" w:rsidP="00F5509B">
      <w:pPr>
        <w:pStyle w:val="SingleTxtG"/>
      </w:pPr>
      <w:r>
        <w:rPr>
          <w:lang w:val="de-CH"/>
        </w:rPr>
        <w:lastRenderedPageBreak/>
        <w:t>55.</w:t>
      </w:r>
      <w:r>
        <w:rPr>
          <w:lang w:val="de-CH"/>
        </w:rPr>
        <w:tab/>
      </w:r>
      <w:proofErr w:type="spellStart"/>
      <w:r w:rsidR="0073666E" w:rsidRPr="0073666E">
        <w:rPr>
          <w:lang w:val="de-CH"/>
        </w:rPr>
        <w:t>Concernant</w:t>
      </w:r>
      <w:proofErr w:type="spellEnd"/>
      <w:r w:rsidR="0073666E" w:rsidRPr="0073666E">
        <w:rPr>
          <w:lang w:val="de-CH"/>
        </w:rPr>
        <w:t xml:space="preserve"> le </w:t>
      </w:r>
      <w:proofErr w:type="spellStart"/>
      <w:r w:rsidR="0073666E" w:rsidRPr="0073666E">
        <w:rPr>
          <w:lang w:val="de-CH"/>
        </w:rPr>
        <w:t>refus</w:t>
      </w:r>
      <w:proofErr w:type="spellEnd"/>
      <w:r w:rsidR="0073666E" w:rsidRPr="0073666E">
        <w:rPr>
          <w:lang w:val="de-CH"/>
        </w:rPr>
        <w:t xml:space="preserve"> </w:t>
      </w:r>
      <w:proofErr w:type="spellStart"/>
      <w:r w:rsidR="0073666E" w:rsidRPr="0073666E">
        <w:rPr>
          <w:lang w:val="de-CH"/>
        </w:rPr>
        <w:t>d’entrée</w:t>
      </w:r>
      <w:proofErr w:type="spellEnd"/>
      <w:r w:rsidR="0073666E" w:rsidRPr="0073666E">
        <w:rPr>
          <w:lang w:val="de-CH"/>
        </w:rPr>
        <w:t xml:space="preserve"> et le </w:t>
      </w:r>
      <w:proofErr w:type="spellStart"/>
      <w:r w:rsidR="0073666E" w:rsidRPr="0073666E">
        <w:rPr>
          <w:lang w:val="de-CH"/>
        </w:rPr>
        <w:t>renvoi</w:t>
      </w:r>
      <w:proofErr w:type="spellEnd"/>
      <w:r w:rsidR="0073666E" w:rsidRPr="0073666E">
        <w:rPr>
          <w:lang w:val="de-CH"/>
        </w:rPr>
        <w:t xml:space="preserve"> à </w:t>
      </w:r>
      <w:proofErr w:type="spellStart"/>
      <w:r w:rsidR="0073666E" w:rsidRPr="0073666E">
        <w:rPr>
          <w:lang w:val="de-CH"/>
        </w:rPr>
        <w:t>l’aéroport</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65 LEI </w:t>
      </w:r>
      <w:proofErr w:type="spellStart"/>
      <w:r w:rsidR="0073666E" w:rsidRPr="0073666E">
        <w:rPr>
          <w:lang w:val="de-CH"/>
        </w:rPr>
        <w:t>prévoit</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l’étranger</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tenu</w:t>
      </w:r>
      <w:proofErr w:type="spellEnd"/>
      <w:r w:rsidR="0073666E" w:rsidRPr="0073666E">
        <w:rPr>
          <w:lang w:val="de-CH"/>
        </w:rPr>
        <w:t xml:space="preserve"> de </w:t>
      </w:r>
      <w:proofErr w:type="spellStart"/>
      <w:r w:rsidR="0073666E" w:rsidRPr="0073666E">
        <w:rPr>
          <w:lang w:val="de-CH"/>
        </w:rPr>
        <w:t>quitter</w:t>
      </w:r>
      <w:proofErr w:type="spellEnd"/>
      <w:r w:rsidR="0073666E" w:rsidRPr="0073666E">
        <w:rPr>
          <w:lang w:val="de-CH"/>
        </w:rPr>
        <w:t xml:space="preserve"> </w:t>
      </w:r>
      <w:proofErr w:type="spellStart"/>
      <w:r w:rsidR="0073666E" w:rsidRPr="0073666E">
        <w:rPr>
          <w:lang w:val="de-CH"/>
        </w:rPr>
        <w:t>sans</w:t>
      </w:r>
      <w:proofErr w:type="spellEnd"/>
      <w:r w:rsidR="0073666E" w:rsidRPr="0073666E">
        <w:rPr>
          <w:lang w:val="de-CH"/>
        </w:rPr>
        <w:t xml:space="preserve"> </w:t>
      </w:r>
      <w:proofErr w:type="spellStart"/>
      <w:r w:rsidR="0073666E" w:rsidRPr="0073666E">
        <w:rPr>
          <w:lang w:val="de-CH"/>
        </w:rPr>
        <w:t>délai</w:t>
      </w:r>
      <w:proofErr w:type="spellEnd"/>
      <w:r w:rsidR="0073666E" w:rsidRPr="0073666E">
        <w:rPr>
          <w:lang w:val="de-CH"/>
        </w:rPr>
        <w:t xml:space="preserve"> le </w:t>
      </w:r>
      <w:proofErr w:type="spellStart"/>
      <w:r w:rsidR="0073666E" w:rsidRPr="0073666E">
        <w:rPr>
          <w:lang w:val="de-CH"/>
        </w:rPr>
        <w:t>territoire</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si </w:t>
      </w:r>
      <w:proofErr w:type="spellStart"/>
      <w:r w:rsidR="0073666E" w:rsidRPr="0073666E">
        <w:rPr>
          <w:lang w:val="de-CH"/>
        </w:rPr>
        <w:t>l’entrée</w:t>
      </w:r>
      <w:proofErr w:type="spellEnd"/>
      <w:r w:rsidR="0073666E" w:rsidRPr="0073666E">
        <w:rPr>
          <w:lang w:val="de-CH"/>
        </w:rPr>
        <w:t xml:space="preserve"> </w:t>
      </w:r>
      <w:proofErr w:type="spellStart"/>
      <w:r w:rsidR="0073666E" w:rsidRPr="0073666E">
        <w:rPr>
          <w:lang w:val="de-CH"/>
        </w:rPr>
        <w:t>lui</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refusée</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du </w:t>
      </w:r>
      <w:proofErr w:type="spellStart"/>
      <w:r w:rsidR="0073666E" w:rsidRPr="0073666E">
        <w:rPr>
          <w:lang w:val="de-CH"/>
        </w:rPr>
        <w:t>contrôle</w:t>
      </w:r>
      <w:proofErr w:type="spellEnd"/>
      <w:r w:rsidR="0073666E" w:rsidRPr="0073666E">
        <w:rPr>
          <w:lang w:val="de-CH"/>
        </w:rPr>
        <w:t xml:space="preserve"> à la </w:t>
      </w:r>
      <w:proofErr w:type="spellStart"/>
      <w:r w:rsidR="0073666E" w:rsidRPr="0073666E">
        <w:rPr>
          <w:lang w:val="de-CH"/>
        </w:rPr>
        <w:t>frontière</w:t>
      </w:r>
      <w:proofErr w:type="spellEnd"/>
      <w:r w:rsidR="0073666E" w:rsidRPr="0073666E">
        <w:rPr>
          <w:lang w:val="de-CH"/>
        </w:rPr>
        <w:t xml:space="preserve"> à </w:t>
      </w:r>
      <w:proofErr w:type="spellStart"/>
      <w:r w:rsidR="0073666E" w:rsidRPr="0073666E">
        <w:rPr>
          <w:lang w:val="de-CH"/>
        </w:rPr>
        <w:t>l’aéroport</w:t>
      </w:r>
      <w:proofErr w:type="spellEnd"/>
      <w:r w:rsidR="0073666E" w:rsidRPr="0073666E">
        <w:rPr>
          <w:lang w:val="de-CH"/>
        </w:rPr>
        <w:t xml:space="preserve">. Le SEM </w:t>
      </w:r>
      <w:proofErr w:type="spellStart"/>
      <w:r w:rsidR="0073666E" w:rsidRPr="0073666E">
        <w:rPr>
          <w:lang w:val="de-CH"/>
        </w:rPr>
        <w:t>rend</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motivée</w:t>
      </w:r>
      <w:proofErr w:type="spellEnd"/>
      <w:r w:rsidR="0073666E" w:rsidRPr="0073666E">
        <w:rPr>
          <w:lang w:val="de-CH"/>
        </w:rPr>
        <w:t xml:space="preserve"> et </w:t>
      </w:r>
      <w:proofErr w:type="spellStart"/>
      <w:r w:rsidR="0073666E" w:rsidRPr="0073666E">
        <w:rPr>
          <w:lang w:val="de-CH"/>
        </w:rPr>
        <w:t>sujette</w:t>
      </w:r>
      <w:proofErr w:type="spellEnd"/>
      <w:r w:rsidR="0073666E" w:rsidRPr="0073666E">
        <w:rPr>
          <w:lang w:val="de-CH"/>
        </w:rPr>
        <w:t xml:space="preserve"> à </w:t>
      </w:r>
      <w:proofErr w:type="spellStart"/>
      <w:r w:rsidR="0073666E" w:rsidRPr="0073666E">
        <w:rPr>
          <w:lang w:val="de-CH"/>
        </w:rPr>
        <w:t>recours</w:t>
      </w:r>
      <w:proofErr w:type="spellEnd"/>
      <w:r w:rsidR="0073666E" w:rsidRPr="0073666E">
        <w:rPr>
          <w:lang w:val="de-CH"/>
        </w:rPr>
        <w:t xml:space="preserve"> au </w:t>
      </w:r>
      <w:proofErr w:type="spellStart"/>
      <w:r w:rsidR="0073666E" w:rsidRPr="0073666E">
        <w:rPr>
          <w:lang w:val="de-CH"/>
        </w:rPr>
        <w:t>moyen</w:t>
      </w:r>
      <w:proofErr w:type="spellEnd"/>
      <w:r w:rsidR="0073666E" w:rsidRPr="0073666E">
        <w:rPr>
          <w:lang w:val="de-CH"/>
        </w:rPr>
        <w:t xml:space="preserve"> du </w:t>
      </w:r>
      <w:r w:rsidR="0073666E" w:rsidRPr="00F5509B">
        <w:t>formulaire</w:t>
      </w:r>
      <w:r w:rsidR="00EC4D19">
        <w:rPr>
          <w:lang w:val="de-CH"/>
        </w:rPr>
        <w:t xml:space="preserve"> </w:t>
      </w:r>
      <w:proofErr w:type="spellStart"/>
      <w:r w:rsidR="00EC4D19">
        <w:rPr>
          <w:lang w:val="de-CH"/>
        </w:rPr>
        <w:t>selon</w:t>
      </w:r>
      <w:proofErr w:type="spellEnd"/>
      <w:r w:rsidR="00EC4D19">
        <w:rPr>
          <w:lang w:val="de-CH"/>
        </w:rPr>
        <w:t xml:space="preserve"> </w:t>
      </w:r>
      <w:proofErr w:type="spellStart"/>
      <w:r w:rsidR="00EC4D19">
        <w:rPr>
          <w:lang w:val="de-CH"/>
        </w:rPr>
        <w:t>l’a</w:t>
      </w:r>
      <w:r w:rsidR="0073666E" w:rsidRPr="0073666E">
        <w:rPr>
          <w:lang w:val="de-CH"/>
        </w:rPr>
        <w:t>nnexe</w:t>
      </w:r>
      <w:proofErr w:type="spellEnd"/>
      <w:r w:rsidR="0073666E" w:rsidRPr="0073666E">
        <w:rPr>
          <w:lang w:val="de-CH"/>
        </w:rPr>
        <w:t xml:space="preserve"> V, </w:t>
      </w:r>
      <w:proofErr w:type="spellStart"/>
      <w:r w:rsidR="0073666E" w:rsidRPr="0073666E">
        <w:rPr>
          <w:lang w:val="de-CH"/>
        </w:rPr>
        <w:t>partie</w:t>
      </w:r>
      <w:proofErr w:type="spellEnd"/>
      <w:r w:rsidR="0073666E" w:rsidRPr="0073666E">
        <w:rPr>
          <w:lang w:val="de-CH"/>
        </w:rPr>
        <w:t xml:space="preserve"> B, du </w:t>
      </w:r>
      <w:r w:rsidR="00D94D41" w:rsidRPr="0073666E">
        <w:rPr>
          <w:lang w:val="de-CH"/>
        </w:rPr>
        <w:t xml:space="preserve">Code </w:t>
      </w:r>
      <w:proofErr w:type="spellStart"/>
      <w:r w:rsidR="0073666E" w:rsidRPr="0073666E">
        <w:rPr>
          <w:lang w:val="de-CH"/>
        </w:rPr>
        <w:t>frontières</w:t>
      </w:r>
      <w:proofErr w:type="spellEnd"/>
      <w:r w:rsidR="0073666E" w:rsidRPr="0073666E">
        <w:rPr>
          <w:lang w:val="de-CH"/>
        </w:rPr>
        <w:t xml:space="preserve"> Schengen. Le </w:t>
      </w:r>
      <w:proofErr w:type="spellStart"/>
      <w:r w:rsidR="0073666E" w:rsidRPr="0073666E">
        <w:rPr>
          <w:lang w:val="de-CH"/>
        </w:rPr>
        <w:t>recours</w:t>
      </w:r>
      <w:proofErr w:type="spellEnd"/>
      <w:r w:rsidR="0073666E" w:rsidRPr="0073666E">
        <w:rPr>
          <w:lang w:val="de-CH"/>
        </w:rPr>
        <w:t xml:space="preserve"> </w:t>
      </w:r>
      <w:proofErr w:type="spellStart"/>
      <w:r w:rsidR="0073666E" w:rsidRPr="0073666E">
        <w:rPr>
          <w:lang w:val="de-CH"/>
        </w:rPr>
        <w:t>n’a</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d’effet</w:t>
      </w:r>
      <w:proofErr w:type="spellEnd"/>
      <w:r w:rsidR="0073666E" w:rsidRPr="0073666E">
        <w:rPr>
          <w:lang w:val="de-CH"/>
        </w:rPr>
        <w:t xml:space="preserve"> </w:t>
      </w:r>
      <w:proofErr w:type="spellStart"/>
      <w:r w:rsidR="0073666E" w:rsidRPr="0073666E">
        <w:rPr>
          <w:lang w:val="de-CH"/>
        </w:rPr>
        <w:t>suspensif</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prescription</w:t>
      </w:r>
      <w:proofErr w:type="spellEnd"/>
      <w:r w:rsidR="0073666E" w:rsidRPr="0073666E">
        <w:rPr>
          <w:lang w:val="de-CH"/>
        </w:rPr>
        <w:t xml:space="preserve"> </w:t>
      </w:r>
      <w:proofErr w:type="spellStart"/>
      <w:r w:rsidR="0073666E" w:rsidRPr="0073666E">
        <w:rPr>
          <w:lang w:val="de-CH"/>
        </w:rPr>
        <w:t>correspond</w:t>
      </w:r>
      <w:proofErr w:type="spellEnd"/>
      <w:r w:rsidR="0073666E" w:rsidRPr="0073666E">
        <w:rPr>
          <w:lang w:val="de-CH"/>
        </w:rPr>
        <w:t xml:space="preserve"> à </w:t>
      </w:r>
      <w:proofErr w:type="spellStart"/>
      <w:r w:rsidR="0073666E" w:rsidRPr="0073666E">
        <w:rPr>
          <w:lang w:val="de-CH"/>
        </w:rPr>
        <w:t>l’art</w:t>
      </w:r>
      <w:proofErr w:type="spellEnd"/>
      <w:r w:rsidR="0073666E" w:rsidRPr="0073666E">
        <w:rPr>
          <w:lang w:val="de-CH"/>
        </w:rPr>
        <w:t xml:space="preserve">. 14 du </w:t>
      </w:r>
      <w:r w:rsidR="00D94D41" w:rsidRPr="0073666E">
        <w:rPr>
          <w:lang w:val="de-CH"/>
        </w:rPr>
        <w:t xml:space="preserve">Code </w:t>
      </w:r>
      <w:proofErr w:type="spellStart"/>
      <w:r w:rsidR="0073666E" w:rsidRPr="0073666E">
        <w:rPr>
          <w:lang w:val="de-CH"/>
        </w:rPr>
        <w:t>frontières</w:t>
      </w:r>
      <w:proofErr w:type="spellEnd"/>
      <w:r w:rsidR="0073666E" w:rsidRPr="0073666E">
        <w:rPr>
          <w:lang w:val="de-CH"/>
        </w:rPr>
        <w:t xml:space="preserve"> Schengen,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constitue</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développement</w:t>
      </w:r>
      <w:proofErr w:type="spellEnd"/>
      <w:r w:rsidR="0073666E" w:rsidRPr="0073666E">
        <w:rPr>
          <w:lang w:val="de-CH"/>
        </w:rPr>
        <w:t xml:space="preserve"> de </w:t>
      </w:r>
      <w:proofErr w:type="spellStart"/>
      <w:r w:rsidR="0073666E" w:rsidRPr="0073666E">
        <w:rPr>
          <w:lang w:val="de-CH"/>
        </w:rPr>
        <w:t>l’acquis</w:t>
      </w:r>
      <w:proofErr w:type="spellEnd"/>
      <w:r w:rsidR="0073666E" w:rsidRPr="0073666E">
        <w:rPr>
          <w:lang w:val="de-CH"/>
        </w:rPr>
        <w:t xml:space="preserve"> de Schengen. </w:t>
      </w:r>
      <w:r w:rsidR="0073666E" w:rsidRPr="0073666E">
        <w:t xml:space="preserve">En outre, les agents de contrôle des frontières suivent les recommandations du </w:t>
      </w:r>
      <w:proofErr w:type="spellStart"/>
      <w:r w:rsidR="0073666E" w:rsidRPr="0073666E">
        <w:t>Haut Commissariat</w:t>
      </w:r>
      <w:proofErr w:type="spellEnd"/>
      <w:r w:rsidR="0073666E" w:rsidRPr="0073666E">
        <w:t xml:space="preserve"> des Nations Unies aux droits de l</w:t>
      </w:r>
      <w:r w:rsidR="00A27519">
        <w:t>’</w:t>
      </w:r>
      <w:r w:rsidR="0073666E" w:rsidRPr="0073666E">
        <w:t xml:space="preserve">homme, qui sont explicitement mentionnées dans les directives internes.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dispositions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w:t>
      </w:r>
      <w:proofErr w:type="spellStart"/>
      <w:r w:rsidR="0073666E" w:rsidRPr="0073666E">
        <w:rPr>
          <w:lang w:val="de-CH"/>
        </w:rPr>
        <w:t>dépôt</w:t>
      </w:r>
      <w:proofErr w:type="spellEnd"/>
      <w:r w:rsidR="0073666E" w:rsidRPr="0073666E">
        <w:rPr>
          <w:lang w:val="de-CH"/>
        </w:rPr>
        <w:t xml:space="preserve"> </w:t>
      </w:r>
      <w:proofErr w:type="spellStart"/>
      <w:r w:rsidR="0073666E" w:rsidRPr="0073666E">
        <w:rPr>
          <w:lang w:val="de-CH"/>
        </w:rPr>
        <w:t>d</w:t>
      </w:r>
      <w:r w:rsidR="00A27519">
        <w:rPr>
          <w:lang w:val="de-CH"/>
        </w:rPr>
        <w:t>’</w:t>
      </w:r>
      <w:r w:rsidR="0073666E" w:rsidRPr="0073666E">
        <w:rPr>
          <w:lang w:val="de-CH"/>
        </w:rPr>
        <w:t>une</w:t>
      </w:r>
      <w:proofErr w:type="spellEnd"/>
      <w:r w:rsidR="0073666E" w:rsidRPr="0073666E">
        <w:rPr>
          <w:lang w:val="de-CH"/>
        </w:rPr>
        <w:t xml:space="preserve"> </w:t>
      </w:r>
      <w:proofErr w:type="spellStart"/>
      <w:r w:rsidR="0073666E" w:rsidRPr="0073666E">
        <w:rPr>
          <w:lang w:val="de-CH"/>
        </w:rPr>
        <w:t>demande</w:t>
      </w:r>
      <w:proofErr w:type="spellEnd"/>
      <w:r w:rsidR="0073666E" w:rsidRPr="0073666E">
        <w:rPr>
          <w:lang w:val="de-CH"/>
        </w:rPr>
        <w:t xml:space="preserve"> </w:t>
      </w:r>
      <w:proofErr w:type="spellStart"/>
      <w:r w:rsidR="0073666E" w:rsidRPr="0073666E">
        <w:rPr>
          <w:lang w:val="de-CH"/>
        </w:rPr>
        <w:t>d</w:t>
      </w:r>
      <w:r w:rsidR="00A27519">
        <w:rPr>
          <w:lang w:val="de-CH"/>
        </w:rPr>
        <w:t>’</w:t>
      </w:r>
      <w:r w:rsidR="0073666E" w:rsidRPr="0073666E">
        <w:rPr>
          <w:lang w:val="de-CH"/>
        </w:rPr>
        <w:t>asile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réservées</w:t>
      </w:r>
      <w:proofErr w:type="spellEnd"/>
      <w:r w:rsidR="0073666E" w:rsidRPr="0073666E">
        <w:rPr>
          <w:lang w:val="de-CH"/>
        </w:rPr>
        <w:t xml:space="preserve">. </w:t>
      </w:r>
      <w:r w:rsidR="0073666E" w:rsidRPr="0073666E">
        <w:t>Si un étranger dans le cadre du droit d</w:t>
      </w:r>
      <w:r w:rsidR="00A27519">
        <w:t>’</w:t>
      </w:r>
      <w:r w:rsidR="0073666E" w:rsidRPr="0073666E">
        <w:t>être entendu accordé avant de prononcer une injonction en vertu de l</w:t>
      </w:r>
      <w:r w:rsidR="00A27519">
        <w:t>’</w:t>
      </w:r>
      <w:r w:rsidR="0073666E" w:rsidRPr="0073666E">
        <w:t>article 65 AIG indique qu</w:t>
      </w:r>
      <w:r w:rsidR="00A27519">
        <w:t>’</w:t>
      </w:r>
      <w:r w:rsidR="0073666E" w:rsidRPr="0073666E">
        <w:t>il cherche à être protégé contre la persécution en Suisse, cette déclaration est considérée comme demande d</w:t>
      </w:r>
      <w:r w:rsidR="00A27519">
        <w:t>’</w:t>
      </w:r>
      <w:r w:rsidR="0073666E" w:rsidRPr="0073666E">
        <w:t>asile en vertu de l</w:t>
      </w:r>
      <w:r w:rsidR="00A27519">
        <w:t>’</w:t>
      </w:r>
      <w:r w:rsidR="0073666E" w:rsidRPr="0073666E">
        <w:t xml:space="preserve">article 18 </w:t>
      </w:r>
      <w:proofErr w:type="spellStart"/>
      <w:r w:rsidR="0073666E" w:rsidRPr="0073666E">
        <w:t>AsylG</w:t>
      </w:r>
      <w:proofErr w:type="spellEnd"/>
      <w:r w:rsidR="0073666E" w:rsidRPr="0073666E">
        <w:t xml:space="preserve"> et fait l’objet d’un examen plus détaillé dans le cadre de la procédure d’asile.</w:t>
      </w:r>
    </w:p>
    <w:p w14:paraId="0CF0F09E" w14:textId="77777777" w:rsidR="0073666E" w:rsidRPr="0073666E" w:rsidRDefault="00F5509B" w:rsidP="00F5509B">
      <w:pPr>
        <w:pStyle w:val="SingleTxtG"/>
        <w:rPr>
          <w:lang w:val="de-CH"/>
        </w:rPr>
      </w:pPr>
      <w:r>
        <w:rPr>
          <w:lang w:val="de-CH"/>
        </w:rPr>
        <w:t>56.</w:t>
      </w:r>
      <w:r>
        <w:rPr>
          <w:lang w:val="de-CH"/>
        </w:rPr>
        <w:tab/>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personnes</w:t>
      </w:r>
      <w:proofErr w:type="spellEnd"/>
      <w:r w:rsidR="0073666E" w:rsidRPr="0073666E">
        <w:rPr>
          <w:lang w:val="de-CH"/>
        </w:rPr>
        <w:t xml:space="preserve">, à </w:t>
      </w:r>
      <w:proofErr w:type="spellStart"/>
      <w:r w:rsidR="0073666E" w:rsidRPr="0073666E">
        <w:rPr>
          <w:lang w:val="de-CH"/>
        </w:rPr>
        <w:t>l’encontre</w:t>
      </w:r>
      <w:proofErr w:type="spellEnd"/>
      <w:r w:rsidR="0073666E" w:rsidRPr="0073666E">
        <w:rPr>
          <w:lang w:val="de-CH"/>
        </w:rPr>
        <w:t xml:space="preserve"> </w:t>
      </w:r>
      <w:proofErr w:type="spellStart"/>
      <w:r w:rsidR="0073666E" w:rsidRPr="0073666E">
        <w:rPr>
          <w:lang w:val="de-CH"/>
        </w:rPr>
        <w:t>desquelles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d’expulsion</w:t>
      </w:r>
      <w:proofErr w:type="spellEnd"/>
      <w:r w:rsidR="0073666E" w:rsidRPr="0073666E">
        <w:rPr>
          <w:lang w:val="de-CH"/>
        </w:rPr>
        <w:t xml:space="preserve"> </w:t>
      </w:r>
      <w:proofErr w:type="spellStart"/>
      <w:r w:rsidR="0073666E" w:rsidRPr="0073666E">
        <w:rPr>
          <w:lang w:val="de-CH"/>
        </w:rPr>
        <w:t>selon</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68 LEI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rendue</w:t>
      </w:r>
      <w:proofErr w:type="spellEnd"/>
      <w:r w:rsidR="0073666E" w:rsidRPr="0073666E">
        <w:rPr>
          <w:lang w:val="de-CH"/>
        </w:rPr>
        <w:t xml:space="preserve">, </w:t>
      </w:r>
      <w:proofErr w:type="spellStart"/>
      <w:r w:rsidR="0073666E" w:rsidRPr="0073666E">
        <w:rPr>
          <w:lang w:val="de-CH"/>
        </w:rPr>
        <w:t>peuvent</w:t>
      </w:r>
      <w:proofErr w:type="spellEnd"/>
      <w:r w:rsidR="0073666E" w:rsidRPr="0073666E">
        <w:rPr>
          <w:lang w:val="de-CH"/>
        </w:rPr>
        <w:t xml:space="preserve"> </w:t>
      </w:r>
      <w:proofErr w:type="spellStart"/>
      <w:r w:rsidR="0073666E" w:rsidRPr="0073666E">
        <w:rPr>
          <w:lang w:val="de-CH"/>
        </w:rPr>
        <w:t>recourir</w:t>
      </w:r>
      <w:proofErr w:type="spellEnd"/>
      <w:r w:rsidR="0073666E" w:rsidRPr="0073666E">
        <w:rPr>
          <w:lang w:val="de-CH"/>
        </w:rPr>
        <w:t xml:space="preserve"> </w:t>
      </w:r>
      <w:proofErr w:type="spellStart"/>
      <w:r w:rsidR="0073666E" w:rsidRPr="0073666E">
        <w:rPr>
          <w:lang w:val="de-CH"/>
        </w:rPr>
        <w:t>auprès</w:t>
      </w:r>
      <w:proofErr w:type="spellEnd"/>
      <w:r w:rsidR="0073666E" w:rsidRPr="0073666E">
        <w:rPr>
          <w:lang w:val="de-CH"/>
        </w:rPr>
        <w:t xml:space="preserve"> de </w:t>
      </w:r>
      <w:proofErr w:type="spellStart"/>
      <w:r w:rsidR="0073666E" w:rsidRPr="0073666E">
        <w:rPr>
          <w:lang w:val="de-CH"/>
        </w:rPr>
        <w:t>l’instance</w:t>
      </w:r>
      <w:proofErr w:type="spellEnd"/>
      <w:r w:rsidR="0073666E" w:rsidRPr="0073666E">
        <w:rPr>
          <w:lang w:val="de-CH"/>
        </w:rPr>
        <w:t xml:space="preserve"> </w:t>
      </w:r>
      <w:proofErr w:type="spellStart"/>
      <w:r w:rsidR="0073666E" w:rsidRPr="0073666E">
        <w:rPr>
          <w:lang w:val="de-CH"/>
        </w:rPr>
        <w:t>compétente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conditions</w:t>
      </w:r>
      <w:proofErr w:type="spellEnd"/>
      <w:r w:rsidR="0073666E" w:rsidRPr="0073666E">
        <w:rPr>
          <w:lang w:val="de-CH"/>
        </w:rPr>
        <w:t xml:space="preserve"> de non-refoulement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systématiquement</w:t>
      </w:r>
      <w:proofErr w:type="spellEnd"/>
      <w:r w:rsidR="0073666E" w:rsidRPr="0073666E">
        <w:rPr>
          <w:lang w:val="de-CH"/>
        </w:rPr>
        <w:t xml:space="preserve"> </w:t>
      </w:r>
      <w:proofErr w:type="spellStart"/>
      <w:r w:rsidR="0073666E" w:rsidRPr="0073666E">
        <w:rPr>
          <w:lang w:val="de-CH"/>
        </w:rPr>
        <w:t>examinées</w:t>
      </w:r>
      <w:proofErr w:type="spellEnd"/>
      <w:r w:rsidR="0073666E" w:rsidRPr="0073666E">
        <w:rPr>
          <w:lang w:val="de-CH"/>
        </w:rPr>
        <w:t xml:space="preserve"> en </w:t>
      </w:r>
      <w:proofErr w:type="spellStart"/>
      <w:r w:rsidR="0073666E" w:rsidRPr="0073666E">
        <w:rPr>
          <w:lang w:val="de-CH"/>
        </w:rPr>
        <w:t>collaboration</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le SEM, </w:t>
      </w:r>
      <w:proofErr w:type="spellStart"/>
      <w:r w:rsidR="0073666E" w:rsidRPr="0073666E">
        <w:rPr>
          <w:lang w:val="de-CH"/>
        </w:rPr>
        <w:t>s’il</w:t>
      </w:r>
      <w:proofErr w:type="spellEnd"/>
      <w:r w:rsidR="0073666E" w:rsidRPr="0073666E">
        <w:rPr>
          <w:lang w:val="de-CH"/>
        </w:rPr>
        <w:t xml:space="preserve"> </w:t>
      </w:r>
      <w:proofErr w:type="spellStart"/>
      <w:r w:rsidR="0073666E" w:rsidRPr="0073666E">
        <w:rPr>
          <w:lang w:val="de-CH"/>
        </w:rPr>
        <w:t>ressort</w:t>
      </w:r>
      <w:proofErr w:type="spellEnd"/>
      <w:r w:rsidR="0073666E" w:rsidRPr="0073666E">
        <w:rPr>
          <w:lang w:val="de-CH"/>
        </w:rPr>
        <w:t xml:space="preserve"> du dossier </w:t>
      </w:r>
      <w:proofErr w:type="spellStart"/>
      <w:r w:rsidR="0073666E" w:rsidRPr="0073666E">
        <w:rPr>
          <w:lang w:val="de-CH"/>
        </w:rPr>
        <w:t>que</w:t>
      </w:r>
      <w:proofErr w:type="spellEnd"/>
      <w:r w:rsidR="0073666E" w:rsidRPr="0073666E">
        <w:rPr>
          <w:lang w:val="de-CH"/>
        </w:rPr>
        <w:t xml:space="preserve"> des </w:t>
      </w:r>
      <w:proofErr w:type="spellStart"/>
      <w:r w:rsidR="0073666E" w:rsidRPr="0073666E">
        <w:rPr>
          <w:lang w:val="de-CH"/>
        </w:rPr>
        <w:t>motifs</w:t>
      </w:r>
      <w:proofErr w:type="spellEnd"/>
      <w:r w:rsidR="0073666E" w:rsidRPr="0073666E">
        <w:rPr>
          <w:lang w:val="de-CH"/>
        </w:rPr>
        <w:t xml:space="preserve"> </w:t>
      </w:r>
      <w:proofErr w:type="spellStart"/>
      <w:r w:rsidR="0073666E" w:rsidRPr="0073666E">
        <w:rPr>
          <w:lang w:val="de-CH"/>
        </w:rPr>
        <w:t>empêchant</w:t>
      </w:r>
      <w:proofErr w:type="spellEnd"/>
      <w:r w:rsidR="0073666E" w:rsidRPr="0073666E">
        <w:rPr>
          <w:lang w:val="de-CH"/>
        </w:rPr>
        <w:t xml:space="preserve"> </w:t>
      </w:r>
      <w:proofErr w:type="spellStart"/>
      <w:r w:rsidR="0073666E" w:rsidRPr="0073666E">
        <w:rPr>
          <w:lang w:val="de-CH"/>
        </w:rPr>
        <w:t>l’exécution</w:t>
      </w:r>
      <w:proofErr w:type="spellEnd"/>
      <w:r w:rsidR="0073666E" w:rsidRPr="0073666E">
        <w:rPr>
          <w:lang w:val="de-CH"/>
        </w:rPr>
        <w:t xml:space="preserve"> de la </w:t>
      </w:r>
      <w:proofErr w:type="spellStart"/>
      <w:r w:rsidR="0073666E" w:rsidRPr="0073666E">
        <w:rPr>
          <w:lang w:val="de-CH"/>
        </w:rPr>
        <w:t>décision</w:t>
      </w:r>
      <w:proofErr w:type="spellEnd"/>
      <w:r w:rsidR="0073666E" w:rsidRPr="0073666E">
        <w:rPr>
          <w:lang w:val="de-CH"/>
        </w:rPr>
        <w:t xml:space="preserve"> existent et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l’intéressé</w:t>
      </w:r>
      <w:proofErr w:type="spellEnd"/>
      <w:r w:rsidR="0073666E" w:rsidRPr="0073666E">
        <w:rPr>
          <w:lang w:val="de-CH"/>
        </w:rPr>
        <w:t xml:space="preserve"> </w:t>
      </w:r>
      <w:proofErr w:type="spellStart"/>
      <w:r w:rsidR="0073666E" w:rsidRPr="0073666E">
        <w:rPr>
          <w:lang w:val="de-CH"/>
        </w:rPr>
        <w:t>pourrait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soumis</w:t>
      </w:r>
      <w:proofErr w:type="spellEnd"/>
      <w:r w:rsidR="0073666E" w:rsidRPr="0073666E">
        <w:rPr>
          <w:lang w:val="de-CH"/>
        </w:rPr>
        <w:t xml:space="preserve"> à des </w:t>
      </w:r>
      <w:proofErr w:type="spellStart"/>
      <w:r w:rsidR="0073666E" w:rsidRPr="0073666E">
        <w:rPr>
          <w:lang w:val="de-CH"/>
        </w:rPr>
        <w:t>traitements</w:t>
      </w:r>
      <w:proofErr w:type="spellEnd"/>
      <w:r w:rsidR="0073666E" w:rsidRPr="0073666E">
        <w:rPr>
          <w:lang w:val="de-CH"/>
        </w:rPr>
        <w:t xml:space="preserve"> </w:t>
      </w:r>
      <w:proofErr w:type="spellStart"/>
      <w:r w:rsidR="0073666E" w:rsidRPr="0073666E">
        <w:rPr>
          <w:lang w:val="de-CH"/>
        </w:rPr>
        <w:t>inhumains</w:t>
      </w:r>
      <w:proofErr w:type="spellEnd"/>
      <w:r w:rsidR="0073666E" w:rsidRPr="0073666E">
        <w:rPr>
          <w:lang w:val="de-CH"/>
        </w:rPr>
        <w:t xml:space="preserve"> et </w:t>
      </w:r>
      <w:proofErr w:type="spellStart"/>
      <w:r w:rsidR="0073666E" w:rsidRPr="0073666E">
        <w:rPr>
          <w:lang w:val="de-CH"/>
        </w:rPr>
        <w:t>dégradants</w:t>
      </w:r>
      <w:proofErr w:type="spellEnd"/>
      <w:r w:rsidR="0073666E" w:rsidRPr="0073666E">
        <w:rPr>
          <w:lang w:val="de-CH"/>
        </w:rPr>
        <w:t xml:space="preserve"> à </w:t>
      </w:r>
      <w:proofErr w:type="spellStart"/>
      <w:r w:rsidR="0073666E" w:rsidRPr="0073666E">
        <w:rPr>
          <w:lang w:val="de-CH"/>
        </w:rPr>
        <w:t>son</w:t>
      </w:r>
      <w:proofErr w:type="spellEnd"/>
      <w:r w:rsidR="0073666E" w:rsidRPr="0073666E">
        <w:rPr>
          <w:lang w:val="de-CH"/>
        </w:rPr>
        <w:t xml:space="preserve"> retour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pays</w:t>
      </w:r>
      <w:proofErr w:type="spellEnd"/>
      <w:r w:rsidR="0073666E" w:rsidRPr="0073666E">
        <w:rPr>
          <w:lang w:val="de-CH"/>
        </w:rPr>
        <w:t xml:space="preserve"> de </w:t>
      </w:r>
      <w:proofErr w:type="spellStart"/>
      <w:r w:rsidR="0073666E" w:rsidRPr="0073666E">
        <w:rPr>
          <w:lang w:val="de-CH"/>
        </w:rPr>
        <w:t>destination</w:t>
      </w:r>
      <w:proofErr w:type="spellEnd"/>
      <w:r w:rsidR="0073666E" w:rsidRPr="0073666E">
        <w:rPr>
          <w:lang w:val="de-CH"/>
        </w:rPr>
        <w:t xml:space="preserve">. En </w:t>
      </w:r>
      <w:proofErr w:type="spellStart"/>
      <w:r w:rsidR="0073666E" w:rsidRPr="0073666E">
        <w:rPr>
          <w:lang w:val="de-CH"/>
        </w:rPr>
        <w:t>présence</w:t>
      </w:r>
      <w:proofErr w:type="spellEnd"/>
      <w:r w:rsidR="0073666E" w:rsidRPr="0073666E">
        <w:rPr>
          <w:lang w:val="de-CH"/>
        </w:rPr>
        <w:t xml:space="preserve"> de </w:t>
      </w:r>
      <w:proofErr w:type="spellStart"/>
      <w:r w:rsidR="0073666E" w:rsidRPr="0073666E">
        <w:rPr>
          <w:lang w:val="de-CH"/>
        </w:rPr>
        <w:t>tels</w:t>
      </w:r>
      <w:proofErr w:type="spellEnd"/>
      <w:r w:rsidR="0073666E" w:rsidRPr="0073666E">
        <w:rPr>
          <w:lang w:val="de-CH"/>
        </w:rPr>
        <w:t xml:space="preserve"> </w:t>
      </w:r>
      <w:proofErr w:type="spellStart"/>
      <w:r w:rsidR="0073666E" w:rsidRPr="0073666E">
        <w:rPr>
          <w:lang w:val="de-CH"/>
        </w:rPr>
        <w:t>motifs</w:t>
      </w:r>
      <w:proofErr w:type="spellEnd"/>
      <w:r w:rsidR="0073666E" w:rsidRPr="0073666E">
        <w:rPr>
          <w:lang w:val="de-CH"/>
        </w:rPr>
        <w:t xml:space="preserve">, la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d’expulsion</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rendue</w:t>
      </w:r>
      <w:proofErr w:type="spellEnd"/>
      <w:r w:rsidR="0073666E" w:rsidRPr="0073666E">
        <w:rPr>
          <w:lang w:val="de-CH"/>
        </w:rPr>
        <w:t xml:space="preserve"> </w:t>
      </w:r>
      <w:proofErr w:type="spellStart"/>
      <w:r w:rsidR="0073666E" w:rsidRPr="0073666E">
        <w:rPr>
          <w:lang w:val="de-CH"/>
        </w:rPr>
        <w:t>mais</w:t>
      </w:r>
      <w:proofErr w:type="spellEnd"/>
      <w:r w:rsidR="0073666E" w:rsidRPr="0073666E">
        <w:rPr>
          <w:lang w:val="de-CH"/>
        </w:rPr>
        <w:t xml:space="preserv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exécution</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suspendue</w:t>
      </w:r>
      <w:proofErr w:type="spellEnd"/>
      <w:r w:rsidR="0073666E" w:rsidRPr="0073666E">
        <w:rPr>
          <w:lang w:val="de-CH"/>
        </w:rPr>
        <w:t>.</w:t>
      </w:r>
    </w:p>
    <w:p w14:paraId="124BA003" w14:textId="77777777" w:rsidR="0073666E" w:rsidRPr="0073666E" w:rsidRDefault="006A52DE" w:rsidP="00F5509B">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9</w:t>
      </w:r>
    </w:p>
    <w:p w14:paraId="7A4658EB" w14:textId="77777777" w:rsidR="0073666E" w:rsidRPr="00F5509B" w:rsidRDefault="00F5509B" w:rsidP="00F5509B">
      <w:pPr>
        <w:pStyle w:val="SingleTxtG"/>
      </w:pPr>
      <w:r>
        <w:rPr>
          <w:lang w:val="de-CH"/>
        </w:rPr>
        <w:t>57.</w:t>
      </w:r>
      <w:r>
        <w:rPr>
          <w:lang w:val="de-CH"/>
        </w:rPr>
        <w:tab/>
      </w:r>
      <w:r w:rsidR="0073666E" w:rsidRPr="0073666E">
        <w:rPr>
          <w:lang w:val="de-CH"/>
        </w:rPr>
        <w:t xml:space="preserve">Le SEM </w:t>
      </w:r>
      <w:proofErr w:type="spellStart"/>
      <w:r w:rsidR="0073666E" w:rsidRPr="0073666E">
        <w:rPr>
          <w:lang w:val="de-CH"/>
        </w:rPr>
        <w:t>examine</w:t>
      </w:r>
      <w:proofErr w:type="spellEnd"/>
      <w:r w:rsidR="0073666E" w:rsidRPr="0073666E">
        <w:rPr>
          <w:lang w:val="de-CH"/>
        </w:rPr>
        <w:t xml:space="preserve"> </w:t>
      </w:r>
      <w:proofErr w:type="spellStart"/>
      <w:r w:rsidR="0073666E" w:rsidRPr="0073666E">
        <w:rPr>
          <w:lang w:val="de-CH"/>
        </w:rPr>
        <w:t>soigneusement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circonstances</w:t>
      </w:r>
      <w:proofErr w:type="spellEnd"/>
      <w:r w:rsidR="0073666E" w:rsidRPr="0073666E">
        <w:rPr>
          <w:lang w:val="de-CH"/>
        </w:rPr>
        <w:t xml:space="preserve"> </w:t>
      </w:r>
      <w:proofErr w:type="spellStart"/>
      <w:r w:rsidR="0073666E" w:rsidRPr="0073666E">
        <w:rPr>
          <w:lang w:val="de-CH"/>
        </w:rPr>
        <w:t>concrètes</w:t>
      </w:r>
      <w:proofErr w:type="spellEnd"/>
      <w:r w:rsidR="0073666E" w:rsidRPr="0073666E">
        <w:rPr>
          <w:lang w:val="de-CH"/>
        </w:rPr>
        <w:t xml:space="preserve"> </w:t>
      </w:r>
      <w:proofErr w:type="spellStart"/>
      <w:r w:rsidR="0073666E" w:rsidRPr="0073666E">
        <w:rPr>
          <w:lang w:val="de-CH"/>
        </w:rPr>
        <w:t>justifiant</w:t>
      </w:r>
      <w:proofErr w:type="spellEnd"/>
      <w:r w:rsidR="0073666E" w:rsidRPr="0073666E">
        <w:rPr>
          <w:lang w:val="de-CH"/>
        </w:rPr>
        <w:t xml:space="preserve"> la </w:t>
      </w:r>
      <w:proofErr w:type="spellStart"/>
      <w:r w:rsidR="0073666E" w:rsidRPr="0073666E">
        <w:rPr>
          <w:lang w:val="de-CH"/>
        </w:rPr>
        <w:t>demande</w:t>
      </w:r>
      <w:proofErr w:type="spellEnd"/>
      <w:r w:rsidR="0073666E" w:rsidRPr="0073666E">
        <w:rPr>
          <w:lang w:val="de-CH"/>
        </w:rPr>
        <w:t xml:space="preserve"> </w:t>
      </w:r>
      <w:proofErr w:type="spellStart"/>
      <w:r w:rsidR="0073666E" w:rsidRPr="0073666E">
        <w:rPr>
          <w:lang w:val="de-CH"/>
        </w:rPr>
        <w:t>d’asile</w:t>
      </w:r>
      <w:proofErr w:type="spellEnd"/>
      <w:r w:rsidR="0073666E" w:rsidRPr="0073666E">
        <w:rPr>
          <w:lang w:val="de-CH"/>
        </w:rPr>
        <w:t xml:space="preserve">. Il </w:t>
      </w:r>
      <w:r w:rsidR="0073666E" w:rsidRPr="00F5509B">
        <w:t>tient compte ce faisant de la situation personnelle du requérant, des conditions régnant dans l’</w:t>
      </w:r>
      <w:r w:rsidR="00D94D41">
        <w:t>État</w:t>
      </w:r>
      <w:r w:rsidR="0073666E" w:rsidRPr="00F5509B">
        <w:t xml:space="preserve"> Dublin compétent et, le cas échéant, de la clause de souveraineté.</w:t>
      </w:r>
    </w:p>
    <w:p w14:paraId="77CE3AA9" w14:textId="77777777" w:rsidR="0073666E" w:rsidRPr="00F5509B" w:rsidRDefault="00F5509B" w:rsidP="00F5509B">
      <w:pPr>
        <w:pStyle w:val="SingleTxtG"/>
      </w:pPr>
      <w:r>
        <w:t>58.</w:t>
      </w:r>
      <w:r>
        <w:tab/>
      </w:r>
      <w:r w:rsidR="0073666E" w:rsidRPr="00F5509B">
        <w:t xml:space="preserve">Les </w:t>
      </w:r>
      <w:r w:rsidR="00D94D41">
        <w:t>État</w:t>
      </w:r>
      <w:r w:rsidR="0073666E" w:rsidRPr="00F5509B">
        <w:t xml:space="preserve">s Dublin ont pour la plupart mis en œuvre les directives 2013/32/UE (procédures), 2011/95/UE (qualification) et 2013/33/UE (accueil). Tous les </w:t>
      </w:r>
      <w:r w:rsidR="00D94D41">
        <w:t>État</w:t>
      </w:r>
      <w:r w:rsidR="0073666E" w:rsidRPr="00F5509B">
        <w:t xml:space="preserve">s Dublin sont signataires aussi bien de la Convention du 28 juillet 1951 relative au statut des réfugiés, complétée par le Protocole du 31 janvier 1967 relatif au statut des réfugiés, que de la CEDH, qui consacre le principe de non-refoulement. Il n’y a aucune raison de penser que les </w:t>
      </w:r>
      <w:r w:rsidR="00D94D41">
        <w:t>État</w:t>
      </w:r>
      <w:r w:rsidR="0073666E" w:rsidRPr="00F5509B">
        <w:t>s Dublin ne s’en tiennent pas à leurs engagements internationaux et n’exécutent pas correctement les procédures d’asile et de renvoi.</w:t>
      </w:r>
    </w:p>
    <w:p w14:paraId="3DAD5902" w14:textId="77777777" w:rsidR="0073666E" w:rsidRPr="0073666E" w:rsidRDefault="00F5509B" w:rsidP="00F5509B">
      <w:pPr>
        <w:pStyle w:val="SingleTxtG"/>
        <w:rPr>
          <w:lang w:val="de-CH"/>
        </w:rPr>
      </w:pPr>
      <w:r>
        <w:t>59.</w:t>
      </w:r>
      <w:r>
        <w:tab/>
      </w:r>
      <w:r w:rsidR="0073666E" w:rsidRPr="00F5509B">
        <w:t>Le Tribunal administratif fédéral a énoncé dans un arrêt de principe</w:t>
      </w:r>
      <w:r w:rsidR="0073666E" w:rsidRPr="009E1FD5">
        <w:rPr>
          <w:rStyle w:val="Appelnotedebasdep"/>
        </w:rPr>
        <w:footnoteReference w:id="24"/>
      </w:r>
      <w:r w:rsidR="0073666E" w:rsidRPr="00F5509B">
        <w:t xml:space="preserve"> concernant la Grèce </w:t>
      </w:r>
      <w:proofErr w:type="spellStart"/>
      <w:r w:rsidR="0073666E" w:rsidRPr="00F5509B">
        <w:rPr>
          <w:lang w:val="de-CH"/>
        </w:rPr>
        <w:t>que</w:t>
      </w:r>
      <w:proofErr w:type="spellEnd"/>
      <w:r w:rsidR="0073666E" w:rsidRPr="0073666E">
        <w:t xml:space="preserve"> les problèmes systématiques constatés dans le domaine de l’asile ne permettaient plus de présumer qu’elle tient ses engagements internationaux.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procédures</w:t>
      </w:r>
      <w:proofErr w:type="spellEnd"/>
      <w:r w:rsidR="0073666E" w:rsidRPr="0073666E">
        <w:rPr>
          <w:lang w:val="de-CH"/>
        </w:rPr>
        <w:t xml:space="preserve"> Dublin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réadmission</w:t>
      </w:r>
      <w:proofErr w:type="spellEnd"/>
      <w:r w:rsidR="0073666E" w:rsidRPr="0073666E">
        <w:rPr>
          <w:lang w:val="de-CH"/>
        </w:rPr>
        <w:t xml:space="preserve"> ne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donc</w:t>
      </w:r>
      <w:proofErr w:type="spellEnd"/>
      <w:r w:rsidR="0073666E" w:rsidRPr="0073666E">
        <w:rPr>
          <w:lang w:val="de-CH"/>
        </w:rPr>
        <w:t xml:space="preserve"> </w:t>
      </w:r>
      <w:proofErr w:type="spellStart"/>
      <w:r w:rsidR="0073666E" w:rsidRPr="0073666E">
        <w:rPr>
          <w:lang w:val="de-CH"/>
        </w:rPr>
        <w:t>exécutées</w:t>
      </w:r>
      <w:proofErr w:type="spellEnd"/>
      <w:r w:rsidR="0073666E" w:rsidRPr="0073666E">
        <w:rPr>
          <w:lang w:val="de-CH"/>
        </w:rPr>
        <w:t xml:space="preserve"> </w:t>
      </w:r>
      <w:proofErr w:type="spellStart"/>
      <w:r w:rsidR="0073666E" w:rsidRPr="0073666E">
        <w:rPr>
          <w:lang w:val="de-CH"/>
        </w:rPr>
        <w:t>qu’exceptionnellement</w:t>
      </w:r>
      <w:proofErr w:type="spellEnd"/>
      <w:r w:rsidR="0073666E" w:rsidRPr="0073666E">
        <w:rPr>
          <w:lang w:val="de-CH"/>
        </w:rPr>
        <w:t xml:space="preserve"> par la Suisse </w:t>
      </w:r>
      <w:proofErr w:type="spellStart"/>
      <w:r w:rsidR="0073666E" w:rsidRPr="0073666E">
        <w:rPr>
          <w:lang w:val="de-CH"/>
        </w:rPr>
        <w:t>quand</w:t>
      </w:r>
      <w:proofErr w:type="spellEnd"/>
      <w:r w:rsidR="0073666E" w:rsidRPr="0073666E">
        <w:rPr>
          <w:lang w:val="de-CH"/>
        </w:rPr>
        <w:t xml:space="preserv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concernée</w:t>
      </w:r>
      <w:proofErr w:type="spellEnd"/>
      <w:r w:rsidR="0073666E" w:rsidRPr="0073666E">
        <w:rPr>
          <w:lang w:val="de-CH"/>
        </w:rPr>
        <w:t xml:space="preserve"> </w:t>
      </w:r>
      <w:proofErr w:type="spellStart"/>
      <w:r w:rsidR="0073666E" w:rsidRPr="0073666E">
        <w:rPr>
          <w:lang w:val="de-CH"/>
        </w:rPr>
        <w:t>possède</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statut</w:t>
      </w:r>
      <w:proofErr w:type="spellEnd"/>
      <w:r w:rsidR="0073666E" w:rsidRPr="0073666E">
        <w:rPr>
          <w:lang w:val="de-CH"/>
        </w:rPr>
        <w:t xml:space="preserve"> de </w:t>
      </w:r>
      <w:proofErr w:type="spellStart"/>
      <w:r w:rsidR="0073666E" w:rsidRPr="0073666E">
        <w:rPr>
          <w:lang w:val="de-CH"/>
        </w:rPr>
        <w:t>séjour</w:t>
      </w:r>
      <w:proofErr w:type="spellEnd"/>
      <w:r w:rsidR="0073666E" w:rsidRPr="0073666E">
        <w:rPr>
          <w:lang w:val="de-CH"/>
        </w:rPr>
        <w:t xml:space="preserve"> en </w:t>
      </w:r>
      <w:proofErr w:type="spellStart"/>
      <w:r w:rsidR="0073666E" w:rsidRPr="0073666E">
        <w:rPr>
          <w:lang w:val="de-CH"/>
        </w:rPr>
        <w:t>Grèce</w:t>
      </w:r>
      <w:proofErr w:type="spellEnd"/>
      <w:r w:rsidR="0073666E" w:rsidRPr="0073666E">
        <w:rPr>
          <w:lang w:val="de-CH"/>
        </w:rPr>
        <w:t xml:space="preserve">. Par </w:t>
      </w:r>
      <w:proofErr w:type="spellStart"/>
      <w:r w:rsidR="0073666E" w:rsidRPr="0073666E">
        <w:rPr>
          <w:lang w:val="de-CH"/>
        </w:rPr>
        <w:t>ailleurs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familles</w:t>
      </w:r>
      <w:proofErr w:type="spellEnd"/>
      <w:r w:rsidR="0073666E" w:rsidRPr="0073666E">
        <w:rPr>
          <w:lang w:val="de-CH"/>
        </w:rPr>
        <w:t xml:space="preserve"> ne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transférées</w:t>
      </w:r>
      <w:proofErr w:type="spellEnd"/>
      <w:r w:rsidR="0073666E" w:rsidRPr="0073666E">
        <w:rPr>
          <w:lang w:val="de-CH"/>
        </w:rPr>
        <w:t xml:space="preserve"> en </w:t>
      </w:r>
      <w:proofErr w:type="spellStart"/>
      <w:r w:rsidR="0073666E" w:rsidRPr="0073666E">
        <w:rPr>
          <w:lang w:val="de-CH"/>
        </w:rPr>
        <w:t>Italie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lorsqu’il</w:t>
      </w:r>
      <w:proofErr w:type="spellEnd"/>
      <w:r w:rsidR="0073666E" w:rsidRPr="0073666E">
        <w:rPr>
          <w:lang w:val="de-CH"/>
        </w:rPr>
        <w:t xml:space="preserve"> </w:t>
      </w:r>
      <w:proofErr w:type="spellStart"/>
      <w:r w:rsidR="0073666E" w:rsidRPr="0073666E">
        <w:rPr>
          <w:lang w:val="de-CH"/>
        </w:rPr>
        <w:t>existe</w:t>
      </w:r>
      <w:proofErr w:type="spellEnd"/>
      <w:r w:rsidR="0073666E" w:rsidRPr="0073666E">
        <w:rPr>
          <w:lang w:val="de-CH"/>
        </w:rPr>
        <w:t xml:space="preserve"> des </w:t>
      </w:r>
      <w:proofErr w:type="spellStart"/>
      <w:r w:rsidR="0073666E" w:rsidRPr="0073666E">
        <w:rPr>
          <w:lang w:val="de-CH"/>
        </w:rPr>
        <w:t>garanties</w:t>
      </w:r>
      <w:proofErr w:type="spellEnd"/>
      <w:r w:rsidR="0073666E" w:rsidRPr="0073666E">
        <w:rPr>
          <w:lang w:val="de-CH"/>
        </w:rPr>
        <w:t xml:space="preserve"> individuelles, </w:t>
      </w:r>
      <w:proofErr w:type="spellStart"/>
      <w:r w:rsidR="0073666E" w:rsidRPr="0073666E">
        <w:rPr>
          <w:lang w:val="de-CH"/>
        </w:rPr>
        <w:t>conformément</w:t>
      </w:r>
      <w:proofErr w:type="spellEnd"/>
      <w:r w:rsidR="0073666E" w:rsidRPr="0073666E">
        <w:rPr>
          <w:lang w:val="de-CH"/>
        </w:rPr>
        <w:t xml:space="preserve"> à la </w:t>
      </w:r>
      <w:proofErr w:type="spellStart"/>
      <w:r w:rsidR="0073666E" w:rsidRPr="0073666E">
        <w:rPr>
          <w:lang w:val="de-CH"/>
        </w:rPr>
        <w:t>jurisprudence</w:t>
      </w:r>
      <w:proofErr w:type="spellEnd"/>
      <w:r w:rsidR="0073666E" w:rsidRPr="0073666E">
        <w:rPr>
          <w:lang w:val="de-CH"/>
        </w:rPr>
        <w:t xml:space="preserve"> de la </w:t>
      </w:r>
      <w:proofErr w:type="spellStart"/>
      <w:r w:rsidR="0073666E" w:rsidRPr="0073666E">
        <w:rPr>
          <w:lang w:val="de-CH"/>
        </w:rPr>
        <w:t>CourEDH</w:t>
      </w:r>
      <w:proofErr w:type="spellEnd"/>
      <w:r w:rsidR="0073666E" w:rsidRPr="009E1FD5">
        <w:rPr>
          <w:rStyle w:val="Appelnotedebasdep"/>
        </w:rPr>
        <w:footnoteReference w:id="25"/>
      </w:r>
      <w:r w:rsidR="0073666E" w:rsidRPr="0073666E">
        <w:rPr>
          <w:lang w:val="de-CH"/>
        </w:rPr>
        <w:t xml:space="preserve">. </w:t>
      </w:r>
    </w:p>
    <w:p w14:paraId="3E3C860E" w14:textId="77777777" w:rsidR="0073666E" w:rsidRPr="0073666E" w:rsidRDefault="00F5509B" w:rsidP="00F5509B">
      <w:pPr>
        <w:pStyle w:val="SingleTxtG"/>
      </w:pPr>
      <w:r>
        <w:t>60.</w:t>
      </w:r>
      <w:r>
        <w:tab/>
      </w:r>
      <w:r w:rsidR="0073666E" w:rsidRPr="0073666E">
        <w:t>Les personnes qui ne remplissent pas les conditions d’entrée fixées à l’art. 5 LEI, veulent seulement traverser la Suisse et n’ont pas l’intention de déposer une demande d’asile, sont réadmis en Italie par le corps des gardes-frontière de l’Administration fédéral des douanes en vertu de l’accord de réadmission du 1</w:t>
      </w:r>
      <w:r w:rsidR="0073666E" w:rsidRPr="0073666E">
        <w:rPr>
          <w:vertAlign w:val="superscript"/>
        </w:rPr>
        <w:t>er</w:t>
      </w:r>
      <w:r w:rsidR="0073666E" w:rsidRPr="0073666E">
        <w:t xml:space="preserve"> mai 2000. L’affirmation selon laquelle des personnes seraient renvoyées illégalement est donc fausse.</w:t>
      </w:r>
    </w:p>
    <w:p w14:paraId="32EFA93E" w14:textId="77777777" w:rsidR="0073666E" w:rsidRPr="0073666E" w:rsidRDefault="00F5509B" w:rsidP="00F5509B">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Pr>
          <w:lang w:val="de-CH"/>
        </w:rPr>
        <w:t xml:space="preserve">au </w:t>
      </w:r>
      <w:proofErr w:type="spellStart"/>
      <w:r>
        <w:rPr>
          <w:lang w:val="de-CH"/>
        </w:rPr>
        <w:t>paragraphe</w:t>
      </w:r>
      <w:proofErr w:type="spellEnd"/>
      <w:r>
        <w:rPr>
          <w:lang w:val="de-CH"/>
        </w:rPr>
        <w:t xml:space="preserve"> 10</w:t>
      </w:r>
    </w:p>
    <w:p w14:paraId="2F3C876A" w14:textId="77777777" w:rsidR="0073666E" w:rsidRPr="0073666E" w:rsidRDefault="00F5509B" w:rsidP="00F5509B">
      <w:pPr>
        <w:pStyle w:val="SingleTxtG"/>
        <w:rPr>
          <w:lang w:val="de-CH"/>
        </w:rPr>
      </w:pPr>
      <w:r>
        <w:t>61.</w:t>
      </w:r>
      <w:r>
        <w:tab/>
      </w:r>
      <w:r w:rsidR="0073666E" w:rsidRPr="00F5509B">
        <w:t>Concernant</w:t>
      </w:r>
      <w:r w:rsidR="0073666E" w:rsidRPr="0073666E">
        <w:rPr>
          <w:lang w:val="de-CH"/>
        </w:rPr>
        <w:t xml:space="preserve"> </w:t>
      </w:r>
      <w:proofErr w:type="spellStart"/>
      <w:r w:rsidR="0073666E" w:rsidRPr="0073666E">
        <w:rPr>
          <w:lang w:val="de-CH"/>
        </w:rPr>
        <w:t>l’assistance</w:t>
      </w:r>
      <w:proofErr w:type="spellEnd"/>
      <w:r w:rsidR="0073666E" w:rsidRPr="0073666E">
        <w:rPr>
          <w:lang w:val="de-CH"/>
        </w:rPr>
        <w:t xml:space="preserve"> </w:t>
      </w:r>
      <w:proofErr w:type="spellStart"/>
      <w:r w:rsidR="0073666E" w:rsidRPr="0073666E">
        <w:rPr>
          <w:lang w:val="de-CH"/>
        </w:rPr>
        <w:t>juridique</w:t>
      </w:r>
      <w:proofErr w:type="spellEnd"/>
      <w:r w:rsidR="0073666E" w:rsidRPr="0073666E">
        <w:rPr>
          <w:lang w:val="de-CH"/>
        </w:rPr>
        <w:t xml:space="preserve"> </w:t>
      </w:r>
      <w:proofErr w:type="spellStart"/>
      <w:r w:rsidR="0073666E" w:rsidRPr="0073666E">
        <w:rPr>
          <w:lang w:val="de-CH"/>
        </w:rPr>
        <w:t>gratuite</w:t>
      </w:r>
      <w:proofErr w:type="spellEnd"/>
      <w:r w:rsidR="0073666E" w:rsidRPr="0073666E">
        <w:rPr>
          <w:lang w:val="de-CH"/>
        </w:rPr>
        <w:t xml:space="preserve">, la </w:t>
      </w:r>
      <w:proofErr w:type="spellStart"/>
      <w:r w:rsidR="0073666E" w:rsidRPr="0073666E">
        <w:rPr>
          <w:lang w:val="de-CH"/>
        </w:rPr>
        <w:t>LAsi</w:t>
      </w:r>
      <w:proofErr w:type="spellEnd"/>
      <w:r w:rsidR="0073666E" w:rsidRPr="0073666E">
        <w:rPr>
          <w:lang w:val="de-CH"/>
        </w:rPr>
        <w:t xml:space="preserve"> </w:t>
      </w:r>
      <w:proofErr w:type="spellStart"/>
      <w:r w:rsidR="0073666E" w:rsidRPr="0073666E">
        <w:rPr>
          <w:lang w:val="de-CH"/>
        </w:rPr>
        <w:t>révisée</w:t>
      </w:r>
      <w:proofErr w:type="spellEnd"/>
      <w:r w:rsidR="0073666E" w:rsidRPr="0073666E">
        <w:rPr>
          <w:lang w:val="de-CH"/>
        </w:rPr>
        <w:t xml:space="preserve"> (</w:t>
      </w:r>
      <w:proofErr w:type="spellStart"/>
      <w:r w:rsidR="0073666E" w:rsidRPr="0073666E">
        <w:rPr>
          <w:lang w:val="de-CH"/>
        </w:rPr>
        <w:t>entrée</w:t>
      </w:r>
      <w:proofErr w:type="spellEnd"/>
      <w:r w:rsidR="0073666E" w:rsidRPr="0073666E">
        <w:rPr>
          <w:lang w:val="de-CH"/>
        </w:rPr>
        <w:t xml:space="preserve"> en </w:t>
      </w:r>
      <w:proofErr w:type="spellStart"/>
      <w:r w:rsidR="0073666E" w:rsidRPr="0073666E">
        <w:rPr>
          <w:lang w:val="de-CH"/>
        </w:rPr>
        <w:t>vigueur</w:t>
      </w:r>
      <w:proofErr w:type="spellEnd"/>
      <w:r w:rsidR="0073666E" w:rsidRPr="0073666E">
        <w:rPr>
          <w:lang w:val="de-CH"/>
        </w:rPr>
        <w:t xml:space="preserve"> le 1</w:t>
      </w:r>
      <w:r w:rsidR="0073666E" w:rsidRPr="0073666E">
        <w:rPr>
          <w:vertAlign w:val="superscript"/>
          <w:lang w:val="de-CH"/>
        </w:rPr>
        <w:t>er</w:t>
      </w:r>
      <w:r w:rsidR="00777BFF">
        <w:rPr>
          <w:lang w:val="de-CH"/>
        </w:rPr>
        <w:t> </w:t>
      </w:r>
      <w:proofErr w:type="spellStart"/>
      <w:r w:rsidR="0073666E" w:rsidRPr="0073666E">
        <w:rPr>
          <w:lang w:val="de-CH"/>
        </w:rPr>
        <w:t>mars</w:t>
      </w:r>
      <w:proofErr w:type="spellEnd"/>
      <w:r w:rsidR="0073666E" w:rsidRPr="0073666E">
        <w:rPr>
          <w:lang w:val="de-CH"/>
        </w:rPr>
        <w:t xml:space="preserve"> 2019) </w:t>
      </w:r>
      <w:proofErr w:type="spellStart"/>
      <w:r w:rsidR="0073666E" w:rsidRPr="0073666E">
        <w:rPr>
          <w:lang w:val="de-CH"/>
        </w:rPr>
        <w:t>distingue</w:t>
      </w:r>
      <w:proofErr w:type="spellEnd"/>
      <w:r w:rsidR="0073666E" w:rsidRPr="0073666E">
        <w:rPr>
          <w:lang w:val="de-CH"/>
        </w:rPr>
        <w:t xml:space="preserve"> </w:t>
      </w:r>
      <w:proofErr w:type="spellStart"/>
      <w:r w:rsidR="0073666E" w:rsidRPr="0073666E">
        <w:rPr>
          <w:lang w:val="de-CH"/>
        </w:rPr>
        <w:t>trois</w:t>
      </w:r>
      <w:proofErr w:type="spellEnd"/>
      <w:r w:rsidR="0073666E" w:rsidRPr="0073666E">
        <w:rPr>
          <w:lang w:val="de-CH"/>
        </w:rPr>
        <w:t xml:space="preserve"> </w:t>
      </w:r>
      <w:proofErr w:type="spellStart"/>
      <w:r w:rsidR="0073666E" w:rsidRPr="0073666E">
        <w:rPr>
          <w:lang w:val="de-CH"/>
        </w:rPr>
        <w:t>étapes</w:t>
      </w:r>
      <w:proofErr w:type="spellEnd"/>
      <w:r w:rsidR="0073666E" w:rsidRPr="0073666E">
        <w:rPr>
          <w:lang w:val="de-CH"/>
        </w:rPr>
        <w:t xml:space="preserve">. </w:t>
      </w:r>
    </w:p>
    <w:p w14:paraId="4023C9D2"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73666E" w:rsidRPr="0073666E">
        <w:t xml:space="preserve">Avec la révision de la </w:t>
      </w:r>
      <w:proofErr w:type="spellStart"/>
      <w:r w:rsidR="0073666E" w:rsidRPr="0073666E">
        <w:t>LAsi</w:t>
      </w:r>
      <w:proofErr w:type="spellEnd"/>
      <w:r w:rsidR="0073666E" w:rsidRPr="0073666E">
        <w:t xml:space="preserve">, tous les requérants dont la demande est traitée dans un centre de la Confédération ont droit à un conseil et une représentation juridique </w:t>
      </w:r>
      <w:r w:rsidR="0073666E" w:rsidRPr="0073666E">
        <w:lastRenderedPageBreak/>
        <w:t xml:space="preserve">gratuits (cf. art. 102f, al. 1, </w:t>
      </w:r>
      <w:proofErr w:type="spellStart"/>
      <w:r w:rsidR="0073666E" w:rsidRPr="0073666E">
        <w:t>LAsi</w:t>
      </w:r>
      <w:proofErr w:type="spellEnd"/>
      <w:r w:rsidR="0073666E" w:rsidRPr="0073666E">
        <w:t>). Le SEM mandate un ou plusieurs prest</w:t>
      </w:r>
      <w:r w:rsidR="00C22620">
        <w:t>ataires pour remplir ces tâches ;</w:t>
      </w:r>
    </w:p>
    <w:p w14:paraId="38024EBD"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73666E" w:rsidRPr="0073666E">
        <w:t xml:space="preserve">Lorsqu’une procédure étendue est ouverte, les requérants peuvent s’adresser gratuitement à un bureau de conseil juridique ou, </w:t>
      </w:r>
      <w:proofErr w:type="spellStart"/>
      <w:r w:rsidR="0073666E" w:rsidRPr="0073666E">
        <w:t>exceptionellement</w:t>
      </w:r>
      <w:proofErr w:type="spellEnd"/>
      <w:r w:rsidR="0073666E" w:rsidRPr="0073666E">
        <w:t xml:space="preserve">, au représentant légal désigné, lors d’étapes de la procédure de première instance déterminantes pour la décision (cf. art. 102l, al. 1, </w:t>
      </w:r>
      <w:proofErr w:type="spellStart"/>
      <w:r w:rsidR="0073666E" w:rsidRPr="0073666E">
        <w:t>LAsi</w:t>
      </w:r>
      <w:proofErr w:type="spellEnd"/>
      <w:r w:rsidR="0073666E" w:rsidRPr="0073666E">
        <w:t xml:space="preserve"> en rel. avec l’art. 52f al. 3 </w:t>
      </w:r>
      <w:proofErr w:type="spellStart"/>
      <w:r w:rsidR="0073666E" w:rsidRPr="0073666E">
        <w:t>nOA</w:t>
      </w:r>
      <w:proofErr w:type="spellEnd"/>
      <w:r w:rsidR="0073666E" w:rsidRPr="0073666E">
        <w:t xml:space="preserve"> 1).</w:t>
      </w:r>
    </w:p>
    <w:p w14:paraId="4B936D25" w14:textId="77777777" w:rsidR="0073666E" w:rsidRPr="0073666E" w:rsidRDefault="00F5509B" w:rsidP="00F5509B">
      <w:pPr>
        <w:pStyle w:val="SingleTxtG"/>
      </w:pPr>
      <w:r>
        <w:t>62.</w:t>
      </w:r>
      <w:r>
        <w:tab/>
      </w:r>
      <w:r w:rsidR="0073666E" w:rsidRPr="0073666E">
        <w:t xml:space="preserve">Le recours est </w:t>
      </w:r>
      <w:r w:rsidR="0073666E" w:rsidRPr="00F5509B">
        <w:t>régi</w:t>
      </w:r>
      <w:r w:rsidR="0073666E" w:rsidRPr="0073666E">
        <w:t xml:space="preserve"> différemment selon que la procédure est accélérée ou étendue</w:t>
      </w:r>
      <w:r w:rsidR="00222D58">
        <w:t> </w:t>
      </w:r>
      <w:r w:rsidR="0073666E" w:rsidRPr="0073666E">
        <w:t>:</w:t>
      </w:r>
    </w:p>
    <w:p w14:paraId="71CEFF07"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73666E" w:rsidRPr="0073666E">
        <w:t>Pendant la durée du séjour dans un centre de la Confédération, le recours incombe à la représentation juridique s’il n’est pas considéré comme voué à l’échec (cf. art. 102k, al. 1, lit. d, en rel.</w:t>
      </w:r>
      <w:r w:rsidR="00476638">
        <w:t xml:space="preserve"> avec l’art. 102h, al. 4, </w:t>
      </w:r>
      <w:proofErr w:type="spellStart"/>
      <w:r w:rsidR="00476638">
        <w:t>LAsi</w:t>
      </w:r>
      <w:proofErr w:type="spellEnd"/>
      <w:r w:rsidR="00476638">
        <w:t>) ;</w:t>
      </w:r>
    </w:p>
    <w:p w14:paraId="2D1AA089"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73666E" w:rsidRPr="0073666E">
        <w:t xml:space="preserve">Dans le cadre d’une procédure étendue, le TAF peut désigner un mandataire d’office pour conduire les recours (cf. art. 102m, al. 1, </w:t>
      </w:r>
      <w:proofErr w:type="spellStart"/>
      <w:r w:rsidR="0073666E" w:rsidRPr="0073666E">
        <w:t>LAsi</w:t>
      </w:r>
      <w:proofErr w:type="spellEnd"/>
      <w:r w:rsidR="0073666E" w:rsidRPr="0073666E">
        <w:t>).</w:t>
      </w:r>
    </w:p>
    <w:p w14:paraId="718D7E4F" w14:textId="77777777" w:rsidR="0073666E" w:rsidRPr="0073666E" w:rsidRDefault="00F5509B" w:rsidP="00F5509B">
      <w:pPr>
        <w:pStyle w:val="H23G"/>
        <w:rPr>
          <w:bCs/>
          <w:i/>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11</w:t>
      </w:r>
    </w:p>
    <w:p w14:paraId="5C339508" w14:textId="77777777" w:rsidR="0073666E" w:rsidRPr="00F5509B" w:rsidRDefault="00F5509B" w:rsidP="00F5509B">
      <w:pPr>
        <w:pStyle w:val="SingleTxtG"/>
      </w:pPr>
      <w:r>
        <w:rPr>
          <w:lang w:val="de-CH"/>
        </w:rPr>
        <w:t>63.</w:t>
      </w:r>
      <w:r>
        <w:rPr>
          <w:lang w:val="de-CH"/>
        </w:rPr>
        <w:tab/>
      </w:r>
      <w:proofErr w:type="spellStart"/>
      <w:r w:rsidR="0073666E" w:rsidRPr="00EC4D19">
        <w:rPr>
          <w:lang w:val="de-CH"/>
        </w:rPr>
        <w:t>L’annexe</w:t>
      </w:r>
      <w:proofErr w:type="spellEnd"/>
      <w:r w:rsidR="0073666E" w:rsidRPr="00EC4D19">
        <w:rPr>
          <w:lang w:val="de-CH"/>
        </w:rPr>
        <w:t xml:space="preserve"> 2</w:t>
      </w:r>
      <w:r w:rsidR="0073666E" w:rsidRPr="0073666E">
        <w:rPr>
          <w:lang w:val="de-CH"/>
        </w:rPr>
        <w:t xml:space="preserve"> </w:t>
      </w:r>
      <w:proofErr w:type="spellStart"/>
      <w:r w:rsidR="0073666E" w:rsidRPr="0073666E">
        <w:rPr>
          <w:lang w:val="de-CH"/>
        </w:rPr>
        <w:t>contient</w:t>
      </w:r>
      <w:proofErr w:type="spellEnd"/>
      <w:r w:rsidR="0073666E" w:rsidRPr="0073666E">
        <w:rPr>
          <w:lang w:val="de-CH"/>
        </w:rPr>
        <w:t xml:space="preserve"> des </w:t>
      </w:r>
      <w:proofErr w:type="spellStart"/>
      <w:r w:rsidR="0073666E" w:rsidRPr="0073666E">
        <w:rPr>
          <w:lang w:val="de-CH"/>
        </w:rPr>
        <w:t>exploitations</w:t>
      </w:r>
      <w:proofErr w:type="spellEnd"/>
      <w:r w:rsidR="0073666E" w:rsidRPr="0073666E">
        <w:rPr>
          <w:lang w:val="de-CH"/>
        </w:rPr>
        <w:t xml:space="preserve"> </w:t>
      </w:r>
      <w:proofErr w:type="spellStart"/>
      <w:r w:rsidR="0073666E" w:rsidRPr="0073666E">
        <w:rPr>
          <w:lang w:val="de-CH"/>
        </w:rPr>
        <w:t>statistiques</w:t>
      </w:r>
      <w:proofErr w:type="spellEnd"/>
      <w:r w:rsidR="0073666E" w:rsidRPr="0073666E">
        <w:rPr>
          <w:lang w:val="de-CH"/>
        </w:rPr>
        <w:t xml:space="preserve"> des </w:t>
      </w:r>
      <w:proofErr w:type="spellStart"/>
      <w:r w:rsidR="0073666E" w:rsidRPr="0073666E">
        <w:rPr>
          <w:lang w:val="de-CH"/>
        </w:rPr>
        <w:t>demandes</w:t>
      </w:r>
      <w:proofErr w:type="spellEnd"/>
      <w:r w:rsidR="0073666E" w:rsidRPr="0073666E">
        <w:rPr>
          <w:lang w:val="de-CH"/>
        </w:rPr>
        <w:t xml:space="preserve"> </w:t>
      </w:r>
      <w:proofErr w:type="spellStart"/>
      <w:r w:rsidR="0073666E" w:rsidRPr="0073666E">
        <w:rPr>
          <w:lang w:val="de-CH"/>
        </w:rPr>
        <w:t>d’asile</w:t>
      </w:r>
      <w:proofErr w:type="spellEnd"/>
      <w:r w:rsidR="0073666E" w:rsidRPr="0073666E">
        <w:rPr>
          <w:lang w:val="de-CH"/>
        </w:rPr>
        <w:t xml:space="preserve"> </w:t>
      </w:r>
      <w:proofErr w:type="spellStart"/>
      <w:r w:rsidR="0073666E" w:rsidRPr="0073666E">
        <w:rPr>
          <w:lang w:val="de-CH"/>
        </w:rPr>
        <w:t>déposées</w:t>
      </w:r>
      <w:proofErr w:type="spellEnd"/>
      <w:r w:rsidR="0073666E" w:rsidRPr="0073666E">
        <w:rPr>
          <w:lang w:val="de-CH"/>
        </w:rPr>
        <w:t xml:space="preserve"> de 2015 </w:t>
      </w:r>
      <w:proofErr w:type="spellStart"/>
      <w:r w:rsidR="0073666E" w:rsidRPr="0073666E">
        <w:rPr>
          <w:lang w:val="de-CH"/>
        </w:rPr>
        <w:t>au</w:t>
      </w:r>
      <w:proofErr w:type="spellEnd"/>
      <w:r w:rsidR="0073666E" w:rsidRPr="0073666E">
        <w:rPr>
          <w:lang w:val="de-CH"/>
        </w:rPr>
        <w:t xml:space="preserve"> 30 </w:t>
      </w:r>
      <w:proofErr w:type="spellStart"/>
      <w:r w:rsidR="0073666E" w:rsidRPr="0073666E">
        <w:rPr>
          <w:lang w:val="de-CH"/>
        </w:rPr>
        <w:t>juin</w:t>
      </w:r>
      <w:proofErr w:type="spellEnd"/>
      <w:r w:rsidR="0073666E" w:rsidRPr="0073666E">
        <w:rPr>
          <w:lang w:val="de-CH"/>
        </w:rPr>
        <w:t xml:space="preserve"> 2018, </w:t>
      </w:r>
      <w:proofErr w:type="spellStart"/>
      <w:r w:rsidR="0073666E" w:rsidRPr="0073666E">
        <w:rPr>
          <w:lang w:val="de-CH"/>
        </w:rPr>
        <w:t>ventilées</w:t>
      </w:r>
      <w:proofErr w:type="spellEnd"/>
      <w:r w:rsidR="0073666E" w:rsidRPr="0073666E">
        <w:rPr>
          <w:lang w:val="de-CH"/>
        </w:rPr>
        <w:t xml:space="preserve"> </w:t>
      </w:r>
      <w:r w:rsidR="0073666E" w:rsidRPr="00F5509B">
        <w:t>par sexe, pays d’origine et groupe d’âge. Aucune donnée concernant l’ethnie n’est relevée officiellement.</w:t>
      </w:r>
    </w:p>
    <w:p w14:paraId="41E94952" w14:textId="77777777" w:rsidR="0073666E" w:rsidRPr="00F5509B" w:rsidRDefault="00F5509B" w:rsidP="00F5509B">
      <w:pPr>
        <w:pStyle w:val="SingleTxtG"/>
      </w:pPr>
      <w:r>
        <w:t>64.</w:t>
      </w:r>
      <w:r>
        <w:tab/>
      </w:r>
      <w:r w:rsidR="0073666E" w:rsidRPr="00F5509B">
        <w:t>L’annexe 3 contient des exploitations statistiques des décisions rendues de 2015 au 30 juin 2018 sur des demandes d’asile, ventilées par type de décision, pays d’origine, sexe et groupe d’âge. Aucune donnée concernant l’ethnie n’est relevée officiellement.</w:t>
      </w:r>
    </w:p>
    <w:p w14:paraId="2DAE9A78" w14:textId="77777777" w:rsidR="0073666E" w:rsidRPr="00F5509B" w:rsidRDefault="00F5509B" w:rsidP="00F5509B">
      <w:pPr>
        <w:pStyle w:val="SingleTxtG"/>
      </w:pPr>
      <w:r>
        <w:t>65.</w:t>
      </w:r>
      <w:r>
        <w:tab/>
      </w:r>
      <w:r w:rsidR="0073666E" w:rsidRPr="00F5509B">
        <w:t>Les raisons pour lesquelles l’asile a été accordé ne ressortent pas des données statistiques. Il n’est donc pas possible de fournir le nombre de personnes qui ont obtenu l’asile parce qu’elles avaient été torturées ou risqueraient de l’être si elles étaient renvoyées.</w:t>
      </w:r>
    </w:p>
    <w:p w14:paraId="1E68B29B" w14:textId="77777777" w:rsidR="0073666E" w:rsidRPr="00F5509B" w:rsidRDefault="00F5509B" w:rsidP="00F5509B">
      <w:pPr>
        <w:pStyle w:val="SingleTxtG"/>
      </w:pPr>
      <w:r>
        <w:t>66.</w:t>
      </w:r>
      <w:r>
        <w:tab/>
      </w:r>
      <w:r w:rsidR="0073666E" w:rsidRPr="00F5509B">
        <w:t>Au cours des trois dernières années, un total de 11</w:t>
      </w:r>
      <w:r w:rsidR="00D436A0">
        <w:t> </w:t>
      </w:r>
      <w:r w:rsidR="0073666E" w:rsidRPr="00F5509B">
        <w:t xml:space="preserve">129 requérants d’asile ont été remis à leur pays d’origine ou transférés dans un autre </w:t>
      </w:r>
      <w:r w:rsidR="00D94D41">
        <w:t>État</w:t>
      </w:r>
      <w:r w:rsidR="0073666E" w:rsidRPr="00F5509B">
        <w:t xml:space="preserve"> européen compétent pour exécuter la procédure d’asile aux termes de l’accord d’association à Dublin. Les détails et une liste des pays vers lesquels ces personnes ont été extradées, expulsées ou renvoyées figurent à l’annexe 3.</w:t>
      </w:r>
    </w:p>
    <w:p w14:paraId="3198A2F3" w14:textId="77777777" w:rsidR="0073666E" w:rsidRPr="0073666E" w:rsidRDefault="00F5509B" w:rsidP="00F5509B">
      <w:pPr>
        <w:pStyle w:val="SingleTxtG"/>
        <w:rPr>
          <w:lang w:val="de-CH"/>
        </w:rPr>
      </w:pPr>
      <w:r>
        <w:t>67.</w:t>
      </w:r>
      <w:r>
        <w:tab/>
      </w:r>
      <w:r w:rsidR="0073666E" w:rsidRPr="00F5509B">
        <w:t>Les raisons pour lesquelles un</w:t>
      </w:r>
      <w:r w:rsidR="0073666E" w:rsidRPr="0073666E">
        <w:rPr>
          <w:lang w:val="de-CH"/>
        </w:rPr>
        <w:t xml:space="preserve"> </w:t>
      </w:r>
      <w:proofErr w:type="spellStart"/>
      <w:r w:rsidR="0073666E" w:rsidRPr="0073666E">
        <w:rPr>
          <w:lang w:val="de-CH"/>
        </w:rPr>
        <w:t>recours</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déposé</w:t>
      </w:r>
      <w:proofErr w:type="spellEnd"/>
      <w:r w:rsidR="0073666E" w:rsidRPr="0073666E">
        <w:rPr>
          <w:lang w:val="de-CH"/>
        </w:rPr>
        <w:t xml:space="preserve"> ne </w:t>
      </w:r>
      <w:proofErr w:type="spellStart"/>
      <w:r w:rsidR="0073666E" w:rsidRPr="0073666E">
        <w:rPr>
          <w:lang w:val="de-CH"/>
        </w:rPr>
        <w:t>ressortent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des </w:t>
      </w:r>
      <w:proofErr w:type="spellStart"/>
      <w:r w:rsidR="0073666E" w:rsidRPr="0073666E">
        <w:rPr>
          <w:lang w:val="de-CH"/>
        </w:rPr>
        <w:t>données</w:t>
      </w:r>
      <w:proofErr w:type="spellEnd"/>
      <w:r w:rsidR="0073666E" w:rsidRPr="0073666E">
        <w:rPr>
          <w:lang w:val="de-CH"/>
        </w:rPr>
        <w:t xml:space="preserve"> </w:t>
      </w:r>
      <w:proofErr w:type="spellStart"/>
      <w:r w:rsidR="0073666E" w:rsidRPr="0073666E">
        <w:rPr>
          <w:lang w:val="de-CH"/>
        </w:rPr>
        <w:t>statistiques</w:t>
      </w:r>
      <w:proofErr w:type="spellEnd"/>
      <w:r w:rsidR="0073666E" w:rsidRPr="0073666E">
        <w:rPr>
          <w:lang w:val="de-CH"/>
        </w:rPr>
        <w:t xml:space="preserve">. Il </w:t>
      </w:r>
      <w:proofErr w:type="spellStart"/>
      <w:r w:rsidR="0073666E" w:rsidRPr="0073666E">
        <w:rPr>
          <w:lang w:val="de-CH"/>
        </w:rPr>
        <w:t>n’est</w:t>
      </w:r>
      <w:proofErr w:type="spellEnd"/>
      <w:r w:rsidR="0073666E" w:rsidRPr="0073666E">
        <w:rPr>
          <w:lang w:val="de-CH"/>
        </w:rPr>
        <w:t xml:space="preserve"> </w:t>
      </w:r>
      <w:proofErr w:type="spellStart"/>
      <w:r w:rsidR="0073666E" w:rsidRPr="0073666E">
        <w:rPr>
          <w:lang w:val="de-CH"/>
        </w:rPr>
        <w:t>donc</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possible de </w:t>
      </w:r>
      <w:proofErr w:type="spellStart"/>
      <w:r w:rsidR="0073666E" w:rsidRPr="0073666E">
        <w:rPr>
          <w:lang w:val="de-CH"/>
        </w:rPr>
        <w:t>fournir</w:t>
      </w:r>
      <w:proofErr w:type="spellEnd"/>
      <w:r w:rsidR="0073666E" w:rsidRPr="0073666E">
        <w:rPr>
          <w:lang w:val="de-CH"/>
        </w:rPr>
        <w:t xml:space="preserve"> le </w:t>
      </w:r>
      <w:proofErr w:type="spellStart"/>
      <w:r w:rsidR="0073666E" w:rsidRPr="0073666E">
        <w:rPr>
          <w:lang w:val="de-CH"/>
        </w:rPr>
        <w:t>nombre</w:t>
      </w:r>
      <w:proofErr w:type="spellEnd"/>
      <w:r w:rsidR="0073666E" w:rsidRPr="0073666E">
        <w:rPr>
          <w:lang w:val="de-CH"/>
        </w:rPr>
        <w:t xml:space="preserve"> de </w:t>
      </w:r>
      <w:proofErr w:type="spellStart"/>
      <w:r w:rsidR="0073666E" w:rsidRPr="0073666E">
        <w:rPr>
          <w:lang w:val="de-CH"/>
        </w:rPr>
        <w:t>recours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déposés</w:t>
      </w:r>
      <w:proofErr w:type="spellEnd"/>
      <w:r w:rsidR="0073666E" w:rsidRPr="0073666E">
        <w:rPr>
          <w:lang w:val="de-CH"/>
        </w:rPr>
        <w:t xml:space="preserve"> </w:t>
      </w:r>
      <w:proofErr w:type="spellStart"/>
      <w:r w:rsidR="0073666E" w:rsidRPr="0073666E">
        <w:rPr>
          <w:lang w:val="de-CH"/>
        </w:rPr>
        <w:t>parce</w:t>
      </w:r>
      <w:proofErr w:type="spellEnd"/>
      <w:r w:rsidR="0073666E" w:rsidRPr="0073666E">
        <w:rPr>
          <w:lang w:val="de-CH"/>
        </w:rPr>
        <w:t xml:space="preserve"> </w:t>
      </w:r>
      <w:proofErr w:type="spellStart"/>
      <w:r w:rsidR="0073666E" w:rsidRPr="0073666E">
        <w:rPr>
          <w:lang w:val="de-CH"/>
        </w:rPr>
        <w:t>qu’une</w:t>
      </w:r>
      <w:proofErr w:type="spellEnd"/>
      <w:r w:rsidR="0073666E" w:rsidRPr="0073666E">
        <w:rPr>
          <w:lang w:val="de-CH"/>
        </w:rPr>
        <w:t xml:space="preserve">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craignait</w:t>
      </w:r>
      <w:proofErr w:type="spellEnd"/>
      <w:r w:rsidR="0073666E" w:rsidRPr="0073666E">
        <w:rPr>
          <w:lang w:val="de-CH"/>
        </w:rPr>
        <w:t xml:space="preserve"> d’être </w:t>
      </w:r>
      <w:proofErr w:type="spellStart"/>
      <w:r w:rsidR="0073666E" w:rsidRPr="0073666E">
        <w:rPr>
          <w:lang w:val="de-CH"/>
        </w:rPr>
        <w:t>victime</w:t>
      </w:r>
      <w:proofErr w:type="spellEnd"/>
      <w:r w:rsidR="0073666E" w:rsidRPr="0073666E">
        <w:rPr>
          <w:lang w:val="de-CH"/>
        </w:rPr>
        <w:t xml:space="preserve"> de </w:t>
      </w:r>
      <w:proofErr w:type="spellStart"/>
      <w:r w:rsidR="0073666E" w:rsidRPr="0073666E">
        <w:rPr>
          <w:lang w:val="de-CH"/>
        </w:rPr>
        <w:t>tortures</w:t>
      </w:r>
      <w:proofErr w:type="spellEnd"/>
      <w:r w:rsidR="0073666E" w:rsidRPr="0073666E">
        <w:rPr>
          <w:lang w:val="de-CH"/>
        </w:rPr>
        <w:t xml:space="preserve"> en </w:t>
      </w:r>
      <w:proofErr w:type="spellStart"/>
      <w:r w:rsidR="0073666E" w:rsidRPr="0073666E">
        <w:rPr>
          <w:lang w:val="de-CH"/>
        </w:rPr>
        <w:t>retournant</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pays</w:t>
      </w:r>
      <w:proofErr w:type="spellEnd"/>
      <w:r w:rsidR="0073666E" w:rsidRPr="0073666E">
        <w:rPr>
          <w:lang w:val="de-CH"/>
        </w:rPr>
        <w:t>.</w:t>
      </w:r>
    </w:p>
    <w:p w14:paraId="47B0186C" w14:textId="77777777" w:rsidR="0073666E" w:rsidRPr="0073666E" w:rsidRDefault="00F5509B" w:rsidP="00F5509B">
      <w:pPr>
        <w:pStyle w:val="H1G"/>
        <w:rPr>
          <w:lang w:val="de-CH"/>
        </w:rPr>
      </w:pPr>
      <w:r>
        <w:rPr>
          <w:lang w:val="de-CH"/>
        </w:rPr>
        <w:tab/>
      </w:r>
      <w:r>
        <w:rPr>
          <w:lang w:val="de-CH"/>
        </w:rPr>
        <w:tab/>
      </w:r>
      <w:proofErr w:type="spellStart"/>
      <w:r w:rsidR="0073666E" w:rsidRPr="0073666E">
        <w:rPr>
          <w:lang w:val="de-CH"/>
        </w:rPr>
        <w:t>Articles</w:t>
      </w:r>
      <w:proofErr w:type="spellEnd"/>
      <w:r w:rsidR="0073666E" w:rsidRPr="0073666E">
        <w:rPr>
          <w:lang w:val="de-CH"/>
        </w:rPr>
        <w:t xml:space="preserve"> 5, 7 et 8</w:t>
      </w:r>
    </w:p>
    <w:p w14:paraId="49A5C066" w14:textId="77777777" w:rsidR="0073666E" w:rsidRPr="0073666E" w:rsidRDefault="00F5509B" w:rsidP="00F5509B">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12</w:t>
      </w:r>
    </w:p>
    <w:p w14:paraId="76D2E8BC" w14:textId="77777777" w:rsidR="0073666E" w:rsidRPr="0073666E" w:rsidRDefault="00F5509B" w:rsidP="00F5509B">
      <w:pPr>
        <w:pStyle w:val="SingleTxtG"/>
        <w:rPr>
          <w:lang w:val="de-CH"/>
        </w:rPr>
      </w:pPr>
      <w:r>
        <w:rPr>
          <w:lang w:val="de-CH"/>
        </w:rPr>
        <w:t>68.</w:t>
      </w:r>
      <w:r>
        <w:rPr>
          <w:lang w:val="de-CH"/>
        </w:rPr>
        <w:tab/>
      </w:r>
      <w:proofErr w:type="spellStart"/>
      <w:r w:rsidR="0073666E" w:rsidRPr="0073666E">
        <w:rPr>
          <w:lang w:val="de-CH"/>
        </w:rPr>
        <w:t>Concernant</w:t>
      </w:r>
      <w:proofErr w:type="spellEnd"/>
      <w:r w:rsidR="0073666E" w:rsidRPr="0073666E">
        <w:rPr>
          <w:lang w:val="de-CH"/>
        </w:rPr>
        <w:t xml:space="preserve"> la </w:t>
      </w:r>
      <w:proofErr w:type="spellStart"/>
      <w:r w:rsidR="0073666E" w:rsidRPr="0073666E">
        <w:rPr>
          <w:lang w:val="de-CH"/>
        </w:rPr>
        <w:t>question</w:t>
      </w:r>
      <w:proofErr w:type="spellEnd"/>
      <w:r w:rsidR="0073666E" w:rsidRPr="0073666E">
        <w:rPr>
          <w:lang w:val="de-CH"/>
        </w:rPr>
        <w:t xml:space="preserve"> de </w:t>
      </w:r>
      <w:proofErr w:type="spellStart"/>
      <w:r w:rsidR="0073666E" w:rsidRPr="0073666E">
        <w:rPr>
          <w:lang w:val="de-CH"/>
        </w:rPr>
        <w:t>savoir</w:t>
      </w:r>
      <w:proofErr w:type="spellEnd"/>
      <w:r w:rsidR="0073666E" w:rsidRPr="0073666E">
        <w:rPr>
          <w:lang w:val="de-CH"/>
        </w:rPr>
        <w:t xml:space="preserve"> si la Suisse a </w:t>
      </w:r>
      <w:proofErr w:type="spellStart"/>
      <w:r w:rsidR="0073666E" w:rsidRPr="0073666E">
        <w:rPr>
          <w:lang w:val="de-CH"/>
        </w:rPr>
        <w:t>rejeté</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demande</w:t>
      </w:r>
      <w:proofErr w:type="spellEnd"/>
      <w:r w:rsidR="0073666E" w:rsidRPr="0073666E">
        <w:rPr>
          <w:lang w:val="de-CH"/>
        </w:rPr>
        <w:t xml:space="preserve"> </w:t>
      </w:r>
      <w:proofErr w:type="spellStart"/>
      <w:r w:rsidR="0073666E" w:rsidRPr="0073666E">
        <w:rPr>
          <w:lang w:val="de-CH"/>
        </w:rPr>
        <w:t>d’extradition</w:t>
      </w:r>
      <w:proofErr w:type="spellEnd"/>
      <w:r w:rsidR="0073666E" w:rsidRPr="0073666E">
        <w:rPr>
          <w:lang w:val="de-CH"/>
        </w:rPr>
        <w:t xml:space="preserve"> </w:t>
      </w:r>
      <w:proofErr w:type="spellStart"/>
      <w:r w:rsidR="0073666E" w:rsidRPr="0073666E">
        <w:rPr>
          <w:lang w:val="de-CH"/>
        </w:rPr>
        <w:t>adressée</w:t>
      </w:r>
      <w:proofErr w:type="spellEnd"/>
      <w:r w:rsidR="0073666E" w:rsidRPr="0073666E">
        <w:rPr>
          <w:lang w:val="de-CH"/>
        </w:rPr>
        <w:t xml:space="preserve"> par </w:t>
      </w:r>
      <w:proofErr w:type="spellStart"/>
      <w:r w:rsidR="0073666E" w:rsidRPr="0073666E">
        <w:rPr>
          <w:lang w:val="de-CH"/>
        </w:rPr>
        <w:t>un</w:t>
      </w:r>
      <w:proofErr w:type="spellEnd"/>
      <w:r w:rsidR="0073666E" w:rsidRPr="0073666E">
        <w:rPr>
          <w:lang w:val="de-CH"/>
        </w:rPr>
        <w:t xml:space="preserve"> </w:t>
      </w:r>
      <w:r w:rsidR="00D94D41">
        <w:rPr>
          <w:lang w:val="de-CH"/>
        </w:rPr>
        <w:t>État</w:t>
      </w:r>
      <w:r w:rsidR="0073666E" w:rsidRPr="0073666E">
        <w:rPr>
          <w:lang w:val="de-CH"/>
        </w:rPr>
        <w:t xml:space="preserve"> </w:t>
      </w:r>
      <w:proofErr w:type="spellStart"/>
      <w:r w:rsidR="0073666E" w:rsidRPr="0073666E">
        <w:rPr>
          <w:lang w:val="de-CH"/>
        </w:rPr>
        <w:t>tiers</w:t>
      </w:r>
      <w:proofErr w:type="spellEnd"/>
      <w:r w:rsidR="0073666E" w:rsidRPr="0073666E">
        <w:rPr>
          <w:lang w:val="de-CH"/>
        </w:rPr>
        <w:t xml:space="preserve"> </w:t>
      </w:r>
      <w:proofErr w:type="spellStart"/>
      <w:r w:rsidR="0073666E" w:rsidRPr="0073666E">
        <w:rPr>
          <w:lang w:val="de-CH"/>
        </w:rPr>
        <w:t>réclamant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individu</w:t>
      </w:r>
      <w:proofErr w:type="spellEnd"/>
      <w:r w:rsidR="0073666E" w:rsidRPr="0073666E">
        <w:rPr>
          <w:lang w:val="de-CH"/>
        </w:rPr>
        <w:t xml:space="preserve"> </w:t>
      </w:r>
      <w:proofErr w:type="spellStart"/>
      <w:r w:rsidR="0073666E" w:rsidRPr="0073666E">
        <w:rPr>
          <w:lang w:val="de-CH"/>
        </w:rPr>
        <w:t>soupçonné</w:t>
      </w:r>
      <w:proofErr w:type="spellEnd"/>
      <w:r w:rsidR="0073666E" w:rsidRPr="0073666E">
        <w:rPr>
          <w:lang w:val="de-CH"/>
        </w:rPr>
        <w:t xml:space="preserve"> </w:t>
      </w:r>
      <w:proofErr w:type="spellStart"/>
      <w:r w:rsidR="0073666E" w:rsidRPr="0073666E">
        <w:rPr>
          <w:lang w:val="de-CH"/>
        </w:rPr>
        <w:t>d’avoir</w:t>
      </w:r>
      <w:proofErr w:type="spellEnd"/>
      <w:r w:rsidR="0073666E" w:rsidRPr="0073666E">
        <w:rPr>
          <w:lang w:val="de-CH"/>
        </w:rPr>
        <w:t xml:space="preserve"> </w:t>
      </w:r>
      <w:proofErr w:type="spellStart"/>
      <w:r w:rsidR="0073666E" w:rsidRPr="0073666E">
        <w:rPr>
          <w:lang w:val="de-CH"/>
        </w:rPr>
        <w:t>commis</w:t>
      </w:r>
      <w:proofErr w:type="spellEnd"/>
      <w:r w:rsidR="0073666E" w:rsidRPr="0073666E">
        <w:rPr>
          <w:lang w:val="de-CH"/>
        </w:rPr>
        <w:t xml:space="preserve"> des </w:t>
      </w:r>
      <w:proofErr w:type="spellStart"/>
      <w:r w:rsidR="0073666E" w:rsidRPr="0073666E">
        <w:rPr>
          <w:lang w:val="de-CH"/>
        </w:rPr>
        <w:t>actes</w:t>
      </w:r>
      <w:proofErr w:type="spellEnd"/>
      <w:r w:rsidR="0073666E" w:rsidRPr="0073666E">
        <w:rPr>
          <w:lang w:val="de-CH"/>
        </w:rPr>
        <w:t xml:space="preserve"> de </w:t>
      </w:r>
      <w:proofErr w:type="spellStart"/>
      <w:r w:rsidR="0073666E" w:rsidRPr="0073666E">
        <w:rPr>
          <w:lang w:val="de-CH"/>
        </w:rPr>
        <w:t>torture</w:t>
      </w:r>
      <w:proofErr w:type="spellEnd"/>
      <w:r w:rsidR="0073666E" w:rsidRPr="0073666E">
        <w:rPr>
          <w:lang w:val="de-CH"/>
        </w:rPr>
        <w:t xml:space="preserve"> et a fait le </w:t>
      </w:r>
      <w:proofErr w:type="spellStart"/>
      <w:r w:rsidR="0073666E" w:rsidRPr="0073666E">
        <w:rPr>
          <w:lang w:val="de-CH"/>
        </w:rPr>
        <w:t>nécessaire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exercer</w:t>
      </w:r>
      <w:proofErr w:type="spellEnd"/>
      <w:r w:rsidR="0073666E" w:rsidRPr="0073666E">
        <w:rPr>
          <w:lang w:val="de-CH"/>
        </w:rPr>
        <w:t xml:space="preserve"> </w:t>
      </w:r>
      <w:proofErr w:type="spellStart"/>
      <w:r w:rsidR="0073666E" w:rsidRPr="0073666E">
        <w:rPr>
          <w:lang w:val="de-CH"/>
        </w:rPr>
        <w:t>elle-même</w:t>
      </w:r>
      <w:proofErr w:type="spellEnd"/>
      <w:r w:rsidR="0073666E" w:rsidRPr="0073666E">
        <w:rPr>
          <w:lang w:val="de-CH"/>
        </w:rPr>
        <w:t xml:space="preserve"> </w:t>
      </w:r>
      <w:proofErr w:type="spellStart"/>
      <w:r w:rsidR="0073666E" w:rsidRPr="0073666E">
        <w:rPr>
          <w:lang w:val="de-CH"/>
        </w:rPr>
        <w:t>l’action</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w:t>
      </w:r>
      <w:proofErr w:type="spellStart"/>
      <w:r w:rsidR="0073666E" w:rsidRPr="0073666E">
        <w:rPr>
          <w:lang w:val="de-CH"/>
        </w:rPr>
        <w:t>aucun</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n’est</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l’heure</w:t>
      </w:r>
      <w:proofErr w:type="spellEnd"/>
      <w:r w:rsidR="0073666E" w:rsidRPr="0073666E">
        <w:rPr>
          <w:lang w:val="de-CH"/>
        </w:rPr>
        <w:t xml:space="preserve">, </w:t>
      </w:r>
      <w:proofErr w:type="spellStart"/>
      <w:r w:rsidR="0073666E" w:rsidRPr="0073666E">
        <w:rPr>
          <w:lang w:val="de-CH"/>
        </w:rPr>
        <w:t>survenu</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la </w:t>
      </w:r>
      <w:proofErr w:type="spellStart"/>
      <w:r w:rsidR="0073666E" w:rsidRPr="0073666E">
        <w:rPr>
          <w:lang w:val="de-CH"/>
        </w:rPr>
        <w:t>pratique</w:t>
      </w:r>
      <w:proofErr w:type="spellEnd"/>
      <w:r w:rsidR="0073666E" w:rsidRPr="0073666E">
        <w:rPr>
          <w:lang w:val="de-CH"/>
        </w:rPr>
        <w:t xml:space="preserve"> </w:t>
      </w:r>
      <w:proofErr w:type="spellStart"/>
      <w:r w:rsidR="0073666E" w:rsidRPr="0073666E">
        <w:rPr>
          <w:lang w:val="de-CH"/>
        </w:rPr>
        <w:t>extraditionnelle</w:t>
      </w:r>
      <w:proofErr w:type="spellEnd"/>
      <w:r w:rsidR="0073666E" w:rsidRPr="0073666E">
        <w:rPr>
          <w:lang w:val="de-CH"/>
        </w:rPr>
        <w:t xml:space="preserve"> de </w:t>
      </w:r>
      <w:proofErr w:type="spellStart"/>
      <w:r w:rsidR="0073666E" w:rsidRPr="0073666E">
        <w:rPr>
          <w:lang w:val="de-CH"/>
        </w:rPr>
        <w:t>l’OFJ</w:t>
      </w:r>
      <w:proofErr w:type="spellEnd"/>
      <w:r w:rsidR="0073666E" w:rsidRPr="0073666E">
        <w:rPr>
          <w:lang w:val="de-CH"/>
        </w:rPr>
        <w:t xml:space="preserve">. </w:t>
      </w:r>
      <w:proofErr w:type="spellStart"/>
      <w:r w:rsidR="0073666E" w:rsidRPr="0073666E">
        <w:rPr>
          <w:lang w:val="de-CH"/>
        </w:rPr>
        <w:t>Outre</w:t>
      </w:r>
      <w:proofErr w:type="spellEnd"/>
      <w:r w:rsidR="0073666E" w:rsidRPr="0073666E">
        <w:rPr>
          <w:lang w:val="de-CH"/>
        </w:rPr>
        <w:t xml:space="preserve"> la </w:t>
      </w:r>
      <w:proofErr w:type="spellStart"/>
      <w:r w:rsidR="0073666E" w:rsidRPr="0073666E">
        <w:rPr>
          <w:lang w:val="de-CH"/>
        </w:rPr>
        <w:t>possibilité</w:t>
      </w:r>
      <w:proofErr w:type="spellEnd"/>
      <w:r w:rsidR="0073666E" w:rsidRPr="0073666E">
        <w:rPr>
          <w:lang w:val="de-CH"/>
        </w:rPr>
        <w:t xml:space="preserve"> </w:t>
      </w:r>
      <w:proofErr w:type="spellStart"/>
      <w:r w:rsidR="0073666E" w:rsidRPr="0073666E">
        <w:rPr>
          <w:lang w:val="de-CH"/>
        </w:rPr>
        <w:t>d’inviter</w:t>
      </w:r>
      <w:proofErr w:type="spellEnd"/>
      <w:r w:rsidR="0073666E" w:rsidRPr="0073666E">
        <w:rPr>
          <w:lang w:val="de-CH"/>
        </w:rPr>
        <w:t xml:space="preserve">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requérant</w:t>
      </w:r>
      <w:proofErr w:type="spellEnd"/>
      <w:r w:rsidR="0073666E" w:rsidRPr="0073666E">
        <w:rPr>
          <w:lang w:val="de-CH"/>
        </w:rPr>
        <w:t xml:space="preserve"> à </w:t>
      </w:r>
      <w:proofErr w:type="spellStart"/>
      <w:r w:rsidR="0073666E" w:rsidRPr="0073666E">
        <w:rPr>
          <w:lang w:val="de-CH"/>
        </w:rPr>
        <w:t>déléguer</w:t>
      </w:r>
      <w:proofErr w:type="spellEnd"/>
      <w:r w:rsidR="0073666E" w:rsidRPr="0073666E">
        <w:rPr>
          <w:lang w:val="de-CH"/>
        </w:rPr>
        <w:t xml:space="preserve"> à la Suisse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au sens de </w:t>
      </w:r>
      <w:proofErr w:type="spellStart"/>
      <w:r w:rsidR="0073666E" w:rsidRPr="0073666E">
        <w:rPr>
          <w:lang w:val="de-CH"/>
        </w:rPr>
        <w:t>l’art</w:t>
      </w:r>
      <w:proofErr w:type="spellEnd"/>
      <w:r w:rsidR="0073666E" w:rsidRPr="0073666E">
        <w:rPr>
          <w:lang w:val="de-CH"/>
        </w:rPr>
        <w:t xml:space="preserve">. 37, al. 1, EIMP,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reprise</w:t>
      </w:r>
      <w:proofErr w:type="spellEnd"/>
      <w:r w:rsidR="0073666E" w:rsidRPr="0073666E">
        <w:rPr>
          <w:lang w:val="de-CH"/>
        </w:rPr>
        <w:t xml:space="preserve"> de la </w:t>
      </w:r>
      <w:proofErr w:type="spellStart"/>
      <w:r w:rsidR="0073666E" w:rsidRPr="0073666E">
        <w:rPr>
          <w:lang w:val="de-CH"/>
        </w:rPr>
        <w:t>poursuite</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par la Suisse </w:t>
      </w:r>
      <w:proofErr w:type="spellStart"/>
      <w:r w:rsidR="0073666E" w:rsidRPr="0073666E">
        <w:rPr>
          <w:lang w:val="de-CH"/>
        </w:rPr>
        <w:t>pourrait</w:t>
      </w:r>
      <w:proofErr w:type="spellEnd"/>
      <w:r w:rsidR="0073666E" w:rsidRPr="0073666E">
        <w:rPr>
          <w:lang w:val="de-CH"/>
        </w:rPr>
        <w:t xml:space="preserve"> </w:t>
      </w:r>
      <w:proofErr w:type="spellStart"/>
      <w:r w:rsidR="0073666E" w:rsidRPr="0073666E">
        <w:rPr>
          <w:lang w:val="de-CH"/>
        </w:rPr>
        <w:t>néanmoins</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envisagée</w:t>
      </w:r>
      <w:proofErr w:type="spellEnd"/>
      <w:r w:rsidR="0073666E" w:rsidRPr="0073666E">
        <w:rPr>
          <w:lang w:val="de-CH"/>
        </w:rPr>
        <w:t xml:space="preserve"> </w:t>
      </w:r>
      <w:proofErr w:type="spellStart"/>
      <w:r w:rsidR="0073666E" w:rsidRPr="0073666E">
        <w:rPr>
          <w:lang w:val="de-CH"/>
        </w:rPr>
        <w:t>d’office</w:t>
      </w:r>
      <w:proofErr w:type="spellEnd"/>
      <w:r w:rsidR="0073666E" w:rsidRPr="0073666E">
        <w:rPr>
          <w:lang w:val="de-CH"/>
        </w:rPr>
        <w:t xml:space="preserve">, en </w:t>
      </w:r>
      <w:proofErr w:type="spellStart"/>
      <w:r w:rsidR="0073666E" w:rsidRPr="0073666E">
        <w:rPr>
          <w:lang w:val="de-CH"/>
        </w:rPr>
        <w:t>particulier</w:t>
      </w:r>
      <w:proofErr w:type="spellEnd"/>
      <w:r w:rsidR="0073666E" w:rsidRPr="0073666E">
        <w:rPr>
          <w:lang w:val="de-CH"/>
        </w:rPr>
        <w:t xml:space="preserve"> au sens de </w:t>
      </w:r>
      <w:proofErr w:type="spellStart"/>
      <w:r w:rsidR="0073666E" w:rsidRPr="0073666E">
        <w:rPr>
          <w:lang w:val="de-CH"/>
        </w:rPr>
        <w:t>l’art</w:t>
      </w:r>
      <w:proofErr w:type="spellEnd"/>
      <w:r w:rsidR="0073666E" w:rsidRPr="0073666E">
        <w:rPr>
          <w:lang w:val="de-CH"/>
        </w:rPr>
        <w:t xml:space="preserve">. 6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l’art</w:t>
      </w:r>
      <w:proofErr w:type="spellEnd"/>
      <w:r w:rsidR="0073666E" w:rsidRPr="0073666E">
        <w:rPr>
          <w:lang w:val="de-CH"/>
        </w:rPr>
        <w:t xml:space="preserve">. 7 CP, </w:t>
      </w:r>
      <w:proofErr w:type="spellStart"/>
      <w:r w:rsidR="0073666E" w:rsidRPr="0073666E">
        <w:rPr>
          <w:lang w:val="de-CH"/>
        </w:rPr>
        <w:t>consacrant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compétence</w:t>
      </w:r>
      <w:proofErr w:type="spellEnd"/>
      <w:r w:rsidR="0073666E" w:rsidRPr="0073666E">
        <w:rPr>
          <w:lang w:val="de-CH"/>
        </w:rPr>
        <w:t xml:space="preserve"> de </w:t>
      </w:r>
      <w:proofErr w:type="spellStart"/>
      <w:r w:rsidR="0073666E" w:rsidRPr="0073666E">
        <w:rPr>
          <w:lang w:val="de-CH"/>
        </w:rPr>
        <w:t>poursuite</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en </w:t>
      </w:r>
      <w:proofErr w:type="spellStart"/>
      <w:r w:rsidR="0073666E" w:rsidRPr="0073666E">
        <w:rPr>
          <w:lang w:val="de-CH"/>
        </w:rPr>
        <w:t>faveur</w:t>
      </w:r>
      <w:proofErr w:type="spellEnd"/>
      <w:r w:rsidR="0073666E" w:rsidRPr="0073666E">
        <w:rPr>
          <w:lang w:val="de-CH"/>
        </w:rPr>
        <w:t xml:space="preserve"> des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helvétiques</w:t>
      </w:r>
      <w:proofErr w:type="spellEnd"/>
      <w:r w:rsidR="0073666E" w:rsidRPr="0073666E">
        <w:rPr>
          <w:lang w:val="de-CH"/>
        </w:rPr>
        <w:t xml:space="preserve"> en </w:t>
      </w:r>
      <w:proofErr w:type="spellStart"/>
      <w:r w:rsidR="0073666E" w:rsidRPr="0073666E">
        <w:rPr>
          <w:lang w:val="de-CH"/>
        </w:rPr>
        <w:t>cas</w:t>
      </w:r>
      <w:proofErr w:type="spellEnd"/>
      <w:r w:rsidR="0073666E" w:rsidRPr="0073666E">
        <w:rPr>
          <w:lang w:val="de-CH"/>
        </w:rPr>
        <w:t xml:space="preserve"> de </w:t>
      </w:r>
      <w:proofErr w:type="spellStart"/>
      <w:r w:rsidR="0073666E" w:rsidRPr="0073666E">
        <w:rPr>
          <w:lang w:val="de-CH"/>
        </w:rPr>
        <w:t>crimes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délits</w:t>
      </w:r>
      <w:proofErr w:type="spellEnd"/>
      <w:r w:rsidR="0073666E" w:rsidRPr="0073666E">
        <w:rPr>
          <w:lang w:val="de-CH"/>
        </w:rPr>
        <w:t xml:space="preserve"> </w:t>
      </w:r>
      <w:proofErr w:type="spellStart"/>
      <w:r w:rsidR="0073666E" w:rsidRPr="0073666E">
        <w:rPr>
          <w:lang w:val="de-CH"/>
        </w:rPr>
        <w:t>commis</w:t>
      </w:r>
      <w:proofErr w:type="spellEnd"/>
      <w:r w:rsidR="0073666E" w:rsidRPr="0073666E">
        <w:rPr>
          <w:lang w:val="de-CH"/>
        </w:rPr>
        <w:t xml:space="preserve"> à </w:t>
      </w:r>
      <w:proofErr w:type="spellStart"/>
      <w:r w:rsidR="0073666E" w:rsidRPr="0073666E">
        <w:rPr>
          <w:lang w:val="de-CH"/>
        </w:rPr>
        <w:t>l’étranger</w:t>
      </w:r>
      <w:proofErr w:type="spellEnd"/>
      <w:r w:rsidR="0073666E" w:rsidRPr="0073666E">
        <w:rPr>
          <w:lang w:val="de-CH"/>
        </w:rPr>
        <w:t xml:space="preserve"> et </w:t>
      </w:r>
      <w:proofErr w:type="spellStart"/>
      <w:r w:rsidR="0073666E" w:rsidRPr="0073666E">
        <w:rPr>
          <w:lang w:val="de-CH"/>
        </w:rPr>
        <w:t>poursuivis</w:t>
      </w:r>
      <w:proofErr w:type="spellEnd"/>
      <w:r w:rsidR="0073666E" w:rsidRPr="0073666E">
        <w:rPr>
          <w:lang w:val="de-CH"/>
        </w:rPr>
        <w:t xml:space="preserve"> en vertu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accord</w:t>
      </w:r>
      <w:proofErr w:type="spellEnd"/>
      <w:r w:rsidR="0073666E" w:rsidRPr="0073666E">
        <w:rPr>
          <w:lang w:val="de-CH"/>
        </w:rPr>
        <w:t xml:space="preserve"> international, </w:t>
      </w:r>
      <w:proofErr w:type="spellStart"/>
      <w:r w:rsidR="0073666E" w:rsidRPr="0073666E">
        <w:rPr>
          <w:lang w:val="de-CH"/>
        </w:rPr>
        <w:t>respectivement</w:t>
      </w:r>
      <w:proofErr w:type="spellEnd"/>
      <w:r w:rsidR="0073666E" w:rsidRPr="0073666E">
        <w:rPr>
          <w:lang w:val="de-CH"/>
        </w:rPr>
        <w:t xml:space="preserve"> </w:t>
      </w:r>
      <w:proofErr w:type="spellStart"/>
      <w:r w:rsidR="0073666E" w:rsidRPr="0073666E">
        <w:rPr>
          <w:lang w:val="de-CH"/>
        </w:rPr>
        <w:t>lorsque</w:t>
      </w:r>
      <w:proofErr w:type="spellEnd"/>
      <w:r w:rsidR="0073666E" w:rsidRPr="0073666E">
        <w:rPr>
          <w:lang w:val="de-CH"/>
        </w:rPr>
        <w:t xml:space="preserve"> </w:t>
      </w:r>
      <w:proofErr w:type="spellStart"/>
      <w:r w:rsidR="0073666E" w:rsidRPr="0073666E">
        <w:rPr>
          <w:lang w:val="de-CH"/>
        </w:rPr>
        <w:t>l’infraction</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commise</w:t>
      </w:r>
      <w:proofErr w:type="spellEnd"/>
      <w:r w:rsidR="0073666E" w:rsidRPr="0073666E">
        <w:rPr>
          <w:lang w:val="de-CH"/>
        </w:rPr>
        <w:t xml:space="preserve"> par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ressortissant</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et/</w:t>
      </w:r>
      <w:proofErr w:type="spellStart"/>
      <w:r w:rsidR="0073666E" w:rsidRPr="0073666E">
        <w:rPr>
          <w:lang w:val="de-CH"/>
        </w:rPr>
        <w:t>ou</w:t>
      </w:r>
      <w:proofErr w:type="spellEnd"/>
      <w:r w:rsidR="0073666E" w:rsidRPr="0073666E">
        <w:rPr>
          <w:lang w:val="de-CH"/>
        </w:rPr>
        <w:t xml:space="preserve"> à </w:t>
      </w:r>
      <w:proofErr w:type="spellStart"/>
      <w:r w:rsidR="0073666E" w:rsidRPr="0073666E">
        <w:rPr>
          <w:lang w:val="de-CH"/>
        </w:rPr>
        <w:t>l’encontre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victime</w:t>
      </w:r>
      <w:proofErr w:type="spellEnd"/>
      <w:r w:rsidR="0073666E" w:rsidRPr="0073666E">
        <w:rPr>
          <w:lang w:val="de-CH"/>
        </w:rPr>
        <w:t xml:space="preserve"> de </w:t>
      </w:r>
      <w:proofErr w:type="spellStart"/>
      <w:r w:rsidR="0073666E" w:rsidRPr="0073666E">
        <w:rPr>
          <w:lang w:val="de-CH"/>
        </w:rPr>
        <w:t>nationalité</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w:t>
      </w:r>
    </w:p>
    <w:p w14:paraId="143772C7" w14:textId="77777777" w:rsidR="0073666E" w:rsidRPr="0073666E" w:rsidRDefault="00F5509B" w:rsidP="00F5509B">
      <w:pPr>
        <w:pStyle w:val="H1G"/>
        <w:rPr>
          <w:lang w:val="de-CH"/>
        </w:rPr>
      </w:pPr>
      <w:r>
        <w:rPr>
          <w:lang w:val="de-CH"/>
        </w:rPr>
        <w:tab/>
      </w:r>
      <w:r>
        <w:rPr>
          <w:lang w:val="de-CH"/>
        </w:rPr>
        <w:tab/>
      </w:r>
      <w:proofErr w:type="spellStart"/>
      <w:r w:rsidR="0073666E" w:rsidRPr="0073666E">
        <w:rPr>
          <w:lang w:val="de-CH"/>
        </w:rPr>
        <w:t>Article</w:t>
      </w:r>
      <w:proofErr w:type="spellEnd"/>
      <w:r w:rsidR="0073666E" w:rsidRPr="0073666E">
        <w:rPr>
          <w:lang w:val="de-CH"/>
        </w:rPr>
        <w:t xml:space="preserve"> 10</w:t>
      </w:r>
    </w:p>
    <w:p w14:paraId="2E3B0726" w14:textId="77777777" w:rsidR="0073666E" w:rsidRPr="0073666E" w:rsidRDefault="00F5509B" w:rsidP="00F5509B">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13</w:t>
      </w:r>
    </w:p>
    <w:p w14:paraId="298E01E4" w14:textId="77777777" w:rsidR="0073666E" w:rsidRPr="00F5509B" w:rsidRDefault="00F5509B" w:rsidP="00F5509B">
      <w:pPr>
        <w:pStyle w:val="SingleTxtG"/>
      </w:pPr>
      <w:r>
        <w:rPr>
          <w:lang w:val="de-CH"/>
        </w:rPr>
        <w:t>69.</w:t>
      </w:r>
      <w:r>
        <w:rPr>
          <w:lang w:val="de-CH"/>
        </w:rPr>
        <w:tab/>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paragraphes</w:t>
      </w:r>
      <w:proofErr w:type="spellEnd"/>
      <w:r w:rsidR="0073666E" w:rsidRPr="0073666E">
        <w:rPr>
          <w:lang w:val="de-CH"/>
        </w:rPr>
        <w:t xml:space="preserve"> </w:t>
      </w:r>
      <w:proofErr w:type="spellStart"/>
      <w:r w:rsidR="0073666E" w:rsidRPr="0073666E">
        <w:rPr>
          <w:lang w:val="de-CH"/>
        </w:rPr>
        <w:t>suivants</w:t>
      </w:r>
      <w:proofErr w:type="spellEnd"/>
      <w:r w:rsidR="0073666E" w:rsidRPr="0073666E">
        <w:rPr>
          <w:lang w:val="de-CH"/>
        </w:rPr>
        <w:t xml:space="preserve"> </w:t>
      </w:r>
      <w:proofErr w:type="spellStart"/>
      <w:r w:rsidR="0073666E" w:rsidRPr="0073666E">
        <w:rPr>
          <w:lang w:val="de-CH"/>
        </w:rPr>
        <w:t>contiennent</w:t>
      </w:r>
      <w:proofErr w:type="spellEnd"/>
      <w:r w:rsidR="0073666E" w:rsidRPr="0073666E">
        <w:rPr>
          <w:lang w:val="de-CH"/>
        </w:rPr>
        <w:t xml:space="preserve"> des </w:t>
      </w:r>
      <w:proofErr w:type="spellStart"/>
      <w:r w:rsidR="0073666E" w:rsidRPr="0073666E">
        <w:rPr>
          <w:lang w:val="de-CH"/>
        </w:rPr>
        <w:t>informations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filières</w:t>
      </w:r>
      <w:proofErr w:type="spellEnd"/>
      <w:r w:rsidR="0073666E" w:rsidRPr="0073666E">
        <w:rPr>
          <w:lang w:val="de-CH"/>
        </w:rPr>
        <w:t xml:space="preserve"> et </w:t>
      </w:r>
      <w:proofErr w:type="spellStart"/>
      <w:r w:rsidR="0073666E" w:rsidRPr="0073666E">
        <w:rPr>
          <w:lang w:val="de-CH"/>
        </w:rPr>
        <w:t>programmes</w:t>
      </w:r>
      <w:proofErr w:type="spellEnd"/>
      <w:r w:rsidR="0073666E" w:rsidRPr="0073666E">
        <w:rPr>
          <w:lang w:val="de-CH"/>
        </w:rPr>
        <w:t xml:space="preserve"> de </w:t>
      </w:r>
      <w:proofErr w:type="spellStart"/>
      <w:r w:rsidR="0073666E" w:rsidRPr="0073666E">
        <w:rPr>
          <w:lang w:val="de-CH"/>
        </w:rPr>
        <w:t>formation</w:t>
      </w:r>
      <w:proofErr w:type="spellEnd"/>
      <w:r w:rsidR="0073666E" w:rsidRPr="0073666E">
        <w:rPr>
          <w:lang w:val="de-CH"/>
        </w:rPr>
        <w:t xml:space="preserve"> </w:t>
      </w:r>
      <w:r w:rsidR="0073666E" w:rsidRPr="00F5509B">
        <w:t xml:space="preserve">destinés au personnel qui intervient dans la garde, l’interrogatoire ou le traitement de personnes privées de liberté. </w:t>
      </w:r>
    </w:p>
    <w:p w14:paraId="47EB4D70" w14:textId="77777777" w:rsidR="0073666E" w:rsidRPr="0073666E" w:rsidRDefault="00F5509B" w:rsidP="00F5509B">
      <w:pPr>
        <w:pStyle w:val="SingleTxtG"/>
        <w:rPr>
          <w:lang w:val="de-CH"/>
        </w:rPr>
      </w:pPr>
      <w:r>
        <w:lastRenderedPageBreak/>
        <w:t>70.</w:t>
      </w:r>
      <w:r>
        <w:tab/>
      </w:r>
      <w:r w:rsidR="0073666E" w:rsidRPr="00F5509B">
        <w:t>Le septième rapport périodique de la Suisse à l</w:t>
      </w:r>
      <w:r w:rsidR="00A27519">
        <w:t>’</w:t>
      </w:r>
      <w:r w:rsidR="0073666E" w:rsidRPr="00F5509B">
        <w:t>attention du CAT décrivait par le menu les filières de formation</w:t>
      </w:r>
      <w:r w:rsidR="0073666E" w:rsidRPr="0073666E">
        <w:t xml:space="preserve"> proposées au personnel par le CSCSP. </w:t>
      </w:r>
      <w:r w:rsidR="0073666E" w:rsidRPr="0073666E">
        <w:rPr>
          <w:lang w:val="de-CH"/>
        </w:rPr>
        <w:t xml:space="preserve">La </w:t>
      </w:r>
      <w:proofErr w:type="spellStart"/>
      <w:r w:rsidR="0073666E" w:rsidRPr="0073666E">
        <w:rPr>
          <w:lang w:val="de-CH"/>
        </w:rPr>
        <w:t>formation</w:t>
      </w:r>
      <w:proofErr w:type="spellEnd"/>
      <w:r w:rsidR="0073666E" w:rsidRPr="0073666E">
        <w:rPr>
          <w:lang w:val="de-CH"/>
        </w:rPr>
        <w:t xml:space="preserve"> </w:t>
      </w:r>
      <w:proofErr w:type="spellStart"/>
      <w:r w:rsidR="0073666E" w:rsidRPr="0073666E">
        <w:rPr>
          <w:lang w:val="de-CH"/>
        </w:rPr>
        <w:t>entièrement</w:t>
      </w:r>
      <w:proofErr w:type="spellEnd"/>
      <w:r w:rsidR="0073666E" w:rsidRPr="0073666E">
        <w:rPr>
          <w:lang w:val="de-CH"/>
        </w:rPr>
        <w:t xml:space="preserve"> </w:t>
      </w:r>
      <w:proofErr w:type="spellStart"/>
      <w:r w:rsidR="0073666E" w:rsidRPr="0073666E">
        <w:rPr>
          <w:lang w:val="de-CH"/>
        </w:rPr>
        <w:t>remaniée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étudiants</w:t>
      </w:r>
      <w:proofErr w:type="spellEnd"/>
      <w:r w:rsidR="0073666E" w:rsidRPr="0073666E">
        <w:rPr>
          <w:lang w:val="de-CH"/>
        </w:rPr>
        <w:t xml:space="preserve"> </w:t>
      </w:r>
      <w:proofErr w:type="spellStart"/>
      <w:r w:rsidR="0073666E" w:rsidRPr="0073666E">
        <w:rPr>
          <w:lang w:val="de-CH"/>
        </w:rPr>
        <w:t>suivent</w:t>
      </w:r>
      <w:proofErr w:type="spellEnd"/>
      <w:r w:rsidR="0073666E" w:rsidRPr="0073666E">
        <w:rPr>
          <w:lang w:val="de-CH"/>
        </w:rPr>
        <w:t xml:space="preserve"> en </w:t>
      </w:r>
      <w:proofErr w:type="spellStart"/>
      <w:r w:rsidR="0073666E" w:rsidRPr="0073666E">
        <w:rPr>
          <w:lang w:val="de-CH"/>
        </w:rPr>
        <w:t>vue</w:t>
      </w:r>
      <w:proofErr w:type="spellEnd"/>
      <w:r w:rsidR="0073666E" w:rsidRPr="0073666E">
        <w:rPr>
          <w:lang w:val="de-CH"/>
        </w:rPr>
        <w:t xml:space="preserve"> </w:t>
      </w:r>
      <w:proofErr w:type="spellStart"/>
      <w:r w:rsidR="0073666E" w:rsidRPr="0073666E">
        <w:rPr>
          <w:lang w:val="de-CH"/>
        </w:rPr>
        <w:t>d’obtenir</w:t>
      </w:r>
      <w:proofErr w:type="spellEnd"/>
      <w:r w:rsidR="0073666E" w:rsidRPr="0073666E">
        <w:rPr>
          <w:lang w:val="de-CH"/>
        </w:rPr>
        <w:t xml:space="preserve"> le </w:t>
      </w:r>
      <w:proofErr w:type="spellStart"/>
      <w:r w:rsidR="0073666E" w:rsidRPr="0073666E">
        <w:rPr>
          <w:lang w:val="de-CH"/>
        </w:rPr>
        <w:t>brevet</w:t>
      </w:r>
      <w:proofErr w:type="spellEnd"/>
      <w:r w:rsidR="0073666E" w:rsidRPr="0073666E">
        <w:rPr>
          <w:lang w:val="de-CH"/>
        </w:rPr>
        <w:t xml:space="preserve"> </w:t>
      </w:r>
      <w:proofErr w:type="spellStart"/>
      <w:r w:rsidR="0073666E" w:rsidRPr="0073666E">
        <w:rPr>
          <w:lang w:val="de-CH"/>
        </w:rPr>
        <w:t>fédéral</w:t>
      </w:r>
      <w:proofErr w:type="spellEnd"/>
      <w:r w:rsidR="0073666E" w:rsidRPr="0073666E">
        <w:rPr>
          <w:lang w:val="de-CH"/>
        </w:rPr>
        <w:t xml:space="preserve"> d’« </w:t>
      </w:r>
      <w:proofErr w:type="spellStart"/>
      <w:r w:rsidR="0073666E" w:rsidRPr="0073666E">
        <w:rPr>
          <w:lang w:val="de-CH"/>
        </w:rPr>
        <w:t>agent</w:t>
      </w:r>
      <w:proofErr w:type="spellEnd"/>
      <w:r w:rsidR="0073666E" w:rsidRPr="0073666E">
        <w:rPr>
          <w:lang w:val="de-CH"/>
        </w:rPr>
        <w:t xml:space="preserve"> de </w:t>
      </w:r>
      <w:proofErr w:type="spellStart"/>
      <w:r w:rsidR="0073666E" w:rsidRPr="0073666E">
        <w:rPr>
          <w:lang w:val="de-CH"/>
        </w:rPr>
        <w:t>détention</w:t>
      </w:r>
      <w:proofErr w:type="spellEnd"/>
      <w:r w:rsidR="0073666E" w:rsidRPr="0073666E">
        <w:rPr>
          <w:lang w:val="de-CH"/>
        </w:rPr>
        <w:t xml:space="preserve"> », </w:t>
      </w:r>
      <w:proofErr w:type="spellStart"/>
      <w:r w:rsidR="0073666E" w:rsidRPr="0073666E">
        <w:rPr>
          <w:lang w:val="de-CH"/>
        </w:rPr>
        <w:t>titre</w:t>
      </w:r>
      <w:proofErr w:type="spellEnd"/>
      <w:r w:rsidR="0073666E" w:rsidRPr="0073666E">
        <w:rPr>
          <w:lang w:val="de-CH"/>
        </w:rPr>
        <w:t xml:space="preserve"> </w:t>
      </w:r>
      <w:proofErr w:type="spellStart"/>
      <w:r w:rsidR="0073666E" w:rsidRPr="0073666E">
        <w:rPr>
          <w:lang w:val="de-CH"/>
        </w:rPr>
        <w:t>protégé</w:t>
      </w:r>
      <w:proofErr w:type="spellEnd"/>
      <w:r w:rsidR="0073666E" w:rsidRPr="0073666E">
        <w:rPr>
          <w:lang w:val="de-CH"/>
        </w:rPr>
        <w:t xml:space="preserve">, a </w:t>
      </w:r>
      <w:proofErr w:type="spellStart"/>
      <w:r w:rsidR="0073666E" w:rsidRPr="0073666E">
        <w:rPr>
          <w:lang w:val="de-CH"/>
        </w:rPr>
        <w:t>démarré</w:t>
      </w:r>
      <w:proofErr w:type="spellEnd"/>
      <w:r w:rsidR="0073666E" w:rsidRPr="0073666E">
        <w:rPr>
          <w:lang w:val="de-CH"/>
        </w:rPr>
        <w:t xml:space="preserve"> en </w:t>
      </w:r>
      <w:proofErr w:type="spellStart"/>
      <w:r w:rsidR="0073666E" w:rsidRPr="0073666E">
        <w:rPr>
          <w:lang w:val="de-CH"/>
        </w:rPr>
        <w:t>août</w:t>
      </w:r>
      <w:proofErr w:type="spellEnd"/>
      <w:r w:rsidR="0073666E" w:rsidRPr="0073666E">
        <w:rPr>
          <w:lang w:val="de-CH"/>
        </w:rPr>
        <w:t xml:space="preserve"> 2018. Le </w:t>
      </w:r>
      <w:proofErr w:type="spellStart"/>
      <w:r w:rsidR="0073666E" w:rsidRPr="0073666E">
        <w:rPr>
          <w:lang w:val="de-CH"/>
        </w:rPr>
        <w:t>nouvel</w:t>
      </w:r>
      <w:proofErr w:type="spellEnd"/>
      <w:r w:rsidR="0073666E" w:rsidRPr="0073666E">
        <w:rPr>
          <w:lang w:val="de-CH"/>
        </w:rPr>
        <w:t xml:space="preserve"> </w:t>
      </w:r>
      <w:proofErr w:type="spellStart"/>
      <w:r w:rsidR="0073666E" w:rsidRPr="0073666E">
        <w:rPr>
          <w:lang w:val="de-CH"/>
        </w:rPr>
        <w:t>examen</w:t>
      </w:r>
      <w:proofErr w:type="spellEnd"/>
      <w:r w:rsidR="0073666E" w:rsidRPr="0073666E">
        <w:rPr>
          <w:lang w:val="de-CH"/>
        </w:rPr>
        <w:t xml:space="preserve"> </w:t>
      </w:r>
      <w:proofErr w:type="spellStart"/>
      <w:r w:rsidR="0073666E" w:rsidRPr="0073666E">
        <w:rPr>
          <w:lang w:val="de-CH"/>
        </w:rPr>
        <w:t>aura</w:t>
      </w:r>
      <w:proofErr w:type="spellEnd"/>
      <w:r w:rsidR="0073666E" w:rsidRPr="0073666E">
        <w:rPr>
          <w:lang w:val="de-CH"/>
        </w:rPr>
        <w:t xml:space="preserve"> </w:t>
      </w:r>
      <w:proofErr w:type="spellStart"/>
      <w:r w:rsidR="0073666E" w:rsidRPr="0073666E">
        <w:rPr>
          <w:lang w:val="de-CH"/>
        </w:rPr>
        <w:t>lieu</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la </w:t>
      </w:r>
      <w:proofErr w:type="spellStart"/>
      <w:r w:rsidR="0073666E" w:rsidRPr="0073666E">
        <w:rPr>
          <w:lang w:val="de-CH"/>
        </w:rPr>
        <w:t>première</w:t>
      </w:r>
      <w:proofErr w:type="spellEnd"/>
      <w:r w:rsidR="0073666E" w:rsidRPr="0073666E">
        <w:rPr>
          <w:lang w:val="de-CH"/>
        </w:rPr>
        <w:t xml:space="preserve"> </w:t>
      </w:r>
      <w:proofErr w:type="spellStart"/>
      <w:r w:rsidR="0073666E" w:rsidRPr="0073666E">
        <w:rPr>
          <w:lang w:val="de-CH"/>
        </w:rPr>
        <w:t>fois</w:t>
      </w:r>
      <w:proofErr w:type="spellEnd"/>
      <w:r w:rsidR="0073666E" w:rsidRPr="0073666E">
        <w:rPr>
          <w:lang w:val="de-CH"/>
        </w:rPr>
        <w:t xml:space="preserve"> au </w:t>
      </w:r>
      <w:proofErr w:type="spellStart"/>
      <w:r w:rsidR="0073666E" w:rsidRPr="0073666E">
        <w:rPr>
          <w:lang w:val="de-CH"/>
        </w:rPr>
        <w:t>terme</w:t>
      </w:r>
      <w:proofErr w:type="spellEnd"/>
      <w:r w:rsidR="0073666E" w:rsidRPr="0073666E">
        <w:rPr>
          <w:lang w:val="de-CH"/>
        </w:rPr>
        <w:t xml:space="preserve"> de la </w:t>
      </w:r>
      <w:proofErr w:type="spellStart"/>
      <w:r w:rsidR="0073666E" w:rsidRPr="0073666E">
        <w:rPr>
          <w:lang w:val="de-CH"/>
        </w:rPr>
        <w:t>formation</w:t>
      </w:r>
      <w:proofErr w:type="spellEnd"/>
      <w:r w:rsidR="0073666E" w:rsidRPr="0073666E">
        <w:rPr>
          <w:lang w:val="de-CH"/>
        </w:rPr>
        <w:t xml:space="preserve"> de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première</w:t>
      </w:r>
      <w:proofErr w:type="spellEnd"/>
      <w:r w:rsidR="0073666E" w:rsidRPr="0073666E">
        <w:rPr>
          <w:lang w:val="de-CH"/>
        </w:rPr>
        <w:t xml:space="preserve"> </w:t>
      </w:r>
      <w:proofErr w:type="spellStart"/>
      <w:r w:rsidR="0073666E" w:rsidRPr="0073666E">
        <w:rPr>
          <w:lang w:val="de-CH"/>
        </w:rPr>
        <w:t>volée</w:t>
      </w:r>
      <w:proofErr w:type="spellEnd"/>
      <w:r w:rsidR="0073666E" w:rsidRPr="0073666E">
        <w:rPr>
          <w:lang w:val="de-CH"/>
        </w:rPr>
        <w:t xml:space="preserve"> (</w:t>
      </w:r>
      <w:proofErr w:type="spellStart"/>
      <w:r w:rsidR="0073666E" w:rsidRPr="0073666E">
        <w:rPr>
          <w:lang w:val="de-CH"/>
        </w:rPr>
        <w:t>d’août</w:t>
      </w:r>
      <w:proofErr w:type="spellEnd"/>
      <w:r w:rsidR="0073666E" w:rsidRPr="0073666E">
        <w:rPr>
          <w:lang w:val="de-CH"/>
        </w:rPr>
        <w:t xml:space="preserve"> 2018 à </w:t>
      </w:r>
      <w:proofErr w:type="spellStart"/>
      <w:r w:rsidR="0073666E" w:rsidRPr="0073666E">
        <w:rPr>
          <w:lang w:val="de-CH"/>
        </w:rPr>
        <w:t>juillet</w:t>
      </w:r>
      <w:proofErr w:type="spellEnd"/>
      <w:r w:rsidR="0073666E" w:rsidRPr="0073666E">
        <w:rPr>
          <w:lang w:val="de-CH"/>
        </w:rPr>
        <w:t xml:space="preserve"> 2020), en 2020. La </w:t>
      </w:r>
      <w:proofErr w:type="spellStart"/>
      <w:r w:rsidR="0073666E" w:rsidRPr="0073666E">
        <w:rPr>
          <w:lang w:val="de-CH"/>
        </w:rPr>
        <w:t>formation</w:t>
      </w:r>
      <w:proofErr w:type="spellEnd"/>
      <w:r w:rsidR="0073666E" w:rsidRPr="0073666E">
        <w:rPr>
          <w:lang w:val="de-CH"/>
        </w:rPr>
        <w:t xml:space="preserve"> de </w:t>
      </w:r>
      <w:proofErr w:type="spellStart"/>
      <w:r w:rsidR="0073666E" w:rsidRPr="0073666E">
        <w:rPr>
          <w:lang w:val="de-CH"/>
        </w:rPr>
        <w:t>cadre</w:t>
      </w:r>
      <w:proofErr w:type="spellEnd"/>
      <w:r w:rsidR="0073666E" w:rsidRPr="0073666E">
        <w:rPr>
          <w:lang w:val="de-CH"/>
        </w:rPr>
        <w:t xml:space="preserve"> CSCSP, </w:t>
      </w:r>
      <w:proofErr w:type="spellStart"/>
      <w:r w:rsidR="0073666E" w:rsidRPr="0073666E">
        <w:rPr>
          <w:lang w:val="de-CH"/>
        </w:rPr>
        <w:t>elle</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remaniée</w:t>
      </w:r>
      <w:proofErr w:type="spellEnd"/>
      <w:r w:rsidR="0073666E" w:rsidRPr="0073666E">
        <w:rPr>
          <w:lang w:val="de-CH"/>
        </w:rPr>
        <w:t xml:space="preserve">, </w:t>
      </w:r>
      <w:proofErr w:type="spellStart"/>
      <w:r w:rsidR="0073666E" w:rsidRPr="0073666E">
        <w:rPr>
          <w:lang w:val="de-CH"/>
        </w:rPr>
        <w:t>démarre</w:t>
      </w:r>
      <w:proofErr w:type="spellEnd"/>
      <w:r w:rsidR="0073666E" w:rsidRPr="0073666E">
        <w:rPr>
          <w:lang w:val="de-CH"/>
        </w:rPr>
        <w:t xml:space="preserve"> </w:t>
      </w:r>
      <w:proofErr w:type="spellStart"/>
      <w:r w:rsidR="0073666E" w:rsidRPr="0073666E">
        <w:rPr>
          <w:lang w:val="de-CH"/>
        </w:rPr>
        <w:t>début</w:t>
      </w:r>
      <w:proofErr w:type="spellEnd"/>
      <w:r w:rsidR="0073666E" w:rsidRPr="0073666E">
        <w:rPr>
          <w:lang w:val="de-CH"/>
        </w:rPr>
        <w:t xml:space="preserve"> 2019. </w:t>
      </w:r>
      <w:proofErr w:type="spellStart"/>
      <w:r w:rsidR="0073666E" w:rsidRPr="0073666E">
        <w:rPr>
          <w:lang w:val="de-CH"/>
        </w:rPr>
        <w:t>Sanctionnée</w:t>
      </w:r>
      <w:proofErr w:type="spellEnd"/>
      <w:r w:rsidR="0073666E" w:rsidRPr="0073666E">
        <w:rPr>
          <w:lang w:val="de-CH"/>
        </w:rPr>
        <w:t xml:space="preserve"> par le </w:t>
      </w:r>
      <w:proofErr w:type="spellStart"/>
      <w:r w:rsidR="0073666E" w:rsidRPr="0073666E">
        <w:rPr>
          <w:lang w:val="de-CH"/>
        </w:rPr>
        <w:t>diplôme</w:t>
      </w:r>
      <w:proofErr w:type="spellEnd"/>
      <w:r w:rsidR="0073666E" w:rsidRPr="0073666E">
        <w:rPr>
          <w:lang w:val="de-CH"/>
        </w:rPr>
        <w:t xml:space="preserve"> </w:t>
      </w:r>
      <w:proofErr w:type="spellStart"/>
      <w:r w:rsidR="0073666E" w:rsidRPr="0073666E">
        <w:rPr>
          <w:lang w:val="de-CH"/>
        </w:rPr>
        <w:t>fédéral</w:t>
      </w:r>
      <w:proofErr w:type="spellEnd"/>
      <w:r w:rsidR="0073666E" w:rsidRPr="0073666E">
        <w:rPr>
          <w:lang w:val="de-CH"/>
        </w:rPr>
        <w:t xml:space="preserve"> d’« expert en </w:t>
      </w:r>
      <w:proofErr w:type="spellStart"/>
      <w:r w:rsidR="0073666E" w:rsidRPr="0073666E">
        <w:rPr>
          <w:lang w:val="de-CH"/>
        </w:rPr>
        <w:t>management</w:t>
      </w:r>
      <w:proofErr w:type="spellEnd"/>
      <w:r w:rsidR="0073666E" w:rsidRPr="0073666E">
        <w:rPr>
          <w:lang w:val="de-CH"/>
        </w:rPr>
        <w:t xml:space="preserve"> du </w:t>
      </w:r>
      <w:proofErr w:type="spellStart"/>
      <w:r w:rsidR="0073666E" w:rsidRPr="0073666E">
        <w:rPr>
          <w:lang w:val="de-CH"/>
        </w:rPr>
        <w:t>domaine</w:t>
      </w:r>
      <w:proofErr w:type="spellEnd"/>
      <w:r w:rsidR="0073666E" w:rsidRPr="0073666E">
        <w:rPr>
          <w:lang w:val="de-CH"/>
        </w:rPr>
        <w:t xml:space="preserve"> des </w:t>
      </w:r>
      <w:proofErr w:type="spellStart"/>
      <w:r w:rsidR="0073666E" w:rsidRPr="0073666E">
        <w:rPr>
          <w:lang w:val="de-CH"/>
        </w:rPr>
        <w:t>privations</w:t>
      </w:r>
      <w:proofErr w:type="spellEnd"/>
      <w:r w:rsidR="0073666E" w:rsidRPr="0073666E">
        <w:rPr>
          <w:lang w:val="de-CH"/>
        </w:rPr>
        <w:t xml:space="preserve"> de </w:t>
      </w:r>
      <w:proofErr w:type="spellStart"/>
      <w:r w:rsidR="0073666E" w:rsidRPr="0073666E">
        <w:rPr>
          <w:lang w:val="de-CH"/>
        </w:rPr>
        <w:t>liberté</w:t>
      </w:r>
      <w:proofErr w:type="spellEnd"/>
      <w:r w:rsidR="0073666E" w:rsidRPr="0073666E">
        <w:rPr>
          <w:lang w:val="de-CH"/>
        </w:rPr>
        <w:t xml:space="preserve"> », </w:t>
      </w:r>
      <w:proofErr w:type="spellStart"/>
      <w:r w:rsidR="0073666E" w:rsidRPr="0073666E">
        <w:rPr>
          <w:lang w:val="de-CH"/>
        </w:rPr>
        <w:t>elle</w:t>
      </w:r>
      <w:proofErr w:type="spellEnd"/>
      <w:r w:rsidR="0073666E" w:rsidRPr="0073666E">
        <w:rPr>
          <w:lang w:val="de-CH"/>
        </w:rPr>
        <w:t xml:space="preserve"> </w:t>
      </w:r>
      <w:proofErr w:type="spellStart"/>
      <w:r w:rsidR="0073666E" w:rsidRPr="0073666E">
        <w:rPr>
          <w:lang w:val="de-CH"/>
        </w:rPr>
        <w:t>s’adresse</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exercent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fonction</w:t>
      </w:r>
      <w:proofErr w:type="spellEnd"/>
      <w:r w:rsidR="0073666E" w:rsidRPr="0073666E">
        <w:rPr>
          <w:lang w:val="de-CH"/>
        </w:rPr>
        <w:t xml:space="preserve"> de </w:t>
      </w:r>
      <w:proofErr w:type="spellStart"/>
      <w:r w:rsidR="0073666E" w:rsidRPr="0073666E">
        <w:rPr>
          <w:lang w:val="de-CH"/>
        </w:rPr>
        <w:t>cadre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l’exécution</w:t>
      </w:r>
      <w:proofErr w:type="spellEnd"/>
      <w:r w:rsidR="0073666E" w:rsidRPr="0073666E">
        <w:rPr>
          <w:lang w:val="de-CH"/>
        </w:rPr>
        <w:t xml:space="preserve"> de la </w:t>
      </w:r>
      <w:proofErr w:type="spellStart"/>
      <w:r w:rsidR="0073666E" w:rsidRPr="0073666E">
        <w:rPr>
          <w:lang w:val="de-CH"/>
        </w:rPr>
        <w:t>justice</w:t>
      </w:r>
      <w:proofErr w:type="spellEnd"/>
      <w:r w:rsidR="0073666E" w:rsidRPr="0073666E">
        <w:rPr>
          <w:lang w:val="de-CH"/>
        </w:rPr>
        <w:t xml:space="preserve">. Le </w:t>
      </w:r>
      <w:proofErr w:type="spellStart"/>
      <w:r w:rsidR="0073666E" w:rsidRPr="0073666E">
        <w:rPr>
          <w:lang w:val="de-CH"/>
        </w:rPr>
        <w:t>premier</w:t>
      </w:r>
      <w:proofErr w:type="spellEnd"/>
      <w:r w:rsidR="0073666E" w:rsidRPr="0073666E">
        <w:rPr>
          <w:lang w:val="de-CH"/>
        </w:rPr>
        <w:t xml:space="preserve"> </w:t>
      </w:r>
      <w:proofErr w:type="spellStart"/>
      <w:r w:rsidR="0073666E" w:rsidRPr="0073666E">
        <w:rPr>
          <w:lang w:val="de-CH"/>
        </w:rPr>
        <w:t>examen</w:t>
      </w:r>
      <w:proofErr w:type="spellEnd"/>
      <w:r w:rsidR="0073666E" w:rsidRPr="0073666E">
        <w:rPr>
          <w:lang w:val="de-CH"/>
        </w:rPr>
        <w:t xml:space="preserve"> </w:t>
      </w:r>
      <w:proofErr w:type="spellStart"/>
      <w:r w:rsidR="0073666E" w:rsidRPr="0073666E">
        <w:rPr>
          <w:lang w:val="de-CH"/>
        </w:rPr>
        <w:t>aura</w:t>
      </w:r>
      <w:proofErr w:type="spellEnd"/>
      <w:r w:rsidR="0073666E" w:rsidRPr="0073666E">
        <w:rPr>
          <w:lang w:val="de-CH"/>
        </w:rPr>
        <w:t xml:space="preserve"> </w:t>
      </w:r>
      <w:proofErr w:type="spellStart"/>
      <w:r w:rsidR="0073666E" w:rsidRPr="0073666E">
        <w:rPr>
          <w:lang w:val="de-CH"/>
        </w:rPr>
        <w:t>lieu</w:t>
      </w:r>
      <w:proofErr w:type="spellEnd"/>
      <w:r w:rsidR="0073666E" w:rsidRPr="0073666E">
        <w:rPr>
          <w:lang w:val="de-CH"/>
        </w:rPr>
        <w:t xml:space="preserve"> en 2021.</w:t>
      </w:r>
    </w:p>
    <w:p w14:paraId="290691B6" w14:textId="77777777" w:rsidR="0073666E" w:rsidRPr="0073666E" w:rsidRDefault="00F5509B" w:rsidP="00F5509B">
      <w:pPr>
        <w:pStyle w:val="SingleTxtG"/>
        <w:rPr>
          <w:lang w:val="de-CH"/>
        </w:rPr>
      </w:pPr>
      <w:r>
        <w:t>71.</w:t>
      </w:r>
      <w:r>
        <w:tab/>
      </w:r>
      <w:r w:rsidR="0073666E" w:rsidRPr="0073666E">
        <w:t xml:space="preserve">Tous les ans, 180 à 210 futurs agents de détention, issus de toute la Suisse, commencent leur formation de base au CSCSP, d’une durée de 15 semaines sur deux ans, qu’ils suivent en cours d’emploi. </w:t>
      </w:r>
      <w:r w:rsidR="0073666E" w:rsidRPr="0073666E">
        <w:rPr>
          <w:lang w:val="de-CH"/>
        </w:rPr>
        <w:t xml:space="preserve">Il </w:t>
      </w:r>
      <w:proofErr w:type="spellStart"/>
      <w:r w:rsidR="0073666E" w:rsidRPr="0073666E">
        <w:rPr>
          <w:lang w:val="de-CH"/>
        </w:rPr>
        <w:t>s’agit</w:t>
      </w:r>
      <w:proofErr w:type="spellEnd"/>
      <w:r w:rsidR="0073666E" w:rsidRPr="0073666E">
        <w:rPr>
          <w:lang w:val="de-CH"/>
        </w:rPr>
        <w:t xml:space="preserve"> de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recrutées</w:t>
      </w:r>
      <w:proofErr w:type="spellEnd"/>
      <w:r w:rsidR="0073666E" w:rsidRPr="0073666E">
        <w:rPr>
          <w:lang w:val="de-CH"/>
        </w:rPr>
        <w:t xml:space="preserve"> par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institution</w:t>
      </w:r>
      <w:proofErr w:type="spellEnd"/>
      <w:r w:rsidR="0073666E" w:rsidRPr="0073666E">
        <w:rPr>
          <w:lang w:val="de-CH"/>
        </w:rPr>
        <w:t xml:space="preserve"> </w:t>
      </w:r>
      <w:proofErr w:type="spellStart"/>
      <w:r w:rsidR="0073666E" w:rsidRPr="0073666E">
        <w:rPr>
          <w:lang w:val="de-CH"/>
        </w:rPr>
        <w:t>d’exécution</w:t>
      </w:r>
      <w:proofErr w:type="spellEnd"/>
      <w:r w:rsidR="0073666E" w:rsidRPr="0073666E">
        <w:rPr>
          <w:lang w:val="de-CH"/>
        </w:rPr>
        <w:t xml:space="preserve"> en </w:t>
      </w:r>
      <w:proofErr w:type="spellStart"/>
      <w:r w:rsidR="0073666E" w:rsidRPr="0073666E">
        <w:rPr>
          <w:lang w:val="de-CH"/>
        </w:rPr>
        <w:t>tant</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futur</w:t>
      </w:r>
      <w:proofErr w:type="spellEnd"/>
      <w:r w:rsidR="0073666E" w:rsidRPr="0073666E">
        <w:rPr>
          <w:lang w:val="de-CH"/>
        </w:rPr>
        <w:t xml:space="preserve"> </w:t>
      </w:r>
      <w:proofErr w:type="spellStart"/>
      <w:r w:rsidR="0073666E" w:rsidRPr="0073666E">
        <w:rPr>
          <w:lang w:val="de-CH"/>
        </w:rPr>
        <w:t>spécialiste</w:t>
      </w:r>
      <w:proofErr w:type="spellEnd"/>
      <w:r w:rsidR="0073666E" w:rsidRPr="0073666E">
        <w:rPr>
          <w:lang w:val="de-CH"/>
        </w:rPr>
        <w:t xml:space="preserve"> et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suivent</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formation</w:t>
      </w:r>
      <w:proofErr w:type="spellEnd"/>
      <w:r w:rsidR="0073666E" w:rsidRPr="0073666E">
        <w:rPr>
          <w:lang w:val="de-CH"/>
        </w:rPr>
        <w:t xml:space="preserve">, après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phase</w:t>
      </w:r>
      <w:proofErr w:type="spellEnd"/>
      <w:r w:rsidR="0073666E" w:rsidRPr="0073666E">
        <w:rPr>
          <w:lang w:val="de-CH"/>
        </w:rPr>
        <w:t xml:space="preserve"> </w:t>
      </w:r>
      <w:proofErr w:type="spellStart"/>
      <w:r w:rsidR="0073666E" w:rsidRPr="0073666E">
        <w:rPr>
          <w:lang w:val="de-CH"/>
        </w:rPr>
        <w:t>d’introduction</w:t>
      </w:r>
      <w:proofErr w:type="spellEnd"/>
      <w:r w:rsidR="0073666E" w:rsidRPr="0073666E">
        <w:rPr>
          <w:lang w:val="de-CH"/>
        </w:rPr>
        <w:t xml:space="preserve">, en </w:t>
      </w:r>
      <w:proofErr w:type="spellStart"/>
      <w:r w:rsidR="0073666E" w:rsidRPr="0073666E">
        <w:rPr>
          <w:lang w:val="de-CH"/>
        </w:rPr>
        <w:t>vue</w:t>
      </w:r>
      <w:proofErr w:type="spellEnd"/>
      <w:r w:rsidR="0073666E" w:rsidRPr="0073666E">
        <w:rPr>
          <w:lang w:val="de-CH"/>
        </w:rPr>
        <w:t xml:space="preserve"> </w:t>
      </w:r>
      <w:proofErr w:type="spellStart"/>
      <w:r w:rsidR="0073666E" w:rsidRPr="0073666E">
        <w:rPr>
          <w:lang w:val="de-CH"/>
        </w:rPr>
        <w:t>d’obtenir</w:t>
      </w:r>
      <w:proofErr w:type="spellEnd"/>
      <w:r w:rsidR="0073666E" w:rsidRPr="0073666E">
        <w:rPr>
          <w:lang w:val="de-CH"/>
        </w:rPr>
        <w:t xml:space="preserve"> le </w:t>
      </w:r>
      <w:proofErr w:type="spellStart"/>
      <w:r w:rsidR="0073666E" w:rsidRPr="0073666E">
        <w:rPr>
          <w:lang w:val="de-CH"/>
        </w:rPr>
        <w:t>brevet</w:t>
      </w:r>
      <w:proofErr w:type="spellEnd"/>
      <w:r w:rsidR="0073666E" w:rsidRPr="0073666E">
        <w:rPr>
          <w:lang w:val="de-CH"/>
        </w:rPr>
        <w:t xml:space="preserve"> </w:t>
      </w:r>
      <w:proofErr w:type="spellStart"/>
      <w:r w:rsidR="0073666E" w:rsidRPr="0073666E">
        <w:rPr>
          <w:lang w:val="de-CH"/>
        </w:rPr>
        <w:t>fédéral</w:t>
      </w:r>
      <w:proofErr w:type="spellEnd"/>
      <w:r w:rsidR="0073666E" w:rsidRPr="0073666E">
        <w:rPr>
          <w:lang w:val="de-CH"/>
        </w:rPr>
        <w:t>.</w:t>
      </w:r>
    </w:p>
    <w:p w14:paraId="7C10CCA7" w14:textId="77777777" w:rsidR="0073666E" w:rsidRPr="00F5509B" w:rsidRDefault="00F5509B" w:rsidP="00F5509B">
      <w:pPr>
        <w:pStyle w:val="SingleTxtG"/>
      </w:pPr>
      <w:r>
        <w:rPr>
          <w:lang w:val="de-CH"/>
        </w:rPr>
        <w:t>72.</w:t>
      </w:r>
      <w:r>
        <w:rPr>
          <w:lang w:val="de-CH"/>
        </w:rPr>
        <w:tab/>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deux ans, 48 </w:t>
      </w:r>
      <w:proofErr w:type="spellStart"/>
      <w:r w:rsidR="0073666E" w:rsidRPr="0073666E">
        <w:rPr>
          <w:lang w:val="de-CH"/>
        </w:rPr>
        <w:t>personnes</w:t>
      </w:r>
      <w:proofErr w:type="spellEnd"/>
      <w:r w:rsidR="0073666E" w:rsidRPr="0073666E">
        <w:rPr>
          <w:lang w:val="de-CH"/>
        </w:rPr>
        <w:t xml:space="preserve"> au maximum </w:t>
      </w:r>
      <w:proofErr w:type="spellStart"/>
      <w:r w:rsidR="0073666E" w:rsidRPr="0073666E">
        <w:rPr>
          <w:lang w:val="de-CH"/>
        </w:rPr>
        <w:t>entament</w:t>
      </w:r>
      <w:proofErr w:type="spellEnd"/>
      <w:r w:rsidR="0073666E" w:rsidRPr="0073666E">
        <w:rPr>
          <w:lang w:val="de-CH"/>
        </w:rPr>
        <w:t xml:space="preserve"> la </w:t>
      </w:r>
      <w:proofErr w:type="spellStart"/>
      <w:r w:rsidR="0073666E" w:rsidRPr="0073666E">
        <w:rPr>
          <w:lang w:val="de-CH"/>
        </w:rPr>
        <w:t>formation</w:t>
      </w:r>
      <w:proofErr w:type="spellEnd"/>
      <w:r w:rsidR="0073666E" w:rsidRPr="0073666E">
        <w:rPr>
          <w:lang w:val="de-CH"/>
        </w:rPr>
        <w:t xml:space="preserve"> de </w:t>
      </w:r>
      <w:proofErr w:type="spellStart"/>
      <w:r w:rsidR="0073666E" w:rsidRPr="0073666E">
        <w:rPr>
          <w:lang w:val="de-CH"/>
        </w:rPr>
        <w:t>cadre</w:t>
      </w:r>
      <w:proofErr w:type="spellEnd"/>
      <w:r w:rsidR="0073666E" w:rsidRPr="0073666E">
        <w:rPr>
          <w:lang w:val="de-CH"/>
        </w:rPr>
        <w:t xml:space="preserve">. Celle-ci </w:t>
      </w:r>
      <w:r w:rsidR="0073666E" w:rsidRPr="00F5509B">
        <w:t>s’adresse généralement à des individus qui exercent déjà une fonction dans l’encadrement d’une institution d’exécution ou qui sont sur le point d’en exercer une.</w:t>
      </w:r>
    </w:p>
    <w:p w14:paraId="2B882532" w14:textId="77777777" w:rsidR="0073666E" w:rsidRPr="00F5509B" w:rsidRDefault="00F5509B" w:rsidP="00F5509B">
      <w:pPr>
        <w:pStyle w:val="SingleTxtG"/>
      </w:pPr>
      <w:r>
        <w:t>73.</w:t>
      </w:r>
      <w:r>
        <w:tab/>
      </w:r>
      <w:r w:rsidR="0073666E" w:rsidRPr="00F5509B">
        <w:t>L’examen et la formation qui y prépare reposent sur ce qu’on appelle un profil de qualification. La première étape consiste à élaborer ce profil en collaboration avec des personnes travaillant dans le domaine professionnel correspondant. Une fois le profil de qualification établi, on fixe dans une deuxième étape les compétences à évaluer. Ce n’est que dans une troisième étape que la formation (objectifs de la formation, principes didactiques, moyens d’enseignement) préparant à l’examen est conçue.</w:t>
      </w:r>
    </w:p>
    <w:p w14:paraId="2107B2D4" w14:textId="77777777" w:rsidR="0073666E" w:rsidRPr="00F5509B" w:rsidRDefault="00F5509B" w:rsidP="00F5509B">
      <w:pPr>
        <w:pStyle w:val="SingleTxtG"/>
      </w:pPr>
      <w:r>
        <w:t>74.</w:t>
      </w:r>
      <w:r>
        <w:tab/>
      </w:r>
      <w:r w:rsidR="0073666E" w:rsidRPr="00F5509B">
        <w:t>Le profil de compétence opérationnelle englobe les domaines suivants</w:t>
      </w:r>
      <w:r w:rsidR="00222D58">
        <w:t> </w:t>
      </w:r>
      <w:r w:rsidR="0073666E" w:rsidRPr="00F5509B">
        <w:t>: s’occuper des détenus et les accompagner</w:t>
      </w:r>
      <w:r w:rsidR="000A0B7E">
        <w:t> </w:t>
      </w:r>
      <w:r w:rsidR="0073666E" w:rsidRPr="00F5509B">
        <w:t>; organiser le travail et l’occupation des détenus</w:t>
      </w:r>
      <w:r w:rsidR="000A0B7E">
        <w:t> </w:t>
      </w:r>
      <w:r w:rsidR="0073666E" w:rsidRPr="00F5509B">
        <w:t>; maintenir la sécurité et l’ordre parmi les détenus</w:t>
      </w:r>
      <w:r w:rsidR="00B32361">
        <w:t> </w:t>
      </w:r>
      <w:r w:rsidR="0073666E" w:rsidRPr="00F5509B">
        <w:t>; garder les détenus en bonne santé</w:t>
      </w:r>
      <w:r w:rsidR="000A0B7E">
        <w:t> </w:t>
      </w:r>
      <w:r w:rsidR="0073666E" w:rsidRPr="00F5509B">
        <w:t>; s’autogérer et collaborer au sein de l’organisation.</w:t>
      </w:r>
    </w:p>
    <w:p w14:paraId="3F642351" w14:textId="77777777" w:rsidR="0073666E" w:rsidRPr="00F5509B" w:rsidRDefault="00F5509B" w:rsidP="00F5509B">
      <w:pPr>
        <w:pStyle w:val="SingleTxtG"/>
      </w:pPr>
      <w:r>
        <w:t>75.</w:t>
      </w:r>
      <w:r>
        <w:tab/>
      </w:r>
      <w:r w:rsidR="0073666E" w:rsidRPr="00F5509B">
        <w:t>Lors des examens, les candidats démontrent qu’ils possèdent des connaissances, la compréhension, la routine et la capacité d’analyse nécessaires dans tous leurs domaines d’activité. Ils doivent en outre réaliser une étude de cas dirigée comportant plusieurs tâches. L’objectif est de contrôler s’ils peuvent analyser, concevoir et mettre en œuvre, concrètement, les principales activités et processus. Ils doivent aussi traiter différentes tâches dans le cadre d’un examen oral et pratique.</w:t>
      </w:r>
    </w:p>
    <w:p w14:paraId="7FABAC05" w14:textId="77777777" w:rsidR="0073666E" w:rsidRPr="00F5509B" w:rsidRDefault="00F5509B" w:rsidP="00F5509B">
      <w:pPr>
        <w:pStyle w:val="SingleTxtG"/>
      </w:pPr>
      <w:r>
        <w:t>76.</w:t>
      </w:r>
      <w:r>
        <w:tab/>
      </w:r>
      <w:r w:rsidR="0073666E" w:rsidRPr="00F5509B">
        <w:t>Dans un processus analogue, le nouveau profil de qualification des cadres a été retravaillé sous la surveillance du Secrétariat d’</w:t>
      </w:r>
      <w:r w:rsidR="00D94D41">
        <w:t>État</w:t>
      </w:r>
      <w:r w:rsidR="0073666E" w:rsidRPr="00F5509B">
        <w:t xml:space="preserve"> à formation, à la recherche et à l’innovation (SEFRI). </w:t>
      </w:r>
    </w:p>
    <w:p w14:paraId="77F33499" w14:textId="77777777" w:rsidR="0073666E" w:rsidRPr="0073666E" w:rsidRDefault="00F5509B" w:rsidP="00F5509B">
      <w:pPr>
        <w:pStyle w:val="SingleTxtG"/>
      </w:pPr>
      <w:r>
        <w:t>77.</w:t>
      </w:r>
      <w:r>
        <w:tab/>
      </w:r>
      <w:r w:rsidR="0073666E" w:rsidRPr="00F5509B">
        <w:t>Le nouveau profil de compétence opérationnelle mis au point contient 37 compétences jugées importantes pour</w:t>
      </w:r>
      <w:r w:rsidR="0073666E" w:rsidRPr="0073666E">
        <w:t xml:space="preserve"> la maîtrise du quotidien professionnel, qu’on peut regrouper dans les domaines suivants</w:t>
      </w:r>
      <w:r w:rsidR="00222D58">
        <w:t> </w:t>
      </w:r>
      <w:r w:rsidR="0073666E" w:rsidRPr="0073666E">
        <w:t>: diriger les collaborateurs d’un établissement de détention</w:t>
      </w:r>
      <w:r w:rsidR="000A0B7E">
        <w:t> </w:t>
      </w:r>
      <w:r w:rsidR="0073666E" w:rsidRPr="0073666E">
        <w:t>; organiser le travail des collaborateurs d’une institution d’exécution</w:t>
      </w:r>
      <w:r w:rsidR="000A0B7E">
        <w:t> </w:t>
      </w:r>
      <w:r w:rsidR="0073666E" w:rsidRPr="0073666E">
        <w:t>; organiser la vie quotidienne des détenus</w:t>
      </w:r>
      <w:r w:rsidR="00B32361">
        <w:t> </w:t>
      </w:r>
      <w:r w:rsidR="0073666E" w:rsidRPr="0073666E">
        <w:t>; garantir la sécurité et l’ordre dans l’institution</w:t>
      </w:r>
      <w:r w:rsidR="000A0B7E">
        <w:t> </w:t>
      </w:r>
      <w:r w:rsidR="0073666E" w:rsidRPr="0073666E">
        <w:t>; collaborer avec des groupes d’interlocuteurs internes et externes.</w:t>
      </w:r>
    </w:p>
    <w:p w14:paraId="4835CA4B" w14:textId="77777777" w:rsidR="0073666E" w:rsidRPr="0073666E" w:rsidRDefault="00F5509B" w:rsidP="00F5509B">
      <w:pPr>
        <w:pStyle w:val="SingleTxtG"/>
      </w:pPr>
      <w:r>
        <w:t>78.</w:t>
      </w:r>
      <w:r>
        <w:tab/>
      </w:r>
      <w:r w:rsidR="0073666E" w:rsidRPr="0073666E">
        <w:t>Une des compétences sociales et personnelles indispensables et qui doit être renforcée pendant la formation consiste dans une attitude générale humaine</w:t>
      </w:r>
      <w:r w:rsidR="00222D58">
        <w:t> </w:t>
      </w:r>
      <w:r w:rsidR="0073666E" w:rsidRPr="0073666E">
        <w:t>: les experts en management du domaine des privations de liberté</w:t>
      </w:r>
      <w:r w:rsidR="00222D58">
        <w:t> :</w:t>
      </w:r>
    </w:p>
    <w:p w14:paraId="529E6AB3"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F5509B" w:rsidRPr="0073666E">
        <w:t>Abordent c</w:t>
      </w:r>
      <w:r w:rsidR="0073666E" w:rsidRPr="0073666E">
        <w:t>ollaborateurs et détenus avec respect</w:t>
      </w:r>
      <w:r w:rsidR="00527D6A">
        <w:t> ;</w:t>
      </w:r>
    </w:p>
    <w:p w14:paraId="22702B7F"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F5509B" w:rsidRPr="0073666E">
        <w:t>Évitent toute discrimination</w:t>
      </w:r>
      <w:r w:rsidR="00527D6A">
        <w:t> ;</w:t>
      </w:r>
    </w:p>
    <w:p w14:paraId="44417224" w14:textId="77777777" w:rsidR="0073666E" w:rsidRPr="0073666E" w:rsidRDefault="00971C84" w:rsidP="00971C84">
      <w:pPr>
        <w:pStyle w:val="Bullet1G"/>
        <w:numPr>
          <w:ilvl w:val="0"/>
          <w:numId w:val="0"/>
        </w:numPr>
        <w:tabs>
          <w:tab w:val="left" w:pos="1701"/>
        </w:tabs>
        <w:ind w:left="1701" w:hanging="170"/>
      </w:pPr>
      <w:r w:rsidRPr="0073666E">
        <w:t>•</w:t>
      </w:r>
      <w:r w:rsidRPr="0073666E">
        <w:tab/>
      </w:r>
      <w:r w:rsidR="00F5509B" w:rsidRPr="0073666E">
        <w:t xml:space="preserve">Savent trouver </w:t>
      </w:r>
      <w:r w:rsidR="0073666E" w:rsidRPr="0073666E">
        <w:t>le bon équilibre entre égalité de traitement et individualisation.</w:t>
      </w:r>
    </w:p>
    <w:p w14:paraId="1DC4A21A" w14:textId="77777777" w:rsidR="0073666E" w:rsidRPr="0073666E" w:rsidRDefault="00F5509B" w:rsidP="00F5509B">
      <w:pPr>
        <w:pStyle w:val="SingleTxtG"/>
        <w:rPr>
          <w:lang w:val="de-CH"/>
        </w:rPr>
      </w:pPr>
      <w:r>
        <w:t>79.</w:t>
      </w:r>
      <w:r>
        <w:tab/>
      </w:r>
      <w:r w:rsidR="0073666E" w:rsidRPr="0073666E">
        <w:t xml:space="preserve">Lors des examens, toutes les compétences opérationnelles, ou tous les critères de </w:t>
      </w:r>
      <w:r w:rsidR="0073666E" w:rsidRPr="00F5509B">
        <w:t>performance</w:t>
      </w:r>
      <w:r w:rsidR="0073666E" w:rsidRPr="0073666E">
        <w:t xml:space="preserve">, peuvent être contrôlées. </w:t>
      </w:r>
      <w:proofErr w:type="spellStart"/>
      <w:r w:rsidR="0073666E" w:rsidRPr="0073666E">
        <w:rPr>
          <w:lang w:val="de-CH"/>
        </w:rPr>
        <w:t>Tant</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traitement</w:t>
      </w:r>
      <w:proofErr w:type="spellEnd"/>
      <w:r w:rsidR="0073666E" w:rsidRPr="0073666E">
        <w:rPr>
          <w:lang w:val="de-CH"/>
        </w:rPr>
        <w:t xml:space="preserve"> par </w:t>
      </w:r>
      <w:proofErr w:type="spellStart"/>
      <w:r w:rsidR="0073666E" w:rsidRPr="0073666E">
        <w:rPr>
          <w:lang w:val="de-CH"/>
        </w:rPr>
        <w:t>écrit</w:t>
      </w:r>
      <w:proofErr w:type="spellEnd"/>
      <w:r w:rsidR="0073666E" w:rsidRPr="0073666E">
        <w:rPr>
          <w:lang w:val="de-CH"/>
        </w:rPr>
        <w:t xml:space="preserve"> de la </w:t>
      </w:r>
      <w:proofErr w:type="spellStart"/>
      <w:r w:rsidR="0073666E" w:rsidRPr="0073666E">
        <w:rPr>
          <w:lang w:val="de-CH"/>
        </w:rPr>
        <w:t>situation</w:t>
      </w:r>
      <w:proofErr w:type="spellEnd"/>
      <w:r w:rsidR="0073666E" w:rsidRPr="0073666E">
        <w:rPr>
          <w:lang w:val="de-CH"/>
        </w:rPr>
        <w:t xml:space="preserve"> </w:t>
      </w:r>
      <w:proofErr w:type="spellStart"/>
      <w:r w:rsidR="0073666E" w:rsidRPr="0073666E">
        <w:rPr>
          <w:lang w:val="de-CH"/>
        </w:rPr>
        <w:t>pratique</w:t>
      </w:r>
      <w:proofErr w:type="spellEnd"/>
      <w:r w:rsidR="0073666E" w:rsidRPr="0073666E">
        <w:rPr>
          <w:lang w:val="de-CH"/>
        </w:rPr>
        <w:t xml:space="preserve"> </w:t>
      </w:r>
      <w:proofErr w:type="spellStart"/>
      <w:r w:rsidR="0073666E" w:rsidRPr="0073666E">
        <w:rPr>
          <w:lang w:val="de-CH"/>
        </w:rPr>
        <w:t>exposée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l’étude</w:t>
      </w:r>
      <w:proofErr w:type="spellEnd"/>
      <w:r w:rsidR="0073666E" w:rsidRPr="0073666E">
        <w:rPr>
          <w:lang w:val="de-CH"/>
        </w:rPr>
        <w:t xml:space="preserve"> de </w:t>
      </w:r>
      <w:proofErr w:type="spellStart"/>
      <w:r w:rsidR="0073666E" w:rsidRPr="0073666E">
        <w:rPr>
          <w:lang w:val="de-CH"/>
        </w:rPr>
        <w:t>cas</w:t>
      </w:r>
      <w:proofErr w:type="spellEnd"/>
      <w:r w:rsidR="0073666E" w:rsidRPr="0073666E">
        <w:rPr>
          <w:lang w:val="de-CH"/>
        </w:rPr>
        <w:t xml:space="preserve"> par oral,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indispensable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bases</w:t>
      </w:r>
      <w:proofErr w:type="spellEnd"/>
      <w:r w:rsidR="0073666E" w:rsidRPr="0073666E">
        <w:rPr>
          <w:lang w:val="de-CH"/>
        </w:rPr>
        <w:t xml:space="preserve"> </w:t>
      </w:r>
      <w:proofErr w:type="spellStart"/>
      <w:r w:rsidR="0073666E" w:rsidRPr="0073666E">
        <w:rPr>
          <w:lang w:val="de-CH"/>
        </w:rPr>
        <w:t>légales</w:t>
      </w:r>
      <w:proofErr w:type="spellEnd"/>
      <w:r w:rsidR="0073666E" w:rsidRPr="0073666E">
        <w:rPr>
          <w:lang w:val="de-CH"/>
        </w:rPr>
        <w:t xml:space="preserve"> (</w:t>
      </w:r>
      <w:proofErr w:type="spellStart"/>
      <w:r w:rsidR="0073666E" w:rsidRPr="0073666E">
        <w:rPr>
          <w:lang w:val="de-CH"/>
        </w:rPr>
        <w:t>droits</w:t>
      </w:r>
      <w:proofErr w:type="spellEnd"/>
      <w:r w:rsidR="0073666E" w:rsidRPr="0073666E">
        <w:rPr>
          <w:lang w:val="de-CH"/>
        </w:rPr>
        <w:t xml:space="preserve"> </w:t>
      </w:r>
      <w:proofErr w:type="spellStart"/>
      <w:r w:rsidR="0073666E" w:rsidRPr="0073666E">
        <w:rPr>
          <w:lang w:val="de-CH"/>
        </w:rPr>
        <w:t>fondamentaux</w:t>
      </w:r>
      <w:proofErr w:type="spellEnd"/>
      <w:r w:rsidR="0073666E" w:rsidRPr="0073666E">
        <w:rPr>
          <w:lang w:val="de-CH"/>
        </w:rPr>
        <w:t xml:space="preserve"> et </w:t>
      </w:r>
      <w:proofErr w:type="spellStart"/>
      <w:r w:rsidR="0073666E" w:rsidRPr="0073666E">
        <w:rPr>
          <w:lang w:val="de-CH"/>
        </w:rPr>
        <w:t>droits</w:t>
      </w:r>
      <w:proofErr w:type="spellEnd"/>
      <w:r w:rsidR="0073666E" w:rsidRPr="0073666E">
        <w:rPr>
          <w:lang w:val="de-CH"/>
        </w:rPr>
        <w:t xml:space="preserve"> de </w:t>
      </w:r>
      <w:proofErr w:type="spellStart"/>
      <w:r w:rsidR="0073666E" w:rsidRPr="0073666E">
        <w:rPr>
          <w:lang w:val="de-CH"/>
        </w:rPr>
        <w:t>l’homme</w:t>
      </w:r>
      <w:proofErr w:type="spellEnd"/>
      <w:r w:rsidR="0073666E" w:rsidRPr="0073666E">
        <w:rPr>
          <w:lang w:val="de-CH"/>
        </w:rPr>
        <w:t xml:space="preserve">, </w:t>
      </w:r>
      <w:proofErr w:type="spellStart"/>
      <w:r w:rsidR="0073666E" w:rsidRPr="0073666E">
        <w:rPr>
          <w:lang w:val="de-CH"/>
        </w:rPr>
        <w:t>Règles</w:t>
      </w:r>
      <w:proofErr w:type="spellEnd"/>
      <w:r w:rsidR="0073666E" w:rsidRPr="0073666E">
        <w:rPr>
          <w:lang w:val="de-CH"/>
        </w:rPr>
        <w:t xml:space="preserve"> </w:t>
      </w:r>
      <w:proofErr w:type="spellStart"/>
      <w:r w:rsidR="0073666E" w:rsidRPr="0073666E">
        <w:rPr>
          <w:lang w:val="de-CH"/>
        </w:rPr>
        <w:t>pénitentiaires</w:t>
      </w:r>
      <w:proofErr w:type="spellEnd"/>
      <w:r w:rsidR="0073666E" w:rsidRPr="0073666E">
        <w:rPr>
          <w:lang w:val="de-CH"/>
        </w:rPr>
        <w:t xml:space="preserve"> </w:t>
      </w:r>
      <w:proofErr w:type="spellStart"/>
      <w:r w:rsidR="0073666E" w:rsidRPr="0073666E">
        <w:rPr>
          <w:lang w:val="de-CH"/>
        </w:rPr>
        <w:t>européennes</w:t>
      </w:r>
      <w:proofErr w:type="spellEnd"/>
      <w:r w:rsidR="0073666E" w:rsidRPr="0073666E">
        <w:rPr>
          <w:lang w:val="de-CH"/>
        </w:rPr>
        <w:t xml:space="preserve">, CAT, etc.) </w:t>
      </w:r>
      <w:proofErr w:type="spellStart"/>
      <w:r w:rsidR="0073666E" w:rsidRPr="0073666E">
        <w:rPr>
          <w:lang w:val="de-CH"/>
        </w:rPr>
        <w:t>soient</w:t>
      </w:r>
      <w:proofErr w:type="spellEnd"/>
      <w:r w:rsidR="0073666E" w:rsidRPr="0073666E">
        <w:rPr>
          <w:lang w:val="de-CH"/>
        </w:rPr>
        <w:t xml:space="preserve"> </w:t>
      </w:r>
      <w:proofErr w:type="spellStart"/>
      <w:r w:rsidR="0073666E" w:rsidRPr="0073666E">
        <w:rPr>
          <w:lang w:val="de-CH"/>
        </w:rPr>
        <w:t>respectées</w:t>
      </w:r>
      <w:proofErr w:type="spellEnd"/>
      <w:r w:rsidR="0073666E" w:rsidRPr="0073666E">
        <w:rPr>
          <w:lang w:val="de-CH"/>
        </w:rPr>
        <w:t xml:space="preserve">. </w:t>
      </w:r>
    </w:p>
    <w:p w14:paraId="1B8B7CD0" w14:textId="77777777" w:rsidR="0073666E" w:rsidRPr="0073666E" w:rsidRDefault="00F5509B" w:rsidP="00F5509B">
      <w:pPr>
        <w:pStyle w:val="SingleTxtG"/>
      </w:pPr>
      <w:r>
        <w:lastRenderedPageBreak/>
        <w:t>80.</w:t>
      </w:r>
      <w:r>
        <w:tab/>
      </w:r>
      <w:r w:rsidR="0073666E" w:rsidRPr="0073666E">
        <w:t xml:space="preserve">Chaque année, près de 800 aspirants de police sont instruits dans les domaines susnommés par </w:t>
      </w:r>
      <w:r w:rsidR="0073666E" w:rsidRPr="00F5509B">
        <w:t>l’intermédiaire</w:t>
      </w:r>
      <w:r w:rsidR="0073666E" w:rsidRPr="0073666E">
        <w:t xml:space="preserve"> du manuel de formation de l’Institut Suisse de Police (ISP) « </w:t>
      </w:r>
      <w:proofErr w:type="spellStart"/>
      <w:r w:rsidR="0073666E" w:rsidRPr="0073666E">
        <w:t>Ethique</w:t>
      </w:r>
      <w:proofErr w:type="spellEnd"/>
      <w:r w:rsidR="0073666E" w:rsidRPr="0073666E">
        <w:t xml:space="preserve"> et droits de l’Homme ».</w:t>
      </w:r>
    </w:p>
    <w:p w14:paraId="51400856" w14:textId="77777777" w:rsidR="0073666E" w:rsidRPr="0073666E" w:rsidRDefault="00F5509B" w:rsidP="00F5509B">
      <w:pPr>
        <w:pStyle w:val="SingleTxtG"/>
        <w:rPr>
          <w:lang w:val="de-CH"/>
        </w:rPr>
      </w:pPr>
      <w:r>
        <w:rPr>
          <w:lang w:val="de-CH"/>
        </w:rPr>
        <w:t>81.</w:t>
      </w:r>
      <w:r>
        <w:rPr>
          <w:lang w:val="de-CH"/>
        </w:rPr>
        <w:tab/>
      </w:r>
      <w:r w:rsidR="0073666E" w:rsidRPr="0073666E">
        <w:rPr>
          <w:lang w:val="de-CH"/>
        </w:rPr>
        <w:t xml:space="preserve">La </w:t>
      </w:r>
      <w:proofErr w:type="spellStart"/>
      <w:r w:rsidR="0073666E" w:rsidRPr="0073666E">
        <w:rPr>
          <w:lang w:val="de-CH"/>
        </w:rPr>
        <w:t>répartition</w:t>
      </w:r>
      <w:proofErr w:type="spellEnd"/>
      <w:r w:rsidR="0073666E" w:rsidRPr="0073666E">
        <w:rPr>
          <w:lang w:val="de-CH"/>
        </w:rPr>
        <w:t xml:space="preserve"> des </w:t>
      </w:r>
      <w:proofErr w:type="spellStart"/>
      <w:r w:rsidR="0073666E" w:rsidRPr="0073666E">
        <w:rPr>
          <w:lang w:val="de-CH"/>
        </w:rPr>
        <w:t>matières</w:t>
      </w:r>
      <w:proofErr w:type="spellEnd"/>
      <w:r w:rsidR="0073666E" w:rsidRPr="0073666E">
        <w:rPr>
          <w:lang w:val="de-CH"/>
        </w:rPr>
        <w:t xml:space="preserve"> et le </w:t>
      </w:r>
      <w:proofErr w:type="spellStart"/>
      <w:r w:rsidR="0073666E" w:rsidRPr="0073666E">
        <w:rPr>
          <w:lang w:val="de-CH"/>
        </w:rPr>
        <w:t>temps</w:t>
      </w:r>
      <w:proofErr w:type="spellEnd"/>
      <w:r w:rsidR="0073666E" w:rsidRPr="0073666E">
        <w:rPr>
          <w:lang w:val="de-CH"/>
        </w:rPr>
        <w:t xml:space="preserve"> </w:t>
      </w:r>
      <w:proofErr w:type="spellStart"/>
      <w:r w:rsidR="0073666E" w:rsidRPr="0073666E">
        <w:rPr>
          <w:lang w:val="de-CH"/>
        </w:rPr>
        <w:t>consacré</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aspirants</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de la </w:t>
      </w:r>
      <w:proofErr w:type="spellStart"/>
      <w:r w:rsidR="0073666E" w:rsidRPr="0073666E">
        <w:rPr>
          <w:lang w:val="de-CH"/>
        </w:rPr>
        <w:t>responsabilité</w:t>
      </w:r>
      <w:proofErr w:type="spellEnd"/>
      <w:r w:rsidR="0073666E" w:rsidRPr="0073666E">
        <w:rPr>
          <w:lang w:val="de-CH"/>
        </w:rPr>
        <w:t xml:space="preserve"> de </w:t>
      </w:r>
      <w:proofErr w:type="spellStart"/>
      <w:r w:rsidR="0073666E" w:rsidRPr="0073666E">
        <w:rPr>
          <w:lang w:val="de-CH"/>
        </w:rPr>
        <w:t>l’école</w:t>
      </w:r>
      <w:proofErr w:type="spellEnd"/>
      <w:r w:rsidR="0073666E" w:rsidRPr="0073666E">
        <w:rPr>
          <w:lang w:val="de-CH"/>
        </w:rPr>
        <w:t xml:space="preserve"> </w:t>
      </w:r>
      <w:proofErr w:type="spellStart"/>
      <w:r w:rsidR="0073666E" w:rsidRPr="0073666E">
        <w:rPr>
          <w:lang w:val="de-CH"/>
        </w:rPr>
        <w:t>formatrice</w:t>
      </w:r>
      <w:proofErr w:type="spellEnd"/>
      <w:r w:rsidR="0073666E" w:rsidRPr="0073666E">
        <w:rPr>
          <w:lang w:val="de-CH"/>
        </w:rPr>
        <w:t xml:space="preserve">. </w:t>
      </w:r>
    </w:p>
    <w:p w14:paraId="208C9DBE" w14:textId="77777777" w:rsidR="0073666E" w:rsidRPr="0073666E" w:rsidRDefault="00F5509B" w:rsidP="00F5509B">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sidR="00527D6A">
        <w:rPr>
          <w:lang w:val="de-CH"/>
        </w:rPr>
        <w:t xml:space="preserve"> </w:t>
      </w:r>
      <w:r>
        <w:rPr>
          <w:lang w:val="de-CH"/>
        </w:rPr>
        <w:t>14</w:t>
      </w:r>
    </w:p>
    <w:p w14:paraId="4D8C34F9" w14:textId="77777777" w:rsidR="0073666E" w:rsidRPr="0073666E" w:rsidRDefault="00F5509B" w:rsidP="00F5509B">
      <w:pPr>
        <w:pStyle w:val="SingleTxtG"/>
        <w:rPr>
          <w:lang w:val="de-CH"/>
        </w:rPr>
      </w:pPr>
      <w:r>
        <w:rPr>
          <w:lang w:val="de-CH"/>
        </w:rPr>
        <w:t>82.</w:t>
      </w:r>
      <w:r>
        <w:rPr>
          <w:lang w:val="de-CH"/>
        </w:rPr>
        <w:tab/>
      </w:r>
      <w:r w:rsidR="0073666E" w:rsidRPr="0073666E">
        <w:rPr>
          <w:lang w:val="de-CH"/>
        </w:rPr>
        <w:t xml:space="preserve">Pour </w:t>
      </w:r>
      <w:proofErr w:type="spellStart"/>
      <w:r w:rsidR="0073666E" w:rsidRPr="0073666E">
        <w:rPr>
          <w:lang w:val="de-CH"/>
        </w:rPr>
        <w:t>contrôler</w:t>
      </w:r>
      <w:proofErr w:type="spellEnd"/>
      <w:r w:rsidR="0073666E" w:rsidRPr="0073666E">
        <w:rPr>
          <w:lang w:val="de-CH"/>
        </w:rPr>
        <w:t xml:space="preserve"> la </w:t>
      </w:r>
      <w:proofErr w:type="spellStart"/>
      <w:r w:rsidR="0073666E" w:rsidRPr="0073666E">
        <w:rPr>
          <w:lang w:val="de-CH"/>
        </w:rPr>
        <w:t>qualité</w:t>
      </w:r>
      <w:proofErr w:type="spellEnd"/>
      <w:r w:rsidR="0073666E" w:rsidRPr="0073666E">
        <w:rPr>
          <w:lang w:val="de-CH"/>
        </w:rPr>
        <w:t xml:space="preserve"> de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formations</w:t>
      </w:r>
      <w:proofErr w:type="spellEnd"/>
      <w:r w:rsidR="0073666E" w:rsidRPr="0073666E">
        <w:rPr>
          <w:lang w:val="de-CH"/>
        </w:rPr>
        <w:t xml:space="preserve">, des </w:t>
      </w:r>
      <w:proofErr w:type="spellStart"/>
      <w:r w:rsidR="0073666E" w:rsidRPr="0073666E">
        <w:rPr>
          <w:lang w:val="de-CH"/>
        </w:rPr>
        <w:t>évaluations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prévues</w:t>
      </w:r>
      <w:proofErr w:type="spellEnd"/>
      <w:r w:rsidR="0073666E" w:rsidRPr="0073666E">
        <w:rPr>
          <w:lang w:val="de-CH"/>
        </w:rPr>
        <w:t xml:space="preserve"> </w:t>
      </w:r>
      <w:proofErr w:type="spellStart"/>
      <w:r w:rsidR="0073666E" w:rsidRPr="0073666E">
        <w:rPr>
          <w:lang w:val="de-CH"/>
        </w:rPr>
        <w:t>pendant</w:t>
      </w:r>
      <w:proofErr w:type="spellEnd"/>
      <w:r w:rsidR="0073666E" w:rsidRPr="0073666E">
        <w:rPr>
          <w:lang w:val="de-CH"/>
        </w:rPr>
        <w:t xml:space="preserve"> la </w:t>
      </w:r>
      <w:proofErr w:type="spellStart"/>
      <w:r w:rsidR="0073666E" w:rsidRPr="0073666E">
        <w:rPr>
          <w:lang w:val="de-CH"/>
        </w:rPr>
        <w:t>phase</w:t>
      </w:r>
      <w:proofErr w:type="spellEnd"/>
      <w:r w:rsidR="0073666E" w:rsidRPr="0073666E">
        <w:rPr>
          <w:lang w:val="de-CH"/>
        </w:rPr>
        <w:t xml:space="preserve"> de </w:t>
      </w:r>
      <w:proofErr w:type="spellStart"/>
      <w:r w:rsidR="0073666E" w:rsidRPr="0073666E">
        <w:rPr>
          <w:lang w:val="de-CH"/>
        </w:rPr>
        <w:t>formation</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doivent</w:t>
      </w:r>
      <w:proofErr w:type="spellEnd"/>
      <w:r w:rsidR="0073666E" w:rsidRPr="0073666E">
        <w:rPr>
          <w:lang w:val="de-CH"/>
        </w:rPr>
        <w:t xml:space="preserve"> </w:t>
      </w:r>
      <w:proofErr w:type="spellStart"/>
      <w:r w:rsidR="0073666E" w:rsidRPr="0073666E">
        <w:rPr>
          <w:lang w:val="de-CH"/>
        </w:rPr>
        <w:t>permettre</w:t>
      </w:r>
      <w:proofErr w:type="spellEnd"/>
      <w:r w:rsidR="0073666E" w:rsidRPr="0073666E">
        <w:rPr>
          <w:lang w:val="de-CH"/>
        </w:rPr>
        <w:t xml:space="preserve"> de </w:t>
      </w:r>
      <w:proofErr w:type="spellStart"/>
      <w:r w:rsidR="0073666E" w:rsidRPr="0073666E">
        <w:rPr>
          <w:lang w:val="de-CH"/>
        </w:rPr>
        <w:t>voir</w:t>
      </w:r>
      <w:proofErr w:type="spellEnd"/>
      <w:r w:rsidR="0073666E" w:rsidRPr="0073666E">
        <w:rPr>
          <w:lang w:val="de-CH"/>
        </w:rPr>
        <w:t xml:space="preserve"> si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futurs</w:t>
      </w:r>
      <w:proofErr w:type="spellEnd"/>
      <w:r w:rsidR="0073666E" w:rsidRPr="0073666E">
        <w:rPr>
          <w:lang w:val="de-CH"/>
        </w:rPr>
        <w:t xml:space="preserve"> « </w:t>
      </w:r>
      <w:proofErr w:type="spellStart"/>
      <w:r w:rsidR="0073666E" w:rsidRPr="0073666E">
        <w:rPr>
          <w:lang w:val="de-CH"/>
        </w:rPr>
        <w:t>agents</w:t>
      </w:r>
      <w:proofErr w:type="spellEnd"/>
      <w:r w:rsidR="0073666E" w:rsidRPr="0073666E">
        <w:rPr>
          <w:lang w:val="de-CH"/>
        </w:rPr>
        <w:t xml:space="preserve"> de </w:t>
      </w:r>
      <w:proofErr w:type="spellStart"/>
      <w:r w:rsidR="0073666E" w:rsidRPr="0073666E">
        <w:rPr>
          <w:lang w:val="de-CH"/>
        </w:rPr>
        <w:t>détention</w:t>
      </w:r>
      <w:proofErr w:type="spellEnd"/>
      <w:r w:rsidR="0073666E" w:rsidRPr="0073666E">
        <w:rPr>
          <w:lang w:val="de-CH"/>
        </w:rPr>
        <w:t xml:space="preserve"> »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acquis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compétences</w:t>
      </w:r>
      <w:proofErr w:type="spellEnd"/>
      <w:r w:rsidR="0073666E" w:rsidRPr="0073666E">
        <w:rPr>
          <w:lang w:val="de-CH"/>
        </w:rPr>
        <w:t xml:space="preserve"> </w:t>
      </w:r>
      <w:proofErr w:type="spellStart"/>
      <w:r w:rsidR="0073666E" w:rsidRPr="0073666E">
        <w:rPr>
          <w:lang w:val="de-CH"/>
        </w:rPr>
        <w:t>retenues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profil</w:t>
      </w:r>
      <w:proofErr w:type="spellEnd"/>
      <w:r w:rsidR="0073666E" w:rsidRPr="0073666E">
        <w:rPr>
          <w:lang w:val="de-CH"/>
        </w:rPr>
        <w:t xml:space="preserve"> de </w:t>
      </w:r>
      <w:proofErr w:type="spellStart"/>
      <w:r w:rsidR="0073666E" w:rsidRPr="0073666E">
        <w:rPr>
          <w:lang w:val="de-CH"/>
        </w:rPr>
        <w:t>compétence</w:t>
      </w:r>
      <w:proofErr w:type="spellEnd"/>
      <w:r w:rsidR="0073666E" w:rsidRPr="0073666E">
        <w:rPr>
          <w:lang w:val="de-CH"/>
        </w:rPr>
        <w:t xml:space="preserve"> </w:t>
      </w:r>
      <w:proofErr w:type="spellStart"/>
      <w:r w:rsidR="0073666E" w:rsidRPr="0073666E">
        <w:rPr>
          <w:lang w:val="de-CH"/>
        </w:rPr>
        <w:t>opérationnelle</w:t>
      </w:r>
      <w:proofErr w:type="spellEnd"/>
      <w:r w:rsidR="0073666E" w:rsidRPr="0073666E">
        <w:rPr>
          <w:lang w:val="de-CH"/>
        </w:rPr>
        <w:t xml:space="preserve"> (c’est-à-</w:t>
      </w:r>
      <w:proofErr w:type="spellStart"/>
      <w:r w:rsidR="0073666E" w:rsidRPr="0073666E">
        <w:rPr>
          <w:lang w:val="de-CH"/>
        </w:rPr>
        <w:t>dire</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connaissances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questions</w:t>
      </w:r>
      <w:proofErr w:type="spellEnd"/>
      <w:r w:rsidR="0073666E" w:rsidRPr="0073666E">
        <w:rPr>
          <w:lang w:val="de-CH"/>
        </w:rPr>
        <w:t xml:space="preserve"> touchant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droits</w:t>
      </w:r>
      <w:proofErr w:type="spellEnd"/>
      <w:r w:rsidR="0073666E" w:rsidRPr="0073666E">
        <w:rPr>
          <w:lang w:val="de-CH"/>
        </w:rPr>
        <w:t xml:space="preserve"> de </w:t>
      </w:r>
      <w:proofErr w:type="spellStart"/>
      <w:r w:rsidR="0073666E" w:rsidRPr="0073666E">
        <w:rPr>
          <w:lang w:val="de-CH"/>
        </w:rPr>
        <w:t>l’homme</w:t>
      </w:r>
      <w:proofErr w:type="spellEnd"/>
      <w:r w:rsidR="0073666E" w:rsidRPr="0073666E">
        <w:rPr>
          <w:lang w:val="de-CH"/>
        </w:rPr>
        <w:t xml:space="preserve"> et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droits</w:t>
      </w:r>
      <w:proofErr w:type="spellEnd"/>
      <w:r w:rsidR="0073666E" w:rsidRPr="0073666E">
        <w:rPr>
          <w:lang w:val="de-CH"/>
        </w:rPr>
        <w:t xml:space="preserve"> </w:t>
      </w:r>
      <w:proofErr w:type="spellStart"/>
      <w:r w:rsidR="0073666E" w:rsidRPr="0073666E">
        <w:rPr>
          <w:lang w:val="de-CH"/>
        </w:rPr>
        <w:t>fondamentaux</w:t>
      </w:r>
      <w:proofErr w:type="spellEnd"/>
      <w:r w:rsidR="0073666E" w:rsidRPr="0073666E">
        <w:rPr>
          <w:lang w:val="de-CH"/>
        </w:rPr>
        <w:t xml:space="preserve">, </w:t>
      </w:r>
      <w:proofErr w:type="spellStart"/>
      <w:r w:rsidR="0073666E" w:rsidRPr="0073666E">
        <w:rPr>
          <w:lang w:val="de-CH"/>
        </w:rPr>
        <w:t>comme</w:t>
      </w:r>
      <w:proofErr w:type="spellEnd"/>
      <w:r w:rsidR="0073666E" w:rsidRPr="0073666E">
        <w:rPr>
          <w:lang w:val="de-CH"/>
        </w:rPr>
        <w:t xml:space="preserve"> la </w:t>
      </w:r>
      <w:proofErr w:type="spellStart"/>
      <w:r w:rsidR="0073666E" w:rsidRPr="0073666E">
        <w:rPr>
          <w:lang w:val="de-CH"/>
        </w:rPr>
        <w:t>dignité</w:t>
      </w:r>
      <w:proofErr w:type="spellEnd"/>
      <w:r w:rsidR="0073666E" w:rsidRPr="0073666E">
        <w:rPr>
          <w:lang w:val="de-CH"/>
        </w:rPr>
        <w:t xml:space="preserve"> </w:t>
      </w:r>
      <w:proofErr w:type="spellStart"/>
      <w:r w:rsidR="0073666E" w:rsidRPr="0073666E">
        <w:rPr>
          <w:lang w:val="de-CH"/>
        </w:rPr>
        <w:t>humaine</w:t>
      </w:r>
      <w:proofErr w:type="spellEnd"/>
      <w:r w:rsidR="0073666E" w:rsidRPr="0073666E">
        <w:rPr>
          <w:lang w:val="de-CH"/>
        </w:rPr>
        <w:t xml:space="preserve">, </w:t>
      </w:r>
      <w:proofErr w:type="spellStart"/>
      <w:r w:rsidR="0073666E" w:rsidRPr="0073666E">
        <w:rPr>
          <w:lang w:val="de-CH"/>
        </w:rPr>
        <w:t>l’interdiction</w:t>
      </w:r>
      <w:proofErr w:type="spellEnd"/>
      <w:r w:rsidR="0073666E" w:rsidRPr="0073666E">
        <w:rPr>
          <w:lang w:val="de-CH"/>
        </w:rPr>
        <w:t xml:space="preserve"> de la </w:t>
      </w:r>
      <w:proofErr w:type="spellStart"/>
      <w:r w:rsidR="0073666E" w:rsidRPr="0073666E">
        <w:rPr>
          <w:lang w:val="de-CH"/>
        </w:rPr>
        <w:t>torture</w:t>
      </w:r>
      <w:proofErr w:type="spellEnd"/>
      <w:r w:rsidR="0073666E" w:rsidRPr="0073666E">
        <w:rPr>
          <w:lang w:val="de-CH"/>
        </w:rPr>
        <w:t xml:space="preserve">, etc.).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instruments</w:t>
      </w:r>
      <w:proofErr w:type="spellEnd"/>
      <w:r w:rsidR="0073666E" w:rsidRPr="0073666E">
        <w:rPr>
          <w:lang w:val="de-CH"/>
        </w:rPr>
        <w:t xml:space="preserve"> </w:t>
      </w:r>
      <w:proofErr w:type="spellStart"/>
      <w:r w:rsidR="0073666E" w:rsidRPr="0073666E">
        <w:rPr>
          <w:lang w:val="de-CH"/>
        </w:rPr>
        <w:t>d’évaluation</w:t>
      </w:r>
      <w:proofErr w:type="spellEnd"/>
      <w:r w:rsidR="0073666E" w:rsidRPr="0073666E">
        <w:rPr>
          <w:lang w:val="de-CH"/>
        </w:rPr>
        <w:t xml:space="preserve"> </w:t>
      </w:r>
      <w:proofErr w:type="spellStart"/>
      <w:r w:rsidR="0073666E" w:rsidRPr="0073666E">
        <w:rPr>
          <w:lang w:val="de-CH"/>
        </w:rPr>
        <w:t>permettent</w:t>
      </w:r>
      <w:proofErr w:type="spellEnd"/>
      <w:r w:rsidR="0073666E" w:rsidRPr="0073666E">
        <w:rPr>
          <w:lang w:val="de-CH"/>
        </w:rPr>
        <w:t xml:space="preserve"> de </w:t>
      </w:r>
      <w:proofErr w:type="spellStart"/>
      <w:r w:rsidR="0073666E" w:rsidRPr="0073666E">
        <w:rPr>
          <w:lang w:val="de-CH"/>
        </w:rPr>
        <w:t>contrôler</w:t>
      </w:r>
      <w:proofErr w:type="spellEnd"/>
      <w:r w:rsidR="0073666E" w:rsidRPr="0073666E">
        <w:rPr>
          <w:lang w:val="de-CH"/>
        </w:rPr>
        <w:t xml:space="preserve">, </w:t>
      </w:r>
      <w:proofErr w:type="spellStart"/>
      <w:r w:rsidR="0073666E" w:rsidRPr="0073666E">
        <w:rPr>
          <w:lang w:val="de-CH"/>
        </w:rPr>
        <w:t>pendant</w:t>
      </w:r>
      <w:proofErr w:type="spellEnd"/>
      <w:r w:rsidR="0073666E" w:rsidRPr="0073666E">
        <w:rPr>
          <w:lang w:val="de-CH"/>
        </w:rPr>
        <w:t xml:space="preserve"> la </w:t>
      </w:r>
      <w:proofErr w:type="spellStart"/>
      <w:r w:rsidR="0073666E" w:rsidRPr="0073666E">
        <w:rPr>
          <w:lang w:val="de-CH"/>
        </w:rPr>
        <w:t>phase</w:t>
      </w:r>
      <w:proofErr w:type="spellEnd"/>
      <w:r w:rsidR="0073666E" w:rsidRPr="0073666E">
        <w:rPr>
          <w:lang w:val="de-CH"/>
        </w:rPr>
        <w:t xml:space="preserve"> de </w:t>
      </w:r>
      <w:proofErr w:type="spellStart"/>
      <w:r w:rsidR="0073666E" w:rsidRPr="0073666E">
        <w:rPr>
          <w:lang w:val="de-CH"/>
        </w:rPr>
        <w:t>formation</w:t>
      </w:r>
      <w:proofErr w:type="spellEnd"/>
      <w:r w:rsidR="0073666E" w:rsidRPr="0073666E">
        <w:rPr>
          <w:lang w:val="de-CH"/>
        </w:rPr>
        <w:t xml:space="preserve"> de deux ans, si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compétences</w:t>
      </w:r>
      <w:proofErr w:type="spellEnd"/>
      <w:r w:rsidR="0073666E" w:rsidRPr="0073666E">
        <w:rPr>
          <w:lang w:val="de-CH"/>
        </w:rPr>
        <w:t xml:space="preserve"> </w:t>
      </w:r>
      <w:proofErr w:type="spellStart"/>
      <w:r w:rsidR="0073666E" w:rsidRPr="0073666E">
        <w:rPr>
          <w:lang w:val="de-CH"/>
        </w:rPr>
        <w:t>prévues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profil</w:t>
      </w:r>
      <w:proofErr w:type="spellEnd"/>
      <w:r w:rsidR="0073666E" w:rsidRPr="0073666E">
        <w:rPr>
          <w:lang w:val="de-CH"/>
        </w:rPr>
        <w:t xml:space="preserve"> de </w:t>
      </w:r>
      <w:proofErr w:type="spellStart"/>
      <w:r w:rsidR="0073666E" w:rsidRPr="0073666E">
        <w:rPr>
          <w:lang w:val="de-CH"/>
        </w:rPr>
        <w:t>qualification</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acquises</w:t>
      </w:r>
      <w:proofErr w:type="spellEnd"/>
      <w:r w:rsidR="0073666E" w:rsidRPr="0073666E">
        <w:rPr>
          <w:lang w:val="de-CH"/>
        </w:rPr>
        <w:t xml:space="preserve">, </w:t>
      </w:r>
      <w:proofErr w:type="spellStart"/>
      <w:r w:rsidR="0073666E" w:rsidRPr="0073666E">
        <w:rPr>
          <w:lang w:val="de-CH"/>
        </w:rPr>
        <w:t>connaissances</w:t>
      </w:r>
      <w:proofErr w:type="spellEnd"/>
      <w:r w:rsidR="0073666E" w:rsidRPr="0073666E">
        <w:rPr>
          <w:lang w:val="de-CH"/>
        </w:rPr>
        <w:t xml:space="preserve"> </w:t>
      </w:r>
      <w:proofErr w:type="spellStart"/>
      <w:r w:rsidR="0073666E" w:rsidRPr="0073666E">
        <w:rPr>
          <w:lang w:val="de-CH"/>
        </w:rPr>
        <w:t>théoriques</w:t>
      </w:r>
      <w:proofErr w:type="spellEnd"/>
      <w:r w:rsidR="0073666E" w:rsidRPr="0073666E">
        <w:rPr>
          <w:lang w:val="de-CH"/>
        </w:rPr>
        <w:t xml:space="preserve">, </w:t>
      </w:r>
      <w:proofErr w:type="spellStart"/>
      <w:r w:rsidR="0073666E" w:rsidRPr="0073666E">
        <w:rPr>
          <w:lang w:val="de-CH"/>
        </w:rPr>
        <w:t>capacités</w:t>
      </w:r>
      <w:proofErr w:type="spellEnd"/>
      <w:r w:rsidR="0073666E" w:rsidRPr="0073666E">
        <w:rPr>
          <w:lang w:val="de-CH"/>
        </w:rPr>
        <w:t xml:space="preserve"> </w:t>
      </w:r>
      <w:proofErr w:type="spellStart"/>
      <w:r w:rsidR="0073666E" w:rsidRPr="0073666E">
        <w:rPr>
          <w:lang w:val="de-CH"/>
        </w:rPr>
        <w:t>pratiques</w:t>
      </w:r>
      <w:proofErr w:type="spellEnd"/>
      <w:r w:rsidR="0073666E" w:rsidRPr="0073666E">
        <w:rPr>
          <w:lang w:val="de-CH"/>
        </w:rPr>
        <w:t xml:space="preserve"> et </w:t>
      </w:r>
      <w:proofErr w:type="spellStart"/>
      <w:r w:rsidR="0073666E" w:rsidRPr="0073666E">
        <w:rPr>
          <w:lang w:val="de-CH"/>
        </w:rPr>
        <w:t>comportement</w:t>
      </w:r>
      <w:proofErr w:type="spellEnd"/>
      <w:r w:rsidR="0073666E" w:rsidRPr="0073666E">
        <w:rPr>
          <w:lang w:val="de-CH"/>
        </w:rPr>
        <w:t xml:space="preserve"> </w:t>
      </w:r>
      <w:proofErr w:type="spellStart"/>
      <w:r w:rsidR="0073666E" w:rsidRPr="0073666E">
        <w:rPr>
          <w:lang w:val="de-CH"/>
        </w:rPr>
        <w:t>professionnel</w:t>
      </w:r>
      <w:proofErr w:type="spellEnd"/>
      <w:r w:rsidR="0073666E" w:rsidRPr="0073666E">
        <w:rPr>
          <w:lang w:val="de-CH"/>
        </w:rPr>
        <w:t xml:space="preserve"> </w:t>
      </w:r>
      <w:proofErr w:type="spellStart"/>
      <w:r w:rsidR="0073666E" w:rsidRPr="0073666E">
        <w:rPr>
          <w:lang w:val="de-CH"/>
        </w:rPr>
        <w:t>compris</w:t>
      </w:r>
      <w:proofErr w:type="spellEnd"/>
      <w:r w:rsidR="0073666E" w:rsidRPr="0073666E">
        <w:rPr>
          <w:lang w:val="de-CH"/>
        </w:rPr>
        <w:t xml:space="preserve">. Cela </w:t>
      </w:r>
      <w:proofErr w:type="spellStart"/>
      <w:r w:rsidR="0073666E" w:rsidRPr="0073666E">
        <w:rPr>
          <w:lang w:val="de-CH"/>
        </w:rPr>
        <w:t>vaut</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bien</w:t>
      </w:r>
      <w:proofErr w:type="spellEnd"/>
      <w:r w:rsidR="0073666E" w:rsidRPr="0073666E">
        <w:rPr>
          <w:lang w:val="de-CH"/>
        </w:rPr>
        <w:t xml:space="preserve"> </w:t>
      </w:r>
      <w:proofErr w:type="spellStart"/>
      <w:r w:rsidR="0073666E" w:rsidRPr="0073666E">
        <w:rPr>
          <w:lang w:val="de-CH"/>
        </w:rPr>
        <w:t>évidemment</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connaissances</w:t>
      </w:r>
      <w:proofErr w:type="spellEnd"/>
      <w:r w:rsidR="0073666E" w:rsidRPr="0073666E">
        <w:rPr>
          <w:lang w:val="de-CH"/>
        </w:rPr>
        <w:t xml:space="preserve"> relatives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droits</w:t>
      </w:r>
      <w:proofErr w:type="spellEnd"/>
      <w:r w:rsidR="0073666E" w:rsidRPr="0073666E">
        <w:rPr>
          <w:lang w:val="de-CH"/>
        </w:rPr>
        <w:t xml:space="preserve"> de </w:t>
      </w:r>
      <w:proofErr w:type="spellStart"/>
      <w:r w:rsidR="0073666E" w:rsidRPr="0073666E">
        <w:rPr>
          <w:lang w:val="de-CH"/>
        </w:rPr>
        <w:t>l’homme</w:t>
      </w:r>
      <w:proofErr w:type="spellEnd"/>
      <w:r w:rsidR="0073666E" w:rsidRPr="0073666E">
        <w:rPr>
          <w:lang w:val="de-CH"/>
        </w:rPr>
        <w:t xml:space="preserve"> et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droits</w:t>
      </w:r>
      <w:proofErr w:type="spellEnd"/>
      <w:r w:rsidR="0073666E" w:rsidRPr="0073666E">
        <w:rPr>
          <w:lang w:val="de-CH"/>
        </w:rPr>
        <w:t xml:space="preserve"> </w:t>
      </w:r>
      <w:proofErr w:type="spellStart"/>
      <w:r w:rsidR="0073666E" w:rsidRPr="0073666E">
        <w:rPr>
          <w:lang w:val="de-CH"/>
        </w:rPr>
        <w:t>fondamentaux</w:t>
      </w:r>
      <w:proofErr w:type="spellEnd"/>
      <w:r w:rsidR="0073666E" w:rsidRPr="0073666E">
        <w:rPr>
          <w:lang w:val="de-CH"/>
        </w:rPr>
        <w:t xml:space="preserve"> (CEDH, </w:t>
      </w:r>
      <w:proofErr w:type="spellStart"/>
      <w:r w:rsidR="0073666E" w:rsidRPr="0073666E">
        <w:rPr>
          <w:lang w:val="de-CH"/>
        </w:rPr>
        <w:t>Règles</w:t>
      </w:r>
      <w:proofErr w:type="spellEnd"/>
      <w:r w:rsidR="0073666E" w:rsidRPr="0073666E">
        <w:rPr>
          <w:lang w:val="de-CH"/>
        </w:rPr>
        <w:t xml:space="preserve"> </w:t>
      </w:r>
      <w:proofErr w:type="spellStart"/>
      <w:r w:rsidR="0073666E" w:rsidRPr="0073666E">
        <w:rPr>
          <w:lang w:val="de-CH"/>
        </w:rPr>
        <w:t>pénitentiaires</w:t>
      </w:r>
      <w:proofErr w:type="spellEnd"/>
      <w:r w:rsidR="0073666E" w:rsidRPr="0073666E">
        <w:rPr>
          <w:lang w:val="de-CH"/>
        </w:rPr>
        <w:t xml:space="preserve"> </w:t>
      </w:r>
      <w:proofErr w:type="spellStart"/>
      <w:r w:rsidR="0073666E" w:rsidRPr="0073666E">
        <w:rPr>
          <w:lang w:val="de-CH"/>
        </w:rPr>
        <w:t>européennes</w:t>
      </w:r>
      <w:proofErr w:type="spellEnd"/>
      <w:r w:rsidR="0073666E" w:rsidRPr="0073666E">
        <w:rPr>
          <w:lang w:val="de-CH"/>
        </w:rPr>
        <w:t xml:space="preserve">, Code de </w:t>
      </w:r>
      <w:proofErr w:type="spellStart"/>
      <w:r w:rsidR="0073666E" w:rsidRPr="0073666E">
        <w:rPr>
          <w:lang w:val="de-CH"/>
        </w:rPr>
        <w:t>déontologie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le </w:t>
      </w:r>
      <w:proofErr w:type="spellStart"/>
      <w:r w:rsidR="0073666E" w:rsidRPr="0073666E">
        <w:rPr>
          <w:lang w:val="de-CH"/>
        </w:rPr>
        <w:t>personnel</w:t>
      </w:r>
      <w:proofErr w:type="spellEnd"/>
      <w:r w:rsidR="0073666E" w:rsidRPr="0073666E">
        <w:rPr>
          <w:lang w:val="de-CH"/>
        </w:rPr>
        <w:t xml:space="preserve"> </w:t>
      </w:r>
      <w:proofErr w:type="spellStart"/>
      <w:r w:rsidR="0073666E" w:rsidRPr="0073666E">
        <w:rPr>
          <w:lang w:val="de-CH"/>
        </w:rPr>
        <w:t>pénitentiaire</w:t>
      </w:r>
      <w:proofErr w:type="spellEnd"/>
      <w:r w:rsidR="0073666E" w:rsidRPr="0073666E">
        <w:rPr>
          <w:lang w:val="de-CH"/>
        </w:rPr>
        <w:t>, CAT).</w:t>
      </w:r>
    </w:p>
    <w:p w14:paraId="16D92214" w14:textId="77777777" w:rsidR="0073666E" w:rsidRPr="00F5509B" w:rsidRDefault="00F5509B" w:rsidP="00F5509B">
      <w:pPr>
        <w:pStyle w:val="SingleTxtG"/>
      </w:pPr>
      <w:r>
        <w:t>83.</w:t>
      </w:r>
      <w:r>
        <w:tab/>
      </w:r>
      <w:r w:rsidR="0073666E" w:rsidRPr="0073666E">
        <w:t xml:space="preserve">Au </w:t>
      </w:r>
      <w:r w:rsidR="0073666E" w:rsidRPr="00F5509B">
        <w:t>terme de la formation et de l’obtention du brevet, le contrôle du respect des dispositions pertinentes incombe aux cadres des établissements d’exécution.</w:t>
      </w:r>
    </w:p>
    <w:p w14:paraId="22FD2924" w14:textId="77777777" w:rsidR="0073666E" w:rsidRPr="0073666E" w:rsidRDefault="00F5509B" w:rsidP="00F5509B">
      <w:pPr>
        <w:pStyle w:val="SingleTxtG"/>
        <w:rPr>
          <w:lang w:val="de-CH"/>
        </w:rPr>
      </w:pPr>
      <w:r>
        <w:t>84.</w:t>
      </w:r>
      <w:r>
        <w:tab/>
      </w:r>
      <w:r w:rsidR="0073666E" w:rsidRPr="00F5509B">
        <w:t>Dans la formation des cadres, chaque module se conclut par une évaluation de compétences. Il faut être en possession de toutes les évaluations de compétence pour pouvoir être admis à l’examen</w:t>
      </w:r>
      <w:r w:rsidR="0073666E" w:rsidRPr="0073666E">
        <w:rPr>
          <w:lang w:val="de-CH"/>
        </w:rPr>
        <w:t xml:space="preserve"> </w:t>
      </w:r>
      <w:proofErr w:type="spellStart"/>
      <w:r w:rsidR="0073666E" w:rsidRPr="0073666E">
        <w:rPr>
          <w:lang w:val="de-CH"/>
        </w:rPr>
        <w:t>fédéral</w:t>
      </w:r>
      <w:proofErr w:type="spellEnd"/>
      <w:r w:rsidR="0073666E" w:rsidRPr="0073666E">
        <w:rPr>
          <w:lang w:val="de-CH"/>
        </w:rPr>
        <w:t xml:space="preserve"> d’« expert en </w:t>
      </w:r>
      <w:proofErr w:type="spellStart"/>
      <w:r w:rsidR="0073666E" w:rsidRPr="0073666E">
        <w:rPr>
          <w:lang w:val="de-CH"/>
        </w:rPr>
        <w:t>management</w:t>
      </w:r>
      <w:proofErr w:type="spellEnd"/>
      <w:r w:rsidR="0073666E" w:rsidRPr="0073666E">
        <w:rPr>
          <w:lang w:val="de-CH"/>
        </w:rPr>
        <w:t xml:space="preserve"> du </w:t>
      </w:r>
      <w:proofErr w:type="spellStart"/>
      <w:r w:rsidR="0073666E" w:rsidRPr="0073666E">
        <w:rPr>
          <w:lang w:val="de-CH"/>
        </w:rPr>
        <w:t>domaine</w:t>
      </w:r>
      <w:proofErr w:type="spellEnd"/>
      <w:r w:rsidR="0073666E" w:rsidRPr="0073666E">
        <w:rPr>
          <w:lang w:val="de-CH"/>
        </w:rPr>
        <w:t xml:space="preserve"> des </w:t>
      </w:r>
      <w:proofErr w:type="spellStart"/>
      <w:r w:rsidR="0073666E" w:rsidRPr="0073666E">
        <w:rPr>
          <w:lang w:val="de-CH"/>
        </w:rPr>
        <w:t>privations</w:t>
      </w:r>
      <w:proofErr w:type="spellEnd"/>
      <w:r w:rsidR="0073666E" w:rsidRPr="0073666E">
        <w:rPr>
          <w:lang w:val="de-CH"/>
        </w:rPr>
        <w:t xml:space="preserve"> de </w:t>
      </w:r>
      <w:proofErr w:type="spellStart"/>
      <w:r w:rsidR="0073666E" w:rsidRPr="0073666E">
        <w:rPr>
          <w:lang w:val="de-CH"/>
        </w:rPr>
        <w:t>liberté</w:t>
      </w:r>
      <w:proofErr w:type="spellEnd"/>
      <w:r w:rsidR="0073666E" w:rsidRPr="0073666E">
        <w:rPr>
          <w:lang w:val="de-CH"/>
        </w:rPr>
        <w:t> ».</w:t>
      </w:r>
    </w:p>
    <w:p w14:paraId="652015AE" w14:textId="77777777" w:rsidR="0073666E" w:rsidRPr="0073666E" w:rsidRDefault="00F5509B" w:rsidP="00F5509B">
      <w:pPr>
        <w:pStyle w:val="H1G"/>
        <w:rPr>
          <w:lang w:val="de-CH"/>
        </w:rPr>
      </w:pPr>
      <w:r>
        <w:rPr>
          <w:lang w:val="de-CH"/>
        </w:rPr>
        <w:tab/>
      </w:r>
      <w:r>
        <w:rPr>
          <w:lang w:val="de-CH"/>
        </w:rPr>
        <w:tab/>
      </w:r>
      <w:proofErr w:type="spellStart"/>
      <w:r w:rsidR="0073666E" w:rsidRPr="0073666E">
        <w:rPr>
          <w:lang w:val="de-CH"/>
        </w:rPr>
        <w:t>Article</w:t>
      </w:r>
      <w:proofErr w:type="spellEnd"/>
      <w:r w:rsidR="0073666E" w:rsidRPr="0073666E">
        <w:rPr>
          <w:lang w:val="de-CH"/>
        </w:rPr>
        <w:t xml:space="preserve"> 11</w:t>
      </w:r>
    </w:p>
    <w:p w14:paraId="1AEC989E" w14:textId="77777777" w:rsidR="0073666E" w:rsidRPr="0073666E" w:rsidRDefault="00F5509B" w:rsidP="00F5509B">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15</w:t>
      </w:r>
      <w:r>
        <w:t xml:space="preserve"> </w:t>
      </w:r>
    </w:p>
    <w:p w14:paraId="01A7A82A" w14:textId="77777777" w:rsidR="0073666E" w:rsidRPr="00F5509B" w:rsidRDefault="00F5509B" w:rsidP="00F5509B">
      <w:pPr>
        <w:pStyle w:val="SingleTxtG"/>
      </w:pPr>
      <w:r>
        <w:rPr>
          <w:lang w:val="de-CH"/>
        </w:rPr>
        <w:t>85.</w:t>
      </w:r>
      <w:r>
        <w:rPr>
          <w:lang w:val="de-CH"/>
        </w:rPr>
        <w:tab/>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compétents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ordonner</w:t>
      </w:r>
      <w:proofErr w:type="spellEnd"/>
      <w:r w:rsidR="0073666E" w:rsidRPr="0073666E">
        <w:rPr>
          <w:lang w:val="de-CH"/>
        </w:rPr>
        <w:t xml:space="preserve"> la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de la </w:t>
      </w:r>
      <w:proofErr w:type="spellStart"/>
      <w:r w:rsidR="0073666E" w:rsidRPr="0073666E">
        <w:rPr>
          <w:lang w:val="de-CH"/>
        </w:rPr>
        <w:t>procédure</w:t>
      </w:r>
      <w:proofErr w:type="spellEnd"/>
      <w:r w:rsidR="0073666E" w:rsidRPr="0073666E">
        <w:rPr>
          <w:lang w:val="de-CH"/>
        </w:rPr>
        <w:t xml:space="preserve"> Dublin au sens </w:t>
      </w:r>
      <w:r w:rsidR="0073666E" w:rsidRPr="00F5509B">
        <w:t xml:space="preserve">de l’art. 76a LEI. Les autorités cantonales et les juges sont tenus de prendre en considération la jurisprudence du Tribunal fédéral conformément au principe général de droit </w:t>
      </w:r>
      <w:proofErr w:type="spellStart"/>
      <w:r w:rsidR="0073666E" w:rsidRPr="00F5509B">
        <w:t>iura</w:t>
      </w:r>
      <w:proofErr w:type="spellEnd"/>
      <w:r w:rsidR="0073666E" w:rsidRPr="00F5509B">
        <w:t xml:space="preserve"> </w:t>
      </w:r>
      <w:proofErr w:type="spellStart"/>
      <w:r w:rsidR="0073666E" w:rsidRPr="00F5509B">
        <w:t>novit</w:t>
      </w:r>
      <w:proofErr w:type="spellEnd"/>
      <w:r w:rsidR="0073666E" w:rsidRPr="00F5509B">
        <w:t xml:space="preserve"> </w:t>
      </w:r>
      <w:proofErr w:type="spellStart"/>
      <w:r w:rsidR="0073666E" w:rsidRPr="00F5509B">
        <w:t>curia</w:t>
      </w:r>
      <w:proofErr w:type="spellEnd"/>
      <w:r w:rsidR="0073666E" w:rsidRPr="00F5509B">
        <w:t>.</w:t>
      </w:r>
    </w:p>
    <w:p w14:paraId="17EB00AB" w14:textId="77777777" w:rsidR="0073666E" w:rsidRPr="0073666E" w:rsidRDefault="00F5509B" w:rsidP="00F5509B">
      <w:pPr>
        <w:pStyle w:val="SingleTxtG"/>
        <w:rPr>
          <w:lang w:val="de-CH"/>
        </w:rPr>
      </w:pPr>
      <w:r>
        <w:t>86.</w:t>
      </w:r>
      <w:r>
        <w:tab/>
      </w:r>
      <w:r w:rsidR="0073666E" w:rsidRPr="00F5509B">
        <w:t>L’art. 76a LEI permet à l’autorité cantonale compétente de mettre l’étranger concerné en détention afin d’assurer son renvoi dans l’</w:t>
      </w:r>
      <w:r w:rsidR="00D94D41">
        <w:t>État</w:t>
      </w:r>
      <w:r w:rsidR="0073666E" w:rsidRPr="00F5509B">
        <w:t xml:space="preserve"> Dublin responsable de la procédure d’asile </w:t>
      </w:r>
      <w:proofErr w:type="spellStart"/>
      <w:r w:rsidR="0073666E" w:rsidRPr="00F5509B">
        <w:t>lor</w:t>
      </w:r>
      <w:r w:rsidR="0073666E" w:rsidRPr="0073666E">
        <w:rPr>
          <w:lang w:val="de-CH"/>
        </w:rPr>
        <w:t>sque</w:t>
      </w:r>
      <w:proofErr w:type="spellEnd"/>
      <w:r w:rsidR="0073666E" w:rsidRPr="0073666E">
        <w:rPr>
          <w:lang w:val="de-CH"/>
        </w:rPr>
        <w:t xml:space="preserve"> des </w:t>
      </w:r>
      <w:proofErr w:type="spellStart"/>
      <w:r w:rsidR="0073666E" w:rsidRPr="0073666E">
        <w:rPr>
          <w:lang w:val="de-CH"/>
        </w:rPr>
        <w:t>éléments</w:t>
      </w:r>
      <w:proofErr w:type="spellEnd"/>
      <w:r w:rsidR="0073666E" w:rsidRPr="0073666E">
        <w:rPr>
          <w:lang w:val="de-CH"/>
        </w:rPr>
        <w:t xml:space="preserve"> </w:t>
      </w:r>
      <w:proofErr w:type="spellStart"/>
      <w:r w:rsidR="0073666E" w:rsidRPr="0073666E">
        <w:rPr>
          <w:lang w:val="de-CH"/>
        </w:rPr>
        <w:t>concrets</w:t>
      </w:r>
      <w:proofErr w:type="spellEnd"/>
      <w:r w:rsidR="0073666E" w:rsidRPr="0073666E">
        <w:rPr>
          <w:lang w:val="de-CH"/>
        </w:rPr>
        <w:t xml:space="preserve"> </w:t>
      </w:r>
      <w:proofErr w:type="spellStart"/>
      <w:r w:rsidR="0073666E" w:rsidRPr="0073666E">
        <w:rPr>
          <w:lang w:val="de-CH"/>
        </w:rPr>
        <w:t>font</w:t>
      </w:r>
      <w:proofErr w:type="spellEnd"/>
      <w:r w:rsidR="0073666E" w:rsidRPr="0073666E">
        <w:rPr>
          <w:lang w:val="de-CH"/>
        </w:rPr>
        <w:t xml:space="preserve"> </w:t>
      </w:r>
      <w:proofErr w:type="spellStart"/>
      <w:r w:rsidR="0073666E" w:rsidRPr="0073666E">
        <w:rPr>
          <w:lang w:val="de-CH"/>
        </w:rPr>
        <w:t>craindre</w:t>
      </w:r>
      <w:proofErr w:type="spellEnd"/>
      <w:r w:rsidR="0073666E" w:rsidRPr="0073666E">
        <w:rPr>
          <w:lang w:val="de-CH"/>
        </w:rPr>
        <w:t xml:space="preserve"> </w:t>
      </w:r>
      <w:proofErr w:type="spellStart"/>
      <w:r w:rsidR="0073666E" w:rsidRPr="0073666E">
        <w:rPr>
          <w:lang w:val="de-CH"/>
        </w:rPr>
        <w:t>qu’il</w:t>
      </w:r>
      <w:proofErr w:type="spellEnd"/>
      <w:r w:rsidR="0073666E" w:rsidRPr="0073666E">
        <w:rPr>
          <w:lang w:val="de-CH"/>
        </w:rPr>
        <w:t xml:space="preserve"> </w:t>
      </w:r>
      <w:proofErr w:type="spellStart"/>
      <w:r w:rsidR="0073666E" w:rsidRPr="0073666E">
        <w:rPr>
          <w:lang w:val="de-CH"/>
        </w:rPr>
        <w:t>n’entende</w:t>
      </w:r>
      <w:proofErr w:type="spellEnd"/>
      <w:r w:rsidR="0073666E" w:rsidRPr="0073666E">
        <w:rPr>
          <w:lang w:val="de-CH"/>
        </w:rPr>
        <w:t xml:space="preserve"> se </w:t>
      </w:r>
      <w:proofErr w:type="spellStart"/>
      <w:r w:rsidR="0073666E" w:rsidRPr="0073666E">
        <w:rPr>
          <w:lang w:val="de-CH"/>
        </w:rPr>
        <w:t>soustraire</w:t>
      </w:r>
      <w:proofErr w:type="spellEnd"/>
      <w:r w:rsidR="0073666E" w:rsidRPr="0073666E">
        <w:rPr>
          <w:lang w:val="de-CH"/>
        </w:rPr>
        <w:t xml:space="preserve"> à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proportionnée</w:t>
      </w:r>
      <w:proofErr w:type="spellEnd"/>
      <w:r w:rsidR="0073666E" w:rsidRPr="0073666E">
        <w:rPr>
          <w:lang w:val="de-CH"/>
        </w:rPr>
        <w:t xml:space="preserve"> et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d’autres</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moins</w:t>
      </w:r>
      <w:proofErr w:type="spellEnd"/>
      <w:r w:rsidR="0073666E" w:rsidRPr="0073666E">
        <w:rPr>
          <w:lang w:val="de-CH"/>
        </w:rPr>
        <w:t xml:space="preserve"> </w:t>
      </w:r>
      <w:proofErr w:type="spellStart"/>
      <w:r w:rsidR="0073666E" w:rsidRPr="0073666E">
        <w:rPr>
          <w:lang w:val="de-CH"/>
        </w:rPr>
        <w:t>coercitives</w:t>
      </w:r>
      <w:proofErr w:type="spellEnd"/>
      <w:r w:rsidR="0073666E" w:rsidRPr="0073666E">
        <w:rPr>
          <w:lang w:val="de-CH"/>
        </w:rPr>
        <w:t xml:space="preserve"> ne </w:t>
      </w:r>
      <w:proofErr w:type="spellStart"/>
      <w:r w:rsidR="0073666E" w:rsidRPr="0073666E">
        <w:rPr>
          <w:lang w:val="de-CH"/>
        </w:rPr>
        <w:t>peuvent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appliquées</w:t>
      </w:r>
      <w:proofErr w:type="spellEnd"/>
      <w:r w:rsidR="0073666E" w:rsidRPr="0073666E">
        <w:rPr>
          <w:lang w:val="de-CH"/>
        </w:rPr>
        <w:t xml:space="preserve"> de </w:t>
      </w:r>
      <w:proofErr w:type="spellStart"/>
      <w:r w:rsidR="0073666E" w:rsidRPr="0073666E">
        <w:rPr>
          <w:lang w:val="de-CH"/>
        </w:rPr>
        <w:t>manière</w:t>
      </w:r>
      <w:proofErr w:type="spellEnd"/>
      <w:r w:rsidR="0073666E" w:rsidRPr="0073666E">
        <w:rPr>
          <w:lang w:val="de-CH"/>
        </w:rPr>
        <w:t xml:space="preserve"> </w:t>
      </w:r>
      <w:proofErr w:type="spellStart"/>
      <w:r w:rsidR="0073666E" w:rsidRPr="0073666E">
        <w:rPr>
          <w:lang w:val="de-CH"/>
        </w:rPr>
        <w:t>efficace</w:t>
      </w:r>
      <w:proofErr w:type="spellEnd"/>
      <w:r w:rsidR="0073666E" w:rsidRPr="0073666E">
        <w:rPr>
          <w:lang w:val="de-CH"/>
        </w:rPr>
        <w:t xml:space="preserve">. La </w:t>
      </w:r>
      <w:proofErr w:type="spellStart"/>
      <w:r w:rsidR="0073666E" w:rsidRPr="0073666E">
        <w:rPr>
          <w:lang w:val="de-CH"/>
        </w:rPr>
        <w:t>légalité</w:t>
      </w:r>
      <w:proofErr w:type="spellEnd"/>
      <w:r w:rsidR="0073666E" w:rsidRPr="0073666E">
        <w:rPr>
          <w:lang w:val="de-CH"/>
        </w:rPr>
        <w:t xml:space="preserve"> et </w:t>
      </w:r>
      <w:proofErr w:type="spellStart"/>
      <w:r w:rsidR="0073666E" w:rsidRPr="0073666E">
        <w:rPr>
          <w:lang w:val="de-CH"/>
        </w:rPr>
        <w:t>l’adéquation</w:t>
      </w:r>
      <w:proofErr w:type="spellEnd"/>
      <w:r w:rsidR="0073666E" w:rsidRPr="0073666E">
        <w:rPr>
          <w:lang w:val="de-CH"/>
        </w:rPr>
        <w:t xml:space="preserve"> de la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examinées</w:t>
      </w:r>
      <w:proofErr w:type="spellEnd"/>
      <w:r w:rsidR="0073666E" w:rsidRPr="0073666E">
        <w:rPr>
          <w:lang w:val="de-CH"/>
        </w:rPr>
        <w:t xml:space="preserve"> par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tribunaux</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de </w:t>
      </w:r>
      <w:proofErr w:type="spellStart"/>
      <w:r w:rsidR="0073666E" w:rsidRPr="0073666E">
        <w:rPr>
          <w:lang w:val="de-CH"/>
        </w:rPr>
        <w:t>contrainte</w:t>
      </w:r>
      <w:proofErr w:type="spellEnd"/>
      <w:r w:rsidR="0073666E" w:rsidRPr="0073666E">
        <w:rPr>
          <w:lang w:val="de-CH"/>
        </w:rPr>
        <w:t xml:space="preserve"> </w:t>
      </w:r>
      <w:proofErr w:type="spellStart"/>
      <w:r w:rsidR="0073666E" w:rsidRPr="0073666E">
        <w:rPr>
          <w:lang w:val="de-CH"/>
        </w:rPr>
        <w:t>compétents</w:t>
      </w:r>
      <w:proofErr w:type="spellEnd"/>
      <w:r w:rsidR="0073666E" w:rsidRPr="0073666E">
        <w:rPr>
          <w:lang w:val="de-CH"/>
        </w:rPr>
        <w:t xml:space="preserve"> </w:t>
      </w:r>
      <w:proofErr w:type="spellStart"/>
      <w:r w:rsidR="0073666E" w:rsidRPr="0073666E">
        <w:rPr>
          <w:lang w:val="de-CH"/>
        </w:rPr>
        <w:t>conformément</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dispositions</w:t>
      </w:r>
      <w:proofErr w:type="spellEnd"/>
      <w:r w:rsidR="0073666E" w:rsidRPr="0073666E">
        <w:rPr>
          <w:lang w:val="de-CH"/>
        </w:rPr>
        <w:t xml:space="preserve"> de </w:t>
      </w:r>
      <w:proofErr w:type="spellStart"/>
      <w:r w:rsidR="0073666E" w:rsidRPr="0073666E">
        <w:rPr>
          <w:lang w:val="de-CH"/>
        </w:rPr>
        <w:t>l’art</w:t>
      </w:r>
      <w:proofErr w:type="spellEnd"/>
      <w:r w:rsidR="0073666E" w:rsidRPr="0073666E">
        <w:rPr>
          <w:lang w:val="de-CH"/>
        </w:rPr>
        <w:t>.</w:t>
      </w:r>
      <w:r w:rsidR="00D436A0">
        <w:rPr>
          <w:lang w:val="de-CH"/>
        </w:rPr>
        <w:t> </w:t>
      </w:r>
      <w:r w:rsidR="0073666E" w:rsidRPr="0073666E">
        <w:rPr>
          <w:lang w:val="de-CH"/>
        </w:rPr>
        <w:t>80a LEI.</w:t>
      </w:r>
    </w:p>
    <w:p w14:paraId="2D855672" w14:textId="77777777" w:rsidR="0073666E" w:rsidRPr="0073666E" w:rsidRDefault="00643017" w:rsidP="00643017">
      <w:pPr>
        <w:pStyle w:val="SingleTxtG"/>
        <w:rPr>
          <w:lang w:val="de-CH"/>
        </w:rPr>
      </w:pPr>
      <w:r>
        <w:rPr>
          <w:lang w:val="de-CH"/>
        </w:rPr>
        <w:t>87.</w:t>
      </w:r>
      <w:r>
        <w:rPr>
          <w:lang w:val="de-CH"/>
        </w:rPr>
        <w:tab/>
      </w:r>
      <w:proofErr w:type="spellStart"/>
      <w:r w:rsidR="0073666E" w:rsidRPr="0073666E">
        <w:rPr>
          <w:lang w:val="de-CH"/>
        </w:rPr>
        <w:t>L’art</w:t>
      </w:r>
      <w:proofErr w:type="spellEnd"/>
      <w:r w:rsidR="0073666E" w:rsidRPr="0073666E">
        <w:rPr>
          <w:lang w:val="de-CH"/>
        </w:rPr>
        <w:t xml:space="preserve">. 64e LEI </w:t>
      </w:r>
      <w:proofErr w:type="spellStart"/>
      <w:r w:rsidR="0073666E" w:rsidRPr="0073666E">
        <w:rPr>
          <w:lang w:val="de-CH"/>
        </w:rPr>
        <w:t>prévoit</w:t>
      </w:r>
      <w:proofErr w:type="spellEnd"/>
      <w:r w:rsidR="0073666E" w:rsidRPr="0073666E">
        <w:rPr>
          <w:lang w:val="de-CH"/>
        </w:rPr>
        <w:t xml:space="preserve">, à </w:t>
      </w:r>
      <w:proofErr w:type="spellStart"/>
      <w:r w:rsidR="0073666E" w:rsidRPr="0073666E">
        <w:rPr>
          <w:lang w:val="de-CH"/>
        </w:rPr>
        <w:t>titre</w:t>
      </w:r>
      <w:proofErr w:type="spellEnd"/>
      <w:r w:rsidR="0073666E" w:rsidRPr="0073666E">
        <w:rPr>
          <w:lang w:val="de-CH"/>
        </w:rPr>
        <w:t xml:space="preserve"> de </w:t>
      </w:r>
      <w:proofErr w:type="spellStart"/>
      <w:r w:rsidR="0073666E" w:rsidRPr="0073666E">
        <w:rPr>
          <w:lang w:val="de-CH"/>
        </w:rPr>
        <w:t>substitution</w:t>
      </w:r>
      <w:proofErr w:type="spellEnd"/>
      <w:r w:rsidR="0073666E" w:rsidRPr="0073666E">
        <w:rPr>
          <w:lang w:val="de-CH"/>
        </w:rPr>
        <w:t xml:space="preserve"> à la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ordonnée</w:t>
      </w:r>
      <w:proofErr w:type="spellEnd"/>
      <w:r w:rsidR="0073666E" w:rsidRPr="0073666E">
        <w:rPr>
          <w:lang w:val="de-CH"/>
        </w:rPr>
        <w:t xml:space="preserve"> en vertu du </w:t>
      </w:r>
      <w:proofErr w:type="spellStart"/>
      <w:r w:rsidR="0073666E" w:rsidRPr="0073666E">
        <w:rPr>
          <w:lang w:val="de-CH"/>
        </w:rPr>
        <w:t>droit</w:t>
      </w:r>
      <w:proofErr w:type="spellEnd"/>
      <w:r w:rsidR="0073666E" w:rsidRPr="0073666E">
        <w:rPr>
          <w:lang w:val="de-CH"/>
        </w:rPr>
        <w:t xml:space="preserve"> des </w:t>
      </w:r>
      <w:proofErr w:type="spellStart"/>
      <w:r w:rsidR="0073666E" w:rsidRPr="0073666E">
        <w:rPr>
          <w:lang w:val="de-CH"/>
        </w:rPr>
        <w:t>étrangers</w:t>
      </w:r>
      <w:proofErr w:type="spellEnd"/>
      <w:r w:rsidR="0073666E" w:rsidRPr="0073666E">
        <w:rPr>
          <w:lang w:val="de-CH"/>
        </w:rPr>
        <w:t xml:space="preserve">, des </w:t>
      </w:r>
      <w:proofErr w:type="spellStart"/>
      <w:r w:rsidR="0073666E" w:rsidRPr="0073666E">
        <w:rPr>
          <w:lang w:val="de-CH"/>
        </w:rPr>
        <w:t>obligations</w:t>
      </w:r>
      <w:proofErr w:type="spellEnd"/>
      <w:r w:rsidR="0073666E" w:rsidRPr="0073666E">
        <w:rPr>
          <w:lang w:val="de-CH"/>
        </w:rPr>
        <w:t xml:space="preserve"> de se </w:t>
      </w:r>
      <w:proofErr w:type="spellStart"/>
      <w:r w:rsidR="0073666E" w:rsidRPr="0073666E">
        <w:rPr>
          <w:lang w:val="de-CH"/>
        </w:rPr>
        <w:t>présenter</w:t>
      </w:r>
      <w:proofErr w:type="spellEnd"/>
      <w:r w:rsidR="0073666E" w:rsidRPr="0073666E">
        <w:rPr>
          <w:lang w:val="de-CH"/>
        </w:rPr>
        <w:t xml:space="preserve">, de </w:t>
      </w:r>
      <w:proofErr w:type="spellStart"/>
      <w:r w:rsidR="0073666E" w:rsidRPr="0073666E">
        <w:rPr>
          <w:lang w:val="de-CH"/>
        </w:rPr>
        <w:t>fournir</w:t>
      </w:r>
      <w:proofErr w:type="spellEnd"/>
      <w:r w:rsidR="0073666E" w:rsidRPr="0073666E">
        <w:rPr>
          <w:lang w:val="de-CH"/>
        </w:rPr>
        <w:t xml:space="preserve"> des </w:t>
      </w:r>
      <w:proofErr w:type="spellStart"/>
      <w:r w:rsidR="0073666E" w:rsidRPr="0073666E">
        <w:rPr>
          <w:lang w:val="de-CH"/>
        </w:rPr>
        <w:t>sûretés</w:t>
      </w:r>
      <w:proofErr w:type="spellEnd"/>
      <w:r w:rsidR="0073666E" w:rsidRPr="0073666E">
        <w:rPr>
          <w:lang w:val="de-CH"/>
        </w:rPr>
        <w:t xml:space="preserve"> </w:t>
      </w:r>
      <w:proofErr w:type="spellStart"/>
      <w:r w:rsidR="0073666E" w:rsidRPr="0073666E">
        <w:rPr>
          <w:lang w:val="de-CH"/>
        </w:rPr>
        <w:t>financières</w:t>
      </w:r>
      <w:proofErr w:type="spellEnd"/>
      <w:r w:rsidR="0073666E" w:rsidRPr="0073666E">
        <w:rPr>
          <w:lang w:val="de-CH"/>
        </w:rPr>
        <w:t xml:space="preserve"> </w:t>
      </w:r>
      <w:proofErr w:type="spellStart"/>
      <w:r w:rsidR="0073666E" w:rsidRPr="0073666E">
        <w:rPr>
          <w:lang w:val="de-CH"/>
        </w:rPr>
        <w:t>appropriées</w:t>
      </w:r>
      <w:proofErr w:type="spellEnd"/>
      <w:r w:rsidR="0073666E" w:rsidRPr="0073666E">
        <w:rPr>
          <w:lang w:val="de-CH"/>
        </w:rPr>
        <w:t xml:space="preserve"> et de </w:t>
      </w:r>
      <w:r w:rsidR="0073666E" w:rsidRPr="00643017">
        <w:t>déposer</w:t>
      </w:r>
      <w:r w:rsidR="0073666E" w:rsidRPr="0073666E">
        <w:rPr>
          <w:lang w:val="de-CH"/>
        </w:rPr>
        <w:t xml:space="preserve"> des </w:t>
      </w:r>
      <w:proofErr w:type="spellStart"/>
      <w:r w:rsidR="0073666E" w:rsidRPr="0073666E">
        <w:rPr>
          <w:lang w:val="de-CH"/>
        </w:rPr>
        <w:t>documents</w:t>
      </w:r>
      <w:proofErr w:type="spellEnd"/>
      <w:r w:rsidR="0073666E" w:rsidRPr="0073666E">
        <w:rPr>
          <w:lang w:val="de-CH"/>
        </w:rPr>
        <w:t xml:space="preserve"> de </w:t>
      </w:r>
      <w:proofErr w:type="spellStart"/>
      <w:r w:rsidR="0073666E" w:rsidRPr="0073666E">
        <w:rPr>
          <w:lang w:val="de-CH"/>
        </w:rPr>
        <w:t>voyage</w:t>
      </w:r>
      <w:proofErr w:type="spellEnd"/>
      <w:r w:rsidR="0073666E" w:rsidRPr="0073666E">
        <w:rPr>
          <w:lang w:val="de-CH"/>
        </w:rPr>
        <w:t xml:space="preserv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concernée</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en </w:t>
      </w:r>
      <w:proofErr w:type="spellStart"/>
      <w:r w:rsidR="0073666E" w:rsidRPr="0073666E">
        <w:rPr>
          <w:lang w:val="de-CH"/>
        </w:rPr>
        <w:t>outre</w:t>
      </w:r>
      <w:proofErr w:type="spellEnd"/>
      <w:r w:rsidR="0073666E" w:rsidRPr="0073666E">
        <w:rPr>
          <w:lang w:val="de-CH"/>
        </w:rPr>
        <w:t xml:space="preserve"> se </w:t>
      </w:r>
      <w:proofErr w:type="spellStart"/>
      <w:r w:rsidR="0073666E" w:rsidRPr="0073666E">
        <w:rPr>
          <w:lang w:val="de-CH"/>
        </w:rPr>
        <w:t>voir</w:t>
      </w:r>
      <w:proofErr w:type="spellEnd"/>
      <w:r w:rsidR="0073666E" w:rsidRPr="0073666E">
        <w:rPr>
          <w:lang w:val="de-CH"/>
        </w:rPr>
        <w:t xml:space="preserve"> </w:t>
      </w:r>
      <w:proofErr w:type="spellStart"/>
      <w:r w:rsidR="0073666E" w:rsidRPr="0073666E">
        <w:rPr>
          <w:lang w:val="de-CH"/>
        </w:rPr>
        <w:t>enjoindre</w:t>
      </w:r>
      <w:proofErr w:type="spellEnd"/>
      <w:r w:rsidR="0073666E" w:rsidRPr="0073666E">
        <w:rPr>
          <w:lang w:val="de-CH"/>
        </w:rPr>
        <w:t xml:space="preserve"> de </w:t>
      </w:r>
      <w:proofErr w:type="spellStart"/>
      <w:r w:rsidR="0073666E" w:rsidRPr="0073666E">
        <w:rPr>
          <w:lang w:val="de-CH"/>
        </w:rPr>
        <w:t>ne</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quitter</w:t>
      </w:r>
      <w:proofErr w:type="spellEnd"/>
      <w:r w:rsidR="0073666E" w:rsidRPr="0073666E">
        <w:rPr>
          <w:lang w:val="de-CH"/>
        </w:rPr>
        <w:t xml:space="preserve"> le </w:t>
      </w:r>
      <w:proofErr w:type="spellStart"/>
      <w:r w:rsidR="0073666E" w:rsidRPr="0073666E">
        <w:rPr>
          <w:lang w:val="de-CH"/>
        </w:rPr>
        <w:t>lieu</w:t>
      </w:r>
      <w:proofErr w:type="spellEnd"/>
      <w:r w:rsidR="0073666E" w:rsidRPr="0073666E">
        <w:rPr>
          <w:lang w:val="de-CH"/>
        </w:rPr>
        <w:t xml:space="preserve"> de </w:t>
      </w:r>
      <w:proofErr w:type="spellStart"/>
      <w:r w:rsidR="0073666E" w:rsidRPr="0073666E">
        <w:rPr>
          <w:lang w:val="de-CH"/>
        </w:rPr>
        <w:t>résidence</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lui</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assigné</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ne</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pénétrer</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région</w:t>
      </w:r>
      <w:proofErr w:type="spellEnd"/>
      <w:r w:rsidR="0073666E" w:rsidRPr="0073666E">
        <w:rPr>
          <w:lang w:val="de-CH"/>
        </w:rPr>
        <w:t xml:space="preserve"> </w:t>
      </w:r>
      <w:proofErr w:type="spellStart"/>
      <w:r w:rsidR="0073666E" w:rsidRPr="0073666E">
        <w:rPr>
          <w:lang w:val="de-CH"/>
        </w:rPr>
        <w:t>déterminée</w:t>
      </w:r>
      <w:proofErr w:type="spellEnd"/>
      <w:r w:rsidR="0073666E" w:rsidRPr="0073666E">
        <w:rPr>
          <w:lang w:val="de-CH"/>
        </w:rPr>
        <w:t xml:space="preserve"> en vertu de </w:t>
      </w:r>
      <w:proofErr w:type="spellStart"/>
      <w:r w:rsidR="0073666E" w:rsidRPr="0073666E">
        <w:rPr>
          <w:lang w:val="de-CH"/>
        </w:rPr>
        <w:t>l’art</w:t>
      </w:r>
      <w:proofErr w:type="spellEnd"/>
      <w:r w:rsidR="0073666E" w:rsidRPr="0073666E">
        <w:rPr>
          <w:lang w:val="de-CH"/>
        </w:rPr>
        <w:t>. 74 LEI.</w:t>
      </w:r>
    </w:p>
    <w:p w14:paraId="6F522CD7" w14:textId="77777777" w:rsidR="0073666E" w:rsidRPr="0073666E" w:rsidRDefault="00643017" w:rsidP="00643017">
      <w:pPr>
        <w:pStyle w:val="SingleTxtG"/>
        <w:rPr>
          <w:lang w:val="de-CH"/>
        </w:rPr>
      </w:pPr>
      <w:r>
        <w:rPr>
          <w:lang w:val="de-CH"/>
        </w:rPr>
        <w:t>88.</w:t>
      </w:r>
      <w:r>
        <w:rPr>
          <w:lang w:val="de-CH"/>
        </w:rPr>
        <w:tab/>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compétents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exécuter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renvois</w:t>
      </w:r>
      <w:proofErr w:type="spellEnd"/>
      <w:r w:rsidR="0073666E" w:rsidRPr="0073666E">
        <w:rPr>
          <w:lang w:val="de-CH"/>
        </w:rPr>
        <w:t xml:space="preserve"> en vertu des art. 69 LEI et 46 </w:t>
      </w:r>
      <w:proofErr w:type="spellStart"/>
      <w:r w:rsidR="0073666E" w:rsidRPr="0073666E">
        <w:rPr>
          <w:lang w:val="de-CH"/>
        </w:rPr>
        <w:t>LAsi</w:t>
      </w:r>
      <w:proofErr w:type="spellEnd"/>
      <w:r w:rsidR="0073666E" w:rsidRPr="0073666E">
        <w:rPr>
          <w:lang w:val="de-CH"/>
        </w:rPr>
        <w:t xml:space="preserve"> </w:t>
      </w:r>
      <w:proofErr w:type="spellStart"/>
      <w:r w:rsidR="0073666E" w:rsidRPr="0073666E">
        <w:rPr>
          <w:lang w:val="de-CH"/>
        </w:rPr>
        <w:t>doivent</w:t>
      </w:r>
      <w:proofErr w:type="spellEnd"/>
      <w:r w:rsidR="0073666E" w:rsidRPr="0073666E">
        <w:rPr>
          <w:lang w:val="de-CH"/>
        </w:rPr>
        <w:t xml:space="preserve"> </w:t>
      </w:r>
      <w:proofErr w:type="spellStart"/>
      <w:r w:rsidR="0073666E" w:rsidRPr="0073666E">
        <w:rPr>
          <w:lang w:val="de-CH"/>
        </w:rPr>
        <w:t>décider</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d’espèce</w:t>
      </w:r>
      <w:proofErr w:type="spellEnd"/>
      <w:r w:rsidR="0073666E" w:rsidRPr="0073666E">
        <w:rPr>
          <w:lang w:val="de-CH"/>
        </w:rPr>
        <w:t xml:space="preserve"> de </w:t>
      </w:r>
      <w:proofErr w:type="spellStart"/>
      <w:r w:rsidR="0073666E" w:rsidRPr="0073666E">
        <w:rPr>
          <w:lang w:val="de-CH"/>
        </w:rPr>
        <w:t>l’adéquation</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en </w:t>
      </w:r>
      <w:proofErr w:type="spellStart"/>
      <w:r w:rsidR="0073666E" w:rsidRPr="0073666E">
        <w:rPr>
          <w:lang w:val="de-CH"/>
        </w:rPr>
        <w:t>question</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de </w:t>
      </w:r>
      <w:proofErr w:type="spellStart"/>
      <w:r w:rsidR="0073666E" w:rsidRPr="0073666E">
        <w:rPr>
          <w:lang w:val="de-CH"/>
        </w:rPr>
        <w:t>contrainte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de </w:t>
      </w:r>
      <w:proofErr w:type="spellStart"/>
      <w:r w:rsidR="0073666E" w:rsidRPr="0073666E">
        <w:rPr>
          <w:lang w:val="de-CH"/>
        </w:rPr>
        <w:t>substitution</w:t>
      </w:r>
      <w:proofErr w:type="spellEnd"/>
      <w:r w:rsidR="0073666E" w:rsidRPr="0073666E">
        <w:rPr>
          <w:lang w:val="de-CH"/>
        </w:rPr>
        <w:t xml:space="preserve"> à la </w:t>
      </w:r>
      <w:proofErr w:type="spellStart"/>
      <w:r w:rsidR="0073666E" w:rsidRPr="0073666E">
        <w:rPr>
          <w:lang w:val="de-CH"/>
        </w:rPr>
        <w:t>détention</w:t>
      </w:r>
      <w:proofErr w:type="spellEnd"/>
      <w:r w:rsidR="0073666E" w:rsidRPr="0073666E">
        <w:rPr>
          <w:lang w:val="de-CH"/>
        </w:rPr>
        <w:t xml:space="preserve">). </w:t>
      </w:r>
    </w:p>
    <w:p w14:paraId="3E8F18FF" w14:textId="77777777" w:rsidR="0073666E" w:rsidRPr="0073666E" w:rsidRDefault="00643017" w:rsidP="00643017">
      <w:pPr>
        <w:pStyle w:val="H23G"/>
        <w:rPr>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16 </w:t>
      </w:r>
    </w:p>
    <w:p w14:paraId="12BECBA0" w14:textId="77777777" w:rsidR="0073666E" w:rsidRPr="00643017" w:rsidRDefault="00643017" w:rsidP="00643017">
      <w:pPr>
        <w:pStyle w:val="SingleTxtG"/>
      </w:pPr>
      <w:r>
        <w:rPr>
          <w:lang w:val="de-CH"/>
        </w:rPr>
        <w:t>89.</w:t>
      </w:r>
      <w:r>
        <w:rPr>
          <w:lang w:val="de-CH"/>
        </w:rPr>
        <w:tab/>
      </w:r>
      <w:r w:rsidR="0073666E" w:rsidRPr="0073666E">
        <w:rPr>
          <w:lang w:val="de-CH"/>
        </w:rPr>
        <w:t xml:space="preserve">Entre 2015 et 2017, la </w:t>
      </w:r>
      <w:proofErr w:type="spellStart"/>
      <w:r w:rsidR="0073666E" w:rsidRPr="0073666E">
        <w:rPr>
          <w:lang w:val="de-CH"/>
        </w:rPr>
        <w:t>durée</w:t>
      </w:r>
      <w:proofErr w:type="spellEnd"/>
      <w:r w:rsidR="0073666E" w:rsidRPr="0073666E">
        <w:rPr>
          <w:lang w:val="de-CH"/>
        </w:rPr>
        <w:t xml:space="preserve"> </w:t>
      </w:r>
      <w:proofErr w:type="spellStart"/>
      <w:r w:rsidR="0073666E" w:rsidRPr="0073666E">
        <w:rPr>
          <w:lang w:val="de-CH"/>
        </w:rPr>
        <w:t>moyenne</w:t>
      </w:r>
      <w:proofErr w:type="spellEnd"/>
      <w:r w:rsidR="0073666E" w:rsidRPr="0073666E">
        <w:rPr>
          <w:lang w:val="de-CH"/>
        </w:rPr>
        <w:t xml:space="preserve"> des </w:t>
      </w:r>
      <w:proofErr w:type="spellStart"/>
      <w:r w:rsidR="0073666E" w:rsidRPr="0073666E">
        <w:rPr>
          <w:lang w:val="de-CH"/>
        </w:rPr>
        <w:t>détentions</w:t>
      </w:r>
      <w:proofErr w:type="spellEnd"/>
      <w:r w:rsidR="0073666E" w:rsidRPr="0073666E">
        <w:rPr>
          <w:lang w:val="de-CH"/>
        </w:rPr>
        <w:t xml:space="preserve"> administratives </w:t>
      </w:r>
      <w:proofErr w:type="spellStart"/>
      <w:r w:rsidR="0073666E" w:rsidRPr="0073666E">
        <w:rPr>
          <w:lang w:val="de-CH"/>
        </w:rPr>
        <w:t>ordonnées</w:t>
      </w:r>
      <w:proofErr w:type="spellEnd"/>
      <w:r w:rsidR="0073666E" w:rsidRPr="0073666E">
        <w:rPr>
          <w:lang w:val="de-CH"/>
        </w:rPr>
        <w:t xml:space="preserve"> en vertu du </w:t>
      </w:r>
      <w:proofErr w:type="spellStart"/>
      <w:r w:rsidR="0073666E" w:rsidRPr="0073666E">
        <w:rPr>
          <w:lang w:val="de-CH"/>
        </w:rPr>
        <w:t>droit</w:t>
      </w:r>
      <w:proofErr w:type="spellEnd"/>
      <w:r w:rsidR="0073666E" w:rsidRPr="0073666E">
        <w:rPr>
          <w:lang w:val="de-CH"/>
        </w:rPr>
        <w:t xml:space="preserve"> des </w:t>
      </w:r>
      <w:proofErr w:type="spellStart"/>
      <w:r w:rsidR="0073666E" w:rsidRPr="0073666E">
        <w:rPr>
          <w:lang w:val="de-CH"/>
        </w:rPr>
        <w:t>étrangers</w:t>
      </w:r>
      <w:proofErr w:type="spellEnd"/>
      <w:r w:rsidR="0073666E" w:rsidRPr="0073666E">
        <w:rPr>
          <w:lang w:val="de-CH"/>
        </w:rPr>
        <w:t xml:space="preserve"> </w:t>
      </w:r>
      <w:r w:rsidR="0073666E" w:rsidRPr="00643017">
        <w:t>était de 24 jours à l’échelle de la Suisse (sans les rétentions au sens de l’art. 73 LEI). La majorité des cantons font état d’une détention moyenne de 18 à 26</w:t>
      </w:r>
      <w:r w:rsidR="004C5A95">
        <w:t> </w:t>
      </w:r>
      <w:r w:rsidR="0073666E" w:rsidRPr="00643017">
        <w:t xml:space="preserve">jours. </w:t>
      </w:r>
    </w:p>
    <w:p w14:paraId="3C967C90" w14:textId="77777777" w:rsidR="0073666E" w:rsidRPr="00643017" w:rsidRDefault="00643017" w:rsidP="00643017">
      <w:pPr>
        <w:pStyle w:val="SingleTxtG"/>
      </w:pPr>
      <w:r>
        <w:lastRenderedPageBreak/>
        <w:t>90.</w:t>
      </w:r>
      <w:r>
        <w:tab/>
      </w:r>
      <w:r w:rsidR="0073666E" w:rsidRPr="00643017">
        <w:t>Concernant les structures spécialisées d’accueil des migrants, la prise en charge et l’hébergement des requérants d’asile sont assurés par la Confédération durant la première phase de la procédure. Les centres fédéraux pour requérants d’asile (CFA) tiennent compte des besoins particuliers (requérants d’asile mineur non accompagné [RMNA], familles, femmes avec ou sans enfants) des requérants d’asile (pièces/étages séparés ou lieux de séjour différents). Certaines régions (Bâle) disposent d’hébergements réservés exclusivement aux RMNA, mais il n’existe pas de structures particulières/structures de jour dans tous les CFA de Suisse.</w:t>
      </w:r>
    </w:p>
    <w:p w14:paraId="74356611" w14:textId="77777777" w:rsidR="0073666E" w:rsidRPr="0073666E" w:rsidRDefault="00643017" w:rsidP="00643017">
      <w:pPr>
        <w:pStyle w:val="SingleTxtG"/>
      </w:pPr>
      <w:r>
        <w:t>91.</w:t>
      </w:r>
      <w:r>
        <w:tab/>
      </w:r>
      <w:r w:rsidR="0073666E" w:rsidRPr="00643017">
        <w:t>La situation de l’hébergement dans les cantons est très volatile et change parfois de mois en mois. Il n’existe par conséquent</w:t>
      </w:r>
      <w:r w:rsidR="0073666E" w:rsidRPr="0073666E">
        <w:t xml:space="preserve"> pas de tableau récapitulatif du nombre d’hébergements dans les cantons.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requérants</w:t>
      </w:r>
      <w:proofErr w:type="spellEnd"/>
      <w:r w:rsidR="0073666E" w:rsidRPr="0073666E">
        <w:rPr>
          <w:lang w:val="de-CH"/>
        </w:rPr>
        <w:t xml:space="preserve"> </w:t>
      </w:r>
      <w:proofErr w:type="spellStart"/>
      <w:r w:rsidR="0073666E" w:rsidRPr="0073666E">
        <w:rPr>
          <w:lang w:val="de-CH"/>
        </w:rPr>
        <w:t>d’asile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selon</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logés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des </w:t>
      </w:r>
      <w:proofErr w:type="spellStart"/>
      <w:r w:rsidR="0073666E" w:rsidRPr="0073666E">
        <w:rPr>
          <w:lang w:val="de-CH"/>
        </w:rPr>
        <w:t>hébergements</w:t>
      </w:r>
      <w:proofErr w:type="spellEnd"/>
      <w:r w:rsidR="0073666E" w:rsidRPr="0073666E">
        <w:rPr>
          <w:lang w:val="de-CH"/>
        </w:rPr>
        <w:t xml:space="preserve"> </w:t>
      </w:r>
      <w:proofErr w:type="spellStart"/>
      <w:r w:rsidR="0073666E" w:rsidRPr="0073666E">
        <w:rPr>
          <w:lang w:val="de-CH"/>
        </w:rPr>
        <w:t>cantonaux</w:t>
      </w:r>
      <w:proofErr w:type="spellEnd"/>
      <w:r w:rsidR="0073666E" w:rsidRPr="0073666E">
        <w:rPr>
          <w:lang w:val="de-CH"/>
        </w:rPr>
        <w:t xml:space="preserve"> </w:t>
      </w:r>
      <w:proofErr w:type="spellStart"/>
      <w:r w:rsidR="0073666E" w:rsidRPr="0073666E">
        <w:rPr>
          <w:lang w:val="de-CH"/>
        </w:rPr>
        <w:t>collectifs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placés</w:t>
      </w:r>
      <w:proofErr w:type="spellEnd"/>
      <w:r w:rsidR="0073666E" w:rsidRPr="0073666E">
        <w:rPr>
          <w:lang w:val="de-CH"/>
        </w:rPr>
        <w:t xml:space="preserve"> </w:t>
      </w:r>
      <w:proofErr w:type="spellStart"/>
      <w:r w:rsidR="0073666E" w:rsidRPr="0073666E">
        <w:rPr>
          <w:lang w:val="de-CH"/>
        </w:rPr>
        <w:t>directement</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des </w:t>
      </w:r>
      <w:proofErr w:type="spellStart"/>
      <w:r w:rsidR="0073666E" w:rsidRPr="0073666E">
        <w:rPr>
          <w:lang w:val="de-CH"/>
        </w:rPr>
        <w:t>appartements</w:t>
      </w:r>
      <w:proofErr w:type="spellEnd"/>
      <w:r w:rsidR="0073666E" w:rsidRPr="0073666E">
        <w:rPr>
          <w:lang w:val="de-CH"/>
        </w:rPr>
        <w:t xml:space="preserve"> (</w:t>
      </w:r>
      <w:proofErr w:type="spellStart"/>
      <w:r w:rsidR="0073666E" w:rsidRPr="0073666E">
        <w:rPr>
          <w:lang w:val="de-CH"/>
        </w:rPr>
        <w:t>compétence</w:t>
      </w:r>
      <w:proofErr w:type="spellEnd"/>
      <w:r w:rsidR="0073666E" w:rsidRPr="0073666E">
        <w:rPr>
          <w:lang w:val="de-CH"/>
        </w:rPr>
        <w:t xml:space="preserve"> des </w:t>
      </w:r>
      <w:proofErr w:type="spellStart"/>
      <w:r w:rsidR="0073666E" w:rsidRPr="0073666E">
        <w:rPr>
          <w:lang w:val="de-CH"/>
        </w:rPr>
        <w:t>communes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ne </w:t>
      </w:r>
      <w:proofErr w:type="spellStart"/>
      <w:r w:rsidR="0073666E" w:rsidRPr="0073666E">
        <w:rPr>
          <w:lang w:val="de-CH"/>
        </w:rPr>
        <w:t>reçoivent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hébergement</w:t>
      </w:r>
      <w:proofErr w:type="spellEnd"/>
      <w:r w:rsidR="0073666E" w:rsidRPr="0073666E">
        <w:rPr>
          <w:lang w:val="de-CH"/>
        </w:rPr>
        <w:t xml:space="preserve"> </w:t>
      </w:r>
      <w:proofErr w:type="spellStart"/>
      <w:r w:rsidR="0073666E" w:rsidRPr="0073666E">
        <w:rPr>
          <w:lang w:val="de-CH"/>
        </w:rPr>
        <w:t>individuel</w:t>
      </w:r>
      <w:proofErr w:type="spellEnd"/>
      <w:r w:rsidR="0073666E" w:rsidRPr="0073666E">
        <w:rPr>
          <w:lang w:val="de-CH"/>
        </w:rPr>
        <w:t xml:space="preserve"> </w:t>
      </w:r>
      <w:proofErr w:type="spellStart"/>
      <w:r w:rsidR="0073666E" w:rsidRPr="0073666E">
        <w:rPr>
          <w:lang w:val="de-CH"/>
        </w:rPr>
        <w:t>qu’après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w:t>
      </w:r>
      <w:r w:rsidR="0073666E" w:rsidRPr="0073666E">
        <w:t>La Conférence des directrices et des directeurs cantonaux des affaires sociales (CDAS) a édicté des recommandations sur l’accueil de certains groupes de requérants</w:t>
      </w:r>
      <w:r w:rsidR="00222D58">
        <w:t> </w:t>
      </w:r>
      <w:r w:rsidR="0073666E" w:rsidRPr="0073666E">
        <w:t>: recommandations MNA</w:t>
      </w:r>
      <w:r w:rsidR="0073666E" w:rsidRPr="009E1FD5">
        <w:rPr>
          <w:rStyle w:val="Appelnotedebasdep"/>
        </w:rPr>
        <w:footnoteReference w:id="26"/>
      </w:r>
      <w:r w:rsidR="0073666E" w:rsidRPr="0073666E">
        <w:t xml:space="preserve"> et recommandations relatives à l’aide d’urgence</w:t>
      </w:r>
      <w:r w:rsidR="0073666E" w:rsidRPr="009E1FD5">
        <w:rPr>
          <w:rStyle w:val="Appelnotedebasdep"/>
        </w:rPr>
        <w:footnoteReference w:id="27"/>
      </w:r>
      <w:r w:rsidR="0073666E" w:rsidRPr="0073666E">
        <w:t>.</w:t>
      </w:r>
    </w:p>
    <w:p w14:paraId="3F999E80" w14:textId="77777777" w:rsidR="0073666E" w:rsidRPr="0073666E" w:rsidRDefault="00643017" w:rsidP="00643017">
      <w:pPr>
        <w:pStyle w:val="SingleTxtG"/>
        <w:rPr>
          <w:lang w:val="de-CH"/>
        </w:rPr>
      </w:pPr>
      <w:r>
        <w:rPr>
          <w:lang w:val="de-CH"/>
        </w:rPr>
        <w:t>92.</w:t>
      </w:r>
      <w:r>
        <w:rPr>
          <w:lang w:val="de-CH"/>
        </w:rPr>
        <w:tab/>
      </w:r>
      <w:r w:rsidR="0073666E" w:rsidRPr="0073666E">
        <w:rPr>
          <w:lang w:val="de-CH"/>
        </w:rPr>
        <w:t xml:space="preserve">La LEI,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règle</w:t>
      </w:r>
      <w:proofErr w:type="spellEnd"/>
      <w:r w:rsidR="0073666E" w:rsidRPr="0073666E">
        <w:rPr>
          <w:lang w:val="de-CH"/>
        </w:rPr>
        <w:t xml:space="preserve"> </w:t>
      </w:r>
      <w:proofErr w:type="spellStart"/>
      <w:r w:rsidR="0073666E" w:rsidRPr="0073666E">
        <w:rPr>
          <w:lang w:val="de-CH"/>
        </w:rPr>
        <w:t>l’entrée</w:t>
      </w:r>
      <w:proofErr w:type="spellEnd"/>
      <w:r w:rsidR="0073666E" w:rsidRPr="0073666E">
        <w:rPr>
          <w:lang w:val="de-CH"/>
        </w:rPr>
        <w:t xml:space="preserve"> en et la </w:t>
      </w:r>
      <w:proofErr w:type="spellStart"/>
      <w:r w:rsidR="0073666E" w:rsidRPr="0073666E">
        <w:rPr>
          <w:lang w:val="de-CH"/>
        </w:rPr>
        <w:t>sortie</w:t>
      </w:r>
      <w:proofErr w:type="spellEnd"/>
      <w:r w:rsidR="0073666E" w:rsidRPr="0073666E">
        <w:rPr>
          <w:lang w:val="de-CH"/>
        </w:rPr>
        <w:t xml:space="preserve"> de Suisse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séjour</w:t>
      </w:r>
      <w:proofErr w:type="spellEnd"/>
      <w:r w:rsidR="0073666E" w:rsidRPr="0073666E">
        <w:rPr>
          <w:lang w:val="de-CH"/>
        </w:rPr>
        <w:t xml:space="preserve"> des </w:t>
      </w:r>
      <w:proofErr w:type="spellStart"/>
      <w:r w:rsidR="0073666E" w:rsidRPr="0073666E">
        <w:rPr>
          <w:lang w:val="de-CH"/>
        </w:rPr>
        <w:t>étrangers</w:t>
      </w:r>
      <w:proofErr w:type="spellEnd"/>
      <w:r w:rsidR="0073666E" w:rsidRPr="0073666E">
        <w:rPr>
          <w:lang w:val="de-CH"/>
        </w:rPr>
        <w:t xml:space="preserve">, </w:t>
      </w:r>
      <w:proofErr w:type="spellStart"/>
      <w:r w:rsidR="0073666E" w:rsidRPr="0073666E">
        <w:rPr>
          <w:lang w:val="de-CH"/>
        </w:rPr>
        <w:t>prévoit</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administratives à </w:t>
      </w:r>
      <w:proofErr w:type="spellStart"/>
      <w:r w:rsidR="0073666E" w:rsidRPr="0073666E">
        <w:rPr>
          <w:lang w:val="de-CH"/>
        </w:rPr>
        <w:t>l’encontre</w:t>
      </w:r>
      <w:proofErr w:type="spellEnd"/>
      <w:r w:rsidR="0073666E" w:rsidRPr="0073666E">
        <w:rPr>
          <w:lang w:val="de-CH"/>
        </w:rPr>
        <w:t xml:space="preserve"> des </w:t>
      </w:r>
      <w:proofErr w:type="spellStart"/>
      <w:r w:rsidR="0073666E" w:rsidRPr="0073666E">
        <w:rPr>
          <w:lang w:val="de-CH"/>
        </w:rPr>
        <w:t>migrants</w:t>
      </w:r>
      <w:proofErr w:type="spellEnd"/>
      <w:r w:rsidR="0073666E" w:rsidRPr="0073666E">
        <w:rPr>
          <w:lang w:val="de-CH"/>
        </w:rPr>
        <w:t xml:space="preserve"> </w:t>
      </w:r>
      <w:proofErr w:type="spellStart"/>
      <w:r w:rsidR="0073666E" w:rsidRPr="0073666E">
        <w:rPr>
          <w:lang w:val="de-CH"/>
        </w:rPr>
        <w:t>irréguliers</w:t>
      </w:r>
      <w:proofErr w:type="spellEnd"/>
      <w:r w:rsidR="00222D58">
        <w:rPr>
          <w:lang w:val="de-CH"/>
        </w:rPr>
        <w:t> </w:t>
      </w:r>
      <w:r w:rsidR="0073666E" w:rsidRPr="0073666E">
        <w:rPr>
          <w:lang w:val="de-CH"/>
        </w:rPr>
        <w:t xml:space="preserve">: la </w:t>
      </w:r>
      <w:proofErr w:type="spellStart"/>
      <w:r w:rsidR="0073666E" w:rsidRPr="0073666E">
        <w:rPr>
          <w:lang w:val="de-CH"/>
        </w:rPr>
        <w:t>détention</w:t>
      </w:r>
      <w:proofErr w:type="spellEnd"/>
      <w:r w:rsidR="0073666E" w:rsidRPr="0073666E">
        <w:rPr>
          <w:lang w:val="de-CH"/>
        </w:rPr>
        <w:t xml:space="preserve"> en </w:t>
      </w:r>
      <w:proofErr w:type="spellStart"/>
      <w:r w:rsidR="0073666E" w:rsidRPr="0073666E">
        <w:rPr>
          <w:lang w:val="de-CH"/>
        </w:rPr>
        <w:t>phase</w:t>
      </w:r>
      <w:proofErr w:type="spellEnd"/>
      <w:r w:rsidR="0073666E" w:rsidRPr="0073666E">
        <w:rPr>
          <w:lang w:val="de-CH"/>
        </w:rPr>
        <w:t xml:space="preserve"> </w:t>
      </w:r>
      <w:r w:rsidR="0073666E" w:rsidRPr="00643017">
        <w:t>préparatoire</w:t>
      </w:r>
      <w:r w:rsidR="0073666E" w:rsidRPr="0073666E">
        <w:rPr>
          <w:lang w:val="de-CH"/>
        </w:rPr>
        <w:t xml:space="preserve">, la </w:t>
      </w:r>
      <w:proofErr w:type="spellStart"/>
      <w:r w:rsidR="0073666E" w:rsidRPr="0073666E">
        <w:rPr>
          <w:lang w:val="de-CH"/>
        </w:rPr>
        <w:t>détention</w:t>
      </w:r>
      <w:proofErr w:type="spellEnd"/>
      <w:r w:rsidR="0073666E" w:rsidRPr="0073666E">
        <w:rPr>
          <w:lang w:val="de-CH"/>
        </w:rPr>
        <w:t xml:space="preserve"> en </w:t>
      </w:r>
      <w:proofErr w:type="spellStart"/>
      <w:r w:rsidR="0073666E" w:rsidRPr="0073666E">
        <w:rPr>
          <w:lang w:val="de-CH"/>
        </w:rPr>
        <w:t>vue</w:t>
      </w:r>
      <w:proofErr w:type="spellEnd"/>
      <w:r w:rsidR="0073666E" w:rsidRPr="0073666E">
        <w:rPr>
          <w:lang w:val="de-CH"/>
        </w:rPr>
        <w:t xml:space="preserve"> du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l’expulsion</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insoumission</w:t>
      </w:r>
      <w:proofErr w:type="spellEnd"/>
      <w:r w:rsidR="0073666E" w:rsidRPr="0073666E">
        <w:rPr>
          <w:lang w:val="de-CH"/>
        </w:rPr>
        <w:t xml:space="preserve"> (art. 75 </w:t>
      </w:r>
      <w:proofErr w:type="spellStart"/>
      <w:r w:rsidR="0073666E" w:rsidRPr="0073666E">
        <w:rPr>
          <w:lang w:val="de-CH"/>
        </w:rPr>
        <w:t>ss</w:t>
      </w:r>
      <w:proofErr w:type="spellEnd"/>
      <w:r w:rsidR="0073666E" w:rsidRPr="0073666E">
        <w:rPr>
          <w:lang w:val="de-CH"/>
        </w:rPr>
        <w:t xml:space="preserve"> LEI).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migrants</w:t>
      </w:r>
      <w:proofErr w:type="spellEnd"/>
      <w:r w:rsidR="0073666E" w:rsidRPr="0073666E">
        <w:rPr>
          <w:lang w:val="de-CH"/>
        </w:rPr>
        <w:t xml:space="preserve"> </w:t>
      </w:r>
      <w:proofErr w:type="spellStart"/>
      <w:r w:rsidR="0073666E" w:rsidRPr="0073666E">
        <w:rPr>
          <w:lang w:val="de-CH"/>
        </w:rPr>
        <w:t>irréguliers</w:t>
      </w:r>
      <w:proofErr w:type="spellEnd"/>
      <w:r w:rsidR="0073666E" w:rsidRPr="0073666E">
        <w:rPr>
          <w:lang w:val="de-CH"/>
        </w:rPr>
        <w:t xml:space="preserve"> ne </w:t>
      </w:r>
      <w:proofErr w:type="spellStart"/>
      <w:r w:rsidR="0073666E" w:rsidRPr="0073666E">
        <w:rPr>
          <w:lang w:val="de-CH"/>
        </w:rPr>
        <w:t>sont</w:t>
      </w:r>
      <w:proofErr w:type="spellEnd"/>
      <w:r w:rsidR="0073666E" w:rsidRPr="0073666E">
        <w:rPr>
          <w:lang w:val="de-CH"/>
        </w:rPr>
        <w:t xml:space="preserve">, en </w:t>
      </w:r>
      <w:proofErr w:type="spellStart"/>
      <w:r w:rsidR="0073666E" w:rsidRPr="0073666E">
        <w:rPr>
          <w:lang w:val="de-CH"/>
        </w:rPr>
        <w:t>principe</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hébergés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des </w:t>
      </w:r>
      <w:proofErr w:type="spellStart"/>
      <w:r w:rsidR="0073666E" w:rsidRPr="0073666E">
        <w:rPr>
          <w:lang w:val="de-CH"/>
        </w:rPr>
        <w:t>établissements</w:t>
      </w:r>
      <w:proofErr w:type="spellEnd"/>
      <w:r w:rsidR="0073666E" w:rsidRPr="0073666E">
        <w:rPr>
          <w:lang w:val="de-CH"/>
        </w:rPr>
        <w:t xml:space="preserve"> de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préventive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des </w:t>
      </w:r>
      <w:proofErr w:type="spellStart"/>
      <w:r w:rsidR="0073666E" w:rsidRPr="0073666E">
        <w:rPr>
          <w:lang w:val="de-CH"/>
        </w:rPr>
        <w:t>établissements</w:t>
      </w:r>
      <w:proofErr w:type="spellEnd"/>
      <w:r w:rsidR="0073666E" w:rsidRPr="0073666E">
        <w:rPr>
          <w:lang w:val="de-CH"/>
        </w:rPr>
        <w:t xml:space="preserve"> </w:t>
      </w:r>
      <w:proofErr w:type="spellStart"/>
      <w:r w:rsidR="0073666E" w:rsidRPr="0073666E">
        <w:rPr>
          <w:lang w:val="de-CH"/>
        </w:rPr>
        <w:t>d’exécution</w:t>
      </w:r>
      <w:proofErr w:type="spellEnd"/>
      <w:r w:rsidR="0073666E" w:rsidRPr="0073666E">
        <w:rPr>
          <w:lang w:val="de-CH"/>
        </w:rPr>
        <w:t xml:space="preserve"> de </w:t>
      </w:r>
      <w:proofErr w:type="spellStart"/>
      <w:r w:rsidR="0073666E" w:rsidRPr="0073666E">
        <w:rPr>
          <w:lang w:val="de-CH"/>
        </w:rPr>
        <w:t>peine</w:t>
      </w:r>
      <w:proofErr w:type="spellEnd"/>
      <w:r w:rsidR="0073666E" w:rsidRPr="0073666E">
        <w:rPr>
          <w:lang w:val="de-CH"/>
        </w:rPr>
        <w:t xml:space="preserve">, </w:t>
      </w:r>
      <w:proofErr w:type="spellStart"/>
      <w:r w:rsidR="0073666E" w:rsidRPr="0073666E">
        <w:rPr>
          <w:lang w:val="de-CH"/>
        </w:rPr>
        <w:t>étant</w:t>
      </w:r>
      <w:proofErr w:type="spellEnd"/>
      <w:r w:rsidR="0073666E" w:rsidRPr="0073666E">
        <w:rPr>
          <w:lang w:val="de-CH"/>
        </w:rPr>
        <w:t xml:space="preserve"> </w:t>
      </w:r>
      <w:proofErr w:type="spellStart"/>
      <w:r w:rsidR="0073666E" w:rsidRPr="0073666E">
        <w:rPr>
          <w:lang w:val="de-CH"/>
        </w:rPr>
        <w:t>donné</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sanction</w:t>
      </w:r>
      <w:proofErr w:type="spellEnd"/>
      <w:r w:rsidR="0073666E" w:rsidRPr="0073666E">
        <w:rPr>
          <w:lang w:val="de-CH"/>
        </w:rPr>
        <w:t xml:space="preserve"> </w:t>
      </w:r>
      <w:proofErr w:type="spellStart"/>
      <w:r w:rsidR="0073666E" w:rsidRPr="0073666E">
        <w:rPr>
          <w:lang w:val="de-CH"/>
        </w:rPr>
        <w:t>prononcée</w:t>
      </w:r>
      <w:proofErr w:type="spellEnd"/>
      <w:r w:rsidR="0073666E" w:rsidRPr="0073666E">
        <w:rPr>
          <w:lang w:val="de-CH"/>
        </w:rPr>
        <w:t xml:space="preserve"> contre </w:t>
      </w:r>
      <w:proofErr w:type="spellStart"/>
      <w:r w:rsidR="0073666E" w:rsidRPr="0073666E">
        <w:rPr>
          <w:lang w:val="de-CH"/>
        </w:rPr>
        <w:t>eux</w:t>
      </w:r>
      <w:proofErr w:type="spellEnd"/>
      <w:r w:rsidR="0073666E" w:rsidRPr="0073666E">
        <w:rPr>
          <w:lang w:val="de-CH"/>
        </w:rPr>
        <w:t xml:space="preserve"> </w:t>
      </w:r>
      <w:proofErr w:type="spellStart"/>
      <w:r w:rsidR="0073666E" w:rsidRPr="0073666E">
        <w:rPr>
          <w:lang w:val="de-CH"/>
        </w:rPr>
        <w:t>n’est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de </w:t>
      </w:r>
      <w:proofErr w:type="spellStart"/>
      <w:r w:rsidR="0073666E" w:rsidRPr="0073666E">
        <w:rPr>
          <w:lang w:val="de-CH"/>
        </w:rPr>
        <w:t>nature</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w:t>
      </w:r>
      <w:proofErr w:type="spellStart"/>
      <w:r w:rsidR="0073666E" w:rsidRPr="0073666E">
        <w:rPr>
          <w:lang w:val="de-CH"/>
        </w:rPr>
        <w:t>mais</w:t>
      </w:r>
      <w:proofErr w:type="spellEnd"/>
      <w:r w:rsidR="0073666E" w:rsidRPr="0073666E">
        <w:rPr>
          <w:lang w:val="de-CH"/>
        </w:rPr>
        <w:t xml:space="preserve"> de </w:t>
      </w:r>
      <w:proofErr w:type="spellStart"/>
      <w:r w:rsidR="0073666E" w:rsidRPr="0073666E">
        <w:rPr>
          <w:lang w:val="de-CH"/>
        </w:rPr>
        <w:t>nature</w:t>
      </w:r>
      <w:proofErr w:type="spellEnd"/>
      <w:r w:rsidR="0073666E" w:rsidRPr="0073666E">
        <w:rPr>
          <w:lang w:val="de-CH"/>
        </w:rPr>
        <w:t xml:space="preserve"> administrative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réservé</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115 LEI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prévoit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peine</w:t>
      </w:r>
      <w:proofErr w:type="spellEnd"/>
      <w:r w:rsidR="0073666E" w:rsidRPr="0073666E">
        <w:rPr>
          <w:lang w:val="de-CH"/>
        </w:rPr>
        <w:t xml:space="preserve"> privative de </w:t>
      </w:r>
      <w:proofErr w:type="spellStart"/>
      <w:r w:rsidR="0073666E" w:rsidRPr="0073666E">
        <w:rPr>
          <w:lang w:val="de-CH"/>
        </w:rPr>
        <w:t>liberté</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quiconque</w:t>
      </w:r>
      <w:proofErr w:type="spellEnd"/>
      <w:r w:rsidR="0073666E" w:rsidRPr="0073666E">
        <w:rPr>
          <w:lang w:val="de-CH"/>
        </w:rPr>
        <w:t xml:space="preserve"> </w:t>
      </w:r>
      <w:proofErr w:type="spellStart"/>
      <w:r w:rsidR="0073666E" w:rsidRPr="0073666E">
        <w:rPr>
          <w:lang w:val="de-CH"/>
        </w:rPr>
        <w:t>séjourne</w:t>
      </w:r>
      <w:proofErr w:type="spellEnd"/>
      <w:r w:rsidR="0073666E" w:rsidRPr="0073666E">
        <w:rPr>
          <w:lang w:val="de-CH"/>
        </w:rPr>
        <w:t xml:space="preserve"> </w:t>
      </w:r>
      <w:proofErr w:type="spellStart"/>
      <w:r w:rsidR="0073666E" w:rsidRPr="0073666E">
        <w:rPr>
          <w:lang w:val="de-CH"/>
        </w:rPr>
        <w:t>illégalement</w:t>
      </w:r>
      <w:proofErr w:type="spellEnd"/>
      <w:r w:rsidR="0073666E" w:rsidRPr="0073666E">
        <w:rPr>
          <w:lang w:val="de-CH"/>
        </w:rPr>
        <w:t xml:space="preserve"> en Suisse). </w:t>
      </w:r>
      <w:proofErr w:type="spellStart"/>
      <w:r w:rsidR="0073666E" w:rsidRPr="0073666E">
        <w:rPr>
          <w:lang w:val="de-CH"/>
        </w:rPr>
        <w:t>L’art</w:t>
      </w:r>
      <w:proofErr w:type="spellEnd"/>
      <w:r w:rsidR="0073666E" w:rsidRPr="0073666E">
        <w:rPr>
          <w:lang w:val="de-CH"/>
        </w:rPr>
        <w:t xml:space="preserve">. 81, al. 2, LEI </w:t>
      </w:r>
      <w:proofErr w:type="spellStart"/>
      <w:r w:rsidR="0073666E" w:rsidRPr="0073666E">
        <w:rPr>
          <w:lang w:val="de-CH"/>
        </w:rPr>
        <w:t>dispose</w:t>
      </w:r>
      <w:proofErr w:type="spellEnd"/>
      <w:r w:rsidR="0073666E" w:rsidRPr="0073666E">
        <w:rPr>
          <w:lang w:val="de-CH"/>
        </w:rPr>
        <w:t xml:space="preserve"> </w:t>
      </w:r>
      <w:proofErr w:type="spellStart"/>
      <w:r w:rsidR="0073666E" w:rsidRPr="0073666E">
        <w:rPr>
          <w:lang w:val="de-CH"/>
        </w:rPr>
        <w:t>d’ailleurs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 </w:t>
      </w:r>
      <w:proofErr w:type="spellStart"/>
      <w:r w:rsidR="0073666E" w:rsidRPr="0073666E">
        <w:rPr>
          <w:lang w:val="de-CH"/>
        </w:rPr>
        <w:t>dans</w:t>
      </w:r>
      <w:proofErr w:type="spellEnd"/>
      <w:r w:rsidR="0073666E" w:rsidRPr="0073666E">
        <w:rPr>
          <w:lang w:val="de-CH"/>
        </w:rPr>
        <w:t xml:space="preserve"> la </w:t>
      </w:r>
      <w:proofErr w:type="spellStart"/>
      <w:r w:rsidR="0073666E" w:rsidRPr="0073666E">
        <w:rPr>
          <w:lang w:val="de-CH"/>
        </w:rPr>
        <w:t>mesure</w:t>
      </w:r>
      <w:proofErr w:type="spellEnd"/>
      <w:r w:rsidR="0073666E" w:rsidRPr="0073666E">
        <w:rPr>
          <w:lang w:val="de-CH"/>
        </w:rPr>
        <w:t xml:space="preserve"> du possible, le </w:t>
      </w:r>
      <w:proofErr w:type="spellStart"/>
      <w:r w:rsidR="0073666E" w:rsidRPr="0073666E">
        <w:rPr>
          <w:lang w:val="de-CH"/>
        </w:rPr>
        <w:t>regroupement</w:t>
      </w:r>
      <w:proofErr w:type="spellEnd"/>
      <w:r w:rsidR="0073666E" w:rsidRPr="0073666E">
        <w:rPr>
          <w:lang w:val="de-CH"/>
        </w:rPr>
        <w:t xml:space="preserve"> des </w:t>
      </w:r>
      <w:proofErr w:type="spellStart"/>
      <w:r w:rsidR="0073666E" w:rsidRPr="0073666E">
        <w:rPr>
          <w:lang w:val="de-CH"/>
        </w:rPr>
        <w:t>étrangers</w:t>
      </w:r>
      <w:proofErr w:type="spellEnd"/>
      <w:r w:rsidR="0073666E" w:rsidRPr="0073666E">
        <w:rPr>
          <w:lang w:val="de-CH"/>
        </w:rPr>
        <w:t xml:space="preserve"> en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des </w:t>
      </w:r>
      <w:proofErr w:type="spellStart"/>
      <w:r w:rsidR="0073666E" w:rsidRPr="0073666E">
        <w:rPr>
          <w:lang w:val="de-CH"/>
        </w:rPr>
        <w:t>personnes</w:t>
      </w:r>
      <w:proofErr w:type="spellEnd"/>
      <w:r w:rsidR="0073666E" w:rsidRPr="0073666E">
        <w:rPr>
          <w:lang w:val="de-CH"/>
        </w:rPr>
        <w:t xml:space="preserve"> en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préventive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purgeant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peine</w:t>
      </w:r>
      <w:proofErr w:type="spellEnd"/>
      <w:r w:rsidR="0073666E" w:rsidRPr="0073666E">
        <w:rPr>
          <w:lang w:val="de-CH"/>
        </w:rPr>
        <w:t xml:space="preserve"> </w:t>
      </w:r>
      <w:proofErr w:type="spellStart"/>
      <w:r w:rsidR="0073666E" w:rsidRPr="0073666E">
        <w:rPr>
          <w:lang w:val="de-CH"/>
        </w:rPr>
        <w:t>doit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évité</w:t>
      </w:r>
      <w:proofErr w:type="spellEnd"/>
      <w:r w:rsidR="0073666E" w:rsidRPr="0073666E">
        <w:rPr>
          <w:lang w:val="de-CH"/>
        </w:rPr>
        <w:t xml:space="preserve"> ». Il </w:t>
      </w:r>
      <w:proofErr w:type="spellStart"/>
      <w:r w:rsidR="0073666E" w:rsidRPr="0073666E">
        <w:rPr>
          <w:lang w:val="de-CH"/>
        </w:rPr>
        <w:t>admet</w:t>
      </w:r>
      <w:proofErr w:type="spellEnd"/>
      <w:r w:rsidR="0073666E" w:rsidRPr="0073666E">
        <w:rPr>
          <w:lang w:val="de-CH"/>
        </w:rPr>
        <w:t xml:space="preserve"> </w:t>
      </w:r>
      <w:proofErr w:type="spellStart"/>
      <w:r w:rsidR="0073666E" w:rsidRPr="0073666E">
        <w:rPr>
          <w:lang w:val="de-CH"/>
        </w:rPr>
        <w:t>cependant</w:t>
      </w:r>
      <w:proofErr w:type="spellEnd"/>
      <w:r w:rsidR="0073666E" w:rsidRPr="0073666E">
        <w:rPr>
          <w:lang w:val="de-CH"/>
        </w:rPr>
        <w:t xml:space="preserve"> </w:t>
      </w:r>
      <w:proofErr w:type="spellStart"/>
      <w:r w:rsidR="0073666E" w:rsidRPr="0073666E">
        <w:rPr>
          <w:lang w:val="de-CH"/>
        </w:rPr>
        <w:t>qu</w:t>
      </w:r>
      <w:proofErr w:type="spellEnd"/>
      <w:r w:rsidR="0073666E" w:rsidRPr="0073666E">
        <w:rPr>
          <w:lang w:val="de-CH"/>
        </w:rPr>
        <w:t>’«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telle</w:t>
      </w:r>
      <w:proofErr w:type="spellEnd"/>
      <w:r w:rsidR="0073666E" w:rsidRPr="0073666E">
        <w:rPr>
          <w:lang w:val="de-CH"/>
        </w:rPr>
        <w:t xml:space="preserve"> </w:t>
      </w:r>
      <w:proofErr w:type="spellStart"/>
      <w:r w:rsidR="0073666E" w:rsidRPr="0073666E">
        <w:rPr>
          <w:lang w:val="de-CH"/>
        </w:rPr>
        <w:t>situation</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admise</w:t>
      </w:r>
      <w:proofErr w:type="spellEnd"/>
      <w:r w:rsidR="0073666E" w:rsidRPr="0073666E">
        <w:rPr>
          <w:lang w:val="de-CH"/>
        </w:rPr>
        <w:t xml:space="preserve"> de </w:t>
      </w:r>
      <w:proofErr w:type="spellStart"/>
      <w:r w:rsidR="0073666E" w:rsidRPr="0073666E">
        <w:rPr>
          <w:lang w:val="de-CH"/>
        </w:rPr>
        <w:t>manière</w:t>
      </w:r>
      <w:proofErr w:type="spellEnd"/>
      <w:r w:rsidR="0073666E" w:rsidRPr="0073666E">
        <w:rPr>
          <w:lang w:val="de-CH"/>
        </w:rPr>
        <w:t xml:space="preserve"> </w:t>
      </w:r>
      <w:proofErr w:type="spellStart"/>
      <w:r w:rsidR="0073666E" w:rsidRPr="0073666E">
        <w:rPr>
          <w:lang w:val="de-CH"/>
        </w:rPr>
        <w:t>provisoire</w:t>
      </w:r>
      <w:proofErr w:type="spellEnd"/>
      <w:r w:rsidR="0073666E" w:rsidRPr="0073666E">
        <w:rPr>
          <w:lang w:val="de-CH"/>
        </w:rPr>
        <w:t xml:space="preserve"> et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surmonter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période</w:t>
      </w:r>
      <w:proofErr w:type="spellEnd"/>
      <w:r w:rsidR="0073666E" w:rsidRPr="0073666E">
        <w:rPr>
          <w:lang w:val="de-CH"/>
        </w:rPr>
        <w:t xml:space="preserve"> de </w:t>
      </w:r>
      <w:proofErr w:type="spellStart"/>
      <w:r w:rsidR="0073666E" w:rsidRPr="0073666E">
        <w:rPr>
          <w:lang w:val="de-CH"/>
        </w:rPr>
        <w:t>surcharge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domaine</w:t>
      </w:r>
      <w:proofErr w:type="spellEnd"/>
      <w:r w:rsidR="0073666E" w:rsidRPr="0073666E">
        <w:rPr>
          <w:lang w:val="de-CH"/>
        </w:rPr>
        <w:t xml:space="preserve"> des </w:t>
      </w:r>
      <w:proofErr w:type="spellStart"/>
      <w:r w:rsidR="0073666E" w:rsidRPr="0073666E">
        <w:rPr>
          <w:lang w:val="de-CH"/>
        </w:rPr>
        <w:t>détentions</w:t>
      </w:r>
      <w:proofErr w:type="spellEnd"/>
      <w:r w:rsidR="0073666E" w:rsidRPr="0073666E">
        <w:rPr>
          <w:lang w:val="de-CH"/>
        </w:rPr>
        <w:t xml:space="preserve"> administratives ». </w:t>
      </w:r>
    </w:p>
    <w:p w14:paraId="036265F3" w14:textId="77777777" w:rsidR="0073666E" w:rsidRPr="0073666E" w:rsidRDefault="00643017" w:rsidP="00643017">
      <w:pPr>
        <w:pStyle w:val="SingleTxtG"/>
        <w:rPr>
          <w:lang w:val="de-CH"/>
        </w:rPr>
      </w:pPr>
      <w:r>
        <w:t>93.</w:t>
      </w:r>
      <w:r>
        <w:tab/>
      </w:r>
      <w:r w:rsidR="0073666E" w:rsidRPr="0073666E">
        <w:t xml:space="preserve">Actuellement, dans plusieurs cantons, la détention administrative est exécutée dans des sections spéciales de prisons régionales ou de district, les personnes concernées étant clairement séparées du reste des détenus. </w:t>
      </w:r>
      <w:proofErr w:type="spellStart"/>
      <w:r w:rsidR="0073666E" w:rsidRPr="0073666E">
        <w:rPr>
          <w:lang w:val="de-CH"/>
        </w:rPr>
        <w:t>Certains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prévoient</w:t>
      </w:r>
      <w:proofErr w:type="spellEnd"/>
      <w:r w:rsidR="0073666E" w:rsidRPr="0073666E">
        <w:rPr>
          <w:lang w:val="de-CH"/>
        </w:rPr>
        <w:t xml:space="preserve"> </w:t>
      </w:r>
      <w:proofErr w:type="spellStart"/>
      <w:r w:rsidR="0073666E" w:rsidRPr="0073666E">
        <w:rPr>
          <w:lang w:val="de-CH"/>
        </w:rPr>
        <w:t>cependant</w:t>
      </w:r>
      <w:proofErr w:type="spellEnd"/>
      <w:r w:rsidR="0073666E" w:rsidRPr="0073666E">
        <w:rPr>
          <w:lang w:val="de-CH"/>
        </w:rPr>
        <w:t xml:space="preserve"> la </w:t>
      </w:r>
      <w:proofErr w:type="spellStart"/>
      <w:r w:rsidR="0073666E" w:rsidRPr="0073666E">
        <w:rPr>
          <w:lang w:val="de-CH"/>
        </w:rPr>
        <w:t>création</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l’agrandissement</w:t>
      </w:r>
      <w:proofErr w:type="spellEnd"/>
      <w:r w:rsidR="0073666E" w:rsidRPr="0073666E">
        <w:rPr>
          <w:lang w:val="de-CH"/>
        </w:rPr>
        <w:t xml:space="preserve"> </w:t>
      </w:r>
      <w:proofErr w:type="spellStart"/>
      <w:r w:rsidR="0073666E" w:rsidRPr="0073666E">
        <w:rPr>
          <w:lang w:val="de-CH"/>
        </w:rPr>
        <w:t>d’établissements</w:t>
      </w:r>
      <w:proofErr w:type="spellEnd"/>
      <w:r w:rsidR="0073666E" w:rsidRPr="0073666E">
        <w:rPr>
          <w:lang w:val="de-CH"/>
        </w:rPr>
        <w:t xml:space="preserve"> </w:t>
      </w:r>
      <w:proofErr w:type="spellStart"/>
      <w:r w:rsidR="0073666E" w:rsidRPr="0073666E">
        <w:rPr>
          <w:lang w:val="de-CH"/>
        </w:rPr>
        <w:t>spécialisés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la </w:t>
      </w:r>
      <w:proofErr w:type="spellStart"/>
      <w:r w:rsidR="0073666E" w:rsidRPr="0073666E">
        <w:rPr>
          <w:lang w:val="de-CH"/>
        </w:rPr>
        <w:t>détention</w:t>
      </w:r>
      <w:proofErr w:type="spellEnd"/>
      <w:r w:rsidR="0073666E" w:rsidRPr="0073666E">
        <w:rPr>
          <w:lang w:val="de-CH"/>
        </w:rPr>
        <w:t xml:space="preserve"> administrative. C’est par </w:t>
      </w:r>
      <w:r w:rsidR="0073666E" w:rsidRPr="00643017">
        <w:t>exemple</w:t>
      </w:r>
      <w:r w:rsidR="0073666E" w:rsidRPr="0073666E">
        <w:rPr>
          <w:lang w:val="de-CH"/>
        </w:rPr>
        <w:t xml:space="preserve"> le </w:t>
      </w:r>
      <w:proofErr w:type="spellStart"/>
      <w:r w:rsidR="0073666E" w:rsidRPr="0073666E">
        <w:rPr>
          <w:lang w:val="de-CH"/>
        </w:rPr>
        <w:t>cas</w:t>
      </w:r>
      <w:proofErr w:type="spellEnd"/>
      <w:r w:rsidR="0073666E" w:rsidRPr="0073666E">
        <w:rPr>
          <w:lang w:val="de-CH"/>
        </w:rPr>
        <w:t xml:space="preserve"> de ZH, </w:t>
      </w:r>
      <w:proofErr w:type="spellStart"/>
      <w:r w:rsidR="0073666E" w:rsidRPr="0073666E">
        <w:rPr>
          <w:lang w:val="de-CH"/>
        </w:rPr>
        <w:t>qui</w:t>
      </w:r>
      <w:proofErr w:type="spellEnd"/>
      <w:r w:rsidR="0073666E" w:rsidRPr="0073666E">
        <w:rPr>
          <w:lang w:val="de-CH"/>
        </w:rPr>
        <w:t xml:space="preserve"> veut </w:t>
      </w:r>
      <w:proofErr w:type="spellStart"/>
      <w:r w:rsidR="0073666E" w:rsidRPr="0073666E">
        <w:rPr>
          <w:lang w:val="de-CH"/>
        </w:rPr>
        <w:t>affecter</w:t>
      </w:r>
      <w:proofErr w:type="spellEnd"/>
      <w:r w:rsidR="0073666E" w:rsidRPr="0073666E">
        <w:rPr>
          <w:lang w:val="de-CH"/>
        </w:rPr>
        <w:t xml:space="preserv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prison</w:t>
      </w:r>
      <w:proofErr w:type="spellEnd"/>
      <w:r w:rsidR="0073666E" w:rsidRPr="0073666E">
        <w:rPr>
          <w:lang w:val="de-CH"/>
        </w:rPr>
        <w:t xml:space="preserve"> de </w:t>
      </w:r>
      <w:proofErr w:type="spellStart"/>
      <w:r w:rsidR="0073666E" w:rsidRPr="0073666E">
        <w:rPr>
          <w:lang w:val="de-CH"/>
        </w:rPr>
        <w:t>l’aéroport</w:t>
      </w:r>
      <w:proofErr w:type="spellEnd"/>
      <w:r w:rsidR="0073666E" w:rsidRPr="0073666E">
        <w:rPr>
          <w:lang w:val="de-CH"/>
        </w:rPr>
        <w:t xml:space="preserve"> (</w:t>
      </w:r>
      <w:r w:rsidR="0073666E" w:rsidRPr="0073666E">
        <w:rPr>
          <w:i/>
          <w:lang w:val="de-CH"/>
        </w:rPr>
        <w:t>Flughafengefängnis</w:t>
      </w:r>
      <w:r w:rsidR="0073666E" w:rsidRPr="0073666E">
        <w:rPr>
          <w:lang w:val="de-CH"/>
        </w:rPr>
        <w:t xml:space="preserve">) </w:t>
      </w:r>
      <w:proofErr w:type="spellStart"/>
      <w:r w:rsidR="0073666E" w:rsidRPr="0073666E">
        <w:rPr>
          <w:lang w:val="de-CH"/>
        </w:rPr>
        <w:t>exclusivement</w:t>
      </w:r>
      <w:proofErr w:type="spellEnd"/>
      <w:r w:rsidR="0073666E" w:rsidRPr="0073666E">
        <w:rPr>
          <w:lang w:val="de-CH"/>
        </w:rPr>
        <w:t xml:space="preserve"> à la </w:t>
      </w:r>
      <w:proofErr w:type="spellStart"/>
      <w:r w:rsidR="0073666E" w:rsidRPr="0073666E">
        <w:rPr>
          <w:lang w:val="de-CH"/>
        </w:rPr>
        <w:t>détention</w:t>
      </w:r>
      <w:proofErr w:type="spellEnd"/>
      <w:r w:rsidR="0073666E" w:rsidRPr="0073666E">
        <w:rPr>
          <w:lang w:val="de-CH"/>
        </w:rPr>
        <w:t xml:space="preserve"> administrative. </w:t>
      </w:r>
      <w:r w:rsidR="0073666E" w:rsidRPr="0073666E">
        <w:t xml:space="preserve">D’autres projets sont en cours sur les sites de La </w:t>
      </w:r>
      <w:proofErr w:type="spellStart"/>
      <w:r w:rsidR="0073666E" w:rsidRPr="0073666E">
        <w:t>Brenaz</w:t>
      </w:r>
      <w:proofErr w:type="spellEnd"/>
      <w:r w:rsidR="0073666E" w:rsidRPr="0073666E">
        <w:t xml:space="preserve"> (GE), Altstätten (AG) (ce projet a été accepté par le peuple en novembre 2018</w:t>
      </w:r>
      <w:r w:rsidR="0073666E" w:rsidRPr="009E1FD5">
        <w:rPr>
          <w:rStyle w:val="Appelnotedebasdep"/>
        </w:rPr>
        <w:footnoteReference w:id="28"/>
      </w:r>
      <w:r w:rsidR="0073666E" w:rsidRPr="0073666E">
        <w:t xml:space="preserve">), à SO et à Sion (VS), où un nouveau bâtiment dévolu à la détention administrative sera construit dans le cadre du projet « Vision 2030 », visant à réformer le système pénitentiaire valaisan actuel (constructions, réaffectations et assainissements de structures pénitentiaires). </w:t>
      </w:r>
      <w:r w:rsidR="0073666E" w:rsidRPr="0073666E">
        <w:rPr>
          <w:lang w:val="de-CH"/>
        </w:rPr>
        <w:t xml:space="preserve">Après la </w:t>
      </w:r>
      <w:proofErr w:type="spellStart"/>
      <w:r w:rsidR="0073666E" w:rsidRPr="0073666E">
        <w:rPr>
          <w:lang w:val="de-CH"/>
        </w:rPr>
        <w:t>réalisation</w:t>
      </w:r>
      <w:proofErr w:type="spellEnd"/>
      <w:r w:rsidR="0073666E" w:rsidRPr="0073666E">
        <w:rPr>
          <w:lang w:val="de-CH"/>
        </w:rPr>
        <w:t xml:space="preserve"> de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projets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nombre</w:t>
      </w:r>
      <w:proofErr w:type="spellEnd"/>
      <w:r w:rsidR="0073666E" w:rsidRPr="0073666E">
        <w:rPr>
          <w:lang w:val="de-CH"/>
        </w:rPr>
        <w:t xml:space="preserve"> </w:t>
      </w:r>
      <w:proofErr w:type="spellStart"/>
      <w:r w:rsidR="0073666E" w:rsidRPr="0073666E">
        <w:rPr>
          <w:lang w:val="de-CH"/>
        </w:rPr>
        <w:t>suffisant</w:t>
      </w:r>
      <w:proofErr w:type="spellEnd"/>
      <w:r w:rsidR="0073666E" w:rsidRPr="0073666E">
        <w:rPr>
          <w:lang w:val="de-CH"/>
        </w:rPr>
        <w:t xml:space="preserve"> de </w:t>
      </w:r>
      <w:proofErr w:type="spellStart"/>
      <w:r w:rsidR="0073666E" w:rsidRPr="0073666E">
        <w:rPr>
          <w:lang w:val="de-CH"/>
        </w:rPr>
        <w:t>places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la </w:t>
      </w:r>
      <w:proofErr w:type="spellStart"/>
      <w:r w:rsidR="0073666E" w:rsidRPr="0073666E">
        <w:rPr>
          <w:lang w:val="de-CH"/>
        </w:rPr>
        <w:t>détention</w:t>
      </w:r>
      <w:proofErr w:type="spellEnd"/>
      <w:r w:rsidR="0073666E" w:rsidRPr="0073666E">
        <w:rPr>
          <w:lang w:val="de-CH"/>
        </w:rPr>
        <w:t xml:space="preserve"> administrative </w:t>
      </w:r>
      <w:proofErr w:type="spellStart"/>
      <w:r w:rsidR="0073666E" w:rsidRPr="0073666E">
        <w:rPr>
          <w:lang w:val="de-CH"/>
        </w:rPr>
        <w:t>devrait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créé</w:t>
      </w:r>
      <w:proofErr w:type="spellEnd"/>
      <w:r w:rsidR="0073666E" w:rsidRPr="0073666E">
        <w:rPr>
          <w:lang w:val="de-CH"/>
        </w:rPr>
        <w:t xml:space="preserve">, de </w:t>
      </w:r>
      <w:proofErr w:type="spellStart"/>
      <w:r w:rsidR="0073666E" w:rsidRPr="0073666E">
        <w:rPr>
          <w:lang w:val="de-CH"/>
        </w:rPr>
        <w:t>telle</w:t>
      </w:r>
      <w:proofErr w:type="spellEnd"/>
      <w:r w:rsidR="0073666E" w:rsidRPr="0073666E">
        <w:rPr>
          <w:lang w:val="de-CH"/>
        </w:rPr>
        <w:t xml:space="preserve"> </w:t>
      </w:r>
      <w:proofErr w:type="spellStart"/>
      <w:r w:rsidR="0073666E" w:rsidRPr="0073666E">
        <w:rPr>
          <w:lang w:val="de-CH"/>
        </w:rPr>
        <w:t>sorte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besoin</w:t>
      </w:r>
      <w:proofErr w:type="spellEnd"/>
      <w:r w:rsidR="0073666E" w:rsidRPr="0073666E">
        <w:rPr>
          <w:lang w:val="de-CH"/>
        </w:rPr>
        <w:t xml:space="preserve"> en </w:t>
      </w:r>
      <w:proofErr w:type="spellStart"/>
      <w:r w:rsidR="0073666E" w:rsidRPr="0073666E">
        <w:rPr>
          <w:lang w:val="de-CH"/>
        </w:rPr>
        <w:t>places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type de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couvert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exécution</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des </w:t>
      </w:r>
      <w:proofErr w:type="spellStart"/>
      <w:r w:rsidR="0073666E" w:rsidRPr="0073666E">
        <w:rPr>
          <w:lang w:val="de-CH"/>
        </w:rPr>
        <w:t>sections</w:t>
      </w:r>
      <w:proofErr w:type="spellEnd"/>
      <w:r w:rsidR="0073666E" w:rsidRPr="0073666E">
        <w:rPr>
          <w:lang w:val="de-CH"/>
        </w:rPr>
        <w:t xml:space="preserve"> </w:t>
      </w:r>
      <w:proofErr w:type="spellStart"/>
      <w:r w:rsidR="0073666E" w:rsidRPr="0073666E">
        <w:rPr>
          <w:lang w:val="de-CH"/>
        </w:rPr>
        <w:t>spéciales</w:t>
      </w:r>
      <w:proofErr w:type="spellEnd"/>
      <w:r w:rsidR="0073666E" w:rsidRPr="0073666E">
        <w:rPr>
          <w:lang w:val="de-CH"/>
        </w:rPr>
        <w:t xml:space="preserve"> de </w:t>
      </w:r>
      <w:proofErr w:type="spellStart"/>
      <w:r w:rsidR="0073666E" w:rsidRPr="0073666E">
        <w:rPr>
          <w:lang w:val="de-CH"/>
        </w:rPr>
        <w:t>prisons</w:t>
      </w:r>
      <w:proofErr w:type="spellEnd"/>
      <w:r w:rsidR="0073666E" w:rsidRPr="0073666E">
        <w:rPr>
          <w:lang w:val="de-CH"/>
        </w:rPr>
        <w:t xml:space="preserve"> </w:t>
      </w:r>
      <w:proofErr w:type="spellStart"/>
      <w:r w:rsidR="0073666E" w:rsidRPr="0073666E">
        <w:rPr>
          <w:lang w:val="de-CH"/>
        </w:rPr>
        <w:t>régionales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district</w:t>
      </w:r>
      <w:proofErr w:type="spellEnd"/>
      <w:r w:rsidR="0073666E" w:rsidRPr="0073666E">
        <w:rPr>
          <w:lang w:val="de-CH"/>
        </w:rPr>
        <w:t xml:space="preserve"> ne </w:t>
      </w:r>
      <w:proofErr w:type="spellStart"/>
      <w:r w:rsidR="0073666E" w:rsidRPr="0073666E">
        <w:rPr>
          <w:lang w:val="de-CH"/>
        </w:rPr>
        <w:t>serait</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plus </w:t>
      </w:r>
      <w:proofErr w:type="spellStart"/>
      <w:r w:rsidR="0073666E" w:rsidRPr="0073666E">
        <w:rPr>
          <w:lang w:val="de-CH"/>
        </w:rPr>
        <w:t>nécessaire</w:t>
      </w:r>
      <w:proofErr w:type="spellEnd"/>
      <w:r w:rsidR="0073666E" w:rsidRPr="0073666E">
        <w:rPr>
          <w:lang w:val="de-CH"/>
        </w:rPr>
        <w:t>.</w:t>
      </w:r>
    </w:p>
    <w:p w14:paraId="70EDDFC2" w14:textId="77777777" w:rsidR="005C2E94" w:rsidRDefault="006A52DE" w:rsidP="005C2E94">
      <w:pPr>
        <w:pStyle w:val="H23G"/>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17</w:t>
      </w:r>
    </w:p>
    <w:p w14:paraId="70AE166D" w14:textId="77777777" w:rsidR="0073666E" w:rsidRPr="0073666E" w:rsidRDefault="005C2E94" w:rsidP="005C2E94">
      <w:pPr>
        <w:pStyle w:val="SingleTxtG"/>
        <w:rPr>
          <w:lang w:val="de-CH"/>
        </w:rPr>
      </w:pPr>
      <w:r>
        <w:rPr>
          <w:lang w:val="de-CH"/>
        </w:rPr>
        <w:t>94.</w:t>
      </w:r>
      <w:r>
        <w:rPr>
          <w:lang w:val="de-CH"/>
        </w:rPr>
        <w:tab/>
      </w:r>
      <w:r w:rsidR="0073666E" w:rsidRPr="0073666E">
        <w:rPr>
          <w:lang w:val="de-CH"/>
        </w:rPr>
        <w:t xml:space="preserve">Quant à la </w:t>
      </w:r>
      <w:proofErr w:type="spellStart"/>
      <w:r w:rsidR="0073666E" w:rsidRPr="0073666E">
        <w:rPr>
          <w:lang w:val="de-CH"/>
        </w:rPr>
        <w:t>question</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envisagées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faire en </w:t>
      </w:r>
      <w:proofErr w:type="spellStart"/>
      <w:r w:rsidR="0073666E" w:rsidRPr="0073666E">
        <w:rPr>
          <w:lang w:val="de-CH"/>
        </w:rPr>
        <w:t>sorte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familles</w:t>
      </w:r>
      <w:proofErr w:type="spellEnd"/>
      <w:r w:rsidR="0073666E" w:rsidRPr="0073666E">
        <w:rPr>
          <w:lang w:val="de-CH"/>
        </w:rPr>
        <w:t xml:space="preserve"> de </w:t>
      </w:r>
      <w:proofErr w:type="spellStart"/>
      <w:r w:rsidR="0073666E" w:rsidRPr="0073666E">
        <w:rPr>
          <w:lang w:val="de-CH"/>
        </w:rPr>
        <w:t>migrants</w:t>
      </w:r>
      <w:proofErr w:type="spellEnd"/>
      <w:r w:rsidR="0073666E" w:rsidRPr="0073666E">
        <w:rPr>
          <w:lang w:val="de-CH"/>
        </w:rPr>
        <w:t xml:space="preserve"> </w:t>
      </w:r>
      <w:proofErr w:type="spellStart"/>
      <w:r w:rsidR="0073666E" w:rsidRPr="0073666E">
        <w:rPr>
          <w:lang w:val="de-CH"/>
        </w:rPr>
        <w:t>accompagnées</w:t>
      </w:r>
      <w:proofErr w:type="spellEnd"/>
      <w:r w:rsidR="0073666E" w:rsidRPr="0073666E">
        <w:rPr>
          <w:lang w:val="de-CH"/>
        </w:rPr>
        <w:t xml:space="preserve"> </w:t>
      </w:r>
      <w:proofErr w:type="spellStart"/>
      <w:r w:rsidR="0073666E" w:rsidRPr="0073666E">
        <w:rPr>
          <w:lang w:val="de-CH"/>
        </w:rPr>
        <w:t>d’enfants</w:t>
      </w:r>
      <w:proofErr w:type="spellEnd"/>
      <w:r w:rsidR="0073666E" w:rsidRPr="0073666E">
        <w:rPr>
          <w:lang w:val="de-CH"/>
        </w:rPr>
        <w:t xml:space="preserve"> ne </w:t>
      </w:r>
      <w:proofErr w:type="spellStart"/>
      <w:r w:rsidR="0073666E" w:rsidRPr="0073666E">
        <w:rPr>
          <w:lang w:val="de-CH"/>
        </w:rPr>
        <w:t>soient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détenues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si </w:t>
      </w:r>
      <w:proofErr w:type="spellStart"/>
      <w:r w:rsidR="0073666E" w:rsidRPr="0073666E">
        <w:rPr>
          <w:lang w:val="de-CH"/>
        </w:rPr>
        <w:t>elles</w:t>
      </w:r>
      <w:proofErr w:type="spellEnd"/>
      <w:r w:rsidR="0073666E" w:rsidRPr="0073666E">
        <w:rPr>
          <w:lang w:val="de-CH"/>
        </w:rPr>
        <w:t xml:space="preserve"> le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qu’il</w:t>
      </w:r>
      <w:proofErr w:type="spellEnd"/>
      <w:r w:rsidR="0073666E" w:rsidRPr="0073666E">
        <w:rPr>
          <w:lang w:val="de-CH"/>
        </w:rPr>
        <w:t xml:space="preserve"> ne </w:t>
      </w:r>
      <w:proofErr w:type="spellStart"/>
      <w:r w:rsidR="0073666E" w:rsidRPr="0073666E">
        <w:rPr>
          <w:lang w:val="de-CH"/>
        </w:rPr>
        <w:t>s’agisse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mesure</w:t>
      </w:r>
      <w:proofErr w:type="spellEnd"/>
      <w:r w:rsidR="0073666E" w:rsidRPr="0073666E">
        <w:rPr>
          <w:lang w:val="de-CH"/>
        </w:rPr>
        <w:t xml:space="preserve"> de </w:t>
      </w:r>
      <w:proofErr w:type="spellStart"/>
      <w:r w:rsidR="0073666E" w:rsidRPr="0073666E">
        <w:rPr>
          <w:lang w:val="de-CH"/>
        </w:rPr>
        <w:t>dernier</w:t>
      </w:r>
      <w:proofErr w:type="spellEnd"/>
      <w:r w:rsidR="0073666E" w:rsidRPr="0073666E">
        <w:rPr>
          <w:lang w:val="de-CH"/>
        </w:rPr>
        <w:t xml:space="preserve"> </w:t>
      </w:r>
      <w:proofErr w:type="spellStart"/>
      <w:r w:rsidR="0073666E" w:rsidRPr="0073666E">
        <w:rPr>
          <w:lang w:val="de-CH"/>
        </w:rPr>
        <w:t>ressort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explications</w:t>
      </w:r>
      <w:proofErr w:type="spellEnd"/>
      <w:r w:rsidR="0073666E" w:rsidRPr="0073666E">
        <w:rPr>
          <w:lang w:val="de-CH"/>
        </w:rPr>
        <w:t xml:space="preserve"> </w:t>
      </w:r>
      <w:proofErr w:type="spellStart"/>
      <w:r w:rsidR="0073666E" w:rsidRPr="0073666E">
        <w:rPr>
          <w:lang w:val="de-CH"/>
        </w:rPr>
        <w:t>suivantes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apportées</w:t>
      </w:r>
      <w:proofErr w:type="spellEnd"/>
      <w:r w:rsidR="0073666E" w:rsidRPr="0073666E">
        <w:rPr>
          <w:lang w:val="de-CH"/>
        </w:rPr>
        <w:t xml:space="preserve">. </w:t>
      </w:r>
    </w:p>
    <w:p w14:paraId="619F44AA" w14:textId="77777777" w:rsidR="0073666E" w:rsidRPr="0073666E" w:rsidRDefault="005C2E94" w:rsidP="005C2E94">
      <w:pPr>
        <w:pStyle w:val="SingleTxtG"/>
        <w:rPr>
          <w:lang w:val="de-CH"/>
        </w:rPr>
      </w:pPr>
      <w:r>
        <w:rPr>
          <w:lang w:val="de-CH"/>
        </w:rPr>
        <w:t>95.</w:t>
      </w:r>
      <w:r>
        <w:rPr>
          <w:lang w:val="de-CH"/>
        </w:rPr>
        <w:tab/>
      </w:r>
      <w:r w:rsidR="0073666E" w:rsidRPr="0073666E">
        <w:rPr>
          <w:lang w:val="de-CH"/>
        </w:rPr>
        <w:t xml:space="preserve">En vertu des art. 69 LEI et 46 </w:t>
      </w:r>
      <w:proofErr w:type="spellStart"/>
      <w:r w:rsidR="0073666E" w:rsidRPr="0073666E">
        <w:rPr>
          <w:lang w:val="de-CH"/>
        </w:rPr>
        <w:t>LAsi</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compétents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exécuter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renvois</w:t>
      </w:r>
      <w:proofErr w:type="spellEnd"/>
      <w:r w:rsidR="0073666E" w:rsidRPr="0073666E">
        <w:rPr>
          <w:lang w:val="de-CH"/>
        </w:rPr>
        <w:t xml:space="preserve">. </w:t>
      </w:r>
      <w:r w:rsidR="0073666E" w:rsidRPr="0073666E">
        <w:t xml:space="preserve">Le canton compétent pour ordonner des mesures de contrainte du droit des étrangers décide dans le cas concret de l’adéquation de la mesure à l’exécution du mandat </w:t>
      </w:r>
      <w:r w:rsidR="0073666E" w:rsidRPr="0073666E">
        <w:lastRenderedPageBreak/>
        <w:t xml:space="preserve">qui lui incombe. </w:t>
      </w:r>
      <w:r w:rsidR="0073666E" w:rsidRPr="0073666E">
        <w:rPr>
          <w:lang w:val="de-CH"/>
        </w:rPr>
        <w:t xml:space="preserve">La </w:t>
      </w:r>
      <w:proofErr w:type="spellStart"/>
      <w:r w:rsidR="0073666E" w:rsidRPr="0073666E">
        <w:rPr>
          <w:lang w:val="de-CH"/>
        </w:rPr>
        <w:t>légalité</w:t>
      </w:r>
      <w:proofErr w:type="spellEnd"/>
      <w:r w:rsidR="0073666E" w:rsidRPr="0073666E">
        <w:rPr>
          <w:lang w:val="de-CH"/>
        </w:rPr>
        <w:t xml:space="preserve"> et </w:t>
      </w:r>
      <w:r w:rsidR="0073666E" w:rsidRPr="005C2E94">
        <w:t>l’adéquation</w:t>
      </w:r>
      <w:r w:rsidR="0073666E" w:rsidRPr="0073666E">
        <w:rPr>
          <w:lang w:val="de-CH"/>
        </w:rPr>
        <w:t xml:space="preserve"> de la </w:t>
      </w:r>
      <w:proofErr w:type="spellStart"/>
      <w:r w:rsidR="0073666E" w:rsidRPr="0073666E">
        <w:rPr>
          <w:lang w:val="de-CH"/>
        </w:rPr>
        <w:t>détention</w:t>
      </w:r>
      <w:proofErr w:type="spellEnd"/>
      <w:r w:rsidR="0073666E" w:rsidRPr="0073666E">
        <w:rPr>
          <w:lang w:val="de-CH"/>
        </w:rPr>
        <w:t xml:space="preserve"> administrative </w:t>
      </w:r>
      <w:proofErr w:type="spellStart"/>
      <w:r w:rsidR="0073666E" w:rsidRPr="0073666E">
        <w:rPr>
          <w:lang w:val="de-CH"/>
        </w:rPr>
        <w:t>prévue</w:t>
      </w:r>
      <w:proofErr w:type="spellEnd"/>
      <w:r w:rsidR="0073666E" w:rsidRPr="0073666E">
        <w:rPr>
          <w:lang w:val="de-CH"/>
        </w:rPr>
        <w:t xml:space="preserve"> par le </w:t>
      </w:r>
      <w:proofErr w:type="spellStart"/>
      <w:r w:rsidR="0073666E" w:rsidRPr="0073666E">
        <w:rPr>
          <w:lang w:val="de-CH"/>
        </w:rPr>
        <w:t>droit</w:t>
      </w:r>
      <w:proofErr w:type="spellEnd"/>
      <w:r w:rsidR="0073666E" w:rsidRPr="0073666E">
        <w:rPr>
          <w:lang w:val="de-CH"/>
        </w:rPr>
        <w:t xml:space="preserve"> des </w:t>
      </w:r>
      <w:proofErr w:type="spellStart"/>
      <w:r w:rsidR="0073666E" w:rsidRPr="0073666E">
        <w:rPr>
          <w:lang w:val="de-CH"/>
        </w:rPr>
        <w:t>étrangers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examinées</w:t>
      </w:r>
      <w:proofErr w:type="spellEnd"/>
      <w:r w:rsidR="0073666E" w:rsidRPr="0073666E">
        <w:rPr>
          <w:lang w:val="de-CH"/>
        </w:rPr>
        <w:t xml:space="preserve"> par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tribunaux</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de </w:t>
      </w:r>
      <w:proofErr w:type="spellStart"/>
      <w:r w:rsidR="0073666E" w:rsidRPr="0073666E">
        <w:rPr>
          <w:lang w:val="de-CH"/>
        </w:rPr>
        <w:t>contrainte</w:t>
      </w:r>
      <w:proofErr w:type="spellEnd"/>
      <w:r w:rsidR="0073666E" w:rsidRPr="0073666E">
        <w:rPr>
          <w:lang w:val="de-CH"/>
        </w:rPr>
        <w:t xml:space="preserve"> </w:t>
      </w:r>
      <w:proofErr w:type="spellStart"/>
      <w:r w:rsidR="0073666E" w:rsidRPr="0073666E">
        <w:rPr>
          <w:lang w:val="de-CH"/>
        </w:rPr>
        <w:t>compétents</w:t>
      </w:r>
      <w:proofErr w:type="spellEnd"/>
      <w:r w:rsidR="0073666E" w:rsidRPr="0073666E">
        <w:rPr>
          <w:lang w:val="de-CH"/>
        </w:rPr>
        <w:t xml:space="preserve"> </w:t>
      </w:r>
      <w:proofErr w:type="spellStart"/>
      <w:r w:rsidR="0073666E" w:rsidRPr="0073666E">
        <w:rPr>
          <w:lang w:val="de-CH"/>
        </w:rPr>
        <w:t>conformément</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dispositions</w:t>
      </w:r>
      <w:proofErr w:type="spellEnd"/>
      <w:r w:rsidR="0073666E" w:rsidRPr="0073666E">
        <w:rPr>
          <w:lang w:val="de-CH"/>
        </w:rPr>
        <w:t xml:space="preserve"> des art. 80, al. 2 à 5 et 80a al. 3 et 4 LEI. Il </w:t>
      </w:r>
      <w:proofErr w:type="spellStart"/>
      <w:r w:rsidR="0073666E" w:rsidRPr="0073666E">
        <w:rPr>
          <w:lang w:val="de-CH"/>
        </w:rPr>
        <w:t>est</w:t>
      </w:r>
      <w:proofErr w:type="spellEnd"/>
      <w:r w:rsidR="0073666E" w:rsidRPr="0073666E">
        <w:rPr>
          <w:lang w:val="de-CH"/>
        </w:rPr>
        <w:t xml:space="preserve"> par </w:t>
      </w:r>
      <w:proofErr w:type="spellStart"/>
      <w:r w:rsidR="0073666E" w:rsidRPr="0073666E">
        <w:rPr>
          <w:lang w:val="de-CH"/>
        </w:rPr>
        <w:t>conséquent</w:t>
      </w:r>
      <w:proofErr w:type="spellEnd"/>
      <w:r w:rsidR="0073666E" w:rsidRPr="0073666E">
        <w:rPr>
          <w:lang w:val="de-CH"/>
        </w:rPr>
        <w:t xml:space="preserve"> </w:t>
      </w:r>
      <w:proofErr w:type="spellStart"/>
      <w:r w:rsidR="0073666E" w:rsidRPr="0073666E">
        <w:rPr>
          <w:lang w:val="de-CH"/>
        </w:rPr>
        <w:t>exceptionnel</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de </w:t>
      </w:r>
      <w:proofErr w:type="spellStart"/>
      <w:r w:rsidR="0073666E" w:rsidRPr="0073666E">
        <w:rPr>
          <w:lang w:val="de-CH"/>
        </w:rPr>
        <w:t>contrainte</w:t>
      </w:r>
      <w:proofErr w:type="spellEnd"/>
      <w:r w:rsidR="0073666E" w:rsidRPr="0073666E">
        <w:rPr>
          <w:lang w:val="de-CH"/>
        </w:rPr>
        <w:t xml:space="preserve"> </w:t>
      </w:r>
      <w:proofErr w:type="spellStart"/>
      <w:r w:rsidR="0073666E" w:rsidRPr="0073666E">
        <w:rPr>
          <w:lang w:val="de-CH"/>
        </w:rPr>
        <w:t>soient</w:t>
      </w:r>
      <w:proofErr w:type="spellEnd"/>
      <w:r w:rsidR="0073666E" w:rsidRPr="0073666E">
        <w:rPr>
          <w:lang w:val="de-CH"/>
        </w:rPr>
        <w:t xml:space="preserve"> </w:t>
      </w:r>
      <w:proofErr w:type="spellStart"/>
      <w:r w:rsidR="0073666E" w:rsidRPr="0073666E">
        <w:rPr>
          <w:lang w:val="de-CH"/>
        </w:rPr>
        <w:t>ordonnées</w:t>
      </w:r>
      <w:proofErr w:type="spellEnd"/>
      <w:r w:rsidR="0073666E" w:rsidRPr="0073666E">
        <w:rPr>
          <w:lang w:val="de-CH"/>
        </w:rPr>
        <w:t xml:space="preserve"> </w:t>
      </w:r>
      <w:proofErr w:type="spellStart"/>
      <w:r w:rsidR="0073666E" w:rsidRPr="0073666E">
        <w:rPr>
          <w:lang w:val="de-CH"/>
        </w:rPr>
        <w:t>envers</w:t>
      </w:r>
      <w:proofErr w:type="spellEnd"/>
      <w:r w:rsidR="0073666E" w:rsidRPr="0073666E">
        <w:rPr>
          <w:lang w:val="de-CH"/>
        </w:rPr>
        <w:t xml:space="preserve"> des </w:t>
      </w:r>
      <w:proofErr w:type="spellStart"/>
      <w:r w:rsidR="0073666E" w:rsidRPr="0073666E">
        <w:rPr>
          <w:lang w:val="de-CH"/>
        </w:rPr>
        <w:t>familles</w:t>
      </w:r>
      <w:proofErr w:type="spellEnd"/>
      <w:r w:rsidR="0073666E" w:rsidRPr="0073666E">
        <w:rPr>
          <w:lang w:val="de-CH"/>
        </w:rPr>
        <w:t xml:space="preserve"> et des </w:t>
      </w:r>
      <w:proofErr w:type="spellStart"/>
      <w:r w:rsidR="0073666E" w:rsidRPr="0073666E">
        <w:rPr>
          <w:lang w:val="de-CH"/>
        </w:rPr>
        <w:t>mineurs</w:t>
      </w:r>
      <w:proofErr w:type="spellEnd"/>
      <w:r w:rsidR="0073666E" w:rsidRPr="0073666E">
        <w:rPr>
          <w:lang w:val="de-CH"/>
        </w:rPr>
        <w:t xml:space="preserve">. Dans </w:t>
      </w:r>
      <w:proofErr w:type="spellStart"/>
      <w:r w:rsidR="0073666E" w:rsidRPr="0073666E">
        <w:rPr>
          <w:lang w:val="de-CH"/>
        </w:rPr>
        <w:t>leur</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on </w:t>
      </w:r>
      <w:proofErr w:type="spellStart"/>
      <w:r w:rsidR="0073666E" w:rsidRPr="0073666E">
        <w:rPr>
          <w:lang w:val="de-CH"/>
        </w:rPr>
        <w:t>renonce</w:t>
      </w:r>
      <w:proofErr w:type="spellEnd"/>
      <w:r w:rsidR="0073666E" w:rsidRPr="0073666E">
        <w:rPr>
          <w:lang w:val="de-CH"/>
        </w:rPr>
        <w:t xml:space="preserve"> </w:t>
      </w:r>
      <w:proofErr w:type="spellStart"/>
      <w:r w:rsidR="0073666E" w:rsidRPr="0073666E">
        <w:rPr>
          <w:lang w:val="de-CH"/>
        </w:rPr>
        <w:t>généralement</w:t>
      </w:r>
      <w:proofErr w:type="spellEnd"/>
      <w:r w:rsidR="0073666E" w:rsidRPr="0073666E">
        <w:rPr>
          <w:lang w:val="de-CH"/>
        </w:rPr>
        <w:t xml:space="preserve"> à la </w:t>
      </w:r>
      <w:proofErr w:type="spellStart"/>
      <w:r w:rsidR="0073666E" w:rsidRPr="0073666E">
        <w:rPr>
          <w:lang w:val="de-CH"/>
        </w:rPr>
        <w:t>détention</w:t>
      </w:r>
      <w:proofErr w:type="spellEnd"/>
      <w:r w:rsidR="0073666E" w:rsidRPr="0073666E">
        <w:rPr>
          <w:lang w:val="de-CH"/>
        </w:rPr>
        <w:t xml:space="preserve"> administrative et on </w:t>
      </w:r>
      <w:proofErr w:type="spellStart"/>
      <w:r w:rsidR="0073666E" w:rsidRPr="0073666E">
        <w:rPr>
          <w:lang w:val="de-CH"/>
        </w:rPr>
        <w:t>exécute</w:t>
      </w:r>
      <w:proofErr w:type="spellEnd"/>
      <w:r w:rsidR="0073666E" w:rsidRPr="0073666E">
        <w:rPr>
          <w:lang w:val="de-CH"/>
        </w:rPr>
        <w:t xml:space="preserve"> le </w:t>
      </w:r>
      <w:proofErr w:type="spellStart"/>
      <w:r w:rsidR="0073666E" w:rsidRPr="0073666E">
        <w:rPr>
          <w:lang w:val="de-CH"/>
        </w:rPr>
        <w:t>renvoi</w:t>
      </w:r>
      <w:proofErr w:type="spellEnd"/>
      <w:r w:rsidR="0073666E" w:rsidRPr="0073666E">
        <w:rPr>
          <w:lang w:val="de-CH"/>
        </w:rPr>
        <w:t xml:space="preserve"> </w:t>
      </w:r>
      <w:proofErr w:type="spellStart"/>
      <w:r w:rsidR="0073666E" w:rsidRPr="0073666E">
        <w:rPr>
          <w:lang w:val="de-CH"/>
        </w:rPr>
        <w:t>depuis</w:t>
      </w:r>
      <w:proofErr w:type="spellEnd"/>
      <w:r w:rsidR="0073666E" w:rsidRPr="0073666E">
        <w:rPr>
          <w:lang w:val="de-CH"/>
        </w:rPr>
        <w:t xml:space="preserve"> </w:t>
      </w:r>
      <w:proofErr w:type="spellStart"/>
      <w:r w:rsidR="0073666E" w:rsidRPr="0073666E">
        <w:rPr>
          <w:lang w:val="de-CH"/>
        </w:rPr>
        <w:t>leur</w:t>
      </w:r>
      <w:proofErr w:type="spellEnd"/>
      <w:r w:rsidR="0073666E" w:rsidRPr="0073666E">
        <w:rPr>
          <w:lang w:val="de-CH"/>
        </w:rPr>
        <w:t xml:space="preserve"> </w:t>
      </w:r>
      <w:proofErr w:type="spellStart"/>
      <w:r w:rsidR="0073666E" w:rsidRPr="0073666E">
        <w:rPr>
          <w:lang w:val="de-CH"/>
        </w:rPr>
        <w:t>lieu</w:t>
      </w:r>
      <w:proofErr w:type="spellEnd"/>
      <w:r w:rsidR="0073666E" w:rsidRPr="0073666E">
        <w:rPr>
          <w:lang w:val="de-CH"/>
        </w:rPr>
        <w:t xml:space="preserve"> </w:t>
      </w:r>
      <w:proofErr w:type="spellStart"/>
      <w:r w:rsidR="0073666E" w:rsidRPr="0073666E">
        <w:rPr>
          <w:lang w:val="de-CH"/>
        </w:rPr>
        <w:t>d’hébergement</w:t>
      </w:r>
      <w:proofErr w:type="spellEnd"/>
      <w:r w:rsidR="0073666E" w:rsidRPr="0073666E">
        <w:rPr>
          <w:lang w:val="de-CH"/>
        </w:rPr>
        <w:t>.</w:t>
      </w:r>
    </w:p>
    <w:p w14:paraId="361A0B58" w14:textId="77777777" w:rsidR="0073666E" w:rsidRPr="0073666E" w:rsidRDefault="005C2E94" w:rsidP="005C2E94">
      <w:pPr>
        <w:pStyle w:val="SingleTxtG"/>
      </w:pPr>
      <w:r>
        <w:t>96.</w:t>
      </w:r>
      <w:r>
        <w:tab/>
      </w:r>
      <w:r w:rsidR="0073666E" w:rsidRPr="0073666E">
        <w:t>Dans tous les cas et selon l</w:t>
      </w:r>
      <w:r w:rsidR="00A27519">
        <w:t>’</w:t>
      </w:r>
      <w:r w:rsidR="0073666E" w:rsidRPr="0073666E">
        <w:t>art. 80, al. 4, LEI, la détention en phase préparatoire, la détention en vue de l</w:t>
      </w:r>
      <w:r w:rsidR="00A27519">
        <w:t>’</w:t>
      </w:r>
      <w:r w:rsidR="0073666E" w:rsidRPr="0073666E">
        <w:t>exécution du renvoi ou de l</w:t>
      </w:r>
      <w:r w:rsidR="00A27519">
        <w:t>’</w:t>
      </w:r>
      <w:r w:rsidR="0073666E" w:rsidRPr="0073666E">
        <w:t>expulsion et la détention pour insoumission sont exclues pour les enfants et pour les adolescents de moins de quinze ans. De même, la mise en détention d</w:t>
      </w:r>
      <w:r w:rsidR="00A27519">
        <w:t>’</w:t>
      </w:r>
      <w:r w:rsidR="0073666E" w:rsidRPr="0073666E">
        <w:t>enfants et d</w:t>
      </w:r>
      <w:r w:rsidR="00A27519">
        <w:t>’</w:t>
      </w:r>
      <w:r w:rsidR="0073666E" w:rsidRPr="0073666E">
        <w:t>adolescents de moins de quinze ans dans le cadre de la procédure Dublin est de plus exclue, selon l</w:t>
      </w:r>
      <w:r w:rsidR="00A27519">
        <w:t>’</w:t>
      </w:r>
      <w:r w:rsidR="0073666E" w:rsidRPr="0073666E">
        <w:t>art. 80a, al. 5, LEI.</w:t>
      </w:r>
    </w:p>
    <w:p w14:paraId="203203CA" w14:textId="77777777" w:rsidR="0073666E" w:rsidRPr="0073666E" w:rsidRDefault="005C2E94" w:rsidP="005C2E94">
      <w:pPr>
        <w:pStyle w:val="SingleTxtG"/>
      </w:pPr>
      <w:r>
        <w:t>97.</w:t>
      </w:r>
      <w:r>
        <w:tab/>
      </w:r>
      <w:r w:rsidR="0073666E" w:rsidRPr="0073666E">
        <w:t>Il convient en outre de mentionner qu’en date du 26 juin 2018, la Commission de gestion du Conseil national a adopté un rapport sur la détention administrative de requérants d’asile</w:t>
      </w:r>
      <w:r w:rsidR="0073666E" w:rsidRPr="009E1FD5">
        <w:rPr>
          <w:rStyle w:val="Appelnotedebasdep"/>
        </w:rPr>
        <w:footnoteReference w:id="29"/>
      </w:r>
      <w:r w:rsidR="0073666E" w:rsidRPr="0073666E">
        <w:t xml:space="preserve"> énonçant un certain nombre de propositions, en particulier les recommandations 4 et 5 portant sur la mise en détention de mineurs et les places de détention. Le 28 septembre 2018, Le Conseil fédéral a répondu à la recommandation 4 notamment de la manière suivante</w:t>
      </w:r>
      <w:r w:rsidR="00222D58">
        <w:t> </w:t>
      </w:r>
      <w:r w:rsidR="0073666E" w:rsidRPr="0073666E">
        <w:t>: « le SEM demandera donc aux cantons de ne pas placer des mineurs de moins de 15 ans dans des établissements de détention administrative et d’étudier d’autres possibilités d’exécution du renvoi des familles »</w:t>
      </w:r>
      <w:r w:rsidR="0073666E" w:rsidRPr="009E1FD5">
        <w:rPr>
          <w:rStyle w:val="Appelnotedebasdep"/>
        </w:rPr>
        <w:footnoteReference w:id="30"/>
      </w:r>
      <w:r w:rsidR="0073666E" w:rsidRPr="0073666E">
        <w:t>. Les autorités suisses sont donc attentives à cette problématique et s’efforcent d’améliorer la situation en pratique.</w:t>
      </w:r>
    </w:p>
    <w:p w14:paraId="39C82789" w14:textId="77777777" w:rsidR="0073666E" w:rsidRPr="0073666E" w:rsidRDefault="006450F6" w:rsidP="006450F6">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18</w:t>
      </w:r>
      <w:r>
        <w:t xml:space="preserve"> </w:t>
      </w:r>
    </w:p>
    <w:p w14:paraId="4EA193BA" w14:textId="77777777" w:rsidR="0073666E" w:rsidRPr="0073666E" w:rsidRDefault="006450F6" w:rsidP="006450F6">
      <w:pPr>
        <w:pStyle w:val="SingleTxtG"/>
        <w:rPr>
          <w:lang w:val="de-CH"/>
        </w:rPr>
      </w:pPr>
      <w:r>
        <w:rPr>
          <w:lang w:val="de-CH"/>
        </w:rPr>
        <w:t>98.</w:t>
      </w:r>
      <w:r>
        <w:rPr>
          <w:lang w:val="de-CH"/>
        </w:rPr>
        <w:tab/>
      </w:r>
      <w:r w:rsidR="0073666E" w:rsidRPr="0073666E">
        <w:rPr>
          <w:lang w:val="de-CH"/>
        </w:rPr>
        <w:t>Entre 2</w:t>
      </w:r>
      <w:r>
        <w:rPr>
          <w:lang w:val="de-CH"/>
        </w:rPr>
        <w:t xml:space="preserve">015 et 2017, on a </w:t>
      </w:r>
      <w:proofErr w:type="spellStart"/>
      <w:r>
        <w:rPr>
          <w:lang w:val="de-CH"/>
        </w:rPr>
        <w:t>enregistré</w:t>
      </w:r>
      <w:proofErr w:type="spellEnd"/>
      <w:r>
        <w:rPr>
          <w:lang w:val="de-CH"/>
        </w:rPr>
        <w:t xml:space="preserve"> 27 </w:t>
      </w:r>
      <w:r w:rsidR="0073666E" w:rsidRPr="0073666E">
        <w:rPr>
          <w:lang w:val="de-CH"/>
        </w:rPr>
        <w:t xml:space="preserve">754 </w:t>
      </w:r>
      <w:proofErr w:type="spellStart"/>
      <w:r w:rsidR="0073666E" w:rsidRPr="0073666E">
        <w:rPr>
          <w:lang w:val="de-CH"/>
        </w:rPr>
        <w:t>demandes</w:t>
      </w:r>
      <w:proofErr w:type="spellEnd"/>
      <w:r w:rsidR="0073666E" w:rsidRPr="0073666E">
        <w:rPr>
          <w:lang w:val="de-CH"/>
        </w:rPr>
        <w:t xml:space="preserve"> </w:t>
      </w:r>
      <w:proofErr w:type="spellStart"/>
      <w:r w:rsidR="0073666E" w:rsidRPr="0073666E">
        <w:rPr>
          <w:lang w:val="de-CH"/>
        </w:rPr>
        <w:t>d’asile</w:t>
      </w:r>
      <w:proofErr w:type="spellEnd"/>
      <w:r w:rsidR="0073666E" w:rsidRPr="0073666E">
        <w:rPr>
          <w:lang w:val="de-CH"/>
        </w:rPr>
        <w:t xml:space="preserve"> de </w:t>
      </w:r>
      <w:proofErr w:type="spellStart"/>
      <w:r w:rsidR="0073666E" w:rsidRPr="0073666E">
        <w:rPr>
          <w:lang w:val="de-CH"/>
        </w:rPr>
        <w:t>mineurs</w:t>
      </w:r>
      <w:proofErr w:type="spellEnd"/>
      <w:r w:rsidR="0073666E" w:rsidRPr="0073666E">
        <w:rPr>
          <w:lang w:val="de-CH"/>
        </w:rPr>
        <w:t xml:space="preserve">. Pendant la </w:t>
      </w:r>
      <w:proofErr w:type="spellStart"/>
      <w:r w:rsidR="0073666E" w:rsidRPr="0073666E">
        <w:rPr>
          <w:lang w:val="de-CH"/>
        </w:rPr>
        <w:t>même</w:t>
      </w:r>
      <w:proofErr w:type="spellEnd"/>
      <w:r w:rsidR="0073666E" w:rsidRPr="0073666E">
        <w:rPr>
          <w:lang w:val="de-CH"/>
        </w:rPr>
        <w:t xml:space="preserve"> </w:t>
      </w:r>
      <w:proofErr w:type="spellStart"/>
      <w:r w:rsidR="0073666E" w:rsidRPr="0073666E">
        <w:rPr>
          <w:lang w:val="de-CH"/>
        </w:rPr>
        <w:t>période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détention</w:t>
      </w:r>
      <w:proofErr w:type="spellEnd"/>
      <w:r w:rsidR="0073666E" w:rsidRPr="0073666E">
        <w:rPr>
          <w:lang w:val="de-CH"/>
        </w:rPr>
        <w:t xml:space="preserve"> administrative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ordonnée</w:t>
      </w:r>
      <w:proofErr w:type="spellEnd"/>
      <w:r w:rsidR="0073666E" w:rsidRPr="0073666E">
        <w:rPr>
          <w:lang w:val="de-CH"/>
        </w:rPr>
        <w:t xml:space="preserve"> à </w:t>
      </w:r>
      <w:proofErr w:type="spellStart"/>
      <w:r w:rsidR="0073666E" w:rsidRPr="0073666E">
        <w:rPr>
          <w:lang w:val="de-CH"/>
        </w:rPr>
        <w:t>l’encontre</w:t>
      </w:r>
      <w:proofErr w:type="spellEnd"/>
      <w:r w:rsidR="0073666E" w:rsidRPr="0073666E">
        <w:rPr>
          <w:lang w:val="de-CH"/>
        </w:rPr>
        <w:t xml:space="preserve"> de 83 </w:t>
      </w:r>
      <w:proofErr w:type="spellStart"/>
      <w:r w:rsidR="0073666E" w:rsidRPr="0073666E">
        <w:rPr>
          <w:lang w:val="de-CH"/>
        </w:rPr>
        <w:t>mineurs</w:t>
      </w:r>
      <w:proofErr w:type="spellEnd"/>
      <w:r w:rsidR="0073666E" w:rsidRPr="0073666E">
        <w:rPr>
          <w:lang w:val="de-CH"/>
        </w:rPr>
        <w:t xml:space="preserve"> (</w:t>
      </w:r>
      <w:proofErr w:type="spellStart"/>
      <w:r w:rsidR="0073666E" w:rsidRPr="0073666E">
        <w:rPr>
          <w:lang w:val="de-CH"/>
        </w:rPr>
        <w:t>sans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r w:rsidR="0073666E" w:rsidRPr="006450F6">
        <w:t>rétentions</w:t>
      </w:r>
      <w:r w:rsidR="0073666E" w:rsidRPr="0073666E">
        <w:rPr>
          <w:lang w:val="de-CH"/>
        </w:rPr>
        <w:t xml:space="preserve"> au sens de </w:t>
      </w:r>
      <w:proofErr w:type="spellStart"/>
      <w:r w:rsidR="0073666E" w:rsidRPr="0073666E">
        <w:rPr>
          <w:lang w:val="de-CH"/>
        </w:rPr>
        <w:t>l’art</w:t>
      </w:r>
      <w:proofErr w:type="spellEnd"/>
      <w:r w:rsidR="0073666E" w:rsidRPr="0073666E">
        <w:rPr>
          <w:lang w:val="de-CH"/>
        </w:rPr>
        <w:t xml:space="preserve">. 73 LEI),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proportion</w:t>
      </w:r>
      <w:proofErr w:type="spellEnd"/>
      <w:r w:rsidR="0073666E" w:rsidRPr="0073666E">
        <w:rPr>
          <w:lang w:val="de-CH"/>
        </w:rPr>
        <w:t xml:space="preserve"> de 0,3</w:t>
      </w:r>
      <w:r w:rsidR="004C5A95">
        <w:rPr>
          <w:lang w:val="de-CH"/>
        </w:rPr>
        <w:t> </w:t>
      </w:r>
      <w:r w:rsidR="0073666E" w:rsidRPr="0073666E">
        <w:rPr>
          <w:lang w:val="de-CH"/>
        </w:rPr>
        <w:t xml:space="preserve">%. Il </w:t>
      </w:r>
      <w:proofErr w:type="spellStart"/>
      <w:r w:rsidR="0073666E" w:rsidRPr="0073666E">
        <w:rPr>
          <w:lang w:val="de-CH"/>
        </w:rPr>
        <w:t>faut</w:t>
      </w:r>
      <w:proofErr w:type="spellEnd"/>
      <w:r w:rsidR="0073666E" w:rsidRPr="0073666E">
        <w:rPr>
          <w:lang w:val="de-CH"/>
        </w:rPr>
        <w:t xml:space="preserve"> </w:t>
      </w:r>
      <w:proofErr w:type="spellStart"/>
      <w:r w:rsidR="0073666E" w:rsidRPr="0073666E">
        <w:rPr>
          <w:lang w:val="de-CH"/>
        </w:rPr>
        <w:t>cependant</w:t>
      </w:r>
      <w:proofErr w:type="spellEnd"/>
      <w:r w:rsidR="0073666E" w:rsidRPr="0073666E">
        <w:rPr>
          <w:lang w:val="de-CH"/>
        </w:rPr>
        <w:t xml:space="preserve"> </w:t>
      </w:r>
      <w:proofErr w:type="spellStart"/>
      <w:r w:rsidR="0073666E" w:rsidRPr="0073666E">
        <w:rPr>
          <w:lang w:val="de-CH"/>
        </w:rPr>
        <w:t>signaler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ces</w:t>
      </w:r>
      <w:proofErr w:type="spellEnd"/>
      <w:r w:rsidR="0073666E" w:rsidRPr="0073666E">
        <w:rPr>
          <w:lang w:val="de-CH"/>
        </w:rPr>
        <w:t xml:space="preserve"> 83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englobent</w:t>
      </w:r>
      <w:proofErr w:type="spellEnd"/>
      <w:r w:rsidR="0073666E" w:rsidRPr="0073666E">
        <w:rPr>
          <w:lang w:val="de-CH"/>
        </w:rPr>
        <w:t xml:space="preserve"> des </w:t>
      </w:r>
      <w:proofErr w:type="spellStart"/>
      <w:r w:rsidR="0073666E" w:rsidRPr="0073666E">
        <w:rPr>
          <w:lang w:val="de-CH"/>
        </w:rPr>
        <w:t>cas</w:t>
      </w:r>
      <w:proofErr w:type="spellEnd"/>
      <w:r w:rsidR="0073666E" w:rsidRPr="0073666E">
        <w:rPr>
          <w:lang w:val="de-CH"/>
        </w:rPr>
        <w:t xml:space="preserve"> LEI, c’est-à-</w:t>
      </w:r>
      <w:proofErr w:type="spellStart"/>
      <w:r w:rsidR="0073666E" w:rsidRPr="0073666E">
        <w:rPr>
          <w:lang w:val="de-CH"/>
        </w:rPr>
        <w:t>dire</w:t>
      </w:r>
      <w:proofErr w:type="spellEnd"/>
      <w:r w:rsidR="0073666E" w:rsidRPr="0073666E">
        <w:rPr>
          <w:lang w:val="de-CH"/>
        </w:rPr>
        <w:t xml:space="preserve"> de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n’ayant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déposé</w:t>
      </w:r>
      <w:proofErr w:type="spellEnd"/>
      <w:r w:rsidR="0073666E" w:rsidRPr="0073666E">
        <w:rPr>
          <w:lang w:val="de-CH"/>
        </w:rPr>
        <w:t xml:space="preserve"> de </w:t>
      </w:r>
      <w:proofErr w:type="spellStart"/>
      <w:r w:rsidR="0073666E" w:rsidRPr="0073666E">
        <w:rPr>
          <w:lang w:val="de-CH"/>
        </w:rPr>
        <w:t>demande</w:t>
      </w:r>
      <w:proofErr w:type="spellEnd"/>
      <w:r w:rsidR="0073666E" w:rsidRPr="0073666E">
        <w:rPr>
          <w:lang w:val="de-CH"/>
        </w:rPr>
        <w:t xml:space="preserve"> </w:t>
      </w:r>
      <w:proofErr w:type="spellStart"/>
      <w:r w:rsidR="0073666E" w:rsidRPr="0073666E">
        <w:rPr>
          <w:lang w:val="de-CH"/>
        </w:rPr>
        <w:t>d’asile</w:t>
      </w:r>
      <w:proofErr w:type="spellEnd"/>
      <w:r w:rsidR="0073666E" w:rsidRPr="0073666E">
        <w:rPr>
          <w:lang w:val="de-CH"/>
        </w:rPr>
        <w:t xml:space="preserve">. La </w:t>
      </w:r>
      <w:proofErr w:type="spellStart"/>
      <w:r w:rsidR="0073666E" w:rsidRPr="0073666E">
        <w:rPr>
          <w:lang w:val="de-CH"/>
        </w:rPr>
        <w:t>durée</w:t>
      </w:r>
      <w:proofErr w:type="spellEnd"/>
      <w:r w:rsidR="0073666E" w:rsidRPr="0073666E">
        <w:rPr>
          <w:lang w:val="de-CH"/>
        </w:rPr>
        <w:t xml:space="preserve"> </w:t>
      </w:r>
      <w:proofErr w:type="spellStart"/>
      <w:r w:rsidR="0073666E" w:rsidRPr="0073666E">
        <w:rPr>
          <w:lang w:val="de-CH"/>
        </w:rPr>
        <w:t>moyenne</w:t>
      </w:r>
      <w:proofErr w:type="spellEnd"/>
      <w:r w:rsidR="0073666E" w:rsidRPr="0073666E">
        <w:rPr>
          <w:lang w:val="de-CH"/>
        </w:rPr>
        <w:t xml:space="preserve"> de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était</w:t>
      </w:r>
      <w:proofErr w:type="spellEnd"/>
      <w:r w:rsidR="0073666E" w:rsidRPr="0073666E">
        <w:rPr>
          <w:lang w:val="de-CH"/>
        </w:rPr>
        <w:t xml:space="preserve"> de 22 </w:t>
      </w:r>
      <w:proofErr w:type="spellStart"/>
      <w:r w:rsidR="0073666E" w:rsidRPr="0073666E">
        <w:rPr>
          <w:lang w:val="de-CH"/>
        </w:rPr>
        <w:t>jours</w:t>
      </w:r>
      <w:proofErr w:type="spellEnd"/>
      <w:r w:rsidR="0073666E" w:rsidRPr="0073666E">
        <w:rPr>
          <w:lang w:val="de-CH"/>
        </w:rPr>
        <w:t xml:space="preserve">. Vu le </w:t>
      </w:r>
      <w:proofErr w:type="spellStart"/>
      <w:r w:rsidR="0073666E" w:rsidRPr="0073666E">
        <w:rPr>
          <w:lang w:val="de-CH"/>
        </w:rPr>
        <w:t>petit</w:t>
      </w:r>
      <w:proofErr w:type="spellEnd"/>
      <w:r w:rsidR="0073666E" w:rsidRPr="0073666E">
        <w:rPr>
          <w:lang w:val="de-CH"/>
        </w:rPr>
        <w:t xml:space="preserve"> </w:t>
      </w:r>
      <w:proofErr w:type="spellStart"/>
      <w:r w:rsidR="0073666E" w:rsidRPr="0073666E">
        <w:rPr>
          <w:lang w:val="de-CH"/>
        </w:rPr>
        <w:t>nombre</w:t>
      </w:r>
      <w:proofErr w:type="spellEnd"/>
      <w:r w:rsidR="0073666E" w:rsidRPr="0073666E">
        <w:rPr>
          <w:lang w:val="de-CH"/>
        </w:rPr>
        <w:t xml:space="preserve"> de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n’existe</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d’évaluation</w:t>
      </w:r>
      <w:proofErr w:type="spellEnd"/>
      <w:r w:rsidR="0073666E" w:rsidRPr="0073666E">
        <w:rPr>
          <w:lang w:val="de-CH"/>
        </w:rPr>
        <w:t xml:space="preserve"> </w:t>
      </w:r>
      <w:proofErr w:type="spellStart"/>
      <w:r w:rsidR="0073666E" w:rsidRPr="0073666E">
        <w:rPr>
          <w:lang w:val="de-CH"/>
        </w:rPr>
        <w:t>ventilée</w:t>
      </w:r>
      <w:proofErr w:type="spellEnd"/>
      <w:r w:rsidR="0073666E" w:rsidRPr="0073666E">
        <w:rPr>
          <w:lang w:val="de-CH"/>
        </w:rPr>
        <w:t xml:space="preserve"> par </w:t>
      </w:r>
      <w:proofErr w:type="spellStart"/>
      <w:r w:rsidR="0073666E" w:rsidRPr="0073666E">
        <w:rPr>
          <w:lang w:val="de-CH"/>
        </w:rPr>
        <w:t>canton</w:t>
      </w:r>
      <w:proofErr w:type="spellEnd"/>
      <w:r w:rsidR="0073666E" w:rsidRPr="0073666E">
        <w:rPr>
          <w:lang w:val="de-CH"/>
        </w:rPr>
        <w:t>.</w:t>
      </w:r>
    </w:p>
    <w:p w14:paraId="27AD220F" w14:textId="77777777" w:rsidR="0073666E" w:rsidRPr="0073666E" w:rsidRDefault="006450F6" w:rsidP="006450F6">
      <w:pPr>
        <w:pStyle w:val="SingleTxtG"/>
        <w:rPr>
          <w:lang w:val="de-CH"/>
        </w:rPr>
      </w:pPr>
      <w:r>
        <w:rPr>
          <w:lang w:val="de-CH"/>
        </w:rPr>
        <w:t>99.</w:t>
      </w:r>
      <w:r>
        <w:rPr>
          <w:lang w:val="de-CH"/>
        </w:rPr>
        <w:tab/>
      </w:r>
      <w:proofErr w:type="spellStart"/>
      <w:r w:rsidR="0073666E" w:rsidRPr="0073666E">
        <w:rPr>
          <w:lang w:val="de-CH"/>
        </w:rPr>
        <w:t>L’hébergement</w:t>
      </w:r>
      <w:proofErr w:type="spellEnd"/>
      <w:r w:rsidR="0073666E" w:rsidRPr="0073666E">
        <w:rPr>
          <w:lang w:val="de-CH"/>
        </w:rPr>
        <w:t xml:space="preserve">, </w:t>
      </w:r>
      <w:proofErr w:type="spellStart"/>
      <w:r w:rsidR="0073666E" w:rsidRPr="0073666E">
        <w:rPr>
          <w:lang w:val="de-CH"/>
        </w:rPr>
        <w:t>l’assistance</w:t>
      </w:r>
      <w:proofErr w:type="spellEnd"/>
      <w:r w:rsidR="0073666E" w:rsidRPr="0073666E">
        <w:rPr>
          <w:lang w:val="de-CH"/>
        </w:rPr>
        <w:t xml:space="preserve">, la </w:t>
      </w:r>
      <w:proofErr w:type="spellStart"/>
      <w:r w:rsidR="0073666E" w:rsidRPr="0073666E">
        <w:rPr>
          <w:lang w:val="de-CH"/>
        </w:rPr>
        <w:t>scolarisation</w:t>
      </w:r>
      <w:proofErr w:type="spellEnd"/>
      <w:r w:rsidR="0073666E" w:rsidRPr="0073666E">
        <w:rPr>
          <w:lang w:val="de-CH"/>
        </w:rPr>
        <w:t xml:space="preserve"> et </w:t>
      </w:r>
      <w:proofErr w:type="spellStart"/>
      <w:r w:rsidR="0073666E" w:rsidRPr="0073666E">
        <w:rPr>
          <w:lang w:val="de-CH"/>
        </w:rPr>
        <w:t>l’éventuel</w:t>
      </w:r>
      <w:proofErr w:type="spellEnd"/>
      <w:r w:rsidR="0073666E" w:rsidRPr="0073666E">
        <w:rPr>
          <w:lang w:val="de-CH"/>
        </w:rPr>
        <w:t xml:space="preserve"> </w:t>
      </w:r>
      <w:proofErr w:type="spellStart"/>
      <w:r w:rsidR="0073666E" w:rsidRPr="0073666E">
        <w:rPr>
          <w:lang w:val="de-CH"/>
        </w:rPr>
        <w:t>encadrement</w:t>
      </w:r>
      <w:proofErr w:type="spellEnd"/>
      <w:r w:rsidR="0073666E" w:rsidRPr="0073666E">
        <w:rPr>
          <w:lang w:val="de-CH"/>
        </w:rPr>
        <w:t xml:space="preserve"> </w:t>
      </w:r>
      <w:proofErr w:type="spellStart"/>
      <w:r w:rsidR="0073666E" w:rsidRPr="0073666E">
        <w:rPr>
          <w:lang w:val="de-CH"/>
        </w:rPr>
        <w:t>médical</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de la </w:t>
      </w:r>
      <w:proofErr w:type="spellStart"/>
      <w:r w:rsidR="0073666E" w:rsidRPr="0073666E">
        <w:rPr>
          <w:lang w:val="de-CH"/>
        </w:rPr>
        <w:t>compétence</w:t>
      </w:r>
      <w:proofErr w:type="spellEnd"/>
      <w:r w:rsidR="0073666E" w:rsidRPr="0073666E">
        <w:rPr>
          <w:lang w:val="de-CH"/>
        </w:rPr>
        <w:t xml:space="preserve"> </w:t>
      </w:r>
      <w:proofErr w:type="spellStart"/>
      <w:r w:rsidR="0073666E" w:rsidRPr="0073666E">
        <w:rPr>
          <w:lang w:val="de-CH"/>
        </w:rPr>
        <w:t>unique</w:t>
      </w:r>
      <w:proofErr w:type="spellEnd"/>
      <w:r w:rsidR="0073666E" w:rsidRPr="0073666E">
        <w:rPr>
          <w:lang w:val="de-CH"/>
        </w:rPr>
        <w:t xml:space="preserve"> du </w:t>
      </w:r>
      <w:proofErr w:type="spellStart"/>
      <w:r w:rsidR="0073666E" w:rsidRPr="0073666E">
        <w:rPr>
          <w:lang w:val="de-CH"/>
        </w:rPr>
        <w:t>canton</w:t>
      </w:r>
      <w:proofErr w:type="spellEnd"/>
      <w:r w:rsidR="0073666E" w:rsidRPr="0073666E">
        <w:rPr>
          <w:lang w:val="de-CH"/>
        </w:rPr>
        <w:t xml:space="preserve"> </w:t>
      </w:r>
      <w:proofErr w:type="spellStart"/>
      <w:r w:rsidR="0073666E" w:rsidRPr="0073666E">
        <w:rPr>
          <w:lang w:val="de-CH"/>
        </w:rPr>
        <w:t>d’attribution</w:t>
      </w:r>
      <w:proofErr w:type="spellEnd"/>
      <w:r w:rsidR="0073666E" w:rsidRPr="0073666E">
        <w:rPr>
          <w:lang w:val="de-CH"/>
        </w:rPr>
        <w:t xml:space="preserve"> du RMNA. </w:t>
      </w:r>
    </w:p>
    <w:p w14:paraId="38006AF9" w14:textId="77777777" w:rsidR="0073666E" w:rsidRPr="0073666E" w:rsidRDefault="006450F6" w:rsidP="006450F6">
      <w:pPr>
        <w:pStyle w:val="SingleTxtG"/>
      </w:pPr>
      <w:r>
        <w:rPr>
          <w:lang w:val="de-CH"/>
        </w:rPr>
        <w:t>100.</w:t>
      </w:r>
      <w:r>
        <w:rPr>
          <w:lang w:val="de-CH"/>
        </w:rPr>
        <w:tab/>
      </w:r>
      <w:r w:rsidR="0073666E" w:rsidRPr="006450F6">
        <w:rPr>
          <w:lang w:val="de-CH"/>
        </w:rPr>
        <w:t xml:space="preserve">Dans </w:t>
      </w:r>
      <w:proofErr w:type="spellStart"/>
      <w:r w:rsidR="0073666E" w:rsidRPr="006450F6">
        <w:rPr>
          <w:lang w:val="de-CH"/>
        </w:rPr>
        <w:t>ce</w:t>
      </w:r>
      <w:proofErr w:type="spellEnd"/>
      <w:r w:rsidR="0073666E" w:rsidRPr="006450F6">
        <w:rPr>
          <w:lang w:val="de-CH"/>
        </w:rPr>
        <w:t xml:space="preserve"> </w:t>
      </w:r>
      <w:proofErr w:type="spellStart"/>
      <w:r w:rsidR="0073666E" w:rsidRPr="006450F6">
        <w:rPr>
          <w:lang w:val="de-CH"/>
        </w:rPr>
        <w:t>cadre</w:t>
      </w:r>
      <w:proofErr w:type="spellEnd"/>
      <w:r w:rsidR="0073666E" w:rsidRPr="006450F6">
        <w:rPr>
          <w:lang w:val="de-CH"/>
        </w:rPr>
        <w:t xml:space="preserve">, la CDAS a </w:t>
      </w:r>
      <w:proofErr w:type="spellStart"/>
      <w:r w:rsidR="0073666E" w:rsidRPr="006450F6">
        <w:rPr>
          <w:lang w:val="de-CH"/>
        </w:rPr>
        <w:t>émis</w:t>
      </w:r>
      <w:proofErr w:type="spellEnd"/>
      <w:r w:rsidR="0073666E" w:rsidRPr="006450F6">
        <w:rPr>
          <w:lang w:val="de-CH"/>
        </w:rPr>
        <w:t xml:space="preserve">, en </w:t>
      </w:r>
      <w:proofErr w:type="spellStart"/>
      <w:r w:rsidR="0073666E" w:rsidRPr="006450F6">
        <w:rPr>
          <w:lang w:val="de-CH"/>
        </w:rPr>
        <w:t>mai</w:t>
      </w:r>
      <w:proofErr w:type="spellEnd"/>
      <w:r w:rsidR="0073666E" w:rsidRPr="006450F6">
        <w:rPr>
          <w:lang w:val="de-CH"/>
        </w:rPr>
        <w:t xml:space="preserve"> 2016, des </w:t>
      </w:r>
      <w:proofErr w:type="spellStart"/>
      <w:r w:rsidR="0073666E" w:rsidRPr="006450F6">
        <w:rPr>
          <w:lang w:val="de-CH"/>
        </w:rPr>
        <w:t>recommandations</w:t>
      </w:r>
      <w:proofErr w:type="spellEnd"/>
      <w:r w:rsidR="0073666E" w:rsidRPr="006450F6">
        <w:rPr>
          <w:lang w:val="de-CH"/>
        </w:rPr>
        <w:t xml:space="preserve"> à </w:t>
      </w:r>
      <w:proofErr w:type="spellStart"/>
      <w:r w:rsidR="0073666E" w:rsidRPr="006450F6">
        <w:rPr>
          <w:lang w:val="de-CH"/>
        </w:rPr>
        <w:t>l</w:t>
      </w:r>
      <w:r w:rsidR="00A27519">
        <w:rPr>
          <w:lang w:val="de-CH"/>
        </w:rPr>
        <w:t>’</w:t>
      </w:r>
      <w:r w:rsidR="0073666E" w:rsidRPr="006450F6">
        <w:rPr>
          <w:lang w:val="de-CH"/>
        </w:rPr>
        <w:t>attention</w:t>
      </w:r>
      <w:proofErr w:type="spellEnd"/>
      <w:r w:rsidR="0073666E" w:rsidRPr="006450F6">
        <w:rPr>
          <w:lang w:val="de-CH"/>
        </w:rPr>
        <w:t xml:space="preserve"> des </w:t>
      </w:r>
      <w:proofErr w:type="spellStart"/>
      <w:r w:rsidR="0073666E" w:rsidRPr="006450F6">
        <w:rPr>
          <w:lang w:val="de-CH"/>
        </w:rPr>
        <w:t>cantons</w:t>
      </w:r>
      <w:proofErr w:type="spellEnd"/>
      <w:r w:rsidR="0073666E" w:rsidRPr="0073666E">
        <w:t xml:space="preserve"> afin </w:t>
      </w:r>
      <w:proofErr w:type="spellStart"/>
      <w:r w:rsidR="0073666E" w:rsidRPr="006450F6">
        <w:rPr>
          <w:lang w:val="de-CH"/>
        </w:rPr>
        <w:t>d</w:t>
      </w:r>
      <w:r w:rsidR="00A27519">
        <w:rPr>
          <w:lang w:val="de-CH"/>
        </w:rPr>
        <w:t>’</w:t>
      </w:r>
      <w:r w:rsidR="0073666E" w:rsidRPr="006450F6">
        <w:rPr>
          <w:lang w:val="de-CH"/>
        </w:rPr>
        <w:t>harmoniser</w:t>
      </w:r>
      <w:proofErr w:type="spellEnd"/>
      <w:r w:rsidR="0073666E" w:rsidRPr="0073666E">
        <w:t xml:space="preserve"> les mesures prises qui sont de leur compétence (hébergement, encadrement, représentation légale, formation, intégration etc.). </w:t>
      </w:r>
      <w:r w:rsidR="0073666E" w:rsidRPr="0073666E">
        <w:rPr>
          <w:lang w:val="de-CH"/>
        </w:rPr>
        <w:t xml:space="preserve">Ces </w:t>
      </w:r>
      <w:proofErr w:type="spellStart"/>
      <w:r w:rsidR="0073666E" w:rsidRPr="0073666E">
        <w:rPr>
          <w:lang w:val="de-CH"/>
        </w:rPr>
        <w:t>recommandations</w:t>
      </w:r>
      <w:proofErr w:type="spellEnd"/>
      <w:r w:rsidR="0073666E" w:rsidRPr="0073666E">
        <w:rPr>
          <w:lang w:val="de-CH"/>
        </w:rPr>
        <w:t xml:space="preserve"> </w:t>
      </w:r>
      <w:proofErr w:type="spellStart"/>
      <w:r w:rsidR="0073666E" w:rsidRPr="0073666E">
        <w:rPr>
          <w:lang w:val="de-CH"/>
        </w:rPr>
        <w:t>soulignent</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l’hébergement</w:t>
      </w:r>
      <w:proofErr w:type="spellEnd"/>
      <w:r w:rsidR="0073666E" w:rsidRPr="0073666E">
        <w:rPr>
          <w:lang w:val="de-CH"/>
        </w:rPr>
        <w:t xml:space="preserve"> </w:t>
      </w:r>
      <w:proofErr w:type="spellStart"/>
      <w:r w:rsidR="0073666E" w:rsidRPr="0073666E">
        <w:rPr>
          <w:lang w:val="de-CH"/>
        </w:rPr>
        <w:t>doit</w:t>
      </w:r>
      <w:proofErr w:type="spellEnd"/>
      <w:r w:rsidR="0073666E" w:rsidRPr="0073666E">
        <w:rPr>
          <w:lang w:val="de-CH"/>
        </w:rPr>
        <w:t xml:space="preserve"> </w:t>
      </w:r>
      <w:proofErr w:type="spellStart"/>
      <w:r w:rsidR="0073666E" w:rsidRPr="0073666E">
        <w:rPr>
          <w:lang w:val="de-CH"/>
        </w:rPr>
        <w:t>tenir</w:t>
      </w:r>
      <w:proofErr w:type="spellEnd"/>
      <w:r w:rsidR="0073666E" w:rsidRPr="0073666E">
        <w:rPr>
          <w:lang w:val="de-CH"/>
        </w:rPr>
        <w:t xml:space="preserve"> </w:t>
      </w:r>
      <w:proofErr w:type="spellStart"/>
      <w:r w:rsidR="0073666E" w:rsidRPr="0073666E">
        <w:rPr>
          <w:lang w:val="de-CH"/>
        </w:rPr>
        <w:t>compte</w:t>
      </w:r>
      <w:proofErr w:type="spellEnd"/>
      <w:r w:rsidR="0073666E" w:rsidRPr="0073666E">
        <w:rPr>
          <w:lang w:val="de-CH"/>
        </w:rPr>
        <w:t xml:space="preserve"> des </w:t>
      </w:r>
      <w:proofErr w:type="spellStart"/>
      <w:r w:rsidR="0073666E" w:rsidRPr="0073666E">
        <w:rPr>
          <w:lang w:val="de-CH"/>
        </w:rPr>
        <w:t>besoins</w:t>
      </w:r>
      <w:proofErr w:type="spellEnd"/>
      <w:r w:rsidR="0073666E" w:rsidRPr="0073666E">
        <w:rPr>
          <w:lang w:val="de-CH"/>
        </w:rPr>
        <w:t xml:space="preserve"> </w:t>
      </w:r>
      <w:proofErr w:type="spellStart"/>
      <w:r w:rsidR="0073666E" w:rsidRPr="0073666E">
        <w:rPr>
          <w:lang w:val="de-CH"/>
        </w:rPr>
        <w:t>spécifiques</w:t>
      </w:r>
      <w:proofErr w:type="spellEnd"/>
      <w:r w:rsidR="0073666E" w:rsidRPr="0073666E">
        <w:rPr>
          <w:lang w:val="de-CH"/>
        </w:rPr>
        <w:t xml:space="preserve"> des </w:t>
      </w:r>
      <w:proofErr w:type="spellStart"/>
      <w:r w:rsidR="0073666E" w:rsidRPr="0073666E">
        <w:rPr>
          <w:lang w:val="de-CH"/>
        </w:rPr>
        <w:t>mineurs</w:t>
      </w:r>
      <w:proofErr w:type="spellEnd"/>
      <w:r w:rsidR="0073666E" w:rsidRPr="0073666E">
        <w:rPr>
          <w:lang w:val="de-CH"/>
        </w:rPr>
        <w:t xml:space="preserve"> non-</w:t>
      </w:r>
      <w:proofErr w:type="spellStart"/>
      <w:r w:rsidR="0073666E" w:rsidRPr="0073666E">
        <w:rPr>
          <w:lang w:val="de-CH"/>
        </w:rPr>
        <w:t>accompagnés</w:t>
      </w:r>
      <w:proofErr w:type="spellEnd"/>
      <w:r w:rsidR="0073666E" w:rsidRPr="0073666E">
        <w:rPr>
          <w:lang w:val="de-CH"/>
        </w:rPr>
        <w:t xml:space="preserve"> et de </w:t>
      </w:r>
      <w:proofErr w:type="spellStart"/>
      <w:r w:rsidR="0073666E" w:rsidRPr="0073666E">
        <w:rPr>
          <w:lang w:val="de-CH"/>
        </w:rPr>
        <w:t>l’intérêt</w:t>
      </w:r>
      <w:proofErr w:type="spellEnd"/>
      <w:r w:rsidR="0073666E" w:rsidRPr="0073666E">
        <w:rPr>
          <w:lang w:val="de-CH"/>
        </w:rPr>
        <w:t xml:space="preserve"> </w:t>
      </w:r>
      <w:proofErr w:type="spellStart"/>
      <w:r w:rsidR="0073666E" w:rsidRPr="0073666E">
        <w:rPr>
          <w:lang w:val="de-CH"/>
        </w:rPr>
        <w:t>supérieur</w:t>
      </w:r>
      <w:proofErr w:type="spellEnd"/>
      <w:r w:rsidR="0073666E" w:rsidRPr="0073666E">
        <w:rPr>
          <w:lang w:val="de-CH"/>
        </w:rPr>
        <w:t xml:space="preserve"> de </w:t>
      </w:r>
      <w:proofErr w:type="spellStart"/>
      <w:r w:rsidR="0073666E" w:rsidRPr="0073666E">
        <w:rPr>
          <w:lang w:val="de-CH"/>
        </w:rPr>
        <w:t>l’enfant</w:t>
      </w:r>
      <w:proofErr w:type="spellEnd"/>
      <w:r w:rsidR="0073666E" w:rsidRPr="0073666E">
        <w:rPr>
          <w:lang w:val="de-CH"/>
        </w:rPr>
        <w:t xml:space="preserve">. La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d’hébergement</w:t>
      </w:r>
      <w:proofErr w:type="spellEnd"/>
      <w:r w:rsidR="0073666E" w:rsidRPr="0073666E">
        <w:rPr>
          <w:lang w:val="de-CH"/>
        </w:rPr>
        <w:t xml:space="preserve"> </w:t>
      </w:r>
      <w:proofErr w:type="spellStart"/>
      <w:r w:rsidR="0073666E" w:rsidRPr="0073666E">
        <w:rPr>
          <w:lang w:val="de-CH"/>
        </w:rPr>
        <w:t>définitive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du </w:t>
      </w:r>
      <w:proofErr w:type="spellStart"/>
      <w:r w:rsidR="0073666E" w:rsidRPr="0073666E">
        <w:rPr>
          <w:lang w:val="de-CH"/>
        </w:rPr>
        <w:t>ressort</w:t>
      </w:r>
      <w:proofErr w:type="spellEnd"/>
      <w:r w:rsidR="0073666E" w:rsidRPr="0073666E">
        <w:rPr>
          <w:lang w:val="de-CH"/>
        </w:rPr>
        <w:t xml:space="preserve"> du </w:t>
      </w:r>
      <w:proofErr w:type="spellStart"/>
      <w:r w:rsidR="0073666E" w:rsidRPr="0073666E">
        <w:rPr>
          <w:lang w:val="de-CH"/>
        </w:rPr>
        <w:t>représentant</w:t>
      </w:r>
      <w:proofErr w:type="spellEnd"/>
      <w:r w:rsidR="0073666E" w:rsidRPr="0073666E">
        <w:rPr>
          <w:lang w:val="de-CH"/>
        </w:rPr>
        <w:t xml:space="preserve"> </w:t>
      </w:r>
      <w:proofErr w:type="spellStart"/>
      <w:r w:rsidR="0073666E" w:rsidRPr="0073666E">
        <w:rPr>
          <w:lang w:val="de-CH"/>
        </w:rPr>
        <w:t>légal</w:t>
      </w:r>
      <w:proofErr w:type="spellEnd"/>
      <w:r w:rsidR="0073666E" w:rsidRPr="0073666E">
        <w:rPr>
          <w:lang w:val="de-CH"/>
        </w:rPr>
        <w:t xml:space="preserve"> et la </w:t>
      </w:r>
      <w:proofErr w:type="spellStart"/>
      <w:r w:rsidR="0073666E" w:rsidRPr="0073666E">
        <w:rPr>
          <w:lang w:val="de-CH"/>
        </w:rPr>
        <w:t>situation</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réévaluée</w:t>
      </w:r>
      <w:proofErr w:type="spellEnd"/>
      <w:r w:rsidR="0073666E" w:rsidRPr="0073666E">
        <w:rPr>
          <w:lang w:val="de-CH"/>
        </w:rPr>
        <w:t xml:space="preserve"> </w:t>
      </w:r>
      <w:proofErr w:type="spellStart"/>
      <w:r w:rsidR="0073666E" w:rsidRPr="0073666E">
        <w:rPr>
          <w:lang w:val="de-CH"/>
        </w:rPr>
        <w:t>périodiquement</w:t>
      </w:r>
      <w:proofErr w:type="spellEnd"/>
      <w:r w:rsidR="0073666E" w:rsidRPr="0073666E">
        <w:rPr>
          <w:lang w:val="de-CH"/>
        </w:rPr>
        <w:t xml:space="preserve">. </w:t>
      </w:r>
      <w:r w:rsidR="0073666E" w:rsidRPr="0073666E">
        <w:t>Il</w:t>
      </w:r>
      <w:r w:rsidR="004C5A95">
        <w:t> </w:t>
      </w:r>
      <w:r w:rsidR="0073666E" w:rsidRPr="0073666E">
        <w:t>faut également veiller à respecter le principe de l’unité familiale</w:t>
      </w:r>
      <w:r w:rsidR="0073666E" w:rsidRPr="009E1FD5">
        <w:rPr>
          <w:rStyle w:val="Appelnotedebasdep"/>
        </w:rPr>
        <w:footnoteReference w:id="31"/>
      </w:r>
      <w:r w:rsidR="00552382">
        <w:t>.</w:t>
      </w:r>
      <w:r w:rsidR="0073666E" w:rsidRPr="0073666E">
        <w:t xml:space="preserve"> </w:t>
      </w:r>
    </w:p>
    <w:p w14:paraId="03149DEA" w14:textId="77777777" w:rsidR="0073666E" w:rsidRPr="0073666E" w:rsidRDefault="006450F6" w:rsidP="006450F6">
      <w:pPr>
        <w:pStyle w:val="SingleTxtG"/>
        <w:rPr>
          <w:lang w:val="de-CH"/>
        </w:rPr>
      </w:pPr>
      <w:r>
        <w:rPr>
          <w:lang w:val="de-CH"/>
        </w:rPr>
        <w:t>101.</w:t>
      </w:r>
      <w:r>
        <w:rPr>
          <w:lang w:val="de-CH"/>
        </w:rPr>
        <w:tab/>
      </w:r>
      <w:proofErr w:type="spellStart"/>
      <w:r w:rsidR="0073666E" w:rsidRPr="006450F6">
        <w:rPr>
          <w:lang w:val="de-CH"/>
        </w:rPr>
        <w:t>Lorsqu</w:t>
      </w:r>
      <w:r w:rsidR="00A27519">
        <w:rPr>
          <w:lang w:val="de-CH"/>
        </w:rPr>
        <w:t>’</w:t>
      </w:r>
      <w:r w:rsidR="0073666E" w:rsidRPr="006450F6">
        <w:rPr>
          <w:lang w:val="de-CH"/>
        </w:rPr>
        <w:t>un</w:t>
      </w:r>
      <w:proofErr w:type="spellEnd"/>
      <w:r w:rsidR="0073666E" w:rsidRPr="0073666E">
        <w:t xml:space="preserve"> RMNA dépose une demande d</w:t>
      </w:r>
      <w:r w:rsidR="00A27519">
        <w:t>’</w:t>
      </w:r>
      <w:r w:rsidR="0073666E" w:rsidRPr="0073666E">
        <w:t xml:space="preserve">asile à la frontière, il est aussitôt acheminé vers un centre fédéral pour requérants d’asile afin de pouvoir y être enregistré et attribué rapidement à un canton. </w:t>
      </w:r>
      <w:r w:rsidR="0073666E" w:rsidRPr="0073666E">
        <w:rPr>
          <w:lang w:val="de-CH"/>
        </w:rPr>
        <w:t xml:space="preserve">Pour </w:t>
      </w:r>
      <w:proofErr w:type="spellStart"/>
      <w:r w:rsidR="0073666E" w:rsidRPr="0073666E">
        <w:rPr>
          <w:lang w:val="de-CH"/>
        </w:rPr>
        <w:t>chaque</w:t>
      </w:r>
      <w:proofErr w:type="spellEnd"/>
      <w:r w:rsidR="0073666E" w:rsidRPr="0073666E">
        <w:rPr>
          <w:lang w:val="de-CH"/>
        </w:rPr>
        <w:t xml:space="preserve"> RMNA,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représentant</w:t>
      </w:r>
      <w:proofErr w:type="spellEnd"/>
      <w:r w:rsidR="0073666E" w:rsidRPr="0073666E">
        <w:rPr>
          <w:lang w:val="de-CH"/>
        </w:rPr>
        <w:t xml:space="preserve"> </w:t>
      </w:r>
      <w:proofErr w:type="spellStart"/>
      <w:r w:rsidR="0073666E" w:rsidRPr="0073666E">
        <w:rPr>
          <w:lang w:val="de-CH"/>
        </w:rPr>
        <w:t>légal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nommé</w:t>
      </w:r>
      <w:proofErr w:type="spellEnd"/>
      <w:r w:rsidR="0073666E" w:rsidRPr="0073666E">
        <w:rPr>
          <w:lang w:val="de-CH"/>
        </w:rPr>
        <w:t xml:space="preserve">. </w:t>
      </w:r>
      <w:proofErr w:type="spellStart"/>
      <w:r w:rsidR="0073666E" w:rsidRPr="0073666E">
        <w:rPr>
          <w:lang w:val="de-CH"/>
        </w:rPr>
        <w:t>Chaque</w:t>
      </w:r>
      <w:proofErr w:type="spellEnd"/>
      <w:r w:rsidR="0073666E" w:rsidRPr="0073666E">
        <w:rPr>
          <w:lang w:val="de-CH"/>
        </w:rPr>
        <w:t xml:space="preserve"> </w:t>
      </w:r>
      <w:proofErr w:type="spellStart"/>
      <w:r w:rsidR="0073666E" w:rsidRPr="0073666E">
        <w:rPr>
          <w:lang w:val="de-CH"/>
        </w:rPr>
        <w:t>disparition</w:t>
      </w:r>
      <w:proofErr w:type="spellEnd"/>
      <w:r w:rsidR="0073666E" w:rsidRPr="0073666E">
        <w:rPr>
          <w:lang w:val="de-CH"/>
        </w:rPr>
        <w:t xml:space="preserve"> de RMNA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immédiatement</w:t>
      </w:r>
      <w:proofErr w:type="spellEnd"/>
      <w:r w:rsidR="0073666E" w:rsidRPr="0073666E">
        <w:rPr>
          <w:lang w:val="de-CH"/>
        </w:rPr>
        <w:t xml:space="preserve"> </w:t>
      </w:r>
      <w:proofErr w:type="spellStart"/>
      <w:r w:rsidR="0073666E" w:rsidRPr="0073666E">
        <w:rPr>
          <w:lang w:val="de-CH"/>
        </w:rPr>
        <w:t>annoncée</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cantonales</w:t>
      </w:r>
      <w:proofErr w:type="spellEnd"/>
      <w:r w:rsidR="0073666E" w:rsidRPr="0073666E">
        <w:rPr>
          <w:lang w:val="de-CH"/>
        </w:rPr>
        <w:t xml:space="preserve">. Il </w:t>
      </w:r>
      <w:proofErr w:type="spellStart"/>
      <w:r w:rsidR="0073666E" w:rsidRPr="0073666E">
        <w:rPr>
          <w:lang w:val="de-CH"/>
        </w:rPr>
        <w:t>ressort</w:t>
      </w:r>
      <w:proofErr w:type="spellEnd"/>
      <w:r w:rsidR="0073666E" w:rsidRPr="0073666E">
        <w:rPr>
          <w:lang w:val="de-CH"/>
        </w:rPr>
        <w:t xml:space="preserve"> de la </w:t>
      </w:r>
      <w:proofErr w:type="spellStart"/>
      <w:r w:rsidR="0073666E" w:rsidRPr="0073666E">
        <w:rPr>
          <w:lang w:val="de-CH"/>
        </w:rPr>
        <w:t>compétence</w:t>
      </w:r>
      <w:proofErr w:type="spellEnd"/>
      <w:r w:rsidR="0073666E" w:rsidRPr="0073666E">
        <w:rPr>
          <w:lang w:val="de-CH"/>
        </w:rPr>
        <w:t xml:space="preserve"> des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cantonales</w:t>
      </w:r>
      <w:proofErr w:type="spellEnd"/>
      <w:r w:rsidR="0073666E" w:rsidRPr="0073666E">
        <w:rPr>
          <w:lang w:val="de-CH"/>
        </w:rPr>
        <w:t xml:space="preserve"> </w:t>
      </w:r>
      <w:proofErr w:type="spellStart"/>
      <w:r w:rsidR="0073666E" w:rsidRPr="0073666E">
        <w:rPr>
          <w:lang w:val="de-CH"/>
        </w:rPr>
        <w:t>judiciaires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autres</w:t>
      </w:r>
      <w:proofErr w:type="spellEnd"/>
      <w:r w:rsidR="0073666E" w:rsidRPr="0073666E">
        <w:rPr>
          <w:lang w:val="de-CH"/>
        </w:rPr>
        <w:t xml:space="preserve">) de </w:t>
      </w:r>
      <w:proofErr w:type="spellStart"/>
      <w:r w:rsidR="0073666E" w:rsidRPr="0073666E">
        <w:rPr>
          <w:lang w:val="de-CH"/>
        </w:rPr>
        <w:t>décider</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chaque</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particulier</w:t>
      </w:r>
      <w:proofErr w:type="spellEnd"/>
      <w:r w:rsidR="0073666E" w:rsidRPr="0073666E">
        <w:rPr>
          <w:lang w:val="de-CH"/>
        </w:rPr>
        <w:t xml:space="preserve"> des </w:t>
      </w:r>
      <w:proofErr w:type="spellStart"/>
      <w:r w:rsidR="0073666E" w:rsidRPr="0073666E">
        <w:rPr>
          <w:lang w:val="de-CH"/>
        </w:rPr>
        <w:t>démarches</w:t>
      </w:r>
      <w:proofErr w:type="spellEnd"/>
      <w:r w:rsidR="0073666E" w:rsidRPr="0073666E">
        <w:rPr>
          <w:lang w:val="de-CH"/>
        </w:rPr>
        <w:t xml:space="preserve"> </w:t>
      </w:r>
      <w:proofErr w:type="spellStart"/>
      <w:r w:rsidR="0073666E" w:rsidRPr="0073666E">
        <w:rPr>
          <w:lang w:val="de-CH"/>
        </w:rPr>
        <w:t>adéquates</w:t>
      </w:r>
      <w:proofErr w:type="spellEnd"/>
      <w:r w:rsidR="0073666E" w:rsidRPr="0073666E">
        <w:rPr>
          <w:lang w:val="de-CH"/>
        </w:rPr>
        <w:t xml:space="preserve"> à </w:t>
      </w:r>
      <w:proofErr w:type="spellStart"/>
      <w:r w:rsidR="0073666E" w:rsidRPr="0073666E">
        <w:rPr>
          <w:lang w:val="de-CH"/>
        </w:rPr>
        <w:t>entreprendre</w:t>
      </w:r>
      <w:proofErr w:type="spellEnd"/>
      <w:r w:rsidR="0073666E" w:rsidRPr="0073666E">
        <w:rPr>
          <w:lang w:val="de-CH"/>
        </w:rPr>
        <w:t xml:space="preserve">, </w:t>
      </w:r>
      <w:proofErr w:type="spellStart"/>
      <w:r w:rsidR="0073666E" w:rsidRPr="0073666E">
        <w:rPr>
          <w:lang w:val="de-CH"/>
        </w:rPr>
        <w:t>comme</w:t>
      </w:r>
      <w:proofErr w:type="spellEnd"/>
      <w:r w:rsidR="0073666E" w:rsidRPr="0073666E">
        <w:rPr>
          <w:lang w:val="de-CH"/>
        </w:rPr>
        <w:t xml:space="preserve"> par exemple la </w:t>
      </w:r>
      <w:proofErr w:type="spellStart"/>
      <w:r w:rsidR="0073666E" w:rsidRPr="0073666E">
        <w:rPr>
          <w:lang w:val="de-CH"/>
        </w:rPr>
        <w:t>diffusion</w:t>
      </w:r>
      <w:proofErr w:type="spellEnd"/>
      <w:r w:rsidR="0073666E" w:rsidRPr="0073666E">
        <w:rPr>
          <w:lang w:val="de-CH"/>
        </w:rPr>
        <w:t xml:space="preserve"> </w:t>
      </w:r>
      <w:proofErr w:type="spellStart"/>
      <w:r w:rsidR="0073666E" w:rsidRPr="0073666E">
        <w:rPr>
          <w:lang w:val="de-CH"/>
        </w:rPr>
        <w:t>d</w:t>
      </w:r>
      <w:r w:rsidR="00A27519">
        <w:rPr>
          <w:lang w:val="de-CH"/>
        </w:rPr>
        <w:t>’</w:t>
      </w:r>
      <w:r w:rsidR="0073666E" w:rsidRPr="0073666E">
        <w:rPr>
          <w:lang w:val="de-CH"/>
        </w:rPr>
        <w:t>un</w:t>
      </w:r>
      <w:proofErr w:type="spellEnd"/>
      <w:r w:rsidR="0073666E" w:rsidRPr="0073666E">
        <w:rPr>
          <w:lang w:val="de-CH"/>
        </w:rPr>
        <w:t xml:space="preserve"> </w:t>
      </w:r>
      <w:proofErr w:type="spellStart"/>
      <w:r w:rsidR="0073666E" w:rsidRPr="0073666E">
        <w:rPr>
          <w:lang w:val="de-CH"/>
        </w:rPr>
        <w:t>avis</w:t>
      </w:r>
      <w:proofErr w:type="spellEnd"/>
      <w:r w:rsidR="0073666E" w:rsidRPr="0073666E">
        <w:rPr>
          <w:lang w:val="de-CH"/>
        </w:rPr>
        <w:t xml:space="preserve"> de </w:t>
      </w:r>
      <w:proofErr w:type="spellStart"/>
      <w:r w:rsidR="0073666E" w:rsidRPr="0073666E">
        <w:rPr>
          <w:lang w:val="de-CH"/>
        </w:rPr>
        <w:t>recherche</w:t>
      </w:r>
      <w:proofErr w:type="spellEnd"/>
      <w:r w:rsidR="0073666E" w:rsidRPr="0073666E">
        <w:rPr>
          <w:lang w:val="de-CH"/>
        </w:rPr>
        <w:t xml:space="preserve">. </w:t>
      </w:r>
    </w:p>
    <w:p w14:paraId="48FACA1D" w14:textId="77777777" w:rsidR="0073666E" w:rsidRPr="0073666E" w:rsidRDefault="006A52DE" w:rsidP="006450F6">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19</w:t>
      </w:r>
      <w:r w:rsidR="006450F6">
        <w:t xml:space="preserve"> </w:t>
      </w:r>
    </w:p>
    <w:p w14:paraId="5828858A" w14:textId="77777777" w:rsidR="0073666E" w:rsidRPr="00824CF4" w:rsidRDefault="006450F6" w:rsidP="006450F6">
      <w:pPr>
        <w:pStyle w:val="SingleTxtG"/>
        <w:rPr>
          <w:iCs/>
          <w:lang w:val="de-CH"/>
        </w:rPr>
      </w:pPr>
      <w:r>
        <w:rPr>
          <w:lang w:val="de-CH"/>
        </w:rPr>
        <w:t>102.</w:t>
      </w:r>
      <w:r>
        <w:rPr>
          <w:lang w:val="de-CH"/>
        </w:rPr>
        <w:tab/>
      </w:r>
      <w:r w:rsidR="0073666E" w:rsidRPr="0073666E">
        <w:rPr>
          <w:lang w:val="de-CH"/>
        </w:rPr>
        <w:t xml:space="preserve">Il </w:t>
      </w:r>
      <w:proofErr w:type="spellStart"/>
      <w:r w:rsidR="0073666E" w:rsidRPr="0073666E">
        <w:rPr>
          <w:lang w:val="de-CH"/>
        </w:rPr>
        <w:t>n’existe</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de </w:t>
      </w:r>
      <w:proofErr w:type="spellStart"/>
      <w:r w:rsidR="0073666E" w:rsidRPr="0073666E">
        <w:rPr>
          <w:lang w:val="de-CH"/>
        </w:rPr>
        <w:t>statistiques</w:t>
      </w:r>
      <w:proofErr w:type="spellEnd"/>
      <w:r w:rsidR="0073666E" w:rsidRPr="0073666E">
        <w:rPr>
          <w:lang w:val="de-CH"/>
        </w:rPr>
        <w:t xml:space="preserve"> relatives au </w:t>
      </w:r>
      <w:proofErr w:type="spellStart"/>
      <w:r w:rsidR="0073666E" w:rsidRPr="0073666E">
        <w:rPr>
          <w:lang w:val="de-CH"/>
        </w:rPr>
        <w:t>taux</w:t>
      </w:r>
      <w:proofErr w:type="spellEnd"/>
      <w:r w:rsidR="0073666E" w:rsidRPr="0073666E">
        <w:rPr>
          <w:lang w:val="de-CH"/>
        </w:rPr>
        <w:t xml:space="preserve"> </w:t>
      </w:r>
      <w:proofErr w:type="spellStart"/>
      <w:r w:rsidR="0073666E" w:rsidRPr="0073666E">
        <w:rPr>
          <w:lang w:val="de-CH"/>
        </w:rPr>
        <w:t>d’occupation</w:t>
      </w:r>
      <w:proofErr w:type="spellEnd"/>
      <w:r w:rsidR="0073666E" w:rsidRPr="0073666E">
        <w:rPr>
          <w:lang w:val="de-CH"/>
        </w:rPr>
        <w:t xml:space="preserve"> de </w:t>
      </w:r>
      <w:proofErr w:type="spellStart"/>
      <w:r w:rsidR="0073666E" w:rsidRPr="0073666E">
        <w:rPr>
          <w:lang w:val="de-CH"/>
        </w:rPr>
        <w:t>chaque</w:t>
      </w:r>
      <w:proofErr w:type="spellEnd"/>
      <w:r w:rsidR="0073666E" w:rsidRPr="0073666E">
        <w:rPr>
          <w:lang w:val="de-CH"/>
        </w:rPr>
        <w:t xml:space="preserve"> </w:t>
      </w:r>
      <w:proofErr w:type="spellStart"/>
      <w:r w:rsidR="0073666E" w:rsidRPr="0073666E">
        <w:rPr>
          <w:lang w:val="de-CH"/>
        </w:rPr>
        <w:t>établissement</w:t>
      </w:r>
      <w:proofErr w:type="spellEnd"/>
      <w:r w:rsidR="0073666E" w:rsidRPr="0073666E">
        <w:rPr>
          <w:lang w:val="de-CH"/>
        </w:rPr>
        <w:t xml:space="preserve"> de </w:t>
      </w:r>
      <w:proofErr w:type="spellStart"/>
      <w:r w:rsidR="0073666E" w:rsidRPr="0073666E">
        <w:rPr>
          <w:lang w:val="de-CH"/>
        </w:rPr>
        <w:t>privation</w:t>
      </w:r>
      <w:proofErr w:type="spellEnd"/>
      <w:r w:rsidR="0073666E" w:rsidRPr="0073666E">
        <w:rPr>
          <w:lang w:val="de-CH"/>
        </w:rPr>
        <w:t xml:space="preserve"> de </w:t>
      </w:r>
      <w:proofErr w:type="spellStart"/>
      <w:r w:rsidR="0073666E" w:rsidRPr="0073666E">
        <w:rPr>
          <w:lang w:val="de-CH"/>
        </w:rPr>
        <w:t>liberté</w:t>
      </w:r>
      <w:proofErr w:type="spellEnd"/>
      <w:r w:rsidR="0073666E" w:rsidRPr="0073666E">
        <w:rPr>
          <w:lang w:val="de-CH"/>
        </w:rPr>
        <w:t xml:space="preserve">. En </w:t>
      </w:r>
      <w:proofErr w:type="spellStart"/>
      <w:r w:rsidR="0073666E" w:rsidRPr="0073666E">
        <w:rPr>
          <w:lang w:val="de-CH"/>
        </w:rPr>
        <w:t>revanche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statistique</w:t>
      </w:r>
      <w:proofErr w:type="spellEnd"/>
      <w:r w:rsidR="0073666E" w:rsidRPr="0073666E">
        <w:rPr>
          <w:lang w:val="de-CH"/>
        </w:rPr>
        <w:t xml:space="preserve"> du </w:t>
      </w:r>
      <w:proofErr w:type="spellStart"/>
      <w:r w:rsidR="0073666E" w:rsidRPr="0073666E">
        <w:rPr>
          <w:lang w:val="de-CH"/>
        </w:rPr>
        <w:t>taux</w:t>
      </w:r>
      <w:proofErr w:type="spellEnd"/>
      <w:r w:rsidR="0073666E" w:rsidRPr="0073666E">
        <w:rPr>
          <w:lang w:val="de-CH"/>
        </w:rPr>
        <w:t xml:space="preserve"> </w:t>
      </w:r>
      <w:proofErr w:type="spellStart"/>
      <w:r w:rsidR="0073666E" w:rsidRPr="0073666E">
        <w:rPr>
          <w:lang w:val="de-CH"/>
        </w:rPr>
        <w:t>d’occupation</w:t>
      </w:r>
      <w:proofErr w:type="spellEnd"/>
      <w:r w:rsidR="0073666E" w:rsidRPr="0073666E">
        <w:rPr>
          <w:lang w:val="de-CH"/>
        </w:rPr>
        <w:t xml:space="preserve"> par </w:t>
      </w:r>
      <w:proofErr w:type="spellStart"/>
      <w:r w:rsidR="0073666E" w:rsidRPr="0073666E">
        <w:rPr>
          <w:lang w:val="de-CH"/>
        </w:rPr>
        <w:t>concordat</w:t>
      </w:r>
      <w:proofErr w:type="spellEnd"/>
      <w:r w:rsidR="0073666E" w:rsidRPr="0073666E">
        <w:rPr>
          <w:lang w:val="de-CH"/>
        </w:rPr>
        <w:t xml:space="preserve"> </w:t>
      </w:r>
      <w:r w:rsidR="0073666E" w:rsidRPr="0073666E">
        <w:rPr>
          <w:lang w:val="de-CH"/>
        </w:rPr>
        <w:lastRenderedPageBreak/>
        <w:t>(</w:t>
      </w:r>
      <w:r w:rsidR="0073666E" w:rsidRPr="006450F6">
        <w:t>Concordat</w:t>
      </w:r>
      <w:r w:rsidR="0073666E" w:rsidRPr="0073666E">
        <w:rPr>
          <w:lang w:val="de-CH"/>
        </w:rPr>
        <w:t xml:space="preserve"> de la Suisse </w:t>
      </w:r>
      <w:proofErr w:type="spellStart"/>
      <w:r w:rsidR="0073666E" w:rsidRPr="0073666E">
        <w:rPr>
          <w:lang w:val="de-CH"/>
        </w:rPr>
        <w:t>centrale</w:t>
      </w:r>
      <w:proofErr w:type="spellEnd"/>
      <w:r w:rsidR="0073666E" w:rsidRPr="0073666E">
        <w:rPr>
          <w:lang w:val="de-CH"/>
        </w:rPr>
        <w:t xml:space="preserve"> et du Nord-Ouest [CSCNO], </w:t>
      </w:r>
      <w:proofErr w:type="spellStart"/>
      <w:r w:rsidR="0073666E" w:rsidRPr="0073666E">
        <w:rPr>
          <w:lang w:val="de-CH"/>
        </w:rPr>
        <w:t>Concordat</w:t>
      </w:r>
      <w:proofErr w:type="spellEnd"/>
      <w:r w:rsidR="0073666E" w:rsidRPr="0073666E">
        <w:rPr>
          <w:lang w:val="de-CH"/>
        </w:rPr>
        <w:t xml:space="preserve"> de la Suisse </w:t>
      </w:r>
      <w:proofErr w:type="spellStart"/>
      <w:r w:rsidR="0073666E" w:rsidRPr="0073666E">
        <w:rPr>
          <w:lang w:val="de-CH"/>
        </w:rPr>
        <w:t>orientale</w:t>
      </w:r>
      <w:proofErr w:type="spellEnd"/>
      <w:r w:rsidR="0073666E" w:rsidRPr="0073666E">
        <w:rPr>
          <w:lang w:val="de-CH"/>
        </w:rPr>
        <w:t xml:space="preserve"> [CSO] et </w:t>
      </w:r>
      <w:proofErr w:type="spellStart"/>
      <w:r w:rsidR="0073666E" w:rsidRPr="0073666E">
        <w:rPr>
          <w:lang w:val="de-CH"/>
        </w:rPr>
        <w:t>Concordat</w:t>
      </w:r>
      <w:proofErr w:type="spellEnd"/>
      <w:r w:rsidR="0073666E" w:rsidRPr="0073666E">
        <w:rPr>
          <w:lang w:val="de-CH"/>
        </w:rPr>
        <w:t xml:space="preserve"> </w:t>
      </w:r>
      <w:proofErr w:type="spellStart"/>
      <w:r w:rsidR="0073666E" w:rsidRPr="0073666E">
        <w:rPr>
          <w:lang w:val="de-CH"/>
        </w:rPr>
        <w:t>latin</w:t>
      </w:r>
      <w:proofErr w:type="spellEnd"/>
      <w:r w:rsidR="0073666E" w:rsidRPr="0073666E">
        <w:rPr>
          <w:lang w:val="de-CH"/>
        </w:rPr>
        <w:t xml:space="preserve"> [CL])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livrée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années</w:t>
      </w:r>
      <w:proofErr w:type="spellEnd"/>
      <w:r w:rsidR="0073666E" w:rsidRPr="0073666E">
        <w:rPr>
          <w:lang w:val="de-CH"/>
        </w:rPr>
        <w:t xml:space="preserve"> 2015, 2016 et 2017 (</w:t>
      </w:r>
      <w:proofErr w:type="spellStart"/>
      <w:r w:rsidR="0073666E" w:rsidRPr="0073666E">
        <w:rPr>
          <w:lang w:val="de-CH"/>
        </w:rPr>
        <w:t>état</w:t>
      </w:r>
      <w:proofErr w:type="spellEnd"/>
      <w:r w:rsidR="0073666E" w:rsidRPr="0073666E">
        <w:rPr>
          <w:lang w:val="de-CH"/>
        </w:rPr>
        <w:t xml:space="preserve"> de la </w:t>
      </w:r>
      <w:proofErr w:type="spellStart"/>
      <w:r w:rsidR="0073666E" w:rsidRPr="0073666E">
        <w:rPr>
          <w:lang w:val="de-CH"/>
        </w:rPr>
        <w:t>banque</w:t>
      </w:r>
      <w:proofErr w:type="spellEnd"/>
      <w:r w:rsidR="0073666E" w:rsidRPr="0073666E">
        <w:rPr>
          <w:lang w:val="de-CH"/>
        </w:rPr>
        <w:t xml:space="preserve"> de </w:t>
      </w:r>
      <w:proofErr w:type="spellStart"/>
      <w:r w:rsidR="0073666E" w:rsidRPr="0073666E">
        <w:rPr>
          <w:lang w:val="de-CH"/>
        </w:rPr>
        <w:t>données</w:t>
      </w:r>
      <w:proofErr w:type="spellEnd"/>
      <w:r w:rsidR="0073666E" w:rsidRPr="0073666E">
        <w:rPr>
          <w:lang w:val="de-CH"/>
        </w:rPr>
        <w:t xml:space="preserve"> </w:t>
      </w:r>
      <w:proofErr w:type="spellStart"/>
      <w:r w:rsidR="0073666E" w:rsidRPr="0073666E">
        <w:rPr>
          <w:lang w:val="de-CH"/>
        </w:rPr>
        <w:t>chaque</w:t>
      </w:r>
      <w:proofErr w:type="spellEnd"/>
      <w:r w:rsidR="0073666E" w:rsidRPr="0073666E">
        <w:rPr>
          <w:lang w:val="de-CH"/>
        </w:rPr>
        <w:t xml:space="preserve"> </w:t>
      </w:r>
      <w:proofErr w:type="spellStart"/>
      <w:r w:rsidR="0073666E" w:rsidRPr="0073666E">
        <w:rPr>
          <w:lang w:val="de-CH"/>
        </w:rPr>
        <w:t>année</w:t>
      </w:r>
      <w:proofErr w:type="spellEnd"/>
      <w:r w:rsidR="0073666E" w:rsidRPr="0073666E">
        <w:rPr>
          <w:lang w:val="de-CH"/>
        </w:rPr>
        <w:t xml:space="preserve"> en </w:t>
      </w:r>
      <w:proofErr w:type="spellStart"/>
      <w:r w:rsidR="0073666E" w:rsidRPr="0073666E">
        <w:rPr>
          <w:lang w:val="de-CH"/>
        </w:rPr>
        <w:t>novembre</w:t>
      </w:r>
      <w:proofErr w:type="spellEnd"/>
      <w:r w:rsidR="0073666E" w:rsidRPr="0073666E">
        <w:rPr>
          <w:lang w:val="de-CH"/>
        </w:rPr>
        <w:t xml:space="preserve">). Elle se </w:t>
      </w:r>
      <w:proofErr w:type="spellStart"/>
      <w:r w:rsidR="0073666E" w:rsidRPr="0073666E">
        <w:rPr>
          <w:lang w:val="de-CH"/>
        </w:rPr>
        <w:t>trouve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w:t>
      </w:r>
      <w:r w:rsidR="00EC4D19">
        <w:rPr>
          <w:lang w:val="de-CH"/>
        </w:rPr>
        <w:t>a</w:t>
      </w:r>
      <w:r w:rsidR="0073666E" w:rsidRPr="00527D6A">
        <w:rPr>
          <w:lang w:val="de-CH"/>
        </w:rPr>
        <w:t>nnexe</w:t>
      </w:r>
      <w:proofErr w:type="spellEnd"/>
      <w:r w:rsidR="0073666E" w:rsidRPr="0073666E">
        <w:rPr>
          <w:i/>
          <w:lang w:val="de-CH"/>
        </w:rPr>
        <w:t xml:space="preserve"> </w:t>
      </w:r>
      <w:r w:rsidR="0073666E" w:rsidRPr="00824CF4">
        <w:rPr>
          <w:iCs/>
          <w:lang w:val="de-CH"/>
        </w:rPr>
        <w:t xml:space="preserve">5. </w:t>
      </w:r>
    </w:p>
    <w:p w14:paraId="2597E929" w14:textId="77777777" w:rsidR="0073666E" w:rsidRPr="0073666E" w:rsidRDefault="006450F6" w:rsidP="006450F6">
      <w:pPr>
        <w:pStyle w:val="SingleTxtG"/>
        <w:rPr>
          <w:lang w:val="de-CH"/>
        </w:rPr>
      </w:pPr>
      <w:r>
        <w:rPr>
          <w:lang w:val="de-CH"/>
        </w:rPr>
        <w:t>103.</w:t>
      </w:r>
      <w:r>
        <w:rPr>
          <w:lang w:val="de-CH"/>
        </w:rPr>
        <w:tab/>
      </w:r>
      <w:r w:rsidR="0073666E" w:rsidRPr="0073666E">
        <w:rPr>
          <w:lang w:val="de-CH"/>
        </w:rPr>
        <w:t xml:space="preserve">En </w:t>
      </w:r>
      <w:proofErr w:type="spellStart"/>
      <w:r w:rsidR="0073666E" w:rsidRPr="0073666E">
        <w:rPr>
          <w:lang w:val="de-CH"/>
        </w:rPr>
        <w:t>résumé</w:t>
      </w:r>
      <w:proofErr w:type="spellEnd"/>
      <w:r w:rsidR="0073666E" w:rsidRPr="0073666E">
        <w:rPr>
          <w:lang w:val="de-CH"/>
        </w:rPr>
        <w:t xml:space="preserve">, au </w:t>
      </w:r>
      <w:proofErr w:type="spellStart"/>
      <w:r w:rsidR="0073666E" w:rsidRPr="0073666E">
        <w:rPr>
          <w:lang w:val="de-CH"/>
        </w:rPr>
        <w:t>niveau</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le </w:t>
      </w:r>
      <w:proofErr w:type="spellStart"/>
      <w:r w:rsidR="0073666E" w:rsidRPr="0073666E">
        <w:rPr>
          <w:lang w:val="de-CH"/>
        </w:rPr>
        <w:t>taux</w:t>
      </w:r>
      <w:proofErr w:type="spellEnd"/>
      <w:r w:rsidR="0073666E" w:rsidRPr="0073666E">
        <w:rPr>
          <w:lang w:val="de-CH"/>
        </w:rPr>
        <w:t xml:space="preserve"> </w:t>
      </w:r>
      <w:proofErr w:type="spellStart"/>
      <w:r w:rsidR="0073666E" w:rsidRPr="0073666E">
        <w:rPr>
          <w:lang w:val="de-CH"/>
        </w:rPr>
        <w:t>d’occupation</w:t>
      </w:r>
      <w:proofErr w:type="spellEnd"/>
      <w:r w:rsidR="0073666E" w:rsidRPr="0073666E">
        <w:rPr>
          <w:lang w:val="de-CH"/>
        </w:rPr>
        <w:t xml:space="preserve"> a </w:t>
      </w:r>
      <w:proofErr w:type="spellStart"/>
      <w:r w:rsidR="0073666E" w:rsidRPr="0073666E">
        <w:rPr>
          <w:lang w:val="de-CH"/>
        </w:rPr>
        <w:t>baissé</w:t>
      </w:r>
      <w:proofErr w:type="spellEnd"/>
      <w:r w:rsidR="0073666E" w:rsidRPr="0073666E">
        <w:rPr>
          <w:lang w:val="de-CH"/>
        </w:rPr>
        <w:t xml:space="preserve"> entre 2015 et 2016, avant de </w:t>
      </w:r>
      <w:proofErr w:type="spellStart"/>
      <w:r w:rsidR="0073666E" w:rsidRPr="0073666E">
        <w:rPr>
          <w:lang w:val="de-CH"/>
        </w:rPr>
        <w:t>connaître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légère</w:t>
      </w:r>
      <w:proofErr w:type="spellEnd"/>
      <w:r w:rsidR="0073666E" w:rsidRPr="0073666E">
        <w:rPr>
          <w:lang w:val="de-CH"/>
        </w:rPr>
        <w:t xml:space="preserve"> </w:t>
      </w:r>
      <w:proofErr w:type="spellStart"/>
      <w:r w:rsidR="0073666E" w:rsidRPr="0073666E">
        <w:rPr>
          <w:lang w:val="de-CH"/>
        </w:rPr>
        <w:t>hausse</w:t>
      </w:r>
      <w:proofErr w:type="spellEnd"/>
      <w:r w:rsidR="0073666E" w:rsidRPr="0073666E">
        <w:rPr>
          <w:lang w:val="de-CH"/>
        </w:rPr>
        <w:t xml:space="preserve"> en 2017. Le </w:t>
      </w:r>
      <w:proofErr w:type="spellStart"/>
      <w:r w:rsidR="0073666E" w:rsidRPr="0073666E">
        <w:rPr>
          <w:lang w:val="de-CH"/>
        </w:rPr>
        <w:t>taux</w:t>
      </w:r>
      <w:proofErr w:type="spellEnd"/>
      <w:r w:rsidR="0073666E" w:rsidRPr="0073666E">
        <w:rPr>
          <w:lang w:val="de-CH"/>
        </w:rPr>
        <w:t xml:space="preserve"> de 2017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cependant</w:t>
      </w:r>
      <w:proofErr w:type="spellEnd"/>
      <w:r w:rsidR="0073666E" w:rsidRPr="0073666E">
        <w:rPr>
          <w:lang w:val="de-CH"/>
        </w:rPr>
        <w:t xml:space="preserve"> plus </w:t>
      </w:r>
      <w:proofErr w:type="spellStart"/>
      <w:r w:rsidR="0073666E" w:rsidRPr="0073666E">
        <w:rPr>
          <w:lang w:val="de-CH"/>
        </w:rPr>
        <w:t>bas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celui</w:t>
      </w:r>
      <w:proofErr w:type="spellEnd"/>
      <w:r w:rsidR="0073666E" w:rsidRPr="0073666E">
        <w:rPr>
          <w:lang w:val="de-CH"/>
        </w:rPr>
        <w:t xml:space="preserve"> de 2015. La </w:t>
      </w:r>
      <w:proofErr w:type="spellStart"/>
      <w:r w:rsidR="0073666E" w:rsidRPr="0073666E">
        <w:rPr>
          <w:lang w:val="de-CH"/>
        </w:rPr>
        <w:t>même</w:t>
      </w:r>
      <w:proofErr w:type="spellEnd"/>
      <w:r w:rsidR="0073666E" w:rsidRPr="0073666E">
        <w:rPr>
          <w:lang w:val="de-CH"/>
        </w:rPr>
        <w:t xml:space="preserve"> </w:t>
      </w:r>
      <w:proofErr w:type="spellStart"/>
      <w:r w:rsidR="0073666E" w:rsidRPr="0073666E">
        <w:rPr>
          <w:lang w:val="de-CH"/>
        </w:rPr>
        <w:t>conclusion</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faite</w:t>
      </w:r>
      <w:proofErr w:type="spellEnd"/>
      <w:r w:rsidR="0073666E" w:rsidRPr="0073666E">
        <w:rPr>
          <w:lang w:val="de-CH"/>
        </w:rPr>
        <w:t xml:space="preserve"> à </w:t>
      </w:r>
      <w:proofErr w:type="spellStart"/>
      <w:r w:rsidR="0073666E" w:rsidRPr="0073666E">
        <w:rPr>
          <w:lang w:val="de-CH"/>
        </w:rPr>
        <w:t>l’échelle</w:t>
      </w:r>
      <w:proofErr w:type="spellEnd"/>
      <w:r w:rsidR="0073666E" w:rsidRPr="0073666E">
        <w:rPr>
          <w:lang w:val="de-CH"/>
        </w:rPr>
        <w:t xml:space="preserve"> du CL. Au sein de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dernier</w:t>
      </w:r>
      <w:proofErr w:type="spellEnd"/>
      <w:r w:rsidR="0073666E" w:rsidRPr="0073666E">
        <w:rPr>
          <w:lang w:val="de-CH"/>
        </w:rPr>
        <w:t xml:space="preserve"> </w:t>
      </w:r>
      <w:proofErr w:type="spellStart"/>
      <w:r w:rsidR="0073666E" w:rsidRPr="0073666E">
        <w:rPr>
          <w:lang w:val="de-CH"/>
        </w:rPr>
        <w:t>Concordat</w:t>
      </w:r>
      <w:proofErr w:type="spellEnd"/>
      <w:r w:rsidR="0073666E" w:rsidRPr="0073666E">
        <w:rPr>
          <w:lang w:val="de-CH"/>
        </w:rPr>
        <w:t xml:space="preserve">, la </w:t>
      </w:r>
      <w:proofErr w:type="spellStart"/>
      <w:r w:rsidR="0073666E" w:rsidRPr="0073666E">
        <w:rPr>
          <w:lang w:val="de-CH"/>
        </w:rPr>
        <w:t>surpopulation</w:t>
      </w:r>
      <w:proofErr w:type="spellEnd"/>
      <w:r w:rsidR="0073666E" w:rsidRPr="0073666E">
        <w:rPr>
          <w:lang w:val="de-CH"/>
        </w:rPr>
        <w:t xml:space="preserve"> </w:t>
      </w:r>
      <w:proofErr w:type="spellStart"/>
      <w:r w:rsidR="0073666E" w:rsidRPr="0073666E">
        <w:rPr>
          <w:lang w:val="de-CH"/>
        </w:rPr>
        <w:t>carcérale</w:t>
      </w:r>
      <w:proofErr w:type="spellEnd"/>
      <w:r w:rsidR="0073666E" w:rsidRPr="0073666E">
        <w:rPr>
          <w:lang w:val="de-CH"/>
        </w:rPr>
        <w:t xml:space="preserve"> </w:t>
      </w:r>
      <w:proofErr w:type="spellStart"/>
      <w:r w:rsidR="0073666E" w:rsidRPr="0073666E">
        <w:rPr>
          <w:lang w:val="de-CH"/>
        </w:rPr>
        <w:t>existe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de VD et GE, </w:t>
      </w:r>
      <w:proofErr w:type="spellStart"/>
      <w:r w:rsidR="0073666E" w:rsidRPr="0073666E">
        <w:rPr>
          <w:lang w:val="de-CH"/>
        </w:rPr>
        <w:t>alors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NE, JU, FR, VS et TI </w:t>
      </w:r>
      <w:proofErr w:type="spellStart"/>
      <w:r w:rsidR="0073666E" w:rsidRPr="0073666E">
        <w:rPr>
          <w:lang w:val="de-CH"/>
        </w:rPr>
        <w:t>connaissent</w:t>
      </w:r>
      <w:proofErr w:type="spellEnd"/>
      <w:r w:rsidR="0073666E" w:rsidRPr="0073666E">
        <w:rPr>
          <w:lang w:val="de-CH"/>
        </w:rPr>
        <w:t xml:space="preserve"> des </w:t>
      </w:r>
      <w:proofErr w:type="spellStart"/>
      <w:r w:rsidR="0073666E" w:rsidRPr="0073666E">
        <w:rPr>
          <w:lang w:val="de-CH"/>
        </w:rPr>
        <w:t>taux</w:t>
      </w:r>
      <w:proofErr w:type="spellEnd"/>
      <w:r w:rsidR="0073666E" w:rsidRPr="0073666E">
        <w:rPr>
          <w:lang w:val="de-CH"/>
        </w:rPr>
        <w:t xml:space="preserve"> </w:t>
      </w:r>
      <w:proofErr w:type="spellStart"/>
      <w:r w:rsidR="0073666E" w:rsidRPr="0073666E">
        <w:rPr>
          <w:lang w:val="de-CH"/>
        </w:rPr>
        <w:t>beaucoup</w:t>
      </w:r>
      <w:proofErr w:type="spellEnd"/>
      <w:r w:rsidR="0073666E" w:rsidRPr="0073666E">
        <w:rPr>
          <w:lang w:val="de-CH"/>
        </w:rPr>
        <w:t xml:space="preserve"> plus </w:t>
      </w:r>
      <w:proofErr w:type="spellStart"/>
      <w:r w:rsidR="0073666E" w:rsidRPr="0073666E">
        <w:rPr>
          <w:lang w:val="de-CH"/>
        </w:rPr>
        <w:t>faibles</w:t>
      </w:r>
      <w:proofErr w:type="spellEnd"/>
      <w:r w:rsidR="0073666E" w:rsidRPr="0073666E">
        <w:rPr>
          <w:lang w:val="de-CH"/>
        </w:rPr>
        <w:t xml:space="preserve">. Au </w:t>
      </w:r>
      <w:proofErr w:type="spellStart"/>
      <w:r w:rsidR="0073666E" w:rsidRPr="0073666E">
        <w:rPr>
          <w:lang w:val="de-CH"/>
        </w:rPr>
        <w:t>niveau</w:t>
      </w:r>
      <w:proofErr w:type="spellEnd"/>
      <w:r w:rsidR="0073666E" w:rsidRPr="0073666E">
        <w:rPr>
          <w:lang w:val="de-CH"/>
        </w:rPr>
        <w:t xml:space="preserve"> du CSO, le </w:t>
      </w:r>
      <w:proofErr w:type="spellStart"/>
      <w:r w:rsidR="0073666E" w:rsidRPr="0073666E">
        <w:rPr>
          <w:lang w:val="de-CH"/>
        </w:rPr>
        <w:t>taux</w:t>
      </w:r>
      <w:proofErr w:type="spellEnd"/>
      <w:r w:rsidR="0073666E" w:rsidRPr="0073666E">
        <w:rPr>
          <w:lang w:val="de-CH"/>
        </w:rPr>
        <w:t xml:space="preserve"> </w:t>
      </w:r>
      <w:proofErr w:type="spellStart"/>
      <w:r w:rsidR="0073666E" w:rsidRPr="0073666E">
        <w:rPr>
          <w:lang w:val="de-CH"/>
        </w:rPr>
        <w:t>d’occupation</w:t>
      </w:r>
      <w:proofErr w:type="spellEnd"/>
      <w:r w:rsidR="0073666E" w:rsidRPr="0073666E">
        <w:rPr>
          <w:lang w:val="de-CH"/>
        </w:rPr>
        <w:t xml:space="preserve"> a </w:t>
      </w:r>
      <w:proofErr w:type="spellStart"/>
      <w:r w:rsidR="0073666E" w:rsidRPr="0073666E">
        <w:rPr>
          <w:lang w:val="de-CH"/>
        </w:rPr>
        <w:t>continuellement</w:t>
      </w:r>
      <w:proofErr w:type="spellEnd"/>
      <w:r w:rsidR="0073666E" w:rsidRPr="0073666E">
        <w:rPr>
          <w:lang w:val="de-CH"/>
        </w:rPr>
        <w:t xml:space="preserve"> </w:t>
      </w:r>
      <w:proofErr w:type="spellStart"/>
      <w:r w:rsidR="0073666E" w:rsidRPr="0073666E">
        <w:rPr>
          <w:lang w:val="de-CH"/>
        </w:rPr>
        <w:t>baissé</w:t>
      </w:r>
      <w:proofErr w:type="spellEnd"/>
      <w:r w:rsidR="0073666E" w:rsidRPr="0073666E">
        <w:rPr>
          <w:lang w:val="de-CH"/>
        </w:rPr>
        <w:t xml:space="preserve">. Il </w:t>
      </w:r>
      <w:proofErr w:type="spellStart"/>
      <w:r w:rsidR="0073666E" w:rsidRPr="0073666E">
        <w:rPr>
          <w:lang w:val="de-CH"/>
        </w:rPr>
        <w:t>est</w:t>
      </w:r>
      <w:proofErr w:type="spellEnd"/>
      <w:r w:rsidR="0073666E" w:rsidRPr="0073666E">
        <w:rPr>
          <w:lang w:val="de-CH"/>
        </w:rPr>
        <w:t xml:space="preserve"> à </w:t>
      </w:r>
      <w:proofErr w:type="spellStart"/>
      <w:r w:rsidR="0073666E" w:rsidRPr="0073666E">
        <w:rPr>
          <w:lang w:val="de-CH"/>
        </w:rPr>
        <w:t>noter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taux</w:t>
      </w:r>
      <w:proofErr w:type="spellEnd"/>
      <w:r w:rsidR="0073666E" w:rsidRPr="0073666E">
        <w:rPr>
          <w:lang w:val="de-CH"/>
        </w:rPr>
        <w:t xml:space="preserve"> </w:t>
      </w:r>
      <w:proofErr w:type="spellStart"/>
      <w:r w:rsidR="0073666E" w:rsidRPr="0073666E">
        <w:rPr>
          <w:lang w:val="de-CH"/>
        </w:rPr>
        <w:t>d’occupation</w:t>
      </w:r>
      <w:proofErr w:type="spellEnd"/>
      <w:r w:rsidR="0073666E" w:rsidRPr="0073666E">
        <w:rPr>
          <w:lang w:val="de-CH"/>
        </w:rPr>
        <w:t xml:space="preserve"> de 2017 </w:t>
      </w:r>
      <w:proofErr w:type="spellStart"/>
      <w:r w:rsidR="0073666E" w:rsidRPr="0073666E">
        <w:rPr>
          <w:lang w:val="de-CH"/>
        </w:rPr>
        <w:t>sont</w:t>
      </w:r>
      <w:proofErr w:type="spellEnd"/>
      <w:r w:rsidR="0073666E" w:rsidRPr="0073666E">
        <w:rPr>
          <w:lang w:val="de-CH"/>
        </w:rPr>
        <w:t xml:space="preserve"> plus </w:t>
      </w:r>
      <w:proofErr w:type="spellStart"/>
      <w:r w:rsidR="0073666E" w:rsidRPr="0073666E">
        <w:rPr>
          <w:lang w:val="de-CH"/>
        </w:rPr>
        <w:t>bas</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ceux</w:t>
      </w:r>
      <w:proofErr w:type="spellEnd"/>
      <w:r w:rsidR="0073666E" w:rsidRPr="0073666E">
        <w:rPr>
          <w:lang w:val="de-CH"/>
        </w:rPr>
        <w:t xml:space="preserve"> de 2015. </w:t>
      </w:r>
    </w:p>
    <w:p w14:paraId="4FD87E32" w14:textId="77777777" w:rsidR="0073666E" w:rsidRPr="0073666E" w:rsidRDefault="006450F6" w:rsidP="006450F6">
      <w:pPr>
        <w:pStyle w:val="SingleTxtG"/>
      </w:pPr>
      <w:r>
        <w:t>104.</w:t>
      </w:r>
      <w:r>
        <w:tab/>
      </w:r>
      <w:r w:rsidR="0073666E" w:rsidRPr="0073666E">
        <w:t xml:space="preserve">Concernant les mesures prises ou envisagées pour réduire la surpopulation carcérale à </w:t>
      </w:r>
      <w:r w:rsidR="0073666E" w:rsidRPr="006450F6">
        <w:t>Champ</w:t>
      </w:r>
      <w:r w:rsidR="0073666E" w:rsidRPr="0073666E">
        <w:t xml:space="preserve">-Dollon (GE), 100 places supplémentaires pour l’exécution des peines ont été construites à La </w:t>
      </w:r>
      <w:proofErr w:type="spellStart"/>
      <w:r w:rsidR="0073666E" w:rsidRPr="0073666E">
        <w:t>Brenaz</w:t>
      </w:r>
      <w:proofErr w:type="spellEnd"/>
      <w:r w:rsidR="0073666E" w:rsidRPr="0073666E">
        <w:t xml:space="preserve"> (GE) et mises en service au printemps 2016. De ce fait, 100 personnes en exécution de peine à Champ-Dollon (GE) ont pu être transférées à La </w:t>
      </w:r>
      <w:proofErr w:type="spellStart"/>
      <w:r w:rsidR="0073666E" w:rsidRPr="0073666E">
        <w:t>Brenaz</w:t>
      </w:r>
      <w:proofErr w:type="spellEnd"/>
      <w:r w:rsidR="0073666E" w:rsidRPr="0073666E">
        <w:t xml:space="preserve"> (GE).</w:t>
      </w:r>
    </w:p>
    <w:p w14:paraId="3F6E15C3" w14:textId="77777777" w:rsidR="0073666E" w:rsidRPr="0073666E" w:rsidRDefault="006450F6" w:rsidP="006450F6">
      <w:pPr>
        <w:pStyle w:val="SingleTxtG"/>
      </w:pPr>
      <w:r>
        <w:t>105.</w:t>
      </w:r>
      <w:r>
        <w:tab/>
      </w:r>
      <w:r w:rsidR="0073666E" w:rsidRPr="0073666E">
        <w:t>La construction des Dardelles (GE), dès 2020, et sa mise en service attendue en 2022 permettra d’accueillir 450 détenus en exécution de peine. Cette construction permettra d’affecter l’ensemble des 398 places de Champ-Dollon (GE) à la détention avant jugement (sur les 625 détenus au 31 décembre 2017, 235 étaient en exécution de peine).</w:t>
      </w:r>
      <w:r w:rsidR="004C5A95">
        <w:t xml:space="preserve"> </w:t>
      </w:r>
      <w:r w:rsidR="0073666E" w:rsidRPr="0073666E">
        <w:t>Cette phase rendra, en outre, possible d’indispensables rénovations et transformations à Champ-Dollon (GE).</w:t>
      </w:r>
      <w:r w:rsidR="004C5A95">
        <w:t xml:space="preserve"> </w:t>
      </w:r>
      <w:r w:rsidR="0073666E" w:rsidRPr="0073666E">
        <w:t xml:space="preserve">Les 160 détenus en exécution de peine à La </w:t>
      </w:r>
      <w:proofErr w:type="spellStart"/>
      <w:r w:rsidR="0073666E" w:rsidRPr="0073666E">
        <w:t>Brenaz</w:t>
      </w:r>
      <w:proofErr w:type="spellEnd"/>
      <w:r w:rsidR="0073666E" w:rsidRPr="0073666E">
        <w:t xml:space="preserve"> (GE) (168 places) seront également placés par la suite aux Dardelles (GE) et La </w:t>
      </w:r>
      <w:proofErr w:type="spellStart"/>
      <w:r w:rsidR="0073666E" w:rsidRPr="0073666E">
        <w:t>Brenaz</w:t>
      </w:r>
      <w:proofErr w:type="spellEnd"/>
      <w:r w:rsidR="0073666E" w:rsidRPr="0073666E">
        <w:t xml:space="preserve"> (GE) sera affectée à la détention administrative.</w:t>
      </w:r>
    </w:p>
    <w:p w14:paraId="7D45AC42" w14:textId="77777777" w:rsidR="0073666E" w:rsidRPr="0073666E" w:rsidRDefault="006450F6" w:rsidP="006450F6">
      <w:pPr>
        <w:pStyle w:val="SingleTxtG"/>
        <w:rPr>
          <w:lang w:val="de-CH"/>
        </w:rPr>
      </w:pPr>
      <w:r>
        <w:rPr>
          <w:lang w:val="de-CH"/>
        </w:rPr>
        <w:t>106.</w:t>
      </w:r>
      <w:r>
        <w:rPr>
          <w:lang w:val="de-CH"/>
        </w:rPr>
        <w:tab/>
      </w:r>
      <w:r w:rsidR="0073666E" w:rsidRPr="0073666E">
        <w:rPr>
          <w:lang w:val="de-CH"/>
        </w:rPr>
        <w:t xml:space="preserve">A </w:t>
      </w:r>
      <w:proofErr w:type="spellStart"/>
      <w:r w:rsidR="0073666E" w:rsidRPr="0073666E">
        <w:rPr>
          <w:lang w:val="de-CH"/>
        </w:rPr>
        <w:t>propos</w:t>
      </w:r>
      <w:proofErr w:type="spellEnd"/>
      <w:r w:rsidR="0073666E" w:rsidRPr="0073666E">
        <w:rPr>
          <w:lang w:val="de-CH"/>
        </w:rPr>
        <w:t xml:space="preserve"> de la </w:t>
      </w:r>
      <w:proofErr w:type="spellStart"/>
      <w:r w:rsidR="0073666E" w:rsidRPr="0073666E">
        <w:rPr>
          <w:lang w:val="de-CH"/>
        </w:rPr>
        <w:t>prise</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de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souffrant</w:t>
      </w:r>
      <w:proofErr w:type="spellEnd"/>
      <w:r w:rsidR="0073666E" w:rsidRPr="0073666E">
        <w:rPr>
          <w:lang w:val="de-CH"/>
        </w:rPr>
        <w:t xml:space="preserve"> de </w:t>
      </w:r>
      <w:proofErr w:type="spellStart"/>
      <w:r w:rsidR="0073666E" w:rsidRPr="0073666E">
        <w:rPr>
          <w:lang w:val="de-CH"/>
        </w:rPr>
        <w:t>graves</w:t>
      </w:r>
      <w:proofErr w:type="spellEnd"/>
      <w:r w:rsidR="0073666E" w:rsidRPr="0073666E">
        <w:rPr>
          <w:lang w:val="de-CH"/>
        </w:rPr>
        <w:t xml:space="preserve"> </w:t>
      </w:r>
      <w:proofErr w:type="spellStart"/>
      <w:r w:rsidR="0073666E" w:rsidRPr="0073666E">
        <w:rPr>
          <w:lang w:val="de-CH"/>
        </w:rPr>
        <w:t>troubles</w:t>
      </w:r>
      <w:proofErr w:type="spellEnd"/>
      <w:r w:rsidR="0073666E" w:rsidRPr="0073666E">
        <w:rPr>
          <w:lang w:val="de-CH"/>
        </w:rPr>
        <w:t xml:space="preserve"> </w:t>
      </w:r>
      <w:proofErr w:type="spellStart"/>
      <w:r w:rsidR="0073666E" w:rsidRPr="0073666E">
        <w:rPr>
          <w:lang w:val="de-CH"/>
        </w:rPr>
        <w:t>mentaux</w:t>
      </w:r>
      <w:proofErr w:type="spellEnd"/>
      <w:r w:rsidR="0073666E" w:rsidRPr="0073666E">
        <w:rPr>
          <w:lang w:val="de-CH"/>
        </w:rPr>
        <w:t xml:space="preserve">, </w:t>
      </w:r>
      <w:proofErr w:type="spellStart"/>
      <w:r w:rsidR="0073666E" w:rsidRPr="0073666E">
        <w:rPr>
          <w:lang w:val="de-CH"/>
        </w:rPr>
        <w:t>selon</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59, al. 1, CP, le </w:t>
      </w:r>
      <w:proofErr w:type="spellStart"/>
      <w:r w:rsidR="0073666E" w:rsidRPr="0073666E">
        <w:rPr>
          <w:lang w:val="de-CH"/>
        </w:rPr>
        <w:t>juge</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ordonner</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traitement</w:t>
      </w:r>
      <w:proofErr w:type="spellEnd"/>
      <w:r w:rsidR="0073666E" w:rsidRPr="0073666E">
        <w:rPr>
          <w:lang w:val="de-CH"/>
        </w:rPr>
        <w:t xml:space="preserve"> </w:t>
      </w:r>
      <w:proofErr w:type="spellStart"/>
      <w:r w:rsidR="0073666E" w:rsidRPr="0073666E">
        <w:rPr>
          <w:lang w:val="de-CH"/>
        </w:rPr>
        <w:t>institutionnel</w:t>
      </w:r>
      <w:proofErr w:type="spellEnd"/>
      <w:r w:rsidR="0073666E" w:rsidRPr="0073666E">
        <w:rPr>
          <w:lang w:val="de-CH"/>
        </w:rPr>
        <w:t xml:space="preserve"> </w:t>
      </w:r>
      <w:proofErr w:type="spellStart"/>
      <w:r w:rsidR="0073666E" w:rsidRPr="0073666E">
        <w:rPr>
          <w:lang w:val="de-CH"/>
        </w:rPr>
        <w:t>lorsque</w:t>
      </w:r>
      <w:proofErr w:type="spellEnd"/>
      <w:r w:rsidR="0073666E" w:rsidRPr="0073666E">
        <w:rPr>
          <w:lang w:val="de-CH"/>
        </w:rPr>
        <w:t xml:space="preserve"> </w:t>
      </w:r>
      <w:proofErr w:type="spellStart"/>
      <w:r w:rsidR="0073666E" w:rsidRPr="0073666E">
        <w:rPr>
          <w:lang w:val="de-CH"/>
        </w:rPr>
        <w:t>l’auteur</w:t>
      </w:r>
      <w:proofErr w:type="spellEnd"/>
      <w:r w:rsidR="0073666E" w:rsidRPr="0073666E">
        <w:rPr>
          <w:lang w:val="de-CH"/>
        </w:rPr>
        <w:t xml:space="preserve"> </w:t>
      </w:r>
      <w:proofErr w:type="spellStart"/>
      <w:r w:rsidR="0073666E" w:rsidRPr="0073666E">
        <w:rPr>
          <w:lang w:val="de-CH"/>
        </w:rPr>
        <w:t>souffre</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grave </w:t>
      </w:r>
      <w:proofErr w:type="spellStart"/>
      <w:r w:rsidR="0073666E" w:rsidRPr="0073666E">
        <w:rPr>
          <w:lang w:val="de-CH"/>
        </w:rPr>
        <w:t>trouble</w:t>
      </w:r>
      <w:proofErr w:type="spellEnd"/>
      <w:r w:rsidR="0073666E" w:rsidRPr="0073666E">
        <w:rPr>
          <w:lang w:val="de-CH"/>
        </w:rPr>
        <w:t xml:space="preserve"> mental, </w:t>
      </w:r>
      <w:proofErr w:type="spellStart"/>
      <w:r w:rsidR="0073666E" w:rsidRPr="0073666E">
        <w:rPr>
          <w:lang w:val="de-CH"/>
        </w:rPr>
        <w:t>qu’il</w:t>
      </w:r>
      <w:proofErr w:type="spellEnd"/>
      <w:r w:rsidR="0073666E" w:rsidRPr="0073666E">
        <w:rPr>
          <w:lang w:val="de-CH"/>
        </w:rPr>
        <w:t xml:space="preserve"> a </w:t>
      </w:r>
      <w:proofErr w:type="spellStart"/>
      <w:r w:rsidR="0073666E" w:rsidRPr="0073666E">
        <w:rPr>
          <w:lang w:val="de-CH"/>
        </w:rPr>
        <w:t>commis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crime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délit</w:t>
      </w:r>
      <w:proofErr w:type="spellEnd"/>
      <w:r w:rsidR="0073666E" w:rsidRPr="0073666E">
        <w:rPr>
          <w:lang w:val="de-CH"/>
        </w:rPr>
        <w:t xml:space="preserve"> en </w:t>
      </w:r>
      <w:proofErr w:type="spellStart"/>
      <w:r w:rsidR="0073666E" w:rsidRPr="0073666E">
        <w:rPr>
          <w:lang w:val="de-CH"/>
        </w:rPr>
        <w:t>relation</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trouble</w:t>
      </w:r>
      <w:proofErr w:type="spellEnd"/>
      <w:r w:rsidR="0073666E" w:rsidRPr="0073666E">
        <w:rPr>
          <w:lang w:val="de-CH"/>
        </w:rPr>
        <w:t xml:space="preserve">, et </w:t>
      </w:r>
      <w:proofErr w:type="spellStart"/>
      <w:r w:rsidR="0073666E" w:rsidRPr="0073666E">
        <w:rPr>
          <w:lang w:val="de-CH"/>
        </w:rPr>
        <w:t>qu’il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à </w:t>
      </w:r>
      <w:proofErr w:type="spellStart"/>
      <w:r w:rsidR="0073666E" w:rsidRPr="0073666E">
        <w:rPr>
          <w:lang w:val="de-CH"/>
        </w:rPr>
        <w:t>prévoir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mesure</w:t>
      </w:r>
      <w:proofErr w:type="spellEnd"/>
      <w:r w:rsidR="0073666E" w:rsidRPr="0073666E">
        <w:rPr>
          <w:lang w:val="de-CH"/>
        </w:rPr>
        <w:t xml:space="preserve"> le </w:t>
      </w:r>
      <w:proofErr w:type="spellStart"/>
      <w:r w:rsidR="0073666E" w:rsidRPr="0073666E">
        <w:rPr>
          <w:lang w:val="de-CH"/>
        </w:rPr>
        <w:t>détournera</w:t>
      </w:r>
      <w:proofErr w:type="spellEnd"/>
      <w:r w:rsidR="0073666E" w:rsidRPr="0073666E">
        <w:rPr>
          <w:lang w:val="de-CH"/>
        </w:rPr>
        <w:t xml:space="preserve"> de </w:t>
      </w:r>
      <w:proofErr w:type="spellStart"/>
      <w:r w:rsidR="0073666E" w:rsidRPr="0073666E">
        <w:rPr>
          <w:lang w:val="de-CH"/>
        </w:rPr>
        <w:t>nouvelles</w:t>
      </w:r>
      <w:proofErr w:type="spellEnd"/>
      <w:r w:rsidR="0073666E" w:rsidRPr="0073666E">
        <w:rPr>
          <w:lang w:val="de-CH"/>
        </w:rPr>
        <w:t xml:space="preserve"> </w:t>
      </w:r>
      <w:proofErr w:type="spellStart"/>
      <w:r w:rsidR="0073666E" w:rsidRPr="0073666E">
        <w:rPr>
          <w:lang w:val="de-CH"/>
        </w:rPr>
        <w:t>infractions</w:t>
      </w:r>
      <w:proofErr w:type="spellEnd"/>
      <w:r w:rsidR="0073666E" w:rsidRPr="0073666E">
        <w:rPr>
          <w:lang w:val="de-CH"/>
        </w:rPr>
        <w:t xml:space="preserve"> en </w:t>
      </w:r>
      <w:proofErr w:type="spellStart"/>
      <w:r w:rsidR="0073666E" w:rsidRPr="0073666E">
        <w:rPr>
          <w:lang w:val="de-CH"/>
        </w:rPr>
        <w:t>relation</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trouble</w:t>
      </w:r>
      <w:proofErr w:type="spellEnd"/>
      <w:r w:rsidR="0073666E" w:rsidRPr="0073666E">
        <w:rPr>
          <w:lang w:val="de-CH"/>
        </w:rPr>
        <w:t xml:space="preserve">. Le </w:t>
      </w:r>
      <w:proofErr w:type="spellStart"/>
      <w:r w:rsidR="0073666E" w:rsidRPr="0073666E">
        <w:rPr>
          <w:lang w:val="de-CH"/>
        </w:rPr>
        <w:t>traitement</w:t>
      </w:r>
      <w:proofErr w:type="spellEnd"/>
      <w:r w:rsidR="0073666E" w:rsidRPr="0073666E">
        <w:rPr>
          <w:lang w:val="de-CH"/>
        </w:rPr>
        <w:t xml:space="preserve"> </w:t>
      </w:r>
      <w:proofErr w:type="spellStart"/>
      <w:r w:rsidR="0073666E" w:rsidRPr="0073666E">
        <w:rPr>
          <w:lang w:val="de-CH"/>
        </w:rPr>
        <w:t>institutionnel</w:t>
      </w:r>
      <w:proofErr w:type="spellEnd"/>
      <w:r w:rsidR="0073666E" w:rsidRPr="0073666E">
        <w:rPr>
          <w:lang w:val="de-CH"/>
        </w:rPr>
        <w:t xml:space="preserve"> </w:t>
      </w:r>
      <w:proofErr w:type="spellStart"/>
      <w:r w:rsidR="0073666E" w:rsidRPr="0073666E">
        <w:rPr>
          <w:lang w:val="de-CH"/>
        </w:rPr>
        <w:t>s’effectue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établissement</w:t>
      </w:r>
      <w:proofErr w:type="spellEnd"/>
      <w:r w:rsidR="0073666E" w:rsidRPr="0073666E">
        <w:rPr>
          <w:lang w:val="de-CH"/>
        </w:rPr>
        <w:t xml:space="preserve"> </w:t>
      </w:r>
      <w:proofErr w:type="spellStart"/>
      <w:r w:rsidR="0073666E" w:rsidRPr="0073666E">
        <w:rPr>
          <w:lang w:val="de-CH"/>
        </w:rPr>
        <w:t>psychiatrique</w:t>
      </w:r>
      <w:proofErr w:type="spellEnd"/>
      <w:r w:rsidR="0073666E" w:rsidRPr="0073666E">
        <w:rPr>
          <w:lang w:val="de-CH"/>
        </w:rPr>
        <w:t xml:space="preserve"> </w:t>
      </w:r>
      <w:proofErr w:type="spellStart"/>
      <w:r w:rsidR="0073666E" w:rsidRPr="0073666E">
        <w:rPr>
          <w:lang w:val="de-CH"/>
        </w:rPr>
        <w:t>approprié</w:t>
      </w:r>
      <w:proofErr w:type="spellEnd"/>
      <w:r w:rsidR="0073666E" w:rsidRPr="0073666E">
        <w:rPr>
          <w:lang w:val="de-CH"/>
        </w:rPr>
        <w:t xml:space="preserve">, </w:t>
      </w:r>
      <w:proofErr w:type="spellStart"/>
      <w:r w:rsidR="0073666E" w:rsidRPr="0073666E">
        <w:rPr>
          <w:lang w:val="de-CH"/>
        </w:rPr>
        <w:t>comme</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hôpital</w:t>
      </w:r>
      <w:proofErr w:type="spellEnd"/>
      <w:r w:rsidR="0073666E" w:rsidRPr="0073666E">
        <w:rPr>
          <w:lang w:val="de-CH"/>
        </w:rPr>
        <w:t xml:space="preserve"> </w:t>
      </w:r>
      <w:proofErr w:type="spellStart"/>
      <w:r w:rsidR="0073666E" w:rsidRPr="0073666E">
        <w:rPr>
          <w:lang w:val="de-CH"/>
        </w:rPr>
        <w:t>psychiatrique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établissement</w:t>
      </w:r>
      <w:proofErr w:type="spellEnd"/>
      <w:r w:rsidR="0073666E" w:rsidRPr="0073666E">
        <w:rPr>
          <w:lang w:val="de-CH"/>
        </w:rPr>
        <w:t xml:space="preserve"> </w:t>
      </w:r>
      <w:proofErr w:type="spellStart"/>
      <w:r w:rsidR="0073666E" w:rsidRPr="0073666E">
        <w:rPr>
          <w:lang w:val="de-CH"/>
        </w:rPr>
        <w:t>d’exécution</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(art. 59, al. 2, CP). En </w:t>
      </w:r>
      <w:proofErr w:type="spellStart"/>
      <w:r w:rsidR="0073666E" w:rsidRPr="0073666E">
        <w:rPr>
          <w:lang w:val="de-CH"/>
        </w:rPr>
        <w:t>cas</w:t>
      </w:r>
      <w:proofErr w:type="spellEnd"/>
      <w:r w:rsidR="0073666E" w:rsidRPr="0073666E">
        <w:rPr>
          <w:lang w:val="de-CH"/>
        </w:rPr>
        <w:t xml:space="preserve"> de </w:t>
      </w:r>
      <w:proofErr w:type="spellStart"/>
      <w:r w:rsidR="0073666E" w:rsidRPr="0073666E">
        <w:rPr>
          <w:lang w:val="de-CH"/>
        </w:rPr>
        <w:t>risque</w:t>
      </w:r>
      <w:proofErr w:type="spellEnd"/>
      <w:r w:rsidR="0073666E" w:rsidRPr="0073666E">
        <w:rPr>
          <w:lang w:val="de-CH"/>
        </w:rPr>
        <w:t xml:space="preserve"> de </w:t>
      </w:r>
      <w:proofErr w:type="spellStart"/>
      <w:r w:rsidR="0073666E" w:rsidRPr="0073666E">
        <w:rPr>
          <w:lang w:val="de-CH"/>
        </w:rPr>
        <w:t>fuite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récidive</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s’effectuer</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établissement</w:t>
      </w:r>
      <w:proofErr w:type="spellEnd"/>
      <w:r w:rsidR="0073666E" w:rsidRPr="0073666E">
        <w:rPr>
          <w:lang w:val="de-CH"/>
        </w:rPr>
        <w:t xml:space="preserve"> </w:t>
      </w:r>
      <w:proofErr w:type="spellStart"/>
      <w:r w:rsidR="0073666E" w:rsidRPr="0073666E">
        <w:rPr>
          <w:lang w:val="de-CH"/>
        </w:rPr>
        <w:t>fermé</w:t>
      </w:r>
      <w:proofErr w:type="spellEnd"/>
      <w:r w:rsidR="0073666E" w:rsidRPr="0073666E">
        <w:rPr>
          <w:lang w:val="de-CH"/>
        </w:rPr>
        <w:t xml:space="preserve">, </w:t>
      </w:r>
      <w:proofErr w:type="spellStart"/>
      <w:r w:rsidR="0073666E" w:rsidRPr="0073666E">
        <w:rPr>
          <w:lang w:val="de-CH"/>
        </w:rPr>
        <w:t>voire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établissement</w:t>
      </w:r>
      <w:proofErr w:type="spellEnd"/>
      <w:r w:rsidR="0073666E" w:rsidRPr="0073666E">
        <w:rPr>
          <w:lang w:val="de-CH"/>
        </w:rPr>
        <w:t xml:space="preserve"> </w:t>
      </w:r>
      <w:proofErr w:type="spellStart"/>
      <w:r w:rsidR="0073666E" w:rsidRPr="0073666E">
        <w:rPr>
          <w:lang w:val="de-CH"/>
        </w:rPr>
        <w:t>pénitentiaire</w:t>
      </w:r>
      <w:proofErr w:type="spellEnd"/>
      <w:r w:rsidR="0073666E" w:rsidRPr="0073666E">
        <w:rPr>
          <w:lang w:val="de-CH"/>
        </w:rPr>
        <w:t xml:space="preserve"> </w:t>
      </w:r>
      <w:proofErr w:type="spellStart"/>
      <w:r w:rsidR="0073666E" w:rsidRPr="0073666E">
        <w:rPr>
          <w:lang w:val="de-CH"/>
        </w:rPr>
        <w:t>fermé</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la </w:t>
      </w:r>
      <w:proofErr w:type="spellStart"/>
      <w:r w:rsidR="0073666E" w:rsidRPr="0073666E">
        <w:rPr>
          <w:lang w:val="de-CH"/>
        </w:rPr>
        <w:t>mesure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le </w:t>
      </w:r>
      <w:proofErr w:type="spellStart"/>
      <w:r w:rsidR="0073666E" w:rsidRPr="0073666E">
        <w:rPr>
          <w:lang w:val="de-CH"/>
        </w:rPr>
        <w:t>traitement</w:t>
      </w:r>
      <w:proofErr w:type="spellEnd"/>
      <w:r w:rsidR="0073666E" w:rsidRPr="0073666E">
        <w:rPr>
          <w:lang w:val="de-CH"/>
        </w:rPr>
        <w:t xml:space="preserve"> </w:t>
      </w:r>
      <w:proofErr w:type="spellStart"/>
      <w:r w:rsidR="0073666E" w:rsidRPr="0073666E">
        <w:rPr>
          <w:lang w:val="de-CH"/>
        </w:rPr>
        <w:t>nécessaire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assuré</w:t>
      </w:r>
      <w:proofErr w:type="spellEnd"/>
      <w:r w:rsidR="0073666E" w:rsidRPr="0073666E">
        <w:rPr>
          <w:lang w:val="de-CH"/>
        </w:rPr>
        <w:t xml:space="preserve"> par du </w:t>
      </w:r>
      <w:proofErr w:type="spellStart"/>
      <w:r w:rsidR="0073666E" w:rsidRPr="0073666E">
        <w:rPr>
          <w:lang w:val="de-CH"/>
        </w:rPr>
        <w:t>personnel</w:t>
      </w:r>
      <w:proofErr w:type="spellEnd"/>
      <w:r w:rsidR="0073666E" w:rsidRPr="0073666E">
        <w:rPr>
          <w:lang w:val="de-CH"/>
        </w:rPr>
        <w:t xml:space="preserve"> </w:t>
      </w:r>
      <w:proofErr w:type="spellStart"/>
      <w:r w:rsidR="0073666E" w:rsidRPr="0073666E">
        <w:rPr>
          <w:lang w:val="de-CH"/>
        </w:rPr>
        <w:t>qualifié</w:t>
      </w:r>
      <w:proofErr w:type="spellEnd"/>
      <w:r w:rsidR="0073666E" w:rsidRPr="0073666E">
        <w:rPr>
          <w:lang w:val="de-CH"/>
        </w:rPr>
        <w:t xml:space="preserve"> (art. 59, al. 3, CP).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souffrant</w:t>
      </w:r>
      <w:proofErr w:type="spellEnd"/>
      <w:r w:rsidR="0073666E" w:rsidRPr="0073666E">
        <w:rPr>
          <w:lang w:val="de-CH"/>
        </w:rPr>
        <w:t xml:space="preserve"> de </w:t>
      </w:r>
      <w:proofErr w:type="spellStart"/>
      <w:r w:rsidR="0073666E" w:rsidRPr="0073666E">
        <w:rPr>
          <w:lang w:val="de-CH"/>
        </w:rPr>
        <w:t>graves</w:t>
      </w:r>
      <w:proofErr w:type="spellEnd"/>
      <w:r w:rsidR="0073666E" w:rsidRPr="0073666E">
        <w:rPr>
          <w:lang w:val="de-CH"/>
        </w:rPr>
        <w:t xml:space="preserve"> </w:t>
      </w:r>
      <w:proofErr w:type="spellStart"/>
      <w:r w:rsidR="0073666E" w:rsidRPr="0073666E">
        <w:rPr>
          <w:lang w:val="de-CH"/>
        </w:rPr>
        <w:t>troubles</w:t>
      </w:r>
      <w:proofErr w:type="spellEnd"/>
      <w:r w:rsidR="0073666E" w:rsidRPr="0073666E">
        <w:rPr>
          <w:lang w:val="de-CH"/>
        </w:rPr>
        <w:t xml:space="preserve"> </w:t>
      </w:r>
      <w:proofErr w:type="spellStart"/>
      <w:r w:rsidR="0073666E" w:rsidRPr="0073666E">
        <w:rPr>
          <w:lang w:val="de-CH"/>
        </w:rPr>
        <w:t>mentaux</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internée</w:t>
      </w:r>
      <w:proofErr w:type="spellEnd"/>
      <w:r w:rsidR="0073666E" w:rsidRPr="0073666E">
        <w:rPr>
          <w:lang w:val="de-CH"/>
        </w:rPr>
        <w:t xml:space="preserve"> (art. 64 CP), si le </w:t>
      </w:r>
      <w:proofErr w:type="spellStart"/>
      <w:r w:rsidR="0073666E" w:rsidRPr="0073666E">
        <w:rPr>
          <w:lang w:val="de-CH"/>
        </w:rPr>
        <w:t>traitement</w:t>
      </w:r>
      <w:proofErr w:type="spellEnd"/>
      <w:r w:rsidR="0073666E" w:rsidRPr="0073666E">
        <w:rPr>
          <w:lang w:val="de-CH"/>
        </w:rPr>
        <w:t xml:space="preserve"> </w:t>
      </w:r>
      <w:proofErr w:type="spellStart"/>
      <w:r w:rsidR="0073666E" w:rsidRPr="0073666E">
        <w:rPr>
          <w:lang w:val="de-CH"/>
        </w:rPr>
        <w:t>institutionnel</w:t>
      </w:r>
      <w:proofErr w:type="spellEnd"/>
      <w:r w:rsidR="0073666E" w:rsidRPr="0073666E">
        <w:rPr>
          <w:lang w:val="de-CH"/>
        </w:rPr>
        <w:t xml:space="preserve"> de </w:t>
      </w:r>
      <w:proofErr w:type="spellStart"/>
      <w:r w:rsidR="0073666E" w:rsidRPr="0073666E">
        <w:rPr>
          <w:lang w:val="de-CH"/>
        </w:rPr>
        <w:t>l’art</w:t>
      </w:r>
      <w:proofErr w:type="spellEnd"/>
      <w:r w:rsidR="0073666E" w:rsidRPr="0073666E">
        <w:rPr>
          <w:lang w:val="de-CH"/>
        </w:rPr>
        <w:t xml:space="preserve">. 59 CP </w:t>
      </w:r>
      <w:proofErr w:type="spellStart"/>
      <w:r w:rsidR="0073666E" w:rsidRPr="0073666E">
        <w:rPr>
          <w:lang w:val="de-CH"/>
        </w:rPr>
        <w:t>semble</w:t>
      </w:r>
      <w:proofErr w:type="spellEnd"/>
      <w:r w:rsidR="0073666E" w:rsidRPr="0073666E">
        <w:rPr>
          <w:lang w:val="de-CH"/>
        </w:rPr>
        <w:t xml:space="preserve"> </w:t>
      </w:r>
      <w:proofErr w:type="spellStart"/>
      <w:r w:rsidR="0073666E" w:rsidRPr="0073666E">
        <w:rPr>
          <w:lang w:val="de-CH"/>
        </w:rPr>
        <w:t>voué</w:t>
      </w:r>
      <w:proofErr w:type="spellEnd"/>
      <w:r w:rsidR="0073666E" w:rsidRPr="0073666E">
        <w:rPr>
          <w:lang w:val="de-CH"/>
        </w:rPr>
        <w:t xml:space="preserve"> à </w:t>
      </w:r>
      <w:proofErr w:type="spellStart"/>
      <w:r w:rsidR="0073666E" w:rsidRPr="0073666E">
        <w:rPr>
          <w:lang w:val="de-CH"/>
        </w:rPr>
        <w:t>l’échec</w:t>
      </w:r>
      <w:proofErr w:type="spellEnd"/>
      <w:r w:rsidR="0073666E" w:rsidRPr="0073666E">
        <w:rPr>
          <w:lang w:val="de-CH"/>
        </w:rPr>
        <w:t xml:space="preserve">. Dans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w:t>
      </w:r>
      <w:proofErr w:type="spellStart"/>
      <w:r w:rsidR="0073666E" w:rsidRPr="0073666E">
        <w:rPr>
          <w:lang w:val="de-CH"/>
        </w:rPr>
        <w:t>soumise</w:t>
      </w:r>
      <w:proofErr w:type="spellEnd"/>
      <w:r w:rsidR="0073666E" w:rsidRPr="0073666E">
        <w:rPr>
          <w:lang w:val="de-CH"/>
        </w:rPr>
        <w:t xml:space="preserve">, si </w:t>
      </w:r>
      <w:proofErr w:type="spellStart"/>
      <w:r w:rsidR="0073666E" w:rsidRPr="0073666E">
        <w:rPr>
          <w:lang w:val="de-CH"/>
        </w:rPr>
        <w:t>besoin</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à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prise</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w:t>
      </w:r>
      <w:proofErr w:type="spellStart"/>
      <w:r w:rsidR="0073666E" w:rsidRPr="0073666E">
        <w:rPr>
          <w:lang w:val="de-CH"/>
        </w:rPr>
        <w:t>psychiatrique</w:t>
      </w:r>
      <w:proofErr w:type="spellEnd"/>
      <w:r w:rsidR="0073666E" w:rsidRPr="0073666E">
        <w:rPr>
          <w:lang w:val="de-CH"/>
        </w:rPr>
        <w:t xml:space="preserve"> (art. 64, al. 4, CP). </w:t>
      </w:r>
    </w:p>
    <w:p w14:paraId="74EE58AF" w14:textId="77777777" w:rsidR="0073666E" w:rsidRPr="0073666E" w:rsidRDefault="006450F6" w:rsidP="006450F6">
      <w:pPr>
        <w:pStyle w:val="SingleTxtG"/>
        <w:rPr>
          <w:lang w:val="de-CH"/>
        </w:rPr>
      </w:pPr>
      <w:r>
        <w:rPr>
          <w:lang w:val="de-CH"/>
        </w:rPr>
        <w:t>107.</w:t>
      </w:r>
      <w:r>
        <w:rPr>
          <w:lang w:val="de-CH"/>
        </w:rPr>
        <w:tab/>
      </w:r>
      <w:r w:rsidR="0073666E" w:rsidRPr="0073666E">
        <w:rPr>
          <w:lang w:val="de-CH"/>
        </w:rPr>
        <w:t xml:space="preserve">En </w:t>
      </w:r>
      <w:proofErr w:type="spellStart"/>
      <w:r w:rsidR="0073666E" w:rsidRPr="0073666E">
        <w:rPr>
          <w:lang w:val="de-CH"/>
        </w:rPr>
        <w:t>pratique</w:t>
      </w:r>
      <w:proofErr w:type="spellEnd"/>
      <w:r w:rsidR="0073666E" w:rsidRPr="0073666E">
        <w:rPr>
          <w:lang w:val="de-CH"/>
        </w:rPr>
        <w:t xml:space="preserve">, de </w:t>
      </w:r>
      <w:proofErr w:type="spellStart"/>
      <w:r w:rsidR="0073666E" w:rsidRPr="0073666E">
        <w:rPr>
          <w:lang w:val="de-CH"/>
        </w:rPr>
        <w:t>nombreuses</w:t>
      </w:r>
      <w:proofErr w:type="spellEnd"/>
      <w:r w:rsidR="0073666E" w:rsidRPr="0073666E">
        <w:rPr>
          <w:lang w:val="de-CH"/>
        </w:rPr>
        <w:t xml:space="preserv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soumises</w:t>
      </w:r>
      <w:proofErr w:type="spellEnd"/>
      <w:r w:rsidR="0073666E" w:rsidRPr="0073666E">
        <w:rPr>
          <w:lang w:val="de-CH"/>
        </w:rPr>
        <w:t xml:space="preserve"> à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mesure</w:t>
      </w:r>
      <w:proofErr w:type="spellEnd"/>
      <w:r w:rsidR="0073666E" w:rsidRPr="0073666E">
        <w:rPr>
          <w:lang w:val="de-CH"/>
        </w:rPr>
        <w:t xml:space="preserve"> </w:t>
      </w:r>
      <w:proofErr w:type="spellStart"/>
      <w:r w:rsidR="0073666E" w:rsidRPr="0073666E">
        <w:rPr>
          <w:lang w:val="de-CH"/>
        </w:rPr>
        <w:t>selon</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59 CP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placées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des </w:t>
      </w:r>
      <w:proofErr w:type="spellStart"/>
      <w:r w:rsidR="0073666E" w:rsidRPr="0073666E">
        <w:rPr>
          <w:lang w:val="de-CH"/>
        </w:rPr>
        <w:t>cliniques</w:t>
      </w:r>
      <w:proofErr w:type="spellEnd"/>
      <w:r w:rsidR="0073666E" w:rsidRPr="0073666E">
        <w:rPr>
          <w:lang w:val="de-CH"/>
        </w:rPr>
        <w:t xml:space="preserve"> </w:t>
      </w:r>
      <w:proofErr w:type="spellStart"/>
      <w:r w:rsidR="0073666E" w:rsidRPr="0073666E">
        <w:rPr>
          <w:lang w:val="de-CH"/>
        </w:rPr>
        <w:t>forensiques</w:t>
      </w:r>
      <w:proofErr w:type="spellEnd"/>
      <w:r w:rsidR="0073666E" w:rsidRPr="0073666E">
        <w:rPr>
          <w:lang w:val="de-CH"/>
        </w:rPr>
        <w:t xml:space="preserve"> (ex</w:t>
      </w:r>
      <w:r w:rsidR="00222D58">
        <w:rPr>
          <w:lang w:val="de-CH"/>
        </w:rPr>
        <w:t> </w:t>
      </w:r>
      <w:r w:rsidR="0073666E" w:rsidRPr="0073666E">
        <w:rPr>
          <w:lang w:val="de-CH"/>
        </w:rPr>
        <w:t xml:space="preserve">: Rheinau [ZH])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des </w:t>
      </w:r>
      <w:proofErr w:type="spellStart"/>
      <w:r w:rsidR="0073666E" w:rsidRPr="0073666E">
        <w:rPr>
          <w:lang w:val="de-CH"/>
        </w:rPr>
        <w:t>institutions</w:t>
      </w:r>
      <w:proofErr w:type="spellEnd"/>
      <w:r w:rsidR="0073666E" w:rsidRPr="0073666E">
        <w:rPr>
          <w:lang w:val="de-CH"/>
        </w:rPr>
        <w:t xml:space="preserve"> </w:t>
      </w:r>
      <w:proofErr w:type="spellStart"/>
      <w:r w:rsidR="0073666E" w:rsidRPr="0073666E">
        <w:rPr>
          <w:lang w:val="de-CH"/>
        </w:rPr>
        <w:t>d’exécution</w:t>
      </w:r>
      <w:proofErr w:type="spellEnd"/>
      <w:r w:rsidR="0073666E" w:rsidRPr="0073666E">
        <w:rPr>
          <w:lang w:val="de-CH"/>
        </w:rPr>
        <w:t xml:space="preserve"> de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spécialisées</w:t>
      </w:r>
      <w:proofErr w:type="spellEnd"/>
      <w:r w:rsidR="0073666E" w:rsidRPr="0073666E">
        <w:rPr>
          <w:lang w:val="de-CH"/>
        </w:rPr>
        <w:t xml:space="preserve"> (ex</w:t>
      </w:r>
      <w:r w:rsidR="00222D58">
        <w:rPr>
          <w:lang w:val="de-CH"/>
        </w:rPr>
        <w:t> </w:t>
      </w:r>
      <w:r w:rsidR="0073666E" w:rsidRPr="0073666E">
        <w:rPr>
          <w:lang w:val="de-CH"/>
        </w:rPr>
        <w:t>: Massnahmenzentrum Bitzi [SG]</w:t>
      </w:r>
      <w:r w:rsidR="00222D58">
        <w:rPr>
          <w:lang w:val="de-CH"/>
        </w:rPr>
        <w:t> </w:t>
      </w:r>
      <w:r w:rsidR="0073666E" w:rsidRPr="0073666E">
        <w:rPr>
          <w:lang w:val="de-CH"/>
        </w:rPr>
        <w:t xml:space="preserve">; </w:t>
      </w:r>
      <w:proofErr w:type="spellStart"/>
      <w:r w:rsidR="0073666E" w:rsidRPr="0073666E">
        <w:rPr>
          <w:lang w:val="de-CH"/>
        </w:rPr>
        <w:t>Curabilis</w:t>
      </w:r>
      <w:proofErr w:type="spellEnd"/>
      <w:r w:rsidR="0073666E" w:rsidRPr="0073666E">
        <w:rPr>
          <w:lang w:val="de-CH"/>
        </w:rPr>
        <w:t xml:space="preserve"> [GE]). </w:t>
      </w:r>
      <w:r w:rsidR="0073666E" w:rsidRPr="0073666E">
        <w:t xml:space="preserve">S’agissant des critiques relatives au manque d’établissements adaptés, il est à noter que plusieurs projets d’agrandissement de cliniques forensiques et d’établissements pouvant accueillir des personnes sous le coup d’une mesure sont à l’examen, sur les sites de </w:t>
      </w:r>
      <w:proofErr w:type="spellStart"/>
      <w:r w:rsidR="0073666E" w:rsidRPr="0073666E">
        <w:t>Rheinau</w:t>
      </w:r>
      <w:proofErr w:type="spellEnd"/>
      <w:r w:rsidR="0073666E" w:rsidRPr="0073666E">
        <w:t xml:space="preserve"> (ZH), Wil (SG), </w:t>
      </w:r>
      <w:proofErr w:type="spellStart"/>
      <w:r w:rsidR="0073666E" w:rsidRPr="0073666E">
        <w:t>Königsfelden</w:t>
      </w:r>
      <w:proofErr w:type="spellEnd"/>
      <w:r w:rsidR="0073666E" w:rsidRPr="0073666E">
        <w:t xml:space="preserve"> (AG), </w:t>
      </w:r>
      <w:proofErr w:type="spellStart"/>
      <w:r w:rsidR="0073666E" w:rsidRPr="0073666E">
        <w:t>Realta</w:t>
      </w:r>
      <w:proofErr w:type="spellEnd"/>
      <w:r w:rsidR="0073666E" w:rsidRPr="0073666E">
        <w:t xml:space="preserve"> (GR) et à Bâle. </w:t>
      </w:r>
      <w:r w:rsidR="0073666E" w:rsidRPr="0073666E">
        <w:rPr>
          <w:lang w:val="de-CH"/>
        </w:rPr>
        <w:t xml:space="preserve">En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concerne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sections</w:t>
      </w:r>
      <w:proofErr w:type="spellEnd"/>
      <w:r w:rsidR="0073666E" w:rsidRPr="0073666E">
        <w:rPr>
          <w:lang w:val="de-CH"/>
        </w:rPr>
        <w:t xml:space="preserve"> </w:t>
      </w:r>
      <w:proofErr w:type="spellStart"/>
      <w:r w:rsidR="0073666E" w:rsidRPr="0073666E">
        <w:rPr>
          <w:lang w:val="de-CH"/>
        </w:rPr>
        <w:t>fermées</w:t>
      </w:r>
      <w:proofErr w:type="spellEnd"/>
      <w:r w:rsidR="0073666E" w:rsidRPr="0073666E">
        <w:rPr>
          <w:lang w:val="de-CH"/>
        </w:rPr>
        <w:t xml:space="preserve"> </w:t>
      </w:r>
      <w:proofErr w:type="spellStart"/>
      <w:r w:rsidR="0073666E" w:rsidRPr="0073666E">
        <w:rPr>
          <w:lang w:val="de-CH"/>
        </w:rPr>
        <w:t>d’établissements</w:t>
      </w:r>
      <w:proofErr w:type="spellEnd"/>
      <w:r w:rsidR="0073666E" w:rsidRPr="0073666E">
        <w:rPr>
          <w:lang w:val="de-CH"/>
        </w:rPr>
        <w:t xml:space="preserve"> </w:t>
      </w:r>
      <w:proofErr w:type="spellStart"/>
      <w:r w:rsidR="0073666E" w:rsidRPr="0073666E">
        <w:rPr>
          <w:lang w:val="de-CH"/>
        </w:rPr>
        <w:t>d’exécution</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selon</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59, al. 3, CP), des </w:t>
      </w:r>
      <w:proofErr w:type="spellStart"/>
      <w:r w:rsidR="0073666E" w:rsidRPr="0073666E">
        <w:rPr>
          <w:lang w:val="de-CH"/>
        </w:rPr>
        <w:t>places</w:t>
      </w:r>
      <w:proofErr w:type="spellEnd"/>
      <w:r w:rsidR="0073666E" w:rsidRPr="0073666E">
        <w:rPr>
          <w:lang w:val="de-CH"/>
        </w:rPr>
        <w:t xml:space="preserve"> </w:t>
      </w:r>
      <w:proofErr w:type="spellStart"/>
      <w:r w:rsidR="0073666E" w:rsidRPr="0073666E">
        <w:rPr>
          <w:lang w:val="de-CH"/>
        </w:rPr>
        <w:t>supplémentaires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prévues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w:t>
      </w:r>
      <w:proofErr w:type="spellStart"/>
      <w:r w:rsidR="0073666E" w:rsidRPr="0073666E">
        <w:rPr>
          <w:lang w:val="de-CH"/>
        </w:rPr>
        <w:t>site</w:t>
      </w:r>
      <w:proofErr w:type="spellEnd"/>
      <w:r w:rsidR="0073666E" w:rsidRPr="0073666E">
        <w:rPr>
          <w:lang w:val="de-CH"/>
        </w:rPr>
        <w:t xml:space="preserve"> de </w:t>
      </w:r>
      <w:proofErr w:type="spellStart"/>
      <w:r w:rsidR="0073666E" w:rsidRPr="0073666E">
        <w:rPr>
          <w:lang w:val="de-CH"/>
        </w:rPr>
        <w:t>Cery</w:t>
      </w:r>
      <w:proofErr w:type="spellEnd"/>
      <w:r w:rsidR="0073666E" w:rsidRPr="0073666E">
        <w:rPr>
          <w:lang w:val="de-CH"/>
        </w:rPr>
        <w:t xml:space="preserve"> (VD), à </w:t>
      </w:r>
      <w:proofErr w:type="spellStart"/>
      <w:r w:rsidR="0073666E" w:rsidRPr="0073666E">
        <w:rPr>
          <w:lang w:val="de-CH"/>
        </w:rPr>
        <w:t>Curabilis</w:t>
      </w:r>
      <w:proofErr w:type="spellEnd"/>
      <w:r w:rsidR="0073666E" w:rsidRPr="0073666E">
        <w:rPr>
          <w:lang w:val="de-CH"/>
        </w:rPr>
        <w:t xml:space="preserve"> (GE) et en VS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du </w:t>
      </w:r>
      <w:proofErr w:type="spellStart"/>
      <w:r w:rsidR="0073666E" w:rsidRPr="0073666E">
        <w:rPr>
          <w:lang w:val="de-CH"/>
        </w:rPr>
        <w:t>projet</w:t>
      </w:r>
      <w:proofErr w:type="spellEnd"/>
      <w:r w:rsidR="0073666E" w:rsidRPr="0073666E">
        <w:rPr>
          <w:lang w:val="de-CH"/>
        </w:rPr>
        <w:t xml:space="preserve"> « Vision 2030 »). Au total, 184 </w:t>
      </w:r>
      <w:proofErr w:type="spellStart"/>
      <w:r w:rsidR="0073666E" w:rsidRPr="0073666E">
        <w:rPr>
          <w:lang w:val="de-CH"/>
        </w:rPr>
        <w:t>places</w:t>
      </w:r>
      <w:proofErr w:type="spellEnd"/>
      <w:r w:rsidR="0073666E" w:rsidRPr="0073666E">
        <w:rPr>
          <w:lang w:val="de-CH"/>
        </w:rPr>
        <w:t xml:space="preserve"> </w:t>
      </w:r>
      <w:proofErr w:type="spellStart"/>
      <w:r w:rsidR="0073666E" w:rsidRPr="0073666E">
        <w:rPr>
          <w:lang w:val="de-CH"/>
        </w:rPr>
        <w:t>devr</w:t>
      </w:r>
      <w:r w:rsidR="004F5715">
        <w:rPr>
          <w:lang w:val="de-CH"/>
        </w:rPr>
        <w:t>aient</w:t>
      </w:r>
      <w:proofErr w:type="spellEnd"/>
      <w:r w:rsidR="004F5715">
        <w:rPr>
          <w:lang w:val="de-CH"/>
        </w:rPr>
        <w:t xml:space="preserve"> </w:t>
      </w:r>
      <w:proofErr w:type="spellStart"/>
      <w:r w:rsidR="004F5715">
        <w:rPr>
          <w:lang w:val="de-CH"/>
        </w:rPr>
        <w:t>être</w:t>
      </w:r>
      <w:proofErr w:type="spellEnd"/>
      <w:r w:rsidR="004F5715">
        <w:rPr>
          <w:lang w:val="de-CH"/>
        </w:rPr>
        <w:t xml:space="preserve"> </w:t>
      </w:r>
      <w:proofErr w:type="spellStart"/>
      <w:r w:rsidR="004F5715">
        <w:rPr>
          <w:lang w:val="de-CH"/>
        </w:rPr>
        <w:t>créées</w:t>
      </w:r>
      <w:proofErr w:type="spellEnd"/>
      <w:r w:rsidR="004F5715">
        <w:rPr>
          <w:lang w:val="de-CH"/>
        </w:rPr>
        <w:t xml:space="preserve">. Avec </w:t>
      </w:r>
      <w:proofErr w:type="spellStart"/>
      <w:r w:rsidR="004F5715">
        <w:rPr>
          <w:lang w:val="de-CH"/>
        </w:rPr>
        <w:t>les</w:t>
      </w:r>
      <w:proofErr w:type="spellEnd"/>
      <w:r w:rsidR="004F5715">
        <w:rPr>
          <w:lang w:val="de-CH"/>
        </w:rPr>
        <w:t xml:space="preserve"> 272 </w:t>
      </w:r>
      <w:proofErr w:type="spellStart"/>
      <w:r w:rsidR="0073666E" w:rsidRPr="0073666E">
        <w:rPr>
          <w:lang w:val="de-CH"/>
        </w:rPr>
        <w:t>places</w:t>
      </w:r>
      <w:proofErr w:type="spellEnd"/>
      <w:r w:rsidR="0073666E" w:rsidRPr="0073666E">
        <w:rPr>
          <w:lang w:val="de-CH"/>
        </w:rPr>
        <w:t xml:space="preserve"> </w:t>
      </w:r>
      <w:proofErr w:type="spellStart"/>
      <w:r w:rsidR="0073666E" w:rsidRPr="0073666E">
        <w:rPr>
          <w:lang w:val="de-CH"/>
        </w:rPr>
        <w:t>actuelles</w:t>
      </w:r>
      <w:proofErr w:type="spellEnd"/>
      <w:r w:rsidR="0073666E" w:rsidRPr="0073666E">
        <w:rPr>
          <w:lang w:val="de-CH"/>
        </w:rPr>
        <w:t xml:space="preserve">, la Suisse </w:t>
      </w:r>
      <w:proofErr w:type="spellStart"/>
      <w:r w:rsidR="0073666E" w:rsidRPr="0073666E">
        <w:rPr>
          <w:lang w:val="de-CH"/>
        </w:rPr>
        <w:t>disposera</w:t>
      </w:r>
      <w:proofErr w:type="spellEnd"/>
      <w:r w:rsidR="0073666E" w:rsidRPr="0073666E">
        <w:rPr>
          <w:lang w:val="de-CH"/>
        </w:rPr>
        <w:t xml:space="preserve">, </w:t>
      </w:r>
      <w:proofErr w:type="spellStart"/>
      <w:r w:rsidR="0073666E" w:rsidRPr="0073666E">
        <w:rPr>
          <w:lang w:val="de-CH"/>
        </w:rPr>
        <w:t>lorsque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projets</w:t>
      </w:r>
      <w:proofErr w:type="spellEnd"/>
      <w:r w:rsidR="0073666E" w:rsidRPr="0073666E">
        <w:rPr>
          <w:lang w:val="de-CH"/>
        </w:rPr>
        <w:t xml:space="preserve"> </w:t>
      </w:r>
      <w:proofErr w:type="spellStart"/>
      <w:r w:rsidR="00FB534F">
        <w:rPr>
          <w:lang w:val="de-CH"/>
        </w:rPr>
        <w:t>seront</w:t>
      </w:r>
      <w:proofErr w:type="spellEnd"/>
      <w:r w:rsidR="00FB534F">
        <w:rPr>
          <w:lang w:val="de-CH"/>
        </w:rPr>
        <w:t xml:space="preserve"> </w:t>
      </w:r>
      <w:proofErr w:type="spellStart"/>
      <w:r w:rsidR="00FB534F">
        <w:rPr>
          <w:lang w:val="de-CH"/>
        </w:rPr>
        <w:t>réalisés</w:t>
      </w:r>
      <w:proofErr w:type="spellEnd"/>
      <w:r w:rsidR="00FB534F">
        <w:rPr>
          <w:lang w:val="de-CH"/>
        </w:rPr>
        <w:t>, de plus de 400 </w:t>
      </w:r>
      <w:proofErr w:type="spellStart"/>
      <w:r w:rsidR="0073666E" w:rsidRPr="0073666E">
        <w:rPr>
          <w:lang w:val="de-CH"/>
        </w:rPr>
        <w:t>places</w:t>
      </w:r>
      <w:proofErr w:type="spellEnd"/>
      <w:r w:rsidR="0073666E" w:rsidRPr="0073666E">
        <w:rPr>
          <w:lang w:val="de-CH"/>
        </w:rPr>
        <w:t xml:space="preserve"> </w:t>
      </w:r>
      <w:proofErr w:type="spellStart"/>
      <w:r w:rsidR="0073666E" w:rsidRPr="0073666E">
        <w:rPr>
          <w:lang w:val="de-CH"/>
        </w:rPr>
        <w:t>affectées</w:t>
      </w:r>
      <w:proofErr w:type="spellEnd"/>
      <w:r w:rsidR="0073666E" w:rsidRPr="0073666E">
        <w:rPr>
          <w:lang w:val="de-CH"/>
        </w:rPr>
        <w:t xml:space="preserve"> </w:t>
      </w:r>
      <w:proofErr w:type="spellStart"/>
      <w:r w:rsidR="0073666E" w:rsidRPr="0073666E">
        <w:rPr>
          <w:lang w:val="de-CH"/>
        </w:rPr>
        <w:t>exclusivement</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besoins</w:t>
      </w:r>
      <w:proofErr w:type="spellEnd"/>
      <w:r w:rsidR="0073666E" w:rsidRPr="0073666E">
        <w:rPr>
          <w:lang w:val="de-CH"/>
        </w:rPr>
        <w:t xml:space="preserve"> des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atteintes</w:t>
      </w:r>
      <w:proofErr w:type="spellEnd"/>
      <w:r w:rsidR="0073666E" w:rsidRPr="0073666E">
        <w:rPr>
          <w:lang w:val="de-CH"/>
        </w:rPr>
        <w:t xml:space="preserve"> de </w:t>
      </w:r>
      <w:proofErr w:type="spellStart"/>
      <w:r w:rsidR="0073666E" w:rsidRPr="0073666E">
        <w:rPr>
          <w:lang w:val="de-CH"/>
        </w:rPr>
        <w:t>troubles</w:t>
      </w:r>
      <w:proofErr w:type="spellEnd"/>
      <w:r w:rsidR="0073666E" w:rsidRPr="0073666E">
        <w:rPr>
          <w:lang w:val="de-CH"/>
        </w:rPr>
        <w:t xml:space="preserve"> </w:t>
      </w:r>
      <w:proofErr w:type="spellStart"/>
      <w:r w:rsidR="0073666E" w:rsidRPr="0073666E">
        <w:rPr>
          <w:lang w:val="de-CH"/>
        </w:rPr>
        <w:t>psychiques</w:t>
      </w:r>
      <w:proofErr w:type="spellEnd"/>
      <w:r w:rsidR="0073666E" w:rsidRPr="0073666E">
        <w:rPr>
          <w:lang w:val="de-CH"/>
        </w:rPr>
        <w:t xml:space="preserve">. </w:t>
      </w:r>
    </w:p>
    <w:p w14:paraId="76CD2363" w14:textId="77777777" w:rsidR="0073666E" w:rsidRPr="0073666E" w:rsidRDefault="006450F6" w:rsidP="006450F6">
      <w:pPr>
        <w:pStyle w:val="SingleTxtG"/>
      </w:pPr>
      <w:r>
        <w:rPr>
          <w:lang w:val="de-CH"/>
        </w:rPr>
        <w:t>108.</w:t>
      </w:r>
      <w:r>
        <w:rPr>
          <w:lang w:val="de-CH"/>
        </w:rPr>
        <w:tab/>
      </w:r>
      <w:r w:rsidR="0073666E" w:rsidRPr="0073666E">
        <w:rPr>
          <w:lang w:val="de-CH"/>
        </w:rPr>
        <w:t xml:space="preserve">Dans le </w:t>
      </w:r>
      <w:proofErr w:type="spellStart"/>
      <w:r w:rsidR="0073666E" w:rsidRPr="0073666E">
        <w:rPr>
          <w:lang w:val="de-CH"/>
        </w:rPr>
        <w:t>cadre</w:t>
      </w:r>
      <w:proofErr w:type="spellEnd"/>
      <w:r w:rsidR="0073666E" w:rsidRPr="0073666E">
        <w:rPr>
          <w:lang w:val="de-CH"/>
        </w:rPr>
        <w:t xml:space="preserve"> de </w:t>
      </w:r>
      <w:proofErr w:type="spellStart"/>
      <w:r w:rsidR="0073666E" w:rsidRPr="0073666E">
        <w:rPr>
          <w:lang w:val="de-CH"/>
        </w:rPr>
        <w:t>l’exécution</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peine</w:t>
      </w:r>
      <w:proofErr w:type="spellEnd"/>
      <w:r w:rsidR="0073666E" w:rsidRPr="0073666E">
        <w:rPr>
          <w:lang w:val="de-CH"/>
        </w:rPr>
        <w:t xml:space="preserve"> privative de </w:t>
      </w:r>
      <w:proofErr w:type="spellStart"/>
      <w:r w:rsidR="0073666E" w:rsidRPr="0073666E">
        <w:rPr>
          <w:lang w:val="de-CH"/>
        </w:rPr>
        <w:t>liberté</w:t>
      </w:r>
      <w:proofErr w:type="spellEnd"/>
      <w:r w:rsidR="0073666E" w:rsidRPr="0073666E">
        <w:rPr>
          <w:lang w:val="de-CH"/>
        </w:rPr>
        <w:t xml:space="preserve">, le </w:t>
      </w:r>
      <w:proofErr w:type="spellStart"/>
      <w:r w:rsidR="0073666E" w:rsidRPr="0073666E">
        <w:rPr>
          <w:lang w:val="de-CH"/>
        </w:rPr>
        <w:t>détenu</w:t>
      </w:r>
      <w:proofErr w:type="spellEnd"/>
      <w:r w:rsidR="0073666E" w:rsidRPr="0073666E">
        <w:rPr>
          <w:lang w:val="de-CH"/>
        </w:rPr>
        <w:t xml:space="preserve"> a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mêmes</w:t>
      </w:r>
      <w:proofErr w:type="spellEnd"/>
      <w:r w:rsidR="0073666E" w:rsidRPr="0073666E">
        <w:rPr>
          <w:lang w:val="de-CH"/>
        </w:rPr>
        <w:t xml:space="preserve"> </w:t>
      </w:r>
      <w:proofErr w:type="spellStart"/>
      <w:r w:rsidR="0073666E" w:rsidRPr="0073666E">
        <w:rPr>
          <w:lang w:val="de-CH"/>
        </w:rPr>
        <w:t>droits</w:t>
      </w:r>
      <w:proofErr w:type="spellEnd"/>
      <w:r w:rsidR="0073666E" w:rsidRPr="0073666E">
        <w:rPr>
          <w:lang w:val="de-CH"/>
        </w:rPr>
        <w:t xml:space="preserve"> </w:t>
      </w:r>
      <w:proofErr w:type="spellStart"/>
      <w:r w:rsidR="0073666E" w:rsidRPr="0073666E">
        <w:rPr>
          <w:lang w:val="de-CH"/>
        </w:rPr>
        <w:t>qu’un</w:t>
      </w:r>
      <w:proofErr w:type="spellEnd"/>
      <w:r w:rsidR="0073666E" w:rsidRPr="0073666E">
        <w:rPr>
          <w:lang w:val="de-CH"/>
        </w:rPr>
        <w:t xml:space="preserve"> </w:t>
      </w:r>
      <w:proofErr w:type="spellStart"/>
      <w:r w:rsidR="0073666E" w:rsidRPr="0073666E">
        <w:rPr>
          <w:lang w:val="de-CH"/>
        </w:rPr>
        <w:t>autre</w:t>
      </w:r>
      <w:proofErr w:type="spellEnd"/>
      <w:r w:rsidR="0073666E" w:rsidRPr="0073666E">
        <w:rPr>
          <w:lang w:val="de-CH"/>
        </w:rPr>
        <w:t xml:space="preserve"> </w:t>
      </w:r>
      <w:proofErr w:type="spellStart"/>
      <w:r w:rsidR="0073666E" w:rsidRPr="0073666E">
        <w:rPr>
          <w:lang w:val="de-CH"/>
        </w:rPr>
        <w:t>patient</w:t>
      </w:r>
      <w:proofErr w:type="spellEnd"/>
      <w:r w:rsidR="0073666E" w:rsidRPr="0073666E">
        <w:rPr>
          <w:lang w:val="de-CH"/>
        </w:rPr>
        <w:t xml:space="preserve"> </w:t>
      </w:r>
      <w:proofErr w:type="spellStart"/>
      <w:r w:rsidR="0073666E" w:rsidRPr="0073666E">
        <w:rPr>
          <w:lang w:val="de-CH"/>
        </w:rPr>
        <w:t>hormis</w:t>
      </w:r>
      <w:proofErr w:type="spellEnd"/>
      <w:r w:rsidR="0073666E" w:rsidRPr="0073666E">
        <w:rPr>
          <w:lang w:val="de-CH"/>
        </w:rPr>
        <w:t xml:space="preserve"> le </w:t>
      </w:r>
      <w:proofErr w:type="spellStart"/>
      <w:r w:rsidR="0073666E" w:rsidRPr="0073666E">
        <w:rPr>
          <w:lang w:val="de-CH"/>
        </w:rPr>
        <w:t>libre-choix</w:t>
      </w:r>
      <w:proofErr w:type="spellEnd"/>
      <w:r w:rsidR="0073666E" w:rsidRPr="0073666E">
        <w:rPr>
          <w:lang w:val="de-CH"/>
        </w:rPr>
        <w:t xml:space="preserve"> de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médecin</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établissements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le </w:t>
      </w:r>
      <w:proofErr w:type="spellStart"/>
      <w:r w:rsidR="0073666E" w:rsidRPr="0073666E">
        <w:rPr>
          <w:lang w:val="de-CH"/>
        </w:rPr>
        <w:t>devoir</w:t>
      </w:r>
      <w:proofErr w:type="spellEnd"/>
      <w:r w:rsidR="0073666E" w:rsidRPr="0073666E">
        <w:rPr>
          <w:lang w:val="de-CH"/>
        </w:rPr>
        <w:t xml:space="preserve"> de </w:t>
      </w:r>
      <w:proofErr w:type="spellStart"/>
      <w:r w:rsidR="0073666E" w:rsidRPr="0073666E">
        <w:rPr>
          <w:lang w:val="de-CH"/>
        </w:rPr>
        <w:t>régler</w:t>
      </w:r>
      <w:proofErr w:type="spellEnd"/>
      <w:r w:rsidR="0073666E" w:rsidRPr="0073666E">
        <w:rPr>
          <w:lang w:val="de-CH"/>
        </w:rPr>
        <w:t xml:space="preserve"> la </w:t>
      </w:r>
      <w:proofErr w:type="spellStart"/>
      <w:r w:rsidR="0073666E" w:rsidRPr="0073666E">
        <w:rPr>
          <w:lang w:val="de-CH"/>
        </w:rPr>
        <w:t>prise</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w:t>
      </w:r>
      <w:proofErr w:type="spellStart"/>
      <w:r w:rsidR="0073666E" w:rsidRPr="0073666E">
        <w:rPr>
          <w:lang w:val="de-CH"/>
        </w:rPr>
        <w:t>psychiatrique</w:t>
      </w:r>
      <w:proofErr w:type="spellEnd"/>
      <w:r w:rsidR="0073666E" w:rsidRPr="0073666E">
        <w:rPr>
          <w:lang w:val="de-CH"/>
        </w:rPr>
        <w:t xml:space="preserve"> des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détenues</w:t>
      </w:r>
      <w:proofErr w:type="spellEnd"/>
      <w:r w:rsidR="0073666E" w:rsidRPr="0073666E">
        <w:rPr>
          <w:lang w:val="de-CH"/>
        </w:rPr>
        <w:t xml:space="preserve"> et de </w:t>
      </w:r>
      <w:proofErr w:type="spellStart"/>
      <w:r w:rsidR="0073666E" w:rsidRPr="0073666E">
        <w:rPr>
          <w:lang w:val="de-CH"/>
        </w:rPr>
        <w:t>prévoir</w:t>
      </w:r>
      <w:proofErr w:type="spellEnd"/>
      <w:r w:rsidR="0073666E" w:rsidRPr="0073666E">
        <w:rPr>
          <w:lang w:val="de-CH"/>
        </w:rPr>
        <w:t xml:space="preserve"> des </w:t>
      </w:r>
      <w:proofErr w:type="spellStart"/>
      <w:r w:rsidR="0073666E" w:rsidRPr="0073666E">
        <w:rPr>
          <w:lang w:val="de-CH"/>
        </w:rPr>
        <w:t>solutions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hospitalisation</w:t>
      </w:r>
      <w:proofErr w:type="spellEnd"/>
      <w:r w:rsidR="0073666E" w:rsidRPr="0073666E">
        <w:rPr>
          <w:lang w:val="de-CH"/>
        </w:rPr>
        <w:t xml:space="preserve"> </w:t>
      </w:r>
      <w:proofErr w:type="spellStart"/>
      <w:r w:rsidR="0073666E" w:rsidRPr="0073666E">
        <w:rPr>
          <w:lang w:val="de-CH"/>
        </w:rPr>
        <w:t>psychiatrique</w:t>
      </w:r>
      <w:proofErr w:type="spellEnd"/>
      <w:r w:rsidR="0073666E" w:rsidRPr="0073666E">
        <w:rPr>
          <w:lang w:val="de-CH"/>
        </w:rPr>
        <w:t xml:space="preserve"> </w:t>
      </w:r>
      <w:proofErr w:type="spellStart"/>
      <w:r w:rsidR="0073666E" w:rsidRPr="0073666E">
        <w:rPr>
          <w:lang w:val="de-CH"/>
        </w:rPr>
        <w:t>s’avère</w:t>
      </w:r>
      <w:proofErr w:type="spellEnd"/>
      <w:r w:rsidR="0073666E" w:rsidRPr="0073666E">
        <w:rPr>
          <w:lang w:val="de-CH"/>
        </w:rPr>
        <w:t xml:space="preserve"> </w:t>
      </w:r>
      <w:proofErr w:type="spellStart"/>
      <w:r w:rsidR="0073666E" w:rsidRPr="0073666E">
        <w:rPr>
          <w:lang w:val="de-CH"/>
        </w:rPr>
        <w:t>nécessaire</w:t>
      </w:r>
      <w:proofErr w:type="spellEnd"/>
      <w:r w:rsidR="0073666E" w:rsidRPr="0073666E">
        <w:rPr>
          <w:lang w:val="de-CH"/>
        </w:rPr>
        <w:t>. Il</w:t>
      </w:r>
      <w:r w:rsidR="004C5A95">
        <w:rPr>
          <w:lang w:val="de-CH"/>
        </w:rPr>
        <w:t> </w:t>
      </w:r>
      <w:proofErr w:type="spellStart"/>
      <w:r w:rsidR="0073666E" w:rsidRPr="0073666E">
        <w:rPr>
          <w:lang w:val="de-CH"/>
        </w:rPr>
        <w:t>est</w:t>
      </w:r>
      <w:proofErr w:type="spellEnd"/>
      <w:r w:rsidR="0073666E" w:rsidRPr="0073666E">
        <w:rPr>
          <w:lang w:val="de-CH"/>
        </w:rPr>
        <w:t xml:space="preserve">, en </w:t>
      </w:r>
      <w:proofErr w:type="spellStart"/>
      <w:r w:rsidR="0073666E" w:rsidRPr="0073666E">
        <w:rPr>
          <w:lang w:val="de-CH"/>
        </w:rPr>
        <w:t>particulier</w:t>
      </w:r>
      <w:proofErr w:type="spellEnd"/>
      <w:r w:rsidR="0073666E" w:rsidRPr="0073666E">
        <w:rPr>
          <w:lang w:val="de-CH"/>
        </w:rPr>
        <w:t xml:space="preserve">, </w:t>
      </w:r>
      <w:proofErr w:type="spellStart"/>
      <w:r w:rsidR="0073666E" w:rsidRPr="0073666E">
        <w:rPr>
          <w:lang w:val="de-CH"/>
        </w:rPr>
        <w:t>conseillé</w:t>
      </w:r>
      <w:proofErr w:type="spellEnd"/>
      <w:r w:rsidR="0073666E" w:rsidRPr="0073666E">
        <w:rPr>
          <w:lang w:val="de-CH"/>
        </w:rPr>
        <w:t xml:space="preserve"> </w:t>
      </w:r>
      <w:proofErr w:type="spellStart"/>
      <w:r w:rsidR="0073666E" w:rsidRPr="0073666E">
        <w:rPr>
          <w:lang w:val="de-CH"/>
        </w:rPr>
        <w:t>d’assurer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prise</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par du </w:t>
      </w:r>
      <w:proofErr w:type="spellStart"/>
      <w:r w:rsidR="0073666E" w:rsidRPr="0073666E">
        <w:rPr>
          <w:lang w:val="de-CH"/>
        </w:rPr>
        <w:t>personnel</w:t>
      </w:r>
      <w:proofErr w:type="spellEnd"/>
      <w:r w:rsidR="0073666E" w:rsidRPr="0073666E">
        <w:rPr>
          <w:lang w:val="de-CH"/>
        </w:rPr>
        <w:t xml:space="preserve"> </w:t>
      </w:r>
      <w:proofErr w:type="spellStart"/>
      <w:r w:rsidR="0073666E" w:rsidRPr="0073666E">
        <w:rPr>
          <w:lang w:val="de-CH"/>
        </w:rPr>
        <w:t>spécialisé</w:t>
      </w:r>
      <w:proofErr w:type="spellEnd"/>
      <w:r w:rsidR="0073666E" w:rsidRPr="0073666E">
        <w:rPr>
          <w:lang w:val="de-CH"/>
        </w:rPr>
        <w:t xml:space="preserve"> et </w:t>
      </w:r>
      <w:proofErr w:type="spellStart"/>
      <w:r w:rsidR="0073666E" w:rsidRPr="0073666E">
        <w:rPr>
          <w:lang w:val="de-CH"/>
        </w:rPr>
        <w:t>formé</w:t>
      </w:r>
      <w:proofErr w:type="spellEnd"/>
      <w:r w:rsidR="0073666E" w:rsidRPr="0073666E">
        <w:rPr>
          <w:lang w:val="de-CH"/>
        </w:rPr>
        <w:t xml:space="preserve"> </w:t>
      </w:r>
      <w:proofErr w:type="spellStart"/>
      <w:r w:rsidR="0073666E" w:rsidRPr="0073666E">
        <w:rPr>
          <w:lang w:val="de-CH"/>
        </w:rPr>
        <w:t>spécifiquement</w:t>
      </w:r>
      <w:proofErr w:type="spellEnd"/>
      <w:r w:rsidR="0073666E" w:rsidRPr="0073666E">
        <w:rPr>
          <w:lang w:val="de-CH"/>
        </w:rPr>
        <w:t xml:space="preserve"> en </w:t>
      </w:r>
      <w:proofErr w:type="spellStart"/>
      <w:r w:rsidR="0073666E" w:rsidRPr="0073666E">
        <w:rPr>
          <w:lang w:val="de-CH"/>
        </w:rPr>
        <w:t>psychiatrie</w:t>
      </w:r>
      <w:proofErr w:type="spellEnd"/>
      <w:r w:rsidR="0073666E" w:rsidRPr="0073666E">
        <w:rPr>
          <w:lang w:val="de-CH"/>
        </w:rPr>
        <w:t>/</w:t>
      </w:r>
      <w:proofErr w:type="spellStart"/>
      <w:r w:rsidR="0073666E" w:rsidRPr="0073666E">
        <w:rPr>
          <w:lang w:val="de-CH"/>
        </w:rPr>
        <w:t>psychothérapie</w:t>
      </w:r>
      <w:proofErr w:type="spellEnd"/>
      <w:r w:rsidR="0073666E" w:rsidRPr="0073666E">
        <w:rPr>
          <w:lang w:val="de-CH"/>
        </w:rPr>
        <w:t xml:space="preserve">. </w:t>
      </w:r>
      <w:r w:rsidR="002B6ED6">
        <w:rPr>
          <w:lang w:val="de-CH"/>
        </w:rPr>
        <w:t>À</w:t>
      </w:r>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sujet</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à </w:t>
      </w:r>
      <w:proofErr w:type="spellStart"/>
      <w:r w:rsidR="0073666E" w:rsidRPr="0073666E">
        <w:rPr>
          <w:lang w:val="de-CH"/>
        </w:rPr>
        <w:t>noter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lastRenderedPageBreak/>
        <w:t>cantons</w:t>
      </w:r>
      <w:proofErr w:type="spellEnd"/>
      <w:r w:rsidR="0073666E" w:rsidRPr="0073666E">
        <w:rPr>
          <w:lang w:val="de-CH"/>
        </w:rPr>
        <w:t xml:space="preserve"> </w:t>
      </w:r>
      <w:proofErr w:type="spellStart"/>
      <w:r w:rsidR="0073666E" w:rsidRPr="0073666E">
        <w:rPr>
          <w:lang w:val="de-CH"/>
        </w:rPr>
        <w:t>engagent</w:t>
      </w:r>
      <w:proofErr w:type="spellEnd"/>
      <w:r w:rsidR="0073666E" w:rsidRPr="0073666E">
        <w:rPr>
          <w:lang w:val="de-CH"/>
        </w:rPr>
        <w:t xml:space="preserve"> de plus en plus </w:t>
      </w:r>
      <w:proofErr w:type="spellStart"/>
      <w:r w:rsidR="0073666E" w:rsidRPr="0073666E">
        <w:rPr>
          <w:lang w:val="de-CH"/>
        </w:rPr>
        <w:t>souvent</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prisons</w:t>
      </w:r>
      <w:proofErr w:type="spellEnd"/>
      <w:r w:rsidR="0073666E" w:rsidRPr="0073666E">
        <w:rPr>
          <w:lang w:val="de-CH"/>
        </w:rPr>
        <w:t xml:space="preserve">, du </w:t>
      </w:r>
      <w:proofErr w:type="spellStart"/>
      <w:r w:rsidR="0073666E" w:rsidRPr="0073666E">
        <w:rPr>
          <w:lang w:val="de-CH"/>
        </w:rPr>
        <w:t>personnel</w:t>
      </w:r>
      <w:proofErr w:type="spellEnd"/>
      <w:r w:rsidR="0073666E" w:rsidRPr="0073666E">
        <w:rPr>
          <w:lang w:val="de-CH"/>
        </w:rPr>
        <w:t xml:space="preserve"> </w:t>
      </w:r>
      <w:proofErr w:type="spellStart"/>
      <w:r w:rsidR="0073666E" w:rsidRPr="0073666E">
        <w:rPr>
          <w:lang w:val="de-CH"/>
        </w:rPr>
        <w:t>soignant</w:t>
      </w:r>
      <w:proofErr w:type="spellEnd"/>
      <w:r w:rsidR="0073666E" w:rsidRPr="0073666E">
        <w:rPr>
          <w:lang w:val="de-CH"/>
        </w:rPr>
        <w:t xml:space="preserve"> </w:t>
      </w:r>
      <w:proofErr w:type="spellStart"/>
      <w:r w:rsidR="0073666E" w:rsidRPr="0073666E">
        <w:rPr>
          <w:lang w:val="de-CH"/>
        </w:rPr>
        <w:t>spécialisé</w:t>
      </w:r>
      <w:proofErr w:type="spellEnd"/>
      <w:r w:rsidR="0073666E" w:rsidRPr="0073666E">
        <w:rPr>
          <w:lang w:val="de-CH"/>
        </w:rPr>
        <w:t xml:space="preserve"> en </w:t>
      </w:r>
      <w:proofErr w:type="spellStart"/>
      <w:r w:rsidR="0073666E" w:rsidRPr="0073666E">
        <w:rPr>
          <w:lang w:val="de-CH"/>
        </w:rPr>
        <w:t>psychiatrie</w:t>
      </w:r>
      <w:proofErr w:type="spellEnd"/>
      <w:r w:rsidR="0073666E" w:rsidRPr="0073666E">
        <w:rPr>
          <w:lang w:val="de-CH"/>
        </w:rPr>
        <w:t xml:space="preserve">. </w:t>
      </w:r>
      <w:r w:rsidR="0073666E" w:rsidRPr="0073666E">
        <w:t xml:space="preserve">En outre, plusieurs établissements pénitentiaires ont aménagé des structures spécialisées pour le séjour de personnes souffrant de troubles psychiques tels que l’unité psychiatrique (huit places) aux </w:t>
      </w:r>
      <w:proofErr w:type="spellStart"/>
      <w:r w:rsidR="0073666E" w:rsidRPr="0073666E">
        <w:t>Etablissements</w:t>
      </w:r>
      <w:proofErr w:type="spellEnd"/>
      <w:r w:rsidR="0073666E" w:rsidRPr="0073666E">
        <w:t xml:space="preserve"> de la plaine de l’Orbe (VD) ou la section de psychiatrie forensique (</w:t>
      </w:r>
      <w:proofErr w:type="spellStart"/>
      <w:r w:rsidR="0073666E" w:rsidRPr="0073666E">
        <w:t>Forensisch-Psychiatrische</w:t>
      </w:r>
      <w:proofErr w:type="spellEnd"/>
      <w:r w:rsidR="0073666E" w:rsidRPr="0073666E">
        <w:t xml:space="preserve"> </w:t>
      </w:r>
      <w:proofErr w:type="spellStart"/>
      <w:r w:rsidR="0073666E" w:rsidRPr="0073666E">
        <w:t>Abteilung</w:t>
      </w:r>
      <w:proofErr w:type="spellEnd"/>
      <w:r w:rsidR="0073666E" w:rsidRPr="0073666E">
        <w:t xml:space="preserve">) au JVA </w:t>
      </w:r>
      <w:proofErr w:type="spellStart"/>
      <w:r w:rsidR="0073666E" w:rsidRPr="0073666E">
        <w:t>Pöschwies</w:t>
      </w:r>
      <w:proofErr w:type="spellEnd"/>
      <w:r w:rsidR="0073666E" w:rsidRPr="0073666E">
        <w:t xml:space="preserve"> (ZH).</w:t>
      </w:r>
    </w:p>
    <w:p w14:paraId="36D389DF" w14:textId="77777777" w:rsidR="0073666E" w:rsidRPr="0073666E" w:rsidRDefault="006450F6" w:rsidP="006450F6">
      <w:pPr>
        <w:pStyle w:val="SingleTxtG"/>
        <w:rPr>
          <w:lang w:val="de-CH"/>
        </w:rPr>
      </w:pPr>
      <w:r>
        <w:rPr>
          <w:lang w:val="de-CH"/>
        </w:rPr>
        <w:t>109.</w:t>
      </w:r>
      <w:r>
        <w:rPr>
          <w:lang w:val="de-CH"/>
        </w:rPr>
        <w:tab/>
      </w:r>
      <w:r w:rsidR="0073666E" w:rsidRPr="0073666E">
        <w:rPr>
          <w:lang w:val="de-CH"/>
        </w:rPr>
        <w:t xml:space="preserve">Quant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prises</w:t>
      </w:r>
      <w:proofErr w:type="spellEnd"/>
      <w:r w:rsidR="0073666E" w:rsidRPr="0073666E">
        <w:rPr>
          <w:lang w:val="de-CH"/>
        </w:rPr>
        <w:t xml:space="preserve"> </w:t>
      </w:r>
      <w:proofErr w:type="spellStart"/>
      <w:r w:rsidR="0073666E" w:rsidRPr="0073666E">
        <w:rPr>
          <w:lang w:val="de-CH"/>
        </w:rPr>
        <w:t>afin</w:t>
      </w:r>
      <w:proofErr w:type="spellEnd"/>
      <w:r w:rsidR="0073666E" w:rsidRPr="0073666E">
        <w:rPr>
          <w:lang w:val="de-CH"/>
        </w:rPr>
        <w:t xml:space="preserve"> </w:t>
      </w:r>
      <w:proofErr w:type="spellStart"/>
      <w:r w:rsidR="0073666E" w:rsidRPr="0073666E">
        <w:rPr>
          <w:lang w:val="de-CH"/>
        </w:rPr>
        <w:t>d’offrir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possibilité</w:t>
      </w:r>
      <w:proofErr w:type="spellEnd"/>
      <w:r w:rsidR="0073666E" w:rsidRPr="0073666E">
        <w:rPr>
          <w:lang w:val="de-CH"/>
        </w:rPr>
        <w:t xml:space="preserve"> de </w:t>
      </w:r>
      <w:proofErr w:type="spellStart"/>
      <w:r w:rsidR="0073666E" w:rsidRPr="0073666E">
        <w:rPr>
          <w:lang w:val="de-CH"/>
        </w:rPr>
        <w:t>réexamen</w:t>
      </w:r>
      <w:proofErr w:type="spellEnd"/>
      <w:r w:rsidR="0073666E" w:rsidRPr="0073666E">
        <w:rPr>
          <w:lang w:val="de-CH"/>
        </w:rPr>
        <w:t xml:space="preserve"> de </w:t>
      </w:r>
      <w:proofErr w:type="spellStart"/>
      <w:r w:rsidR="0073666E" w:rsidRPr="0073666E">
        <w:rPr>
          <w:lang w:val="de-CH"/>
        </w:rPr>
        <w:t>l’internement</w:t>
      </w:r>
      <w:proofErr w:type="spellEnd"/>
      <w:r w:rsidR="0073666E" w:rsidRPr="0073666E">
        <w:rPr>
          <w:lang w:val="de-CH"/>
        </w:rPr>
        <w:t xml:space="preserve"> à </w:t>
      </w:r>
      <w:proofErr w:type="spellStart"/>
      <w:r w:rsidR="0073666E" w:rsidRPr="0073666E">
        <w:rPr>
          <w:lang w:val="de-CH"/>
        </w:rPr>
        <w:t>vie</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important</w:t>
      </w:r>
      <w:proofErr w:type="spellEnd"/>
      <w:r w:rsidR="0073666E" w:rsidRPr="0073666E">
        <w:rPr>
          <w:lang w:val="de-CH"/>
        </w:rPr>
        <w:t xml:space="preserve"> de </w:t>
      </w:r>
      <w:proofErr w:type="spellStart"/>
      <w:r w:rsidR="0073666E" w:rsidRPr="0073666E">
        <w:rPr>
          <w:lang w:val="de-CH"/>
        </w:rPr>
        <w:t>rappeler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64, al. 1</w:t>
      </w:r>
      <w:r w:rsidR="004C5A95">
        <w:rPr>
          <w:lang w:val="de-CH"/>
        </w:rPr>
        <w:t> </w:t>
      </w:r>
      <w:r w:rsidR="0073666E" w:rsidRPr="00971C84">
        <w:rPr>
          <w:i/>
          <w:iCs/>
          <w:lang w:val="de-CH"/>
        </w:rPr>
        <w:t>bis</w:t>
      </w:r>
      <w:r w:rsidR="0073666E" w:rsidRPr="0073666E">
        <w:rPr>
          <w:lang w:val="de-CH"/>
        </w:rPr>
        <w:t xml:space="preserve">, CP ne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ordonné</w:t>
      </w:r>
      <w:proofErr w:type="spellEnd"/>
      <w:r w:rsidR="0073666E" w:rsidRPr="0073666E">
        <w:rPr>
          <w:lang w:val="de-CH"/>
        </w:rPr>
        <w:t xml:space="preserve"> </w:t>
      </w:r>
      <w:proofErr w:type="spellStart"/>
      <w:r w:rsidR="0073666E" w:rsidRPr="0073666E">
        <w:rPr>
          <w:lang w:val="de-CH"/>
        </w:rPr>
        <w:t>qu’à</w:t>
      </w:r>
      <w:proofErr w:type="spellEnd"/>
      <w:r w:rsidR="0073666E" w:rsidRPr="0073666E">
        <w:rPr>
          <w:lang w:val="de-CH"/>
        </w:rPr>
        <w:t xml:space="preserve"> des </w:t>
      </w:r>
      <w:proofErr w:type="spellStart"/>
      <w:r w:rsidR="0073666E" w:rsidRPr="0073666E">
        <w:rPr>
          <w:lang w:val="de-CH"/>
        </w:rPr>
        <w:t>conditions</w:t>
      </w:r>
      <w:proofErr w:type="spellEnd"/>
      <w:r w:rsidR="0073666E" w:rsidRPr="0073666E">
        <w:rPr>
          <w:lang w:val="de-CH"/>
        </w:rPr>
        <w:t xml:space="preserve"> </w:t>
      </w:r>
      <w:proofErr w:type="spellStart"/>
      <w:r w:rsidR="0073666E" w:rsidRPr="0073666E">
        <w:rPr>
          <w:lang w:val="de-CH"/>
        </w:rPr>
        <w:t>extrêmement</w:t>
      </w:r>
      <w:proofErr w:type="spellEnd"/>
      <w:r w:rsidR="0073666E" w:rsidRPr="0073666E">
        <w:rPr>
          <w:lang w:val="de-CH"/>
        </w:rPr>
        <w:t xml:space="preserve"> </w:t>
      </w:r>
      <w:proofErr w:type="spellStart"/>
      <w:r w:rsidR="0073666E" w:rsidRPr="0073666E">
        <w:rPr>
          <w:lang w:val="de-CH"/>
        </w:rPr>
        <w:t>strictes</w:t>
      </w:r>
      <w:proofErr w:type="spellEnd"/>
      <w:r w:rsidR="0073666E" w:rsidRPr="0073666E">
        <w:rPr>
          <w:lang w:val="de-CH"/>
        </w:rPr>
        <w:t xml:space="preserve">. </w:t>
      </w:r>
      <w:r w:rsidR="0073666E" w:rsidRPr="0073666E">
        <w:t>Ainsi, depuis son entrée en vigueur le 1</w:t>
      </w:r>
      <w:r w:rsidR="0073666E" w:rsidRPr="0073666E">
        <w:rPr>
          <w:vertAlign w:val="superscript"/>
        </w:rPr>
        <w:t>er</w:t>
      </w:r>
      <w:r w:rsidR="0073666E" w:rsidRPr="0073666E">
        <w:t xml:space="preserve"> août 2008, seule une personne a été condamnée à l’internement à vie. </w:t>
      </w:r>
      <w:r w:rsidR="002B6ED6">
        <w:rPr>
          <w:lang w:val="de-CH"/>
        </w:rPr>
        <w:t>À</w:t>
      </w:r>
      <w:r w:rsidR="0073666E" w:rsidRPr="0073666E">
        <w:rPr>
          <w:lang w:val="de-CH"/>
        </w:rPr>
        <w:t xml:space="preserve"> </w:t>
      </w:r>
      <w:proofErr w:type="spellStart"/>
      <w:r w:rsidR="0073666E" w:rsidRPr="0073666E">
        <w:rPr>
          <w:lang w:val="de-CH"/>
        </w:rPr>
        <w:t>noter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TF a, </w:t>
      </w:r>
      <w:proofErr w:type="spellStart"/>
      <w:r w:rsidR="0073666E" w:rsidRPr="0073666E">
        <w:rPr>
          <w:lang w:val="de-CH"/>
        </w:rPr>
        <w:t>jusqu’à</w:t>
      </w:r>
      <w:proofErr w:type="spellEnd"/>
      <w:r w:rsidR="0073666E" w:rsidRPr="0073666E">
        <w:rPr>
          <w:lang w:val="de-CH"/>
        </w:rPr>
        <w:t xml:space="preserve"> </w:t>
      </w:r>
      <w:proofErr w:type="spellStart"/>
      <w:r w:rsidR="0073666E" w:rsidRPr="0073666E">
        <w:rPr>
          <w:lang w:val="de-CH"/>
        </w:rPr>
        <w:t>présent</w:t>
      </w:r>
      <w:proofErr w:type="spellEnd"/>
      <w:r w:rsidR="0073666E" w:rsidRPr="0073666E">
        <w:rPr>
          <w:lang w:val="de-CH"/>
        </w:rPr>
        <w:t xml:space="preserve">, </w:t>
      </w:r>
      <w:proofErr w:type="spellStart"/>
      <w:r w:rsidR="0073666E" w:rsidRPr="0073666E">
        <w:rPr>
          <w:lang w:val="de-CH"/>
        </w:rPr>
        <w:t>cassé</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condamnations</w:t>
      </w:r>
      <w:proofErr w:type="spellEnd"/>
      <w:r w:rsidR="0073666E" w:rsidRPr="0073666E">
        <w:rPr>
          <w:lang w:val="de-CH"/>
        </w:rPr>
        <w:t xml:space="preserve"> à </w:t>
      </w:r>
      <w:proofErr w:type="spellStart"/>
      <w:r w:rsidR="0073666E" w:rsidRPr="0073666E">
        <w:rPr>
          <w:lang w:val="de-CH"/>
        </w:rPr>
        <w:t>l’internement</w:t>
      </w:r>
      <w:proofErr w:type="spellEnd"/>
      <w:r w:rsidR="0073666E" w:rsidRPr="0073666E">
        <w:rPr>
          <w:lang w:val="de-CH"/>
        </w:rPr>
        <w:t xml:space="preserve"> à </w:t>
      </w:r>
      <w:proofErr w:type="spellStart"/>
      <w:r w:rsidR="0073666E" w:rsidRPr="0073666E">
        <w:rPr>
          <w:lang w:val="de-CH"/>
        </w:rPr>
        <w:t>vie</w:t>
      </w:r>
      <w:proofErr w:type="spellEnd"/>
      <w:r w:rsidR="0073666E" w:rsidRPr="0073666E">
        <w:rPr>
          <w:lang w:val="de-CH"/>
        </w:rPr>
        <w:t xml:space="preserve"> </w:t>
      </w:r>
      <w:proofErr w:type="spellStart"/>
      <w:r w:rsidR="0073666E" w:rsidRPr="0073666E">
        <w:rPr>
          <w:lang w:val="de-CH"/>
        </w:rPr>
        <w:t>portées</w:t>
      </w:r>
      <w:proofErr w:type="spellEnd"/>
      <w:r w:rsidR="0073666E" w:rsidRPr="0073666E">
        <w:rPr>
          <w:lang w:val="de-CH"/>
        </w:rPr>
        <w:t xml:space="preserve"> </w:t>
      </w:r>
      <w:proofErr w:type="spellStart"/>
      <w:r w:rsidR="0073666E" w:rsidRPr="0073666E">
        <w:rPr>
          <w:lang w:val="de-CH"/>
        </w:rPr>
        <w:t>devant</w:t>
      </w:r>
      <w:proofErr w:type="spellEnd"/>
      <w:r w:rsidR="0073666E" w:rsidRPr="0073666E">
        <w:rPr>
          <w:lang w:val="de-CH"/>
        </w:rPr>
        <w:t xml:space="preserve"> </w:t>
      </w:r>
      <w:proofErr w:type="spellStart"/>
      <w:r w:rsidR="0073666E" w:rsidRPr="0073666E">
        <w:rPr>
          <w:lang w:val="de-CH"/>
        </w:rPr>
        <w:t>lui</w:t>
      </w:r>
      <w:proofErr w:type="spellEnd"/>
      <w:r w:rsidR="0073666E" w:rsidRPr="0073666E">
        <w:rPr>
          <w:lang w:val="de-CH"/>
        </w:rPr>
        <w:t>.</w:t>
      </w:r>
    </w:p>
    <w:p w14:paraId="6C5D020E" w14:textId="77777777" w:rsidR="0073666E" w:rsidRPr="0073666E" w:rsidRDefault="006450F6" w:rsidP="006450F6">
      <w:pPr>
        <w:pStyle w:val="SingleTxtG"/>
        <w:rPr>
          <w:lang w:val="de-CH"/>
        </w:rPr>
      </w:pPr>
      <w:r>
        <w:rPr>
          <w:lang w:val="de-CH"/>
        </w:rPr>
        <w:t>110.</w:t>
      </w:r>
      <w:r>
        <w:rPr>
          <w:lang w:val="de-CH"/>
        </w:rPr>
        <w:tab/>
      </w:r>
      <w:r w:rsidR="0073666E" w:rsidRPr="0073666E">
        <w:rPr>
          <w:lang w:val="de-CH"/>
        </w:rPr>
        <w:t xml:space="preserve">Le </w:t>
      </w:r>
      <w:proofErr w:type="spellStart"/>
      <w:r w:rsidR="0073666E" w:rsidRPr="0073666E">
        <w:rPr>
          <w:lang w:val="de-CH"/>
        </w:rPr>
        <w:t>droit</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w:t>
      </w:r>
      <w:proofErr w:type="spellStart"/>
      <w:r w:rsidR="0073666E" w:rsidRPr="0073666E">
        <w:rPr>
          <w:lang w:val="de-CH"/>
        </w:rPr>
        <w:t>garantit</w:t>
      </w:r>
      <w:proofErr w:type="spellEnd"/>
      <w:r w:rsidR="0073666E" w:rsidRPr="0073666E">
        <w:rPr>
          <w:lang w:val="de-CH"/>
        </w:rPr>
        <w:t xml:space="preserve"> </w:t>
      </w:r>
      <w:proofErr w:type="spellStart"/>
      <w:r w:rsidR="0073666E" w:rsidRPr="0073666E">
        <w:rPr>
          <w:lang w:val="de-CH"/>
        </w:rPr>
        <w:t>sans</w:t>
      </w:r>
      <w:proofErr w:type="spellEnd"/>
      <w:r w:rsidR="0073666E" w:rsidRPr="0073666E">
        <w:rPr>
          <w:lang w:val="de-CH"/>
        </w:rPr>
        <w:t xml:space="preserve"> </w:t>
      </w:r>
      <w:proofErr w:type="spellStart"/>
      <w:r w:rsidR="0073666E" w:rsidRPr="0073666E">
        <w:rPr>
          <w:lang w:val="de-CH"/>
        </w:rPr>
        <w:t>ambiguïté</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condamnées</w:t>
      </w:r>
      <w:proofErr w:type="spellEnd"/>
      <w:r w:rsidR="0073666E" w:rsidRPr="0073666E">
        <w:rPr>
          <w:lang w:val="de-CH"/>
        </w:rPr>
        <w:t xml:space="preserve"> à </w:t>
      </w:r>
      <w:proofErr w:type="spellStart"/>
      <w:r w:rsidR="0073666E" w:rsidRPr="0073666E">
        <w:rPr>
          <w:lang w:val="de-CH"/>
        </w:rPr>
        <w:t>l’internement</w:t>
      </w:r>
      <w:proofErr w:type="spellEnd"/>
      <w:r w:rsidR="0073666E" w:rsidRPr="0073666E">
        <w:rPr>
          <w:lang w:val="de-CH"/>
        </w:rPr>
        <w:t xml:space="preserve"> à </w:t>
      </w:r>
      <w:proofErr w:type="spellStart"/>
      <w:r w:rsidR="0073666E" w:rsidRPr="0073666E">
        <w:rPr>
          <w:lang w:val="de-CH"/>
        </w:rPr>
        <w:t>vie</w:t>
      </w:r>
      <w:proofErr w:type="spellEnd"/>
      <w:r w:rsidR="0073666E" w:rsidRPr="0073666E">
        <w:rPr>
          <w:lang w:val="de-CH"/>
        </w:rPr>
        <w:t xml:space="preserve"> au sens de </w:t>
      </w:r>
      <w:proofErr w:type="spellStart"/>
      <w:r w:rsidR="0073666E" w:rsidRPr="0073666E">
        <w:rPr>
          <w:lang w:val="de-CH"/>
        </w:rPr>
        <w:t>l’art</w:t>
      </w:r>
      <w:proofErr w:type="spellEnd"/>
      <w:r w:rsidR="0073666E" w:rsidRPr="0073666E">
        <w:rPr>
          <w:lang w:val="de-CH"/>
        </w:rPr>
        <w:t xml:space="preserve">. 64, al. 1bis, CP le </w:t>
      </w:r>
      <w:proofErr w:type="spellStart"/>
      <w:r w:rsidR="0073666E" w:rsidRPr="0073666E">
        <w:rPr>
          <w:lang w:val="de-CH"/>
        </w:rPr>
        <w:t>droit</w:t>
      </w:r>
      <w:proofErr w:type="spellEnd"/>
      <w:r w:rsidR="0073666E" w:rsidRPr="0073666E">
        <w:rPr>
          <w:lang w:val="de-CH"/>
        </w:rPr>
        <w:t xml:space="preserve"> de </w:t>
      </w:r>
      <w:proofErr w:type="spellStart"/>
      <w:r w:rsidR="0073666E" w:rsidRPr="0073666E">
        <w:rPr>
          <w:lang w:val="de-CH"/>
        </w:rPr>
        <w:t>demander</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réexamen</w:t>
      </w:r>
      <w:proofErr w:type="spellEnd"/>
      <w:r w:rsidR="0073666E" w:rsidRPr="0073666E">
        <w:rPr>
          <w:lang w:val="de-CH"/>
        </w:rPr>
        <w:t xml:space="preserve"> de la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conditions</w:t>
      </w:r>
      <w:proofErr w:type="spellEnd"/>
      <w:r w:rsidR="0073666E" w:rsidRPr="0073666E">
        <w:rPr>
          <w:lang w:val="de-CH"/>
        </w:rPr>
        <w:t xml:space="preserve"> de </w:t>
      </w:r>
      <w:proofErr w:type="spellStart"/>
      <w:r w:rsidR="0073666E" w:rsidRPr="0073666E">
        <w:rPr>
          <w:lang w:val="de-CH"/>
        </w:rPr>
        <w:t>libération</w:t>
      </w:r>
      <w:proofErr w:type="spellEnd"/>
      <w:r w:rsidR="0073666E" w:rsidRPr="0073666E">
        <w:rPr>
          <w:lang w:val="de-CH"/>
        </w:rPr>
        <w:t xml:space="preserve"> de </w:t>
      </w:r>
      <w:proofErr w:type="spellStart"/>
      <w:r w:rsidR="0073666E" w:rsidRPr="0073666E">
        <w:rPr>
          <w:lang w:val="de-CH"/>
        </w:rPr>
        <w:t>l’internement</w:t>
      </w:r>
      <w:proofErr w:type="spellEnd"/>
      <w:r w:rsidR="0073666E" w:rsidRPr="0073666E">
        <w:rPr>
          <w:lang w:val="de-CH"/>
        </w:rPr>
        <w:t xml:space="preserve"> à </w:t>
      </w:r>
      <w:proofErr w:type="spellStart"/>
      <w:r w:rsidR="0073666E" w:rsidRPr="0073666E">
        <w:rPr>
          <w:lang w:val="de-CH"/>
        </w:rPr>
        <w:t>vie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réglées</w:t>
      </w:r>
      <w:proofErr w:type="spellEnd"/>
      <w:r w:rsidR="0073666E" w:rsidRPr="0073666E">
        <w:rPr>
          <w:lang w:val="de-CH"/>
        </w:rPr>
        <w:t xml:space="preserve"> à </w:t>
      </w:r>
      <w:proofErr w:type="spellStart"/>
      <w:r w:rsidR="0073666E" w:rsidRPr="0073666E">
        <w:rPr>
          <w:lang w:val="de-CH"/>
        </w:rPr>
        <w:t>l’art</w:t>
      </w:r>
      <w:proofErr w:type="spellEnd"/>
      <w:r w:rsidR="0073666E" w:rsidRPr="0073666E">
        <w:rPr>
          <w:lang w:val="de-CH"/>
        </w:rPr>
        <w:t xml:space="preserve">. 64c CP. </w:t>
      </w:r>
      <w:proofErr w:type="spellStart"/>
      <w:r w:rsidR="0073666E" w:rsidRPr="0073666E">
        <w:rPr>
          <w:lang w:val="de-CH"/>
        </w:rPr>
        <w:t>Conformément</w:t>
      </w:r>
      <w:proofErr w:type="spellEnd"/>
      <w:r w:rsidR="0073666E" w:rsidRPr="0073666E">
        <w:rPr>
          <w:lang w:val="de-CH"/>
        </w:rPr>
        <w:t xml:space="preserve"> à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disposition</w:t>
      </w:r>
      <w:proofErr w:type="spellEnd"/>
      <w:r w:rsidR="0073666E" w:rsidRPr="0073666E">
        <w:rPr>
          <w:lang w:val="de-CH"/>
        </w:rPr>
        <w:t xml:space="preserve">, </w:t>
      </w:r>
      <w:proofErr w:type="spellStart"/>
      <w:r w:rsidR="0073666E" w:rsidRPr="0073666E">
        <w:rPr>
          <w:lang w:val="de-CH"/>
        </w:rPr>
        <w:t>l’autorité</w:t>
      </w:r>
      <w:proofErr w:type="spellEnd"/>
      <w:r w:rsidR="0073666E" w:rsidRPr="0073666E">
        <w:rPr>
          <w:lang w:val="de-CH"/>
        </w:rPr>
        <w:t xml:space="preserve"> </w:t>
      </w:r>
      <w:proofErr w:type="spellStart"/>
      <w:r w:rsidR="0073666E" w:rsidRPr="0073666E">
        <w:rPr>
          <w:lang w:val="de-CH"/>
        </w:rPr>
        <w:t>compétente</w:t>
      </w:r>
      <w:proofErr w:type="spellEnd"/>
      <w:r w:rsidR="0073666E" w:rsidRPr="0073666E">
        <w:rPr>
          <w:lang w:val="de-CH"/>
        </w:rPr>
        <w:t xml:space="preserve"> </w:t>
      </w:r>
      <w:proofErr w:type="spellStart"/>
      <w:r w:rsidR="0073666E" w:rsidRPr="0073666E">
        <w:rPr>
          <w:lang w:val="de-CH"/>
        </w:rPr>
        <w:t>examine</w:t>
      </w:r>
      <w:proofErr w:type="spellEnd"/>
      <w:r w:rsidR="0073666E" w:rsidRPr="0073666E">
        <w:rPr>
          <w:lang w:val="de-CH"/>
        </w:rPr>
        <w:t xml:space="preserve">, </w:t>
      </w:r>
      <w:proofErr w:type="spellStart"/>
      <w:r w:rsidR="0073666E" w:rsidRPr="0073666E">
        <w:rPr>
          <w:lang w:val="de-CH"/>
        </w:rPr>
        <w:t>d’office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demande</w:t>
      </w:r>
      <w:proofErr w:type="spellEnd"/>
      <w:r w:rsidR="0073666E" w:rsidRPr="0073666E">
        <w:rPr>
          <w:lang w:val="de-CH"/>
        </w:rPr>
        <w:t xml:space="preserve">, si de </w:t>
      </w:r>
      <w:proofErr w:type="spellStart"/>
      <w:r w:rsidR="0073666E" w:rsidRPr="0073666E">
        <w:rPr>
          <w:lang w:val="de-CH"/>
        </w:rPr>
        <w:t>nouvelles</w:t>
      </w:r>
      <w:proofErr w:type="spellEnd"/>
      <w:r w:rsidR="0073666E" w:rsidRPr="0073666E">
        <w:rPr>
          <w:lang w:val="de-CH"/>
        </w:rPr>
        <w:t xml:space="preserve"> </w:t>
      </w:r>
      <w:proofErr w:type="spellStart"/>
      <w:r w:rsidR="0073666E" w:rsidRPr="0073666E">
        <w:rPr>
          <w:lang w:val="de-CH"/>
        </w:rPr>
        <w:t>connaissances</w:t>
      </w:r>
      <w:proofErr w:type="spellEnd"/>
      <w:r w:rsidR="0073666E" w:rsidRPr="0073666E">
        <w:rPr>
          <w:lang w:val="de-CH"/>
        </w:rPr>
        <w:t xml:space="preserve"> </w:t>
      </w:r>
      <w:proofErr w:type="spellStart"/>
      <w:r w:rsidR="0073666E" w:rsidRPr="0073666E">
        <w:rPr>
          <w:lang w:val="de-CH"/>
        </w:rPr>
        <w:t>scientifiques</w:t>
      </w:r>
      <w:proofErr w:type="spellEnd"/>
      <w:r w:rsidR="0073666E" w:rsidRPr="0073666E">
        <w:rPr>
          <w:lang w:val="de-CH"/>
        </w:rPr>
        <w:t xml:space="preserve"> </w:t>
      </w:r>
      <w:proofErr w:type="spellStart"/>
      <w:r w:rsidR="0073666E" w:rsidRPr="0073666E">
        <w:rPr>
          <w:lang w:val="de-CH"/>
        </w:rPr>
        <w:t>pourraient</w:t>
      </w:r>
      <w:proofErr w:type="spellEnd"/>
      <w:r w:rsidR="0073666E" w:rsidRPr="0073666E">
        <w:rPr>
          <w:lang w:val="de-CH"/>
        </w:rPr>
        <w:t xml:space="preserve"> </w:t>
      </w:r>
      <w:proofErr w:type="spellStart"/>
      <w:r w:rsidR="0073666E" w:rsidRPr="0073666E">
        <w:rPr>
          <w:lang w:val="de-CH"/>
        </w:rPr>
        <w:t>permettre</w:t>
      </w:r>
      <w:proofErr w:type="spellEnd"/>
      <w:r w:rsidR="0073666E" w:rsidRPr="0073666E">
        <w:rPr>
          <w:lang w:val="de-CH"/>
        </w:rPr>
        <w:t xml:space="preserve"> de </w:t>
      </w:r>
      <w:proofErr w:type="spellStart"/>
      <w:r w:rsidR="0073666E" w:rsidRPr="0073666E">
        <w:rPr>
          <w:lang w:val="de-CH"/>
        </w:rPr>
        <w:t>traiter</w:t>
      </w:r>
      <w:proofErr w:type="spellEnd"/>
      <w:r w:rsidR="0073666E" w:rsidRPr="0073666E">
        <w:rPr>
          <w:lang w:val="de-CH"/>
        </w:rPr>
        <w:t xml:space="preserve"> </w:t>
      </w:r>
      <w:proofErr w:type="spellStart"/>
      <w:r w:rsidR="0073666E" w:rsidRPr="0073666E">
        <w:rPr>
          <w:lang w:val="de-CH"/>
        </w:rPr>
        <w:t>l’auteur</w:t>
      </w:r>
      <w:proofErr w:type="spellEnd"/>
      <w:r w:rsidR="0073666E" w:rsidRPr="0073666E">
        <w:rPr>
          <w:lang w:val="de-CH"/>
        </w:rPr>
        <w:t xml:space="preserve"> de </w:t>
      </w:r>
      <w:proofErr w:type="spellStart"/>
      <w:r w:rsidR="0073666E" w:rsidRPr="0073666E">
        <w:rPr>
          <w:lang w:val="de-CH"/>
        </w:rPr>
        <w:t>manière</w:t>
      </w:r>
      <w:proofErr w:type="spellEnd"/>
      <w:r w:rsidR="0073666E" w:rsidRPr="0073666E">
        <w:rPr>
          <w:lang w:val="de-CH"/>
        </w:rPr>
        <w:t xml:space="preserve"> </w:t>
      </w:r>
      <w:proofErr w:type="spellStart"/>
      <w:r w:rsidR="0073666E" w:rsidRPr="0073666E">
        <w:rPr>
          <w:lang w:val="de-CH"/>
        </w:rPr>
        <w:t>qu’il</w:t>
      </w:r>
      <w:proofErr w:type="spellEnd"/>
      <w:r w:rsidR="0073666E" w:rsidRPr="0073666E">
        <w:rPr>
          <w:lang w:val="de-CH"/>
        </w:rPr>
        <w:t xml:space="preserve"> ne </w:t>
      </w:r>
      <w:proofErr w:type="spellStart"/>
      <w:r w:rsidR="0073666E" w:rsidRPr="0073666E">
        <w:rPr>
          <w:lang w:val="de-CH"/>
        </w:rPr>
        <w:t>représente</w:t>
      </w:r>
      <w:proofErr w:type="spellEnd"/>
      <w:r w:rsidR="0073666E" w:rsidRPr="0073666E">
        <w:rPr>
          <w:lang w:val="de-CH"/>
        </w:rPr>
        <w:t xml:space="preserve"> plus de </w:t>
      </w:r>
      <w:proofErr w:type="spellStart"/>
      <w:r w:rsidR="0073666E" w:rsidRPr="0073666E">
        <w:rPr>
          <w:lang w:val="de-CH"/>
        </w:rPr>
        <w:t>danger</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la </w:t>
      </w:r>
      <w:proofErr w:type="spellStart"/>
      <w:r w:rsidR="0073666E" w:rsidRPr="0073666E">
        <w:rPr>
          <w:lang w:val="de-CH"/>
        </w:rPr>
        <w:t>collectivité</w:t>
      </w:r>
      <w:proofErr w:type="spellEnd"/>
      <w:r w:rsidR="0073666E" w:rsidRPr="0073666E">
        <w:rPr>
          <w:lang w:val="de-CH"/>
        </w:rPr>
        <w:t xml:space="preserve">. Elle </w:t>
      </w:r>
      <w:proofErr w:type="spellStart"/>
      <w:r w:rsidR="0073666E" w:rsidRPr="0073666E">
        <w:rPr>
          <w:lang w:val="de-CH"/>
        </w:rPr>
        <w:t>prend</w:t>
      </w:r>
      <w:proofErr w:type="spellEnd"/>
      <w:r w:rsidR="0073666E" w:rsidRPr="0073666E">
        <w:rPr>
          <w:lang w:val="de-CH"/>
        </w:rPr>
        <w:t xml:space="preserv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en se </w:t>
      </w:r>
      <w:proofErr w:type="spellStart"/>
      <w:r w:rsidR="0073666E" w:rsidRPr="0073666E">
        <w:rPr>
          <w:lang w:val="de-CH"/>
        </w:rPr>
        <w:t>fondant</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w:t>
      </w:r>
      <w:proofErr w:type="spellStart"/>
      <w:r w:rsidR="0073666E" w:rsidRPr="0073666E">
        <w:rPr>
          <w:lang w:val="de-CH"/>
        </w:rPr>
        <w:t>rapport</w:t>
      </w:r>
      <w:proofErr w:type="spellEnd"/>
      <w:r w:rsidR="0073666E" w:rsidRPr="0073666E">
        <w:rPr>
          <w:lang w:val="de-CH"/>
        </w:rPr>
        <w:t xml:space="preserve"> de la </w:t>
      </w:r>
      <w:proofErr w:type="spellStart"/>
      <w:r w:rsidR="0073666E" w:rsidRPr="0073666E">
        <w:rPr>
          <w:lang w:val="de-CH"/>
        </w:rPr>
        <w:t>commission</w:t>
      </w:r>
      <w:proofErr w:type="spellEnd"/>
      <w:r w:rsidR="0073666E" w:rsidRPr="0073666E">
        <w:rPr>
          <w:lang w:val="de-CH"/>
        </w:rPr>
        <w:t xml:space="preserve"> </w:t>
      </w:r>
      <w:proofErr w:type="spellStart"/>
      <w:r w:rsidR="0073666E" w:rsidRPr="0073666E">
        <w:rPr>
          <w:lang w:val="de-CH"/>
        </w:rPr>
        <w:t>fédérale</w:t>
      </w:r>
      <w:proofErr w:type="spellEnd"/>
      <w:r w:rsidR="0073666E" w:rsidRPr="0073666E">
        <w:rPr>
          <w:lang w:val="de-CH"/>
        </w:rPr>
        <w:t xml:space="preserve"> </w:t>
      </w:r>
      <w:proofErr w:type="spellStart"/>
      <w:r w:rsidR="0073666E" w:rsidRPr="0073666E">
        <w:rPr>
          <w:lang w:val="de-CH"/>
        </w:rPr>
        <w:t>chargée</w:t>
      </w:r>
      <w:proofErr w:type="spellEnd"/>
      <w:r w:rsidR="0073666E" w:rsidRPr="0073666E">
        <w:rPr>
          <w:lang w:val="de-CH"/>
        </w:rPr>
        <w:t xml:space="preserve"> de </w:t>
      </w:r>
      <w:proofErr w:type="spellStart"/>
      <w:r w:rsidR="0073666E" w:rsidRPr="0073666E">
        <w:rPr>
          <w:lang w:val="de-CH"/>
        </w:rPr>
        <w:t>juger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possibilités</w:t>
      </w:r>
      <w:proofErr w:type="spellEnd"/>
      <w:r w:rsidR="0073666E" w:rsidRPr="0073666E">
        <w:rPr>
          <w:lang w:val="de-CH"/>
        </w:rPr>
        <w:t xml:space="preserve"> de </w:t>
      </w:r>
      <w:proofErr w:type="spellStart"/>
      <w:r w:rsidR="0073666E" w:rsidRPr="0073666E">
        <w:rPr>
          <w:lang w:val="de-CH"/>
        </w:rPr>
        <w:t>traiter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internées</w:t>
      </w:r>
      <w:proofErr w:type="spellEnd"/>
      <w:r w:rsidR="0073666E" w:rsidRPr="0073666E">
        <w:rPr>
          <w:lang w:val="de-CH"/>
        </w:rPr>
        <w:t xml:space="preserve"> à </w:t>
      </w:r>
      <w:proofErr w:type="spellStart"/>
      <w:r w:rsidR="0073666E" w:rsidRPr="0073666E">
        <w:rPr>
          <w:lang w:val="de-CH"/>
        </w:rPr>
        <w:t>vie</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commission</w:t>
      </w:r>
      <w:proofErr w:type="spellEnd"/>
      <w:r w:rsidR="0073666E" w:rsidRPr="0073666E">
        <w:rPr>
          <w:lang w:val="de-CH"/>
        </w:rPr>
        <w:t xml:space="preserve"> </w:t>
      </w:r>
      <w:proofErr w:type="spellStart"/>
      <w:r w:rsidR="0073666E" w:rsidRPr="0073666E">
        <w:rPr>
          <w:lang w:val="de-CH"/>
        </w:rPr>
        <w:t>indépendante</w:t>
      </w:r>
      <w:proofErr w:type="spellEnd"/>
      <w:r w:rsidR="0073666E" w:rsidRPr="0073666E">
        <w:rPr>
          <w:lang w:val="de-CH"/>
        </w:rPr>
        <w:t xml:space="preserve"> se </w:t>
      </w:r>
      <w:proofErr w:type="spellStart"/>
      <w:r w:rsidR="0073666E" w:rsidRPr="0073666E">
        <w:rPr>
          <w:lang w:val="de-CH"/>
        </w:rPr>
        <w:t>compose</w:t>
      </w:r>
      <w:proofErr w:type="spellEnd"/>
      <w:r w:rsidR="0073666E" w:rsidRPr="0073666E">
        <w:rPr>
          <w:lang w:val="de-CH"/>
        </w:rPr>
        <w:t xml:space="preserve"> de dix </w:t>
      </w:r>
      <w:proofErr w:type="spellStart"/>
      <w:r w:rsidR="0073666E" w:rsidRPr="0073666E">
        <w:rPr>
          <w:lang w:val="de-CH"/>
        </w:rPr>
        <w:t>spécialistes</w:t>
      </w:r>
      <w:proofErr w:type="spellEnd"/>
      <w:r w:rsidR="0073666E" w:rsidRPr="0073666E">
        <w:rPr>
          <w:lang w:val="de-CH"/>
        </w:rPr>
        <w:t xml:space="preserve"> de la </w:t>
      </w:r>
      <w:proofErr w:type="spellStart"/>
      <w:r w:rsidR="0073666E" w:rsidRPr="0073666E">
        <w:rPr>
          <w:lang w:val="de-CH"/>
        </w:rPr>
        <w:t>psychiatrie</w:t>
      </w:r>
      <w:proofErr w:type="spellEnd"/>
      <w:r w:rsidR="0073666E" w:rsidRPr="0073666E">
        <w:rPr>
          <w:lang w:val="de-CH"/>
        </w:rPr>
        <w:t xml:space="preserve"> </w:t>
      </w:r>
      <w:proofErr w:type="spellStart"/>
      <w:r w:rsidR="0073666E" w:rsidRPr="0073666E">
        <w:rPr>
          <w:lang w:val="de-CH"/>
        </w:rPr>
        <w:t>forensique</w:t>
      </w:r>
      <w:proofErr w:type="spellEnd"/>
      <w:r w:rsidR="0073666E" w:rsidRPr="0073666E">
        <w:rPr>
          <w:lang w:val="de-CH"/>
        </w:rPr>
        <w:t xml:space="preserve"> </w:t>
      </w:r>
      <w:proofErr w:type="spellStart"/>
      <w:r w:rsidR="0073666E" w:rsidRPr="0073666E">
        <w:rPr>
          <w:lang w:val="de-CH"/>
        </w:rPr>
        <w:t>provenant</w:t>
      </w:r>
      <w:proofErr w:type="spellEnd"/>
      <w:r w:rsidR="0073666E" w:rsidRPr="0073666E">
        <w:rPr>
          <w:lang w:val="de-CH"/>
        </w:rPr>
        <w:t xml:space="preserve"> de </w:t>
      </w:r>
      <w:proofErr w:type="spellStart"/>
      <w:r w:rsidR="0073666E" w:rsidRPr="0073666E">
        <w:rPr>
          <w:lang w:val="de-CH"/>
        </w:rPr>
        <w:t>différentes</w:t>
      </w:r>
      <w:proofErr w:type="spellEnd"/>
      <w:r w:rsidR="0073666E" w:rsidRPr="0073666E">
        <w:rPr>
          <w:lang w:val="de-CH"/>
        </w:rPr>
        <w:t xml:space="preserve"> </w:t>
      </w:r>
      <w:proofErr w:type="spellStart"/>
      <w:r w:rsidR="0073666E" w:rsidRPr="0073666E">
        <w:rPr>
          <w:lang w:val="de-CH"/>
        </w:rPr>
        <w:t>régions</w:t>
      </w:r>
      <w:proofErr w:type="spellEnd"/>
      <w:r w:rsidR="0073666E" w:rsidRPr="0073666E">
        <w:rPr>
          <w:lang w:val="de-CH"/>
        </w:rPr>
        <w:t xml:space="preserve"> de la Suisse. Elle a la </w:t>
      </w:r>
      <w:proofErr w:type="spellStart"/>
      <w:r w:rsidR="0073666E" w:rsidRPr="0073666E">
        <w:rPr>
          <w:lang w:val="de-CH"/>
        </w:rPr>
        <w:t>tâche</w:t>
      </w:r>
      <w:proofErr w:type="spellEnd"/>
      <w:r w:rsidR="0073666E" w:rsidRPr="0073666E">
        <w:rPr>
          <w:lang w:val="de-CH"/>
        </w:rPr>
        <w:t xml:space="preserve"> </w:t>
      </w:r>
      <w:proofErr w:type="spellStart"/>
      <w:r w:rsidR="0073666E" w:rsidRPr="0073666E">
        <w:rPr>
          <w:lang w:val="de-CH"/>
        </w:rPr>
        <w:t>d’assister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cantonales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l’évaluation</w:t>
      </w:r>
      <w:proofErr w:type="spellEnd"/>
      <w:r w:rsidR="0073666E" w:rsidRPr="0073666E">
        <w:rPr>
          <w:lang w:val="de-CH"/>
        </w:rPr>
        <w:t xml:space="preserve"> des </w:t>
      </w:r>
      <w:proofErr w:type="spellStart"/>
      <w:r w:rsidR="0073666E" w:rsidRPr="0073666E">
        <w:rPr>
          <w:lang w:val="de-CH"/>
        </w:rPr>
        <w:t>possibilités</w:t>
      </w:r>
      <w:proofErr w:type="spellEnd"/>
      <w:r w:rsidR="0073666E" w:rsidRPr="0073666E">
        <w:rPr>
          <w:lang w:val="de-CH"/>
        </w:rPr>
        <w:t xml:space="preserve"> de </w:t>
      </w:r>
      <w:proofErr w:type="spellStart"/>
      <w:r w:rsidR="0073666E" w:rsidRPr="0073666E">
        <w:rPr>
          <w:lang w:val="de-CH"/>
        </w:rPr>
        <w:t>traiter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internées</w:t>
      </w:r>
      <w:proofErr w:type="spellEnd"/>
      <w:r w:rsidR="0073666E" w:rsidRPr="0073666E">
        <w:rPr>
          <w:lang w:val="de-CH"/>
        </w:rPr>
        <w:t xml:space="preserve"> à</w:t>
      </w:r>
      <w:r w:rsidR="004C5A95">
        <w:rPr>
          <w:lang w:val="de-CH"/>
        </w:rPr>
        <w:t> </w:t>
      </w:r>
      <w:proofErr w:type="spellStart"/>
      <w:r w:rsidR="0073666E" w:rsidRPr="0073666E">
        <w:rPr>
          <w:lang w:val="de-CH"/>
        </w:rPr>
        <w:t>vie</w:t>
      </w:r>
      <w:proofErr w:type="spellEnd"/>
      <w:r w:rsidR="0073666E" w:rsidRPr="0073666E">
        <w:rPr>
          <w:lang w:val="de-CH"/>
        </w:rPr>
        <w:t>.</w:t>
      </w:r>
    </w:p>
    <w:p w14:paraId="4724CF51" w14:textId="77777777" w:rsidR="0073666E" w:rsidRPr="0073666E" w:rsidRDefault="00E76E99" w:rsidP="00E76E99">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527D6A">
        <w:rPr>
          <w:lang w:val="fr-FR"/>
        </w:rPr>
        <w:t>à la question posée</w:t>
      </w:r>
      <w:r w:rsidR="00527D6A">
        <w:rPr>
          <w:lang w:val="de-CH"/>
        </w:rPr>
        <w:t xml:space="preserve"> </w:t>
      </w:r>
      <w:r>
        <w:rPr>
          <w:lang w:val="de-CH"/>
        </w:rPr>
        <w:t xml:space="preserve">au </w:t>
      </w:r>
      <w:proofErr w:type="spellStart"/>
      <w:r>
        <w:rPr>
          <w:lang w:val="de-CH"/>
        </w:rPr>
        <w:t>paragraphe</w:t>
      </w:r>
      <w:proofErr w:type="spellEnd"/>
      <w:r>
        <w:rPr>
          <w:lang w:val="de-CH"/>
        </w:rPr>
        <w:t xml:space="preserve"> 20</w:t>
      </w:r>
    </w:p>
    <w:p w14:paraId="6A32368E" w14:textId="77777777" w:rsidR="0073666E" w:rsidRPr="0073666E" w:rsidRDefault="00E76E99" w:rsidP="00E76E99">
      <w:pPr>
        <w:pStyle w:val="SingleTxtG"/>
        <w:rPr>
          <w:lang w:val="de-CH"/>
        </w:rPr>
      </w:pPr>
      <w:bookmarkStart w:id="1" w:name="_Toc460590897"/>
      <w:r>
        <w:rPr>
          <w:lang w:val="de-CH"/>
        </w:rPr>
        <w:t>111.</w:t>
      </w:r>
      <w:r>
        <w:rPr>
          <w:lang w:val="de-CH"/>
        </w:rPr>
        <w:tab/>
      </w:r>
      <w:proofErr w:type="spellStart"/>
      <w:r w:rsidR="0073666E" w:rsidRPr="0073666E">
        <w:rPr>
          <w:lang w:val="de-CH"/>
        </w:rPr>
        <w:t>Comme</w:t>
      </w:r>
      <w:proofErr w:type="spellEnd"/>
      <w:r w:rsidR="0073666E" w:rsidRPr="0073666E">
        <w:rPr>
          <w:lang w:val="de-CH"/>
        </w:rPr>
        <w:t xml:space="preserve"> </w:t>
      </w:r>
      <w:proofErr w:type="spellStart"/>
      <w:r w:rsidR="0073666E" w:rsidRPr="0073666E">
        <w:rPr>
          <w:lang w:val="de-CH"/>
        </w:rPr>
        <w:t>remarque</w:t>
      </w:r>
      <w:proofErr w:type="spellEnd"/>
      <w:r w:rsidR="0073666E" w:rsidRPr="0073666E">
        <w:rPr>
          <w:lang w:val="de-CH"/>
        </w:rPr>
        <w:t xml:space="preserve"> </w:t>
      </w:r>
      <w:proofErr w:type="spellStart"/>
      <w:r w:rsidR="0073666E" w:rsidRPr="0073666E">
        <w:rPr>
          <w:lang w:val="de-CH"/>
        </w:rPr>
        <w:t>préliminaire</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important</w:t>
      </w:r>
      <w:proofErr w:type="spellEnd"/>
      <w:r w:rsidR="0073666E" w:rsidRPr="0073666E">
        <w:rPr>
          <w:lang w:val="de-CH"/>
        </w:rPr>
        <w:t xml:space="preserve"> de </w:t>
      </w:r>
      <w:proofErr w:type="spellStart"/>
      <w:r w:rsidR="0073666E" w:rsidRPr="0073666E">
        <w:rPr>
          <w:lang w:val="de-CH"/>
        </w:rPr>
        <w:t>préciser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l’art</w:t>
      </w:r>
      <w:proofErr w:type="spellEnd"/>
      <w:r w:rsidR="0073666E" w:rsidRPr="0073666E">
        <w:rPr>
          <w:lang w:val="de-CH"/>
        </w:rPr>
        <w:t xml:space="preserve">. 78 CP </w:t>
      </w:r>
      <w:proofErr w:type="spellStart"/>
      <w:r w:rsidR="0073666E" w:rsidRPr="0073666E">
        <w:rPr>
          <w:lang w:val="de-CH"/>
        </w:rPr>
        <w:t>prévoit</w:t>
      </w:r>
      <w:proofErr w:type="spellEnd"/>
      <w:r w:rsidR="0073666E" w:rsidRPr="0073666E">
        <w:rPr>
          <w:lang w:val="de-CH"/>
        </w:rPr>
        <w:t xml:space="preserve"> la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cellulaire</w:t>
      </w:r>
      <w:proofErr w:type="spellEnd"/>
      <w:r w:rsidR="0073666E" w:rsidRPr="0073666E">
        <w:rPr>
          <w:lang w:val="de-CH"/>
        </w:rPr>
        <w:t xml:space="preserve"> </w:t>
      </w:r>
      <w:proofErr w:type="spellStart"/>
      <w:r w:rsidR="0073666E" w:rsidRPr="0073666E">
        <w:rPr>
          <w:lang w:val="de-CH"/>
        </w:rPr>
        <w:t>sous</w:t>
      </w:r>
      <w:proofErr w:type="spellEnd"/>
      <w:r w:rsidR="0073666E" w:rsidRPr="0073666E">
        <w:rPr>
          <w:lang w:val="de-CH"/>
        </w:rPr>
        <w:t xml:space="preserve"> la forme de </w:t>
      </w:r>
      <w:proofErr w:type="spellStart"/>
      <w:r w:rsidR="0073666E" w:rsidRPr="0073666E">
        <w:rPr>
          <w:lang w:val="de-CH"/>
        </w:rPr>
        <w:t>l’isolement</w:t>
      </w:r>
      <w:proofErr w:type="spellEnd"/>
      <w:r w:rsidR="0073666E" w:rsidRPr="0073666E">
        <w:rPr>
          <w:lang w:val="de-CH"/>
        </w:rPr>
        <w:t xml:space="preserve"> </w:t>
      </w:r>
      <w:proofErr w:type="spellStart"/>
      <w:r w:rsidR="0073666E" w:rsidRPr="0073666E">
        <w:rPr>
          <w:lang w:val="de-CH"/>
        </w:rPr>
        <w:t>ininterrompu</w:t>
      </w:r>
      <w:proofErr w:type="spellEnd"/>
      <w:r w:rsidR="0073666E" w:rsidRPr="0073666E">
        <w:rPr>
          <w:lang w:val="de-CH"/>
        </w:rPr>
        <w:t xml:space="preserve"> </w:t>
      </w:r>
      <w:proofErr w:type="spellStart"/>
      <w:r w:rsidR="0073666E" w:rsidRPr="0073666E">
        <w:rPr>
          <w:lang w:val="de-CH"/>
        </w:rPr>
        <w:t>d’avec</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autres</w:t>
      </w:r>
      <w:proofErr w:type="spellEnd"/>
      <w:r w:rsidR="0073666E" w:rsidRPr="0073666E">
        <w:rPr>
          <w:lang w:val="de-CH"/>
        </w:rPr>
        <w:t xml:space="preserve"> </w:t>
      </w:r>
      <w:proofErr w:type="spellStart"/>
      <w:r w:rsidR="0073666E" w:rsidRPr="0073666E">
        <w:rPr>
          <w:lang w:val="de-CH"/>
        </w:rPr>
        <w:t>détenus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trois</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w:t>
      </w:r>
      <w:r w:rsidR="0073666E" w:rsidRPr="00E76E99">
        <w:t>de</w:t>
      </w:r>
      <w:r w:rsidR="0073666E" w:rsidRPr="0073666E">
        <w:rPr>
          <w:lang w:val="de-CH"/>
        </w:rPr>
        <w:t xml:space="preserve"> </w:t>
      </w:r>
      <w:proofErr w:type="spellStart"/>
      <w:r w:rsidR="0073666E" w:rsidRPr="0073666E">
        <w:rPr>
          <w:lang w:val="de-CH"/>
        </w:rPr>
        <w:t>figure</w:t>
      </w:r>
      <w:proofErr w:type="spellEnd"/>
      <w:r w:rsidR="00222D58">
        <w:rPr>
          <w:lang w:val="de-CH"/>
        </w:rPr>
        <w:t> </w:t>
      </w:r>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période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semaine</w:t>
      </w:r>
      <w:proofErr w:type="spellEnd"/>
      <w:r w:rsidR="0073666E" w:rsidRPr="0073666E">
        <w:rPr>
          <w:lang w:val="de-CH"/>
        </w:rPr>
        <w:t xml:space="preserve"> au plus au </w:t>
      </w:r>
      <w:proofErr w:type="spellStart"/>
      <w:r w:rsidR="0073666E" w:rsidRPr="0073666E">
        <w:rPr>
          <w:lang w:val="de-CH"/>
        </w:rPr>
        <w:t>début</w:t>
      </w:r>
      <w:proofErr w:type="spellEnd"/>
      <w:r w:rsidR="0073666E" w:rsidRPr="0073666E">
        <w:rPr>
          <w:lang w:val="de-CH"/>
        </w:rPr>
        <w:t xml:space="preserve"> de la </w:t>
      </w:r>
      <w:proofErr w:type="spellStart"/>
      <w:r w:rsidR="0073666E" w:rsidRPr="0073666E">
        <w:rPr>
          <w:lang w:val="de-CH"/>
        </w:rPr>
        <w:t>peine</w:t>
      </w:r>
      <w:proofErr w:type="spellEnd"/>
      <w:r w:rsidR="0073666E" w:rsidRPr="0073666E">
        <w:rPr>
          <w:lang w:val="de-CH"/>
        </w:rPr>
        <w:t xml:space="preserve"> et </w:t>
      </w:r>
      <w:proofErr w:type="spellStart"/>
      <w:r w:rsidR="0073666E" w:rsidRPr="0073666E">
        <w:rPr>
          <w:lang w:val="de-CH"/>
        </w:rPr>
        <w:t>pour</w:t>
      </w:r>
      <w:proofErr w:type="spellEnd"/>
      <w:r w:rsidR="0073666E" w:rsidRPr="0073666E">
        <w:rPr>
          <w:lang w:val="de-CH"/>
        </w:rPr>
        <w:t xml:space="preserve"> en </w:t>
      </w:r>
      <w:proofErr w:type="spellStart"/>
      <w:r w:rsidR="0073666E" w:rsidRPr="0073666E">
        <w:rPr>
          <w:lang w:val="de-CH"/>
        </w:rPr>
        <w:t>préparer</w:t>
      </w:r>
      <w:proofErr w:type="spellEnd"/>
      <w:r w:rsidR="0073666E" w:rsidRPr="0073666E">
        <w:rPr>
          <w:lang w:val="de-CH"/>
        </w:rPr>
        <w:t xml:space="preserve"> </w:t>
      </w:r>
      <w:proofErr w:type="spellStart"/>
      <w:r w:rsidR="0073666E" w:rsidRPr="0073666E">
        <w:rPr>
          <w:lang w:val="de-CH"/>
        </w:rPr>
        <w:t>l’exécution</w:t>
      </w:r>
      <w:proofErr w:type="spellEnd"/>
      <w:r w:rsidR="000A0B7E">
        <w:rPr>
          <w:lang w:val="de-CH"/>
        </w:rPr>
        <w:t> </w:t>
      </w:r>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protéger</w:t>
      </w:r>
      <w:proofErr w:type="spellEnd"/>
      <w:r w:rsidR="0073666E" w:rsidRPr="0073666E">
        <w:rPr>
          <w:lang w:val="de-CH"/>
        </w:rPr>
        <w:t xml:space="preserve"> le </w:t>
      </w:r>
      <w:proofErr w:type="spellStart"/>
      <w:r w:rsidR="0073666E" w:rsidRPr="0073666E">
        <w:rPr>
          <w:lang w:val="de-CH"/>
        </w:rPr>
        <w:t>détenu</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des </w:t>
      </w:r>
      <w:proofErr w:type="spellStart"/>
      <w:r w:rsidR="0073666E" w:rsidRPr="0073666E">
        <w:rPr>
          <w:lang w:val="de-CH"/>
        </w:rPr>
        <w:t>tiers</w:t>
      </w:r>
      <w:proofErr w:type="spellEnd"/>
      <w:r w:rsidR="000A0B7E">
        <w:rPr>
          <w:lang w:val="de-CH"/>
        </w:rPr>
        <w:t> </w:t>
      </w:r>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à </w:t>
      </w:r>
      <w:proofErr w:type="spellStart"/>
      <w:r w:rsidR="0073666E" w:rsidRPr="0073666E">
        <w:rPr>
          <w:lang w:val="de-CH"/>
        </w:rPr>
        <w:t>titre</w:t>
      </w:r>
      <w:proofErr w:type="spellEnd"/>
      <w:r w:rsidR="0073666E" w:rsidRPr="0073666E">
        <w:rPr>
          <w:lang w:val="de-CH"/>
        </w:rPr>
        <w:t xml:space="preserve"> de </w:t>
      </w:r>
      <w:proofErr w:type="spellStart"/>
      <w:r w:rsidR="0073666E" w:rsidRPr="0073666E">
        <w:rPr>
          <w:lang w:val="de-CH"/>
        </w:rPr>
        <w:t>sanction</w:t>
      </w:r>
      <w:proofErr w:type="spellEnd"/>
      <w:r w:rsidR="0073666E" w:rsidRPr="0073666E">
        <w:rPr>
          <w:lang w:val="de-CH"/>
        </w:rPr>
        <w:t xml:space="preserve"> </w:t>
      </w:r>
      <w:proofErr w:type="spellStart"/>
      <w:r w:rsidR="0073666E" w:rsidRPr="0073666E">
        <w:rPr>
          <w:lang w:val="de-CH"/>
        </w:rPr>
        <w:t>disciplinaire</w:t>
      </w:r>
      <w:proofErr w:type="spellEnd"/>
      <w:r w:rsidR="0073666E" w:rsidRPr="0073666E">
        <w:rPr>
          <w:lang w:val="de-CH"/>
        </w:rPr>
        <w:t xml:space="preserve"> (on </w:t>
      </w:r>
      <w:proofErr w:type="spellStart"/>
      <w:r w:rsidR="0073666E" w:rsidRPr="0073666E">
        <w:rPr>
          <w:lang w:val="de-CH"/>
        </w:rPr>
        <w:t>parle</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d’« </w:t>
      </w:r>
      <w:proofErr w:type="spellStart"/>
      <w:r w:rsidR="0073666E" w:rsidRPr="0073666E">
        <w:rPr>
          <w:lang w:val="de-CH"/>
        </w:rPr>
        <w:t>arrêts</w:t>
      </w:r>
      <w:proofErr w:type="spellEnd"/>
      <w:r w:rsidR="0073666E" w:rsidRPr="0073666E">
        <w:rPr>
          <w:lang w:val="de-CH"/>
        </w:rPr>
        <w:t xml:space="preserve"> »). Dans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paragraphes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suivent</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n’est</w:t>
      </w:r>
      <w:proofErr w:type="spellEnd"/>
      <w:r w:rsidR="0073666E" w:rsidRPr="0073666E">
        <w:rPr>
          <w:lang w:val="de-CH"/>
        </w:rPr>
        <w:t xml:space="preserve"> fait référence </w:t>
      </w:r>
      <w:proofErr w:type="spellStart"/>
      <w:r w:rsidR="0073666E" w:rsidRPr="0073666E">
        <w:rPr>
          <w:lang w:val="de-CH"/>
        </w:rPr>
        <w:t>qu’à</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dernière</w:t>
      </w:r>
      <w:proofErr w:type="spellEnd"/>
      <w:r w:rsidR="0073666E" w:rsidRPr="0073666E">
        <w:rPr>
          <w:lang w:val="de-CH"/>
        </w:rPr>
        <w:t xml:space="preserve"> forme de </w:t>
      </w:r>
      <w:proofErr w:type="spellStart"/>
      <w:r w:rsidR="0073666E" w:rsidRPr="0073666E">
        <w:rPr>
          <w:lang w:val="de-CH"/>
        </w:rPr>
        <w:t>détention</w:t>
      </w:r>
      <w:proofErr w:type="spellEnd"/>
      <w:r w:rsidR="0073666E" w:rsidRPr="0073666E">
        <w:rPr>
          <w:lang w:val="de-CH"/>
        </w:rPr>
        <w:t xml:space="preserve"> </w:t>
      </w:r>
      <w:proofErr w:type="spellStart"/>
      <w:r w:rsidR="0073666E" w:rsidRPr="0073666E">
        <w:rPr>
          <w:lang w:val="de-CH"/>
        </w:rPr>
        <w:t>cellulaire</w:t>
      </w:r>
      <w:proofErr w:type="spellEnd"/>
      <w:r w:rsidR="0073666E" w:rsidRPr="0073666E">
        <w:rPr>
          <w:lang w:val="de-CH"/>
        </w:rPr>
        <w:t>, c’est-à-</w:t>
      </w:r>
      <w:proofErr w:type="spellStart"/>
      <w:r w:rsidR="0073666E" w:rsidRPr="0073666E">
        <w:rPr>
          <w:lang w:val="de-CH"/>
        </w:rPr>
        <w:t>dire</w:t>
      </w:r>
      <w:proofErr w:type="spellEnd"/>
      <w:r w:rsidR="0073666E" w:rsidRPr="0073666E">
        <w:rPr>
          <w:lang w:val="de-CH"/>
        </w:rPr>
        <w:t xml:space="preserve"> </w:t>
      </w:r>
      <w:proofErr w:type="spellStart"/>
      <w:r w:rsidR="0073666E" w:rsidRPr="0073666E">
        <w:rPr>
          <w:lang w:val="de-CH"/>
        </w:rPr>
        <w:t>celle</w:t>
      </w:r>
      <w:proofErr w:type="spellEnd"/>
      <w:r w:rsidR="0073666E" w:rsidRPr="0073666E">
        <w:rPr>
          <w:lang w:val="de-CH"/>
        </w:rPr>
        <w:t xml:space="preserve"> </w:t>
      </w:r>
      <w:proofErr w:type="spellStart"/>
      <w:r w:rsidR="0073666E" w:rsidRPr="0073666E">
        <w:rPr>
          <w:lang w:val="de-CH"/>
        </w:rPr>
        <w:t>ordonnée</w:t>
      </w:r>
      <w:proofErr w:type="spellEnd"/>
      <w:r w:rsidR="0073666E" w:rsidRPr="0073666E">
        <w:rPr>
          <w:lang w:val="de-CH"/>
        </w:rPr>
        <w:t xml:space="preserve"> à </w:t>
      </w:r>
      <w:proofErr w:type="spellStart"/>
      <w:r w:rsidR="0073666E" w:rsidRPr="0073666E">
        <w:rPr>
          <w:lang w:val="de-CH"/>
        </w:rPr>
        <w:t>titre</w:t>
      </w:r>
      <w:proofErr w:type="spellEnd"/>
      <w:r w:rsidR="0073666E" w:rsidRPr="0073666E">
        <w:rPr>
          <w:lang w:val="de-CH"/>
        </w:rPr>
        <w:t xml:space="preserve"> de </w:t>
      </w:r>
      <w:proofErr w:type="spellStart"/>
      <w:r w:rsidR="0073666E" w:rsidRPr="0073666E">
        <w:rPr>
          <w:lang w:val="de-CH"/>
        </w:rPr>
        <w:t>sanction</w:t>
      </w:r>
      <w:proofErr w:type="spellEnd"/>
      <w:r w:rsidR="0073666E" w:rsidRPr="0073666E">
        <w:rPr>
          <w:lang w:val="de-CH"/>
        </w:rPr>
        <w:t xml:space="preserve"> </w:t>
      </w:r>
      <w:proofErr w:type="spellStart"/>
      <w:r w:rsidR="0073666E" w:rsidRPr="0073666E">
        <w:rPr>
          <w:lang w:val="de-CH"/>
        </w:rPr>
        <w:t>disciplinaire</w:t>
      </w:r>
      <w:proofErr w:type="spellEnd"/>
      <w:r w:rsidR="0073666E" w:rsidRPr="0073666E">
        <w:rPr>
          <w:lang w:val="de-CH"/>
        </w:rPr>
        <w:t xml:space="preserve">. </w:t>
      </w:r>
    </w:p>
    <w:p w14:paraId="2363E783" w14:textId="77777777" w:rsidR="0073666E" w:rsidRPr="0073666E" w:rsidRDefault="00E76E99" w:rsidP="00E76E99">
      <w:pPr>
        <w:pStyle w:val="SingleTxtG"/>
        <w:rPr>
          <w:lang w:val="de-CH"/>
        </w:rPr>
      </w:pPr>
      <w:r>
        <w:rPr>
          <w:lang w:val="de-CH"/>
        </w:rPr>
        <w:t>112.</w:t>
      </w:r>
      <w:r>
        <w:rPr>
          <w:lang w:val="de-CH"/>
        </w:rPr>
        <w:tab/>
      </w:r>
      <w:r w:rsidR="0073666E" w:rsidRPr="0073666E">
        <w:rPr>
          <w:lang w:val="de-CH"/>
        </w:rPr>
        <w:t xml:space="preserve">Dans </w:t>
      </w:r>
      <w:proofErr w:type="spellStart"/>
      <w:r w:rsidR="0073666E" w:rsidRPr="0073666E">
        <w:rPr>
          <w:lang w:val="de-CH"/>
        </w:rPr>
        <w:t>leur</w:t>
      </w:r>
      <w:proofErr w:type="spellEnd"/>
      <w:r w:rsidR="0073666E" w:rsidRPr="0073666E">
        <w:rPr>
          <w:lang w:val="de-CH"/>
        </w:rPr>
        <w:t xml:space="preserve"> </w:t>
      </w:r>
      <w:proofErr w:type="spellStart"/>
      <w:r w:rsidR="0073666E" w:rsidRPr="0073666E">
        <w:rPr>
          <w:lang w:val="de-CH"/>
        </w:rPr>
        <w:t>grande</w:t>
      </w:r>
      <w:proofErr w:type="spellEnd"/>
      <w:r w:rsidR="0073666E" w:rsidRPr="0073666E">
        <w:rPr>
          <w:lang w:val="de-CH"/>
        </w:rPr>
        <w:t xml:space="preserve"> </w:t>
      </w:r>
      <w:proofErr w:type="spellStart"/>
      <w:r w:rsidR="0073666E" w:rsidRPr="0073666E">
        <w:rPr>
          <w:lang w:val="de-CH"/>
        </w:rPr>
        <w:t>majorité</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fondent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disciplinaires</w:t>
      </w:r>
      <w:proofErr w:type="spellEnd"/>
      <w:r w:rsidR="0073666E" w:rsidRPr="0073666E">
        <w:rPr>
          <w:lang w:val="de-CH"/>
        </w:rPr>
        <w:t xml:space="preserve"> </w:t>
      </w:r>
      <w:proofErr w:type="spellStart"/>
      <w:r w:rsidR="0073666E" w:rsidRPr="0073666E">
        <w:rPr>
          <w:lang w:val="de-CH"/>
        </w:rPr>
        <w:t>qu’ils</w:t>
      </w:r>
      <w:proofErr w:type="spellEnd"/>
      <w:r w:rsidR="0073666E" w:rsidRPr="0073666E">
        <w:rPr>
          <w:lang w:val="de-CH"/>
        </w:rPr>
        <w:t xml:space="preserve"> </w:t>
      </w:r>
      <w:proofErr w:type="spellStart"/>
      <w:r w:rsidR="0073666E" w:rsidRPr="0073666E">
        <w:rPr>
          <w:lang w:val="de-CH"/>
        </w:rPr>
        <w:t>prennent</w:t>
      </w:r>
      <w:proofErr w:type="spellEnd"/>
      <w:r w:rsidR="0073666E" w:rsidRPr="0073666E">
        <w:rPr>
          <w:lang w:val="de-CH"/>
        </w:rPr>
        <w:t xml:space="preserve">, </w:t>
      </w:r>
      <w:proofErr w:type="spellStart"/>
      <w:r w:rsidR="0073666E" w:rsidRPr="0073666E">
        <w:rPr>
          <w:lang w:val="de-CH"/>
        </w:rPr>
        <w:t>arrêts</w:t>
      </w:r>
      <w:proofErr w:type="spellEnd"/>
      <w:r w:rsidR="0073666E" w:rsidRPr="0073666E">
        <w:rPr>
          <w:lang w:val="de-CH"/>
        </w:rPr>
        <w:t xml:space="preserve"> </w:t>
      </w:r>
      <w:proofErr w:type="spellStart"/>
      <w:r w:rsidR="0073666E" w:rsidRPr="0073666E">
        <w:rPr>
          <w:lang w:val="de-CH"/>
        </w:rPr>
        <w:t>compris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w:t>
      </w:r>
      <w:proofErr w:type="spellStart"/>
      <w:r w:rsidR="0073666E" w:rsidRPr="0073666E">
        <w:rPr>
          <w:lang w:val="de-CH"/>
        </w:rPr>
        <w:t>droit</w:t>
      </w:r>
      <w:proofErr w:type="spellEnd"/>
      <w:r w:rsidR="0073666E" w:rsidRPr="0073666E">
        <w:rPr>
          <w:lang w:val="de-CH"/>
        </w:rPr>
        <w:t xml:space="preserve"> </w:t>
      </w:r>
      <w:proofErr w:type="spellStart"/>
      <w:r w:rsidR="0073666E" w:rsidRPr="0073666E">
        <w:rPr>
          <w:lang w:val="de-CH"/>
        </w:rPr>
        <w:t>cantonal</w:t>
      </w:r>
      <w:proofErr w:type="spellEnd"/>
      <w:r w:rsidR="0073666E" w:rsidRPr="0073666E">
        <w:rPr>
          <w:lang w:val="de-CH"/>
        </w:rPr>
        <w:t xml:space="preserve"> et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directives</w:t>
      </w:r>
      <w:proofErr w:type="spellEnd"/>
      <w:r w:rsidR="0073666E" w:rsidRPr="0073666E">
        <w:rPr>
          <w:lang w:val="de-CH"/>
        </w:rPr>
        <w:t xml:space="preserve"> </w:t>
      </w:r>
      <w:proofErr w:type="spellStart"/>
      <w:r w:rsidR="0073666E" w:rsidRPr="0073666E">
        <w:rPr>
          <w:lang w:val="de-CH"/>
        </w:rPr>
        <w:t>correspondantes</w:t>
      </w:r>
      <w:proofErr w:type="spellEnd"/>
      <w:r w:rsidR="0073666E" w:rsidRPr="0073666E">
        <w:rPr>
          <w:lang w:val="de-CH"/>
        </w:rPr>
        <w:t xml:space="preserve"> des </w:t>
      </w:r>
      <w:proofErr w:type="spellStart"/>
      <w:r w:rsidR="0073666E" w:rsidRPr="0073666E">
        <w:rPr>
          <w:lang w:val="de-CH"/>
        </w:rPr>
        <w:t>concordats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l’exécution</w:t>
      </w:r>
      <w:proofErr w:type="spellEnd"/>
      <w:r w:rsidR="0073666E" w:rsidRPr="0073666E">
        <w:rPr>
          <w:lang w:val="de-CH"/>
        </w:rPr>
        <w:t xml:space="preserve"> des </w:t>
      </w:r>
      <w:proofErr w:type="spellStart"/>
      <w:r w:rsidR="0073666E" w:rsidRPr="0073666E">
        <w:rPr>
          <w:lang w:val="de-CH"/>
        </w:rPr>
        <w:t>peines</w:t>
      </w:r>
      <w:proofErr w:type="spellEnd"/>
      <w:r w:rsidR="0073666E" w:rsidRPr="0073666E">
        <w:rPr>
          <w:lang w:val="de-CH"/>
        </w:rPr>
        <w:t xml:space="preserve">. </w:t>
      </w:r>
    </w:p>
    <w:p w14:paraId="4AB56514" w14:textId="77777777" w:rsidR="0073666E" w:rsidRPr="0073666E" w:rsidRDefault="00E76E99" w:rsidP="00E76E99">
      <w:pPr>
        <w:pStyle w:val="SingleTxtG"/>
        <w:rPr>
          <w:lang w:val="de-CH"/>
        </w:rPr>
      </w:pPr>
      <w:r>
        <w:t>113.</w:t>
      </w:r>
      <w:r>
        <w:tab/>
      </w:r>
      <w:r w:rsidR="0073666E" w:rsidRPr="0073666E">
        <w:t xml:space="preserve">La durée maximale de l’isolement disciplinaire s’étend, selon les cantons, de dix à vingt jours.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arrêt</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durée</w:t>
      </w:r>
      <w:proofErr w:type="spellEnd"/>
      <w:r w:rsidR="0073666E" w:rsidRPr="0073666E">
        <w:rPr>
          <w:lang w:val="de-CH"/>
        </w:rPr>
        <w:t xml:space="preserve"> de </w:t>
      </w:r>
      <w:proofErr w:type="spellStart"/>
      <w:r w:rsidR="0073666E" w:rsidRPr="0073666E">
        <w:rPr>
          <w:lang w:val="de-CH"/>
        </w:rPr>
        <w:t>vingt</w:t>
      </w:r>
      <w:proofErr w:type="spellEnd"/>
      <w:r w:rsidR="0073666E" w:rsidRPr="0073666E">
        <w:rPr>
          <w:lang w:val="de-CH"/>
        </w:rPr>
        <w:t xml:space="preserve"> </w:t>
      </w:r>
      <w:proofErr w:type="spellStart"/>
      <w:r w:rsidR="0073666E" w:rsidRPr="0073666E">
        <w:rPr>
          <w:lang w:val="de-CH"/>
        </w:rPr>
        <w:t>jours</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cependant</w:t>
      </w:r>
      <w:proofErr w:type="spellEnd"/>
      <w:r w:rsidR="0073666E" w:rsidRPr="0073666E">
        <w:rPr>
          <w:lang w:val="de-CH"/>
        </w:rPr>
        <w:t xml:space="preserve"> très </w:t>
      </w:r>
      <w:proofErr w:type="spellStart"/>
      <w:r w:rsidR="0073666E" w:rsidRPr="0073666E">
        <w:rPr>
          <w:lang w:val="de-CH"/>
        </w:rPr>
        <w:t>rarement</w:t>
      </w:r>
      <w:proofErr w:type="spellEnd"/>
      <w:r w:rsidR="0073666E" w:rsidRPr="0073666E">
        <w:rPr>
          <w:lang w:val="de-CH"/>
        </w:rPr>
        <w:t xml:space="preserve"> </w:t>
      </w:r>
      <w:proofErr w:type="spellStart"/>
      <w:r w:rsidR="0073666E" w:rsidRPr="0073666E">
        <w:rPr>
          <w:lang w:val="de-CH"/>
        </w:rPr>
        <w:t>ordonné</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telle</w:t>
      </w:r>
      <w:proofErr w:type="spellEnd"/>
      <w:r w:rsidR="0073666E" w:rsidRPr="0073666E">
        <w:rPr>
          <w:lang w:val="de-CH"/>
        </w:rPr>
        <w:t xml:space="preserve"> </w:t>
      </w:r>
      <w:proofErr w:type="spellStart"/>
      <w:r w:rsidR="0073666E" w:rsidRPr="0073666E">
        <w:rPr>
          <w:lang w:val="de-CH"/>
        </w:rPr>
        <w:t>durée</w:t>
      </w:r>
      <w:proofErr w:type="spellEnd"/>
      <w:r w:rsidR="0073666E" w:rsidRPr="0073666E">
        <w:rPr>
          <w:lang w:val="de-CH"/>
        </w:rPr>
        <w:t xml:space="preserve"> </w:t>
      </w:r>
      <w:proofErr w:type="spellStart"/>
      <w:r w:rsidR="0073666E" w:rsidRPr="0073666E">
        <w:rPr>
          <w:lang w:val="de-CH"/>
        </w:rPr>
        <w:t>n’a</w:t>
      </w:r>
      <w:proofErr w:type="spellEnd"/>
      <w:r w:rsidR="0073666E" w:rsidRPr="0073666E">
        <w:rPr>
          <w:lang w:val="de-CH"/>
        </w:rPr>
        <w:t xml:space="preserve">, par exemple, plus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ordonnée</w:t>
      </w:r>
      <w:proofErr w:type="spellEnd"/>
      <w:r w:rsidR="0073666E" w:rsidRPr="0073666E">
        <w:rPr>
          <w:lang w:val="de-CH"/>
        </w:rPr>
        <w:t xml:space="preserve"> </w:t>
      </w:r>
      <w:r w:rsidR="0073666E" w:rsidRPr="00E76E99">
        <w:t>depuis</w:t>
      </w:r>
      <w:r w:rsidR="0073666E" w:rsidRPr="0073666E">
        <w:rPr>
          <w:lang w:val="de-CH"/>
        </w:rPr>
        <w:t xml:space="preserve"> dix-</w:t>
      </w:r>
      <w:proofErr w:type="spellStart"/>
      <w:r w:rsidR="0073666E" w:rsidRPr="0073666E">
        <w:rPr>
          <w:lang w:val="de-CH"/>
        </w:rPr>
        <w:t>huit</w:t>
      </w:r>
      <w:proofErr w:type="spellEnd"/>
      <w:r w:rsidR="0073666E" w:rsidRPr="0073666E">
        <w:rPr>
          <w:lang w:val="de-CH"/>
        </w:rPr>
        <w:t xml:space="preserve"> ans, à SH). </w:t>
      </w:r>
      <w:proofErr w:type="spellStart"/>
      <w:r w:rsidR="0073666E" w:rsidRPr="0073666E">
        <w:rPr>
          <w:lang w:val="de-CH"/>
        </w:rPr>
        <w:t>Seuls</w:t>
      </w:r>
      <w:proofErr w:type="spellEnd"/>
      <w:r w:rsidR="0073666E" w:rsidRPr="0073666E">
        <w:rPr>
          <w:lang w:val="de-CH"/>
        </w:rPr>
        <w:t xml:space="preserve"> deux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connaissent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durée</w:t>
      </w:r>
      <w:proofErr w:type="spellEnd"/>
      <w:r w:rsidR="0073666E" w:rsidRPr="0073666E">
        <w:rPr>
          <w:lang w:val="de-CH"/>
        </w:rPr>
        <w:t xml:space="preserve"> maximale de </w:t>
      </w:r>
      <w:proofErr w:type="spellStart"/>
      <w:r w:rsidR="0073666E" w:rsidRPr="0073666E">
        <w:rPr>
          <w:lang w:val="de-CH"/>
        </w:rPr>
        <w:t>trente</w:t>
      </w:r>
      <w:proofErr w:type="spellEnd"/>
      <w:r w:rsidR="0073666E" w:rsidRPr="0073666E">
        <w:rPr>
          <w:lang w:val="de-CH"/>
        </w:rPr>
        <w:t xml:space="preserve"> </w:t>
      </w:r>
      <w:proofErr w:type="spellStart"/>
      <w:r w:rsidR="0073666E" w:rsidRPr="0073666E">
        <w:rPr>
          <w:lang w:val="de-CH"/>
        </w:rPr>
        <w:t>jours</w:t>
      </w:r>
      <w:proofErr w:type="spellEnd"/>
      <w:r w:rsidR="0073666E" w:rsidRPr="0073666E">
        <w:rPr>
          <w:lang w:val="de-CH"/>
        </w:rPr>
        <w:t xml:space="preserve"> (VD et NE). Le </w:t>
      </w:r>
      <w:proofErr w:type="spellStart"/>
      <w:r w:rsidR="0073666E" w:rsidRPr="0073666E">
        <w:rPr>
          <w:lang w:val="de-CH"/>
        </w:rPr>
        <w:t>règlement</w:t>
      </w:r>
      <w:proofErr w:type="spellEnd"/>
      <w:r w:rsidR="0073666E" w:rsidRPr="0073666E">
        <w:rPr>
          <w:lang w:val="de-CH"/>
        </w:rPr>
        <w:t xml:space="preserve"> </w:t>
      </w:r>
      <w:proofErr w:type="spellStart"/>
      <w:r w:rsidR="0073666E" w:rsidRPr="0073666E">
        <w:rPr>
          <w:lang w:val="de-CH"/>
        </w:rPr>
        <w:t>disciplinaire</w:t>
      </w:r>
      <w:proofErr w:type="spellEnd"/>
      <w:r w:rsidR="0073666E" w:rsidRPr="0073666E">
        <w:rPr>
          <w:lang w:val="de-CH"/>
        </w:rPr>
        <w:t xml:space="preserve"> du </w:t>
      </w:r>
      <w:proofErr w:type="spellStart"/>
      <w:r w:rsidR="0073666E" w:rsidRPr="0073666E">
        <w:rPr>
          <w:lang w:val="de-CH"/>
        </w:rPr>
        <w:t>canton</w:t>
      </w:r>
      <w:proofErr w:type="spellEnd"/>
      <w:r w:rsidR="0073666E" w:rsidRPr="0073666E">
        <w:rPr>
          <w:lang w:val="de-CH"/>
        </w:rPr>
        <w:t xml:space="preserve"> de VD </w:t>
      </w:r>
      <w:proofErr w:type="spellStart"/>
      <w:r w:rsidR="0073666E" w:rsidRPr="0073666E">
        <w:rPr>
          <w:lang w:val="de-CH"/>
        </w:rPr>
        <w:t>sera</w:t>
      </w:r>
      <w:proofErr w:type="spellEnd"/>
      <w:r w:rsidR="0073666E" w:rsidRPr="0073666E">
        <w:rPr>
          <w:lang w:val="de-CH"/>
        </w:rPr>
        <w:t xml:space="preserve"> </w:t>
      </w:r>
      <w:proofErr w:type="spellStart"/>
      <w:r w:rsidR="0073666E" w:rsidRPr="0073666E">
        <w:rPr>
          <w:lang w:val="de-CH"/>
        </w:rPr>
        <w:t>cependant</w:t>
      </w:r>
      <w:proofErr w:type="spellEnd"/>
      <w:r w:rsidR="0073666E" w:rsidRPr="0073666E">
        <w:rPr>
          <w:lang w:val="de-CH"/>
        </w:rPr>
        <w:t xml:space="preserve"> </w:t>
      </w:r>
      <w:proofErr w:type="spellStart"/>
      <w:r w:rsidR="0073666E" w:rsidRPr="0073666E">
        <w:rPr>
          <w:lang w:val="de-CH"/>
        </w:rPr>
        <w:t>prochainement</w:t>
      </w:r>
      <w:proofErr w:type="spellEnd"/>
      <w:r w:rsidR="0073666E" w:rsidRPr="0073666E">
        <w:rPr>
          <w:lang w:val="de-CH"/>
        </w:rPr>
        <w:t xml:space="preserve"> </w:t>
      </w:r>
      <w:proofErr w:type="spellStart"/>
      <w:r w:rsidR="0073666E" w:rsidRPr="0073666E">
        <w:rPr>
          <w:lang w:val="de-CH"/>
        </w:rPr>
        <w:t>modifié</w:t>
      </w:r>
      <w:proofErr w:type="spellEnd"/>
      <w:r w:rsidR="0073666E" w:rsidRPr="0073666E">
        <w:rPr>
          <w:lang w:val="de-CH"/>
        </w:rPr>
        <w:t xml:space="preserve"> et la </w:t>
      </w:r>
      <w:proofErr w:type="spellStart"/>
      <w:r w:rsidR="0073666E" w:rsidRPr="0073666E">
        <w:rPr>
          <w:lang w:val="de-CH"/>
        </w:rPr>
        <w:t>durée</w:t>
      </w:r>
      <w:proofErr w:type="spellEnd"/>
      <w:r w:rsidR="0073666E" w:rsidRPr="0073666E">
        <w:rPr>
          <w:lang w:val="de-CH"/>
        </w:rPr>
        <w:t xml:space="preserve"> maximale de </w:t>
      </w:r>
      <w:proofErr w:type="spellStart"/>
      <w:r w:rsidR="0073666E" w:rsidRPr="0073666E">
        <w:rPr>
          <w:lang w:val="de-CH"/>
        </w:rPr>
        <w:t>l’isolement</w:t>
      </w:r>
      <w:proofErr w:type="spellEnd"/>
      <w:r w:rsidR="0073666E" w:rsidRPr="0073666E">
        <w:rPr>
          <w:lang w:val="de-CH"/>
        </w:rPr>
        <w:t xml:space="preserve"> </w:t>
      </w:r>
      <w:proofErr w:type="spellStart"/>
      <w:r w:rsidR="0073666E" w:rsidRPr="0073666E">
        <w:rPr>
          <w:lang w:val="de-CH"/>
        </w:rPr>
        <w:t>disciplinaire</w:t>
      </w:r>
      <w:proofErr w:type="spellEnd"/>
      <w:r w:rsidR="0073666E" w:rsidRPr="0073666E">
        <w:rPr>
          <w:lang w:val="de-CH"/>
        </w:rPr>
        <w:t xml:space="preserve"> </w:t>
      </w:r>
      <w:proofErr w:type="spellStart"/>
      <w:r w:rsidR="0073666E" w:rsidRPr="0073666E">
        <w:rPr>
          <w:lang w:val="de-CH"/>
        </w:rPr>
        <w:t>revue</w:t>
      </w:r>
      <w:proofErr w:type="spellEnd"/>
      <w:r w:rsidR="0073666E" w:rsidRPr="0073666E">
        <w:rPr>
          <w:lang w:val="de-CH"/>
        </w:rPr>
        <w:t xml:space="preserve"> à la </w:t>
      </w:r>
      <w:proofErr w:type="spellStart"/>
      <w:r w:rsidR="0073666E" w:rsidRPr="0073666E">
        <w:rPr>
          <w:lang w:val="de-CH"/>
        </w:rPr>
        <w:t>baisse</w:t>
      </w:r>
      <w:proofErr w:type="spellEnd"/>
      <w:r w:rsidR="0073666E" w:rsidRPr="0073666E">
        <w:rPr>
          <w:lang w:val="de-CH"/>
        </w:rPr>
        <w:t xml:space="preserve">. NE,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part</w:t>
      </w:r>
      <w:proofErr w:type="spellEnd"/>
      <w:r w:rsidR="0073666E" w:rsidRPr="0073666E">
        <w:rPr>
          <w:lang w:val="de-CH"/>
        </w:rPr>
        <w:t xml:space="preserve">, </w:t>
      </w:r>
      <w:proofErr w:type="spellStart"/>
      <w:r w:rsidR="0073666E" w:rsidRPr="0073666E">
        <w:rPr>
          <w:lang w:val="de-CH"/>
        </w:rPr>
        <w:t>précise</w:t>
      </w:r>
      <w:proofErr w:type="spellEnd"/>
      <w:r w:rsidR="0073666E" w:rsidRPr="0073666E">
        <w:rPr>
          <w:lang w:val="de-CH"/>
        </w:rPr>
        <w:t xml:space="preserve"> </w:t>
      </w:r>
      <w:proofErr w:type="spellStart"/>
      <w:r w:rsidR="0073666E" w:rsidRPr="0073666E">
        <w:rPr>
          <w:lang w:val="de-CH"/>
        </w:rPr>
        <w:t>qu’une</w:t>
      </w:r>
      <w:proofErr w:type="spellEnd"/>
      <w:r w:rsidR="0073666E" w:rsidRPr="0073666E">
        <w:rPr>
          <w:lang w:val="de-CH"/>
        </w:rPr>
        <w:t xml:space="preserve"> </w:t>
      </w:r>
      <w:proofErr w:type="spellStart"/>
      <w:r w:rsidR="0073666E" w:rsidRPr="0073666E">
        <w:rPr>
          <w:lang w:val="de-CH"/>
        </w:rPr>
        <w:t>durée</w:t>
      </w:r>
      <w:proofErr w:type="spellEnd"/>
      <w:r w:rsidR="0073666E" w:rsidRPr="0073666E">
        <w:rPr>
          <w:lang w:val="de-CH"/>
        </w:rPr>
        <w:t xml:space="preserve"> de </w:t>
      </w:r>
      <w:proofErr w:type="spellStart"/>
      <w:r w:rsidR="0073666E" w:rsidRPr="0073666E">
        <w:rPr>
          <w:lang w:val="de-CH"/>
        </w:rPr>
        <w:t>trente</w:t>
      </w:r>
      <w:proofErr w:type="spellEnd"/>
      <w:r w:rsidR="0073666E" w:rsidRPr="0073666E">
        <w:rPr>
          <w:lang w:val="de-CH"/>
        </w:rPr>
        <w:t xml:space="preserve"> </w:t>
      </w:r>
      <w:proofErr w:type="spellStart"/>
      <w:r w:rsidR="0073666E" w:rsidRPr="0073666E">
        <w:rPr>
          <w:lang w:val="de-CH"/>
        </w:rPr>
        <w:t>jours</w:t>
      </w:r>
      <w:proofErr w:type="spellEnd"/>
      <w:r w:rsidR="0073666E" w:rsidRPr="0073666E">
        <w:rPr>
          <w:lang w:val="de-CH"/>
        </w:rPr>
        <w:t xml:space="preserve"> </w:t>
      </w:r>
      <w:proofErr w:type="spellStart"/>
      <w:r w:rsidR="0073666E" w:rsidRPr="0073666E">
        <w:rPr>
          <w:lang w:val="de-CH"/>
        </w:rPr>
        <w:t>n’est</w:t>
      </w:r>
      <w:proofErr w:type="spellEnd"/>
      <w:r w:rsidR="0073666E" w:rsidRPr="0073666E">
        <w:rPr>
          <w:lang w:val="de-CH"/>
        </w:rPr>
        <w:t xml:space="preserve">, </w:t>
      </w:r>
      <w:proofErr w:type="spellStart"/>
      <w:r w:rsidR="0073666E" w:rsidRPr="0073666E">
        <w:rPr>
          <w:lang w:val="de-CH"/>
        </w:rPr>
        <w:t>depuis</w:t>
      </w:r>
      <w:proofErr w:type="spellEnd"/>
      <w:r w:rsidR="0073666E" w:rsidRPr="0073666E">
        <w:rPr>
          <w:lang w:val="de-CH"/>
        </w:rPr>
        <w:t xml:space="preserve"> plus de dix ans, </w:t>
      </w:r>
      <w:proofErr w:type="spellStart"/>
      <w:r w:rsidR="0073666E" w:rsidRPr="0073666E">
        <w:rPr>
          <w:lang w:val="de-CH"/>
        </w:rPr>
        <w:t>que</w:t>
      </w:r>
      <w:proofErr w:type="spellEnd"/>
      <w:r w:rsidR="0073666E" w:rsidRPr="0073666E">
        <w:rPr>
          <w:lang w:val="de-CH"/>
        </w:rPr>
        <w:t xml:space="preserve"> très </w:t>
      </w:r>
      <w:proofErr w:type="spellStart"/>
      <w:r w:rsidR="0073666E" w:rsidRPr="0073666E">
        <w:rPr>
          <w:lang w:val="de-CH"/>
        </w:rPr>
        <w:t>rarement</w:t>
      </w:r>
      <w:proofErr w:type="spellEnd"/>
      <w:r w:rsidR="0073666E" w:rsidRPr="0073666E">
        <w:rPr>
          <w:lang w:val="de-CH"/>
        </w:rPr>
        <w:t xml:space="preserve"> </w:t>
      </w:r>
      <w:proofErr w:type="spellStart"/>
      <w:r w:rsidR="0073666E" w:rsidRPr="0073666E">
        <w:rPr>
          <w:lang w:val="de-CH"/>
        </w:rPr>
        <w:t>ordonnée</w:t>
      </w:r>
      <w:proofErr w:type="spellEnd"/>
      <w:r w:rsidR="0073666E" w:rsidRPr="0073666E">
        <w:rPr>
          <w:lang w:val="de-CH"/>
        </w:rPr>
        <w:t xml:space="preserve">. </w:t>
      </w:r>
    </w:p>
    <w:bookmarkEnd w:id="1"/>
    <w:p w14:paraId="2BF39DF6" w14:textId="77777777" w:rsidR="0073666E" w:rsidRPr="0073666E" w:rsidRDefault="00E76E99" w:rsidP="00E76E99">
      <w:pPr>
        <w:pStyle w:val="SingleTxtG"/>
        <w:rPr>
          <w:lang w:val="de-CH"/>
        </w:rPr>
      </w:pPr>
      <w:r>
        <w:t>114.</w:t>
      </w:r>
      <w:r>
        <w:tab/>
      </w:r>
      <w:r w:rsidR="0073666E" w:rsidRPr="00E76E99">
        <w:t>Concernant</w:t>
      </w:r>
      <w:r w:rsidR="0073666E" w:rsidRPr="0073666E">
        <w:rPr>
          <w:lang w:val="de-CH"/>
        </w:rPr>
        <w:t xml:space="preserve"> la </w:t>
      </w:r>
      <w:proofErr w:type="spellStart"/>
      <w:r w:rsidR="0073666E" w:rsidRPr="0073666E">
        <w:rPr>
          <w:lang w:val="de-CH"/>
        </w:rPr>
        <w:t>prise</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w:t>
      </w:r>
      <w:proofErr w:type="spellStart"/>
      <w:r w:rsidR="0073666E" w:rsidRPr="0073666E">
        <w:rPr>
          <w:lang w:val="de-CH"/>
        </w:rPr>
        <w:t>médicale</w:t>
      </w:r>
      <w:proofErr w:type="spellEnd"/>
      <w:r w:rsidR="0073666E" w:rsidRPr="0073666E">
        <w:rPr>
          <w:lang w:val="de-CH"/>
        </w:rPr>
        <w:t xml:space="preserve"> des </w:t>
      </w:r>
      <w:proofErr w:type="spellStart"/>
      <w:r w:rsidR="0073666E" w:rsidRPr="0073666E">
        <w:rPr>
          <w:lang w:val="de-CH"/>
        </w:rPr>
        <w:t>personnes</w:t>
      </w:r>
      <w:proofErr w:type="spellEnd"/>
      <w:r w:rsidR="0073666E" w:rsidRPr="0073666E">
        <w:rPr>
          <w:lang w:val="de-CH"/>
        </w:rPr>
        <w:t xml:space="preserve"> à </w:t>
      </w:r>
      <w:proofErr w:type="spellStart"/>
      <w:r w:rsidR="0073666E" w:rsidRPr="0073666E">
        <w:rPr>
          <w:lang w:val="de-CH"/>
        </w:rPr>
        <w:t>l’isolement</w:t>
      </w:r>
      <w:proofErr w:type="spellEnd"/>
      <w:r w:rsidR="0073666E" w:rsidRPr="0073666E">
        <w:rPr>
          <w:lang w:val="de-CH"/>
        </w:rPr>
        <w:t xml:space="preserve">, </w:t>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se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exprimés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w:t>
      </w:r>
      <w:proofErr w:type="spellStart"/>
      <w:r w:rsidR="0073666E" w:rsidRPr="0073666E">
        <w:rPr>
          <w:lang w:val="de-CH"/>
        </w:rPr>
        <w:t>sujet</w:t>
      </w:r>
      <w:proofErr w:type="spellEnd"/>
      <w:r w:rsidR="0073666E" w:rsidRPr="0073666E">
        <w:rPr>
          <w:lang w:val="de-CH"/>
        </w:rPr>
        <w:t xml:space="preserve"> </w:t>
      </w:r>
      <w:proofErr w:type="spellStart"/>
      <w:r w:rsidR="0073666E" w:rsidRPr="0073666E">
        <w:rPr>
          <w:lang w:val="de-CH"/>
        </w:rPr>
        <w:t>soulignent</w:t>
      </w:r>
      <w:proofErr w:type="spellEnd"/>
      <w:r w:rsidR="0073666E" w:rsidRPr="0073666E">
        <w:rPr>
          <w:lang w:val="de-CH"/>
        </w:rPr>
        <w:t xml:space="preserve"> </w:t>
      </w:r>
      <w:proofErr w:type="spellStart"/>
      <w:r w:rsidR="0073666E" w:rsidRPr="0073666E">
        <w:rPr>
          <w:lang w:val="de-CH"/>
        </w:rPr>
        <w:t>qu’elle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toujours</w:t>
      </w:r>
      <w:proofErr w:type="spellEnd"/>
      <w:r w:rsidR="0073666E" w:rsidRPr="0073666E">
        <w:rPr>
          <w:lang w:val="de-CH"/>
        </w:rPr>
        <w:t xml:space="preserve"> </w:t>
      </w:r>
      <w:proofErr w:type="spellStart"/>
      <w:r w:rsidR="0073666E" w:rsidRPr="0073666E">
        <w:rPr>
          <w:lang w:val="de-CH"/>
        </w:rPr>
        <w:t>assurée</w:t>
      </w:r>
      <w:proofErr w:type="spellEnd"/>
      <w:r w:rsidR="0073666E" w:rsidRPr="0073666E">
        <w:rPr>
          <w:lang w:val="de-CH"/>
        </w:rPr>
        <w:t xml:space="preserve">. </w:t>
      </w:r>
    </w:p>
    <w:p w14:paraId="3BFFBD36" w14:textId="77777777" w:rsidR="0073666E" w:rsidRPr="0073666E" w:rsidRDefault="00E76E99" w:rsidP="00E76E99">
      <w:pPr>
        <w:pStyle w:val="SingleTxtG"/>
        <w:rPr>
          <w:lang w:val="de-CH"/>
        </w:rPr>
      </w:pPr>
      <w:r>
        <w:rPr>
          <w:lang w:val="de-CH"/>
        </w:rPr>
        <w:t>115.</w:t>
      </w:r>
      <w:r>
        <w:rPr>
          <w:lang w:val="de-CH"/>
        </w:rPr>
        <w:tab/>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dispositions</w:t>
      </w:r>
      <w:proofErr w:type="spellEnd"/>
      <w:r w:rsidR="0073666E" w:rsidRPr="0073666E">
        <w:rPr>
          <w:lang w:val="de-CH"/>
        </w:rPr>
        <w:t xml:space="preserve"> </w:t>
      </w:r>
      <w:proofErr w:type="spellStart"/>
      <w:r w:rsidR="0073666E" w:rsidRPr="0073666E">
        <w:rPr>
          <w:lang w:val="de-CH"/>
        </w:rPr>
        <w:t>cantonales</w:t>
      </w:r>
      <w:proofErr w:type="spellEnd"/>
      <w:r w:rsidR="0073666E" w:rsidRPr="0073666E">
        <w:rPr>
          <w:lang w:val="de-CH"/>
        </w:rPr>
        <w:t xml:space="preserve"> </w:t>
      </w:r>
      <w:proofErr w:type="spellStart"/>
      <w:r w:rsidR="0073666E" w:rsidRPr="0073666E">
        <w:rPr>
          <w:lang w:val="de-CH"/>
        </w:rPr>
        <w:t>prévoient</w:t>
      </w:r>
      <w:proofErr w:type="spellEnd"/>
      <w:r w:rsidR="0073666E" w:rsidRPr="0073666E">
        <w:rPr>
          <w:lang w:val="de-CH"/>
        </w:rPr>
        <w:t xml:space="preserve"> la </w:t>
      </w:r>
      <w:proofErr w:type="spellStart"/>
      <w:r w:rsidR="0073666E" w:rsidRPr="0073666E">
        <w:rPr>
          <w:lang w:val="de-CH"/>
        </w:rPr>
        <w:t>possibilité</w:t>
      </w:r>
      <w:proofErr w:type="spellEnd"/>
      <w:r w:rsidR="0073666E" w:rsidRPr="0073666E">
        <w:rPr>
          <w:lang w:val="de-CH"/>
        </w:rPr>
        <w:t xml:space="preserve"> </w:t>
      </w:r>
      <w:proofErr w:type="spellStart"/>
      <w:r w:rsidR="0073666E" w:rsidRPr="0073666E">
        <w:rPr>
          <w:lang w:val="de-CH"/>
        </w:rPr>
        <w:t>d’interrompre</w:t>
      </w:r>
      <w:proofErr w:type="spellEnd"/>
      <w:r w:rsidR="0073666E" w:rsidRPr="0073666E">
        <w:rPr>
          <w:lang w:val="de-CH"/>
        </w:rPr>
        <w:t xml:space="preserve"> </w:t>
      </w:r>
      <w:proofErr w:type="spellStart"/>
      <w:r w:rsidR="0073666E" w:rsidRPr="0073666E">
        <w:rPr>
          <w:lang w:val="de-CH"/>
        </w:rPr>
        <w:t>l’isolement</w:t>
      </w:r>
      <w:proofErr w:type="spellEnd"/>
      <w:r w:rsidR="0073666E" w:rsidRPr="0073666E">
        <w:rPr>
          <w:lang w:val="de-CH"/>
        </w:rPr>
        <w:t xml:space="preserve"> en </w:t>
      </w:r>
      <w:proofErr w:type="spellStart"/>
      <w:r w:rsidR="0073666E" w:rsidRPr="0073666E">
        <w:rPr>
          <w:lang w:val="de-CH"/>
        </w:rPr>
        <w:t>raison</w:t>
      </w:r>
      <w:proofErr w:type="spellEnd"/>
      <w:r w:rsidR="0073666E" w:rsidRPr="0073666E">
        <w:rPr>
          <w:lang w:val="de-CH"/>
        </w:rPr>
        <w:t xml:space="preserve"> de </w:t>
      </w:r>
      <w:r w:rsidR="0073666E" w:rsidRPr="00E76E99">
        <w:t>problèmes</w:t>
      </w:r>
      <w:r w:rsidR="0073666E" w:rsidRPr="0073666E">
        <w:rPr>
          <w:lang w:val="de-CH"/>
        </w:rPr>
        <w:t xml:space="preserve"> de </w:t>
      </w:r>
      <w:proofErr w:type="spellStart"/>
      <w:r w:rsidR="0073666E" w:rsidRPr="0073666E">
        <w:rPr>
          <w:lang w:val="de-CH"/>
        </w:rPr>
        <w:t>santé</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celle</w:t>
      </w:r>
      <w:proofErr w:type="spellEnd"/>
      <w:r w:rsidR="0073666E" w:rsidRPr="0073666E">
        <w:rPr>
          <w:lang w:val="de-CH"/>
        </w:rPr>
        <w:t xml:space="preserve"> de </w:t>
      </w:r>
      <w:proofErr w:type="spellStart"/>
      <w:r w:rsidR="0073666E" w:rsidRPr="0073666E">
        <w:rPr>
          <w:lang w:val="de-CH"/>
        </w:rPr>
        <w:t>transférer</w:t>
      </w:r>
      <w:proofErr w:type="spellEnd"/>
      <w:r w:rsidR="0073666E" w:rsidRPr="0073666E">
        <w:rPr>
          <w:lang w:val="de-CH"/>
        </w:rPr>
        <w:t xml:space="preserv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concernée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clinique</w:t>
      </w:r>
      <w:proofErr w:type="spellEnd"/>
      <w:r w:rsidR="0073666E" w:rsidRPr="0073666E">
        <w:rPr>
          <w:lang w:val="de-CH"/>
        </w:rPr>
        <w:t xml:space="preserve">. </w:t>
      </w:r>
      <w:proofErr w:type="spellStart"/>
      <w:r w:rsidR="0073666E" w:rsidRPr="0073666E">
        <w:rPr>
          <w:lang w:val="de-CH"/>
        </w:rPr>
        <w:t>Certains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font</w:t>
      </w:r>
      <w:proofErr w:type="spellEnd"/>
      <w:r w:rsidR="0073666E" w:rsidRPr="0073666E">
        <w:rPr>
          <w:lang w:val="de-CH"/>
        </w:rPr>
        <w:t xml:space="preserve"> </w:t>
      </w:r>
      <w:proofErr w:type="spellStart"/>
      <w:r w:rsidR="0073666E" w:rsidRPr="0073666E">
        <w:rPr>
          <w:lang w:val="de-CH"/>
        </w:rPr>
        <w:t>mention</w:t>
      </w:r>
      <w:proofErr w:type="spellEnd"/>
      <w:r w:rsidR="0073666E" w:rsidRPr="0073666E">
        <w:rPr>
          <w:lang w:val="de-CH"/>
        </w:rPr>
        <w:t xml:space="preserve"> de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effectifs</w:t>
      </w:r>
      <w:proofErr w:type="spellEnd"/>
      <w:r w:rsidR="0073666E" w:rsidRPr="0073666E">
        <w:rPr>
          <w:lang w:val="de-CH"/>
        </w:rPr>
        <w:t xml:space="preserve"> </w:t>
      </w:r>
      <w:proofErr w:type="spellStart"/>
      <w:r w:rsidR="0073666E" w:rsidRPr="0073666E">
        <w:rPr>
          <w:lang w:val="de-CH"/>
        </w:rPr>
        <w:t>d’interruption</w:t>
      </w:r>
      <w:proofErr w:type="spellEnd"/>
      <w:r w:rsidR="0073666E" w:rsidRPr="0073666E">
        <w:rPr>
          <w:lang w:val="de-CH"/>
        </w:rPr>
        <w:t xml:space="preserve"> de </w:t>
      </w:r>
      <w:proofErr w:type="spellStart"/>
      <w:r w:rsidR="0073666E" w:rsidRPr="0073666E">
        <w:rPr>
          <w:lang w:val="de-CH"/>
        </w:rPr>
        <w:t>l’isolement</w:t>
      </w:r>
      <w:proofErr w:type="spellEnd"/>
      <w:r w:rsidR="0073666E" w:rsidRPr="0073666E">
        <w:rPr>
          <w:lang w:val="de-CH"/>
        </w:rPr>
        <w:t xml:space="preserve"> </w:t>
      </w:r>
      <w:proofErr w:type="spellStart"/>
      <w:r w:rsidR="0073666E" w:rsidRPr="0073666E">
        <w:rPr>
          <w:lang w:val="de-CH"/>
        </w:rPr>
        <w:t>disciplinaire</w:t>
      </w:r>
      <w:proofErr w:type="spellEnd"/>
      <w:r w:rsidR="0073666E" w:rsidRPr="0073666E">
        <w:rPr>
          <w:lang w:val="de-CH"/>
        </w:rPr>
        <w:t xml:space="preserve">. </w:t>
      </w:r>
    </w:p>
    <w:p w14:paraId="5D0A8819" w14:textId="77777777" w:rsidR="0073666E" w:rsidRPr="0073666E" w:rsidRDefault="00E76E99" w:rsidP="00E76E99">
      <w:pPr>
        <w:pStyle w:val="SingleTxtG"/>
        <w:rPr>
          <w:lang w:val="de-CH"/>
        </w:rPr>
      </w:pPr>
      <w:r>
        <w:t>116.</w:t>
      </w:r>
      <w:r>
        <w:tab/>
      </w:r>
      <w:r w:rsidR="0073666E" w:rsidRPr="0073666E">
        <w:t xml:space="preserve">Les cantons </w:t>
      </w:r>
      <w:proofErr w:type="spellStart"/>
      <w:r w:rsidR="0073666E" w:rsidRPr="00E76E99">
        <w:rPr>
          <w:lang w:val="de-CH"/>
        </w:rPr>
        <w:t>confirment</w:t>
      </w:r>
      <w:proofErr w:type="spellEnd"/>
      <w:r w:rsidR="0073666E" w:rsidRPr="0073666E">
        <w:t xml:space="preserve"> en outre que l’heure quotidienne d’exercice en plein air exigée par le CAT est partout garantie. </w:t>
      </w:r>
      <w:r w:rsidR="0073666E" w:rsidRPr="0073666E">
        <w:rPr>
          <w:lang w:val="de-CH"/>
        </w:rPr>
        <w:t xml:space="preserve">Ils </w:t>
      </w:r>
      <w:proofErr w:type="spellStart"/>
      <w:r w:rsidR="0073666E" w:rsidRPr="0073666E">
        <w:rPr>
          <w:lang w:val="de-CH"/>
        </w:rPr>
        <w:t>indiquent</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l’isolement</w:t>
      </w:r>
      <w:proofErr w:type="spellEnd"/>
      <w:r w:rsidR="0073666E" w:rsidRPr="0073666E">
        <w:rPr>
          <w:lang w:val="de-CH"/>
        </w:rPr>
        <w:t xml:space="preserve"> </w:t>
      </w:r>
      <w:proofErr w:type="spellStart"/>
      <w:r w:rsidR="0073666E" w:rsidRPr="0073666E">
        <w:rPr>
          <w:lang w:val="de-CH"/>
        </w:rPr>
        <w:t>n’est</w:t>
      </w:r>
      <w:proofErr w:type="spellEnd"/>
      <w:r w:rsidR="0073666E" w:rsidRPr="0073666E">
        <w:rPr>
          <w:lang w:val="de-CH"/>
        </w:rPr>
        <w:t xml:space="preserve"> </w:t>
      </w:r>
      <w:proofErr w:type="spellStart"/>
      <w:r w:rsidR="0073666E" w:rsidRPr="0073666E">
        <w:rPr>
          <w:lang w:val="de-CH"/>
        </w:rPr>
        <w:t>ordonné</w:t>
      </w:r>
      <w:proofErr w:type="spellEnd"/>
      <w:r w:rsidR="0073666E" w:rsidRPr="0073666E">
        <w:rPr>
          <w:lang w:val="de-CH"/>
        </w:rPr>
        <w:t xml:space="preserve"> </w:t>
      </w:r>
      <w:proofErr w:type="spellStart"/>
      <w:r w:rsidR="0073666E" w:rsidRPr="0073666E">
        <w:rPr>
          <w:lang w:val="de-CH"/>
        </w:rPr>
        <w:t>qu’avec</w:t>
      </w:r>
      <w:proofErr w:type="spellEnd"/>
      <w:r w:rsidR="0073666E" w:rsidRPr="0073666E">
        <w:rPr>
          <w:lang w:val="de-CH"/>
        </w:rPr>
        <w:t xml:space="preserve"> la plus </w:t>
      </w:r>
      <w:proofErr w:type="spellStart"/>
      <w:r w:rsidR="0073666E" w:rsidRPr="0073666E">
        <w:rPr>
          <w:lang w:val="de-CH"/>
        </w:rPr>
        <w:t>grande</w:t>
      </w:r>
      <w:proofErr w:type="spellEnd"/>
      <w:r w:rsidR="0073666E" w:rsidRPr="0073666E">
        <w:rPr>
          <w:lang w:val="de-CH"/>
        </w:rPr>
        <w:t xml:space="preserve"> </w:t>
      </w:r>
      <w:proofErr w:type="spellStart"/>
      <w:r w:rsidR="0073666E" w:rsidRPr="0073666E">
        <w:rPr>
          <w:lang w:val="de-CH"/>
        </w:rPr>
        <w:t>réserve</w:t>
      </w:r>
      <w:proofErr w:type="spellEnd"/>
      <w:r w:rsidR="0073666E" w:rsidRPr="0073666E">
        <w:rPr>
          <w:lang w:val="de-CH"/>
        </w:rPr>
        <w:t xml:space="preserve">, </w:t>
      </w:r>
      <w:proofErr w:type="spellStart"/>
      <w:r w:rsidR="0073666E" w:rsidRPr="0073666E">
        <w:rPr>
          <w:lang w:val="de-CH"/>
        </w:rPr>
        <w:t>quand</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l’est</w:t>
      </w:r>
      <w:proofErr w:type="spellEnd"/>
      <w:r w:rsidR="0073666E" w:rsidRPr="0073666E">
        <w:rPr>
          <w:lang w:val="de-CH"/>
        </w:rPr>
        <w:t xml:space="preserve">, à </w:t>
      </w:r>
      <w:proofErr w:type="spellStart"/>
      <w:r w:rsidR="0073666E" w:rsidRPr="0073666E">
        <w:rPr>
          <w:lang w:val="de-CH"/>
        </w:rPr>
        <w:t>l’encontre</w:t>
      </w:r>
      <w:proofErr w:type="spellEnd"/>
      <w:r w:rsidR="0073666E" w:rsidRPr="0073666E">
        <w:rPr>
          <w:lang w:val="de-CH"/>
        </w:rPr>
        <w:t xml:space="preserve"> de </w:t>
      </w:r>
      <w:proofErr w:type="spellStart"/>
      <w:r w:rsidR="0073666E" w:rsidRPr="0073666E">
        <w:rPr>
          <w:lang w:val="de-CH"/>
        </w:rPr>
        <w:t>mineurs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souffrant</w:t>
      </w:r>
      <w:proofErr w:type="spellEnd"/>
      <w:r w:rsidR="0073666E" w:rsidRPr="0073666E">
        <w:rPr>
          <w:lang w:val="de-CH"/>
        </w:rPr>
        <w:t xml:space="preserve"> de </w:t>
      </w:r>
      <w:proofErr w:type="spellStart"/>
      <w:r w:rsidR="0073666E" w:rsidRPr="0073666E">
        <w:rPr>
          <w:lang w:val="de-CH"/>
        </w:rPr>
        <w:t>troubles</w:t>
      </w:r>
      <w:proofErr w:type="spellEnd"/>
      <w:r w:rsidR="0073666E" w:rsidRPr="0073666E">
        <w:rPr>
          <w:lang w:val="de-CH"/>
        </w:rPr>
        <w:t xml:space="preserve"> </w:t>
      </w:r>
      <w:proofErr w:type="spellStart"/>
      <w:r w:rsidR="0073666E" w:rsidRPr="0073666E">
        <w:rPr>
          <w:lang w:val="de-CH"/>
        </w:rPr>
        <w:t>psychosociaux</w:t>
      </w:r>
      <w:proofErr w:type="spellEnd"/>
      <w:r w:rsidR="0073666E" w:rsidRPr="0073666E">
        <w:rPr>
          <w:lang w:val="de-CH"/>
        </w:rPr>
        <w:t xml:space="preserve"> (</w:t>
      </w:r>
      <w:proofErr w:type="spellStart"/>
      <w:r w:rsidR="0073666E" w:rsidRPr="0073666E">
        <w:rPr>
          <w:lang w:val="de-CH"/>
        </w:rPr>
        <w:t>séparation</w:t>
      </w:r>
      <w:proofErr w:type="spellEnd"/>
      <w:r w:rsidR="0073666E" w:rsidRPr="0073666E">
        <w:rPr>
          <w:lang w:val="de-CH"/>
        </w:rPr>
        <w:t xml:space="preserve"> </w:t>
      </w:r>
      <w:proofErr w:type="spellStart"/>
      <w:r w:rsidR="0073666E" w:rsidRPr="0073666E">
        <w:rPr>
          <w:lang w:val="de-CH"/>
        </w:rPr>
        <w:t>stricte</w:t>
      </w:r>
      <w:proofErr w:type="spellEnd"/>
      <w:r w:rsidR="0073666E" w:rsidRPr="0073666E">
        <w:rPr>
          <w:lang w:val="de-CH"/>
        </w:rPr>
        <w:t xml:space="preserve"> entre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mineurs</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adultes, </w:t>
      </w:r>
      <w:proofErr w:type="spellStart"/>
      <w:r w:rsidR="0073666E" w:rsidRPr="0073666E">
        <w:rPr>
          <w:lang w:val="de-CH"/>
        </w:rPr>
        <w:t>intervention</w:t>
      </w:r>
      <w:proofErr w:type="spellEnd"/>
      <w:r w:rsidR="0073666E" w:rsidRPr="0073666E">
        <w:rPr>
          <w:lang w:val="de-CH"/>
        </w:rPr>
        <w:t xml:space="preserve"> de </w:t>
      </w:r>
      <w:proofErr w:type="spellStart"/>
      <w:r w:rsidR="0073666E" w:rsidRPr="0073666E">
        <w:rPr>
          <w:lang w:val="de-CH"/>
        </w:rPr>
        <w:t>travailleurs</w:t>
      </w:r>
      <w:proofErr w:type="spellEnd"/>
      <w:r w:rsidR="0073666E" w:rsidRPr="0073666E">
        <w:rPr>
          <w:lang w:val="de-CH"/>
        </w:rPr>
        <w:t xml:space="preserve"> </w:t>
      </w:r>
      <w:proofErr w:type="spellStart"/>
      <w:r w:rsidR="0073666E" w:rsidRPr="0073666E">
        <w:rPr>
          <w:lang w:val="de-CH"/>
        </w:rPr>
        <w:t>sociaux</w:t>
      </w:r>
      <w:proofErr w:type="spellEnd"/>
      <w:r w:rsidR="0073666E" w:rsidRPr="0073666E">
        <w:rPr>
          <w:lang w:val="de-CH"/>
        </w:rPr>
        <w:t xml:space="preserve">, </w:t>
      </w:r>
      <w:proofErr w:type="spellStart"/>
      <w:r w:rsidR="0073666E" w:rsidRPr="0073666E">
        <w:rPr>
          <w:lang w:val="de-CH"/>
        </w:rPr>
        <w:t>d’aumôniers</w:t>
      </w:r>
      <w:proofErr w:type="spellEnd"/>
      <w:r w:rsidR="0073666E" w:rsidRPr="0073666E">
        <w:rPr>
          <w:lang w:val="de-CH"/>
        </w:rPr>
        <w:t xml:space="preserve">, etc.).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possibilités</w:t>
      </w:r>
      <w:proofErr w:type="spellEnd"/>
      <w:r w:rsidR="0073666E" w:rsidRPr="0073666E">
        <w:rPr>
          <w:lang w:val="de-CH"/>
        </w:rPr>
        <w:t xml:space="preserve"> de </w:t>
      </w:r>
      <w:proofErr w:type="spellStart"/>
      <w:r w:rsidR="0073666E" w:rsidRPr="0073666E">
        <w:rPr>
          <w:lang w:val="de-CH"/>
        </w:rPr>
        <w:t>communication</w:t>
      </w:r>
      <w:proofErr w:type="spellEnd"/>
      <w:r w:rsidR="0073666E" w:rsidRPr="0073666E">
        <w:rPr>
          <w:lang w:val="de-CH"/>
        </w:rPr>
        <w:t xml:space="preserve"> </w:t>
      </w:r>
      <w:proofErr w:type="spellStart"/>
      <w:r w:rsidR="0073666E" w:rsidRPr="0073666E">
        <w:rPr>
          <w:lang w:val="de-CH"/>
        </w:rPr>
        <w:t>varient</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canton</w:t>
      </w:r>
      <w:proofErr w:type="spellEnd"/>
      <w:r w:rsidR="0073666E" w:rsidRPr="0073666E">
        <w:rPr>
          <w:lang w:val="de-CH"/>
        </w:rPr>
        <w:t xml:space="preserve"> à </w:t>
      </w:r>
      <w:proofErr w:type="spellStart"/>
      <w:r w:rsidR="0073666E" w:rsidRPr="0073666E">
        <w:rPr>
          <w:lang w:val="de-CH"/>
        </w:rPr>
        <w:t>l’autre</w:t>
      </w:r>
      <w:proofErr w:type="spellEnd"/>
      <w:r w:rsidR="0073666E" w:rsidRPr="0073666E">
        <w:rPr>
          <w:lang w:val="de-CH"/>
        </w:rPr>
        <w:t xml:space="preserve">. </w:t>
      </w:r>
    </w:p>
    <w:p w14:paraId="78140BDC" w14:textId="77777777" w:rsidR="0073666E" w:rsidRPr="0073666E" w:rsidRDefault="00E76E99" w:rsidP="00E76E99">
      <w:pPr>
        <w:pStyle w:val="SingleTxtG"/>
        <w:rPr>
          <w:lang w:val="de-CH"/>
        </w:rPr>
      </w:pPr>
      <w:r>
        <w:rPr>
          <w:lang w:val="de-CH"/>
        </w:rPr>
        <w:t>117.</w:t>
      </w:r>
      <w:r>
        <w:rPr>
          <w:lang w:val="de-CH"/>
        </w:rPr>
        <w:tab/>
      </w:r>
      <w:r w:rsidR="0073666E" w:rsidRPr="0073666E">
        <w:rPr>
          <w:lang w:val="de-CH"/>
        </w:rPr>
        <w:t xml:space="preserve">La </w:t>
      </w:r>
      <w:proofErr w:type="spellStart"/>
      <w:r w:rsidR="0073666E" w:rsidRPr="0073666E">
        <w:rPr>
          <w:lang w:val="de-CH"/>
        </w:rPr>
        <w:t>durée</w:t>
      </w:r>
      <w:proofErr w:type="spellEnd"/>
      <w:r w:rsidR="0073666E" w:rsidRPr="0073666E">
        <w:rPr>
          <w:lang w:val="de-CH"/>
        </w:rPr>
        <w:t xml:space="preserve"> </w:t>
      </w:r>
      <w:proofErr w:type="spellStart"/>
      <w:r w:rsidR="0073666E" w:rsidRPr="0073666E">
        <w:rPr>
          <w:lang w:val="de-CH"/>
        </w:rPr>
        <w:t>moyenne</w:t>
      </w:r>
      <w:proofErr w:type="spellEnd"/>
      <w:r w:rsidR="0073666E" w:rsidRPr="0073666E">
        <w:rPr>
          <w:lang w:val="de-CH"/>
        </w:rPr>
        <w:t xml:space="preserve"> de </w:t>
      </w:r>
      <w:proofErr w:type="spellStart"/>
      <w:r w:rsidR="0073666E" w:rsidRPr="0073666E">
        <w:rPr>
          <w:lang w:val="de-CH"/>
        </w:rPr>
        <w:t>l’isolement</w:t>
      </w:r>
      <w:proofErr w:type="spellEnd"/>
      <w:r w:rsidR="0073666E" w:rsidRPr="0073666E">
        <w:rPr>
          <w:lang w:val="de-CH"/>
        </w:rPr>
        <w:t xml:space="preserve">, en </w:t>
      </w:r>
      <w:proofErr w:type="spellStart"/>
      <w:r w:rsidR="0073666E" w:rsidRPr="0073666E">
        <w:rPr>
          <w:lang w:val="de-CH"/>
        </w:rPr>
        <w:t>tant</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sanction</w:t>
      </w:r>
      <w:proofErr w:type="spellEnd"/>
      <w:r w:rsidR="0073666E" w:rsidRPr="0073666E">
        <w:rPr>
          <w:lang w:val="de-CH"/>
        </w:rPr>
        <w:t xml:space="preserve"> </w:t>
      </w:r>
      <w:proofErr w:type="spellStart"/>
      <w:r w:rsidR="0073666E" w:rsidRPr="0073666E">
        <w:rPr>
          <w:lang w:val="de-CH"/>
        </w:rPr>
        <w:t>disciplinaire</w:t>
      </w:r>
      <w:proofErr w:type="spellEnd"/>
      <w:r w:rsidR="0073666E" w:rsidRPr="0073666E">
        <w:rPr>
          <w:lang w:val="de-CH"/>
        </w:rPr>
        <w:t xml:space="preserve">, </w:t>
      </w:r>
      <w:proofErr w:type="spellStart"/>
      <w:r w:rsidR="0073666E" w:rsidRPr="0073666E">
        <w:rPr>
          <w:lang w:val="de-CH"/>
        </w:rPr>
        <w:t>était</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l’ensemble</w:t>
      </w:r>
      <w:proofErr w:type="spellEnd"/>
      <w:r w:rsidR="0073666E" w:rsidRPr="0073666E">
        <w:rPr>
          <w:lang w:val="de-CH"/>
        </w:rPr>
        <w:t xml:space="preserve"> de la Suisse, de 4,85 </w:t>
      </w:r>
      <w:proofErr w:type="spellStart"/>
      <w:r w:rsidR="0073666E" w:rsidRPr="0073666E">
        <w:rPr>
          <w:lang w:val="de-CH"/>
        </w:rPr>
        <w:t>jours</w:t>
      </w:r>
      <w:proofErr w:type="spellEnd"/>
      <w:r w:rsidR="0073666E" w:rsidRPr="0073666E">
        <w:rPr>
          <w:lang w:val="de-CH"/>
        </w:rPr>
        <w:t xml:space="preserve"> en 2015, 4,35 </w:t>
      </w:r>
      <w:proofErr w:type="spellStart"/>
      <w:r w:rsidR="0073666E" w:rsidRPr="0073666E">
        <w:rPr>
          <w:lang w:val="de-CH"/>
        </w:rPr>
        <w:t>jours</w:t>
      </w:r>
      <w:proofErr w:type="spellEnd"/>
      <w:r w:rsidR="0073666E" w:rsidRPr="0073666E">
        <w:rPr>
          <w:lang w:val="de-CH"/>
        </w:rPr>
        <w:t xml:space="preserve"> en 2016 et 4,83 </w:t>
      </w:r>
      <w:proofErr w:type="spellStart"/>
      <w:r w:rsidR="0073666E" w:rsidRPr="0073666E">
        <w:rPr>
          <w:lang w:val="de-CH"/>
        </w:rPr>
        <w:t>jours</w:t>
      </w:r>
      <w:proofErr w:type="spellEnd"/>
      <w:r w:rsidR="0073666E" w:rsidRPr="0073666E">
        <w:rPr>
          <w:lang w:val="de-CH"/>
        </w:rPr>
        <w:t xml:space="preserve"> en 2017.</w:t>
      </w:r>
    </w:p>
    <w:p w14:paraId="3417DC87" w14:textId="77777777" w:rsidR="0073666E" w:rsidRPr="0073666E" w:rsidRDefault="00E76E99" w:rsidP="00E76E99">
      <w:pPr>
        <w:pStyle w:val="SingleTxtG"/>
        <w:rPr>
          <w:lang w:val="de-CH"/>
        </w:rPr>
      </w:pPr>
      <w:r>
        <w:rPr>
          <w:lang w:val="de-CH"/>
        </w:rPr>
        <w:lastRenderedPageBreak/>
        <w:t>118.</w:t>
      </w:r>
      <w:r>
        <w:rPr>
          <w:lang w:val="de-CH"/>
        </w:rPr>
        <w:tab/>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fondent</w:t>
      </w:r>
      <w:proofErr w:type="spellEnd"/>
      <w:r w:rsidR="0073666E" w:rsidRPr="0073666E">
        <w:rPr>
          <w:lang w:val="de-CH"/>
        </w:rPr>
        <w:t xml:space="preserve"> </w:t>
      </w:r>
      <w:proofErr w:type="spellStart"/>
      <w:r w:rsidR="0073666E" w:rsidRPr="0073666E">
        <w:rPr>
          <w:lang w:val="de-CH"/>
        </w:rPr>
        <w:t>leurs</w:t>
      </w:r>
      <w:proofErr w:type="spellEnd"/>
      <w:r w:rsidR="0073666E" w:rsidRPr="0073666E">
        <w:rPr>
          <w:lang w:val="de-CH"/>
        </w:rPr>
        <w:t xml:space="preserve"> </w:t>
      </w:r>
      <w:proofErr w:type="spellStart"/>
      <w:r w:rsidR="0073666E" w:rsidRPr="0073666E">
        <w:rPr>
          <w:lang w:val="de-CH"/>
        </w:rPr>
        <w:t>procédures</w:t>
      </w:r>
      <w:proofErr w:type="spellEnd"/>
      <w:r w:rsidR="0073666E" w:rsidRPr="0073666E">
        <w:rPr>
          <w:lang w:val="de-CH"/>
        </w:rPr>
        <w:t xml:space="preserve"> </w:t>
      </w:r>
      <w:proofErr w:type="spellStart"/>
      <w:r w:rsidR="0073666E" w:rsidRPr="0073666E">
        <w:rPr>
          <w:lang w:val="de-CH"/>
        </w:rPr>
        <w:t>disciplinaires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textes</w:t>
      </w:r>
      <w:proofErr w:type="spellEnd"/>
      <w:r w:rsidR="0073666E" w:rsidRPr="0073666E">
        <w:rPr>
          <w:lang w:val="de-CH"/>
        </w:rPr>
        <w:t xml:space="preserve"> de </w:t>
      </w:r>
      <w:proofErr w:type="spellStart"/>
      <w:r w:rsidR="0073666E" w:rsidRPr="0073666E">
        <w:rPr>
          <w:lang w:val="de-CH"/>
        </w:rPr>
        <w:t>loi</w:t>
      </w:r>
      <w:proofErr w:type="spellEnd"/>
      <w:r w:rsidR="0073666E" w:rsidRPr="0073666E">
        <w:rPr>
          <w:lang w:val="de-CH"/>
        </w:rPr>
        <w:t xml:space="preserve"> </w:t>
      </w:r>
      <w:proofErr w:type="spellStart"/>
      <w:r w:rsidR="0073666E" w:rsidRPr="0073666E">
        <w:rPr>
          <w:lang w:val="de-CH"/>
        </w:rPr>
        <w:t>pertinents</w:t>
      </w:r>
      <w:proofErr w:type="spellEnd"/>
      <w:r w:rsidR="0073666E" w:rsidRPr="0073666E">
        <w:rPr>
          <w:lang w:val="de-CH"/>
        </w:rPr>
        <w:t xml:space="preserve"> (et en </w:t>
      </w:r>
      <w:proofErr w:type="spellStart"/>
      <w:r w:rsidR="0073666E" w:rsidRPr="0073666E">
        <w:rPr>
          <w:lang w:val="de-CH"/>
        </w:rPr>
        <w:t>particulier</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bases</w:t>
      </w:r>
      <w:proofErr w:type="spellEnd"/>
      <w:r w:rsidR="0073666E" w:rsidRPr="0073666E">
        <w:rPr>
          <w:lang w:val="de-CH"/>
        </w:rPr>
        <w:t xml:space="preserve"> </w:t>
      </w:r>
      <w:proofErr w:type="spellStart"/>
      <w:r w:rsidR="0073666E" w:rsidRPr="0073666E">
        <w:rPr>
          <w:lang w:val="de-CH"/>
        </w:rPr>
        <w:t>légales</w:t>
      </w:r>
      <w:proofErr w:type="spellEnd"/>
      <w:r w:rsidR="0073666E" w:rsidRPr="0073666E">
        <w:rPr>
          <w:lang w:val="de-CH"/>
        </w:rPr>
        <w:t xml:space="preserve"> </w:t>
      </w:r>
      <w:proofErr w:type="spellStart"/>
      <w:r w:rsidR="0073666E" w:rsidRPr="0073666E">
        <w:rPr>
          <w:lang w:val="de-CH"/>
        </w:rPr>
        <w:t>cantonales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la </w:t>
      </w:r>
      <w:proofErr w:type="spellStart"/>
      <w:r w:rsidR="0073666E" w:rsidRPr="0073666E">
        <w:rPr>
          <w:lang w:val="de-CH"/>
        </w:rPr>
        <w:t>justice</w:t>
      </w:r>
      <w:proofErr w:type="spellEnd"/>
      <w:r w:rsidR="0073666E" w:rsidRPr="0073666E">
        <w:rPr>
          <w:lang w:val="de-CH"/>
        </w:rPr>
        <w:t xml:space="preserve"> administrative et </w:t>
      </w:r>
      <w:proofErr w:type="spellStart"/>
      <w:r w:rsidR="0073666E" w:rsidRPr="0073666E">
        <w:rPr>
          <w:lang w:val="de-CH"/>
        </w:rPr>
        <w:t>sur</w:t>
      </w:r>
      <w:proofErr w:type="spellEnd"/>
      <w:r w:rsidR="0073666E" w:rsidRPr="0073666E">
        <w:rPr>
          <w:lang w:val="de-CH"/>
        </w:rPr>
        <w:t xml:space="preserve"> le CPP). Renseignements </w:t>
      </w:r>
      <w:proofErr w:type="spellStart"/>
      <w:r w:rsidR="0073666E" w:rsidRPr="0073666E">
        <w:rPr>
          <w:lang w:val="de-CH"/>
        </w:rPr>
        <w:t>pris</w:t>
      </w:r>
      <w:proofErr w:type="spellEnd"/>
      <w:r w:rsidR="0073666E" w:rsidRPr="0073666E">
        <w:rPr>
          <w:lang w:val="de-CH"/>
        </w:rPr>
        <w:t xml:space="preserve"> </w:t>
      </w:r>
      <w:proofErr w:type="spellStart"/>
      <w:r w:rsidR="0073666E" w:rsidRPr="0073666E">
        <w:rPr>
          <w:lang w:val="de-CH"/>
        </w:rPr>
        <w:t>auprès</w:t>
      </w:r>
      <w:proofErr w:type="spellEnd"/>
      <w:r w:rsidR="0073666E" w:rsidRPr="0073666E">
        <w:rPr>
          <w:lang w:val="de-CH"/>
        </w:rPr>
        <w:t xml:space="preserve"> </w:t>
      </w:r>
      <w:proofErr w:type="spellStart"/>
      <w:r w:rsidR="0073666E" w:rsidRPr="0073666E">
        <w:rPr>
          <w:lang w:val="de-CH"/>
        </w:rPr>
        <w:t>d’eux</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garanties</w:t>
      </w:r>
      <w:proofErr w:type="spellEnd"/>
      <w:r w:rsidR="0073666E" w:rsidRPr="0073666E">
        <w:rPr>
          <w:lang w:val="de-CH"/>
        </w:rPr>
        <w:t xml:space="preserve"> </w:t>
      </w:r>
      <w:proofErr w:type="spellStart"/>
      <w:r w:rsidR="0073666E" w:rsidRPr="0073666E">
        <w:rPr>
          <w:lang w:val="de-CH"/>
        </w:rPr>
        <w:t>générales</w:t>
      </w:r>
      <w:proofErr w:type="spellEnd"/>
      <w:r w:rsidR="0073666E" w:rsidRPr="0073666E">
        <w:rPr>
          <w:lang w:val="de-CH"/>
        </w:rPr>
        <w:t xml:space="preserve"> de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assurées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audition</w:t>
      </w:r>
      <w:proofErr w:type="spellEnd"/>
      <w:r w:rsidR="0073666E" w:rsidRPr="0073666E">
        <w:rPr>
          <w:lang w:val="de-CH"/>
        </w:rPr>
        <w:t xml:space="preserve"> des </w:t>
      </w:r>
      <w:proofErr w:type="spellStart"/>
      <w:r w:rsidR="0073666E" w:rsidRPr="0073666E">
        <w:rPr>
          <w:lang w:val="de-CH"/>
        </w:rPr>
        <w:t>détenus</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toujours</w:t>
      </w:r>
      <w:proofErr w:type="spellEnd"/>
      <w:r w:rsidR="0073666E" w:rsidRPr="0073666E">
        <w:rPr>
          <w:lang w:val="de-CH"/>
        </w:rPr>
        <w:t xml:space="preserve"> </w:t>
      </w:r>
      <w:proofErr w:type="spellStart"/>
      <w:r w:rsidR="0073666E" w:rsidRPr="0073666E">
        <w:rPr>
          <w:lang w:val="de-CH"/>
        </w:rPr>
        <w:t>prévue</w:t>
      </w:r>
      <w:proofErr w:type="spellEnd"/>
      <w:r w:rsidR="0073666E" w:rsidRPr="0073666E">
        <w:rPr>
          <w:lang w:val="de-CH"/>
        </w:rPr>
        <w:t xml:space="preserve"> (</w:t>
      </w:r>
      <w:proofErr w:type="spellStart"/>
      <w:r w:rsidR="0073666E" w:rsidRPr="0073666E">
        <w:rPr>
          <w:lang w:val="de-CH"/>
        </w:rPr>
        <w:t>droit</w:t>
      </w:r>
      <w:proofErr w:type="spellEnd"/>
      <w:r w:rsidR="0073666E" w:rsidRPr="0073666E">
        <w:rPr>
          <w:lang w:val="de-CH"/>
        </w:rPr>
        <w:t xml:space="preserve"> d’être </w:t>
      </w:r>
      <w:proofErr w:type="spellStart"/>
      <w:r w:rsidR="0073666E" w:rsidRPr="0073666E">
        <w:rPr>
          <w:lang w:val="de-CH"/>
        </w:rPr>
        <w:t>entendu</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citation</w:t>
      </w:r>
      <w:proofErr w:type="spellEnd"/>
      <w:r w:rsidR="0073666E" w:rsidRPr="0073666E">
        <w:rPr>
          <w:lang w:val="de-CH"/>
        </w:rPr>
        <w:t xml:space="preserve"> à </w:t>
      </w:r>
      <w:proofErr w:type="spellStart"/>
      <w:r w:rsidR="0073666E" w:rsidRPr="0073666E">
        <w:rPr>
          <w:lang w:val="de-CH"/>
        </w:rPr>
        <w:t>comparaître</w:t>
      </w:r>
      <w:proofErr w:type="spellEnd"/>
      <w:r w:rsidR="0073666E" w:rsidRPr="0073666E">
        <w:rPr>
          <w:lang w:val="de-CH"/>
        </w:rPr>
        <w:t xml:space="preserve"> des </w:t>
      </w:r>
      <w:proofErr w:type="spellStart"/>
      <w:r w:rsidR="0073666E" w:rsidRPr="0073666E">
        <w:rPr>
          <w:lang w:val="de-CH"/>
        </w:rPr>
        <w:t>témoins</w:t>
      </w:r>
      <w:proofErr w:type="spellEnd"/>
      <w:r w:rsidR="0073666E" w:rsidRPr="0073666E">
        <w:rPr>
          <w:lang w:val="de-CH"/>
        </w:rPr>
        <w:t xml:space="preserve"> (par ex. </w:t>
      </w:r>
      <w:proofErr w:type="spellStart"/>
      <w:r w:rsidR="0073666E" w:rsidRPr="0073666E">
        <w:rPr>
          <w:lang w:val="de-CH"/>
        </w:rPr>
        <w:t>d’autres</w:t>
      </w:r>
      <w:proofErr w:type="spellEnd"/>
      <w:r w:rsidR="0073666E" w:rsidRPr="0073666E">
        <w:rPr>
          <w:lang w:val="de-CH"/>
        </w:rPr>
        <w:t xml:space="preserve"> </w:t>
      </w:r>
      <w:proofErr w:type="spellStart"/>
      <w:r w:rsidR="0073666E" w:rsidRPr="0073666E">
        <w:rPr>
          <w:lang w:val="de-CH"/>
        </w:rPr>
        <w:t>détenus</w:t>
      </w:r>
      <w:proofErr w:type="spellEnd"/>
      <w:r w:rsidR="0073666E" w:rsidRPr="0073666E">
        <w:rPr>
          <w:lang w:val="de-CH"/>
        </w:rPr>
        <w:t xml:space="preserve">) a </w:t>
      </w:r>
      <w:proofErr w:type="spellStart"/>
      <w:r w:rsidR="0073666E" w:rsidRPr="0073666E">
        <w:rPr>
          <w:lang w:val="de-CH"/>
        </w:rPr>
        <w:t>lieu</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la </w:t>
      </w:r>
      <w:proofErr w:type="spellStart"/>
      <w:r w:rsidR="0073666E" w:rsidRPr="0073666E">
        <w:rPr>
          <w:lang w:val="de-CH"/>
        </w:rPr>
        <w:t>plupart</w:t>
      </w:r>
      <w:proofErr w:type="spellEnd"/>
      <w:r w:rsidR="0073666E" w:rsidRPr="0073666E">
        <w:rPr>
          <w:lang w:val="de-CH"/>
        </w:rPr>
        <w:t xml:space="preserve"> des </w:t>
      </w:r>
      <w:proofErr w:type="spellStart"/>
      <w:r w:rsidR="0073666E" w:rsidRPr="0073666E">
        <w:rPr>
          <w:lang w:val="de-CH"/>
        </w:rPr>
        <w:t>cantons</w:t>
      </w:r>
      <w:proofErr w:type="spellEnd"/>
      <w:r w:rsidR="0073666E" w:rsidRPr="0073666E">
        <w:rPr>
          <w:lang w:val="de-CH"/>
        </w:rPr>
        <w:t xml:space="preserve"> en </w:t>
      </w:r>
      <w:proofErr w:type="spellStart"/>
      <w:r w:rsidR="0073666E" w:rsidRPr="0073666E">
        <w:rPr>
          <w:lang w:val="de-CH"/>
        </w:rPr>
        <w:t>fonction</w:t>
      </w:r>
      <w:proofErr w:type="spellEnd"/>
      <w:r w:rsidR="0073666E" w:rsidRPr="0073666E">
        <w:rPr>
          <w:lang w:val="de-CH"/>
        </w:rPr>
        <w:t xml:space="preserve"> de la </w:t>
      </w:r>
      <w:proofErr w:type="spellStart"/>
      <w:r w:rsidR="0073666E" w:rsidRPr="0073666E">
        <w:rPr>
          <w:lang w:val="de-CH"/>
        </w:rPr>
        <w:t>situation</w:t>
      </w:r>
      <w:proofErr w:type="spellEnd"/>
      <w:r w:rsidR="0073666E" w:rsidRPr="0073666E">
        <w:rPr>
          <w:lang w:val="de-CH"/>
        </w:rPr>
        <w:t xml:space="preserve">, si </w:t>
      </w:r>
      <w:proofErr w:type="spellStart"/>
      <w:r w:rsidR="0073666E" w:rsidRPr="0073666E">
        <w:rPr>
          <w:lang w:val="de-CH"/>
        </w:rPr>
        <w:t>nécessaire</w:t>
      </w:r>
      <w:proofErr w:type="spellEnd"/>
      <w:r w:rsidR="0073666E" w:rsidRPr="0073666E">
        <w:rPr>
          <w:lang w:val="de-CH"/>
        </w:rPr>
        <w:t xml:space="preserve"> et opportun. </w:t>
      </w:r>
    </w:p>
    <w:p w14:paraId="1273E636" w14:textId="77777777" w:rsidR="0073666E" w:rsidRPr="0073666E" w:rsidRDefault="00E76E99" w:rsidP="00E76E99">
      <w:pPr>
        <w:pStyle w:val="SingleTxtG"/>
        <w:rPr>
          <w:lang w:val="de-CH"/>
        </w:rPr>
      </w:pPr>
      <w:r>
        <w:rPr>
          <w:lang w:val="de-CH"/>
        </w:rPr>
        <w:t>119.</w:t>
      </w:r>
      <w:r>
        <w:rPr>
          <w:lang w:val="de-CH"/>
        </w:rPr>
        <w:tab/>
      </w:r>
      <w:r w:rsidR="0073666E" w:rsidRPr="0073666E">
        <w:rPr>
          <w:lang w:val="de-CH"/>
        </w:rPr>
        <w:t xml:space="preserve">Il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w:t>
      </w:r>
      <w:proofErr w:type="spellStart"/>
      <w:r w:rsidR="0073666E" w:rsidRPr="0073666E">
        <w:rPr>
          <w:lang w:val="de-CH"/>
        </w:rPr>
        <w:t>prévu</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détenus</w:t>
      </w:r>
      <w:proofErr w:type="spellEnd"/>
      <w:r w:rsidR="0073666E" w:rsidRPr="0073666E">
        <w:rPr>
          <w:lang w:val="de-CH"/>
        </w:rPr>
        <w:t xml:space="preserve"> </w:t>
      </w:r>
      <w:proofErr w:type="spellStart"/>
      <w:r w:rsidR="0073666E" w:rsidRPr="0073666E">
        <w:rPr>
          <w:lang w:val="de-CH"/>
        </w:rPr>
        <w:t>puissent</w:t>
      </w:r>
      <w:proofErr w:type="spellEnd"/>
      <w:r w:rsidR="0073666E" w:rsidRPr="0073666E">
        <w:rPr>
          <w:lang w:val="de-CH"/>
        </w:rPr>
        <w:t xml:space="preserve"> </w:t>
      </w:r>
      <w:proofErr w:type="spellStart"/>
      <w:r w:rsidR="0073666E" w:rsidRPr="0073666E">
        <w:rPr>
          <w:lang w:val="de-CH"/>
        </w:rPr>
        <w:t>procéder</w:t>
      </w:r>
      <w:proofErr w:type="spellEnd"/>
      <w:r w:rsidR="0073666E" w:rsidRPr="0073666E">
        <w:rPr>
          <w:lang w:val="de-CH"/>
        </w:rPr>
        <w:t xml:space="preserve"> à </w:t>
      </w:r>
      <w:proofErr w:type="spellStart"/>
      <w:r w:rsidR="0073666E" w:rsidRPr="0073666E">
        <w:rPr>
          <w:lang w:val="de-CH"/>
        </w:rPr>
        <w:t>un</w:t>
      </w:r>
      <w:proofErr w:type="spellEnd"/>
      <w:r w:rsidR="0073666E" w:rsidRPr="0073666E">
        <w:rPr>
          <w:lang w:val="de-CH"/>
        </w:rPr>
        <w:t xml:space="preserve"> contre-examen des </w:t>
      </w:r>
      <w:proofErr w:type="spellStart"/>
      <w:r w:rsidR="0073666E" w:rsidRPr="0073666E">
        <w:rPr>
          <w:lang w:val="de-CH"/>
        </w:rPr>
        <w:t>éléments</w:t>
      </w:r>
      <w:proofErr w:type="spellEnd"/>
      <w:r w:rsidR="0073666E" w:rsidRPr="0073666E">
        <w:rPr>
          <w:lang w:val="de-CH"/>
        </w:rPr>
        <w:t xml:space="preserve"> à </w:t>
      </w:r>
      <w:proofErr w:type="spellStart"/>
      <w:r w:rsidR="0073666E" w:rsidRPr="0073666E">
        <w:rPr>
          <w:lang w:val="de-CH"/>
        </w:rPr>
        <w:t>charge</w:t>
      </w:r>
      <w:proofErr w:type="spellEnd"/>
      <w:r w:rsidR="0073666E" w:rsidRPr="0073666E">
        <w:rPr>
          <w:lang w:val="de-CH"/>
        </w:rPr>
        <w:t>.</w:t>
      </w:r>
    </w:p>
    <w:p w14:paraId="03535DD1" w14:textId="77777777" w:rsidR="0073666E" w:rsidRPr="0073666E" w:rsidRDefault="00E76E99" w:rsidP="00E76E99">
      <w:pPr>
        <w:pStyle w:val="SingleTxtG"/>
        <w:rPr>
          <w:lang w:val="de-CH"/>
        </w:rPr>
      </w:pPr>
      <w:r>
        <w:rPr>
          <w:lang w:val="de-CH"/>
        </w:rPr>
        <w:t>120.</w:t>
      </w:r>
      <w:r>
        <w:rPr>
          <w:lang w:val="de-CH"/>
        </w:rPr>
        <w:tab/>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disciplinaires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ordonnées</w:t>
      </w:r>
      <w:proofErr w:type="spellEnd"/>
      <w:r w:rsidR="0073666E" w:rsidRPr="0073666E">
        <w:rPr>
          <w:lang w:val="de-CH"/>
        </w:rPr>
        <w:t xml:space="preserve"> par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susceptible</w:t>
      </w:r>
      <w:proofErr w:type="spellEnd"/>
      <w:r w:rsidR="0073666E" w:rsidRPr="0073666E">
        <w:rPr>
          <w:lang w:val="de-CH"/>
        </w:rPr>
        <w:t xml:space="preserve"> de </w:t>
      </w:r>
      <w:proofErr w:type="spellStart"/>
      <w:r w:rsidR="0073666E" w:rsidRPr="0073666E">
        <w:rPr>
          <w:lang w:val="de-CH"/>
        </w:rPr>
        <w:t>recours</w:t>
      </w:r>
      <w:proofErr w:type="spellEnd"/>
      <w:r w:rsidR="0073666E" w:rsidRPr="0073666E">
        <w:rPr>
          <w:lang w:val="de-CH"/>
        </w:rPr>
        <w:t xml:space="preserve"> et, si </w:t>
      </w:r>
      <w:proofErr w:type="spellStart"/>
      <w:r w:rsidR="0073666E" w:rsidRPr="0073666E">
        <w:rPr>
          <w:lang w:val="de-CH"/>
        </w:rPr>
        <w:t>nécessaire</w:t>
      </w:r>
      <w:proofErr w:type="spellEnd"/>
      <w:r w:rsidR="0073666E" w:rsidRPr="0073666E">
        <w:rPr>
          <w:lang w:val="de-CH"/>
        </w:rPr>
        <w:t xml:space="preserve"> et opportun, </w:t>
      </w:r>
      <w:proofErr w:type="spellStart"/>
      <w:r w:rsidR="0073666E" w:rsidRPr="0073666E">
        <w:rPr>
          <w:lang w:val="de-CH"/>
        </w:rPr>
        <w:t>motivée</w:t>
      </w:r>
      <w:proofErr w:type="spellEnd"/>
      <w:r w:rsidR="0073666E" w:rsidRPr="0073666E">
        <w:rPr>
          <w:lang w:val="de-CH"/>
        </w:rPr>
        <w:t xml:space="preserve">. </w:t>
      </w:r>
    </w:p>
    <w:p w14:paraId="3042D73F" w14:textId="77777777" w:rsidR="0073666E" w:rsidRPr="0073666E" w:rsidRDefault="00E76E99" w:rsidP="00E76E99">
      <w:pPr>
        <w:pStyle w:val="SingleTxtG"/>
        <w:rPr>
          <w:lang w:val="de-CH"/>
        </w:rPr>
      </w:pPr>
      <w:r>
        <w:rPr>
          <w:lang w:val="de-CH"/>
        </w:rPr>
        <w:t>121.</w:t>
      </w:r>
      <w:r>
        <w:rPr>
          <w:lang w:val="de-CH"/>
        </w:rPr>
        <w:tab/>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partie</w:t>
      </w:r>
      <w:proofErr w:type="spellEnd"/>
      <w:r w:rsidR="0073666E" w:rsidRPr="0073666E">
        <w:rPr>
          <w:lang w:val="de-CH"/>
        </w:rPr>
        <w:t xml:space="preserve"> des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mentionnent</w:t>
      </w:r>
      <w:proofErr w:type="spellEnd"/>
      <w:r w:rsidR="0073666E" w:rsidRPr="0073666E">
        <w:rPr>
          <w:lang w:val="de-CH"/>
        </w:rPr>
        <w:t xml:space="preserve"> </w:t>
      </w:r>
      <w:proofErr w:type="spellStart"/>
      <w:r w:rsidR="0073666E" w:rsidRPr="0073666E">
        <w:rPr>
          <w:lang w:val="de-CH"/>
        </w:rPr>
        <w:t>qu’ils</w:t>
      </w:r>
      <w:proofErr w:type="spellEnd"/>
      <w:r w:rsidR="0073666E" w:rsidRPr="0073666E">
        <w:rPr>
          <w:lang w:val="de-CH"/>
        </w:rPr>
        <w:t xml:space="preserve"> ne </w:t>
      </w:r>
      <w:proofErr w:type="spellStart"/>
      <w:r w:rsidR="0073666E" w:rsidRPr="0073666E">
        <w:rPr>
          <w:lang w:val="de-CH"/>
        </w:rPr>
        <w:t>tiennent</w:t>
      </w:r>
      <w:proofErr w:type="spellEnd"/>
      <w:r w:rsidR="0073666E" w:rsidRPr="0073666E">
        <w:rPr>
          <w:lang w:val="de-CH"/>
        </w:rPr>
        <w:t xml:space="preserve"> </w:t>
      </w:r>
      <w:proofErr w:type="spellStart"/>
      <w:r w:rsidR="0073666E" w:rsidRPr="0073666E">
        <w:rPr>
          <w:lang w:val="de-CH"/>
        </w:rPr>
        <w:t>aucun</w:t>
      </w:r>
      <w:proofErr w:type="spellEnd"/>
      <w:r w:rsidR="0073666E" w:rsidRPr="0073666E">
        <w:rPr>
          <w:lang w:val="de-CH"/>
        </w:rPr>
        <w:t xml:space="preserve"> </w:t>
      </w:r>
      <w:proofErr w:type="spellStart"/>
      <w:r w:rsidR="0073666E" w:rsidRPr="0073666E">
        <w:rPr>
          <w:lang w:val="de-CH"/>
        </w:rPr>
        <w:t>registre</w:t>
      </w:r>
      <w:proofErr w:type="spellEnd"/>
      <w:r w:rsidR="0073666E" w:rsidRPr="0073666E">
        <w:rPr>
          <w:lang w:val="de-CH"/>
        </w:rPr>
        <w:t xml:space="preserve"> </w:t>
      </w:r>
      <w:proofErr w:type="spellStart"/>
      <w:r w:rsidR="0073666E" w:rsidRPr="0073666E">
        <w:rPr>
          <w:lang w:val="de-CH"/>
        </w:rPr>
        <w:t>central</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sanctions</w:t>
      </w:r>
      <w:proofErr w:type="spellEnd"/>
      <w:r w:rsidR="0073666E" w:rsidRPr="0073666E">
        <w:rPr>
          <w:lang w:val="de-CH"/>
        </w:rPr>
        <w:t xml:space="preserve"> </w:t>
      </w:r>
      <w:proofErr w:type="spellStart"/>
      <w:r w:rsidR="0073666E" w:rsidRPr="0073666E">
        <w:rPr>
          <w:lang w:val="de-CH"/>
        </w:rPr>
        <w:t>disciplinaires</w:t>
      </w:r>
      <w:proofErr w:type="spellEnd"/>
      <w:r w:rsidR="0073666E" w:rsidRPr="0073666E">
        <w:rPr>
          <w:lang w:val="de-CH"/>
        </w:rPr>
        <w:t xml:space="preserve">. </w:t>
      </w:r>
      <w:proofErr w:type="spellStart"/>
      <w:r w:rsidR="0073666E" w:rsidRPr="0073666E">
        <w:rPr>
          <w:lang w:val="de-CH"/>
        </w:rPr>
        <w:t>L’utilité</w:t>
      </w:r>
      <w:proofErr w:type="spellEnd"/>
      <w:r w:rsidR="0073666E" w:rsidRPr="0073666E">
        <w:rPr>
          <w:lang w:val="de-CH"/>
        </w:rPr>
        <w:t xml:space="preserve"> et la plus-</w:t>
      </w:r>
      <w:proofErr w:type="spellStart"/>
      <w:r w:rsidR="0073666E" w:rsidRPr="0073666E">
        <w:rPr>
          <w:lang w:val="de-CH"/>
        </w:rPr>
        <w:t>value</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tel</w:t>
      </w:r>
      <w:proofErr w:type="spellEnd"/>
      <w:r w:rsidR="0073666E" w:rsidRPr="0073666E">
        <w:rPr>
          <w:lang w:val="de-CH"/>
        </w:rPr>
        <w:t xml:space="preserve"> </w:t>
      </w:r>
      <w:proofErr w:type="spellStart"/>
      <w:r w:rsidR="0073666E" w:rsidRPr="0073666E">
        <w:rPr>
          <w:lang w:val="de-CH"/>
        </w:rPr>
        <w:t>registre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contestées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canton</w:t>
      </w:r>
      <w:proofErr w:type="spellEnd"/>
      <w:r w:rsidR="0073666E" w:rsidRPr="0073666E">
        <w:rPr>
          <w:lang w:val="de-CH"/>
        </w:rPr>
        <w:t xml:space="preserve"> de ZH. </w:t>
      </w:r>
      <w:proofErr w:type="spellStart"/>
      <w:r w:rsidR="0073666E" w:rsidRPr="0073666E">
        <w:rPr>
          <w:lang w:val="de-CH"/>
        </w:rPr>
        <w:t>Généralement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sanctions</w:t>
      </w:r>
      <w:proofErr w:type="spellEnd"/>
      <w:r w:rsidR="0073666E" w:rsidRPr="0073666E">
        <w:rPr>
          <w:lang w:val="de-CH"/>
        </w:rPr>
        <w:t xml:space="preserve"> </w:t>
      </w:r>
      <w:proofErr w:type="spellStart"/>
      <w:r w:rsidR="0073666E" w:rsidRPr="0073666E">
        <w:rPr>
          <w:lang w:val="de-CH"/>
        </w:rPr>
        <w:t>disciplinaires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consignées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dossier des </w:t>
      </w:r>
      <w:proofErr w:type="spellStart"/>
      <w:r w:rsidR="0073666E" w:rsidRPr="0073666E">
        <w:rPr>
          <w:lang w:val="de-CH"/>
        </w:rPr>
        <w:t>détenus</w:t>
      </w:r>
      <w:proofErr w:type="spellEnd"/>
      <w:r w:rsidR="0073666E" w:rsidRPr="0073666E">
        <w:rPr>
          <w:lang w:val="de-CH"/>
        </w:rPr>
        <w:t xml:space="preserve">. La </w:t>
      </w:r>
      <w:proofErr w:type="spellStart"/>
      <w:r w:rsidR="0073666E" w:rsidRPr="0073666E">
        <w:rPr>
          <w:lang w:val="de-CH"/>
        </w:rPr>
        <w:t>majorité</w:t>
      </w:r>
      <w:proofErr w:type="spellEnd"/>
      <w:r w:rsidR="0073666E" w:rsidRPr="0073666E">
        <w:rPr>
          <w:lang w:val="de-CH"/>
        </w:rPr>
        <w:t xml:space="preserve"> des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indiquent</w:t>
      </w:r>
      <w:proofErr w:type="spellEnd"/>
      <w:r w:rsidR="0073666E" w:rsidRPr="0073666E">
        <w:rPr>
          <w:lang w:val="de-CH"/>
        </w:rPr>
        <w:t xml:space="preserve"> </w:t>
      </w:r>
      <w:proofErr w:type="spellStart"/>
      <w:r w:rsidR="0073666E" w:rsidRPr="0073666E">
        <w:rPr>
          <w:lang w:val="de-CH"/>
        </w:rPr>
        <w:t>noter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sanctions</w:t>
      </w:r>
      <w:proofErr w:type="spellEnd"/>
      <w:r w:rsidR="0073666E" w:rsidRPr="0073666E">
        <w:rPr>
          <w:lang w:val="de-CH"/>
        </w:rPr>
        <w:t xml:space="preserve"> </w:t>
      </w:r>
      <w:proofErr w:type="spellStart"/>
      <w:r w:rsidR="0073666E" w:rsidRPr="0073666E">
        <w:rPr>
          <w:lang w:val="de-CH"/>
        </w:rPr>
        <w:t>disciplinaires</w:t>
      </w:r>
      <w:proofErr w:type="spellEnd"/>
      <w:r w:rsidR="0073666E" w:rsidRPr="0073666E">
        <w:rPr>
          <w:lang w:val="de-CH"/>
        </w:rPr>
        <w:t xml:space="preserve"> </w:t>
      </w:r>
      <w:proofErr w:type="spellStart"/>
      <w:r w:rsidR="0073666E" w:rsidRPr="0073666E">
        <w:rPr>
          <w:lang w:val="de-CH"/>
        </w:rPr>
        <w:t>qu’ils</w:t>
      </w:r>
      <w:proofErr w:type="spellEnd"/>
      <w:r w:rsidR="0073666E" w:rsidRPr="0073666E">
        <w:rPr>
          <w:lang w:val="de-CH"/>
        </w:rPr>
        <w:t xml:space="preserve"> </w:t>
      </w:r>
      <w:proofErr w:type="spellStart"/>
      <w:r w:rsidR="0073666E" w:rsidRPr="0073666E">
        <w:rPr>
          <w:lang w:val="de-CH"/>
        </w:rPr>
        <w:t>prennent</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registre</w:t>
      </w:r>
      <w:proofErr w:type="spellEnd"/>
      <w:r w:rsidR="0073666E" w:rsidRPr="0073666E">
        <w:rPr>
          <w:lang w:val="de-CH"/>
        </w:rPr>
        <w:t xml:space="preserve"> </w:t>
      </w:r>
      <w:proofErr w:type="spellStart"/>
      <w:r w:rsidR="0073666E" w:rsidRPr="0073666E">
        <w:rPr>
          <w:lang w:val="de-CH"/>
        </w:rPr>
        <w:t>sous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forme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autre</w:t>
      </w:r>
      <w:proofErr w:type="spellEnd"/>
      <w:r w:rsidR="0073666E" w:rsidRPr="0073666E">
        <w:rPr>
          <w:lang w:val="de-CH"/>
        </w:rPr>
        <w:t xml:space="preserve"> (</w:t>
      </w:r>
      <w:proofErr w:type="spellStart"/>
      <w:r w:rsidR="0073666E" w:rsidRPr="0073666E">
        <w:rPr>
          <w:lang w:val="de-CH"/>
        </w:rPr>
        <w:t>souvent</w:t>
      </w:r>
      <w:proofErr w:type="spellEnd"/>
      <w:r w:rsidR="0073666E" w:rsidRPr="0073666E">
        <w:rPr>
          <w:lang w:val="de-CH"/>
        </w:rPr>
        <w:t xml:space="preserve"> </w:t>
      </w:r>
      <w:proofErr w:type="spellStart"/>
      <w:r w:rsidR="0073666E" w:rsidRPr="0073666E">
        <w:rPr>
          <w:lang w:val="de-CH"/>
        </w:rPr>
        <w:t>limitée</w:t>
      </w:r>
      <w:proofErr w:type="spellEnd"/>
      <w:r w:rsidR="0073666E" w:rsidRPr="0073666E">
        <w:rPr>
          <w:lang w:val="de-CH"/>
        </w:rPr>
        <w:t xml:space="preserve"> à </w:t>
      </w:r>
      <w:proofErr w:type="spellStart"/>
      <w:r w:rsidR="0073666E" w:rsidRPr="0073666E">
        <w:rPr>
          <w:lang w:val="de-CH"/>
        </w:rPr>
        <w:t>chaque</w:t>
      </w:r>
      <w:proofErr w:type="spellEnd"/>
      <w:r w:rsidR="0073666E" w:rsidRPr="0073666E">
        <w:rPr>
          <w:lang w:val="de-CH"/>
        </w:rPr>
        <w:t xml:space="preserve"> </w:t>
      </w:r>
      <w:proofErr w:type="spellStart"/>
      <w:r w:rsidR="0073666E" w:rsidRPr="0073666E">
        <w:rPr>
          <w:lang w:val="de-CH"/>
        </w:rPr>
        <w:t>institution</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au </w:t>
      </w:r>
      <w:proofErr w:type="spellStart"/>
      <w:r w:rsidR="0073666E" w:rsidRPr="0073666E">
        <w:rPr>
          <w:lang w:val="de-CH"/>
        </w:rPr>
        <w:t>canton</w:t>
      </w:r>
      <w:proofErr w:type="spellEnd"/>
      <w:r w:rsidR="0073666E" w:rsidRPr="0073666E">
        <w:rPr>
          <w:lang w:val="de-CH"/>
        </w:rPr>
        <w:t>).</w:t>
      </w:r>
    </w:p>
    <w:p w14:paraId="0F4847D6" w14:textId="77777777" w:rsidR="0073666E" w:rsidRPr="0073666E" w:rsidRDefault="00E76E99" w:rsidP="00E76E99">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D641C5">
        <w:rPr>
          <w:lang w:val="fr-FR"/>
        </w:rPr>
        <w:t>à la question posée</w:t>
      </w:r>
      <w:r w:rsidR="00D641C5">
        <w:rPr>
          <w:lang w:val="de-CH"/>
        </w:rPr>
        <w:t xml:space="preserve"> </w:t>
      </w:r>
      <w:r>
        <w:rPr>
          <w:lang w:val="de-CH"/>
        </w:rPr>
        <w:t xml:space="preserve">au </w:t>
      </w:r>
      <w:proofErr w:type="spellStart"/>
      <w:r>
        <w:rPr>
          <w:lang w:val="de-CH"/>
        </w:rPr>
        <w:t>paragraphe</w:t>
      </w:r>
      <w:proofErr w:type="spellEnd"/>
      <w:r>
        <w:rPr>
          <w:lang w:val="de-CH"/>
        </w:rPr>
        <w:t xml:space="preserve"> 21</w:t>
      </w:r>
    </w:p>
    <w:p w14:paraId="62F88CD8" w14:textId="77777777" w:rsidR="0073666E" w:rsidRPr="0073666E" w:rsidRDefault="00E76E99" w:rsidP="00E76E99">
      <w:pPr>
        <w:pStyle w:val="SingleTxtG"/>
        <w:rPr>
          <w:lang w:val="de-CH"/>
        </w:rPr>
      </w:pPr>
      <w:r>
        <w:t>122.</w:t>
      </w:r>
      <w:r>
        <w:tab/>
      </w:r>
      <w:r w:rsidR="0073666E" w:rsidRPr="0073666E">
        <w:t>Au total, il y a eu, en Suisse, durant l’année 2015, vingt-quatre décès dont dix suicides</w:t>
      </w:r>
      <w:r w:rsidR="000A0B7E">
        <w:t> </w:t>
      </w:r>
      <w:r w:rsidR="0073666E" w:rsidRPr="0073666E">
        <w:t xml:space="preserve">; durant l’année 2016, </w:t>
      </w:r>
      <w:r w:rsidR="0073666E" w:rsidRPr="00E76E99">
        <w:rPr>
          <w:lang w:val="de-CH"/>
        </w:rPr>
        <w:t>dix</w:t>
      </w:r>
      <w:r w:rsidR="0073666E" w:rsidRPr="0073666E">
        <w:t xml:space="preserve">-sept décès dont cinq suicides.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statistique</w:t>
      </w:r>
      <w:proofErr w:type="spellEnd"/>
      <w:r w:rsidR="0073666E" w:rsidRPr="0073666E">
        <w:rPr>
          <w:lang w:val="de-CH"/>
        </w:rPr>
        <w:t xml:space="preserve"> plus </w:t>
      </w:r>
      <w:proofErr w:type="spellStart"/>
      <w:r w:rsidR="0073666E" w:rsidRPr="0073666E">
        <w:rPr>
          <w:lang w:val="de-CH"/>
        </w:rPr>
        <w:t>détaillée</w:t>
      </w:r>
      <w:proofErr w:type="spellEnd"/>
      <w:r w:rsidR="0073666E" w:rsidRPr="0073666E">
        <w:rPr>
          <w:lang w:val="de-CH"/>
        </w:rPr>
        <w:t xml:space="preserve"> par </w:t>
      </w:r>
      <w:proofErr w:type="spellStart"/>
      <w:r w:rsidR="0073666E" w:rsidRPr="0073666E">
        <w:rPr>
          <w:lang w:val="de-CH"/>
        </w:rPr>
        <w:t>canton</w:t>
      </w:r>
      <w:proofErr w:type="spellEnd"/>
      <w:r w:rsidR="0073666E" w:rsidRPr="0073666E">
        <w:rPr>
          <w:lang w:val="de-CH"/>
        </w:rPr>
        <w:t xml:space="preserve"> se </w:t>
      </w:r>
      <w:proofErr w:type="spellStart"/>
      <w:r w:rsidR="0073666E" w:rsidRPr="0073666E">
        <w:rPr>
          <w:lang w:val="de-CH"/>
        </w:rPr>
        <w:t>trouve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EC4D19">
        <w:rPr>
          <w:lang w:val="de-CH"/>
        </w:rPr>
        <w:t>l’a</w:t>
      </w:r>
      <w:r w:rsidR="0073666E" w:rsidRPr="00D641C5">
        <w:rPr>
          <w:lang w:val="de-CH"/>
        </w:rPr>
        <w:t>nnexe</w:t>
      </w:r>
      <w:proofErr w:type="spellEnd"/>
      <w:r w:rsidR="0073666E" w:rsidRPr="00D641C5">
        <w:rPr>
          <w:lang w:val="de-CH"/>
        </w:rPr>
        <w:t xml:space="preserve"> 6</w:t>
      </w:r>
      <w:r w:rsidR="0073666E" w:rsidRPr="0073666E">
        <w:rPr>
          <w:lang w:val="de-CH"/>
        </w:rPr>
        <w:t>.</w:t>
      </w:r>
    </w:p>
    <w:p w14:paraId="74402BD5" w14:textId="77777777" w:rsidR="0073666E" w:rsidRPr="0073666E" w:rsidRDefault="00E76E99" w:rsidP="00E76E99">
      <w:pPr>
        <w:pStyle w:val="SingleTxtG"/>
        <w:rPr>
          <w:lang w:val="de-CH"/>
        </w:rPr>
      </w:pPr>
      <w:r>
        <w:rPr>
          <w:lang w:val="de-CH"/>
        </w:rPr>
        <w:t>123.</w:t>
      </w:r>
      <w:r>
        <w:rPr>
          <w:lang w:val="de-CH"/>
        </w:rPr>
        <w:tab/>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détenu</w:t>
      </w:r>
      <w:proofErr w:type="spellEnd"/>
      <w:r w:rsidR="0073666E" w:rsidRPr="0073666E">
        <w:rPr>
          <w:lang w:val="de-CH"/>
        </w:rPr>
        <w:t xml:space="preserve"> de </w:t>
      </w:r>
      <w:proofErr w:type="spellStart"/>
      <w:r w:rsidR="0073666E" w:rsidRPr="0073666E">
        <w:rPr>
          <w:lang w:val="de-CH"/>
        </w:rPr>
        <w:t>nationalité</w:t>
      </w:r>
      <w:proofErr w:type="spellEnd"/>
      <w:r w:rsidR="0073666E" w:rsidRPr="0073666E">
        <w:rPr>
          <w:lang w:val="de-CH"/>
        </w:rPr>
        <w:t xml:space="preserve"> </w:t>
      </w:r>
      <w:proofErr w:type="spellStart"/>
      <w:r w:rsidR="0073666E" w:rsidRPr="0073666E">
        <w:rPr>
          <w:lang w:val="de-CH"/>
        </w:rPr>
        <w:t>allemande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décédé</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canton</w:t>
      </w:r>
      <w:proofErr w:type="spellEnd"/>
      <w:r w:rsidR="0073666E" w:rsidRPr="0073666E">
        <w:rPr>
          <w:lang w:val="de-CH"/>
        </w:rPr>
        <w:t xml:space="preserve"> de ZH. Il </w:t>
      </w:r>
      <w:proofErr w:type="spellStart"/>
      <w:r w:rsidR="0073666E" w:rsidRPr="0073666E">
        <w:rPr>
          <w:lang w:val="de-CH"/>
        </w:rPr>
        <w:t>bénéficiait</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traitement</w:t>
      </w:r>
      <w:proofErr w:type="spellEnd"/>
      <w:r w:rsidR="0073666E" w:rsidRPr="0073666E">
        <w:rPr>
          <w:lang w:val="de-CH"/>
        </w:rPr>
        <w:t xml:space="preserve"> </w:t>
      </w:r>
      <w:proofErr w:type="spellStart"/>
      <w:r w:rsidR="0073666E" w:rsidRPr="0073666E">
        <w:rPr>
          <w:lang w:val="de-CH"/>
        </w:rPr>
        <w:t>médical</w:t>
      </w:r>
      <w:proofErr w:type="spellEnd"/>
      <w:r w:rsidR="0073666E" w:rsidRPr="0073666E">
        <w:rPr>
          <w:lang w:val="de-CH"/>
        </w:rPr>
        <w:t xml:space="preserve"> </w:t>
      </w:r>
      <w:proofErr w:type="spellStart"/>
      <w:r w:rsidR="0073666E" w:rsidRPr="0073666E">
        <w:rPr>
          <w:lang w:val="de-CH"/>
        </w:rPr>
        <w:t>dispensé</w:t>
      </w:r>
      <w:proofErr w:type="spellEnd"/>
      <w:r w:rsidR="0073666E" w:rsidRPr="0073666E">
        <w:rPr>
          <w:lang w:val="de-CH"/>
        </w:rPr>
        <w:t xml:space="preserve"> par le </w:t>
      </w:r>
      <w:proofErr w:type="spellStart"/>
      <w:r w:rsidR="0073666E" w:rsidRPr="0073666E">
        <w:rPr>
          <w:lang w:val="de-CH"/>
        </w:rPr>
        <w:t>médecin</w:t>
      </w:r>
      <w:proofErr w:type="spellEnd"/>
      <w:r w:rsidR="0073666E" w:rsidRPr="0073666E">
        <w:rPr>
          <w:lang w:val="de-CH"/>
        </w:rPr>
        <w:t xml:space="preserve"> de </w:t>
      </w:r>
      <w:proofErr w:type="spellStart"/>
      <w:r w:rsidR="0073666E" w:rsidRPr="0073666E">
        <w:rPr>
          <w:lang w:val="de-CH"/>
        </w:rPr>
        <w:t>prison</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et a </w:t>
      </w:r>
      <w:proofErr w:type="spellStart"/>
      <w:r w:rsidR="0073666E" w:rsidRPr="0073666E">
        <w:rPr>
          <w:lang w:val="de-CH"/>
        </w:rPr>
        <w:t>dû</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transféré</w:t>
      </w:r>
      <w:proofErr w:type="spellEnd"/>
      <w:r w:rsidR="0073666E" w:rsidRPr="0073666E">
        <w:rPr>
          <w:lang w:val="de-CH"/>
        </w:rPr>
        <w:t xml:space="preserve"> à </w:t>
      </w:r>
      <w:proofErr w:type="spellStart"/>
      <w:r w:rsidR="0073666E" w:rsidRPr="0073666E">
        <w:rPr>
          <w:lang w:val="de-CH"/>
        </w:rPr>
        <w:t>l’hôpital</w:t>
      </w:r>
      <w:proofErr w:type="spellEnd"/>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mort</w:t>
      </w:r>
      <w:proofErr w:type="spellEnd"/>
      <w:r w:rsidR="0073666E" w:rsidRPr="0073666E">
        <w:rPr>
          <w:lang w:val="de-CH"/>
        </w:rPr>
        <w:t xml:space="preserve">. </w:t>
      </w:r>
      <w:r w:rsidR="0073666E" w:rsidRPr="00E76E99">
        <w:rPr>
          <w:lang w:val="de-CH"/>
        </w:rPr>
        <w:t xml:space="preserve">Le </w:t>
      </w:r>
      <w:proofErr w:type="spellStart"/>
      <w:r w:rsidR="0073666E" w:rsidRPr="00E76E99">
        <w:rPr>
          <w:lang w:val="de-CH"/>
        </w:rPr>
        <w:t>cas</w:t>
      </w:r>
      <w:proofErr w:type="spellEnd"/>
      <w:r w:rsidR="0073666E" w:rsidRPr="00E76E99">
        <w:rPr>
          <w:lang w:val="de-CH"/>
        </w:rPr>
        <w:t xml:space="preserve"> </w:t>
      </w:r>
      <w:proofErr w:type="spellStart"/>
      <w:r w:rsidR="0073666E" w:rsidRPr="00E76E99">
        <w:rPr>
          <w:lang w:val="de-CH"/>
        </w:rPr>
        <w:t>ferait</w:t>
      </w:r>
      <w:proofErr w:type="spellEnd"/>
      <w:r w:rsidR="0073666E" w:rsidRPr="00E76E99">
        <w:rPr>
          <w:lang w:val="de-CH"/>
        </w:rPr>
        <w:t xml:space="preserve"> </w:t>
      </w:r>
      <w:proofErr w:type="spellStart"/>
      <w:r w:rsidR="0073666E" w:rsidRPr="00E76E99">
        <w:rPr>
          <w:lang w:val="de-CH"/>
        </w:rPr>
        <w:t>l’objet</w:t>
      </w:r>
      <w:proofErr w:type="spellEnd"/>
      <w:r w:rsidR="0073666E" w:rsidRPr="00E76E99">
        <w:rPr>
          <w:lang w:val="de-CH"/>
        </w:rPr>
        <w:t xml:space="preserve"> </w:t>
      </w:r>
      <w:proofErr w:type="spellStart"/>
      <w:r w:rsidR="0073666E" w:rsidRPr="00E76E99">
        <w:rPr>
          <w:lang w:val="de-CH"/>
        </w:rPr>
        <w:t>d’une</w:t>
      </w:r>
      <w:proofErr w:type="spellEnd"/>
      <w:r w:rsidR="0073666E" w:rsidRPr="00E76E99">
        <w:rPr>
          <w:lang w:val="de-CH"/>
        </w:rPr>
        <w:t xml:space="preserve"> </w:t>
      </w:r>
      <w:proofErr w:type="spellStart"/>
      <w:r w:rsidR="0073666E" w:rsidRPr="00E76E99">
        <w:rPr>
          <w:lang w:val="de-CH"/>
        </w:rPr>
        <w:t>enquête</w:t>
      </w:r>
      <w:proofErr w:type="spellEnd"/>
      <w:r w:rsidR="0073666E" w:rsidRPr="00E76E99">
        <w:rPr>
          <w:lang w:val="de-CH"/>
        </w:rPr>
        <w:t xml:space="preserve"> </w:t>
      </w:r>
      <w:proofErr w:type="spellStart"/>
      <w:r w:rsidR="0073666E" w:rsidRPr="00E76E99">
        <w:rPr>
          <w:lang w:val="de-CH"/>
        </w:rPr>
        <w:t>pénale</w:t>
      </w:r>
      <w:proofErr w:type="spellEnd"/>
      <w:r w:rsidR="0073666E" w:rsidRPr="00E76E99">
        <w:rPr>
          <w:lang w:val="de-CH"/>
        </w:rPr>
        <w:t xml:space="preserve"> </w:t>
      </w:r>
      <w:proofErr w:type="spellStart"/>
      <w:r w:rsidR="0073666E" w:rsidRPr="00E76E99">
        <w:rPr>
          <w:lang w:val="de-CH"/>
        </w:rPr>
        <w:t>pour</w:t>
      </w:r>
      <w:proofErr w:type="spellEnd"/>
      <w:r w:rsidR="0073666E" w:rsidRPr="00E76E99">
        <w:rPr>
          <w:lang w:val="de-CH"/>
        </w:rPr>
        <w:t xml:space="preserve"> </w:t>
      </w:r>
      <w:proofErr w:type="spellStart"/>
      <w:r w:rsidR="0073666E" w:rsidRPr="00E76E99">
        <w:rPr>
          <w:lang w:val="de-CH"/>
        </w:rPr>
        <w:t>négligence</w:t>
      </w:r>
      <w:proofErr w:type="spellEnd"/>
      <w:r w:rsidR="0073666E" w:rsidRPr="00E76E99">
        <w:rPr>
          <w:lang w:val="de-CH"/>
        </w:rPr>
        <w:t xml:space="preserve"> </w:t>
      </w:r>
      <w:proofErr w:type="spellStart"/>
      <w:r w:rsidR="0073666E" w:rsidRPr="00E76E99">
        <w:rPr>
          <w:lang w:val="de-CH"/>
        </w:rPr>
        <w:t>éventuelle</w:t>
      </w:r>
      <w:proofErr w:type="spellEnd"/>
      <w:r w:rsidR="0073666E" w:rsidRPr="00E76E99">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autres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n’ont</w:t>
      </w:r>
      <w:proofErr w:type="spellEnd"/>
      <w:r w:rsidR="0073666E" w:rsidRPr="0073666E">
        <w:rPr>
          <w:lang w:val="de-CH"/>
        </w:rPr>
        <w:t xml:space="preserve"> </w:t>
      </w:r>
      <w:proofErr w:type="spellStart"/>
      <w:r w:rsidR="0073666E" w:rsidRPr="0073666E">
        <w:rPr>
          <w:lang w:val="de-CH"/>
        </w:rPr>
        <w:t>enregistré</w:t>
      </w:r>
      <w:proofErr w:type="spellEnd"/>
      <w:r w:rsidR="0073666E" w:rsidRPr="0073666E">
        <w:rPr>
          <w:lang w:val="de-CH"/>
        </w:rPr>
        <w:t xml:space="preserve"> </w:t>
      </w:r>
      <w:proofErr w:type="spellStart"/>
      <w:r w:rsidR="0073666E" w:rsidRPr="0073666E">
        <w:rPr>
          <w:lang w:val="de-CH"/>
        </w:rPr>
        <w:t>aucun</w:t>
      </w:r>
      <w:proofErr w:type="spellEnd"/>
      <w:r w:rsidR="0073666E" w:rsidRPr="0073666E">
        <w:rPr>
          <w:lang w:val="de-CH"/>
        </w:rPr>
        <w:t xml:space="preserve"> </w:t>
      </w:r>
      <w:proofErr w:type="spellStart"/>
      <w:r w:rsidR="0073666E" w:rsidRPr="0073666E">
        <w:rPr>
          <w:lang w:val="de-CH"/>
        </w:rPr>
        <w:t>décès</w:t>
      </w:r>
      <w:proofErr w:type="spellEnd"/>
      <w:r w:rsidR="0073666E" w:rsidRPr="0073666E">
        <w:rPr>
          <w:lang w:val="de-CH"/>
        </w:rPr>
        <w:t xml:space="preserve"> </w:t>
      </w:r>
      <w:proofErr w:type="spellStart"/>
      <w:r w:rsidR="0073666E" w:rsidRPr="0073666E">
        <w:rPr>
          <w:lang w:val="de-CH"/>
        </w:rPr>
        <w:t>dû</w:t>
      </w:r>
      <w:proofErr w:type="spellEnd"/>
      <w:r w:rsidR="0073666E" w:rsidRPr="0073666E">
        <w:rPr>
          <w:lang w:val="de-CH"/>
        </w:rPr>
        <w:t xml:space="preserve"> à des </w:t>
      </w:r>
      <w:proofErr w:type="spellStart"/>
      <w:r w:rsidR="0073666E" w:rsidRPr="0073666E">
        <w:rPr>
          <w:lang w:val="de-CH"/>
        </w:rPr>
        <w:t>négligences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à des </w:t>
      </w:r>
      <w:proofErr w:type="spellStart"/>
      <w:r w:rsidR="0073666E" w:rsidRPr="0073666E">
        <w:rPr>
          <w:lang w:val="de-CH"/>
        </w:rPr>
        <w:t>actes</w:t>
      </w:r>
      <w:proofErr w:type="spellEnd"/>
      <w:r w:rsidR="0073666E" w:rsidRPr="0073666E">
        <w:rPr>
          <w:lang w:val="de-CH"/>
        </w:rPr>
        <w:t xml:space="preserve"> de </w:t>
      </w:r>
      <w:proofErr w:type="spellStart"/>
      <w:r w:rsidR="0073666E" w:rsidRPr="0073666E">
        <w:rPr>
          <w:lang w:val="de-CH"/>
        </w:rPr>
        <w:t>violence</w:t>
      </w:r>
      <w:proofErr w:type="spellEnd"/>
      <w:r w:rsidR="0073666E" w:rsidRPr="0073666E">
        <w:rPr>
          <w:lang w:val="de-CH"/>
        </w:rPr>
        <w:t>.</w:t>
      </w:r>
    </w:p>
    <w:p w14:paraId="5CDE83C3" w14:textId="77777777" w:rsidR="0073666E" w:rsidRPr="0073666E" w:rsidRDefault="00E76E99" w:rsidP="00E76E99">
      <w:pPr>
        <w:pStyle w:val="SingleTxtG"/>
        <w:rPr>
          <w:lang w:val="de-CH"/>
        </w:rPr>
      </w:pPr>
      <w:r>
        <w:rPr>
          <w:lang w:val="de-CH"/>
        </w:rPr>
        <w:t>124.</w:t>
      </w:r>
      <w:r>
        <w:rPr>
          <w:lang w:val="de-CH"/>
        </w:rPr>
        <w:tab/>
      </w:r>
      <w:proofErr w:type="spellStart"/>
      <w:r w:rsidR="0073666E" w:rsidRPr="00E76E99">
        <w:rPr>
          <w:lang w:val="de-CH"/>
        </w:rPr>
        <w:t>Les</w:t>
      </w:r>
      <w:proofErr w:type="spellEnd"/>
      <w:r w:rsidR="0073666E" w:rsidRPr="00E76E99">
        <w:rPr>
          <w:lang w:val="de-CH"/>
        </w:rPr>
        <w:t xml:space="preserve"> </w:t>
      </w:r>
      <w:proofErr w:type="spellStart"/>
      <w:r w:rsidR="0073666E" w:rsidRPr="00E76E99">
        <w:rPr>
          <w:lang w:val="de-CH"/>
        </w:rPr>
        <w:t>cantons</w:t>
      </w:r>
      <w:proofErr w:type="spellEnd"/>
      <w:r w:rsidR="0073666E" w:rsidRPr="00E76E99">
        <w:rPr>
          <w:lang w:val="de-CH"/>
        </w:rPr>
        <w:t xml:space="preserve"> </w:t>
      </w:r>
      <w:proofErr w:type="spellStart"/>
      <w:r w:rsidR="0073666E" w:rsidRPr="00E76E99">
        <w:rPr>
          <w:lang w:val="de-CH"/>
        </w:rPr>
        <w:t>ont</w:t>
      </w:r>
      <w:proofErr w:type="spellEnd"/>
      <w:r w:rsidR="0073666E" w:rsidRPr="00E76E99">
        <w:rPr>
          <w:lang w:val="de-CH"/>
        </w:rPr>
        <w:t xml:space="preserve"> </w:t>
      </w:r>
      <w:proofErr w:type="spellStart"/>
      <w:r w:rsidR="0073666E" w:rsidRPr="00E76E99">
        <w:rPr>
          <w:lang w:val="de-CH"/>
        </w:rPr>
        <w:t>également</w:t>
      </w:r>
      <w:proofErr w:type="spellEnd"/>
      <w:r w:rsidR="0073666E" w:rsidRPr="00E76E99">
        <w:rPr>
          <w:lang w:val="de-CH"/>
        </w:rPr>
        <w:t xml:space="preserve"> </w:t>
      </w:r>
      <w:proofErr w:type="spellStart"/>
      <w:r w:rsidR="0073666E" w:rsidRPr="00E76E99">
        <w:rPr>
          <w:lang w:val="de-CH"/>
        </w:rPr>
        <w:t>recensé</w:t>
      </w:r>
      <w:proofErr w:type="spellEnd"/>
      <w:r w:rsidR="0073666E" w:rsidRPr="00E76E99">
        <w:rPr>
          <w:lang w:val="de-CH"/>
        </w:rPr>
        <w:t xml:space="preserve"> très </w:t>
      </w:r>
      <w:proofErr w:type="spellStart"/>
      <w:r w:rsidR="0073666E" w:rsidRPr="00E76E99">
        <w:rPr>
          <w:lang w:val="de-CH"/>
        </w:rPr>
        <w:t>peu</w:t>
      </w:r>
      <w:proofErr w:type="spellEnd"/>
      <w:r w:rsidR="0073666E" w:rsidRPr="00E76E99">
        <w:rPr>
          <w:lang w:val="de-CH"/>
        </w:rPr>
        <w:t xml:space="preserve"> de </w:t>
      </w:r>
      <w:proofErr w:type="spellStart"/>
      <w:r w:rsidR="0073666E" w:rsidRPr="00E76E99">
        <w:rPr>
          <w:lang w:val="de-CH"/>
        </w:rPr>
        <w:t>cas</w:t>
      </w:r>
      <w:proofErr w:type="spellEnd"/>
      <w:r w:rsidR="0073666E" w:rsidRPr="00E76E99">
        <w:rPr>
          <w:lang w:val="de-CH"/>
        </w:rPr>
        <w:t xml:space="preserve"> de </w:t>
      </w:r>
      <w:proofErr w:type="spellStart"/>
      <w:r w:rsidR="0073666E" w:rsidRPr="00E76E99">
        <w:rPr>
          <w:lang w:val="de-CH"/>
        </w:rPr>
        <w:t>blessures</w:t>
      </w:r>
      <w:proofErr w:type="spellEnd"/>
      <w:r w:rsidR="000A0B7E">
        <w:rPr>
          <w:lang w:val="de-CH"/>
        </w:rPr>
        <w:t> </w:t>
      </w:r>
      <w:r w:rsidR="0073666E" w:rsidRPr="00E76E99">
        <w:rPr>
          <w:lang w:val="de-CH"/>
        </w:rPr>
        <w:t xml:space="preserve">; </w:t>
      </w:r>
      <w:proofErr w:type="spellStart"/>
      <w:r w:rsidR="0073666E" w:rsidRPr="00E76E99">
        <w:rPr>
          <w:lang w:val="de-CH"/>
        </w:rPr>
        <w:t>celles</w:t>
      </w:r>
      <w:proofErr w:type="spellEnd"/>
      <w:r w:rsidR="0073666E" w:rsidRPr="00E76E99">
        <w:rPr>
          <w:lang w:val="de-CH"/>
        </w:rPr>
        <w:t xml:space="preserve">-ci </w:t>
      </w:r>
      <w:proofErr w:type="spellStart"/>
      <w:r w:rsidR="0073666E" w:rsidRPr="00E76E99">
        <w:rPr>
          <w:lang w:val="de-CH"/>
        </w:rPr>
        <w:t>sont</w:t>
      </w:r>
      <w:proofErr w:type="spellEnd"/>
      <w:r w:rsidR="0073666E" w:rsidRPr="00E76E99">
        <w:rPr>
          <w:lang w:val="de-CH"/>
        </w:rPr>
        <w:t xml:space="preserve"> le fait de </w:t>
      </w:r>
      <w:proofErr w:type="spellStart"/>
      <w:r w:rsidR="0073666E" w:rsidRPr="00E76E99">
        <w:rPr>
          <w:lang w:val="de-CH"/>
        </w:rPr>
        <w:t>codétenus</w:t>
      </w:r>
      <w:proofErr w:type="spellEnd"/>
      <w:r w:rsidR="0073666E" w:rsidRPr="00E76E99">
        <w:rPr>
          <w:lang w:val="de-CH"/>
        </w:rPr>
        <w:t xml:space="preserve"> </w:t>
      </w:r>
      <w:proofErr w:type="spellStart"/>
      <w:r w:rsidR="0073666E" w:rsidRPr="00E76E99">
        <w:rPr>
          <w:lang w:val="de-CH"/>
        </w:rPr>
        <w:t>dans</w:t>
      </w:r>
      <w:proofErr w:type="spellEnd"/>
      <w:r w:rsidR="0073666E" w:rsidRPr="00E76E99">
        <w:rPr>
          <w:lang w:val="de-CH"/>
        </w:rPr>
        <w:t xml:space="preserve"> la très </w:t>
      </w:r>
      <w:proofErr w:type="spellStart"/>
      <w:r w:rsidR="0073666E" w:rsidRPr="00E76E99">
        <w:rPr>
          <w:lang w:val="de-CH"/>
        </w:rPr>
        <w:t>grande</w:t>
      </w:r>
      <w:proofErr w:type="spellEnd"/>
      <w:r w:rsidR="0073666E" w:rsidRPr="00E76E99">
        <w:rPr>
          <w:lang w:val="de-CH"/>
        </w:rPr>
        <w:t xml:space="preserve"> </w:t>
      </w:r>
      <w:proofErr w:type="spellStart"/>
      <w:r w:rsidR="0073666E" w:rsidRPr="00E76E99">
        <w:rPr>
          <w:lang w:val="de-CH"/>
        </w:rPr>
        <w:t>majorité</w:t>
      </w:r>
      <w:proofErr w:type="spellEnd"/>
      <w:r w:rsidR="0073666E" w:rsidRPr="00E76E99">
        <w:rPr>
          <w:lang w:val="de-CH"/>
        </w:rPr>
        <w:t xml:space="preserve"> des </w:t>
      </w:r>
      <w:proofErr w:type="spellStart"/>
      <w:r w:rsidR="0073666E" w:rsidRPr="00E76E99">
        <w:rPr>
          <w:lang w:val="de-CH"/>
        </w:rPr>
        <w:t>cas</w:t>
      </w:r>
      <w:proofErr w:type="spellEnd"/>
      <w:r w:rsidR="0073666E" w:rsidRPr="00E76E99">
        <w:rPr>
          <w:lang w:val="de-CH"/>
        </w:rPr>
        <w:t xml:space="preserve"> (</w:t>
      </w:r>
      <w:proofErr w:type="spellStart"/>
      <w:r w:rsidR="0073666E" w:rsidRPr="00E76E99">
        <w:rPr>
          <w:lang w:val="de-CH"/>
        </w:rPr>
        <w:t>seuls</w:t>
      </w:r>
      <w:proofErr w:type="spellEnd"/>
      <w:r w:rsidR="0073666E" w:rsidRPr="00E76E99">
        <w:rPr>
          <w:lang w:val="de-CH"/>
        </w:rPr>
        <w:t xml:space="preserve"> deux </w:t>
      </w:r>
      <w:proofErr w:type="spellStart"/>
      <w:r w:rsidR="0073666E" w:rsidRPr="00E76E99">
        <w:rPr>
          <w:lang w:val="de-CH"/>
        </w:rPr>
        <w:t>cas</w:t>
      </w:r>
      <w:proofErr w:type="spellEnd"/>
      <w:r w:rsidR="0073666E" w:rsidRPr="00E76E99">
        <w:rPr>
          <w:lang w:val="de-CH"/>
        </w:rPr>
        <w:t xml:space="preserve"> de </w:t>
      </w:r>
      <w:proofErr w:type="spellStart"/>
      <w:r w:rsidR="0073666E" w:rsidRPr="00E76E99">
        <w:rPr>
          <w:lang w:val="de-CH"/>
        </w:rPr>
        <w:t>blessures</w:t>
      </w:r>
      <w:proofErr w:type="spellEnd"/>
      <w:r w:rsidR="0073666E" w:rsidRPr="00E76E99">
        <w:rPr>
          <w:lang w:val="de-CH"/>
        </w:rPr>
        <w:t xml:space="preserve"> </w:t>
      </w:r>
      <w:proofErr w:type="spellStart"/>
      <w:r w:rsidR="0073666E" w:rsidRPr="00E76E99">
        <w:rPr>
          <w:lang w:val="de-CH"/>
        </w:rPr>
        <w:t>résultant</w:t>
      </w:r>
      <w:proofErr w:type="spellEnd"/>
      <w:r w:rsidR="0073666E" w:rsidRPr="00E76E99">
        <w:rPr>
          <w:lang w:val="de-CH"/>
        </w:rPr>
        <w:t xml:space="preserve"> </w:t>
      </w:r>
      <w:proofErr w:type="spellStart"/>
      <w:r w:rsidR="0073666E" w:rsidRPr="00E76E99">
        <w:rPr>
          <w:lang w:val="de-CH"/>
        </w:rPr>
        <w:t>d’un</w:t>
      </w:r>
      <w:proofErr w:type="spellEnd"/>
      <w:r w:rsidR="0073666E" w:rsidRPr="00E76E99">
        <w:rPr>
          <w:lang w:val="de-CH"/>
        </w:rPr>
        <w:t xml:space="preserve"> </w:t>
      </w:r>
      <w:proofErr w:type="spellStart"/>
      <w:r w:rsidR="0073666E" w:rsidRPr="00E76E99">
        <w:rPr>
          <w:lang w:val="de-CH"/>
        </w:rPr>
        <w:t>acte</w:t>
      </w:r>
      <w:proofErr w:type="spellEnd"/>
      <w:r w:rsidR="0073666E" w:rsidRPr="00E76E99">
        <w:rPr>
          <w:lang w:val="de-CH"/>
        </w:rPr>
        <w:t xml:space="preserve"> de </w:t>
      </w:r>
      <w:proofErr w:type="spellStart"/>
      <w:r w:rsidR="0073666E" w:rsidRPr="00E76E99">
        <w:rPr>
          <w:lang w:val="de-CH"/>
        </w:rPr>
        <w:t>fonctionnaire</w:t>
      </w:r>
      <w:proofErr w:type="spellEnd"/>
      <w:r w:rsidR="0073666E" w:rsidRPr="0073666E">
        <w:t xml:space="preserve"> ont été comptabilisés en AG et au TI).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quelques</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communiqués</w:t>
      </w:r>
      <w:proofErr w:type="spellEnd"/>
      <w:r w:rsidR="0073666E" w:rsidRPr="0073666E">
        <w:rPr>
          <w:lang w:val="de-CH"/>
        </w:rPr>
        <w:t xml:space="preserve"> </w:t>
      </w:r>
      <w:proofErr w:type="spellStart"/>
      <w:r w:rsidR="0073666E" w:rsidRPr="0073666E">
        <w:rPr>
          <w:lang w:val="de-CH"/>
        </w:rPr>
        <w:t>figurent</w:t>
      </w:r>
      <w:proofErr w:type="spellEnd"/>
      <w:r w:rsidR="0073666E" w:rsidRPr="0073666E">
        <w:rPr>
          <w:lang w:val="de-CH"/>
        </w:rPr>
        <w:t xml:space="preserve"> </w:t>
      </w:r>
      <w:proofErr w:type="spellStart"/>
      <w:r w:rsidR="0073666E" w:rsidRPr="00EC4D19">
        <w:rPr>
          <w:lang w:val="de-CH"/>
        </w:rPr>
        <w:t>dans</w:t>
      </w:r>
      <w:proofErr w:type="spellEnd"/>
      <w:r w:rsidR="0073666E" w:rsidRPr="00EC4D19">
        <w:rPr>
          <w:lang w:val="de-CH"/>
        </w:rPr>
        <w:t xml:space="preserve"> </w:t>
      </w:r>
      <w:proofErr w:type="spellStart"/>
      <w:r w:rsidR="0073666E" w:rsidRPr="00EC4D19">
        <w:rPr>
          <w:lang w:val="de-CH"/>
        </w:rPr>
        <w:t>l’</w:t>
      </w:r>
      <w:r w:rsidR="00EC4D19">
        <w:rPr>
          <w:lang w:val="de-CH"/>
        </w:rPr>
        <w:t>a</w:t>
      </w:r>
      <w:r w:rsidR="0073666E" w:rsidRPr="00EC4D19">
        <w:rPr>
          <w:lang w:val="de-CH"/>
        </w:rPr>
        <w:t>nnexe</w:t>
      </w:r>
      <w:proofErr w:type="spellEnd"/>
      <w:r w:rsidR="0073666E" w:rsidRPr="00EC4D19">
        <w:rPr>
          <w:lang w:val="de-CH"/>
        </w:rPr>
        <w:t xml:space="preserve"> 7, </w:t>
      </w:r>
      <w:proofErr w:type="spellStart"/>
      <w:r w:rsidR="0073666E" w:rsidRPr="00EC4D19">
        <w:rPr>
          <w:lang w:val="de-CH"/>
        </w:rPr>
        <w:t>classés</w:t>
      </w:r>
      <w:proofErr w:type="spellEnd"/>
      <w:r w:rsidR="0073666E" w:rsidRPr="0073666E">
        <w:rPr>
          <w:lang w:val="de-CH"/>
        </w:rPr>
        <w:t xml:space="preserve"> par </w:t>
      </w:r>
      <w:proofErr w:type="spellStart"/>
      <w:r w:rsidR="0073666E" w:rsidRPr="0073666E">
        <w:rPr>
          <w:lang w:val="de-CH"/>
        </w:rPr>
        <w:t>canton</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autant</w:t>
      </w:r>
      <w:proofErr w:type="spellEnd"/>
      <w:r w:rsidR="0073666E" w:rsidRPr="0073666E">
        <w:rPr>
          <w:lang w:val="de-CH"/>
        </w:rPr>
        <w:t xml:space="preserve"> </w:t>
      </w:r>
      <w:proofErr w:type="spellStart"/>
      <w:r w:rsidR="0073666E" w:rsidRPr="0073666E">
        <w:rPr>
          <w:lang w:val="de-CH"/>
        </w:rPr>
        <w:t>qu’une</w:t>
      </w:r>
      <w:proofErr w:type="spellEnd"/>
      <w:r w:rsidR="0073666E" w:rsidRPr="0073666E">
        <w:rPr>
          <w:lang w:val="de-CH"/>
        </w:rPr>
        <w:t xml:space="preserve"> </w:t>
      </w:r>
      <w:proofErr w:type="spellStart"/>
      <w:r w:rsidR="0073666E" w:rsidRPr="0073666E">
        <w:rPr>
          <w:lang w:val="de-CH"/>
        </w:rPr>
        <w:t>statistique</w:t>
      </w:r>
      <w:proofErr w:type="spellEnd"/>
      <w:r w:rsidR="0073666E" w:rsidRPr="0073666E">
        <w:rPr>
          <w:lang w:val="de-CH"/>
        </w:rPr>
        <w:t xml:space="preserve"> à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sujet</w:t>
      </w:r>
      <w:proofErr w:type="spellEnd"/>
      <w:r w:rsidR="0073666E" w:rsidRPr="0073666E">
        <w:rPr>
          <w:lang w:val="de-CH"/>
        </w:rPr>
        <w:t xml:space="preserve"> </w:t>
      </w:r>
      <w:proofErr w:type="spellStart"/>
      <w:r w:rsidR="0073666E" w:rsidRPr="0073666E">
        <w:rPr>
          <w:lang w:val="de-CH"/>
        </w:rPr>
        <w:t>existe</w:t>
      </w:r>
      <w:proofErr w:type="spellEnd"/>
      <w:r w:rsidR="0073666E" w:rsidRPr="0073666E">
        <w:rPr>
          <w:lang w:val="de-CH"/>
        </w:rPr>
        <w:t>.</w:t>
      </w:r>
    </w:p>
    <w:p w14:paraId="5F71B391" w14:textId="77777777" w:rsidR="0073666E" w:rsidRPr="0073666E" w:rsidRDefault="00E76E99" w:rsidP="00E76E99">
      <w:pPr>
        <w:pStyle w:val="SingleTxtG"/>
        <w:rPr>
          <w:lang w:val="de-CH"/>
        </w:rPr>
      </w:pPr>
      <w:r>
        <w:rPr>
          <w:lang w:val="de-CH"/>
        </w:rPr>
        <w:t>125.</w:t>
      </w:r>
      <w:r>
        <w:rPr>
          <w:lang w:val="de-CH"/>
        </w:rPr>
        <w:tab/>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actes</w:t>
      </w:r>
      <w:proofErr w:type="spellEnd"/>
      <w:r w:rsidR="0073666E" w:rsidRPr="0073666E">
        <w:rPr>
          <w:lang w:val="de-CH"/>
        </w:rPr>
        <w:t xml:space="preserve"> de </w:t>
      </w:r>
      <w:proofErr w:type="spellStart"/>
      <w:r w:rsidR="0073666E" w:rsidRPr="0073666E">
        <w:rPr>
          <w:lang w:val="de-CH"/>
        </w:rPr>
        <w:t>violence</w:t>
      </w:r>
      <w:proofErr w:type="spellEnd"/>
      <w:r w:rsidR="0073666E" w:rsidRPr="0073666E">
        <w:rPr>
          <w:lang w:val="de-CH"/>
        </w:rPr>
        <w:t xml:space="preserve"> entre </w:t>
      </w:r>
      <w:proofErr w:type="spellStart"/>
      <w:r w:rsidR="0073666E" w:rsidRPr="0073666E">
        <w:rPr>
          <w:lang w:val="de-CH"/>
        </w:rPr>
        <w:t>détenus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généralement</w:t>
      </w:r>
      <w:proofErr w:type="spellEnd"/>
      <w:r w:rsidR="0073666E" w:rsidRPr="0073666E">
        <w:rPr>
          <w:lang w:val="de-CH"/>
        </w:rPr>
        <w:t xml:space="preserve"> </w:t>
      </w:r>
      <w:proofErr w:type="spellStart"/>
      <w:r w:rsidR="0073666E" w:rsidRPr="0073666E">
        <w:rPr>
          <w:lang w:val="de-CH"/>
        </w:rPr>
        <w:t>entraîné</w:t>
      </w:r>
      <w:proofErr w:type="spellEnd"/>
      <w:r w:rsidR="0073666E" w:rsidRPr="0073666E">
        <w:rPr>
          <w:lang w:val="de-CH"/>
        </w:rPr>
        <w:t xml:space="preserve"> des </w:t>
      </w:r>
      <w:proofErr w:type="spellStart"/>
      <w:r w:rsidR="0073666E" w:rsidRPr="0073666E">
        <w:rPr>
          <w:lang w:val="de-CH"/>
        </w:rPr>
        <w:t>sanctions</w:t>
      </w:r>
      <w:proofErr w:type="spellEnd"/>
      <w:r w:rsidR="0073666E" w:rsidRPr="0073666E">
        <w:rPr>
          <w:lang w:val="de-CH"/>
        </w:rPr>
        <w:t xml:space="preserve"> </w:t>
      </w:r>
      <w:proofErr w:type="spellStart"/>
      <w:r w:rsidR="0073666E" w:rsidRPr="0073666E">
        <w:rPr>
          <w:lang w:val="de-CH"/>
        </w:rPr>
        <w:t>disciplinaires</w:t>
      </w:r>
      <w:proofErr w:type="spellEnd"/>
      <w:r w:rsidR="0073666E" w:rsidRPr="0073666E">
        <w:rPr>
          <w:lang w:val="de-CH"/>
        </w:rPr>
        <w:t xml:space="preserve"> et, le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échéant</w:t>
      </w:r>
      <w:proofErr w:type="spellEnd"/>
      <w:r w:rsidR="0073666E" w:rsidRPr="0073666E">
        <w:rPr>
          <w:lang w:val="de-CH"/>
        </w:rPr>
        <w:t xml:space="preserve">, des </w:t>
      </w:r>
      <w:proofErr w:type="spellStart"/>
      <w:r w:rsidR="0073666E" w:rsidRPr="0073666E">
        <w:rPr>
          <w:lang w:val="de-CH"/>
        </w:rPr>
        <w:t>condamnations</w:t>
      </w:r>
      <w:proofErr w:type="spellEnd"/>
      <w:r w:rsidR="0073666E" w:rsidRPr="0073666E">
        <w:rPr>
          <w:lang w:val="de-CH"/>
        </w:rPr>
        <w:t xml:space="preserve"> </w:t>
      </w:r>
      <w:proofErr w:type="spellStart"/>
      <w:r w:rsidR="0073666E" w:rsidRPr="0073666E">
        <w:rPr>
          <w:lang w:val="de-CH"/>
        </w:rPr>
        <w:t>pénales</w:t>
      </w:r>
      <w:proofErr w:type="spellEnd"/>
      <w:r w:rsidR="0073666E" w:rsidRPr="0073666E">
        <w:rPr>
          <w:lang w:val="de-CH"/>
        </w:rPr>
        <w:t xml:space="preserve">. </w:t>
      </w:r>
    </w:p>
    <w:p w14:paraId="2802B8D0" w14:textId="77777777" w:rsidR="0073666E" w:rsidRPr="0073666E" w:rsidRDefault="00E76E99" w:rsidP="00E76E99">
      <w:pPr>
        <w:pStyle w:val="SingleTxtG"/>
        <w:rPr>
          <w:lang w:val="de-CH"/>
        </w:rPr>
      </w:pPr>
      <w:r>
        <w:rPr>
          <w:lang w:val="de-CH"/>
        </w:rPr>
        <w:t>126.</w:t>
      </w:r>
      <w:r>
        <w:rPr>
          <w:lang w:val="de-CH"/>
        </w:rPr>
        <w:tab/>
      </w:r>
      <w:r w:rsidR="0073666E" w:rsidRPr="0073666E">
        <w:rPr>
          <w:lang w:val="de-CH"/>
        </w:rPr>
        <w:t xml:space="preserve">En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concerne</w:t>
      </w:r>
      <w:proofErr w:type="spellEnd"/>
      <w:r w:rsidR="0073666E" w:rsidRPr="0073666E">
        <w:rPr>
          <w:lang w:val="de-CH"/>
        </w:rPr>
        <w:t xml:space="preserve"> le </w:t>
      </w:r>
      <w:proofErr w:type="spellStart"/>
      <w:r w:rsidR="0073666E" w:rsidRPr="0073666E">
        <w:rPr>
          <w:lang w:val="de-CH"/>
        </w:rPr>
        <w:t>cas</w:t>
      </w:r>
      <w:proofErr w:type="spellEnd"/>
      <w:r w:rsidR="0073666E" w:rsidRPr="0073666E">
        <w:rPr>
          <w:lang w:val="de-CH"/>
        </w:rPr>
        <w:t xml:space="preserve"> de </w:t>
      </w:r>
      <w:proofErr w:type="spellStart"/>
      <w:r w:rsidR="0073666E" w:rsidRPr="0073666E">
        <w:rPr>
          <w:lang w:val="de-CH"/>
        </w:rPr>
        <w:t>blessures</w:t>
      </w:r>
      <w:proofErr w:type="spellEnd"/>
      <w:r w:rsidR="0073666E" w:rsidRPr="0073666E">
        <w:rPr>
          <w:lang w:val="de-CH"/>
        </w:rPr>
        <w:t xml:space="preserve"> </w:t>
      </w:r>
      <w:proofErr w:type="spellStart"/>
      <w:r w:rsidR="0073666E" w:rsidRPr="0073666E">
        <w:rPr>
          <w:lang w:val="de-CH"/>
        </w:rPr>
        <w:t>commises</w:t>
      </w:r>
      <w:proofErr w:type="spellEnd"/>
      <w:r w:rsidR="0073666E" w:rsidRPr="0073666E">
        <w:rPr>
          <w:lang w:val="de-CH"/>
        </w:rPr>
        <w:t xml:space="preserve"> par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fonctionnaire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détenu</w:t>
      </w:r>
      <w:proofErr w:type="spellEnd"/>
      <w:r w:rsidR="0073666E" w:rsidRPr="0073666E">
        <w:rPr>
          <w:lang w:val="de-CH"/>
        </w:rPr>
        <w:t xml:space="preserve"> en AG, la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toujours</w:t>
      </w:r>
      <w:proofErr w:type="spellEnd"/>
      <w:r w:rsidR="0073666E" w:rsidRPr="0073666E">
        <w:rPr>
          <w:lang w:val="de-CH"/>
        </w:rPr>
        <w:t xml:space="preserve"> </w:t>
      </w:r>
      <w:proofErr w:type="spellStart"/>
      <w:r w:rsidR="0073666E" w:rsidRPr="0073666E">
        <w:rPr>
          <w:lang w:val="de-CH"/>
        </w:rPr>
        <w:t>pendante</w:t>
      </w:r>
      <w:proofErr w:type="spellEnd"/>
      <w:r w:rsidR="0073666E" w:rsidRPr="0073666E">
        <w:rPr>
          <w:lang w:val="de-CH"/>
        </w:rPr>
        <w:t xml:space="preserve">. Au TI, </w:t>
      </w:r>
      <w:proofErr w:type="spellStart"/>
      <w:r w:rsidR="0073666E" w:rsidRPr="0073666E">
        <w:rPr>
          <w:lang w:val="de-CH"/>
        </w:rPr>
        <w:t>l’incident</w:t>
      </w:r>
      <w:proofErr w:type="spellEnd"/>
      <w:r w:rsidR="0073666E" w:rsidRPr="0073666E">
        <w:rPr>
          <w:lang w:val="de-CH"/>
        </w:rPr>
        <w:t xml:space="preserve"> </w:t>
      </w:r>
      <w:proofErr w:type="spellStart"/>
      <w:r w:rsidR="0073666E" w:rsidRPr="0073666E">
        <w:rPr>
          <w:lang w:val="de-CH"/>
        </w:rPr>
        <w:t>évoqué</w:t>
      </w:r>
      <w:proofErr w:type="spellEnd"/>
      <w:r w:rsidR="0073666E" w:rsidRPr="0073666E">
        <w:rPr>
          <w:lang w:val="de-CH"/>
        </w:rPr>
        <w:t xml:space="preserve"> plus haut a </w:t>
      </w:r>
      <w:proofErr w:type="spellStart"/>
      <w:r w:rsidR="0073666E" w:rsidRPr="0073666E">
        <w:rPr>
          <w:lang w:val="de-CH"/>
        </w:rPr>
        <w:t>eu</w:t>
      </w:r>
      <w:proofErr w:type="spellEnd"/>
      <w:r w:rsidR="0073666E" w:rsidRPr="0073666E">
        <w:rPr>
          <w:lang w:val="de-CH"/>
        </w:rPr>
        <w:t xml:space="preserve"> des </w:t>
      </w:r>
      <w:proofErr w:type="spellStart"/>
      <w:r w:rsidR="0073666E" w:rsidRPr="0073666E">
        <w:rPr>
          <w:lang w:val="de-CH"/>
        </w:rPr>
        <w:t>conséquences</w:t>
      </w:r>
      <w:proofErr w:type="spellEnd"/>
      <w:r w:rsidR="0073666E" w:rsidRPr="0073666E">
        <w:rPr>
          <w:lang w:val="de-CH"/>
        </w:rPr>
        <w:t xml:space="preserve"> </w:t>
      </w:r>
      <w:proofErr w:type="spellStart"/>
      <w:r w:rsidR="0073666E" w:rsidRPr="0073666E">
        <w:rPr>
          <w:lang w:val="de-CH"/>
        </w:rPr>
        <w:t>pénales</w:t>
      </w:r>
      <w:proofErr w:type="spellEnd"/>
      <w:r w:rsidR="0073666E" w:rsidRPr="0073666E">
        <w:rPr>
          <w:lang w:val="de-CH"/>
        </w:rPr>
        <w:t xml:space="preserve"> et </w:t>
      </w:r>
      <w:proofErr w:type="spellStart"/>
      <w:r w:rsidR="0073666E" w:rsidRPr="0073666E">
        <w:rPr>
          <w:lang w:val="de-CH"/>
        </w:rPr>
        <w:t>disciplinaires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fonctionnaires</w:t>
      </w:r>
      <w:proofErr w:type="spellEnd"/>
      <w:r w:rsidR="0073666E" w:rsidRPr="0073666E">
        <w:rPr>
          <w:lang w:val="de-CH"/>
        </w:rPr>
        <w:t xml:space="preserve">. </w:t>
      </w:r>
    </w:p>
    <w:p w14:paraId="0B78D610" w14:textId="77777777" w:rsidR="0073666E" w:rsidRPr="0073666E" w:rsidRDefault="00E76E99" w:rsidP="00E76E99">
      <w:pPr>
        <w:pStyle w:val="SingleTxtG"/>
        <w:rPr>
          <w:lang w:val="de-CH"/>
        </w:rPr>
      </w:pPr>
      <w:r>
        <w:rPr>
          <w:lang w:val="de-CH"/>
        </w:rPr>
        <w:t>127.</w:t>
      </w:r>
      <w:r>
        <w:rPr>
          <w:lang w:val="de-CH"/>
        </w:rPr>
        <w:tab/>
      </w:r>
      <w:proofErr w:type="spellStart"/>
      <w:r w:rsidR="0073666E" w:rsidRPr="0073666E">
        <w:rPr>
          <w:lang w:val="de-CH"/>
        </w:rPr>
        <w:t>Comme</w:t>
      </w:r>
      <w:proofErr w:type="spellEnd"/>
      <w:r w:rsidR="0073666E" w:rsidRPr="0073666E">
        <w:rPr>
          <w:lang w:val="de-CH"/>
        </w:rPr>
        <w:t xml:space="preserve"> </w:t>
      </w:r>
      <w:proofErr w:type="spellStart"/>
      <w:r w:rsidR="0073666E" w:rsidRPr="0073666E">
        <w:rPr>
          <w:lang w:val="de-CH"/>
        </w:rPr>
        <w:t>chaque</w:t>
      </w:r>
      <w:proofErr w:type="spellEnd"/>
      <w:r w:rsidR="0073666E" w:rsidRPr="0073666E">
        <w:rPr>
          <w:lang w:val="de-CH"/>
        </w:rPr>
        <w:t xml:space="preserve"> </w:t>
      </w:r>
      <w:proofErr w:type="spellStart"/>
      <w:r w:rsidR="0073666E" w:rsidRPr="0073666E">
        <w:rPr>
          <w:lang w:val="de-CH"/>
        </w:rPr>
        <w:t>canton</w:t>
      </w:r>
      <w:proofErr w:type="spellEnd"/>
      <w:r w:rsidR="0073666E" w:rsidRPr="0073666E">
        <w:rPr>
          <w:lang w:val="de-CH"/>
        </w:rPr>
        <w:t xml:space="preserve"> </w:t>
      </w:r>
      <w:proofErr w:type="spellStart"/>
      <w:r w:rsidR="0073666E" w:rsidRPr="0073666E">
        <w:rPr>
          <w:lang w:val="de-CH"/>
        </w:rPr>
        <w:t>prend</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qu’il</w:t>
      </w:r>
      <w:proofErr w:type="spellEnd"/>
      <w:r w:rsidR="0073666E" w:rsidRPr="0073666E">
        <w:rPr>
          <w:lang w:val="de-CH"/>
        </w:rPr>
        <w:t xml:space="preserve"> </w:t>
      </w:r>
      <w:proofErr w:type="spellStart"/>
      <w:r w:rsidR="0073666E" w:rsidRPr="0073666E">
        <w:rPr>
          <w:lang w:val="de-CH"/>
        </w:rPr>
        <w:t>estime</w:t>
      </w:r>
      <w:proofErr w:type="spellEnd"/>
      <w:r w:rsidR="0073666E" w:rsidRPr="0073666E">
        <w:rPr>
          <w:lang w:val="de-CH"/>
        </w:rPr>
        <w:t xml:space="preserve"> </w:t>
      </w:r>
      <w:proofErr w:type="spellStart"/>
      <w:r w:rsidR="0073666E" w:rsidRPr="0073666E">
        <w:rPr>
          <w:lang w:val="de-CH"/>
        </w:rPr>
        <w:t>nécessaire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combattre</w:t>
      </w:r>
      <w:proofErr w:type="spellEnd"/>
      <w:r w:rsidR="0073666E" w:rsidRPr="0073666E">
        <w:rPr>
          <w:lang w:val="de-CH"/>
        </w:rPr>
        <w:t xml:space="preserve"> le </w:t>
      </w:r>
      <w:proofErr w:type="spellStart"/>
      <w:r w:rsidR="0073666E" w:rsidRPr="0073666E">
        <w:rPr>
          <w:lang w:val="de-CH"/>
        </w:rPr>
        <w:t>problème</w:t>
      </w:r>
      <w:proofErr w:type="spellEnd"/>
      <w:r w:rsidR="0073666E" w:rsidRPr="0073666E">
        <w:rPr>
          <w:lang w:val="de-CH"/>
        </w:rPr>
        <w:t xml:space="preserve"> de la </w:t>
      </w:r>
      <w:proofErr w:type="spellStart"/>
      <w:r w:rsidR="0073666E" w:rsidRPr="0073666E">
        <w:rPr>
          <w:lang w:val="de-CH"/>
        </w:rPr>
        <w:t>violence</w:t>
      </w:r>
      <w:proofErr w:type="spellEnd"/>
      <w:r w:rsidR="0073666E" w:rsidRPr="0073666E">
        <w:rPr>
          <w:lang w:val="de-CH"/>
        </w:rPr>
        <w:t xml:space="preserve"> entre </w:t>
      </w:r>
      <w:proofErr w:type="spellStart"/>
      <w:r w:rsidR="0073666E" w:rsidRPr="0073666E">
        <w:rPr>
          <w:lang w:val="de-CH"/>
        </w:rPr>
        <w:t>détenus</w:t>
      </w:r>
      <w:proofErr w:type="spellEnd"/>
      <w:r w:rsidR="0073666E" w:rsidRPr="0073666E">
        <w:rPr>
          <w:lang w:val="de-CH"/>
        </w:rPr>
        <w:t xml:space="preserve">, </w:t>
      </w:r>
      <w:proofErr w:type="spellStart"/>
      <w:r w:rsidR="0073666E" w:rsidRPr="0073666E">
        <w:rPr>
          <w:lang w:val="de-CH"/>
        </w:rPr>
        <w:t>améliorer</w:t>
      </w:r>
      <w:proofErr w:type="spellEnd"/>
      <w:r w:rsidR="0073666E" w:rsidRPr="0073666E">
        <w:rPr>
          <w:lang w:val="de-CH"/>
        </w:rPr>
        <w:t xml:space="preserve"> la </w:t>
      </w:r>
      <w:proofErr w:type="spellStart"/>
      <w:r w:rsidR="0073666E" w:rsidRPr="0073666E">
        <w:rPr>
          <w:lang w:val="de-CH"/>
        </w:rPr>
        <w:t>surveillance</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repérage</w:t>
      </w:r>
      <w:proofErr w:type="spellEnd"/>
      <w:r w:rsidR="0073666E" w:rsidRPr="0073666E">
        <w:rPr>
          <w:lang w:val="de-CH"/>
        </w:rPr>
        <w:t xml:space="preserve"> des </w:t>
      </w:r>
      <w:proofErr w:type="spellStart"/>
      <w:r w:rsidR="0073666E" w:rsidRPr="0073666E">
        <w:rPr>
          <w:lang w:val="de-CH"/>
        </w:rPr>
        <w:t>détenus</w:t>
      </w:r>
      <w:proofErr w:type="spellEnd"/>
      <w:r w:rsidR="0073666E" w:rsidRPr="0073666E">
        <w:rPr>
          <w:lang w:val="de-CH"/>
        </w:rPr>
        <w:t xml:space="preserve"> à </w:t>
      </w:r>
      <w:proofErr w:type="spellStart"/>
      <w:r w:rsidR="0073666E" w:rsidRPr="0073666E">
        <w:rPr>
          <w:lang w:val="de-CH"/>
        </w:rPr>
        <w:t>risque</w:t>
      </w:r>
      <w:proofErr w:type="spellEnd"/>
      <w:r w:rsidR="0073666E" w:rsidRPr="0073666E">
        <w:rPr>
          <w:lang w:val="de-CH"/>
        </w:rPr>
        <w:t xml:space="preserve"> et </w:t>
      </w:r>
      <w:proofErr w:type="spellStart"/>
      <w:r w:rsidR="0073666E" w:rsidRPr="0073666E">
        <w:rPr>
          <w:lang w:val="de-CH"/>
        </w:rPr>
        <w:t>prévenir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suicides</w:t>
      </w:r>
      <w:proofErr w:type="spellEnd"/>
      <w:r w:rsidR="0073666E" w:rsidRPr="0073666E">
        <w:rPr>
          <w:lang w:val="de-CH"/>
        </w:rPr>
        <w:t xml:space="preserve">, </w:t>
      </w:r>
      <w:proofErr w:type="spellStart"/>
      <w:r w:rsidR="0073666E" w:rsidRPr="0073666E">
        <w:rPr>
          <w:lang w:val="de-CH"/>
        </w:rPr>
        <w:t>celles</w:t>
      </w:r>
      <w:proofErr w:type="spellEnd"/>
      <w:r w:rsidR="0073666E" w:rsidRPr="0073666E">
        <w:rPr>
          <w:lang w:val="de-CH"/>
        </w:rPr>
        <w:t xml:space="preserve">-ci </w:t>
      </w:r>
      <w:proofErr w:type="spellStart"/>
      <w:r w:rsidR="0073666E" w:rsidRPr="0073666E">
        <w:rPr>
          <w:lang w:val="de-CH"/>
        </w:rPr>
        <w:t>sont</w:t>
      </w:r>
      <w:proofErr w:type="spellEnd"/>
      <w:r w:rsidR="0073666E" w:rsidRPr="0073666E">
        <w:rPr>
          <w:lang w:val="de-CH"/>
        </w:rPr>
        <w:t xml:space="preserve"> très </w:t>
      </w:r>
      <w:proofErr w:type="spellStart"/>
      <w:r w:rsidR="0073666E" w:rsidRPr="0073666E">
        <w:rPr>
          <w:lang w:val="de-CH"/>
        </w:rPr>
        <w:t>variées</w:t>
      </w:r>
      <w:proofErr w:type="spellEnd"/>
      <w:r w:rsidR="0073666E" w:rsidRPr="0073666E">
        <w:rPr>
          <w:lang w:val="de-CH"/>
        </w:rPr>
        <w:t xml:space="preserve">. </w:t>
      </w:r>
      <w:proofErr w:type="spellStart"/>
      <w:r w:rsidR="0073666E" w:rsidRPr="0073666E">
        <w:rPr>
          <w:lang w:val="de-CH"/>
        </w:rPr>
        <w:t>Néanmoins</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possible de </w:t>
      </w:r>
      <w:proofErr w:type="spellStart"/>
      <w:r w:rsidR="0073666E" w:rsidRPr="0073666E">
        <w:rPr>
          <w:lang w:val="de-CH"/>
        </w:rPr>
        <w:t>dégager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principales</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prises</w:t>
      </w:r>
      <w:proofErr w:type="spellEnd"/>
      <w:r w:rsidR="0073666E" w:rsidRPr="0073666E">
        <w:rPr>
          <w:lang w:val="de-CH"/>
        </w:rPr>
        <w:t xml:space="preserve"> par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0A0B7E">
        <w:rPr>
          <w:lang w:val="de-CH"/>
        </w:rPr>
        <w:t> </w:t>
      </w:r>
      <w:r w:rsidR="0073666E" w:rsidRPr="0073666E">
        <w:rPr>
          <w:lang w:val="de-CH"/>
        </w:rPr>
        <w:t xml:space="preserve">: </w:t>
      </w:r>
      <w:proofErr w:type="spellStart"/>
      <w:r w:rsidR="0073666E" w:rsidRPr="0073666E">
        <w:rPr>
          <w:lang w:val="de-CH"/>
        </w:rPr>
        <w:t>offrir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prise</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w:t>
      </w:r>
      <w:proofErr w:type="spellStart"/>
      <w:r w:rsidR="0073666E" w:rsidRPr="0073666E">
        <w:rPr>
          <w:lang w:val="de-CH"/>
        </w:rPr>
        <w:t>psychothérapeutique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sociale</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détenus</w:t>
      </w:r>
      <w:proofErr w:type="spellEnd"/>
      <w:r w:rsidR="0073666E" w:rsidRPr="0073666E">
        <w:rPr>
          <w:lang w:val="de-CH"/>
        </w:rPr>
        <w:t xml:space="preserve"> en </w:t>
      </w:r>
      <w:proofErr w:type="spellStart"/>
      <w:r w:rsidR="0073666E" w:rsidRPr="0073666E">
        <w:rPr>
          <w:lang w:val="de-CH"/>
        </w:rPr>
        <w:t>exprimant</w:t>
      </w:r>
      <w:proofErr w:type="spellEnd"/>
      <w:r w:rsidR="0073666E" w:rsidRPr="0073666E">
        <w:rPr>
          <w:lang w:val="de-CH"/>
        </w:rPr>
        <w:t xml:space="preserve"> le </w:t>
      </w:r>
      <w:proofErr w:type="spellStart"/>
      <w:r w:rsidR="0073666E" w:rsidRPr="0073666E">
        <w:rPr>
          <w:lang w:val="de-CH"/>
        </w:rPr>
        <w:t>besoin</w:t>
      </w:r>
      <w:proofErr w:type="spellEnd"/>
      <w:r w:rsidR="000A0B7E">
        <w:rPr>
          <w:lang w:val="de-CH"/>
        </w:rPr>
        <w:t> </w:t>
      </w:r>
      <w:r w:rsidR="0073666E" w:rsidRPr="0073666E">
        <w:rPr>
          <w:lang w:val="de-CH"/>
        </w:rPr>
        <w:t xml:space="preserve">; </w:t>
      </w:r>
      <w:proofErr w:type="spellStart"/>
      <w:r w:rsidR="0073666E" w:rsidRPr="0073666E">
        <w:rPr>
          <w:lang w:val="de-CH"/>
        </w:rPr>
        <w:t>fournir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formation</w:t>
      </w:r>
      <w:proofErr w:type="spellEnd"/>
      <w:r w:rsidR="0073666E" w:rsidRPr="0073666E">
        <w:rPr>
          <w:lang w:val="de-CH"/>
        </w:rPr>
        <w:t xml:space="preserve"> et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formation</w:t>
      </w:r>
      <w:proofErr w:type="spellEnd"/>
      <w:r w:rsidR="0073666E" w:rsidRPr="0073666E">
        <w:rPr>
          <w:lang w:val="de-CH"/>
        </w:rPr>
        <w:t xml:space="preserve"> </w:t>
      </w:r>
      <w:proofErr w:type="spellStart"/>
      <w:r w:rsidR="0073666E" w:rsidRPr="0073666E">
        <w:rPr>
          <w:lang w:val="de-CH"/>
        </w:rPr>
        <w:t>continue</w:t>
      </w:r>
      <w:proofErr w:type="spellEnd"/>
      <w:r w:rsidR="0073666E" w:rsidRPr="0073666E">
        <w:rPr>
          <w:lang w:val="de-CH"/>
        </w:rPr>
        <w:t xml:space="preserve"> </w:t>
      </w:r>
      <w:proofErr w:type="spellStart"/>
      <w:r w:rsidR="0073666E" w:rsidRPr="0073666E">
        <w:rPr>
          <w:lang w:val="de-CH"/>
        </w:rPr>
        <w:t>spécifique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le </w:t>
      </w:r>
      <w:proofErr w:type="spellStart"/>
      <w:r w:rsidR="0073666E" w:rsidRPr="0073666E">
        <w:rPr>
          <w:lang w:val="de-CH"/>
        </w:rPr>
        <w:t>personnel</w:t>
      </w:r>
      <w:proofErr w:type="spellEnd"/>
      <w:r w:rsidR="0073666E" w:rsidRPr="0073666E">
        <w:rPr>
          <w:lang w:val="de-CH"/>
        </w:rPr>
        <w:t xml:space="preserve"> </w:t>
      </w:r>
      <w:proofErr w:type="spellStart"/>
      <w:r w:rsidR="0073666E" w:rsidRPr="0073666E">
        <w:rPr>
          <w:lang w:val="de-CH"/>
        </w:rPr>
        <w:t>actif</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domaine</w:t>
      </w:r>
      <w:proofErr w:type="spellEnd"/>
      <w:r w:rsidR="0073666E" w:rsidRPr="0073666E">
        <w:rPr>
          <w:lang w:val="de-CH"/>
        </w:rPr>
        <w:t xml:space="preserve"> de </w:t>
      </w:r>
      <w:proofErr w:type="spellStart"/>
      <w:r w:rsidR="0073666E" w:rsidRPr="0073666E">
        <w:rPr>
          <w:lang w:val="de-CH"/>
        </w:rPr>
        <w:t>l’exécution</w:t>
      </w:r>
      <w:proofErr w:type="spellEnd"/>
      <w:r w:rsidR="0073666E" w:rsidRPr="0073666E">
        <w:rPr>
          <w:lang w:val="de-CH"/>
        </w:rPr>
        <w:t xml:space="preserve"> des </w:t>
      </w:r>
      <w:proofErr w:type="spellStart"/>
      <w:r w:rsidR="0073666E" w:rsidRPr="0073666E">
        <w:rPr>
          <w:lang w:val="de-CH"/>
        </w:rPr>
        <w:t>sanctions</w:t>
      </w:r>
      <w:proofErr w:type="spellEnd"/>
      <w:r w:rsidR="0073666E" w:rsidRPr="0073666E">
        <w:rPr>
          <w:lang w:val="de-CH"/>
        </w:rPr>
        <w:t xml:space="preserve"> </w:t>
      </w:r>
      <w:proofErr w:type="spellStart"/>
      <w:r w:rsidR="0073666E" w:rsidRPr="0073666E">
        <w:rPr>
          <w:lang w:val="de-CH"/>
        </w:rPr>
        <w:t>pénales</w:t>
      </w:r>
      <w:proofErr w:type="spellEnd"/>
      <w:r w:rsidR="0073666E" w:rsidRPr="009E1FD5">
        <w:rPr>
          <w:rStyle w:val="Appelnotedebasdep"/>
        </w:rPr>
        <w:footnoteReference w:id="32"/>
      </w:r>
      <w:r w:rsidR="000A0B7E" w:rsidRPr="00971C84">
        <w:t> </w:t>
      </w:r>
      <w:r w:rsidR="00552382" w:rsidRPr="00971C84">
        <w:t>;</w:t>
      </w:r>
      <w:r w:rsidR="0073666E" w:rsidRPr="0073666E">
        <w:rPr>
          <w:lang w:val="de-CH"/>
        </w:rPr>
        <w:t xml:space="preserve"> </w:t>
      </w:r>
      <w:proofErr w:type="spellStart"/>
      <w:r w:rsidR="0073666E" w:rsidRPr="0073666E">
        <w:rPr>
          <w:lang w:val="de-CH"/>
        </w:rPr>
        <w:t>soumettre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détenus</w:t>
      </w:r>
      <w:proofErr w:type="spellEnd"/>
      <w:r w:rsidR="0073666E" w:rsidRPr="0073666E">
        <w:rPr>
          <w:lang w:val="de-CH"/>
        </w:rPr>
        <w:t xml:space="preserve"> à des </w:t>
      </w:r>
      <w:proofErr w:type="spellStart"/>
      <w:r w:rsidR="0073666E" w:rsidRPr="0073666E">
        <w:rPr>
          <w:lang w:val="de-CH"/>
        </w:rPr>
        <w:t>observations</w:t>
      </w:r>
      <w:proofErr w:type="spellEnd"/>
      <w:r w:rsidR="0073666E" w:rsidRPr="0073666E">
        <w:rPr>
          <w:lang w:val="de-CH"/>
        </w:rPr>
        <w:t>/</w:t>
      </w:r>
      <w:proofErr w:type="spellStart"/>
      <w:r w:rsidR="0073666E" w:rsidRPr="0073666E">
        <w:rPr>
          <w:lang w:val="de-CH"/>
        </w:rPr>
        <w:t>évaluations</w:t>
      </w:r>
      <w:proofErr w:type="spellEnd"/>
      <w:r w:rsidR="0073666E" w:rsidRPr="0073666E">
        <w:rPr>
          <w:lang w:val="de-CH"/>
        </w:rPr>
        <w:t xml:space="preserve"> du </w:t>
      </w:r>
      <w:proofErr w:type="spellStart"/>
      <w:r w:rsidR="0073666E" w:rsidRPr="0073666E">
        <w:rPr>
          <w:lang w:val="de-CH"/>
        </w:rPr>
        <w:t>risque</w:t>
      </w:r>
      <w:proofErr w:type="spellEnd"/>
      <w:r w:rsidR="0073666E" w:rsidRPr="0073666E">
        <w:rPr>
          <w:lang w:val="de-CH"/>
        </w:rPr>
        <w:t xml:space="preserve"> auto-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hétéro-agressif</w:t>
      </w:r>
      <w:proofErr w:type="spellEnd"/>
      <w:r w:rsidR="0073666E" w:rsidRPr="0073666E">
        <w:rPr>
          <w:lang w:val="de-CH"/>
        </w:rPr>
        <w:t xml:space="preserve"> </w:t>
      </w:r>
      <w:proofErr w:type="spellStart"/>
      <w:r w:rsidR="0073666E" w:rsidRPr="0073666E">
        <w:rPr>
          <w:lang w:val="de-CH"/>
        </w:rPr>
        <w:t>qu’ils</w:t>
      </w:r>
      <w:proofErr w:type="spellEnd"/>
      <w:r w:rsidR="0073666E" w:rsidRPr="0073666E">
        <w:rPr>
          <w:lang w:val="de-CH"/>
        </w:rPr>
        <w:t xml:space="preserve"> </w:t>
      </w:r>
      <w:proofErr w:type="spellStart"/>
      <w:r w:rsidR="0073666E" w:rsidRPr="0073666E">
        <w:rPr>
          <w:lang w:val="de-CH"/>
        </w:rPr>
        <w:t>présentent</w:t>
      </w:r>
      <w:proofErr w:type="spellEnd"/>
      <w:r w:rsidR="0073666E" w:rsidRPr="0073666E">
        <w:rPr>
          <w:lang w:val="de-CH"/>
        </w:rPr>
        <w:t xml:space="preserve"> à </w:t>
      </w:r>
      <w:proofErr w:type="spellStart"/>
      <w:r w:rsidR="0073666E" w:rsidRPr="0073666E">
        <w:rPr>
          <w:lang w:val="de-CH"/>
        </w:rPr>
        <w:t>leur</w:t>
      </w:r>
      <w:proofErr w:type="spellEnd"/>
      <w:r w:rsidR="0073666E" w:rsidRPr="0073666E">
        <w:rPr>
          <w:lang w:val="de-CH"/>
        </w:rPr>
        <w:t xml:space="preserve"> </w:t>
      </w:r>
      <w:proofErr w:type="spellStart"/>
      <w:r w:rsidR="0073666E" w:rsidRPr="0073666E">
        <w:rPr>
          <w:lang w:val="de-CH"/>
        </w:rPr>
        <w:t>entrée</w:t>
      </w:r>
      <w:proofErr w:type="spellEnd"/>
      <w:r w:rsidR="0073666E" w:rsidRPr="0073666E">
        <w:rPr>
          <w:lang w:val="de-CH"/>
        </w:rPr>
        <w:t xml:space="preserve"> en </w:t>
      </w:r>
      <w:proofErr w:type="spellStart"/>
      <w:r w:rsidR="0073666E" w:rsidRPr="0073666E">
        <w:rPr>
          <w:lang w:val="de-CH"/>
        </w:rPr>
        <w:t>détention</w:t>
      </w:r>
      <w:proofErr w:type="spellEnd"/>
      <w:r w:rsidR="0073666E" w:rsidRPr="0073666E">
        <w:rPr>
          <w:lang w:val="de-CH"/>
        </w:rPr>
        <w:t xml:space="preserve"> et </w:t>
      </w:r>
      <w:proofErr w:type="spellStart"/>
      <w:r w:rsidR="0073666E" w:rsidRPr="0073666E">
        <w:rPr>
          <w:lang w:val="de-CH"/>
        </w:rPr>
        <w:t>durant</w:t>
      </w:r>
      <w:proofErr w:type="spellEnd"/>
      <w:r w:rsidR="0073666E" w:rsidRPr="0073666E">
        <w:rPr>
          <w:lang w:val="de-CH"/>
        </w:rPr>
        <w:t xml:space="preserve"> </w:t>
      </w:r>
      <w:proofErr w:type="spellStart"/>
      <w:r w:rsidR="0073666E" w:rsidRPr="0073666E">
        <w:rPr>
          <w:lang w:val="de-CH"/>
        </w:rPr>
        <w:t>l’exécution</w:t>
      </w:r>
      <w:proofErr w:type="spellEnd"/>
      <w:r w:rsidR="0073666E" w:rsidRPr="0073666E">
        <w:rPr>
          <w:lang w:val="de-CH"/>
        </w:rPr>
        <w:t xml:space="preserve"> de </w:t>
      </w:r>
      <w:proofErr w:type="spellStart"/>
      <w:r w:rsidR="0073666E" w:rsidRPr="0073666E">
        <w:rPr>
          <w:lang w:val="de-CH"/>
        </w:rPr>
        <w:t>leur</w:t>
      </w:r>
      <w:proofErr w:type="spellEnd"/>
      <w:r w:rsidR="0073666E" w:rsidRPr="0073666E">
        <w:rPr>
          <w:lang w:val="de-CH"/>
        </w:rPr>
        <w:t xml:space="preserve"> </w:t>
      </w:r>
      <w:proofErr w:type="spellStart"/>
      <w:r w:rsidR="0073666E" w:rsidRPr="0073666E">
        <w:rPr>
          <w:lang w:val="de-CH"/>
        </w:rPr>
        <w:t>sanction</w:t>
      </w:r>
      <w:proofErr w:type="spellEnd"/>
      <w:r w:rsidR="000A0B7E">
        <w:rPr>
          <w:lang w:val="de-CH"/>
        </w:rPr>
        <w:t> </w:t>
      </w:r>
      <w:r w:rsidR="0073666E" w:rsidRPr="0073666E">
        <w:rPr>
          <w:lang w:val="de-CH"/>
        </w:rPr>
        <w:t xml:space="preserve">; </w:t>
      </w:r>
      <w:proofErr w:type="spellStart"/>
      <w:r w:rsidR="0073666E" w:rsidRPr="0073666E">
        <w:rPr>
          <w:lang w:val="de-CH"/>
        </w:rPr>
        <w:t>assurer</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contact</w:t>
      </w:r>
      <w:proofErr w:type="spellEnd"/>
      <w:r w:rsidR="0073666E" w:rsidRPr="0073666E">
        <w:rPr>
          <w:lang w:val="de-CH"/>
        </w:rPr>
        <w:t xml:space="preserve"> </w:t>
      </w:r>
      <w:proofErr w:type="spellStart"/>
      <w:r w:rsidR="0073666E" w:rsidRPr="0073666E">
        <w:rPr>
          <w:lang w:val="de-CH"/>
        </w:rPr>
        <w:t>régulier</w:t>
      </w:r>
      <w:proofErr w:type="spellEnd"/>
      <w:r w:rsidR="0073666E" w:rsidRPr="0073666E">
        <w:rPr>
          <w:lang w:val="de-CH"/>
        </w:rPr>
        <w:t xml:space="preserve"> entre le </w:t>
      </w:r>
      <w:proofErr w:type="spellStart"/>
      <w:r w:rsidR="0073666E" w:rsidRPr="0073666E">
        <w:rPr>
          <w:lang w:val="de-CH"/>
        </w:rPr>
        <w:t>personnel</w:t>
      </w:r>
      <w:proofErr w:type="spellEnd"/>
      <w:r w:rsidR="0073666E" w:rsidRPr="0073666E">
        <w:rPr>
          <w:lang w:val="de-CH"/>
        </w:rPr>
        <w:t xml:space="preserve"> </w:t>
      </w:r>
      <w:proofErr w:type="spellStart"/>
      <w:r w:rsidR="0073666E" w:rsidRPr="0073666E">
        <w:rPr>
          <w:lang w:val="de-CH"/>
        </w:rPr>
        <w:t>pénitentiaire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intervenants</w:t>
      </w:r>
      <w:proofErr w:type="spellEnd"/>
      <w:r w:rsidR="0073666E" w:rsidRPr="0073666E">
        <w:rPr>
          <w:lang w:val="de-CH"/>
        </w:rPr>
        <w:t xml:space="preserve"> externes </w:t>
      </w:r>
      <w:proofErr w:type="spellStart"/>
      <w:r w:rsidR="0073666E" w:rsidRPr="0073666E">
        <w:rPr>
          <w:lang w:val="de-CH"/>
        </w:rPr>
        <w:t>travaillant</w:t>
      </w:r>
      <w:proofErr w:type="spellEnd"/>
      <w:r w:rsidR="0073666E" w:rsidRPr="0073666E">
        <w:rPr>
          <w:lang w:val="de-CH"/>
        </w:rPr>
        <w:t xml:space="preserve"> en </w:t>
      </w:r>
      <w:proofErr w:type="spellStart"/>
      <w:r w:rsidR="0073666E" w:rsidRPr="0073666E">
        <w:rPr>
          <w:lang w:val="de-CH"/>
        </w:rPr>
        <w:t>milieu</w:t>
      </w:r>
      <w:proofErr w:type="spellEnd"/>
      <w:r w:rsidR="0073666E" w:rsidRPr="0073666E">
        <w:rPr>
          <w:lang w:val="de-CH"/>
        </w:rPr>
        <w:t xml:space="preserve"> </w:t>
      </w:r>
      <w:proofErr w:type="spellStart"/>
      <w:r w:rsidR="0073666E" w:rsidRPr="0073666E">
        <w:rPr>
          <w:lang w:val="de-CH"/>
        </w:rPr>
        <w:t>carcéral</w:t>
      </w:r>
      <w:proofErr w:type="spellEnd"/>
      <w:r w:rsidR="0073666E" w:rsidRPr="0073666E">
        <w:rPr>
          <w:lang w:val="de-CH"/>
        </w:rPr>
        <w:t xml:space="preserve"> (</w:t>
      </w:r>
      <w:proofErr w:type="spellStart"/>
      <w:r w:rsidR="0073666E" w:rsidRPr="0073666E">
        <w:rPr>
          <w:lang w:val="de-CH"/>
        </w:rPr>
        <w:t>soignants</w:t>
      </w:r>
      <w:proofErr w:type="spellEnd"/>
      <w:r w:rsidR="0073666E" w:rsidRPr="0073666E">
        <w:rPr>
          <w:lang w:val="de-CH"/>
        </w:rPr>
        <w:t xml:space="preserve">, </w:t>
      </w:r>
      <w:proofErr w:type="spellStart"/>
      <w:r w:rsidR="0073666E" w:rsidRPr="0073666E">
        <w:rPr>
          <w:lang w:val="de-CH"/>
        </w:rPr>
        <w:t>assistants</w:t>
      </w:r>
      <w:proofErr w:type="spellEnd"/>
      <w:r w:rsidR="0073666E" w:rsidRPr="0073666E">
        <w:rPr>
          <w:lang w:val="de-CH"/>
        </w:rPr>
        <w:t xml:space="preserve"> </w:t>
      </w:r>
      <w:proofErr w:type="spellStart"/>
      <w:r w:rsidR="0073666E" w:rsidRPr="0073666E">
        <w:rPr>
          <w:lang w:val="de-CH"/>
        </w:rPr>
        <w:t>sociaux</w:t>
      </w:r>
      <w:proofErr w:type="spellEnd"/>
      <w:r w:rsidR="0073666E" w:rsidRPr="0073666E">
        <w:rPr>
          <w:lang w:val="de-CH"/>
        </w:rPr>
        <w:t xml:space="preserve">, etc.)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détenus</w:t>
      </w:r>
      <w:proofErr w:type="spellEnd"/>
      <w:r w:rsidR="0073666E" w:rsidRPr="0073666E">
        <w:rPr>
          <w:lang w:val="de-CH"/>
        </w:rPr>
        <w:t xml:space="preserve">, </w:t>
      </w:r>
      <w:proofErr w:type="spellStart"/>
      <w:r w:rsidR="0073666E" w:rsidRPr="0073666E">
        <w:rPr>
          <w:lang w:val="de-CH"/>
        </w:rPr>
        <w:t>tant</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plan </w:t>
      </w:r>
      <w:proofErr w:type="spellStart"/>
      <w:r w:rsidR="0073666E" w:rsidRPr="0073666E">
        <w:rPr>
          <w:lang w:val="de-CH"/>
        </w:rPr>
        <w:t>médical</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social</w:t>
      </w:r>
      <w:r w:rsidR="000A0B7E">
        <w:rPr>
          <w:lang w:val="de-CH"/>
        </w:rPr>
        <w:t> </w:t>
      </w:r>
      <w:r w:rsidR="0073666E" w:rsidRPr="0073666E">
        <w:rPr>
          <w:lang w:val="de-CH"/>
        </w:rPr>
        <w:t xml:space="preserve">; </w:t>
      </w:r>
      <w:proofErr w:type="spellStart"/>
      <w:r w:rsidR="0073666E" w:rsidRPr="0073666E">
        <w:rPr>
          <w:lang w:val="de-CH"/>
        </w:rPr>
        <w:t>garantir</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échange</w:t>
      </w:r>
      <w:proofErr w:type="spellEnd"/>
      <w:r w:rsidR="0073666E" w:rsidRPr="0073666E">
        <w:rPr>
          <w:lang w:val="de-CH"/>
        </w:rPr>
        <w:t xml:space="preserve"> </w:t>
      </w:r>
      <w:proofErr w:type="spellStart"/>
      <w:r w:rsidR="0073666E" w:rsidRPr="0073666E">
        <w:rPr>
          <w:lang w:val="de-CH"/>
        </w:rPr>
        <w:t>d’informations</w:t>
      </w:r>
      <w:proofErr w:type="spellEnd"/>
      <w:r w:rsidR="0073666E" w:rsidRPr="0073666E">
        <w:rPr>
          <w:lang w:val="de-CH"/>
        </w:rPr>
        <w:t xml:space="preserve"> </w:t>
      </w:r>
      <w:proofErr w:type="spellStart"/>
      <w:r w:rsidR="0073666E" w:rsidRPr="0073666E">
        <w:rPr>
          <w:lang w:val="de-CH"/>
        </w:rPr>
        <w:t>rigoureux</w:t>
      </w:r>
      <w:proofErr w:type="spellEnd"/>
      <w:r w:rsidR="0073666E" w:rsidRPr="0073666E">
        <w:rPr>
          <w:lang w:val="de-CH"/>
        </w:rPr>
        <w:t xml:space="preserve"> entre </w:t>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intervenants</w:t>
      </w:r>
      <w:proofErr w:type="spellEnd"/>
      <w:r w:rsidR="000A0B7E">
        <w:rPr>
          <w:lang w:val="de-CH"/>
        </w:rPr>
        <w:t> </w:t>
      </w:r>
      <w:r w:rsidR="0073666E" w:rsidRPr="0073666E">
        <w:rPr>
          <w:lang w:val="de-CH"/>
        </w:rPr>
        <w:t xml:space="preserve">; </w:t>
      </w:r>
      <w:proofErr w:type="spellStart"/>
      <w:r w:rsidR="0073666E" w:rsidRPr="0073666E">
        <w:rPr>
          <w:lang w:val="de-CH"/>
        </w:rPr>
        <w:t>fournir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prise</w:t>
      </w:r>
      <w:proofErr w:type="spellEnd"/>
      <w:r w:rsidR="0073666E" w:rsidRPr="0073666E">
        <w:rPr>
          <w:lang w:val="de-CH"/>
        </w:rPr>
        <w:t xml:space="preserve"> en </w:t>
      </w:r>
      <w:proofErr w:type="spellStart"/>
      <w:r w:rsidR="0073666E" w:rsidRPr="0073666E">
        <w:rPr>
          <w:lang w:val="de-CH"/>
        </w:rPr>
        <w:t>charge</w:t>
      </w:r>
      <w:proofErr w:type="spellEnd"/>
      <w:r w:rsidR="0073666E" w:rsidRPr="0073666E">
        <w:rPr>
          <w:lang w:val="de-CH"/>
        </w:rPr>
        <w:t xml:space="preserve"> </w:t>
      </w:r>
      <w:proofErr w:type="spellStart"/>
      <w:r w:rsidR="0073666E" w:rsidRPr="0073666E">
        <w:rPr>
          <w:lang w:val="de-CH"/>
        </w:rPr>
        <w:t>interdisciplinaire</w:t>
      </w:r>
      <w:proofErr w:type="spellEnd"/>
      <w:r w:rsidR="00B32361">
        <w:rPr>
          <w:lang w:val="de-CH"/>
        </w:rPr>
        <w:t> </w:t>
      </w:r>
      <w:r w:rsidR="0073666E" w:rsidRPr="0073666E">
        <w:rPr>
          <w:lang w:val="de-CH"/>
        </w:rPr>
        <w:t xml:space="preserve">; </w:t>
      </w:r>
      <w:proofErr w:type="spellStart"/>
      <w:r w:rsidR="0073666E" w:rsidRPr="0073666E">
        <w:rPr>
          <w:lang w:val="de-CH"/>
        </w:rPr>
        <w:t>lutter</w:t>
      </w:r>
      <w:proofErr w:type="spellEnd"/>
      <w:r w:rsidR="0073666E" w:rsidRPr="0073666E">
        <w:rPr>
          <w:lang w:val="de-CH"/>
        </w:rPr>
        <w:t xml:space="preserve"> contre la </w:t>
      </w:r>
      <w:proofErr w:type="spellStart"/>
      <w:r w:rsidR="0073666E" w:rsidRPr="0073666E">
        <w:rPr>
          <w:lang w:val="de-CH"/>
        </w:rPr>
        <w:t>consommation</w:t>
      </w:r>
      <w:proofErr w:type="spellEnd"/>
      <w:r w:rsidR="0073666E" w:rsidRPr="0073666E">
        <w:rPr>
          <w:lang w:val="de-CH"/>
        </w:rPr>
        <w:t xml:space="preserve"> de </w:t>
      </w:r>
      <w:proofErr w:type="spellStart"/>
      <w:r w:rsidR="0073666E" w:rsidRPr="0073666E">
        <w:rPr>
          <w:lang w:val="de-CH"/>
        </w:rPr>
        <w:t>drogues</w:t>
      </w:r>
      <w:proofErr w:type="spellEnd"/>
      <w:r w:rsidR="000A0B7E">
        <w:rPr>
          <w:lang w:val="de-CH"/>
        </w:rPr>
        <w:t> </w:t>
      </w:r>
      <w:r w:rsidR="0073666E" w:rsidRPr="0073666E">
        <w:rPr>
          <w:lang w:val="de-CH"/>
        </w:rPr>
        <w:t xml:space="preserve">; </w:t>
      </w:r>
      <w:proofErr w:type="spellStart"/>
      <w:r w:rsidR="0073666E" w:rsidRPr="0073666E">
        <w:rPr>
          <w:lang w:val="de-CH"/>
        </w:rPr>
        <w:t>augmenter</w:t>
      </w:r>
      <w:proofErr w:type="spellEnd"/>
      <w:r w:rsidR="0073666E" w:rsidRPr="0073666E">
        <w:rPr>
          <w:lang w:val="de-CH"/>
        </w:rPr>
        <w:t xml:space="preserve"> </w:t>
      </w:r>
      <w:proofErr w:type="spellStart"/>
      <w:r w:rsidR="0073666E" w:rsidRPr="0073666E">
        <w:rPr>
          <w:lang w:val="de-CH"/>
        </w:rPr>
        <w:t>l’offre</w:t>
      </w:r>
      <w:proofErr w:type="spellEnd"/>
      <w:r w:rsidR="0073666E" w:rsidRPr="0073666E">
        <w:rPr>
          <w:lang w:val="de-CH"/>
        </w:rPr>
        <w:t xml:space="preserve"> de </w:t>
      </w:r>
      <w:proofErr w:type="spellStart"/>
      <w:r w:rsidR="0073666E" w:rsidRPr="0073666E">
        <w:rPr>
          <w:lang w:val="de-CH"/>
        </w:rPr>
        <w:t>formation</w:t>
      </w:r>
      <w:proofErr w:type="spellEnd"/>
      <w:r w:rsidR="0073666E" w:rsidRPr="0073666E">
        <w:rPr>
          <w:lang w:val="de-CH"/>
        </w:rPr>
        <w:t xml:space="preserve">, de </w:t>
      </w:r>
      <w:proofErr w:type="spellStart"/>
      <w:r w:rsidR="0073666E" w:rsidRPr="0073666E">
        <w:rPr>
          <w:lang w:val="de-CH"/>
        </w:rPr>
        <w:t>travail</w:t>
      </w:r>
      <w:proofErr w:type="spellEnd"/>
      <w:r w:rsidR="0073666E" w:rsidRPr="0073666E">
        <w:rPr>
          <w:lang w:val="de-CH"/>
        </w:rPr>
        <w:t xml:space="preserve"> et </w:t>
      </w:r>
      <w:proofErr w:type="spellStart"/>
      <w:r w:rsidR="0073666E" w:rsidRPr="0073666E">
        <w:rPr>
          <w:lang w:val="de-CH"/>
        </w:rPr>
        <w:t>d’activités</w:t>
      </w:r>
      <w:proofErr w:type="spellEnd"/>
      <w:r w:rsidR="0073666E" w:rsidRPr="0073666E">
        <w:rPr>
          <w:lang w:val="de-CH"/>
        </w:rPr>
        <w:t xml:space="preserve"> de </w:t>
      </w:r>
      <w:proofErr w:type="spellStart"/>
      <w:r w:rsidR="0073666E" w:rsidRPr="0073666E">
        <w:rPr>
          <w:lang w:val="de-CH"/>
        </w:rPr>
        <w:t>loisirs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établissements</w:t>
      </w:r>
      <w:proofErr w:type="spellEnd"/>
      <w:r w:rsidR="0073666E" w:rsidRPr="0073666E">
        <w:rPr>
          <w:lang w:val="de-CH"/>
        </w:rPr>
        <w:t xml:space="preserve"> </w:t>
      </w:r>
      <w:proofErr w:type="spellStart"/>
      <w:r w:rsidR="0073666E" w:rsidRPr="0073666E">
        <w:rPr>
          <w:lang w:val="de-CH"/>
        </w:rPr>
        <w:t>pénitentiaires</w:t>
      </w:r>
      <w:proofErr w:type="spellEnd"/>
      <w:r w:rsidR="00556A55">
        <w:rPr>
          <w:lang w:val="de-CH"/>
        </w:rPr>
        <w:t> </w:t>
      </w:r>
      <w:r w:rsidR="0073666E" w:rsidRPr="0073666E">
        <w:rPr>
          <w:lang w:val="de-CH"/>
        </w:rPr>
        <w:t xml:space="preserve">; </w:t>
      </w:r>
      <w:proofErr w:type="spellStart"/>
      <w:r w:rsidR="0073666E" w:rsidRPr="0073666E">
        <w:rPr>
          <w:lang w:val="de-CH"/>
        </w:rPr>
        <w:t>sensibiliser</w:t>
      </w:r>
      <w:proofErr w:type="spellEnd"/>
      <w:r w:rsidR="0073666E" w:rsidRPr="0073666E">
        <w:rPr>
          <w:lang w:val="de-CH"/>
        </w:rPr>
        <w:t xml:space="preserve"> le </w:t>
      </w:r>
      <w:proofErr w:type="spellStart"/>
      <w:r w:rsidR="0073666E" w:rsidRPr="0073666E">
        <w:rPr>
          <w:lang w:val="de-CH"/>
        </w:rPr>
        <w:t>personnel</w:t>
      </w:r>
      <w:proofErr w:type="spellEnd"/>
      <w:r w:rsidR="0073666E" w:rsidRPr="0073666E">
        <w:rPr>
          <w:lang w:val="de-CH"/>
        </w:rPr>
        <w:t xml:space="preserve"> </w:t>
      </w:r>
      <w:proofErr w:type="spellStart"/>
      <w:r w:rsidR="0073666E" w:rsidRPr="0073666E">
        <w:rPr>
          <w:lang w:val="de-CH"/>
        </w:rPr>
        <w:t>concernant</w:t>
      </w:r>
      <w:proofErr w:type="spellEnd"/>
      <w:r w:rsidR="0073666E" w:rsidRPr="0073666E">
        <w:rPr>
          <w:lang w:val="de-CH"/>
        </w:rPr>
        <w:t xml:space="preserve"> la </w:t>
      </w:r>
      <w:proofErr w:type="spellStart"/>
      <w:r w:rsidR="0073666E" w:rsidRPr="0073666E">
        <w:rPr>
          <w:lang w:val="de-CH"/>
        </w:rPr>
        <w:t>problématique</w:t>
      </w:r>
      <w:proofErr w:type="spellEnd"/>
      <w:r w:rsidR="0073666E" w:rsidRPr="0073666E">
        <w:rPr>
          <w:lang w:val="de-CH"/>
        </w:rPr>
        <w:t xml:space="preserve"> du </w:t>
      </w:r>
      <w:proofErr w:type="spellStart"/>
      <w:r w:rsidR="0073666E" w:rsidRPr="0073666E">
        <w:rPr>
          <w:lang w:val="de-CH"/>
        </w:rPr>
        <w:t>suicide</w:t>
      </w:r>
      <w:proofErr w:type="spellEnd"/>
      <w:r w:rsidR="0073666E" w:rsidRPr="0073666E">
        <w:rPr>
          <w:lang w:val="de-CH"/>
        </w:rPr>
        <w:t>, etc.</w:t>
      </w:r>
    </w:p>
    <w:p w14:paraId="35B8D6C4" w14:textId="77777777" w:rsidR="0073666E" w:rsidRPr="0073666E" w:rsidRDefault="00E76E99" w:rsidP="00E76E99">
      <w:pPr>
        <w:pStyle w:val="H1G"/>
        <w:rPr>
          <w:lang w:val="de-CH"/>
        </w:rPr>
      </w:pPr>
      <w:r>
        <w:rPr>
          <w:lang w:val="de-CH"/>
        </w:rPr>
        <w:lastRenderedPageBreak/>
        <w:tab/>
      </w:r>
      <w:r>
        <w:rPr>
          <w:lang w:val="de-CH"/>
        </w:rPr>
        <w:tab/>
      </w:r>
      <w:proofErr w:type="spellStart"/>
      <w:r w:rsidR="0073666E" w:rsidRPr="0073666E">
        <w:rPr>
          <w:lang w:val="de-CH"/>
        </w:rPr>
        <w:t>Articles</w:t>
      </w:r>
      <w:proofErr w:type="spellEnd"/>
      <w:r w:rsidR="0073666E" w:rsidRPr="0073666E">
        <w:rPr>
          <w:lang w:val="de-CH"/>
        </w:rPr>
        <w:t xml:space="preserve"> 12 et 13</w:t>
      </w:r>
    </w:p>
    <w:p w14:paraId="0F13E477" w14:textId="77777777" w:rsidR="0073666E" w:rsidRPr="0073666E" w:rsidRDefault="00E76E99" w:rsidP="00E76E99">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D641C5">
        <w:rPr>
          <w:lang w:val="fr-FR"/>
        </w:rPr>
        <w:t>à la question posée</w:t>
      </w:r>
      <w:r w:rsidR="00D641C5">
        <w:rPr>
          <w:lang w:val="de-CH"/>
        </w:rPr>
        <w:t xml:space="preserve"> </w:t>
      </w:r>
      <w:r>
        <w:rPr>
          <w:lang w:val="de-CH"/>
        </w:rPr>
        <w:t xml:space="preserve">au </w:t>
      </w:r>
      <w:proofErr w:type="spellStart"/>
      <w:r>
        <w:rPr>
          <w:lang w:val="de-CH"/>
        </w:rPr>
        <w:t>paragraphe</w:t>
      </w:r>
      <w:proofErr w:type="spellEnd"/>
      <w:r>
        <w:rPr>
          <w:lang w:val="de-CH"/>
        </w:rPr>
        <w:t xml:space="preserve"> 22</w:t>
      </w:r>
    </w:p>
    <w:p w14:paraId="093052BF" w14:textId="77777777" w:rsidR="0073666E" w:rsidRPr="0073666E" w:rsidRDefault="00E76E99" w:rsidP="00E76E99">
      <w:pPr>
        <w:pStyle w:val="SingleTxtG"/>
        <w:rPr>
          <w:lang w:val="de-CH"/>
        </w:rPr>
      </w:pPr>
      <w:r>
        <w:rPr>
          <w:lang w:val="de-CH"/>
        </w:rPr>
        <w:t>128.</w:t>
      </w:r>
      <w:r>
        <w:rPr>
          <w:lang w:val="de-CH"/>
        </w:rPr>
        <w:tab/>
      </w:r>
      <w:r w:rsidR="0073666E" w:rsidRPr="0073666E">
        <w:rPr>
          <w:lang w:val="de-CH"/>
        </w:rPr>
        <w:t xml:space="preserve">Au sein de la </w:t>
      </w:r>
      <w:proofErr w:type="spellStart"/>
      <w:r w:rsidR="0073666E" w:rsidRPr="0073666E">
        <w:rPr>
          <w:lang w:val="de-CH"/>
        </w:rPr>
        <w:t>structure</w:t>
      </w:r>
      <w:proofErr w:type="spellEnd"/>
      <w:r w:rsidR="0073666E" w:rsidRPr="0073666E">
        <w:rPr>
          <w:lang w:val="de-CH"/>
        </w:rPr>
        <w:t xml:space="preserve"> </w:t>
      </w:r>
      <w:proofErr w:type="spellStart"/>
      <w:r w:rsidR="0073666E" w:rsidRPr="0073666E">
        <w:rPr>
          <w:lang w:val="de-CH"/>
        </w:rPr>
        <w:t>fédérale</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en </w:t>
      </w:r>
      <w:proofErr w:type="spellStart"/>
      <w:r w:rsidR="0073666E" w:rsidRPr="0073666E">
        <w:rPr>
          <w:lang w:val="de-CH"/>
        </w:rPr>
        <w:t>premier</w:t>
      </w:r>
      <w:proofErr w:type="spellEnd"/>
      <w:r w:rsidR="0073666E" w:rsidRPr="0073666E">
        <w:rPr>
          <w:lang w:val="de-CH"/>
        </w:rPr>
        <w:t xml:space="preserve"> </w:t>
      </w:r>
      <w:proofErr w:type="spellStart"/>
      <w:r w:rsidR="0073666E" w:rsidRPr="0073666E">
        <w:rPr>
          <w:lang w:val="de-CH"/>
        </w:rPr>
        <w:t>lieu</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chargés</w:t>
      </w:r>
      <w:proofErr w:type="spellEnd"/>
      <w:r w:rsidR="0073666E" w:rsidRPr="0073666E">
        <w:rPr>
          <w:lang w:val="de-CH"/>
        </w:rPr>
        <w:t xml:space="preserve"> de </w:t>
      </w:r>
      <w:proofErr w:type="spellStart"/>
      <w:r w:rsidR="0073666E" w:rsidRPr="0073666E">
        <w:rPr>
          <w:lang w:val="de-CH"/>
        </w:rPr>
        <w:t>recevoir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plaintes</w:t>
      </w:r>
      <w:proofErr w:type="spellEnd"/>
      <w:r w:rsidR="0073666E" w:rsidRPr="0073666E">
        <w:rPr>
          <w:lang w:val="de-CH"/>
        </w:rPr>
        <w:t xml:space="preserve"> contre la </w:t>
      </w:r>
      <w:proofErr w:type="spellStart"/>
      <w:r w:rsidR="0073666E" w:rsidRPr="0073666E">
        <w:rPr>
          <w:lang w:val="de-CH"/>
        </w:rPr>
        <w:t>police</w:t>
      </w:r>
      <w:proofErr w:type="spellEnd"/>
      <w:r w:rsidR="0073666E" w:rsidRPr="0073666E">
        <w:rPr>
          <w:lang w:val="de-CH"/>
        </w:rPr>
        <w:t xml:space="preserve">. Ils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libres</w:t>
      </w:r>
      <w:proofErr w:type="spellEnd"/>
      <w:r w:rsidR="0073666E" w:rsidRPr="0073666E">
        <w:rPr>
          <w:lang w:val="de-CH"/>
        </w:rPr>
        <w:t xml:space="preserve"> de </w:t>
      </w:r>
      <w:proofErr w:type="spellStart"/>
      <w:r w:rsidR="0073666E" w:rsidRPr="0073666E">
        <w:rPr>
          <w:lang w:val="de-CH"/>
        </w:rPr>
        <w:t>définir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procédures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leur</w:t>
      </w:r>
      <w:proofErr w:type="spellEnd"/>
      <w:r w:rsidR="0073666E" w:rsidRPr="0073666E">
        <w:rPr>
          <w:lang w:val="de-CH"/>
        </w:rPr>
        <w:t xml:space="preserve"> </w:t>
      </w:r>
      <w:proofErr w:type="spellStart"/>
      <w:r w:rsidR="0073666E" w:rsidRPr="0073666E">
        <w:rPr>
          <w:lang w:val="de-CH"/>
        </w:rPr>
        <w:t>semblent</w:t>
      </w:r>
      <w:proofErr w:type="spellEnd"/>
      <w:r w:rsidR="0073666E" w:rsidRPr="0073666E">
        <w:rPr>
          <w:lang w:val="de-CH"/>
        </w:rPr>
        <w:t xml:space="preserve"> </w:t>
      </w:r>
      <w:proofErr w:type="spellStart"/>
      <w:r w:rsidR="0073666E" w:rsidRPr="0073666E">
        <w:rPr>
          <w:lang w:val="de-CH"/>
        </w:rPr>
        <w:t>appropriées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leur</w:t>
      </w:r>
      <w:proofErr w:type="spellEnd"/>
      <w:r w:rsidR="0073666E" w:rsidRPr="0073666E">
        <w:rPr>
          <w:lang w:val="de-CH"/>
        </w:rPr>
        <w:t xml:space="preserve"> </w:t>
      </w:r>
      <w:proofErr w:type="spellStart"/>
      <w:r w:rsidR="0073666E" w:rsidRPr="0073666E">
        <w:rPr>
          <w:lang w:val="de-CH"/>
        </w:rPr>
        <w:t>domaine</w:t>
      </w:r>
      <w:proofErr w:type="spellEnd"/>
      <w:r w:rsidR="0073666E" w:rsidRPr="0073666E">
        <w:rPr>
          <w:lang w:val="de-CH"/>
        </w:rPr>
        <w:t xml:space="preserve"> de </w:t>
      </w:r>
      <w:proofErr w:type="spellStart"/>
      <w:r w:rsidR="0073666E" w:rsidRPr="0073666E">
        <w:rPr>
          <w:lang w:val="de-CH"/>
        </w:rPr>
        <w:t>compétence</w:t>
      </w:r>
      <w:proofErr w:type="spellEnd"/>
      <w:r w:rsidR="0073666E" w:rsidRPr="0073666E">
        <w:rPr>
          <w:lang w:val="de-CH"/>
        </w:rPr>
        <w:t xml:space="preserve">, à la </w:t>
      </w:r>
      <w:proofErr w:type="spellStart"/>
      <w:r w:rsidR="0073666E" w:rsidRPr="0073666E">
        <w:rPr>
          <w:lang w:val="de-CH"/>
        </w:rPr>
        <w:t>condition</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procédures</w:t>
      </w:r>
      <w:proofErr w:type="spellEnd"/>
      <w:r w:rsidR="0073666E" w:rsidRPr="0073666E">
        <w:rPr>
          <w:lang w:val="de-CH"/>
        </w:rPr>
        <w:t xml:space="preserve"> </w:t>
      </w:r>
      <w:proofErr w:type="spellStart"/>
      <w:r w:rsidR="0073666E" w:rsidRPr="0073666E">
        <w:rPr>
          <w:lang w:val="de-CH"/>
        </w:rPr>
        <w:t>soient</w:t>
      </w:r>
      <w:proofErr w:type="spellEnd"/>
      <w:r w:rsidR="0073666E" w:rsidRPr="0073666E">
        <w:rPr>
          <w:lang w:val="de-CH"/>
        </w:rPr>
        <w:t xml:space="preserve"> </w:t>
      </w:r>
      <w:proofErr w:type="spellStart"/>
      <w:r w:rsidR="0073666E" w:rsidRPr="0073666E">
        <w:rPr>
          <w:lang w:val="de-CH"/>
        </w:rPr>
        <w:t>compatibles</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le </w:t>
      </w:r>
      <w:proofErr w:type="spellStart"/>
      <w:r w:rsidR="0073666E" w:rsidRPr="0073666E">
        <w:rPr>
          <w:lang w:val="de-CH"/>
        </w:rPr>
        <w:t>droit</w:t>
      </w:r>
      <w:proofErr w:type="spellEnd"/>
      <w:r w:rsidR="0073666E" w:rsidRPr="0073666E">
        <w:rPr>
          <w:lang w:val="de-CH"/>
        </w:rPr>
        <w:t xml:space="preserve"> </w:t>
      </w:r>
      <w:proofErr w:type="spellStart"/>
      <w:r w:rsidR="0073666E" w:rsidRPr="0073666E">
        <w:rPr>
          <w:lang w:val="de-CH"/>
        </w:rPr>
        <w:t>fédéral</w:t>
      </w:r>
      <w:proofErr w:type="spellEnd"/>
      <w:r w:rsidR="0073666E" w:rsidRPr="0073666E">
        <w:rPr>
          <w:lang w:val="de-CH"/>
        </w:rPr>
        <w:t xml:space="preserve"> et le </w:t>
      </w:r>
      <w:proofErr w:type="spellStart"/>
      <w:r w:rsidR="0073666E" w:rsidRPr="0073666E">
        <w:rPr>
          <w:lang w:val="de-CH"/>
        </w:rPr>
        <w:t>droit</w:t>
      </w:r>
      <w:proofErr w:type="spellEnd"/>
      <w:r w:rsidR="0073666E" w:rsidRPr="0073666E">
        <w:rPr>
          <w:lang w:val="de-CH"/>
        </w:rPr>
        <w:t xml:space="preserve"> international. </w:t>
      </w:r>
      <w:r w:rsidR="0073666E" w:rsidRPr="0073666E">
        <w:t>L’instruction des plaintes pénales contre la police est toutefois largement réglementée par le CPP, édicté au niveau fédéral et en vigueur depuis le 1</w:t>
      </w:r>
      <w:r w:rsidR="0073666E" w:rsidRPr="0073666E">
        <w:rPr>
          <w:vertAlign w:val="superscript"/>
        </w:rPr>
        <w:t>er</w:t>
      </w:r>
      <w:r w:rsidR="0073666E" w:rsidRPr="0073666E">
        <w:t xml:space="preserve"> janvier 2011. </w:t>
      </w:r>
      <w:r w:rsidR="0073666E" w:rsidRPr="0073666E">
        <w:rPr>
          <w:lang w:val="de-CH"/>
        </w:rPr>
        <w:t xml:space="preserve">Le </w:t>
      </w:r>
      <w:proofErr w:type="spellStart"/>
      <w:r w:rsidR="0073666E" w:rsidRPr="0073666E">
        <w:rPr>
          <w:lang w:val="de-CH"/>
        </w:rPr>
        <w:t>traitement</w:t>
      </w:r>
      <w:proofErr w:type="spellEnd"/>
      <w:r w:rsidR="0073666E" w:rsidRPr="0073666E">
        <w:rPr>
          <w:lang w:val="de-CH"/>
        </w:rPr>
        <w:t xml:space="preserve"> de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plaintes</w:t>
      </w:r>
      <w:proofErr w:type="spellEnd"/>
      <w:r w:rsidR="0073666E" w:rsidRPr="0073666E">
        <w:rPr>
          <w:lang w:val="de-CH"/>
        </w:rPr>
        <w:t xml:space="preserve"> par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autorité</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w:t>
      </w:r>
      <w:proofErr w:type="spellStart"/>
      <w:r w:rsidR="0073666E" w:rsidRPr="0073666E">
        <w:rPr>
          <w:lang w:val="de-CH"/>
        </w:rPr>
        <w:t>indépendante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garanti</w:t>
      </w:r>
      <w:proofErr w:type="spellEnd"/>
      <w:r w:rsidR="0073666E" w:rsidRPr="0073666E">
        <w:rPr>
          <w:lang w:val="de-CH"/>
        </w:rPr>
        <w:t>.</w:t>
      </w:r>
    </w:p>
    <w:p w14:paraId="1DE30EA1" w14:textId="77777777" w:rsidR="0073666E" w:rsidRPr="0073666E" w:rsidRDefault="00E76E99" w:rsidP="00E76E99">
      <w:pPr>
        <w:pStyle w:val="SingleTxtG"/>
      </w:pPr>
      <w:r>
        <w:t>129.</w:t>
      </w:r>
      <w:r>
        <w:tab/>
      </w:r>
      <w:r w:rsidR="0073666E" w:rsidRPr="0073666E">
        <w:t xml:space="preserve">La jurisprudence du TF a confirmé que toute personne qui prétend de manière défendable avoir </w:t>
      </w:r>
      <w:r w:rsidR="0073666E" w:rsidRPr="00E76E99">
        <w:t>été</w:t>
      </w:r>
      <w:r w:rsidR="0073666E" w:rsidRPr="0073666E">
        <w:t xml:space="preserve"> traitée de façon inhumaine ou dégradante par un fonctionnaire de police a droit à une enquête offi</w:t>
      </w:r>
      <w:r w:rsidR="00552382">
        <w:t>cielle effective et approfondie</w:t>
      </w:r>
      <w:r w:rsidR="0073666E" w:rsidRPr="009E1FD5">
        <w:rPr>
          <w:rStyle w:val="Appelnotedebasdep"/>
        </w:rPr>
        <w:footnoteReference w:id="33"/>
      </w:r>
      <w:r w:rsidR="00552382">
        <w:t>.</w:t>
      </w:r>
      <w:r w:rsidR="0073666E" w:rsidRPr="0073666E">
        <w:t xml:space="preserve"> Il a cependant renoncé à prononcer un arrêt de principe concernant la nécessité d’instaurer des mécanismes de recours spécifiques en cas d’incidents impliquant la police</w:t>
      </w:r>
      <w:r w:rsidR="0073666E" w:rsidRPr="009E1FD5">
        <w:rPr>
          <w:rStyle w:val="Appelnotedebasdep"/>
        </w:rPr>
        <w:footnoteReference w:id="34"/>
      </w:r>
      <w:r w:rsidR="00552382">
        <w:t>.</w:t>
      </w:r>
    </w:p>
    <w:p w14:paraId="2AB4F488" w14:textId="77777777" w:rsidR="0073666E" w:rsidRPr="0073666E" w:rsidRDefault="00E76E99" w:rsidP="00E76E99">
      <w:pPr>
        <w:pStyle w:val="SingleTxtG"/>
        <w:rPr>
          <w:lang w:val="de-CH"/>
        </w:rPr>
      </w:pPr>
      <w:r>
        <w:rPr>
          <w:lang w:val="de-CH"/>
        </w:rPr>
        <w:t>130.</w:t>
      </w:r>
      <w:r>
        <w:rPr>
          <w:lang w:val="de-CH"/>
        </w:rPr>
        <w:tab/>
      </w:r>
      <w:r w:rsidR="0073666E" w:rsidRPr="0073666E">
        <w:rPr>
          <w:lang w:val="de-CH"/>
        </w:rPr>
        <w:t xml:space="preserve">La </w:t>
      </w:r>
      <w:proofErr w:type="spellStart"/>
      <w:r w:rsidR="0073666E" w:rsidRPr="0073666E">
        <w:rPr>
          <w:lang w:val="de-CH"/>
        </w:rPr>
        <w:t>justice</w:t>
      </w:r>
      <w:proofErr w:type="spellEnd"/>
      <w:r w:rsidR="0073666E" w:rsidRPr="0073666E">
        <w:rPr>
          <w:lang w:val="de-CH"/>
        </w:rPr>
        <w:t xml:space="preserve"> </w:t>
      </w:r>
      <w:proofErr w:type="spellStart"/>
      <w:r w:rsidR="0073666E" w:rsidRPr="0073666E">
        <w:rPr>
          <w:lang w:val="de-CH"/>
        </w:rPr>
        <w:t>suisse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indépendante</w:t>
      </w:r>
      <w:proofErr w:type="spellEnd"/>
      <w:r w:rsidR="0073666E" w:rsidRPr="0073666E">
        <w:rPr>
          <w:lang w:val="de-CH"/>
        </w:rPr>
        <w:t xml:space="preserve"> à </w:t>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niveaux</w:t>
      </w:r>
      <w:proofErr w:type="spellEnd"/>
      <w:r w:rsidR="0073666E" w:rsidRPr="0073666E">
        <w:rPr>
          <w:lang w:val="de-CH"/>
        </w:rPr>
        <w:t xml:space="preserve"> de </w:t>
      </w:r>
      <w:proofErr w:type="spellStart"/>
      <w:r w:rsidR="0073666E" w:rsidRPr="0073666E">
        <w:rPr>
          <w:lang w:val="de-CH"/>
        </w:rPr>
        <w:t>l’État</w:t>
      </w:r>
      <w:proofErr w:type="spellEnd"/>
      <w:r w:rsidR="0073666E" w:rsidRPr="0073666E">
        <w:rPr>
          <w:lang w:val="de-CH"/>
        </w:rPr>
        <w:t xml:space="preserve">. De </w:t>
      </w:r>
      <w:proofErr w:type="spellStart"/>
      <w:r w:rsidR="0073666E" w:rsidRPr="0073666E">
        <w:rPr>
          <w:lang w:val="de-CH"/>
        </w:rPr>
        <w:t>nombreux</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par </w:t>
      </w:r>
      <w:proofErr w:type="spellStart"/>
      <w:r w:rsidR="0073666E" w:rsidRPr="0073666E">
        <w:rPr>
          <w:lang w:val="de-CH"/>
        </w:rPr>
        <w:t>conséquent</w:t>
      </w:r>
      <w:proofErr w:type="spellEnd"/>
      <w:r w:rsidR="0073666E" w:rsidRPr="0073666E">
        <w:rPr>
          <w:lang w:val="de-CH"/>
        </w:rPr>
        <w:t xml:space="preserve"> </w:t>
      </w:r>
      <w:proofErr w:type="spellStart"/>
      <w:r w:rsidR="0073666E" w:rsidRPr="0073666E">
        <w:rPr>
          <w:lang w:val="de-CH"/>
        </w:rPr>
        <w:t>d’avis</w:t>
      </w:r>
      <w:proofErr w:type="spellEnd"/>
      <w:r w:rsidR="0073666E" w:rsidRPr="0073666E">
        <w:rPr>
          <w:lang w:val="de-CH"/>
        </w:rPr>
        <w:t xml:space="preserve"> </w:t>
      </w:r>
      <w:proofErr w:type="spellStart"/>
      <w:r w:rsidR="0073666E" w:rsidRPr="0073666E">
        <w:rPr>
          <w:lang w:val="de-CH"/>
        </w:rPr>
        <w:t>qu’il</w:t>
      </w:r>
      <w:proofErr w:type="spellEnd"/>
      <w:r w:rsidR="0073666E" w:rsidRPr="0073666E">
        <w:rPr>
          <w:lang w:val="de-CH"/>
        </w:rPr>
        <w:t xml:space="preserve"> </w:t>
      </w:r>
      <w:proofErr w:type="spellStart"/>
      <w:r w:rsidR="0073666E" w:rsidRPr="0073666E">
        <w:rPr>
          <w:lang w:val="de-CH"/>
        </w:rPr>
        <w:t>n’est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utile</w:t>
      </w:r>
      <w:proofErr w:type="spellEnd"/>
      <w:r w:rsidR="0073666E" w:rsidRPr="0073666E">
        <w:rPr>
          <w:lang w:val="de-CH"/>
        </w:rPr>
        <w:t xml:space="preserve"> </w:t>
      </w:r>
      <w:proofErr w:type="spellStart"/>
      <w:r w:rsidR="0073666E" w:rsidRPr="0073666E">
        <w:rPr>
          <w:lang w:val="de-CH"/>
        </w:rPr>
        <w:t>d’instaurer</w:t>
      </w:r>
      <w:proofErr w:type="spellEnd"/>
      <w:r w:rsidR="0073666E" w:rsidRPr="0073666E">
        <w:rPr>
          <w:lang w:val="de-CH"/>
        </w:rPr>
        <w:t xml:space="preserve"> des </w:t>
      </w:r>
      <w:proofErr w:type="spellStart"/>
      <w:r w:rsidR="0073666E" w:rsidRPr="0073666E">
        <w:rPr>
          <w:lang w:val="de-CH"/>
        </w:rPr>
        <w:t>mécanismes</w:t>
      </w:r>
      <w:proofErr w:type="spellEnd"/>
      <w:r w:rsidR="0073666E" w:rsidRPr="0073666E">
        <w:rPr>
          <w:lang w:val="de-CH"/>
        </w:rPr>
        <w:t xml:space="preserve"> </w:t>
      </w:r>
      <w:proofErr w:type="spellStart"/>
      <w:r w:rsidR="0073666E" w:rsidRPr="0073666E">
        <w:rPr>
          <w:lang w:val="de-CH"/>
        </w:rPr>
        <w:t>supplémentaires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examiner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plaintes</w:t>
      </w:r>
      <w:proofErr w:type="spellEnd"/>
      <w:r w:rsidR="0073666E" w:rsidRPr="0073666E">
        <w:rPr>
          <w:lang w:val="de-CH"/>
        </w:rPr>
        <w:t xml:space="preserve"> à </w:t>
      </w:r>
      <w:proofErr w:type="spellStart"/>
      <w:r w:rsidR="0073666E" w:rsidRPr="0073666E">
        <w:rPr>
          <w:lang w:val="de-CH"/>
        </w:rPr>
        <w:t>l’encontre</w:t>
      </w:r>
      <w:proofErr w:type="spellEnd"/>
      <w:r w:rsidR="0073666E" w:rsidRPr="0073666E">
        <w:rPr>
          <w:lang w:val="de-CH"/>
        </w:rPr>
        <w:t xml:space="preserve"> de la </w:t>
      </w:r>
      <w:proofErr w:type="spellStart"/>
      <w:r w:rsidR="0073666E" w:rsidRPr="0073666E">
        <w:rPr>
          <w:lang w:val="de-CH"/>
        </w:rPr>
        <w:t>police</w:t>
      </w:r>
      <w:proofErr w:type="spellEnd"/>
      <w:r w:rsidR="0073666E" w:rsidRPr="0073666E">
        <w:rPr>
          <w:lang w:val="de-CH"/>
        </w:rPr>
        <w:t xml:space="preserve">. Le </w:t>
      </w:r>
      <w:proofErr w:type="spellStart"/>
      <w:r w:rsidR="0073666E" w:rsidRPr="0073666E">
        <w:rPr>
          <w:lang w:val="de-CH"/>
        </w:rPr>
        <w:t>ministère</w:t>
      </w:r>
      <w:proofErr w:type="spellEnd"/>
      <w:r w:rsidR="0073666E" w:rsidRPr="0073666E">
        <w:rPr>
          <w:lang w:val="de-CH"/>
        </w:rPr>
        <w:t xml:space="preserve"> </w:t>
      </w:r>
      <w:proofErr w:type="spellStart"/>
      <w:r w:rsidR="0073666E" w:rsidRPr="0073666E">
        <w:rPr>
          <w:lang w:val="de-CH"/>
        </w:rPr>
        <w:t>public</w:t>
      </w:r>
      <w:proofErr w:type="spellEnd"/>
      <w:r w:rsidR="0073666E" w:rsidRPr="0073666E">
        <w:rPr>
          <w:lang w:val="de-CH"/>
        </w:rPr>
        <w:t xml:space="preserve"> se </w:t>
      </w:r>
      <w:proofErr w:type="spellStart"/>
      <w:r w:rsidR="0073666E" w:rsidRPr="0073666E">
        <w:rPr>
          <w:lang w:val="de-CH"/>
        </w:rPr>
        <w:t>charge</w:t>
      </w:r>
      <w:proofErr w:type="spellEnd"/>
      <w:r w:rsidR="0073666E" w:rsidRPr="0073666E">
        <w:rPr>
          <w:lang w:val="de-CH"/>
        </w:rPr>
        <w:t xml:space="preserve"> de </w:t>
      </w:r>
      <w:proofErr w:type="spellStart"/>
      <w:r w:rsidR="0073666E" w:rsidRPr="0073666E">
        <w:rPr>
          <w:lang w:val="de-CH"/>
        </w:rPr>
        <w:t>poursuivre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infractions</w:t>
      </w:r>
      <w:proofErr w:type="spellEnd"/>
      <w:r w:rsidR="0073666E" w:rsidRPr="0073666E">
        <w:rPr>
          <w:lang w:val="de-CH"/>
        </w:rPr>
        <w:t xml:space="preserve"> </w:t>
      </w:r>
      <w:proofErr w:type="spellStart"/>
      <w:r w:rsidR="0073666E" w:rsidRPr="0073666E">
        <w:rPr>
          <w:lang w:val="de-CH"/>
        </w:rPr>
        <w:t>commises</w:t>
      </w:r>
      <w:proofErr w:type="spellEnd"/>
      <w:r w:rsidR="0073666E" w:rsidRPr="0073666E">
        <w:rPr>
          <w:lang w:val="de-CH"/>
        </w:rPr>
        <w:t xml:space="preserve"> par des </w:t>
      </w:r>
      <w:proofErr w:type="spellStart"/>
      <w:r w:rsidR="0073666E" w:rsidRPr="0073666E">
        <w:rPr>
          <w:lang w:val="de-CH"/>
        </w:rPr>
        <w:t>policiers</w:t>
      </w:r>
      <w:proofErr w:type="spellEnd"/>
      <w:r w:rsidR="0073666E" w:rsidRPr="0073666E">
        <w:rPr>
          <w:lang w:val="de-CH"/>
        </w:rPr>
        <w:t xml:space="preserve">. Plus </w:t>
      </w:r>
      <w:proofErr w:type="spellStart"/>
      <w:r w:rsidR="0073666E" w:rsidRPr="0073666E">
        <w:rPr>
          <w:lang w:val="de-CH"/>
        </w:rPr>
        <w:t>largement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plaintes</w:t>
      </w:r>
      <w:proofErr w:type="spellEnd"/>
      <w:r w:rsidR="0073666E" w:rsidRPr="0073666E">
        <w:rPr>
          <w:lang w:val="de-CH"/>
        </w:rPr>
        <w:t xml:space="preserve"> relatives au </w:t>
      </w:r>
      <w:proofErr w:type="spellStart"/>
      <w:r w:rsidR="0073666E" w:rsidRPr="0073666E">
        <w:rPr>
          <w:lang w:val="de-CH"/>
        </w:rPr>
        <w:t>comportement</w:t>
      </w:r>
      <w:proofErr w:type="spellEnd"/>
      <w:r w:rsidR="0073666E" w:rsidRPr="0073666E">
        <w:rPr>
          <w:lang w:val="de-CH"/>
        </w:rPr>
        <w:t xml:space="preserve"> de </w:t>
      </w:r>
      <w:proofErr w:type="spellStart"/>
      <w:r w:rsidR="0073666E" w:rsidRPr="0073666E">
        <w:rPr>
          <w:lang w:val="de-CH"/>
        </w:rPr>
        <w:t>policiers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traitées</w:t>
      </w:r>
      <w:proofErr w:type="spellEnd"/>
      <w:r w:rsidR="0073666E" w:rsidRPr="0073666E">
        <w:rPr>
          <w:lang w:val="de-CH"/>
        </w:rPr>
        <w:t xml:space="preserve"> par </w:t>
      </w:r>
      <w:proofErr w:type="spellStart"/>
      <w:r w:rsidR="0073666E" w:rsidRPr="0073666E">
        <w:rPr>
          <w:lang w:val="de-CH"/>
        </w:rPr>
        <w:t>l’autorité</w:t>
      </w:r>
      <w:proofErr w:type="spellEnd"/>
      <w:r w:rsidR="0073666E" w:rsidRPr="0073666E">
        <w:rPr>
          <w:lang w:val="de-CH"/>
        </w:rPr>
        <w:t xml:space="preserve"> de </w:t>
      </w:r>
      <w:proofErr w:type="spellStart"/>
      <w:r w:rsidR="0073666E" w:rsidRPr="0073666E">
        <w:rPr>
          <w:lang w:val="de-CH"/>
        </w:rPr>
        <w:t>surveillance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administrative.</w:t>
      </w:r>
    </w:p>
    <w:p w14:paraId="7B15C82A" w14:textId="77777777" w:rsidR="0073666E" w:rsidRPr="0073666E" w:rsidRDefault="00E76E99" w:rsidP="00E76E99">
      <w:pPr>
        <w:pStyle w:val="SingleTxtG"/>
        <w:rPr>
          <w:lang w:val="de-CH"/>
        </w:rPr>
      </w:pPr>
      <w:r>
        <w:rPr>
          <w:lang w:val="de-CH"/>
        </w:rPr>
        <w:t>131.</w:t>
      </w:r>
      <w:r>
        <w:rPr>
          <w:lang w:val="de-CH"/>
        </w:rPr>
        <w:tab/>
      </w:r>
      <w:r w:rsidR="0073666E" w:rsidRPr="0073666E">
        <w:rPr>
          <w:lang w:val="de-CH"/>
        </w:rPr>
        <w:t xml:space="preserve">La </w:t>
      </w:r>
      <w:proofErr w:type="spellStart"/>
      <w:r w:rsidR="0073666E" w:rsidRPr="0073666E">
        <w:rPr>
          <w:lang w:val="de-CH"/>
        </w:rPr>
        <w:t>renonciation</w:t>
      </w:r>
      <w:proofErr w:type="spellEnd"/>
      <w:r w:rsidR="0073666E" w:rsidRPr="0073666E">
        <w:rPr>
          <w:lang w:val="de-CH"/>
        </w:rPr>
        <w:t xml:space="preserve"> </w:t>
      </w:r>
      <w:proofErr w:type="spellStart"/>
      <w:r w:rsidR="0073666E" w:rsidRPr="0073666E">
        <w:rPr>
          <w:lang w:val="de-CH"/>
        </w:rPr>
        <w:t>d’instaurer</w:t>
      </w:r>
      <w:proofErr w:type="spellEnd"/>
      <w:r w:rsidR="0073666E" w:rsidRPr="0073666E">
        <w:rPr>
          <w:lang w:val="de-CH"/>
        </w:rPr>
        <w:t xml:space="preserve"> des </w:t>
      </w:r>
      <w:proofErr w:type="spellStart"/>
      <w:r w:rsidR="0073666E" w:rsidRPr="0073666E">
        <w:rPr>
          <w:lang w:val="de-CH"/>
        </w:rPr>
        <w:t>mécanismes</w:t>
      </w:r>
      <w:proofErr w:type="spellEnd"/>
      <w:r w:rsidR="0073666E" w:rsidRPr="0073666E">
        <w:rPr>
          <w:lang w:val="de-CH"/>
        </w:rPr>
        <w:t xml:space="preserve"> </w:t>
      </w:r>
      <w:proofErr w:type="spellStart"/>
      <w:r w:rsidR="0073666E" w:rsidRPr="0073666E">
        <w:rPr>
          <w:lang w:val="de-CH"/>
        </w:rPr>
        <w:t>spécifiques</w:t>
      </w:r>
      <w:proofErr w:type="spellEnd"/>
      <w:r w:rsidR="0073666E" w:rsidRPr="0073666E">
        <w:rPr>
          <w:lang w:val="de-CH"/>
        </w:rPr>
        <w:t xml:space="preserve"> </w:t>
      </w:r>
      <w:proofErr w:type="spellStart"/>
      <w:r w:rsidR="0073666E" w:rsidRPr="0073666E">
        <w:rPr>
          <w:lang w:val="de-CH"/>
        </w:rPr>
        <w:t>s’explique</w:t>
      </w:r>
      <w:proofErr w:type="spellEnd"/>
      <w:r w:rsidR="0073666E" w:rsidRPr="0073666E">
        <w:rPr>
          <w:lang w:val="de-CH"/>
        </w:rPr>
        <w:t xml:space="preserve"> en </w:t>
      </w:r>
      <w:proofErr w:type="spellStart"/>
      <w:r w:rsidR="0073666E" w:rsidRPr="0073666E">
        <w:rPr>
          <w:lang w:val="de-CH"/>
        </w:rPr>
        <w:t>particulier</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raisons</w:t>
      </w:r>
      <w:proofErr w:type="spellEnd"/>
      <w:r w:rsidR="0073666E" w:rsidRPr="0073666E">
        <w:rPr>
          <w:lang w:val="de-CH"/>
        </w:rPr>
        <w:t xml:space="preserve"> </w:t>
      </w:r>
      <w:proofErr w:type="spellStart"/>
      <w:r w:rsidR="0073666E" w:rsidRPr="0073666E">
        <w:rPr>
          <w:lang w:val="de-CH"/>
        </w:rPr>
        <w:t>suivantes</w:t>
      </w:r>
      <w:proofErr w:type="spellEnd"/>
      <w:r w:rsidR="00222D58">
        <w:rPr>
          <w:lang w:val="de-CH"/>
        </w:rPr>
        <w:t> </w:t>
      </w:r>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de </w:t>
      </w:r>
      <w:proofErr w:type="spellStart"/>
      <w:r w:rsidR="0073666E" w:rsidRPr="0073666E">
        <w:rPr>
          <w:lang w:val="de-CH"/>
        </w:rPr>
        <w:t>poursuite</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indépendantes</w:t>
      </w:r>
      <w:proofErr w:type="spellEnd"/>
      <w:r w:rsidR="0073666E" w:rsidRPr="0073666E">
        <w:rPr>
          <w:lang w:val="de-CH"/>
        </w:rPr>
        <w:t xml:space="preserve"> (art. 4 CPP). </w:t>
      </w:r>
      <w:proofErr w:type="spellStart"/>
      <w:r w:rsidR="0073666E" w:rsidRPr="0073666E">
        <w:rPr>
          <w:lang w:val="de-CH"/>
        </w:rPr>
        <w:t>Elles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soumises</w:t>
      </w:r>
      <w:proofErr w:type="spellEnd"/>
      <w:r w:rsidR="0073666E" w:rsidRPr="0073666E">
        <w:rPr>
          <w:lang w:val="de-CH"/>
        </w:rPr>
        <w:t xml:space="preserve"> à la </w:t>
      </w:r>
      <w:proofErr w:type="spellStart"/>
      <w:r w:rsidR="0073666E" w:rsidRPr="0073666E">
        <w:rPr>
          <w:lang w:val="de-CH"/>
        </w:rPr>
        <w:t>maxime</w:t>
      </w:r>
      <w:proofErr w:type="spellEnd"/>
      <w:r w:rsidR="0073666E" w:rsidRPr="0073666E">
        <w:rPr>
          <w:lang w:val="de-CH"/>
        </w:rPr>
        <w:t xml:space="preserve"> de </w:t>
      </w:r>
      <w:proofErr w:type="spellStart"/>
      <w:r w:rsidR="0073666E" w:rsidRPr="0073666E">
        <w:rPr>
          <w:lang w:val="de-CH"/>
        </w:rPr>
        <w:t>l’instruction</w:t>
      </w:r>
      <w:proofErr w:type="spellEnd"/>
      <w:r w:rsidR="0073666E" w:rsidRPr="0073666E">
        <w:rPr>
          <w:lang w:val="de-CH"/>
        </w:rPr>
        <w:t xml:space="preserve"> (art. 6 CPP). </w:t>
      </w:r>
      <w:proofErr w:type="spellStart"/>
      <w:r w:rsidR="0073666E" w:rsidRPr="0073666E">
        <w:rPr>
          <w:lang w:val="de-CH"/>
        </w:rPr>
        <w:t>Elles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tenues</w:t>
      </w:r>
      <w:proofErr w:type="spellEnd"/>
      <w:r w:rsidR="0073666E" w:rsidRPr="0073666E">
        <w:rPr>
          <w:lang w:val="de-CH"/>
        </w:rPr>
        <w:t xml:space="preserve"> </w:t>
      </w:r>
      <w:proofErr w:type="spellStart"/>
      <w:r w:rsidR="0073666E" w:rsidRPr="0073666E">
        <w:rPr>
          <w:lang w:val="de-CH"/>
        </w:rPr>
        <w:t>d’ouvrir</w:t>
      </w:r>
      <w:proofErr w:type="spellEnd"/>
      <w:r w:rsidR="0073666E" w:rsidRPr="0073666E">
        <w:rPr>
          <w:lang w:val="de-CH"/>
        </w:rPr>
        <w:t xml:space="preserve">, </w:t>
      </w:r>
      <w:proofErr w:type="spellStart"/>
      <w:r w:rsidR="0073666E" w:rsidRPr="0073666E">
        <w:rPr>
          <w:lang w:val="de-CH"/>
        </w:rPr>
        <w:t>sans</w:t>
      </w:r>
      <w:proofErr w:type="spellEnd"/>
      <w:r w:rsidR="0073666E" w:rsidRPr="0073666E">
        <w:rPr>
          <w:lang w:val="de-CH"/>
        </w:rPr>
        <w:t xml:space="preserve"> </w:t>
      </w:r>
      <w:proofErr w:type="spellStart"/>
      <w:r w:rsidR="0073666E" w:rsidRPr="0073666E">
        <w:rPr>
          <w:lang w:val="de-CH"/>
        </w:rPr>
        <w:t>délai</w:t>
      </w:r>
      <w:proofErr w:type="spellEnd"/>
      <w:r w:rsidR="0073666E" w:rsidRPr="0073666E">
        <w:rPr>
          <w:lang w:val="de-CH"/>
        </w:rPr>
        <w:t xml:space="preserve">, et de </w:t>
      </w:r>
      <w:proofErr w:type="spellStart"/>
      <w:r w:rsidR="0073666E" w:rsidRPr="0073666E">
        <w:rPr>
          <w:lang w:val="de-CH"/>
        </w:rPr>
        <w:t>conduire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lorsqu’elles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connaissance</w:t>
      </w:r>
      <w:proofErr w:type="spellEnd"/>
      <w:r w:rsidR="0073666E" w:rsidRPr="0073666E">
        <w:rPr>
          <w:lang w:val="de-CH"/>
        </w:rPr>
        <w:t xml:space="preserve"> </w:t>
      </w:r>
      <w:proofErr w:type="spellStart"/>
      <w:r w:rsidR="0073666E" w:rsidRPr="0073666E">
        <w:rPr>
          <w:lang w:val="de-CH"/>
        </w:rPr>
        <w:t>d’infractions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d’indices</w:t>
      </w:r>
      <w:proofErr w:type="spellEnd"/>
      <w:r w:rsidR="0073666E" w:rsidRPr="0073666E">
        <w:rPr>
          <w:lang w:val="de-CH"/>
        </w:rPr>
        <w:t xml:space="preserve"> </w:t>
      </w:r>
      <w:proofErr w:type="spellStart"/>
      <w:r w:rsidR="0073666E" w:rsidRPr="0073666E">
        <w:rPr>
          <w:lang w:val="de-CH"/>
        </w:rPr>
        <w:t>laissant</w:t>
      </w:r>
      <w:proofErr w:type="spellEnd"/>
      <w:r w:rsidR="0073666E" w:rsidRPr="0073666E">
        <w:rPr>
          <w:lang w:val="de-CH"/>
        </w:rPr>
        <w:t xml:space="preserve"> </w:t>
      </w:r>
      <w:proofErr w:type="spellStart"/>
      <w:r w:rsidR="0073666E" w:rsidRPr="0073666E">
        <w:rPr>
          <w:lang w:val="de-CH"/>
        </w:rPr>
        <w:t>présumer</w:t>
      </w:r>
      <w:proofErr w:type="spellEnd"/>
      <w:r w:rsidR="0073666E" w:rsidRPr="0073666E">
        <w:rPr>
          <w:lang w:val="de-CH"/>
        </w:rPr>
        <w:t xml:space="preserve"> </w:t>
      </w:r>
      <w:proofErr w:type="spellStart"/>
      <w:r w:rsidR="0073666E" w:rsidRPr="0073666E">
        <w:rPr>
          <w:lang w:val="de-CH"/>
        </w:rPr>
        <w:t>l’existence</w:t>
      </w:r>
      <w:proofErr w:type="spellEnd"/>
      <w:r w:rsidR="0073666E" w:rsidRPr="0073666E">
        <w:rPr>
          <w:lang w:val="de-CH"/>
        </w:rPr>
        <w:t xml:space="preserve"> </w:t>
      </w:r>
      <w:proofErr w:type="spellStart"/>
      <w:r w:rsidR="0073666E" w:rsidRPr="0073666E">
        <w:rPr>
          <w:lang w:val="de-CH"/>
        </w:rPr>
        <w:t>d’infractions</w:t>
      </w:r>
      <w:proofErr w:type="spellEnd"/>
      <w:r w:rsidR="0073666E" w:rsidRPr="0073666E">
        <w:rPr>
          <w:lang w:val="de-CH"/>
        </w:rPr>
        <w:t xml:space="preserve"> (art. 5 et 7 CPP). De plus,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prétendument</w:t>
      </w:r>
      <w:proofErr w:type="spellEnd"/>
      <w:r w:rsidR="0073666E" w:rsidRPr="0073666E">
        <w:rPr>
          <w:lang w:val="de-CH"/>
        </w:rPr>
        <w:t xml:space="preserve"> </w:t>
      </w:r>
      <w:proofErr w:type="spellStart"/>
      <w:r w:rsidR="0073666E" w:rsidRPr="0073666E">
        <w:rPr>
          <w:lang w:val="de-CH"/>
        </w:rPr>
        <w:t>lésée</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adresser</w:t>
      </w:r>
      <w:proofErr w:type="spellEnd"/>
      <w:r w:rsidR="0073666E" w:rsidRPr="0073666E">
        <w:rPr>
          <w:lang w:val="de-CH"/>
        </w:rPr>
        <w:t xml:space="preserve"> à la </w:t>
      </w:r>
      <w:proofErr w:type="spellStart"/>
      <w:r w:rsidR="0073666E" w:rsidRPr="0073666E">
        <w:rPr>
          <w:lang w:val="de-CH"/>
        </w:rPr>
        <w:t>direction</w:t>
      </w:r>
      <w:proofErr w:type="spellEnd"/>
      <w:r w:rsidR="0073666E" w:rsidRPr="0073666E">
        <w:rPr>
          <w:lang w:val="de-CH"/>
        </w:rPr>
        <w:t xml:space="preserve"> de la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demande</w:t>
      </w:r>
      <w:proofErr w:type="spellEnd"/>
      <w:r w:rsidR="0073666E" w:rsidRPr="0073666E">
        <w:rPr>
          <w:lang w:val="de-CH"/>
        </w:rPr>
        <w:t xml:space="preserve"> de </w:t>
      </w:r>
      <w:proofErr w:type="spellStart"/>
      <w:r w:rsidR="0073666E" w:rsidRPr="0073666E">
        <w:rPr>
          <w:lang w:val="de-CH"/>
        </w:rPr>
        <w:t>récusation</w:t>
      </w:r>
      <w:proofErr w:type="spellEnd"/>
      <w:r w:rsidR="0073666E" w:rsidRPr="0073666E">
        <w:rPr>
          <w:lang w:val="de-CH"/>
        </w:rPr>
        <w:t xml:space="preserve"> à </w:t>
      </w:r>
      <w:proofErr w:type="spellStart"/>
      <w:r w:rsidR="0073666E" w:rsidRPr="0073666E">
        <w:rPr>
          <w:lang w:val="de-CH"/>
        </w:rPr>
        <w:t>l’encontre</w:t>
      </w:r>
      <w:proofErr w:type="spellEnd"/>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exerçant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fonction</w:t>
      </w:r>
      <w:proofErr w:type="spellEnd"/>
      <w:r w:rsidR="0073666E" w:rsidRPr="0073666E">
        <w:rPr>
          <w:lang w:val="de-CH"/>
        </w:rPr>
        <w:t xml:space="preserve"> au sein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autorité</w:t>
      </w:r>
      <w:proofErr w:type="spellEnd"/>
      <w:r w:rsidR="0073666E" w:rsidRPr="0073666E">
        <w:rPr>
          <w:lang w:val="de-CH"/>
        </w:rPr>
        <w:t xml:space="preserve"> </w:t>
      </w:r>
      <w:proofErr w:type="spellStart"/>
      <w:r w:rsidR="0073666E" w:rsidRPr="0073666E">
        <w:rPr>
          <w:lang w:val="de-CH"/>
        </w:rPr>
        <w:t>pénale</w:t>
      </w:r>
      <w:proofErr w:type="spellEnd"/>
      <w:r w:rsidR="0073666E" w:rsidRPr="0073666E">
        <w:rPr>
          <w:lang w:val="de-CH"/>
        </w:rPr>
        <w:t xml:space="preserve"> si </w:t>
      </w:r>
      <w:proofErr w:type="spellStart"/>
      <w:r w:rsidR="0073666E" w:rsidRPr="0073666E">
        <w:rPr>
          <w:lang w:val="de-CH"/>
        </w:rPr>
        <w:t>certains</w:t>
      </w:r>
      <w:proofErr w:type="spellEnd"/>
      <w:r w:rsidR="0073666E" w:rsidRPr="0073666E">
        <w:rPr>
          <w:lang w:val="de-CH"/>
        </w:rPr>
        <w:t xml:space="preserve"> </w:t>
      </w:r>
      <w:proofErr w:type="spellStart"/>
      <w:r w:rsidR="0073666E" w:rsidRPr="0073666E">
        <w:rPr>
          <w:lang w:val="de-CH"/>
        </w:rPr>
        <w:t>motifs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de </w:t>
      </w:r>
      <w:proofErr w:type="spellStart"/>
      <w:r w:rsidR="0073666E" w:rsidRPr="0073666E">
        <w:rPr>
          <w:lang w:val="de-CH"/>
        </w:rPr>
        <w:t>nature</w:t>
      </w:r>
      <w:proofErr w:type="spellEnd"/>
      <w:r w:rsidR="0073666E" w:rsidRPr="0073666E">
        <w:rPr>
          <w:lang w:val="de-CH"/>
        </w:rPr>
        <w:t xml:space="preserve"> à la rendre </w:t>
      </w:r>
      <w:proofErr w:type="spellStart"/>
      <w:r w:rsidR="0073666E" w:rsidRPr="0073666E">
        <w:rPr>
          <w:lang w:val="de-CH"/>
        </w:rPr>
        <w:t>suspecte</w:t>
      </w:r>
      <w:proofErr w:type="spellEnd"/>
      <w:r w:rsidR="0073666E" w:rsidRPr="0073666E">
        <w:rPr>
          <w:lang w:val="de-CH"/>
        </w:rPr>
        <w:t xml:space="preserve"> de </w:t>
      </w:r>
      <w:proofErr w:type="spellStart"/>
      <w:r w:rsidR="0073666E" w:rsidRPr="0073666E">
        <w:rPr>
          <w:lang w:val="de-CH"/>
        </w:rPr>
        <w:t>prévention</w:t>
      </w:r>
      <w:proofErr w:type="spellEnd"/>
      <w:r w:rsidR="0073666E" w:rsidRPr="0073666E">
        <w:rPr>
          <w:lang w:val="de-CH"/>
        </w:rPr>
        <w:t xml:space="preserve"> (art. 56 </w:t>
      </w:r>
      <w:proofErr w:type="spellStart"/>
      <w:r w:rsidR="0073666E" w:rsidRPr="0073666E">
        <w:rPr>
          <w:lang w:val="de-CH"/>
        </w:rPr>
        <w:t>ss</w:t>
      </w:r>
      <w:proofErr w:type="spellEnd"/>
      <w:r w:rsidR="0073666E" w:rsidRPr="0073666E">
        <w:rPr>
          <w:lang w:val="de-CH"/>
        </w:rPr>
        <w:t xml:space="preserve"> CPP). En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d’opposition</w:t>
      </w:r>
      <w:proofErr w:type="spellEnd"/>
      <w:r w:rsidR="0073666E" w:rsidRPr="0073666E">
        <w:rPr>
          <w:lang w:val="de-CH"/>
        </w:rPr>
        <w:t xml:space="preserve"> à la </w:t>
      </w:r>
      <w:proofErr w:type="spellStart"/>
      <w:r w:rsidR="0073666E" w:rsidRPr="0073666E">
        <w:rPr>
          <w:lang w:val="de-CH"/>
        </w:rPr>
        <w:t>demande</w:t>
      </w:r>
      <w:proofErr w:type="spellEnd"/>
      <w:r w:rsidR="0073666E" w:rsidRPr="0073666E">
        <w:rPr>
          <w:lang w:val="de-CH"/>
        </w:rPr>
        <w:t xml:space="preserve"> de </w:t>
      </w:r>
      <w:proofErr w:type="spellStart"/>
      <w:r w:rsidR="0073666E" w:rsidRPr="0073666E">
        <w:rPr>
          <w:lang w:val="de-CH"/>
        </w:rPr>
        <w:t>récusation</w:t>
      </w:r>
      <w:proofErr w:type="spellEnd"/>
      <w:r w:rsidR="0073666E" w:rsidRPr="0073666E">
        <w:rPr>
          <w:lang w:val="de-CH"/>
        </w:rPr>
        <w:t xml:space="preserve">, le </w:t>
      </w:r>
      <w:proofErr w:type="spellStart"/>
      <w:r w:rsidR="0073666E" w:rsidRPr="0073666E">
        <w:rPr>
          <w:lang w:val="de-CH"/>
        </w:rPr>
        <w:t>litige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tranché</w:t>
      </w:r>
      <w:proofErr w:type="spellEnd"/>
      <w:r w:rsidR="0073666E" w:rsidRPr="0073666E">
        <w:rPr>
          <w:lang w:val="de-CH"/>
        </w:rPr>
        <w:t xml:space="preserve"> par le </w:t>
      </w:r>
      <w:proofErr w:type="spellStart"/>
      <w:r w:rsidR="0073666E" w:rsidRPr="0073666E">
        <w:rPr>
          <w:lang w:val="de-CH"/>
        </w:rPr>
        <w:t>ministère</w:t>
      </w:r>
      <w:proofErr w:type="spellEnd"/>
      <w:r w:rsidR="0073666E" w:rsidRPr="0073666E">
        <w:rPr>
          <w:lang w:val="de-CH"/>
        </w:rPr>
        <w:t xml:space="preserve"> </w:t>
      </w:r>
      <w:proofErr w:type="spellStart"/>
      <w:r w:rsidR="0073666E" w:rsidRPr="0073666E">
        <w:rPr>
          <w:lang w:val="de-CH"/>
        </w:rPr>
        <w:t>public</w:t>
      </w:r>
      <w:proofErr w:type="spellEnd"/>
      <w:r w:rsidR="0073666E" w:rsidRPr="0073666E">
        <w:rPr>
          <w:lang w:val="de-CH"/>
        </w:rPr>
        <w:t xml:space="preserve"> </w:t>
      </w:r>
      <w:proofErr w:type="spellStart"/>
      <w:r w:rsidR="0073666E" w:rsidRPr="0073666E">
        <w:rPr>
          <w:lang w:val="de-CH"/>
        </w:rPr>
        <w:t>lorsque</w:t>
      </w:r>
      <w:proofErr w:type="spellEnd"/>
      <w:r w:rsidR="0073666E" w:rsidRPr="0073666E">
        <w:rPr>
          <w:lang w:val="de-CH"/>
        </w:rPr>
        <w:t xml:space="preserve"> la </w:t>
      </w:r>
      <w:proofErr w:type="spellStart"/>
      <w:r w:rsidR="0073666E" w:rsidRPr="0073666E">
        <w:rPr>
          <w:lang w:val="de-CH"/>
        </w:rPr>
        <w:t>police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concernée</w:t>
      </w:r>
      <w:proofErr w:type="spellEnd"/>
      <w:r w:rsidR="0073666E" w:rsidRPr="0073666E">
        <w:rPr>
          <w:lang w:val="de-CH"/>
        </w:rPr>
        <w:t xml:space="preserve"> (art. 59, al. 1, </w:t>
      </w:r>
      <w:proofErr w:type="spellStart"/>
      <w:r w:rsidR="0073666E" w:rsidRPr="0073666E">
        <w:rPr>
          <w:lang w:val="de-CH"/>
        </w:rPr>
        <w:t>let</w:t>
      </w:r>
      <w:proofErr w:type="spellEnd"/>
      <w:r w:rsidR="0073666E" w:rsidRPr="0073666E">
        <w:rPr>
          <w:lang w:val="de-CH"/>
        </w:rPr>
        <w:t xml:space="preserve">. a, CPP).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prétendument</w:t>
      </w:r>
      <w:proofErr w:type="spellEnd"/>
      <w:r w:rsidR="0073666E" w:rsidRPr="0073666E">
        <w:rPr>
          <w:lang w:val="de-CH"/>
        </w:rPr>
        <w:t xml:space="preserve"> </w:t>
      </w:r>
      <w:proofErr w:type="spellStart"/>
      <w:r w:rsidR="0073666E" w:rsidRPr="0073666E">
        <w:rPr>
          <w:lang w:val="de-CH"/>
        </w:rPr>
        <w:t>lésée</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adresser</w:t>
      </w:r>
      <w:proofErr w:type="spellEnd"/>
      <w:r w:rsidR="0073666E" w:rsidRPr="0073666E">
        <w:rPr>
          <w:lang w:val="de-CH"/>
        </w:rPr>
        <w:t xml:space="preserve"> </w:t>
      </w:r>
      <w:proofErr w:type="spellStart"/>
      <w:r w:rsidR="0073666E" w:rsidRPr="0073666E">
        <w:rPr>
          <w:lang w:val="de-CH"/>
        </w:rPr>
        <w:t>sa</w:t>
      </w:r>
      <w:proofErr w:type="spellEnd"/>
      <w:r w:rsidR="0073666E" w:rsidRPr="0073666E">
        <w:rPr>
          <w:lang w:val="de-CH"/>
        </w:rPr>
        <w:t xml:space="preserve"> </w:t>
      </w:r>
      <w:proofErr w:type="spellStart"/>
      <w:r w:rsidR="0073666E" w:rsidRPr="0073666E">
        <w:rPr>
          <w:lang w:val="de-CH"/>
        </w:rPr>
        <w:t>plainte</w:t>
      </w:r>
      <w:proofErr w:type="spellEnd"/>
      <w:r w:rsidR="0073666E" w:rsidRPr="0073666E">
        <w:rPr>
          <w:lang w:val="de-CH"/>
        </w:rPr>
        <w:t xml:space="preserve"> </w:t>
      </w:r>
      <w:proofErr w:type="spellStart"/>
      <w:r w:rsidR="0073666E" w:rsidRPr="0073666E">
        <w:rPr>
          <w:lang w:val="de-CH"/>
        </w:rPr>
        <w:t>directement</w:t>
      </w:r>
      <w:proofErr w:type="spellEnd"/>
      <w:r w:rsidR="0073666E" w:rsidRPr="0073666E">
        <w:rPr>
          <w:lang w:val="de-CH"/>
        </w:rPr>
        <w:t xml:space="preserve"> au </w:t>
      </w:r>
      <w:proofErr w:type="spellStart"/>
      <w:r w:rsidR="0073666E" w:rsidRPr="0073666E">
        <w:rPr>
          <w:lang w:val="de-CH"/>
        </w:rPr>
        <w:t>ministère</w:t>
      </w:r>
      <w:proofErr w:type="spellEnd"/>
      <w:r w:rsidR="0073666E" w:rsidRPr="0073666E">
        <w:rPr>
          <w:lang w:val="de-CH"/>
        </w:rPr>
        <w:t xml:space="preserve"> </w:t>
      </w:r>
      <w:proofErr w:type="spellStart"/>
      <w:r w:rsidR="0073666E" w:rsidRPr="0073666E">
        <w:rPr>
          <w:lang w:val="de-CH"/>
        </w:rPr>
        <w:t>public</w:t>
      </w:r>
      <w:proofErr w:type="spellEnd"/>
      <w:r w:rsidR="0073666E" w:rsidRPr="0073666E">
        <w:rPr>
          <w:lang w:val="de-CH"/>
        </w:rPr>
        <w:t xml:space="preserve"> (art. 301 CPP). </w:t>
      </w:r>
      <w:proofErr w:type="spellStart"/>
      <w:r w:rsidR="0073666E" w:rsidRPr="0073666E">
        <w:rPr>
          <w:lang w:val="de-CH"/>
        </w:rPr>
        <w:t>Aucun</w:t>
      </w:r>
      <w:proofErr w:type="spellEnd"/>
      <w:r w:rsidR="0073666E" w:rsidRPr="0073666E">
        <w:rPr>
          <w:lang w:val="de-CH"/>
        </w:rPr>
        <w:t xml:space="preserve"> </w:t>
      </w:r>
      <w:proofErr w:type="spellStart"/>
      <w:r w:rsidR="0073666E" w:rsidRPr="0073666E">
        <w:rPr>
          <w:lang w:val="de-CH"/>
        </w:rPr>
        <w:t>dénonciateur</w:t>
      </w:r>
      <w:proofErr w:type="spellEnd"/>
      <w:r w:rsidR="0073666E" w:rsidRPr="0073666E">
        <w:rPr>
          <w:lang w:val="de-CH"/>
        </w:rPr>
        <w:t xml:space="preserve"> </w:t>
      </w:r>
      <w:proofErr w:type="spellStart"/>
      <w:r w:rsidR="0073666E" w:rsidRPr="0073666E">
        <w:rPr>
          <w:lang w:val="de-CH"/>
        </w:rPr>
        <w:t>n’est</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tenu</w:t>
      </w:r>
      <w:proofErr w:type="spellEnd"/>
      <w:r w:rsidR="0073666E" w:rsidRPr="0073666E">
        <w:rPr>
          <w:lang w:val="de-CH"/>
        </w:rPr>
        <w:t xml:space="preserve"> de </w:t>
      </w:r>
      <w:proofErr w:type="spellStart"/>
      <w:r w:rsidR="0073666E" w:rsidRPr="0073666E">
        <w:rPr>
          <w:lang w:val="de-CH"/>
        </w:rPr>
        <w:t>passer</w:t>
      </w:r>
      <w:proofErr w:type="spellEnd"/>
      <w:r w:rsidR="0073666E" w:rsidRPr="0073666E">
        <w:rPr>
          <w:lang w:val="de-CH"/>
        </w:rPr>
        <w:t xml:space="preserve"> par la </w:t>
      </w:r>
      <w:proofErr w:type="spellStart"/>
      <w:r w:rsidR="0073666E" w:rsidRPr="0073666E">
        <w:rPr>
          <w:lang w:val="de-CH"/>
        </w:rPr>
        <w:t>police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pénales</w:t>
      </w:r>
      <w:proofErr w:type="spellEnd"/>
      <w:r w:rsidR="0073666E" w:rsidRPr="0073666E">
        <w:rPr>
          <w:lang w:val="de-CH"/>
        </w:rPr>
        <w:t xml:space="preserve"> (y </w:t>
      </w:r>
      <w:proofErr w:type="spellStart"/>
      <w:r w:rsidR="0073666E" w:rsidRPr="0073666E">
        <w:rPr>
          <w:lang w:val="de-CH"/>
        </w:rPr>
        <w:t>compris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policiers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constatent</w:t>
      </w:r>
      <w:proofErr w:type="spellEnd"/>
      <w:r w:rsidR="0073666E" w:rsidRPr="0073666E">
        <w:rPr>
          <w:lang w:val="de-CH"/>
        </w:rPr>
        <w:t xml:space="preserve"> des </w:t>
      </w:r>
      <w:proofErr w:type="spellStart"/>
      <w:r w:rsidR="0073666E" w:rsidRPr="0073666E">
        <w:rPr>
          <w:lang w:val="de-CH"/>
        </w:rPr>
        <w:t>infractions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l’exercice</w:t>
      </w:r>
      <w:proofErr w:type="spellEnd"/>
      <w:r w:rsidR="0073666E" w:rsidRPr="0073666E">
        <w:rPr>
          <w:lang w:val="de-CH"/>
        </w:rPr>
        <w:t xml:space="preserve"> de </w:t>
      </w:r>
      <w:proofErr w:type="spellStart"/>
      <w:r w:rsidR="0073666E" w:rsidRPr="0073666E">
        <w:rPr>
          <w:lang w:val="de-CH"/>
        </w:rPr>
        <w:t>leurs</w:t>
      </w:r>
      <w:proofErr w:type="spellEnd"/>
      <w:r w:rsidR="0073666E" w:rsidRPr="0073666E">
        <w:rPr>
          <w:lang w:val="de-CH"/>
        </w:rPr>
        <w:t xml:space="preserve"> </w:t>
      </w:r>
      <w:proofErr w:type="spellStart"/>
      <w:r w:rsidR="0073666E" w:rsidRPr="0073666E">
        <w:rPr>
          <w:lang w:val="de-CH"/>
        </w:rPr>
        <w:t>fonctions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l’obligation</w:t>
      </w:r>
      <w:proofErr w:type="spellEnd"/>
      <w:r w:rsidR="0073666E" w:rsidRPr="0073666E">
        <w:rPr>
          <w:lang w:val="de-CH"/>
        </w:rPr>
        <w:t xml:space="preserve"> de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dénoncer</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compétentes</w:t>
      </w:r>
      <w:proofErr w:type="spellEnd"/>
      <w:r w:rsidR="0073666E" w:rsidRPr="0073666E">
        <w:rPr>
          <w:lang w:val="de-CH"/>
        </w:rPr>
        <w:t xml:space="preserve"> (art. 302 CPP).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parties</w:t>
      </w:r>
      <w:proofErr w:type="spellEnd"/>
      <w:r w:rsidR="0073666E" w:rsidRPr="0073666E">
        <w:rPr>
          <w:lang w:val="de-CH"/>
        </w:rPr>
        <w:t xml:space="preserve"> </w:t>
      </w:r>
      <w:proofErr w:type="spellStart"/>
      <w:r w:rsidR="0073666E" w:rsidRPr="0073666E">
        <w:rPr>
          <w:lang w:val="de-CH"/>
        </w:rPr>
        <w:t>peuvent</w:t>
      </w:r>
      <w:proofErr w:type="spellEnd"/>
      <w:r w:rsidR="0073666E" w:rsidRPr="0073666E">
        <w:rPr>
          <w:lang w:val="de-CH"/>
        </w:rPr>
        <w:t xml:space="preserve"> faire </w:t>
      </w:r>
      <w:proofErr w:type="spellStart"/>
      <w:r w:rsidR="0073666E" w:rsidRPr="0073666E">
        <w:rPr>
          <w:lang w:val="de-CH"/>
        </w:rPr>
        <w:t>recours</w:t>
      </w:r>
      <w:proofErr w:type="spellEnd"/>
      <w:r w:rsidR="0073666E" w:rsidRPr="0073666E">
        <w:rPr>
          <w:lang w:val="de-CH"/>
        </w:rPr>
        <w:t xml:space="preserve"> contre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décisions</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actes</w:t>
      </w:r>
      <w:proofErr w:type="spellEnd"/>
      <w:r w:rsidR="0073666E" w:rsidRPr="0073666E">
        <w:rPr>
          <w:lang w:val="de-CH"/>
        </w:rPr>
        <w:t xml:space="preserve"> de </w:t>
      </w:r>
      <w:proofErr w:type="spellStart"/>
      <w:r w:rsidR="0073666E" w:rsidRPr="0073666E">
        <w:rPr>
          <w:lang w:val="de-CH"/>
        </w:rPr>
        <w:t>procédure</w:t>
      </w:r>
      <w:proofErr w:type="spellEnd"/>
      <w:r w:rsidR="0073666E" w:rsidRPr="0073666E">
        <w:rPr>
          <w:lang w:val="de-CH"/>
        </w:rPr>
        <w:t xml:space="preserve"> de la </w:t>
      </w:r>
      <w:proofErr w:type="spellStart"/>
      <w:r w:rsidR="0073666E" w:rsidRPr="0073666E">
        <w:rPr>
          <w:lang w:val="de-CH"/>
        </w:rPr>
        <w:t>police</w:t>
      </w:r>
      <w:proofErr w:type="spellEnd"/>
      <w:r w:rsidR="0073666E" w:rsidRPr="0073666E">
        <w:rPr>
          <w:lang w:val="de-CH"/>
        </w:rPr>
        <w:t xml:space="preserve"> et du </w:t>
      </w:r>
      <w:proofErr w:type="spellStart"/>
      <w:r w:rsidR="0073666E" w:rsidRPr="0073666E">
        <w:rPr>
          <w:lang w:val="de-CH"/>
        </w:rPr>
        <w:t>ministère</w:t>
      </w:r>
      <w:proofErr w:type="spellEnd"/>
      <w:r w:rsidR="0073666E" w:rsidRPr="0073666E">
        <w:rPr>
          <w:lang w:val="de-CH"/>
        </w:rPr>
        <w:t xml:space="preserve"> </w:t>
      </w:r>
      <w:proofErr w:type="spellStart"/>
      <w:r w:rsidR="0073666E" w:rsidRPr="0073666E">
        <w:rPr>
          <w:lang w:val="de-CH"/>
        </w:rPr>
        <w:t>public</w:t>
      </w:r>
      <w:proofErr w:type="spellEnd"/>
      <w:r w:rsidR="0073666E" w:rsidRPr="0073666E">
        <w:rPr>
          <w:lang w:val="de-CH"/>
        </w:rPr>
        <w:t xml:space="preserve"> (art. 393 CPP).</w:t>
      </w:r>
    </w:p>
    <w:p w14:paraId="0DACED65" w14:textId="77777777" w:rsidR="0073666E" w:rsidRPr="0073666E" w:rsidRDefault="00E76E99" w:rsidP="00E76E99">
      <w:pPr>
        <w:pStyle w:val="SingleTxtG"/>
      </w:pPr>
      <w:r>
        <w:t>132.</w:t>
      </w:r>
      <w:r>
        <w:tab/>
      </w:r>
      <w:r w:rsidR="0073666E" w:rsidRPr="0073666E">
        <w:t>Afin de renforcer ces garanties, certains cantons ont adopté des mesures supplémentaires comme, par exemple, le fait de confier les auditions exclusivement à des représentants du ministère public, à un officier d’un autre corps de police que celui concerné par l’affaire ou encore, comme à GE, à un corps de police spécialement affecté à ce type d’affaires (Inspection générale des services [IGS]).</w:t>
      </w:r>
    </w:p>
    <w:p w14:paraId="3E1BF22A" w14:textId="77777777" w:rsidR="0073666E" w:rsidRPr="0073666E" w:rsidRDefault="00E76E99" w:rsidP="00E76E99">
      <w:pPr>
        <w:pStyle w:val="SingleTxtG"/>
        <w:rPr>
          <w:lang w:val="de-CH"/>
        </w:rPr>
      </w:pPr>
      <w:r>
        <w:t>133.</w:t>
      </w:r>
      <w:r>
        <w:tab/>
      </w:r>
      <w:r w:rsidR="0073666E" w:rsidRPr="0073666E">
        <w:t xml:space="preserve">Enfin, d’autres cantons ont mis sur pied des mécanismes alternatifs à ceux prévus par la procédure pénale pour gérer les plaintes dirigées contre les fonctionnaires de police. </w:t>
      </w:r>
      <w:proofErr w:type="spellStart"/>
      <w:r w:rsidR="0073666E" w:rsidRPr="0073666E">
        <w:rPr>
          <w:lang w:val="de-CH"/>
        </w:rPr>
        <w:t>Ainsi</w:t>
      </w:r>
      <w:proofErr w:type="spellEnd"/>
      <w:r w:rsidR="0073666E" w:rsidRPr="0073666E">
        <w:rPr>
          <w:lang w:val="de-CH"/>
        </w:rPr>
        <w:t xml:space="preserve">, par exemple,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de ZH, VD, BS, BL et ZG </w:t>
      </w:r>
      <w:proofErr w:type="spellStart"/>
      <w:r w:rsidR="0073666E" w:rsidRPr="0073666E">
        <w:rPr>
          <w:lang w:val="de-CH"/>
        </w:rPr>
        <w:t>disposent</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bureau</w:t>
      </w:r>
      <w:proofErr w:type="spellEnd"/>
      <w:r w:rsidR="0073666E" w:rsidRPr="0073666E">
        <w:rPr>
          <w:lang w:val="de-CH"/>
        </w:rPr>
        <w:t xml:space="preserve"> de </w:t>
      </w:r>
      <w:proofErr w:type="spellStart"/>
      <w:r w:rsidR="0073666E" w:rsidRPr="0073666E">
        <w:rPr>
          <w:lang w:val="de-CH"/>
        </w:rPr>
        <w:t>médiation</w:t>
      </w:r>
      <w:proofErr w:type="spellEnd"/>
      <w:r w:rsidR="0073666E" w:rsidRPr="0073666E">
        <w:rPr>
          <w:lang w:val="de-CH"/>
        </w:rPr>
        <w:t xml:space="preserve">. De </w:t>
      </w:r>
      <w:proofErr w:type="spellStart"/>
      <w:r w:rsidR="0073666E" w:rsidRPr="0073666E">
        <w:rPr>
          <w:lang w:val="de-CH"/>
        </w:rPr>
        <w:t>même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villes</w:t>
      </w:r>
      <w:proofErr w:type="spellEnd"/>
      <w:r w:rsidR="0073666E" w:rsidRPr="0073666E">
        <w:rPr>
          <w:lang w:val="de-CH"/>
        </w:rPr>
        <w:t xml:space="preserve"> de Berne, Lucerne, Saint-</w:t>
      </w:r>
      <w:proofErr w:type="spellStart"/>
      <w:r w:rsidR="0073666E" w:rsidRPr="0073666E">
        <w:rPr>
          <w:lang w:val="de-CH"/>
        </w:rPr>
        <w:t>Gall</w:t>
      </w:r>
      <w:proofErr w:type="spellEnd"/>
      <w:r w:rsidR="0073666E" w:rsidRPr="0073666E">
        <w:rPr>
          <w:lang w:val="de-CH"/>
        </w:rPr>
        <w:t xml:space="preserve">, Rapperswil-Jona, Wallisellen, Winterthur et </w:t>
      </w:r>
      <w:proofErr w:type="spellStart"/>
      <w:r w:rsidR="0073666E" w:rsidRPr="0073666E">
        <w:rPr>
          <w:lang w:val="de-CH"/>
        </w:rPr>
        <w:t>Zurich</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existe</w:t>
      </w:r>
      <w:proofErr w:type="spellEnd"/>
      <w:r w:rsidR="0073666E" w:rsidRPr="0073666E">
        <w:rPr>
          <w:lang w:val="de-CH"/>
        </w:rPr>
        <w:t xml:space="preserve"> des </w:t>
      </w:r>
      <w:proofErr w:type="spellStart"/>
      <w:r w:rsidR="0073666E" w:rsidRPr="0073666E">
        <w:rPr>
          <w:lang w:val="de-CH"/>
        </w:rPr>
        <w:t>services</w:t>
      </w:r>
      <w:proofErr w:type="spellEnd"/>
      <w:r w:rsidR="0073666E" w:rsidRPr="0073666E">
        <w:rPr>
          <w:lang w:val="de-CH"/>
        </w:rPr>
        <w:t xml:space="preserve"> </w:t>
      </w:r>
      <w:proofErr w:type="spellStart"/>
      <w:r w:rsidR="0073666E" w:rsidRPr="0073666E">
        <w:rPr>
          <w:lang w:val="de-CH"/>
        </w:rPr>
        <w:t>d’ombudsman</w:t>
      </w:r>
      <w:proofErr w:type="spellEnd"/>
      <w:r w:rsidR="0073666E" w:rsidRPr="0073666E">
        <w:rPr>
          <w:lang w:val="de-CH"/>
        </w:rPr>
        <w:t xml:space="preserve"> </w:t>
      </w:r>
      <w:proofErr w:type="spellStart"/>
      <w:r w:rsidR="0073666E" w:rsidRPr="0073666E">
        <w:rPr>
          <w:lang w:val="de-CH"/>
        </w:rPr>
        <w:t>communaux</w:t>
      </w:r>
      <w:proofErr w:type="spellEnd"/>
      <w:r w:rsidR="0073666E" w:rsidRPr="0073666E">
        <w:rPr>
          <w:lang w:val="de-CH"/>
        </w:rPr>
        <w:t>.</w:t>
      </w:r>
    </w:p>
    <w:p w14:paraId="5126111F" w14:textId="77777777" w:rsidR="0073666E" w:rsidRPr="0073666E" w:rsidRDefault="00E76E99" w:rsidP="00E76E99">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D641C5">
        <w:rPr>
          <w:lang w:val="fr-FR"/>
        </w:rPr>
        <w:t>à la question posée</w:t>
      </w:r>
      <w:r w:rsidR="00D641C5">
        <w:rPr>
          <w:lang w:val="de-CH"/>
        </w:rPr>
        <w:t xml:space="preserve"> </w:t>
      </w:r>
      <w:r>
        <w:rPr>
          <w:lang w:val="de-CH"/>
        </w:rPr>
        <w:t xml:space="preserve">au </w:t>
      </w:r>
      <w:proofErr w:type="spellStart"/>
      <w:r>
        <w:rPr>
          <w:lang w:val="de-CH"/>
        </w:rPr>
        <w:t>paragraphe</w:t>
      </w:r>
      <w:proofErr w:type="spellEnd"/>
      <w:r>
        <w:rPr>
          <w:lang w:val="de-CH"/>
        </w:rPr>
        <w:t xml:space="preserve"> 23</w:t>
      </w:r>
      <w:r>
        <w:t xml:space="preserve"> </w:t>
      </w:r>
    </w:p>
    <w:p w14:paraId="3C6BA043" w14:textId="77777777" w:rsidR="0073666E" w:rsidRPr="00E76E99" w:rsidRDefault="00E76E99" w:rsidP="00E76E99">
      <w:pPr>
        <w:pStyle w:val="SingleTxtG"/>
      </w:pPr>
      <w:r>
        <w:rPr>
          <w:lang w:val="de-CH"/>
        </w:rPr>
        <w:t>134.</w:t>
      </w:r>
      <w:r>
        <w:rPr>
          <w:lang w:val="de-CH"/>
        </w:rPr>
        <w:tab/>
      </w:r>
      <w:proofErr w:type="spellStart"/>
      <w:r w:rsidR="0073666E" w:rsidRPr="0073666E">
        <w:rPr>
          <w:lang w:val="de-CH"/>
        </w:rPr>
        <w:t>Concernant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statistiques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w:t>
      </w:r>
      <w:proofErr w:type="spellStart"/>
      <w:r w:rsidR="0073666E" w:rsidRPr="0073666E">
        <w:rPr>
          <w:lang w:val="de-CH"/>
        </w:rPr>
        <w:t>nombre</w:t>
      </w:r>
      <w:proofErr w:type="spellEnd"/>
      <w:r w:rsidR="0073666E" w:rsidRPr="0073666E">
        <w:rPr>
          <w:lang w:val="de-CH"/>
        </w:rPr>
        <w:t xml:space="preserve"> de </w:t>
      </w:r>
      <w:proofErr w:type="spellStart"/>
      <w:r w:rsidR="0073666E" w:rsidRPr="0073666E">
        <w:rPr>
          <w:lang w:val="de-CH"/>
        </w:rPr>
        <w:t>plaintes</w:t>
      </w:r>
      <w:proofErr w:type="spellEnd"/>
      <w:r w:rsidR="0073666E" w:rsidRPr="0073666E">
        <w:rPr>
          <w:lang w:val="de-CH"/>
        </w:rPr>
        <w:t xml:space="preserve"> </w:t>
      </w:r>
      <w:proofErr w:type="spellStart"/>
      <w:r w:rsidR="0073666E" w:rsidRPr="0073666E">
        <w:rPr>
          <w:lang w:val="de-CH"/>
        </w:rPr>
        <w:t>déposées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 </w:t>
      </w:r>
      <w:proofErr w:type="spellStart"/>
      <w:r w:rsidR="0073666E" w:rsidRPr="0073666E">
        <w:rPr>
          <w:lang w:val="de-CH"/>
        </w:rPr>
        <w:t>rapports</w:t>
      </w:r>
      <w:proofErr w:type="spellEnd"/>
      <w:r w:rsidR="0073666E" w:rsidRPr="0073666E">
        <w:rPr>
          <w:lang w:val="de-CH"/>
        </w:rPr>
        <w:t xml:space="preserve"> de </w:t>
      </w:r>
      <w:proofErr w:type="spellStart"/>
      <w:r w:rsidR="0073666E" w:rsidRPr="0073666E">
        <w:rPr>
          <w:lang w:val="de-CH"/>
        </w:rPr>
        <w:t>police</w:t>
      </w:r>
      <w:proofErr w:type="spellEnd"/>
      <w:r w:rsidR="0073666E" w:rsidRPr="0073666E">
        <w:rPr>
          <w:lang w:val="de-CH"/>
        </w:rPr>
        <w:t xml:space="preserve"> </w:t>
      </w:r>
      <w:proofErr w:type="spellStart"/>
      <w:r w:rsidR="0073666E" w:rsidRPr="0073666E">
        <w:rPr>
          <w:lang w:val="de-CH"/>
        </w:rPr>
        <w:t>rédigés</w:t>
      </w:r>
      <w:proofErr w:type="spellEnd"/>
      <w:r w:rsidR="0073666E" w:rsidRPr="0073666E">
        <w:rPr>
          <w:lang w:val="de-CH"/>
        </w:rPr>
        <w:t xml:space="preserve"> </w:t>
      </w:r>
      <w:proofErr w:type="spellStart"/>
      <w:r w:rsidR="0073666E" w:rsidRPr="0073666E">
        <w:rPr>
          <w:lang w:val="de-CH"/>
        </w:rPr>
        <w:t>concernant</w:t>
      </w:r>
      <w:proofErr w:type="spellEnd"/>
      <w:r w:rsidR="0073666E" w:rsidRPr="0073666E">
        <w:rPr>
          <w:lang w:val="de-CH"/>
        </w:rPr>
        <w:t xml:space="preserve"> des </w:t>
      </w:r>
      <w:proofErr w:type="spellStart"/>
      <w:r w:rsidR="0073666E" w:rsidRPr="0073666E">
        <w:rPr>
          <w:lang w:val="de-CH"/>
        </w:rPr>
        <w:t>infractions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auraient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commises</w:t>
      </w:r>
      <w:proofErr w:type="spellEnd"/>
      <w:r w:rsidR="0073666E" w:rsidRPr="0073666E">
        <w:rPr>
          <w:lang w:val="de-CH"/>
        </w:rPr>
        <w:t xml:space="preserve"> par des </w:t>
      </w:r>
      <w:proofErr w:type="spellStart"/>
      <w:r w:rsidR="0073666E" w:rsidRPr="0073666E">
        <w:rPr>
          <w:lang w:val="de-CH"/>
        </w:rPr>
        <w:t>policiers</w:t>
      </w:r>
      <w:proofErr w:type="spellEnd"/>
      <w:r w:rsidR="0073666E" w:rsidRPr="0073666E">
        <w:rPr>
          <w:lang w:val="de-CH"/>
        </w:rPr>
        <w:t xml:space="preserve">, le </w:t>
      </w:r>
      <w:proofErr w:type="spellStart"/>
      <w:r w:rsidR="0073666E" w:rsidRPr="0073666E">
        <w:rPr>
          <w:lang w:val="de-CH"/>
        </w:rPr>
        <w:t>canton</w:t>
      </w:r>
      <w:proofErr w:type="spellEnd"/>
      <w:r w:rsidR="0073666E" w:rsidRPr="0073666E">
        <w:rPr>
          <w:lang w:val="de-CH"/>
        </w:rPr>
        <w:t xml:space="preserve"> de SO </w:t>
      </w:r>
      <w:proofErr w:type="spellStart"/>
      <w:r w:rsidR="0073666E" w:rsidRPr="0073666E">
        <w:rPr>
          <w:lang w:val="de-CH"/>
        </w:rPr>
        <w:t>dénombre</w:t>
      </w:r>
      <w:proofErr w:type="spellEnd"/>
      <w:r w:rsidR="0073666E" w:rsidRPr="0073666E">
        <w:rPr>
          <w:lang w:val="de-CH"/>
        </w:rPr>
        <w:t xml:space="preserve"> </w:t>
      </w:r>
      <w:proofErr w:type="spellStart"/>
      <w:r w:rsidR="0073666E" w:rsidRPr="0073666E">
        <w:rPr>
          <w:lang w:val="de-CH"/>
        </w:rPr>
        <w:t>neuf</w:t>
      </w:r>
      <w:proofErr w:type="spellEnd"/>
      <w:r w:rsidR="0073666E" w:rsidRPr="0073666E">
        <w:rPr>
          <w:lang w:val="de-CH"/>
        </w:rPr>
        <w:t xml:space="preserve"> </w:t>
      </w:r>
      <w:r w:rsidR="0073666E" w:rsidRPr="00E76E99">
        <w:t xml:space="preserve">plaintes depuis 2015 pour abus d’autorité, lésions corporelles </w:t>
      </w:r>
      <w:r w:rsidR="0073666E" w:rsidRPr="00E76E99">
        <w:lastRenderedPageBreak/>
        <w:t xml:space="preserve">simples, injure ou discrimination. Ces cas ne sont en aucune façon assimilables à des actes de torture ou de mauvais traitements graves ou inhumains. Aucune procédure en lien avec des actes de torture ou assimilables à de la torture n’a été ouverte. </w:t>
      </w:r>
    </w:p>
    <w:p w14:paraId="07F0078E" w14:textId="77777777" w:rsidR="0073666E" w:rsidRPr="00E76E99" w:rsidRDefault="00E76E99" w:rsidP="00E76E99">
      <w:pPr>
        <w:pStyle w:val="SingleTxtG"/>
      </w:pPr>
      <w:r>
        <w:t>135.</w:t>
      </w:r>
      <w:r>
        <w:tab/>
      </w:r>
      <w:r w:rsidR="0073666E" w:rsidRPr="00E76E99">
        <w:t xml:space="preserve">A SG, 34 plaintes ont été formulées contre la police pour usage disproportionné de la force ou mauvais traitements. Parmi ces cas, trois ont eu lieu au sein d’un établissement d’exécution des peines et un dans le cadre d’une appréhension suite à une évasion. Une procédure pénale a été ouverte dans deux de ces quatre cas (victime 1: </w:t>
      </w:r>
      <w:proofErr w:type="spellStart"/>
      <w:r w:rsidR="0073666E" w:rsidRPr="00E76E99">
        <w:t>Erythrée</w:t>
      </w:r>
      <w:proofErr w:type="spellEnd"/>
      <w:r w:rsidR="0073666E" w:rsidRPr="00E76E99">
        <w:t xml:space="preserve">, 15 ans, femme / victime 2: Italie, 15 ans, homme). Les deux procédures ont ensuite été classées sans suite. </w:t>
      </w:r>
    </w:p>
    <w:p w14:paraId="1E5E8491" w14:textId="77777777" w:rsidR="0073666E" w:rsidRPr="00E76E99" w:rsidRDefault="00E76E99" w:rsidP="00E76E99">
      <w:pPr>
        <w:pStyle w:val="SingleTxtG"/>
      </w:pPr>
      <w:r>
        <w:t>136.</w:t>
      </w:r>
      <w:r>
        <w:tab/>
      </w:r>
      <w:r w:rsidR="0073666E" w:rsidRPr="00E76E99">
        <w:t xml:space="preserve">AG fait état d’un cas pour abus d’autorité en 2016. La plainte, déposée par une personne originaire de la République dominicaine, a été instruite par le ministère public. </w:t>
      </w:r>
    </w:p>
    <w:p w14:paraId="2B106813" w14:textId="77777777" w:rsidR="0073666E" w:rsidRPr="0073666E" w:rsidRDefault="00E76E99" w:rsidP="00E76E99">
      <w:pPr>
        <w:pStyle w:val="SingleTxtG"/>
        <w:rPr>
          <w:lang w:val="de-CH"/>
        </w:rPr>
      </w:pPr>
      <w:r>
        <w:t>137.</w:t>
      </w:r>
      <w:r>
        <w:tab/>
      </w:r>
      <w:r w:rsidR="0073666E" w:rsidRPr="00E76E99">
        <w:t>A TG, une plainte a été formulée par un Suisse et une Allemande en 2015 contre deux policiers et une policière pour</w:t>
      </w:r>
      <w:r w:rsidR="0073666E" w:rsidRPr="0073666E">
        <w:t xml:space="preserve"> abus d’autorité, violation de domicile et lésions corporelles simples.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plainte</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transmise</w:t>
      </w:r>
      <w:proofErr w:type="spellEnd"/>
      <w:r w:rsidR="0073666E" w:rsidRPr="0073666E">
        <w:rPr>
          <w:lang w:val="de-CH"/>
        </w:rPr>
        <w:t xml:space="preserve"> au </w:t>
      </w:r>
      <w:proofErr w:type="spellStart"/>
      <w:r w:rsidR="0073666E" w:rsidRPr="0073666E">
        <w:rPr>
          <w:lang w:val="de-CH"/>
        </w:rPr>
        <w:t>procureur</w:t>
      </w:r>
      <w:proofErr w:type="spellEnd"/>
      <w:r w:rsidR="0073666E" w:rsidRPr="0073666E">
        <w:rPr>
          <w:lang w:val="de-CH"/>
        </w:rPr>
        <w:t xml:space="preserve"> </w:t>
      </w:r>
      <w:proofErr w:type="spellStart"/>
      <w:r w:rsidR="0073666E" w:rsidRPr="0073666E">
        <w:rPr>
          <w:lang w:val="de-CH"/>
        </w:rPr>
        <w:t>général</w:t>
      </w:r>
      <w:proofErr w:type="spellEnd"/>
      <w:r w:rsidR="0073666E" w:rsidRPr="0073666E">
        <w:rPr>
          <w:lang w:val="de-CH"/>
        </w:rPr>
        <w:t xml:space="preserve"> par la </w:t>
      </w:r>
      <w:proofErr w:type="spellStart"/>
      <w:r w:rsidR="0073666E" w:rsidRPr="0073666E">
        <w:rPr>
          <w:lang w:val="de-CH"/>
        </w:rPr>
        <w:t>police</w:t>
      </w:r>
      <w:proofErr w:type="spellEnd"/>
      <w:r w:rsidR="0073666E" w:rsidRPr="0073666E">
        <w:rPr>
          <w:lang w:val="de-CH"/>
        </w:rPr>
        <w:t xml:space="preserve"> </w:t>
      </w:r>
      <w:proofErr w:type="spellStart"/>
      <w:r w:rsidR="0073666E" w:rsidRPr="0073666E">
        <w:rPr>
          <w:lang w:val="de-CH"/>
        </w:rPr>
        <w:t>cantonale</w:t>
      </w:r>
      <w:proofErr w:type="spellEnd"/>
      <w:r w:rsidR="00556A55">
        <w:rPr>
          <w:lang w:val="de-CH"/>
        </w:rPr>
        <w:t> </w:t>
      </w:r>
      <w:r w:rsidR="0073666E" w:rsidRPr="0073666E">
        <w:rPr>
          <w:lang w:val="de-CH"/>
        </w:rPr>
        <w:t xml:space="preserve">; </w:t>
      </w:r>
      <w:proofErr w:type="spellStart"/>
      <w:r w:rsidR="0073666E" w:rsidRPr="0073666E">
        <w:rPr>
          <w:lang w:val="de-CH"/>
        </w:rPr>
        <w:t>elle</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classée</w:t>
      </w:r>
      <w:proofErr w:type="spellEnd"/>
      <w:r w:rsidR="0073666E" w:rsidRPr="0073666E">
        <w:rPr>
          <w:lang w:val="de-CH"/>
        </w:rPr>
        <w:t xml:space="preserve"> </w:t>
      </w:r>
      <w:proofErr w:type="spellStart"/>
      <w:r w:rsidR="0073666E" w:rsidRPr="0073666E">
        <w:rPr>
          <w:lang w:val="de-CH"/>
        </w:rPr>
        <w:t>sans</w:t>
      </w:r>
      <w:proofErr w:type="spellEnd"/>
      <w:r w:rsidR="0073666E" w:rsidRPr="0073666E">
        <w:rPr>
          <w:lang w:val="de-CH"/>
        </w:rPr>
        <w:t xml:space="preserve"> </w:t>
      </w:r>
      <w:proofErr w:type="spellStart"/>
      <w:r w:rsidR="0073666E" w:rsidRPr="0073666E">
        <w:rPr>
          <w:lang w:val="de-CH"/>
        </w:rPr>
        <w:t>suite</w:t>
      </w:r>
      <w:proofErr w:type="spellEnd"/>
      <w:r w:rsidR="0073666E" w:rsidRPr="0073666E">
        <w:rPr>
          <w:lang w:val="de-CH"/>
        </w:rPr>
        <w:t xml:space="preserve"> en </w:t>
      </w:r>
      <w:proofErr w:type="spellStart"/>
      <w:r w:rsidR="0073666E" w:rsidRPr="0073666E">
        <w:rPr>
          <w:lang w:val="de-CH"/>
        </w:rPr>
        <w:t>novembre</w:t>
      </w:r>
      <w:proofErr w:type="spellEnd"/>
      <w:r w:rsidR="0073666E" w:rsidRPr="0073666E">
        <w:rPr>
          <w:lang w:val="de-CH"/>
        </w:rPr>
        <w:t xml:space="preserve"> 2016. </w:t>
      </w:r>
      <w:proofErr w:type="spellStart"/>
      <w:r w:rsidR="0073666E" w:rsidRPr="0073666E">
        <w:rPr>
          <w:lang w:val="de-CH"/>
        </w:rPr>
        <w:t>Compte</w:t>
      </w:r>
      <w:proofErr w:type="spellEnd"/>
      <w:r w:rsidR="0073666E" w:rsidRPr="0073666E">
        <w:rPr>
          <w:lang w:val="de-CH"/>
        </w:rPr>
        <w:t xml:space="preserve"> </w:t>
      </w:r>
      <w:proofErr w:type="spellStart"/>
      <w:r w:rsidR="0073666E" w:rsidRPr="0073666E">
        <w:rPr>
          <w:lang w:val="de-CH"/>
        </w:rPr>
        <w:t>tenu</w:t>
      </w:r>
      <w:proofErr w:type="spellEnd"/>
      <w:r w:rsidR="0073666E" w:rsidRPr="0073666E">
        <w:rPr>
          <w:lang w:val="de-CH"/>
        </w:rPr>
        <w:t xml:space="preserve"> de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aucune</w:t>
      </w:r>
      <w:proofErr w:type="spellEnd"/>
      <w:r w:rsidR="0073666E" w:rsidRPr="0073666E">
        <w:rPr>
          <w:lang w:val="de-CH"/>
        </w:rPr>
        <w:t xml:space="preserve"> </w:t>
      </w:r>
      <w:proofErr w:type="spellStart"/>
      <w:r w:rsidR="0073666E" w:rsidRPr="0073666E">
        <w:rPr>
          <w:lang w:val="de-CH"/>
        </w:rPr>
        <w:t>sanction</w:t>
      </w:r>
      <w:proofErr w:type="spellEnd"/>
      <w:r w:rsidR="0073666E" w:rsidRPr="0073666E">
        <w:rPr>
          <w:lang w:val="de-CH"/>
        </w:rPr>
        <w:t xml:space="preserve"> </w:t>
      </w:r>
      <w:proofErr w:type="spellStart"/>
      <w:r w:rsidR="0073666E" w:rsidRPr="0073666E">
        <w:rPr>
          <w:lang w:val="de-CH"/>
        </w:rPr>
        <w:t>disciplinaire</w:t>
      </w:r>
      <w:proofErr w:type="spellEnd"/>
      <w:r w:rsidR="0073666E" w:rsidRPr="0073666E">
        <w:rPr>
          <w:lang w:val="de-CH"/>
        </w:rPr>
        <w:t xml:space="preserve"> </w:t>
      </w:r>
      <w:proofErr w:type="spellStart"/>
      <w:r w:rsidR="0073666E" w:rsidRPr="0073666E">
        <w:rPr>
          <w:lang w:val="de-CH"/>
        </w:rPr>
        <w:t>n’a</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prononcée</w:t>
      </w:r>
      <w:proofErr w:type="spellEnd"/>
      <w:r w:rsidR="0073666E" w:rsidRPr="0073666E">
        <w:rPr>
          <w:lang w:val="de-CH"/>
        </w:rPr>
        <w:t xml:space="preserve">. </w:t>
      </w:r>
    </w:p>
    <w:p w14:paraId="2F7559A0" w14:textId="77777777" w:rsidR="0073666E" w:rsidRPr="0073666E" w:rsidRDefault="00295883" w:rsidP="00295883">
      <w:pPr>
        <w:pStyle w:val="SingleTxtG"/>
        <w:rPr>
          <w:lang w:val="de-CH"/>
        </w:rPr>
      </w:pPr>
      <w:r>
        <w:rPr>
          <w:lang w:val="de-CH"/>
        </w:rPr>
        <w:t>138.</w:t>
      </w:r>
      <w:r>
        <w:rPr>
          <w:lang w:val="de-CH"/>
        </w:rPr>
        <w:tab/>
      </w:r>
      <w:proofErr w:type="spellStart"/>
      <w:r w:rsidR="0073666E" w:rsidRPr="0073666E">
        <w:rPr>
          <w:lang w:val="de-CH"/>
        </w:rPr>
        <w:t>Enfin</w:t>
      </w:r>
      <w:proofErr w:type="spellEnd"/>
      <w:r w:rsidR="0073666E" w:rsidRPr="0073666E">
        <w:rPr>
          <w:lang w:val="de-CH"/>
        </w:rPr>
        <w:t xml:space="preserve">, en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concerne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autres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ils</w:t>
      </w:r>
      <w:proofErr w:type="spellEnd"/>
      <w:r w:rsidR="0073666E" w:rsidRPr="0073666E">
        <w:rPr>
          <w:lang w:val="de-CH"/>
        </w:rPr>
        <w:t xml:space="preserve"> </w:t>
      </w:r>
      <w:proofErr w:type="spellStart"/>
      <w:r w:rsidR="0073666E" w:rsidRPr="0073666E">
        <w:rPr>
          <w:lang w:val="de-CH"/>
        </w:rPr>
        <w:t>n’ont</w:t>
      </w:r>
      <w:proofErr w:type="spellEnd"/>
      <w:r w:rsidR="0073666E" w:rsidRPr="0073666E">
        <w:rPr>
          <w:lang w:val="de-CH"/>
        </w:rPr>
        <w:t xml:space="preserve"> </w:t>
      </w:r>
      <w:proofErr w:type="spellStart"/>
      <w:r w:rsidR="0073666E" w:rsidRPr="0073666E">
        <w:rPr>
          <w:lang w:val="de-CH"/>
        </w:rPr>
        <w:t>aucun</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à </w:t>
      </w:r>
      <w:proofErr w:type="spellStart"/>
      <w:r w:rsidR="0073666E" w:rsidRPr="0073666E">
        <w:rPr>
          <w:lang w:val="de-CH"/>
        </w:rPr>
        <w:t>mentionner</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ils</w:t>
      </w:r>
      <w:proofErr w:type="spellEnd"/>
      <w:r w:rsidR="0073666E" w:rsidRPr="0073666E">
        <w:rPr>
          <w:lang w:val="de-CH"/>
        </w:rPr>
        <w:t xml:space="preserve"> ne </w:t>
      </w:r>
      <w:proofErr w:type="spellStart"/>
      <w:r w:rsidR="0073666E" w:rsidRPr="0073666E">
        <w:rPr>
          <w:lang w:val="de-CH"/>
        </w:rPr>
        <w:t>disposent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de </w:t>
      </w:r>
      <w:proofErr w:type="spellStart"/>
      <w:r w:rsidR="0073666E" w:rsidRPr="0073666E">
        <w:rPr>
          <w:lang w:val="de-CH"/>
        </w:rPr>
        <w:t>données</w:t>
      </w:r>
      <w:proofErr w:type="spellEnd"/>
      <w:r w:rsidR="0073666E" w:rsidRPr="0073666E">
        <w:rPr>
          <w:lang w:val="de-CH"/>
        </w:rPr>
        <w:t xml:space="preserve"> à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sujet</w:t>
      </w:r>
      <w:proofErr w:type="spellEnd"/>
      <w:r w:rsidR="0073666E" w:rsidRPr="0073666E">
        <w:rPr>
          <w:lang w:val="de-CH"/>
        </w:rPr>
        <w:t>.</w:t>
      </w:r>
    </w:p>
    <w:p w14:paraId="43FC15DB" w14:textId="77777777" w:rsidR="0073666E" w:rsidRPr="0073666E" w:rsidRDefault="00295883" w:rsidP="00295883">
      <w:pPr>
        <w:pStyle w:val="SingleTxtG"/>
        <w:rPr>
          <w:lang w:val="de-CH"/>
        </w:rPr>
      </w:pPr>
      <w:r>
        <w:rPr>
          <w:lang w:val="de-CH"/>
        </w:rPr>
        <w:t>139.</w:t>
      </w:r>
      <w:r>
        <w:rPr>
          <w:lang w:val="de-CH"/>
        </w:rPr>
        <w:tab/>
      </w:r>
      <w:r w:rsidR="0073666E" w:rsidRPr="0073666E">
        <w:rPr>
          <w:lang w:val="de-CH"/>
        </w:rPr>
        <w:t xml:space="preserve">En vertu de la </w:t>
      </w:r>
      <w:proofErr w:type="spellStart"/>
      <w:r w:rsidR="0073666E" w:rsidRPr="0073666E">
        <w:rPr>
          <w:lang w:val="de-CH"/>
        </w:rPr>
        <w:t>structure</w:t>
      </w:r>
      <w:proofErr w:type="spellEnd"/>
      <w:r w:rsidR="0073666E" w:rsidRPr="0073666E">
        <w:rPr>
          <w:lang w:val="de-CH"/>
        </w:rPr>
        <w:t xml:space="preserve"> </w:t>
      </w:r>
      <w:proofErr w:type="spellStart"/>
      <w:r w:rsidR="0073666E" w:rsidRPr="0073666E">
        <w:rPr>
          <w:lang w:val="de-CH"/>
        </w:rPr>
        <w:t>fédéraliste</w:t>
      </w:r>
      <w:proofErr w:type="spellEnd"/>
      <w:r w:rsidR="0073666E" w:rsidRPr="0073666E">
        <w:rPr>
          <w:lang w:val="de-CH"/>
        </w:rPr>
        <w:t xml:space="preserve"> de la Suisse,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rapports</w:t>
      </w:r>
      <w:proofErr w:type="spellEnd"/>
      <w:r w:rsidR="0073666E" w:rsidRPr="0073666E">
        <w:rPr>
          <w:lang w:val="de-CH"/>
        </w:rPr>
        <w:t xml:space="preserve"> de </w:t>
      </w:r>
      <w:proofErr w:type="spellStart"/>
      <w:r w:rsidR="0073666E" w:rsidRPr="0073666E">
        <w:rPr>
          <w:lang w:val="de-CH"/>
        </w:rPr>
        <w:t>travail</w:t>
      </w:r>
      <w:proofErr w:type="spellEnd"/>
      <w:r w:rsidR="0073666E" w:rsidRPr="0073666E">
        <w:rPr>
          <w:lang w:val="de-CH"/>
        </w:rPr>
        <w:t xml:space="preserve"> entre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agents</w:t>
      </w:r>
      <w:proofErr w:type="spellEnd"/>
      <w:r w:rsidR="0073666E" w:rsidRPr="0073666E">
        <w:rPr>
          <w:lang w:val="de-CH"/>
        </w:rPr>
        <w:t xml:space="preserve"> de </w:t>
      </w:r>
      <w:proofErr w:type="spellStart"/>
      <w:r w:rsidR="0073666E" w:rsidRPr="0073666E">
        <w:rPr>
          <w:lang w:val="de-CH"/>
        </w:rPr>
        <w:t>police</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réglés</w:t>
      </w:r>
      <w:proofErr w:type="spellEnd"/>
      <w:r w:rsidR="0073666E" w:rsidRPr="0073666E">
        <w:rPr>
          <w:lang w:val="de-CH"/>
        </w:rPr>
        <w:t xml:space="preserve"> par des </w:t>
      </w:r>
      <w:proofErr w:type="spellStart"/>
      <w:r w:rsidR="0073666E" w:rsidRPr="0073666E">
        <w:rPr>
          <w:lang w:val="de-CH"/>
        </w:rPr>
        <w:t>lois</w:t>
      </w:r>
      <w:proofErr w:type="spellEnd"/>
      <w:r w:rsidR="0073666E" w:rsidRPr="0073666E">
        <w:rPr>
          <w:lang w:val="de-CH"/>
        </w:rPr>
        <w:t xml:space="preserve"> </w:t>
      </w:r>
      <w:proofErr w:type="spellStart"/>
      <w:r w:rsidR="0073666E" w:rsidRPr="0073666E">
        <w:rPr>
          <w:lang w:val="de-CH"/>
        </w:rPr>
        <w:t>cantonales</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lois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w:t>
      </w:r>
      <w:proofErr w:type="spellStart"/>
      <w:r w:rsidR="0073666E" w:rsidRPr="0073666E">
        <w:rPr>
          <w:lang w:val="de-CH"/>
        </w:rPr>
        <w:t>personnel</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lois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la </w:t>
      </w:r>
      <w:proofErr w:type="spellStart"/>
      <w:r w:rsidR="0073666E" w:rsidRPr="0073666E">
        <w:rPr>
          <w:lang w:val="de-CH"/>
        </w:rPr>
        <w:t>police</w:t>
      </w:r>
      <w:proofErr w:type="spellEnd"/>
      <w:r w:rsidR="0073666E" w:rsidRPr="0073666E">
        <w:rPr>
          <w:lang w:val="de-CH"/>
        </w:rPr>
        <w:t xml:space="preserve">). Ces </w:t>
      </w:r>
      <w:proofErr w:type="spellStart"/>
      <w:r w:rsidR="0073666E" w:rsidRPr="0073666E">
        <w:rPr>
          <w:lang w:val="de-CH"/>
        </w:rPr>
        <w:t>lois</w:t>
      </w:r>
      <w:proofErr w:type="spellEnd"/>
      <w:r w:rsidR="0073666E" w:rsidRPr="0073666E">
        <w:rPr>
          <w:lang w:val="de-CH"/>
        </w:rPr>
        <w:t xml:space="preserve"> </w:t>
      </w:r>
      <w:proofErr w:type="spellStart"/>
      <w:r w:rsidR="0073666E" w:rsidRPr="0073666E">
        <w:rPr>
          <w:lang w:val="de-CH"/>
        </w:rPr>
        <w:t>prévoient</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le </w:t>
      </w:r>
      <w:proofErr w:type="spellStart"/>
      <w:r w:rsidR="0073666E" w:rsidRPr="0073666E">
        <w:rPr>
          <w:lang w:val="de-CH"/>
        </w:rPr>
        <w:t>cas</w:t>
      </w:r>
      <w:proofErr w:type="spellEnd"/>
      <w:r w:rsidR="0073666E" w:rsidRPr="0073666E">
        <w:rPr>
          <w:lang w:val="de-CH"/>
        </w:rPr>
        <w:t xml:space="preserve"> de </w:t>
      </w:r>
      <w:proofErr w:type="spellStart"/>
      <w:r w:rsidR="0073666E" w:rsidRPr="0073666E">
        <w:rPr>
          <w:lang w:val="de-CH"/>
        </w:rPr>
        <w:t>manquements</w:t>
      </w:r>
      <w:proofErr w:type="spellEnd"/>
      <w:r w:rsidR="0073666E" w:rsidRPr="0073666E">
        <w:rPr>
          <w:lang w:val="de-CH"/>
        </w:rPr>
        <w:t xml:space="preserve"> </w:t>
      </w:r>
      <w:proofErr w:type="spellStart"/>
      <w:r w:rsidR="0073666E" w:rsidRPr="0073666E">
        <w:rPr>
          <w:lang w:val="de-CH"/>
        </w:rPr>
        <w:t>graves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répétés</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devoirs</w:t>
      </w:r>
      <w:proofErr w:type="spellEnd"/>
      <w:r w:rsidR="0073666E" w:rsidRPr="0073666E">
        <w:rPr>
          <w:lang w:val="de-CH"/>
        </w:rPr>
        <w:t xml:space="preserve"> de </w:t>
      </w:r>
      <w:proofErr w:type="spellStart"/>
      <w:r w:rsidR="0073666E" w:rsidRPr="0073666E">
        <w:rPr>
          <w:lang w:val="de-CH"/>
        </w:rPr>
        <w:t>service</w:t>
      </w:r>
      <w:proofErr w:type="spellEnd"/>
      <w:r w:rsidR="0073666E" w:rsidRPr="0073666E">
        <w:rPr>
          <w:lang w:val="de-CH"/>
        </w:rPr>
        <w:t xml:space="preserve">, </w:t>
      </w:r>
      <w:proofErr w:type="spellStart"/>
      <w:r w:rsidR="0073666E" w:rsidRPr="0073666E">
        <w:rPr>
          <w:lang w:val="de-CH"/>
        </w:rPr>
        <w:t>toute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panoplie</w:t>
      </w:r>
      <w:proofErr w:type="spellEnd"/>
      <w:r w:rsidR="0073666E" w:rsidRPr="0073666E">
        <w:rPr>
          <w:lang w:val="de-CH"/>
        </w:rPr>
        <w:t xml:space="preserve"> de </w:t>
      </w:r>
      <w:proofErr w:type="spellStart"/>
      <w:r w:rsidR="0073666E" w:rsidRPr="0073666E">
        <w:rPr>
          <w:lang w:val="de-CH"/>
        </w:rPr>
        <w:t>sanctions</w:t>
      </w:r>
      <w:proofErr w:type="spellEnd"/>
      <w:r w:rsidR="0073666E" w:rsidRPr="0073666E">
        <w:rPr>
          <w:lang w:val="de-CH"/>
        </w:rPr>
        <w:t xml:space="preserve"> </w:t>
      </w:r>
      <w:proofErr w:type="spellStart"/>
      <w:r w:rsidR="0073666E" w:rsidRPr="0073666E">
        <w:rPr>
          <w:lang w:val="de-CH"/>
        </w:rPr>
        <w:t>disciplinaires</w:t>
      </w:r>
      <w:proofErr w:type="spellEnd"/>
      <w:r w:rsidR="0073666E" w:rsidRPr="0073666E">
        <w:rPr>
          <w:lang w:val="de-CH"/>
        </w:rPr>
        <w:t xml:space="preserve">. </w:t>
      </w:r>
    </w:p>
    <w:p w14:paraId="38DF5E62" w14:textId="77777777" w:rsidR="0073666E" w:rsidRPr="0073666E" w:rsidRDefault="00295883" w:rsidP="00295883">
      <w:pPr>
        <w:pStyle w:val="SingleTxtG"/>
      </w:pPr>
      <w:r>
        <w:rPr>
          <w:lang w:val="de-CH"/>
        </w:rPr>
        <w:t>140.</w:t>
      </w:r>
      <w:r>
        <w:rPr>
          <w:lang w:val="de-CH"/>
        </w:rPr>
        <w:tab/>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agent</w:t>
      </w:r>
      <w:proofErr w:type="spellEnd"/>
      <w:r w:rsidR="0073666E" w:rsidRPr="0073666E">
        <w:rPr>
          <w:lang w:val="de-CH"/>
        </w:rPr>
        <w:t xml:space="preserve"> de </w:t>
      </w:r>
      <w:proofErr w:type="spellStart"/>
      <w:r w:rsidR="0073666E" w:rsidRPr="0073666E">
        <w:rPr>
          <w:lang w:val="de-CH"/>
        </w:rPr>
        <w:t>police</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se </w:t>
      </w:r>
      <w:proofErr w:type="spellStart"/>
      <w:r w:rsidR="0073666E" w:rsidRPr="0073666E">
        <w:rPr>
          <w:lang w:val="de-CH"/>
        </w:rPr>
        <w:t>verra</w:t>
      </w:r>
      <w:proofErr w:type="spellEnd"/>
      <w:r w:rsidR="0073666E" w:rsidRPr="0073666E">
        <w:rPr>
          <w:lang w:val="de-CH"/>
        </w:rPr>
        <w:t xml:space="preserve"> </w:t>
      </w:r>
      <w:proofErr w:type="spellStart"/>
      <w:r w:rsidR="0073666E" w:rsidRPr="0073666E">
        <w:rPr>
          <w:lang w:val="de-CH"/>
        </w:rPr>
        <w:t>reprocher</w:t>
      </w:r>
      <w:proofErr w:type="spellEnd"/>
      <w:r w:rsidR="0073666E" w:rsidRPr="0073666E">
        <w:rPr>
          <w:lang w:val="de-CH"/>
        </w:rPr>
        <w:t xml:space="preserve"> des </w:t>
      </w:r>
      <w:proofErr w:type="spellStart"/>
      <w:r w:rsidR="0073666E" w:rsidRPr="0073666E">
        <w:rPr>
          <w:lang w:val="de-CH"/>
        </w:rPr>
        <w:t>actes</w:t>
      </w:r>
      <w:proofErr w:type="spellEnd"/>
      <w:r w:rsidR="0073666E" w:rsidRPr="0073666E">
        <w:rPr>
          <w:lang w:val="de-CH"/>
        </w:rPr>
        <w:t xml:space="preserve"> de </w:t>
      </w:r>
      <w:proofErr w:type="spellStart"/>
      <w:r w:rsidR="0073666E" w:rsidRPr="0073666E">
        <w:rPr>
          <w:lang w:val="de-CH"/>
        </w:rPr>
        <w:t>mauvais</w:t>
      </w:r>
      <w:proofErr w:type="spellEnd"/>
      <w:r w:rsidR="0073666E" w:rsidRPr="0073666E">
        <w:rPr>
          <w:lang w:val="de-CH"/>
        </w:rPr>
        <w:t xml:space="preserve"> </w:t>
      </w:r>
      <w:proofErr w:type="spellStart"/>
      <w:r w:rsidR="0073666E" w:rsidRPr="0073666E">
        <w:rPr>
          <w:lang w:val="de-CH"/>
        </w:rPr>
        <w:t>traitements</w:t>
      </w:r>
      <w:proofErr w:type="spellEnd"/>
      <w:r w:rsidR="0073666E" w:rsidRPr="0073666E">
        <w:rPr>
          <w:lang w:val="de-CH"/>
        </w:rPr>
        <w:t xml:space="preserve">, </w:t>
      </w:r>
      <w:proofErr w:type="spellStart"/>
      <w:r w:rsidR="0073666E" w:rsidRPr="0073666E">
        <w:rPr>
          <w:lang w:val="de-CH"/>
        </w:rPr>
        <w:t>pourra</w:t>
      </w:r>
      <w:proofErr w:type="spellEnd"/>
      <w:r w:rsidR="0073666E" w:rsidRPr="0073666E">
        <w:rPr>
          <w:lang w:val="de-CH"/>
        </w:rPr>
        <w:t xml:space="preserve">, </w:t>
      </w:r>
      <w:proofErr w:type="spellStart"/>
      <w:r w:rsidR="0073666E" w:rsidRPr="0073666E">
        <w:rPr>
          <w:lang w:val="de-CH"/>
        </w:rPr>
        <w:t>selon</w:t>
      </w:r>
      <w:proofErr w:type="spellEnd"/>
      <w:r w:rsidR="0073666E" w:rsidRPr="0073666E">
        <w:rPr>
          <w:lang w:val="de-CH"/>
        </w:rPr>
        <w:t xml:space="preserve"> la </w:t>
      </w:r>
      <w:proofErr w:type="spellStart"/>
      <w:r w:rsidR="0073666E" w:rsidRPr="0073666E">
        <w:rPr>
          <w:lang w:val="de-CH"/>
        </w:rPr>
        <w:t>gravité</w:t>
      </w:r>
      <w:proofErr w:type="spellEnd"/>
      <w:r w:rsidR="0073666E" w:rsidRPr="0073666E">
        <w:rPr>
          <w:lang w:val="de-CH"/>
        </w:rPr>
        <w:t xml:space="preserve"> des </w:t>
      </w:r>
      <w:proofErr w:type="spellStart"/>
      <w:r w:rsidR="0073666E" w:rsidRPr="0073666E">
        <w:rPr>
          <w:lang w:val="de-CH"/>
        </w:rPr>
        <w:t>actes</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averti</w:t>
      </w:r>
      <w:proofErr w:type="spellEnd"/>
      <w:r w:rsidR="0073666E" w:rsidRPr="0073666E">
        <w:rPr>
          <w:lang w:val="de-CH"/>
        </w:rPr>
        <w:t xml:space="preserve"> </w:t>
      </w:r>
      <w:proofErr w:type="spellStart"/>
      <w:r w:rsidR="0073666E" w:rsidRPr="0073666E">
        <w:rPr>
          <w:lang w:val="de-CH"/>
        </w:rPr>
        <w:t>oralement</w:t>
      </w:r>
      <w:proofErr w:type="spellEnd"/>
      <w:r w:rsidR="0073666E" w:rsidRPr="0073666E">
        <w:rPr>
          <w:lang w:val="de-CH"/>
        </w:rPr>
        <w:t xml:space="preserve">, faire </w:t>
      </w:r>
      <w:proofErr w:type="spellStart"/>
      <w:r w:rsidR="0073666E" w:rsidRPr="0073666E">
        <w:rPr>
          <w:lang w:val="de-CH"/>
        </w:rPr>
        <w:t>l’objet</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blâme</w:t>
      </w:r>
      <w:proofErr w:type="spellEnd"/>
      <w:r w:rsidR="0073666E" w:rsidRPr="0073666E">
        <w:rPr>
          <w:lang w:val="de-CH"/>
        </w:rPr>
        <w:t xml:space="preserve"> </w:t>
      </w:r>
      <w:proofErr w:type="spellStart"/>
      <w:r w:rsidR="0073666E" w:rsidRPr="0073666E">
        <w:rPr>
          <w:lang w:val="de-CH"/>
        </w:rPr>
        <w:t>écrit</w:t>
      </w:r>
      <w:proofErr w:type="spellEnd"/>
      <w:r w:rsidR="0073666E" w:rsidRPr="0073666E">
        <w:rPr>
          <w:lang w:val="de-CH"/>
        </w:rPr>
        <w:t xml:space="preserve">, </w:t>
      </w:r>
      <w:proofErr w:type="spellStart"/>
      <w:r w:rsidR="0073666E" w:rsidRPr="0073666E">
        <w:rPr>
          <w:lang w:val="de-CH"/>
        </w:rPr>
        <w:t>voir</w:t>
      </w:r>
      <w:proofErr w:type="spellEnd"/>
      <w:r w:rsidR="0073666E" w:rsidRPr="0073666E">
        <w:rPr>
          <w:lang w:val="de-CH"/>
        </w:rPr>
        <w:t xml:space="preserv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salaire</w:t>
      </w:r>
      <w:proofErr w:type="spellEnd"/>
      <w:r w:rsidR="0073666E" w:rsidRPr="0073666E">
        <w:rPr>
          <w:lang w:val="de-CH"/>
        </w:rPr>
        <w:t xml:space="preserve"> </w:t>
      </w:r>
      <w:proofErr w:type="spellStart"/>
      <w:r w:rsidR="0073666E" w:rsidRPr="0073666E">
        <w:rPr>
          <w:lang w:val="de-CH"/>
        </w:rPr>
        <w:t>diminuer</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suspendu</w:t>
      </w:r>
      <w:proofErr w:type="spellEnd"/>
      <w:r w:rsidR="0073666E" w:rsidRPr="0073666E">
        <w:rPr>
          <w:lang w:val="de-CH"/>
        </w:rPr>
        <w:t xml:space="preserve"> </w:t>
      </w:r>
      <w:proofErr w:type="spellStart"/>
      <w:r w:rsidR="0073666E" w:rsidRPr="0073666E">
        <w:rPr>
          <w:lang w:val="de-CH"/>
        </w:rPr>
        <w:t>provisoirement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muté</w:t>
      </w:r>
      <w:proofErr w:type="spellEnd"/>
      <w:r w:rsidR="0073666E" w:rsidRPr="0073666E">
        <w:rPr>
          <w:lang w:val="de-CH"/>
        </w:rPr>
        <w:t xml:space="preserve"> (</w:t>
      </w:r>
      <w:proofErr w:type="spellStart"/>
      <w:r w:rsidR="0073666E" w:rsidRPr="0073666E">
        <w:rPr>
          <w:lang w:val="de-CH"/>
        </w:rPr>
        <w:t>provisoirement</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non) et, </w:t>
      </w:r>
      <w:proofErr w:type="spellStart"/>
      <w:r w:rsidR="0073666E" w:rsidRPr="0073666E">
        <w:rPr>
          <w:lang w:val="de-CH"/>
        </w:rPr>
        <w:t>finalement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licencié</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libération</w:t>
      </w:r>
      <w:proofErr w:type="spellEnd"/>
      <w:r w:rsidR="0073666E" w:rsidRPr="0073666E">
        <w:rPr>
          <w:lang w:val="de-CH"/>
        </w:rPr>
        <w:t xml:space="preserve"> de </w:t>
      </w:r>
      <w:proofErr w:type="spellStart"/>
      <w:r w:rsidR="0073666E" w:rsidRPr="0073666E">
        <w:rPr>
          <w:lang w:val="de-CH"/>
        </w:rPr>
        <w:t>l’obligation</w:t>
      </w:r>
      <w:proofErr w:type="spellEnd"/>
      <w:r w:rsidR="0073666E" w:rsidRPr="0073666E">
        <w:rPr>
          <w:lang w:val="de-CH"/>
        </w:rPr>
        <w:t xml:space="preserve"> de </w:t>
      </w:r>
      <w:proofErr w:type="spellStart"/>
      <w:r w:rsidR="0073666E" w:rsidRPr="0073666E">
        <w:rPr>
          <w:lang w:val="de-CH"/>
        </w:rPr>
        <w:t>travailler</w:t>
      </w:r>
      <w:proofErr w:type="spellEnd"/>
      <w:r w:rsidR="0073666E" w:rsidRPr="0073666E">
        <w:rPr>
          <w:lang w:val="de-CH"/>
        </w:rPr>
        <w:t xml:space="preserve">). </w:t>
      </w:r>
      <w:r w:rsidR="0073666E" w:rsidRPr="0073666E">
        <w:t>Un canton prévoit expressément qu’un employé peut être suspendu provisoirement, lorsqu’est ouverte contre lui une procédure pénale en rel</w:t>
      </w:r>
      <w:r w:rsidR="00552382">
        <w:t>ation avec un crime ou un délit</w:t>
      </w:r>
      <w:r w:rsidR="0073666E" w:rsidRPr="009E1FD5">
        <w:rPr>
          <w:rStyle w:val="Appelnotedebasdep"/>
        </w:rPr>
        <w:footnoteReference w:id="35"/>
      </w:r>
      <w:r w:rsidR="00552382">
        <w:t>.</w:t>
      </w:r>
      <w:r w:rsidR="0073666E" w:rsidRPr="0073666E">
        <w:t xml:space="preserve"> Certains cantons prévoient également l’amende comme sanction à une violation des devoirs de service</w:t>
      </w:r>
      <w:r w:rsidR="0073666E" w:rsidRPr="009E1FD5">
        <w:rPr>
          <w:rStyle w:val="Appelnotedebasdep"/>
        </w:rPr>
        <w:footnoteReference w:id="36"/>
      </w:r>
      <w:r w:rsidR="00552382">
        <w:t>.</w:t>
      </w:r>
    </w:p>
    <w:p w14:paraId="6C3497B0" w14:textId="77777777" w:rsidR="0073666E" w:rsidRPr="0073666E" w:rsidRDefault="00295883" w:rsidP="00295883">
      <w:pPr>
        <w:pStyle w:val="SingleTxtG"/>
        <w:rPr>
          <w:lang w:val="de-CH"/>
        </w:rPr>
      </w:pPr>
      <w:r>
        <w:t>141.</w:t>
      </w:r>
      <w:r>
        <w:tab/>
      </w:r>
      <w:r w:rsidR="0073666E" w:rsidRPr="0073666E">
        <w:t xml:space="preserve">Aucun canton ne prévoit toutefois une suspension ou mutation systématique en cas de soupçons d’actes de torture ou de mauvais traitements.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lois</w:t>
      </w:r>
      <w:proofErr w:type="spellEnd"/>
      <w:r w:rsidR="0073666E" w:rsidRPr="0073666E">
        <w:rPr>
          <w:lang w:val="de-CH"/>
        </w:rPr>
        <w:t xml:space="preserve"> administratives </w:t>
      </w:r>
      <w:proofErr w:type="spellStart"/>
      <w:r w:rsidR="0073666E" w:rsidRPr="0073666E">
        <w:rPr>
          <w:lang w:val="de-CH"/>
        </w:rPr>
        <w:t>réservent</w:t>
      </w:r>
      <w:proofErr w:type="spellEnd"/>
      <w:r w:rsidR="0073666E" w:rsidRPr="0073666E">
        <w:rPr>
          <w:lang w:val="de-CH"/>
        </w:rPr>
        <w:t xml:space="preserve"> en </w:t>
      </w:r>
      <w:proofErr w:type="spellStart"/>
      <w:r w:rsidR="0073666E" w:rsidRPr="0073666E">
        <w:rPr>
          <w:lang w:val="de-CH"/>
        </w:rPr>
        <w:t>effet</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compétentes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(plus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moins</w:t>
      </w:r>
      <w:proofErr w:type="spellEnd"/>
      <w:r w:rsidR="0073666E" w:rsidRPr="0073666E">
        <w:rPr>
          <w:lang w:val="de-CH"/>
        </w:rPr>
        <w:t xml:space="preserve">) large </w:t>
      </w:r>
      <w:proofErr w:type="spellStart"/>
      <w:r w:rsidR="0073666E" w:rsidRPr="0073666E">
        <w:rPr>
          <w:lang w:val="de-CH"/>
        </w:rPr>
        <w:t>pouvoir</w:t>
      </w:r>
      <w:proofErr w:type="spellEnd"/>
      <w:r w:rsidR="0073666E" w:rsidRPr="0073666E">
        <w:rPr>
          <w:lang w:val="de-CH"/>
        </w:rPr>
        <w:t xml:space="preserve"> </w:t>
      </w:r>
      <w:proofErr w:type="spellStart"/>
      <w:r w:rsidR="0073666E" w:rsidRPr="0073666E">
        <w:rPr>
          <w:lang w:val="de-CH"/>
        </w:rPr>
        <w:t>d’appréciation</w:t>
      </w:r>
      <w:proofErr w:type="spellEnd"/>
      <w:r w:rsidR="0073666E" w:rsidRPr="0073666E">
        <w:rPr>
          <w:lang w:val="de-CH"/>
        </w:rPr>
        <w:t xml:space="preserve">, </w:t>
      </w:r>
      <w:proofErr w:type="spellStart"/>
      <w:r w:rsidR="0073666E" w:rsidRPr="0073666E">
        <w:rPr>
          <w:lang w:val="de-CH"/>
        </w:rPr>
        <w:t>afin</w:t>
      </w:r>
      <w:proofErr w:type="spellEnd"/>
      <w:r w:rsidR="0073666E" w:rsidRPr="0073666E">
        <w:rPr>
          <w:lang w:val="de-CH"/>
        </w:rPr>
        <w:t xml:space="preserve"> </w:t>
      </w:r>
      <w:proofErr w:type="spellStart"/>
      <w:r w:rsidR="0073666E" w:rsidRPr="0073666E">
        <w:rPr>
          <w:lang w:val="de-CH"/>
        </w:rPr>
        <w:t>qu’elles</w:t>
      </w:r>
      <w:proofErr w:type="spellEnd"/>
      <w:r w:rsidR="0073666E" w:rsidRPr="0073666E">
        <w:rPr>
          <w:lang w:val="de-CH"/>
        </w:rPr>
        <w:t xml:space="preserve"> </w:t>
      </w:r>
      <w:proofErr w:type="spellStart"/>
      <w:r w:rsidR="0073666E" w:rsidRPr="0073666E">
        <w:rPr>
          <w:lang w:val="de-CH"/>
        </w:rPr>
        <w:t>puissent</w:t>
      </w:r>
      <w:proofErr w:type="spellEnd"/>
      <w:r w:rsidR="0073666E" w:rsidRPr="0073666E">
        <w:rPr>
          <w:lang w:val="de-CH"/>
        </w:rPr>
        <w:t xml:space="preserve"> </w:t>
      </w:r>
      <w:proofErr w:type="spellStart"/>
      <w:r w:rsidR="0073666E" w:rsidRPr="0073666E">
        <w:rPr>
          <w:lang w:val="de-CH"/>
        </w:rPr>
        <w:t>adapter</w:t>
      </w:r>
      <w:proofErr w:type="spellEnd"/>
      <w:r w:rsidR="0073666E" w:rsidRPr="0073666E">
        <w:rPr>
          <w:lang w:val="de-CH"/>
        </w:rPr>
        <w:t xml:space="preserve"> au mieux la </w:t>
      </w:r>
      <w:proofErr w:type="spellStart"/>
      <w:r w:rsidR="0073666E" w:rsidRPr="0073666E">
        <w:rPr>
          <w:lang w:val="de-CH"/>
        </w:rPr>
        <w:t>sanction</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manquements</w:t>
      </w:r>
      <w:proofErr w:type="spellEnd"/>
      <w:r w:rsidR="0073666E" w:rsidRPr="0073666E">
        <w:rPr>
          <w:lang w:val="de-CH"/>
        </w:rPr>
        <w:t xml:space="preserve"> </w:t>
      </w:r>
      <w:proofErr w:type="spellStart"/>
      <w:r w:rsidR="0073666E" w:rsidRPr="0073666E">
        <w:rPr>
          <w:lang w:val="de-CH"/>
        </w:rPr>
        <w:t>commis</w:t>
      </w:r>
      <w:proofErr w:type="spellEnd"/>
      <w:r w:rsidR="0073666E" w:rsidRPr="0073666E">
        <w:rPr>
          <w:lang w:val="de-CH"/>
        </w:rPr>
        <w:t xml:space="preserve"> par le </w:t>
      </w:r>
      <w:proofErr w:type="spellStart"/>
      <w:r w:rsidR="0073666E" w:rsidRPr="0073666E">
        <w:rPr>
          <w:lang w:val="de-CH"/>
        </w:rPr>
        <w:t>collaborateur</w:t>
      </w:r>
      <w:proofErr w:type="spellEnd"/>
      <w:r w:rsidR="0073666E" w:rsidRPr="0073666E">
        <w:rPr>
          <w:lang w:val="de-CH"/>
        </w:rPr>
        <w:t xml:space="preserve">. </w:t>
      </w:r>
      <w:proofErr w:type="spellStart"/>
      <w:r w:rsidR="0073666E" w:rsidRPr="0073666E">
        <w:rPr>
          <w:lang w:val="de-CH"/>
        </w:rPr>
        <w:t>Chaque</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w:t>
      </w:r>
      <w:proofErr w:type="spellStart"/>
      <w:r w:rsidR="0073666E" w:rsidRPr="0073666E">
        <w:rPr>
          <w:lang w:val="de-CH"/>
        </w:rPr>
        <w:t>doit</w:t>
      </w:r>
      <w:proofErr w:type="spellEnd"/>
      <w:r w:rsidR="0073666E" w:rsidRPr="0073666E">
        <w:rPr>
          <w:lang w:val="de-CH"/>
        </w:rPr>
        <w:t xml:space="preserve"> </w:t>
      </w:r>
      <w:proofErr w:type="spellStart"/>
      <w:r w:rsidR="0073666E" w:rsidRPr="0073666E">
        <w:rPr>
          <w:lang w:val="de-CH"/>
        </w:rPr>
        <w:t>donc</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apprécié</w:t>
      </w:r>
      <w:proofErr w:type="spellEnd"/>
      <w:r w:rsidR="0073666E" w:rsidRPr="0073666E">
        <w:rPr>
          <w:lang w:val="de-CH"/>
        </w:rPr>
        <w:t xml:space="preserve"> </w:t>
      </w:r>
      <w:proofErr w:type="spellStart"/>
      <w:r w:rsidR="0073666E" w:rsidRPr="0073666E">
        <w:rPr>
          <w:lang w:val="de-CH"/>
        </w:rPr>
        <w:t>individuellement</w:t>
      </w:r>
      <w:proofErr w:type="spellEnd"/>
      <w:r w:rsidR="0073666E" w:rsidRPr="0073666E">
        <w:rPr>
          <w:lang w:val="de-CH"/>
        </w:rPr>
        <w:t xml:space="preserve">. En </w:t>
      </w:r>
      <w:proofErr w:type="spellStart"/>
      <w:r w:rsidR="0073666E" w:rsidRPr="0073666E">
        <w:rPr>
          <w:lang w:val="de-CH"/>
        </w:rPr>
        <w:t>outre</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important</w:t>
      </w:r>
      <w:proofErr w:type="spellEnd"/>
      <w:r w:rsidR="0073666E" w:rsidRPr="0073666E">
        <w:rPr>
          <w:lang w:val="de-CH"/>
        </w:rPr>
        <w:t xml:space="preserve"> de </w:t>
      </w:r>
      <w:proofErr w:type="spellStart"/>
      <w:r w:rsidR="0073666E" w:rsidRPr="0073666E">
        <w:rPr>
          <w:lang w:val="de-CH"/>
        </w:rPr>
        <w:t>souligner</w:t>
      </w:r>
      <w:proofErr w:type="spellEnd"/>
      <w:r w:rsidR="0073666E" w:rsidRPr="0073666E">
        <w:rPr>
          <w:lang w:val="de-CH"/>
        </w:rPr>
        <w:t xml:space="preserve"> </w:t>
      </w:r>
      <w:proofErr w:type="spellStart"/>
      <w:r w:rsidR="0073666E" w:rsidRPr="0073666E">
        <w:rPr>
          <w:lang w:val="de-CH"/>
        </w:rPr>
        <w:t>qu’un</w:t>
      </w:r>
      <w:proofErr w:type="spellEnd"/>
      <w:r w:rsidR="0073666E" w:rsidRPr="0073666E">
        <w:rPr>
          <w:lang w:val="de-CH"/>
        </w:rPr>
        <w:t xml:space="preserve"> </w:t>
      </w:r>
      <w:proofErr w:type="spellStart"/>
      <w:r w:rsidR="0073666E" w:rsidRPr="0073666E">
        <w:rPr>
          <w:lang w:val="de-CH"/>
        </w:rPr>
        <w:t>agent</w:t>
      </w:r>
      <w:proofErr w:type="spellEnd"/>
      <w:r w:rsidR="0073666E" w:rsidRPr="0073666E">
        <w:rPr>
          <w:lang w:val="de-CH"/>
        </w:rPr>
        <w:t xml:space="preserve"> </w:t>
      </w:r>
      <w:proofErr w:type="spellStart"/>
      <w:r w:rsidR="0073666E" w:rsidRPr="0073666E">
        <w:rPr>
          <w:lang w:val="de-CH"/>
        </w:rPr>
        <w:t>accusé</w:t>
      </w:r>
      <w:proofErr w:type="spellEnd"/>
      <w:r w:rsidR="0073666E" w:rsidRPr="0073666E">
        <w:rPr>
          <w:lang w:val="de-CH"/>
        </w:rPr>
        <w:t xml:space="preserve"> de </w:t>
      </w:r>
      <w:proofErr w:type="spellStart"/>
      <w:r w:rsidR="0073666E" w:rsidRPr="0073666E">
        <w:rPr>
          <w:lang w:val="de-CH"/>
        </w:rPr>
        <w:t>mauvais</w:t>
      </w:r>
      <w:proofErr w:type="spellEnd"/>
      <w:r w:rsidR="0073666E" w:rsidRPr="0073666E">
        <w:rPr>
          <w:lang w:val="de-CH"/>
        </w:rPr>
        <w:t xml:space="preserve"> </w:t>
      </w:r>
      <w:proofErr w:type="spellStart"/>
      <w:r w:rsidR="0073666E" w:rsidRPr="0073666E">
        <w:rPr>
          <w:lang w:val="de-CH"/>
        </w:rPr>
        <w:t>traitements</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présumé</w:t>
      </w:r>
      <w:proofErr w:type="spellEnd"/>
      <w:r w:rsidR="0073666E" w:rsidRPr="0073666E">
        <w:rPr>
          <w:lang w:val="de-CH"/>
        </w:rPr>
        <w:t xml:space="preserve"> </w:t>
      </w:r>
      <w:proofErr w:type="spellStart"/>
      <w:r w:rsidR="0073666E" w:rsidRPr="0073666E">
        <w:rPr>
          <w:lang w:val="de-CH"/>
        </w:rPr>
        <w:t>innocent</w:t>
      </w:r>
      <w:proofErr w:type="spellEnd"/>
      <w:r w:rsidR="0073666E" w:rsidRPr="0073666E">
        <w:rPr>
          <w:lang w:val="de-CH"/>
        </w:rPr>
        <w:t xml:space="preserve"> et </w:t>
      </w:r>
      <w:proofErr w:type="spellStart"/>
      <w:r w:rsidR="0073666E" w:rsidRPr="0073666E">
        <w:rPr>
          <w:lang w:val="de-CH"/>
        </w:rPr>
        <w:t>qu’une</w:t>
      </w:r>
      <w:proofErr w:type="spellEnd"/>
      <w:r w:rsidR="0073666E" w:rsidRPr="0073666E">
        <w:rPr>
          <w:lang w:val="de-CH"/>
        </w:rPr>
        <w:t xml:space="preserve"> </w:t>
      </w:r>
      <w:proofErr w:type="spellStart"/>
      <w:r w:rsidR="0073666E" w:rsidRPr="0073666E">
        <w:rPr>
          <w:lang w:val="de-CH"/>
        </w:rPr>
        <w:t>suspension</w:t>
      </w:r>
      <w:proofErr w:type="spellEnd"/>
      <w:r w:rsidR="0073666E" w:rsidRPr="0073666E">
        <w:rPr>
          <w:lang w:val="de-CH"/>
        </w:rPr>
        <w:t xml:space="preserve"> </w:t>
      </w:r>
      <w:proofErr w:type="spellStart"/>
      <w:r w:rsidR="0073666E" w:rsidRPr="0073666E">
        <w:rPr>
          <w:lang w:val="de-CH"/>
        </w:rPr>
        <w:t>systématique</w:t>
      </w:r>
      <w:proofErr w:type="spellEnd"/>
      <w:r w:rsidR="0073666E" w:rsidRPr="0073666E">
        <w:rPr>
          <w:lang w:val="de-CH"/>
        </w:rPr>
        <w:t xml:space="preserve"> </w:t>
      </w:r>
      <w:proofErr w:type="spellStart"/>
      <w:r w:rsidR="0073666E" w:rsidRPr="0073666E">
        <w:rPr>
          <w:lang w:val="de-CH"/>
        </w:rPr>
        <w:t>pourrait</w:t>
      </w:r>
      <w:proofErr w:type="spellEnd"/>
      <w:r w:rsidR="0073666E" w:rsidRPr="0073666E">
        <w:rPr>
          <w:lang w:val="de-CH"/>
        </w:rPr>
        <w:t xml:space="preserve"> </w:t>
      </w:r>
      <w:proofErr w:type="spellStart"/>
      <w:r w:rsidR="0073666E" w:rsidRPr="0073666E">
        <w:rPr>
          <w:lang w:val="de-CH"/>
        </w:rPr>
        <w:t>poser</w:t>
      </w:r>
      <w:proofErr w:type="spellEnd"/>
      <w:r w:rsidR="0073666E" w:rsidRPr="0073666E">
        <w:rPr>
          <w:lang w:val="de-CH"/>
        </w:rPr>
        <w:t xml:space="preserve"> des </w:t>
      </w:r>
      <w:proofErr w:type="spellStart"/>
      <w:r w:rsidR="0073666E" w:rsidRPr="0073666E">
        <w:rPr>
          <w:lang w:val="de-CH"/>
        </w:rPr>
        <w:t>problèmes</w:t>
      </w:r>
      <w:proofErr w:type="spellEnd"/>
      <w:r w:rsidR="0073666E" w:rsidRPr="0073666E">
        <w:rPr>
          <w:lang w:val="de-CH"/>
        </w:rPr>
        <w:t xml:space="preserve"> de </w:t>
      </w:r>
      <w:proofErr w:type="spellStart"/>
      <w:r w:rsidR="0073666E" w:rsidRPr="0073666E">
        <w:rPr>
          <w:lang w:val="de-CH"/>
        </w:rPr>
        <w:t>compatibilité</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principe</w:t>
      </w:r>
      <w:proofErr w:type="spellEnd"/>
      <w:r w:rsidR="0073666E" w:rsidRPr="0073666E">
        <w:rPr>
          <w:lang w:val="de-CH"/>
        </w:rPr>
        <w:t xml:space="preserve"> fondamental. De plus la </w:t>
      </w:r>
      <w:proofErr w:type="spellStart"/>
      <w:r w:rsidR="0073666E" w:rsidRPr="0073666E">
        <w:rPr>
          <w:lang w:val="de-CH"/>
        </w:rPr>
        <w:t>police</w:t>
      </w:r>
      <w:proofErr w:type="spellEnd"/>
      <w:r w:rsidR="0073666E" w:rsidRPr="0073666E">
        <w:rPr>
          <w:lang w:val="de-CH"/>
        </w:rPr>
        <w:t xml:space="preserve"> du </w:t>
      </w:r>
      <w:proofErr w:type="spellStart"/>
      <w:r w:rsidR="0073666E" w:rsidRPr="0073666E">
        <w:rPr>
          <w:lang w:val="de-CH"/>
        </w:rPr>
        <w:t>canton</w:t>
      </w:r>
      <w:proofErr w:type="spellEnd"/>
      <w:r w:rsidR="0073666E" w:rsidRPr="0073666E">
        <w:rPr>
          <w:lang w:val="de-CH"/>
        </w:rPr>
        <w:t xml:space="preserve"> de SO </w:t>
      </w:r>
      <w:proofErr w:type="spellStart"/>
      <w:r w:rsidR="0073666E" w:rsidRPr="0073666E">
        <w:rPr>
          <w:lang w:val="de-CH"/>
        </w:rPr>
        <w:t>publie</w:t>
      </w:r>
      <w:proofErr w:type="spellEnd"/>
      <w:r w:rsidR="0073666E" w:rsidRPr="0073666E">
        <w:rPr>
          <w:lang w:val="de-CH"/>
        </w:rPr>
        <w:t xml:space="preserve"> </w:t>
      </w:r>
      <w:proofErr w:type="spellStart"/>
      <w:r w:rsidR="0073666E" w:rsidRPr="0073666E">
        <w:rPr>
          <w:lang w:val="de-CH"/>
        </w:rPr>
        <w:t>chaque</w:t>
      </w:r>
      <w:proofErr w:type="spellEnd"/>
      <w:r w:rsidR="0073666E" w:rsidRPr="0073666E">
        <w:rPr>
          <w:lang w:val="de-CH"/>
        </w:rPr>
        <w:t xml:space="preserve"> </w:t>
      </w:r>
      <w:proofErr w:type="spellStart"/>
      <w:r w:rsidR="0073666E" w:rsidRPr="0073666E">
        <w:rPr>
          <w:lang w:val="de-CH"/>
        </w:rPr>
        <w:t>année</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dont</w:t>
      </w:r>
      <w:proofErr w:type="spellEnd"/>
      <w:r w:rsidR="0073666E" w:rsidRPr="0073666E">
        <w:rPr>
          <w:lang w:val="de-CH"/>
        </w:rPr>
        <w:t xml:space="preserve"> </w:t>
      </w:r>
      <w:proofErr w:type="spellStart"/>
      <w:r w:rsidR="0073666E" w:rsidRPr="0073666E">
        <w:rPr>
          <w:lang w:val="de-CH"/>
        </w:rPr>
        <w:t>elle</w:t>
      </w:r>
      <w:proofErr w:type="spellEnd"/>
      <w:r w:rsidR="0073666E" w:rsidRPr="0073666E">
        <w:rPr>
          <w:lang w:val="de-CH"/>
        </w:rPr>
        <w:t xml:space="preserve"> a fait </w:t>
      </w:r>
      <w:proofErr w:type="spellStart"/>
      <w:r w:rsidR="0073666E" w:rsidRPr="0073666E">
        <w:rPr>
          <w:lang w:val="de-CH"/>
        </w:rPr>
        <w:t>usage</w:t>
      </w:r>
      <w:proofErr w:type="spellEnd"/>
      <w:r w:rsidR="0073666E" w:rsidRPr="0073666E">
        <w:rPr>
          <w:lang w:val="de-CH"/>
        </w:rPr>
        <w:t xml:space="preserve"> (</w:t>
      </w:r>
      <w:proofErr w:type="spellStart"/>
      <w:r w:rsidR="0073666E" w:rsidRPr="0073666E">
        <w:rPr>
          <w:lang w:val="de-CH"/>
        </w:rPr>
        <w:t>données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présentant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grand</w:t>
      </w:r>
      <w:proofErr w:type="spellEnd"/>
      <w:r w:rsidR="0073666E" w:rsidRPr="0073666E">
        <w:rPr>
          <w:lang w:val="de-CH"/>
        </w:rPr>
        <w:t xml:space="preserve"> </w:t>
      </w:r>
      <w:proofErr w:type="spellStart"/>
      <w:r w:rsidR="0073666E" w:rsidRPr="0073666E">
        <w:rPr>
          <w:lang w:val="de-CH"/>
        </w:rPr>
        <w:t>potentiel</w:t>
      </w:r>
      <w:proofErr w:type="spellEnd"/>
      <w:r w:rsidR="0073666E" w:rsidRPr="0073666E">
        <w:rPr>
          <w:lang w:val="de-CH"/>
        </w:rPr>
        <w:t xml:space="preserve"> de </w:t>
      </w:r>
      <w:proofErr w:type="spellStart"/>
      <w:r w:rsidR="0073666E" w:rsidRPr="0073666E">
        <w:rPr>
          <w:lang w:val="de-CH"/>
        </w:rPr>
        <w:t>violence</w:t>
      </w:r>
      <w:proofErr w:type="spellEnd"/>
      <w:r w:rsidR="0073666E" w:rsidRPr="0073666E">
        <w:rPr>
          <w:lang w:val="de-CH"/>
        </w:rPr>
        <w:t xml:space="preserve">, </w:t>
      </w:r>
      <w:proofErr w:type="spellStart"/>
      <w:r w:rsidR="0073666E" w:rsidRPr="0073666E">
        <w:rPr>
          <w:lang w:val="de-CH"/>
        </w:rPr>
        <w:t>observations</w:t>
      </w:r>
      <w:proofErr w:type="spellEnd"/>
      <w:r w:rsidR="0073666E" w:rsidRPr="0073666E">
        <w:rPr>
          <w:lang w:val="de-CH"/>
        </w:rPr>
        <w:t xml:space="preserve">, </w:t>
      </w:r>
      <w:proofErr w:type="spellStart"/>
      <w:r w:rsidR="0073666E" w:rsidRPr="0073666E">
        <w:rPr>
          <w:lang w:val="de-CH"/>
        </w:rPr>
        <w:t>utilisation</w:t>
      </w:r>
      <w:proofErr w:type="spellEnd"/>
      <w:r w:rsidR="0073666E" w:rsidRPr="0073666E">
        <w:rPr>
          <w:lang w:val="de-CH"/>
        </w:rPr>
        <w:t xml:space="preserve"> </w:t>
      </w:r>
      <w:proofErr w:type="spellStart"/>
      <w:r w:rsidR="0073666E" w:rsidRPr="0073666E">
        <w:rPr>
          <w:lang w:val="de-CH"/>
        </w:rPr>
        <w:t>d’instruments</w:t>
      </w:r>
      <w:proofErr w:type="spellEnd"/>
      <w:r w:rsidR="0073666E" w:rsidRPr="0073666E">
        <w:rPr>
          <w:lang w:val="de-CH"/>
        </w:rPr>
        <w:t xml:space="preserve"> </w:t>
      </w:r>
      <w:proofErr w:type="spellStart"/>
      <w:r w:rsidR="0073666E" w:rsidRPr="0073666E">
        <w:rPr>
          <w:lang w:val="de-CH"/>
        </w:rPr>
        <w:t>destinés</w:t>
      </w:r>
      <w:proofErr w:type="spellEnd"/>
      <w:r w:rsidR="0073666E" w:rsidRPr="0073666E">
        <w:rPr>
          <w:lang w:val="de-CH"/>
        </w:rPr>
        <w:t xml:space="preserve"> à </w:t>
      </w:r>
      <w:proofErr w:type="spellStart"/>
      <w:r w:rsidR="0073666E" w:rsidRPr="0073666E">
        <w:rPr>
          <w:lang w:val="de-CH"/>
        </w:rPr>
        <w:t>enregistrer</w:t>
      </w:r>
      <w:proofErr w:type="spellEnd"/>
      <w:r w:rsidR="0073666E" w:rsidRPr="0073666E">
        <w:rPr>
          <w:lang w:val="de-CH"/>
        </w:rPr>
        <w:t xml:space="preserve"> des </w:t>
      </w:r>
      <w:proofErr w:type="spellStart"/>
      <w:r w:rsidR="0073666E" w:rsidRPr="0073666E">
        <w:rPr>
          <w:lang w:val="de-CH"/>
        </w:rPr>
        <w:t>images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des </w:t>
      </w:r>
      <w:proofErr w:type="spellStart"/>
      <w:r w:rsidR="0073666E" w:rsidRPr="0073666E">
        <w:rPr>
          <w:lang w:val="de-CH"/>
        </w:rPr>
        <w:t>sons</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w:t>
      </w:r>
      <w:proofErr w:type="spellStart"/>
      <w:r w:rsidR="0073666E" w:rsidRPr="0073666E">
        <w:rPr>
          <w:lang w:val="de-CH"/>
        </w:rPr>
        <w:t>manifestations</w:t>
      </w:r>
      <w:proofErr w:type="spellEnd"/>
      <w:r w:rsidR="0073666E" w:rsidRPr="0073666E">
        <w:rPr>
          <w:lang w:val="de-CH"/>
        </w:rPr>
        <w:t xml:space="preserve"> à des </w:t>
      </w:r>
      <w:proofErr w:type="spellStart"/>
      <w:r w:rsidR="0073666E" w:rsidRPr="0073666E">
        <w:rPr>
          <w:lang w:val="de-CH"/>
        </w:rPr>
        <w:t>fins</w:t>
      </w:r>
      <w:proofErr w:type="spellEnd"/>
      <w:r w:rsidR="0073666E" w:rsidRPr="0073666E">
        <w:rPr>
          <w:lang w:val="de-CH"/>
        </w:rPr>
        <w:t xml:space="preserve"> de </w:t>
      </w:r>
      <w:proofErr w:type="spellStart"/>
      <w:r w:rsidR="0073666E" w:rsidRPr="0073666E">
        <w:rPr>
          <w:lang w:val="de-CH"/>
        </w:rPr>
        <w:t>preuve</w:t>
      </w:r>
      <w:proofErr w:type="spellEnd"/>
      <w:r w:rsidR="0073666E" w:rsidRPr="0073666E">
        <w:rPr>
          <w:lang w:val="de-CH"/>
        </w:rPr>
        <w:t xml:space="preserve">, </w:t>
      </w:r>
      <w:proofErr w:type="spellStart"/>
      <w:r w:rsidR="0073666E" w:rsidRPr="0073666E">
        <w:rPr>
          <w:lang w:val="de-CH"/>
        </w:rPr>
        <w:t>investigations</w:t>
      </w:r>
      <w:proofErr w:type="spellEnd"/>
      <w:r w:rsidR="0073666E" w:rsidRPr="0073666E">
        <w:rPr>
          <w:lang w:val="de-CH"/>
        </w:rPr>
        <w:t xml:space="preserve"> </w:t>
      </w:r>
      <w:proofErr w:type="spellStart"/>
      <w:r w:rsidR="0073666E" w:rsidRPr="0073666E">
        <w:rPr>
          <w:lang w:val="de-CH"/>
        </w:rPr>
        <w:t>secrètes</w:t>
      </w:r>
      <w:proofErr w:type="spellEnd"/>
      <w:r w:rsidR="0073666E" w:rsidRPr="0073666E">
        <w:rPr>
          <w:lang w:val="de-CH"/>
        </w:rPr>
        <w:t xml:space="preserve">). </w:t>
      </w:r>
      <w:r w:rsidR="002B6ED6">
        <w:rPr>
          <w:lang w:val="de-CH"/>
        </w:rPr>
        <w:t>À</w:t>
      </w:r>
      <w:r w:rsidR="0073666E" w:rsidRPr="0073666E">
        <w:rPr>
          <w:lang w:val="de-CH"/>
        </w:rPr>
        <w:t xml:space="preserve"> </w:t>
      </w:r>
      <w:proofErr w:type="spellStart"/>
      <w:r w:rsidR="0073666E" w:rsidRPr="0073666E">
        <w:rPr>
          <w:lang w:val="de-CH"/>
        </w:rPr>
        <w:t>côté</w:t>
      </w:r>
      <w:proofErr w:type="spellEnd"/>
      <w:r w:rsidR="0073666E" w:rsidRPr="0073666E">
        <w:rPr>
          <w:lang w:val="de-CH"/>
        </w:rPr>
        <w:t xml:space="preserve"> de </w:t>
      </w:r>
      <w:proofErr w:type="spellStart"/>
      <w:r w:rsidR="0073666E" w:rsidRPr="0073666E">
        <w:rPr>
          <w:lang w:val="de-CH"/>
        </w:rPr>
        <w:t>cela</w:t>
      </w:r>
      <w:proofErr w:type="spellEnd"/>
      <w:r w:rsidR="0073666E" w:rsidRPr="0073666E">
        <w:rPr>
          <w:lang w:val="de-CH"/>
        </w:rPr>
        <w:t xml:space="preserve">, diverses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adoptées</w:t>
      </w:r>
      <w:proofErr w:type="spellEnd"/>
      <w:r w:rsidR="0073666E" w:rsidRPr="0073666E">
        <w:rPr>
          <w:lang w:val="de-CH"/>
        </w:rPr>
        <w:t xml:space="preserve"> </w:t>
      </w:r>
      <w:proofErr w:type="spellStart"/>
      <w:r w:rsidR="0073666E" w:rsidRPr="0073666E">
        <w:rPr>
          <w:lang w:val="de-CH"/>
        </w:rPr>
        <w:t>afin</w:t>
      </w:r>
      <w:proofErr w:type="spellEnd"/>
      <w:r w:rsidR="0073666E" w:rsidRPr="0073666E">
        <w:rPr>
          <w:lang w:val="de-CH"/>
        </w:rPr>
        <w:t xml:space="preserve"> </w:t>
      </w:r>
      <w:proofErr w:type="spellStart"/>
      <w:r w:rsidR="0073666E" w:rsidRPr="0073666E">
        <w:rPr>
          <w:lang w:val="de-CH"/>
        </w:rPr>
        <w:t>d’assurer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police</w:t>
      </w:r>
      <w:proofErr w:type="spellEnd"/>
      <w:r w:rsidR="0073666E" w:rsidRPr="0073666E">
        <w:rPr>
          <w:lang w:val="de-CH"/>
        </w:rPr>
        <w:t xml:space="preserve"> </w:t>
      </w:r>
      <w:proofErr w:type="spellStart"/>
      <w:r w:rsidR="0073666E" w:rsidRPr="0073666E">
        <w:rPr>
          <w:lang w:val="de-CH"/>
        </w:rPr>
        <w:t>ne</w:t>
      </w:r>
      <w:proofErr w:type="spellEnd"/>
      <w:r w:rsidR="0073666E" w:rsidRPr="0073666E">
        <w:rPr>
          <w:lang w:val="de-CH"/>
        </w:rPr>
        <w:t xml:space="preserve"> fasse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usage</w:t>
      </w:r>
      <w:proofErr w:type="spellEnd"/>
      <w:r w:rsidR="0073666E" w:rsidRPr="0073666E">
        <w:rPr>
          <w:lang w:val="de-CH"/>
        </w:rPr>
        <w:t xml:space="preserve"> du </w:t>
      </w:r>
      <w:proofErr w:type="spellStart"/>
      <w:r w:rsidR="0073666E" w:rsidRPr="0073666E">
        <w:rPr>
          <w:lang w:val="de-CH"/>
        </w:rPr>
        <w:t>monopole</w:t>
      </w:r>
      <w:proofErr w:type="spellEnd"/>
      <w:r w:rsidR="0073666E" w:rsidRPr="0073666E">
        <w:rPr>
          <w:lang w:val="de-CH"/>
        </w:rPr>
        <w:t xml:space="preserve"> de la </w:t>
      </w:r>
      <w:proofErr w:type="spellStart"/>
      <w:r w:rsidR="0073666E" w:rsidRPr="0073666E">
        <w:rPr>
          <w:lang w:val="de-CH"/>
        </w:rPr>
        <w:t>force</w:t>
      </w:r>
      <w:proofErr w:type="spellEnd"/>
      <w:r w:rsidR="0073666E" w:rsidRPr="0073666E">
        <w:rPr>
          <w:lang w:val="de-CH"/>
        </w:rPr>
        <w:t xml:space="preserve"> </w:t>
      </w:r>
      <w:proofErr w:type="spellStart"/>
      <w:r w:rsidR="0073666E" w:rsidRPr="0073666E">
        <w:rPr>
          <w:lang w:val="de-CH"/>
        </w:rPr>
        <w:t>publique</w:t>
      </w:r>
      <w:proofErr w:type="spellEnd"/>
      <w:r w:rsidR="0073666E" w:rsidRPr="0073666E">
        <w:rPr>
          <w:lang w:val="de-CH"/>
        </w:rPr>
        <w:t xml:space="preserve"> de </w:t>
      </w:r>
      <w:proofErr w:type="spellStart"/>
      <w:r w:rsidR="0073666E" w:rsidRPr="0073666E">
        <w:rPr>
          <w:lang w:val="de-CH"/>
        </w:rPr>
        <w:t>manière</w:t>
      </w:r>
      <w:proofErr w:type="spellEnd"/>
      <w:r w:rsidR="0073666E" w:rsidRPr="0073666E">
        <w:rPr>
          <w:lang w:val="de-CH"/>
        </w:rPr>
        <w:t xml:space="preserve"> abusive. Il </w:t>
      </w:r>
      <w:proofErr w:type="spellStart"/>
      <w:r w:rsidR="0073666E" w:rsidRPr="0073666E">
        <w:rPr>
          <w:lang w:val="de-CH"/>
        </w:rPr>
        <w:t>s’agit</w:t>
      </w:r>
      <w:proofErr w:type="spellEnd"/>
      <w:r w:rsidR="0073666E" w:rsidRPr="0073666E">
        <w:rPr>
          <w:lang w:val="de-CH"/>
        </w:rPr>
        <w:t xml:space="preserve"> avant </w:t>
      </w:r>
      <w:proofErr w:type="spellStart"/>
      <w:r w:rsidR="0073666E" w:rsidRPr="0073666E">
        <w:rPr>
          <w:lang w:val="de-CH"/>
        </w:rPr>
        <w:t>tout</w:t>
      </w:r>
      <w:proofErr w:type="spellEnd"/>
      <w:r w:rsidR="0073666E" w:rsidRPr="0073666E">
        <w:rPr>
          <w:lang w:val="de-CH"/>
        </w:rPr>
        <w:t xml:space="preserve"> de </w:t>
      </w:r>
      <w:proofErr w:type="spellStart"/>
      <w:r w:rsidR="0073666E" w:rsidRPr="0073666E">
        <w:rPr>
          <w:lang w:val="de-CH"/>
        </w:rPr>
        <w:t>formations</w:t>
      </w:r>
      <w:proofErr w:type="spellEnd"/>
      <w:r w:rsidR="0073666E" w:rsidRPr="0073666E">
        <w:rPr>
          <w:lang w:val="de-CH"/>
        </w:rPr>
        <w:t xml:space="preserve"> </w:t>
      </w:r>
      <w:proofErr w:type="spellStart"/>
      <w:r w:rsidR="0073666E" w:rsidRPr="0073666E">
        <w:rPr>
          <w:lang w:val="de-CH"/>
        </w:rPr>
        <w:t>continues</w:t>
      </w:r>
      <w:proofErr w:type="spellEnd"/>
      <w:r w:rsidR="0073666E" w:rsidRPr="0073666E">
        <w:rPr>
          <w:lang w:val="de-CH"/>
        </w:rPr>
        <w:t xml:space="preserve"> et de </w:t>
      </w:r>
      <w:proofErr w:type="spellStart"/>
      <w:r w:rsidR="0073666E" w:rsidRPr="0073666E">
        <w:rPr>
          <w:lang w:val="de-CH"/>
        </w:rPr>
        <w:t>cours</w:t>
      </w:r>
      <w:proofErr w:type="spellEnd"/>
      <w:r w:rsidR="0073666E" w:rsidRPr="0073666E">
        <w:rPr>
          <w:lang w:val="de-CH"/>
        </w:rPr>
        <w:t xml:space="preserve"> de </w:t>
      </w:r>
      <w:proofErr w:type="spellStart"/>
      <w:r w:rsidR="0073666E" w:rsidRPr="0073666E">
        <w:rPr>
          <w:lang w:val="de-CH"/>
        </w:rPr>
        <w:t>perfectionnement</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d’actions</w:t>
      </w:r>
      <w:proofErr w:type="spellEnd"/>
      <w:r w:rsidR="0073666E" w:rsidRPr="0073666E">
        <w:rPr>
          <w:lang w:val="de-CH"/>
        </w:rPr>
        <w:t xml:space="preserve"> de </w:t>
      </w:r>
      <w:proofErr w:type="spellStart"/>
      <w:r w:rsidR="0073666E" w:rsidRPr="0073666E">
        <w:rPr>
          <w:lang w:val="de-CH"/>
        </w:rPr>
        <w:t>sensibilisation</w:t>
      </w:r>
      <w:proofErr w:type="spellEnd"/>
      <w:r w:rsidR="0073666E" w:rsidRPr="0073666E">
        <w:rPr>
          <w:lang w:val="de-CH"/>
        </w:rPr>
        <w:t xml:space="preserve"> au « </w:t>
      </w:r>
      <w:proofErr w:type="spellStart"/>
      <w:r w:rsidR="0073666E" w:rsidRPr="0073666E">
        <w:rPr>
          <w:lang w:val="de-CH"/>
        </w:rPr>
        <w:t>profilage</w:t>
      </w:r>
      <w:proofErr w:type="spellEnd"/>
      <w:r w:rsidR="0073666E" w:rsidRPr="0073666E">
        <w:rPr>
          <w:lang w:val="de-CH"/>
        </w:rPr>
        <w:t xml:space="preserve"> </w:t>
      </w:r>
      <w:proofErr w:type="spellStart"/>
      <w:r w:rsidR="0073666E" w:rsidRPr="0073666E">
        <w:rPr>
          <w:lang w:val="de-CH"/>
        </w:rPr>
        <w:t>racial</w:t>
      </w:r>
      <w:proofErr w:type="spellEnd"/>
      <w:r w:rsidR="0073666E" w:rsidRPr="0073666E">
        <w:rPr>
          <w:lang w:val="de-CH"/>
        </w:rPr>
        <w:t xml:space="preserve"> »,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expressément</w:t>
      </w:r>
      <w:proofErr w:type="spellEnd"/>
      <w:r w:rsidR="0073666E" w:rsidRPr="0073666E">
        <w:rPr>
          <w:lang w:val="de-CH"/>
        </w:rPr>
        <w:t xml:space="preserve"> </w:t>
      </w:r>
      <w:proofErr w:type="spellStart"/>
      <w:r w:rsidR="0073666E" w:rsidRPr="0073666E">
        <w:rPr>
          <w:lang w:val="de-CH"/>
        </w:rPr>
        <w:t>prohibé</w:t>
      </w:r>
      <w:proofErr w:type="spellEnd"/>
      <w:r w:rsidR="0073666E" w:rsidRPr="0073666E">
        <w:rPr>
          <w:lang w:val="de-CH"/>
        </w:rPr>
        <w:t>.</w:t>
      </w:r>
    </w:p>
    <w:p w14:paraId="38AC1CB8" w14:textId="77777777" w:rsidR="0073666E" w:rsidRPr="0073666E" w:rsidRDefault="00295883" w:rsidP="00295883">
      <w:pPr>
        <w:pStyle w:val="SingleTxtG"/>
        <w:rPr>
          <w:lang w:val="de-CH"/>
        </w:rPr>
      </w:pPr>
      <w:r>
        <w:rPr>
          <w:lang w:val="de-CH"/>
        </w:rPr>
        <w:t>142.</w:t>
      </w:r>
      <w:r>
        <w:rPr>
          <w:lang w:val="de-CH"/>
        </w:rPr>
        <w:tab/>
      </w:r>
      <w:r w:rsidR="0073666E" w:rsidRPr="0073666E">
        <w:rPr>
          <w:lang w:val="de-CH"/>
        </w:rPr>
        <w:t xml:space="preserve">La </w:t>
      </w:r>
      <w:r w:rsidR="0073666E" w:rsidRPr="00295883">
        <w:t>quasi</w:t>
      </w:r>
      <w:r w:rsidR="0073666E" w:rsidRPr="0073666E">
        <w:rPr>
          <w:lang w:val="de-CH"/>
        </w:rPr>
        <w:t>-</w:t>
      </w:r>
      <w:proofErr w:type="spellStart"/>
      <w:r w:rsidR="0073666E" w:rsidRPr="0073666E">
        <w:rPr>
          <w:lang w:val="de-CH"/>
        </w:rPr>
        <w:t>totalité</w:t>
      </w:r>
      <w:proofErr w:type="spellEnd"/>
      <w:r w:rsidR="0073666E" w:rsidRPr="0073666E">
        <w:rPr>
          <w:lang w:val="de-CH"/>
        </w:rPr>
        <w:t xml:space="preserve"> des </w:t>
      </w:r>
      <w:proofErr w:type="spellStart"/>
      <w:r w:rsidR="0073666E" w:rsidRPr="0073666E">
        <w:rPr>
          <w:lang w:val="de-CH"/>
        </w:rPr>
        <w:t>autorités</w:t>
      </w:r>
      <w:proofErr w:type="spellEnd"/>
      <w:r w:rsidR="0073666E" w:rsidRPr="0073666E">
        <w:rPr>
          <w:lang w:val="de-CH"/>
        </w:rPr>
        <w:t xml:space="preserve"> </w:t>
      </w:r>
      <w:proofErr w:type="spellStart"/>
      <w:r w:rsidR="0073666E" w:rsidRPr="0073666E">
        <w:rPr>
          <w:lang w:val="de-CH"/>
        </w:rPr>
        <w:t>cantonales</w:t>
      </w:r>
      <w:proofErr w:type="spellEnd"/>
      <w:r w:rsidR="0073666E" w:rsidRPr="0073666E">
        <w:rPr>
          <w:lang w:val="de-CH"/>
        </w:rPr>
        <w:t xml:space="preserve"> responsables de </w:t>
      </w:r>
      <w:proofErr w:type="spellStart"/>
      <w:r w:rsidR="0073666E" w:rsidRPr="0073666E">
        <w:rPr>
          <w:lang w:val="de-CH"/>
        </w:rPr>
        <w:t>l’exécution</w:t>
      </w:r>
      <w:proofErr w:type="spellEnd"/>
      <w:r w:rsidR="0073666E" w:rsidRPr="0073666E">
        <w:rPr>
          <w:lang w:val="de-CH"/>
        </w:rPr>
        <w:t xml:space="preserve"> des </w:t>
      </w:r>
      <w:proofErr w:type="spellStart"/>
      <w:r w:rsidR="0073666E" w:rsidRPr="0073666E">
        <w:rPr>
          <w:lang w:val="de-CH"/>
        </w:rPr>
        <w:t>peines</w:t>
      </w:r>
      <w:proofErr w:type="spellEnd"/>
      <w:r w:rsidR="0073666E" w:rsidRPr="0073666E">
        <w:rPr>
          <w:lang w:val="de-CH"/>
        </w:rPr>
        <w:t xml:space="preserve"> et </w:t>
      </w:r>
      <w:proofErr w:type="spellStart"/>
      <w:r w:rsidR="0073666E" w:rsidRPr="0073666E">
        <w:rPr>
          <w:lang w:val="de-CH"/>
        </w:rPr>
        <w:t>mesures</w:t>
      </w:r>
      <w:proofErr w:type="spellEnd"/>
      <w:r w:rsidR="0073666E" w:rsidRPr="0073666E">
        <w:rPr>
          <w:lang w:val="de-CH"/>
        </w:rPr>
        <w:t xml:space="preserve"> ne </w:t>
      </w:r>
      <w:proofErr w:type="spellStart"/>
      <w:r w:rsidR="0073666E" w:rsidRPr="0073666E">
        <w:rPr>
          <w:lang w:val="de-CH"/>
        </w:rPr>
        <w:t>dénombre</w:t>
      </w:r>
      <w:proofErr w:type="spellEnd"/>
      <w:r w:rsidR="0073666E" w:rsidRPr="0073666E">
        <w:rPr>
          <w:lang w:val="de-CH"/>
        </w:rPr>
        <w:t xml:space="preserve"> </w:t>
      </w:r>
      <w:proofErr w:type="spellStart"/>
      <w:r w:rsidR="0073666E" w:rsidRPr="0073666E">
        <w:rPr>
          <w:lang w:val="de-CH"/>
        </w:rPr>
        <w:t>aucun</w:t>
      </w:r>
      <w:proofErr w:type="spellEnd"/>
      <w:r w:rsidR="0073666E" w:rsidRPr="0073666E">
        <w:rPr>
          <w:lang w:val="de-CH"/>
        </w:rPr>
        <w:t xml:space="preserve"> </w:t>
      </w:r>
      <w:proofErr w:type="spellStart"/>
      <w:r w:rsidR="0073666E" w:rsidRPr="0073666E">
        <w:rPr>
          <w:lang w:val="de-CH"/>
        </w:rPr>
        <w:t>signalement</w:t>
      </w:r>
      <w:proofErr w:type="spellEnd"/>
      <w:r w:rsidR="0073666E" w:rsidRPr="0073666E">
        <w:rPr>
          <w:lang w:val="de-CH"/>
        </w:rPr>
        <w:t xml:space="preserve"> </w:t>
      </w:r>
      <w:proofErr w:type="spellStart"/>
      <w:r w:rsidR="0073666E" w:rsidRPr="0073666E">
        <w:rPr>
          <w:lang w:val="de-CH"/>
        </w:rPr>
        <w:t>d’actes</w:t>
      </w:r>
      <w:proofErr w:type="spellEnd"/>
      <w:r w:rsidR="0073666E" w:rsidRPr="0073666E">
        <w:rPr>
          <w:lang w:val="de-CH"/>
        </w:rPr>
        <w:t xml:space="preserve"> de </w:t>
      </w:r>
      <w:proofErr w:type="spellStart"/>
      <w:r w:rsidR="0073666E" w:rsidRPr="0073666E">
        <w:rPr>
          <w:lang w:val="de-CH"/>
        </w:rPr>
        <w:t>mauvais</w:t>
      </w:r>
      <w:proofErr w:type="spellEnd"/>
      <w:r w:rsidR="0073666E" w:rsidRPr="0073666E">
        <w:rPr>
          <w:lang w:val="de-CH"/>
        </w:rPr>
        <w:t xml:space="preserve"> </w:t>
      </w:r>
      <w:proofErr w:type="spellStart"/>
      <w:r w:rsidR="0073666E" w:rsidRPr="0073666E">
        <w:rPr>
          <w:lang w:val="de-CH"/>
        </w:rPr>
        <w:t>traitements</w:t>
      </w:r>
      <w:proofErr w:type="spellEnd"/>
      <w:r w:rsidR="0073666E" w:rsidRPr="0073666E">
        <w:rPr>
          <w:lang w:val="de-CH"/>
        </w:rPr>
        <w:t xml:space="preserve"> par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médecin</w:t>
      </w:r>
      <w:proofErr w:type="spellEnd"/>
      <w:r w:rsidR="0073666E" w:rsidRPr="0073666E">
        <w:rPr>
          <w:lang w:val="de-CH"/>
        </w:rPr>
        <w:t xml:space="preserve"> </w:t>
      </w:r>
      <w:proofErr w:type="spellStart"/>
      <w:r w:rsidR="0073666E" w:rsidRPr="0073666E">
        <w:rPr>
          <w:lang w:val="de-CH"/>
        </w:rPr>
        <w:t>ayant</w:t>
      </w:r>
      <w:proofErr w:type="spellEnd"/>
      <w:r w:rsidR="0073666E" w:rsidRPr="0073666E">
        <w:rPr>
          <w:lang w:val="de-CH"/>
        </w:rPr>
        <w:t xml:space="preserve"> </w:t>
      </w:r>
      <w:proofErr w:type="spellStart"/>
      <w:r w:rsidR="0073666E" w:rsidRPr="0073666E">
        <w:rPr>
          <w:lang w:val="de-CH"/>
        </w:rPr>
        <w:t>examiné</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privée</w:t>
      </w:r>
      <w:proofErr w:type="spellEnd"/>
      <w:r w:rsidR="0073666E" w:rsidRPr="0073666E">
        <w:rPr>
          <w:lang w:val="de-CH"/>
        </w:rPr>
        <w:t xml:space="preserve"> de </w:t>
      </w:r>
      <w:proofErr w:type="spellStart"/>
      <w:r w:rsidR="0073666E" w:rsidRPr="0073666E">
        <w:rPr>
          <w:lang w:val="de-CH"/>
        </w:rPr>
        <w:t>liberté</w:t>
      </w:r>
      <w:proofErr w:type="spellEnd"/>
      <w:r w:rsidR="0073666E" w:rsidRPr="0073666E">
        <w:rPr>
          <w:lang w:val="de-CH"/>
        </w:rPr>
        <w:t xml:space="preserve">. </w:t>
      </w:r>
    </w:p>
    <w:p w14:paraId="3DD69A55" w14:textId="77777777" w:rsidR="0073666E" w:rsidRPr="0073666E" w:rsidRDefault="00295883" w:rsidP="00295883">
      <w:pPr>
        <w:pStyle w:val="SingleTxtG"/>
        <w:rPr>
          <w:lang w:val="de-CH"/>
        </w:rPr>
      </w:pPr>
      <w:r>
        <w:rPr>
          <w:lang w:val="de-CH"/>
        </w:rPr>
        <w:t>143.</w:t>
      </w:r>
      <w:r>
        <w:rPr>
          <w:lang w:val="de-CH"/>
        </w:rPr>
        <w:tab/>
      </w:r>
      <w:r w:rsidR="0073666E" w:rsidRPr="0073666E">
        <w:rPr>
          <w:lang w:val="de-CH"/>
        </w:rPr>
        <w:t xml:space="preserve">Dans le </w:t>
      </w:r>
      <w:proofErr w:type="spellStart"/>
      <w:r w:rsidR="0073666E" w:rsidRPr="0073666E">
        <w:rPr>
          <w:lang w:val="de-CH"/>
        </w:rPr>
        <w:t>canton</w:t>
      </w:r>
      <w:proofErr w:type="spellEnd"/>
      <w:r w:rsidR="0073666E" w:rsidRPr="0073666E">
        <w:rPr>
          <w:lang w:val="de-CH"/>
        </w:rPr>
        <w:t xml:space="preserve"> de SO,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investigation</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ouverte </w:t>
      </w:r>
      <w:proofErr w:type="spellStart"/>
      <w:r w:rsidR="0073666E" w:rsidRPr="0073666E">
        <w:rPr>
          <w:lang w:val="de-CH"/>
        </w:rPr>
        <w:t>sur</w:t>
      </w:r>
      <w:proofErr w:type="spellEnd"/>
      <w:r w:rsidR="0073666E" w:rsidRPr="0073666E">
        <w:rPr>
          <w:lang w:val="de-CH"/>
        </w:rPr>
        <w:t xml:space="preserve"> la </w:t>
      </w:r>
      <w:proofErr w:type="spellStart"/>
      <w:r w:rsidR="0073666E" w:rsidRPr="0073666E">
        <w:rPr>
          <w:lang w:val="de-CH"/>
        </w:rPr>
        <w:t>base</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médical</w:t>
      </w:r>
      <w:proofErr w:type="spellEnd"/>
      <w:r w:rsidR="0073666E" w:rsidRPr="0073666E">
        <w:rPr>
          <w:lang w:val="de-CH"/>
        </w:rPr>
        <w:t xml:space="preserve"> </w:t>
      </w:r>
      <w:proofErr w:type="spellStart"/>
      <w:r w:rsidR="0073666E" w:rsidRPr="0073666E">
        <w:rPr>
          <w:lang w:val="de-CH"/>
        </w:rPr>
        <w:t>constatant</w:t>
      </w:r>
      <w:proofErr w:type="spellEnd"/>
      <w:r w:rsidR="0073666E" w:rsidRPr="0073666E">
        <w:rPr>
          <w:lang w:val="de-CH"/>
        </w:rPr>
        <w:t xml:space="preserve"> des </w:t>
      </w:r>
      <w:proofErr w:type="spellStart"/>
      <w:r w:rsidR="0073666E" w:rsidRPr="0073666E">
        <w:rPr>
          <w:lang w:val="de-CH"/>
        </w:rPr>
        <w:t>hématomes</w:t>
      </w:r>
      <w:proofErr w:type="spellEnd"/>
      <w:r w:rsidR="0073666E" w:rsidRPr="0073666E">
        <w:rPr>
          <w:lang w:val="de-CH"/>
        </w:rPr>
        <w:t xml:space="preserve"> </w:t>
      </w:r>
      <w:proofErr w:type="spellStart"/>
      <w:r w:rsidR="0073666E" w:rsidRPr="0073666E">
        <w:rPr>
          <w:lang w:val="de-CH"/>
        </w:rPr>
        <w:t>suite</w:t>
      </w:r>
      <w:proofErr w:type="spellEnd"/>
      <w:r w:rsidR="0073666E" w:rsidRPr="0073666E">
        <w:rPr>
          <w:lang w:val="de-CH"/>
        </w:rPr>
        <w:t xml:space="preserve"> à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arrestation</w:t>
      </w:r>
      <w:proofErr w:type="spellEnd"/>
      <w:r w:rsidR="0073666E" w:rsidRPr="0073666E">
        <w:rPr>
          <w:lang w:val="de-CH"/>
        </w:rPr>
        <w:t xml:space="preserve">. </w:t>
      </w:r>
      <w:proofErr w:type="spellStart"/>
      <w:r w:rsidR="0073666E" w:rsidRPr="0073666E">
        <w:rPr>
          <w:lang w:val="de-CH"/>
        </w:rPr>
        <w:t>L’investigation</w:t>
      </w:r>
      <w:proofErr w:type="spellEnd"/>
      <w:r w:rsidR="0073666E" w:rsidRPr="0073666E">
        <w:rPr>
          <w:lang w:val="de-CH"/>
        </w:rPr>
        <w:t xml:space="preserve">, </w:t>
      </w:r>
      <w:proofErr w:type="spellStart"/>
      <w:r w:rsidR="0073666E" w:rsidRPr="0073666E">
        <w:rPr>
          <w:lang w:val="de-CH"/>
        </w:rPr>
        <w:t>menée</w:t>
      </w:r>
      <w:proofErr w:type="spellEnd"/>
      <w:r w:rsidR="0073666E" w:rsidRPr="0073666E">
        <w:rPr>
          <w:lang w:val="de-CH"/>
        </w:rPr>
        <w:t xml:space="preserve"> de </w:t>
      </w:r>
      <w:proofErr w:type="spellStart"/>
      <w:r w:rsidR="0073666E" w:rsidRPr="0073666E">
        <w:rPr>
          <w:lang w:val="de-CH"/>
        </w:rPr>
        <w:t>manière</w:t>
      </w:r>
      <w:proofErr w:type="spellEnd"/>
      <w:r w:rsidR="0073666E" w:rsidRPr="0073666E">
        <w:rPr>
          <w:lang w:val="de-CH"/>
        </w:rPr>
        <w:t xml:space="preserve"> </w:t>
      </w:r>
      <w:proofErr w:type="spellStart"/>
      <w:r w:rsidR="0073666E" w:rsidRPr="0073666E">
        <w:rPr>
          <w:lang w:val="de-CH"/>
        </w:rPr>
        <w:t>indépendante</w:t>
      </w:r>
      <w:proofErr w:type="spellEnd"/>
      <w:r w:rsidR="0073666E" w:rsidRPr="0073666E">
        <w:rPr>
          <w:lang w:val="de-CH"/>
        </w:rPr>
        <w:t xml:space="preserve"> et </w:t>
      </w:r>
      <w:proofErr w:type="spellStart"/>
      <w:r w:rsidR="0073666E" w:rsidRPr="0073666E">
        <w:rPr>
          <w:lang w:val="de-CH"/>
        </w:rPr>
        <w:t>impartiale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arrivée</w:t>
      </w:r>
      <w:proofErr w:type="spellEnd"/>
      <w:r w:rsidR="0073666E" w:rsidRPr="0073666E">
        <w:rPr>
          <w:lang w:val="de-CH"/>
        </w:rPr>
        <w:t xml:space="preserve"> à la </w:t>
      </w:r>
      <w:proofErr w:type="spellStart"/>
      <w:r w:rsidR="0073666E" w:rsidRPr="0073666E">
        <w:rPr>
          <w:lang w:val="de-CH"/>
        </w:rPr>
        <w:t>conclusion</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comportement</w:t>
      </w:r>
      <w:proofErr w:type="spellEnd"/>
      <w:r w:rsidR="0073666E" w:rsidRPr="0073666E">
        <w:rPr>
          <w:lang w:val="de-CH"/>
        </w:rPr>
        <w:t xml:space="preserve"> des </w:t>
      </w:r>
      <w:proofErr w:type="spellStart"/>
      <w:r w:rsidR="0073666E" w:rsidRPr="0073666E">
        <w:rPr>
          <w:lang w:val="de-CH"/>
        </w:rPr>
        <w:lastRenderedPageBreak/>
        <w:t>policiers</w:t>
      </w:r>
      <w:proofErr w:type="spellEnd"/>
      <w:r w:rsidR="0073666E" w:rsidRPr="0073666E">
        <w:rPr>
          <w:lang w:val="de-CH"/>
        </w:rPr>
        <w:t xml:space="preserve"> </w:t>
      </w:r>
      <w:proofErr w:type="spellStart"/>
      <w:r w:rsidR="0073666E" w:rsidRPr="0073666E">
        <w:rPr>
          <w:lang w:val="de-CH"/>
        </w:rPr>
        <w:t>avait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approprié</w:t>
      </w:r>
      <w:proofErr w:type="spellEnd"/>
      <w:r w:rsidR="0073666E" w:rsidRPr="0073666E">
        <w:rPr>
          <w:lang w:val="de-CH"/>
        </w:rPr>
        <w:t xml:space="preserve"> et </w:t>
      </w:r>
      <w:proofErr w:type="spellStart"/>
      <w:r w:rsidR="0073666E" w:rsidRPr="0073666E">
        <w:rPr>
          <w:lang w:val="de-CH"/>
        </w:rPr>
        <w:t>proportionné</w:t>
      </w:r>
      <w:proofErr w:type="spellEnd"/>
      <w:r w:rsidR="0073666E" w:rsidRPr="0073666E">
        <w:rPr>
          <w:lang w:val="de-CH"/>
        </w:rPr>
        <w:t xml:space="preserve">. Ce </w:t>
      </w:r>
      <w:proofErr w:type="spellStart"/>
      <w:r w:rsidR="0073666E" w:rsidRPr="0073666E">
        <w:rPr>
          <w:lang w:val="de-CH"/>
        </w:rPr>
        <w:t>résultat</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transmis</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parties</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qu’au</w:t>
      </w:r>
      <w:proofErr w:type="spellEnd"/>
      <w:r w:rsidR="0073666E" w:rsidRPr="0073666E">
        <w:rPr>
          <w:lang w:val="de-CH"/>
        </w:rPr>
        <w:t xml:space="preserve"> </w:t>
      </w:r>
      <w:proofErr w:type="spellStart"/>
      <w:r w:rsidR="0073666E" w:rsidRPr="0073666E">
        <w:rPr>
          <w:lang w:val="de-CH"/>
        </w:rPr>
        <w:t>médecin</w:t>
      </w:r>
      <w:proofErr w:type="spellEnd"/>
      <w:r w:rsidR="00556A55">
        <w:t> </w:t>
      </w:r>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n’a</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contesté</w:t>
      </w:r>
      <w:proofErr w:type="spellEnd"/>
      <w:r w:rsidR="0073666E" w:rsidRPr="0073666E">
        <w:rPr>
          <w:lang w:val="de-CH"/>
        </w:rPr>
        <w:t xml:space="preserve">. </w:t>
      </w:r>
    </w:p>
    <w:p w14:paraId="6CEB8066" w14:textId="77777777" w:rsidR="0073666E" w:rsidRPr="0073666E" w:rsidRDefault="00E76E99" w:rsidP="00E76E99">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D641C5">
        <w:rPr>
          <w:lang w:val="fr-FR"/>
        </w:rPr>
        <w:t>à la question posée</w:t>
      </w:r>
      <w:r w:rsidR="00D641C5">
        <w:rPr>
          <w:lang w:val="de-CH"/>
        </w:rPr>
        <w:t xml:space="preserve"> </w:t>
      </w:r>
      <w:r>
        <w:rPr>
          <w:lang w:val="de-CH"/>
        </w:rPr>
        <w:t xml:space="preserve">au </w:t>
      </w:r>
      <w:proofErr w:type="spellStart"/>
      <w:r>
        <w:rPr>
          <w:lang w:val="de-CH"/>
        </w:rPr>
        <w:t>paragraphe</w:t>
      </w:r>
      <w:proofErr w:type="spellEnd"/>
      <w:r>
        <w:rPr>
          <w:lang w:val="de-CH"/>
        </w:rPr>
        <w:t xml:space="preserve"> 24</w:t>
      </w:r>
    </w:p>
    <w:p w14:paraId="21A9BADF" w14:textId="77777777" w:rsidR="0073666E" w:rsidRPr="0073666E" w:rsidRDefault="00295883" w:rsidP="00295883">
      <w:pPr>
        <w:pStyle w:val="SingleTxtG"/>
      </w:pPr>
      <w:r>
        <w:rPr>
          <w:lang w:val="de-CH"/>
        </w:rPr>
        <w:t>144.</w:t>
      </w:r>
      <w:r>
        <w:rPr>
          <w:lang w:val="de-CH"/>
        </w:rPr>
        <w:tab/>
      </w:r>
      <w:proofErr w:type="spellStart"/>
      <w:r w:rsidR="0073666E" w:rsidRPr="00295883">
        <w:rPr>
          <w:lang w:val="de-CH"/>
        </w:rPr>
        <w:t>Concernant</w:t>
      </w:r>
      <w:proofErr w:type="spellEnd"/>
      <w:r w:rsidR="0073666E" w:rsidRPr="0073666E">
        <w:t xml:space="preserve"> le nombre d’enquêtes menées par l’IGS à l’encontre de policiers appartenant à la </w:t>
      </w:r>
      <w:proofErr w:type="spellStart"/>
      <w:r w:rsidR="0073666E" w:rsidRPr="0073666E">
        <w:t>Task</w:t>
      </w:r>
      <w:proofErr w:type="spellEnd"/>
      <w:r w:rsidR="0073666E" w:rsidRPr="0073666E">
        <w:t xml:space="preserve"> Force Drogue, il s’élève à deux en 2014, cinq en 2015, quatre en 2016 et quatre en 2017. Aucune enquête n’a encore été ouverte en 2018</w:t>
      </w:r>
      <w:r w:rsidR="0073666E" w:rsidRPr="009E1FD5">
        <w:rPr>
          <w:rStyle w:val="Appelnotedebasdep"/>
        </w:rPr>
        <w:footnoteReference w:id="37"/>
      </w:r>
      <w:r w:rsidR="00552382">
        <w:t>.</w:t>
      </w:r>
    </w:p>
    <w:p w14:paraId="0772D38F" w14:textId="77777777" w:rsidR="0073666E" w:rsidRPr="0073666E" w:rsidRDefault="00295883" w:rsidP="00295883">
      <w:pPr>
        <w:pStyle w:val="SingleTxtG"/>
        <w:rPr>
          <w:lang w:val="de-CH"/>
        </w:rPr>
      </w:pPr>
      <w:r>
        <w:rPr>
          <w:lang w:val="de-CH"/>
        </w:rPr>
        <w:t>145.</w:t>
      </w:r>
      <w:r>
        <w:rPr>
          <w:lang w:val="de-CH"/>
        </w:rPr>
        <w:tab/>
      </w:r>
      <w:proofErr w:type="spellStart"/>
      <w:r w:rsidR="0073666E" w:rsidRPr="0073666E">
        <w:rPr>
          <w:lang w:val="de-CH"/>
        </w:rPr>
        <w:t>Concernant</w:t>
      </w:r>
      <w:proofErr w:type="spellEnd"/>
      <w:r w:rsidR="0073666E" w:rsidRPr="0073666E">
        <w:rPr>
          <w:lang w:val="de-CH"/>
        </w:rPr>
        <w:t xml:space="preserve"> la </w:t>
      </w:r>
      <w:proofErr w:type="spellStart"/>
      <w:r w:rsidR="0073666E" w:rsidRPr="0073666E">
        <w:rPr>
          <w:lang w:val="de-CH"/>
        </w:rPr>
        <w:t>question</w:t>
      </w:r>
      <w:proofErr w:type="spellEnd"/>
      <w:r w:rsidR="0073666E" w:rsidRPr="0073666E">
        <w:rPr>
          <w:lang w:val="de-CH"/>
        </w:rPr>
        <w:t xml:space="preserve"> du </w:t>
      </w:r>
      <w:proofErr w:type="spellStart"/>
      <w:r w:rsidR="0073666E" w:rsidRPr="0073666E">
        <w:rPr>
          <w:lang w:val="de-CH"/>
        </w:rPr>
        <w:t>nombre</w:t>
      </w:r>
      <w:proofErr w:type="spellEnd"/>
      <w:r w:rsidR="0073666E" w:rsidRPr="0073666E">
        <w:rPr>
          <w:lang w:val="de-CH"/>
        </w:rPr>
        <w:t xml:space="preserve"> de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enquêtes</w:t>
      </w:r>
      <w:proofErr w:type="spellEnd"/>
      <w:r w:rsidR="0073666E" w:rsidRPr="0073666E">
        <w:rPr>
          <w:lang w:val="de-CH"/>
        </w:rPr>
        <w:t xml:space="preserve"> </w:t>
      </w:r>
      <w:proofErr w:type="spellStart"/>
      <w:r w:rsidR="0073666E" w:rsidRPr="0073666E">
        <w:rPr>
          <w:lang w:val="de-CH"/>
        </w:rPr>
        <w:t>ayant</w:t>
      </w:r>
      <w:proofErr w:type="spellEnd"/>
      <w:r w:rsidR="0073666E" w:rsidRPr="0073666E">
        <w:rPr>
          <w:lang w:val="de-CH"/>
        </w:rPr>
        <w:t xml:space="preserve"> </w:t>
      </w:r>
      <w:proofErr w:type="spellStart"/>
      <w:r w:rsidR="0073666E" w:rsidRPr="0073666E">
        <w:rPr>
          <w:lang w:val="de-CH"/>
        </w:rPr>
        <w:t>donné</w:t>
      </w:r>
      <w:proofErr w:type="spellEnd"/>
      <w:r w:rsidR="0073666E" w:rsidRPr="0073666E">
        <w:rPr>
          <w:lang w:val="de-CH"/>
        </w:rPr>
        <w:t xml:space="preserve"> </w:t>
      </w:r>
      <w:proofErr w:type="spellStart"/>
      <w:r w:rsidR="0073666E" w:rsidRPr="0073666E">
        <w:rPr>
          <w:lang w:val="de-CH"/>
        </w:rPr>
        <w:t>lieu</w:t>
      </w:r>
      <w:proofErr w:type="spellEnd"/>
      <w:r w:rsidR="0073666E" w:rsidRPr="0073666E">
        <w:rPr>
          <w:lang w:val="de-CH"/>
        </w:rPr>
        <w:t xml:space="preserve"> à des </w:t>
      </w:r>
      <w:proofErr w:type="spellStart"/>
      <w:r w:rsidR="0073666E" w:rsidRPr="0073666E">
        <w:rPr>
          <w:lang w:val="de-CH"/>
        </w:rPr>
        <w:t>poursuites</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sied</w:t>
      </w:r>
      <w:proofErr w:type="spellEnd"/>
      <w:r w:rsidR="0073666E" w:rsidRPr="0073666E">
        <w:rPr>
          <w:lang w:val="de-CH"/>
        </w:rPr>
        <w:t xml:space="preserve"> de </w:t>
      </w:r>
      <w:proofErr w:type="spellStart"/>
      <w:r w:rsidR="0073666E" w:rsidRPr="0073666E">
        <w:rPr>
          <w:lang w:val="de-CH"/>
        </w:rPr>
        <w:t>préciser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le </w:t>
      </w:r>
      <w:proofErr w:type="spellStart"/>
      <w:r w:rsidR="0073666E" w:rsidRPr="0073666E">
        <w:rPr>
          <w:lang w:val="de-CH"/>
        </w:rPr>
        <w:t>terme</w:t>
      </w:r>
      <w:proofErr w:type="spellEnd"/>
      <w:r w:rsidR="0073666E" w:rsidRPr="0073666E">
        <w:rPr>
          <w:lang w:val="de-CH"/>
        </w:rPr>
        <w:t xml:space="preserve"> de « </w:t>
      </w:r>
      <w:proofErr w:type="spellStart"/>
      <w:r w:rsidR="0073666E" w:rsidRPr="0073666E">
        <w:rPr>
          <w:lang w:val="de-CH"/>
        </w:rPr>
        <w:t>poursuite</w:t>
      </w:r>
      <w:proofErr w:type="spellEnd"/>
      <w:r w:rsidR="0073666E" w:rsidRPr="0073666E">
        <w:rPr>
          <w:lang w:val="de-CH"/>
        </w:rPr>
        <w:t xml:space="preserve"> » </w:t>
      </w:r>
      <w:proofErr w:type="spellStart"/>
      <w:r w:rsidR="0073666E" w:rsidRPr="0073666E">
        <w:rPr>
          <w:lang w:val="de-CH"/>
        </w:rPr>
        <w:t>n</w:t>
      </w:r>
      <w:r w:rsidR="00A27519">
        <w:rPr>
          <w:lang w:val="de-CH"/>
        </w:rPr>
        <w:t>’</w:t>
      </w:r>
      <w:r w:rsidR="0073666E" w:rsidRPr="0073666E">
        <w:rPr>
          <w:lang w:val="de-CH"/>
        </w:rPr>
        <w:t>est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adéquat</w:t>
      </w:r>
      <w:proofErr w:type="spellEnd"/>
      <w:r w:rsidR="0073666E" w:rsidRPr="0073666E">
        <w:rPr>
          <w:lang w:val="de-CH"/>
        </w:rPr>
        <w:t xml:space="preserve">. Il y </w:t>
      </w:r>
      <w:proofErr w:type="spellStart"/>
      <w:r w:rsidR="0073666E" w:rsidRPr="0073666E">
        <w:rPr>
          <w:lang w:val="de-CH"/>
        </w:rPr>
        <w:t>aurait</w:t>
      </w:r>
      <w:proofErr w:type="spellEnd"/>
      <w:r w:rsidR="0073666E" w:rsidRPr="0073666E">
        <w:rPr>
          <w:lang w:val="de-CH"/>
        </w:rPr>
        <w:t xml:space="preserve"> </w:t>
      </w:r>
      <w:proofErr w:type="spellStart"/>
      <w:r w:rsidR="0073666E" w:rsidRPr="0073666E">
        <w:rPr>
          <w:lang w:val="de-CH"/>
        </w:rPr>
        <w:t>lieu</w:t>
      </w:r>
      <w:proofErr w:type="spellEnd"/>
      <w:r w:rsidR="0073666E" w:rsidRPr="0073666E">
        <w:rPr>
          <w:lang w:val="de-CH"/>
        </w:rPr>
        <w:t xml:space="preserve"> </w:t>
      </w:r>
      <w:proofErr w:type="spellStart"/>
      <w:r w:rsidR="0073666E" w:rsidRPr="0073666E">
        <w:rPr>
          <w:lang w:val="de-CH"/>
        </w:rPr>
        <w:t>d</w:t>
      </w:r>
      <w:r w:rsidR="00A27519">
        <w:rPr>
          <w:lang w:val="de-CH"/>
        </w:rPr>
        <w:t>’</w:t>
      </w:r>
      <w:r w:rsidR="0073666E" w:rsidRPr="0073666E">
        <w:rPr>
          <w:lang w:val="de-CH"/>
        </w:rPr>
        <w:t>utiliser</w:t>
      </w:r>
      <w:proofErr w:type="spellEnd"/>
      <w:r w:rsidR="0073666E" w:rsidRPr="0073666E">
        <w:rPr>
          <w:lang w:val="de-CH"/>
        </w:rPr>
        <w:t xml:space="preserve"> le </w:t>
      </w:r>
      <w:proofErr w:type="spellStart"/>
      <w:r w:rsidR="0073666E" w:rsidRPr="0073666E">
        <w:rPr>
          <w:lang w:val="de-CH"/>
        </w:rPr>
        <w:t>terme</w:t>
      </w:r>
      <w:proofErr w:type="spellEnd"/>
      <w:r w:rsidR="0073666E" w:rsidRPr="0073666E">
        <w:rPr>
          <w:lang w:val="de-CH"/>
        </w:rPr>
        <w:t xml:space="preserve"> de « </w:t>
      </w:r>
      <w:proofErr w:type="spellStart"/>
      <w:r w:rsidR="0073666E" w:rsidRPr="0073666E">
        <w:rPr>
          <w:lang w:val="de-CH"/>
        </w:rPr>
        <w:t>procédure</w:t>
      </w:r>
      <w:proofErr w:type="spellEnd"/>
      <w:r w:rsidR="0073666E" w:rsidRPr="0073666E">
        <w:rPr>
          <w:lang w:val="de-CH"/>
        </w:rPr>
        <w:t> ».</w:t>
      </w:r>
    </w:p>
    <w:p w14:paraId="5B2AC08E" w14:textId="77777777" w:rsidR="0073666E" w:rsidRPr="0073666E" w:rsidRDefault="00295883" w:rsidP="00295883">
      <w:pPr>
        <w:pStyle w:val="SingleTxtG"/>
        <w:rPr>
          <w:lang w:val="de-CH"/>
        </w:rPr>
      </w:pPr>
      <w:r>
        <w:rPr>
          <w:lang w:val="de-CH"/>
        </w:rPr>
        <w:t>146.</w:t>
      </w:r>
      <w:r>
        <w:rPr>
          <w:lang w:val="de-CH"/>
        </w:rPr>
        <w:tab/>
      </w:r>
      <w:r w:rsidR="0073666E" w:rsidRPr="0073666E">
        <w:rPr>
          <w:lang w:val="de-CH"/>
        </w:rPr>
        <w:t>L</w:t>
      </w:r>
      <w:r w:rsidR="00A27519">
        <w:rPr>
          <w:lang w:val="de-CH"/>
        </w:rPr>
        <w:t>’</w:t>
      </w:r>
      <w:r w:rsidR="0073666E" w:rsidRPr="0073666E">
        <w:rPr>
          <w:lang w:val="de-CH"/>
        </w:rPr>
        <w:t xml:space="preserve">IGS </w:t>
      </w:r>
      <w:proofErr w:type="spellStart"/>
      <w:r w:rsidR="0073666E" w:rsidRPr="0073666E">
        <w:rPr>
          <w:lang w:val="de-CH"/>
        </w:rPr>
        <w:t>établit</w:t>
      </w:r>
      <w:proofErr w:type="spellEnd"/>
      <w:r w:rsidR="0073666E" w:rsidRPr="0073666E">
        <w:rPr>
          <w:lang w:val="de-CH"/>
        </w:rPr>
        <w:t xml:space="preserve"> à la </w:t>
      </w:r>
      <w:proofErr w:type="spellStart"/>
      <w:r w:rsidR="0073666E" w:rsidRPr="0073666E">
        <w:rPr>
          <w:lang w:val="de-CH"/>
        </w:rPr>
        <w:t>fin</w:t>
      </w:r>
      <w:proofErr w:type="spellEnd"/>
      <w:r w:rsidR="0073666E" w:rsidRPr="0073666E">
        <w:rPr>
          <w:lang w:val="de-CH"/>
        </w:rPr>
        <w:t xml:space="preserve"> de </w:t>
      </w:r>
      <w:proofErr w:type="spellStart"/>
      <w:r w:rsidR="0073666E" w:rsidRPr="0073666E">
        <w:rPr>
          <w:lang w:val="de-CH"/>
        </w:rPr>
        <w:t>chacune</w:t>
      </w:r>
      <w:proofErr w:type="spellEnd"/>
      <w:r w:rsidR="0073666E" w:rsidRPr="0073666E">
        <w:rPr>
          <w:lang w:val="de-CH"/>
        </w:rPr>
        <w:t xml:space="preserve"> de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enquêtes</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destiné</w:t>
      </w:r>
      <w:proofErr w:type="spellEnd"/>
      <w:r w:rsidR="0073666E" w:rsidRPr="0073666E">
        <w:rPr>
          <w:lang w:val="de-CH"/>
        </w:rPr>
        <w:t xml:space="preserve"> au </w:t>
      </w:r>
      <w:proofErr w:type="spellStart"/>
      <w:r w:rsidR="0073666E" w:rsidRPr="0073666E">
        <w:rPr>
          <w:lang w:val="de-CH"/>
        </w:rPr>
        <w:t>Procureur</w:t>
      </w:r>
      <w:proofErr w:type="spellEnd"/>
      <w:r w:rsidR="0073666E" w:rsidRPr="0073666E">
        <w:rPr>
          <w:lang w:val="de-CH"/>
        </w:rPr>
        <w:t xml:space="preserve"> </w:t>
      </w:r>
      <w:proofErr w:type="spellStart"/>
      <w:r w:rsidR="0073666E" w:rsidRPr="0073666E">
        <w:rPr>
          <w:lang w:val="de-CH"/>
        </w:rPr>
        <w:t>général</w:t>
      </w:r>
      <w:proofErr w:type="spellEnd"/>
      <w:r w:rsidR="0073666E" w:rsidRPr="0073666E">
        <w:rPr>
          <w:lang w:val="de-CH"/>
        </w:rPr>
        <w:t xml:space="preserve">. Cela </w:t>
      </w:r>
      <w:proofErr w:type="spellStart"/>
      <w:r w:rsidR="0073666E" w:rsidRPr="0073666E">
        <w:rPr>
          <w:lang w:val="de-CH"/>
        </w:rPr>
        <w:t>signifie</w:t>
      </w:r>
      <w:proofErr w:type="spellEnd"/>
      <w:r w:rsidR="0073666E" w:rsidRPr="0073666E">
        <w:rPr>
          <w:lang w:val="de-CH"/>
        </w:rPr>
        <w:t xml:space="preserve"> </w:t>
      </w:r>
      <w:proofErr w:type="spellStart"/>
      <w:r w:rsidR="0073666E" w:rsidRPr="0073666E">
        <w:rPr>
          <w:lang w:val="de-CH"/>
        </w:rPr>
        <w:t>qu</w:t>
      </w:r>
      <w:r w:rsidR="00A27519">
        <w:rPr>
          <w:lang w:val="de-CH"/>
        </w:rPr>
        <w:t>’</w:t>
      </w:r>
      <w:r w:rsidR="0073666E" w:rsidRPr="0073666E">
        <w:rPr>
          <w:lang w:val="de-CH"/>
        </w:rPr>
        <w:t>une</w:t>
      </w:r>
      <w:proofErr w:type="spellEnd"/>
      <w:r w:rsidR="0073666E" w:rsidRPr="0073666E">
        <w:rPr>
          <w:lang w:val="de-CH"/>
        </w:rPr>
        <w:t xml:space="preserve">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entamée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100</w:t>
      </w:r>
      <w:r w:rsidR="00982720">
        <w:rPr>
          <w:lang w:val="de-CH"/>
        </w:rPr>
        <w:t> </w:t>
      </w:r>
      <w:r w:rsidR="0073666E" w:rsidRPr="0073666E">
        <w:rPr>
          <w:lang w:val="de-CH"/>
        </w:rPr>
        <w:t xml:space="preserve">% des </w:t>
      </w:r>
      <w:proofErr w:type="spellStart"/>
      <w:r w:rsidR="0073666E" w:rsidRPr="0073666E">
        <w:rPr>
          <w:lang w:val="de-CH"/>
        </w:rPr>
        <w:t>cas</w:t>
      </w:r>
      <w:proofErr w:type="spellEnd"/>
      <w:r w:rsidR="0073666E" w:rsidRPr="0073666E">
        <w:rPr>
          <w:lang w:val="de-CH"/>
        </w:rPr>
        <w:t>. C</w:t>
      </w:r>
      <w:r w:rsidR="00A27519">
        <w:rPr>
          <w:lang w:val="de-CH"/>
        </w:rPr>
        <w:t>’</w:t>
      </w:r>
      <w:r w:rsidR="0073666E" w:rsidRPr="0073666E">
        <w:rPr>
          <w:lang w:val="de-CH"/>
        </w:rPr>
        <w:t xml:space="preserve">est le </w:t>
      </w:r>
      <w:proofErr w:type="spellStart"/>
      <w:r w:rsidR="0073666E" w:rsidRPr="0073666E">
        <w:rPr>
          <w:lang w:val="de-CH"/>
        </w:rPr>
        <w:t>Procureur</w:t>
      </w:r>
      <w:proofErr w:type="spellEnd"/>
      <w:r w:rsidR="0073666E" w:rsidRPr="0073666E">
        <w:rPr>
          <w:lang w:val="de-CH"/>
        </w:rPr>
        <w:t xml:space="preserve"> </w:t>
      </w:r>
      <w:proofErr w:type="spellStart"/>
      <w:r w:rsidR="0073666E" w:rsidRPr="0073666E">
        <w:rPr>
          <w:lang w:val="de-CH"/>
        </w:rPr>
        <w:t>général</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statue</w:t>
      </w:r>
      <w:proofErr w:type="spellEnd"/>
      <w:r w:rsidR="0073666E" w:rsidRPr="0073666E">
        <w:rPr>
          <w:lang w:val="de-CH"/>
        </w:rPr>
        <w:t xml:space="preserve"> </w:t>
      </w:r>
      <w:proofErr w:type="spellStart"/>
      <w:r w:rsidR="0073666E" w:rsidRPr="0073666E">
        <w:rPr>
          <w:lang w:val="de-CH"/>
        </w:rPr>
        <w:t>alors</w:t>
      </w:r>
      <w:proofErr w:type="spellEnd"/>
      <w:r w:rsidR="0073666E" w:rsidRPr="0073666E">
        <w:rPr>
          <w:lang w:val="de-CH"/>
        </w:rPr>
        <w:t xml:space="preserve"> en </w:t>
      </w:r>
      <w:proofErr w:type="spellStart"/>
      <w:r w:rsidR="0073666E" w:rsidRPr="0073666E">
        <w:rPr>
          <w:lang w:val="de-CH"/>
        </w:rPr>
        <w:t>premier</w:t>
      </w:r>
      <w:proofErr w:type="spellEnd"/>
      <w:r w:rsidR="0073666E" w:rsidRPr="0073666E">
        <w:rPr>
          <w:lang w:val="de-CH"/>
        </w:rPr>
        <w:t xml:space="preserve"> de la </w:t>
      </w:r>
      <w:proofErr w:type="spellStart"/>
      <w:r w:rsidR="0073666E" w:rsidRPr="0073666E">
        <w:rPr>
          <w:lang w:val="de-CH"/>
        </w:rPr>
        <w:t>poursuite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non de la </w:t>
      </w:r>
      <w:proofErr w:type="spellStart"/>
      <w:r w:rsidR="0073666E" w:rsidRPr="0073666E">
        <w:rPr>
          <w:lang w:val="de-CH"/>
        </w:rPr>
        <w:t>procédure</w:t>
      </w:r>
      <w:proofErr w:type="spellEnd"/>
      <w:r w:rsidR="0073666E" w:rsidRPr="0073666E">
        <w:rPr>
          <w:lang w:val="de-CH"/>
        </w:rPr>
        <w:t>. L</w:t>
      </w:r>
      <w:r w:rsidR="00A27519">
        <w:rPr>
          <w:lang w:val="de-CH"/>
        </w:rPr>
        <w:t>’</w:t>
      </w:r>
      <w:r w:rsidR="0073666E" w:rsidRPr="0073666E">
        <w:rPr>
          <w:lang w:val="de-CH"/>
        </w:rPr>
        <w:t xml:space="preserve">IGS </w:t>
      </w:r>
      <w:proofErr w:type="spellStart"/>
      <w:r w:rsidR="0073666E" w:rsidRPr="0073666E">
        <w:rPr>
          <w:lang w:val="de-CH"/>
        </w:rPr>
        <w:t>n</w:t>
      </w:r>
      <w:r w:rsidR="00A27519">
        <w:rPr>
          <w:lang w:val="de-CH"/>
        </w:rPr>
        <w:t>’</w:t>
      </w:r>
      <w:r w:rsidR="0073666E" w:rsidRPr="0073666E">
        <w:rPr>
          <w:lang w:val="de-CH"/>
        </w:rPr>
        <w:t>a</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la </w:t>
      </w:r>
      <w:proofErr w:type="spellStart"/>
      <w:r w:rsidR="0073666E" w:rsidRPr="0073666E">
        <w:rPr>
          <w:lang w:val="de-CH"/>
        </w:rPr>
        <w:t>compétence</w:t>
      </w:r>
      <w:proofErr w:type="spellEnd"/>
      <w:r w:rsidR="0073666E" w:rsidRPr="0073666E">
        <w:rPr>
          <w:lang w:val="de-CH"/>
        </w:rPr>
        <w:t xml:space="preserve"> de </w:t>
      </w:r>
      <w:proofErr w:type="spellStart"/>
      <w:r w:rsidR="0073666E" w:rsidRPr="0073666E">
        <w:rPr>
          <w:lang w:val="de-CH"/>
        </w:rPr>
        <w:t>décider</w:t>
      </w:r>
      <w:proofErr w:type="spellEnd"/>
      <w:r w:rsidR="0073666E" w:rsidRPr="0073666E">
        <w:rPr>
          <w:lang w:val="de-CH"/>
        </w:rPr>
        <w:t xml:space="preserve"> de </w:t>
      </w:r>
      <w:proofErr w:type="spellStart"/>
      <w:r w:rsidR="0073666E" w:rsidRPr="0073666E">
        <w:rPr>
          <w:lang w:val="de-CH"/>
        </w:rPr>
        <w:t>ne</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dénoncer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affaire</w:t>
      </w:r>
      <w:proofErr w:type="spellEnd"/>
      <w:r w:rsidR="0073666E" w:rsidRPr="0073666E">
        <w:rPr>
          <w:lang w:val="de-CH"/>
        </w:rPr>
        <w:t xml:space="preserve">. </w:t>
      </w:r>
      <w:proofErr w:type="spellStart"/>
      <w:r w:rsidR="0073666E" w:rsidRPr="0073666E">
        <w:rPr>
          <w:lang w:val="de-CH"/>
        </w:rPr>
        <w:t>Toutes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enquêtes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donc</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finalité</w:t>
      </w:r>
      <w:proofErr w:type="spellEnd"/>
      <w:r w:rsidR="00222D58">
        <w:rPr>
          <w:lang w:val="de-CH"/>
        </w:rPr>
        <w:t> </w:t>
      </w:r>
      <w:r w:rsidR="0073666E" w:rsidRPr="0073666E">
        <w:rPr>
          <w:lang w:val="de-CH"/>
        </w:rPr>
        <w:t xml:space="preserve">: la </w:t>
      </w:r>
      <w:proofErr w:type="spellStart"/>
      <w:r w:rsidR="0073666E" w:rsidRPr="0073666E">
        <w:rPr>
          <w:lang w:val="de-CH"/>
        </w:rPr>
        <w:t>condamnation</w:t>
      </w:r>
      <w:proofErr w:type="spellEnd"/>
      <w:r w:rsidR="0073666E" w:rsidRPr="0073666E">
        <w:rPr>
          <w:lang w:val="de-CH"/>
        </w:rPr>
        <w:t xml:space="preserve">, </w:t>
      </w:r>
      <w:proofErr w:type="spellStart"/>
      <w:r w:rsidR="0073666E" w:rsidRPr="0073666E">
        <w:rPr>
          <w:lang w:val="de-CH"/>
        </w:rPr>
        <w:t>l</w:t>
      </w:r>
      <w:r w:rsidR="00A27519">
        <w:rPr>
          <w:lang w:val="de-CH"/>
        </w:rPr>
        <w:t>’</w:t>
      </w:r>
      <w:r w:rsidR="0073666E" w:rsidRPr="0073666E">
        <w:rPr>
          <w:lang w:val="de-CH"/>
        </w:rPr>
        <w:t>ordonnance</w:t>
      </w:r>
      <w:proofErr w:type="spellEnd"/>
      <w:r w:rsidR="0073666E" w:rsidRPr="0073666E">
        <w:rPr>
          <w:lang w:val="de-CH"/>
        </w:rPr>
        <w:t xml:space="preserve"> de non-</w:t>
      </w:r>
      <w:proofErr w:type="spellStart"/>
      <w:r w:rsidR="0073666E" w:rsidRPr="0073666E">
        <w:rPr>
          <w:lang w:val="de-CH"/>
        </w:rPr>
        <w:t>entrée</w:t>
      </w:r>
      <w:proofErr w:type="spellEnd"/>
      <w:r w:rsidR="0073666E" w:rsidRPr="0073666E">
        <w:rPr>
          <w:lang w:val="de-CH"/>
        </w:rPr>
        <w:t xml:space="preserve"> en </w:t>
      </w:r>
      <w:proofErr w:type="spellStart"/>
      <w:r w:rsidR="0073666E" w:rsidRPr="0073666E">
        <w:rPr>
          <w:lang w:val="de-CH"/>
        </w:rPr>
        <w:t>matière</w:t>
      </w:r>
      <w:proofErr w:type="spellEnd"/>
      <w:r w:rsidR="00552382">
        <w:rPr>
          <w:lang w:val="de-CH"/>
        </w:rPr>
        <w:t xml:space="preserve"> </w:t>
      </w:r>
      <w:proofErr w:type="spellStart"/>
      <w:r w:rsidR="00552382">
        <w:rPr>
          <w:lang w:val="de-CH"/>
        </w:rPr>
        <w:t>ou</w:t>
      </w:r>
      <w:proofErr w:type="spellEnd"/>
      <w:r w:rsidR="00552382">
        <w:rPr>
          <w:lang w:val="de-CH"/>
        </w:rPr>
        <w:t xml:space="preserve"> </w:t>
      </w:r>
      <w:proofErr w:type="spellStart"/>
      <w:r w:rsidR="00552382">
        <w:rPr>
          <w:lang w:val="de-CH"/>
        </w:rPr>
        <w:t>l’ordonnance</w:t>
      </w:r>
      <w:proofErr w:type="spellEnd"/>
      <w:r w:rsidR="00552382">
        <w:rPr>
          <w:lang w:val="de-CH"/>
        </w:rPr>
        <w:t xml:space="preserve"> de </w:t>
      </w:r>
      <w:proofErr w:type="spellStart"/>
      <w:r w:rsidR="00552382">
        <w:rPr>
          <w:lang w:val="de-CH"/>
        </w:rPr>
        <w:t>classement</w:t>
      </w:r>
      <w:proofErr w:type="spellEnd"/>
      <w:r w:rsidR="00552382">
        <w:rPr>
          <w:lang w:val="de-CH"/>
        </w:rPr>
        <w:t>.</w:t>
      </w:r>
    </w:p>
    <w:p w14:paraId="1229FCDA" w14:textId="77777777" w:rsidR="0073666E" w:rsidRPr="0073666E" w:rsidRDefault="00295883" w:rsidP="00295883">
      <w:pPr>
        <w:pStyle w:val="SingleTxtG"/>
        <w:rPr>
          <w:lang w:val="de-CH"/>
        </w:rPr>
      </w:pPr>
      <w:r>
        <w:rPr>
          <w:lang w:val="de-CH"/>
        </w:rPr>
        <w:t>147.</w:t>
      </w:r>
      <w:r>
        <w:rPr>
          <w:lang w:val="de-CH"/>
        </w:rPr>
        <w:tab/>
      </w:r>
      <w:r w:rsidR="0073666E" w:rsidRPr="0073666E">
        <w:rPr>
          <w:lang w:val="de-CH"/>
        </w:rPr>
        <w:t xml:space="preserve">Pour </w:t>
      </w:r>
      <w:proofErr w:type="spellStart"/>
      <w:r w:rsidR="0073666E" w:rsidRPr="0073666E">
        <w:rPr>
          <w:lang w:val="de-CH"/>
        </w:rPr>
        <w:t>l</w:t>
      </w:r>
      <w:r w:rsidR="00A27519">
        <w:rPr>
          <w:lang w:val="de-CH"/>
        </w:rPr>
        <w:t>’</w:t>
      </w:r>
      <w:r w:rsidR="0073666E" w:rsidRPr="0073666E">
        <w:rPr>
          <w:lang w:val="de-CH"/>
        </w:rPr>
        <w:t>heure</w:t>
      </w:r>
      <w:proofErr w:type="spellEnd"/>
      <w:r w:rsidR="0073666E" w:rsidRPr="0073666E">
        <w:rPr>
          <w:lang w:val="de-CH"/>
        </w:rPr>
        <w:t xml:space="preserve">, la </w:t>
      </w:r>
      <w:proofErr w:type="spellStart"/>
      <w:r w:rsidR="0073666E" w:rsidRPr="0073666E">
        <w:rPr>
          <w:lang w:val="de-CH"/>
        </w:rPr>
        <w:t>majorité</w:t>
      </w:r>
      <w:proofErr w:type="spellEnd"/>
      <w:r w:rsidR="0073666E" w:rsidRPr="0073666E">
        <w:rPr>
          <w:lang w:val="de-CH"/>
        </w:rPr>
        <w:t xml:space="preserve"> des </w:t>
      </w:r>
      <w:proofErr w:type="spellStart"/>
      <w:r w:rsidR="0073666E" w:rsidRPr="0073666E">
        <w:rPr>
          <w:lang w:val="de-CH"/>
        </w:rPr>
        <w:t>affaires</w:t>
      </w:r>
      <w:proofErr w:type="spellEnd"/>
      <w:r w:rsidR="0073666E" w:rsidRPr="0073666E">
        <w:rPr>
          <w:lang w:val="de-CH"/>
        </w:rPr>
        <w:t xml:space="preserve"> </w:t>
      </w:r>
      <w:proofErr w:type="spellStart"/>
      <w:r w:rsidR="0073666E" w:rsidRPr="0073666E">
        <w:rPr>
          <w:lang w:val="de-CH"/>
        </w:rPr>
        <w:t>traitées</w:t>
      </w:r>
      <w:proofErr w:type="spellEnd"/>
      <w:r w:rsidR="0073666E" w:rsidRPr="0073666E">
        <w:rPr>
          <w:lang w:val="de-CH"/>
        </w:rPr>
        <w:t xml:space="preserve"> par </w:t>
      </w:r>
      <w:proofErr w:type="spellStart"/>
      <w:r w:rsidR="0073666E" w:rsidRPr="0073666E">
        <w:rPr>
          <w:lang w:val="de-CH"/>
        </w:rPr>
        <w:t>l</w:t>
      </w:r>
      <w:r w:rsidR="00A27519">
        <w:rPr>
          <w:lang w:val="de-CH"/>
        </w:rPr>
        <w:t>’</w:t>
      </w:r>
      <w:r w:rsidR="0073666E" w:rsidRPr="0073666E">
        <w:rPr>
          <w:lang w:val="de-CH"/>
        </w:rPr>
        <w:t>IGS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abouti</w:t>
      </w:r>
      <w:proofErr w:type="spellEnd"/>
      <w:r w:rsidR="0073666E" w:rsidRPr="0073666E">
        <w:rPr>
          <w:lang w:val="de-CH"/>
        </w:rPr>
        <w:t xml:space="preserve"> à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ordonnance</w:t>
      </w:r>
      <w:proofErr w:type="spellEnd"/>
      <w:r w:rsidR="0073666E" w:rsidRPr="0073666E">
        <w:rPr>
          <w:lang w:val="de-CH"/>
        </w:rPr>
        <w:t xml:space="preserve"> de </w:t>
      </w:r>
      <w:proofErr w:type="spellStart"/>
      <w:r w:rsidR="0073666E" w:rsidRPr="0073666E">
        <w:rPr>
          <w:lang w:val="de-CH"/>
        </w:rPr>
        <w:t>classement</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à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ordonnance</w:t>
      </w:r>
      <w:proofErr w:type="spellEnd"/>
      <w:r w:rsidR="0073666E" w:rsidRPr="0073666E">
        <w:rPr>
          <w:lang w:val="de-CH"/>
        </w:rPr>
        <w:t xml:space="preserve"> de non-</w:t>
      </w:r>
      <w:proofErr w:type="spellStart"/>
      <w:r w:rsidR="0073666E" w:rsidRPr="0073666E">
        <w:rPr>
          <w:lang w:val="de-CH"/>
        </w:rPr>
        <w:t>entrée</w:t>
      </w:r>
      <w:proofErr w:type="spellEnd"/>
      <w:r w:rsidR="0073666E" w:rsidRPr="0073666E">
        <w:rPr>
          <w:lang w:val="de-CH"/>
        </w:rPr>
        <w:t xml:space="preserve"> en </w:t>
      </w:r>
      <w:proofErr w:type="spellStart"/>
      <w:r w:rsidR="0073666E" w:rsidRPr="0073666E">
        <w:rPr>
          <w:lang w:val="de-CH"/>
        </w:rPr>
        <w:t>matière</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collaborateurs</w:t>
      </w:r>
      <w:proofErr w:type="spellEnd"/>
      <w:r w:rsidR="0073666E" w:rsidRPr="0073666E">
        <w:rPr>
          <w:lang w:val="de-CH"/>
        </w:rPr>
        <w:t xml:space="preserve"> </w:t>
      </w:r>
      <w:proofErr w:type="spellStart"/>
      <w:r w:rsidR="0073666E" w:rsidRPr="0073666E">
        <w:rPr>
          <w:lang w:val="de-CH"/>
        </w:rPr>
        <w:t>concernés</w:t>
      </w:r>
      <w:proofErr w:type="spellEnd"/>
      <w:r w:rsidR="0073666E" w:rsidRPr="0073666E">
        <w:rPr>
          <w:lang w:val="de-CH"/>
        </w:rPr>
        <w:t xml:space="preserve"> </w:t>
      </w:r>
      <w:proofErr w:type="spellStart"/>
      <w:r w:rsidR="0073666E" w:rsidRPr="0073666E">
        <w:rPr>
          <w:lang w:val="de-CH"/>
        </w:rPr>
        <w:t>n</w:t>
      </w:r>
      <w:r w:rsidR="00A27519">
        <w:rPr>
          <w:lang w:val="de-CH"/>
        </w:rPr>
        <w:t>’</w:t>
      </w:r>
      <w:r w:rsidR="0073666E" w:rsidRPr="0073666E">
        <w:rPr>
          <w:lang w:val="de-CH"/>
        </w:rPr>
        <w:t>ont</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sanctionnés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plan </w:t>
      </w:r>
      <w:proofErr w:type="spellStart"/>
      <w:r w:rsidR="0073666E" w:rsidRPr="0073666E">
        <w:rPr>
          <w:lang w:val="de-CH"/>
        </w:rPr>
        <w:t>disciplinaire</w:t>
      </w:r>
      <w:proofErr w:type="spellEnd"/>
      <w:r w:rsidR="0073666E" w:rsidRPr="0073666E">
        <w:rPr>
          <w:lang w:val="de-CH"/>
        </w:rPr>
        <w:t xml:space="preserve">. </w:t>
      </w:r>
    </w:p>
    <w:p w14:paraId="6FD5F4EF" w14:textId="77777777" w:rsidR="0073666E" w:rsidRPr="0073666E" w:rsidRDefault="00295883" w:rsidP="00295883">
      <w:pPr>
        <w:pStyle w:val="SingleTxtG"/>
        <w:rPr>
          <w:lang w:val="de-CH"/>
        </w:rPr>
      </w:pPr>
      <w:r>
        <w:rPr>
          <w:lang w:val="de-CH"/>
        </w:rPr>
        <w:t>148.</w:t>
      </w:r>
      <w:r>
        <w:rPr>
          <w:lang w:val="de-CH"/>
        </w:rPr>
        <w:tab/>
      </w:r>
      <w:r w:rsidR="0073666E" w:rsidRPr="0073666E">
        <w:rPr>
          <w:lang w:val="de-CH"/>
        </w:rPr>
        <w:t xml:space="preserve">Il </w:t>
      </w:r>
      <w:proofErr w:type="spellStart"/>
      <w:r w:rsidR="0073666E" w:rsidRPr="0073666E">
        <w:rPr>
          <w:lang w:val="de-CH"/>
        </w:rPr>
        <w:t>reste</w:t>
      </w:r>
      <w:proofErr w:type="spellEnd"/>
      <w:r w:rsidR="0073666E" w:rsidRPr="0073666E">
        <w:rPr>
          <w:lang w:val="de-CH"/>
        </w:rPr>
        <w:t xml:space="preserve"> </w:t>
      </w:r>
      <w:proofErr w:type="spellStart"/>
      <w:r w:rsidR="0073666E" w:rsidRPr="0073666E">
        <w:rPr>
          <w:lang w:val="de-CH"/>
        </w:rPr>
        <w:t>encore</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affaire</w:t>
      </w:r>
      <w:proofErr w:type="spellEnd"/>
      <w:r w:rsidR="0073666E" w:rsidRPr="0073666E">
        <w:rPr>
          <w:lang w:val="de-CH"/>
        </w:rPr>
        <w:t xml:space="preserve"> de 2014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doit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jugée</w:t>
      </w:r>
      <w:proofErr w:type="spellEnd"/>
      <w:r w:rsidR="0073666E" w:rsidRPr="0073666E">
        <w:rPr>
          <w:lang w:val="de-CH"/>
        </w:rPr>
        <w:t xml:space="preserve"> </w:t>
      </w:r>
      <w:proofErr w:type="spellStart"/>
      <w:r w:rsidR="0073666E" w:rsidRPr="0073666E">
        <w:rPr>
          <w:lang w:val="de-CH"/>
        </w:rPr>
        <w:t>devant</w:t>
      </w:r>
      <w:proofErr w:type="spellEnd"/>
      <w:r w:rsidR="0073666E" w:rsidRPr="0073666E">
        <w:rPr>
          <w:lang w:val="de-CH"/>
        </w:rPr>
        <w:t xml:space="preserve"> le Tribunal de </w:t>
      </w:r>
      <w:proofErr w:type="spellStart"/>
      <w:r w:rsidR="0073666E" w:rsidRPr="0073666E">
        <w:rPr>
          <w:lang w:val="de-CH"/>
        </w:rPr>
        <w:t>police</w:t>
      </w:r>
      <w:proofErr w:type="spellEnd"/>
      <w:r w:rsidR="0073666E" w:rsidRPr="0073666E">
        <w:rPr>
          <w:lang w:val="de-CH"/>
        </w:rPr>
        <w:t xml:space="preserve"> et </w:t>
      </w:r>
      <w:proofErr w:type="spellStart"/>
      <w:r w:rsidR="0073666E" w:rsidRPr="0073666E">
        <w:rPr>
          <w:lang w:val="de-CH"/>
        </w:rPr>
        <w:t>quelques</w:t>
      </w:r>
      <w:proofErr w:type="spellEnd"/>
      <w:r w:rsidR="0073666E" w:rsidRPr="0073666E">
        <w:rPr>
          <w:lang w:val="de-CH"/>
        </w:rPr>
        <w:t xml:space="preserve"> </w:t>
      </w:r>
      <w:proofErr w:type="spellStart"/>
      <w:r w:rsidR="0073666E" w:rsidRPr="0073666E">
        <w:rPr>
          <w:lang w:val="de-CH"/>
        </w:rPr>
        <w:t>affaires</w:t>
      </w:r>
      <w:proofErr w:type="spellEnd"/>
      <w:r w:rsidR="0073666E" w:rsidRPr="0073666E">
        <w:rPr>
          <w:lang w:val="de-CH"/>
        </w:rPr>
        <w:t xml:space="preserve">, </w:t>
      </w:r>
      <w:proofErr w:type="spellStart"/>
      <w:r w:rsidR="0073666E" w:rsidRPr="0073666E">
        <w:rPr>
          <w:lang w:val="de-CH"/>
        </w:rPr>
        <w:t>datant</w:t>
      </w:r>
      <w:proofErr w:type="spellEnd"/>
      <w:r w:rsidR="0073666E" w:rsidRPr="0073666E">
        <w:rPr>
          <w:lang w:val="de-CH"/>
        </w:rPr>
        <w:t xml:space="preserve"> de 2017,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encore</w:t>
      </w:r>
      <w:proofErr w:type="spellEnd"/>
      <w:r w:rsidR="0073666E" w:rsidRPr="0073666E">
        <w:rPr>
          <w:lang w:val="de-CH"/>
        </w:rPr>
        <w:t xml:space="preserve"> </w:t>
      </w:r>
      <w:proofErr w:type="spellStart"/>
      <w:r w:rsidR="0073666E" w:rsidRPr="0073666E">
        <w:rPr>
          <w:lang w:val="de-CH"/>
        </w:rPr>
        <w:t>pendantes</w:t>
      </w:r>
      <w:proofErr w:type="spellEnd"/>
      <w:r w:rsidR="0073666E" w:rsidRPr="0073666E">
        <w:rPr>
          <w:lang w:val="de-CH"/>
        </w:rPr>
        <w:t xml:space="preserve"> </w:t>
      </w:r>
      <w:proofErr w:type="spellStart"/>
      <w:r w:rsidR="0073666E" w:rsidRPr="0073666E">
        <w:rPr>
          <w:lang w:val="de-CH"/>
        </w:rPr>
        <w:t>auprès</w:t>
      </w:r>
      <w:proofErr w:type="spellEnd"/>
      <w:r w:rsidR="0073666E" w:rsidRPr="0073666E">
        <w:rPr>
          <w:lang w:val="de-CH"/>
        </w:rPr>
        <w:t xml:space="preserve"> du </w:t>
      </w:r>
      <w:proofErr w:type="spellStart"/>
      <w:r w:rsidR="0073666E" w:rsidRPr="0073666E">
        <w:rPr>
          <w:lang w:val="de-CH"/>
        </w:rPr>
        <w:t>Ministère</w:t>
      </w:r>
      <w:proofErr w:type="spellEnd"/>
      <w:r w:rsidR="0073666E" w:rsidRPr="0073666E">
        <w:rPr>
          <w:lang w:val="de-CH"/>
        </w:rPr>
        <w:t xml:space="preserve"> </w:t>
      </w:r>
      <w:proofErr w:type="spellStart"/>
      <w:r w:rsidR="0073666E" w:rsidRPr="0073666E">
        <w:rPr>
          <w:lang w:val="de-CH"/>
        </w:rPr>
        <w:t>public</w:t>
      </w:r>
      <w:proofErr w:type="spellEnd"/>
      <w:r w:rsidR="0073666E" w:rsidRPr="0073666E">
        <w:rPr>
          <w:lang w:val="de-CH"/>
        </w:rPr>
        <w:t xml:space="preserve">. </w:t>
      </w:r>
    </w:p>
    <w:p w14:paraId="7E22686F" w14:textId="77777777" w:rsidR="0073666E" w:rsidRPr="0073666E" w:rsidRDefault="00295883" w:rsidP="00295883">
      <w:pPr>
        <w:pStyle w:val="SingleTxtG"/>
        <w:rPr>
          <w:lang w:val="de-CH"/>
        </w:rPr>
      </w:pPr>
      <w:r>
        <w:rPr>
          <w:lang w:val="de-CH"/>
        </w:rPr>
        <w:t>149.</w:t>
      </w:r>
      <w:r>
        <w:rPr>
          <w:lang w:val="de-CH"/>
        </w:rPr>
        <w:tab/>
      </w:r>
      <w:r w:rsidR="0073666E" w:rsidRPr="0073666E">
        <w:rPr>
          <w:lang w:val="de-CH"/>
        </w:rPr>
        <w:t xml:space="preserve">En </w:t>
      </w:r>
      <w:proofErr w:type="spellStart"/>
      <w:r w:rsidR="0073666E" w:rsidRPr="0073666E">
        <w:rPr>
          <w:lang w:val="de-CH"/>
        </w:rPr>
        <w:t>l</w:t>
      </w:r>
      <w:r w:rsidR="00A27519">
        <w:rPr>
          <w:lang w:val="de-CH"/>
        </w:rPr>
        <w:t>’</w:t>
      </w:r>
      <w:r w:rsidR="0073666E" w:rsidRPr="0073666E">
        <w:rPr>
          <w:lang w:val="de-CH"/>
        </w:rPr>
        <w:t>état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seule</w:t>
      </w:r>
      <w:proofErr w:type="spellEnd"/>
      <w:r w:rsidR="0073666E" w:rsidRPr="0073666E">
        <w:rPr>
          <w:lang w:val="de-CH"/>
        </w:rPr>
        <w:t xml:space="preserve"> </w:t>
      </w:r>
      <w:proofErr w:type="spellStart"/>
      <w:r w:rsidR="0073666E" w:rsidRPr="0073666E">
        <w:rPr>
          <w:lang w:val="de-CH"/>
        </w:rPr>
        <w:t>affaire</w:t>
      </w:r>
      <w:proofErr w:type="spellEnd"/>
      <w:r w:rsidR="0073666E" w:rsidRPr="0073666E">
        <w:rPr>
          <w:lang w:val="de-CH"/>
        </w:rPr>
        <w:t xml:space="preserve">, </w:t>
      </w:r>
      <w:proofErr w:type="spellStart"/>
      <w:r w:rsidR="0073666E" w:rsidRPr="0073666E">
        <w:rPr>
          <w:lang w:val="de-CH"/>
        </w:rPr>
        <w:t>datant</w:t>
      </w:r>
      <w:proofErr w:type="spellEnd"/>
      <w:r w:rsidR="0073666E" w:rsidRPr="0073666E">
        <w:rPr>
          <w:lang w:val="de-CH"/>
        </w:rPr>
        <w:t xml:space="preserve"> de 2017, a fait </w:t>
      </w:r>
      <w:proofErr w:type="spellStart"/>
      <w:r w:rsidR="0073666E" w:rsidRPr="0073666E">
        <w:rPr>
          <w:lang w:val="de-CH"/>
        </w:rPr>
        <w:t>l</w:t>
      </w:r>
      <w:r w:rsidR="00A27519">
        <w:rPr>
          <w:lang w:val="de-CH"/>
        </w:rPr>
        <w:t>’</w:t>
      </w:r>
      <w:r w:rsidR="0073666E" w:rsidRPr="0073666E">
        <w:rPr>
          <w:lang w:val="de-CH"/>
        </w:rPr>
        <w:t>objet</w:t>
      </w:r>
      <w:proofErr w:type="spellEnd"/>
      <w:r w:rsidR="0073666E" w:rsidRPr="0073666E">
        <w:rPr>
          <w:lang w:val="de-CH"/>
        </w:rPr>
        <w:t xml:space="preserve"> </w:t>
      </w:r>
      <w:proofErr w:type="spellStart"/>
      <w:r w:rsidR="0073666E" w:rsidRPr="0073666E">
        <w:rPr>
          <w:lang w:val="de-CH"/>
        </w:rPr>
        <w:t>d</w:t>
      </w:r>
      <w:r w:rsidR="00A27519">
        <w:rPr>
          <w:lang w:val="de-CH"/>
        </w:rPr>
        <w:t>’</w:t>
      </w:r>
      <w:r w:rsidR="0073666E" w:rsidRPr="0073666E">
        <w:rPr>
          <w:lang w:val="de-CH"/>
        </w:rPr>
        <w:t>une</w:t>
      </w:r>
      <w:proofErr w:type="spellEnd"/>
      <w:r w:rsidR="0073666E" w:rsidRPr="0073666E">
        <w:rPr>
          <w:lang w:val="de-CH"/>
        </w:rPr>
        <w:t xml:space="preserve"> </w:t>
      </w:r>
      <w:proofErr w:type="spellStart"/>
      <w:r w:rsidR="0073666E" w:rsidRPr="0073666E">
        <w:rPr>
          <w:lang w:val="de-CH"/>
        </w:rPr>
        <w:t>sanction</w:t>
      </w:r>
      <w:proofErr w:type="spellEnd"/>
      <w:r w:rsidR="0073666E" w:rsidRPr="0073666E">
        <w:rPr>
          <w:lang w:val="de-CH"/>
        </w:rPr>
        <w:t xml:space="preserve"> administrative </w:t>
      </w:r>
      <w:proofErr w:type="spellStart"/>
      <w:r w:rsidR="0073666E" w:rsidRPr="0073666E">
        <w:rPr>
          <w:lang w:val="de-CH"/>
        </w:rPr>
        <w:t>prononcée</w:t>
      </w:r>
      <w:proofErr w:type="spellEnd"/>
      <w:r w:rsidR="0073666E" w:rsidRPr="0073666E">
        <w:rPr>
          <w:lang w:val="de-CH"/>
        </w:rPr>
        <w:t xml:space="preserve"> par la </w:t>
      </w:r>
      <w:proofErr w:type="spellStart"/>
      <w:r w:rsidR="0073666E" w:rsidRPr="0073666E">
        <w:rPr>
          <w:lang w:val="de-CH"/>
        </w:rPr>
        <w:t>Commandante</w:t>
      </w:r>
      <w:proofErr w:type="spellEnd"/>
      <w:r w:rsidR="0073666E" w:rsidRPr="0073666E">
        <w:rPr>
          <w:lang w:val="de-CH"/>
        </w:rPr>
        <w:t xml:space="preserve"> de la </w:t>
      </w:r>
      <w:proofErr w:type="spellStart"/>
      <w:r w:rsidR="0073666E" w:rsidRPr="0073666E">
        <w:rPr>
          <w:lang w:val="de-CH"/>
        </w:rPr>
        <w:t>police</w:t>
      </w:r>
      <w:proofErr w:type="spellEnd"/>
      <w:r w:rsidR="0073666E" w:rsidRPr="0073666E">
        <w:rPr>
          <w:lang w:val="de-CH"/>
        </w:rPr>
        <w:t xml:space="preserve">, au </w:t>
      </w:r>
      <w:proofErr w:type="spellStart"/>
      <w:r w:rsidR="0073666E" w:rsidRPr="0073666E">
        <w:rPr>
          <w:lang w:val="de-CH"/>
        </w:rPr>
        <w:t>début</w:t>
      </w:r>
      <w:proofErr w:type="spellEnd"/>
      <w:r w:rsidR="0073666E" w:rsidRPr="0073666E">
        <w:rPr>
          <w:lang w:val="de-CH"/>
        </w:rPr>
        <w:t xml:space="preserve"> de </w:t>
      </w:r>
      <w:proofErr w:type="spellStart"/>
      <w:r w:rsidR="0073666E" w:rsidRPr="0073666E">
        <w:rPr>
          <w:lang w:val="de-CH"/>
        </w:rPr>
        <w:t>l’année</w:t>
      </w:r>
      <w:proofErr w:type="spellEnd"/>
      <w:r w:rsidR="0073666E" w:rsidRPr="0073666E">
        <w:rPr>
          <w:lang w:val="de-CH"/>
        </w:rPr>
        <w:t xml:space="preserve"> 2018.</w:t>
      </w:r>
    </w:p>
    <w:p w14:paraId="090D7505" w14:textId="77777777" w:rsidR="0073666E" w:rsidRPr="0073666E" w:rsidRDefault="00295883" w:rsidP="00295883">
      <w:pPr>
        <w:pStyle w:val="H1G"/>
        <w:rPr>
          <w:lang w:val="de-CH"/>
        </w:rPr>
      </w:pPr>
      <w:r>
        <w:rPr>
          <w:lang w:val="de-CH"/>
        </w:rPr>
        <w:tab/>
      </w:r>
      <w:r>
        <w:rPr>
          <w:lang w:val="de-CH"/>
        </w:rPr>
        <w:tab/>
      </w:r>
      <w:proofErr w:type="spellStart"/>
      <w:r w:rsidR="0073666E" w:rsidRPr="0073666E">
        <w:rPr>
          <w:lang w:val="de-CH"/>
        </w:rPr>
        <w:t>Article</w:t>
      </w:r>
      <w:proofErr w:type="spellEnd"/>
      <w:r w:rsidR="0073666E" w:rsidRPr="0073666E">
        <w:rPr>
          <w:lang w:val="de-CH"/>
        </w:rPr>
        <w:t xml:space="preserve"> 14</w:t>
      </w:r>
    </w:p>
    <w:p w14:paraId="644EFCAF" w14:textId="77777777" w:rsidR="0073666E" w:rsidRPr="0073666E" w:rsidRDefault="00295883" w:rsidP="00295883">
      <w:pPr>
        <w:pStyle w:val="H23G"/>
        <w:rPr>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D641C5">
        <w:rPr>
          <w:lang w:val="fr-FR"/>
        </w:rPr>
        <w:t>à la question posée</w:t>
      </w:r>
      <w:r w:rsidR="00D641C5">
        <w:rPr>
          <w:lang w:val="de-CH"/>
        </w:rPr>
        <w:t xml:space="preserve"> </w:t>
      </w:r>
      <w:r>
        <w:rPr>
          <w:lang w:val="de-CH"/>
        </w:rPr>
        <w:t xml:space="preserve">au </w:t>
      </w:r>
      <w:proofErr w:type="spellStart"/>
      <w:r>
        <w:rPr>
          <w:lang w:val="de-CH"/>
        </w:rPr>
        <w:t>paragraphe</w:t>
      </w:r>
      <w:proofErr w:type="spellEnd"/>
      <w:r>
        <w:rPr>
          <w:lang w:val="de-CH"/>
        </w:rPr>
        <w:t xml:space="preserve"> 25</w:t>
      </w:r>
    </w:p>
    <w:p w14:paraId="4540A46F" w14:textId="77777777" w:rsidR="0073666E" w:rsidRPr="0073666E" w:rsidRDefault="00295883" w:rsidP="00295883">
      <w:pPr>
        <w:pStyle w:val="SingleTxtG"/>
      </w:pPr>
      <w:r>
        <w:t>150.</w:t>
      </w:r>
      <w:r>
        <w:tab/>
      </w:r>
      <w:proofErr w:type="spellStart"/>
      <w:r w:rsidR="0073666E" w:rsidRPr="0073666E">
        <w:t>Etant</w:t>
      </w:r>
      <w:proofErr w:type="spellEnd"/>
      <w:r w:rsidR="0073666E" w:rsidRPr="0073666E">
        <w:t xml:space="preserve"> donné que les auteurs sont des agents de l</w:t>
      </w:r>
      <w:r w:rsidR="00A27519">
        <w:t>’</w:t>
      </w:r>
      <w:r w:rsidR="00D94D41">
        <w:t>État</w:t>
      </w:r>
      <w:r w:rsidR="0073666E" w:rsidRPr="0073666E">
        <w:t>, la loi fédérale sur la responsabilité de la Confédération, des membres de ses autorités et de ses fonctionnaires (LRCF) est applicable au niveau fédéral. Elle prévoit que la Confédération répond du dommage causé sans droit à un tiers par un fonctionnaire dans l</w:t>
      </w:r>
      <w:r w:rsidR="00A27519">
        <w:t>’</w:t>
      </w:r>
      <w:r w:rsidR="0073666E" w:rsidRPr="0073666E">
        <w:t xml:space="preserve">exercice de ses fonctions, sans égard à la faute du </w:t>
      </w:r>
      <w:r w:rsidR="0073666E" w:rsidRPr="00295883">
        <w:t>fonctionnaire</w:t>
      </w:r>
      <w:r w:rsidR="0073666E" w:rsidRPr="0073666E">
        <w:t xml:space="preserve"> (art. 3 LRCF). Une indemnité à titre de réparation morale peut également être allouée à la victime en cas de faute (art. 6 LRCF). Le lésé doit adresser sa demande de dommages-intérêts ou d</w:t>
      </w:r>
      <w:r w:rsidR="00A27519">
        <w:t>’</w:t>
      </w:r>
      <w:r w:rsidR="0073666E" w:rsidRPr="0073666E">
        <w:t>indemnité au Département fédéral des finances (art. 20 LRCF). Les lois cantonales relatives à la responsabilité des agents publics connaissent un régime similaire (responsabilité causale de l’</w:t>
      </w:r>
      <w:r w:rsidR="00D94D41">
        <w:t>État</w:t>
      </w:r>
      <w:r w:rsidR="0073666E" w:rsidRPr="0073666E">
        <w:t xml:space="preserve"> pour les actes de ses agents). </w:t>
      </w:r>
    </w:p>
    <w:p w14:paraId="5BF10E83" w14:textId="77777777" w:rsidR="0073666E" w:rsidRPr="0073666E" w:rsidRDefault="00295883" w:rsidP="00295883">
      <w:pPr>
        <w:pStyle w:val="SingleTxtG"/>
      </w:pPr>
      <w:r>
        <w:t>151.</w:t>
      </w:r>
      <w:r>
        <w:tab/>
      </w:r>
      <w:proofErr w:type="spellStart"/>
      <w:r w:rsidR="0073666E" w:rsidRPr="0073666E">
        <w:t>A</w:t>
      </w:r>
      <w:proofErr w:type="spellEnd"/>
      <w:r w:rsidR="0073666E" w:rsidRPr="0073666E">
        <w:t xml:space="preserve"> titre subsidiaire, la loi fédérale sur l’aide aux victimes d’infractions (LAVI) prévoit, à certaines conditions, que toute personne, qui a subi, du fait d’une infraction, une atteinte directe à son intégrité physique, psychique ou sexuelle (victime), a droit au soutien prévu par cette loi. Les proches des victimes peuvent également obtenir un soutien (art. 1 LAVI). Les victimes de mauvais traitements par des agents de la force publique peuvent ainsi, si elles remplissent les conditions de la loi, bénéficier de ce soutien. Celui-ci peut notamment consister en une indemnité et/ou en une réparation morale pour le préjudice subi par les victimes (art. 19 </w:t>
      </w:r>
      <w:proofErr w:type="spellStart"/>
      <w:r w:rsidR="0073666E" w:rsidRPr="0073666E">
        <w:t>ss</w:t>
      </w:r>
      <w:proofErr w:type="spellEnd"/>
      <w:r w:rsidR="0073666E" w:rsidRPr="0073666E">
        <w:t xml:space="preserve"> LAVI). Les statistiques sur l’aide aux victimes en Suisse répertorient les cas dans lesquels une indemnité et/ou une réparation morale ont été accordées, mais pas spécifiquement en cas de mauvais traitements par des agents de la force publique. </w:t>
      </w:r>
    </w:p>
    <w:p w14:paraId="49C6AFC6" w14:textId="77777777" w:rsidR="0073666E" w:rsidRPr="0073666E" w:rsidRDefault="00295883" w:rsidP="00295883">
      <w:pPr>
        <w:pStyle w:val="SingleTxtG"/>
        <w:rPr>
          <w:lang w:val="de-CH"/>
        </w:rPr>
      </w:pPr>
      <w:r>
        <w:t>152.</w:t>
      </w:r>
      <w:r>
        <w:tab/>
      </w:r>
      <w:r w:rsidR="0073666E" w:rsidRPr="0073666E">
        <w:t xml:space="preserve">Les décisions des tribunaux ne sont pas non plus systématiquement répertoriées au niveau fédéral. </w:t>
      </w:r>
      <w:r w:rsidR="0073666E" w:rsidRPr="0073666E">
        <w:rPr>
          <w:lang w:val="de-CH"/>
        </w:rPr>
        <w:t xml:space="preserve">Par contre, </w:t>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jugements</w:t>
      </w:r>
      <w:proofErr w:type="spellEnd"/>
      <w:r w:rsidR="0073666E" w:rsidRPr="0073666E">
        <w:rPr>
          <w:lang w:val="de-CH"/>
        </w:rPr>
        <w:t xml:space="preserve"> </w:t>
      </w:r>
      <w:proofErr w:type="spellStart"/>
      <w:r w:rsidR="0073666E" w:rsidRPr="0073666E">
        <w:rPr>
          <w:lang w:val="de-CH"/>
        </w:rPr>
        <w:t>cantonaux</w:t>
      </w:r>
      <w:proofErr w:type="spellEnd"/>
      <w:r w:rsidR="0073666E" w:rsidRPr="0073666E">
        <w:rPr>
          <w:lang w:val="de-CH"/>
        </w:rPr>
        <w:t xml:space="preserve"> de </w:t>
      </w:r>
      <w:proofErr w:type="spellStart"/>
      <w:r w:rsidR="0073666E" w:rsidRPr="0073666E">
        <w:rPr>
          <w:lang w:val="de-CH"/>
        </w:rPr>
        <w:t>deuxième</w:t>
      </w:r>
      <w:proofErr w:type="spellEnd"/>
      <w:r w:rsidR="0073666E" w:rsidRPr="0073666E">
        <w:rPr>
          <w:lang w:val="de-CH"/>
        </w:rPr>
        <w:t xml:space="preserve"> </w:t>
      </w:r>
      <w:proofErr w:type="spellStart"/>
      <w:r w:rsidR="0073666E" w:rsidRPr="0073666E">
        <w:rPr>
          <w:lang w:val="de-CH"/>
        </w:rPr>
        <w:t>instance</w:t>
      </w:r>
      <w:proofErr w:type="spellEnd"/>
      <w:r w:rsidR="0073666E" w:rsidRPr="0073666E">
        <w:rPr>
          <w:lang w:val="de-CH"/>
        </w:rPr>
        <w:t xml:space="preserve"> </w:t>
      </w:r>
      <w:proofErr w:type="spellStart"/>
      <w:r w:rsidR="0073666E" w:rsidRPr="0073666E">
        <w:rPr>
          <w:lang w:val="de-CH"/>
        </w:rPr>
        <w:t>rendus</w:t>
      </w:r>
      <w:proofErr w:type="spellEnd"/>
      <w:r w:rsidR="0073666E" w:rsidRPr="0073666E">
        <w:rPr>
          <w:lang w:val="de-CH"/>
        </w:rPr>
        <w:t xml:space="preserve"> </w:t>
      </w:r>
      <w:proofErr w:type="spellStart"/>
      <w:r w:rsidR="0073666E" w:rsidRPr="0073666E">
        <w:rPr>
          <w:lang w:val="de-CH"/>
        </w:rPr>
        <w:t>depuis</w:t>
      </w:r>
      <w:proofErr w:type="spellEnd"/>
      <w:r w:rsidR="0073666E" w:rsidRPr="0073666E">
        <w:rPr>
          <w:lang w:val="de-CH"/>
        </w:rPr>
        <w:t xml:space="preserve"> 2010 et </w:t>
      </w:r>
      <w:proofErr w:type="spellStart"/>
      <w:r w:rsidR="0073666E" w:rsidRPr="0073666E">
        <w:rPr>
          <w:lang w:val="de-CH"/>
        </w:rPr>
        <w:t>appliquant</w:t>
      </w:r>
      <w:proofErr w:type="spellEnd"/>
      <w:r w:rsidR="0073666E" w:rsidRPr="0073666E">
        <w:rPr>
          <w:lang w:val="de-CH"/>
        </w:rPr>
        <w:t xml:space="preserve"> la LAVI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pu</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passés</w:t>
      </w:r>
      <w:proofErr w:type="spellEnd"/>
      <w:r w:rsidR="0073666E" w:rsidRPr="0073666E">
        <w:rPr>
          <w:lang w:val="de-CH"/>
        </w:rPr>
        <w:t xml:space="preserve"> en </w:t>
      </w:r>
      <w:proofErr w:type="spellStart"/>
      <w:r w:rsidR="0073666E" w:rsidRPr="0073666E">
        <w:rPr>
          <w:lang w:val="de-CH"/>
        </w:rPr>
        <w:t>revue</w:t>
      </w:r>
      <w:proofErr w:type="spellEnd"/>
      <w:r w:rsidR="0073666E" w:rsidRPr="0073666E">
        <w:rPr>
          <w:lang w:val="de-CH"/>
        </w:rPr>
        <w:t xml:space="preserve">. À </w:t>
      </w:r>
      <w:proofErr w:type="spellStart"/>
      <w:r w:rsidR="0073666E" w:rsidRPr="0073666E">
        <w:rPr>
          <w:lang w:val="de-CH"/>
        </w:rPr>
        <w:t>notre</w:t>
      </w:r>
      <w:proofErr w:type="spellEnd"/>
      <w:r w:rsidR="0073666E" w:rsidRPr="0073666E">
        <w:rPr>
          <w:lang w:val="de-CH"/>
        </w:rPr>
        <w:t xml:space="preserve"> </w:t>
      </w:r>
      <w:proofErr w:type="spellStart"/>
      <w:r w:rsidR="0073666E" w:rsidRPr="0073666E">
        <w:rPr>
          <w:lang w:val="de-CH"/>
        </w:rPr>
        <w:t>connaissance</w:t>
      </w:r>
      <w:proofErr w:type="spellEnd"/>
      <w:r w:rsidR="0073666E" w:rsidRPr="0073666E">
        <w:rPr>
          <w:lang w:val="de-CH"/>
        </w:rPr>
        <w:t xml:space="preserve">, deux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concerné</w:t>
      </w:r>
      <w:proofErr w:type="spellEnd"/>
      <w:r w:rsidR="0073666E" w:rsidRPr="0073666E">
        <w:rPr>
          <w:lang w:val="de-CH"/>
        </w:rPr>
        <w:t xml:space="preserve"> des </w:t>
      </w:r>
      <w:proofErr w:type="spellStart"/>
      <w:r w:rsidR="0073666E" w:rsidRPr="0073666E">
        <w:rPr>
          <w:lang w:val="de-CH"/>
        </w:rPr>
        <w:t>mauvais</w:t>
      </w:r>
      <w:proofErr w:type="spellEnd"/>
      <w:r w:rsidR="0073666E" w:rsidRPr="0073666E">
        <w:rPr>
          <w:lang w:val="de-CH"/>
        </w:rPr>
        <w:t xml:space="preserve"> </w:t>
      </w:r>
      <w:proofErr w:type="spellStart"/>
      <w:r w:rsidR="0073666E" w:rsidRPr="0073666E">
        <w:rPr>
          <w:lang w:val="de-CH"/>
        </w:rPr>
        <w:t>traitements</w:t>
      </w:r>
      <w:proofErr w:type="spellEnd"/>
      <w:r w:rsidR="0073666E" w:rsidRPr="0073666E">
        <w:rPr>
          <w:lang w:val="de-CH"/>
        </w:rPr>
        <w:t xml:space="preserve"> par des </w:t>
      </w:r>
      <w:proofErr w:type="spellStart"/>
      <w:r w:rsidR="0073666E" w:rsidRPr="0073666E">
        <w:rPr>
          <w:lang w:val="de-CH"/>
        </w:rPr>
        <w:t>agents</w:t>
      </w:r>
      <w:proofErr w:type="spellEnd"/>
      <w:r w:rsidR="0073666E" w:rsidRPr="0073666E">
        <w:rPr>
          <w:lang w:val="de-CH"/>
        </w:rPr>
        <w:t xml:space="preserve"> de la </w:t>
      </w:r>
      <w:proofErr w:type="spellStart"/>
      <w:r w:rsidR="0073666E" w:rsidRPr="0073666E">
        <w:rPr>
          <w:lang w:val="de-CH"/>
        </w:rPr>
        <w:t>force</w:t>
      </w:r>
      <w:proofErr w:type="spellEnd"/>
      <w:r w:rsidR="0073666E" w:rsidRPr="0073666E">
        <w:rPr>
          <w:lang w:val="de-CH"/>
        </w:rPr>
        <w:t xml:space="preserve"> </w:t>
      </w:r>
      <w:proofErr w:type="spellStart"/>
      <w:r w:rsidR="0073666E" w:rsidRPr="0073666E">
        <w:rPr>
          <w:lang w:val="de-CH"/>
        </w:rPr>
        <w:t>publique</w:t>
      </w:r>
      <w:proofErr w:type="spellEnd"/>
      <w:r w:rsidR="0073666E" w:rsidRPr="0073666E">
        <w:rPr>
          <w:lang w:val="de-CH"/>
        </w:rPr>
        <w:t xml:space="preserve"> </w:t>
      </w:r>
      <w:proofErr w:type="spellStart"/>
      <w:r w:rsidR="0073666E" w:rsidRPr="0073666E">
        <w:rPr>
          <w:lang w:val="de-CH"/>
        </w:rPr>
        <w:t>depuis</w:t>
      </w:r>
      <w:proofErr w:type="spellEnd"/>
      <w:r w:rsidR="0073666E" w:rsidRPr="0073666E">
        <w:rPr>
          <w:lang w:val="de-CH"/>
        </w:rPr>
        <w:t xml:space="preserve"> 2015. Dans </w:t>
      </w:r>
      <w:r w:rsidR="0073666E" w:rsidRPr="0073666E">
        <w:rPr>
          <w:lang w:val="de-CH"/>
        </w:rPr>
        <w:lastRenderedPageBreak/>
        <w:t xml:space="preserve">le </w:t>
      </w:r>
      <w:proofErr w:type="spellStart"/>
      <w:r w:rsidR="0073666E" w:rsidRPr="0073666E">
        <w:rPr>
          <w:lang w:val="de-CH"/>
        </w:rPr>
        <w:t>premier</w:t>
      </w:r>
      <w:proofErr w:type="spellEnd"/>
      <w:r w:rsidR="0073666E" w:rsidRPr="0073666E">
        <w:rPr>
          <w:lang w:val="de-CH"/>
        </w:rPr>
        <w:t xml:space="preserve"> </w:t>
      </w:r>
      <w:proofErr w:type="spellStart"/>
      <w:r w:rsidR="0073666E" w:rsidRPr="0073666E">
        <w:rPr>
          <w:lang w:val="de-CH"/>
        </w:rPr>
        <w:t>cas</w:t>
      </w:r>
      <w:proofErr w:type="spellEnd"/>
      <w:r w:rsidR="0073666E" w:rsidRPr="0073666E">
        <w:rPr>
          <w:lang w:val="de-CH"/>
        </w:rPr>
        <w:t xml:space="preserve">, le </w:t>
      </w:r>
      <w:proofErr w:type="spellStart"/>
      <w:r w:rsidR="0073666E" w:rsidRPr="0073666E">
        <w:rPr>
          <w:lang w:val="de-CH"/>
        </w:rPr>
        <w:t>montant</w:t>
      </w:r>
      <w:proofErr w:type="spellEnd"/>
      <w:r w:rsidR="0073666E" w:rsidRPr="0073666E">
        <w:rPr>
          <w:lang w:val="de-CH"/>
        </w:rPr>
        <w:t xml:space="preserve"> de la </w:t>
      </w:r>
      <w:proofErr w:type="spellStart"/>
      <w:r w:rsidR="0073666E" w:rsidRPr="0073666E">
        <w:rPr>
          <w:lang w:val="de-CH"/>
        </w:rPr>
        <w:t>réparation</w:t>
      </w:r>
      <w:proofErr w:type="spellEnd"/>
      <w:r w:rsidR="0073666E" w:rsidRPr="0073666E">
        <w:rPr>
          <w:lang w:val="de-CH"/>
        </w:rPr>
        <w:t xml:space="preserve"> </w:t>
      </w:r>
      <w:proofErr w:type="spellStart"/>
      <w:r w:rsidR="0073666E" w:rsidRPr="0073666E">
        <w:rPr>
          <w:lang w:val="de-CH"/>
        </w:rPr>
        <w:t>morale</w:t>
      </w:r>
      <w:proofErr w:type="spellEnd"/>
      <w:r w:rsidR="0073666E" w:rsidRPr="0073666E">
        <w:rPr>
          <w:lang w:val="de-CH"/>
        </w:rPr>
        <w:t xml:space="preserve"> </w:t>
      </w:r>
      <w:proofErr w:type="spellStart"/>
      <w:r w:rsidR="0073666E" w:rsidRPr="0073666E">
        <w:rPr>
          <w:lang w:val="de-CH"/>
        </w:rPr>
        <w:t>accordée</w:t>
      </w:r>
      <w:proofErr w:type="spellEnd"/>
      <w:r w:rsidR="0073666E" w:rsidRPr="0073666E">
        <w:rPr>
          <w:lang w:val="de-CH"/>
        </w:rPr>
        <w:t xml:space="preserve"> </w:t>
      </w:r>
      <w:proofErr w:type="spellStart"/>
      <w:r w:rsidR="0073666E" w:rsidRPr="0073666E">
        <w:rPr>
          <w:lang w:val="de-CH"/>
        </w:rPr>
        <w:t>s’élevait</w:t>
      </w:r>
      <w:proofErr w:type="spellEnd"/>
      <w:r w:rsidR="0073666E" w:rsidRPr="0073666E">
        <w:rPr>
          <w:lang w:val="de-CH"/>
        </w:rPr>
        <w:t xml:space="preserve"> à CHF 500.- et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second</w:t>
      </w:r>
      <w:proofErr w:type="spellEnd"/>
      <w:r w:rsidR="0073666E" w:rsidRPr="0073666E">
        <w:rPr>
          <w:lang w:val="de-CH"/>
        </w:rPr>
        <w:t xml:space="preserve"> à CHF 700.-.</w:t>
      </w:r>
    </w:p>
    <w:p w14:paraId="66522641" w14:textId="77777777" w:rsidR="0073666E" w:rsidRPr="0073666E" w:rsidRDefault="00295883" w:rsidP="00295883">
      <w:pPr>
        <w:pStyle w:val="SingleTxtG"/>
        <w:rPr>
          <w:lang w:val="de-CH"/>
        </w:rPr>
      </w:pPr>
      <w:r>
        <w:t>153.</w:t>
      </w:r>
      <w:r>
        <w:tab/>
      </w:r>
      <w:r w:rsidR="0073666E" w:rsidRPr="00295883">
        <w:t>Selon</w:t>
      </w:r>
      <w:r w:rsidR="0073666E" w:rsidRPr="0073666E">
        <w:rPr>
          <w:lang w:val="de-CH"/>
        </w:rPr>
        <w:t xml:space="preserve"> la LAVI et à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conditions</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w:t>
      </w:r>
      <w:proofErr w:type="spellStart"/>
      <w:r w:rsidR="0073666E" w:rsidRPr="0073666E">
        <w:rPr>
          <w:lang w:val="de-CH"/>
        </w:rPr>
        <w:t>son</w:t>
      </w:r>
      <w:proofErr w:type="spellEnd"/>
      <w:r w:rsidR="0073666E" w:rsidRPr="0073666E">
        <w:rPr>
          <w:lang w:val="de-CH"/>
        </w:rPr>
        <w:t xml:space="preserve"> </w:t>
      </w:r>
      <w:proofErr w:type="spellStart"/>
      <w:r w:rsidR="0073666E" w:rsidRPr="0073666E">
        <w:rPr>
          <w:lang w:val="de-CH"/>
        </w:rPr>
        <w:t>caractère</w:t>
      </w:r>
      <w:proofErr w:type="spellEnd"/>
      <w:r w:rsidR="0073666E" w:rsidRPr="0073666E">
        <w:rPr>
          <w:lang w:val="de-CH"/>
        </w:rPr>
        <w:t xml:space="preserve"> </w:t>
      </w:r>
      <w:proofErr w:type="spellStart"/>
      <w:r w:rsidR="0073666E" w:rsidRPr="0073666E">
        <w:rPr>
          <w:lang w:val="de-CH"/>
        </w:rPr>
        <w:t>subsidiaire</w:t>
      </w:r>
      <w:proofErr w:type="spellEnd"/>
      <w:r w:rsidR="00556A55">
        <w:rPr>
          <w:lang w:val="de-CH"/>
        </w:rPr>
        <w:t> </w:t>
      </w:r>
      <w:r w:rsidR="0073666E" w:rsidRPr="0073666E">
        <w:rPr>
          <w:lang w:val="de-CH"/>
        </w:rPr>
        <w:t xml:space="preserve">; art. 4 LAVI),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centres</w:t>
      </w:r>
      <w:proofErr w:type="spellEnd"/>
      <w:r w:rsidR="0073666E" w:rsidRPr="0073666E">
        <w:rPr>
          <w:lang w:val="de-CH"/>
        </w:rPr>
        <w:t xml:space="preserve"> de </w:t>
      </w:r>
      <w:proofErr w:type="spellStart"/>
      <w:r w:rsidR="0073666E" w:rsidRPr="0073666E">
        <w:rPr>
          <w:lang w:val="de-CH"/>
        </w:rPr>
        <w:t>consultation</w:t>
      </w:r>
      <w:proofErr w:type="spellEnd"/>
      <w:r w:rsidR="0073666E" w:rsidRPr="0073666E">
        <w:rPr>
          <w:lang w:val="de-CH"/>
        </w:rPr>
        <w:t xml:space="preserve"> </w:t>
      </w:r>
      <w:proofErr w:type="spellStart"/>
      <w:r w:rsidR="0073666E" w:rsidRPr="0073666E">
        <w:rPr>
          <w:lang w:val="de-CH"/>
        </w:rPr>
        <w:t>fournissent</w:t>
      </w:r>
      <w:proofErr w:type="spellEnd"/>
      <w:r w:rsidR="0073666E" w:rsidRPr="0073666E">
        <w:rPr>
          <w:lang w:val="de-CH"/>
        </w:rPr>
        <w:t xml:space="preserve"> </w:t>
      </w:r>
      <w:proofErr w:type="spellStart"/>
      <w:r w:rsidR="0073666E" w:rsidRPr="0073666E">
        <w:rPr>
          <w:lang w:val="de-CH"/>
        </w:rPr>
        <w:t>immédiatement</w:t>
      </w:r>
      <w:proofErr w:type="spellEnd"/>
      <w:r w:rsidR="0073666E" w:rsidRPr="0073666E">
        <w:rPr>
          <w:lang w:val="de-CH"/>
        </w:rPr>
        <w:t xml:space="preserve"> à la </w:t>
      </w:r>
      <w:proofErr w:type="spellStart"/>
      <w:r w:rsidR="0073666E" w:rsidRPr="0073666E">
        <w:rPr>
          <w:lang w:val="de-CH"/>
        </w:rPr>
        <w:t>victime</w:t>
      </w:r>
      <w:proofErr w:type="spellEnd"/>
      <w:r w:rsidR="0073666E" w:rsidRPr="0073666E">
        <w:rPr>
          <w:lang w:val="de-CH"/>
        </w:rPr>
        <w:t xml:space="preserve"> et à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proches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aide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répondre</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besoins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plus </w:t>
      </w:r>
      <w:proofErr w:type="spellStart"/>
      <w:r w:rsidR="0073666E" w:rsidRPr="0073666E">
        <w:rPr>
          <w:lang w:val="de-CH"/>
        </w:rPr>
        <w:t>urgents</w:t>
      </w:r>
      <w:proofErr w:type="spellEnd"/>
      <w:r w:rsidR="0073666E" w:rsidRPr="0073666E">
        <w:rPr>
          <w:lang w:val="de-CH"/>
        </w:rPr>
        <w:t xml:space="preserve"> </w:t>
      </w:r>
      <w:proofErr w:type="spellStart"/>
      <w:r w:rsidR="0073666E" w:rsidRPr="0073666E">
        <w:rPr>
          <w:lang w:val="de-CH"/>
        </w:rPr>
        <w:t>découlant</w:t>
      </w:r>
      <w:proofErr w:type="spellEnd"/>
      <w:r w:rsidR="0073666E" w:rsidRPr="0073666E">
        <w:rPr>
          <w:lang w:val="de-CH"/>
        </w:rPr>
        <w:t xml:space="preserve"> de </w:t>
      </w:r>
      <w:proofErr w:type="spellStart"/>
      <w:r w:rsidR="0073666E" w:rsidRPr="0073666E">
        <w:rPr>
          <w:lang w:val="de-CH"/>
        </w:rPr>
        <w:t>l’infraction</w:t>
      </w:r>
      <w:proofErr w:type="spellEnd"/>
      <w:r w:rsidR="0073666E" w:rsidRPr="0073666E">
        <w:rPr>
          <w:lang w:val="de-CH"/>
        </w:rPr>
        <w:t xml:space="preserve"> (</w:t>
      </w:r>
      <w:proofErr w:type="spellStart"/>
      <w:r w:rsidR="0073666E" w:rsidRPr="0073666E">
        <w:rPr>
          <w:lang w:val="de-CH"/>
        </w:rPr>
        <w:t>aide</w:t>
      </w:r>
      <w:proofErr w:type="spellEnd"/>
      <w:r w:rsidR="0073666E" w:rsidRPr="0073666E">
        <w:rPr>
          <w:lang w:val="de-CH"/>
        </w:rPr>
        <w:t xml:space="preserve"> </w:t>
      </w:r>
      <w:proofErr w:type="spellStart"/>
      <w:r w:rsidR="0073666E" w:rsidRPr="0073666E">
        <w:rPr>
          <w:lang w:val="de-CH"/>
        </w:rPr>
        <w:t>immédiate</w:t>
      </w:r>
      <w:proofErr w:type="spellEnd"/>
      <w:r w:rsidR="00556A55">
        <w:rPr>
          <w:lang w:val="de-CH"/>
        </w:rPr>
        <w:t> </w:t>
      </w:r>
      <w:r w:rsidR="0073666E" w:rsidRPr="0073666E">
        <w:rPr>
          <w:lang w:val="de-CH"/>
        </w:rPr>
        <w:t>; art.</w:t>
      </w:r>
      <w:r w:rsidR="00556A55">
        <w:rPr>
          <w:lang w:val="de-CH"/>
        </w:rPr>
        <w:t> </w:t>
      </w:r>
      <w:r w:rsidR="0073666E" w:rsidRPr="0073666E">
        <w:rPr>
          <w:lang w:val="de-CH"/>
        </w:rPr>
        <w:t xml:space="preserve">13, al. 1, LAVI). Si </w:t>
      </w:r>
      <w:proofErr w:type="spellStart"/>
      <w:r w:rsidR="0073666E" w:rsidRPr="0073666E">
        <w:rPr>
          <w:lang w:val="de-CH"/>
        </w:rPr>
        <w:t>nécessaire</w:t>
      </w:r>
      <w:proofErr w:type="spellEnd"/>
      <w:r w:rsidR="0073666E" w:rsidRPr="0073666E">
        <w:rPr>
          <w:lang w:val="de-CH"/>
        </w:rPr>
        <w:t xml:space="preserve">, </w:t>
      </w:r>
      <w:proofErr w:type="spellStart"/>
      <w:r w:rsidR="0073666E" w:rsidRPr="0073666E">
        <w:rPr>
          <w:lang w:val="de-CH"/>
        </w:rPr>
        <w:t>ils</w:t>
      </w:r>
      <w:proofErr w:type="spellEnd"/>
      <w:r w:rsidR="0073666E" w:rsidRPr="0073666E">
        <w:rPr>
          <w:lang w:val="de-CH"/>
        </w:rPr>
        <w:t xml:space="preserve"> </w:t>
      </w:r>
      <w:proofErr w:type="spellStart"/>
      <w:r w:rsidR="0073666E" w:rsidRPr="0073666E">
        <w:rPr>
          <w:lang w:val="de-CH"/>
        </w:rPr>
        <w:t>fournissent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aide</w:t>
      </w:r>
      <w:proofErr w:type="spellEnd"/>
      <w:r w:rsidR="0073666E" w:rsidRPr="0073666E">
        <w:rPr>
          <w:lang w:val="de-CH"/>
        </w:rPr>
        <w:t xml:space="preserve"> </w:t>
      </w:r>
      <w:proofErr w:type="spellStart"/>
      <w:r w:rsidR="0073666E" w:rsidRPr="0073666E">
        <w:rPr>
          <w:lang w:val="de-CH"/>
        </w:rPr>
        <w:t>supplémentaire</w:t>
      </w:r>
      <w:proofErr w:type="spellEnd"/>
      <w:r w:rsidR="0073666E" w:rsidRPr="0073666E">
        <w:rPr>
          <w:lang w:val="de-CH"/>
        </w:rPr>
        <w:t xml:space="preserve"> à la </w:t>
      </w:r>
      <w:proofErr w:type="spellStart"/>
      <w:r w:rsidR="0073666E" w:rsidRPr="0073666E">
        <w:rPr>
          <w:lang w:val="de-CH"/>
        </w:rPr>
        <w:t>victime</w:t>
      </w:r>
      <w:proofErr w:type="spellEnd"/>
      <w:r w:rsidR="0073666E" w:rsidRPr="0073666E">
        <w:rPr>
          <w:lang w:val="de-CH"/>
        </w:rPr>
        <w:t xml:space="preserve"> et à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proches</w:t>
      </w:r>
      <w:proofErr w:type="spellEnd"/>
      <w:r w:rsidR="0073666E" w:rsidRPr="0073666E">
        <w:rPr>
          <w:lang w:val="de-CH"/>
        </w:rPr>
        <w:t xml:space="preserve"> </w:t>
      </w:r>
      <w:proofErr w:type="spellStart"/>
      <w:r w:rsidR="0073666E" w:rsidRPr="0073666E">
        <w:rPr>
          <w:lang w:val="de-CH"/>
        </w:rPr>
        <w:t>jusqu’à</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l’état</w:t>
      </w:r>
      <w:proofErr w:type="spellEnd"/>
      <w:r w:rsidR="0073666E" w:rsidRPr="0073666E">
        <w:rPr>
          <w:lang w:val="de-CH"/>
        </w:rPr>
        <w:t xml:space="preserve"> de </w:t>
      </w:r>
      <w:proofErr w:type="spellStart"/>
      <w:r w:rsidR="0073666E" w:rsidRPr="0073666E">
        <w:rPr>
          <w:lang w:val="de-CH"/>
        </w:rPr>
        <w:t>santé</w:t>
      </w:r>
      <w:proofErr w:type="spellEnd"/>
      <w:r w:rsidR="0073666E" w:rsidRPr="0073666E">
        <w:rPr>
          <w:lang w:val="de-CH"/>
        </w:rPr>
        <w:t xml:space="preserve"> de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concernée</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stationnaire</w:t>
      </w:r>
      <w:proofErr w:type="spellEnd"/>
      <w:r w:rsidR="0073666E" w:rsidRPr="0073666E">
        <w:rPr>
          <w:lang w:val="de-CH"/>
        </w:rPr>
        <w:t xml:space="preserve"> et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autres</w:t>
      </w:r>
      <w:proofErr w:type="spellEnd"/>
      <w:r w:rsidR="0073666E" w:rsidRPr="0073666E">
        <w:rPr>
          <w:lang w:val="de-CH"/>
        </w:rPr>
        <w:t xml:space="preserve"> </w:t>
      </w:r>
      <w:proofErr w:type="spellStart"/>
      <w:r w:rsidR="0073666E" w:rsidRPr="0073666E">
        <w:rPr>
          <w:lang w:val="de-CH"/>
        </w:rPr>
        <w:t>conséquences</w:t>
      </w:r>
      <w:proofErr w:type="spellEnd"/>
      <w:r w:rsidR="0073666E" w:rsidRPr="0073666E">
        <w:rPr>
          <w:lang w:val="de-CH"/>
        </w:rPr>
        <w:t xml:space="preserve"> de </w:t>
      </w:r>
      <w:proofErr w:type="spellStart"/>
      <w:r w:rsidR="0073666E" w:rsidRPr="0073666E">
        <w:rPr>
          <w:lang w:val="de-CH"/>
        </w:rPr>
        <w:t>l’infraction</w:t>
      </w:r>
      <w:proofErr w:type="spellEnd"/>
      <w:r w:rsidR="0073666E" w:rsidRPr="0073666E">
        <w:rPr>
          <w:lang w:val="de-CH"/>
        </w:rPr>
        <w:t xml:space="preserve"> </w:t>
      </w:r>
      <w:proofErr w:type="spellStart"/>
      <w:r w:rsidR="0073666E" w:rsidRPr="0073666E">
        <w:rPr>
          <w:lang w:val="de-CH"/>
        </w:rPr>
        <w:t>soient</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la </w:t>
      </w:r>
      <w:proofErr w:type="spellStart"/>
      <w:r w:rsidR="0073666E" w:rsidRPr="0073666E">
        <w:rPr>
          <w:lang w:val="de-CH"/>
        </w:rPr>
        <w:t>mesure</w:t>
      </w:r>
      <w:proofErr w:type="spellEnd"/>
      <w:r w:rsidR="0073666E" w:rsidRPr="0073666E">
        <w:rPr>
          <w:lang w:val="de-CH"/>
        </w:rPr>
        <w:t xml:space="preserve"> du possible </w:t>
      </w:r>
      <w:proofErr w:type="spellStart"/>
      <w:r w:rsidR="0073666E" w:rsidRPr="0073666E">
        <w:rPr>
          <w:lang w:val="de-CH"/>
        </w:rPr>
        <w:t>supprimées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compensées</w:t>
      </w:r>
      <w:proofErr w:type="spellEnd"/>
      <w:r w:rsidR="0073666E" w:rsidRPr="0073666E">
        <w:rPr>
          <w:lang w:val="de-CH"/>
        </w:rPr>
        <w:t xml:space="preserve"> (</w:t>
      </w:r>
      <w:proofErr w:type="spellStart"/>
      <w:r w:rsidR="0073666E" w:rsidRPr="0073666E">
        <w:rPr>
          <w:lang w:val="de-CH"/>
        </w:rPr>
        <w:t>aide</w:t>
      </w:r>
      <w:proofErr w:type="spellEnd"/>
      <w:r w:rsidR="0073666E" w:rsidRPr="0073666E">
        <w:rPr>
          <w:lang w:val="de-CH"/>
        </w:rPr>
        <w:t xml:space="preserve"> à plus </w:t>
      </w:r>
      <w:proofErr w:type="spellStart"/>
      <w:r w:rsidR="0073666E" w:rsidRPr="0073666E">
        <w:rPr>
          <w:lang w:val="de-CH"/>
        </w:rPr>
        <w:t>long</w:t>
      </w:r>
      <w:proofErr w:type="spellEnd"/>
      <w:r w:rsidR="0073666E" w:rsidRPr="0073666E">
        <w:rPr>
          <w:lang w:val="de-CH"/>
        </w:rPr>
        <w:t xml:space="preserve"> </w:t>
      </w:r>
      <w:proofErr w:type="spellStart"/>
      <w:r w:rsidR="0073666E" w:rsidRPr="0073666E">
        <w:rPr>
          <w:lang w:val="de-CH"/>
        </w:rPr>
        <w:t>terme</w:t>
      </w:r>
      <w:proofErr w:type="spellEnd"/>
      <w:r w:rsidR="00556A55">
        <w:rPr>
          <w:lang w:val="de-CH"/>
        </w:rPr>
        <w:t> </w:t>
      </w:r>
      <w:r w:rsidR="0073666E" w:rsidRPr="0073666E">
        <w:rPr>
          <w:lang w:val="de-CH"/>
        </w:rPr>
        <w:t xml:space="preserve">; art. 13, al. 2, LAVI). Ces </w:t>
      </w:r>
      <w:proofErr w:type="spellStart"/>
      <w:r w:rsidR="0073666E" w:rsidRPr="0073666E">
        <w:rPr>
          <w:lang w:val="de-CH"/>
        </w:rPr>
        <w:t>aides</w:t>
      </w:r>
      <w:proofErr w:type="spellEnd"/>
      <w:r w:rsidR="0073666E" w:rsidRPr="0073666E">
        <w:rPr>
          <w:lang w:val="de-CH"/>
        </w:rPr>
        <w:t xml:space="preserve"> </w:t>
      </w:r>
      <w:proofErr w:type="spellStart"/>
      <w:r w:rsidR="0073666E" w:rsidRPr="0073666E">
        <w:rPr>
          <w:lang w:val="de-CH"/>
        </w:rPr>
        <w:t>peuvent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fournies</w:t>
      </w:r>
      <w:proofErr w:type="spellEnd"/>
      <w:r w:rsidR="0073666E" w:rsidRPr="0073666E">
        <w:rPr>
          <w:lang w:val="de-CH"/>
        </w:rPr>
        <w:t xml:space="preserve"> par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centres</w:t>
      </w:r>
      <w:proofErr w:type="spellEnd"/>
      <w:r w:rsidR="0073666E" w:rsidRPr="0073666E">
        <w:rPr>
          <w:lang w:val="de-CH"/>
        </w:rPr>
        <w:t xml:space="preserve"> de </w:t>
      </w:r>
      <w:proofErr w:type="spellStart"/>
      <w:r w:rsidR="0073666E" w:rsidRPr="0073666E">
        <w:rPr>
          <w:lang w:val="de-CH"/>
        </w:rPr>
        <w:t>consultation</w:t>
      </w:r>
      <w:proofErr w:type="spellEnd"/>
      <w:r w:rsidR="0073666E" w:rsidRPr="0073666E">
        <w:rPr>
          <w:lang w:val="de-CH"/>
        </w:rPr>
        <w:t xml:space="preserve"> par </w:t>
      </w:r>
      <w:proofErr w:type="spellStart"/>
      <w:r w:rsidR="0073666E" w:rsidRPr="0073666E">
        <w:rPr>
          <w:lang w:val="de-CH"/>
        </w:rPr>
        <w:t>l’intermédiaire</w:t>
      </w:r>
      <w:proofErr w:type="spellEnd"/>
      <w:r w:rsidR="0073666E" w:rsidRPr="0073666E">
        <w:rPr>
          <w:lang w:val="de-CH"/>
        </w:rPr>
        <w:t xml:space="preserve"> de </w:t>
      </w:r>
      <w:proofErr w:type="spellStart"/>
      <w:r w:rsidR="0073666E" w:rsidRPr="0073666E">
        <w:rPr>
          <w:lang w:val="de-CH"/>
        </w:rPr>
        <w:t>tiers</w:t>
      </w:r>
      <w:proofErr w:type="spellEnd"/>
      <w:r w:rsidR="0073666E" w:rsidRPr="0073666E">
        <w:rPr>
          <w:lang w:val="de-CH"/>
        </w:rPr>
        <w:t xml:space="preserve"> (art. 13, al. 3, LAVI).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prestations</w:t>
      </w:r>
      <w:proofErr w:type="spellEnd"/>
      <w:r w:rsidR="0073666E" w:rsidRPr="0073666E">
        <w:rPr>
          <w:lang w:val="de-CH"/>
        </w:rPr>
        <w:t xml:space="preserve"> </w:t>
      </w:r>
      <w:proofErr w:type="spellStart"/>
      <w:r w:rsidR="0073666E" w:rsidRPr="0073666E">
        <w:rPr>
          <w:lang w:val="de-CH"/>
        </w:rPr>
        <w:t>fournies</w:t>
      </w:r>
      <w:proofErr w:type="spellEnd"/>
      <w:r w:rsidR="0073666E" w:rsidRPr="0073666E">
        <w:rPr>
          <w:lang w:val="de-CH"/>
        </w:rPr>
        <w:t xml:space="preserve"> </w:t>
      </w:r>
      <w:proofErr w:type="spellStart"/>
      <w:r w:rsidR="0073666E" w:rsidRPr="0073666E">
        <w:rPr>
          <w:lang w:val="de-CH"/>
        </w:rPr>
        <w:t>comprennent</w:t>
      </w:r>
      <w:proofErr w:type="spellEnd"/>
      <w:r w:rsidR="0073666E" w:rsidRPr="0073666E">
        <w:rPr>
          <w:lang w:val="de-CH"/>
        </w:rPr>
        <w:t xml:space="preserve"> </w:t>
      </w:r>
      <w:proofErr w:type="spellStart"/>
      <w:r w:rsidR="0073666E" w:rsidRPr="0073666E">
        <w:rPr>
          <w:lang w:val="de-CH"/>
        </w:rPr>
        <w:t>l’assistance</w:t>
      </w:r>
      <w:proofErr w:type="spellEnd"/>
      <w:r w:rsidR="0073666E" w:rsidRPr="0073666E">
        <w:rPr>
          <w:lang w:val="de-CH"/>
        </w:rPr>
        <w:t xml:space="preserve"> </w:t>
      </w:r>
      <w:proofErr w:type="spellStart"/>
      <w:r w:rsidR="0073666E" w:rsidRPr="0073666E">
        <w:rPr>
          <w:lang w:val="de-CH"/>
        </w:rPr>
        <w:t>médicale</w:t>
      </w:r>
      <w:proofErr w:type="spellEnd"/>
      <w:r w:rsidR="0073666E" w:rsidRPr="0073666E">
        <w:rPr>
          <w:lang w:val="de-CH"/>
        </w:rPr>
        <w:t xml:space="preserve">, </w:t>
      </w:r>
      <w:proofErr w:type="spellStart"/>
      <w:r w:rsidR="0073666E" w:rsidRPr="0073666E">
        <w:rPr>
          <w:lang w:val="de-CH"/>
        </w:rPr>
        <w:t>psychologique</w:t>
      </w:r>
      <w:proofErr w:type="spellEnd"/>
      <w:r w:rsidR="0073666E" w:rsidRPr="0073666E">
        <w:rPr>
          <w:lang w:val="de-CH"/>
        </w:rPr>
        <w:t xml:space="preserve">, </w:t>
      </w:r>
      <w:proofErr w:type="spellStart"/>
      <w:r w:rsidR="0073666E" w:rsidRPr="0073666E">
        <w:rPr>
          <w:lang w:val="de-CH"/>
        </w:rPr>
        <w:t>sociale</w:t>
      </w:r>
      <w:proofErr w:type="spellEnd"/>
      <w:r w:rsidR="0073666E" w:rsidRPr="0073666E">
        <w:rPr>
          <w:lang w:val="de-CH"/>
        </w:rPr>
        <w:t xml:space="preserve">, </w:t>
      </w:r>
      <w:proofErr w:type="spellStart"/>
      <w:r w:rsidR="0073666E" w:rsidRPr="0073666E">
        <w:rPr>
          <w:lang w:val="de-CH"/>
        </w:rPr>
        <w:t>matérielle</w:t>
      </w:r>
      <w:proofErr w:type="spellEnd"/>
      <w:r w:rsidR="0073666E" w:rsidRPr="0073666E">
        <w:rPr>
          <w:lang w:val="de-CH"/>
        </w:rPr>
        <w:t xml:space="preserve"> et </w:t>
      </w:r>
      <w:proofErr w:type="spellStart"/>
      <w:r w:rsidR="0073666E" w:rsidRPr="0073666E">
        <w:rPr>
          <w:lang w:val="de-CH"/>
        </w:rPr>
        <w:t>juridique</w:t>
      </w:r>
      <w:proofErr w:type="spellEnd"/>
      <w:r w:rsidR="0073666E" w:rsidRPr="0073666E">
        <w:rPr>
          <w:lang w:val="de-CH"/>
        </w:rPr>
        <w:t xml:space="preserve"> </w:t>
      </w:r>
      <w:proofErr w:type="spellStart"/>
      <w:r w:rsidR="0073666E" w:rsidRPr="0073666E">
        <w:rPr>
          <w:lang w:val="de-CH"/>
        </w:rPr>
        <w:t>appropriée</w:t>
      </w:r>
      <w:proofErr w:type="spellEnd"/>
      <w:r w:rsidR="0073666E" w:rsidRPr="0073666E">
        <w:rPr>
          <w:lang w:val="de-CH"/>
        </w:rPr>
        <w:t xml:space="preserve"> </w:t>
      </w:r>
      <w:proofErr w:type="spellStart"/>
      <w:r w:rsidR="0073666E" w:rsidRPr="0073666E">
        <w:rPr>
          <w:lang w:val="de-CH"/>
        </w:rPr>
        <w:t>dont</w:t>
      </w:r>
      <w:proofErr w:type="spellEnd"/>
      <w:r w:rsidR="0073666E" w:rsidRPr="0073666E">
        <w:rPr>
          <w:lang w:val="de-CH"/>
        </w:rPr>
        <w:t xml:space="preserve"> la </w:t>
      </w:r>
      <w:proofErr w:type="spellStart"/>
      <w:r w:rsidR="0073666E" w:rsidRPr="0073666E">
        <w:rPr>
          <w:lang w:val="de-CH"/>
        </w:rPr>
        <w:t>victime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proches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besoin</w:t>
      </w:r>
      <w:proofErr w:type="spellEnd"/>
      <w:r w:rsidR="0073666E" w:rsidRPr="0073666E">
        <w:rPr>
          <w:lang w:val="de-CH"/>
        </w:rPr>
        <w:t xml:space="preserve"> à la </w:t>
      </w:r>
      <w:proofErr w:type="spellStart"/>
      <w:r w:rsidR="0073666E" w:rsidRPr="0073666E">
        <w:rPr>
          <w:lang w:val="de-CH"/>
        </w:rPr>
        <w:t>suite</w:t>
      </w:r>
      <w:proofErr w:type="spellEnd"/>
      <w:r w:rsidR="0073666E" w:rsidRPr="0073666E">
        <w:rPr>
          <w:lang w:val="de-CH"/>
        </w:rPr>
        <w:t xml:space="preserve"> de </w:t>
      </w:r>
      <w:proofErr w:type="spellStart"/>
      <w:r w:rsidR="0073666E" w:rsidRPr="0073666E">
        <w:rPr>
          <w:lang w:val="de-CH"/>
        </w:rPr>
        <w:t>l’infraction</w:t>
      </w:r>
      <w:proofErr w:type="spellEnd"/>
      <w:r w:rsidR="0073666E" w:rsidRPr="0073666E">
        <w:rPr>
          <w:lang w:val="de-CH"/>
        </w:rPr>
        <w:t xml:space="preserve">. Si </w:t>
      </w:r>
      <w:proofErr w:type="spellStart"/>
      <w:r w:rsidR="0073666E" w:rsidRPr="0073666E">
        <w:rPr>
          <w:lang w:val="de-CH"/>
        </w:rPr>
        <w:t>nécessaire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centres</w:t>
      </w:r>
      <w:proofErr w:type="spellEnd"/>
      <w:r w:rsidR="0073666E" w:rsidRPr="0073666E">
        <w:rPr>
          <w:lang w:val="de-CH"/>
        </w:rPr>
        <w:t xml:space="preserve"> de </w:t>
      </w:r>
      <w:proofErr w:type="spellStart"/>
      <w:r w:rsidR="0073666E" w:rsidRPr="0073666E">
        <w:rPr>
          <w:lang w:val="de-CH"/>
        </w:rPr>
        <w:t>consultation</w:t>
      </w:r>
      <w:proofErr w:type="spellEnd"/>
      <w:r w:rsidR="0073666E" w:rsidRPr="0073666E">
        <w:rPr>
          <w:lang w:val="de-CH"/>
        </w:rPr>
        <w:t xml:space="preserve"> </w:t>
      </w:r>
      <w:proofErr w:type="spellStart"/>
      <w:r w:rsidR="0073666E" w:rsidRPr="0073666E">
        <w:rPr>
          <w:lang w:val="de-CH"/>
        </w:rPr>
        <w:t>procurent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hébergement</w:t>
      </w:r>
      <w:proofErr w:type="spellEnd"/>
      <w:r w:rsidR="0073666E" w:rsidRPr="0073666E">
        <w:rPr>
          <w:lang w:val="de-CH"/>
        </w:rPr>
        <w:t xml:space="preserve"> </w:t>
      </w:r>
      <w:proofErr w:type="spellStart"/>
      <w:r w:rsidR="0073666E" w:rsidRPr="0073666E">
        <w:rPr>
          <w:lang w:val="de-CH"/>
        </w:rPr>
        <w:t>d’urgence</w:t>
      </w:r>
      <w:proofErr w:type="spellEnd"/>
      <w:r w:rsidR="0073666E" w:rsidRPr="0073666E">
        <w:rPr>
          <w:lang w:val="de-CH"/>
        </w:rPr>
        <w:t xml:space="preserve"> à la </w:t>
      </w:r>
      <w:proofErr w:type="spellStart"/>
      <w:r w:rsidR="0073666E" w:rsidRPr="0073666E">
        <w:rPr>
          <w:lang w:val="de-CH"/>
        </w:rPr>
        <w:t>victime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à </w:t>
      </w:r>
      <w:proofErr w:type="spellStart"/>
      <w:r w:rsidR="0073666E" w:rsidRPr="0073666E">
        <w:rPr>
          <w:lang w:val="de-CH"/>
        </w:rPr>
        <w:t>ses</w:t>
      </w:r>
      <w:proofErr w:type="spellEnd"/>
      <w:r w:rsidR="0073666E" w:rsidRPr="0073666E">
        <w:rPr>
          <w:lang w:val="de-CH"/>
        </w:rPr>
        <w:t xml:space="preserve"> </w:t>
      </w:r>
      <w:proofErr w:type="spellStart"/>
      <w:r w:rsidR="0073666E" w:rsidRPr="0073666E">
        <w:rPr>
          <w:lang w:val="de-CH"/>
        </w:rPr>
        <w:t>proches</w:t>
      </w:r>
      <w:proofErr w:type="spellEnd"/>
      <w:r w:rsidR="0073666E" w:rsidRPr="0073666E">
        <w:rPr>
          <w:lang w:val="de-CH"/>
        </w:rPr>
        <w:t xml:space="preserve"> (art. 14, al. 1, LAVI).</w:t>
      </w:r>
    </w:p>
    <w:p w14:paraId="789277F5" w14:textId="77777777" w:rsidR="0073666E" w:rsidRPr="0073666E" w:rsidRDefault="00295883" w:rsidP="00295883">
      <w:pPr>
        <w:pStyle w:val="SingleTxtG"/>
      </w:pPr>
      <w:r>
        <w:t>154.</w:t>
      </w:r>
      <w:r>
        <w:tab/>
      </w:r>
      <w:r w:rsidR="0073666E" w:rsidRPr="0073666E">
        <w:t xml:space="preserve">Du fait de la structure fédéraliste de la Suisse et compte tenu des nombreux acteurs susceptibles d’intervenir dans le processus d’indemnisation, il n’est pas possible de fournir des données statistiques plus précises sur les montants et les aides alloués aux victimes de mauvais traitement par des agents de la force publique. </w:t>
      </w:r>
    </w:p>
    <w:p w14:paraId="2610E4DF" w14:textId="77777777" w:rsidR="0073666E" w:rsidRPr="0073666E" w:rsidRDefault="00295883" w:rsidP="00295883">
      <w:pPr>
        <w:pStyle w:val="H1G"/>
        <w:rPr>
          <w:lang w:val="de-CH"/>
        </w:rPr>
      </w:pPr>
      <w:r>
        <w:rPr>
          <w:lang w:val="de-CH"/>
        </w:rPr>
        <w:tab/>
      </w:r>
      <w:r>
        <w:rPr>
          <w:lang w:val="de-CH"/>
        </w:rPr>
        <w:tab/>
      </w:r>
      <w:proofErr w:type="spellStart"/>
      <w:r w:rsidR="0073666E" w:rsidRPr="0073666E">
        <w:rPr>
          <w:lang w:val="de-CH"/>
        </w:rPr>
        <w:t>Article</w:t>
      </w:r>
      <w:proofErr w:type="spellEnd"/>
      <w:r w:rsidR="0073666E" w:rsidRPr="0073666E">
        <w:rPr>
          <w:lang w:val="de-CH"/>
        </w:rPr>
        <w:t xml:space="preserve"> 16</w:t>
      </w:r>
    </w:p>
    <w:p w14:paraId="71290405" w14:textId="77777777" w:rsidR="0073666E" w:rsidRPr="0073666E" w:rsidRDefault="00295883" w:rsidP="00295883">
      <w:pPr>
        <w:pStyle w:val="H23G"/>
        <w:rPr>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D641C5">
        <w:rPr>
          <w:lang w:val="fr-FR"/>
        </w:rPr>
        <w:t>à la question posée</w:t>
      </w:r>
      <w:r w:rsidR="00D641C5">
        <w:rPr>
          <w:lang w:val="de-CH"/>
        </w:rPr>
        <w:t xml:space="preserve"> </w:t>
      </w:r>
      <w:r>
        <w:rPr>
          <w:lang w:val="de-CH"/>
        </w:rPr>
        <w:t xml:space="preserve">au </w:t>
      </w:r>
      <w:proofErr w:type="spellStart"/>
      <w:r>
        <w:rPr>
          <w:lang w:val="de-CH"/>
        </w:rPr>
        <w:t>paragraphe</w:t>
      </w:r>
      <w:proofErr w:type="spellEnd"/>
      <w:r>
        <w:rPr>
          <w:lang w:val="de-CH"/>
        </w:rPr>
        <w:t xml:space="preserve"> 26</w:t>
      </w:r>
    </w:p>
    <w:p w14:paraId="4D8C18D2" w14:textId="77777777" w:rsidR="0073666E" w:rsidRPr="0073666E" w:rsidRDefault="00295883" w:rsidP="00295883">
      <w:pPr>
        <w:pStyle w:val="SingleTxtG"/>
        <w:rPr>
          <w:lang w:val="de-CH"/>
        </w:rPr>
      </w:pPr>
      <w:r>
        <w:rPr>
          <w:lang w:val="de-CH"/>
        </w:rPr>
        <w:t>155.</w:t>
      </w:r>
      <w:r>
        <w:rPr>
          <w:lang w:val="de-CH"/>
        </w:rPr>
        <w:tab/>
      </w:r>
      <w:proofErr w:type="spellStart"/>
      <w:r w:rsidR="0073666E" w:rsidRPr="0073666E">
        <w:rPr>
          <w:lang w:val="de-CH"/>
        </w:rPr>
        <w:t>Concernant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rapatriements</w:t>
      </w:r>
      <w:proofErr w:type="spellEnd"/>
      <w:r w:rsidR="0073666E" w:rsidRPr="0073666E">
        <w:rPr>
          <w:lang w:val="de-CH"/>
        </w:rPr>
        <w:t xml:space="preserve"> </w:t>
      </w:r>
      <w:proofErr w:type="spellStart"/>
      <w:r w:rsidR="0073666E" w:rsidRPr="0073666E">
        <w:rPr>
          <w:lang w:val="de-CH"/>
        </w:rPr>
        <w:t>effectués</w:t>
      </w:r>
      <w:proofErr w:type="spellEnd"/>
      <w:r w:rsidR="0073666E" w:rsidRPr="0073666E">
        <w:rPr>
          <w:lang w:val="de-CH"/>
        </w:rPr>
        <w:t xml:space="preserve"> </w:t>
      </w:r>
      <w:proofErr w:type="spellStart"/>
      <w:r w:rsidR="0073666E" w:rsidRPr="0073666E">
        <w:rPr>
          <w:lang w:val="de-CH"/>
        </w:rPr>
        <w:t>parfois</w:t>
      </w:r>
      <w:proofErr w:type="spellEnd"/>
      <w:r w:rsidR="0073666E" w:rsidRPr="0073666E">
        <w:rPr>
          <w:lang w:val="de-CH"/>
        </w:rPr>
        <w:t xml:space="preserve"> par </w:t>
      </w:r>
      <w:proofErr w:type="spellStart"/>
      <w:r w:rsidR="0073666E" w:rsidRPr="0073666E">
        <w:rPr>
          <w:lang w:val="de-CH"/>
        </w:rPr>
        <w:t>bateau</w:t>
      </w:r>
      <w:proofErr w:type="spellEnd"/>
      <w:r w:rsidR="0073666E" w:rsidRPr="0073666E">
        <w:rPr>
          <w:lang w:val="de-CH"/>
        </w:rPr>
        <w:t xml:space="preserve"> </w:t>
      </w:r>
      <w:proofErr w:type="spellStart"/>
      <w:r w:rsidR="0073666E" w:rsidRPr="0073666E">
        <w:rPr>
          <w:lang w:val="de-CH"/>
        </w:rPr>
        <w:t>vers</w:t>
      </w:r>
      <w:proofErr w:type="spellEnd"/>
      <w:r w:rsidR="0073666E" w:rsidRPr="0073666E">
        <w:rPr>
          <w:lang w:val="de-CH"/>
        </w:rPr>
        <w:t xml:space="preserve"> le </w:t>
      </w:r>
      <w:proofErr w:type="spellStart"/>
      <w:r w:rsidR="0073666E" w:rsidRPr="0073666E">
        <w:rPr>
          <w:lang w:val="de-CH"/>
        </w:rPr>
        <w:t>Maroc</w:t>
      </w:r>
      <w:proofErr w:type="spellEnd"/>
      <w:r w:rsidR="0073666E" w:rsidRPr="0073666E">
        <w:rPr>
          <w:lang w:val="de-CH"/>
        </w:rPr>
        <w:t xml:space="preserve">, la CNPT </w:t>
      </w:r>
      <w:r w:rsidR="0073666E" w:rsidRPr="00295883">
        <w:t>accompagne</w:t>
      </w:r>
      <w:r w:rsidR="0073666E" w:rsidRPr="0073666E">
        <w:rPr>
          <w:lang w:val="de-CH"/>
        </w:rPr>
        <w:t xml:space="preserve"> le </w:t>
      </w:r>
      <w:proofErr w:type="spellStart"/>
      <w:r w:rsidR="0073666E" w:rsidRPr="0073666E">
        <w:rPr>
          <w:lang w:val="de-CH"/>
        </w:rPr>
        <w:t>transfert</w:t>
      </w:r>
      <w:proofErr w:type="spellEnd"/>
      <w:r w:rsidR="0073666E" w:rsidRPr="0073666E">
        <w:rPr>
          <w:lang w:val="de-CH"/>
        </w:rPr>
        <w:t xml:space="preserve"> par </w:t>
      </w:r>
      <w:proofErr w:type="spellStart"/>
      <w:r w:rsidR="0073666E" w:rsidRPr="0073666E">
        <w:rPr>
          <w:lang w:val="de-CH"/>
        </w:rPr>
        <w:t>vol</w:t>
      </w:r>
      <w:proofErr w:type="spellEnd"/>
      <w:r w:rsidR="0073666E" w:rsidRPr="0073666E">
        <w:rPr>
          <w:lang w:val="de-CH"/>
        </w:rPr>
        <w:t xml:space="preserve"> </w:t>
      </w:r>
      <w:proofErr w:type="spellStart"/>
      <w:r w:rsidR="0073666E" w:rsidRPr="0073666E">
        <w:rPr>
          <w:lang w:val="de-CH"/>
        </w:rPr>
        <w:t>spécial</w:t>
      </w:r>
      <w:proofErr w:type="spellEnd"/>
      <w:r w:rsidR="0073666E" w:rsidRPr="0073666E">
        <w:rPr>
          <w:lang w:val="de-CH"/>
        </w:rPr>
        <w:t xml:space="preserve"> </w:t>
      </w:r>
      <w:proofErr w:type="spellStart"/>
      <w:r w:rsidR="0073666E" w:rsidRPr="0073666E">
        <w:rPr>
          <w:lang w:val="de-CH"/>
        </w:rPr>
        <w:t>vers</w:t>
      </w:r>
      <w:proofErr w:type="spellEnd"/>
      <w:r w:rsidR="0073666E" w:rsidRPr="0073666E">
        <w:rPr>
          <w:lang w:val="de-CH"/>
        </w:rPr>
        <w:t xml:space="preserve"> la France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de </w:t>
      </w:r>
      <w:proofErr w:type="spellStart"/>
      <w:r w:rsidR="0073666E" w:rsidRPr="0073666E">
        <w:rPr>
          <w:lang w:val="de-CH"/>
        </w:rPr>
        <w:t>l’observation</w:t>
      </w:r>
      <w:proofErr w:type="spellEnd"/>
      <w:r w:rsidR="0073666E" w:rsidRPr="0073666E">
        <w:rPr>
          <w:lang w:val="de-CH"/>
        </w:rPr>
        <w:t xml:space="preserve"> des </w:t>
      </w:r>
      <w:proofErr w:type="spellStart"/>
      <w:r w:rsidR="0073666E" w:rsidRPr="0073666E">
        <w:rPr>
          <w:lang w:val="de-CH"/>
        </w:rPr>
        <w:t>renvois</w:t>
      </w:r>
      <w:proofErr w:type="spellEnd"/>
      <w:r w:rsidR="0073666E" w:rsidRPr="0073666E">
        <w:rPr>
          <w:lang w:val="de-CH"/>
        </w:rPr>
        <w:t xml:space="preserve"> en vertu du </w:t>
      </w:r>
      <w:proofErr w:type="spellStart"/>
      <w:r w:rsidR="0073666E" w:rsidRPr="0073666E">
        <w:rPr>
          <w:lang w:val="de-CH"/>
        </w:rPr>
        <w:t>droit</w:t>
      </w:r>
      <w:proofErr w:type="spellEnd"/>
      <w:r w:rsidR="0073666E" w:rsidRPr="0073666E">
        <w:rPr>
          <w:lang w:val="de-CH"/>
        </w:rPr>
        <w:t xml:space="preserve"> des </w:t>
      </w:r>
      <w:proofErr w:type="spellStart"/>
      <w:r w:rsidR="0073666E" w:rsidRPr="0073666E">
        <w:rPr>
          <w:lang w:val="de-CH"/>
        </w:rPr>
        <w:t>étrangers</w:t>
      </w:r>
      <w:proofErr w:type="spellEnd"/>
      <w:r w:rsidR="0073666E" w:rsidRPr="0073666E">
        <w:rPr>
          <w:lang w:val="de-CH"/>
        </w:rPr>
        <w:t xml:space="preserve">. </w:t>
      </w:r>
      <w:proofErr w:type="spellStart"/>
      <w:r w:rsidR="0073666E" w:rsidRPr="0073666E">
        <w:rPr>
          <w:lang w:val="de-CH"/>
        </w:rPr>
        <w:t>Aucune</w:t>
      </w:r>
      <w:proofErr w:type="spellEnd"/>
      <w:r w:rsidR="0073666E" w:rsidRPr="0073666E">
        <w:rPr>
          <w:lang w:val="de-CH"/>
        </w:rPr>
        <w:t xml:space="preserve"> </w:t>
      </w:r>
      <w:proofErr w:type="spellStart"/>
      <w:r w:rsidR="0073666E" w:rsidRPr="0073666E">
        <w:rPr>
          <w:lang w:val="de-CH"/>
        </w:rPr>
        <w:t>observation</w:t>
      </w:r>
      <w:proofErr w:type="spellEnd"/>
      <w:r w:rsidR="0073666E" w:rsidRPr="0073666E">
        <w:rPr>
          <w:lang w:val="de-CH"/>
        </w:rPr>
        <w:t xml:space="preserve"> </w:t>
      </w:r>
      <w:proofErr w:type="spellStart"/>
      <w:r w:rsidR="0073666E" w:rsidRPr="0073666E">
        <w:rPr>
          <w:lang w:val="de-CH"/>
        </w:rPr>
        <w:t>n’est</w:t>
      </w:r>
      <w:proofErr w:type="spellEnd"/>
      <w:r w:rsidR="0073666E" w:rsidRPr="0073666E">
        <w:rPr>
          <w:lang w:val="de-CH"/>
        </w:rPr>
        <w:t xml:space="preserve"> en </w:t>
      </w:r>
      <w:proofErr w:type="spellStart"/>
      <w:r w:rsidR="0073666E" w:rsidRPr="0073666E">
        <w:rPr>
          <w:lang w:val="de-CH"/>
        </w:rPr>
        <w:t>revanche</w:t>
      </w:r>
      <w:proofErr w:type="spellEnd"/>
      <w:r w:rsidR="0073666E" w:rsidRPr="0073666E">
        <w:rPr>
          <w:lang w:val="de-CH"/>
        </w:rPr>
        <w:t xml:space="preserve"> </w:t>
      </w:r>
      <w:proofErr w:type="spellStart"/>
      <w:r w:rsidR="0073666E" w:rsidRPr="0073666E">
        <w:rPr>
          <w:lang w:val="de-CH"/>
        </w:rPr>
        <w:t>prévue</w:t>
      </w:r>
      <w:proofErr w:type="spellEnd"/>
      <w:r w:rsidR="0073666E" w:rsidRPr="0073666E">
        <w:rPr>
          <w:lang w:val="de-CH"/>
        </w:rPr>
        <w:t xml:space="preserve"> </w:t>
      </w:r>
      <w:proofErr w:type="spellStart"/>
      <w:r w:rsidR="0073666E" w:rsidRPr="0073666E">
        <w:rPr>
          <w:lang w:val="de-CH"/>
        </w:rPr>
        <w:t>actuellement</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le </w:t>
      </w:r>
      <w:proofErr w:type="spellStart"/>
      <w:r w:rsidR="0073666E" w:rsidRPr="0073666E">
        <w:rPr>
          <w:lang w:val="de-CH"/>
        </w:rPr>
        <w:t>voyage</w:t>
      </w:r>
      <w:proofErr w:type="spellEnd"/>
      <w:r w:rsidR="0073666E" w:rsidRPr="0073666E">
        <w:rPr>
          <w:lang w:val="de-CH"/>
        </w:rPr>
        <w:t xml:space="preserve"> entre la France et le </w:t>
      </w:r>
      <w:proofErr w:type="spellStart"/>
      <w:r w:rsidR="0073666E" w:rsidRPr="0073666E">
        <w:rPr>
          <w:lang w:val="de-CH"/>
        </w:rPr>
        <w:t>Maroc</w:t>
      </w:r>
      <w:proofErr w:type="spellEnd"/>
      <w:r w:rsidR="0073666E" w:rsidRPr="0073666E">
        <w:rPr>
          <w:lang w:val="de-CH"/>
        </w:rPr>
        <w:t xml:space="preserve">. Si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rapatriements</w:t>
      </w:r>
      <w:proofErr w:type="spellEnd"/>
      <w:r w:rsidR="0073666E" w:rsidRPr="0073666E">
        <w:rPr>
          <w:lang w:val="de-CH"/>
        </w:rPr>
        <w:t xml:space="preserve"> par </w:t>
      </w:r>
      <w:proofErr w:type="spellStart"/>
      <w:r w:rsidR="0073666E" w:rsidRPr="0073666E">
        <w:rPr>
          <w:lang w:val="de-CH"/>
        </w:rPr>
        <w:t>bateau</w:t>
      </w:r>
      <w:proofErr w:type="spellEnd"/>
      <w:r w:rsidR="0073666E" w:rsidRPr="0073666E">
        <w:rPr>
          <w:lang w:val="de-CH"/>
        </w:rPr>
        <w:t xml:space="preserve"> </w:t>
      </w:r>
      <w:proofErr w:type="spellStart"/>
      <w:r w:rsidR="0073666E" w:rsidRPr="0073666E">
        <w:rPr>
          <w:lang w:val="de-CH"/>
        </w:rPr>
        <w:t>devaient</w:t>
      </w:r>
      <w:proofErr w:type="spellEnd"/>
      <w:r w:rsidR="0073666E" w:rsidRPr="0073666E">
        <w:rPr>
          <w:lang w:val="de-CH"/>
        </w:rPr>
        <w:t xml:space="preserve"> </w:t>
      </w:r>
      <w:proofErr w:type="spellStart"/>
      <w:r w:rsidR="0073666E" w:rsidRPr="0073666E">
        <w:rPr>
          <w:lang w:val="de-CH"/>
        </w:rPr>
        <w:t>augmenter</w:t>
      </w:r>
      <w:proofErr w:type="spellEnd"/>
      <w:r w:rsidR="0073666E" w:rsidRPr="0073666E">
        <w:rPr>
          <w:lang w:val="de-CH"/>
        </w:rPr>
        <w:t xml:space="preserve">, le SEM </w:t>
      </w:r>
      <w:proofErr w:type="spellStart"/>
      <w:r w:rsidR="0073666E" w:rsidRPr="0073666E">
        <w:rPr>
          <w:lang w:val="de-CH"/>
        </w:rPr>
        <w:t>examinerait</w:t>
      </w:r>
      <w:proofErr w:type="spellEnd"/>
      <w:r w:rsidR="0073666E" w:rsidRPr="0073666E">
        <w:rPr>
          <w:lang w:val="de-CH"/>
        </w:rPr>
        <w:t xml:space="preserve"> si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observation</w:t>
      </w:r>
      <w:proofErr w:type="spellEnd"/>
      <w:r w:rsidR="0073666E" w:rsidRPr="0073666E">
        <w:rPr>
          <w:lang w:val="de-CH"/>
        </w:rPr>
        <w:t xml:space="preserve"> </w:t>
      </w:r>
      <w:proofErr w:type="spellStart"/>
      <w:r w:rsidR="0073666E" w:rsidRPr="0073666E">
        <w:rPr>
          <w:lang w:val="de-CH"/>
        </w:rPr>
        <w:t>peut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introduite</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rapatriements</w:t>
      </w:r>
      <w:proofErr w:type="spellEnd"/>
      <w:r w:rsidR="0073666E" w:rsidRPr="0073666E">
        <w:rPr>
          <w:lang w:val="de-CH"/>
        </w:rPr>
        <w:t>.</w:t>
      </w:r>
    </w:p>
    <w:p w14:paraId="12A10470" w14:textId="77777777" w:rsidR="0073666E" w:rsidRPr="0073666E" w:rsidRDefault="00295883" w:rsidP="00295883">
      <w:pPr>
        <w:pStyle w:val="SingleTxtG"/>
        <w:rPr>
          <w:lang w:val="de-CH"/>
        </w:rPr>
      </w:pPr>
      <w:r>
        <w:rPr>
          <w:lang w:val="de-CH"/>
        </w:rPr>
        <w:t>156.</w:t>
      </w:r>
      <w:r>
        <w:rPr>
          <w:lang w:val="de-CH"/>
        </w:rPr>
        <w:tab/>
      </w:r>
      <w:r w:rsidR="0073666E" w:rsidRPr="0073666E">
        <w:rPr>
          <w:lang w:val="de-CH"/>
        </w:rPr>
        <w:t xml:space="preserve">En vertu des </w:t>
      </w:r>
      <w:proofErr w:type="spellStart"/>
      <w:r w:rsidR="0073666E" w:rsidRPr="0073666E">
        <w:rPr>
          <w:lang w:val="de-CH"/>
        </w:rPr>
        <w:t>bases</w:t>
      </w:r>
      <w:proofErr w:type="spellEnd"/>
      <w:r w:rsidR="0073666E" w:rsidRPr="0073666E">
        <w:rPr>
          <w:lang w:val="de-CH"/>
        </w:rPr>
        <w:t xml:space="preserve"> </w:t>
      </w:r>
      <w:proofErr w:type="spellStart"/>
      <w:r w:rsidR="0073666E" w:rsidRPr="0073666E">
        <w:rPr>
          <w:lang w:val="de-CH"/>
        </w:rPr>
        <w:t>légales</w:t>
      </w:r>
      <w:proofErr w:type="spellEnd"/>
      <w:r w:rsidR="0073666E" w:rsidRPr="0073666E">
        <w:rPr>
          <w:lang w:val="de-CH"/>
        </w:rPr>
        <w:t xml:space="preserve"> en </w:t>
      </w:r>
      <w:proofErr w:type="spellStart"/>
      <w:r w:rsidR="0073666E" w:rsidRPr="0073666E">
        <w:rPr>
          <w:lang w:val="de-CH"/>
        </w:rPr>
        <w:t>vigueur</w:t>
      </w:r>
      <w:proofErr w:type="spellEnd"/>
      <w:r w:rsidR="0073666E" w:rsidRPr="0073666E">
        <w:rPr>
          <w:lang w:val="de-CH"/>
        </w:rPr>
        <w:t xml:space="preserve"> (art. 15f à 15i OERE), </w:t>
      </w:r>
      <w:proofErr w:type="spellStart"/>
      <w:r w:rsidR="0073666E" w:rsidRPr="0073666E">
        <w:rPr>
          <w:lang w:val="de-CH"/>
        </w:rPr>
        <w:t>l’observation</w:t>
      </w:r>
      <w:proofErr w:type="spellEnd"/>
      <w:r w:rsidR="0073666E" w:rsidRPr="0073666E">
        <w:rPr>
          <w:lang w:val="de-CH"/>
        </w:rPr>
        <w:t xml:space="preserve"> se </w:t>
      </w:r>
      <w:proofErr w:type="spellStart"/>
      <w:r w:rsidR="0073666E" w:rsidRPr="0073666E">
        <w:rPr>
          <w:lang w:val="de-CH"/>
        </w:rPr>
        <w:t>limite</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rapatriements</w:t>
      </w:r>
      <w:proofErr w:type="spellEnd"/>
      <w:r w:rsidR="0073666E" w:rsidRPr="0073666E">
        <w:rPr>
          <w:lang w:val="de-CH"/>
        </w:rPr>
        <w:t xml:space="preserve"> par </w:t>
      </w:r>
      <w:proofErr w:type="spellStart"/>
      <w:r w:rsidR="0073666E" w:rsidRPr="0073666E">
        <w:rPr>
          <w:lang w:val="de-CH"/>
        </w:rPr>
        <w:t>avion</w:t>
      </w:r>
      <w:proofErr w:type="spellEnd"/>
      <w:r w:rsidR="0073666E" w:rsidRPr="0073666E">
        <w:rPr>
          <w:lang w:val="de-CH"/>
        </w:rPr>
        <w:t xml:space="preserve">. </w:t>
      </w:r>
      <w:r w:rsidR="002B6ED6">
        <w:rPr>
          <w:lang w:val="de-CH"/>
        </w:rPr>
        <w:t>À</w:t>
      </w:r>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propos</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faut</w:t>
      </w:r>
      <w:proofErr w:type="spellEnd"/>
      <w:r w:rsidR="0073666E" w:rsidRPr="0073666E">
        <w:rPr>
          <w:lang w:val="de-CH"/>
        </w:rPr>
        <w:t xml:space="preserve"> </w:t>
      </w:r>
      <w:proofErr w:type="spellStart"/>
      <w:r w:rsidR="0073666E" w:rsidRPr="0073666E">
        <w:rPr>
          <w:lang w:val="de-CH"/>
        </w:rPr>
        <w:t>signaler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visites</w:t>
      </w:r>
      <w:proofErr w:type="spellEnd"/>
      <w:r w:rsidR="0073666E" w:rsidRPr="0073666E">
        <w:rPr>
          <w:lang w:val="de-CH"/>
        </w:rPr>
        <w:t xml:space="preserve"> ne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prévues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des </w:t>
      </w:r>
      <w:proofErr w:type="spellStart"/>
      <w:r w:rsidR="0073666E" w:rsidRPr="0073666E">
        <w:rPr>
          <w:lang w:val="de-CH"/>
        </w:rPr>
        <w:t>mécanismes</w:t>
      </w:r>
      <w:proofErr w:type="spellEnd"/>
      <w:r w:rsidR="0073666E" w:rsidRPr="0073666E">
        <w:rPr>
          <w:lang w:val="de-CH"/>
        </w:rPr>
        <w:t xml:space="preserve"> </w:t>
      </w:r>
      <w:proofErr w:type="spellStart"/>
      <w:r w:rsidR="0073666E" w:rsidRPr="0073666E">
        <w:rPr>
          <w:lang w:val="de-CH"/>
        </w:rPr>
        <w:t>nationaux</w:t>
      </w:r>
      <w:proofErr w:type="spellEnd"/>
      <w:r w:rsidR="0073666E" w:rsidRPr="0073666E">
        <w:rPr>
          <w:lang w:val="de-CH"/>
        </w:rPr>
        <w:t xml:space="preserve"> de </w:t>
      </w:r>
      <w:proofErr w:type="spellStart"/>
      <w:r w:rsidR="0073666E" w:rsidRPr="0073666E">
        <w:rPr>
          <w:lang w:val="de-CH"/>
        </w:rPr>
        <w:t>prévention</w:t>
      </w:r>
      <w:proofErr w:type="spellEnd"/>
      <w:r w:rsidR="0073666E" w:rsidRPr="0073666E">
        <w:rPr>
          <w:lang w:val="de-CH"/>
        </w:rPr>
        <w:t xml:space="preserve"> au sens de </w:t>
      </w:r>
      <w:proofErr w:type="spellStart"/>
      <w:r w:rsidR="0073666E" w:rsidRPr="0073666E">
        <w:rPr>
          <w:lang w:val="de-CH"/>
        </w:rPr>
        <w:t>l’art</w:t>
      </w:r>
      <w:proofErr w:type="spellEnd"/>
      <w:r w:rsidR="0073666E" w:rsidRPr="0073666E">
        <w:rPr>
          <w:lang w:val="de-CH"/>
        </w:rPr>
        <w:t xml:space="preserve">. 4 du </w:t>
      </w:r>
      <w:proofErr w:type="spellStart"/>
      <w:r w:rsidR="0073666E" w:rsidRPr="0073666E">
        <w:rPr>
          <w:lang w:val="de-CH"/>
        </w:rPr>
        <w:t>Protocole</w:t>
      </w:r>
      <w:proofErr w:type="spellEnd"/>
      <w:r w:rsidR="0073666E" w:rsidRPr="0073666E">
        <w:rPr>
          <w:lang w:val="de-CH"/>
        </w:rPr>
        <w:t xml:space="preserve"> </w:t>
      </w:r>
      <w:proofErr w:type="spellStart"/>
      <w:r w:rsidR="0073666E" w:rsidRPr="0073666E">
        <w:rPr>
          <w:lang w:val="de-CH"/>
        </w:rPr>
        <w:t>facultatif</w:t>
      </w:r>
      <w:proofErr w:type="spellEnd"/>
      <w:r w:rsidR="0073666E" w:rsidRPr="0073666E">
        <w:rPr>
          <w:lang w:val="de-CH"/>
        </w:rPr>
        <w:t xml:space="preserve"> à la Convention des </w:t>
      </w:r>
      <w:proofErr w:type="spellStart"/>
      <w:r w:rsidR="0073666E" w:rsidRPr="0073666E">
        <w:rPr>
          <w:lang w:val="de-CH"/>
        </w:rPr>
        <w:t>Nations</w:t>
      </w:r>
      <w:proofErr w:type="spellEnd"/>
      <w:r w:rsidR="0073666E" w:rsidRPr="0073666E">
        <w:rPr>
          <w:lang w:val="de-CH"/>
        </w:rPr>
        <w:t xml:space="preserve"> </w:t>
      </w:r>
      <w:proofErr w:type="spellStart"/>
      <w:r w:rsidR="0073666E" w:rsidRPr="0073666E">
        <w:rPr>
          <w:lang w:val="de-CH"/>
        </w:rPr>
        <w:t>Unies</w:t>
      </w:r>
      <w:proofErr w:type="spellEnd"/>
      <w:r w:rsidR="0073666E" w:rsidRPr="0073666E">
        <w:rPr>
          <w:lang w:val="de-CH"/>
        </w:rPr>
        <w:t xml:space="preserve"> contre la </w:t>
      </w:r>
      <w:proofErr w:type="spellStart"/>
      <w:r w:rsidR="0073666E" w:rsidRPr="0073666E">
        <w:rPr>
          <w:lang w:val="de-CH"/>
        </w:rPr>
        <w:t>torture</w:t>
      </w:r>
      <w:proofErr w:type="spellEnd"/>
      <w:r w:rsidR="0073666E" w:rsidRPr="0073666E">
        <w:rPr>
          <w:lang w:val="de-CH"/>
        </w:rPr>
        <w:t xml:space="preserve"> et </w:t>
      </w:r>
      <w:proofErr w:type="spellStart"/>
      <w:r w:rsidR="0073666E" w:rsidRPr="0073666E">
        <w:rPr>
          <w:lang w:val="de-CH"/>
        </w:rPr>
        <w:t>autres</w:t>
      </w:r>
      <w:proofErr w:type="spellEnd"/>
      <w:r w:rsidR="0073666E" w:rsidRPr="0073666E">
        <w:rPr>
          <w:lang w:val="de-CH"/>
        </w:rPr>
        <w:t xml:space="preserve"> </w:t>
      </w:r>
      <w:proofErr w:type="spellStart"/>
      <w:r w:rsidR="0073666E" w:rsidRPr="0073666E">
        <w:rPr>
          <w:lang w:val="de-CH"/>
        </w:rPr>
        <w:t>peines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traitements</w:t>
      </w:r>
      <w:proofErr w:type="spellEnd"/>
      <w:r w:rsidR="0073666E" w:rsidRPr="0073666E">
        <w:rPr>
          <w:lang w:val="de-CH"/>
        </w:rPr>
        <w:t xml:space="preserve"> </w:t>
      </w:r>
      <w:proofErr w:type="spellStart"/>
      <w:r w:rsidR="0073666E" w:rsidRPr="0073666E">
        <w:rPr>
          <w:lang w:val="de-CH"/>
        </w:rPr>
        <w:t>cruels</w:t>
      </w:r>
      <w:proofErr w:type="spellEnd"/>
      <w:r w:rsidR="0073666E" w:rsidRPr="0073666E">
        <w:rPr>
          <w:lang w:val="de-CH"/>
        </w:rPr>
        <w:t xml:space="preserve">, </w:t>
      </w:r>
      <w:proofErr w:type="spellStart"/>
      <w:r w:rsidR="0073666E" w:rsidRPr="0073666E">
        <w:rPr>
          <w:lang w:val="de-CH"/>
        </w:rPr>
        <w:t>inhumains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dégradants</w:t>
      </w:r>
      <w:proofErr w:type="spellEnd"/>
      <w:r w:rsidR="0073666E" w:rsidRPr="0073666E">
        <w:rPr>
          <w:lang w:val="de-CH"/>
        </w:rPr>
        <w:t xml:space="preserve"> (OPCAT)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lieux</w:t>
      </w:r>
      <w:proofErr w:type="spellEnd"/>
      <w:r w:rsidR="0073666E" w:rsidRPr="0073666E">
        <w:rPr>
          <w:lang w:val="de-CH"/>
        </w:rPr>
        <w:t xml:space="preserve"> </w:t>
      </w:r>
      <w:proofErr w:type="spellStart"/>
      <w:r w:rsidR="0073666E" w:rsidRPr="0073666E">
        <w:rPr>
          <w:lang w:val="de-CH"/>
        </w:rPr>
        <w:t>où</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exécutées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privations</w:t>
      </w:r>
      <w:proofErr w:type="spellEnd"/>
      <w:r w:rsidR="0073666E" w:rsidRPr="0073666E">
        <w:rPr>
          <w:lang w:val="de-CH"/>
        </w:rPr>
        <w:t xml:space="preserve"> de </w:t>
      </w:r>
      <w:proofErr w:type="spellStart"/>
      <w:r w:rsidR="0073666E" w:rsidRPr="0073666E">
        <w:rPr>
          <w:lang w:val="de-CH"/>
        </w:rPr>
        <w:t>liberté</w:t>
      </w:r>
      <w:proofErr w:type="spellEnd"/>
      <w:r w:rsidR="0073666E" w:rsidRPr="0073666E">
        <w:rPr>
          <w:lang w:val="de-CH"/>
        </w:rPr>
        <w:t xml:space="preserve"> </w:t>
      </w:r>
      <w:proofErr w:type="spellStart"/>
      <w:r w:rsidR="0073666E" w:rsidRPr="0073666E">
        <w:rPr>
          <w:lang w:val="de-CH"/>
        </w:rPr>
        <w:t>soumis</w:t>
      </w:r>
      <w:proofErr w:type="spellEnd"/>
      <w:r w:rsidR="0073666E" w:rsidRPr="0073666E">
        <w:rPr>
          <w:lang w:val="de-CH"/>
        </w:rPr>
        <w:t xml:space="preserve"> à la </w:t>
      </w:r>
      <w:proofErr w:type="spellStart"/>
      <w:r w:rsidR="0073666E" w:rsidRPr="0073666E">
        <w:rPr>
          <w:lang w:val="de-CH"/>
        </w:rPr>
        <w:t>juridiction</w:t>
      </w:r>
      <w:proofErr w:type="spellEnd"/>
      <w:r w:rsidR="0073666E" w:rsidRPr="0073666E">
        <w:rPr>
          <w:lang w:val="de-CH"/>
        </w:rPr>
        <w:t xml:space="preserve"> et au </w:t>
      </w:r>
      <w:proofErr w:type="spellStart"/>
      <w:r w:rsidR="0073666E" w:rsidRPr="0073666E">
        <w:rPr>
          <w:lang w:val="de-CH"/>
        </w:rPr>
        <w:t>contrôle</w:t>
      </w:r>
      <w:proofErr w:type="spellEnd"/>
      <w:r w:rsidR="0073666E" w:rsidRPr="0073666E">
        <w:rPr>
          <w:lang w:val="de-CH"/>
        </w:rPr>
        <w:t xml:space="preserve"> de </w:t>
      </w:r>
      <w:proofErr w:type="spellStart"/>
      <w:r w:rsidR="0073666E" w:rsidRPr="0073666E">
        <w:rPr>
          <w:lang w:val="de-CH"/>
        </w:rPr>
        <w:t>l’</w:t>
      </w:r>
      <w:r w:rsidR="00D94D41">
        <w:rPr>
          <w:lang w:val="de-CH"/>
        </w:rPr>
        <w:t>État</w:t>
      </w:r>
      <w:proofErr w:type="spellEnd"/>
      <w:r w:rsidR="0073666E" w:rsidRPr="0073666E">
        <w:rPr>
          <w:lang w:val="de-CH"/>
        </w:rPr>
        <w:t xml:space="preserve"> </w:t>
      </w:r>
      <w:proofErr w:type="spellStart"/>
      <w:r w:rsidR="0073666E" w:rsidRPr="0073666E">
        <w:rPr>
          <w:lang w:val="de-CH"/>
        </w:rPr>
        <w:t>concerné</w:t>
      </w:r>
      <w:proofErr w:type="spellEnd"/>
      <w:r w:rsidR="0073666E" w:rsidRPr="0073666E">
        <w:rPr>
          <w:lang w:val="de-CH"/>
        </w:rPr>
        <w:t xml:space="preserve">. </w:t>
      </w:r>
    </w:p>
    <w:p w14:paraId="4633EF7D" w14:textId="77777777" w:rsidR="0073666E" w:rsidRPr="0073666E" w:rsidRDefault="00295883" w:rsidP="00295883">
      <w:pPr>
        <w:pStyle w:val="SingleTxtG"/>
        <w:rPr>
          <w:lang w:val="de-CH"/>
        </w:rPr>
      </w:pPr>
      <w:r>
        <w:t>157.</w:t>
      </w:r>
      <w:r>
        <w:tab/>
      </w:r>
      <w:r w:rsidR="0073666E" w:rsidRPr="0073666E">
        <w:t>Avec l’entrée en vigueur de la loi du 20 mars 2008 sur l’usage de la contrainte et de mesures policières dans les domaines relevant de la compétence de la Confédération (</w:t>
      </w:r>
      <w:proofErr w:type="spellStart"/>
      <w:r w:rsidR="0073666E" w:rsidRPr="0073666E">
        <w:t>LUsC</w:t>
      </w:r>
      <w:proofErr w:type="spellEnd"/>
      <w:r w:rsidR="0073666E" w:rsidRPr="0073666E">
        <w:t xml:space="preserve">) et de </w:t>
      </w:r>
      <w:proofErr w:type="spellStart"/>
      <w:r w:rsidR="0073666E" w:rsidRPr="00295883">
        <w:rPr>
          <w:lang w:val="de-CH"/>
        </w:rPr>
        <w:t>l’ordonnance</w:t>
      </w:r>
      <w:proofErr w:type="spellEnd"/>
      <w:r w:rsidR="0073666E" w:rsidRPr="0073666E">
        <w:t xml:space="preserve"> du 12 novembre 2008 relative à l’usage de la contrainte et de mesures policières dans les domaines relevant de la compétence de la Confédération (</w:t>
      </w:r>
      <w:proofErr w:type="spellStart"/>
      <w:r w:rsidR="0073666E" w:rsidRPr="0073666E">
        <w:t>OLUsC</w:t>
      </w:r>
      <w:proofErr w:type="spellEnd"/>
      <w:r w:rsidR="0073666E" w:rsidRPr="0073666E">
        <w:t>), des bases légales uniformes ont été créées au 1</w:t>
      </w:r>
      <w:r w:rsidR="0073666E" w:rsidRPr="0073666E">
        <w:rPr>
          <w:vertAlign w:val="superscript"/>
        </w:rPr>
        <w:t>er</w:t>
      </w:r>
      <w:r w:rsidR="0073666E" w:rsidRPr="0073666E">
        <w:t xml:space="preserve"> janvier 2009. </w:t>
      </w:r>
      <w:proofErr w:type="spellStart"/>
      <w:r w:rsidR="0073666E" w:rsidRPr="0073666E">
        <w:rPr>
          <w:lang w:val="de-CH"/>
        </w:rPr>
        <w:t>L’usage</w:t>
      </w:r>
      <w:proofErr w:type="spellEnd"/>
      <w:r w:rsidR="0073666E" w:rsidRPr="0073666E">
        <w:rPr>
          <w:lang w:val="de-CH"/>
        </w:rPr>
        <w:t xml:space="preserve"> de </w:t>
      </w:r>
      <w:proofErr w:type="spellStart"/>
      <w:r w:rsidR="0073666E" w:rsidRPr="0073666E">
        <w:rPr>
          <w:lang w:val="de-CH"/>
        </w:rPr>
        <w:t>moyens</w:t>
      </w:r>
      <w:proofErr w:type="spellEnd"/>
      <w:r w:rsidR="0073666E" w:rsidRPr="0073666E">
        <w:rPr>
          <w:lang w:val="de-CH"/>
        </w:rPr>
        <w:t xml:space="preserve"> de </w:t>
      </w:r>
      <w:proofErr w:type="spellStart"/>
      <w:r w:rsidR="0073666E" w:rsidRPr="0073666E">
        <w:rPr>
          <w:lang w:val="de-CH"/>
        </w:rPr>
        <w:t>contrainte</w:t>
      </w:r>
      <w:proofErr w:type="spellEnd"/>
      <w:r w:rsidR="0073666E" w:rsidRPr="0073666E">
        <w:rPr>
          <w:lang w:val="de-CH"/>
        </w:rPr>
        <w:t xml:space="preserve"> </w:t>
      </w:r>
      <w:proofErr w:type="spellStart"/>
      <w:r w:rsidR="0073666E" w:rsidRPr="0073666E">
        <w:rPr>
          <w:lang w:val="de-CH"/>
        </w:rPr>
        <w:t>obéit</w:t>
      </w:r>
      <w:proofErr w:type="spellEnd"/>
      <w:r w:rsidR="0073666E" w:rsidRPr="0073666E">
        <w:rPr>
          <w:lang w:val="de-CH"/>
        </w:rPr>
        <w:t xml:space="preserve"> </w:t>
      </w:r>
      <w:proofErr w:type="spellStart"/>
      <w:r w:rsidR="0073666E" w:rsidRPr="0073666E">
        <w:rPr>
          <w:lang w:val="de-CH"/>
        </w:rPr>
        <w:t>toujours</w:t>
      </w:r>
      <w:proofErr w:type="spellEnd"/>
      <w:r w:rsidR="0073666E" w:rsidRPr="0073666E">
        <w:rPr>
          <w:lang w:val="de-CH"/>
        </w:rPr>
        <w:t xml:space="preserve"> au </w:t>
      </w:r>
      <w:proofErr w:type="spellStart"/>
      <w:r w:rsidR="0073666E" w:rsidRPr="0073666E">
        <w:rPr>
          <w:lang w:val="de-CH"/>
        </w:rPr>
        <w:t>principe</w:t>
      </w:r>
      <w:proofErr w:type="spellEnd"/>
      <w:r w:rsidR="0073666E" w:rsidRPr="0073666E">
        <w:rPr>
          <w:lang w:val="de-CH"/>
        </w:rPr>
        <w:t xml:space="preserve"> de </w:t>
      </w:r>
      <w:proofErr w:type="spellStart"/>
      <w:r w:rsidR="0073666E" w:rsidRPr="0073666E">
        <w:rPr>
          <w:lang w:val="de-CH"/>
        </w:rPr>
        <w:t>proportionnalité</w:t>
      </w:r>
      <w:proofErr w:type="spellEnd"/>
      <w:r w:rsidR="0073666E" w:rsidRPr="0073666E">
        <w:rPr>
          <w:lang w:val="de-CH"/>
        </w:rPr>
        <w:t xml:space="preserve"> et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circonstances</w:t>
      </w:r>
      <w:proofErr w:type="spellEnd"/>
      <w:r w:rsidR="0073666E" w:rsidRPr="0073666E">
        <w:rPr>
          <w:lang w:val="de-CH"/>
        </w:rPr>
        <w:t xml:space="preserve"> </w:t>
      </w:r>
      <w:proofErr w:type="spellStart"/>
      <w:r w:rsidR="0073666E" w:rsidRPr="0073666E">
        <w:rPr>
          <w:lang w:val="de-CH"/>
        </w:rPr>
        <w:t>concrètes</w:t>
      </w:r>
      <w:proofErr w:type="spellEnd"/>
      <w:r w:rsidR="0073666E" w:rsidRPr="0073666E">
        <w:rPr>
          <w:lang w:val="de-CH"/>
        </w:rPr>
        <w:t>, c’est-à-</w:t>
      </w:r>
      <w:proofErr w:type="spellStart"/>
      <w:r w:rsidR="0073666E" w:rsidRPr="0073666E">
        <w:rPr>
          <w:lang w:val="de-CH"/>
        </w:rPr>
        <w:t>dire</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au </w:t>
      </w:r>
      <w:proofErr w:type="spellStart"/>
      <w:r w:rsidR="0073666E" w:rsidRPr="0073666E">
        <w:rPr>
          <w:lang w:val="de-CH"/>
        </w:rPr>
        <w:t>comportement</w:t>
      </w:r>
      <w:proofErr w:type="spellEnd"/>
      <w:r w:rsidR="0073666E" w:rsidRPr="0073666E">
        <w:rPr>
          <w:lang w:val="de-CH"/>
        </w:rPr>
        <w:t xml:space="preserve"> de la </w:t>
      </w:r>
      <w:proofErr w:type="spellStart"/>
      <w:r w:rsidR="0073666E" w:rsidRPr="0073666E">
        <w:rPr>
          <w:lang w:val="de-CH"/>
        </w:rPr>
        <w:t>personne</w:t>
      </w:r>
      <w:proofErr w:type="spellEnd"/>
      <w:r w:rsidR="0073666E" w:rsidRPr="0073666E">
        <w:rPr>
          <w:lang w:val="de-CH"/>
        </w:rPr>
        <w:t xml:space="preserve"> </w:t>
      </w:r>
      <w:proofErr w:type="spellStart"/>
      <w:r w:rsidR="0073666E" w:rsidRPr="0073666E">
        <w:rPr>
          <w:lang w:val="de-CH"/>
        </w:rPr>
        <w:t>concernée</w:t>
      </w:r>
      <w:proofErr w:type="spellEnd"/>
      <w:r w:rsidR="0073666E" w:rsidRPr="0073666E">
        <w:rPr>
          <w:lang w:val="de-CH"/>
        </w:rPr>
        <w:t xml:space="preserve">. </w:t>
      </w:r>
      <w:proofErr w:type="spellStart"/>
      <w:r w:rsidR="0073666E" w:rsidRPr="0073666E">
        <w:rPr>
          <w:lang w:val="de-CH"/>
        </w:rPr>
        <w:t>L’usage</w:t>
      </w:r>
      <w:proofErr w:type="spellEnd"/>
      <w:r w:rsidR="0073666E" w:rsidRPr="0073666E">
        <w:rPr>
          <w:lang w:val="de-CH"/>
        </w:rPr>
        <w:t xml:space="preserve"> de la </w:t>
      </w:r>
      <w:proofErr w:type="spellStart"/>
      <w:r w:rsidR="0073666E" w:rsidRPr="0073666E">
        <w:rPr>
          <w:lang w:val="de-CH"/>
        </w:rPr>
        <w:t>contrainte</w:t>
      </w:r>
      <w:proofErr w:type="spellEnd"/>
      <w:r w:rsidR="0073666E" w:rsidRPr="0073666E">
        <w:rPr>
          <w:lang w:val="de-CH"/>
        </w:rPr>
        <w:t xml:space="preserve"> et de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policières</w:t>
      </w:r>
      <w:proofErr w:type="spellEnd"/>
      <w:r w:rsidR="0073666E" w:rsidRPr="0073666E">
        <w:rPr>
          <w:lang w:val="de-CH"/>
        </w:rPr>
        <w:t xml:space="preserve"> </w:t>
      </w:r>
      <w:proofErr w:type="spellStart"/>
      <w:r w:rsidR="0073666E" w:rsidRPr="0073666E">
        <w:rPr>
          <w:lang w:val="de-CH"/>
        </w:rPr>
        <w:t>doit</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adapté</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circonstances</w:t>
      </w:r>
      <w:proofErr w:type="spellEnd"/>
      <w:r w:rsidR="0073666E" w:rsidRPr="0073666E">
        <w:rPr>
          <w:lang w:val="de-CH"/>
        </w:rPr>
        <w:t xml:space="preserve"> et en </w:t>
      </w:r>
      <w:proofErr w:type="spellStart"/>
      <w:r w:rsidR="0073666E" w:rsidRPr="0073666E">
        <w:rPr>
          <w:lang w:val="de-CH"/>
        </w:rPr>
        <w:t>particulier</w:t>
      </w:r>
      <w:proofErr w:type="spellEnd"/>
      <w:r w:rsidR="0073666E" w:rsidRPr="0073666E">
        <w:rPr>
          <w:lang w:val="de-CH"/>
        </w:rPr>
        <w:t xml:space="preserve"> </w:t>
      </w:r>
      <w:proofErr w:type="spellStart"/>
      <w:r w:rsidR="0073666E" w:rsidRPr="0073666E">
        <w:rPr>
          <w:lang w:val="de-CH"/>
        </w:rPr>
        <w:t>tenir</w:t>
      </w:r>
      <w:proofErr w:type="spellEnd"/>
      <w:r w:rsidR="0073666E" w:rsidRPr="0073666E">
        <w:rPr>
          <w:lang w:val="de-CH"/>
        </w:rPr>
        <w:t xml:space="preserve"> </w:t>
      </w:r>
      <w:proofErr w:type="spellStart"/>
      <w:r w:rsidR="0073666E" w:rsidRPr="0073666E">
        <w:rPr>
          <w:lang w:val="de-CH"/>
        </w:rPr>
        <w:t>compte</w:t>
      </w:r>
      <w:proofErr w:type="spellEnd"/>
      <w:r w:rsidR="0073666E" w:rsidRPr="0073666E">
        <w:rPr>
          <w:lang w:val="de-CH"/>
        </w:rPr>
        <w:t xml:space="preserve"> de </w:t>
      </w:r>
      <w:proofErr w:type="spellStart"/>
      <w:r w:rsidR="0073666E" w:rsidRPr="0073666E">
        <w:rPr>
          <w:lang w:val="de-CH"/>
        </w:rPr>
        <w:t>l’âge</w:t>
      </w:r>
      <w:proofErr w:type="spellEnd"/>
      <w:r w:rsidR="0073666E" w:rsidRPr="0073666E">
        <w:rPr>
          <w:lang w:val="de-CH"/>
        </w:rPr>
        <w:t xml:space="preserve">, du sexe et de </w:t>
      </w:r>
      <w:proofErr w:type="spellStart"/>
      <w:r w:rsidR="0073666E" w:rsidRPr="0073666E">
        <w:rPr>
          <w:lang w:val="de-CH"/>
        </w:rPr>
        <w:t>l’état</w:t>
      </w:r>
      <w:proofErr w:type="spellEnd"/>
      <w:r w:rsidR="0073666E" w:rsidRPr="0073666E">
        <w:rPr>
          <w:lang w:val="de-CH"/>
        </w:rPr>
        <w:t xml:space="preserve"> de </w:t>
      </w:r>
      <w:proofErr w:type="spellStart"/>
      <w:r w:rsidR="0073666E" w:rsidRPr="0073666E">
        <w:rPr>
          <w:lang w:val="de-CH"/>
        </w:rPr>
        <w:t>santé</w:t>
      </w:r>
      <w:proofErr w:type="spellEnd"/>
      <w:r w:rsidR="0073666E" w:rsidRPr="0073666E">
        <w:rPr>
          <w:lang w:val="de-CH"/>
        </w:rPr>
        <w:t xml:space="preserve"> de </w:t>
      </w:r>
      <w:proofErr w:type="spellStart"/>
      <w:r w:rsidR="0073666E" w:rsidRPr="0073666E">
        <w:rPr>
          <w:lang w:val="de-CH"/>
        </w:rPr>
        <w:t>l’intéressé</w:t>
      </w:r>
      <w:proofErr w:type="spellEnd"/>
      <w:r w:rsidR="0073666E" w:rsidRPr="0073666E">
        <w:rPr>
          <w:lang w:val="de-CH"/>
        </w:rPr>
        <w:t xml:space="preserve">. </w:t>
      </w:r>
    </w:p>
    <w:p w14:paraId="51776E18" w14:textId="77777777" w:rsidR="0073666E" w:rsidRPr="0073666E" w:rsidRDefault="00295883" w:rsidP="00295883">
      <w:pPr>
        <w:pStyle w:val="SingleTxtG"/>
        <w:rPr>
          <w:lang w:val="de-CH"/>
        </w:rPr>
      </w:pPr>
      <w:r>
        <w:t>158.</w:t>
      </w:r>
      <w:r>
        <w:tab/>
      </w:r>
      <w:r w:rsidR="0073666E" w:rsidRPr="0073666E">
        <w:t xml:space="preserve">Le Département fédéral de justice et police (DFJP) a rédigé un manuel traitant notamment des rapatriements effectués dans les domaines de l’asile et des étrangers à l’intention des organes qui s’occupent de leur exécution. </w:t>
      </w:r>
      <w:r w:rsidR="0073666E" w:rsidRPr="0073666E">
        <w:rPr>
          <w:lang w:val="de-CH"/>
        </w:rPr>
        <w:t xml:space="preserve">Ce </w:t>
      </w:r>
      <w:proofErr w:type="spellStart"/>
      <w:r w:rsidR="0073666E" w:rsidRPr="0073666E">
        <w:rPr>
          <w:lang w:val="de-CH"/>
        </w:rPr>
        <w:t>manuel</w:t>
      </w:r>
      <w:proofErr w:type="spellEnd"/>
      <w:r w:rsidR="0073666E" w:rsidRPr="0073666E">
        <w:rPr>
          <w:lang w:val="de-CH"/>
        </w:rPr>
        <w:t xml:space="preserve"> </w:t>
      </w:r>
      <w:proofErr w:type="spellStart"/>
      <w:r w:rsidR="0073666E" w:rsidRPr="0073666E">
        <w:rPr>
          <w:lang w:val="de-CH"/>
        </w:rPr>
        <w:t>leur</w:t>
      </w:r>
      <w:proofErr w:type="spellEnd"/>
      <w:r w:rsidR="0073666E" w:rsidRPr="0073666E">
        <w:rPr>
          <w:lang w:val="de-CH"/>
        </w:rPr>
        <w:t xml:space="preserve"> </w:t>
      </w:r>
      <w:proofErr w:type="spellStart"/>
      <w:r w:rsidR="0073666E" w:rsidRPr="0073666E">
        <w:rPr>
          <w:lang w:val="de-CH"/>
        </w:rPr>
        <w:t>sert</w:t>
      </w:r>
      <w:proofErr w:type="spellEnd"/>
      <w:r w:rsidR="0073666E" w:rsidRPr="0073666E">
        <w:rPr>
          <w:lang w:val="de-CH"/>
        </w:rPr>
        <w:t xml:space="preserve"> de </w:t>
      </w:r>
      <w:proofErr w:type="spellStart"/>
      <w:r w:rsidR="0073666E" w:rsidRPr="0073666E">
        <w:rPr>
          <w:lang w:val="de-CH"/>
        </w:rPr>
        <w:t>guide</w:t>
      </w:r>
      <w:proofErr w:type="spellEnd"/>
      <w:r w:rsidR="0073666E" w:rsidRPr="0073666E">
        <w:rPr>
          <w:lang w:val="de-CH"/>
        </w:rPr>
        <w:t xml:space="preserve"> </w:t>
      </w:r>
      <w:proofErr w:type="spellStart"/>
      <w:r w:rsidR="0073666E" w:rsidRPr="0073666E">
        <w:rPr>
          <w:lang w:val="de-CH"/>
        </w:rPr>
        <w:t>pratique</w:t>
      </w:r>
      <w:proofErr w:type="spellEnd"/>
      <w:r w:rsidR="0073666E" w:rsidRPr="0073666E">
        <w:rPr>
          <w:lang w:val="de-CH"/>
        </w:rPr>
        <w:t xml:space="preserve"> et de </w:t>
      </w:r>
      <w:proofErr w:type="spellStart"/>
      <w:r w:rsidR="0073666E" w:rsidRPr="0073666E">
        <w:rPr>
          <w:lang w:val="de-CH"/>
        </w:rPr>
        <w:t>base</w:t>
      </w:r>
      <w:proofErr w:type="spellEnd"/>
      <w:r w:rsidR="0073666E" w:rsidRPr="0073666E">
        <w:rPr>
          <w:lang w:val="de-CH"/>
        </w:rPr>
        <w:t xml:space="preserve"> de </w:t>
      </w:r>
      <w:proofErr w:type="spellStart"/>
      <w:r w:rsidR="0073666E" w:rsidRPr="0073666E">
        <w:rPr>
          <w:lang w:val="de-CH"/>
        </w:rPr>
        <w:t>formation</w:t>
      </w:r>
      <w:proofErr w:type="spellEnd"/>
      <w:r w:rsidR="0073666E" w:rsidRPr="0073666E">
        <w:rPr>
          <w:lang w:val="de-CH"/>
        </w:rPr>
        <w:t xml:space="preserve">. Il </w:t>
      </w:r>
      <w:proofErr w:type="spellStart"/>
      <w:r w:rsidR="0073666E" w:rsidRPr="0073666E">
        <w:rPr>
          <w:lang w:val="de-CH"/>
        </w:rPr>
        <w:t>vise</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à </w:t>
      </w:r>
      <w:proofErr w:type="spellStart"/>
      <w:r w:rsidR="0073666E" w:rsidRPr="0073666E">
        <w:rPr>
          <w:lang w:val="de-CH"/>
        </w:rPr>
        <w:t>encourager</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pratique</w:t>
      </w:r>
      <w:proofErr w:type="spellEnd"/>
      <w:r w:rsidR="0073666E" w:rsidRPr="0073666E">
        <w:rPr>
          <w:lang w:val="de-CH"/>
        </w:rPr>
        <w:t xml:space="preserve"> des </w:t>
      </w:r>
      <w:proofErr w:type="spellStart"/>
      <w:r w:rsidR="0073666E" w:rsidRPr="0073666E">
        <w:rPr>
          <w:lang w:val="de-CH"/>
        </w:rPr>
        <w:t>rapatriements</w:t>
      </w:r>
      <w:proofErr w:type="spellEnd"/>
      <w:r w:rsidR="0073666E" w:rsidRPr="0073666E">
        <w:rPr>
          <w:lang w:val="de-CH"/>
        </w:rPr>
        <w:t xml:space="preserve"> uniforme à </w:t>
      </w:r>
      <w:proofErr w:type="spellStart"/>
      <w:r w:rsidR="0073666E" w:rsidRPr="0073666E">
        <w:rPr>
          <w:lang w:val="de-CH"/>
        </w:rPr>
        <w:t>l’échelle</w:t>
      </w:r>
      <w:proofErr w:type="spellEnd"/>
      <w:r w:rsidR="0073666E" w:rsidRPr="0073666E">
        <w:rPr>
          <w:lang w:val="de-CH"/>
        </w:rPr>
        <w:t xml:space="preserve"> de la Suisse. Le </w:t>
      </w:r>
      <w:proofErr w:type="spellStart"/>
      <w:r w:rsidR="0073666E" w:rsidRPr="0073666E">
        <w:rPr>
          <w:lang w:val="de-CH"/>
        </w:rPr>
        <w:t>manuel</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mis</w:t>
      </w:r>
      <w:proofErr w:type="spellEnd"/>
      <w:r w:rsidR="0073666E" w:rsidRPr="0073666E">
        <w:rPr>
          <w:lang w:val="de-CH"/>
        </w:rPr>
        <w:t xml:space="preserve"> à jour au 1</w:t>
      </w:r>
      <w:r w:rsidR="0073666E" w:rsidRPr="0073666E">
        <w:rPr>
          <w:vertAlign w:val="superscript"/>
          <w:lang w:val="de-CH"/>
        </w:rPr>
        <w:t>er</w:t>
      </w:r>
      <w:r w:rsidR="0073666E" w:rsidRPr="0073666E">
        <w:rPr>
          <w:lang w:val="de-CH"/>
        </w:rPr>
        <w:t xml:space="preserve"> </w:t>
      </w:r>
      <w:proofErr w:type="spellStart"/>
      <w:r w:rsidR="0073666E" w:rsidRPr="0073666E">
        <w:rPr>
          <w:lang w:val="de-CH"/>
        </w:rPr>
        <w:t>janvier</w:t>
      </w:r>
      <w:proofErr w:type="spellEnd"/>
      <w:r w:rsidR="0073666E" w:rsidRPr="0073666E">
        <w:rPr>
          <w:lang w:val="de-CH"/>
        </w:rPr>
        <w:t xml:space="preserve"> 2017.</w:t>
      </w:r>
    </w:p>
    <w:p w14:paraId="6DC766D5" w14:textId="77777777" w:rsidR="0073666E" w:rsidRPr="0073666E" w:rsidRDefault="00295883" w:rsidP="00295883">
      <w:pPr>
        <w:pStyle w:val="SingleTxtG"/>
        <w:rPr>
          <w:lang w:val="de-CH"/>
        </w:rPr>
      </w:pPr>
      <w:r>
        <w:t>159.</w:t>
      </w:r>
      <w:r>
        <w:tab/>
      </w:r>
      <w:r w:rsidR="0073666E" w:rsidRPr="00295883">
        <w:t>Concernant</w:t>
      </w:r>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vols</w:t>
      </w:r>
      <w:proofErr w:type="spellEnd"/>
      <w:r w:rsidR="0073666E" w:rsidRPr="0073666E">
        <w:rPr>
          <w:lang w:val="de-CH"/>
        </w:rPr>
        <w:t xml:space="preserve"> </w:t>
      </w:r>
      <w:proofErr w:type="spellStart"/>
      <w:r w:rsidR="0073666E" w:rsidRPr="0073666E">
        <w:rPr>
          <w:lang w:val="de-CH"/>
        </w:rPr>
        <w:t>spéciaux</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faut</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évoquer</w:t>
      </w:r>
      <w:proofErr w:type="spellEnd"/>
      <w:r w:rsidR="0073666E" w:rsidRPr="0073666E">
        <w:rPr>
          <w:lang w:val="de-CH"/>
        </w:rPr>
        <w:t xml:space="preserve"> </w:t>
      </w:r>
      <w:proofErr w:type="spellStart"/>
      <w:r w:rsidR="0073666E" w:rsidRPr="0073666E">
        <w:rPr>
          <w:lang w:val="de-CH"/>
        </w:rPr>
        <w:t>l’observation</w:t>
      </w:r>
      <w:proofErr w:type="spellEnd"/>
      <w:r w:rsidR="0073666E" w:rsidRPr="0073666E">
        <w:rPr>
          <w:lang w:val="de-CH"/>
        </w:rPr>
        <w:t xml:space="preserve"> de </w:t>
      </w:r>
      <w:proofErr w:type="spellStart"/>
      <w:r w:rsidR="0073666E" w:rsidRPr="0073666E">
        <w:rPr>
          <w:lang w:val="de-CH"/>
        </w:rPr>
        <w:t>l’exécution</w:t>
      </w:r>
      <w:proofErr w:type="spellEnd"/>
      <w:r w:rsidR="0073666E" w:rsidRPr="0073666E">
        <w:rPr>
          <w:lang w:val="de-CH"/>
        </w:rPr>
        <w:t xml:space="preserve"> en vertu du </w:t>
      </w:r>
      <w:proofErr w:type="spellStart"/>
      <w:r w:rsidR="0073666E" w:rsidRPr="0073666E">
        <w:rPr>
          <w:lang w:val="de-CH"/>
        </w:rPr>
        <w:t>droit</w:t>
      </w:r>
      <w:proofErr w:type="spellEnd"/>
      <w:r w:rsidR="0073666E" w:rsidRPr="0073666E">
        <w:rPr>
          <w:lang w:val="de-CH"/>
        </w:rPr>
        <w:t xml:space="preserve"> des </w:t>
      </w:r>
      <w:proofErr w:type="spellStart"/>
      <w:r w:rsidR="0073666E" w:rsidRPr="0073666E">
        <w:rPr>
          <w:lang w:val="de-CH"/>
        </w:rPr>
        <w:t>étrangers</w:t>
      </w:r>
      <w:proofErr w:type="spellEnd"/>
      <w:r w:rsidR="0073666E" w:rsidRPr="0073666E">
        <w:rPr>
          <w:lang w:val="de-CH"/>
        </w:rPr>
        <w:t xml:space="preserve">. La CNPT, </w:t>
      </w:r>
      <w:proofErr w:type="spellStart"/>
      <w:r w:rsidR="0073666E" w:rsidRPr="0073666E">
        <w:rPr>
          <w:lang w:val="de-CH"/>
        </w:rPr>
        <w:t>chargée</w:t>
      </w:r>
      <w:proofErr w:type="spellEnd"/>
      <w:r w:rsidR="0073666E" w:rsidRPr="0073666E">
        <w:rPr>
          <w:lang w:val="de-CH"/>
        </w:rPr>
        <w:t xml:space="preserve"> de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tâche</w:t>
      </w:r>
      <w:proofErr w:type="spellEnd"/>
      <w:r w:rsidR="0073666E" w:rsidRPr="0073666E">
        <w:rPr>
          <w:lang w:val="de-CH"/>
        </w:rPr>
        <w:t xml:space="preserve"> </w:t>
      </w:r>
      <w:proofErr w:type="spellStart"/>
      <w:r w:rsidR="0073666E" w:rsidRPr="0073666E">
        <w:rPr>
          <w:lang w:val="de-CH"/>
        </w:rPr>
        <w:t>depuis</w:t>
      </w:r>
      <w:proofErr w:type="spellEnd"/>
      <w:r w:rsidR="0073666E" w:rsidRPr="0073666E">
        <w:rPr>
          <w:lang w:val="de-CH"/>
        </w:rPr>
        <w:t xml:space="preserve"> </w:t>
      </w:r>
      <w:proofErr w:type="spellStart"/>
      <w:r w:rsidR="0073666E" w:rsidRPr="0073666E">
        <w:rPr>
          <w:lang w:val="de-CH"/>
        </w:rPr>
        <w:t>juillet</w:t>
      </w:r>
      <w:proofErr w:type="spellEnd"/>
      <w:r w:rsidR="0073666E" w:rsidRPr="0073666E">
        <w:rPr>
          <w:lang w:val="de-CH"/>
        </w:rPr>
        <w:t xml:space="preserve"> 2012, </w:t>
      </w:r>
      <w:proofErr w:type="spellStart"/>
      <w:r w:rsidR="0073666E" w:rsidRPr="0073666E">
        <w:rPr>
          <w:lang w:val="de-CH"/>
        </w:rPr>
        <w:t>surveille</w:t>
      </w:r>
      <w:proofErr w:type="spellEnd"/>
      <w:r w:rsidR="0073666E" w:rsidRPr="0073666E">
        <w:rPr>
          <w:lang w:val="de-CH"/>
        </w:rPr>
        <w:t xml:space="preserve"> le </w:t>
      </w:r>
      <w:proofErr w:type="spellStart"/>
      <w:r w:rsidR="0073666E" w:rsidRPr="0073666E">
        <w:rPr>
          <w:lang w:val="de-CH"/>
        </w:rPr>
        <w:t>comportement</w:t>
      </w:r>
      <w:proofErr w:type="spellEnd"/>
      <w:r w:rsidR="0073666E" w:rsidRPr="0073666E">
        <w:rPr>
          <w:lang w:val="de-CH"/>
        </w:rPr>
        <w:t xml:space="preserve"> des </w:t>
      </w:r>
      <w:proofErr w:type="spellStart"/>
      <w:r w:rsidR="0073666E" w:rsidRPr="0073666E">
        <w:rPr>
          <w:lang w:val="de-CH"/>
        </w:rPr>
        <w:t>policiers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accompagnent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rapatriés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observateurs</w:t>
      </w:r>
      <w:proofErr w:type="spellEnd"/>
      <w:r w:rsidR="0073666E" w:rsidRPr="0073666E">
        <w:rPr>
          <w:lang w:val="de-CH"/>
        </w:rPr>
        <w:t xml:space="preserve"> de la CNPT </w:t>
      </w:r>
      <w:proofErr w:type="spellStart"/>
      <w:r w:rsidR="0073666E" w:rsidRPr="0073666E">
        <w:rPr>
          <w:lang w:val="de-CH"/>
        </w:rPr>
        <w:t>peuvent</w:t>
      </w:r>
      <w:proofErr w:type="spellEnd"/>
      <w:r w:rsidR="0073666E" w:rsidRPr="0073666E">
        <w:rPr>
          <w:lang w:val="de-CH"/>
        </w:rPr>
        <w:t xml:space="preserve"> </w:t>
      </w:r>
      <w:proofErr w:type="spellStart"/>
      <w:r w:rsidR="0073666E" w:rsidRPr="0073666E">
        <w:rPr>
          <w:lang w:val="de-CH"/>
        </w:rPr>
        <w:t>communiquer</w:t>
      </w:r>
      <w:proofErr w:type="spellEnd"/>
      <w:r w:rsidR="0073666E" w:rsidRPr="0073666E">
        <w:rPr>
          <w:lang w:val="de-CH"/>
        </w:rPr>
        <w:t xml:space="preserve"> </w:t>
      </w:r>
      <w:proofErr w:type="spellStart"/>
      <w:r w:rsidR="0073666E" w:rsidRPr="0073666E">
        <w:rPr>
          <w:lang w:val="de-CH"/>
        </w:rPr>
        <w:t>leurs</w:t>
      </w:r>
      <w:proofErr w:type="spellEnd"/>
      <w:r w:rsidR="0073666E" w:rsidRPr="0073666E">
        <w:rPr>
          <w:lang w:val="de-CH"/>
        </w:rPr>
        <w:t xml:space="preserve"> </w:t>
      </w:r>
      <w:proofErr w:type="spellStart"/>
      <w:r w:rsidR="0073666E" w:rsidRPr="0073666E">
        <w:rPr>
          <w:lang w:val="de-CH"/>
        </w:rPr>
        <w:t>critiques</w:t>
      </w:r>
      <w:proofErr w:type="spellEnd"/>
      <w:r w:rsidR="0073666E" w:rsidRPr="0073666E">
        <w:rPr>
          <w:lang w:val="de-CH"/>
        </w:rPr>
        <w:t xml:space="preserve"> et </w:t>
      </w:r>
      <w:proofErr w:type="spellStart"/>
      <w:r w:rsidR="0073666E" w:rsidRPr="0073666E">
        <w:rPr>
          <w:lang w:val="de-CH"/>
        </w:rPr>
        <w:t>leurs</w:t>
      </w:r>
      <w:proofErr w:type="spellEnd"/>
      <w:r w:rsidR="0073666E" w:rsidRPr="0073666E">
        <w:rPr>
          <w:lang w:val="de-CH"/>
        </w:rPr>
        <w:t xml:space="preserve"> </w:t>
      </w:r>
      <w:proofErr w:type="spellStart"/>
      <w:r w:rsidR="0073666E" w:rsidRPr="0073666E">
        <w:rPr>
          <w:lang w:val="de-CH"/>
        </w:rPr>
        <w:t>remarques</w:t>
      </w:r>
      <w:proofErr w:type="spellEnd"/>
      <w:r w:rsidR="0073666E" w:rsidRPr="0073666E">
        <w:rPr>
          <w:lang w:val="de-CH"/>
        </w:rPr>
        <w:t xml:space="preserve"> au </w:t>
      </w:r>
      <w:proofErr w:type="spellStart"/>
      <w:r w:rsidR="0073666E" w:rsidRPr="0073666E">
        <w:rPr>
          <w:lang w:val="de-CH"/>
        </w:rPr>
        <w:t>chef</w:t>
      </w:r>
      <w:proofErr w:type="spellEnd"/>
      <w:r w:rsidR="0073666E" w:rsidRPr="0073666E">
        <w:rPr>
          <w:lang w:val="de-CH"/>
        </w:rPr>
        <w:t xml:space="preserve"> </w:t>
      </w:r>
      <w:proofErr w:type="spellStart"/>
      <w:r w:rsidR="0073666E" w:rsidRPr="0073666E">
        <w:rPr>
          <w:lang w:val="de-CH"/>
        </w:rPr>
        <w:t>d’équipe</w:t>
      </w:r>
      <w:proofErr w:type="spellEnd"/>
      <w:r w:rsidR="0073666E" w:rsidRPr="0073666E">
        <w:rPr>
          <w:lang w:val="de-CH"/>
        </w:rPr>
        <w:t xml:space="preserve"> </w:t>
      </w:r>
      <w:proofErr w:type="spellStart"/>
      <w:r w:rsidR="0073666E" w:rsidRPr="0073666E">
        <w:rPr>
          <w:lang w:val="de-CH"/>
        </w:rPr>
        <w:t>compétent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constatations</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recommandations</w:t>
      </w:r>
      <w:proofErr w:type="spellEnd"/>
      <w:r w:rsidR="0073666E" w:rsidRPr="0073666E">
        <w:rPr>
          <w:lang w:val="de-CH"/>
        </w:rPr>
        <w:t xml:space="preserve"> de la CNPT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discutées</w:t>
      </w:r>
      <w:proofErr w:type="spellEnd"/>
      <w:r w:rsidR="0073666E" w:rsidRPr="0073666E">
        <w:rPr>
          <w:lang w:val="de-CH"/>
        </w:rPr>
        <w:t xml:space="preserve"> </w:t>
      </w:r>
      <w:proofErr w:type="spellStart"/>
      <w:r w:rsidR="0073666E" w:rsidRPr="0073666E">
        <w:rPr>
          <w:lang w:val="de-CH"/>
        </w:rPr>
        <w:t>régulièrement</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dialogue</w:t>
      </w:r>
      <w:proofErr w:type="spellEnd"/>
      <w:r w:rsidR="0073666E" w:rsidRPr="0073666E">
        <w:rPr>
          <w:lang w:val="de-CH"/>
        </w:rPr>
        <w:t xml:space="preserve"> </w:t>
      </w:r>
      <w:proofErr w:type="spellStart"/>
      <w:r w:rsidR="0073666E" w:rsidRPr="0073666E">
        <w:rPr>
          <w:lang w:val="de-CH"/>
        </w:rPr>
        <w:t>institutionnalisé</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autorités</w:t>
      </w:r>
      <w:proofErr w:type="spellEnd"/>
      <w:r w:rsidR="0073666E" w:rsidRPr="0073666E">
        <w:rPr>
          <w:lang w:val="de-CH"/>
        </w:rPr>
        <w:t xml:space="preserve"> et,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fois</w:t>
      </w:r>
      <w:proofErr w:type="spellEnd"/>
      <w:r w:rsidR="0073666E" w:rsidRPr="0073666E">
        <w:rPr>
          <w:lang w:val="de-CH"/>
        </w:rPr>
        <w:t xml:space="preserve"> par an, au sein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lastRenderedPageBreak/>
        <w:t>forum</w:t>
      </w:r>
      <w:proofErr w:type="spellEnd"/>
      <w:r w:rsidR="0073666E" w:rsidRPr="0073666E">
        <w:rPr>
          <w:lang w:val="de-CH"/>
        </w:rPr>
        <w:t xml:space="preserve"> </w:t>
      </w:r>
      <w:proofErr w:type="spellStart"/>
      <w:r w:rsidR="0073666E" w:rsidRPr="0073666E">
        <w:rPr>
          <w:lang w:val="de-CH"/>
        </w:rPr>
        <w:t>auquel</w:t>
      </w:r>
      <w:proofErr w:type="spellEnd"/>
      <w:r w:rsidR="0073666E" w:rsidRPr="0073666E">
        <w:rPr>
          <w:lang w:val="de-CH"/>
        </w:rPr>
        <w:t xml:space="preserve"> </w:t>
      </w:r>
      <w:proofErr w:type="spellStart"/>
      <w:r w:rsidR="0073666E" w:rsidRPr="0073666E">
        <w:rPr>
          <w:lang w:val="de-CH"/>
        </w:rPr>
        <w:t>participent</w:t>
      </w:r>
      <w:proofErr w:type="spellEnd"/>
      <w:r w:rsidR="0073666E" w:rsidRPr="0073666E">
        <w:rPr>
          <w:lang w:val="de-CH"/>
        </w:rPr>
        <w:t xml:space="preserve"> des </w:t>
      </w:r>
      <w:proofErr w:type="spellStart"/>
      <w:r w:rsidR="0073666E" w:rsidRPr="0073666E">
        <w:rPr>
          <w:lang w:val="de-CH"/>
        </w:rPr>
        <w:t>organisations</w:t>
      </w:r>
      <w:proofErr w:type="spellEnd"/>
      <w:r w:rsidR="0073666E" w:rsidRPr="0073666E">
        <w:rPr>
          <w:lang w:val="de-CH"/>
        </w:rPr>
        <w:t xml:space="preserve"> </w:t>
      </w:r>
      <w:proofErr w:type="spellStart"/>
      <w:r w:rsidR="0073666E" w:rsidRPr="0073666E">
        <w:rPr>
          <w:lang w:val="de-CH"/>
        </w:rPr>
        <w:t>issues</w:t>
      </w:r>
      <w:proofErr w:type="spellEnd"/>
      <w:r w:rsidR="0073666E" w:rsidRPr="0073666E">
        <w:rPr>
          <w:lang w:val="de-CH"/>
        </w:rPr>
        <w:t xml:space="preserve"> de la </w:t>
      </w:r>
      <w:proofErr w:type="spellStart"/>
      <w:r w:rsidR="0073666E" w:rsidRPr="0073666E">
        <w:rPr>
          <w:lang w:val="de-CH"/>
        </w:rPr>
        <w:t>société</w:t>
      </w:r>
      <w:proofErr w:type="spellEnd"/>
      <w:r w:rsidR="0073666E" w:rsidRPr="0073666E">
        <w:rPr>
          <w:lang w:val="de-CH"/>
        </w:rPr>
        <w:t xml:space="preserve"> </w:t>
      </w:r>
      <w:proofErr w:type="spellStart"/>
      <w:r w:rsidR="0073666E" w:rsidRPr="0073666E">
        <w:rPr>
          <w:lang w:val="de-CH"/>
        </w:rPr>
        <w:t>civile</w:t>
      </w:r>
      <w:proofErr w:type="spellEnd"/>
      <w:r w:rsidR="0073666E" w:rsidRPr="0073666E">
        <w:rPr>
          <w:lang w:val="de-CH"/>
        </w:rPr>
        <w:t xml:space="preserve">. La CNPT </w:t>
      </w:r>
      <w:proofErr w:type="spellStart"/>
      <w:r w:rsidR="0073666E" w:rsidRPr="0073666E">
        <w:rPr>
          <w:lang w:val="de-CH"/>
        </w:rPr>
        <w:t>publie</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fois</w:t>
      </w:r>
      <w:proofErr w:type="spellEnd"/>
      <w:r w:rsidR="0073666E" w:rsidRPr="0073666E">
        <w:rPr>
          <w:lang w:val="de-CH"/>
        </w:rPr>
        <w:t xml:space="preserve"> par an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rapport</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l’observation</w:t>
      </w:r>
      <w:proofErr w:type="spellEnd"/>
      <w:r w:rsidR="0073666E" w:rsidRPr="0073666E">
        <w:rPr>
          <w:lang w:val="de-CH"/>
        </w:rPr>
        <w:t xml:space="preserve"> de </w:t>
      </w:r>
      <w:proofErr w:type="spellStart"/>
      <w:r w:rsidR="0073666E" w:rsidRPr="0073666E">
        <w:rPr>
          <w:lang w:val="de-CH"/>
        </w:rPr>
        <w:t>l’exécution</w:t>
      </w:r>
      <w:proofErr w:type="spellEnd"/>
      <w:r w:rsidR="0073666E" w:rsidRPr="0073666E">
        <w:rPr>
          <w:lang w:val="de-CH"/>
        </w:rPr>
        <w:t xml:space="preserve"> en vertu du </w:t>
      </w:r>
      <w:proofErr w:type="spellStart"/>
      <w:r w:rsidR="0073666E" w:rsidRPr="0073666E">
        <w:rPr>
          <w:lang w:val="de-CH"/>
        </w:rPr>
        <w:t>droit</w:t>
      </w:r>
      <w:proofErr w:type="spellEnd"/>
      <w:r w:rsidR="0073666E" w:rsidRPr="0073666E">
        <w:rPr>
          <w:lang w:val="de-CH"/>
        </w:rPr>
        <w:t xml:space="preserve"> des </w:t>
      </w:r>
      <w:proofErr w:type="spellStart"/>
      <w:r w:rsidR="0073666E" w:rsidRPr="0073666E">
        <w:rPr>
          <w:lang w:val="de-CH"/>
        </w:rPr>
        <w:t>étrangers</w:t>
      </w:r>
      <w:proofErr w:type="spellEnd"/>
      <w:r w:rsidR="0073666E" w:rsidRPr="0073666E">
        <w:rPr>
          <w:lang w:val="de-CH"/>
        </w:rPr>
        <w:t xml:space="preserve">. </w:t>
      </w:r>
      <w:r w:rsidR="0073666E" w:rsidRPr="0073666E">
        <w:t>Les recommandations qu’il contient sont examinées par le comité d</w:t>
      </w:r>
      <w:r w:rsidR="00A27519">
        <w:t>’</w:t>
      </w:r>
      <w:r w:rsidR="0073666E" w:rsidRPr="0073666E">
        <w:t xml:space="preserve">experts « Retour et exécution des renvois », composé de représentants de la Confédération et des cantons, et mises en œuvre si nécessaire. </w:t>
      </w:r>
      <w:proofErr w:type="spellStart"/>
      <w:r w:rsidR="0073666E" w:rsidRPr="0073666E">
        <w:rPr>
          <w:lang w:val="de-CH"/>
        </w:rPr>
        <w:t>L’avis</w:t>
      </w:r>
      <w:proofErr w:type="spellEnd"/>
      <w:r w:rsidR="0073666E" w:rsidRPr="0073666E">
        <w:rPr>
          <w:lang w:val="de-CH"/>
        </w:rPr>
        <w:t xml:space="preserve"> du </w:t>
      </w:r>
      <w:proofErr w:type="spellStart"/>
      <w:r w:rsidR="0073666E" w:rsidRPr="0073666E">
        <w:rPr>
          <w:lang w:val="de-CH"/>
        </w:rPr>
        <w:t>comité</w:t>
      </w:r>
      <w:proofErr w:type="spellEnd"/>
      <w:r w:rsidR="0073666E" w:rsidRPr="0073666E">
        <w:rPr>
          <w:lang w:val="de-CH"/>
        </w:rPr>
        <w:t xml:space="preserve"> </w:t>
      </w:r>
      <w:proofErr w:type="spellStart"/>
      <w:r w:rsidR="0073666E" w:rsidRPr="0073666E">
        <w:rPr>
          <w:lang w:val="de-CH"/>
        </w:rPr>
        <w:t>d’experts</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w:t>
      </w:r>
      <w:proofErr w:type="spellStart"/>
      <w:r w:rsidR="0073666E" w:rsidRPr="0073666E">
        <w:rPr>
          <w:lang w:val="de-CH"/>
        </w:rPr>
        <w:t>rapport</w:t>
      </w:r>
      <w:proofErr w:type="spellEnd"/>
      <w:r w:rsidR="0073666E" w:rsidRPr="0073666E">
        <w:rPr>
          <w:lang w:val="de-CH"/>
        </w:rPr>
        <w:t xml:space="preserve"> d</w:t>
      </w:r>
      <w:r>
        <w:rPr>
          <w:lang w:val="de-CH"/>
        </w:rPr>
        <w:t xml:space="preserve">e la CNPT </w:t>
      </w:r>
      <w:proofErr w:type="spellStart"/>
      <w:r>
        <w:rPr>
          <w:lang w:val="de-CH"/>
        </w:rPr>
        <w:t>est</w:t>
      </w:r>
      <w:proofErr w:type="spellEnd"/>
      <w:r>
        <w:rPr>
          <w:lang w:val="de-CH"/>
        </w:rPr>
        <w:t xml:space="preserve"> </w:t>
      </w:r>
      <w:proofErr w:type="spellStart"/>
      <w:r>
        <w:rPr>
          <w:lang w:val="de-CH"/>
        </w:rPr>
        <w:t>lui</w:t>
      </w:r>
      <w:proofErr w:type="spellEnd"/>
      <w:r>
        <w:rPr>
          <w:lang w:val="de-CH"/>
        </w:rPr>
        <w:t xml:space="preserve"> </w:t>
      </w:r>
      <w:proofErr w:type="spellStart"/>
      <w:r>
        <w:rPr>
          <w:lang w:val="de-CH"/>
        </w:rPr>
        <w:t>aussi</w:t>
      </w:r>
      <w:proofErr w:type="spellEnd"/>
      <w:r>
        <w:rPr>
          <w:lang w:val="de-CH"/>
        </w:rPr>
        <w:t xml:space="preserve"> </w:t>
      </w:r>
      <w:proofErr w:type="spellStart"/>
      <w:r>
        <w:rPr>
          <w:lang w:val="de-CH"/>
        </w:rPr>
        <w:t>publié</w:t>
      </w:r>
      <w:proofErr w:type="spellEnd"/>
      <w:r>
        <w:rPr>
          <w:lang w:val="de-CH"/>
        </w:rPr>
        <w:t>.</w:t>
      </w:r>
    </w:p>
    <w:p w14:paraId="15C0EA99" w14:textId="77777777" w:rsidR="0073666E" w:rsidRPr="0073666E" w:rsidRDefault="00295883" w:rsidP="00295883">
      <w:pPr>
        <w:pStyle w:val="SingleTxtG"/>
        <w:rPr>
          <w:lang w:val="de-CH"/>
        </w:rPr>
      </w:pPr>
      <w:r>
        <w:t>160.</w:t>
      </w:r>
      <w:r>
        <w:tab/>
      </w:r>
      <w:r w:rsidR="0073666E" w:rsidRPr="0073666E">
        <w:t>Depuis le 1</w:t>
      </w:r>
      <w:r w:rsidR="0073666E" w:rsidRPr="0073666E">
        <w:rPr>
          <w:vertAlign w:val="superscript"/>
        </w:rPr>
        <w:t>er</w:t>
      </w:r>
      <w:r w:rsidR="0073666E" w:rsidRPr="0073666E">
        <w:t xml:space="preserve"> janvier 2016, plus aucun vol spécial n’est classé vol dit à risque. </w:t>
      </w:r>
      <w:r w:rsidR="0073666E" w:rsidRPr="0073666E">
        <w:rPr>
          <w:lang w:val="de-CH"/>
        </w:rPr>
        <w:t xml:space="preserve">Le </w:t>
      </w:r>
      <w:proofErr w:type="spellStart"/>
      <w:r w:rsidR="0073666E" w:rsidRPr="0073666E">
        <w:rPr>
          <w:lang w:val="de-CH"/>
        </w:rPr>
        <w:t>train</w:t>
      </w:r>
      <w:proofErr w:type="spellEnd"/>
      <w:r w:rsidR="0073666E" w:rsidRPr="0073666E">
        <w:rPr>
          <w:lang w:val="de-CH"/>
        </w:rPr>
        <w:t xml:space="preserve"> de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adopté</w:t>
      </w:r>
      <w:proofErr w:type="spellEnd"/>
      <w:r w:rsidR="0073666E" w:rsidRPr="0073666E">
        <w:rPr>
          <w:lang w:val="de-CH"/>
        </w:rPr>
        <w:t xml:space="preserve"> par la CCDJP au </w:t>
      </w:r>
      <w:proofErr w:type="spellStart"/>
      <w:r w:rsidR="0073666E" w:rsidRPr="0073666E">
        <w:rPr>
          <w:lang w:val="de-CH"/>
        </w:rPr>
        <w:t>printemps</w:t>
      </w:r>
      <w:proofErr w:type="spellEnd"/>
      <w:r w:rsidR="0073666E" w:rsidRPr="0073666E">
        <w:rPr>
          <w:lang w:val="de-CH"/>
        </w:rPr>
        <w:t xml:space="preserve"> 2010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optimiser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vols</w:t>
      </w:r>
      <w:proofErr w:type="spellEnd"/>
      <w:r w:rsidR="0073666E" w:rsidRPr="0073666E">
        <w:rPr>
          <w:lang w:val="de-CH"/>
        </w:rPr>
        <w:t xml:space="preserve"> </w:t>
      </w:r>
      <w:proofErr w:type="spellStart"/>
      <w:r w:rsidR="0073666E" w:rsidRPr="0073666E">
        <w:rPr>
          <w:lang w:val="de-CH"/>
        </w:rPr>
        <w:t>spéciaux</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contenait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disposition</w:t>
      </w:r>
      <w:proofErr w:type="spellEnd"/>
      <w:r w:rsidR="0073666E" w:rsidRPr="0073666E">
        <w:rPr>
          <w:lang w:val="de-CH"/>
        </w:rPr>
        <w:t xml:space="preserve"> à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sujet</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abandonné</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processus</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moyens</w:t>
      </w:r>
      <w:proofErr w:type="spellEnd"/>
      <w:r w:rsidR="0073666E" w:rsidRPr="0073666E">
        <w:rPr>
          <w:lang w:val="de-CH"/>
        </w:rPr>
        <w:t xml:space="preserve"> de </w:t>
      </w:r>
      <w:proofErr w:type="spellStart"/>
      <w:r w:rsidR="0073666E" w:rsidRPr="0073666E">
        <w:rPr>
          <w:lang w:val="de-CH"/>
        </w:rPr>
        <w:t>contrainte</w:t>
      </w:r>
      <w:proofErr w:type="spellEnd"/>
      <w:r w:rsidR="0073666E" w:rsidRPr="0073666E">
        <w:rPr>
          <w:lang w:val="de-CH"/>
        </w:rPr>
        <w:t xml:space="preserve"> </w:t>
      </w:r>
      <w:proofErr w:type="spellStart"/>
      <w:r w:rsidR="0073666E" w:rsidRPr="0073666E">
        <w:rPr>
          <w:lang w:val="de-CH"/>
        </w:rPr>
        <w:t>utilisés</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w:t>
      </w:r>
      <w:proofErr w:type="spellStart"/>
      <w:r w:rsidR="0073666E" w:rsidRPr="0073666E">
        <w:rPr>
          <w:lang w:val="de-CH"/>
        </w:rPr>
        <w:t>vols</w:t>
      </w:r>
      <w:proofErr w:type="spellEnd"/>
      <w:r w:rsidR="0073666E" w:rsidRPr="0073666E">
        <w:rPr>
          <w:lang w:val="de-CH"/>
        </w:rPr>
        <w:t xml:space="preserve"> </w:t>
      </w:r>
      <w:proofErr w:type="spellStart"/>
      <w:r w:rsidR="0073666E" w:rsidRPr="0073666E">
        <w:rPr>
          <w:lang w:val="de-CH"/>
        </w:rPr>
        <w:t>spéciaux</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adaptés</w:t>
      </w:r>
      <w:proofErr w:type="spellEnd"/>
      <w:r w:rsidR="0073666E" w:rsidRPr="0073666E">
        <w:rPr>
          <w:lang w:val="de-CH"/>
        </w:rPr>
        <w:t xml:space="preserve"> à la </w:t>
      </w:r>
      <w:proofErr w:type="spellStart"/>
      <w:r w:rsidR="0073666E" w:rsidRPr="0073666E">
        <w:rPr>
          <w:lang w:val="de-CH"/>
        </w:rPr>
        <w:t>réglementation</w:t>
      </w:r>
      <w:proofErr w:type="spellEnd"/>
      <w:r w:rsidR="0073666E" w:rsidRPr="0073666E">
        <w:rPr>
          <w:lang w:val="de-CH"/>
        </w:rPr>
        <w:t xml:space="preserve"> Frontex. </w:t>
      </w:r>
      <w:proofErr w:type="spellStart"/>
      <w:r w:rsidR="0073666E" w:rsidRPr="0073666E">
        <w:rPr>
          <w:lang w:val="de-CH"/>
        </w:rPr>
        <w:t>L’obligation</w:t>
      </w:r>
      <w:proofErr w:type="spellEnd"/>
      <w:r w:rsidR="0073666E" w:rsidRPr="0073666E">
        <w:rPr>
          <w:lang w:val="de-CH"/>
        </w:rPr>
        <w:t xml:space="preserve"> </w:t>
      </w:r>
      <w:proofErr w:type="spellStart"/>
      <w:r w:rsidR="0073666E" w:rsidRPr="0073666E">
        <w:rPr>
          <w:lang w:val="de-CH"/>
        </w:rPr>
        <w:t>d’entraver</w:t>
      </w:r>
      <w:proofErr w:type="spellEnd"/>
      <w:r w:rsidR="0073666E" w:rsidRPr="0073666E">
        <w:rPr>
          <w:lang w:val="de-CH"/>
        </w:rPr>
        <w:t xml:space="preserve"> </w:t>
      </w:r>
      <w:proofErr w:type="spellStart"/>
      <w:r w:rsidR="0073666E" w:rsidRPr="0073666E">
        <w:rPr>
          <w:lang w:val="de-CH"/>
        </w:rPr>
        <w:t>lors</w:t>
      </w:r>
      <w:proofErr w:type="spellEnd"/>
      <w:r w:rsidR="0073666E" w:rsidRPr="0073666E">
        <w:rPr>
          <w:lang w:val="de-CH"/>
        </w:rPr>
        <w:t xml:space="preserve"> de </w:t>
      </w:r>
      <w:proofErr w:type="spellStart"/>
      <w:r w:rsidR="0073666E" w:rsidRPr="0073666E">
        <w:rPr>
          <w:lang w:val="de-CH"/>
        </w:rPr>
        <w:t>vols</w:t>
      </w:r>
      <w:proofErr w:type="spellEnd"/>
      <w:r w:rsidR="0073666E" w:rsidRPr="0073666E">
        <w:rPr>
          <w:lang w:val="de-CH"/>
        </w:rPr>
        <w:t xml:space="preserve"> à </w:t>
      </w:r>
      <w:proofErr w:type="spellStart"/>
      <w:r w:rsidR="0073666E" w:rsidRPr="0073666E">
        <w:rPr>
          <w:lang w:val="de-CH"/>
        </w:rPr>
        <w:t>risque</w:t>
      </w:r>
      <w:proofErr w:type="spellEnd"/>
      <w:r w:rsidR="0073666E" w:rsidRPr="0073666E">
        <w:rPr>
          <w:lang w:val="de-CH"/>
        </w:rPr>
        <w:t xml:space="preserve"> et le </w:t>
      </w:r>
      <w:proofErr w:type="spellStart"/>
      <w:r w:rsidR="0073666E" w:rsidRPr="0073666E">
        <w:rPr>
          <w:lang w:val="de-CH"/>
        </w:rPr>
        <w:t>recours</w:t>
      </w:r>
      <w:proofErr w:type="spellEnd"/>
      <w:r w:rsidR="0073666E" w:rsidRPr="0073666E">
        <w:rPr>
          <w:lang w:val="de-CH"/>
        </w:rPr>
        <w:t xml:space="preserve"> </w:t>
      </w:r>
      <w:proofErr w:type="spellStart"/>
      <w:r w:rsidR="0073666E" w:rsidRPr="0073666E">
        <w:rPr>
          <w:lang w:val="de-CH"/>
        </w:rPr>
        <w:t>systématique</w:t>
      </w:r>
      <w:proofErr w:type="spellEnd"/>
      <w:r w:rsidR="0073666E" w:rsidRPr="0073666E">
        <w:rPr>
          <w:lang w:val="de-CH"/>
        </w:rPr>
        <w:t xml:space="preserve"> à </w:t>
      </w:r>
      <w:proofErr w:type="spellStart"/>
      <w:r w:rsidR="0073666E" w:rsidRPr="0073666E">
        <w:rPr>
          <w:lang w:val="de-CH"/>
        </w:rPr>
        <w:t>l’immobilisation</w:t>
      </w:r>
      <w:proofErr w:type="spellEnd"/>
      <w:r w:rsidR="0073666E" w:rsidRPr="0073666E">
        <w:rPr>
          <w:lang w:val="de-CH"/>
        </w:rPr>
        <w:t xml:space="preserve"> partielle </w:t>
      </w:r>
      <w:proofErr w:type="spellStart"/>
      <w:r w:rsidR="0073666E" w:rsidRPr="0073666E">
        <w:rPr>
          <w:lang w:val="de-CH"/>
        </w:rPr>
        <w:t>pendant</w:t>
      </w:r>
      <w:proofErr w:type="spellEnd"/>
      <w:r w:rsidR="0073666E" w:rsidRPr="0073666E">
        <w:rPr>
          <w:lang w:val="de-CH"/>
        </w:rPr>
        <w:t xml:space="preserve"> le </w:t>
      </w:r>
      <w:proofErr w:type="spellStart"/>
      <w:r w:rsidR="0073666E" w:rsidRPr="0073666E">
        <w:rPr>
          <w:lang w:val="de-CH"/>
        </w:rPr>
        <w:t>vol</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abandonnés</w:t>
      </w:r>
      <w:proofErr w:type="spellEnd"/>
      <w:r w:rsidR="0073666E" w:rsidRPr="0073666E">
        <w:rPr>
          <w:lang w:val="de-CH"/>
        </w:rPr>
        <w:t>.</w:t>
      </w:r>
    </w:p>
    <w:p w14:paraId="24F4B4BE" w14:textId="77777777" w:rsidR="0073666E" w:rsidRPr="0073666E" w:rsidRDefault="00295883" w:rsidP="00295883">
      <w:pPr>
        <w:pStyle w:val="SingleTxtG"/>
        <w:rPr>
          <w:lang w:val="de-CH"/>
        </w:rPr>
      </w:pPr>
      <w:r>
        <w:t>161.</w:t>
      </w:r>
      <w:r>
        <w:tab/>
      </w:r>
      <w:r w:rsidR="0073666E" w:rsidRPr="0073666E">
        <w:t xml:space="preserve">En ce qui concerne le « cas Joseph </w:t>
      </w:r>
      <w:proofErr w:type="spellStart"/>
      <w:r w:rsidR="0073666E" w:rsidRPr="0073666E">
        <w:t>Ndukaku</w:t>
      </w:r>
      <w:proofErr w:type="spellEnd"/>
      <w:r w:rsidR="0073666E" w:rsidRPr="0073666E">
        <w:t xml:space="preserve"> </w:t>
      </w:r>
      <w:proofErr w:type="spellStart"/>
      <w:r w:rsidR="0073666E" w:rsidRPr="0073666E">
        <w:t>Chiakwa</w:t>
      </w:r>
      <w:proofErr w:type="spellEnd"/>
      <w:r w:rsidR="0073666E" w:rsidRPr="0073666E">
        <w:t xml:space="preserve"> », il faut donner les éclairages suivants. </w:t>
      </w:r>
      <w:r w:rsidR="0073666E" w:rsidRPr="0073666E">
        <w:rPr>
          <w:lang w:val="de-CH"/>
        </w:rPr>
        <w:t xml:space="preserve">Joseph </w:t>
      </w:r>
      <w:proofErr w:type="spellStart"/>
      <w:r w:rsidR="0073666E" w:rsidRPr="0073666E">
        <w:rPr>
          <w:lang w:val="de-CH"/>
        </w:rPr>
        <w:t>Ndukaku</w:t>
      </w:r>
      <w:proofErr w:type="spellEnd"/>
      <w:r w:rsidR="0073666E" w:rsidRPr="0073666E">
        <w:rPr>
          <w:lang w:val="de-CH"/>
        </w:rPr>
        <w:t xml:space="preserve"> </w:t>
      </w:r>
      <w:proofErr w:type="spellStart"/>
      <w:r w:rsidR="0073666E" w:rsidRPr="0073666E">
        <w:rPr>
          <w:lang w:val="de-CH"/>
        </w:rPr>
        <w:t>Chiakwa</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décédé</w:t>
      </w:r>
      <w:proofErr w:type="spellEnd"/>
      <w:r w:rsidR="0073666E" w:rsidRPr="0073666E">
        <w:rPr>
          <w:lang w:val="de-CH"/>
        </w:rPr>
        <w:t xml:space="preserve"> le 17 </w:t>
      </w:r>
      <w:proofErr w:type="spellStart"/>
      <w:r w:rsidR="0073666E" w:rsidRPr="0073666E">
        <w:rPr>
          <w:lang w:val="de-CH"/>
        </w:rPr>
        <w:t>mars</w:t>
      </w:r>
      <w:proofErr w:type="spellEnd"/>
      <w:r w:rsidR="0073666E" w:rsidRPr="0073666E">
        <w:rPr>
          <w:lang w:val="de-CH"/>
        </w:rPr>
        <w:t xml:space="preserve"> 2010 </w:t>
      </w:r>
      <w:proofErr w:type="spellStart"/>
      <w:r w:rsidR="0073666E" w:rsidRPr="0073666E">
        <w:rPr>
          <w:lang w:val="de-CH"/>
        </w:rPr>
        <w:t>lors</w:t>
      </w:r>
      <w:proofErr w:type="spellEnd"/>
      <w:r w:rsidR="0073666E" w:rsidRPr="0073666E">
        <w:rPr>
          <w:lang w:val="de-CH"/>
        </w:rPr>
        <w:t xml:space="preserve"> des </w:t>
      </w:r>
      <w:proofErr w:type="spellStart"/>
      <w:r w:rsidR="0073666E" w:rsidRPr="0073666E">
        <w:rPr>
          <w:lang w:val="de-CH"/>
        </w:rPr>
        <w:t>préparatifs</w:t>
      </w:r>
      <w:proofErr w:type="spellEnd"/>
      <w:r w:rsidR="0073666E" w:rsidRPr="0073666E">
        <w:rPr>
          <w:lang w:val="de-CH"/>
        </w:rPr>
        <w:t xml:space="preserve"> </w:t>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vol</w:t>
      </w:r>
      <w:proofErr w:type="spellEnd"/>
      <w:r w:rsidR="0073666E" w:rsidRPr="0073666E">
        <w:rPr>
          <w:lang w:val="de-CH"/>
        </w:rPr>
        <w:t xml:space="preserve"> </w:t>
      </w:r>
      <w:proofErr w:type="spellStart"/>
      <w:r w:rsidR="0073666E" w:rsidRPr="0073666E">
        <w:rPr>
          <w:lang w:val="de-CH"/>
        </w:rPr>
        <w:t>spécial</w:t>
      </w:r>
      <w:proofErr w:type="spellEnd"/>
      <w:r w:rsidR="0073666E" w:rsidRPr="0073666E">
        <w:rPr>
          <w:lang w:val="de-CH"/>
        </w:rPr>
        <w:t xml:space="preserve">. La </w:t>
      </w:r>
      <w:proofErr w:type="spellStart"/>
      <w:r w:rsidR="0073666E" w:rsidRPr="0073666E">
        <w:rPr>
          <w:lang w:val="de-CH"/>
        </w:rPr>
        <w:t>procédure</w:t>
      </w:r>
      <w:proofErr w:type="spellEnd"/>
      <w:r w:rsidR="0073666E" w:rsidRPr="0073666E">
        <w:rPr>
          <w:lang w:val="de-CH"/>
        </w:rPr>
        <w:t xml:space="preserve"> </w:t>
      </w:r>
      <w:proofErr w:type="spellStart"/>
      <w:r w:rsidR="0073666E" w:rsidRPr="0073666E">
        <w:rPr>
          <w:lang w:val="de-CH"/>
        </w:rPr>
        <w:t>menée</w:t>
      </w:r>
      <w:proofErr w:type="spellEnd"/>
      <w:r w:rsidR="0073666E" w:rsidRPr="0073666E">
        <w:rPr>
          <w:lang w:val="de-CH"/>
        </w:rPr>
        <w:t xml:space="preserve"> par le </w:t>
      </w:r>
      <w:proofErr w:type="spellStart"/>
      <w:r w:rsidR="0073666E" w:rsidRPr="0073666E">
        <w:rPr>
          <w:lang w:val="de-CH"/>
        </w:rPr>
        <w:t>ministère</w:t>
      </w:r>
      <w:proofErr w:type="spellEnd"/>
      <w:r w:rsidR="0073666E" w:rsidRPr="0073666E">
        <w:rPr>
          <w:lang w:val="de-CH"/>
        </w:rPr>
        <w:t xml:space="preserve"> </w:t>
      </w:r>
      <w:proofErr w:type="spellStart"/>
      <w:r w:rsidR="0073666E" w:rsidRPr="0073666E">
        <w:rPr>
          <w:lang w:val="de-CH"/>
        </w:rPr>
        <w:t>public</w:t>
      </w:r>
      <w:proofErr w:type="spellEnd"/>
      <w:r w:rsidR="0073666E" w:rsidRPr="0073666E">
        <w:rPr>
          <w:lang w:val="de-CH"/>
        </w:rPr>
        <w:t xml:space="preserve"> de Winterthur/Unterland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décès</w:t>
      </w:r>
      <w:proofErr w:type="spellEnd"/>
      <w:r w:rsidR="0073666E" w:rsidRPr="0073666E">
        <w:rPr>
          <w:lang w:val="de-CH"/>
        </w:rPr>
        <w:t xml:space="preserve">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suspendue</w:t>
      </w:r>
      <w:proofErr w:type="spellEnd"/>
      <w:r w:rsidR="0073666E" w:rsidRPr="0073666E">
        <w:rPr>
          <w:lang w:val="de-CH"/>
        </w:rPr>
        <w:t xml:space="preserve"> par </w:t>
      </w:r>
      <w:proofErr w:type="spellStart"/>
      <w:r w:rsidR="0073666E" w:rsidRPr="0073666E">
        <w:rPr>
          <w:lang w:val="de-CH"/>
        </w:rPr>
        <w:t>décision</w:t>
      </w:r>
      <w:proofErr w:type="spellEnd"/>
      <w:r w:rsidR="0073666E" w:rsidRPr="0073666E">
        <w:rPr>
          <w:lang w:val="de-CH"/>
        </w:rPr>
        <w:t xml:space="preserve"> du 12 </w:t>
      </w:r>
      <w:proofErr w:type="spellStart"/>
      <w:r w:rsidR="0073666E" w:rsidRPr="0073666E">
        <w:rPr>
          <w:lang w:val="de-CH"/>
        </w:rPr>
        <w:t>janvier</w:t>
      </w:r>
      <w:proofErr w:type="spellEnd"/>
      <w:r w:rsidR="0073666E" w:rsidRPr="0073666E">
        <w:rPr>
          <w:lang w:val="de-CH"/>
        </w:rPr>
        <w:t xml:space="preserve"> 2012. Deux </w:t>
      </w:r>
      <w:proofErr w:type="spellStart"/>
      <w:r w:rsidR="0073666E" w:rsidRPr="0073666E">
        <w:rPr>
          <w:lang w:val="de-CH"/>
        </w:rPr>
        <w:t>expertises</w:t>
      </w:r>
      <w:proofErr w:type="spellEnd"/>
      <w:r w:rsidR="0073666E" w:rsidRPr="0073666E">
        <w:rPr>
          <w:lang w:val="de-CH"/>
        </w:rPr>
        <w:t xml:space="preserve"> </w:t>
      </w:r>
      <w:proofErr w:type="spellStart"/>
      <w:r w:rsidR="0073666E" w:rsidRPr="0073666E">
        <w:rPr>
          <w:lang w:val="de-CH"/>
        </w:rPr>
        <w:t>médicales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commandées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de </w:t>
      </w:r>
      <w:proofErr w:type="spellStart"/>
      <w:r w:rsidR="0073666E" w:rsidRPr="0073666E">
        <w:rPr>
          <w:lang w:val="de-CH"/>
        </w:rPr>
        <w:t>l’enquête</w:t>
      </w:r>
      <w:proofErr w:type="spellEnd"/>
      <w:r w:rsidR="0073666E" w:rsidRPr="0073666E">
        <w:rPr>
          <w:lang w:val="de-CH"/>
        </w:rPr>
        <w:t xml:space="preserve">. </w:t>
      </w:r>
      <w:proofErr w:type="spellStart"/>
      <w:r w:rsidR="0073666E" w:rsidRPr="0073666E">
        <w:rPr>
          <w:lang w:val="de-CH"/>
        </w:rPr>
        <w:t>Toutes</w:t>
      </w:r>
      <w:proofErr w:type="spellEnd"/>
      <w:r w:rsidR="0073666E" w:rsidRPr="0073666E">
        <w:rPr>
          <w:lang w:val="de-CH"/>
        </w:rPr>
        <w:t xml:space="preserve"> deux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conclu</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la </w:t>
      </w:r>
      <w:proofErr w:type="spellStart"/>
      <w:r w:rsidR="0073666E" w:rsidRPr="0073666E">
        <w:rPr>
          <w:lang w:val="de-CH"/>
        </w:rPr>
        <w:t>mort</w:t>
      </w:r>
      <w:proofErr w:type="spellEnd"/>
      <w:r w:rsidR="0073666E" w:rsidRPr="0073666E">
        <w:rPr>
          <w:lang w:val="de-CH"/>
        </w:rPr>
        <w:t xml:space="preserve"> de Joseph </w:t>
      </w:r>
      <w:proofErr w:type="spellStart"/>
      <w:r w:rsidR="0073666E" w:rsidRPr="0073666E">
        <w:rPr>
          <w:lang w:val="de-CH"/>
        </w:rPr>
        <w:t>Ndukaku</w:t>
      </w:r>
      <w:proofErr w:type="spellEnd"/>
      <w:r w:rsidR="0073666E" w:rsidRPr="0073666E">
        <w:rPr>
          <w:lang w:val="de-CH"/>
        </w:rPr>
        <w:t xml:space="preserve"> </w:t>
      </w:r>
      <w:proofErr w:type="spellStart"/>
      <w:r w:rsidR="0073666E" w:rsidRPr="0073666E">
        <w:rPr>
          <w:lang w:val="de-CH"/>
        </w:rPr>
        <w:t>Chiakwa</w:t>
      </w:r>
      <w:proofErr w:type="spellEnd"/>
      <w:r w:rsidR="0073666E" w:rsidRPr="0073666E">
        <w:rPr>
          <w:lang w:val="de-CH"/>
        </w:rPr>
        <w:t xml:space="preserve"> </w:t>
      </w:r>
      <w:proofErr w:type="spellStart"/>
      <w:r w:rsidR="0073666E" w:rsidRPr="0073666E">
        <w:rPr>
          <w:lang w:val="de-CH"/>
        </w:rPr>
        <w:t>était</w:t>
      </w:r>
      <w:proofErr w:type="spellEnd"/>
      <w:r w:rsidR="0073666E" w:rsidRPr="0073666E">
        <w:rPr>
          <w:lang w:val="de-CH"/>
        </w:rPr>
        <w:t xml:space="preserve"> due à des </w:t>
      </w:r>
      <w:proofErr w:type="spellStart"/>
      <w:r w:rsidR="0073666E" w:rsidRPr="0073666E">
        <w:rPr>
          <w:lang w:val="de-CH"/>
        </w:rPr>
        <w:t>causes</w:t>
      </w:r>
      <w:proofErr w:type="spellEnd"/>
      <w:r w:rsidR="0073666E" w:rsidRPr="0073666E">
        <w:rPr>
          <w:lang w:val="de-CH"/>
        </w:rPr>
        <w:t xml:space="preserve"> internes </w:t>
      </w:r>
      <w:proofErr w:type="spellStart"/>
      <w:r w:rsidR="0073666E" w:rsidRPr="0073666E">
        <w:rPr>
          <w:lang w:val="de-CH"/>
        </w:rPr>
        <w:t>naturelles</w:t>
      </w:r>
      <w:proofErr w:type="spellEnd"/>
      <w:r w:rsidR="0073666E" w:rsidRPr="0073666E">
        <w:rPr>
          <w:lang w:val="de-CH"/>
        </w:rPr>
        <w:t xml:space="preserve">. Le </w:t>
      </w:r>
      <w:proofErr w:type="spellStart"/>
      <w:r w:rsidR="0073666E" w:rsidRPr="0073666E">
        <w:rPr>
          <w:lang w:val="de-CH"/>
        </w:rPr>
        <w:t>ministère</w:t>
      </w:r>
      <w:proofErr w:type="spellEnd"/>
      <w:r w:rsidR="0073666E" w:rsidRPr="0073666E">
        <w:rPr>
          <w:lang w:val="de-CH"/>
        </w:rPr>
        <w:t xml:space="preserve"> </w:t>
      </w:r>
      <w:proofErr w:type="spellStart"/>
      <w:r w:rsidR="0073666E" w:rsidRPr="0073666E">
        <w:rPr>
          <w:lang w:val="de-CH"/>
        </w:rPr>
        <w:t>public</w:t>
      </w:r>
      <w:proofErr w:type="spellEnd"/>
      <w:r w:rsidR="0073666E" w:rsidRPr="0073666E">
        <w:rPr>
          <w:lang w:val="de-CH"/>
        </w:rPr>
        <w:t xml:space="preserve"> de Winterthur/Unterland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parvenu</w:t>
      </w:r>
      <w:proofErr w:type="spellEnd"/>
      <w:r w:rsidR="0073666E" w:rsidRPr="0073666E">
        <w:rPr>
          <w:lang w:val="de-CH"/>
        </w:rPr>
        <w:t xml:space="preserve"> à la </w:t>
      </w:r>
      <w:proofErr w:type="spellStart"/>
      <w:r w:rsidR="0073666E" w:rsidRPr="0073666E">
        <w:rPr>
          <w:lang w:val="de-CH"/>
        </w:rPr>
        <w:t>conclusion</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la </w:t>
      </w:r>
      <w:proofErr w:type="spellStart"/>
      <w:r w:rsidR="0073666E" w:rsidRPr="0073666E">
        <w:rPr>
          <w:lang w:val="de-CH"/>
        </w:rPr>
        <w:t>base</w:t>
      </w:r>
      <w:proofErr w:type="spellEnd"/>
      <w:r w:rsidR="0073666E" w:rsidRPr="0073666E">
        <w:rPr>
          <w:lang w:val="de-CH"/>
        </w:rPr>
        <w:t xml:space="preserve"> de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expertises</w:t>
      </w:r>
      <w:proofErr w:type="spellEnd"/>
      <w:r w:rsidR="0073666E" w:rsidRPr="0073666E">
        <w:rPr>
          <w:lang w:val="de-CH"/>
        </w:rPr>
        <w:t xml:space="preserve"> et </w:t>
      </w:r>
      <w:proofErr w:type="spellStart"/>
      <w:r w:rsidR="0073666E" w:rsidRPr="0073666E">
        <w:rPr>
          <w:lang w:val="de-CH"/>
        </w:rPr>
        <w:t>d’autres</w:t>
      </w:r>
      <w:proofErr w:type="spellEnd"/>
      <w:r w:rsidR="0073666E" w:rsidRPr="0073666E">
        <w:rPr>
          <w:lang w:val="de-CH"/>
        </w:rPr>
        <w:t xml:space="preserve"> </w:t>
      </w:r>
      <w:proofErr w:type="spellStart"/>
      <w:r w:rsidR="0073666E" w:rsidRPr="0073666E">
        <w:rPr>
          <w:lang w:val="de-CH"/>
        </w:rPr>
        <w:t>examens</w:t>
      </w:r>
      <w:proofErr w:type="spellEnd"/>
      <w:r w:rsidR="0073666E" w:rsidRPr="0073666E">
        <w:rPr>
          <w:lang w:val="de-CH"/>
        </w:rPr>
        <w:t xml:space="preserve">, </w:t>
      </w:r>
      <w:proofErr w:type="spellStart"/>
      <w:r w:rsidR="0073666E" w:rsidRPr="0073666E">
        <w:rPr>
          <w:lang w:val="de-CH"/>
        </w:rPr>
        <w:t>qu’il</w:t>
      </w:r>
      <w:proofErr w:type="spellEnd"/>
      <w:r w:rsidR="0073666E" w:rsidRPr="0073666E">
        <w:rPr>
          <w:lang w:val="de-CH"/>
        </w:rPr>
        <w:t xml:space="preserve"> </w:t>
      </w:r>
      <w:proofErr w:type="spellStart"/>
      <w:r w:rsidR="0073666E" w:rsidRPr="0073666E">
        <w:rPr>
          <w:lang w:val="de-CH"/>
        </w:rPr>
        <w:t>n’y</w:t>
      </w:r>
      <w:proofErr w:type="spellEnd"/>
      <w:r w:rsidR="0073666E" w:rsidRPr="0073666E">
        <w:rPr>
          <w:lang w:val="de-CH"/>
        </w:rPr>
        <w:t xml:space="preserve"> </w:t>
      </w:r>
      <w:proofErr w:type="spellStart"/>
      <w:r w:rsidR="0073666E" w:rsidRPr="0073666E">
        <w:rPr>
          <w:lang w:val="de-CH"/>
        </w:rPr>
        <w:t>avait</w:t>
      </w:r>
      <w:proofErr w:type="spellEnd"/>
      <w:r w:rsidR="0073666E" w:rsidRPr="0073666E">
        <w:rPr>
          <w:lang w:val="de-CH"/>
        </w:rPr>
        <w:t xml:space="preserve"> </w:t>
      </w:r>
      <w:proofErr w:type="spellStart"/>
      <w:r w:rsidR="0073666E" w:rsidRPr="0073666E">
        <w:rPr>
          <w:lang w:val="de-CH"/>
        </w:rPr>
        <w:t>aucun</w:t>
      </w:r>
      <w:proofErr w:type="spellEnd"/>
      <w:r w:rsidR="0073666E" w:rsidRPr="0073666E">
        <w:rPr>
          <w:lang w:val="de-CH"/>
        </w:rPr>
        <w:t xml:space="preserve"> </w:t>
      </w:r>
      <w:proofErr w:type="spellStart"/>
      <w:r w:rsidR="0073666E" w:rsidRPr="0073666E">
        <w:rPr>
          <w:lang w:val="de-CH"/>
        </w:rPr>
        <w:t>indice</w:t>
      </w:r>
      <w:proofErr w:type="spellEnd"/>
      <w:r w:rsidR="0073666E" w:rsidRPr="0073666E">
        <w:rPr>
          <w:lang w:val="de-CH"/>
        </w:rPr>
        <w:t xml:space="preserve"> de </w:t>
      </w:r>
      <w:proofErr w:type="spellStart"/>
      <w:r w:rsidR="0073666E" w:rsidRPr="0073666E">
        <w:rPr>
          <w:lang w:val="de-CH"/>
        </w:rPr>
        <w:t>comportement</w:t>
      </w:r>
      <w:proofErr w:type="spellEnd"/>
      <w:r w:rsidR="0073666E" w:rsidRPr="0073666E">
        <w:rPr>
          <w:lang w:val="de-CH"/>
        </w:rPr>
        <w:t xml:space="preserve"> </w:t>
      </w:r>
      <w:proofErr w:type="spellStart"/>
      <w:r w:rsidR="0073666E" w:rsidRPr="0073666E">
        <w:rPr>
          <w:lang w:val="de-CH"/>
        </w:rPr>
        <w:t>pénalement</w:t>
      </w:r>
      <w:proofErr w:type="spellEnd"/>
      <w:r w:rsidR="0073666E" w:rsidRPr="0073666E">
        <w:rPr>
          <w:lang w:val="de-CH"/>
        </w:rPr>
        <w:t xml:space="preserve"> </w:t>
      </w:r>
      <w:proofErr w:type="spellStart"/>
      <w:r w:rsidR="0073666E" w:rsidRPr="0073666E">
        <w:rPr>
          <w:lang w:val="de-CH"/>
        </w:rPr>
        <w:t>répréhensible</w:t>
      </w:r>
      <w:proofErr w:type="spellEnd"/>
      <w:r w:rsidR="0073666E" w:rsidRPr="0073666E">
        <w:rPr>
          <w:lang w:val="de-CH"/>
        </w:rPr>
        <w:t xml:space="preserve"> de la </w:t>
      </w:r>
      <w:proofErr w:type="spellStart"/>
      <w:r w:rsidR="0073666E" w:rsidRPr="0073666E">
        <w:rPr>
          <w:lang w:val="de-CH"/>
        </w:rPr>
        <w:t>part</w:t>
      </w:r>
      <w:proofErr w:type="spellEnd"/>
      <w:r w:rsidR="0073666E" w:rsidRPr="0073666E">
        <w:rPr>
          <w:lang w:val="de-CH"/>
        </w:rPr>
        <w:t xml:space="preserve"> </w:t>
      </w:r>
      <w:proofErr w:type="spellStart"/>
      <w:r w:rsidR="0073666E" w:rsidRPr="0073666E">
        <w:rPr>
          <w:lang w:val="de-CH"/>
        </w:rPr>
        <w:t>de</w:t>
      </w:r>
      <w:proofErr w:type="spellEnd"/>
      <w:r w:rsidR="0073666E" w:rsidRPr="0073666E">
        <w:rPr>
          <w:lang w:val="de-CH"/>
        </w:rPr>
        <w:t xml:space="preserve"> </w:t>
      </w:r>
      <w:proofErr w:type="spellStart"/>
      <w:r w:rsidR="0073666E" w:rsidRPr="0073666E">
        <w:rPr>
          <w:lang w:val="de-CH"/>
        </w:rPr>
        <w:t>tiers</w:t>
      </w:r>
      <w:proofErr w:type="spellEnd"/>
      <w:r w:rsidR="0073666E" w:rsidRPr="0073666E">
        <w:rPr>
          <w:lang w:val="de-CH"/>
        </w:rPr>
        <w:t xml:space="preserve">, </w:t>
      </w:r>
      <w:proofErr w:type="spellStart"/>
      <w:r w:rsidR="0073666E" w:rsidRPr="0073666E">
        <w:rPr>
          <w:lang w:val="de-CH"/>
        </w:rPr>
        <w:t>raison</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laquelle</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a </w:t>
      </w:r>
      <w:proofErr w:type="spellStart"/>
      <w:r w:rsidR="0073666E" w:rsidRPr="0073666E">
        <w:rPr>
          <w:lang w:val="de-CH"/>
        </w:rPr>
        <w:t>rendu</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ordonnance</w:t>
      </w:r>
      <w:proofErr w:type="spellEnd"/>
      <w:r w:rsidR="0073666E" w:rsidRPr="0073666E">
        <w:rPr>
          <w:lang w:val="de-CH"/>
        </w:rPr>
        <w:t xml:space="preserve"> de </w:t>
      </w:r>
      <w:proofErr w:type="spellStart"/>
      <w:r w:rsidR="0073666E" w:rsidRPr="0073666E">
        <w:rPr>
          <w:lang w:val="de-CH"/>
        </w:rPr>
        <w:t>classement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membres</w:t>
      </w:r>
      <w:proofErr w:type="spellEnd"/>
      <w:r w:rsidR="0073666E" w:rsidRPr="0073666E">
        <w:rPr>
          <w:lang w:val="de-CH"/>
        </w:rPr>
        <w:t xml:space="preserve"> de la </w:t>
      </w:r>
      <w:proofErr w:type="spellStart"/>
      <w:r w:rsidR="0073666E" w:rsidRPr="0073666E">
        <w:rPr>
          <w:lang w:val="de-CH"/>
        </w:rPr>
        <w:t>famille</w:t>
      </w:r>
      <w:proofErr w:type="spellEnd"/>
      <w:r w:rsidR="0073666E" w:rsidRPr="0073666E">
        <w:rPr>
          <w:lang w:val="de-CH"/>
        </w:rPr>
        <w:t xml:space="preserve"> de la </w:t>
      </w:r>
      <w:proofErr w:type="spellStart"/>
      <w:r w:rsidR="0073666E" w:rsidRPr="0073666E">
        <w:rPr>
          <w:lang w:val="de-CH"/>
        </w:rPr>
        <w:t>victime</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fait </w:t>
      </w:r>
      <w:proofErr w:type="spellStart"/>
      <w:r w:rsidR="0073666E" w:rsidRPr="0073666E">
        <w:rPr>
          <w:lang w:val="de-CH"/>
        </w:rPr>
        <w:t>recours</w:t>
      </w:r>
      <w:proofErr w:type="spellEnd"/>
      <w:r w:rsidR="0073666E" w:rsidRPr="0073666E">
        <w:rPr>
          <w:lang w:val="de-CH"/>
        </w:rPr>
        <w:t xml:space="preserve"> contre la </w:t>
      </w:r>
      <w:proofErr w:type="spellStart"/>
      <w:r w:rsidR="0073666E" w:rsidRPr="0073666E">
        <w:rPr>
          <w:lang w:val="de-CH"/>
        </w:rPr>
        <w:t>décision</w:t>
      </w:r>
      <w:proofErr w:type="spellEnd"/>
      <w:r w:rsidR="0073666E" w:rsidRPr="0073666E">
        <w:rPr>
          <w:lang w:val="de-CH"/>
        </w:rPr>
        <w:t xml:space="preserve"> du 12 </w:t>
      </w:r>
      <w:proofErr w:type="spellStart"/>
      <w:r w:rsidR="0073666E" w:rsidRPr="0073666E">
        <w:rPr>
          <w:lang w:val="de-CH"/>
        </w:rPr>
        <w:t>janvier</w:t>
      </w:r>
      <w:proofErr w:type="spellEnd"/>
      <w:r w:rsidR="0073666E" w:rsidRPr="0073666E">
        <w:rPr>
          <w:lang w:val="de-CH"/>
        </w:rPr>
        <w:t xml:space="preserve"> 2012 </w:t>
      </w:r>
      <w:proofErr w:type="spellStart"/>
      <w:r w:rsidR="0073666E" w:rsidRPr="0073666E">
        <w:rPr>
          <w:lang w:val="de-CH"/>
        </w:rPr>
        <w:t>auprès</w:t>
      </w:r>
      <w:proofErr w:type="spellEnd"/>
      <w:r w:rsidR="0073666E" w:rsidRPr="0073666E">
        <w:rPr>
          <w:lang w:val="de-CH"/>
        </w:rPr>
        <w:t xml:space="preserve"> de la </w:t>
      </w:r>
      <w:proofErr w:type="spellStart"/>
      <w:r w:rsidR="0073666E" w:rsidRPr="0073666E">
        <w:rPr>
          <w:lang w:val="de-CH"/>
        </w:rPr>
        <w:t>cour</w:t>
      </w:r>
      <w:proofErr w:type="spellEnd"/>
      <w:r w:rsidR="0073666E" w:rsidRPr="0073666E">
        <w:rPr>
          <w:lang w:val="de-CH"/>
        </w:rPr>
        <w:t xml:space="preserve"> </w:t>
      </w:r>
      <w:proofErr w:type="spellStart"/>
      <w:r w:rsidR="0073666E" w:rsidRPr="0073666E">
        <w:rPr>
          <w:lang w:val="de-CH"/>
        </w:rPr>
        <w:t>suprême</w:t>
      </w:r>
      <w:proofErr w:type="spellEnd"/>
      <w:r w:rsidR="0073666E" w:rsidRPr="0073666E">
        <w:rPr>
          <w:lang w:val="de-CH"/>
        </w:rPr>
        <w:t xml:space="preserve"> du </w:t>
      </w:r>
      <w:proofErr w:type="spellStart"/>
      <w:r w:rsidR="0073666E" w:rsidRPr="0073666E">
        <w:rPr>
          <w:lang w:val="de-CH"/>
        </w:rPr>
        <w:t>canton</w:t>
      </w:r>
      <w:proofErr w:type="spellEnd"/>
      <w:r w:rsidR="0073666E" w:rsidRPr="0073666E">
        <w:rPr>
          <w:lang w:val="de-CH"/>
        </w:rPr>
        <w:t xml:space="preserve"> de ZH. </w:t>
      </w:r>
    </w:p>
    <w:p w14:paraId="5AC6A999" w14:textId="77777777" w:rsidR="0073666E" w:rsidRPr="0073666E" w:rsidRDefault="007A7C73" w:rsidP="007A7C73">
      <w:pPr>
        <w:pStyle w:val="SingleTxtG"/>
        <w:rPr>
          <w:lang w:val="de-CH"/>
        </w:rPr>
      </w:pPr>
      <w:r>
        <w:t>162.</w:t>
      </w:r>
      <w:r>
        <w:tab/>
      </w:r>
      <w:r w:rsidR="0073666E" w:rsidRPr="0073666E">
        <w:t xml:space="preserve">En </w:t>
      </w:r>
      <w:proofErr w:type="spellStart"/>
      <w:r w:rsidR="0073666E" w:rsidRPr="007A7C73">
        <w:rPr>
          <w:lang w:val="de-CH"/>
        </w:rPr>
        <w:t>décembre</w:t>
      </w:r>
      <w:proofErr w:type="spellEnd"/>
      <w:r w:rsidR="0073666E" w:rsidRPr="0073666E">
        <w:t xml:space="preserve"> 2013, la procédure a été rouverte par la décision de la cour suprême du canton de ZH. </w:t>
      </w:r>
      <w:r w:rsidR="0073666E" w:rsidRPr="0073666E">
        <w:rPr>
          <w:lang w:val="de-CH"/>
        </w:rPr>
        <w:t xml:space="preserve">Le </w:t>
      </w:r>
      <w:proofErr w:type="spellStart"/>
      <w:r w:rsidR="0073666E" w:rsidRPr="0073666E">
        <w:rPr>
          <w:lang w:val="de-CH"/>
        </w:rPr>
        <w:t>ministère</w:t>
      </w:r>
      <w:proofErr w:type="spellEnd"/>
      <w:r w:rsidR="0073666E" w:rsidRPr="0073666E">
        <w:rPr>
          <w:lang w:val="de-CH"/>
        </w:rPr>
        <w:t xml:space="preserve"> </w:t>
      </w:r>
      <w:proofErr w:type="spellStart"/>
      <w:r w:rsidR="0073666E" w:rsidRPr="0073666E">
        <w:rPr>
          <w:lang w:val="de-CH"/>
        </w:rPr>
        <w:t>public</w:t>
      </w:r>
      <w:proofErr w:type="spellEnd"/>
      <w:r w:rsidR="0073666E" w:rsidRPr="0073666E">
        <w:rPr>
          <w:lang w:val="de-CH"/>
        </w:rPr>
        <w:t xml:space="preserve"> I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chargé</w:t>
      </w:r>
      <w:proofErr w:type="spellEnd"/>
      <w:r w:rsidR="0073666E" w:rsidRPr="0073666E">
        <w:rPr>
          <w:lang w:val="de-CH"/>
        </w:rPr>
        <w:t xml:space="preserve"> de </w:t>
      </w:r>
      <w:proofErr w:type="spellStart"/>
      <w:r w:rsidR="0073666E" w:rsidRPr="0073666E">
        <w:rPr>
          <w:lang w:val="de-CH"/>
        </w:rPr>
        <w:t>procéder</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examens</w:t>
      </w:r>
      <w:proofErr w:type="spellEnd"/>
      <w:r w:rsidR="0073666E" w:rsidRPr="0073666E">
        <w:rPr>
          <w:lang w:val="de-CH"/>
        </w:rPr>
        <w:t xml:space="preserve"> </w:t>
      </w:r>
      <w:proofErr w:type="spellStart"/>
      <w:r w:rsidR="0073666E" w:rsidRPr="0073666E">
        <w:rPr>
          <w:lang w:val="de-CH"/>
        </w:rPr>
        <w:t>complémentaires</w:t>
      </w:r>
      <w:proofErr w:type="spellEnd"/>
      <w:r w:rsidR="0073666E" w:rsidRPr="0073666E">
        <w:rPr>
          <w:lang w:val="de-CH"/>
        </w:rPr>
        <w:t xml:space="preserve"> </w:t>
      </w:r>
      <w:proofErr w:type="spellStart"/>
      <w:r w:rsidR="0073666E" w:rsidRPr="0073666E">
        <w:rPr>
          <w:lang w:val="de-CH"/>
        </w:rPr>
        <w:t>nécessaires</w:t>
      </w:r>
      <w:proofErr w:type="spellEnd"/>
      <w:r w:rsidR="0073666E" w:rsidRPr="0073666E">
        <w:rPr>
          <w:lang w:val="de-CH"/>
        </w:rPr>
        <w:t xml:space="preserve">. Il a </w:t>
      </w:r>
      <w:proofErr w:type="spellStart"/>
      <w:r w:rsidR="0073666E" w:rsidRPr="0073666E">
        <w:rPr>
          <w:lang w:val="de-CH"/>
        </w:rPr>
        <w:t>rendu</w:t>
      </w:r>
      <w:proofErr w:type="spellEnd"/>
      <w:r w:rsidR="0073666E" w:rsidRPr="0073666E">
        <w:rPr>
          <w:lang w:val="de-CH"/>
        </w:rPr>
        <w:t xml:space="preserve"> le 28 </w:t>
      </w:r>
      <w:proofErr w:type="spellStart"/>
      <w:r w:rsidR="0073666E" w:rsidRPr="0073666E">
        <w:rPr>
          <w:lang w:val="de-CH"/>
        </w:rPr>
        <w:t>mars</w:t>
      </w:r>
      <w:proofErr w:type="spellEnd"/>
      <w:r w:rsidR="0073666E" w:rsidRPr="0073666E">
        <w:rPr>
          <w:lang w:val="de-CH"/>
        </w:rPr>
        <w:t xml:space="preserve"> 2018, au </w:t>
      </w:r>
      <w:proofErr w:type="spellStart"/>
      <w:r w:rsidR="0073666E" w:rsidRPr="0073666E">
        <w:rPr>
          <w:lang w:val="de-CH"/>
        </w:rPr>
        <w:t>terme</w:t>
      </w:r>
      <w:proofErr w:type="spellEnd"/>
      <w:r w:rsidR="0073666E" w:rsidRPr="0073666E">
        <w:rPr>
          <w:lang w:val="de-CH"/>
        </w:rPr>
        <w:t xml:space="preserve"> de </w:t>
      </w:r>
      <w:proofErr w:type="spellStart"/>
      <w:r w:rsidR="0073666E" w:rsidRPr="0073666E">
        <w:rPr>
          <w:lang w:val="de-CH"/>
        </w:rPr>
        <w:t>ces</w:t>
      </w:r>
      <w:proofErr w:type="spellEnd"/>
      <w:r w:rsidR="0073666E" w:rsidRPr="0073666E">
        <w:rPr>
          <w:lang w:val="de-CH"/>
        </w:rPr>
        <w:t xml:space="preserve"> </w:t>
      </w:r>
      <w:proofErr w:type="spellStart"/>
      <w:r w:rsidR="0073666E" w:rsidRPr="0073666E">
        <w:rPr>
          <w:lang w:val="de-CH"/>
        </w:rPr>
        <w:t>examens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nouvelle</w:t>
      </w:r>
      <w:proofErr w:type="spellEnd"/>
      <w:r w:rsidR="0073666E" w:rsidRPr="0073666E">
        <w:rPr>
          <w:lang w:val="de-CH"/>
        </w:rPr>
        <w:t xml:space="preserve"> </w:t>
      </w:r>
      <w:proofErr w:type="spellStart"/>
      <w:r w:rsidR="0073666E" w:rsidRPr="0073666E">
        <w:rPr>
          <w:lang w:val="de-CH"/>
        </w:rPr>
        <w:t>ordonnance</w:t>
      </w:r>
      <w:proofErr w:type="spellEnd"/>
      <w:r w:rsidR="0073666E" w:rsidRPr="0073666E">
        <w:rPr>
          <w:lang w:val="de-CH"/>
        </w:rPr>
        <w:t xml:space="preserve"> de </w:t>
      </w:r>
      <w:proofErr w:type="spellStart"/>
      <w:r w:rsidR="0073666E" w:rsidRPr="0073666E">
        <w:rPr>
          <w:lang w:val="de-CH"/>
        </w:rPr>
        <w:t>classement</w:t>
      </w:r>
      <w:proofErr w:type="spellEnd"/>
      <w:r w:rsidR="0073666E" w:rsidRPr="0073666E">
        <w:rPr>
          <w:lang w:val="de-CH"/>
        </w:rPr>
        <w:t xml:space="preserve">, </w:t>
      </w:r>
      <w:proofErr w:type="spellStart"/>
      <w:r w:rsidR="0073666E" w:rsidRPr="0073666E">
        <w:rPr>
          <w:lang w:val="de-CH"/>
        </w:rPr>
        <w:t>aucun</w:t>
      </w:r>
      <w:proofErr w:type="spellEnd"/>
      <w:r w:rsidR="0073666E" w:rsidRPr="0073666E">
        <w:rPr>
          <w:lang w:val="de-CH"/>
        </w:rPr>
        <w:t xml:space="preserve"> </w:t>
      </w:r>
      <w:proofErr w:type="spellStart"/>
      <w:r w:rsidR="0073666E" w:rsidRPr="0073666E">
        <w:rPr>
          <w:lang w:val="de-CH"/>
        </w:rPr>
        <w:t>soupçon</w:t>
      </w:r>
      <w:proofErr w:type="spellEnd"/>
      <w:r w:rsidR="0073666E" w:rsidRPr="0073666E">
        <w:rPr>
          <w:lang w:val="de-CH"/>
        </w:rPr>
        <w:t xml:space="preserve"> </w:t>
      </w:r>
      <w:proofErr w:type="spellStart"/>
      <w:r w:rsidR="0073666E" w:rsidRPr="0073666E">
        <w:rPr>
          <w:lang w:val="de-CH"/>
        </w:rPr>
        <w:t>n’ayant</w:t>
      </w:r>
      <w:proofErr w:type="spellEnd"/>
      <w:r w:rsidR="0073666E" w:rsidRPr="0073666E">
        <w:rPr>
          <w:lang w:val="de-CH"/>
        </w:rPr>
        <w:t xml:space="preserve"> </w:t>
      </w:r>
      <w:proofErr w:type="spellStart"/>
      <w:r w:rsidR="0073666E" w:rsidRPr="0073666E">
        <w:rPr>
          <w:lang w:val="de-CH"/>
        </w:rPr>
        <w:t>pu</w:t>
      </w:r>
      <w:proofErr w:type="spellEnd"/>
      <w:r w:rsidR="0073666E" w:rsidRPr="0073666E">
        <w:rPr>
          <w:lang w:val="de-CH"/>
        </w:rPr>
        <w:t xml:space="preserve"> </w:t>
      </w:r>
      <w:proofErr w:type="spellStart"/>
      <w:r w:rsidR="0073666E" w:rsidRPr="0073666E">
        <w:rPr>
          <w:lang w:val="de-CH"/>
        </w:rPr>
        <w:t>être</w:t>
      </w:r>
      <w:proofErr w:type="spellEnd"/>
      <w:r w:rsidR="0073666E" w:rsidRPr="0073666E">
        <w:rPr>
          <w:lang w:val="de-CH"/>
        </w:rPr>
        <w:t xml:space="preserve"> </w:t>
      </w:r>
      <w:proofErr w:type="spellStart"/>
      <w:r w:rsidR="0073666E" w:rsidRPr="0073666E">
        <w:rPr>
          <w:lang w:val="de-CH"/>
        </w:rPr>
        <w:t>suffisamment</w:t>
      </w:r>
      <w:proofErr w:type="spellEnd"/>
      <w:r w:rsidR="0073666E" w:rsidRPr="0073666E">
        <w:rPr>
          <w:lang w:val="de-CH"/>
        </w:rPr>
        <w:t xml:space="preserve"> </w:t>
      </w:r>
      <w:proofErr w:type="spellStart"/>
      <w:r w:rsidR="0073666E" w:rsidRPr="0073666E">
        <w:rPr>
          <w:lang w:val="de-CH"/>
        </w:rPr>
        <w:t>étayé</w:t>
      </w:r>
      <w:proofErr w:type="spellEnd"/>
      <w:r w:rsidR="0073666E" w:rsidRPr="0073666E">
        <w:rPr>
          <w:lang w:val="de-CH"/>
        </w:rPr>
        <w:t xml:space="preserve">. </w:t>
      </w:r>
      <w:proofErr w:type="spellStart"/>
      <w:r w:rsidR="0073666E" w:rsidRPr="0073666E">
        <w:rPr>
          <w:lang w:val="de-CH"/>
        </w:rPr>
        <w:t>Cette</w:t>
      </w:r>
      <w:proofErr w:type="spellEnd"/>
      <w:r w:rsidR="0073666E" w:rsidRPr="0073666E">
        <w:rPr>
          <w:lang w:val="de-CH"/>
        </w:rPr>
        <w:t xml:space="preserve"> </w:t>
      </w:r>
      <w:proofErr w:type="spellStart"/>
      <w:r w:rsidR="0073666E" w:rsidRPr="0073666E">
        <w:rPr>
          <w:lang w:val="de-CH"/>
        </w:rPr>
        <w:t>ordonnance</w:t>
      </w:r>
      <w:proofErr w:type="spellEnd"/>
      <w:r w:rsidR="0073666E" w:rsidRPr="0073666E">
        <w:rPr>
          <w:lang w:val="de-CH"/>
        </w:rPr>
        <w:t xml:space="preserve"> de </w:t>
      </w:r>
      <w:proofErr w:type="spellStart"/>
      <w:r w:rsidR="0073666E" w:rsidRPr="0073666E">
        <w:rPr>
          <w:lang w:val="de-CH"/>
        </w:rPr>
        <w:t>classement</w:t>
      </w:r>
      <w:proofErr w:type="spellEnd"/>
      <w:r w:rsidR="0073666E" w:rsidRPr="0073666E">
        <w:rPr>
          <w:lang w:val="de-CH"/>
        </w:rPr>
        <w:t xml:space="preserve"> </w:t>
      </w:r>
      <w:proofErr w:type="spellStart"/>
      <w:r w:rsidR="0073666E" w:rsidRPr="0073666E">
        <w:rPr>
          <w:lang w:val="de-CH"/>
        </w:rPr>
        <w:t>n’a</w:t>
      </w:r>
      <w:proofErr w:type="spellEnd"/>
      <w:r w:rsidR="0073666E" w:rsidRPr="0073666E">
        <w:rPr>
          <w:lang w:val="de-CH"/>
        </w:rPr>
        <w:t xml:space="preserve"> </w:t>
      </w:r>
      <w:proofErr w:type="spellStart"/>
      <w:r w:rsidR="0073666E" w:rsidRPr="0073666E">
        <w:rPr>
          <w:lang w:val="de-CH"/>
        </w:rPr>
        <w:t>pas</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attaquée</w:t>
      </w:r>
      <w:proofErr w:type="spellEnd"/>
      <w:r w:rsidR="0073666E" w:rsidRPr="0073666E">
        <w:rPr>
          <w:lang w:val="de-CH"/>
        </w:rPr>
        <w:t xml:space="preserve"> et </w:t>
      </w:r>
      <w:proofErr w:type="spellStart"/>
      <w:r w:rsidR="0073666E" w:rsidRPr="0073666E">
        <w:rPr>
          <w:lang w:val="de-CH"/>
        </w:rPr>
        <w:t>est</w:t>
      </w:r>
      <w:proofErr w:type="spellEnd"/>
      <w:r w:rsidR="0073666E" w:rsidRPr="0073666E">
        <w:rPr>
          <w:lang w:val="de-CH"/>
        </w:rPr>
        <w:t xml:space="preserve"> par </w:t>
      </w:r>
      <w:proofErr w:type="spellStart"/>
      <w:r w:rsidR="0073666E" w:rsidRPr="0073666E">
        <w:rPr>
          <w:lang w:val="de-CH"/>
        </w:rPr>
        <w:t>conséquent</w:t>
      </w:r>
      <w:proofErr w:type="spellEnd"/>
      <w:r w:rsidR="0073666E" w:rsidRPr="0073666E">
        <w:rPr>
          <w:lang w:val="de-CH"/>
        </w:rPr>
        <w:t xml:space="preserve"> </w:t>
      </w:r>
      <w:proofErr w:type="spellStart"/>
      <w:r w:rsidR="0073666E" w:rsidRPr="0073666E">
        <w:rPr>
          <w:lang w:val="de-CH"/>
        </w:rPr>
        <w:t>entrée</w:t>
      </w:r>
      <w:proofErr w:type="spellEnd"/>
      <w:r w:rsidR="0073666E" w:rsidRPr="0073666E">
        <w:rPr>
          <w:lang w:val="de-CH"/>
        </w:rPr>
        <w:t xml:space="preserve"> en </w:t>
      </w:r>
      <w:proofErr w:type="spellStart"/>
      <w:r w:rsidR="0073666E" w:rsidRPr="0073666E">
        <w:rPr>
          <w:lang w:val="de-CH"/>
        </w:rPr>
        <w:t>force</w:t>
      </w:r>
      <w:proofErr w:type="spellEnd"/>
      <w:r w:rsidR="0073666E" w:rsidRPr="0073666E">
        <w:rPr>
          <w:lang w:val="de-CH"/>
        </w:rPr>
        <w:t>.</w:t>
      </w:r>
    </w:p>
    <w:p w14:paraId="126544DA" w14:textId="77777777" w:rsidR="0073666E" w:rsidRPr="0073666E" w:rsidRDefault="007A7C73" w:rsidP="007A7C73">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D641C5">
        <w:rPr>
          <w:lang w:val="fr-FR"/>
        </w:rPr>
        <w:t>à la question posée</w:t>
      </w:r>
      <w:r w:rsidR="00D641C5">
        <w:rPr>
          <w:lang w:val="de-CH"/>
        </w:rPr>
        <w:t xml:space="preserve"> </w:t>
      </w:r>
      <w:r>
        <w:rPr>
          <w:lang w:val="de-CH"/>
        </w:rPr>
        <w:t xml:space="preserve">au </w:t>
      </w:r>
      <w:proofErr w:type="spellStart"/>
      <w:r>
        <w:rPr>
          <w:lang w:val="de-CH"/>
        </w:rPr>
        <w:t>paragraphe</w:t>
      </w:r>
      <w:proofErr w:type="spellEnd"/>
      <w:r>
        <w:rPr>
          <w:lang w:val="de-CH"/>
        </w:rPr>
        <w:t xml:space="preserve"> 27</w:t>
      </w:r>
    </w:p>
    <w:p w14:paraId="520F12BF" w14:textId="77777777" w:rsidR="0073666E" w:rsidRPr="0073666E" w:rsidRDefault="007A7C73" w:rsidP="007A7C73">
      <w:pPr>
        <w:pStyle w:val="SingleTxtG"/>
        <w:rPr>
          <w:lang w:val="de-CH"/>
        </w:rPr>
      </w:pPr>
      <w:r>
        <w:rPr>
          <w:lang w:val="de-CH"/>
        </w:rPr>
        <w:t>163.</w:t>
      </w:r>
      <w:r>
        <w:rPr>
          <w:lang w:val="de-CH"/>
        </w:rPr>
        <w:tab/>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paragraphes</w:t>
      </w:r>
      <w:proofErr w:type="spellEnd"/>
      <w:r w:rsidR="0073666E" w:rsidRPr="0073666E">
        <w:rPr>
          <w:lang w:val="de-CH"/>
        </w:rPr>
        <w:t xml:space="preserve"> </w:t>
      </w:r>
      <w:proofErr w:type="spellStart"/>
      <w:r w:rsidR="0073666E" w:rsidRPr="0073666E">
        <w:rPr>
          <w:lang w:val="de-CH"/>
        </w:rPr>
        <w:t>suivants</w:t>
      </w:r>
      <w:proofErr w:type="spellEnd"/>
      <w:r w:rsidR="0073666E" w:rsidRPr="0073666E">
        <w:rPr>
          <w:lang w:val="de-CH"/>
        </w:rPr>
        <w:t xml:space="preserve"> </w:t>
      </w:r>
      <w:proofErr w:type="spellStart"/>
      <w:r w:rsidR="0073666E" w:rsidRPr="0073666E">
        <w:rPr>
          <w:lang w:val="de-CH"/>
        </w:rPr>
        <w:t>contiennent</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résumé</w:t>
      </w:r>
      <w:proofErr w:type="spellEnd"/>
      <w:r w:rsidR="0073666E" w:rsidRPr="0073666E">
        <w:rPr>
          <w:lang w:val="de-CH"/>
        </w:rPr>
        <w:t xml:space="preserve"> des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prises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garantir</w:t>
      </w:r>
      <w:proofErr w:type="spellEnd"/>
      <w:r w:rsidR="0073666E" w:rsidRPr="0073666E">
        <w:rPr>
          <w:lang w:val="de-CH"/>
        </w:rPr>
        <w:t xml:space="preserve"> le </w:t>
      </w:r>
      <w:proofErr w:type="spellStart"/>
      <w:r w:rsidR="0073666E" w:rsidRPr="0073666E">
        <w:rPr>
          <w:lang w:val="de-CH"/>
        </w:rPr>
        <w:t>respect</w:t>
      </w:r>
      <w:proofErr w:type="spellEnd"/>
      <w:r w:rsidR="0073666E" w:rsidRPr="0073666E">
        <w:rPr>
          <w:lang w:val="de-CH"/>
        </w:rPr>
        <w:t xml:space="preserve"> de </w:t>
      </w:r>
      <w:proofErr w:type="spellStart"/>
      <w:r w:rsidR="0073666E" w:rsidRPr="0073666E">
        <w:rPr>
          <w:lang w:val="de-CH"/>
        </w:rPr>
        <w:t>l’intégrité</w:t>
      </w:r>
      <w:proofErr w:type="spellEnd"/>
      <w:r w:rsidR="0073666E" w:rsidRPr="0073666E">
        <w:rPr>
          <w:lang w:val="de-CH"/>
        </w:rPr>
        <w:t xml:space="preserve"> </w:t>
      </w:r>
      <w:proofErr w:type="spellStart"/>
      <w:r w:rsidR="0073666E" w:rsidRPr="0073666E">
        <w:rPr>
          <w:lang w:val="de-CH"/>
        </w:rPr>
        <w:t>physique</w:t>
      </w:r>
      <w:proofErr w:type="spellEnd"/>
      <w:r w:rsidR="0073666E" w:rsidRPr="0073666E">
        <w:rPr>
          <w:lang w:val="de-CH"/>
        </w:rPr>
        <w:t xml:space="preserve"> et </w:t>
      </w:r>
      <w:proofErr w:type="spellStart"/>
      <w:r w:rsidR="0073666E" w:rsidRPr="0073666E">
        <w:rPr>
          <w:lang w:val="de-CH"/>
        </w:rPr>
        <w:t>l’autonomie</w:t>
      </w:r>
      <w:proofErr w:type="spellEnd"/>
      <w:r w:rsidR="0073666E" w:rsidRPr="0073666E">
        <w:rPr>
          <w:lang w:val="de-CH"/>
        </w:rPr>
        <w:t xml:space="preserve"> des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intersexuées</w:t>
      </w:r>
      <w:proofErr w:type="spellEnd"/>
      <w:r w:rsidR="0073666E" w:rsidRPr="0073666E">
        <w:rPr>
          <w:lang w:val="de-CH"/>
        </w:rPr>
        <w:t xml:space="preserve">. La </w:t>
      </w:r>
      <w:proofErr w:type="spellStart"/>
      <w:r w:rsidR="0073666E" w:rsidRPr="0073666E">
        <w:rPr>
          <w:lang w:val="de-CH"/>
        </w:rPr>
        <w:t>Commission</w:t>
      </w:r>
      <w:proofErr w:type="spellEnd"/>
      <w:r w:rsidR="0073666E" w:rsidRPr="0073666E">
        <w:rPr>
          <w:lang w:val="de-CH"/>
        </w:rPr>
        <w:t xml:space="preserve"> nationale </w:t>
      </w:r>
      <w:proofErr w:type="spellStart"/>
      <w:r w:rsidR="0073666E" w:rsidRPr="0073666E">
        <w:rPr>
          <w:lang w:val="de-CH"/>
        </w:rPr>
        <w:t>d</w:t>
      </w:r>
      <w:r w:rsidR="00A27519">
        <w:rPr>
          <w:lang w:val="de-CH"/>
        </w:rPr>
        <w:t>’</w:t>
      </w:r>
      <w:r w:rsidR="0073666E" w:rsidRPr="0073666E">
        <w:rPr>
          <w:lang w:val="de-CH"/>
        </w:rPr>
        <w:t>éthique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domaine</w:t>
      </w:r>
      <w:proofErr w:type="spellEnd"/>
      <w:r w:rsidR="0073666E" w:rsidRPr="0073666E">
        <w:rPr>
          <w:lang w:val="de-CH"/>
        </w:rPr>
        <w:t xml:space="preserve"> de la </w:t>
      </w:r>
      <w:proofErr w:type="spellStart"/>
      <w:r w:rsidR="0073666E" w:rsidRPr="0073666E">
        <w:rPr>
          <w:lang w:val="de-CH"/>
        </w:rPr>
        <w:t>médecine</w:t>
      </w:r>
      <w:proofErr w:type="spellEnd"/>
      <w:r w:rsidR="0073666E" w:rsidRPr="0073666E">
        <w:rPr>
          <w:lang w:val="de-CH"/>
        </w:rPr>
        <w:t xml:space="preserve"> </w:t>
      </w:r>
      <w:proofErr w:type="spellStart"/>
      <w:r w:rsidR="0073666E" w:rsidRPr="0073666E">
        <w:rPr>
          <w:lang w:val="de-CH"/>
        </w:rPr>
        <w:t>humaine</w:t>
      </w:r>
      <w:proofErr w:type="spellEnd"/>
      <w:r w:rsidR="0073666E" w:rsidRPr="0073666E">
        <w:rPr>
          <w:lang w:val="de-CH"/>
        </w:rPr>
        <w:t xml:space="preserve"> (CNE) a </w:t>
      </w:r>
      <w:proofErr w:type="spellStart"/>
      <w:r w:rsidR="0073666E" w:rsidRPr="0073666E">
        <w:rPr>
          <w:lang w:val="de-CH"/>
        </w:rPr>
        <w:t>traité</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mandat</w:t>
      </w:r>
      <w:proofErr w:type="spellEnd"/>
      <w:r w:rsidR="0073666E" w:rsidRPr="0073666E">
        <w:rPr>
          <w:lang w:val="de-CH"/>
        </w:rPr>
        <w:t xml:space="preserve"> du Conseil </w:t>
      </w:r>
      <w:proofErr w:type="spellStart"/>
      <w:r w:rsidR="0073666E" w:rsidRPr="0073666E">
        <w:rPr>
          <w:lang w:val="de-CH"/>
        </w:rPr>
        <w:t>fédéral</w:t>
      </w:r>
      <w:proofErr w:type="spellEnd"/>
      <w:r w:rsidR="0073666E" w:rsidRPr="0073666E">
        <w:rPr>
          <w:lang w:val="de-CH"/>
        </w:rPr>
        <w:t xml:space="preserve">, des </w:t>
      </w:r>
      <w:proofErr w:type="spellStart"/>
      <w:r w:rsidR="0073666E" w:rsidRPr="0073666E">
        <w:rPr>
          <w:lang w:val="de-CH"/>
        </w:rPr>
        <w:t>problématiques</w:t>
      </w:r>
      <w:proofErr w:type="spellEnd"/>
      <w:r w:rsidR="0073666E" w:rsidRPr="0073666E">
        <w:rPr>
          <w:lang w:val="de-CH"/>
        </w:rPr>
        <w:t xml:space="preserve"> </w:t>
      </w:r>
      <w:proofErr w:type="spellStart"/>
      <w:r w:rsidR="0073666E" w:rsidRPr="0073666E">
        <w:rPr>
          <w:lang w:val="de-CH"/>
        </w:rPr>
        <w:t>liées</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intersexuées</w:t>
      </w:r>
      <w:proofErr w:type="spellEnd"/>
      <w:r w:rsidR="0073666E" w:rsidRPr="0073666E">
        <w:rPr>
          <w:lang w:val="de-CH"/>
        </w:rPr>
        <w:t xml:space="preserve"> et </w:t>
      </w:r>
      <w:proofErr w:type="spellStart"/>
      <w:r w:rsidR="0073666E" w:rsidRPr="0073666E">
        <w:rPr>
          <w:lang w:val="de-CH"/>
        </w:rPr>
        <w:t>publié</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prise</w:t>
      </w:r>
      <w:proofErr w:type="spellEnd"/>
      <w:r w:rsidR="0073666E" w:rsidRPr="0073666E">
        <w:rPr>
          <w:lang w:val="de-CH"/>
        </w:rPr>
        <w:t xml:space="preserve"> de </w:t>
      </w:r>
      <w:proofErr w:type="spellStart"/>
      <w:r w:rsidR="0073666E" w:rsidRPr="0073666E">
        <w:rPr>
          <w:lang w:val="de-CH"/>
        </w:rPr>
        <w:t>position</w:t>
      </w:r>
      <w:proofErr w:type="spellEnd"/>
      <w:r w:rsidR="0073666E" w:rsidRPr="0073666E">
        <w:rPr>
          <w:lang w:val="de-CH"/>
        </w:rPr>
        <w:t xml:space="preserve"> </w:t>
      </w:r>
      <w:proofErr w:type="spellStart"/>
      <w:r w:rsidR="0073666E" w:rsidRPr="0073666E">
        <w:rPr>
          <w:lang w:val="de-CH"/>
        </w:rPr>
        <w:t>contenant</w:t>
      </w:r>
      <w:proofErr w:type="spellEnd"/>
      <w:r w:rsidR="0073666E" w:rsidRPr="0073666E">
        <w:rPr>
          <w:lang w:val="de-CH"/>
        </w:rPr>
        <w:t xml:space="preserve"> </w:t>
      </w:r>
      <w:proofErr w:type="spellStart"/>
      <w:r w:rsidR="0073666E" w:rsidRPr="0073666E">
        <w:rPr>
          <w:lang w:val="de-CH"/>
        </w:rPr>
        <w:t>plusieurs</w:t>
      </w:r>
      <w:proofErr w:type="spellEnd"/>
      <w:r w:rsidR="0073666E" w:rsidRPr="0073666E">
        <w:rPr>
          <w:lang w:val="de-CH"/>
        </w:rPr>
        <w:t xml:space="preserve"> </w:t>
      </w:r>
      <w:r w:rsidR="0073666E" w:rsidRPr="007A7C73">
        <w:t>recommandations</w:t>
      </w:r>
      <w:r w:rsidR="0073666E" w:rsidRPr="0073666E">
        <w:rPr>
          <w:lang w:val="de-CH"/>
        </w:rPr>
        <w:t xml:space="preserve">. Ces </w:t>
      </w:r>
      <w:proofErr w:type="spellStart"/>
      <w:r w:rsidR="0073666E" w:rsidRPr="0073666E">
        <w:rPr>
          <w:lang w:val="de-CH"/>
        </w:rPr>
        <w:t>dernières</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en </w:t>
      </w:r>
      <w:proofErr w:type="spellStart"/>
      <w:r w:rsidR="0073666E" w:rsidRPr="0073666E">
        <w:rPr>
          <w:lang w:val="de-CH"/>
        </w:rPr>
        <w:t>partie</w:t>
      </w:r>
      <w:proofErr w:type="spellEnd"/>
      <w:r w:rsidR="0073666E" w:rsidRPr="0073666E">
        <w:rPr>
          <w:lang w:val="de-CH"/>
        </w:rPr>
        <w:t xml:space="preserve"> très </w:t>
      </w:r>
      <w:proofErr w:type="spellStart"/>
      <w:r w:rsidR="0073666E" w:rsidRPr="0073666E">
        <w:rPr>
          <w:lang w:val="de-CH"/>
        </w:rPr>
        <w:t>concrètes</w:t>
      </w:r>
      <w:proofErr w:type="spellEnd"/>
      <w:r w:rsidR="0073666E" w:rsidRPr="0073666E">
        <w:rPr>
          <w:lang w:val="de-CH"/>
        </w:rPr>
        <w:t xml:space="preserve"> et </w:t>
      </w:r>
      <w:proofErr w:type="spellStart"/>
      <w:r w:rsidR="0073666E" w:rsidRPr="0073666E">
        <w:rPr>
          <w:lang w:val="de-CH"/>
        </w:rPr>
        <w:t>ciblent</w:t>
      </w:r>
      <w:proofErr w:type="spellEnd"/>
      <w:r w:rsidR="0073666E" w:rsidRPr="0073666E">
        <w:rPr>
          <w:lang w:val="de-CH"/>
        </w:rPr>
        <w:t xml:space="preserve"> des </w:t>
      </w:r>
      <w:proofErr w:type="spellStart"/>
      <w:r w:rsidR="0073666E" w:rsidRPr="0073666E">
        <w:rPr>
          <w:lang w:val="de-CH"/>
        </w:rPr>
        <w:t>acteurs</w:t>
      </w:r>
      <w:proofErr w:type="spellEnd"/>
      <w:r w:rsidR="0073666E" w:rsidRPr="0073666E">
        <w:rPr>
          <w:lang w:val="de-CH"/>
        </w:rPr>
        <w:t xml:space="preserve"> </w:t>
      </w:r>
      <w:proofErr w:type="spellStart"/>
      <w:r w:rsidR="0073666E" w:rsidRPr="0073666E">
        <w:rPr>
          <w:lang w:val="de-CH"/>
        </w:rPr>
        <w:t>précis</w:t>
      </w:r>
      <w:proofErr w:type="spellEnd"/>
      <w:r w:rsidR="0073666E" w:rsidRPr="0073666E">
        <w:rPr>
          <w:lang w:val="de-CH"/>
        </w:rPr>
        <w:t xml:space="preserve">, </w:t>
      </w:r>
      <w:proofErr w:type="spellStart"/>
      <w:r w:rsidR="0073666E" w:rsidRPr="0073666E">
        <w:rPr>
          <w:lang w:val="de-CH"/>
        </w:rPr>
        <w:t>dont</w:t>
      </w:r>
      <w:proofErr w:type="spellEnd"/>
      <w:r w:rsidR="0073666E" w:rsidRPr="0073666E">
        <w:rPr>
          <w:lang w:val="de-CH"/>
        </w:rPr>
        <w:t xml:space="preserve"> la </w:t>
      </w:r>
      <w:proofErr w:type="spellStart"/>
      <w:r w:rsidR="0073666E" w:rsidRPr="0073666E">
        <w:rPr>
          <w:lang w:val="de-CH"/>
        </w:rPr>
        <w:t>Confédération</w:t>
      </w:r>
      <w:proofErr w:type="spellEnd"/>
      <w:r w:rsidR="0073666E" w:rsidRPr="0073666E">
        <w:rPr>
          <w:lang w:val="de-CH"/>
        </w:rPr>
        <w:t xml:space="preserve">. La </w:t>
      </w:r>
      <w:proofErr w:type="spellStart"/>
      <w:r w:rsidR="0073666E" w:rsidRPr="0073666E">
        <w:rPr>
          <w:lang w:val="de-CH"/>
        </w:rPr>
        <w:t>majorité</w:t>
      </w:r>
      <w:proofErr w:type="spellEnd"/>
      <w:r w:rsidR="0073666E" w:rsidRPr="0073666E">
        <w:rPr>
          <w:lang w:val="de-CH"/>
        </w:rPr>
        <w:t xml:space="preserve"> des </w:t>
      </w:r>
      <w:proofErr w:type="spellStart"/>
      <w:r w:rsidR="0073666E" w:rsidRPr="0073666E">
        <w:rPr>
          <w:lang w:val="de-CH"/>
        </w:rPr>
        <w:t>recommandations</w:t>
      </w:r>
      <w:proofErr w:type="spellEnd"/>
      <w:r w:rsidR="0073666E" w:rsidRPr="0073666E">
        <w:rPr>
          <w:lang w:val="de-CH"/>
        </w:rPr>
        <w:t xml:space="preserve"> </w:t>
      </w:r>
      <w:proofErr w:type="spellStart"/>
      <w:r w:rsidR="0073666E" w:rsidRPr="0073666E">
        <w:rPr>
          <w:lang w:val="de-CH"/>
        </w:rPr>
        <w:t>qui</w:t>
      </w:r>
      <w:proofErr w:type="spellEnd"/>
      <w:r w:rsidR="0073666E" w:rsidRPr="0073666E">
        <w:rPr>
          <w:lang w:val="de-CH"/>
        </w:rPr>
        <w:t xml:space="preserve"> </w:t>
      </w:r>
      <w:proofErr w:type="spellStart"/>
      <w:r w:rsidR="0073666E" w:rsidRPr="0073666E">
        <w:rPr>
          <w:lang w:val="de-CH"/>
        </w:rPr>
        <w:t>concernent</w:t>
      </w:r>
      <w:proofErr w:type="spellEnd"/>
      <w:r w:rsidR="0073666E" w:rsidRPr="0073666E">
        <w:rPr>
          <w:lang w:val="de-CH"/>
        </w:rPr>
        <w:t xml:space="preserve"> la </w:t>
      </w:r>
      <w:proofErr w:type="spellStart"/>
      <w:r w:rsidR="0073666E" w:rsidRPr="0073666E">
        <w:rPr>
          <w:lang w:val="de-CH"/>
        </w:rPr>
        <w:t>Confédération</w:t>
      </w:r>
      <w:proofErr w:type="spellEnd"/>
      <w:r w:rsidR="0073666E" w:rsidRPr="0073666E">
        <w:rPr>
          <w:lang w:val="de-CH"/>
        </w:rPr>
        <w:t xml:space="preserve">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mises</w:t>
      </w:r>
      <w:proofErr w:type="spellEnd"/>
      <w:r w:rsidR="0073666E" w:rsidRPr="0073666E">
        <w:rPr>
          <w:lang w:val="de-CH"/>
        </w:rPr>
        <w:t xml:space="preserve"> en </w:t>
      </w:r>
      <w:proofErr w:type="spellStart"/>
      <w:r w:rsidR="0073666E" w:rsidRPr="0073666E">
        <w:rPr>
          <w:lang w:val="de-CH"/>
        </w:rPr>
        <w:t>œuvre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en passe de </w:t>
      </w:r>
      <w:proofErr w:type="spellStart"/>
      <w:r w:rsidR="0073666E" w:rsidRPr="0073666E">
        <w:rPr>
          <w:lang w:val="de-CH"/>
        </w:rPr>
        <w:t>l</w:t>
      </w:r>
      <w:r w:rsidR="00A27519">
        <w:rPr>
          <w:lang w:val="de-CH"/>
        </w:rPr>
        <w:t>’</w:t>
      </w:r>
      <w:r w:rsidR="0073666E" w:rsidRPr="0073666E">
        <w:rPr>
          <w:lang w:val="de-CH"/>
        </w:rPr>
        <w:t>être</w:t>
      </w:r>
      <w:proofErr w:type="spellEnd"/>
      <w:r w:rsidR="0073666E" w:rsidRPr="0073666E">
        <w:rPr>
          <w:lang w:val="de-CH"/>
        </w:rPr>
        <w:t xml:space="preserve">. </w:t>
      </w:r>
    </w:p>
    <w:p w14:paraId="274F0207" w14:textId="77777777" w:rsidR="0073666E" w:rsidRPr="0073666E" w:rsidRDefault="007A7C73" w:rsidP="007A7C73">
      <w:pPr>
        <w:pStyle w:val="SingleTxtG"/>
        <w:rPr>
          <w:lang w:val="de-CH"/>
        </w:rPr>
      </w:pPr>
      <w:r>
        <w:t>164.</w:t>
      </w:r>
      <w:r>
        <w:tab/>
      </w:r>
      <w:r w:rsidR="0073666E" w:rsidRPr="0073666E">
        <w:t xml:space="preserve">En ce qui concerne la question des traitements médicaux ou chirurgicaux, le Conseil fédéral estime </w:t>
      </w:r>
      <w:r w:rsidR="0073666E" w:rsidRPr="007A7C73">
        <w:t>que</w:t>
      </w:r>
      <w:r w:rsidR="0073666E" w:rsidRPr="0073666E">
        <w:t xml:space="preserve"> la pratique actuelle respecte les droits des personnes intersexuées</w:t>
      </w:r>
      <w:r w:rsidR="0073666E" w:rsidRPr="009E1FD5">
        <w:rPr>
          <w:rStyle w:val="Appelnotedebasdep"/>
        </w:rPr>
        <w:footnoteReference w:id="38"/>
      </w:r>
      <w:r w:rsidR="00552382">
        <w:t>.</w:t>
      </w:r>
      <w:r w:rsidR="0073666E" w:rsidRPr="0073666E">
        <w:t xml:space="preserve"> De plus, les interventions prématurées ou inutiles sont contraires au droit régissant l</w:t>
      </w:r>
      <w:r w:rsidR="00A27519">
        <w:t>’</w:t>
      </w:r>
      <w:r w:rsidR="0073666E" w:rsidRPr="0073666E">
        <w:t xml:space="preserve">intégrité physique. </w:t>
      </w:r>
      <w:r w:rsidR="0073666E" w:rsidRPr="0073666E">
        <w:rPr>
          <w:lang w:val="de-CH"/>
        </w:rPr>
        <w:t xml:space="preserve">Dans la </w:t>
      </w:r>
      <w:proofErr w:type="spellStart"/>
      <w:r w:rsidR="0073666E" w:rsidRPr="0073666E">
        <w:rPr>
          <w:lang w:val="de-CH"/>
        </w:rPr>
        <w:t>mesure</w:t>
      </w:r>
      <w:proofErr w:type="spellEnd"/>
      <w:r w:rsidR="0073666E" w:rsidRPr="0073666E">
        <w:rPr>
          <w:lang w:val="de-CH"/>
        </w:rPr>
        <w:t xml:space="preserve"> du possible, </w:t>
      </w:r>
      <w:proofErr w:type="spellStart"/>
      <w:r w:rsidR="0073666E" w:rsidRPr="0073666E">
        <w:rPr>
          <w:lang w:val="de-CH"/>
        </w:rPr>
        <w:t>il</w:t>
      </w:r>
      <w:proofErr w:type="spellEnd"/>
      <w:r w:rsidR="0073666E" w:rsidRPr="0073666E">
        <w:rPr>
          <w:lang w:val="de-CH"/>
        </w:rPr>
        <w:t xml:space="preserve"> </w:t>
      </w:r>
      <w:proofErr w:type="spellStart"/>
      <w:r w:rsidR="0073666E" w:rsidRPr="0073666E">
        <w:rPr>
          <w:lang w:val="de-CH"/>
        </w:rPr>
        <w:t>faut</w:t>
      </w:r>
      <w:proofErr w:type="spellEnd"/>
      <w:r w:rsidR="0073666E" w:rsidRPr="0073666E">
        <w:rPr>
          <w:lang w:val="de-CH"/>
        </w:rPr>
        <w:t xml:space="preserve"> </w:t>
      </w:r>
      <w:proofErr w:type="spellStart"/>
      <w:r w:rsidR="0073666E" w:rsidRPr="0073666E">
        <w:rPr>
          <w:lang w:val="de-CH"/>
        </w:rPr>
        <w:t>attendre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w:t>
      </w:r>
      <w:r w:rsidR="00A27519">
        <w:rPr>
          <w:lang w:val="de-CH"/>
        </w:rPr>
        <w:t>’</w:t>
      </w:r>
      <w:r w:rsidR="0073666E" w:rsidRPr="0073666E">
        <w:rPr>
          <w:lang w:val="de-CH"/>
        </w:rPr>
        <w:t>enfant</w:t>
      </w:r>
      <w:proofErr w:type="spellEnd"/>
      <w:r w:rsidR="0073666E" w:rsidRPr="0073666E">
        <w:rPr>
          <w:lang w:val="de-CH"/>
        </w:rPr>
        <w:t xml:space="preserve"> </w:t>
      </w:r>
      <w:proofErr w:type="spellStart"/>
      <w:r w:rsidR="0073666E" w:rsidRPr="0073666E">
        <w:rPr>
          <w:lang w:val="de-CH"/>
        </w:rPr>
        <w:t>soit</w:t>
      </w:r>
      <w:proofErr w:type="spellEnd"/>
      <w:r w:rsidR="0073666E" w:rsidRPr="0073666E">
        <w:rPr>
          <w:lang w:val="de-CH"/>
        </w:rPr>
        <w:t xml:space="preserve"> </w:t>
      </w:r>
      <w:proofErr w:type="spellStart"/>
      <w:r w:rsidR="0073666E" w:rsidRPr="0073666E">
        <w:rPr>
          <w:lang w:val="de-CH"/>
        </w:rPr>
        <w:t>suffisamment</w:t>
      </w:r>
      <w:proofErr w:type="spellEnd"/>
      <w:r w:rsidR="0073666E" w:rsidRPr="0073666E">
        <w:rPr>
          <w:lang w:val="de-CH"/>
        </w:rPr>
        <w:t xml:space="preserve"> </w:t>
      </w:r>
      <w:proofErr w:type="spellStart"/>
      <w:r w:rsidR="0073666E" w:rsidRPr="0073666E">
        <w:rPr>
          <w:lang w:val="de-CH"/>
        </w:rPr>
        <w:t>âgé</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pouvoir</w:t>
      </w:r>
      <w:proofErr w:type="spellEnd"/>
      <w:r w:rsidR="0073666E" w:rsidRPr="0073666E">
        <w:rPr>
          <w:lang w:val="de-CH"/>
        </w:rPr>
        <w:t xml:space="preserve"> se </w:t>
      </w:r>
      <w:proofErr w:type="spellStart"/>
      <w:r w:rsidR="0073666E" w:rsidRPr="0073666E">
        <w:rPr>
          <w:lang w:val="de-CH"/>
        </w:rPr>
        <w:t>prononcer</w:t>
      </w:r>
      <w:proofErr w:type="spellEnd"/>
      <w:r w:rsidR="0073666E" w:rsidRPr="0073666E">
        <w:rPr>
          <w:lang w:val="de-CH"/>
        </w:rPr>
        <w:t xml:space="preserve"> </w:t>
      </w:r>
      <w:proofErr w:type="spellStart"/>
      <w:r w:rsidR="0073666E" w:rsidRPr="0073666E">
        <w:rPr>
          <w:lang w:val="de-CH"/>
        </w:rPr>
        <w:t>lorsque</w:t>
      </w:r>
      <w:proofErr w:type="spellEnd"/>
      <w:r w:rsidR="0073666E" w:rsidRPr="0073666E">
        <w:rPr>
          <w:lang w:val="de-CH"/>
        </w:rPr>
        <w:t xml:space="preserve"> le </w:t>
      </w:r>
      <w:proofErr w:type="spellStart"/>
      <w:r w:rsidR="0073666E" w:rsidRPr="0073666E">
        <w:rPr>
          <w:lang w:val="de-CH"/>
        </w:rPr>
        <w:t>traitement</w:t>
      </w:r>
      <w:proofErr w:type="spellEnd"/>
      <w:r w:rsidR="0073666E" w:rsidRPr="0073666E">
        <w:rPr>
          <w:lang w:val="de-CH"/>
        </w:rPr>
        <w:t xml:space="preserve"> </w:t>
      </w:r>
      <w:proofErr w:type="spellStart"/>
      <w:r w:rsidR="0073666E" w:rsidRPr="0073666E">
        <w:rPr>
          <w:lang w:val="de-CH"/>
        </w:rPr>
        <w:t>envisagé</w:t>
      </w:r>
      <w:proofErr w:type="spellEnd"/>
      <w:r w:rsidR="0073666E" w:rsidRPr="0073666E">
        <w:rPr>
          <w:lang w:val="de-CH"/>
        </w:rPr>
        <w:t xml:space="preserve"> </w:t>
      </w:r>
      <w:proofErr w:type="spellStart"/>
      <w:r w:rsidR="0073666E" w:rsidRPr="0073666E">
        <w:rPr>
          <w:lang w:val="de-CH"/>
        </w:rPr>
        <w:t>entraîne</w:t>
      </w:r>
      <w:proofErr w:type="spellEnd"/>
      <w:r w:rsidR="0073666E" w:rsidRPr="0073666E">
        <w:rPr>
          <w:lang w:val="de-CH"/>
        </w:rPr>
        <w:t xml:space="preserve"> des </w:t>
      </w:r>
      <w:proofErr w:type="spellStart"/>
      <w:r w:rsidR="0073666E" w:rsidRPr="0073666E">
        <w:rPr>
          <w:lang w:val="de-CH"/>
        </w:rPr>
        <w:t>conséquences</w:t>
      </w:r>
      <w:proofErr w:type="spellEnd"/>
      <w:r w:rsidR="0073666E" w:rsidRPr="0073666E">
        <w:rPr>
          <w:lang w:val="de-CH"/>
        </w:rPr>
        <w:t xml:space="preserve"> </w:t>
      </w:r>
      <w:proofErr w:type="spellStart"/>
      <w:r w:rsidR="0073666E" w:rsidRPr="0073666E">
        <w:rPr>
          <w:lang w:val="de-CH"/>
        </w:rPr>
        <w:t>irréversibles</w:t>
      </w:r>
      <w:proofErr w:type="spellEnd"/>
      <w:r w:rsidR="0073666E" w:rsidRPr="0073666E">
        <w:rPr>
          <w:lang w:val="de-CH"/>
        </w:rPr>
        <w:t xml:space="preserve">. </w:t>
      </w:r>
    </w:p>
    <w:p w14:paraId="1D0D9BD0" w14:textId="77777777" w:rsidR="0073666E" w:rsidRPr="0073666E" w:rsidRDefault="007A7C73" w:rsidP="007A7C73">
      <w:pPr>
        <w:pStyle w:val="SingleTxtG"/>
        <w:rPr>
          <w:lang w:val="de-CH"/>
        </w:rPr>
      </w:pPr>
      <w:r>
        <w:rPr>
          <w:lang w:val="de-CH"/>
        </w:rPr>
        <w:t>165.</w:t>
      </w:r>
      <w:r>
        <w:rPr>
          <w:lang w:val="de-CH"/>
        </w:rPr>
        <w:tab/>
      </w:r>
      <w:proofErr w:type="spellStart"/>
      <w:r w:rsidR="0073666E" w:rsidRPr="0073666E">
        <w:rPr>
          <w:lang w:val="de-CH"/>
        </w:rPr>
        <w:t>Selon</w:t>
      </w:r>
      <w:proofErr w:type="spellEnd"/>
      <w:r w:rsidR="0073666E" w:rsidRPr="0073666E">
        <w:rPr>
          <w:lang w:val="de-CH"/>
        </w:rPr>
        <w:t xml:space="preserve"> </w:t>
      </w:r>
      <w:r w:rsidR="0073666E" w:rsidRPr="007A7C73">
        <w:t>les</w:t>
      </w:r>
      <w:r w:rsidR="0073666E" w:rsidRPr="0073666E">
        <w:rPr>
          <w:lang w:val="de-CH"/>
        </w:rPr>
        <w:t xml:space="preserve"> </w:t>
      </w:r>
      <w:proofErr w:type="spellStart"/>
      <w:r w:rsidR="0073666E" w:rsidRPr="0073666E">
        <w:rPr>
          <w:lang w:val="de-CH"/>
        </w:rPr>
        <w:t>spécialistes</w:t>
      </w:r>
      <w:proofErr w:type="spellEnd"/>
      <w:r w:rsidR="0073666E" w:rsidRPr="0073666E">
        <w:rPr>
          <w:lang w:val="de-CH"/>
        </w:rPr>
        <w:t xml:space="preserve">, le </w:t>
      </w:r>
      <w:proofErr w:type="spellStart"/>
      <w:r w:rsidR="0073666E" w:rsidRPr="0073666E">
        <w:rPr>
          <w:lang w:val="de-CH"/>
        </w:rPr>
        <w:t>cadre</w:t>
      </w:r>
      <w:proofErr w:type="spellEnd"/>
      <w:r w:rsidR="0073666E" w:rsidRPr="0073666E">
        <w:rPr>
          <w:lang w:val="de-CH"/>
        </w:rPr>
        <w:t xml:space="preserve"> </w:t>
      </w:r>
      <w:proofErr w:type="spellStart"/>
      <w:r w:rsidR="0073666E" w:rsidRPr="0073666E">
        <w:rPr>
          <w:lang w:val="de-CH"/>
        </w:rPr>
        <w:t>actuel</w:t>
      </w:r>
      <w:proofErr w:type="spellEnd"/>
      <w:r w:rsidR="0073666E" w:rsidRPr="0073666E">
        <w:rPr>
          <w:lang w:val="de-CH"/>
        </w:rPr>
        <w:t xml:space="preserve"> </w:t>
      </w:r>
      <w:proofErr w:type="spellStart"/>
      <w:r w:rsidR="0073666E" w:rsidRPr="0073666E">
        <w:rPr>
          <w:lang w:val="de-CH"/>
        </w:rPr>
        <w:t>garantit</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w:t>
      </w:r>
      <w:r w:rsidR="00A27519">
        <w:rPr>
          <w:lang w:val="de-CH"/>
        </w:rPr>
        <w:t>’</w:t>
      </w:r>
      <w:r w:rsidR="0073666E" w:rsidRPr="0073666E">
        <w:rPr>
          <w:lang w:val="de-CH"/>
        </w:rPr>
        <w:t>intérêt</w:t>
      </w:r>
      <w:proofErr w:type="spellEnd"/>
      <w:r w:rsidR="0073666E" w:rsidRPr="0073666E">
        <w:rPr>
          <w:lang w:val="de-CH"/>
        </w:rPr>
        <w:t xml:space="preserve"> </w:t>
      </w:r>
      <w:proofErr w:type="spellStart"/>
      <w:r w:rsidR="0073666E" w:rsidRPr="0073666E">
        <w:rPr>
          <w:lang w:val="de-CH"/>
        </w:rPr>
        <w:t>supérieur</w:t>
      </w:r>
      <w:proofErr w:type="spellEnd"/>
      <w:r w:rsidR="0073666E" w:rsidRPr="0073666E">
        <w:rPr>
          <w:lang w:val="de-CH"/>
        </w:rPr>
        <w:t xml:space="preserve"> de </w:t>
      </w:r>
      <w:proofErr w:type="spellStart"/>
      <w:r w:rsidR="0073666E" w:rsidRPr="0073666E">
        <w:rPr>
          <w:lang w:val="de-CH"/>
        </w:rPr>
        <w:t>l</w:t>
      </w:r>
      <w:r w:rsidR="00A27519">
        <w:rPr>
          <w:lang w:val="de-CH"/>
        </w:rPr>
        <w:t>’</w:t>
      </w:r>
      <w:r w:rsidR="0073666E" w:rsidRPr="0073666E">
        <w:rPr>
          <w:lang w:val="de-CH"/>
        </w:rPr>
        <w:t>enfant</w:t>
      </w:r>
      <w:proofErr w:type="spellEnd"/>
      <w:r w:rsidR="0073666E" w:rsidRPr="0073666E">
        <w:rPr>
          <w:lang w:val="de-CH"/>
        </w:rPr>
        <w:t xml:space="preserve"> prime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toutes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interventions</w:t>
      </w:r>
      <w:proofErr w:type="spellEnd"/>
      <w:r w:rsidR="0073666E" w:rsidRPr="0073666E">
        <w:rPr>
          <w:lang w:val="de-CH"/>
        </w:rPr>
        <w:t xml:space="preserve"> et </w:t>
      </w:r>
      <w:proofErr w:type="spellStart"/>
      <w:r w:rsidR="0073666E" w:rsidRPr="0073666E">
        <w:rPr>
          <w:lang w:val="de-CH"/>
        </w:rPr>
        <w:t>traitements</w:t>
      </w:r>
      <w:proofErr w:type="spellEnd"/>
      <w:r w:rsidR="0073666E" w:rsidRPr="0073666E">
        <w:rPr>
          <w:lang w:val="de-CH"/>
        </w:rPr>
        <w:t xml:space="preserve"> </w:t>
      </w:r>
      <w:proofErr w:type="spellStart"/>
      <w:r w:rsidR="0073666E" w:rsidRPr="0073666E">
        <w:rPr>
          <w:lang w:val="de-CH"/>
        </w:rPr>
        <w:t>médicaux</w:t>
      </w:r>
      <w:proofErr w:type="spellEnd"/>
      <w:r w:rsidR="0073666E" w:rsidRPr="0073666E">
        <w:rPr>
          <w:lang w:val="de-CH"/>
        </w:rPr>
        <w:t>.</w:t>
      </w:r>
    </w:p>
    <w:p w14:paraId="2E1F492A" w14:textId="77777777" w:rsidR="0073666E" w:rsidRPr="007A7C73" w:rsidRDefault="007A7C73" w:rsidP="007A7C73">
      <w:pPr>
        <w:pStyle w:val="SingleTxtG"/>
      </w:pPr>
      <w:r>
        <w:rPr>
          <w:lang w:val="de-CH"/>
        </w:rPr>
        <w:t>16</w:t>
      </w:r>
      <w:r w:rsidR="00BB55E3">
        <w:rPr>
          <w:lang w:val="de-CH"/>
        </w:rPr>
        <w:t>6</w:t>
      </w:r>
      <w:r>
        <w:rPr>
          <w:lang w:val="de-CH"/>
        </w:rPr>
        <w:t>.</w:t>
      </w:r>
      <w:r>
        <w:rPr>
          <w:lang w:val="de-CH"/>
        </w:rPr>
        <w:tab/>
      </w:r>
      <w:proofErr w:type="spellStart"/>
      <w:r w:rsidR="0073666E" w:rsidRPr="0073666E">
        <w:rPr>
          <w:lang w:val="de-CH"/>
        </w:rPr>
        <w:t>D’un</w:t>
      </w:r>
      <w:proofErr w:type="spellEnd"/>
      <w:r w:rsidR="0073666E" w:rsidRPr="0073666E">
        <w:rPr>
          <w:lang w:val="de-CH"/>
        </w:rPr>
        <w:t xml:space="preserve"> </w:t>
      </w:r>
      <w:proofErr w:type="spellStart"/>
      <w:r w:rsidR="0073666E" w:rsidRPr="0073666E">
        <w:rPr>
          <w:lang w:val="de-CH"/>
        </w:rPr>
        <w:t>point</w:t>
      </w:r>
      <w:proofErr w:type="spellEnd"/>
      <w:r w:rsidR="0073666E" w:rsidRPr="0073666E">
        <w:rPr>
          <w:lang w:val="de-CH"/>
        </w:rPr>
        <w:t xml:space="preserve"> de </w:t>
      </w:r>
      <w:proofErr w:type="spellStart"/>
      <w:r w:rsidR="0073666E" w:rsidRPr="0073666E">
        <w:rPr>
          <w:lang w:val="de-CH"/>
        </w:rPr>
        <w:t>vue</w:t>
      </w:r>
      <w:proofErr w:type="spellEnd"/>
      <w:r w:rsidR="0073666E" w:rsidRPr="0073666E">
        <w:rPr>
          <w:lang w:val="de-CH"/>
        </w:rPr>
        <w:t xml:space="preserve"> </w:t>
      </w:r>
      <w:proofErr w:type="spellStart"/>
      <w:r w:rsidR="0073666E" w:rsidRPr="0073666E">
        <w:rPr>
          <w:lang w:val="de-CH"/>
        </w:rPr>
        <w:t>légal</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droits</w:t>
      </w:r>
      <w:proofErr w:type="spellEnd"/>
      <w:r w:rsidR="0073666E" w:rsidRPr="0073666E">
        <w:rPr>
          <w:lang w:val="de-CH"/>
        </w:rPr>
        <w:t xml:space="preserve"> </w:t>
      </w:r>
      <w:proofErr w:type="spellStart"/>
      <w:r w:rsidR="0073666E" w:rsidRPr="0073666E">
        <w:rPr>
          <w:lang w:val="de-CH"/>
        </w:rPr>
        <w:t>généraux</w:t>
      </w:r>
      <w:proofErr w:type="spellEnd"/>
      <w:r w:rsidR="0073666E" w:rsidRPr="0073666E">
        <w:rPr>
          <w:lang w:val="de-CH"/>
        </w:rPr>
        <w:t xml:space="preserve"> des </w:t>
      </w:r>
      <w:proofErr w:type="spellStart"/>
      <w:r w:rsidR="0073666E" w:rsidRPr="0073666E">
        <w:rPr>
          <w:lang w:val="de-CH"/>
        </w:rPr>
        <w:t>patients</w:t>
      </w:r>
      <w:proofErr w:type="spellEnd"/>
      <w:r w:rsidR="0073666E" w:rsidRPr="0073666E">
        <w:rPr>
          <w:lang w:val="de-CH"/>
        </w:rPr>
        <w:t xml:space="preserve"> valent </w:t>
      </w:r>
      <w:proofErr w:type="spellStart"/>
      <w:r w:rsidR="0073666E" w:rsidRPr="0073666E">
        <w:rPr>
          <w:lang w:val="de-CH"/>
        </w:rPr>
        <w:t>pour</w:t>
      </w:r>
      <w:proofErr w:type="spellEnd"/>
      <w:r w:rsidR="0073666E" w:rsidRPr="0073666E">
        <w:rPr>
          <w:lang w:val="de-CH"/>
        </w:rPr>
        <w:t xml:space="preserve"> le </w:t>
      </w:r>
      <w:proofErr w:type="spellStart"/>
      <w:r w:rsidR="0073666E" w:rsidRPr="0073666E">
        <w:rPr>
          <w:lang w:val="de-CH"/>
        </w:rPr>
        <w:t>traitement</w:t>
      </w:r>
      <w:proofErr w:type="spellEnd"/>
      <w:r w:rsidR="0073666E" w:rsidRPr="0073666E">
        <w:rPr>
          <w:lang w:val="de-CH"/>
        </w:rPr>
        <w:t xml:space="preserve"> des </w:t>
      </w:r>
      <w:proofErr w:type="spellStart"/>
      <w:r w:rsidR="0073666E" w:rsidRPr="0073666E">
        <w:rPr>
          <w:lang w:val="de-CH"/>
        </w:rPr>
        <w:t>enfants</w:t>
      </w:r>
      <w:proofErr w:type="spellEnd"/>
      <w:r w:rsidR="0073666E" w:rsidRPr="0073666E">
        <w:rPr>
          <w:lang w:val="de-CH"/>
        </w:rPr>
        <w:t xml:space="preserve"> et adultes </w:t>
      </w:r>
      <w:proofErr w:type="spellStart"/>
      <w:r w:rsidR="0073666E" w:rsidRPr="0073666E">
        <w:rPr>
          <w:lang w:val="de-CH"/>
        </w:rPr>
        <w:t>intersexués</w:t>
      </w:r>
      <w:proofErr w:type="spellEnd"/>
      <w:r w:rsidR="0073666E" w:rsidRPr="0073666E">
        <w:rPr>
          <w:lang w:val="de-CH"/>
        </w:rPr>
        <w:t xml:space="preserve"> </w:t>
      </w:r>
      <w:proofErr w:type="spellStart"/>
      <w:r w:rsidR="0073666E" w:rsidRPr="0073666E">
        <w:rPr>
          <w:lang w:val="de-CH"/>
        </w:rPr>
        <w:t>concernés</w:t>
      </w:r>
      <w:proofErr w:type="spellEnd"/>
      <w:r w:rsidR="0073666E" w:rsidRPr="0073666E">
        <w:rPr>
          <w:lang w:val="de-CH"/>
        </w:rPr>
        <w:t xml:space="preserve">. Ces </w:t>
      </w:r>
      <w:proofErr w:type="spellStart"/>
      <w:r w:rsidR="0073666E" w:rsidRPr="0073666E">
        <w:rPr>
          <w:lang w:val="de-CH"/>
        </w:rPr>
        <w:t>derniers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droit</w:t>
      </w:r>
      <w:proofErr w:type="spellEnd"/>
      <w:r w:rsidR="0073666E" w:rsidRPr="0073666E">
        <w:rPr>
          <w:lang w:val="de-CH"/>
        </w:rPr>
        <w:t xml:space="preserve"> à </w:t>
      </w:r>
      <w:proofErr w:type="spellStart"/>
      <w:r w:rsidR="0073666E" w:rsidRPr="0073666E">
        <w:rPr>
          <w:lang w:val="de-CH"/>
        </w:rPr>
        <w:t>un</w:t>
      </w:r>
      <w:proofErr w:type="spellEnd"/>
      <w:r w:rsidR="0073666E" w:rsidRPr="0073666E">
        <w:rPr>
          <w:lang w:val="de-CH"/>
        </w:rPr>
        <w:t xml:space="preserve"> </w:t>
      </w:r>
      <w:proofErr w:type="spellStart"/>
      <w:r w:rsidR="0073666E" w:rsidRPr="0073666E">
        <w:rPr>
          <w:lang w:val="de-CH"/>
        </w:rPr>
        <w:t>traitement</w:t>
      </w:r>
      <w:proofErr w:type="spellEnd"/>
      <w:r w:rsidR="0073666E" w:rsidRPr="0073666E">
        <w:rPr>
          <w:lang w:val="de-CH"/>
        </w:rPr>
        <w:t xml:space="preserve"> </w:t>
      </w:r>
      <w:proofErr w:type="spellStart"/>
      <w:r w:rsidR="0073666E" w:rsidRPr="0073666E">
        <w:rPr>
          <w:lang w:val="de-CH"/>
        </w:rPr>
        <w:t>médical</w:t>
      </w:r>
      <w:proofErr w:type="spellEnd"/>
      <w:r w:rsidR="0073666E" w:rsidRPr="0073666E">
        <w:rPr>
          <w:lang w:val="de-CH"/>
        </w:rPr>
        <w:t xml:space="preserve"> et à des </w:t>
      </w:r>
      <w:proofErr w:type="spellStart"/>
      <w:r w:rsidR="0073666E" w:rsidRPr="0073666E">
        <w:rPr>
          <w:lang w:val="de-CH"/>
        </w:rPr>
        <w:t>soins</w:t>
      </w:r>
      <w:proofErr w:type="spellEnd"/>
      <w:r w:rsidR="0073666E" w:rsidRPr="0073666E">
        <w:rPr>
          <w:lang w:val="de-CH"/>
        </w:rPr>
        <w:t xml:space="preserve"> </w:t>
      </w:r>
      <w:proofErr w:type="spellStart"/>
      <w:r w:rsidR="0073666E" w:rsidRPr="0073666E">
        <w:rPr>
          <w:lang w:val="de-CH"/>
        </w:rPr>
        <w:t>prodigués</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règles</w:t>
      </w:r>
      <w:proofErr w:type="spellEnd"/>
      <w:r w:rsidR="0073666E" w:rsidRPr="0073666E">
        <w:rPr>
          <w:lang w:val="de-CH"/>
        </w:rPr>
        <w:t xml:space="preserve"> de </w:t>
      </w:r>
      <w:proofErr w:type="spellStart"/>
      <w:r w:rsidR="0073666E" w:rsidRPr="0073666E">
        <w:rPr>
          <w:lang w:val="de-CH"/>
        </w:rPr>
        <w:t>l’art</w:t>
      </w:r>
      <w:proofErr w:type="spellEnd"/>
      <w:r w:rsidR="0073666E" w:rsidRPr="0073666E">
        <w:rPr>
          <w:lang w:val="de-CH"/>
        </w:rPr>
        <w:t xml:space="preserve"> et </w:t>
      </w:r>
      <w:proofErr w:type="spellStart"/>
      <w:r w:rsidR="0073666E" w:rsidRPr="0073666E">
        <w:rPr>
          <w:lang w:val="de-CH"/>
        </w:rPr>
        <w:t>conformément</w:t>
      </w:r>
      <w:proofErr w:type="spellEnd"/>
      <w:r w:rsidR="0073666E" w:rsidRPr="0073666E">
        <w:rPr>
          <w:lang w:val="de-CH"/>
        </w:rPr>
        <w:t xml:space="preserve"> à </w:t>
      </w:r>
      <w:proofErr w:type="spellStart"/>
      <w:r w:rsidR="0073666E" w:rsidRPr="0073666E">
        <w:rPr>
          <w:lang w:val="de-CH"/>
        </w:rPr>
        <w:t>l’état</w:t>
      </w:r>
      <w:proofErr w:type="spellEnd"/>
      <w:r w:rsidR="0073666E" w:rsidRPr="0073666E">
        <w:rPr>
          <w:lang w:val="de-CH"/>
        </w:rPr>
        <w:t xml:space="preserve"> </w:t>
      </w:r>
      <w:proofErr w:type="spellStart"/>
      <w:r w:rsidR="0073666E" w:rsidRPr="0073666E">
        <w:rPr>
          <w:lang w:val="de-CH"/>
        </w:rPr>
        <w:t>actuel</w:t>
      </w:r>
      <w:proofErr w:type="spellEnd"/>
      <w:r w:rsidR="0073666E" w:rsidRPr="0073666E">
        <w:rPr>
          <w:lang w:val="de-CH"/>
        </w:rPr>
        <w:t xml:space="preserve"> de la </w:t>
      </w:r>
      <w:proofErr w:type="spellStart"/>
      <w:r w:rsidR="0073666E" w:rsidRPr="0073666E">
        <w:rPr>
          <w:lang w:val="de-CH"/>
        </w:rPr>
        <w:t>science</w:t>
      </w:r>
      <w:proofErr w:type="spellEnd"/>
      <w:r w:rsidR="0073666E" w:rsidRPr="0073666E">
        <w:rPr>
          <w:lang w:val="de-CH"/>
        </w:rPr>
        <w:t xml:space="preserve"> </w:t>
      </w:r>
      <w:proofErr w:type="spellStart"/>
      <w:r w:rsidR="0073666E" w:rsidRPr="0073666E">
        <w:rPr>
          <w:lang w:val="de-CH"/>
        </w:rPr>
        <w:t>médicale</w:t>
      </w:r>
      <w:proofErr w:type="spellEnd"/>
      <w:r w:rsidR="0073666E" w:rsidRPr="0073666E">
        <w:rPr>
          <w:lang w:val="de-CH"/>
        </w:rPr>
        <w:t xml:space="preserve">, </w:t>
      </w:r>
      <w:proofErr w:type="spellStart"/>
      <w:r w:rsidR="0073666E" w:rsidRPr="0073666E">
        <w:rPr>
          <w:lang w:val="de-CH"/>
        </w:rPr>
        <w:t>droit</w:t>
      </w:r>
      <w:proofErr w:type="spellEnd"/>
      <w:r w:rsidR="0073666E" w:rsidRPr="0073666E">
        <w:rPr>
          <w:lang w:val="de-CH"/>
        </w:rPr>
        <w:t xml:space="preserve"> à </w:t>
      </w:r>
      <w:proofErr w:type="spellStart"/>
      <w:r w:rsidR="0073666E" w:rsidRPr="0073666E">
        <w:rPr>
          <w:lang w:val="de-CH"/>
        </w:rPr>
        <w:t>l’information</w:t>
      </w:r>
      <w:proofErr w:type="spellEnd"/>
      <w:r w:rsidR="0073666E" w:rsidRPr="0073666E">
        <w:rPr>
          <w:lang w:val="de-CH"/>
        </w:rPr>
        <w:t xml:space="preserve"> et au </w:t>
      </w:r>
      <w:proofErr w:type="spellStart"/>
      <w:r w:rsidR="0073666E" w:rsidRPr="0073666E">
        <w:rPr>
          <w:lang w:val="de-CH"/>
        </w:rPr>
        <w:t>consentement</w:t>
      </w:r>
      <w:proofErr w:type="spellEnd"/>
      <w:r w:rsidR="0073666E" w:rsidRPr="0073666E">
        <w:rPr>
          <w:lang w:val="de-CH"/>
        </w:rPr>
        <w:t xml:space="preserve"> et </w:t>
      </w:r>
      <w:proofErr w:type="spellStart"/>
      <w:r w:rsidR="0073666E" w:rsidRPr="0073666E">
        <w:rPr>
          <w:lang w:val="de-CH"/>
        </w:rPr>
        <w:t>droit</w:t>
      </w:r>
      <w:proofErr w:type="spellEnd"/>
      <w:r w:rsidR="0073666E" w:rsidRPr="0073666E">
        <w:rPr>
          <w:lang w:val="de-CH"/>
        </w:rPr>
        <w:t xml:space="preserve"> à la </w:t>
      </w:r>
      <w:proofErr w:type="spellStart"/>
      <w:r w:rsidR="0073666E" w:rsidRPr="0073666E">
        <w:rPr>
          <w:lang w:val="de-CH"/>
        </w:rPr>
        <w:t>protection</w:t>
      </w:r>
      <w:proofErr w:type="spellEnd"/>
      <w:r w:rsidR="0073666E" w:rsidRPr="0073666E">
        <w:rPr>
          <w:lang w:val="de-CH"/>
        </w:rPr>
        <w:t xml:space="preserve"> de </w:t>
      </w:r>
      <w:proofErr w:type="spellStart"/>
      <w:r w:rsidR="0073666E" w:rsidRPr="0073666E">
        <w:rPr>
          <w:lang w:val="de-CH"/>
        </w:rPr>
        <w:t>leurs</w:t>
      </w:r>
      <w:proofErr w:type="spellEnd"/>
      <w:r w:rsidR="0073666E" w:rsidRPr="0073666E">
        <w:rPr>
          <w:lang w:val="de-CH"/>
        </w:rPr>
        <w:t xml:space="preserve"> </w:t>
      </w:r>
      <w:proofErr w:type="spellStart"/>
      <w:r w:rsidR="0073666E" w:rsidRPr="0073666E">
        <w:rPr>
          <w:lang w:val="de-CH"/>
        </w:rPr>
        <w:t>données</w:t>
      </w:r>
      <w:proofErr w:type="spellEnd"/>
      <w:r w:rsidR="0073666E" w:rsidRPr="0073666E">
        <w:rPr>
          <w:lang w:val="de-CH"/>
        </w:rPr>
        <w:t xml:space="preserve"> </w:t>
      </w:r>
      <w:proofErr w:type="spellStart"/>
      <w:r w:rsidR="0073666E" w:rsidRPr="0073666E">
        <w:rPr>
          <w:lang w:val="de-CH"/>
        </w:rPr>
        <w:t>personnelles</w:t>
      </w:r>
      <w:proofErr w:type="spellEnd"/>
      <w:r w:rsidR="0073666E" w:rsidRPr="0073666E">
        <w:rPr>
          <w:lang w:val="de-CH"/>
        </w:rPr>
        <w:t xml:space="preserve">. </w:t>
      </w:r>
      <w:r w:rsidR="002B6ED6">
        <w:rPr>
          <w:lang w:val="de-CH"/>
        </w:rPr>
        <w:t>À</w:t>
      </w:r>
      <w:r w:rsidR="0073666E" w:rsidRPr="0073666E">
        <w:rPr>
          <w:lang w:val="de-CH"/>
        </w:rPr>
        <w:t xml:space="preserve"> </w:t>
      </w:r>
      <w:proofErr w:type="spellStart"/>
      <w:r w:rsidR="0073666E" w:rsidRPr="0073666E">
        <w:rPr>
          <w:lang w:val="de-CH"/>
        </w:rPr>
        <w:t>ce</w:t>
      </w:r>
      <w:proofErr w:type="spellEnd"/>
      <w:r w:rsidR="0073666E" w:rsidRPr="0073666E">
        <w:rPr>
          <w:lang w:val="de-CH"/>
        </w:rPr>
        <w:t xml:space="preserve"> </w:t>
      </w:r>
      <w:proofErr w:type="spellStart"/>
      <w:r w:rsidR="0073666E" w:rsidRPr="0073666E">
        <w:rPr>
          <w:lang w:val="de-CH"/>
        </w:rPr>
        <w:t>sujet</w:t>
      </w:r>
      <w:proofErr w:type="spellEnd"/>
      <w:r w:rsidR="0073666E" w:rsidRPr="0073666E">
        <w:rPr>
          <w:lang w:val="de-CH"/>
        </w:rPr>
        <w:t xml:space="preserve">, </w:t>
      </w:r>
      <w:proofErr w:type="spellStart"/>
      <w:r w:rsidR="0073666E" w:rsidRPr="0073666E">
        <w:rPr>
          <w:lang w:val="de-CH"/>
        </w:rPr>
        <w:t>il</w:t>
      </w:r>
      <w:proofErr w:type="spellEnd"/>
      <w:r w:rsidR="0073666E" w:rsidRPr="0073666E">
        <w:rPr>
          <w:lang w:val="de-CH"/>
        </w:rPr>
        <w:t xml:space="preserve"> </w:t>
      </w:r>
      <w:r w:rsidR="0073666E" w:rsidRPr="007A7C73">
        <w:t>est</w:t>
      </w:r>
      <w:r w:rsidR="0073666E" w:rsidRPr="0073666E">
        <w:rPr>
          <w:lang w:val="de-CH"/>
        </w:rPr>
        <w:t xml:space="preserve"> </w:t>
      </w:r>
      <w:proofErr w:type="spellStart"/>
      <w:r w:rsidR="0073666E" w:rsidRPr="0073666E">
        <w:rPr>
          <w:lang w:val="de-CH"/>
        </w:rPr>
        <w:t>important</w:t>
      </w:r>
      <w:proofErr w:type="spellEnd"/>
      <w:r w:rsidR="0073666E" w:rsidRPr="0073666E">
        <w:rPr>
          <w:lang w:val="de-CH"/>
        </w:rPr>
        <w:t xml:space="preserve"> de </w:t>
      </w:r>
      <w:proofErr w:type="spellStart"/>
      <w:r w:rsidR="0073666E" w:rsidRPr="0073666E">
        <w:rPr>
          <w:lang w:val="de-CH"/>
        </w:rPr>
        <w:t>citer</w:t>
      </w:r>
      <w:proofErr w:type="spellEnd"/>
      <w:r w:rsidR="0073666E" w:rsidRPr="0073666E">
        <w:rPr>
          <w:lang w:val="de-CH"/>
        </w:rPr>
        <w:t xml:space="preserve"> la </w:t>
      </w:r>
      <w:proofErr w:type="spellStart"/>
      <w:r w:rsidR="0073666E" w:rsidRPr="0073666E">
        <w:rPr>
          <w:lang w:val="de-CH"/>
        </w:rPr>
        <w:t>prise</w:t>
      </w:r>
      <w:proofErr w:type="spellEnd"/>
      <w:r w:rsidR="0073666E" w:rsidRPr="0073666E">
        <w:rPr>
          <w:lang w:val="de-CH"/>
        </w:rPr>
        <w:t xml:space="preserve"> de </w:t>
      </w:r>
      <w:proofErr w:type="spellStart"/>
      <w:r w:rsidR="0073666E" w:rsidRPr="0073666E">
        <w:rPr>
          <w:lang w:val="de-CH"/>
        </w:rPr>
        <w:t>position</w:t>
      </w:r>
      <w:proofErr w:type="spellEnd"/>
      <w:r w:rsidR="0073666E" w:rsidRPr="0073666E">
        <w:rPr>
          <w:lang w:val="de-CH"/>
        </w:rPr>
        <w:t xml:space="preserve"> de la </w:t>
      </w:r>
      <w:proofErr w:type="spellStart"/>
      <w:r w:rsidR="0073666E" w:rsidRPr="0073666E">
        <w:rPr>
          <w:lang w:val="de-CH"/>
        </w:rPr>
        <w:t>Commission</w:t>
      </w:r>
      <w:proofErr w:type="spellEnd"/>
      <w:r w:rsidR="0073666E" w:rsidRPr="0073666E">
        <w:rPr>
          <w:lang w:val="de-CH"/>
        </w:rPr>
        <w:t xml:space="preserve"> </w:t>
      </w:r>
      <w:proofErr w:type="spellStart"/>
      <w:r w:rsidR="0073666E" w:rsidRPr="0073666E">
        <w:rPr>
          <w:lang w:val="de-CH"/>
        </w:rPr>
        <w:t>Centrale</w:t>
      </w:r>
      <w:proofErr w:type="spellEnd"/>
      <w:r w:rsidR="0073666E" w:rsidRPr="0073666E">
        <w:rPr>
          <w:lang w:val="de-CH"/>
        </w:rPr>
        <w:t xml:space="preserve"> </w:t>
      </w:r>
      <w:proofErr w:type="spellStart"/>
      <w:r w:rsidR="0073666E" w:rsidRPr="0073666E">
        <w:rPr>
          <w:lang w:val="de-CH"/>
        </w:rPr>
        <w:t>d</w:t>
      </w:r>
      <w:r w:rsidR="00A27519">
        <w:rPr>
          <w:lang w:val="de-CH"/>
        </w:rPr>
        <w:t>’</w:t>
      </w:r>
      <w:r w:rsidR="0073666E" w:rsidRPr="0073666E">
        <w:rPr>
          <w:lang w:val="de-CH"/>
        </w:rPr>
        <w:t>Éthique</w:t>
      </w:r>
      <w:proofErr w:type="spellEnd"/>
      <w:r w:rsidR="0073666E" w:rsidRPr="0073666E">
        <w:rPr>
          <w:lang w:val="de-CH"/>
        </w:rPr>
        <w:t xml:space="preserve"> de </w:t>
      </w:r>
      <w:proofErr w:type="spellStart"/>
      <w:r w:rsidR="0073666E" w:rsidRPr="0073666E">
        <w:rPr>
          <w:lang w:val="de-CH"/>
        </w:rPr>
        <w:t>l</w:t>
      </w:r>
      <w:r w:rsidR="00A27519">
        <w:rPr>
          <w:lang w:val="de-CH"/>
        </w:rPr>
        <w:t>’</w:t>
      </w:r>
      <w:r w:rsidR="0073666E" w:rsidRPr="0073666E">
        <w:rPr>
          <w:lang w:val="de-CH"/>
        </w:rPr>
        <w:t>Académie</w:t>
      </w:r>
      <w:proofErr w:type="spellEnd"/>
      <w:r w:rsidR="0073666E" w:rsidRPr="0073666E">
        <w:rPr>
          <w:lang w:val="de-CH"/>
        </w:rPr>
        <w:t xml:space="preserve"> </w:t>
      </w:r>
      <w:r w:rsidR="0073666E" w:rsidRPr="007A7C73">
        <w:t xml:space="preserve">Suisse des Sciences Médicales de décembre </w:t>
      </w:r>
      <w:r w:rsidR="0073666E" w:rsidRPr="007A7C73">
        <w:lastRenderedPageBreak/>
        <w:t>2016</w:t>
      </w:r>
      <w:r w:rsidR="00EC4D19">
        <w:t> </w:t>
      </w:r>
      <w:r w:rsidR="0073666E" w:rsidRPr="007A7C73">
        <w:t>: « la prise en charge des familles concernées a été améliorée en Suisse et les recommandations de la CNE et les standards internationaux sont respectés dans toute la mesure du possible. En principe, les parents qui se trouvent dans cette situation éprouvante sont aujourd</w:t>
      </w:r>
      <w:r w:rsidR="00A27519">
        <w:t>’</w:t>
      </w:r>
      <w:r w:rsidR="0073666E" w:rsidRPr="007A7C73">
        <w:t>hui conseillés et soutenus par une équipe interdisciplinaire dès la naissance. Ce faisant, toutes les décisions concernant les traitements et les interventions doivent être orientées selon le bien de l</w:t>
      </w:r>
      <w:r w:rsidR="00A27519">
        <w:t>’</w:t>
      </w:r>
      <w:r w:rsidR="0073666E" w:rsidRPr="007A7C73">
        <w:t>enfant et prises au sens d</w:t>
      </w:r>
      <w:r w:rsidR="00A27519">
        <w:t>’</w:t>
      </w:r>
      <w:r w:rsidR="0073666E" w:rsidRPr="007A7C73">
        <w:t xml:space="preserve">une </w:t>
      </w:r>
      <w:proofErr w:type="spellStart"/>
      <w:r w:rsidR="0073666E" w:rsidRPr="007A7C73">
        <w:t>Shared</w:t>
      </w:r>
      <w:proofErr w:type="spellEnd"/>
      <w:r w:rsidR="0073666E" w:rsidRPr="007A7C73">
        <w:t xml:space="preserve"> </w:t>
      </w:r>
      <w:proofErr w:type="spellStart"/>
      <w:r w:rsidR="0073666E" w:rsidRPr="007A7C73">
        <w:t>decision</w:t>
      </w:r>
      <w:proofErr w:type="spellEnd"/>
      <w:r w:rsidR="0073666E" w:rsidRPr="007A7C73">
        <w:t xml:space="preserve"> </w:t>
      </w:r>
      <w:proofErr w:type="spellStart"/>
      <w:r w:rsidR="0073666E" w:rsidRPr="007A7C73">
        <w:t>making</w:t>
      </w:r>
      <w:proofErr w:type="spellEnd"/>
      <w:r w:rsidR="0073666E" w:rsidRPr="007A7C73">
        <w:t xml:space="preserve"> (prise de décision partagée). »</w:t>
      </w:r>
    </w:p>
    <w:p w14:paraId="0146987E" w14:textId="77777777" w:rsidR="0073666E" w:rsidRPr="007A7C73" w:rsidRDefault="007A7C73" w:rsidP="007A7C73">
      <w:pPr>
        <w:pStyle w:val="SingleTxtG"/>
      </w:pPr>
      <w:r>
        <w:t>16</w:t>
      </w:r>
      <w:r w:rsidR="00BB55E3">
        <w:t>7</w:t>
      </w:r>
      <w:r>
        <w:t>.</w:t>
      </w:r>
      <w:r>
        <w:tab/>
      </w:r>
      <w:r w:rsidR="0073666E" w:rsidRPr="007A7C73">
        <w:t>Le système de protection sociale suisse offre une prise en charge appropriée aux personnes intersexuées. Selon le droit suisse, il s’agit d’une infirmité congénitale, qui se définit comme « […] une maladie présente à la naissance accomplie de l</w:t>
      </w:r>
      <w:r w:rsidR="00A27519">
        <w:t>’</w:t>
      </w:r>
      <w:r w:rsidR="0073666E" w:rsidRPr="007A7C73">
        <w:t>enfant » (art. 3, al.</w:t>
      </w:r>
      <w:r w:rsidR="00BA6C56">
        <w:t> </w:t>
      </w:r>
      <w:r w:rsidR="0073666E" w:rsidRPr="007A7C73">
        <w:t>2 de la loi fédérale sur la partie générale du droit des assurances sociales [LPGA]). Comme pour toutes les autres affections énumérées dans la liste des infirmités congénitales, le droit à la prise en charge du traitement médical par l’assurance-invalidité s’éteint à la fin du mois au cours duquel l’assuré a accompli sa vingtième année. Passé ce délai, l’assurance-maladie prend en charge les coûts des mêmes prestations qu’en cas de maladie. En d’autres termes, l</w:t>
      </w:r>
      <w:r w:rsidR="00A27519">
        <w:t>’</w:t>
      </w:r>
      <w:r w:rsidR="0073666E" w:rsidRPr="007A7C73">
        <w:t>assurance obligatoire des soins prend le relais de l</w:t>
      </w:r>
      <w:r w:rsidR="00A27519">
        <w:t>’</w:t>
      </w:r>
      <w:r w:rsidR="0073666E" w:rsidRPr="007A7C73">
        <w:t>assurance-invalidité.</w:t>
      </w:r>
    </w:p>
    <w:p w14:paraId="0C54D126" w14:textId="77777777" w:rsidR="0073666E" w:rsidRPr="0073666E" w:rsidRDefault="007A7C73" w:rsidP="007A7C73">
      <w:pPr>
        <w:pStyle w:val="SingleTxtG"/>
      </w:pPr>
      <w:r>
        <w:t>16</w:t>
      </w:r>
      <w:r w:rsidR="00BB55E3">
        <w:t>8</w:t>
      </w:r>
      <w:r>
        <w:t>.</w:t>
      </w:r>
      <w:r>
        <w:tab/>
      </w:r>
      <w:r w:rsidR="0073666E" w:rsidRPr="007A7C73">
        <w:t xml:space="preserve">Par ailleurs, il est important de mentionner l’avant-projet de révision du </w:t>
      </w:r>
      <w:r w:rsidR="00BA6C56" w:rsidRPr="007A7C73">
        <w:t xml:space="preserve">Code </w:t>
      </w:r>
      <w:r w:rsidR="0073666E" w:rsidRPr="007A7C73">
        <w:t>civil suisse (CC) sur le changement de sexe à l’état civil</w:t>
      </w:r>
      <w:r w:rsidR="0073666E" w:rsidRPr="0073666E">
        <w:t xml:space="preserve">, bien que cette mesure ne vise pas à garantir le respect de l’intégrité physique et l’autonomie des personnes intersexuées en tant que tels. </w:t>
      </w:r>
    </w:p>
    <w:p w14:paraId="2CE85B33" w14:textId="77777777" w:rsidR="0073666E" w:rsidRPr="0073666E" w:rsidRDefault="007A7C73" w:rsidP="007A7C73">
      <w:pPr>
        <w:pStyle w:val="SingleTxtG"/>
        <w:rPr>
          <w:lang w:val="de-CH"/>
        </w:rPr>
      </w:pPr>
      <w:r>
        <w:t>1</w:t>
      </w:r>
      <w:r w:rsidR="00BB55E3">
        <w:t>69</w:t>
      </w:r>
      <w:r>
        <w:t>.</w:t>
      </w:r>
      <w:r>
        <w:tab/>
      </w:r>
      <w:r w:rsidR="0073666E" w:rsidRPr="0073666E">
        <w:t xml:space="preserve">Selon le droit en vigueur, dans les cas </w:t>
      </w:r>
      <w:r w:rsidR="0073666E" w:rsidRPr="007A7C73">
        <w:t>d</w:t>
      </w:r>
      <w:r w:rsidR="00A27519">
        <w:t>’</w:t>
      </w:r>
      <w:r w:rsidR="0073666E" w:rsidRPr="007A7C73">
        <w:t>intersexualité</w:t>
      </w:r>
      <w:r w:rsidR="0073666E" w:rsidRPr="0073666E">
        <w:t>, une rectification de la mention du sexe dans le registre de l</w:t>
      </w:r>
      <w:r w:rsidR="00A27519">
        <w:t>’</w:t>
      </w:r>
      <w:r w:rsidR="0073666E" w:rsidRPr="0073666E">
        <w:t>état civil doit en principe être ordonnée par le juge, à la demande des parents ou de l</w:t>
      </w:r>
      <w:r w:rsidR="00A27519">
        <w:t>’</w:t>
      </w:r>
      <w:r w:rsidR="0073666E" w:rsidRPr="0073666E">
        <w:t>enfant lui-même (art. 24 al. 1 CC). Les autorités cantonales de surveillance de l</w:t>
      </w:r>
      <w:r w:rsidR="00A27519">
        <w:t>’</w:t>
      </w:r>
      <w:r w:rsidR="0073666E" w:rsidRPr="0073666E">
        <w:t xml:space="preserve">état civil peuvent également en faire la demande au juge (art. 24 al. 2 CC). </w:t>
      </w:r>
      <w:r w:rsidR="0073666E" w:rsidRPr="0073666E">
        <w:rPr>
          <w:lang w:val="de-CH"/>
        </w:rPr>
        <w:t xml:space="preserve">La </w:t>
      </w:r>
      <w:proofErr w:type="spellStart"/>
      <w:r w:rsidR="0073666E" w:rsidRPr="0073666E">
        <w:rPr>
          <w:lang w:val="de-CH"/>
        </w:rPr>
        <w:t>décision</w:t>
      </w:r>
      <w:proofErr w:type="spellEnd"/>
      <w:r w:rsidR="0073666E" w:rsidRPr="0073666E">
        <w:rPr>
          <w:lang w:val="de-CH"/>
        </w:rPr>
        <w:t xml:space="preserve"> </w:t>
      </w:r>
      <w:proofErr w:type="spellStart"/>
      <w:r w:rsidR="0073666E" w:rsidRPr="0073666E">
        <w:rPr>
          <w:lang w:val="de-CH"/>
        </w:rPr>
        <w:t>sera</w:t>
      </w:r>
      <w:proofErr w:type="spellEnd"/>
      <w:r w:rsidR="0073666E" w:rsidRPr="0073666E">
        <w:rPr>
          <w:lang w:val="de-CH"/>
        </w:rPr>
        <w:t xml:space="preserve"> </w:t>
      </w:r>
      <w:proofErr w:type="spellStart"/>
      <w:r w:rsidR="0073666E" w:rsidRPr="0073666E">
        <w:rPr>
          <w:lang w:val="de-CH"/>
        </w:rPr>
        <w:t>ensuite</w:t>
      </w:r>
      <w:proofErr w:type="spellEnd"/>
      <w:r w:rsidR="0073666E" w:rsidRPr="0073666E">
        <w:rPr>
          <w:lang w:val="de-CH"/>
        </w:rPr>
        <w:t xml:space="preserve"> </w:t>
      </w:r>
      <w:proofErr w:type="spellStart"/>
      <w:r w:rsidR="0073666E" w:rsidRPr="0073666E">
        <w:rPr>
          <w:lang w:val="de-CH"/>
        </w:rPr>
        <w:t>inscrite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registre</w:t>
      </w:r>
      <w:proofErr w:type="spellEnd"/>
      <w:r w:rsidR="0073666E" w:rsidRPr="0073666E">
        <w:rPr>
          <w:lang w:val="de-CH"/>
        </w:rPr>
        <w:t xml:space="preserve"> de </w:t>
      </w:r>
      <w:proofErr w:type="spellStart"/>
      <w:r w:rsidR="0073666E" w:rsidRPr="0073666E">
        <w:rPr>
          <w:lang w:val="de-CH"/>
        </w:rPr>
        <w:t>l</w:t>
      </w:r>
      <w:r w:rsidR="00A27519">
        <w:rPr>
          <w:lang w:val="de-CH"/>
        </w:rPr>
        <w:t>’</w:t>
      </w:r>
      <w:r w:rsidR="0073666E" w:rsidRPr="0073666E">
        <w:rPr>
          <w:lang w:val="de-CH"/>
        </w:rPr>
        <w:t>état</w:t>
      </w:r>
      <w:proofErr w:type="spellEnd"/>
      <w:r w:rsidR="0073666E" w:rsidRPr="0073666E">
        <w:rPr>
          <w:lang w:val="de-CH"/>
        </w:rPr>
        <w:t xml:space="preserve"> </w:t>
      </w:r>
      <w:proofErr w:type="spellStart"/>
      <w:r w:rsidR="0073666E" w:rsidRPr="0073666E">
        <w:rPr>
          <w:lang w:val="de-CH"/>
        </w:rPr>
        <w:t>civil</w:t>
      </w:r>
      <w:proofErr w:type="spellEnd"/>
      <w:r w:rsidR="0073666E" w:rsidRPr="0073666E">
        <w:rPr>
          <w:lang w:val="de-CH"/>
        </w:rPr>
        <w:t xml:space="preserve"> et la </w:t>
      </w:r>
      <w:proofErr w:type="spellStart"/>
      <w:r w:rsidR="0073666E" w:rsidRPr="0073666E">
        <w:rPr>
          <w:lang w:val="de-CH"/>
        </w:rPr>
        <w:t>mention</w:t>
      </w:r>
      <w:proofErr w:type="spellEnd"/>
      <w:r w:rsidR="0073666E" w:rsidRPr="0073666E">
        <w:rPr>
          <w:lang w:val="de-CH"/>
        </w:rPr>
        <w:t xml:space="preserve"> </w:t>
      </w:r>
      <w:proofErr w:type="spellStart"/>
      <w:r w:rsidR="0073666E" w:rsidRPr="0073666E">
        <w:rPr>
          <w:lang w:val="de-CH"/>
        </w:rPr>
        <w:t>concernant</w:t>
      </w:r>
      <w:proofErr w:type="spellEnd"/>
      <w:r w:rsidR="0073666E" w:rsidRPr="0073666E">
        <w:rPr>
          <w:lang w:val="de-CH"/>
        </w:rPr>
        <w:t xml:space="preserve"> le sexe </w:t>
      </w:r>
      <w:proofErr w:type="spellStart"/>
      <w:r w:rsidR="0073666E" w:rsidRPr="0073666E">
        <w:rPr>
          <w:lang w:val="de-CH"/>
        </w:rPr>
        <w:t>sera</w:t>
      </w:r>
      <w:proofErr w:type="spellEnd"/>
      <w:r w:rsidR="0073666E" w:rsidRPr="0073666E">
        <w:rPr>
          <w:lang w:val="de-CH"/>
        </w:rPr>
        <w:t xml:space="preserve"> </w:t>
      </w:r>
      <w:proofErr w:type="spellStart"/>
      <w:r w:rsidR="0073666E" w:rsidRPr="0073666E">
        <w:rPr>
          <w:lang w:val="de-CH"/>
        </w:rPr>
        <w:t>modifiée</w:t>
      </w:r>
      <w:proofErr w:type="spellEnd"/>
      <w:r w:rsidR="0073666E" w:rsidRPr="0073666E">
        <w:rPr>
          <w:lang w:val="de-CH"/>
        </w:rPr>
        <w:t xml:space="preserve">. La </w:t>
      </w:r>
      <w:proofErr w:type="spellStart"/>
      <w:r w:rsidR="0073666E" w:rsidRPr="0073666E">
        <w:rPr>
          <w:lang w:val="de-CH"/>
        </w:rPr>
        <w:t>proposition</w:t>
      </w:r>
      <w:proofErr w:type="spellEnd"/>
      <w:r w:rsidR="0073666E" w:rsidRPr="0073666E">
        <w:rPr>
          <w:lang w:val="de-CH"/>
        </w:rPr>
        <w:t xml:space="preserve"> de </w:t>
      </w:r>
      <w:proofErr w:type="spellStart"/>
      <w:r w:rsidR="0073666E" w:rsidRPr="0073666E">
        <w:rPr>
          <w:lang w:val="de-CH"/>
        </w:rPr>
        <w:t>réforme</w:t>
      </w:r>
      <w:proofErr w:type="spellEnd"/>
      <w:r w:rsidR="0073666E" w:rsidRPr="0073666E">
        <w:rPr>
          <w:lang w:val="de-CH"/>
        </w:rPr>
        <w:t xml:space="preserve"> </w:t>
      </w:r>
      <w:proofErr w:type="spellStart"/>
      <w:r w:rsidR="0073666E" w:rsidRPr="0073666E">
        <w:rPr>
          <w:lang w:val="de-CH"/>
        </w:rPr>
        <w:t>tend</w:t>
      </w:r>
      <w:proofErr w:type="spellEnd"/>
      <w:r w:rsidR="0073666E" w:rsidRPr="0073666E">
        <w:rPr>
          <w:lang w:val="de-CH"/>
        </w:rPr>
        <w:t xml:space="preserve"> à </w:t>
      </w:r>
      <w:proofErr w:type="spellStart"/>
      <w:r w:rsidR="0073666E" w:rsidRPr="0073666E">
        <w:rPr>
          <w:lang w:val="de-CH"/>
        </w:rPr>
        <w:t>simplifier</w:t>
      </w:r>
      <w:proofErr w:type="spellEnd"/>
      <w:r w:rsidR="0073666E" w:rsidRPr="0073666E">
        <w:rPr>
          <w:lang w:val="de-CH"/>
        </w:rPr>
        <w:t xml:space="preserve"> le </w:t>
      </w:r>
      <w:proofErr w:type="spellStart"/>
      <w:r w:rsidR="0073666E" w:rsidRPr="0073666E">
        <w:rPr>
          <w:lang w:val="de-CH"/>
        </w:rPr>
        <w:t>changement</w:t>
      </w:r>
      <w:proofErr w:type="spellEnd"/>
      <w:r w:rsidR="0073666E" w:rsidRPr="0073666E">
        <w:rPr>
          <w:lang w:val="de-CH"/>
        </w:rPr>
        <w:t xml:space="preserve"> de sexe à </w:t>
      </w:r>
      <w:proofErr w:type="spellStart"/>
      <w:r w:rsidR="0073666E" w:rsidRPr="0073666E">
        <w:rPr>
          <w:lang w:val="de-CH"/>
        </w:rPr>
        <w:t>l</w:t>
      </w:r>
      <w:r w:rsidR="00A27519">
        <w:rPr>
          <w:lang w:val="de-CH"/>
        </w:rPr>
        <w:t>’</w:t>
      </w:r>
      <w:r w:rsidR="0073666E" w:rsidRPr="0073666E">
        <w:rPr>
          <w:lang w:val="de-CH"/>
        </w:rPr>
        <w:t>état</w:t>
      </w:r>
      <w:proofErr w:type="spellEnd"/>
      <w:r w:rsidR="0073666E" w:rsidRPr="0073666E">
        <w:rPr>
          <w:lang w:val="de-CH"/>
        </w:rPr>
        <w:t xml:space="preserve"> </w:t>
      </w:r>
      <w:proofErr w:type="spellStart"/>
      <w:r w:rsidR="0073666E" w:rsidRPr="0073666E">
        <w:rPr>
          <w:lang w:val="de-CH"/>
        </w:rPr>
        <w:t>civil</w:t>
      </w:r>
      <w:proofErr w:type="spellEnd"/>
      <w:r w:rsidR="0073666E" w:rsidRPr="0073666E">
        <w:rPr>
          <w:lang w:val="de-CH"/>
        </w:rPr>
        <w:t xml:space="preserve"> et </w:t>
      </w:r>
      <w:proofErr w:type="spellStart"/>
      <w:r w:rsidR="0073666E" w:rsidRPr="0073666E">
        <w:rPr>
          <w:lang w:val="de-CH"/>
        </w:rPr>
        <w:t>corollairement</w:t>
      </w:r>
      <w:proofErr w:type="spellEnd"/>
      <w:r w:rsidR="0073666E" w:rsidRPr="0073666E">
        <w:rPr>
          <w:lang w:val="de-CH"/>
        </w:rPr>
        <w:t xml:space="preserve"> le </w:t>
      </w:r>
      <w:proofErr w:type="spellStart"/>
      <w:r w:rsidR="0073666E" w:rsidRPr="0073666E">
        <w:rPr>
          <w:lang w:val="de-CH"/>
        </w:rPr>
        <w:t>changement</w:t>
      </w:r>
      <w:proofErr w:type="spellEnd"/>
      <w:r w:rsidR="0073666E" w:rsidRPr="0073666E">
        <w:rPr>
          <w:lang w:val="de-CH"/>
        </w:rPr>
        <w:t xml:space="preserve"> de </w:t>
      </w:r>
      <w:proofErr w:type="spellStart"/>
      <w:r w:rsidR="0073666E" w:rsidRPr="0073666E">
        <w:rPr>
          <w:lang w:val="de-CH"/>
        </w:rPr>
        <w:t>prénom</w:t>
      </w:r>
      <w:proofErr w:type="spellEnd"/>
      <w:r w:rsidR="0073666E" w:rsidRPr="0073666E">
        <w:rPr>
          <w:lang w:val="de-CH"/>
        </w:rPr>
        <w:t xml:space="preserve"> des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transgenres</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intersexuées</w:t>
      </w:r>
      <w:proofErr w:type="spellEnd"/>
      <w:r w:rsidR="0073666E" w:rsidRPr="0073666E">
        <w:rPr>
          <w:lang w:val="de-CH"/>
        </w:rPr>
        <w:t xml:space="preserve">, en </w:t>
      </w:r>
      <w:proofErr w:type="spellStart"/>
      <w:r w:rsidR="0073666E" w:rsidRPr="0073666E">
        <w:rPr>
          <w:lang w:val="de-CH"/>
        </w:rPr>
        <w:t>remplaçant</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procédures</w:t>
      </w:r>
      <w:proofErr w:type="spellEnd"/>
      <w:r w:rsidR="0073666E" w:rsidRPr="0073666E">
        <w:rPr>
          <w:lang w:val="de-CH"/>
        </w:rPr>
        <w:t xml:space="preserve"> </w:t>
      </w:r>
      <w:proofErr w:type="spellStart"/>
      <w:r w:rsidR="0073666E" w:rsidRPr="0073666E">
        <w:rPr>
          <w:lang w:val="de-CH"/>
        </w:rPr>
        <w:t>actuelles</w:t>
      </w:r>
      <w:proofErr w:type="spellEnd"/>
      <w:r w:rsidR="0073666E" w:rsidRPr="0073666E">
        <w:rPr>
          <w:lang w:val="de-CH"/>
        </w:rPr>
        <w:t xml:space="preserve"> par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déclaration</w:t>
      </w:r>
      <w:proofErr w:type="spellEnd"/>
      <w:r w:rsidR="0073666E" w:rsidRPr="0073666E">
        <w:rPr>
          <w:lang w:val="de-CH"/>
        </w:rPr>
        <w:t xml:space="preserve"> </w:t>
      </w:r>
      <w:proofErr w:type="spellStart"/>
      <w:r w:rsidR="0073666E" w:rsidRPr="0073666E">
        <w:rPr>
          <w:lang w:val="de-CH"/>
        </w:rPr>
        <w:t>faite</w:t>
      </w:r>
      <w:proofErr w:type="spellEnd"/>
      <w:r w:rsidR="0073666E" w:rsidRPr="0073666E">
        <w:rPr>
          <w:lang w:val="de-CH"/>
        </w:rPr>
        <w:t xml:space="preserve"> </w:t>
      </w:r>
      <w:proofErr w:type="spellStart"/>
      <w:r w:rsidR="0073666E" w:rsidRPr="0073666E">
        <w:rPr>
          <w:lang w:val="de-CH"/>
        </w:rPr>
        <w:t>devant</w:t>
      </w:r>
      <w:proofErr w:type="spellEnd"/>
      <w:r w:rsidR="0073666E" w:rsidRPr="0073666E">
        <w:rPr>
          <w:lang w:val="de-CH"/>
        </w:rPr>
        <w:t xml:space="preserve"> </w:t>
      </w:r>
      <w:proofErr w:type="spellStart"/>
      <w:r w:rsidR="0073666E" w:rsidRPr="0073666E">
        <w:rPr>
          <w:lang w:val="de-CH"/>
        </w:rPr>
        <w:t>l</w:t>
      </w:r>
      <w:r w:rsidR="00A27519">
        <w:rPr>
          <w:lang w:val="de-CH"/>
        </w:rPr>
        <w:t>’</w:t>
      </w:r>
      <w:r w:rsidR="0073666E" w:rsidRPr="0073666E">
        <w:rPr>
          <w:lang w:val="de-CH"/>
        </w:rPr>
        <w:t>officier</w:t>
      </w:r>
      <w:proofErr w:type="spellEnd"/>
      <w:r w:rsidR="0073666E" w:rsidRPr="0073666E">
        <w:rPr>
          <w:lang w:val="de-CH"/>
        </w:rPr>
        <w:t xml:space="preserve"> </w:t>
      </w:r>
      <w:proofErr w:type="spellStart"/>
      <w:r w:rsidR="0073666E" w:rsidRPr="0073666E">
        <w:rPr>
          <w:lang w:val="de-CH"/>
        </w:rPr>
        <w:t>d’état</w:t>
      </w:r>
      <w:proofErr w:type="spellEnd"/>
      <w:r w:rsidR="0073666E" w:rsidRPr="0073666E">
        <w:rPr>
          <w:lang w:val="de-CH"/>
        </w:rPr>
        <w:t xml:space="preserve"> </w:t>
      </w:r>
      <w:proofErr w:type="spellStart"/>
      <w:r w:rsidR="0073666E" w:rsidRPr="0073666E">
        <w:rPr>
          <w:lang w:val="de-CH"/>
        </w:rPr>
        <w:t>civil</w:t>
      </w:r>
      <w:proofErr w:type="spellEnd"/>
      <w:r w:rsidR="0073666E" w:rsidRPr="0073666E">
        <w:rPr>
          <w:lang w:val="de-CH"/>
        </w:rPr>
        <w:t xml:space="preserve">, </w:t>
      </w:r>
      <w:proofErr w:type="spellStart"/>
      <w:r w:rsidR="0073666E" w:rsidRPr="0073666E">
        <w:rPr>
          <w:lang w:val="de-CH"/>
        </w:rPr>
        <w:t>sans</w:t>
      </w:r>
      <w:proofErr w:type="spellEnd"/>
      <w:r w:rsidR="0073666E" w:rsidRPr="0073666E">
        <w:rPr>
          <w:lang w:val="de-CH"/>
        </w:rPr>
        <w:t xml:space="preserve"> </w:t>
      </w:r>
      <w:proofErr w:type="spellStart"/>
      <w:r w:rsidR="0073666E" w:rsidRPr="0073666E">
        <w:rPr>
          <w:lang w:val="de-CH"/>
        </w:rPr>
        <w:t>intervention</w:t>
      </w:r>
      <w:proofErr w:type="spellEnd"/>
      <w:r w:rsidR="0073666E" w:rsidRPr="0073666E">
        <w:rPr>
          <w:lang w:val="de-CH"/>
        </w:rPr>
        <w:t xml:space="preserve"> </w:t>
      </w:r>
      <w:proofErr w:type="spellStart"/>
      <w:r w:rsidR="0073666E" w:rsidRPr="0073666E">
        <w:rPr>
          <w:lang w:val="de-CH"/>
        </w:rPr>
        <w:t>médicale</w:t>
      </w:r>
      <w:proofErr w:type="spellEnd"/>
      <w:r w:rsidR="0073666E" w:rsidRPr="0073666E">
        <w:rPr>
          <w:lang w:val="de-CH"/>
        </w:rPr>
        <w:t xml:space="preserve"> </w:t>
      </w:r>
      <w:proofErr w:type="spellStart"/>
      <w:r w:rsidR="0073666E" w:rsidRPr="0073666E">
        <w:rPr>
          <w:lang w:val="de-CH"/>
        </w:rPr>
        <w:t>ou</w:t>
      </w:r>
      <w:proofErr w:type="spellEnd"/>
      <w:r w:rsidR="0073666E" w:rsidRPr="0073666E">
        <w:rPr>
          <w:lang w:val="de-CH"/>
        </w:rPr>
        <w:t xml:space="preserve"> </w:t>
      </w:r>
      <w:proofErr w:type="spellStart"/>
      <w:r w:rsidR="0073666E" w:rsidRPr="0073666E">
        <w:rPr>
          <w:lang w:val="de-CH"/>
        </w:rPr>
        <w:t>autre</w:t>
      </w:r>
      <w:proofErr w:type="spellEnd"/>
      <w:r w:rsidR="0073666E" w:rsidRPr="0073666E">
        <w:rPr>
          <w:lang w:val="de-CH"/>
        </w:rPr>
        <w:t xml:space="preserve"> </w:t>
      </w:r>
      <w:proofErr w:type="spellStart"/>
      <w:r w:rsidR="0073666E" w:rsidRPr="0073666E">
        <w:rPr>
          <w:lang w:val="de-CH"/>
        </w:rPr>
        <w:t>condition</w:t>
      </w:r>
      <w:proofErr w:type="spellEnd"/>
      <w:r w:rsidR="0073666E" w:rsidRPr="0073666E">
        <w:rPr>
          <w:lang w:val="de-CH"/>
        </w:rPr>
        <w:t xml:space="preserve"> </w:t>
      </w:r>
      <w:proofErr w:type="spellStart"/>
      <w:r w:rsidR="0073666E" w:rsidRPr="0073666E">
        <w:rPr>
          <w:lang w:val="de-CH"/>
        </w:rPr>
        <w:t>préalable</w:t>
      </w:r>
      <w:proofErr w:type="spellEnd"/>
      <w:r w:rsidR="0073666E" w:rsidRPr="0073666E">
        <w:rPr>
          <w:lang w:val="de-CH"/>
        </w:rPr>
        <w:t xml:space="preserve">. La </w:t>
      </w:r>
      <w:proofErr w:type="spellStart"/>
      <w:r w:rsidR="0073666E" w:rsidRPr="0073666E">
        <w:rPr>
          <w:lang w:val="de-CH"/>
        </w:rPr>
        <w:t>procédure</w:t>
      </w:r>
      <w:proofErr w:type="spellEnd"/>
      <w:r w:rsidR="0073666E" w:rsidRPr="0073666E">
        <w:rPr>
          <w:lang w:val="de-CH"/>
        </w:rPr>
        <w:t xml:space="preserve"> de </w:t>
      </w:r>
      <w:proofErr w:type="spellStart"/>
      <w:r w:rsidR="0073666E" w:rsidRPr="0073666E">
        <w:rPr>
          <w:lang w:val="de-CH"/>
        </w:rPr>
        <w:t>consultation</w:t>
      </w:r>
      <w:proofErr w:type="spellEnd"/>
      <w:r w:rsidR="0073666E" w:rsidRPr="0073666E">
        <w:rPr>
          <w:lang w:val="de-CH"/>
        </w:rPr>
        <w:t xml:space="preserve"> </w:t>
      </w:r>
      <w:proofErr w:type="spellStart"/>
      <w:r w:rsidR="0073666E" w:rsidRPr="0073666E">
        <w:rPr>
          <w:lang w:val="de-CH"/>
        </w:rPr>
        <w:t>s’est</w:t>
      </w:r>
      <w:proofErr w:type="spellEnd"/>
      <w:r w:rsidR="0073666E" w:rsidRPr="0073666E">
        <w:rPr>
          <w:lang w:val="de-CH"/>
        </w:rPr>
        <w:t xml:space="preserve"> </w:t>
      </w:r>
      <w:proofErr w:type="spellStart"/>
      <w:r w:rsidR="0073666E" w:rsidRPr="0073666E">
        <w:rPr>
          <w:lang w:val="de-CH"/>
        </w:rPr>
        <w:t>terminée</w:t>
      </w:r>
      <w:proofErr w:type="spellEnd"/>
      <w:r w:rsidR="0073666E" w:rsidRPr="0073666E">
        <w:rPr>
          <w:lang w:val="de-CH"/>
        </w:rPr>
        <w:t xml:space="preserve"> le 30 </w:t>
      </w:r>
      <w:proofErr w:type="spellStart"/>
      <w:r w:rsidR="0073666E" w:rsidRPr="0073666E">
        <w:rPr>
          <w:lang w:val="de-CH"/>
        </w:rPr>
        <w:t>septembre</w:t>
      </w:r>
      <w:proofErr w:type="spellEnd"/>
      <w:r w:rsidR="0073666E" w:rsidRPr="0073666E">
        <w:rPr>
          <w:lang w:val="de-CH"/>
        </w:rPr>
        <w:t xml:space="preserve"> 2018. </w:t>
      </w:r>
      <w:proofErr w:type="spellStart"/>
      <w:r w:rsidR="0073666E" w:rsidRPr="0073666E">
        <w:rPr>
          <w:lang w:val="de-CH"/>
        </w:rPr>
        <w:t>L’évaluation</w:t>
      </w:r>
      <w:proofErr w:type="spellEnd"/>
      <w:r w:rsidR="0073666E" w:rsidRPr="0073666E">
        <w:rPr>
          <w:lang w:val="de-CH"/>
        </w:rPr>
        <w:t xml:space="preserve"> des </w:t>
      </w:r>
      <w:proofErr w:type="spellStart"/>
      <w:r w:rsidR="0073666E" w:rsidRPr="0073666E">
        <w:rPr>
          <w:lang w:val="de-CH"/>
        </w:rPr>
        <w:t>prises</w:t>
      </w:r>
      <w:proofErr w:type="spellEnd"/>
      <w:r w:rsidR="0073666E" w:rsidRPr="0073666E">
        <w:rPr>
          <w:lang w:val="de-CH"/>
        </w:rPr>
        <w:t xml:space="preserve"> de </w:t>
      </w:r>
      <w:proofErr w:type="spellStart"/>
      <w:r w:rsidR="0073666E" w:rsidRPr="0073666E">
        <w:rPr>
          <w:lang w:val="de-CH"/>
        </w:rPr>
        <w:t>position</w:t>
      </w:r>
      <w:proofErr w:type="spellEnd"/>
      <w:r w:rsidR="0073666E" w:rsidRPr="0073666E">
        <w:rPr>
          <w:lang w:val="de-CH"/>
        </w:rPr>
        <w:t xml:space="preserve"> </w:t>
      </w:r>
      <w:proofErr w:type="spellStart"/>
      <w:r w:rsidR="0073666E" w:rsidRPr="0073666E">
        <w:rPr>
          <w:lang w:val="de-CH"/>
        </w:rPr>
        <w:t>est</w:t>
      </w:r>
      <w:proofErr w:type="spellEnd"/>
      <w:r w:rsidR="0073666E" w:rsidRPr="0073666E">
        <w:rPr>
          <w:lang w:val="de-CH"/>
        </w:rPr>
        <w:t xml:space="preserve"> en </w:t>
      </w:r>
      <w:proofErr w:type="spellStart"/>
      <w:r w:rsidR="0073666E" w:rsidRPr="0073666E">
        <w:rPr>
          <w:lang w:val="de-CH"/>
        </w:rPr>
        <w:t>cours</w:t>
      </w:r>
      <w:proofErr w:type="spellEnd"/>
      <w:r w:rsidR="0073666E" w:rsidRPr="0073666E">
        <w:rPr>
          <w:lang w:val="de-CH"/>
        </w:rPr>
        <w:t xml:space="preserve">. </w:t>
      </w:r>
    </w:p>
    <w:p w14:paraId="68FF81F0" w14:textId="77777777" w:rsidR="0073666E" w:rsidRPr="0073666E" w:rsidRDefault="0064634C" w:rsidP="0064634C">
      <w:pPr>
        <w:pStyle w:val="H23G"/>
        <w:rPr>
          <w:bCs/>
          <w:lang w:val="de-CH"/>
        </w:rPr>
      </w:pPr>
      <w:r>
        <w:rPr>
          <w:lang w:val="de-CH"/>
        </w:rPr>
        <w:tab/>
      </w:r>
      <w:r>
        <w:rPr>
          <w:lang w:val="de-CH"/>
        </w:rPr>
        <w:tab/>
      </w:r>
      <w:proofErr w:type="spellStart"/>
      <w:r w:rsidR="00CB6ECE">
        <w:rPr>
          <w:lang w:val="de-CH"/>
        </w:rPr>
        <w:t>Réponse</w:t>
      </w:r>
      <w:proofErr w:type="spellEnd"/>
      <w:r w:rsidR="00CB6ECE">
        <w:rPr>
          <w:lang w:val="de-CH"/>
        </w:rPr>
        <w:t xml:space="preserve"> </w:t>
      </w:r>
      <w:r w:rsidR="00D641C5">
        <w:rPr>
          <w:lang w:val="fr-FR"/>
        </w:rPr>
        <w:t>à la question posée</w:t>
      </w:r>
      <w:r w:rsidR="00D641C5">
        <w:rPr>
          <w:lang w:val="de-CH"/>
        </w:rPr>
        <w:t xml:space="preserve"> </w:t>
      </w:r>
      <w:r w:rsidR="007A7C73">
        <w:rPr>
          <w:lang w:val="de-CH"/>
        </w:rPr>
        <w:t xml:space="preserve">au </w:t>
      </w:r>
      <w:proofErr w:type="spellStart"/>
      <w:r w:rsidR="007A7C73">
        <w:rPr>
          <w:lang w:val="de-CH"/>
        </w:rPr>
        <w:t>paragraphe</w:t>
      </w:r>
      <w:proofErr w:type="spellEnd"/>
      <w:r w:rsidR="007A7C73">
        <w:rPr>
          <w:lang w:val="de-CH"/>
        </w:rPr>
        <w:t xml:space="preserve"> 28</w:t>
      </w:r>
    </w:p>
    <w:p w14:paraId="2D28C48B" w14:textId="77777777" w:rsidR="0073666E" w:rsidRPr="0064634C" w:rsidRDefault="00BB55E3" w:rsidP="0064634C">
      <w:pPr>
        <w:pStyle w:val="SingleTxtG"/>
      </w:pPr>
      <w:r>
        <w:rPr>
          <w:lang w:val="de-CH"/>
        </w:rPr>
        <w:t>170</w:t>
      </w:r>
      <w:r w:rsidR="0064634C">
        <w:rPr>
          <w:lang w:val="de-CH"/>
        </w:rPr>
        <w:t>.</w:t>
      </w:r>
      <w:r w:rsidR="0064634C">
        <w:rPr>
          <w:lang w:val="de-CH"/>
        </w:rPr>
        <w:tab/>
      </w:r>
      <w:r w:rsidR="0073666E" w:rsidRPr="0073666E">
        <w:rPr>
          <w:lang w:val="de-CH"/>
        </w:rPr>
        <w:t xml:space="preserve">La </w:t>
      </w:r>
      <w:proofErr w:type="spellStart"/>
      <w:r w:rsidR="0073666E" w:rsidRPr="0073666E">
        <w:rPr>
          <w:lang w:val="de-CH"/>
        </w:rPr>
        <w:t>plupart</w:t>
      </w:r>
      <w:proofErr w:type="spellEnd"/>
      <w:r w:rsidR="0073666E" w:rsidRPr="0073666E">
        <w:rPr>
          <w:lang w:val="de-CH"/>
        </w:rPr>
        <w:t xml:space="preserve"> des </w:t>
      </w:r>
      <w:proofErr w:type="spellStart"/>
      <w:r w:rsidR="0073666E" w:rsidRPr="0073666E">
        <w:rPr>
          <w:lang w:val="de-CH"/>
        </w:rPr>
        <w:t>cantons</w:t>
      </w:r>
      <w:proofErr w:type="spellEnd"/>
      <w:r w:rsidR="0073666E" w:rsidRPr="0073666E">
        <w:rPr>
          <w:lang w:val="de-CH"/>
        </w:rPr>
        <w:t xml:space="preserve"> </w:t>
      </w:r>
      <w:proofErr w:type="spellStart"/>
      <w:r w:rsidR="0073666E" w:rsidRPr="0073666E">
        <w:rPr>
          <w:lang w:val="de-CH"/>
        </w:rPr>
        <w:t>ont</w:t>
      </w:r>
      <w:proofErr w:type="spellEnd"/>
      <w:r w:rsidR="0073666E" w:rsidRPr="0073666E">
        <w:rPr>
          <w:lang w:val="de-CH"/>
        </w:rPr>
        <w:t xml:space="preserve"> </w:t>
      </w:r>
      <w:proofErr w:type="spellStart"/>
      <w:r w:rsidR="0073666E" w:rsidRPr="0073666E">
        <w:rPr>
          <w:lang w:val="de-CH"/>
        </w:rPr>
        <w:t>pris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mesures</w:t>
      </w:r>
      <w:proofErr w:type="spellEnd"/>
      <w:r w:rsidR="0073666E" w:rsidRPr="0073666E">
        <w:rPr>
          <w:lang w:val="de-CH"/>
        </w:rPr>
        <w:t xml:space="preserve"> </w:t>
      </w:r>
      <w:proofErr w:type="spellStart"/>
      <w:r w:rsidR="0073666E" w:rsidRPr="0073666E">
        <w:rPr>
          <w:lang w:val="de-CH"/>
        </w:rPr>
        <w:t>nécessaires</w:t>
      </w:r>
      <w:proofErr w:type="spellEnd"/>
      <w:r w:rsidR="0073666E" w:rsidRPr="0073666E">
        <w:rPr>
          <w:lang w:val="de-CH"/>
        </w:rPr>
        <w:t xml:space="preserve"> </w:t>
      </w:r>
      <w:proofErr w:type="spellStart"/>
      <w:r w:rsidR="0073666E" w:rsidRPr="0073666E">
        <w:rPr>
          <w:lang w:val="de-CH"/>
        </w:rPr>
        <w:t>afin</w:t>
      </w:r>
      <w:proofErr w:type="spellEnd"/>
      <w:r w:rsidR="0073666E" w:rsidRPr="0073666E">
        <w:rPr>
          <w:lang w:val="de-CH"/>
        </w:rPr>
        <w:t xml:space="preserve"> de </w:t>
      </w:r>
      <w:proofErr w:type="spellStart"/>
      <w:r w:rsidR="0073666E" w:rsidRPr="0073666E">
        <w:rPr>
          <w:lang w:val="de-CH"/>
        </w:rPr>
        <w:t>mettre</w:t>
      </w:r>
      <w:proofErr w:type="spellEnd"/>
      <w:r w:rsidR="0073666E" w:rsidRPr="0073666E">
        <w:rPr>
          <w:lang w:val="de-CH"/>
        </w:rPr>
        <w:t xml:space="preserve"> en </w:t>
      </w:r>
      <w:proofErr w:type="spellStart"/>
      <w:r w:rsidR="0073666E" w:rsidRPr="0073666E">
        <w:rPr>
          <w:lang w:val="de-CH"/>
        </w:rPr>
        <w:t>œuvre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dispositions</w:t>
      </w:r>
      <w:proofErr w:type="spellEnd"/>
      <w:r w:rsidR="0073666E" w:rsidRPr="0073666E">
        <w:rPr>
          <w:lang w:val="de-CH"/>
        </w:rPr>
        <w:t xml:space="preserve"> de la Convention et </w:t>
      </w:r>
      <w:proofErr w:type="spellStart"/>
      <w:r w:rsidR="0073666E" w:rsidRPr="0073666E">
        <w:rPr>
          <w:lang w:val="de-CH"/>
        </w:rPr>
        <w:t>donner</w:t>
      </w:r>
      <w:proofErr w:type="spellEnd"/>
      <w:r w:rsidR="0073666E" w:rsidRPr="0073666E">
        <w:rPr>
          <w:lang w:val="de-CH"/>
        </w:rPr>
        <w:t xml:space="preserve"> </w:t>
      </w:r>
      <w:proofErr w:type="spellStart"/>
      <w:r w:rsidR="0073666E" w:rsidRPr="0073666E">
        <w:rPr>
          <w:lang w:val="de-CH"/>
        </w:rPr>
        <w:t>suite</w:t>
      </w:r>
      <w:proofErr w:type="spellEnd"/>
      <w:r w:rsidR="0073666E" w:rsidRPr="0073666E">
        <w:rPr>
          <w:lang w:val="de-CH"/>
        </w:rPr>
        <w:t xml:space="preserve"> </w:t>
      </w:r>
      <w:proofErr w:type="spellStart"/>
      <w:r w:rsidR="0073666E" w:rsidRPr="0073666E">
        <w:rPr>
          <w:lang w:val="de-CH"/>
        </w:rPr>
        <w:t>aux</w:t>
      </w:r>
      <w:proofErr w:type="spellEnd"/>
      <w:r w:rsidR="0073666E" w:rsidRPr="0073666E">
        <w:rPr>
          <w:lang w:val="de-CH"/>
        </w:rPr>
        <w:t xml:space="preserve"> </w:t>
      </w:r>
      <w:proofErr w:type="spellStart"/>
      <w:r w:rsidR="0073666E" w:rsidRPr="0073666E">
        <w:rPr>
          <w:lang w:val="de-CH"/>
        </w:rPr>
        <w:t>recommandations</w:t>
      </w:r>
      <w:proofErr w:type="spellEnd"/>
      <w:r w:rsidR="0073666E" w:rsidRPr="0073666E">
        <w:rPr>
          <w:lang w:val="de-CH"/>
        </w:rPr>
        <w:t xml:space="preserve"> du CAT. </w:t>
      </w:r>
      <w:proofErr w:type="spellStart"/>
      <w:r w:rsidR="0073666E" w:rsidRPr="0073666E">
        <w:rPr>
          <w:lang w:val="de-CH"/>
        </w:rPr>
        <w:t>L’accent</w:t>
      </w:r>
      <w:proofErr w:type="spellEnd"/>
      <w:r w:rsidR="0073666E" w:rsidRPr="0073666E">
        <w:rPr>
          <w:lang w:val="de-CH"/>
        </w:rPr>
        <w:t xml:space="preserve"> a en </w:t>
      </w:r>
      <w:proofErr w:type="spellStart"/>
      <w:r w:rsidR="0073666E" w:rsidRPr="0073666E">
        <w:rPr>
          <w:lang w:val="de-CH"/>
        </w:rPr>
        <w:t>particulier</w:t>
      </w:r>
      <w:proofErr w:type="spellEnd"/>
      <w:r w:rsidR="0073666E" w:rsidRPr="0073666E">
        <w:rPr>
          <w:lang w:val="de-CH"/>
        </w:rPr>
        <w:t xml:space="preserve">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mis</w:t>
      </w:r>
      <w:proofErr w:type="spellEnd"/>
      <w:r w:rsidR="0073666E" w:rsidRPr="0073666E">
        <w:rPr>
          <w:lang w:val="de-CH"/>
        </w:rPr>
        <w:t xml:space="preserve"> </w:t>
      </w:r>
      <w:r w:rsidR="0073666E" w:rsidRPr="0064634C">
        <w:t xml:space="preserve">sur l’élaboration de bases légales et le développement de projets de construction. On peut en particulier mentionner les projets suivants. </w:t>
      </w:r>
    </w:p>
    <w:p w14:paraId="1008DD51" w14:textId="77777777" w:rsidR="0073666E" w:rsidRPr="0064634C" w:rsidRDefault="0064634C" w:rsidP="0064634C">
      <w:pPr>
        <w:pStyle w:val="SingleTxtG"/>
      </w:pPr>
      <w:r>
        <w:t>1</w:t>
      </w:r>
      <w:r w:rsidR="00BB55E3">
        <w:t>71</w:t>
      </w:r>
      <w:r>
        <w:t>.</w:t>
      </w:r>
      <w:r>
        <w:tab/>
      </w:r>
      <w:r w:rsidR="0073666E" w:rsidRPr="0064634C">
        <w:t>La subdivision des prisons du canton de ZH en établissements de détention avant jugement et établissements d’exécution, intervenue en 2014, a permis de mettre en œuvre de manière conséquente l’obligation de réserver les premiers à cet usage voulue par l’art. 234, al. 1, CPP. La sécurité et la prise en charge ont été améliorées dans toutes les prisons grâce à des augmentations de personnel (double service de nuit, extension des services sociaux et médicaux de toutes les prisons).</w:t>
      </w:r>
    </w:p>
    <w:p w14:paraId="3F1F3794" w14:textId="77777777" w:rsidR="0073666E" w:rsidRPr="0073666E" w:rsidRDefault="0064634C" w:rsidP="0064634C">
      <w:pPr>
        <w:pStyle w:val="SingleTxtG"/>
      </w:pPr>
      <w:r>
        <w:t>1</w:t>
      </w:r>
      <w:r w:rsidR="00BB55E3">
        <w:t>72</w:t>
      </w:r>
      <w:r>
        <w:t>.</w:t>
      </w:r>
      <w:r>
        <w:tab/>
      </w:r>
      <w:r w:rsidR="0073666E" w:rsidRPr="0064634C">
        <w:t>Dans les établissements de détention avant jugement de ZH, des efforts sont en cours pour améliorer les conditions de détention par davantage de contacts sociaux à l’intérieur des prisons et avec l’extérieur</w:t>
      </w:r>
      <w:r w:rsidR="0073666E" w:rsidRPr="0073666E">
        <w:t xml:space="preserve"> (modèle en 2 phases). </w:t>
      </w:r>
      <w:r w:rsidR="0073666E" w:rsidRPr="0073666E">
        <w:rPr>
          <w:lang w:val="de-CH"/>
        </w:rPr>
        <w:t xml:space="preserve">Il </w:t>
      </w:r>
      <w:proofErr w:type="spellStart"/>
      <w:r w:rsidR="0073666E" w:rsidRPr="0073666E">
        <w:rPr>
          <w:lang w:val="de-CH"/>
        </w:rPr>
        <w:t>est</w:t>
      </w:r>
      <w:proofErr w:type="spellEnd"/>
      <w:r w:rsidR="0073666E" w:rsidRPr="0073666E">
        <w:rPr>
          <w:lang w:val="de-CH"/>
        </w:rPr>
        <w:t xml:space="preserve"> </w:t>
      </w:r>
      <w:proofErr w:type="spellStart"/>
      <w:r w:rsidR="0073666E" w:rsidRPr="0073666E">
        <w:rPr>
          <w:lang w:val="de-CH"/>
        </w:rPr>
        <w:t>également</w:t>
      </w:r>
      <w:proofErr w:type="spellEnd"/>
      <w:r w:rsidR="0073666E" w:rsidRPr="0073666E">
        <w:rPr>
          <w:lang w:val="de-CH"/>
        </w:rPr>
        <w:t xml:space="preserve"> </w:t>
      </w:r>
      <w:proofErr w:type="spellStart"/>
      <w:r w:rsidR="0073666E" w:rsidRPr="0073666E">
        <w:rPr>
          <w:lang w:val="de-CH"/>
        </w:rPr>
        <w:t>prévu</w:t>
      </w:r>
      <w:proofErr w:type="spellEnd"/>
      <w:r w:rsidR="0073666E" w:rsidRPr="0073666E">
        <w:rPr>
          <w:lang w:val="de-CH"/>
        </w:rPr>
        <w:t xml:space="preserve"> </w:t>
      </w:r>
      <w:proofErr w:type="spellStart"/>
      <w:r w:rsidR="0073666E" w:rsidRPr="0073666E">
        <w:rPr>
          <w:lang w:val="de-CH"/>
        </w:rPr>
        <w:t>d’ouvrir</w:t>
      </w:r>
      <w:proofErr w:type="spellEnd"/>
      <w:r w:rsidR="0073666E" w:rsidRPr="0073666E">
        <w:rPr>
          <w:lang w:val="de-CH"/>
        </w:rPr>
        <w:t xml:space="preserve"> en 2019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section</w:t>
      </w:r>
      <w:proofErr w:type="spellEnd"/>
      <w:r w:rsidR="0073666E" w:rsidRPr="0073666E">
        <w:rPr>
          <w:lang w:val="de-CH"/>
        </w:rPr>
        <w:t xml:space="preserve"> </w:t>
      </w:r>
      <w:proofErr w:type="spellStart"/>
      <w:r w:rsidR="0073666E" w:rsidRPr="0073666E">
        <w:rPr>
          <w:lang w:val="de-CH"/>
        </w:rPr>
        <w:t>d’intervention</w:t>
      </w:r>
      <w:proofErr w:type="spellEnd"/>
      <w:r w:rsidR="0073666E" w:rsidRPr="0073666E">
        <w:rPr>
          <w:lang w:val="de-CH"/>
        </w:rPr>
        <w:t xml:space="preserve"> de </w:t>
      </w:r>
      <w:proofErr w:type="spellStart"/>
      <w:r w:rsidR="0073666E" w:rsidRPr="0073666E">
        <w:rPr>
          <w:lang w:val="de-CH"/>
        </w:rPr>
        <w:t>crise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des </w:t>
      </w:r>
      <w:proofErr w:type="spellStart"/>
      <w:r w:rsidR="0073666E" w:rsidRPr="0073666E">
        <w:rPr>
          <w:lang w:val="de-CH"/>
        </w:rPr>
        <w:t>prisons</w:t>
      </w:r>
      <w:proofErr w:type="spellEnd"/>
      <w:r w:rsidR="0073666E" w:rsidRPr="0073666E">
        <w:rPr>
          <w:lang w:val="de-CH"/>
        </w:rPr>
        <w:t xml:space="preserve"> </w:t>
      </w:r>
      <w:proofErr w:type="spellStart"/>
      <w:r w:rsidR="0073666E" w:rsidRPr="0073666E">
        <w:rPr>
          <w:lang w:val="de-CH"/>
        </w:rPr>
        <w:t>pour</w:t>
      </w:r>
      <w:proofErr w:type="spellEnd"/>
      <w:r w:rsidR="0073666E" w:rsidRPr="0073666E">
        <w:rPr>
          <w:lang w:val="de-CH"/>
        </w:rPr>
        <w:t xml:space="preserve"> </w:t>
      </w:r>
      <w:proofErr w:type="spellStart"/>
      <w:r w:rsidR="0073666E" w:rsidRPr="0073666E">
        <w:rPr>
          <w:lang w:val="de-CH"/>
        </w:rPr>
        <w:t>améliorer</w:t>
      </w:r>
      <w:proofErr w:type="spellEnd"/>
      <w:r w:rsidR="0073666E" w:rsidRPr="0073666E">
        <w:rPr>
          <w:lang w:val="de-CH"/>
        </w:rPr>
        <w:t xml:space="preserve"> la </w:t>
      </w:r>
      <w:proofErr w:type="spellStart"/>
      <w:r w:rsidR="0073666E" w:rsidRPr="0073666E">
        <w:rPr>
          <w:lang w:val="de-CH"/>
        </w:rPr>
        <w:t>prévention</w:t>
      </w:r>
      <w:proofErr w:type="spellEnd"/>
      <w:r w:rsidR="0073666E" w:rsidRPr="0073666E">
        <w:rPr>
          <w:lang w:val="de-CH"/>
        </w:rPr>
        <w:t xml:space="preserve"> du </w:t>
      </w:r>
      <w:proofErr w:type="spellStart"/>
      <w:r w:rsidR="0073666E" w:rsidRPr="0073666E">
        <w:rPr>
          <w:lang w:val="de-CH"/>
        </w:rPr>
        <w:t>suicide</w:t>
      </w:r>
      <w:proofErr w:type="spellEnd"/>
      <w:r w:rsidR="0073666E" w:rsidRPr="0073666E">
        <w:rPr>
          <w:lang w:val="de-CH"/>
        </w:rPr>
        <w:t xml:space="preserve">. </w:t>
      </w:r>
      <w:r w:rsidR="0073666E" w:rsidRPr="0073666E">
        <w:t xml:space="preserve">Une section spéciale réservée exclusivement aux femmes a été aménagée dans la prison de </w:t>
      </w:r>
      <w:proofErr w:type="spellStart"/>
      <w:r w:rsidR="0073666E" w:rsidRPr="0073666E">
        <w:t>Dielsdorf</w:t>
      </w:r>
      <w:proofErr w:type="spellEnd"/>
      <w:r w:rsidR="0073666E" w:rsidRPr="0073666E">
        <w:t xml:space="preserve"> (ZH) pour l’exécution des courtes peines. Dans les établissements d’exécution de ZH, réservés maintenant à la seule exécution des peines, des normes ont été définies pour l’exécution des courtes peines privatives de liberté et l’offre de formation a été développée.</w:t>
      </w:r>
    </w:p>
    <w:p w14:paraId="2BA409B9" w14:textId="77777777" w:rsidR="0073666E" w:rsidRPr="007A7C73" w:rsidRDefault="0064634C" w:rsidP="007A7C73">
      <w:pPr>
        <w:pStyle w:val="SingleTxtG"/>
      </w:pPr>
      <w:r>
        <w:t>17</w:t>
      </w:r>
      <w:r w:rsidR="00BB55E3">
        <w:t>3</w:t>
      </w:r>
      <w:r>
        <w:t>.</w:t>
      </w:r>
      <w:r>
        <w:tab/>
      </w:r>
      <w:r w:rsidR="0073666E" w:rsidRPr="0073666E">
        <w:t>L’Office de l’exécution judiciaire du canton de BE (OEJ) s’engage pour satisfaire aux attentes du CAT, du Comité européen pour la prévention de la torture (CPT) et de la CNPT</w:t>
      </w:r>
      <w:r w:rsidR="00222D58">
        <w:t> </w:t>
      </w:r>
      <w:r w:rsidR="0073666E" w:rsidRPr="0073666E">
        <w:t xml:space="preserve">: c’est notamment à la suite des recommandations du CPT que le canton a révisé </w:t>
      </w:r>
      <w:r w:rsidR="0073666E" w:rsidRPr="0073666E">
        <w:lastRenderedPageBreak/>
        <w:t xml:space="preserve">totalement sa loi sur l’exécution judiciaire (RSB 341.1) et son ordonnance sur l’exécution judiciaire (RSB 341.11). </w:t>
      </w:r>
      <w:r w:rsidR="0073666E" w:rsidRPr="0073666E">
        <w:rPr>
          <w:lang w:val="de-CH"/>
        </w:rPr>
        <w:t xml:space="preserve">La </w:t>
      </w:r>
      <w:proofErr w:type="spellStart"/>
      <w:r w:rsidR="0073666E" w:rsidRPr="0073666E">
        <w:rPr>
          <w:lang w:val="de-CH"/>
        </w:rPr>
        <w:t>révision</w:t>
      </w:r>
      <w:proofErr w:type="spellEnd"/>
      <w:r w:rsidR="0073666E" w:rsidRPr="0073666E">
        <w:rPr>
          <w:lang w:val="de-CH"/>
        </w:rPr>
        <w:t xml:space="preserve"> </w:t>
      </w:r>
      <w:proofErr w:type="spellStart"/>
      <w:r w:rsidR="0073666E" w:rsidRPr="0073666E">
        <w:rPr>
          <w:lang w:val="de-CH"/>
        </w:rPr>
        <w:t>met</w:t>
      </w:r>
      <w:proofErr w:type="spellEnd"/>
      <w:r w:rsidR="0073666E" w:rsidRPr="0073666E">
        <w:rPr>
          <w:lang w:val="de-CH"/>
        </w:rPr>
        <w:t xml:space="preserve"> en </w:t>
      </w:r>
      <w:proofErr w:type="spellStart"/>
      <w:r w:rsidR="0073666E" w:rsidRPr="0073666E">
        <w:rPr>
          <w:lang w:val="de-CH"/>
        </w:rPr>
        <w:t>œuvre</w:t>
      </w:r>
      <w:proofErr w:type="spellEnd"/>
      <w:r w:rsidR="0073666E" w:rsidRPr="0073666E">
        <w:rPr>
          <w:lang w:val="de-CH"/>
        </w:rPr>
        <w:t xml:space="preserve"> de </w:t>
      </w:r>
      <w:proofErr w:type="spellStart"/>
      <w:r w:rsidR="0073666E" w:rsidRPr="0073666E">
        <w:rPr>
          <w:lang w:val="de-CH"/>
        </w:rPr>
        <w:t>manière</w:t>
      </w:r>
      <w:proofErr w:type="spellEnd"/>
      <w:r w:rsidR="0073666E" w:rsidRPr="0073666E">
        <w:rPr>
          <w:lang w:val="de-CH"/>
        </w:rPr>
        <w:t xml:space="preserve"> </w:t>
      </w:r>
      <w:proofErr w:type="spellStart"/>
      <w:r w:rsidR="0073666E" w:rsidRPr="0073666E">
        <w:rPr>
          <w:lang w:val="de-CH"/>
        </w:rPr>
        <w:t>cohérente</w:t>
      </w:r>
      <w:proofErr w:type="spellEnd"/>
      <w:r w:rsidR="0073666E" w:rsidRPr="0073666E">
        <w:rPr>
          <w:lang w:val="de-CH"/>
        </w:rPr>
        <w:t xml:space="preserve"> </w:t>
      </w:r>
      <w:proofErr w:type="spellStart"/>
      <w:r w:rsidR="0073666E" w:rsidRPr="0073666E">
        <w:rPr>
          <w:lang w:val="de-CH"/>
        </w:rPr>
        <w:t>l’idée</w:t>
      </w:r>
      <w:proofErr w:type="spellEnd"/>
      <w:r w:rsidR="0073666E" w:rsidRPr="0073666E">
        <w:rPr>
          <w:lang w:val="de-CH"/>
        </w:rPr>
        <w:t xml:space="preserve"> </w:t>
      </w:r>
      <w:proofErr w:type="spellStart"/>
      <w:r w:rsidR="0073666E" w:rsidRPr="0073666E">
        <w:rPr>
          <w:lang w:val="de-CH"/>
        </w:rPr>
        <w:t>fondamentale</w:t>
      </w:r>
      <w:proofErr w:type="spellEnd"/>
      <w:r w:rsidR="0073666E" w:rsidRPr="0073666E">
        <w:rPr>
          <w:lang w:val="de-CH"/>
        </w:rPr>
        <w:t xml:space="preserve">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principes</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lourdes</w:t>
      </w:r>
      <w:proofErr w:type="spellEnd"/>
      <w:r w:rsidR="0073666E" w:rsidRPr="0073666E">
        <w:rPr>
          <w:lang w:val="de-CH"/>
        </w:rPr>
        <w:t xml:space="preserve"> </w:t>
      </w:r>
      <w:proofErr w:type="spellStart"/>
      <w:r w:rsidR="0073666E" w:rsidRPr="0073666E">
        <w:rPr>
          <w:lang w:val="de-CH"/>
        </w:rPr>
        <w:t>atteintes</w:t>
      </w:r>
      <w:proofErr w:type="spellEnd"/>
      <w:r w:rsidR="0073666E" w:rsidRPr="0073666E">
        <w:rPr>
          <w:lang w:val="de-CH"/>
        </w:rPr>
        <w:t xml:space="preserve"> </w:t>
      </w:r>
      <w:proofErr w:type="spellStart"/>
      <w:r w:rsidR="0073666E" w:rsidRPr="0073666E">
        <w:rPr>
          <w:lang w:val="de-CH"/>
        </w:rPr>
        <w:t>portées</w:t>
      </w:r>
      <w:proofErr w:type="spellEnd"/>
      <w:r w:rsidR="0073666E" w:rsidRPr="0073666E">
        <w:rPr>
          <w:lang w:val="de-CH"/>
        </w:rPr>
        <w:t xml:space="preserve"> au </w:t>
      </w:r>
      <w:proofErr w:type="spellStart"/>
      <w:r w:rsidR="0073666E" w:rsidRPr="0073666E">
        <w:rPr>
          <w:lang w:val="de-CH"/>
        </w:rPr>
        <w:t>statut</w:t>
      </w:r>
      <w:proofErr w:type="spellEnd"/>
      <w:r w:rsidR="0073666E" w:rsidRPr="0073666E">
        <w:rPr>
          <w:lang w:val="de-CH"/>
        </w:rPr>
        <w:t xml:space="preserve"> des </w:t>
      </w:r>
      <w:proofErr w:type="spellStart"/>
      <w:r w:rsidR="0073666E" w:rsidRPr="0073666E">
        <w:rPr>
          <w:lang w:val="de-CH"/>
        </w:rPr>
        <w:t>détenus</w:t>
      </w:r>
      <w:proofErr w:type="spellEnd"/>
      <w:r w:rsidR="0073666E" w:rsidRPr="0073666E">
        <w:rPr>
          <w:lang w:val="de-CH"/>
        </w:rPr>
        <w:t xml:space="preserve"> </w:t>
      </w:r>
      <w:proofErr w:type="spellStart"/>
      <w:r w:rsidR="0073666E" w:rsidRPr="0073666E">
        <w:rPr>
          <w:lang w:val="de-CH"/>
        </w:rPr>
        <w:t>doivent</w:t>
      </w:r>
      <w:proofErr w:type="spellEnd"/>
      <w:r w:rsidR="0073666E" w:rsidRPr="0073666E">
        <w:rPr>
          <w:lang w:val="de-CH"/>
        </w:rPr>
        <w:t xml:space="preserve"> </w:t>
      </w:r>
      <w:proofErr w:type="spellStart"/>
      <w:r w:rsidR="0073666E" w:rsidRPr="0073666E">
        <w:rPr>
          <w:lang w:val="de-CH"/>
        </w:rPr>
        <w:t>figurer</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la </w:t>
      </w:r>
      <w:proofErr w:type="spellStart"/>
      <w:r w:rsidR="0073666E" w:rsidRPr="0073666E">
        <w:rPr>
          <w:lang w:val="de-CH"/>
        </w:rPr>
        <w:t>loi</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dispositions</w:t>
      </w:r>
      <w:proofErr w:type="spellEnd"/>
      <w:r w:rsidR="0073666E" w:rsidRPr="0073666E">
        <w:rPr>
          <w:lang w:val="de-CH"/>
        </w:rPr>
        <w:t xml:space="preserve"> </w:t>
      </w:r>
      <w:proofErr w:type="spellStart"/>
      <w:r w:rsidR="0073666E" w:rsidRPr="0073666E">
        <w:rPr>
          <w:lang w:val="de-CH"/>
        </w:rPr>
        <w:t>d’exécution</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w:t>
      </w:r>
      <w:proofErr w:type="spellStart"/>
      <w:r w:rsidR="0073666E" w:rsidRPr="0073666E">
        <w:rPr>
          <w:lang w:val="de-CH"/>
        </w:rPr>
        <w:t>l’ordonnance</w:t>
      </w:r>
      <w:proofErr w:type="spellEnd"/>
      <w:r w:rsidR="0073666E" w:rsidRPr="0073666E">
        <w:rPr>
          <w:lang w:val="de-CH"/>
        </w:rPr>
        <w:t xml:space="preserve">. </w:t>
      </w:r>
      <w:proofErr w:type="spellStart"/>
      <w:r w:rsidR="0073666E" w:rsidRPr="0073666E">
        <w:rPr>
          <w:lang w:val="de-CH"/>
        </w:rPr>
        <w:t>Un</w:t>
      </w:r>
      <w:proofErr w:type="spellEnd"/>
      <w:r w:rsidR="0073666E" w:rsidRPr="0073666E">
        <w:rPr>
          <w:lang w:val="de-CH"/>
        </w:rPr>
        <w:t xml:space="preserve"> poste à 50</w:t>
      </w:r>
      <w:r w:rsidR="00BA6C56">
        <w:rPr>
          <w:lang w:val="de-CH"/>
        </w:rPr>
        <w:t> </w:t>
      </w:r>
      <w:r w:rsidR="0073666E" w:rsidRPr="0073666E">
        <w:rPr>
          <w:lang w:val="de-CH"/>
        </w:rPr>
        <w:t xml:space="preserve">% </w:t>
      </w:r>
      <w:proofErr w:type="spellStart"/>
      <w:r w:rsidR="0073666E" w:rsidRPr="0073666E">
        <w:rPr>
          <w:lang w:val="de-CH"/>
        </w:rPr>
        <w:t>d’une</w:t>
      </w:r>
      <w:proofErr w:type="spellEnd"/>
      <w:r w:rsidR="0073666E" w:rsidRPr="0073666E">
        <w:rPr>
          <w:lang w:val="de-CH"/>
        </w:rPr>
        <w:t xml:space="preserve"> </w:t>
      </w:r>
      <w:proofErr w:type="spellStart"/>
      <w:r w:rsidR="0073666E" w:rsidRPr="0073666E">
        <w:rPr>
          <w:lang w:val="de-CH"/>
        </w:rPr>
        <w:t>durée</w:t>
      </w:r>
      <w:proofErr w:type="spellEnd"/>
      <w:r w:rsidR="0073666E" w:rsidRPr="0073666E">
        <w:rPr>
          <w:lang w:val="de-CH"/>
        </w:rPr>
        <w:t xml:space="preserve"> de 3 ans a </w:t>
      </w:r>
      <w:proofErr w:type="spellStart"/>
      <w:r w:rsidR="0073666E" w:rsidRPr="0073666E">
        <w:rPr>
          <w:lang w:val="de-CH"/>
        </w:rPr>
        <w:t>été</w:t>
      </w:r>
      <w:proofErr w:type="spellEnd"/>
      <w:r w:rsidR="0073666E" w:rsidRPr="0073666E">
        <w:rPr>
          <w:lang w:val="de-CH"/>
        </w:rPr>
        <w:t xml:space="preserve"> </w:t>
      </w:r>
      <w:proofErr w:type="spellStart"/>
      <w:r w:rsidR="0073666E" w:rsidRPr="0073666E">
        <w:rPr>
          <w:lang w:val="de-CH"/>
        </w:rPr>
        <w:t>créé</w:t>
      </w:r>
      <w:proofErr w:type="spellEnd"/>
      <w:r w:rsidR="0073666E" w:rsidRPr="0073666E">
        <w:rPr>
          <w:lang w:val="de-CH"/>
        </w:rPr>
        <w:t xml:space="preserve"> à </w:t>
      </w:r>
      <w:proofErr w:type="spellStart"/>
      <w:r w:rsidR="0073666E" w:rsidRPr="0073666E">
        <w:rPr>
          <w:lang w:val="de-CH"/>
        </w:rPr>
        <w:t>cette</w:t>
      </w:r>
      <w:proofErr w:type="spellEnd"/>
      <w:r w:rsidR="0073666E" w:rsidRPr="0073666E">
        <w:rPr>
          <w:lang w:val="de-CH"/>
        </w:rPr>
        <w:t xml:space="preserve"> fin. </w:t>
      </w:r>
      <w:r w:rsidR="0073666E" w:rsidRPr="0073666E">
        <w:t>Pour répondre aux exigences croissantes du domaine de l’exécution des peines et des mesures, le Directeur de la police et des affaires militaires a chargé l’OEJ en 2016 d’une réorganisation et en 2017 de la conception d’une stratégie</w:t>
      </w:r>
      <w:r w:rsidR="00222D58">
        <w:t> </w:t>
      </w:r>
      <w:r w:rsidR="0073666E" w:rsidRPr="0073666E">
        <w:t xml:space="preserve">: la stratégie de l’exécution judiciaire 2015-2032 du canton de BE a été livrée et elle sert de base, notamment, à une mise à jour et une adaptation permanente de l’exécution des peines et des mesures aux conditions en constante évolution. Parallèlement aux besoins d’assainissement et de modernisation des infrastructures existantes, l’office a défini cinq priorités d’action (telles que l’harmonisation de la pratique de l’exécution judiciaire, l’approche centrée sur le risque ou le personnel en tant que ressource essentielle) qui auront une influence capitale sur la qualité de l’exécution des peines et des mesures dans le canton BE. </w:t>
      </w:r>
      <w:proofErr w:type="spellStart"/>
      <w:r w:rsidR="0073666E" w:rsidRPr="0073666E">
        <w:rPr>
          <w:lang w:val="de-CH"/>
        </w:rPr>
        <w:t>L’harmonisation</w:t>
      </w:r>
      <w:proofErr w:type="spellEnd"/>
      <w:r w:rsidR="0073666E" w:rsidRPr="0073666E">
        <w:rPr>
          <w:lang w:val="de-CH"/>
        </w:rPr>
        <w:t xml:space="preserve"> de la </w:t>
      </w:r>
      <w:proofErr w:type="spellStart"/>
      <w:r w:rsidR="0073666E" w:rsidRPr="0073666E">
        <w:rPr>
          <w:lang w:val="de-CH"/>
        </w:rPr>
        <w:t>pratique</w:t>
      </w:r>
      <w:proofErr w:type="spellEnd"/>
      <w:r w:rsidR="0073666E" w:rsidRPr="0073666E">
        <w:rPr>
          <w:lang w:val="de-CH"/>
        </w:rPr>
        <w:t xml:space="preserve"> de </w:t>
      </w:r>
      <w:proofErr w:type="spellStart"/>
      <w:r w:rsidR="0073666E" w:rsidRPr="0073666E">
        <w:rPr>
          <w:lang w:val="de-CH"/>
        </w:rPr>
        <w:t>l’exécution</w:t>
      </w:r>
      <w:proofErr w:type="spellEnd"/>
      <w:r w:rsidR="0073666E" w:rsidRPr="0073666E">
        <w:rPr>
          <w:lang w:val="de-CH"/>
        </w:rPr>
        <w:t xml:space="preserve"> </w:t>
      </w:r>
      <w:proofErr w:type="spellStart"/>
      <w:r w:rsidR="0073666E" w:rsidRPr="0073666E">
        <w:rPr>
          <w:lang w:val="de-CH"/>
        </w:rPr>
        <w:t>judiciaire</w:t>
      </w:r>
      <w:proofErr w:type="spellEnd"/>
      <w:r w:rsidR="0073666E" w:rsidRPr="0073666E">
        <w:rPr>
          <w:lang w:val="de-CH"/>
        </w:rPr>
        <w:t xml:space="preserve"> </w:t>
      </w:r>
      <w:proofErr w:type="spellStart"/>
      <w:r w:rsidR="0073666E" w:rsidRPr="0073666E">
        <w:rPr>
          <w:lang w:val="de-CH"/>
        </w:rPr>
        <w:t>entraîne</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standardisation</w:t>
      </w:r>
      <w:proofErr w:type="spellEnd"/>
      <w:r w:rsidR="0073666E" w:rsidRPr="0073666E">
        <w:rPr>
          <w:lang w:val="de-CH"/>
        </w:rPr>
        <w:t xml:space="preserve"> de la </w:t>
      </w:r>
      <w:proofErr w:type="spellStart"/>
      <w:r w:rsidR="0073666E" w:rsidRPr="0073666E">
        <w:rPr>
          <w:lang w:val="de-CH"/>
        </w:rPr>
        <w:t>formation</w:t>
      </w:r>
      <w:proofErr w:type="spellEnd"/>
      <w:r w:rsidR="0073666E" w:rsidRPr="0073666E">
        <w:rPr>
          <w:lang w:val="de-CH"/>
        </w:rPr>
        <w:t xml:space="preserve"> et du </w:t>
      </w:r>
      <w:proofErr w:type="spellStart"/>
      <w:r w:rsidR="0073666E" w:rsidRPr="0073666E">
        <w:rPr>
          <w:lang w:val="de-CH"/>
        </w:rPr>
        <w:t>perfectionnement</w:t>
      </w:r>
      <w:proofErr w:type="spellEnd"/>
      <w:r w:rsidR="0073666E" w:rsidRPr="0073666E">
        <w:rPr>
          <w:lang w:val="de-CH"/>
        </w:rPr>
        <w:t xml:space="preserve"> du </w:t>
      </w:r>
      <w:proofErr w:type="spellStart"/>
      <w:r w:rsidR="0073666E" w:rsidRPr="0073666E">
        <w:rPr>
          <w:lang w:val="de-CH"/>
        </w:rPr>
        <w:t>personnel</w:t>
      </w:r>
      <w:proofErr w:type="spellEnd"/>
      <w:r w:rsidR="0073666E" w:rsidRPr="0073666E">
        <w:rPr>
          <w:lang w:val="de-CH"/>
        </w:rPr>
        <w:t xml:space="preserve"> et </w:t>
      </w:r>
      <w:proofErr w:type="spellStart"/>
      <w:r w:rsidR="0073666E" w:rsidRPr="0073666E">
        <w:rPr>
          <w:lang w:val="de-CH"/>
        </w:rPr>
        <w:t>l’application</w:t>
      </w:r>
      <w:proofErr w:type="spellEnd"/>
      <w:r w:rsidR="0073666E" w:rsidRPr="0073666E">
        <w:rPr>
          <w:lang w:val="de-CH"/>
        </w:rPr>
        <w:t xml:space="preserve"> de </w:t>
      </w:r>
      <w:proofErr w:type="spellStart"/>
      <w:r w:rsidR="0073666E" w:rsidRPr="0073666E">
        <w:rPr>
          <w:lang w:val="de-CH"/>
        </w:rPr>
        <w:t>normes</w:t>
      </w:r>
      <w:proofErr w:type="spellEnd"/>
      <w:r w:rsidR="0073666E" w:rsidRPr="0073666E">
        <w:rPr>
          <w:lang w:val="de-CH"/>
        </w:rPr>
        <w:t xml:space="preserve"> </w:t>
      </w:r>
      <w:proofErr w:type="spellStart"/>
      <w:r w:rsidR="0073666E" w:rsidRPr="0073666E">
        <w:rPr>
          <w:lang w:val="de-CH"/>
        </w:rPr>
        <w:t>communes</w:t>
      </w:r>
      <w:proofErr w:type="spellEnd"/>
      <w:r w:rsidR="0073666E" w:rsidRPr="0073666E">
        <w:rPr>
          <w:lang w:val="de-CH"/>
        </w:rPr>
        <w:t xml:space="preserve"> à </w:t>
      </w:r>
      <w:proofErr w:type="spellStart"/>
      <w:r w:rsidR="0073666E" w:rsidRPr="0073666E">
        <w:rPr>
          <w:lang w:val="de-CH"/>
        </w:rPr>
        <w:t>l’échelle</w:t>
      </w:r>
      <w:proofErr w:type="spellEnd"/>
      <w:r w:rsidR="0073666E" w:rsidRPr="0073666E">
        <w:rPr>
          <w:lang w:val="de-CH"/>
        </w:rPr>
        <w:t xml:space="preserve"> de la Suisse en </w:t>
      </w:r>
      <w:proofErr w:type="spellStart"/>
      <w:r w:rsidR="0073666E" w:rsidRPr="0073666E">
        <w:rPr>
          <w:lang w:val="de-CH"/>
        </w:rPr>
        <w:t>matière</w:t>
      </w:r>
      <w:proofErr w:type="spellEnd"/>
      <w:r w:rsidR="0073666E" w:rsidRPr="0073666E">
        <w:rPr>
          <w:lang w:val="de-CH"/>
        </w:rPr>
        <w:t xml:space="preserve"> </w:t>
      </w:r>
      <w:proofErr w:type="spellStart"/>
      <w:r w:rsidR="0073666E" w:rsidRPr="0073666E">
        <w:rPr>
          <w:lang w:val="de-CH"/>
        </w:rPr>
        <w:t>d’approche</w:t>
      </w:r>
      <w:proofErr w:type="spellEnd"/>
      <w:r w:rsidR="0073666E" w:rsidRPr="0073666E">
        <w:rPr>
          <w:lang w:val="de-CH"/>
        </w:rPr>
        <w:t xml:space="preserve"> </w:t>
      </w:r>
      <w:proofErr w:type="spellStart"/>
      <w:r w:rsidR="0073666E" w:rsidRPr="0073666E">
        <w:rPr>
          <w:lang w:val="de-CH"/>
        </w:rPr>
        <w:t>centrée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infractions</w:t>
      </w:r>
      <w:proofErr w:type="spellEnd"/>
      <w:r w:rsidR="0073666E" w:rsidRPr="0073666E">
        <w:rPr>
          <w:lang w:val="de-CH"/>
        </w:rPr>
        <w:t xml:space="preserve"> et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risques</w:t>
      </w:r>
      <w:proofErr w:type="spellEnd"/>
      <w:r w:rsidR="0073666E" w:rsidRPr="0073666E">
        <w:rPr>
          <w:lang w:val="de-CH"/>
        </w:rPr>
        <w:t xml:space="preserve">. L’OEJ entend </w:t>
      </w:r>
      <w:proofErr w:type="spellStart"/>
      <w:r w:rsidR="0073666E" w:rsidRPr="0073666E">
        <w:rPr>
          <w:lang w:val="de-CH"/>
        </w:rPr>
        <w:t>poursuivre</w:t>
      </w:r>
      <w:proofErr w:type="spellEnd"/>
      <w:r w:rsidR="0073666E" w:rsidRPr="0073666E">
        <w:rPr>
          <w:lang w:val="de-CH"/>
        </w:rPr>
        <w:t xml:space="preserve"> </w:t>
      </w:r>
      <w:proofErr w:type="spellStart"/>
      <w:r w:rsidR="0073666E" w:rsidRPr="0073666E">
        <w:rPr>
          <w:lang w:val="de-CH"/>
        </w:rPr>
        <w:t>ainsi</w:t>
      </w:r>
      <w:proofErr w:type="spellEnd"/>
      <w:r w:rsidR="0073666E" w:rsidRPr="0073666E">
        <w:rPr>
          <w:lang w:val="de-CH"/>
        </w:rPr>
        <w:t xml:space="preserve"> </w:t>
      </w:r>
      <w:proofErr w:type="spellStart"/>
      <w:r w:rsidR="0073666E" w:rsidRPr="0073666E">
        <w:rPr>
          <w:lang w:val="de-CH"/>
        </w:rPr>
        <w:t>une</w:t>
      </w:r>
      <w:proofErr w:type="spellEnd"/>
      <w:r w:rsidR="0073666E" w:rsidRPr="0073666E">
        <w:rPr>
          <w:lang w:val="de-CH"/>
        </w:rPr>
        <w:t xml:space="preserve"> </w:t>
      </w:r>
      <w:proofErr w:type="spellStart"/>
      <w:r w:rsidR="0073666E" w:rsidRPr="0073666E">
        <w:rPr>
          <w:lang w:val="de-CH"/>
        </w:rPr>
        <w:t>approche</w:t>
      </w:r>
      <w:proofErr w:type="spellEnd"/>
      <w:r w:rsidR="0073666E" w:rsidRPr="0073666E">
        <w:rPr>
          <w:lang w:val="de-CH"/>
        </w:rPr>
        <w:t xml:space="preserve"> </w:t>
      </w:r>
      <w:proofErr w:type="spellStart"/>
      <w:r w:rsidR="0073666E" w:rsidRPr="0073666E">
        <w:rPr>
          <w:lang w:val="de-CH"/>
        </w:rPr>
        <w:t>centrée</w:t>
      </w:r>
      <w:proofErr w:type="spellEnd"/>
      <w:r w:rsidR="0073666E" w:rsidRPr="0073666E">
        <w:rPr>
          <w:lang w:val="de-CH"/>
        </w:rPr>
        <w:t xml:space="preserve"> </w:t>
      </w:r>
      <w:proofErr w:type="spellStart"/>
      <w:r w:rsidR="0073666E" w:rsidRPr="0073666E">
        <w:rPr>
          <w:lang w:val="de-CH"/>
        </w:rPr>
        <w:t>sur</w:t>
      </w:r>
      <w:proofErr w:type="spellEnd"/>
      <w:r w:rsidR="0073666E" w:rsidRPr="0073666E">
        <w:rPr>
          <w:lang w:val="de-CH"/>
        </w:rPr>
        <w:t xml:space="preserve"> le </w:t>
      </w:r>
      <w:proofErr w:type="spellStart"/>
      <w:r w:rsidR="0073666E" w:rsidRPr="0073666E">
        <w:rPr>
          <w:lang w:val="de-CH"/>
        </w:rPr>
        <w:t>risque</w:t>
      </w:r>
      <w:proofErr w:type="spellEnd"/>
      <w:r w:rsidR="0073666E" w:rsidRPr="0073666E">
        <w:rPr>
          <w:lang w:val="de-CH"/>
        </w:rPr>
        <w:t xml:space="preserve"> à </w:t>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niveaux</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but de </w:t>
      </w:r>
      <w:proofErr w:type="spellStart"/>
      <w:r w:rsidR="0073666E" w:rsidRPr="0073666E">
        <w:rPr>
          <w:lang w:val="de-CH"/>
        </w:rPr>
        <w:t>réduire</w:t>
      </w:r>
      <w:proofErr w:type="spellEnd"/>
      <w:r w:rsidR="0073666E" w:rsidRPr="0073666E">
        <w:rPr>
          <w:lang w:val="de-CH"/>
        </w:rPr>
        <w:t xml:space="preserve"> la </w:t>
      </w:r>
      <w:proofErr w:type="spellStart"/>
      <w:r w:rsidR="0073666E" w:rsidRPr="0073666E">
        <w:rPr>
          <w:lang w:val="de-CH"/>
        </w:rPr>
        <w:t>récidive</w:t>
      </w:r>
      <w:proofErr w:type="spellEnd"/>
      <w:r w:rsidR="0073666E" w:rsidRPr="0073666E">
        <w:rPr>
          <w:lang w:val="de-CH"/>
        </w:rPr>
        <w:t xml:space="preserve">, </w:t>
      </w:r>
      <w:proofErr w:type="spellStart"/>
      <w:r w:rsidR="0073666E" w:rsidRPr="0073666E">
        <w:rPr>
          <w:lang w:val="de-CH"/>
        </w:rPr>
        <w:t>d’augmenter</w:t>
      </w:r>
      <w:proofErr w:type="spellEnd"/>
      <w:r w:rsidR="0073666E" w:rsidRPr="0073666E">
        <w:rPr>
          <w:lang w:val="de-CH"/>
        </w:rPr>
        <w:t xml:space="preserve"> la </w:t>
      </w:r>
      <w:proofErr w:type="spellStart"/>
      <w:r w:rsidR="0073666E" w:rsidRPr="0073666E">
        <w:rPr>
          <w:lang w:val="de-CH"/>
        </w:rPr>
        <w:t>qualité</w:t>
      </w:r>
      <w:proofErr w:type="spellEnd"/>
      <w:r w:rsidR="0073666E" w:rsidRPr="0073666E">
        <w:rPr>
          <w:lang w:val="de-CH"/>
        </w:rPr>
        <w:t xml:space="preserve"> et </w:t>
      </w:r>
      <w:proofErr w:type="spellStart"/>
      <w:r w:rsidR="0073666E" w:rsidRPr="0073666E">
        <w:rPr>
          <w:lang w:val="de-CH"/>
        </w:rPr>
        <w:t>l’efficience</w:t>
      </w:r>
      <w:proofErr w:type="spellEnd"/>
      <w:r w:rsidR="0073666E" w:rsidRPr="0073666E">
        <w:rPr>
          <w:lang w:val="de-CH"/>
        </w:rPr>
        <w:t xml:space="preserve"> </w:t>
      </w:r>
      <w:proofErr w:type="spellStart"/>
      <w:r w:rsidR="0073666E" w:rsidRPr="0073666E">
        <w:rPr>
          <w:lang w:val="de-CH"/>
        </w:rPr>
        <w:t>dans</w:t>
      </w:r>
      <w:proofErr w:type="spellEnd"/>
      <w:r w:rsidR="0073666E" w:rsidRPr="0073666E">
        <w:rPr>
          <w:lang w:val="de-CH"/>
        </w:rPr>
        <w:t xml:space="preserve"> le </w:t>
      </w:r>
      <w:proofErr w:type="spellStart"/>
      <w:r w:rsidR="0073666E" w:rsidRPr="0073666E">
        <w:rPr>
          <w:lang w:val="de-CH"/>
        </w:rPr>
        <w:t>domaine</w:t>
      </w:r>
      <w:proofErr w:type="spellEnd"/>
      <w:r w:rsidR="0073666E" w:rsidRPr="0073666E">
        <w:rPr>
          <w:lang w:val="de-CH"/>
        </w:rPr>
        <w:t xml:space="preserve"> de </w:t>
      </w:r>
      <w:proofErr w:type="spellStart"/>
      <w:r w:rsidR="0073666E" w:rsidRPr="0073666E">
        <w:rPr>
          <w:lang w:val="de-CH"/>
        </w:rPr>
        <w:t>l’exécution</w:t>
      </w:r>
      <w:proofErr w:type="spellEnd"/>
      <w:r w:rsidR="0073666E" w:rsidRPr="0073666E">
        <w:rPr>
          <w:lang w:val="de-CH"/>
        </w:rPr>
        <w:t xml:space="preserve"> et </w:t>
      </w:r>
      <w:proofErr w:type="spellStart"/>
      <w:r w:rsidR="0073666E" w:rsidRPr="0073666E">
        <w:rPr>
          <w:lang w:val="de-CH"/>
        </w:rPr>
        <w:t>d’améliorer</w:t>
      </w:r>
      <w:proofErr w:type="spellEnd"/>
      <w:r w:rsidR="0073666E" w:rsidRPr="0073666E">
        <w:rPr>
          <w:lang w:val="de-CH"/>
        </w:rPr>
        <w:t xml:space="preserve"> la </w:t>
      </w:r>
      <w:proofErr w:type="spellStart"/>
      <w:r w:rsidR="0073666E" w:rsidRPr="0073666E">
        <w:rPr>
          <w:lang w:val="de-CH"/>
        </w:rPr>
        <w:t>collaboration</w:t>
      </w:r>
      <w:proofErr w:type="spellEnd"/>
      <w:r w:rsidR="0073666E" w:rsidRPr="0073666E">
        <w:rPr>
          <w:lang w:val="de-CH"/>
        </w:rPr>
        <w:t xml:space="preserve"> </w:t>
      </w:r>
      <w:proofErr w:type="spellStart"/>
      <w:r w:rsidR="0073666E" w:rsidRPr="0073666E">
        <w:rPr>
          <w:lang w:val="de-CH"/>
        </w:rPr>
        <w:t>avec</w:t>
      </w:r>
      <w:proofErr w:type="spellEnd"/>
      <w:r w:rsidR="0073666E" w:rsidRPr="0073666E">
        <w:rPr>
          <w:lang w:val="de-CH"/>
        </w:rPr>
        <w:t xml:space="preserve"> </w:t>
      </w:r>
      <w:proofErr w:type="spellStart"/>
      <w:r w:rsidR="0073666E" w:rsidRPr="0073666E">
        <w:rPr>
          <w:lang w:val="de-CH"/>
        </w:rPr>
        <w:t>tous</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services</w:t>
      </w:r>
      <w:proofErr w:type="spellEnd"/>
      <w:r w:rsidR="0073666E" w:rsidRPr="0073666E">
        <w:rPr>
          <w:lang w:val="de-CH"/>
        </w:rPr>
        <w:t xml:space="preserve"> </w:t>
      </w:r>
      <w:proofErr w:type="spellStart"/>
      <w:r w:rsidR="0073666E" w:rsidRPr="0073666E">
        <w:rPr>
          <w:lang w:val="de-CH"/>
        </w:rPr>
        <w:t>impliqués</w:t>
      </w:r>
      <w:proofErr w:type="spellEnd"/>
      <w:r w:rsidR="0073666E" w:rsidRPr="0073666E">
        <w:rPr>
          <w:lang w:val="de-CH"/>
        </w:rPr>
        <w:t xml:space="preserve">. La </w:t>
      </w:r>
      <w:proofErr w:type="spellStart"/>
      <w:r w:rsidR="0073666E" w:rsidRPr="0073666E">
        <w:rPr>
          <w:lang w:val="de-CH"/>
        </w:rPr>
        <w:t>priorité</w:t>
      </w:r>
      <w:proofErr w:type="spellEnd"/>
      <w:r w:rsidR="0073666E" w:rsidRPr="0073666E">
        <w:rPr>
          <w:lang w:val="de-CH"/>
        </w:rPr>
        <w:t xml:space="preserve"> </w:t>
      </w:r>
      <w:proofErr w:type="spellStart"/>
      <w:r w:rsidR="0073666E" w:rsidRPr="0073666E">
        <w:rPr>
          <w:lang w:val="de-CH"/>
        </w:rPr>
        <w:t>d’action</w:t>
      </w:r>
      <w:proofErr w:type="spellEnd"/>
      <w:r w:rsidR="0073666E" w:rsidRPr="0073666E">
        <w:rPr>
          <w:lang w:val="de-CH"/>
        </w:rPr>
        <w:t xml:space="preserve"> </w:t>
      </w:r>
      <w:proofErr w:type="spellStart"/>
      <w:r w:rsidR="0073666E" w:rsidRPr="0073666E">
        <w:rPr>
          <w:lang w:val="de-CH"/>
        </w:rPr>
        <w:t>concernant</w:t>
      </w:r>
      <w:proofErr w:type="spellEnd"/>
      <w:r w:rsidR="0073666E" w:rsidRPr="0073666E">
        <w:rPr>
          <w:lang w:val="de-CH"/>
        </w:rPr>
        <w:t xml:space="preserve"> le </w:t>
      </w:r>
      <w:proofErr w:type="spellStart"/>
      <w:r w:rsidR="0073666E" w:rsidRPr="0073666E">
        <w:rPr>
          <w:lang w:val="de-CH"/>
        </w:rPr>
        <w:t>personnel</w:t>
      </w:r>
      <w:proofErr w:type="spellEnd"/>
      <w:r w:rsidR="0073666E" w:rsidRPr="0073666E">
        <w:rPr>
          <w:lang w:val="de-CH"/>
        </w:rPr>
        <w:t xml:space="preserve"> </w:t>
      </w:r>
      <w:proofErr w:type="spellStart"/>
      <w:r w:rsidR="0073666E" w:rsidRPr="0073666E">
        <w:rPr>
          <w:lang w:val="de-CH"/>
        </w:rPr>
        <w:t>témoigne</w:t>
      </w:r>
      <w:proofErr w:type="spellEnd"/>
      <w:r w:rsidR="0073666E" w:rsidRPr="0073666E">
        <w:rPr>
          <w:lang w:val="de-CH"/>
        </w:rPr>
        <w:t xml:space="preserve"> du fait </w:t>
      </w:r>
      <w:proofErr w:type="spellStart"/>
      <w:r w:rsidR="0073666E" w:rsidRPr="0073666E">
        <w:rPr>
          <w:lang w:val="de-CH"/>
        </w:rPr>
        <w:t>que</w:t>
      </w:r>
      <w:proofErr w:type="spellEnd"/>
      <w:r w:rsidR="0073666E" w:rsidRPr="0073666E">
        <w:rPr>
          <w:lang w:val="de-CH"/>
        </w:rPr>
        <w:t xml:space="preserve"> </w:t>
      </w:r>
      <w:proofErr w:type="spellStart"/>
      <w:r w:rsidR="0073666E" w:rsidRPr="0073666E">
        <w:rPr>
          <w:lang w:val="de-CH"/>
        </w:rPr>
        <w:t>les</w:t>
      </w:r>
      <w:proofErr w:type="spellEnd"/>
      <w:r w:rsidR="0073666E" w:rsidRPr="0073666E">
        <w:rPr>
          <w:lang w:val="de-CH"/>
        </w:rPr>
        <w:t xml:space="preserve"> </w:t>
      </w:r>
      <w:proofErr w:type="spellStart"/>
      <w:r w:rsidR="0073666E" w:rsidRPr="0073666E">
        <w:rPr>
          <w:lang w:val="de-CH"/>
        </w:rPr>
        <w:t>exigences</w:t>
      </w:r>
      <w:proofErr w:type="spellEnd"/>
      <w:r w:rsidR="0073666E" w:rsidRPr="0073666E">
        <w:rPr>
          <w:lang w:val="de-CH"/>
        </w:rPr>
        <w:t xml:space="preserve"> </w:t>
      </w:r>
      <w:proofErr w:type="spellStart"/>
      <w:r w:rsidR="0073666E" w:rsidRPr="0073666E">
        <w:rPr>
          <w:lang w:val="de-CH"/>
        </w:rPr>
        <w:t>posées</w:t>
      </w:r>
      <w:proofErr w:type="spellEnd"/>
      <w:r w:rsidR="0073666E" w:rsidRPr="0073666E">
        <w:rPr>
          <w:lang w:val="de-CH"/>
        </w:rPr>
        <w:t xml:space="preserve"> au </w:t>
      </w:r>
      <w:proofErr w:type="spellStart"/>
      <w:r w:rsidR="0073666E" w:rsidRPr="0073666E">
        <w:rPr>
          <w:lang w:val="de-CH"/>
        </w:rPr>
        <w:t>personnel</w:t>
      </w:r>
      <w:proofErr w:type="spellEnd"/>
      <w:r w:rsidR="0073666E" w:rsidRPr="0073666E">
        <w:rPr>
          <w:lang w:val="de-CH"/>
        </w:rPr>
        <w:t xml:space="preserve"> </w:t>
      </w:r>
      <w:proofErr w:type="spellStart"/>
      <w:r w:rsidR="0073666E" w:rsidRPr="0073666E">
        <w:rPr>
          <w:lang w:val="de-CH"/>
        </w:rPr>
        <w:t>n’ont</w:t>
      </w:r>
      <w:proofErr w:type="spellEnd"/>
      <w:r w:rsidR="0073666E" w:rsidRPr="0073666E">
        <w:rPr>
          <w:lang w:val="de-CH"/>
        </w:rPr>
        <w:t xml:space="preserve"> </w:t>
      </w:r>
      <w:proofErr w:type="spellStart"/>
      <w:r w:rsidR="0073666E" w:rsidRPr="0073666E">
        <w:rPr>
          <w:lang w:val="de-CH"/>
        </w:rPr>
        <w:t>cessé</w:t>
      </w:r>
      <w:proofErr w:type="spellEnd"/>
      <w:r w:rsidR="0073666E" w:rsidRPr="0073666E">
        <w:rPr>
          <w:lang w:val="de-CH"/>
        </w:rPr>
        <w:t xml:space="preserve"> </w:t>
      </w:r>
      <w:proofErr w:type="spellStart"/>
      <w:r w:rsidR="0073666E" w:rsidRPr="0073666E">
        <w:rPr>
          <w:lang w:val="de-CH"/>
        </w:rPr>
        <w:t>d’augmenter</w:t>
      </w:r>
      <w:proofErr w:type="spellEnd"/>
      <w:r w:rsidR="0073666E" w:rsidRPr="0073666E">
        <w:rPr>
          <w:lang w:val="de-CH"/>
        </w:rPr>
        <w:t xml:space="preserve"> et </w:t>
      </w:r>
      <w:proofErr w:type="spellStart"/>
      <w:r w:rsidR="0073666E" w:rsidRPr="0073666E">
        <w:rPr>
          <w:lang w:val="de-CH"/>
        </w:rPr>
        <w:t>sont</w:t>
      </w:r>
      <w:proofErr w:type="spellEnd"/>
      <w:r w:rsidR="0073666E" w:rsidRPr="0073666E">
        <w:rPr>
          <w:lang w:val="de-CH"/>
        </w:rPr>
        <w:t xml:space="preserve"> </w:t>
      </w:r>
      <w:proofErr w:type="spellStart"/>
      <w:r w:rsidR="0073666E" w:rsidRPr="0073666E">
        <w:rPr>
          <w:lang w:val="de-CH"/>
        </w:rPr>
        <w:t>aussi</w:t>
      </w:r>
      <w:proofErr w:type="spellEnd"/>
      <w:r w:rsidR="0073666E" w:rsidRPr="0073666E">
        <w:rPr>
          <w:lang w:val="de-CH"/>
        </w:rPr>
        <w:t xml:space="preserve"> </w:t>
      </w:r>
      <w:proofErr w:type="spellStart"/>
      <w:r w:rsidR="0073666E" w:rsidRPr="0073666E">
        <w:rPr>
          <w:lang w:val="de-CH"/>
        </w:rPr>
        <w:t>devenues</w:t>
      </w:r>
      <w:proofErr w:type="spellEnd"/>
      <w:r w:rsidR="0073666E" w:rsidRPr="0073666E">
        <w:rPr>
          <w:lang w:val="de-CH"/>
        </w:rPr>
        <w:t xml:space="preserve"> plus </w:t>
      </w:r>
      <w:proofErr w:type="spellStart"/>
      <w:r w:rsidR="0073666E" w:rsidRPr="0073666E">
        <w:rPr>
          <w:lang w:val="de-CH"/>
        </w:rPr>
        <w:t>complexes</w:t>
      </w:r>
      <w:proofErr w:type="spellEnd"/>
      <w:r w:rsidR="0073666E" w:rsidRPr="0073666E">
        <w:rPr>
          <w:lang w:val="de-CH"/>
        </w:rPr>
        <w:t xml:space="preserve"> (en </w:t>
      </w:r>
      <w:proofErr w:type="spellStart"/>
      <w:r w:rsidR="0073666E" w:rsidRPr="0073666E">
        <w:rPr>
          <w:lang w:val="de-CH"/>
        </w:rPr>
        <w:t>raison</w:t>
      </w:r>
      <w:proofErr w:type="spellEnd"/>
      <w:r w:rsidR="0073666E" w:rsidRPr="0073666E">
        <w:rPr>
          <w:lang w:val="de-CH"/>
        </w:rPr>
        <w:t xml:space="preserve"> </w:t>
      </w:r>
      <w:proofErr w:type="spellStart"/>
      <w:r w:rsidR="0073666E" w:rsidRPr="0073666E">
        <w:rPr>
          <w:lang w:val="de-CH"/>
        </w:rPr>
        <w:t>notamment</w:t>
      </w:r>
      <w:proofErr w:type="spellEnd"/>
      <w:r w:rsidR="0073666E" w:rsidRPr="0073666E">
        <w:rPr>
          <w:lang w:val="de-CH"/>
        </w:rPr>
        <w:t xml:space="preserve"> de </w:t>
      </w:r>
      <w:proofErr w:type="spellStart"/>
      <w:r w:rsidR="0073666E" w:rsidRPr="0073666E">
        <w:rPr>
          <w:lang w:val="de-CH"/>
        </w:rPr>
        <w:t>l’augmentation</w:t>
      </w:r>
      <w:proofErr w:type="spellEnd"/>
      <w:r w:rsidR="0073666E" w:rsidRPr="0073666E">
        <w:rPr>
          <w:lang w:val="de-CH"/>
        </w:rPr>
        <w:t xml:space="preserve"> du </w:t>
      </w:r>
      <w:proofErr w:type="spellStart"/>
      <w:r w:rsidR="0073666E" w:rsidRPr="0073666E">
        <w:rPr>
          <w:lang w:val="de-CH"/>
        </w:rPr>
        <w:t>nombre</w:t>
      </w:r>
      <w:proofErr w:type="spellEnd"/>
      <w:r w:rsidR="0073666E" w:rsidRPr="0073666E">
        <w:rPr>
          <w:lang w:val="de-CH"/>
        </w:rPr>
        <w:t xml:space="preserve"> des </w:t>
      </w:r>
      <w:proofErr w:type="spellStart"/>
      <w:r w:rsidR="0073666E" w:rsidRPr="0073666E">
        <w:rPr>
          <w:lang w:val="de-CH"/>
        </w:rPr>
        <w:t>personnes</w:t>
      </w:r>
      <w:proofErr w:type="spellEnd"/>
      <w:r w:rsidR="0073666E" w:rsidRPr="0073666E">
        <w:rPr>
          <w:lang w:val="de-CH"/>
        </w:rPr>
        <w:t xml:space="preserve"> </w:t>
      </w:r>
      <w:proofErr w:type="spellStart"/>
      <w:r w:rsidR="0073666E" w:rsidRPr="0073666E">
        <w:rPr>
          <w:lang w:val="de-CH"/>
        </w:rPr>
        <w:t>présentant</w:t>
      </w:r>
      <w:proofErr w:type="spellEnd"/>
      <w:r w:rsidR="0073666E" w:rsidRPr="0073666E">
        <w:rPr>
          <w:lang w:val="de-CH"/>
        </w:rPr>
        <w:t xml:space="preserve"> des </w:t>
      </w:r>
      <w:proofErr w:type="spellStart"/>
      <w:r w:rsidR="0073666E" w:rsidRPr="0073666E">
        <w:rPr>
          <w:lang w:val="de-CH"/>
        </w:rPr>
        <w:t>troubles</w:t>
      </w:r>
      <w:proofErr w:type="spellEnd"/>
      <w:r w:rsidR="0073666E" w:rsidRPr="0073666E">
        <w:rPr>
          <w:lang w:val="de-CH"/>
        </w:rPr>
        <w:t xml:space="preserve"> </w:t>
      </w:r>
      <w:proofErr w:type="spellStart"/>
      <w:r w:rsidR="0073666E" w:rsidRPr="0073666E">
        <w:rPr>
          <w:lang w:val="de-CH"/>
        </w:rPr>
        <w:t>psychiques</w:t>
      </w:r>
      <w:proofErr w:type="spellEnd"/>
      <w:r w:rsidR="0073666E" w:rsidRPr="0073666E">
        <w:rPr>
          <w:lang w:val="de-CH"/>
        </w:rPr>
        <w:t xml:space="preserve"> et </w:t>
      </w:r>
      <w:proofErr w:type="spellStart"/>
      <w:r w:rsidR="0073666E" w:rsidRPr="0073666E">
        <w:rPr>
          <w:lang w:val="de-CH"/>
        </w:rPr>
        <w:t>physiques</w:t>
      </w:r>
      <w:proofErr w:type="spellEnd"/>
      <w:r w:rsidR="0073666E" w:rsidRPr="0073666E">
        <w:rPr>
          <w:lang w:val="de-CH"/>
        </w:rPr>
        <w:t xml:space="preserve"> et de </w:t>
      </w:r>
      <w:proofErr w:type="spellStart"/>
      <w:r w:rsidR="0073666E" w:rsidRPr="0073666E">
        <w:rPr>
          <w:lang w:val="de-CH"/>
        </w:rPr>
        <w:t>l’existence</w:t>
      </w:r>
      <w:proofErr w:type="spellEnd"/>
      <w:r w:rsidR="0073666E" w:rsidRPr="0073666E">
        <w:rPr>
          <w:lang w:val="de-CH"/>
        </w:rPr>
        <w:t xml:space="preserve"> de </w:t>
      </w:r>
      <w:proofErr w:type="spellStart"/>
      <w:r w:rsidR="0073666E" w:rsidRPr="0073666E">
        <w:rPr>
          <w:lang w:val="de-CH"/>
        </w:rPr>
        <w:t>différences</w:t>
      </w:r>
      <w:proofErr w:type="spellEnd"/>
      <w:r w:rsidR="0073666E" w:rsidRPr="0073666E">
        <w:rPr>
          <w:lang w:val="de-CH"/>
        </w:rPr>
        <w:t xml:space="preserve"> </w:t>
      </w:r>
      <w:proofErr w:type="spellStart"/>
      <w:r w:rsidR="0073666E" w:rsidRPr="0073666E">
        <w:rPr>
          <w:lang w:val="de-CH"/>
        </w:rPr>
        <w:t>d’ethnie</w:t>
      </w:r>
      <w:proofErr w:type="spellEnd"/>
      <w:r w:rsidR="0073666E" w:rsidRPr="0073666E">
        <w:rPr>
          <w:lang w:val="de-CH"/>
        </w:rPr>
        <w:t xml:space="preserve"> et de </w:t>
      </w:r>
      <w:proofErr w:type="spellStart"/>
      <w:r w:rsidR="0073666E" w:rsidRPr="0073666E">
        <w:rPr>
          <w:lang w:val="de-CH"/>
        </w:rPr>
        <w:t>nationalité</w:t>
      </w:r>
      <w:proofErr w:type="spellEnd"/>
      <w:r w:rsidR="0073666E" w:rsidRPr="0073666E">
        <w:rPr>
          <w:lang w:val="de-CH"/>
        </w:rPr>
        <w:t xml:space="preserve">). </w:t>
      </w:r>
      <w:r w:rsidR="0073666E" w:rsidRPr="0073666E">
        <w:t xml:space="preserve">L’OEJ s’efforce par conséquent de donner aux collaborateurs la capacité de satisfaire à ces exigences (par des formations et des perfectionnements) et de viser </w:t>
      </w:r>
      <w:r w:rsidR="0073666E" w:rsidRPr="007A7C73">
        <w:t>un rapport adéquat entre le nombre de places d’exécution et le nombre de postes à plein temps, conformément aux recommandations de l’OFJ.</w:t>
      </w:r>
    </w:p>
    <w:p w14:paraId="4F15D9B2" w14:textId="77777777" w:rsidR="0073666E" w:rsidRPr="007A7C73" w:rsidRDefault="0064634C" w:rsidP="007A7C73">
      <w:pPr>
        <w:pStyle w:val="SingleTxtG"/>
      </w:pPr>
      <w:r>
        <w:t>17</w:t>
      </w:r>
      <w:r w:rsidR="00BB55E3">
        <w:t>4</w:t>
      </w:r>
      <w:r>
        <w:t>.</w:t>
      </w:r>
      <w:r>
        <w:tab/>
      </w:r>
      <w:r w:rsidR="0073666E" w:rsidRPr="00D641C5">
        <w:rPr>
          <w:spacing w:val="-2"/>
        </w:rPr>
        <w:t>Le canton de LU a pris les mesures suivantes</w:t>
      </w:r>
      <w:r w:rsidR="00222D58">
        <w:rPr>
          <w:spacing w:val="-2"/>
        </w:rPr>
        <w:t> </w:t>
      </w:r>
      <w:r w:rsidR="0073666E" w:rsidRPr="00D641C5">
        <w:rPr>
          <w:spacing w:val="-2"/>
        </w:rPr>
        <w:t>: adoption de la loi du 14 septembre 2015 sur l’exécution judiciaire (SRL n</w:t>
      </w:r>
      <w:r w:rsidR="00BC01C5" w:rsidRPr="00971C84">
        <w:rPr>
          <w:spacing w:val="-2"/>
          <w:vertAlign w:val="superscript"/>
        </w:rPr>
        <w:t>o</w:t>
      </w:r>
      <w:r w:rsidR="00BC01C5">
        <w:rPr>
          <w:spacing w:val="-2"/>
        </w:rPr>
        <w:t> </w:t>
      </w:r>
      <w:r w:rsidR="0073666E" w:rsidRPr="00D641C5">
        <w:rPr>
          <w:spacing w:val="-2"/>
        </w:rPr>
        <w:t>305); adoption de l’ordonnance du 24 mars 2016 sur l’exécution judiciaire (SRL n</w:t>
      </w:r>
      <w:r w:rsidR="00BC01C5" w:rsidRPr="00971C84">
        <w:rPr>
          <w:spacing w:val="-2"/>
          <w:vertAlign w:val="superscript"/>
        </w:rPr>
        <w:t>o</w:t>
      </w:r>
      <w:r w:rsidR="00BC01C5">
        <w:rPr>
          <w:spacing w:val="-2"/>
        </w:rPr>
        <w:t> </w:t>
      </w:r>
      <w:r w:rsidR="0073666E" w:rsidRPr="00D641C5">
        <w:rPr>
          <w:spacing w:val="-2"/>
        </w:rPr>
        <w:t>327); introduction du système de gestion des dossiers d’exécution des sanctions axée sur les risques (</w:t>
      </w:r>
      <w:proofErr w:type="spellStart"/>
      <w:r w:rsidR="0073666E" w:rsidRPr="00D641C5">
        <w:rPr>
          <w:spacing w:val="-2"/>
        </w:rPr>
        <w:t>Risikoorientierter</w:t>
      </w:r>
      <w:proofErr w:type="spellEnd"/>
      <w:r w:rsidR="0073666E" w:rsidRPr="00D641C5">
        <w:rPr>
          <w:spacing w:val="-2"/>
        </w:rPr>
        <w:t xml:space="preserve"> </w:t>
      </w:r>
      <w:proofErr w:type="spellStart"/>
      <w:r w:rsidR="0073666E" w:rsidRPr="00D641C5">
        <w:rPr>
          <w:spacing w:val="-2"/>
        </w:rPr>
        <w:t>Sanktionenvollzug</w:t>
      </w:r>
      <w:proofErr w:type="spellEnd"/>
      <w:r w:rsidR="0073666E" w:rsidRPr="00D641C5">
        <w:rPr>
          <w:spacing w:val="-2"/>
        </w:rPr>
        <w:t>, ROS) dans les cantons du Concordat de la Suisse du Nord-Ouest et de la Suisse centrale sur l</w:t>
      </w:r>
      <w:r w:rsidR="00A27519">
        <w:rPr>
          <w:spacing w:val="-2"/>
        </w:rPr>
        <w:t>’</w:t>
      </w:r>
      <w:r w:rsidR="0073666E" w:rsidRPr="00D641C5">
        <w:rPr>
          <w:spacing w:val="-2"/>
        </w:rPr>
        <w:t>exécution des peines et mesures. L’objectif est de réaliser une harmonisation globale de la gestion des dossiers dans le domaine de l’exécution des peines et des mesures en Suisse alémanique (méthodologie uniforme, définition commune des dossiers, langage commun, etc.).</w:t>
      </w:r>
    </w:p>
    <w:p w14:paraId="144D5330" w14:textId="77777777" w:rsidR="0073666E" w:rsidRPr="007A7C73" w:rsidRDefault="0064634C" w:rsidP="007A7C73">
      <w:pPr>
        <w:pStyle w:val="SingleTxtG"/>
      </w:pPr>
      <w:r>
        <w:t>17</w:t>
      </w:r>
      <w:r w:rsidR="00BB55E3">
        <w:t>5</w:t>
      </w:r>
      <w:r>
        <w:t>.</w:t>
      </w:r>
      <w:r>
        <w:tab/>
      </w:r>
      <w:r w:rsidR="0073666E" w:rsidRPr="007A7C73">
        <w:t>Dans le canton de GL, la dernière révision de l’ordonnance sur les prisons est entrée en vigueur le 1er septembre 2014. Les points critiqués par la CNPT, au plan du droit, ont pu largement être pris en compte.</w:t>
      </w:r>
    </w:p>
    <w:p w14:paraId="757D23E3" w14:textId="77777777" w:rsidR="0073666E" w:rsidRPr="007A7C73" w:rsidRDefault="0064634C" w:rsidP="007A7C73">
      <w:pPr>
        <w:pStyle w:val="SingleTxtG"/>
      </w:pPr>
      <w:r>
        <w:t>17</w:t>
      </w:r>
      <w:r w:rsidR="00BB55E3">
        <w:t>6</w:t>
      </w:r>
      <w:r>
        <w:t>.</w:t>
      </w:r>
      <w:r>
        <w:tab/>
      </w:r>
      <w:r w:rsidR="0073666E" w:rsidRPr="007A7C73">
        <w:t xml:space="preserve">Le canton de FR a révisé, en 2016, toute sa législation dans le domaine de l’exécution des sanctions pénales. Cette révision est entrée en vigueur le 1er janvier 2018. </w:t>
      </w:r>
    </w:p>
    <w:p w14:paraId="5CD6B84B" w14:textId="77777777" w:rsidR="0073666E" w:rsidRPr="007A7C73" w:rsidRDefault="0064634C" w:rsidP="007A7C73">
      <w:pPr>
        <w:pStyle w:val="SingleTxtG"/>
      </w:pPr>
      <w:r>
        <w:t>17</w:t>
      </w:r>
      <w:r w:rsidR="00BB55E3">
        <w:t>7</w:t>
      </w:r>
      <w:r>
        <w:t>.</w:t>
      </w:r>
      <w:r>
        <w:tab/>
      </w:r>
      <w:r w:rsidR="0073666E" w:rsidRPr="00D641C5">
        <w:t xml:space="preserve">Dans le canton BS, la CNPT a visité aussi bien l’établissement de détention avant jugement que la prison de </w:t>
      </w:r>
      <w:proofErr w:type="spellStart"/>
      <w:r w:rsidR="0073666E" w:rsidRPr="00D641C5">
        <w:t>Bässlergut</w:t>
      </w:r>
      <w:proofErr w:type="spellEnd"/>
      <w:r w:rsidR="0073666E" w:rsidRPr="00D641C5">
        <w:t xml:space="preserve"> (BS). Nombre de ses recommandations ont été mises en œuvre.</w:t>
      </w:r>
      <w:r w:rsidR="0073666E" w:rsidRPr="007A7C73">
        <w:t xml:space="preserve"> </w:t>
      </w:r>
    </w:p>
    <w:p w14:paraId="346906C3" w14:textId="77777777" w:rsidR="0073666E" w:rsidRPr="007A7C73" w:rsidRDefault="0064634C" w:rsidP="007A7C73">
      <w:pPr>
        <w:pStyle w:val="SingleTxtG"/>
      </w:pPr>
      <w:r>
        <w:t>17</w:t>
      </w:r>
      <w:r w:rsidR="00BB55E3">
        <w:t>8</w:t>
      </w:r>
      <w:r>
        <w:t>.</w:t>
      </w:r>
      <w:r>
        <w:tab/>
      </w:r>
      <w:r w:rsidR="0073666E" w:rsidRPr="007A7C73">
        <w:t>SH indique que l’infrastructure de la prison ne satisfait que partiellement aux exigences et aux normes actuelles, raison pour laquelle le Conseil d’</w:t>
      </w:r>
      <w:r w:rsidR="00D94D41">
        <w:t>État</w:t>
      </w:r>
      <w:r w:rsidR="0073666E" w:rsidRPr="007A7C73">
        <w:t xml:space="preserve"> a lancé les travaux de planification d’un nouveau centre de police et de sécurité. La votation sur la réalisation du projet a eu lieu le 10 juin 2018. La population de Schaffhouse a donné son accord à la construction du nouveau centre.</w:t>
      </w:r>
    </w:p>
    <w:p w14:paraId="3C3547CC" w14:textId="77777777" w:rsidR="0073666E" w:rsidRPr="007A7C73" w:rsidRDefault="0064634C" w:rsidP="007A7C73">
      <w:pPr>
        <w:pStyle w:val="SingleTxtG"/>
      </w:pPr>
      <w:r>
        <w:t>1</w:t>
      </w:r>
      <w:r w:rsidR="00BB55E3">
        <w:t>79</w:t>
      </w:r>
      <w:r>
        <w:t>.</w:t>
      </w:r>
      <w:r>
        <w:tab/>
      </w:r>
      <w:r w:rsidR="0073666E" w:rsidRPr="007A7C73">
        <w:t xml:space="preserve">Dans le canton de SG, des précisions ont été apportées dans un IIIe avenant à l’ordonnance sur les prisons et les établissements d’exécution, concernant par ex. la fouille des détenus (s’il faut que le détenu se déshabille, il le fait en l’absence d’autres détenus et en deux temps), l’information des détenus à leur arrivée (un entretien est mené avec le détenu lors de son entrée. Il sert à clarifier sa situation personnelle et ses soucis et, si nécessaire, l’aide médicale et sociale dont il a besoin.), les médicaments (la détention et la </w:t>
      </w:r>
      <w:r w:rsidR="0073666E" w:rsidRPr="007A7C73">
        <w:lastRenderedPageBreak/>
        <w:t xml:space="preserve">consommation de médicaments non prescrits ou autorisés par le médecin de la prison sont interdites. Des médicaments ne peuvent être fournis que sur ordonnance et selon les instructions du médecin de la prison. Les médicaments doivent être pris sous surveillance à moins que le médecin de la prison n’en ait décidé autrement. La direction de la prison s’assure que la fourniture de médicaments aux détenus peut être retracée en tout temps. Lorsqu’un détenu refuse de prendre des médicaments, le médecin de la prison l’informe des risques qu’il prend. S’il persévère dans son refus, son vœu est respecté aussi longtemps qu’on peut supposer qu’il dispose de son libre-arbitre et qu’il est capable de discernement. Est réservé un traitement forcé au sens de l’art. 61, al. 2, de la loi cantonale du 3 août 2010 portant introduction du </w:t>
      </w:r>
      <w:r w:rsidR="00D94D41" w:rsidRPr="007A7C73">
        <w:t xml:space="preserve">Code </w:t>
      </w:r>
      <w:r w:rsidR="0073666E" w:rsidRPr="007A7C73">
        <w:t>de procédure pénale et de la procédure pénale applicable aux mineurs.). L’ordonnance sur les prisons et les établissements d’exécution traite également de la surveillance. Elle prévoit que les cellules d’arrêt et de sécurité peuvent être surveillées via une installation, que cette surveillance doit être visible, que le détenu doit en être informé et que sa sphère intime doit être convenablement protégée.</w:t>
      </w:r>
    </w:p>
    <w:p w14:paraId="63103898" w14:textId="77777777" w:rsidR="0073666E" w:rsidRPr="007A7C73" w:rsidRDefault="0064634C" w:rsidP="007A7C73">
      <w:pPr>
        <w:pStyle w:val="SingleTxtG"/>
      </w:pPr>
      <w:r>
        <w:t>1</w:t>
      </w:r>
      <w:r w:rsidR="00BB55E3">
        <w:t>80</w:t>
      </w:r>
      <w:r>
        <w:t>.</w:t>
      </w:r>
      <w:r>
        <w:tab/>
      </w:r>
      <w:r w:rsidR="0073666E" w:rsidRPr="007A7C73">
        <w:t>Le canton de SG est en train de rénover son infrastructure pénitentiaire. Dans un premier temps, la prison régionale d’Altstätten (SG) ser</w:t>
      </w:r>
      <w:r w:rsidR="00B858E4">
        <w:t>a agrandie, passant de 45 à 126 </w:t>
      </w:r>
      <w:r w:rsidR="0073666E" w:rsidRPr="007A7C73">
        <w:t xml:space="preserve">places, et disposera des espaces correspondants pour les activités, le sport, les loisirs et les contacts sociaux dans les groupes d’habitation. Cette extension permettra de fermer quatre petites prisons et d’améliorer la qualité de la prise en charge. Le </w:t>
      </w:r>
      <w:r w:rsidR="003C7C2B" w:rsidRPr="007A7C73">
        <w:t xml:space="preserve">Parlement </w:t>
      </w:r>
      <w:r w:rsidR="0073666E" w:rsidRPr="007A7C73">
        <w:t>cantonal a adopté le crédit de construction par 114 voix pour et aucune opposition et démontré ainsi qu’il avait conscience de la nécessité d’augmenter les effectifs. Les citoyens ont accepté le crédit lors de la votation du 25 novembre 2018.</w:t>
      </w:r>
    </w:p>
    <w:p w14:paraId="0058171C" w14:textId="77777777" w:rsidR="0073666E" w:rsidRPr="007A7C73" w:rsidRDefault="0064634C" w:rsidP="007A7C73">
      <w:pPr>
        <w:pStyle w:val="SingleTxtG"/>
      </w:pPr>
      <w:r>
        <w:t>1</w:t>
      </w:r>
      <w:r w:rsidR="00BB55E3">
        <w:t>81</w:t>
      </w:r>
      <w:r>
        <w:t>.</w:t>
      </w:r>
      <w:r>
        <w:tab/>
      </w:r>
      <w:r w:rsidR="0073666E" w:rsidRPr="007A7C73">
        <w:t xml:space="preserve">Les travaux de planification du remplacement des deux prisons de la ville de St-Gall, installées dans des bâtiments historiques, ont commencé. La construction d’une unité forensique de 16 lits est prévue dans la clinique psychiatrique de Will (SG). Le </w:t>
      </w:r>
      <w:r w:rsidR="003C7C2B" w:rsidRPr="007A7C73">
        <w:t xml:space="preserve">Parlement </w:t>
      </w:r>
      <w:r w:rsidR="0073666E" w:rsidRPr="007A7C73">
        <w:t>cantonal a également adopté le crédit de construction par 108 voix pour, aucune contre et 5</w:t>
      </w:r>
      <w:r w:rsidR="00EE1CDF">
        <w:t> </w:t>
      </w:r>
      <w:r w:rsidR="0073666E" w:rsidRPr="007A7C73">
        <w:t>abstentions. Aucune votation n’est requise ici. L’unité permettra d’améliorer sensiblement l’hébergement, la prise en charge et le traitement des détenus souffrant de troubles psychiques.</w:t>
      </w:r>
    </w:p>
    <w:p w14:paraId="4E7B3243" w14:textId="77777777" w:rsidR="0073666E" w:rsidRPr="007A7C73" w:rsidRDefault="00BB55E3" w:rsidP="007A7C73">
      <w:pPr>
        <w:pStyle w:val="SingleTxtG"/>
      </w:pPr>
      <w:r>
        <w:t>182</w:t>
      </w:r>
      <w:r w:rsidR="0064634C">
        <w:t>.</w:t>
      </w:r>
      <w:r w:rsidR="0064634C">
        <w:tab/>
      </w:r>
      <w:r w:rsidR="0073666E" w:rsidRPr="007A7C73">
        <w:t>Dans le foyer d’éducation d’Aarburg (AG), la conception, règlement disciplinaire compris, a été entièrement remaniée et adaptée aux nouvelles conditions légales (notamment dans le domaine de l’hébergement à des fins d’assistance inscrite dans le droit civil).</w:t>
      </w:r>
    </w:p>
    <w:p w14:paraId="67440ACE" w14:textId="77777777" w:rsidR="0073666E" w:rsidRPr="007A7C73" w:rsidRDefault="00BB55E3" w:rsidP="00C759E4">
      <w:pPr>
        <w:pStyle w:val="SingleTxtG"/>
      </w:pPr>
      <w:r>
        <w:t>183</w:t>
      </w:r>
      <w:r w:rsidR="0064634C">
        <w:t>.</w:t>
      </w:r>
      <w:r w:rsidR="0064634C">
        <w:tab/>
      </w:r>
      <w:r w:rsidR="0073666E" w:rsidRPr="007A7C73">
        <w:t>Le canton du TI a fourni les informations suivantes</w:t>
      </w:r>
      <w:r w:rsidR="00222D58">
        <w:t> </w:t>
      </w:r>
      <w:r w:rsidR="0073666E" w:rsidRPr="007A7C73">
        <w:t>: en avril 2018, le Conseil d’</w:t>
      </w:r>
      <w:r w:rsidR="00D94D41">
        <w:t>État</w:t>
      </w:r>
      <w:r w:rsidR="0073666E" w:rsidRPr="007A7C73">
        <w:t xml:space="preserve"> a approuvé la nouvelle organisation de la gestion de la médecine carcérale dans les Structures carcérales cantonales. Un service spécial sera créé, géré par l’Ente </w:t>
      </w:r>
      <w:proofErr w:type="spellStart"/>
      <w:r w:rsidR="0073666E" w:rsidRPr="007A7C73">
        <w:t>Ospedaliero</w:t>
      </w:r>
      <w:proofErr w:type="spellEnd"/>
      <w:r w:rsidR="0073666E" w:rsidRPr="007A7C73">
        <w:t xml:space="preserve"> Cantonale (EOC, institut hospitalier cantonal) avec la collaboration de l’Organisation </w:t>
      </w:r>
      <w:proofErr w:type="spellStart"/>
      <w:r w:rsidR="0073666E" w:rsidRPr="007A7C73">
        <w:t>sociopsychiatrique</w:t>
      </w:r>
      <w:proofErr w:type="spellEnd"/>
      <w:r w:rsidR="0073666E" w:rsidRPr="007A7C73">
        <w:t xml:space="preserve"> cantonale. La nouvelle organisation, qui sera introduite graduellement dans le courant de l’année 2018, prévoit en particulier la présence permanente d’un médecin, qui fera office de responsable du service médical carcéral et coordonnera les activités. Ce service comprendra le service somatique, assuré grâce au soutien de l’EOC, et le service psychiatrique, avec la collaboration de l’organisation </w:t>
      </w:r>
      <w:proofErr w:type="spellStart"/>
      <w:r w:rsidR="0073666E" w:rsidRPr="007A7C73">
        <w:t>sociopsychiatrique</w:t>
      </w:r>
      <w:proofErr w:type="spellEnd"/>
      <w:r w:rsidR="0073666E" w:rsidRPr="007A7C73">
        <w:t xml:space="preserve"> cantonale, et bénéficiera du soutien d’un service infirmier qui pourra aussi compter sur des agents de détention spécialisés. </w:t>
      </w:r>
      <w:r w:rsidR="0073666E" w:rsidRPr="00C759E4">
        <w:t>Le</w:t>
      </w:r>
      <w:r w:rsidR="0073666E" w:rsidRPr="007A7C73">
        <w:t xml:space="preserve"> personnel des Structures carcérales cantonales a été augmenté de 13</w:t>
      </w:r>
      <w:r w:rsidR="00A014D4">
        <w:t> </w:t>
      </w:r>
      <w:r w:rsidR="0073666E" w:rsidRPr="007A7C73">
        <w:t>nouvelles unités en novembre 2017: 11,5 à partir de 2018 et 1,5 à partir de de 2020. D’importants progrès organisationnels ont été réalisés</w:t>
      </w:r>
      <w:r w:rsidR="00222D58">
        <w:t> </w:t>
      </w:r>
      <w:r w:rsidR="0073666E" w:rsidRPr="007A7C73">
        <w:t>: l’adoption de l’application informatique AGITI/</w:t>
      </w:r>
      <w:proofErr w:type="spellStart"/>
      <w:r w:rsidR="0073666E" w:rsidRPr="007A7C73">
        <w:t>Juris</w:t>
      </w:r>
      <w:proofErr w:type="spellEnd"/>
      <w:r w:rsidR="0073666E" w:rsidRPr="007A7C73">
        <w:t xml:space="preserve"> a été concrétisée, qui permettra aux Structures carcérales cantonales de gérer de manière plus rationnelle les processus comptables et les processus inhérents à la population carcérale. S’agissant des détenus atteints de pathologies psychiatriques, caractérisées ou non par des comportements agressifs, des études de faisabilité relatives à la construction de sections consacrées aux détenus psychiatriques et aux détenus dangereux à l’intérieur des Structures carcérales cantonales sont en cour. Est également à l’étude la possibilité d’ouvrir pour les femmes une structure déjà existante à </w:t>
      </w:r>
      <w:proofErr w:type="spellStart"/>
      <w:r w:rsidR="0073666E" w:rsidRPr="007A7C73">
        <w:t>Torricella</w:t>
      </w:r>
      <w:proofErr w:type="spellEnd"/>
      <w:r w:rsidR="0073666E" w:rsidRPr="007A7C73">
        <w:t>, pendant la restructuration ou la construction d’un nouveau bâtiment pour le pénitencier cantonal, où sera créé une section spécifique. En 2017, le canton du TI a mis en œuvre un changement de technologie en ce qui concerne l’exécution de la surveillance électronique</w:t>
      </w:r>
      <w:r w:rsidR="00222D58">
        <w:t> </w:t>
      </w:r>
      <w:r w:rsidR="0073666E" w:rsidRPr="007A7C73">
        <w:t xml:space="preserve">: d’un système de contrôle à domicile par fréquence radio, il est passé à un </w:t>
      </w:r>
      <w:r w:rsidR="0073666E" w:rsidRPr="007A7C73">
        <w:lastRenderedPageBreak/>
        <w:t>contrôle mobile et par GPS. Le canton du TI avait été choisi comme canton pilote pour la surveillance électronique.</w:t>
      </w:r>
    </w:p>
    <w:p w14:paraId="385F8097" w14:textId="77777777" w:rsidR="0073666E" w:rsidRPr="007A7C73" w:rsidRDefault="0064634C" w:rsidP="007A7C73">
      <w:pPr>
        <w:pStyle w:val="SingleTxtG"/>
      </w:pPr>
      <w:r>
        <w:t>18</w:t>
      </w:r>
      <w:r w:rsidR="00BB55E3">
        <w:t>4</w:t>
      </w:r>
      <w:r>
        <w:t>.</w:t>
      </w:r>
      <w:r>
        <w:tab/>
      </w:r>
      <w:r w:rsidR="0073666E" w:rsidRPr="007A7C73">
        <w:t>Le VS évoque les mesures principales suivantes</w:t>
      </w:r>
      <w:r w:rsidR="00222D58">
        <w:t> </w:t>
      </w:r>
      <w:r w:rsidR="0073666E" w:rsidRPr="007A7C73">
        <w:t>: augmentation du personnel carcéral</w:t>
      </w:r>
      <w:r w:rsidR="00556A55">
        <w:t> </w:t>
      </w:r>
      <w:r w:rsidR="0073666E" w:rsidRPr="007A7C73">
        <w:t>; fermeture de la Prison de Martigny (VS); aménagements au Centre LMC de Granges (VS) (rénovation des cellules, changement du mobilier, création d’une salle de sport et de loisirs, augmentation du temps dévolu aux loisirs, etc.); création de la Commission consultative LMC visant à définir les améliorations à apporter au Centre précité.</w:t>
      </w:r>
    </w:p>
    <w:p w14:paraId="42D4EF15" w14:textId="77777777" w:rsidR="007A7C73" w:rsidRDefault="0064634C" w:rsidP="00D94D41">
      <w:pPr>
        <w:pStyle w:val="SingleTxtG"/>
        <w:rPr>
          <w:lang w:val="de-CH"/>
        </w:rPr>
      </w:pPr>
      <w:r>
        <w:t>18</w:t>
      </w:r>
      <w:r w:rsidR="00BB55E3">
        <w:t>5</w:t>
      </w:r>
      <w:r>
        <w:t>.</w:t>
      </w:r>
      <w:r>
        <w:tab/>
      </w:r>
      <w:r w:rsidR="0073666E" w:rsidRPr="007A7C73">
        <w:t>Depuis 2014, le service pénitentiaire</w:t>
      </w:r>
      <w:r w:rsidR="0073666E" w:rsidRPr="007A7C73">
        <w:rPr>
          <w:lang w:val="de-CH"/>
        </w:rPr>
        <w:t xml:space="preserve"> de NE a </w:t>
      </w:r>
      <w:proofErr w:type="spellStart"/>
      <w:r w:rsidR="0073666E" w:rsidRPr="007A7C73">
        <w:rPr>
          <w:lang w:val="de-CH"/>
        </w:rPr>
        <w:t>poursuivi</w:t>
      </w:r>
      <w:proofErr w:type="spellEnd"/>
      <w:r w:rsidR="0073666E" w:rsidRPr="007A7C73">
        <w:rPr>
          <w:lang w:val="de-CH"/>
        </w:rPr>
        <w:t xml:space="preserve"> le </w:t>
      </w:r>
      <w:proofErr w:type="spellStart"/>
      <w:r w:rsidR="0073666E" w:rsidRPr="007A7C73">
        <w:rPr>
          <w:lang w:val="de-CH"/>
        </w:rPr>
        <w:t>travail</w:t>
      </w:r>
      <w:proofErr w:type="spellEnd"/>
      <w:r w:rsidR="0073666E" w:rsidRPr="007A7C73">
        <w:rPr>
          <w:lang w:val="de-CH"/>
        </w:rPr>
        <w:t xml:space="preserve"> de </w:t>
      </w:r>
      <w:proofErr w:type="spellStart"/>
      <w:r w:rsidR="0073666E" w:rsidRPr="007A7C73">
        <w:rPr>
          <w:lang w:val="de-CH"/>
        </w:rPr>
        <w:t>réforme</w:t>
      </w:r>
      <w:proofErr w:type="spellEnd"/>
      <w:r w:rsidR="0073666E" w:rsidRPr="007A7C73">
        <w:rPr>
          <w:lang w:val="de-CH"/>
        </w:rPr>
        <w:t xml:space="preserve"> du </w:t>
      </w:r>
      <w:proofErr w:type="spellStart"/>
      <w:r w:rsidR="0073666E" w:rsidRPr="007A7C73">
        <w:rPr>
          <w:lang w:val="de-CH"/>
        </w:rPr>
        <w:t>domaine</w:t>
      </w:r>
      <w:proofErr w:type="spellEnd"/>
      <w:r w:rsidR="0073666E" w:rsidRPr="007A7C73">
        <w:rPr>
          <w:lang w:val="de-CH"/>
        </w:rPr>
        <w:t xml:space="preserve"> de </w:t>
      </w:r>
      <w:proofErr w:type="spellStart"/>
      <w:r w:rsidR="0073666E" w:rsidRPr="007A7C73">
        <w:rPr>
          <w:lang w:val="de-CH"/>
        </w:rPr>
        <w:t>l</w:t>
      </w:r>
      <w:r w:rsidR="00A27519">
        <w:rPr>
          <w:lang w:val="de-CH"/>
        </w:rPr>
        <w:t>’</w:t>
      </w:r>
      <w:r w:rsidR="0073666E" w:rsidRPr="007A7C73">
        <w:rPr>
          <w:lang w:val="de-CH"/>
        </w:rPr>
        <w:t>exécution</w:t>
      </w:r>
      <w:proofErr w:type="spellEnd"/>
      <w:r w:rsidR="0073666E" w:rsidRPr="007A7C73">
        <w:rPr>
          <w:lang w:val="de-CH"/>
        </w:rPr>
        <w:t xml:space="preserve"> des </w:t>
      </w:r>
      <w:proofErr w:type="spellStart"/>
      <w:r w:rsidR="0073666E" w:rsidRPr="007A7C73">
        <w:rPr>
          <w:lang w:val="de-CH"/>
        </w:rPr>
        <w:t>sanctions</w:t>
      </w:r>
      <w:proofErr w:type="spellEnd"/>
      <w:r w:rsidR="0073666E" w:rsidRPr="007A7C73">
        <w:rPr>
          <w:lang w:val="de-CH"/>
        </w:rPr>
        <w:t xml:space="preserve"> </w:t>
      </w:r>
      <w:proofErr w:type="spellStart"/>
      <w:r w:rsidR="0073666E" w:rsidRPr="007A7C73">
        <w:rPr>
          <w:lang w:val="de-CH"/>
        </w:rPr>
        <w:t>pénales</w:t>
      </w:r>
      <w:proofErr w:type="spellEnd"/>
      <w:r w:rsidR="0073666E" w:rsidRPr="007A7C73">
        <w:rPr>
          <w:lang w:val="de-CH"/>
        </w:rPr>
        <w:t xml:space="preserve"> </w:t>
      </w:r>
      <w:proofErr w:type="spellStart"/>
      <w:r w:rsidR="0073666E" w:rsidRPr="007A7C73">
        <w:rPr>
          <w:lang w:val="de-CH"/>
        </w:rPr>
        <w:t>prévu</w:t>
      </w:r>
      <w:proofErr w:type="spellEnd"/>
      <w:r w:rsidR="0073666E" w:rsidRPr="007A7C73">
        <w:rPr>
          <w:lang w:val="de-CH"/>
        </w:rPr>
        <w:t xml:space="preserve"> par le plan </w:t>
      </w:r>
      <w:proofErr w:type="spellStart"/>
      <w:r w:rsidR="0073666E" w:rsidRPr="007A7C73">
        <w:rPr>
          <w:lang w:val="de-CH"/>
        </w:rPr>
        <w:t>d</w:t>
      </w:r>
      <w:r w:rsidR="00A27519">
        <w:rPr>
          <w:lang w:val="de-CH"/>
        </w:rPr>
        <w:t>’</w:t>
      </w:r>
      <w:r w:rsidR="0073666E" w:rsidRPr="007A7C73">
        <w:rPr>
          <w:lang w:val="de-CH"/>
        </w:rPr>
        <w:t>action</w:t>
      </w:r>
      <w:proofErr w:type="spellEnd"/>
      <w:r w:rsidR="0073666E" w:rsidRPr="007A7C73">
        <w:rPr>
          <w:lang w:val="de-CH"/>
        </w:rPr>
        <w:t xml:space="preserve"> </w:t>
      </w:r>
      <w:proofErr w:type="spellStart"/>
      <w:r w:rsidR="0073666E" w:rsidRPr="007A7C73">
        <w:rPr>
          <w:lang w:val="de-CH"/>
        </w:rPr>
        <w:t>adopté</w:t>
      </w:r>
      <w:proofErr w:type="spellEnd"/>
      <w:r w:rsidR="0073666E" w:rsidRPr="007A7C73">
        <w:rPr>
          <w:lang w:val="de-CH"/>
        </w:rPr>
        <w:t xml:space="preserve"> par le Grand Conseil </w:t>
      </w:r>
      <w:proofErr w:type="spellStart"/>
      <w:r w:rsidR="0073666E" w:rsidRPr="007A7C73">
        <w:rPr>
          <w:lang w:val="de-CH"/>
        </w:rPr>
        <w:t>neuchâtelois</w:t>
      </w:r>
      <w:proofErr w:type="spellEnd"/>
      <w:r w:rsidR="0073666E" w:rsidRPr="007A7C73">
        <w:rPr>
          <w:lang w:val="de-CH"/>
        </w:rPr>
        <w:t xml:space="preserve"> au </w:t>
      </w:r>
      <w:proofErr w:type="spellStart"/>
      <w:r w:rsidR="0073666E" w:rsidRPr="007A7C73">
        <w:rPr>
          <w:lang w:val="de-CH"/>
        </w:rPr>
        <w:t>mois</w:t>
      </w:r>
      <w:proofErr w:type="spellEnd"/>
      <w:r w:rsidR="0073666E" w:rsidRPr="007A7C73">
        <w:rPr>
          <w:lang w:val="de-CH"/>
        </w:rPr>
        <w:t xml:space="preserve"> de </w:t>
      </w:r>
      <w:proofErr w:type="spellStart"/>
      <w:r w:rsidR="0073666E" w:rsidRPr="007A7C73">
        <w:rPr>
          <w:lang w:val="de-CH"/>
        </w:rPr>
        <w:t>septembre</w:t>
      </w:r>
      <w:proofErr w:type="spellEnd"/>
      <w:r w:rsidR="0073666E" w:rsidRPr="007A7C73">
        <w:rPr>
          <w:lang w:val="de-CH"/>
        </w:rPr>
        <w:t xml:space="preserve"> 2013. </w:t>
      </w:r>
      <w:proofErr w:type="spellStart"/>
      <w:r w:rsidR="0073666E" w:rsidRPr="007A7C73">
        <w:rPr>
          <w:lang w:val="de-CH"/>
        </w:rPr>
        <w:t>Les</w:t>
      </w:r>
      <w:proofErr w:type="spellEnd"/>
      <w:r w:rsidR="0073666E" w:rsidRPr="007A7C73">
        <w:rPr>
          <w:lang w:val="de-CH"/>
        </w:rPr>
        <w:t xml:space="preserve"> </w:t>
      </w:r>
      <w:proofErr w:type="spellStart"/>
      <w:r w:rsidR="0073666E" w:rsidRPr="007A7C73">
        <w:rPr>
          <w:lang w:val="de-CH"/>
        </w:rPr>
        <w:t>travaux</w:t>
      </w:r>
      <w:proofErr w:type="spellEnd"/>
      <w:r w:rsidR="0073666E" w:rsidRPr="007A7C73">
        <w:rPr>
          <w:lang w:val="de-CH"/>
        </w:rPr>
        <w:t xml:space="preserve"> de </w:t>
      </w:r>
      <w:proofErr w:type="spellStart"/>
      <w:r w:rsidR="0073666E" w:rsidRPr="007A7C73">
        <w:rPr>
          <w:lang w:val="de-CH"/>
        </w:rPr>
        <w:t>rénovation</w:t>
      </w:r>
      <w:proofErr w:type="spellEnd"/>
      <w:r w:rsidR="0073666E" w:rsidRPr="007A7C73">
        <w:rPr>
          <w:lang w:val="de-CH"/>
        </w:rPr>
        <w:t xml:space="preserve"> et </w:t>
      </w:r>
      <w:proofErr w:type="spellStart"/>
      <w:r w:rsidR="0073666E" w:rsidRPr="007A7C73">
        <w:rPr>
          <w:lang w:val="de-CH"/>
        </w:rPr>
        <w:t>d’agrandissement</w:t>
      </w:r>
      <w:proofErr w:type="spellEnd"/>
      <w:r w:rsidR="0073666E" w:rsidRPr="007A7C73">
        <w:rPr>
          <w:lang w:val="de-CH"/>
        </w:rPr>
        <w:t xml:space="preserve"> des deux </w:t>
      </w:r>
      <w:proofErr w:type="spellStart"/>
      <w:r w:rsidR="0073666E" w:rsidRPr="007A7C73">
        <w:rPr>
          <w:lang w:val="de-CH"/>
        </w:rPr>
        <w:t>établissements</w:t>
      </w:r>
      <w:proofErr w:type="spellEnd"/>
      <w:r w:rsidR="0073666E" w:rsidRPr="007A7C73">
        <w:rPr>
          <w:lang w:val="de-CH"/>
        </w:rPr>
        <w:t xml:space="preserve"> </w:t>
      </w:r>
      <w:proofErr w:type="spellStart"/>
      <w:r w:rsidR="0073666E" w:rsidRPr="007A7C73">
        <w:rPr>
          <w:lang w:val="de-CH"/>
        </w:rPr>
        <w:t>pénitentiaires</w:t>
      </w:r>
      <w:proofErr w:type="spellEnd"/>
      <w:r w:rsidR="0073666E" w:rsidRPr="007A7C73">
        <w:rPr>
          <w:lang w:val="de-CH"/>
        </w:rPr>
        <w:t xml:space="preserve"> du </w:t>
      </w:r>
      <w:proofErr w:type="spellStart"/>
      <w:r w:rsidR="0073666E" w:rsidRPr="007A7C73">
        <w:rPr>
          <w:lang w:val="de-CH"/>
        </w:rPr>
        <w:t>canton</w:t>
      </w:r>
      <w:proofErr w:type="spellEnd"/>
      <w:r w:rsidR="0073666E" w:rsidRPr="007A7C73">
        <w:rPr>
          <w:lang w:val="de-CH"/>
        </w:rPr>
        <w:t xml:space="preserve"> se </w:t>
      </w:r>
      <w:proofErr w:type="spellStart"/>
      <w:r w:rsidR="0073666E" w:rsidRPr="007A7C73">
        <w:rPr>
          <w:lang w:val="de-CH"/>
        </w:rPr>
        <w:t>sont</w:t>
      </w:r>
      <w:proofErr w:type="spellEnd"/>
      <w:r w:rsidR="0073666E" w:rsidRPr="007A7C73">
        <w:rPr>
          <w:lang w:val="de-CH"/>
        </w:rPr>
        <w:t xml:space="preserve"> </w:t>
      </w:r>
      <w:proofErr w:type="spellStart"/>
      <w:r w:rsidR="0073666E" w:rsidRPr="007A7C73">
        <w:rPr>
          <w:lang w:val="de-CH"/>
        </w:rPr>
        <w:t>achevés</w:t>
      </w:r>
      <w:proofErr w:type="spellEnd"/>
      <w:r w:rsidR="0073666E" w:rsidRPr="007A7C73">
        <w:rPr>
          <w:lang w:val="de-CH"/>
        </w:rPr>
        <w:t xml:space="preserve"> et </w:t>
      </w:r>
      <w:proofErr w:type="spellStart"/>
      <w:r w:rsidR="0073666E" w:rsidRPr="007A7C73">
        <w:rPr>
          <w:lang w:val="de-CH"/>
        </w:rPr>
        <w:t>les</w:t>
      </w:r>
      <w:proofErr w:type="spellEnd"/>
      <w:r w:rsidR="0073666E" w:rsidRPr="007A7C73">
        <w:rPr>
          <w:lang w:val="de-CH"/>
        </w:rPr>
        <w:t xml:space="preserve"> </w:t>
      </w:r>
      <w:proofErr w:type="spellStart"/>
      <w:r w:rsidR="0073666E" w:rsidRPr="007A7C73">
        <w:rPr>
          <w:lang w:val="de-CH"/>
        </w:rPr>
        <w:t>locaux</w:t>
      </w:r>
      <w:proofErr w:type="spellEnd"/>
      <w:r w:rsidR="0073666E" w:rsidRPr="007A7C73">
        <w:rPr>
          <w:lang w:val="de-CH"/>
        </w:rPr>
        <w:t xml:space="preserve"> </w:t>
      </w:r>
      <w:proofErr w:type="spellStart"/>
      <w:r w:rsidR="0073666E" w:rsidRPr="007A7C73">
        <w:rPr>
          <w:lang w:val="de-CH"/>
        </w:rPr>
        <w:t>répondent</w:t>
      </w:r>
      <w:proofErr w:type="spellEnd"/>
      <w:r w:rsidR="0073666E" w:rsidRPr="007A7C73">
        <w:rPr>
          <w:lang w:val="de-CH"/>
        </w:rPr>
        <w:t xml:space="preserve"> </w:t>
      </w:r>
      <w:proofErr w:type="spellStart"/>
      <w:r w:rsidR="0073666E" w:rsidRPr="007A7C73">
        <w:rPr>
          <w:lang w:val="de-CH"/>
        </w:rPr>
        <w:t>aux</w:t>
      </w:r>
      <w:proofErr w:type="spellEnd"/>
      <w:r w:rsidR="0073666E" w:rsidRPr="007A7C73">
        <w:rPr>
          <w:lang w:val="de-CH"/>
        </w:rPr>
        <w:t xml:space="preserve"> </w:t>
      </w:r>
      <w:proofErr w:type="spellStart"/>
      <w:r w:rsidR="0073666E" w:rsidRPr="007A7C73">
        <w:rPr>
          <w:lang w:val="de-CH"/>
        </w:rPr>
        <w:t>besoins</w:t>
      </w:r>
      <w:proofErr w:type="spellEnd"/>
      <w:r w:rsidR="0073666E" w:rsidRPr="007A7C73">
        <w:rPr>
          <w:lang w:val="de-CH"/>
        </w:rPr>
        <w:t xml:space="preserve"> de </w:t>
      </w:r>
      <w:proofErr w:type="spellStart"/>
      <w:r w:rsidR="0073666E" w:rsidRPr="007A7C73">
        <w:rPr>
          <w:lang w:val="de-CH"/>
        </w:rPr>
        <w:t>prise</w:t>
      </w:r>
      <w:proofErr w:type="spellEnd"/>
      <w:r w:rsidR="0073666E" w:rsidRPr="007A7C73">
        <w:rPr>
          <w:lang w:val="de-CH"/>
        </w:rPr>
        <w:t xml:space="preserve"> en </w:t>
      </w:r>
      <w:proofErr w:type="spellStart"/>
      <w:r w:rsidR="0073666E" w:rsidRPr="007A7C73">
        <w:rPr>
          <w:lang w:val="de-CH"/>
        </w:rPr>
        <w:t>charge</w:t>
      </w:r>
      <w:proofErr w:type="spellEnd"/>
      <w:r w:rsidR="0073666E" w:rsidRPr="007A7C73">
        <w:rPr>
          <w:lang w:val="de-CH"/>
        </w:rPr>
        <w:t xml:space="preserve"> des </w:t>
      </w:r>
      <w:proofErr w:type="spellStart"/>
      <w:r w:rsidR="0073666E" w:rsidRPr="007A7C73">
        <w:rPr>
          <w:lang w:val="de-CH"/>
        </w:rPr>
        <w:t>personnes</w:t>
      </w:r>
      <w:proofErr w:type="spellEnd"/>
      <w:r w:rsidR="0073666E" w:rsidRPr="007A7C73">
        <w:rPr>
          <w:lang w:val="de-CH"/>
        </w:rPr>
        <w:t xml:space="preserve"> </w:t>
      </w:r>
      <w:proofErr w:type="spellStart"/>
      <w:r w:rsidR="0073666E" w:rsidRPr="007A7C73">
        <w:rPr>
          <w:lang w:val="de-CH"/>
        </w:rPr>
        <w:t>détenues</w:t>
      </w:r>
      <w:proofErr w:type="spellEnd"/>
      <w:r w:rsidR="0073666E" w:rsidRPr="007A7C73">
        <w:rPr>
          <w:lang w:val="de-CH"/>
        </w:rPr>
        <w:t xml:space="preserve">. Des </w:t>
      </w:r>
      <w:proofErr w:type="spellStart"/>
      <w:r w:rsidR="0073666E" w:rsidRPr="007A7C73">
        <w:rPr>
          <w:lang w:val="de-CH"/>
        </w:rPr>
        <w:t>concepts</w:t>
      </w:r>
      <w:proofErr w:type="spellEnd"/>
      <w:r w:rsidR="0073666E" w:rsidRPr="007A7C73">
        <w:rPr>
          <w:lang w:val="de-CH"/>
        </w:rPr>
        <w:t xml:space="preserve"> </w:t>
      </w:r>
      <w:proofErr w:type="spellStart"/>
      <w:r w:rsidR="0073666E" w:rsidRPr="007A7C73">
        <w:rPr>
          <w:lang w:val="de-CH"/>
        </w:rPr>
        <w:t>institutionnels</w:t>
      </w:r>
      <w:proofErr w:type="spellEnd"/>
      <w:r w:rsidR="0073666E" w:rsidRPr="007A7C73">
        <w:rPr>
          <w:lang w:val="de-CH"/>
        </w:rPr>
        <w:t xml:space="preserve"> </w:t>
      </w:r>
      <w:proofErr w:type="spellStart"/>
      <w:r w:rsidR="0073666E" w:rsidRPr="007A7C73">
        <w:rPr>
          <w:lang w:val="de-CH"/>
        </w:rPr>
        <w:t>ont</w:t>
      </w:r>
      <w:proofErr w:type="spellEnd"/>
      <w:r w:rsidR="0073666E" w:rsidRPr="007A7C73">
        <w:rPr>
          <w:lang w:val="de-CH"/>
        </w:rPr>
        <w:t xml:space="preserve"> </w:t>
      </w:r>
      <w:proofErr w:type="spellStart"/>
      <w:r w:rsidR="0073666E" w:rsidRPr="007A7C73">
        <w:rPr>
          <w:lang w:val="de-CH"/>
        </w:rPr>
        <w:t>également</w:t>
      </w:r>
      <w:proofErr w:type="spellEnd"/>
      <w:r w:rsidR="0073666E" w:rsidRPr="007A7C73">
        <w:rPr>
          <w:lang w:val="de-CH"/>
        </w:rPr>
        <w:t xml:space="preserve"> </w:t>
      </w:r>
      <w:proofErr w:type="spellStart"/>
      <w:r w:rsidR="0073666E" w:rsidRPr="007A7C73">
        <w:rPr>
          <w:lang w:val="de-CH"/>
        </w:rPr>
        <w:t>été</w:t>
      </w:r>
      <w:proofErr w:type="spellEnd"/>
      <w:r w:rsidR="0073666E" w:rsidRPr="007A7C73">
        <w:rPr>
          <w:lang w:val="de-CH"/>
        </w:rPr>
        <w:t xml:space="preserve"> </w:t>
      </w:r>
      <w:proofErr w:type="spellStart"/>
      <w:r w:rsidR="0073666E" w:rsidRPr="007A7C73">
        <w:rPr>
          <w:lang w:val="de-CH"/>
        </w:rPr>
        <w:t>finalisés</w:t>
      </w:r>
      <w:proofErr w:type="spellEnd"/>
      <w:r w:rsidR="0073666E" w:rsidRPr="007A7C73">
        <w:rPr>
          <w:lang w:val="de-CH"/>
        </w:rPr>
        <w:t xml:space="preserve">. </w:t>
      </w:r>
      <w:r w:rsidR="0073666E" w:rsidRPr="0073666E">
        <w:t>La loi cantonale a été revue au 1</w:t>
      </w:r>
      <w:r w:rsidR="0073666E" w:rsidRPr="007A7C73">
        <w:rPr>
          <w:vertAlign w:val="superscript"/>
        </w:rPr>
        <w:t>er</w:t>
      </w:r>
      <w:r w:rsidR="0073666E" w:rsidRPr="0073666E">
        <w:t xml:space="preserve"> janvier 2018 et les règlements exécutifs sont en cours d’adaptation pour respecter les normes supérieures. </w:t>
      </w:r>
      <w:proofErr w:type="spellStart"/>
      <w:r w:rsidR="0073666E" w:rsidRPr="007A7C73">
        <w:rPr>
          <w:lang w:val="de-CH"/>
        </w:rPr>
        <w:t>L’accent</w:t>
      </w:r>
      <w:proofErr w:type="spellEnd"/>
      <w:r w:rsidR="0073666E" w:rsidRPr="007A7C73">
        <w:rPr>
          <w:lang w:val="de-CH"/>
        </w:rPr>
        <w:t xml:space="preserve"> </w:t>
      </w:r>
      <w:proofErr w:type="spellStart"/>
      <w:r w:rsidR="0073666E" w:rsidRPr="007A7C73">
        <w:rPr>
          <w:lang w:val="de-CH"/>
        </w:rPr>
        <w:t>reste</w:t>
      </w:r>
      <w:proofErr w:type="spellEnd"/>
      <w:r w:rsidR="0073666E" w:rsidRPr="007A7C73">
        <w:rPr>
          <w:lang w:val="de-CH"/>
        </w:rPr>
        <w:t xml:space="preserve"> </w:t>
      </w:r>
      <w:proofErr w:type="spellStart"/>
      <w:r w:rsidR="0073666E" w:rsidRPr="007A7C73">
        <w:rPr>
          <w:lang w:val="de-CH"/>
        </w:rPr>
        <w:t>mis</w:t>
      </w:r>
      <w:proofErr w:type="spellEnd"/>
      <w:r w:rsidR="0073666E" w:rsidRPr="007A7C73">
        <w:rPr>
          <w:lang w:val="de-CH"/>
        </w:rPr>
        <w:t xml:space="preserve"> </w:t>
      </w:r>
      <w:proofErr w:type="spellStart"/>
      <w:r w:rsidR="0073666E" w:rsidRPr="007A7C73">
        <w:rPr>
          <w:lang w:val="de-CH"/>
        </w:rPr>
        <w:t>sur</w:t>
      </w:r>
      <w:proofErr w:type="spellEnd"/>
      <w:r w:rsidR="0073666E" w:rsidRPr="007A7C73">
        <w:rPr>
          <w:lang w:val="de-CH"/>
        </w:rPr>
        <w:t xml:space="preserve"> </w:t>
      </w:r>
      <w:proofErr w:type="spellStart"/>
      <w:r w:rsidR="0073666E" w:rsidRPr="007A7C73">
        <w:rPr>
          <w:lang w:val="de-CH"/>
        </w:rPr>
        <w:t>une</w:t>
      </w:r>
      <w:proofErr w:type="spellEnd"/>
      <w:r w:rsidR="0073666E" w:rsidRPr="007A7C73">
        <w:rPr>
          <w:lang w:val="de-CH"/>
        </w:rPr>
        <w:t xml:space="preserve"> </w:t>
      </w:r>
      <w:proofErr w:type="spellStart"/>
      <w:r w:rsidR="0073666E" w:rsidRPr="007A7C73">
        <w:rPr>
          <w:lang w:val="de-CH"/>
        </w:rPr>
        <w:t>collaboration</w:t>
      </w:r>
      <w:proofErr w:type="spellEnd"/>
      <w:r w:rsidR="0073666E" w:rsidRPr="007A7C73">
        <w:rPr>
          <w:lang w:val="de-CH"/>
        </w:rPr>
        <w:t xml:space="preserve"> </w:t>
      </w:r>
      <w:proofErr w:type="spellStart"/>
      <w:r w:rsidR="0073666E" w:rsidRPr="007A7C73">
        <w:rPr>
          <w:lang w:val="de-CH"/>
        </w:rPr>
        <w:t>avec</w:t>
      </w:r>
      <w:proofErr w:type="spellEnd"/>
      <w:r w:rsidR="0073666E" w:rsidRPr="007A7C73">
        <w:rPr>
          <w:lang w:val="de-CH"/>
        </w:rPr>
        <w:t xml:space="preserve"> </w:t>
      </w:r>
      <w:proofErr w:type="spellStart"/>
      <w:r w:rsidR="0073666E" w:rsidRPr="007A7C73">
        <w:rPr>
          <w:lang w:val="de-CH"/>
        </w:rPr>
        <w:t>les</w:t>
      </w:r>
      <w:proofErr w:type="spellEnd"/>
      <w:r w:rsidR="0073666E" w:rsidRPr="007A7C73">
        <w:rPr>
          <w:lang w:val="de-CH"/>
        </w:rPr>
        <w:t xml:space="preserve"> </w:t>
      </w:r>
      <w:proofErr w:type="spellStart"/>
      <w:r w:rsidR="0073666E" w:rsidRPr="007A7C73">
        <w:rPr>
          <w:lang w:val="de-CH"/>
        </w:rPr>
        <w:t>différents</w:t>
      </w:r>
      <w:proofErr w:type="spellEnd"/>
      <w:r w:rsidR="0073666E" w:rsidRPr="007A7C73">
        <w:rPr>
          <w:lang w:val="de-CH"/>
        </w:rPr>
        <w:t xml:space="preserve"> </w:t>
      </w:r>
      <w:proofErr w:type="spellStart"/>
      <w:r w:rsidR="0073666E" w:rsidRPr="007A7C73">
        <w:rPr>
          <w:lang w:val="de-CH"/>
        </w:rPr>
        <w:t>intervenants</w:t>
      </w:r>
      <w:proofErr w:type="spellEnd"/>
      <w:r w:rsidR="0073666E" w:rsidRPr="007A7C73">
        <w:rPr>
          <w:lang w:val="de-CH"/>
        </w:rPr>
        <w:t xml:space="preserve"> de la </w:t>
      </w:r>
      <w:proofErr w:type="spellStart"/>
      <w:r w:rsidR="0073666E" w:rsidRPr="007A7C73">
        <w:rPr>
          <w:lang w:val="de-CH"/>
        </w:rPr>
        <w:t>chaîne</w:t>
      </w:r>
      <w:proofErr w:type="spellEnd"/>
      <w:r w:rsidR="0073666E" w:rsidRPr="007A7C73">
        <w:rPr>
          <w:lang w:val="de-CH"/>
        </w:rPr>
        <w:t xml:space="preserve"> </w:t>
      </w:r>
      <w:proofErr w:type="spellStart"/>
      <w:r w:rsidR="0073666E" w:rsidRPr="007A7C73">
        <w:rPr>
          <w:lang w:val="de-CH"/>
        </w:rPr>
        <w:t>pénale</w:t>
      </w:r>
      <w:proofErr w:type="spellEnd"/>
      <w:r w:rsidR="0073666E" w:rsidRPr="007A7C73">
        <w:rPr>
          <w:lang w:val="de-CH"/>
        </w:rPr>
        <w:t xml:space="preserve"> et </w:t>
      </w:r>
      <w:proofErr w:type="spellStart"/>
      <w:r w:rsidR="0073666E" w:rsidRPr="007A7C73">
        <w:rPr>
          <w:lang w:val="de-CH"/>
        </w:rPr>
        <w:t>avec</w:t>
      </w:r>
      <w:proofErr w:type="spellEnd"/>
      <w:r w:rsidR="0073666E" w:rsidRPr="007A7C73">
        <w:rPr>
          <w:lang w:val="de-CH"/>
        </w:rPr>
        <w:t xml:space="preserve"> </w:t>
      </w:r>
      <w:proofErr w:type="spellStart"/>
      <w:r w:rsidR="0073666E" w:rsidRPr="007A7C73">
        <w:rPr>
          <w:lang w:val="de-CH"/>
        </w:rPr>
        <w:t>les</w:t>
      </w:r>
      <w:proofErr w:type="spellEnd"/>
      <w:r w:rsidR="0073666E" w:rsidRPr="007A7C73">
        <w:rPr>
          <w:lang w:val="de-CH"/>
        </w:rPr>
        <w:t xml:space="preserve"> </w:t>
      </w:r>
      <w:proofErr w:type="spellStart"/>
      <w:r w:rsidR="0073666E" w:rsidRPr="007A7C73">
        <w:rPr>
          <w:lang w:val="de-CH"/>
        </w:rPr>
        <w:t>partenaires</w:t>
      </w:r>
      <w:proofErr w:type="spellEnd"/>
      <w:r w:rsidR="0073666E" w:rsidRPr="007A7C73">
        <w:rPr>
          <w:lang w:val="de-CH"/>
        </w:rPr>
        <w:t xml:space="preserve"> du </w:t>
      </w:r>
      <w:proofErr w:type="spellStart"/>
      <w:r w:rsidR="0073666E" w:rsidRPr="007A7C73">
        <w:rPr>
          <w:lang w:val="de-CH"/>
        </w:rPr>
        <w:t>domaine</w:t>
      </w:r>
      <w:proofErr w:type="spellEnd"/>
      <w:r w:rsidR="0073666E" w:rsidRPr="007A7C73">
        <w:rPr>
          <w:lang w:val="de-CH"/>
        </w:rPr>
        <w:t xml:space="preserve"> </w:t>
      </w:r>
      <w:proofErr w:type="spellStart"/>
      <w:r w:rsidR="0073666E" w:rsidRPr="007A7C73">
        <w:rPr>
          <w:lang w:val="de-CH"/>
        </w:rPr>
        <w:t>pénitentiaire</w:t>
      </w:r>
      <w:proofErr w:type="spellEnd"/>
      <w:r w:rsidR="0073666E" w:rsidRPr="007A7C73">
        <w:rPr>
          <w:lang w:val="de-CH"/>
        </w:rPr>
        <w:t xml:space="preserve">, </w:t>
      </w:r>
      <w:proofErr w:type="spellStart"/>
      <w:r w:rsidR="0073666E" w:rsidRPr="007A7C73">
        <w:rPr>
          <w:lang w:val="de-CH"/>
        </w:rPr>
        <w:t>notamment</w:t>
      </w:r>
      <w:proofErr w:type="spellEnd"/>
      <w:r w:rsidR="0073666E" w:rsidRPr="007A7C73">
        <w:rPr>
          <w:lang w:val="de-CH"/>
        </w:rPr>
        <w:t xml:space="preserve"> en </w:t>
      </w:r>
      <w:proofErr w:type="spellStart"/>
      <w:r w:rsidR="0073666E" w:rsidRPr="007A7C73">
        <w:rPr>
          <w:lang w:val="de-CH"/>
        </w:rPr>
        <w:t>matière</w:t>
      </w:r>
      <w:proofErr w:type="spellEnd"/>
      <w:r w:rsidR="0073666E" w:rsidRPr="007A7C73">
        <w:rPr>
          <w:lang w:val="de-CH"/>
        </w:rPr>
        <w:t xml:space="preserve"> de </w:t>
      </w:r>
      <w:proofErr w:type="spellStart"/>
      <w:r w:rsidR="0073666E" w:rsidRPr="007A7C73">
        <w:rPr>
          <w:lang w:val="de-CH"/>
        </w:rPr>
        <w:t>prise</w:t>
      </w:r>
      <w:proofErr w:type="spellEnd"/>
      <w:r w:rsidR="0073666E" w:rsidRPr="007A7C73">
        <w:rPr>
          <w:lang w:val="de-CH"/>
        </w:rPr>
        <w:t xml:space="preserve"> en </w:t>
      </w:r>
      <w:proofErr w:type="spellStart"/>
      <w:r w:rsidR="0073666E" w:rsidRPr="007A7C73">
        <w:rPr>
          <w:lang w:val="de-CH"/>
        </w:rPr>
        <w:t>charge</w:t>
      </w:r>
      <w:proofErr w:type="spellEnd"/>
      <w:r w:rsidR="0073666E" w:rsidRPr="007A7C73">
        <w:rPr>
          <w:lang w:val="de-CH"/>
        </w:rPr>
        <w:t xml:space="preserve"> </w:t>
      </w:r>
      <w:proofErr w:type="spellStart"/>
      <w:r w:rsidR="0073666E" w:rsidRPr="007A7C73">
        <w:rPr>
          <w:lang w:val="de-CH"/>
        </w:rPr>
        <w:t>sociale</w:t>
      </w:r>
      <w:proofErr w:type="spellEnd"/>
      <w:r w:rsidR="0073666E" w:rsidRPr="007A7C73">
        <w:rPr>
          <w:lang w:val="de-CH"/>
        </w:rPr>
        <w:t xml:space="preserve">, </w:t>
      </w:r>
      <w:proofErr w:type="spellStart"/>
      <w:r w:rsidR="0073666E" w:rsidRPr="007A7C73">
        <w:rPr>
          <w:lang w:val="de-CH"/>
        </w:rPr>
        <w:t>médicale</w:t>
      </w:r>
      <w:proofErr w:type="spellEnd"/>
      <w:r w:rsidR="0073666E" w:rsidRPr="007A7C73">
        <w:rPr>
          <w:lang w:val="de-CH"/>
        </w:rPr>
        <w:t xml:space="preserve"> </w:t>
      </w:r>
      <w:proofErr w:type="spellStart"/>
      <w:r w:rsidR="0073666E" w:rsidRPr="007A7C73">
        <w:rPr>
          <w:lang w:val="de-CH"/>
        </w:rPr>
        <w:t>ou</w:t>
      </w:r>
      <w:proofErr w:type="spellEnd"/>
      <w:r w:rsidR="0073666E" w:rsidRPr="007A7C73">
        <w:rPr>
          <w:lang w:val="de-CH"/>
        </w:rPr>
        <w:t xml:space="preserve"> </w:t>
      </w:r>
      <w:proofErr w:type="spellStart"/>
      <w:r w:rsidR="0073666E" w:rsidRPr="007A7C73">
        <w:rPr>
          <w:lang w:val="de-CH"/>
        </w:rPr>
        <w:t>encore</w:t>
      </w:r>
      <w:proofErr w:type="spellEnd"/>
      <w:r w:rsidR="0073666E" w:rsidRPr="007A7C73">
        <w:rPr>
          <w:lang w:val="de-CH"/>
        </w:rPr>
        <w:t xml:space="preserve"> </w:t>
      </w:r>
      <w:proofErr w:type="spellStart"/>
      <w:r w:rsidR="0073666E" w:rsidRPr="007A7C73">
        <w:rPr>
          <w:lang w:val="de-CH"/>
        </w:rPr>
        <w:t>religieuse</w:t>
      </w:r>
      <w:proofErr w:type="spellEnd"/>
      <w:r w:rsidR="0073666E" w:rsidRPr="007A7C73">
        <w:rPr>
          <w:lang w:val="de-CH"/>
        </w:rPr>
        <w:t xml:space="preserve">. </w:t>
      </w:r>
      <w:proofErr w:type="spellStart"/>
      <w:r w:rsidR="0073666E" w:rsidRPr="007A7C73">
        <w:rPr>
          <w:lang w:val="de-CH"/>
        </w:rPr>
        <w:t>Un</w:t>
      </w:r>
      <w:proofErr w:type="spellEnd"/>
      <w:r w:rsidR="0073666E" w:rsidRPr="007A7C73">
        <w:rPr>
          <w:lang w:val="de-CH"/>
        </w:rPr>
        <w:t xml:space="preserve"> code de </w:t>
      </w:r>
      <w:proofErr w:type="spellStart"/>
      <w:r w:rsidR="0073666E" w:rsidRPr="007A7C73">
        <w:rPr>
          <w:lang w:val="de-CH"/>
        </w:rPr>
        <w:t>déontologie</w:t>
      </w:r>
      <w:proofErr w:type="spellEnd"/>
      <w:r w:rsidR="0073666E" w:rsidRPr="007A7C73">
        <w:rPr>
          <w:lang w:val="de-CH"/>
        </w:rPr>
        <w:t xml:space="preserve"> </w:t>
      </w:r>
      <w:proofErr w:type="spellStart"/>
      <w:r w:rsidR="0073666E" w:rsidRPr="007A7C73">
        <w:rPr>
          <w:lang w:val="de-CH"/>
        </w:rPr>
        <w:t>régit</w:t>
      </w:r>
      <w:proofErr w:type="spellEnd"/>
      <w:r w:rsidR="0073666E" w:rsidRPr="007A7C73">
        <w:rPr>
          <w:lang w:val="de-CH"/>
        </w:rPr>
        <w:t xml:space="preserve"> par </w:t>
      </w:r>
      <w:proofErr w:type="spellStart"/>
      <w:r w:rsidR="0073666E" w:rsidRPr="007A7C73">
        <w:rPr>
          <w:lang w:val="de-CH"/>
        </w:rPr>
        <w:t>ailleurs</w:t>
      </w:r>
      <w:proofErr w:type="spellEnd"/>
      <w:r w:rsidR="0073666E" w:rsidRPr="007A7C73">
        <w:rPr>
          <w:lang w:val="de-CH"/>
        </w:rPr>
        <w:t xml:space="preserve"> </w:t>
      </w:r>
      <w:proofErr w:type="spellStart"/>
      <w:r w:rsidR="0073666E" w:rsidRPr="007A7C73">
        <w:rPr>
          <w:lang w:val="de-CH"/>
        </w:rPr>
        <w:t>l’action</w:t>
      </w:r>
      <w:proofErr w:type="spellEnd"/>
      <w:r w:rsidR="0073666E" w:rsidRPr="007A7C73">
        <w:rPr>
          <w:lang w:val="de-CH"/>
        </w:rPr>
        <w:t xml:space="preserve"> de </w:t>
      </w:r>
      <w:proofErr w:type="spellStart"/>
      <w:r w:rsidR="0073666E" w:rsidRPr="007A7C73">
        <w:rPr>
          <w:lang w:val="de-CH"/>
        </w:rPr>
        <w:t>tous</w:t>
      </w:r>
      <w:proofErr w:type="spellEnd"/>
      <w:r w:rsidR="0073666E" w:rsidRPr="007A7C73">
        <w:rPr>
          <w:lang w:val="de-CH"/>
        </w:rPr>
        <w:t xml:space="preserve"> </w:t>
      </w:r>
      <w:proofErr w:type="spellStart"/>
      <w:r w:rsidR="0073666E" w:rsidRPr="007A7C73">
        <w:rPr>
          <w:lang w:val="de-CH"/>
        </w:rPr>
        <w:t>les</w:t>
      </w:r>
      <w:proofErr w:type="spellEnd"/>
      <w:r w:rsidR="0073666E" w:rsidRPr="007A7C73">
        <w:rPr>
          <w:lang w:val="de-CH"/>
        </w:rPr>
        <w:t xml:space="preserve"> </w:t>
      </w:r>
      <w:proofErr w:type="spellStart"/>
      <w:r w:rsidR="0073666E" w:rsidRPr="007A7C73">
        <w:rPr>
          <w:lang w:val="de-CH"/>
        </w:rPr>
        <w:t>collaborateurs</w:t>
      </w:r>
      <w:proofErr w:type="spellEnd"/>
      <w:r w:rsidR="0073666E" w:rsidRPr="007A7C73">
        <w:rPr>
          <w:lang w:val="de-CH"/>
        </w:rPr>
        <w:t xml:space="preserve"> et </w:t>
      </w:r>
      <w:proofErr w:type="spellStart"/>
      <w:r w:rsidR="0073666E" w:rsidRPr="007A7C73">
        <w:rPr>
          <w:lang w:val="de-CH"/>
        </w:rPr>
        <w:t>toutes</w:t>
      </w:r>
      <w:proofErr w:type="spellEnd"/>
      <w:r w:rsidR="0073666E" w:rsidRPr="007A7C73">
        <w:rPr>
          <w:lang w:val="de-CH"/>
        </w:rPr>
        <w:t xml:space="preserve"> </w:t>
      </w:r>
      <w:proofErr w:type="spellStart"/>
      <w:r w:rsidR="0073666E" w:rsidRPr="007A7C73">
        <w:rPr>
          <w:lang w:val="de-CH"/>
        </w:rPr>
        <w:t>les</w:t>
      </w:r>
      <w:proofErr w:type="spellEnd"/>
      <w:r w:rsidR="0073666E" w:rsidRPr="007A7C73">
        <w:rPr>
          <w:lang w:val="de-CH"/>
        </w:rPr>
        <w:t xml:space="preserve"> </w:t>
      </w:r>
      <w:proofErr w:type="spellStart"/>
      <w:r w:rsidR="0073666E" w:rsidRPr="007A7C73">
        <w:rPr>
          <w:lang w:val="de-CH"/>
        </w:rPr>
        <w:t>collaboratrices</w:t>
      </w:r>
      <w:proofErr w:type="spellEnd"/>
      <w:r w:rsidR="0073666E" w:rsidRPr="007A7C73">
        <w:rPr>
          <w:lang w:val="de-CH"/>
        </w:rPr>
        <w:t xml:space="preserve"> du </w:t>
      </w:r>
      <w:proofErr w:type="spellStart"/>
      <w:r w:rsidR="0073666E" w:rsidRPr="007A7C73">
        <w:rPr>
          <w:lang w:val="de-CH"/>
        </w:rPr>
        <w:t>service</w:t>
      </w:r>
      <w:proofErr w:type="spellEnd"/>
      <w:r w:rsidR="0073666E" w:rsidRPr="007A7C73">
        <w:rPr>
          <w:lang w:val="de-CH"/>
        </w:rPr>
        <w:t xml:space="preserve"> </w:t>
      </w:r>
      <w:proofErr w:type="spellStart"/>
      <w:r w:rsidR="0073666E" w:rsidRPr="007A7C73">
        <w:rPr>
          <w:lang w:val="de-CH"/>
        </w:rPr>
        <w:t>pénitentiaire</w:t>
      </w:r>
      <w:proofErr w:type="spellEnd"/>
      <w:r w:rsidR="0073666E" w:rsidRPr="007A7C73">
        <w:rPr>
          <w:lang w:val="de-CH"/>
        </w:rPr>
        <w:t>.</w:t>
      </w:r>
      <w:r w:rsidR="00D94D41">
        <w:rPr>
          <w:lang w:val="de-CH"/>
        </w:rPr>
        <w:t xml:space="preserve"> </w:t>
      </w:r>
    </w:p>
    <w:p w14:paraId="7DE4C461" w14:textId="77777777" w:rsidR="00C759E4" w:rsidRPr="00C759E4" w:rsidRDefault="00C759E4" w:rsidP="00D641C5">
      <w:pPr>
        <w:pStyle w:val="SingleTxtG"/>
        <w:spacing w:after="0"/>
        <w:jc w:val="center"/>
        <w:rPr>
          <w:u w:val="single"/>
          <w:lang w:val="de-CH"/>
        </w:rPr>
      </w:pPr>
      <w:r>
        <w:rPr>
          <w:u w:val="single"/>
          <w:lang w:val="de-CH"/>
        </w:rPr>
        <w:tab/>
      </w:r>
      <w:r>
        <w:rPr>
          <w:u w:val="single"/>
          <w:lang w:val="de-CH"/>
        </w:rPr>
        <w:tab/>
      </w:r>
      <w:r>
        <w:rPr>
          <w:u w:val="single"/>
          <w:lang w:val="de-CH"/>
        </w:rPr>
        <w:tab/>
      </w:r>
      <w:r w:rsidR="00D641C5">
        <w:rPr>
          <w:u w:val="single"/>
          <w:lang w:val="de-CH"/>
        </w:rPr>
        <w:tab/>
      </w:r>
    </w:p>
    <w:sectPr w:rsidR="00C759E4" w:rsidRPr="00C759E4" w:rsidSect="00971C8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14580" w14:textId="77777777" w:rsidR="006450F6" w:rsidRDefault="006450F6">
      <w:pPr>
        <w:spacing w:line="240" w:lineRule="auto"/>
      </w:pPr>
    </w:p>
  </w:endnote>
  <w:endnote w:type="continuationSeparator" w:id="0">
    <w:p w14:paraId="23291DCE" w14:textId="77777777" w:rsidR="006450F6" w:rsidRDefault="006450F6">
      <w:pPr>
        <w:pStyle w:val="Pieddepage"/>
      </w:pPr>
    </w:p>
  </w:endnote>
  <w:endnote w:type="continuationNotice" w:id="1">
    <w:p w14:paraId="0C96E33A" w14:textId="77777777" w:rsidR="006450F6" w:rsidRDefault="006450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D71C" w14:textId="1BAB465E" w:rsidR="006450F6" w:rsidRDefault="006450F6">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490E54">
      <w:rPr>
        <w:b/>
        <w:noProof/>
        <w:sz w:val="18"/>
      </w:rPr>
      <w:t>2</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951F" w14:textId="56397A06" w:rsidR="006450F6" w:rsidRDefault="006450F6">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490E54">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E06D" w14:textId="77777777" w:rsidR="006450F6" w:rsidRPr="00CB4571" w:rsidRDefault="00CB4571" w:rsidP="00CB4571">
    <w:pPr>
      <w:pStyle w:val="Pieddepage"/>
      <w:spacing w:before="120"/>
      <w:rPr>
        <w:sz w:val="20"/>
      </w:rPr>
    </w:pPr>
    <w:r w:rsidRPr="00CB4571">
      <w:rPr>
        <w:rFonts w:ascii="C39T30Lfz" w:hAnsi="C39T30Lfz"/>
        <w:noProof/>
        <w:sz w:val="56"/>
        <w:lang w:eastAsia="fr-CH"/>
      </w:rPr>
      <w:drawing>
        <wp:anchor distT="0" distB="0" distL="114300" distR="114300" simplePos="0" relativeHeight="251656704" behindDoc="0" locked="0" layoutInCell="1" allowOverlap="0" wp14:anchorId="509EC73A" wp14:editId="764DDDB3">
          <wp:simplePos x="0" y="0"/>
          <wp:positionH relativeFrom="margin">
            <wp:posOffset>4327468</wp:posOffset>
          </wp:positionH>
          <wp:positionV relativeFrom="margin">
            <wp:posOffset>9091526</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GE.20-03564  (F)</w:t>
    </w:r>
    <w:r>
      <w:rPr>
        <w:sz w:val="20"/>
      </w:rPr>
      <w:br/>
    </w:r>
    <w:r w:rsidRPr="00CB4571">
      <w:rPr>
        <w:rFonts w:ascii="C39T30Lfz" w:hAnsi="C39T30Lfz"/>
        <w:sz w:val="56"/>
      </w:rPr>
      <w:t></w:t>
    </w:r>
    <w:r w:rsidRPr="00CB4571">
      <w:rPr>
        <w:rFonts w:ascii="C39T30Lfz" w:hAnsi="C39T30Lfz"/>
        <w:sz w:val="56"/>
      </w:rPr>
      <w:t></w:t>
    </w:r>
    <w:r w:rsidRPr="00CB4571">
      <w:rPr>
        <w:rFonts w:ascii="C39T30Lfz" w:hAnsi="C39T30Lfz"/>
        <w:sz w:val="56"/>
      </w:rPr>
      <w:t></w:t>
    </w:r>
    <w:r w:rsidRPr="00CB4571">
      <w:rPr>
        <w:rFonts w:ascii="C39T30Lfz" w:hAnsi="C39T30Lfz"/>
        <w:sz w:val="56"/>
      </w:rPr>
      <w:t></w:t>
    </w:r>
    <w:r w:rsidRPr="00CB4571">
      <w:rPr>
        <w:rFonts w:ascii="C39T30Lfz" w:hAnsi="C39T30Lfz"/>
        <w:sz w:val="56"/>
      </w:rPr>
      <w:t></w:t>
    </w:r>
    <w:r w:rsidRPr="00CB4571">
      <w:rPr>
        <w:rFonts w:ascii="C39T30Lfz" w:hAnsi="C39T30Lfz"/>
        <w:sz w:val="56"/>
      </w:rPr>
      <w:t></w:t>
    </w:r>
    <w:r w:rsidRPr="00CB4571">
      <w:rPr>
        <w:rFonts w:ascii="C39T30Lfz" w:hAnsi="C39T30Lfz"/>
        <w:sz w:val="56"/>
      </w:rPr>
      <w:t></w:t>
    </w:r>
    <w:r w:rsidRPr="00CB4571">
      <w:rPr>
        <w:rFonts w:ascii="C39T30Lfz" w:hAnsi="C39T30Lfz"/>
        <w:sz w:val="56"/>
      </w:rPr>
      <w:t></w:t>
    </w:r>
    <w:r w:rsidRPr="00CB4571">
      <w:rPr>
        <w:rFonts w:ascii="C39T30Lfz" w:hAnsi="C39T30Lfz"/>
        <w:sz w:val="56"/>
      </w:rPr>
      <w:t></w:t>
    </w:r>
    <w:r>
      <w:rPr>
        <w:noProof/>
        <w:sz w:val="20"/>
      </w:rPr>
      <w:drawing>
        <wp:anchor distT="0" distB="0" distL="114300" distR="114300" simplePos="0" relativeHeight="251658240" behindDoc="0" locked="0" layoutInCell="1" allowOverlap="1" wp14:anchorId="243F0FDE" wp14:editId="22508A99">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CHE/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HE/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02AD5" w14:textId="77777777" w:rsidR="006450F6" w:rsidRDefault="006450F6">
      <w:pPr>
        <w:pStyle w:val="Pieddepage"/>
        <w:tabs>
          <w:tab w:val="right" w:pos="2155"/>
        </w:tabs>
        <w:spacing w:after="80" w:line="240" w:lineRule="atLeast"/>
        <w:ind w:left="680"/>
        <w:rPr>
          <w:u w:val="single"/>
        </w:rPr>
      </w:pPr>
      <w:r>
        <w:rPr>
          <w:u w:val="single"/>
        </w:rPr>
        <w:tab/>
      </w:r>
    </w:p>
  </w:footnote>
  <w:footnote w:type="continuationSeparator" w:id="0">
    <w:p w14:paraId="09A0F7CC" w14:textId="77777777" w:rsidR="006450F6" w:rsidRDefault="006450F6">
      <w:pPr>
        <w:pStyle w:val="Pieddepage"/>
        <w:tabs>
          <w:tab w:val="right" w:pos="2155"/>
        </w:tabs>
        <w:spacing w:after="80" w:line="240" w:lineRule="atLeast"/>
        <w:ind w:left="680"/>
        <w:rPr>
          <w:u w:val="single"/>
        </w:rPr>
      </w:pPr>
      <w:r>
        <w:rPr>
          <w:u w:val="single"/>
        </w:rPr>
        <w:tab/>
      </w:r>
    </w:p>
  </w:footnote>
  <w:footnote w:type="continuationNotice" w:id="1">
    <w:p w14:paraId="153AE7A4" w14:textId="77777777" w:rsidR="006450F6" w:rsidRDefault="006450F6">
      <w:pPr>
        <w:spacing w:line="240" w:lineRule="auto"/>
        <w:rPr>
          <w:sz w:val="2"/>
          <w:szCs w:val="2"/>
        </w:rPr>
      </w:pPr>
    </w:p>
  </w:footnote>
  <w:footnote w:id="2">
    <w:p w14:paraId="06E1C5FC" w14:textId="77777777" w:rsidR="006450F6" w:rsidRDefault="006450F6" w:rsidP="0087164C">
      <w:pPr>
        <w:pStyle w:val="Notedebasdepage"/>
      </w:pPr>
      <w:r>
        <w:tab/>
      </w:r>
      <w:r>
        <w:rPr>
          <w:rStyle w:val="Appelnotedebasdep"/>
          <w:sz w:val="20"/>
          <w:vertAlign w:val="baseline"/>
        </w:rPr>
        <w:t>*</w:t>
      </w:r>
      <w:r>
        <w:rPr>
          <w:sz w:val="20"/>
        </w:rPr>
        <w:tab/>
      </w:r>
      <w:r w:rsidR="0087164C">
        <w:t>Le</w:t>
      </w:r>
      <w:r>
        <w:t xml:space="preserve"> présent document n’a pas été revu par les services d’édition.</w:t>
      </w:r>
    </w:p>
  </w:footnote>
  <w:footnote w:id="3">
    <w:p w14:paraId="1E750314" w14:textId="77777777" w:rsidR="007A7C73" w:rsidRPr="00C759E4" w:rsidRDefault="007A7C73" w:rsidP="001322A2">
      <w:pPr>
        <w:pStyle w:val="Notedebasdepage"/>
        <w:rPr>
          <w:lang w:val="fr-FR"/>
        </w:rPr>
      </w:pPr>
      <w:r>
        <w:rPr>
          <w:rStyle w:val="Appelnotedebasdep"/>
        </w:rPr>
        <w:tab/>
      </w:r>
      <w:r w:rsidRPr="007A7C73">
        <w:rPr>
          <w:rStyle w:val="Appelnotedebasdep"/>
          <w:sz w:val="20"/>
          <w:vertAlign w:val="baseline"/>
        </w:rPr>
        <w:t>**</w:t>
      </w:r>
      <w:r>
        <w:rPr>
          <w:rStyle w:val="Appelnotedebasdep"/>
          <w:sz w:val="20"/>
          <w:vertAlign w:val="baseline"/>
        </w:rPr>
        <w:tab/>
      </w:r>
      <w:r w:rsidR="009013CA" w:rsidRPr="00265327">
        <w:t xml:space="preserve">Les annexes au présent </w:t>
      </w:r>
      <w:r w:rsidR="001322A2">
        <w:t>document</w:t>
      </w:r>
      <w:r w:rsidR="009013CA" w:rsidRPr="00265327">
        <w:t xml:space="preserve"> </w:t>
      </w:r>
      <w:r w:rsidR="0087164C">
        <w:t>sont accessibles</w:t>
      </w:r>
      <w:r w:rsidR="009013CA" w:rsidRPr="00265327">
        <w:t xml:space="preserve"> sur la page Web du Comité</w:t>
      </w:r>
      <w:r>
        <w:t>.</w:t>
      </w:r>
    </w:p>
  </w:footnote>
  <w:footnote w:id="4">
    <w:p w14:paraId="0A03E864" w14:textId="77777777" w:rsidR="006450F6" w:rsidRPr="001477E9" w:rsidRDefault="006450F6" w:rsidP="001477E9">
      <w:pPr>
        <w:pStyle w:val="Notedebasdepage"/>
      </w:pPr>
      <w:r w:rsidRPr="00C759E4">
        <w:rPr>
          <w:lang w:val="fr-FR"/>
        </w:rPr>
        <w:tab/>
      </w:r>
      <w:r w:rsidRPr="009E1FD5">
        <w:rPr>
          <w:rStyle w:val="Appelnotedebasdep"/>
        </w:rPr>
        <w:footnoteRef/>
      </w:r>
      <w:r w:rsidRPr="00C759E4">
        <w:rPr>
          <w:lang w:val="fr-FR"/>
        </w:rPr>
        <w:tab/>
      </w:r>
      <w:proofErr w:type="spellStart"/>
      <w:r w:rsidRPr="001477E9">
        <w:t>Michod</w:t>
      </w:r>
      <w:proofErr w:type="spellEnd"/>
      <w:r w:rsidRPr="001477E9">
        <w:t>, Avocat de la première heure et droits de la défense, in</w:t>
      </w:r>
      <w:r w:rsidR="00222D58">
        <w:t> </w:t>
      </w:r>
      <w:r w:rsidRPr="001477E9">
        <w:t>: Revue de l’avocat 8/2010, p. 323.</w:t>
      </w:r>
    </w:p>
  </w:footnote>
  <w:footnote w:id="5">
    <w:p w14:paraId="52F6FACD" w14:textId="77777777" w:rsidR="006450F6" w:rsidRPr="001477E9" w:rsidRDefault="006450F6" w:rsidP="001477E9">
      <w:pPr>
        <w:pStyle w:val="Notedebasdepage"/>
      </w:pPr>
      <w:r>
        <w:tab/>
      </w:r>
      <w:r w:rsidRPr="009E1FD5">
        <w:rPr>
          <w:rStyle w:val="Appelnotedebasdep"/>
        </w:rPr>
        <w:footnoteRef/>
      </w:r>
      <w:r>
        <w:tab/>
      </w:r>
      <w:r w:rsidRPr="001477E9">
        <w:t xml:space="preserve">Arrêt de la Cour EDH du 27 novembre 2008, Affaire </w:t>
      </w:r>
      <w:proofErr w:type="spellStart"/>
      <w:r w:rsidRPr="00971C84">
        <w:rPr>
          <w:i/>
          <w:iCs/>
        </w:rPr>
        <w:t>Salduz</w:t>
      </w:r>
      <w:proofErr w:type="spellEnd"/>
      <w:r w:rsidRPr="00971C84">
        <w:rPr>
          <w:i/>
          <w:iCs/>
        </w:rPr>
        <w:t xml:space="preserve"> c. Turquie</w:t>
      </w:r>
      <w:r w:rsidRPr="001477E9">
        <w:t xml:space="preserve">, paragraphe 55. </w:t>
      </w:r>
    </w:p>
  </w:footnote>
  <w:footnote w:id="6">
    <w:p w14:paraId="68006655" w14:textId="77777777" w:rsidR="006450F6" w:rsidRPr="001477E9" w:rsidRDefault="006450F6" w:rsidP="001477E9">
      <w:pPr>
        <w:pStyle w:val="Notedebasdepage"/>
      </w:pPr>
      <w:r w:rsidRPr="001477E9">
        <w:tab/>
      </w:r>
      <w:r w:rsidRPr="009E1FD5">
        <w:rPr>
          <w:rStyle w:val="Appelnotedebasdep"/>
        </w:rPr>
        <w:footnoteRef/>
      </w:r>
      <w:r w:rsidRPr="001477E9">
        <w:tab/>
        <w:t>FF 2006 1371.</w:t>
      </w:r>
    </w:p>
  </w:footnote>
  <w:footnote w:id="7">
    <w:p w14:paraId="7262BF3D" w14:textId="77777777" w:rsidR="006450F6" w:rsidRPr="001477E9" w:rsidRDefault="006450F6" w:rsidP="001477E9">
      <w:pPr>
        <w:pStyle w:val="Notedebasdepage"/>
      </w:pPr>
      <w:r>
        <w:tab/>
      </w:r>
      <w:r w:rsidRPr="009E1FD5">
        <w:rPr>
          <w:rStyle w:val="Appelnotedebasdep"/>
        </w:rPr>
        <w:footnoteRef/>
      </w:r>
      <w:r>
        <w:tab/>
      </w:r>
      <w:r w:rsidRPr="001477E9">
        <w:t>Arrêt du TF du 21 août 2008 (1B_212/2008), cons. 2.2.</w:t>
      </w:r>
    </w:p>
  </w:footnote>
  <w:footnote w:id="8">
    <w:p w14:paraId="514F8ABC" w14:textId="77777777" w:rsidR="006450F6" w:rsidRPr="001477E9" w:rsidRDefault="006450F6">
      <w:pPr>
        <w:pStyle w:val="Notedebasdepage"/>
        <w:rPr>
          <w:rStyle w:val="Appelnotedebasdep"/>
          <w:vertAlign w:val="baseline"/>
        </w:rPr>
      </w:pPr>
      <w:r>
        <w:tab/>
      </w:r>
      <w:r w:rsidRPr="009E1FD5">
        <w:rPr>
          <w:rStyle w:val="Appelnotedebasdep"/>
        </w:rPr>
        <w:footnoteRef/>
      </w:r>
      <w:r>
        <w:tab/>
      </w:r>
      <w:proofErr w:type="spellStart"/>
      <w:r w:rsidRPr="001477E9">
        <w:t>Verniory</w:t>
      </w:r>
      <w:proofErr w:type="spellEnd"/>
      <w:r w:rsidRPr="001477E9">
        <w:t>, in</w:t>
      </w:r>
      <w:r w:rsidR="00222D58">
        <w:t> </w:t>
      </w:r>
      <w:r w:rsidRPr="001477E9">
        <w:t xml:space="preserve">: Kuhn/Jeanneret, Commentaire romand, Code de </w:t>
      </w:r>
      <w:r w:rsidR="00BD72D7">
        <w:t>procédure pénale, Bâle 2009, n. </w:t>
      </w:r>
      <w:r w:rsidRPr="001477E9">
        <w:t>26 ad art. 158 CPP. Cet auteur soutient également qu’une information partielle sur les droits équivaut à une absence d’information.</w:t>
      </w:r>
    </w:p>
  </w:footnote>
  <w:footnote w:id="9">
    <w:p w14:paraId="738A26A2" w14:textId="77777777" w:rsidR="006450F6" w:rsidRPr="005066C0" w:rsidRDefault="006450F6">
      <w:pPr>
        <w:pStyle w:val="Notedebasdepage"/>
      </w:pPr>
      <w:r>
        <w:tab/>
      </w:r>
      <w:r w:rsidRPr="009E1FD5">
        <w:rPr>
          <w:rStyle w:val="Appelnotedebasdep"/>
        </w:rPr>
        <w:footnoteRef/>
      </w:r>
      <w:r>
        <w:tab/>
      </w:r>
      <w:r w:rsidRPr="001477E9">
        <w:t>cf. rapport de la Suisse du 28 mai 2014, ch. 9</w:t>
      </w:r>
      <w:r>
        <w:rPr>
          <w:sz w:val="16"/>
          <w:szCs w:val="16"/>
        </w:rPr>
        <w:t>.</w:t>
      </w:r>
    </w:p>
  </w:footnote>
  <w:footnote w:id="10">
    <w:p w14:paraId="15F91AFA" w14:textId="77777777" w:rsidR="006450F6" w:rsidRDefault="006450F6">
      <w:pPr>
        <w:pStyle w:val="Notedebasdepage"/>
      </w:pPr>
      <w:r>
        <w:rPr>
          <w:sz w:val="16"/>
          <w:szCs w:val="16"/>
        </w:rPr>
        <w:tab/>
      </w:r>
      <w:r w:rsidRPr="009E1FD5">
        <w:rPr>
          <w:rStyle w:val="Appelnotedebasdep"/>
        </w:rPr>
        <w:footnoteRef/>
      </w:r>
      <w:r>
        <w:rPr>
          <w:sz w:val="16"/>
          <w:szCs w:val="16"/>
        </w:rPr>
        <w:tab/>
      </w:r>
      <w:r w:rsidRPr="002E5017">
        <w:rPr>
          <w:szCs w:val="16"/>
        </w:rPr>
        <w:t>Résolutions CM/</w:t>
      </w:r>
      <w:proofErr w:type="spellStart"/>
      <w:r w:rsidRPr="002E5017">
        <w:rPr>
          <w:szCs w:val="16"/>
        </w:rPr>
        <w:t>ResDH</w:t>
      </w:r>
      <w:proofErr w:type="spellEnd"/>
      <w:r w:rsidRPr="002E5017">
        <w:rPr>
          <w:szCs w:val="16"/>
        </w:rPr>
        <w:t>(2017)414 (http://hudoc.exec.coe.int/eng?i=001-179752) et CM/</w:t>
      </w:r>
      <w:proofErr w:type="spellStart"/>
      <w:r w:rsidRPr="002E5017">
        <w:rPr>
          <w:szCs w:val="16"/>
        </w:rPr>
        <w:t>ResDH</w:t>
      </w:r>
      <w:proofErr w:type="spellEnd"/>
      <w:r w:rsidRPr="002E5017">
        <w:rPr>
          <w:szCs w:val="16"/>
        </w:rPr>
        <w:t>(2018)170 (http://hudoc.exec.coe.int/eng?i=001-182720).</w:t>
      </w:r>
      <w:r>
        <w:t xml:space="preserve"> </w:t>
      </w:r>
    </w:p>
  </w:footnote>
  <w:footnote w:id="11">
    <w:p w14:paraId="108CA1B2" w14:textId="77777777" w:rsidR="006450F6" w:rsidRPr="00D15B10" w:rsidRDefault="006450F6">
      <w:pPr>
        <w:pStyle w:val="Notedebasdepage"/>
      </w:pPr>
      <w:r>
        <w:rPr>
          <w:rStyle w:val="Appelnotedebasdep"/>
          <w:sz w:val="16"/>
          <w:szCs w:val="16"/>
        </w:rPr>
        <w:tab/>
      </w:r>
      <w:r w:rsidRPr="009E1FD5">
        <w:rPr>
          <w:rStyle w:val="Appelnotedebasdep"/>
        </w:rPr>
        <w:footnoteRef/>
      </w:r>
      <w:r>
        <w:rPr>
          <w:rStyle w:val="Appelnotedebasdep"/>
          <w:sz w:val="16"/>
          <w:szCs w:val="16"/>
        </w:rPr>
        <w:tab/>
      </w:r>
      <w:r w:rsidRPr="00D15B10">
        <w:t xml:space="preserve">Voir p. ex. ATF 134 IV 156, </w:t>
      </w:r>
      <w:proofErr w:type="spellStart"/>
      <w:r w:rsidRPr="00D15B10">
        <w:t>consid</w:t>
      </w:r>
      <w:proofErr w:type="spellEnd"/>
      <w:r w:rsidRPr="00D15B10">
        <w:t xml:space="preserve">. 6.7; arrêt (du Tribunal fédéral) 1C_176/2014 du 12 mai 2014, </w:t>
      </w:r>
      <w:proofErr w:type="spellStart"/>
      <w:r w:rsidRPr="00D15B10">
        <w:t>consid</w:t>
      </w:r>
      <w:proofErr w:type="spellEnd"/>
      <w:r w:rsidRPr="00D15B10">
        <w:t>. 4.1; arrêt (du Tribunal pénal fédéral) RR.2016.199 + RP.2016.56 du 29 décembre 2016,</w:t>
      </w:r>
      <w:r w:rsidRPr="00D15B10">
        <w:br/>
      </w:r>
      <w:proofErr w:type="spellStart"/>
      <w:r w:rsidRPr="00D15B10">
        <w:t>consid</w:t>
      </w:r>
      <w:proofErr w:type="spellEnd"/>
      <w:r w:rsidRPr="00D15B10">
        <w:t>. 2.3.</w:t>
      </w:r>
    </w:p>
  </w:footnote>
  <w:footnote w:id="12">
    <w:p w14:paraId="7E23D7F7" w14:textId="77777777" w:rsidR="006450F6" w:rsidRPr="00D15B10" w:rsidRDefault="006450F6">
      <w:pPr>
        <w:pStyle w:val="Notedebasdepage"/>
        <w:rPr>
          <w:rStyle w:val="Appelnotedebasdep"/>
          <w:vertAlign w:val="baseline"/>
        </w:rPr>
      </w:pPr>
      <w:r>
        <w:rPr>
          <w:rStyle w:val="Appelnotedebasdep"/>
          <w:vertAlign w:val="baseline"/>
        </w:rPr>
        <w:tab/>
      </w:r>
      <w:r w:rsidRPr="009E1FD5">
        <w:rPr>
          <w:rStyle w:val="Appelnotedebasdep"/>
        </w:rPr>
        <w:footnoteRef/>
      </w:r>
      <w:r>
        <w:tab/>
      </w:r>
      <w:r w:rsidRPr="00D15B10">
        <w:t xml:space="preserve">ATF 134 IV 156, </w:t>
      </w:r>
      <w:proofErr w:type="spellStart"/>
      <w:r w:rsidRPr="00D15B10">
        <w:t>consid</w:t>
      </w:r>
      <w:proofErr w:type="spellEnd"/>
      <w:r w:rsidRPr="00D15B10">
        <w:t>. 6.7.</w:t>
      </w:r>
    </w:p>
  </w:footnote>
  <w:footnote w:id="13">
    <w:p w14:paraId="402128AC" w14:textId="77777777" w:rsidR="006450F6" w:rsidRPr="00D15B10" w:rsidRDefault="006450F6">
      <w:pPr>
        <w:pStyle w:val="Notedebasdepage"/>
      </w:pPr>
      <w:r>
        <w:tab/>
      </w:r>
      <w:r w:rsidRPr="009E1FD5">
        <w:rPr>
          <w:rStyle w:val="Appelnotedebasdep"/>
        </w:rPr>
        <w:footnoteRef/>
      </w:r>
      <w:r>
        <w:tab/>
      </w:r>
      <w:r w:rsidRPr="00D15B10">
        <w:tab/>
        <w:t xml:space="preserve">Arrêt (du Tribunal pénal fédéral) 2010.56, </w:t>
      </w:r>
      <w:proofErr w:type="spellStart"/>
      <w:r w:rsidRPr="00D15B10">
        <w:t>consid</w:t>
      </w:r>
      <w:proofErr w:type="spellEnd"/>
      <w:r w:rsidRPr="00D15B10">
        <w:t>. 6.4.2.</w:t>
      </w:r>
    </w:p>
  </w:footnote>
  <w:footnote w:id="14">
    <w:p w14:paraId="532237C2" w14:textId="77777777" w:rsidR="006450F6" w:rsidRPr="00D15B10" w:rsidRDefault="006450F6">
      <w:pPr>
        <w:pStyle w:val="Notedebasdepage"/>
      </w:pPr>
      <w:r>
        <w:tab/>
      </w:r>
      <w:r w:rsidRPr="009E1FD5">
        <w:rPr>
          <w:rStyle w:val="Appelnotedebasdep"/>
        </w:rPr>
        <w:footnoteRef/>
      </w:r>
      <w:r>
        <w:tab/>
      </w:r>
      <w:r w:rsidRPr="00D15B10">
        <w:t xml:space="preserve">Zimmermann, La coopération judiciaire internationale en matière pénale, quatrième édition, </w:t>
      </w:r>
      <w:proofErr w:type="spellStart"/>
      <w:r w:rsidRPr="00D15B10">
        <w:t>Edi</w:t>
      </w:r>
      <w:r w:rsidR="00BD72D7">
        <w:t>tions</w:t>
      </w:r>
      <w:proofErr w:type="spellEnd"/>
      <w:r w:rsidR="00BD72D7">
        <w:t xml:space="preserve"> </w:t>
      </w:r>
      <w:proofErr w:type="spellStart"/>
      <w:r w:rsidR="00BD72D7">
        <w:t>Stämpfli</w:t>
      </w:r>
      <w:proofErr w:type="spellEnd"/>
      <w:r w:rsidR="00BD72D7">
        <w:t>, Berne, 2014, n</w:t>
      </w:r>
      <w:r w:rsidR="00BD72D7" w:rsidRPr="00BD72D7">
        <w:rPr>
          <w:vertAlign w:val="superscript"/>
        </w:rPr>
        <w:t>o</w:t>
      </w:r>
      <w:r w:rsidR="00BD72D7">
        <w:t> </w:t>
      </w:r>
      <w:r w:rsidRPr="00D15B10">
        <w:t>313, p. 313 s.</w:t>
      </w:r>
    </w:p>
  </w:footnote>
  <w:footnote w:id="15">
    <w:p w14:paraId="62C1EF2E" w14:textId="77777777" w:rsidR="006450F6" w:rsidRPr="00D15B10" w:rsidRDefault="006450F6">
      <w:pPr>
        <w:pStyle w:val="Notedebasdepage"/>
      </w:pPr>
      <w:r>
        <w:tab/>
      </w:r>
      <w:r w:rsidRPr="009E1FD5">
        <w:rPr>
          <w:rStyle w:val="Appelnotedebasdep"/>
        </w:rPr>
        <w:footnoteRef/>
      </w:r>
      <w:r>
        <w:tab/>
      </w:r>
      <w:r w:rsidRPr="00D15B10">
        <w:tab/>
        <w:t xml:space="preserve">Voir par exemple arrêt (du Tribunal pénal fédéral) RH.2014.18 du 9 décembre 2014, </w:t>
      </w:r>
      <w:proofErr w:type="spellStart"/>
      <w:r w:rsidRPr="00D15B10">
        <w:t>consid</w:t>
      </w:r>
      <w:proofErr w:type="spellEnd"/>
      <w:r w:rsidRPr="00D15B10">
        <w:t xml:space="preserve">. 4; arrêt (du Tribunal pénal fédéral) RR.2015.73 du 23 juin 2016, </w:t>
      </w:r>
      <w:proofErr w:type="spellStart"/>
      <w:r w:rsidRPr="00D15B10">
        <w:t>consid</w:t>
      </w:r>
      <w:proofErr w:type="spellEnd"/>
      <w:r w:rsidRPr="00D15B10">
        <w:t>. 4.</w:t>
      </w:r>
    </w:p>
  </w:footnote>
  <w:footnote w:id="16">
    <w:p w14:paraId="4501B285" w14:textId="77777777" w:rsidR="006450F6" w:rsidRPr="00D15B10" w:rsidRDefault="006450F6">
      <w:pPr>
        <w:pStyle w:val="Notedebasdepage"/>
      </w:pPr>
      <w:r>
        <w:rPr>
          <w:rStyle w:val="Appelnotedebasdep"/>
          <w:vertAlign w:val="baseline"/>
        </w:rPr>
        <w:tab/>
      </w:r>
      <w:r w:rsidRPr="009E1FD5">
        <w:rPr>
          <w:rStyle w:val="Appelnotedebasdep"/>
        </w:rPr>
        <w:footnoteRef/>
      </w:r>
      <w:r>
        <w:rPr>
          <w:rStyle w:val="Appelnotedebasdep"/>
          <w:vertAlign w:val="baseline"/>
        </w:rPr>
        <w:tab/>
      </w:r>
      <w:r w:rsidRPr="00D15B10">
        <w:t xml:space="preserve">Arrêt (du Tribunal pénal fédéral) RR.2008.180 du 2 octobre 2008, </w:t>
      </w:r>
      <w:proofErr w:type="spellStart"/>
      <w:r w:rsidRPr="00D15B10">
        <w:t>consid</w:t>
      </w:r>
      <w:proofErr w:type="spellEnd"/>
      <w:r w:rsidRPr="00D15B10">
        <w:t>. 2.3.</w:t>
      </w:r>
    </w:p>
  </w:footnote>
  <w:footnote w:id="17">
    <w:p w14:paraId="6D2A66FD" w14:textId="77777777" w:rsidR="006450F6" w:rsidRPr="00D15B10" w:rsidRDefault="006450F6">
      <w:pPr>
        <w:pStyle w:val="Notedebasdepage"/>
      </w:pPr>
      <w:r>
        <w:tab/>
      </w:r>
      <w:r w:rsidRPr="009E1FD5">
        <w:rPr>
          <w:rStyle w:val="Appelnotedebasdep"/>
        </w:rPr>
        <w:footnoteRef/>
      </w:r>
      <w:r>
        <w:tab/>
      </w:r>
      <w:r w:rsidRPr="00D15B10">
        <w:t xml:space="preserve">Zimmermann, La coopération judiciaire internationale en matière pénale, quatrième édition, </w:t>
      </w:r>
      <w:proofErr w:type="spellStart"/>
      <w:r w:rsidRPr="00D15B10">
        <w:t>Editions</w:t>
      </w:r>
      <w:proofErr w:type="spellEnd"/>
      <w:r w:rsidRPr="00D15B10">
        <w:t xml:space="preserve"> </w:t>
      </w:r>
      <w:proofErr w:type="spellStart"/>
      <w:r w:rsidRPr="00D15B10">
        <w:t>Stämpfli</w:t>
      </w:r>
      <w:proofErr w:type="spellEnd"/>
      <w:r w:rsidRPr="00D15B10">
        <w:t>, Berne, 2014, n</w:t>
      </w:r>
      <w:r w:rsidRPr="007459C8">
        <w:rPr>
          <w:vertAlign w:val="superscript"/>
        </w:rPr>
        <w:t>o</w:t>
      </w:r>
      <w:r w:rsidRPr="00D15B10">
        <w:t> 214, p. 220.</w:t>
      </w:r>
    </w:p>
  </w:footnote>
  <w:footnote w:id="18">
    <w:p w14:paraId="0EBDED7A" w14:textId="77777777" w:rsidR="006450F6" w:rsidRPr="00D15B10" w:rsidRDefault="006450F6">
      <w:pPr>
        <w:pStyle w:val="Notedebasdepage"/>
      </w:pPr>
      <w:r>
        <w:rPr>
          <w:rStyle w:val="Appelnotedebasdep"/>
          <w:sz w:val="16"/>
          <w:szCs w:val="16"/>
        </w:rPr>
        <w:tab/>
      </w:r>
      <w:r w:rsidRPr="009E1FD5">
        <w:rPr>
          <w:rStyle w:val="Appelnotedebasdep"/>
        </w:rPr>
        <w:footnoteRef/>
      </w:r>
      <w:r w:rsidRPr="00D15B10">
        <w:tab/>
        <w:t xml:space="preserve">Arrêt (du Tribunal pénal fédéral) RR.2016.199 + RP.2016.56 du 29 décembre 2016, </w:t>
      </w:r>
      <w:proofErr w:type="spellStart"/>
      <w:r w:rsidRPr="00D15B10">
        <w:t>consid</w:t>
      </w:r>
      <w:proofErr w:type="spellEnd"/>
      <w:r w:rsidRPr="00D15B10">
        <w:t>. 2.2, et la jurisprudence citée.</w:t>
      </w:r>
    </w:p>
  </w:footnote>
  <w:footnote w:id="19">
    <w:p w14:paraId="274C14A6" w14:textId="77777777" w:rsidR="006450F6" w:rsidRPr="00FB570E" w:rsidRDefault="006450F6">
      <w:pPr>
        <w:pStyle w:val="Notedebasdepage"/>
        <w:rPr>
          <w:rFonts w:ascii="Times" w:hAnsi="Times" w:cs="Times"/>
          <w:sz w:val="17"/>
          <w:szCs w:val="17"/>
        </w:rPr>
      </w:pPr>
      <w:r>
        <w:tab/>
      </w:r>
      <w:r w:rsidRPr="009E1FD5">
        <w:rPr>
          <w:rStyle w:val="Appelnotedebasdep"/>
        </w:rPr>
        <w:footnoteRef/>
      </w:r>
      <w:r>
        <w:tab/>
      </w:r>
      <w:r w:rsidRPr="00D15B10">
        <w:t xml:space="preserve">Arrêt (du Tribunal pénal fédéral) RR.2015.253 + RP.2015.53 du 27 janvier 2016, </w:t>
      </w:r>
      <w:proofErr w:type="spellStart"/>
      <w:r w:rsidRPr="00D15B10">
        <w:t>consid</w:t>
      </w:r>
      <w:proofErr w:type="spellEnd"/>
      <w:r w:rsidRPr="00D15B10">
        <w:t>. 3.1, ainsi que la doctrine citée</w:t>
      </w:r>
      <w:r>
        <w:rPr>
          <w:sz w:val="16"/>
          <w:szCs w:val="16"/>
        </w:rPr>
        <w:t>.</w:t>
      </w:r>
    </w:p>
  </w:footnote>
  <w:footnote w:id="20">
    <w:p w14:paraId="2CC0E80B" w14:textId="77777777" w:rsidR="006450F6" w:rsidRPr="00971C84" w:rsidRDefault="006450F6">
      <w:pPr>
        <w:pStyle w:val="Notedebasdepage"/>
        <w:rPr>
          <w:rStyle w:val="Appelnotedebasdep"/>
          <w:vertAlign w:val="baseline"/>
        </w:rPr>
      </w:pPr>
      <w:r>
        <w:rPr>
          <w:rStyle w:val="Appelnotedebasdep"/>
          <w:sz w:val="16"/>
          <w:szCs w:val="16"/>
        </w:rPr>
        <w:tab/>
      </w:r>
      <w:r w:rsidRPr="009E1FD5">
        <w:rPr>
          <w:rStyle w:val="Appelnotedebasdep"/>
        </w:rPr>
        <w:footnoteRef/>
      </w:r>
      <w:r w:rsidRPr="00D15B10">
        <w:rPr>
          <w:rStyle w:val="Appelnotedebasdep"/>
        </w:rPr>
        <w:t xml:space="preserve"> </w:t>
      </w:r>
      <w:r>
        <w:rPr>
          <w:rStyle w:val="Appelnotedebasdep"/>
          <w:sz w:val="16"/>
          <w:szCs w:val="16"/>
        </w:rPr>
        <w:tab/>
      </w:r>
      <w:r w:rsidRPr="00D15B10">
        <w:t xml:space="preserve">Voir aussi Zimmermann, La coopération judiciaire internationale en matière pénale, quatrième édition, </w:t>
      </w:r>
      <w:proofErr w:type="spellStart"/>
      <w:r w:rsidRPr="00D15B10">
        <w:t>Editions</w:t>
      </w:r>
      <w:proofErr w:type="spellEnd"/>
      <w:r w:rsidRPr="00D15B10">
        <w:t xml:space="preserve"> </w:t>
      </w:r>
      <w:proofErr w:type="spellStart"/>
      <w:r w:rsidRPr="00D15B10">
        <w:t>Stämpfli</w:t>
      </w:r>
      <w:proofErr w:type="spellEnd"/>
      <w:r w:rsidRPr="00D15B10">
        <w:t>, Berne, 2014, n</w:t>
      </w:r>
      <w:r w:rsidRPr="00971C84">
        <w:rPr>
          <w:vertAlign w:val="superscript"/>
        </w:rPr>
        <w:t>o</w:t>
      </w:r>
      <w:r w:rsidRPr="00D15B10">
        <w:t> 654, p. 667s ainsi que la jurisprudence citée.</w:t>
      </w:r>
    </w:p>
  </w:footnote>
  <w:footnote w:id="21">
    <w:p w14:paraId="7F92A943" w14:textId="77777777" w:rsidR="006450F6" w:rsidRPr="00D15B10" w:rsidRDefault="006450F6">
      <w:pPr>
        <w:pStyle w:val="Notedebasdepage"/>
      </w:pPr>
      <w:r w:rsidRPr="00D15B10">
        <w:rPr>
          <w:rStyle w:val="Appelnotedebasdep"/>
        </w:rPr>
        <w:tab/>
      </w:r>
      <w:r w:rsidRPr="009E1FD5">
        <w:rPr>
          <w:rStyle w:val="Appelnotedebasdep"/>
        </w:rPr>
        <w:footnoteRef/>
      </w:r>
      <w:r w:rsidRPr="00D15B10">
        <w:rPr>
          <w:rStyle w:val="Appelnotedebasdep"/>
        </w:rPr>
        <w:tab/>
      </w:r>
      <w:r w:rsidRPr="00D15B10">
        <w:t>Arrêt du TPF RR.2017.97 et RR.2017.69 + RP.2017.32 du 30 juin 2017.</w:t>
      </w:r>
    </w:p>
  </w:footnote>
  <w:footnote w:id="22">
    <w:p w14:paraId="3874632E" w14:textId="77777777" w:rsidR="006450F6" w:rsidRDefault="006450F6" w:rsidP="00971C84">
      <w:pPr>
        <w:pStyle w:val="Notedebasdepage"/>
        <w:spacing w:line="240" w:lineRule="auto"/>
        <w:rPr>
          <w:szCs w:val="18"/>
        </w:rPr>
      </w:pPr>
      <w:r>
        <w:tab/>
      </w:r>
      <w:r w:rsidRPr="009E1FD5">
        <w:rPr>
          <w:rStyle w:val="Appelnotedebasdep"/>
        </w:rPr>
        <w:footnoteRef/>
      </w:r>
      <w:r>
        <w:tab/>
      </w:r>
      <w:r w:rsidRPr="00F5509B">
        <w:t>Arrêt du TAF E-2485/2017 du 27 novembre 2017</w:t>
      </w:r>
      <w:r>
        <w:rPr>
          <w:sz w:val="16"/>
          <w:szCs w:val="16"/>
        </w:rPr>
        <w:t>.</w:t>
      </w:r>
    </w:p>
  </w:footnote>
  <w:footnote w:id="23">
    <w:p w14:paraId="640DAEA8" w14:textId="77777777" w:rsidR="006450F6" w:rsidRPr="00FB570E" w:rsidRDefault="006450F6" w:rsidP="00971C84">
      <w:pPr>
        <w:pStyle w:val="Notedebasdepage"/>
        <w:spacing w:line="240" w:lineRule="auto"/>
        <w:rPr>
          <w:sz w:val="16"/>
          <w:szCs w:val="16"/>
        </w:rPr>
      </w:pPr>
      <w:r>
        <w:tab/>
      </w:r>
      <w:r w:rsidRPr="009E1FD5">
        <w:rPr>
          <w:rStyle w:val="Appelnotedebasdep"/>
        </w:rPr>
        <w:footnoteRef/>
      </w:r>
      <w:r>
        <w:tab/>
      </w:r>
      <w:r w:rsidRPr="00F5509B">
        <w:t xml:space="preserve">Directive 2008/115/CE du Parlement européen et du Conseil du 16 décembre 2008 relative aux normes et procédures communes applicables dans les États membres </w:t>
      </w:r>
      <w:r w:rsidR="00F55C94">
        <w:t>au retour des ressortissants de </w:t>
      </w:r>
      <w:r w:rsidRPr="00F5509B">
        <w:t>pays tiers en séjour irrégulier</w:t>
      </w:r>
      <w:r>
        <w:rPr>
          <w:sz w:val="16"/>
          <w:szCs w:val="16"/>
        </w:rPr>
        <w:t>.</w:t>
      </w:r>
    </w:p>
  </w:footnote>
  <w:footnote w:id="24">
    <w:p w14:paraId="7BF23FCA" w14:textId="77777777" w:rsidR="006450F6" w:rsidRPr="00F5509B" w:rsidRDefault="006450F6" w:rsidP="00971C84">
      <w:pPr>
        <w:pStyle w:val="Notedebasdepage"/>
        <w:spacing w:line="240" w:lineRule="auto"/>
      </w:pPr>
      <w:r>
        <w:rPr>
          <w:sz w:val="16"/>
          <w:szCs w:val="16"/>
        </w:rPr>
        <w:tab/>
      </w:r>
      <w:r w:rsidRPr="009E1FD5">
        <w:rPr>
          <w:rStyle w:val="Appelnotedebasdep"/>
        </w:rPr>
        <w:footnoteRef/>
      </w:r>
      <w:r>
        <w:rPr>
          <w:sz w:val="16"/>
          <w:szCs w:val="16"/>
        </w:rPr>
        <w:tab/>
      </w:r>
      <w:r w:rsidRPr="00FB570E">
        <w:rPr>
          <w:sz w:val="16"/>
          <w:szCs w:val="16"/>
        </w:rPr>
        <w:tab/>
      </w:r>
      <w:r w:rsidRPr="00F5509B">
        <w:t>Arrêt du Tribunal administratif fédéral D-2076/2010 du 16 août 2011.</w:t>
      </w:r>
    </w:p>
  </w:footnote>
  <w:footnote w:id="25">
    <w:p w14:paraId="178623A5" w14:textId="77777777" w:rsidR="006450F6" w:rsidRPr="00FB570E" w:rsidRDefault="006450F6" w:rsidP="00971C84">
      <w:pPr>
        <w:pStyle w:val="Notedebasdepage"/>
        <w:spacing w:line="240" w:lineRule="auto"/>
      </w:pPr>
      <w:r>
        <w:tab/>
      </w:r>
      <w:r w:rsidRPr="009E1FD5">
        <w:rPr>
          <w:rStyle w:val="Appelnotedebasdep"/>
        </w:rPr>
        <w:footnoteRef/>
      </w:r>
      <w:r>
        <w:tab/>
      </w:r>
      <w:r w:rsidRPr="00F5509B">
        <w:t>Arrêt n</w:t>
      </w:r>
      <w:r w:rsidR="0055564E" w:rsidRPr="00971C84">
        <w:rPr>
          <w:vertAlign w:val="superscript"/>
        </w:rPr>
        <w:t>o</w:t>
      </w:r>
      <w:r w:rsidR="0055564E">
        <w:t> </w:t>
      </w:r>
      <w:r w:rsidRPr="00F5509B">
        <w:t xml:space="preserve">29217/12 du 4 novembre 2014 dans l’affaire </w:t>
      </w:r>
      <w:proofErr w:type="spellStart"/>
      <w:r w:rsidRPr="00971C84">
        <w:rPr>
          <w:i/>
          <w:iCs/>
        </w:rPr>
        <w:t>Tarakhel</w:t>
      </w:r>
      <w:proofErr w:type="spellEnd"/>
      <w:r w:rsidRPr="00971C84">
        <w:rPr>
          <w:i/>
          <w:iCs/>
        </w:rPr>
        <w:t xml:space="preserve"> c. Suisse</w:t>
      </w:r>
      <w:r>
        <w:rPr>
          <w:sz w:val="16"/>
          <w:szCs w:val="16"/>
        </w:rPr>
        <w:t>.</w:t>
      </w:r>
    </w:p>
  </w:footnote>
  <w:footnote w:id="26">
    <w:p w14:paraId="10121CC7" w14:textId="77777777" w:rsidR="006450F6" w:rsidRPr="005C2E94" w:rsidRDefault="006450F6">
      <w:pPr>
        <w:pStyle w:val="Notedebasdepage"/>
      </w:pPr>
      <w:r>
        <w:tab/>
      </w:r>
      <w:r w:rsidRPr="009E1FD5">
        <w:rPr>
          <w:rStyle w:val="Appelnotedebasdep"/>
        </w:rPr>
        <w:footnoteRef/>
      </w:r>
      <w:r>
        <w:tab/>
      </w:r>
      <w:r w:rsidRPr="005C2E94">
        <w:t>Recommandations de la CDAS relatives aux enfants et aux jeunes mineurs non accompagnés dans le domaine de l</w:t>
      </w:r>
      <w:r w:rsidR="00A27519">
        <w:t>’</w:t>
      </w:r>
      <w:r w:rsidRPr="005C2E94">
        <w:t>asile (22.06.16).</w:t>
      </w:r>
    </w:p>
  </w:footnote>
  <w:footnote w:id="27">
    <w:p w14:paraId="21E6BBBD" w14:textId="77777777" w:rsidR="006450F6" w:rsidRPr="005C2E94" w:rsidRDefault="006450F6">
      <w:pPr>
        <w:pStyle w:val="Notedebasdepage"/>
      </w:pPr>
      <w:r>
        <w:tab/>
      </w:r>
      <w:r w:rsidRPr="009E1FD5">
        <w:rPr>
          <w:rStyle w:val="Appelnotedebasdep"/>
        </w:rPr>
        <w:footnoteRef/>
      </w:r>
      <w:r>
        <w:tab/>
      </w:r>
      <w:r w:rsidRPr="005C2E94">
        <w:t>Recommandations relatives à l’aide d’urgence destinée aux personnes tenues de quitter le pays dans le domaine de l’asile (31.08.12).</w:t>
      </w:r>
    </w:p>
  </w:footnote>
  <w:footnote w:id="28">
    <w:p w14:paraId="2BBCF30A" w14:textId="77777777" w:rsidR="006450F6" w:rsidRDefault="006450F6">
      <w:pPr>
        <w:pStyle w:val="Notedebasdepage"/>
      </w:pPr>
      <w:r>
        <w:tab/>
      </w:r>
      <w:r w:rsidRPr="009E1FD5">
        <w:rPr>
          <w:rStyle w:val="Appelnotedebasdep"/>
        </w:rPr>
        <w:footnoteRef/>
      </w:r>
      <w:r>
        <w:tab/>
      </w:r>
      <w:r w:rsidR="00CB6ECE" w:rsidRPr="005C2E94">
        <w:t>Voir</w:t>
      </w:r>
      <w:r w:rsidRPr="005C2E94">
        <w:t xml:space="preserve"> §180 pour les détails</w:t>
      </w:r>
      <w:r>
        <w:t>.</w:t>
      </w:r>
    </w:p>
  </w:footnote>
  <w:footnote w:id="29">
    <w:p w14:paraId="0AC49503" w14:textId="77777777" w:rsidR="006450F6" w:rsidRPr="006450F6" w:rsidRDefault="006450F6">
      <w:pPr>
        <w:pStyle w:val="Notedebasdepage"/>
      </w:pPr>
      <w:r>
        <w:tab/>
      </w:r>
      <w:r w:rsidRPr="009E1FD5">
        <w:rPr>
          <w:rStyle w:val="Appelnotedebasdep"/>
        </w:rPr>
        <w:footnoteRef/>
      </w:r>
      <w:r>
        <w:tab/>
      </w:r>
      <w:r w:rsidRPr="006450F6">
        <w:t xml:space="preserve">FF 2018 7491. </w:t>
      </w:r>
      <w:hyperlink r:id="rId1" w:history="1">
        <w:r w:rsidRPr="006450F6">
          <w:t>https://www.parlament.ch/centers/documents/fr/bericht-gpk-n-admin-haft-asylbereich-2018-06-26-f.pdf</w:t>
        </w:r>
      </w:hyperlink>
      <w:r w:rsidRPr="006450F6">
        <w:t>.</w:t>
      </w:r>
    </w:p>
  </w:footnote>
  <w:footnote w:id="30">
    <w:p w14:paraId="3295476B" w14:textId="77777777" w:rsidR="006450F6" w:rsidRPr="00C759E4" w:rsidRDefault="006450F6">
      <w:pPr>
        <w:pStyle w:val="Notedebasdepage"/>
        <w:rPr>
          <w:lang w:val="en-GB"/>
        </w:rPr>
      </w:pPr>
      <w:r>
        <w:tab/>
      </w:r>
      <w:r w:rsidRPr="009E1FD5">
        <w:rPr>
          <w:rStyle w:val="Appelnotedebasdep"/>
        </w:rPr>
        <w:footnoteRef/>
      </w:r>
      <w:r w:rsidRPr="00C759E4">
        <w:rPr>
          <w:lang w:val="en-GB"/>
        </w:rPr>
        <w:tab/>
        <w:t>FF 2018 7583, 7590 (</w:t>
      </w:r>
      <w:hyperlink r:id="rId2" w:history="1">
        <w:r w:rsidRPr="00C759E4">
          <w:rPr>
            <w:lang w:val="en-GB"/>
          </w:rPr>
          <w:t>https://www.admin.ch/opc/fr/federal-gazette/2018/7583.pdf</w:t>
        </w:r>
      </w:hyperlink>
      <w:r w:rsidRPr="00C759E4">
        <w:rPr>
          <w:lang w:val="en-GB"/>
        </w:rPr>
        <w:t>.</w:t>
      </w:r>
    </w:p>
  </w:footnote>
  <w:footnote w:id="31">
    <w:p w14:paraId="23E1979C" w14:textId="77777777" w:rsidR="006450F6" w:rsidRPr="00FB570E" w:rsidRDefault="006450F6">
      <w:pPr>
        <w:pStyle w:val="Notedebasdepage"/>
      </w:pPr>
      <w:r w:rsidRPr="00C759E4">
        <w:rPr>
          <w:lang w:val="en-GB"/>
        </w:rPr>
        <w:tab/>
      </w:r>
      <w:r w:rsidRPr="009E1FD5">
        <w:rPr>
          <w:rStyle w:val="Appelnotedebasdep"/>
        </w:rPr>
        <w:footnoteRef/>
      </w:r>
      <w:r>
        <w:tab/>
      </w:r>
      <w:r w:rsidRPr="006450F6">
        <w:t>Pour plus de précisions sur ces recommandations</w:t>
      </w:r>
      <w:r w:rsidR="00222D58">
        <w:t> </w:t>
      </w:r>
      <w:r w:rsidRPr="006450F6">
        <w:t>: Recommandations de la Conférence des directrices et directeurs cantonaux des affaires sociales (CDAS) relatives aux enfants et aux jeunes mineurs non accompagnés dans le domaine de l’asile du 20 mai 2016</w:t>
      </w:r>
      <w:r>
        <w:t>.</w:t>
      </w:r>
    </w:p>
  </w:footnote>
  <w:footnote w:id="32">
    <w:p w14:paraId="2081F6F1" w14:textId="77777777" w:rsidR="006450F6" w:rsidRPr="00E76E99" w:rsidRDefault="00E76E99">
      <w:pPr>
        <w:pStyle w:val="Notedebasdepage"/>
      </w:pPr>
      <w:r>
        <w:tab/>
      </w:r>
      <w:r w:rsidR="006450F6" w:rsidRPr="009E1FD5">
        <w:rPr>
          <w:rStyle w:val="Appelnotedebasdep"/>
        </w:rPr>
        <w:footnoteRef/>
      </w:r>
      <w:r>
        <w:tab/>
      </w:r>
      <w:r w:rsidR="006450F6" w:rsidRPr="00E76E99">
        <w:t>Voir question 13.</w:t>
      </w:r>
    </w:p>
  </w:footnote>
  <w:footnote w:id="33">
    <w:p w14:paraId="34EB4907" w14:textId="77777777" w:rsidR="006450F6" w:rsidRPr="00FB570E" w:rsidRDefault="00E76E99">
      <w:pPr>
        <w:pStyle w:val="Notedebasdepage"/>
      </w:pPr>
      <w:r>
        <w:tab/>
      </w:r>
      <w:r w:rsidR="006450F6" w:rsidRPr="009E1FD5">
        <w:rPr>
          <w:rStyle w:val="Appelnotedebasdep"/>
        </w:rPr>
        <w:footnoteRef/>
      </w:r>
      <w:r>
        <w:tab/>
      </w:r>
      <w:r w:rsidR="006450F6" w:rsidRPr="00E76E99">
        <w:t>ATF 131 I 455; ATF 138 IV 86</w:t>
      </w:r>
      <w:r w:rsidR="006450F6">
        <w:t>.</w:t>
      </w:r>
    </w:p>
  </w:footnote>
  <w:footnote w:id="34">
    <w:p w14:paraId="415D6457" w14:textId="77777777" w:rsidR="006450F6" w:rsidRPr="00FB570E" w:rsidRDefault="00E76E99">
      <w:pPr>
        <w:pStyle w:val="Notedebasdepage"/>
      </w:pPr>
      <w:r>
        <w:rPr>
          <w:sz w:val="16"/>
          <w:szCs w:val="16"/>
        </w:rPr>
        <w:tab/>
      </w:r>
      <w:r w:rsidR="006450F6" w:rsidRPr="009E1FD5">
        <w:rPr>
          <w:rStyle w:val="Appelnotedebasdep"/>
        </w:rPr>
        <w:footnoteRef/>
      </w:r>
      <w:r>
        <w:rPr>
          <w:sz w:val="16"/>
          <w:szCs w:val="16"/>
        </w:rPr>
        <w:tab/>
      </w:r>
      <w:r w:rsidR="006450F6" w:rsidRPr="002E5017">
        <w:rPr>
          <w:szCs w:val="16"/>
        </w:rPr>
        <w:t>Voir p. ex. l’arrêt du Tribunal fédéral du 24 novembre 2011 (1B_471/2011).</w:t>
      </w:r>
    </w:p>
  </w:footnote>
  <w:footnote w:id="35">
    <w:p w14:paraId="36DF2C6E" w14:textId="77777777" w:rsidR="006450F6" w:rsidRPr="00362E3B" w:rsidRDefault="00E76E99">
      <w:pPr>
        <w:pStyle w:val="Notedebasdepage"/>
        <w:rPr>
          <w:sz w:val="16"/>
          <w:szCs w:val="16"/>
        </w:rPr>
      </w:pPr>
      <w:r>
        <w:rPr>
          <w:sz w:val="16"/>
          <w:szCs w:val="16"/>
        </w:rPr>
        <w:tab/>
      </w:r>
      <w:r w:rsidR="006450F6" w:rsidRPr="009E1FD5">
        <w:rPr>
          <w:rStyle w:val="Appelnotedebasdep"/>
        </w:rPr>
        <w:footnoteRef/>
      </w:r>
      <w:r w:rsidR="006450F6" w:rsidRPr="00362E3B">
        <w:rPr>
          <w:sz w:val="16"/>
          <w:szCs w:val="16"/>
        </w:rPr>
        <w:tab/>
      </w:r>
      <w:r w:rsidR="006450F6" w:rsidRPr="002E5017">
        <w:rPr>
          <w:szCs w:val="16"/>
        </w:rPr>
        <w:t>Art. 29, al. 1, de la loi sur les rapports de travail du personnel de l’</w:t>
      </w:r>
      <w:r w:rsidR="00D94D41">
        <w:rPr>
          <w:szCs w:val="16"/>
        </w:rPr>
        <w:t>État</w:t>
      </w:r>
      <w:r w:rsidR="006450F6" w:rsidRPr="002E5017">
        <w:rPr>
          <w:szCs w:val="16"/>
        </w:rPr>
        <w:t xml:space="preserve"> de ZH (LS 177.10).</w:t>
      </w:r>
    </w:p>
  </w:footnote>
  <w:footnote w:id="36">
    <w:p w14:paraId="2AB85519" w14:textId="77777777" w:rsidR="006450F6" w:rsidRPr="00FB570E" w:rsidRDefault="00E76E99">
      <w:pPr>
        <w:pStyle w:val="Notedebasdepage"/>
      </w:pPr>
      <w:r>
        <w:rPr>
          <w:sz w:val="16"/>
          <w:szCs w:val="16"/>
        </w:rPr>
        <w:tab/>
      </w:r>
      <w:r w:rsidR="006450F6" w:rsidRPr="009E1FD5">
        <w:rPr>
          <w:rStyle w:val="Appelnotedebasdep"/>
        </w:rPr>
        <w:footnoteRef/>
      </w:r>
      <w:r w:rsidR="006450F6" w:rsidRPr="00FB570E">
        <w:rPr>
          <w:sz w:val="16"/>
          <w:szCs w:val="16"/>
        </w:rPr>
        <w:tab/>
      </w:r>
      <w:r w:rsidR="006450F6" w:rsidRPr="002E5017">
        <w:rPr>
          <w:szCs w:val="16"/>
        </w:rPr>
        <w:t>Comme le canton de FR ou du VS.</w:t>
      </w:r>
    </w:p>
  </w:footnote>
  <w:footnote w:id="37">
    <w:p w14:paraId="7CA57173" w14:textId="77777777" w:rsidR="006450F6" w:rsidRPr="00FB570E" w:rsidRDefault="00E76E99">
      <w:pPr>
        <w:pStyle w:val="Notedebasdepage"/>
      </w:pPr>
      <w:r>
        <w:rPr>
          <w:sz w:val="16"/>
          <w:szCs w:val="16"/>
        </w:rPr>
        <w:tab/>
      </w:r>
      <w:r w:rsidR="006450F6" w:rsidRPr="009E1FD5">
        <w:rPr>
          <w:rStyle w:val="Appelnotedebasdep"/>
        </w:rPr>
        <w:footnoteRef/>
      </w:r>
      <w:r>
        <w:rPr>
          <w:sz w:val="16"/>
          <w:szCs w:val="16"/>
        </w:rPr>
        <w:tab/>
      </w:r>
      <w:r w:rsidR="00D94D41">
        <w:rPr>
          <w:szCs w:val="16"/>
        </w:rPr>
        <w:t>État</w:t>
      </w:r>
      <w:r w:rsidR="006450F6" w:rsidRPr="002E5017">
        <w:rPr>
          <w:szCs w:val="16"/>
        </w:rPr>
        <w:t xml:space="preserve"> au 4 mai 2018.</w:t>
      </w:r>
    </w:p>
  </w:footnote>
  <w:footnote w:id="38">
    <w:p w14:paraId="71FE5304" w14:textId="77777777" w:rsidR="006450F6" w:rsidRPr="00FB570E" w:rsidRDefault="007A7C73">
      <w:pPr>
        <w:pStyle w:val="Notedebasdepage"/>
        <w:rPr>
          <w:sz w:val="16"/>
          <w:szCs w:val="16"/>
        </w:rPr>
      </w:pPr>
      <w:r>
        <w:rPr>
          <w:sz w:val="16"/>
          <w:szCs w:val="16"/>
        </w:rPr>
        <w:tab/>
      </w:r>
      <w:r w:rsidR="006450F6" w:rsidRPr="009E1FD5">
        <w:rPr>
          <w:rStyle w:val="Appelnotedebasdep"/>
        </w:rPr>
        <w:footnoteRef/>
      </w:r>
      <w:r w:rsidR="006450F6" w:rsidRPr="00FB570E">
        <w:rPr>
          <w:sz w:val="16"/>
          <w:szCs w:val="16"/>
        </w:rPr>
        <w:tab/>
      </w:r>
      <w:r w:rsidR="006450F6" w:rsidRPr="007A7C73">
        <w:t>Voir en particulier la communication du 6 juillet 2016 « Personnes aux caractéristiques sexuelles ambiguës</w:t>
      </w:r>
      <w:r w:rsidR="00222D58">
        <w:t> </w:t>
      </w:r>
      <w:r w:rsidR="006450F6" w:rsidRPr="007A7C73">
        <w:t xml:space="preserve">: sensibiliser davantage » (disponible sur </w:t>
      </w:r>
      <w:hyperlink r:id="rId3" w:history="1">
        <w:r w:rsidR="006450F6" w:rsidRPr="007A7C73">
          <w:t>www.admin.ch</w:t>
        </w:r>
      </w:hyperlink>
      <w:r w:rsidR="006450F6" w:rsidRPr="007A7C73">
        <w:t xml:space="preserve"> &gt; Documentation &gt; Communiqués &gt; 6 juillet 2016) (consulté le 11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5D9A" w14:textId="6A8125C0" w:rsidR="006450F6" w:rsidRDefault="00490E54">
    <w:pPr>
      <w:pStyle w:val="En-tte"/>
    </w:pPr>
    <w:fldSimple w:instr=" DOCPROPERTY  symh  \* MERGEFORMAT ">
      <w:r w:rsidR="00EE686B">
        <w:t>CAT/C/CHE/8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E218" w14:textId="3D1F99A9" w:rsidR="006450F6" w:rsidRDefault="00490E54">
    <w:pPr>
      <w:pStyle w:val="En-tte"/>
      <w:jc w:val="right"/>
    </w:pPr>
    <w:fldSimple w:instr=" DOCPROPERTY  symh  \* MERGEFORMAT ">
      <w:r w:rsidR="00EE686B">
        <w:t>CAT/C/CHE/8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464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24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5B3B"/>
    <w:multiLevelType w:val="multilevel"/>
    <w:tmpl w:val="49EC508C"/>
    <w:styleLink w:val="berschriften-Gliederung"/>
    <w:lvl w:ilvl="0">
      <w:start w:val="1"/>
      <w:numFmt w:val="decimal"/>
      <w:lvlText w:val="%1"/>
      <w:lvlJc w:val="left"/>
      <w:pPr>
        <w:ind w:left="862" w:hanging="862"/>
      </w:pPr>
      <w:rPr>
        <w:rFonts w:hint="default"/>
      </w:rPr>
    </w:lvl>
    <w:lvl w:ilvl="1">
      <w:start w:val="1"/>
      <w:numFmt w:val="decimal"/>
      <w:lvlText w:val="%1.%2"/>
      <w:lvlJc w:val="left"/>
      <w:pPr>
        <w:ind w:left="862" w:hanging="862"/>
      </w:pPr>
      <w:rPr>
        <w:rFonts w:hint="default"/>
      </w:rPr>
    </w:lvl>
    <w:lvl w:ilvl="2">
      <w:start w:val="1"/>
      <w:numFmt w:val="decimal"/>
      <w:lvlText w:val="%1.%2.%3"/>
      <w:lvlJc w:val="left"/>
      <w:pPr>
        <w:ind w:left="862" w:hanging="86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9011DD6"/>
    <w:multiLevelType w:val="hybridMultilevel"/>
    <w:tmpl w:val="F1FA97C6"/>
    <w:lvl w:ilvl="0" w:tplc="CF08E16E">
      <w:start w:val="1"/>
      <w:numFmt w:val="decimal"/>
      <w:lvlText w:val="%1."/>
      <w:lvlJc w:val="left"/>
      <w:pPr>
        <w:ind w:left="1222" w:hanging="360"/>
      </w:pPr>
      <w:rPr>
        <w:rFonts w:hint="default"/>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2" w15:restartNumberingAfterBreak="0">
    <w:nsid w:val="0A016A7E"/>
    <w:multiLevelType w:val="hybridMultilevel"/>
    <w:tmpl w:val="72DCFF66"/>
    <w:lvl w:ilvl="0" w:tplc="12521828">
      <w:start w:val="1"/>
      <w:numFmt w:val="decimal"/>
      <w:pStyle w:val="CAT10ptNewRoman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D2D9C"/>
    <w:multiLevelType w:val="hybridMultilevel"/>
    <w:tmpl w:val="1CEA92AC"/>
    <w:lvl w:ilvl="0" w:tplc="73FE6600">
      <w:start w:val="1"/>
      <w:numFmt w:val="decimal"/>
      <w:pStyle w:val="CATnumrotation"/>
      <w:lvlText w:val="%1."/>
      <w:lvlJc w:val="left"/>
      <w:pPr>
        <w:tabs>
          <w:tab w:val="num" w:pos="0"/>
        </w:tabs>
        <w:ind w:left="0" w:firstLine="0"/>
      </w:pPr>
      <w:rPr>
        <w:rFonts w:ascii="Arial" w:hAnsi="Arial" w:hint="default"/>
        <w:b w:val="0"/>
        <w:i w:val="0"/>
        <w:caps w:val="0"/>
        <w:strike w:val="0"/>
        <w:dstrike w:val="0"/>
        <w:vanish w:val="0"/>
        <w:color w:val="auto"/>
        <w:sz w:val="22"/>
        <w:szCs w:val="24"/>
        <w:u w:val="none"/>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A37AE9F8">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441EE">
      <w:numFmt w:val="bullet"/>
      <w:lvlText w:val="-"/>
      <w:lvlJc w:val="left"/>
      <w:pPr>
        <w:tabs>
          <w:tab w:val="num" w:pos="2340"/>
        </w:tabs>
        <w:ind w:left="2340" w:hanging="360"/>
      </w:pPr>
      <w:rPr>
        <w:rFonts w:ascii="Arial" w:eastAsia="Times New Roman" w:hAnsi="Arial" w:cs="Arial" w:hint="default"/>
      </w:rPr>
    </w:lvl>
    <w:lvl w:ilvl="3" w:tplc="13A068F0">
      <w:start w:val="1"/>
      <w:numFmt w:val="lowerLetter"/>
      <w:lvlText w:val="%4)"/>
      <w:lvlJc w:val="left"/>
      <w:pPr>
        <w:ind w:left="3225" w:hanging="705"/>
      </w:pPr>
      <w:rPr>
        <w:rFonts w:hint="default"/>
      </w:rPr>
    </w:lvl>
    <w:lvl w:ilvl="4" w:tplc="08070019">
      <w:start w:val="1"/>
      <w:numFmt w:val="lowerLetter"/>
      <w:lvlText w:val="%5."/>
      <w:lvlJc w:val="left"/>
      <w:pPr>
        <w:tabs>
          <w:tab w:val="num" w:pos="3600"/>
        </w:tabs>
        <w:ind w:left="3600" w:hanging="360"/>
      </w:pPr>
      <w:rPr>
        <w:rFonts w:hint="default"/>
        <w:b w:val="0"/>
        <w:i w:val="0"/>
        <w:caps w:val="0"/>
        <w:strike w:val="0"/>
        <w:dstrike w:val="0"/>
        <w:vanish w:val="0"/>
        <w:color w:val="auto"/>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0D954887"/>
    <w:multiLevelType w:val="hybridMultilevel"/>
    <w:tmpl w:val="12F6C24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E2706BF"/>
    <w:multiLevelType w:val="hybridMultilevel"/>
    <w:tmpl w:val="8BD03D7A"/>
    <w:lvl w:ilvl="0" w:tplc="BAAE19B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3662999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0390F2B"/>
    <w:multiLevelType w:val="hybridMultilevel"/>
    <w:tmpl w:val="1ECA7E90"/>
    <w:lvl w:ilvl="0" w:tplc="2B70DA54">
      <w:start w:val="1"/>
      <w:numFmt w:val="bullet"/>
      <w:lvlText w:val=""/>
      <w:lvlJc w:val="left"/>
      <w:pPr>
        <w:ind w:left="1211" w:hanging="360"/>
      </w:pPr>
      <w:rPr>
        <w:rFonts w:ascii="Symbol" w:hAnsi="Symbol"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18" w15:restartNumberingAfterBreak="0">
    <w:nsid w:val="68AD07B2"/>
    <w:multiLevelType w:val="hybridMultilevel"/>
    <w:tmpl w:val="5D1450C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6"/>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4"/>
  </w:num>
  <w:num w:numId="17">
    <w:abstractNumId w:val="13"/>
  </w:num>
  <w:num w:numId="18">
    <w:abstractNumId w:val="11"/>
  </w:num>
  <w:num w:numId="19">
    <w:abstractNumId w:val="10"/>
  </w:num>
  <w:num w:numId="20">
    <w:abstractNumId w:val="17"/>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defaultTabStop w:val="567"/>
  <w:hyphenationZone w:val="425"/>
  <w:evenAndOddHeaders/>
  <w:characterSpacingControl w:val="doNotCompress"/>
  <w:hdrShapeDefaults>
    <o:shapedefaults v:ext="edit" spidmax="860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14"/>
    <w:rsid w:val="00084FA3"/>
    <w:rsid w:val="000A0B7E"/>
    <w:rsid w:val="000F1836"/>
    <w:rsid w:val="00122F48"/>
    <w:rsid w:val="00123FB8"/>
    <w:rsid w:val="001322A2"/>
    <w:rsid w:val="001477E9"/>
    <w:rsid w:val="00210B4C"/>
    <w:rsid w:val="00215781"/>
    <w:rsid w:val="00216C93"/>
    <w:rsid w:val="00222D58"/>
    <w:rsid w:val="002472A8"/>
    <w:rsid w:val="00282C26"/>
    <w:rsid w:val="00295883"/>
    <w:rsid w:val="002B6ED6"/>
    <w:rsid w:val="002D3E4F"/>
    <w:rsid w:val="002E5017"/>
    <w:rsid w:val="00324330"/>
    <w:rsid w:val="003C7C2B"/>
    <w:rsid w:val="00476638"/>
    <w:rsid w:val="00490E54"/>
    <w:rsid w:val="004C5A95"/>
    <w:rsid w:val="004F5715"/>
    <w:rsid w:val="00527D6A"/>
    <w:rsid w:val="00552382"/>
    <w:rsid w:val="0055564E"/>
    <w:rsid w:val="00556A55"/>
    <w:rsid w:val="00566DF6"/>
    <w:rsid w:val="005C2E94"/>
    <w:rsid w:val="00643017"/>
    <w:rsid w:val="006450F6"/>
    <w:rsid w:val="0064634C"/>
    <w:rsid w:val="00671F76"/>
    <w:rsid w:val="006A02A6"/>
    <w:rsid w:val="006A52DE"/>
    <w:rsid w:val="006C0011"/>
    <w:rsid w:val="0073666E"/>
    <w:rsid w:val="007459C8"/>
    <w:rsid w:val="0075207A"/>
    <w:rsid w:val="00760A01"/>
    <w:rsid w:val="00762341"/>
    <w:rsid w:val="00777BFF"/>
    <w:rsid w:val="007854BB"/>
    <w:rsid w:val="007A7C73"/>
    <w:rsid w:val="007B4C4E"/>
    <w:rsid w:val="007C10B9"/>
    <w:rsid w:val="007C3D27"/>
    <w:rsid w:val="00824CF4"/>
    <w:rsid w:val="00840B82"/>
    <w:rsid w:val="0087164C"/>
    <w:rsid w:val="008E3E4A"/>
    <w:rsid w:val="009013CA"/>
    <w:rsid w:val="00971C84"/>
    <w:rsid w:val="00982720"/>
    <w:rsid w:val="009D6952"/>
    <w:rsid w:val="009E1FD5"/>
    <w:rsid w:val="009F6492"/>
    <w:rsid w:val="00A014D4"/>
    <w:rsid w:val="00A1609B"/>
    <w:rsid w:val="00A16FEB"/>
    <w:rsid w:val="00A27519"/>
    <w:rsid w:val="00A54311"/>
    <w:rsid w:val="00A86132"/>
    <w:rsid w:val="00B32361"/>
    <w:rsid w:val="00B3359A"/>
    <w:rsid w:val="00B42D14"/>
    <w:rsid w:val="00B56636"/>
    <w:rsid w:val="00B65306"/>
    <w:rsid w:val="00B858E4"/>
    <w:rsid w:val="00BA6C56"/>
    <w:rsid w:val="00BB55E3"/>
    <w:rsid w:val="00BC01C5"/>
    <w:rsid w:val="00BD46DF"/>
    <w:rsid w:val="00BD72D7"/>
    <w:rsid w:val="00BE3C14"/>
    <w:rsid w:val="00C058E5"/>
    <w:rsid w:val="00C22620"/>
    <w:rsid w:val="00C251CA"/>
    <w:rsid w:val="00C759E4"/>
    <w:rsid w:val="00CB4571"/>
    <w:rsid w:val="00CB6ECE"/>
    <w:rsid w:val="00CC681D"/>
    <w:rsid w:val="00D15B10"/>
    <w:rsid w:val="00D436A0"/>
    <w:rsid w:val="00D641C5"/>
    <w:rsid w:val="00D94D41"/>
    <w:rsid w:val="00DA30AF"/>
    <w:rsid w:val="00E370CE"/>
    <w:rsid w:val="00E63971"/>
    <w:rsid w:val="00E76E99"/>
    <w:rsid w:val="00E8146B"/>
    <w:rsid w:val="00EC4D19"/>
    <w:rsid w:val="00EE105B"/>
    <w:rsid w:val="00EE1CDF"/>
    <w:rsid w:val="00EE686B"/>
    <w:rsid w:val="00F026CE"/>
    <w:rsid w:val="00F34885"/>
    <w:rsid w:val="00F35C34"/>
    <w:rsid w:val="00F5509B"/>
    <w:rsid w:val="00F55C94"/>
    <w:rsid w:val="00F87024"/>
    <w:rsid w:val="00FB534F"/>
    <w:rsid w:val="00FC70A8"/>
    <w:rsid w:val="00FD21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4C45056F"/>
  <w15:docId w15:val="{33A15405-6717-4C07-94B6-3B6D9D6B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qFormat/>
    <w:pPr>
      <w:outlineLvl w:val="1"/>
    </w:pPr>
  </w:style>
  <w:style w:type="paragraph" w:styleId="Titre3">
    <w:name w:val="heading 3"/>
    <w:basedOn w:val="Normal"/>
    <w:next w:val="Normal"/>
    <w:link w:val="Titre3Car"/>
    <w:qFormat/>
    <w:pPr>
      <w:outlineLvl w:val="2"/>
    </w:pPr>
  </w:style>
  <w:style w:type="paragraph" w:styleId="Titre4">
    <w:name w:val="heading 4"/>
    <w:basedOn w:val="Normal"/>
    <w:next w:val="Normal"/>
    <w:link w:val="Titre4Car"/>
    <w:qFormat/>
    <w:pPr>
      <w:outlineLvl w:val="3"/>
    </w:pPr>
  </w:style>
  <w:style w:type="paragraph" w:styleId="Titre5">
    <w:name w:val="heading 5"/>
    <w:basedOn w:val="Normal"/>
    <w:next w:val="Normal"/>
    <w:link w:val="Titre5Car"/>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iPriority w:val="99"/>
    <w:unhideWhenUsed/>
    <w:rPr>
      <w:color w:val="0000FF"/>
      <w:u w:val="none"/>
    </w:rPr>
  </w:style>
  <w:style w:type="paragraph" w:styleId="Notedebasdepage">
    <w:name w:val="footnote text"/>
    <w:aliases w:val="5_G"/>
    <w:basedOn w:val="Normal"/>
    <w:link w:val="NotedebasdepageCar"/>
    <w:qFormat/>
    <w:rsid w:val="00216C93"/>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216C93"/>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rPr>
      <w:rFonts w:ascii="Times New Roman" w:hAnsi="Times New Roman" w:cs="Times New Roman"/>
      <w:sz w:val="20"/>
      <w:szCs w:val="20"/>
    </w:rPr>
  </w:style>
  <w:style w:type="character" w:customStyle="1" w:styleId="Titre3Car">
    <w:name w:val="Titre 3 Car"/>
    <w:basedOn w:val="Policepardfaut"/>
    <w:link w:val="Titre3"/>
    <w:rPr>
      <w:rFonts w:ascii="Times New Roman" w:hAnsi="Times New Roman" w:cs="Times New Roman"/>
      <w:sz w:val="20"/>
      <w:szCs w:val="20"/>
    </w:rPr>
  </w:style>
  <w:style w:type="character" w:customStyle="1" w:styleId="Titre4Car">
    <w:name w:val="Titre 4 Car"/>
    <w:basedOn w:val="Policepardfaut"/>
    <w:link w:val="Titre4"/>
    <w:rPr>
      <w:rFonts w:ascii="Times New Roman" w:hAnsi="Times New Roman" w:cs="Times New Roman"/>
      <w:sz w:val="20"/>
      <w:szCs w:val="20"/>
    </w:rPr>
  </w:style>
  <w:style w:type="character" w:customStyle="1" w:styleId="Titre5Car">
    <w:name w:val="Titre 5 Car"/>
    <w:basedOn w:val="Policepardfaut"/>
    <w:link w:val="Titre5"/>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rPr>
      <w:rFonts w:ascii="Tahoma" w:eastAsia="Times New Roman" w:hAnsi="Tahoma" w:cs="Tahoma"/>
      <w:sz w:val="16"/>
      <w:szCs w:val="16"/>
      <w:lang w:val="en-GB"/>
    </w:rPr>
  </w:style>
  <w:style w:type="paragraph" w:customStyle="1" w:styleId="KopfFett">
    <w:name w:val="KopfFett"/>
    <w:basedOn w:val="En-tte"/>
    <w:next w:val="En-tte"/>
    <w:rsid w:val="0073666E"/>
    <w:pPr>
      <w:pBdr>
        <w:bottom w:val="none" w:sz="0" w:space="0" w:color="auto"/>
      </w:pBdr>
      <w:kinsoku/>
      <w:overflowPunct/>
      <w:autoSpaceDE/>
      <w:autoSpaceDN/>
      <w:adjustRightInd/>
      <w:snapToGrid/>
      <w:spacing w:before="60" w:after="60" w:line="200" w:lineRule="exact"/>
    </w:pPr>
    <w:rPr>
      <w:rFonts w:ascii="Arial" w:eastAsia="Times New Roman" w:hAnsi="Arial"/>
      <w:noProof/>
      <w:sz w:val="15"/>
      <w:szCs w:val="22"/>
      <w:lang w:val="de-CH" w:eastAsia="de-CH"/>
    </w:rPr>
  </w:style>
  <w:style w:type="paragraph" w:customStyle="1" w:styleId="KopfDept">
    <w:name w:val="KopfDept"/>
    <w:basedOn w:val="En-tte"/>
    <w:next w:val="KopfFett"/>
    <w:rsid w:val="0073666E"/>
    <w:pPr>
      <w:pBdr>
        <w:bottom w:val="none" w:sz="0" w:space="0" w:color="auto"/>
      </w:pBdr>
      <w:kinsoku/>
      <w:overflowPunct/>
      <w:autoSpaceDE/>
      <w:autoSpaceDN/>
      <w:adjustRightInd/>
      <w:snapToGrid/>
      <w:spacing w:before="60" w:after="100" w:line="200" w:lineRule="exact"/>
      <w:contextualSpacing/>
    </w:pPr>
    <w:rPr>
      <w:rFonts w:ascii="Arial" w:eastAsia="Times New Roman" w:hAnsi="Arial"/>
      <w:b w:val="0"/>
      <w:noProof/>
      <w:sz w:val="15"/>
      <w:szCs w:val="22"/>
      <w:lang w:val="de-CH" w:eastAsia="de-CH"/>
    </w:rPr>
  </w:style>
  <w:style w:type="paragraph" w:customStyle="1" w:styleId="Logo">
    <w:name w:val="Logo"/>
    <w:rsid w:val="0073666E"/>
    <w:pPr>
      <w:spacing w:before="60" w:after="60" w:line="240" w:lineRule="auto"/>
    </w:pPr>
    <w:rPr>
      <w:rFonts w:ascii="Arial" w:eastAsia="Times New Roman" w:hAnsi="Arial" w:cs="Times New Roman"/>
      <w:noProof/>
      <w:sz w:val="15"/>
      <w:szCs w:val="20"/>
      <w:lang w:val="de-CH" w:eastAsia="de-CH"/>
    </w:rPr>
  </w:style>
  <w:style w:type="paragraph" w:customStyle="1" w:styleId="Pfad">
    <w:name w:val="Pfad"/>
    <w:next w:val="Pieddepage"/>
    <w:rsid w:val="0073666E"/>
    <w:pPr>
      <w:spacing w:before="60" w:after="60" w:line="160" w:lineRule="exact"/>
    </w:pPr>
    <w:rPr>
      <w:rFonts w:ascii="Arial" w:eastAsia="Times New Roman" w:hAnsi="Arial" w:cs="Times New Roman"/>
      <w:noProof/>
      <w:sz w:val="12"/>
      <w:szCs w:val="12"/>
      <w:lang w:val="de-CH" w:eastAsia="de-CH"/>
    </w:rPr>
  </w:style>
  <w:style w:type="paragraph" w:styleId="Titre">
    <w:name w:val="Title"/>
    <w:basedOn w:val="Normal"/>
    <w:next w:val="Normal"/>
    <w:link w:val="TitreCar"/>
    <w:qFormat/>
    <w:rsid w:val="0073666E"/>
    <w:pPr>
      <w:suppressAutoHyphens w:val="0"/>
      <w:kinsoku/>
      <w:overflowPunct/>
      <w:autoSpaceDE/>
      <w:autoSpaceDN/>
      <w:adjustRightInd/>
      <w:snapToGrid/>
      <w:spacing w:before="60" w:after="60" w:line="480" w:lineRule="exact"/>
      <w:outlineLvl w:val="0"/>
    </w:pPr>
    <w:rPr>
      <w:rFonts w:ascii="Arial" w:eastAsia="Times New Roman" w:hAnsi="Arial" w:cs="Arial"/>
      <w:b/>
      <w:bCs/>
      <w:kern w:val="28"/>
      <w:sz w:val="42"/>
      <w:szCs w:val="32"/>
      <w:lang w:eastAsia="de-CH"/>
    </w:rPr>
  </w:style>
  <w:style w:type="character" w:customStyle="1" w:styleId="TitreCar">
    <w:name w:val="Titre Car"/>
    <w:basedOn w:val="Policepardfaut"/>
    <w:link w:val="Titre"/>
    <w:rsid w:val="0073666E"/>
    <w:rPr>
      <w:rFonts w:ascii="Arial" w:eastAsia="Times New Roman" w:hAnsi="Arial" w:cs="Arial"/>
      <w:b/>
      <w:bCs/>
      <w:kern w:val="28"/>
      <w:sz w:val="42"/>
      <w:szCs w:val="32"/>
      <w:lang w:eastAsia="de-CH"/>
    </w:rPr>
  </w:style>
  <w:style w:type="paragraph" w:customStyle="1" w:styleId="Seite">
    <w:name w:val="Seite"/>
    <w:basedOn w:val="Normal"/>
    <w:rsid w:val="0073666E"/>
    <w:pPr>
      <w:kinsoku/>
      <w:overflowPunct/>
      <w:autoSpaceDE/>
      <w:autoSpaceDN/>
      <w:adjustRightInd/>
      <w:snapToGrid/>
      <w:spacing w:before="60" w:after="60" w:line="200" w:lineRule="exact"/>
      <w:jc w:val="right"/>
    </w:pPr>
    <w:rPr>
      <w:rFonts w:ascii="Arial" w:eastAsia="Times New Roman" w:hAnsi="Arial"/>
      <w:sz w:val="14"/>
      <w:szCs w:val="14"/>
      <w:lang w:eastAsia="de-CH"/>
    </w:rPr>
  </w:style>
  <w:style w:type="paragraph" w:customStyle="1" w:styleId="oLinie">
    <w:name w:val="oLinie"/>
    <w:basedOn w:val="Normal"/>
    <w:next w:val="Normal"/>
    <w:rsid w:val="0073666E"/>
    <w:pPr>
      <w:pBdr>
        <w:bottom w:val="single" w:sz="4" w:space="1" w:color="auto"/>
      </w:pBdr>
      <w:suppressAutoHyphens w:val="0"/>
      <w:kinsoku/>
      <w:overflowPunct/>
      <w:autoSpaceDE/>
      <w:autoSpaceDN/>
      <w:adjustRightInd/>
      <w:snapToGrid/>
      <w:spacing w:before="60" w:after="340" w:line="200" w:lineRule="exact"/>
      <w:ind w:left="28" w:right="28"/>
    </w:pPr>
    <w:rPr>
      <w:rFonts w:ascii="Arial" w:eastAsia="Times New Roman" w:hAnsi="Arial"/>
      <w:noProof/>
      <w:sz w:val="15"/>
      <w:szCs w:val="15"/>
      <w:lang w:eastAsia="de-CH"/>
    </w:rPr>
  </w:style>
  <w:style w:type="paragraph" w:styleId="Sous-titre">
    <w:name w:val="Subtitle"/>
    <w:basedOn w:val="Titre"/>
    <w:next w:val="Normal"/>
    <w:link w:val="Sous-titreCar"/>
    <w:qFormat/>
    <w:rsid w:val="0073666E"/>
    <w:pPr>
      <w:outlineLvl w:val="1"/>
    </w:pPr>
    <w:rPr>
      <w:b w:val="0"/>
      <w:szCs w:val="24"/>
    </w:rPr>
  </w:style>
  <w:style w:type="character" w:customStyle="1" w:styleId="Sous-titreCar">
    <w:name w:val="Sous-titre Car"/>
    <w:basedOn w:val="Policepardfaut"/>
    <w:link w:val="Sous-titre"/>
    <w:rsid w:val="0073666E"/>
    <w:rPr>
      <w:rFonts w:ascii="Arial" w:eastAsia="Times New Roman" w:hAnsi="Arial" w:cs="Arial"/>
      <w:bCs/>
      <w:kern w:val="28"/>
      <w:sz w:val="42"/>
      <w:szCs w:val="24"/>
      <w:lang w:eastAsia="de-CH"/>
    </w:rPr>
  </w:style>
  <w:style w:type="paragraph" w:customStyle="1" w:styleId="Ref">
    <w:name w:val="Ref"/>
    <w:basedOn w:val="Normal"/>
    <w:next w:val="Normal"/>
    <w:rsid w:val="0073666E"/>
    <w:pPr>
      <w:suppressAutoHyphens w:val="0"/>
      <w:kinsoku/>
      <w:overflowPunct/>
      <w:autoSpaceDE/>
      <w:autoSpaceDN/>
      <w:adjustRightInd/>
      <w:snapToGrid/>
      <w:spacing w:before="60" w:after="60" w:line="200" w:lineRule="exact"/>
    </w:pPr>
    <w:rPr>
      <w:rFonts w:ascii="Arial" w:eastAsia="Times New Roman" w:hAnsi="Arial"/>
      <w:sz w:val="15"/>
      <w:szCs w:val="22"/>
      <w:lang w:eastAsia="de-CH"/>
    </w:rPr>
  </w:style>
  <w:style w:type="paragraph" w:customStyle="1" w:styleId="75">
    <w:name w:val="7.5"/>
    <w:basedOn w:val="Normal"/>
    <w:rsid w:val="0073666E"/>
    <w:pPr>
      <w:suppressAutoHyphens w:val="0"/>
      <w:kinsoku/>
      <w:overflowPunct/>
      <w:autoSpaceDE/>
      <w:autoSpaceDN/>
      <w:adjustRightInd/>
      <w:snapToGrid/>
      <w:spacing w:before="60" w:after="60" w:line="200" w:lineRule="exact"/>
    </w:pPr>
    <w:rPr>
      <w:rFonts w:ascii="Arial" w:eastAsia="Times New Roman" w:hAnsi="Arial"/>
      <w:sz w:val="15"/>
      <w:lang w:val="de-CH" w:eastAsia="de-CH"/>
    </w:rPr>
  </w:style>
  <w:style w:type="paragraph" w:customStyle="1" w:styleId="Platzhalter">
    <w:name w:val="Platzhalter"/>
    <w:basedOn w:val="Normal"/>
    <w:next w:val="Normal"/>
    <w:rsid w:val="0073666E"/>
    <w:pPr>
      <w:suppressAutoHyphens w:val="0"/>
      <w:kinsoku/>
      <w:overflowPunct/>
      <w:autoSpaceDE/>
      <w:autoSpaceDN/>
      <w:adjustRightInd/>
      <w:snapToGrid/>
      <w:spacing w:before="60" w:after="60" w:line="240" w:lineRule="auto"/>
    </w:pPr>
    <w:rPr>
      <w:rFonts w:ascii="Arial" w:eastAsia="Times New Roman" w:hAnsi="Arial"/>
      <w:sz w:val="2"/>
      <w:szCs w:val="2"/>
      <w:lang w:eastAsia="de-CH"/>
    </w:rPr>
  </w:style>
  <w:style w:type="paragraph" w:customStyle="1" w:styleId="uLinie">
    <w:name w:val="uLinie"/>
    <w:basedOn w:val="Normal"/>
    <w:next w:val="Normal"/>
    <w:rsid w:val="0073666E"/>
    <w:pPr>
      <w:pBdr>
        <w:bottom w:val="single" w:sz="4" w:space="1" w:color="auto"/>
      </w:pBdr>
      <w:suppressAutoHyphens w:val="0"/>
      <w:kinsoku/>
      <w:overflowPunct/>
      <w:autoSpaceDE/>
      <w:autoSpaceDN/>
      <w:adjustRightInd/>
      <w:snapToGrid/>
      <w:spacing w:before="480" w:after="360" w:line="200" w:lineRule="exact"/>
      <w:ind w:left="28" w:right="28"/>
    </w:pPr>
    <w:rPr>
      <w:rFonts w:ascii="Arial" w:eastAsia="Times New Roman" w:hAnsi="Arial"/>
      <w:noProof/>
      <w:sz w:val="15"/>
      <w:szCs w:val="15"/>
      <w:lang w:eastAsia="de-CH"/>
    </w:rPr>
  </w:style>
  <w:style w:type="paragraph" w:customStyle="1" w:styleId="Kopf2">
    <w:name w:val="Kopf2"/>
    <w:basedOn w:val="Normal"/>
    <w:rsid w:val="0073666E"/>
    <w:pPr>
      <w:suppressAutoHyphens w:val="0"/>
      <w:kinsoku/>
      <w:overflowPunct/>
      <w:autoSpaceDE/>
      <w:autoSpaceDN/>
      <w:adjustRightInd/>
      <w:snapToGrid/>
      <w:spacing w:before="60" w:after="60" w:line="240" w:lineRule="auto"/>
    </w:pPr>
    <w:rPr>
      <w:rFonts w:ascii="Arial" w:eastAsia="Times New Roman" w:hAnsi="Arial"/>
      <w:b/>
      <w:sz w:val="22"/>
      <w:szCs w:val="22"/>
      <w:lang w:eastAsia="de-CH"/>
    </w:rPr>
  </w:style>
  <w:style w:type="paragraph" w:customStyle="1" w:styleId="CATArticles">
    <w:name w:val="CAT Articles"/>
    <w:basedOn w:val="Normal"/>
    <w:rsid w:val="0073666E"/>
    <w:pPr>
      <w:suppressAutoHyphens w:val="0"/>
      <w:kinsoku/>
      <w:overflowPunct/>
      <w:autoSpaceDE/>
      <w:autoSpaceDN/>
      <w:adjustRightInd/>
      <w:snapToGrid/>
      <w:spacing w:before="240" w:after="240" w:line="240" w:lineRule="auto"/>
      <w:jc w:val="center"/>
    </w:pPr>
    <w:rPr>
      <w:rFonts w:ascii="Arial" w:eastAsia="Times New Roman" w:hAnsi="Arial"/>
      <w:b/>
      <w:bCs/>
      <w:sz w:val="22"/>
      <w:lang w:val="de-CH" w:eastAsia="de-CH"/>
    </w:rPr>
  </w:style>
  <w:style w:type="paragraph" w:customStyle="1" w:styleId="CATQuestions">
    <w:name w:val="CAT Questions"/>
    <w:basedOn w:val="Normal"/>
    <w:rsid w:val="0073666E"/>
    <w:pPr>
      <w:suppressAutoHyphens w:val="0"/>
      <w:kinsoku/>
      <w:overflowPunct/>
      <w:autoSpaceDE/>
      <w:autoSpaceDN/>
      <w:adjustRightInd/>
      <w:snapToGrid/>
      <w:spacing w:before="240" w:after="240" w:line="240" w:lineRule="auto"/>
    </w:pPr>
    <w:rPr>
      <w:rFonts w:ascii="Arial" w:eastAsia="Times New Roman" w:hAnsi="Arial"/>
      <w:i/>
      <w:iCs/>
      <w:sz w:val="22"/>
      <w:lang w:val="de-CH" w:eastAsia="de-CH"/>
    </w:rPr>
  </w:style>
  <w:style w:type="paragraph" w:customStyle="1" w:styleId="CATnumrotation">
    <w:name w:val="CAT numérotation"/>
    <w:basedOn w:val="Normal"/>
    <w:rsid w:val="0073666E"/>
    <w:pPr>
      <w:numPr>
        <w:numId w:val="17"/>
      </w:numPr>
      <w:suppressAutoHyphens w:val="0"/>
      <w:kinsoku/>
      <w:overflowPunct/>
      <w:autoSpaceDE/>
      <w:autoSpaceDN/>
      <w:adjustRightInd/>
      <w:snapToGrid/>
      <w:spacing w:before="240" w:after="240" w:line="240" w:lineRule="auto"/>
    </w:pPr>
    <w:rPr>
      <w:rFonts w:ascii="Arial" w:eastAsia="Times New Roman" w:hAnsi="Arial"/>
      <w:sz w:val="22"/>
      <w:szCs w:val="22"/>
      <w:lang w:eastAsia="de-CH"/>
    </w:rPr>
  </w:style>
  <w:style w:type="paragraph" w:customStyle="1" w:styleId="Default">
    <w:name w:val="Default"/>
    <w:rsid w:val="0073666E"/>
    <w:pPr>
      <w:autoSpaceDE w:val="0"/>
      <w:autoSpaceDN w:val="0"/>
      <w:adjustRightInd w:val="0"/>
      <w:spacing w:before="60" w:after="60" w:line="240" w:lineRule="auto"/>
    </w:pPr>
    <w:rPr>
      <w:rFonts w:ascii="Arial" w:eastAsia="Times New Roman" w:hAnsi="Arial" w:cs="Arial"/>
      <w:color w:val="000000"/>
      <w:sz w:val="24"/>
      <w:szCs w:val="24"/>
      <w:lang w:val="en-US"/>
    </w:rPr>
  </w:style>
  <w:style w:type="paragraph" w:styleId="Paragraphedeliste">
    <w:name w:val="List Paragraph"/>
    <w:basedOn w:val="Normal"/>
    <w:uiPriority w:val="34"/>
    <w:qFormat/>
    <w:rsid w:val="0073666E"/>
    <w:pPr>
      <w:suppressAutoHyphens w:val="0"/>
      <w:kinsoku/>
      <w:overflowPunct/>
      <w:autoSpaceDE/>
      <w:autoSpaceDN/>
      <w:adjustRightInd/>
      <w:snapToGrid/>
      <w:spacing w:before="60" w:after="60" w:line="240" w:lineRule="auto"/>
      <w:ind w:left="720"/>
      <w:contextualSpacing/>
    </w:pPr>
    <w:rPr>
      <w:rFonts w:ascii="Arial" w:eastAsia="Calibri" w:hAnsi="Arial"/>
      <w:sz w:val="22"/>
      <w:szCs w:val="22"/>
      <w:lang w:val="de-CH"/>
    </w:rPr>
  </w:style>
  <w:style w:type="paragraph" w:customStyle="1" w:styleId="Text">
    <w:name w:val="Text"/>
    <w:basedOn w:val="En-tte"/>
    <w:rsid w:val="0073666E"/>
    <w:pPr>
      <w:pBdr>
        <w:bottom w:val="none" w:sz="0" w:space="0" w:color="auto"/>
      </w:pBdr>
      <w:tabs>
        <w:tab w:val="left" w:pos="4253"/>
      </w:tabs>
      <w:suppressAutoHyphens w:val="0"/>
      <w:kinsoku/>
      <w:overflowPunct/>
      <w:autoSpaceDE/>
      <w:autoSpaceDN/>
      <w:adjustRightInd/>
      <w:snapToGrid/>
      <w:spacing w:before="60" w:after="60" w:line="280" w:lineRule="exact"/>
    </w:pPr>
    <w:rPr>
      <w:rFonts w:ascii="Arial" w:eastAsia="Times" w:hAnsi="Arial" w:cs="Arial"/>
      <w:b w:val="0"/>
      <w:sz w:val="22"/>
      <w:lang w:eastAsia="de-CH"/>
    </w:rPr>
  </w:style>
  <w:style w:type="paragraph" w:customStyle="1" w:styleId="Bericht">
    <w:name w:val="Bericht"/>
    <w:basedOn w:val="Normal"/>
    <w:next w:val="Titre"/>
    <w:uiPriority w:val="1"/>
    <w:rsid w:val="0073666E"/>
    <w:pPr>
      <w:widowControl w:val="0"/>
      <w:suppressAutoHyphens w:val="0"/>
      <w:kinsoku/>
      <w:overflowPunct/>
      <w:autoSpaceDE/>
      <w:autoSpaceDN/>
      <w:adjustRightInd/>
      <w:snapToGrid/>
      <w:spacing w:before="60" w:after="60" w:line="240" w:lineRule="auto"/>
    </w:pPr>
    <w:rPr>
      <w:rFonts w:ascii="Arial" w:eastAsia="Calibri" w:hAnsi="Arial"/>
      <w:b/>
      <w:sz w:val="42"/>
      <w:szCs w:val="22"/>
    </w:rPr>
  </w:style>
  <w:style w:type="character" w:styleId="Accentuation">
    <w:name w:val="Emphasis"/>
    <w:uiPriority w:val="20"/>
    <w:qFormat/>
    <w:rsid w:val="0073666E"/>
    <w:rPr>
      <w:b/>
      <w:bCs/>
      <w:i w:val="0"/>
      <w:iCs w:val="0"/>
    </w:rPr>
  </w:style>
  <w:style w:type="character" w:styleId="lev">
    <w:name w:val="Strong"/>
    <w:uiPriority w:val="22"/>
    <w:qFormat/>
    <w:rsid w:val="0073666E"/>
    <w:rPr>
      <w:b/>
      <w:bCs/>
    </w:rPr>
  </w:style>
  <w:style w:type="character" w:styleId="Marquedecommentaire">
    <w:name w:val="annotation reference"/>
    <w:rsid w:val="0073666E"/>
    <w:rPr>
      <w:sz w:val="16"/>
      <w:szCs w:val="16"/>
    </w:rPr>
  </w:style>
  <w:style w:type="paragraph" w:styleId="Commentaire">
    <w:name w:val="annotation text"/>
    <w:basedOn w:val="Normal"/>
    <w:link w:val="CommentaireCar"/>
    <w:rsid w:val="0073666E"/>
    <w:pPr>
      <w:suppressAutoHyphens w:val="0"/>
      <w:kinsoku/>
      <w:overflowPunct/>
      <w:autoSpaceDE/>
      <w:autoSpaceDN/>
      <w:adjustRightInd/>
      <w:snapToGrid/>
      <w:spacing w:before="60" w:after="60" w:line="240" w:lineRule="auto"/>
    </w:pPr>
    <w:rPr>
      <w:rFonts w:ascii="Arial" w:eastAsia="Times New Roman" w:hAnsi="Arial"/>
      <w:lang w:eastAsia="de-CH"/>
    </w:rPr>
  </w:style>
  <w:style w:type="character" w:customStyle="1" w:styleId="CommentaireCar">
    <w:name w:val="Commentaire Car"/>
    <w:basedOn w:val="Policepardfaut"/>
    <w:link w:val="Commentaire"/>
    <w:rsid w:val="0073666E"/>
    <w:rPr>
      <w:rFonts w:ascii="Arial" w:eastAsia="Times New Roman" w:hAnsi="Arial" w:cs="Times New Roman"/>
      <w:sz w:val="20"/>
      <w:szCs w:val="20"/>
      <w:lang w:eastAsia="de-CH"/>
    </w:rPr>
  </w:style>
  <w:style w:type="paragraph" w:styleId="Objetducommentaire">
    <w:name w:val="annotation subject"/>
    <w:basedOn w:val="Commentaire"/>
    <w:next w:val="Commentaire"/>
    <w:link w:val="ObjetducommentaireCar"/>
    <w:rsid w:val="0073666E"/>
    <w:rPr>
      <w:b/>
      <w:bCs/>
    </w:rPr>
  </w:style>
  <w:style w:type="character" w:customStyle="1" w:styleId="ObjetducommentaireCar">
    <w:name w:val="Objet du commentaire Car"/>
    <w:basedOn w:val="CommentaireCar"/>
    <w:link w:val="Objetducommentaire"/>
    <w:rsid w:val="0073666E"/>
    <w:rPr>
      <w:rFonts w:ascii="Arial" w:eastAsia="Times New Roman" w:hAnsi="Arial" w:cs="Times New Roman"/>
      <w:b/>
      <w:bCs/>
      <w:sz w:val="20"/>
      <w:szCs w:val="20"/>
      <w:lang w:eastAsia="de-CH"/>
    </w:rPr>
  </w:style>
  <w:style w:type="paragraph" w:customStyle="1" w:styleId="bodytext2">
    <w:name w:val="bodytext2"/>
    <w:basedOn w:val="Normal"/>
    <w:rsid w:val="0073666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styleId="Listepuces">
    <w:name w:val="List Bullet"/>
    <w:basedOn w:val="Normal"/>
    <w:link w:val="ListepucesCar"/>
    <w:rsid w:val="0073666E"/>
    <w:pPr>
      <w:suppressAutoHyphens w:val="0"/>
      <w:kinsoku/>
      <w:overflowPunct/>
      <w:autoSpaceDE/>
      <w:autoSpaceDN/>
      <w:adjustRightInd/>
      <w:snapToGrid/>
      <w:spacing w:before="60" w:after="60" w:line="240" w:lineRule="auto"/>
      <w:contextualSpacing/>
    </w:pPr>
    <w:rPr>
      <w:rFonts w:ascii="Arial" w:eastAsia="Times New Roman" w:hAnsi="Arial"/>
      <w:sz w:val="22"/>
      <w:szCs w:val="22"/>
      <w:lang w:eastAsia="de-CH"/>
    </w:rPr>
  </w:style>
  <w:style w:type="paragraph" w:customStyle="1" w:styleId="Einschub">
    <w:name w:val="Einschub"/>
    <w:basedOn w:val="Normal"/>
    <w:qFormat/>
    <w:rsid w:val="0073666E"/>
    <w:pPr>
      <w:suppressAutoHyphens w:val="0"/>
      <w:kinsoku/>
      <w:overflowPunct/>
      <w:autoSpaceDE/>
      <w:autoSpaceDN/>
      <w:adjustRightInd/>
      <w:snapToGrid/>
      <w:spacing w:before="60" w:after="120" w:line="240" w:lineRule="auto"/>
      <w:ind w:left="851" w:right="851"/>
      <w:jc w:val="both"/>
    </w:pPr>
    <w:rPr>
      <w:rFonts w:ascii="Arial" w:eastAsia="Times New Roman" w:hAnsi="Arial" w:cs="Arial"/>
      <w:lang w:val="de-CH" w:eastAsia="de-CH"/>
    </w:rPr>
  </w:style>
  <w:style w:type="paragraph" w:styleId="En-ttedetabledesmatires">
    <w:name w:val="TOC Heading"/>
    <w:basedOn w:val="Normal"/>
    <w:next w:val="Normal"/>
    <w:uiPriority w:val="39"/>
    <w:unhideWhenUsed/>
    <w:rsid w:val="0073666E"/>
    <w:pPr>
      <w:tabs>
        <w:tab w:val="right" w:leader="dot" w:pos="9072"/>
      </w:tabs>
      <w:suppressAutoHyphens w:val="0"/>
      <w:kinsoku/>
      <w:overflowPunct/>
      <w:autoSpaceDE/>
      <w:autoSpaceDN/>
      <w:adjustRightInd/>
      <w:snapToGrid/>
      <w:spacing w:before="120" w:after="240" w:line="240" w:lineRule="auto"/>
    </w:pPr>
    <w:rPr>
      <w:rFonts w:ascii="Arial" w:eastAsia="Times New Roman" w:hAnsi="Arial"/>
      <w:b/>
      <w:noProof/>
      <w:sz w:val="22"/>
      <w:szCs w:val="22"/>
      <w:lang w:val="de-CH" w:eastAsia="de-CH"/>
    </w:rPr>
  </w:style>
  <w:style w:type="paragraph" w:customStyle="1" w:styleId="KopfFettAmt">
    <w:name w:val="KopfFettAmt"/>
    <w:basedOn w:val="Normal"/>
    <w:next w:val="En-tte"/>
    <w:rsid w:val="0073666E"/>
    <w:pPr>
      <w:suppressAutoHyphens w:val="0"/>
      <w:kinsoku/>
      <w:overflowPunct/>
      <w:autoSpaceDE/>
      <w:autoSpaceDN/>
      <w:adjustRightInd/>
      <w:snapToGrid/>
      <w:spacing w:before="60" w:after="60" w:line="200" w:lineRule="exact"/>
    </w:pPr>
    <w:rPr>
      <w:rFonts w:ascii="Arial" w:eastAsia="Times New Roman" w:hAnsi="Arial"/>
      <w:b/>
      <w:sz w:val="15"/>
      <w:szCs w:val="15"/>
      <w:lang w:val="de-CH" w:eastAsia="de-CH"/>
    </w:rPr>
  </w:style>
  <w:style w:type="paragraph" w:customStyle="1" w:styleId="Linie1">
    <w:name w:val="Linie1"/>
    <w:basedOn w:val="Normal"/>
    <w:next w:val="Normal"/>
    <w:rsid w:val="0073666E"/>
    <w:pPr>
      <w:pBdr>
        <w:top w:val="single" w:sz="4" w:space="1" w:color="auto"/>
      </w:pBdr>
      <w:suppressAutoHyphens w:val="0"/>
      <w:kinsoku/>
      <w:overflowPunct/>
      <w:autoSpaceDE/>
      <w:autoSpaceDN/>
      <w:adjustRightInd/>
      <w:snapToGrid/>
      <w:spacing w:before="260" w:after="120" w:line="120" w:lineRule="exact"/>
      <w:ind w:left="28" w:right="28"/>
    </w:pPr>
    <w:rPr>
      <w:rFonts w:ascii="Arial" w:eastAsia="Times New Roman" w:hAnsi="Arial"/>
      <w:sz w:val="15"/>
      <w:lang w:val="de-CH" w:eastAsia="de-CH"/>
    </w:rPr>
  </w:style>
  <w:style w:type="paragraph" w:customStyle="1" w:styleId="Linie2">
    <w:name w:val="Linie2"/>
    <w:basedOn w:val="Normal"/>
    <w:next w:val="Normal"/>
    <w:rsid w:val="0073666E"/>
    <w:pPr>
      <w:pBdr>
        <w:bottom w:val="single" w:sz="4" w:space="1" w:color="auto"/>
      </w:pBdr>
      <w:suppressAutoHyphens w:val="0"/>
      <w:kinsoku/>
      <w:overflowPunct/>
      <w:autoSpaceDE/>
      <w:autoSpaceDN/>
      <w:adjustRightInd/>
      <w:snapToGrid/>
      <w:spacing w:before="60" w:after="360" w:line="240" w:lineRule="auto"/>
      <w:ind w:left="28" w:right="28"/>
    </w:pPr>
    <w:rPr>
      <w:rFonts w:ascii="Arial" w:eastAsia="Times New Roman" w:hAnsi="Arial"/>
      <w:sz w:val="15"/>
      <w:lang w:val="de-CH" w:eastAsia="de-CH"/>
    </w:rPr>
  </w:style>
  <w:style w:type="paragraph" w:customStyle="1" w:styleId="Nummerierung">
    <w:name w:val="Nummerierung"/>
    <w:basedOn w:val="Normal"/>
    <w:link w:val="NummerierungZchn"/>
    <w:rsid w:val="0073666E"/>
    <w:pPr>
      <w:suppressAutoHyphens w:val="0"/>
      <w:kinsoku/>
      <w:overflowPunct/>
      <w:autoSpaceDE/>
      <w:autoSpaceDN/>
      <w:adjustRightInd/>
      <w:snapToGrid/>
      <w:spacing w:before="60" w:after="120" w:line="240" w:lineRule="auto"/>
    </w:pPr>
    <w:rPr>
      <w:rFonts w:ascii="Arial" w:eastAsia="Times New Roman" w:hAnsi="Arial"/>
      <w:sz w:val="22"/>
      <w:szCs w:val="22"/>
      <w:lang w:val="x-none" w:eastAsia="x-none"/>
    </w:rPr>
  </w:style>
  <w:style w:type="character" w:customStyle="1" w:styleId="NummerierungZchn">
    <w:name w:val="Nummerierung Zchn"/>
    <w:link w:val="Nummerierung"/>
    <w:rsid w:val="0073666E"/>
    <w:rPr>
      <w:rFonts w:ascii="Arial" w:eastAsia="Times New Roman" w:hAnsi="Arial" w:cs="Times New Roman"/>
      <w:lang w:val="x-none" w:eastAsia="x-none"/>
    </w:rPr>
  </w:style>
  <w:style w:type="paragraph" w:customStyle="1" w:styleId="Rahmen">
    <w:name w:val="Rahmen"/>
    <w:basedOn w:val="Normal"/>
    <w:rsid w:val="0073666E"/>
    <w:pPr>
      <w:pBdr>
        <w:top w:val="single" w:sz="4" w:space="1" w:color="auto"/>
        <w:left w:val="single" w:sz="4" w:space="4" w:color="auto"/>
        <w:bottom w:val="single" w:sz="4" w:space="1" w:color="auto"/>
        <w:right w:val="single" w:sz="4" w:space="4" w:color="auto"/>
      </w:pBdr>
      <w:suppressAutoHyphens w:val="0"/>
      <w:kinsoku/>
      <w:overflowPunct/>
      <w:autoSpaceDE/>
      <w:autoSpaceDN/>
      <w:adjustRightInd/>
      <w:snapToGrid/>
      <w:spacing w:before="60" w:after="120"/>
    </w:pPr>
    <w:rPr>
      <w:rFonts w:ascii="Arial" w:eastAsia="Times New Roman" w:hAnsi="Arial"/>
      <w:i/>
      <w:sz w:val="18"/>
      <w:lang w:val="de-CH" w:eastAsia="de-CH"/>
    </w:rPr>
  </w:style>
  <w:style w:type="paragraph" w:customStyle="1" w:styleId="RefAktenzeichen">
    <w:name w:val="Ref/Aktenzeichen"/>
    <w:basedOn w:val="Normal"/>
    <w:next w:val="Normal"/>
    <w:link w:val="RefAktenzeichenZchn"/>
    <w:rsid w:val="0073666E"/>
    <w:pPr>
      <w:suppressAutoHyphens w:val="0"/>
      <w:kinsoku/>
      <w:overflowPunct/>
      <w:autoSpaceDE/>
      <w:autoSpaceDN/>
      <w:adjustRightInd/>
      <w:snapToGrid/>
      <w:spacing w:before="60" w:after="60" w:line="200" w:lineRule="exact"/>
    </w:pPr>
    <w:rPr>
      <w:rFonts w:ascii="Arial" w:eastAsia="Times New Roman" w:hAnsi="Arial"/>
      <w:sz w:val="15"/>
      <w:lang w:val="de-CH" w:eastAsia="de-CH"/>
    </w:rPr>
  </w:style>
  <w:style w:type="character" w:customStyle="1" w:styleId="RefAktenzeichenZchn">
    <w:name w:val="Ref/Aktenzeichen Zchn"/>
    <w:link w:val="RefAktenzeichen"/>
    <w:rsid w:val="0073666E"/>
    <w:rPr>
      <w:rFonts w:ascii="Arial" w:eastAsia="Times New Roman" w:hAnsi="Arial" w:cs="Times New Roman"/>
      <w:sz w:val="15"/>
      <w:szCs w:val="20"/>
      <w:lang w:val="de-CH" w:eastAsia="de-CH"/>
    </w:rPr>
  </w:style>
  <w:style w:type="paragraph" w:styleId="Listepuces2">
    <w:name w:val="List Bullet 2"/>
    <w:basedOn w:val="Normal"/>
    <w:unhideWhenUsed/>
    <w:rsid w:val="0073666E"/>
    <w:pPr>
      <w:tabs>
        <w:tab w:val="num" w:pos="714"/>
      </w:tabs>
      <w:suppressAutoHyphens w:val="0"/>
      <w:kinsoku/>
      <w:overflowPunct/>
      <w:autoSpaceDE/>
      <w:autoSpaceDN/>
      <w:adjustRightInd/>
      <w:snapToGrid/>
      <w:spacing w:before="60" w:after="120" w:line="240" w:lineRule="auto"/>
      <w:ind w:left="714" w:hanging="357"/>
    </w:pPr>
    <w:rPr>
      <w:rFonts w:ascii="Arial" w:eastAsia="Times New Roman" w:hAnsi="Arial"/>
      <w:sz w:val="22"/>
      <w:lang w:val="de-CH" w:eastAsia="de-CH"/>
    </w:rPr>
  </w:style>
  <w:style w:type="paragraph" w:styleId="TM1">
    <w:name w:val="toc 1"/>
    <w:basedOn w:val="Normal"/>
    <w:next w:val="Normal"/>
    <w:uiPriority w:val="39"/>
    <w:rsid w:val="0073666E"/>
    <w:pPr>
      <w:tabs>
        <w:tab w:val="left" w:pos="406"/>
        <w:tab w:val="right" w:leader="dot" w:pos="9072"/>
      </w:tabs>
      <w:suppressAutoHyphens w:val="0"/>
      <w:kinsoku/>
      <w:overflowPunct/>
      <w:autoSpaceDE/>
      <w:autoSpaceDN/>
      <w:adjustRightInd/>
      <w:snapToGrid/>
      <w:spacing w:before="120" w:after="60" w:line="260" w:lineRule="atLeast"/>
      <w:ind w:left="425" w:right="284" w:hanging="425"/>
    </w:pPr>
    <w:rPr>
      <w:rFonts w:ascii="Arial" w:eastAsia="Times New Roman" w:hAnsi="Arial"/>
      <w:b/>
      <w:noProof/>
      <w:lang w:val="de-CH" w:eastAsia="de-CH"/>
    </w:rPr>
  </w:style>
  <w:style w:type="paragraph" w:styleId="TM2">
    <w:name w:val="toc 2"/>
    <w:basedOn w:val="Normal"/>
    <w:next w:val="Normal"/>
    <w:uiPriority w:val="39"/>
    <w:rsid w:val="0073666E"/>
    <w:pPr>
      <w:tabs>
        <w:tab w:val="left" w:pos="992"/>
        <w:tab w:val="right" w:leader="dot" w:pos="9072"/>
      </w:tabs>
      <w:suppressAutoHyphens w:val="0"/>
      <w:kinsoku/>
      <w:overflowPunct/>
      <w:autoSpaceDE/>
      <w:autoSpaceDN/>
      <w:adjustRightInd/>
      <w:snapToGrid/>
      <w:spacing w:before="60" w:after="60" w:line="260" w:lineRule="atLeast"/>
      <w:ind w:left="992" w:right="284" w:hanging="567"/>
      <w:contextualSpacing/>
    </w:pPr>
    <w:rPr>
      <w:rFonts w:ascii="Arial" w:eastAsia="Times New Roman" w:hAnsi="Arial"/>
      <w:noProof/>
      <w:lang w:val="de-CH" w:eastAsia="de-CH"/>
    </w:rPr>
  </w:style>
  <w:style w:type="paragraph" w:styleId="TM3">
    <w:name w:val="toc 3"/>
    <w:basedOn w:val="Normal"/>
    <w:next w:val="Normal"/>
    <w:uiPriority w:val="39"/>
    <w:rsid w:val="0073666E"/>
    <w:pPr>
      <w:tabs>
        <w:tab w:val="left" w:pos="1701"/>
        <w:tab w:val="right" w:leader="dot" w:pos="9072"/>
      </w:tabs>
      <w:suppressAutoHyphens w:val="0"/>
      <w:kinsoku/>
      <w:overflowPunct/>
      <w:autoSpaceDE/>
      <w:autoSpaceDN/>
      <w:adjustRightInd/>
      <w:snapToGrid/>
      <w:spacing w:before="60" w:after="60" w:line="260" w:lineRule="atLeast"/>
      <w:ind w:left="1701" w:right="284" w:hanging="709"/>
      <w:contextualSpacing/>
    </w:pPr>
    <w:rPr>
      <w:rFonts w:ascii="Arial" w:eastAsia="Times New Roman" w:hAnsi="Arial"/>
      <w:noProof/>
      <w:lang w:val="de-CH" w:eastAsia="de-CH"/>
    </w:rPr>
  </w:style>
  <w:style w:type="paragraph" w:styleId="TM4">
    <w:name w:val="toc 4"/>
    <w:basedOn w:val="Normal"/>
    <w:next w:val="Normal"/>
    <w:uiPriority w:val="39"/>
    <w:unhideWhenUsed/>
    <w:rsid w:val="0073666E"/>
    <w:pPr>
      <w:tabs>
        <w:tab w:val="left" w:pos="2552"/>
        <w:tab w:val="right" w:leader="dot" w:pos="9072"/>
      </w:tabs>
      <w:kinsoku/>
      <w:overflowPunct/>
      <w:autoSpaceDE/>
      <w:autoSpaceDN/>
      <w:adjustRightInd/>
      <w:snapToGrid/>
      <w:spacing w:before="60" w:after="60" w:line="260" w:lineRule="atLeast"/>
      <w:ind w:left="2552" w:right="284" w:hanging="851"/>
      <w:contextualSpacing/>
    </w:pPr>
    <w:rPr>
      <w:rFonts w:ascii="Arial" w:eastAsia="Times New Roman" w:hAnsi="Arial"/>
      <w:noProof/>
      <w:lang w:val="de-CH" w:eastAsia="de-CH"/>
    </w:rPr>
  </w:style>
  <w:style w:type="character" w:customStyle="1" w:styleId="Verfasser">
    <w:name w:val="Verfasser"/>
    <w:rsid w:val="0073666E"/>
    <w:rPr>
      <w:b/>
      <w:bCs/>
    </w:rPr>
  </w:style>
  <w:style w:type="paragraph" w:customStyle="1" w:styleId="TitelKopfzeile">
    <w:name w:val="Titel Kopfzeile"/>
    <w:basedOn w:val="RefAktenzeichen"/>
    <w:link w:val="TitelKopfzeileZchn"/>
    <w:qFormat/>
    <w:rsid w:val="0073666E"/>
    <w:rPr>
      <w:b/>
    </w:rPr>
  </w:style>
  <w:style w:type="character" w:customStyle="1" w:styleId="TitelKopfzeileZchn">
    <w:name w:val="Titel Kopfzeile Zchn"/>
    <w:link w:val="TitelKopfzeile"/>
    <w:rsid w:val="0073666E"/>
    <w:rPr>
      <w:rFonts w:ascii="Arial" w:eastAsia="Times New Roman" w:hAnsi="Arial" w:cs="Times New Roman"/>
      <w:b/>
      <w:sz w:val="15"/>
      <w:szCs w:val="20"/>
      <w:lang w:val="de-CH" w:eastAsia="de-CH"/>
    </w:rPr>
  </w:style>
  <w:style w:type="paragraph" w:customStyle="1" w:styleId="Standardunterstrichen">
    <w:name w:val="Standard unterstrichen"/>
    <w:basedOn w:val="Normal"/>
    <w:link w:val="StandardunterstrichenZchn"/>
    <w:rsid w:val="0073666E"/>
    <w:pPr>
      <w:suppressAutoHyphens w:val="0"/>
      <w:kinsoku/>
      <w:overflowPunct/>
      <w:autoSpaceDE/>
      <w:autoSpaceDN/>
      <w:adjustRightInd/>
      <w:snapToGrid/>
      <w:spacing w:before="60" w:after="120" w:line="240" w:lineRule="auto"/>
    </w:pPr>
    <w:rPr>
      <w:rFonts w:ascii="Arial" w:eastAsia="Times New Roman" w:hAnsi="Arial"/>
      <w:sz w:val="22"/>
      <w:u w:val="single"/>
      <w:lang w:val="de-CH" w:eastAsia="de-CH"/>
    </w:rPr>
  </w:style>
  <w:style w:type="paragraph" w:customStyle="1" w:styleId="Kopftitel">
    <w:name w:val="Kopftitel"/>
    <w:basedOn w:val="Titre"/>
    <w:rsid w:val="0073666E"/>
    <w:pPr>
      <w:suppressAutoHyphens/>
      <w:spacing w:after="120"/>
      <w:outlineLvl w:val="9"/>
    </w:pPr>
    <w:rPr>
      <w:b w:val="0"/>
      <w:bCs w:val="0"/>
      <w:sz w:val="32"/>
      <w:lang w:val="de-CH"/>
    </w:rPr>
  </w:style>
  <w:style w:type="character" w:customStyle="1" w:styleId="StandardunterstrichenZchn">
    <w:name w:val="Standard unterstrichen Zchn"/>
    <w:link w:val="Standardunterstrichen"/>
    <w:rsid w:val="0073666E"/>
    <w:rPr>
      <w:rFonts w:ascii="Arial" w:eastAsia="Times New Roman" w:hAnsi="Arial" w:cs="Times New Roman"/>
      <w:szCs w:val="20"/>
      <w:u w:val="single"/>
      <w:lang w:val="de-CH" w:eastAsia="de-CH"/>
    </w:rPr>
  </w:style>
  <w:style w:type="numbering" w:customStyle="1" w:styleId="berschriften-Gliederung">
    <w:name w:val="Überschriften-Gliederung"/>
    <w:basedOn w:val="Aucuneliste"/>
    <w:uiPriority w:val="99"/>
    <w:rsid w:val="0073666E"/>
    <w:pPr>
      <w:numPr>
        <w:numId w:val="19"/>
      </w:numPr>
    </w:pPr>
  </w:style>
  <w:style w:type="paragraph" w:customStyle="1" w:styleId="VertraulichIntern">
    <w:name w:val="Vertraulich/Intern"/>
    <w:basedOn w:val="Normal"/>
    <w:link w:val="VertraulichInternZchn"/>
    <w:rsid w:val="0073666E"/>
    <w:pPr>
      <w:suppressAutoHyphens w:val="0"/>
      <w:kinsoku/>
      <w:overflowPunct/>
      <w:autoSpaceDE/>
      <w:autoSpaceDN/>
      <w:adjustRightInd/>
      <w:snapToGrid/>
      <w:spacing w:before="60" w:after="60" w:line="200" w:lineRule="exact"/>
    </w:pPr>
    <w:rPr>
      <w:rFonts w:ascii="Arial" w:eastAsia="Times New Roman" w:hAnsi="Arial"/>
      <w:b/>
      <w:vanish/>
      <w:sz w:val="15"/>
      <w:szCs w:val="15"/>
      <w:lang w:val="x-none" w:eastAsia="x-none"/>
    </w:rPr>
  </w:style>
  <w:style w:type="character" w:customStyle="1" w:styleId="VertraulichInternZchn">
    <w:name w:val="Vertraulich/Intern Zchn"/>
    <w:link w:val="VertraulichIntern"/>
    <w:rsid w:val="0073666E"/>
    <w:rPr>
      <w:rFonts w:ascii="Arial" w:eastAsia="Times New Roman" w:hAnsi="Arial" w:cs="Times New Roman"/>
      <w:b/>
      <w:vanish/>
      <w:sz w:val="15"/>
      <w:szCs w:val="15"/>
      <w:lang w:val="x-none" w:eastAsia="x-none"/>
    </w:rPr>
  </w:style>
  <w:style w:type="paragraph" w:customStyle="1" w:styleId="Absatzvor">
    <w:name w:val="Absatz vor"/>
    <w:basedOn w:val="Normal"/>
    <w:next w:val="Normal"/>
    <w:rsid w:val="0073666E"/>
    <w:pPr>
      <w:suppressAutoHyphens w:val="0"/>
      <w:kinsoku/>
      <w:overflowPunct/>
      <w:autoSpaceDE/>
      <w:autoSpaceDN/>
      <w:adjustRightInd/>
      <w:snapToGrid/>
      <w:spacing w:before="160" w:after="60" w:line="200" w:lineRule="exact"/>
      <w:jc w:val="both"/>
    </w:pPr>
    <w:rPr>
      <w:rFonts w:eastAsia="Times New Roman"/>
      <w:sz w:val="18"/>
      <w:lang w:val="de-CH" w:eastAsia="de-DE"/>
    </w:rPr>
  </w:style>
  <w:style w:type="paragraph" w:customStyle="1" w:styleId="Absatz">
    <w:name w:val="Absatz"/>
    <w:rsid w:val="0073666E"/>
    <w:pPr>
      <w:spacing w:before="80" w:after="60" w:line="200" w:lineRule="exact"/>
      <w:jc w:val="both"/>
    </w:pPr>
    <w:rPr>
      <w:rFonts w:ascii="Times New Roman" w:eastAsia="Times New Roman" w:hAnsi="Times New Roman" w:cs="Times New Roman"/>
      <w:sz w:val="18"/>
      <w:szCs w:val="20"/>
      <w:lang w:val="de-CH" w:eastAsia="de-DE"/>
    </w:rPr>
  </w:style>
  <w:style w:type="paragraph" w:styleId="Corpsdetexte">
    <w:name w:val="Body Text"/>
    <w:basedOn w:val="Normal"/>
    <w:link w:val="CorpsdetexteCar"/>
    <w:uiPriority w:val="1"/>
    <w:qFormat/>
    <w:rsid w:val="0073666E"/>
    <w:pPr>
      <w:widowControl w:val="0"/>
      <w:suppressAutoHyphens w:val="0"/>
      <w:kinsoku/>
      <w:overflowPunct/>
      <w:adjustRightInd/>
      <w:snapToGrid/>
      <w:spacing w:before="60" w:after="60" w:line="240" w:lineRule="auto"/>
    </w:pPr>
    <w:rPr>
      <w:rFonts w:ascii="Arial" w:eastAsia="Arial" w:hAnsi="Arial" w:cs="Arial"/>
      <w:sz w:val="22"/>
      <w:szCs w:val="22"/>
      <w:lang w:val="en-US"/>
    </w:rPr>
  </w:style>
  <w:style w:type="character" w:customStyle="1" w:styleId="CorpsdetexteCar">
    <w:name w:val="Corps de texte Car"/>
    <w:basedOn w:val="Policepardfaut"/>
    <w:link w:val="Corpsdetexte"/>
    <w:uiPriority w:val="1"/>
    <w:rsid w:val="0073666E"/>
    <w:rPr>
      <w:rFonts w:ascii="Arial" w:eastAsia="Arial" w:hAnsi="Arial" w:cs="Arial"/>
      <w:lang w:val="en-US"/>
    </w:rPr>
  </w:style>
  <w:style w:type="table" w:customStyle="1" w:styleId="TableNormal1">
    <w:name w:val="Table Normal1"/>
    <w:uiPriority w:val="2"/>
    <w:semiHidden/>
    <w:unhideWhenUsed/>
    <w:qFormat/>
    <w:rsid w:val="0073666E"/>
    <w:pPr>
      <w:widowControl w:val="0"/>
      <w:autoSpaceDE w:val="0"/>
      <w:autoSpaceDN w:val="0"/>
      <w:spacing w:before="60" w:after="6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666E"/>
    <w:pPr>
      <w:widowControl w:val="0"/>
      <w:suppressAutoHyphens w:val="0"/>
      <w:kinsoku/>
      <w:overflowPunct/>
      <w:adjustRightInd/>
      <w:snapToGrid/>
      <w:spacing w:before="60" w:after="60" w:line="240" w:lineRule="auto"/>
      <w:ind w:left="103"/>
    </w:pPr>
    <w:rPr>
      <w:rFonts w:ascii="Arial" w:eastAsia="Arial" w:hAnsi="Arial" w:cs="Arial"/>
      <w:sz w:val="22"/>
      <w:szCs w:val="22"/>
      <w:lang w:val="en-US"/>
    </w:rPr>
  </w:style>
  <w:style w:type="paragraph" w:customStyle="1" w:styleId="StandardNo">
    <w:name w:val="StandardNo"/>
    <w:basedOn w:val="Normal"/>
    <w:link w:val="StandardNoChar"/>
    <w:rsid w:val="0073666E"/>
    <w:pPr>
      <w:widowControl w:val="0"/>
      <w:suppressAutoHyphens w:val="0"/>
      <w:kinsoku/>
      <w:overflowPunct/>
      <w:autoSpaceDE/>
      <w:autoSpaceDN/>
      <w:adjustRightInd/>
      <w:snapToGrid/>
      <w:spacing w:before="60" w:after="60" w:line="240" w:lineRule="auto"/>
    </w:pPr>
    <w:rPr>
      <w:rFonts w:ascii="Arial" w:eastAsia="Times New Roman" w:hAnsi="Arial"/>
      <w:noProof/>
      <w:sz w:val="22"/>
      <w:lang w:val="de-CH" w:eastAsia="de-CH"/>
    </w:rPr>
  </w:style>
  <w:style w:type="character" w:customStyle="1" w:styleId="StandardNoChar">
    <w:name w:val="StandardNo Char"/>
    <w:link w:val="StandardNo"/>
    <w:locked/>
    <w:rsid w:val="0073666E"/>
    <w:rPr>
      <w:rFonts w:ascii="Arial" w:eastAsia="Times New Roman" w:hAnsi="Arial" w:cs="Times New Roman"/>
      <w:noProof/>
      <w:szCs w:val="20"/>
      <w:lang w:val="de-CH" w:eastAsia="de-CH"/>
    </w:rPr>
  </w:style>
  <w:style w:type="paragraph" w:customStyle="1" w:styleId="msonormal0">
    <w:name w:val="msonormal"/>
    <w:basedOn w:val="Normal"/>
    <w:rsid w:val="0073666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xl65">
    <w:name w:val="xl65"/>
    <w:basedOn w:val="Normal"/>
    <w:rsid w:val="0073666E"/>
    <w:pP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66">
    <w:name w:val="xl66"/>
    <w:basedOn w:val="Normal"/>
    <w:rsid w:val="0073666E"/>
    <w:pP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67">
    <w:name w:val="xl67"/>
    <w:basedOn w:val="Normal"/>
    <w:rsid w:val="0073666E"/>
    <w:pP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b/>
      <w:bCs/>
      <w:sz w:val="22"/>
      <w:szCs w:val="22"/>
      <w:lang w:val="en-US"/>
    </w:rPr>
  </w:style>
  <w:style w:type="paragraph" w:customStyle="1" w:styleId="xl68">
    <w:name w:val="xl68"/>
    <w:basedOn w:val="Normal"/>
    <w:rsid w:val="0073666E"/>
    <w:pPr>
      <w:pBdr>
        <w:left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69">
    <w:name w:val="xl69"/>
    <w:basedOn w:val="Normal"/>
    <w:rsid w:val="0073666E"/>
    <w:pPr>
      <w:suppressAutoHyphens w:val="0"/>
      <w:kinsoku/>
      <w:overflowPunct/>
      <w:autoSpaceDE/>
      <w:autoSpaceDN/>
      <w:adjustRightInd/>
      <w:snapToGrid/>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70">
    <w:name w:val="xl70"/>
    <w:basedOn w:val="Normal"/>
    <w:rsid w:val="0073666E"/>
    <w:pPr>
      <w:pBdr>
        <w:right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1">
    <w:name w:val="xl71"/>
    <w:basedOn w:val="Normal"/>
    <w:rsid w:val="0073666E"/>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2">
    <w:name w:val="xl72"/>
    <w:basedOn w:val="Normal"/>
    <w:rsid w:val="0073666E"/>
    <w:pPr>
      <w:pBdr>
        <w:bottom w:val="single" w:sz="8" w:space="0" w:color="auto"/>
        <w:right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3">
    <w:name w:val="xl73"/>
    <w:basedOn w:val="Normal"/>
    <w:rsid w:val="0073666E"/>
    <w:pPr>
      <w:pBdr>
        <w:left w:val="single" w:sz="8" w:space="0" w:color="auto"/>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4">
    <w:name w:val="xl74"/>
    <w:basedOn w:val="Normal"/>
    <w:rsid w:val="0073666E"/>
    <w:pP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b/>
      <w:bCs/>
      <w:sz w:val="22"/>
      <w:szCs w:val="22"/>
      <w:lang w:val="en-US"/>
    </w:rPr>
  </w:style>
  <w:style w:type="paragraph" w:customStyle="1" w:styleId="xl75">
    <w:name w:val="xl75"/>
    <w:basedOn w:val="Normal"/>
    <w:rsid w:val="0073666E"/>
    <w:pPr>
      <w:pBdr>
        <w:top w:val="single" w:sz="4" w:space="0" w:color="auto"/>
        <w:left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76">
    <w:name w:val="xl76"/>
    <w:basedOn w:val="Normal"/>
    <w:rsid w:val="0073666E"/>
    <w:pPr>
      <w:pBdr>
        <w:top w:val="single" w:sz="4" w:space="0" w:color="auto"/>
      </w:pBdr>
      <w:suppressAutoHyphens w:val="0"/>
      <w:kinsoku/>
      <w:overflowPunct/>
      <w:autoSpaceDE/>
      <w:autoSpaceDN/>
      <w:adjustRightInd/>
      <w:snapToGrid/>
      <w:spacing w:before="100" w:beforeAutospacing="1" w:after="100" w:afterAutospacing="1" w:line="240" w:lineRule="auto"/>
      <w:jc w:val="right"/>
      <w:textAlignment w:val="center"/>
    </w:pPr>
    <w:rPr>
      <w:rFonts w:ascii="Arial" w:eastAsia="Times New Roman" w:hAnsi="Arial" w:cs="Arial"/>
      <w:b/>
      <w:bCs/>
      <w:sz w:val="24"/>
      <w:szCs w:val="24"/>
      <w:lang w:val="en-US"/>
    </w:rPr>
  </w:style>
  <w:style w:type="paragraph" w:customStyle="1" w:styleId="xl77">
    <w:name w:val="xl77"/>
    <w:basedOn w:val="Normal"/>
    <w:rsid w:val="0073666E"/>
    <w:pPr>
      <w:pBdr>
        <w:top w:val="single" w:sz="4" w:space="0" w:color="auto"/>
        <w:right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78">
    <w:name w:val="xl78"/>
    <w:basedOn w:val="Normal"/>
    <w:rsid w:val="0073666E"/>
    <w:pPr>
      <w:pBdr>
        <w:top w:val="single" w:sz="4" w:space="0" w:color="auto"/>
        <w:left w:val="single" w:sz="4" w:space="0" w:color="auto"/>
      </w:pBdr>
      <w:suppressAutoHyphens w:val="0"/>
      <w:kinsoku/>
      <w:overflowPunct/>
      <w:autoSpaceDE/>
      <w:autoSpaceDN/>
      <w:adjustRightInd/>
      <w:snapToGrid/>
      <w:spacing w:before="100" w:beforeAutospacing="1" w:after="100" w:afterAutospacing="1" w:line="240" w:lineRule="auto"/>
      <w:jc w:val="right"/>
      <w:textAlignment w:val="center"/>
    </w:pPr>
    <w:rPr>
      <w:rFonts w:ascii="Arial" w:eastAsia="Times New Roman" w:hAnsi="Arial" w:cs="Arial"/>
      <w:b/>
      <w:bCs/>
      <w:sz w:val="24"/>
      <w:szCs w:val="24"/>
      <w:lang w:val="en-US"/>
    </w:rPr>
  </w:style>
  <w:style w:type="paragraph" w:customStyle="1" w:styleId="xl79">
    <w:name w:val="xl79"/>
    <w:basedOn w:val="Normal"/>
    <w:rsid w:val="0073666E"/>
    <w:pPr>
      <w:pBdr>
        <w:left w:val="single" w:sz="4" w:space="0" w:color="auto"/>
      </w:pBdr>
      <w:suppressAutoHyphens w:val="0"/>
      <w:kinsoku/>
      <w:overflowPunct/>
      <w:autoSpaceDE/>
      <w:autoSpaceDN/>
      <w:adjustRightInd/>
      <w:snapToGrid/>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80">
    <w:name w:val="xl80"/>
    <w:basedOn w:val="Normal"/>
    <w:rsid w:val="0073666E"/>
    <w:pPr>
      <w:pBdr>
        <w:left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81">
    <w:name w:val="xl81"/>
    <w:basedOn w:val="Normal"/>
    <w:rsid w:val="0073666E"/>
    <w:pPr>
      <w:pBdr>
        <w:left w:val="single" w:sz="4" w:space="0" w:color="auto"/>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82">
    <w:name w:val="xl82"/>
    <w:basedOn w:val="Normal"/>
    <w:rsid w:val="0073666E"/>
    <w:pPr>
      <w:pBdr>
        <w:bottom w:val="single" w:sz="8" w:space="0" w:color="auto"/>
        <w:right w:val="single" w:sz="8" w:space="0" w:color="auto"/>
      </w:pBdr>
      <w:suppressAutoHyphens w:val="0"/>
      <w:kinsoku/>
      <w:overflowPunct/>
      <w:autoSpaceDE/>
      <w:autoSpaceDN/>
      <w:adjustRightInd/>
      <w:snapToGrid/>
      <w:spacing w:before="100" w:beforeAutospacing="1" w:after="100" w:afterAutospacing="1" w:line="240" w:lineRule="auto"/>
      <w:ind w:firstLineChars="400" w:firstLine="400"/>
      <w:textAlignment w:val="center"/>
    </w:pPr>
    <w:rPr>
      <w:rFonts w:ascii="Arial" w:eastAsia="Times New Roman" w:hAnsi="Arial" w:cs="Arial"/>
      <w:sz w:val="24"/>
      <w:szCs w:val="24"/>
      <w:lang w:val="en-US"/>
    </w:rPr>
  </w:style>
  <w:style w:type="paragraph" w:customStyle="1" w:styleId="xl83">
    <w:name w:val="xl83"/>
    <w:basedOn w:val="Normal"/>
    <w:rsid w:val="0073666E"/>
    <w:pPr>
      <w:pBdr>
        <w:top w:val="single" w:sz="8" w:space="0" w:color="auto"/>
        <w:left w:val="single" w:sz="8"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4">
    <w:name w:val="xl84"/>
    <w:basedOn w:val="Normal"/>
    <w:rsid w:val="0073666E"/>
    <w:pPr>
      <w:pBdr>
        <w:top w:val="single" w:sz="8"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5">
    <w:name w:val="xl85"/>
    <w:basedOn w:val="Normal"/>
    <w:rsid w:val="0073666E"/>
    <w:pPr>
      <w:pBdr>
        <w:top w:val="single" w:sz="8"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6">
    <w:name w:val="xl86"/>
    <w:basedOn w:val="Normal"/>
    <w:rsid w:val="0073666E"/>
    <w:pPr>
      <w:pBdr>
        <w:top w:val="single" w:sz="8" w:space="0" w:color="auto"/>
        <w:right w:val="single" w:sz="8"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font5">
    <w:name w:val="font5"/>
    <w:basedOn w:val="Normal"/>
    <w:rsid w:val="0073666E"/>
    <w:pPr>
      <w:suppressAutoHyphens w:val="0"/>
      <w:kinsoku/>
      <w:overflowPunct/>
      <w:autoSpaceDE/>
      <w:autoSpaceDN/>
      <w:adjustRightInd/>
      <w:snapToGrid/>
      <w:spacing w:before="100" w:beforeAutospacing="1" w:after="100" w:afterAutospacing="1" w:line="240" w:lineRule="auto"/>
    </w:pPr>
    <w:rPr>
      <w:rFonts w:ascii="Arial" w:eastAsia="Times New Roman" w:hAnsi="Arial" w:cs="Arial"/>
      <w:b/>
      <w:bCs/>
      <w:color w:val="000000"/>
      <w:lang w:val="en-US"/>
    </w:rPr>
  </w:style>
  <w:style w:type="paragraph" w:customStyle="1" w:styleId="xl87">
    <w:name w:val="xl87"/>
    <w:basedOn w:val="Normal"/>
    <w:rsid w:val="0073666E"/>
    <w:pPr>
      <w:pBdr>
        <w:left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88">
    <w:name w:val="xl88"/>
    <w:basedOn w:val="Normal"/>
    <w:rsid w:val="0073666E"/>
    <w:pPr>
      <w:pBdr>
        <w:right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89">
    <w:name w:val="xl89"/>
    <w:basedOn w:val="Normal"/>
    <w:rsid w:val="0073666E"/>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90">
    <w:name w:val="xl90"/>
    <w:basedOn w:val="Normal"/>
    <w:rsid w:val="0073666E"/>
    <w:pPr>
      <w:pBdr>
        <w:left w:val="single" w:sz="8" w:space="0" w:color="auto"/>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91">
    <w:name w:val="xl91"/>
    <w:basedOn w:val="Normal"/>
    <w:rsid w:val="0073666E"/>
    <w:pPr>
      <w:pBdr>
        <w:bottom w:val="single" w:sz="8" w:space="0" w:color="auto"/>
        <w:right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92">
    <w:name w:val="xl92"/>
    <w:basedOn w:val="Normal"/>
    <w:rsid w:val="0073666E"/>
    <w:pPr>
      <w:pBdr>
        <w:left w:val="single" w:sz="8" w:space="0" w:color="auto"/>
        <w:bottom w:val="single" w:sz="8" w:space="0" w:color="auto"/>
        <w:right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sz w:val="24"/>
      <w:szCs w:val="24"/>
      <w:lang w:val="en-US"/>
    </w:rPr>
  </w:style>
  <w:style w:type="paragraph" w:styleId="Rvision">
    <w:name w:val="Revision"/>
    <w:hidden/>
    <w:uiPriority w:val="99"/>
    <w:semiHidden/>
    <w:rsid w:val="0073666E"/>
    <w:pPr>
      <w:spacing w:before="60" w:after="60" w:line="240" w:lineRule="auto"/>
    </w:pPr>
    <w:rPr>
      <w:rFonts w:ascii="Arial" w:eastAsia="Times New Roman" w:hAnsi="Arial" w:cs="Times New Roman"/>
      <w:lang w:eastAsia="de-CH"/>
    </w:rPr>
  </w:style>
  <w:style w:type="character" w:customStyle="1" w:styleId="collectionname">
    <w:name w:val="collection_name"/>
    <w:rsid w:val="0073666E"/>
  </w:style>
  <w:style w:type="paragraph" w:customStyle="1" w:styleId="CATtitres">
    <w:name w:val="CAT titres"/>
    <w:basedOn w:val="CATArticles"/>
    <w:link w:val="CATtitresCar"/>
    <w:qFormat/>
    <w:rsid w:val="0073666E"/>
    <w:pPr>
      <w:spacing w:before="120" w:after="120"/>
      <w:jc w:val="left"/>
    </w:pPr>
    <w:rPr>
      <w:rFonts w:ascii="Times New Roman" w:hAnsi="Times New Roman"/>
      <w:sz w:val="20"/>
    </w:rPr>
  </w:style>
  <w:style w:type="character" w:customStyle="1" w:styleId="CATtitresCar">
    <w:name w:val="CAT titres Car"/>
    <w:link w:val="CATtitres"/>
    <w:rsid w:val="0073666E"/>
    <w:rPr>
      <w:rFonts w:ascii="Times New Roman" w:eastAsia="Times New Roman" w:hAnsi="Times New Roman" w:cs="Times New Roman"/>
      <w:b/>
      <w:bCs/>
      <w:sz w:val="20"/>
      <w:szCs w:val="20"/>
      <w:lang w:val="de-CH" w:eastAsia="de-CH"/>
    </w:rPr>
  </w:style>
  <w:style w:type="paragraph" w:customStyle="1" w:styleId="CAT10ptNewRomanstyle">
    <w:name w:val="CAT 10pt New Roman style"/>
    <w:basedOn w:val="Nummerierung"/>
    <w:link w:val="CAT10ptNewRomanstyleCar"/>
    <w:qFormat/>
    <w:rsid w:val="0073666E"/>
    <w:pPr>
      <w:numPr>
        <w:numId w:val="21"/>
      </w:numPr>
      <w:spacing w:before="0"/>
      <w:jc w:val="both"/>
    </w:pPr>
    <w:rPr>
      <w:rFonts w:ascii="Times New Roman" w:hAnsi="Times New Roman"/>
      <w:sz w:val="20"/>
      <w:szCs w:val="20"/>
      <w:lang w:val="de-CH"/>
    </w:rPr>
  </w:style>
  <w:style w:type="character" w:customStyle="1" w:styleId="CAT10ptNewRomanstyleCar">
    <w:name w:val="CAT 10pt New Roman style Car"/>
    <w:link w:val="CAT10ptNewRomanstyle"/>
    <w:rsid w:val="0073666E"/>
    <w:rPr>
      <w:rFonts w:ascii="Times New Roman" w:eastAsia="Times New Roman" w:hAnsi="Times New Roman" w:cs="Times New Roman"/>
      <w:sz w:val="20"/>
      <w:szCs w:val="20"/>
      <w:lang w:val="de-CH" w:eastAsia="x-none"/>
    </w:rPr>
  </w:style>
  <w:style w:type="character" w:customStyle="1" w:styleId="ListepucesCar">
    <w:name w:val="Liste à puces Car"/>
    <w:link w:val="Listepuces"/>
    <w:rsid w:val="0073666E"/>
    <w:rPr>
      <w:rFonts w:ascii="Arial" w:eastAsia="Times New Roman" w:hAnsi="Arial" w:cs="Times New Roman"/>
      <w:lang w:eastAsia="de-CH"/>
    </w:rPr>
  </w:style>
  <w:style w:type="paragraph" w:customStyle="1" w:styleId="CATnotebaspage">
    <w:name w:val="CAT note bas page"/>
    <w:basedOn w:val="Notedebasdepage"/>
    <w:link w:val="CATnotebaspageCar"/>
    <w:qFormat/>
    <w:rsid w:val="0073666E"/>
    <w:pPr>
      <w:kinsoku/>
      <w:overflowPunct/>
      <w:autoSpaceDE/>
      <w:autoSpaceDN/>
      <w:adjustRightInd/>
      <w:snapToGrid/>
    </w:pPr>
    <w:rPr>
      <w:rFonts w:eastAsia="Times New Roman"/>
      <w:sz w:val="16"/>
      <w:szCs w:val="16"/>
    </w:rPr>
  </w:style>
  <w:style w:type="character" w:customStyle="1" w:styleId="CATnotebaspageCar">
    <w:name w:val="CAT note bas page Car"/>
    <w:link w:val="CATnotebaspage"/>
    <w:rsid w:val="0073666E"/>
    <w:rPr>
      <w:rFonts w:ascii="Times New Roman" w:eastAsia="Times New Roman" w:hAnsi="Times New Roman" w:cs="Times New Roman"/>
      <w:sz w:val="16"/>
      <w:szCs w:val="16"/>
    </w:rPr>
  </w:style>
  <w:style w:type="character" w:customStyle="1" w:styleId="s50d62cfe">
    <w:name w:val="s50d62cfe"/>
    <w:rsid w:val="0073666E"/>
  </w:style>
  <w:style w:type="character" w:customStyle="1" w:styleId="s7d2086b4">
    <w:name w:val="s7d2086b4"/>
    <w:rsid w:val="0073666E"/>
  </w:style>
  <w:style w:type="paragraph" w:customStyle="1" w:styleId="DatumBericht">
    <w:name w:val="Datum Bericht"/>
    <w:basedOn w:val="Sous-titre"/>
    <w:rsid w:val="0073666E"/>
    <w:pPr>
      <w:spacing w:before="0" w:after="120"/>
      <w:outlineLvl w:val="9"/>
    </w:pPr>
    <w:rPr>
      <w:rFonts w:cs="Times New Roman"/>
      <w:bCs w:val="0"/>
      <w:kern w:val="0"/>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dmin.ch" TargetMode="External"/><Relationship Id="rId2" Type="http://schemas.openxmlformats.org/officeDocument/2006/relationships/hyperlink" Target="https://www.admin.ch/opc/fr/federal-gazette/2018/7583.pdf" TargetMode="External"/><Relationship Id="rId1" Type="http://schemas.openxmlformats.org/officeDocument/2006/relationships/hyperlink" Target="https://www.parlament.ch/centers/documents/fr/bericht-gpk-n-admin-haft-asylbereich-2018-06-26-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17033</Words>
  <Characters>91473</Characters>
  <Application>Microsoft Office Word</Application>
  <DocSecurity>0</DocSecurity>
  <Lines>1365</Lines>
  <Paragraphs>294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CAT/C/CHE/8</vt:lpstr>
      <vt:lpstr>CAT/C/CHE/8</vt:lpstr>
      <vt:lpstr>a/hthhhh</vt:lpstr>
    </vt:vector>
  </TitlesOfParts>
  <Company>DCM</Company>
  <LinksUpToDate>false</LinksUpToDate>
  <CharactersWithSpaces>108212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CAT/C/CHE/8</dc:title>
  <dc:subject/>
  <dc:creator>Gloria</dc:creator>
  <cp:keywords/>
  <dc:description/>
  <cp:lastModifiedBy>Valerie Bertin</cp:lastModifiedBy>
  <cp:revision>3</cp:revision>
  <cp:lastPrinted>2020-03-09T07:45:00Z</cp:lastPrinted>
  <dcterms:created xsi:type="dcterms:W3CDTF">2020-03-09T07:45:00Z</dcterms:created>
  <dcterms:modified xsi:type="dcterms:W3CDTF">2020-03-09T07:47:00Z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C/CHE/8</vt:lpwstr>
  </property>
  <property fmtid="{D5CDD505-2E9C-101B-9397-08002B2CF9AE}" pid="3" name="symh">
    <vt:lpwstr>CAT/C/CHE/8</vt:lpwstr>
  </property>
  <property fmtid="{D5CDD505-2E9C-101B-9397-08002B2CF9AE}" pid="4" name="dist">
    <vt:lpwstr>générale</vt:lpwstr>
  </property>
  <property fmtid="{D5CDD505-2E9C-101B-9397-08002B2CF9AE}" pid="5" name="date">
    <vt:lpwstr>22 juillet 2019</vt:lpwstr>
  </property>
  <property fmtid="{D5CDD505-2E9C-101B-9397-08002B2CF9AE}" pid="6" name="sdate">
    <vt:lpwstr>[Start-End Dates ]</vt:lpwstr>
  </property>
  <property fmtid="{D5CDD505-2E9C-101B-9397-08002B2CF9AE}" pid="7" name="virs">
    <vt:lpwstr>Anglais, espagnol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de la Suisse </vt:lpwstr>
  </property>
  <property fmtid="{D5CDD505-2E9C-101B-9397-08002B2CF9AE}" pid="11" name="countw">
    <vt:lpwstr>Suisse </vt:lpwstr>
  </property>
  <property fmtid="{D5CDD505-2E9C-101B-9397-08002B2CF9AE}" pid="12" name="countwd">
    <vt:lpwstr>la Suisse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huitième rapport périodique de la Suisse </vt:lpwstr>
  </property>
  <property fmtid="{D5CDD505-2E9C-101B-9397-08002B2CF9AE}" pid="19" name="preps">
    <vt:lpwstr>huitième rapport périodique de la Suisse </vt:lpwstr>
  </property>
  <property fmtid="{D5CDD505-2E9C-101B-9397-08002B2CF9AE}" pid="20" name="prepw">
    <vt:lpwstr>huitième rapport périodique</vt:lpwstr>
  </property>
  <property fmtid="{D5CDD505-2E9C-101B-9397-08002B2CF9AE}" pid="21" name="prepws">
    <vt:lpwstr>huitième rapport périodique</vt:lpwstr>
  </property>
  <property fmtid="{D5CDD505-2E9C-101B-9397-08002B2CF9AE}" pid="22" name="prepwc">
    <vt:lpwstr>Huitième rapport périodique </vt:lpwstr>
  </property>
  <property fmtid="{D5CDD505-2E9C-101B-9397-08002B2CF9AE}" pid="23" name="olang">
    <vt:lpwstr>français</vt:lpwstr>
  </property>
  <property fmtid="{D5CDD505-2E9C-101B-9397-08002B2CF9AE}" pid="24" name="Date-Generated">
    <vt:filetime>2019-07-22T07:59:28Z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CAT</vt:lpwstr>
  </property>
</Properties>
</file>