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047EA" w:rsidP="004047EA">
            <w:pPr>
              <w:bidi w:val="0"/>
              <w:spacing w:after="20"/>
              <w:jc w:val="left"/>
              <w:rPr>
                <w:szCs w:val="20"/>
              </w:rPr>
            </w:pPr>
            <w:r w:rsidRPr="004047EA">
              <w:rPr>
                <w:sz w:val="40"/>
                <w:szCs w:val="20"/>
              </w:rPr>
              <w:t>CCPR</w:t>
            </w:r>
            <w:r>
              <w:rPr>
                <w:szCs w:val="20"/>
              </w:rPr>
              <w:t>/C/111/D/2030/2011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047EA" w:rsidRDefault="004047EA" w:rsidP="004047EA">
            <w:pPr>
              <w:bidi w:val="0"/>
              <w:spacing w:before="240"/>
              <w:jc w:val="left"/>
            </w:pPr>
            <w:r>
              <w:t>Distr.: General</w:t>
            </w:r>
          </w:p>
          <w:p w:rsidR="004047EA" w:rsidRDefault="004047EA" w:rsidP="004047EA">
            <w:pPr>
              <w:bidi w:val="0"/>
              <w:jc w:val="left"/>
            </w:pPr>
            <w:r>
              <w:t>25 August 2014</w:t>
            </w:r>
          </w:p>
          <w:p w:rsidR="004047EA" w:rsidRDefault="004047EA" w:rsidP="004047EA">
            <w:pPr>
              <w:bidi w:val="0"/>
              <w:jc w:val="left"/>
            </w:pPr>
            <w:r>
              <w:t>Arabic</w:t>
            </w:r>
          </w:p>
          <w:p w:rsidR="00257225" w:rsidRPr="008B4BC6" w:rsidRDefault="004047EA" w:rsidP="004047EA">
            <w:pPr>
              <w:bidi w:val="0"/>
              <w:jc w:val="left"/>
            </w:pPr>
            <w:r>
              <w:t>Original: English</w:t>
            </w:r>
          </w:p>
        </w:tc>
      </w:tr>
    </w:tbl>
    <w:p w:rsidR="004047EA" w:rsidRPr="004047EA" w:rsidRDefault="004047EA" w:rsidP="004047EA">
      <w:pPr>
        <w:spacing w:before="120" w:after="120" w:line="380" w:lineRule="exact"/>
        <w:rPr>
          <w:b/>
          <w:bCs/>
          <w:sz w:val="26"/>
          <w:szCs w:val="36"/>
          <w:rtl/>
          <w:lang w:eastAsia="zh-TW"/>
        </w:rPr>
      </w:pPr>
      <w:r w:rsidRPr="004047EA">
        <w:rPr>
          <w:b/>
          <w:bCs/>
          <w:sz w:val="26"/>
          <w:szCs w:val="36"/>
          <w:rtl/>
          <w:lang w:eastAsia="zh-TW"/>
        </w:rPr>
        <w:t>اللجنة المعنية بحقوق الإنسان</w:t>
      </w:r>
    </w:p>
    <w:p w:rsidR="004047EA" w:rsidRPr="00166483" w:rsidRDefault="004047EA" w:rsidP="004047EA">
      <w:pPr>
        <w:pStyle w:val="HChGA"/>
        <w:rPr>
          <w:lang w:eastAsia="zh-TW"/>
        </w:rPr>
      </w:pPr>
      <w:r>
        <w:rPr>
          <w:rFonts w:hint="cs"/>
          <w:rtl/>
          <w:lang w:eastAsia="zh-TW"/>
        </w:rPr>
        <w:tab/>
      </w:r>
      <w:r w:rsidRPr="00166483">
        <w:rPr>
          <w:rtl/>
          <w:lang w:eastAsia="zh-TW"/>
        </w:rPr>
        <w:tab/>
        <w:t xml:space="preserve">البلاغ رقم 2030/2011 </w:t>
      </w:r>
    </w:p>
    <w:p w:rsidR="004047EA" w:rsidRPr="00166483" w:rsidRDefault="004047EA" w:rsidP="004047EA">
      <w:pPr>
        <w:pStyle w:val="H1GA"/>
        <w:rPr>
          <w:i/>
          <w:iCs/>
          <w:rtl/>
          <w:lang w:eastAsia="zh-TW"/>
        </w:rPr>
      </w:pPr>
      <w:r w:rsidRPr="00166483">
        <w:rPr>
          <w:rtl/>
          <w:lang w:eastAsia="zh-TW"/>
        </w:rPr>
        <w:tab/>
      </w:r>
      <w:r w:rsidRPr="00166483">
        <w:rPr>
          <w:rtl/>
          <w:lang w:eastAsia="zh-TW"/>
        </w:rPr>
        <w:tab/>
        <w:t>آراء ا</w:t>
      </w:r>
      <w:r w:rsidR="00910D5B">
        <w:rPr>
          <w:rtl/>
          <w:lang w:eastAsia="zh-TW"/>
        </w:rPr>
        <w:t>عتمدتها اللجنة في دورتها 111 (7</w:t>
      </w:r>
      <w:r>
        <w:rPr>
          <w:rtl/>
          <w:lang w:eastAsia="zh-TW"/>
        </w:rPr>
        <w:t>-</w:t>
      </w:r>
      <w:r w:rsidRPr="00166483">
        <w:rPr>
          <w:rtl/>
          <w:lang w:eastAsia="zh-TW"/>
        </w:rPr>
        <w:t xml:space="preserve">25 تموز/يوليه 2014)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166483">
        <w:rPr>
          <w:i/>
          <w:iCs/>
          <w:rtl/>
          <w:lang w:eastAsia="zh-TW"/>
        </w:rPr>
        <w:t>المقدم من:</w:t>
      </w:r>
      <w:r>
        <w:rPr>
          <w:i/>
          <w:iCs/>
          <w:rtl/>
          <w:lang w:eastAsia="zh-TW"/>
        </w:rPr>
        <w:tab/>
      </w:r>
      <w:r w:rsidRPr="00BD624A">
        <w:rPr>
          <w:rtl/>
          <w:lang w:eastAsia="zh-TW"/>
        </w:rPr>
        <w:t>فاسيلي بولياكوف (لا يمثله محام)</w:t>
      </w:r>
      <w:r w:rsidRPr="00166483">
        <w:rPr>
          <w:i/>
          <w:iCs/>
          <w:rtl/>
          <w:lang w:eastAsia="zh-TW"/>
        </w:rPr>
        <w:t xml:space="preserve">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4047EA">
        <w:rPr>
          <w:i/>
          <w:iCs/>
          <w:rtl/>
          <w:lang w:eastAsia="zh-TW"/>
        </w:rPr>
        <w:t>الشخص المدعى أنه ضحية:</w:t>
      </w:r>
      <w:r>
        <w:rPr>
          <w:rtl/>
          <w:lang w:eastAsia="zh-TW"/>
        </w:rPr>
        <w:tab/>
      </w:r>
      <w:r w:rsidRPr="00BD624A">
        <w:rPr>
          <w:rtl/>
          <w:lang w:eastAsia="zh-TW"/>
        </w:rPr>
        <w:t>صاحب البلاغ</w:t>
      </w:r>
      <w:r w:rsidRPr="00166483">
        <w:rPr>
          <w:rtl/>
          <w:lang w:eastAsia="zh-TW"/>
        </w:rPr>
        <w:t xml:space="preserve">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4047EA">
        <w:rPr>
          <w:i/>
          <w:iCs/>
          <w:rtl/>
          <w:lang w:eastAsia="zh-TW"/>
        </w:rPr>
        <w:t>الدولة الطرف:</w:t>
      </w:r>
      <w:r>
        <w:rPr>
          <w:rtl/>
          <w:lang w:eastAsia="zh-TW"/>
        </w:rPr>
        <w:tab/>
      </w:r>
      <w:r w:rsidRPr="00166483">
        <w:rPr>
          <w:rtl/>
          <w:lang w:eastAsia="zh-TW"/>
        </w:rPr>
        <w:t xml:space="preserve">بيلاروس </w:t>
      </w:r>
      <w:smartTag w:uri="urn:schemas-microsoft-com:office:smarttags" w:element="place"/>
      <w:smartTag w:uri="urn:schemas-microsoft-com:office:smarttags" w:element="country-region"/>
    </w:p>
    <w:p w:rsidR="004047EA" w:rsidRPr="004E3409"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spacing w:val="-4"/>
          <w:rtl/>
          <w:lang w:eastAsia="zh-TW"/>
        </w:rPr>
      </w:pPr>
      <w:r w:rsidRPr="004E3409">
        <w:rPr>
          <w:i/>
          <w:iCs/>
          <w:spacing w:val="-4"/>
          <w:rtl/>
          <w:lang w:eastAsia="zh-TW"/>
        </w:rPr>
        <w:t>تاريخ تقديم البلاغ:</w:t>
      </w:r>
      <w:r w:rsidRPr="004E3409">
        <w:rPr>
          <w:i/>
          <w:iCs/>
          <w:spacing w:val="-4"/>
          <w:rtl/>
          <w:lang w:eastAsia="zh-TW"/>
        </w:rPr>
        <w:tab/>
      </w:r>
      <w:r w:rsidRPr="004E3409">
        <w:rPr>
          <w:rFonts w:hint="cs"/>
          <w:spacing w:val="-4"/>
          <w:rtl/>
          <w:lang w:eastAsia="zh-TW"/>
        </w:rPr>
        <w:t>٢٨</w:t>
      </w:r>
      <w:r w:rsidRPr="004E3409">
        <w:rPr>
          <w:spacing w:val="-4"/>
          <w:rtl/>
          <w:lang w:eastAsia="zh-TW"/>
        </w:rPr>
        <w:t xml:space="preserve"> كانون الثاني/يناير ٢٠١٠ (تاريخ الرسالة الأولى)</w:t>
      </w:r>
      <w:r w:rsidRPr="004E3409">
        <w:rPr>
          <w:i/>
          <w:iCs/>
          <w:spacing w:val="-4"/>
          <w:rtl/>
          <w:lang w:eastAsia="zh-TW"/>
        </w:rPr>
        <w:t xml:space="preserve">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166483">
        <w:rPr>
          <w:i/>
          <w:iCs/>
          <w:rtl/>
          <w:lang w:eastAsia="zh-TW"/>
        </w:rPr>
        <w:t>الوثائق المرجعية:</w:t>
      </w:r>
      <w:r>
        <w:rPr>
          <w:i/>
          <w:iCs/>
          <w:rtl/>
          <w:lang w:eastAsia="zh-TW"/>
        </w:rPr>
        <w:tab/>
      </w:r>
      <w:r w:rsidRPr="00BD624A">
        <w:rPr>
          <w:rtl/>
          <w:lang w:eastAsia="zh-TW"/>
        </w:rPr>
        <w:t>قرار المقرر الخاص المتخذ بموجب المادة 97 من النظام الداخلي، المحال إلى الدولة الطرف في ١٧ شباط/فبراير ٢٠١١ (لم يصدر في شكل وثيقة)</w:t>
      </w:r>
      <w:r w:rsidRPr="00166483">
        <w:rPr>
          <w:i/>
          <w:iCs/>
          <w:rtl/>
          <w:lang w:eastAsia="zh-TW"/>
        </w:rPr>
        <w:t xml:space="preserve">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4047EA">
        <w:rPr>
          <w:i/>
          <w:iCs/>
          <w:rtl/>
          <w:lang w:eastAsia="zh-TW"/>
        </w:rPr>
        <w:t>تاريخ اعتماد الآراء:</w:t>
      </w:r>
      <w:r>
        <w:rPr>
          <w:rtl/>
          <w:lang w:eastAsia="zh-TW"/>
        </w:rPr>
        <w:tab/>
      </w:r>
      <w:r w:rsidRPr="00BD624A">
        <w:rPr>
          <w:rFonts w:hint="cs"/>
          <w:rtl/>
          <w:lang w:eastAsia="zh-TW"/>
        </w:rPr>
        <w:t>١٧</w:t>
      </w:r>
      <w:r w:rsidRPr="00BD624A">
        <w:rPr>
          <w:rtl/>
          <w:lang w:eastAsia="zh-TW"/>
        </w:rPr>
        <w:t xml:space="preserve"> تموز/يوليه ٢٠١٤</w:t>
      </w:r>
      <w:r w:rsidRPr="00166483">
        <w:rPr>
          <w:rtl/>
          <w:lang w:eastAsia="zh-TW"/>
        </w:rPr>
        <w:t xml:space="preserve">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166483">
        <w:rPr>
          <w:i/>
          <w:iCs/>
          <w:rtl/>
          <w:lang w:eastAsia="zh-TW"/>
        </w:rPr>
        <w:t>الموضوع:</w:t>
      </w:r>
      <w:r>
        <w:rPr>
          <w:i/>
          <w:iCs/>
          <w:rtl/>
          <w:lang w:eastAsia="zh-TW"/>
        </w:rPr>
        <w:tab/>
      </w:r>
      <w:r w:rsidRPr="00BD624A">
        <w:rPr>
          <w:rtl/>
          <w:lang w:eastAsia="zh-TW"/>
        </w:rPr>
        <w:t>عدم الترخيص في تنظيم مظاهرة</w:t>
      </w:r>
      <w:r w:rsidRPr="00166483">
        <w:rPr>
          <w:i/>
          <w:iCs/>
          <w:rtl/>
          <w:lang w:eastAsia="zh-TW"/>
        </w:rPr>
        <w:t xml:space="preserve">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4047EA">
        <w:rPr>
          <w:i/>
          <w:iCs/>
          <w:rtl/>
          <w:lang w:eastAsia="zh-TW"/>
        </w:rPr>
        <w:t>المسائل الموضوعية:</w:t>
      </w:r>
      <w:r>
        <w:rPr>
          <w:rtl/>
          <w:lang w:eastAsia="zh-TW"/>
        </w:rPr>
        <w:tab/>
      </w:r>
      <w:r w:rsidRPr="00BD624A">
        <w:rPr>
          <w:rtl/>
          <w:lang w:eastAsia="zh-TW"/>
        </w:rPr>
        <w:t>حرية التجمع</w:t>
      </w:r>
      <w:r w:rsidRPr="00166483">
        <w:rPr>
          <w:rtl/>
          <w:lang w:eastAsia="zh-TW"/>
        </w:rPr>
        <w:t xml:space="preserve">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166483">
        <w:rPr>
          <w:i/>
          <w:iCs/>
          <w:rtl/>
          <w:lang w:eastAsia="zh-TW"/>
        </w:rPr>
        <w:t>المسائل الإجرائية:</w:t>
      </w:r>
      <w:r>
        <w:rPr>
          <w:i/>
          <w:iCs/>
          <w:rtl/>
          <w:lang w:eastAsia="zh-TW"/>
        </w:rPr>
        <w:tab/>
      </w:r>
      <w:r w:rsidRPr="00BD624A">
        <w:rPr>
          <w:rtl/>
          <w:lang w:eastAsia="zh-TW"/>
        </w:rPr>
        <w:t>عدم استنفاد سبل الانتصاف المحلية</w:t>
      </w:r>
      <w:r w:rsidRPr="00166483">
        <w:rPr>
          <w:i/>
          <w:iCs/>
          <w:rtl/>
          <w:lang w:eastAsia="zh-TW"/>
        </w:rPr>
        <w:t xml:space="preserve">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166483">
        <w:rPr>
          <w:i/>
          <w:iCs/>
          <w:rtl/>
          <w:lang w:eastAsia="zh-TW"/>
        </w:rPr>
        <w:t>مواد العهد:</w:t>
      </w:r>
      <w:r>
        <w:rPr>
          <w:i/>
          <w:iCs/>
          <w:rtl/>
          <w:lang w:eastAsia="zh-TW"/>
        </w:rPr>
        <w:tab/>
      </w:r>
      <w:r w:rsidRPr="00BD624A">
        <w:rPr>
          <w:rtl/>
          <w:lang w:eastAsia="zh-TW"/>
        </w:rPr>
        <w:t>الفقرة 2 من المادة 2، والمادة 21</w:t>
      </w:r>
      <w:r w:rsidRPr="00166483">
        <w:rPr>
          <w:i/>
          <w:iCs/>
          <w:rtl/>
          <w:lang w:eastAsia="zh-TW"/>
        </w:rPr>
        <w:t xml:space="preserve"> </w:t>
      </w:r>
    </w:p>
    <w:p w:rsidR="004047EA" w:rsidRPr="00166483" w:rsidRDefault="004047EA" w:rsidP="004047EA">
      <w:pPr>
        <w:pStyle w:val="SingleTxtGA"/>
        <w:tabs>
          <w:tab w:val="clear" w:pos="1928"/>
          <w:tab w:val="clear" w:pos="2608"/>
          <w:tab w:val="clear" w:pos="3289"/>
          <w:tab w:val="clear" w:pos="3969"/>
          <w:tab w:val="clear" w:pos="4649"/>
          <w:tab w:val="clear" w:pos="5330"/>
          <w:tab w:val="left" w:pos="4304"/>
        </w:tabs>
        <w:ind w:left="4304" w:hanging="2376"/>
        <w:rPr>
          <w:rtl/>
          <w:lang w:eastAsia="zh-TW"/>
        </w:rPr>
      </w:pPr>
      <w:r w:rsidRPr="00166483">
        <w:rPr>
          <w:i/>
          <w:iCs/>
          <w:rtl/>
          <w:lang w:eastAsia="zh-TW"/>
        </w:rPr>
        <w:t>مواد البروتوكول الاختياري:</w:t>
      </w:r>
      <w:r>
        <w:rPr>
          <w:i/>
          <w:iCs/>
          <w:rtl/>
          <w:lang w:eastAsia="zh-TW"/>
        </w:rPr>
        <w:tab/>
      </w:r>
      <w:r w:rsidRPr="00BD624A">
        <w:rPr>
          <w:rtl/>
          <w:lang w:eastAsia="zh-TW"/>
        </w:rPr>
        <w:t>المادة 2، والفقرة 2(ب) من المادة 5</w:t>
      </w:r>
      <w:r w:rsidRPr="00166483">
        <w:rPr>
          <w:i/>
          <w:iCs/>
          <w:rtl/>
          <w:lang w:eastAsia="zh-TW"/>
        </w:rPr>
        <w:t xml:space="preserve"> </w:t>
      </w:r>
    </w:p>
    <w:p w:rsidR="004047EA" w:rsidRPr="00BD624A" w:rsidRDefault="004047EA" w:rsidP="004047EA">
      <w:pPr>
        <w:pStyle w:val="HChGA"/>
        <w:pageBreakBefore/>
        <w:spacing w:before="120"/>
        <w:rPr>
          <w:rtl/>
          <w:lang w:eastAsia="zh-TW"/>
        </w:rPr>
      </w:pPr>
      <w:r w:rsidRPr="00BD624A" w:rsidDel="007F5F25">
        <w:rPr>
          <w:rtl/>
          <w:lang w:eastAsia="zh-TW"/>
        </w:rPr>
        <w:t xml:space="preserve">المرفق </w:t>
      </w:r>
    </w:p>
    <w:p w:rsidR="004047EA" w:rsidRPr="00BD624A" w:rsidRDefault="004047EA" w:rsidP="004047EA">
      <w:pPr>
        <w:pStyle w:val="HChGA"/>
        <w:rPr>
          <w:rtl/>
          <w:lang w:eastAsia="zh-TW"/>
        </w:rPr>
      </w:pPr>
      <w:r w:rsidRPr="00BD624A">
        <w:rPr>
          <w:rtl/>
          <w:lang w:eastAsia="zh-TW"/>
        </w:rPr>
        <w:tab/>
      </w:r>
      <w:r w:rsidRPr="00BD624A">
        <w:rPr>
          <w:rtl/>
          <w:lang w:eastAsia="zh-TW"/>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4047EA">
        <w:rPr>
          <w:b w:val="0"/>
          <w:bCs w:val="0"/>
          <w:rtl/>
          <w:lang w:eastAsia="zh-TW"/>
        </w:rPr>
        <w:t>(الدورة 111)</w:t>
      </w:r>
      <w:r w:rsidRPr="00BD624A">
        <w:rPr>
          <w:rtl/>
          <w:lang w:eastAsia="zh-TW"/>
        </w:rPr>
        <w:t xml:space="preserve"> </w:t>
      </w:r>
    </w:p>
    <w:p w:rsidR="004047EA" w:rsidRPr="00BD624A" w:rsidRDefault="004047EA" w:rsidP="004047EA">
      <w:pPr>
        <w:pStyle w:val="SingleTxtGA"/>
        <w:rPr>
          <w:rtl/>
          <w:lang w:eastAsia="zh-TW"/>
        </w:rPr>
      </w:pPr>
      <w:r w:rsidRPr="00BD624A">
        <w:rPr>
          <w:rtl/>
          <w:lang w:eastAsia="zh-TW"/>
        </w:rPr>
        <w:t>بشأن</w:t>
      </w:r>
    </w:p>
    <w:p w:rsidR="004047EA" w:rsidRPr="00FE3D5A" w:rsidRDefault="004047EA" w:rsidP="00FE3D5A">
      <w:pPr>
        <w:pStyle w:val="H1GA"/>
        <w:rPr>
          <w:rtl/>
          <w:lang w:eastAsia="zh-TW"/>
        </w:rPr>
      </w:pPr>
      <w:r>
        <w:rPr>
          <w:rFonts w:hint="cs"/>
          <w:rtl/>
          <w:lang w:eastAsia="zh-TW"/>
        </w:rPr>
        <w:tab/>
      </w:r>
      <w:r w:rsidRPr="00BD624A">
        <w:rPr>
          <w:rtl/>
          <w:lang w:eastAsia="zh-TW"/>
        </w:rPr>
        <w:tab/>
        <w:t>البلاغ رقم 2030/2011</w:t>
      </w:r>
      <w:r w:rsidR="00FE3D5A" w:rsidRPr="00FE3D5A">
        <w:rPr>
          <w:rStyle w:val="FootnoteReference"/>
          <w:b/>
          <w:bCs w:val="0"/>
          <w:sz w:val="20"/>
          <w:vertAlign w:val="baseline"/>
          <w:rtl/>
          <w:lang w:eastAsia="zh-TW"/>
        </w:rPr>
        <w:footnoteReference w:customMarkFollows="1" w:id="1"/>
        <w:t>*</w:t>
      </w:r>
      <w:r w:rsidRPr="00BD624A">
        <w:rPr>
          <w:rtl/>
          <w:lang w:eastAsia="zh-TW"/>
        </w:rPr>
        <w:t xml:space="preserve"> </w:t>
      </w:r>
    </w:p>
    <w:p w:rsidR="004047EA" w:rsidRPr="00166483" w:rsidRDefault="004047EA" w:rsidP="004047EA">
      <w:pPr>
        <w:pStyle w:val="SingleTxtGA"/>
        <w:tabs>
          <w:tab w:val="clear" w:pos="2608"/>
          <w:tab w:val="clear" w:pos="3289"/>
          <w:tab w:val="clear" w:pos="3969"/>
          <w:tab w:val="clear" w:pos="4649"/>
          <w:tab w:val="clear" w:pos="5330"/>
          <w:tab w:val="left" w:pos="4262"/>
        </w:tabs>
        <w:ind w:left="1928"/>
        <w:rPr>
          <w:rtl/>
          <w:lang w:eastAsia="zh-TW"/>
        </w:rPr>
      </w:pPr>
      <w:r w:rsidRPr="00166483">
        <w:rPr>
          <w:i/>
          <w:iCs/>
          <w:rtl/>
          <w:lang w:eastAsia="zh-TW"/>
        </w:rPr>
        <w:t>المقدم من:</w:t>
      </w:r>
      <w:r>
        <w:rPr>
          <w:i/>
          <w:iCs/>
          <w:rtl/>
          <w:lang w:eastAsia="zh-TW"/>
        </w:rPr>
        <w:tab/>
      </w:r>
      <w:r w:rsidRPr="00BD624A">
        <w:rPr>
          <w:rtl/>
          <w:lang w:eastAsia="zh-TW"/>
        </w:rPr>
        <w:t>فاسيلي بولياكوف (لا يمثله محام)</w:t>
      </w:r>
      <w:r w:rsidRPr="00166483">
        <w:rPr>
          <w:i/>
          <w:iCs/>
          <w:rtl/>
          <w:lang w:eastAsia="zh-TW"/>
        </w:rPr>
        <w:t xml:space="preserve"> </w:t>
      </w:r>
    </w:p>
    <w:p w:rsidR="004047EA" w:rsidRPr="00BD624A" w:rsidRDefault="004047EA" w:rsidP="004047EA">
      <w:pPr>
        <w:pStyle w:val="SingleTxtGA"/>
        <w:tabs>
          <w:tab w:val="clear" w:pos="2608"/>
          <w:tab w:val="clear" w:pos="3289"/>
          <w:tab w:val="clear" w:pos="3969"/>
          <w:tab w:val="clear" w:pos="4649"/>
          <w:tab w:val="clear" w:pos="5330"/>
          <w:tab w:val="left" w:pos="4262"/>
        </w:tabs>
        <w:ind w:left="1928"/>
        <w:rPr>
          <w:rtl/>
          <w:lang w:eastAsia="zh-TW"/>
        </w:rPr>
      </w:pPr>
      <w:r w:rsidRPr="004047EA">
        <w:rPr>
          <w:i/>
          <w:iCs/>
          <w:rtl/>
          <w:lang w:eastAsia="zh-TW"/>
        </w:rPr>
        <w:t>الشخص المدعى أنه ضحية:</w:t>
      </w:r>
      <w:r>
        <w:rPr>
          <w:rtl/>
          <w:lang w:eastAsia="zh-TW"/>
        </w:rPr>
        <w:tab/>
      </w:r>
      <w:r w:rsidRPr="00BD624A">
        <w:rPr>
          <w:rtl/>
          <w:lang w:eastAsia="zh-TW"/>
        </w:rPr>
        <w:t xml:space="preserve">صاحب البلاغ </w:t>
      </w:r>
    </w:p>
    <w:p w:rsidR="004047EA" w:rsidRPr="00166483" w:rsidRDefault="004047EA" w:rsidP="004047EA">
      <w:pPr>
        <w:pStyle w:val="SingleTxtGA"/>
        <w:tabs>
          <w:tab w:val="clear" w:pos="2608"/>
          <w:tab w:val="clear" w:pos="3289"/>
          <w:tab w:val="clear" w:pos="3969"/>
          <w:tab w:val="clear" w:pos="4649"/>
          <w:tab w:val="clear" w:pos="5330"/>
          <w:tab w:val="left" w:pos="4262"/>
        </w:tabs>
        <w:ind w:left="1928"/>
        <w:rPr>
          <w:rtl/>
          <w:lang w:eastAsia="zh-TW"/>
        </w:rPr>
      </w:pPr>
      <w:r w:rsidRPr="004047EA">
        <w:rPr>
          <w:i/>
          <w:iCs/>
          <w:rtl/>
          <w:lang w:eastAsia="zh-TW"/>
        </w:rPr>
        <w:t>الدولة الطرف:</w:t>
      </w:r>
      <w:r>
        <w:rPr>
          <w:rtl/>
          <w:lang w:eastAsia="zh-TW"/>
        </w:rPr>
        <w:tab/>
      </w:r>
      <w:r w:rsidRPr="00BD624A">
        <w:rPr>
          <w:rtl/>
          <w:lang w:eastAsia="zh-TW"/>
        </w:rPr>
        <w:t>بيلاروس</w:t>
      </w:r>
      <w:r w:rsidRPr="00166483">
        <w:rPr>
          <w:rtl/>
          <w:lang w:eastAsia="zh-TW"/>
        </w:rPr>
        <w:t xml:space="preserve"> </w:t>
      </w:r>
      <w:smartTag w:uri="urn:schemas-microsoft-com:office:smarttags" w:element="place"/>
      <w:smartTag w:uri="urn:schemas-microsoft-com:office:smarttags" w:element="country-region"/>
    </w:p>
    <w:p w:rsidR="004047EA" w:rsidRPr="00166483" w:rsidRDefault="004047EA" w:rsidP="004047EA">
      <w:pPr>
        <w:pStyle w:val="SingleTxtGA"/>
        <w:tabs>
          <w:tab w:val="clear" w:pos="2608"/>
          <w:tab w:val="clear" w:pos="3289"/>
          <w:tab w:val="clear" w:pos="3969"/>
          <w:tab w:val="clear" w:pos="4649"/>
          <w:tab w:val="clear" w:pos="5330"/>
          <w:tab w:val="left" w:pos="4262"/>
        </w:tabs>
        <w:ind w:left="1928"/>
        <w:rPr>
          <w:rtl/>
          <w:lang w:eastAsia="zh-TW"/>
        </w:rPr>
      </w:pPr>
      <w:r w:rsidRPr="00166483">
        <w:rPr>
          <w:i/>
          <w:iCs/>
          <w:rtl/>
          <w:lang w:eastAsia="zh-TW"/>
        </w:rPr>
        <w:t>تاريخ تقديم البلاغ:</w:t>
      </w:r>
      <w:r>
        <w:rPr>
          <w:i/>
          <w:iCs/>
          <w:rtl/>
          <w:lang w:eastAsia="zh-TW"/>
        </w:rPr>
        <w:tab/>
      </w:r>
      <w:r w:rsidRPr="00BD624A">
        <w:rPr>
          <w:rtl/>
          <w:lang w:eastAsia="zh-TW"/>
        </w:rPr>
        <w:t>٢٨ كانون الثاني/يناير ٢٠١٠ (تاريخ الرسالة الأولى)</w:t>
      </w:r>
      <w:r w:rsidRPr="00166483">
        <w:rPr>
          <w:i/>
          <w:iCs/>
          <w:rtl/>
          <w:lang w:eastAsia="zh-TW"/>
        </w:rPr>
        <w:t xml:space="preserve"> </w:t>
      </w:r>
    </w:p>
    <w:p w:rsidR="004047EA" w:rsidRPr="00BD624A" w:rsidRDefault="00FE3D5A" w:rsidP="00FE3D5A">
      <w:pPr>
        <w:pStyle w:val="SingleTxtGA"/>
        <w:rPr>
          <w:rtl/>
          <w:lang w:eastAsia="zh-TW"/>
        </w:rPr>
      </w:pPr>
      <w:r>
        <w:rPr>
          <w:rFonts w:hint="cs"/>
          <w:i/>
          <w:iCs/>
          <w:rtl/>
          <w:lang w:eastAsia="zh-TW"/>
        </w:rPr>
        <w:tab/>
      </w:r>
      <w:r w:rsidR="004047EA" w:rsidRPr="00166483">
        <w:rPr>
          <w:i/>
          <w:iCs/>
          <w:rtl/>
          <w:lang w:eastAsia="zh-TW"/>
        </w:rPr>
        <w:t>إن اللجنة المعنية بحقوق الإنسان</w:t>
      </w:r>
      <w:r w:rsidR="004047EA" w:rsidRPr="00BD624A">
        <w:rPr>
          <w:rtl/>
          <w:lang w:eastAsia="zh-TW"/>
        </w:rPr>
        <w:t xml:space="preserve">، المنشأة بموجب المادة 28 من العهد الدولي الخاص بالحقوق المدنية والسياسية، </w:t>
      </w:r>
    </w:p>
    <w:p w:rsidR="004047EA" w:rsidRPr="00166483" w:rsidRDefault="004047EA" w:rsidP="00FE3D5A">
      <w:pPr>
        <w:pStyle w:val="SingleTxtGA"/>
        <w:rPr>
          <w:rtl/>
          <w:lang w:eastAsia="zh-TW"/>
        </w:rPr>
      </w:pPr>
      <w:r w:rsidRPr="00166483">
        <w:rPr>
          <w:rtl/>
          <w:lang w:eastAsia="zh-TW"/>
        </w:rPr>
        <w:tab/>
      </w:r>
      <w:r w:rsidRPr="00166483">
        <w:rPr>
          <w:i/>
          <w:iCs/>
          <w:rtl/>
          <w:lang w:eastAsia="zh-TW"/>
        </w:rPr>
        <w:t xml:space="preserve">وقد اجتمعت </w:t>
      </w:r>
      <w:r w:rsidRPr="00BD624A">
        <w:rPr>
          <w:rtl/>
          <w:lang w:eastAsia="zh-TW"/>
        </w:rPr>
        <w:t>في ١٧ تموز/يوليه ٢٠١٤،</w:t>
      </w:r>
      <w:r w:rsidRPr="00166483">
        <w:rPr>
          <w:i/>
          <w:iCs/>
          <w:rtl/>
          <w:lang w:eastAsia="zh-TW"/>
        </w:rPr>
        <w:t xml:space="preserve"> </w:t>
      </w:r>
    </w:p>
    <w:p w:rsidR="004047EA" w:rsidRPr="00BD624A" w:rsidRDefault="004047EA" w:rsidP="00FE3D5A">
      <w:pPr>
        <w:pStyle w:val="SingleTxtGA"/>
        <w:rPr>
          <w:rtl/>
          <w:lang w:eastAsia="zh-TW"/>
        </w:rPr>
      </w:pPr>
      <w:r w:rsidRPr="00166483">
        <w:rPr>
          <w:rtl/>
          <w:lang w:eastAsia="zh-TW"/>
        </w:rPr>
        <w:tab/>
      </w:r>
      <w:r w:rsidRPr="00166483">
        <w:rPr>
          <w:i/>
          <w:iCs/>
          <w:rtl/>
          <w:lang w:eastAsia="zh-TW"/>
        </w:rPr>
        <w:t xml:space="preserve">وقد فرغت من النظر </w:t>
      </w:r>
      <w:r w:rsidRPr="00BD624A">
        <w:rPr>
          <w:rtl/>
          <w:lang w:eastAsia="zh-TW"/>
        </w:rPr>
        <w:t xml:space="preserve">في البلاغ رقم 2030/2011، المقدم إليها من السيد فاسيلي بولياكوف بموجب البروتوكول الاختياري الملحق بالعهد الدولي الخاص بالحقوق المدنية والسياسية، </w:t>
      </w:r>
    </w:p>
    <w:p w:rsidR="004047EA" w:rsidRPr="00BD624A" w:rsidRDefault="004047EA" w:rsidP="00FE3D5A">
      <w:pPr>
        <w:pStyle w:val="SingleTxtGA"/>
        <w:rPr>
          <w:rtl/>
          <w:lang w:eastAsia="zh-TW"/>
        </w:rPr>
      </w:pPr>
      <w:r w:rsidRPr="00BD624A">
        <w:rPr>
          <w:rtl/>
          <w:lang w:eastAsia="zh-TW"/>
        </w:rPr>
        <w:tab/>
        <w:t>وقد وضعت في اعتبارها جميع المعلومات المكتوبة التي أتاحها لها صاحب البلاغ والدولة الطرف،</w:t>
      </w:r>
    </w:p>
    <w:p w:rsidR="004047EA" w:rsidRPr="00166483" w:rsidRDefault="004047EA" w:rsidP="00FE3D5A">
      <w:pPr>
        <w:pStyle w:val="SingleTxtGA"/>
        <w:rPr>
          <w:rtl/>
          <w:lang w:eastAsia="zh-TW"/>
        </w:rPr>
      </w:pPr>
      <w:r w:rsidRPr="00166483">
        <w:rPr>
          <w:rtl/>
          <w:lang w:eastAsia="zh-TW"/>
        </w:rPr>
        <w:tab/>
      </w:r>
      <w:r w:rsidRPr="00FE3D5A">
        <w:rPr>
          <w:i/>
          <w:iCs/>
          <w:rtl/>
          <w:lang w:eastAsia="zh-TW"/>
        </w:rPr>
        <w:t>تعتمد</w:t>
      </w:r>
      <w:r w:rsidRPr="00166483">
        <w:rPr>
          <w:rtl/>
          <w:lang w:eastAsia="zh-TW"/>
        </w:rPr>
        <w:t xml:space="preserve"> ما يلي: </w:t>
      </w:r>
    </w:p>
    <w:p w:rsidR="004047EA" w:rsidRPr="00BD624A" w:rsidRDefault="004047EA" w:rsidP="00FE3D5A">
      <w:pPr>
        <w:pStyle w:val="H1GA"/>
        <w:rPr>
          <w:rtl/>
          <w:lang w:eastAsia="zh-TW"/>
        </w:rPr>
      </w:pPr>
      <w:r>
        <w:rPr>
          <w:rtl/>
          <w:lang w:eastAsia="zh-TW"/>
        </w:rPr>
        <w:tab/>
      </w:r>
      <w:r w:rsidRPr="00BD624A">
        <w:rPr>
          <w:rtl/>
          <w:lang w:eastAsia="zh-TW"/>
        </w:rPr>
        <w:tab/>
        <w:t xml:space="preserve">الآراء المعتمدة بموجب الفقرة 4 من المادة 5 من البروتوكول الاختياري </w:t>
      </w:r>
    </w:p>
    <w:p w:rsidR="004047EA" w:rsidRPr="00166483" w:rsidRDefault="004047EA" w:rsidP="004F5B5B">
      <w:pPr>
        <w:pStyle w:val="SingleTxtGA"/>
        <w:spacing w:after="100" w:line="370" w:lineRule="exact"/>
        <w:rPr>
          <w:rtl/>
          <w:lang w:eastAsia="zh-TW"/>
        </w:rPr>
      </w:pPr>
      <w:r>
        <w:rPr>
          <w:rtl/>
          <w:lang w:eastAsia="zh-TW"/>
        </w:rPr>
        <w:t>1-</w:t>
      </w:r>
      <w:r>
        <w:rPr>
          <w:rtl/>
          <w:lang w:eastAsia="zh-TW"/>
        </w:rPr>
        <w:tab/>
      </w:r>
      <w:r w:rsidRPr="00166483">
        <w:rPr>
          <w:rtl/>
          <w:lang w:eastAsia="zh-TW"/>
        </w:rPr>
        <w:t>صاحب البلاغ هو السيد فاسيلي بولياكوف، وهو مواطن بيلاروسي وُلد في عام</w:t>
      </w:r>
      <w:r w:rsidR="00351E01">
        <w:rPr>
          <w:rFonts w:hint="cs"/>
          <w:rtl/>
          <w:lang w:eastAsia="zh-TW"/>
        </w:rPr>
        <w:t> </w:t>
      </w:r>
      <w:r w:rsidRPr="00166483">
        <w:rPr>
          <w:rtl/>
          <w:lang w:eastAsia="zh-TW"/>
        </w:rPr>
        <w:t>1969. ويدعي أنه وقع ضحية انتهاكات بيلاروس لحقوقه بموجب المادة 21 من العهد الدولي الخاص بالحقوق المدنية والسياسية والفقرة 2 من المادة 2 من العهد، مقترنتين بالمادة</w:t>
      </w:r>
      <w:r w:rsidR="00FE3D5A">
        <w:rPr>
          <w:rFonts w:hint="cs"/>
          <w:rtl/>
          <w:lang w:eastAsia="zh-TW"/>
        </w:rPr>
        <w:t> </w:t>
      </w:r>
      <w:r w:rsidRPr="00166483">
        <w:rPr>
          <w:rtl/>
          <w:lang w:eastAsia="zh-TW"/>
        </w:rPr>
        <w:t>21 منه</w:t>
      </w:r>
      <w:r w:rsidR="00FE3D5A" w:rsidRPr="00FE3D5A">
        <w:rPr>
          <w:rFonts w:hint="cs"/>
          <w:vertAlign w:val="superscript"/>
          <w:rtl/>
          <w:lang w:eastAsia="zh-TW"/>
        </w:rPr>
        <w:t>(</w:t>
      </w:r>
      <w:r w:rsidRPr="00FE3D5A">
        <w:rPr>
          <w:sz w:val="18"/>
          <w:szCs w:val="28"/>
          <w:vertAlign w:val="superscript"/>
          <w:rtl/>
          <w:lang w:eastAsia="zh-TW"/>
        </w:rPr>
        <w:footnoteReference w:id="2"/>
      </w:r>
      <w:r w:rsidR="00FE3D5A" w:rsidRPr="00FE3D5A">
        <w:rPr>
          <w:rFonts w:hint="cs"/>
          <w:vertAlign w:val="superscript"/>
          <w:rtl/>
          <w:lang w:eastAsia="zh-TW"/>
        </w:rPr>
        <w:t>)</w:t>
      </w:r>
      <w:r w:rsidRPr="00166483">
        <w:rPr>
          <w:rtl/>
          <w:lang w:eastAsia="zh-TW"/>
        </w:rPr>
        <w:t xml:space="preserve">. ولا يمثله محامٍ. </w:t>
      </w:r>
    </w:p>
    <w:p w:rsidR="004047EA" w:rsidRPr="00BD624A" w:rsidRDefault="004047EA" w:rsidP="00351E01">
      <w:pPr>
        <w:pStyle w:val="H23GA"/>
        <w:rPr>
          <w:rtl/>
        </w:rPr>
      </w:pPr>
      <w:r w:rsidRPr="00BD624A">
        <w:rPr>
          <w:rtl/>
        </w:rPr>
        <w:tab/>
      </w:r>
      <w:r w:rsidRPr="00BD624A">
        <w:rPr>
          <w:rtl/>
        </w:rPr>
        <w:tab/>
        <w:t xml:space="preserve">الوقائع كما عرضها صاحب البلاغ </w:t>
      </w:r>
    </w:p>
    <w:p w:rsidR="004047EA" w:rsidRPr="00166483" w:rsidRDefault="00351E01" w:rsidP="004F5B5B">
      <w:pPr>
        <w:pStyle w:val="SingleTxtGA"/>
        <w:spacing w:after="100" w:line="370" w:lineRule="exact"/>
        <w:rPr>
          <w:rtl/>
          <w:lang w:eastAsia="zh-TW"/>
        </w:rPr>
      </w:pPr>
      <w:r>
        <w:rPr>
          <w:rtl/>
          <w:lang w:eastAsia="zh-TW"/>
        </w:rPr>
        <w:t>2-1</w:t>
      </w:r>
      <w:r>
        <w:rPr>
          <w:rFonts w:hint="cs"/>
          <w:rtl/>
          <w:lang w:eastAsia="zh-TW"/>
        </w:rPr>
        <w:tab/>
      </w:r>
      <w:r w:rsidR="004047EA" w:rsidRPr="00166483">
        <w:rPr>
          <w:rtl/>
          <w:lang w:eastAsia="zh-TW"/>
        </w:rPr>
        <w:t>في 9 أيلول/سبتمبر 2008، قدم صاحب البلاغ طلب</w:t>
      </w:r>
      <w:r w:rsidR="00910D5B">
        <w:rPr>
          <w:rtl/>
          <w:lang w:eastAsia="zh-TW"/>
        </w:rPr>
        <w:t xml:space="preserve">اً </w:t>
      </w:r>
      <w:r w:rsidR="004047EA" w:rsidRPr="00166483">
        <w:rPr>
          <w:rtl/>
          <w:lang w:eastAsia="zh-TW"/>
        </w:rPr>
        <w:t>إلى اللجنة التنفيذية في مدينة غوميل يلتمس فيه تنظيم مظاهرة في شكل اعتصام في 18 أيلول/سبتمبر 2008 بهدف دعوة المواطنين إلى عدم المشاركة في الانتخابات البرلمانية المقررة في 28 أيلول/سبتمبر 2008. وأرفق تعهد</w:t>
      </w:r>
      <w:r w:rsidR="00910D5B">
        <w:rPr>
          <w:rtl/>
          <w:lang w:eastAsia="zh-TW"/>
        </w:rPr>
        <w:t xml:space="preserve">اً </w:t>
      </w:r>
      <w:r w:rsidR="004047EA" w:rsidRPr="00166483">
        <w:rPr>
          <w:rtl/>
          <w:lang w:eastAsia="zh-TW"/>
        </w:rPr>
        <w:t>خطي</w:t>
      </w:r>
      <w:r w:rsidR="00910D5B">
        <w:rPr>
          <w:rtl/>
          <w:lang w:eastAsia="zh-TW"/>
        </w:rPr>
        <w:t xml:space="preserve">اً </w:t>
      </w:r>
      <w:r w:rsidR="004047EA" w:rsidRPr="00166483">
        <w:rPr>
          <w:rtl/>
          <w:lang w:eastAsia="zh-TW"/>
        </w:rPr>
        <w:t xml:space="preserve">بتنظيم المظاهرة العامة وإدارتها في إطار القانون. </w:t>
      </w:r>
      <w:smartTag w:uri="urn:schemas-microsoft-com:office:smarttags" w:element="City"/>
      <w:smartTag w:uri="urn:schemas-microsoft-com:office:smarttags" w:element="place"/>
    </w:p>
    <w:p w:rsidR="004047EA" w:rsidRPr="00166483" w:rsidRDefault="00351E01" w:rsidP="004F5B5B">
      <w:pPr>
        <w:pStyle w:val="SingleTxtGA"/>
        <w:spacing w:after="100" w:line="370" w:lineRule="exact"/>
        <w:rPr>
          <w:rtl/>
          <w:lang w:eastAsia="zh-TW"/>
        </w:rPr>
      </w:pPr>
      <w:r>
        <w:rPr>
          <w:rtl/>
          <w:lang w:eastAsia="zh-TW"/>
        </w:rPr>
        <w:t>2-2</w:t>
      </w:r>
      <w:r>
        <w:rPr>
          <w:rFonts w:hint="cs"/>
          <w:rtl/>
          <w:lang w:eastAsia="zh-TW"/>
        </w:rPr>
        <w:tab/>
      </w:r>
      <w:r w:rsidR="004047EA" w:rsidRPr="00166483">
        <w:rPr>
          <w:rtl/>
          <w:lang w:eastAsia="zh-TW"/>
        </w:rPr>
        <w:t>وفي 12 أيلول/سبتمبر 2008، أصدرت اللجنة التنفيذية قرار</w:t>
      </w:r>
      <w:r w:rsidR="00910D5B">
        <w:rPr>
          <w:rtl/>
          <w:lang w:eastAsia="zh-TW"/>
        </w:rPr>
        <w:t xml:space="preserve">اً </w:t>
      </w:r>
      <w:r w:rsidR="004047EA" w:rsidRPr="00166483">
        <w:rPr>
          <w:rtl/>
          <w:lang w:eastAsia="zh-TW"/>
        </w:rPr>
        <w:t xml:space="preserve">بمنع المظاهرة. وفي تاريخ غير معلوم، استأنف صاحب البلاغ القرار لدى المحكمة الإقليمية المركزية في غوميل، </w:t>
      </w:r>
      <w:r w:rsidR="004047EA" w:rsidRPr="002418B9">
        <w:rPr>
          <w:spacing w:val="-4"/>
          <w:rtl/>
          <w:lang w:eastAsia="zh-TW"/>
        </w:rPr>
        <w:t>ورُفض الاستئناف في 15 تشرين الأول/أكتوبر 2008. وفي نهاية تشرين الأول/أكتوبر 2008،</w:t>
      </w:r>
      <w:r w:rsidR="004047EA" w:rsidRPr="00166483">
        <w:rPr>
          <w:rtl/>
          <w:lang w:eastAsia="zh-TW"/>
        </w:rPr>
        <w:t xml:space="preserve"> رفع صاحب البلاغ دعوى إلى المحكمة المحلية في غوميل لنقض قرار المحكمة الإقليمية. وفي 9 كانون الأول/ديسمبر 2008، أصدرت المحكمة المحلية قراراً يؤيد قرار المحكمة الإقليمية ويرفض استئناف صاحب البلاغ. وبنت المحكمة المحلية قرارها حصر</w:t>
      </w:r>
      <w:r w:rsidR="00910D5B">
        <w:rPr>
          <w:rtl/>
          <w:lang w:eastAsia="zh-TW"/>
        </w:rPr>
        <w:t xml:space="preserve">اً </w:t>
      </w:r>
      <w:r w:rsidR="004047EA" w:rsidRPr="00166483">
        <w:rPr>
          <w:rtl/>
          <w:lang w:eastAsia="zh-TW"/>
        </w:rPr>
        <w:t xml:space="preserve">على أحكام التشريعات المحلية على الرغم من أن الاستئناف أشار إلى انتهاكات بيلاروس لالتزاماتها القانونية الدولية. ويدعي صاحب البلاغ أنه استنفد جميع سبل الانتصاف المحلية الفعالة.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place"/>
      <w:smartTag w:uri="urn:schemas-microsoft-com:office:smarttags" w:element="City"/>
      <w:smartTag w:uri="urn:schemas-microsoft-com:office:smarttags" w:element="Street"/>
      <w:smartTag w:uri="urn:schemas-microsoft-com:office:smarttags" w:element="address"/>
    </w:p>
    <w:p w:rsidR="004047EA" w:rsidRPr="004A7CA4" w:rsidRDefault="004047EA" w:rsidP="00351E01">
      <w:pPr>
        <w:pStyle w:val="H23GA"/>
        <w:rPr>
          <w:rtl/>
        </w:rPr>
      </w:pPr>
      <w:r w:rsidRPr="00166483">
        <w:rPr>
          <w:rtl/>
        </w:rPr>
        <w:tab/>
      </w:r>
      <w:r w:rsidRPr="00166483">
        <w:rPr>
          <w:rtl/>
        </w:rPr>
        <w:tab/>
      </w:r>
      <w:r w:rsidRPr="004A7CA4">
        <w:rPr>
          <w:rtl/>
        </w:rPr>
        <w:t xml:space="preserve">الشكوى </w:t>
      </w:r>
    </w:p>
    <w:p w:rsidR="004047EA" w:rsidRPr="00166483" w:rsidRDefault="00351E01" w:rsidP="004F5B5B">
      <w:pPr>
        <w:pStyle w:val="SingleTxtGA"/>
        <w:spacing w:after="100" w:line="370" w:lineRule="exact"/>
        <w:rPr>
          <w:rtl/>
          <w:lang w:eastAsia="zh-TW"/>
        </w:rPr>
      </w:pPr>
      <w:r>
        <w:rPr>
          <w:rtl/>
          <w:lang w:eastAsia="zh-TW"/>
        </w:rPr>
        <w:t>3-1</w:t>
      </w:r>
      <w:r>
        <w:rPr>
          <w:rFonts w:hint="cs"/>
          <w:rtl/>
          <w:lang w:eastAsia="zh-TW"/>
        </w:rPr>
        <w:tab/>
      </w:r>
      <w:r w:rsidR="004047EA" w:rsidRPr="00166483">
        <w:rPr>
          <w:rtl/>
          <w:lang w:eastAsia="zh-TW"/>
        </w:rPr>
        <w:t>يدعي صاحب البلاغ أن المادة 21 من العهد الدولي الخاص بالحقوق المدنية والسياسية لا تجيز فرض أي قيود على حرية التجمع، إلا إذا أمكن تبريرها استناد</w:t>
      </w:r>
      <w:r w:rsidR="00910D5B">
        <w:rPr>
          <w:rtl/>
          <w:lang w:eastAsia="zh-TW"/>
        </w:rPr>
        <w:t xml:space="preserve">اً </w:t>
      </w:r>
      <w:r w:rsidR="004047EA" w:rsidRPr="00166483">
        <w:rPr>
          <w:rtl/>
          <w:lang w:eastAsia="zh-TW"/>
        </w:rPr>
        <w:t>إلى دواعي الأمن القومي أو النظام العام أو الصحة</w:t>
      </w:r>
      <w:r w:rsidR="004047EA">
        <w:rPr>
          <w:rtl/>
          <w:lang w:eastAsia="zh-TW"/>
        </w:rPr>
        <w:t xml:space="preserve"> العامة أو الآداب العامة</w:t>
      </w:r>
      <w:r w:rsidR="004047EA" w:rsidRPr="00166483">
        <w:rPr>
          <w:rtl/>
          <w:lang w:eastAsia="zh-TW"/>
        </w:rPr>
        <w:t xml:space="preserve"> أو تقييد حقوق الأشخاص الآخرين وحرياتهم. ورُفض طلب تنظيم المظاهرة للأسباب المزعومة التالية</w:t>
      </w:r>
      <w:r w:rsidR="004047EA">
        <w:rPr>
          <w:rtl/>
          <w:lang w:eastAsia="zh-TW"/>
        </w:rPr>
        <w:t xml:space="preserve">: </w:t>
      </w:r>
      <w:r w:rsidR="004047EA" w:rsidRPr="00166483">
        <w:rPr>
          <w:rtl/>
          <w:lang w:eastAsia="zh-TW"/>
        </w:rPr>
        <w:t>لم يحدّد الطلب ا</w:t>
      </w:r>
      <w:r w:rsidR="004047EA">
        <w:rPr>
          <w:rtl/>
          <w:lang w:eastAsia="zh-TW"/>
        </w:rPr>
        <w:t xml:space="preserve">لطريقة التي ستنظم بها المظاهرة؛ </w:t>
      </w:r>
      <w:r w:rsidR="004047EA" w:rsidRPr="00166483">
        <w:rPr>
          <w:rtl/>
          <w:lang w:eastAsia="zh-TW"/>
        </w:rPr>
        <w:t xml:space="preserve">ولا يتفق مع النقطة 2 من قرار اللجنة التنفيذية لمدينة غوميل رقم 299 المؤرخ 2 نيسان/أبريل 2008 ("المتعلق بالتجمعات العامة في مدينة غوميل") الذي ينص على </w:t>
      </w:r>
      <w:r w:rsidR="00460BAD">
        <w:rPr>
          <w:rFonts w:hint="cs"/>
          <w:rtl/>
          <w:lang w:eastAsia="zh-TW"/>
        </w:rPr>
        <w:t xml:space="preserve">عدم جواز </w:t>
      </w:r>
      <w:r w:rsidR="004047EA" w:rsidRPr="00166483">
        <w:rPr>
          <w:rtl/>
          <w:lang w:eastAsia="zh-TW"/>
        </w:rPr>
        <w:t>تنظيم تجمعات عامة إلا إذا قدم المنظمون تعهدات خطية من دائرة الشؤون الداخلي</w:t>
      </w:r>
      <w:r w:rsidR="004047EA">
        <w:rPr>
          <w:rtl/>
          <w:lang w:eastAsia="zh-TW"/>
        </w:rPr>
        <w:t>ة التابع للإدارة المحلية (لتحقيق</w:t>
      </w:r>
      <w:r w:rsidR="004047EA" w:rsidRPr="00166483">
        <w:rPr>
          <w:rtl/>
          <w:lang w:eastAsia="zh-TW"/>
        </w:rPr>
        <w:t xml:space="preserve"> الأمن العام أثناء المظاهرة)، ودائرة الصحة (لتوفير الرعاية الطبية أثناء المظاهرة)، ودائرة المرافق</w:t>
      </w:r>
      <w:r w:rsidR="004047EA">
        <w:rPr>
          <w:rtl/>
          <w:lang w:eastAsia="zh-TW"/>
        </w:rPr>
        <w:t xml:space="preserve"> العامة</w:t>
      </w:r>
      <w:r w:rsidR="004047EA" w:rsidRPr="00166483">
        <w:rPr>
          <w:rtl/>
          <w:lang w:eastAsia="zh-TW"/>
        </w:rPr>
        <w:t xml:space="preserve"> (لتنظيف المنطقة التي تنظم فيها المظاهرة). ويدفع صاحب البلاغ بأن </w:t>
      </w:r>
      <w:r w:rsidR="004047EA">
        <w:rPr>
          <w:rtl/>
          <w:lang w:eastAsia="zh-TW"/>
        </w:rPr>
        <w:t>كل</w:t>
      </w:r>
      <w:r w:rsidR="004047EA" w:rsidRPr="00166483">
        <w:rPr>
          <w:rtl/>
          <w:lang w:eastAsia="zh-TW"/>
        </w:rPr>
        <w:t xml:space="preserve"> الأسباب المذكورة أعلاه</w:t>
      </w:r>
      <w:r w:rsidR="004047EA">
        <w:rPr>
          <w:rtl/>
          <w:lang w:eastAsia="zh-TW"/>
        </w:rPr>
        <w:t xml:space="preserve"> لا تبرر </w:t>
      </w:r>
      <w:r w:rsidR="004047EA" w:rsidRPr="00166483">
        <w:rPr>
          <w:rtl/>
          <w:lang w:eastAsia="zh-TW"/>
        </w:rPr>
        <w:t>تبرير</w:t>
      </w:r>
      <w:r w:rsidR="00910D5B">
        <w:rPr>
          <w:rtl/>
          <w:lang w:eastAsia="zh-TW"/>
        </w:rPr>
        <w:t xml:space="preserve">اً </w:t>
      </w:r>
      <w:r w:rsidR="004047EA" w:rsidRPr="00166483">
        <w:rPr>
          <w:rtl/>
          <w:lang w:eastAsia="zh-TW"/>
        </w:rPr>
        <w:t>سليم</w:t>
      </w:r>
      <w:r w:rsidR="00910D5B">
        <w:rPr>
          <w:rtl/>
          <w:lang w:eastAsia="zh-TW"/>
        </w:rPr>
        <w:t xml:space="preserve">اً </w:t>
      </w:r>
      <w:r w:rsidR="004047EA" w:rsidRPr="00166483">
        <w:rPr>
          <w:rtl/>
          <w:lang w:eastAsia="zh-TW"/>
        </w:rPr>
        <w:t xml:space="preserve">تقييد حريته في التجمع بموجب المادة 21 من العهد. </w:t>
      </w:r>
    </w:p>
    <w:p w:rsidR="004047EA" w:rsidRPr="00166483" w:rsidRDefault="00351E01" w:rsidP="00460BAD">
      <w:pPr>
        <w:pStyle w:val="SingleTxtGA"/>
        <w:rPr>
          <w:rtl/>
          <w:lang w:eastAsia="zh-TW"/>
        </w:rPr>
      </w:pPr>
      <w:r>
        <w:rPr>
          <w:rtl/>
          <w:lang w:eastAsia="zh-TW"/>
        </w:rPr>
        <w:t>3-2</w:t>
      </w:r>
      <w:r>
        <w:rPr>
          <w:rFonts w:hint="cs"/>
          <w:rtl/>
          <w:lang w:eastAsia="zh-TW"/>
        </w:rPr>
        <w:tab/>
      </w:r>
      <w:r w:rsidR="004047EA" w:rsidRPr="00166483">
        <w:rPr>
          <w:rtl/>
          <w:lang w:eastAsia="zh-TW"/>
        </w:rPr>
        <w:t xml:space="preserve">ويدعي أن المادة 6 من قانون عام 1997 "المتعلقة بالمناسبات العامة في جمهورية بيلاروس" </w:t>
      </w:r>
      <w:r w:rsidR="004047EA">
        <w:rPr>
          <w:rtl/>
          <w:lang w:eastAsia="zh-TW"/>
        </w:rPr>
        <w:t>تجيز</w:t>
      </w:r>
      <w:r w:rsidR="004047EA" w:rsidRPr="00166483">
        <w:rPr>
          <w:rtl/>
          <w:lang w:eastAsia="zh-TW"/>
        </w:rPr>
        <w:t xml:space="preserve"> للسلطات التنفيذية، بعد</w:t>
      </w:r>
      <w:r w:rsidR="004047EA">
        <w:rPr>
          <w:rtl/>
          <w:lang w:eastAsia="zh-TW"/>
        </w:rPr>
        <w:t xml:space="preserve"> أن</w:t>
      </w:r>
      <w:r w:rsidR="004047EA" w:rsidRPr="00166483">
        <w:rPr>
          <w:rtl/>
          <w:lang w:eastAsia="zh-TW"/>
        </w:rPr>
        <w:t xml:space="preserve"> تكون قد أخذت السلامة العامة وحركة السير العادية في الحسبان، أن تطلب إلى منظمي </w:t>
      </w:r>
      <w:r w:rsidR="00460BAD">
        <w:rPr>
          <w:rFonts w:hint="cs"/>
          <w:rtl/>
          <w:lang w:eastAsia="zh-TW"/>
        </w:rPr>
        <w:t xml:space="preserve">التظاهرة العامة </w:t>
      </w:r>
      <w:r w:rsidR="004047EA" w:rsidRPr="00166483">
        <w:rPr>
          <w:rtl/>
          <w:lang w:eastAsia="zh-TW"/>
        </w:rPr>
        <w:t>تغيير الموعد أو الوقت أو المكان. ويشير صاحب البلاغ إلى أن السلطات التنفيذية لم تتصل به قط، وهو منظم المظاهرة</w:t>
      </w:r>
      <w:r w:rsidR="004047EA">
        <w:rPr>
          <w:rtl/>
          <w:lang w:eastAsia="zh-TW"/>
        </w:rPr>
        <w:t>،</w:t>
      </w:r>
      <w:r w:rsidR="004047EA" w:rsidRPr="00166483">
        <w:rPr>
          <w:rtl/>
          <w:lang w:eastAsia="zh-TW"/>
        </w:rPr>
        <w:t xml:space="preserve"> لمناقشة أي تغييرات أو مشاكل فنية أو عيوب إجرائية في طلبه. </w:t>
      </w:r>
      <w:smartTag w:uri="urn:schemas-microsoft-com:office:smarttags" w:element="place"/>
      <w:smartTag w:uri="urn:schemas-microsoft-com:office:smarttags" w:element="PlaceName"/>
      <w:smartTag w:uri="urn:schemas-microsoft-com:office:smarttags" w:element="PlaceType"/>
    </w:p>
    <w:p w:rsidR="004047EA" w:rsidRPr="00166483" w:rsidRDefault="00351E01" w:rsidP="00351E01">
      <w:pPr>
        <w:pStyle w:val="SingleTxtGA"/>
        <w:rPr>
          <w:rtl/>
          <w:lang w:eastAsia="zh-TW"/>
        </w:rPr>
      </w:pPr>
      <w:r>
        <w:rPr>
          <w:rtl/>
          <w:lang w:eastAsia="zh-TW"/>
        </w:rPr>
        <w:t>3-3</w:t>
      </w:r>
      <w:r>
        <w:rPr>
          <w:rFonts w:hint="cs"/>
          <w:rtl/>
          <w:lang w:eastAsia="zh-TW"/>
        </w:rPr>
        <w:tab/>
      </w:r>
      <w:r w:rsidR="004047EA" w:rsidRPr="00166483">
        <w:rPr>
          <w:rtl/>
          <w:lang w:eastAsia="zh-TW"/>
        </w:rPr>
        <w:t>ويدعي أيض</w:t>
      </w:r>
      <w:r w:rsidR="00910D5B">
        <w:rPr>
          <w:rtl/>
          <w:lang w:eastAsia="zh-TW"/>
        </w:rPr>
        <w:t xml:space="preserve">اً </w:t>
      </w:r>
      <w:r w:rsidR="004047EA" w:rsidRPr="00166483">
        <w:rPr>
          <w:rtl/>
          <w:lang w:eastAsia="zh-TW"/>
        </w:rPr>
        <w:t>أن القرار رقم 299 المؤرخ 2 نيسان/أبريل 2008 ال</w:t>
      </w:r>
      <w:r w:rsidR="004047EA">
        <w:rPr>
          <w:rtl/>
          <w:lang w:eastAsia="zh-TW"/>
        </w:rPr>
        <w:t>ذ</w:t>
      </w:r>
      <w:r w:rsidR="004047EA" w:rsidRPr="00166483">
        <w:rPr>
          <w:rtl/>
          <w:lang w:eastAsia="zh-TW"/>
        </w:rPr>
        <w:t>ي اتخذته اللجنة التنفيذية يضع عقبات كبرى في وجه منظمي المناسبات العامة، مثل اشتراط الحصول على تعهدات من ثلاث إدارات عامة مستقلة بعضها عن بعض، وعدم إجازة تنظيم التجمعات العامة إلا في مكان واحد محدد في ضواحي مدينة غوميل. ويؤ</w:t>
      </w:r>
      <w:r w:rsidR="004047EA">
        <w:rPr>
          <w:rtl/>
          <w:lang w:eastAsia="zh-TW"/>
        </w:rPr>
        <w:t>كد</w:t>
      </w:r>
      <w:r w:rsidR="004047EA" w:rsidRPr="00166483">
        <w:rPr>
          <w:rtl/>
          <w:lang w:eastAsia="zh-TW"/>
        </w:rPr>
        <w:t xml:space="preserve"> أن القيود المذكورة أعلاه تنتهك التزامات الدولة الطرف بموجب الفقرة 2 من المادة 2 من العهد، نظر</w:t>
      </w:r>
      <w:r w:rsidR="00910D5B">
        <w:rPr>
          <w:rtl/>
          <w:lang w:eastAsia="zh-TW"/>
        </w:rPr>
        <w:t xml:space="preserve">اً </w:t>
      </w:r>
      <w:r w:rsidR="004047EA" w:rsidRPr="00166483">
        <w:rPr>
          <w:rtl/>
          <w:lang w:eastAsia="zh-TW"/>
        </w:rPr>
        <w:t xml:space="preserve">إلى أن الدولة الطرف لم تتخذ الإجراءات اللازمة لاعتماد هذه القوانين أو غيرها من التدابير التي لا بد منها لإنفاذ الحقوق المنصوص عليها في المادة 21 من العهد. </w:t>
      </w:r>
      <w:smartTag w:uri="urn:schemas-microsoft-com:office:smarttags" w:element="place"/>
      <w:smartTag w:uri="urn:schemas-microsoft-com:office:smarttags" w:element="City"/>
    </w:p>
    <w:p w:rsidR="004047EA" w:rsidRPr="00F00AB5" w:rsidRDefault="004047EA" w:rsidP="00351E01">
      <w:pPr>
        <w:pStyle w:val="H23GA"/>
        <w:rPr>
          <w:rtl/>
        </w:rPr>
      </w:pPr>
      <w:r w:rsidRPr="00166483">
        <w:rPr>
          <w:rtl/>
        </w:rPr>
        <w:tab/>
      </w:r>
      <w:r w:rsidRPr="00166483">
        <w:rPr>
          <w:rtl/>
        </w:rPr>
        <w:tab/>
      </w:r>
      <w:r w:rsidRPr="00F00AB5">
        <w:rPr>
          <w:rtl/>
        </w:rPr>
        <w:t>ملاحظات الدولة الطرف بشأن المقبولية</w:t>
      </w:r>
    </w:p>
    <w:p w:rsidR="004047EA" w:rsidRPr="00166483" w:rsidRDefault="00351E01" w:rsidP="00351E01">
      <w:pPr>
        <w:pStyle w:val="SingleTxtGA"/>
        <w:rPr>
          <w:rtl/>
          <w:lang w:eastAsia="zh-TW"/>
        </w:rPr>
      </w:pPr>
      <w:r>
        <w:rPr>
          <w:rtl/>
          <w:lang w:eastAsia="zh-TW"/>
        </w:rPr>
        <w:t>4-1</w:t>
      </w:r>
      <w:r>
        <w:rPr>
          <w:rFonts w:hint="cs"/>
          <w:rtl/>
          <w:lang w:eastAsia="zh-TW"/>
        </w:rPr>
        <w:tab/>
      </w:r>
      <w:r w:rsidR="004047EA" w:rsidRPr="00166483">
        <w:rPr>
          <w:rtl/>
          <w:lang w:eastAsia="zh-TW"/>
        </w:rPr>
        <w:t xml:space="preserve">في 5 تشرين الأول/أكتوبر 2011، دفعت الدولة الطرف بعدم وجود أي أسس قانونية للنظر في مقبولية البلاغ أو أسسه الموضوعية لأنه سجل بطريقة تخل بالمادة 1 من البروتوكول الاختياري. وتؤكد أن صاحب البلاغ لم يستنفد جميع سبل الانتصاف المحلية المتاحة على النحو المنصوص عليه في المادة 2 من البروتوكول الاختياري، لأنه لم يقدم أي طلب مراجعة قضائية رقابية إلى رئيس المحكمة العليا أو النيابة العامة أو رؤساء مكاتب النيابة العامة المحلية. </w:t>
      </w:r>
    </w:p>
    <w:p w:rsidR="004047EA" w:rsidRPr="004F5B5B" w:rsidRDefault="00351E01" w:rsidP="00351E01">
      <w:pPr>
        <w:pStyle w:val="SingleTxtGA"/>
        <w:rPr>
          <w:spacing w:val="-2"/>
          <w:rtl/>
          <w:lang w:eastAsia="zh-TW"/>
        </w:rPr>
      </w:pPr>
      <w:r w:rsidRPr="004F5B5B">
        <w:rPr>
          <w:spacing w:val="-2"/>
          <w:rtl/>
          <w:lang w:eastAsia="zh-TW"/>
        </w:rPr>
        <w:t>4-2</w:t>
      </w:r>
      <w:r w:rsidRPr="004F5B5B">
        <w:rPr>
          <w:rFonts w:hint="cs"/>
          <w:spacing w:val="-2"/>
          <w:rtl/>
          <w:lang w:eastAsia="zh-TW"/>
        </w:rPr>
        <w:tab/>
      </w:r>
      <w:r w:rsidR="004047EA" w:rsidRPr="004F5B5B">
        <w:rPr>
          <w:spacing w:val="-2"/>
          <w:rtl/>
          <w:lang w:eastAsia="zh-TW"/>
        </w:rPr>
        <w:t>وفي 25 كانون الثاني/يناير 2012، دفعت الدولة الطرف بأنها، بانضمامها إلى البروتوكول الاختياري، تكون قد وافقت على الاعتراف باختصاص اللجنة بموجب المادة 1، لكن هذا الاعتراف اقترن بأحكام أخرى من البروتوكول الاختياري، من بينها تلك التي تحدد المعايير المتعلقة بمقدمي الطلبات ومقبولية بلاغاتهم، ولا سيما المادتان 2 و5 من البروتوكول الاختياري. وتؤكد أن الدول الأطراف ليست ملزمة بموجب البروتوكول الاختياري بالاعتراف بالنظام الداخلي للجنة وبتفسيرها لأحكام البروتوكول الذي "لا يمكن أن يكون فعالاً إلا إذا قيّد بأحكام اتفاقية فيينا لقانون المعاهدات". وتدفع بأنه "ينبغي للدول الأطراف، عندما يتعلق الأمر بإجراءات الشكوى، أن تستشرد أولاً وقبل كل شيء بأحكام البروتوكول الاختياري" و"ألا تُخضع الإحالات إلى ممارسات اللجنة الراسخة وأساليب عملها وسوابقها للبروتوكول الاختياري". وتدفع أيض</w:t>
      </w:r>
      <w:r w:rsidR="00910D5B">
        <w:rPr>
          <w:spacing w:val="-2"/>
          <w:rtl/>
          <w:lang w:eastAsia="zh-TW"/>
        </w:rPr>
        <w:t xml:space="preserve">اً </w:t>
      </w:r>
      <w:r w:rsidR="004047EA" w:rsidRPr="004F5B5B">
        <w:rPr>
          <w:spacing w:val="-2"/>
          <w:rtl/>
          <w:lang w:eastAsia="zh-TW"/>
        </w:rPr>
        <w:t xml:space="preserve">بأن "أي بلاغ يسجل دون التقيد بأحكام البروتوكول الاختياري الملحق بالعهد الدولي الخاص بالحقوق المدنية والسياسية ستعتبره الدولة الطرف غير متوافق مع البروتوكول الاختياري وسترفضه دون التعليق على مقبوليته أو أسسه الموضوعية". وتؤكد أن سلطاتها سوف تعتبر أي قرارات تتخذها اللجنة بشأن هذه "البلاغات المرفوضة" "باطلة". </w:t>
      </w:r>
    </w:p>
    <w:p w:rsidR="004047EA" w:rsidRPr="00253B97" w:rsidRDefault="004047EA" w:rsidP="00351E01">
      <w:pPr>
        <w:pStyle w:val="H23GA"/>
        <w:rPr>
          <w:rtl/>
        </w:rPr>
      </w:pPr>
      <w:r w:rsidRPr="00166483">
        <w:rPr>
          <w:rtl/>
        </w:rPr>
        <w:tab/>
      </w:r>
      <w:r w:rsidRPr="00166483">
        <w:rPr>
          <w:rtl/>
        </w:rPr>
        <w:tab/>
      </w:r>
      <w:r w:rsidRPr="00253B97">
        <w:rPr>
          <w:rtl/>
        </w:rPr>
        <w:t>تعليقات صاحب البلاغ على ملاحظات الدولة الطرف</w:t>
      </w:r>
    </w:p>
    <w:p w:rsidR="004047EA" w:rsidRPr="00166483" w:rsidRDefault="00351E01" w:rsidP="00910D5B">
      <w:pPr>
        <w:pStyle w:val="SingleTxtGA"/>
        <w:rPr>
          <w:rtl/>
          <w:lang w:eastAsia="zh-TW"/>
        </w:rPr>
      </w:pPr>
      <w:r>
        <w:rPr>
          <w:rtl/>
          <w:lang w:eastAsia="zh-TW"/>
        </w:rPr>
        <w:t>5-1</w:t>
      </w:r>
      <w:r>
        <w:rPr>
          <w:rFonts w:hint="cs"/>
          <w:rtl/>
          <w:lang w:eastAsia="zh-TW"/>
        </w:rPr>
        <w:tab/>
      </w:r>
      <w:r w:rsidR="004047EA" w:rsidRPr="00166483">
        <w:rPr>
          <w:rtl/>
          <w:lang w:eastAsia="zh-TW"/>
        </w:rPr>
        <w:t>قال صاحب البلاغ في 21 آذار/مارس 2012 إن الدولة الطرف تعترض على حق اللجنة في وضع نظامها الداخلي، إضافة إلى الممارسة المتبعة في الهيئات الدولية القاضية بوضع لوائح داخلية تتعلق بسير أعمالها. ويؤكد أن النظام ال</w:t>
      </w:r>
      <w:r w:rsidR="004047EA">
        <w:rPr>
          <w:rtl/>
          <w:lang w:eastAsia="zh-TW"/>
        </w:rPr>
        <w:t>داخلي لا يتعارض مع العهد وأن</w:t>
      </w:r>
      <w:r w:rsidR="004047EA" w:rsidRPr="00166483">
        <w:rPr>
          <w:rtl/>
          <w:lang w:eastAsia="zh-TW"/>
        </w:rPr>
        <w:t xml:space="preserve"> الدول</w:t>
      </w:r>
      <w:r w:rsidR="004047EA">
        <w:rPr>
          <w:rtl/>
          <w:lang w:eastAsia="zh-TW"/>
        </w:rPr>
        <w:t xml:space="preserve"> تقبله على أساس أنه مستمد</w:t>
      </w:r>
      <w:r w:rsidR="004047EA" w:rsidRPr="00166483">
        <w:rPr>
          <w:rtl/>
          <w:lang w:eastAsia="zh-TW"/>
        </w:rPr>
        <w:t xml:space="preserve"> من اختصاص اللجنة. </w:t>
      </w:r>
      <w:r w:rsidR="004047EA">
        <w:rPr>
          <w:rtl/>
          <w:lang w:eastAsia="zh-TW"/>
        </w:rPr>
        <w:t>أضف إلى ذلك أن ا</w:t>
      </w:r>
      <w:r w:rsidR="004047EA" w:rsidRPr="00166483">
        <w:rPr>
          <w:rtl/>
          <w:lang w:eastAsia="zh-TW"/>
        </w:rPr>
        <w:t>لهيئات الدولية</w:t>
      </w:r>
      <w:r w:rsidR="004047EA">
        <w:rPr>
          <w:rtl/>
          <w:lang w:eastAsia="zh-TW"/>
        </w:rPr>
        <w:t xml:space="preserve"> لا</w:t>
      </w:r>
      <w:r w:rsidR="00910D5B">
        <w:rPr>
          <w:rFonts w:hint="cs"/>
          <w:rtl/>
          <w:lang w:eastAsia="zh-TW"/>
        </w:rPr>
        <w:t> </w:t>
      </w:r>
      <w:r w:rsidR="004047EA">
        <w:rPr>
          <w:rtl/>
          <w:lang w:eastAsia="zh-TW"/>
        </w:rPr>
        <w:t>يمكنها</w:t>
      </w:r>
      <w:r w:rsidR="004047EA" w:rsidRPr="00166483">
        <w:rPr>
          <w:rtl/>
          <w:lang w:eastAsia="zh-TW"/>
        </w:rPr>
        <w:t xml:space="preserve"> أن تعمل</w:t>
      </w:r>
      <w:r w:rsidR="004047EA">
        <w:rPr>
          <w:rtl/>
          <w:lang w:eastAsia="zh-TW"/>
        </w:rPr>
        <w:t xml:space="preserve"> بدون لوائح داخلية.</w:t>
      </w:r>
    </w:p>
    <w:p w:rsidR="004047EA" w:rsidRPr="00166483" w:rsidRDefault="00351E01" w:rsidP="00351E01">
      <w:pPr>
        <w:pStyle w:val="SingleTxtGA"/>
        <w:rPr>
          <w:rtl/>
          <w:lang w:eastAsia="zh-TW"/>
        </w:rPr>
      </w:pPr>
      <w:r>
        <w:rPr>
          <w:rtl/>
          <w:lang w:eastAsia="zh-TW"/>
        </w:rPr>
        <w:t>5-2</w:t>
      </w:r>
      <w:r>
        <w:rPr>
          <w:rFonts w:hint="cs"/>
          <w:rtl/>
          <w:lang w:eastAsia="zh-TW"/>
        </w:rPr>
        <w:tab/>
      </w:r>
      <w:r w:rsidR="004047EA">
        <w:rPr>
          <w:rtl/>
          <w:lang w:eastAsia="zh-TW"/>
        </w:rPr>
        <w:t xml:space="preserve">وأضاف </w:t>
      </w:r>
      <w:r w:rsidR="004047EA" w:rsidRPr="00166483">
        <w:rPr>
          <w:rtl/>
          <w:lang w:eastAsia="zh-TW"/>
        </w:rPr>
        <w:t>أن بيلاروس، بعد أن أصبحت طرف</w:t>
      </w:r>
      <w:r w:rsidR="00910D5B">
        <w:rPr>
          <w:rtl/>
          <w:lang w:eastAsia="zh-TW"/>
        </w:rPr>
        <w:t xml:space="preserve">اً </w:t>
      </w:r>
      <w:r w:rsidR="004047EA" w:rsidRPr="00166483">
        <w:rPr>
          <w:rtl/>
          <w:lang w:eastAsia="zh-TW"/>
        </w:rPr>
        <w:t>في البروتوكول الاختياري، لم تكتف بالاعتراف باختصاص اللجنة في إصدار قرارات بشأن وجود انت</w:t>
      </w:r>
      <w:r w:rsidR="004047EA">
        <w:rPr>
          <w:rtl/>
          <w:lang w:eastAsia="zh-TW"/>
        </w:rPr>
        <w:t xml:space="preserve">هاكات للعهد أو عدمه، بل جاوزته إلى </w:t>
      </w:r>
      <w:r w:rsidR="004047EA" w:rsidRPr="00166483">
        <w:rPr>
          <w:rtl/>
          <w:lang w:eastAsia="zh-TW"/>
        </w:rPr>
        <w:t>الاعتراف، وفق</w:t>
      </w:r>
      <w:r w:rsidR="00910D5B">
        <w:rPr>
          <w:rtl/>
          <w:lang w:eastAsia="zh-TW"/>
        </w:rPr>
        <w:t xml:space="preserve">اً </w:t>
      </w:r>
      <w:r w:rsidR="004047EA" w:rsidRPr="00166483">
        <w:rPr>
          <w:rtl/>
          <w:lang w:eastAsia="zh-TW"/>
        </w:rPr>
        <w:t>للفقرة 4 من المادة 40 من العهد، باختصاص اللجنة</w:t>
      </w:r>
      <w:r w:rsidR="004047EA" w:rsidRPr="00760A9A">
        <w:rPr>
          <w:rtl/>
          <w:lang w:eastAsia="zh-TW"/>
        </w:rPr>
        <w:t xml:space="preserve"> </w:t>
      </w:r>
      <w:r w:rsidR="004047EA">
        <w:rPr>
          <w:rtl/>
          <w:lang w:eastAsia="zh-TW"/>
        </w:rPr>
        <w:t>أيض</w:t>
      </w:r>
      <w:r w:rsidR="00910D5B">
        <w:rPr>
          <w:rtl/>
          <w:lang w:eastAsia="zh-TW"/>
        </w:rPr>
        <w:t xml:space="preserve">اً </w:t>
      </w:r>
      <w:r w:rsidR="004047EA" w:rsidRPr="00166483">
        <w:rPr>
          <w:rtl/>
          <w:lang w:eastAsia="zh-TW"/>
        </w:rPr>
        <w:t>في أن تحيل إلى الدول الأطراف تقاريرها وتعليقاتها العامة التي تستنسبها. والدولة ا</w:t>
      </w:r>
      <w:r w:rsidR="00C662B7">
        <w:rPr>
          <w:rtl/>
          <w:lang w:eastAsia="zh-TW"/>
        </w:rPr>
        <w:t>لطرف ملزمة أيض</w:t>
      </w:r>
      <w:r w:rsidR="00E47DC8">
        <w:rPr>
          <w:rtl/>
          <w:lang w:eastAsia="zh-TW"/>
        </w:rPr>
        <w:t xml:space="preserve">اً، </w:t>
      </w:r>
      <w:r w:rsidR="00C662B7">
        <w:rPr>
          <w:rtl/>
          <w:lang w:eastAsia="zh-TW"/>
        </w:rPr>
        <w:t>بموجب المادة 2</w:t>
      </w:r>
      <w:r w:rsidR="004047EA" w:rsidRPr="00166483">
        <w:rPr>
          <w:rtl/>
          <w:lang w:eastAsia="zh-TW"/>
        </w:rPr>
        <w:t>(أ) من العهد، بأن توفر سبيل انتصاف فعال</w:t>
      </w:r>
      <w:r w:rsidR="00910D5B">
        <w:rPr>
          <w:rtl/>
          <w:lang w:eastAsia="zh-TW"/>
        </w:rPr>
        <w:t xml:space="preserve">اً </w:t>
      </w:r>
      <w:r w:rsidR="004047EA" w:rsidRPr="00166483">
        <w:rPr>
          <w:rtl/>
          <w:lang w:eastAsia="zh-TW"/>
        </w:rPr>
        <w:t>لكل شخص يوجد على أراضيها ويخضع لولايتها إذا انتُهكت حقوقه المكفولة بالعهد. وبقبول الدولة الطرف اختصاص اللجنة في البت، في قضايا محددة، في فعالية سبيل من سبل الانتصاف المحلية، تلتزم أيض</w:t>
      </w:r>
      <w:r w:rsidR="00910D5B">
        <w:rPr>
          <w:rtl/>
          <w:lang w:eastAsia="zh-TW"/>
        </w:rPr>
        <w:t xml:space="preserve">اً </w:t>
      </w:r>
      <w:r w:rsidR="004047EA" w:rsidRPr="00166483">
        <w:rPr>
          <w:rtl/>
          <w:lang w:eastAsia="zh-TW"/>
        </w:rPr>
        <w:t>بمراعاة تعليقات اللجنة العامة. وعلى هذا، فإن دور اللجنة في نهاية المطاف يشمل تفسير أحكام العهد وتطوير الفقه القانوني. وبرفض بيلاروس الاعتراف بممارسات اللجنة المتبعة وأساليب عملها وسوابقها، ترفض في الواقع الاعتراف باختصاص اللجنة في تفسير العهد، الأمر الذي يتعارض مع الغرض الذي أنشئت اللجنة لأجله ومع أهدافها</w:t>
      </w:r>
      <w:r w:rsidR="004047EA">
        <w:rPr>
          <w:rtl/>
          <w:lang w:eastAsia="zh-TW"/>
        </w:rPr>
        <w:t xml:space="preserve"> كذلك.</w:t>
      </w:r>
      <w:smartTag w:uri="urn:schemas-microsoft-com:office:smarttags" w:element="place"/>
      <w:smartTag w:uri="urn:schemas-microsoft-com:office:smarttags" w:element="country-region"/>
    </w:p>
    <w:p w:rsidR="004047EA" w:rsidRPr="00166483" w:rsidRDefault="00351E01" w:rsidP="00351E01">
      <w:pPr>
        <w:pStyle w:val="SingleTxtGA"/>
        <w:rPr>
          <w:rtl/>
          <w:lang w:eastAsia="zh-TW"/>
        </w:rPr>
      </w:pPr>
      <w:r>
        <w:rPr>
          <w:rtl/>
          <w:lang w:eastAsia="zh-TW"/>
        </w:rPr>
        <w:t>5-3</w:t>
      </w:r>
      <w:r>
        <w:rPr>
          <w:rFonts w:hint="cs"/>
          <w:rtl/>
          <w:lang w:eastAsia="zh-TW"/>
        </w:rPr>
        <w:tab/>
      </w:r>
      <w:r w:rsidR="004047EA" w:rsidRPr="00166483">
        <w:rPr>
          <w:rtl/>
          <w:lang w:eastAsia="zh-TW"/>
        </w:rPr>
        <w:t>ويدعي صاحب البلاغ أنه لم يعد للدولة الطرف، بعد أن قبلت ولاية اللجن</w:t>
      </w:r>
      <w:r w:rsidR="004047EA">
        <w:rPr>
          <w:rtl/>
          <w:lang w:eastAsia="zh-TW"/>
        </w:rPr>
        <w:t>ة طواعية، الحق في تجاوز اختصاص هذه الأخيرة</w:t>
      </w:r>
      <w:r w:rsidR="004047EA" w:rsidRPr="00166483">
        <w:rPr>
          <w:rtl/>
          <w:lang w:eastAsia="zh-TW"/>
        </w:rPr>
        <w:t xml:space="preserve"> وتجاهل رأيها</w:t>
      </w:r>
      <w:r w:rsidR="00FE3D5A" w:rsidRPr="00FE3D5A">
        <w:rPr>
          <w:rFonts w:hint="cs"/>
          <w:vertAlign w:val="superscript"/>
          <w:rtl/>
          <w:lang w:eastAsia="zh-TW"/>
        </w:rPr>
        <w:t>(</w:t>
      </w:r>
      <w:r w:rsidR="004047EA" w:rsidRPr="00351E01">
        <w:rPr>
          <w:sz w:val="18"/>
          <w:szCs w:val="28"/>
          <w:vertAlign w:val="superscript"/>
          <w:rtl/>
          <w:lang w:eastAsia="zh-TW"/>
        </w:rPr>
        <w:footnoteReference w:id="3"/>
      </w:r>
      <w:r w:rsidR="00FE3D5A" w:rsidRPr="00FE3D5A">
        <w:rPr>
          <w:rFonts w:hint="cs"/>
          <w:vertAlign w:val="superscript"/>
          <w:rtl/>
          <w:lang w:eastAsia="zh-TW"/>
        </w:rPr>
        <w:t>)</w:t>
      </w:r>
      <w:r w:rsidR="004047EA" w:rsidRPr="00166483">
        <w:rPr>
          <w:rtl/>
          <w:lang w:eastAsia="zh-TW"/>
        </w:rPr>
        <w:t xml:space="preserve">. </w:t>
      </w:r>
      <w:r w:rsidR="004047EA">
        <w:rPr>
          <w:rtl/>
          <w:lang w:eastAsia="zh-TW"/>
        </w:rPr>
        <w:t xml:space="preserve">ثم إن الدولة الطرف </w:t>
      </w:r>
      <w:r w:rsidR="004047EA" w:rsidRPr="00166483">
        <w:rPr>
          <w:rtl/>
          <w:lang w:eastAsia="zh-TW"/>
        </w:rPr>
        <w:t xml:space="preserve">ليست ملزمة بتنفيذ قرارات اللجنة فحسب، </w:t>
      </w:r>
      <w:r w:rsidR="004047EA">
        <w:rPr>
          <w:rtl/>
          <w:lang w:eastAsia="zh-TW"/>
        </w:rPr>
        <w:t>بل</w:t>
      </w:r>
      <w:r w:rsidR="004047EA" w:rsidRPr="00166483">
        <w:rPr>
          <w:rtl/>
          <w:lang w:eastAsia="zh-TW"/>
        </w:rPr>
        <w:t xml:space="preserve"> ملزمة بالاعتراف بمعاييرها وممارساتها وأساليب عملها وسوابقها</w:t>
      </w:r>
      <w:r w:rsidR="004047EA">
        <w:rPr>
          <w:rtl/>
          <w:lang w:eastAsia="zh-TW"/>
        </w:rPr>
        <w:t xml:space="preserve"> </w:t>
      </w:r>
      <w:r w:rsidR="004047EA" w:rsidRPr="00166483">
        <w:rPr>
          <w:rtl/>
          <w:lang w:eastAsia="zh-TW"/>
        </w:rPr>
        <w:t>أيضا</w:t>
      </w:r>
      <w:r w:rsidR="00910D5B">
        <w:rPr>
          <w:rFonts w:hint="cs"/>
          <w:rtl/>
          <w:lang w:eastAsia="zh-TW"/>
        </w:rPr>
        <w:t>ً</w:t>
      </w:r>
      <w:r w:rsidR="004047EA" w:rsidRPr="00166483">
        <w:rPr>
          <w:rtl/>
          <w:lang w:eastAsia="zh-TW"/>
        </w:rPr>
        <w:t xml:space="preserve">. وتستند الحجة الواردة أعلاه إلى أهم مبدأ في القانون الدولي: العقد شريعة المتعاقدين، الذي يقضي بأن كل معاهدة نافذة ملزمة للأطراف فيها وعليها تنفيذها بحسن نية. </w:t>
      </w:r>
    </w:p>
    <w:p w:rsidR="004047EA" w:rsidRPr="00166483" w:rsidRDefault="00351E01" w:rsidP="00351E01">
      <w:pPr>
        <w:pStyle w:val="SingleTxtGA"/>
        <w:rPr>
          <w:rtl/>
          <w:lang w:eastAsia="zh-TW"/>
        </w:rPr>
      </w:pPr>
      <w:r>
        <w:rPr>
          <w:rtl/>
          <w:lang w:eastAsia="zh-TW"/>
        </w:rPr>
        <w:t>5-4</w:t>
      </w:r>
      <w:r>
        <w:rPr>
          <w:rFonts w:hint="cs"/>
          <w:rtl/>
          <w:lang w:eastAsia="zh-TW"/>
        </w:rPr>
        <w:tab/>
      </w:r>
      <w:r w:rsidR="004047EA" w:rsidRPr="00166483">
        <w:rPr>
          <w:rtl/>
          <w:lang w:eastAsia="zh-TW"/>
        </w:rPr>
        <w:t>وفيما يتعلق بالحجة القائلة إنه لم يستنفد جميع سبل الانتصاف المحلية، يفيد صاحب البلاغ بأن تلك السبل ينبغي أن تكون متاحة وفعالة وبأن السبيل الفعال، وفق</w:t>
      </w:r>
      <w:r w:rsidR="00910D5B">
        <w:rPr>
          <w:rtl/>
          <w:lang w:eastAsia="zh-TW"/>
        </w:rPr>
        <w:t xml:space="preserve">اً </w:t>
      </w:r>
      <w:r w:rsidR="004047EA" w:rsidRPr="00166483">
        <w:rPr>
          <w:rtl/>
          <w:lang w:eastAsia="zh-TW"/>
        </w:rPr>
        <w:t xml:space="preserve">لممارسة اللجنة، هو الذي ينص على منح تعويضات ويتيح فرصة معقولة لجبر الأضرار. </w:t>
      </w:r>
      <w:r w:rsidR="004047EA">
        <w:rPr>
          <w:rtl/>
          <w:lang w:eastAsia="zh-TW"/>
        </w:rPr>
        <w:t xml:space="preserve">ويشير </w:t>
      </w:r>
      <w:r w:rsidR="004047EA" w:rsidRPr="00166483">
        <w:rPr>
          <w:rtl/>
          <w:lang w:eastAsia="zh-TW"/>
        </w:rPr>
        <w:t>إلى سوابق اللجنة الثابتة القاضية بأن المراجعة القضائية الرقابية عملية تقديرية مشتركة في الجمهوريات السوفياتية السابقة، الأمر الذي لا يوفر سبيل انتصاف فعال</w:t>
      </w:r>
      <w:r w:rsidR="00910D5B">
        <w:rPr>
          <w:rtl/>
          <w:lang w:eastAsia="zh-TW"/>
        </w:rPr>
        <w:t xml:space="preserve">اً </w:t>
      </w:r>
      <w:r w:rsidR="004047EA" w:rsidRPr="00166483">
        <w:rPr>
          <w:rtl/>
          <w:lang w:eastAsia="zh-TW"/>
        </w:rPr>
        <w:t>لأغراض استنفاد سبل الانتصاف المحلية. ويؤكد أن المحكمة الأوروبية لحقوق الإنسان تستخدم معيار</w:t>
      </w:r>
      <w:r w:rsidR="00910D5B">
        <w:rPr>
          <w:rtl/>
          <w:lang w:eastAsia="zh-TW"/>
        </w:rPr>
        <w:t xml:space="preserve">اً </w:t>
      </w:r>
      <w:r w:rsidR="004047EA" w:rsidRPr="00166483">
        <w:rPr>
          <w:rtl/>
          <w:lang w:eastAsia="zh-TW"/>
        </w:rPr>
        <w:t>مماثلا</w:t>
      </w:r>
      <w:r w:rsidRPr="00351E01">
        <w:rPr>
          <w:rFonts w:hint="cs"/>
          <w:rtl/>
          <w:lang w:eastAsia="zh-TW"/>
        </w:rPr>
        <w:t>ً</w:t>
      </w:r>
      <w:r w:rsidRPr="00351E01">
        <w:rPr>
          <w:rFonts w:hint="cs"/>
          <w:vertAlign w:val="superscript"/>
          <w:rtl/>
          <w:lang w:eastAsia="zh-TW"/>
        </w:rPr>
        <w:t>(</w:t>
      </w:r>
      <w:r w:rsidR="004047EA" w:rsidRPr="00351E01">
        <w:rPr>
          <w:sz w:val="18"/>
          <w:szCs w:val="28"/>
          <w:vertAlign w:val="superscript"/>
          <w:rtl/>
          <w:lang w:eastAsia="zh-TW"/>
        </w:rPr>
        <w:footnoteReference w:id="4"/>
      </w:r>
      <w:r w:rsidRPr="00351E01">
        <w:rPr>
          <w:rFonts w:hint="cs"/>
          <w:vertAlign w:val="superscript"/>
          <w:rtl/>
          <w:lang w:eastAsia="zh-TW"/>
        </w:rPr>
        <w:t>)</w:t>
      </w:r>
      <w:r w:rsidR="004047EA" w:rsidRPr="00166483">
        <w:rPr>
          <w:rtl/>
          <w:lang w:eastAsia="zh-TW"/>
        </w:rPr>
        <w:t>. ويؤكد أيض</w:t>
      </w:r>
      <w:r w:rsidR="00910D5B">
        <w:rPr>
          <w:rtl/>
          <w:lang w:eastAsia="zh-TW"/>
        </w:rPr>
        <w:t xml:space="preserve">اً </w:t>
      </w:r>
      <w:r w:rsidR="004047EA" w:rsidRPr="00166483">
        <w:rPr>
          <w:rtl/>
          <w:lang w:eastAsia="zh-TW"/>
        </w:rPr>
        <w:t>أن عدم ف</w:t>
      </w:r>
      <w:r w:rsidR="004047EA">
        <w:rPr>
          <w:rtl/>
          <w:lang w:eastAsia="zh-TW"/>
        </w:rPr>
        <w:t>عالية سبيل الانتصاف المشار إليه</w:t>
      </w:r>
      <w:r w:rsidR="004047EA" w:rsidRPr="00166483">
        <w:rPr>
          <w:rtl/>
          <w:lang w:eastAsia="zh-TW"/>
        </w:rPr>
        <w:t xml:space="preserve"> أعلاه تأكّد في القضية الأخيرة المتعلقة بفلاديسلاف كوفاليف الذي أعدم إبان إجراء المحكمة العليا مراجعة قضائية رقابية في قضيته</w:t>
      </w:r>
      <w:r w:rsidR="004047EA">
        <w:rPr>
          <w:rtl/>
          <w:lang w:eastAsia="zh-TW"/>
        </w:rPr>
        <w:t>.</w:t>
      </w:r>
    </w:p>
    <w:p w:rsidR="004047EA" w:rsidRPr="00111F1C" w:rsidRDefault="00351E01" w:rsidP="00351E01">
      <w:pPr>
        <w:pStyle w:val="H23GA"/>
        <w:rPr>
          <w:rtl/>
        </w:rPr>
      </w:pPr>
      <w:r>
        <w:rPr>
          <w:rFonts w:hint="cs"/>
          <w:rtl/>
        </w:rPr>
        <w:tab/>
      </w:r>
      <w:r w:rsidR="004047EA" w:rsidRPr="00166483">
        <w:rPr>
          <w:rtl/>
        </w:rPr>
        <w:tab/>
      </w:r>
      <w:r w:rsidR="004047EA" w:rsidRPr="00111F1C">
        <w:rPr>
          <w:rtl/>
        </w:rPr>
        <w:t>المسائل والإجراءات المعروضة على اللجنة</w:t>
      </w:r>
    </w:p>
    <w:p w:rsidR="004047EA" w:rsidRPr="00111F1C" w:rsidRDefault="004047EA" w:rsidP="00351E01">
      <w:pPr>
        <w:pStyle w:val="H4GA"/>
        <w:rPr>
          <w:rtl/>
          <w:lang w:eastAsia="zh-TW"/>
        </w:rPr>
      </w:pPr>
      <w:r w:rsidRPr="00111F1C">
        <w:rPr>
          <w:rtl/>
          <w:lang w:eastAsia="zh-TW"/>
        </w:rPr>
        <w:tab/>
      </w:r>
      <w:r w:rsidRPr="00111F1C">
        <w:rPr>
          <w:rtl/>
          <w:lang w:eastAsia="zh-TW"/>
        </w:rPr>
        <w:tab/>
        <w:t>عدم تعاون الدولة الطرف</w:t>
      </w:r>
    </w:p>
    <w:p w:rsidR="004047EA" w:rsidRPr="00910D5B" w:rsidRDefault="00351E01" w:rsidP="00910D5B">
      <w:pPr>
        <w:pStyle w:val="SingleTxtGA"/>
        <w:rPr>
          <w:spacing w:val="-3"/>
          <w:rtl/>
          <w:lang w:eastAsia="zh-TW"/>
        </w:rPr>
      </w:pPr>
      <w:r w:rsidRPr="00910D5B">
        <w:rPr>
          <w:spacing w:val="-3"/>
          <w:rtl/>
          <w:lang w:eastAsia="zh-TW"/>
        </w:rPr>
        <w:t>6-1</w:t>
      </w:r>
      <w:r w:rsidRPr="00910D5B">
        <w:rPr>
          <w:rFonts w:hint="cs"/>
          <w:spacing w:val="-3"/>
          <w:rtl/>
          <w:lang w:eastAsia="zh-TW"/>
        </w:rPr>
        <w:tab/>
      </w:r>
      <w:r w:rsidR="004047EA" w:rsidRPr="00910D5B">
        <w:rPr>
          <w:spacing w:val="-3"/>
          <w:rtl/>
          <w:lang w:eastAsia="zh-TW"/>
        </w:rPr>
        <w:t>تحيط اللجنة علم</w:t>
      </w:r>
      <w:r w:rsidR="00910D5B" w:rsidRPr="00910D5B">
        <w:rPr>
          <w:spacing w:val="-3"/>
          <w:rtl/>
          <w:lang w:eastAsia="zh-TW"/>
        </w:rPr>
        <w:t xml:space="preserve">اً </w:t>
      </w:r>
      <w:r w:rsidR="004047EA" w:rsidRPr="00910D5B">
        <w:rPr>
          <w:spacing w:val="-3"/>
          <w:rtl/>
          <w:lang w:eastAsia="zh-TW"/>
        </w:rPr>
        <w:t>بتأكيد الدولة الطرف عدم وجود أسس قانونية للنظر في البلاغ المقدم، ما دام أنه سجل بطريقة تنتهك أحكام البروتوكول الاختياري ولأن صاحب البلاغ لم</w:t>
      </w:r>
      <w:r w:rsidR="00910D5B" w:rsidRPr="00910D5B">
        <w:rPr>
          <w:rFonts w:hint="cs"/>
          <w:spacing w:val="-3"/>
          <w:rtl/>
          <w:lang w:eastAsia="zh-TW"/>
        </w:rPr>
        <w:t> </w:t>
      </w:r>
      <w:r w:rsidR="004047EA" w:rsidRPr="00910D5B">
        <w:rPr>
          <w:spacing w:val="-3"/>
          <w:rtl/>
          <w:lang w:eastAsia="zh-TW"/>
        </w:rPr>
        <w:t>يستنفد سبل الانتصاف المحلية؛ وأنها غير ملزمة بالاعتراف بنظام اللجنة الداخلي ولا</w:t>
      </w:r>
      <w:r w:rsidR="000F4784" w:rsidRPr="00910D5B">
        <w:rPr>
          <w:rFonts w:hint="cs"/>
          <w:spacing w:val="-3"/>
          <w:rtl/>
          <w:lang w:eastAsia="zh-TW"/>
        </w:rPr>
        <w:t> </w:t>
      </w:r>
      <w:r w:rsidR="004047EA" w:rsidRPr="00910D5B">
        <w:rPr>
          <w:spacing w:val="-3"/>
          <w:rtl/>
          <w:lang w:eastAsia="zh-TW"/>
        </w:rPr>
        <w:t xml:space="preserve">بتفسيرها أحكام البروتوكول؛ وأن القرارات التي اتخذتها اللجنة في هذا البلاغ ستُعَد "باطلة". </w:t>
      </w:r>
    </w:p>
    <w:p w:rsidR="004047EA" w:rsidRPr="00166483" w:rsidRDefault="00351E01" w:rsidP="00351E01">
      <w:pPr>
        <w:pStyle w:val="SingleTxtGA"/>
        <w:rPr>
          <w:rtl/>
          <w:lang w:eastAsia="zh-TW"/>
        </w:rPr>
      </w:pPr>
      <w:r>
        <w:rPr>
          <w:rtl/>
          <w:lang w:eastAsia="zh-TW"/>
        </w:rPr>
        <w:t>6-2</w:t>
      </w:r>
      <w:r>
        <w:rPr>
          <w:rFonts w:hint="cs"/>
          <w:rtl/>
          <w:lang w:eastAsia="zh-TW"/>
        </w:rPr>
        <w:tab/>
      </w:r>
      <w:r w:rsidR="004047EA" w:rsidRPr="00166483">
        <w:rPr>
          <w:rtl/>
          <w:lang w:eastAsia="zh-TW"/>
        </w:rPr>
        <w:t>وتذكّر بأن الفقرة 2 من المادة 39 من العهد الدولي الخا</w:t>
      </w:r>
      <w:r w:rsidR="004047EA">
        <w:rPr>
          <w:rtl/>
          <w:lang w:eastAsia="zh-TW"/>
        </w:rPr>
        <w:t>ص بالحقوق المدنية والسياسية تبيح</w:t>
      </w:r>
      <w:r w:rsidR="004047EA" w:rsidRPr="00166483">
        <w:rPr>
          <w:rtl/>
          <w:lang w:eastAsia="zh-TW"/>
        </w:rPr>
        <w:t xml:space="preserve"> لها وضع نظام داخلي خاص بها، وهي مسألة وافقت الدول الأطراف على الاعتراف بها. وتلاحظ أن الدول الأطراف في العهد، بانضمامها إلى البروتوكول الاختياري، تعترف باختصاص اللجنة المعنية بحقوق الإنسان بتلقي البلاغات الواردة من الأفراد الذين يدعون أنهم ضحايا انتهاك أي من الحقوق الواردة في العهد والنظر فيها (الديباجة والمادة 1). ثم إن انضمام دولة ما إلى </w:t>
      </w:r>
      <w:r w:rsidR="004047EA">
        <w:rPr>
          <w:rtl/>
          <w:lang w:eastAsia="zh-TW"/>
        </w:rPr>
        <w:t>البروتوكول الاختياري يعني ضمني</w:t>
      </w:r>
      <w:r w:rsidR="00910D5B">
        <w:rPr>
          <w:rtl/>
          <w:lang w:eastAsia="zh-TW"/>
        </w:rPr>
        <w:t xml:space="preserve">اً </w:t>
      </w:r>
      <w:r w:rsidR="004047EA" w:rsidRPr="00166483">
        <w:rPr>
          <w:rtl/>
          <w:lang w:eastAsia="zh-TW"/>
        </w:rPr>
        <w:t>تعهدها بالتعاون مع اللجنة بحسن ن</w:t>
      </w:r>
      <w:r w:rsidR="004047EA">
        <w:rPr>
          <w:rtl/>
          <w:lang w:eastAsia="zh-TW"/>
        </w:rPr>
        <w:t>ية من أجل تخويلها</w:t>
      </w:r>
      <w:r w:rsidR="004047EA" w:rsidRPr="00166483">
        <w:rPr>
          <w:rtl/>
          <w:lang w:eastAsia="zh-TW"/>
        </w:rPr>
        <w:t xml:space="preserve"> النظر في تلك البلاغات وتمكينها من ذلك، وبإحالة آرائها إلى الدولة الطرف والفرد المعني بعد دراستها إياها (الفقرتان 1 و4 من المادة 5). </w:t>
      </w:r>
      <w:r w:rsidR="00460BAD">
        <w:rPr>
          <w:rFonts w:hint="cs"/>
          <w:rtl/>
          <w:lang w:eastAsia="zh-TW"/>
        </w:rPr>
        <w:t>و</w:t>
      </w:r>
      <w:r w:rsidR="004047EA">
        <w:rPr>
          <w:rtl/>
          <w:lang w:eastAsia="zh-TW"/>
        </w:rPr>
        <w:t xml:space="preserve">إن </w:t>
      </w:r>
      <w:r w:rsidR="004047EA" w:rsidRPr="00166483">
        <w:rPr>
          <w:rtl/>
          <w:lang w:eastAsia="zh-TW"/>
        </w:rPr>
        <w:t>اتخاذ أي إجراء قد يمنع أو يبطل نظر اللجنة في البلاغات ودراستها والإفصاح عن آرائها يتنافى مع التزامات الدولة الطرف</w:t>
      </w:r>
      <w:r w:rsidRPr="00351E01">
        <w:rPr>
          <w:rFonts w:hint="cs"/>
          <w:vertAlign w:val="superscript"/>
          <w:rtl/>
          <w:lang w:eastAsia="zh-TW"/>
        </w:rPr>
        <w:t>(</w:t>
      </w:r>
      <w:r w:rsidR="004047EA" w:rsidRPr="00351E01">
        <w:rPr>
          <w:sz w:val="18"/>
          <w:szCs w:val="28"/>
          <w:vertAlign w:val="superscript"/>
          <w:rtl/>
          <w:lang w:eastAsia="zh-TW"/>
        </w:rPr>
        <w:footnoteReference w:id="5"/>
      </w:r>
      <w:r w:rsidRPr="00351E01">
        <w:rPr>
          <w:rFonts w:hint="cs"/>
          <w:vertAlign w:val="superscript"/>
          <w:rtl/>
          <w:lang w:eastAsia="zh-TW"/>
        </w:rPr>
        <w:t>)</w:t>
      </w:r>
      <w:r w:rsidR="004047EA" w:rsidRPr="00166483">
        <w:rPr>
          <w:rtl/>
          <w:lang w:eastAsia="zh-TW"/>
        </w:rPr>
        <w:t xml:space="preserve">. </w:t>
      </w:r>
      <w:r w:rsidR="004047EA">
        <w:rPr>
          <w:rtl/>
          <w:lang w:eastAsia="zh-TW"/>
        </w:rPr>
        <w:t>ف</w:t>
      </w:r>
      <w:r w:rsidR="004047EA" w:rsidRPr="00166483">
        <w:rPr>
          <w:rtl/>
          <w:lang w:eastAsia="zh-TW"/>
        </w:rPr>
        <w:t xml:space="preserve">اللجنة هي وحدها الجهة التي تقرر ما إذا كان ينبغي تسجيل بلاغ </w:t>
      </w:r>
      <w:r w:rsidR="004047EA">
        <w:rPr>
          <w:rtl/>
          <w:lang w:eastAsia="zh-TW"/>
        </w:rPr>
        <w:t>من البلاغات</w:t>
      </w:r>
      <w:r w:rsidR="004047EA" w:rsidRPr="00166483">
        <w:rPr>
          <w:rtl/>
          <w:lang w:eastAsia="zh-TW"/>
        </w:rPr>
        <w:t xml:space="preserve"> أو لا. إن</w:t>
      </w:r>
      <w:r w:rsidR="004047EA">
        <w:rPr>
          <w:rtl/>
          <w:lang w:eastAsia="zh-TW"/>
        </w:rPr>
        <w:t xml:space="preserve"> عدم قبول الدولة الطرف</w:t>
      </w:r>
      <w:r w:rsidR="004047EA" w:rsidRPr="00166483">
        <w:rPr>
          <w:rtl/>
          <w:lang w:eastAsia="zh-TW"/>
        </w:rPr>
        <w:t xml:space="preserve"> اختصاص اللجنة في ما</w:t>
      </w:r>
      <w:r w:rsidR="004047EA">
        <w:rPr>
          <w:rtl/>
          <w:lang w:eastAsia="zh-TW"/>
        </w:rPr>
        <w:t xml:space="preserve"> إذا كان بلاغ ما يجب أن يُسجل، و</w:t>
      </w:r>
      <w:r w:rsidR="00910D5B">
        <w:rPr>
          <w:rtl/>
          <w:lang w:eastAsia="zh-TW"/>
        </w:rPr>
        <w:t>إعلانها رأس</w:t>
      </w:r>
      <w:r w:rsidR="004047EA" w:rsidRPr="00166483">
        <w:rPr>
          <w:rtl/>
          <w:lang w:eastAsia="zh-TW"/>
        </w:rPr>
        <w:t>ا</w:t>
      </w:r>
      <w:r w:rsidR="00910D5B">
        <w:rPr>
          <w:rFonts w:hint="cs"/>
          <w:rtl/>
          <w:lang w:eastAsia="zh-TW"/>
        </w:rPr>
        <w:t>ً</w:t>
      </w:r>
      <w:r w:rsidR="004047EA" w:rsidRPr="00166483">
        <w:rPr>
          <w:rtl/>
          <w:lang w:eastAsia="zh-TW"/>
        </w:rPr>
        <w:t xml:space="preserve"> أنها لن تقبل قرار اللجنة بشأن مقبولية البلاغ وأسسه الموضوعية</w:t>
      </w:r>
      <w:r w:rsidR="004047EA">
        <w:rPr>
          <w:rtl/>
          <w:lang w:eastAsia="zh-TW"/>
        </w:rPr>
        <w:t>، يخلان</w:t>
      </w:r>
      <w:r w:rsidR="004047EA" w:rsidRPr="00166483">
        <w:rPr>
          <w:rtl/>
          <w:lang w:eastAsia="zh-TW"/>
        </w:rPr>
        <w:t xml:space="preserve"> بالتزاماتها بموجب المادة 1 من البروتوكول الاختياري الملحق بالعهد الدولي الخاص بالحقوق المدنية والسياسية</w:t>
      </w:r>
      <w:r w:rsidRPr="00351E01">
        <w:rPr>
          <w:rFonts w:hint="cs"/>
          <w:vertAlign w:val="superscript"/>
          <w:rtl/>
          <w:lang w:eastAsia="zh-TW"/>
        </w:rPr>
        <w:t>(</w:t>
      </w:r>
      <w:r w:rsidR="004047EA" w:rsidRPr="00351E01">
        <w:rPr>
          <w:sz w:val="18"/>
          <w:szCs w:val="28"/>
          <w:vertAlign w:val="superscript"/>
          <w:rtl/>
          <w:lang w:eastAsia="zh-TW"/>
        </w:rPr>
        <w:footnoteReference w:id="6"/>
      </w:r>
      <w:r w:rsidRPr="00351E01">
        <w:rPr>
          <w:rFonts w:hint="cs"/>
          <w:vertAlign w:val="superscript"/>
          <w:rtl/>
          <w:lang w:eastAsia="zh-TW"/>
        </w:rPr>
        <w:t>)</w:t>
      </w:r>
      <w:r w:rsidR="004047EA">
        <w:rPr>
          <w:rtl/>
          <w:lang w:eastAsia="zh-TW"/>
        </w:rPr>
        <w:t>.</w:t>
      </w:r>
    </w:p>
    <w:p w:rsidR="004047EA" w:rsidRPr="00D71A23" w:rsidRDefault="004047EA" w:rsidP="00351E01">
      <w:pPr>
        <w:pStyle w:val="H4GA"/>
        <w:rPr>
          <w:rtl/>
        </w:rPr>
      </w:pPr>
      <w:r w:rsidRPr="00D71A23">
        <w:rPr>
          <w:rtl/>
        </w:rPr>
        <w:tab/>
      </w:r>
      <w:r w:rsidRPr="00D71A23">
        <w:rPr>
          <w:rtl/>
        </w:rPr>
        <w:tab/>
        <w:t>النظر في المقبولية</w:t>
      </w:r>
    </w:p>
    <w:p w:rsidR="004047EA" w:rsidRPr="00166483" w:rsidRDefault="00351E01" w:rsidP="00F608D6">
      <w:pPr>
        <w:pStyle w:val="SingleTxtGA"/>
        <w:rPr>
          <w:rtl/>
          <w:lang w:eastAsia="zh-TW"/>
        </w:rPr>
      </w:pPr>
      <w:r>
        <w:rPr>
          <w:rtl/>
          <w:lang w:eastAsia="zh-TW"/>
        </w:rPr>
        <w:t>7-1</w:t>
      </w:r>
      <w:r>
        <w:rPr>
          <w:rFonts w:hint="cs"/>
          <w:rtl/>
          <w:lang w:eastAsia="zh-TW"/>
        </w:rPr>
        <w:tab/>
      </w:r>
      <w:r w:rsidR="004047EA" w:rsidRPr="00166483">
        <w:rPr>
          <w:rtl/>
          <w:lang w:eastAsia="zh-TW"/>
        </w:rPr>
        <w:t>قبل النظر في أي ادعاء يرد في بلاغ من البلاغات، يتعين على اللجنة المعنية بحقوق الإنسان، وفقاً للمادة 93 من نظامها الداخلي، أن تُقرر م</w:t>
      </w:r>
      <w:r w:rsidR="004047EA">
        <w:rPr>
          <w:rtl/>
          <w:lang w:eastAsia="zh-TW"/>
        </w:rPr>
        <w:t xml:space="preserve">ا إذا كان البلاغ مقبولاً </w:t>
      </w:r>
      <w:r w:rsidR="00F608D6">
        <w:rPr>
          <w:rFonts w:hint="cs"/>
          <w:rtl/>
          <w:lang w:eastAsia="zh-TW"/>
        </w:rPr>
        <w:t xml:space="preserve">أو </w:t>
      </w:r>
      <w:r w:rsidR="004047EA">
        <w:rPr>
          <w:rtl/>
          <w:lang w:eastAsia="zh-TW"/>
        </w:rPr>
        <w:t xml:space="preserve">لا </w:t>
      </w:r>
      <w:r w:rsidR="004047EA" w:rsidRPr="00166483">
        <w:rPr>
          <w:rtl/>
          <w:lang w:eastAsia="zh-TW"/>
        </w:rPr>
        <w:t xml:space="preserve">بموجب البروتوكول الاختياري الملحق بالعهد. </w:t>
      </w:r>
    </w:p>
    <w:p w:rsidR="004047EA" w:rsidRPr="00166483" w:rsidRDefault="00351E01" w:rsidP="00F608D6">
      <w:pPr>
        <w:pStyle w:val="SingleTxtGA"/>
        <w:rPr>
          <w:rtl/>
          <w:lang w:eastAsia="zh-TW"/>
        </w:rPr>
      </w:pPr>
      <w:r>
        <w:rPr>
          <w:rtl/>
          <w:lang w:eastAsia="zh-TW"/>
        </w:rPr>
        <w:t>7-2</w:t>
      </w:r>
      <w:r>
        <w:rPr>
          <w:rFonts w:hint="cs"/>
          <w:rtl/>
          <w:lang w:eastAsia="zh-TW"/>
        </w:rPr>
        <w:tab/>
      </w:r>
      <w:r w:rsidR="004047EA" w:rsidRPr="00166483">
        <w:rPr>
          <w:rtl/>
          <w:lang w:eastAsia="zh-TW"/>
        </w:rPr>
        <w:t xml:space="preserve">وتيقنت اللجنة، وفق ما تقتضيه الفقرة 2(أ) من المادة 5 من البروتوكول الاختياري، من أن المسألة </w:t>
      </w:r>
      <w:r w:rsidR="00F608D6">
        <w:rPr>
          <w:rFonts w:hint="cs"/>
          <w:rtl/>
          <w:lang w:eastAsia="zh-TW"/>
        </w:rPr>
        <w:t xml:space="preserve">ذاتها </w:t>
      </w:r>
      <w:r w:rsidR="004047EA" w:rsidRPr="00166483">
        <w:rPr>
          <w:rtl/>
          <w:lang w:eastAsia="zh-TW"/>
        </w:rPr>
        <w:t xml:space="preserve">ليست قيد النظر في إطار إجراء آخر للتحقيق أو التسوية الدولية. </w:t>
      </w:r>
    </w:p>
    <w:p w:rsidR="004047EA" w:rsidRPr="00166483" w:rsidRDefault="00351E01" w:rsidP="00351E01">
      <w:pPr>
        <w:pStyle w:val="SingleTxtGA"/>
        <w:rPr>
          <w:rtl/>
          <w:lang w:eastAsia="zh-TW"/>
        </w:rPr>
      </w:pPr>
      <w:r>
        <w:rPr>
          <w:rtl/>
          <w:lang w:eastAsia="zh-TW"/>
        </w:rPr>
        <w:t>7-3</w:t>
      </w:r>
      <w:r>
        <w:rPr>
          <w:rFonts w:hint="cs"/>
          <w:rtl/>
          <w:lang w:eastAsia="zh-TW"/>
        </w:rPr>
        <w:tab/>
      </w:r>
      <w:r w:rsidR="004047EA" w:rsidRPr="00166483">
        <w:rPr>
          <w:rtl/>
          <w:lang w:eastAsia="zh-TW"/>
        </w:rPr>
        <w:t>وتحيط اللجنة علماً بطعن الدولة الطرف في مقبولية البلاغ على أساس عدم استنفاد سبل الانتصاف المحلية، أي عدم تقديم صاحب البلاغ التماس</w:t>
      </w:r>
      <w:r w:rsidR="00910D5B">
        <w:rPr>
          <w:rtl/>
          <w:lang w:eastAsia="zh-TW"/>
        </w:rPr>
        <w:t xml:space="preserve">اً </w:t>
      </w:r>
      <w:r w:rsidR="004047EA" w:rsidRPr="00166483">
        <w:rPr>
          <w:rtl/>
          <w:lang w:eastAsia="zh-TW"/>
        </w:rPr>
        <w:t>إلى رئيس المحكمة العليا أو إلى النيابة العامة أو إلى مكاتب رؤساء مكاتب النيابة العامة لإجراء مراجعة قضائية رقابية للقرارات التي اتخذتها المحاكم التي حظرت المظاهرة. وتذكّر باجتهاداتها التي تفيد بأن التماس مراجعة قضائية رقابية من النيابة العامة لحكم له حجية الأمر المقضي به ليس سبيل</w:t>
      </w:r>
      <w:r w:rsidR="00910D5B">
        <w:rPr>
          <w:rtl/>
          <w:lang w:eastAsia="zh-TW"/>
        </w:rPr>
        <w:t xml:space="preserve">اً </w:t>
      </w:r>
      <w:r w:rsidR="004047EA" w:rsidRPr="00166483">
        <w:rPr>
          <w:rtl/>
          <w:lang w:eastAsia="zh-TW"/>
        </w:rPr>
        <w:t>فعال</w:t>
      </w:r>
      <w:r w:rsidR="00910D5B">
        <w:rPr>
          <w:rtl/>
          <w:lang w:eastAsia="zh-TW"/>
        </w:rPr>
        <w:t xml:space="preserve">اً </w:t>
      </w:r>
      <w:r w:rsidR="004047EA" w:rsidRPr="00166483">
        <w:rPr>
          <w:rtl/>
          <w:lang w:eastAsia="zh-TW"/>
        </w:rPr>
        <w:t>للانتصاف ينبغي استنفاده لأغراض الفقرة 2(ب) من المادة 5 من البروتوكول الاختياري. وترى أن طلب إجراء مراجعة قضائية رقابية إلى رئيس المحكمة بشأن قرار قضائي دخل حيز النفاذ سبيلُ انتصاف استثنائي يتوقف على السلطات التقديرية للقاضي، وينبغي للدولة الطرف أن تثبت وجود احتمال معقول أن يترتب على طلب من هذا القبيل انتصاف فعال في القضية موضع النظر</w:t>
      </w:r>
      <w:r w:rsidRPr="00351E01">
        <w:rPr>
          <w:rFonts w:hint="cs"/>
          <w:vertAlign w:val="superscript"/>
          <w:rtl/>
          <w:lang w:eastAsia="zh-TW"/>
        </w:rPr>
        <w:t>(</w:t>
      </w:r>
      <w:r w:rsidR="004047EA" w:rsidRPr="00351E01">
        <w:rPr>
          <w:rStyle w:val="FootnoteReference"/>
          <w:rtl/>
          <w:lang w:eastAsia="zh-TW"/>
        </w:rPr>
        <w:footnoteReference w:id="7"/>
      </w:r>
      <w:r w:rsidRPr="00351E01">
        <w:rPr>
          <w:rFonts w:hint="cs"/>
          <w:vertAlign w:val="superscript"/>
          <w:rtl/>
          <w:lang w:eastAsia="zh-TW"/>
        </w:rPr>
        <w:t>)</w:t>
      </w:r>
      <w:r w:rsidR="004047EA" w:rsidRPr="00166483">
        <w:rPr>
          <w:rtl/>
          <w:lang w:eastAsia="zh-TW"/>
        </w:rPr>
        <w:t>. لكن الدولة الطرف لم تبين ما إذا كانت طلبات المراجعة القضائية الرقابية من رئيس المحكمة العليا بشأن الحق في حرية التجمع تكللت بالنجاح أم لا، وكم عددها. وعلى هذا، تخلص اللجنة إلى أن الفقرة 2(ب) من المادة 5 من البروتوكول الاختياري لا تمنعها من النظر في البلاغ</w:t>
      </w:r>
      <w:r w:rsidR="004047EA">
        <w:rPr>
          <w:rtl/>
          <w:lang w:eastAsia="zh-TW"/>
        </w:rPr>
        <w:t>.</w:t>
      </w:r>
    </w:p>
    <w:p w:rsidR="004047EA" w:rsidRPr="00166483" w:rsidRDefault="00351E01" w:rsidP="00351E01">
      <w:pPr>
        <w:pStyle w:val="SingleTxtGA"/>
        <w:rPr>
          <w:rtl/>
          <w:lang w:eastAsia="zh-TW"/>
        </w:rPr>
      </w:pPr>
      <w:r>
        <w:rPr>
          <w:rtl/>
          <w:lang w:eastAsia="zh-TW"/>
        </w:rPr>
        <w:t>7-4</w:t>
      </w:r>
      <w:r>
        <w:rPr>
          <w:rFonts w:hint="cs"/>
          <w:rtl/>
          <w:lang w:eastAsia="zh-TW"/>
        </w:rPr>
        <w:tab/>
      </w:r>
      <w:r w:rsidR="004047EA" w:rsidRPr="00166483">
        <w:rPr>
          <w:rtl/>
          <w:lang w:eastAsia="zh-TW"/>
        </w:rPr>
        <w:t>وتحيط علم</w:t>
      </w:r>
      <w:r w:rsidR="00910D5B">
        <w:rPr>
          <w:rtl/>
          <w:lang w:eastAsia="zh-TW"/>
        </w:rPr>
        <w:t xml:space="preserve">اً </w:t>
      </w:r>
      <w:r w:rsidR="004047EA">
        <w:rPr>
          <w:rtl/>
          <w:lang w:eastAsia="zh-TW"/>
        </w:rPr>
        <w:t>أيض</w:t>
      </w:r>
      <w:r w:rsidR="00910D5B">
        <w:rPr>
          <w:rtl/>
          <w:lang w:eastAsia="zh-TW"/>
        </w:rPr>
        <w:t xml:space="preserve">اً </w:t>
      </w:r>
      <w:r w:rsidR="004047EA" w:rsidRPr="00166483">
        <w:rPr>
          <w:rtl/>
          <w:lang w:eastAsia="zh-TW"/>
        </w:rPr>
        <w:t>بادعاء صاحب البلاغ أن الدولة الطرف أخلت بالتزاماتها بموجب الفقرة 2 من المادة 2 من العهد، مقترنة بالمادة 21، لأنها لم تعتمد القوانين وغيرها من التدابير اللازمة لإعمال الحقوق المعترف بها في المادة 21 من العهد. وتذكّر باجتهاداتها السابقة التي تشير إلى أن أحكام المادة 2 من العهد، ا</w:t>
      </w:r>
      <w:r w:rsidR="004047EA">
        <w:rPr>
          <w:rtl/>
          <w:lang w:eastAsia="zh-TW"/>
        </w:rPr>
        <w:t xml:space="preserve">لتي </w:t>
      </w:r>
      <w:r w:rsidR="004047EA" w:rsidRPr="00166483">
        <w:rPr>
          <w:rtl/>
          <w:lang w:eastAsia="zh-TW"/>
        </w:rPr>
        <w:t>تنص على التزام عام يقع على عاتق الدول الأطراف</w:t>
      </w:r>
      <w:r w:rsidR="004047EA">
        <w:rPr>
          <w:rtl/>
          <w:lang w:eastAsia="zh-TW"/>
        </w:rPr>
        <w:t>،</w:t>
      </w:r>
      <w:r w:rsidR="004047EA" w:rsidRPr="00166483">
        <w:rPr>
          <w:rtl/>
          <w:lang w:eastAsia="zh-TW"/>
        </w:rPr>
        <w:t xml:space="preserve"> لا يمكن أن ينشأ عنها، عند الاحتجاج بها منفردة</w:t>
      </w:r>
      <w:r w:rsidR="004047EA">
        <w:rPr>
          <w:rtl/>
          <w:lang w:eastAsia="zh-TW"/>
        </w:rPr>
        <w:t>ً</w:t>
      </w:r>
      <w:r w:rsidR="004047EA" w:rsidRPr="00166483">
        <w:rPr>
          <w:rtl/>
          <w:lang w:eastAsia="zh-TW"/>
        </w:rPr>
        <w:t>، مطال</w:t>
      </w:r>
      <w:r w:rsidR="004047EA">
        <w:rPr>
          <w:rtl/>
          <w:lang w:eastAsia="zh-TW"/>
        </w:rPr>
        <w:t>َ</w:t>
      </w:r>
      <w:r w:rsidR="004047EA" w:rsidRPr="00166483">
        <w:rPr>
          <w:rtl/>
          <w:lang w:eastAsia="zh-TW"/>
        </w:rPr>
        <w:t>بة</w:t>
      </w:r>
      <w:r w:rsidR="004047EA">
        <w:rPr>
          <w:rtl/>
          <w:lang w:eastAsia="zh-TW"/>
        </w:rPr>
        <w:t xml:space="preserve"> في</w:t>
      </w:r>
      <w:r w:rsidR="004047EA" w:rsidRPr="00166483">
        <w:rPr>
          <w:rtl/>
          <w:lang w:eastAsia="zh-TW"/>
        </w:rPr>
        <w:t xml:space="preserve"> بلاغ بموجب البروتوكول الاختياري</w:t>
      </w:r>
      <w:r w:rsidRPr="00351E01">
        <w:rPr>
          <w:rFonts w:hint="cs"/>
          <w:vertAlign w:val="superscript"/>
          <w:rtl/>
          <w:lang w:eastAsia="zh-TW"/>
        </w:rPr>
        <w:t>(</w:t>
      </w:r>
      <w:r w:rsidR="004047EA" w:rsidRPr="00351E01">
        <w:rPr>
          <w:rStyle w:val="FootnoteReference"/>
          <w:rtl/>
          <w:lang w:eastAsia="zh-TW"/>
        </w:rPr>
        <w:footnoteReference w:id="8"/>
      </w:r>
      <w:r w:rsidRPr="00351E01">
        <w:rPr>
          <w:rFonts w:hint="cs"/>
          <w:vertAlign w:val="superscript"/>
          <w:rtl/>
          <w:lang w:eastAsia="zh-TW"/>
        </w:rPr>
        <w:t>)</w:t>
      </w:r>
      <w:r w:rsidR="004047EA" w:rsidRPr="00166483">
        <w:rPr>
          <w:rtl/>
          <w:lang w:eastAsia="zh-TW"/>
        </w:rPr>
        <w:t>. وترى أنه لا يمكن الاحتجاج بأحكام المادة 2 باعتبارها مطالبة في بلاغ بمقتضى البروتوكول الاختياري مقترنةً بأحكام أخرى من العهد إلا إذا كان عدم تقيّد الدولة الطرف بالتزاماتها في إطار المادة 2 هو السبب</w:t>
      </w:r>
      <w:r w:rsidR="004047EA">
        <w:rPr>
          <w:rtl/>
          <w:lang w:eastAsia="zh-TW"/>
        </w:rPr>
        <w:t xml:space="preserve"> القريب</w:t>
      </w:r>
      <w:r w:rsidR="004047EA" w:rsidRPr="00166483">
        <w:rPr>
          <w:rtl/>
          <w:lang w:eastAsia="zh-TW"/>
        </w:rPr>
        <w:t xml:space="preserve"> </w:t>
      </w:r>
      <w:r w:rsidR="004047EA">
        <w:rPr>
          <w:rtl/>
          <w:lang w:eastAsia="zh-TW"/>
        </w:rPr>
        <w:t>ل</w:t>
      </w:r>
      <w:r w:rsidR="004047EA" w:rsidRPr="00166483">
        <w:rPr>
          <w:rtl/>
          <w:lang w:eastAsia="zh-TW"/>
        </w:rPr>
        <w:t xml:space="preserve">لانتهاك </w:t>
      </w:r>
      <w:r w:rsidR="004047EA">
        <w:rPr>
          <w:rtl/>
          <w:lang w:eastAsia="zh-TW"/>
        </w:rPr>
        <w:t>ال</w:t>
      </w:r>
      <w:r w:rsidR="004047EA" w:rsidRPr="00166483">
        <w:rPr>
          <w:rtl/>
          <w:lang w:eastAsia="zh-TW"/>
        </w:rPr>
        <w:t>منفصل للعهد</w:t>
      </w:r>
      <w:r w:rsidR="004047EA">
        <w:rPr>
          <w:rtl/>
          <w:lang w:eastAsia="zh-TW"/>
        </w:rPr>
        <w:t>،</w:t>
      </w:r>
      <w:r w:rsidR="004047EA" w:rsidRPr="00166483">
        <w:rPr>
          <w:rtl/>
          <w:lang w:eastAsia="zh-TW"/>
        </w:rPr>
        <w:t xml:space="preserve"> الذي يؤثر مباشرة في الشخص الذي يدعي أنه ضحية. لكن اللجنة تلاحظ أن صاحب البلاغ سبق أن ادعى انتهاك حقوقه المنصوص عليها في المادة 21</w:t>
      </w:r>
      <w:r w:rsidR="004047EA">
        <w:rPr>
          <w:rtl/>
          <w:lang w:eastAsia="zh-TW"/>
        </w:rPr>
        <w:t>،</w:t>
      </w:r>
      <w:r w:rsidR="004047EA" w:rsidRPr="00166483">
        <w:rPr>
          <w:rtl/>
          <w:lang w:eastAsia="zh-TW"/>
        </w:rPr>
        <w:t xml:space="preserve"> وهذا الانتهاك ناجم عن تفسير وتطبيق القوانين القائمة للدولة الطرف، ولا ترى اللجنة دراسة ما إذا كانت الدولة الطرف انتهكت أيض</w:t>
      </w:r>
      <w:r w:rsidR="00910D5B">
        <w:rPr>
          <w:rtl/>
          <w:lang w:eastAsia="zh-TW"/>
        </w:rPr>
        <w:t xml:space="preserve">اً </w:t>
      </w:r>
      <w:r w:rsidR="004047EA" w:rsidRPr="00166483">
        <w:rPr>
          <w:rtl/>
          <w:lang w:eastAsia="zh-TW"/>
        </w:rPr>
        <w:t xml:space="preserve">التزاماتها العامة المنصوص عليها في الفقرة 2 من المادة 2 من العهد، مقترنةً بالمادة 21، منفصلةً عن دراسة انتهاك حقوق صاحب البلاغ المنصوص عليها في المادة 21 من العهد. وعليه، ترى أن ادعاءات صاحب البلاغ في هذا السياق لا تتوافق مع المادة 2 </w:t>
      </w:r>
      <w:r w:rsidR="004047EA">
        <w:rPr>
          <w:rtl/>
          <w:lang w:eastAsia="zh-TW"/>
        </w:rPr>
        <w:t xml:space="preserve">من العهد، وهي من ثم </w:t>
      </w:r>
      <w:r w:rsidR="004047EA" w:rsidRPr="00166483">
        <w:rPr>
          <w:rtl/>
          <w:lang w:eastAsia="zh-TW"/>
        </w:rPr>
        <w:t xml:space="preserve">غير مقبولة بموجب المادة 3 من البروتوكول الاختياري. </w:t>
      </w:r>
    </w:p>
    <w:p w:rsidR="004047EA" w:rsidRPr="00166483" w:rsidRDefault="004047EA" w:rsidP="00351E01">
      <w:pPr>
        <w:pStyle w:val="SingleTxtGA"/>
        <w:rPr>
          <w:rtl/>
          <w:lang w:eastAsia="zh-TW"/>
        </w:rPr>
      </w:pPr>
      <w:r w:rsidRPr="00166483">
        <w:rPr>
          <w:rtl/>
          <w:lang w:eastAsia="zh-TW"/>
        </w:rPr>
        <w:t>7</w:t>
      </w:r>
      <w:r>
        <w:rPr>
          <w:rtl/>
          <w:lang w:eastAsia="zh-TW"/>
        </w:rPr>
        <w:t>-</w:t>
      </w:r>
      <w:r w:rsidR="00351E01">
        <w:rPr>
          <w:rtl/>
          <w:lang w:eastAsia="zh-TW"/>
        </w:rPr>
        <w:t>5</w:t>
      </w:r>
      <w:r w:rsidR="00351E01">
        <w:rPr>
          <w:rFonts w:hint="cs"/>
          <w:rtl/>
          <w:lang w:eastAsia="zh-TW"/>
        </w:rPr>
        <w:tab/>
      </w:r>
      <w:r w:rsidRPr="00166483">
        <w:rPr>
          <w:rtl/>
          <w:lang w:eastAsia="zh-TW"/>
        </w:rPr>
        <w:t xml:space="preserve">وترى اللجنة أن صاحب البلاغ دعم ادعاءه بأدلة كافية بموجب المادة 21 من العهد لأغراض المقبولية. وبناءً عليه، تعلن مقبولية هذا الجزء من البلاغ وتشرع في النظر في أسسه الموضوعية. </w:t>
      </w:r>
    </w:p>
    <w:p w:rsidR="004047EA" w:rsidRPr="00A00EE5" w:rsidRDefault="004047EA" w:rsidP="00351E01">
      <w:pPr>
        <w:pStyle w:val="H4GA"/>
        <w:rPr>
          <w:rtl/>
          <w:lang w:eastAsia="zh-TW"/>
        </w:rPr>
      </w:pPr>
      <w:r w:rsidRPr="00166483">
        <w:rPr>
          <w:rtl/>
          <w:lang w:eastAsia="zh-TW"/>
        </w:rPr>
        <w:tab/>
      </w:r>
      <w:r w:rsidRPr="00A00EE5">
        <w:rPr>
          <w:rtl/>
          <w:lang w:eastAsia="zh-TW"/>
        </w:rPr>
        <w:tab/>
        <w:t>النظر في الأسس الموضوعية</w:t>
      </w:r>
    </w:p>
    <w:p w:rsidR="004047EA" w:rsidRPr="00166483" w:rsidRDefault="00351E01" w:rsidP="00351E01">
      <w:pPr>
        <w:pStyle w:val="SingleTxtGA"/>
        <w:rPr>
          <w:rtl/>
          <w:lang w:eastAsia="zh-TW"/>
        </w:rPr>
      </w:pPr>
      <w:r>
        <w:rPr>
          <w:rtl/>
          <w:lang w:eastAsia="zh-TW"/>
        </w:rPr>
        <w:t>8-1</w:t>
      </w:r>
      <w:r>
        <w:rPr>
          <w:rFonts w:hint="cs"/>
          <w:rtl/>
          <w:lang w:eastAsia="zh-TW"/>
        </w:rPr>
        <w:tab/>
      </w:r>
      <w:r w:rsidR="004047EA" w:rsidRPr="00166483">
        <w:rPr>
          <w:rtl/>
          <w:lang w:eastAsia="zh-TW"/>
        </w:rPr>
        <w:t xml:space="preserve">نظرت اللجنة المعنية بحقوق الإنسان في البلاغ في ضوء جميع المعلومات التي أتاحها لها الأطراف، على النحو المنصوص عليه في الفقرة 1 من المادة 5 من البروتوكول الاختياري. </w:t>
      </w:r>
    </w:p>
    <w:p w:rsidR="004047EA" w:rsidRPr="00166483" w:rsidRDefault="00351E01" w:rsidP="00243E96">
      <w:pPr>
        <w:pStyle w:val="SingleTxtGA"/>
        <w:rPr>
          <w:rtl/>
          <w:lang w:eastAsia="zh-TW"/>
        </w:rPr>
      </w:pPr>
      <w:r>
        <w:rPr>
          <w:rtl/>
          <w:lang w:eastAsia="zh-TW"/>
        </w:rPr>
        <w:t>8-2</w:t>
      </w:r>
      <w:r>
        <w:rPr>
          <w:rFonts w:hint="cs"/>
          <w:rtl/>
          <w:lang w:eastAsia="zh-TW"/>
        </w:rPr>
        <w:tab/>
      </w:r>
      <w:r w:rsidR="004047EA" w:rsidRPr="00166483">
        <w:rPr>
          <w:rtl/>
          <w:lang w:eastAsia="zh-TW"/>
        </w:rPr>
        <w:t>وتحيط علم</w:t>
      </w:r>
      <w:r w:rsidR="00910D5B">
        <w:rPr>
          <w:rtl/>
          <w:lang w:eastAsia="zh-TW"/>
        </w:rPr>
        <w:t xml:space="preserve">اً </w:t>
      </w:r>
      <w:r w:rsidR="004047EA" w:rsidRPr="00166483">
        <w:rPr>
          <w:rtl/>
          <w:lang w:eastAsia="zh-TW"/>
        </w:rPr>
        <w:t xml:space="preserve">بادعاء صاحب البلاغ أن حقه في حرية </w:t>
      </w:r>
      <w:r w:rsidR="004047EA">
        <w:rPr>
          <w:rtl/>
          <w:lang w:eastAsia="zh-TW"/>
        </w:rPr>
        <w:t>التجمع قُيد دون مبرر مقبول بمقتضى</w:t>
      </w:r>
      <w:r w:rsidR="004047EA" w:rsidRPr="00166483">
        <w:rPr>
          <w:rtl/>
          <w:lang w:eastAsia="zh-TW"/>
        </w:rPr>
        <w:t xml:space="preserve"> المادة 21 من العهد، لأن طلبه تنظيم مظاهرة رفض للأسباب التالية: عدم تحديد الطريقة التي ستنظم بها المظاهرة؛ وعدم وجود تعهدات خطية من الدوائر المعنية في الإدارة المحلية </w:t>
      </w:r>
      <w:r w:rsidR="00243E96">
        <w:rPr>
          <w:rFonts w:hint="cs"/>
          <w:rtl/>
          <w:lang w:eastAsia="zh-TW"/>
        </w:rPr>
        <w:t xml:space="preserve">لضمان </w:t>
      </w:r>
      <w:r w:rsidR="004047EA" w:rsidRPr="00166483">
        <w:rPr>
          <w:rtl/>
          <w:lang w:eastAsia="zh-TW"/>
        </w:rPr>
        <w:t>النظام العام وتوفير الرعاية الطبية أثناء المظاهرة وما يستتبع هذه الأخيرة من تنظيف للمنطقة التي ستلتئم فيها</w:t>
      </w:r>
      <w:r w:rsidR="004047EA">
        <w:rPr>
          <w:rtl/>
          <w:lang w:eastAsia="zh-TW"/>
        </w:rPr>
        <w:t xml:space="preserve"> المظاهرة</w:t>
      </w:r>
      <w:r w:rsidR="004047EA" w:rsidRPr="00166483">
        <w:rPr>
          <w:rtl/>
          <w:lang w:eastAsia="zh-TW"/>
        </w:rPr>
        <w:t>. وتذكّر اللجنة بأن فرض أي قيود على الحق في التجمع السلمي يجب أن يتوافق مع القانون وأن يكون ضروري</w:t>
      </w:r>
      <w:r w:rsidR="00910D5B">
        <w:rPr>
          <w:rtl/>
          <w:lang w:eastAsia="zh-TW"/>
        </w:rPr>
        <w:t xml:space="preserve">اً </w:t>
      </w:r>
      <w:r w:rsidR="004047EA" w:rsidRPr="00166483">
        <w:rPr>
          <w:rtl/>
          <w:lang w:eastAsia="zh-TW"/>
        </w:rPr>
        <w:t>في مجتمع ديمقراطي لأحد الأغراض المحددة في العهد، أي ال</w:t>
      </w:r>
      <w:r w:rsidR="004047EA">
        <w:rPr>
          <w:rtl/>
          <w:lang w:eastAsia="zh-TW"/>
        </w:rPr>
        <w:t xml:space="preserve">أمن القومي أو السلامة العامة أو </w:t>
      </w:r>
      <w:r w:rsidR="004047EA" w:rsidRPr="00166483">
        <w:rPr>
          <w:rtl/>
          <w:lang w:eastAsia="zh-TW"/>
        </w:rPr>
        <w:t>النظام العام أو حماية الصحة العامة أو الآداب العامة أو حماية حقوق الآخرين وحرياتهم. وتلاحظ أنه لا يمكن اعتبار الإفراط في التدخل في الحق المحمي بموجب المادة 21 من العهد "ضروريا"</w:t>
      </w:r>
      <w:r w:rsidRPr="00351E01">
        <w:rPr>
          <w:rFonts w:hint="cs"/>
          <w:vertAlign w:val="superscript"/>
          <w:rtl/>
          <w:lang w:eastAsia="zh-TW"/>
        </w:rPr>
        <w:t>(</w:t>
      </w:r>
      <w:r w:rsidR="004047EA" w:rsidRPr="00351E01">
        <w:rPr>
          <w:sz w:val="18"/>
          <w:szCs w:val="28"/>
          <w:vertAlign w:val="superscript"/>
          <w:rtl/>
          <w:lang w:eastAsia="zh-TW"/>
        </w:rPr>
        <w:footnoteReference w:id="9"/>
      </w:r>
      <w:r w:rsidRPr="00351E01">
        <w:rPr>
          <w:rFonts w:hint="cs"/>
          <w:vertAlign w:val="superscript"/>
          <w:rtl/>
          <w:lang w:eastAsia="zh-TW"/>
        </w:rPr>
        <w:t>)</w:t>
      </w:r>
      <w:r w:rsidR="004047EA">
        <w:rPr>
          <w:rtl/>
          <w:lang w:eastAsia="zh-TW"/>
        </w:rPr>
        <w:t>.</w:t>
      </w:r>
    </w:p>
    <w:p w:rsidR="004047EA" w:rsidRPr="00166483" w:rsidRDefault="00351E01" w:rsidP="00D94F63">
      <w:pPr>
        <w:pStyle w:val="SingleTxtGA"/>
        <w:rPr>
          <w:rtl/>
          <w:lang w:eastAsia="zh-TW"/>
        </w:rPr>
      </w:pPr>
      <w:r>
        <w:rPr>
          <w:rtl/>
          <w:lang w:eastAsia="zh-TW"/>
        </w:rPr>
        <w:t>8-3</w:t>
      </w:r>
      <w:r>
        <w:rPr>
          <w:rFonts w:hint="cs"/>
          <w:rtl/>
          <w:lang w:eastAsia="zh-TW"/>
        </w:rPr>
        <w:tab/>
      </w:r>
      <w:r w:rsidR="004047EA" w:rsidRPr="00166483">
        <w:rPr>
          <w:rtl/>
          <w:lang w:eastAsia="zh-TW"/>
        </w:rPr>
        <w:t>وتلاحظ أن القيود المفروضة على ح</w:t>
      </w:r>
      <w:r w:rsidR="004047EA">
        <w:rPr>
          <w:rtl/>
          <w:lang w:eastAsia="zh-TW"/>
        </w:rPr>
        <w:t xml:space="preserve">رية صاحب البلاغ في التجمع </w:t>
      </w:r>
      <w:r w:rsidR="004047EA" w:rsidRPr="00166483">
        <w:rPr>
          <w:rtl/>
          <w:lang w:eastAsia="zh-TW"/>
        </w:rPr>
        <w:t>تستند إلى أحكام القانون المحلي وتشتمل على شروط عسيرة: الحصول على ثلاثة تعهدات خطية منفصلة من ثلاثة أقسام إدارية مختلفة، الأمر الذي ربما تحوّل معه حق صاحب البلاغ في التظاهر إلى مجرد وهم. لكن الدولة الطرف لم تقدم أي حجج على أن تلك الشروط ضرورية لتحقيق الأمن القومي أو السلامة العامة أو النظام العام أو حماية الصحة العامة أو الآداب العامة أو حماية حقوق الآخرين وحرياتهم. ثم إنها لم تبين كيف يكون رفض طلب التظاهر تدخل</w:t>
      </w:r>
      <w:r w:rsidR="00910D5B">
        <w:rPr>
          <w:rtl/>
          <w:lang w:eastAsia="zh-TW"/>
        </w:rPr>
        <w:t xml:space="preserve">اً </w:t>
      </w:r>
      <w:r w:rsidR="004047EA" w:rsidRPr="00166483">
        <w:rPr>
          <w:rtl/>
          <w:lang w:eastAsia="zh-TW"/>
        </w:rPr>
        <w:t>يتناسب مع الحق في التجمع السلمي، أي أنه أقل تدابير التدخل حدة لتحقيق الغرض الذي تتوخاه الدولة الطرف وأنه يتناسب مع المصالح التي تسعى الدولة الطرف إلى حمايتها</w:t>
      </w:r>
      <w:r w:rsidRPr="00351E01">
        <w:rPr>
          <w:rFonts w:hint="cs"/>
          <w:vertAlign w:val="superscript"/>
          <w:rtl/>
          <w:lang w:eastAsia="zh-TW"/>
        </w:rPr>
        <w:t>(</w:t>
      </w:r>
      <w:r w:rsidR="004047EA" w:rsidRPr="00351E01">
        <w:rPr>
          <w:sz w:val="18"/>
          <w:szCs w:val="28"/>
          <w:vertAlign w:val="superscript"/>
          <w:rtl/>
          <w:lang w:eastAsia="zh-TW"/>
        </w:rPr>
        <w:footnoteReference w:id="10"/>
      </w:r>
      <w:r w:rsidRPr="00351E01">
        <w:rPr>
          <w:rFonts w:hint="cs"/>
          <w:vertAlign w:val="superscript"/>
          <w:rtl/>
          <w:lang w:eastAsia="zh-TW"/>
        </w:rPr>
        <w:t>)</w:t>
      </w:r>
      <w:r w:rsidR="004047EA" w:rsidRPr="00166483">
        <w:rPr>
          <w:rtl/>
          <w:lang w:eastAsia="zh-TW"/>
        </w:rPr>
        <w:t xml:space="preserve">. فهي، على سبيل المثال، لم </w:t>
      </w:r>
      <w:r w:rsidR="00243E96">
        <w:rPr>
          <w:rFonts w:hint="cs"/>
          <w:rtl/>
          <w:lang w:eastAsia="zh-TW"/>
        </w:rPr>
        <w:t xml:space="preserve">تُعلل </w:t>
      </w:r>
      <w:r w:rsidR="004047EA" w:rsidRPr="00166483">
        <w:rPr>
          <w:rtl/>
          <w:lang w:eastAsia="zh-TW"/>
        </w:rPr>
        <w:t>حرمان صاحب البلاغ فرصة تعديل طلبه الأصلي وإضافة تفاصيل لم</w:t>
      </w:r>
      <w:r w:rsidR="00D94F63">
        <w:rPr>
          <w:rFonts w:hint="cs"/>
          <w:rtl/>
          <w:lang w:eastAsia="zh-TW"/>
        </w:rPr>
        <w:t> </w:t>
      </w:r>
      <w:r w:rsidR="004047EA" w:rsidRPr="00166483">
        <w:rPr>
          <w:rtl/>
          <w:lang w:eastAsia="zh-TW"/>
        </w:rPr>
        <w:t xml:space="preserve">تحدَّد فيه بالكامل. وبناء على ذلك، تستنج اللجنة أن الوقائع المعروضة عليها تثبت حدوث انتهاك لحقوق صاحب البلاغ </w:t>
      </w:r>
      <w:r w:rsidR="00243E96">
        <w:rPr>
          <w:rFonts w:hint="cs"/>
          <w:rtl/>
          <w:lang w:eastAsia="zh-TW"/>
        </w:rPr>
        <w:t xml:space="preserve">التي تكفلها </w:t>
      </w:r>
      <w:r w:rsidR="004047EA" w:rsidRPr="00166483">
        <w:rPr>
          <w:rtl/>
          <w:lang w:eastAsia="zh-TW"/>
        </w:rPr>
        <w:t>المادة 21 من العهد</w:t>
      </w:r>
      <w:r w:rsidRPr="00351E01">
        <w:rPr>
          <w:rFonts w:hint="cs"/>
          <w:vertAlign w:val="superscript"/>
          <w:rtl/>
          <w:lang w:eastAsia="zh-TW"/>
        </w:rPr>
        <w:t>(</w:t>
      </w:r>
      <w:r w:rsidR="004047EA" w:rsidRPr="00351E01">
        <w:rPr>
          <w:sz w:val="18"/>
          <w:szCs w:val="28"/>
          <w:vertAlign w:val="superscript"/>
          <w:rtl/>
          <w:lang w:eastAsia="zh-TW"/>
        </w:rPr>
        <w:footnoteReference w:id="11"/>
      </w:r>
      <w:r w:rsidRPr="00351E01">
        <w:rPr>
          <w:rFonts w:hint="cs"/>
          <w:vertAlign w:val="superscript"/>
          <w:rtl/>
          <w:lang w:eastAsia="zh-TW"/>
        </w:rPr>
        <w:t>)</w:t>
      </w:r>
      <w:r w:rsidR="004047EA">
        <w:rPr>
          <w:rtl/>
          <w:lang w:eastAsia="zh-TW"/>
        </w:rPr>
        <w:t>.</w:t>
      </w:r>
    </w:p>
    <w:p w:rsidR="004047EA" w:rsidRPr="00166483" w:rsidRDefault="004047EA" w:rsidP="00351E01">
      <w:pPr>
        <w:pStyle w:val="SingleTxtGA"/>
        <w:rPr>
          <w:rtl/>
          <w:lang w:eastAsia="zh-TW"/>
        </w:rPr>
      </w:pPr>
      <w:r w:rsidRPr="00937221">
        <w:rPr>
          <w:rFonts w:hint="cs"/>
          <w:sz w:val="30"/>
          <w:rtl/>
          <w:lang w:eastAsia="zh-TW"/>
        </w:rPr>
        <w:t>٩</w:t>
      </w:r>
      <w:r w:rsidRPr="00166483">
        <w:rPr>
          <w:rtl/>
        </w:rPr>
        <w:t>-</w:t>
      </w:r>
      <w:r>
        <w:rPr>
          <w:rtl/>
        </w:rPr>
        <w:tab/>
      </w:r>
      <w:r w:rsidRPr="00166483">
        <w:rPr>
          <w:rtl/>
          <w:lang w:eastAsia="zh-TW"/>
        </w:rPr>
        <w:t xml:space="preserve">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بيلاروس حقوق صاحب البلاغ بموجب المادة 7 من العهد. </w:t>
      </w:r>
      <w:r>
        <w:rPr>
          <w:rtl/>
          <w:lang w:eastAsia="zh-TW"/>
        </w:rPr>
        <w:t>وأخلت</w:t>
      </w:r>
      <w:r w:rsidRPr="00166483">
        <w:rPr>
          <w:rtl/>
          <w:lang w:eastAsia="zh-TW"/>
        </w:rPr>
        <w:t xml:space="preserve"> الدولة الطرف أيضاً </w:t>
      </w:r>
      <w:r>
        <w:rPr>
          <w:rtl/>
          <w:lang w:eastAsia="zh-TW"/>
        </w:rPr>
        <w:t>ب</w:t>
      </w:r>
      <w:r w:rsidRPr="00166483">
        <w:rPr>
          <w:rtl/>
          <w:lang w:eastAsia="zh-TW"/>
        </w:rPr>
        <w:t xml:space="preserve">التزاماتها </w:t>
      </w:r>
      <w:r>
        <w:rPr>
          <w:rtl/>
          <w:lang w:eastAsia="zh-TW"/>
        </w:rPr>
        <w:t>المنصوص عليها في</w:t>
      </w:r>
      <w:r w:rsidRPr="00166483">
        <w:rPr>
          <w:rtl/>
          <w:lang w:eastAsia="zh-TW"/>
        </w:rPr>
        <w:t xml:space="preserve"> المادة 1 من البروتوكول الاختياري الملحق بالعهد. </w:t>
      </w:r>
    </w:p>
    <w:p w:rsidR="004047EA" w:rsidRPr="00166483" w:rsidRDefault="00351E01" w:rsidP="00243E96">
      <w:pPr>
        <w:pStyle w:val="SingleTxtGA"/>
        <w:rPr>
          <w:rtl/>
          <w:lang w:eastAsia="zh-TW"/>
        </w:rPr>
      </w:pPr>
      <w:r>
        <w:rPr>
          <w:rtl/>
          <w:lang w:eastAsia="zh-TW"/>
        </w:rPr>
        <w:t>10-</w:t>
      </w:r>
      <w:r>
        <w:rPr>
          <w:rFonts w:hint="cs"/>
          <w:rtl/>
          <w:lang w:eastAsia="zh-TW"/>
        </w:rPr>
        <w:tab/>
      </w:r>
      <w:r w:rsidR="004047EA">
        <w:rPr>
          <w:rtl/>
          <w:lang w:eastAsia="zh-TW"/>
        </w:rPr>
        <w:t>وعمل</w:t>
      </w:r>
      <w:r w:rsidR="00910D5B">
        <w:rPr>
          <w:rtl/>
          <w:lang w:eastAsia="zh-TW"/>
        </w:rPr>
        <w:t xml:space="preserve">اً </w:t>
      </w:r>
      <w:r w:rsidR="004047EA">
        <w:rPr>
          <w:rtl/>
          <w:lang w:eastAsia="zh-TW"/>
        </w:rPr>
        <w:t>با</w:t>
      </w:r>
      <w:r w:rsidR="004047EA" w:rsidRPr="00166483">
        <w:rPr>
          <w:rtl/>
          <w:lang w:eastAsia="zh-TW"/>
        </w:rPr>
        <w:t xml:space="preserve">لفقرة 3(أ) من المادة 2 من العهد، على الدولة الطرف أن توفر لصاحب البلاغ سبيل انتصاف فعالاً يشمل التعويض، إضافة إلى سداد ما تكبده من نفقات قضائية. وتدعو اللجنة الدولة الطرف إلى أن تعيد النظر في تشريعاتها المتصلة بتنظيم </w:t>
      </w:r>
      <w:r w:rsidR="00243E96">
        <w:rPr>
          <w:rFonts w:hint="cs"/>
          <w:rtl/>
          <w:lang w:eastAsia="zh-TW"/>
        </w:rPr>
        <w:t>التظاهرات</w:t>
      </w:r>
      <w:r w:rsidR="004047EA" w:rsidRPr="00166483">
        <w:rPr>
          <w:rtl/>
          <w:lang w:eastAsia="zh-TW"/>
        </w:rPr>
        <w:t xml:space="preserve"> العامة بغية مواءمتها مع متطلبات المادة 21 من العهد. وينبغي</w:t>
      </w:r>
      <w:r w:rsidR="004047EA">
        <w:rPr>
          <w:rtl/>
          <w:lang w:eastAsia="zh-TW"/>
        </w:rPr>
        <w:t xml:space="preserve"> أيض</w:t>
      </w:r>
      <w:r w:rsidR="00910D5B">
        <w:rPr>
          <w:rtl/>
          <w:lang w:eastAsia="zh-TW"/>
        </w:rPr>
        <w:t xml:space="preserve">اً </w:t>
      </w:r>
      <w:r w:rsidR="004047EA" w:rsidRPr="00166483">
        <w:rPr>
          <w:rtl/>
          <w:lang w:eastAsia="zh-TW"/>
        </w:rPr>
        <w:t xml:space="preserve">أن تحرص على عدم حدوث انتهاكات مماثلة مستقبلاً. </w:t>
      </w:r>
    </w:p>
    <w:p w:rsidR="004047EA" w:rsidRDefault="00351E01" w:rsidP="00351E01">
      <w:pPr>
        <w:pStyle w:val="SingleTxtGA"/>
        <w:rPr>
          <w:rFonts w:hint="cs"/>
          <w:rtl/>
          <w:lang w:eastAsia="zh-TW"/>
        </w:rPr>
      </w:pPr>
      <w:r>
        <w:rPr>
          <w:rtl/>
          <w:lang w:eastAsia="zh-TW"/>
        </w:rPr>
        <w:t>11-</w:t>
      </w:r>
      <w:r>
        <w:rPr>
          <w:rFonts w:hint="cs"/>
          <w:rtl/>
          <w:lang w:eastAsia="zh-TW"/>
        </w:rPr>
        <w:tab/>
      </w:r>
      <w:r w:rsidR="004047EA" w:rsidRPr="00166483">
        <w:rPr>
          <w:rtl/>
          <w:lang w:eastAsia="zh-TW"/>
        </w:rPr>
        <w:t xml:space="preserve">وإذ تضع اللجنة في اعتبارها أن الدولة الطرف اعترفت، بانضمامها إلى البروتوكول الاختياري، بأن اللجنة مختصة في تحديد ما إذا كان هناك انتهاك للعهد أو لا وأنها التزمت، وفقاً للمادة 2 من العهد، بضمان الحقوق المعترف بها فيه لجميع الأفراد المقيمين في أراضيها أو الخاضعين لولايتها وبتأمين سبل انتصاف فعالة وواجبة التنفيذ عند ثبوت انتهاك، فإنها تود أن تتلقى من الدولة الطرف، في غضون 180 يوماً، معلومات عن التدابير </w:t>
      </w:r>
      <w:r w:rsidR="004047EA">
        <w:rPr>
          <w:rtl/>
          <w:lang w:eastAsia="zh-TW"/>
        </w:rPr>
        <w:t>التي اتخذتها</w:t>
      </w:r>
      <w:r w:rsidR="004047EA" w:rsidRPr="00166483">
        <w:rPr>
          <w:rtl/>
          <w:lang w:eastAsia="zh-TW"/>
        </w:rPr>
        <w:t xml:space="preserve"> لوضع هذه الآراء موضع التنفيذ. ومطلوبٌ منها أيض</w:t>
      </w:r>
      <w:r w:rsidR="00910D5B">
        <w:rPr>
          <w:rtl/>
          <w:lang w:eastAsia="zh-TW"/>
        </w:rPr>
        <w:t xml:space="preserve">اً </w:t>
      </w:r>
      <w:r w:rsidR="004047EA" w:rsidRPr="00166483">
        <w:rPr>
          <w:rtl/>
          <w:lang w:eastAsia="zh-TW"/>
        </w:rPr>
        <w:t xml:space="preserve">أن تنشر هذه الآراء وتعمّمها على نطاق واسع في الدولة الطرف باللغتين البيلاروسية والروسية. </w:t>
      </w:r>
      <w:bookmarkStart w:id="0" w:name="_GoBack"/>
      <w:bookmarkEnd w:id="0"/>
    </w:p>
    <w:p w:rsidR="004047EA" w:rsidRPr="004047EA" w:rsidRDefault="004047EA" w:rsidP="00D94F63">
      <w:pPr>
        <w:jc w:val="center"/>
        <w:rPr>
          <w:rFonts w:hint="cs"/>
          <w:u w:val="single"/>
          <w:rtl/>
          <w:lang w:eastAsia="zh-TW"/>
        </w:rPr>
      </w:pPr>
      <w:r>
        <w:rPr>
          <w:u w:val="single"/>
          <w:rtl/>
          <w:lang w:eastAsia="zh-TW"/>
        </w:rPr>
        <w:tab/>
      </w:r>
      <w:r>
        <w:rPr>
          <w:u w:val="single"/>
          <w:rtl/>
          <w:lang w:eastAsia="zh-TW"/>
        </w:rPr>
        <w:tab/>
      </w:r>
      <w:r>
        <w:rPr>
          <w:u w:val="single"/>
          <w:rtl/>
          <w:lang w:eastAsia="zh-TW"/>
        </w:rPr>
        <w:tab/>
      </w:r>
    </w:p>
    <w:sectPr w:rsidR="004047EA" w:rsidRPr="004047E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98" w:rsidRPr="00FE6865" w:rsidRDefault="00455298" w:rsidP="00FE6865">
      <w:pPr>
        <w:pStyle w:val="Footer"/>
      </w:pPr>
    </w:p>
  </w:endnote>
  <w:endnote w:type="continuationSeparator" w:id="0">
    <w:p w:rsidR="00455298" w:rsidRDefault="00455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EA" w:rsidRPr="004047EA" w:rsidRDefault="004047EA" w:rsidP="004047EA">
    <w:pPr>
      <w:pStyle w:val="Footer"/>
      <w:tabs>
        <w:tab w:val="right" w:pos="9598"/>
      </w:tabs>
    </w:pPr>
    <w:r>
      <w:t>GE.14-14532</w:t>
    </w:r>
    <w:r>
      <w:tab/>
    </w:r>
    <w:r w:rsidRPr="004047EA">
      <w:rPr>
        <w:b/>
        <w:sz w:val="18"/>
      </w:rPr>
      <w:fldChar w:fldCharType="begin"/>
    </w:r>
    <w:r w:rsidRPr="004047EA">
      <w:rPr>
        <w:b/>
        <w:sz w:val="18"/>
      </w:rPr>
      <w:instrText xml:space="preserve"> PAGE  \* MERGEFORMAT </w:instrText>
    </w:r>
    <w:r w:rsidRPr="004047EA">
      <w:rPr>
        <w:b/>
        <w:sz w:val="18"/>
      </w:rPr>
      <w:fldChar w:fldCharType="separate"/>
    </w:r>
    <w:r w:rsidR="00E971BA">
      <w:rPr>
        <w:b/>
        <w:noProof/>
        <w:sz w:val="18"/>
      </w:rPr>
      <w:t>2</w:t>
    </w:r>
    <w:r w:rsidRPr="004047E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EA" w:rsidRPr="004047EA" w:rsidRDefault="004047EA" w:rsidP="004047EA">
    <w:pPr>
      <w:pStyle w:val="Footer"/>
      <w:tabs>
        <w:tab w:val="right" w:pos="9598"/>
      </w:tabs>
      <w:rPr>
        <w:b/>
        <w:sz w:val="18"/>
      </w:rPr>
    </w:pPr>
    <w:r w:rsidRPr="004047EA">
      <w:rPr>
        <w:b/>
        <w:sz w:val="18"/>
      </w:rPr>
      <w:fldChar w:fldCharType="begin"/>
    </w:r>
    <w:r w:rsidRPr="004047EA">
      <w:rPr>
        <w:b/>
        <w:sz w:val="18"/>
      </w:rPr>
      <w:instrText xml:space="preserve"> PAGE  \* MERGEFORMAT </w:instrText>
    </w:r>
    <w:r w:rsidRPr="004047EA">
      <w:rPr>
        <w:b/>
        <w:sz w:val="18"/>
      </w:rPr>
      <w:fldChar w:fldCharType="separate"/>
    </w:r>
    <w:r w:rsidR="00E971BA">
      <w:rPr>
        <w:b/>
        <w:noProof/>
        <w:sz w:val="18"/>
      </w:rPr>
      <w:t>3</w:t>
    </w:r>
    <w:r w:rsidRPr="004047EA">
      <w:rPr>
        <w:b/>
        <w:sz w:val="18"/>
      </w:rPr>
      <w:fldChar w:fldCharType="end"/>
    </w:r>
    <w:r>
      <w:rPr>
        <w:b/>
        <w:sz w:val="18"/>
      </w:rPr>
      <w:tab/>
    </w:r>
    <w:r>
      <w:t>GE.14-14532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EA" w:rsidRDefault="004047EA" w:rsidP="004047EA">
    <w:pPr>
      <w:pStyle w:val="Footer"/>
      <w:jc w:val="right"/>
    </w:pPr>
    <w:r>
      <w:rPr>
        <w:sz w:val="20"/>
      </w:rPr>
      <w:t>(A)   GE.14-14532</w:t>
    </w:r>
    <w:r w:rsidR="00C67BE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271014    271014</w:t>
    </w:r>
    <w:r w:rsidR="00E971BA">
      <w:br/>
    </w:r>
    <w:r w:rsidR="00E971BA" w:rsidRPr="00E971BA">
      <w:rPr>
        <w:rFonts w:ascii="C39T30Lfz" w:hAnsi="C39T30Lfz"/>
        <w:sz w:val="56"/>
      </w:rPr>
      <w:t></w:t>
    </w:r>
    <w:r w:rsidR="00E971BA" w:rsidRPr="00E971BA">
      <w:rPr>
        <w:rFonts w:ascii="C39T30Lfz" w:hAnsi="C39T30Lfz"/>
        <w:sz w:val="56"/>
      </w:rPr>
      <w:t></w:t>
    </w:r>
    <w:r w:rsidR="00E971BA" w:rsidRPr="00E971BA">
      <w:rPr>
        <w:rFonts w:ascii="C39T30Lfz" w:hAnsi="C39T30Lfz"/>
        <w:sz w:val="56"/>
      </w:rPr>
      <w:t></w:t>
    </w:r>
    <w:r w:rsidR="00E971BA" w:rsidRPr="00E971BA">
      <w:rPr>
        <w:rFonts w:ascii="C39T30Lfz" w:hAnsi="C39T30Lfz"/>
        <w:sz w:val="56"/>
      </w:rPr>
      <w:t></w:t>
    </w:r>
    <w:r w:rsidR="00E971BA" w:rsidRPr="00E971BA">
      <w:rPr>
        <w:rFonts w:ascii="C39T30Lfz" w:hAnsi="C39T30Lfz"/>
        <w:sz w:val="56"/>
      </w:rPr>
      <w:t></w:t>
    </w:r>
    <w:r w:rsidR="00E971BA" w:rsidRPr="00E971BA">
      <w:rPr>
        <w:rFonts w:ascii="C39T30Lfz" w:hAnsi="C39T30Lfz"/>
        <w:sz w:val="56"/>
      </w:rPr>
      <w:t></w:t>
    </w:r>
    <w:r w:rsidR="00E971BA" w:rsidRPr="00E971BA">
      <w:rPr>
        <w:rFonts w:ascii="C39T30Lfz" w:hAnsi="C39T30Lfz"/>
        <w:sz w:val="56"/>
      </w:rPr>
      <w:t></w:t>
    </w:r>
    <w:r w:rsidR="00E971BA" w:rsidRPr="00E971BA">
      <w:rPr>
        <w:rFonts w:ascii="C39T30Lfz" w:hAnsi="C39T30Lfz"/>
        <w:sz w:val="56"/>
      </w:rPr>
      <w:t></w:t>
    </w:r>
    <w:r w:rsidR="00E971BA" w:rsidRPr="00E971BA">
      <w:rPr>
        <w:rFonts w:ascii="C39T30Lfz" w:hAnsi="C39T30Lfz"/>
        <w:sz w:val="56"/>
      </w:rPr>
      <w:t></w:t>
    </w:r>
    <w:r w:rsidR="00E971BA">
      <w:rPr>
        <w:rFonts w:ascii="C39T30Lfz" w:hAnsi="C39T30Lfz"/>
        <w:sz w:val="56"/>
      </w:rPr>
      <w:tab/>
    </w:r>
    <w:r w:rsidR="00E971BA">
      <w:rPr>
        <w:noProof/>
        <w:lang w:val="en-US"/>
      </w:rPr>
      <w:pict>
        <v:shape id="_x0000_s2054" type="#_x0000_t75" style="position:absolute;left:0;text-align:left;margin-left:.05pt;margin-top:0;width:50.25pt;height:50.25pt;z-index:3;mso-position-horizontal-relative:text;mso-position-vertical-relative:text" o:allowincell="f">
          <v:imagedata r:id="rId2" o:title="201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98" w:rsidRDefault="00455298" w:rsidP="007E4686">
      <w:pPr>
        <w:pStyle w:val="Footer"/>
        <w:bidi/>
        <w:spacing w:after="80" w:line="200" w:lineRule="exact"/>
        <w:ind w:left="680"/>
      </w:pPr>
      <w:r>
        <w:rPr>
          <w:rFonts w:hint="cs"/>
          <w:rtl/>
        </w:rPr>
        <w:t>__________</w:t>
      </w:r>
    </w:p>
  </w:footnote>
  <w:footnote w:type="continuationSeparator" w:id="0">
    <w:p w:rsidR="00455298" w:rsidRDefault="00455298" w:rsidP="007E4686">
      <w:pPr>
        <w:pStyle w:val="Footer"/>
        <w:bidi/>
        <w:spacing w:after="80" w:line="200" w:lineRule="exact"/>
        <w:ind w:left="680"/>
      </w:pPr>
      <w:r>
        <w:rPr>
          <w:rFonts w:hint="cs"/>
          <w:rtl/>
        </w:rPr>
        <w:t>__________</w:t>
      </w:r>
    </w:p>
  </w:footnote>
  <w:footnote w:id="1">
    <w:p w:rsidR="00FE3D5A" w:rsidRPr="00FE3D5A" w:rsidRDefault="00FE3D5A" w:rsidP="00FE3D5A">
      <w:pPr>
        <w:pStyle w:val="footnoteText0"/>
        <w:rPr>
          <w:rtl/>
        </w:rPr>
      </w:pPr>
      <w:r>
        <w:rPr>
          <w:rtl/>
        </w:rPr>
        <w:tab/>
      </w:r>
      <w:r w:rsidRPr="00FE3D5A">
        <w:rPr>
          <w:rStyle w:val="FootnoteReference"/>
          <w:sz w:val="20"/>
          <w:vertAlign w:val="baseline"/>
          <w:rtl/>
        </w:rPr>
        <w:t>*</w:t>
      </w:r>
      <w:r>
        <w:rPr>
          <w:rtl/>
        </w:rPr>
        <w:tab/>
      </w:r>
      <w:r w:rsidRPr="00FE3D5A">
        <w:rPr>
          <w:rtl/>
        </w:rPr>
        <w:t>شارك في دراسة هذا البلاغ أعضاء اللجنة التالية أسماؤهم: السيد عياض بن عاشور، والسيد لزهري بوزيد، والسيدة كريستين شانيه، والسيد كورنيليس فلينترمان، والسيد يوجي إواساوا، والسيد فالتر كالين، والسيدة زونكي زانيلي ماجودينا، والسيد جيرالد ل. نيومان، والسير نايجل رودلي، والسيد فيكتور مانويل رودريغيس - ريسيا، والسيد فابيان عمر سالفيولي، والسيد ديروجلال سيتولسينغ، والسيدة أنيا زايبرت - فوهر، والسيد يوفال شاني، والسيد كونستانتين فاردزيلاشفيلي، والسيد مارغو واترفال، والسيد أندري بول زلاتيسكو.</w:t>
      </w:r>
    </w:p>
  </w:footnote>
  <w:footnote w:id="2">
    <w:p w:rsidR="004047EA" w:rsidRPr="00FE3D5A" w:rsidRDefault="004047EA" w:rsidP="00FE3D5A">
      <w:pPr>
        <w:pStyle w:val="FootnoteText"/>
        <w:numPr>
          <w:ilvl w:val="0"/>
          <w:numId w:val="40"/>
        </w:numPr>
        <w:tabs>
          <w:tab w:val="clear" w:pos="587"/>
          <w:tab w:val="num" w:pos="1253"/>
          <w:tab w:val="right" w:pos="9639"/>
        </w:tabs>
        <w:spacing w:after="60" w:line="300" w:lineRule="exact"/>
        <w:ind w:left="1248" w:right="1247"/>
        <w:textDirection w:val="tbRlV"/>
        <w:rPr>
          <w:sz w:val="18"/>
          <w:szCs w:val="26"/>
        </w:rPr>
      </w:pPr>
      <w:r w:rsidRPr="00FE3D5A">
        <w:rPr>
          <w:sz w:val="18"/>
          <w:szCs w:val="26"/>
          <w:rtl/>
          <w:lang w:eastAsia="zh-TW"/>
        </w:rPr>
        <w:t xml:space="preserve">دخل البروتوكول الاختياري حيز النفاذ بالنسبة لبيلاروس في 30 كانون الأول/ديسمبر 1992. </w:t>
      </w:r>
    </w:p>
  </w:footnote>
  <w:footnote w:id="3">
    <w:p w:rsidR="004047EA" w:rsidRPr="00FE3D5A" w:rsidRDefault="004047EA" w:rsidP="00FE3D5A">
      <w:pPr>
        <w:pStyle w:val="FootnoteText"/>
        <w:numPr>
          <w:ilvl w:val="0"/>
          <w:numId w:val="40"/>
        </w:numPr>
        <w:tabs>
          <w:tab w:val="clear" w:pos="587"/>
          <w:tab w:val="num" w:pos="1253"/>
          <w:tab w:val="right" w:pos="9639"/>
        </w:tabs>
        <w:spacing w:after="60" w:line="300" w:lineRule="exact"/>
        <w:ind w:left="1248" w:right="1247"/>
        <w:textDirection w:val="tbRlV"/>
        <w:rPr>
          <w:sz w:val="18"/>
          <w:szCs w:val="26"/>
        </w:rPr>
      </w:pPr>
      <w:r w:rsidRPr="00FE3D5A">
        <w:rPr>
          <w:sz w:val="18"/>
          <w:szCs w:val="26"/>
          <w:rtl/>
          <w:lang w:eastAsia="zh-TW"/>
        </w:rPr>
        <w:t xml:space="preserve">يشير صاحب البلاغ إلى تعليق اللجنة العام رقم 33 (2008) بشأن التزامات الدول الأطراف بموجب البروتوكول الاختياري الملحق بالعهد الدولي الخاص بالحقوق المدنية والسياسية، الفقرات 11-13. </w:t>
      </w:r>
    </w:p>
  </w:footnote>
  <w:footnote w:id="4">
    <w:p w:rsidR="004047EA" w:rsidRPr="00FE3D5A" w:rsidRDefault="004047EA" w:rsidP="00FE3D5A">
      <w:pPr>
        <w:pStyle w:val="FootnoteText"/>
        <w:numPr>
          <w:ilvl w:val="0"/>
          <w:numId w:val="40"/>
        </w:numPr>
        <w:tabs>
          <w:tab w:val="clear" w:pos="587"/>
          <w:tab w:val="num" w:pos="1253"/>
          <w:tab w:val="right" w:pos="9639"/>
        </w:tabs>
        <w:spacing w:after="60" w:line="300" w:lineRule="exact"/>
        <w:ind w:left="1248" w:right="1247"/>
        <w:textDirection w:val="tbRlV"/>
        <w:rPr>
          <w:sz w:val="18"/>
          <w:szCs w:val="26"/>
        </w:rPr>
      </w:pPr>
      <w:r w:rsidRPr="00FE3D5A">
        <w:rPr>
          <w:sz w:val="18"/>
          <w:szCs w:val="26"/>
          <w:rtl/>
          <w:lang w:eastAsia="zh-TW"/>
        </w:rPr>
        <w:t xml:space="preserve">انظر المحكمة الأوروبية لحقوق الإنسان، </w:t>
      </w:r>
      <w:r w:rsidRPr="000F4784">
        <w:rPr>
          <w:i/>
          <w:iCs/>
          <w:sz w:val="18"/>
          <w:szCs w:val="26"/>
          <w:rtl/>
          <w:lang w:eastAsia="zh-TW"/>
        </w:rPr>
        <w:t>توميلوفيتش ضد روسيا</w:t>
      </w:r>
      <w:r w:rsidRPr="00FE3D5A">
        <w:rPr>
          <w:sz w:val="18"/>
          <w:szCs w:val="26"/>
          <w:rtl/>
          <w:lang w:eastAsia="zh-TW"/>
        </w:rPr>
        <w:t xml:space="preserve">، الطلب رقم 47033/99، المقرر المتعلق بالمقبولية المؤرخ 22 حزيران/يونيه 1999. </w:t>
      </w:r>
    </w:p>
  </w:footnote>
  <w:footnote w:id="5">
    <w:p w:rsidR="004047EA" w:rsidRPr="000F4784" w:rsidRDefault="004047EA" w:rsidP="000F4784">
      <w:pPr>
        <w:pStyle w:val="FootnoteText"/>
        <w:numPr>
          <w:ilvl w:val="0"/>
          <w:numId w:val="40"/>
        </w:numPr>
        <w:tabs>
          <w:tab w:val="clear" w:pos="587"/>
          <w:tab w:val="num" w:pos="1253"/>
          <w:tab w:val="right" w:pos="9639"/>
        </w:tabs>
        <w:spacing w:after="60" w:line="300" w:lineRule="exact"/>
        <w:ind w:left="1248" w:right="1247"/>
        <w:textDirection w:val="tbRlV"/>
        <w:rPr>
          <w:spacing w:val="-4"/>
          <w:sz w:val="18"/>
          <w:szCs w:val="26"/>
        </w:rPr>
      </w:pPr>
      <w:r w:rsidRPr="000F4784">
        <w:rPr>
          <w:spacing w:val="-4"/>
          <w:sz w:val="18"/>
          <w:szCs w:val="26"/>
          <w:rtl/>
          <w:lang w:eastAsia="zh-TW"/>
        </w:rPr>
        <w:t xml:space="preserve">انظر البلاغ رقم 869/1999، </w:t>
      </w:r>
      <w:r w:rsidRPr="000F4784">
        <w:rPr>
          <w:i/>
          <w:iCs/>
          <w:spacing w:val="-4"/>
          <w:sz w:val="18"/>
          <w:szCs w:val="26"/>
          <w:rtl/>
          <w:lang w:eastAsia="zh-TW"/>
        </w:rPr>
        <w:t>بيانديونغ وآخرون ضد الفلبين</w:t>
      </w:r>
      <w:r w:rsidRPr="000F4784">
        <w:rPr>
          <w:spacing w:val="-4"/>
          <w:sz w:val="18"/>
          <w:szCs w:val="26"/>
          <w:rtl/>
          <w:lang w:eastAsia="zh-TW"/>
        </w:rPr>
        <w:t>، الآراء المعتمدة في 19 تشرين الأول/</w:t>
      </w:r>
      <w:r w:rsidR="000F4784">
        <w:rPr>
          <w:rFonts w:hint="cs"/>
          <w:spacing w:val="-4"/>
          <w:sz w:val="18"/>
          <w:szCs w:val="26"/>
          <w:rtl/>
          <w:lang w:eastAsia="zh-TW"/>
        </w:rPr>
        <w:t xml:space="preserve"> </w:t>
      </w:r>
      <w:r w:rsidRPr="000F4784">
        <w:rPr>
          <w:spacing w:val="-4"/>
          <w:sz w:val="18"/>
          <w:szCs w:val="26"/>
          <w:rtl/>
          <w:lang w:eastAsia="zh-TW"/>
        </w:rPr>
        <w:t>أكتوبر</w:t>
      </w:r>
      <w:r w:rsidR="000F4784">
        <w:rPr>
          <w:rFonts w:hint="cs"/>
          <w:spacing w:val="-4"/>
          <w:sz w:val="18"/>
          <w:szCs w:val="26"/>
          <w:rtl/>
          <w:lang w:eastAsia="zh-TW"/>
        </w:rPr>
        <w:t> </w:t>
      </w:r>
      <w:r w:rsidRPr="000F4784">
        <w:rPr>
          <w:spacing w:val="-4"/>
          <w:sz w:val="18"/>
          <w:szCs w:val="26"/>
          <w:rtl/>
          <w:lang w:eastAsia="zh-TW"/>
        </w:rPr>
        <w:t xml:space="preserve">2000، الفقرة 5-1؛ وكذلك البلاغات رقم 1867/2009، و1936/2010، و1975/2010، </w:t>
      </w:r>
      <w:r w:rsidRPr="000F4784">
        <w:rPr>
          <w:spacing w:val="-6"/>
          <w:sz w:val="18"/>
          <w:szCs w:val="26"/>
          <w:rtl/>
          <w:lang w:eastAsia="zh-TW"/>
        </w:rPr>
        <w:t>و1977/2010، و1978/2010، و1979/2010، و1980/2010، و1981/2010، و2010/2010،</w:t>
      </w:r>
      <w:r w:rsidRPr="000F4784">
        <w:rPr>
          <w:spacing w:val="-4"/>
          <w:sz w:val="18"/>
          <w:szCs w:val="26"/>
          <w:rtl/>
          <w:lang w:eastAsia="zh-TW"/>
        </w:rPr>
        <w:t xml:space="preserve"> </w:t>
      </w:r>
      <w:r w:rsidRPr="000F4784">
        <w:rPr>
          <w:i/>
          <w:iCs/>
          <w:spacing w:val="-4"/>
          <w:sz w:val="18"/>
          <w:szCs w:val="26"/>
          <w:rtl/>
          <w:lang w:eastAsia="zh-TW"/>
        </w:rPr>
        <w:t>ليفينوف ضد بيلاروس</w:t>
      </w:r>
      <w:r w:rsidRPr="000F4784">
        <w:rPr>
          <w:spacing w:val="-4"/>
          <w:sz w:val="18"/>
          <w:szCs w:val="26"/>
          <w:rtl/>
          <w:lang w:eastAsia="zh-TW"/>
        </w:rPr>
        <w:t xml:space="preserve">، الآراء المعتمدة في 19 تموز/يوليه 2012، الفقرة 8-2. </w:t>
      </w:r>
    </w:p>
  </w:footnote>
  <w:footnote w:id="6">
    <w:p w:rsidR="004047EA" w:rsidRPr="00FE3D5A" w:rsidRDefault="004047EA" w:rsidP="00FE3D5A">
      <w:pPr>
        <w:pStyle w:val="FootnoteText"/>
        <w:numPr>
          <w:ilvl w:val="0"/>
          <w:numId w:val="40"/>
        </w:numPr>
        <w:tabs>
          <w:tab w:val="clear" w:pos="587"/>
          <w:tab w:val="num" w:pos="1253"/>
          <w:tab w:val="right" w:pos="9639"/>
        </w:tabs>
        <w:spacing w:after="60" w:line="300" w:lineRule="exact"/>
        <w:ind w:left="1248" w:right="1247"/>
        <w:textDirection w:val="tbRlV"/>
        <w:rPr>
          <w:sz w:val="18"/>
          <w:szCs w:val="26"/>
        </w:rPr>
      </w:pPr>
      <w:r w:rsidRPr="00125083">
        <w:rPr>
          <w:spacing w:val="-6"/>
          <w:sz w:val="18"/>
          <w:szCs w:val="26"/>
          <w:rtl/>
          <w:lang w:eastAsia="zh-TW"/>
        </w:rPr>
        <w:t>انظر البلاغات رقم 1867/2009، و1936/2010، و1975/2010، و1977/2010، و1978/2010،</w:t>
      </w:r>
      <w:r w:rsidRPr="00FE3D5A">
        <w:rPr>
          <w:sz w:val="18"/>
          <w:szCs w:val="26"/>
          <w:rtl/>
          <w:lang w:eastAsia="zh-TW"/>
        </w:rPr>
        <w:t xml:space="preserve"> و1979/2010، و1980/2010، و1981/2010، و2010/2010، </w:t>
      </w:r>
      <w:r w:rsidRPr="000F4784">
        <w:rPr>
          <w:i/>
          <w:iCs/>
          <w:sz w:val="18"/>
          <w:szCs w:val="26"/>
          <w:rtl/>
          <w:lang w:eastAsia="zh-TW"/>
        </w:rPr>
        <w:t>ليفينوف ضد بيلاروس</w:t>
      </w:r>
      <w:r w:rsidRPr="00FE3D5A">
        <w:rPr>
          <w:sz w:val="18"/>
          <w:szCs w:val="26"/>
          <w:rtl/>
          <w:lang w:eastAsia="zh-TW"/>
        </w:rPr>
        <w:t>، الآراء المعتمد</w:t>
      </w:r>
      <w:r w:rsidR="005E5950">
        <w:rPr>
          <w:sz w:val="18"/>
          <w:szCs w:val="26"/>
          <w:rtl/>
          <w:lang w:eastAsia="zh-TW"/>
        </w:rPr>
        <w:t>ة في 19 تموز/يوليه 2012، الفقرة</w:t>
      </w:r>
      <w:r w:rsidRPr="00FE3D5A">
        <w:rPr>
          <w:sz w:val="18"/>
          <w:szCs w:val="26"/>
          <w:rtl/>
          <w:lang w:eastAsia="zh-TW"/>
        </w:rPr>
        <w:t xml:space="preserve"> 8-2. </w:t>
      </w:r>
    </w:p>
  </w:footnote>
  <w:footnote w:id="7">
    <w:p w:rsidR="004047EA" w:rsidRPr="00FE3D5A" w:rsidRDefault="004047EA" w:rsidP="006408B7">
      <w:pPr>
        <w:pStyle w:val="FootnoteText"/>
        <w:numPr>
          <w:ilvl w:val="0"/>
          <w:numId w:val="40"/>
        </w:numPr>
        <w:tabs>
          <w:tab w:val="clear" w:pos="587"/>
          <w:tab w:val="num" w:pos="1253"/>
        </w:tabs>
        <w:spacing w:after="60" w:line="300" w:lineRule="exact"/>
        <w:ind w:left="1248" w:right="1247"/>
        <w:textDirection w:val="tbRlV"/>
        <w:rPr>
          <w:sz w:val="18"/>
          <w:szCs w:val="26"/>
        </w:rPr>
      </w:pPr>
      <w:r w:rsidRPr="00FE3D5A">
        <w:rPr>
          <w:sz w:val="18"/>
          <w:szCs w:val="26"/>
          <w:rtl/>
          <w:lang w:eastAsia="zh-TW"/>
        </w:rPr>
        <w:t>انظر</w:t>
      </w:r>
      <w:r w:rsidR="00243E96">
        <w:rPr>
          <w:rFonts w:hint="cs"/>
          <w:sz w:val="18"/>
          <w:szCs w:val="26"/>
          <w:rtl/>
          <w:lang w:eastAsia="zh-TW"/>
        </w:rPr>
        <w:t>،</w:t>
      </w:r>
      <w:r w:rsidRPr="00FE3D5A">
        <w:rPr>
          <w:sz w:val="18"/>
          <w:szCs w:val="26"/>
          <w:rtl/>
          <w:lang w:eastAsia="zh-TW"/>
        </w:rPr>
        <w:t xml:space="preserve"> على سبيل المثال</w:t>
      </w:r>
      <w:r w:rsidR="00243E96">
        <w:rPr>
          <w:rFonts w:hint="cs"/>
          <w:sz w:val="18"/>
          <w:szCs w:val="26"/>
          <w:rtl/>
          <w:lang w:eastAsia="zh-TW"/>
        </w:rPr>
        <w:t>،</w:t>
      </w:r>
      <w:r w:rsidRPr="00FE3D5A">
        <w:rPr>
          <w:sz w:val="18"/>
          <w:szCs w:val="26"/>
          <w:rtl/>
          <w:lang w:eastAsia="zh-TW"/>
        </w:rPr>
        <w:t xml:space="preserve"> البلاغ رقم 836/1998، </w:t>
      </w:r>
      <w:r w:rsidRPr="000F4784">
        <w:rPr>
          <w:i/>
          <w:iCs/>
          <w:sz w:val="18"/>
          <w:szCs w:val="26"/>
          <w:rtl/>
          <w:lang w:eastAsia="zh-TW"/>
        </w:rPr>
        <w:t>جيلازاوسكاس ضد ليتوانيا</w:t>
      </w:r>
      <w:r w:rsidRPr="00FE3D5A">
        <w:rPr>
          <w:sz w:val="18"/>
          <w:szCs w:val="26"/>
          <w:rtl/>
          <w:lang w:eastAsia="zh-TW"/>
        </w:rPr>
        <w:t xml:space="preserve">، الآراء المعتمدة في 17 آذار/مارس 2003، الفقرة 7-4؛ والبلاغ رقم 1873/2009، </w:t>
      </w:r>
      <w:r w:rsidRPr="000F4784">
        <w:rPr>
          <w:i/>
          <w:iCs/>
          <w:sz w:val="18"/>
          <w:szCs w:val="26"/>
          <w:rtl/>
          <w:lang w:eastAsia="zh-TW"/>
        </w:rPr>
        <w:t>ألكسيف ضد الاتحاد الروسي</w:t>
      </w:r>
      <w:r w:rsidRPr="00FE3D5A">
        <w:rPr>
          <w:sz w:val="18"/>
          <w:szCs w:val="26"/>
          <w:rtl/>
          <w:lang w:eastAsia="zh-TW"/>
        </w:rPr>
        <w:t>، الآراء</w:t>
      </w:r>
      <w:r w:rsidR="001A31EC">
        <w:rPr>
          <w:rFonts w:hint="cs"/>
          <w:sz w:val="18"/>
          <w:szCs w:val="26"/>
          <w:rtl/>
          <w:lang w:eastAsia="zh-TW"/>
        </w:rPr>
        <w:t> </w:t>
      </w:r>
      <w:r w:rsidRPr="00FE3D5A">
        <w:rPr>
          <w:sz w:val="18"/>
          <w:szCs w:val="26"/>
          <w:rtl/>
          <w:lang w:eastAsia="zh-TW"/>
        </w:rPr>
        <w:t xml:space="preserve">المعتمدة في 25 تشرين الأول/أكتوبر 2013، الفقرة 8-4؛ والبلاغ رقم1851/2008، </w:t>
      </w:r>
      <w:r w:rsidRPr="000F4784">
        <w:rPr>
          <w:i/>
          <w:iCs/>
          <w:sz w:val="18"/>
          <w:szCs w:val="26"/>
          <w:rtl/>
          <w:lang w:eastAsia="zh-TW"/>
        </w:rPr>
        <w:t>سيكيركو</w:t>
      </w:r>
      <w:r w:rsidR="001A31EC">
        <w:rPr>
          <w:rFonts w:hint="cs"/>
          <w:i/>
          <w:iCs/>
          <w:sz w:val="18"/>
          <w:szCs w:val="26"/>
          <w:rtl/>
          <w:lang w:eastAsia="zh-TW"/>
        </w:rPr>
        <w:t> </w:t>
      </w:r>
      <w:r w:rsidRPr="000F4784">
        <w:rPr>
          <w:i/>
          <w:iCs/>
          <w:sz w:val="18"/>
          <w:szCs w:val="26"/>
          <w:rtl/>
          <w:lang w:eastAsia="zh-TW"/>
        </w:rPr>
        <w:t>ضد بيلاروس</w:t>
      </w:r>
      <w:r w:rsidRPr="00FE3D5A">
        <w:rPr>
          <w:sz w:val="18"/>
          <w:szCs w:val="26"/>
          <w:rtl/>
          <w:lang w:eastAsia="zh-TW"/>
        </w:rPr>
        <w:t>، الآراء المعتمدة في 28 تشرين الأول/أكتوبر 2013، الفقرة 8-3؛ والبلاغان رقم</w:t>
      </w:r>
      <w:r w:rsidR="001A31EC">
        <w:rPr>
          <w:rFonts w:hint="cs"/>
          <w:sz w:val="18"/>
          <w:szCs w:val="26"/>
          <w:rtl/>
          <w:lang w:eastAsia="zh-TW"/>
        </w:rPr>
        <w:t> </w:t>
      </w:r>
      <w:r w:rsidRPr="00FE3D5A">
        <w:rPr>
          <w:sz w:val="18"/>
          <w:szCs w:val="26"/>
          <w:rtl/>
          <w:lang w:eastAsia="zh-TW"/>
        </w:rPr>
        <w:t xml:space="preserve">1919-1920/2009، </w:t>
      </w:r>
      <w:r w:rsidRPr="000F4784">
        <w:rPr>
          <w:i/>
          <w:iCs/>
          <w:sz w:val="18"/>
          <w:szCs w:val="26"/>
          <w:rtl/>
          <w:lang w:eastAsia="zh-TW"/>
        </w:rPr>
        <w:t>بروتسكو ضد بيلاروس</w:t>
      </w:r>
      <w:r w:rsidRPr="00FE3D5A">
        <w:rPr>
          <w:sz w:val="18"/>
          <w:szCs w:val="26"/>
          <w:rtl/>
          <w:lang w:eastAsia="zh-TW"/>
        </w:rPr>
        <w:t xml:space="preserve">، الآراء المعتمدة في 1 تشرين الثاني/نوفمبر 2013، </w:t>
      </w:r>
      <w:r w:rsidRPr="001A31EC">
        <w:rPr>
          <w:spacing w:val="-4"/>
          <w:sz w:val="18"/>
          <w:szCs w:val="26"/>
          <w:rtl/>
          <w:lang w:eastAsia="zh-TW"/>
        </w:rPr>
        <w:t xml:space="preserve">الفقرة 6-5؛ والبلاغ رقم 1784/2008، </w:t>
      </w:r>
      <w:r w:rsidRPr="001A31EC">
        <w:rPr>
          <w:i/>
          <w:iCs/>
          <w:spacing w:val="-4"/>
          <w:sz w:val="18"/>
          <w:szCs w:val="26"/>
          <w:rtl/>
          <w:lang w:eastAsia="zh-TW"/>
        </w:rPr>
        <w:t>شوميلين ضد بيلاروس</w:t>
      </w:r>
      <w:r w:rsidRPr="001A31EC">
        <w:rPr>
          <w:spacing w:val="-4"/>
          <w:sz w:val="18"/>
          <w:szCs w:val="26"/>
          <w:rtl/>
          <w:lang w:eastAsia="zh-TW"/>
        </w:rPr>
        <w:t>، الآراء المعتمدة في 23 تموز/يوليه 2012،</w:t>
      </w:r>
      <w:r w:rsidRPr="00FE3D5A">
        <w:rPr>
          <w:sz w:val="18"/>
          <w:szCs w:val="26"/>
          <w:rtl/>
          <w:lang w:eastAsia="zh-TW"/>
        </w:rPr>
        <w:t xml:space="preserve"> </w:t>
      </w:r>
      <w:r w:rsidRPr="001A31EC">
        <w:rPr>
          <w:spacing w:val="-4"/>
          <w:sz w:val="18"/>
          <w:szCs w:val="26"/>
          <w:rtl/>
          <w:lang w:eastAsia="zh-TW"/>
        </w:rPr>
        <w:t>الفقرة 8-3؛ والبلاغ رقم 1814/2008،</w:t>
      </w:r>
      <w:r w:rsidR="000F4784" w:rsidRPr="001A31EC">
        <w:rPr>
          <w:rFonts w:hint="cs"/>
          <w:spacing w:val="-4"/>
          <w:sz w:val="18"/>
          <w:szCs w:val="26"/>
          <w:rtl/>
          <w:lang w:eastAsia="zh-TW"/>
        </w:rPr>
        <w:t xml:space="preserve"> </w:t>
      </w:r>
      <w:r w:rsidRPr="001A31EC">
        <w:rPr>
          <w:i/>
          <w:iCs/>
          <w:spacing w:val="-4"/>
          <w:sz w:val="18"/>
          <w:szCs w:val="26"/>
          <w:rtl/>
          <w:lang w:eastAsia="zh-TW"/>
        </w:rPr>
        <w:t>ب.</w:t>
      </w:r>
      <w:r w:rsidR="000F4784" w:rsidRPr="001A31EC">
        <w:rPr>
          <w:rFonts w:hint="cs"/>
          <w:i/>
          <w:iCs/>
          <w:spacing w:val="-4"/>
          <w:sz w:val="18"/>
          <w:szCs w:val="26"/>
          <w:rtl/>
          <w:lang w:eastAsia="zh-TW"/>
        </w:rPr>
        <w:t xml:space="preserve"> </w:t>
      </w:r>
      <w:r w:rsidRPr="001A31EC">
        <w:rPr>
          <w:i/>
          <w:iCs/>
          <w:spacing w:val="-4"/>
          <w:sz w:val="18"/>
          <w:szCs w:val="26"/>
          <w:rtl/>
          <w:lang w:eastAsia="zh-TW"/>
        </w:rPr>
        <w:t>ل. ضد بيلاروس</w:t>
      </w:r>
      <w:r w:rsidRPr="001A31EC">
        <w:rPr>
          <w:spacing w:val="-4"/>
          <w:sz w:val="18"/>
          <w:szCs w:val="26"/>
          <w:rtl/>
          <w:lang w:eastAsia="zh-TW"/>
        </w:rPr>
        <w:t xml:space="preserve">، </w:t>
      </w:r>
      <w:r w:rsidR="00243E96" w:rsidRPr="001A31EC">
        <w:rPr>
          <w:rFonts w:hint="cs"/>
          <w:spacing w:val="-4"/>
          <w:sz w:val="18"/>
          <w:szCs w:val="26"/>
          <w:rtl/>
          <w:lang w:eastAsia="zh-TW"/>
        </w:rPr>
        <w:t>القرار</w:t>
      </w:r>
      <w:r w:rsidRPr="001A31EC">
        <w:rPr>
          <w:spacing w:val="-4"/>
          <w:sz w:val="18"/>
          <w:szCs w:val="26"/>
          <w:rtl/>
          <w:lang w:eastAsia="zh-TW"/>
        </w:rPr>
        <w:t xml:space="preserve"> المعتمد في 26 تموز/يوليه 2011،</w:t>
      </w:r>
      <w:r w:rsidRPr="00FE3D5A">
        <w:rPr>
          <w:sz w:val="18"/>
          <w:szCs w:val="26"/>
          <w:rtl/>
          <w:lang w:eastAsia="zh-TW"/>
        </w:rPr>
        <w:t xml:space="preserve"> الفقرة 6-2. </w:t>
      </w:r>
    </w:p>
  </w:footnote>
  <w:footnote w:id="8">
    <w:p w:rsidR="004047EA" w:rsidRPr="00FE3D5A" w:rsidRDefault="004047EA" w:rsidP="00243E96">
      <w:pPr>
        <w:pStyle w:val="FootnoteText"/>
        <w:numPr>
          <w:ilvl w:val="0"/>
          <w:numId w:val="40"/>
        </w:numPr>
        <w:tabs>
          <w:tab w:val="clear" w:pos="587"/>
          <w:tab w:val="num" w:pos="1253"/>
        </w:tabs>
        <w:spacing w:after="60" w:line="300" w:lineRule="exact"/>
        <w:ind w:left="1248" w:right="1247"/>
        <w:textDirection w:val="tbRlV"/>
        <w:rPr>
          <w:rFonts w:hint="cs"/>
          <w:sz w:val="18"/>
          <w:szCs w:val="26"/>
          <w:lang w:eastAsia="zh-TW"/>
        </w:rPr>
      </w:pPr>
      <w:r w:rsidRPr="00FE3D5A">
        <w:rPr>
          <w:sz w:val="18"/>
          <w:szCs w:val="26"/>
          <w:rtl/>
          <w:lang w:eastAsia="zh-TW"/>
        </w:rPr>
        <w:t xml:space="preserve">انظر البلاغ رقم 2202/2012، </w:t>
      </w:r>
      <w:r w:rsidRPr="000F4784">
        <w:rPr>
          <w:i/>
          <w:iCs/>
          <w:sz w:val="18"/>
          <w:szCs w:val="26"/>
          <w:rtl/>
          <w:lang w:eastAsia="zh-TW"/>
        </w:rPr>
        <w:t>كاستانيدا ضد المكسيك</w:t>
      </w:r>
      <w:r w:rsidRPr="00FE3D5A">
        <w:rPr>
          <w:sz w:val="18"/>
          <w:szCs w:val="26"/>
          <w:rtl/>
          <w:lang w:eastAsia="zh-TW"/>
        </w:rPr>
        <w:t xml:space="preserve">، </w:t>
      </w:r>
      <w:r w:rsidR="00243E96">
        <w:rPr>
          <w:rFonts w:hint="cs"/>
          <w:sz w:val="18"/>
          <w:szCs w:val="26"/>
          <w:rtl/>
          <w:lang w:eastAsia="zh-TW"/>
        </w:rPr>
        <w:t xml:space="preserve">القرار </w:t>
      </w:r>
      <w:r w:rsidRPr="00FE3D5A">
        <w:rPr>
          <w:sz w:val="18"/>
          <w:szCs w:val="26"/>
          <w:rtl/>
          <w:lang w:eastAsia="zh-TW"/>
        </w:rPr>
        <w:t xml:space="preserve">المعتمد في 29 آب/أغسطس 2013، الفقرة 6-8؛ والبلاغ رقم 1834/2008، </w:t>
      </w:r>
      <w:r w:rsidRPr="000F4784">
        <w:rPr>
          <w:i/>
          <w:iCs/>
          <w:sz w:val="18"/>
          <w:szCs w:val="26"/>
          <w:rtl/>
          <w:lang w:eastAsia="zh-TW"/>
        </w:rPr>
        <w:t>أ. ب. ضد أوكرانيا</w:t>
      </w:r>
      <w:r w:rsidRPr="00FE3D5A">
        <w:rPr>
          <w:sz w:val="18"/>
          <w:szCs w:val="26"/>
          <w:rtl/>
          <w:lang w:eastAsia="zh-TW"/>
        </w:rPr>
        <w:t xml:space="preserve">، </w:t>
      </w:r>
      <w:r w:rsidR="00243E96">
        <w:rPr>
          <w:rFonts w:hint="cs"/>
          <w:sz w:val="18"/>
          <w:szCs w:val="26"/>
          <w:rtl/>
          <w:lang w:eastAsia="zh-TW"/>
        </w:rPr>
        <w:t xml:space="preserve">القرار </w:t>
      </w:r>
      <w:r w:rsidRPr="00FE3D5A">
        <w:rPr>
          <w:sz w:val="18"/>
          <w:szCs w:val="26"/>
          <w:rtl/>
          <w:lang w:eastAsia="zh-TW"/>
        </w:rPr>
        <w:t xml:space="preserve">المعتمد في 23 تموز/يوليه 2012، الفقرة 8-5؛ والبلاغ رقم 1887/2009، </w:t>
      </w:r>
      <w:r w:rsidRPr="000F4784">
        <w:rPr>
          <w:i/>
          <w:iCs/>
          <w:sz w:val="18"/>
          <w:szCs w:val="26"/>
          <w:rtl/>
          <w:lang w:eastAsia="zh-TW"/>
        </w:rPr>
        <w:t>بيرانو باسو ضد أوروغواي</w:t>
      </w:r>
      <w:r w:rsidRPr="00FE3D5A">
        <w:rPr>
          <w:sz w:val="18"/>
          <w:szCs w:val="26"/>
          <w:rtl/>
          <w:lang w:eastAsia="zh-TW"/>
        </w:rPr>
        <w:t xml:space="preserve">، الآراء المعتمدة في 19 </w:t>
      </w:r>
      <w:r w:rsidR="00D2250B">
        <w:rPr>
          <w:sz w:val="18"/>
          <w:szCs w:val="26"/>
          <w:rtl/>
          <w:lang w:eastAsia="zh-TW"/>
        </w:rPr>
        <w:t>تشرين الأول/أكتوبر 2010، الفقرة</w:t>
      </w:r>
      <w:r w:rsidRPr="00FE3D5A">
        <w:rPr>
          <w:sz w:val="18"/>
          <w:szCs w:val="26"/>
          <w:rtl/>
          <w:lang w:eastAsia="zh-TW"/>
        </w:rPr>
        <w:t xml:space="preserve"> 9-4. </w:t>
      </w:r>
    </w:p>
  </w:footnote>
  <w:footnote w:id="9">
    <w:p w:rsidR="004047EA" w:rsidRPr="00FE3D5A" w:rsidRDefault="004047EA" w:rsidP="00FE3D5A">
      <w:pPr>
        <w:pStyle w:val="FootnoteText"/>
        <w:numPr>
          <w:ilvl w:val="0"/>
          <w:numId w:val="40"/>
        </w:numPr>
        <w:tabs>
          <w:tab w:val="clear" w:pos="587"/>
          <w:tab w:val="num" w:pos="1253"/>
          <w:tab w:val="right" w:pos="9639"/>
        </w:tabs>
        <w:spacing w:after="60" w:line="300" w:lineRule="exact"/>
        <w:ind w:left="1248" w:right="1247"/>
        <w:textDirection w:val="tbRlV"/>
        <w:rPr>
          <w:sz w:val="18"/>
          <w:szCs w:val="26"/>
        </w:rPr>
      </w:pPr>
      <w:r w:rsidRPr="00FE3D5A">
        <w:rPr>
          <w:sz w:val="18"/>
          <w:szCs w:val="26"/>
          <w:rtl/>
          <w:lang w:eastAsia="zh-TW"/>
        </w:rPr>
        <w:t>انظر أيض</w:t>
      </w:r>
      <w:r w:rsidR="00E47DC8">
        <w:rPr>
          <w:sz w:val="18"/>
          <w:szCs w:val="26"/>
          <w:rtl/>
          <w:lang w:eastAsia="zh-TW"/>
        </w:rPr>
        <w:t xml:space="preserve">اً </w:t>
      </w:r>
      <w:r w:rsidRPr="00FE3D5A">
        <w:rPr>
          <w:sz w:val="18"/>
          <w:szCs w:val="26"/>
          <w:rtl/>
          <w:lang w:eastAsia="zh-TW"/>
        </w:rPr>
        <w:t xml:space="preserve">البلاغ رقم 1851/2008، </w:t>
      </w:r>
      <w:r w:rsidRPr="000F4784">
        <w:rPr>
          <w:i/>
          <w:iCs/>
          <w:sz w:val="18"/>
          <w:szCs w:val="26"/>
          <w:rtl/>
          <w:lang w:eastAsia="zh-TW"/>
        </w:rPr>
        <w:t>سيكيركو ضد بيلاروس</w:t>
      </w:r>
      <w:r w:rsidRPr="00FE3D5A">
        <w:rPr>
          <w:sz w:val="18"/>
          <w:szCs w:val="26"/>
          <w:rtl/>
          <w:lang w:eastAsia="zh-TW"/>
        </w:rPr>
        <w:t xml:space="preserve">، الآراء المعتمدة في 28 تشرين الأول/أكتوبر 2013، الفقرة </w:t>
      </w:r>
      <w:r w:rsidR="000F4784">
        <w:rPr>
          <w:sz w:val="18"/>
          <w:szCs w:val="26"/>
          <w:rtl/>
          <w:lang w:eastAsia="zh-TW"/>
        </w:rPr>
        <w:t>9-6؛ وتعليق اللجنة العام رقم 34</w:t>
      </w:r>
      <w:r w:rsidRPr="00FE3D5A">
        <w:rPr>
          <w:sz w:val="18"/>
          <w:szCs w:val="26"/>
          <w:rtl/>
          <w:lang w:eastAsia="zh-TW"/>
        </w:rPr>
        <w:t xml:space="preserve">(2011) بشأن المادة 19: حرية الرأي والتعبير، الفقرة 34. </w:t>
      </w:r>
    </w:p>
  </w:footnote>
  <w:footnote w:id="10">
    <w:p w:rsidR="004047EA" w:rsidRPr="00FE3D5A" w:rsidRDefault="004047EA" w:rsidP="00FE3D5A">
      <w:pPr>
        <w:pStyle w:val="FootnoteText"/>
        <w:numPr>
          <w:ilvl w:val="0"/>
          <w:numId w:val="40"/>
        </w:numPr>
        <w:tabs>
          <w:tab w:val="clear" w:pos="587"/>
          <w:tab w:val="num" w:pos="1253"/>
          <w:tab w:val="right" w:pos="9639"/>
        </w:tabs>
        <w:spacing w:after="60" w:line="300" w:lineRule="exact"/>
        <w:ind w:left="1248" w:right="1247"/>
        <w:textDirection w:val="tbRlV"/>
        <w:rPr>
          <w:sz w:val="18"/>
          <w:szCs w:val="26"/>
        </w:rPr>
      </w:pPr>
      <w:r w:rsidRPr="00FE3D5A">
        <w:rPr>
          <w:sz w:val="18"/>
          <w:szCs w:val="26"/>
          <w:rtl/>
          <w:lang w:eastAsia="zh-TW"/>
        </w:rPr>
        <w:t>انظر تع</w:t>
      </w:r>
      <w:r w:rsidR="00207C24">
        <w:rPr>
          <w:sz w:val="18"/>
          <w:szCs w:val="26"/>
          <w:rtl/>
          <w:lang w:eastAsia="zh-TW"/>
        </w:rPr>
        <w:t>ليق اللجنة العام رقم 34</w:t>
      </w:r>
      <w:r w:rsidRPr="00FE3D5A">
        <w:rPr>
          <w:sz w:val="18"/>
          <w:szCs w:val="26"/>
          <w:rtl/>
          <w:lang w:eastAsia="zh-TW"/>
        </w:rPr>
        <w:t xml:space="preserve">(2011) بشأن المادة 19: حرية الرأي والتعبير، الفقرة 34. </w:t>
      </w:r>
    </w:p>
  </w:footnote>
  <w:footnote w:id="11">
    <w:p w:rsidR="004047EA" w:rsidRDefault="004047EA" w:rsidP="00FE3D5A">
      <w:pPr>
        <w:pStyle w:val="FootnoteText"/>
        <w:numPr>
          <w:ilvl w:val="0"/>
          <w:numId w:val="40"/>
        </w:numPr>
        <w:tabs>
          <w:tab w:val="clear" w:pos="587"/>
          <w:tab w:val="num" w:pos="1253"/>
          <w:tab w:val="right" w:pos="9639"/>
        </w:tabs>
        <w:spacing w:after="60" w:line="300" w:lineRule="exact"/>
        <w:ind w:left="1248" w:right="1247"/>
        <w:textDirection w:val="tbRlV"/>
      </w:pPr>
      <w:r w:rsidRPr="00FE3D5A">
        <w:rPr>
          <w:sz w:val="18"/>
          <w:szCs w:val="26"/>
          <w:rtl/>
          <w:lang w:eastAsia="zh-TW"/>
        </w:rPr>
        <w:t xml:space="preserve">انظر البلاغ رقم 1604/2007، </w:t>
      </w:r>
      <w:r w:rsidRPr="000F4784">
        <w:rPr>
          <w:i/>
          <w:iCs/>
          <w:sz w:val="18"/>
          <w:szCs w:val="26"/>
          <w:rtl/>
          <w:lang w:eastAsia="zh-TW"/>
        </w:rPr>
        <w:t>زالسكايا ضد بيلاروس</w:t>
      </w:r>
      <w:r w:rsidRPr="00FE3D5A">
        <w:rPr>
          <w:sz w:val="18"/>
          <w:szCs w:val="26"/>
          <w:rtl/>
          <w:lang w:eastAsia="zh-TW"/>
        </w:rPr>
        <w:t xml:space="preserve">، الآراء المعتمدة في 21 آذار/مارس 2011، الفقرة 10-6.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EA" w:rsidRPr="004047EA" w:rsidRDefault="004047EA" w:rsidP="004047EA">
    <w:pPr>
      <w:pStyle w:val="Header"/>
      <w:jc w:val="right"/>
    </w:pPr>
    <w:r w:rsidRPr="004047EA">
      <w:t>CCPR/C/111/D/2030/2011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EA" w:rsidRPr="004047EA" w:rsidRDefault="004047EA" w:rsidP="004047EA">
    <w:pPr>
      <w:pStyle w:val="Header"/>
      <w:jc w:val="left"/>
    </w:pPr>
    <w:r w:rsidRPr="004047EA">
      <w:t>CCPR/C/111/D/2030/2011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EA" w:rsidRDefault="00C67BE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C67BEA" w:rsidRPr="008F6743" w:rsidRDefault="00C67BEA"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091CB5"/>
    <w:multiLevelType w:val="multilevel"/>
    <w:tmpl w:val="9FB0994E"/>
    <w:lvl w:ilvl="0">
      <w:start w:val="1"/>
      <w:numFmt w:val="decimal"/>
      <w:lvlRestart w:val="0"/>
      <w:lvlText w:val="(%1)"/>
      <w:lvlJc w:val="right"/>
      <w:pPr>
        <w:tabs>
          <w:tab w:val="num" w:pos="587"/>
        </w:tabs>
        <w:ind w:left="587" w:hanging="227"/>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2F5C293D"/>
    <w:multiLevelType w:val="hybridMultilevel"/>
    <w:tmpl w:val="73F870E6"/>
    <w:lvl w:ilvl="0" w:tplc="85CE8FBC">
      <w:start w:val="1"/>
      <w:numFmt w:val="decimal"/>
      <w:lvlRestart w:val="0"/>
      <w:lvlText w:val="(%1)"/>
      <w:lvlJc w:val="right"/>
      <w:pPr>
        <w:tabs>
          <w:tab w:val="num" w:pos="587"/>
        </w:tabs>
        <w:ind w:left="587" w:hanging="227"/>
      </w:pPr>
      <w:rPr>
        <w:rFonts w:ascii="Traditional Arabic" w:hAnsi="Traditional Arabic" w:cs="Traditional Arabic" w:hint="default"/>
        <w:b w:val="0"/>
        <w:bCs w:val="0"/>
        <w:i w:val="0"/>
        <w:iCs w:val="0"/>
        <w:sz w:val="26"/>
        <w:szCs w:val="2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BB26C8B"/>
    <w:multiLevelType w:val="multilevel"/>
    <w:tmpl w:val="A290E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15"/>
  </w:num>
  <w:num w:numId="4">
    <w:abstractNumId w:val="13"/>
  </w:num>
  <w:num w:numId="5">
    <w:abstractNumId w:val="9"/>
  </w:num>
  <w:num w:numId="6">
    <w:abstractNumId w:val="23"/>
  </w:num>
  <w:num w:numId="7">
    <w:abstractNumId w:val="11"/>
  </w:num>
  <w:num w:numId="8">
    <w:abstractNumId w:val="10"/>
  </w:num>
  <w:num w:numId="9">
    <w:abstractNumId w:val="14"/>
  </w:num>
  <w:num w:numId="10">
    <w:abstractNumId w:val="22"/>
  </w:num>
  <w:num w:numId="11">
    <w:abstractNumId w:val="2"/>
  </w:num>
  <w:num w:numId="12">
    <w:abstractNumId w:val="15"/>
  </w:num>
  <w:num w:numId="13">
    <w:abstractNumId w:val="13"/>
  </w:num>
  <w:num w:numId="14">
    <w:abstractNumId w:val="9"/>
  </w:num>
  <w:num w:numId="15">
    <w:abstractNumId w:val="23"/>
  </w:num>
  <w:num w:numId="16">
    <w:abstractNumId w:val="2"/>
  </w:num>
  <w:num w:numId="17">
    <w:abstractNumId w:val="15"/>
  </w:num>
  <w:num w:numId="18">
    <w:abstractNumId w:val="13"/>
  </w:num>
  <w:num w:numId="19">
    <w:abstractNumId w:val="9"/>
  </w:num>
  <w:num w:numId="20">
    <w:abstractNumId w:val="23"/>
  </w:num>
  <w:num w:numId="21">
    <w:abstractNumId w:val="2"/>
  </w:num>
  <w:num w:numId="22">
    <w:abstractNumId w:val="15"/>
  </w:num>
  <w:num w:numId="23">
    <w:abstractNumId w:val="9"/>
  </w:num>
  <w:num w:numId="24">
    <w:abstractNumId w:val="23"/>
  </w:num>
  <w:num w:numId="25">
    <w:abstractNumId w:val="15"/>
  </w:num>
  <w:num w:numId="26">
    <w:abstractNumId w:val="2"/>
  </w:num>
  <w:num w:numId="27">
    <w:abstractNumId w:val="4"/>
  </w:num>
  <w:num w:numId="28">
    <w:abstractNumId w:val="3"/>
  </w:num>
  <w:num w:numId="29">
    <w:abstractNumId w:val="17"/>
  </w:num>
  <w:num w:numId="30">
    <w:abstractNumId w:val="5"/>
  </w:num>
  <w:num w:numId="31">
    <w:abstractNumId w:val="8"/>
  </w:num>
  <w:num w:numId="32">
    <w:abstractNumId w:val="16"/>
  </w:num>
  <w:num w:numId="33">
    <w:abstractNumId w:val="19"/>
  </w:num>
  <w:num w:numId="34">
    <w:abstractNumId w:val="24"/>
  </w:num>
  <w:num w:numId="35">
    <w:abstractNumId w:val="6"/>
  </w:num>
  <w:num w:numId="36">
    <w:abstractNumId w:val="18"/>
  </w:num>
  <w:num w:numId="37">
    <w:abstractNumId w:val="21"/>
  </w:num>
  <w:num w:numId="38">
    <w:abstractNumId w:val="0"/>
  </w:num>
  <w:num w:numId="39">
    <w:abstractNumId w:val="7"/>
  </w:num>
  <w:num w:numId="40">
    <w:abstractNumId w:val="12"/>
  </w:num>
  <w:num w:numId="41">
    <w:abstractNumId w:val="20"/>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BEA"/>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4784"/>
    <w:rsid w:val="000F5FF6"/>
    <w:rsid w:val="001022B5"/>
    <w:rsid w:val="00113FA5"/>
    <w:rsid w:val="00125083"/>
    <w:rsid w:val="001455A0"/>
    <w:rsid w:val="001602A3"/>
    <w:rsid w:val="001A31EC"/>
    <w:rsid w:val="001A5161"/>
    <w:rsid w:val="001A60BD"/>
    <w:rsid w:val="001B5D2E"/>
    <w:rsid w:val="001C6D53"/>
    <w:rsid w:val="00207C24"/>
    <w:rsid w:val="00232277"/>
    <w:rsid w:val="0023736D"/>
    <w:rsid w:val="002418B9"/>
    <w:rsid w:val="00243E96"/>
    <w:rsid w:val="00257225"/>
    <w:rsid w:val="002D6F3D"/>
    <w:rsid w:val="00310160"/>
    <w:rsid w:val="00341A8C"/>
    <w:rsid w:val="003519E6"/>
    <w:rsid w:val="00351E01"/>
    <w:rsid w:val="00355F81"/>
    <w:rsid w:val="003B4356"/>
    <w:rsid w:val="003F08A8"/>
    <w:rsid w:val="004047EA"/>
    <w:rsid w:val="004250E3"/>
    <w:rsid w:val="0044376D"/>
    <w:rsid w:val="00455298"/>
    <w:rsid w:val="00460BAD"/>
    <w:rsid w:val="00472A81"/>
    <w:rsid w:val="004A20A6"/>
    <w:rsid w:val="004B2C92"/>
    <w:rsid w:val="004D6A3A"/>
    <w:rsid w:val="004E3409"/>
    <w:rsid w:val="004F4AD7"/>
    <w:rsid w:val="004F5B5B"/>
    <w:rsid w:val="00557CD3"/>
    <w:rsid w:val="00571432"/>
    <w:rsid w:val="005732A2"/>
    <w:rsid w:val="005762A5"/>
    <w:rsid w:val="00590BA3"/>
    <w:rsid w:val="005B46D9"/>
    <w:rsid w:val="005B7AE0"/>
    <w:rsid w:val="005E23F5"/>
    <w:rsid w:val="005E5950"/>
    <w:rsid w:val="005F146F"/>
    <w:rsid w:val="005F71B6"/>
    <w:rsid w:val="006408B7"/>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0C17"/>
    <w:rsid w:val="00885524"/>
    <w:rsid w:val="00886947"/>
    <w:rsid w:val="008A6242"/>
    <w:rsid w:val="008B4BC6"/>
    <w:rsid w:val="008F6743"/>
    <w:rsid w:val="00901E57"/>
    <w:rsid w:val="009070DF"/>
    <w:rsid w:val="00910D5B"/>
    <w:rsid w:val="00935F0E"/>
    <w:rsid w:val="00950496"/>
    <w:rsid w:val="0095208F"/>
    <w:rsid w:val="00977B3F"/>
    <w:rsid w:val="009814AE"/>
    <w:rsid w:val="009901D3"/>
    <w:rsid w:val="0099038B"/>
    <w:rsid w:val="00996BBE"/>
    <w:rsid w:val="009B2C03"/>
    <w:rsid w:val="009D17B9"/>
    <w:rsid w:val="009D1DD5"/>
    <w:rsid w:val="009F722C"/>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1668"/>
    <w:rsid w:val="00C62040"/>
    <w:rsid w:val="00C6490A"/>
    <w:rsid w:val="00C64FE1"/>
    <w:rsid w:val="00C662B7"/>
    <w:rsid w:val="00C67BEA"/>
    <w:rsid w:val="00C726D2"/>
    <w:rsid w:val="00C74296"/>
    <w:rsid w:val="00C8345E"/>
    <w:rsid w:val="00CA5F7C"/>
    <w:rsid w:val="00D2250B"/>
    <w:rsid w:val="00D44491"/>
    <w:rsid w:val="00D51067"/>
    <w:rsid w:val="00D75657"/>
    <w:rsid w:val="00D94F63"/>
    <w:rsid w:val="00D960AD"/>
    <w:rsid w:val="00DA0E0E"/>
    <w:rsid w:val="00DB0885"/>
    <w:rsid w:val="00DB0C39"/>
    <w:rsid w:val="00DB7679"/>
    <w:rsid w:val="00DF1702"/>
    <w:rsid w:val="00DF4DD8"/>
    <w:rsid w:val="00DF668E"/>
    <w:rsid w:val="00E04826"/>
    <w:rsid w:val="00E14D2B"/>
    <w:rsid w:val="00E20DBA"/>
    <w:rsid w:val="00E47DC8"/>
    <w:rsid w:val="00E6524A"/>
    <w:rsid w:val="00E660D6"/>
    <w:rsid w:val="00E771AB"/>
    <w:rsid w:val="00E971BA"/>
    <w:rsid w:val="00EA796F"/>
    <w:rsid w:val="00EB077B"/>
    <w:rsid w:val="00EC50B9"/>
    <w:rsid w:val="00ED26A0"/>
    <w:rsid w:val="00F1727A"/>
    <w:rsid w:val="00F34764"/>
    <w:rsid w:val="00F54E3C"/>
    <w:rsid w:val="00F608D6"/>
    <w:rsid w:val="00F874BD"/>
    <w:rsid w:val="00FB1D0B"/>
    <w:rsid w:val="00FE3D5A"/>
    <w:rsid w:val="00FE55A3"/>
    <w:rsid w:val="00FE6865"/>
    <w:rsid w:val="00FF31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351E01"/>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ftref"/>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rsid w:val="004047EA"/>
    <w:pPr>
      <w:suppressAutoHyphens/>
      <w:bidi w:val="0"/>
      <w:spacing w:after="120"/>
      <w:ind w:left="1134" w:right="1134"/>
      <w:jc w:val="both"/>
    </w:pPr>
    <w:rPr>
      <w:lang w:val="en-GB"/>
    </w:rPr>
  </w:style>
  <w:style w:type="paragraph" w:customStyle="1" w:styleId="HChG">
    <w:name w:val="_ H _Ch_G"/>
    <w:basedOn w:val="Normal"/>
    <w:next w:val="Normal"/>
    <w:rsid w:val="004047EA"/>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rsid w:val="004047EA"/>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rsid w:val="004047EA"/>
    <w:pPr>
      <w:keepNext/>
      <w:keepLines/>
      <w:tabs>
        <w:tab w:val="right" w:pos="851"/>
      </w:tabs>
      <w:suppressAutoHyphens/>
      <w:bidi w:val="0"/>
      <w:spacing w:before="240" w:after="120" w:line="240" w:lineRule="exact"/>
      <w:ind w:left="1134" w:right="1134" w:hanging="1134"/>
      <w:jc w:val="left"/>
    </w:pPr>
    <w:rPr>
      <w:b/>
      <w:lang w:val="en-GB"/>
    </w:rPr>
  </w:style>
  <w:style w:type="paragraph" w:customStyle="1" w:styleId="H4G">
    <w:name w:val="_ H_4_G"/>
    <w:basedOn w:val="Normal"/>
    <w:next w:val="Normal"/>
    <w:rsid w:val="004047EA"/>
    <w:pPr>
      <w:keepNext/>
      <w:keepLines/>
      <w:tabs>
        <w:tab w:val="right" w:pos="851"/>
      </w:tabs>
      <w:suppressAutoHyphens/>
      <w:bidi w:val="0"/>
      <w:spacing w:before="240" w:after="120" w:line="240" w:lineRule="exact"/>
      <w:ind w:left="1134" w:right="1134" w:hanging="1134"/>
      <w:jc w:val="left"/>
    </w:pPr>
    <w:rPr>
      <w:i/>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locked/>
    <w:rsid w:val="004047EA"/>
    <w:rPr>
      <w:rFonts w:cs="Traditional Arabic"/>
      <w:lang w:val="en-US"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2678</Words>
  <Characters>13395</Characters>
  <Application>Microsoft Office Outlook</Application>
  <DocSecurity>4</DocSecurity>
  <Lines>239</Lines>
  <Paragraphs>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CCPR/C/111/D/2030/2011</vt:lpstr>
      <vt:lpstr>CCPR/C/111/D/2030/2011</vt:lpstr>
    </vt:vector>
  </TitlesOfParts>
  <Company>CSD</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CCPR/C/111/D/2030/2011</dc:title>
  <dc:subject>GHANNAMI/LOUATI</dc:subject>
  <dc:creator>Bahnassawy</dc:creator>
  <cp:keywords/>
  <dc:description/>
  <cp:lastModifiedBy>TPS</cp:lastModifiedBy>
  <cp:revision>2</cp:revision>
  <cp:lastPrinted>2014-10-27T11:01:00Z</cp:lastPrinted>
  <dcterms:created xsi:type="dcterms:W3CDTF">2014-10-27T15:22:00Z</dcterms:created>
  <dcterms:modified xsi:type="dcterms:W3CDTF">2014-10-27T15:22:00Z</dcterms:modified>
</cp:coreProperties>
</file>