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361DF2">
                <w:t>C/110/D/1960/2010</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proofErr w:type="spellStart"/>
            <w:r>
              <w:rPr>
                <w:lang w:val="en-US"/>
              </w:rPr>
              <w:t>Distr</w:t>
            </w:r>
            <w:proofErr w:type="spellEnd"/>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361DF2" w:rsidP="00D76358">
            <w:pPr>
              <w:rPr>
                <w:lang w:val="en-US"/>
              </w:rPr>
            </w:pPr>
            <w:r>
              <w:rPr>
                <w:lang w:val="en-US"/>
              </w:rPr>
              <w:t>20 May 2014</w:t>
            </w:r>
            <w:r w:rsidR="0084613B">
              <w:rPr>
                <w:lang w:val="en-US"/>
              </w:rPr>
              <w:fldChar w:fldCharType="begin"/>
            </w:r>
            <w:r w:rsidR="0084613B">
              <w:rPr>
                <w:lang w:val="en-US"/>
              </w:rPr>
              <w:instrText xml:space="preserve"> FILLIN  "Введите дату документа" \* MERGEFORMAT </w:instrText>
            </w:r>
            <w:r w:rsidR="0084613B">
              <w:rPr>
                <w:lang w:val="en-US"/>
              </w:rPr>
              <w:fldChar w:fldCharType="end"/>
            </w:r>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361DF2" w:rsidRPr="00361DF2" w:rsidRDefault="00361DF2" w:rsidP="00361DF2">
      <w:pPr>
        <w:spacing w:before="120"/>
        <w:rPr>
          <w:b/>
          <w:sz w:val="24"/>
          <w:szCs w:val="24"/>
        </w:rPr>
      </w:pPr>
      <w:r w:rsidRPr="00361DF2">
        <w:rPr>
          <w:b/>
          <w:sz w:val="24"/>
          <w:szCs w:val="24"/>
        </w:rPr>
        <w:t>Комитет по правам человека</w:t>
      </w:r>
    </w:p>
    <w:p w:rsidR="00361DF2" w:rsidRPr="00361DF2" w:rsidRDefault="00361DF2" w:rsidP="00361DF2">
      <w:pPr>
        <w:pStyle w:val="HChGR"/>
      </w:pPr>
      <w:r w:rsidRPr="00361DF2">
        <w:tab/>
      </w:r>
      <w:r w:rsidRPr="00361DF2">
        <w:tab/>
        <w:t>Сообщение № 1960/2010</w:t>
      </w:r>
    </w:p>
    <w:p w:rsidR="00361DF2" w:rsidRPr="00361DF2" w:rsidRDefault="00361DF2" w:rsidP="00361DF2">
      <w:pPr>
        <w:pStyle w:val="H1GR"/>
      </w:pPr>
      <w:r w:rsidRPr="00361DF2">
        <w:tab/>
      </w:r>
      <w:r w:rsidRPr="00361DF2">
        <w:tab/>
        <w:t>Соображения, принятые Комитетом на его 110-й сессии</w:t>
      </w:r>
      <w:r w:rsidRPr="00361DF2">
        <w:br/>
        <w:t>(10-28 марта 2014</w:t>
      </w:r>
      <w:r>
        <w:t> год</w:t>
      </w:r>
      <w:r w:rsidRPr="00361DF2">
        <w:t>а)</w:t>
      </w:r>
    </w:p>
    <w:tbl>
      <w:tblPr>
        <w:tblStyle w:val="TabTxt"/>
        <w:tblW w:w="6796" w:type="dxa"/>
        <w:tblInd w:w="1708" w:type="dxa"/>
        <w:tblBorders>
          <w:top w:val="none" w:sz="0" w:space="0" w:color="auto"/>
          <w:bottom w:val="none" w:sz="0" w:space="0" w:color="auto"/>
        </w:tblBorders>
        <w:tblLook w:val="01E0"/>
      </w:tblPr>
      <w:tblGrid>
        <w:gridCol w:w="3127"/>
        <w:gridCol w:w="3669"/>
      </w:tblGrid>
      <w:tr w:rsidR="00361DF2" w:rsidRPr="00361DF2" w:rsidTr="00361DF2">
        <w:tc>
          <w:tcPr>
            <w:tcW w:w="3127" w:type="dxa"/>
          </w:tcPr>
          <w:p w:rsidR="00361DF2" w:rsidRPr="00361DF2" w:rsidRDefault="00361DF2" w:rsidP="00361DF2">
            <w:pPr>
              <w:spacing w:before="0"/>
              <w:rPr>
                <w:i/>
              </w:rPr>
            </w:pPr>
            <w:r w:rsidRPr="00361DF2">
              <w:rPr>
                <w:i/>
              </w:rPr>
              <w:t>Представлено:</w:t>
            </w:r>
          </w:p>
        </w:tc>
        <w:tc>
          <w:tcPr>
            <w:cnfStyle w:val="000100000000"/>
            <w:tcW w:w="36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 xml:space="preserve">Клодом Ори (представлен адвокатом </w:t>
            </w:r>
            <w:proofErr w:type="spellStart"/>
            <w:r w:rsidRPr="00361DF2">
              <w:t>Жеромом</w:t>
            </w:r>
            <w:proofErr w:type="spellEnd"/>
            <w:r w:rsidRPr="00361DF2">
              <w:t xml:space="preserve"> </w:t>
            </w:r>
            <w:proofErr w:type="spellStart"/>
            <w:r w:rsidRPr="00361DF2">
              <w:t>Вейнаром</w:t>
            </w:r>
            <w:proofErr w:type="spellEnd"/>
            <w:r w:rsidRPr="00361DF2">
              <w:t>)</w:t>
            </w:r>
          </w:p>
        </w:tc>
      </w:tr>
      <w:tr w:rsidR="00361DF2" w:rsidRPr="00361DF2" w:rsidTr="00361DF2">
        <w:tc>
          <w:tcPr>
            <w:tcW w:w="3127" w:type="dxa"/>
          </w:tcPr>
          <w:p w:rsidR="00361DF2" w:rsidRPr="00361DF2" w:rsidRDefault="00361DF2" w:rsidP="00361DF2">
            <w:pPr>
              <w:spacing w:before="0"/>
              <w:rPr>
                <w:i/>
              </w:rPr>
            </w:pPr>
            <w:r w:rsidRPr="00361DF2">
              <w:rPr>
                <w:i/>
              </w:rPr>
              <w:t>Предполагаемая жертва:</w:t>
            </w:r>
          </w:p>
        </w:tc>
        <w:tc>
          <w:tcPr>
            <w:cnfStyle w:val="000100000000"/>
            <w:tcW w:w="3669" w:type="dxa"/>
            <w:tcBorders>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автор</w:t>
            </w:r>
          </w:p>
        </w:tc>
      </w:tr>
      <w:tr w:rsidR="00361DF2" w:rsidRPr="00361DF2" w:rsidTr="00361DF2">
        <w:tc>
          <w:tcPr>
            <w:tcW w:w="3127" w:type="dxa"/>
          </w:tcPr>
          <w:p w:rsidR="00361DF2" w:rsidRPr="00361DF2" w:rsidRDefault="00361DF2" w:rsidP="00361DF2">
            <w:pPr>
              <w:spacing w:before="0"/>
              <w:rPr>
                <w:i/>
              </w:rPr>
            </w:pPr>
            <w:r w:rsidRPr="00361DF2">
              <w:rPr>
                <w:i/>
              </w:rPr>
              <w:t>Государство-участник:</w:t>
            </w:r>
          </w:p>
        </w:tc>
        <w:tc>
          <w:tcPr>
            <w:cnfStyle w:val="000100000000"/>
            <w:tcW w:w="3669" w:type="dxa"/>
            <w:tcBorders>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 xml:space="preserve">Франция </w:t>
            </w:r>
          </w:p>
        </w:tc>
      </w:tr>
      <w:tr w:rsidR="00361DF2" w:rsidRPr="00361DF2" w:rsidTr="00361DF2">
        <w:tc>
          <w:tcPr>
            <w:tcW w:w="3127" w:type="dxa"/>
          </w:tcPr>
          <w:p w:rsidR="00361DF2" w:rsidRPr="00361DF2" w:rsidRDefault="00361DF2" w:rsidP="00361DF2">
            <w:pPr>
              <w:spacing w:before="0"/>
              <w:rPr>
                <w:i/>
              </w:rPr>
            </w:pPr>
            <w:r w:rsidRPr="00361DF2">
              <w:rPr>
                <w:i/>
              </w:rPr>
              <w:t>Дата сообщения:</w:t>
            </w:r>
          </w:p>
        </w:tc>
        <w:tc>
          <w:tcPr>
            <w:cnfStyle w:val="000100000000"/>
            <w:tcW w:w="3669" w:type="dxa"/>
            <w:tcBorders>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1 апреля 2010</w:t>
            </w:r>
            <w:r>
              <w:t> год</w:t>
            </w:r>
            <w:r w:rsidRPr="00361DF2">
              <w:t>а (первоначальное представление)</w:t>
            </w:r>
          </w:p>
        </w:tc>
      </w:tr>
      <w:tr w:rsidR="00361DF2" w:rsidRPr="00361DF2" w:rsidTr="00361DF2">
        <w:tc>
          <w:tcPr>
            <w:tcW w:w="3127" w:type="dxa"/>
          </w:tcPr>
          <w:p w:rsidR="00361DF2" w:rsidRPr="00361DF2" w:rsidRDefault="00361DF2" w:rsidP="00361DF2">
            <w:pPr>
              <w:spacing w:before="0"/>
              <w:rPr>
                <w:i/>
              </w:rPr>
            </w:pPr>
            <w:r w:rsidRPr="00361DF2">
              <w:rPr>
                <w:i/>
              </w:rPr>
              <w:t>Справочная документация:</w:t>
            </w:r>
          </w:p>
        </w:tc>
        <w:tc>
          <w:tcPr>
            <w:cnfStyle w:val="000100000000"/>
            <w:tcW w:w="3669" w:type="dxa"/>
            <w:tcBorders>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Решение Специального докладчика в</w:t>
            </w:r>
            <w:r>
              <w:rPr>
                <w:lang w:val="en-US"/>
              </w:rPr>
              <w:t> </w:t>
            </w:r>
            <w:r w:rsidRPr="00361DF2">
              <w:t>соответствии с правилом 97 правил процедуры, препровожденное госуда</w:t>
            </w:r>
            <w:r w:rsidRPr="00361DF2">
              <w:t>р</w:t>
            </w:r>
            <w:r w:rsidRPr="00361DF2">
              <w:t>ству-участнику 28 июля 2010</w:t>
            </w:r>
            <w:r>
              <w:t> год</w:t>
            </w:r>
            <w:r w:rsidRPr="00361DF2">
              <w:t>а (в</w:t>
            </w:r>
            <w:r>
              <w:rPr>
                <w:lang w:val="en-US"/>
              </w:rPr>
              <w:t> </w:t>
            </w:r>
            <w:r w:rsidRPr="00361DF2">
              <w:t>виде документа не издавалось)</w:t>
            </w:r>
          </w:p>
        </w:tc>
      </w:tr>
      <w:tr w:rsidR="00361DF2" w:rsidRPr="00361DF2" w:rsidTr="00361DF2">
        <w:tc>
          <w:tcPr>
            <w:tcW w:w="3127" w:type="dxa"/>
          </w:tcPr>
          <w:p w:rsidR="00361DF2" w:rsidRPr="00361DF2" w:rsidRDefault="00361DF2" w:rsidP="00361DF2">
            <w:pPr>
              <w:spacing w:before="0"/>
              <w:rPr>
                <w:i/>
              </w:rPr>
            </w:pPr>
            <w:r w:rsidRPr="00361DF2">
              <w:rPr>
                <w:i/>
              </w:rPr>
              <w:t>Дата принятия Соображений:</w:t>
            </w:r>
          </w:p>
        </w:tc>
        <w:tc>
          <w:tcPr>
            <w:cnfStyle w:val="000100000000"/>
            <w:tcW w:w="3669" w:type="dxa"/>
            <w:tcBorders>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28 марта 2014</w:t>
            </w:r>
            <w:r>
              <w:t> год</w:t>
            </w:r>
            <w:r w:rsidRPr="00361DF2">
              <w:t>а</w:t>
            </w:r>
          </w:p>
        </w:tc>
      </w:tr>
      <w:tr w:rsidR="00361DF2" w:rsidRPr="00361DF2" w:rsidTr="00361DF2">
        <w:tc>
          <w:tcPr>
            <w:tcW w:w="3127" w:type="dxa"/>
          </w:tcPr>
          <w:p w:rsidR="00361DF2" w:rsidRPr="00361DF2" w:rsidRDefault="00361DF2" w:rsidP="00361DF2">
            <w:pPr>
              <w:spacing w:before="0"/>
              <w:rPr>
                <w:i/>
              </w:rPr>
            </w:pPr>
            <w:r w:rsidRPr="00361DF2">
              <w:rPr>
                <w:i/>
              </w:rPr>
              <w:t xml:space="preserve">Тема сообщения: </w:t>
            </w:r>
          </w:p>
        </w:tc>
        <w:tc>
          <w:tcPr>
            <w:cnfStyle w:val="000100000000"/>
            <w:tcW w:w="3669" w:type="dxa"/>
            <w:tcBorders>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 xml:space="preserve">Обвинительный приговор члену </w:t>
            </w:r>
            <w:r>
              <w:t>"</w:t>
            </w:r>
            <w:r w:rsidRPr="00361DF2">
              <w:t>странствующей общины</w:t>
            </w:r>
            <w:r>
              <w:t>"</w:t>
            </w:r>
            <w:r w:rsidRPr="00361DF2">
              <w:t xml:space="preserve"> за отсутс</w:t>
            </w:r>
            <w:r w:rsidRPr="00361DF2">
              <w:t>т</w:t>
            </w:r>
            <w:r w:rsidRPr="00361DF2">
              <w:t>вие автомобильной страховки и разр</w:t>
            </w:r>
            <w:r w:rsidRPr="00361DF2">
              <w:t>е</w:t>
            </w:r>
            <w:r w:rsidRPr="00361DF2">
              <w:t xml:space="preserve">шения на передвижение </w:t>
            </w:r>
          </w:p>
        </w:tc>
      </w:tr>
      <w:tr w:rsidR="00361DF2" w:rsidRPr="00361DF2" w:rsidTr="00361DF2">
        <w:tc>
          <w:tcPr>
            <w:tcW w:w="3127" w:type="dxa"/>
          </w:tcPr>
          <w:p w:rsidR="00361DF2" w:rsidRPr="00361DF2" w:rsidRDefault="00361DF2" w:rsidP="00361DF2">
            <w:pPr>
              <w:spacing w:before="0"/>
              <w:rPr>
                <w:i/>
              </w:rPr>
            </w:pPr>
            <w:r w:rsidRPr="00361DF2">
              <w:rPr>
                <w:i/>
              </w:rPr>
              <w:t xml:space="preserve">Процедурные вопросы: </w:t>
            </w:r>
          </w:p>
        </w:tc>
        <w:tc>
          <w:tcPr>
            <w:cnfStyle w:val="000100000000"/>
            <w:tcW w:w="3669" w:type="dxa"/>
            <w:tcBorders>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 xml:space="preserve">Рассмотрение этого же вопроса другой международной инстанцией; </w:t>
            </w:r>
            <w:proofErr w:type="spellStart"/>
            <w:r w:rsidRPr="00361DF2">
              <w:t>неисче</w:t>
            </w:r>
            <w:r w:rsidRPr="00361DF2">
              <w:t>р</w:t>
            </w:r>
            <w:r w:rsidRPr="00361DF2">
              <w:t>пание</w:t>
            </w:r>
            <w:proofErr w:type="spellEnd"/>
            <w:r w:rsidRPr="00361DF2">
              <w:t xml:space="preserve"> внутренних средств правовой защиты</w:t>
            </w:r>
          </w:p>
        </w:tc>
      </w:tr>
      <w:tr w:rsidR="00361DF2" w:rsidRPr="00361DF2" w:rsidTr="00361DF2">
        <w:tc>
          <w:tcPr>
            <w:tcW w:w="3127" w:type="dxa"/>
          </w:tcPr>
          <w:p w:rsidR="00361DF2" w:rsidRPr="00361DF2" w:rsidRDefault="00361DF2" w:rsidP="00361DF2">
            <w:pPr>
              <w:spacing w:before="0"/>
              <w:rPr>
                <w:i/>
              </w:rPr>
            </w:pPr>
            <w:r w:rsidRPr="00361DF2">
              <w:rPr>
                <w:i/>
              </w:rPr>
              <w:t xml:space="preserve">Вопросы существа: </w:t>
            </w:r>
          </w:p>
        </w:tc>
        <w:tc>
          <w:tcPr>
            <w:cnfStyle w:val="000100000000"/>
            <w:tcW w:w="3669" w:type="dxa"/>
            <w:tcBorders>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Право на свободу передвижения; ди</w:t>
            </w:r>
            <w:r w:rsidRPr="00361DF2">
              <w:t>с</w:t>
            </w:r>
            <w:r w:rsidRPr="00361DF2">
              <w:t xml:space="preserve">криминация и равная защита закона </w:t>
            </w:r>
          </w:p>
        </w:tc>
      </w:tr>
      <w:tr w:rsidR="00361DF2" w:rsidRPr="00361DF2" w:rsidTr="00361DF2">
        <w:tc>
          <w:tcPr>
            <w:tcW w:w="3127" w:type="dxa"/>
          </w:tcPr>
          <w:p w:rsidR="00361DF2" w:rsidRPr="00361DF2" w:rsidRDefault="00361DF2" w:rsidP="00361DF2">
            <w:pPr>
              <w:spacing w:before="0"/>
              <w:rPr>
                <w:i/>
              </w:rPr>
            </w:pPr>
            <w:r w:rsidRPr="00361DF2">
              <w:rPr>
                <w:i/>
              </w:rPr>
              <w:t xml:space="preserve">Статьи Пакта: </w:t>
            </w:r>
          </w:p>
        </w:tc>
        <w:tc>
          <w:tcPr>
            <w:cnfStyle w:val="000100000000"/>
            <w:tcW w:w="3669" w:type="dxa"/>
            <w:tcBorders>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12 (пункт 1) и 26</w:t>
            </w:r>
          </w:p>
        </w:tc>
      </w:tr>
      <w:tr w:rsidR="00361DF2" w:rsidRPr="00361DF2" w:rsidTr="00361DF2">
        <w:tc>
          <w:tcPr>
            <w:tcW w:w="3127" w:type="dxa"/>
          </w:tcPr>
          <w:p w:rsidR="00361DF2" w:rsidRPr="00361DF2" w:rsidRDefault="00361DF2" w:rsidP="00361DF2">
            <w:pPr>
              <w:spacing w:before="0"/>
              <w:rPr>
                <w:i/>
              </w:rPr>
            </w:pPr>
            <w:r w:rsidRPr="00361DF2">
              <w:rPr>
                <w:i/>
              </w:rPr>
              <w:t>Статья Факультативного пр</w:t>
            </w:r>
            <w:r w:rsidRPr="00361DF2">
              <w:rPr>
                <w:i/>
              </w:rPr>
              <w:t>о</w:t>
            </w:r>
            <w:r w:rsidRPr="00361DF2">
              <w:rPr>
                <w:i/>
              </w:rPr>
              <w:t>токола:</w:t>
            </w:r>
            <w:r>
              <w:rPr>
                <w:i/>
              </w:rPr>
              <w:t xml:space="preserve"> </w:t>
            </w:r>
          </w:p>
        </w:tc>
        <w:tc>
          <w:tcPr>
            <w:cnfStyle w:val="000100000000"/>
            <w:tcW w:w="3669" w:type="dxa"/>
            <w:tcBorders>
              <w:left w:val="none" w:sz="0" w:space="0" w:color="auto"/>
              <w:bottom w:val="none" w:sz="0" w:space="0" w:color="auto"/>
              <w:right w:val="none" w:sz="0" w:space="0" w:color="auto"/>
              <w:tl2br w:val="none" w:sz="0" w:space="0" w:color="auto"/>
              <w:tr2bl w:val="none" w:sz="0" w:space="0" w:color="auto"/>
            </w:tcBorders>
          </w:tcPr>
          <w:p w:rsidR="00361DF2" w:rsidRPr="00361DF2" w:rsidRDefault="00361DF2" w:rsidP="00361DF2">
            <w:pPr>
              <w:spacing w:before="0"/>
            </w:pPr>
            <w:r w:rsidRPr="00361DF2">
              <w:t>5 (подпункты a) и b) пункта 2)</w:t>
            </w:r>
          </w:p>
        </w:tc>
      </w:tr>
    </w:tbl>
    <w:p w:rsidR="00361DF2" w:rsidRPr="00361DF2" w:rsidRDefault="00361DF2" w:rsidP="00361DF2">
      <w:pPr>
        <w:pStyle w:val="HChGR"/>
      </w:pPr>
      <w:r w:rsidRPr="00361DF2">
        <w:br w:type="page"/>
        <w:t>Приложение</w:t>
      </w:r>
    </w:p>
    <w:p w:rsidR="00361DF2" w:rsidRPr="00361DF2" w:rsidRDefault="00361DF2" w:rsidP="00361DF2">
      <w:pPr>
        <w:pStyle w:val="HChGR"/>
      </w:pPr>
      <w:r w:rsidRPr="00361DF2">
        <w:tab/>
      </w:r>
      <w:r w:rsidRPr="00361DF2">
        <w:tab/>
        <w:t>Соображения Комитета по правам человека в</w:t>
      </w:r>
      <w:r w:rsidRPr="00361DF2">
        <w:rPr>
          <w:lang w:val="fr-CH"/>
        </w:rPr>
        <w:t> </w:t>
      </w:r>
      <w:r w:rsidRPr="00361DF2">
        <w:t>соответствии с</w:t>
      </w:r>
      <w:r w:rsidRPr="00361DF2">
        <w:rPr>
          <w:lang w:val="fr-CH"/>
        </w:rPr>
        <w:t> </w:t>
      </w:r>
      <w:r w:rsidRPr="00361DF2">
        <w:t>пунктом 4 статьи 5 Факультативного протокола к</w:t>
      </w:r>
      <w:r w:rsidRPr="00361DF2">
        <w:rPr>
          <w:lang w:val="fr-CH"/>
        </w:rPr>
        <w:t> </w:t>
      </w:r>
      <w:r w:rsidRPr="00361DF2">
        <w:t>Международному па</w:t>
      </w:r>
      <w:r w:rsidRPr="00361DF2">
        <w:t>к</w:t>
      </w:r>
      <w:r w:rsidRPr="00361DF2">
        <w:t xml:space="preserve">ту о гражданских и политических правах (110-я сессия) </w:t>
      </w:r>
    </w:p>
    <w:p w:rsidR="00361DF2" w:rsidRPr="00361DF2" w:rsidRDefault="00361DF2" w:rsidP="00361DF2">
      <w:pPr>
        <w:pStyle w:val="SingleTxtGR"/>
      </w:pPr>
      <w:r w:rsidRPr="00361DF2">
        <w:t>относительно</w:t>
      </w:r>
    </w:p>
    <w:p w:rsidR="00361DF2" w:rsidRPr="00361DF2" w:rsidRDefault="00361DF2" w:rsidP="00361DF2">
      <w:pPr>
        <w:pStyle w:val="H1GR"/>
      </w:pPr>
      <w:r w:rsidRPr="00361DF2">
        <w:tab/>
      </w:r>
      <w:r w:rsidRPr="00361DF2">
        <w:tab/>
        <w:t>Сообщения № 1960/2010</w:t>
      </w:r>
      <w:r w:rsidRPr="00361DF2">
        <w:rPr>
          <w:b w:val="0"/>
          <w:bCs/>
          <w:sz w:val="20"/>
        </w:rPr>
        <w:footnoteReference w:customMarkFollows="1" w:id="1"/>
        <w:t>*</w:t>
      </w:r>
    </w:p>
    <w:tbl>
      <w:tblPr>
        <w:tblStyle w:val="TabTxt"/>
        <w:tblW w:w="6824" w:type="dxa"/>
        <w:tblInd w:w="1680" w:type="dxa"/>
        <w:tblBorders>
          <w:top w:val="none" w:sz="0" w:space="0" w:color="auto"/>
          <w:bottom w:val="none" w:sz="0" w:space="0" w:color="auto"/>
        </w:tblBorders>
        <w:tblLook w:val="01E0"/>
      </w:tblPr>
      <w:tblGrid>
        <w:gridCol w:w="3155"/>
        <w:gridCol w:w="3669"/>
      </w:tblGrid>
      <w:tr w:rsidR="00361DF2" w:rsidRPr="00361DF2" w:rsidTr="00361DF2">
        <w:tc>
          <w:tcPr>
            <w:tcW w:w="3155" w:type="dxa"/>
          </w:tcPr>
          <w:p w:rsidR="00361DF2" w:rsidRPr="00361DF2" w:rsidRDefault="00361DF2" w:rsidP="00361DF2">
            <w:pPr>
              <w:spacing w:before="0"/>
              <w:rPr>
                <w:i/>
              </w:rPr>
            </w:pPr>
            <w:r w:rsidRPr="00361DF2">
              <w:rPr>
                <w:i/>
              </w:rPr>
              <w:t>Представлено:</w:t>
            </w:r>
          </w:p>
        </w:tc>
        <w:tc>
          <w:tcPr>
            <w:cnfStyle w:val="000100000000"/>
            <w:tcW w:w="3669" w:type="dxa"/>
          </w:tcPr>
          <w:p w:rsidR="00361DF2" w:rsidRPr="00361DF2" w:rsidRDefault="00361DF2" w:rsidP="00361DF2">
            <w:pPr>
              <w:spacing w:before="0"/>
            </w:pPr>
            <w:r w:rsidRPr="00361DF2">
              <w:t xml:space="preserve">Клодом Ори (представлен адвокатом </w:t>
            </w:r>
            <w:proofErr w:type="spellStart"/>
            <w:r w:rsidRPr="00361DF2">
              <w:t>Жеромом</w:t>
            </w:r>
            <w:proofErr w:type="spellEnd"/>
            <w:r w:rsidRPr="00361DF2">
              <w:t xml:space="preserve"> </w:t>
            </w:r>
            <w:proofErr w:type="spellStart"/>
            <w:r w:rsidRPr="00361DF2">
              <w:t>Вейнаром</w:t>
            </w:r>
            <w:proofErr w:type="spellEnd"/>
            <w:r w:rsidRPr="00361DF2">
              <w:t>)</w:t>
            </w:r>
          </w:p>
        </w:tc>
      </w:tr>
      <w:tr w:rsidR="00361DF2" w:rsidRPr="00361DF2" w:rsidTr="00361DF2">
        <w:tc>
          <w:tcPr>
            <w:tcW w:w="3155" w:type="dxa"/>
          </w:tcPr>
          <w:p w:rsidR="00361DF2" w:rsidRPr="00361DF2" w:rsidRDefault="00361DF2" w:rsidP="00361DF2">
            <w:pPr>
              <w:spacing w:before="0"/>
              <w:rPr>
                <w:i/>
              </w:rPr>
            </w:pPr>
            <w:r w:rsidRPr="00361DF2">
              <w:rPr>
                <w:i/>
              </w:rPr>
              <w:t>Предполагаемая жертва:</w:t>
            </w:r>
          </w:p>
        </w:tc>
        <w:tc>
          <w:tcPr>
            <w:cnfStyle w:val="000100000000"/>
            <w:tcW w:w="3669" w:type="dxa"/>
          </w:tcPr>
          <w:p w:rsidR="00361DF2" w:rsidRPr="00361DF2" w:rsidRDefault="00361DF2" w:rsidP="00361DF2">
            <w:pPr>
              <w:spacing w:before="0"/>
            </w:pPr>
            <w:r w:rsidRPr="00361DF2">
              <w:t>автор</w:t>
            </w:r>
          </w:p>
        </w:tc>
      </w:tr>
      <w:tr w:rsidR="00361DF2" w:rsidRPr="00361DF2" w:rsidTr="00361DF2">
        <w:tc>
          <w:tcPr>
            <w:tcW w:w="3155" w:type="dxa"/>
          </w:tcPr>
          <w:p w:rsidR="00361DF2" w:rsidRPr="00361DF2" w:rsidRDefault="00361DF2" w:rsidP="00361DF2">
            <w:pPr>
              <w:spacing w:before="0"/>
              <w:rPr>
                <w:i/>
              </w:rPr>
            </w:pPr>
            <w:r w:rsidRPr="00361DF2">
              <w:rPr>
                <w:i/>
              </w:rPr>
              <w:t>Государство-участник:</w:t>
            </w:r>
          </w:p>
        </w:tc>
        <w:tc>
          <w:tcPr>
            <w:cnfStyle w:val="000100000000"/>
            <w:tcW w:w="3669" w:type="dxa"/>
            <w:tcBorders>
              <w:bottom w:val="none" w:sz="0" w:space="0" w:color="auto"/>
            </w:tcBorders>
          </w:tcPr>
          <w:p w:rsidR="00361DF2" w:rsidRPr="00361DF2" w:rsidRDefault="00361DF2" w:rsidP="00361DF2">
            <w:pPr>
              <w:spacing w:before="0"/>
            </w:pPr>
            <w:r w:rsidRPr="00361DF2">
              <w:t xml:space="preserve">Франция </w:t>
            </w:r>
          </w:p>
        </w:tc>
      </w:tr>
      <w:tr w:rsidR="00361DF2" w:rsidRPr="00361DF2" w:rsidTr="00361DF2">
        <w:tc>
          <w:tcPr>
            <w:tcW w:w="3155" w:type="dxa"/>
          </w:tcPr>
          <w:p w:rsidR="00361DF2" w:rsidRPr="00361DF2" w:rsidRDefault="00361DF2" w:rsidP="00361DF2">
            <w:pPr>
              <w:spacing w:before="0"/>
              <w:rPr>
                <w:i/>
              </w:rPr>
            </w:pPr>
            <w:r w:rsidRPr="00361DF2">
              <w:rPr>
                <w:i/>
              </w:rPr>
              <w:t>Дата сообщения:</w:t>
            </w:r>
          </w:p>
        </w:tc>
        <w:tc>
          <w:tcPr>
            <w:cnfStyle w:val="000100000000"/>
            <w:tcW w:w="3669" w:type="dxa"/>
            <w:tcBorders>
              <w:bottom w:val="none" w:sz="0" w:space="0" w:color="auto"/>
            </w:tcBorders>
          </w:tcPr>
          <w:p w:rsidR="00361DF2" w:rsidRPr="00361DF2" w:rsidRDefault="00361DF2" w:rsidP="00361DF2">
            <w:pPr>
              <w:spacing w:before="0"/>
            </w:pPr>
            <w:r w:rsidRPr="00361DF2">
              <w:t>1 апреля 2010</w:t>
            </w:r>
            <w:r>
              <w:t> год</w:t>
            </w:r>
            <w:r w:rsidRPr="00361DF2">
              <w:t>а (первоначальное представление)</w:t>
            </w:r>
          </w:p>
        </w:tc>
      </w:tr>
    </w:tbl>
    <w:p w:rsidR="00361DF2" w:rsidRPr="00361DF2" w:rsidRDefault="00361DF2" w:rsidP="00361DF2">
      <w:pPr>
        <w:pStyle w:val="SingleTxtGR"/>
        <w:rPr>
          <w:i/>
        </w:rPr>
      </w:pPr>
      <w:r>
        <w:rPr>
          <w:i/>
        </w:rPr>
        <w:tab/>
      </w:r>
      <w:r w:rsidRPr="00361DF2">
        <w:rPr>
          <w:i/>
        </w:rPr>
        <w:t>Комитет по правам человека</w:t>
      </w:r>
      <w:r w:rsidRPr="00361DF2">
        <w:t>, учрежденный в соответствии со статьей 28 Ме</w:t>
      </w:r>
      <w:r w:rsidRPr="00361DF2">
        <w:t>ж</w:t>
      </w:r>
      <w:r w:rsidRPr="00361DF2">
        <w:t>дународного пакта о гражданских и политических правах,</w:t>
      </w:r>
    </w:p>
    <w:p w:rsidR="00361DF2" w:rsidRPr="00361DF2" w:rsidRDefault="00361DF2" w:rsidP="00361DF2">
      <w:pPr>
        <w:pStyle w:val="SingleTxtGR"/>
        <w:rPr>
          <w:i/>
          <w:iCs/>
        </w:rPr>
      </w:pPr>
      <w:r w:rsidRPr="00361DF2">
        <w:rPr>
          <w:i/>
        </w:rPr>
        <w:tab/>
        <w:t>на своем заседании</w:t>
      </w:r>
      <w:r w:rsidRPr="00361DF2">
        <w:rPr>
          <w:i/>
          <w:iCs/>
          <w:lang w:val="fr-CH"/>
        </w:rPr>
        <w:t> </w:t>
      </w:r>
      <w:r w:rsidRPr="00361DF2">
        <w:t>28 марта 2014</w:t>
      </w:r>
      <w:r>
        <w:t> год</w:t>
      </w:r>
      <w:r w:rsidRPr="00361DF2">
        <w:t>а,</w:t>
      </w:r>
    </w:p>
    <w:p w:rsidR="00361DF2" w:rsidRPr="00361DF2" w:rsidRDefault="00361DF2" w:rsidP="00361DF2">
      <w:pPr>
        <w:pStyle w:val="SingleTxtGR"/>
        <w:rPr>
          <w:i/>
          <w:iCs/>
        </w:rPr>
      </w:pPr>
      <w:r w:rsidRPr="00361DF2">
        <w:rPr>
          <w:i/>
          <w:iCs/>
        </w:rPr>
        <w:tab/>
      </w:r>
      <w:r w:rsidRPr="00361DF2">
        <w:rPr>
          <w:i/>
        </w:rPr>
        <w:t>завершив</w:t>
      </w:r>
      <w:r w:rsidRPr="00361DF2">
        <w:t xml:space="preserve"> рассмотрение сообщения № 1960/2010, представленного Кл</w:t>
      </w:r>
      <w:r w:rsidRPr="00361DF2">
        <w:t>о</w:t>
      </w:r>
      <w:r w:rsidRPr="00361DF2">
        <w:t>дом Ори в соответствии с Факультативным протоколом к Международному па</w:t>
      </w:r>
      <w:r w:rsidRPr="00361DF2">
        <w:t>к</w:t>
      </w:r>
      <w:r w:rsidRPr="00361DF2">
        <w:t>ту о гражданских и политических правах,</w:t>
      </w:r>
    </w:p>
    <w:p w:rsidR="00361DF2" w:rsidRPr="00361DF2" w:rsidRDefault="00361DF2" w:rsidP="00361DF2">
      <w:pPr>
        <w:pStyle w:val="SingleTxtGR"/>
        <w:rPr>
          <w:i/>
        </w:rPr>
      </w:pPr>
      <w:r w:rsidRPr="00361DF2">
        <w:rPr>
          <w:i/>
          <w:iCs/>
        </w:rPr>
        <w:tab/>
      </w:r>
      <w:r w:rsidRPr="00361DF2">
        <w:rPr>
          <w:i/>
        </w:rPr>
        <w:t>приняв во внимание</w:t>
      </w:r>
      <w:r w:rsidRPr="00361DF2">
        <w:t xml:space="preserve"> всю письменную информацию, представленную ему автором сообщения и государством-участником,</w:t>
      </w:r>
    </w:p>
    <w:p w:rsidR="00361DF2" w:rsidRPr="00361DF2" w:rsidRDefault="00361DF2" w:rsidP="00361DF2">
      <w:pPr>
        <w:pStyle w:val="SingleTxtGR"/>
      </w:pPr>
      <w:r w:rsidRPr="00361DF2">
        <w:rPr>
          <w:i/>
        </w:rPr>
        <w:tab/>
        <w:t>принимает</w:t>
      </w:r>
      <w:r w:rsidRPr="00361DF2">
        <w:t xml:space="preserve"> следующее:</w:t>
      </w:r>
    </w:p>
    <w:p w:rsidR="00361DF2" w:rsidRPr="00361DF2" w:rsidRDefault="00361DF2" w:rsidP="00361DF2">
      <w:pPr>
        <w:pStyle w:val="H1GR"/>
      </w:pPr>
      <w:r w:rsidRPr="00361DF2">
        <w:tab/>
      </w:r>
      <w:r w:rsidRPr="00361DF2">
        <w:tab/>
        <w:t>Соображения в соответствии с пунктом 4 статьи 5 Факультативного протокола</w:t>
      </w:r>
    </w:p>
    <w:p w:rsidR="00361DF2" w:rsidRPr="00361DF2" w:rsidRDefault="00361DF2" w:rsidP="00361DF2">
      <w:pPr>
        <w:pStyle w:val="SingleTxtGR"/>
      </w:pPr>
      <w:r w:rsidRPr="00361DF2">
        <w:t>1.1</w:t>
      </w:r>
      <w:r w:rsidRPr="00361DF2">
        <w:tab/>
        <w:t>Автором сообщения от 1 апреля 2010</w:t>
      </w:r>
      <w:r>
        <w:t> год</w:t>
      </w:r>
      <w:r w:rsidRPr="00361DF2">
        <w:t>а является Клод Ори, родивши</w:t>
      </w:r>
      <w:r w:rsidRPr="00361DF2">
        <w:t>й</w:t>
      </w:r>
      <w:r w:rsidRPr="00361DF2">
        <w:t>ся 1 декабря 1980</w:t>
      </w:r>
      <w:r>
        <w:t> год</w:t>
      </w:r>
      <w:r w:rsidRPr="00361DF2">
        <w:t xml:space="preserve">а в </w:t>
      </w:r>
      <w:proofErr w:type="spellStart"/>
      <w:r w:rsidRPr="00361DF2">
        <w:t>Шато-Гонтье</w:t>
      </w:r>
      <w:proofErr w:type="spellEnd"/>
      <w:r w:rsidRPr="00361DF2">
        <w:t>, Франция. Он считает себя жертвой н</w:t>
      </w:r>
      <w:r w:rsidRPr="00361DF2">
        <w:t>а</w:t>
      </w:r>
      <w:r w:rsidRPr="00361DF2">
        <w:t>рушения Францией своих прав, предусмотренных в пункте 1 статьи 12 и в ст</w:t>
      </w:r>
      <w:r w:rsidRPr="00361DF2">
        <w:t>а</w:t>
      </w:r>
      <w:r w:rsidRPr="00361DF2">
        <w:t>тье 26 Пакта. Он представлен адвокатом.</w:t>
      </w:r>
    </w:p>
    <w:p w:rsidR="00361DF2" w:rsidRPr="00361DF2" w:rsidRDefault="00361DF2" w:rsidP="00361DF2">
      <w:pPr>
        <w:pStyle w:val="SingleTxtGR"/>
      </w:pPr>
      <w:r w:rsidRPr="00361DF2">
        <w:t>1.2</w:t>
      </w:r>
      <w:r w:rsidRPr="00361DF2">
        <w:tab/>
        <w:t>18 октября 2010</w:t>
      </w:r>
      <w:r>
        <w:t> год</w:t>
      </w:r>
      <w:r w:rsidRPr="00361DF2">
        <w:t>а Специальный докладчик по новым сообщениям и временным мерам принял решение рассматривать вопрос о приемлемости с</w:t>
      </w:r>
      <w:r w:rsidRPr="00361DF2">
        <w:t>о</w:t>
      </w:r>
      <w:r w:rsidRPr="00361DF2">
        <w:t>общения одновременно с рассмотрением существа дела.</w:t>
      </w:r>
    </w:p>
    <w:p w:rsidR="00361DF2" w:rsidRPr="00361DF2" w:rsidRDefault="00361DF2" w:rsidP="00361DF2">
      <w:pPr>
        <w:pStyle w:val="H23GR"/>
      </w:pPr>
      <w:r w:rsidRPr="00361DF2">
        <w:tab/>
      </w:r>
      <w:r w:rsidRPr="00361DF2">
        <w:tab/>
        <w:t>Факты в изложении автора</w:t>
      </w:r>
    </w:p>
    <w:p w:rsidR="00361DF2" w:rsidRPr="00361DF2" w:rsidRDefault="00361DF2" w:rsidP="00361DF2">
      <w:pPr>
        <w:pStyle w:val="SingleTxtGR"/>
      </w:pPr>
      <w:r w:rsidRPr="00361DF2">
        <w:t>2.1</w:t>
      </w:r>
      <w:r w:rsidRPr="00361DF2">
        <w:tab/>
        <w:t xml:space="preserve">Автор является членом </w:t>
      </w:r>
      <w:r>
        <w:t>"</w:t>
      </w:r>
      <w:r w:rsidRPr="00361DF2">
        <w:t>странствующей общины</w:t>
      </w:r>
      <w:r>
        <w:t>"</w:t>
      </w:r>
      <w:r w:rsidRPr="00361DF2">
        <w:rPr>
          <w:vertAlign w:val="superscript"/>
          <w:lang w:val="fr-CH"/>
        </w:rPr>
        <w:footnoteReference w:id="2"/>
      </w:r>
      <w:r w:rsidRPr="00361DF2">
        <w:t>. Поскольку он прож</w:t>
      </w:r>
      <w:r w:rsidRPr="00361DF2">
        <w:t>и</w:t>
      </w:r>
      <w:r w:rsidRPr="00361DF2">
        <w:t xml:space="preserve">вает в автофургоне в городе </w:t>
      </w:r>
      <w:proofErr w:type="spellStart"/>
      <w:r w:rsidRPr="00361DF2">
        <w:t>Ле-Ман</w:t>
      </w:r>
      <w:proofErr w:type="spellEnd"/>
      <w:r w:rsidRPr="00361DF2">
        <w:t xml:space="preserve"> (департамент </w:t>
      </w:r>
      <w:proofErr w:type="spellStart"/>
      <w:r w:rsidRPr="00361DF2">
        <w:t>Сарт</w:t>
      </w:r>
      <w:proofErr w:type="spellEnd"/>
      <w:r w:rsidRPr="00361DF2">
        <w:t>), на него распростран</w:t>
      </w:r>
      <w:r w:rsidRPr="00361DF2">
        <w:t>я</w:t>
      </w:r>
      <w:r w:rsidRPr="00361DF2">
        <w:t>ется режим, предусмотренный Законом № 69-3 от 3 января 1969</w:t>
      </w:r>
      <w:r>
        <w:t> год</w:t>
      </w:r>
      <w:r w:rsidRPr="00361DF2">
        <w:t>а</w:t>
      </w:r>
      <w:r w:rsidRPr="00361DF2">
        <w:rPr>
          <w:vertAlign w:val="superscript"/>
          <w:lang w:val="fr-CH"/>
        </w:rPr>
        <w:footnoteReference w:id="3"/>
      </w:r>
      <w:r w:rsidRPr="00361DF2">
        <w:t xml:space="preserve"> и отн</w:t>
      </w:r>
      <w:r w:rsidRPr="00361DF2">
        <w:t>о</w:t>
      </w:r>
      <w:r w:rsidRPr="00361DF2">
        <w:t>сящимся к нему Указом № 70-708 от 31 июля 1970</w:t>
      </w:r>
      <w:r>
        <w:t> год</w:t>
      </w:r>
      <w:r w:rsidRPr="00361DF2">
        <w:t>а, согласно которому а</w:t>
      </w:r>
      <w:r w:rsidRPr="00361DF2">
        <w:t>в</w:t>
      </w:r>
      <w:r w:rsidRPr="00361DF2">
        <w:t>тор обязан иметь разрешение на передвижение и регулярно являться для его в</w:t>
      </w:r>
      <w:r w:rsidRPr="00361DF2">
        <w:t>и</w:t>
      </w:r>
      <w:r w:rsidRPr="00361DF2">
        <w:t>зирования в компетентные органы</w:t>
      </w:r>
      <w:r w:rsidRPr="00361DF2">
        <w:rPr>
          <w:vertAlign w:val="superscript"/>
          <w:lang w:val="fr-CH"/>
        </w:rPr>
        <w:footnoteReference w:id="4"/>
      </w:r>
      <w:r w:rsidRPr="00361DF2">
        <w:t>; в противном случае он может быть привл</w:t>
      </w:r>
      <w:r w:rsidRPr="00361DF2">
        <w:t>е</w:t>
      </w:r>
      <w:r w:rsidRPr="00361DF2">
        <w:t>чен к уголовной ответственности</w:t>
      </w:r>
      <w:r w:rsidRPr="00361DF2">
        <w:rPr>
          <w:vertAlign w:val="superscript"/>
          <w:lang w:val="fr-CH"/>
        </w:rPr>
        <w:footnoteReference w:id="5"/>
      </w:r>
      <w:r w:rsidRPr="00361DF2">
        <w:t xml:space="preserve">. В </w:t>
      </w:r>
      <w:r w:rsidRPr="00361DF2">
        <w:rPr>
          <w:lang w:val="fr-CH"/>
        </w:rPr>
        <w:t>2004</w:t>
      </w:r>
      <w:r>
        <w:t> год</w:t>
      </w:r>
      <w:r w:rsidRPr="00361DF2">
        <w:t>у автор, не имея регулярного д</w:t>
      </w:r>
      <w:r w:rsidRPr="00361DF2">
        <w:t>о</w:t>
      </w:r>
      <w:r w:rsidRPr="00361DF2">
        <w:t>хода, являлся обладателем путевой книжки, подлежавшей ежеквартальному в</w:t>
      </w:r>
      <w:r w:rsidRPr="00361DF2">
        <w:t>и</w:t>
      </w:r>
      <w:r w:rsidRPr="00361DF2">
        <w:t>зированию в правоохранительных органах, к</w:t>
      </w:r>
      <w:r w:rsidRPr="00361DF2">
        <w:t>о</w:t>
      </w:r>
      <w:r w:rsidRPr="00361DF2">
        <w:t>торая была выдана 2 февраля 1998</w:t>
      </w:r>
      <w:r>
        <w:t> год</w:t>
      </w:r>
      <w:r w:rsidRPr="00361DF2">
        <w:t>а и</w:t>
      </w:r>
      <w:r>
        <w:t xml:space="preserve"> </w:t>
      </w:r>
      <w:r w:rsidRPr="00361DF2">
        <w:t>визир</w:t>
      </w:r>
      <w:r w:rsidRPr="00361DF2">
        <w:t>о</w:t>
      </w:r>
      <w:r w:rsidRPr="00361DF2">
        <w:t>валась в последний раз 27 августа 2003</w:t>
      </w:r>
      <w:r>
        <w:t> год</w:t>
      </w:r>
      <w:r w:rsidRPr="00361DF2">
        <w:t>а.</w:t>
      </w:r>
    </w:p>
    <w:p w:rsidR="00361DF2" w:rsidRPr="00361DF2" w:rsidRDefault="00361DF2" w:rsidP="00361DF2">
      <w:pPr>
        <w:pStyle w:val="SingleTxtGR"/>
      </w:pPr>
      <w:r w:rsidRPr="00361DF2">
        <w:t>2.2</w:t>
      </w:r>
      <w:r w:rsidRPr="00361DF2">
        <w:tab/>
        <w:t>29 февраля 2004</w:t>
      </w:r>
      <w:r>
        <w:t> год</w:t>
      </w:r>
      <w:r w:rsidRPr="00361DF2">
        <w:t xml:space="preserve">а автор ехал на своем автофургоне на работу и был остановлен для проверки жандармами в коммуне </w:t>
      </w:r>
      <w:proofErr w:type="spellStart"/>
      <w:r w:rsidRPr="00361DF2">
        <w:t>Мезере</w:t>
      </w:r>
      <w:proofErr w:type="spellEnd"/>
      <w:r w:rsidRPr="00361DF2">
        <w:t xml:space="preserve"> (</w:t>
      </w:r>
      <w:proofErr w:type="spellStart"/>
      <w:r w:rsidRPr="00361DF2">
        <w:t>Сарт</w:t>
      </w:r>
      <w:proofErr w:type="spellEnd"/>
      <w:r w:rsidRPr="00361DF2">
        <w:t>). Они обратили</w:t>
      </w:r>
      <w:r>
        <w:t xml:space="preserve"> </w:t>
      </w:r>
      <w:r w:rsidRPr="00361DF2">
        <w:t>внимание автора на то, что у него нет ни автомобильной страхо</w:t>
      </w:r>
      <w:r w:rsidRPr="00361DF2">
        <w:t>в</w:t>
      </w:r>
      <w:r w:rsidRPr="00361DF2">
        <w:t>ки, ни отметки в его разрешении на передвижение. 11 марта 2006</w:t>
      </w:r>
      <w:r>
        <w:t> год</w:t>
      </w:r>
      <w:r w:rsidRPr="00361DF2">
        <w:t xml:space="preserve">а при повторной проверке жандармами в </w:t>
      </w:r>
      <w:proofErr w:type="spellStart"/>
      <w:r w:rsidRPr="00361DF2">
        <w:t>Обине-Ракан</w:t>
      </w:r>
      <w:proofErr w:type="spellEnd"/>
      <w:r w:rsidRPr="00361DF2">
        <w:t xml:space="preserve"> (</w:t>
      </w:r>
      <w:proofErr w:type="spellStart"/>
      <w:r w:rsidRPr="00361DF2">
        <w:t>Сарт</w:t>
      </w:r>
      <w:proofErr w:type="spellEnd"/>
      <w:r w:rsidRPr="00361DF2">
        <w:t>) его проинформировали о последствиях н</w:t>
      </w:r>
      <w:r w:rsidRPr="00361DF2">
        <w:t>а</w:t>
      </w:r>
      <w:r w:rsidRPr="00361DF2">
        <w:t>рушений, которые были констатированы 29 февраля 2004</w:t>
      </w:r>
      <w:r>
        <w:t> год</w:t>
      </w:r>
      <w:r w:rsidRPr="00361DF2">
        <w:t>а. Автора достав</w:t>
      </w:r>
      <w:r w:rsidRPr="00361DF2">
        <w:t>и</w:t>
      </w:r>
      <w:r w:rsidRPr="00361DF2">
        <w:t>ли в расположение бригады и допрашивали в течение четырех часов. Ему с</w:t>
      </w:r>
      <w:r w:rsidRPr="00361DF2">
        <w:t>о</w:t>
      </w:r>
      <w:r w:rsidRPr="00361DF2">
        <w:t>общили о постановлении от 23 ноября 2005</w:t>
      </w:r>
      <w:r>
        <w:t> год</w:t>
      </w:r>
      <w:r w:rsidRPr="00361DF2">
        <w:t>а, вынесенном заочно полице</w:t>
      </w:r>
      <w:r w:rsidRPr="00361DF2">
        <w:t>й</w:t>
      </w:r>
      <w:r w:rsidRPr="00361DF2">
        <w:t xml:space="preserve">ским судом </w:t>
      </w:r>
      <w:proofErr w:type="spellStart"/>
      <w:r w:rsidRPr="00361DF2">
        <w:t>Ля-Флеш</w:t>
      </w:r>
      <w:proofErr w:type="spellEnd"/>
      <w:r w:rsidRPr="00361DF2">
        <w:t xml:space="preserve"> (</w:t>
      </w:r>
      <w:proofErr w:type="spellStart"/>
      <w:r w:rsidRPr="00361DF2">
        <w:t>Сарт</w:t>
      </w:r>
      <w:proofErr w:type="spellEnd"/>
      <w:r w:rsidRPr="00361DF2">
        <w:t>), согласно которому он был осужден к уплате штр</w:t>
      </w:r>
      <w:r w:rsidRPr="00361DF2">
        <w:t>а</w:t>
      </w:r>
      <w:r w:rsidRPr="00361DF2">
        <w:t>фа в размере 150 евро за нарушение порядка визирования разрешения на пер</w:t>
      </w:r>
      <w:r w:rsidRPr="00361DF2">
        <w:t>е</w:t>
      </w:r>
      <w:r w:rsidRPr="00361DF2">
        <w:t>движение, а также к уплате штрафа в размере 300 евро и лишению водител</w:t>
      </w:r>
      <w:r w:rsidRPr="00361DF2">
        <w:t>ь</w:t>
      </w:r>
      <w:r w:rsidRPr="00361DF2">
        <w:t>ских прав на три месяца за отсутствие страховки. В адресе, указанном в пов</w:t>
      </w:r>
      <w:r w:rsidRPr="00361DF2">
        <w:t>е</w:t>
      </w:r>
      <w:r w:rsidRPr="00361DF2">
        <w:t>стках о вызове в суд, были упомянуты его разрешение на передвижение и н</w:t>
      </w:r>
      <w:r w:rsidRPr="00361DF2">
        <w:t>а</w:t>
      </w:r>
      <w:r w:rsidRPr="00361DF2">
        <w:t>звание коммуны, к кот</w:t>
      </w:r>
      <w:r w:rsidRPr="00361DF2">
        <w:t>о</w:t>
      </w:r>
      <w:r w:rsidRPr="00361DF2">
        <w:t xml:space="preserve">рой он был прикреплен. Поскольку коммуна </w:t>
      </w:r>
      <w:proofErr w:type="spellStart"/>
      <w:r w:rsidRPr="00361DF2">
        <w:t>Арнаж</w:t>
      </w:r>
      <w:proofErr w:type="spellEnd"/>
      <w:r w:rsidRPr="00361DF2">
        <w:t xml:space="preserve"> (</w:t>
      </w:r>
      <w:proofErr w:type="spellStart"/>
      <w:r w:rsidRPr="00361DF2">
        <w:t>Сарт</w:t>
      </w:r>
      <w:proofErr w:type="spellEnd"/>
      <w:r w:rsidRPr="00361DF2">
        <w:t>) не является местом его обычного проживания, он не получал там почт</w:t>
      </w:r>
      <w:r w:rsidRPr="00361DF2">
        <w:t>о</w:t>
      </w:r>
      <w:r w:rsidRPr="00361DF2">
        <w:t xml:space="preserve">вых отправлений на свое имя и не мог быть уведомлен о вызове в суд; таким образом, суд осудил его заочно. </w:t>
      </w:r>
    </w:p>
    <w:p w:rsidR="00361DF2" w:rsidRPr="00361DF2" w:rsidRDefault="00361DF2" w:rsidP="00361DF2">
      <w:pPr>
        <w:pStyle w:val="SingleTxtGR"/>
      </w:pPr>
      <w:r w:rsidRPr="00361DF2">
        <w:t xml:space="preserve">2.3 </w:t>
      </w:r>
      <w:r w:rsidRPr="00361DF2">
        <w:tab/>
        <w:t>Автор не имеет определенного местожительства или местопреб</w:t>
      </w:r>
      <w:r w:rsidRPr="00361DF2">
        <w:t>ы</w:t>
      </w:r>
      <w:r w:rsidRPr="00361DF2">
        <w:t>вания во Франции и постоянно живет в своем автофургоне. Он признает, что в устано</w:t>
      </w:r>
      <w:r w:rsidRPr="00361DF2">
        <w:t>в</w:t>
      </w:r>
      <w:r w:rsidRPr="00361DF2">
        <w:t>ленные сроки не явился в компетентный административный орган для проста</w:t>
      </w:r>
      <w:r w:rsidRPr="00361DF2">
        <w:t>в</w:t>
      </w:r>
      <w:r w:rsidRPr="00361DF2">
        <w:t>ления отметки в своем разрешении на передвижение. Он опротестовал заочное решение суда от 23 ноября 2005</w:t>
      </w:r>
      <w:r>
        <w:t> год</w:t>
      </w:r>
      <w:r w:rsidRPr="00361DF2">
        <w:t>а, и заместитель прокурора Республики г</w:t>
      </w:r>
      <w:r w:rsidRPr="00361DF2">
        <w:t>о</w:t>
      </w:r>
      <w:r w:rsidRPr="00361DF2">
        <w:t xml:space="preserve">рода </w:t>
      </w:r>
      <w:proofErr w:type="spellStart"/>
      <w:r w:rsidRPr="00361DF2">
        <w:t>Ле-Ман</w:t>
      </w:r>
      <w:proofErr w:type="spellEnd"/>
      <w:r w:rsidRPr="00361DF2">
        <w:t xml:space="preserve"> вызвал его на заседание полицейского суда </w:t>
      </w:r>
      <w:proofErr w:type="spellStart"/>
      <w:r w:rsidRPr="00361DF2">
        <w:t>Ля-Флеш</w:t>
      </w:r>
      <w:proofErr w:type="spellEnd"/>
      <w:r w:rsidRPr="00361DF2">
        <w:t xml:space="preserve"> 24 мая 2006</w:t>
      </w:r>
      <w:r>
        <w:t> год</w:t>
      </w:r>
      <w:r w:rsidRPr="00361DF2">
        <w:t>а. Для обеспечения своей защиты автор обратился с просьбой предо</w:t>
      </w:r>
      <w:r w:rsidRPr="00361DF2">
        <w:t>с</w:t>
      </w:r>
      <w:r w:rsidRPr="00361DF2">
        <w:t>тавить ему адвоката, который был ему предоставлен в рамках оказания прав</w:t>
      </w:r>
      <w:r w:rsidRPr="00361DF2">
        <w:t>о</w:t>
      </w:r>
      <w:r w:rsidRPr="00361DF2">
        <w:t>вой помощи. После подачи ходатайства о повторном рассмотрении дела автор, наконец, добился проведения слушания 27 сентября 2006</w:t>
      </w:r>
      <w:r>
        <w:t> год</w:t>
      </w:r>
      <w:r w:rsidRPr="00361DF2">
        <w:t>а. В процессе в</w:t>
      </w:r>
      <w:r w:rsidRPr="00361DF2">
        <w:t>е</w:t>
      </w:r>
      <w:r w:rsidRPr="00361DF2">
        <w:t>дения защиты его адвокат потребовал признать процедуру недействительной, сославшись на Протокол № 4 к Европейской конвенции о правах человека, ст</w:t>
      </w:r>
      <w:r w:rsidRPr="00361DF2">
        <w:t>а</w:t>
      </w:r>
      <w:r w:rsidRPr="00361DF2">
        <w:t xml:space="preserve">тья 2 которого гласит: </w:t>
      </w:r>
      <w:r>
        <w:t>"</w:t>
      </w:r>
      <w:r w:rsidRPr="00361DF2">
        <w:t>Каждый, кто на законных основаниях находится на те</w:t>
      </w:r>
      <w:r w:rsidRPr="00361DF2">
        <w:t>р</w:t>
      </w:r>
      <w:r w:rsidRPr="00361DF2">
        <w:t>ритории какого-либо государства, имеет в пределах этой территории право на свободу передвижения и свободу выбора местожительства</w:t>
      </w:r>
      <w:r>
        <w:t>"</w:t>
      </w:r>
      <w:r w:rsidRPr="00361DF2">
        <w:t>. 20 декабря 2006</w:t>
      </w:r>
      <w:r>
        <w:t> год</w:t>
      </w:r>
      <w:r w:rsidRPr="00361DF2">
        <w:t>а суд отклонил ходатайство о признании недействительным протокола, констатирующего нарушение режима визирования, пр</w:t>
      </w:r>
      <w:r w:rsidRPr="00361DF2">
        <w:t>и</w:t>
      </w:r>
      <w:r w:rsidRPr="00361DF2">
        <w:t>знал автора виновным в этом правонарушении и обязал его уплатить штраф в размере 100 евро (вместо пе</w:t>
      </w:r>
      <w:r w:rsidRPr="00361DF2">
        <w:t>р</w:t>
      </w:r>
      <w:r w:rsidRPr="00361DF2">
        <w:t xml:space="preserve">воначальной суммы в 150 евро). </w:t>
      </w:r>
    </w:p>
    <w:p w:rsidR="00361DF2" w:rsidRPr="00361DF2" w:rsidRDefault="00361DF2" w:rsidP="00361DF2">
      <w:pPr>
        <w:pStyle w:val="SingleTxtGR"/>
      </w:pPr>
      <w:r w:rsidRPr="00361DF2">
        <w:t xml:space="preserve">2.4 </w:t>
      </w:r>
      <w:r w:rsidRPr="00361DF2">
        <w:tab/>
        <w:t>28 декабря 2006</w:t>
      </w:r>
      <w:r>
        <w:t> год</w:t>
      </w:r>
      <w:r w:rsidRPr="00361DF2">
        <w:t>а автор обжаловал это постановление в апелляцио</w:t>
      </w:r>
      <w:r w:rsidRPr="00361DF2">
        <w:t>н</w:t>
      </w:r>
      <w:r w:rsidRPr="00361DF2">
        <w:t xml:space="preserve">ном суде </w:t>
      </w:r>
      <w:proofErr w:type="spellStart"/>
      <w:r w:rsidRPr="00361DF2">
        <w:t>Анже</w:t>
      </w:r>
      <w:proofErr w:type="spellEnd"/>
      <w:r w:rsidRPr="00361DF2">
        <w:t xml:space="preserve"> (департамент Мен и Луара). Он вновь обратился с просьбой о правовой помощи, которая была ему предоставлена. В ходе судебного разбир</w:t>
      </w:r>
      <w:r w:rsidRPr="00361DF2">
        <w:t>а</w:t>
      </w:r>
      <w:r w:rsidRPr="00361DF2">
        <w:t>тельства адвокат автора сослался на статью 14 Европе</w:t>
      </w:r>
      <w:r w:rsidRPr="00361DF2">
        <w:t>й</w:t>
      </w:r>
      <w:r w:rsidRPr="00361DF2">
        <w:t>ской конвенции о правах человека, запрещающей дискриминацию, поскольку возложенная на него об</w:t>
      </w:r>
      <w:r w:rsidRPr="00361DF2">
        <w:t>я</w:t>
      </w:r>
      <w:r w:rsidRPr="00361DF2">
        <w:t>занность является дискриминационной. Действительно, по мнению автора, об</w:t>
      </w:r>
      <w:r w:rsidRPr="00361DF2">
        <w:t>я</w:t>
      </w:r>
      <w:r w:rsidRPr="00361DF2">
        <w:t>занность являться для визирования разрешения на передвижение, с одной ст</w:t>
      </w:r>
      <w:r w:rsidRPr="00361DF2">
        <w:t>о</w:t>
      </w:r>
      <w:r w:rsidRPr="00361DF2">
        <w:t>роны, ставит в исключительное положение лиц, занимающихся разъездными видами деятельности, а с другой – применяется только к лицам, которые пост</w:t>
      </w:r>
      <w:r w:rsidRPr="00361DF2">
        <w:t>о</w:t>
      </w:r>
      <w:r w:rsidRPr="00361DF2">
        <w:t>янно проживают в авт</w:t>
      </w:r>
      <w:r w:rsidRPr="00361DF2">
        <w:t>о</w:t>
      </w:r>
      <w:r w:rsidRPr="00361DF2">
        <w:t>мобиле, автоприцепе или в ином передвижном жилище, за исключением других лиц, не имеющих местожительства или местопребыв</w:t>
      </w:r>
      <w:r w:rsidRPr="00361DF2">
        <w:t>а</w:t>
      </w:r>
      <w:r w:rsidRPr="00361DF2">
        <w:t xml:space="preserve">ния, таких, как </w:t>
      </w:r>
      <w:r>
        <w:t>"</w:t>
      </w:r>
      <w:r w:rsidRPr="00361DF2">
        <w:t>лица без определенного места жительства</w:t>
      </w:r>
      <w:r>
        <w:t>"</w:t>
      </w:r>
      <w:r w:rsidRPr="00361DF2">
        <w:t xml:space="preserve"> (БОМЖ) или л</w:t>
      </w:r>
      <w:r w:rsidRPr="00361DF2">
        <w:t>о</w:t>
      </w:r>
      <w:r w:rsidRPr="00361DF2">
        <w:t>дочники. Председатель апелляционного суда рассмотрел вопрос о возбуждении пр</w:t>
      </w:r>
      <w:r w:rsidRPr="00361DF2">
        <w:t>о</w:t>
      </w:r>
      <w:r w:rsidRPr="00361DF2">
        <w:t>межуточной процедуры в Суде Европейского союза</w:t>
      </w:r>
      <w:r w:rsidRPr="00361DF2">
        <w:rPr>
          <w:vertAlign w:val="superscript"/>
          <w:lang w:val="fr-CH"/>
        </w:rPr>
        <w:footnoteReference w:id="6"/>
      </w:r>
      <w:r w:rsidRPr="00361DF2">
        <w:t>, а затем 19 апреля 2007</w:t>
      </w:r>
      <w:r>
        <w:t> год</w:t>
      </w:r>
      <w:r w:rsidRPr="00361DF2">
        <w:t>а в конечном счете отклонил апелляцию на основании того, что пол</w:t>
      </w:r>
      <w:r w:rsidRPr="00361DF2">
        <w:t>о</w:t>
      </w:r>
      <w:r w:rsidRPr="00361DF2">
        <w:t xml:space="preserve">жение автора, </w:t>
      </w:r>
      <w:r>
        <w:t>"</w:t>
      </w:r>
      <w:r w:rsidRPr="00361DF2">
        <w:t>выбранное им самим, налагает на него особые обязанности, к</w:t>
      </w:r>
      <w:r w:rsidRPr="00361DF2">
        <w:t>о</w:t>
      </w:r>
      <w:r w:rsidRPr="00361DF2">
        <w:t>торые установлены в общенациональных интересах и, соответственно, ни в к</w:t>
      </w:r>
      <w:r w:rsidRPr="00361DF2">
        <w:t>о</w:t>
      </w:r>
      <w:r w:rsidRPr="00361DF2">
        <w:t>ей мере не являются дискриминационными</w:t>
      </w:r>
      <w:r>
        <w:t>"</w:t>
      </w:r>
      <w:r w:rsidRPr="00361DF2">
        <w:t>, снизив при этом размер штрафа до 50 евро. 19 апреля 2007</w:t>
      </w:r>
      <w:r>
        <w:t> год</w:t>
      </w:r>
      <w:r w:rsidRPr="00361DF2">
        <w:t>а автор обжаловал это решение. Его просьба о пр</w:t>
      </w:r>
      <w:r w:rsidRPr="00361DF2">
        <w:t>е</w:t>
      </w:r>
      <w:r w:rsidRPr="00361DF2">
        <w:t>доставлении правовой помощи была отклонена по причине отсутствия серье</w:t>
      </w:r>
      <w:r w:rsidRPr="00361DF2">
        <w:t>з</w:t>
      </w:r>
      <w:r w:rsidRPr="00361DF2">
        <w:t>ных доводов. Без обеспечения защиты его апелляция была отклонена Кассац</w:t>
      </w:r>
      <w:r w:rsidRPr="00361DF2">
        <w:t>и</w:t>
      </w:r>
      <w:r w:rsidRPr="00361DF2">
        <w:t>онным судом 4 марта 2008</w:t>
      </w:r>
      <w:r>
        <w:t> год</w:t>
      </w:r>
      <w:r w:rsidRPr="00361DF2">
        <w:t>а.</w:t>
      </w:r>
    </w:p>
    <w:p w:rsidR="00361DF2" w:rsidRPr="00361DF2" w:rsidRDefault="00361DF2" w:rsidP="00361DF2">
      <w:pPr>
        <w:pStyle w:val="SingleTxtGR"/>
        <w:rPr>
          <w:lang w:val="fr-CH"/>
        </w:rPr>
      </w:pPr>
      <w:r w:rsidRPr="00361DF2">
        <w:t>2.5</w:t>
      </w:r>
      <w:r w:rsidRPr="00361DF2">
        <w:tab/>
        <w:t>22 декабря 2008</w:t>
      </w:r>
      <w:r>
        <w:t> год</w:t>
      </w:r>
      <w:r w:rsidRPr="00361DF2">
        <w:t>а автор обратился с жалобой по этому делу в Евр</w:t>
      </w:r>
      <w:r w:rsidRPr="00361DF2">
        <w:t>о</w:t>
      </w:r>
      <w:r w:rsidRPr="00361DF2">
        <w:t xml:space="preserve">пейский суд по правам человека. 1 сентября </w:t>
      </w:r>
      <w:r w:rsidRPr="00361DF2">
        <w:rPr>
          <w:lang w:val="fr-CH"/>
        </w:rPr>
        <w:t>2009</w:t>
      </w:r>
      <w:r>
        <w:t> год</w:t>
      </w:r>
      <w:r w:rsidRPr="00361DF2">
        <w:t>а Суд объявил его жалобу неприемлемой на основании пункта 1 статьи 3 Конвенции</w:t>
      </w:r>
      <w:r w:rsidRPr="00361DF2">
        <w:rPr>
          <w:lang w:val="fr-CH"/>
        </w:rPr>
        <w:t>,</w:t>
      </w:r>
      <w:r w:rsidRPr="00361DF2">
        <w:t xml:space="preserve"> поскольку период между вынесением окончательного решения внутренней инстанцией (Кассац</w:t>
      </w:r>
      <w:r w:rsidRPr="00361DF2">
        <w:t>и</w:t>
      </w:r>
      <w:r w:rsidRPr="00361DF2">
        <w:t>онным судом) и подачей жалобы превысил шесть м</w:t>
      </w:r>
      <w:r w:rsidRPr="00361DF2">
        <w:t>е</w:t>
      </w:r>
      <w:r w:rsidRPr="00361DF2">
        <w:t>сяцев</w:t>
      </w:r>
      <w:r w:rsidRPr="00361DF2">
        <w:rPr>
          <w:lang w:val="fr-CH"/>
        </w:rPr>
        <w:t>.</w:t>
      </w:r>
    </w:p>
    <w:p w:rsidR="00361DF2" w:rsidRPr="00361DF2" w:rsidRDefault="00361DF2" w:rsidP="00361DF2">
      <w:pPr>
        <w:pStyle w:val="H23GR"/>
      </w:pPr>
      <w:r w:rsidRPr="00361DF2">
        <w:rPr>
          <w:lang w:val="fr-CH"/>
        </w:rPr>
        <w:tab/>
      </w:r>
      <w:r w:rsidRPr="00361DF2">
        <w:rPr>
          <w:lang w:val="fr-CH"/>
        </w:rPr>
        <w:tab/>
      </w:r>
      <w:r w:rsidRPr="00361DF2">
        <w:t>Жалоба</w:t>
      </w:r>
    </w:p>
    <w:p w:rsidR="00361DF2" w:rsidRPr="00361DF2" w:rsidRDefault="00361DF2" w:rsidP="00361DF2">
      <w:pPr>
        <w:pStyle w:val="SingleTxtGR"/>
      </w:pPr>
      <w:r w:rsidRPr="00361DF2">
        <w:t>3.1</w:t>
      </w:r>
      <w:r w:rsidRPr="00361DF2">
        <w:tab/>
        <w:t>Прежде всего автор уточняет, что он оспаривает не первое инкримин</w:t>
      </w:r>
      <w:r w:rsidRPr="00361DF2">
        <w:t>и</w:t>
      </w:r>
      <w:r w:rsidRPr="00361DF2">
        <w:t>руемое ему правонарушение – отсутствие автомобильной страховки, а второе – отсутствие отметки в его разрешении на передвижение, хотя он не имел опр</w:t>
      </w:r>
      <w:r w:rsidRPr="00361DF2">
        <w:t>е</w:t>
      </w:r>
      <w:r w:rsidRPr="00361DF2">
        <w:t>деленного местожительства или местопребывания во Франции в течение более шести месяцев и в силу этого подпадал под действие статьи 3 Закона от 3 янв</w:t>
      </w:r>
      <w:r w:rsidRPr="00361DF2">
        <w:t>а</w:t>
      </w:r>
      <w:r w:rsidRPr="00361DF2">
        <w:t>ря 1969</w:t>
      </w:r>
      <w:r>
        <w:t> год</w:t>
      </w:r>
      <w:r w:rsidRPr="00361DF2">
        <w:t xml:space="preserve">а. </w:t>
      </w:r>
    </w:p>
    <w:p w:rsidR="00361DF2" w:rsidRPr="00361DF2" w:rsidRDefault="00361DF2" w:rsidP="00361DF2">
      <w:pPr>
        <w:pStyle w:val="SingleTxtGR"/>
      </w:pPr>
      <w:r w:rsidRPr="00361DF2">
        <w:t>3.2</w:t>
      </w:r>
      <w:r w:rsidRPr="00361DF2">
        <w:tab/>
        <w:t>В отношении посягательства на свободу передвижения автор отмечает, что по французскому законодательству он обязан иметь разрешение на пер</w:t>
      </w:r>
      <w:r w:rsidRPr="00361DF2">
        <w:t>е</w:t>
      </w:r>
      <w:r w:rsidRPr="00361DF2">
        <w:t>движение и предъявлять его по требованию правоохранительных органов под угрозой уголовного наказания. Он напоминает, что происхождение данного д</w:t>
      </w:r>
      <w:r w:rsidRPr="00361DF2">
        <w:t>о</w:t>
      </w:r>
      <w:r w:rsidRPr="00361DF2">
        <w:t xml:space="preserve">кумента уходит своими корнями в систему, существовавшую в </w:t>
      </w:r>
      <w:r w:rsidRPr="00361DF2">
        <w:rPr>
          <w:lang w:val="en-US"/>
        </w:rPr>
        <w:t>XIX</w:t>
      </w:r>
      <w:r w:rsidRPr="00361DF2">
        <w:t xml:space="preserve"> веке, п</w:t>
      </w:r>
      <w:r w:rsidRPr="00361DF2">
        <w:t>о</w:t>
      </w:r>
      <w:r w:rsidRPr="00361DF2">
        <w:t xml:space="preserve">скольку нынешние разрешения стоят в одном ряду с </w:t>
      </w:r>
      <w:r>
        <w:t>"</w:t>
      </w:r>
      <w:r w:rsidRPr="00361DF2">
        <w:t>удостоверениями странс</w:t>
      </w:r>
      <w:r w:rsidRPr="00361DF2">
        <w:t>т</w:t>
      </w:r>
      <w:r w:rsidRPr="00361DF2">
        <w:t>вующих артистов</w:t>
      </w:r>
      <w:r>
        <w:t>"</w:t>
      </w:r>
      <w:r w:rsidRPr="00361DF2">
        <w:t>, введенными Циркуляром от 6 января 1863</w:t>
      </w:r>
      <w:r>
        <w:t> год</w:t>
      </w:r>
      <w:r w:rsidRPr="00361DF2">
        <w:t xml:space="preserve">а, и с </w:t>
      </w:r>
      <w:r>
        <w:t>"</w:t>
      </w:r>
      <w:r w:rsidRPr="00361DF2">
        <w:t>антр</w:t>
      </w:r>
      <w:r w:rsidRPr="00361DF2">
        <w:t>о</w:t>
      </w:r>
      <w:r w:rsidRPr="00361DF2">
        <w:t>поморфическими книжками кочевников</w:t>
      </w:r>
      <w:r>
        <w:t>"</w:t>
      </w:r>
      <w:r w:rsidRPr="00361DF2">
        <w:t>, учрежденными Законом от 16 июля 1912</w:t>
      </w:r>
      <w:r>
        <w:t> год</w:t>
      </w:r>
      <w:r w:rsidRPr="00361DF2">
        <w:t>а. В цепи последующих законодательных актов режим выдачи разр</w:t>
      </w:r>
      <w:r w:rsidRPr="00361DF2">
        <w:t>е</w:t>
      </w:r>
      <w:r w:rsidRPr="00361DF2">
        <w:t>шений на передвижение сохранялся. Следовательно, автор подвергается рег</w:t>
      </w:r>
      <w:r w:rsidRPr="00361DF2">
        <w:t>у</w:t>
      </w:r>
      <w:r w:rsidRPr="00361DF2">
        <w:t>лярному контролю со стороны полиции, что, по его мнению, явно препятствует осуществлению его права на св</w:t>
      </w:r>
      <w:r w:rsidRPr="00361DF2">
        <w:t>о</w:t>
      </w:r>
      <w:r w:rsidRPr="00361DF2">
        <w:t>бодное передвижение по территории своей страны, предусмотренного статьей 12 Пакта. Он отвергает выводы апелляцио</w:t>
      </w:r>
      <w:r w:rsidRPr="00361DF2">
        <w:t>н</w:t>
      </w:r>
      <w:r w:rsidRPr="00361DF2">
        <w:t xml:space="preserve">ного суда </w:t>
      </w:r>
      <w:proofErr w:type="spellStart"/>
      <w:r w:rsidRPr="00361DF2">
        <w:t>Анже</w:t>
      </w:r>
      <w:proofErr w:type="spellEnd"/>
      <w:r w:rsidRPr="00361DF2">
        <w:t xml:space="preserve"> (пункт 2.4), отмечая, что он не выбирал своего образа жизни, а стал наследником давней семейной традиции проживания в передвижном ж</w:t>
      </w:r>
      <w:r w:rsidRPr="00361DF2">
        <w:t>и</w:t>
      </w:r>
      <w:r w:rsidRPr="00361DF2">
        <w:t>лище, которой следовали его предки как по отцовской, так и по материнской линии</w:t>
      </w:r>
      <w:r w:rsidRPr="00361DF2">
        <w:rPr>
          <w:vertAlign w:val="superscript"/>
          <w:lang w:val="fr-CH"/>
        </w:rPr>
        <w:footnoteReference w:id="7"/>
      </w:r>
      <w:r w:rsidRPr="00361DF2">
        <w:t>. Он далее сообщает, что и сам он воспитывался в условиях такого о</w:t>
      </w:r>
      <w:r w:rsidRPr="00361DF2">
        <w:t>б</w:t>
      </w:r>
      <w:r w:rsidRPr="00361DF2">
        <w:t>раза жи</w:t>
      </w:r>
      <w:r w:rsidRPr="00361DF2">
        <w:t>з</w:t>
      </w:r>
      <w:r w:rsidRPr="00361DF2">
        <w:t xml:space="preserve">ни, так живут его братья и сестры, что они никогда не жил в доме и что ему знакома только жизнь в странствиях. </w:t>
      </w:r>
    </w:p>
    <w:p w:rsidR="00361DF2" w:rsidRPr="00361DF2" w:rsidRDefault="00361DF2" w:rsidP="00361DF2">
      <w:pPr>
        <w:pStyle w:val="SingleTxtGR"/>
      </w:pPr>
      <w:r w:rsidRPr="00361DF2">
        <w:t>3.3</w:t>
      </w:r>
      <w:r w:rsidRPr="00361DF2">
        <w:tab/>
        <w:t>По вопросу равенства перед законом автор отмечает, что, согласно фра</w:t>
      </w:r>
      <w:r w:rsidRPr="00361DF2">
        <w:t>н</w:t>
      </w:r>
      <w:r w:rsidRPr="00361DF2">
        <w:t xml:space="preserve">цузскому законодательству, местом жительства каждого гражданина с точки зрения осуществления его гражданских прав </w:t>
      </w:r>
      <w:r>
        <w:t>"</w:t>
      </w:r>
      <w:r w:rsidRPr="00361DF2">
        <w:t>является место его основного о</w:t>
      </w:r>
      <w:r w:rsidRPr="00361DF2">
        <w:t>б</w:t>
      </w:r>
      <w:r w:rsidRPr="00361DF2">
        <w:t>заведения</w:t>
      </w:r>
      <w:r>
        <w:t>"</w:t>
      </w:r>
      <w:r w:rsidRPr="00361DF2">
        <w:rPr>
          <w:vertAlign w:val="superscript"/>
          <w:lang w:val="fr-CH"/>
        </w:rPr>
        <w:footnoteReference w:id="8"/>
      </w:r>
      <w:r w:rsidRPr="00361DF2">
        <w:t xml:space="preserve">. Однако </w:t>
      </w:r>
      <w:r>
        <w:t>"</w:t>
      </w:r>
      <w:r w:rsidRPr="00361DF2">
        <w:t>члены странствующей общины</w:t>
      </w:r>
      <w:r>
        <w:t>"</w:t>
      </w:r>
      <w:r w:rsidRPr="00361DF2">
        <w:t xml:space="preserve"> по смыслу Закона № 69-3 от 3 января 1969</w:t>
      </w:r>
      <w:r>
        <w:t> год</w:t>
      </w:r>
      <w:r w:rsidRPr="00361DF2">
        <w:t>а не имеют места жительства и обычно проживают в сух</w:t>
      </w:r>
      <w:r w:rsidRPr="00361DF2">
        <w:t>о</w:t>
      </w:r>
      <w:r w:rsidRPr="00361DF2">
        <w:t>путном передвижном жилище. В рамках применяемого к ним особого правов</w:t>
      </w:r>
      <w:r w:rsidRPr="00361DF2">
        <w:t>о</w:t>
      </w:r>
      <w:r w:rsidRPr="00361DF2">
        <w:t>го режима</w:t>
      </w:r>
      <w:r>
        <w:t xml:space="preserve"> </w:t>
      </w:r>
      <w:r w:rsidRPr="00361DF2">
        <w:t>принцип места жительства замещается принципом прикрепления к какой-либо коммуне, которую они не могут свободно выбирать или менять в противоположность правам, предусмо</w:t>
      </w:r>
      <w:r w:rsidRPr="00361DF2">
        <w:t>т</w:t>
      </w:r>
      <w:r w:rsidRPr="00361DF2">
        <w:t>ренным в статье 103 и последующих статьях Гражданского кодекса, к</w:t>
      </w:r>
      <w:r w:rsidRPr="00361DF2">
        <w:t>а</w:t>
      </w:r>
      <w:r w:rsidRPr="00361DF2">
        <w:t xml:space="preserve">сающихся изменения места жительства. Из этого автор заключает, что не обладает теми же гражданскими правами, что и граждане с постоянным местом жительства. </w:t>
      </w:r>
    </w:p>
    <w:p w:rsidR="00361DF2" w:rsidRPr="00361DF2" w:rsidRDefault="00361DF2" w:rsidP="00361DF2">
      <w:pPr>
        <w:pStyle w:val="SingleTxtGR"/>
      </w:pPr>
      <w:r w:rsidRPr="00361DF2">
        <w:t xml:space="preserve">3.4 </w:t>
      </w:r>
      <w:r w:rsidRPr="00361DF2">
        <w:tab/>
        <w:t>По мнению автора, данный режим, который неблагоприятен для лиц, об</w:t>
      </w:r>
      <w:r w:rsidRPr="00361DF2">
        <w:t>я</w:t>
      </w:r>
      <w:r w:rsidRPr="00361DF2">
        <w:t>занных проходить процедуру визирования, представляет собой одновременно правовую, внутреннюю и внешнюю дискриминацию. Она является правовой, поскольку предусмотрена законом. Она является внутренней, поскольку в ра</w:t>
      </w:r>
      <w:r w:rsidRPr="00361DF2">
        <w:t>м</w:t>
      </w:r>
      <w:r w:rsidRPr="00361DF2">
        <w:t>ках режима разрешений на передвижение, предусмотренного Законом № 69-3, указанная процедура визирования не распростр</w:t>
      </w:r>
      <w:r w:rsidRPr="00361DF2">
        <w:t>а</w:t>
      </w:r>
      <w:r w:rsidRPr="00361DF2">
        <w:t xml:space="preserve">няется на лиц странствующих профессий. Что касается других лиц </w:t>
      </w:r>
      <w:r>
        <w:t>"</w:t>
      </w:r>
      <w:r w:rsidRPr="00361DF2">
        <w:t>без о</w:t>
      </w:r>
      <w:r w:rsidRPr="00361DF2">
        <w:t>п</w:t>
      </w:r>
      <w:r w:rsidRPr="00361DF2">
        <w:t>ределенного места жительства</w:t>
      </w:r>
      <w:r>
        <w:t>"</w:t>
      </w:r>
      <w:r w:rsidRPr="00361DF2">
        <w:t>, то те из них, которые прож</w:t>
      </w:r>
      <w:r w:rsidRPr="00361DF2">
        <w:t>и</w:t>
      </w:r>
      <w:r w:rsidRPr="00361DF2">
        <w:t>вают на борту судна (режим лодочников) или на улице, не подпадают под действие административного требования в отношении ра</w:t>
      </w:r>
      <w:r w:rsidRPr="00361DF2">
        <w:t>з</w:t>
      </w:r>
      <w:r w:rsidRPr="00361DF2">
        <w:t>решения на передвижение. А</w:t>
      </w:r>
      <w:r w:rsidRPr="00361DF2">
        <w:t>в</w:t>
      </w:r>
      <w:r w:rsidRPr="00361DF2">
        <w:t>тор считает, что эта дискриминация является еще и внешней, так как п</w:t>
      </w:r>
      <w:r w:rsidRPr="00361DF2">
        <w:t>о</w:t>
      </w:r>
      <w:r w:rsidRPr="00361DF2">
        <w:t>давляющее большинство населения, которое проживает в постоянном ме</w:t>
      </w:r>
      <w:r w:rsidRPr="00361DF2">
        <w:t>с</w:t>
      </w:r>
      <w:r w:rsidRPr="00361DF2">
        <w:t>те жительства по смыслу определения, предусмотренного статьей 2 Указа № 70</w:t>
      </w:r>
      <w:r w:rsidRPr="00361DF2">
        <w:noBreakHyphen/>
        <w:t>708 от 31 июля 1970</w:t>
      </w:r>
      <w:r>
        <w:t> год</w:t>
      </w:r>
      <w:r w:rsidRPr="00361DF2">
        <w:t xml:space="preserve">а, и которое, следовательно, имеет постоянное место жительства, уже более века освобождено от действия режима таких </w:t>
      </w:r>
      <w:r>
        <w:t>"</w:t>
      </w:r>
      <w:r w:rsidRPr="00361DF2">
        <w:t>паспортов</w:t>
      </w:r>
      <w:r>
        <w:t>"</w:t>
      </w:r>
      <w:r w:rsidRPr="00361DF2">
        <w:t>. Следовательно, по мнению автора, си</w:t>
      </w:r>
      <w:r w:rsidRPr="00361DF2">
        <w:t>с</w:t>
      </w:r>
      <w:r w:rsidRPr="00361DF2">
        <w:t>тема визирования, а в более общем плане</w:t>
      </w:r>
      <w:r>
        <w:t xml:space="preserve"> − </w:t>
      </w:r>
      <w:r w:rsidRPr="00361DF2">
        <w:t>и система разрешений на передвижение</w:t>
      </w:r>
      <w:r>
        <w:t xml:space="preserve"> − </w:t>
      </w:r>
      <w:r w:rsidRPr="00361DF2">
        <w:t>является пр</w:t>
      </w:r>
      <w:r w:rsidRPr="00361DF2">
        <w:t>е</w:t>
      </w:r>
      <w:r w:rsidRPr="00361DF2">
        <w:t>пятствием для пользования свободой перем</w:t>
      </w:r>
      <w:r w:rsidRPr="00361DF2">
        <w:t>е</w:t>
      </w:r>
      <w:r w:rsidRPr="00361DF2">
        <w:t>щаться внутри государства только для тех лиц, на которых она распространяется, в результате чего эти лица по</w:t>
      </w:r>
      <w:r w:rsidRPr="00361DF2">
        <w:t>д</w:t>
      </w:r>
      <w:r w:rsidRPr="00361DF2">
        <w:t>вергаются внутренней и внешней дискриминации в условиях неравноправия с точки зрения понятия места жительства. Поэтому автор просит возместить м</w:t>
      </w:r>
      <w:r w:rsidRPr="00361DF2">
        <w:t>о</w:t>
      </w:r>
      <w:r w:rsidRPr="00361DF2">
        <w:t>ральный и материальный ущерб, причиненный ему в результате вынесения о</w:t>
      </w:r>
      <w:r w:rsidRPr="00361DF2">
        <w:t>б</w:t>
      </w:r>
      <w:r w:rsidRPr="00361DF2">
        <w:t>винительного приговора, а также снять с него соо</w:t>
      </w:r>
      <w:r w:rsidRPr="00361DF2">
        <w:t>т</w:t>
      </w:r>
      <w:r w:rsidRPr="00361DF2">
        <w:t>ветствующую судимость. Он просит обеспечить ему равноправие со всеми остальными согражданами и тр</w:t>
      </w:r>
      <w:r w:rsidRPr="00361DF2">
        <w:t>е</w:t>
      </w:r>
      <w:r w:rsidRPr="00361DF2">
        <w:t>бует в этой связи дать ему возможность сохранить свой образ жизни, право иметь место жительства, предусмотренное Гражданским кодексом, и свободу менять и выбирать его, не будучи при этом обязанным иметь и предъявлять разрешение на передвижение под страхом вынесения обвинительного пригов</w:t>
      </w:r>
      <w:r w:rsidRPr="00361DF2">
        <w:t>о</w:t>
      </w:r>
      <w:r w:rsidRPr="00361DF2">
        <w:t xml:space="preserve">ра. </w:t>
      </w:r>
    </w:p>
    <w:p w:rsidR="00361DF2" w:rsidRPr="00361DF2" w:rsidRDefault="00361DF2" w:rsidP="00361DF2">
      <w:pPr>
        <w:pStyle w:val="H23GR"/>
      </w:pPr>
      <w:r w:rsidRPr="00361DF2">
        <w:tab/>
      </w:r>
      <w:r w:rsidRPr="00361DF2">
        <w:tab/>
        <w:t xml:space="preserve">Замечания государства-участника относительно приемлемости сообщения </w:t>
      </w:r>
    </w:p>
    <w:p w:rsidR="00361DF2" w:rsidRPr="00361DF2" w:rsidRDefault="00361DF2" w:rsidP="00361DF2">
      <w:pPr>
        <w:pStyle w:val="SingleTxtGR"/>
      </w:pPr>
      <w:r w:rsidRPr="00361DF2">
        <w:t>4.</w:t>
      </w:r>
      <w:r w:rsidRPr="00361DF2">
        <w:tab/>
        <w:t>29 сентября 2010</w:t>
      </w:r>
      <w:r>
        <w:t> год</w:t>
      </w:r>
      <w:r w:rsidRPr="00361DF2">
        <w:t>а государство-участник представило замечания по вопросу о приемлемости, заявив о том, что сообщение следует частично пр</w:t>
      </w:r>
      <w:r w:rsidRPr="00361DF2">
        <w:t>и</w:t>
      </w:r>
      <w:r w:rsidRPr="00361DF2">
        <w:t xml:space="preserve">знать неприемлемым ввиду </w:t>
      </w:r>
      <w:proofErr w:type="spellStart"/>
      <w:r w:rsidRPr="00361DF2">
        <w:t>неисчерпания</w:t>
      </w:r>
      <w:proofErr w:type="spellEnd"/>
      <w:r w:rsidRPr="00361DF2">
        <w:t xml:space="preserve"> внутренних средств правовой защ</w:t>
      </w:r>
      <w:r w:rsidRPr="00361DF2">
        <w:t>и</w:t>
      </w:r>
      <w:r w:rsidRPr="00361DF2">
        <w:t>ты. По мнению государства-участника, автор жалуется Комитету на то, что он не может свободно ни выбирать, ни менять место проживания. При этом в ходе разбирательства в национальных судах затрагивался только вопрос об отсутс</w:t>
      </w:r>
      <w:r w:rsidRPr="00361DF2">
        <w:t>т</w:t>
      </w:r>
      <w:r w:rsidRPr="00361DF2">
        <w:t>вии отметки в разрешении на передвижение, и именно в связи с этим правон</w:t>
      </w:r>
      <w:r w:rsidRPr="00361DF2">
        <w:t>а</w:t>
      </w:r>
      <w:r w:rsidRPr="00361DF2">
        <w:t>рушением были исчерпаны внутренние средства правовой защиты. Поэтому г</w:t>
      </w:r>
      <w:r w:rsidRPr="00361DF2">
        <w:t>о</w:t>
      </w:r>
      <w:r w:rsidRPr="00361DF2">
        <w:t>сударство-участник считает, что элементы сообщения, касающиеся выбора коммуны для прикрепления, не имеют никакого отношения к предмету спора, рассмотренному судьями национальных судов, и в силу этого являются непр</w:t>
      </w:r>
      <w:r w:rsidRPr="00361DF2">
        <w:t>и</w:t>
      </w:r>
      <w:r w:rsidRPr="00361DF2">
        <w:t xml:space="preserve">емлемыми по смыслу подпункта </w:t>
      </w:r>
      <w:r w:rsidRPr="00361DF2">
        <w:rPr>
          <w:lang w:val="en-US"/>
        </w:rPr>
        <w:t>b</w:t>
      </w:r>
      <w:r w:rsidRPr="00361DF2">
        <w:t>) пункта 2 статьи 5 Факультативного проток</w:t>
      </w:r>
      <w:r w:rsidRPr="00361DF2">
        <w:t>о</w:t>
      </w:r>
      <w:r w:rsidRPr="00361DF2">
        <w:t xml:space="preserve">ла. </w:t>
      </w:r>
    </w:p>
    <w:p w:rsidR="00361DF2" w:rsidRPr="00361DF2" w:rsidRDefault="00361DF2" w:rsidP="00361DF2">
      <w:pPr>
        <w:pStyle w:val="H23GR"/>
      </w:pPr>
      <w:r w:rsidRPr="00361DF2">
        <w:tab/>
      </w:r>
      <w:r w:rsidRPr="00361DF2">
        <w:tab/>
        <w:t>Замечания государства-участника относительно существа с</w:t>
      </w:r>
      <w:r w:rsidRPr="00361DF2">
        <w:t>о</w:t>
      </w:r>
      <w:r w:rsidRPr="00361DF2">
        <w:t xml:space="preserve">общения </w:t>
      </w:r>
    </w:p>
    <w:p w:rsidR="00361DF2" w:rsidRPr="00361DF2" w:rsidRDefault="00361DF2" w:rsidP="00361DF2">
      <w:pPr>
        <w:pStyle w:val="SingleTxtGR"/>
      </w:pPr>
      <w:r w:rsidRPr="00361DF2">
        <w:t>5.1</w:t>
      </w:r>
      <w:r w:rsidRPr="00361DF2">
        <w:tab/>
        <w:t>28 января 2011</w:t>
      </w:r>
      <w:r>
        <w:t> год</w:t>
      </w:r>
      <w:r w:rsidRPr="00361DF2">
        <w:t>а государство-участник представило свои зам</w:t>
      </w:r>
      <w:r w:rsidRPr="00361DF2">
        <w:t>е</w:t>
      </w:r>
      <w:r w:rsidRPr="00361DF2">
        <w:t>чания по существу сообщения. Прежде всего, оно вновь заявляет, что утверждения авт</w:t>
      </w:r>
      <w:r w:rsidRPr="00361DF2">
        <w:t>о</w:t>
      </w:r>
      <w:r w:rsidRPr="00361DF2">
        <w:t>ра по поводу выбора коммуны для проживания при рассмотрении дела во вну</w:t>
      </w:r>
      <w:r w:rsidRPr="00361DF2">
        <w:t>т</w:t>
      </w:r>
      <w:r w:rsidRPr="00361DF2">
        <w:t>ренних судах не затрагивались. Кроме того, по мн</w:t>
      </w:r>
      <w:r w:rsidRPr="00361DF2">
        <w:t>е</w:t>
      </w:r>
      <w:r w:rsidRPr="00361DF2">
        <w:t>нию государства-участника, в вопросе о прикреплении к коммуне автор ограничивается ссылкой на полож</w:t>
      </w:r>
      <w:r w:rsidRPr="00361DF2">
        <w:t>е</w:t>
      </w:r>
      <w:r w:rsidRPr="00361DF2">
        <w:t>ния Гражданского кодекса</w:t>
      </w:r>
      <w:r>
        <w:t xml:space="preserve"> </w:t>
      </w:r>
      <w:r w:rsidRPr="00361DF2">
        <w:t>Франции, не указывая при этом, какие положения Пакта предположительно были нар</w:t>
      </w:r>
      <w:r w:rsidRPr="00361DF2">
        <w:t>у</w:t>
      </w:r>
      <w:r w:rsidRPr="00361DF2">
        <w:t>шены. Следовательно, эта часть сообщения должна быть признана непр</w:t>
      </w:r>
      <w:r w:rsidRPr="00361DF2">
        <w:t>и</w:t>
      </w:r>
      <w:r w:rsidRPr="00361DF2">
        <w:t xml:space="preserve">емлемой. </w:t>
      </w:r>
    </w:p>
    <w:p w:rsidR="00361DF2" w:rsidRPr="00361DF2" w:rsidRDefault="00361DF2" w:rsidP="00361DF2">
      <w:pPr>
        <w:pStyle w:val="H4GR"/>
        <w:spacing w:before="240"/>
        <w:ind w:left="1106" w:right="1170" w:hanging="1106"/>
      </w:pPr>
      <w:r w:rsidRPr="00361DF2">
        <w:tab/>
      </w:r>
      <w:r w:rsidRPr="00361DF2">
        <w:tab/>
        <w:t>Относительно свободы выбора и изменения коммуны для прикре</w:t>
      </w:r>
      <w:r w:rsidRPr="00361DF2">
        <w:t>п</w:t>
      </w:r>
      <w:r w:rsidRPr="00361DF2">
        <w:t>ления</w:t>
      </w:r>
    </w:p>
    <w:p w:rsidR="00361DF2" w:rsidRPr="00361DF2" w:rsidRDefault="00361DF2" w:rsidP="00361DF2">
      <w:pPr>
        <w:pStyle w:val="SingleTxtGR"/>
      </w:pPr>
      <w:r w:rsidRPr="00361DF2">
        <w:t>5.2</w:t>
      </w:r>
      <w:r w:rsidRPr="00361DF2">
        <w:tab/>
        <w:t>По существу дела государство прежде всего излагает свою позицию в о</w:t>
      </w:r>
      <w:r w:rsidRPr="00361DF2">
        <w:t>т</w:t>
      </w:r>
      <w:r w:rsidRPr="00361DF2">
        <w:t>ношении свободы выбора и прикрепления к какой-либо коммуне. Оно напом</w:t>
      </w:r>
      <w:r w:rsidRPr="00361DF2">
        <w:t>и</w:t>
      </w:r>
      <w:r w:rsidRPr="00361DF2">
        <w:t>нает, что обычным местом проживания лиц, охватываемых З</w:t>
      </w:r>
      <w:r w:rsidRPr="00361DF2">
        <w:t>а</w:t>
      </w:r>
      <w:r w:rsidRPr="00361DF2">
        <w:t>коном № 69-3 от 3</w:t>
      </w:r>
      <w:r>
        <w:t> </w:t>
      </w:r>
      <w:r w:rsidRPr="00361DF2">
        <w:t>января 1969</w:t>
      </w:r>
      <w:r>
        <w:t> год</w:t>
      </w:r>
      <w:r w:rsidRPr="00361DF2">
        <w:t>а, согласно статье 3 этого закона по определению является п</w:t>
      </w:r>
      <w:r w:rsidRPr="00361DF2">
        <w:t>е</w:t>
      </w:r>
      <w:r w:rsidRPr="00361DF2">
        <w:t xml:space="preserve">редвижное жилище, </w:t>
      </w:r>
      <w:r>
        <w:t>"</w:t>
      </w:r>
      <w:r w:rsidRPr="00361DF2">
        <w:t>автомобиль, автоприцеп или любое другое мобильное ж</w:t>
      </w:r>
      <w:r w:rsidRPr="00361DF2">
        <w:t>и</w:t>
      </w:r>
      <w:r w:rsidRPr="00361DF2">
        <w:t>лье</w:t>
      </w:r>
      <w:r>
        <w:t>"</w:t>
      </w:r>
      <w:r w:rsidRPr="00361DF2">
        <w:t>. Чтобы лица, имеющие такое место пр</w:t>
      </w:r>
      <w:r w:rsidRPr="00361DF2">
        <w:t>о</w:t>
      </w:r>
      <w:r w:rsidRPr="00361DF2">
        <w:t>живания, могли осуществлять свои гражданские и политические права, а также исполнять свои обязанности, зак</w:t>
      </w:r>
      <w:r w:rsidRPr="00361DF2">
        <w:t>о</w:t>
      </w:r>
      <w:r w:rsidRPr="00361DF2">
        <w:t>нодатель ввел режим прикрепления к коммуне, дающий им возможность по</w:t>
      </w:r>
      <w:r w:rsidRPr="00361DF2">
        <w:t>д</w:t>
      </w:r>
      <w:r w:rsidRPr="00361DF2">
        <w:t>держивать контакт с администр</w:t>
      </w:r>
      <w:r w:rsidRPr="00361DF2">
        <w:t>а</w:t>
      </w:r>
      <w:r w:rsidRPr="00361DF2">
        <w:t>тивными органами. По мнению государства-участника, речь идет о чисто административном месте проживания, а не о м</w:t>
      </w:r>
      <w:r w:rsidRPr="00361DF2">
        <w:t>е</w:t>
      </w:r>
      <w:r w:rsidRPr="00361DF2">
        <w:t>стожительстве по смыслу статьи 12 Пакта. Постоянным местом жительства т</w:t>
      </w:r>
      <w:r w:rsidRPr="00361DF2">
        <w:t>а</w:t>
      </w:r>
      <w:r w:rsidRPr="00361DF2">
        <w:t>ких лиц является их автоприцеп или другое мобильное жилье, а местом прож</w:t>
      </w:r>
      <w:r w:rsidRPr="00361DF2">
        <w:t>и</w:t>
      </w:r>
      <w:r w:rsidRPr="00361DF2">
        <w:t>вания – место, где в данный момент находится упомянутое мобильное жилье. Следовательно, право на свободу выбора местожительства, защищаемое стат</w:t>
      </w:r>
      <w:r w:rsidRPr="00361DF2">
        <w:t>ь</w:t>
      </w:r>
      <w:r w:rsidRPr="00361DF2">
        <w:t>ей 12 Пакта, применяется только к постоянному месту жительства автора, кот</w:t>
      </w:r>
      <w:r w:rsidRPr="00361DF2">
        <w:t>о</w:t>
      </w:r>
      <w:r w:rsidRPr="00361DF2">
        <w:t xml:space="preserve">рое по своему характеру является передвижным. </w:t>
      </w:r>
    </w:p>
    <w:p w:rsidR="00361DF2" w:rsidRPr="00361DF2" w:rsidRDefault="00361DF2" w:rsidP="00361DF2">
      <w:pPr>
        <w:pStyle w:val="SingleTxtGR"/>
      </w:pPr>
      <w:r w:rsidRPr="00361DF2">
        <w:t>5.3</w:t>
      </w:r>
      <w:r w:rsidRPr="00361DF2">
        <w:tab/>
        <w:t>Государство-участник далее указывает, что, вопреки утверждениям авт</w:t>
      </w:r>
      <w:r w:rsidRPr="00361DF2">
        <w:t>о</w:t>
      </w:r>
      <w:r w:rsidRPr="00361DF2">
        <w:t>ра, лицо, перемещающееся по территории Франции, не имея определенного м</w:t>
      </w:r>
      <w:r w:rsidRPr="00361DF2">
        <w:t>е</w:t>
      </w:r>
      <w:r w:rsidRPr="00361DF2">
        <w:t>стожительства или местопребывания, вправе выбрать коммуну, к которой он желает быть приписан для административных целей, при наличии у него соо</w:t>
      </w:r>
      <w:r w:rsidRPr="00361DF2">
        <w:t>т</w:t>
      </w:r>
      <w:r w:rsidRPr="00361DF2">
        <w:t>ветствующей мотивации (например, семейных уз). Префект может отклонить выбор соответствующего лица только при наличии серьезных оснований, в ч</w:t>
      </w:r>
      <w:r w:rsidRPr="00361DF2">
        <w:t>а</w:t>
      </w:r>
      <w:r w:rsidRPr="00361DF2">
        <w:t>стности по соображениям общественного порядка или в силу твердо обосн</w:t>
      </w:r>
      <w:r w:rsidRPr="00361DF2">
        <w:t>о</w:t>
      </w:r>
      <w:r w:rsidRPr="00361DF2">
        <w:t>ванного решения</w:t>
      </w:r>
      <w:r w:rsidRPr="00361DF2">
        <w:rPr>
          <w:vertAlign w:val="superscript"/>
          <w:lang w:val="fr-CH"/>
        </w:rPr>
        <w:footnoteReference w:id="9"/>
      </w:r>
      <w:r>
        <w:t>.</w:t>
      </w:r>
      <w:r w:rsidRPr="00361DF2">
        <w:t xml:space="preserve"> Следовательно, по мнению государства-участника, огран</w:t>
      </w:r>
      <w:r w:rsidRPr="00361DF2">
        <w:t>и</w:t>
      </w:r>
      <w:r w:rsidRPr="00361DF2">
        <w:t xml:space="preserve">чения, наложенные на право свободного выбора коммуны для прикрепления, являются исключительно мягкими и, во всяком случае, соответствующими пункту 3 статьи 12 Пакта, согласно которой это право может являться объектом ограничений, если они </w:t>
      </w:r>
      <w:r>
        <w:t>"</w:t>
      </w:r>
      <w:r w:rsidRPr="00361DF2">
        <w:t>предусмотрены законом, необходимы для охраны гос</w:t>
      </w:r>
      <w:r w:rsidRPr="00361DF2">
        <w:t>у</w:t>
      </w:r>
      <w:r w:rsidRPr="00361DF2">
        <w:t>дарственной безопасности, общественного порядка, здоровья или нравственн</w:t>
      </w:r>
      <w:r w:rsidRPr="00361DF2">
        <w:t>о</w:t>
      </w:r>
      <w:r w:rsidRPr="00361DF2">
        <w:t>сти населения или прав и свобод других и совместимы с признаваемыми в н</w:t>
      </w:r>
      <w:r w:rsidRPr="00361DF2">
        <w:t>а</w:t>
      </w:r>
      <w:r w:rsidRPr="00361DF2">
        <w:t>стоящем Пакте друг</w:t>
      </w:r>
      <w:r w:rsidRPr="00361DF2">
        <w:t>и</w:t>
      </w:r>
      <w:r w:rsidRPr="00361DF2">
        <w:t>ми правами</w:t>
      </w:r>
      <w:r>
        <w:t>"</w:t>
      </w:r>
      <w:r w:rsidRPr="00361DF2">
        <w:t>.</w:t>
      </w:r>
      <w:r>
        <w:t xml:space="preserve"> </w:t>
      </w:r>
    </w:p>
    <w:p w:rsidR="00361DF2" w:rsidRPr="00361DF2" w:rsidRDefault="00361DF2" w:rsidP="00361DF2">
      <w:pPr>
        <w:pStyle w:val="SingleTxtGR"/>
      </w:pPr>
      <w:r w:rsidRPr="00361DF2">
        <w:t>5.4</w:t>
      </w:r>
      <w:r w:rsidRPr="00361DF2">
        <w:tab/>
        <w:t>По поводу статьи</w:t>
      </w:r>
      <w:r w:rsidRPr="00361DF2">
        <w:rPr>
          <w:lang w:val="fr-FR"/>
        </w:rPr>
        <w:t> </w:t>
      </w:r>
      <w:r w:rsidRPr="00361DF2">
        <w:t>26 Пакта, на которую ссылался автор, государс</w:t>
      </w:r>
      <w:r w:rsidRPr="00361DF2">
        <w:t>т</w:t>
      </w:r>
      <w:r w:rsidRPr="00361DF2">
        <w:t>во-участник отмечает, что в статье 7 вышеупомянутого Закона от 3 января 1969</w:t>
      </w:r>
      <w:r>
        <w:t> год</w:t>
      </w:r>
      <w:r w:rsidRPr="00361DF2">
        <w:t xml:space="preserve">а предусмотрено, что </w:t>
      </w:r>
      <w:r>
        <w:t>"</w:t>
      </w:r>
      <w:r w:rsidRPr="00361DF2">
        <w:t>любое лицо, ходатайствующее о выдаче ему ра</w:t>
      </w:r>
      <w:r w:rsidRPr="00361DF2">
        <w:t>з</w:t>
      </w:r>
      <w:r w:rsidRPr="00361DF2">
        <w:t>решения на передвижение […], обязано сообщить название коммуны, к котор</w:t>
      </w:r>
      <w:r w:rsidRPr="00361DF2">
        <w:t>о</w:t>
      </w:r>
      <w:r w:rsidRPr="00361DF2">
        <w:t>му оно желает быть прикреплено</w:t>
      </w:r>
      <w:r>
        <w:t>"</w:t>
      </w:r>
      <w:r w:rsidRPr="00361DF2">
        <w:t>. Таким образом, выбор коммуны для прикр</w:t>
      </w:r>
      <w:r w:rsidRPr="00361DF2">
        <w:t>е</w:t>
      </w:r>
      <w:r w:rsidRPr="00361DF2">
        <w:t>пления распространяется на любое лицо старше 16 лет, не имеющее постоянн</w:t>
      </w:r>
      <w:r w:rsidRPr="00361DF2">
        <w:t>о</w:t>
      </w:r>
      <w:r w:rsidRPr="00361DF2">
        <w:t>го местопребывания в течение более 6 месяцев, если оно постоянно проживает в автомобиле, автоприцепе или любом другом мобильном жилье (статья 3 Зак</w:t>
      </w:r>
      <w:r w:rsidRPr="00361DF2">
        <w:t>о</w:t>
      </w:r>
      <w:r w:rsidRPr="00361DF2">
        <w:t>на). Ссылаясь на Замечание общего порядка № 18 (1989</w:t>
      </w:r>
      <w:r>
        <w:t> год</w:t>
      </w:r>
      <w:r w:rsidRPr="00361DF2">
        <w:t>) Комитета</w:t>
      </w:r>
      <w:r w:rsidRPr="00361DF2">
        <w:rPr>
          <w:vertAlign w:val="superscript"/>
          <w:lang w:val="fr-CH"/>
        </w:rPr>
        <w:footnoteReference w:id="10"/>
      </w:r>
      <w:r w:rsidRPr="00361DF2">
        <w:t xml:space="preserve"> о </w:t>
      </w:r>
      <w:proofErr w:type="spellStart"/>
      <w:r w:rsidRPr="00361DF2">
        <w:t>н</w:t>
      </w:r>
      <w:r w:rsidRPr="00361DF2">
        <w:t>е</w:t>
      </w:r>
      <w:r w:rsidRPr="00361DF2">
        <w:t>дискриминации</w:t>
      </w:r>
      <w:proofErr w:type="spellEnd"/>
      <w:r w:rsidRPr="00361DF2">
        <w:t>, государство-участник далее сообщает, что прикрепление к к</w:t>
      </w:r>
      <w:r w:rsidRPr="00361DF2">
        <w:t>а</w:t>
      </w:r>
      <w:r w:rsidRPr="00361DF2">
        <w:t>кой-либо коммуне позволяет лицу, перемещающемуся по Франции и не име</w:t>
      </w:r>
      <w:r w:rsidRPr="00361DF2">
        <w:t>ю</w:t>
      </w:r>
      <w:r w:rsidRPr="00361DF2">
        <w:t>щему определенного местожительства или местопребывания, эффективно пол</w:t>
      </w:r>
      <w:r w:rsidRPr="00361DF2">
        <w:t>ь</w:t>
      </w:r>
      <w:r w:rsidRPr="00361DF2">
        <w:t>зоваться своими гражданскими и политическими правами, в частности избир</w:t>
      </w:r>
      <w:r w:rsidRPr="00361DF2">
        <w:t>а</w:t>
      </w:r>
      <w:r w:rsidRPr="00361DF2">
        <w:t>тельным правом, и осуществлять эти права. С другой стороны, Комитет указал, что пол</w:t>
      </w:r>
      <w:r w:rsidRPr="00361DF2">
        <w:t>ь</w:t>
      </w:r>
      <w:r w:rsidRPr="00361DF2">
        <w:t>зование правами и свободами на равных началах вовсе не означает одинакового обращения в любом случае</w:t>
      </w:r>
      <w:r w:rsidRPr="00361DF2">
        <w:rPr>
          <w:vertAlign w:val="superscript"/>
          <w:lang w:val="fr-CH"/>
        </w:rPr>
        <w:footnoteReference w:id="11"/>
      </w:r>
      <w:r w:rsidRPr="00361DF2">
        <w:t>. При введении особого правового р</w:t>
      </w:r>
      <w:r w:rsidRPr="00361DF2">
        <w:t>е</w:t>
      </w:r>
      <w:r w:rsidRPr="00361DF2">
        <w:t>жима для лиц, перемещающихся по стране, не имея определенного местож</w:t>
      </w:r>
      <w:r w:rsidRPr="00361DF2">
        <w:t>и</w:t>
      </w:r>
      <w:r w:rsidRPr="00361DF2">
        <w:t>тельства или местопребывания, как раз учитывалась специфика их ситуации. Как бы там ни было, по мнению государства-участника нельзя заявлять, что а</w:t>
      </w:r>
      <w:r w:rsidRPr="00361DF2">
        <w:t>в</w:t>
      </w:r>
      <w:r w:rsidRPr="00361DF2">
        <w:t>тор и все соответствующие лица, которые находятся в аналогичной ситуации, лишены, как утверждает автор, своего права на местожительство, гарантиру</w:t>
      </w:r>
      <w:r w:rsidRPr="00361DF2">
        <w:t>е</w:t>
      </w:r>
      <w:r w:rsidRPr="00361DF2">
        <w:t>мое французским гражданским правом. Нет никакого юридического препятс</w:t>
      </w:r>
      <w:r w:rsidRPr="00361DF2">
        <w:t>т</w:t>
      </w:r>
      <w:r w:rsidRPr="00361DF2">
        <w:t>вия, которое помешало бы лицу, проживающему в мобильном жилье, изменить свой образ жизни и избрать для себя место жительства по смыслу статьи 102 Гражданского кодекса. В то же время для осуществления прав при кочевом о</w:t>
      </w:r>
      <w:r w:rsidRPr="00361DF2">
        <w:t>б</w:t>
      </w:r>
      <w:r w:rsidRPr="00361DF2">
        <w:t>разе жизни пр</w:t>
      </w:r>
      <w:r w:rsidRPr="00361DF2">
        <w:t>е</w:t>
      </w:r>
      <w:r w:rsidRPr="00361DF2">
        <w:t>дусмотрен принцип прикрепления к коммуне, который не влечет никакой ди</w:t>
      </w:r>
      <w:r w:rsidRPr="00361DF2">
        <w:t>с</w:t>
      </w:r>
      <w:r w:rsidRPr="00361DF2">
        <w:t xml:space="preserve">криминации. </w:t>
      </w:r>
    </w:p>
    <w:p w:rsidR="00361DF2" w:rsidRPr="00361DF2" w:rsidRDefault="00361DF2" w:rsidP="00361DF2">
      <w:pPr>
        <w:pStyle w:val="H4GR"/>
        <w:spacing w:before="240"/>
        <w:ind w:left="1106" w:right="1170" w:hanging="1106"/>
      </w:pPr>
      <w:r w:rsidRPr="00361DF2">
        <w:tab/>
      </w:r>
      <w:r w:rsidRPr="00361DF2">
        <w:tab/>
        <w:t>Относительно путевой книжки</w:t>
      </w:r>
    </w:p>
    <w:p w:rsidR="00361DF2" w:rsidRPr="00361DF2" w:rsidRDefault="00361DF2" w:rsidP="00361DF2">
      <w:pPr>
        <w:pStyle w:val="SingleTxtGR"/>
      </w:pPr>
      <w:r w:rsidRPr="00361DF2">
        <w:t>5.5</w:t>
      </w:r>
      <w:r w:rsidRPr="00361DF2">
        <w:tab/>
        <w:t>Что касается вопроса о разрешении на передвижение и об обязанности иметь в нем отметку, которые, по мнению автора, препятствует ос</w:t>
      </w:r>
      <w:r w:rsidRPr="00361DF2">
        <w:t>у</w:t>
      </w:r>
      <w:r w:rsidRPr="00361DF2">
        <w:t>ществлению его права свободно передвигаться внутри страны, то государство-участник пр</w:t>
      </w:r>
      <w:r w:rsidRPr="00361DF2">
        <w:t>и</w:t>
      </w:r>
      <w:r w:rsidRPr="00361DF2">
        <w:t>знает, что речь идет об ограничении по смыслу пункта 3 статьи 12 Пакта, пре</w:t>
      </w:r>
      <w:r w:rsidRPr="00361DF2">
        <w:t>д</w:t>
      </w:r>
      <w:r w:rsidRPr="00361DF2">
        <w:t>полагающем соответствующие требования, но что это ограничение предусмо</w:t>
      </w:r>
      <w:r w:rsidRPr="00361DF2">
        <w:t>т</w:t>
      </w:r>
      <w:r w:rsidRPr="00361DF2">
        <w:t>рено законом и обосновано соображениями общественного порядка. По мн</w:t>
      </w:r>
      <w:r w:rsidRPr="00361DF2">
        <w:t>е</w:t>
      </w:r>
      <w:r w:rsidRPr="00361DF2">
        <w:t>нию государства-участника, налагаемая на лиц без определенного местож</w:t>
      </w:r>
      <w:r w:rsidRPr="00361DF2">
        <w:t>и</w:t>
      </w:r>
      <w:r w:rsidRPr="00361DF2">
        <w:t>тельства или местопребывания и без регулярн</w:t>
      </w:r>
      <w:r w:rsidRPr="00361DF2">
        <w:t>о</w:t>
      </w:r>
      <w:r w:rsidRPr="00361DF2">
        <w:t>го дохода обязанность являться с определенной периодичностью в административные органы для визирования своей путевой книжки является противовесом признанному за ними праву, с</w:t>
      </w:r>
      <w:r w:rsidRPr="00361DF2">
        <w:t>о</w:t>
      </w:r>
      <w:r w:rsidRPr="00361DF2">
        <w:t>гласно которому они могут день за днем по своему желанию менять свое м</w:t>
      </w:r>
      <w:r w:rsidRPr="00361DF2">
        <w:t>е</w:t>
      </w:r>
      <w:r w:rsidRPr="00361DF2">
        <w:t>стопребывание и которое позволяет административным органам поддерж</w:t>
      </w:r>
      <w:r w:rsidRPr="00361DF2">
        <w:t>и</w:t>
      </w:r>
      <w:r w:rsidRPr="00361DF2">
        <w:t>вать с ними связь и возможность контакта, а при необходимости – проводить вер</w:t>
      </w:r>
      <w:r w:rsidRPr="00361DF2">
        <w:t>о</w:t>
      </w:r>
      <w:r w:rsidRPr="00361DF2">
        <w:t>ятные контрольные мер</w:t>
      </w:r>
      <w:r w:rsidRPr="00361DF2">
        <w:t>о</w:t>
      </w:r>
      <w:r w:rsidRPr="00361DF2">
        <w:t xml:space="preserve">приятия в условиях, обеспечивающих учет их кочевого образа жизни. </w:t>
      </w:r>
    </w:p>
    <w:p w:rsidR="00361DF2" w:rsidRPr="00361DF2" w:rsidRDefault="00361DF2" w:rsidP="00361DF2">
      <w:pPr>
        <w:pStyle w:val="SingleTxtGR"/>
      </w:pPr>
      <w:r w:rsidRPr="00361DF2">
        <w:t>5.6</w:t>
      </w:r>
      <w:r w:rsidRPr="00361DF2">
        <w:tab/>
        <w:t>По поводу разрешения на передвижение, рассматриваемого в свете ст</w:t>
      </w:r>
      <w:r w:rsidRPr="00361DF2">
        <w:t>а</w:t>
      </w:r>
      <w:r w:rsidRPr="00361DF2">
        <w:t>тьи</w:t>
      </w:r>
      <w:r>
        <w:t> </w:t>
      </w:r>
      <w:r w:rsidRPr="00361DF2">
        <w:t xml:space="preserve">26 Пакта, государство-участник отмечает, что обязанность обеспечивать проставление отметки в путевой книжке возлагается не на общину, а на всех </w:t>
      </w:r>
      <w:r>
        <w:t>"</w:t>
      </w:r>
      <w:r w:rsidRPr="00361DF2">
        <w:t>лиц в возрасте старше 16 лет […], не имеющих определенного местожительс</w:t>
      </w:r>
      <w:r w:rsidRPr="00361DF2">
        <w:t>т</w:t>
      </w:r>
      <w:r w:rsidRPr="00361DF2">
        <w:t>ва или местопребывания в течение более 6 месяцев […], если они постоянно проживают в автомобиле, автоприцепе или любом другом мобильном жилье</w:t>
      </w:r>
      <w:r>
        <w:t>"</w:t>
      </w:r>
      <w:r w:rsidRPr="00361DF2">
        <w:t xml:space="preserve"> (статья 3 Закона от 3 января 1969</w:t>
      </w:r>
      <w:r>
        <w:t> год</w:t>
      </w:r>
      <w:r w:rsidRPr="00361DF2">
        <w:t>а). Так, например, любое лицо, выбира</w:t>
      </w:r>
      <w:r w:rsidRPr="00361DF2">
        <w:t>ю</w:t>
      </w:r>
      <w:r w:rsidRPr="00361DF2">
        <w:t>щее вышеописанный кочевой образ жизни, обязано иметь разрешение на пер</w:t>
      </w:r>
      <w:r w:rsidRPr="00361DF2">
        <w:t>е</w:t>
      </w:r>
      <w:r w:rsidRPr="00361DF2">
        <w:t>движение, подлежащее периодическому визированию в административных о</w:t>
      </w:r>
      <w:r w:rsidRPr="00361DF2">
        <w:t>р</w:t>
      </w:r>
      <w:r w:rsidRPr="00361DF2">
        <w:t>ганах. В</w:t>
      </w:r>
      <w:r>
        <w:t> </w:t>
      </w:r>
      <w:r w:rsidRPr="00361DF2">
        <w:t>этой связи разрешение на передвижение должны также иметь владел</w:t>
      </w:r>
      <w:r w:rsidRPr="00361DF2">
        <w:t>ь</w:t>
      </w:r>
      <w:r w:rsidRPr="00361DF2">
        <w:t xml:space="preserve">цы аттракционов и </w:t>
      </w:r>
      <w:r>
        <w:t>"</w:t>
      </w:r>
      <w:r w:rsidRPr="00361DF2">
        <w:t>автотуристы</w:t>
      </w:r>
      <w:r>
        <w:t>"</w:t>
      </w:r>
      <w:r w:rsidRPr="00361DF2">
        <w:t xml:space="preserve"> (р</w:t>
      </w:r>
      <w:r w:rsidRPr="00361DF2">
        <w:t>а</w:t>
      </w:r>
      <w:r w:rsidRPr="00361DF2">
        <w:t>ботники, прикрепляемые к крупным стройкам). Государство-участник далее указывает, что, в противоположность утверждениям автора, с юридической точки зрения кочевой образ жизни явл</w:t>
      </w:r>
      <w:r w:rsidRPr="00361DF2">
        <w:t>я</w:t>
      </w:r>
      <w:r w:rsidRPr="00361DF2">
        <w:t>ется следствием выбора соответствующего лица – выбора, который уважается государственными вл</w:t>
      </w:r>
      <w:r w:rsidRPr="00361DF2">
        <w:t>а</w:t>
      </w:r>
      <w:r w:rsidRPr="00361DF2">
        <w:t xml:space="preserve">стями. </w:t>
      </w:r>
    </w:p>
    <w:p w:rsidR="00361DF2" w:rsidRPr="00361DF2" w:rsidRDefault="00361DF2" w:rsidP="00361DF2">
      <w:pPr>
        <w:pStyle w:val="SingleTxtGR"/>
      </w:pPr>
      <w:r w:rsidRPr="00361DF2">
        <w:t>5.7</w:t>
      </w:r>
      <w:r w:rsidRPr="00361DF2">
        <w:tab/>
        <w:t>В заключение государство-участник вновь заявляет, что специфичность режима, применяемого к автору и другим лицам, находящимся в аналогичной ситуации, обусловлена их высокой мобильностью в сравнении с лицами, вед</w:t>
      </w:r>
      <w:r w:rsidRPr="00361DF2">
        <w:t>у</w:t>
      </w:r>
      <w:r w:rsidRPr="00361DF2">
        <w:t>щими оседлый образ жизни. Следовательно, различие в обр</w:t>
      </w:r>
      <w:r w:rsidRPr="00361DF2">
        <w:t>а</w:t>
      </w:r>
      <w:r w:rsidRPr="00361DF2">
        <w:t>щении объективно оправдано различием в ситуации. Наконец, государство-участник указывает, что требования автора в отношении путевой книжки являются отражением ед</w:t>
      </w:r>
      <w:r w:rsidRPr="00361DF2">
        <w:t>и</w:t>
      </w:r>
      <w:r w:rsidRPr="00361DF2">
        <w:t xml:space="preserve">нодушной позиции членов </w:t>
      </w:r>
      <w:r>
        <w:t>"</w:t>
      </w:r>
      <w:r w:rsidRPr="00361DF2">
        <w:t>странствующей о</w:t>
      </w:r>
      <w:r w:rsidRPr="00361DF2">
        <w:t>б</w:t>
      </w:r>
      <w:r w:rsidRPr="00361DF2">
        <w:t>щины</w:t>
      </w:r>
      <w:r>
        <w:t>"</w:t>
      </w:r>
      <w:r w:rsidRPr="00361DF2">
        <w:t>, поскольку некоторые члены этой общины придают указанным д</w:t>
      </w:r>
      <w:r w:rsidRPr="00361DF2">
        <w:t>о</w:t>
      </w:r>
      <w:r w:rsidRPr="00361DF2">
        <w:t>кументам высокую значимость с точки зрения выражения их самобытн</w:t>
      </w:r>
      <w:r w:rsidRPr="00361DF2">
        <w:t>о</w:t>
      </w:r>
      <w:r w:rsidRPr="00361DF2">
        <w:t xml:space="preserve">сти. </w:t>
      </w:r>
    </w:p>
    <w:p w:rsidR="00361DF2" w:rsidRPr="00361DF2" w:rsidRDefault="00361DF2" w:rsidP="00361DF2">
      <w:pPr>
        <w:pStyle w:val="H23GR"/>
      </w:pPr>
      <w:r w:rsidRPr="00361DF2">
        <w:tab/>
      </w:r>
      <w:r w:rsidRPr="00361DF2">
        <w:tab/>
        <w:t>Комментарии автора по замечаниям государства-участника о</w:t>
      </w:r>
      <w:r w:rsidRPr="00361DF2">
        <w:t>т</w:t>
      </w:r>
      <w:r w:rsidRPr="00361DF2">
        <w:t xml:space="preserve">носительно существа сообщения </w:t>
      </w:r>
    </w:p>
    <w:p w:rsidR="00361DF2" w:rsidRPr="00361DF2" w:rsidRDefault="00361DF2" w:rsidP="00361DF2">
      <w:pPr>
        <w:pStyle w:val="SingleTxtGR"/>
      </w:pPr>
      <w:r w:rsidRPr="00361DF2">
        <w:t>6.1</w:t>
      </w:r>
      <w:r w:rsidRPr="00361DF2">
        <w:tab/>
        <w:t>4 апреля 2011</w:t>
      </w:r>
      <w:r>
        <w:t> год</w:t>
      </w:r>
      <w:r w:rsidRPr="00361DF2">
        <w:t>а автор представил ответ на замечания государс</w:t>
      </w:r>
      <w:r w:rsidRPr="00361DF2">
        <w:t>т</w:t>
      </w:r>
      <w:r w:rsidRPr="00361DF2">
        <w:t>ва-участника относительно существа сообщения.</w:t>
      </w:r>
    </w:p>
    <w:p w:rsidR="00361DF2" w:rsidRPr="00361DF2" w:rsidRDefault="00361DF2" w:rsidP="00361DF2">
      <w:pPr>
        <w:pStyle w:val="H4GR"/>
        <w:spacing w:before="240"/>
        <w:ind w:left="1106" w:right="1170" w:hanging="1106"/>
      </w:pPr>
      <w:r w:rsidRPr="00361DF2">
        <w:tab/>
      </w:r>
      <w:r w:rsidRPr="00361DF2">
        <w:tab/>
        <w:t>По жалобе, касающейся статьи 12</w:t>
      </w:r>
    </w:p>
    <w:p w:rsidR="00361DF2" w:rsidRPr="00361DF2" w:rsidRDefault="00361DF2" w:rsidP="00361DF2">
      <w:pPr>
        <w:pStyle w:val="SingleTxtGR"/>
      </w:pPr>
      <w:r w:rsidRPr="00361DF2">
        <w:t>6.2</w:t>
      </w:r>
      <w:r w:rsidRPr="00361DF2">
        <w:tab/>
        <w:t>Автор не оспаривает того факта, что прикрепление к коммуне не прот</w:t>
      </w:r>
      <w:r w:rsidRPr="00361DF2">
        <w:t>и</w:t>
      </w:r>
      <w:r w:rsidRPr="00361DF2">
        <w:t>воречит принципу свободы выбора местожительства, гарантированному стат</w:t>
      </w:r>
      <w:r w:rsidRPr="00361DF2">
        <w:t>ь</w:t>
      </w:r>
      <w:r w:rsidRPr="00361DF2">
        <w:t>ей</w:t>
      </w:r>
      <w:r>
        <w:t> </w:t>
      </w:r>
      <w:r w:rsidRPr="00361DF2">
        <w:t>12; он уточняет, что ему хотелось бы реализовать принцип свободы пер</w:t>
      </w:r>
      <w:r w:rsidRPr="00361DF2">
        <w:t>е</w:t>
      </w:r>
      <w:r w:rsidRPr="00361DF2">
        <w:t>движения. Автор указывает, что гражданин Франции с постоянным местопр</w:t>
      </w:r>
      <w:r w:rsidRPr="00361DF2">
        <w:t>е</w:t>
      </w:r>
      <w:r w:rsidRPr="00361DF2">
        <w:t>быванием не обязан иметь какой-либо административный документ для пер</w:t>
      </w:r>
      <w:r w:rsidRPr="00361DF2">
        <w:t>е</w:t>
      </w:r>
      <w:r w:rsidRPr="00361DF2">
        <w:t xml:space="preserve">движения по территории страны. С другой стороны, что касается категории лиц </w:t>
      </w:r>
      <w:r>
        <w:t>"</w:t>
      </w:r>
      <w:r w:rsidRPr="00361DF2">
        <w:t>без определенного местопребывания</w:t>
      </w:r>
      <w:r>
        <w:t>"</w:t>
      </w:r>
      <w:r w:rsidRPr="00361DF2">
        <w:t>, то для лодочников или БОМЖ обяз</w:t>
      </w:r>
      <w:r w:rsidRPr="00361DF2">
        <w:t>а</w:t>
      </w:r>
      <w:r w:rsidRPr="00361DF2">
        <w:t>тельное наличие отдельного административного документа также не пред</w:t>
      </w:r>
      <w:r w:rsidRPr="00361DF2">
        <w:t>у</w:t>
      </w:r>
      <w:r w:rsidRPr="00361DF2">
        <w:t>смотрено. Согласно Закону от 3 января 1969</w:t>
      </w:r>
      <w:r>
        <w:t> год</w:t>
      </w:r>
      <w:r w:rsidRPr="00361DF2">
        <w:t>а, это требование распростр</w:t>
      </w:r>
      <w:r w:rsidRPr="00361DF2">
        <w:t>а</w:t>
      </w:r>
      <w:r w:rsidRPr="00361DF2">
        <w:t xml:space="preserve">няется только на лиц, считающихся </w:t>
      </w:r>
      <w:r>
        <w:t>"</w:t>
      </w:r>
      <w:r w:rsidRPr="00361DF2">
        <w:t>странствующими</w:t>
      </w:r>
      <w:r>
        <w:t>"</w:t>
      </w:r>
      <w:r w:rsidRPr="00361DF2">
        <w:t>. По мнению автора, простое требование о наличии такого документа, ставшего для некоторых си</w:t>
      </w:r>
      <w:r w:rsidRPr="00361DF2">
        <w:t>м</w:t>
      </w:r>
      <w:r w:rsidRPr="00361DF2">
        <w:t>волом их самобытности, не имело бы столь</w:t>
      </w:r>
      <w:r>
        <w:t xml:space="preserve"> </w:t>
      </w:r>
      <w:r w:rsidRPr="00361DF2">
        <w:t>серьезного значения, если бы не сопрово</w:t>
      </w:r>
      <w:r w:rsidRPr="00361DF2">
        <w:t>ж</w:t>
      </w:r>
      <w:r w:rsidRPr="00361DF2">
        <w:t>далось уголовными мерами наказания, к числу которых относятся штрафы и тюремное заключение в случае передвижения без документа или при отсутствии уважительных причин, касающихся состояния документа. Кроме т</w:t>
      </w:r>
      <w:r w:rsidRPr="00361DF2">
        <w:t>о</w:t>
      </w:r>
      <w:r w:rsidRPr="00361DF2">
        <w:t>го, обязанность регулярно являться в органы правопорядка для визирования своей путевой книжки под страхом уголовного наказания представляет собой тяжкое посяг</w:t>
      </w:r>
      <w:r w:rsidRPr="00361DF2">
        <w:t>а</w:t>
      </w:r>
      <w:r w:rsidRPr="00361DF2">
        <w:t xml:space="preserve">тельство на свободу передвижения. </w:t>
      </w:r>
    </w:p>
    <w:p w:rsidR="00361DF2" w:rsidRPr="00361DF2" w:rsidRDefault="00361DF2" w:rsidP="00361DF2">
      <w:pPr>
        <w:pStyle w:val="SingleTxtGR"/>
      </w:pPr>
      <w:r w:rsidRPr="00361DF2">
        <w:t>6.3</w:t>
      </w:r>
      <w:r w:rsidRPr="00361DF2">
        <w:tab/>
        <w:t>Кроме того, при каждой явке соответствующего лица эти визы п</w:t>
      </w:r>
      <w:r w:rsidRPr="00361DF2">
        <w:t>о</w:t>
      </w:r>
      <w:r w:rsidRPr="00361DF2">
        <w:t>зволяют осуществлять систематическую проверку по картотеке лиц, находящихся в р</w:t>
      </w:r>
      <w:r w:rsidRPr="00361DF2">
        <w:t>о</w:t>
      </w:r>
      <w:r w:rsidRPr="00361DF2">
        <w:t>зыске, в которую заносятся лица, разыскиваемые по причинам</w:t>
      </w:r>
      <w:r>
        <w:t xml:space="preserve"> </w:t>
      </w:r>
      <w:r w:rsidRPr="00361DF2">
        <w:t>администрати</w:t>
      </w:r>
      <w:r w:rsidRPr="00361DF2">
        <w:t>в</w:t>
      </w:r>
      <w:r w:rsidRPr="00361DF2">
        <w:t>ного или судебного характера</w:t>
      </w:r>
      <w:r w:rsidRPr="00361DF2">
        <w:rPr>
          <w:vertAlign w:val="superscript"/>
          <w:lang w:val="fr-CH"/>
        </w:rPr>
        <w:footnoteReference w:id="12"/>
      </w:r>
      <w:r w:rsidRPr="00361DF2">
        <w:t>. Автор далее указывает, что благодаря выдаче разрешений на передвижение органами полиции ведется отдельная картотека лиц без определенного местожительства или местопребывания, в которой в н</w:t>
      </w:r>
      <w:r w:rsidRPr="00361DF2">
        <w:t>а</w:t>
      </w:r>
      <w:r w:rsidRPr="00361DF2">
        <w:t>стоящее время насчитывается более 200 000 личных дел</w:t>
      </w:r>
      <w:r w:rsidRPr="00361DF2">
        <w:rPr>
          <w:vertAlign w:val="superscript"/>
          <w:lang w:val="fr-CH"/>
        </w:rPr>
        <w:footnoteReference w:id="13"/>
      </w:r>
      <w:r w:rsidRPr="00361DF2">
        <w:t>. Национальная к</w:t>
      </w:r>
      <w:r w:rsidRPr="00361DF2">
        <w:t>о</w:t>
      </w:r>
      <w:r w:rsidRPr="00361DF2">
        <w:t>миссия по информационным те</w:t>
      </w:r>
      <w:r w:rsidRPr="00361DF2">
        <w:t>х</w:t>
      </w:r>
      <w:r w:rsidRPr="00361DF2">
        <w:t>нологиям и свободам, а также другие субъекты отметили наличие необъявленных баз данных</w:t>
      </w:r>
      <w:r>
        <w:t xml:space="preserve"> </w:t>
      </w:r>
      <w:r w:rsidRPr="00361DF2">
        <w:t>и сообщений, связанных с карт</w:t>
      </w:r>
      <w:r w:rsidRPr="00361DF2">
        <w:t>о</w:t>
      </w:r>
      <w:r w:rsidRPr="00361DF2">
        <w:t>текой лиц без определенного м</w:t>
      </w:r>
      <w:r w:rsidRPr="00361DF2">
        <w:t>е</w:t>
      </w:r>
      <w:r w:rsidRPr="00361DF2">
        <w:t>стожительства или местопребывания. В связи с этим делом был распространен конфиденциальный документ органов жанда</w:t>
      </w:r>
      <w:r w:rsidRPr="00361DF2">
        <w:t>р</w:t>
      </w:r>
      <w:r w:rsidRPr="00361DF2">
        <w:t>мерии от 1992</w:t>
      </w:r>
      <w:r>
        <w:t> год</w:t>
      </w:r>
      <w:r w:rsidRPr="00361DF2">
        <w:t>а, предназначенный для внутреннего пользования и озагла</w:t>
      </w:r>
      <w:r w:rsidRPr="00361DF2">
        <w:t>в</w:t>
      </w:r>
      <w:r w:rsidRPr="00361DF2">
        <w:t xml:space="preserve">ленный </w:t>
      </w:r>
      <w:r>
        <w:t>"</w:t>
      </w:r>
      <w:r w:rsidRPr="00361DF2">
        <w:t>Преступность среди некоторых этнических меньшинств, ведущих н</w:t>
      </w:r>
      <w:r w:rsidRPr="00361DF2">
        <w:t>е</w:t>
      </w:r>
      <w:r w:rsidRPr="00361DF2">
        <w:t>оседлый образ жизни</w:t>
      </w:r>
      <w:r>
        <w:t>"</w:t>
      </w:r>
      <w:r w:rsidRPr="00361DF2">
        <w:t>. По мнению автора, такая формулировка четко дает п</w:t>
      </w:r>
      <w:r w:rsidRPr="00361DF2">
        <w:t>о</w:t>
      </w:r>
      <w:r w:rsidRPr="00361DF2">
        <w:t xml:space="preserve">нять, что речь идет о </w:t>
      </w:r>
      <w:r>
        <w:t>"</w:t>
      </w:r>
      <w:r w:rsidRPr="00361DF2">
        <w:t>странствующей общине</w:t>
      </w:r>
      <w:r>
        <w:t>"</w:t>
      </w:r>
      <w:r w:rsidRPr="00361DF2">
        <w:t xml:space="preserve">. В нем говорится, что </w:t>
      </w:r>
      <w:r>
        <w:t>"</w:t>
      </w:r>
      <w:r w:rsidRPr="00361DF2">
        <w:t>почти треть из 120 000 лиц, занесенных в административную картотеку лиц без опр</w:t>
      </w:r>
      <w:r w:rsidRPr="00361DF2">
        <w:t>е</w:t>
      </w:r>
      <w:r w:rsidRPr="00361DF2">
        <w:t>деленного местожительства или местопребывания […], известны как правон</w:t>
      </w:r>
      <w:r w:rsidRPr="00361DF2">
        <w:t>а</w:t>
      </w:r>
      <w:r w:rsidRPr="00361DF2">
        <w:t>рушители</w:t>
      </w:r>
      <w:r>
        <w:t>"</w:t>
      </w:r>
      <w:r w:rsidRPr="00361DF2">
        <w:t xml:space="preserve">. Кроме того, в нем отмечается, что </w:t>
      </w:r>
      <w:r>
        <w:t>"</w:t>
      </w:r>
      <w:r w:rsidRPr="00361DF2">
        <w:t>сотрудникам, в частности, нео</w:t>
      </w:r>
      <w:r w:rsidRPr="00361DF2">
        <w:t>б</w:t>
      </w:r>
      <w:r w:rsidRPr="00361DF2">
        <w:t xml:space="preserve">ходимо четко различать лиц, имеющих статус </w:t>
      </w:r>
      <w:r>
        <w:t>"</w:t>
      </w:r>
      <w:r w:rsidRPr="00361DF2">
        <w:t>без определенного местожител</w:t>
      </w:r>
      <w:r w:rsidRPr="00361DF2">
        <w:t>ь</w:t>
      </w:r>
      <w:r w:rsidRPr="00361DF2">
        <w:t>ства или местопребывания</w:t>
      </w:r>
      <w:r>
        <w:t>"</w:t>
      </w:r>
      <w:r w:rsidRPr="00361DF2">
        <w:t>, для которых административные документы […] могут быть затребованы без особых</w:t>
      </w:r>
      <w:r>
        <w:t xml:space="preserve"> </w:t>
      </w:r>
      <w:r w:rsidRPr="00361DF2">
        <w:t>формальностей, и оседлых лиц, чьи уд</w:t>
      </w:r>
      <w:r w:rsidRPr="00361DF2">
        <w:t>о</w:t>
      </w:r>
      <w:r w:rsidRPr="00361DF2">
        <w:t>стоверения личности контролируются согласно пр</w:t>
      </w:r>
      <w:r w:rsidRPr="00361DF2">
        <w:t>о</w:t>
      </w:r>
      <w:r w:rsidRPr="00361DF2">
        <w:t>цедуре, установленной статьями 78-1</w:t>
      </w:r>
      <w:r>
        <w:t>−</w:t>
      </w:r>
      <w:r w:rsidRPr="00361DF2">
        <w:t>78-5 Уголовно-процессуального кодекса</w:t>
      </w:r>
      <w:r>
        <w:t>"</w:t>
      </w:r>
      <w:r w:rsidRPr="00361DF2">
        <w:t>. По мнению автора, т</w:t>
      </w:r>
      <w:r w:rsidRPr="00361DF2">
        <w:t>а</w:t>
      </w:r>
      <w:r w:rsidRPr="00361DF2">
        <w:t>кие указания красноречиво указывают на особый и дискриминационный хара</w:t>
      </w:r>
      <w:r w:rsidRPr="00361DF2">
        <w:t>к</w:t>
      </w:r>
      <w:r w:rsidRPr="00361DF2">
        <w:t xml:space="preserve">тер контроля путевых документов. Эти проверочные мероприятия включают изучение полицейскими отдельной группы населения – </w:t>
      </w:r>
      <w:r>
        <w:t>"</w:t>
      </w:r>
      <w:r w:rsidRPr="00361DF2">
        <w:t>странствующей общ</w:t>
      </w:r>
      <w:r w:rsidRPr="00361DF2">
        <w:t>и</w:t>
      </w:r>
      <w:r w:rsidRPr="00361DF2">
        <w:t>ны</w:t>
      </w:r>
      <w:r>
        <w:t>"</w:t>
      </w:r>
      <w:r w:rsidRPr="00361DF2">
        <w:t xml:space="preserve">, определяемой в качестве </w:t>
      </w:r>
      <w:r>
        <w:t>"</w:t>
      </w:r>
      <w:r w:rsidRPr="00361DF2">
        <w:t>этнического меньшинства, ведущего неоседлый образ жизни</w:t>
      </w:r>
      <w:r>
        <w:t>"</w:t>
      </w:r>
      <w:r w:rsidRPr="00361DF2">
        <w:t xml:space="preserve"> и подвергаемой специальному, систематическому и стигматиз</w:t>
      </w:r>
      <w:r w:rsidRPr="00361DF2">
        <w:t>и</w:t>
      </w:r>
      <w:r w:rsidRPr="00361DF2">
        <w:t>рующему контролю, который стал возможным благодаря системе разрешений на передвижение.</w:t>
      </w:r>
    </w:p>
    <w:p w:rsidR="00361DF2" w:rsidRPr="00361DF2" w:rsidRDefault="00361DF2" w:rsidP="00361DF2">
      <w:pPr>
        <w:pStyle w:val="H4GR"/>
        <w:spacing w:before="240"/>
        <w:ind w:left="1106" w:right="1170" w:hanging="1106"/>
      </w:pPr>
      <w:r w:rsidRPr="00361DF2">
        <w:tab/>
      </w:r>
      <w:r w:rsidRPr="00361DF2">
        <w:tab/>
        <w:t>По жалобе, касающейся статьи 26</w:t>
      </w:r>
    </w:p>
    <w:p w:rsidR="00361DF2" w:rsidRPr="00361DF2" w:rsidRDefault="00361DF2" w:rsidP="00361DF2">
      <w:pPr>
        <w:pStyle w:val="SingleTxtGR"/>
      </w:pPr>
      <w:r w:rsidRPr="00361DF2">
        <w:t>6.4</w:t>
      </w:r>
      <w:r w:rsidRPr="00361DF2">
        <w:tab/>
        <w:t xml:space="preserve">Автор вновь утверждает, что образ жизни </w:t>
      </w:r>
      <w:r>
        <w:t>"</w:t>
      </w:r>
      <w:r w:rsidRPr="00361DF2">
        <w:t>странствующей общ</w:t>
      </w:r>
      <w:r w:rsidRPr="00361DF2">
        <w:t>и</w:t>
      </w:r>
      <w:r w:rsidRPr="00361DF2">
        <w:t>ны</w:t>
      </w:r>
      <w:r>
        <w:t>"</w:t>
      </w:r>
      <w:r w:rsidRPr="00361DF2">
        <w:t xml:space="preserve"> нужно анализировать с социологической точки зрения, учитывающей культу</w:t>
      </w:r>
      <w:r w:rsidRPr="00361DF2">
        <w:t>р</w:t>
      </w:r>
      <w:r w:rsidRPr="00361DF2">
        <w:t xml:space="preserve">ный капитал, который передается из поколения в поколение, выходя за рамки юридического анализа, сосредоточенного на индивидуальном </w:t>
      </w:r>
      <w:r>
        <w:t>"</w:t>
      </w:r>
      <w:r w:rsidRPr="00361DF2">
        <w:t>выборе</w:t>
      </w:r>
      <w:r>
        <w:t>"</w:t>
      </w:r>
      <w:r w:rsidRPr="00361DF2">
        <w:t>. Хотя нормой в настоящее время является наличие постоянного жилища, эту норму не следует навязывать лицам, которые никогда ей не следовали. Автор напоминает, что он всегда вел кочевой образ жи</w:t>
      </w:r>
      <w:r w:rsidRPr="00361DF2">
        <w:t>з</w:t>
      </w:r>
      <w:r w:rsidRPr="00361DF2">
        <w:t>ни и что его далекие предки, также жившие кочевой жизнью, занимались странствующими профессиями. Он далее указ</w:t>
      </w:r>
      <w:r w:rsidRPr="00361DF2">
        <w:t>ы</w:t>
      </w:r>
      <w:r w:rsidRPr="00361DF2">
        <w:t xml:space="preserve">вает, что наряду с ограничением свободы передвижения путевые документы указывают на то, что обращение с членами </w:t>
      </w:r>
      <w:r>
        <w:t>"</w:t>
      </w:r>
      <w:r w:rsidRPr="00361DF2">
        <w:t>странствующей общины</w:t>
      </w:r>
      <w:r>
        <w:t>"</w:t>
      </w:r>
      <w:r w:rsidRPr="00361DF2">
        <w:t xml:space="preserve"> отличае</w:t>
      </w:r>
      <w:r w:rsidRPr="00361DF2">
        <w:t>т</w:t>
      </w:r>
      <w:r w:rsidRPr="00361DF2">
        <w:t>ся от обращения с остальной частью населения. Хотя обоснованием такого р</w:t>
      </w:r>
      <w:r w:rsidRPr="00361DF2">
        <w:t>е</w:t>
      </w:r>
      <w:r w:rsidRPr="00361DF2">
        <w:t>жима является м</w:t>
      </w:r>
      <w:r w:rsidRPr="00361DF2">
        <w:t>о</w:t>
      </w:r>
      <w:r w:rsidRPr="00361DF2">
        <w:t>бильность этой группы, по-видимому, другие мобильные группы населения</w:t>
      </w:r>
      <w:r>
        <w:t xml:space="preserve"> − </w:t>
      </w:r>
      <w:r w:rsidRPr="00361DF2">
        <w:t>такие, как лодочники, коммивояжеры или лица БОМЖ,</w:t>
      </w:r>
      <w:r>
        <w:t xml:space="preserve"> − </w:t>
      </w:r>
      <w:r w:rsidRPr="00361DF2">
        <w:t xml:space="preserve">не подвергаются указанному виду контроля. С другой стороны, определение термина </w:t>
      </w:r>
      <w:r>
        <w:t>"</w:t>
      </w:r>
      <w:r w:rsidRPr="00361DF2">
        <w:t>странствующая община</w:t>
      </w:r>
      <w:r>
        <w:t>"</w:t>
      </w:r>
      <w:r w:rsidRPr="00361DF2">
        <w:t xml:space="preserve"> само по себе связано не с мобильностью лиц, а с фактом их проживания в мобильном жилье в течение как минимум 6 месяцев</w:t>
      </w:r>
      <w:r w:rsidRPr="00361DF2">
        <w:rPr>
          <w:vertAlign w:val="superscript"/>
          <w:lang w:val="fr-CH"/>
        </w:rPr>
        <w:footnoteReference w:id="14"/>
      </w:r>
      <w:r w:rsidRPr="00361DF2">
        <w:t>.</w:t>
      </w:r>
      <w:r w:rsidRPr="00361DF2">
        <w:rPr>
          <w:vertAlign w:val="superscript"/>
        </w:rPr>
        <w:t xml:space="preserve"> </w:t>
      </w:r>
      <w:r w:rsidRPr="00361DF2">
        <w:t>При этом отсутствие определенного местожительства, которым гос</w:t>
      </w:r>
      <w:r w:rsidRPr="00361DF2">
        <w:t>у</w:t>
      </w:r>
      <w:r w:rsidRPr="00361DF2">
        <w:t xml:space="preserve">дарство-участник оправдывает особое обращение с членами </w:t>
      </w:r>
      <w:r>
        <w:t>"</w:t>
      </w:r>
      <w:r w:rsidRPr="00361DF2">
        <w:t>странствующей общины</w:t>
      </w:r>
      <w:r>
        <w:t>"</w:t>
      </w:r>
      <w:r w:rsidRPr="00361DF2">
        <w:t>, свойственно также лодочникам, кочевникам и владельцам аттракци</w:t>
      </w:r>
      <w:r w:rsidRPr="00361DF2">
        <w:t>о</w:t>
      </w:r>
      <w:r w:rsidRPr="00361DF2">
        <w:t>нов, которые ранее рассматрив</w:t>
      </w:r>
      <w:r w:rsidRPr="00361DF2">
        <w:t>а</w:t>
      </w:r>
      <w:r w:rsidRPr="00361DF2">
        <w:t>лись в качестве одной категории в соответствии с Постановлением № 58-923 от 7 октября 1958</w:t>
      </w:r>
      <w:r>
        <w:t> год</w:t>
      </w:r>
      <w:r w:rsidRPr="00361DF2">
        <w:t>а</w:t>
      </w:r>
      <w:r w:rsidRPr="00361DF2">
        <w:rPr>
          <w:vertAlign w:val="superscript"/>
          <w:lang w:val="fr-CH"/>
        </w:rPr>
        <w:footnoteReference w:id="15"/>
      </w:r>
      <w:r w:rsidRPr="00361DF2">
        <w:t>, которое давало этим трем группам населения возможность свободно выбирать ж</w:t>
      </w:r>
      <w:r w:rsidRPr="00361DF2">
        <w:t>и</w:t>
      </w:r>
      <w:r w:rsidRPr="00361DF2">
        <w:t>лище, причем для этого в Гражданский кодекс были внесены изменения. Хотя положение о местож</w:t>
      </w:r>
      <w:r w:rsidRPr="00361DF2">
        <w:t>и</w:t>
      </w:r>
      <w:r w:rsidRPr="00361DF2">
        <w:t xml:space="preserve">тельстве лодочников был сохранено, аналогичное положение о кочевниках и владельцах аттракционов (в более позднем законодательстве эти термины были заменены категорией </w:t>
      </w:r>
      <w:r>
        <w:t>"</w:t>
      </w:r>
      <w:r w:rsidRPr="00361DF2">
        <w:t>странствующая община</w:t>
      </w:r>
      <w:r>
        <w:t>"</w:t>
      </w:r>
      <w:r w:rsidRPr="00361DF2">
        <w:t>) было упразднено Законом от 3</w:t>
      </w:r>
      <w:r>
        <w:t> </w:t>
      </w:r>
      <w:r w:rsidRPr="00361DF2">
        <w:t>января 1969</w:t>
      </w:r>
      <w:r>
        <w:t> год</w:t>
      </w:r>
      <w:r w:rsidRPr="00361DF2">
        <w:t>а, который ввел понятие прикрепления к коммуне для этих двух категорий. Автор далее сообщает, что в законопроекте, касающемся выш</w:t>
      </w:r>
      <w:r w:rsidRPr="00361DF2">
        <w:t>е</w:t>
      </w:r>
      <w:r w:rsidRPr="00361DF2">
        <w:t>упомянутого закона, указ</w:t>
      </w:r>
      <w:r w:rsidRPr="00361DF2">
        <w:t>ы</w:t>
      </w:r>
      <w:r w:rsidRPr="00361DF2">
        <w:t>вается, что введение в статье 8 Закона максимальной 3-процентной квоты для населения, которое может прикрепляться к муницип</w:t>
      </w:r>
      <w:r w:rsidRPr="00361DF2">
        <w:t>а</w:t>
      </w:r>
      <w:r w:rsidRPr="00361DF2">
        <w:t>литету, было направлено на обеспечение того, чтобы соотношение муниц</w:t>
      </w:r>
      <w:r w:rsidRPr="00361DF2">
        <w:t>и</w:t>
      </w:r>
      <w:r w:rsidRPr="00361DF2">
        <w:t>пального электората практически не менялось с притоком избирателей, не имеющих реальных связей с данной коммуной. По мнению автора, одно лишь стремление к тому, чтобы снизить уровень реальной выборной репрезентати</w:t>
      </w:r>
      <w:r w:rsidRPr="00361DF2">
        <w:t>в</w:t>
      </w:r>
      <w:r w:rsidRPr="00361DF2">
        <w:t xml:space="preserve">ности этой категории населения, убедительно свидетельствует о неравенстве перед законом, от которого страдают члены </w:t>
      </w:r>
      <w:r>
        <w:t>"</w:t>
      </w:r>
      <w:r w:rsidRPr="00361DF2">
        <w:t>странствующей общины</w:t>
      </w:r>
      <w:r>
        <w:t>"</w:t>
      </w:r>
      <w:r w:rsidRPr="00361DF2">
        <w:t>.</w:t>
      </w:r>
    </w:p>
    <w:p w:rsidR="00361DF2" w:rsidRPr="00361DF2" w:rsidRDefault="00361DF2" w:rsidP="00361DF2">
      <w:pPr>
        <w:pStyle w:val="H23GR"/>
      </w:pPr>
      <w:r w:rsidRPr="00361DF2">
        <w:tab/>
      </w:r>
      <w:r w:rsidRPr="00361DF2">
        <w:tab/>
        <w:t xml:space="preserve">Вопросы и процедура их рассмотрения в Комитете </w:t>
      </w:r>
    </w:p>
    <w:p w:rsidR="00361DF2" w:rsidRPr="00361DF2" w:rsidRDefault="00361DF2" w:rsidP="00361DF2">
      <w:pPr>
        <w:pStyle w:val="H4GR"/>
        <w:spacing w:before="240"/>
        <w:ind w:left="1106" w:right="1170" w:hanging="1106"/>
      </w:pPr>
      <w:r w:rsidRPr="00361DF2">
        <w:tab/>
      </w:r>
      <w:r w:rsidRPr="00361DF2">
        <w:tab/>
        <w:t xml:space="preserve">Рассмотрение вопроса о приемлемости </w:t>
      </w:r>
    </w:p>
    <w:p w:rsidR="00361DF2" w:rsidRPr="00361DF2" w:rsidRDefault="00361DF2" w:rsidP="00361DF2">
      <w:pPr>
        <w:pStyle w:val="SingleTxtGR"/>
      </w:pPr>
      <w:r w:rsidRPr="00361DF2">
        <w:t>7.1</w:t>
      </w:r>
      <w:r w:rsidRPr="00361DF2">
        <w:tab/>
        <w:t>Перед рассмотрением любого заявления, содержащегося в сообщении, Комитет по правам человека должен, в соответствии с правилом 93 своих пр</w:t>
      </w:r>
      <w:r w:rsidRPr="00361DF2">
        <w:t>а</w:t>
      </w:r>
      <w:r w:rsidRPr="00361DF2">
        <w:t>вил процедуры, принять решение о том, является ли сообщение приемлемым в</w:t>
      </w:r>
      <w:r w:rsidRPr="00361DF2">
        <w:rPr>
          <w:lang w:val="fr-CH"/>
        </w:rPr>
        <w:t> </w:t>
      </w:r>
      <w:r w:rsidRPr="00361DF2">
        <w:t xml:space="preserve">соответствии с Факультативным протоколом к Пакту. </w:t>
      </w:r>
    </w:p>
    <w:p w:rsidR="00361DF2" w:rsidRPr="00361DF2" w:rsidRDefault="00361DF2" w:rsidP="00361DF2">
      <w:pPr>
        <w:pStyle w:val="SingleTxtGR"/>
      </w:pPr>
      <w:r w:rsidRPr="00361DF2">
        <w:t>7.2</w:t>
      </w:r>
      <w:r w:rsidRPr="00361DF2">
        <w:tab/>
        <w:t>Руководствуясь требованиями подпункта а) пункта 2 статьи 5 Факульт</w:t>
      </w:r>
      <w:r w:rsidRPr="00361DF2">
        <w:t>а</w:t>
      </w:r>
      <w:r w:rsidRPr="00361DF2">
        <w:t>тивного протокола, Комитет констатировал, что аналогичная жалоба, поданная автором в Европейский суд по правам человека, 1 сентября 2009</w:t>
      </w:r>
      <w:r>
        <w:t> год</w:t>
      </w:r>
      <w:r w:rsidRPr="00361DF2">
        <w:t>а была пр</w:t>
      </w:r>
      <w:r w:rsidRPr="00361DF2">
        <w:t>и</w:t>
      </w:r>
      <w:r w:rsidRPr="00361DF2">
        <w:t>знана неприемлемой (ходатайство № 3257/09) на основании пункта 1 статьи 35 Конвенции, поскольку период между вынесением окончательного решения внутренним судом (Кассационный суд) и подачей ходатайства превысил 6 мес</w:t>
      </w:r>
      <w:r w:rsidRPr="00361DF2">
        <w:t>я</w:t>
      </w:r>
      <w:r w:rsidRPr="00361DF2">
        <w:t>цев. Кроме того, Комитет напоминает, что при присоединении к Факультати</w:t>
      </w:r>
      <w:r w:rsidRPr="00361DF2">
        <w:t>в</w:t>
      </w:r>
      <w:r w:rsidRPr="00361DF2">
        <w:t xml:space="preserve">ному протоколу государство-участник сформулировало оговорку к подпункту а) пункта 2 статьи 5 Факультативного протокола, указав, что Комитет </w:t>
      </w:r>
      <w:r>
        <w:t>"</w:t>
      </w:r>
      <w:r w:rsidRPr="00361DF2">
        <w:t>не будет компетентен рассматривать сообщение частного лица, если этот же вопрос ра</w:t>
      </w:r>
      <w:r w:rsidRPr="00361DF2">
        <w:t>с</w:t>
      </w:r>
      <w:r w:rsidRPr="00361DF2">
        <w:t>сматривается или уже был рассмотрен другой инстанцией международного ра</w:t>
      </w:r>
      <w:r w:rsidRPr="00361DF2">
        <w:t>з</w:t>
      </w:r>
      <w:r w:rsidRPr="00361DF2">
        <w:t>бирательства или урегулирования</w:t>
      </w:r>
      <w:r>
        <w:t>"</w:t>
      </w:r>
      <w:r w:rsidRPr="00361DF2">
        <w:t>. Однако Комитет констатирует, что Европе</w:t>
      </w:r>
      <w:r w:rsidRPr="00361DF2">
        <w:t>й</w:t>
      </w:r>
      <w:r w:rsidRPr="00361DF2">
        <w:t xml:space="preserve">ский суд не </w:t>
      </w:r>
      <w:r>
        <w:t>"</w:t>
      </w:r>
      <w:r w:rsidRPr="00361DF2">
        <w:t>рассмотрел</w:t>
      </w:r>
      <w:r>
        <w:t>"</w:t>
      </w:r>
      <w:r w:rsidRPr="00361DF2">
        <w:t xml:space="preserve"> данное дело по смыслу подпункта а) пункта 2 ст</w:t>
      </w:r>
      <w:r w:rsidRPr="00361DF2">
        <w:t>а</w:t>
      </w:r>
      <w:r w:rsidRPr="00361DF2">
        <w:t>тьи</w:t>
      </w:r>
      <w:r>
        <w:t> </w:t>
      </w:r>
      <w:r w:rsidRPr="00361DF2">
        <w:t>5 Факультативного протокола, поскольку его решение касалось лишь пр</w:t>
      </w:r>
      <w:r w:rsidRPr="00361DF2">
        <w:t>о</w:t>
      </w:r>
      <w:r w:rsidRPr="00361DF2">
        <w:t>цедурного вопроса</w:t>
      </w:r>
      <w:r w:rsidRPr="00361DF2">
        <w:rPr>
          <w:vertAlign w:val="superscript"/>
          <w:lang w:val="fr-CH"/>
        </w:rPr>
        <w:footnoteReference w:id="16"/>
      </w:r>
      <w:r w:rsidRPr="00361DF2">
        <w:t>. Следовательно, подпункт а) пункта 2 статьи 5 Факульт</w:t>
      </w:r>
      <w:r w:rsidRPr="00361DF2">
        <w:t>а</w:t>
      </w:r>
      <w:r w:rsidRPr="00361DF2">
        <w:t>тивного протокола с изменением, внесенным оговоркой государства-участника, не явл</w:t>
      </w:r>
      <w:r w:rsidRPr="00361DF2">
        <w:t>я</w:t>
      </w:r>
      <w:r w:rsidRPr="00361DF2">
        <w:t>ется препятствием для рассмотрения Комитетом данного сообщения.</w:t>
      </w:r>
      <w:r>
        <w:t xml:space="preserve"> </w:t>
      </w:r>
    </w:p>
    <w:p w:rsidR="00361DF2" w:rsidRPr="00361DF2" w:rsidRDefault="00361DF2" w:rsidP="00361DF2">
      <w:pPr>
        <w:pStyle w:val="SingleTxtGR"/>
      </w:pPr>
      <w:r w:rsidRPr="00361DF2">
        <w:t>7.3</w:t>
      </w:r>
      <w:r w:rsidRPr="00361DF2">
        <w:tab/>
        <w:t>Кроме того, Комитет принял к сведению аргументы государства-участника о том, что автор не исчерпал внутренние средства правовой з</w:t>
      </w:r>
      <w:r w:rsidRPr="00361DF2">
        <w:t>а</w:t>
      </w:r>
      <w:r w:rsidRPr="00361DF2">
        <w:t>щиты в части, касающейся вопроса о выборе места жительства и его изменения в ра</w:t>
      </w:r>
      <w:r w:rsidRPr="00361DF2">
        <w:t>м</w:t>
      </w:r>
      <w:r w:rsidRPr="00361DF2">
        <w:t>ках системы прикрепления к коммуне, введенной Зак</w:t>
      </w:r>
      <w:r w:rsidRPr="00361DF2">
        <w:t>о</w:t>
      </w:r>
      <w:r w:rsidRPr="00361DF2">
        <w:t>ном от 3 января 1969</w:t>
      </w:r>
      <w:r>
        <w:t> год</w:t>
      </w:r>
      <w:r w:rsidRPr="00361DF2">
        <w:t>а (статья 7 и последующие статьи). Комитет отмечает, что автор не оспорил этот аргумент и что он уточнил, что из всех гарантий, закрепленных в пункте 1 ст</w:t>
      </w:r>
      <w:r w:rsidRPr="00361DF2">
        <w:t>а</w:t>
      </w:r>
      <w:r w:rsidRPr="00361DF2">
        <w:t>тьи 12, он хотел бы воспользоваться только пр</w:t>
      </w:r>
      <w:r w:rsidRPr="00361DF2">
        <w:t>а</w:t>
      </w:r>
      <w:r w:rsidRPr="00361DF2">
        <w:t>вом на свободное передвижение. Следовательно, Комитет объявляет часть сообщения, касающуюся выбора ме</w:t>
      </w:r>
      <w:r w:rsidRPr="00361DF2">
        <w:t>с</w:t>
      </w:r>
      <w:r w:rsidRPr="00361DF2">
        <w:t>та жительства и его изменения, непр</w:t>
      </w:r>
      <w:r w:rsidRPr="00361DF2">
        <w:t>и</w:t>
      </w:r>
      <w:r w:rsidRPr="00361DF2">
        <w:t xml:space="preserve">емлемой по смыслу подпункта </w:t>
      </w:r>
      <w:r w:rsidRPr="00361DF2">
        <w:rPr>
          <w:lang w:val="en-US"/>
        </w:rPr>
        <w:t>b</w:t>
      </w:r>
      <w:r w:rsidRPr="00361DF2">
        <w:t>) пункта 2 статьи 5 Факультативного пр</w:t>
      </w:r>
      <w:r w:rsidRPr="00361DF2">
        <w:t>о</w:t>
      </w:r>
      <w:r w:rsidRPr="00361DF2">
        <w:t xml:space="preserve">токола. </w:t>
      </w:r>
    </w:p>
    <w:p w:rsidR="00361DF2" w:rsidRPr="00361DF2" w:rsidRDefault="00361DF2" w:rsidP="00361DF2">
      <w:pPr>
        <w:pStyle w:val="SingleTxtGR"/>
      </w:pPr>
      <w:r w:rsidRPr="00361DF2">
        <w:t>7.4</w:t>
      </w:r>
      <w:r w:rsidRPr="00361DF2">
        <w:tab/>
        <w:t>Комитет считает, что все остальные критерии приемлемости были с</w:t>
      </w:r>
      <w:r w:rsidRPr="00361DF2">
        <w:t>о</w:t>
      </w:r>
      <w:r w:rsidRPr="00361DF2">
        <w:t>блюдены, и объявляет сообщение приемлемым в части, касающейся а</w:t>
      </w:r>
      <w:r w:rsidRPr="00361DF2">
        <w:t>р</w:t>
      </w:r>
      <w:r w:rsidRPr="00361DF2">
        <w:t>гументов автора по пункту 1 статьи 12 (относительно свободы передвиж</w:t>
      </w:r>
      <w:r w:rsidRPr="00361DF2">
        <w:t>е</w:t>
      </w:r>
      <w:r w:rsidRPr="00361DF2">
        <w:t xml:space="preserve">ния) и по статье 26 Пакта. </w:t>
      </w:r>
    </w:p>
    <w:p w:rsidR="00361DF2" w:rsidRPr="00361DF2" w:rsidRDefault="00361DF2" w:rsidP="00361DF2">
      <w:pPr>
        <w:pStyle w:val="H4GR"/>
        <w:spacing w:before="240"/>
        <w:ind w:left="1106" w:right="1170" w:hanging="1106"/>
      </w:pPr>
      <w:r w:rsidRPr="00361DF2">
        <w:tab/>
      </w:r>
      <w:r w:rsidRPr="00361DF2">
        <w:tab/>
        <w:t>Рассмотрение сообщения по существу</w:t>
      </w:r>
    </w:p>
    <w:p w:rsidR="00361DF2" w:rsidRPr="00361DF2" w:rsidRDefault="00361DF2" w:rsidP="00361DF2">
      <w:pPr>
        <w:pStyle w:val="SingleTxtGR"/>
      </w:pPr>
      <w:r w:rsidRPr="00361DF2">
        <w:t>8.1</w:t>
      </w:r>
      <w:r w:rsidRPr="00361DF2">
        <w:tab/>
        <w:t>Комитет по правам человека рассмотрел настоящее сообщение с учетом всех сведений, представленных ему сторонами, в соответствии с пунктом 1 ст</w:t>
      </w:r>
      <w:r w:rsidRPr="00361DF2">
        <w:t>а</w:t>
      </w:r>
      <w:r w:rsidRPr="00361DF2">
        <w:t>тьи 5 Факультативного протокола.</w:t>
      </w:r>
    </w:p>
    <w:p w:rsidR="00361DF2" w:rsidRPr="00361DF2" w:rsidRDefault="00361DF2" w:rsidP="00361DF2">
      <w:pPr>
        <w:pStyle w:val="SingleTxtGR"/>
      </w:pPr>
      <w:r w:rsidRPr="00361DF2">
        <w:t>8.2</w:t>
      </w:r>
      <w:r w:rsidRPr="00361DF2">
        <w:tab/>
        <w:t>Комитет принимает к сведению утверждение автора о том, что, привлекая его к уголовной ответственности в виде уплаты штрафа в разм</w:t>
      </w:r>
      <w:r w:rsidRPr="00361DF2">
        <w:t>е</w:t>
      </w:r>
      <w:r w:rsidRPr="00361DF2">
        <w:t xml:space="preserve">ре 150 евро (решением Апелляционного суда </w:t>
      </w:r>
      <w:proofErr w:type="spellStart"/>
      <w:r w:rsidRPr="00361DF2">
        <w:t>Анже</w:t>
      </w:r>
      <w:proofErr w:type="spellEnd"/>
      <w:r w:rsidRPr="00361DF2">
        <w:t xml:space="preserve"> размер штрафа был снижен до 50 евро) за отсутствие действительной визы в его путевой кни</w:t>
      </w:r>
      <w:r w:rsidRPr="00361DF2">
        <w:t>ж</w:t>
      </w:r>
      <w:r w:rsidRPr="00361DF2">
        <w:t>ке, государство-участник нарушило свои обязательства, согласно которым оно должно было гарантир</w:t>
      </w:r>
      <w:r w:rsidRPr="00361DF2">
        <w:t>о</w:t>
      </w:r>
      <w:r w:rsidRPr="00361DF2">
        <w:t>вать автору: 1) право на свободное передвижение по своей территории в соо</w:t>
      </w:r>
      <w:r w:rsidRPr="00361DF2">
        <w:t>т</w:t>
      </w:r>
      <w:r w:rsidRPr="00361DF2">
        <w:t>ветствии с пунктом 1 статьи 12 Пакта; и 2) его право на равенство перед зак</w:t>
      </w:r>
      <w:r w:rsidRPr="00361DF2">
        <w:t>о</w:t>
      </w:r>
      <w:r w:rsidRPr="00361DF2">
        <w:t>ном и на равную защиту закона без вс</w:t>
      </w:r>
      <w:r w:rsidRPr="00361DF2">
        <w:t>я</w:t>
      </w:r>
      <w:r w:rsidRPr="00361DF2">
        <w:t>кой дискриминации, гарантируемое статьей 26 Пакта. Ком</w:t>
      </w:r>
      <w:r w:rsidRPr="00361DF2">
        <w:t>и</w:t>
      </w:r>
      <w:r w:rsidRPr="00361DF2">
        <w:t>тет принимает к сведению аргумент государства-участника о том, что ограничения, нал</w:t>
      </w:r>
      <w:r w:rsidRPr="00361DF2">
        <w:t>а</w:t>
      </w:r>
      <w:r w:rsidRPr="00361DF2">
        <w:t>гаемые Законом № 69-3 от 3 января 1969</w:t>
      </w:r>
      <w:r>
        <w:t> год</w:t>
      </w:r>
      <w:r w:rsidRPr="00361DF2">
        <w:t>а на статью 12, соответствуют пункту 3 этого положения</w:t>
      </w:r>
      <w:r w:rsidRPr="00361DF2">
        <w:rPr>
          <w:lang w:val="fr-CH"/>
        </w:rPr>
        <w:t>,</w:t>
      </w:r>
      <w:r w:rsidRPr="00361DF2">
        <w:t xml:space="preserve"> поскольку они продиктованы соображениями общественного порядка</w:t>
      </w:r>
      <w:r w:rsidRPr="00361DF2">
        <w:rPr>
          <w:lang w:val="fr-CH"/>
        </w:rPr>
        <w:t>.</w:t>
      </w:r>
      <w:r w:rsidRPr="00361DF2">
        <w:t xml:space="preserve"> В частности, треб</w:t>
      </w:r>
      <w:r w:rsidRPr="00361DF2">
        <w:t>о</w:t>
      </w:r>
      <w:r w:rsidRPr="00361DF2">
        <w:t>вание являться в административные органы для проставления визы в разреш</w:t>
      </w:r>
      <w:r w:rsidRPr="00361DF2">
        <w:t>е</w:t>
      </w:r>
      <w:r w:rsidRPr="00361DF2">
        <w:t>нии на передвижение объясняется стремлением поддерживать с членами стра</w:t>
      </w:r>
      <w:r w:rsidRPr="00361DF2">
        <w:t>н</w:t>
      </w:r>
      <w:r w:rsidRPr="00361DF2">
        <w:t>ствующей общины административный контакт и проводить вероятные пров</w:t>
      </w:r>
      <w:r w:rsidRPr="00361DF2">
        <w:t>е</w:t>
      </w:r>
      <w:r w:rsidRPr="00361DF2">
        <w:t>рочные меропри</w:t>
      </w:r>
      <w:r w:rsidRPr="00361DF2">
        <w:t>я</w:t>
      </w:r>
      <w:r w:rsidRPr="00361DF2">
        <w:t xml:space="preserve">тия. </w:t>
      </w:r>
    </w:p>
    <w:p w:rsidR="00361DF2" w:rsidRPr="00361DF2" w:rsidRDefault="00361DF2" w:rsidP="00361DF2">
      <w:pPr>
        <w:pStyle w:val="SingleTxtGR"/>
      </w:pPr>
      <w:r w:rsidRPr="00361DF2">
        <w:t>8.3</w:t>
      </w:r>
      <w:r w:rsidRPr="00361DF2">
        <w:tab/>
        <w:t>Комитет ссылается на свое Замечание общего порядка №</w:t>
      </w:r>
      <w:r>
        <w:t xml:space="preserve"> </w:t>
      </w:r>
      <w:r w:rsidRPr="00361DF2">
        <w:t>27 (1999</w:t>
      </w:r>
      <w:r>
        <w:t> год</w:t>
      </w:r>
      <w:r w:rsidRPr="00361DF2">
        <w:t>) о свободе передвижения, согласно которому ограничения, которые могут вв</w:t>
      </w:r>
      <w:r w:rsidRPr="00361DF2">
        <w:t>о</w:t>
      </w:r>
      <w:r w:rsidRPr="00361DF2">
        <w:t>диться в отношении прав, защищаемых статьей 12 Пакта, не должны подрывать принцип свободы передвижения и должны регулироваться требованием о нео</w:t>
      </w:r>
      <w:r w:rsidRPr="00361DF2">
        <w:t>б</w:t>
      </w:r>
      <w:r w:rsidRPr="00361DF2">
        <w:t>ходимости, предусмотренным в пункте 3 этой статьи 12, и необходимостью обеспечения совместимости с другими признанными в Пакте правами</w:t>
      </w:r>
      <w:r w:rsidRPr="00361DF2">
        <w:rPr>
          <w:vertAlign w:val="superscript"/>
          <w:lang w:val="fr-CH"/>
        </w:rPr>
        <w:footnoteReference w:id="17"/>
      </w:r>
      <w:r w:rsidRPr="00361DF2">
        <w:t>. С</w:t>
      </w:r>
      <w:r w:rsidRPr="00361DF2">
        <w:t>о</w:t>
      </w:r>
      <w:r w:rsidRPr="00361DF2">
        <w:t>гласно статье</w:t>
      </w:r>
      <w:r w:rsidRPr="00361DF2">
        <w:rPr>
          <w:lang w:val="fr-CH"/>
        </w:rPr>
        <w:t> </w:t>
      </w:r>
      <w:r w:rsidRPr="00361DF2">
        <w:t>5 Закона № 69-3 от 3 января 1969</w:t>
      </w:r>
      <w:r>
        <w:t> год</w:t>
      </w:r>
      <w:r w:rsidRPr="00361DF2">
        <w:t>а, которая была применима к автору на момент совершения указанных действий, налагала на лиц, не име</w:t>
      </w:r>
      <w:r w:rsidRPr="00361DF2">
        <w:t>ю</w:t>
      </w:r>
      <w:r w:rsidRPr="00361DF2">
        <w:t>щих определенного местожительства или местопребывания в течение более 6</w:t>
      </w:r>
      <w:r w:rsidR="005D7C88">
        <w:t> </w:t>
      </w:r>
      <w:r w:rsidRPr="00361DF2">
        <w:t>месяцев, проживающих в мобильном жилье и не получающих регулярного дохода, обязанность иметь для передвижения по Франции путевую книжку с условием ее обязательного ежеквартального визирования. Статья 20 Указа №</w:t>
      </w:r>
      <w:r w:rsidR="005D7C88">
        <w:t> </w:t>
      </w:r>
      <w:r w:rsidRPr="00361DF2">
        <w:t>70-708 от 31 июля 1970</w:t>
      </w:r>
      <w:r>
        <w:t> год</w:t>
      </w:r>
      <w:r w:rsidRPr="00361DF2">
        <w:t>а также гласит, что в случае неполучения такой визы в установленный срок на соответствующее лицо налагается штраф, пред</w:t>
      </w:r>
      <w:r w:rsidRPr="00361DF2">
        <w:t>у</w:t>
      </w:r>
      <w:r w:rsidRPr="00361DF2">
        <w:t>смотренный за правонарушение пятой категории</w:t>
      </w:r>
      <w:r w:rsidRPr="00361DF2">
        <w:rPr>
          <w:vertAlign w:val="superscript"/>
          <w:lang w:val="fr-CH"/>
        </w:rPr>
        <w:footnoteReference w:id="18"/>
      </w:r>
      <w:r w:rsidRPr="00361DF2">
        <w:t>. Без сомнения, это полож</w:t>
      </w:r>
      <w:r w:rsidRPr="00361DF2">
        <w:t>е</w:t>
      </w:r>
      <w:r w:rsidRPr="00361DF2">
        <w:t>ние ограничивает осуществление соответствующими лицами права на свобо</w:t>
      </w:r>
      <w:r w:rsidRPr="00361DF2">
        <w:t>д</w:t>
      </w:r>
      <w:r w:rsidRPr="00361DF2">
        <w:t>ное передвижение (пункт 1 статьи 12</w:t>
      </w:r>
      <w:r w:rsidRPr="00361DF2">
        <w:rPr>
          <w:lang w:val="fr-CH"/>
        </w:rPr>
        <w:t xml:space="preserve">). </w:t>
      </w:r>
      <w:r w:rsidRPr="00361DF2">
        <w:t>Следовательно, Комитет должен опред</w:t>
      </w:r>
      <w:r w:rsidRPr="00361DF2">
        <w:t>е</w:t>
      </w:r>
      <w:r w:rsidRPr="00361DF2">
        <w:t>лить, является ли такое ограничение допустимым с точки зрения пункта 3 ст</w:t>
      </w:r>
      <w:r w:rsidRPr="00361DF2">
        <w:t>а</w:t>
      </w:r>
      <w:r w:rsidRPr="00361DF2">
        <w:t>тьи 12 Па</w:t>
      </w:r>
      <w:r w:rsidRPr="00361DF2">
        <w:t>к</w:t>
      </w:r>
      <w:r w:rsidRPr="00361DF2">
        <w:t xml:space="preserve">та. </w:t>
      </w:r>
    </w:p>
    <w:p w:rsidR="00361DF2" w:rsidRPr="00361DF2" w:rsidRDefault="00361DF2" w:rsidP="00361DF2">
      <w:pPr>
        <w:pStyle w:val="SingleTxtGR"/>
      </w:pPr>
      <w:r w:rsidRPr="00361DF2">
        <w:t>8.4</w:t>
      </w:r>
      <w:r w:rsidRPr="00361DF2">
        <w:tab/>
        <w:t>Бесспорно, обязанность иметь при себе разрешение на передвижение и обязанность регулярно являться в административные органы для его визиров</w:t>
      </w:r>
      <w:r w:rsidRPr="00361DF2">
        <w:t>а</w:t>
      </w:r>
      <w:r w:rsidRPr="00361DF2">
        <w:t>ния предусмотрены законом. Кроме того, Комитет отмечает, что государство-участник заявило, что указанные меры продиктованы соображениями общес</w:t>
      </w:r>
      <w:r w:rsidRPr="00361DF2">
        <w:t>т</w:t>
      </w:r>
      <w:r w:rsidRPr="00361DF2">
        <w:t>венного порядка. Поэтому Комитету предстоит определить, является ли это о</w:t>
      </w:r>
      <w:r w:rsidRPr="00361DF2">
        <w:t>г</w:t>
      </w:r>
      <w:r w:rsidRPr="00361DF2">
        <w:t>раничение необходимым и соразмерным преследуемой цели</w:t>
      </w:r>
      <w:r w:rsidRPr="00361DF2">
        <w:rPr>
          <w:vertAlign w:val="superscript"/>
          <w:lang w:val="fr-CH"/>
        </w:rPr>
        <w:footnoteReference w:id="19"/>
      </w:r>
      <w:r w:rsidRPr="00361DF2">
        <w:t>. Комитет призн</w:t>
      </w:r>
      <w:r w:rsidRPr="00361DF2">
        <w:t>а</w:t>
      </w:r>
      <w:r w:rsidRPr="00361DF2">
        <w:t>ет, что для обеспечения безопасности и о</w:t>
      </w:r>
      <w:r w:rsidRPr="00361DF2">
        <w:t>б</w:t>
      </w:r>
      <w:r w:rsidRPr="00361DF2">
        <w:t>щественного порядка государству-участнику необходимо принимать контрольные меры к тому, чтобы лица, кот</w:t>
      </w:r>
      <w:r w:rsidRPr="00361DF2">
        <w:t>о</w:t>
      </w:r>
      <w:r w:rsidRPr="00361DF2">
        <w:t>рые регулярно меняют место жительства, были и оставались идентифициру</w:t>
      </w:r>
      <w:r w:rsidRPr="00361DF2">
        <w:t>е</w:t>
      </w:r>
      <w:r w:rsidRPr="00361DF2">
        <w:t>мыми и доступными для ко</w:t>
      </w:r>
      <w:r w:rsidRPr="00361DF2">
        <w:t>н</w:t>
      </w:r>
      <w:r w:rsidRPr="00361DF2">
        <w:t xml:space="preserve">такта. </w:t>
      </w:r>
    </w:p>
    <w:p w:rsidR="00361DF2" w:rsidRPr="00361DF2" w:rsidRDefault="00361DF2" w:rsidP="00361DF2">
      <w:pPr>
        <w:pStyle w:val="SingleTxtGR"/>
      </w:pPr>
      <w:r w:rsidRPr="00361DF2">
        <w:t>8.5</w:t>
      </w:r>
      <w:r w:rsidRPr="00361DF2">
        <w:tab/>
        <w:t>При этом Комитет отмечает, что государство-участник не продемонстр</w:t>
      </w:r>
      <w:r w:rsidRPr="00361DF2">
        <w:t>и</w:t>
      </w:r>
      <w:r w:rsidRPr="00361DF2">
        <w:t>ровало, что необходимость являться через определенные периоды времени для визирования путевой книжки, а также вводить за нарушение этой обязанности уголовное наказание в виде штрафа (статья 20 Указа № 70-708 от 31 июля 1970</w:t>
      </w:r>
      <w:r>
        <w:t> год</w:t>
      </w:r>
      <w:r w:rsidRPr="00361DF2">
        <w:t>а), являются необходимыми и соразмерными ожидаемому результату мерами. Из этого Комитет заключает, что подобное ограничение права на св</w:t>
      </w:r>
      <w:r w:rsidRPr="00361DF2">
        <w:t>о</w:t>
      </w:r>
      <w:r w:rsidRPr="00361DF2">
        <w:t>бодное передвижение автора не было совместимо с условиями, предусмотре</w:t>
      </w:r>
      <w:r w:rsidRPr="00361DF2">
        <w:t>н</w:t>
      </w:r>
      <w:r w:rsidRPr="00361DF2">
        <w:t xml:space="preserve">ными в пункте 3 статьи 12, и, следовательно, явилось нарушением пункта 1 статьи 12 в отношении автора. </w:t>
      </w:r>
    </w:p>
    <w:p w:rsidR="00361DF2" w:rsidRPr="00361DF2" w:rsidRDefault="00361DF2" w:rsidP="00361DF2">
      <w:pPr>
        <w:pStyle w:val="SingleTxtGR"/>
      </w:pPr>
      <w:r w:rsidRPr="00361DF2">
        <w:t>8.6</w:t>
      </w:r>
      <w:r w:rsidRPr="00361DF2">
        <w:tab/>
        <w:t>Учитывая свой вывод по пункту 1 статьи 12, Комитет не будет пр</w:t>
      </w:r>
      <w:r w:rsidRPr="00361DF2">
        <w:t>о</w:t>
      </w:r>
      <w:r w:rsidRPr="00361DF2">
        <w:t>водить отдельное рассмотрение жалоб, касающихся нарушения статьи 26 Пакта.</w:t>
      </w:r>
    </w:p>
    <w:p w:rsidR="00361DF2" w:rsidRPr="00361DF2" w:rsidRDefault="00361DF2" w:rsidP="00361DF2">
      <w:pPr>
        <w:pStyle w:val="SingleTxtGR"/>
      </w:pPr>
      <w:r w:rsidRPr="00361DF2">
        <w:t>9.</w:t>
      </w:r>
      <w:r w:rsidRPr="00361DF2">
        <w:tab/>
        <w:t>Комитет по правам человека в соответствии с пунктом 4 статьи 5 Факул</w:t>
      </w:r>
      <w:r w:rsidRPr="00361DF2">
        <w:t>ь</w:t>
      </w:r>
      <w:r w:rsidRPr="00361DF2">
        <w:t>тативного протокола к Международному пакту о гражданских и политических правах считает, что указанные факты представляют собой нарушение госуда</w:t>
      </w:r>
      <w:r w:rsidRPr="00361DF2">
        <w:t>р</w:t>
      </w:r>
      <w:r w:rsidRPr="00361DF2">
        <w:t>ством-участником пункта 1 статьи 12 Пакта.</w:t>
      </w:r>
    </w:p>
    <w:p w:rsidR="00361DF2" w:rsidRPr="00361DF2" w:rsidRDefault="00361DF2" w:rsidP="00361DF2">
      <w:pPr>
        <w:pStyle w:val="SingleTxtGR"/>
      </w:pPr>
      <w:r w:rsidRPr="00361DF2">
        <w:t>10.</w:t>
      </w:r>
      <w:r w:rsidRPr="00361DF2">
        <w:tab/>
        <w:t>В соответствии с подпунктом а) пункта 3 статьи 2 Пакта государс</w:t>
      </w:r>
      <w:r w:rsidRPr="00361DF2">
        <w:t>т</w:t>
      </w:r>
      <w:r w:rsidRPr="00361DF2">
        <w:t>во-участник обязано обеспечить автору эффективное средство правовой защиты, в том числе, в частности, снятие судимости и выплату надлеж</w:t>
      </w:r>
      <w:r w:rsidRPr="00361DF2">
        <w:t>а</w:t>
      </w:r>
      <w:r w:rsidRPr="00361DF2">
        <w:t>щей компенсации за понесенный ущерб, а также пересмотр соответствующих законодательных положений и практики их применения, принимая во внимание свои обязател</w:t>
      </w:r>
      <w:r w:rsidRPr="00361DF2">
        <w:t>ь</w:t>
      </w:r>
      <w:r w:rsidRPr="00361DF2">
        <w:t>ства по Пакту. Государство-участник также обязано предпринять шаги по нед</w:t>
      </w:r>
      <w:r w:rsidRPr="00361DF2">
        <w:t>о</w:t>
      </w:r>
      <w:r w:rsidRPr="00361DF2">
        <w:t>пущению подобных нарушений в будущем.</w:t>
      </w:r>
    </w:p>
    <w:p w:rsidR="00361DF2" w:rsidRPr="00361DF2" w:rsidRDefault="00361DF2" w:rsidP="00361DF2">
      <w:pPr>
        <w:pStyle w:val="SingleTxtGR"/>
      </w:pPr>
      <w:r w:rsidRPr="00361DF2">
        <w:t>11.</w:t>
      </w:r>
      <w:r w:rsidRPr="00361DF2">
        <w:tab/>
        <w:t>Принимая во внимание, что, став стороной Факультативного протокола, государство-участник признало правомочность Комитета опред</w:t>
      </w:r>
      <w:r w:rsidRPr="00361DF2">
        <w:t>е</w:t>
      </w:r>
      <w:r w:rsidRPr="00361DF2">
        <w:t>лять, имело ли место какое-либо нарушение Пакта, и что в соответствии со статьей 2 Пакта г</w:t>
      </w:r>
      <w:r w:rsidRPr="00361DF2">
        <w:t>о</w:t>
      </w:r>
      <w:r w:rsidRPr="00361DF2">
        <w:t>сударство-участник обязалось обеспечивать всем находящимся в пределах его территории и под его юрисдикцией лицам права, признаваемые в настоящем Пакте, и предоставлять эффективные и осуществимые средства правовой защ</w:t>
      </w:r>
      <w:r w:rsidRPr="00361DF2">
        <w:t>и</w:t>
      </w:r>
      <w:r w:rsidRPr="00361DF2">
        <w:t>ты в случае установления какого-либо нарушения, Комитет хотел бы получить от государства-участника в течение 180 дней информацию о мерах, принятых во исполнение настоящих соображений. Государству-участнику предлагается также опубликовать насто</w:t>
      </w:r>
      <w:r w:rsidRPr="00361DF2">
        <w:t>я</w:t>
      </w:r>
      <w:r w:rsidRPr="00361DF2">
        <w:t>щие соображения.</w:t>
      </w:r>
    </w:p>
    <w:p w:rsidR="00361DF2" w:rsidRPr="00361DF2" w:rsidRDefault="00361DF2" w:rsidP="00361DF2">
      <w:pPr>
        <w:pStyle w:val="SingleTxtGR"/>
      </w:pPr>
      <w:r w:rsidRPr="00361DF2">
        <w:t>[Принято на английском, испанском и французском языках, причем языком ор</w:t>
      </w:r>
      <w:r w:rsidRPr="00361DF2">
        <w:t>и</w:t>
      </w:r>
      <w:r w:rsidRPr="00361DF2">
        <w:t>гинала является французский. Впоследствии будет также издано на арабском, китайском и русском языках в качестве части ежегодного доклада Комитета Г</w:t>
      </w:r>
      <w:r w:rsidRPr="00361DF2">
        <w:t>е</w:t>
      </w:r>
      <w:r w:rsidRPr="00361DF2">
        <w:t>неральной Ассамблее.]</w:t>
      </w:r>
    </w:p>
    <w:p w:rsidR="00361DF2" w:rsidRPr="00361DF2" w:rsidRDefault="00361DF2" w:rsidP="00361DF2">
      <w:pPr>
        <w:pStyle w:val="SingleTxtGR"/>
      </w:pPr>
    </w:p>
    <w:p w:rsidR="005D7C88" w:rsidRDefault="005D7C88" w:rsidP="00361DF2">
      <w:pPr>
        <w:pStyle w:val="SingleTxtGR"/>
        <w:rPr>
          <w:b/>
        </w:rPr>
        <w:sectPr w:rsidR="005D7C88"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pPr>
    </w:p>
    <w:p w:rsidR="00361DF2" w:rsidRPr="00361DF2" w:rsidRDefault="00361DF2" w:rsidP="005D7C88">
      <w:pPr>
        <w:pStyle w:val="HChGR"/>
      </w:pPr>
      <w:r w:rsidRPr="00361DF2">
        <w:t>Добавление</w:t>
      </w:r>
    </w:p>
    <w:p w:rsidR="00361DF2" w:rsidRPr="00361DF2" w:rsidRDefault="00361DF2" w:rsidP="005D7C88">
      <w:pPr>
        <w:pStyle w:val="HChGR"/>
      </w:pPr>
      <w:r w:rsidRPr="00361DF2">
        <w:tab/>
      </w:r>
      <w:r w:rsidRPr="00361DF2">
        <w:tab/>
        <w:t xml:space="preserve">Особое (совпадающее) мнение г-на </w:t>
      </w:r>
      <w:proofErr w:type="spellStart"/>
      <w:r w:rsidRPr="00361DF2">
        <w:t>Фабиана</w:t>
      </w:r>
      <w:proofErr w:type="spellEnd"/>
      <w:r w:rsidRPr="00361DF2">
        <w:t xml:space="preserve"> Омара </w:t>
      </w:r>
      <w:proofErr w:type="spellStart"/>
      <w:r w:rsidRPr="00361DF2">
        <w:t>Сальвиоли</w:t>
      </w:r>
      <w:proofErr w:type="spellEnd"/>
    </w:p>
    <w:p w:rsidR="00361DF2" w:rsidRPr="00361DF2" w:rsidRDefault="00361DF2" w:rsidP="00361DF2">
      <w:pPr>
        <w:pStyle w:val="SingleTxtGR"/>
      </w:pPr>
      <w:r w:rsidRPr="00361DF2">
        <w:t>1.</w:t>
      </w:r>
      <w:r w:rsidRPr="00361DF2">
        <w:tab/>
        <w:t xml:space="preserve">Я согласен с соображениями, принятыми по делу </w:t>
      </w:r>
      <w:r w:rsidRPr="00361DF2">
        <w:rPr>
          <w:i/>
        </w:rPr>
        <w:t xml:space="preserve">Ори против Франции </w:t>
      </w:r>
      <w:r w:rsidRPr="00361DF2">
        <w:t>(сообщение № 1960/2010), в которых Комитет сделал вывод о том, что автор я</w:t>
      </w:r>
      <w:r w:rsidRPr="00361DF2">
        <w:t>в</w:t>
      </w:r>
      <w:r w:rsidRPr="00361DF2">
        <w:t>ляется жертвой нарушения государством-участником статьи 12 Международн</w:t>
      </w:r>
      <w:r w:rsidRPr="00361DF2">
        <w:t>о</w:t>
      </w:r>
      <w:r w:rsidRPr="00361DF2">
        <w:t>го пакта о гражданских и политических правах.</w:t>
      </w:r>
    </w:p>
    <w:p w:rsidR="00361DF2" w:rsidRPr="00361DF2" w:rsidRDefault="00361DF2" w:rsidP="00361DF2">
      <w:pPr>
        <w:pStyle w:val="SingleTxtGR"/>
        <w:rPr>
          <w:lang w:val="fr-CH"/>
        </w:rPr>
      </w:pPr>
      <w:r w:rsidRPr="00361DF2">
        <w:t>2.</w:t>
      </w:r>
      <w:r w:rsidRPr="00361DF2">
        <w:tab/>
        <w:t>При этом я сожалею, что Комитет не счел необходимым рассмотреть серьезные жалобы, изложенные автором</w:t>
      </w:r>
      <w:r w:rsidRPr="00361DF2">
        <w:rPr>
          <w:vertAlign w:val="superscript"/>
          <w:lang w:val="fr-CH"/>
        </w:rPr>
        <w:footnoteReference w:id="20"/>
      </w:r>
      <w:r w:rsidRPr="00361DF2">
        <w:t xml:space="preserve"> в связи со статьей 26 Пакта</w:t>
      </w:r>
      <w:r w:rsidRPr="00361DF2">
        <w:rPr>
          <w:vertAlign w:val="superscript"/>
          <w:lang w:val="fr-CH"/>
        </w:rPr>
        <w:footnoteReference w:id="21"/>
      </w:r>
      <w:r w:rsidRPr="00361DF2">
        <w:t>. Ком</w:t>
      </w:r>
      <w:r w:rsidRPr="00361DF2">
        <w:t>и</w:t>
      </w:r>
      <w:r w:rsidRPr="00361DF2">
        <w:t>тет обошел вниманием два основополагающих вопроса в области прав человека: равенство перед законом и</w:t>
      </w:r>
      <w:r>
        <w:t xml:space="preserve"> </w:t>
      </w:r>
      <w:r w:rsidRPr="00361DF2">
        <w:t xml:space="preserve">принцип </w:t>
      </w:r>
      <w:proofErr w:type="spellStart"/>
      <w:r w:rsidRPr="00361DF2">
        <w:t>недискриминации</w:t>
      </w:r>
      <w:proofErr w:type="spellEnd"/>
      <w:r w:rsidRPr="00361DF2">
        <w:rPr>
          <w:lang w:val="fr-CH"/>
        </w:rPr>
        <w:t>,</w:t>
      </w:r>
      <w:r w:rsidRPr="00361DF2">
        <w:t xml:space="preserve"> проходившие красной нитью через это сообщение, вынесенное на рассмотрение Комитета</w:t>
      </w:r>
      <w:r w:rsidRPr="00361DF2">
        <w:rPr>
          <w:lang w:val="fr-CH"/>
        </w:rPr>
        <w:t>.</w:t>
      </w:r>
    </w:p>
    <w:p w:rsidR="00361DF2" w:rsidRPr="00361DF2" w:rsidRDefault="00361DF2" w:rsidP="00361DF2">
      <w:pPr>
        <w:pStyle w:val="SingleTxtGR"/>
      </w:pPr>
      <w:r w:rsidRPr="00361DF2">
        <w:t>3.</w:t>
      </w:r>
      <w:r w:rsidRPr="00361DF2">
        <w:tab/>
        <w:t>В данном случае представленные факты в достаточной степени доказали проявление дискриминации в отношении членов особой группы населения (</w:t>
      </w:r>
      <w:r>
        <w:t>"</w:t>
      </w:r>
      <w:r w:rsidRPr="00361DF2">
        <w:t>странствующей общины</w:t>
      </w:r>
      <w:r>
        <w:t>"</w:t>
      </w:r>
      <w:r w:rsidRPr="00361DF2">
        <w:t>), многие из которых, как и сам автор, являются гр</w:t>
      </w:r>
      <w:r w:rsidRPr="00361DF2">
        <w:t>а</w:t>
      </w:r>
      <w:r w:rsidRPr="00361DF2">
        <w:t xml:space="preserve">жданами Франции. С административной и правовой точек зрения режим </w:t>
      </w:r>
      <w:r>
        <w:t>"</w:t>
      </w:r>
      <w:r w:rsidRPr="00361DF2">
        <w:t>пр</w:t>
      </w:r>
      <w:r w:rsidRPr="00361DF2">
        <w:t>и</w:t>
      </w:r>
      <w:r w:rsidRPr="00361DF2">
        <w:t>крепления к коммуне</w:t>
      </w:r>
      <w:r>
        <w:t>"</w:t>
      </w:r>
      <w:r w:rsidRPr="00361DF2">
        <w:t xml:space="preserve"> является достаточным для достижения целей, пресл</w:t>
      </w:r>
      <w:r w:rsidRPr="00361DF2">
        <w:t>е</w:t>
      </w:r>
      <w:r w:rsidRPr="00361DF2">
        <w:t>дуемых государством-участником (необходимость поддержания контакта с а</w:t>
      </w:r>
      <w:r w:rsidRPr="00361DF2">
        <w:t>д</w:t>
      </w:r>
      <w:r w:rsidRPr="00361DF2">
        <w:t xml:space="preserve">министративными органами). Государство-участник не продемонстрировало и не обосновало необходимость наложения на членов </w:t>
      </w:r>
      <w:r>
        <w:t>"</w:t>
      </w:r>
      <w:r w:rsidRPr="00361DF2">
        <w:t>странствующей общины</w:t>
      </w:r>
      <w:r>
        <w:t>"</w:t>
      </w:r>
      <w:r w:rsidRPr="00361DF2">
        <w:t xml:space="preserve"> дополнительной обязанности – через определенные промежутки времени я</w:t>
      </w:r>
      <w:r w:rsidRPr="00361DF2">
        <w:t>в</w:t>
      </w:r>
      <w:r w:rsidRPr="00361DF2">
        <w:t xml:space="preserve">ляться для визирования своей путевой книжки. </w:t>
      </w:r>
    </w:p>
    <w:p w:rsidR="00361DF2" w:rsidRPr="00361DF2" w:rsidRDefault="00361DF2" w:rsidP="00361DF2">
      <w:pPr>
        <w:pStyle w:val="SingleTxtGR"/>
      </w:pPr>
      <w:r w:rsidRPr="00361DF2">
        <w:t>4.</w:t>
      </w:r>
      <w:r w:rsidRPr="00361DF2">
        <w:tab/>
        <w:t>В своих замечаниях государство-участник объясняет эту обязанность н</w:t>
      </w:r>
      <w:r w:rsidRPr="00361DF2">
        <w:t>е</w:t>
      </w:r>
      <w:r w:rsidRPr="00361DF2">
        <w:t>обходимостью поддержания контакта между государством и членами</w:t>
      </w:r>
      <w:r>
        <w:t xml:space="preserve"> "</w:t>
      </w:r>
      <w:r w:rsidRPr="00361DF2">
        <w:t>странс</w:t>
      </w:r>
      <w:r w:rsidRPr="00361DF2">
        <w:t>т</w:t>
      </w:r>
      <w:r w:rsidRPr="00361DF2">
        <w:t>вующей общины</w:t>
      </w:r>
      <w:r>
        <w:t>"</w:t>
      </w:r>
      <w:r w:rsidRPr="00361DF2">
        <w:t xml:space="preserve"> и проведения </w:t>
      </w:r>
      <w:r>
        <w:t>"</w:t>
      </w:r>
      <w:r w:rsidRPr="00361DF2">
        <w:t>контрольных мероприятий</w:t>
      </w:r>
      <w:r>
        <w:t>"</w:t>
      </w:r>
      <w:r w:rsidRPr="00361DF2">
        <w:rPr>
          <w:vertAlign w:val="superscript"/>
          <w:lang w:val="fr-CH"/>
        </w:rPr>
        <w:footnoteReference w:id="22"/>
      </w:r>
      <w:r w:rsidRPr="00361DF2">
        <w:t>.</w:t>
      </w:r>
    </w:p>
    <w:p w:rsidR="00361DF2" w:rsidRPr="00361DF2" w:rsidRDefault="00361DF2" w:rsidP="00361DF2">
      <w:pPr>
        <w:pStyle w:val="SingleTxtGR"/>
      </w:pPr>
      <w:r w:rsidRPr="00361DF2">
        <w:t>5.</w:t>
      </w:r>
      <w:r w:rsidRPr="00361DF2">
        <w:tab/>
        <w:t>По поводу первого из приведенных государством-участником мотивов следует отметить, что положение статьи 7 Закона № 69-3, согласно которому соответствующие лица должны указать коммуну, к которой они хотели бы быть прикреплены, является вполне достаточным для поддержания упомянутого контакта</w:t>
      </w:r>
      <w:r w:rsidRPr="00361DF2">
        <w:rPr>
          <w:vertAlign w:val="superscript"/>
          <w:lang w:val="fr-CH"/>
        </w:rPr>
        <w:footnoteReference w:id="23"/>
      </w:r>
      <w:r w:rsidRPr="00361DF2">
        <w:t>.</w:t>
      </w:r>
    </w:p>
    <w:p w:rsidR="00361DF2" w:rsidRPr="00361DF2" w:rsidRDefault="00361DF2" w:rsidP="00361DF2">
      <w:pPr>
        <w:pStyle w:val="SingleTxtGR"/>
      </w:pPr>
      <w:r w:rsidRPr="00361DF2">
        <w:t>6.</w:t>
      </w:r>
      <w:r w:rsidRPr="00361DF2">
        <w:tab/>
        <w:t xml:space="preserve">Что касается необходимости проведения </w:t>
      </w:r>
      <w:r>
        <w:t>"</w:t>
      </w:r>
      <w:r w:rsidRPr="00361DF2">
        <w:t>контрольных мероприятий</w:t>
      </w:r>
      <w:r>
        <w:t>"</w:t>
      </w:r>
      <w:r w:rsidRPr="00361DF2">
        <w:t>, то она сформулирована весьма общо, и государство-участник не приводит разу</w:t>
      </w:r>
      <w:r w:rsidRPr="00361DF2">
        <w:t>м</w:t>
      </w:r>
      <w:r w:rsidRPr="00361DF2">
        <w:t>ных пояснений тех причин, по которым указанные лица должны подвергаться особому контролю.</w:t>
      </w:r>
    </w:p>
    <w:p w:rsidR="00361DF2" w:rsidRPr="00361DF2" w:rsidRDefault="00361DF2" w:rsidP="00361DF2">
      <w:pPr>
        <w:pStyle w:val="SingleTxtGR"/>
      </w:pPr>
      <w:r w:rsidRPr="00361DF2">
        <w:t>7.</w:t>
      </w:r>
      <w:r w:rsidRPr="00361DF2">
        <w:tab/>
        <w:t>В своей предыдущей практике Комитет определил критерии, примен</w:t>
      </w:r>
      <w:r w:rsidRPr="00361DF2">
        <w:t>и</w:t>
      </w:r>
      <w:r w:rsidRPr="00361DF2">
        <w:t xml:space="preserve">мые к принципам равенства и </w:t>
      </w:r>
      <w:proofErr w:type="spellStart"/>
      <w:r w:rsidRPr="00361DF2">
        <w:t>недискриминации</w:t>
      </w:r>
      <w:proofErr w:type="spellEnd"/>
      <w:r w:rsidRPr="00361DF2">
        <w:t>: так, например, он установил, что нарушение статьи 26 может быть следствием дискриминационного возде</w:t>
      </w:r>
      <w:r w:rsidRPr="00361DF2">
        <w:t>й</w:t>
      </w:r>
      <w:r w:rsidRPr="00361DF2">
        <w:t>ствия какой-либо нормы или меры, которая внешне представляется нейтрал</w:t>
      </w:r>
      <w:r w:rsidRPr="00361DF2">
        <w:t>ь</w:t>
      </w:r>
      <w:r w:rsidRPr="00361DF2">
        <w:t>ной или лишенной какой-либо дискриминационной подоплеки, если вредные последствия применения какой-либо нормы или решения затрагивают искл</w:t>
      </w:r>
      <w:r w:rsidRPr="00361DF2">
        <w:t>ю</w:t>
      </w:r>
      <w:r w:rsidRPr="00361DF2">
        <w:t>чительно или непропорционально определенных лиц на основе их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Однако нормы или решения, влекущие за собой такие последствия, не являются дискриминационными, если они объясняются объе</w:t>
      </w:r>
      <w:r w:rsidRPr="00361DF2">
        <w:t>к</w:t>
      </w:r>
      <w:r w:rsidRPr="00361DF2">
        <w:t>тивными и разумными мотивами</w:t>
      </w:r>
      <w:r w:rsidRPr="00361DF2">
        <w:rPr>
          <w:vertAlign w:val="superscript"/>
          <w:lang w:val="fr-CH"/>
        </w:rPr>
        <w:footnoteReference w:id="24"/>
      </w:r>
      <w:r w:rsidRPr="00361DF2">
        <w:t>.</w:t>
      </w:r>
    </w:p>
    <w:p w:rsidR="00361DF2" w:rsidRPr="00361DF2" w:rsidRDefault="00361DF2" w:rsidP="00361DF2">
      <w:pPr>
        <w:pStyle w:val="SingleTxtGR"/>
      </w:pPr>
      <w:r w:rsidRPr="00361DF2">
        <w:t>8.</w:t>
      </w:r>
      <w:r w:rsidRPr="00361DF2">
        <w:tab/>
        <w:t>В особых ситуациях государства могут принимать дифференцир</w:t>
      </w:r>
      <w:r w:rsidRPr="00361DF2">
        <w:t>о</w:t>
      </w:r>
      <w:r w:rsidRPr="00361DF2">
        <w:t>ванные меры, но они должны быть направлены на достижение законной цели, пред</w:t>
      </w:r>
      <w:r w:rsidRPr="00361DF2">
        <w:t>у</w:t>
      </w:r>
      <w:r w:rsidRPr="00361DF2">
        <w:t>сматриваться законом и прежде всего – быть разумными и соразмерными п</w:t>
      </w:r>
      <w:r w:rsidRPr="00361DF2">
        <w:t>о</w:t>
      </w:r>
      <w:r w:rsidRPr="00361DF2">
        <w:t xml:space="preserve">ставленной цели. В данном случае наложенная на членов </w:t>
      </w:r>
      <w:r>
        <w:t>"</w:t>
      </w:r>
      <w:r w:rsidRPr="00361DF2">
        <w:t>странствующей о</w:t>
      </w:r>
      <w:r w:rsidRPr="00361DF2">
        <w:t>б</w:t>
      </w:r>
      <w:r w:rsidRPr="00361DF2">
        <w:t>щины</w:t>
      </w:r>
      <w:r>
        <w:t>"</w:t>
      </w:r>
      <w:r w:rsidRPr="00361DF2">
        <w:t xml:space="preserve"> обязанность являться через определенные промежутки времени для в</w:t>
      </w:r>
      <w:r w:rsidRPr="00361DF2">
        <w:t>и</w:t>
      </w:r>
      <w:r w:rsidRPr="00361DF2">
        <w:t>зирования своих документов не является ни разумной, ни необходимой, ни с</w:t>
      </w:r>
      <w:r w:rsidRPr="00361DF2">
        <w:t>о</w:t>
      </w:r>
      <w:r w:rsidRPr="00361DF2">
        <w:t>размерной искомой цели. Следовательно, Комитет также должен был сделать вывод о том, что автор сообщения является жертвой нарушения статьи 26 Пакта и что государству-участнику следует учитывать это при принятии соответс</w:t>
      </w:r>
      <w:r w:rsidRPr="00361DF2">
        <w:t>т</w:t>
      </w:r>
      <w:r w:rsidRPr="00361DF2">
        <w:t>вующих мер по возмещению ущерба, в частности в виде отмены обязанности по визированию документов, чтобы гарантировать недопущение подобных н</w:t>
      </w:r>
      <w:r w:rsidRPr="00361DF2">
        <w:t>а</w:t>
      </w:r>
      <w:r w:rsidRPr="00361DF2">
        <w:t>рушений в будущем.</w:t>
      </w:r>
    </w:p>
    <w:p w:rsidR="006E7AF7" w:rsidRDefault="00361DF2" w:rsidP="00361DF2">
      <w:pPr>
        <w:pStyle w:val="SingleTxtGR"/>
        <w:rPr>
          <w:lang w:val="en-US"/>
        </w:rPr>
      </w:pPr>
      <w:r w:rsidRPr="00361DF2">
        <w:t>[Составлено на английском, испанском и французском языках, причем языком оригинала является испанский. Впоследствии будет издано также на арабском, китайском и русском языках в качестве части ежегодного доклада Комитета Г</w:t>
      </w:r>
      <w:r w:rsidRPr="00361DF2">
        <w:t>е</w:t>
      </w:r>
      <w:r w:rsidRPr="00361DF2">
        <w:t>неральной Ассамблее.]</w:t>
      </w:r>
    </w:p>
    <w:sectPr w:rsidR="006E7AF7" w:rsidSect="0084613B">
      <w:headerReference w:type="first" r:id="rId13"/>
      <w:footerReference w:type="first" r:id="rId14"/>
      <w:footnotePr>
        <w:numRestart w:val="eachSect"/>
      </w:footnotePr>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7F" w:rsidRDefault="00B03A7F">
      <w:r>
        <w:rPr>
          <w:lang w:val="en-US"/>
        </w:rPr>
        <w:tab/>
      </w:r>
      <w:r>
        <w:separator/>
      </w:r>
    </w:p>
  </w:endnote>
  <w:endnote w:type="continuationSeparator" w:id="0">
    <w:p w:rsidR="00B03A7F" w:rsidRDefault="00B03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7F" w:rsidRPr="005F0588" w:rsidRDefault="00B03A7F">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lang w:val="en-US"/>
      </w:rPr>
      <w:tab/>
      <w:t>GE.14-03199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7F" w:rsidRPr="005F0588" w:rsidRDefault="00B03A7F">
    <w:pPr>
      <w:pStyle w:val="Footer"/>
      <w:rPr>
        <w:lang w:val="en-US"/>
      </w:rPr>
    </w:pPr>
    <w:r>
      <w:rPr>
        <w:lang w:val="en-US"/>
      </w:rPr>
      <w:t>GE.14-03199</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B03A7F" w:rsidTr="00611264">
      <w:trPr>
        <w:trHeight w:val="438"/>
      </w:trPr>
      <w:tc>
        <w:tcPr>
          <w:tcW w:w="4068" w:type="dxa"/>
          <w:vAlign w:val="bottom"/>
        </w:tcPr>
        <w:p w:rsidR="00B03A7F" w:rsidRDefault="00B03A7F" w:rsidP="00611264">
          <w:r>
            <w:rPr>
              <w:lang w:val="en-US"/>
            </w:rPr>
            <w:t>GE.14-03199  (R)  030614  030614</w:t>
          </w:r>
        </w:p>
      </w:tc>
      <w:tc>
        <w:tcPr>
          <w:tcW w:w="4663" w:type="dxa"/>
          <w:vMerge w:val="restart"/>
          <w:vAlign w:val="bottom"/>
        </w:tcPr>
        <w:p w:rsidR="00B03A7F" w:rsidRDefault="00B03A7F" w:rsidP="00611264">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B03A7F" w:rsidRDefault="00B03A7F" w:rsidP="00611264">
          <w:pPr>
            <w:jc w:val="right"/>
          </w:pPr>
          <w:r>
            <w:pict>
              <v:shape id="_x0000_i1027" type="#_x0000_t75" style="width:50.25pt;height:50.25pt">
                <v:imagedata r:id="rId2" o:title="2010&amp;Size=2&amp;Lang=R"/>
              </v:shape>
            </w:pict>
          </w:r>
        </w:p>
      </w:tc>
    </w:tr>
    <w:tr w:rsidR="00B03A7F" w:rsidRPr="00797A78" w:rsidTr="00611264">
      <w:tc>
        <w:tcPr>
          <w:tcW w:w="4068" w:type="dxa"/>
          <w:vAlign w:val="bottom"/>
        </w:tcPr>
        <w:p w:rsidR="00B03A7F" w:rsidRPr="00E0275D" w:rsidRDefault="00B03A7F" w:rsidP="00611264">
          <w:pPr>
            <w:spacing w:after="40"/>
            <w:rPr>
              <w:rFonts w:ascii="C39T30Lfz" w:hAnsi="C39T30Lfz"/>
              <w:spacing w:val="0"/>
              <w:w w:val="100"/>
              <w:kern w:val="0"/>
              <w:sz w:val="56"/>
              <w:szCs w:val="56"/>
              <w:lang w:val="en-US" w:eastAsia="ru-RU"/>
            </w:rPr>
          </w:pPr>
          <w:r w:rsidRPr="00E0275D">
            <w:rPr>
              <w:rFonts w:ascii="C39T30Lfz" w:hAnsi="C39T30Lfz"/>
              <w:spacing w:val="0"/>
              <w:w w:val="100"/>
              <w:kern w:val="0"/>
              <w:sz w:val="56"/>
              <w:szCs w:val="56"/>
              <w:lang w:val="en-US" w:eastAsia="ru-RU"/>
            </w:rPr>
            <w:t></w:t>
          </w:r>
          <w:r w:rsidRPr="00E0275D">
            <w:rPr>
              <w:rFonts w:ascii="C39T30Lfz" w:hAnsi="C39T30Lfz"/>
              <w:spacing w:val="0"/>
              <w:w w:val="100"/>
              <w:kern w:val="0"/>
              <w:sz w:val="56"/>
              <w:szCs w:val="56"/>
              <w:lang w:val="en-US" w:eastAsia="ru-RU"/>
            </w:rPr>
            <w:t></w:t>
          </w:r>
          <w:r w:rsidRPr="00E0275D">
            <w:rPr>
              <w:rFonts w:ascii="C39T30Lfz" w:hAnsi="C39T30Lfz"/>
              <w:spacing w:val="0"/>
              <w:w w:val="100"/>
              <w:kern w:val="0"/>
              <w:sz w:val="56"/>
              <w:szCs w:val="56"/>
              <w:lang w:val="en-US" w:eastAsia="ru-RU"/>
            </w:rPr>
            <w:t></w:t>
          </w:r>
          <w:r w:rsidRPr="00E0275D">
            <w:rPr>
              <w:rFonts w:ascii="C39T30Lfz" w:hAnsi="C39T30Lfz"/>
              <w:spacing w:val="0"/>
              <w:w w:val="100"/>
              <w:kern w:val="0"/>
              <w:sz w:val="56"/>
              <w:szCs w:val="56"/>
              <w:lang w:val="en-US" w:eastAsia="ru-RU"/>
            </w:rPr>
            <w:t></w:t>
          </w:r>
          <w:r w:rsidRPr="00E0275D">
            <w:rPr>
              <w:rFonts w:ascii="C39T30Lfz" w:hAnsi="C39T30Lfz"/>
              <w:spacing w:val="0"/>
              <w:w w:val="100"/>
              <w:kern w:val="0"/>
              <w:sz w:val="56"/>
              <w:szCs w:val="56"/>
              <w:lang w:val="en-US" w:eastAsia="ru-RU"/>
            </w:rPr>
            <w:t></w:t>
          </w:r>
          <w:r w:rsidRPr="00E0275D">
            <w:rPr>
              <w:rFonts w:ascii="C39T30Lfz" w:hAnsi="C39T30Lfz"/>
              <w:spacing w:val="0"/>
              <w:w w:val="100"/>
              <w:kern w:val="0"/>
              <w:sz w:val="56"/>
              <w:szCs w:val="56"/>
              <w:lang w:val="en-US" w:eastAsia="ru-RU"/>
            </w:rPr>
            <w:t></w:t>
          </w:r>
          <w:r w:rsidRPr="00E0275D">
            <w:rPr>
              <w:rFonts w:ascii="C39T30Lfz" w:hAnsi="C39T30Lfz"/>
              <w:spacing w:val="0"/>
              <w:w w:val="100"/>
              <w:kern w:val="0"/>
              <w:sz w:val="56"/>
              <w:szCs w:val="56"/>
              <w:lang w:val="en-US" w:eastAsia="ru-RU"/>
            </w:rPr>
            <w:t></w:t>
          </w:r>
          <w:r w:rsidRPr="00E0275D">
            <w:rPr>
              <w:rFonts w:ascii="C39T30Lfz" w:hAnsi="C39T30Lfz"/>
              <w:spacing w:val="0"/>
              <w:w w:val="100"/>
              <w:kern w:val="0"/>
              <w:sz w:val="56"/>
              <w:szCs w:val="56"/>
              <w:lang w:val="en-US" w:eastAsia="ru-RU"/>
            </w:rPr>
            <w:t></w:t>
          </w:r>
          <w:r w:rsidRPr="00E0275D">
            <w:rPr>
              <w:rFonts w:ascii="C39T30Lfz" w:hAnsi="C39T30Lfz"/>
              <w:spacing w:val="0"/>
              <w:w w:val="100"/>
              <w:kern w:val="0"/>
              <w:sz w:val="56"/>
              <w:szCs w:val="56"/>
              <w:lang w:val="en-US" w:eastAsia="ru-RU"/>
            </w:rPr>
            <w:t></w:t>
          </w:r>
        </w:p>
      </w:tc>
      <w:tc>
        <w:tcPr>
          <w:tcW w:w="4663" w:type="dxa"/>
          <w:vMerge/>
        </w:tcPr>
        <w:p w:rsidR="00B03A7F" w:rsidRDefault="00B03A7F" w:rsidP="00611264"/>
      </w:tc>
      <w:tc>
        <w:tcPr>
          <w:tcW w:w="1124" w:type="dxa"/>
          <w:vMerge/>
        </w:tcPr>
        <w:p w:rsidR="00B03A7F" w:rsidRDefault="00B03A7F" w:rsidP="00611264"/>
      </w:tc>
    </w:tr>
  </w:tbl>
  <w:p w:rsidR="00B03A7F" w:rsidRDefault="00B03A7F" w:rsidP="00381289">
    <w:pPr>
      <w:spacing w:line="240" w:lineRule="auto"/>
      <w:rPr>
        <w:sz w:val="2"/>
        <w:szCs w:val="2"/>
        <w:lang w:val="en-US"/>
      </w:rPr>
    </w:pPr>
  </w:p>
  <w:p w:rsidR="00B03A7F" w:rsidRPr="002D7E3C" w:rsidRDefault="00B03A7F"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49" type="#_x0000_t202" style="position:absolute;margin-left:690pt;margin-top:-193.15pt;width:36pt;height:162.95pt;z-index:1" filled="f" stroked="f">
          <v:textbox style="layout-flow:vertical" inset="0,0,0,0">
            <w:txbxContent>
              <w:p w:rsidR="00B03A7F" w:rsidRDefault="00B03A7F" w:rsidP="006E7AF7">
                <w:pPr>
                  <w:rPr>
                    <w:lang w:val="en-US"/>
                  </w:rPr>
                </w:pPr>
              </w:p>
              <w:p w:rsidR="00B03A7F" w:rsidRDefault="00B03A7F"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7F" w:rsidRPr="005F0588" w:rsidRDefault="00B03A7F" w:rsidP="00E0275D">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lang w:val="en-US"/>
      </w:rPr>
      <w:tab/>
      <w:t>GE.14-03199</w:t>
    </w:r>
  </w:p>
  <w:p w:rsidR="00B03A7F" w:rsidRDefault="00B03A7F" w:rsidP="00381289">
    <w:pPr>
      <w:spacing w:line="240" w:lineRule="auto"/>
      <w:rPr>
        <w:sz w:val="2"/>
        <w:szCs w:val="2"/>
        <w:lang w:val="en-US"/>
      </w:rPr>
    </w:pPr>
  </w:p>
  <w:p w:rsidR="00B03A7F" w:rsidRPr="002D7E3C" w:rsidRDefault="00B03A7F"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52" type="#_x0000_t202" style="position:absolute;margin-left:690pt;margin-top:-193.15pt;width:36pt;height:162.95pt;z-index:2" filled="f" stroked="f">
          <v:textbox style="layout-flow:vertical" inset="0,0,0,0">
            <w:txbxContent>
              <w:p w:rsidR="00B03A7F" w:rsidRDefault="00B03A7F" w:rsidP="006E7AF7">
                <w:pPr>
                  <w:rPr>
                    <w:lang w:val="en-US"/>
                  </w:rPr>
                </w:pPr>
              </w:p>
              <w:p w:rsidR="00B03A7F" w:rsidRDefault="00B03A7F"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7F" w:rsidRPr="00F71F63" w:rsidRDefault="00B03A7F"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B03A7F" w:rsidRPr="00F71F63" w:rsidRDefault="00B03A7F" w:rsidP="00635E86">
      <w:pPr>
        <w:tabs>
          <w:tab w:val="right" w:pos="2155"/>
        </w:tabs>
        <w:spacing w:after="80" w:line="240" w:lineRule="auto"/>
        <w:rPr>
          <w:u w:val="single"/>
          <w:lang w:val="en-US"/>
        </w:rPr>
      </w:pPr>
      <w:r w:rsidRPr="00F71F63">
        <w:rPr>
          <w:u w:val="single"/>
          <w:lang w:val="en-US"/>
        </w:rPr>
        <w:tab/>
      </w:r>
    </w:p>
    <w:p w:rsidR="00B03A7F" w:rsidRPr="00635E86" w:rsidRDefault="00B03A7F" w:rsidP="00635E86">
      <w:pPr>
        <w:pStyle w:val="Footer"/>
      </w:pPr>
    </w:p>
  </w:footnote>
  <w:footnote w:id="1">
    <w:p w:rsidR="00B03A7F" w:rsidRPr="00361DF2" w:rsidRDefault="00B03A7F" w:rsidP="00361DF2">
      <w:pPr>
        <w:pStyle w:val="FootnoteText"/>
        <w:rPr>
          <w:szCs w:val="18"/>
          <w:lang w:val="ru-RU"/>
        </w:rPr>
      </w:pPr>
      <w:r w:rsidRPr="00361DF2">
        <w:rPr>
          <w:rStyle w:val="FootnoteReference"/>
          <w:szCs w:val="18"/>
          <w:lang w:val="ru-RU"/>
        </w:rPr>
        <w:tab/>
      </w:r>
      <w:r w:rsidRPr="00361DF2">
        <w:rPr>
          <w:rStyle w:val="FootnoteReference"/>
          <w:szCs w:val="18"/>
          <w:vertAlign w:val="baseline"/>
          <w:lang w:val="ru-RU"/>
        </w:rPr>
        <w:t>*</w:t>
      </w:r>
      <w:r w:rsidRPr="00361DF2">
        <w:rPr>
          <w:szCs w:val="18"/>
          <w:lang w:val="ru-RU"/>
        </w:rPr>
        <w:tab/>
        <w:t xml:space="preserve">В рассмотрении настоящего сообщения принимали участие следующие члены Комитета: г-н Ядх Бен Ашур, г-н Корнелис Флинтерман, г-н Юдзи Ивасава, </w:t>
      </w:r>
      <w:r>
        <w:rPr>
          <w:szCs w:val="18"/>
          <w:lang w:val="ru-RU"/>
        </w:rPr>
        <w:br/>
      </w:r>
      <w:r w:rsidRPr="00361DF2">
        <w:rPr>
          <w:szCs w:val="18"/>
          <w:lang w:val="ru-RU"/>
        </w:rPr>
        <w:t>г-н Вальтер Келин, г-н Джеральд Л. Нойман</w:t>
      </w:r>
      <w:r w:rsidRPr="00361DF2">
        <w:rPr>
          <w:bCs/>
          <w:szCs w:val="18"/>
          <w:lang w:val="ru-RU"/>
        </w:rPr>
        <w:t xml:space="preserve">, сэр Найджел Родли, </w:t>
      </w:r>
      <w:r w:rsidRPr="00361DF2">
        <w:rPr>
          <w:szCs w:val="18"/>
          <w:lang w:val="ru-RU"/>
        </w:rPr>
        <w:t>г-н Фабиан Омар Сальвиоли, г-жа Аня Зайберт-Фор</w:t>
      </w:r>
      <w:r w:rsidRPr="00361DF2">
        <w:rPr>
          <w:bCs/>
          <w:szCs w:val="18"/>
          <w:lang w:val="ru-RU"/>
        </w:rPr>
        <w:t>, г-н Юваль Шани, г-н Константин Вардзелашвили, г-жа Марго Ватервал и г-н Андрей Паул Злэтеску</w:t>
      </w:r>
      <w:r w:rsidRPr="00361DF2">
        <w:rPr>
          <w:szCs w:val="18"/>
          <w:lang w:val="ru-RU"/>
        </w:rPr>
        <w:t>.</w:t>
      </w:r>
    </w:p>
    <w:p w:rsidR="00B03A7F" w:rsidRPr="00361DF2" w:rsidRDefault="00B03A7F" w:rsidP="00361DF2">
      <w:pPr>
        <w:pStyle w:val="FootnoteText"/>
        <w:rPr>
          <w:szCs w:val="18"/>
          <w:lang w:val="ru-RU"/>
        </w:rPr>
      </w:pPr>
      <w:r>
        <w:rPr>
          <w:szCs w:val="18"/>
          <w:lang w:val="ru-RU"/>
        </w:rPr>
        <w:tab/>
      </w:r>
      <w:r>
        <w:rPr>
          <w:szCs w:val="18"/>
          <w:lang w:val="ru-RU"/>
        </w:rPr>
        <w:tab/>
      </w:r>
      <w:r w:rsidRPr="00361DF2">
        <w:rPr>
          <w:szCs w:val="18"/>
          <w:lang w:val="ru-RU"/>
        </w:rPr>
        <w:t>В соответствии с правилом 90 правил процедуры Комитета г-жа Кристина Шане не принимала участия в рассмотрении настоящего сообщения.</w:t>
      </w:r>
    </w:p>
    <w:p w:rsidR="00B03A7F" w:rsidRPr="00361DF2" w:rsidRDefault="00B03A7F" w:rsidP="00361DF2">
      <w:pPr>
        <w:pStyle w:val="FootnoteText"/>
        <w:rPr>
          <w:szCs w:val="18"/>
          <w:lang w:val="ru-RU"/>
        </w:rPr>
      </w:pPr>
      <w:r w:rsidRPr="00361DF2">
        <w:rPr>
          <w:szCs w:val="18"/>
          <w:lang w:val="ru-RU"/>
        </w:rPr>
        <w:tab/>
      </w:r>
      <w:r w:rsidRPr="00361DF2">
        <w:rPr>
          <w:szCs w:val="18"/>
          <w:lang w:val="ru-RU"/>
        </w:rPr>
        <w:tab/>
        <w:t>К настоящим соображениям прилагается текст особого (совпадающего) мнения, выраженного</w:t>
      </w:r>
      <w:r>
        <w:rPr>
          <w:szCs w:val="18"/>
          <w:lang w:val="ru-RU"/>
        </w:rPr>
        <w:t xml:space="preserve"> </w:t>
      </w:r>
      <w:r w:rsidRPr="00361DF2">
        <w:rPr>
          <w:szCs w:val="18"/>
          <w:lang w:val="ru-RU"/>
        </w:rPr>
        <w:t>г-ном Сальвиоли</w:t>
      </w:r>
      <w:r w:rsidRPr="00361DF2">
        <w:rPr>
          <w:color w:val="000000"/>
          <w:szCs w:val="18"/>
          <w:lang w:val="ru-RU"/>
        </w:rPr>
        <w:t>.</w:t>
      </w:r>
    </w:p>
  </w:footnote>
  <w:footnote w:id="2">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Административное наименование общины рома во Франции. Этот термин употребляется в тексте Закона № 69-3 от 1969</w:t>
      </w:r>
      <w:r>
        <w:rPr>
          <w:szCs w:val="18"/>
          <w:lang w:val="ru-RU"/>
        </w:rPr>
        <w:t> год</w:t>
      </w:r>
      <w:r w:rsidRPr="00361DF2">
        <w:rPr>
          <w:szCs w:val="18"/>
          <w:lang w:val="ru-RU"/>
        </w:rPr>
        <w:t xml:space="preserve">а вместо термина </w:t>
      </w:r>
      <w:r>
        <w:rPr>
          <w:szCs w:val="18"/>
          <w:lang w:val="ru-RU"/>
        </w:rPr>
        <w:t>"</w:t>
      </w:r>
      <w:r w:rsidRPr="00361DF2">
        <w:rPr>
          <w:szCs w:val="18"/>
          <w:lang w:val="ru-RU"/>
        </w:rPr>
        <w:t>кочевники</w:t>
      </w:r>
      <w:r>
        <w:rPr>
          <w:szCs w:val="18"/>
          <w:lang w:val="ru-RU"/>
        </w:rPr>
        <w:t>"</w:t>
      </w:r>
      <w:r w:rsidRPr="00361DF2">
        <w:rPr>
          <w:szCs w:val="18"/>
          <w:lang w:val="ru-RU"/>
        </w:rPr>
        <w:t>, который использовался в Законе от 16 июля 1912</w:t>
      </w:r>
      <w:r>
        <w:rPr>
          <w:szCs w:val="18"/>
          <w:lang w:val="ru-RU"/>
        </w:rPr>
        <w:t> год</w:t>
      </w:r>
      <w:r w:rsidRPr="00361DF2">
        <w:rPr>
          <w:szCs w:val="18"/>
          <w:lang w:val="ru-RU"/>
        </w:rPr>
        <w:t>а о занятии коммивояжерской деятельностью и упорядочении передвижения кочевников.</w:t>
      </w:r>
      <w:r>
        <w:rPr>
          <w:szCs w:val="18"/>
          <w:lang w:val="ru-RU"/>
        </w:rPr>
        <w:t xml:space="preserve"> </w:t>
      </w:r>
    </w:p>
  </w:footnote>
  <w:footnote w:id="3">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Закон № 69-3 от 3 января 1969</w:t>
      </w:r>
      <w:r>
        <w:rPr>
          <w:szCs w:val="18"/>
          <w:lang w:val="ru-RU"/>
        </w:rPr>
        <w:t> год</w:t>
      </w:r>
      <w:r w:rsidRPr="00361DF2">
        <w:rPr>
          <w:szCs w:val="18"/>
          <w:lang w:val="ru-RU"/>
        </w:rPr>
        <w:t>а о занятии разъездными видами деятельности и о режиме, применяемом к лицам без определенного местожительства или местопребывания, совершающим поездки по Франции.</w:t>
      </w:r>
    </w:p>
  </w:footnote>
  <w:footnote w:id="4">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Статья 4 Закона от 3 января 1969</w:t>
      </w:r>
      <w:r>
        <w:rPr>
          <w:szCs w:val="18"/>
          <w:lang w:val="ru-RU"/>
        </w:rPr>
        <w:t> год</w:t>
      </w:r>
      <w:r w:rsidRPr="00361DF2">
        <w:rPr>
          <w:szCs w:val="18"/>
          <w:lang w:val="ru-RU"/>
        </w:rPr>
        <w:t xml:space="preserve">а гласит, что лицам без определенного местожительства или местопребывания, имеющим мобильное жилье и регулярный доход, выдается путевое удостоверение, которое должно визироваться </w:t>
      </w:r>
      <w:r>
        <w:rPr>
          <w:szCs w:val="18"/>
          <w:lang w:val="ru-RU"/>
        </w:rPr>
        <w:t>"</w:t>
      </w:r>
      <w:r w:rsidRPr="00361DF2">
        <w:rPr>
          <w:szCs w:val="18"/>
          <w:lang w:val="ru-RU"/>
        </w:rPr>
        <w:t>через интервалы продолжительностью не менее</w:t>
      </w:r>
      <w:r>
        <w:rPr>
          <w:szCs w:val="18"/>
          <w:lang w:val="ru-RU"/>
        </w:rPr>
        <w:t xml:space="preserve"> </w:t>
      </w:r>
      <w:r w:rsidRPr="00361DF2">
        <w:rPr>
          <w:szCs w:val="18"/>
          <w:lang w:val="ru-RU"/>
        </w:rPr>
        <w:t>трех месяцев</w:t>
      </w:r>
      <w:r>
        <w:rPr>
          <w:szCs w:val="18"/>
          <w:lang w:val="ru-RU"/>
        </w:rPr>
        <w:t>"</w:t>
      </w:r>
      <w:r w:rsidRPr="00361DF2">
        <w:rPr>
          <w:szCs w:val="18"/>
          <w:lang w:val="ru-RU"/>
        </w:rPr>
        <w:t xml:space="preserve">. Статья 5 этого же закона предусматривает, что лицам, не имеющим постоянного дохода, выдается путевая книжка, отметки в которой должны проставляться каждые три месяца. </w:t>
      </w:r>
    </w:p>
  </w:footnote>
  <w:footnote w:id="5">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В статье 20 Закона № 70-708 от 31 июля 1970</w:t>
      </w:r>
      <w:r>
        <w:rPr>
          <w:szCs w:val="18"/>
          <w:lang w:val="ru-RU"/>
        </w:rPr>
        <w:t> год</w:t>
      </w:r>
      <w:r w:rsidRPr="00361DF2">
        <w:rPr>
          <w:szCs w:val="18"/>
          <w:lang w:val="ru-RU"/>
        </w:rPr>
        <w:t xml:space="preserve">а о применении части </w:t>
      </w:r>
      <w:r w:rsidRPr="00361DF2">
        <w:rPr>
          <w:szCs w:val="18"/>
          <w:lang w:val="en-US"/>
        </w:rPr>
        <w:t>I</w:t>
      </w:r>
      <w:r w:rsidRPr="00361DF2">
        <w:rPr>
          <w:szCs w:val="18"/>
          <w:lang w:val="ru-RU"/>
        </w:rPr>
        <w:t xml:space="preserve"> и отдельных положений части </w:t>
      </w:r>
      <w:r w:rsidRPr="00361DF2">
        <w:rPr>
          <w:szCs w:val="18"/>
          <w:lang w:val="en-US"/>
        </w:rPr>
        <w:t>II</w:t>
      </w:r>
      <w:r w:rsidRPr="00361DF2">
        <w:rPr>
          <w:szCs w:val="18"/>
          <w:lang w:val="ru-RU"/>
        </w:rPr>
        <w:t xml:space="preserve"> Закона № 69-3 от 3 января 1969</w:t>
      </w:r>
      <w:r>
        <w:rPr>
          <w:szCs w:val="18"/>
          <w:lang w:val="ru-RU"/>
        </w:rPr>
        <w:t> год</w:t>
      </w:r>
      <w:r w:rsidRPr="00361DF2">
        <w:rPr>
          <w:szCs w:val="18"/>
          <w:lang w:val="ru-RU"/>
        </w:rPr>
        <w:t xml:space="preserve">а о занятии разъездными видами деятельности и о режиме, применяемом к лицам без определенного местожительства или местопребывания, совершающим поездки по Франции, предусматривалось, что </w:t>
      </w:r>
      <w:r>
        <w:rPr>
          <w:szCs w:val="18"/>
          <w:lang w:val="ru-RU"/>
        </w:rPr>
        <w:t>"</w:t>
      </w:r>
      <w:r w:rsidRPr="00361DF2">
        <w:rPr>
          <w:szCs w:val="18"/>
          <w:lang w:val="ru-RU"/>
        </w:rPr>
        <w:t>лица, не представившие свое разрешение на передвижение для визирования в сроки, предусмотренные в зависимости от случая статьей 5 Закона [...] от 3 января 1969</w:t>
      </w:r>
      <w:r>
        <w:rPr>
          <w:szCs w:val="18"/>
          <w:lang w:val="ru-RU"/>
        </w:rPr>
        <w:t> год</w:t>
      </w:r>
      <w:r w:rsidRPr="00361DF2">
        <w:rPr>
          <w:szCs w:val="18"/>
          <w:lang w:val="ru-RU"/>
        </w:rPr>
        <w:t>а, или пунктом 2 статьи 18 настоящего Указа, наказываются штрафом, установленным за совершение правонарушений пятой категории</w:t>
      </w:r>
      <w:r>
        <w:rPr>
          <w:szCs w:val="18"/>
          <w:lang w:val="ru-RU"/>
        </w:rPr>
        <w:t>"</w:t>
      </w:r>
      <w:r w:rsidRPr="00361DF2">
        <w:rPr>
          <w:szCs w:val="18"/>
          <w:lang w:val="ru-RU"/>
        </w:rPr>
        <w:t>.</w:t>
      </w:r>
    </w:p>
  </w:footnote>
  <w:footnote w:id="6">
    <w:p w:rsidR="00B03A7F" w:rsidRPr="00361DF2" w:rsidRDefault="00B03A7F" w:rsidP="00361DF2">
      <w:pPr>
        <w:tabs>
          <w:tab w:val="right" w:pos="1021"/>
        </w:tabs>
        <w:suppressAutoHyphens/>
        <w:spacing w:line="220" w:lineRule="exact"/>
        <w:ind w:left="1134" w:right="1134" w:hanging="1134"/>
        <w:rPr>
          <w:sz w:val="18"/>
          <w:szCs w:val="18"/>
        </w:rPr>
      </w:pPr>
      <w:r w:rsidRPr="00361DF2">
        <w:rPr>
          <w:sz w:val="18"/>
          <w:szCs w:val="18"/>
        </w:rPr>
        <w:tab/>
      </w:r>
      <w:r w:rsidRPr="00361DF2">
        <w:rPr>
          <w:rStyle w:val="FootnoteReference"/>
          <w:szCs w:val="18"/>
        </w:rPr>
        <w:footnoteRef/>
      </w:r>
      <w:r w:rsidRPr="00361DF2">
        <w:rPr>
          <w:sz w:val="18"/>
          <w:szCs w:val="18"/>
        </w:rPr>
        <w:tab/>
        <w:t>Процедура, посредством которой национальный судебный орган может обратиться в Суд Европейского союза с вопросом о толковании или применимости законодательства Сообщества в рамках какого-либо спора, рассматриваемого этим судебным органом.</w:t>
      </w:r>
    </w:p>
  </w:footnote>
  <w:footnote w:id="7">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Автор приложил к жалобе генеалогическое дерево своей семьи.</w:t>
      </w:r>
    </w:p>
  </w:footnote>
  <w:footnote w:id="8">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 xml:space="preserve">Гражданский кодекс, статья 102. </w:t>
      </w:r>
    </w:p>
  </w:footnote>
  <w:footnote w:id="9">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Статья 23 Указа № 70-708 от 31 июля 1970</w:t>
      </w:r>
      <w:r>
        <w:rPr>
          <w:szCs w:val="18"/>
          <w:lang w:val="ru-RU"/>
        </w:rPr>
        <w:t> год</w:t>
      </w:r>
      <w:r w:rsidRPr="00361DF2">
        <w:rPr>
          <w:szCs w:val="18"/>
          <w:lang w:val="ru-RU"/>
        </w:rPr>
        <w:t xml:space="preserve">а. </w:t>
      </w:r>
    </w:p>
  </w:footnote>
  <w:footnote w:id="10">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r>
      <w:r w:rsidRPr="00361DF2">
        <w:rPr>
          <w:i/>
          <w:iCs/>
          <w:szCs w:val="18"/>
          <w:lang w:val="ru-RU"/>
        </w:rPr>
        <w:t>Официальные отчеты Генеральной Ассамблеи, сорок пятая сессия, Дополнение № 40,</w:t>
      </w:r>
      <w:r w:rsidRPr="00361DF2">
        <w:rPr>
          <w:szCs w:val="18"/>
          <w:lang w:val="ru-RU"/>
        </w:rPr>
        <w:t xml:space="preserve"> том</w:t>
      </w:r>
      <w:r w:rsidRPr="00361DF2">
        <w:rPr>
          <w:szCs w:val="18"/>
        </w:rPr>
        <w:t> </w:t>
      </w:r>
      <w:r w:rsidRPr="00361DF2">
        <w:rPr>
          <w:szCs w:val="18"/>
          <w:lang w:val="en-US"/>
        </w:rPr>
        <w:t>I</w:t>
      </w:r>
      <w:r w:rsidRPr="00361DF2">
        <w:rPr>
          <w:szCs w:val="18"/>
          <w:lang w:val="ru-RU"/>
        </w:rPr>
        <w:t xml:space="preserve"> (</w:t>
      </w:r>
      <w:r w:rsidRPr="00361DF2">
        <w:rPr>
          <w:szCs w:val="18"/>
          <w:lang w:val="en-US"/>
        </w:rPr>
        <w:t>A</w:t>
      </w:r>
      <w:r w:rsidRPr="00361DF2">
        <w:rPr>
          <w:szCs w:val="18"/>
          <w:lang w:val="ru-RU"/>
        </w:rPr>
        <w:t>/45/40 (</w:t>
      </w:r>
      <w:r w:rsidRPr="00361DF2">
        <w:rPr>
          <w:szCs w:val="18"/>
          <w:lang w:val="en-US"/>
        </w:rPr>
        <w:t>Vol</w:t>
      </w:r>
      <w:r w:rsidRPr="00361DF2">
        <w:rPr>
          <w:szCs w:val="18"/>
          <w:lang w:val="ru-RU"/>
        </w:rPr>
        <w:t>.</w:t>
      </w:r>
      <w:r w:rsidRPr="00361DF2">
        <w:rPr>
          <w:szCs w:val="18"/>
          <w:lang w:val="en-US"/>
        </w:rPr>
        <w:t> I</w:t>
      </w:r>
      <w:r w:rsidRPr="00361DF2">
        <w:rPr>
          <w:szCs w:val="18"/>
          <w:lang w:val="ru-RU"/>
        </w:rPr>
        <w:t>)), приложение</w:t>
      </w:r>
      <w:r w:rsidRPr="00361DF2">
        <w:rPr>
          <w:szCs w:val="18"/>
          <w:lang w:val="en-US"/>
        </w:rPr>
        <w:t> VI</w:t>
      </w:r>
      <w:r w:rsidRPr="00361DF2">
        <w:rPr>
          <w:szCs w:val="18"/>
          <w:lang w:val="ru-RU"/>
        </w:rPr>
        <w:t xml:space="preserve">, раздел </w:t>
      </w:r>
      <w:r w:rsidRPr="00361DF2">
        <w:rPr>
          <w:szCs w:val="18"/>
          <w:lang w:val="en-US"/>
        </w:rPr>
        <w:t>A</w:t>
      </w:r>
      <w:r w:rsidRPr="00361DF2">
        <w:rPr>
          <w:szCs w:val="18"/>
          <w:lang w:val="ru-RU"/>
        </w:rPr>
        <w:t>,</w:t>
      </w:r>
      <w:r w:rsidRPr="00361DF2" w:rsidDel="008E215A">
        <w:rPr>
          <w:szCs w:val="18"/>
          <w:lang w:val="ru-RU"/>
        </w:rPr>
        <w:t xml:space="preserve"> </w:t>
      </w:r>
      <w:r w:rsidRPr="00361DF2">
        <w:rPr>
          <w:szCs w:val="18"/>
          <w:lang w:val="ru-RU"/>
        </w:rPr>
        <w:t>пункт 7.</w:t>
      </w:r>
    </w:p>
  </w:footnote>
  <w:footnote w:id="11">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Там же, пункт 8.</w:t>
      </w:r>
    </w:p>
  </w:footnote>
  <w:footnote w:id="12">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Постановление от 15 мая 1996</w:t>
      </w:r>
      <w:r>
        <w:rPr>
          <w:szCs w:val="18"/>
          <w:lang w:val="ru-RU"/>
        </w:rPr>
        <w:t> год</w:t>
      </w:r>
      <w:r w:rsidRPr="00361DF2">
        <w:rPr>
          <w:szCs w:val="18"/>
          <w:lang w:val="ru-RU"/>
        </w:rPr>
        <w:t>а о картотеке лиц, находящихся в розыске, которая ведется Министерством внутренних дел и Министерством обороны.</w:t>
      </w:r>
    </w:p>
  </w:footnote>
  <w:footnote w:id="13">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Автор уточняет, что эта картотека, учрежденная постановлением от 22 марта 1994</w:t>
      </w:r>
      <w:r>
        <w:rPr>
          <w:szCs w:val="18"/>
          <w:lang w:val="ru-RU"/>
        </w:rPr>
        <w:t> год</w:t>
      </w:r>
      <w:r w:rsidRPr="00361DF2">
        <w:rPr>
          <w:szCs w:val="18"/>
          <w:lang w:val="ru-RU"/>
        </w:rPr>
        <w:t>а, ведется органами национальной жандармерии в целях электронной обработки и отслеживания разрешений на передвижение; с 2005</w:t>
      </w:r>
      <w:r>
        <w:rPr>
          <w:szCs w:val="18"/>
          <w:lang w:val="ru-RU"/>
        </w:rPr>
        <w:t> год</w:t>
      </w:r>
      <w:r w:rsidRPr="00361DF2">
        <w:rPr>
          <w:szCs w:val="18"/>
          <w:lang w:val="ru-RU"/>
        </w:rPr>
        <w:t xml:space="preserve">а в нее заносятся цифровые фото владельцев таких разрешений. Доступ к картотеке имеют сотрудники правоохранительных органов (полиции и жандармерии), работники служб префектур, а также допущенные третьи лица (работники казначейства, здравоохранения, судебных и военных структур). </w:t>
      </w:r>
    </w:p>
  </w:footnote>
  <w:footnote w:id="14">
    <w:p w:rsidR="00B03A7F" w:rsidRPr="00361DF2" w:rsidRDefault="00B03A7F" w:rsidP="00361DF2">
      <w:pPr>
        <w:tabs>
          <w:tab w:val="right" w:pos="1021"/>
        </w:tabs>
        <w:suppressAutoHyphens/>
        <w:spacing w:line="220" w:lineRule="exact"/>
        <w:ind w:left="1134" w:right="1134" w:hanging="1134"/>
        <w:rPr>
          <w:sz w:val="18"/>
          <w:szCs w:val="18"/>
        </w:rPr>
      </w:pPr>
      <w:r w:rsidRPr="00361DF2">
        <w:rPr>
          <w:sz w:val="18"/>
          <w:szCs w:val="18"/>
        </w:rPr>
        <w:tab/>
      </w:r>
      <w:r w:rsidRPr="00361DF2">
        <w:rPr>
          <w:rStyle w:val="FootnoteReference"/>
          <w:szCs w:val="18"/>
        </w:rPr>
        <w:footnoteRef/>
      </w:r>
      <w:r w:rsidRPr="00361DF2">
        <w:rPr>
          <w:sz w:val="18"/>
          <w:szCs w:val="18"/>
        </w:rPr>
        <w:tab/>
        <w:t>Закон от 3 января 1969</w:t>
      </w:r>
      <w:r>
        <w:rPr>
          <w:sz w:val="18"/>
          <w:szCs w:val="18"/>
        </w:rPr>
        <w:t> год</w:t>
      </w:r>
      <w:r w:rsidRPr="00361DF2">
        <w:rPr>
          <w:sz w:val="18"/>
          <w:szCs w:val="18"/>
        </w:rPr>
        <w:t>а, статья 3.</w:t>
      </w:r>
    </w:p>
  </w:footnote>
  <w:footnote w:id="15">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Автор уточняет, что по практическим соображениям постановление от 1958</w:t>
      </w:r>
      <w:r>
        <w:rPr>
          <w:szCs w:val="18"/>
          <w:lang w:val="ru-RU"/>
        </w:rPr>
        <w:t> год</w:t>
      </w:r>
      <w:r w:rsidRPr="00361DF2">
        <w:rPr>
          <w:szCs w:val="18"/>
          <w:lang w:val="ru-RU"/>
        </w:rPr>
        <w:t>а никогда не применялось.</w:t>
      </w:r>
    </w:p>
  </w:footnote>
  <w:footnote w:id="16">
    <w:p w:rsidR="00B03A7F" w:rsidRPr="00361DF2" w:rsidRDefault="00B03A7F" w:rsidP="00361DF2">
      <w:pPr>
        <w:tabs>
          <w:tab w:val="right" w:pos="1021"/>
        </w:tabs>
        <w:suppressAutoHyphens/>
        <w:autoSpaceDE w:val="0"/>
        <w:autoSpaceDN w:val="0"/>
        <w:adjustRightInd w:val="0"/>
        <w:spacing w:line="220" w:lineRule="exact"/>
        <w:ind w:left="1134" w:right="1134" w:hanging="1134"/>
        <w:rPr>
          <w:sz w:val="18"/>
          <w:szCs w:val="18"/>
          <w:lang w:eastAsia="en-GB"/>
        </w:rPr>
      </w:pPr>
      <w:r w:rsidRPr="00361DF2">
        <w:rPr>
          <w:sz w:val="18"/>
          <w:szCs w:val="18"/>
        </w:rPr>
        <w:tab/>
      </w:r>
      <w:r w:rsidRPr="00361DF2">
        <w:rPr>
          <w:rStyle w:val="FootnoteReference"/>
          <w:szCs w:val="18"/>
        </w:rPr>
        <w:footnoteRef/>
      </w:r>
      <w:r w:rsidRPr="00361DF2">
        <w:rPr>
          <w:sz w:val="18"/>
          <w:szCs w:val="18"/>
        </w:rPr>
        <w:tab/>
      </w:r>
      <w:r w:rsidRPr="00361DF2">
        <w:rPr>
          <w:sz w:val="18"/>
          <w:szCs w:val="18"/>
          <w:lang w:eastAsia="en-GB"/>
        </w:rPr>
        <w:t>См. сообщения № 1505/2006</w:t>
      </w:r>
      <w:r>
        <w:rPr>
          <w:sz w:val="18"/>
          <w:szCs w:val="18"/>
          <w:lang w:eastAsia="en-GB"/>
        </w:rPr>
        <w:t>,</w:t>
      </w:r>
      <w:r w:rsidRPr="00361DF2">
        <w:rPr>
          <w:sz w:val="18"/>
          <w:szCs w:val="18"/>
          <w:lang w:eastAsia="en-GB"/>
        </w:rPr>
        <w:t xml:space="preserve"> </w:t>
      </w:r>
      <w:r w:rsidRPr="00361DF2">
        <w:rPr>
          <w:i/>
          <w:sz w:val="18"/>
          <w:szCs w:val="18"/>
          <w:lang w:eastAsia="en-GB"/>
        </w:rPr>
        <w:t xml:space="preserve">Венсан против Франции, </w:t>
      </w:r>
      <w:r w:rsidRPr="00361DF2">
        <w:rPr>
          <w:sz w:val="18"/>
          <w:szCs w:val="18"/>
          <w:lang w:eastAsia="en-GB"/>
        </w:rPr>
        <w:t>решение о неприемлемости от 31</w:t>
      </w:r>
      <w:r>
        <w:rPr>
          <w:sz w:val="18"/>
          <w:szCs w:val="18"/>
          <w:lang w:eastAsia="en-GB"/>
        </w:rPr>
        <w:t> </w:t>
      </w:r>
      <w:r w:rsidRPr="00361DF2">
        <w:rPr>
          <w:sz w:val="18"/>
          <w:szCs w:val="18"/>
          <w:lang w:eastAsia="en-GB"/>
        </w:rPr>
        <w:t>октября 2007</w:t>
      </w:r>
      <w:r>
        <w:rPr>
          <w:sz w:val="18"/>
          <w:szCs w:val="18"/>
          <w:lang w:eastAsia="en-GB"/>
        </w:rPr>
        <w:t> год</w:t>
      </w:r>
      <w:r w:rsidRPr="00361DF2">
        <w:rPr>
          <w:sz w:val="18"/>
          <w:szCs w:val="18"/>
          <w:lang w:eastAsia="en-GB"/>
        </w:rPr>
        <w:t>а, пункт 7.2; № 1389/2005</w:t>
      </w:r>
      <w:r>
        <w:rPr>
          <w:sz w:val="18"/>
          <w:szCs w:val="18"/>
          <w:lang w:eastAsia="en-GB"/>
        </w:rPr>
        <w:t>,</w:t>
      </w:r>
      <w:r w:rsidRPr="00361DF2">
        <w:rPr>
          <w:sz w:val="18"/>
          <w:szCs w:val="18"/>
          <w:lang w:eastAsia="en-GB"/>
        </w:rPr>
        <w:t xml:space="preserve"> </w:t>
      </w:r>
      <w:r w:rsidRPr="00361DF2">
        <w:rPr>
          <w:i/>
          <w:iCs/>
          <w:sz w:val="18"/>
          <w:szCs w:val="18"/>
          <w:lang w:eastAsia="en-GB"/>
        </w:rPr>
        <w:t>Бертелли Гальвес против Испании</w:t>
      </w:r>
      <w:r w:rsidRPr="00361DF2">
        <w:rPr>
          <w:sz w:val="18"/>
          <w:szCs w:val="18"/>
          <w:lang w:eastAsia="en-GB"/>
        </w:rPr>
        <w:t xml:space="preserve">, решение о неприемлемости от 25 июля 2005 </w:t>
      </w:r>
      <w:r>
        <w:rPr>
          <w:sz w:val="18"/>
          <w:szCs w:val="18"/>
          <w:lang w:eastAsia="en-GB"/>
        </w:rPr>
        <w:t xml:space="preserve">года, </w:t>
      </w:r>
      <w:r w:rsidRPr="00361DF2">
        <w:rPr>
          <w:sz w:val="18"/>
          <w:szCs w:val="18"/>
          <w:lang w:eastAsia="en-GB"/>
        </w:rPr>
        <w:t>пункт 4.3; и № 1446/2006</w:t>
      </w:r>
      <w:r>
        <w:rPr>
          <w:sz w:val="18"/>
          <w:szCs w:val="18"/>
          <w:lang w:eastAsia="en-GB"/>
        </w:rPr>
        <w:t>,</w:t>
      </w:r>
      <w:r w:rsidRPr="00361DF2">
        <w:rPr>
          <w:sz w:val="18"/>
          <w:szCs w:val="18"/>
          <w:lang w:eastAsia="en-GB"/>
        </w:rPr>
        <w:t xml:space="preserve"> </w:t>
      </w:r>
      <w:r w:rsidRPr="00361DF2">
        <w:rPr>
          <w:i/>
          <w:iCs/>
          <w:sz w:val="18"/>
          <w:szCs w:val="18"/>
          <w:lang w:eastAsia="en-GB"/>
        </w:rPr>
        <w:t>Вдовяк против Польши</w:t>
      </w:r>
      <w:r w:rsidRPr="00361DF2">
        <w:rPr>
          <w:sz w:val="18"/>
          <w:szCs w:val="18"/>
          <w:lang w:eastAsia="en-GB"/>
        </w:rPr>
        <w:t>, решение о неприемлемости от 31 октября 2006</w:t>
      </w:r>
      <w:r>
        <w:rPr>
          <w:sz w:val="18"/>
          <w:szCs w:val="18"/>
          <w:lang w:eastAsia="en-GB"/>
        </w:rPr>
        <w:t> год</w:t>
      </w:r>
      <w:r w:rsidRPr="00361DF2">
        <w:rPr>
          <w:sz w:val="18"/>
          <w:szCs w:val="18"/>
          <w:lang w:eastAsia="en-GB"/>
        </w:rPr>
        <w:t>а, пункт 6.2.</w:t>
      </w:r>
    </w:p>
  </w:footnote>
  <w:footnote w:id="17">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См. Замечание общего порядка № 27 (1999</w:t>
      </w:r>
      <w:r>
        <w:rPr>
          <w:szCs w:val="18"/>
          <w:lang w:val="ru-RU"/>
        </w:rPr>
        <w:t> год</w:t>
      </w:r>
      <w:r w:rsidRPr="00361DF2">
        <w:rPr>
          <w:szCs w:val="18"/>
          <w:lang w:val="ru-RU"/>
        </w:rPr>
        <w:t xml:space="preserve">), </w:t>
      </w:r>
      <w:r w:rsidRPr="00361DF2">
        <w:rPr>
          <w:i/>
          <w:iCs/>
          <w:szCs w:val="18"/>
          <w:lang w:val="ru-RU"/>
        </w:rPr>
        <w:t xml:space="preserve">Официальные отчеты Генеральной Ассамблеи, пятьдесят пятая сессия, Дополнение № 40, </w:t>
      </w:r>
      <w:r w:rsidRPr="00361DF2">
        <w:rPr>
          <w:szCs w:val="18"/>
          <w:lang w:val="ru-RU"/>
        </w:rPr>
        <w:t>том</w:t>
      </w:r>
      <w:r w:rsidRPr="00361DF2">
        <w:rPr>
          <w:szCs w:val="18"/>
        </w:rPr>
        <w:t> I</w:t>
      </w:r>
      <w:r w:rsidRPr="00361DF2">
        <w:rPr>
          <w:szCs w:val="18"/>
          <w:lang w:val="ru-RU"/>
        </w:rPr>
        <w:t>, (</w:t>
      </w:r>
      <w:r w:rsidRPr="00361DF2">
        <w:rPr>
          <w:szCs w:val="18"/>
        </w:rPr>
        <w:t>A</w:t>
      </w:r>
      <w:r w:rsidRPr="00361DF2">
        <w:rPr>
          <w:szCs w:val="18"/>
          <w:lang w:val="ru-RU"/>
        </w:rPr>
        <w:t>/55/40 (</w:t>
      </w:r>
      <w:r w:rsidRPr="00361DF2">
        <w:rPr>
          <w:szCs w:val="18"/>
        </w:rPr>
        <w:t>Vol</w:t>
      </w:r>
      <w:r w:rsidRPr="00361DF2">
        <w:rPr>
          <w:szCs w:val="18"/>
          <w:lang w:val="ru-RU"/>
        </w:rPr>
        <w:t>.</w:t>
      </w:r>
      <w:r w:rsidRPr="00361DF2">
        <w:rPr>
          <w:szCs w:val="18"/>
        </w:rPr>
        <w:t> I</w:t>
      </w:r>
      <w:r w:rsidRPr="00361DF2">
        <w:rPr>
          <w:szCs w:val="18"/>
          <w:lang w:val="ru-RU"/>
        </w:rPr>
        <w:t>)), приложение</w:t>
      </w:r>
      <w:r w:rsidRPr="00361DF2">
        <w:rPr>
          <w:szCs w:val="18"/>
        </w:rPr>
        <w:t> VI</w:t>
      </w:r>
      <w:r w:rsidRPr="00361DF2">
        <w:rPr>
          <w:szCs w:val="18"/>
          <w:lang w:val="ru-RU"/>
        </w:rPr>
        <w:t xml:space="preserve">, раздел </w:t>
      </w:r>
      <w:r w:rsidRPr="00361DF2">
        <w:rPr>
          <w:szCs w:val="18"/>
        </w:rPr>
        <w:t>A</w:t>
      </w:r>
      <w:r w:rsidRPr="00361DF2">
        <w:rPr>
          <w:szCs w:val="18"/>
          <w:lang w:val="ru-RU"/>
        </w:rPr>
        <w:t>, пункт</w:t>
      </w:r>
      <w:r w:rsidRPr="00361DF2">
        <w:rPr>
          <w:szCs w:val="18"/>
          <w:lang w:val="fr-FR"/>
        </w:rPr>
        <w:t> </w:t>
      </w:r>
      <w:r w:rsidRPr="00361DF2">
        <w:rPr>
          <w:szCs w:val="18"/>
          <w:lang w:val="ru-RU"/>
        </w:rPr>
        <w:t>2.</w:t>
      </w:r>
    </w:p>
  </w:footnote>
  <w:footnote w:id="18">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См. приложение 4 выше. Статья 131-13 Уголовного кодекса предусматривает, что правонарушениями пятой категории являются проступки, которые по закону наказываются штрафом в размере не более 1 500 евро; при повторном нарушении эта сумма может быть увеличена до 3 000 евро.</w:t>
      </w:r>
    </w:p>
  </w:footnote>
  <w:footnote w:id="19">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Замечание общего порядка № 27, пункт 14.</w:t>
      </w:r>
    </w:p>
  </w:footnote>
  <w:footnote w:id="20">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См. пункты</w:t>
      </w:r>
      <w:r w:rsidRPr="00361DF2">
        <w:rPr>
          <w:szCs w:val="18"/>
        </w:rPr>
        <w:t> </w:t>
      </w:r>
      <w:r w:rsidRPr="00361DF2">
        <w:rPr>
          <w:szCs w:val="18"/>
          <w:lang w:val="ru-RU"/>
        </w:rPr>
        <w:t>3.3, 3.4 и 6.4 соображений Комитета.</w:t>
      </w:r>
    </w:p>
  </w:footnote>
  <w:footnote w:id="21">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Соображения Комитета, пункт 8.6.</w:t>
      </w:r>
    </w:p>
  </w:footnote>
  <w:footnote w:id="22">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См. соображения Комитета, пункт 5.5.</w:t>
      </w:r>
    </w:p>
  </w:footnote>
  <w:footnote w:id="23">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 xml:space="preserve">Положения о </w:t>
      </w:r>
      <w:r>
        <w:rPr>
          <w:szCs w:val="18"/>
          <w:lang w:val="ru-RU"/>
        </w:rPr>
        <w:t>"</w:t>
      </w:r>
      <w:r w:rsidRPr="00361DF2">
        <w:rPr>
          <w:szCs w:val="18"/>
          <w:lang w:val="ru-RU"/>
        </w:rPr>
        <w:t>прикреплении к коммуне</w:t>
      </w:r>
      <w:r>
        <w:rPr>
          <w:szCs w:val="18"/>
          <w:lang w:val="ru-RU"/>
        </w:rPr>
        <w:t>"</w:t>
      </w:r>
      <w:r w:rsidRPr="00361DF2">
        <w:rPr>
          <w:szCs w:val="18"/>
          <w:lang w:val="ru-RU"/>
        </w:rPr>
        <w:t xml:space="preserve"> в ходе недавнего пересмотра закона не претерпели изменений.</w:t>
      </w:r>
    </w:p>
  </w:footnote>
  <w:footnote w:id="24">
    <w:p w:rsidR="00B03A7F" w:rsidRPr="00361DF2" w:rsidRDefault="00B03A7F" w:rsidP="00361DF2">
      <w:pPr>
        <w:pStyle w:val="FootnoteText"/>
        <w:rPr>
          <w:szCs w:val="18"/>
          <w:lang w:val="ru-RU"/>
        </w:rPr>
      </w:pPr>
      <w:r w:rsidRPr="00361DF2">
        <w:rPr>
          <w:szCs w:val="18"/>
          <w:lang w:val="ru-RU"/>
        </w:rPr>
        <w:tab/>
      </w:r>
      <w:r w:rsidRPr="00361DF2">
        <w:rPr>
          <w:rStyle w:val="FootnoteReference"/>
          <w:szCs w:val="18"/>
        </w:rPr>
        <w:footnoteRef/>
      </w:r>
      <w:r w:rsidRPr="00361DF2">
        <w:rPr>
          <w:szCs w:val="18"/>
          <w:lang w:val="ru-RU"/>
        </w:rPr>
        <w:tab/>
        <w:t>Замечание общего порядка № 18 (1989</w:t>
      </w:r>
      <w:r>
        <w:rPr>
          <w:szCs w:val="18"/>
          <w:lang w:val="ru-RU"/>
        </w:rPr>
        <w:t> год</w:t>
      </w:r>
      <w:r w:rsidRPr="00361DF2">
        <w:rPr>
          <w:szCs w:val="18"/>
          <w:lang w:val="ru-RU"/>
        </w:rPr>
        <w:t>); см. также сообщения № 1474/2006</w:t>
      </w:r>
      <w:r>
        <w:rPr>
          <w:szCs w:val="18"/>
          <w:lang w:val="ru-RU"/>
        </w:rPr>
        <w:t>,</w:t>
      </w:r>
      <w:r w:rsidRPr="00361DF2">
        <w:rPr>
          <w:szCs w:val="18"/>
          <w:lang w:val="ru-RU"/>
        </w:rPr>
        <w:t xml:space="preserve"> </w:t>
      </w:r>
      <w:r w:rsidRPr="00361DF2">
        <w:rPr>
          <w:i/>
          <w:szCs w:val="18"/>
          <w:lang w:val="ru-RU"/>
        </w:rPr>
        <w:t>Пренс против Южной Африки</w:t>
      </w:r>
      <w:r w:rsidRPr="00361DF2">
        <w:rPr>
          <w:szCs w:val="18"/>
          <w:lang w:val="ru-RU"/>
        </w:rPr>
        <w:t>, соображения от 31 октября 2007</w:t>
      </w:r>
      <w:r>
        <w:rPr>
          <w:szCs w:val="18"/>
          <w:lang w:val="ru-RU"/>
        </w:rPr>
        <w:t> год</w:t>
      </w:r>
      <w:r w:rsidRPr="00361DF2">
        <w:rPr>
          <w:szCs w:val="18"/>
          <w:lang w:val="ru-RU"/>
        </w:rPr>
        <w:t>а, пункт 7.5; и №</w:t>
      </w:r>
      <w:r>
        <w:rPr>
          <w:szCs w:val="18"/>
          <w:lang w:val="ru-RU"/>
        </w:rPr>
        <w:t> </w:t>
      </w:r>
      <w:r w:rsidRPr="00361DF2">
        <w:rPr>
          <w:szCs w:val="18"/>
          <w:lang w:val="ru-RU"/>
        </w:rPr>
        <w:t>998/2001</w:t>
      </w:r>
      <w:r>
        <w:rPr>
          <w:szCs w:val="18"/>
          <w:lang w:val="ru-RU"/>
        </w:rPr>
        <w:t>,</w:t>
      </w:r>
      <w:r w:rsidRPr="00361DF2">
        <w:rPr>
          <w:szCs w:val="18"/>
          <w:lang w:val="ru-RU"/>
        </w:rPr>
        <w:t xml:space="preserve"> </w:t>
      </w:r>
      <w:r w:rsidRPr="00361DF2">
        <w:rPr>
          <w:i/>
          <w:szCs w:val="18"/>
          <w:lang w:val="ru-RU"/>
        </w:rPr>
        <w:t>Альтхаммер и др. против Австрии</w:t>
      </w:r>
      <w:r w:rsidRPr="00361DF2">
        <w:rPr>
          <w:szCs w:val="18"/>
          <w:lang w:val="ru-RU"/>
        </w:rPr>
        <w:t>, соображения от 8 августа 2003</w:t>
      </w:r>
      <w:r>
        <w:rPr>
          <w:szCs w:val="18"/>
          <w:lang w:val="ru-RU"/>
        </w:rPr>
        <w:t> год</w:t>
      </w:r>
      <w:r w:rsidRPr="00361DF2">
        <w:rPr>
          <w:szCs w:val="18"/>
          <w:lang w:val="ru-RU"/>
        </w:rPr>
        <w:t>а, пункт 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7F" w:rsidRPr="005F0588" w:rsidRDefault="00B03A7F">
    <w:pPr>
      <w:pStyle w:val="Header"/>
      <w:rPr>
        <w:lang w:val="en-US"/>
      </w:rPr>
    </w:pPr>
    <w:r>
      <w:rPr>
        <w:lang w:val="en-US"/>
      </w:rPr>
      <w:t>CCPR/C/110/D/1960/2010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7F" w:rsidRPr="005F0588" w:rsidRDefault="00B03A7F">
    <w:pPr>
      <w:pStyle w:val="Header"/>
      <w:rPr>
        <w:lang w:val="en-US"/>
      </w:rPr>
    </w:pPr>
    <w:r>
      <w:rPr>
        <w:lang w:val="en-US"/>
      </w:rPr>
      <w:tab/>
      <w:t>CCPR/C/110/D/1960/2010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7F" w:rsidRPr="00E0275D" w:rsidRDefault="00B03A7F">
    <w:pPr>
      <w:pStyle w:val="Header"/>
      <w:rPr>
        <w:lang w:val="en-US"/>
      </w:rPr>
    </w:pPr>
    <w:r>
      <w:rPr>
        <w:lang w:val="en-US"/>
      </w:rPr>
      <w:t>CCPR/C/110/D/1960/2010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DF2"/>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0F410F"/>
    <w:rsid w:val="00117AEE"/>
    <w:rsid w:val="001463F7"/>
    <w:rsid w:val="0015769C"/>
    <w:rsid w:val="001602E9"/>
    <w:rsid w:val="001755A4"/>
    <w:rsid w:val="00180752"/>
    <w:rsid w:val="00185076"/>
    <w:rsid w:val="0018543C"/>
    <w:rsid w:val="00190231"/>
    <w:rsid w:val="00192ABD"/>
    <w:rsid w:val="0019450F"/>
    <w:rsid w:val="001A75D5"/>
    <w:rsid w:val="001A7D40"/>
    <w:rsid w:val="001D07F7"/>
    <w:rsid w:val="001D7B8F"/>
    <w:rsid w:val="001E48EE"/>
    <w:rsid w:val="001F2D04"/>
    <w:rsid w:val="0020059C"/>
    <w:rsid w:val="002019BD"/>
    <w:rsid w:val="00232D42"/>
    <w:rsid w:val="00237334"/>
    <w:rsid w:val="00242449"/>
    <w:rsid w:val="002444F4"/>
    <w:rsid w:val="002629A0"/>
    <w:rsid w:val="0028492B"/>
    <w:rsid w:val="00291C8F"/>
    <w:rsid w:val="002C5036"/>
    <w:rsid w:val="002C6A71"/>
    <w:rsid w:val="002C6D5F"/>
    <w:rsid w:val="002D15EA"/>
    <w:rsid w:val="002D6C07"/>
    <w:rsid w:val="002E0CE6"/>
    <w:rsid w:val="002E1163"/>
    <w:rsid w:val="002E43F3"/>
    <w:rsid w:val="003215F5"/>
    <w:rsid w:val="00332891"/>
    <w:rsid w:val="00356BB2"/>
    <w:rsid w:val="00360477"/>
    <w:rsid w:val="00361DF2"/>
    <w:rsid w:val="00367FC9"/>
    <w:rsid w:val="003711A1"/>
    <w:rsid w:val="00372123"/>
    <w:rsid w:val="00381289"/>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D5ECD"/>
    <w:rsid w:val="004E6729"/>
    <w:rsid w:val="004F0E47"/>
    <w:rsid w:val="0051339C"/>
    <w:rsid w:val="0051412F"/>
    <w:rsid w:val="00514772"/>
    <w:rsid w:val="00522B6F"/>
    <w:rsid w:val="0052430E"/>
    <w:rsid w:val="005276AD"/>
    <w:rsid w:val="00534E6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D7C88"/>
    <w:rsid w:val="005E74AB"/>
    <w:rsid w:val="00606A3E"/>
    <w:rsid w:val="00611264"/>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5FBF"/>
    <w:rsid w:val="0070327E"/>
    <w:rsid w:val="0070392D"/>
    <w:rsid w:val="00707B5F"/>
    <w:rsid w:val="00735602"/>
    <w:rsid w:val="0075279B"/>
    <w:rsid w:val="00753748"/>
    <w:rsid w:val="00762446"/>
    <w:rsid w:val="00781ACB"/>
    <w:rsid w:val="007A79EB"/>
    <w:rsid w:val="007D4CA0"/>
    <w:rsid w:val="007D7A23"/>
    <w:rsid w:val="007E0C40"/>
    <w:rsid w:val="007E38C3"/>
    <w:rsid w:val="007E549E"/>
    <w:rsid w:val="007E71C9"/>
    <w:rsid w:val="007F7553"/>
    <w:rsid w:val="0080755E"/>
    <w:rsid w:val="008120D4"/>
    <w:rsid w:val="008139A5"/>
    <w:rsid w:val="00817F73"/>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C1C95"/>
    <w:rsid w:val="00AC2CCB"/>
    <w:rsid w:val="00AC443A"/>
    <w:rsid w:val="00AE60E2"/>
    <w:rsid w:val="00B0169F"/>
    <w:rsid w:val="00B03A7F"/>
    <w:rsid w:val="00B05F21"/>
    <w:rsid w:val="00B14EA9"/>
    <w:rsid w:val="00B30A3C"/>
    <w:rsid w:val="00B81305"/>
    <w:rsid w:val="00BB17DC"/>
    <w:rsid w:val="00BB1AF9"/>
    <w:rsid w:val="00BB4C4A"/>
    <w:rsid w:val="00BC7F12"/>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76358"/>
    <w:rsid w:val="00D809D1"/>
    <w:rsid w:val="00D84ECF"/>
    <w:rsid w:val="00DA2851"/>
    <w:rsid w:val="00DA2B7C"/>
    <w:rsid w:val="00DA5686"/>
    <w:rsid w:val="00DB2FC0"/>
    <w:rsid w:val="00DF18FA"/>
    <w:rsid w:val="00DF49CA"/>
    <w:rsid w:val="00DF775B"/>
    <w:rsid w:val="00E007F3"/>
    <w:rsid w:val="00E00DEA"/>
    <w:rsid w:val="00E0275D"/>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78A3"/>
    <w:rsid w:val="00FF6C8A"/>
    <w:rsid w:val="00FF6D71"/>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15</Pages>
  <Words>5110</Words>
  <Characters>34028</Characters>
  <Application>Microsoft Office Outlook</Application>
  <DocSecurity>4</DocSecurity>
  <Lines>626</Lines>
  <Paragraphs>110</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39100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Larisa Maykovskaya</dc:creator>
  <cp:keywords/>
  <dc:description/>
  <cp:lastModifiedBy>Larisa Maykovskaya</cp:lastModifiedBy>
  <cp:revision>2</cp:revision>
  <cp:lastPrinted>1601-01-01T00:00:00Z</cp:lastPrinted>
  <dcterms:created xsi:type="dcterms:W3CDTF">2014-06-03T15:15:00Z</dcterms:created>
  <dcterms:modified xsi:type="dcterms:W3CDTF">2014-06-03T15:15:00Z</dcterms:modified>
</cp:coreProperties>
</file>