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2B64A7" w:rsidP="002B64A7">
            <w:pPr>
              <w:bidi w:val="0"/>
              <w:spacing w:after="20"/>
              <w:jc w:val="left"/>
              <w:rPr>
                <w:szCs w:val="20"/>
              </w:rPr>
            </w:pPr>
            <w:r w:rsidRPr="002B64A7">
              <w:rPr>
                <w:sz w:val="40"/>
                <w:szCs w:val="20"/>
              </w:rPr>
              <w:t>CCPR</w:t>
            </w:r>
            <w:r>
              <w:rPr>
                <w:szCs w:val="20"/>
              </w:rPr>
              <w:t>/C/110/D/1963/2010</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2B64A7" w:rsidRDefault="002B64A7" w:rsidP="002B64A7">
            <w:pPr>
              <w:bidi w:val="0"/>
              <w:spacing w:before="240"/>
              <w:jc w:val="left"/>
            </w:pPr>
            <w:r>
              <w:t>Distr.: General</w:t>
            </w:r>
          </w:p>
          <w:p w:rsidR="002B64A7" w:rsidRDefault="002B64A7" w:rsidP="002B64A7">
            <w:pPr>
              <w:bidi w:val="0"/>
              <w:jc w:val="left"/>
            </w:pPr>
            <w:r>
              <w:t>29 April 2014</w:t>
            </w:r>
          </w:p>
          <w:p w:rsidR="002B64A7" w:rsidRDefault="002B64A7" w:rsidP="002B64A7">
            <w:pPr>
              <w:bidi w:val="0"/>
              <w:jc w:val="left"/>
            </w:pPr>
            <w:r>
              <w:t>Arabic</w:t>
            </w:r>
          </w:p>
          <w:p w:rsidR="00257225" w:rsidRPr="008B4BC6" w:rsidRDefault="002B64A7" w:rsidP="002B64A7">
            <w:pPr>
              <w:bidi w:val="0"/>
              <w:jc w:val="left"/>
            </w:pPr>
            <w:r>
              <w:t>Original: English</w:t>
            </w:r>
          </w:p>
        </w:tc>
      </w:tr>
    </w:tbl>
    <w:p w:rsidR="002B64A7" w:rsidRPr="00CB55E5" w:rsidRDefault="002B64A7" w:rsidP="00CB55E5">
      <w:pPr>
        <w:spacing w:before="120" w:line="380" w:lineRule="exact"/>
        <w:rPr>
          <w:rFonts w:ascii="Traditional Arabic" w:hAnsi="Traditional Arabic"/>
          <w:b/>
          <w:bCs/>
          <w:sz w:val="38"/>
          <w:szCs w:val="38"/>
          <w:rtl/>
        </w:rPr>
      </w:pPr>
      <w:r w:rsidRPr="00CB55E5">
        <w:rPr>
          <w:rFonts w:ascii="Traditional Arabic" w:hAnsi="Traditional Arabic" w:hint="cs"/>
          <w:b/>
          <w:bCs/>
          <w:sz w:val="38"/>
          <w:szCs w:val="38"/>
          <w:rtl/>
        </w:rPr>
        <w:t>اللجنة المعنية بحقوق الإنسان</w:t>
      </w:r>
    </w:p>
    <w:p w:rsidR="002B64A7" w:rsidRDefault="002B64A7" w:rsidP="00972877">
      <w:pPr>
        <w:pStyle w:val="HChGA"/>
      </w:pPr>
      <w:r>
        <w:rPr>
          <w:sz w:val="32"/>
          <w:szCs w:val="32"/>
          <w:rtl/>
        </w:rPr>
        <w:tab/>
      </w:r>
      <w:r w:rsidR="00C650FB">
        <w:rPr>
          <w:rFonts w:hint="cs"/>
          <w:rtl/>
        </w:rPr>
        <w:tab/>
      </w:r>
      <w:r>
        <w:rPr>
          <w:rFonts w:hint="cs"/>
          <w:rtl/>
        </w:rPr>
        <w:t>البلاغ رقم 1963/2010</w:t>
      </w:r>
    </w:p>
    <w:p w:rsidR="002B64A7" w:rsidRPr="0022483F" w:rsidRDefault="002B64A7" w:rsidP="00972877">
      <w:pPr>
        <w:pStyle w:val="H1GA"/>
        <w:rPr>
          <w:rtl/>
        </w:rPr>
      </w:pPr>
      <w:r w:rsidRPr="0022483F">
        <w:rPr>
          <w:sz w:val="36"/>
          <w:szCs w:val="36"/>
          <w:rtl/>
        </w:rPr>
        <w:tab/>
      </w:r>
      <w:r w:rsidR="00C650FB" w:rsidRPr="0022483F">
        <w:rPr>
          <w:rFonts w:hint="cs"/>
          <w:rtl/>
        </w:rPr>
        <w:tab/>
      </w:r>
      <w:r w:rsidRPr="0022483F">
        <w:rPr>
          <w:rFonts w:hint="cs"/>
          <w:rtl/>
        </w:rPr>
        <w:t>قرار اعتمدته اللجنة في دورتها العاشرة بعد المائة (10-28 آذار/</w:t>
      </w:r>
      <w:r w:rsidR="00972877">
        <w:rPr>
          <w:rFonts w:hint="cs"/>
          <w:rtl/>
        </w:rPr>
        <w:t xml:space="preserve">              </w:t>
      </w:r>
      <w:r w:rsidRPr="0022483F">
        <w:rPr>
          <w:rFonts w:hint="cs"/>
          <w:rtl/>
        </w:rPr>
        <w:t>مارس 2014)</w:t>
      </w:r>
    </w:p>
    <w:p w:rsidR="002B64A7" w:rsidRPr="0014522A" w:rsidRDefault="002B64A7" w:rsidP="0014522A">
      <w:pPr>
        <w:pStyle w:val="SingleTxtGA"/>
        <w:ind w:left="1928"/>
        <w:rPr>
          <w:spacing w:val="-6"/>
          <w:rtl/>
        </w:rPr>
      </w:pPr>
      <w:r w:rsidRPr="0014522A">
        <w:rPr>
          <w:rFonts w:hint="cs"/>
          <w:i/>
          <w:iCs/>
          <w:spacing w:val="-6"/>
          <w:rtl/>
        </w:rPr>
        <w:t>المقدم من:</w:t>
      </w:r>
      <w:r w:rsidRPr="0014522A">
        <w:rPr>
          <w:rFonts w:hint="cs"/>
          <w:spacing w:val="-6"/>
          <w:rtl/>
        </w:rPr>
        <w:t xml:space="preserve"> </w:t>
      </w:r>
      <w:r w:rsidRPr="0014522A">
        <w:rPr>
          <w:spacing w:val="-6"/>
        </w:rPr>
        <w:tab/>
      </w:r>
      <w:r w:rsidR="0014522A" w:rsidRPr="0014522A">
        <w:rPr>
          <w:spacing w:val="-6"/>
        </w:rPr>
        <w:tab/>
      </w:r>
      <w:r w:rsidRPr="0014522A">
        <w:rPr>
          <w:spacing w:val="-6"/>
        </w:rPr>
        <w:tab/>
      </w:r>
      <w:r w:rsidRPr="0014522A">
        <w:rPr>
          <w:rFonts w:hint="cs"/>
          <w:spacing w:val="-6"/>
          <w:rtl/>
        </w:rPr>
        <w:t>ت.</w:t>
      </w:r>
      <w:r w:rsidR="005545C5" w:rsidRPr="0014522A">
        <w:rPr>
          <w:rFonts w:hint="cs"/>
          <w:spacing w:val="-6"/>
          <w:rtl/>
        </w:rPr>
        <w:t xml:space="preserve"> </w:t>
      </w:r>
      <w:r w:rsidRPr="0014522A">
        <w:rPr>
          <w:rFonts w:hint="cs"/>
          <w:spacing w:val="-6"/>
          <w:rtl/>
        </w:rPr>
        <w:t>و. وغ.</w:t>
      </w:r>
      <w:r w:rsidR="008D3078" w:rsidRPr="0014522A">
        <w:rPr>
          <w:rFonts w:hint="cs"/>
          <w:spacing w:val="-6"/>
          <w:rtl/>
        </w:rPr>
        <w:t xml:space="preserve"> </w:t>
      </w:r>
      <w:r w:rsidRPr="0014522A">
        <w:rPr>
          <w:rFonts w:hint="cs"/>
          <w:spacing w:val="-6"/>
          <w:rtl/>
        </w:rPr>
        <w:t>م. (يمثلهما المحامي إلودوفيت إمراز)</w:t>
      </w:r>
    </w:p>
    <w:p w:rsidR="002B64A7" w:rsidRDefault="002B64A7" w:rsidP="0014522A">
      <w:pPr>
        <w:pStyle w:val="SingleTxtGA"/>
        <w:ind w:left="1928"/>
        <w:rPr>
          <w:rtl/>
        </w:rPr>
      </w:pPr>
      <w:r w:rsidRPr="00D85CC0">
        <w:rPr>
          <w:rFonts w:hint="cs"/>
          <w:i/>
          <w:iCs/>
          <w:rtl/>
        </w:rPr>
        <w:t>الشخص المدّعى أنه الضحية:</w:t>
      </w:r>
      <w:r>
        <w:rPr>
          <w:rFonts w:hint="cs"/>
          <w:rtl/>
        </w:rPr>
        <w:t xml:space="preserve"> </w:t>
      </w:r>
      <w:r>
        <w:tab/>
      </w:r>
      <w:r>
        <w:rPr>
          <w:rFonts w:hint="cs"/>
          <w:rtl/>
        </w:rPr>
        <w:t>صاحبا البلاغ</w:t>
      </w:r>
    </w:p>
    <w:p w:rsidR="002B64A7" w:rsidRDefault="002B64A7" w:rsidP="0014522A">
      <w:pPr>
        <w:pStyle w:val="SingleTxtGA"/>
        <w:ind w:left="1928"/>
        <w:rPr>
          <w:rtl/>
        </w:rPr>
      </w:pPr>
      <w:r w:rsidRPr="00D85CC0">
        <w:rPr>
          <w:rFonts w:hint="cs"/>
          <w:i/>
          <w:iCs/>
          <w:rtl/>
        </w:rPr>
        <w:t>الدولة الطرف:</w:t>
      </w:r>
      <w:r>
        <w:rPr>
          <w:rFonts w:hint="cs"/>
          <w:rtl/>
        </w:rPr>
        <w:t xml:space="preserve"> </w:t>
      </w:r>
      <w:r>
        <w:tab/>
      </w:r>
      <w:r>
        <w:tab/>
      </w:r>
      <w:r>
        <w:tab/>
      </w:r>
      <w:r>
        <w:rPr>
          <w:rFonts w:hint="cs"/>
          <w:rtl/>
        </w:rPr>
        <w:t>الجمهورية السلوفاكية</w:t>
      </w:r>
    </w:p>
    <w:p w:rsidR="002B64A7" w:rsidRPr="00706461" w:rsidRDefault="002B64A7" w:rsidP="00706461">
      <w:pPr>
        <w:pStyle w:val="SingleTxtGA"/>
        <w:ind w:left="1928"/>
        <w:rPr>
          <w:rFonts w:hint="cs"/>
          <w:spacing w:val="-10"/>
          <w:rtl/>
        </w:rPr>
      </w:pPr>
      <w:r w:rsidRPr="00D85CC0">
        <w:rPr>
          <w:rFonts w:hint="cs"/>
          <w:i/>
          <w:iCs/>
          <w:rtl/>
        </w:rPr>
        <w:t>تاريخ تقديم البلاغ:</w:t>
      </w:r>
      <w:r>
        <w:tab/>
      </w:r>
      <w:r>
        <w:tab/>
      </w:r>
      <w:r w:rsidRPr="00706461">
        <w:rPr>
          <w:rFonts w:hint="cs"/>
          <w:spacing w:val="-10"/>
          <w:rtl/>
        </w:rPr>
        <w:t>23 شباط/فبراير 20</w:t>
      </w:r>
      <w:r w:rsidR="00CC6B7D" w:rsidRPr="00706461">
        <w:rPr>
          <w:rFonts w:hint="cs"/>
          <w:spacing w:val="-10"/>
          <w:rtl/>
        </w:rPr>
        <w:t>09 (تاريخ تقديم الرسالة الأولى)</w:t>
      </w:r>
    </w:p>
    <w:p w:rsidR="002B64A7" w:rsidRDefault="002B64A7" w:rsidP="006A1DFA">
      <w:pPr>
        <w:pStyle w:val="SingleTxtGA"/>
        <w:ind w:left="4649" w:hanging="2721"/>
        <w:rPr>
          <w:rtl/>
        </w:rPr>
      </w:pPr>
      <w:r w:rsidRPr="00D85CC0">
        <w:rPr>
          <w:rFonts w:hint="cs"/>
          <w:i/>
          <w:iCs/>
          <w:rtl/>
        </w:rPr>
        <w:t>الوثائق المرجعية:</w:t>
      </w:r>
      <w:r>
        <w:rPr>
          <w:rFonts w:hint="cs"/>
          <w:rtl/>
        </w:rPr>
        <w:t xml:space="preserve"> </w:t>
      </w:r>
      <w:r>
        <w:tab/>
      </w:r>
      <w:r>
        <w:tab/>
      </w:r>
      <w:r>
        <w:tab/>
      </w:r>
      <w:r>
        <w:rPr>
          <w:rFonts w:hint="cs"/>
          <w:rtl/>
        </w:rPr>
        <w:t>قرار المقرر الخاص بموجب المادة 97 المحال إلى الدولة الطرف في 6 آب/أغسطس 2010</w:t>
      </w:r>
      <w:r w:rsidR="00697FCF">
        <w:rPr>
          <w:rFonts w:hint="cs"/>
          <w:rtl/>
        </w:rPr>
        <w:t xml:space="preserve">        </w:t>
      </w:r>
      <w:r>
        <w:rPr>
          <w:rFonts w:hint="cs"/>
          <w:rtl/>
        </w:rPr>
        <w:t xml:space="preserve"> (لم يصدر في شكل وثيقة)</w:t>
      </w:r>
    </w:p>
    <w:p w:rsidR="002B64A7" w:rsidRPr="00E91C22" w:rsidRDefault="002B64A7" w:rsidP="0014522A">
      <w:pPr>
        <w:pStyle w:val="SingleTxtGA"/>
        <w:ind w:left="1928"/>
        <w:rPr>
          <w:rtl/>
        </w:rPr>
      </w:pPr>
      <w:r w:rsidRPr="00E91C22">
        <w:rPr>
          <w:rFonts w:hint="cs"/>
          <w:i/>
          <w:iCs/>
          <w:rtl/>
        </w:rPr>
        <w:t>تاريخ اعتماد القرار:</w:t>
      </w:r>
      <w:r>
        <w:tab/>
      </w:r>
      <w:r>
        <w:rPr>
          <w:rtl/>
        </w:rPr>
        <w:tab/>
      </w:r>
      <w:r>
        <w:rPr>
          <w:rFonts w:hint="cs"/>
          <w:rtl/>
        </w:rPr>
        <w:t>25</w:t>
      </w:r>
      <w:r w:rsidRPr="00E91C22">
        <w:rPr>
          <w:rFonts w:hint="cs"/>
          <w:rtl/>
        </w:rPr>
        <w:t xml:space="preserve"> آذار/مارس 2014</w:t>
      </w:r>
    </w:p>
    <w:p w:rsidR="002B64A7" w:rsidRDefault="002B64A7" w:rsidP="0014522A">
      <w:pPr>
        <w:pStyle w:val="SingleTxtGA"/>
        <w:ind w:left="1928"/>
        <w:rPr>
          <w:rtl/>
        </w:rPr>
      </w:pPr>
      <w:r w:rsidRPr="00D85CC0">
        <w:rPr>
          <w:rFonts w:hint="cs"/>
          <w:i/>
          <w:iCs/>
          <w:rtl/>
        </w:rPr>
        <w:t>موضوع البلاغ:</w:t>
      </w:r>
      <w:r>
        <w:rPr>
          <w:rFonts w:hint="cs"/>
          <w:rtl/>
        </w:rPr>
        <w:t xml:space="preserve"> </w:t>
      </w:r>
      <w:r>
        <w:rPr>
          <w:rtl/>
        </w:rPr>
        <w:tab/>
      </w:r>
      <w:r>
        <w:rPr>
          <w:rtl/>
        </w:rPr>
        <w:tab/>
      </w:r>
      <w:r>
        <w:rPr>
          <w:rtl/>
        </w:rPr>
        <w:tab/>
      </w:r>
      <w:r>
        <w:rPr>
          <w:rFonts w:hint="cs"/>
          <w:rtl/>
        </w:rPr>
        <w:t>استرداد ملكية</w:t>
      </w:r>
    </w:p>
    <w:p w:rsidR="002B64A7" w:rsidRDefault="002B64A7" w:rsidP="0014522A">
      <w:pPr>
        <w:pStyle w:val="SingleTxtGA"/>
        <w:ind w:left="1928"/>
        <w:rPr>
          <w:rtl/>
        </w:rPr>
      </w:pPr>
      <w:r w:rsidRPr="00AA0EBF">
        <w:rPr>
          <w:rFonts w:hint="cs"/>
          <w:i/>
          <w:iCs/>
          <w:rtl/>
        </w:rPr>
        <w:t>المسائل الإجرائية:</w:t>
      </w:r>
      <w:r>
        <w:rPr>
          <w:rFonts w:hint="cs"/>
          <w:rtl/>
        </w:rPr>
        <w:t xml:space="preserve"> </w:t>
      </w:r>
      <w:r>
        <w:rPr>
          <w:rtl/>
        </w:rPr>
        <w:tab/>
      </w:r>
      <w:r>
        <w:rPr>
          <w:rtl/>
        </w:rPr>
        <w:tab/>
      </w:r>
      <w:r>
        <w:rPr>
          <w:rFonts w:hint="cs"/>
          <w:rtl/>
        </w:rPr>
        <w:t>استنفاد سبل الانتصاف المحلية</w:t>
      </w:r>
    </w:p>
    <w:p w:rsidR="002B64A7" w:rsidRDefault="002B64A7" w:rsidP="0014522A">
      <w:pPr>
        <w:pStyle w:val="SingleTxtGA"/>
        <w:ind w:left="1928"/>
        <w:rPr>
          <w:rtl/>
        </w:rPr>
      </w:pPr>
      <w:r>
        <w:rPr>
          <w:rFonts w:hint="cs"/>
          <w:i/>
          <w:iCs/>
          <w:rtl/>
        </w:rPr>
        <w:t xml:space="preserve">المسائل الموضوعية: </w:t>
      </w:r>
      <w:r>
        <w:rPr>
          <w:i/>
          <w:iCs/>
          <w:rtl/>
        </w:rPr>
        <w:tab/>
      </w:r>
      <w:r>
        <w:rPr>
          <w:i/>
          <w:iCs/>
          <w:rtl/>
        </w:rPr>
        <w:tab/>
      </w:r>
      <w:r w:rsidRPr="00AA0EBF">
        <w:rPr>
          <w:rFonts w:hint="cs"/>
          <w:rtl/>
        </w:rPr>
        <w:t>التمييز؛</w:t>
      </w:r>
      <w:r>
        <w:rPr>
          <w:rFonts w:hint="cs"/>
          <w:i/>
          <w:iCs/>
          <w:rtl/>
        </w:rPr>
        <w:t xml:space="preserve"> </w:t>
      </w:r>
      <w:r>
        <w:rPr>
          <w:rFonts w:hint="cs"/>
          <w:rtl/>
        </w:rPr>
        <w:t>الحق في سبيل انتصاف فعال</w:t>
      </w:r>
    </w:p>
    <w:p w:rsidR="002B64A7" w:rsidRDefault="002B64A7" w:rsidP="0014522A">
      <w:pPr>
        <w:pStyle w:val="SingleTxtGA"/>
        <w:ind w:left="1928"/>
        <w:rPr>
          <w:rtl/>
        </w:rPr>
      </w:pPr>
      <w:r w:rsidRPr="00A81931">
        <w:rPr>
          <w:rFonts w:hint="cs"/>
          <w:i/>
          <w:iCs/>
          <w:rtl/>
        </w:rPr>
        <w:t>مواد العهد:</w:t>
      </w:r>
      <w:r>
        <w:rPr>
          <w:rFonts w:hint="cs"/>
          <w:rtl/>
        </w:rPr>
        <w:t xml:space="preserve"> </w:t>
      </w:r>
      <w:r>
        <w:rPr>
          <w:rtl/>
        </w:rPr>
        <w:tab/>
      </w:r>
      <w:r>
        <w:rPr>
          <w:rtl/>
        </w:rPr>
        <w:tab/>
      </w:r>
      <w:r>
        <w:rPr>
          <w:rtl/>
        </w:rPr>
        <w:tab/>
      </w:r>
      <w:r>
        <w:rPr>
          <w:rFonts w:hint="cs"/>
          <w:rtl/>
        </w:rPr>
        <w:t>المادة 2، الفقرة 3؛ والمادة 26</w:t>
      </w:r>
    </w:p>
    <w:p w:rsidR="002B64A7" w:rsidRDefault="002B64A7" w:rsidP="0014522A">
      <w:pPr>
        <w:pStyle w:val="SingleTxtGA"/>
        <w:ind w:left="1928"/>
        <w:rPr>
          <w:rtl/>
        </w:rPr>
      </w:pPr>
      <w:r w:rsidRPr="00A81931">
        <w:rPr>
          <w:rFonts w:hint="cs"/>
          <w:i/>
          <w:iCs/>
          <w:rtl/>
        </w:rPr>
        <w:t>مادة البروتوكول الاختياري:</w:t>
      </w:r>
      <w:r>
        <w:rPr>
          <w:rFonts w:hint="cs"/>
          <w:rtl/>
        </w:rPr>
        <w:t xml:space="preserve"> </w:t>
      </w:r>
      <w:r>
        <w:rPr>
          <w:rtl/>
        </w:rPr>
        <w:tab/>
      </w:r>
      <w:r>
        <w:rPr>
          <w:rFonts w:hint="cs"/>
          <w:rtl/>
        </w:rPr>
        <w:t>المادة 3</w:t>
      </w:r>
    </w:p>
    <w:p w:rsidR="00244D28" w:rsidRDefault="002B64A7" w:rsidP="007377EA">
      <w:pPr>
        <w:pStyle w:val="SingleTxtGA"/>
        <w:rPr>
          <w:rtl/>
        </w:rPr>
      </w:pPr>
      <w:r>
        <w:rPr>
          <w:rFonts w:hint="cs"/>
          <w:rtl/>
        </w:rPr>
        <w:t>[المرفق]</w:t>
      </w:r>
    </w:p>
    <w:p w:rsidR="002B64A7" w:rsidRDefault="00244D28" w:rsidP="00DD07E0">
      <w:pPr>
        <w:pStyle w:val="HChGA"/>
        <w:spacing w:before="120"/>
        <w:rPr>
          <w:rtl/>
        </w:rPr>
      </w:pPr>
      <w:r>
        <w:rPr>
          <w:rtl/>
        </w:rPr>
        <w:br w:type="page"/>
      </w:r>
      <w:r w:rsidR="002B64A7">
        <w:rPr>
          <w:rFonts w:hint="cs"/>
          <w:rtl/>
        </w:rPr>
        <w:t xml:space="preserve">المرفق </w:t>
      </w:r>
    </w:p>
    <w:p w:rsidR="002B64A7" w:rsidRPr="00596382" w:rsidRDefault="002B64A7" w:rsidP="00244D28">
      <w:pPr>
        <w:pStyle w:val="HChGA"/>
        <w:rPr>
          <w:rtl/>
        </w:rPr>
      </w:pPr>
      <w:r w:rsidRPr="00596382">
        <w:rPr>
          <w:rtl/>
        </w:rPr>
        <w:tab/>
      </w:r>
      <w:r w:rsidR="00244D28">
        <w:rPr>
          <w:rFonts w:hint="cs"/>
          <w:rtl/>
        </w:rPr>
        <w:tab/>
      </w:r>
      <w:r w:rsidRPr="00596382">
        <w:rPr>
          <w:rFonts w:hint="cs"/>
          <w:rtl/>
        </w:rPr>
        <w:t xml:space="preserve">قرار اللجنة المعنية بحقوق الإنسان بموجب البروتوكول الاختياري </w:t>
      </w:r>
      <w:r>
        <w:rPr>
          <w:rFonts w:hint="cs"/>
          <w:rtl/>
        </w:rPr>
        <w:t>الملحق با</w:t>
      </w:r>
      <w:r w:rsidRPr="00596382">
        <w:rPr>
          <w:rFonts w:hint="cs"/>
          <w:rtl/>
        </w:rPr>
        <w:t xml:space="preserve">لعهد الدولي الخاص بالحقوق المدنية والسياسية </w:t>
      </w:r>
      <w:r w:rsidRPr="00244D28">
        <w:rPr>
          <w:rFonts w:hint="cs"/>
          <w:b w:val="0"/>
          <w:bCs w:val="0"/>
          <w:rtl/>
        </w:rPr>
        <w:t>(الدورة العاشرة بعد المائة)</w:t>
      </w:r>
      <w:r w:rsidRPr="00596382">
        <w:rPr>
          <w:rFonts w:hint="cs"/>
          <w:rtl/>
        </w:rPr>
        <w:t xml:space="preserve"> </w:t>
      </w:r>
    </w:p>
    <w:p w:rsidR="002B64A7" w:rsidRDefault="002B64A7" w:rsidP="00D8102C">
      <w:pPr>
        <w:pStyle w:val="SingleTxtGA"/>
        <w:rPr>
          <w:rtl/>
        </w:rPr>
      </w:pPr>
      <w:r>
        <w:rPr>
          <w:rFonts w:hint="cs"/>
          <w:rtl/>
        </w:rPr>
        <w:t>بشأن</w:t>
      </w:r>
    </w:p>
    <w:p w:rsidR="002B64A7" w:rsidRPr="00596382" w:rsidRDefault="002B64A7" w:rsidP="00AC4FB2">
      <w:pPr>
        <w:pStyle w:val="H1GA"/>
        <w:rPr>
          <w:rtl/>
        </w:rPr>
      </w:pPr>
      <w:r w:rsidRPr="00596382">
        <w:rPr>
          <w:rtl/>
        </w:rPr>
        <w:tab/>
      </w:r>
      <w:r w:rsidR="00244D28">
        <w:rPr>
          <w:rFonts w:hint="cs"/>
          <w:rtl/>
        </w:rPr>
        <w:tab/>
      </w:r>
      <w:r w:rsidRPr="00596382">
        <w:rPr>
          <w:rFonts w:hint="cs"/>
          <w:rtl/>
        </w:rPr>
        <w:t>البلاغ رقم</w:t>
      </w:r>
      <w:r w:rsidRPr="00596382">
        <w:rPr>
          <w:rtl/>
        </w:rPr>
        <w:t xml:space="preserve"> 1963/</w:t>
      </w:r>
      <w:r w:rsidR="00275A1C">
        <w:rPr>
          <w:rFonts w:hint="cs"/>
          <w:rtl/>
        </w:rPr>
        <w:t>2010</w:t>
      </w:r>
      <w:r w:rsidR="00DE442D" w:rsidRPr="00AD4943">
        <w:rPr>
          <w:rStyle w:val="FootnoteReference"/>
          <w:b/>
          <w:bCs w:val="0"/>
          <w:sz w:val="20"/>
          <w:vertAlign w:val="baseline"/>
          <w:rtl/>
        </w:rPr>
        <w:footnoteReference w:customMarkFollows="1" w:id="1"/>
        <w:t>*</w:t>
      </w:r>
    </w:p>
    <w:p w:rsidR="00EC65CA" w:rsidRPr="0014522A" w:rsidRDefault="00EC65CA" w:rsidP="00EC65CA">
      <w:pPr>
        <w:pStyle w:val="SingleTxtGA"/>
        <w:ind w:left="1928"/>
        <w:rPr>
          <w:spacing w:val="-6"/>
          <w:rtl/>
        </w:rPr>
      </w:pPr>
      <w:r w:rsidRPr="0014522A">
        <w:rPr>
          <w:rFonts w:hint="cs"/>
          <w:i/>
          <w:iCs/>
          <w:spacing w:val="-6"/>
          <w:rtl/>
        </w:rPr>
        <w:t>المقدم من:</w:t>
      </w:r>
      <w:r w:rsidRPr="0014522A">
        <w:rPr>
          <w:rFonts w:hint="cs"/>
          <w:spacing w:val="-6"/>
          <w:rtl/>
        </w:rPr>
        <w:t xml:space="preserve"> </w:t>
      </w:r>
      <w:r w:rsidRPr="0014522A">
        <w:rPr>
          <w:spacing w:val="-6"/>
        </w:rPr>
        <w:tab/>
      </w:r>
      <w:r w:rsidRPr="0014522A">
        <w:rPr>
          <w:spacing w:val="-6"/>
        </w:rPr>
        <w:tab/>
      </w:r>
      <w:r w:rsidRPr="0014522A">
        <w:rPr>
          <w:spacing w:val="-6"/>
        </w:rPr>
        <w:tab/>
      </w:r>
      <w:r w:rsidRPr="0014522A">
        <w:rPr>
          <w:rFonts w:hint="cs"/>
          <w:spacing w:val="-6"/>
          <w:rtl/>
        </w:rPr>
        <w:t>ت. و. وغ. م. (يمثلهما المحامي إلودوفيت إمراز)</w:t>
      </w:r>
    </w:p>
    <w:p w:rsidR="00EC65CA" w:rsidRDefault="00EC65CA" w:rsidP="00EC65CA">
      <w:pPr>
        <w:pStyle w:val="SingleTxtGA"/>
        <w:ind w:left="1928"/>
        <w:rPr>
          <w:rtl/>
        </w:rPr>
      </w:pPr>
      <w:r w:rsidRPr="00D85CC0">
        <w:rPr>
          <w:rFonts w:hint="cs"/>
          <w:i/>
          <w:iCs/>
          <w:rtl/>
        </w:rPr>
        <w:t>الشخص المدّعى أنه الضحية:</w:t>
      </w:r>
      <w:r>
        <w:rPr>
          <w:rFonts w:hint="cs"/>
          <w:rtl/>
        </w:rPr>
        <w:t xml:space="preserve"> </w:t>
      </w:r>
      <w:r>
        <w:tab/>
      </w:r>
      <w:r>
        <w:rPr>
          <w:rFonts w:hint="cs"/>
          <w:rtl/>
        </w:rPr>
        <w:t>صاحبا البلاغ</w:t>
      </w:r>
    </w:p>
    <w:p w:rsidR="00EC65CA" w:rsidRDefault="00EC65CA" w:rsidP="00EC65CA">
      <w:pPr>
        <w:pStyle w:val="SingleTxtGA"/>
        <w:ind w:left="1928"/>
        <w:rPr>
          <w:rtl/>
        </w:rPr>
      </w:pPr>
      <w:r w:rsidRPr="00D85CC0">
        <w:rPr>
          <w:rFonts w:hint="cs"/>
          <w:i/>
          <w:iCs/>
          <w:rtl/>
        </w:rPr>
        <w:t>الدولة الطرف:</w:t>
      </w:r>
      <w:r>
        <w:rPr>
          <w:rFonts w:hint="cs"/>
          <w:rtl/>
        </w:rPr>
        <w:t xml:space="preserve"> </w:t>
      </w:r>
      <w:r>
        <w:tab/>
      </w:r>
      <w:r>
        <w:tab/>
      </w:r>
      <w:r>
        <w:tab/>
      </w:r>
      <w:r>
        <w:rPr>
          <w:rFonts w:hint="cs"/>
          <w:rtl/>
        </w:rPr>
        <w:t>الجمهورية السلوفاكية</w:t>
      </w:r>
    </w:p>
    <w:p w:rsidR="00EC65CA" w:rsidRPr="00706461" w:rsidRDefault="00EC65CA" w:rsidP="00EC65CA">
      <w:pPr>
        <w:pStyle w:val="SingleTxtGA"/>
        <w:ind w:left="1928"/>
        <w:rPr>
          <w:rFonts w:hint="cs"/>
          <w:spacing w:val="-10"/>
          <w:rtl/>
        </w:rPr>
      </w:pPr>
      <w:r w:rsidRPr="00D85CC0">
        <w:rPr>
          <w:rFonts w:hint="cs"/>
          <w:i/>
          <w:iCs/>
          <w:rtl/>
        </w:rPr>
        <w:t>تاريخ تقديم البلاغ:</w:t>
      </w:r>
      <w:r>
        <w:tab/>
      </w:r>
      <w:r>
        <w:tab/>
      </w:r>
      <w:r w:rsidRPr="00706461">
        <w:rPr>
          <w:rFonts w:hint="cs"/>
          <w:spacing w:val="-10"/>
          <w:rtl/>
        </w:rPr>
        <w:t>23 شباط/فبراير 2009 (تاريخ تقديم الرسالة الأولى)</w:t>
      </w:r>
    </w:p>
    <w:p w:rsidR="002B64A7" w:rsidRDefault="00EC65CA" w:rsidP="00EC65CA">
      <w:pPr>
        <w:pStyle w:val="SingleTxtGA"/>
        <w:rPr>
          <w:rtl/>
        </w:rPr>
      </w:pPr>
      <w:r>
        <w:rPr>
          <w:rFonts w:hint="cs"/>
          <w:rtl/>
        </w:rPr>
        <w:tab/>
      </w:r>
      <w:r w:rsidR="002B64A7" w:rsidRPr="00EC65CA">
        <w:rPr>
          <w:rFonts w:hint="cs"/>
          <w:i/>
          <w:iCs/>
          <w:rtl/>
        </w:rPr>
        <w:t xml:space="preserve">إن </w:t>
      </w:r>
      <w:r w:rsidR="002B64A7">
        <w:rPr>
          <w:rFonts w:hint="cs"/>
          <w:i/>
          <w:iCs/>
          <w:rtl/>
        </w:rPr>
        <w:t xml:space="preserve">اللجنة المعنية بحقوق الإنسان، </w:t>
      </w:r>
      <w:r w:rsidR="002B64A7">
        <w:rPr>
          <w:rFonts w:hint="cs"/>
          <w:rtl/>
        </w:rPr>
        <w:t>المنشأة بموجب المادة 28 من العهد الدولي الخاص بالحقوق المدنية والسياسية،</w:t>
      </w:r>
    </w:p>
    <w:p w:rsidR="002B64A7" w:rsidRDefault="00B91269" w:rsidP="00436801">
      <w:pPr>
        <w:pStyle w:val="SingleTxtGA"/>
        <w:rPr>
          <w:rtl/>
        </w:rPr>
      </w:pPr>
      <w:r>
        <w:rPr>
          <w:rFonts w:hint="cs"/>
          <w:i/>
          <w:iCs/>
          <w:rtl/>
        </w:rPr>
        <w:tab/>
      </w:r>
      <w:r w:rsidR="002B64A7" w:rsidRPr="004202AE">
        <w:rPr>
          <w:rFonts w:hint="cs"/>
          <w:i/>
          <w:iCs/>
          <w:rtl/>
        </w:rPr>
        <w:t>وقد اجتمعت</w:t>
      </w:r>
      <w:r w:rsidR="002B64A7">
        <w:rPr>
          <w:rFonts w:hint="cs"/>
          <w:rtl/>
        </w:rPr>
        <w:t xml:space="preserve"> في 25 آذار/مارس 2014،</w:t>
      </w:r>
    </w:p>
    <w:p w:rsidR="002B64A7" w:rsidRDefault="00B91269" w:rsidP="001A4125">
      <w:pPr>
        <w:pStyle w:val="SingleTxtGA"/>
        <w:rPr>
          <w:rtl/>
        </w:rPr>
      </w:pPr>
      <w:r>
        <w:rPr>
          <w:rFonts w:hint="cs"/>
          <w:i/>
          <w:iCs/>
          <w:rtl/>
        </w:rPr>
        <w:tab/>
      </w:r>
      <w:r w:rsidR="002B64A7" w:rsidRPr="00E91C22">
        <w:rPr>
          <w:rFonts w:hint="cs"/>
          <w:i/>
          <w:iCs/>
          <w:rtl/>
        </w:rPr>
        <w:t>تعتمد</w:t>
      </w:r>
      <w:r w:rsidR="002B64A7">
        <w:rPr>
          <w:rFonts w:hint="cs"/>
          <w:rtl/>
        </w:rPr>
        <w:t xml:space="preserve"> ما يلي: </w:t>
      </w:r>
    </w:p>
    <w:p w:rsidR="002B64A7" w:rsidRPr="00596382" w:rsidRDefault="00B91269" w:rsidP="001A4125">
      <w:pPr>
        <w:pStyle w:val="H1GA"/>
        <w:rPr>
          <w:rtl/>
        </w:rPr>
      </w:pPr>
      <w:r>
        <w:rPr>
          <w:rFonts w:hint="cs"/>
          <w:rtl/>
        </w:rPr>
        <w:tab/>
      </w:r>
      <w:r>
        <w:rPr>
          <w:rFonts w:hint="cs"/>
          <w:rtl/>
        </w:rPr>
        <w:tab/>
      </w:r>
      <w:r w:rsidR="002B64A7" w:rsidRPr="00596382">
        <w:rPr>
          <w:rFonts w:hint="cs"/>
          <w:rtl/>
        </w:rPr>
        <w:t>قرار بشأن المقبولية</w:t>
      </w:r>
    </w:p>
    <w:p w:rsidR="002B64A7" w:rsidRPr="00CA2AC1" w:rsidRDefault="00590698" w:rsidP="000A5E15">
      <w:pPr>
        <w:pStyle w:val="SingleTxtGA"/>
        <w:rPr>
          <w:rtl/>
        </w:rPr>
      </w:pPr>
      <w:r>
        <w:rPr>
          <w:rFonts w:hint="cs"/>
          <w:rtl/>
        </w:rPr>
        <w:t>1-1</w:t>
      </w:r>
      <w:r w:rsidR="00972877">
        <w:rPr>
          <w:rFonts w:hint="cs"/>
          <w:rtl/>
        </w:rPr>
        <w:tab/>
      </w:r>
      <w:r w:rsidR="002B64A7" w:rsidRPr="00CA2AC1">
        <w:rPr>
          <w:rFonts w:hint="cs"/>
          <w:rtl/>
        </w:rPr>
        <w:t>صاحبا البلاغ المؤرخ 23 شباط/فبراير 2009 هما ت.</w:t>
      </w:r>
      <w:r w:rsidR="00927639">
        <w:rPr>
          <w:rFonts w:hint="cs"/>
          <w:rtl/>
        </w:rPr>
        <w:t xml:space="preserve"> </w:t>
      </w:r>
      <w:r w:rsidR="002B64A7" w:rsidRPr="00CA2AC1">
        <w:rPr>
          <w:rFonts w:hint="cs"/>
          <w:rtl/>
        </w:rPr>
        <w:t>و.</w:t>
      </w:r>
      <w:r w:rsidR="002B64A7">
        <w:rPr>
          <w:rFonts w:hint="cs"/>
          <w:rtl/>
        </w:rPr>
        <w:t xml:space="preserve"> المولود في عام </w:t>
      </w:r>
      <w:r w:rsidR="002B64A7" w:rsidRPr="00CA2AC1">
        <w:rPr>
          <w:rFonts w:hint="cs"/>
          <w:rtl/>
        </w:rPr>
        <w:t>1960</w:t>
      </w:r>
      <w:r w:rsidR="002B64A7">
        <w:rPr>
          <w:rFonts w:hint="cs"/>
          <w:rtl/>
        </w:rPr>
        <w:t>،</w:t>
      </w:r>
      <w:r>
        <w:rPr>
          <w:rFonts w:hint="cs"/>
          <w:rtl/>
        </w:rPr>
        <w:t xml:space="preserve">   </w:t>
      </w:r>
      <w:r w:rsidR="002B64A7" w:rsidRPr="00CA2AC1">
        <w:rPr>
          <w:rFonts w:hint="cs"/>
          <w:rtl/>
        </w:rPr>
        <w:t xml:space="preserve"> وغ.</w:t>
      </w:r>
      <w:r w:rsidR="00927639">
        <w:rPr>
          <w:rFonts w:hint="cs"/>
          <w:rtl/>
        </w:rPr>
        <w:t xml:space="preserve"> </w:t>
      </w:r>
      <w:r w:rsidR="002B64A7" w:rsidRPr="00CA2AC1">
        <w:rPr>
          <w:rFonts w:hint="cs"/>
          <w:rtl/>
        </w:rPr>
        <w:t>م.</w:t>
      </w:r>
      <w:r w:rsidR="002B64A7" w:rsidRPr="00170181">
        <w:rPr>
          <w:rFonts w:hint="cs"/>
          <w:rtl/>
        </w:rPr>
        <w:t xml:space="preserve"> </w:t>
      </w:r>
      <w:r w:rsidR="002B64A7">
        <w:rPr>
          <w:rFonts w:hint="cs"/>
          <w:rtl/>
        </w:rPr>
        <w:t xml:space="preserve">المولود في عام </w:t>
      </w:r>
      <w:r w:rsidR="002B64A7" w:rsidRPr="00CA2AC1">
        <w:rPr>
          <w:rFonts w:hint="cs"/>
          <w:rtl/>
        </w:rPr>
        <w:t>1953</w:t>
      </w:r>
      <w:r w:rsidR="002B64A7">
        <w:rPr>
          <w:rFonts w:hint="cs"/>
          <w:rtl/>
        </w:rPr>
        <w:t xml:space="preserve">، وهما مواطنان سلوفاكيان </w:t>
      </w:r>
      <w:r w:rsidR="002B64A7" w:rsidRPr="00CA2AC1">
        <w:rPr>
          <w:rFonts w:hint="cs"/>
          <w:rtl/>
        </w:rPr>
        <w:t xml:space="preserve">يقيمان في الجمهورية السلوفاكية. </w:t>
      </w:r>
      <w:r w:rsidR="002B64A7">
        <w:rPr>
          <w:rFonts w:hint="cs"/>
          <w:rtl/>
        </w:rPr>
        <w:t>ويدّعي صاحبا البلاغ أنهما ضحيتا</w:t>
      </w:r>
      <w:r w:rsidR="002B64A7" w:rsidRPr="00CA2AC1">
        <w:rPr>
          <w:rFonts w:hint="cs"/>
          <w:rtl/>
        </w:rPr>
        <w:t xml:space="preserve"> انتهاك الجمهورية السلوفاكية </w:t>
      </w:r>
      <w:r w:rsidR="002B64A7">
        <w:rPr>
          <w:rFonts w:hint="cs"/>
          <w:rtl/>
        </w:rPr>
        <w:t>ل</w:t>
      </w:r>
      <w:r w:rsidR="002B64A7" w:rsidRPr="00CA2AC1">
        <w:rPr>
          <w:rFonts w:hint="cs"/>
          <w:rtl/>
        </w:rPr>
        <w:t>حق</w:t>
      </w:r>
      <w:r w:rsidR="002B64A7">
        <w:rPr>
          <w:rFonts w:hint="cs"/>
          <w:rtl/>
        </w:rPr>
        <w:t>وق</w:t>
      </w:r>
      <w:r w:rsidR="002B64A7" w:rsidRPr="00CA2AC1">
        <w:rPr>
          <w:rFonts w:hint="cs"/>
          <w:rtl/>
        </w:rPr>
        <w:t>هما المنصوص عليه</w:t>
      </w:r>
      <w:r w:rsidR="002B64A7">
        <w:rPr>
          <w:rFonts w:hint="cs"/>
          <w:rtl/>
        </w:rPr>
        <w:t>ا</w:t>
      </w:r>
      <w:r w:rsidR="002B64A7" w:rsidRPr="00CA2AC1">
        <w:rPr>
          <w:rFonts w:hint="cs"/>
          <w:rtl/>
        </w:rPr>
        <w:t xml:space="preserve"> في</w:t>
      </w:r>
      <w:r w:rsidR="001A4125">
        <w:rPr>
          <w:rFonts w:hint="cs"/>
          <w:rtl/>
        </w:rPr>
        <w:t xml:space="preserve"> </w:t>
      </w:r>
      <w:r w:rsidR="002B64A7" w:rsidRPr="00CA2AC1">
        <w:rPr>
          <w:rFonts w:hint="cs"/>
          <w:rtl/>
        </w:rPr>
        <w:t xml:space="preserve">المادة 26 من العهد الدولي الخاص بالحقوق المدنية والسياسية، </w:t>
      </w:r>
      <w:r w:rsidR="002B64A7">
        <w:rPr>
          <w:rFonts w:hint="cs"/>
          <w:rtl/>
        </w:rPr>
        <w:t>إذ</w:t>
      </w:r>
      <w:r w:rsidR="002B64A7" w:rsidRPr="00CA2AC1">
        <w:rPr>
          <w:rFonts w:hint="cs"/>
          <w:rtl/>
        </w:rPr>
        <w:t xml:space="preserve"> أُجبرا على التخلي عن </w:t>
      </w:r>
      <w:r w:rsidR="002B64A7">
        <w:rPr>
          <w:rFonts w:hint="cs"/>
          <w:rtl/>
        </w:rPr>
        <w:t>ملكيتهما</w:t>
      </w:r>
      <w:r w:rsidR="002B64A7" w:rsidRPr="00CA2AC1">
        <w:rPr>
          <w:rFonts w:hint="cs"/>
          <w:rtl/>
        </w:rPr>
        <w:t xml:space="preserve"> للجمهورية السلوفاكية</w:t>
      </w:r>
      <w:r w:rsidR="00700C98">
        <w:rPr>
          <w:vertAlign w:val="superscript"/>
          <w:rtl/>
        </w:rPr>
        <w:t>(</w:t>
      </w:r>
      <w:r w:rsidR="00700C98">
        <w:rPr>
          <w:rStyle w:val="FootnoteReference"/>
          <w:rtl/>
        </w:rPr>
        <w:footnoteReference w:id="2"/>
      </w:r>
      <w:r w:rsidR="00700C98">
        <w:rPr>
          <w:vertAlign w:val="superscript"/>
          <w:rtl/>
        </w:rPr>
        <w:t>)</w:t>
      </w:r>
      <w:r w:rsidR="002B64A7" w:rsidRPr="00CA2AC1">
        <w:rPr>
          <w:rFonts w:hint="cs"/>
          <w:rtl/>
        </w:rPr>
        <w:t xml:space="preserve">. ويمثلهما المحامي </w:t>
      </w:r>
      <w:r w:rsidR="002B64A7">
        <w:rPr>
          <w:rFonts w:hint="cs"/>
          <w:rtl/>
        </w:rPr>
        <w:t>إ</w:t>
      </w:r>
      <w:r w:rsidR="002B64A7" w:rsidRPr="00CA2AC1">
        <w:rPr>
          <w:rFonts w:hint="cs"/>
          <w:rtl/>
        </w:rPr>
        <w:t xml:space="preserve">لودوفيت </w:t>
      </w:r>
      <w:r w:rsidR="002B64A7">
        <w:rPr>
          <w:rFonts w:hint="cs"/>
          <w:rtl/>
        </w:rPr>
        <w:t>إ</w:t>
      </w:r>
      <w:r w:rsidR="002B64A7" w:rsidRPr="00CA2AC1">
        <w:rPr>
          <w:rFonts w:hint="cs"/>
          <w:rtl/>
        </w:rPr>
        <w:t xml:space="preserve">مراز. </w:t>
      </w:r>
    </w:p>
    <w:p w:rsidR="002B64A7" w:rsidRDefault="00CA5E09" w:rsidP="002F5293">
      <w:pPr>
        <w:pStyle w:val="SingleTxtGA"/>
      </w:pPr>
      <w:r>
        <w:rPr>
          <w:rFonts w:hint="cs"/>
          <w:rtl/>
        </w:rPr>
        <w:t>1-</w:t>
      </w:r>
      <w:r w:rsidR="002F5293">
        <w:rPr>
          <w:rFonts w:hint="cs"/>
          <w:rtl/>
        </w:rPr>
        <w:t>2</w:t>
      </w:r>
      <w:r>
        <w:rPr>
          <w:rFonts w:hint="cs"/>
          <w:rtl/>
        </w:rPr>
        <w:tab/>
      </w:r>
      <w:r w:rsidR="002B64A7">
        <w:rPr>
          <w:rFonts w:hint="cs"/>
          <w:rtl/>
        </w:rPr>
        <w:t xml:space="preserve">وفي 15 كانون الأول/ديسمبر 2010، رفضت اللجنة، عن طريق مقررها الخاص المعني بالبلاغات الجديدة، طلب الدولة الطرف النظر في مقبولية البلاغ بمعزل عن أسسه الموضوعية. </w:t>
      </w:r>
    </w:p>
    <w:p w:rsidR="002B64A7" w:rsidRDefault="008B7217" w:rsidP="008B7217">
      <w:pPr>
        <w:pStyle w:val="H23GA"/>
        <w:rPr>
          <w:rtl/>
        </w:rPr>
      </w:pPr>
      <w:r>
        <w:rPr>
          <w:rFonts w:hint="cs"/>
          <w:rtl/>
        </w:rPr>
        <w:tab/>
      </w:r>
      <w:r>
        <w:rPr>
          <w:rFonts w:hint="cs"/>
          <w:rtl/>
        </w:rPr>
        <w:tab/>
      </w:r>
      <w:r w:rsidR="002B64A7" w:rsidRPr="00596382">
        <w:rPr>
          <w:rFonts w:hint="cs"/>
          <w:rtl/>
        </w:rPr>
        <w:t>الوقائع كما عرضها صاحبا البلاغ</w:t>
      </w:r>
    </w:p>
    <w:p w:rsidR="002B64A7" w:rsidRDefault="002F5293" w:rsidP="00CA5E09">
      <w:pPr>
        <w:pStyle w:val="SingleTxtGA"/>
        <w:rPr>
          <w:rtl/>
        </w:rPr>
      </w:pPr>
      <w:r>
        <w:rPr>
          <w:rFonts w:hint="cs"/>
          <w:rtl/>
        </w:rPr>
        <w:t>2-1</w:t>
      </w:r>
      <w:r w:rsidR="002B64A7">
        <w:rPr>
          <w:rFonts w:hint="cs"/>
          <w:rtl/>
        </w:rPr>
        <w:tab/>
        <w:t>كان أجداد صاحبيْ البلاغ، وهم من عائلة هيرمان، مواطنين سلوفاكيين يدينون باليهودية، وكانوا يملكون مبنىً سكنياً يقع في ترينشيانسكي تيبليس (القطعتان الأرضيتان</w:t>
      </w:r>
      <w:r w:rsidR="008B7217">
        <w:rPr>
          <w:rFonts w:hint="cs"/>
          <w:rtl/>
        </w:rPr>
        <w:t xml:space="preserve">      </w:t>
      </w:r>
      <w:r w:rsidR="002B64A7">
        <w:rPr>
          <w:rFonts w:hint="cs"/>
          <w:rtl/>
        </w:rPr>
        <w:t xml:space="preserve"> رقم 843 و844). وخلال الحرب العالمية الثانية، جُرّدت عائلة هيرمان من ملكية المبنى بموجب تشريع عنصري ورُحّلت إلى مخيمات الاعتقال حيث لقيت حتفها. ويؤكد صاحبا البلاغ أن حقوقهما في الملكية تنبع من حقوق عائلة هيرمان في هذه الملكية. </w:t>
      </w:r>
    </w:p>
    <w:p w:rsidR="002B64A7" w:rsidRDefault="002B64A7" w:rsidP="00F809AB">
      <w:pPr>
        <w:pStyle w:val="SingleTxtGA"/>
        <w:rPr>
          <w:rtl/>
        </w:rPr>
      </w:pPr>
      <w:r>
        <w:rPr>
          <w:rFonts w:hint="cs"/>
          <w:rtl/>
        </w:rPr>
        <w:t>2-2</w:t>
      </w:r>
      <w:r>
        <w:rPr>
          <w:rFonts w:hint="cs"/>
          <w:rtl/>
        </w:rPr>
        <w:tab/>
        <w:t xml:space="preserve">وفي عام 1949، أعلنت محكمة مقاطعة ترينشين بطلان نقل </w:t>
      </w:r>
      <w:r w:rsidRPr="00336A2F">
        <w:rPr>
          <w:rFonts w:hint="cs"/>
          <w:rtl/>
        </w:rPr>
        <w:t>ملكية</w:t>
      </w:r>
      <w:r w:rsidRPr="00336A2F">
        <w:rPr>
          <w:rtl/>
        </w:rPr>
        <w:t xml:space="preserve"> </w:t>
      </w:r>
      <w:r w:rsidRPr="00336A2F">
        <w:rPr>
          <w:rFonts w:hint="cs"/>
          <w:rtl/>
        </w:rPr>
        <w:t>عائلة</w:t>
      </w:r>
      <w:r w:rsidRPr="00336A2F">
        <w:rPr>
          <w:rtl/>
        </w:rPr>
        <w:t xml:space="preserve"> </w:t>
      </w:r>
      <w:r w:rsidRPr="00336A2F">
        <w:rPr>
          <w:rFonts w:hint="cs"/>
          <w:rtl/>
        </w:rPr>
        <w:t>هيرمان</w:t>
      </w:r>
      <w:r w:rsidRPr="00336A2F">
        <w:rPr>
          <w:rtl/>
        </w:rPr>
        <w:t xml:space="preserve"> </w:t>
      </w:r>
      <w:r w:rsidRPr="00336A2F">
        <w:rPr>
          <w:rFonts w:hint="cs"/>
          <w:rtl/>
        </w:rPr>
        <w:t>إلى</w:t>
      </w:r>
      <w:r>
        <w:rPr>
          <w:rtl/>
        </w:rPr>
        <w:t xml:space="preserve"> </w:t>
      </w:r>
      <w:r>
        <w:rPr>
          <w:rFonts w:hint="cs"/>
          <w:rtl/>
        </w:rPr>
        <w:t>س.</w:t>
      </w:r>
      <w:r w:rsidR="00E3225B">
        <w:rPr>
          <w:rFonts w:hint="cs"/>
          <w:rtl/>
        </w:rPr>
        <w:t xml:space="preserve"> </w:t>
      </w:r>
      <w:r>
        <w:rPr>
          <w:rFonts w:hint="cs"/>
          <w:rtl/>
        </w:rPr>
        <w:t>ز. وزوجته. ويقول صاحبا البلاغ إن س.</w:t>
      </w:r>
      <w:r w:rsidR="00451195">
        <w:rPr>
          <w:rFonts w:hint="cs"/>
          <w:rtl/>
        </w:rPr>
        <w:t xml:space="preserve"> </w:t>
      </w:r>
      <w:r>
        <w:rPr>
          <w:rFonts w:hint="cs"/>
          <w:rtl/>
        </w:rPr>
        <w:t>ز. شارك بنشاط في تطبيق التشريع العنصري السالف ذكره</w:t>
      </w:r>
      <w:r w:rsidR="00F83844" w:rsidRPr="00F83844">
        <w:rPr>
          <w:rFonts w:hint="cs"/>
          <w:vertAlign w:val="superscript"/>
          <w:rtl/>
        </w:rPr>
        <w:t>(</w:t>
      </w:r>
      <w:r w:rsidRPr="00F83844">
        <w:rPr>
          <w:rStyle w:val="FootnoteReference"/>
          <w:rFonts w:ascii="Traditional Arabic" w:hAnsi="Traditional Arabic"/>
          <w:sz w:val="30"/>
          <w:rtl/>
        </w:rPr>
        <w:footnoteReference w:id="3"/>
      </w:r>
      <w:r w:rsidR="00F83844" w:rsidRPr="00F83844">
        <w:rPr>
          <w:rFonts w:hint="cs"/>
          <w:vertAlign w:val="superscript"/>
          <w:rtl/>
        </w:rPr>
        <w:t>)</w:t>
      </w:r>
      <w:r>
        <w:rPr>
          <w:rFonts w:hint="cs"/>
          <w:rtl/>
        </w:rPr>
        <w:t>. وفي عام 1951، أكدت محكمة الاستئناف في براتيسلافا قرار محكمة مقاطعة ترينشين</w:t>
      </w:r>
      <w:r w:rsidR="00F83844" w:rsidRPr="00F83844">
        <w:rPr>
          <w:rFonts w:hint="cs"/>
          <w:vertAlign w:val="superscript"/>
          <w:rtl/>
        </w:rPr>
        <w:t>(</w:t>
      </w:r>
      <w:r w:rsidRPr="00F83844">
        <w:rPr>
          <w:rStyle w:val="FootnoteReference"/>
          <w:rFonts w:ascii="Traditional Arabic" w:hAnsi="Traditional Arabic"/>
          <w:sz w:val="30"/>
          <w:rtl/>
        </w:rPr>
        <w:footnoteReference w:id="4"/>
      </w:r>
      <w:r w:rsidR="00F83844" w:rsidRPr="00F83844">
        <w:rPr>
          <w:rFonts w:hint="cs"/>
          <w:vertAlign w:val="superscript"/>
          <w:rtl/>
        </w:rPr>
        <w:t>)</w:t>
      </w:r>
      <w:r>
        <w:rPr>
          <w:rFonts w:hint="cs"/>
          <w:rtl/>
        </w:rPr>
        <w:t>. ومع ذلك، فإن هاتين المحكمتين نفسيهما قبلتا استيلاء س.</w:t>
      </w:r>
      <w:r w:rsidR="00451195">
        <w:rPr>
          <w:rFonts w:hint="cs"/>
          <w:rtl/>
        </w:rPr>
        <w:t xml:space="preserve"> </w:t>
      </w:r>
      <w:r>
        <w:rPr>
          <w:rFonts w:hint="cs"/>
          <w:rtl/>
        </w:rPr>
        <w:t>ز. على الملكية لأن القانون طُبّق وفقاً للإيديولوجية الطبقية السائدة. وأشارت المحكمتان إلى أن</w:t>
      </w:r>
      <w:r w:rsidR="00451195">
        <w:rPr>
          <w:rFonts w:hint="cs"/>
          <w:rtl/>
        </w:rPr>
        <w:t xml:space="preserve">        </w:t>
      </w:r>
      <w:r>
        <w:rPr>
          <w:rFonts w:hint="cs"/>
          <w:rtl/>
        </w:rPr>
        <w:t xml:space="preserve"> س.</w:t>
      </w:r>
      <w:r w:rsidR="008F19B7">
        <w:rPr>
          <w:rFonts w:hint="cs"/>
          <w:rtl/>
        </w:rPr>
        <w:t xml:space="preserve"> </w:t>
      </w:r>
      <w:r>
        <w:rPr>
          <w:rFonts w:hint="cs"/>
          <w:rtl/>
        </w:rPr>
        <w:t xml:space="preserve">ز. يعتمد، بوصفه عاملاً، على السكن في المبنى المذكور، بينما تملك وريثة عائلة هيرمان ثروة ولديها خيارات أخرى للسكن. وأمرت المحكمتان س. ز. بأن يدفع نصف قيمة المبنى لوريثة هيرمان. غير أن هذا الأمر لم يُنفّذ قطّ. </w:t>
      </w:r>
    </w:p>
    <w:p w:rsidR="002B64A7" w:rsidRDefault="00B37B0E" w:rsidP="00B37B0E">
      <w:pPr>
        <w:pStyle w:val="SingleTxtGA"/>
        <w:rPr>
          <w:rtl/>
        </w:rPr>
      </w:pPr>
      <w:r>
        <w:rPr>
          <w:rFonts w:hint="cs"/>
          <w:rtl/>
        </w:rPr>
        <w:t>2-3</w:t>
      </w:r>
      <w:r w:rsidR="002B64A7">
        <w:rPr>
          <w:rFonts w:hint="cs"/>
          <w:rtl/>
        </w:rPr>
        <w:tab/>
        <w:t>وقدّمت م.</w:t>
      </w:r>
      <w:r w:rsidR="00972877">
        <w:rPr>
          <w:rFonts w:hint="cs"/>
          <w:rtl/>
        </w:rPr>
        <w:t xml:space="preserve"> </w:t>
      </w:r>
      <w:r w:rsidR="002B64A7">
        <w:rPr>
          <w:rFonts w:hint="cs"/>
          <w:rtl/>
        </w:rPr>
        <w:t>س. ابنة س.</w:t>
      </w:r>
      <w:r w:rsidR="00F15744">
        <w:rPr>
          <w:rFonts w:hint="cs"/>
          <w:rtl/>
        </w:rPr>
        <w:t xml:space="preserve"> </w:t>
      </w:r>
      <w:r w:rsidR="002B64A7">
        <w:rPr>
          <w:rFonts w:hint="cs"/>
          <w:rtl/>
        </w:rPr>
        <w:t>ز.، طلباً لاسترداد المبنى بموجب القانون رقم 87/1991. ويقيم صاحبا البلاغ شكواهما على إجراءات قضائية كانت م.</w:t>
      </w:r>
      <w:r w:rsidR="00451195">
        <w:rPr>
          <w:rFonts w:hint="cs"/>
          <w:rtl/>
        </w:rPr>
        <w:t xml:space="preserve"> </w:t>
      </w:r>
      <w:r w:rsidR="002B64A7">
        <w:rPr>
          <w:rFonts w:hint="cs"/>
          <w:rtl/>
        </w:rPr>
        <w:t>س. طرفاً فيها. وفي 14 أيلول/سبتمبر 1994، رفضت محكمة الاستئناف في براتيسلافا طلب م.</w:t>
      </w:r>
      <w:r w:rsidR="00B5327F">
        <w:rPr>
          <w:rFonts w:hint="cs"/>
          <w:rtl/>
        </w:rPr>
        <w:t xml:space="preserve"> س.</w:t>
      </w:r>
      <w:r w:rsidR="00FE05AA" w:rsidRPr="002F6D06">
        <w:rPr>
          <w:rFonts w:hint="cs"/>
          <w:sz w:val="28"/>
          <w:szCs w:val="28"/>
          <w:vertAlign w:val="superscript"/>
          <w:rtl/>
        </w:rPr>
        <w:t>(</w:t>
      </w:r>
      <w:r w:rsidR="002B64A7" w:rsidRPr="002F6D06">
        <w:rPr>
          <w:rStyle w:val="FootnoteReference"/>
          <w:rFonts w:ascii="Traditional Arabic" w:hAnsi="Traditional Arabic"/>
          <w:sz w:val="28"/>
          <w:rtl/>
        </w:rPr>
        <w:footnoteReference w:id="5"/>
      </w:r>
      <w:r w:rsidR="00FE05AA" w:rsidRPr="002F6D06">
        <w:rPr>
          <w:rFonts w:hint="cs"/>
          <w:sz w:val="28"/>
          <w:szCs w:val="28"/>
          <w:vertAlign w:val="superscript"/>
          <w:rtl/>
        </w:rPr>
        <w:t>)</w:t>
      </w:r>
      <w:r w:rsidR="002B64A7">
        <w:rPr>
          <w:rFonts w:hint="cs"/>
          <w:rtl/>
        </w:rPr>
        <w:t xml:space="preserve">، مستندةً في ذلك إلى حقيقة ترحيل عائلة هيرمان بموجب </w:t>
      </w:r>
      <w:r w:rsidR="002B64A7" w:rsidRPr="006C17C5">
        <w:rPr>
          <w:rFonts w:hint="cs"/>
          <w:rtl/>
        </w:rPr>
        <w:t xml:space="preserve">تشريع عنصري طُبق </w:t>
      </w:r>
      <w:r w:rsidR="002B64A7">
        <w:rPr>
          <w:rFonts w:hint="cs"/>
          <w:rtl/>
        </w:rPr>
        <w:t>في حق</w:t>
      </w:r>
      <w:r w:rsidR="002B64A7" w:rsidRPr="006C17C5">
        <w:rPr>
          <w:rFonts w:hint="cs"/>
          <w:rtl/>
        </w:rPr>
        <w:t xml:space="preserve"> اليهود </w:t>
      </w:r>
      <w:r w:rsidR="002B64A7">
        <w:rPr>
          <w:rFonts w:hint="cs"/>
          <w:rtl/>
        </w:rPr>
        <w:t xml:space="preserve">وإلى مشاركة </w:t>
      </w:r>
      <w:r w:rsidR="002B64A7" w:rsidRPr="006C17C5">
        <w:rPr>
          <w:rFonts w:hint="cs"/>
          <w:rtl/>
        </w:rPr>
        <w:t>س.</w:t>
      </w:r>
      <w:r w:rsidR="00451195">
        <w:rPr>
          <w:rFonts w:hint="cs"/>
          <w:rtl/>
        </w:rPr>
        <w:t xml:space="preserve"> </w:t>
      </w:r>
      <w:r w:rsidR="002B64A7" w:rsidRPr="006C17C5">
        <w:rPr>
          <w:rFonts w:hint="cs"/>
          <w:rtl/>
        </w:rPr>
        <w:t xml:space="preserve">ز. بنشاط في عملية الترحيل. ولكن المدعي العام </w:t>
      </w:r>
      <w:r w:rsidR="002B64A7">
        <w:rPr>
          <w:rFonts w:hint="cs"/>
          <w:rtl/>
        </w:rPr>
        <w:t>اعترض</w:t>
      </w:r>
      <w:r w:rsidR="002B64A7" w:rsidRPr="006C17C5">
        <w:rPr>
          <w:rFonts w:hint="cs"/>
          <w:rtl/>
        </w:rPr>
        <w:t xml:space="preserve"> </w:t>
      </w:r>
      <w:r w:rsidR="002B64A7">
        <w:rPr>
          <w:rFonts w:hint="cs"/>
          <w:rtl/>
        </w:rPr>
        <w:t>بعد ذلك على قرار محكمة الاستئناف فقدّم طعناً في النقاط القانونية</w:t>
      </w:r>
      <w:r w:rsidR="000E4F58" w:rsidRPr="000E4F58">
        <w:rPr>
          <w:rFonts w:hint="cs"/>
          <w:vertAlign w:val="superscript"/>
          <w:rtl/>
        </w:rPr>
        <w:t>(</w:t>
      </w:r>
      <w:r w:rsidR="002B64A7" w:rsidRPr="000E4F58">
        <w:rPr>
          <w:rStyle w:val="FootnoteReference"/>
          <w:rFonts w:ascii="Traditional Arabic" w:hAnsi="Traditional Arabic"/>
          <w:sz w:val="30"/>
          <w:rtl/>
        </w:rPr>
        <w:footnoteReference w:id="6"/>
      </w:r>
      <w:r w:rsidR="000E4F58" w:rsidRPr="000E4F58">
        <w:rPr>
          <w:rFonts w:hint="cs"/>
          <w:vertAlign w:val="superscript"/>
          <w:rtl/>
        </w:rPr>
        <w:t>)</w:t>
      </w:r>
      <w:r w:rsidR="002B64A7">
        <w:rPr>
          <w:rFonts w:hint="cs"/>
          <w:rtl/>
        </w:rPr>
        <w:t>. واستند هذا الطعن إلى الادعاء أن القانون الذي أجاز للسيدة م.</w:t>
      </w:r>
      <w:r w:rsidR="00451195">
        <w:rPr>
          <w:rFonts w:hint="cs"/>
          <w:rtl/>
        </w:rPr>
        <w:t xml:space="preserve"> </w:t>
      </w:r>
      <w:r w:rsidR="002B64A7">
        <w:rPr>
          <w:rFonts w:hint="cs"/>
          <w:rtl/>
        </w:rPr>
        <w:t>س. استرجاع الملكية يتضمن حكماً ينص على عدم سريانه في حالة الاستيلاء على الملكية المعنية بواسطة تطبيق تشريع عنصري</w:t>
      </w:r>
      <w:r w:rsidR="00623571" w:rsidRPr="00623571">
        <w:rPr>
          <w:rFonts w:hint="cs"/>
          <w:vertAlign w:val="superscript"/>
          <w:rtl/>
        </w:rPr>
        <w:t>(</w:t>
      </w:r>
      <w:r w:rsidR="002B64A7" w:rsidRPr="00623571">
        <w:rPr>
          <w:rStyle w:val="FootnoteReference"/>
          <w:rFonts w:ascii="Traditional Arabic" w:hAnsi="Traditional Arabic"/>
          <w:sz w:val="30"/>
          <w:rtl/>
        </w:rPr>
        <w:footnoteReference w:id="7"/>
      </w:r>
      <w:r w:rsidR="00623571" w:rsidRPr="00623571">
        <w:rPr>
          <w:rFonts w:hint="cs"/>
          <w:vertAlign w:val="superscript"/>
          <w:rtl/>
        </w:rPr>
        <w:t>)</w:t>
      </w:r>
      <w:r w:rsidR="002B64A7">
        <w:rPr>
          <w:rFonts w:hint="cs"/>
          <w:rtl/>
        </w:rPr>
        <w:t>. وفي 17 كانون الأول/</w:t>
      </w:r>
      <w:r w:rsidR="00A353DD">
        <w:rPr>
          <w:rFonts w:hint="cs"/>
          <w:rtl/>
        </w:rPr>
        <w:t xml:space="preserve">  </w:t>
      </w:r>
      <w:r w:rsidR="002B64A7">
        <w:rPr>
          <w:rFonts w:hint="cs"/>
          <w:rtl/>
        </w:rPr>
        <w:t>ديسمبر 1996، رفضت المحكمة العليا</w:t>
      </w:r>
      <w:r w:rsidR="002B64A7" w:rsidRPr="00EF3705">
        <w:rPr>
          <w:rFonts w:hint="cs"/>
          <w:rtl/>
        </w:rPr>
        <w:t xml:space="preserve"> </w:t>
      </w:r>
      <w:r w:rsidR="002B64A7">
        <w:rPr>
          <w:rFonts w:hint="cs"/>
          <w:rtl/>
        </w:rPr>
        <w:t>الطعن الذي قدمه المدعي العام</w:t>
      </w:r>
      <w:r w:rsidR="00623571" w:rsidRPr="00A353DD">
        <w:rPr>
          <w:rFonts w:hint="cs"/>
          <w:sz w:val="28"/>
          <w:szCs w:val="28"/>
          <w:vertAlign w:val="superscript"/>
          <w:rtl/>
        </w:rPr>
        <w:t>(</w:t>
      </w:r>
      <w:r w:rsidR="002B64A7" w:rsidRPr="00A353DD">
        <w:rPr>
          <w:rStyle w:val="FootnoteReference"/>
          <w:rFonts w:ascii="Traditional Arabic" w:hAnsi="Traditional Arabic"/>
          <w:sz w:val="28"/>
          <w:rtl/>
        </w:rPr>
        <w:footnoteReference w:id="8"/>
      </w:r>
      <w:r w:rsidR="00623571" w:rsidRPr="00A353DD">
        <w:rPr>
          <w:rFonts w:hint="cs"/>
          <w:sz w:val="28"/>
          <w:szCs w:val="28"/>
          <w:vertAlign w:val="superscript"/>
          <w:rtl/>
        </w:rPr>
        <w:t>)</w:t>
      </w:r>
      <w:r w:rsidR="002B64A7">
        <w:rPr>
          <w:rFonts w:hint="cs"/>
          <w:rtl/>
        </w:rPr>
        <w:t>، بالاستناد إلى قرار صادر عن المحكمة الدستورية</w:t>
      </w:r>
      <w:r w:rsidR="00A353DD" w:rsidRPr="00A353DD">
        <w:rPr>
          <w:rFonts w:hint="cs"/>
          <w:vertAlign w:val="superscript"/>
          <w:rtl/>
        </w:rPr>
        <w:t>(</w:t>
      </w:r>
      <w:r w:rsidR="002B64A7" w:rsidRPr="00A353DD">
        <w:rPr>
          <w:rStyle w:val="FootnoteReference"/>
          <w:rFonts w:ascii="Traditional Arabic" w:hAnsi="Traditional Arabic"/>
          <w:sz w:val="30"/>
          <w:rtl/>
        </w:rPr>
        <w:footnoteReference w:id="9"/>
      </w:r>
      <w:r w:rsidR="00A353DD" w:rsidRPr="00A353DD">
        <w:rPr>
          <w:rFonts w:hint="cs"/>
          <w:vertAlign w:val="superscript"/>
          <w:rtl/>
        </w:rPr>
        <w:t>)</w:t>
      </w:r>
      <w:r w:rsidR="002B64A7">
        <w:rPr>
          <w:rFonts w:hint="cs"/>
          <w:rtl/>
        </w:rPr>
        <w:t xml:space="preserve">. </w:t>
      </w:r>
    </w:p>
    <w:p w:rsidR="002B64A7" w:rsidRDefault="002B64A7" w:rsidP="00E43D3D">
      <w:pPr>
        <w:pStyle w:val="SingleTxtGA"/>
        <w:rPr>
          <w:rtl/>
        </w:rPr>
      </w:pPr>
      <w:r>
        <w:rPr>
          <w:rFonts w:hint="cs"/>
          <w:rtl/>
        </w:rPr>
        <w:t>2-4</w:t>
      </w:r>
      <w:r>
        <w:rPr>
          <w:rFonts w:hint="cs"/>
          <w:rtl/>
        </w:rPr>
        <w:tab/>
        <w:t>وعرضت م.</w:t>
      </w:r>
      <w:r w:rsidR="00451195">
        <w:rPr>
          <w:rFonts w:hint="cs"/>
          <w:rtl/>
        </w:rPr>
        <w:t xml:space="preserve"> </w:t>
      </w:r>
      <w:r>
        <w:rPr>
          <w:rFonts w:hint="cs"/>
          <w:rtl/>
        </w:rPr>
        <w:t>س. الملكية المعنية للبيع وحددت</w:t>
      </w:r>
      <w:r>
        <w:t xml:space="preserve"> </w:t>
      </w:r>
      <w:r>
        <w:rPr>
          <w:rFonts w:hint="cs"/>
          <w:rtl/>
        </w:rPr>
        <w:t>لها ثمناً قدره 16 مليون كرونة سلوفاكية. وفي عام 2004، رفضت محكمة مقاطعة ترينشين مطالبة صاحبيْ البلاغ، وهما خليفتا عائلة هيرمان في المصلحة، بنصف عائدات بيع المبنى</w:t>
      </w:r>
      <w:r w:rsidR="00231908" w:rsidRPr="00231908">
        <w:rPr>
          <w:rFonts w:hint="cs"/>
          <w:vertAlign w:val="superscript"/>
          <w:rtl/>
        </w:rPr>
        <w:t>(</w:t>
      </w:r>
      <w:r w:rsidRPr="00231908">
        <w:rPr>
          <w:rStyle w:val="FootnoteReference"/>
          <w:rFonts w:ascii="Traditional Arabic" w:hAnsi="Traditional Arabic"/>
          <w:sz w:val="30"/>
          <w:rtl/>
        </w:rPr>
        <w:footnoteReference w:id="10"/>
      </w:r>
      <w:r w:rsidR="00231908" w:rsidRPr="00231908">
        <w:rPr>
          <w:rFonts w:hint="cs"/>
          <w:vertAlign w:val="superscript"/>
          <w:rtl/>
        </w:rPr>
        <w:t>)</w:t>
      </w:r>
      <w:r>
        <w:rPr>
          <w:rFonts w:hint="cs"/>
          <w:rtl/>
        </w:rPr>
        <w:t>. وفي عام 2005، رفضت محكمة الاستئناف الطعن الذي قدّمه صاحبا البلاغ وحكمت عليهما بدفع تكاليف الدعوى</w:t>
      </w:r>
      <w:r w:rsidR="004B73FD" w:rsidRPr="004B73FD">
        <w:rPr>
          <w:rFonts w:hint="cs"/>
          <w:sz w:val="28"/>
          <w:szCs w:val="28"/>
          <w:vertAlign w:val="superscript"/>
          <w:rtl/>
        </w:rPr>
        <w:t>(</w:t>
      </w:r>
      <w:r w:rsidRPr="004B73FD">
        <w:rPr>
          <w:rStyle w:val="FootnoteReference"/>
          <w:rFonts w:ascii="Traditional Arabic" w:hAnsi="Traditional Arabic"/>
          <w:sz w:val="28"/>
          <w:rtl/>
        </w:rPr>
        <w:footnoteReference w:id="11"/>
      </w:r>
      <w:r w:rsidR="004B73FD" w:rsidRPr="004B73FD">
        <w:rPr>
          <w:rFonts w:hint="cs"/>
          <w:sz w:val="28"/>
          <w:szCs w:val="28"/>
          <w:vertAlign w:val="superscript"/>
          <w:rtl/>
        </w:rPr>
        <w:t>)</w:t>
      </w:r>
      <w:r>
        <w:rPr>
          <w:rFonts w:hint="cs"/>
          <w:rtl/>
        </w:rPr>
        <w:t>. وفي عام 2006، رفض المدعي العام طلب صاحبيْ البلاغ الطعن في النقاط القانونية. وفي 9 حزيران/يونيه 2006، رفع صاحبا البلاغ شكوى إلى المحكمة الدستورية. وفي 22 تشرين الثاني/نوفمبر 2006، أُعلن عن عدم مقبولية الشكوى</w:t>
      </w:r>
      <w:r w:rsidR="00E43D3D">
        <w:rPr>
          <w:rFonts w:hint="cs"/>
          <w:rtl/>
        </w:rPr>
        <w:t xml:space="preserve"> </w:t>
      </w:r>
      <w:r>
        <w:rPr>
          <w:rFonts w:hint="cs"/>
          <w:rtl/>
        </w:rPr>
        <w:t xml:space="preserve">بسبب أنها لم تُرفع خلال المهلة القانونية المطبقة. </w:t>
      </w:r>
    </w:p>
    <w:p w:rsidR="002B64A7" w:rsidRDefault="009C6E82" w:rsidP="009C6E82">
      <w:pPr>
        <w:pStyle w:val="H23GA"/>
        <w:rPr>
          <w:rtl/>
        </w:rPr>
      </w:pPr>
      <w:r>
        <w:rPr>
          <w:rFonts w:hint="cs"/>
          <w:rtl/>
        </w:rPr>
        <w:tab/>
      </w:r>
      <w:r>
        <w:rPr>
          <w:rFonts w:hint="cs"/>
          <w:rtl/>
        </w:rPr>
        <w:tab/>
      </w:r>
      <w:r w:rsidR="002B64A7">
        <w:rPr>
          <w:rFonts w:hint="cs"/>
          <w:rtl/>
        </w:rPr>
        <w:t xml:space="preserve">الشكوى </w:t>
      </w:r>
    </w:p>
    <w:p w:rsidR="002B64A7" w:rsidRDefault="002B64A7" w:rsidP="001F1619">
      <w:pPr>
        <w:pStyle w:val="SingleTxtGA"/>
      </w:pPr>
      <w:r>
        <w:rPr>
          <w:rFonts w:hint="cs"/>
          <w:rtl/>
        </w:rPr>
        <w:t>3-1</w:t>
      </w:r>
      <w:r>
        <w:rPr>
          <w:rtl/>
        </w:rPr>
        <w:tab/>
      </w:r>
      <w:r>
        <w:rPr>
          <w:rFonts w:hint="cs"/>
          <w:rtl/>
        </w:rPr>
        <w:t xml:space="preserve">يدّعي صاحبا البلاغ أن رفض الدولة الطرف السماح لهما بالاستشهاد بالقانون </w:t>
      </w:r>
      <w:r w:rsidR="00C27E09">
        <w:rPr>
          <w:rFonts w:hint="cs"/>
          <w:rtl/>
        </w:rPr>
        <w:t xml:space="preserve"> </w:t>
      </w:r>
      <w:r>
        <w:rPr>
          <w:rFonts w:hint="cs"/>
          <w:rtl/>
        </w:rPr>
        <w:t>رقم 87/1991 المتعلق باسترداد الملكية يمثل انتهاكاً لحقوقهما المنصوص عليها في المادة 26 من العهد، خاصةً أنه سُمح بذلك للسيدة م.</w:t>
      </w:r>
      <w:r w:rsidR="00451195">
        <w:rPr>
          <w:rFonts w:hint="cs"/>
          <w:rtl/>
        </w:rPr>
        <w:t xml:space="preserve"> </w:t>
      </w:r>
      <w:r>
        <w:rPr>
          <w:rFonts w:hint="cs"/>
          <w:rtl/>
        </w:rPr>
        <w:t>س. التي كانت هي نفسها ضحية للتجريد من الملكية خلال النظام الشيوعي/الفاشي في ظروف مماثلة للظروف الذي يواجهها صاحبا البلاغ. ويؤكد صاحبا البلاغ، علاوةً على ذلك، أن المحكمتين أمرتا برد الملكية إلى وريثة أشخاص اكتسبوها من خلال تشريع يميِّز في حق اليهود وأن أحد هؤلاء الأشخاص</w:t>
      </w:r>
      <w:r w:rsidRPr="00DD0F65">
        <w:rPr>
          <w:rFonts w:hint="cs"/>
          <w:rtl/>
        </w:rPr>
        <w:t xml:space="preserve"> </w:t>
      </w:r>
      <w:r>
        <w:rPr>
          <w:rFonts w:hint="cs"/>
          <w:rtl/>
        </w:rPr>
        <w:t>قد شارك بنشاط في إبادة اليهود. ويؤكد صاحبا البلاغ أن محكمة الاستئناف في براتيسلافا أشارت إلى هذه الوقائع. واحتج صاحبا البلاغ أيضاً بأن القانون الدولي يدعو إلى رد الملكية إلى أصحابها الشرعيين عندما يكون قد تم الاستيلاء عليها بوسائل غير مشروعة</w:t>
      </w:r>
      <w:r w:rsidR="007268E5" w:rsidRPr="007268E5">
        <w:rPr>
          <w:rFonts w:hint="cs"/>
          <w:sz w:val="28"/>
          <w:szCs w:val="28"/>
          <w:vertAlign w:val="superscript"/>
          <w:rtl/>
        </w:rPr>
        <w:t>(</w:t>
      </w:r>
      <w:r w:rsidRPr="007268E5">
        <w:rPr>
          <w:rStyle w:val="FootnoteReference"/>
          <w:rFonts w:ascii="Traditional Arabic" w:hAnsi="Traditional Arabic"/>
          <w:sz w:val="28"/>
          <w:rtl/>
        </w:rPr>
        <w:footnoteReference w:id="12"/>
      </w:r>
      <w:r w:rsidR="007268E5" w:rsidRPr="007268E5">
        <w:rPr>
          <w:rFonts w:hint="cs"/>
          <w:sz w:val="28"/>
          <w:szCs w:val="28"/>
          <w:vertAlign w:val="superscript"/>
          <w:rtl/>
        </w:rPr>
        <w:t>)</w:t>
      </w:r>
      <w:r>
        <w:rPr>
          <w:rFonts w:hint="cs"/>
          <w:rtl/>
        </w:rPr>
        <w:t xml:space="preserve">. </w:t>
      </w:r>
    </w:p>
    <w:p w:rsidR="00605D7F" w:rsidRDefault="002B64A7" w:rsidP="001F1619">
      <w:pPr>
        <w:pStyle w:val="SingleTxtGA"/>
        <w:rPr>
          <w:rtl/>
        </w:rPr>
      </w:pPr>
      <w:r>
        <w:rPr>
          <w:rFonts w:hint="cs"/>
          <w:rtl/>
        </w:rPr>
        <w:t>3-2</w:t>
      </w:r>
      <w:r>
        <w:rPr>
          <w:rFonts w:hint="cs"/>
          <w:rtl/>
        </w:rPr>
        <w:tab/>
        <w:t>ويدّعي صاحبا البلاغ أيضاً أن المحكمة الدستورية انتهكت حقهما في سبيل انتصاف فعال بموجب الفقرة 3 من المادة 2 من العهد بإعلانها عدم مقبولية شكواهما بدعوى أنها رُفعت بعد انقضاء مهلة الشهرين القانونية</w:t>
      </w:r>
      <w:r w:rsidR="00051D24" w:rsidRPr="00051D24">
        <w:rPr>
          <w:rFonts w:hint="cs"/>
          <w:sz w:val="28"/>
          <w:szCs w:val="28"/>
          <w:vertAlign w:val="superscript"/>
          <w:rtl/>
        </w:rPr>
        <w:t>(</w:t>
      </w:r>
      <w:r w:rsidRPr="00051D24">
        <w:rPr>
          <w:rStyle w:val="FootnoteReference"/>
          <w:rFonts w:ascii="Traditional Arabic" w:hAnsi="Traditional Arabic"/>
          <w:sz w:val="28"/>
          <w:rtl/>
        </w:rPr>
        <w:footnoteReference w:id="13"/>
      </w:r>
      <w:r w:rsidR="00051D24" w:rsidRPr="00051D24">
        <w:rPr>
          <w:rFonts w:hint="cs"/>
          <w:sz w:val="28"/>
          <w:szCs w:val="28"/>
          <w:vertAlign w:val="superscript"/>
          <w:rtl/>
        </w:rPr>
        <w:t>)</w:t>
      </w:r>
      <w:r>
        <w:rPr>
          <w:rFonts w:hint="cs"/>
          <w:rtl/>
        </w:rPr>
        <w:t>. ويتمسك صاحبا البلاغ بالقول إنهما تقيّدا بالمهلة المحددة، إذ إنهما أُخطرا في 12 نيسان/أبريل 2006 بقرار المدعي العام بعدم تقديم طعن في النقاط القانونية، ورفعا شكواهما في 9 حزيران/يونيه 2006. ويؤكد صاحبا البلاغ أن المحكمة الدستورية رأت خطأً أن المهلة القانونية تبدأ في السريان عندما يصدر القرار القضائي بشأن الأسس الموضوعية (وليس عندما يُرفض طلب المدعي العام بالطعن في النقاط القانونية)</w:t>
      </w:r>
      <w:r w:rsidR="00AF6470" w:rsidRPr="00AF6470">
        <w:rPr>
          <w:rFonts w:hint="cs"/>
          <w:sz w:val="28"/>
          <w:szCs w:val="28"/>
          <w:vertAlign w:val="superscript"/>
          <w:rtl/>
        </w:rPr>
        <w:t>(</w:t>
      </w:r>
      <w:r w:rsidRPr="00AF6470">
        <w:rPr>
          <w:rStyle w:val="FootnoteReference"/>
          <w:rFonts w:ascii="Traditional Arabic" w:hAnsi="Traditional Arabic"/>
          <w:sz w:val="28"/>
          <w:rtl/>
        </w:rPr>
        <w:footnoteReference w:id="14"/>
      </w:r>
      <w:r w:rsidR="00AF6470" w:rsidRPr="00AF6470">
        <w:rPr>
          <w:rFonts w:hint="cs"/>
          <w:sz w:val="28"/>
          <w:szCs w:val="28"/>
          <w:vertAlign w:val="superscript"/>
          <w:rtl/>
        </w:rPr>
        <w:t>)</w:t>
      </w:r>
      <w:r>
        <w:rPr>
          <w:rFonts w:hint="cs"/>
          <w:rtl/>
        </w:rPr>
        <w:t>. وأفاد صاحبا البلاغ بأن المحكمة الدستورية نفسها أشارت في قرارها إلى أن المهلة القانونية يمكن أن تبدأ في السريان عندما تُصدر سلطة عامة بلاغاً. ويتمسك صاحبا البلاغ بالقول إن قرار عدم المقبولية الصادر عن المحكمة الدستورية ينتهك حقوقهما الأساسية بمعاقبتهما على التماس تدخل المدعي العام. ويؤكد صاحبا البلاغ كذلك أن المحكمة الدستورية لم تأخذ في الاعتبار أنهما حاولا إبطال القرارات القضائية الصادرة في حقهما باللجوء إلى مكتب المدعي العام. وادّعيا أيضاً أن مبدأ التوقعات المشروعة قد انتُهك لأن الدولة الطرف جعلتهما يمنّيان نفسيهما بتوقعات معقولة بفتح الإجراءات عن طريق مكتب المدعي العام</w:t>
      </w:r>
      <w:r w:rsidR="00AF6470" w:rsidRPr="00AF6470">
        <w:rPr>
          <w:rFonts w:hint="cs"/>
          <w:sz w:val="28"/>
          <w:szCs w:val="28"/>
          <w:vertAlign w:val="superscript"/>
          <w:rtl/>
        </w:rPr>
        <w:t>(</w:t>
      </w:r>
      <w:r w:rsidRPr="00AF6470">
        <w:rPr>
          <w:rStyle w:val="FootnoteReference"/>
          <w:rFonts w:ascii="Traditional Arabic" w:hAnsi="Traditional Arabic"/>
          <w:sz w:val="28"/>
          <w:rtl/>
        </w:rPr>
        <w:footnoteReference w:id="15"/>
      </w:r>
      <w:r w:rsidR="00AF6470" w:rsidRPr="00AF6470">
        <w:rPr>
          <w:rFonts w:hint="cs"/>
          <w:sz w:val="28"/>
          <w:szCs w:val="28"/>
          <w:vertAlign w:val="superscript"/>
          <w:rtl/>
        </w:rPr>
        <w:t>)</w:t>
      </w:r>
      <w:r>
        <w:rPr>
          <w:rFonts w:hint="cs"/>
          <w:rtl/>
        </w:rPr>
        <w:t>. وأفاد صاحبا البلاغ بأنهما لم يتمكنا من الطعن لدى المحكمة الدستورية قبل صدور القرار النهائي للمدعي العام. وادّعيا أن المدعي العام قدم طعناً إلى المحكمة العليا في عام 1996 بشأن المسألة نفسها. لذلك، يرى صاحبا البلاغ أنهما استنفدا جميع سبل الانتصاف المحلية المتاحة</w:t>
      </w:r>
      <w:r w:rsidR="00AF6470" w:rsidRPr="00AF6470">
        <w:rPr>
          <w:rFonts w:hint="cs"/>
          <w:sz w:val="28"/>
          <w:szCs w:val="28"/>
          <w:vertAlign w:val="superscript"/>
          <w:rtl/>
        </w:rPr>
        <w:t>(</w:t>
      </w:r>
      <w:r w:rsidRPr="00AF6470">
        <w:rPr>
          <w:rStyle w:val="FootnoteReference"/>
          <w:rFonts w:ascii="Traditional Arabic" w:hAnsi="Traditional Arabic"/>
          <w:sz w:val="28"/>
          <w:rtl/>
        </w:rPr>
        <w:footnoteReference w:id="16"/>
      </w:r>
      <w:r w:rsidR="00AF6470" w:rsidRPr="00AF6470">
        <w:rPr>
          <w:rFonts w:hint="cs"/>
          <w:sz w:val="28"/>
          <w:szCs w:val="28"/>
          <w:vertAlign w:val="superscript"/>
          <w:rtl/>
        </w:rPr>
        <w:t>)</w:t>
      </w:r>
      <w:r>
        <w:rPr>
          <w:rFonts w:hint="cs"/>
          <w:rtl/>
        </w:rPr>
        <w:t>.</w:t>
      </w:r>
    </w:p>
    <w:p w:rsidR="002B64A7" w:rsidRDefault="00605D7F" w:rsidP="00605D7F">
      <w:pPr>
        <w:pStyle w:val="H23GA"/>
        <w:rPr>
          <w:rtl/>
        </w:rPr>
      </w:pPr>
      <w:r>
        <w:rPr>
          <w:rtl/>
        </w:rPr>
        <w:br w:type="page"/>
      </w:r>
      <w:r>
        <w:rPr>
          <w:rFonts w:hint="cs"/>
          <w:rtl/>
        </w:rPr>
        <w:tab/>
      </w:r>
      <w:r>
        <w:rPr>
          <w:rFonts w:hint="cs"/>
          <w:rtl/>
        </w:rPr>
        <w:tab/>
      </w:r>
      <w:r w:rsidR="002B64A7">
        <w:rPr>
          <w:rFonts w:hint="cs"/>
          <w:rtl/>
        </w:rPr>
        <w:t>ملاحظات الدولة الطرف بشأن مقبولة البلاغ</w:t>
      </w:r>
    </w:p>
    <w:p w:rsidR="002B64A7" w:rsidRDefault="002B64A7" w:rsidP="001F1619">
      <w:pPr>
        <w:pStyle w:val="SingleTxtGA"/>
        <w:rPr>
          <w:rtl/>
        </w:rPr>
      </w:pPr>
      <w:r>
        <w:rPr>
          <w:rFonts w:hint="cs"/>
          <w:rtl/>
        </w:rPr>
        <w:t>4-1</w:t>
      </w:r>
      <w:r>
        <w:rPr>
          <w:rFonts w:hint="cs"/>
          <w:rtl/>
        </w:rPr>
        <w:tab/>
        <w:t>طلبت الدولة الطرف في رسالتها المؤرخة 4 تشرين الأول/أكتوبر 2010 إلى اللجنة أن تعلن عدم مقبولية البلاغ.</w:t>
      </w:r>
    </w:p>
    <w:p w:rsidR="002B64A7" w:rsidRDefault="002B64A7" w:rsidP="001F1619">
      <w:pPr>
        <w:pStyle w:val="SingleTxtGA"/>
      </w:pPr>
      <w:r>
        <w:rPr>
          <w:rFonts w:hint="cs"/>
          <w:rtl/>
        </w:rPr>
        <w:t>4-2</w:t>
      </w:r>
      <w:r>
        <w:rPr>
          <w:rFonts w:hint="cs"/>
          <w:rtl/>
        </w:rPr>
        <w:tab/>
        <w:t>وترى الدولة الطرف أن صاحبي البلاغ لم يستوفيا شرط عدم تجاوز مهلة الشهرين القانونية لرفع شكوى إلى المحكمة الدستورية وأنهما لم يستنفدا جميع سبل الانتصاف المحلية المتاحة. وتنص المادة 53(3) من القانون المتعلق المحكمة الدستورية على أن المهلة القانونية تبدأ في السريان مباشرة بعد بدء نفاذ قرار أو إخطار بأمر أو إبلاغ بتدخل آخر. وفي حالة أمرٍ أو تدخل آخر، تبدأ الفترة القانونية في السريان في اليوم الذي قد يكون علِم فيه المشتكي بصدور ذلك الأمر أو بإجراء التدخل الآخر. ويشكل عدم التقيد بالمهلة القانونية أساساً لرفض الشكوى</w:t>
      </w:r>
      <w:r w:rsidR="00AD0B2F" w:rsidRPr="00AD0B2F">
        <w:rPr>
          <w:rFonts w:hint="cs"/>
          <w:sz w:val="28"/>
          <w:szCs w:val="28"/>
          <w:vertAlign w:val="superscript"/>
          <w:rtl/>
        </w:rPr>
        <w:t>(</w:t>
      </w:r>
      <w:r w:rsidRPr="00AD0B2F">
        <w:rPr>
          <w:rStyle w:val="FootnoteReference"/>
          <w:rFonts w:ascii="Traditional Arabic" w:hAnsi="Traditional Arabic"/>
          <w:sz w:val="28"/>
          <w:rtl/>
        </w:rPr>
        <w:footnoteReference w:id="17"/>
      </w:r>
      <w:r w:rsidR="00AD0B2F" w:rsidRPr="00AD0B2F">
        <w:rPr>
          <w:rFonts w:hint="cs"/>
          <w:sz w:val="28"/>
          <w:szCs w:val="28"/>
          <w:vertAlign w:val="superscript"/>
          <w:rtl/>
        </w:rPr>
        <w:t>)</w:t>
      </w:r>
      <w:r>
        <w:rPr>
          <w:rFonts w:hint="cs"/>
          <w:rtl/>
        </w:rPr>
        <w:t>. وفي هذه القضية، اختُتمت الإجراءات المعترض عليها في 12 كانون الثاني/يناير 2006 بمجرد أن أصبحت القرارات الصادرة عن محكمة مقاطعة ترينشين والمحكمة الإقليمية نهائية</w:t>
      </w:r>
      <w:r w:rsidR="00AD0B2F" w:rsidRPr="00AD0B2F">
        <w:rPr>
          <w:rFonts w:hint="cs"/>
          <w:sz w:val="28"/>
          <w:szCs w:val="28"/>
          <w:vertAlign w:val="superscript"/>
          <w:rtl/>
        </w:rPr>
        <w:t>(</w:t>
      </w:r>
      <w:r w:rsidRPr="00AD0B2F">
        <w:rPr>
          <w:rStyle w:val="FootnoteReference"/>
          <w:rFonts w:ascii="Traditional Arabic" w:hAnsi="Traditional Arabic"/>
          <w:sz w:val="28"/>
          <w:rtl/>
        </w:rPr>
        <w:footnoteReference w:id="18"/>
      </w:r>
      <w:r w:rsidR="00AD0B2F" w:rsidRPr="00AD0B2F">
        <w:rPr>
          <w:rFonts w:hint="cs"/>
          <w:sz w:val="28"/>
          <w:szCs w:val="28"/>
          <w:vertAlign w:val="superscript"/>
          <w:rtl/>
        </w:rPr>
        <w:t>)</w:t>
      </w:r>
      <w:r>
        <w:rPr>
          <w:rFonts w:hint="cs"/>
          <w:rtl/>
        </w:rPr>
        <w:t>. وأُحيلت شكوى صاحبي البلاغ إلى المحكمة الدستورية عن طريق الفاكس في 11 حزيران/يونيه 2006 (أُحيلت النسخة الأصلية في 13 حزيران/</w:t>
      </w:r>
      <w:r w:rsidR="00733C3D">
        <w:rPr>
          <w:rFonts w:hint="cs"/>
          <w:rtl/>
        </w:rPr>
        <w:t xml:space="preserve">                </w:t>
      </w:r>
      <w:r>
        <w:rPr>
          <w:rFonts w:hint="cs"/>
          <w:rtl/>
        </w:rPr>
        <w:t>يونيه 2006). ومن ثم،</w:t>
      </w:r>
      <w:r w:rsidRPr="00686143">
        <w:rPr>
          <w:rFonts w:hint="cs"/>
          <w:rtl/>
        </w:rPr>
        <w:t xml:space="preserve"> </w:t>
      </w:r>
      <w:r>
        <w:rPr>
          <w:rFonts w:hint="cs"/>
          <w:rtl/>
        </w:rPr>
        <w:t>ترى الدولة الطرف أن الشكوى رُفِعت بعد انقضاء المهلة القانونية.</w:t>
      </w:r>
    </w:p>
    <w:p w:rsidR="002B64A7" w:rsidRDefault="006E3F78" w:rsidP="006E3F78">
      <w:pPr>
        <w:pStyle w:val="H23GA"/>
        <w:rPr>
          <w:rtl/>
        </w:rPr>
      </w:pPr>
      <w:r>
        <w:rPr>
          <w:rFonts w:hint="cs"/>
          <w:rtl/>
        </w:rPr>
        <w:tab/>
      </w:r>
      <w:r>
        <w:rPr>
          <w:rFonts w:hint="cs"/>
          <w:rtl/>
        </w:rPr>
        <w:tab/>
      </w:r>
      <w:r w:rsidR="002B64A7">
        <w:rPr>
          <w:rFonts w:hint="cs"/>
          <w:rtl/>
        </w:rPr>
        <w:t>تعليقات صاحبي البلاغ على رسالة الدولة الطرف</w:t>
      </w:r>
    </w:p>
    <w:p w:rsidR="002B64A7" w:rsidRDefault="002B64A7" w:rsidP="00E43D3D">
      <w:pPr>
        <w:pStyle w:val="SingleTxtGA"/>
        <w:rPr>
          <w:rtl/>
        </w:rPr>
      </w:pPr>
      <w:r>
        <w:rPr>
          <w:rFonts w:hint="cs"/>
          <w:rtl/>
        </w:rPr>
        <w:t>5-</w:t>
      </w:r>
      <w:r>
        <w:rPr>
          <w:rFonts w:hint="cs"/>
          <w:rtl/>
        </w:rPr>
        <w:tab/>
        <w:t>يؤكد صاحبا البلاغ في رسالة مؤرخة 29 تشرين</w:t>
      </w:r>
      <w:r w:rsidR="006D1103">
        <w:rPr>
          <w:rFonts w:hint="cs"/>
          <w:rtl/>
        </w:rPr>
        <w:t xml:space="preserve"> </w:t>
      </w:r>
      <w:r>
        <w:rPr>
          <w:rFonts w:hint="cs"/>
          <w:rtl/>
        </w:rPr>
        <w:t>الثاني/نوفمبر 2010 أنهما استنفدا جميع سبل الانتصاف المحلية ويجددان إصراره</w:t>
      </w:r>
      <w:r w:rsidR="00DD07E0">
        <w:rPr>
          <w:rFonts w:hint="cs"/>
          <w:rtl/>
        </w:rPr>
        <w:t>م</w:t>
      </w:r>
      <w:r>
        <w:rPr>
          <w:rFonts w:hint="cs"/>
          <w:rtl/>
        </w:rPr>
        <w:t>ا على الادعاءات التي أورداها</w:t>
      </w:r>
      <w:r w:rsidR="00E43D3D">
        <w:rPr>
          <w:rFonts w:hint="cs"/>
          <w:rtl/>
        </w:rPr>
        <w:t xml:space="preserve"> </w:t>
      </w:r>
      <w:r>
        <w:rPr>
          <w:rFonts w:hint="cs"/>
          <w:rtl/>
        </w:rPr>
        <w:t xml:space="preserve">في الرسائل السابقة. ويحتجان علاوة على ذلك بالقول إن ملاحظة الدولة الطرف تؤيد موقفهما بأن المهلة القانونية المذكورة قد تبدأ في السريان في اليوم الذي قد يكون علِم فيه المشتكيان "بتدخل آخر". ويؤكد صاحبا البلاغ أن القرار النهائي الصادر عن المدعي العام يشكل في حالتهما "تدخلاً آخر"، وأن المهلة القانونية بدأت في السريان إذن في اليوم الذي أُخطرا فيه بذلك القرار، أي 12 نيسان/أبريل 2006. </w:t>
      </w:r>
    </w:p>
    <w:p w:rsidR="002B64A7" w:rsidRDefault="00192968" w:rsidP="00192968">
      <w:pPr>
        <w:pStyle w:val="H23GA"/>
        <w:rPr>
          <w:rtl/>
        </w:rPr>
      </w:pPr>
      <w:r>
        <w:rPr>
          <w:rFonts w:hint="cs"/>
          <w:rtl/>
        </w:rPr>
        <w:tab/>
      </w:r>
      <w:r>
        <w:rPr>
          <w:rFonts w:hint="cs"/>
          <w:rtl/>
        </w:rPr>
        <w:tab/>
      </w:r>
      <w:r w:rsidR="002B64A7">
        <w:rPr>
          <w:rFonts w:hint="cs"/>
          <w:rtl/>
        </w:rPr>
        <w:t>ملاحظات أخرى من الدولة الطرف بشأن المقبولية وملاحظات بشأن الأسس الموضوعية</w:t>
      </w:r>
    </w:p>
    <w:p w:rsidR="002B64A7" w:rsidRDefault="002B64A7" w:rsidP="001F1619">
      <w:pPr>
        <w:pStyle w:val="SingleTxtGA"/>
        <w:rPr>
          <w:rtl/>
        </w:rPr>
      </w:pPr>
      <w:r>
        <w:rPr>
          <w:rFonts w:hint="cs"/>
          <w:rtl/>
        </w:rPr>
        <w:t>6-1</w:t>
      </w:r>
      <w:r>
        <w:rPr>
          <w:rFonts w:hint="cs"/>
          <w:rtl/>
        </w:rPr>
        <w:tab/>
        <w:t>في 3 شباط/فبراير 2011، قدمت الدولة الطرف ملاحظات أخرى بشأن المقبولية والأسس الموضوعية. وفيما يتعلق بادعاء صاحبي البلاغ بموجب المادة 26 من العهد، ترى الدولة الطرف أن نظامها القانوني يجسد معايير حقوق الإنسان المنصوص عليها في العهد</w:t>
      </w:r>
      <w:r w:rsidR="00145DA9" w:rsidRPr="00145DA9">
        <w:rPr>
          <w:rFonts w:hint="cs"/>
          <w:sz w:val="28"/>
          <w:szCs w:val="28"/>
          <w:vertAlign w:val="superscript"/>
          <w:rtl/>
        </w:rPr>
        <w:t>(</w:t>
      </w:r>
      <w:r w:rsidRPr="00145DA9">
        <w:rPr>
          <w:rStyle w:val="FootnoteReference"/>
          <w:rFonts w:ascii="Traditional Arabic" w:hAnsi="Traditional Arabic"/>
          <w:sz w:val="28"/>
          <w:rtl/>
        </w:rPr>
        <w:footnoteReference w:id="19"/>
      </w:r>
      <w:r w:rsidR="00145DA9" w:rsidRPr="00145DA9">
        <w:rPr>
          <w:rFonts w:hint="cs"/>
          <w:sz w:val="28"/>
          <w:szCs w:val="28"/>
          <w:vertAlign w:val="superscript"/>
          <w:rtl/>
        </w:rPr>
        <w:t>)</w:t>
      </w:r>
      <w:r>
        <w:rPr>
          <w:rFonts w:hint="cs"/>
          <w:rtl/>
        </w:rPr>
        <w:t>. وترى أن محكمة مقاطعة ترينشين رفضت مطالبة صاحبي البلاغ بحق الملكية المتنازع عليها بدعوى أنهما لم يثبتا وجود مصلحة قانونية ملحة. وأُغلق ذلك الجزء من الإجراءات المتعلق برد الملكية نظراً لسحب المطالبة. وترى الدولة الطرف علاوة على ذلك أن م. س. اكتسبت حق الملكية المتنازع عليها من إجراءات الاسترداد التي انتهجتها أمام محكمة مقاطعة ترينشين</w:t>
      </w:r>
      <w:r w:rsidR="00145DA9" w:rsidRPr="00145DA9">
        <w:rPr>
          <w:rFonts w:hint="cs"/>
          <w:sz w:val="28"/>
          <w:szCs w:val="28"/>
          <w:vertAlign w:val="superscript"/>
          <w:rtl/>
        </w:rPr>
        <w:t>(</w:t>
      </w:r>
      <w:r w:rsidRPr="00145DA9">
        <w:rPr>
          <w:rStyle w:val="FootnoteReference"/>
          <w:rFonts w:ascii="Traditional Arabic" w:hAnsi="Traditional Arabic"/>
          <w:sz w:val="28"/>
          <w:rtl/>
        </w:rPr>
        <w:footnoteReference w:id="20"/>
      </w:r>
      <w:r w:rsidR="00145DA9" w:rsidRPr="00145DA9">
        <w:rPr>
          <w:rFonts w:hint="cs"/>
          <w:sz w:val="28"/>
          <w:szCs w:val="28"/>
          <w:vertAlign w:val="superscript"/>
          <w:rtl/>
        </w:rPr>
        <w:t>)</w:t>
      </w:r>
      <w:r>
        <w:rPr>
          <w:rFonts w:hint="cs"/>
          <w:rtl/>
        </w:rPr>
        <w:t>. وأكدت حيازتها للملكية القراراتُ النهائية الصادرة عن المحكمة في وقت سابق</w:t>
      </w:r>
      <w:r w:rsidR="00145DA9" w:rsidRPr="00145DA9">
        <w:rPr>
          <w:rFonts w:hint="cs"/>
          <w:sz w:val="28"/>
          <w:szCs w:val="28"/>
          <w:vertAlign w:val="superscript"/>
          <w:rtl/>
        </w:rPr>
        <w:t>(</w:t>
      </w:r>
      <w:r w:rsidRPr="00145DA9">
        <w:rPr>
          <w:rStyle w:val="FootnoteReference"/>
          <w:rFonts w:ascii="Traditional Arabic" w:hAnsi="Traditional Arabic"/>
          <w:sz w:val="28"/>
          <w:rtl/>
        </w:rPr>
        <w:footnoteReference w:id="21"/>
      </w:r>
      <w:r w:rsidR="00145DA9" w:rsidRPr="00145DA9">
        <w:rPr>
          <w:rFonts w:hint="cs"/>
          <w:sz w:val="28"/>
          <w:szCs w:val="28"/>
          <w:vertAlign w:val="superscript"/>
          <w:rtl/>
        </w:rPr>
        <w:t>)</w:t>
      </w:r>
      <w:r>
        <w:rPr>
          <w:rFonts w:hint="cs"/>
          <w:rtl/>
        </w:rPr>
        <w:t>. وفي الإجراءات اللاحقة لتحديد حق الملكية، اعترض إعادةَ فتح إجراءات الاسترداد النهائية عائق الأمر المبتوت فيه نهائياً (مبدأ الشيء المقضي به). وأيّدت محكمة ترينشين الإقليمية الحكم المعترض عليه في قرار نهائي</w:t>
      </w:r>
      <w:r w:rsidR="0012345E" w:rsidRPr="0012345E">
        <w:rPr>
          <w:rFonts w:hint="cs"/>
          <w:sz w:val="28"/>
          <w:szCs w:val="28"/>
          <w:vertAlign w:val="superscript"/>
          <w:rtl/>
        </w:rPr>
        <w:t>(</w:t>
      </w:r>
      <w:r w:rsidRPr="0012345E">
        <w:rPr>
          <w:rStyle w:val="FootnoteReference"/>
          <w:rFonts w:ascii="Traditional Arabic" w:hAnsi="Traditional Arabic"/>
          <w:sz w:val="28"/>
          <w:rtl/>
        </w:rPr>
        <w:footnoteReference w:id="22"/>
      </w:r>
      <w:r w:rsidR="0012345E" w:rsidRPr="0012345E">
        <w:rPr>
          <w:rFonts w:hint="cs"/>
          <w:sz w:val="28"/>
          <w:szCs w:val="28"/>
          <w:vertAlign w:val="superscript"/>
          <w:rtl/>
        </w:rPr>
        <w:t>)</w:t>
      </w:r>
      <w:r>
        <w:rPr>
          <w:rFonts w:hint="cs"/>
          <w:rtl/>
        </w:rPr>
        <w:t>. واستناداً إلى الاعتبارات الواردة أعلاه، رفض مكتب المدعي العام للجمهورية السلوفاكية التماس صاحبيْ البلاغ تقديم طعن في النقاط القانونية. ورغم أن سلطة الادعاء اعترضت سابقاً على إجراءات الاسترداد في قضية م.</w:t>
      </w:r>
      <w:r w:rsidR="0042213D">
        <w:rPr>
          <w:rFonts w:hint="cs"/>
          <w:rtl/>
        </w:rPr>
        <w:t xml:space="preserve"> </w:t>
      </w:r>
      <w:r>
        <w:rPr>
          <w:rFonts w:hint="cs"/>
          <w:rtl/>
        </w:rPr>
        <w:t>س. في عام 1996 بتقديم طعن في النقاط القانونية، فإنه لم يكن من الممكن استدعاء هذه السلطة لصالح صاحبيْ البلاغ في عام 2006 نظراً لصدور حكم نهائي في قضية الاسترداد وانقضاء مدة التقادم البالغة عاماً واحداً</w:t>
      </w:r>
      <w:r w:rsidR="00C9303A" w:rsidRPr="00C9303A">
        <w:rPr>
          <w:rFonts w:hint="cs"/>
          <w:sz w:val="28"/>
          <w:szCs w:val="28"/>
          <w:vertAlign w:val="superscript"/>
          <w:rtl/>
        </w:rPr>
        <w:t>(</w:t>
      </w:r>
      <w:r w:rsidRPr="00C9303A">
        <w:rPr>
          <w:rStyle w:val="FootnoteReference"/>
          <w:rFonts w:ascii="Traditional Arabic" w:hAnsi="Traditional Arabic"/>
          <w:sz w:val="28"/>
          <w:rtl/>
        </w:rPr>
        <w:footnoteReference w:id="23"/>
      </w:r>
      <w:r w:rsidR="00C9303A" w:rsidRPr="00C9303A">
        <w:rPr>
          <w:rFonts w:hint="cs"/>
          <w:sz w:val="28"/>
          <w:szCs w:val="28"/>
          <w:vertAlign w:val="superscript"/>
          <w:rtl/>
        </w:rPr>
        <w:t>)</w:t>
      </w:r>
      <w:r>
        <w:rPr>
          <w:rFonts w:hint="cs"/>
          <w:rtl/>
        </w:rPr>
        <w:t xml:space="preserve">. وعلاوة على ذلك، لم يكن من الممكن تقديم طعن في النقاط القانونية لوقف الإجراءات لأن المادة 243 من قانون أصول المحاكمات المدنية تحظر ذلك. </w:t>
      </w:r>
    </w:p>
    <w:p w:rsidR="002B64A7" w:rsidRDefault="002B64A7" w:rsidP="001F1619">
      <w:pPr>
        <w:pStyle w:val="SingleTxtGA"/>
        <w:rPr>
          <w:rtl/>
        </w:rPr>
      </w:pPr>
      <w:r>
        <w:rPr>
          <w:rFonts w:hint="cs"/>
          <w:rtl/>
        </w:rPr>
        <w:t>6-2</w:t>
      </w:r>
      <w:r>
        <w:rPr>
          <w:rFonts w:hint="cs"/>
          <w:rtl/>
        </w:rPr>
        <w:tab/>
        <w:t>وفيما يتعلق بادعاء صاحبيْ البلاغ بموجب الفقرة 3 من المادة 2 من العهد، تؤكد الدولة الطرف مجدداً الحجج المقدمة في ملاحظاتها الأولية وتشدد على أنه كان على المحكمة الدستورية أن ترفض شكوى صاحبيْ البلاغ لأن الشكاوى المرفوعة بعد انقضاء مهلة الشهرين القانونية غير مقبولة بموجب القانون</w:t>
      </w:r>
      <w:r w:rsidR="00515B0A" w:rsidRPr="00515B0A">
        <w:rPr>
          <w:rFonts w:hint="cs"/>
          <w:sz w:val="28"/>
          <w:szCs w:val="28"/>
          <w:vertAlign w:val="superscript"/>
          <w:rtl/>
        </w:rPr>
        <w:t>(</w:t>
      </w:r>
      <w:r w:rsidRPr="00515B0A">
        <w:rPr>
          <w:rStyle w:val="FootnoteReference"/>
          <w:rFonts w:ascii="Traditional Arabic" w:hAnsi="Traditional Arabic"/>
          <w:sz w:val="28"/>
          <w:rtl/>
        </w:rPr>
        <w:footnoteReference w:id="24"/>
      </w:r>
      <w:r w:rsidR="00515B0A" w:rsidRPr="00515B0A">
        <w:rPr>
          <w:rFonts w:hint="cs"/>
          <w:sz w:val="28"/>
          <w:szCs w:val="28"/>
          <w:vertAlign w:val="superscript"/>
          <w:rtl/>
        </w:rPr>
        <w:t>)</w:t>
      </w:r>
      <w:r>
        <w:rPr>
          <w:rFonts w:hint="cs"/>
          <w:rtl/>
        </w:rPr>
        <w:t>. وترى الدولة الطرف، علاوةً على ذلك، أن وقت تسليم الإشعار إلى صاحبي البلاغ برفض التماسهما المتعلق بالطعن في النقاط القانونية لا يؤثر في سريان المهلة القانونية المتنازع عليها. فالتاريخ المقرَّر يبدأ من اليوم الذي يصبح فيه قرار المحكمة الإقليمية المعترَض عليه نهائياً. ولا يتمتع الحق في تقديم طعن في النقاط القانونية، بحكم طبيعته، بحماية دستورية. وتقضي السوابق القضائية للمحكمة الدستورية بأنه إذا لم يتسنّ للمشتكي أن ينتهج شخصياً سبيل انتصاف قانوني، فلا يمكن أن يُعتبر سبيل الانتصاف هذا فعالاً أو متاحاً للمشتكي بشكل مباشر. ومن ثم، لم يشكل، بالنسبة لصاحبي البلاغ، رفض مكتب المدعي العام طلبهما الطعن في النقاط القانونية حرماناً من "سبيل انتصاف قانوني فعال". فتقديم شكوى إلى محكمة دستورية تتصدى لانتهاكات حقوق الإنسان وحرياته الأساسية هو، من جهة أخرى، سبيل انتصاف قانوني محلي فعال يجب استنفاده لتقديم شكوى مقبولة إلى اللجنة. ونظراً إلى عدم تقيد صاحبيْ البلاغ بالمهلة القانونية اللازمة لرفع شكوى إلى المحكمة الدستورية، فإنهما لم ينتهجا هذا السبيل القانوني للانتصاف بشكل فعال</w:t>
      </w:r>
      <w:r w:rsidR="00890E82" w:rsidRPr="00890E82">
        <w:rPr>
          <w:rFonts w:hint="cs"/>
          <w:vertAlign w:val="superscript"/>
          <w:rtl/>
        </w:rPr>
        <w:t>(</w:t>
      </w:r>
      <w:r w:rsidRPr="00890E82">
        <w:rPr>
          <w:rStyle w:val="FootnoteReference"/>
          <w:rFonts w:ascii="Traditional Arabic" w:hAnsi="Traditional Arabic"/>
          <w:sz w:val="30"/>
          <w:rtl/>
        </w:rPr>
        <w:footnoteReference w:id="25"/>
      </w:r>
      <w:r w:rsidR="00890E82" w:rsidRPr="00890E82">
        <w:rPr>
          <w:rFonts w:hint="cs"/>
          <w:vertAlign w:val="superscript"/>
          <w:rtl/>
        </w:rPr>
        <w:t>)</w:t>
      </w:r>
      <w:r>
        <w:rPr>
          <w:rFonts w:hint="cs"/>
          <w:rtl/>
        </w:rPr>
        <w:t xml:space="preserve">. </w:t>
      </w:r>
    </w:p>
    <w:p w:rsidR="002B64A7" w:rsidRPr="00A64822" w:rsidRDefault="002B64A7" w:rsidP="001F1619">
      <w:pPr>
        <w:pStyle w:val="SingleTxtGA"/>
        <w:rPr>
          <w:rtl/>
        </w:rPr>
      </w:pPr>
      <w:r>
        <w:rPr>
          <w:rFonts w:hint="cs"/>
          <w:rtl/>
        </w:rPr>
        <w:t>6-3</w:t>
      </w:r>
      <w:r>
        <w:rPr>
          <w:rFonts w:hint="cs"/>
          <w:rtl/>
        </w:rPr>
        <w:tab/>
        <w:t>وترى الدولة الطرف أيضاً أنه لا توجد سبل انتصاف قانونية أخرى أمام صاحبي البلاغ في هذه الحالة. فلا يمكن تحديد حق الملكية وإدخال تغييرات على السجل العقاري سوى عن طريق المحكمة في إطار دعوى قضائية. وفي هذه القضية، مُنح حق حيازة الملكية المتنازع عليها للسيدة م.</w:t>
      </w:r>
      <w:r w:rsidR="00451195">
        <w:rPr>
          <w:rFonts w:hint="cs"/>
          <w:rtl/>
        </w:rPr>
        <w:t xml:space="preserve"> </w:t>
      </w:r>
      <w:r>
        <w:rPr>
          <w:rFonts w:hint="cs"/>
          <w:rtl/>
        </w:rPr>
        <w:t xml:space="preserve">س. وقد استخدمت حقها في التصرف فيها بنقلها إلى طرف ثالث. </w:t>
      </w:r>
    </w:p>
    <w:p w:rsidR="002B64A7" w:rsidRDefault="007F77C3" w:rsidP="007F77C3">
      <w:pPr>
        <w:pStyle w:val="H23GA"/>
        <w:rPr>
          <w:rtl/>
        </w:rPr>
      </w:pPr>
      <w:r>
        <w:rPr>
          <w:rFonts w:hint="cs"/>
          <w:rtl/>
        </w:rPr>
        <w:tab/>
      </w:r>
      <w:r>
        <w:rPr>
          <w:rFonts w:hint="cs"/>
          <w:rtl/>
        </w:rPr>
        <w:tab/>
      </w:r>
      <w:r w:rsidR="002B64A7">
        <w:rPr>
          <w:rFonts w:hint="cs"/>
          <w:rtl/>
        </w:rPr>
        <w:t>تعليقات أخرى من صاحبيْ البلاغ</w:t>
      </w:r>
    </w:p>
    <w:p w:rsidR="002B64A7" w:rsidRDefault="002B64A7" w:rsidP="001F1619">
      <w:pPr>
        <w:pStyle w:val="SingleTxtGA"/>
        <w:rPr>
          <w:rtl/>
        </w:rPr>
      </w:pPr>
      <w:r>
        <w:rPr>
          <w:rFonts w:hint="cs"/>
          <w:rtl/>
        </w:rPr>
        <w:t>7-1</w:t>
      </w:r>
      <w:r>
        <w:rPr>
          <w:rFonts w:hint="cs"/>
          <w:rtl/>
        </w:rPr>
        <w:tab/>
        <w:t>في 28 آذار/مارس 2011، قدم صاحبا البلاغ تعليقات أخرى على ملاحظات الدولة الطرف، مؤكديْن حججهما فيما يتعلق بالمهلة القانونية المتنازع عليها. ويؤكد صاحبا البلاغ أيضاً أن المحكمة الدستورية حرمتهما من سبيل انتصاف فعال برفضها النظر في الأسس الموضوعية لشكواهما، وذلك لأن المدعي العام كان ملزماً بالطعن في النقاط القانونية، نظراً للاضطهاد العنصري الذي أدى إلى استيلاء م.</w:t>
      </w:r>
      <w:r w:rsidR="00451195">
        <w:rPr>
          <w:rFonts w:hint="cs"/>
          <w:rtl/>
        </w:rPr>
        <w:t xml:space="preserve"> </w:t>
      </w:r>
      <w:r>
        <w:rPr>
          <w:rFonts w:hint="cs"/>
          <w:rtl/>
        </w:rPr>
        <w:t>س. على الملكية المتنازع عليها. ويؤكد صاحبا البلاغ</w:t>
      </w:r>
      <w:r>
        <w:t xml:space="preserve"> </w:t>
      </w:r>
      <w:r>
        <w:rPr>
          <w:rFonts w:hint="cs"/>
          <w:rtl/>
        </w:rPr>
        <w:t>أن المدعي العام يتحمل مسؤولية ضمان احترام القانون والطعن في النقاط القانونية في القضايا التي تُنتهك فيها الحقوق المعترف بها ولا تتاح فيها سبل انتصاف أخرى. ويؤكد صاحبا البلاغ أيضاً أن الدولة الطرف غيرت</w:t>
      </w:r>
      <w:r w:rsidRPr="00233B67">
        <w:rPr>
          <w:rFonts w:hint="cs"/>
          <w:rtl/>
        </w:rPr>
        <w:t xml:space="preserve"> </w:t>
      </w:r>
      <w:r>
        <w:rPr>
          <w:rFonts w:hint="cs"/>
          <w:rtl/>
        </w:rPr>
        <w:t xml:space="preserve">موقفها على نحو غير متوقع فيما يتعلق بالسلطة المخوَّلة للمدعي العام لكي يطعن في النقاط القانونية؛ واحتجا بالقول إن تغيير موقف الدولة الطرف هذا ينطوي على إجحاف في حقهما ويدل على عدم وجود أمن قضائي. </w:t>
      </w:r>
    </w:p>
    <w:p w:rsidR="002B64A7" w:rsidRDefault="002B64A7" w:rsidP="001F1619">
      <w:pPr>
        <w:pStyle w:val="SingleTxtGA"/>
        <w:rPr>
          <w:rtl/>
        </w:rPr>
      </w:pPr>
      <w:r>
        <w:rPr>
          <w:rFonts w:hint="cs"/>
          <w:rtl/>
        </w:rPr>
        <w:t>7-2</w:t>
      </w:r>
      <w:r>
        <w:rPr>
          <w:rFonts w:hint="cs"/>
          <w:rtl/>
        </w:rPr>
        <w:tab/>
        <w:t>وفيما يتعلق بملاحظة الدولة الطرف التي تفيد بأن محكمة مقاطعة ترينشين رفضت دعوى صاحبي البلاغ لأنهما لم يثبتا وجود "مصلحة قانونية ملحة"، يؤكد صاحبا البلاغ أن حق الملكية المتنازع عليها نُقل خطأً من م.</w:t>
      </w:r>
      <w:r w:rsidR="00451195">
        <w:rPr>
          <w:rFonts w:hint="cs"/>
          <w:rtl/>
        </w:rPr>
        <w:t xml:space="preserve"> </w:t>
      </w:r>
      <w:r>
        <w:rPr>
          <w:rFonts w:hint="cs"/>
          <w:rtl/>
        </w:rPr>
        <w:t>س. إلى طرف ثالث لأن إحدى المحاكم أغفلت إصدار قرار بشأن الطلب الذي قدمه ر.و. لاتخاذ تدابير مؤقتة مرحلية، وفي ذلك انتهاكٌ لحق صاحبي البلاغ في إجراءات سريعة</w:t>
      </w:r>
      <w:r w:rsidR="00890E82" w:rsidRPr="00890E82">
        <w:rPr>
          <w:rFonts w:hint="cs"/>
          <w:sz w:val="28"/>
          <w:szCs w:val="28"/>
          <w:vertAlign w:val="superscript"/>
          <w:rtl/>
        </w:rPr>
        <w:t>(</w:t>
      </w:r>
      <w:r w:rsidRPr="00890E82">
        <w:rPr>
          <w:rStyle w:val="FootnoteReference"/>
          <w:rFonts w:ascii="Traditional Arabic" w:hAnsi="Traditional Arabic"/>
          <w:sz w:val="28"/>
          <w:rtl/>
        </w:rPr>
        <w:footnoteReference w:id="26"/>
      </w:r>
      <w:r w:rsidR="00890E82" w:rsidRPr="00890E82">
        <w:rPr>
          <w:rFonts w:hint="cs"/>
          <w:sz w:val="28"/>
          <w:szCs w:val="28"/>
          <w:vertAlign w:val="superscript"/>
          <w:rtl/>
        </w:rPr>
        <w:t>)</w:t>
      </w:r>
      <w:r>
        <w:rPr>
          <w:rFonts w:hint="cs"/>
          <w:rtl/>
        </w:rPr>
        <w:t>. ويَثبت صاحبا البلاغ على القول إن دعواهما ملموسة وواقعية ومادية، لذا</w:t>
      </w:r>
      <w:r w:rsidDel="00336800">
        <w:rPr>
          <w:rFonts w:hint="cs"/>
          <w:rtl/>
        </w:rPr>
        <w:t xml:space="preserve"> </w:t>
      </w:r>
      <w:r>
        <w:rPr>
          <w:rFonts w:hint="cs"/>
          <w:rtl/>
        </w:rPr>
        <w:t>كان ينبغي للمحكمة أن تنظر فيها من حيث أسسها الموضوعية.</w:t>
      </w:r>
    </w:p>
    <w:p w:rsidR="002B64A7" w:rsidRDefault="002B64A7" w:rsidP="00011E4B">
      <w:pPr>
        <w:pStyle w:val="SingleTxtGA"/>
        <w:rPr>
          <w:rtl/>
        </w:rPr>
      </w:pPr>
      <w:r>
        <w:rPr>
          <w:rFonts w:hint="cs"/>
          <w:rtl/>
        </w:rPr>
        <w:t>7-3</w:t>
      </w:r>
      <w:r>
        <w:rPr>
          <w:rFonts w:hint="cs"/>
          <w:rtl/>
        </w:rPr>
        <w:tab/>
        <w:t xml:space="preserve">وفيما يتعلق بملاحظة الدولة الطرف التي تفيد بأن </w:t>
      </w:r>
      <w:r w:rsidR="00011E4B">
        <w:rPr>
          <w:rFonts w:hint="cs"/>
          <w:rtl/>
        </w:rPr>
        <w:t xml:space="preserve">مبدأ </w:t>
      </w:r>
      <w:r>
        <w:rPr>
          <w:rFonts w:hint="cs"/>
          <w:rtl/>
        </w:rPr>
        <w:t>الشيء المقضي به حال دون إعادة فتح إجراءات الاسترداد النهائية، يؤكد صاحبا البلاغ أن الدولة الطرف سلّمت فعلاً بأن م. س. مُنِحت حق الملكية</w:t>
      </w:r>
      <w:r w:rsidRPr="00F30537">
        <w:rPr>
          <w:rFonts w:hint="cs"/>
          <w:rtl/>
        </w:rPr>
        <w:t xml:space="preserve"> </w:t>
      </w:r>
      <w:r>
        <w:rPr>
          <w:rFonts w:hint="cs"/>
          <w:rtl/>
        </w:rPr>
        <w:t>خطأً. ويدّعي صاحبا البلاغ أن المحكمة المدنية وحدها تملك سلطة اتخاذ موقف من مسألة الشيء المقضي به، وذلك ما لم تفعله قط في هذه القضية. ومن ثم كان ينبغي أن تتاح لصاحبي البلاغ إمكانية اللجوء بحرية إلى المحكمة المدنية لتبت في مطالبتهما بحق الملكية.</w:t>
      </w:r>
    </w:p>
    <w:p w:rsidR="002B64A7" w:rsidRDefault="002B64A7" w:rsidP="00E43D3D">
      <w:pPr>
        <w:pStyle w:val="SingleTxtGA"/>
        <w:rPr>
          <w:rtl/>
        </w:rPr>
      </w:pPr>
      <w:r>
        <w:rPr>
          <w:rFonts w:hint="cs"/>
          <w:rtl/>
        </w:rPr>
        <w:t>7-4</w:t>
      </w:r>
      <w:r>
        <w:rPr>
          <w:rFonts w:hint="cs"/>
          <w:rtl/>
        </w:rPr>
        <w:tab/>
        <w:t>ويتفق صاحبا البلاغ مع ملاحظة الدولة الطرف التي تفيد بأن إجراءات محكمة ترينشين الإقليمية ومحكمة مقاطعة ترينشين اختُتِمت أخيراً في 12 كانون الثاني/يناير 2006، غير أنهما يحتجان بأن الفائدة الوحيدة من تلك الملاحظة</w:t>
      </w:r>
      <w:r w:rsidR="00E43D3D">
        <w:rPr>
          <w:rFonts w:hint="cs"/>
          <w:rtl/>
        </w:rPr>
        <w:t xml:space="preserve"> </w:t>
      </w:r>
      <w:r>
        <w:rPr>
          <w:rFonts w:hint="cs"/>
          <w:rtl/>
        </w:rPr>
        <w:t>هي إبراز المدة المفرطة التي استغرقتها الإجراءات (11 عاماً و4 أشهر وأسبوعين). ويؤكد صاحبا البلاغ أن حقهما في إجراءات سريعة قد انتُهِك بشكل واضح.</w:t>
      </w:r>
    </w:p>
    <w:p w:rsidR="00217AAC" w:rsidRDefault="002B64A7" w:rsidP="001F1619">
      <w:pPr>
        <w:pStyle w:val="SingleTxtGA"/>
        <w:rPr>
          <w:rtl/>
        </w:rPr>
      </w:pPr>
      <w:r>
        <w:rPr>
          <w:rFonts w:hint="cs"/>
          <w:rtl/>
        </w:rPr>
        <w:t>7-5</w:t>
      </w:r>
      <w:r>
        <w:rPr>
          <w:rFonts w:hint="cs"/>
          <w:rtl/>
        </w:rPr>
        <w:tab/>
        <w:t>وينازع صاحبا البلاغ في أنهما لم يتمكنا من التقيد بالمهلة القانونية البالغة سنة واحدة لتقديم طلب إلى المدعي العام لكي يطعن في النقاط القانونية. ويرى صاحبا البلاغ أنه اتُّخِذ قرار بشأن مسألة الشيء المقضي به في 12 كانون الثاني/يناير 2006 وأنهما طلبا إلى المدعي العام أن يقدم الطعن في العام نفسه. وأعرب صاحبا البلاغ أيضاً عن شكوكهما في نزاهة القاضي الذي بتّ في قضيتهما أمام محكمة ترينشين الإقليمية لأنه يحمل نفس الاسم الذي يحمله محامي م. س.، ولم يستبعد المدعي العام وجود روابط القرابة العائلية</w:t>
      </w:r>
      <w:r w:rsidRPr="00E739C4">
        <w:rPr>
          <w:rFonts w:hint="cs"/>
          <w:rtl/>
        </w:rPr>
        <w:t xml:space="preserve"> </w:t>
      </w:r>
      <w:r>
        <w:rPr>
          <w:rFonts w:hint="cs"/>
          <w:rtl/>
        </w:rPr>
        <w:t>هذه. ويؤكد صاحبا البلاغ أيضاً أن المدعي العام، بعكس ما جاء في ملاحظة الدولة الطرف، لم يُمنع من الطعن في النقاط القانونية لأن محكمة المقاطعة ومحكمة الاستئناف بتّتا في قضية صاحبي البلاغ استناداً إلى الأسس الموضوعية. ويتمسك صاحبا البلاغ بالقول إن المدعي العام كان ملزماً بالطعن في النقاط القانونية لأن القانون لا يسمح بممارسة السلطة التقديرية في هذا الصدد عندما تُستوفى جميع الشروط المطلوبة</w:t>
      </w:r>
      <w:r w:rsidR="00890E82" w:rsidRPr="00890E82">
        <w:rPr>
          <w:rFonts w:hint="cs"/>
          <w:vertAlign w:val="superscript"/>
          <w:rtl/>
        </w:rPr>
        <w:t>(</w:t>
      </w:r>
      <w:r w:rsidRPr="00890E82">
        <w:rPr>
          <w:rStyle w:val="FootnoteReference"/>
          <w:rFonts w:ascii="Traditional Arabic" w:hAnsi="Traditional Arabic"/>
          <w:sz w:val="30"/>
          <w:rtl/>
        </w:rPr>
        <w:footnoteReference w:id="27"/>
      </w:r>
      <w:r w:rsidR="00890E82" w:rsidRPr="00890E82">
        <w:rPr>
          <w:rFonts w:hint="cs"/>
          <w:vertAlign w:val="superscript"/>
          <w:rtl/>
        </w:rPr>
        <w:t>)</w:t>
      </w:r>
      <w:r>
        <w:rPr>
          <w:rFonts w:hint="cs"/>
          <w:rtl/>
        </w:rPr>
        <w:t>.</w:t>
      </w:r>
    </w:p>
    <w:p w:rsidR="002B64A7" w:rsidRDefault="00217AAC" w:rsidP="00124CE3">
      <w:pPr>
        <w:pStyle w:val="H23GA"/>
        <w:rPr>
          <w:rtl/>
        </w:rPr>
      </w:pPr>
      <w:r>
        <w:rPr>
          <w:rtl/>
        </w:rPr>
        <w:br w:type="page"/>
      </w:r>
      <w:r>
        <w:rPr>
          <w:rFonts w:hint="cs"/>
          <w:rtl/>
        </w:rPr>
        <w:tab/>
      </w:r>
      <w:r>
        <w:rPr>
          <w:rFonts w:hint="cs"/>
          <w:rtl/>
        </w:rPr>
        <w:tab/>
      </w:r>
      <w:r w:rsidR="002B64A7">
        <w:rPr>
          <w:rFonts w:hint="cs"/>
          <w:rtl/>
        </w:rPr>
        <w:t>المسائل والإجراءات المعروضة على اللجنة</w:t>
      </w:r>
    </w:p>
    <w:p w:rsidR="002B64A7" w:rsidRDefault="00217AAC" w:rsidP="00217AAC">
      <w:pPr>
        <w:pStyle w:val="H4GA"/>
        <w:rPr>
          <w:rtl/>
        </w:rPr>
      </w:pPr>
      <w:r>
        <w:rPr>
          <w:rFonts w:hint="cs"/>
          <w:rtl/>
        </w:rPr>
        <w:tab/>
      </w:r>
      <w:r>
        <w:rPr>
          <w:rFonts w:hint="cs"/>
          <w:rtl/>
        </w:rPr>
        <w:tab/>
      </w:r>
      <w:r w:rsidR="002B64A7">
        <w:rPr>
          <w:rFonts w:hint="cs"/>
          <w:rtl/>
        </w:rPr>
        <w:t>النظر في المقبولية</w:t>
      </w:r>
    </w:p>
    <w:p w:rsidR="002B64A7" w:rsidRPr="00147A8B" w:rsidRDefault="00147A8B" w:rsidP="001F1619">
      <w:pPr>
        <w:pStyle w:val="SingleTxtGA"/>
        <w:rPr>
          <w:sz w:val="30"/>
          <w:rtl/>
        </w:rPr>
      </w:pPr>
      <w:r w:rsidRPr="00147A8B">
        <w:rPr>
          <w:rtl/>
        </w:rPr>
        <w:t>8-1</w:t>
      </w:r>
      <w:r w:rsidRPr="00147A8B">
        <w:rPr>
          <w:rtl/>
        </w:rPr>
        <w:tab/>
        <w:t>قبل النظر في أي ادعاء يرد في بلاغ ما، يتعين على اللجنة المعنية بحقوق الإنسان أن تقرر، وفقاً للمادة 93 من نظامها الداخلي، ما إذا كان البلاغ مقبولاً أم لا بموجب البروتوكول الاختياري الملحق بالعهد.</w:t>
      </w:r>
    </w:p>
    <w:p w:rsidR="002B64A7" w:rsidRDefault="002B64A7" w:rsidP="00E43D3D">
      <w:pPr>
        <w:pStyle w:val="SingleTxtGA"/>
        <w:rPr>
          <w:rtl/>
        </w:rPr>
      </w:pPr>
      <w:r>
        <w:rPr>
          <w:rFonts w:hint="cs"/>
          <w:rtl/>
        </w:rPr>
        <w:t>8-2</w:t>
      </w:r>
      <w:r>
        <w:rPr>
          <w:rFonts w:hint="cs"/>
          <w:rtl/>
        </w:rPr>
        <w:tab/>
        <w:t>وفيما يتعلق بادعاء صاحبي البلاغ بأن لهما الحق في استرداد الملكية المتنازع عليها، تذكّر اللجنة بأن العهد لا يحمي الحق في الملكية</w:t>
      </w:r>
      <w:r w:rsidR="00890E82" w:rsidRPr="00890E82">
        <w:rPr>
          <w:rFonts w:hint="cs"/>
          <w:sz w:val="28"/>
          <w:szCs w:val="28"/>
          <w:vertAlign w:val="superscript"/>
          <w:rtl/>
        </w:rPr>
        <w:t>(</w:t>
      </w:r>
      <w:r w:rsidRPr="00890E82">
        <w:rPr>
          <w:rStyle w:val="FootnoteReference"/>
          <w:rFonts w:ascii="Traditional Arabic" w:hAnsi="Traditional Arabic"/>
          <w:sz w:val="28"/>
          <w:rtl/>
        </w:rPr>
        <w:footnoteReference w:id="28"/>
      </w:r>
      <w:r w:rsidR="00890E82" w:rsidRPr="00890E82">
        <w:rPr>
          <w:rFonts w:hint="cs"/>
          <w:sz w:val="28"/>
          <w:szCs w:val="28"/>
          <w:vertAlign w:val="superscript"/>
          <w:rtl/>
        </w:rPr>
        <w:t>)</w:t>
      </w:r>
      <w:r>
        <w:rPr>
          <w:rFonts w:hint="cs"/>
          <w:rtl/>
        </w:rPr>
        <w:t>، وأنه بالتالي لا يملك الاختصاص الموضوعي للنظر في أي ادعاءات بانتهاك هذا الحق. وبناءً على ذلك، يعتبر هذا الادعاء غير مقبول بموجب المادة 3 من البروتوكول الاختياري</w:t>
      </w:r>
      <w:r w:rsidR="00890E82" w:rsidRPr="00890E82">
        <w:rPr>
          <w:rFonts w:hint="cs"/>
          <w:vertAlign w:val="superscript"/>
          <w:rtl/>
        </w:rPr>
        <w:t>(</w:t>
      </w:r>
      <w:r w:rsidRPr="00890E82">
        <w:rPr>
          <w:rStyle w:val="FootnoteReference"/>
          <w:rFonts w:ascii="Traditional Arabic" w:hAnsi="Traditional Arabic"/>
          <w:sz w:val="30"/>
          <w:rtl/>
        </w:rPr>
        <w:footnoteReference w:id="29"/>
      </w:r>
      <w:r w:rsidR="00890E82" w:rsidRPr="00890E82">
        <w:rPr>
          <w:rFonts w:hint="cs"/>
          <w:vertAlign w:val="superscript"/>
          <w:rtl/>
        </w:rPr>
        <w:t>)</w:t>
      </w:r>
      <w:r>
        <w:rPr>
          <w:rFonts w:hint="cs"/>
          <w:rtl/>
        </w:rPr>
        <w:t>.</w:t>
      </w:r>
      <w:r w:rsidR="00E43D3D">
        <w:rPr>
          <w:rFonts w:hint="cs"/>
          <w:rtl/>
        </w:rPr>
        <w:t xml:space="preserve"> </w:t>
      </w:r>
    </w:p>
    <w:p w:rsidR="002B64A7" w:rsidRDefault="002B64A7" w:rsidP="00E43D3D">
      <w:pPr>
        <w:pStyle w:val="SingleTxtGA"/>
        <w:rPr>
          <w:rtl/>
        </w:rPr>
      </w:pPr>
      <w:r>
        <w:rPr>
          <w:rFonts w:hint="cs"/>
          <w:rtl/>
        </w:rPr>
        <w:t>8-3</w:t>
      </w:r>
      <w:r>
        <w:rPr>
          <w:rFonts w:hint="cs"/>
          <w:rtl/>
        </w:rPr>
        <w:tab/>
        <w:t>وتذكّر اللجنة أيضاً بأنها أكدت مراراً وتكراراً أنها ليست هيئة يُلجأ إليها نهائياً وتتولى مهمة إعادة تقييم النتائج المتعلقة بالوقائع أو بتطبيق التشريعات المحلية، إلاّ إذا أمكن إثبات أن الإجراءات التي اتُّخذت أمام المحاكم المحلية كانت تعسفية أو تصل إلى حد إنكار العدالة</w:t>
      </w:r>
      <w:r w:rsidR="008F4389" w:rsidRPr="008F4389">
        <w:rPr>
          <w:rFonts w:hint="cs"/>
          <w:vertAlign w:val="superscript"/>
          <w:rtl/>
        </w:rPr>
        <w:t>(</w:t>
      </w:r>
      <w:r w:rsidRPr="008F4389">
        <w:rPr>
          <w:rStyle w:val="FootnoteReference"/>
          <w:rFonts w:ascii="Traditional Arabic" w:hAnsi="Traditional Arabic"/>
          <w:sz w:val="30"/>
          <w:rtl/>
        </w:rPr>
        <w:footnoteReference w:id="30"/>
      </w:r>
      <w:r w:rsidR="008F4389" w:rsidRPr="008F4389">
        <w:rPr>
          <w:rFonts w:hint="cs"/>
          <w:vertAlign w:val="superscript"/>
          <w:rtl/>
        </w:rPr>
        <w:t>)</w:t>
      </w:r>
      <w:r>
        <w:rPr>
          <w:rFonts w:hint="cs"/>
          <w:rtl/>
        </w:rPr>
        <w:t>. وتلاحظ اللجنة أن صاحبي البلاغ يؤكدان أن الدولة الطرف انتهكت حقهما في سبيل انتصاف فعال بموجب الفقرة 3 من المادة 2 من العهد لأن المحكمة الدستورية أعلنت خطأً عن عدم مقبولية شكواهما نظراً لتقديمها بعد فوات الأوان، ولأن إجراءات المحاكم المحلية كانت طويلة إلى حد تجاوز المسموح، ولأن المدعي العام رفض الطعن في النقاط القانونية رداًّ على التماسهما. وتلاحظ اللجنة كذلك</w:t>
      </w:r>
      <w:r>
        <w:t xml:space="preserve"> </w:t>
      </w:r>
      <w:r>
        <w:rPr>
          <w:rFonts w:hint="cs"/>
          <w:rtl/>
        </w:rPr>
        <w:t>حجة صاحبي البلاغ بأن عدم تمكنهما من استرداد الملكية المتنازع عليها بموجب القانون رقم 87/1991 بلغ حد التمييز، وفي ذلك انتهاك للمادة 26 من العهد. وتعرب اللجنة عن أسفها للظروف التمييزية المحيطة بالتجريد من الملكية. بيد أنها تلاحظ أن من غير الممكن تطبيق العهد بأثر رجعي وأن الملكية نُزعت من أصحابها خلال الحرب العالمية الثانية، أي قبل دخول العهد والبروتوكول الاختياري حيز النفاذ</w:t>
      </w:r>
      <w:r w:rsidR="00286CB8" w:rsidRPr="00286CB8">
        <w:rPr>
          <w:rFonts w:hint="cs"/>
          <w:sz w:val="28"/>
          <w:szCs w:val="28"/>
          <w:vertAlign w:val="superscript"/>
          <w:rtl/>
        </w:rPr>
        <w:t>(</w:t>
      </w:r>
      <w:r w:rsidRPr="00286CB8">
        <w:rPr>
          <w:rStyle w:val="FootnoteReference"/>
          <w:rFonts w:ascii="Traditional Arabic" w:hAnsi="Traditional Arabic"/>
          <w:sz w:val="28"/>
          <w:rtl/>
        </w:rPr>
        <w:footnoteReference w:id="31"/>
      </w:r>
      <w:r w:rsidR="00286CB8" w:rsidRPr="00286CB8">
        <w:rPr>
          <w:rFonts w:hint="cs"/>
          <w:sz w:val="28"/>
          <w:szCs w:val="28"/>
          <w:vertAlign w:val="superscript"/>
          <w:rtl/>
        </w:rPr>
        <w:t>)</w:t>
      </w:r>
      <w:r>
        <w:rPr>
          <w:rFonts w:hint="cs"/>
          <w:rtl/>
        </w:rPr>
        <w:t>. وترى اللجنة، علاوةً على ذلك، أن صاحبي البلاغ لم يتمكنا من عرض قضيتهما على المحكمة الدستورية لتنظر فيها واسترداد الملكية المتنازع عليها بسبب قواعد إجرائية كانت تسري على الجميع سواسيةً. ومن ثم، ترى اللجنة أن صاحبي البلاغ لم يقدما أدلة، لأغراض المقبولية، تثبت أن المحاكم المحلية تصرفت بشكل بلغ حد التعسف أو إنكار العدالة. وعليه، فهي ترى أن هذه الادعاءات غير مقبولة بموجب المادة 2 من البروتوكول الاختياري.</w:t>
      </w:r>
      <w:r w:rsidR="00E43D3D">
        <w:rPr>
          <w:rFonts w:hint="cs"/>
          <w:rtl/>
        </w:rPr>
        <w:t xml:space="preserve"> </w:t>
      </w:r>
    </w:p>
    <w:p w:rsidR="002B64A7" w:rsidRDefault="002B64A7" w:rsidP="00EA40FE">
      <w:pPr>
        <w:pStyle w:val="SingleTxtGA"/>
        <w:rPr>
          <w:rtl/>
        </w:rPr>
      </w:pPr>
      <w:r>
        <w:rPr>
          <w:rFonts w:hint="cs"/>
          <w:rtl/>
        </w:rPr>
        <w:t>9-</w:t>
      </w:r>
      <w:r>
        <w:rPr>
          <w:rFonts w:hint="cs"/>
          <w:rtl/>
        </w:rPr>
        <w:tab/>
        <w:t>وبناءً على ذلك، تقرر اللجنة المعنية بحقوق الإنسان ما يلي:</w:t>
      </w:r>
    </w:p>
    <w:p w:rsidR="002B64A7" w:rsidRDefault="00286CB8" w:rsidP="001F1619">
      <w:pPr>
        <w:pStyle w:val="SingleTxtGA"/>
      </w:pPr>
      <w:r>
        <w:rPr>
          <w:rFonts w:hint="cs"/>
          <w:rtl/>
        </w:rPr>
        <w:tab/>
        <w:t>(أ)</w:t>
      </w:r>
      <w:r>
        <w:rPr>
          <w:rFonts w:hint="cs"/>
          <w:rtl/>
        </w:rPr>
        <w:tab/>
      </w:r>
      <w:r w:rsidR="002B64A7">
        <w:rPr>
          <w:rFonts w:hint="cs"/>
          <w:rtl/>
        </w:rPr>
        <w:t>عدم مقبولية البلاغ بموجب المادتين 2 و3 من البروتوكول الاختياري؛</w:t>
      </w:r>
    </w:p>
    <w:p w:rsidR="002B64A7" w:rsidRDefault="00286CB8" w:rsidP="001F1619">
      <w:pPr>
        <w:pStyle w:val="SingleTxtGA"/>
      </w:pPr>
      <w:r>
        <w:rPr>
          <w:rFonts w:hint="cs"/>
          <w:rtl/>
        </w:rPr>
        <w:tab/>
        <w:t>(ب)</w:t>
      </w:r>
      <w:r>
        <w:rPr>
          <w:rFonts w:hint="cs"/>
          <w:rtl/>
        </w:rPr>
        <w:tab/>
      </w:r>
      <w:r w:rsidR="002B64A7">
        <w:rPr>
          <w:rFonts w:hint="cs"/>
          <w:rtl/>
        </w:rPr>
        <w:t xml:space="preserve">تبليغ الدولة الطرف وصاحبي البلاغ بهذا القرار. </w:t>
      </w:r>
    </w:p>
    <w:p w:rsidR="002B64A7" w:rsidRPr="0043355B" w:rsidRDefault="0043355B" w:rsidP="001F1619">
      <w:pPr>
        <w:pStyle w:val="SingleTxtGA"/>
        <w:rPr>
          <w:sz w:val="30"/>
          <w:rtl/>
        </w:rPr>
      </w:pPr>
      <w:r w:rsidRPr="0043355B">
        <w:rPr>
          <w:rtl/>
        </w:rPr>
        <w:t>[اعتُمد بالإنكليزية والفرنسية والإسبانية، علماً بأن النص الإنكليزي هو النص الأصلي. وسيصدر لاحقاً أيضاً بالعربية والصينية والروسية كجزء من التقرير السنوي الذي تقدمه اللجنة إلى الجمعية العامة.]</w:t>
      </w:r>
    </w:p>
    <w:p w:rsidR="002B64A7" w:rsidRPr="00EA40FE" w:rsidRDefault="00EA40FE" w:rsidP="00EA40FE">
      <w:pPr>
        <w:spacing w:before="120"/>
        <w:jc w:val="center"/>
        <w:rPr>
          <w:u w:val="single"/>
        </w:rPr>
      </w:pPr>
      <w:r>
        <w:rPr>
          <w:u w:val="single"/>
          <w:rtl/>
        </w:rPr>
        <w:tab/>
      </w:r>
      <w:r>
        <w:rPr>
          <w:u w:val="single"/>
          <w:rtl/>
        </w:rPr>
        <w:tab/>
      </w:r>
      <w:r>
        <w:rPr>
          <w:u w:val="single"/>
          <w:rtl/>
        </w:rPr>
        <w:tab/>
      </w:r>
    </w:p>
    <w:sectPr w:rsidR="002B64A7" w:rsidRPr="00EA40FE"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54D" w:rsidRPr="00FE6865" w:rsidRDefault="00A4354D" w:rsidP="00FE6865">
      <w:pPr>
        <w:pStyle w:val="Footer"/>
      </w:pPr>
    </w:p>
  </w:endnote>
  <w:endnote w:type="continuationSeparator" w:id="0">
    <w:p w:rsidR="00A4354D" w:rsidRDefault="00A435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4A7" w:rsidRPr="002B64A7" w:rsidRDefault="002B64A7" w:rsidP="0036566F">
    <w:pPr>
      <w:pStyle w:val="Footer"/>
      <w:tabs>
        <w:tab w:val="right" w:pos="9598"/>
      </w:tabs>
    </w:pPr>
    <w:r>
      <w:t>GE.14-</w:t>
    </w:r>
    <w:r w:rsidR="00A32F87">
      <w:t>428</w:t>
    </w:r>
    <w:r w:rsidR="0036566F">
      <w:t>8</w:t>
    </w:r>
    <w:r w:rsidR="00A32F87">
      <w:t>5</w:t>
    </w:r>
    <w:r>
      <w:tab/>
    </w:r>
    <w:r w:rsidRPr="002B64A7">
      <w:rPr>
        <w:b/>
        <w:sz w:val="18"/>
      </w:rPr>
      <w:fldChar w:fldCharType="begin"/>
    </w:r>
    <w:r w:rsidRPr="002B64A7">
      <w:rPr>
        <w:b/>
        <w:sz w:val="18"/>
      </w:rPr>
      <w:instrText xml:space="preserve"> PAGE  \* MERGEFORMAT </w:instrText>
    </w:r>
    <w:r w:rsidRPr="002B64A7">
      <w:rPr>
        <w:b/>
        <w:sz w:val="18"/>
      </w:rPr>
      <w:fldChar w:fldCharType="separate"/>
    </w:r>
    <w:r w:rsidR="00633814">
      <w:rPr>
        <w:b/>
        <w:noProof/>
        <w:sz w:val="18"/>
      </w:rPr>
      <w:t>2</w:t>
    </w:r>
    <w:r w:rsidRPr="002B64A7">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4A7" w:rsidRPr="002B64A7" w:rsidRDefault="002B64A7" w:rsidP="0036566F">
    <w:pPr>
      <w:pStyle w:val="Footer"/>
      <w:tabs>
        <w:tab w:val="right" w:pos="9598"/>
      </w:tabs>
      <w:rPr>
        <w:b/>
        <w:sz w:val="18"/>
      </w:rPr>
    </w:pPr>
    <w:r w:rsidRPr="002B64A7">
      <w:rPr>
        <w:b/>
        <w:sz w:val="18"/>
      </w:rPr>
      <w:fldChar w:fldCharType="begin"/>
    </w:r>
    <w:r w:rsidRPr="002B64A7">
      <w:rPr>
        <w:b/>
        <w:sz w:val="18"/>
      </w:rPr>
      <w:instrText xml:space="preserve"> PAGE  \* MERGEFORMAT </w:instrText>
    </w:r>
    <w:r w:rsidRPr="002B64A7">
      <w:rPr>
        <w:b/>
        <w:sz w:val="18"/>
      </w:rPr>
      <w:fldChar w:fldCharType="separate"/>
    </w:r>
    <w:r w:rsidR="00633814">
      <w:rPr>
        <w:b/>
        <w:noProof/>
        <w:sz w:val="18"/>
      </w:rPr>
      <w:t>11</w:t>
    </w:r>
    <w:r w:rsidRPr="002B64A7">
      <w:rPr>
        <w:b/>
        <w:sz w:val="18"/>
      </w:rPr>
      <w:fldChar w:fldCharType="end"/>
    </w:r>
    <w:r>
      <w:rPr>
        <w:b/>
        <w:sz w:val="18"/>
      </w:rPr>
      <w:tab/>
    </w:r>
    <w:r>
      <w:t>GE.14-</w:t>
    </w:r>
    <w:r w:rsidR="00A32F87">
      <w:t>428</w:t>
    </w:r>
    <w:r w:rsidR="0036566F">
      <w:t>8</w:t>
    </w:r>
    <w:r w:rsidR="00A32F87">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36B" w:rsidRDefault="002B64A7" w:rsidP="0036566F">
    <w:pPr>
      <w:pStyle w:val="Footer"/>
      <w:jc w:val="right"/>
    </w:pPr>
    <w:r>
      <w:rPr>
        <w:sz w:val="20"/>
      </w:rPr>
      <w:t>(A)   GE.14-</w:t>
    </w:r>
    <w:r w:rsidR="009D4C6B">
      <w:rPr>
        <w:sz w:val="20"/>
      </w:rPr>
      <w:t>428</w:t>
    </w:r>
    <w:r w:rsidR="0036566F">
      <w:rPr>
        <w:sz w:val="20"/>
      </w:rPr>
      <w:t>8</w:t>
    </w:r>
    <w:r w:rsidR="009D4C6B">
      <w:rPr>
        <w:sz w:val="20"/>
      </w:rPr>
      <w:t>5</w:t>
    </w:r>
    <w:r>
      <w:rPr>
        <w:sz w:val="20"/>
      </w:rPr>
      <w:t xml:space="preserve">    2</w:t>
    </w:r>
    <w:r w:rsidR="009D4C6B">
      <w:rPr>
        <w:sz w:val="20"/>
      </w:rPr>
      <w:t>6</w:t>
    </w:r>
    <w:r>
      <w:rPr>
        <w:sz w:val="20"/>
      </w:rPr>
      <w:t>0514    270514</w:t>
    </w:r>
    <w:r w:rsidR="007B036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sidR="00633814">
      <w:br/>
    </w:r>
    <w:r w:rsidR="00633814" w:rsidRPr="00633814">
      <w:rPr>
        <w:rFonts w:ascii="C39T30Lfz" w:hAnsi="C39T30Lfz"/>
        <w:sz w:val="56"/>
      </w:rPr>
      <w:t></w:t>
    </w:r>
    <w:r w:rsidR="00633814" w:rsidRPr="00633814">
      <w:rPr>
        <w:rFonts w:ascii="C39T30Lfz" w:hAnsi="C39T30Lfz"/>
        <w:sz w:val="56"/>
      </w:rPr>
      <w:t></w:t>
    </w:r>
    <w:r w:rsidR="00633814" w:rsidRPr="00633814">
      <w:rPr>
        <w:rFonts w:ascii="C39T30Lfz" w:hAnsi="C39T30Lfz"/>
        <w:sz w:val="56"/>
      </w:rPr>
      <w:t></w:t>
    </w:r>
    <w:r w:rsidR="00633814" w:rsidRPr="00633814">
      <w:rPr>
        <w:rFonts w:ascii="C39T30Lfz" w:hAnsi="C39T30Lfz"/>
        <w:sz w:val="56"/>
      </w:rPr>
      <w:t></w:t>
    </w:r>
    <w:r w:rsidR="00633814" w:rsidRPr="00633814">
      <w:rPr>
        <w:rFonts w:ascii="C39T30Lfz" w:hAnsi="C39T30Lfz"/>
        <w:sz w:val="56"/>
      </w:rPr>
      <w:t></w:t>
    </w:r>
    <w:r w:rsidR="00633814" w:rsidRPr="00633814">
      <w:rPr>
        <w:rFonts w:ascii="C39T30Lfz" w:hAnsi="C39T30Lfz"/>
        <w:sz w:val="56"/>
      </w:rPr>
      <w:t></w:t>
    </w:r>
    <w:r w:rsidR="00633814" w:rsidRPr="00633814">
      <w:rPr>
        <w:rFonts w:ascii="C39T30Lfz" w:hAnsi="C39T30Lfz"/>
        <w:sz w:val="56"/>
      </w:rPr>
      <w:t></w:t>
    </w:r>
    <w:r w:rsidR="00633814" w:rsidRPr="00633814">
      <w:rPr>
        <w:rFonts w:ascii="C39T30Lfz" w:hAnsi="C39T30Lfz"/>
        <w:sz w:val="56"/>
      </w:rPr>
      <w:t></w:t>
    </w:r>
    <w:r w:rsidR="00633814" w:rsidRPr="00633814">
      <w:rPr>
        <w:rFonts w:ascii="C39T30Lfz" w:hAnsi="C39T30Lfz"/>
        <w:sz w:val="56"/>
      </w:rPr>
      <w:t></w:t>
    </w:r>
    <w:r w:rsidR="00633814">
      <w:rPr>
        <w:rFonts w:ascii="C39T30Lfz" w:hAnsi="C39T30Lfz"/>
        <w:sz w:val="56"/>
      </w:rPr>
      <w:tab/>
    </w:r>
    <w:r w:rsidR="00633814">
      <w:rPr>
        <w:noProof/>
        <w:lang w:val="en-US"/>
      </w:rPr>
      <w:pict>
        <v:shape id="_x0000_s2054" type="#_x0000_t75" style="position:absolute;left:0;text-align:left;margin-left:.05pt;margin-top:0;width:50.25pt;height:50.25pt;z-index:3;mso-position-horizontal-relative:text;mso-position-vertical-relative:text" o:allowincell="f">
          <v:imagedata r:id="rId2" o:title="2010&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54D" w:rsidRDefault="00A4354D" w:rsidP="007E4686">
      <w:pPr>
        <w:pStyle w:val="Footer"/>
        <w:bidi/>
        <w:spacing w:after="80" w:line="200" w:lineRule="exact"/>
        <w:ind w:left="680"/>
      </w:pPr>
      <w:r>
        <w:rPr>
          <w:rFonts w:hint="cs"/>
          <w:rtl/>
        </w:rPr>
        <w:t>__________</w:t>
      </w:r>
    </w:p>
  </w:footnote>
  <w:footnote w:type="continuationSeparator" w:id="0">
    <w:p w:rsidR="00A4354D" w:rsidRDefault="00A4354D" w:rsidP="007E4686">
      <w:pPr>
        <w:pStyle w:val="Footer"/>
        <w:bidi/>
        <w:spacing w:after="80" w:line="200" w:lineRule="exact"/>
        <w:ind w:left="680"/>
      </w:pPr>
      <w:r>
        <w:rPr>
          <w:rFonts w:hint="cs"/>
          <w:rtl/>
        </w:rPr>
        <w:t>__________</w:t>
      </w:r>
    </w:p>
  </w:footnote>
  <w:footnote w:id="1">
    <w:p w:rsidR="00DE442D" w:rsidRPr="00733C3D" w:rsidRDefault="00DE442D" w:rsidP="004D6FEE">
      <w:pPr>
        <w:pStyle w:val="footnoteText0"/>
        <w:tabs>
          <w:tab w:val="left" w:pos="1239"/>
        </w:tabs>
        <w:rPr>
          <w:rFonts w:hint="cs"/>
          <w:rtl/>
        </w:rPr>
      </w:pPr>
      <w:r w:rsidRPr="00733C3D">
        <w:rPr>
          <w:rtl/>
        </w:rPr>
        <w:tab/>
      </w:r>
      <w:r w:rsidRPr="00733C3D">
        <w:rPr>
          <w:rStyle w:val="FootnoteReference"/>
          <w:szCs w:val="26"/>
          <w:vertAlign w:val="baseline"/>
          <w:rtl/>
        </w:rPr>
        <w:t>*</w:t>
      </w:r>
      <w:r w:rsidRPr="00733C3D">
        <w:rPr>
          <w:rtl/>
        </w:rPr>
        <w:tab/>
      </w:r>
      <w:r w:rsidRPr="00733C3D">
        <w:rPr>
          <w:rFonts w:hint="cs"/>
          <w:rtl/>
        </w:rPr>
        <w:t>شارك</w:t>
      </w:r>
      <w:r w:rsidRPr="00733C3D">
        <w:rPr>
          <w:rtl/>
        </w:rPr>
        <w:t xml:space="preserve"> </w:t>
      </w:r>
      <w:r w:rsidRPr="00733C3D">
        <w:rPr>
          <w:rFonts w:hint="cs"/>
          <w:rtl/>
        </w:rPr>
        <w:t>في</w:t>
      </w:r>
      <w:r w:rsidRPr="00733C3D">
        <w:rPr>
          <w:rtl/>
        </w:rPr>
        <w:t xml:space="preserve"> </w:t>
      </w:r>
      <w:r w:rsidRPr="00733C3D">
        <w:rPr>
          <w:rFonts w:hint="cs"/>
          <w:rtl/>
        </w:rPr>
        <w:t>دراسة</w:t>
      </w:r>
      <w:r w:rsidRPr="00733C3D">
        <w:rPr>
          <w:rtl/>
        </w:rPr>
        <w:t xml:space="preserve"> </w:t>
      </w:r>
      <w:r w:rsidRPr="00733C3D">
        <w:rPr>
          <w:rFonts w:hint="cs"/>
          <w:rtl/>
        </w:rPr>
        <w:t>هذا</w:t>
      </w:r>
      <w:r w:rsidRPr="00733C3D">
        <w:rPr>
          <w:rtl/>
        </w:rPr>
        <w:t xml:space="preserve"> </w:t>
      </w:r>
      <w:r w:rsidRPr="00733C3D">
        <w:rPr>
          <w:rFonts w:hint="cs"/>
          <w:rtl/>
        </w:rPr>
        <w:t>البلاغ</w:t>
      </w:r>
      <w:r w:rsidRPr="00733C3D">
        <w:rPr>
          <w:rtl/>
        </w:rPr>
        <w:t xml:space="preserve"> </w:t>
      </w:r>
      <w:r w:rsidRPr="00733C3D">
        <w:rPr>
          <w:rFonts w:hint="cs"/>
          <w:rtl/>
        </w:rPr>
        <w:t>أعضاء</w:t>
      </w:r>
      <w:r w:rsidRPr="00733C3D">
        <w:rPr>
          <w:rtl/>
        </w:rPr>
        <w:t xml:space="preserve"> </w:t>
      </w:r>
      <w:r w:rsidRPr="00733C3D">
        <w:rPr>
          <w:rFonts w:hint="cs"/>
          <w:rtl/>
        </w:rPr>
        <w:t>اللجنة</w:t>
      </w:r>
      <w:r w:rsidRPr="00733C3D">
        <w:rPr>
          <w:rtl/>
        </w:rPr>
        <w:t xml:space="preserve"> </w:t>
      </w:r>
      <w:r w:rsidRPr="00733C3D">
        <w:rPr>
          <w:rFonts w:hint="cs"/>
          <w:rtl/>
        </w:rPr>
        <w:t>التالية</w:t>
      </w:r>
      <w:r w:rsidRPr="00733C3D">
        <w:rPr>
          <w:rtl/>
        </w:rPr>
        <w:t xml:space="preserve"> </w:t>
      </w:r>
      <w:r w:rsidRPr="00733C3D">
        <w:rPr>
          <w:rFonts w:hint="cs"/>
          <w:rtl/>
        </w:rPr>
        <w:t>أسماؤهم</w:t>
      </w:r>
      <w:r w:rsidRPr="00733C3D">
        <w:rPr>
          <w:rtl/>
        </w:rPr>
        <w:t xml:space="preserve">: </w:t>
      </w:r>
      <w:r w:rsidRPr="00733C3D">
        <w:rPr>
          <w:rFonts w:hint="cs"/>
          <w:rtl/>
        </w:rPr>
        <w:t>السيد</w:t>
      </w:r>
      <w:r w:rsidRPr="00733C3D">
        <w:rPr>
          <w:rtl/>
        </w:rPr>
        <w:t xml:space="preserve"> </w:t>
      </w:r>
      <w:r w:rsidRPr="00733C3D">
        <w:rPr>
          <w:rFonts w:hint="cs"/>
          <w:rtl/>
        </w:rPr>
        <w:t>عياض</w:t>
      </w:r>
      <w:r w:rsidRPr="00733C3D">
        <w:rPr>
          <w:rtl/>
        </w:rPr>
        <w:t xml:space="preserve"> </w:t>
      </w:r>
      <w:r w:rsidRPr="00733C3D">
        <w:rPr>
          <w:rFonts w:hint="cs"/>
          <w:rtl/>
        </w:rPr>
        <w:t>بن</w:t>
      </w:r>
      <w:r w:rsidRPr="00733C3D">
        <w:rPr>
          <w:rtl/>
        </w:rPr>
        <w:t xml:space="preserve"> </w:t>
      </w:r>
      <w:r w:rsidRPr="00733C3D">
        <w:rPr>
          <w:rFonts w:hint="cs"/>
          <w:rtl/>
        </w:rPr>
        <w:t>عاشور،</w:t>
      </w:r>
      <w:r w:rsidRPr="00733C3D">
        <w:rPr>
          <w:rtl/>
        </w:rPr>
        <w:t xml:space="preserve"> </w:t>
      </w:r>
      <w:r w:rsidRPr="00733C3D">
        <w:rPr>
          <w:rFonts w:hint="cs"/>
          <w:rtl/>
        </w:rPr>
        <w:t>السيد</w:t>
      </w:r>
      <w:r w:rsidRPr="00733C3D">
        <w:rPr>
          <w:rtl/>
        </w:rPr>
        <w:t xml:space="preserve"> </w:t>
      </w:r>
      <w:r w:rsidRPr="00733C3D">
        <w:rPr>
          <w:rFonts w:hint="cs"/>
          <w:rtl/>
        </w:rPr>
        <w:t>لزهاري</w:t>
      </w:r>
      <w:r w:rsidRPr="00733C3D">
        <w:rPr>
          <w:rtl/>
        </w:rPr>
        <w:t xml:space="preserve"> </w:t>
      </w:r>
      <w:r w:rsidRPr="00733C3D">
        <w:rPr>
          <w:rFonts w:hint="cs"/>
          <w:rtl/>
        </w:rPr>
        <w:t>بوزيد،</w:t>
      </w:r>
      <w:r w:rsidRPr="00733C3D">
        <w:rPr>
          <w:rtl/>
        </w:rPr>
        <w:t xml:space="preserve"> </w:t>
      </w:r>
      <w:r w:rsidRPr="00733C3D">
        <w:rPr>
          <w:rFonts w:hint="cs"/>
          <w:rtl/>
        </w:rPr>
        <w:t>السيدة</w:t>
      </w:r>
      <w:r w:rsidRPr="00733C3D">
        <w:rPr>
          <w:rtl/>
        </w:rPr>
        <w:t xml:space="preserve"> </w:t>
      </w:r>
      <w:r w:rsidRPr="00733C3D">
        <w:rPr>
          <w:rFonts w:hint="cs"/>
          <w:rtl/>
        </w:rPr>
        <w:t>كريستين</w:t>
      </w:r>
      <w:r w:rsidRPr="00733C3D">
        <w:rPr>
          <w:rtl/>
        </w:rPr>
        <w:t xml:space="preserve"> </w:t>
      </w:r>
      <w:r w:rsidRPr="00733C3D">
        <w:rPr>
          <w:rFonts w:hint="cs"/>
          <w:rtl/>
        </w:rPr>
        <w:t>شانيه، السيد أحمد أمين فتح الله،</w:t>
      </w:r>
      <w:r w:rsidRPr="00733C3D">
        <w:rPr>
          <w:rtl/>
        </w:rPr>
        <w:t xml:space="preserve"> </w:t>
      </w:r>
      <w:r w:rsidRPr="00733C3D">
        <w:rPr>
          <w:rFonts w:hint="cs"/>
          <w:rtl/>
        </w:rPr>
        <w:t>السيد</w:t>
      </w:r>
      <w:r w:rsidRPr="00733C3D">
        <w:rPr>
          <w:rtl/>
        </w:rPr>
        <w:t xml:space="preserve"> </w:t>
      </w:r>
      <w:r w:rsidRPr="00733C3D">
        <w:rPr>
          <w:rFonts w:hint="cs"/>
          <w:rtl/>
        </w:rPr>
        <w:t>كورنيليس</w:t>
      </w:r>
      <w:r w:rsidRPr="00733C3D">
        <w:rPr>
          <w:rtl/>
        </w:rPr>
        <w:t xml:space="preserve"> </w:t>
      </w:r>
      <w:r w:rsidRPr="00733C3D">
        <w:rPr>
          <w:rFonts w:hint="cs"/>
          <w:rtl/>
        </w:rPr>
        <w:t>فلينترمان،</w:t>
      </w:r>
      <w:r w:rsidRPr="00733C3D">
        <w:rPr>
          <w:rtl/>
        </w:rPr>
        <w:t xml:space="preserve"> </w:t>
      </w:r>
      <w:r w:rsidRPr="00733C3D">
        <w:rPr>
          <w:rFonts w:hint="cs"/>
          <w:rtl/>
        </w:rPr>
        <w:t>السيد</w:t>
      </w:r>
      <w:r w:rsidRPr="00733C3D">
        <w:rPr>
          <w:rtl/>
        </w:rPr>
        <w:t xml:space="preserve"> </w:t>
      </w:r>
      <w:r w:rsidRPr="00733C3D">
        <w:rPr>
          <w:rFonts w:hint="cs"/>
          <w:rtl/>
        </w:rPr>
        <w:t>يوجي</w:t>
      </w:r>
      <w:r w:rsidRPr="00733C3D">
        <w:rPr>
          <w:rtl/>
        </w:rPr>
        <w:t xml:space="preserve"> </w:t>
      </w:r>
      <w:r w:rsidRPr="00733C3D">
        <w:rPr>
          <w:rFonts w:hint="cs"/>
          <w:rtl/>
        </w:rPr>
        <w:t>إواساوا،</w:t>
      </w:r>
      <w:r w:rsidRPr="00733C3D">
        <w:rPr>
          <w:rtl/>
        </w:rPr>
        <w:t xml:space="preserve"> </w:t>
      </w:r>
      <w:r w:rsidRPr="00733C3D">
        <w:rPr>
          <w:rFonts w:hint="cs"/>
          <w:rtl/>
        </w:rPr>
        <w:t>السيد</w:t>
      </w:r>
      <w:r w:rsidRPr="00733C3D">
        <w:rPr>
          <w:rtl/>
        </w:rPr>
        <w:t xml:space="preserve"> </w:t>
      </w:r>
      <w:r w:rsidRPr="00733C3D">
        <w:rPr>
          <w:rFonts w:hint="cs"/>
          <w:rtl/>
        </w:rPr>
        <w:t>فالتر</w:t>
      </w:r>
      <w:r w:rsidRPr="00733C3D">
        <w:rPr>
          <w:rtl/>
        </w:rPr>
        <w:t xml:space="preserve"> </w:t>
      </w:r>
      <w:r w:rsidRPr="00733C3D">
        <w:rPr>
          <w:rFonts w:hint="cs"/>
          <w:rtl/>
        </w:rPr>
        <w:t>كالين،</w:t>
      </w:r>
      <w:r w:rsidRPr="00733C3D">
        <w:rPr>
          <w:rtl/>
        </w:rPr>
        <w:t xml:space="preserve"> </w:t>
      </w:r>
      <w:r w:rsidRPr="00733C3D">
        <w:rPr>
          <w:rFonts w:hint="cs"/>
          <w:rtl/>
        </w:rPr>
        <w:t>السيدة</w:t>
      </w:r>
      <w:r w:rsidRPr="00733C3D">
        <w:rPr>
          <w:rtl/>
        </w:rPr>
        <w:t xml:space="preserve"> </w:t>
      </w:r>
      <w:r w:rsidRPr="00733C3D">
        <w:rPr>
          <w:rFonts w:hint="cs"/>
          <w:rtl/>
        </w:rPr>
        <w:t>زونكي</w:t>
      </w:r>
      <w:r w:rsidRPr="00733C3D">
        <w:rPr>
          <w:rtl/>
        </w:rPr>
        <w:t xml:space="preserve"> </w:t>
      </w:r>
      <w:r w:rsidRPr="00733C3D">
        <w:rPr>
          <w:rFonts w:hint="cs"/>
          <w:rtl/>
        </w:rPr>
        <w:t>زانيلي</w:t>
      </w:r>
      <w:r w:rsidRPr="00733C3D">
        <w:rPr>
          <w:rtl/>
        </w:rPr>
        <w:t xml:space="preserve"> </w:t>
      </w:r>
      <w:r w:rsidRPr="00733C3D">
        <w:rPr>
          <w:rFonts w:hint="cs"/>
          <w:rtl/>
        </w:rPr>
        <w:t>ماجودينا،</w:t>
      </w:r>
      <w:r w:rsidRPr="00733C3D">
        <w:rPr>
          <w:rtl/>
        </w:rPr>
        <w:t xml:space="preserve"> </w:t>
      </w:r>
      <w:r w:rsidRPr="00733C3D">
        <w:rPr>
          <w:rFonts w:hint="cs"/>
          <w:rtl/>
        </w:rPr>
        <w:t>السيد</w:t>
      </w:r>
      <w:r w:rsidRPr="00733C3D">
        <w:rPr>
          <w:rtl/>
        </w:rPr>
        <w:t xml:space="preserve"> </w:t>
      </w:r>
      <w:r w:rsidRPr="00733C3D">
        <w:rPr>
          <w:rFonts w:hint="cs"/>
          <w:rtl/>
        </w:rPr>
        <w:t>جيرالد</w:t>
      </w:r>
      <w:r w:rsidRPr="00733C3D">
        <w:rPr>
          <w:rtl/>
        </w:rPr>
        <w:t xml:space="preserve"> </w:t>
      </w:r>
      <w:r w:rsidRPr="00733C3D">
        <w:rPr>
          <w:rFonts w:hint="cs"/>
          <w:rtl/>
        </w:rPr>
        <w:t>ل</w:t>
      </w:r>
      <w:r w:rsidRPr="00733C3D">
        <w:rPr>
          <w:rtl/>
        </w:rPr>
        <w:t xml:space="preserve">. </w:t>
      </w:r>
      <w:r w:rsidRPr="00733C3D">
        <w:rPr>
          <w:rFonts w:hint="cs"/>
          <w:rtl/>
        </w:rPr>
        <w:t>نومان،</w:t>
      </w:r>
      <w:r w:rsidRPr="00733C3D">
        <w:rPr>
          <w:rtl/>
        </w:rPr>
        <w:t xml:space="preserve"> </w:t>
      </w:r>
      <w:r w:rsidRPr="00733C3D">
        <w:rPr>
          <w:rFonts w:hint="cs"/>
          <w:rtl/>
        </w:rPr>
        <w:t>السير</w:t>
      </w:r>
      <w:r w:rsidRPr="00733C3D">
        <w:rPr>
          <w:rtl/>
        </w:rPr>
        <w:t xml:space="preserve"> </w:t>
      </w:r>
      <w:r w:rsidRPr="00733C3D">
        <w:rPr>
          <w:rFonts w:hint="cs"/>
          <w:rtl/>
        </w:rPr>
        <w:t>نايجل</w:t>
      </w:r>
      <w:r w:rsidRPr="00733C3D">
        <w:rPr>
          <w:rtl/>
        </w:rPr>
        <w:t xml:space="preserve"> </w:t>
      </w:r>
      <w:r w:rsidRPr="00733C3D">
        <w:rPr>
          <w:rFonts w:hint="cs"/>
          <w:rtl/>
        </w:rPr>
        <w:t xml:space="preserve">رودلي، السيد فيكتور مانويل رودريغيز </w:t>
      </w:r>
      <w:r w:rsidR="00AC4FB2" w:rsidRPr="00733C3D">
        <w:rPr>
          <w:rFonts w:hint="cs"/>
          <w:rtl/>
        </w:rPr>
        <w:t>-</w:t>
      </w:r>
      <w:r w:rsidRPr="00733C3D">
        <w:rPr>
          <w:rFonts w:hint="cs"/>
          <w:rtl/>
        </w:rPr>
        <w:t xml:space="preserve"> ريسيا، السيد</w:t>
      </w:r>
      <w:r w:rsidRPr="00733C3D">
        <w:rPr>
          <w:rtl/>
        </w:rPr>
        <w:t xml:space="preserve"> </w:t>
      </w:r>
      <w:r w:rsidRPr="00733C3D">
        <w:rPr>
          <w:rFonts w:hint="cs"/>
          <w:rtl/>
        </w:rPr>
        <w:t>فابيان</w:t>
      </w:r>
      <w:r w:rsidRPr="00733C3D">
        <w:rPr>
          <w:rtl/>
        </w:rPr>
        <w:t xml:space="preserve"> </w:t>
      </w:r>
      <w:r w:rsidRPr="00733C3D">
        <w:rPr>
          <w:rFonts w:hint="cs"/>
          <w:rtl/>
        </w:rPr>
        <w:t>عمر</w:t>
      </w:r>
      <w:r w:rsidRPr="00733C3D">
        <w:rPr>
          <w:rtl/>
        </w:rPr>
        <w:t xml:space="preserve"> </w:t>
      </w:r>
      <w:r w:rsidRPr="00733C3D">
        <w:rPr>
          <w:rFonts w:hint="cs"/>
          <w:rtl/>
        </w:rPr>
        <w:t>سالفيولي، السيدة أنجا س</w:t>
      </w:r>
      <w:r w:rsidR="00451195">
        <w:rPr>
          <w:rFonts w:hint="cs"/>
          <w:rtl/>
        </w:rPr>
        <w:t>ا</w:t>
      </w:r>
      <w:r w:rsidRPr="00733C3D">
        <w:rPr>
          <w:rFonts w:hint="cs"/>
          <w:rtl/>
        </w:rPr>
        <w:t>يبرت</w:t>
      </w:r>
      <w:r w:rsidR="006118A5" w:rsidRPr="00733C3D">
        <w:rPr>
          <w:rFonts w:hint="cs"/>
          <w:rtl/>
        </w:rPr>
        <w:t xml:space="preserve"> - </w:t>
      </w:r>
      <w:r w:rsidRPr="00733C3D">
        <w:rPr>
          <w:rFonts w:hint="cs"/>
          <w:rtl/>
        </w:rPr>
        <w:t>فور، السيد يوفال شاني، السيدة مارغو واترفال، السيد أندري بول زلاتيسكو.</w:t>
      </w:r>
    </w:p>
  </w:footnote>
  <w:footnote w:id="2">
    <w:p w:rsidR="00700C98" w:rsidRPr="00733C3D" w:rsidRDefault="00BF380A" w:rsidP="004D6FEE">
      <w:pPr>
        <w:pStyle w:val="FootnoteText"/>
        <w:numPr>
          <w:ilvl w:val="0"/>
          <w:numId w:val="42"/>
        </w:numPr>
        <w:tabs>
          <w:tab w:val="clear" w:pos="1293"/>
          <w:tab w:val="left" w:pos="1239"/>
        </w:tabs>
        <w:spacing w:after="60" w:line="300" w:lineRule="exact"/>
        <w:ind w:left="1247" w:right="1247"/>
        <w:rPr>
          <w:rFonts w:hint="cs"/>
          <w:sz w:val="18"/>
          <w:szCs w:val="26"/>
        </w:rPr>
      </w:pPr>
      <w:r w:rsidRPr="00733C3D">
        <w:rPr>
          <w:rFonts w:hint="cs"/>
          <w:sz w:val="18"/>
          <w:szCs w:val="26"/>
          <w:rtl/>
        </w:rPr>
        <w:t>دخل البروتوكول الاختياري الأول الملحق بالعهد الدولي الخاص بالحقوق المدنية والسياسية حيز النفاذ بالنسبة للجمهورية السلوفاكية في 1 كانون الثاني/يناير 1993.</w:t>
      </w:r>
    </w:p>
  </w:footnote>
  <w:footnote w:id="3">
    <w:p w:rsidR="002B64A7" w:rsidRPr="00733C3D" w:rsidRDefault="002B64A7" w:rsidP="004D6FEE">
      <w:pPr>
        <w:pStyle w:val="FootnoteText"/>
        <w:numPr>
          <w:ilvl w:val="0"/>
          <w:numId w:val="42"/>
        </w:numPr>
        <w:tabs>
          <w:tab w:val="clear" w:pos="1293"/>
          <w:tab w:val="left" w:pos="1239"/>
        </w:tabs>
        <w:spacing w:after="60" w:line="300" w:lineRule="exact"/>
        <w:ind w:left="1247" w:right="1247"/>
        <w:rPr>
          <w:sz w:val="18"/>
          <w:szCs w:val="26"/>
          <w:rtl/>
        </w:rPr>
      </w:pPr>
      <w:r w:rsidRPr="00733C3D">
        <w:rPr>
          <w:rFonts w:hint="cs"/>
          <w:sz w:val="18"/>
          <w:szCs w:val="26"/>
          <w:rtl/>
        </w:rPr>
        <w:t xml:space="preserve">يشير صاحبا البلاغ إلى الأمر رقم </w:t>
      </w:r>
      <w:r w:rsidRPr="00733C3D">
        <w:rPr>
          <w:sz w:val="18"/>
          <w:szCs w:val="26"/>
        </w:rPr>
        <w:t>NC II 823/48</w:t>
      </w:r>
      <w:r w:rsidRPr="00733C3D">
        <w:rPr>
          <w:rFonts w:hint="cs"/>
          <w:sz w:val="18"/>
          <w:szCs w:val="26"/>
          <w:rtl/>
        </w:rPr>
        <w:t xml:space="preserve"> (المؤرخ 30 تموز/يوليه 1949) الصادر عن محكمة مقاطعة ترينشين. </w:t>
      </w:r>
    </w:p>
  </w:footnote>
  <w:footnote w:id="4">
    <w:p w:rsidR="002B64A7" w:rsidRPr="00733C3D" w:rsidRDefault="002B64A7" w:rsidP="004D6FEE">
      <w:pPr>
        <w:pStyle w:val="FootnoteText"/>
        <w:numPr>
          <w:ilvl w:val="0"/>
          <w:numId w:val="42"/>
        </w:numPr>
        <w:tabs>
          <w:tab w:val="clear" w:pos="1293"/>
          <w:tab w:val="left" w:pos="1239"/>
        </w:tabs>
        <w:spacing w:after="60" w:line="300" w:lineRule="exact"/>
        <w:ind w:left="1247" w:right="1247"/>
        <w:rPr>
          <w:sz w:val="18"/>
          <w:szCs w:val="26"/>
          <w:rtl/>
        </w:rPr>
      </w:pPr>
      <w:r w:rsidRPr="00733C3D">
        <w:rPr>
          <w:rFonts w:hint="cs"/>
          <w:sz w:val="18"/>
          <w:szCs w:val="26"/>
          <w:rtl/>
        </w:rPr>
        <w:t xml:space="preserve">يشير صاحبا البلاغ إلى الأمر رقم </w:t>
      </w:r>
      <w:r w:rsidRPr="00733C3D">
        <w:rPr>
          <w:sz w:val="18"/>
          <w:szCs w:val="26"/>
        </w:rPr>
        <w:t>RIII 630/50</w:t>
      </w:r>
      <w:r w:rsidRPr="00733C3D">
        <w:rPr>
          <w:rFonts w:hint="cs"/>
          <w:sz w:val="18"/>
          <w:szCs w:val="26"/>
          <w:rtl/>
        </w:rPr>
        <w:t xml:space="preserve"> (المؤرخ 28 آذار/مارس 1951) الصادر عن محكمة</w:t>
      </w:r>
      <w:r w:rsidRPr="00733C3D">
        <w:rPr>
          <w:sz w:val="18"/>
          <w:szCs w:val="26"/>
          <w:rtl/>
        </w:rPr>
        <w:t xml:space="preserve"> </w:t>
      </w:r>
      <w:r w:rsidRPr="00733C3D">
        <w:rPr>
          <w:rFonts w:hint="cs"/>
          <w:sz w:val="18"/>
          <w:szCs w:val="26"/>
          <w:rtl/>
        </w:rPr>
        <w:t>الاستئناف</w:t>
      </w:r>
      <w:r w:rsidRPr="00733C3D">
        <w:rPr>
          <w:sz w:val="18"/>
          <w:szCs w:val="26"/>
          <w:rtl/>
        </w:rPr>
        <w:t xml:space="preserve"> </w:t>
      </w:r>
      <w:r w:rsidRPr="00733C3D">
        <w:rPr>
          <w:rFonts w:hint="cs"/>
          <w:sz w:val="18"/>
          <w:szCs w:val="26"/>
          <w:rtl/>
        </w:rPr>
        <w:t>في</w:t>
      </w:r>
      <w:r w:rsidRPr="00733C3D">
        <w:rPr>
          <w:sz w:val="18"/>
          <w:szCs w:val="26"/>
          <w:rtl/>
        </w:rPr>
        <w:t xml:space="preserve"> </w:t>
      </w:r>
      <w:r w:rsidRPr="00733C3D">
        <w:rPr>
          <w:rFonts w:hint="cs"/>
          <w:sz w:val="18"/>
          <w:szCs w:val="26"/>
          <w:rtl/>
        </w:rPr>
        <w:t>براتيسلافا.</w:t>
      </w:r>
    </w:p>
  </w:footnote>
  <w:footnote w:id="5">
    <w:p w:rsidR="002B64A7" w:rsidRPr="00733C3D" w:rsidRDefault="002B64A7" w:rsidP="004D6FEE">
      <w:pPr>
        <w:pStyle w:val="FootnoteText"/>
        <w:numPr>
          <w:ilvl w:val="0"/>
          <w:numId w:val="42"/>
        </w:numPr>
        <w:tabs>
          <w:tab w:val="clear" w:pos="1293"/>
          <w:tab w:val="left" w:pos="1239"/>
        </w:tabs>
        <w:spacing w:after="60" w:line="300" w:lineRule="exact"/>
        <w:ind w:left="1247" w:right="1247"/>
        <w:rPr>
          <w:sz w:val="18"/>
          <w:szCs w:val="26"/>
          <w:rtl/>
        </w:rPr>
      </w:pPr>
      <w:r w:rsidRPr="00733C3D">
        <w:rPr>
          <w:rFonts w:hint="cs"/>
          <w:sz w:val="18"/>
          <w:szCs w:val="26"/>
          <w:rtl/>
        </w:rPr>
        <w:t>يشير صاحبا البلاغ إلى قرار محكمة</w:t>
      </w:r>
      <w:r w:rsidRPr="00733C3D">
        <w:rPr>
          <w:sz w:val="18"/>
          <w:szCs w:val="26"/>
          <w:rtl/>
        </w:rPr>
        <w:t xml:space="preserve"> </w:t>
      </w:r>
      <w:r w:rsidRPr="00733C3D">
        <w:rPr>
          <w:rFonts w:hint="cs"/>
          <w:sz w:val="18"/>
          <w:szCs w:val="26"/>
          <w:rtl/>
        </w:rPr>
        <w:t>الاستئناف</w:t>
      </w:r>
      <w:r w:rsidRPr="00733C3D">
        <w:rPr>
          <w:sz w:val="18"/>
          <w:szCs w:val="26"/>
          <w:rtl/>
        </w:rPr>
        <w:t xml:space="preserve"> </w:t>
      </w:r>
      <w:r w:rsidRPr="00733C3D">
        <w:rPr>
          <w:rFonts w:hint="cs"/>
          <w:sz w:val="18"/>
          <w:szCs w:val="26"/>
          <w:rtl/>
        </w:rPr>
        <w:t>في</w:t>
      </w:r>
      <w:r w:rsidRPr="00733C3D">
        <w:rPr>
          <w:sz w:val="18"/>
          <w:szCs w:val="26"/>
          <w:rtl/>
        </w:rPr>
        <w:t xml:space="preserve"> </w:t>
      </w:r>
      <w:r w:rsidRPr="00733C3D">
        <w:rPr>
          <w:rFonts w:hint="cs"/>
          <w:sz w:val="18"/>
          <w:szCs w:val="26"/>
          <w:rtl/>
        </w:rPr>
        <w:t xml:space="preserve">براتيسلافا رقم </w:t>
      </w:r>
      <w:r w:rsidRPr="00733C3D">
        <w:rPr>
          <w:sz w:val="18"/>
          <w:szCs w:val="26"/>
        </w:rPr>
        <w:t xml:space="preserve">16 Co 53/94 – 51 </w:t>
      </w:r>
      <w:r w:rsidRPr="00733C3D">
        <w:rPr>
          <w:rFonts w:hint="cs"/>
          <w:sz w:val="18"/>
          <w:szCs w:val="26"/>
          <w:rtl/>
        </w:rPr>
        <w:t xml:space="preserve"> (المؤرخ 14 أيلول/سبتمبر 1994). </w:t>
      </w:r>
    </w:p>
  </w:footnote>
  <w:footnote w:id="6">
    <w:p w:rsidR="002B64A7" w:rsidRPr="00733C3D" w:rsidRDefault="002B64A7" w:rsidP="004D6FEE">
      <w:pPr>
        <w:pStyle w:val="FootnoteText"/>
        <w:numPr>
          <w:ilvl w:val="0"/>
          <w:numId w:val="42"/>
        </w:numPr>
        <w:tabs>
          <w:tab w:val="clear" w:pos="1293"/>
          <w:tab w:val="left" w:pos="1239"/>
        </w:tabs>
        <w:spacing w:after="60" w:line="300" w:lineRule="exact"/>
        <w:ind w:left="1247" w:right="1247"/>
        <w:rPr>
          <w:sz w:val="18"/>
          <w:szCs w:val="26"/>
          <w:rtl/>
        </w:rPr>
      </w:pPr>
      <w:r w:rsidRPr="00733C3D">
        <w:rPr>
          <w:rFonts w:hint="cs"/>
          <w:sz w:val="18"/>
          <w:szCs w:val="26"/>
          <w:rtl/>
        </w:rPr>
        <w:t xml:space="preserve">يشير صاحبا البلاغ إلى مذكرة المدعي العام للجمهورية السلوفاكية رقم </w:t>
      </w:r>
      <w:r w:rsidRPr="00733C3D">
        <w:rPr>
          <w:sz w:val="18"/>
          <w:szCs w:val="26"/>
        </w:rPr>
        <w:t xml:space="preserve">VI Pz 123/96-57 </w:t>
      </w:r>
      <w:r w:rsidRPr="00733C3D">
        <w:rPr>
          <w:rFonts w:hint="cs"/>
          <w:sz w:val="18"/>
          <w:szCs w:val="26"/>
          <w:rtl/>
        </w:rPr>
        <w:t xml:space="preserve"> (المؤرخة 26 حزيران/يونيه 1996). </w:t>
      </w:r>
    </w:p>
  </w:footnote>
  <w:footnote w:id="7">
    <w:p w:rsidR="002B64A7" w:rsidRPr="00733C3D" w:rsidRDefault="002B64A7" w:rsidP="004D6FEE">
      <w:pPr>
        <w:pStyle w:val="FootnoteText"/>
        <w:numPr>
          <w:ilvl w:val="0"/>
          <w:numId w:val="42"/>
        </w:numPr>
        <w:tabs>
          <w:tab w:val="clear" w:pos="1293"/>
          <w:tab w:val="left" w:pos="1239"/>
        </w:tabs>
        <w:spacing w:after="60" w:line="300" w:lineRule="exact"/>
        <w:ind w:left="1247" w:right="1247"/>
        <w:rPr>
          <w:sz w:val="18"/>
          <w:szCs w:val="26"/>
          <w:rtl/>
        </w:rPr>
      </w:pPr>
      <w:r w:rsidRPr="00733C3D">
        <w:rPr>
          <w:rFonts w:hint="cs"/>
          <w:sz w:val="18"/>
          <w:szCs w:val="26"/>
          <w:rtl/>
        </w:rPr>
        <w:t xml:space="preserve">يشير صاحبا البلاغ إلى الفقرة 5 من المادة 1 من القانون رقم 87/1991. </w:t>
      </w:r>
    </w:p>
  </w:footnote>
  <w:footnote w:id="8">
    <w:p w:rsidR="002B64A7" w:rsidRPr="00733C3D" w:rsidRDefault="002B64A7" w:rsidP="004D6FEE">
      <w:pPr>
        <w:pStyle w:val="FootnoteText"/>
        <w:numPr>
          <w:ilvl w:val="0"/>
          <w:numId w:val="42"/>
        </w:numPr>
        <w:tabs>
          <w:tab w:val="clear" w:pos="1293"/>
          <w:tab w:val="left" w:pos="1239"/>
        </w:tabs>
        <w:spacing w:after="60" w:line="300" w:lineRule="exact"/>
        <w:ind w:left="1247" w:right="1247"/>
        <w:rPr>
          <w:sz w:val="18"/>
          <w:szCs w:val="26"/>
          <w:rtl/>
        </w:rPr>
      </w:pPr>
      <w:r w:rsidRPr="00733C3D">
        <w:rPr>
          <w:rFonts w:hint="cs"/>
          <w:sz w:val="18"/>
          <w:szCs w:val="26"/>
          <w:rtl/>
        </w:rPr>
        <w:t xml:space="preserve">يشير صاحبا البلاغ إلى مذكرة المدعي العام للجمهورية السلوفاكية رقم </w:t>
      </w:r>
      <w:r w:rsidRPr="00733C3D">
        <w:rPr>
          <w:sz w:val="18"/>
          <w:szCs w:val="26"/>
        </w:rPr>
        <w:t>VI Pz 123/96-57</w:t>
      </w:r>
      <w:r w:rsidRPr="00733C3D">
        <w:rPr>
          <w:rFonts w:hint="cs"/>
          <w:sz w:val="18"/>
          <w:szCs w:val="26"/>
          <w:rtl/>
        </w:rPr>
        <w:t xml:space="preserve"> (المؤرخة 17 كانون الأول/ديسمبر 1996). </w:t>
      </w:r>
    </w:p>
  </w:footnote>
  <w:footnote w:id="9">
    <w:p w:rsidR="002B64A7" w:rsidRPr="00733C3D" w:rsidRDefault="002B64A7" w:rsidP="004D6FEE">
      <w:pPr>
        <w:pStyle w:val="FootnoteText"/>
        <w:numPr>
          <w:ilvl w:val="0"/>
          <w:numId w:val="42"/>
        </w:numPr>
        <w:tabs>
          <w:tab w:val="clear" w:pos="1293"/>
          <w:tab w:val="left" w:pos="1239"/>
        </w:tabs>
        <w:spacing w:after="60" w:line="300" w:lineRule="exact"/>
        <w:ind w:left="1247" w:right="1247"/>
        <w:rPr>
          <w:sz w:val="18"/>
          <w:szCs w:val="26"/>
          <w:rtl/>
        </w:rPr>
      </w:pPr>
      <w:r w:rsidRPr="00733C3D">
        <w:rPr>
          <w:rFonts w:hint="cs"/>
          <w:sz w:val="18"/>
          <w:szCs w:val="26"/>
          <w:rtl/>
        </w:rPr>
        <w:t xml:space="preserve">يشير صاحبا البلاغ إلى قرار المحكمة الدستورية رقم 281/1996. </w:t>
      </w:r>
    </w:p>
  </w:footnote>
  <w:footnote w:id="10">
    <w:p w:rsidR="002B64A7" w:rsidRPr="00733C3D" w:rsidRDefault="002B64A7" w:rsidP="00B27831">
      <w:pPr>
        <w:pStyle w:val="FootnoteText"/>
        <w:numPr>
          <w:ilvl w:val="0"/>
          <w:numId w:val="42"/>
        </w:numPr>
        <w:tabs>
          <w:tab w:val="clear" w:pos="1293"/>
          <w:tab w:val="left" w:pos="1239"/>
        </w:tabs>
        <w:spacing w:after="60" w:line="300" w:lineRule="exact"/>
        <w:ind w:left="1247" w:right="1247"/>
        <w:rPr>
          <w:sz w:val="18"/>
          <w:szCs w:val="26"/>
          <w:rtl/>
        </w:rPr>
      </w:pPr>
      <w:r w:rsidRPr="00733C3D">
        <w:rPr>
          <w:rFonts w:hint="cs"/>
          <w:sz w:val="18"/>
          <w:szCs w:val="26"/>
          <w:rtl/>
        </w:rPr>
        <w:t xml:space="preserve">يشير صاحبا البلاغ إلى قرار محكمة مقاطعة ترينشين رقم </w:t>
      </w:r>
      <w:r w:rsidRPr="00733C3D">
        <w:rPr>
          <w:sz w:val="18"/>
          <w:szCs w:val="26"/>
        </w:rPr>
        <w:t>8C 1163/1994</w:t>
      </w:r>
      <w:r w:rsidRPr="00733C3D">
        <w:rPr>
          <w:rFonts w:hint="cs"/>
          <w:sz w:val="18"/>
          <w:szCs w:val="26"/>
          <w:rtl/>
        </w:rPr>
        <w:t xml:space="preserve"> </w:t>
      </w:r>
      <w:r w:rsidRPr="00733C3D">
        <w:rPr>
          <w:sz w:val="18"/>
          <w:szCs w:val="26"/>
        </w:rPr>
        <w:t>(Okresny sud v Trenčín e)</w:t>
      </w:r>
      <w:r w:rsidR="00B27831" w:rsidRPr="00733C3D">
        <w:rPr>
          <w:sz w:val="18"/>
          <w:szCs w:val="26"/>
        </w:rPr>
        <w:br/>
      </w:r>
      <w:r w:rsidRPr="00733C3D">
        <w:rPr>
          <w:rFonts w:hint="cs"/>
          <w:sz w:val="18"/>
          <w:szCs w:val="26"/>
          <w:rtl/>
        </w:rPr>
        <w:t xml:space="preserve">(المؤرخ 27 شباط/فبراير 2004). </w:t>
      </w:r>
    </w:p>
  </w:footnote>
  <w:footnote w:id="11">
    <w:p w:rsidR="002B64A7" w:rsidRPr="00733C3D" w:rsidRDefault="002B64A7" w:rsidP="00972877">
      <w:pPr>
        <w:pStyle w:val="FootnoteText"/>
        <w:numPr>
          <w:ilvl w:val="0"/>
          <w:numId w:val="42"/>
        </w:numPr>
        <w:tabs>
          <w:tab w:val="clear" w:pos="1293"/>
          <w:tab w:val="left" w:pos="1239"/>
        </w:tabs>
        <w:spacing w:after="60" w:line="300" w:lineRule="exact"/>
        <w:ind w:left="1247" w:right="1247"/>
        <w:rPr>
          <w:sz w:val="18"/>
          <w:szCs w:val="26"/>
          <w:rtl/>
        </w:rPr>
      </w:pPr>
      <w:r w:rsidRPr="00733C3D">
        <w:rPr>
          <w:rFonts w:hint="cs"/>
          <w:sz w:val="18"/>
          <w:szCs w:val="26"/>
          <w:rtl/>
        </w:rPr>
        <w:t xml:space="preserve">يشير صاحبا البلاغ إلى قرار محكمة الاستئناف في ترينشين رقم </w:t>
      </w:r>
      <w:r w:rsidRPr="00733C3D">
        <w:rPr>
          <w:sz w:val="18"/>
          <w:szCs w:val="26"/>
        </w:rPr>
        <w:t>19 CO 220/05</w:t>
      </w:r>
      <w:r w:rsidRPr="00733C3D">
        <w:rPr>
          <w:rFonts w:hint="cs"/>
          <w:sz w:val="18"/>
          <w:szCs w:val="26"/>
          <w:rtl/>
        </w:rPr>
        <w:t xml:space="preserve"> (المؤرخ 15 كانون الأول/ديسمبر 2005). وبلغت تلك التكاليف 938.50 </w:t>
      </w:r>
      <w:r w:rsidR="00972877" w:rsidRPr="00733C3D">
        <w:rPr>
          <w:rFonts w:hint="cs"/>
          <w:sz w:val="18"/>
          <w:szCs w:val="26"/>
          <w:rtl/>
        </w:rPr>
        <w:t>307</w:t>
      </w:r>
      <w:r w:rsidR="00972877">
        <w:rPr>
          <w:rFonts w:hint="cs"/>
          <w:sz w:val="18"/>
          <w:szCs w:val="26"/>
          <w:rtl/>
        </w:rPr>
        <w:t xml:space="preserve"> </w:t>
      </w:r>
      <w:r w:rsidRPr="00733C3D">
        <w:rPr>
          <w:rFonts w:hint="cs"/>
          <w:sz w:val="18"/>
          <w:szCs w:val="26"/>
          <w:rtl/>
        </w:rPr>
        <w:t xml:space="preserve">كرونة سلوفاكية. </w:t>
      </w:r>
    </w:p>
  </w:footnote>
  <w:footnote w:id="12">
    <w:p w:rsidR="002B64A7" w:rsidRPr="00733C3D" w:rsidRDefault="002B64A7" w:rsidP="004D6FEE">
      <w:pPr>
        <w:pStyle w:val="FootnoteText"/>
        <w:numPr>
          <w:ilvl w:val="0"/>
          <w:numId w:val="42"/>
        </w:numPr>
        <w:tabs>
          <w:tab w:val="clear" w:pos="1293"/>
          <w:tab w:val="left" w:pos="1239"/>
        </w:tabs>
        <w:spacing w:after="60" w:line="300" w:lineRule="exact"/>
        <w:ind w:left="1247" w:right="1247"/>
        <w:rPr>
          <w:sz w:val="18"/>
          <w:szCs w:val="26"/>
          <w:rtl/>
        </w:rPr>
      </w:pPr>
      <w:r w:rsidRPr="00733C3D">
        <w:rPr>
          <w:rFonts w:hint="cs"/>
          <w:sz w:val="18"/>
          <w:szCs w:val="26"/>
          <w:rtl/>
        </w:rPr>
        <w:t xml:space="preserve">يشير صاحبا البلاغ إلى الفقرة 3 من المادة 24 من النظام الأساسي للمحكمة الجنائية الدولية ليوغوسلافيا سابقاً. </w:t>
      </w:r>
    </w:p>
  </w:footnote>
  <w:footnote w:id="13">
    <w:p w:rsidR="002B64A7" w:rsidRPr="00733C3D" w:rsidRDefault="002B64A7" w:rsidP="004D6FEE">
      <w:pPr>
        <w:pStyle w:val="FootnoteText"/>
        <w:numPr>
          <w:ilvl w:val="0"/>
          <w:numId w:val="42"/>
        </w:numPr>
        <w:tabs>
          <w:tab w:val="clear" w:pos="1293"/>
          <w:tab w:val="left" w:pos="1239"/>
        </w:tabs>
        <w:spacing w:after="60" w:line="300" w:lineRule="exact"/>
        <w:ind w:left="1247" w:right="1247"/>
        <w:rPr>
          <w:sz w:val="18"/>
          <w:szCs w:val="26"/>
          <w:rtl/>
        </w:rPr>
      </w:pPr>
      <w:r w:rsidRPr="00733C3D">
        <w:rPr>
          <w:rFonts w:hint="cs"/>
          <w:sz w:val="18"/>
          <w:szCs w:val="26"/>
          <w:rtl/>
        </w:rPr>
        <w:t xml:space="preserve">يشير صاحبا البلاغ إلى الأمر رقم </w:t>
      </w:r>
      <w:r w:rsidRPr="00733C3D">
        <w:rPr>
          <w:sz w:val="18"/>
          <w:szCs w:val="26"/>
        </w:rPr>
        <w:t>II US 391/06-13</w:t>
      </w:r>
      <w:r w:rsidRPr="00733C3D">
        <w:rPr>
          <w:rFonts w:hint="cs"/>
          <w:sz w:val="18"/>
          <w:szCs w:val="26"/>
          <w:rtl/>
        </w:rPr>
        <w:t xml:space="preserve">، الصادر عن المحكمة الدستورية (والمؤرخ 22 تشرين الثاني/نوفمبر 2006). </w:t>
      </w:r>
    </w:p>
  </w:footnote>
  <w:footnote w:id="14">
    <w:p w:rsidR="002B64A7" w:rsidRPr="00733C3D" w:rsidRDefault="002B64A7" w:rsidP="004D6FEE">
      <w:pPr>
        <w:pStyle w:val="FootnoteText"/>
        <w:numPr>
          <w:ilvl w:val="0"/>
          <w:numId w:val="42"/>
        </w:numPr>
        <w:tabs>
          <w:tab w:val="clear" w:pos="1293"/>
          <w:tab w:val="left" w:pos="1239"/>
        </w:tabs>
        <w:spacing w:after="60" w:line="300" w:lineRule="exact"/>
        <w:ind w:left="1247" w:right="1247"/>
        <w:rPr>
          <w:sz w:val="18"/>
          <w:szCs w:val="26"/>
          <w:rtl/>
        </w:rPr>
      </w:pPr>
      <w:r w:rsidRPr="00733C3D">
        <w:rPr>
          <w:rFonts w:hint="cs"/>
          <w:sz w:val="18"/>
          <w:szCs w:val="26"/>
          <w:rtl/>
        </w:rPr>
        <w:t xml:space="preserve">أًُدرجت الحجج التي قدمها صاحبا البلاغ بشأن أساس القرار الصادر عن المحكمة الدستورية في رسالة تكميلية قدماها في 24 أيلول/سبتمبر 2009. </w:t>
      </w:r>
    </w:p>
  </w:footnote>
  <w:footnote w:id="15">
    <w:p w:rsidR="002B64A7" w:rsidRPr="00733C3D" w:rsidRDefault="002B64A7" w:rsidP="004D6FEE">
      <w:pPr>
        <w:pStyle w:val="FootnoteText"/>
        <w:numPr>
          <w:ilvl w:val="0"/>
          <w:numId w:val="42"/>
        </w:numPr>
        <w:tabs>
          <w:tab w:val="clear" w:pos="1293"/>
          <w:tab w:val="left" w:pos="1239"/>
        </w:tabs>
        <w:spacing w:after="60" w:line="300" w:lineRule="exact"/>
        <w:ind w:left="1247" w:right="1247"/>
        <w:rPr>
          <w:sz w:val="18"/>
          <w:szCs w:val="26"/>
          <w:rtl/>
        </w:rPr>
      </w:pPr>
      <w:r w:rsidRPr="00733C3D">
        <w:rPr>
          <w:rFonts w:hint="cs"/>
          <w:sz w:val="18"/>
          <w:szCs w:val="26"/>
          <w:rtl/>
        </w:rPr>
        <w:t xml:space="preserve">يشير </w:t>
      </w:r>
      <w:r w:rsidRPr="00733C3D">
        <w:rPr>
          <w:rStyle w:val="FootnoteReference"/>
          <w:rFonts w:hint="cs"/>
          <w:szCs w:val="26"/>
          <w:vertAlign w:val="baseline"/>
          <w:rtl/>
        </w:rPr>
        <w:t>صاحبا</w:t>
      </w:r>
      <w:r w:rsidRPr="00733C3D">
        <w:rPr>
          <w:rFonts w:hint="cs"/>
          <w:sz w:val="18"/>
          <w:szCs w:val="26"/>
          <w:rtl/>
        </w:rPr>
        <w:t xml:space="preserve"> البلاغ إلى مبدأ التوقعات المشروعة، الذي يعرّفه الاتحاد الأوروبي على النحو التالي: "يشمل نطاق حماية التوقعات المشروعة كل فرد يوجد في وضع يتضح منه أن تصرف إدارة الجماعات الأوروبية جعله يمني نفسه بتوقعات معقولة". انظر قضية </w:t>
      </w:r>
      <w:r w:rsidRPr="00733C3D">
        <w:rPr>
          <w:rFonts w:hint="cs"/>
          <w:i/>
          <w:iCs/>
          <w:sz w:val="18"/>
          <w:szCs w:val="26"/>
          <w:rtl/>
        </w:rPr>
        <w:t>جون</w:t>
      </w:r>
      <w:r w:rsidR="0020604B" w:rsidRPr="00733C3D">
        <w:rPr>
          <w:rFonts w:hint="cs"/>
          <w:i/>
          <w:iCs/>
          <w:sz w:val="18"/>
          <w:szCs w:val="26"/>
          <w:rtl/>
        </w:rPr>
        <w:t xml:space="preserve"> - </w:t>
      </w:r>
      <w:r w:rsidRPr="00733C3D">
        <w:rPr>
          <w:rFonts w:hint="cs"/>
          <w:i/>
          <w:iCs/>
          <w:sz w:val="18"/>
          <w:szCs w:val="26"/>
          <w:rtl/>
        </w:rPr>
        <w:t>لوي شوميل ضد لجنة الجماعات الأوروبية</w:t>
      </w:r>
      <w:r w:rsidRPr="00733C3D">
        <w:rPr>
          <w:rFonts w:hint="cs"/>
          <w:sz w:val="18"/>
          <w:szCs w:val="26"/>
          <w:rtl/>
        </w:rPr>
        <w:t>،</w:t>
      </w:r>
      <w:r w:rsidR="00451195">
        <w:rPr>
          <w:rFonts w:hint="cs"/>
          <w:sz w:val="18"/>
          <w:szCs w:val="26"/>
          <w:rtl/>
        </w:rPr>
        <w:t xml:space="preserve">          </w:t>
      </w:r>
      <w:r w:rsidRPr="00733C3D">
        <w:rPr>
          <w:rFonts w:hint="cs"/>
          <w:sz w:val="18"/>
          <w:szCs w:val="26"/>
          <w:rtl/>
        </w:rPr>
        <w:t xml:space="preserve"> الفقرة 2 من ملخص القضية </w:t>
      </w:r>
      <w:r w:rsidRPr="00733C3D">
        <w:rPr>
          <w:sz w:val="18"/>
          <w:szCs w:val="26"/>
        </w:rPr>
        <w:t>T-123/89</w:t>
      </w:r>
      <w:r w:rsidRPr="00733C3D">
        <w:rPr>
          <w:rFonts w:hint="cs"/>
          <w:sz w:val="18"/>
          <w:szCs w:val="26"/>
          <w:rtl/>
        </w:rPr>
        <w:t>.</w:t>
      </w:r>
    </w:p>
  </w:footnote>
  <w:footnote w:id="16">
    <w:p w:rsidR="002B64A7" w:rsidRPr="00733C3D" w:rsidRDefault="002B64A7" w:rsidP="004D6FEE">
      <w:pPr>
        <w:pStyle w:val="FootnoteText"/>
        <w:numPr>
          <w:ilvl w:val="0"/>
          <w:numId w:val="42"/>
        </w:numPr>
        <w:tabs>
          <w:tab w:val="clear" w:pos="1293"/>
          <w:tab w:val="left" w:pos="1239"/>
        </w:tabs>
        <w:spacing w:after="60" w:line="300" w:lineRule="exact"/>
        <w:ind w:left="1247" w:right="1247"/>
        <w:rPr>
          <w:sz w:val="18"/>
          <w:szCs w:val="26"/>
          <w:rtl/>
        </w:rPr>
      </w:pPr>
      <w:r w:rsidRPr="00733C3D">
        <w:rPr>
          <w:rFonts w:hint="cs"/>
          <w:sz w:val="18"/>
          <w:szCs w:val="26"/>
          <w:rtl/>
        </w:rPr>
        <w:t>يلاحظ صاحبا البلاغ أيضاً أن شكواهما ليست قيد النظر أمام أي محكمة أو هيئة دولية أخرى. وفي</w:t>
      </w:r>
      <w:r w:rsidR="006E3F78">
        <w:rPr>
          <w:rFonts w:hint="cs"/>
          <w:sz w:val="18"/>
          <w:szCs w:val="26"/>
          <w:rtl/>
        </w:rPr>
        <w:t xml:space="preserve">          </w:t>
      </w:r>
      <w:r w:rsidRPr="00733C3D">
        <w:rPr>
          <w:rFonts w:hint="cs"/>
          <w:sz w:val="18"/>
          <w:szCs w:val="26"/>
          <w:rtl/>
        </w:rPr>
        <w:t xml:space="preserve"> عام 2008، أُعلن عن عدم مقبولية الشكوى التي قدمها صاحبا البلاغ إلى المحكمة الأوروبية لحقوق الإنسان بسبب عدم استنفادهما سبل الانتصاف المحلية.</w:t>
      </w:r>
    </w:p>
  </w:footnote>
  <w:footnote w:id="17">
    <w:p w:rsidR="002B64A7" w:rsidRPr="00733C3D" w:rsidRDefault="002B64A7" w:rsidP="004D6FEE">
      <w:pPr>
        <w:pStyle w:val="FootnoteText"/>
        <w:numPr>
          <w:ilvl w:val="0"/>
          <w:numId w:val="42"/>
        </w:numPr>
        <w:tabs>
          <w:tab w:val="clear" w:pos="1293"/>
          <w:tab w:val="left" w:pos="1239"/>
        </w:tabs>
        <w:spacing w:after="60" w:line="300" w:lineRule="exact"/>
        <w:ind w:left="1247" w:right="1247"/>
        <w:rPr>
          <w:sz w:val="18"/>
          <w:szCs w:val="26"/>
          <w:rtl/>
        </w:rPr>
      </w:pPr>
      <w:r w:rsidRPr="00733C3D">
        <w:rPr>
          <w:rFonts w:hint="cs"/>
          <w:sz w:val="18"/>
          <w:szCs w:val="26"/>
          <w:rtl/>
        </w:rPr>
        <w:t xml:space="preserve">تشير الدولة </w:t>
      </w:r>
      <w:r w:rsidRPr="00733C3D">
        <w:rPr>
          <w:rStyle w:val="FootnoteReference"/>
          <w:rFonts w:hint="cs"/>
          <w:szCs w:val="26"/>
          <w:vertAlign w:val="baseline"/>
          <w:rtl/>
        </w:rPr>
        <w:t>الطرف</w:t>
      </w:r>
      <w:r w:rsidRPr="00733C3D">
        <w:rPr>
          <w:rFonts w:hint="cs"/>
          <w:sz w:val="18"/>
          <w:szCs w:val="26"/>
          <w:rtl/>
        </w:rPr>
        <w:t xml:space="preserve"> إلى المادة 25(2) من القانون المتعلق بالمحكمة الدستورية.</w:t>
      </w:r>
    </w:p>
  </w:footnote>
  <w:footnote w:id="18">
    <w:p w:rsidR="002B64A7" w:rsidRPr="00733C3D" w:rsidRDefault="002B64A7" w:rsidP="004D6FEE">
      <w:pPr>
        <w:pStyle w:val="FootnoteText"/>
        <w:numPr>
          <w:ilvl w:val="0"/>
          <w:numId w:val="42"/>
        </w:numPr>
        <w:tabs>
          <w:tab w:val="clear" w:pos="1293"/>
          <w:tab w:val="left" w:pos="1239"/>
        </w:tabs>
        <w:spacing w:after="60" w:line="300" w:lineRule="exact"/>
        <w:ind w:left="1247" w:right="1247"/>
        <w:rPr>
          <w:sz w:val="18"/>
          <w:szCs w:val="26"/>
          <w:rtl/>
        </w:rPr>
      </w:pPr>
      <w:r w:rsidRPr="00733C3D">
        <w:rPr>
          <w:rFonts w:hint="cs"/>
          <w:sz w:val="18"/>
          <w:szCs w:val="26"/>
          <w:rtl/>
        </w:rPr>
        <w:t xml:space="preserve">تشير الدولة </w:t>
      </w:r>
      <w:r w:rsidRPr="00733C3D">
        <w:rPr>
          <w:rStyle w:val="FootnoteReference"/>
          <w:rFonts w:hint="cs"/>
          <w:szCs w:val="26"/>
          <w:vertAlign w:val="baseline"/>
          <w:rtl/>
        </w:rPr>
        <w:t>الطرف</w:t>
      </w:r>
      <w:r w:rsidRPr="00733C3D">
        <w:rPr>
          <w:rFonts w:hint="cs"/>
          <w:sz w:val="18"/>
          <w:szCs w:val="26"/>
          <w:rtl/>
        </w:rPr>
        <w:t xml:space="preserve"> إلى رأي خطي صدر عن نائب رئيس محكمة مقاطعة ترينشين، المونسنيور فرانتيسيك بيريك (20 أيلول/سبتمبر 2010). وتشير الدولة الطرف أيضاً إلى قرار محكمة مقاطعة ترينشين في القضية رقم </w:t>
      </w:r>
      <w:r w:rsidRPr="00733C3D">
        <w:rPr>
          <w:sz w:val="18"/>
          <w:szCs w:val="26"/>
        </w:rPr>
        <w:t>8 C 1163/94</w:t>
      </w:r>
      <w:r w:rsidRPr="00733C3D">
        <w:rPr>
          <w:rFonts w:hint="cs"/>
          <w:sz w:val="18"/>
          <w:szCs w:val="26"/>
          <w:rtl/>
        </w:rPr>
        <w:t xml:space="preserve">، وقرار المحكمة الإقليمية في القضية رقم </w:t>
      </w:r>
      <w:r w:rsidRPr="00733C3D">
        <w:rPr>
          <w:sz w:val="18"/>
          <w:szCs w:val="26"/>
        </w:rPr>
        <w:t>19 C 220/05</w:t>
      </w:r>
      <w:r w:rsidRPr="00733C3D">
        <w:rPr>
          <w:rFonts w:hint="cs"/>
          <w:sz w:val="18"/>
          <w:szCs w:val="26"/>
          <w:rtl/>
        </w:rPr>
        <w:t>.</w:t>
      </w:r>
    </w:p>
  </w:footnote>
  <w:footnote w:id="19">
    <w:p w:rsidR="002B64A7" w:rsidRPr="00733C3D" w:rsidRDefault="002B64A7" w:rsidP="004D6FEE">
      <w:pPr>
        <w:pStyle w:val="FootnoteText"/>
        <w:numPr>
          <w:ilvl w:val="0"/>
          <w:numId w:val="42"/>
        </w:numPr>
        <w:tabs>
          <w:tab w:val="clear" w:pos="1293"/>
          <w:tab w:val="left" w:pos="1239"/>
        </w:tabs>
        <w:spacing w:after="60" w:line="300" w:lineRule="exact"/>
        <w:ind w:left="1247" w:right="1247"/>
        <w:rPr>
          <w:sz w:val="18"/>
          <w:szCs w:val="26"/>
          <w:rtl/>
        </w:rPr>
      </w:pPr>
      <w:r w:rsidRPr="00733C3D">
        <w:rPr>
          <w:rFonts w:hint="cs"/>
          <w:sz w:val="18"/>
          <w:szCs w:val="26"/>
          <w:rtl/>
        </w:rPr>
        <w:t>تشير الدولة الطرف، في جملة أمور أخرى، إلى الفقرة 5 من المادة 12 من دستور الجمهورية السلوفاكية (التي تكفل للجميع الحرية والمساواة في الكرامة والحقوق).</w:t>
      </w:r>
    </w:p>
  </w:footnote>
  <w:footnote w:id="20">
    <w:p w:rsidR="002B64A7" w:rsidRPr="00733C3D" w:rsidRDefault="002B64A7" w:rsidP="004D6FEE">
      <w:pPr>
        <w:pStyle w:val="FootnoteText"/>
        <w:numPr>
          <w:ilvl w:val="0"/>
          <w:numId w:val="42"/>
        </w:numPr>
        <w:tabs>
          <w:tab w:val="clear" w:pos="1293"/>
          <w:tab w:val="left" w:pos="1239"/>
        </w:tabs>
        <w:spacing w:after="60" w:line="300" w:lineRule="exact"/>
        <w:ind w:left="1247" w:right="1247"/>
        <w:rPr>
          <w:sz w:val="18"/>
          <w:szCs w:val="26"/>
          <w:rtl/>
        </w:rPr>
      </w:pPr>
      <w:r w:rsidRPr="00733C3D">
        <w:rPr>
          <w:rFonts w:hint="cs"/>
          <w:sz w:val="18"/>
          <w:szCs w:val="26"/>
          <w:rtl/>
        </w:rPr>
        <w:t xml:space="preserve">تشير الدولة الطرف إلى الملف ذي الرقم المرجعي </w:t>
      </w:r>
      <w:r w:rsidRPr="00733C3D">
        <w:rPr>
          <w:sz w:val="18"/>
          <w:szCs w:val="26"/>
        </w:rPr>
        <w:t>8C 1639/93</w:t>
      </w:r>
      <w:r w:rsidRPr="00733C3D">
        <w:rPr>
          <w:rFonts w:hint="cs"/>
          <w:sz w:val="18"/>
          <w:szCs w:val="26"/>
          <w:rtl/>
        </w:rPr>
        <w:t xml:space="preserve"> (المختتم في عام 1995).</w:t>
      </w:r>
    </w:p>
  </w:footnote>
  <w:footnote w:id="21">
    <w:p w:rsidR="002B64A7" w:rsidRPr="00733C3D" w:rsidRDefault="002B64A7" w:rsidP="006E3F78">
      <w:pPr>
        <w:pStyle w:val="FootnoteText"/>
        <w:numPr>
          <w:ilvl w:val="0"/>
          <w:numId w:val="42"/>
        </w:numPr>
        <w:tabs>
          <w:tab w:val="clear" w:pos="1293"/>
          <w:tab w:val="left" w:pos="1239"/>
        </w:tabs>
        <w:spacing w:after="60" w:line="300" w:lineRule="exact"/>
        <w:ind w:left="1247" w:right="1247"/>
        <w:rPr>
          <w:sz w:val="18"/>
          <w:szCs w:val="26"/>
          <w:rtl/>
        </w:rPr>
      </w:pPr>
      <w:r w:rsidRPr="00733C3D">
        <w:rPr>
          <w:rFonts w:hint="cs"/>
          <w:sz w:val="18"/>
          <w:szCs w:val="26"/>
          <w:rtl/>
        </w:rPr>
        <w:t xml:space="preserve">تشير </w:t>
      </w:r>
      <w:r w:rsidRPr="00733C3D">
        <w:rPr>
          <w:rStyle w:val="FootnoteReference"/>
          <w:rFonts w:hint="cs"/>
          <w:szCs w:val="26"/>
          <w:vertAlign w:val="baseline"/>
          <w:rtl/>
        </w:rPr>
        <w:t>الدولة</w:t>
      </w:r>
      <w:r w:rsidRPr="00733C3D">
        <w:rPr>
          <w:rFonts w:hint="cs"/>
          <w:sz w:val="18"/>
          <w:szCs w:val="26"/>
          <w:rtl/>
        </w:rPr>
        <w:t xml:space="preserve"> الطرف إلى قراري المحكمة العليا في الجمهورية السلوفاكية رقم</w:t>
      </w:r>
      <w:r w:rsidR="00DD07E0">
        <w:rPr>
          <w:rFonts w:hint="cs"/>
          <w:sz w:val="18"/>
          <w:szCs w:val="26"/>
          <w:rtl/>
        </w:rPr>
        <w:t xml:space="preserve"> </w:t>
      </w:r>
      <w:r w:rsidR="006E3F78" w:rsidRPr="00733C3D">
        <w:rPr>
          <w:sz w:val="18"/>
          <w:szCs w:val="26"/>
        </w:rPr>
        <w:t>55/1993</w:t>
      </w:r>
      <w:r w:rsidRPr="00733C3D">
        <w:rPr>
          <w:rFonts w:hint="cs"/>
          <w:sz w:val="18"/>
          <w:szCs w:val="26"/>
          <w:rtl/>
        </w:rPr>
        <w:t xml:space="preserve"> </w:t>
      </w:r>
      <w:r w:rsidRPr="00733C3D">
        <w:rPr>
          <w:sz w:val="18"/>
          <w:szCs w:val="26"/>
        </w:rPr>
        <w:t>3Cdo</w:t>
      </w:r>
      <w:r w:rsidR="006E3F78">
        <w:rPr>
          <w:sz w:val="18"/>
          <w:szCs w:val="26"/>
          <w:rtl/>
        </w:rPr>
        <w:br/>
      </w:r>
      <w:r w:rsidRPr="00733C3D">
        <w:rPr>
          <w:rFonts w:hint="cs"/>
          <w:sz w:val="18"/>
          <w:szCs w:val="26"/>
          <w:rtl/>
        </w:rPr>
        <w:t>و</w:t>
      </w:r>
      <w:r w:rsidRPr="00733C3D">
        <w:rPr>
          <w:sz w:val="18"/>
          <w:szCs w:val="26"/>
        </w:rPr>
        <w:t>3Cdo 13/1995</w:t>
      </w:r>
      <w:r w:rsidRPr="00733C3D">
        <w:rPr>
          <w:rFonts w:hint="cs"/>
          <w:sz w:val="18"/>
          <w:szCs w:val="26"/>
          <w:rtl/>
        </w:rPr>
        <w:t xml:space="preserve"> وقرار محكمة برتيسلافا الإقليمية رقم </w:t>
      </w:r>
      <w:r w:rsidRPr="00733C3D">
        <w:rPr>
          <w:sz w:val="18"/>
          <w:szCs w:val="26"/>
        </w:rPr>
        <w:t>17Co 345/1995</w:t>
      </w:r>
      <w:r w:rsidRPr="00733C3D">
        <w:rPr>
          <w:rFonts w:hint="cs"/>
          <w:sz w:val="18"/>
          <w:szCs w:val="26"/>
          <w:rtl/>
        </w:rPr>
        <w:t>.</w:t>
      </w:r>
    </w:p>
  </w:footnote>
  <w:footnote w:id="22">
    <w:p w:rsidR="002B64A7" w:rsidRPr="00733C3D" w:rsidRDefault="002B64A7" w:rsidP="00DD07E0">
      <w:pPr>
        <w:pStyle w:val="FootnoteText"/>
        <w:numPr>
          <w:ilvl w:val="0"/>
          <w:numId w:val="42"/>
        </w:numPr>
        <w:tabs>
          <w:tab w:val="clear" w:pos="1293"/>
          <w:tab w:val="left" w:pos="1239"/>
        </w:tabs>
        <w:spacing w:after="60" w:line="300" w:lineRule="exact"/>
        <w:ind w:left="1247" w:right="1247"/>
        <w:rPr>
          <w:sz w:val="18"/>
          <w:szCs w:val="26"/>
          <w:rtl/>
        </w:rPr>
      </w:pPr>
      <w:r w:rsidRPr="00733C3D">
        <w:rPr>
          <w:rFonts w:hint="cs"/>
          <w:sz w:val="18"/>
          <w:szCs w:val="26"/>
          <w:rtl/>
        </w:rPr>
        <w:t xml:space="preserve">تشير الدولة </w:t>
      </w:r>
      <w:r w:rsidRPr="00733C3D">
        <w:rPr>
          <w:rStyle w:val="FootnoteReference"/>
          <w:rFonts w:hint="cs"/>
          <w:szCs w:val="26"/>
          <w:vertAlign w:val="baseline"/>
          <w:rtl/>
        </w:rPr>
        <w:t>الطرف</w:t>
      </w:r>
      <w:r w:rsidRPr="00733C3D">
        <w:rPr>
          <w:rFonts w:hint="cs"/>
          <w:sz w:val="18"/>
          <w:szCs w:val="26"/>
          <w:rtl/>
        </w:rPr>
        <w:t xml:space="preserve"> إلى الملف ذي الرقم المرجعي</w:t>
      </w:r>
      <w:r w:rsidR="00DD07E0">
        <w:rPr>
          <w:rFonts w:hint="cs"/>
          <w:sz w:val="18"/>
          <w:szCs w:val="26"/>
          <w:rtl/>
        </w:rPr>
        <w:t xml:space="preserve"> </w:t>
      </w:r>
      <w:r w:rsidR="00DD07E0" w:rsidRPr="00733C3D">
        <w:rPr>
          <w:sz w:val="18"/>
          <w:szCs w:val="26"/>
        </w:rPr>
        <w:t>220/05</w:t>
      </w:r>
      <w:r w:rsidRPr="00733C3D">
        <w:rPr>
          <w:rFonts w:hint="cs"/>
          <w:sz w:val="18"/>
          <w:szCs w:val="26"/>
          <w:rtl/>
        </w:rPr>
        <w:t xml:space="preserve"> </w:t>
      </w:r>
      <w:r w:rsidRPr="00733C3D">
        <w:rPr>
          <w:sz w:val="18"/>
          <w:szCs w:val="26"/>
        </w:rPr>
        <w:t>19Co</w:t>
      </w:r>
      <w:r w:rsidRPr="00733C3D">
        <w:rPr>
          <w:rFonts w:hint="cs"/>
          <w:sz w:val="18"/>
          <w:szCs w:val="26"/>
          <w:rtl/>
        </w:rPr>
        <w:t xml:space="preserve"> (المؤرخ 15 كانون الثاني/</w:t>
      </w:r>
      <w:r w:rsidR="0042213D">
        <w:rPr>
          <w:rFonts w:hint="cs"/>
          <w:sz w:val="18"/>
          <w:szCs w:val="26"/>
          <w:rtl/>
        </w:rPr>
        <w:t xml:space="preserve">           </w:t>
      </w:r>
      <w:r w:rsidRPr="00733C3D">
        <w:rPr>
          <w:rFonts w:hint="cs"/>
          <w:sz w:val="18"/>
          <w:szCs w:val="26"/>
          <w:rtl/>
        </w:rPr>
        <w:t xml:space="preserve">ديسمبر 2005). </w:t>
      </w:r>
    </w:p>
  </w:footnote>
  <w:footnote w:id="23">
    <w:p w:rsidR="002B64A7" w:rsidRPr="00733C3D" w:rsidRDefault="002B64A7" w:rsidP="004D6FEE">
      <w:pPr>
        <w:pStyle w:val="FootnoteText"/>
        <w:numPr>
          <w:ilvl w:val="0"/>
          <w:numId w:val="42"/>
        </w:numPr>
        <w:tabs>
          <w:tab w:val="clear" w:pos="1293"/>
          <w:tab w:val="left" w:pos="1239"/>
        </w:tabs>
        <w:spacing w:after="60" w:line="300" w:lineRule="exact"/>
        <w:ind w:left="1247" w:right="1247"/>
        <w:rPr>
          <w:sz w:val="18"/>
          <w:szCs w:val="26"/>
          <w:rtl/>
        </w:rPr>
      </w:pPr>
      <w:r w:rsidRPr="00733C3D">
        <w:rPr>
          <w:rFonts w:hint="cs"/>
          <w:sz w:val="18"/>
          <w:szCs w:val="26"/>
          <w:rtl/>
        </w:rPr>
        <w:t xml:space="preserve">تشير الدولة </w:t>
      </w:r>
      <w:r w:rsidRPr="00733C3D">
        <w:rPr>
          <w:rStyle w:val="FootnoteReference"/>
          <w:rFonts w:hint="cs"/>
          <w:szCs w:val="26"/>
          <w:vertAlign w:val="baseline"/>
          <w:rtl/>
        </w:rPr>
        <w:t>الطرف</w:t>
      </w:r>
      <w:r w:rsidRPr="00733C3D">
        <w:rPr>
          <w:rFonts w:hint="cs"/>
          <w:sz w:val="18"/>
          <w:szCs w:val="26"/>
          <w:rtl/>
        </w:rPr>
        <w:t xml:space="preserve"> إلى المادة </w:t>
      </w:r>
      <w:r w:rsidRPr="00733C3D">
        <w:rPr>
          <w:sz w:val="18"/>
          <w:szCs w:val="26"/>
        </w:rPr>
        <w:t>243g</w:t>
      </w:r>
      <w:r w:rsidRPr="00733C3D">
        <w:rPr>
          <w:rFonts w:hint="cs"/>
          <w:sz w:val="18"/>
          <w:szCs w:val="26"/>
          <w:rtl/>
        </w:rPr>
        <w:t xml:space="preserve"> من قانون أصول المحاكمات المدنية. </w:t>
      </w:r>
    </w:p>
  </w:footnote>
  <w:footnote w:id="24">
    <w:p w:rsidR="002B64A7" w:rsidRPr="00733C3D" w:rsidRDefault="002B64A7" w:rsidP="005602BD">
      <w:pPr>
        <w:pStyle w:val="FootnoteText"/>
        <w:numPr>
          <w:ilvl w:val="0"/>
          <w:numId w:val="42"/>
        </w:numPr>
        <w:tabs>
          <w:tab w:val="clear" w:pos="1293"/>
          <w:tab w:val="left" w:pos="1239"/>
        </w:tabs>
        <w:spacing w:after="60" w:line="300" w:lineRule="exact"/>
        <w:ind w:left="1247" w:right="1247"/>
        <w:rPr>
          <w:sz w:val="18"/>
          <w:szCs w:val="26"/>
          <w:rtl/>
        </w:rPr>
      </w:pPr>
      <w:r w:rsidRPr="00733C3D">
        <w:rPr>
          <w:rFonts w:hint="cs"/>
          <w:sz w:val="18"/>
          <w:szCs w:val="26"/>
          <w:rtl/>
        </w:rPr>
        <w:t xml:space="preserve">تشير الدولة </w:t>
      </w:r>
      <w:r w:rsidRPr="00733C3D">
        <w:rPr>
          <w:rStyle w:val="FootnoteReference"/>
          <w:rFonts w:hint="cs"/>
          <w:szCs w:val="26"/>
          <w:vertAlign w:val="baseline"/>
          <w:rtl/>
        </w:rPr>
        <w:t>الطرف</w:t>
      </w:r>
      <w:r w:rsidRPr="00733C3D">
        <w:rPr>
          <w:rFonts w:hint="cs"/>
          <w:sz w:val="18"/>
          <w:szCs w:val="26"/>
          <w:rtl/>
        </w:rPr>
        <w:t xml:space="preserve"> إلى الفقرة 3 من المادة 53 من القانون رقم</w:t>
      </w:r>
      <w:r w:rsidR="007370EE">
        <w:rPr>
          <w:rFonts w:hint="cs"/>
          <w:sz w:val="18"/>
          <w:szCs w:val="26"/>
          <w:rtl/>
        </w:rPr>
        <w:t xml:space="preserve"> </w:t>
      </w:r>
      <w:r w:rsidR="005602BD" w:rsidRPr="00733C3D">
        <w:rPr>
          <w:sz w:val="18"/>
          <w:szCs w:val="26"/>
        </w:rPr>
        <w:t>Coll</w:t>
      </w:r>
      <w:r w:rsidRPr="00733C3D">
        <w:rPr>
          <w:rFonts w:hint="cs"/>
          <w:sz w:val="18"/>
          <w:szCs w:val="26"/>
          <w:rtl/>
        </w:rPr>
        <w:t xml:space="preserve"> </w:t>
      </w:r>
      <w:r w:rsidRPr="00733C3D">
        <w:rPr>
          <w:sz w:val="18"/>
          <w:szCs w:val="26"/>
        </w:rPr>
        <w:t>38/1993</w:t>
      </w:r>
      <w:r w:rsidR="005602BD">
        <w:rPr>
          <w:rFonts w:hint="cs"/>
          <w:sz w:val="18"/>
          <w:szCs w:val="26"/>
          <w:rtl/>
        </w:rPr>
        <w:t xml:space="preserve"> </w:t>
      </w:r>
      <w:r w:rsidRPr="00733C3D">
        <w:rPr>
          <w:rFonts w:hint="cs"/>
          <w:sz w:val="18"/>
          <w:szCs w:val="26"/>
          <w:rtl/>
        </w:rPr>
        <w:t xml:space="preserve">الخاص بتنظيم المحكمة </w:t>
      </w:r>
      <w:r w:rsidR="005602BD">
        <w:rPr>
          <w:sz w:val="18"/>
          <w:szCs w:val="26"/>
          <w:rtl/>
        </w:rPr>
        <w:br/>
      </w:r>
      <w:r w:rsidRPr="00733C3D">
        <w:rPr>
          <w:rFonts w:hint="cs"/>
          <w:sz w:val="18"/>
          <w:szCs w:val="26"/>
          <w:rtl/>
        </w:rPr>
        <w:t xml:space="preserve">الدستورية في الجمهورية السلوفاكية؛ والفقرة 2 من المادة 25 من القانون المتعلق بالمحكمة الدستورية. </w:t>
      </w:r>
    </w:p>
  </w:footnote>
  <w:footnote w:id="25">
    <w:p w:rsidR="002B64A7" w:rsidRPr="00733C3D" w:rsidRDefault="002B64A7" w:rsidP="00B27831">
      <w:pPr>
        <w:pStyle w:val="FootnoteText"/>
        <w:numPr>
          <w:ilvl w:val="0"/>
          <w:numId w:val="42"/>
        </w:numPr>
        <w:tabs>
          <w:tab w:val="clear" w:pos="1293"/>
          <w:tab w:val="left" w:pos="1239"/>
        </w:tabs>
        <w:spacing w:after="60" w:line="300" w:lineRule="exact"/>
        <w:ind w:left="1247" w:right="1247"/>
        <w:rPr>
          <w:sz w:val="18"/>
          <w:szCs w:val="26"/>
          <w:rtl/>
        </w:rPr>
      </w:pPr>
      <w:r w:rsidRPr="00733C3D">
        <w:rPr>
          <w:rFonts w:hint="cs"/>
          <w:sz w:val="18"/>
          <w:szCs w:val="26"/>
          <w:rtl/>
        </w:rPr>
        <w:t xml:space="preserve">تشير </w:t>
      </w:r>
      <w:r w:rsidRPr="00733C3D">
        <w:rPr>
          <w:rStyle w:val="FootnoteReference"/>
          <w:rFonts w:hint="cs"/>
          <w:szCs w:val="26"/>
          <w:vertAlign w:val="baseline"/>
          <w:rtl/>
        </w:rPr>
        <w:t>الدولة</w:t>
      </w:r>
      <w:r w:rsidRPr="00733C3D">
        <w:rPr>
          <w:rFonts w:hint="cs"/>
          <w:sz w:val="18"/>
          <w:szCs w:val="26"/>
          <w:rtl/>
        </w:rPr>
        <w:t xml:space="preserve"> الطرف إلى "السوابق القضائية الراسخة للمحكمة الأوروبية لحقوق الإنسان" التي تقضي بأن انتهاج سبل الانتصاف القانونية المحلية (أو استنفادها) بشكل رسمي لا يكفي؛ بل يجب بالأحرى</w:t>
      </w:r>
      <w:r w:rsidR="00B27831" w:rsidRPr="00733C3D">
        <w:rPr>
          <w:rFonts w:hint="cs"/>
          <w:sz w:val="18"/>
          <w:szCs w:val="26"/>
          <w:rtl/>
        </w:rPr>
        <w:t xml:space="preserve"> </w:t>
      </w:r>
      <w:r w:rsidRPr="00733C3D">
        <w:rPr>
          <w:rFonts w:hint="cs"/>
          <w:sz w:val="18"/>
          <w:szCs w:val="26"/>
          <w:rtl/>
        </w:rPr>
        <w:t>اللجوء إلى سبل الانتصاف القانونية في إطار المهل الزمنية ذات الصلة ووفقاً لمقتضيات التشريعات الوطنية.</w:t>
      </w:r>
    </w:p>
  </w:footnote>
  <w:footnote w:id="26">
    <w:p w:rsidR="002B64A7" w:rsidRPr="00733C3D" w:rsidRDefault="002B64A7" w:rsidP="004D6FEE">
      <w:pPr>
        <w:pStyle w:val="FootnoteText"/>
        <w:numPr>
          <w:ilvl w:val="0"/>
          <w:numId w:val="42"/>
        </w:numPr>
        <w:tabs>
          <w:tab w:val="clear" w:pos="1293"/>
          <w:tab w:val="left" w:pos="1239"/>
        </w:tabs>
        <w:spacing w:after="60" w:line="300" w:lineRule="exact"/>
        <w:ind w:left="1247" w:right="1247"/>
        <w:rPr>
          <w:sz w:val="18"/>
          <w:szCs w:val="26"/>
          <w:rtl/>
        </w:rPr>
      </w:pPr>
      <w:r w:rsidRPr="00733C3D">
        <w:rPr>
          <w:rFonts w:hint="cs"/>
          <w:sz w:val="18"/>
          <w:szCs w:val="26"/>
          <w:rtl/>
        </w:rPr>
        <w:t xml:space="preserve">يعرّف </w:t>
      </w:r>
      <w:r w:rsidRPr="00733C3D">
        <w:rPr>
          <w:rStyle w:val="FootnoteReference"/>
          <w:rFonts w:hint="cs"/>
          <w:szCs w:val="26"/>
          <w:vertAlign w:val="baseline"/>
          <w:rtl/>
        </w:rPr>
        <w:t>صاحبا</w:t>
      </w:r>
      <w:r w:rsidRPr="00733C3D">
        <w:rPr>
          <w:rFonts w:hint="cs"/>
          <w:sz w:val="18"/>
          <w:szCs w:val="26"/>
          <w:rtl/>
        </w:rPr>
        <w:t xml:space="preserve"> البلاغ ر.</w:t>
      </w:r>
      <w:r w:rsidR="0091207A">
        <w:rPr>
          <w:rFonts w:hint="cs"/>
          <w:sz w:val="18"/>
          <w:szCs w:val="26"/>
          <w:rtl/>
        </w:rPr>
        <w:t xml:space="preserve"> </w:t>
      </w:r>
      <w:r w:rsidRPr="00733C3D">
        <w:rPr>
          <w:rFonts w:hint="cs"/>
          <w:sz w:val="18"/>
          <w:szCs w:val="26"/>
          <w:rtl/>
        </w:rPr>
        <w:t xml:space="preserve">و. بأنه أحد ورثة عائلة هيرمان. </w:t>
      </w:r>
    </w:p>
  </w:footnote>
  <w:footnote w:id="27">
    <w:p w:rsidR="002B64A7" w:rsidRPr="00733C3D" w:rsidRDefault="002B64A7" w:rsidP="006E3F78">
      <w:pPr>
        <w:pStyle w:val="FootnoteText"/>
        <w:numPr>
          <w:ilvl w:val="0"/>
          <w:numId w:val="42"/>
        </w:numPr>
        <w:tabs>
          <w:tab w:val="clear" w:pos="1293"/>
          <w:tab w:val="left" w:pos="1239"/>
        </w:tabs>
        <w:spacing w:after="60" w:line="300" w:lineRule="exact"/>
        <w:ind w:left="1247" w:right="1247"/>
        <w:rPr>
          <w:sz w:val="18"/>
          <w:szCs w:val="26"/>
          <w:rtl/>
        </w:rPr>
      </w:pPr>
      <w:r w:rsidRPr="00733C3D">
        <w:rPr>
          <w:rFonts w:hint="cs"/>
          <w:sz w:val="18"/>
          <w:szCs w:val="26"/>
          <w:rtl/>
        </w:rPr>
        <w:t xml:space="preserve">يشير صاحبا البلاغ إلى المادة </w:t>
      </w:r>
      <w:r w:rsidRPr="00733C3D">
        <w:rPr>
          <w:sz w:val="18"/>
          <w:szCs w:val="26"/>
        </w:rPr>
        <w:t>243e</w:t>
      </w:r>
      <w:r w:rsidRPr="00733C3D">
        <w:rPr>
          <w:rFonts w:hint="cs"/>
          <w:sz w:val="18"/>
          <w:szCs w:val="26"/>
          <w:rtl/>
        </w:rPr>
        <w:t xml:space="preserve"> من قانون أصول المحاكمات المدنية، التي تنص على أنه: "يجوز للمدعي العام أن يعترض على قرار قضائي بالطعن في النقاط القانونية إذا اكتشف، بطلب من أحد أطراف الدعوى، انتهاكاً للقانون، وإذا كانت حماية حقوق الأفراد ومصالحهم تقتضي ذلك، وإذا لم يكن ثمة سبيل انتصاف آخر يضمن هذه الحماية"</w:t>
      </w:r>
      <w:r w:rsidR="006E3F78">
        <w:rPr>
          <w:rFonts w:hint="cs"/>
          <w:sz w:val="18"/>
          <w:szCs w:val="26"/>
          <w:rtl/>
        </w:rPr>
        <w:t>.</w:t>
      </w:r>
      <w:r w:rsidRPr="00733C3D">
        <w:rPr>
          <w:rFonts w:hint="cs"/>
          <w:sz w:val="18"/>
          <w:szCs w:val="26"/>
          <w:rtl/>
        </w:rPr>
        <w:t xml:space="preserve"> </w:t>
      </w:r>
    </w:p>
  </w:footnote>
  <w:footnote w:id="28">
    <w:p w:rsidR="002B64A7" w:rsidRPr="00733C3D" w:rsidRDefault="002B64A7" w:rsidP="003D2518">
      <w:pPr>
        <w:pStyle w:val="FootnoteText"/>
        <w:numPr>
          <w:ilvl w:val="0"/>
          <w:numId w:val="42"/>
        </w:numPr>
        <w:tabs>
          <w:tab w:val="clear" w:pos="1293"/>
          <w:tab w:val="left" w:pos="1239"/>
        </w:tabs>
        <w:spacing w:after="60" w:line="300" w:lineRule="exact"/>
        <w:ind w:left="1247" w:right="1247"/>
        <w:rPr>
          <w:sz w:val="18"/>
          <w:szCs w:val="26"/>
          <w:rtl/>
        </w:rPr>
      </w:pPr>
      <w:r w:rsidRPr="00733C3D">
        <w:rPr>
          <w:rFonts w:hint="cs"/>
          <w:sz w:val="18"/>
          <w:szCs w:val="26"/>
          <w:rtl/>
        </w:rPr>
        <w:t xml:space="preserve">انظر </w:t>
      </w:r>
      <w:r w:rsidRPr="00733C3D">
        <w:rPr>
          <w:rStyle w:val="FootnoteReference"/>
          <w:rFonts w:hint="cs"/>
          <w:szCs w:val="26"/>
          <w:vertAlign w:val="baseline"/>
          <w:rtl/>
        </w:rPr>
        <w:t>البلاغ</w:t>
      </w:r>
      <w:r w:rsidRPr="00733C3D">
        <w:rPr>
          <w:rFonts w:hint="cs"/>
          <w:sz w:val="18"/>
          <w:szCs w:val="26"/>
          <w:rtl/>
        </w:rPr>
        <w:t xml:space="preserve"> رقم 724/1996، قضية </w:t>
      </w:r>
      <w:r w:rsidRPr="00733C3D">
        <w:rPr>
          <w:rFonts w:hint="cs"/>
          <w:i/>
          <w:iCs/>
          <w:sz w:val="18"/>
          <w:szCs w:val="26"/>
          <w:rtl/>
        </w:rPr>
        <w:t>جارميلا مازوركييفيتشزوفا باسمها وباسم والدها جاروسلاف جاكس ضد الجمهورية التشيكية</w:t>
      </w:r>
      <w:r w:rsidRPr="00733C3D">
        <w:rPr>
          <w:rFonts w:hint="cs"/>
          <w:sz w:val="18"/>
          <w:szCs w:val="26"/>
          <w:rtl/>
        </w:rPr>
        <w:t>، قرار عدم المقبولية المؤرخ 26 تموز/يوليه 1999، الفقرة 6-2؛ والبلاغ رقم 544/1993، قضية</w:t>
      </w:r>
      <w:r w:rsidR="003D2518" w:rsidRPr="00733C3D">
        <w:rPr>
          <w:rFonts w:hint="cs"/>
          <w:sz w:val="18"/>
          <w:szCs w:val="26"/>
          <w:rtl/>
        </w:rPr>
        <w:t xml:space="preserve"> </w:t>
      </w:r>
      <w:r w:rsidRPr="00733C3D">
        <w:rPr>
          <w:rFonts w:hint="cs"/>
          <w:i/>
          <w:iCs/>
          <w:sz w:val="18"/>
          <w:szCs w:val="26"/>
          <w:rtl/>
        </w:rPr>
        <w:t>ك.</w:t>
      </w:r>
      <w:r w:rsidR="003D2518" w:rsidRPr="00733C3D">
        <w:rPr>
          <w:rFonts w:hint="cs"/>
          <w:i/>
          <w:iCs/>
          <w:sz w:val="18"/>
          <w:szCs w:val="26"/>
          <w:rtl/>
        </w:rPr>
        <w:t xml:space="preserve"> </w:t>
      </w:r>
      <w:r w:rsidRPr="00733C3D">
        <w:rPr>
          <w:rFonts w:hint="cs"/>
          <w:i/>
          <w:iCs/>
          <w:sz w:val="18"/>
          <w:szCs w:val="26"/>
          <w:rtl/>
        </w:rPr>
        <w:t>ج.</w:t>
      </w:r>
      <w:r w:rsidR="003D2518" w:rsidRPr="00733C3D">
        <w:rPr>
          <w:rFonts w:hint="cs"/>
          <w:i/>
          <w:iCs/>
          <w:sz w:val="18"/>
          <w:szCs w:val="26"/>
          <w:rtl/>
        </w:rPr>
        <w:t xml:space="preserve"> </w:t>
      </w:r>
      <w:r w:rsidRPr="00733C3D">
        <w:rPr>
          <w:rFonts w:hint="cs"/>
          <w:i/>
          <w:iCs/>
          <w:sz w:val="18"/>
          <w:szCs w:val="26"/>
          <w:rtl/>
        </w:rPr>
        <w:t>ل. ضد فنلندا،</w:t>
      </w:r>
      <w:r w:rsidRPr="00733C3D">
        <w:rPr>
          <w:rFonts w:hint="cs"/>
          <w:sz w:val="18"/>
          <w:szCs w:val="26"/>
          <w:rtl/>
        </w:rPr>
        <w:t xml:space="preserve"> قرار عدم المقبولية المؤرخ 3 تشرين الثاني/نوفمبر 1993. </w:t>
      </w:r>
    </w:p>
  </w:footnote>
  <w:footnote w:id="29">
    <w:p w:rsidR="002B64A7" w:rsidRPr="00733C3D" w:rsidRDefault="002B64A7" w:rsidP="004D6FEE">
      <w:pPr>
        <w:pStyle w:val="FootnoteText"/>
        <w:numPr>
          <w:ilvl w:val="0"/>
          <w:numId w:val="42"/>
        </w:numPr>
        <w:tabs>
          <w:tab w:val="clear" w:pos="1293"/>
          <w:tab w:val="left" w:pos="1239"/>
        </w:tabs>
        <w:spacing w:after="60" w:line="300" w:lineRule="exact"/>
        <w:ind w:left="1247" w:right="1247"/>
        <w:rPr>
          <w:sz w:val="18"/>
          <w:szCs w:val="26"/>
          <w:rtl/>
        </w:rPr>
      </w:pPr>
      <w:r w:rsidRPr="00733C3D">
        <w:rPr>
          <w:rFonts w:hint="cs"/>
          <w:sz w:val="18"/>
          <w:szCs w:val="26"/>
          <w:rtl/>
        </w:rPr>
        <w:t xml:space="preserve">في ضوء هذا الاستنتاج، لا ترى اللجنة ضرورة لمزيد من البحث في ادعاءات صاحبي البلاغ بأنهما تقيدا بالمهلة القانونية البالغة سنة واحدة ليطلبا إلى المدعي العام أن يطعن في النقاط القانونية، أو بأن الدولة الطرف انتهكت مبدأ التوقعات المشروعة عندما شرع المدعي العام في اتخاذ إجراءات بشأن طلبهما ولكنه رفض تقديم طعن في النقاط القانونية. </w:t>
      </w:r>
    </w:p>
  </w:footnote>
  <w:footnote w:id="30">
    <w:p w:rsidR="002B64A7" w:rsidRPr="00733C3D" w:rsidRDefault="002B64A7" w:rsidP="004D6FEE">
      <w:pPr>
        <w:pStyle w:val="FootnoteText"/>
        <w:numPr>
          <w:ilvl w:val="0"/>
          <w:numId w:val="42"/>
        </w:numPr>
        <w:tabs>
          <w:tab w:val="clear" w:pos="1293"/>
          <w:tab w:val="left" w:pos="1239"/>
        </w:tabs>
        <w:spacing w:after="60" w:line="300" w:lineRule="exact"/>
        <w:ind w:left="1247" w:right="1247"/>
        <w:rPr>
          <w:sz w:val="18"/>
          <w:szCs w:val="26"/>
          <w:rtl/>
        </w:rPr>
      </w:pPr>
      <w:r w:rsidRPr="00733C3D">
        <w:rPr>
          <w:rFonts w:hint="cs"/>
          <w:sz w:val="18"/>
          <w:szCs w:val="26"/>
          <w:rtl/>
        </w:rPr>
        <w:t xml:space="preserve">انظر </w:t>
      </w:r>
      <w:r w:rsidRPr="00733C3D">
        <w:rPr>
          <w:rStyle w:val="FootnoteReference"/>
          <w:rFonts w:hint="cs"/>
          <w:szCs w:val="26"/>
          <w:vertAlign w:val="baseline"/>
          <w:rtl/>
        </w:rPr>
        <w:t>البلاغ</w:t>
      </w:r>
      <w:r w:rsidRPr="00733C3D">
        <w:rPr>
          <w:rFonts w:hint="cs"/>
          <w:sz w:val="18"/>
          <w:szCs w:val="26"/>
          <w:rtl/>
        </w:rPr>
        <w:t xml:space="preserve"> رقم 541/1993، قضية</w:t>
      </w:r>
      <w:r w:rsidRPr="00733C3D">
        <w:rPr>
          <w:rFonts w:hint="cs"/>
          <w:i/>
          <w:iCs/>
          <w:sz w:val="18"/>
          <w:szCs w:val="26"/>
          <w:rtl/>
        </w:rPr>
        <w:t xml:space="preserve"> إرول سيمس ضد جامايكا</w:t>
      </w:r>
      <w:r w:rsidRPr="00733C3D">
        <w:rPr>
          <w:rFonts w:hint="cs"/>
          <w:sz w:val="18"/>
          <w:szCs w:val="26"/>
          <w:rtl/>
        </w:rPr>
        <w:t xml:space="preserve">، القرار المؤرخ 3 نيسان/أبريل 1995، الفقرة 6-2؛ والبلاغ رقم 1138/2002، قضية </w:t>
      </w:r>
      <w:r w:rsidRPr="00733C3D">
        <w:rPr>
          <w:rFonts w:hint="cs"/>
          <w:i/>
          <w:iCs/>
          <w:sz w:val="18"/>
          <w:szCs w:val="26"/>
          <w:rtl/>
        </w:rPr>
        <w:t>أرينز وآخرون ضد ألمانيا</w:t>
      </w:r>
      <w:r w:rsidRPr="00733C3D">
        <w:rPr>
          <w:rFonts w:hint="cs"/>
          <w:sz w:val="18"/>
          <w:szCs w:val="26"/>
          <w:rtl/>
        </w:rPr>
        <w:t>، القرار المؤرخ 24 آذار/</w:t>
      </w:r>
      <w:r w:rsidR="00124CE3">
        <w:rPr>
          <w:rFonts w:hint="cs"/>
          <w:sz w:val="18"/>
          <w:szCs w:val="26"/>
          <w:rtl/>
        </w:rPr>
        <w:t xml:space="preserve">        </w:t>
      </w:r>
      <w:r w:rsidRPr="00733C3D">
        <w:rPr>
          <w:rFonts w:hint="cs"/>
          <w:sz w:val="18"/>
          <w:szCs w:val="26"/>
          <w:rtl/>
        </w:rPr>
        <w:t xml:space="preserve">مارس 2004، الفقرة 8-6؛ والبلاغ 917/2000، قضية </w:t>
      </w:r>
      <w:r w:rsidRPr="00733C3D">
        <w:rPr>
          <w:rFonts w:hint="cs"/>
          <w:i/>
          <w:iCs/>
          <w:sz w:val="18"/>
          <w:szCs w:val="26"/>
          <w:rtl/>
        </w:rPr>
        <w:t>أروتيونيان ضد أوزبكستان</w:t>
      </w:r>
      <w:r w:rsidRPr="00733C3D">
        <w:rPr>
          <w:rFonts w:hint="cs"/>
          <w:sz w:val="18"/>
          <w:szCs w:val="26"/>
          <w:rtl/>
        </w:rPr>
        <w:t>، الآراء المقدمة</w:t>
      </w:r>
      <w:r w:rsidR="005021BA">
        <w:rPr>
          <w:rFonts w:hint="cs"/>
          <w:sz w:val="18"/>
          <w:szCs w:val="26"/>
          <w:rtl/>
        </w:rPr>
        <w:t xml:space="preserve">         </w:t>
      </w:r>
      <w:r w:rsidRPr="00733C3D">
        <w:rPr>
          <w:rFonts w:hint="cs"/>
          <w:sz w:val="18"/>
          <w:szCs w:val="26"/>
          <w:rtl/>
        </w:rPr>
        <w:t xml:space="preserve"> في 29 آذار/مارس 2004، الفقرة 5-7؛ والبلاغ رقم 1528/2006، قضية </w:t>
      </w:r>
      <w:r w:rsidRPr="008C1214">
        <w:rPr>
          <w:rFonts w:hint="cs"/>
          <w:i/>
          <w:iCs/>
          <w:sz w:val="18"/>
          <w:szCs w:val="26"/>
          <w:rtl/>
        </w:rPr>
        <w:t>فرنانديز مورسيا ضد إسبانيا</w:t>
      </w:r>
      <w:r w:rsidRPr="00733C3D">
        <w:rPr>
          <w:rFonts w:hint="cs"/>
          <w:sz w:val="18"/>
          <w:szCs w:val="26"/>
          <w:rtl/>
        </w:rPr>
        <w:t xml:space="preserve">، القرار المؤرخ 1 نيسان/أبريل 2008. </w:t>
      </w:r>
    </w:p>
  </w:footnote>
  <w:footnote w:id="31">
    <w:p w:rsidR="002B64A7" w:rsidRPr="00733C3D" w:rsidRDefault="002B64A7" w:rsidP="000149C4">
      <w:pPr>
        <w:pStyle w:val="FootnoteText"/>
        <w:numPr>
          <w:ilvl w:val="0"/>
          <w:numId w:val="42"/>
        </w:numPr>
        <w:tabs>
          <w:tab w:val="clear" w:pos="1293"/>
          <w:tab w:val="left" w:pos="1239"/>
        </w:tabs>
        <w:spacing w:after="60" w:line="300" w:lineRule="exact"/>
        <w:ind w:left="1247" w:right="1247"/>
        <w:rPr>
          <w:sz w:val="18"/>
          <w:szCs w:val="26"/>
          <w:rtl/>
        </w:rPr>
      </w:pPr>
      <w:r w:rsidRPr="00733C3D">
        <w:rPr>
          <w:rFonts w:hint="cs"/>
          <w:sz w:val="18"/>
          <w:szCs w:val="26"/>
          <w:rtl/>
        </w:rPr>
        <w:t>انظر البلاغ رقم 1748/</w:t>
      </w:r>
      <w:r w:rsidRPr="00733C3D">
        <w:rPr>
          <w:rStyle w:val="FootnoteReference"/>
          <w:rFonts w:hint="cs"/>
          <w:szCs w:val="26"/>
          <w:vertAlign w:val="baseline"/>
          <w:rtl/>
        </w:rPr>
        <w:t>2008</w:t>
      </w:r>
      <w:r w:rsidRPr="00733C3D">
        <w:rPr>
          <w:rFonts w:hint="cs"/>
          <w:sz w:val="18"/>
          <w:szCs w:val="26"/>
          <w:rtl/>
        </w:rPr>
        <w:t>، قضية جو</w:t>
      </w:r>
      <w:r w:rsidRPr="00733C3D">
        <w:rPr>
          <w:rFonts w:hint="cs"/>
          <w:i/>
          <w:iCs/>
          <w:sz w:val="18"/>
          <w:szCs w:val="26"/>
          <w:rtl/>
        </w:rPr>
        <w:t>زيف بيرغوير وآخرون ضد الجمهورية التشيكية</w:t>
      </w:r>
      <w:r w:rsidRPr="00733C3D">
        <w:rPr>
          <w:rFonts w:hint="cs"/>
          <w:sz w:val="18"/>
          <w:szCs w:val="26"/>
          <w:rtl/>
        </w:rPr>
        <w:t xml:space="preserve">، قرار عدم المقبولية المؤرخ 28 تشرين الأول/أكتوبر 2010، الفقرة 8-3.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4A7" w:rsidRPr="002B64A7" w:rsidRDefault="002B64A7" w:rsidP="002B64A7">
    <w:pPr>
      <w:pStyle w:val="Header"/>
      <w:jc w:val="right"/>
    </w:pPr>
    <w:r w:rsidRPr="002B64A7">
      <w:t>CCPR/C/110/D/1963/2010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36B" w:rsidRPr="002B64A7" w:rsidRDefault="002B64A7" w:rsidP="002B64A7">
    <w:pPr>
      <w:pStyle w:val="Header"/>
      <w:jc w:val="left"/>
    </w:pPr>
    <w:r w:rsidRPr="002B64A7">
      <w:t>CCPR/C/110/D/1963/2010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36B" w:rsidRDefault="007B036B"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7B036B" w:rsidRPr="008F6743" w:rsidRDefault="007B036B"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D95D75"/>
    <w:multiLevelType w:val="hybridMultilevel"/>
    <w:tmpl w:val="4B183EE8"/>
    <w:lvl w:ilvl="0" w:tplc="4FC4697C">
      <w:start w:val="1"/>
      <w:numFmt w:val="decimal"/>
      <w:lvlRestart w:val="0"/>
      <w:lvlText w:val="(%1)"/>
      <w:lvlJc w:val="right"/>
      <w:pPr>
        <w:tabs>
          <w:tab w:val="num" w:pos="1293"/>
        </w:tabs>
        <w:ind w:left="1293" w:hanging="227"/>
      </w:pPr>
      <w:rPr>
        <w:rFonts w:ascii="Traditional Arabic" w:hAnsi="Traditional Arabic" w:cs="Traditional Arabic" w:hint="default"/>
        <w:i w:val="0"/>
        <w:iCs w:val="0"/>
        <w:position w:val="6"/>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EBD2E2F"/>
    <w:multiLevelType w:val="hybridMultilevel"/>
    <w:tmpl w:val="C22C846A"/>
    <w:lvl w:ilvl="0" w:tplc="D56AF362">
      <w:start w:val="1"/>
      <w:numFmt w:val="arabicAlpha"/>
      <w:lvlText w:val="(%1)"/>
      <w:lvlJc w:val="left"/>
      <w:pPr>
        <w:ind w:left="1425" w:hanging="720"/>
      </w:pPr>
      <w:rPr>
        <w:rFonts w:hint="default"/>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5">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9">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1">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822222F"/>
    <w:multiLevelType w:val="multilevel"/>
    <w:tmpl w:val="83FA732A"/>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lang w:bidi="ar-SA"/>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1">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2">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4">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
  </w:num>
  <w:num w:numId="3">
    <w:abstractNumId w:val="15"/>
  </w:num>
  <w:num w:numId="4">
    <w:abstractNumId w:val="13"/>
  </w:num>
  <w:num w:numId="5">
    <w:abstractNumId w:val="10"/>
  </w:num>
  <w:num w:numId="6">
    <w:abstractNumId w:val="23"/>
  </w:num>
  <w:num w:numId="7">
    <w:abstractNumId w:val="12"/>
  </w:num>
  <w:num w:numId="8">
    <w:abstractNumId w:val="11"/>
  </w:num>
  <w:num w:numId="9">
    <w:abstractNumId w:val="14"/>
  </w:num>
  <w:num w:numId="10">
    <w:abstractNumId w:val="22"/>
  </w:num>
  <w:num w:numId="11">
    <w:abstractNumId w:val="2"/>
  </w:num>
  <w:num w:numId="12">
    <w:abstractNumId w:val="15"/>
  </w:num>
  <w:num w:numId="13">
    <w:abstractNumId w:val="13"/>
  </w:num>
  <w:num w:numId="14">
    <w:abstractNumId w:val="10"/>
  </w:num>
  <w:num w:numId="15">
    <w:abstractNumId w:val="23"/>
  </w:num>
  <w:num w:numId="16">
    <w:abstractNumId w:val="2"/>
  </w:num>
  <w:num w:numId="17">
    <w:abstractNumId w:val="15"/>
  </w:num>
  <w:num w:numId="18">
    <w:abstractNumId w:val="13"/>
  </w:num>
  <w:num w:numId="19">
    <w:abstractNumId w:val="10"/>
  </w:num>
  <w:num w:numId="20">
    <w:abstractNumId w:val="23"/>
  </w:num>
  <w:num w:numId="21">
    <w:abstractNumId w:val="2"/>
  </w:num>
  <w:num w:numId="22">
    <w:abstractNumId w:val="15"/>
  </w:num>
  <w:num w:numId="23">
    <w:abstractNumId w:val="10"/>
  </w:num>
  <w:num w:numId="24">
    <w:abstractNumId w:val="23"/>
  </w:num>
  <w:num w:numId="25">
    <w:abstractNumId w:val="15"/>
  </w:num>
  <w:num w:numId="26">
    <w:abstractNumId w:val="2"/>
  </w:num>
  <w:num w:numId="27">
    <w:abstractNumId w:val="5"/>
  </w:num>
  <w:num w:numId="28">
    <w:abstractNumId w:val="3"/>
  </w:num>
  <w:num w:numId="29">
    <w:abstractNumId w:val="17"/>
  </w:num>
  <w:num w:numId="30">
    <w:abstractNumId w:val="6"/>
  </w:num>
  <w:num w:numId="31">
    <w:abstractNumId w:val="9"/>
  </w:num>
  <w:num w:numId="32">
    <w:abstractNumId w:val="16"/>
  </w:num>
  <w:num w:numId="33">
    <w:abstractNumId w:val="19"/>
  </w:num>
  <w:num w:numId="34">
    <w:abstractNumId w:val="24"/>
  </w:num>
  <w:num w:numId="35">
    <w:abstractNumId w:val="7"/>
  </w:num>
  <w:num w:numId="36">
    <w:abstractNumId w:val="18"/>
  </w:num>
  <w:num w:numId="37">
    <w:abstractNumId w:val="21"/>
  </w:num>
  <w:num w:numId="38">
    <w:abstractNumId w:val="0"/>
  </w:num>
  <w:num w:numId="39">
    <w:abstractNumId w:val="8"/>
  </w:num>
  <w:num w:numId="40">
    <w:abstractNumId w:val="20"/>
  </w:num>
  <w:num w:numId="41">
    <w:abstractNumId w:val="4"/>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036B"/>
    <w:rsid w:val="00011E4B"/>
    <w:rsid w:val="000149C4"/>
    <w:rsid w:val="00040E25"/>
    <w:rsid w:val="00042149"/>
    <w:rsid w:val="00051D24"/>
    <w:rsid w:val="000648EA"/>
    <w:rsid w:val="000957C8"/>
    <w:rsid w:val="00097049"/>
    <w:rsid w:val="000A04D5"/>
    <w:rsid w:val="000A5E15"/>
    <w:rsid w:val="000B52F2"/>
    <w:rsid w:val="000D0EAE"/>
    <w:rsid w:val="000D5380"/>
    <w:rsid w:val="000D6654"/>
    <w:rsid w:val="000E103D"/>
    <w:rsid w:val="000E3191"/>
    <w:rsid w:val="000E4F58"/>
    <w:rsid w:val="000F0264"/>
    <w:rsid w:val="000F2EBF"/>
    <w:rsid w:val="000F3A9F"/>
    <w:rsid w:val="000F5FF6"/>
    <w:rsid w:val="001022B5"/>
    <w:rsid w:val="00113FA5"/>
    <w:rsid w:val="0012345E"/>
    <w:rsid w:val="00124CE3"/>
    <w:rsid w:val="0014522A"/>
    <w:rsid w:val="001455A0"/>
    <w:rsid w:val="00145DA9"/>
    <w:rsid w:val="00147A8B"/>
    <w:rsid w:val="0015520E"/>
    <w:rsid w:val="001602A3"/>
    <w:rsid w:val="00192968"/>
    <w:rsid w:val="001A4125"/>
    <w:rsid w:val="001A5161"/>
    <w:rsid w:val="001A60BD"/>
    <w:rsid w:val="001C4B67"/>
    <w:rsid w:val="001C6D53"/>
    <w:rsid w:val="001E05CC"/>
    <w:rsid w:val="001F1619"/>
    <w:rsid w:val="00203467"/>
    <w:rsid w:val="0020604B"/>
    <w:rsid w:val="00217AAC"/>
    <w:rsid w:val="0022483F"/>
    <w:rsid w:val="00231908"/>
    <w:rsid w:val="00232277"/>
    <w:rsid w:val="0023736D"/>
    <w:rsid w:val="00244D28"/>
    <w:rsid w:val="00257225"/>
    <w:rsid w:val="00275A1C"/>
    <w:rsid w:val="00286CB8"/>
    <w:rsid w:val="002A7BE5"/>
    <w:rsid w:val="002B64A7"/>
    <w:rsid w:val="002F5293"/>
    <w:rsid w:val="002F6D06"/>
    <w:rsid w:val="00310160"/>
    <w:rsid w:val="00341A8C"/>
    <w:rsid w:val="003519E6"/>
    <w:rsid w:val="00355F81"/>
    <w:rsid w:val="003642EE"/>
    <w:rsid w:val="0036566F"/>
    <w:rsid w:val="00392B32"/>
    <w:rsid w:val="003B4356"/>
    <w:rsid w:val="003D2518"/>
    <w:rsid w:val="003F08A8"/>
    <w:rsid w:val="0042213D"/>
    <w:rsid w:val="004250E3"/>
    <w:rsid w:val="0043355B"/>
    <w:rsid w:val="00436801"/>
    <w:rsid w:val="0044376D"/>
    <w:rsid w:val="00451195"/>
    <w:rsid w:val="004709B7"/>
    <w:rsid w:val="00472A81"/>
    <w:rsid w:val="004A20A6"/>
    <w:rsid w:val="004B2C92"/>
    <w:rsid w:val="004B73FD"/>
    <w:rsid w:val="004D6A3A"/>
    <w:rsid w:val="004D6FEE"/>
    <w:rsid w:val="004F4AD7"/>
    <w:rsid w:val="005021BA"/>
    <w:rsid w:val="00515B0A"/>
    <w:rsid w:val="005545C5"/>
    <w:rsid w:val="00557CD3"/>
    <w:rsid w:val="005602BD"/>
    <w:rsid w:val="00571432"/>
    <w:rsid w:val="005732A2"/>
    <w:rsid w:val="005762A5"/>
    <w:rsid w:val="00590698"/>
    <w:rsid w:val="00590BA3"/>
    <w:rsid w:val="005B46D9"/>
    <w:rsid w:val="005B6DE8"/>
    <w:rsid w:val="005B7AE0"/>
    <w:rsid w:val="005D6B48"/>
    <w:rsid w:val="005E23F5"/>
    <w:rsid w:val="005E244D"/>
    <w:rsid w:val="005F146F"/>
    <w:rsid w:val="005F71B6"/>
    <w:rsid w:val="00605D7F"/>
    <w:rsid w:val="006118A5"/>
    <w:rsid w:val="00611E64"/>
    <w:rsid w:val="00622CB9"/>
    <w:rsid w:val="00623571"/>
    <w:rsid w:val="00633814"/>
    <w:rsid w:val="00654786"/>
    <w:rsid w:val="00660FD4"/>
    <w:rsid w:val="00665BE4"/>
    <w:rsid w:val="00666A78"/>
    <w:rsid w:val="00697FCF"/>
    <w:rsid w:val="006A1DFA"/>
    <w:rsid w:val="006A4425"/>
    <w:rsid w:val="006B00A4"/>
    <w:rsid w:val="006B4669"/>
    <w:rsid w:val="006D1103"/>
    <w:rsid w:val="006D3CFA"/>
    <w:rsid w:val="006E3F78"/>
    <w:rsid w:val="006F3FC1"/>
    <w:rsid w:val="006F6BF8"/>
    <w:rsid w:val="00700C98"/>
    <w:rsid w:val="00706461"/>
    <w:rsid w:val="00707BDF"/>
    <w:rsid w:val="00710727"/>
    <w:rsid w:val="00715F45"/>
    <w:rsid w:val="00723831"/>
    <w:rsid w:val="0072608F"/>
    <w:rsid w:val="007268E5"/>
    <w:rsid w:val="00731815"/>
    <w:rsid w:val="00731B84"/>
    <w:rsid w:val="00733C3D"/>
    <w:rsid w:val="00734AE7"/>
    <w:rsid w:val="007370EE"/>
    <w:rsid w:val="007377EA"/>
    <w:rsid w:val="0079344E"/>
    <w:rsid w:val="007B036B"/>
    <w:rsid w:val="007E197F"/>
    <w:rsid w:val="007E2786"/>
    <w:rsid w:val="007E4686"/>
    <w:rsid w:val="007F68C4"/>
    <w:rsid w:val="007F77C3"/>
    <w:rsid w:val="008153DE"/>
    <w:rsid w:val="00836D12"/>
    <w:rsid w:val="00837432"/>
    <w:rsid w:val="00852A10"/>
    <w:rsid w:val="00862634"/>
    <w:rsid w:val="00866C59"/>
    <w:rsid w:val="00877306"/>
    <w:rsid w:val="00885524"/>
    <w:rsid w:val="00890E82"/>
    <w:rsid w:val="008A6242"/>
    <w:rsid w:val="008B4BC6"/>
    <w:rsid w:val="008B4FC7"/>
    <w:rsid w:val="008B7217"/>
    <w:rsid w:val="008C1214"/>
    <w:rsid w:val="008D3078"/>
    <w:rsid w:val="008D5441"/>
    <w:rsid w:val="008F19B7"/>
    <w:rsid w:val="008F4389"/>
    <w:rsid w:val="008F58C0"/>
    <w:rsid w:val="008F6743"/>
    <w:rsid w:val="00901E57"/>
    <w:rsid w:val="009070DF"/>
    <w:rsid w:val="0091207A"/>
    <w:rsid w:val="00927639"/>
    <w:rsid w:val="00935F0E"/>
    <w:rsid w:val="0095208F"/>
    <w:rsid w:val="00972877"/>
    <w:rsid w:val="00977B3F"/>
    <w:rsid w:val="009814AE"/>
    <w:rsid w:val="009901D3"/>
    <w:rsid w:val="0099038B"/>
    <w:rsid w:val="00996BBE"/>
    <w:rsid w:val="009B2C03"/>
    <w:rsid w:val="009C6E82"/>
    <w:rsid w:val="009D17B9"/>
    <w:rsid w:val="009D1DD5"/>
    <w:rsid w:val="009D4C6B"/>
    <w:rsid w:val="009F45DE"/>
    <w:rsid w:val="009F722C"/>
    <w:rsid w:val="00A26157"/>
    <w:rsid w:val="00A265C3"/>
    <w:rsid w:val="00A32F87"/>
    <w:rsid w:val="00A353DD"/>
    <w:rsid w:val="00A4354D"/>
    <w:rsid w:val="00A43F9A"/>
    <w:rsid w:val="00A53F38"/>
    <w:rsid w:val="00A543D4"/>
    <w:rsid w:val="00AC4FB2"/>
    <w:rsid w:val="00AD0014"/>
    <w:rsid w:val="00AD0B2F"/>
    <w:rsid w:val="00AD4943"/>
    <w:rsid w:val="00AD4CF2"/>
    <w:rsid w:val="00AF0BBA"/>
    <w:rsid w:val="00AF6470"/>
    <w:rsid w:val="00AF7928"/>
    <w:rsid w:val="00B25159"/>
    <w:rsid w:val="00B27831"/>
    <w:rsid w:val="00B30468"/>
    <w:rsid w:val="00B37B0E"/>
    <w:rsid w:val="00B44E31"/>
    <w:rsid w:val="00B5327F"/>
    <w:rsid w:val="00B70D00"/>
    <w:rsid w:val="00B91269"/>
    <w:rsid w:val="00BA14BA"/>
    <w:rsid w:val="00BA4F7E"/>
    <w:rsid w:val="00BB2C41"/>
    <w:rsid w:val="00BC55C8"/>
    <w:rsid w:val="00BC5C10"/>
    <w:rsid w:val="00BE2964"/>
    <w:rsid w:val="00BF380A"/>
    <w:rsid w:val="00C21623"/>
    <w:rsid w:val="00C24FBD"/>
    <w:rsid w:val="00C27E09"/>
    <w:rsid w:val="00C473BA"/>
    <w:rsid w:val="00C611ED"/>
    <w:rsid w:val="00C6490A"/>
    <w:rsid w:val="00C64FE1"/>
    <w:rsid w:val="00C650FB"/>
    <w:rsid w:val="00C726D2"/>
    <w:rsid w:val="00C74296"/>
    <w:rsid w:val="00C8345E"/>
    <w:rsid w:val="00C9303A"/>
    <w:rsid w:val="00C951A1"/>
    <w:rsid w:val="00CA5E09"/>
    <w:rsid w:val="00CA5F7C"/>
    <w:rsid w:val="00CB55E5"/>
    <w:rsid w:val="00CC6B7D"/>
    <w:rsid w:val="00D51067"/>
    <w:rsid w:val="00D75657"/>
    <w:rsid w:val="00D8050F"/>
    <w:rsid w:val="00D8102C"/>
    <w:rsid w:val="00D86C76"/>
    <w:rsid w:val="00D960AD"/>
    <w:rsid w:val="00DA0E0E"/>
    <w:rsid w:val="00DB0885"/>
    <w:rsid w:val="00DB0C39"/>
    <w:rsid w:val="00DB7679"/>
    <w:rsid w:val="00DD07E0"/>
    <w:rsid w:val="00DE442D"/>
    <w:rsid w:val="00DF1702"/>
    <w:rsid w:val="00DF4DD8"/>
    <w:rsid w:val="00DF668E"/>
    <w:rsid w:val="00E04826"/>
    <w:rsid w:val="00E14D2B"/>
    <w:rsid w:val="00E20DBA"/>
    <w:rsid w:val="00E3225B"/>
    <w:rsid w:val="00E339EF"/>
    <w:rsid w:val="00E43D3D"/>
    <w:rsid w:val="00E6524A"/>
    <w:rsid w:val="00E660D6"/>
    <w:rsid w:val="00E771AB"/>
    <w:rsid w:val="00E96D58"/>
    <w:rsid w:val="00EA40FE"/>
    <w:rsid w:val="00EA796F"/>
    <w:rsid w:val="00EB077B"/>
    <w:rsid w:val="00EC50B9"/>
    <w:rsid w:val="00EC65CA"/>
    <w:rsid w:val="00ED26A0"/>
    <w:rsid w:val="00F15744"/>
    <w:rsid w:val="00F1727A"/>
    <w:rsid w:val="00F34764"/>
    <w:rsid w:val="00F519BE"/>
    <w:rsid w:val="00F54E3C"/>
    <w:rsid w:val="00F809AB"/>
    <w:rsid w:val="00F83844"/>
    <w:rsid w:val="00F874BD"/>
    <w:rsid w:val="00FB1D0B"/>
    <w:rsid w:val="00FE05AA"/>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FootnoteTextChar">
    <w:name w:val="Footnote Text Char"/>
    <w:link w:val="FootnoteText"/>
    <w:semiHidden/>
    <w:rsid w:val="002B64A7"/>
    <w:rPr>
      <w:rFonts w:cs="Traditional Arabic"/>
      <w:lang w:val="en-US" w:eastAsia="en-US" w:bidi="ar-SA"/>
    </w:rPr>
  </w:style>
  <w:style w:type="paragraph" w:styleId="ListParagraph">
    <w:name w:val="List Paragraph"/>
    <w:basedOn w:val="Normal"/>
    <w:qFormat/>
    <w:rsid w:val="002B64A7"/>
    <w:pPr>
      <w:bidi w:val="0"/>
      <w:spacing w:after="160" w:line="259" w:lineRule="auto"/>
      <w:ind w:left="720"/>
      <w:contextualSpacing/>
      <w:jc w:val="left"/>
    </w:pPr>
    <w:rPr>
      <w:rFonts w:ascii="Calibri" w:eastAsia="Calibri" w:hAnsi="Calibri" w:cs="Arial"/>
      <w:sz w:val="22"/>
      <w:szCs w:val="22"/>
      <w:lang w:val="fr-CH"/>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11</Pages>
  <Words>2471</Words>
  <Characters>14089</Characters>
  <Application>Microsoft Office Outlook</Application>
  <DocSecurity>4</DocSecurity>
  <Lines>117</Lines>
  <Paragraphs>33</Paragraphs>
  <ScaleCrop>false</ScaleCrop>
  <HeadingPairs>
    <vt:vector size="2" baseType="variant">
      <vt:variant>
        <vt:lpstr>العنوان</vt:lpstr>
      </vt:variant>
      <vt:variant>
        <vt:i4>1</vt:i4>
      </vt:variant>
    </vt:vector>
  </HeadingPairs>
  <TitlesOfParts>
    <vt:vector size="1" baseType="lpstr">
      <vt:lpstr>CCPR/C/110/D/1963/2010</vt:lpstr>
    </vt:vector>
  </TitlesOfParts>
  <Company>CSD</Company>
  <LinksUpToDate>false</LinksUpToDate>
  <CharactersWithSpaces>16527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CCPR/C/110/D/1963/2010</dc:title>
  <dc:subject>Badiaa-Abdellaoui</dc:subject>
  <dc:creator>Mervat</dc:creator>
  <cp:keywords/>
  <dc:description/>
  <cp:lastModifiedBy>TPS</cp:lastModifiedBy>
  <cp:revision>2</cp:revision>
  <cp:lastPrinted>2014-05-27T07:44:00Z</cp:lastPrinted>
  <dcterms:created xsi:type="dcterms:W3CDTF">2014-05-27T14:29:00Z</dcterms:created>
  <dcterms:modified xsi:type="dcterms:W3CDTF">2014-05-27T14:29:00Z</dcterms:modified>
</cp:coreProperties>
</file>