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97148F" w:rsidRDefault="0097148F" w:rsidP="0097148F">
            <w:pPr>
              <w:spacing w:line="20" w:lineRule="exact"/>
              <w:rPr>
                <w:sz w:val="2"/>
              </w:rPr>
            </w:pPr>
            <w:r>
              <w:rPr>
                <w:rStyle w:val="CommentReference"/>
              </w:rPr>
              <w:commentReference w:id="0"/>
            </w:r>
          </w:p>
          <w:p w:rsidR="0097148F" w:rsidRDefault="0097148F"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FA222B" w:rsidP="001B0D13">
            <w:pPr>
              <w:jc w:val="right"/>
            </w:pPr>
            <w:r w:rsidRPr="00FA222B">
              <w:rPr>
                <w:sz w:val="40"/>
              </w:rPr>
              <w:t>CCPR</w:t>
            </w:r>
            <w:r>
              <w:t>/C/</w:t>
            </w:r>
            <w:r w:rsidR="005148E1">
              <w:t>11</w:t>
            </w:r>
            <w:r w:rsidR="00255638">
              <w:t>5</w:t>
            </w:r>
            <w:r w:rsidR="005148E1">
              <w:t>/</w:t>
            </w:r>
            <w:r>
              <w:t>D/22</w:t>
            </w:r>
            <w:r w:rsidR="00255638">
              <w:t>23</w:t>
            </w:r>
            <w:r>
              <w:t>/2012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227EB3" w:rsidP="00B6553F">
            <w:pPr>
              <w:spacing w:before="120"/>
            </w:pPr>
            <w:r>
              <w:rPr>
                <w:noProof/>
                <w:lang w:val="en-US" w:eastAsia="zh-CN"/>
              </w:rPr>
              <w:drawing>
                <wp:inline distT="0" distB="0" distL="0" distR="0" wp14:anchorId="7D65650A" wp14:editId="35E23209">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B0D13" w:rsidRPr="005529A9"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3A8D" w:rsidRDefault="00B53A8D" w:rsidP="00B53A8D">
            <w:pPr>
              <w:spacing w:before="240" w:line="240" w:lineRule="exact"/>
            </w:pPr>
            <w:r>
              <w:t xml:space="preserve">Distr.: </w:t>
            </w:r>
            <w:r w:rsidR="001B0D13">
              <w:t>General</w:t>
            </w:r>
          </w:p>
          <w:p w:rsidR="00B53A8D" w:rsidRDefault="0037603A" w:rsidP="00B53A8D">
            <w:pPr>
              <w:spacing w:line="240" w:lineRule="exact"/>
            </w:pPr>
            <w:r>
              <w:t>1</w:t>
            </w:r>
            <w:r w:rsidR="004C100D">
              <w:t>7</w:t>
            </w:r>
            <w:r>
              <w:t xml:space="preserve"> </w:t>
            </w:r>
            <w:r w:rsidR="0087420B">
              <w:t>December</w:t>
            </w:r>
            <w:r w:rsidR="00B53A8D">
              <w:t xml:space="preserve"> 2015</w:t>
            </w:r>
          </w:p>
          <w:p w:rsidR="00B53A8D" w:rsidRDefault="00B53A8D" w:rsidP="00B53A8D">
            <w:pPr>
              <w:spacing w:line="240" w:lineRule="exact"/>
            </w:pPr>
          </w:p>
          <w:p w:rsidR="00B53A8D" w:rsidRDefault="00B53A8D" w:rsidP="00B53A8D">
            <w:pPr>
              <w:spacing w:line="240" w:lineRule="exact"/>
            </w:pPr>
            <w:r>
              <w:t>Original: English</w:t>
            </w:r>
          </w:p>
          <w:p w:rsidR="00FA222B" w:rsidRDefault="00FA222B" w:rsidP="00B53A8D">
            <w:pPr>
              <w:spacing w:line="240" w:lineRule="exact"/>
            </w:pPr>
          </w:p>
        </w:tc>
      </w:tr>
    </w:tbl>
    <w:p w:rsidR="00B53A8D" w:rsidRPr="00A36331" w:rsidRDefault="00B53A8D" w:rsidP="00B53A8D">
      <w:pPr>
        <w:spacing w:before="120"/>
        <w:rPr>
          <w:b/>
          <w:sz w:val="24"/>
          <w:szCs w:val="24"/>
        </w:rPr>
      </w:pPr>
      <w:r w:rsidRPr="00A36331">
        <w:rPr>
          <w:b/>
          <w:sz w:val="24"/>
          <w:szCs w:val="24"/>
        </w:rPr>
        <w:t>Human Rights Committee</w:t>
      </w:r>
    </w:p>
    <w:p w:rsidR="00FA222B" w:rsidRDefault="00FA222B" w:rsidP="003F3B71">
      <w:pPr>
        <w:pStyle w:val="HChG"/>
      </w:pPr>
      <w:r w:rsidRPr="009E31DB">
        <w:tab/>
      </w:r>
      <w:r w:rsidRPr="009E31DB">
        <w:tab/>
        <w:t xml:space="preserve">Communication No. </w:t>
      </w:r>
      <w:r>
        <w:t>2</w:t>
      </w:r>
      <w:bookmarkStart w:id="1" w:name="_GoBack"/>
      <w:bookmarkEnd w:id="1"/>
      <w:r>
        <w:t>2</w:t>
      </w:r>
      <w:r w:rsidR="00255638">
        <w:t>23</w:t>
      </w:r>
      <w:r>
        <w:t>/2012</w:t>
      </w:r>
    </w:p>
    <w:p w:rsidR="00FA222B" w:rsidRPr="009E31DB" w:rsidRDefault="00FA222B" w:rsidP="003F3B71">
      <w:pPr>
        <w:pStyle w:val="H1G"/>
      </w:pPr>
      <w:r>
        <w:tab/>
      </w:r>
      <w:r>
        <w:tab/>
      </w:r>
      <w:r w:rsidR="001B0D13" w:rsidRPr="001B0D13">
        <w:rPr>
          <w:rFonts w:eastAsia="MS Mincho"/>
        </w:rPr>
        <w:t>Views adopted by the Committee at its 115</w:t>
      </w:r>
      <w:r w:rsidR="001B0D13" w:rsidRPr="005529A9">
        <w:rPr>
          <w:rFonts w:eastAsia="MS Mincho"/>
        </w:rPr>
        <w:t>th</w:t>
      </w:r>
      <w:r w:rsidR="001B0D13" w:rsidRPr="001B0D13">
        <w:rPr>
          <w:rFonts w:eastAsia="MS Mincho"/>
        </w:rPr>
        <w:t xml:space="preserve"> session</w:t>
      </w:r>
      <w:r w:rsidR="001B0D13" w:rsidRPr="001B0D13">
        <w:rPr>
          <w:rFonts w:eastAsia="MS Mincho"/>
        </w:rPr>
        <w:br/>
        <w:t>(</w:t>
      </w:r>
      <w:r w:rsidR="001B0D13" w:rsidRPr="001B0D13">
        <w:rPr>
          <w:rFonts w:eastAsia="MS Mincho"/>
          <w:bCs/>
          <w:lang w:val="en-US"/>
        </w:rPr>
        <w:t>19 October-6 November 2015)</w:t>
      </w:r>
    </w:p>
    <w:p w:rsidR="00FA222B" w:rsidRPr="003F3B71" w:rsidRDefault="00FA222B" w:rsidP="005529A9">
      <w:pPr>
        <w:pStyle w:val="SingleTxtG"/>
        <w:ind w:left="4536" w:hanging="3402"/>
        <w:jc w:val="left"/>
        <w:rPr>
          <w:i/>
          <w:lang w:val="x-none"/>
        </w:rPr>
      </w:pPr>
      <w:r w:rsidRPr="003F3B71">
        <w:rPr>
          <w:i/>
          <w:lang w:val="x-none"/>
        </w:rPr>
        <w:t>Submitted by:</w:t>
      </w:r>
      <w:r w:rsidRPr="003F3B71">
        <w:rPr>
          <w:i/>
          <w:lang w:val="x-none"/>
        </w:rPr>
        <w:tab/>
      </w:r>
      <w:r w:rsidR="00255638" w:rsidRPr="00FD10BA">
        <w:t xml:space="preserve">Sunnet Japparow </w:t>
      </w:r>
      <w:r w:rsidRPr="003F3B71">
        <w:rPr>
          <w:lang w:val="x-none"/>
        </w:rPr>
        <w:t>(represented by counsel)</w:t>
      </w:r>
    </w:p>
    <w:p w:rsidR="00FA222B" w:rsidRPr="003F3B71" w:rsidRDefault="00FA222B" w:rsidP="005529A9">
      <w:pPr>
        <w:pStyle w:val="SingleTxtG"/>
        <w:ind w:left="4536" w:hanging="3402"/>
        <w:jc w:val="left"/>
        <w:rPr>
          <w:i/>
          <w:lang w:val="x-none"/>
        </w:rPr>
      </w:pPr>
      <w:r w:rsidRPr="003F3B71">
        <w:rPr>
          <w:i/>
          <w:lang w:val="x-none"/>
        </w:rPr>
        <w:t>Alleged victim:</w:t>
      </w:r>
      <w:r w:rsidRPr="003F3B71">
        <w:rPr>
          <w:i/>
          <w:lang w:val="x-none"/>
        </w:rPr>
        <w:tab/>
      </w:r>
      <w:r w:rsidRPr="003F3B71">
        <w:rPr>
          <w:lang w:val="x-none"/>
        </w:rPr>
        <w:t>The author</w:t>
      </w:r>
    </w:p>
    <w:p w:rsidR="00FA222B" w:rsidRPr="003F3B71" w:rsidRDefault="00FA222B" w:rsidP="005529A9">
      <w:pPr>
        <w:pStyle w:val="SingleTxtG"/>
        <w:ind w:left="4536" w:hanging="3402"/>
        <w:jc w:val="left"/>
        <w:rPr>
          <w:i/>
          <w:lang w:val="x-none"/>
        </w:rPr>
      </w:pPr>
      <w:r w:rsidRPr="003F3B71">
        <w:rPr>
          <w:i/>
          <w:lang w:val="x-none"/>
        </w:rPr>
        <w:t>State party:</w:t>
      </w:r>
      <w:r w:rsidRPr="003F3B71">
        <w:rPr>
          <w:i/>
          <w:lang w:val="x-none"/>
        </w:rPr>
        <w:tab/>
      </w:r>
      <w:r w:rsidRPr="003F3B71">
        <w:rPr>
          <w:lang w:val="x-none"/>
        </w:rPr>
        <w:t>Turkmenistan</w:t>
      </w:r>
    </w:p>
    <w:p w:rsidR="00FA222B" w:rsidRPr="002D523B" w:rsidRDefault="00FA222B" w:rsidP="005529A9">
      <w:pPr>
        <w:pStyle w:val="SingleTxtG"/>
        <w:ind w:left="4536" w:hanging="3402"/>
        <w:jc w:val="left"/>
        <w:rPr>
          <w:i/>
        </w:rPr>
      </w:pPr>
      <w:r w:rsidRPr="003F3B71">
        <w:rPr>
          <w:i/>
          <w:lang w:val="x-none"/>
        </w:rPr>
        <w:t>Date of communication:</w:t>
      </w:r>
      <w:r w:rsidRPr="003F3B71">
        <w:rPr>
          <w:i/>
          <w:lang w:val="x-none"/>
        </w:rPr>
        <w:tab/>
      </w:r>
      <w:r w:rsidRPr="003F3B71">
        <w:rPr>
          <w:lang w:val="x-none"/>
        </w:rPr>
        <w:t>3 September 2012</w:t>
      </w:r>
      <w:r w:rsidR="005148E1">
        <w:rPr>
          <w:lang w:val="x-none"/>
        </w:rPr>
        <w:t xml:space="preserve"> (initial submission)</w:t>
      </w:r>
    </w:p>
    <w:p w:rsidR="00FA222B" w:rsidRPr="003F3B71" w:rsidRDefault="00FA222B" w:rsidP="005529A9">
      <w:pPr>
        <w:pStyle w:val="SingleTxtG"/>
        <w:ind w:left="4536" w:hanging="3402"/>
        <w:jc w:val="left"/>
        <w:rPr>
          <w:i/>
          <w:lang w:val="x-none"/>
        </w:rPr>
      </w:pPr>
      <w:r w:rsidRPr="003F3B71">
        <w:rPr>
          <w:i/>
          <w:lang w:val="x-none"/>
        </w:rPr>
        <w:t>Document references:</w:t>
      </w:r>
      <w:r w:rsidRPr="003F3B71">
        <w:rPr>
          <w:i/>
          <w:lang w:val="x-none"/>
        </w:rPr>
        <w:tab/>
      </w:r>
      <w:r w:rsidRPr="003F3B71">
        <w:rPr>
          <w:lang w:val="x-none"/>
        </w:rPr>
        <w:t>Special Rapporteur’s rule 97 decision, transmitted to the State party on 5 December 2012 (not issued in a document form)</w:t>
      </w:r>
    </w:p>
    <w:p w:rsidR="00FA222B" w:rsidRPr="005529A9" w:rsidRDefault="00FA222B" w:rsidP="005529A9">
      <w:pPr>
        <w:pStyle w:val="SingleTxtG"/>
        <w:ind w:left="4536" w:hanging="3402"/>
        <w:jc w:val="left"/>
        <w:rPr>
          <w:lang w:val="en-US"/>
        </w:rPr>
      </w:pPr>
      <w:r w:rsidRPr="003F3B71">
        <w:rPr>
          <w:i/>
          <w:lang w:val="x-none"/>
        </w:rPr>
        <w:t>Date of adoption of Views:</w:t>
      </w:r>
      <w:r w:rsidRPr="003F3B71">
        <w:rPr>
          <w:i/>
          <w:lang w:val="x-none"/>
        </w:rPr>
        <w:tab/>
      </w:r>
      <w:r w:rsidR="00E6370F" w:rsidRPr="005529A9">
        <w:t>29</w:t>
      </w:r>
      <w:r w:rsidR="0087420B">
        <w:t xml:space="preserve"> </w:t>
      </w:r>
      <w:r w:rsidR="00D27450" w:rsidRPr="00D27450">
        <w:t>October</w:t>
      </w:r>
      <w:r w:rsidR="00F13E91">
        <w:rPr>
          <w:lang w:val="x-none"/>
        </w:rPr>
        <w:t xml:space="preserve"> </w:t>
      </w:r>
      <w:r w:rsidRPr="003F3B71">
        <w:rPr>
          <w:lang w:val="x-none"/>
        </w:rPr>
        <w:t>2015</w:t>
      </w:r>
    </w:p>
    <w:p w:rsidR="00FA222B" w:rsidRPr="00134BB8" w:rsidRDefault="00CB2319" w:rsidP="005529A9">
      <w:pPr>
        <w:pStyle w:val="SingleTxtG"/>
        <w:ind w:left="4536" w:hanging="3402"/>
        <w:jc w:val="left"/>
        <w:rPr>
          <w:i/>
        </w:rPr>
      </w:pPr>
      <w:r w:rsidRPr="003F3B71">
        <w:rPr>
          <w:i/>
          <w:lang w:val="x-none"/>
        </w:rPr>
        <w:t>Subject matter:</w:t>
      </w:r>
      <w:r w:rsidRPr="003F3B71">
        <w:rPr>
          <w:i/>
          <w:lang w:val="x-none"/>
        </w:rPr>
        <w:tab/>
      </w:r>
      <w:r w:rsidRPr="003F3B71">
        <w:rPr>
          <w:lang w:val="x-none"/>
        </w:rPr>
        <w:t>Conscientious objection to compulsory military service</w:t>
      </w:r>
      <w:r w:rsidRPr="009704F1">
        <w:t xml:space="preserve">; </w:t>
      </w:r>
      <w:r w:rsidRPr="003F3B71">
        <w:rPr>
          <w:lang w:val="x-none"/>
        </w:rPr>
        <w:t>inhuman and degrading treatment</w:t>
      </w:r>
      <w:r w:rsidRPr="00134BB8">
        <w:t>; deprivation of liberty</w:t>
      </w:r>
    </w:p>
    <w:p w:rsidR="00FA222B" w:rsidRPr="003F3B71" w:rsidRDefault="00FA222B" w:rsidP="005529A9">
      <w:pPr>
        <w:pStyle w:val="SingleTxtG"/>
        <w:ind w:left="4536" w:hanging="3402"/>
        <w:jc w:val="left"/>
        <w:rPr>
          <w:i/>
          <w:lang w:val="x-none"/>
        </w:rPr>
      </w:pPr>
      <w:r w:rsidRPr="003F3B71">
        <w:rPr>
          <w:i/>
          <w:lang w:val="x-none"/>
        </w:rPr>
        <w:t>Procedural issue</w:t>
      </w:r>
      <w:r w:rsidR="00140F53">
        <w:rPr>
          <w:i/>
          <w:lang w:val="en-US"/>
        </w:rPr>
        <w:t>s</w:t>
      </w:r>
      <w:r w:rsidRPr="003F3B71">
        <w:rPr>
          <w:i/>
          <w:lang w:val="x-none"/>
        </w:rPr>
        <w:t xml:space="preserve">: </w:t>
      </w:r>
      <w:r w:rsidRPr="003F3B71">
        <w:rPr>
          <w:i/>
          <w:lang w:val="x-none"/>
        </w:rPr>
        <w:tab/>
      </w:r>
      <w:r w:rsidR="00C905D2" w:rsidRPr="002443CD">
        <w:t>Admissibility – exhaustion of domestic remedies</w:t>
      </w:r>
    </w:p>
    <w:p w:rsidR="00FA222B" w:rsidRPr="00B72B69" w:rsidRDefault="00FA222B" w:rsidP="005529A9">
      <w:pPr>
        <w:pStyle w:val="SingleTxtG"/>
        <w:ind w:left="4536" w:hanging="3402"/>
        <w:jc w:val="left"/>
        <w:rPr>
          <w:i/>
        </w:rPr>
      </w:pPr>
      <w:r w:rsidRPr="003F3B71">
        <w:rPr>
          <w:i/>
          <w:lang w:val="x-none"/>
        </w:rPr>
        <w:t xml:space="preserve">Substantive issues: </w:t>
      </w:r>
      <w:r w:rsidRPr="003F3B71">
        <w:rPr>
          <w:i/>
          <w:lang w:val="x-none"/>
        </w:rPr>
        <w:tab/>
      </w:r>
      <w:r w:rsidRPr="003F3B71">
        <w:rPr>
          <w:lang w:val="x-none"/>
        </w:rPr>
        <w:t>Freedom of conscience; inhuman and degrading treatment</w:t>
      </w:r>
      <w:r w:rsidR="00B72B69" w:rsidRPr="00134BB8">
        <w:t>; deprivation of liberty</w:t>
      </w:r>
    </w:p>
    <w:p w:rsidR="00FA222B" w:rsidRPr="005529A9" w:rsidRDefault="00FA222B" w:rsidP="005529A9">
      <w:pPr>
        <w:pStyle w:val="SingleTxtG"/>
        <w:ind w:left="4536" w:hanging="3402"/>
        <w:jc w:val="left"/>
        <w:rPr>
          <w:i/>
          <w:lang w:val="en-US"/>
        </w:rPr>
      </w:pPr>
      <w:r w:rsidRPr="003F3B71">
        <w:rPr>
          <w:i/>
          <w:lang w:val="x-none"/>
        </w:rPr>
        <w:t>Articles of the Covenant:</w:t>
      </w:r>
      <w:r w:rsidRPr="003F3B71">
        <w:rPr>
          <w:i/>
          <w:lang w:val="x-none"/>
        </w:rPr>
        <w:tab/>
      </w:r>
      <w:r w:rsidRPr="003F3B71">
        <w:rPr>
          <w:lang w:val="x-none"/>
        </w:rPr>
        <w:t>7</w:t>
      </w:r>
      <w:r w:rsidR="007727EE">
        <w:rPr>
          <w:lang w:val="en-US"/>
        </w:rPr>
        <w:t>,</w:t>
      </w:r>
      <w:r w:rsidRPr="003F3B71">
        <w:rPr>
          <w:lang w:val="x-none"/>
        </w:rPr>
        <w:t xml:space="preserve"> 10</w:t>
      </w:r>
      <w:r w:rsidR="007727EE">
        <w:t xml:space="preserve"> and</w:t>
      </w:r>
      <w:r w:rsidRPr="003F3B71">
        <w:rPr>
          <w:lang w:val="x-none"/>
        </w:rPr>
        <w:t xml:space="preserve"> 18 </w:t>
      </w:r>
      <w:r w:rsidR="00140F53">
        <w:rPr>
          <w:lang w:val="en-US"/>
        </w:rPr>
        <w:t>(</w:t>
      </w:r>
      <w:r w:rsidRPr="003F3B71">
        <w:rPr>
          <w:lang w:val="x-none"/>
        </w:rPr>
        <w:t>1</w:t>
      </w:r>
      <w:r w:rsidR="00140F53">
        <w:rPr>
          <w:lang w:val="en-US"/>
        </w:rPr>
        <w:t>)</w:t>
      </w:r>
    </w:p>
    <w:p w:rsidR="00FA222B" w:rsidRPr="003F3B71" w:rsidRDefault="00FA222B" w:rsidP="005529A9">
      <w:pPr>
        <w:pStyle w:val="SingleTxtG"/>
        <w:ind w:left="4536" w:hanging="3402"/>
        <w:jc w:val="left"/>
        <w:rPr>
          <w:i/>
          <w:lang w:val="x-none"/>
        </w:rPr>
      </w:pPr>
      <w:r w:rsidRPr="003F3B71">
        <w:rPr>
          <w:i/>
          <w:lang w:val="x-none"/>
        </w:rPr>
        <w:t>Article</w:t>
      </w:r>
      <w:r w:rsidR="000D531D">
        <w:rPr>
          <w:i/>
          <w:lang w:val="en-US"/>
        </w:rPr>
        <w:t>s</w:t>
      </w:r>
      <w:r w:rsidRPr="003F3B71">
        <w:rPr>
          <w:i/>
          <w:lang w:val="x-none"/>
        </w:rPr>
        <w:t xml:space="preserve"> of the Optional Protocol:</w:t>
      </w:r>
      <w:r w:rsidR="003F3B71" w:rsidRPr="002D523B">
        <w:rPr>
          <w:i/>
        </w:rPr>
        <w:tab/>
      </w:r>
      <w:r w:rsidR="00C905D2" w:rsidRPr="002443CD">
        <w:t>5</w:t>
      </w:r>
      <w:r w:rsidR="00140F53">
        <w:t xml:space="preserve"> </w:t>
      </w:r>
      <w:r w:rsidR="00C905D2" w:rsidRPr="002443CD">
        <w:t>(2)</w:t>
      </w:r>
      <w:r w:rsidR="00140F53">
        <w:t xml:space="preserve"> </w:t>
      </w:r>
      <w:r w:rsidR="00C905D2" w:rsidRPr="002443CD">
        <w:t>(</w:t>
      </w:r>
      <w:r w:rsidR="00B53A8D">
        <w:t>b</w:t>
      </w:r>
      <w:r w:rsidR="00C905D2" w:rsidRPr="002443CD">
        <w:t>)</w:t>
      </w:r>
    </w:p>
    <w:p w:rsidR="00FA222B" w:rsidRPr="009E31DB" w:rsidRDefault="00B23FA2" w:rsidP="003F3B71">
      <w:pPr>
        <w:pStyle w:val="HChG"/>
      </w:pPr>
      <w:r w:rsidRPr="009E31DB" w:rsidDel="00B23FA2">
        <w:t xml:space="preserve"> </w:t>
      </w:r>
      <w:r w:rsidR="00FA222B" w:rsidRPr="009E31DB">
        <w:br w:type="page"/>
      </w:r>
      <w:r w:rsidR="00FA222B" w:rsidRPr="009E31DB">
        <w:lastRenderedPageBreak/>
        <w:t>Annex</w:t>
      </w:r>
    </w:p>
    <w:p w:rsidR="00FA222B" w:rsidRPr="009E31DB" w:rsidRDefault="00FA222B" w:rsidP="003F3B71">
      <w:pPr>
        <w:pStyle w:val="HChG"/>
        <w:rPr>
          <w:bCs/>
        </w:rPr>
      </w:pPr>
      <w:r>
        <w:tab/>
      </w:r>
      <w:r w:rsidR="003F3B71">
        <w:tab/>
      </w:r>
      <w:r w:rsidRPr="009E31DB">
        <w:t>Views of the Human Rights Committee under article 5</w:t>
      </w:r>
      <w:r w:rsidR="007727EE">
        <w:t xml:space="preserve"> </w:t>
      </w:r>
      <w:r w:rsidR="007E7B6E">
        <w:t>(</w:t>
      </w:r>
      <w:r w:rsidRPr="009E31DB">
        <w:t>4</w:t>
      </w:r>
      <w:r w:rsidR="007E7B6E">
        <w:t>)</w:t>
      </w:r>
      <w:r w:rsidRPr="009E31DB">
        <w:t xml:space="preserve"> of the Optional Protocol to the International Covenant on Civil and Political </w:t>
      </w:r>
      <w:r w:rsidR="000D531D">
        <w:t>R</w:t>
      </w:r>
      <w:r w:rsidRPr="009E31DB">
        <w:t>ights (</w:t>
      </w:r>
      <w:r>
        <w:t>11</w:t>
      </w:r>
      <w:r w:rsidR="00491775">
        <w:t>5</w:t>
      </w:r>
      <w:r>
        <w:t xml:space="preserve">th </w:t>
      </w:r>
      <w:r w:rsidRPr="009E31DB">
        <w:rPr>
          <w:bCs/>
        </w:rPr>
        <w:t>session)</w:t>
      </w:r>
    </w:p>
    <w:p w:rsidR="00FA222B" w:rsidRPr="009E31DB" w:rsidRDefault="00FA222B" w:rsidP="00FA222B">
      <w:pPr>
        <w:pStyle w:val="SingleTxtG"/>
        <w:rPr>
          <w:b/>
          <w:bCs/>
        </w:rPr>
      </w:pPr>
      <w:r w:rsidRPr="009E31DB">
        <w:t>concerning</w:t>
      </w:r>
    </w:p>
    <w:p w:rsidR="00B72B69" w:rsidRPr="00B72B69" w:rsidRDefault="00FA222B" w:rsidP="00B72B69">
      <w:pPr>
        <w:pStyle w:val="H1G"/>
      </w:pPr>
      <w:r>
        <w:tab/>
      </w:r>
      <w:r w:rsidR="003F3B71">
        <w:tab/>
      </w:r>
      <w:r w:rsidRPr="009E31DB">
        <w:t xml:space="preserve">Communication No. </w:t>
      </w:r>
      <w:r>
        <w:t>22</w:t>
      </w:r>
      <w:r w:rsidR="00491775">
        <w:t>23</w:t>
      </w:r>
      <w:r>
        <w:t>/2012</w:t>
      </w:r>
      <w:r w:rsidR="001B0D13" w:rsidRPr="005529A9">
        <w:rPr>
          <w:rStyle w:val="FootnoteReference"/>
          <w:b w:val="0"/>
          <w:bCs/>
          <w:sz w:val="20"/>
          <w:vertAlign w:val="baseline"/>
        </w:rPr>
        <w:footnoteReference w:customMarkFollows="1" w:id="2"/>
        <w:t>*</w:t>
      </w:r>
    </w:p>
    <w:p w:rsidR="00FA222B" w:rsidRPr="003F3B71" w:rsidRDefault="00FA222B" w:rsidP="005529A9">
      <w:pPr>
        <w:pStyle w:val="SingleTxtG"/>
        <w:ind w:left="4536" w:right="0" w:hanging="3402"/>
        <w:jc w:val="left"/>
        <w:rPr>
          <w:rFonts w:eastAsia="Calibri"/>
          <w:i/>
        </w:rPr>
      </w:pPr>
      <w:r w:rsidRPr="003F3B71">
        <w:rPr>
          <w:rFonts w:eastAsia="Calibri"/>
          <w:i/>
        </w:rPr>
        <w:t>Submitted by:</w:t>
      </w:r>
      <w:r w:rsidR="003F3B71" w:rsidRPr="003F3B71">
        <w:rPr>
          <w:rFonts w:eastAsia="Calibri"/>
          <w:i/>
        </w:rPr>
        <w:tab/>
      </w:r>
      <w:r w:rsidR="003F3B71" w:rsidRPr="003F3B71">
        <w:rPr>
          <w:rFonts w:eastAsia="Calibri"/>
          <w:i/>
        </w:rPr>
        <w:tab/>
      </w:r>
      <w:r w:rsidR="00A43858" w:rsidRPr="00C47722">
        <w:t xml:space="preserve">Sunnet Japparow </w:t>
      </w:r>
      <w:r w:rsidRPr="003F3B71">
        <w:rPr>
          <w:rFonts w:eastAsia="Calibri"/>
        </w:rPr>
        <w:t>(represented by counsel)</w:t>
      </w:r>
    </w:p>
    <w:p w:rsidR="00FA222B" w:rsidRPr="003F3B71" w:rsidRDefault="00FA222B" w:rsidP="005529A9">
      <w:pPr>
        <w:pStyle w:val="SingleTxtG"/>
        <w:ind w:left="4536" w:right="0" w:hanging="3402"/>
        <w:jc w:val="left"/>
        <w:rPr>
          <w:rFonts w:eastAsia="Calibri"/>
          <w:i/>
        </w:rPr>
      </w:pPr>
      <w:r w:rsidRPr="003F3B71">
        <w:rPr>
          <w:rFonts w:eastAsia="Calibri"/>
          <w:i/>
        </w:rPr>
        <w:t>Alleged victim:</w:t>
      </w:r>
      <w:r w:rsidRPr="003F3B71">
        <w:rPr>
          <w:rFonts w:eastAsia="Calibri"/>
          <w:i/>
        </w:rPr>
        <w:tab/>
      </w:r>
      <w:r w:rsidRPr="003F3B71">
        <w:rPr>
          <w:rFonts w:eastAsia="Calibri"/>
        </w:rPr>
        <w:t>The author</w:t>
      </w:r>
    </w:p>
    <w:p w:rsidR="00FA222B" w:rsidRPr="003F3B71" w:rsidRDefault="00FA222B" w:rsidP="005529A9">
      <w:pPr>
        <w:pStyle w:val="SingleTxtG"/>
        <w:ind w:left="4536" w:right="0" w:hanging="3402"/>
        <w:jc w:val="left"/>
        <w:rPr>
          <w:rFonts w:eastAsia="Calibri"/>
          <w:i/>
        </w:rPr>
      </w:pPr>
      <w:r w:rsidRPr="003F3B71">
        <w:rPr>
          <w:rFonts w:eastAsia="Calibri"/>
          <w:i/>
        </w:rPr>
        <w:t>State party:</w:t>
      </w:r>
      <w:r w:rsidRPr="003F3B71">
        <w:rPr>
          <w:rFonts w:eastAsia="Calibri"/>
          <w:i/>
        </w:rPr>
        <w:tab/>
      </w:r>
      <w:r w:rsidRPr="003F3B71">
        <w:rPr>
          <w:rFonts w:eastAsia="Calibri"/>
          <w:i/>
        </w:rPr>
        <w:tab/>
      </w:r>
      <w:r w:rsidRPr="003F3B71">
        <w:rPr>
          <w:rFonts w:eastAsia="Calibri"/>
        </w:rPr>
        <w:t>Turkmenistan</w:t>
      </w:r>
    </w:p>
    <w:p w:rsidR="00FA222B" w:rsidRPr="003F3B71" w:rsidRDefault="00FA222B" w:rsidP="005529A9">
      <w:pPr>
        <w:pStyle w:val="SingleTxtG"/>
        <w:ind w:left="4536" w:right="0" w:hanging="3402"/>
        <w:jc w:val="left"/>
        <w:rPr>
          <w:rFonts w:eastAsia="Calibri"/>
          <w:i/>
        </w:rPr>
      </w:pPr>
      <w:r w:rsidRPr="003F3B71">
        <w:rPr>
          <w:rFonts w:eastAsia="Calibri"/>
          <w:i/>
        </w:rPr>
        <w:t>Date of communication:</w:t>
      </w:r>
      <w:r w:rsidRPr="003F3B71">
        <w:rPr>
          <w:rFonts w:eastAsia="Calibri"/>
          <w:i/>
        </w:rPr>
        <w:tab/>
      </w:r>
      <w:r w:rsidRPr="003F3B71">
        <w:rPr>
          <w:rFonts w:eastAsia="Calibri"/>
        </w:rPr>
        <w:t>3 September 2012 (initial submission)</w:t>
      </w:r>
    </w:p>
    <w:p w:rsidR="00FA222B" w:rsidRPr="009E31DB" w:rsidRDefault="00FA222B" w:rsidP="00FA222B">
      <w:pPr>
        <w:pStyle w:val="SingleTxtG"/>
      </w:pPr>
      <w:r w:rsidRPr="009E31DB">
        <w:tab/>
      </w:r>
      <w:r w:rsidRPr="009707F5">
        <w:rPr>
          <w:i/>
        </w:rPr>
        <w:t>The Human Rights Committee</w:t>
      </w:r>
      <w:r w:rsidRPr="009E31DB">
        <w:t xml:space="preserve">, established under article 28 of the International Covenant on Civil and Political Rights, </w:t>
      </w:r>
    </w:p>
    <w:p w:rsidR="00FA222B" w:rsidRPr="009E31DB" w:rsidRDefault="00FA222B" w:rsidP="00FA222B">
      <w:pPr>
        <w:pStyle w:val="SingleTxtG"/>
      </w:pPr>
      <w:r w:rsidRPr="009E31DB">
        <w:tab/>
      </w:r>
      <w:r w:rsidRPr="009707F5">
        <w:rPr>
          <w:i/>
        </w:rPr>
        <w:t>Meeting on</w:t>
      </w:r>
      <w:r w:rsidRPr="009E31DB">
        <w:t xml:space="preserve"> </w:t>
      </w:r>
      <w:r w:rsidR="00E6370F">
        <w:t>29</w:t>
      </w:r>
      <w:r w:rsidR="00F13E91">
        <w:t xml:space="preserve"> </w:t>
      </w:r>
      <w:r w:rsidR="00491775">
        <w:t xml:space="preserve">October </w:t>
      </w:r>
      <w:r w:rsidRPr="009E31DB">
        <w:t>201</w:t>
      </w:r>
      <w:r>
        <w:t>5</w:t>
      </w:r>
      <w:r w:rsidRPr="009E31DB">
        <w:t>,</w:t>
      </w:r>
    </w:p>
    <w:p w:rsidR="00FA222B" w:rsidRPr="009E31DB" w:rsidRDefault="00FA222B" w:rsidP="00FA222B">
      <w:pPr>
        <w:pStyle w:val="SingleTxtG"/>
      </w:pPr>
      <w:r w:rsidRPr="009E31DB">
        <w:tab/>
      </w:r>
      <w:r w:rsidRPr="009707F5">
        <w:rPr>
          <w:i/>
        </w:rPr>
        <w:t>Having concluded</w:t>
      </w:r>
      <w:r w:rsidRPr="009E31DB">
        <w:t xml:space="preserve"> its consideration of communication No. </w:t>
      </w:r>
      <w:r>
        <w:t>22</w:t>
      </w:r>
      <w:r w:rsidR="00A43858">
        <w:t>23</w:t>
      </w:r>
      <w:r>
        <w:t>/2012</w:t>
      </w:r>
      <w:r w:rsidRPr="009E31DB">
        <w:t xml:space="preserve">, submitted to </w:t>
      </w:r>
      <w:r w:rsidR="007E7B6E">
        <w:t>it</w:t>
      </w:r>
      <w:r>
        <w:t xml:space="preserve"> on behalf of </w:t>
      </w:r>
      <w:r w:rsidR="00A43858" w:rsidRPr="00A43858">
        <w:t xml:space="preserve">Sunnet Japparow </w:t>
      </w:r>
      <w:r w:rsidRPr="009E31DB">
        <w:t>under the Optional Protocol to the International Covenant on Civil and Political Rights,</w:t>
      </w:r>
    </w:p>
    <w:p w:rsidR="00FA222B" w:rsidRPr="009E31DB" w:rsidRDefault="00FA222B" w:rsidP="00FA222B">
      <w:pPr>
        <w:pStyle w:val="SingleTxtG"/>
      </w:pPr>
      <w:r w:rsidRPr="009E31DB">
        <w:tab/>
      </w:r>
      <w:r w:rsidRPr="009707F5">
        <w:rPr>
          <w:i/>
        </w:rPr>
        <w:t>Having taken into account</w:t>
      </w:r>
      <w:r w:rsidRPr="009E31DB">
        <w:t xml:space="preserve"> all written information made available to it by the author of the communication and the State party,</w:t>
      </w:r>
    </w:p>
    <w:p w:rsidR="00FA222B" w:rsidRPr="009E31DB" w:rsidRDefault="00FA222B" w:rsidP="00FA222B">
      <w:pPr>
        <w:pStyle w:val="SingleTxtG"/>
      </w:pPr>
      <w:r w:rsidRPr="009E31DB">
        <w:tab/>
      </w:r>
      <w:r w:rsidRPr="009707F5">
        <w:rPr>
          <w:i/>
        </w:rPr>
        <w:t xml:space="preserve">Adopts </w:t>
      </w:r>
      <w:r w:rsidRPr="003F3B71">
        <w:t>the following</w:t>
      </w:r>
      <w:r w:rsidRPr="009E31DB">
        <w:t>:</w:t>
      </w:r>
    </w:p>
    <w:p w:rsidR="00FA222B" w:rsidRPr="009E31DB" w:rsidRDefault="00FA222B" w:rsidP="003F3B71">
      <w:pPr>
        <w:pStyle w:val="H1G"/>
      </w:pPr>
      <w:r>
        <w:tab/>
      </w:r>
      <w:r w:rsidR="003F3B71">
        <w:tab/>
      </w:r>
      <w:r w:rsidRPr="009E31DB">
        <w:t xml:space="preserve">Views under article 5 </w:t>
      </w:r>
      <w:r w:rsidR="007E7B6E">
        <w:t>(</w:t>
      </w:r>
      <w:r w:rsidRPr="009E31DB">
        <w:t>4</w:t>
      </w:r>
      <w:r w:rsidR="007E7B6E">
        <w:t>)</w:t>
      </w:r>
      <w:r w:rsidRPr="009E31DB">
        <w:t xml:space="preserve"> of the Optional Protocol</w:t>
      </w:r>
    </w:p>
    <w:p w:rsidR="00FA222B" w:rsidRPr="00A4654A" w:rsidRDefault="003F3B71">
      <w:pPr>
        <w:pStyle w:val="SingleTxtG"/>
      </w:pPr>
      <w:r>
        <w:t>1.1</w:t>
      </w:r>
      <w:r>
        <w:tab/>
      </w:r>
      <w:r w:rsidR="00FA222B" w:rsidRPr="00A4654A">
        <w:t xml:space="preserve">The </w:t>
      </w:r>
      <w:r w:rsidR="00FA222B" w:rsidRPr="003F3B71">
        <w:t>author</w:t>
      </w:r>
      <w:r w:rsidR="00FA222B" w:rsidRPr="00A4654A">
        <w:t xml:space="preserve"> </w:t>
      </w:r>
      <w:r w:rsidR="007E7B6E">
        <w:t xml:space="preserve">of the communication </w:t>
      </w:r>
      <w:r w:rsidR="00FA222B" w:rsidRPr="00A4654A">
        <w:t xml:space="preserve">is </w:t>
      </w:r>
      <w:r w:rsidR="00A43858" w:rsidRPr="00A43858">
        <w:t>Sunnet Japparow</w:t>
      </w:r>
      <w:r w:rsidR="00FA222B" w:rsidRPr="00A4654A">
        <w:t xml:space="preserve">, a national </w:t>
      </w:r>
      <w:r w:rsidR="007E7B6E">
        <w:t xml:space="preserve">of Turkmenistan </w:t>
      </w:r>
      <w:r w:rsidR="00FA222B" w:rsidRPr="00A4654A">
        <w:t>born in 19</w:t>
      </w:r>
      <w:r w:rsidR="00A43858">
        <w:t>90</w:t>
      </w:r>
      <w:r w:rsidR="00FA222B" w:rsidRPr="00A4654A">
        <w:t xml:space="preserve">. He claims </w:t>
      </w:r>
      <w:r w:rsidR="007E7B6E">
        <w:t xml:space="preserve">that the State party violated </w:t>
      </w:r>
      <w:r w:rsidR="00FA222B" w:rsidRPr="00A4654A">
        <w:t>his rights under articles 7</w:t>
      </w:r>
      <w:r w:rsidR="00A43858">
        <w:t xml:space="preserve"> </w:t>
      </w:r>
      <w:r w:rsidR="00FA222B" w:rsidRPr="00A4654A">
        <w:t>and 18</w:t>
      </w:r>
      <w:r w:rsidR="007727EE">
        <w:t xml:space="preserve"> </w:t>
      </w:r>
      <w:r w:rsidR="007E7B6E">
        <w:t>(</w:t>
      </w:r>
      <w:r w:rsidR="00FA222B" w:rsidRPr="00A4654A">
        <w:t>1</w:t>
      </w:r>
      <w:r w:rsidR="007E7B6E">
        <w:t>)</w:t>
      </w:r>
      <w:r w:rsidR="00FA222B" w:rsidRPr="00A4654A">
        <w:t xml:space="preserve"> of the Covenant. Although the author does not invoke this provision specifically, the communication also appears to raise issues under article 10 of the Covenant. The Optional Protocol entered into force for Turkmenistan on 1 </w:t>
      </w:r>
      <w:r w:rsidR="00491775">
        <w:t xml:space="preserve">August </w:t>
      </w:r>
      <w:r w:rsidR="00FA222B" w:rsidRPr="00A4654A">
        <w:t xml:space="preserve">1997. The author is represented by counsel. </w:t>
      </w:r>
    </w:p>
    <w:p w:rsidR="00FA222B" w:rsidRPr="00A4654A" w:rsidRDefault="003F3B71">
      <w:pPr>
        <w:pStyle w:val="SingleTxtG"/>
      </w:pPr>
      <w:r>
        <w:t>1.2</w:t>
      </w:r>
      <w:r>
        <w:tab/>
      </w:r>
      <w:r w:rsidR="00491775">
        <w:t xml:space="preserve">In his initial submission, the author requested that the Committee seek assurances from the State party </w:t>
      </w:r>
      <w:r w:rsidR="00CC3A3D">
        <w:t xml:space="preserve">that </w:t>
      </w:r>
      <w:r w:rsidR="00491775">
        <w:t>as an interim measure</w:t>
      </w:r>
      <w:r w:rsidR="00CC3A3D">
        <w:t xml:space="preserve"> </w:t>
      </w:r>
      <w:r w:rsidR="00491775">
        <w:t xml:space="preserve">it </w:t>
      </w:r>
      <w:r w:rsidR="00270EDF">
        <w:t xml:space="preserve">would </w:t>
      </w:r>
      <w:r w:rsidR="00491775">
        <w:t>not subject him to a second round of criminal prosecution until the Committee ha</w:t>
      </w:r>
      <w:r w:rsidR="007727EE">
        <w:t>d</w:t>
      </w:r>
      <w:r w:rsidR="00491775">
        <w:t xml:space="preserve"> dealt with the communication. On</w:t>
      </w:r>
      <w:r w:rsidR="00FA222B" w:rsidRPr="00A4654A">
        <w:t xml:space="preserve"> 7</w:t>
      </w:r>
      <w:r w:rsidR="00CA51AF">
        <w:t> </w:t>
      </w:r>
      <w:r w:rsidR="00FA222B" w:rsidRPr="00A4654A">
        <w:t>December 2012, the Committee</w:t>
      </w:r>
      <w:r w:rsidR="00491775">
        <w:t xml:space="preserve">, acting through its </w:t>
      </w:r>
      <w:r w:rsidR="00FA222B" w:rsidRPr="00A4654A">
        <w:t xml:space="preserve">Special Rapporteur on </w:t>
      </w:r>
      <w:r w:rsidR="00270EDF">
        <w:t>n</w:t>
      </w:r>
      <w:r w:rsidR="00FA222B" w:rsidRPr="00A4654A">
        <w:t xml:space="preserve">ew </w:t>
      </w:r>
      <w:r w:rsidR="00270EDF">
        <w:t>c</w:t>
      </w:r>
      <w:r w:rsidR="00FA222B" w:rsidRPr="00A4654A">
        <w:t xml:space="preserve">ommunications and </w:t>
      </w:r>
      <w:r w:rsidR="00270EDF">
        <w:t>i</w:t>
      </w:r>
      <w:r w:rsidR="00FA222B" w:rsidRPr="00A4654A">
        <w:t xml:space="preserve">nterim </w:t>
      </w:r>
      <w:r w:rsidR="00270EDF">
        <w:t>m</w:t>
      </w:r>
      <w:r w:rsidR="00FA222B" w:rsidRPr="00A4654A">
        <w:t>easures</w:t>
      </w:r>
      <w:r w:rsidR="00491775">
        <w:t xml:space="preserve">, </w:t>
      </w:r>
      <w:r w:rsidR="00FA222B" w:rsidRPr="00A4654A">
        <w:t xml:space="preserve">decided not to </w:t>
      </w:r>
      <w:r w:rsidR="00491775">
        <w:t>accede to this request</w:t>
      </w:r>
      <w:r w:rsidR="0067314F">
        <w:t>.</w:t>
      </w:r>
    </w:p>
    <w:p w:rsidR="00FA222B" w:rsidRPr="00A4654A" w:rsidRDefault="00FA222B" w:rsidP="003F3B71">
      <w:pPr>
        <w:pStyle w:val="H23G"/>
      </w:pPr>
      <w:r w:rsidRPr="00A4654A">
        <w:lastRenderedPageBreak/>
        <w:tab/>
      </w:r>
      <w:r w:rsidR="003F3B71">
        <w:tab/>
      </w:r>
      <w:r w:rsidRPr="00A4654A">
        <w:t xml:space="preserve">The facts as </w:t>
      </w:r>
      <w:r w:rsidR="007E7B6E">
        <w:t>submitted</w:t>
      </w:r>
      <w:r w:rsidR="007E7B6E" w:rsidRPr="00A4654A">
        <w:t xml:space="preserve"> </w:t>
      </w:r>
      <w:r w:rsidRPr="00A4654A">
        <w:t>by the author</w:t>
      </w:r>
    </w:p>
    <w:p w:rsidR="00FA222B" w:rsidRPr="00A4654A" w:rsidRDefault="003F3B71" w:rsidP="00FA222B">
      <w:pPr>
        <w:pStyle w:val="SingleTxtG"/>
        <w:rPr>
          <w:lang w:eastAsia="en-GB"/>
        </w:rPr>
      </w:pPr>
      <w:r>
        <w:t>2.1</w:t>
      </w:r>
      <w:r>
        <w:tab/>
      </w:r>
      <w:r w:rsidR="00FA222B" w:rsidRPr="00A4654A">
        <w:rPr>
          <w:lang w:eastAsia="en-GB"/>
        </w:rPr>
        <w:t xml:space="preserve">The author </w:t>
      </w:r>
      <w:r w:rsidR="00D2030A">
        <w:rPr>
          <w:lang w:eastAsia="en-GB"/>
        </w:rPr>
        <w:t xml:space="preserve">is a </w:t>
      </w:r>
      <w:r w:rsidR="00D2030A" w:rsidRPr="00A4654A">
        <w:rPr>
          <w:lang w:eastAsia="en-GB"/>
        </w:rPr>
        <w:t>Jehovah’s Witness</w:t>
      </w:r>
      <w:r w:rsidR="00D2030A">
        <w:rPr>
          <w:lang w:eastAsia="en-GB"/>
        </w:rPr>
        <w:t xml:space="preserve">. He </w:t>
      </w:r>
      <w:r w:rsidR="00FA222B" w:rsidRPr="00A4654A">
        <w:rPr>
          <w:lang w:eastAsia="en-GB"/>
        </w:rPr>
        <w:t xml:space="preserve">has never been charged with a criminal or administrative offence other than his criminal conviction </w:t>
      </w:r>
      <w:r w:rsidR="00491775">
        <w:rPr>
          <w:lang w:eastAsia="en-GB"/>
        </w:rPr>
        <w:t>for refusing to perform compulsory military service</w:t>
      </w:r>
      <w:r w:rsidR="00FA222B" w:rsidRPr="00A4654A">
        <w:rPr>
          <w:lang w:eastAsia="en-GB"/>
        </w:rPr>
        <w:t xml:space="preserve">. </w:t>
      </w:r>
    </w:p>
    <w:p w:rsidR="00094460" w:rsidRDefault="0067314F" w:rsidP="001F4300">
      <w:pPr>
        <w:pStyle w:val="SingleTxtG"/>
        <w:rPr>
          <w:lang w:eastAsia="en-GB"/>
        </w:rPr>
      </w:pPr>
      <w:r>
        <w:rPr>
          <w:lang w:eastAsia="en-GB"/>
        </w:rPr>
        <w:t>2.2</w:t>
      </w:r>
      <w:r>
        <w:rPr>
          <w:lang w:eastAsia="en-GB"/>
        </w:rPr>
        <w:tab/>
      </w:r>
      <w:r w:rsidR="00FA222B" w:rsidRPr="00A4654A">
        <w:rPr>
          <w:lang w:eastAsia="en-GB"/>
        </w:rPr>
        <w:t xml:space="preserve">In </w:t>
      </w:r>
      <w:r w:rsidR="00D2030A">
        <w:rPr>
          <w:lang w:eastAsia="en-GB"/>
        </w:rPr>
        <w:t xml:space="preserve">December 2008, </w:t>
      </w:r>
      <w:r w:rsidR="00FA222B" w:rsidRPr="00A4654A">
        <w:rPr>
          <w:lang w:eastAsia="en-GB"/>
        </w:rPr>
        <w:t xml:space="preserve">he was called by the Military Commissariat to perform his compulsory military service. </w:t>
      </w:r>
      <w:r w:rsidR="00D2030A">
        <w:rPr>
          <w:lang w:eastAsia="en-GB"/>
        </w:rPr>
        <w:t>After a medical examination he was declared fit to serve</w:t>
      </w:r>
      <w:r w:rsidR="00491775">
        <w:rPr>
          <w:lang w:eastAsia="en-GB"/>
        </w:rPr>
        <w:t>. H</w:t>
      </w:r>
      <w:r w:rsidR="008E1C81">
        <w:rPr>
          <w:lang w:eastAsia="en-GB"/>
        </w:rPr>
        <w:t>e was supposed to join the army on 12 December 2008. Prior to th</w:t>
      </w:r>
      <w:r w:rsidR="00270EDF">
        <w:rPr>
          <w:lang w:eastAsia="en-GB"/>
        </w:rPr>
        <w:t>at</w:t>
      </w:r>
      <w:r w:rsidR="008E1C81">
        <w:rPr>
          <w:lang w:eastAsia="en-GB"/>
        </w:rPr>
        <w:t xml:space="preserve"> date, he </w:t>
      </w:r>
      <w:r w:rsidR="007727EE">
        <w:rPr>
          <w:lang w:eastAsia="en-GB"/>
        </w:rPr>
        <w:t xml:space="preserve">had </w:t>
      </w:r>
      <w:r w:rsidR="00FA222B" w:rsidRPr="00A4654A">
        <w:rPr>
          <w:lang w:eastAsia="en-GB"/>
        </w:rPr>
        <w:t xml:space="preserve">explained in writing </w:t>
      </w:r>
      <w:r w:rsidR="008E1C81">
        <w:rPr>
          <w:lang w:eastAsia="en-GB"/>
        </w:rPr>
        <w:t xml:space="preserve">in a letter </w:t>
      </w:r>
      <w:r w:rsidR="00D04AC9">
        <w:rPr>
          <w:lang w:eastAsia="en-GB"/>
        </w:rPr>
        <w:t xml:space="preserve">addressed </w:t>
      </w:r>
      <w:r w:rsidR="00FA222B" w:rsidRPr="00A4654A">
        <w:rPr>
          <w:lang w:eastAsia="en-GB"/>
        </w:rPr>
        <w:t xml:space="preserve">to the Military Commissariat that as a Jehovah’s Witness, his religious beliefs </w:t>
      </w:r>
      <w:r w:rsidR="00270EDF">
        <w:rPr>
          <w:lang w:eastAsia="en-GB"/>
        </w:rPr>
        <w:t>did</w:t>
      </w:r>
      <w:r w:rsidR="00270EDF" w:rsidRPr="00A4654A">
        <w:rPr>
          <w:lang w:eastAsia="en-GB"/>
        </w:rPr>
        <w:t xml:space="preserve"> </w:t>
      </w:r>
      <w:r w:rsidR="00FA222B" w:rsidRPr="00A4654A">
        <w:rPr>
          <w:lang w:eastAsia="en-GB"/>
        </w:rPr>
        <w:t xml:space="preserve">not permit him to </w:t>
      </w:r>
      <w:r w:rsidR="00270EDF">
        <w:rPr>
          <w:lang w:eastAsia="en-GB"/>
        </w:rPr>
        <w:t>perform</w:t>
      </w:r>
      <w:r w:rsidR="00270EDF" w:rsidRPr="00A4654A">
        <w:rPr>
          <w:lang w:eastAsia="en-GB"/>
        </w:rPr>
        <w:t xml:space="preserve"> </w:t>
      </w:r>
      <w:r w:rsidR="00FA222B" w:rsidRPr="00A4654A">
        <w:rPr>
          <w:lang w:eastAsia="en-GB"/>
        </w:rPr>
        <w:t xml:space="preserve">military service. </w:t>
      </w:r>
      <w:r w:rsidR="00CA1A12">
        <w:rPr>
          <w:lang w:eastAsia="en-GB"/>
        </w:rPr>
        <w:t xml:space="preserve">The Military Commissariat turned the case </w:t>
      </w:r>
      <w:r w:rsidR="00270EDF">
        <w:rPr>
          <w:lang w:eastAsia="en-GB"/>
        </w:rPr>
        <w:t xml:space="preserve">over </w:t>
      </w:r>
      <w:r w:rsidR="00CA1A12">
        <w:rPr>
          <w:lang w:eastAsia="en-GB"/>
        </w:rPr>
        <w:t xml:space="preserve">to the </w:t>
      </w:r>
      <w:r w:rsidR="00270EDF">
        <w:rPr>
          <w:lang w:eastAsia="en-GB"/>
        </w:rPr>
        <w:t>p</w:t>
      </w:r>
      <w:r w:rsidR="00CA1A12">
        <w:rPr>
          <w:lang w:eastAsia="en-GB"/>
        </w:rPr>
        <w:t xml:space="preserve">rosecutor’s </w:t>
      </w:r>
      <w:r w:rsidR="00270EDF">
        <w:rPr>
          <w:lang w:eastAsia="en-GB"/>
        </w:rPr>
        <w:t>o</w:t>
      </w:r>
      <w:r w:rsidR="00CA1A12">
        <w:rPr>
          <w:lang w:eastAsia="en-GB"/>
        </w:rPr>
        <w:t xml:space="preserve">ffice. The author met with the prosecutor in an attempt to explain his position. </w:t>
      </w:r>
      <w:r w:rsidR="00094460">
        <w:rPr>
          <w:lang w:eastAsia="en-GB"/>
        </w:rPr>
        <w:t xml:space="preserve">He was </w:t>
      </w:r>
      <w:r w:rsidR="00270EDF">
        <w:rPr>
          <w:lang w:eastAsia="en-GB"/>
        </w:rPr>
        <w:t xml:space="preserve">told </w:t>
      </w:r>
      <w:r w:rsidR="00094460">
        <w:rPr>
          <w:lang w:eastAsia="en-GB"/>
        </w:rPr>
        <w:t xml:space="preserve">that </w:t>
      </w:r>
      <w:r w:rsidR="00270EDF">
        <w:rPr>
          <w:lang w:eastAsia="en-GB"/>
        </w:rPr>
        <w:t>he</w:t>
      </w:r>
      <w:r w:rsidR="007727EE">
        <w:rPr>
          <w:lang w:eastAsia="en-GB"/>
        </w:rPr>
        <w:t xml:space="preserve"> </w:t>
      </w:r>
      <w:r w:rsidR="00270EDF">
        <w:rPr>
          <w:lang w:eastAsia="en-GB"/>
        </w:rPr>
        <w:t xml:space="preserve">would </w:t>
      </w:r>
      <w:r w:rsidR="002624DC">
        <w:rPr>
          <w:lang w:eastAsia="en-GB"/>
        </w:rPr>
        <w:t xml:space="preserve">be </w:t>
      </w:r>
      <w:r w:rsidR="00270EDF">
        <w:rPr>
          <w:lang w:eastAsia="en-GB"/>
        </w:rPr>
        <w:t>prosecuted</w:t>
      </w:r>
      <w:r w:rsidR="00094460">
        <w:rPr>
          <w:lang w:eastAsia="en-GB"/>
        </w:rPr>
        <w:t xml:space="preserve">. </w:t>
      </w:r>
    </w:p>
    <w:p w:rsidR="001F4300" w:rsidRDefault="00094460" w:rsidP="00094460">
      <w:pPr>
        <w:pStyle w:val="SingleTxtG"/>
        <w:rPr>
          <w:lang w:eastAsia="en-GB"/>
        </w:rPr>
      </w:pPr>
      <w:r>
        <w:rPr>
          <w:lang w:eastAsia="en-GB"/>
        </w:rPr>
        <w:t>2.3</w:t>
      </w:r>
      <w:r w:rsidR="00C67C01">
        <w:rPr>
          <w:lang w:eastAsia="en-GB"/>
        </w:rPr>
        <w:tab/>
      </w:r>
      <w:r w:rsidR="001F4300">
        <w:rPr>
          <w:lang w:eastAsia="en-GB"/>
        </w:rPr>
        <w:t>O</w:t>
      </w:r>
      <w:r>
        <w:rPr>
          <w:lang w:eastAsia="en-GB"/>
        </w:rPr>
        <w:t xml:space="preserve">n 23 November 2010, the author was arrested </w:t>
      </w:r>
      <w:r w:rsidR="001F4300">
        <w:rPr>
          <w:lang w:eastAsia="en-GB"/>
        </w:rPr>
        <w:t xml:space="preserve">and handed over to the prosecutor’s office </w:t>
      </w:r>
      <w:r>
        <w:rPr>
          <w:lang w:eastAsia="en-GB"/>
        </w:rPr>
        <w:t xml:space="preserve">for refusing to perform military service. </w:t>
      </w:r>
      <w:r w:rsidR="001F4300">
        <w:rPr>
          <w:lang w:eastAsia="en-GB"/>
        </w:rPr>
        <w:t xml:space="preserve">He was not allowed to see his relatives before </w:t>
      </w:r>
      <w:r w:rsidR="00270EDF">
        <w:rPr>
          <w:lang w:eastAsia="en-GB"/>
        </w:rPr>
        <w:t xml:space="preserve">his </w:t>
      </w:r>
      <w:r w:rsidR="001F4300">
        <w:rPr>
          <w:lang w:eastAsia="en-GB"/>
        </w:rPr>
        <w:t xml:space="preserve">trial. He was </w:t>
      </w:r>
      <w:r w:rsidR="00270EDF">
        <w:rPr>
          <w:lang w:eastAsia="en-GB"/>
        </w:rPr>
        <w:t xml:space="preserve">taken </w:t>
      </w:r>
      <w:r w:rsidR="00BF7C82">
        <w:rPr>
          <w:lang w:eastAsia="en-GB"/>
        </w:rPr>
        <w:t>in</w:t>
      </w:r>
      <w:r w:rsidR="00270EDF">
        <w:rPr>
          <w:lang w:eastAsia="en-GB"/>
        </w:rPr>
        <w:t>to</w:t>
      </w:r>
      <w:r w:rsidR="00BF7C82">
        <w:rPr>
          <w:lang w:eastAsia="en-GB"/>
        </w:rPr>
        <w:t xml:space="preserve"> custody and </w:t>
      </w:r>
      <w:r w:rsidR="001F4300">
        <w:rPr>
          <w:lang w:eastAsia="en-GB"/>
        </w:rPr>
        <w:t xml:space="preserve">kept at the </w:t>
      </w:r>
      <w:r w:rsidR="00993D57">
        <w:rPr>
          <w:lang w:eastAsia="en-GB"/>
        </w:rPr>
        <w:t>Dep</w:t>
      </w:r>
      <w:r w:rsidR="0037603A">
        <w:rPr>
          <w:lang w:eastAsia="en-GB"/>
        </w:rPr>
        <w:t>artment of Internal Affairs,</w:t>
      </w:r>
      <w:r w:rsidR="001F4300" w:rsidRPr="0037603A">
        <w:rPr>
          <w:lang w:eastAsia="en-GB"/>
        </w:rPr>
        <w:t xml:space="preserve"> </w:t>
      </w:r>
      <w:r w:rsidR="001F4300" w:rsidRPr="000D531D">
        <w:rPr>
          <w:lang w:eastAsia="en-GB"/>
        </w:rPr>
        <w:t>where</w:t>
      </w:r>
      <w:r w:rsidR="00491775" w:rsidRPr="00487D2A">
        <w:rPr>
          <w:lang w:eastAsia="en-GB"/>
        </w:rPr>
        <w:t xml:space="preserve"> he was treated in a manner contrary to </w:t>
      </w:r>
      <w:r w:rsidR="001F4300" w:rsidRPr="000D531D">
        <w:rPr>
          <w:lang w:eastAsia="en-GB"/>
        </w:rPr>
        <w:t xml:space="preserve">his human dignity and was abused. </w:t>
      </w:r>
      <w:r w:rsidR="00BF7C82" w:rsidRPr="000D531D">
        <w:rPr>
          <w:lang w:eastAsia="en-GB"/>
        </w:rPr>
        <w:t>In addition</w:t>
      </w:r>
      <w:r w:rsidR="00BF7C82">
        <w:rPr>
          <w:lang w:eastAsia="en-GB"/>
        </w:rPr>
        <w:t xml:space="preserve">, </w:t>
      </w:r>
      <w:r w:rsidR="001F4300">
        <w:rPr>
          <w:lang w:eastAsia="en-GB"/>
        </w:rPr>
        <w:t xml:space="preserve">he was </w:t>
      </w:r>
      <w:r w:rsidR="00270EDF">
        <w:rPr>
          <w:lang w:eastAsia="en-GB"/>
        </w:rPr>
        <w:t xml:space="preserve">later put </w:t>
      </w:r>
      <w:r w:rsidR="002624DC">
        <w:rPr>
          <w:lang w:eastAsia="en-GB"/>
        </w:rPr>
        <w:t>in</w:t>
      </w:r>
      <w:r w:rsidR="001F4300">
        <w:rPr>
          <w:lang w:eastAsia="en-GB"/>
        </w:rPr>
        <w:t xml:space="preserve"> a punishment cell for 18 days. </w:t>
      </w:r>
    </w:p>
    <w:p w:rsidR="001F4300" w:rsidRDefault="001F4300" w:rsidP="00094460">
      <w:pPr>
        <w:pStyle w:val="SingleTxtG"/>
        <w:rPr>
          <w:lang w:eastAsia="en-GB"/>
        </w:rPr>
      </w:pPr>
      <w:r>
        <w:rPr>
          <w:lang w:eastAsia="en-GB"/>
        </w:rPr>
        <w:t>2.4</w:t>
      </w:r>
      <w:r>
        <w:rPr>
          <w:lang w:eastAsia="en-GB"/>
        </w:rPr>
        <w:tab/>
      </w:r>
      <w:r w:rsidR="00094460">
        <w:rPr>
          <w:lang w:eastAsia="en-GB"/>
        </w:rPr>
        <w:t xml:space="preserve">On 14 December 2010, </w:t>
      </w:r>
      <w:r w:rsidR="00270EDF">
        <w:rPr>
          <w:lang w:eastAsia="en-GB"/>
        </w:rPr>
        <w:t>he was tried before</w:t>
      </w:r>
      <w:r w:rsidR="00094460">
        <w:rPr>
          <w:lang w:eastAsia="en-GB"/>
        </w:rPr>
        <w:t xml:space="preserve"> the Turkmenabat City Court. </w:t>
      </w:r>
      <w:r w:rsidR="007727EE">
        <w:rPr>
          <w:lang w:eastAsia="en-GB"/>
        </w:rPr>
        <w:t>At his trial</w:t>
      </w:r>
      <w:r w:rsidR="00270EDF">
        <w:rPr>
          <w:lang w:eastAsia="en-GB"/>
        </w:rPr>
        <w:t xml:space="preserve"> t</w:t>
      </w:r>
      <w:r w:rsidR="00094460">
        <w:rPr>
          <w:lang w:eastAsia="en-GB"/>
        </w:rPr>
        <w:t xml:space="preserve">he author explained in detail why he could not perform military service. The </w:t>
      </w:r>
      <w:r w:rsidR="00270EDF">
        <w:rPr>
          <w:lang w:eastAsia="en-GB"/>
        </w:rPr>
        <w:t>c</w:t>
      </w:r>
      <w:r w:rsidR="00094460">
        <w:rPr>
          <w:lang w:eastAsia="en-GB"/>
        </w:rPr>
        <w:t xml:space="preserve">ourt </w:t>
      </w:r>
      <w:r w:rsidR="00270EDF">
        <w:rPr>
          <w:lang w:eastAsia="en-GB"/>
        </w:rPr>
        <w:t xml:space="preserve">nevertheless convicted him </w:t>
      </w:r>
      <w:r w:rsidR="007727EE">
        <w:rPr>
          <w:lang w:eastAsia="en-GB"/>
        </w:rPr>
        <w:t xml:space="preserve">under article 219 (1) of the Criminal Code </w:t>
      </w:r>
      <w:r w:rsidR="00270EDF">
        <w:rPr>
          <w:lang w:eastAsia="en-GB"/>
        </w:rPr>
        <w:t xml:space="preserve">and </w:t>
      </w:r>
      <w:r w:rsidR="00094460">
        <w:rPr>
          <w:lang w:eastAsia="en-GB"/>
        </w:rPr>
        <w:t>sentenced him to 18 months</w:t>
      </w:r>
      <w:r w:rsidR="00270EDF">
        <w:rPr>
          <w:lang w:eastAsia="en-GB"/>
        </w:rPr>
        <w:t>’</w:t>
      </w:r>
      <w:r w:rsidR="00094460">
        <w:rPr>
          <w:lang w:eastAsia="en-GB"/>
        </w:rPr>
        <w:t xml:space="preserve"> imprisonment</w:t>
      </w:r>
      <w:r w:rsidR="00270EDF">
        <w:rPr>
          <w:lang w:eastAsia="en-GB"/>
        </w:rPr>
        <w:t>,</w:t>
      </w:r>
      <w:r>
        <w:rPr>
          <w:lang w:eastAsia="en-GB"/>
        </w:rPr>
        <w:t xml:space="preserve"> to be served in a general regime </w:t>
      </w:r>
      <w:r w:rsidR="00BF7C82">
        <w:rPr>
          <w:lang w:eastAsia="en-GB"/>
        </w:rPr>
        <w:t>penitentiary</w:t>
      </w:r>
      <w:r w:rsidR="00094460">
        <w:rPr>
          <w:lang w:eastAsia="en-GB"/>
        </w:rPr>
        <w:t xml:space="preserve">. </w:t>
      </w:r>
      <w:r w:rsidR="007727EE">
        <w:rPr>
          <w:lang w:eastAsia="en-GB"/>
        </w:rPr>
        <w:t xml:space="preserve"> </w:t>
      </w:r>
    </w:p>
    <w:p w:rsidR="00094460" w:rsidRDefault="001F4300" w:rsidP="00094460">
      <w:pPr>
        <w:pStyle w:val="SingleTxtG"/>
        <w:rPr>
          <w:lang w:eastAsia="en-GB"/>
        </w:rPr>
      </w:pPr>
      <w:r>
        <w:rPr>
          <w:lang w:eastAsia="en-GB"/>
        </w:rPr>
        <w:t>2.5</w:t>
      </w:r>
      <w:r>
        <w:rPr>
          <w:lang w:eastAsia="en-GB"/>
        </w:rPr>
        <w:tab/>
      </w:r>
      <w:r w:rsidR="001764A6">
        <w:rPr>
          <w:lang w:eastAsia="en-GB"/>
        </w:rPr>
        <w:t xml:space="preserve">Following </w:t>
      </w:r>
      <w:r w:rsidR="00270EDF">
        <w:rPr>
          <w:lang w:eastAsia="en-GB"/>
        </w:rPr>
        <w:t xml:space="preserve">his </w:t>
      </w:r>
      <w:r>
        <w:rPr>
          <w:lang w:eastAsia="en-GB"/>
        </w:rPr>
        <w:t xml:space="preserve">trial, </w:t>
      </w:r>
      <w:r w:rsidR="00BF7C82">
        <w:rPr>
          <w:lang w:eastAsia="en-GB"/>
        </w:rPr>
        <w:t>t</w:t>
      </w:r>
      <w:r>
        <w:rPr>
          <w:lang w:eastAsia="en-GB"/>
        </w:rPr>
        <w:t xml:space="preserve">he </w:t>
      </w:r>
      <w:r w:rsidR="00BF7C82">
        <w:rPr>
          <w:lang w:eastAsia="en-GB"/>
        </w:rPr>
        <w:t xml:space="preserve">author </w:t>
      </w:r>
      <w:r>
        <w:rPr>
          <w:lang w:eastAsia="en-GB"/>
        </w:rPr>
        <w:t xml:space="preserve">was kept in a </w:t>
      </w:r>
      <w:r w:rsidR="001A2410">
        <w:rPr>
          <w:lang w:eastAsia="en-GB"/>
        </w:rPr>
        <w:t xml:space="preserve">“24-hour </w:t>
      </w:r>
      <w:r w:rsidR="000C64EA">
        <w:rPr>
          <w:lang w:eastAsia="en-GB"/>
        </w:rPr>
        <w:t>detention</w:t>
      </w:r>
      <w:r w:rsidR="001A2410">
        <w:rPr>
          <w:lang w:eastAsia="en-GB"/>
        </w:rPr>
        <w:t xml:space="preserve"> cell”</w:t>
      </w:r>
      <w:r w:rsidR="001A2410">
        <w:rPr>
          <w:rStyle w:val="FootnoteReference"/>
          <w:lang w:eastAsia="en-GB"/>
        </w:rPr>
        <w:footnoteReference w:id="3"/>
      </w:r>
      <w:r w:rsidR="001A2410">
        <w:rPr>
          <w:lang w:eastAsia="en-GB"/>
        </w:rPr>
        <w:t xml:space="preserve"> </w:t>
      </w:r>
      <w:r>
        <w:rPr>
          <w:lang w:eastAsia="en-GB"/>
        </w:rPr>
        <w:t>for 17 days. On 1 January 2011, he was transferred to the LBK</w:t>
      </w:r>
      <w:r w:rsidR="00FD1F65">
        <w:rPr>
          <w:lang w:eastAsia="en-GB"/>
        </w:rPr>
        <w:t>-</w:t>
      </w:r>
      <w:r>
        <w:rPr>
          <w:lang w:eastAsia="en-GB"/>
        </w:rPr>
        <w:t>12</w:t>
      </w:r>
      <w:r w:rsidR="00FD1F65">
        <w:rPr>
          <w:lang w:eastAsia="en-GB"/>
        </w:rPr>
        <w:t xml:space="preserve"> prison near the town of</w:t>
      </w:r>
      <w:r>
        <w:rPr>
          <w:lang w:eastAsia="en-GB"/>
        </w:rPr>
        <w:t xml:space="preserve"> Seydi</w:t>
      </w:r>
      <w:r w:rsidR="00FD1F65">
        <w:rPr>
          <w:lang w:eastAsia="en-GB"/>
        </w:rPr>
        <w:t xml:space="preserve">. </w:t>
      </w:r>
      <w:r w:rsidR="00FD1F65" w:rsidRPr="00FD1F65">
        <w:rPr>
          <w:lang w:eastAsia="en-GB"/>
        </w:rPr>
        <w:t xml:space="preserve">Immediately upon his arrival at the </w:t>
      </w:r>
      <w:r w:rsidR="00270EDF">
        <w:rPr>
          <w:lang w:eastAsia="en-GB"/>
        </w:rPr>
        <w:t>prison</w:t>
      </w:r>
      <w:r w:rsidR="00FD1F65" w:rsidRPr="00FD1F65">
        <w:rPr>
          <w:lang w:eastAsia="en-GB"/>
        </w:rPr>
        <w:t>, he was placed in quarantine for 10 days</w:t>
      </w:r>
      <w:r w:rsidR="00FD1F65">
        <w:rPr>
          <w:lang w:eastAsia="en-GB"/>
        </w:rPr>
        <w:t xml:space="preserve">. The </w:t>
      </w:r>
      <w:r w:rsidR="009856B6">
        <w:rPr>
          <w:lang w:eastAsia="en-GB"/>
        </w:rPr>
        <w:t>authorities</w:t>
      </w:r>
      <w:r w:rsidR="00FD1F65">
        <w:rPr>
          <w:lang w:eastAsia="en-GB"/>
        </w:rPr>
        <w:t xml:space="preserve"> allowed relatives </w:t>
      </w:r>
      <w:r w:rsidR="00270EDF">
        <w:rPr>
          <w:lang w:eastAsia="en-GB"/>
        </w:rPr>
        <w:t xml:space="preserve">to visit </w:t>
      </w:r>
      <w:r w:rsidR="007727EE">
        <w:rPr>
          <w:lang w:eastAsia="en-GB"/>
        </w:rPr>
        <w:t xml:space="preserve">him </w:t>
      </w:r>
      <w:r w:rsidR="00FD1F65">
        <w:rPr>
          <w:lang w:eastAsia="en-GB"/>
        </w:rPr>
        <w:t>once every two months but</w:t>
      </w:r>
      <w:r w:rsidR="00270EDF">
        <w:rPr>
          <w:lang w:eastAsia="en-GB"/>
        </w:rPr>
        <w:t>, contrary to the rules,</w:t>
      </w:r>
      <w:r w:rsidR="00FD1F65">
        <w:rPr>
          <w:lang w:eastAsia="en-GB"/>
        </w:rPr>
        <w:t xml:space="preserve"> did not allow </w:t>
      </w:r>
      <w:r w:rsidR="00270EDF">
        <w:rPr>
          <w:lang w:eastAsia="en-GB"/>
        </w:rPr>
        <w:t xml:space="preserve">him to </w:t>
      </w:r>
      <w:r w:rsidR="00FD1F65">
        <w:rPr>
          <w:lang w:eastAsia="en-GB"/>
        </w:rPr>
        <w:t xml:space="preserve">see friends. </w:t>
      </w:r>
      <w:r w:rsidR="0003164D">
        <w:rPr>
          <w:lang w:eastAsia="en-GB"/>
        </w:rPr>
        <w:t xml:space="preserve">Like the other prisoners, the author slept in a pea coat because of the cold; the prison was also </w:t>
      </w:r>
      <w:r w:rsidR="005D6FA0">
        <w:rPr>
          <w:lang w:eastAsia="en-GB"/>
        </w:rPr>
        <w:t xml:space="preserve">very </w:t>
      </w:r>
      <w:r w:rsidR="00B70EE8">
        <w:rPr>
          <w:lang w:eastAsia="en-GB"/>
        </w:rPr>
        <w:t xml:space="preserve">hot in the summer. </w:t>
      </w:r>
      <w:r w:rsidR="00094460">
        <w:rPr>
          <w:lang w:eastAsia="en-GB"/>
        </w:rPr>
        <w:t xml:space="preserve">While </w:t>
      </w:r>
      <w:r w:rsidR="0003164D">
        <w:rPr>
          <w:lang w:eastAsia="en-GB"/>
        </w:rPr>
        <w:t xml:space="preserve">he was in </w:t>
      </w:r>
      <w:r w:rsidR="00094460">
        <w:rPr>
          <w:lang w:eastAsia="en-GB"/>
        </w:rPr>
        <w:t>prison</w:t>
      </w:r>
      <w:r w:rsidR="0003164D">
        <w:rPr>
          <w:lang w:eastAsia="en-GB"/>
        </w:rPr>
        <w:t xml:space="preserve"> the author contracted</w:t>
      </w:r>
      <w:r w:rsidR="0004463C">
        <w:rPr>
          <w:lang w:eastAsia="en-GB"/>
        </w:rPr>
        <w:t xml:space="preserve"> </w:t>
      </w:r>
      <w:r w:rsidR="00094460">
        <w:rPr>
          <w:lang w:eastAsia="en-GB"/>
        </w:rPr>
        <w:t>tuberculosis.</w:t>
      </w:r>
      <w:r w:rsidR="003C0BF6">
        <w:rPr>
          <w:lang w:eastAsia="en-GB"/>
        </w:rPr>
        <w:t xml:space="preserve"> </w:t>
      </w:r>
      <w:r w:rsidR="00094460">
        <w:rPr>
          <w:lang w:eastAsia="en-GB"/>
        </w:rPr>
        <w:t>On 8 May 2012, the author was released from prison</w:t>
      </w:r>
      <w:r w:rsidR="0003164D">
        <w:rPr>
          <w:lang w:eastAsia="en-GB"/>
        </w:rPr>
        <w:t xml:space="preserve">, but </w:t>
      </w:r>
      <w:r w:rsidR="00094460">
        <w:rPr>
          <w:lang w:eastAsia="en-GB"/>
        </w:rPr>
        <w:t xml:space="preserve"> faces the prospect of again being called up for military service and again being </w:t>
      </w:r>
      <w:r w:rsidR="0004463C">
        <w:rPr>
          <w:lang w:eastAsia="en-GB"/>
        </w:rPr>
        <w:t xml:space="preserve">sentenced and </w:t>
      </w:r>
      <w:r w:rsidR="00094460">
        <w:rPr>
          <w:lang w:eastAsia="en-GB"/>
        </w:rPr>
        <w:t>imprisoned.</w:t>
      </w:r>
    </w:p>
    <w:p w:rsidR="00094460" w:rsidRDefault="00094460" w:rsidP="00094460">
      <w:pPr>
        <w:pStyle w:val="SingleTxtG"/>
        <w:rPr>
          <w:lang w:eastAsia="en-GB"/>
        </w:rPr>
      </w:pPr>
      <w:r>
        <w:rPr>
          <w:lang w:eastAsia="en-GB"/>
        </w:rPr>
        <w:t>2.</w:t>
      </w:r>
      <w:r w:rsidR="00FD1F65">
        <w:rPr>
          <w:lang w:eastAsia="en-GB"/>
        </w:rPr>
        <w:t>6</w:t>
      </w:r>
      <w:r>
        <w:rPr>
          <w:lang w:eastAsia="en-GB"/>
        </w:rPr>
        <w:tab/>
        <w:t xml:space="preserve">In relation to the alleged violation of his rights under article 18 </w:t>
      </w:r>
      <w:r w:rsidR="0003164D">
        <w:rPr>
          <w:lang w:eastAsia="en-GB"/>
        </w:rPr>
        <w:t>(</w:t>
      </w:r>
      <w:r>
        <w:rPr>
          <w:lang w:eastAsia="en-GB"/>
        </w:rPr>
        <w:t>1</w:t>
      </w:r>
      <w:r w:rsidR="0003164D">
        <w:rPr>
          <w:lang w:eastAsia="en-GB"/>
        </w:rPr>
        <w:t>)</w:t>
      </w:r>
      <w:r>
        <w:rPr>
          <w:lang w:eastAsia="en-GB"/>
        </w:rPr>
        <w:t xml:space="preserve"> of the Covenant, the author submits that the national courts have never ruled in favour of a conscientious objector to military service. He thus maintains that he has exhausted the available domestic remedies concerning the alleged violation of article 18 </w:t>
      </w:r>
      <w:r w:rsidR="0003164D">
        <w:rPr>
          <w:lang w:eastAsia="en-GB"/>
        </w:rPr>
        <w:t>(</w:t>
      </w:r>
      <w:r>
        <w:rPr>
          <w:lang w:eastAsia="en-GB"/>
        </w:rPr>
        <w:t>1</w:t>
      </w:r>
      <w:r w:rsidR="0003164D">
        <w:rPr>
          <w:lang w:eastAsia="en-GB"/>
        </w:rPr>
        <w:t>)</w:t>
      </w:r>
      <w:r>
        <w:rPr>
          <w:lang w:eastAsia="en-GB"/>
        </w:rPr>
        <w:t xml:space="preserve"> of the Covenant.</w:t>
      </w:r>
      <w:r w:rsidR="00F13E91">
        <w:rPr>
          <w:lang w:eastAsia="en-GB"/>
        </w:rPr>
        <w:t xml:space="preserve"> </w:t>
      </w:r>
      <w:r>
        <w:rPr>
          <w:lang w:eastAsia="en-GB"/>
        </w:rPr>
        <w:t xml:space="preserve">As to the alleged violation of article 7 of the Covenant, the author maintains that there </w:t>
      </w:r>
      <w:r w:rsidR="007727EE">
        <w:rPr>
          <w:lang w:eastAsia="en-GB"/>
        </w:rPr>
        <w:t xml:space="preserve">is </w:t>
      </w:r>
      <w:r>
        <w:rPr>
          <w:lang w:eastAsia="en-GB"/>
        </w:rPr>
        <w:t xml:space="preserve">no effective domestic remedy available to him to </w:t>
      </w:r>
      <w:r w:rsidR="0004463C">
        <w:rPr>
          <w:lang w:eastAsia="en-GB"/>
        </w:rPr>
        <w:t>seek redress</w:t>
      </w:r>
      <w:r>
        <w:rPr>
          <w:lang w:eastAsia="en-GB"/>
        </w:rPr>
        <w:t>.</w:t>
      </w:r>
    </w:p>
    <w:p w:rsidR="00FA222B" w:rsidRPr="00A4654A" w:rsidRDefault="0067314F" w:rsidP="0067314F">
      <w:pPr>
        <w:pStyle w:val="H23G"/>
      </w:pPr>
      <w:r>
        <w:tab/>
      </w:r>
      <w:r>
        <w:tab/>
      </w:r>
      <w:r w:rsidR="00FA222B" w:rsidRPr="00A4654A">
        <w:t>The complaint</w:t>
      </w:r>
    </w:p>
    <w:p w:rsidR="00FA222B" w:rsidRPr="00A4654A" w:rsidRDefault="0067314F" w:rsidP="00FA222B">
      <w:pPr>
        <w:pStyle w:val="SingleTxtG"/>
      </w:pPr>
      <w:r>
        <w:t>3.1</w:t>
      </w:r>
      <w:r>
        <w:tab/>
      </w:r>
      <w:r w:rsidR="00FA222B" w:rsidRPr="00A4654A">
        <w:t xml:space="preserve">The author claims that his imprisonment </w:t>
      </w:r>
      <w:r w:rsidR="007727EE">
        <w:t>because</w:t>
      </w:r>
      <w:r w:rsidR="00FA222B" w:rsidRPr="00A4654A">
        <w:t xml:space="preserve"> of his religious beliefs in itself constituted inhuman or degrading treatment within the meaning of article 7 of the Covenant. </w:t>
      </w:r>
    </w:p>
    <w:p w:rsidR="00FA222B" w:rsidRPr="00A4654A" w:rsidRDefault="0067314F" w:rsidP="00FA222B">
      <w:pPr>
        <w:pStyle w:val="SingleTxtG"/>
        <w:rPr>
          <w:lang w:eastAsia="en-GB"/>
        </w:rPr>
      </w:pPr>
      <w:r>
        <w:rPr>
          <w:lang w:eastAsia="en-GB"/>
        </w:rPr>
        <w:t>3.</w:t>
      </w:r>
      <w:r w:rsidR="005D6FA0">
        <w:rPr>
          <w:lang w:eastAsia="en-GB"/>
        </w:rPr>
        <w:t>2</w:t>
      </w:r>
      <w:r>
        <w:rPr>
          <w:lang w:eastAsia="en-GB"/>
        </w:rPr>
        <w:tab/>
      </w:r>
      <w:r w:rsidR="0004463C">
        <w:rPr>
          <w:lang w:eastAsia="en-GB"/>
        </w:rPr>
        <w:t>He</w:t>
      </w:r>
      <w:r w:rsidR="00FA222B" w:rsidRPr="00A4654A">
        <w:rPr>
          <w:lang w:eastAsia="en-GB"/>
        </w:rPr>
        <w:t xml:space="preserve"> further claims a violation of article 7 of the Covenant </w:t>
      </w:r>
      <w:r w:rsidR="0003164D">
        <w:rPr>
          <w:lang w:eastAsia="en-GB"/>
        </w:rPr>
        <w:t>on the basis</w:t>
      </w:r>
      <w:r w:rsidR="00FA222B" w:rsidRPr="00A4654A">
        <w:rPr>
          <w:lang w:eastAsia="en-GB"/>
        </w:rPr>
        <w:t xml:space="preserve"> of the conditions at the LBK-12 prison. In this regard, he refers, inter alia, to the report of February 2010 of the Turkmenistan Independent Lawyers Association, </w:t>
      </w:r>
      <w:r w:rsidR="0003164D">
        <w:rPr>
          <w:lang w:eastAsia="en-GB"/>
        </w:rPr>
        <w:t xml:space="preserve">which notes </w:t>
      </w:r>
      <w:r w:rsidR="00FA222B" w:rsidRPr="00A4654A">
        <w:rPr>
          <w:lang w:eastAsia="en-GB"/>
        </w:rPr>
        <w:t>that the LBK-12 prison</w:t>
      </w:r>
      <w:r w:rsidR="0004463C">
        <w:rPr>
          <w:lang w:eastAsia="en-GB"/>
        </w:rPr>
        <w:t xml:space="preserve"> </w:t>
      </w:r>
      <w:r w:rsidR="00FA222B" w:rsidRPr="00A4654A">
        <w:rPr>
          <w:lang w:eastAsia="en-GB"/>
        </w:rPr>
        <w:t xml:space="preserve">is </w:t>
      </w:r>
      <w:r w:rsidR="0003164D">
        <w:rPr>
          <w:lang w:eastAsia="en-GB"/>
        </w:rPr>
        <w:t>located</w:t>
      </w:r>
      <w:r w:rsidR="0003164D" w:rsidRPr="00A4654A">
        <w:rPr>
          <w:lang w:eastAsia="en-GB"/>
        </w:rPr>
        <w:t xml:space="preserve"> </w:t>
      </w:r>
      <w:r w:rsidR="00FA222B" w:rsidRPr="00A4654A">
        <w:rPr>
          <w:lang w:eastAsia="en-GB"/>
        </w:rPr>
        <w:t>in a desert</w:t>
      </w:r>
      <w:r w:rsidR="000D531D">
        <w:rPr>
          <w:lang w:eastAsia="en-GB"/>
        </w:rPr>
        <w:t>,</w:t>
      </w:r>
      <w:r w:rsidR="00FA222B" w:rsidRPr="00A4654A">
        <w:rPr>
          <w:lang w:eastAsia="en-GB"/>
        </w:rPr>
        <w:t xml:space="preserve"> </w:t>
      </w:r>
      <w:r w:rsidR="0003164D">
        <w:rPr>
          <w:lang w:eastAsia="en-GB"/>
        </w:rPr>
        <w:t>where</w:t>
      </w:r>
      <w:r w:rsidR="0003164D" w:rsidRPr="00A4654A">
        <w:rPr>
          <w:lang w:eastAsia="en-GB"/>
        </w:rPr>
        <w:t xml:space="preserve"> </w:t>
      </w:r>
      <w:r w:rsidR="00FA222B" w:rsidRPr="00A4654A">
        <w:rPr>
          <w:lang w:eastAsia="en-GB"/>
        </w:rPr>
        <w:t xml:space="preserve">temperatures reach </w:t>
      </w:r>
      <w:r w:rsidR="007727EE">
        <w:rPr>
          <w:lang w:eastAsia="en-GB"/>
        </w:rPr>
        <w:t>-</w:t>
      </w:r>
      <w:r w:rsidR="00FA222B" w:rsidRPr="00A4654A">
        <w:rPr>
          <w:lang w:eastAsia="en-GB"/>
        </w:rPr>
        <w:t>20</w:t>
      </w:r>
      <w:r w:rsidR="0003164D">
        <w:rPr>
          <w:lang w:eastAsia="en-GB"/>
        </w:rPr>
        <w:t xml:space="preserve">° </w:t>
      </w:r>
      <w:r w:rsidR="00FA222B" w:rsidRPr="00A4654A">
        <w:rPr>
          <w:lang w:eastAsia="en-GB"/>
        </w:rPr>
        <w:t xml:space="preserve">Celsius </w:t>
      </w:r>
      <w:r w:rsidR="000D531D" w:rsidRPr="00A4654A">
        <w:rPr>
          <w:lang w:eastAsia="en-GB"/>
        </w:rPr>
        <w:t xml:space="preserve">winter </w:t>
      </w:r>
      <w:r w:rsidR="00FA222B" w:rsidRPr="00A4654A">
        <w:rPr>
          <w:lang w:eastAsia="en-GB"/>
        </w:rPr>
        <w:t>and 50</w:t>
      </w:r>
      <w:r w:rsidR="0003164D">
        <w:rPr>
          <w:lang w:eastAsia="en-GB"/>
        </w:rPr>
        <w:t>°</w:t>
      </w:r>
      <w:r w:rsidR="00FA222B" w:rsidRPr="00A4654A">
        <w:rPr>
          <w:lang w:eastAsia="en-GB"/>
        </w:rPr>
        <w:t xml:space="preserve"> degrees</w:t>
      </w:r>
      <w:r w:rsidR="0003164D">
        <w:rPr>
          <w:lang w:eastAsia="en-GB"/>
        </w:rPr>
        <w:t xml:space="preserve"> </w:t>
      </w:r>
      <w:r w:rsidR="0003164D" w:rsidRPr="00A4654A">
        <w:rPr>
          <w:lang w:eastAsia="en-GB"/>
        </w:rPr>
        <w:t>in summer</w:t>
      </w:r>
      <w:r w:rsidR="00FA222B" w:rsidRPr="00A4654A">
        <w:rPr>
          <w:lang w:eastAsia="en-GB"/>
        </w:rPr>
        <w:t xml:space="preserve">. The prison is overcrowded and prisoners infected with </w:t>
      </w:r>
      <w:r w:rsidR="0004463C">
        <w:rPr>
          <w:lang w:eastAsia="en-GB"/>
        </w:rPr>
        <w:t>t</w:t>
      </w:r>
      <w:r w:rsidR="00FA222B" w:rsidRPr="00A4654A">
        <w:rPr>
          <w:lang w:eastAsia="en-GB"/>
        </w:rPr>
        <w:t xml:space="preserve">uberculosis and skin diseases are kept together with healthy inmates. </w:t>
      </w:r>
      <w:r w:rsidR="00FA222B" w:rsidRPr="00A4654A">
        <w:t xml:space="preserve">Although the author does not invoke it </w:t>
      </w:r>
      <w:r w:rsidR="00FA222B" w:rsidRPr="00A4654A">
        <w:lastRenderedPageBreak/>
        <w:t>specifically, th</w:t>
      </w:r>
      <w:r w:rsidR="0004463C">
        <w:t>is part of th</w:t>
      </w:r>
      <w:r w:rsidR="00FA222B" w:rsidRPr="00A4654A">
        <w:t>e communication also appears to raise issues under article 10 of the Covenant.</w:t>
      </w:r>
    </w:p>
    <w:p w:rsidR="00FA222B" w:rsidRPr="00A4654A" w:rsidRDefault="0067314F" w:rsidP="00FA222B">
      <w:pPr>
        <w:pStyle w:val="SingleTxtG"/>
      </w:pPr>
      <w:r>
        <w:t>3.</w:t>
      </w:r>
      <w:r w:rsidR="005D6FA0">
        <w:t>3</w:t>
      </w:r>
      <w:r>
        <w:tab/>
      </w:r>
      <w:r w:rsidR="00FA222B" w:rsidRPr="00A4654A">
        <w:t xml:space="preserve">The author also claims that his criminal prosecution, conviction and imprisonment </w:t>
      </w:r>
      <w:r w:rsidR="0003164D">
        <w:t>because</w:t>
      </w:r>
      <w:r w:rsidR="00FA222B" w:rsidRPr="00A4654A">
        <w:t xml:space="preserve"> of his conscientious objection to military service ha</w:t>
      </w:r>
      <w:r w:rsidR="0003164D">
        <w:t>ve</w:t>
      </w:r>
      <w:r w:rsidR="00FA222B" w:rsidRPr="00A4654A">
        <w:t xml:space="preserve"> violated his rights under article 18</w:t>
      </w:r>
      <w:r w:rsidR="007727EE">
        <w:t xml:space="preserve"> </w:t>
      </w:r>
      <w:r w:rsidR="0003164D">
        <w:t>(</w:t>
      </w:r>
      <w:r w:rsidR="00FA222B" w:rsidRPr="00A4654A">
        <w:t>1</w:t>
      </w:r>
      <w:r w:rsidR="007727EE">
        <w:t>)</w:t>
      </w:r>
      <w:r w:rsidR="00FA222B" w:rsidRPr="00A4654A">
        <w:t xml:space="preserve"> of the Covenant. He notes that he repeatedly informed the </w:t>
      </w:r>
      <w:r w:rsidR="0004463C">
        <w:t xml:space="preserve">competent </w:t>
      </w:r>
      <w:r w:rsidR="00FA222B" w:rsidRPr="00A4654A">
        <w:t>authorities that he was willing to fulfil his civic duties by performing genuine alternative service; however</w:t>
      </w:r>
      <w:r w:rsidR="0003164D">
        <w:t>,</w:t>
      </w:r>
      <w:r w:rsidR="00FA222B" w:rsidRPr="00A4654A">
        <w:t xml:space="preserve"> the State party’s legislation does not provide for the possibility </w:t>
      </w:r>
      <w:r w:rsidR="0003164D">
        <w:t>of</w:t>
      </w:r>
      <w:r w:rsidR="0003164D" w:rsidRPr="00A4654A">
        <w:t xml:space="preserve"> </w:t>
      </w:r>
      <w:r w:rsidR="00FA222B" w:rsidRPr="00A4654A">
        <w:t>perform</w:t>
      </w:r>
      <w:r w:rsidR="0003164D">
        <w:t>ing</w:t>
      </w:r>
      <w:r w:rsidR="00FA222B" w:rsidRPr="00A4654A">
        <w:t xml:space="preserve"> alternative service. </w:t>
      </w:r>
    </w:p>
    <w:p w:rsidR="00FA222B" w:rsidRPr="00A4654A" w:rsidRDefault="0067314F" w:rsidP="0067314F">
      <w:pPr>
        <w:pStyle w:val="H23G"/>
      </w:pPr>
      <w:r>
        <w:tab/>
      </w:r>
      <w:r>
        <w:tab/>
      </w:r>
      <w:r w:rsidR="00FA222B" w:rsidRPr="00A4654A">
        <w:t>State party</w:t>
      </w:r>
      <w:r w:rsidR="00CB2319">
        <w:t>’</w:t>
      </w:r>
      <w:r w:rsidR="00FA222B" w:rsidRPr="00A4654A">
        <w:t>s observations on admissibility</w:t>
      </w:r>
      <w:r w:rsidR="0003164D">
        <w:t xml:space="preserve"> </w:t>
      </w:r>
      <w:r w:rsidR="00FA222B" w:rsidRPr="00A4654A">
        <w:t xml:space="preserve">and </w:t>
      </w:r>
      <w:r w:rsidR="007E7B6E">
        <w:t xml:space="preserve">the </w:t>
      </w:r>
      <w:r w:rsidR="00FA222B" w:rsidRPr="00A4654A">
        <w:t>merits</w:t>
      </w:r>
    </w:p>
    <w:p w:rsidR="00FA222B" w:rsidRPr="00A4654A" w:rsidRDefault="0067314F" w:rsidP="00FA222B">
      <w:pPr>
        <w:pStyle w:val="SingleTxtG"/>
      </w:pPr>
      <w:r>
        <w:t>4.</w:t>
      </w:r>
      <w:r>
        <w:tab/>
      </w:r>
      <w:r w:rsidR="0003164D">
        <w:t>In a</w:t>
      </w:r>
      <w:r w:rsidR="0003164D" w:rsidRPr="00A4654A">
        <w:t xml:space="preserve"> </w:t>
      </w:r>
      <w:r w:rsidR="00FA222B" w:rsidRPr="00A4654A">
        <w:t xml:space="preserve">note verbale </w:t>
      </w:r>
      <w:r w:rsidR="0003164D">
        <w:t>dated</w:t>
      </w:r>
      <w:r w:rsidR="0003164D" w:rsidRPr="00A4654A">
        <w:t xml:space="preserve"> </w:t>
      </w:r>
      <w:r w:rsidR="00FA222B" w:rsidRPr="00A4654A">
        <w:t xml:space="preserve">17 March 2014, the State party </w:t>
      </w:r>
      <w:r w:rsidR="0003164D">
        <w:t>reported</w:t>
      </w:r>
      <w:r w:rsidR="0003164D" w:rsidRPr="00A4654A">
        <w:t xml:space="preserve"> </w:t>
      </w:r>
      <w:r w:rsidR="00FA222B" w:rsidRPr="00A4654A">
        <w:t>that the author’s case ha</w:t>
      </w:r>
      <w:r w:rsidR="00390415">
        <w:t>d</w:t>
      </w:r>
      <w:r w:rsidR="00FA222B" w:rsidRPr="00A4654A">
        <w:t xml:space="preserve"> been carefully considered by the relevant law enforcement bodies of Turkmenistan and </w:t>
      </w:r>
      <w:r w:rsidR="00390415">
        <w:t xml:space="preserve">that </w:t>
      </w:r>
      <w:r w:rsidR="00FA222B" w:rsidRPr="00A4654A">
        <w:t xml:space="preserve">no reason had been found to appeal the court decision. The criminal offence committed by the author </w:t>
      </w:r>
      <w:r w:rsidR="00390415">
        <w:t>had been</w:t>
      </w:r>
      <w:r w:rsidR="00390415" w:rsidRPr="00A4654A">
        <w:t xml:space="preserve"> </w:t>
      </w:r>
      <w:r w:rsidR="00FA222B" w:rsidRPr="00A4654A">
        <w:t xml:space="preserve">determined accurately according to the Criminal Code of Turkmenistan. </w:t>
      </w:r>
      <w:r w:rsidR="00390415">
        <w:t>The State party</w:t>
      </w:r>
      <w:r w:rsidR="00390415" w:rsidRPr="00A4654A">
        <w:t xml:space="preserve"> </w:t>
      </w:r>
      <w:r w:rsidR="00FA222B" w:rsidRPr="00A4654A">
        <w:t>further note</w:t>
      </w:r>
      <w:r w:rsidR="00390415">
        <w:t>d</w:t>
      </w:r>
      <w:r w:rsidR="00FA222B" w:rsidRPr="00A4654A">
        <w:t xml:space="preserve"> that under article 41 of the Constitution, </w:t>
      </w:r>
      <w:r w:rsidR="00DC7202">
        <w:t xml:space="preserve">the </w:t>
      </w:r>
      <w:r w:rsidR="00FA222B" w:rsidRPr="00A4654A">
        <w:t xml:space="preserve">protection of Turkmenistan </w:t>
      </w:r>
      <w:r w:rsidR="00390415">
        <w:t>was</w:t>
      </w:r>
      <w:r w:rsidR="00390415" w:rsidRPr="00A4654A">
        <w:t xml:space="preserve"> </w:t>
      </w:r>
      <w:r w:rsidR="00FA222B" w:rsidRPr="00A4654A">
        <w:t>the sacred duty of every citizen</w:t>
      </w:r>
      <w:r w:rsidR="00390415">
        <w:t xml:space="preserve"> and that</w:t>
      </w:r>
      <w:r w:rsidR="00FA222B" w:rsidRPr="00A4654A">
        <w:t xml:space="preserve"> </w:t>
      </w:r>
      <w:r w:rsidR="00390415">
        <w:t>the performance of military service</w:t>
      </w:r>
      <w:r w:rsidR="00FA222B" w:rsidRPr="00A4654A">
        <w:t xml:space="preserve"> </w:t>
      </w:r>
      <w:r w:rsidR="007727EE">
        <w:t>was</w:t>
      </w:r>
      <w:r w:rsidR="007727EE" w:rsidRPr="00A4654A">
        <w:t xml:space="preserve"> </w:t>
      </w:r>
      <w:r w:rsidR="00FA222B" w:rsidRPr="00A4654A">
        <w:t xml:space="preserve">compulsory for male citizens. In addition, the author </w:t>
      </w:r>
      <w:r w:rsidR="00390415">
        <w:t>had</w:t>
      </w:r>
      <w:r w:rsidR="00390415" w:rsidRPr="00A4654A">
        <w:t xml:space="preserve"> </w:t>
      </w:r>
      <w:r w:rsidR="00FA222B" w:rsidRPr="00A4654A">
        <w:t xml:space="preserve">not </w:t>
      </w:r>
      <w:r w:rsidR="00390415">
        <w:t>met</w:t>
      </w:r>
      <w:r w:rsidR="00390415" w:rsidRPr="00A4654A">
        <w:t xml:space="preserve"> </w:t>
      </w:r>
      <w:r w:rsidR="00FA222B" w:rsidRPr="00A4654A">
        <w:t xml:space="preserve">the criteria of persons </w:t>
      </w:r>
      <w:r w:rsidR="00390415">
        <w:t>eligible for exemption</w:t>
      </w:r>
      <w:r w:rsidR="00FA222B" w:rsidRPr="00A4654A">
        <w:t xml:space="preserve"> from military service as provided for under article 18 of the Law on Military Conscription and Military Service.</w:t>
      </w:r>
    </w:p>
    <w:p w:rsidR="00FA222B" w:rsidRPr="00A4654A" w:rsidRDefault="0067314F" w:rsidP="0067314F">
      <w:pPr>
        <w:pStyle w:val="H23G"/>
      </w:pPr>
      <w:r>
        <w:tab/>
      </w:r>
      <w:r>
        <w:tab/>
      </w:r>
      <w:r w:rsidR="00FA222B" w:rsidRPr="00A4654A">
        <w:t>Author’s comments on the State party’s observations</w:t>
      </w:r>
      <w:r w:rsidR="007E7B6E">
        <w:t xml:space="preserve"> </w:t>
      </w:r>
    </w:p>
    <w:p w:rsidR="00FA222B" w:rsidRPr="00A4654A" w:rsidRDefault="0067314F" w:rsidP="00FA222B">
      <w:pPr>
        <w:pStyle w:val="SingleTxtG"/>
      </w:pPr>
      <w:r>
        <w:t>5.1</w:t>
      </w:r>
      <w:r>
        <w:tab/>
      </w:r>
      <w:r w:rsidR="00FA222B" w:rsidRPr="00A4654A">
        <w:t>On 14 May 2014, the author note</w:t>
      </w:r>
      <w:r w:rsidR="00390415">
        <w:t>d</w:t>
      </w:r>
      <w:r w:rsidR="00FA222B" w:rsidRPr="00A4654A">
        <w:t xml:space="preserve"> that the State party </w:t>
      </w:r>
      <w:r w:rsidR="0051315A">
        <w:t>did</w:t>
      </w:r>
      <w:r w:rsidR="00390415" w:rsidRPr="00A4654A">
        <w:t xml:space="preserve"> </w:t>
      </w:r>
      <w:r w:rsidR="00FA222B" w:rsidRPr="00A4654A">
        <w:t>not disagree with any facts set out in the communication. The only justification the State party provide</w:t>
      </w:r>
      <w:r w:rsidR="00390415">
        <w:t>d</w:t>
      </w:r>
      <w:r w:rsidR="00FA222B" w:rsidRPr="00A4654A">
        <w:t xml:space="preserve"> </w:t>
      </w:r>
      <w:r w:rsidR="00390415">
        <w:t>was</w:t>
      </w:r>
      <w:r w:rsidR="00390415" w:rsidRPr="00A4654A">
        <w:t xml:space="preserve"> </w:t>
      </w:r>
      <w:r w:rsidR="00FA222B" w:rsidRPr="00A4654A">
        <w:t xml:space="preserve">that he </w:t>
      </w:r>
      <w:r w:rsidR="00390415">
        <w:t>had been</w:t>
      </w:r>
      <w:r w:rsidR="00390415" w:rsidRPr="00A4654A">
        <w:t xml:space="preserve"> </w:t>
      </w:r>
      <w:r w:rsidR="00FA222B" w:rsidRPr="00A4654A">
        <w:t>convicted and imprisoned as a conscientious objector to military service because he did not qualify for an exemption under article 18 of the Law on Conscription and Military Service. Th</w:t>
      </w:r>
      <w:r w:rsidR="00390415">
        <w:t>at</w:t>
      </w:r>
      <w:r w:rsidR="00FA222B" w:rsidRPr="00A4654A">
        <w:t xml:space="preserve"> </w:t>
      </w:r>
      <w:r w:rsidR="00390415">
        <w:t>demonstrated</w:t>
      </w:r>
      <w:r w:rsidR="00FA222B" w:rsidRPr="00A4654A">
        <w:t xml:space="preserve"> the State party’s total disregard for its commitments under article 18 of the Covenant and the Committee’s jurisprudence</w:t>
      </w:r>
      <w:r w:rsidR="00390415">
        <w:t>, which</w:t>
      </w:r>
      <w:r w:rsidR="00FA222B" w:rsidRPr="00A4654A">
        <w:t xml:space="preserve"> </w:t>
      </w:r>
      <w:r w:rsidR="00390415">
        <w:t>upheld</w:t>
      </w:r>
      <w:r w:rsidR="00390415" w:rsidRPr="00A4654A">
        <w:t xml:space="preserve"> </w:t>
      </w:r>
      <w:r w:rsidR="00FA222B" w:rsidRPr="00A4654A">
        <w:t xml:space="preserve">the right to conscientious objection to </w:t>
      </w:r>
      <w:r w:rsidR="001C66AA">
        <w:t xml:space="preserve">compulsory </w:t>
      </w:r>
      <w:r w:rsidR="00FA222B" w:rsidRPr="00A4654A">
        <w:t xml:space="preserve">military service. Furthermore, the State party </w:t>
      </w:r>
      <w:r w:rsidR="00390415">
        <w:t>did</w:t>
      </w:r>
      <w:r w:rsidR="00390415" w:rsidRPr="00A4654A">
        <w:t xml:space="preserve"> </w:t>
      </w:r>
      <w:r w:rsidR="00FA222B" w:rsidRPr="00A4654A">
        <w:t xml:space="preserve">not contest the author’s allegation that he </w:t>
      </w:r>
      <w:r w:rsidR="00390415">
        <w:t>had</w:t>
      </w:r>
      <w:r w:rsidR="00390415" w:rsidRPr="00A4654A">
        <w:t xml:space="preserve"> </w:t>
      </w:r>
      <w:r w:rsidR="00FA222B" w:rsidRPr="00A4654A">
        <w:t xml:space="preserve">suffered inhuman and degrading treatment at the hands of </w:t>
      </w:r>
      <w:r w:rsidR="001C66AA">
        <w:t xml:space="preserve">law </w:t>
      </w:r>
      <w:r w:rsidR="005D6FA0">
        <w:t>enforcement and</w:t>
      </w:r>
      <w:r w:rsidR="00FA222B" w:rsidRPr="00A4654A">
        <w:t xml:space="preserve"> p</w:t>
      </w:r>
      <w:r w:rsidR="001C66AA">
        <w:t>enitentiary</w:t>
      </w:r>
      <w:r w:rsidR="00FA222B" w:rsidRPr="00A4654A">
        <w:t xml:space="preserve"> officials, contrary to article 7 of the Covenant.</w:t>
      </w:r>
    </w:p>
    <w:p w:rsidR="00FA222B" w:rsidRPr="00A4654A" w:rsidRDefault="0067314F" w:rsidP="00FA222B">
      <w:pPr>
        <w:pStyle w:val="SingleTxtG"/>
      </w:pPr>
      <w:r>
        <w:t>5.2</w:t>
      </w:r>
      <w:r>
        <w:tab/>
      </w:r>
      <w:r w:rsidR="00FA222B" w:rsidRPr="00A4654A">
        <w:t>The author reiterates his claims that his prosecution, conviction and imprisonment violated his rights under articles 7</w:t>
      </w:r>
      <w:r w:rsidR="005D6FA0">
        <w:t xml:space="preserve"> </w:t>
      </w:r>
      <w:r w:rsidR="00FA222B" w:rsidRPr="00A4654A">
        <w:t xml:space="preserve">and article 18 </w:t>
      </w:r>
      <w:r w:rsidR="00087430">
        <w:t>(</w:t>
      </w:r>
      <w:r w:rsidR="00FA222B" w:rsidRPr="00A4654A">
        <w:t>1</w:t>
      </w:r>
      <w:r w:rsidR="00087430">
        <w:t>)</w:t>
      </w:r>
      <w:r w:rsidR="00FA222B" w:rsidRPr="00A4654A">
        <w:t xml:space="preserve"> of the Covenant. He requests the Committee to </w:t>
      </w:r>
      <w:r w:rsidR="001C66AA">
        <w:t>invite</w:t>
      </w:r>
      <w:r w:rsidR="00FA222B" w:rsidRPr="00A4654A">
        <w:t xml:space="preserve"> the State party (a) to acquit him of the charges under article 219 (1) of the Criminal Code and to expunge his criminal record; (b) to provide him with appropriate monetary compensation for the non-pecuniary damages suffered</w:t>
      </w:r>
      <w:r w:rsidR="00087430">
        <w:t>;</w:t>
      </w:r>
      <w:r w:rsidR="00FA222B" w:rsidRPr="00A4654A">
        <w:t xml:space="preserve"> and (c) to provide him with appropriate monetary compensation for the legal expenses he incurred before the Committee.</w:t>
      </w:r>
    </w:p>
    <w:p w:rsidR="00FA222B" w:rsidRPr="00A4654A" w:rsidRDefault="0067314F" w:rsidP="0067314F">
      <w:pPr>
        <w:pStyle w:val="H23G"/>
      </w:pPr>
      <w:r>
        <w:tab/>
      </w:r>
      <w:r>
        <w:tab/>
      </w:r>
      <w:r w:rsidR="00FA222B" w:rsidRPr="00A4654A">
        <w:t>Issues and proceedings before the Committee</w:t>
      </w:r>
    </w:p>
    <w:p w:rsidR="00FA222B" w:rsidRPr="00A4654A" w:rsidRDefault="0067314F" w:rsidP="0067314F">
      <w:pPr>
        <w:pStyle w:val="H4G"/>
      </w:pPr>
      <w:r>
        <w:tab/>
      </w:r>
      <w:r>
        <w:tab/>
      </w:r>
      <w:r w:rsidR="00FA222B" w:rsidRPr="00A4654A">
        <w:t>Consideration of admissibility</w:t>
      </w:r>
    </w:p>
    <w:p w:rsidR="00FA222B" w:rsidRPr="00A4654A" w:rsidRDefault="00FA222B" w:rsidP="00FA222B">
      <w:pPr>
        <w:pStyle w:val="SingleTxtG"/>
      </w:pPr>
      <w:r w:rsidRPr="00A4654A">
        <w:t>6.1</w:t>
      </w:r>
      <w:r w:rsidRPr="00A4654A">
        <w:tab/>
        <w:t>Before considering any claim contained in a communication, the Committee must</w:t>
      </w:r>
      <w:r w:rsidR="00087430">
        <w:t xml:space="preserve"> </w:t>
      </w:r>
      <w:r w:rsidR="00087430" w:rsidRPr="00A4654A">
        <w:t>decide</w:t>
      </w:r>
      <w:r w:rsidRPr="00A4654A">
        <w:t>, in accordance with rule 93 of its rules of procedure, whether the case is admissible under the Optional Protocol.</w:t>
      </w:r>
    </w:p>
    <w:p w:rsidR="00FA222B" w:rsidRPr="00A4654A" w:rsidRDefault="00FA222B" w:rsidP="00FA222B">
      <w:pPr>
        <w:pStyle w:val="SingleTxtG"/>
      </w:pPr>
      <w:r w:rsidRPr="00A4654A">
        <w:t>6.2</w:t>
      </w:r>
      <w:r w:rsidRPr="00A4654A">
        <w:tab/>
        <w:t xml:space="preserve">The Committee has ascertained, as required under article 5 </w:t>
      </w:r>
      <w:r w:rsidR="00087430">
        <w:t>(</w:t>
      </w:r>
      <w:r w:rsidRPr="00A4654A">
        <w:t>2</w:t>
      </w:r>
      <w:r w:rsidR="00087430">
        <w:t>)</w:t>
      </w:r>
      <w:r w:rsidRPr="00A4654A">
        <w:t xml:space="preserve"> (a</w:t>
      </w:r>
      <w:r w:rsidR="000D531D">
        <w:t>)</w:t>
      </w:r>
      <w:r w:rsidRPr="00A4654A">
        <w:t xml:space="preserve"> of the Optional Protocol, that the same matter is not being examined under another procedure of international investigation or settlement. </w:t>
      </w:r>
    </w:p>
    <w:p w:rsidR="00FA222B" w:rsidRPr="00A4654A" w:rsidRDefault="00FA222B" w:rsidP="00FA222B">
      <w:pPr>
        <w:pStyle w:val="SingleTxtG"/>
      </w:pPr>
      <w:r w:rsidRPr="00A4654A">
        <w:t>6.3</w:t>
      </w:r>
      <w:r w:rsidRPr="00A4654A">
        <w:tab/>
        <w:t xml:space="preserve">The Committee further recalls its jurisprudence to the effect that authors must avail themselves of all domestic remedies in order to fulfil the requirement of article 5 </w:t>
      </w:r>
      <w:r w:rsidR="00087430">
        <w:t>(</w:t>
      </w:r>
      <w:r w:rsidRPr="00A4654A">
        <w:t>2</w:t>
      </w:r>
      <w:r w:rsidR="00087430">
        <w:t>)</w:t>
      </w:r>
      <w:r w:rsidRPr="00A4654A">
        <w:t xml:space="preserve"> (b) of </w:t>
      </w:r>
      <w:r w:rsidRPr="00A4654A">
        <w:lastRenderedPageBreak/>
        <w:t xml:space="preserve">the Optional Protocol, insofar as such remedies appear to be effective in the given case and are </w:t>
      </w:r>
      <w:r w:rsidRPr="00A4654A">
        <w:rPr>
          <w:iCs/>
        </w:rPr>
        <w:t>de facto</w:t>
      </w:r>
      <w:r w:rsidRPr="00A4654A">
        <w:t xml:space="preserve"> available to the author</w:t>
      </w:r>
      <w:r w:rsidR="00087430">
        <w:t>s</w:t>
      </w:r>
      <w:r w:rsidRPr="00A4654A">
        <w:t>.</w:t>
      </w:r>
      <w:r w:rsidRPr="00A4654A">
        <w:rPr>
          <w:vertAlign w:val="superscript"/>
        </w:rPr>
        <w:footnoteReference w:id="4"/>
      </w:r>
      <w:r w:rsidRPr="00A4654A">
        <w:t xml:space="preserve"> The Committee notes the author’s submission that there are no effective remedies available to him</w:t>
      </w:r>
      <w:r w:rsidR="001C66AA">
        <w:t xml:space="preserve"> in the State party</w:t>
      </w:r>
      <w:r w:rsidR="00E6370F">
        <w:t xml:space="preserve"> </w:t>
      </w:r>
      <w:r w:rsidR="0051315A">
        <w:t>with</w:t>
      </w:r>
      <w:r w:rsidR="00E6370F">
        <w:t xml:space="preserve"> regard </w:t>
      </w:r>
      <w:r w:rsidR="00087430">
        <w:t>to</w:t>
      </w:r>
      <w:r w:rsidR="00E6370F">
        <w:t xml:space="preserve"> his claims under articles 7,</w:t>
      </w:r>
      <w:r w:rsidR="003230B6">
        <w:t xml:space="preserve"> </w:t>
      </w:r>
      <w:r w:rsidR="00E6370F">
        <w:t>10 and 18 of the Covenant</w:t>
      </w:r>
      <w:r w:rsidRPr="00A4654A">
        <w:t>.</w:t>
      </w:r>
      <w:r w:rsidR="00FD10BA">
        <w:t xml:space="preserve"> </w:t>
      </w:r>
      <w:r w:rsidR="00EF4ADD">
        <w:t>T</w:t>
      </w:r>
      <w:r w:rsidRPr="00A4654A">
        <w:t>he Committee further notes</w:t>
      </w:r>
      <w:r w:rsidR="0087420B">
        <w:t xml:space="preserve"> </w:t>
      </w:r>
      <w:r w:rsidR="00D6201F" w:rsidRPr="00D6201F">
        <w:t>the State party’s assertion that the author’s case had been carefully considered by the relevant law enforcement bodies of Turkmenistan and no reason had been found to appeal the court decision and</w:t>
      </w:r>
      <w:r w:rsidR="00D6201F">
        <w:t xml:space="preserve"> that </w:t>
      </w:r>
      <w:r w:rsidR="00087430">
        <w:t>the State party</w:t>
      </w:r>
      <w:r w:rsidR="0087420B">
        <w:t xml:space="preserve"> </w:t>
      </w:r>
      <w:r w:rsidRPr="00A4654A">
        <w:t xml:space="preserve">has not contested the author’s argumentation </w:t>
      </w:r>
      <w:r w:rsidR="00087430">
        <w:t>concerning</w:t>
      </w:r>
      <w:r w:rsidR="00087430" w:rsidRPr="00A4654A">
        <w:t xml:space="preserve"> </w:t>
      </w:r>
      <w:r w:rsidRPr="00A4654A">
        <w:t>the exhaustion of domestic remedies. In these circumstances, the Committee considers that in the present case it is not precluded by article 5</w:t>
      </w:r>
      <w:r w:rsidR="0051315A">
        <w:t xml:space="preserve"> </w:t>
      </w:r>
      <w:r w:rsidR="00087430">
        <w:t>(</w:t>
      </w:r>
      <w:r w:rsidRPr="00A4654A">
        <w:t>2</w:t>
      </w:r>
      <w:r w:rsidR="00087430">
        <w:t>)</w:t>
      </w:r>
      <w:r w:rsidRPr="00A4654A">
        <w:t xml:space="preserve"> (b) of the Optional Protocol from examining the communication.</w:t>
      </w:r>
    </w:p>
    <w:p w:rsidR="00FA222B" w:rsidRPr="00A4654A" w:rsidRDefault="0067314F" w:rsidP="00FA222B">
      <w:pPr>
        <w:pStyle w:val="SingleTxtG"/>
      </w:pPr>
      <w:r>
        <w:t>6.4</w:t>
      </w:r>
      <w:r>
        <w:tab/>
      </w:r>
      <w:r w:rsidR="00FA222B" w:rsidRPr="00A4654A">
        <w:t>The Committee considers that the author’s claims raising issues under articles 7</w:t>
      </w:r>
      <w:r w:rsidR="00087430">
        <w:t>,</w:t>
      </w:r>
      <w:r w:rsidR="00FA222B" w:rsidRPr="00A4654A">
        <w:t xml:space="preserve"> 10 and 18</w:t>
      </w:r>
      <w:r w:rsidR="0051315A">
        <w:t xml:space="preserve"> </w:t>
      </w:r>
      <w:r w:rsidR="00087430">
        <w:t>(</w:t>
      </w:r>
      <w:r w:rsidR="00FA222B" w:rsidRPr="00A4654A">
        <w:t>1</w:t>
      </w:r>
      <w:r w:rsidR="00087430">
        <w:t>)</w:t>
      </w:r>
      <w:r w:rsidR="00FA222B" w:rsidRPr="00A4654A">
        <w:t xml:space="preserve"> of the Covenant are sufficiently substantiated for </w:t>
      </w:r>
      <w:r w:rsidR="00087430">
        <w:t xml:space="preserve">the </w:t>
      </w:r>
      <w:r w:rsidR="00FA222B" w:rsidRPr="00A4654A">
        <w:t>purposes of admissibility, declares them admissible and proceeds to their examination on the merits.</w:t>
      </w:r>
    </w:p>
    <w:p w:rsidR="00FA222B" w:rsidRPr="00A4654A" w:rsidRDefault="00F13E91" w:rsidP="00F13E91">
      <w:pPr>
        <w:pStyle w:val="H4G"/>
      </w:pPr>
      <w:r>
        <w:tab/>
      </w:r>
      <w:r>
        <w:tab/>
      </w:r>
      <w:r w:rsidR="00FA222B" w:rsidRPr="00A4654A">
        <w:t xml:space="preserve">Consideration of </w:t>
      </w:r>
      <w:r w:rsidR="007E7B6E">
        <w:t xml:space="preserve">the </w:t>
      </w:r>
      <w:r w:rsidR="00FA222B" w:rsidRPr="00A4654A">
        <w:t>merits</w:t>
      </w:r>
    </w:p>
    <w:p w:rsidR="00FA222B" w:rsidRPr="00A4654A" w:rsidRDefault="00FA222B" w:rsidP="00FA222B">
      <w:pPr>
        <w:pStyle w:val="SingleTxtG"/>
      </w:pPr>
      <w:r w:rsidRPr="00A4654A">
        <w:t>7.1</w:t>
      </w:r>
      <w:r w:rsidRPr="00A4654A">
        <w:tab/>
        <w:t xml:space="preserve">The Committee has considered the communication in the light of all the information made available to it by the parties, as provided for under article 5 </w:t>
      </w:r>
      <w:r w:rsidR="00087430">
        <w:t>(</w:t>
      </w:r>
      <w:r w:rsidRPr="00A4654A">
        <w:t>1</w:t>
      </w:r>
      <w:r w:rsidR="00087430">
        <w:t>)</w:t>
      </w:r>
      <w:r w:rsidRPr="00A4654A">
        <w:t xml:space="preserve"> of the Optional Protocol.</w:t>
      </w:r>
    </w:p>
    <w:p w:rsidR="001C66AA" w:rsidRDefault="0067314F" w:rsidP="00FA222B">
      <w:pPr>
        <w:pStyle w:val="SingleTxtG"/>
      </w:pPr>
      <w:r>
        <w:t>7.</w:t>
      </w:r>
      <w:r w:rsidR="0079683A">
        <w:t>2</w:t>
      </w:r>
      <w:r>
        <w:tab/>
      </w:r>
      <w:r w:rsidR="00FA222B" w:rsidRPr="00A4654A">
        <w:t xml:space="preserve">The Committee notes the author’s claims concerning the deplorable conditions </w:t>
      </w:r>
      <w:r w:rsidR="00087430">
        <w:t>he endured</w:t>
      </w:r>
      <w:r w:rsidR="0051315A">
        <w:t xml:space="preserve"> </w:t>
      </w:r>
      <w:r w:rsidR="00FA222B" w:rsidRPr="00A4654A">
        <w:t>at the LBK-12 prison</w:t>
      </w:r>
      <w:r w:rsidR="001C66AA">
        <w:t xml:space="preserve"> </w:t>
      </w:r>
      <w:r w:rsidR="00087430">
        <w:t xml:space="preserve">during his incarceration </w:t>
      </w:r>
      <w:r w:rsidR="001C66AA">
        <w:t>from 1 January 2011 to 8 May 2012</w:t>
      </w:r>
      <w:r w:rsidR="00000BDC">
        <w:t xml:space="preserve">, </w:t>
      </w:r>
      <w:r w:rsidR="00087430">
        <w:t>including his placement in</w:t>
      </w:r>
      <w:r w:rsidR="00000BDC" w:rsidRPr="00000BDC">
        <w:t xml:space="preserve"> quarantine for 10 days </w:t>
      </w:r>
      <w:r w:rsidR="00000BDC">
        <w:t>immediately upon his arrival</w:t>
      </w:r>
      <w:r w:rsidR="00087430">
        <w:t xml:space="preserve"> and the</w:t>
      </w:r>
      <w:r w:rsidR="00000BDC">
        <w:t xml:space="preserve"> harsh climatic conditions </w:t>
      </w:r>
      <w:r w:rsidR="00087430">
        <w:t>in summer and winter</w:t>
      </w:r>
      <w:r w:rsidR="00000BDC">
        <w:t xml:space="preserve">. The Committee </w:t>
      </w:r>
      <w:r w:rsidR="00087430">
        <w:t xml:space="preserve">also </w:t>
      </w:r>
      <w:r w:rsidR="00000BDC">
        <w:t xml:space="preserve">notes that </w:t>
      </w:r>
      <w:r w:rsidR="001C66AA">
        <w:t xml:space="preserve">during </w:t>
      </w:r>
      <w:r w:rsidR="00087430">
        <w:t>his incarceration</w:t>
      </w:r>
      <w:r w:rsidR="001C66AA">
        <w:t xml:space="preserve"> </w:t>
      </w:r>
      <w:r w:rsidR="00000BDC">
        <w:t xml:space="preserve">the author </w:t>
      </w:r>
      <w:r w:rsidR="001C66AA">
        <w:t xml:space="preserve">was infected with </w:t>
      </w:r>
      <w:r w:rsidR="0044385A">
        <w:t>tuberculosis</w:t>
      </w:r>
      <w:r w:rsidR="00FA222B" w:rsidRPr="00A4654A">
        <w:t xml:space="preserve">. </w:t>
      </w:r>
      <w:r w:rsidR="00000BDC">
        <w:t xml:space="preserve">The Committee </w:t>
      </w:r>
      <w:r w:rsidR="00087430">
        <w:t xml:space="preserve">further </w:t>
      </w:r>
      <w:r w:rsidR="00000BDC">
        <w:t>notes that these allegations were not contested by the State party</w:t>
      </w:r>
      <w:r w:rsidR="00D41DF7">
        <w:rPr>
          <w:lang w:bidi="he-IL"/>
        </w:rPr>
        <w:t xml:space="preserve"> and that they are consistent with the </w:t>
      </w:r>
      <w:r w:rsidR="00D41DF7">
        <w:rPr>
          <w:rFonts w:hint="cs"/>
          <w:lang w:bidi="he-IL"/>
        </w:rPr>
        <w:t>findings of the Committee against Torture in its most recent concluding observations in regard to the State party</w:t>
      </w:r>
      <w:r w:rsidR="00D41DF7" w:rsidRPr="001F0456">
        <w:t>.</w:t>
      </w:r>
      <w:r w:rsidR="00D41DF7">
        <w:rPr>
          <w:rStyle w:val="FootnoteReference"/>
        </w:rPr>
        <w:footnoteReference w:id="5"/>
      </w:r>
      <w:r w:rsidR="00000BDC">
        <w:t xml:space="preserve"> </w:t>
      </w:r>
    </w:p>
    <w:p w:rsidR="00FA222B" w:rsidRPr="00A4654A" w:rsidRDefault="00F13E91" w:rsidP="00FA222B">
      <w:pPr>
        <w:pStyle w:val="SingleTxtG"/>
      </w:pPr>
      <w:r>
        <w:t>7.3</w:t>
      </w:r>
      <w:r>
        <w:tab/>
      </w:r>
      <w:r w:rsidR="00FA222B" w:rsidRPr="00A4654A">
        <w:t>The Committee recalls that persons deprived of their liberty may not be subjected to any hardship or constraint other than that resulting from the deprivation of liberty; they must be treated in accordance with, inter alia, the Standard Minimum Rules for the Treatment of Prisoners</w:t>
      </w:r>
      <w:r w:rsidR="0067314F">
        <w:t>.</w:t>
      </w:r>
      <w:r w:rsidR="00FA222B" w:rsidRPr="00A4654A">
        <w:rPr>
          <w:rStyle w:val="FootnoteReference"/>
        </w:rPr>
        <w:footnoteReference w:id="6"/>
      </w:r>
      <w:r w:rsidR="00FA222B" w:rsidRPr="00A4654A">
        <w:t xml:space="preserve"> In the absence of any other pertinent information on file, the Committee decides that due weight must be given to the author’s allegations. Accordingly, the Committee finds that confining the author in such conditions constitutes a violation of his right to be treated with humanity and with respect for the inherent dignity of the human person under article 10</w:t>
      </w:r>
      <w:r w:rsidR="0051315A">
        <w:t xml:space="preserve"> </w:t>
      </w:r>
      <w:r w:rsidR="00DE7229">
        <w:t>(</w:t>
      </w:r>
      <w:r w:rsidR="00FA222B" w:rsidRPr="00A4654A">
        <w:t>1</w:t>
      </w:r>
      <w:r w:rsidR="00DE7229">
        <w:t>)</w:t>
      </w:r>
      <w:r w:rsidR="00FA222B" w:rsidRPr="00A4654A">
        <w:t xml:space="preserve"> of the Covenant.</w:t>
      </w:r>
      <w:r w:rsidR="00FA222B" w:rsidRPr="00A4654A">
        <w:rPr>
          <w:rStyle w:val="FootnoteReference"/>
        </w:rPr>
        <w:footnoteReference w:id="7"/>
      </w:r>
      <w:r w:rsidR="00FA222B" w:rsidRPr="00A4654A">
        <w:t xml:space="preserve"> </w:t>
      </w:r>
    </w:p>
    <w:p w:rsidR="00FA222B" w:rsidRPr="00A4654A" w:rsidRDefault="0067314F" w:rsidP="00FA222B">
      <w:pPr>
        <w:pStyle w:val="SingleTxtG"/>
        <w:rPr>
          <w:lang w:val="en-US"/>
        </w:rPr>
      </w:pPr>
      <w:r>
        <w:t>7.</w:t>
      </w:r>
      <w:r w:rsidR="00325B60">
        <w:t>4</w:t>
      </w:r>
      <w:r>
        <w:tab/>
      </w:r>
      <w:r w:rsidR="00FA222B" w:rsidRPr="00A4654A">
        <w:t xml:space="preserve">In the light of this finding in respect of article 10, a provision of the Covenant dealing specifically with the situation of persons deprived of their liberty and encompassing for such persons the elements set out generally in article 7, the Committee concludes that it </w:t>
      </w:r>
      <w:r w:rsidR="00325B60">
        <w:t xml:space="preserve">will not </w:t>
      </w:r>
      <w:r w:rsidR="00FA222B" w:rsidRPr="00A4654A">
        <w:t xml:space="preserve">consider </w:t>
      </w:r>
      <w:r w:rsidR="00325B60">
        <w:t xml:space="preserve">separately </w:t>
      </w:r>
      <w:r w:rsidR="00FA222B" w:rsidRPr="00A4654A">
        <w:t>any possible claims made under article 7 in this regard</w:t>
      </w:r>
      <w:r>
        <w:t>.</w:t>
      </w:r>
      <w:r w:rsidR="00FA222B" w:rsidRPr="00A4654A">
        <w:rPr>
          <w:rStyle w:val="FootnoteReference"/>
        </w:rPr>
        <w:footnoteReference w:id="8"/>
      </w:r>
      <w:r w:rsidR="00FA222B" w:rsidRPr="00A4654A">
        <w:t xml:space="preserve"> </w:t>
      </w:r>
    </w:p>
    <w:p w:rsidR="00FA222B" w:rsidRPr="00A4654A" w:rsidRDefault="0067314F" w:rsidP="00FA222B">
      <w:pPr>
        <w:pStyle w:val="SingleTxtG"/>
      </w:pPr>
      <w:r>
        <w:t>7.</w:t>
      </w:r>
      <w:r w:rsidR="00325B60">
        <w:t>5</w:t>
      </w:r>
      <w:r>
        <w:tab/>
      </w:r>
      <w:r w:rsidR="00FA222B" w:rsidRPr="00A4654A">
        <w:t>The Committee notes the author’s claim that his rights under article 18</w:t>
      </w:r>
      <w:r w:rsidR="0051315A">
        <w:t xml:space="preserve"> </w:t>
      </w:r>
      <w:r w:rsidR="00DE7229">
        <w:t>(</w:t>
      </w:r>
      <w:r w:rsidR="00FA222B" w:rsidRPr="00A4654A">
        <w:t>1</w:t>
      </w:r>
      <w:r w:rsidR="00DE7229">
        <w:t>)</w:t>
      </w:r>
      <w:r w:rsidR="00FA222B" w:rsidRPr="00A4654A">
        <w:t xml:space="preserve"> of the Covenant have been violated due to the absence in the State party of an alternative to </w:t>
      </w:r>
      <w:r w:rsidR="00FA222B" w:rsidRPr="00A4654A">
        <w:lastRenderedPageBreak/>
        <w:t xml:space="preserve">compulsory military service, as a result of which his refusal to perform </w:t>
      </w:r>
      <w:r w:rsidR="00325B60">
        <w:t xml:space="preserve">compulsory </w:t>
      </w:r>
      <w:r w:rsidR="00FA222B" w:rsidRPr="00A4654A">
        <w:t xml:space="preserve">military service </w:t>
      </w:r>
      <w:r w:rsidR="00DE7229">
        <w:t>because</w:t>
      </w:r>
      <w:r w:rsidR="00FA222B" w:rsidRPr="00A4654A">
        <w:t xml:space="preserve"> of his religious </w:t>
      </w:r>
      <w:r w:rsidR="0051315A">
        <w:t>beliefs</w:t>
      </w:r>
      <w:r w:rsidR="0051315A" w:rsidRPr="00A4654A">
        <w:t xml:space="preserve"> </w:t>
      </w:r>
      <w:r w:rsidR="00FA222B" w:rsidRPr="00A4654A">
        <w:t>led to his criminal prosecution and subsequent imprisonment. The Committee takes note of the State party’s submission that the criminal offence committed by the author was determined accurately according to the Criminal Code of Turkmenistan and that pursuant to article 41 of the Constitution</w:t>
      </w:r>
      <w:r w:rsidR="00DE7229">
        <w:t>,</w:t>
      </w:r>
      <w:r w:rsidR="00FA222B" w:rsidRPr="00A4654A">
        <w:t xml:space="preserve"> </w:t>
      </w:r>
      <w:r w:rsidR="00325B60">
        <w:t>the “p</w:t>
      </w:r>
      <w:r w:rsidR="00FA222B" w:rsidRPr="00A4654A">
        <w:t>rotection of Turkmenistan is the sacred duty of every citizen</w:t>
      </w:r>
      <w:r w:rsidR="00325B60">
        <w:t>”</w:t>
      </w:r>
      <w:r w:rsidR="00FA222B" w:rsidRPr="00A4654A">
        <w:t xml:space="preserve"> and that general conscription is</w:t>
      </w:r>
      <w:r>
        <w:t xml:space="preserve"> compulsory for male citizens. </w:t>
      </w:r>
    </w:p>
    <w:p w:rsidR="00FA222B" w:rsidRPr="00A4654A" w:rsidRDefault="0067314F" w:rsidP="00FA222B">
      <w:pPr>
        <w:pStyle w:val="SingleTxtG"/>
      </w:pPr>
      <w:r>
        <w:t>7.</w:t>
      </w:r>
      <w:r w:rsidR="00325B60">
        <w:t>6</w:t>
      </w:r>
      <w:r>
        <w:tab/>
      </w:r>
      <w:r w:rsidR="00FA222B" w:rsidRPr="00A4654A">
        <w:t>The Committee recalls its general comment No. 22</w:t>
      </w:r>
      <w:r w:rsidR="00DE7229">
        <w:t xml:space="preserve"> (1993) on freedom of thought, conscience or religion</w:t>
      </w:r>
      <w:r w:rsidR="00FA222B" w:rsidRPr="00A4654A">
        <w:t>, in which it considers that the fundamental character of the freedoms enshrined in article 18</w:t>
      </w:r>
      <w:r w:rsidR="0051315A">
        <w:t xml:space="preserve"> </w:t>
      </w:r>
      <w:r w:rsidR="00DE7229">
        <w:t>(</w:t>
      </w:r>
      <w:r w:rsidR="00FA222B" w:rsidRPr="00A4654A">
        <w:t>1</w:t>
      </w:r>
      <w:r w:rsidR="00DE7229">
        <w:t>)</w:t>
      </w:r>
      <w:r w:rsidR="00FA222B" w:rsidRPr="00A4654A">
        <w:t xml:space="preserve"> is reflected in the fact that this provision cannot be derogated from, even in time of public emergency, as stated in article 4</w:t>
      </w:r>
      <w:r w:rsidR="0051315A">
        <w:t xml:space="preserve"> </w:t>
      </w:r>
      <w:r w:rsidR="00DE7229">
        <w:t>(</w:t>
      </w:r>
      <w:r w:rsidR="00FA222B" w:rsidRPr="00A4654A">
        <w:t>2</w:t>
      </w:r>
      <w:r w:rsidR="00DE7229">
        <w:t>)</w:t>
      </w:r>
      <w:r w:rsidR="00FA222B" w:rsidRPr="00A4654A">
        <w:t xml:space="preserve"> of the Covenant. The Committee recalls its prior jurisprudence </w:t>
      </w:r>
      <w:r w:rsidR="00DE7229">
        <w:t>stating that</w:t>
      </w:r>
      <w:r w:rsidR="00DE7229" w:rsidRPr="00A4654A">
        <w:t xml:space="preserve"> </w:t>
      </w:r>
      <w:r w:rsidR="00FA222B" w:rsidRPr="00A4654A">
        <w:t xml:space="preserve">although the Covenant does not explicitly refer to a right of conscientious objection, such a right derives from article 18, inasmuch as the obligation to be involved in the use of lethal force may seriously conflict with the freedom of </w:t>
      </w:r>
      <w:r w:rsidR="009856B6">
        <w:t xml:space="preserve">thought, </w:t>
      </w:r>
      <w:r w:rsidR="00FA222B" w:rsidRPr="00A4654A">
        <w:t>conscience</w:t>
      </w:r>
      <w:r w:rsidR="009856B6">
        <w:t xml:space="preserve"> and religion</w:t>
      </w:r>
      <w:r w:rsidR="00FA222B" w:rsidRPr="00A4654A">
        <w:t>.</w:t>
      </w:r>
      <w:r w:rsidR="00FA222B" w:rsidRPr="00A4654A">
        <w:rPr>
          <w:vertAlign w:val="superscript"/>
        </w:rPr>
        <w:footnoteReference w:id="9"/>
      </w:r>
      <w:r w:rsidR="00FA222B" w:rsidRPr="00A4654A">
        <w:t xml:space="preserve"> The right to conscientious objection to military service inheres in the right to freedom of thought, conscience and religion. It entitles any individual to an exemption from compulsory military service if such service cannot be reconciled with that individual’s religion or beliefs. The right must not be impaired by coercion. A State may, if it wishes, compel the objector to undertake a civilian alternative to military service, outside the military sphere and not under military command. The alternative service must not be of a punitive nature. It must be a real service to the community and compatible with respect for human rights.</w:t>
      </w:r>
      <w:r w:rsidR="00FA222B" w:rsidRPr="00A4654A">
        <w:rPr>
          <w:vertAlign w:val="superscript"/>
        </w:rPr>
        <w:footnoteReference w:id="10"/>
      </w:r>
      <w:r>
        <w:t xml:space="preserve"> </w:t>
      </w:r>
    </w:p>
    <w:p w:rsidR="00FA222B" w:rsidRPr="00A4654A" w:rsidRDefault="00FA222B" w:rsidP="00FA222B">
      <w:pPr>
        <w:pStyle w:val="SingleTxtG"/>
      </w:pPr>
      <w:r w:rsidRPr="00A4654A">
        <w:t>7.</w:t>
      </w:r>
      <w:r w:rsidR="005D4839">
        <w:t>7</w:t>
      </w:r>
      <w:r w:rsidRPr="00A4654A">
        <w:tab/>
        <w:t xml:space="preserve">In the present case, the Committee considers that the author’s refusal to be drafted for compulsory military service derives from his religious beliefs and that the author’s subsequent conviction and sentence amounted to an infringement of his freedom of </w:t>
      </w:r>
      <w:r w:rsidR="009856B6">
        <w:t xml:space="preserve">thought, </w:t>
      </w:r>
      <w:r w:rsidRPr="00A4654A">
        <w:t>conscience</w:t>
      </w:r>
      <w:r w:rsidR="009856B6">
        <w:t xml:space="preserve"> and religion</w:t>
      </w:r>
      <w:r w:rsidRPr="00A4654A">
        <w:t>, in breach of article 18</w:t>
      </w:r>
      <w:r w:rsidR="0051315A">
        <w:t xml:space="preserve"> </w:t>
      </w:r>
      <w:r w:rsidR="00DE7229">
        <w:t>(</w:t>
      </w:r>
      <w:r w:rsidRPr="00A4654A">
        <w:t>1</w:t>
      </w:r>
      <w:r w:rsidR="00DE7229">
        <w:t>)</w:t>
      </w:r>
      <w:r w:rsidRPr="00A4654A">
        <w:t xml:space="preserve"> of the Covenant. In this context, the Committee recalls that repression of the refusal to be drafted for compulsory military service, exercised against persons whose conscience or religion prohibit the use of arms, is incompatible with article 18</w:t>
      </w:r>
      <w:r w:rsidR="0051315A">
        <w:t xml:space="preserve"> </w:t>
      </w:r>
      <w:r w:rsidR="00DE7229">
        <w:t>(</w:t>
      </w:r>
      <w:r w:rsidR="00E6370F">
        <w:t>1</w:t>
      </w:r>
      <w:r w:rsidR="00DE7229">
        <w:t>)</w:t>
      </w:r>
      <w:r w:rsidR="0087420B">
        <w:t xml:space="preserve"> </w:t>
      </w:r>
      <w:r w:rsidRPr="00A4654A">
        <w:t>of the Covenant.</w:t>
      </w:r>
      <w:r w:rsidRPr="00A4654A">
        <w:rPr>
          <w:vertAlign w:val="superscript"/>
        </w:rPr>
        <w:footnoteReference w:id="11"/>
      </w:r>
      <w:r w:rsidRPr="00A4654A">
        <w:t xml:space="preserve"> It also recalls that during the consideration of the State party’s initial report under article 40 of the Covenant, it expressed its concern that the Law on Conscription and Military Service, as amended on 25 September 2010, does not recognize a person’s right to exercise conscientious objection to military service and does not provide for any alternative military service</w:t>
      </w:r>
      <w:r w:rsidR="00DE7229">
        <w:t>,</w:t>
      </w:r>
      <w:r w:rsidRPr="00A4654A">
        <w:t xml:space="preserve"> and recommended</w:t>
      </w:r>
      <w:r w:rsidR="00F13E91">
        <w:t xml:space="preserve"> </w:t>
      </w:r>
      <w:r w:rsidRPr="00A4654A">
        <w:t>that the State party, inter alia, take all necessary measures to review its legislation with a view to providing for alternative service</w:t>
      </w:r>
      <w:r w:rsidR="0067314F">
        <w:t>.</w:t>
      </w:r>
      <w:r w:rsidRPr="00A4654A">
        <w:rPr>
          <w:rStyle w:val="FootnoteReference"/>
        </w:rPr>
        <w:footnoteReference w:id="12"/>
      </w:r>
    </w:p>
    <w:p w:rsidR="00FA222B" w:rsidRPr="00A4654A" w:rsidRDefault="00FA222B" w:rsidP="00FA222B">
      <w:pPr>
        <w:pStyle w:val="SingleTxtG"/>
      </w:pPr>
      <w:r w:rsidRPr="00A4654A">
        <w:lastRenderedPageBreak/>
        <w:t>8.</w:t>
      </w:r>
      <w:r w:rsidRPr="00A4654A">
        <w:tab/>
        <w:t>The Committee, acting under article 5</w:t>
      </w:r>
      <w:r w:rsidR="0051315A">
        <w:t xml:space="preserve"> </w:t>
      </w:r>
      <w:r w:rsidR="0087420B">
        <w:t>(</w:t>
      </w:r>
      <w:r w:rsidRPr="00A4654A">
        <w:t>4</w:t>
      </w:r>
      <w:r w:rsidR="0087420B">
        <w:t>)</w:t>
      </w:r>
      <w:r w:rsidRPr="00A4654A">
        <w:t>, of the Optional Protocol, is of the view that the</w:t>
      </w:r>
      <w:r w:rsidR="009255E3">
        <w:t xml:space="preserve"> </w:t>
      </w:r>
      <w:r w:rsidR="009856B6">
        <w:t>facts before it disclose</w:t>
      </w:r>
      <w:r w:rsidR="0087420B">
        <w:t xml:space="preserve"> </w:t>
      </w:r>
      <w:r w:rsidR="009856B6">
        <w:t>a</w:t>
      </w:r>
      <w:r w:rsidRPr="00A4654A">
        <w:t xml:space="preserve"> violat</w:t>
      </w:r>
      <w:r w:rsidR="009856B6">
        <w:t xml:space="preserve">ion of </w:t>
      </w:r>
      <w:r w:rsidRPr="00A4654A">
        <w:t>the author’s rights under articles 10</w:t>
      </w:r>
      <w:r w:rsidR="0051315A">
        <w:t xml:space="preserve"> </w:t>
      </w:r>
      <w:r w:rsidR="00DE7229">
        <w:t>(</w:t>
      </w:r>
      <w:r w:rsidRPr="00A4654A">
        <w:t>1</w:t>
      </w:r>
      <w:r w:rsidR="00DE7229">
        <w:t>)</w:t>
      </w:r>
      <w:r w:rsidRPr="00A4654A">
        <w:t xml:space="preserve"> and 18</w:t>
      </w:r>
      <w:r w:rsidR="0051315A">
        <w:t xml:space="preserve"> </w:t>
      </w:r>
      <w:r w:rsidR="00DE7229">
        <w:t>(</w:t>
      </w:r>
      <w:r w:rsidRPr="00A4654A">
        <w:t>1</w:t>
      </w:r>
      <w:r w:rsidR="00DE7229">
        <w:t>)</w:t>
      </w:r>
      <w:r w:rsidRPr="00A4654A">
        <w:t xml:space="preserve"> of the Covenant.</w:t>
      </w:r>
    </w:p>
    <w:p w:rsidR="00FA222B" w:rsidRPr="00A4654A" w:rsidRDefault="00FA222B" w:rsidP="0067314F">
      <w:pPr>
        <w:pStyle w:val="SingleTxtG"/>
      </w:pPr>
      <w:r w:rsidRPr="00A4654A">
        <w:t>9.</w:t>
      </w:r>
      <w:r w:rsidRPr="00A4654A">
        <w:tab/>
        <w:t>In accordance with article 2</w:t>
      </w:r>
      <w:r w:rsidR="0051315A">
        <w:t xml:space="preserve"> </w:t>
      </w:r>
      <w:r w:rsidR="00DE7229">
        <w:t>(</w:t>
      </w:r>
      <w:r w:rsidRPr="00A4654A">
        <w:t>3</w:t>
      </w:r>
      <w:r w:rsidR="00DE7229">
        <w:t>)</w:t>
      </w:r>
      <w:r w:rsidRPr="00A4654A">
        <w:t xml:space="preserve"> (a) of the Covenant, the State party is under an obligation to provide the author with an effective remedy, to expung</w:t>
      </w:r>
      <w:r w:rsidR="00636CCF">
        <w:t>e</w:t>
      </w:r>
      <w:r w:rsidRPr="00A4654A">
        <w:t xml:space="preserve"> </w:t>
      </w:r>
      <w:r w:rsidR="00636CCF">
        <w:t>the author’s</w:t>
      </w:r>
      <w:r w:rsidRPr="00A4654A">
        <w:t xml:space="preserve"> criminal record</w:t>
      </w:r>
      <w:r w:rsidR="00636CCF">
        <w:t xml:space="preserve"> and to provide</w:t>
      </w:r>
      <w:r w:rsidRPr="00A4654A">
        <w:t xml:space="preserve"> </w:t>
      </w:r>
      <w:r w:rsidR="00636CCF">
        <w:t xml:space="preserve">him with </w:t>
      </w:r>
      <w:r w:rsidR="00773395" w:rsidRPr="00A4654A">
        <w:t>a</w:t>
      </w:r>
      <w:r w:rsidR="00773395">
        <w:t>dequa</w:t>
      </w:r>
      <w:r w:rsidR="00773395" w:rsidRPr="00A4654A">
        <w:t xml:space="preserve">te </w:t>
      </w:r>
      <w:r w:rsidRPr="00A4654A">
        <w:t xml:space="preserve">compensation. The State party is under an obligation to avoid similar violations of the Covenant in the future, which includes the adoption of legislative measures guaranteeing the right to conscientious objection. </w:t>
      </w:r>
    </w:p>
    <w:p w:rsidR="00442A83" w:rsidRDefault="00FA222B" w:rsidP="0067314F">
      <w:pPr>
        <w:pStyle w:val="SingleTxtG"/>
      </w:pPr>
      <w:r w:rsidRPr="00A4654A">
        <w:t>10.</w:t>
      </w:r>
      <w:r w:rsidRPr="00A4654A">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t>
      </w:r>
      <w:r w:rsidR="00487D2A">
        <w:t xml:space="preserve">when it </w:t>
      </w:r>
      <w:r w:rsidRPr="00A4654A">
        <w:t xml:space="preserve">has been </w:t>
      </w:r>
      <w:r w:rsidR="00487D2A">
        <w:t>determined that a violation has occurred,</w:t>
      </w:r>
      <w:r w:rsidRPr="00A4654A">
        <w:t xml:space="preserve"> the Committee wishes to receive from the State party, within 180 days, information about the measures taken to give effect to the Committee’s Views. The State party is also requested to</w:t>
      </w:r>
      <w:r w:rsidR="0067314F">
        <w:t xml:space="preserve"> publish the Committee’s Views.</w:t>
      </w:r>
    </w:p>
    <w:p w:rsidR="0087420B" w:rsidRDefault="0087420B" w:rsidP="0067314F">
      <w:pPr>
        <w:pStyle w:val="SingleTxtG"/>
        <w:sectPr w:rsidR="0087420B" w:rsidSect="0097148F">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411" w:gutter="0"/>
          <w:cols w:space="720"/>
          <w:titlePg/>
          <w:docGrid w:linePitch="272"/>
        </w:sectPr>
      </w:pPr>
    </w:p>
    <w:p w:rsidR="0087420B" w:rsidRPr="0087420B" w:rsidRDefault="0087420B" w:rsidP="0087420B">
      <w:pPr>
        <w:keepNext/>
        <w:keepLines/>
        <w:tabs>
          <w:tab w:val="right" w:pos="851"/>
        </w:tabs>
        <w:spacing w:before="360" w:after="240" w:line="300" w:lineRule="exact"/>
        <w:ind w:left="1134" w:right="1134" w:hanging="1134"/>
        <w:rPr>
          <w:b/>
          <w:sz w:val="28"/>
        </w:rPr>
      </w:pPr>
      <w:r w:rsidRPr="0087420B">
        <w:rPr>
          <w:b/>
          <w:sz w:val="28"/>
        </w:rPr>
        <w:lastRenderedPageBreak/>
        <w:t>Appendix</w:t>
      </w:r>
    </w:p>
    <w:p w:rsidR="0087420B" w:rsidRPr="0087420B" w:rsidRDefault="0087420B" w:rsidP="0087420B">
      <w:pPr>
        <w:keepNext/>
        <w:keepLines/>
        <w:tabs>
          <w:tab w:val="right" w:pos="851"/>
        </w:tabs>
        <w:spacing w:before="360" w:after="240" w:line="270" w:lineRule="exact"/>
        <w:ind w:left="1134" w:right="1134" w:hanging="1134"/>
        <w:rPr>
          <w:rFonts w:eastAsia="MS Mincho"/>
          <w:b/>
          <w:sz w:val="24"/>
        </w:rPr>
      </w:pPr>
      <w:r w:rsidRPr="0087420B">
        <w:rPr>
          <w:rFonts w:eastAsia="MS Mincho"/>
          <w:b/>
          <w:sz w:val="24"/>
        </w:rPr>
        <w:tab/>
      </w:r>
      <w:r w:rsidRPr="0087420B">
        <w:rPr>
          <w:rFonts w:eastAsia="MS Mincho"/>
          <w:b/>
          <w:sz w:val="24"/>
        </w:rPr>
        <w:tab/>
        <w:t>Joint opinion of Committee members Yuji Iwasawa, Anja Seibert-Fohr, Yuval Shany and Konstantine Vardzelashvili (concurring)</w:t>
      </w:r>
    </w:p>
    <w:p w:rsidR="0087420B" w:rsidRPr="005529A9" w:rsidRDefault="0051315A" w:rsidP="005529A9">
      <w:pPr>
        <w:spacing w:after="120"/>
        <w:ind w:left="1134" w:right="1134"/>
        <w:jc w:val="both"/>
        <w:rPr>
          <w:rFonts w:eastAsia="MS Mincho"/>
        </w:rPr>
      </w:pPr>
      <w:r>
        <w:rPr>
          <w:rFonts w:eastAsia="MS Mincho"/>
        </w:rPr>
        <w:tab/>
      </w:r>
      <w:r w:rsidR="0087420B" w:rsidRPr="0087420B">
        <w:rPr>
          <w:rFonts w:eastAsia="MS Mincho"/>
        </w:rPr>
        <w:t>We concur with the Committee’s conclusion that the State party has violated the rights of the author under article</w:t>
      </w:r>
      <w:r w:rsidR="0087420B" w:rsidRPr="0087420B">
        <w:rPr>
          <w:rFonts w:eastAsia="MS Mincho" w:hint="eastAsia"/>
        </w:rPr>
        <w:t xml:space="preserve"> </w:t>
      </w:r>
      <w:r w:rsidR="0087420B" w:rsidRPr="0087420B">
        <w:rPr>
          <w:rFonts w:eastAsia="MS Mincho"/>
        </w:rPr>
        <w:t>18</w:t>
      </w:r>
      <w:r w:rsidR="0087420B" w:rsidRPr="0087420B">
        <w:rPr>
          <w:rFonts w:eastAsia="MS Mincho" w:hint="eastAsia"/>
        </w:rPr>
        <w:t xml:space="preserve"> </w:t>
      </w:r>
      <w:r w:rsidR="007E7B6E">
        <w:rPr>
          <w:rFonts w:eastAsia="MS Mincho"/>
        </w:rPr>
        <w:t>(</w:t>
      </w:r>
      <w:r w:rsidR="0087420B" w:rsidRPr="0087420B">
        <w:rPr>
          <w:rFonts w:eastAsia="MS Mincho" w:hint="eastAsia"/>
        </w:rPr>
        <w:t>1</w:t>
      </w:r>
      <w:r w:rsidR="007E7B6E">
        <w:rPr>
          <w:rFonts w:eastAsia="MS Mincho"/>
        </w:rPr>
        <w:t>)</w:t>
      </w:r>
      <w:r w:rsidR="0087420B" w:rsidRPr="0087420B">
        <w:rPr>
          <w:rFonts w:eastAsia="MS Mincho"/>
        </w:rPr>
        <w:t xml:space="preserve"> of the Covenant, but for reasons</w:t>
      </w:r>
      <w:r w:rsidR="0087420B" w:rsidRPr="0087420B">
        <w:rPr>
          <w:rFonts w:eastAsia="MS Mincho" w:hint="eastAsia"/>
        </w:rPr>
        <w:t xml:space="preserve"> different from the majority of the Committee</w:t>
      </w:r>
      <w:r w:rsidR="0087420B" w:rsidRPr="0087420B">
        <w:rPr>
          <w:rFonts w:eastAsia="MS Mincho"/>
        </w:rPr>
        <w:t>.</w:t>
      </w:r>
      <w:r w:rsidR="0087420B" w:rsidRPr="005529A9">
        <w:rPr>
          <w:rStyle w:val="FootnoteReference"/>
          <w:rFonts w:eastAsia="MS Mincho"/>
        </w:rPr>
        <w:footnoteReference w:id="13"/>
      </w:r>
      <w:r w:rsidR="0087420B" w:rsidRPr="0087420B">
        <w:rPr>
          <w:rFonts w:eastAsia="MS Mincho" w:hint="eastAsia"/>
        </w:rPr>
        <w:t xml:space="preserve"> </w:t>
      </w:r>
      <w:r w:rsidR="0087420B" w:rsidRPr="0087420B">
        <w:rPr>
          <w:rFonts w:eastAsia="MS Mincho"/>
        </w:rPr>
        <w:t xml:space="preserve">We will retain our reasoning even though we may not find it compelling to repeat it in future </w:t>
      </w:r>
      <w:r w:rsidR="0087420B" w:rsidRPr="0087420B">
        <w:rPr>
          <w:rFonts w:eastAsia="MS Mincho" w:hint="eastAsia"/>
        </w:rPr>
        <w:t>communication</w:t>
      </w:r>
      <w:r w:rsidR="0087420B" w:rsidRPr="0087420B">
        <w:rPr>
          <w:rFonts w:eastAsia="MS Mincho"/>
        </w:rPr>
        <w:t>s</w:t>
      </w:r>
      <w:r w:rsidR="0087420B" w:rsidRPr="0087420B">
        <w:rPr>
          <w:rFonts w:eastAsia="MS Mincho" w:hint="eastAsia"/>
        </w:rPr>
        <w:t>.</w:t>
      </w:r>
    </w:p>
    <w:p w:rsidR="0067314F" w:rsidRPr="0067314F" w:rsidRDefault="0067314F" w:rsidP="0067314F">
      <w:pPr>
        <w:pStyle w:val="SingleTxtG"/>
        <w:spacing w:before="240" w:after="0"/>
        <w:jc w:val="center"/>
        <w:rPr>
          <w:u w:val="single"/>
        </w:rPr>
      </w:pPr>
      <w:r>
        <w:rPr>
          <w:u w:val="single"/>
        </w:rPr>
        <w:tab/>
      </w:r>
      <w:r>
        <w:rPr>
          <w:u w:val="single"/>
        </w:rPr>
        <w:tab/>
      </w:r>
      <w:r>
        <w:rPr>
          <w:u w:val="single"/>
        </w:rPr>
        <w:tab/>
      </w:r>
    </w:p>
    <w:sectPr w:rsidR="0067314F" w:rsidRPr="0067314F" w:rsidSect="005529A9">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7T15:37:00Z" w:initials="Start">
    <w:p w:rsidR="0097148F" w:rsidRDefault="0097148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NO&gt;&gt;N1528736E&lt;&lt;ODS JOB NO&gt;&gt;</w:t>
      </w:r>
    </w:p>
    <w:p w:rsidR="0097148F" w:rsidRDefault="0097148F">
      <w:pPr>
        <w:pStyle w:val="CommentText"/>
      </w:pPr>
      <w:r>
        <w:t>&lt;&lt;ODS DOC SYMBOL1&gt;&gt;CCPR/C/115/D/2223/2012&lt;&lt;ODS DOC SYMBOL1&gt;&gt;</w:t>
      </w:r>
    </w:p>
    <w:p w:rsidR="0097148F" w:rsidRDefault="0097148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E7" w:rsidRDefault="006061E7"/>
  </w:endnote>
  <w:endnote w:type="continuationSeparator" w:id="0">
    <w:p w:rsidR="006061E7" w:rsidRDefault="006061E7"/>
  </w:endnote>
  <w:endnote w:type="continuationNotice" w:id="1">
    <w:p w:rsidR="006061E7" w:rsidRDefault="00606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30" w:rsidRPr="00FA222B" w:rsidRDefault="00087430" w:rsidP="00FA222B">
    <w:pPr>
      <w:pStyle w:val="Footer"/>
      <w:tabs>
        <w:tab w:val="right" w:pos="9638"/>
      </w:tabs>
    </w:pPr>
    <w:r w:rsidRPr="00FA222B">
      <w:rPr>
        <w:b/>
        <w:sz w:val="18"/>
      </w:rPr>
      <w:fldChar w:fldCharType="begin"/>
    </w:r>
    <w:r w:rsidRPr="00FA222B">
      <w:rPr>
        <w:b/>
        <w:sz w:val="18"/>
      </w:rPr>
      <w:instrText xml:space="preserve"> PAGE  \* MERGEFORMAT </w:instrText>
    </w:r>
    <w:r w:rsidRPr="00FA222B">
      <w:rPr>
        <w:b/>
        <w:sz w:val="18"/>
      </w:rPr>
      <w:fldChar w:fldCharType="separate"/>
    </w:r>
    <w:r w:rsidR="00DD18BD">
      <w:rPr>
        <w:b/>
        <w:noProof/>
        <w:sz w:val="18"/>
      </w:rPr>
      <w:t>8</w:t>
    </w:r>
    <w:r w:rsidRPr="00FA222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30" w:rsidRPr="00FA222B" w:rsidRDefault="00087430" w:rsidP="00FA222B">
    <w:pPr>
      <w:pStyle w:val="Footer"/>
      <w:tabs>
        <w:tab w:val="right" w:pos="9638"/>
      </w:tabs>
      <w:rPr>
        <w:b/>
        <w:sz w:val="18"/>
      </w:rPr>
    </w:pPr>
    <w:r>
      <w:tab/>
    </w:r>
    <w:r w:rsidRPr="00FA222B">
      <w:rPr>
        <w:b/>
        <w:sz w:val="18"/>
      </w:rPr>
      <w:fldChar w:fldCharType="begin"/>
    </w:r>
    <w:r w:rsidRPr="00FA222B">
      <w:rPr>
        <w:b/>
        <w:sz w:val="18"/>
      </w:rPr>
      <w:instrText xml:space="preserve"> PAGE  \* MERGEFORMAT </w:instrText>
    </w:r>
    <w:r w:rsidRPr="00FA222B">
      <w:rPr>
        <w:b/>
        <w:sz w:val="18"/>
      </w:rPr>
      <w:fldChar w:fldCharType="separate"/>
    </w:r>
    <w:r w:rsidR="00DD18BD">
      <w:rPr>
        <w:b/>
        <w:noProof/>
        <w:sz w:val="18"/>
      </w:rPr>
      <w:t>7</w:t>
    </w:r>
    <w:r w:rsidRPr="00FA222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7148F" w:rsidTr="0097148F">
      <w:tc>
        <w:tcPr>
          <w:tcW w:w="3614" w:type="dxa"/>
          <w:shd w:val="clear" w:color="auto" w:fill="auto"/>
        </w:tcPr>
        <w:p w:rsidR="0097148F" w:rsidRDefault="0097148F" w:rsidP="0097148F">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5/D/2223/20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223/20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GE.15-22125(E)</w:t>
          </w:r>
        </w:p>
        <w:p w:rsidR="0097148F" w:rsidRPr="0097148F" w:rsidRDefault="0097148F" w:rsidP="0097148F">
          <w:pPr>
            <w:pStyle w:val="Footer"/>
            <w:rPr>
              <w:rFonts w:ascii="Barcode 3 of 9 by request" w:hAnsi="Barcode 3 of 9 by request"/>
              <w:sz w:val="24"/>
            </w:rPr>
          </w:pPr>
          <w:r>
            <w:rPr>
              <w:rFonts w:ascii="Barcode 3 of 9 by request" w:hAnsi="Barcode 3 of 9 by request"/>
              <w:sz w:val="24"/>
            </w:rPr>
            <w:t>*1522125*</w:t>
          </w:r>
        </w:p>
      </w:tc>
      <w:tc>
        <w:tcPr>
          <w:tcW w:w="4752" w:type="dxa"/>
          <w:shd w:val="clear" w:color="auto" w:fill="auto"/>
        </w:tcPr>
        <w:p w:rsidR="0097148F" w:rsidRDefault="0097148F" w:rsidP="0097148F">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7148F" w:rsidRPr="0097148F" w:rsidRDefault="0097148F" w:rsidP="0097148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E7" w:rsidRPr="000B175B" w:rsidRDefault="006061E7" w:rsidP="000B175B">
      <w:pPr>
        <w:tabs>
          <w:tab w:val="right" w:pos="2155"/>
        </w:tabs>
        <w:spacing w:after="80"/>
        <w:ind w:left="680"/>
        <w:rPr>
          <w:u w:val="single"/>
        </w:rPr>
      </w:pPr>
      <w:r>
        <w:rPr>
          <w:u w:val="single"/>
        </w:rPr>
        <w:tab/>
      </w:r>
    </w:p>
  </w:footnote>
  <w:footnote w:type="continuationSeparator" w:id="0">
    <w:p w:rsidR="006061E7" w:rsidRPr="00FC68B7" w:rsidRDefault="006061E7" w:rsidP="00FC68B7">
      <w:pPr>
        <w:tabs>
          <w:tab w:val="left" w:pos="2155"/>
        </w:tabs>
        <w:spacing w:after="80"/>
        <w:ind w:left="680"/>
        <w:rPr>
          <w:u w:val="single"/>
        </w:rPr>
      </w:pPr>
      <w:r>
        <w:rPr>
          <w:u w:val="single"/>
        </w:rPr>
        <w:tab/>
      </w:r>
    </w:p>
  </w:footnote>
  <w:footnote w:type="continuationNotice" w:id="1">
    <w:p w:rsidR="006061E7" w:rsidRDefault="006061E7"/>
  </w:footnote>
  <w:footnote w:id="2">
    <w:p w:rsidR="00087430" w:rsidRDefault="00087430" w:rsidP="00CB2319">
      <w:pPr>
        <w:pStyle w:val="FootnoteText"/>
        <w:rPr>
          <w:bCs/>
          <w:szCs w:val="18"/>
        </w:rPr>
      </w:pPr>
      <w:r>
        <w:rPr>
          <w:rStyle w:val="FootnoteReference"/>
        </w:rPr>
        <w:tab/>
      </w:r>
      <w:r w:rsidRPr="005529A9">
        <w:rPr>
          <w:rStyle w:val="FootnoteReference"/>
          <w:sz w:val="20"/>
          <w:vertAlign w:val="baseline"/>
        </w:rPr>
        <w:t>*</w:t>
      </w:r>
      <w:r>
        <w:rPr>
          <w:rStyle w:val="FootnoteReference"/>
          <w:sz w:val="20"/>
          <w:vertAlign w:val="baseline"/>
        </w:rPr>
        <w:tab/>
      </w:r>
      <w:bookmarkStart w:id="2" w:name="OLE_LINK1"/>
      <w:bookmarkStart w:id="3" w:name="OLE_LINK2"/>
      <w:r w:rsidRPr="009131F3">
        <w:rPr>
          <w:szCs w:val="18"/>
        </w:rPr>
        <w:t xml:space="preserve">The following members of the Committee participated in the examination of the present communication: </w:t>
      </w:r>
      <w:bookmarkEnd w:id="2"/>
      <w:bookmarkEnd w:id="3"/>
      <w:r w:rsidRPr="00C455EA">
        <w:rPr>
          <w:szCs w:val="18"/>
        </w:rPr>
        <w:t xml:space="preserve">Yadh </w:t>
      </w:r>
      <w:r>
        <w:rPr>
          <w:szCs w:val="18"/>
        </w:rPr>
        <w:t xml:space="preserve">Ben Achour, </w:t>
      </w:r>
      <w:r w:rsidRPr="00C455EA">
        <w:rPr>
          <w:szCs w:val="18"/>
        </w:rPr>
        <w:t>Lazhari Bouzid</w:t>
      </w:r>
      <w:r>
        <w:rPr>
          <w:szCs w:val="18"/>
        </w:rPr>
        <w:t xml:space="preserve">, </w:t>
      </w:r>
      <w:r w:rsidRPr="00C455EA">
        <w:rPr>
          <w:szCs w:val="18"/>
        </w:rPr>
        <w:t>Sarah Cleveland</w:t>
      </w:r>
      <w:r>
        <w:rPr>
          <w:szCs w:val="18"/>
        </w:rPr>
        <w:t xml:space="preserve">, </w:t>
      </w:r>
      <w:r w:rsidRPr="00C455EA">
        <w:rPr>
          <w:szCs w:val="18"/>
        </w:rPr>
        <w:t>Ahmed</w:t>
      </w:r>
      <w:r>
        <w:rPr>
          <w:szCs w:val="18"/>
        </w:rPr>
        <w:t> </w:t>
      </w:r>
      <w:r w:rsidRPr="00C455EA">
        <w:rPr>
          <w:szCs w:val="18"/>
        </w:rPr>
        <w:t>Amin Fathalla</w:t>
      </w:r>
      <w:r>
        <w:rPr>
          <w:szCs w:val="18"/>
        </w:rPr>
        <w:t xml:space="preserve">, Olivier de Frouville, </w:t>
      </w:r>
      <w:r w:rsidRPr="00C455EA">
        <w:rPr>
          <w:szCs w:val="18"/>
        </w:rPr>
        <w:t>Yuji Iwasawa</w:t>
      </w:r>
      <w:r>
        <w:rPr>
          <w:szCs w:val="18"/>
        </w:rPr>
        <w:t xml:space="preserve">, Ivana Jelić, </w:t>
      </w:r>
      <w:r w:rsidRPr="00C455EA">
        <w:rPr>
          <w:szCs w:val="18"/>
        </w:rPr>
        <w:t>Duncan Laki</w:t>
      </w:r>
      <w:r>
        <w:rPr>
          <w:szCs w:val="18"/>
        </w:rPr>
        <w:t xml:space="preserve"> </w:t>
      </w:r>
      <w:r w:rsidRPr="00C455EA">
        <w:rPr>
          <w:szCs w:val="18"/>
        </w:rPr>
        <w:t>Muhumuza</w:t>
      </w:r>
      <w:r>
        <w:rPr>
          <w:szCs w:val="18"/>
        </w:rPr>
        <w:t xml:space="preserve">, </w:t>
      </w:r>
      <w:r w:rsidRPr="00C455EA">
        <w:rPr>
          <w:szCs w:val="18"/>
        </w:rPr>
        <w:t>Photini Pazartzis</w:t>
      </w:r>
      <w:r>
        <w:rPr>
          <w:szCs w:val="18"/>
        </w:rPr>
        <w:t xml:space="preserve">, </w:t>
      </w:r>
      <w:r w:rsidRPr="00C455EA">
        <w:rPr>
          <w:szCs w:val="18"/>
        </w:rPr>
        <w:t>Mauro</w:t>
      </w:r>
      <w:r>
        <w:rPr>
          <w:szCs w:val="18"/>
        </w:rPr>
        <w:t> </w:t>
      </w:r>
      <w:r w:rsidRPr="00C455EA">
        <w:rPr>
          <w:szCs w:val="18"/>
        </w:rPr>
        <w:t>Politi</w:t>
      </w:r>
      <w:r>
        <w:rPr>
          <w:szCs w:val="18"/>
        </w:rPr>
        <w:t xml:space="preserve">, </w:t>
      </w:r>
      <w:r>
        <w:rPr>
          <w:bCs/>
          <w:szCs w:val="18"/>
        </w:rPr>
        <w:t>Sir</w:t>
      </w:r>
      <w:r>
        <w:rPr>
          <w:szCs w:val="18"/>
        </w:rPr>
        <w:t xml:space="preserve"> Nigel Rodley, </w:t>
      </w:r>
      <w:r w:rsidRPr="00C455EA">
        <w:rPr>
          <w:szCs w:val="18"/>
        </w:rPr>
        <w:t>Fabián Omar Salvioli</w:t>
      </w:r>
      <w:r>
        <w:rPr>
          <w:szCs w:val="18"/>
        </w:rPr>
        <w:t xml:space="preserve">, </w:t>
      </w:r>
      <w:r w:rsidRPr="00C455EA">
        <w:rPr>
          <w:szCs w:val="18"/>
        </w:rPr>
        <w:t>Dheerujlall Seetulsingh</w:t>
      </w:r>
      <w:r>
        <w:rPr>
          <w:szCs w:val="18"/>
        </w:rPr>
        <w:t xml:space="preserve">, </w:t>
      </w:r>
      <w:r w:rsidRPr="00C455EA">
        <w:rPr>
          <w:szCs w:val="18"/>
        </w:rPr>
        <w:t>Anja Seibert-Fohr</w:t>
      </w:r>
      <w:r>
        <w:rPr>
          <w:szCs w:val="18"/>
        </w:rPr>
        <w:t xml:space="preserve">, </w:t>
      </w:r>
      <w:r w:rsidRPr="00C455EA">
        <w:rPr>
          <w:szCs w:val="18"/>
        </w:rPr>
        <w:t>Yuval Shany</w:t>
      </w:r>
      <w:r>
        <w:rPr>
          <w:szCs w:val="18"/>
        </w:rPr>
        <w:t xml:space="preserve">, </w:t>
      </w:r>
      <w:r w:rsidRPr="00C455EA">
        <w:rPr>
          <w:szCs w:val="18"/>
        </w:rPr>
        <w:t>Konstantine Vardzelashvili</w:t>
      </w:r>
      <w:r>
        <w:rPr>
          <w:szCs w:val="18"/>
        </w:rPr>
        <w:t xml:space="preserve"> and </w:t>
      </w:r>
      <w:r w:rsidRPr="00C455EA">
        <w:rPr>
          <w:szCs w:val="18"/>
        </w:rPr>
        <w:t>Margo Waterval</w:t>
      </w:r>
      <w:r>
        <w:rPr>
          <w:bCs/>
          <w:szCs w:val="18"/>
        </w:rPr>
        <w:t>.</w:t>
      </w:r>
    </w:p>
    <w:p w:rsidR="00087430" w:rsidRPr="00560AA1" w:rsidRDefault="00087430">
      <w:pPr>
        <w:pStyle w:val="FootnoteText"/>
      </w:pPr>
      <w:r>
        <w:tab/>
      </w:r>
      <w:r>
        <w:tab/>
      </w:r>
      <w:r w:rsidRPr="00685E45">
        <w:t xml:space="preserve">The text of </w:t>
      </w:r>
      <w:r w:rsidRPr="005529A9">
        <w:t>a joint</w:t>
      </w:r>
      <w:r w:rsidRPr="00685E45">
        <w:t xml:space="preserve"> opinion of Committee member</w:t>
      </w:r>
      <w:r>
        <w:t>s</w:t>
      </w:r>
      <w:r w:rsidRPr="00685E45">
        <w:t xml:space="preserve"> </w:t>
      </w:r>
      <w:r w:rsidRPr="00FA0D00">
        <w:t xml:space="preserve">Yuji Iwasawa, Anja Seibert-Fohr, Yuval Shany and Konstantine Vardzelashvili </w:t>
      </w:r>
      <w:r w:rsidRPr="00E70667">
        <w:t>(</w:t>
      </w:r>
      <w:r>
        <w:t>concurring</w:t>
      </w:r>
      <w:r w:rsidRPr="00E70667">
        <w:t>)</w:t>
      </w:r>
      <w:r w:rsidRPr="00685E45">
        <w:t xml:space="preserve"> </w:t>
      </w:r>
      <w:r>
        <w:t>is</w:t>
      </w:r>
      <w:r w:rsidRPr="00685E45">
        <w:t xml:space="preserve"> appended to the present Views</w:t>
      </w:r>
      <w:r>
        <w:t xml:space="preserve">. </w:t>
      </w:r>
    </w:p>
  </w:footnote>
  <w:footnote w:id="3">
    <w:p w:rsidR="00087430" w:rsidRPr="001A2410" w:rsidRDefault="00087430">
      <w:pPr>
        <w:pStyle w:val="FootnoteText"/>
      </w:pPr>
      <w:r>
        <w:tab/>
      </w:r>
      <w:r>
        <w:rPr>
          <w:rStyle w:val="FootnoteReference"/>
        </w:rPr>
        <w:footnoteRef/>
      </w:r>
      <w:r>
        <w:tab/>
      </w:r>
      <w:r w:rsidRPr="00BD7610">
        <w:t xml:space="preserve">No further </w:t>
      </w:r>
      <w:r w:rsidRPr="00F13E91">
        <w:t>information</w:t>
      </w:r>
      <w:r w:rsidRPr="00BD7610">
        <w:t xml:space="preserve"> </w:t>
      </w:r>
      <w:r>
        <w:t xml:space="preserve">was </w:t>
      </w:r>
      <w:r w:rsidRPr="00BD7610">
        <w:t xml:space="preserve">provided </w:t>
      </w:r>
      <w:r>
        <w:t xml:space="preserve">by the author </w:t>
      </w:r>
      <w:r w:rsidRPr="001A2410">
        <w:t>regarding</w:t>
      </w:r>
      <w:r w:rsidRPr="00BD7610">
        <w:t xml:space="preserve"> the cell in question or its </w:t>
      </w:r>
      <w:r>
        <w:t xml:space="preserve">exact </w:t>
      </w:r>
      <w:r w:rsidRPr="00BD7610">
        <w:t>location.</w:t>
      </w:r>
    </w:p>
  </w:footnote>
  <w:footnote w:id="4">
    <w:p w:rsidR="00087430" w:rsidRPr="00921992" w:rsidRDefault="00087430">
      <w:pPr>
        <w:pStyle w:val="FootnoteText"/>
      </w:pPr>
      <w:r>
        <w:tab/>
      </w:r>
      <w:r w:rsidRPr="00921992">
        <w:rPr>
          <w:rStyle w:val="FootnoteReference"/>
          <w:szCs w:val="18"/>
        </w:rPr>
        <w:footnoteRef/>
      </w:r>
      <w:r>
        <w:tab/>
        <w:t xml:space="preserve">See, for example, </w:t>
      </w:r>
      <w:r w:rsidRPr="0067314F">
        <w:t>communication</w:t>
      </w:r>
      <w:r w:rsidRPr="00921992">
        <w:t xml:space="preserve"> No. </w:t>
      </w:r>
      <w:r>
        <w:t>2097/2011</w:t>
      </w:r>
      <w:r w:rsidRPr="00921992">
        <w:t xml:space="preserve">, </w:t>
      </w:r>
      <w:r>
        <w:rPr>
          <w:i/>
          <w:iCs/>
        </w:rPr>
        <w:t>Timmer v. the Netherlands</w:t>
      </w:r>
      <w:r w:rsidRPr="00921992">
        <w:t xml:space="preserve">, </w:t>
      </w:r>
      <w:r>
        <w:t xml:space="preserve">Views adopted on 24 July 2014, para. 6.3. </w:t>
      </w:r>
    </w:p>
  </w:footnote>
  <w:footnote w:id="5">
    <w:p w:rsidR="00087430" w:rsidRDefault="00087430">
      <w:pPr>
        <w:pStyle w:val="FootnoteText"/>
        <w:rPr>
          <w:lang w:bidi="he-IL"/>
        </w:rPr>
      </w:pPr>
      <w:r>
        <w:rPr>
          <w:lang w:bidi="he-IL"/>
        </w:rPr>
        <w:tab/>
      </w:r>
      <w:r>
        <w:rPr>
          <w:rStyle w:val="FootnoteReference"/>
        </w:rPr>
        <w:footnoteRef/>
      </w:r>
      <w:r>
        <w:rPr>
          <w:lang w:bidi="he-IL"/>
        </w:rPr>
        <w:tab/>
        <w:t xml:space="preserve">See </w:t>
      </w:r>
      <w:r w:rsidR="0051315A">
        <w:t>CAT/C/TKM/CO/1</w:t>
      </w:r>
      <w:r>
        <w:rPr>
          <w:lang w:bidi="he-IL"/>
        </w:rPr>
        <w:t>, para. 19.</w:t>
      </w:r>
    </w:p>
  </w:footnote>
  <w:footnote w:id="6">
    <w:p w:rsidR="00087430" w:rsidRPr="006E3654" w:rsidRDefault="00087430">
      <w:pPr>
        <w:pStyle w:val="FootnoteText"/>
      </w:pPr>
      <w:r>
        <w:tab/>
      </w:r>
      <w:r>
        <w:rPr>
          <w:rStyle w:val="FootnoteReference"/>
        </w:rPr>
        <w:footnoteRef/>
      </w:r>
      <w:r>
        <w:tab/>
      </w:r>
      <w:r w:rsidRPr="0096345C">
        <w:t>See</w:t>
      </w:r>
      <w:r>
        <w:t>, for example,</w:t>
      </w:r>
      <w:r w:rsidRPr="0096345C">
        <w:t xml:space="preserve"> communication No. </w:t>
      </w:r>
      <w:r>
        <w:t>1520/</w:t>
      </w:r>
      <w:r w:rsidRPr="0067314F">
        <w:t>2006</w:t>
      </w:r>
      <w:r w:rsidRPr="0096345C">
        <w:t xml:space="preserve">, </w:t>
      </w:r>
      <w:r>
        <w:rPr>
          <w:i/>
        </w:rPr>
        <w:t>Mwamba v. Zambia</w:t>
      </w:r>
      <w:r w:rsidRPr="0096345C">
        <w:t xml:space="preserve">, Views adopted on </w:t>
      </w:r>
      <w:r>
        <w:t>10 March</w:t>
      </w:r>
      <w:r w:rsidRPr="0096345C">
        <w:t xml:space="preserve"> 2010, para.</w:t>
      </w:r>
      <w:r>
        <w:t> 6.4</w:t>
      </w:r>
      <w:r w:rsidRPr="0096345C">
        <w:t>.</w:t>
      </w:r>
    </w:p>
  </w:footnote>
  <w:footnote w:id="7">
    <w:p w:rsidR="00087430" w:rsidRPr="0096345C" w:rsidRDefault="00087430">
      <w:pPr>
        <w:pStyle w:val="FootnoteText"/>
      </w:pPr>
      <w:r>
        <w:tab/>
      </w:r>
      <w:r>
        <w:rPr>
          <w:rStyle w:val="FootnoteReference"/>
        </w:rPr>
        <w:footnoteRef/>
      </w:r>
      <w:r>
        <w:tab/>
      </w:r>
      <w:r w:rsidRPr="0096345C">
        <w:t>See</w:t>
      </w:r>
      <w:r>
        <w:t>, for example,</w:t>
      </w:r>
      <w:r w:rsidRPr="0096345C">
        <w:t xml:space="preserve"> </w:t>
      </w:r>
      <w:r w:rsidRPr="0067314F">
        <w:t>communication</w:t>
      </w:r>
      <w:r>
        <w:t>s</w:t>
      </w:r>
      <w:r w:rsidRPr="0096345C">
        <w:t xml:space="preserve"> No. 1530/2006, </w:t>
      </w:r>
      <w:r w:rsidRPr="0096345C">
        <w:rPr>
          <w:i/>
        </w:rPr>
        <w:t>Bozbey v. Turkmenistan</w:t>
      </w:r>
      <w:r w:rsidRPr="0096345C">
        <w:t>, Views adopted on 27 October 2010, para. 7.3</w:t>
      </w:r>
      <w:r>
        <w:t xml:space="preserve"> and</w:t>
      </w:r>
      <w:r w:rsidRPr="003C6761">
        <w:t xml:space="preserve"> No. 2218/2012, </w:t>
      </w:r>
      <w:r w:rsidRPr="0071562B">
        <w:rPr>
          <w:i/>
        </w:rPr>
        <w:t>Abdullayev v. Turkmenistan</w:t>
      </w:r>
      <w:r>
        <w:t>, Views adopted on 25 March 2015, para. 7.3</w:t>
      </w:r>
      <w:r w:rsidRPr="0096345C">
        <w:t>.</w:t>
      </w:r>
    </w:p>
  </w:footnote>
  <w:footnote w:id="8">
    <w:p w:rsidR="00087430" w:rsidRPr="001F0CFA" w:rsidRDefault="00087430">
      <w:pPr>
        <w:pStyle w:val="FootnoteText"/>
      </w:pPr>
      <w:r>
        <w:tab/>
      </w:r>
      <w:r>
        <w:rPr>
          <w:rStyle w:val="FootnoteReference"/>
        </w:rPr>
        <w:footnoteRef/>
      </w:r>
      <w:r>
        <w:tab/>
      </w:r>
      <w:r w:rsidRPr="0096345C">
        <w:t>See</w:t>
      </w:r>
      <w:r>
        <w:t>, for example,</w:t>
      </w:r>
      <w:r w:rsidR="000D531D">
        <w:t xml:space="preserve"> </w:t>
      </w:r>
      <w:r>
        <w:rPr>
          <w:i/>
        </w:rPr>
        <w:t>Mwamba v. Zambia</w:t>
      </w:r>
      <w:r w:rsidRPr="0096345C">
        <w:t>, para.</w:t>
      </w:r>
      <w:r>
        <w:t> 6.4</w:t>
      </w:r>
      <w:r w:rsidRPr="0096345C">
        <w:t>.</w:t>
      </w:r>
    </w:p>
  </w:footnote>
  <w:footnote w:id="9">
    <w:p w:rsidR="00087430" w:rsidRPr="003E2AC2" w:rsidRDefault="00087430">
      <w:pPr>
        <w:pStyle w:val="FootnoteText"/>
      </w:pPr>
      <w:r>
        <w:tab/>
      </w:r>
      <w:r w:rsidRPr="004F11FA">
        <w:rPr>
          <w:rStyle w:val="FootnoteReference"/>
        </w:rPr>
        <w:footnoteRef/>
      </w:r>
      <w:r>
        <w:tab/>
      </w:r>
      <w:r w:rsidRPr="003E2AC2">
        <w:t>See communication</w:t>
      </w:r>
      <w:r>
        <w:t>s</w:t>
      </w:r>
      <w:r w:rsidRPr="003E2AC2">
        <w:t xml:space="preserve"> No. 1321/2004 and </w:t>
      </w:r>
      <w:r w:rsidR="001404DF">
        <w:t xml:space="preserve">No. </w:t>
      </w:r>
      <w:r w:rsidRPr="003E2AC2">
        <w:t xml:space="preserve">1322/2004, </w:t>
      </w:r>
      <w:r w:rsidRPr="009704F1">
        <w:rPr>
          <w:i/>
        </w:rPr>
        <w:t>Yeo-Bum Yoon and Myung-Jin Choi v. the Republic of Korea</w:t>
      </w:r>
      <w:r w:rsidRPr="003E2AC2">
        <w:t xml:space="preserve">, Views adopted on 3 November 2006, para. 8.3; </w:t>
      </w:r>
      <w:r w:rsidRPr="00BE6986">
        <w:t xml:space="preserve">No. 1853/2008 and </w:t>
      </w:r>
      <w:r w:rsidR="001404DF">
        <w:t xml:space="preserve">No. </w:t>
      </w:r>
      <w:r w:rsidRPr="00BE6986">
        <w:t xml:space="preserve">1854/2008, </w:t>
      </w:r>
      <w:r w:rsidRPr="00BE6986">
        <w:rPr>
          <w:i/>
        </w:rPr>
        <w:t>Atasoy and Sarkut</w:t>
      </w:r>
      <w:r>
        <w:rPr>
          <w:i/>
        </w:rPr>
        <w:t xml:space="preserve"> v. Turkey</w:t>
      </w:r>
      <w:r w:rsidRPr="00BE6986">
        <w:t>, Views adopted on 29 March 2012, para.</w:t>
      </w:r>
      <w:r>
        <w:t xml:space="preserve"> </w:t>
      </w:r>
      <w:r w:rsidRPr="00BE6986">
        <w:t>10.4;</w:t>
      </w:r>
      <w:r>
        <w:t xml:space="preserve"> </w:t>
      </w:r>
      <w:r w:rsidRPr="003E2AC2">
        <w:t xml:space="preserve">No. 1786/2008, </w:t>
      </w:r>
      <w:r w:rsidRPr="009704F1">
        <w:rPr>
          <w:i/>
        </w:rPr>
        <w:t xml:space="preserve">Jong-nam Kim et al. v. </w:t>
      </w:r>
      <w:r>
        <w:rPr>
          <w:i/>
        </w:rPr>
        <w:t xml:space="preserve">the </w:t>
      </w:r>
      <w:r w:rsidRPr="009704F1">
        <w:rPr>
          <w:i/>
        </w:rPr>
        <w:t>Republic of Korea</w:t>
      </w:r>
      <w:r w:rsidRPr="003E2AC2">
        <w:t>, Views adopted on 25</w:t>
      </w:r>
      <w:r>
        <w:t> </w:t>
      </w:r>
      <w:r w:rsidRPr="003E2AC2">
        <w:t>October 2012, para. 7.3</w:t>
      </w:r>
      <w:r>
        <w:t xml:space="preserve">; </w:t>
      </w:r>
      <w:r w:rsidRPr="00E6370F">
        <w:t xml:space="preserve"> No. 2179/2012, </w:t>
      </w:r>
      <w:r w:rsidRPr="00E6370F">
        <w:rPr>
          <w:i/>
        </w:rPr>
        <w:t xml:space="preserve">Young-kwan Kim et al. v. </w:t>
      </w:r>
      <w:r>
        <w:rPr>
          <w:i/>
        </w:rPr>
        <w:t xml:space="preserve">the </w:t>
      </w:r>
      <w:r w:rsidRPr="00E6370F">
        <w:rPr>
          <w:i/>
        </w:rPr>
        <w:t>Republic of Korea</w:t>
      </w:r>
      <w:r w:rsidRPr="00E6370F">
        <w:t xml:space="preserve">, Views adopted on 15 October 2014; </w:t>
      </w:r>
      <w:r>
        <w:t xml:space="preserve">and </w:t>
      </w:r>
      <w:r w:rsidRPr="009704F1">
        <w:rPr>
          <w:i/>
        </w:rPr>
        <w:t>Abdullayev v. Turkmenistan</w:t>
      </w:r>
      <w:r>
        <w:t xml:space="preserve">, </w:t>
      </w:r>
      <w:r w:rsidRPr="0082419E">
        <w:t>para. 7.</w:t>
      </w:r>
      <w:r>
        <w:t>7</w:t>
      </w:r>
      <w:r w:rsidRPr="003E2AC2">
        <w:t>.</w:t>
      </w:r>
    </w:p>
  </w:footnote>
  <w:footnote w:id="10">
    <w:p w:rsidR="00087430" w:rsidRPr="003E2AC2" w:rsidRDefault="00087430">
      <w:pPr>
        <w:pStyle w:val="FootnoteText"/>
      </w:pPr>
      <w:r>
        <w:tab/>
      </w:r>
      <w:r w:rsidRPr="004F11FA">
        <w:rPr>
          <w:rStyle w:val="FootnoteReference"/>
        </w:rPr>
        <w:footnoteRef/>
      </w:r>
      <w:r>
        <w:tab/>
      </w:r>
      <w:r w:rsidRPr="003E2AC2">
        <w:t xml:space="preserve">See </w:t>
      </w:r>
      <w:r w:rsidRPr="00980F52">
        <w:t>communication</w:t>
      </w:r>
      <w:r>
        <w:t>s</w:t>
      </w:r>
      <w:r w:rsidRPr="003E2AC2">
        <w:t xml:space="preserve"> Nos. 1642-1741</w:t>
      </w:r>
      <w:r>
        <w:t>/2007</w:t>
      </w:r>
      <w:r w:rsidRPr="003E2AC2">
        <w:t xml:space="preserve">, </w:t>
      </w:r>
      <w:r w:rsidRPr="009704F1">
        <w:rPr>
          <w:i/>
        </w:rPr>
        <w:t>Min-Kyu Jeong et al</w:t>
      </w:r>
      <w:r w:rsidR="00487D2A">
        <w:rPr>
          <w:i/>
        </w:rPr>
        <w:t>.</w:t>
      </w:r>
      <w:r w:rsidRPr="009704F1">
        <w:rPr>
          <w:i/>
        </w:rPr>
        <w:t xml:space="preserve"> v. </w:t>
      </w:r>
      <w:r>
        <w:rPr>
          <w:i/>
        </w:rPr>
        <w:t>t</w:t>
      </w:r>
      <w:r w:rsidRPr="009704F1">
        <w:rPr>
          <w:i/>
        </w:rPr>
        <w:t>he Republic of Korea</w:t>
      </w:r>
      <w:r w:rsidRPr="003E2AC2">
        <w:t xml:space="preserve">, Views adopted on 24 March 2011, para. 7.3; </w:t>
      </w:r>
      <w:r>
        <w:rPr>
          <w:i/>
        </w:rPr>
        <w:t xml:space="preserve">Atasoy and </w:t>
      </w:r>
      <w:r w:rsidRPr="00842E8E">
        <w:rPr>
          <w:i/>
        </w:rPr>
        <w:t>Sarkut</w:t>
      </w:r>
      <w:r>
        <w:t xml:space="preserve">, para. 10.4; </w:t>
      </w:r>
      <w:r w:rsidRPr="009704F1">
        <w:rPr>
          <w:i/>
        </w:rPr>
        <w:t xml:space="preserve">Jong-nam Kim et al. v. </w:t>
      </w:r>
      <w:r>
        <w:rPr>
          <w:i/>
        </w:rPr>
        <w:t xml:space="preserve">the </w:t>
      </w:r>
      <w:r w:rsidRPr="009704F1">
        <w:rPr>
          <w:i/>
        </w:rPr>
        <w:t>Republic of Korea</w:t>
      </w:r>
      <w:r w:rsidRPr="003E2AC2">
        <w:t>, para. 7.4</w:t>
      </w:r>
      <w:r>
        <w:t xml:space="preserve">; and </w:t>
      </w:r>
      <w:r w:rsidRPr="009704F1">
        <w:rPr>
          <w:i/>
        </w:rPr>
        <w:t>Abdullayev v. Turkmenistan</w:t>
      </w:r>
      <w:r>
        <w:t xml:space="preserve">, </w:t>
      </w:r>
      <w:r w:rsidRPr="0082419E">
        <w:t>para. 7.7</w:t>
      </w:r>
      <w:r w:rsidRPr="003E2AC2">
        <w:t>.</w:t>
      </w:r>
    </w:p>
  </w:footnote>
  <w:footnote w:id="11">
    <w:p w:rsidR="00087430" w:rsidRPr="003E2AC2" w:rsidRDefault="00087430">
      <w:pPr>
        <w:pStyle w:val="FootnoteText"/>
      </w:pPr>
      <w:r>
        <w:tab/>
      </w:r>
      <w:r w:rsidRPr="004F11FA">
        <w:rPr>
          <w:rStyle w:val="FootnoteReference"/>
        </w:rPr>
        <w:footnoteRef/>
      </w:r>
      <w:r>
        <w:tab/>
      </w:r>
      <w:r w:rsidRPr="003E2AC2">
        <w:t xml:space="preserve">See </w:t>
      </w:r>
      <w:r w:rsidRPr="009704F1">
        <w:rPr>
          <w:i/>
        </w:rPr>
        <w:t>Min-Kyu Jeong et al</w:t>
      </w:r>
      <w:r>
        <w:rPr>
          <w:i/>
        </w:rPr>
        <w:t>.</w:t>
      </w:r>
      <w:r w:rsidRPr="009704F1">
        <w:rPr>
          <w:i/>
        </w:rPr>
        <w:t xml:space="preserve"> v. </w:t>
      </w:r>
      <w:r>
        <w:rPr>
          <w:i/>
        </w:rPr>
        <w:t>t</w:t>
      </w:r>
      <w:r w:rsidRPr="009704F1">
        <w:rPr>
          <w:i/>
        </w:rPr>
        <w:t>he Republic of Korea</w:t>
      </w:r>
      <w:r w:rsidRPr="003E2AC2">
        <w:t xml:space="preserve">, para. 7.4; </w:t>
      </w:r>
      <w:r w:rsidRPr="009704F1">
        <w:rPr>
          <w:i/>
        </w:rPr>
        <w:t xml:space="preserve">Jong-nam Kim et al. v. </w:t>
      </w:r>
      <w:r>
        <w:rPr>
          <w:i/>
        </w:rPr>
        <w:t xml:space="preserve">the </w:t>
      </w:r>
      <w:r w:rsidRPr="009704F1">
        <w:rPr>
          <w:i/>
        </w:rPr>
        <w:t>Republic of Korea</w:t>
      </w:r>
      <w:r w:rsidRPr="003E2AC2">
        <w:t xml:space="preserve">, </w:t>
      </w:r>
      <w:r>
        <w:t xml:space="preserve">para. 7.5; </w:t>
      </w:r>
      <w:r w:rsidRPr="00E6370F">
        <w:rPr>
          <w:i/>
        </w:rPr>
        <w:t>Atasoy and Sarkut</w:t>
      </w:r>
      <w:r w:rsidRPr="00E6370F">
        <w:t>, para.</w:t>
      </w:r>
      <w:r>
        <w:t xml:space="preserve"> </w:t>
      </w:r>
      <w:r w:rsidRPr="00E6370F">
        <w:t>10.4</w:t>
      </w:r>
      <w:r>
        <w:t xml:space="preserve">; </w:t>
      </w:r>
      <w:r w:rsidRPr="009704F1">
        <w:rPr>
          <w:i/>
        </w:rPr>
        <w:t>Young-kwan Kim et al. v.</w:t>
      </w:r>
      <w:r w:rsidR="00487D2A">
        <w:rPr>
          <w:i/>
        </w:rPr>
        <w:t xml:space="preserve"> </w:t>
      </w:r>
      <w:r>
        <w:rPr>
          <w:i/>
        </w:rPr>
        <w:t xml:space="preserve">the </w:t>
      </w:r>
      <w:r w:rsidRPr="009704F1">
        <w:rPr>
          <w:i/>
        </w:rPr>
        <w:t>Republic of Korea</w:t>
      </w:r>
      <w:r w:rsidRPr="003E2AC2">
        <w:t>, para. 7.</w:t>
      </w:r>
      <w:r>
        <w:t xml:space="preserve">4; and </w:t>
      </w:r>
      <w:r w:rsidRPr="009704F1">
        <w:rPr>
          <w:i/>
        </w:rPr>
        <w:t>Abdullayev v. Turkmenistan</w:t>
      </w:r>
      <w:r>
        <w:t>, para. 7.8.</w:t>
      </w:r>
    </w:p>
  </w:footnote>
  <w:footnote w:id="12">
    <w:p w:rsidR="00087430" w:rsidRPr="009704F1" w:rsidRDefault="00087430">
      <w:pPr>
        <w:pStyle w:val="FootnoteText"/>
      </w:pPr>
      <w:r>
        <w:tab/>
      </w:r>
      <w:r>
        <w:rPr>
          <w:rStyle w:val="FootnoteReference"/>
        </w:rPr>
        <w:footnoteRef/>
      </w:r>
      <w:r>
        <w:tab/>
        <w:t>See C</w:t>
      </w:r>
      <w:r w:rsidRPr="00EB0708">
        <w:t>CPR/C/TKM/CO/1, para. 16.</w:t>
      </w:r>
    </w:p>
  </w:footnote>
  <w:footnote w:id="13">
    <w:p w:rsidR="00087430" w:rsidRPr="006F1C8B" w:rsidRDefault="00087430">
      <w:pPr>
        <w:pStyle w:val="FootnoteText"/>
        <w:rPr>
          <w:lang w:eastAsia="ja-JP"/>
        </w:rPr>
      </w:pPr>
      <w:r w:rsidRPr="005529A9">
        <w:tab/>
      </w:r>
      <w:r w:rsidRPr="006F1C8B">
        <w:rPr>
          <w:rStyle w:val="FootnoteReference"/>
        </w:rPr>
        <w:footnoteRef/>
      </w:r>
      <w:r w:rsidRPr="005529A9">
        <w:tab/>
      </w:r>
      <w:r>
        <w:rPr>
          <w:rFonts w:hint="eastAsia"/>
          <w:lang w:eastAsia="ja-JP"/>
        </w:rPr>
        <w:t xml:space="preserve">For </w:t>
      </w:r>
      <w:r w:rsidRPr="00E621A3">
        <w:t>details</w:t>
      </w:r>
      <w:r>
        <w:rPr>
          <w:rFonts w:hint="eastAsia"/>
          <w:lang w:eastAsia="ja-JP"/>
        </w:rPr>
        <w:t xml:space="preserve">, see </w:t>
      </w:r>
      <w:r w:rsidRPr="008842E7">
        <w:rPr>
          <w:lang w:eastAsia="ja-JP"/>
        </w:rPr>
        <w:t>communication</w:t>
      </w:r>
      <w:r>
        <w:rPr>
          <w:lang w:eastAsia="ja-JP"/>
        </w:rPr>
        <w:t>s</w:t>
      </w:r>
      <w:r w:rsidRPr="008842E7">
        <w:rPr>
          <w:lang w:eastAsia="ja-JP"/>
        </w:rPr>
        <w:t xml:space="preserve"> No. 2218/2012</w:t>
      </w:r>
      <w:r w:rsidR="00487D2A">
        <w:rPr>
          <w:lang w:eastAsia="ja-JP"/>
        </w:rPr>
        <w:t xml:space="preserve">, </w:t>
      </w:r>
      <w:r w:rsidRPr="005529A9">
        <w:rPr>
          <w:i/>
          <w:iCs/>
          <w:lang w:eastAsia="ja-JP"/>
        </w:rPr>
        <w:t>Abdullayev v. Turkmenistan</w:t>
      </w:r>
      <w:r w:rsidRPr="008842E7">
        <w:rPr>
          <w:lang w:eastAsia="ja-JP"/>
        </w:rPr>
        <w:t>, Views adopted on 25</w:t>
      </w:r>
      <w:r>
        <w:rPr>
          <w:lang w:eastAsia="ja-JP"/>
        </w:rPr>
        <w:t> </w:t>
      </w:r>
      <w:r w:rsidRPr="008842E7">
        <w:rPr>
          <w:lang w:eastAsia="ja-JP"/>
        </w:rPr>
        <w:t>March 2015</w:t>
      </w:r>
      <w:r>
        <w:rPr>
          <w:rFonts w:hint="eastAsia"/>
          <w:lang w:eastAsia="ja-JP"/>
        </w:rPr>
        <w:t xml:space="preserve"> (joint </w:t>
      </w:r>
      <w:r w:rsidRPr="006F1C8B">
        <w:t>individual opinion of Committee member</w:t>
      </w:r>
      <w:r>
        <w:rPr>
          <w:rFonts w:hint="eastAsia"/>
          <w:lang w:eastAsia="ja-JP"/>
        </w:rPr>
        <w:t>s</w:t>
      </w:r>
      <w:r w:rsidRPr="006F1C8B">
        <w:t xml:space="preserve"> </w:t>
      </w:r>
      <w:r>
        <w:rPr>
          <w:rFonts w:hint="eastAsia"/>
          <w:lang w:eastAsia="ja-JP"/>
        </w:rPr>
        <w:t xml:space="preserve">Yuji Iwasawa, Anja Seibert-Fohr, Yuval Shany and </w:t>
      </w:r>
      <w:r w:rsidRPr="006F1C8B">
        <w:t>Konstantine Vardzelashvili</w:t>
      </w:r>
      <w:r>
        <w:rPr>
          <w:rFonts w:hint="eastAsia"/>
          <w:lang w:eastAsia="ja-JP"/>
        </w:rPr>
        <w:t>),</w:t>
      </w:r>
      <w:r>
        <w:t xml:space="preserve"> with reference to </w:t>
      </w:r>
      <w:r w:rsidRPr="006F1C8B">
        <w:t>communication No. 1853</w:t>
      </w:r>
      <w:r>
        <w:t>/2008 and</w:t>
      </w:r>
      <w:r w:rsidR="00487D2A">
        <w:t xml:space="preserve"> </w:t>
      </w:r>
      <w:r w:rsidR="001404DF">
        <w:t xml:space="preserve">No. </w:t>
      </w:r>
      <w:r w:rsidRPr="006F1C8B">
        <w:t xml:space="preserve">1854/2008, </w:t>
      </w:r>
      <w:r w:rsidR="00487D2A">
        <w:t xml:space="preserve"> </w:t>
      </w:r>
      <w:r w:rsidRPr="006F1C8B">
        <w:rPr>
          <w:i/>
        </w:rPr>
        <w:t xml:space="preserve">Atasoy and Sarkut </w:t>
      </w:r>
      <w:r w:rsidRPr="005529A9">
        <w:rPr>
          <w:i/>
        </w:rPr>
        <w:t>v.</w:t>
      </w:r>
      <w:r w:rsidRPr="006F1C8B">
        <w:rPr>
          <w:i/>
        </w:rPr>
        <w:t xml:space="preserve"> Turkey</w:t>
      </w:r>
      <w:r w:rsidRPr="006F1C8B">
        <w:t xml:space="preserve">, Views adopted on 29 March 2012 (individual opinion of Committee member Gerald L. Neuman, jointly with members Yuji Iwasawa, Michael O’Flaherty and Walter Kälin); </w:t>
      </w:r>
      <w:r w:rsidR="00487D2A">
        <w:t xml:space="preserve"> and </w:t>
      </w:r>
      <w:r w:rsidRPr="006F1C8B">
        <w:t xml:space="preserve">No. 1786/2008, </w:t>
      </w:r>
      <w:r w:rsidRPr="006F1C8B">
        <w:rPr>
          <w:i/>
        </w:rPr>
        <w:t xml:space="preserve">Kim et al. </w:t>
      </w:r>
      <w:r w:rsidRPr="005529A9">
        <w:rPr>
          <w:i/>
        </w:rPr>
        <w:t>v.</w:t>
      </w:r>
      <w:r w:rsidRPr="006F1C8B">
        <w:rPr>
          <w:i/>
        </w:rPr>
        <w:t xml:space="preserve"> the Republic of Korea</w:t>
      </w:r>
      <w:r w:rsidRPr="006F1C8B">
        <w:t>, Views adopted on 25 October 2012 (individual opinions of Committee member Walter Kälin and Committee members Gerald L. Neuman</w:t>
      </w:r>
      <w:r>
        <w:t xml:space="preserve"> and Yuji Iwasawa</w:t>
      </w:r>
      <w:r w:rsidRPr="006F1C8B">
        <w:t>)</w:t>
      </w:r>
      <w:r>
        <w:rPr>
          <w:rFonts w:hint="eastAsia"/>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30" w:rsidRPr="00FA222B" w:rsidRDefault="00087430">
    <w:pPr>
      <w:pStyle w:val="Header"/>
    </w:pPr>
    <w:r>
      <w:t>CCPR/C/115/D/2223/2012</w:t>
    </w:r>
    <w:r w:rsidRPr="001B0D1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30" w:rsidRPr="00FA222B" w:rsidRDefault="00087430" w:rsidP="00FA222B">
    <w:pPr>
      <w:pStyle w:val="Header"/>
      <w:jc w:val="right"/>
    </w:pPr>
    <w:r>
      <w:t>CCPR/C/115/D/2223/2012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2B"/>
    <w:rsid w:val="00000BDC"/>
    <w:rsid w:val="000272B3"/>
    <w:rsid w:val="0003164D"/>
    <w:rsid w:val="0004463C"/>
    <w:rsid w:val="00044E50"/>
    <w:rsid w:val="00050F6B"/>
    <w:rsid w:val="00057E97"/>
    <w:rsid w:val="00060C3A"/>
    <w:rsid w:val="00072C8C"/>
    <w:rsid w:val="00072F8F"/>
    <w:rsid w:val="000733B5"/>
    <w:rsid w:val="00081815"/>
    <w:rsid w:val="00086FC0"/>
    <w:rsid w:val="00087430"/>
    <w:rsid w:val="000931C0"/>
    <w:rsid w:val="00094460"/>
    <w:rsid w:val="000B175B"/>
    <w:rsid w:val="000B3A0F"/>
    <w:rsid w:val="000B4EF7"/>
    <w:rsid w:val="000C2C03"/>
    <w:rsid w:val="000C2D2E"/>
    <w:rsid w:val="000C64EA"/>
    <w:rsid w:val="000D29A8"/>
    <w:rsid w:val="000D531D"/>
    <w:rsid w:val="000E0415"/>
    <w:rsid w:val="001103AA"/>
    <w:rsid w:val="00134BB8"/>
    <w:rsid w:val="001404DF"/>
    <w:rsid w:val="00140F53"/>
    <w:rsid w:val="0014562C"/>
    <w:rsid w:val="00165F3A"/>
    <w:rsid w:val="001764A6"/>
    <w:rsid w:val="00183968"/>
    <w:rsid w:val="00196930"/>
    <w:rsid w:val="0019719C"/>
    <w:rsid w:val="001A2410"/>
    <w:rsid w:val="001A6686"/>
    <w:rsid w:val="001B0D13"/>
    <w:rsid w:val="001B4494"/>
    <w:rsid w:val="001B4B04"/>
    <w:rsid w:val="001C2AC3"/>
    <w:rsid w:val="001C6663"/>
    <w:rsid w:val="001C66AA"/>
    <w:rsid w:val="001C6BDA"/>
    <w:rsid w:val="001C7895"/>
    <w:rsid w:val="001D0C8C"/>
    <w:rsid w:val="001D26DF"/>
    <w:rsid w:val="001D3A03"/>
    <w:rsid w:val="001F4300"/>
    <w:rsid w:val="00202DA8"/>
    <w:rsid w:val="00207537"/>
    <w:rsid w:val="00211E0B"/>
    <w:rsid w:val="00221D03"/>
    <w:rsid w:val="00227EB3"/>
    <w:rsid w:val="0023210C"/>
    <w:rsid w:val="00232DAC"/>
    <w:rsid w:val="00255638"/>
    <w:rsid w:val="002624DC"/>
    <w:rsid w:val="00267F5F"/>
    <w:rsid w:val="00270EDF"/>
    <w:rsid w:val="00286B4D"/>
    <w:rsid w:val="002D523B"/>
    <w:rsid w:val="002F175C"/>
    <w:rsid w:val="002F5110"/>
    <w:rsid w:val="003229D8"/>
    <w:rsid w:val="003230B6"/>
    <w:rsid w:val="00325B60"/>
    <w:rsid w:val="00336699"/>
    <w:rsid w:val="00344BC8"/>
    <w:rsid w:val="00352709"/>
    <w:rsid w:val="00367567"/>
    <w:rsid w:val="00371178"/>
    <w:rsid w:val="0037603A"/>
    <w:rsid w:val="0038336C"/>
    <w:rsid w:val="00390415"/>
    <w:rsid w:val="003A3FD5"/>
    <w:rsid w:val="003A6810"/>
    <w:rsid w:val="003C0BF6"/>
    <w:rsid w:val="003C2CC4"/>
    <w:rsid w:val="003C6761"/>
    <w:rsid w:val="003D4B23"/>
    <w:rsid w:val="003F3B71"/>
    <w:rsid w:val="004067C6"/>
    <w:rsid w:val="00410C89"/>
    <w:rsid w:val="00426B9B"/>
    <w:rsid w:val="004325CB"/>
    <w:rsid w:val="00433C73"/>
    <w:rsid w:val="00436B33"/>
    <w:rsid w:val="00442A83"/>
    <w:rsid w:val="0044385A"/>
    <w:rsid w:val="00445F35"/>
    <w:rsid w:val="0045495B"/>
    <w:rsid w:val="004621E7"/>
    <w:rsid w:val="00487488"/>
    <w:rsid w:val="00487D2A"/>
    <w:rsid w:val="00491775"/>
    <w:rsid w:val="004B1640"/>
    <w:rsid w:val="004C100D"/>
    <w:rsid w:val="005103E1"/>
    <w:rsid w:val="0051315A"/>
    <w:rsid w:val="005148E1"/>
    <w:rsid w:val="0052136D"/>
    <w:rsid w:val="0052775E"/>
    <w:rsid w:val="005420F2"/>
    <w:rsid w:val="00547A18"/>
    <w:rsid w:val="005529A9"/>
    <w:rsid w:val="00560AA1"/>
    <w:rsid w:val="005628B6"/>
    <w:rsid w:val="005848B3"/>
    <w:rsid w:val="00590F87"/>
    <w:rsid w:val="00592C4A"/>
    <w:rsid w:val="005B3DB3"/>
    <w:rsid w:val="005D4839"/>
    <w:rsid w:val="005D6FA0"/>
    <w:rsid w:val="005E2520"/>
    <w:rsid w:val="005E3B4A"/>
    <w:rsid w:val="005F7717"/>
    <w:rsid w:val="005F7B75"/>
    <w:rsid w:val="006001EE"/>
    <w:rsid w:val="00605042"/>
    <w:rsid w:val="006061E7"/>
    <w:rsid w:val="00611FC4"/>
    <w:rsid w:val="006176FB"/>
    <w:rsid w:val="00622471"/>
    <w:rsid w:val="00636CCF"/>
    <w:rsid w:val="00640B26"/>
    <w:rsid w:val="00652D0A"/>
    <w:rsid w:val="00656D98"/>
    <w:rsid w:val="00662BB6"/>
    <w:rsid w:val="00667C48"/>
    <w:rsid w:val="0067314F"/>
    <w:rsid w:val="00684C21"/>
    <w:rsid w:val="006D0D74"/>
    <w:rsid w:val="006D37AF"/>
    <w:rsid w:val="006D50D7"/>
    <w:rsid w:val="006D51D0"/>
    <w:rsid w:val="006D77C7"/>
    <w:rsid w:val="006E564B"/>
    <w:rsid w:val="006E60F9"/>
    <w:rsid w:val="006E7191"/>
    <w:rsid w:val="00703577"/>
    <w:rsid w:val="00710FB3"/>
    <w:rsid w:val="0071489C"/>
    <w:rsid w:val="0071562B"/>
    <w:rsid w:val="0072632A"/>
    <w:rsid w:val="007327D5"/>
    <w:rsid w:val="007629C8"/>
    <w:rsid w:val="007727EE"/>
    <w:rsid w:val="00773395"/>
    <w:rsid w:val="00781317"/>
    <w:rsid w:val="00783093"/>
    <w:rsid w:val="00795E2E"/>
    <w:rsid w:val="0079683A"/>
    <w:rsid w:val="007B6BA5"/>
    <w:rsid w:val="007B7A95"/>
    <w:rsid w:val="007C3390"/>
    <w:rsid w:val="007C4F4B"/>
    <w:rsid w:val="007C784F"/>
    <w:rsid w:val="007E0B2D"/>
    <w:rsid w:val="007E55BE"/>
    <w:rsid w:val="007E7A2F"/>
    <w:rsid w:val="007E7B6E"/>
    <w:rsid w:val="007F6611"/>
    <w:rsid w:val="008105B8"/>
    <w:rsid w:val="00816B0A"/>
    <w:rsid w:val="0082419E"/>
    <w:rsid w:val="008242D7"/>
    <w:rsid w:val="008257B1"/>
    <w:rsid w:val="00840A35"/>
    <w:rsid w:val="00842E8E"/>
    <w:rsid w:val="00843767"/>
    <w:rsid w:val="00847C14"/>
    <w:rsid w:val="00851837"/>
    <w:rsid w:val="00864603"/>
    <w:rsid w:val="008679D9"/>
    <w:rsid w:val="0087420B"/>
    <w:rsid w:val="00875BEF"/>
    <w:rsid w:val="008932A9"/>
    <w:rsid w:val="008979B1"/>
    <w:rsid w:val="008A1DB2"/>
    <w:rsid w:val="008A6B25"/>
    <w:rsid w:val="008A6C4F"/>
    <w:rsid w:val="008A775F"/>
    <w:rsid w:val="008B2335"/>
    <w:rsid w:val="008E0678"/>
    <w:rsid w:val="008E1C81"/>
    <w:rsid w:val="008F4DB3"/>
    <w:rsid w:val="009032F1"/>
    <w:rsid w:val="00910F40"/>
    <w:rsid w:val="00912C08"/>
    <w:rsid w:val="009223CA"/>
    <w:rsid w:val="009255E3"/>
    <w:rsid w:val="009301B3"/>
    <w:rsid w:val="00930391"/>
    <w:rsid w:val="00940F93"/>
    <w:rsid w:val="00942DED"/>
    <w:rsid w:val="0095347F"/>
    <w:rsid w:val="009704F1"/>
    <w:rsid w:val="0097148F"/>
    <w:rsid w:val="009760F3"/>
    <w:rsid w:val="00980F52"/>
    <w:rsid w:val="009856B6"/>
    <w:rsid w:val="009909F5"/>
    <w:rsid w:val="00993D57"/>
    <w:rsid w:val="009A0E8D"/>
    <w:rsid w:val="009B26E7"/>
    <w:rsid w:val="009B5EBA"/>
    <w:rsid w:val="009E4C3D"/>
    <w:rsid w:val="00A00A3F"/>
    <w:rsid w:val="00A01489"/>
    <w:rsid w:val="00A338F1"/>
    <w:rsid w:val="00A43858"/>
    <w:rsid w:val="00A44615"/>
    <w:rsid w:val="00A72F22"/>
    <w:rsid w:val="00A7360F"/>
    <w:rsid w:val="00A748A6"/>
    <w:rsid w:val="00A769F4"/>
    <w:rsid w:val="00A776B4"/>
    <w:rsid w:val="00A94361"/>
    <w:rsid w:val="00AA293C"/>
    <w:rsid w:val="00AB70D0"/>
    <w:rsid w:val="00AE30FA"/>
    <w:rsid w:val="00AF5B21"/>
    <w:rsid w:val="00B1129E"/>
    <w:rsid w:val="00B13E9B"/>
    <w:rsid w:val="00B23FA2"/>
    <w:rsid w:val="00B30179"/>
    <w:rsid w:val="00B339A7"/>
    <w:rsid w:val="00B35456"/>
    <w:rsid w:val="00B53A8D"/>
    <w:rsid w:val="00B56E4A"/>
    <w:rsid w:val="00B56E9C"/>
    <w:rsid w:val="00B64B1F"/>
    <w:rsid w:val="00B6553F"/>
    <w:rsid w:val="00B66E5E"/>
    <w:rsid w:val="00B70EE8"/>
    <w:rsid w:val="00B71087"/>
    <w:rsid w:val="00B72B69"/>
    <w:rsid w:val="00B77D05"/>
    <w:rsid w:val="00B81206"/>
    <w:rsid w:val="00B81E12"/>
    <w:rsid w:val="00B9067B"/>
    <w:rsid w:val="00B921A4"/>
    <w:rsid w:val="00BC2C23"/>
    <w:rsid w:val="00BC74E9"/>
    <w:rsid w:val="00BD7610"/>
    <w:rsid w:val="00BE6986"/>
    <w:rsid w:val="00BF68A8"/>
    <w:rsid w:val="00BF7C82"/>
    <w:rsid w:val="00C11A03"/>
    <w:rsid w:val="00C1282A"/>
    <w:rsid w:val="00C463DD"/>
    <w:rsid w:val="00C4724C"/>
    <w:rsid w:val="00C51AA5"/>
    <w:rsid w:val="00C524BC"/>
    <w:rsid w:val="00C5609D"/>
    <w:rsid w:val="00C629A0"/>
    <w:rsid w:val="00C67077"/>
    <w:rsid w:val="00C67C01"/>
    <w:rsid w:val="00C745C3"/>
    <w:rsid w:val="00C9018D"/>
    <w:rsid w:val="00C905D2"/>
    <w:rsid w:val="00CA1A12"/>
    <w:rsid w:val="00CA51AF"/>
    <w:rsid w:val="00CA5B98"/>
    <w:rsid w:val="00CB2319"/>
    <w:rsid w:val="00CC3A3D"/>
    <w:rsid w:val="00CD0816"/>
    <w:rsid w:val="00CE4A8F"/>
    <w:rsid w:val="00D04AC9"/>
    <w:rsid w:val="00D1390F"/>
    <w:rsid w:val="00D2030A"/>
    <w:rsid w:val="00D2031B"/>
    <w:rsid w:val="00D25FE2"/>
    <w:rsid w:val="00D27450"/>
    <w:rsid w:val="00D37A2C"/>
    <w:rsid w:val="00D41DF7"/>
    <w:rsid w:val="00D43252"/>
    <w:rsid w:val="00D47EEA"/>
    <w:rsid w:val="00D6201F"/>
    <w:rsid w:val="00D95303"/>
    <w:rsid w:val="00D978C6"/>
    <w:rsid w:val="00DA3111"/>
    <w:rsid w:val="00DA3C1C"/>
    <w:rsid w:val="00DB0C79"/>
    <w:rsid w:val="00DB3AA0"/>
    <w:rsid w:val="00DC7202"/>
    <w:rsid w:val="00DD18BD"/>
    <w:rsid w:val="00DE7229"/>
    <w:rsid w:val="00DE7468"/>
    <w:rsid w:val="00E27346"/>
    <w:rsid w:val="00E346F5"/>
    <w:rsid w:val="00E42C52"/>
    <w:rsid w:val="00E6370F"/>
    <w:rsid w:val="00E71BC8"/>
    <w:rsid w:val="00E7260F"/>
    <w:rsid w:val="00E779FC"/>
    <w:rsid w:val="00E947F9"/>
    <w:rsid w:val="00E96630"/>
    <w:rsid w:val="00EA3EE3"/>
    <w:rsid w:val="00EB2581"/>
    <w:rsid w:val="00ED7A2A"/>
    <w:rsid w:val="00EF1D7F"/>
    <w:rsid w:val="00EF4ADD"/>
    <w:rsid w:val="00F11A94"/>
    <w:rsid w:val="00F13E91"/>
    <w:rsid w:val="00F20C3D"/>
    <w:rsid w:val="00F43E9E"/>
    <w:rsid w:val="00F8123D"/>
    <w:rsid w:val="00F837FF"/>
    <w:rsid w:val="00F9057C"/>
    <w:rsid w:val="00F906D7"/>
    <w:rsid w:val="00F93781"/>
    <w:rsid w:val="00FA14DE"/>
    <w:rsid w:val="00FA222B"/>
    <w:rsid w:val="00FB1669"/>
    <w:rsid w:val="00FB613B"/>
    <w:rsid w:val="00FC68B7"/>
    <w:rsid w:val="00FD10BA"/>
    <w:rsid w:val="00FD1F65"/>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CB231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CB231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FA222B"/>
    <w:rPr>
      <w:rFonts w:eastAsia="SimSun"/>
      <w:sz w:val="18"/>
      <w:lang w:val="en-US" w:eastAsia="zh-CN"/>
    </w:rPr>
  </w:style>
  <w:style w:type="character" w:customStyle="1" w:styleId="SingleTxtGChar">
    <w:name w:val="_ Single Txt_G Char"/>
    <w:link w:val="SingleTxtG"/>
    <w:rsid w:val="00FA222B"/>
    <w:rPr>
      <w:lang w:eastAsia="en-US"/>
    </w:rPr>
  </w:style>
  <w:style w:type="paragraph" w:styleId="BalloonText">
    <w:name w:val="Balloon Text"/>
    <w:basedOn w:val="Normal"/>
    <w:link w:val="BalloonTextChar"/>
    <w:rsid w:val="002D523B"/>
    <w:pPr>
      <w:spacing w:line="240" w:lineRule="auto"/>
    </w:pPr>
    <w:rPr>
      <w:rFonts w:ascii="Tahoma" w:hAnsi="Tahoma" w:cs="Tahoma"/>
      <w:sz w:val="16"/>
      <w:szCs w:val="16"/>
    </w:rPr>
  </w:style>
  <w:style w:type="character" w:customStyle="1" w:styleId="BalloonTextChar">
    <w:name w:val="Balloon Text Char"/>
    <w:link w:val="BalloonText"/>
    <w:rsid w:val="002D523B"/>
    <w:rPr>
      <w:rFonts w:ascii="Tahoma" w:hAnsi="Tahoma" w:cs="Tahoma"/>
      <w:sz w:val="16"/>
      <w:szCs w:val="16"/>
      <w:lang w:eastAsia="en-US"/>
    </w:rPr>
  </w:style>
  <w:style w:type="character" w:styleId="CommentReference">
    <w:name w:val="annotation reference"/>
    <w:rsid w:val="00491775"/>
    <w:rPr>
      <w:sz w:val="16"/>
      <w:szCs w:val="16"/>
    </w:rPr>
  </w:style>
  <w:style w:type="paragraph" w:styleId="CommentText">
    <w:name w:val="annotation text"/>
    <w:basedOn w:val="Normal"/>
    <w:link w:val="CommentTextChar"/>
    <w:rsid w:val="00491775"/>
  </w:style>
  <w:style w:type="character" w:customStyle="1" w:styleId="CommentTextChar">
    <w:name w:val="Comment Text Char"/>
    <w:link w:val="CommentText"/>
    <w:rsid w:val="00491775"/>
    <w:rPr>
      <w:lang w:eastAsia="en-US"/>
    </w:rPr>
  </w:style>
  <w:style w:type="paragraph" w:styleId="CommentSubject">
    <w:name w:val="annotation subject"/>
    <w:basedOn w:val="CommentText"/>
    <w:next w:val="CommentText"/>
    <w:link w:val="CommentSubjectChar"/>
    <w:rsid w:val="00491775"/>
    <w:rPr>
      <w:b/>
      <w:bCs/>
    </w:rPr>
  </w:style>
  <w:style w:type="character" w:customStyle="1" w:styleId="CommentSubjectChar">
    <w:name w:val="Comment Subject Char"/>
    <w:link w:val="CommentSubject"/>
    <w:rsid w:val="0049177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CB231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CB231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FA222B"/>
    <w:rPr>
      <w:rFonts w:eastAsia="SimSun"/>
      <w:sz w:val="18"/>
      <w:lang w:val="en-US" w:eastAsia="zh-CN"/>
    </w:rPr>
  </w:style>
  <w:style w:type="character" w:customStyle="1" w:styleId="SingleTxtGChar">
    <w:name w:val="_ Single Txt_G Char"/>
    <w:link w:val="SingleTxtG"/>
    <w:rsid w:val="00FA222B"/>
    <w:rPr>
      <w:lang w:eastAsia="en-US"/>
    </w:rPr>
  </w:style>
  <w:style w:type="paragraph" w:styleId="BalloonText">
    <w:name w:val="Balloon Text"/>
    <w:basedOn w:val="Normal"/>
    <w:link w:val="BalloonTextChar"/>
    <w:rsid w:val="002D523B"/>
    <w:pPr>
      <w:spacing w:line="240" w:lineRule="auto"/>
    </w:pPr>
    <w:rPr>
      <w:rFonts w:ascii="Tahoma" w:hAnsi="Tahoma" w:cs="Tahoma"/>
      <w:sz w:val="16"/>
      <w:szCs w:val="16"/>
    </w:rPr>
  </w:style>
  <w:style w:type="character" w:customStyle="1" w:styleId="BalloonTextChar">
    <w:name w:val="Balloon Text Char"/>
    <w:link w:val="BalloonText"/>
    <w:rsid w:val="002D523B"/>
    <w:rPr>
      <w:rFonts w:ascii="Tahoma" w:hAnsi="Tahoma" w:cs="Tahoma"/>
      <w:sz w:val="16"/>
      <w:szCs w:val="16"/>
      <w:lang w:eastAsia="en-US"/>
    </w:rPr>
  </w:style>
  <w:style w:type="character" w:styleId="CommentReference">
    <w:name w:val="annotation reference"/>
    <w:rsid w:val="00491775"/>
    <w:rPr>
      <w:sz w:val="16"/>
      <w:szCs w:val="16"/>
    </w:rPr>
  </w:style>
  <w:style w:type="paragraph" w:styleId="CommentText">
    <w:name w:val="annotation text"/>
    <w:basedOn w:val="Normal"/>
    <w:link w:val="CommentTextChar"/>
    <w:rsid w:val="00491775"/>
  </w:style>
  <w:style w:type="character" w:customStyle="1" w:styleId="CommentTextChar">
    <w:name w:val="Comment Text Char"/>
    <w:link w:val="CommentText"/>
    <w:rsid w:val="00491775"/>
    <w:rPr>
      <w:lang w:eastAsia="en-US"/>
    </w:rPr>
  </w:style>
  <w:style w:type="paragraph" w:styleId="CommentSubject">
    <w:name w:val="annotation subject"/>
    <w:basedOn w:val="CommentText"/>
    <w:next w:val="CommentText"/>
    <w:link w:val="CommentSubjectChar"/>
    <w:rsid w:val="00491775"/>
    <w:rPr>
      <w:b/>
      <w:bCs/>
    </w:rPr>
  </w:style>
  <w:style w:type="character" w:customStyle="1" w:styleId="CommentSubjectChar">
    <w:name w:val="Comment Subject Char"/>
    <w:link w:val="CommentSubject"/>
    <w:rsid w:val="004917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DC2B10BE57D48A4924B8DFA32C76F" ma:contentTypeVersion="0" ma:contentTypeDescription="Create a new document." ma:contentTypeScope="" ma:versionID="f7d75df24e2811a4c55f6ad60dc4ca7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6C5B-949C-497E-8399-4D32B62F2AA0}">
  <ds:schemaRef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0DEA6AF-E7A5-4EA1-9AC8-389C8FA02F26}">
  <ds:schemaRefs>
    <ds:schemaRef ds:uri="http://schemas.microsoft.com/sharepoint/v3/contenttype/forms"/>
  </ds:schemaRefs>
</ds:datastoreItem>
</file>

<file path=customXml/itemProps3.xml><?xml version="1.0" encoding="utf-8"?>
<ds:datastoreItem xmlns:ds="http://schemas.openxmlformats.org/officeDocument/2006/customXml" ds:itemID="{18673D47-33D0-452E-90E4-E71C6DD73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89A122-552D-4F24-B7C1-9B43BD0E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8</Pages>
  <Words>2670</Words>
  <Characters>15219</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pdfeng</cp:lastModifiedBy>
  <cp:revision>3</cp:revision>
  <cp:lastPrinted>2015-12-17T14:37:00Z</cp:lastPrinted>
  <dcterms:created xsi:type="dcterms:W3CDTF">2015-12-17T14:37:00Z</dcterms:created>
  <dcterms:modified xsi:type="dcterms:W3CDTF">2015-12-17T14:37:00Z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0x01010085FDC2B10BE57D48A4924B8DFA32C76F</vt:lpwstr>
  </property>
</Properties>
</file>