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0460B0F1" w14:textId="77777777" w:rsidTr="00E6618E">
        <w:trPr>
          <w:trHeight w:hRule="exact" w:val="851"/>
        </w:trPr>
        <w:tc>
          <w:tcPr>
            <w:tcW w:w="1276" w:type="dxa"/>
            <w:tcBorders>
              <w:bottom w:val="single" w:sz="4" w:space="0" w:color="auto"/>
            </w:tcBorders>
          </w:tcPr>
          <w:p w14:paraId="300F30EB" w14:textId="77777777" w:rsidR="00A12E20" w:rsidRPr="00DB58B5" w:rsidRDefault="00A12E20" w:rsidP="0047283B"/>
        </w:tc>
        <w:tc>
          <w:tcPr>
            <w:tcW w:w="2268" w:type="dxa"/>
            <w:tcBorders>
              <w:bottom w:val="single" w:sz="4" w:space="0" w:color="auto"/>
            </w:tcBorders>
            <w:vAlign w:val="bottom"/>
          </w:tcPr>
          <w:p w14:paraId="51D4730C"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E4E7EBB" w14:textId="77777777" w:rsidR="00A12E20" w:rsidRPr="00DB58B5" w:rsidRDefault="0047283B" w:rsidP="008C1CAE">
            <w:pPr>
              <w:jc w:val="right"/>
            </w:pPr>
            <w:r w:rsidRPr="0047283B">
              <w:rPr>
                <w:sz w:val="40"/>
              </w:rPr>
              <w:t>CCPR</w:t>
            </w:r>
            <w:r>
              <w:t>/C/</w:t>
            </w:r>
            <w:r w:rsidR="005F0529">
              <w:t>MRT/Q/</w:t>
            </w:r>
            <w:r w:rsidR="002654F6">
              <w:t>2</w:t>
            </w:r>
            <w:r w:rsidR="008C1CAE">
              <w:t xml:space="preserve"> </w:t>
            </w:r>
          </w:p>
        </w:tc>
      </w:tr>
      <w:tr w:rsidR="00A12E20" w:rsidRPr="00DB58B5" w14:paraId="049F9592" w14:textId="77777777" w:rsidTr="00E6618E">
        <w:trPr>
          <w:trHeight w:hRule="exact" w:val="2835"/>
        </w:trPr>
        <w:tc>
          <w:tcPr>
            <w:tcW w:w="1276" w:type="dxa"/>
            <w:tcBorders>
              <w:top w:val="single" w:sz="4" w:space="0" w:color="auto"/>
              <w:bottom w:val="single" w:sz="12" w:space="0" w:color="auto"/>
            </w:tcBorders>
          </w:tcPr>
          <w:p w14:paraId="0C70BB56" w14:textId="77777777" w:rsidR="00A12E20" w:rsidRPr="00DB58B5" w:rsidRDefault="00A12E20" w:rsidP="00E6618E">
            <w:pPr>
              <w:spacing w:before="120"/>
              <w:jc w:val="center"/>
            </w:pPr>
            <w:r>
              <w:rPr>
                <w:noProof/>
                <w:lang w:eastAsia="fr-CH"/>
              </w:rPr>
              <w:drawing>
                <wp:inline distT="0" distB="0" distL="0" distR="0" wp14:anchorId="033E2C59" wp14:editId="03380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CF850B" w14:textId="77777777" w:rsidR="00A12E20" w:rsidRPr="00E54C23" w:rsidRDefault="000D6C50" w:rsidP="00E6618E">
            <w:pPr>
              <w:spacing w:before="120" w:line="420" w:lineRule="exact"/>
              <w:rPr>
                <w:b/>
                <w:sz w:val="40"/>
                <w:szCs w:val="40"/>
                <w:highlight w:val="green"/>
              </w:rPr>
            </w:pPr>
            <w:r w:rsidRPr="00E54C23">
              <w:rPr>
                <w:b/>
                <w:sz w:val="34"/>
                <w:szCs w:val="34"/>
              </w:rPr>
              <w:t>Pacte international relatif</w:t>
            </w:r>
            <w:r w:rsidRPr="00E54C23">
              <w:rPr>
                <w:b/>
                <w:sz w:val="34"/>
                <w:szCs w:val="34"/>
              </w:rPr>
              <w:br/>
              <w:t>aux droits civils et politiques</w:t>
            </w:r>
          </w:p>
        </w:tc>
        <w:tc>
          <w:tcPr>
            <w:tcW w:w="2835" w:type="dxa"/>
            <w:tcBorders>
              <w:top w:val="single" w:sz="4" w:space="0" w:color="auto"/>
              <w:bottom w:val="single" w:sz="12" w:space="0" w:color="auto"/>
            </w:tcBorders>
          </w:tcPr>
          <w:p w14:paraId="432FD6AE" w14:textId="77777777" w:rsidR="00263EA9" w:rsidRDefault="00263EA9" w:rsidP="00263EA9">
            <w:pPr>
              <w:spacing w:before="240"/>
            </w:pPr>
            <w:proofErr w:type="spellStart"/>
            <w:r>
              <w:t>Distr</w:t>
            </w:r>
            <w:proofErr w:type="spellEnd"/>
            <w:r>
              <w:t>.</w:t>
            </w:r>
            <w:r w:rsidR="005F0529">
              <w:t xml:space="preserve"> générale</w:t>
            </w:r>
          </w:p>
          <w:p w14:paraId="1D4BA954" w14:textId="6FEC7E37" w:rsidR="00263EA9" w:rsidRDefault="002D24D7" w:rsidP="00263EA9">
            <w:pPr>
              <w:spacing w:line="240" w:lineRule="exact"/>
            </w:pPr>
            <w:r>
              <w:t>5</w:t>
            </w:r>
            <w:r w:rsidR="00693E3B">
              <w:t xml:space="preserve"> février 2019</w:t>
            </w:r>
          </w:p>
          <w:p w14:paraId="7AABC65E" w14:textId="77777777" w:rsidR="00263EA9" w:rsidRDefault="00263EA9" w:rsidP="00263EA9">
            <w:pPr>
              <w:spacing w:line="240" w:lineRule="exact"/>
            </w:pPr>
          </w:p>
          <w:p w14:paraId="2AE5EF99" w14:textId="5EB3047B" w:rsidR="005F0529" w:rsidRDefault="005F0529" w:rsidP="00263EA9">
            <w:pPr>
              <w:spacing w:line="240" w:lineRule="exact"/>
            </w:pPr>
            <w:r>
              <w:t xml:space="preserve">Original : </w:t>
            </w:r>
            <w:r w:rsidR="00B63FBC">
              <w:t>f</w:t>
            </w:r>
            <w:r w:rsidR="00263EA9">
              <w:t>rançais</w:t>
            </w:r>
          </w:p>
          <w:p w14:paraId="52258657" w14:textId="77777777" w:rsidR="0047283B" w:rsidRPr="00DB58B5" w:rsidRDefault="005F0529" w:rsidP="005F0529">
            <w:pPr>
              <w:spacing w:line="240" w:lineRule="exact"/>
            </w:pPr>
            <w:r>
              <w:t>Anglais, espagnol et français seulement</w:t>
            </w:r>
            <w:r w:rsidR="002654F6">
              <w:t xml:space="preserve"> </w:t>
            </w:r>
          </w:p>
        </w:tc>
      </w:tr>
    </w:tbl>
    <w:p w14:paraId="7939ACF8" w14:textId="77777777" w:rsidR="00D45432" w:rsidRDefault="002654F6" w:rsidP="00D45432">
      <w:pPr>
        <w:spacing w:before="120"/>
        <w:rPr>
          <w:b/>
          <w:sz w:val="24"/>
          <w:szCs w:val="24"/>
        </w:rPr>
      </w:pPr>
      <w:r>
        <w:rPr>
          <w:b/>
          <w:sz w:val="24"/>
          <w:szCs w:val="24"/>
        </w:rPr>
        <w:t>Comité des droits de l’homme</w:t>
      </w:r>
    </w:p>
    <w:p w14:paraId="34ADA95E" w14:textId="77777777" w:rsidR="0006221B" w:rsidRDefault="0006221B" w:rsidP="009C467A">
      <w:pPr>
        <w:pStyle w:val="HChG"/>
        <w:rPr>
          <w:b w:val="0"/>
          <w:sz w:val="20"/>
        </w:rPr>
      </w:pPr>
      <w:r>
        <w:tab/>
      </w:r>
      <w:r>
        <w:tab/>
      </w:r>
      <w:bookmarkStart w:id="0" w:name="_Hlk536456375"/>
      <w:r>
        <w:t>Liste de points concernant</w:t>
      </w:r>
      <w:r w:rsidRPr="00F41E68">
        <w:t xml:space="preserve"> </w:t>
      </w:r>
      <w:r>
        <w:t xml:space="preserve">le </w:t>
      </w:r>
      <w:r w:rsidR="008C1CAE">
        <w:t>deuxième</w:t>
      </w:r>
      <w:r>
        <w:t xml:space="preserve"> </w:t>
      </w:r>
      <w:r w:rsidRPr="00F41E68">
        <w:t xml:space="preserve">rapport périodique </w:t>
      </w:r>
      <w:r w:rsidR="005F0529">
        <w:br/>
      </w:r>
      <w:r w:rsidRPr="00F41E68">
        <w:t xml:space="preserve">de la </w:t>
      </w:r>
      <w:r w:rsidR="008C1CAE">
        <w:t>Mauritanie</w:t>
      </w:r>
      <w:bookmarkEnd w:id="0"/>
      <w:r w:rsidR="005F0529" w:rsidRPr="00C51CB9">
        <w:rPr>
          <w:b w:val="0"/>
          <w:sz w:val="20"/>
        </w:rPr>
        <w:footnoteReference w:customMarkFollows="1" w:id="2"/>
        <w:t>*</w:t>
      </w:r>
    </w:p>
    <w:p w14:paraId="05475DFC" w14:textId="77777777" w:rsidR="0006221B" w:rsidRPr="00F41E68" w:rsidRDefault="0006221B" w:rsidP="00D172AB">
      <w:pPr>
        <w:pStyle w:val="H1G"/>
      </w:pPr>
      <w:r w:rsidRPr="00F41E68">
        <w:tab/>
      </w:r>
      <w:r w:rsidRPr="00F41E68">
        <w:tab/>
        <w:t xml:space="preserve">Cadre constitutionnel et </w:t>
      </w:r>
      <w:r w:rsidRPr="00B27BB7">
        <w:t>juridique</w:t>
      </w:r>
      <w:r w:rsidRPr="00F41E68">
        <w:t xml:space="preserve"> de l</w:t>
      </w:r>
      <w:r w:rsidR="00EE6FD6">
        <w:t>’</w:t>
      </w:r>
      <w:r w:rsidRPr="00F41E68">
        <w:t>application du Pacte (art. 2)</w:t>
      </w:r>
    </w:p>
    <w:p w14:paraId="1DED3011" w14:textId="3D3AE202" w:rsidR="0006221B" w:rsidRPr="00F41E68" w:rsidRDefault="0006221B" w:rsidP="00F116F6">
      <w:pPr>
        <w:pStyle w:val="SingleTxtG"/>
      </w:pPr>
      <w:r>
        <w:t>1.</w:t>
      </w:r>
      <w:r>
        <w:tab/>
      </w:r>
      <w:r w:rsidR="00C51CB9">
        <w:t>À</w:t>
      </w:r>
      <w:r w:rsidR="00143AC0">
        <w:t xml:space="preserve"> la lumière de l’article </w:t>
      </w:r>
      <w:r w:rsidR="008D0593">
        <w:t xml:space="preserve">80 de la Constitution </w:t>
      </w:r>
      <w:r w:rsidR="003303D6">
        <w:t xml:space="preserve">de la Mauritanie </w:t>
      </w:r>
      <w:r w:rsidR="008D0593">
        <w:t>et au vu des informations fournies dan</w:t>
      </w:r>
      <w:r w:rsidR="000D6C50">
        <w:t xml:space="preserve">s le </w:t>
      </w:r>
      <w:r w:rsidR="00F116F6">
        <w:t xml:space="preserve">deuxième </w:t>
      </w:r>
      <w:r w:rsidR="000D6C50">
        <w:t>rapport de l’</w:t>
      </w:r>
      <w:r w:rsidR="009D4DEB">
        <w:t>État</w:t>
      </w:r>
      <w:r w:rsidR="000D6C50">
        <w:t xml:space="preserve"> partie</w:t>
      </w:r>
      <w:r w:rsidR="00F116F6">
        <w:t xml:space="preserve"> (</w:t>
      </w:r>
      <w:r w:rsidR="00F116F6" w:rsidRPr="00F116F6">
        <w:t>CCPR/C/MRT/2</w:t>
      </w:r>
      <w:r w:rsidR="00F116F6">
        <w:t>)</w:t>
      </w:r>
      <w:r w:rsidR="000D6C50">
        <w:t xml:space="preserve">, </w:t>
      </w:r>
      <w:r w:rsidR="008D0593">
        <w:t>d</w:t>
      </w:r>
      <w:r w:rsidRPr="00F41E68">
        <w:t>onner, s</w:t>
      </w:r>
      <w:r w:rsidR="00EE6FD6">
        <w:t>’</w:t>
      </w:r>
      <w:r w:rsidRPr="00F41E68">
        <w:t>il en existe, des exemples d</w:t>
      </w:r>
      <w:r w:rsidR="00EE6FD6">
        <w:t>’</w:t>
      </w:r>
      <w:r w:rsidRPr="00F41E68">
        <w:t>affaires dans lesquelles les tribunaux ont directement ap</w:t>
      </w:r>
      <w:r>
        <w:t>pliqué les dispositions du Pacte</w:t>
      </w:r>
      <w:r w:rsidR="008D0593">
        <w:t xml:space="preserve"> </w:t>
      </w:r>
      <w:r w:rsidR="00F116F6">
        <w:t xml:space="preserve">international relatif aux droits civils et politiques </w:t>
      </w:r>
      <w:r w:rsidR="008D0593">
        <w:t xml:space="preserve">ou </w:t>
      </w:r>
      <w:r w:rsidR="00F116F6" w:rsidRPr="00F41E68">
        <w:t xml:space="preserve">dans lesquelles </w:t>
      </w:r>
      <w:r w:rsidR="008D0593">
        <w:t>les dispositions du Pacte ont été évoquées</w:t>
      </w:r>
      <w:r>
        <w:t xml:space="preserve">. </w:t>
      </w:r>
      <w:r w:rsidRPr="00F41E68">
        <w:t>Indiquer si l</w:t>
      </w:r>
      <w:r w:rsidR="00EE6FD6">
        <w:t>’</w:t>
      </w:r>
      <w:r>
        <w:t>É</w:t>
      </w:r>
      <w:r w:rsidRPr="00F41E68">
        <w:t xml:space="preserve">tat partie entend ratifier le premier Protocole </w:t>
      </w:r>
      <w:r w:rsidRPr="00B27BB7">
        <w:t>facultatif</w:t>
      </w:r>
      <w:r w:rsidRPr="00F41E68">
        <w:t xml:space="preserve"> se rapportant au Pacte. Préciser </w:t>
      </w:r>
      <w:r w:rsidR="002D763B">
        <w:t>les</w:t>
      </w:r>
      <w:r w:rsidR="002D763B" w:rsidRPr="00F41E68">
        <w:t xml:space="preserve"> </w:t>
      </w:r>
      <w:r w:rsidRPr="00F41E68">
        <w:t>mesures adoptées aux fins de résoudre les incompatibilités entre l</w:t>
      </w:r>
      <w:r w:rsidR="00E74267">
        <w:t xml:space="preserve">a </w:t>
      </w:r>
      <w:r w:rsidR="00380BD9">
        <w:t>c</w:t>
      </w:r>
      <w:r w:rsidR="00E74267">
        <w:t>haria</w:t>
      </w:r>
      <w:r w:rsidRPr="00F41E68">
        <w:t xml:space="preserve"> et les dispositions du Pacte.</w:t>
      </w:r>
      <w:r w:rsidR="003A2255">
        <w:t xml:space="preserve"> I</w:t>
      </w:r>
      <w:r w:rsidR="005B56FB">
        <w:t>ndiquer si</w:t>
      </w:r>
      <w:r w:rsidR="003A2255">
        <w:t xml:space="preserve"> le Conseil </w:t>
      </w:r>
      <w:r w:rsidR="005B56FB">
        <w:t xml:space="preserve">de la </w:t>
      </w:r>
      <w:r w:rsidR="00A54CAE">
        <w:t>f</w:t>
      </w:r>
      <w:r w:rsidR="005B56FB">
        <w:t xml:space="preserve">atwa rend des avis sur des questions touchant aux droits protégés par le Pacte. </w:t>
      </w:r>
      <w:r w:rsidR="008C02D6">
        <w:t>Le cas échéant</w:t>
      </w:r>
      <w:r w:rsidR="005B56FB">
        <w:t xml:space="preserve">, préciser </w:t>
      </w:r>
      <w:r w:rsidR="009959C4">
        <w:t>dans quelle mesure</w:t>
      </w:r>
      <w:r w:rsidR="005B56FB">
        <w:t xml:space="preserve"> il </w:t>
      </w:r>
      <w:r w:rsidR="00DE30D9">
        <w:t xml:space="preserve">en </w:t>
      </w:r>
      <w:r w:rsidR="003A2255">
        <w:t xml:space="preserve">tient compte. </w:t>
      </w:r>
      <w:r w:rsidR="00DE30D9">
        <w:t>Préciser</w:t>
      </w:r>
      <w:r w:rsidR="003A2255">
        <w:t xml:space="preserve"> </w:t>
      </w:r>
      <w:r w:rsidR="006E66AC">
        <w:t xml:space="preserve">également </w:t>
      </w:r>
      <w:r w:rsidR="003A2255">
        <w:t>si l’</w:t>
      </w:r>
      <w:r w:rsidR="009D4DEB">
        <w:t>État</w:t>
      </w:r>
      <w:r w:rsidR="003A2255">
        <w:t xml:space="preserve"> partie entend </w:t>
      </w:r>
      <w:r w:rsidR="00823104">
        <w:t xml:space="preserve">revoir sa position quant aux </w:t>
      </w:r>
      <w:r w:rsidR="003A2255">
        <w:t xml:space="preserve">réserves </w:t>
      </w:r>
      <w:r w:rsidR="00823104">
        <w:t xml:space="preserve">émises </w:t>
      </w:r>
      <w:r w:rsidR="003A2255">
        <w:t>aux articles 18 et 2</w:t>
      </w:r>
      <w:r w:rsidR="002D6F86">
        <w:t>3</w:t>
      </w:r>
      <w:r w:rsidR="003A2255">
        <w:t>, paragraphe 4</w:t>
      </w:r>
      <w:r w:rsidR="00D627E1">
        <w:t>,</w:t>
      </w:r>
      <w:r w:rsidR="003A2255">
        <w:t xml:space="preserve"> du Pacte. </w:t>
      </w:r>
    </w:p>
    <w:p w14:paraId="2F59B366" w14:textId="73C22013" w:rsidR="0006221B" w:rsidRPr="00B27BB7" w:rsidRDefault="0006221B" w:rsidP="00874515">
      <w:pPr>
        <w:pStyle w:val="SingleTxtG"/>
      </w:pPr>
      <w:r w:rsidRPr="00C747B2">
        <w:rPr>
          <w:spacing w:val="-1"/>
        </w:rPr>
        <w:t>2.</w:t>
      </w:r>
      <w:r w:rsidRPr="00C747B2">
        <w:rPr>
          <w:spacing w:val="-1"/>
        </w:rPr>
        <w:tab/>
      </w:r>
      <w:r w:rsidR="00CB675D">
        <w:rPr>
          <w:spacing w:val="-1"/>
        </w:rPr>
        <w:t>F</w:t>
      </w:r>
      <w:r w:rsidR="002530BF" w:rsidRPr="00C747B2">
        <w:rPr>
          <w:spacing w:val="-1"/>
        </w:rPr>
        <w:t xml:space="preserve">ournir </w:t>
      </w:r>
      <w:r w:rsidRPr="00C747B2">
        <w:rPr>
          <w:spacing w:val="-1"/>
        </w:rPr>
        <w:t>de</w:t>
      </w:r>
      <w:r w:rsidR="009959C4" w:rsidRPr="00C747B2">
        <w:rPr>
          <w:spacing w:val="-1"/>
        </w:rPr>
        <w:t>s informations sur les mesures prises afin d’assurer une plus grande</w:t>
      </w:r>
      <w:r w:rsidR="009959C4">
        <w:rPr>
          <w:spacing w:val="-1"/>
        </w:rPr>
        <w:t xml:space="preserve"> transparence </w:t>
      </w:r>
      <w:r w:rsidR="00DE30D9">
        <w:rPr>
          <w:spacing w:val="-1"/>
        </w:rPr>
        <w:t xml:space="preserve">du processus </w:t>
      </w:r>
      <w:r w:rsidR="009959C4">
        <w:rPr>
          <w:spacing w:val="-1"/>
        </w:rPr>
        <w:t xml:space="preserve">de sélection des membres de la Commission nationale des droits de l’homme ainsi que </w:t>
      </w:r>
      <w:r w:rsidR="001B2849">
        <w:rPr>
          <w:spacing w:val="-1"/>
        </w:rPr>
        <w:t>s</w:t>
      </w:r>
      <w:r w:rsidR="009959C4">
        <w:rPr>
          <w:spacing w:val="-1"/>
        </w:rPr>
        <w:t>on indépendance</w:t>
      </w:r>
      <w:r w:rsidR="002530BF">
        <w:rPr>
          <w:spacing w:val="-1"/>
        </w:rPr>
        <w:t xml:space="preserve">, en particulier au vu de la décision </w:t>
      </w:r>
      <w:r w:rsidR="004349E4">
        <w:rPr>
          <w:spacing w:val="-1"/>
        </w:rPr>
        <w:t xml:space="preserve">de novembre 2017 </w:t>
      </w:r>
      <w:r w:rsidR="002530BF">
        <w:rPr>
          <w:spacing w:val="-1"/>
        </w:rPr>
        <w:t xml:space="preserve">du </w:t>
      </w:r>
      <w:r w:rsidR="00CA0C7B">
        <w:rPr>
          <w:spacing w:val="-1"/>
        </w:rPr>
        <w:t>S</w:t>
      </w:r>
      <w:r w:rsidR="002530BF">
        <w:rPr>
          <w:spacing w:val="-1"/>
        </w:rPr>
        <w:t>ous-</w:t>
      </w:r>
      <w:r w:rsidR="00CA0C7B">
        <w:rPr>
          <w:spacing w:val="-1"/>
        </w:rPr>
        <w:t>C</w:t>
      </w:r>
      <w:r w:rsidR="002530BF">
        <w:rPr>
          <w:spacing w:val="-1"/>
        </w:rPr>
        <w:t xml:space="preserve">omité d’accréditation de l’Alliance </w:t>
      </w:r>
      <w:r w:rsidR="00CA0C7B">
        <w:rPr>
          <w:spacing w:val="-1"/>
        </w:rPr>
        <w:t xml:space="preserve">globale </w:t>
      </w:r>
      <w:r w:rsidR="002530BF">
        <w:rPr>
          <w:spacing w:val="-1"/>
        </w:rPr>
        <w:t>des institut</w:t>
      </w:r>
      <w:r w:rsidR="004D49D5">
        <w:rPr>
          <w:spacing w:val="-1"/>
        </w:rPr>
        <w:t>ions nationales des droits de l’</w:t>
      </w:r>
      <w:r w:rsidR="002530BF">
        <w:rPr>
          <w:spacing w:val="-1"/>
        </w:rPr>
        <w:t xml:space="preserve">homme de rétrograder la Commission nationale des droits de l’homme au statut B. </w:t>
      </w:r>
      <w:r w:rsidR="009959C4">
        <w:rPr>
          <w:spacing w:val="-1"/>
        </w:rPr>
        <w:t>Indiquer les</w:t>
      </w:r>
      <w:r w:rsidR="00173149">
        <w:rPr>
          <w:spacing w:val="-1"/>
        </w:rPr>
        <w:t xml:space="preserve"> mesures envisagées afin </w:t>
      </w:r>
      <w:r w:rsidR="004349E4">
        <w:rPr>
          <w:spacing w:val="-1"/>
        </w:rPr>
        <w:t xml:space="preserve">que </w:t>
      </w:r>
      <w:r w:rsidR="00173149">
        <w:rPr>
          <w:spacing w:val="-1"/>
        </w:rPr>
        <w:t>la Commission</w:t>
      </w:r>
      <w:r w:rsidR="004349E4">
        <w:rPr>
          <w:spacing w:val="-1"/>
        </w:rPr>
        <w:t xml:space="preserve"> puisse r</w:t>
      </w:r>
      <w:r w:rsidR="004349E4" w:rsidRPr="004349E4">
        <w:rPr>
          <w:spacing w:val="-1"/>
          <w:lang w:val="fr-FR"/>
        </w:rPr>
        <w:t>é</w:t>
      </w:r>
      <w:r w:rsidR="004349E4">
        <w:rPr>
          <w:spacing w:val="-1"/>
        </w:rPr>
        <w:t>accéder au statut A</w:t>
      </w:r>
      <w:r w:rsidR="00173149">
        <w:rPr>
          <w:spacing w:val="-1"/>
        </w:rPr>
        <w:t>, notamment l</w:t>
      </w:r>
      <w:r w:rsidR="00874515">
        <w:rPr>
          <w:spacing w:val="-1"/>
        </w:rPr>
        <w:t xml:space="preserve">a mise en œuvre des recommandations du </w:t>
      </w:r>
      <w:r w:rsidR="004349E4">
        <w:rPr>
          <w:spacing w:val="-1"/>
        </w:rPr>
        <w:t>S</w:t>
      </w:r>
      <w:r w:rsidR="00874515">
        <w:rPr>
          <w:spacing w:val="-1"/>
        </w:rPr>
        <w:t>ous-</w:t>
      </w:r>
      <w:r w:rsidR="004349E4">
        <w:rPr>
          <w:spacing w:val="-1"/>
        </w:rPr>
        <w:t>C</w:t>
      </w:r>
      <w:r w:rsidR="00874515">
        <w:rPr>
          <w:spacing w:val="-1"/>
        </w:rPr>
        <w:t xml:space="preserve">omité d’accréditation </w:t>
      </w:r>
      <w:r w:rsidR="00F818C3">
        <w:rPr>
          <w:spacing w:val="-1"/>
        </w:rPr>
        <w:t xml:space="preserve">et </w:t>
      </w:r>
      <w:r w:rsidR="00874515">
        <w:rPr>
          <w:spacing w:val="-1"/>
        </w:rPr>
        <w:t>la mise à disposition de</w:t>
      </w:r>
      <w:r w:rsidR="00AD108C">
        <w:rPr>
          <w:spacing w:val="-1"/>
        </w:rPr>
        <w:t>s</w:t>
      </w:r>
      <w:r w:rsidR="009959C4">
        <w:rPr>
          <w:spacing w:val="-1"/>
        </w:rPr>
        <w:t xml:space="preserve"> moyens financiers et humains </w:t>
      </w:r>
      <w:r w:rsidR="00874515">
        <w:rPr>
          <w:spacing w:val="-1"/>
        </w:rPr>
        <w:t>nécessaires</w:t>
      </w:r>
      <w:r w:rsidR="009959C4">
        <w:rPr>
          <w:spacing w:val="-1"/>
        </w:rPr>
        <w:t xml:space="preserve"> </w:t>
      </w:r>
      <w:r w:rsidR="00301E2A">
        <w:rPr>
          <w:spacing w:val="-1"/>
        </w:rPr>
        <w:t xml:space="preserve">au </w:t>
      </w:r>
      <w:r w:rsidR="009959C4">
        <w:rPr>
          <w:spacing w:val="-1"/>
        </w:rPr>
        <w:t>fonctionnement</w:t>
      </w:r>
      <w:r w:rsidR="00301E2A">
        <w:rPr>
          <w:spacing w:val="-1"/>
        </w:rPr>
        <w:t xml:space="preserve"> de la Commission</w:t>
      </w:r>
      <w:r w:rsidR="009959C4">
        <w:rPr>
          <w:spacing w:val="-1"/>
        </w:rPr>
        <w:t xml:space="preserve">. </w:t>
      </w:r>
      <w:r w:rsidR="00861866">
        <w:rPr>
          <w:spacing w:val="-1"/>
        </w:rPr>
        <w:t>Donner des informations sur les mesures prises pour assurer l’indépendance des membres du Mécanisme national de prévention de la torture e</w:t>
      </w:r>
      <w:r w:rsidR="0052740D">
        <w:rPr>
          <w:spacing w:val="-1"/>
        </w:rPr>
        <w:t>t pour le doter de</w:t>
      </w:r>
      <w:r w:rsidR="00AD108C">
        <w:rPr>
          <w:spacing w:val="-1"/>
        </w:rPr>
        <w:t>s</w:t>
      </w:r>
      <w:r w:rsidR="0052740D">
        <w:rPr>
          <w:spacing w:val="-1"/>
        </w:rPr>
        <w:t xml:space="preserve"> ressources né</w:t>
      </w:r>
      <w:r w:rsidR="00C51CB9">
        <w:rPr>
          <w:spacing w:val="-1"/>
        </w:rPr>
        <w:t>cessaires à son fonctionnement.</w:t>
      </w:r>
    </w:p>
    <w:p w14:paraId="1F4424E0" w14:textId="77777777" w:rsidR="0006221B" w:rsidRPr="00032B32" w:rsidRDefault="0006221B" w:rsidP="00D172AB">
      <w:pPr>
        <w:pStyle w:val="H1G"/>
      </w:pPr>
      <w:r>
        <w:tab/>
      </w:r>
      <w:r>
        <w:tab/>
      </w:r>
      <w:r w:rsidRPr="00032B32">
        <w:t>Lutte contre l</w:t>
      </w:r>
      <w:r w:rsidR="00EE6FD6">
        <w:t>’</w:t>
      </w:r>
      <w:r w:rsidRPr="00032B32">
        <w:t>impunité et violations passées des droits de l</w:t>
      </w:r>
      <w:r w:rsidR="00EE6FD6">
        <w:t>’</w:t>
      </w:r>
      <w:r w:rsidRPr="00032B32">
        <w:t>homme (art. 2, 6, 7 et 14)</w:t>
      </w:r>
    </w:p>
    <w:p w14:paraId="720B508B" w14:textId="77777777" w:rsidR="002B0603" w:rsidRDefault="00823104" w:rsidP="00FE33A4">
      <w:pPr>
        <w:pStyle w:val="SingleTxtG"/>
        <w:rPr>
          <w:spacing w:val="-2"/>
        </w:rPr>
      </w:pPr>
      <w:r>
        <w:t>3</w:t>
      </w:r>
      <w:r w:rsidR="0006221B">
        <w:t>.</w:t>
      </w:r>
      <w:r w:rsidR="0006221B">
        <w:tab/>
      </w:r>
      <w:r w:rsidR="0006221B" w:rsidRPr="009C467A">
        <w:rPr>
          <w:spacing w:val="-2"/>
        </w:rPr>
        <w:t xml:space="preserve">Indiquer </w:t>
      </w:r>
      <w:r w:rsidR="007E4B78">
        <w:rPr>
          <w:spacing w:val="-2"/>
        </w:rPr>
        <w:t xml:space="preserve">les mesures prises afin : </w:t>
      </w:r>
    </w:p>
    <w:p w14:paraId="2009CB5B" w14:textId="5DFCFF2C" w:rsidR="002B0603" w:rsidRDefault="007E4B78" w:rsidP="00D172AB">
      <w:pPr>
        <w:pStyle w:val="SingleTxtG"/>
        <w:ind w:firstLine="567"/>
        <w:rPr>
          <w:spacing w:val="-2"/>
        </w:rPr>
      </w:pPr>
      <w:r>
        <w:rPr>
          <w:spacing w:val="-2"/>
        </w:rPr>
        <w:t>a)</w:t>
      </w:r>
      <w:r w:rsidR="002B0603">
        <w:rPr>
          <w:spacing w:val="-2"/>
        </w:rPr>
        <w:tab/>
        <w:t>D</w:t>
      </w:r>
      <w:r>
        <w:rPr>
          <w:spacing w:val="-2"/>
        </w:rPr>
        <w:t xml:space="preserve">e </w:t>
      </w:r>
      <w:r w:rsidR="00AD108C">
        <w:rPr>
          <w:spacing w:val="-2"/>
        </w:rPr>
        <w:t xml:space="preserve">solder </w:t>
      </w:r>
      <w:r>
        <w:rPr>
          <w:spacing w:val="-2"/>
        </w:rPr>
        <w:t xml:space="preserve">le passif humanitaire </w:t>
      </w:r>
      <w:r w:rsidR="00823104">
        <w:rPr>
          <w:spacing w:val="-2"/>
        </w:rPr>
        <w:t xml:space="preserve">issu </w:t>
      </w:r>
      <w:r>
        <w:rPr>
          <w:spacing w:val="-2"/>
        </w:rPr>
        <w:t xml:space="preserve">des </w:t>
      </w:r>
      <w:proofErr w:type="spellStart"/>
      <w:r>
        <w:rPr>
          <w:spacing w:val="-2"/>
        </w:rPr>
        <w:t>évènements</w:t>
      </w:r>
      <w:proofErr w:type="spellEnd"/>
      <w:r>
        <w:rPr>
          <w:spacing w:val="-2"/>
        </w:rPr>
        <w:t xml:space="preserve"> </w:t>
      </w:r>
      <w:r w:rsidR="00823104">
        <w:rPr>
          <w:spacing w:val="-2"/>
        </w:rPr>
        <w:t xml:space="preserve">qui ont eu </w:t>
      </w:r>
      <w:r>
        <w:rPr>
          <w:spacing w:val="-2"/>
        </w:rPr>
        <w:t>lieu de 1989</w:t>
      </w:r>
      <w:r w:rsidR="005003C4">
        <w:rPr>
          <w:spacing w:val="-2"/>
        </w:rPr>
        <w:t xml:space="preserve"> à</w:t>
      </w:r>
      <w:r w:rsidR="0093116A">
        <w:rPr>
          <w:spacing w:val="-2"/>
        </w:rPr>
        <w:t xml:space="preserve"> </w:t>
      </w:r>
      <w:r w:rsidR="00FE33A4">
        <w:rPr>
          <w:spacing w:val="-2"/>
        </w:rPr>
        <w:t xml:space="preserve">1991 </w:t>
      </w:r>
      <w:r w:rsidR="00823104">
        <w:rPr>
          <w:spacing w:val="-2"/>
        </w:rPr>
        <w:t>en Mauritanie</w:t>
      </w:r>
      <w:r>
        <w:rPr>
          <w:spacing w:val="-2"/>
        </w:rPr>
        <w:t xml:space="preserve"> ; </w:t>
      </w:r>
    </w:p>
    <w:p w14:paraId="6C753212" w14:textId="3DA37A3F" w:rsidR="002B0603" w:rsidRDefault="007E4B78" w:rsidP="00D172AB">
      <w:pPr>
        <w:pStyle w:val="SingleTxtG"/>
        <w:ind w:firstLine="567"/>
        <w:rPr>
          <w:spacing w:val="-2"/>
        </w:rPr>
      </w:pPr>
      <w:r>
        <w:rPr>
          <w:spacing w:val="-2"/>
        </w:rPr>
        <w:t>b)</w:t>
      </w:r>
      <w:r w:rsidR="002B0603">
        <w:rPr>
          <w:spacing w:val="-2"/>
        </w:rPr>
        <w:tab/>
        <w:t>D</w:t>
      </w:r>
      <w:r>
        <w:rPr>
          <w:spacing w:val="-2"/>
        </w:rPr>
        <w:t>’abroger la loi n</w:t>
      </w:r>
      <w:r w:rsidRPr="00301E2A">
        <w:rPr>
          <w:spacing w:val="-2"/>
          <w:vertAlign w:val="superscript"/>
        </w:rPr>
        <w:t>o</w:t>
      </w:r>
      <w:r w:rsidR="00301E2A">
        <w:rPr>
          <w:spacing w:val="-2"/>
        </w:rPr>
        <w:t> </w:t>
      </w:r>
      <w:r>
        <w:rPr>
          <w:spacing w:val="-2"/>
        </w:rPr>
        <w:t>93-23 du 14</w:t>
      </w:r>
      <w:r w:rsidR="00301E2A">
        <w:rPr>
          <w:spacing w:val="-2"/>
        </w:rPr>
        <w:t> </w:t>
      </w:r>
      <w:r>
        <w:rPr>
          <w:spacing w:val="-2"/>
        </w:rPr>
        <w:t xml:space="preserve">juin 1993 portant amnistie sur ces </w:t>
      </w:r>
      <w:proofErr w:type="spellStart"/>
      <w:r>
        <w:rPr>
          <w:spacing w:val="-2"/>
        </w:rPr>
        <w:t>évènements</w:t>
      </w:r>
      <w:proofErr w:type="spellEnd"/>
      <w:r>
        <w:rPr>
          <w:spacing w:val="-2"/>
        </w:rPr>
        <w:t xml:space="preserve"> ; </w:t>
      </w:r>
    </w:p>
    <w:p w14:paraId="52CEECF7" w14:textId="5C71AF4B" w:rsidR="002B0603" w:rsidRDefault="007E4B78" w:rsidP="00D172AB">
      <w:pPr>
        <w:pStyle w:val="SingleTxtG"/>
        <w:ind w:firstLine="567"/>
        <w:rPr>
          <w:spacing w:val="-2"/>
        </w:rPr>
      </w:pPr>
      <w:r>
        <w:rPr>
          <w:spacing w:val="-2"/>
        </w:rPr>
        <w:t>c)</w:t>
      </w:r>
      <w:r w:rsidR="002B0603">
        <w:rPr>
          <w:spacing w:val="-2"/>
        </w:rPr>
        <w:tab/>
        <w:t>D</w:t>
      </w:r>
      <w:r>
        <w:rPr>
          <w:spacing w:val="-2"/>
        </w:rPr>
        <w:t xml:space="preserve">’établir </w:t>
      </w:r>
      <w:r w:rsidR="0093116A">
        <w:rPr>
          <w:spacing w:val="-2"/>
        </w:rPr>
        <w:t xml:space="preserve">la vérité sur les crimes commis ainsi que de poursuivre et </w:t>
      </w:r>
      <w:r w:rsidR="00953BC3">
        <w:rPr>
          <w:spacing w:val="-2"/>
        </w:rPr>
        <w:t xml:space="preserve">de </w:t>
      </w:r>
      <w:r w:rsidR="0093116A">
        <w:rPr>
          <w:spacing w:val="-2"/>
        </w:rPr>
        <w:t>punir les responsables avec des peines appropriées</w:t>
      </w:r>
      <w:r>
        <w:rPr>
          <w:spacing w:val="-2"/>
        </w:rPr>
        <w:t xml:space="preserve"> ; </w:t>
      </w:r>
    </w:p>
    <w:p w14:paraId="14477088" w14:textId="1DAC7D44" w:rsidR="0006221B" w:rsidRPr="00B27BB7" w:rsidRDefault="00823104" w:rsidP="00D172AB">
      <w:pPr>
        <w:pStyle w:val="SingleTxtG"/>
        <w:ind w:firstLine="567"/>
      </w:pPr>
      <w:r>
        <w:rPr>
          <w:spacing w:val="-2"/>
        </w:rPr>
        <w:lastRenderedPageBreak/>
        <w:t>d</w:t>
      </w:r>
      <w:r w:rsidR="007E4B78">
        <w:rPr>
          <w:spacing w:val="-2"/>
        </w:rPr>
        <w:t>)</w:t>
      </w:r>
      <w:r w:rsidR="002B0603">
        <w:rPr>
          <w:spacing w:val="-2"/>
        </w:rPr>
        <w:tab/>
        <w:t>D</w:t>
      </w:r>
      <w:r w:rsidR="007E4B78">
        <w:rPr>
          <w:spacing w:val="-2"/>
        </w:rPr>
        <w:t xml:space="preserve">e </w:t>
      </w:r>
      <w:r w:rsidR="000D6C50">
        <w:rPr>
          <w:spacing w:val="-2"/>
        </w:rPr>
        <w:t xml:space="preserve">fournir une </w:t>
      </w:r>
      <w:r w:rsidR="007E4B78">
        <w:rPr>
          <w:spacing w:val="-2"/>
        </w:rPr>
        <w:t xml:space="preserve">réparation </w:t>
      </w:r>
      <w:r w:rsidR="0093116A">
        <w:rPr>
          <w:spacing w:val="-2"/>
        </w:rPr>
        <w:t xml:space="preserve">intégrale </w:t>
      </w:r>
      <w:r w:rsidR="007E4B78">
        <w:rPr>
          <w:spacing w:val="-2"/>
        </w:rPr>
        <w:t>aux vict</w:t>
      </w:r>
      <w:r w:rsidR="00C51CB9">
        <w:rPr>
          <w:spacing w:val="-2"/>
        </w:rPr>
        <w:t>imes ou à leur ayants</w:t>
      </w:r>
      <w:r w:rsidR="00973CA1">
        <w:rPr>
          <w:spacing w:val="-2"/>
        </w:rPr>
        <w:t xml:space="preserve"> </w:t>
      </w:r>
      <w:r w:rsidR="00C51CB9">
        <w:rPr>
          <w:spacing w:val="-2"/>
        </w:rPr>
        <w:t>droit.</w:t>
      </w:r>
    </w:p>
    <w:p w14:paraId="13B4CC01" w14:textId="77777777" w:rsidR="0006221B" w:rsidRPr="00F41E68" w:rsidRDefault="0006221B" w:rsidP="00D172AB">
      <w:pPr>
        <w:pStyle w:val="H1G"/>
      </w:pPr>
      <w:r w:rsidRPr="00F41E68">
        <w:tab/>
      </w:r>
      <w:r w:rsidRPr="00F41E68">
        <w:tab/>
        <w:t>Non-discrimination (art.</w:t>
      </w:r>
      <w:r w:rsidR="0006287D">
        <w:t> </w:t>
      </w:r>
      <w:r w:rsidRPr="00F41E68">
        <w:t>2, 25 et 26)</w:t>
      </w:r>
      <w:r w:rsidR="00634868">
        <w:t xml:space="preserve"> </w:t>
      </w:r>
    </w:p>
    <w:p w14:paraId="1A02F77D" w14:textId="3C5EC428" w:rsidR="00910B03" w:rsidRDefault="00823104" w:rsidP="00FE33A4">
      <w:pPr>
        <w:pStyle w:val="SingleTxtG"/>
        <w:rPr>
          <w:lang w:val="fr-FR"/>
        </w:rPr>
      </w:pPr>
      <w:r>
        <w:t>4</w:t>
      </w:r>
      <w:r w:rsidR="0006221B">
        <w:t>.</w:t>
      </w:r>
      <w:r w:rsidR="0006221B">
        <w:tab/>
      </w:r>
      <w:r w:rsidR="009603D7">
        <w:t xml:space="preserve">Donner des informations sur les mesures prises pour réviser la loi </w:t>
      </w:r>
      <w:r w:rsidR="006C362B">
        <w:rPr>
          <w:spacing w:val="-2"/>
        </w:rPr>
        <w:t>n</w:t>
      </w:r>
      <w:r w:rsidR="006C362B" w:rsidRPr="00301E2A">
        <w:rPr>
          <w:spacing w:val="-2"/>
          <w:vertAlign w:val="superscript"/>
        </w:rPr>
        <w:t>o</w:t>
      </w:r>
      <w:r w:rsidR="006C362B">
        <w:rPr>
          <w:spacing w:val="-2"/>
        </w:rPr>
        <w:t xml:space="preserve"> 2018-023 </w:t>
      </w:r>
      <w:r w:rsidR="006C362B">
        <w:t xml:space="preserve">du 18 janvier 2018 </w:t>
      </w:r>
      <w:r w:rsidR="0009450A">
        <w:t xml:space="preserve">portant </w:t>
      </w:r>
      <w:r w:rsidR="009603D7">
        <w:t>incrimination de la discrimination</w:t>
      </w:r>
      <w:r w:rsidR="006C362B">
        <w:t>,</w:t>
      </w:r>
      <w:r w:rsidR="009603D7">
        <w:t xml:space="preserve"> à l’égard de laquelle plusieurs </w:t>
      </w:r>
      <w:r w:rsidR="00973CA1">
        <w:t>r</w:t>
      </w:r>
      <w:r w:rsidR="009603D7">
        <w:t>apporteurs spéciaux du Conseil des droits de l’homme ont émis des critiques</w:t>
      </w:r>
      <w:r w:rsidR="00240C9F">
        <w:t>,</w:t>
      </w:r>
      <w:r w:rsidR="009603D7">
        <w:t xml:space="preserve"> et s’assurer qu</w:t>
      </w:r>
      <w:r w:rsidR="00240C9F">
        <w:t>e</w:t>
      </w:r>
      <w:r w:rsidR="009603D7">
        <w:t> :</w:t>
      </w:r>
      <w:r w:rsidR="0006221B" w:rsidRPr="00B27BB7">
        <w:t xml:space="preserve"> a) </w:t>
      </w:r>
      <w:r w:rsidR="00240C9F">
        <w:t xml:space="preserve">elle </w:t>
      </w:r>
      <w:r w:rsidR="0006221B" w:rsidRPr="00B27BB7">
        <w:t>apport</w:t>
      </w:r>
      <w:r w:rsidR="009603D7">
        <w:t>e</w:t>
      </w:r>
      <w:r w:rsidR="0006221B" w:rsidRPr="00B27BB7">
        <w:t xml:space="preserve"> une définition et une incrimination claires de la discrimination, directe et indirecte ; b)</w:t>
      </w:r>
      <w:r w:rsidR="00597521">
        <w:t> </w:t>
      </w:r>
      <w:r w:rsidR="00240C9F">
        <w:t xml:space="preserve">elle </w:t>
      </w:r>
      <w:r w:rsidR="0006221B" w:rsidRPr="00B27BB7">
        <w:t>couvr</w:t>
      </w:r>
      <w:r w:rsidR="009603D7">
        <w:t>e</w:t>
      </w:r>
      <w:r w:rsidR="0006221B" w:rsidRPr="00B27BB7">
        <w:t xml:space="preserve"> </w:t>
      </w:r>
      <w:r w:rsidR="009603D7">
        <w:t>tou</w:t>
      </w:r>
      <w:r w:rsidR="00240C9F">
        <w:t>t</w:t>
      </w:r>
      <w:r w:rsidR="0006221B" w:rsidRPr="00B27BB7">
        <w:t xml:space="preserve"> motif de discrimination</w:t>
      </w:r>
      <w:r w:rsidR="009603D7">
        <w:t xml:space="preserve"> prévu dans le Pacte</w:t>
      </w:r>
      <w:r w:rsidR="0006221B" w:rsidRPr="00B27BB7">
        <w:t xml:space="preserve">, y compris </w:t>
      </w:r>
      <w:r w:rsidR="009603D7">
        <w:t xml:space="preserve">la race, </w:t>
      </w:r>
      <w:r w:rsidR="0093116A">
        <w:t xml:space="preserve">l’origine sociale </w:t>
      </w:r>
      <w:r w:rsidR="00633955">
        <w:t xml:space="preserve">et </w:t>
      </w:r>
      <w:r w:rsidR="0006221B" w:rsidRPr="00B27BB7">
        <w:t>l</w:t>
      </w:r>
      <w:r w:rsidR="00EE6FD6">
        <w:t>’</w:t>
      </w:r>
      <w:r w:rsidR="0006221B" w:rsidRPr="00B27BB7">
        <w:t>identité sexuelle et de genre</w:t>
      </w:r>
      <w:r w:rsidR="00633955">
        <w:t> ;</w:t>
      </w:r>
      <w:r w:rsidR="0006221B" w:rsidRPr="00B27BB7">
        <w:t xml:space="preserve"> et </w:t>
      </w:r>
      <w:r w:rsidR="0006221B">
        <w:t>c) </w:t>
      </w:r>
      <w:r w:rsidR="00240C9F">
        <w:t xml:space="preserve">elle </w:t>
      </w:r>
      <w:r w:rsidR="0006221B" w:rsidRPr="00B27BB7">
        <w:rPr>
          <w:lang w:val="fr-FR"/>
        </w:rPr>
        <w:t>fourni</w:t>
      </w:r>
      <w:r w:rsidR="00841F94">
        <w:rPr>
          <w:lang w:val="fr-FR"/>
        </w:rPr>
        <w:t>sse</w:t>
      </w:r>
      <w:r w:rsidR="0006221B" w:rsidRPr="00B27BB7">
        <w:rPr>
          <w:lang w:val="fr-FR"/>
        </w:rPr>
        <w:t xml:space="preserve"> aux victimes des recours efficaces. </w:t>
      </w:r>
      <w:r w:rsidR="005D6319">
        <w:rPr>
          <w:lang w:val="fr-FR"/>
        </w:rPr>
        <w:t xml:space="preserve">Donner des informations sur l’application effective des dispositions des </w:t>
      </w:r>
      <w:r w:rsidR="00841F94">
        <w:rPr>
          <w:lang w:val="fr-FR"/>
        </w:rPr>
        <w:t xml:space="preserve">textes législatifs </w:t>
      </w:r>
      <w:r w:rsidR="005D6319">
        <w:rPr>
          <w:lang w:val="fr-FR"/>
        </w:rPr>
        <w:t xml:space="preserve">cités aux paragraphes 87 à 89 du </w:t>
      </w:r>
      <w:r w:rsidR="00FA2D65">
        <w:rPr>
          <w:lang w:val="fr-FR"/>
        </w:rPr>
        <w:t>r</w:t>
      </w:r>
      <w:r w:rsidR="005D6319">
        <w:rPr>
          <w:lang w:val="fr-FR"/>
        </w:rPr>
        <w:t>apport de l’</w:t>
      </w:r>
      <w:r w:rsidR="009D4DEB">
        <w:rPr>
          <w:lang w:val="fr-FR"/>
        </w:rPr>
        <w:t>État</w:t>
      </w:r>
      <w:r w:rsidR="005D6319">
        <w:rPr>
          <w:lang w:val="fr-FR"/>
        </w:rPr>
        <w:t xml:space="preserve"> partie. </w:t>
      </w:r>
      <w:r w:rsidR="0047110D">
        <w:rPr>
          <w:lang w:val="fr-FR"/>
        </w:rPr>
        <w:t>À cet égard</w:t>
      </w:r>
      <w:r w:rsidR="005D6319">
        <w:rPr>
          <w:lang w:val="fr-FR"/>
        </w:rPr>
        <w:t>, f</w:t>
      </w:r>
      <w:r w:rsidR="0006221B" w:rsidRPr="00B27BB7">
        <w:rPr>
          <w:lang w:val="fr-FR"/>
        </w:rPr>
        <w:t xml:space="preserve">ournir le nombre de plaintes </w:t>
      </w:r>
      <w:r w:rsidR="007C1605">
        <w:t xml:space="preserve">déposées et </w:t>
      </w:r>
      <w:r w:rsidR="0006221B" w:rsidRPr="00B27BB7">
        <w:rPr>
          <w:lang w:val="fr-FR"/>
        </w:rPr>
        <w:t>enregistrées</w:t>
      </w:r>
      <w:r w:rsidR="00841F94">
        <w:rPr>
          <w:lang w:val="fr-FR"/>
        </w:rPr>
        <w:t>,</w:t>
      </w:r>
      <w:r w:rsidR="0006221B" w:rsidRPr="00B27BB7">
        <w:rPr>
          <w:lang w:val="fr-FR"/>
        </w:rPr>
        <w:t xml:space="preserve"> </w:t>
      </w:r>
      <w:r w:rsidR="0006221B">
        <w:rPr>
          <w:lang w:val="fr-FR"/>
        </w:rPr>
        <w:t xml:space="preserve">de </w:t>
      </w:r>
      <w:r w:rsidR="0006221B" w:rsidRPr="00B27BB7">
        <w:rPr>
          <w:lang w:val="fr-FR"/>
        </w:rPr>
        <w:t>poursuites menées</w:t>
      </w:r>
      <w:r w:rsidR="005D6319">
        <w:rPr>
          <w:lang w:val="fr-FR"/>
        </w:rPr>
        <w:t xml:space="preserve"> </w:t>
      </w:r>
      <w:r w:rsidR="00841F94">
        <w:rPr>
          <w:lang w:val="fr-FR"/>
        </w:rPr>
        <w:t xml:space="preserve">et </w:t>
      </w:r>
      <w:r w:rsidR="005D6319">
        <w:rPr>
          <w:lang w:val="fr-FR"/>
        </w:rPr>
        <w:t xml:space="preserve">de condamnations et sanctions </w:t>
      </w:r>
      <w:r w:rsidR="00910B03">
        <w:rPr>
          <w:lang w:val="fr-FR"/>
        </w:rPr>
        <w:t>prononcées</w:t>
      </w:r>
      <w:r w:rsidR="0006221B" w:rsidRPr="00B27BB7">
        <w:rPr>
          <w:lang w:val="fr-FR"/>
        </w:rPr>
        <w:t xml:space="preserve"> pour discrimination. </w:t>
      </w:r>
    </w:p>
    <w:p w14:paraId="7EDD47EE" w14:textId="3EB90BF9" w:rsidR="00910B03" w:rsidRDefault="00910B03" w:rsidP="00FE33A4">
      <w:pPr>
        <w:pStyle w:val="SingleTxtG"/>
      </w:pPr>
      <w:r>
        <w:rPr>
          <w:lang w:val="fr-FR"/>
        </w:rPr>
        <w:t>5.</w:t>
      </w:r>
      <w:r w:rsidR="00263EA9">
        <w:rPr>
          <w:lang w:val="fr-FR"/>
        </w:rPr>
        <w:tab/>
      </w:r>
      <w:r w:rsidR="00FE33A4">
        <w:rPr>
          <w:lang w:val="fr-FR"/>
        </w:rPr>
        <w:t>En référence aux observations finales précédentes du Comité</w:t>
      </w:r>
      <w:r w:rsidR="007C1605">
        <w:rPr>
          <w:lang w:val="fr-FR"/>
        </w:rPr>
        <w:t xml:space="preserve"> (</w:t>
      </w:r>
      <w:r w:rsidR="007C1605" w:rsidRPr="007C1605">
        <w:rPr>
          <w:lang w:val="fr-FR"/>
        </w:rPr>
        <w:t>CCPR/C/MRT/CO/1</w:t>
      </w:r>
      <w:r w:rsidR="007C1605">
        <w:rPr>
          <w:lang w:val="fr-FR"/>
        </w:rPr>
        <w:t>)</w:t>
      </w:r>
      <w:r w:rsidR="00FE33A4">
        <w:rPr>
          <w:lang w:val="fr-FR"/>
        </w:rPr>
        <w:t>, i</w:t>
      </w:r>
      <w:r w:rsidR="00FE33A4" w:rsidRPr="00B27BB7">
        <w:rPr>
          <w:lang w:val="fr-FR"/>
        </w:rPr>
        <w:t xml:space="preserve">ndiquer </w:t>
      </w:r>
      <w:r w:rsidR="0006221B" w:rsidRPr="00B27BB7">
        <w:rPr>
          <w:lang w:val="fr-FR"/>
        </w:rPr>
        <w:t xml:space="preserve">les mesures prises pour </w:t>
      </w:r>
      <w:r>
        <w:rPr>
          <w:lang w:val="fr-FR"/>
        </w:rPr>
        <w:t xml:space="preserve">prévenir et </w:t>
      </w:r>
      <w:r w:rsidR="00387CE3">
        <w:rPr>
          <w:lang w:val="fr-FR"/>
        </w:rPr>
        <w:t xml:space="preserve">combattre </w:t>
      </w:r>
      <w:r w:rsidR="0006221B" w:rsidRPr="00B27BB7">
        <w:rPr>
          <w:lang w:val="fr-FR"/>
        </w:rPr>
        <w:t xml:space="preserve">les </w:t>
      </w:r>
      <w:r w:rsidR="001C76D5">
        <w:rPr>
          <w:lang w:val="fr-FR"/>
        </w:rPr>
        <w:t xml:space="preserve">préjugés </w:t>
      </w:r>
      <w:r w:rsidR="004403CA">
        <w:rPr>
          <w:lang w:val="fr-FR"/>
        </w:rPr>
        <w:t xml:space="preserve">et </w:t>
      </w:r>
      <w:r w:rsidR="001C76D5">
        <w:rPr>
          <w:lang w:val="fr-FR"/>
        </w:rPr>
        <w:t xml:space="preserve">les </w:t>
      </w:r>
      <w:r w:rsidR="0006221B" w:rsidRPr="00B27BB7">
        <w:rPr>
          <w:lang w:val="fr-FR"/>
        </w:rPr>
        <w:t>actes de discrimination, stigmatisation</w:t>
      </w:r>
      <w:r>
        <w:rPr>
          <w:lang w:val="fr-FR"/>
        </w:rPr>
        <w:t xml:space="preserve"> </w:t>
      </w:r>
      <w:r w:rsidR="0006221B" w:rsidRPr="00B27BB7">
        <w:rPr>
          <w:lang w:val="fr-FR"/>
        </w:rPr>
        <w:t>ou violence</w:t>
      </w:r>
      <w:r w:rsidR="008F03A9">
        <w:rPr>
          <w:lang w:val="fr-FR"/>
        </w:rPr>
        <w:t xml:space="preserve"> </w:t>
      </w:r>
      <w:r w:rsidR="0006221B" w:rsidRPr="00B27BB7">
        <w:rPr>
          <w:lang w:val="fr-FR"/>
        </w:rPr>
        <w:t>à l</w:t>
      </w:r>
      <w:r w:rsidR="00EE6FD6">
        <w:rPr>
          <w:lang w:val="fr-FR"/>
        </w:rPr>
        <w:t>’</w:t>
      </w:r>
      <w:r w:rsidR="0006221B" w:rsidRPr="00B27BB7">
        <w:rPr>
          <w:lang w:val="fr-FR"/>
        </w:rPr>
        <w:t>encontre</w:t>
      </w:r>
      <w:r w:rsidR="00387CE3">
        <w:rPr>
          <w:lang w:val="fr-FR"/>
        </w:rPr>
        <w:t xml:space="preserve"> </w:t>
      </w:r>
      <w:r w:rsidR="008F03A9">
        <w:rPr>
          <w:lang w:val="fr-FR"/>
        </w:rPr>
        <w:t xml:space="preserve">des </w:t>
      </w:r>
      <w:proofErr w:type="spellStart"/>
      <w:r w:rsidR="008F03A9">
        <w:rPr>
          <w:lang w:val="fr-FR"/>
        </w:rPr>
        <w:t>Haratine</w:t>
      </w:r>
      <w:proofErr w:type="spellEnd"/>
      <w:r w:rsidR="008F03A9">
        <w:rPr>
          <w:lang w:val="fr-FR"/>
        </w:rPr>
        <w:t xml:space="preserve"> et de</w:t>
      </w:r>
      <w:r w:rsidR="001C76D5">
        <w:rPr>
          <w:lang w:val="fr-FR"/>
        </w:rPr>
        <w:t>s Négro-Africains</w:t>
      </w:r>
      <w:r w:rsidR="00387CE3">
        <w:rPr>
          <w:lang w:val="fr-FR"/>
        </w:rPr>
        <w:t>,</w:t>
      </w:r>
      <w:r w:rsidR="001C76D5">
        <w:rPr>
          <w:lang w:val="fr-FR"/>
        </w:rPr>
        <w:t xml:space="preserve"> notamment en matière de</w:t>
      </w:r>
      <w:r w:rsidR="008F03A9">
        <w:rPr>
          <w:lang w:val="fr-FR"/>
        </w:rPr>
        <w:t xml:space="preserve"> participation aux affaires politiques et publique</w:t>
      </w:r>
      <w:r w:rsidR="001C76D5">
        <w:rPr>
          <w:lang w:val="fr-FR"/>
        </w:rPr>
        <w:t>s</w:t>
      </w:r>
      <w:r>
        <w:rPr>
          <w:lang w:val="fr-FR"/>
        </w:rPr>
        <w:t>.</w:t>
      </w:r>
    </w:p>
    <w:p w14:paraId="0A1D6748" w14:textId="2EF8C63D" w:rsidR="0006221B" w:rsidRPr="00B27BB7" w:rsidRDefault="005F0529" w:rsidP="005003C4">
      <w:pPr>
        <w:pStyle w:val="SingleTxtG"/>
      </w:pPr>
      <w:r>
        <w:t>6.</w:t>
      </w:r>
      <w:r>
        <w:tab/>
      </w:r>
      <w:r w:rsidR="00634868">
        <w:t>I</w:t>
      </w:r>
      <w:r w:rsidR="0006221B" w:rsidRPr="00B27BB7">
        <w:t>ndiquer si l</w:t>
      </w:r>
      <w:r w:rsidR="00EE6FD6">
        <w:t>’</w:t>
      </w:r>
      <w:r w:rsidR="0006221B">
        <w:t>É</w:t>
      </w:r>
      <w:r w:rsidR="0006221B" w:rsidRPr="00B27BB7">
        <w:t xml:space="preserve">tat partie entend </w:t>
      </w:r>
      <w:r w:rsidR="00910B03">
        <w:t xml:space="preserve">décriminaliser </w:t>
      </w:r>
      <w:r w:rsidR="0006221B" w:rsidRPr="00B27BB7">
        <w:rPr>
          <w:lang w:val="fr-FR"/>
        </w:rPr>
        <w:t xml:space="preserve">les </w:t>
      </w:r>
      <w:r w:rsidR="0055744D">
        <w:rPr>
          <w:lang w:val="fr-FR"/>
        </w:rPr>
        <w:t xml:space="preserve">pratiques sexuelles </w:t>
      </w:r>
      <w:r w:rsidR="00FE33A4">
        <w:rPr>
          <w:lang w:val="fr-FR"/>
        </w:rPr>
        <w:t>puni</w:t>
      </w:r>
      <w:r w:rsidR="0055744D">
        <w:rPr>
          <w:lang w:val="fr-FR"/>
        </w:rPr>
        <w:t>e</w:t>
      </w:r>
      <w:r w:rsidR="00FE33A4">
        <w:rPr>
          <w:lang w:val="fr-FR"/>
        </w:rPr>
        <w:t xml:space="preserve">s </w:t>
      </w:r>
      <w:r w:rsidR="004403CA">
        <w:rPr>
          <w:lang w:val="fr-FR"/>
        </w:rPr>
        <w:t xml:space="preserve">à l’article 308 du </w:t>
      </w:r>
      <w:r w:rsidR="00FE33A4">
        <w:rPr>
          <w:lang w:val="fr-FR"/>
        </w:rPr>
        <w:t>Code pénal</w:t>
      </w:r>
      <w:r w:rsidR="0055744D">
        <w:rPr>
          <w:lang w:val="fr-FR"/>
        </w:rPr>
        <w:t>.</w:t>
      </w:r>
      <w:r w:rsidR="00634868">
        <w:rPr>
          <w:lang w:val="fr-FR"/>
        </w:rPr>
        <w:t xml:space="preserve"> </w:t>
      </w:r>
      <w:r w:rsidR="00384107">
        <w:rPr>
          <w:lang w:val="fr-FR"/>
        </w:rPr>
        <w:t>Donne</w:t>
      </w:r>
      <w:r w:rsidR="00CB675D">
        <w:rPr>
          <w:lang w:val="fr-FR"/>
        </w:rPr>
        <w:t>r</w:t>
      </w:r>
      <w:r w:rsidR="00384107">
        <w:rPr>
          <w:lang w:val="fr-FR"/>
        </w:rPr>
        <w:t xml:space="preserve"> des informations </w:t>
      </w:r>
      <w:r w:rsidR="00634868">
        <w:rPr>
          <w:lang w:val="fr-FR"/>
        </w:rPr>
        <w:t xml:space="preserve">sur les mesures prises afin de protéger la vie privée et la liberté des personnes appartenant à des minorités sexuelles. </w:t>
      </w:r>
    </w:p>
    <w:p w14:paraId="250FE556" w14:textId="7C327E33" w:rsidR="0006221B" w:rsidRPr="00F41E68" w:rsidRDefault="0006221B" w:rsidP="00D172AB">
      <w:pPr>
        <w:pStyle w:val="H1G"/>
      </w:pPr>
      <w:r w:rsidRPr="00F41E68">
        <w:tab/>
      </w:r>
      <w:r w:rsidRPr="00F41E68">
        <w:tab/>
      </w:r>
      <w:r>
        <w:t>É</w:t>
      </w:r>
      <w:r w:rsidRPr="00F41E68">
        <w:t xml:space="preserve">galité </w:t>
      </w:r>
      <w:bookmarkStart w:id="1" w:name="_Hlk536455769"/>
      <w:r>
        <w:t xml:space="preserve">entre les </w:t>
      </w:r>
      <w:bookmarkEnd w:id="1"/>
      <w:r w:rsidRPr="00F41E68">
        <w:t>hommes</w:t>
      </w:r>
      <w:r>
        <w:t xml:space="preserve"> et les </w:t>
      </w:r>
      <w:r w:rsidRPr="00F41E68">
        <w:t>femmes et discrimination à l</w:t>
      </w:r>
      <w:r w:rsidR="00EE6FD6">
        <w:t>’</w:t>
      </w:r>
      <w:r w:rsidRPr="00F41E68">
        <w:t>égard des</w:t>
      </w:r>
      <w:r w:rsidR="00D172AB">
        <w:t> </w:t>
      </w:r>
      <w:r w:rsidRPr="00F41E68">
        <w:t>femmes (art.</w:t>
      </w:r>
      <w:r w:rsidR="00597521">
        <w:t> </w:t>
      </w:r>
      <w:r w:rsidRPr="00F41E68">
        <w:t>2, 3, 23, 25 et 26)</w:t>
      </w:r>
    </w:p>
    <w:p w14:paraId="6DDDE636" w14:textId="6D5C1797" w:rsidR="00B50B69" w:rsidRDefault="00B50B69" w:rsidP="0006221B">
      <w:pPr>
        <w:pStyle w:val="SingleTxtG"/>
      </w:pPr>
      <w:r>
        <w:t>7</w:t>
      </w:r>
      <w:r w:rsidR="0006221B">
        <w:t>.</w:t>
      </w:r>
      <w:r w:rsidR="0006221B">
        <w:tab/>
      </w:r>
      <w:r w:rsidR="0006221B" w:rsidRPr="00453AAD">
        <w:t>Donner de</w:t>
      </w:r>
      <w:r w:rsidR="009D4650">
        <w:t>s</w:t>
      </w:r>
      <w:r>
        <w:t xml:space="preserve"> </w:t>
      </w:r>
      <w:r w:rsidR="0006221B" w:rsidRPr="00453AAD">
        <w:t xml:space="preserve">informations </w:t>
      </w:r>
      <w:r w:rsidR="00B86002">
        <w:t>mises à jour sur la</w:t>
      </w:r>
      <w:r w:rsidR="009D4650">
        <w:t xml:space="preserve"> mise en œuvre des mesures signalée</w:t>
      </w:r>
      <w:r>
        <w:t>s</w:t>
      </w:r>
      <w:r w:rsidR="009D4650">
        <w:t xml:space="preserve"> au</w:t>
      </w:r>
      <w:r>
        <w:t>x</w:t>
      </w:r>
      <w:r w:rsidR="009D4650">
        <w:t xml:space="preserve"> paragraphes 100 à</w:t>
      </w:r>
      <w:r w:rsidR="002A2C32">
        <w:t xml:space="preserve"> </w:t>
      </w:r>
      <w:r w:rsidR="009D4650">
        <w:t xml:space="preserve">102 du </w:t>
      </w:r>
      <w:r w:rsidR="00FA2D65">
        <w:t>r</w:t>
      </w:r>
      <w:r w:rsidR="009D4650">
        <w:t>apport de l’</w:t>
      </w:r>
      <w:r w:rsidR="009D4DEB">
        <w:t>État</w:t>
      </w:r>
      <w:r w:rsidR="009D4650">
        <w:t xml:space="preserve"> partie</w:t>
      </w:r>
      <w:r>
        <w:t xml:space="preserve"> concernant</w:t>
      </w:r>
      <w:r w:rsidR="009D4650">
        <w:t xml:space="preserve"> la participation des femmes à la vie politique et publique et leur </w:t>
      </w:r>
      <w:r w:rsidR="002A2C32">
        <w:t xml:space="preserve">nomination </w:t>
      </w:r>
      <w:r w:rsidR="009D4650">
        <w:t>à des postes de décision dans la fonction publique</w:t>
      </w:r>
      <w:r>
        <w:t xml:space="preserve">, ainsi que </w:t>
      </w:r>
      <w:r w:rsidR="00E503AD">
        <w:t>l</w:t>
      </w:r>
      <w:r>
        <w:t xml:space="preserve">es mesures visant </w:t>
      </w:r>
      <w:r w:rsidR="009D4650">
        <w:t>à accroître cette représentation</w:t>
      </w:r>
      <w:r w:rsidR="00CD45F6">
        <w:t xml:space="preserve">. </w:t>
      </w:r>
      <w:r w:rsidR="00D83160">
        <w:t>À</w:t>
      </w:r>
      <w:r w:rsidR="00CD45F6">
        <w:t xml:space="preserve"> ce sujet, donner </w:t>
      </w:r>
      <w:r w:rsidR="000662FA">
        <w:t>également</w:t>
      </w:r>
      <w:r w:rsidR="00CD45F6">
        <w:t xml:space="preserve"> des informations sur les mesures destinées à favoriser la représentation des femmes </w:t>
      </w:r>
      <w:proofErr w:type="spellStart"/>
      <w:r w:rsidR="00C057DA">
        <w:t>h</w:t>
      </w:r>
      <w:r w:rsidR="00CD45F6">
        <w:t>aratine</w:t>
      </w:r>
      <w:proofErr w:type="spellEnd"/>
      <w:r w:rsidR="00CD45F6">
        <w:t xml:space="preserve"> et </w:t>
      </w:r>
      <w:r w:rsidR="000662FA">
        <w:t xml:space="preserve">de </w:t>
      </w:r>
      <w:r w:rsidR="00CD45F6">
        <w:t>celles appartenant aux minorités négro-africaines</w:t>
      </w:r>
      <w:r w:rsidR="009D4650">
        <w:t>.</w:t>
      </w:r>
      <w:r w:rsidR="00CD45F6">
        <w:t xml:space="preserve"> </w:t>
      </w:r>
    </w:p>
    <w:p w14:paraId="74D59AE1" w14:textId="6C0FF38E" w:rsidR="0006221B" w:rsidRDefault="005F0529" w:rsidP="00B50B69">
      <w:pPr>
        <w:pStyle w:val="SingleTxtG"/>
      </w:pPr>
      <w:r>
        <w:t>8.</w:t>
      </w:r>
      <w:r>
        <w:tab/>
      </w:r>
      <w:r w:rsidR="00CD45F6">
        <w:t xml:space="preserve">Donner des informations sur les mesures prises pour prévenir et </w:t>
      </w:r>
      <w:r w:rsidR="00EF40A2">
        <w:t xml:space="preserve">combattre </w:t>
      </w:r>
      <w:r w:rsidR="00CD45F6">
        <w:t xml:space="preserve">les stéréotypes </w:t>
      </w:r>
      <w:r w:rsidR="00EF40A2">
        <w:t xml:space="preserve">concernant </w:t>
      </w:r>
      <w:r w:rsidR="00CD45F6">
        <w:t>le r</w:t>
      </w:r>
      <w:r w:rsidR="00B86002">
        <w:t xml:space="preserve">ôle et la place des </w:t>
      </w:r>
      <w:r w:rsidR="00B86002" w:rsidRPr="00532D86">
        <w:t xml:space="preserve">femmes </w:t>
      </w:r>
      <w:proofErr w:type="spellStart"/>
      <w:r w:rsidR="00532D86" w:rsidRPr="00532D86">
        <w:t>h</w:t>
      </w:r>
      <w:r w:rsidR="00CD45F6" w:rsidRPr="00532D86">
        <w:t>aratine</w:t>
      </w:r>
      <w:proofErr w:type="spellEnd"/>
      <w:r w:rsidR="00CD45F6">
        <w:t xml:space="preserve"> dans la société mauritanienne. Donner des informations sur les mesures prises pour réviser </w:t>
      </w:r>
      <w:r w:rsidR="000662FA">
        <w:t xml:space="preserve">la loi </w:t>
      </w:r>
      <w:r w:rsidR="000662FA">
        <w:rPr>
          <w:spacing w:val="-2"/>
        </w:rPr>
        <w:t>n</w:t>
      </w:r>
      <w:r w:rsidR="000662FA" w:rsidRPr="00301E2A">
        <w:rPr>
          <w:spacing w:val="-2"/>
          <w:vertAlign w:val="superscript"/>
        </w:rPr>
        <w:t>o</w:t>
      </w:r>
      <w:r w:rsidR="000662FA">
        <w:rPr>
          <w:spacing w:val="-2"/>
        </w:rPr>
        <w:t> 2001-052 du 19 juillet 2001 portant</w:t>
      </w:r>
      <w:r w:rsidR="000662FA">
        <w:t xml:space="preserve"> c</w:t>
      </w:r>
      <w:r w:rsidR="00CD45F6">
        <w:t xml:space="preserve">ode du </w:t>
      </w:r>
      <w:r w:rsidR="000662FA">
        <w:t>s</w:t>
      </w:r>
      <w:r w:rsidR="00CD45F6">
        <w:t>tatut personnel afin d’en retirer toutes les dispositions discriminatoires à l’égard des femmes, notamment en matière de</w:t>
      </w:r>
      <w:r w:rsidR="00B50B69">
        <w:t xml:space="preserve"> succession et de droits des époux pendant le mariage et à sa dissolution</w:t>
      </w:r>
      <w:r w:rsidR="00CD45F6">
        <w:t>. Donner des informations sur les mesures prises afin d’établir l’égalité entre les hommes et les femmes en matière de transmission de l</w:t>
      </w:r>
      <w:r w:rsidR="00B14583">
        <w:t>a nationalité aux époux</w:t>
      </w:r>
      <w:r w:rsidR="00CD45F6">
        <w:t xml:space="preserve"> </w:t>
      </w:r>
      <w:r w:rsidR="004C18BE">
        <w:t xml:space="preserve">étrangers </w:t>
      </w:r>
      <w:r w:rsidR="00CD45F6">
        <w:t>et aux enfants</w:t>
      </w:r>
      <w:r w:rsidR="004C18BE">
        <w:t xml:space="preserve"> nés à l’</w:t>
      </w:r>
      <w:proofErr w:type="spellStart"/>
      <w:r w:rsidR="004C18BE">
        <w:t>étranger</w:t>
      </w:r>
      <w:r w:rsidR="00CD45F6">
        <w:t>.</w:t>
      </w:r>
      <w:r w:rsidR="0047110D">
        <w:t>À</w:t>
      </w:r>
      <w:proofErr w:type="spellEnd"/>
      <w:r w:rsidR="0047110D">
        <w:t xml:space="preserve"> cet égard</w:t>
      </w:r>
      <w:r w:rsidR="00CD45F6">
        <w:t xml:space="preserve">, informer sur l’état d’avancement </w:t>
      </w:r>
      <w:r w:rsidR="00514C1F">
        <w:t xml:space="preserve">de la révision </w:t>
      </w:r>
      <w:r w:rsidR="00CD45F6">
        <w:t>de l’article</w:t>
      </w:r>
      <w:r w:rsidR="00352C6D">
        <w:t> </w:t>
      </w:r>
      <w:r w:rsidR="00CD45F6">
        <w:t>8 de la loi n</w:t>
      </w:r>
      <w:r w:rsidR="00CD45F6" w:rsidRPr="00572372">
        <w:rPr>
          <w:vertAlign w:val="superscript"/>
        </w:rPr>
        <w:t>o</w:t>
      </w:r>
      <w:r w:rsidR="00572372">
        <w:t> </w:t>
      </w:r>
      <w:r w:rsidR="00CD45F6">
        <w:t>61</w:t>
      </w:r>
      <w:r w:rsidR="00A43FC3">
        <w:t xml:space="preserve">-112, </w:t>
      </w:r>
      <w:r w:rsidR="007D6736">
        <w:t xml:space="preserve">modifiée, </w:t>
      </w:r>
      <w:r w:rsidR="00352C6D">
        <w:t xml:space="preserve">du </w:t>
      </w:r>
      <w:r w:rsidR="00352C6D" w:rsidRPr="00352C6D">
        <w:t>1</w:t>
      </w:r>
      <w:r w:rsidR="00352C6D">
        <w:t>2</w:t>
      </w:r>
      <w:r w:rsidR="00352C6D" w:rsidRPr="00352C6D">
        <w:t xml:space="preserve"> </w:t>
      </w:r>
      <w:r w:rsidR="00352C6D">
        <w:t>juin</w:t>
      </w:r>
      <w:r w:rsidR="00352C6D" w:rsidRPr="00352C6D">
        <w:t xml:space="preserve"> 1961</w:t>
      </w:r>
      <w:r w:rsidR="00352C6D">
        <w:t xml:space="preserve"> </w:t>
      </w:r>
      <w:r w:rsidR="00352C6D" w:rsidRPr="00352C6D">
        <w:t>portant code de la nationalité mauritanienne</w:t>
      </w:r>
      <w:r w:rsidR="00352C6D">
        <w:t xml:space="preserve"> </w:t>
      </w:r>
      <w:r w:rsidR="00A43FC3">
        <w:t>évoquées au paragraphe</w:t>
      </w:r>
      <w:r w:rsidR="00917F91" w:rsidRPr="00143AC0">
        <w:rPr>
          <w:lang w:val="fr-FR"/>
        </w:rPr>
        <w:t> </w:t>
      </w:r>
      <w:r w:rsidR="00C51CB9" w:rsidRPr="00143AC0">
        <w:rPr>
          <w:lang w:val="fr-FR"/>
        </w:rPr>
        <w:t>99</w:t>
      </w:r>
      <w:r w:rsidR="00C51CB9">
        <w:t xml:space="preserve"> du </w:t>
      </w:r>
      <w:r w:rsidR="00FA2D65" w:rsidRPr="00143AC0">
        <w:rPr>
          <w:lang w:val="fr-FR"/>
        </w:rPr>
        <w:t>r</w:t>
      </w:r>
      <w:r w:rsidR="00C51CB9" w:rsidRPr="00143AC0">
        <w:rPr>
          <w:lang w:val="fr-FR"/>
        </w:rPr>
        <w:t>a</w:t>
      </w:r>
      <w:proofErr w:type="spellStart"/>
      <w:r w:rsidR="00C51CB9">
        <w:t>pport</w:t>
      </w:r>
      <w:proofErr w:type="spellEnd"/>
      <w:r w:rsidR="00C51CB9">
        <w:t xml:space="preserve"> de l’</w:t>
      </w:r>
      <w:r w:rsidR="009D4DEB">
        <w:t>État</w:t>
      </w:r>
      <w:r w:rsidR="00C51CB9">
        <w:t xml:space="preserve"> partie.</w:t>
      </w:r>
    </w:p>
    <w:p w14:paraId="41A38DEB" w14:textId="3AFF7AB5" w:rsidR="002B1E26" w:rsidRDefault="0006221B" w:rsidP="00D172AB">
      <w:pPr>
        <w:pStyle w:val="H1G"/>
      </w:pPr>
      <w:r w:rsidRPr="00F41E68">
        <w:tab/>
      </w:r>
      <w:r w:rsidRPr="00F41E68">
        <w:tab/>
        <w:t xml:space="preserve">Violence et pratiques préjudiciables </w:t>
      </w:r>
      <w:r w:rsidR="00B63211">
        <w:t>à l’égard</w:t>
      </w:r>
      <w:r w:rsidR="00B63211" w:rsidRPr="00F41E68">
        <w:t xml:space="preserve"> </w:t>
      </w:r>
      <w:r w:rsidR="00B63211">
        <w:t>d</w:t>
      </w:r>
      <w:r w:rsidR="00B63211" w:rsidRPr="00F41E68">
        <w:t xml:space="preserve">es femmes </w:t>
      </w:r>
      <w:r w:rsidR="00D172AB">
        <w:br/>
      </w:r>
      <w:r w:rsidRPr="00F41E68">
        <w:t>(art.</w:t>
      </w:r>
      <w:r w:rsidR="002F44C7">
        <w:t> </w:t>
      </w:r>
      <w:r w:rsidRPr="00F41E68">
        <w:t>2, 3, 6, 7 et 26)</w:t>
      </w:r>
    </w:p>
    <w:p w14:paraId="41C23DE6" w14:textId="76134FC9" w:rsidR="00796F36" w:rsidRPr="00143AC0" w:rsidRDefault="0006221B" w:rsidP="00263EA9">
      <w:pPr>
        <w:pStyle w:val="SingleTxtG"/>
        <w:rPr>
          <w:lang w:val="fr-FR"/>
        </w:rPr>
      </w:pPr>
      <w:r w:rsidRPr="002B1E26">
        <w:tab/>
      </w:r>
      <w:r w:rsidR="005F0529">
        <w:t>9.</w:t>
      </w:r>
      <w:r w:rsidR="005F0529">
        <w:tab/>
      </w:r>
      <w:r w:rsidR="00E361EB" w:rsidRPr="002B1E26">
        <w:t xml:space="preserve">Compte tenu de la persistance des violences </w:t>
      </w:r>
      <w:r w:rsidR="00860AD6" w:rsidRPr="002B1E26">
        <w:t xml:space="preserve">domestiques </w:t>
      </w:r>
      <w:r w:rsidR="00E361EB" w:rsidRPr="002B1E26">
        <w:t>à l’égard des femmes, y</w:t>
      </w:r>
      <w:r w:rsidR="00AE6255">
        <w:t> </w:t>
      </w:r>
      <w:r w:rsidR="00E361EB" w:rsidRPr="002B1E26">
        <w:t>compris les violences sexuelles</w:t>
      </w:r>
      <w:r w:rsidR="00104A00" w:rsidRPr="00143AC0">
        <w:rPr>
          <w:lang w:val="fr-FR"/>
        </w:rPr>
        <w:t>,</w:t>
      </w:r>
      <w:r w:rsidR="00E361EB" w:rsidRPr="00143AC0">
        <w:rPr>
          <w:lang w:val="fr-FR"/>
        </w:rPr>
        <w:t xml:space="preserve"> d</w:t>
      </w:r>
      <w:r w:rsidR="00E361EB" w:rsidRPr="002B1E26">
        <w:t xml:space="preserve">ont le viol, donner des informations sur : </w:t>
      </w:r>
    </w:p>
    <w:p w14:paraId="0A7BE1C9" w14:textId="2609E881" w:rsidR="00796F36" w:rsidRPr="00143AC0" w:rsidRDefault="00E361EB" w:rsidP="00D172AB">
      <w:pPr>
        <w:pStyle w:val="SingleTxtG"/>
        <w:ind w:firstLine="567"/>
        <w:rPr>
          <w:lang w:val="fr-FR"/>
        </w:rPr>
      </w:pPr>
      <w:r w:rsidRPr="00143AC0">
        <w:rPr>
          <w:lang w:val="fr-FR"/>
        </w:rPr>
        <w:t>a</w:t>
      </w:r>
      <w:r w:rsidRPr="002B1E26">
        <w:t>)</w:t>
      </w:r>
      <w:r w:rsidR="00796F36" w:rsidRPr="00143AC0">
        <w:rPr>
          <w:lang w:val="fr-FR"/>
        </w:rPr>
        <w:tab/>
        <w:t>L</w:t>
      </w:r>
      <w:r w:rsidR="009C5ED5" w:rsidRPr="00143AC0">
        <w:rPr>
          <w:lang w:val="fr-FR"/>
        </w:rPr>
        <w:t>es</w:t>
      </w:r>
      <w:r w:rsidR="009C5ED5" w:rsidRPr="002B1E26">
        <w:t xml:space="preserve"> délais</w:t>
      </w:r>
      <w:r w:rsidR="00A41C89">
        <w:t xml:space="preserve"> prévisibles</w:t>
      </w:r>
      <w:r w:rsidR="009C5ED5" w:rsidRPr="002B1E26">
        <w:t xml:space="preserve"> </w:t>
      </w:r>
      <w:r w:rsidR="005A7902" w:rsidRPr="002B1E26">
        <w:t>quant à l’</w:t>
      </w:r>
      <w:r w:rsidRPr="002B1E26">
        <w:t xml:space="preserve">adoption du projet de loi-cadre </w:t>
      </w:r>
      <w:r w:rsidR="009C5ED5" w:rsidRPr="002B1E26">
        <w:t xml:space="preserve">contre les violences à l’égard des femmes </w:t>
      </w:r>
      <w:r w:rsidRPr="002B1E26">
        <w:t xml:space="preserve">et fournir des informations sur les dispositions essentielles de ce texte ; </w:t>
      </w:r>
      <w:r w:rsidR="00AD0AE8">
        <w:t xml:space="preserve"> </w:t>
      </w:r>
    </w:p>
    <w:p w14:paraId="62DC1C96" w14:textId="40E4A17A" w:rsidR="00796F36" w:rsidRDefault="00E361EB" w:rsidP="00D172AB">
      <w:pPr>
        <w:pStyle w:val="SingleTxtG"/>
        <w:ind w:firstLine="567"/>
      </w:pPr>
      <w:r w:rsidRPr="00143AC0">
        <w:rPr>
          <w:lang w:val="fr-FR"/>
        </w:rPr>
        <w:t>b</w:t>
      </w:r>
      <w:r w:rsidRPr="002B1E26">
        <w:t>)</w:t>
      </w:r>
      <w:r w:rsidR="00796F36" w:rsidRPr="00143AC0">
        <w:rPr>
          <w:lang w:val="fr-FR"/>
        </w:rPr>
        <w:tab/>
        <w:t>L</w:t>
      </w:r>
      <w:r w:rsidR="00BD0ED1" w:rsidRPr="00143AC0">
        <w:rPr>
          <w:lang w:val="fr-FR"/>
        </w:rPr>
        <w:t>es</w:t>
      </w:r>
      <w:r w:rsidR="00BD0ED1" w:rsidRPr="002B1E26">
        <w:t xml:space="preserve"> mesures prises pour définir le </w:t>
      </w:r>
      <w:r w:rsidR="00104A00" w:rsidRPr="00143AC0">
        <w:rPr>
          <w:lang w:val="fr-FR"/>
        </w:rPr>
        <w:t xml:space="preserve">crime de </w:t>
      </w:r>
      <w:r w:rsidR="00BD0ED1" w:rsidRPr="00143AC0">
        <w:rPr>
          <w:lang w:val="fr-FR"/>
        </w:rPr>
        <w:t>vi</w:t>
      </w:r>
      <w:proofErr w:type="spellStart"/>
      <w:r w:rsidR="00BD0ED1" w:rsidRPr="002B1E26">
        <w:t>ol</w:t>
      </w:r>
      <w:proofErr w:type="spellEnd"/>
      <w:r w:rsidR="00BD0ED1" w:rsidRPr="002B1E26">
        <w:t xml:space="preserve"> </w:t>
      </w:r>
      <w:r w:rsidR="00104A00" w:rsidRPr="00143AC0">
        <w:rPr>
          <w:lang w:val="fr-FR"/>
        </w:rPr>
        <w:t>te</w:t>
      </w:r>
      <w:r w:rsidR="00104A00">
        <w:t>l qu’évoqué</w:t>
      </w:r>
      <w:r w:rsidR="00104A00" w:rsidRPr="002B1E26">
        <w:t xml:space="preserve"> </w:t>
      </w:r>
      <w:r w:rsidR="00BD0ED1" w:rsidRPr="002B1E26">
        <w:t xml:space="preserve">à l’article 309 du Code pénal ; </w:t>
      </w:r>
    </w:p>
    <w:p w14:paraId="396F0858" w14:textId="0206EB0B" w:rsidR="00796F36" w:rsidRPr="00143AC0" w:rsidRDefault="00BD0ED1" w:rsidP="00D172AB">
      <w:pPr>
        <w:pStyle w:val="SingleTxtG"/>
        <w:ind w:firstLine="567"/>
        <w:rPr>
          <w:lang w:val="fr-FR"/>
        </w:rPr>
      </w:pPr>
      <w:r w:rsidRPr="002B1E26">
        <w:lastRenderedPageBreak/>
        <w:t>c)</w:t>
      </w:r>
      <w:r w:rsidR="00796F36" w:rsidRPr="00143AC0">
        <w:rPr>
          <w:lang w:val="fr-FR"/>
        </w:rPr>
        <w:tab/>
        <w:t>L</w:t>
      </w:r>
      <w:r w:rsidR="00FA44CA" w:rsidRPr="00143AC0">
        <w:rPr>
          <w:lang w:val="fr-FR"/>
        </w:rPr>
        <w:t>es</w:t>
      </w:r>
      <w:r w:rsidR="00FA44CA" w:rsidRPr="002B1E26">
        <w:t xml:space="preserve"> mesures prises afin de faciliter le dépôt de plaintes par les femmes, y</w:t>
      </w:r>
      <w:r w:rsidR="00AE6255">
        <w:t> </w:t>
      </w:r>
      <w:r w:rsidR="00FA44CA" w:rsidRPr="002B1E26">
        <w:t>compris pour viol, le nombre de plaintes déposées et enregistrés, les enquêtes menées, les poursuites engagées</w:t>
      </w:r>
      <w:r w:rsidR="00FA44CA" w:rsidRPr="00143AC0">
        <w:rPr>
          <w:lang w:val="fr-FR"/>
        </w:rPr>
        <w:t xml:space="preserve"> </w:t>
      </w:r>
      <w:r w:rsidR="00AC2F52" w:rsidRPr="00143AC0">
        <w:rPr>
          <w:lang w:val="fr-FR"/>
        </w:rPr>
        <w:t xml:space="preserve">et </w:t>
      </w:r>
      <w:r w:rsidR="00FA44CA" w:rsidRPr="00143AC0">
        <w:rPr>
          <w:lang w:val="fr-FR"/>
        </w:rPr>
        <w:t>le</w:t>
      </w:r>
      <w:r w:rsidR="00FA44CA" w:rsidRPr="002B1E26">
        <w:t xml:space="preserve">s condamnations et les sanctions </w:t>
      </w:r>
      <w:r w:rsidR="00D36972" w:rsidRPr="00143AC0">
        <w:rPr>
          <w:lang w:val="fr-FR"/>
        </w:rPr>
        <w:t xml:space="preserve">prononcées </w:t>
      </w:r>
      <w:proofErr w:type="spellStart"/>
      <w:r w:rsidR="00FA44CA" w:rsidRPr="00143AC0">
        <w:rPr>
          <w:lang w:val="fr-FR"/>
        </w:rPr>
        <w:t>co</w:t>
      </w:r>
      <w:r w:rsidR="00FA44CA" w:rsidRPr="002B1E26">
        <w:t>ntre</w:t>
      </w:r>
      <w:proofErr w:type="spellEnd"/>
      <w:r w:rsidR="00FA44CA" w:rsidRPr="002B1E26">
        <w:t xml:space="preserve"> les auteurs ;</w:t>
      </w:r>
      <w:r w:rsidR="00860AD6" w:rsidRPr="002B1E26">
        <w:t xml:space="preserve"> </w:t>
      </w:r>
    </w:p>
    <w:p w14:paraId="59152EFE" w14:textId="4DEBB70D" w:rsidR="00796F36" w:rsidRDefault="00860AD6" w:rsidP="00D172AB">
      <w:pPr>
        <w:pStyle w:val="SingleTxtG"/>
        <w:ind w:firstLine="567"/>
      </w:pPr>
      <w:r w:rsidRPr="00143AC0">
        <w:rPr>
          <w:lang w:val="fr-FR"/>
        </w:rPr>
        <w:t>d</w:t>
      </w:r>
      <w:r w:rsidRPr="002B1E26">
        <w:t>)</w:t>
      </w:r>
      <w:r w:rsidR="00796F36" w:rsidRPr="00143AC0">
        <w:rPr>
          <w:lang w:val="fr-FR"/>
        </w:rPr>
        <w:tab/>
      </w:r>
      <w:r w:rsidR="00796F36">
        <w:t>L</w:t>
      </w:r>
      <w:r w:rsidRPr="002B1E26">
        <w:t>e renforcement des mesures de protection</w:t>
      </w:r>
      <w:r w:rsidR="004D278E" w:rsidRPr="002B1E26">
        <w:t>,</w:t>
      </w:r>
      <w:r w:rsidRPr="002B1E26">
        <w:t xml:space="preserve"> de prise en charge</w:t>
      </w:r>
      <w:r w:rsidR="004D278E" w:rsidRPr="002B1E26">
        <w:t xml:space="preserve"> et d’accompagnement</w:t>
      </w:r>
      <w:r w:rsidRPr="002B1E26">
        <w:t xml:space="preserve"> en faveur des femmes victimes de violence</w:t>
      </w:r>
      <w:r w:rsidR="008474CD" w:rsidRPr="00143AC0">
        <w:rPr>
          <w:lang w:val="fr-FR"/>
        </w:rPr>
        <w:t>,</w:t>
      </w:r>
      <w:r w:rsidRPr="00143AC0">
        <w:rPr>
          <w:lang w:val="fr-FR"/>
        </w:rPr>
        <w:t xml:space="preserve"> </w:t>
      </w:r>
      <w:r w:rsidR="008474CD" w:rsidRPr="00143AC0">
        <w:rPr>
          <w:lang w:val="fr-FR"/>
        </w:rPr>
        <w:t xml:space="preserve">en </w:t>
      </w:r>
      <w:proofErr w:type="spellStart"/>
      <w:r w:rsidRPr="00143AC0">
        <w:rPr>
          <w:lang w:val="fr-FR"/>
        </w:rPr>
        <w:t>pr</w:t>
      </w:r>
      <w:r w:rsidRPr="002B1E26">
        <w:t>écis</w:t>
      </w:r>
      <w:r w:rsidR="008474CD">
        <w:t>ant</w:t>
      </w:r>
      <w:proofErr w:type="spellEnd"/>
      <w:r w:rsidRPr="002B1E26">
        <w:t xml:space="preserve"> le rôle et les actions du </w:t>
      </w:r>
      <w:r w:rsidR="001209EE">
        <w:t>c</w:t>
      </w:r>
      <w:r w:rsidRPr="002B1E26">
        <w:t xml:space="preserve">omité national de lutte </w:t>
      </w:r>
      <w:r w:rsidR="001209EE">
        <w:t>contre l</w:t>
      </w:r>
      <w:r w:rsidRPr="002B1E26">
        <w:t>es violences basée</w:t>
      </w:r>
      <w:r w:rsidR="002A71EB">
        <w:t>s</w:t>
      </w:r>
      <w:r w:rsidRPr="002B1E26">
        <w:t xml:space="preserve"> sur le genre</w:t>
      </w:r>
      <w:r w:rsidR="00796F36">
        <w:t> </w:t>
      </w:r>
      <w:r w:rsidRPr="002B1E26">
        <w:t xml:space="preserve">; </w:t>
      </w:r>
    </w:p>
    <w:p w14:paraId="7330BB34" w14:textId="5327639C" w:rsidR="00796F36" w:rsidRDefault="00860AD6" w:rsidP="00D172AB">
      <w:pPr>
        <w:pStyle w:val="SingleTxtG"/>
        <w:ind w:firstLine="567"/>
      </w:pPr>
      <w:r w:rsidRPr="002B1E26">
        <w:t>e)</w:t>
      </w:r>
      <w:r w:rsidR="00796F36">
        <w:tab/>
        <w:t>L</w:t>
      </w:r>
      <w:r w:rsidRPr="002B1E26">
        <w:t xml:space="preserve">’impact des mesures de sensibilisation </w:t>
      </w:r>
      <w:r w:rsidR="006605A5">
        <w:t xml:space="preserve">aux fins de </w:t>
      </w:r>
      <w:r w:rsidR="002A71EB" w:rsidRPr="002B1E26">
        <w:t>rédu</w:t>
      </w:r>
      <w:r w:rsidR="006605A5">
        <w:t>ire</w:t>
      </w:r>
      <w:r w:rsidR="002A71EB" w:rsidRPr="002B1E26">
        <w:t xml:space="preserve"> </w:t>
      </w:r>
      <w:r w:rsidR="006605A5">
        <w:t>l</w:t>
      </w:r>
      <w:r w:rsidR="002A71EB" w:rsidRPr="002B1E26">
        <w:t xml:space="preserve">es violences à l’égard des femmes </w:t>
      </w:r>
      <w:r w:rsidRPr="002B1E26">
        <w:t>dont l’</w:t>
      </w:r>
      <w:r w:rsidR="009D4DEB">
        <w:t>État</w:t>
      </w:r>
      <w:r w:rsidRPr="002B1E26">
        <w:t xml:space="preserve"> partie fait </w:t>
      </w:r>
      <w:r w:rsidR="002A71EB">
        <w:t>mention</w:t>
      </w:r>
      <w:r w:rsidR="002A71EB" w:rsidRPr="002B1E26">
        <w:t xml:space="preserve"> </w:t>
      </w:r>
      <w:r w:rsidRPr="002B1E26">
        <w:t>aux paragraphes 108 et 110 de son rapport</w:t>
      </w:r>
      <w:r w:rsidR="002A71EB">
        <w:t> ;</w:t>
      </w:r>
      <w:r w:rsidR="004D278E" w:rsidRPr="002B1E26">
        <w:t xml:space="preserve"> </w:t>
      </w:r>
    </w:p>
    <w:p w14:paraId="3A8844AB" w14:textId="6C2CAC39" w:rsidR="0006221B" w:rsidRPr="002B1E26" w:rsidRDefault="005A7902" w:rsidP="00D172AB">
      <w:pPr>
        <w:pStyle w:val="SingleTxtG"/>
        <w:ind w:firstLine="567"/>
        <w:rPr>
          <w:b/>
        </w:rPr>
      </w:pPr>
      <w:r w:rsidRPr="002B1E26">
        <w:t>f</w:t>
      </w:r>
      <w:r w:rsidR="004D278E" w:rsidRPr="002B1E26">
        <w:t>)</w:t>
      </w:r>
      <w:r w:rsidR="00796F36">
        <w:tab/>
        <w:t>L</w:t>
      </w:r>
      <w:r w:rsidR="004D278E" w:rsidRPr="002B1E26">
        <w:t xml:space="preserve">es activités de formation </w:t>
      </w:r>
      <w:r w:rsidRPr="002B1E26">
        <w:t xml:space="preserve">menées </w:t>
      </w:r>
      <w:r w:rsidR="004D278E" w:rsidRPr="002B1E26">
        <w:t>par l’</w:t>
      </w:r>
      <w:r w:rsidR="009D4DEB">
        <w:t>État</w:t>
      </w:r>
      <w:r w:rsidR="004D278E" w:rsidRPr="002B1E26">
        <w:t xml:space="preserve"> partie </w:t>
      </w:r>
      <w:r w:rsidRPr="002B1E26">
        <w:t xml:space="preserve">à l’endroit du </w:t>
      </w:r>
      <w:r w:rsidR="004D278E" w:rsidRPr="002B1E26">
        <w:t xml:space="preserve">personnel policier, hospitalier et judiciaire </w:t>
      </w:r>
      <w:r w:rsidRPr="00D172AB">
        <w:rPr>
          <w:lang w:val="fr-FR"/>
        </w:rPr>
        <w:t>sur</w:t>
      </w:r>
      <w:r w:rsidRPr="002B1E26">
        <w:t xml:space="preserve"> </w:t>
      </w:r>
      <w:r w:rsidR="00A41C89">
        <w:t>les</w:t>
      </w:r>
      <w:r w:rsidR="004D278E" w:rsidRPr="002B1E26">
        <w:t xml:space="preserve"> problèmes de violences sexuelles</w:t>
      </w:r>
      <w:r w:rsidR="00C51CB9">
        <w:t>.</w:t>
      </w:r>
    </w:p>
    <w:p w14:paraId="18BF14DD" w14:textId="0AA0968C" w:rsidR="0006221B" w:rsidRPr="00C4568D" w:rsidRDefault="0006221B" w:rsidP="005F0529">
      <w:pPr>
        <w:pStyle w:val="SingleTxtG"/>
      </w:pPr>
      <w:r>
        <w:t>1</w:t>
      </w:r>
      <w:r w:rsidR="005A7902">
        <w:t>0</w:t>
      </w:r>
      <w:r>
        <w:t>.</w:t>
      </w:r>
      <w:r>
        <w:tab/>
      </w:r>
      <w:r w:rsidR="00B11A6A">
        <w:t>Compte tenu de la prévalence des mutilation</w:t>
      </w:r>
      <w:r w:rsidR="000D528D">
        <w:t>s génitales féminines</w:t>
      </w:r>
      <w:r w:rsidR="002B1E26">
        <w:t xml:space="preserve"> en Mauritanie</w:t>
      </w:r>
      <w:r w:rsidR="000D528D">
        <w:t>, donner des</w:t>
      </w:r>
      <w:r w:rsidR="00CD4FCB">
        <w:t xml:space="preserve"> informations sur la mise en </w:t>
      </w:r>
      <w:r w:rsidR="00A41C89">
        <w:t>œuvre</w:t>
      </w:r>
      <w:r w:rsidR="000D528D">
        <w:t xml:space="preserve"> des mesures décrites </w:t>
      </w:r>
      <w:r w:rsidR="00A41C89">
        <w:t xml:space="preserve">au </w:t>
      </w:r>
      <w:r w:rsidR="000D528D">
        <w:t>paragraphe 110 du rapport</w:t>
      </w:r>
      <w:r w:rsidR="00AC2F52">
        <w:t xml:space="preserve"> de </w:t>
      </w:r>
      <w:r w:rsidR="00AC2F52" w:rsidRPr="002B1E26">
        <w:t>l’</w:t>
      </w:r>
      <w:r w:rsidR="00AC2F52">
        <w:t>État</w:t>
      </w:r>
      <w:r w:rsidR="00AC2F52" w:rsidRPr="002B1E26">
        <w:t xml:space="preserve"> partie</w:t>
      </w:r>
      <w:r w:rsidR="00A41C89">
        <w:t xml:space="preserve">. </w:t>
      </w:r>
      <w:r w:rsidR="002B1E26">
        <w:t>Eu égard à l’application de</w:t>
      </w:r>
      <w:r w:rsidR="000D528D">
        <w:t xml:space="preserve"> </w:t>
      </w:r>
      <w:r w:rsidR="002B1E26">
        <w:t xml:space="preserve">l’ordonnance </w:t>
      </w:r>
      <w:r w:rsidR="00AC2F52">
        <w:t>n</w:t>
      </w:r>
      <w:r w:rsidR="00AC2F52" w:rsidRPr="00AC2F52">
        <w:rPr>
          <w:vertAlign w:val="superscript"/>
        </w:rPr>
        <w:t>o</w:t>
      </w:r>
      <w:r w:rsidR="00AC2F52">
        <w:t xml:space="preserve"> 2005-015 </w:t>
      </w:r>
      <w:r w:rsidR="002B1E26">
        <w:t>portant protection pénale de l’enfant, d</w:t>
      </w:r>
      <w:r w:rsidR="000D528D">
        <w:t xml:space="preserve">onner </w:t>
      </w:r>
      <w:r w:rsidR="000662FA">
        <w:t>également</w:t>
      </w:r>
      <w:r w:rsidR="002B1E26">
        <w:t xml:space="preserve"> </w:t>
      </w:r>
      <w:r w:rsidR="000D528D">
        <w:t xml:space="preserve">des informations sur </w:t>
      </w:r>
      <w:r w:rsidR="000D528D" w:rsidRPr="00453AAD">
        <w:t>le nombre de plaintes</w:t>
      </w:r>
      <w:r w:rsidR="000D528D">
        <w:t xml:space="preserve"> </w:t>
      </w:r>
      <w:r w:rsidR="00213382">
        <w:t>déposées</w:t>
      </w:r>
      <w:r w:rsidR="007C1605">
        <w:t xml:space="preserve"> et </w:t>
      </w:r>
      <w:proofErr w:type="spellStart"/>
      <w:r w:rsidR="007C1605">
        <w:t>enregistr</w:t>
      </w:r>
      <w:proofErr w:type="spellEnd"/>
      <w:r w:rsidR="007C1605" w:rsidRPr="007C1605">
        <w:rPr>
          <w:lang w:val="fr-FR"/>
        </w:rPr>
        <w:t>é</w:t>
      </w:r>
      <w:r w:rsidR="007C1605">
        <w:t>es</w:t>
      </w:r>
      <w:r w:rsidR="00213382">
        <w:t xml:space="preserve">, </w:t>
      </w:r>
      <w:r w:rsidR="000D528D">
        <w:t>de</w:t>
      </w:r>
      <w:r w:rsidR="000D528D" w:rsidRPr="00453AAD">
        <w:t xml:space="preserve"> poursuites</w:t>
      </w:r>
      <w:r w:rsidR="00213382">
        <w:t xml:space="preserve"> engagées</w:t>
      </w:r>
      <w:r w:rsidR="000D528D" w:rsidRPr="00453AAD">
        <w:t xml:space="preserve"> et </w:t>
      </w:r>
      <w:r w:rsidR="000D528D">
        <w:t xml:space="preserve">de condamnations prononcées </w:t>
      </w:r>
      <w:r w:rsidR="001D51BF">
        <w:t>pour acte de</w:t>
      </w:r>
      <w:r w:rsidR="000D528D">
        <w:t xml:space="preserve"> </w:t>
      </w:r>
      <w:r w:rsidR="002B1E26">
        <w:t>mutilation féminine génitale</w:t>
      </w:r>
      <w:r w:rsidR="00B53164">
        <w:t xml:space="preserve">. </w:t>
      </w:r>
      <w:r w:rsidR="000D528D">
        <w:t>P</w:t>
      </w:r>
      <w:r w:rsidR="000D528D" w:rsidRPr="00453AAD">
        <w:t xml:space="preserve">réciser les futures étapes envisagées aux fins de réduire les cas de mutilations génitales féminines et </w:t>
      </w:r>
      <w:r w:rsidR="000D528D">
        <w:t>d’</w:t>
      </w:r>
      <w:r w:rsidR="000D528D" w:rsidRPr="00453AAD">
        <w:t xml:space="preserve">assurer aux filles et </w:t>
      </w:r>
      <w:r w:rsidR="000D528D">
        <w:t xml:space="preserve">aux </w:t>
      </w:r>
      <w:r w:rsidR="000D528D" w:rsidRPr="00453AAD">
        <w:t>femmes mutilées des mesures de réhabilitation, en particulier une prise en charge psychologique et sanitaire</w:t>
      </w:r>
      <w:r w:rsidR="002B1E26">
        <w:t xml:space="preserve">. </w:t>
      </w:r>
      <w:r w:rsidR="00384107">
        <w:t>Compte tenu de la persistance des mariages précoces et des mariages forcés dans le pays, malgré leur interdiction</w:t>
      </w:r>
      <w:r w:rsidR="00D948AD">
        <w:t xml:space="preserve"> par la loi</w:t>
      </w:r>
      <w:r w:rsidR="00384107">
        <w:t xml:space="preserve">, donner des informations sur l’étendue de ces pratiques. </w:t>
      </w:r>
      <w:r w:rsidR="00A0536D">
        <w:t xml:space="preserve">Indiquer </w:t>
      </w:r>
      <w:r w:rsidR="00D948AD">
        <w:t xml:space="preserve">le résultat des mesures prises </w:t>
      </w:r>
      <w:r w:rsidR="00BF511E">
        <w:t>afin de lutter contre le mariage précoce</w:t>
      </w:r>
      <w:r w:rsidR="008B29E8">
        <w:t>,</w:t>
      </w:r>
      <w:r w:rsidR="00BF511E">
        <w:t xml:space="preserve"> </w:t>
      </w:r>
      <w:r w:rsidR="004571DB">
        <w:t xml:space="preserve">telles que </w:t>
      </w:r>
      <w:r w:rsidR="00FA2D65">
        <w:t xml:space="preserve">décrites </w:t>
      </w:r>
      <w:r w:rsidR="004571DB">
        <w:t>dans les</w:t>
      </w:r>
      <w:r w:rsidR="00FA2D65">
        <w:t xml:space="preserve"> paragraphes 176 à 183 du r</w:t>
      </w:r>
      <w:r w:rsidR="00D948AD">
        <w:t>apport de l’</w:t>
      </w:r>
      <w:r w:rsidR="009D4DEB">
        <w:t>État</w:t>
      </w:r>
      <w:r w:rsidR="00D948AD">
        <w:t xml:space="preserve"> partie</w:t>
      </w:r>
      <w:r w:rsidR="00FA2D65">
        <w:t>,</w:t>
      </w:r>
      <w:r w:rsidR="00A0536D">
        <w:t xml:space="preserve"> ainsi que</w:t>
      </w:r>
      <w:r w:rsidR="00BF511E">
        <w:t xml:space="preserve"> l’état d’avancement du projet de loi visant à interdire le mariage </w:t>
      </w:r>
      <w:r w:rsidR="00AD3B80" w:rsidRPr="00CD346C">
        <w:t xml:space="preserve">précoce </w:t>
      </w:r>
      <w:r w:rsidR="00BF511E" w:rsidRPr="00CD346C">
        <w:t>d’enfants</w:t>
      </w:r>
      <w:r w:rsidR="00CD346C">
        <w:t xml:space="preserve">. </w:t>
      </w:r>
      <w:r w:rsidR="00BF511E">
        <w:t xml:space="preserve">Donner </w:t>
      </w:r>
      <w:r w:rsidR="000662FA">
        <w:t>également</w:t>
      </w:r>
      <w:r w:rsidR="00BF511E">
        <w:t xml:space="preserve"> des informations sur les mesures prises pour lutter contre le mariage forcé, y</w:t>
      </w:r>
      <w:r w:rsidR="00AE6255">
        <w:t> </w:t>
      </w:r>
      <w:r w:rsidR="00BF511E">
        <w:t>compris la sensibilisation de la population</w:t>
      </w:r>
      <w:r w:rsidR="00FA2D65">
        <w:t>,</w:t>
      </w:r>
      <w:r w:rsidR="00BF511E">
        <w:t xml:space="preserve"> </w:t>
      </w:r>
      <w:r w:rsidR="00FA2D65">
        <w:t xml:space="preserve">et </w:t>
      </w:r>
      <w:r w:rsidR="00BF511E">
        <w:t>notamment des leaders communautaires et religieux</w:t>
      </w:r>
      <w:r w:rsidR="00BF511E" w:rsidRPr="00C4568D">
        <w:t>.</w:t>
      </w:r>
    </w:p>
    <w:p w14:paraId="7590135C" w14:textId="77777777" w:rsidR="0006221B" w:rsidRPr="00F41E68" w:rsidRDefault="0006221B" w:rsidP="00D172AB">
      <w:pPr>
        <w:pStyle w:val="H1G"/>
      </w:pPr>
      <w:r w:rsidRPr="00F41E68">
        <w:tab/>
      </w:r>
      <w:r w:rsidRPr="00F41E68">
        <w:tab/>
        <w:t>Droit à la vie et usage excessif de la force (art.</w:t>
      </w:r>
      <w:r w:rsidR="002F44C7">
        <w:t> </w:t>
      </w:r>
      <w:r w:rsidRPr="00F41E68">
        <w:t>3 et 6)</w:t>
      </w:r>
    </w:p>
    <w:p w14:paraId="3343AFA7" w14:textId="11A0660B" w:rsidR="00021C10" w:rsidRDefault="0006221B" w:rsidP="00BE195C">
      <w:pPr>
        <w:pStyle w:val="SingleTxtG"/>
      </w:pPr>
      <w:r>
        <w:t>1</w:t>
      </w:r>
      <w:r w:rsidR="002B1E26">
        <w:t>1</w:t>
      </w:r>
      <w:r>
        <w:t>.</w:t>
      </w:r>
      <w:r>
        <w:tab/>
      </w:r>
      <w:r w:rsidR="00B91C90">
        <w:t>Suite au moratoire qu’il observe depuis 1987, i</w:t>
      </w:r>
      <w:r w:rsidR="00FC0EF7">
        <w:t>ndiquer si l’</w:t>
      </w:r>
      <w:r w:rsidR="009D4DEB">
        <w:t>État</w:t>
      </w:r>
      <w:r w:rsidR="00FC0EF7">
        <w:t xml:space="preserve"> partie entend abolir la peine </w:t>
      </w:r>
      <w:r w:rsidR="00DC22E0">
        <w:t xml:space="preserve">de mort </w:t>
      </w:r>
      <w:r w:rsidR="00266C5A">
        <w:t xml:space="preserve">et ratifier </w:t>
      </w:r>
      <w:r w:rsidR="00266C5A" w:rsidRPr="00453AAD">
        <w:t>le Deuxième Protocole facultatif</w:t>
      </w:r>
      <w:r w:rsidR="00266C5A" w:rsidRPr="00830259">
        <w:t xml:space="preserve"> </w:t>
      </w:r>
      <w:r w:rsidR="00266C5A" w:rsidRPr="00F41E68">
        <w:t>se rapportant au Pacte</w:t>
      </w:r>
      <w:r w:rsidR="00A67996">
        <w:t xml:space="preserve"> </w:t>
      </w:r>
      <w:r w:rsidR="00A67996" w:rsidRPr="00A67996">
        <w:t>international relatif aux droits civils et politiques, visant à abolir la peine de mort</w:t>
      </w:r>
      <w:r w:rsidR="00FC0EF7">
        <w:t xml:space="preserve">. </w:t>
      </w:r>
      <w:r w:rsidR="00DC22E0">
        <w:t xml:space="preserve">Fournir des données statistiques sur : a) </w:t>
      </w:r>
      <w:r w:rsidR="00FC0EF7">
        <w:t>le nombre d</w:t>
      </w:r>
      <w:r w:rsidR="00DC22E0">
        <w:t>e condamnations</w:t>
      </w:r>
      <w:r w:rsidR="00FC0EF7">
        <w:t xml:space="preserve"> à mort </w:t>
      </w:r>
      <w:r w:rsidR="00DC22E0">
        <w:t xml:space="preserve">prononcées </w:t>
      </w:r>
      <w:r w:rsidR="00FC0EF7">
        <w:t xml:space="preserve">depuis l’examen du dernier rapport </w:t>
      </w:r>
      <w:r w:rsidR="004571DB">
        <w:t xml:space="preserve">en date </w:t>
      </w:r>
      <w:r w:rsidR="00DC22E0">
        <w:t>de l’</w:t>
      </w:r>
      <w:r w:rsidR="009D4DEB">
        <w:t>État</w:t>
      </w:r>
      <w:r w:rsidR="00DC22E0">
        <w:t xml:space="preserve"> partie </w:t>
      </w:r>
      <w:r w:rsidR="00FC0EF7">
        <w:t>par le Comité</w:t>
      </w:r>
      <w:r w:rsidR="002B1E26">
        <w:t> ;</w:t>
      </w:r>
      <w:r w:rsidR="00DC22E0">
        <w:t xml:space="preserve"> b) les crimes </w:t>
      </w:r>
      <w:r w:rsidR="002B1E26">
        <w:t>pour</w:t>
      </w:r>
      <w:r w:rsidR="00DC22E0">
        <w:t xml:space="preserve"> lesquels ces condamnations ont été prononcées ; </w:t>
      </w:r>
      <w:r w:rsidR="0086491B">
        <w:t xml:space="preserve">et </w:t>
      </w:r>
      <w:r w:rsidR="00DC22E0">
        <w:t xml:space="preserve">c) le nombre de </w:t>
      </w:r>
      <w:r w:rsidR="004571DB">
        <w:t xml:space="preserve">condamnations à la </w:t>
      </w:r>
      <w:r w:rsidR="00DC22E0">
        <w:t xml:space="preserve">peine de mort commuées. </w:t>
      </w:r>
      <w:r w:rsidR="00D83160">
        <w:t>À</w:t>
      </w:r>
      <w:r w:rsidR="00FC0EF7">
        <w:t xml:space="preserve"> la lumière de la recommandation formulée par le Comité dans ses précédentes observations finales, donner des informations sur l’application des garanties juridiques prévues à l’article</w:t>
      </w:r>
      <w:r w:rsidR="00F976DB">
        <w:t> </w:t>
      </w:r>
      <w:r w:rsidR="00FC0EF7">
        <w:t xml:space="preserve">6 du Pacte dans les affaires qui </w:t>
      </w:r>
      <w:r w:rsidR="00DC22E0">
        <w:t xml:space="preserve">ont </w:t>
      </w:r>
      <w:r w:rsidR="00FC0EF7">
        <w:t xml:space="preserve">conduit à des condamnations à la peine de mort. </w:t>
      </w:r>
    </w:p>
    <w:p w14:paraId="46B65DA1" w14:textId="4ECC50FD" w:rsidR="0006221B" w:rsidRPr="00453AAD" w:rsidRDefault="005F0529" w:rsidP="00BE195C">
      <w:pPr>
        <w:pStyle w:val="SingleTxtG"/>
      </w:pPr>
      <w:r>
        <w:t>12.</w:t>
      </w:r>
      <w:r>
        <w:tab/>
      </w:r>
      <w:r w:rsidR="00B151C6">
        <w:t xml:space="preserve">Donner de plus amples informations sur l’amendement de l’article 306 du Code pénal qui rend la peine de mort obligatoire en cas de propos blasphématoires et de sacrilège. Préciser les cas dans lesquels il a été utilisé et </w:t>
      </w:r>
      <w:r w:rsidR="0025501E">
        <w:t xml:space="preserve">dans quelle mesure </w:t>
      </w:r>
      <w:r w:rsidR="00FB4EE1">
        <w:t>le texte amendé</w:t>
      </w:r>
      <w:r w:rsidR="0025501E">
        <w:t xml:space="preserve"> est </w:t>
      </w:r>
      <w:r w:rsidR="00B151C6">
        <w:t>compatib</w:t>
      </w:r>
      <w:r w:rsidR="0025501E">
        <w:t>le</w:t>
      </w:r>
      <w:r w:rsidR="00B151C6">
        <w:t xml:space="preserve"> avec les dispositions de l’article 6 du Pacte.</w:t>
      </w:r>
    </w:p>
    <w:p w14:paraId="5D32B9A9" w14:textId="1B7B041E" w:rsidR="008E5BFC" w:rsidRDefault="0006221B">
      <w:pPr>
        <w:pStyle w:val="SingleTxtG"/>
      </w:pPr>
      <w:r>
        <w:t>13.</w:t>
      </w:r>
      <w:r>
        <w:tab/>
      </w:r>
      <w:r w:rsidR="00B151C6">
        <w:t xml:space="preserve">Indiquer si des enquêtes ont été ouvertes </w:t>
      </w:r>
      <w:r w:rsidR="00611BE1">
        <w:t xml:space="preserve">sur </w:t>
      </w:r>
      <w:r w:rsidR="00B151C6">
        <w:t>des cas allégués de disparition forcée, notamment de personnes condamnées à mort pour activités terroristes.</w:t>
      </w:r>
    </w:p>
    <w:p w14:paraId="7E096FDE" w14:textId="1EB58AE6" w:rsidR="0006221B" w:rsidRPr="00453AAD" w:rsidRDefault="005F0529" w:rsidP="0006221B">
      <w:pPr>
        <w:pStyle w:val="SingleTxtG"/>
      </w:pPr>
      <w:r>
        <w:t>14.</w:t>
      </w:r>
      <w:r>
        <w:tab/>
      </w:r>
      <w:r w:rsidR="008E5BFC">
        <w:t xml:space="preserve">Donner des informations sur le résultat des enquêtes menées sur la mort de manifestants et indiquer si des poursuites ont été engagées contre les responsables </w:t>
      </w:r>
      <w:r w:rsidR="00513A00">
        <w:t xml:space="preserve">de la répression des </w:t>
      </w:r>
      <w:r w:rsidR="008E5BFC">
        <w:t>manifestations dont le Comité a fait ét</w:t>
      </w:r>
      <w:r w:rsidR="00611BE1">
        <w:t>at</w:t>
      </w:r>
      <w:r w:rsidR="008E5BFC">
        <w:t xml:space="preserve"> </w:t>
      </w:r>
      <w:r w:rsidR="00FB4EE1">
        <w:t xml:space="preserve">au paragraphe 13 de </w:t>
      </w:r>
      <w:r w:rsidR="008E5BFC">
        <w:t>ses précédentes observations finales</w:t>
      </w:r>
      <w:r w:rsidR="00FB4EE1">
        <w:t>.</w:t>
      </w:r>
      <w:r w:rsidR="008E5BFC">
        <w:t xml:space="preserve"> Donner des informations sur les mesures prises pour former les forces de sécurité au respect des droits de l’homme dans </w:t>
      </w:r>
      <w:r w:rsidR="00FB4EE1">
        <w:t xml:space="preserve">leurs activités de </w:t>
      </w:r>
      <w:r w:rsidR="008E5BFC">
        <w:t xml:space="preserve">maintien de l’ordre et </w:t>
      </w:r>
      <w:r w:rsidR="00531E8A">
        <w:t xml:space="preserve">quand elles ont </w:t>
      </w:r>
      <w:r w:rsidR="008E5BFC">
        <w:t>recours à la force</w:t>
      </w:r>
      <w:r w:rsidR="00DD1009">
        <w:t>,</w:t>
      </w:r>
      <w:r w:rsidR="008E5BFC">
        <w:t xml:space="preserve"> y com</w:t>
      </w:r>
      <w:r w:rsidR="00503DC1">
        <w:t>p</w:t>
      </w:r>
      <w:r w:rsidR="008E5BFC">
        <w:t>ris</w:t>
      </w:r>
      <w:r w:rsidR="00513A00">
        <w:t xml:space="preserve"> </w:t>
      </w:r>
      <w:r w:rsidR="00531E8A">
        <w:t xml:space="preserve">dans </w:t>
      </w:r>
      <w:r w:rsidR="008E5BFC">
        <w:t xml:space="preserve">l’utilisation </w:t>
      </w:r>
      <w:r w:rsidR="00513A00">
        <w:t>d’</w:t>
      </w:r>
      <w:r w:rsidR="008E5BFC">
        <w:t>armes à feu.</w:t>
      </w:r>
    </w:p>
    <w:p w14:paraId="4B1591EE" w14:textId="0B9A764F" w:rsidR="0006221B" w:rsidRPr="00CA7636" w:rsidRDefault="0006221B" w:rsidP="0006221B">
      <w:pPr>
        <w:pStyle w:val="SingleTxtG"/>
        <w:rPr>
          <w:spacing w:val="-2"/>
        </w:rPr>
      </w:pPr>
      <w:r w:rsidRPr="00CA7636">
        <w:rPr>
          <w:spacing w:val="-2"/>
        </w:rPr>
        <w:t>1</w:t>
      </w:r>
      <w:r w:rsidR="00DD1009">
        <w:rPr>
          <w:spacing w:val="-2"/>
        </w:rPr>
        <w:t>5</w:t>
      </w:r>
      <w:r w:rsidRPr="00CA7636">
        <w:rPr>
          <w:spacing w:val="-2"/>
        </w:rPr>
        <w:t>.</w:t>
      </w:r>
      <w:r w:rsidRPr="00CA7636">
        <w:rPr>
          <w:spacing w:val="-2"/>
        </w:rPr>
        <w:tab/>
        <w:t>Fournir des données statistiques sur la mortalité maternelle et infantile. Donner des renseignements sur les mesures prises pour améliorer l</w:t>
      </w:r>
      <w:r w:rsidR="00EE6FD6" w:rsidRPr="00CA7636">
        <w:rPr>
          <w:spacing w:val="-2"/>
        </w:rPr>
        <w:t>’</w:t>
      </w:r>
      <w:r w:rsidRPr="00CA7636">
        <w:rPr>
          <w:spacing w:val="-2"/>
        </w:rPr>
        <w:t>accès aux services de santé et d</w:t>
      </w:r>
      <w:r w:rsidR="00EE6FD6" w:rsidRPr="00CA7636">
        <w:rPr>
          <w:spacing w:val="-2"/>
        </w:rPr>
        <w:t>’</w:t>
      </w:r>
      <w:r w:rsidRPr="00CA7636">
        <w:rPr>
          <w:spacing w:val="-2"/>
        </w:rPr>
        <w:t>information sexuelle et génésique</w:t>
      </w:r>
      <w:r w:rsidR="00BF2E5E">
        <w:rPr>
          <w:spacing w:val="-2"/>
        </w:rPr>
        <w:t>,</w:t>
      </w:r>
      <w:r w:rsidR="00CD4FCB">
        <w:rPr>
          <w:spacing w:val="-2"/>
        </w:rPr>
        <w:t xml:space="preserve"> notamment pour les femmes appartenant à des minorités </w:t>
      </w:r>
      <w:r w:rsidR="00CD4FCB">
        <w:rPr>
          <w:spacing w:val="-2"/>
        </w:rPr>
        <w:lastRenderedPageBreak/>
        <w:t>ethniques et celles vivant dans les zones reculées</w:t>
      </w:r>
      <w:r w:rsidRPr="00CA7636">
        <w:rPr>
          <w:spacing w:val="-2"/>
        </w:rPr>
        <w:t xml:space="preserve">. </w:t>
      </w:r>
      <w:r w:rsidR="0047110D">
        <w:t>À cet égard</w:t>
      </w:r>
      <w:r w:rsidR="00C30110">
        <w:rPr>
          <w:spacing w:val="-2"/>
        </w:rPr>
        <w:t>, indiquer l’état d’avancement du projet de loi sur la santé en matière de sexualité et de procréation. Indiquer les mesures prises par l’</w:t>
      </w:r>
      <w:r w:rsidR="009D4DEB">
        <w:rPr>
          <w:spacing w:val="-2"/>
        </w:rPr>
        <w:t>État</w:t>
      </w:r>
      <w:r w:rsidR="00C30110">
        <w:rPr>
          <w:spacing w:val="-2"/>
        </w:rPr>
        <w:t xml:space="preserve"> partie pour </w:t>
      </w:r>
      <w:r w:rsidR="00B151C6">
        <w:rPr>
          <w:spacing w:val="-2"/>
        </w:rPr>
        <w:t xml:space="preserve">légaliser </w:t>
      </w:r>
      <w:r w:rsidR="00C30110">
        <w:rPr>
          <w:spacing w:val="-2"/>
        </w:rPr>
        <w:t>l’avortement</w:t>
      </w:r>
      <w:r w:rsidR="00967D8A">
        <w:rPr>
          <w:spacing w:val="-2"/>
        </w:rPr>
        <w:t>,</w:t>
      </w:r>
      <w:r w:rsidR="00C30110">
        <w:rPr>
          <w:spacing w:val="-2"/>
        </w:rPr>
        <w:t xml:space="preserve"> en particulier dans les cas d’inceste, de viol et de malformation du fœtus</w:t>
      </w:r>
      <w:r w:rsidR="0031175A">
        <w:rPr>
          <w:spacing w:val="-2"/>
        </w:rPr>
        <w:t>,</w:t>
      </w:r>
      <w:r w:rsidR="00B151C6">
        <w:rPr>
          <w:spacing w:val="-2"/>
        </w:rPr>
        <w:t xml:space="preserve"> et le dépénaliser dans tous les autres cas</w:t>
      </w:r>
      <w:r w:rsidR="00C30110">
        <w:rPr>
          <w:spacing w:val="-2"/>
        </w:rPr>
        <w:t xml:space="preserve">. </w:t>
      </w:r>
    </w:p>
    <w:p w14:paraId="158C4216" w14:textId="003DA17E" w:rsidR="0006221B" w:rsidRPr="00F41E68" w:rsidRDefault="0006221B" w:rsidP="00D172AB">
      <w:pPr>
        <w:pStyle w:val="H1G"/>
      </w:pPr>
      <w:r w:rsidRPr="00F41E68">
        <w:tab/>
      </w:r>
      <w:r w:rsidRPr="00F41E68">
        <w:tab/>
        <w:t>Interdiction de la torture et des traitements cruels, inhumains et</w:t>
      </w:r>
      <w:r w:rsidR="00D172AB">
        <w:t> </w:t>
      </w:r>
      <w:r w:rsidRPr="00F41E68">
        <w:t>dégradants</w:t>
      </w:r>
      <w:r w:rsidR="00662332">
        <w:t xml:space="preserve"> </w:t>
      </w:r>
      <w:r w:rsidRPr="00F41E68">
        <w:t>(art.</w:t>
      </w:r>
      <w:r w:rsidR="002F44C7">
        <w:t> </w:t>
      </w:r>
      <w:r w:rsidRPr="00F41E68">
        <w:t>6, 7)</w:t>
      </w:r>
    </w:p>
    <w:p w14:paraId="40D00BAD" w14:textId="04CDBC8B" w:rsidR="00325D67" w:rsidRDefault="00823894" w:rsidP="0006221B">
      <w:pPr>
        <w:pStyle w:val="SingleTxtG"/>
      </w:pPr>
      <w:r>
        <w:t>16</w:t>
      </w:r>
      <w:r w:rsidR="0006221B">
        <w:t>.</w:t>
      </w:r>
      <w:r w:rsidR="0006221B">
        <w:tab/>
      </w:r>
      <w:r w:rsidR="0006221B" w:rsidRPr="00453AAD">
        <w:t xml:space="preserve">Répondre aux </w:t>
      </w:r>
      <w:r w:rsidR="00BD7EB8">
        <w:t>informations</w:t>
      </w:r>
      <w:r w:rsidR="0006221B" w:rsidRPr="00453AAD">
        <w:t xml:space="preserve"> selon lesquelles la torture et les mauvais traitements sont encore pratiqués</w:t>
      </w:r>
      <w:r w:rsidR="00BD7EB8">
        <w:t xml:space="preserve"> de manière généralisée</w:t>
      </w:r>
      <w:r w:rsidR="0006221B" w:rsidRPr="00453AAD">
        <w:t xml:space="preserve"> par l</w:t>
      </w:r>
      <w:r w:rsidR="00BD7EB8">
        <w:t>a police et la gendarmerie</w:t>
      </w:r>
      <w:r w:rsidR="0006221B" w:rsidRPr="00453AAD">
        <w:t xml:space="preserve">, notamment pour extorquer des aveux </w:t>
      </w:r>
      <w:r w:rsidR="007F6AB7">
        <w:t>et</w:t>
      </w:r>
      <w:r w:rsidR="007F6AB7" w:rsidRPr="00453AAD">
        <w:t xml:space="preserve"> </w:t>
      </w:r>
      <w:r w:rsidR="0006221B" w:rsidRPr="00453AAD">
        <w:t>des renseignements</w:t>
      </w:r>
      <w:r w:rsidR="0006221B">
        <w:t>,</w:t>
      </w:r>
      <w:r w:rsidR="0006221B" w:rsidRPr="00453AAD">
        <w:t xml:space="preserve"> en particulier </w:t>
      </w:r>
      <w:r w:rsidR="00BD7EB8">
        <w:t xml:space="preserve">lors </w:t>
      </w:r>
      <w:r w:rsidR="003A4260">
        <w:t>d’</w:t>
      </w:r>
      <w:r w:rsidR="00BD7EB8">
        <w:t xml:space="preserve">arrestation, </w:t>
      </w:r>
      <w:r w:rsidR="00DD1009">
        <w:t xml:space="preserve">de </w:t>
      </w:r>
      <w:r w:rsidR="00BD7EB8">
        <w:t xml:space="preserve">garde </w:t>
      </w:r>
      <w:r w:rsidR="0006221B" w:rsidRPr="00453AAD">
        <w:t>à vue</w:t>
      </w:r>
      <w:r w:rsidR="00DD1009">
        <w:t xml:space="preserve"> </w:t>
      </w:r>
      <w:r w:rsidR="00864DEA">
        <w:t xml:space="preserve">ou </w:t>
      </w:r>
      <w:r w:rsidR="00BD7EB8">
        <w:t>de transfèrement</w:t>
      </w:r>
      <w:r w:rsidR="003A4260">
        <w:t>,</w:t>
      </w:r>
      <w:r w:rsidR="00BD7EB8">
        <w:t xml:space="preserve"> </w:t>
      </w:r>
      <w:r w:rsidR="00DD1009">
        <w:t xml:space="preserve">ainsi que pendant </w:t>
      </w:r>
      <w:r w:rsidR="00BD7EB8">
        <w:t>des manifestations</w:t>
      </w:r>
      <w:r w:rsidR="0006221B" w:rsidRPr="00453AAD">
        <w:t xml:space="preserve">. </w:t>
      </w:r>
    </w:p>
    <w:p w14:paraId="085CC2D8" w14:textId="6E3D2357" w:rsidR="00325D67" w:rsidRDefault="00823894" w:rsidP="00C511F5">
      <w:pPr>
        <w:pStyle w:val="SingleTxtG"/>
      </w:pPr>
      <w:r>
        <w:t>17</w:t>
      </w:r>
      <w:r w:rsidR="005F0529">
        <w:t>.</w:t>
      </w:r>
      <w:r w:rsidR="005F0529">
        <w:tab/>
      </w:r>
      <w:r w:rsidR="00325D67" w:rsidRPr="00453AAD">
        <w:t>Indiquer : a)</w:t>
      </w:r>
      <w:r w:rsidR="00325D67">
        <w:t> </w:t>
      </w:r>
      <w:r w:rsidR="00325D67" w:rsidRPr="00453AAD">
        <w:t>l</w:t>
      </w:r>
      <w:r w:rsidR="00325D67">
        <w:t>’</w:t>
      </w:r>
      <w:r w:rsidR="00325D67" w:rsidRPr="00453AAD">
        <w:t xml:space="preserve">ensemble des mesures prises aux fins de prévenir et de </w:t>
      </w:r>
      <w:r w:rsidR="00864DEA">
        <w:t xml:space="preserve">combattre </w:t>
      </w:r>
      <w:r w:rsidR="00325D67" w:rsidRPr="00453AAD">
        <w:t>la torture ; b)</w:t>
      </w:r>
      <w:r w:rsidR="00325D67">
        <w:t> </w:t>
      </w:r>
      <w:r w:rsidR="00325D67" w:rsidRPr="00453AAD">
        <w:t>les mécanismes de plainte et de recours utiles lorsqu</w:t>
      </w:r>
      <w:r w:rsidR="00325D67">
        <w:t>’</w:t>
      </w:r>
      <w:r w:rsidR="00325D67" w:rsidRPr="00453AAD">
        <w:t xml:space="preserve">une personne allègue avoir </w:t>
      </w:r>
      <w:r w:rsidR="00864DEA">
        <w:t xml:space="preserve">été torturée ou maltraitée </w:t>
      </w:r>
      <w:r w:rsidR="00325D67" w:rsidRPr="00453AAD">
        <w:t>par des agents de l</w:t>
      </w:r>
      <w:r w:rsidR="00325D67">
        <w:t>’É</w:t>
      </w:r>
      <w:r w:rsidR="00325D67" w:rsidRPr="00453AAD">
        <w:t xml:space="preserve">tat ; et c) le nombre précis de plaintes </w:t>
      </w:r>
      <w:r w:rsidR="007C1605">
        <w:t xml:space="preserve">déposées et </w:t>
      </w:r>
      <w:r w:rsidR="00325D67" w:rsidRPr="00453AAD">
        <w:t>enregistrées, d</w:t>
      </w:r>
      <w:r w:rsidR="00325D67">
        <w:t>’</w:t>
      </w:r>
      <w:r w:rsidR="00325D67" w:rsidRPr="00453AAD">
        <w:t>enquêtes menées, de poursuites engagées, de condamnations</w:t>
      </w:r>
      <w:r w:rsidR="00325D67">
        <w:t xml:space="preserve"> prononcées</w:t>
      </w:r>
      <w:r w:rsidR="00325D67" w:rsidRPr="00453AAD">
        <w:t xml:space="preserve"> et </w:t>
      </w:r>
      <w:r w:rsidR="00325D67">
        <w:t>d’</w:t>
      </w:r>
      <w:r w:rsidR="00325D67" w:rsidRPr="00453AAD">
        <w:t>indemnisation</w:t>
      </w:r>
      <w:r w:rsidR="00325D67">
        <w:t>s</w:t>
      </w:r>
      <w:r w:rsidR="00325D67" w:rsidRPr="00453AAD">
        <w:t xml:space="preserve"> </w:t>
      </w:r>
      <w:r w:rsidR="00325D67">
        <w:t xml:space="preserve">octroyées </w:t>
      </w:r>
      <w:r w:rsidR="00325D67" w:rsidRPr="00453AAD">
        <w:t xml:space="preserve">pour </w:t>
      </w:r>
      <w:r w:rsidR="00325D67">
        <w:t xml:space="preserve">des </w:t>
      </w:r>
      <w:r w:rsidR="00325D67" w:rsidRPr="00453AAD">
        <w:t xml:space="preserve">actes de torture au cours de la période considérée. </w:t>
      </w:r>
      <w:r w:rsidR="00C511F5" w:rsidRPr="00453AAD">
        <w:t xml:space="preserve">Indiquer </w:t>
      </w:r>
      <w:r w:rsidR="00C511F5">
        <w:t xml:space="preserve">les mesures prises pour faire respecter dans la pratique </w:t>
      </w:r>
      <w:r w:rsidR="00C511F5" w:rsidRPr="00453AAD">
        <w:t>la non-recevabilité de déclarations ou aveux obtenus sous la torture</w:t>
      </w:r>
      <w:r w:rsidR="00C511F5">
        <w:t xml:space="preserve">, tel que </w:t>
      </w:r>
      <w:r w:rsidR="00A83FAA">
        <w:t xml:space="preserve">cela est </w:t>
      </w:r>
      <w:r w:rsidR="00C511F5">
        <w:t xml:space="preserve">prévu </w:t>
      </w:r>
      <w:r w:rsidR="00864DEA">
        <w:t xml:space="preserve">au </w:t>
      </w:r>
      <w:r w:rsidR="00C511F5">
        <w:t>Code de procédure pénale</w:t>
      </w:r>
      <w:r w:rsidR="00C511F5" w:rsidRPr="00453AAD">
        <w:t>.</w:t>
      </w:r>
    </w:p>
    <w:p w14:paraId="69AB8786" w14:textId="0B5039B3" w:rsidR="00325D67" w:rsidRDefault="00823894" w:rsidP="005F0529">
      <w:pPr>
        <w:pStyle w:val="SingleTxtG"/>
      </w:pPr>
      <w:r>
        <w:t>18</w:t>
      </w:r>
      <w:r w:rsidR="005F0529">
        <w:t>.</w:t>
      </w:r>
      <w:r w:rsidR="005F0529">
        <w:tab/>
      </w:r>
      <w:r w:rsidR="00325D67">
        <w:t xml:space="preserve">Indiquer les mesures prises afin d’interdire </w:t>
      </w:r>
      <w:r w:rsidR="00325D67" w:rsidRPr="00453AAD">
        <w:t>l</w:t>
      </w:r>
      <w:r w:rsidR="00325D67">
        <w:t>’</w:t>
      </w:r>
      <w:r w:rsidR="00325D67" w:rsidRPr="00453AAD">
        <w:t xml:space="preserve">emploi de châtiments corporels </w:t>
      </w:r>
      <w:r w:rsidR="00A83FAA">
        <w:t>à l’en</w:t>
      </w:r>
      <w:r w:rsidR="00325D67" w:rsidRPr="00453AAD">
        <w:t xml:space="preserve">contre </w:t>
      </w:r>
      <w:r w:rsidR="00A83FAA">
        <w:t>d</w:t>
      </w:r>
      <w:r w:rsidR="00325D67" w:rsidRPr="00453AAD">
        <w:t xml:space="preserve">es enfants </w:t>
      </w:r>
      <w:r w:rsidR="00A83FAA">
        <w:t>en toute circonstance</w:t>
      </w:r>
      <w:r w:rsidR="00B151C6">
        <w:t xml:space="preserve">, en particulier </w:t>
      </w:r>
      <w:r w:rsidR="00A83FAA">
        <w:t xml:space="preserve">au sein des </w:t>
      </w:r>
      <w:r w:rsidR="00B151C6">
        <w:t>famille</w:t>
      </w:r>
      <w:r w:rsidR="00A83FAA">
        <w:t>s</w:t>
      </w:r>
      <w:r w:rsidR="00B151C6">
        <w:t xml:space="preserve"> et dans les écoles</w:t>
      </w:r>
      <w:r w:rsidR="00325D67" w:rsidRPr="00453AAD">
        <w:t>.</w:t>
      </w:r>
    </w:p>
    <w:p w14:paraId="747AFC37" w14:textId="6D0DA221" w:rsidR="00011F87" w:rsidRDefault="00C51CB9" w:rsidP="00D172AB">
      <w:pPr>
        <w:pStyle w:val="H1G"/>
      </w:pPr>
      <w:r>
        <w:tab/>
      </w:r>
      <w:r>
        <w:tab/>
      </w:r>
      <w:r w:rsidR="00011F87" w:rsidRPr="00823104">
        <w:t xml:space="preserve">Conditions </w:t>
      </w:r>
      <w:r w:rsidR="00823894">
        <w:t xml:space="preserve">de détention </w:t>
      </w:r>
      <w:r w:rsidR="00011F87" w:rsidRPr="00823104">
        <w:t xml:space="preserve">des personnes privées de liberté </w:t>
      </w:r>
      <w:r w:rsidR="00AE6255">
        <w:br/>
      </w:r>
      <w:r w:rsidR="00011F87" w:rsidRPr="00823104">
        <w:t xml:space="preserve">(art. </w:t>
      </w:r>
      <w:r w:rsidR="00A80E80">
        <w:t>6,</w:t>
      </w:r>
      <w:r w:rsidR="00823894">
        <w:t xml:space="preserve"> 7, et</w:t>
      </w:r>
      <w:r w:rsidR="00A80E80">
        <w:t xml:space="preserve"> </w:t>
      </w:r>
      <w:r w:rsidR="00011F87" w:rsidRPr="00823104">
        <w:t>10</w:t>
      </w:r>
      <w:r w:rsidR="00A80E80" w:rsidRPr="00823104">
        <w:t>)</w:t>
      </w:r>
    </w:p>
    <w:p w14:paraId="2D2AB056" w14:textId="2AB02F80" w:rsidR="0006221B" w:rsidRPr="00453AAD" w:rsidRDefault="00CD346C" w:rsidP="00823894">
      <w:pPr>
        <w:pStyle w:val="SingleTxtG"/>
      </w:pPr>
      <w:r>
        <w:t>19</w:t>
      </w:r>
      <w:r w:rsidR="005F0529">
        <w:t>.</w:t>
      </w:r>
      <w:r w:rsidR="005F0529">
        <w:tab/>
      </w:r>
      <w:r w:rsidR="0006221B" w:rsidRPr="00453AAD">
        <w:t>Indiquer les mesures prises pour remédier à la surpopulation carcérale</w:t>
      </w:r>
      <w:r w:rsidR="00CB3FD2">
        <w:t xml:space="preserve">, en particulier dans la </w:t>
      </w:r>
      <w:r w:rsidR="00DD1009">
        <w:t xml:space="preserve">prison de </w:t>
      </w:r>
      <w:r w:rsidR="00CB3FD2">
        <w:t>Da</w:t>
      </w:r>
      <w:r w:rsidR="00823894">
        <w:t>r</w:t>
      </w:r>
      <w:r w:rsidR="006A340A">
        <w:t xml:space="preserve"> </w:t>
      </w:r>
      <w:proofErr w:type="spellStart"/>
      <w:r w:rsidR="00CB3FD2">
        <w:t>Naim</w:t>
      </w:r>
      <w:proofErr w:type="spellEnd"/>
      <w:r w:rsidR="00487308">
        <w:t>,</w:t>
      </w:r>
      <w:r w:rsidR="00CB3FD2">
        <w:t xml:space="preserve"> et informer sur l’état d’avancement de la réhabilitation </w:t>
      </w:r>
      <w:r w:rsidR="002F242C">
        <w:t xml:space="preserve">de prisons </w:t>
      </w:r>
      <w:r w:rsidR="00CB3FD2">
        <w:t xml:space="preserve">et </w:t>
      </w:r>
      <w:r w:rsidR="00DD1009">
        <w:t xml:space="preserve">de </w:t>
      </w:r>
      <w:r w:rsidR="00CB3FD2">
        <w:t xml:space="preserve">la construction de nouvelles prisons. Préciser : a) </w:t>
      </w:r>
      <w:r w:rsidR="00DD1009">
        <w:t xml:space="preserve">l’étendue de </w:t>
      </w:r>
      <w:r w:rsidR="00CB3FD2">
        <w:t>la population carcérale en Mauritanie ;</w:t>
      </w:r>
      <w:r w:rsidR="00DD1009">
        <w:t xml:space="preserve"> </w:t>
      </w:r>
      <w:r w:rsidR="0086491B">
        <w:t xml:space="preserve">et </w:t>
      </w:r>
      <w:r w:rsidR="00DD1009">
        <w:t xml:space="preserve">b) </w:t>
      </w:r>
      <w:r w:rsidR="00CB3FD2">
        <w:t xml:space="preserve">les mesures prises </w:t>
      </w:r>
      <w:r w:rsidR="00823894">
        <w:t xml:space="preserve">pour </w:t>
      </w:r>
      <w:r w:rsidR="00CB3FD2">
        <w:t xml:space="preserve">assurer la séparation des détenus, </w:t>
      </w:r>
      <w:r w:rsidR="00487308">
        <w:t xml:space="preserve">celle </w:t>
      </w:r>
      <w:r w:rsidR="00CB3FD2">
        <w:t>entre condamnés et prévenus</w:t>
      </w:r>
      <w:r w:rsidR="00DD1009">
        <w:t xml:space="preserve"> </w:t>
      </w:r>
      <w:r w:rsidR="00487308">
        <w:t xml:space="preserve">et celle </w:t>
      </w:r>
      <w:r w:rsidR="00DD1009">
        <w:t xml:space="preserve">entre </w:t>
      </w:r>
      <w:r w:rsidR="00CB3FD2">
        <w:t>adultes et mineurs</w:t>
      </w:r>
      <w:r w:rsidR="00DD1009">
        <w:t xml:space="preserve">. </w:t>
      </w:r>
      <w:r w:rsidR="007B4686">
        <w:t>Répond</w:t>
      </w:r>
      <w:r w:rsidR="00CB675D">
        <w:t>re</w:t>
      </w:r>
      <w:r w:rsidR="007B4686">
        <w:t xml:space="preserve"> aux allégations faisant état de conditions inadéquates de détention, en particulier en matière de logement, d’hygiène</w:t>
      </w:r>
      <w:r w:rsidR="002F242C">
        <w:t>,</w:t>
      </w:r>
      <w:r w:rsidR="007B4686">
        <w:t xml:space="preserve"> de salubrité, de qualité d’alimentation et d’accès aux soins de santé.</w:t>
      </w:r>
    </w:p>
    <w:p w14:paraId="59BB8B83" w14:textId="77777777" w:rsidR="0006221B" w:rsidRPr="00F41E68" w:rsidRDefault="0006221B" w:rsidP="00D172AB">
      <w:pPr>
        <w:pStyle w:val="H1G"/>
      </w:pPr>
      <w:r w:rsidRPr="00F41E68">
        <w:tab/>
      </w:r>
      <w:r w:rsidRPr="00F41E68">
        <w:tab/>
        <w:t>Liberté et sécurité de la personne (art.</w:t>
      </w:r>
      <w:r w:rsidR="0091384F">
        <w:t> </w:t>
      </w:r>
      <w:r w:rsidRPr="00F41E68">
        <w:t>9 et 14)</w:t>
      </w:r>
    </w:p>
    <w:p w14:paraId="0AE40A3E" w14:textId="79477D91" w:rsidR="0006221B" w:rsidRPr="00453AAD" w:rsidRDefault="00823894" w:rsidP="0006221B">
      <w:pPr>
        <w:pStyle w:val="SingleTxtG"/>
      </w:pPr>
      <w:r>
        <w:t>2</w:t>
      </w:r>
      <w:r w:rsidR="00CD346C">
        <w:t>0</w:t>
      </w:r>
      <w:r w:rsidR="0006221B">
        <w:t>.</w:t>
      </w:r>
      <w:r w:rsidR="0006221B">
        <w:tab/>
      </w:r>
      <w:r w:rsidR="00D83160">
        <w:t>À</w:t>
      </w:r>
      <w:r w:rsidR="0058579E">
        <w:t xml:space="preserve"> la lumière de la loi </w:t>
      </w:r>
      <w:r w:rsidR="007707D4">
        <w:t>n</w:t>
      </w:r>
      <w:r w:rsidR="007707D4" w:rsidRPr="00572372">
        <w:rPr>
          <w:vertAlign w:val="superscript"/>
        </w:rPr>
        <w:t>o</w:t>
      </w:r>
      <w:r w:rsidR="007707D4">
        <w:t> 2015-033</w:t>
      </w:r>
      <w:r w:rsidR="00BF01B9" w:rsidRPr="00BF01B9">
        <w:t xml:space="preserve"> </w:t>
      </w:r>
      <w:r w:rsidR="00BF01B9">
        <w:t>du 10 septembre 2015</w:t>
      </w:r>
      <w:r w:rsidR="007707D4">
        <w:t xml:space="preserve"> </w:t>
      </w:r>
      <w:r w:rsidR="0058579E">
        <w:t>relative à la lutte contre la torture et des dispositions pertinentes du Code de procédure pénale (art</w:t>
      </w:r>
      <w:r w:rsidR="00AA1B1A">
        <w:t>. </w:t>
      </w:r>
      <w:r w:rsidR="0058579E">
        <w:t>57</w:t>
      </w:r>
      <w:r w:rsidR="002D1D40">
        <w:t xml:space="preserve"> à </w:t>
      </w:r>
      <w:r w:rsidR="0058579E">
        <w:t xml:space="preserve">60), </w:t>
      </w:r>
      <w:r w:rsidR="0006221B" w:rsidRPr="00453AAD">
        <w:t>indiquer les mesures prises aux fins de veiller à ce que les garanties juridiques fondamentales soient respectées à l</w:t>
      </w:r>
      <w:r w:rsidR="00EE6FD6">
        <w:t>’</w:t>
      </w:r>
      <w:r w:rsidR="0006221B" w:rsidRPr="00453AAD">
        <w:t>égard des personnes en détention</w:t>
      </w:r>
      <w:r w:rsidR="0058579E">
        <w:t>. Indiquer également les mesures prises afin que la durée de la garde à vue soit respectée, y compris dans les cas de terrorisme</w:t>
      </w:r>
      <w:r w:rsidR="0006221B" w:rsidRPr="00453AAD">
        <w:t xml:space="preserve">. </w:t>
      </w:r>
      <w:r w:rsidR="0058579E">
        <w:t xml:space="preserve">Donner des informations sur les sanctions imposées aux officiers de sécurité n’ayant pas respecté les dispositions législatives relatives au respect des garanties juridiques fondamentales et à la durée de la garde à vue. </w:t>
      </w:r>
      <w:r w:rsidR="00935889">
        <w:t xml:space="preserve">Donner des informations sur l’état d’avancement de l’adoption de la législation relative au terrorisme pour la </w:t>
      </w:r>
      <w:r w:rsidR="00C511F5">
        <w:t xml:space="preserve">rendre </w:t>
      </w:r>
      <w:r w:rsidR="00935889">
        <w:t xml:space="preserve">conforme aux normes internationales </w:t>
      </w:r>
      <w:r w:rsidR="005D5D32">
        <w:t xml:space="preserve">en matière </w:t>
      </w:r>
      <w:r w:rsidR="00935889">
        <w:t>de droits de l’homme.</w:t>
      </w:r>
    </w:p>
    <w:p w14:paraId="6969A458" w14:textId="085A6BD6" w:rsidR="0006221B" w:rsidRPr="00453AAD" w:rsidRDefault="00823894" w:rsidP="00823894">
      <w:pPr>
        <w:pStyle w:val="SingleTxtG"/>
      </w:pPr>
      <w:r>
        <w:t>2</w:t>
      </w:r>
      <w:r w:rsidR="00CD346C">
        <w:t>1</w:t>
      </w:r>
      <w:r w:rsidR="0006221B">
        <w:t>.</w:t>
      </w:r>
      <w:r w:rsidR="0006221B">
        <w:tab/>
      </w:r>
      <w:r w:rsidR="00935889">
        <w:t>Répond</w:t>
      </w:r>
      <w:r w:rsidR="00A67C34">
        <w:t>re</w:t>
      </w:r>
      <w:r w:rsidR="00935889">
        <w:t xml:space="preserve"> aux allégations de recours à la détention au secret, en particulier de personnes suspectées d’actes terroristes. </w:t>
      </w:r>
      <w:r w:rsidR="006934A2">
        <w:t>Fournir des informations sur les mesures prises afin d’enquêter sur les lieux de détention secrète et d’engager des poursuites contre les responsables.</w:t>
      </w:r>
      <w:r w:rsidR="00935889">
        <w:t xml:space="preserve"> </w:t>
      </w:r>
      <w:r w:rsidR="0006221B" w:rsidRPr="00453AAD">
        <w:t xml:space="preserve">Indiquer </w:t>
      </w:r>
      <w:r w:rsidR="006934A2">
        <w:t xml:space="preserve">les mesures prises par </w:t>
      </w:r>
      <w:r w:rsidR="0006221B" w:rsidRPr="00453AAD">
        <w:t>l</w:t>
      </w:r>
      <w:r w:rsidR="00EE6FD6">
        <w:t>’</w:t>
      </w:r>
      <w:r w:rsidR="0006221B">
        <w:t>É</w:t>
      </w:r>
      <w:r w:rsidR="0006221B" w:rsidRPr="00453AAD">
        <w:t xml:space="preserve">tat partie </w:t>
      </w:r>
      <w:r w:rsidR="00F40B6F">
        <w:t xml:space="preserve">pour prévenir </w:t>
      </w:r>
      <w:r w:rsidR="00575527">
        <w:t>l</w:t>
      </w:r>
      <w:r w:rsidR="005A0171">
        <w:t xml:space="preserve">es détentions arbitraires </w:t>
      </w:r>
      <w:r w:rsidR="00F40B6F">
        <w:t xml:space="preserve">et protéger </w:t>
      </w:r>
      <w:r w:rsidR="005A0171">
        <w:t>de ce</w:t>
      </w:r>
      <w:r w:rsidR="005D5D32">
        <w:t xml:space="preserve"> type de</w:t>
      </w:r>
      <w:r w:rsidR="005A0171">
        <w:t xml:space="preserve"> </w:t>
      </w:r>
      <w:r w:rsidR="00F40B6F">
        <w:t>détention</w:t>
      </w:r>
      <w:r w:rsidR="005D5D32">
        <w:t>,</w:t>
      </w:r>
      <w:r w:rsidR="00F40B6F">
        <w:t xml:space="preserve"> et informer </w:t>
      </w:r>
      <w:r w:rsidR="00575527">
        <w:t>d</w:t>
      </w:r>
      <w:r w:rsidR="00F40B6F">
        <w:t xml:space="preserve">es suites données </w:t>
      </w:r>
      <w:r w:rsidR="00A46C99">
        <w:t xml:space="preserve">aux avis du Groupe de travail sur la détention arbitraire, notamment pour libérer et </w:t>
      </w:r>
      <w:r w:rsidR="006934A2">
        <w:t xml:space="preserve">indemniser </w:t>
      </w:r>
      <w:r w:rsidR="00A46C99">
        <w:t>les</w:t>
      </w:r>
      <w:r w:rsidR="006934A2">
        <w:t xml:space="preserve"> </w:t>
      </w:r>
      <w:r w:rsidR="0006221B" w:rsidRPr="00453AAD">
        <w:t xml:space="preserve">personnes </w:t>
      </w:r>
      <w:r w:rsidR="00A46C99">
        <w:t>concernées</w:t>
      </w:r>
      <w:r w:rsidR="00575527">
        <w:t xml:space="preserve">. Indiquer </w:t>
      </w:r>
      <w:r w:rsidR="00B74CFE">
        <w:t>le délai de détention provisoire</w:t>
      </w:r>
      <w:r w:rsidR="00575527">
        <w:t>,</w:t>
      </w:r>
      <w:r w:rsidR="00B74CFE">
        <w:t xml:space="preserve"> le nombre de personnes </w:t>
      </w:r>
      <w:r w:rsidR="00B74CFE">
        <w:lastRenderedPageBreak/>
        <w:t xml:space="preserve">condamnées et </w:t>
      </w:r>
      <w:r w:rsidR="005D5D32">
        <w:t xml:space="preserve">de </w:t>
      </w:r>
      <w:r w:rsidR="00B74CFE">
        <w:t>celles placées en détention provisoire</w:t>
      </w:r>
      <w:r w:rsidR="00575527">
        <w:t>,</w:t>
      </w:r>
      <w:r w:rsidR="00B74CFE">
        <w:t xml:space="preserve"> </w:t>
      </w:r>
      <w:r w:rsidR="00575527">
        <w:t xml:space="preserve">et </w:t>
      </w:r>
      <w:r w:rsidR="00B74CFE">
        <w:t>les mesures prises pour réduire la détention provisoire.</w:t>
      </w:r>
      <w:r w:rsidR="0006221B" w:rsidRPr="00453AAD">
        <w:t xml:space="preserve"> </w:t>
      </w:r>
    </w:p>
    <w:p w14:paraId="14D2AA2D" w14:textId="77777777" w:rsidR="0006221B" w:rsidRPr="00F41E68" w:rsidRDefault="0006221B" w:rsidP="00D172AB">
      <w:pPr>
        <w:pStyle w:val="H1G"/>
      </w:pPr>
      <w:r w:rsidRPr="00F41E68">
        <w:tab/>
      </w:r>
      <w:r w:rsidRPr="00F41E68">
        <w:tab/>
        <w:t>Administration de la justice (art.</w:t>
      </w:r>
      <w:r w:rsidR="0091384F">
        <w:t> </w:t>
      </w:r>
      <w:r w:rsidRPr="00F41E68">
        <w:t>14)</w:t>
      </w:r>
    </w:p>
    <w:p w14:paraId="70D72A88" w14:textId="48BC6358" w:rsidR="0006221B" w:rsidRPr="00453AAD" w:rsidRDefault="00823894" w:rsidP="0006221B">
      <w:pPr>
        <w:pStyle w:val="SingleTxtG"/>
      </w:pPr>
      <w:r>
        <w:t>2</w:t>
      </w:r>
      <w:r w:rsidR="00CD346C">
        <w:t>2</w:t>
      </w:r>
      <w:r w:rsidR="0006221B">
        <w:t>.</w:t>
      </w:r>
      <w:r w:rsidR="0006221B">
        <w:tab/>
      </w:r>
      <w:r w:rsidR="0006221B" w:rsidRPr="00453AAD">
        <w:t>Décrire les mesures prises pour renforcer les capacités du système judiciaire</w:t>
      </w:r>
      <w:r w:rsidR="0006221B">
        <w:t>,</w:t>
      </w:r>
      <w:r w:rsidR="0006221B" w:rsidRPr="00453AAD">
        <w:t xml:space="preserve"> en particulier</w:t>
      </w:r>
      <w:r w:rsidR="00732516">
        <w:t xml:space="preserve"> pour</w:t>
      </w:r>
      <w:r w:rsidR="0006221B" w:rsidRPr="00453AAD">
        <w:t xml:space="preserve"> : </w:t>
      </w:r>
      <w:r w:rsidR="0006221B">
        <w:t>a) </w:t>
      </w:r>
      <w:r w:rsidR="00CC52E4">
        <w:t xml:space="preserve">garantir l’indépendance du pouvoir judiciaire ; b) mettre en place des procédures qui </w:t>
      </w:r>
      <w:r>
        <w:t>le</w:t>
      </w:r>
      <w:r w:rsidR="00CC52E4">
        <w:t xml:space="preserve"> prémunissent </w:t>
      </w:r>
      <w:r w:rsidR="00DA05BC">
        <w:t xml:space="preserve">de la corruption et </w:t>
      </w:r>
      <w:r w:rsidR="00CC52E4">
        <w:t>des influences et des ingére</w:t>
      </w:r>
      <w:r w:rsidR="00C51CB9">
        <w:t>nces du pouvoir exécutif</w:t>
      </w:r>
      <w:r w:rsidR="00DA05BC">
        <w:t> ;</w:t>
      </w:r>
      <w:r w:rsidR="00C51CB9">
        <w:t xml:space="preserve"> </w:t>
      </w:r>
      <w:r w:rsidR="00B74CFE">
        <w:t>c</w:t>
      </w:r>
      <w:r w:rsidR="0006221B" w:rsidRPr="00453AAD">
        <w:t>)</w:t>
      </w:r>
      <w:r w:rsidR="0006221B">
        <w:t> </w:t>
      </w:r>
      <w:r w:rsidR="0006221B" w:rsidRPr="00453AAD">
        <w:t xml:space="preserve">garantir </w:t>
      </w:r>
      <w:r w:rsidR="0085420B">
        <w:t>dans la pra</w:t>
      </w:r>
      <w:r w:rsidR="00CC52E4">
        <w:t>tique l’inamovibilité des magistrats du siège </w:t>
      </w:r>
      <w:r w:rsidR="00C51CB9">
        <w:t xml:space="preserve">; </w:t>
      </w:r>
      <w:r w:rsidR="0086491B">
        <w:t xml:space="preserve">et </w:t>
      </w:r>
      <w:r w:rsidR="00C51CB9">
        <w:t>d)</w:t>
      </w:r>
      <w:r w:rsidR="0086491B">
        <w:t> </w:t>
      </w:r>
      <w:r w:rsidR="0085420B">
        <w:t>le doter de</w:t>
      </w:r>
      <w:r w:rsidR="007707D4">
        <w:t>s</w:t>
      </w:r>
      <w:r w:rsidR="0085420B">
        <w:t xml:space="preserve"> ressources nécessaires à son fonctionnement</w:t>
      </w:r>
      <w:r w:rsidR="00F40B6F">
        <w:t xml:space="preserve">. </w:t>
      </w:r>
      <w:r w:rsidR="0085420B">
        <w:t xml:space="preserve">Préciser les mesures prises pour garantir dans la pratique l’exercice des droits prévus à l’article 14 du Pacte, en particulier les droits de la défense en vue d’un procès équitable. </w:t>
      </w:r>
      <w:r w:rsidR="00D83160">
        <w:t>À</w:t>
      </w:r>
      <w:r w:rsidR="001267D3">
        <w:t xml:space="preserve"> la lumière de la loi </w:t>
      </w:r>
      <w:r w:rsidR="00B74CFE">
        <w:t>n</w:t>
      </w:r>
      <w:r w:rsidR="001267D3" w:rsidRPr="00572372">
        <w:rPr>
          <w:vertAlign w:val="superscript"/>
        </w:rPr>
        <w:t>o</w:t>
      </w:r>
      <w:r w:rsidR="00572372">
        <w:t> </w:t>
      </w:r>
      <w:r w:rsidR="001267D3">
        <w:t>2015-030 du 10</w:t>
      </w:r>
      <w:r w:rsidR="00AE6255">
        <w:t> </w:t>
      </w:r>
      <w:r w:rsidR="001267D3">
        <w:t>septembre 2015</w:t>
      </w:r>
      <w:r w:rsidR="00C15157" w:rsidRPr="00C15157">
        <w:t xml:space="preserve"> </w:t>
      </w:r>
      <w:r w:rsidR="00C15157">
        <w:t>portant aide judiciaire</w:t>
      </w:r>
      <w:r w:rsidR="001267D3">
        <w:t>, i</w:t>
      </w:r>
      <w:r w:rsidR="005D31D2" w:rsidRPr="00453AAD">
        <w:t>ndiquer les mesures prises aux fins d</w:t>
      </w:r>
      <w:r w:rsidR="005D31D2">
        <w:t xml:space="preserve">e rendre </w:t>
      </w:r>
      <w:r w:rsidR="00F642EF">
        <w:t>l’</w:t>
      </w:r>
      <w:r w:rsidR="00F642EF" w:rsidRPr="00453AAD">
        <w:t>assistance judiciaire</w:t>
      </w:r>
      <w:r w:rsidR="00F642EF">
        <w:t xml:space="preserve"> </w:t>
      </w:r>
      <w:r w:rsidR="001267D3">
        <w:t xml:space="preserve">plus </w:t>
      </w:r>
      <w:r w:rsidR="005D31D2">
        <w:t>accessible aux personnes accusées d’une infraction pénale</w:t>
      </w:r>
      <w:r w:rsidR="00F642EF">
        <w:t>,</w:t>
      </w:r>
      <w:r w:rsidR="005D31D2">
        <w:t xml:space="preserve"> en particulier dans les zones reculées</w:t>
      </w:r>
      <w:r w:rsidR="005D31D2" w:rsidRPr="00453AAD">
        <w:t>.</w:t>
      </w:r>
      <w:r w:rsidR="001267D3">
        <w:t xml:space="preserve"> </w:t>
      </w:r>
    </w:p>
    <w:p w14:paraId="0987875D" w14:textId="77777777" w:rsidR="0006221B" w:rsidRPr="00F41E68" w:rsidRDefault="0006221B" w:rsidP="00D172AB">
      <w:pPr>
        <w:pStyle w:val="H1G"/>
      </w:pPr>
      <w:r>
        <w:tab/>
      </w:r>
      <w:r>
        <w:tab/>
      </w:r>
      <w:r w:rsidRPr="007E11B9">
        <w:t>Traite des êtres humains et travail forcé (art.</w:t>
      </w:r>
      <w:r w:rsidR="0091384F" w:rsidRPr="007E11B9">
        <w:t> </w:t>
      </w:r>
      <w:r w:rsidRPr="007E11B9">
        <w:t>7, 8 et 24)</w:t>
      </w:r>
    </w:p>
    <w:p w14:paraId="2F60BA40" w14:textId="0AB2D1BB" w:rsidR="00620B4E" w:rsidRDefault="00823894" w:rsidP="00AE6255">
      <w:pPr>
        <w:pStyle w:val="SingleTxtG"/>
      </w:pPr>
      <w:r>
        <w:t>2</w:t>
      </w:r>
      <w:r w:rsidR="00CD346C">
        <w:t>3</w:t>
      </w:r>
      <w:r w:rsidR="0006221B">
        <w:t>.</w:t>
      </w:r>
      <w:r w:rsidR="0006221B">
        <w:tab/>
      </w:r>
      <w:r w:rsidR="0006221B" w:rsidRPr="00453AAD">
        <w:t xml:space="preserve">Eu égard </w:t>
      </w:r>
      <w:r w:rsidR="00757764">
        <w:t>à la loi n</w:t>
      </w:r>
      <w:r w:rsidR="00757764" w:rsidRPr="00572372">
        <w:rPr>
          <w:vertAlign w:val="superscript"/>
        </w:rPr>
        <w:t>o</w:t>
      </w:r>
      <w:r w:rsidR="00572372">
        <w:t> </w:t>
      </w:r>
      <w:r w:rsidR="00757764">
        <w:t xml:space="preserve">2015/031 </w:t>
      </w:r>
      <w:r w:rsidR="00C15157">
        <w:t xml:space="preserve">du 10 septembre 2015 </w:t>
      </w:r>
      <w:r w:rsidR="00757764">
        <w:t xml:space="preserve">portant incrimination de l’esclavage et réprimant les pratiques esclavagistes, fournir </w:t>
      </w:r>
      <w:r w:rsidR="00CD506C">
        <w:t>d</w:t>
      </w:r>
      <w:r w:rsidR="00757764">
        <w:t>es informations sur : a)</w:t>
      </w:r>
      <w:r w:rsidR="000B59D6">
        <w:t> </w:t>
      </w:r>
      <w:r w:rsidR="00620B4E">
        <w:t>l</w:t>
      </w:r>
      <w:r w:rsidR="00757764">
        <w:t>’étendue actuelle d</w:t>
      </w:r>
      <w:r w:rsidR="006968E7">
        <w:t>e l</w:t>
      </w:r>
      <w:r w:rsidR="00757764">
        <w:t>’esclavage ; b)</w:t>
      </w:r>
      <w:r w:rsidR="00AE6255">
        <w:t> </w:t>
      </w:r>
      <w:r w:rsidR="00757764">
        <w:t>les mesures pour faciliter le dépôt de plainte par les victimes de l’esclavag</w:t>
      </w:r>
      <w:r w:rsidR="00A22512">
        <w:t>ism</w:t>
      </w:r>
      <w:r w:rsidR="00757764">
        <w:t>e ; c)</w:t>
      </w:r>
      <w:r w:rsidR="00AE6255">
        <w:t> </w:t>
      </w:r>
      <w:r w:rsidR="00757764">
        <w:t>les moyens à la disposition des policiers et de la justice pour enquêter et poursuivre les auteurs</w:t>
      </w:r>
      <w:r w:rsidR="0026302F">
        <w:t xml:space="preserve"> de ce crime</w:t>
      </w:r>
      <w:r w:rsidR="00757764">
        <w:t> ; d)</w:t>
      </w:r>
      <w:r w:rsidR="00AE6255">
        <w:t> </w:t>
      </w:r>
      <w:r w:rsidR="00757764">
        <w:t>le nombre de plaintes déposées</w:t>
      </w:r>
      <w:r w:rsidR="007C1605" w:rsidRPr="007C1605">
        <w:t xml:space="preserve"> </w:t>
      </w:r>
      <w:r w:rsidR="007C1605">
        <w:t xml:space="preserve">et </w:t>
      </w:r>
      <w:proofErr w:type="spellStart"/>
      <w:r w:rsidR="007C1605">
        <w:t>enregistr</w:t>
      </w:r>
      <w:proofErr w:type="spellEnd"/>
      <w:r w:rsidR="007C1605" w:rsidRPr="007C1605">
        <w:rPr>
          <w:lang w:val="fr-FR"/>
        </w:rPr>
        <w:t>é</w:t>
      </w:r>
      <w:r w:rsidR="007C1605">
        <w:t>es</w:t>
      </w:r>
      <w:r w:rsidR="00757764">
        <w:t>, les enquêtes menées, les condamnations et les sanctions prononcées</w:t>
      </w:r>
      <w:r w:rsidR="006C4AB4">
        <w:t xml:space="preserve"> et la réparation </w:t>
      </w:r>
      <w:r w:rsidR="00B74CFE">
        <w:t>octroyée</w:t>
      </w:r>
      <w:r w:rsidR="006C4AB4">
        <w:t xml:space="preserve"> aux victimes</w:t>
      </w:r>
      <w:r w:rsidR="000F136D">
        <w:t>,</w:t>
      </w:r>
      <w:r w:rsidR="00CE54A1">
        <w:t xml:space="preserve"> notamment </w:t>
      </w:r>
      <w:r w:rsidR="000F136D">
        <w:t>en matière d</w:t>
      </w:r>
      <w:r w:rsidR="00CE54A1">
        <w:t xml:space="preserve">’indemnisation et </w:t>
      </w:r>
      <w:r w:rsidR="000F136D">
        <w:t>de</w:t>
      </w:r>
      <w:r w:rsidR="00CE54A1">
        <w:t xml:space="preserve"> réhabilitati</w:t>
      </w:r>
      <w:r w:rsidR="00BD13D0">
        <w:t>on</w:t>
      </w:r>
      <w:r w:rsidR="00757764">
        <w:t>; e) les ressources allouées aux tribunaux spéciaux de Nouakchott, Nouadhibou et Néma</w:t>
      </w:r>
      <w:r w:rsidR="00E25804">
        <w:t xml:space="preserve"> ; </w:t>
      </w:r>
      <w:r w:rsidR="0086491B">
        <w:t xml:space="preserve">et </w:t>
      </w:r>
      <w:r w:rsidR="00E25804">
        <w:t xml:space="preserve">f) </w:t>
      </w:r>
      <w:r w:rsidR="00B74CFE">
        <w:t xml:space="preserve">les mesures </w:t>
      </w:r>
      <w:r w:rsidR="000F136D">
        <w:t xml:space="preserve">prises </w:t>
      </w:r>
      <w:r w:rsidR="00B74CFE">
        <w:t xml:space="preserve">pour </w:t>
      </w:r>
      <w:r w:rsidR="00E25804">
        <w:t>faciliter la constitution de partie civile par toute organisation de la société civile</w:t>
      </w:r>
      <w:r w:rsidR="00B74CFE">
        <w:t>,</w:t>
      </w:r>
      <w:r w:rsidR="00E25804">
        <w:t xml:space="preserve"> </w:t>
      </w:r>
      <w:r w:rsidR="009F0AD0">
        <w:t xml:space="preserve">quelle que soit la date de </w:t>
      </w:r>
      <w:r w:rsidR="0026302F">
        <w:t>sa</w:t>
      </w:r>
      <w:r w:rsidR="009F0AD0">
        <w:t xml:space="preserve"> formation</w:t>
      </w:r>
      <w:r w:rsidR="00757764">
        <w:t>. Préciser les mesures prises afin que les sanctions prononcées pour faits d’esclavag</w:t>
      </w:r>
      <w:r w:rsidR="00F30EAB">
        <w:t>ism</w:t>
      </w:r>
      <w:r w:rsidR="00757764">
        <w:t xml:space="preserve">e soient proportionnelles à </w:t>
      </w:r>
      <w:r w:rsidR="00DF6541">
        <w:t>l</w:t>
      </w:r>
      <w:r w:rsidR="00757764">
        <w:t xml:space="preserve">a gravité des actes. </w:t>
      </w:r>
    </w:p>
    <w:p w14:paraId="2CD5FD52" w14:textId="69BA6502" w:rsidR="0006221B" w:rsidRPr="00453AAD" w:rsidRDefault="00823894" w:rsidP="00DF6541">
      <w:pPr>
        <w:pStyle w:val="SingleTxtG"/>
      </w:pPr>
      <w:r>
        <w:t>2</w:t>
      </w:r>
      <w:r w:rsidR="00CD346C">
        <w:t>4</w:t>
      </w:r>
      <w:r w:rsidR="005F0529">
        <w:t>.</w:t>
      </w:r>
      <w:r w:rsidR="005F0529">
        <w:tab/>
      </w:r>
      <w:r w:rsidR="00620B4E">
        <w:t xml:space="preserve">Préciser </w:t>
      </w:r>
      <w:r w:rsidR="00B74CFE">
        <w:t xml:space="preserve">dans quelle mesure les </w:t>
      </w:r>
      <w:r w:rsidR="00620B4E">
        <w:t xml:space="preserve">campagnes de sensibilisation menées </w:t>
      </w:r>
      <w:r w:rsidR="001B3F29">
        <w:t xml:space="preserve">ont permis de réduire </w:t>
      </w:r>
      <w:r w:rsidR="00620B4E">
        <w:t xml:space="preserve">l’esclavage et </w:t>
      </w:r>
      <w:r w:rsidR="007473F8">
        <w:t>l</w:t>
      </w:r>
      <w:r w:rsidR="00620B4E">
        <w:t xml:space="preserve">es pratiques esclavagistes. Donner des informations sur les mesures prises afin de favoriser une </w:t>
      </w:r>
      <w:r w:rsidR="00CE54A1">
        <w:t xml:space="preserve">protection et une </w:t>
      </w:r>
      <w:r w:rsidR="00620B4E">
        <w:t>réintégration adéquate</w:t>
      </w:r>
      <w:r w:rsidR="00CE54A1">
        <w:t>s</w:t>
      </w:r>
      <w:r w:rsidR="00620B4E">
        <w:t xml:space="preserve"> des personnes sorties de situations d’esclavage et de pratiques esclavagistes</w:t>
      </w:r>
      <w:r w:rsidR="00CE54A1">
        <w:t>, en particulier pour les femmes</w:t>
      </w:r>
      <w:r w:rsidR="00620B4E">
        <w:t>. Répond</w:t>
      </w:r>
      <w:r w:rsidR="00CB675D">
        <w:t>re</w:t>
      </w:r>
      <w:r w:rsidR="00620B4E">
        <w:t xml:space="preserve"> aux allégations d’après lesquelles l’</w:t>
      </w:r>
      <w:r w:rsidR="007473F8">
        <w:t>a</w:t>
      </w:r>
      <w:r w:rsidR="00620B4E">
        <w:t>ge</w:t>
      </w:r>
      <w:r w:rsidR="00CE54A1">
        <w:t xml:space="preserve">nce </w:t>
      </w:r>
      <w:r w:rsidR="007473F8">
        <w:t xml:space="preserve">nationale </w:t>
      </w:r>
      <w:proofErr w:type="spellStart"/>
      <w:r w:rsidR="007473F8">
        <w:t>Tadamoun</w:t>
      </w:r>
      <w:proofErr w:type="spellEnd"/>
      <w:r w:rsidR="007473F8">
        <w:t xml:space="preserve"> pour la lutte contre les séquelles de l’e</w:t>
      </w:r>
      <w:r w:rsidR="004E646A">
        <w:t>s</w:t>
      </w:r>
      <w:r w:rsidR="007473F8">
        <w:t xml:space="preserve">clavage, </w:t>
      </w:r>
      <w:r w:rsidR="004E646A">
        <w:t>l’insertion et la lutte contre la pauvreté</w:t>
      </w:r>
      <w:r w:rsidR="007473F8">
        <w:t xml:space="preserve"> </w:t>
      </w:r>
      <w:r w:rsidR="00CE54A1">
        <w:t>ne dispose pas de</w:t>
      </w:r>
      <w:r w:rsidR="004E646A">
        <w:t>s</w:t>
      </w:r>
      <w:r w:rsidR="00CE54A1">
        <w:t xml:space="preserve"> ressources nécessaires pour </w:t>
      </w:r>
      <w:r w:rsidR="004E646A">
        <w:t xml:space="preserve">aider </w:t>
      </w:r>
      <w:r w:rsidR="00CE54A1">
        <w:t>les victimes de l’esclavage</w:t>
      </w:r>
      <w:r w:rsidR="00620B4E">
        <w:t>.</w:t>
      </w:r>
    </w:p>
    <w:p w14:paraId="1F84FB7A" w14:textId="77777777" w:rsidR="004E51F0" w:rsidRDefault="00823894" w:rsidP="0006221B">
      <w:pPr>
        <w:pStyle w:val="SingleTxtG"/>
      </w:pPr>
      <w:r>
        <w:t>2</w:t>
      </w:r>
      <w:r w:rsidR="00CD346C">
        <w:t>5</w:t>
      </w:r>
      <w:r w:rsidR="0006221B">
        <w:t>.</w:t>
      </w:r>
      <w:r w:rsidR="0006221B">
        <w:tab/>
      </w:r>
      <w:r w:rsidR="009303B5">
        <w:t>F</w:t>
      </w:r>
      <w:r w:rsidR="0006221B" w:rsidRPr="00453AAD">
        <w:t>ournir des informations sur</w:t>
      </w:r>
      <w:r w:rsidR="009303B5">
        <w:t xml:space="preserve"> : </w:t>
      </w:r>
    </w:p>
    <w:p w14:paraId="7BDB8C33" w14:textId="2EC1F1F1" w:rsidR="004E51F0" w:rsidRDefault="009303B5" w:rsidP="00D172AB">
      <w:pPr>
        <w:pStyle w:val="SingleTxtG"/>
        <w:ind w:firstLine="567"/>
      </w:pPr>
      <w:r>
        <w:t>a)</w:t>
      </w:r>
      <w:r w:rsidR="004E51F0">
        <w:tab/>
        <w:t>L</w:t>
      </w:r>
      <w:r w:rsidR="00EE6FD6">
        <w:t>’</w:t>
      </w:r>
      <w:r>
        <w:t>étendue de</w:t>
      </w:r>
      <w:r w:rsidR="001B3F29">
        <w:t xml:space="preserve"> la</w:t>
      </w:r>
      <w:r>
        <w:t xml:space="preserve"> traite des femmes et des filles à des fins d’exploitation sexuelle et de travail ; </w:t>
      </w:r>
    </w:p>
    <w:p w14:paraId="07471E87" w14:textId="616B79D3" w:rsidR="004E51F0" w:rsidRDefault="009303B5" w:rsidP="00D172AB">
      <w:pPr>
        <w:pStyle w:val="SingleTxtG"/>
        <w:ind w:firstLine="567"/>
      </w:pPr>
      <w:r>
        <w:t>b)</w:t>
      </w:r>
      <w:r w:rsidR="004E51F0">
        <w:tab/>
        <w:t>L</w:t>
      </w:r>
      <w:r>
        <w:t>’application effective de la législation</w:t>
      </w:r>
      <w:r w:rsidR="004E646A">
        <w:t>,</w:t>
      </w:r>
      <w:r>
        <w:t xml:space="preserve"> notamment les enquêtes </w:t>
      </w:r>
      <w:r w:rsidR="001B3F29">
        <w:t xml:space="preserve">menées </w:t>
      </w:r>
      <w:r>
        <w:t>et les poursuites engagées contre les responsables</w:t>
      </w:r>
      <w:r w:rsidR="004E646A">
        <w:t xml:space="preserve"> de cas d’esclavage</w:t>
      </w:r>
      <w:r>
        <w:t xml:space="preserve"> ; </w:t>
      </w:r>
    </w:p>
    <w:p w14:paraId="4DFFC14B" w14:textId="31D100CF" w:rsidR="004E646A" w:rsidRDefault="009303B5" w:rsidP="00D172AB">
      <w:pPr>
        <w:pStyle w:val="SingleTxtG"/>
        <w:ind w:firstLine="567"/>
      </w:pPr>
      <w:r>
        <w:t>c)</w:t>
      </w:r>
      <w:r w:rsidR="004E51F0">
        <w:tab/>
        <w:t>L</w:t>
      </w:r>
      <w:r>
        <w:t xml:space="preserve">es mesures de protection prévues pour les victimes ; </w:t>
      </w:r>
    </w:p>
    <w:p w14:paraId="40810EDC" w14:textId="3A18C4F7" w:rsidR="004E51F0" w:rsidRDefault="009303B5" w:rsidP="00D172AB">
      <w:pPr>
        <w:pStyle w:val="SingleTxtG"/>
        <w:ind w:firstLine="567"/>
      </w:pPr>
      <w:r>
        <w:t>d)</w:t>
      </w:r>
      <w:r w:rsidR="004E646A">
        <w:tab/>
        <w:t>L</w:t>
      </w:r>
      <w:r w:rsidR="001B3F29">
        <w:t>’</w:t>
      </w:r>
      <w:r w:rsidR="007D11D8">
        <w:t>adopt</w:t>
      </w:r>
      <w:r w:rsidR="001B3F29">
        <w:t>ion</w:t>
      </w:r>
      <w:r w:rsidR="007D11D8">
        <w:t xml:space="preserve"> </w:t>
      </w:r>
      <w:r w:rsidR="001B3F29">
        <w:t>d’</w:t>
      </w:r>
      <w:r w:rsidR="007D11D8">
        <w:t xml:space="preserve">une stratégie nationale contre la traite des personnes ; </w:t>
      </w:r>
    </w:p>
    <w:p w14:paraId="286404FD" w14:textId="386A603C" w:rsidR="0006221B" w:rsidRDefault="007D11D8" w:rsidP="00D172AB">
      <w:pPr>
        <w:pStyle w:val="SingleTxtG"/>
        <w:ind w:firstLine="567"/>
      </w:pPr>
      <w:r>
        <w:t>e)</w:t>
      </w:r>
      <w:r w:rsidR="004E51F0">
        <w:tab/>
        <w:t>L</w:t>
      </w:r>
      <w:r w:rsidR="009303B5">
        <w:t>es campagnes de sensibilisation menées sur ce phénomène.</w:t>
      </w:r>
    </w:p>
    <w:p w14:paraId="20201B5B" w14:textId="1D2F63A3" w:rsidR="009F35E6" w:rsidRDefault="00C51CB9" w:rsidP="00D172AB">
      <w:pPr>
        <w:pStyle w:val="H1G"/>
      </w:pPr>
      <w:r>
        <w:rPr>
          <w:lang w:val="fr-FR"/>
        </w:rPr>
        <w:tab/>
      </w:r>
      <w:r>
        <w:rPr>
          <w:lang w:val="fr-FR"/>
        </w:rPr>
        <w:tab/>
      </w:r>
      <w:r w:rsidR="009F35E6" w:rsidRPr="009F35E6">
        <w:rPr>
          <w:lang w:val="fr-FR"/>
        </w:rPr>
        <w:t>Réf</w:t>
      </w:r>
      <w:r w:rsidR="009F35E6" w:rsidRPr="00823104">
        <w:rPr>
          <w:lang w:val="fr-FR"/>
        </w:rPr>
        <w:t>ugiés</w:t>
      </w:r>
      <w:r w:rsidR="009F35E6">
        <w:rPr>
          <w:lang w:val="fr-FR"/>
        </w:rPr>
        <w:t xml:space="preserve">, </w:t>
      </w:r>
      <w:r w:rsidR="009F35E6" w:rsidRPr="00823104">
        <w:rPr>
          <w:lang w:val="fr-FR"/>
        </w:rPr>
        <w:t>demandeurs d’asile</w:t>
      </w:r>
      <w:r w:rsidR="009F35E6">
        <w:rPr>
          <w:lang w:val="fr-FR"/>
        </w:rPr>
        <w:t>, apatrides</w:t>
      </w:r>
      <w:r w:rsidR="009F35E6" w:rsidRPr="00823104">
        <w:rPr>
          <w:lang w:val="fr-FR"/>
        </w:rPr>
        <w:t xml:space="preserve"> et liberté de mo</w:t>
      </w:r>
      <w:r w:rsidR="009F35E6">
        <w:rPr>
          <w:lang w:val="fr-FR"/>
        </w:rPr>
        <w:t>u</w:t>
      </w:r>
      <w:r w:rsidR="009F35E6" w:rsidRPr="00823104">
        <w:rPr>
          <w:lang w:val="fr-FR"/>
        </w:rPr>
        <w:t>vement</w:t>
      </w:r>
      <w:r w:rsidR="009F35E6">
        <w:rPr>
          <w:lang w:val="fr-FR"/>
        </w:rPr>
        <w:t xml:space="preserve"> </w:t>
      </w:r>
      <w:r>
        <w:rPr>
          <w:lang w:val="fr-FR"/>
        </w:rPr>
        <w:br/>
      </w:r>
      <w:r w:rsidR="009F35E6" w:rsidRPr="00823104">
        <w:rPr>
          <w:lang w:val="fr-FR"/>
        </w:rPr>
        <w:t>(art</w:t>
      </w:r>
      <w:r w:rsidR="00AA1B1A">
        <w:rPr>
          <w:lang w:val="fr-FR"/>
        </w:rPr>
        <w:t>. </w:t>
      </w:r>
      <w:r w:rsidR="009F35E6">
        <w:t xml:space="preserve">7, 12, 13, 16 </w:t>
      </w:r>
      <w:r w:rsidR="002D1D40">
        <w:t xml:space="preserve">et </w:t>
      </w:r>
      <w:r w:rsidR="009F35E6">
        <w:t>26)</w:t>
      </w:r>
    </w:p>
    <w:p w14:paraId="0AC62371" w14:textId="18E832C5" w:rsidR="0006221B" w:rsidRPr="00B27BB7" w:rsidRDefault="00823894" w:rsidP="00DF6541">
      <w:pPr>
        <w:pStyle w:val="SingleTxtG"/>
        <w:rPr>
          <w:spacing w:val="-2"/>
        </w:rPr>
      </w:pPr>
      <w:r>
        <w:t>2</w:t>
      </w:r>
      <w:r w:rsidR="00CD346C">
        <w:t>6</w:t>
      </w:r>
      <w:r w:rsidR="005F0529">
        <w:t>.</w:t>
      </w:r>
      <w:r w:rsidR="005F0529">
        <w:tab/>
      </w:r>
      <w:r w:rsidR="00504C14">
        <w:t xml:space="preserve">Donner des informations sur l’état d’avancement du projet de loi </w:t>
      </w:r>
      <w:r w:rsidR="006F1488">
        <w:t>relatif au droit d’</w:t>
      </w:r>
      <w:r w:rsidR="00504C14">
        <w:t>asile</w:t>
      </w:r>
      <w:r w:rsidR="006F1488">
        <w:t xml:space="preserve"> en Mauritanie</w:t>
      </w:r>
      <w:r w:rsidR="00504C14">
        <w:t xml:space="preserve">. Donner des informations sur les mesures prises afin d’assurer un processus de détermination du statut de réfugié qui </w:t>
      </w:r>
      <w:r w:rsidR="001B3F29">
        <w:t xml:space="preserve">présente </w:t>
      </w:r>
      <w:r w:rsidR="00A03505">
        <w:t>d</w:t>
      </w:r>
      <w:r w:rsidR="001B3F29">
        <w:t xml:space="preserve">es garanties de justice et de transparence. </w:t>
      </w:r>
      <w:r w:rsidR="00504C14">
        <w:t>Décrire les procédures mise</w:t>
      </w:r>
      <w:r w:rsidR="00A03505">
        <w:t>s</w:t>
      </w:r>
      <w:r w:rsidR="00504C14">
        <w:t xml:space="preserve"> en place pour garantir le respect du principe de non-refoulement</w:t>
      </w:r>
      <w:r w:rsidR="001B3F29">
        <w:t xml:space="preserve"> et les mesures prises afin de prévenir l’apatridie</w:t>
      </w:r>
      <w:r w:rsidR="006F1488">
        <w:t xml:space="preserve">. </w:t>
      </w:r>
      <w:r w:rsidR="006F1488" w:rsidRPr="00453AAD">
        <w:t xml:space="preserve">Indiquer les progrès réalisés </w:t>
      </w:r>
      <w:r w:rsidR="006F1488">
        <w:t>dans la délivrance des papiers d’état civil aux Mauritaniens rapatriés du Sénégal et à leurs enfants</w:t>
      </w:r>
      <w:r w:rsidR="00A03505">
        <w:t>,</w:t>
      </w:r>
      <w:r w:rsidR="001B3F29">
        <w:t xml:space="preserve"> </w:t>
      </w:r>
      <w:r w:rsidR="0048588A">
        <w:lastRenderedPageBreak/>
        <w:t xml:space="preserve">ainsi que </w:t>
      </w:r>
      <w:r w:rsidR="006F1488">
        <w:t xml:space="preserve">dans l’enregistrement des naissances des enfants réfugiés et des demandeurs d’asile nés en Mauritanie, notamment ceux du camp </w:t>
      </w:r>
      <w:proofErr w:type="spellStart"/>
      <w:r w:rsidR="006F1488">
        <w:t>Mbera</w:t>
      </w:r>
      <w:proofErr w:type="spellEnd"/>
      <w:r w:rsidR="006F1488">
        <w:t>.</w:t>
      </w:r>
      <w:r w:rsidR="00721D09">
        <w:t xml:space="preserve"> </w:t>
      </w:r>
    </w:p>
    <w:p w14:paraId="6E4A4E0F" w14:textId="77777777" w:rsidR="0006221B" w:rsidRPr="00F41E68" w:rsidRDefault="0006221B" w:rsidP="00D172AB">
      <w:pPr>
        <w:pStyle w:val="H1G"/>
      </w:pPr>
      <w:r w:rsidRPr="00F41E68">
        <w:tab/>
      </w:r>
      <w:r w:rsidRPr="00F41E68">
        <w:tab/>
        <w:t xml:space="preserve">Libertés </w:t>
      </w:r>
      <w:r w:rsidR="007D11D8">
        <w:t>de religion</w:t>
      </w:r>
      <w:r w:rsidR="00DF6541">
        <w:t xml:space="preserve"> et</w:t>
      </w:r>
      <w:r w:rsidR="007D11D8">
        <w:t xml:space="preserve"> </w:t>
      </w:r>
      <w:r w:rsidRPr="00F41E68">
        <w:t>d</w:t>
      </w:r>
      <w:r w:rsidR="00EE6FD6">
        <w:t>’</w:t>
      </w:r>
      <w:r w:rsidRPr="00F41E68">
        <w:t>expression (art.</w:t>
      </w:r>
      <w:r w:rsidR="0091384F">
        <w:t> </w:t>
      </w:r>
      <w:r w:rsidRPr="00F41E68">
        <w:t xml:space="preserve">6, 7, </w:t>
      </w:r>
      <w:r w:rsidR="00DF6541">
        <w:t>18 et 19)</w:t>
      </w:r>
    </w:p>
    <w:p w14:paraId="33A19581" w14:textId="0A954652" w:rsidR="00DF6541" w:rsidRDefault="00823894" w:rsidP="001B3F29">
      <w:pPr>
        <w:pStyle w:val="SingleTxtG"/>
      </w:pPr>
      <w:r>
        <w:t>2</w:t>
      </w:r>
      <w:r w:rsidR="00CD346C">
        <w:t>7</w:t>
      </w:r>
      <w:r w:rsidR="0006221B">
        <w:t>.</w:t>
      </w:r>
      <w:r w:rsidR="0006221B">
        <w:tab/>
      </w:r>
      <w:r w:rsidR="0006221B" w:rsidRPr="00B27BB7">
        <w:t xml:space="preserve">Indiquer </w:t>
      </w:r>
      <w:r w:rsidR="0068075F">
        <w:t>si l’</w:t>
      </w:r>
      <w:r w:rsidR="009D4DEB">
        <w:t>État</w:t>
      </w:r>
      <w:r w:rsidR="0068075F">
        <w:t xml:space="preserve"> partie entend revoir sa position </w:t>
      </w:r>
      <w:r w:rsidR="001B3F29">
        <w:t xml:space="preserve">concernant la </w:t>
      </w:r>
      <w:r w:rsidR="0068075F">
        <w:t>dépénalis</w:t>
      </w:r>
      <w:r w:rsidR="001B3F29">
        <w:t xml:space="preserve">ation du </w:t>
      </w:r>
      <w:r w:rsidR="0068075F">
        <w:t xml:space="preserve">crime d’apostasie. </w:t>
      </w:r>
      <w:r w:rsidR="00153352">
        <w:t xml:space="preserve">Donner des informations </w:t>
      </w:r>
      <w:r w:rsidR="001B3F29">
        <w:t xml:space="preserve">sur les mesures visant à </w:t>
      </w:r>
      <w:r w:rsidR="00153352">
        <w:t>garantir dans la pratique l’exercice de la liberté d’expression</w:t>
      </w:r>
      <w:r w:rsidR="00C511F5">
        <w:t>, en particulier dans sa relation avec la liberté de religion,</w:t>
      </w:r>
      <w:r w:rsidR="00153352">
        <w:t xml:space="preserve"> sans entraves arbitraires.</w:t>
      </w:r>
    </w:p>
    <w:p w14:paraId="58F139AC" w14:textId="63BF44FF" w:rsidR="00DF6541" w:rsidRPr="00F47452" w:rsidRDefault="00C51CB9" w:rsidP="00D172AB">
      <w:pPr>
        <w:pStyle w:val="H1G"/>
      </w:pPr>
      <w:r>
        <w:tab/>
      </w:r>
      <w:r>
        <w:tab/>
      </w:r>
      <w:r w:rsidR="00DF6541" w:rsidRPr="00F47452">
        <w:t>Liberté de réunion pacifique et d’association et protection des</w:t>
      </w:r>
      <w:r w:rsidR="00D172AB">
        <w:t> </w:t>
      </w:r>
      <w:r w:rsidR="00DF6541" w:rsidRPr="00F47452">
        <w:t>journalistes et des défenseurs des droits de l’homme</w:t>
      </w:r>
      <w:r w:rsidR="00F1436E">
        <w:t xml:space="preserve"> </w:t>
      </w:r>
      <w:r w:rsidR="00D172AB">
        <w:br/>
      </w:r>
      <w:r w:rsidR="00F1436E">
        <w:t>(art</w:t>
      </w:r>
      <w:r w:rsidR="00096FC5">
        <w:t>. </w:t>
      </w:r>
      <w:r w:rsidR="00F1436E">
        <w:t xml:space="preserve">6, 7, </w:t>
      </w:r>
      <w:r w:rsidR="00DF6541">
        <w:t>9, 19</w:t>
      </w:r>
      <w:r w:rsidR="00905BFE">
        <w:t xml:space="preserve">, </w:t>
      </w:r>
      <w:r w:rsidR="00DF6541">
        <w:t>21</w:t>
      </w:r>
      <w:r w:rsidR="00905BFE">
        <w:t xml:space="preserve"> et 22</w:t>
      </w:r>
      <w:r w:rsidR="00DF6541">
        <w:t>)</w:t>
      </w:r>
    </w:p>
    <w:p w14:paraId="393E6416" w14:textId="2713357A" w:rsidR="009303B5" w:rsidRPr="00823104" w:rsidRDefault="00DF6541" w:rsidP="001B3F29">
      <w:pPr>
        <w:pStyle w:val="SingleTxtG"/>
        <w:rPr>
          <w:b/>
        </w:rPr>
      </w:pPr>
      <w:r>
        <w:t>2</w:t>
      </w:r>
      <w:r w:rsidR="00CD346C">
        <w:t>8</w:t>
      </w:r>
      <w:r w:rsidR="00C51CB9">
        <w:t>.</w:t>
      </w:r>
      <w:r w:rsidR="005F0529">
        <w:tab/>
      </w:r>
      <w:r w:rsidR="0006221B" w:rsidRPr="00B27BB7">
        <w:t xml:space="preserve">Indiquer les mesures </w:t>
      </w:r>
      <w:r w:rsidR="004D3F68">
        <w:t>existantes</w:t>
      </w:r>
      <w:r w:rsidR="0006221B" w:rsidRPr="00B27BB7">
        <w:t xml:space="preserve"> </w:t>
      </w:r>
      <w:r w:rsidR="004D3F68">
        <w:t xml:space="preserve">visant à </w:t>
      </w:r>
      <w:r w:rsidR="0006221B" w:rsidRPr="00B27BB7">
        <w:t>garantir</w:t>
      </w:r>
      <w:r w:rsidR="002D75CC">
        <w:t xml:space="preserve"> dans la pratique</w:t>
      </w:r>
      <w:r w:rsidR="0006221B" w:rsidRPr="00B27BB7">
        <w:t xml:space="preserve"> la protection des défenseurs des droits de l</w:t>
      </w:r>
      <w:r w:rsidR="00EE6FD6">
        <w:t>’</w:t>
      </w:r>
      <w:r w:rsidR="0006221B" w:rsidRPr="00B27BB7">
        <w:t>homme et des journalistes</w:t>
      </w:r>
      <w:r w:rsidR="0006221B">
        <w:t>,</w:t>
      </w:r>
      <w:r w:rsidR="0006221B" w:rsidRPr="00B27BB7">
        <w:t xml:space="preserve"> et répondre aux allégations faisant état de menaces, de détentions et d</w:t>
      </w:r>
      <w:r w:rsidR="00EE6FD6">
        <w:t>’</w:t>
      </w:r>
      <w:r w:rsidR="0006221B" w:rsidRPr="00B27BB7">
        <w:t xml:space="preserve">abus physiques </w:t>
      </w:r>
      <w:r w:rsidR="00096FC5">
        <w:t>à l’en</w:t>
      </w:r>
      <w:r w:rsidR="0006221B" w:rsidRPr="00B27BB7">
        <w:t xml:space="preserve">contre </w:t>
      </w:r>
      <w:r w:rsidR="00096FC5">
        <w:t xml:space="preserve">de </w:t>
      </w:r>
      <w:r w:rsidR="0006221B" w:rsidRPr="00B27BB7">
        <w:t>ces derniers</w:t>
      </w:r>
      <w:r w:rsidR="00096FC5">
        <w:t>,</w:t>
      </w:r>
      <w:r w:rsidR="002D75CC">
        <w:t xml:space="preserve"> notamment lors de manifestations</w:t>
      </w:r>
      <w:r w:rsidR="0006221B" w:rsidRPr="00B27BB7">
        <w:t xml:space="preserve">. </w:t>
      </w:r>
      <w:r w:rsidR="004D3F68">
        <w:t>Donner des informations sur les enquêtes menées, les poursuites en</w:t>
      </w:r>
      <w:r w:rsidR="001B3F29">
        <w:t>gagées</w:t>
      </w:r>
      <w:r w:rsidR="004D3F68">
        <w:t xml:space="preserve"> et les condamnations et sanctions prononcées contre les forces de sécurité ayant recouru </w:t>
      </w:r>
      <w:r w:rsidR="00096FC5">
        <w:t>à l’</w:t>
      </w:r>
      <w:r w:rsidR="004D3F68">
        <w:t xml:space="preserve">intimidation, à l’usage excessif de la force et </w:t>
      </w:r>
      <w:r w:rsidR="00096FC5">
        <w:t xml:space="preserve">aux </w:t>
      </w:r>
      <w:r w:rsidR="004D3F68">
        <w:t xml:space="preserve">mauvais traitements </w:t>
      </w:r>
      <w:r w:rsidR="00096FC5">
        <w:t>à l’en</w:t>
      </w:r>
      <w:r w:rsidR="004D3F68">
        <w:t xml:space="preserve">contre </w:t>
      </w:r>
      <w:r w:rsidR="00096FC5">
        <w:t>d</w:t>
      </w:r>
      <w:r w:rsidR="004D3F68">
        <w:t xml:space="preserve">es défenseurs des droits de l’homme, notamment les militants </w:t>
      </w:r>
      <w:proofErr w:type="spellStart"/>
      <w:r w:rsidR="004D3F68">
        <w:t>antiesclavagistes</w:t>
      </w:r>
      <w:proofErr w:type="spellEnd"/>
      <w:r w:rsidR="004D3F68">
        <w:t xml:space="preserve">, lors de telles manifestations. </w:t>
      </w:r>
      <w:r w:rsidR="00905BFE">
        <w:t xml:space="preserve">Face au recul persistant de la liberté de la presse, donner des informations sur les mesures prises, en droit et en pratique, pour s’assurer que le droit à la liberté d’expression, notamment la liberté de </w:t>
      </w:r>
      <w:r w:rsidR="003F0C09">
        <w:t xml:space="preserve">la </w:t>
      </w:r>
      <w:r w:rsidR="00905BFE">
        <w:t xml:space="preserve">presse, ne </w:t>
      </w:r>
      <w:r w:rsidR="003F0C09">
        <w:t xml:space="preserve">fasse </w:t>
      </w:r>
      <w:r w:rsidR="00905BFE">
        <w:t xml:space="preserve">pas l’objet de limitations arbitraires et </w:t>
      </w:r>
      <w:r w:rsidR="003F0C09">
        <w:t xml:space="preserve">soit </w:t>
      </w:r>
      <w:r w:rsidR="00905BFE">
        <w:t xml:space="preserve">protégé </w:t>
      </w:r>
      <w:r w:rsidR="003F0C09">
        <w:t xml:space="preserve">de </w:t>
      </w:r>
      <w:r w:rsidR="00905BFE">
        <w:t>toute restriction illégale et non nécessaire de la part de l’</w:t>
      </w:r>
      <w:r w:rsidR="009D4DEB">
        <w:t>État</w:t>
      </w:r>
      <w:r w:rsidR="00905BFE">
        <w:t xml:space="preserve"> partie ou de ses agents. </w:t>
      </w:r>
      <w:r w:rsidR="0047110D">
        <w:t>À cet égard</w:t>
      </w:r>
      <w:r w:rsidR="00905BFE">
        <w:t>, donner des informations sur l</w:t>
      </w:r>
      <w:r w:rsidR="009A7112">
        <w:t xml:space="preserve">es poursuites pénales engagées contre </w:t>
      </w:r>
      <w:r w:rsidR="00544DCA">
        <w:rPr>
          <w:lang w:val="fr-FR"/>
        </w:rPr>
        <w:t>M</w:t>
      </w:r>
      <w:r w:rsidR="00AA1B1A">
        <w:rPr>
          <w:lang w:val="fr-FR"/>
        </w:rPr>
        <w:t xml:space="preserve">ohammed Shaikh </w:t>
      </w:r>
      <w:proofErr w:type="spellStart"/>
      <w:r w:rsidR="00AA1B1A">
        <w:rPr>
          <w:lang w:val="fr-FR"/>
        </w:rPr>
        <w:t>Ould</w:t>
      </w:r>
      <w:proofErr w:type="spellEnd"/>
      <w:r w:rsidR="00AA1B1A">
        <w:rPr>
          <w:lang w:val="fr-FR"/>
        </w:rPr>
        <w:t xml:space="preserve"> Mohammed M. </w:t>
      </w:r>
      <w:proofErr w:type="spellStart"/>
      <w:r w:rsidR="00544DCA">
        <w:rPr>
          <w:lang w:val="fr-FR"/>
        </w:rPr>
        <w:t>Mkhaitir</w:t>
      </w:r>
      <w:proofErr w:type="spellEnd"/>
      <w:r w:rsidR="009A7112">
        <w:t xml:space="preserve"> </w:t>
      </w:r>
      <w:r w:rsidR="00544DCA">
        <w:t>pour avoir critiqué la référence faite à l’islam pour justifier la</w:t>
      </w:r>
      <w:r w:rsidR="009A7112">
        <w:t xml:space="preserve"> discrimination raciale</w:t>
      </w:r>
      <w:r w:rsidR="0065473B">
        <w:t>,</w:t>
      </w:r>
      <w:r w:rsidR="009A7112">
        <w:t xml:space="preserve"> et contre </w:t>
      </w:r>
      <w:r w:rsidR="00544DCA">
        <w:t xml:space="preserve">Oumar </w:t>
      </w:r>
      <w:proofErr w:type="spellStart"/>
      <w:r w:rsidR="00544DCA">
        <w:t>Ould</w:t>
      </w:r>
      <w:proofErr w:type="spellEnd"/>
      <w:r w:rsidR="00544DCA">
        <w:t xml:space="preserve"> </w:t>
      </w:r>
      <w:proofErr w:type="spellStart"/>
      <w:r w:rsidR="00544DCA">
        <w:t>Beibacar</w:t>
      </w:r>
      <w:proofErr w:type="spellEnd"/>
      <w:r w:rsidR="0065473B">
        <w:t>,</w:t>
      </w:r>
      <w:r w:rsidR="00544DCA">
        <w:t xml:space="preserve"> </w:t>
      </w:r>
      <w:r w:rsidR="009A7112">
        <w:t xml:space="preserve">également </w:t>
      </w:r>
      <w:r w:rsidR="00544DCA">
        <w:t xml:space="preserve">poursuivi pour avoir dénoncé l’attitude des autorités dans le cadre du </w:t>
      </w:r>
      <w:r w:rsidR="00AD108C">
        <w:t xml:space="preserve">règlement du </w:t>
      </w:r>
      <w:r w:rsidR="00544DCA">
        <w:t xml:space="preserve">passif humanitaire. </w:t>
      </w:r>
      <w:r w:rsidR="004D3F68">
        <w:t>Indiquer l’état d’avancement du projet de loi sur les associations</w:t>
      </w:r>
      <w:r w:rsidR="00E96386">
        <w:t>,</w:t>
      </w:r>
      <w:r w:rsidR="004D3F68">
        <w:t xml:space="preserve"> préciser sa compatibilité avec les dispositions pertinentes du Pacte et préciser si </w:t>
      </w:r>
      <w:r w:rsidR="00DD7D22">
        <w:t>l’acquisition du statut d’</w:t>
      </w:r>
      <w:r w:rsidR="004D3F68">
        <w:t xml:space="preserve">association </w:t>
      </w:r>
      <w:r w:rsidR="00E96386">
        <w:t>en</w:t>
      </w:r>
      <w:r w:rsidR="004D3F68">
        <w:t xml:space="preserve"> sera facilitée.</w:t>
      </w:r>
    </w:p>
    <w:p w14:paraId="29926959" w14:textId="77777777" w:rsidR="0006221B" w:rsidRPr="00F41E68" w:rsidRDefault="0006221B" w:rsidP="00D172AB">
      <w:pPr>
        <w:pStyle w:val="H1G"/>
      </w:pPr>
      <w:r w:rsidRPr="00F41E68">
        <w:tab/>
      </w:r>
      <w:r w:rsidRPr="00F41E68">
        <w:tab/>
        <w:t>Participation aux affaires publiques (</w:t>
      </w:r>
      <w:r>
        <w:t>art.</w:t>
      </w:r>
      <w:r w:rsidR="00A245C3">
        <w:t> </w:t>
      </w:r>
      <w:r>
        <w:t>25)</w:t>
      </w:r>
    </w:p>
    <w:p w14:paraId="70E04E80" w14:textId="700D14D6" w:rsidR="007D6351" w:rsidRDefault="00CD346C" w:rsidP="00D172AB">
      <w:pPr>
        <w:pStyle w:val="SingleTxtG"/>
      </w:pPr>
      <w:r>
        <w:t>29</w:t>
      </w:r>
      <w:r w:rsidR="0006221B">
        <w:t>.</w:t>
      </w:r>
      <w:r w:rsidR="0006221B">
        <w:tab/>
      </w:r>
      <w:r w:rsidR="007D6351">
        <w:t xml:space="preserve">Eu égard aux élections législatives de septembre 2018 en Mauritanie, donner des informations </w:t>
      </w:r>
      <w:r w:rsidR="00AA1B1A">
        <w:t>sur : a) </w:t>
      </w:r>
      <w:r w:rsidR="004A5DBC">
        <w:t>le</w:t>
      </w:r>
      <w:r w:rsidR="007D6351">
        <w:t>ur</w:t>
      </w:r>
      <w:r w:rsidR="004A5DBC">
        <w:t xml:space="preserve"> déroulement</w:t>
      </w:r>
      <w:r w:rsidR="001B3F29">
        <w:t xml:space="preserve">, </w:t>
      </w:r>
      <w:r w:rsidR="007D6351">
        <w:t>en particulier leur caractère lib</w:t>
      </w:r>
      <w:r w:rsidR="00AA1B1A">
        <w:t>re, honnête et transparent ; b) </w:t>
      </w:r>
      <w:r w:rsidR="00E96386">
        <w:t xml:space="preserve">le </w:t>
      </w:r>
      <w:r w:rsidR="004A5DBC">
        <w:t>r</w:t>
      </w:r>
      <w:r w:rsidR="007D6351">
        <w:t>ésultat de ces élections et l’étendue de la participation de toutes les populations</w:t>
      </w:r>
      <w:r w:rsidR="0086491B">
        <w:t> </w:t>
      </w:r>
      <w:r w:rsidR="007D6351">
        <w:t xml:space="preserve">; </w:t>
      </w:r>
      <w:r w:rsidR="0086491B">
        <w:t xml:space="preserve">et </w:t>
      </w:r>
      <w:r w:rsidR="00AA1B1A">
        <w:t>c) </w:t>
      </w:r>
      <w:r w:rsidR="007D6351">
        <w:t>la représentation des différents groupes ethniques parmi les candidats</w:t>
      </w:r>
      <w:r w:rsidR="00802DAB">
        <w:t xml:space="preserve">. </w:t>
      </w:r>
      <w:r w:rsidR="009B39D9">
        <w:t>Donner des informations sur la composition de la Commission électorale nationale indépendan</w:t>
      </w:r>
      <w:r w:rsidR="00994542">
        <w:t>te</w:t>
      </w:r>
      <w:r w:rsidR="001959EF">
        <w:t xml:space="preserve"> de Mauritanie</w:t>
      </w:r>
      <w:r w:rsidR="009B39D9">
        <w:t xml:space="preserve">, le mode de désignation de ses membres et les garanties de son indépendance. </w:t>
      </w:r>
    </w:p>
    <w:p w14:paraId="6830762A" w14:textId="5CC7F58D" w:rsidR="0006221B" w:rsidRDefault="00DF6541" w:rsidP="00020FDA">
      <w:pPr>
        <w:pStyle w:val="SingleTxtG"/>
      </w:pPr>
      <w:r>
        <w:t>3</w:t>
      </w:r>
      <w:r w:rsidR="00CD346C">
        <w:t>0</w:t>
      </w:r>
      <w:r w:rsidR="005F0529">
        <w:t>.</w:t>
      </w:r>
      <w:r w:rsidR="005F0529">
        <w:tab/>
      </w:r>
      <w:r w:rsidR="00020FDA">
        <w:t>Fournir des données statistiques sur la représentation des composantes nationales</w:t>
      </w:r>
      <w:r w:rsidR="007D6351">
        <w:t xml:space="preserve"> </w:t>
      </w:r>
      <w:r w:rsidR="00020FDA">
        <w:t>(</w:t>
      </w:r>
      <w:proofErr w:type="spellStart"/>
      <w:r w:rsidR="007D6351">
        <w:t>Haratine</w:t>
      </w:r>
      <w:proofErr w:type="spellEnd"/>
      <w:r w:rsidR="007D6351">
        <w:t xml:space="preserve">, </w:t>
      </w:r>
      <w:proofErr w:type="spellStart"/>
      <w:r w:rsidR="007D6351">
        <w:t>P</w:t>
      </w:r>
      <w:r w:rsidR="00994542">
        <w:t>o</w:t>
      </w:r>
      <w:r w:rsidR="007D6351">
        <w:t>ular</w:t>
      </w:r>
      <w:proofErr w:type="spellEnd"/>
      <w:r w:rsidR="007D6351">
        <w:t>, Wolof et Soninké</w:t>
      </w:r>
      <w:r w:rsidR="00020FDA">
        <w:t>)</w:t>
      </w:r>
      <w:r w:rsidR="00CD346C">
        <w:t xml:space="preserve"> </w:t>
      </w:r>
      <w:r w:rsidR="00994542">
        <w:t xml:space="preserve">aux </w:t>
      </w:r>
      <w:r w:rsidR="007D6351">
        <w:t>postes de décision au sein d’organes électifs nationaux ou locaux ainsi qu’au sein de la haute administration.</w:t>
      </w:r>
    </w:p>
    <w:p w14:paraId="2632183A" w14:textId="77777777" w:rsidR="005B2E51" w:rsidRPr="005D00B1" w:rsidRDefault="005B2E51" w:rsidP="00D172AB">
      <w:pPr>
        <w:pStyle w:val="H1G"/>
      </w:pPr>
      <w:r>
        <w:tab/>
      </w:r>
      <w:r>
        <w:tab/>
      </w:r>
      <w:r w:rsidRPr="005D00B1">
        <w:t>Diffusion de l’information concernant le Pacte et les Protocoles facultatifs s’y</w:t>
      </w:r>
      <w:r>
        <w:t xml:space="preserve"> </w:t>
      </w:r>
      <w:r w:rsidRPr="005D00B1">
        <w:t>rapportant (art. 2)</w:t>
      </w:r>
    </w:p>
    <w:p w14:paraId="6AD84348" w14:textId="7E240B7E" w:rsidR="005B2E51" w:rsidRDefault="005B2E51" w:rsidP="005B2E51">
      <w:pPr>
        <w:pStyle w:val="SingleTxtG"/>
      </w:pPr>
      <w:r>
        <w:t>3</w:t>
      </w:r>
      <w:r w:rsidR="00CD346C">
        <w:t>1</w:t>
      </w:r>
      <w:r w:rsidRPr="005D00B1">
        <w:t>.</w:t>
      </w:r>
      <w:r w:rsidRPr="005D00B1">
        <w:tab/>
        <w:t>Préciser les mesures prises pour diffuser l’information concernant le Pacte, le deuxième rapport périodique de l’État partie et l’examen prochain de celui-ci par le Comité. Donner des informations détaillées sur la participation de représentants de la société civile et d’organisations non gouvernementales à l’établissement du rapport de l’État partie</w:t>
      </w:r>
      <w:r>
        <w:t>.</w:t>
      </w:r>
    </w:p>
    <w:p w14:paraId="059A15AC" w14:textId="77777777" w:rsidR="00552797" w:rsidRPr="0006221B" w:rsidRDefault="0006221B" w:rsidP="009C467A">
      <w:pPr>
        <w:pStyle w:val="SingleTxtG"/>
        <w:spacing w:before="120" w:after="0"/>
        <w:jc w:val="center"/>
        <w:rPr>
          <w:u w:val="single"/>
        </w:rPr>
      </w:pPr>
      <w:r>
        <w:rPr>
          <w:u w:val="single"/>
        </w:rPr>
        <w:tab/>
      </w:r>
      <w:r>
        <w:rPr>
          <w:u w:val="single"/>
        </w:rPr>
        <w:tab/>
      </w:r>
      <w:r>
        <w:rPr>
          <w:u w:val="single"/>
        </w:rPr>
        <w:tab/>
      </w:r>
      <w:r w:rsidR="00C51CB9">
        <w:rPr>
          <w:u w:val="single"/>
        </w:rPr>
        <w:tab/>
      </w:r>
      <w:bookmarkStart w:id="2" w:name="_GoBack"/>
      <w:bookmarkEnd w:id="2"/>
    </w:p>
    <w:sectPr w:rsidR="00552797" w:rsidRPr="0006221B" w:rsidSect="002D24D7">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67DE5" w14:textId="77777777" w:rsidR="007707D4" w:rsidRPr="00EF7F30" w:rsidRDefault="007707D4" w:rsidP="00EF7F30">
      <w:pPr>
        <w:pStyle w:val="Pieddepage"/>
      </w:pPr>
    </w:p>
  </w:endnote>
  <w:endnote w:type="continuationSeparator" w:id="0">
    <w:p w14:paraId="0B4BF104" w14:textId="77777777" w:rsidR="007707D4" w:rsidRPr="00EF7F30" w:rsidRDefault="007707D4" w:rsidP="00EF7F30">
      <w:pPr>
        <w:pStyle w:val="Pieddepage"/>
      </w:pPr>
    </w:p>
  </w:endnote>
  <w:endnote w:type="continuationNotice" w:id="1">
    <w:p w14:paraId="2808238E" w14:textId="77777777" w:rsidR="007707D4" w:rsidRDefault="007707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MT Extra"/>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3AFC3" w14:textId="2C06CA03" w:rsidR="007707D4" w:rsidRPr="0047283B" w:rsidRDefault="007707D4" w:rsidP="0047283B">
    <w:pPr>
      <w:pStyle w:val="Pieddepage"/>
      <w:tabs>
        <w:tab w:val="right" w:pos="9638"/>
      </w:tabs>
    </w:pPr>
    <w:r w:rsidRPr="0047283B">
      <w:rPr>
        <w:b/>
        <w:sz w:val="18"/>
      </w:rPr>
      <w:fldChar w:fldCharType="begin"/>
    </w:r>
    <w:r w:rsidRPr="0047283B">
      <w:rPr>
        <w:b/>
        <w:sz w:val="18"/>
      </w:rPr>
      <w:instrText xml:space="preserve"> PAGE  \* MERGEFORMAT </w:instrText>
    </w:r>
    <w:r w:rsidRPr="0047283B">
      <w:rPr>
        <w:b/>
        <w:sz w:val="18"/>
      </w:rPr>
      <w:fldChar w:fldCharType="separate"/>
    </w:r>
    <w:r w:rsidR="00B758F0">
      <w:rPr>
        <w:b/>
        <w:noProof/>
        <w:sz w:val="18"/>
      </w:rPr>
      <w:t>6</w:t>
    </w:r>
    <w:r w:rsidRPr="0047283B">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398BB" w14:textId="596259E5" w:rsidR="007707D4" w:rsidRPr="0047283B" w:rsidRDefault="007707D4" w:rsidP="0047283B">
    <w:pPr>
      <w:pStyle w:val="Pieddepage"/>
      <w:tabs>
        <w:tab w:val="right" w:pos="9638"/>
      </w:tabs>
      <w:rPr>
        <w:b/>
        <w:sz w:val="18"/>
      </w:rPr>
    </w:pPr>
    <w:r>
      <w:tab/>
    </w:r>
    <w:r w:rsidRPr="0047283B">
      <w:rPr>
        <w:b/>
        <w:sz w:val="18"/>
      </w:rPr>
      <w:fldChar w:fldCharType="begin"/>
    </w:r>
    <w:r w:rsidRPr="0047283B">
      <w:rPr>
        <w:b/>
        <w:sz w:val="18"/>
      </w:rPr>
      <w:instrText xml:space="preserve"> PAGE  \* MERGEFORMAT </w:instrText>
    </w:r>
    <w:r w:rsidRPr="0047283B">
      <w:rPr>
        <w:b/>
        <w:sz w:val="18"/>
      </w:rPr>
      <w:fldChar w:fldCharType="separate"/>
    </w:r>
    <w:r w:rsidR="00B758F0">
      <w:rPr>
        <w:b/>
        <w:noProof/>
        <w:sz w:val="18"/>
      </w:rPr>
      <w:t>5</w:t>
    </w:r>
    <w:r w:rsidRPr="004728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82BA7" w14:textId="7200A71C" w:rsidR="00AD3CA5" w:rsidRPr="00AD3CA5" w:rsidRDefault="00AD3CA5">
    <w:pPr>
      <w:pStyle w:val="Pieddepage"/>
      <w:rPr>
        <w:rFonts w:ascii="C39T30Lfz" w:hAnsi="C39T30Lfz"/>
        <w:sz w:val="56"/>
      </w:rPr>
    </w:pPr>
    <w:r>
      <w:rPr>
        <w:noProof/>
        <w:lang w:eastAsia="fr-CH"/>
      </w:rPr>
      <w:drawing>
        <wp:anchor distT="0" distB="0" distL="114300" distR="114300" simplePos="0" relativeHeight="251659264" behindDoc="0" locked="0" layoutInCell="1" allowOverlap="0" wp14:anchorId="3A9A2378" wp14:editId="63CBA61F">
          <wp:simplePos x="0" y="0"/>
          <wp:positionH relativeFrom="margin">
            <wp:posOffset>4325221</wp:posOffset>
          </wp:positionH>
          <wp:positionV relativeFrom="margin">
            <wp:posOffset>9197163</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60288" behindDoc="0" locked="0" layoutInCell="1" allowOverlap="1" wp14:anchorId="59444770" wp14:editId="0D9F6EF0">
          <wp:simplePos x="0" y="0"/>
          <wp:positionH relativeFrom="column">
            <wp:posOffset>5475767</wp:posOffset>
          </wp:positionH>
          <wp:positionV relativeFrom="paragraph">
            <wp:posOffset>10633</wp:posOffset>
          </wp:positionV>
          <wp:extent cx="638175" cy="638175"/>
          <wp:effectExtent l="0" t="0" r="9525" b="9525"/>
          <wp:wrapNone/>
          <wp:docPr id="3" name="Image 1" descr="https://undocs.org/m2/QRCode.ashx?DS=CCPR/C/MRT/Q/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MRT/Q/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w:t>
    </w:r>
    <w:r>
      <w:rPr>
        <w:sz w:val="20"/>
      </w:rPr>
      <w:t>9</w:t>
    </w:r>
    <w:r>
      <w:rPr>
        <w:sz w:val="20"/>
      </w:rPr>
      <w:t>-01</w:t>
    </w:r>
    <w:r>
      <w:rPr>
        <w:sz w:val="20"/>
      </w:rPr>
      <w:t>728</w:t>
    </w:r>
    <w:r>
      <w:rPr>
        <w:sz w:val="20"/>
      </w:rPr>
      <w:t xml:space="preserve">  (F)</w:t>
    </w:r>
    <w:r>
      <w:br/>
    </w:r>
    <w:r w:rsidRPr="00AD3CA5">
      <w:rPr>
        <w:rFonts w:ascii="C39T30Lfz" w:hAnsi="C39T30Lfz"/>
        <w:sz w:val="56"/>
      </w:rPr>
      <w:t></w:t>
    </w:r>
    <w:r w:rsidRPr="00AD3CA5">
      <w:rPr>
        <w:rFonts w:ascii="C39T30Lfz" w:hAnsi="C39T30Lfz"/>
        <w:sz w:val="56"/>
      </w:rPr>
      <w:t></w:t>
    </w:r>
    <w:r w:rsidRPr="00AD3CA5">
      <w:rPr>
        <w:rFonts w:ascii="C39T30Lfz" w:hAnsi="C39T30Lfz"/>
        <w:sz w:val="56"/>
      </w:rPr>
      <w:t></w:t>
    </w:r>
    <w:r w:rsidRPr="00AD3CA5">
      <w:rPr>
        <w:rFonts w:ascii="C39T30Lfz" w:hAnsi="C39T30Lfz"/>
        <w:sz w:val="56"/>
      </w:rPr>
      <w:t></w:t>
    </w:r>
    <w:r w:rsidRPr="00AD3CA5">
      <w:rPr>
        <w:rFonts w:ascii="C39T30Lfz" w:hAnsi="C39T30Lfz"/>
        <w:sz w:val="56"/>
      </w:rPr>
      <w:t></w:t>
    </w:r>
    <w:r w:rsidRPr="00AD3CA5">
      <w:rPr>
        <w:rFonts w:ascii="C39T30Lfz" w:hAnsi="C39T30Lfz"/>
        <w:sz w:val="56"/>
      </w:rPr>
      <w:t></w:t>
    </w:r>
    <w:r w:rsidRPr="00AD3CA5">
      <w:rPr>
        <w:rFonts w:ascii="C39T30Lfz" w:hAnsi="C39T30Lfz"/>
        <w:sz w:val="56"/>
      </w:rPr>
      <w:t></w:t>
    </w:r>
    <w:r w:rsidRPr="00AD3CA5">
      <w:rPr>
        <w:rFonts w:ascii="C39T30Lfz" w:hAnsi="C39T30Lfz"/>
        <w:sz w:val="56"/>
      </w:rPr>
      <w:t></w:t>
    </w:r>
    <w:r w:rsidRPr="00AD3CA5">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FA508" w14:textId="77777777" w:rsidR="007707D4" w:rsidRPr="00EF7F30" w:rsidRDefault="007707D4"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1BA772D6" w14:textId="77777777" w:rsidR="007707D4" w:rsidRPr="00EF7F30" w:rsidRDefault="007707D4" w:rsidP="000E5ADA">
      <w:pPr>
        <w:pStyle w:val="Pieddepage"/>
        <w:tabs>
          <w:tab w:val="right" w:pos="2155"/>
        </w:tabs>
        <w:spacing w:after="80" w:line="240" w:lineRule="atLeast"/>
        <w:ind w:left="680"/>
      </w:pPr>
      <w:r w:rsidRPr="00EF7F30">
        <w:rPr>
          <w:u w:val="single"/>
        </w:rPr>
        <w:tab/>
      </w:r>
    </w:p>
  </w:footnote>
  <w:footnote w:type="continuationNotice" w:id="1">
    <w:p w14:paraId="0410DF52" w14:textId="77777777" w:rsidR="007707D4" w:rsidRPr="000F2457" w:rsidRDefault="007707D4">
      <w:pPr>
        <w:spacing w:line="240" w:lineRule="auto"/>
        <w:rPr>
          <w:sz w:val="2"/>
          <w:szCs w:val="2"/>
        </w:rPr>
      </w:pPr>
    </w:p>
  </w:footnote>
  <w:footnote w:id="2">
    <w:p w14:paraId="34FC11A3" w14:textId="758CD5C5" w:rsidR="007707D4" w:rsidRPr="005F0529" w:rsidRDefault="007707D4" w:rsidP="00AD3CA5">
      <w:pPr>
        <w:pStyle w:val="Notedebasdepage"/>
        <w:spacing w:after="120"/>
      </w:pPr>
      <w:r>
        <w:tab/>
      </w:r>
      <w:r w:rsidRPr="002D24D7">
        <w:rPr>
          <w:sz w:val="20"/>
        </w:rPr>
        <w:t>*</w:t>
      </w:r>
      <w:r w:rsidRPr="00837F1A">
        <w:tab/>
      </w:r>
      <w:r>
        <w:rPr>
          <w:lang w:val="fr-FR"/>
        </w:rPr>
        <w:t>Adoptée par le Comité à sa 124</w:t>
      </w:r>
      <w:r w:rsidRPr="002658A5">
        <w:rPr>
          <w:vertAlign w:val="superscript"/>
          <w:lang w:val="fr-FR"/>
        </w:rPr>
        <w:t>e</w:t>
      </w:r>
      <w:r>
        <w:rPr>
          <w:lang w:val="fr-FR"/>
        </w:rPr>
        <w:t xml:space="preserve"> session (8 octobre-2 novembre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A326A" w14:textId="77777777" w:rsidR="007707D4" w:rsidRPr="00CD346C" w:rsidRDefault="007707D4">
    <w:pPr>
      <w:pStyle w:val="En-tte"/>
      <w:rPr>
        <w:lang w:val="fr-FR"/>
      </w:rPr>
    </w:pPr>
    <w:r>
      <w:rPr>
        <w:lang w:val="fr-FR"/>
      </w:rPr>
      <w:t>CCPR/C/MRT/Q/</w:t>
    </w:r>
    <w:r w:rsidRPr="00CD346C">
      <w:rPr>
        <w:lang w:val="fr-FR"/>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73FB9" w14:textId="47D9E8D8" w:rsidR="007707D4" w:rsidRPr="0047283B" w:rsidRDefault="007707D4" w:rsidP="0047283B">
    <w:pPr>
      <w:pStyle w:val="En-tte"/>
      <w:jc w:val="right"/>
    </w:pPr>
    <w:bookmarkStart w:id="3" w:name="_Hlk536613630"/>
    <w:r>
      <w:t>CCPR/C/MRT/Q/2</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displayBackgroundShape/>
  <w:proofState w:spelling="clean"/>
  <w:attachedTemplate r:id="rId1"/>
  <w:doNotTrackFormatting/>
  <w:defaultTabStop w:val="567"/>
  <w:hyphenationZone w:val="425"/>
  <w:evenAndOddHeaders/>
  <w:characterSpacingControl w:val="doNotCompress"/>
  <w:hdrShapeDefaults>
    <o:shapedefaults v:ext="edit" spidmax="45058"/>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C45"/>
    <w:rsid w:val="00005A27"/>
    <w:rsid w:val="00011F87"/>
    <w:rsid w:val="00014863"/>
    <w:rsid w:val="00020FDA"/>
    <w:rsid w:val="00021C10"/>
    <w:rsid w:val="00023842"/>
    <w:rsid w:val="000435DE"/>
    <w:rsid w:val="0006221B"/>
    <w:rsid w:val="0006287D"/>
    <w:rsid w:val="000662FA"/>
    <w:rsid w:val="00066901"/>
    <w:rsid w:val="00075EF3"/>
    <w:rsid w:val="0007796D"/>
    <w:rsid w:val="00077B22"/>
    <w:rsid w:val="0008159F"/>
    <w:rsid w:val="00086F91"/>
    <w:rsid w:val="0009450A"/>
    <w:rsid w:val="00096FC5"/>
    <w:rsid w:val="000A1528"/>
    <w:rsid w:val="000B59D6"/>
    <w:rsid w:val="000C2416"/>
    <w:rsid w:val="000C2C46"/>
    <w:rsid w:val="000C5426"/>
    <w:rsid w:val="000D528D"/>
    <w:rsid w:val="000D6C50"/>
    <w:rsid w:val="000E5ADA"/>
    <w:rsid w:val="000E6F24"/>
    <w:rsid w:val="000E7303"/>
    <w:rsid w:val="000F136D"/>
    <w:rsid w:val="000F2457"/>
    <w:rsid w:val="0010004B"/>
    <w:rsid w:val="00104A00"/>
    <w:rsid w:val="001104D4"/>
    <w:rsid w:val="00111F2F"/>
    <w:rsid w:val="001209EE"/>
    <w:rsid w:val="001267D3"/>
    <w:rsid w:val="00131E73"/>
    <w:rsid w:val="0014365E"/>
    <w:rsid w:val="00143AC0"/>
    <w:rsid w:val="00153352"/>
    <w:rsid w:val="00161A20"/>
    <w:rsid w:val="00161B9E"/>
    <w:rsid w:val="00173149"/>
    <w:rsid w:val="00176178"/>
    <w:rsid w:val="00187010"/>
    <w:rsid w:val="001959EF"/>
    <w:rsid w:val="001B2849"/>
    <w:rsid w:val="001B3F29"/>
    <w:rsid w:val="001C64C0"/>
    <w:rsid w:val="001C76D5"/>
    <w:rsid w:val="001D51BF"/>
    <w:rsid w:val="001F525A"/>
    <w:rsid w:val="00212168"/>
    <w:rsid w:val="00213382"/>
    <w:rsid w:val="00216397"/>
    <w:rsid w:val="00232BE6"/>
    <w:rsid w:val="00240C9F"/>
    <w:rsid w:val="002530BF"/>
    <w:rsid w:val="0025501E"/>
    <w:rsid w:val="00260711"/>
    <w:rsid w:val="0026302F"/>
    <w:rsid w:val="00263EA9"/>
    <w:rsid w:val="002654F6"/>
    <w:rsid w:val="002658A5"/>
    <w:rsid w:val="002667B2"/>
    <w:rsid w:val="00266C5A"/>
    <w:rsid w:val="0027755F"/>
    <w:rsid w:val="00277C49"/>
    <w:rsid w:val="002A2C32"/>
    <w:rsid w:val="002A71EB"/>
    <w:rsid w:val="002B0603"/>
    <w:rsid w:val="002B1E26"/>
    <w:rsid w:val="002B4949"/>
    <w:rsid w:val="002B6F22"/>
    <w:rsid w:val="002B77CB"/>
    <w:rsid w:val="002C3477"/>
    <w:rsid w:val="002D1D40"/>
    <w:rsid w:val="002D24D7"/>
    <w:rsid w:val="002D4BCA"/>
    <w:rsid w:val="002D6F86"/>
    <w:rsid w:val="002D75CC"/>
    <w:rsid w:val="002D763B"/>
    <w:rsid w:val="002E0D9C"/>
    <w:rsid w:val="002F242C"/>
    <w:rsid w:val="002F44C7"/>
    <w:rsid w:val="00301E2A"/>
    <w:rsid w:val="0031175A"/>
    <w:rsid w:val="00325D67"/>
    <w:rsid w:val="003303D6"/>
    <w:rsid w:val="00352C6D"/>
    <w:rsid w:val="00353AFE"/>
    <w:rsid w:val="003547BE"/>
    <w:rsid w:val="00364B6E"/>
    <w:rsid w:val="00365B9A"/>
    <w:rsid w:val="0037456E"/>
    <w:rsid w:val="00380BD9"/>
    <w:rsid w:val="00384107"/>
    <w:rsid w:val="00387CE3"/>
    <w:rsid w:val="00392780"/>
    <w:rsid w:val="00396DF2"/>
    <w:rsid w:val="003A2255"/>
    <w:rsid w:val="003A4260"/>
    <w:rsid w:val="003A5356"/>
    <w:rsid w:val="003B2523"/>
    <w:rsid w:val="003D0C7B"/>
    <w:rsid w:val="003F0C09"/>
    <w:rsid w:val="004349E4"/>
    <w:rsid w:val="004403CA"/>
    <w:rsid w:val="00446FE5"/>
    <w:rsid w:val="0045038A"/>
    <w:rsid w:val="0045343F"/>
    <w:rsid w:val="004571DB"/>
    <w:rsid w:val="0047110D"/>
    <w:rsid w:val="00472646"/>
    <w:rsid w:val="0047283B"/>
    <w:rsid w:val="0048588A"/>
    <w:rsid w:val="00487308"/>
    <w:rsid w:val="004A5DBC"/>
    <w:rsid w:val="004C18BE"/>
    <w:rsid w:val="004D0A16"/>
    <w:rsid w:val="004D278E"/>
    <w:rsid w:val="004D3F68"/>
    <w:rsid w:val="004D49D5"/>
    <w:rsid w:val="004E51F0"/>
    <w:rsid w:val="004E646A"/>
    <w:rsid w:val="005003C4"/>
    <w:rsid w:val="00503DC1"/>
    <w:rsid w:val="00503EBB"/>
    <w:rsid w:val="00504C14"/>
    <w:rsid w:val="00513A00"/>
    <w:rsid w:val="00514C1F"/>
    <w:rsid w:val="0052740D"/>
    <w:rsid w:val="00531E8A"/>
    <w:rsid w:val="00532D86"/>
    <w:rsid w:val="00544DCA"/>
    <w:rsid w:val="00552797"/>
    <w:rsid w:val="0055744D"/>
    <w:rsid w:val="00572372"/>
    <w:rsid w:val="00573BE5"/>
    <w:rsid w:val="00575527"/>
    <w:rsid w:val="005832EF"/>
    <w:rsid w:val="0058579E"/>
    <w:rsid w:val="00586ED3"/>
    <w:rsid w:val="00587A52"/>
    <w:rsid w:val="00597521"/>
    <w:rsid w:val="005A0171"/>
    <w:rsid w:val="005A7902"/>
    <w:rsid w:val="005B09D3"/>
    <w:rsid w:val="005B2E51"/>
    <w:rsid w:val="005B4E23"/>
    <w:rsid w:val="005B56FB"/>
    <w:rsid w:val="005D31D2"/>
    <w:rsid w:val="005D5B44"/>
    <w:rsid w:val="005D5D32"/>
    <w:rsid w:val="005D6319"/>
    <w:rsid w:val="005F0529"/>
    <w:rsid w:val="00611BE1"/>
    <w:rsid w:val="00617B29"/>
    <w:rsid w:val="00620B4E"/>
    <w:rsid w:val="006272F7"/>
    <w:rsid w:val="00631770"/>
    <w:rsid w:val="00633955"/>
    <w:rsid w:val="00634868"/>
    <w:rsid w:val="0065473B"/>
    <w:rsid w:val="006605A5"/>
    <w:rsid w:val="00662332"/>
    <w:rsid w:val="0066465E"/>
    <w:rsid w:val="0067526C"/>
    <w:rsid w:val="0068075F"/>
    <w:rsid w:val="0068446C"/>
    <w:rsid w:val="00687653"/>
    <w:rsid w:val="006934A2"/>
    <w:rsid w:val="006939BB"/>
    <w:rsid w:val="00693E3B"/>
    <w:rsid w:val="00694599"/>
    <w:rsid w:val="006946AD"/>
    <w:rsid w:val="00695AED"/>
    <w:rsid w:val="006968E7"/>
    <w:rsid w:val="006A340A"/>
    <w:rsid w:val="006C362B"/>
    <w:rsid w:val="006C4AB4"/>
    <w:rsid w:val="006E1740"/>
    <w:rsid w:val="006E66AC"/>
    <w:rsid w:val="006F1488"/>
    <w:rsid w:val="0070778A"/>
    <w:rsid w:val="00710BD6"/>
    <w:rsid w:val="0071601D"/>
    <w:rsid w:val="007168CE"/>
    <w:rsid w:val="00721020"/>
    <w:rsid w:val="00721D09"/>
    <w:rsid w:val="00731589"/>
    <w:rsid w:val="00732516"/>
    <w:rsid w:val="0074728D"/>
    <w:rsid w:val="007473F8"/>
    <w:rsid w:val="00757764"/>
    <w:rsid w:val="00762E9F"/>
    <w:rsid w:val="007707D4"/>
    <w:rsid w:val="00786794"/>
    <w:rsid w:val="00796F36"/>
    <w:rsid w:val="007B4686"/>
    <w:rsid w:val="007C1605"/>
    <w:rsid w:val="007D11D8"/>
    <w:rsid w:val="007D6351"/>
    <w:rsid w:val="007D6736"/>
    <w:rsid w:val="007E11B9"/>
    <w:rsid w:val="007E1935"/>
    <w:rsid w:val="007E4AA6"/>
    <w:rsid w:val="007E4B78"/>
    <w:rsid w:val="007F2C8D"/>
    <w:rsid w:val="007F6AB7"/>
    <w:rsid w:val="00802DAB"/>
    <w:rsid w:val="0080684C"/>
    <w:rsid w:val="00806F16"/>
    <w:rsid w:val="00822E05"/>
    <w:rsid w:val="00823104"/>
    <w:rsid w:val="00823894"/>
    <w:rsid w:val="00824D5C"/>
    <w:rsid w:val="00830DFB"/>
    <w:rsid w:val="00831297"/>
    <w:rsid w:val="00841F94"/>
    <w:rsid w:val="008474CD"/>
    <w:rsid w:val="0085161E"/>
    <w:rsid w:val="00852C32"/>
    <w:rsid w:val="00853EBD"/>
    <w:rsid w:val="0085420B"/>
    <w:rsid w:val="00854591"/>
    <w:rsid w:val="00860AD6"/>
    <w:rsid w:val="00861866"/>
    <w:rsid w:val="0086491B"/>
    <w:rsid w:val="00864DEA"/>
    <w:rsid w:val="00871C75"/>
    <w:rsid w:val="008721F4"/>
    <w:rsid w:val="00874515"/>
    <w:rsid w:val="008776DC"/>
    <w:rsid w:val="00880BFB"/>
    <w:rsid w:val="00881550"/>
    <w:rsid w:val="0088189B"/>
    <w:rsid w:val="008B29E8"/>
    <w:rsid w:val="008B386A"/>
    <w:rsid w:val="008B3AA6"/>
    <w:rsid w:val="008C02D6"/>
    <w:rsid w:val="008C1CAE"/>
    <w:rsid w:val="008D0593"/>
    <w:rsid w:val="008D2ECD"/>
    <w:rsid w:val="008D59F0"/>
    <w:rsid w:val="008E5BFC"/>
    <w:rsid w:val="008F03A9"/>
    <w:rsid w:val="008F2FB3"/>
    <w:rsid w:val="00905BFE"/>
    <w:rsid w:val="00910B03"/>
    <w:rsid w:val="009128DD"/>
    <w:rsid w:val="0091384F"/>
    <w:rsid w:val="00917F91"/>
    <w:rsid w:val="0092794E"/>
    <w:rsid w:val="009303B5"/>
    <w:rsid w:val="0093116A"/>
    <w:rsid w:val="009332C3"/>
    <w:rsid w:val="00935889"/>
    <w:rsid w:val="0094352E"/>
    <w:rsid w:val="00953BC3"/>
    <w:rsid w:val="009603D7"/>
    <w:rsid w:val="00962015"/>
    <w:rsid w:val="009651C0"/>
    <w:rsid w:val="00967D8A"/>
    <w:rsid w:val="009705C8"/>
    <w:rsid w:val="00973CA1"/>
    <w:rsid w:val="0098228B"/>
    <w:rsid w:val="009907A4"/>
    <w:rsid w:val="00994542"/>
    <w:rsid w:val="009959C4"/>
    <w:rsid w:val="009A47AB"/>
    <w:rsid w:val="009A7112"/>
    <w:rsid w:val="009B39D9"/>
    <w:rsid w:val="009C333D"/>
    <w:rsid w:val="009C467A"/>
    <w:rsid w:val="009C5ED5"/>
    <w:rsid w:val="009D4650"/>
    <w:rsid w:val="009D4DEB"/>
    <w:rsid w:val="009E1400"/>
    <w:rsid w:val="009E2383"/>
    <w:rsid w:val="009F0AD0"/>
    <w:rsid w:val="009F35E6"/>
    <w:rsid w:val="009F49E0"/>
    <w:rsid w:val="00A03505"/>
    <w:rsid w:val="00A0536D"/>
    <w:rsid w:val="00A12E20"/>
    <w:rsid w:val="00A22512"/>
    <w:rsid w:val="00A2307A"/>
    <w:rsid w:val="00A245C3"/>
    <w:rsid w:val="00A25990"/>
    <w:rsid w:val="00A41C89"/>
    <w:rsid w:val="00A43FC3"/>
    <w:rsid w:val="00A46C99"/>
    <w:rsid w:val="00A54CAE"/>
    <w:rsid w:val="00A67996"/>
    <w:rsid w:val="00A67C34"/>
    <w:rsid w:val="00A80E80"/>
    <w:rsid w:val="00A83418"/>
    <w:rsid w:val="00A83FAA"/>
    <w:rsid w:val="00A940E7"/>
    <w:rsid w:val="00AA1B1A"/>
    <w:rsid w:val="00AB6C28"/>
    <w:rsid w:val="00AC2F52"/>
    <w:rsid w:val="00AC7BEB"/>
    <w:rsid w:val="00AD0AE8"/>
    <w:rsid w:val="00AD108C"/>
    <w:rsid w:val="00AD3B80"/>
    <w:rsid w:val="00AD3CA5"/>
    <w:rsid w:val="00AE323C"/>
    <w:rsid w:val="00AE6255"/>
    <w:rsid w:val="00B00F5A"/>
    <w:rsid w:val="00B018FB"/>
    <w:rsid w:val="00B11A6A"/>
    <w:rsid w:val="00B14583"/>
    <w:rsid w:val="00B151C6"/>
    <w:rsid w:val="00B16AAF"/>
    <w:rsid w:val="00B22A9E"/>
    <w:rsid w:val="00B24C75"/>
    <w:rsid w:val="00B473BA"/>
    <w:rsid w:val="00B50B69"/>
    <w:rsid w:val="00B528BF"/>
    <w:rsid w:val="00B53164"/>
    <w:rsid w:val="00B56250"/>
    <w:rsid w:val="00B63211"/>
    <w:rsid w:val="00B63FBC"/>
    <w:rsid w:val="00B73BED"/>
    <w:rsid w:val="00B74CFE"/>
    <w:rsid w:val="00B758F0"/>
    <w:rsid w:val="00B8132C"/>
    <w:rsid w:val="00B86002"/>
    <w:rsid w:val="00B91C90"/>
    <w:rsid w:val="00BA2616"/>
    <w:rsid w:val="00BA3B61"/>
    <w:rsid w:val="00BB7A88"/>
    <w:rsid w:val="00BD0ED1"/>
    <w:rsid w:val="00BD13D0"/>
    <w:rsid w:val="00BD7EB8"/>
    <w:rsid w:val="00BE195C"/>
    <w:rsid w:val="00BE71F0"/>
    <w:rsid w:val="00BF01B9"/>
    <w:rsid w:val="00BF2E5E"/>
    <w:rsid w:val="00BF511E"/>
    <w:rsid w:val="00C005F2"/>
    <w:rsid w:val="00C00AD7"/>
    <w:rsid w:val="00C02897"/>
    <w:rsid w:val="00C057DA"/>
    <w:rsid w:val="00C12613"/>
    <w:rsid w:val="00C15157"/>
    <w:rsid w:val="00C21D12"/>
    <w:rsid w:val="00C30110"/>
    <w:rsid w:val="00C4568D"/>
    <w:rsid w:val="00C511F5"/>
    <w:rsid w:val="00C51CB9"/>
    <w:rsid w:val="00C573E8"/>
    <w:rsid w:val="00C635F5"/>
    <w:rsid w:val="00C66084"/>
    <w:rsid w:val="00C747B2"/>
    <w:rsid w:val="00CA0C7B"/>
    <w:rsid w:val="00CA435F"/>
    <w:rsid w:val="00CA7636"/>
    <w:rsid w:val="00CB0A53"/>
    <w:rsid w:val="00CB3FD2"/>
    <w:rsid w:val="00CB675D"/>
    <w:rsid w:val="00CC3C45"/>
    <w:rsid w:val="00CC52E4"/>
    <w:rsid w:val="00CD2723"/>
    <w:rsid w:val="00CD346C"/>
    <w:rsid w:val="00CD45F6"/>
    <w:rsid w:val="00CD4FCB"/>
    <w:rsid w:val="00CD506C"/>
    <w:rsid w:val="00CE54A1"/>
    <w:rsid w:val="00D02ACA"/>
    <w:rsid w:val="00D1340A"/>
    <w:rsid w:val="00D172AB"/>
    <w:rsid w:val="00D36972"/>
    <w:rsid w:val="00D45432"/>
    <w:rsid w:val="00D627E1"/>
    <w:rsid w:val="00D708D8"/>
    <w:rsid w:val="00D83160"/>
    <w:rsid w:val="00D948AD"/>
    <w:rsid w:val="00D9524F"/>
    <w:rsid w:val="00DA05BC"/>
    <w:rsid w:val="00DA1939"/>
    <w:rsid w:val="00DA3157"/>
    <w:rsid w:val="00DA5FD5"/>
    <w:rsid w:val="00DB1831"/>
    <w:rsid w:val="00DC22E0"/>
    <w:rsid w:val="00DC7CFA"/>
    <w:rsid w:val="00DD1009"/>
    <w:rsid w:val="00DD28DC"/>
    <w:rsid w:val="00DD2AB9"/>
    <w:rsid w:val="00DD3BFD"/>
    <w:rsid w:val="00DD6087"/>
    <w:rsid w:val="00DD7D22"/>
    <w:rsid w:val="00DE30D9"/>
    <w:rsid w:val="00DF6541"/>
    <w:rsid w:val="00E228A8"/>
    <w:rsid w:val="00E25804"/>
    <w:rsid w:val="00E27003"/>
    <w:rsid w:val="00E361EB"/>
    <w:rsid w:val="00E503AD"/>
    <w:rsid w:val="00E54C23"/>
    <w:rsid w:val="00E57A44"/>
    <w:rsid w:val="00E650FB"/>
    <w:rsid w:val="00E6618E"/>
    <w:rsid w:val="00E7170A"/>
    <w:rsid w:val="00E74267"/>
    <w:rsid w:val="00E76BCA"/>
    <w:rsid w:val="00E82DB2"/>
    <w:rsid w:val="00E82E17"/>
    <w:rsid w:val="00E94CD7"/>
    <w:rsid w:val="00E96386"/>
    <w:rsid w:val="00EB5BD3"/>
    <w:rsid w:val="00EC1F31"/>
    <w:rsid w:val="00ED1850"/>
    <w:rsid w:val="00EE6DB7"/>
    <w:rsid w:val="00EE6FD6"/>
    <w:rsid w:val="00EF40A2"/>
    <w:rsid w:val="00EF57A1"/>
    <w:rsid w:val="00EF7F30"/>
    <w:rsid w:val="00F116F6"/>
    <w:rsid w:val="00F1436E"/>
    <w:rsid w:val="00F21E55"/>
    <w:rsid w:val="00F239AC"/>
    <w:rsid w:val="00F30EAB"/>
    <w:rsid w:val="00F40B6F"/>
    <w:rsid w:val="00F47074"/>
    <w:rsid w:val="00F47452"/>
    <w:rsid w:val="00F5263E"/>
    <w:rsid w:val="00F63F11"/>
    <w:rsid w:val="00F642EF"/>
    <w:rsid w:val="00F65D86"/>
    <w:rsid w:val="00F660DF"/>
    <w:rsid w:val="00F75CB9"/>
    <w:rsid w:val="00F818C3"/>
    <w:rsid w:val="00F916EF"/>
    <w:rsid w:val="00F92848"/>
    <w:rsid w:val="00F95C08"/>
    <w:rsid w:val="00F976DB"/>
    <w:rsid w:val="00FA2D65"/>
    <w:rsid w:val="00FA44CA"/>
    <w:rsid w:val="00FB0DD2"/>
    <w:rsid w:val="00FB2241"/>
    <w:rsid w:val="00FB4EE1"/>
    <w:rsid w:val="00FC0EF7"/>
    <w:rsid w:val="00FC2C3E"/>
    <w:rsid w:val="00FD2358"/>
    <w:rsid w:val="00FD50C3"/>
    <w:rsid w:val="00FE33A4"/>
    <w:rsid w:val="00FF18BE"/>
    <w:rsid w:val="00FF1AC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3F779A5F"/>
  <w15:docId w15:val="{795B9B83-1C3E-4ACE-9EF2-FD900DC5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2D24D7"/>
    <w:rPr>
      <w:rFonts w:ascii="Times New Roman" w:hAnsi="Times New Roman"/>
      <w:sz w:val="18"/>
      <w:vertAlign w:val="superscript"/>
      <w:lang w:val="fr-CH"/>
    </w:rPr>
  </w:style>
  <w:style w:type="character" w:styleId="Appeldenotedefin">
    <w:name w:val="endnote reference"/>
    <w:aliases w:val="1_G"/>
    <w:basedOn w:val="Policepardfaut"/>
    <w:qFormat/>
    <w:rsid w:val="002D24D7"/>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2D24D7"/>
    <w:pPr>
      <w:tabs>
        <w:tab w:val="right" w:pos="1021"/>
      </w:tabs>
      <w:spacing w:line="220" w:lineRule="exact"/>
      <w:ind w:left="1134" w:right="1134" w:hanging="1134"/>
    </w:pPr>
    <w:rPr>
      <w:rFonts w:eastAsiaTheme="minorEastAsia"/>
      <w:sz w:val="18"/>
      <w:lang w:eastAsia="zh-CN"/>
    </w:rPr>
  </w:style>
  <w:style w:type="character" w:customStyle="1" w:styleId="NotedebasdepageCar">
    <w:name w:val="Note de bas de page Car"/>
    <w:aliases w:val="5_G Car"/>
    <w:basedOn w:val="Policepardfaut"/>
    <w:link w:val="Notedebasdepage"/>
    <w:rsid w:val="002D24D7"/>
    <w:rPr>
      <w:rFonts w:ascii="Times New Roman" w:hAnsi="Times New Roman" w:cs="Times New Roman"/>
      <w:sz w:val="18"/>
      <w:szCs w:val="20"/>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locked/>
    <w:rsid w:val="0006221B"/>
    <w:rPr>
      <w:rFonts w:ascii="Times New Roman" w:eastAsiaTheme="minorHAnsi" w:hAnsi="Times New Roman" w:cs="Times New Roman"/>
      <w:sz w:val="20"/>
      <w:szCs w:val="20"/>
      <w:lang w:eastAsia="en-US"/>
    </w:rPr>
  </w:style>
  <w:style w:type="paragraph" w:customStyle="1" w:styleId="Default">
    <w:name w:val="Default"/>
    <w:rsid w:val="00FF1AC3"/>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1GChar">
    <w:name w:val="_ H_1_G Char"/>
    <w:link w:val="H1G"/>
    <w:locked/>
    <w:rsid w:val="005B2E51"/>
    <w:rPr>
      <w:rFonts w:ascii="Times New Roman" w:eastAsiaTheme="minorHAnsi" w:hAnsi="Times New Roman" w:cs="Times New Roman"/>
      <w:b/>
      <w:sz w:val="24"/>
      <w:szCs w:val="20"/>
      <w:lang w:eastAsia="en-US"/>
    </w:rPr>
  </w:style>
  <w:style w:type="character" w:styleId="Marquedecommentaire">
    <w:name w:val="annotation reference"/>
    <w:basedOn w:val="Policepardfaut"/>
    <w:uiPriority w:val="99"/>
    <w:semiHidden/>
    <w:unhideWhenUsed/>
    <w:rsid w:val="002D6F86"/>
    <w:rPr>
      <w:sz w:val="16"/>
      <w:szCs w:val="16"/>
    </w:rPr>
  </w:style>
  <w:style w:type="paragraph" w:styleId="Commentaire">
    <w:name w:val="annotation text"/>
    <w:basedOn w:val="Normal"/>
    <w:link w:val="CommentaireCar"/>
    <w:uiPriority w:val="99"/>
    <w:semiHidden/>
    <w:unhideWhenUsed/>
    <w:rsid w:val="002D6F86"/>
    <w:pPr>
      <w:spacing w:line="240" w:lineRule="auto"/>
    </w:pPr>
  </w:style>
  <w:style w:type="character" w:customStyle="1" w:styleId="CommentaireCar">
    <w:name w:val="Commentaire Car"/>
    <w:basedOn w:val="Policepardfaut"/>
    <w:link w:val="Commentaire"/>
    <w:uiPriority w:val="99"/>
    <w:semiHidden/>
    <w:rsid w:val="002D6F86"/>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2D6F86"/>
    <w:rPr>
      <w:b/>
      <w:bCs/>
    </w:rPr>
  </w:style>
  <w:style w:type="character" w:customStyle="1" w:styleId="ObjetducommentaireCar">
    <w:name w:val="Objet du commentaire Car"/>
    <w:basedOn w:val="CommentaireCar"/>
    <w:link w:val="Objetducommentaire"/>
    <w:uiPriority w:val="99"/>
    <w:semiHidden/>
    <w:rsid w:val="002D6F86"/>
    <w:rPr>
      <w:rFonts w:ascii="Times New Roman" w:eastAsiaTheme="minorHAnsi" w:hAnsi="Times New Roman" w:cs="Times New Roman"/>
      <w:b/>
      <w:bCs/>
      <w:sz w:val="20"/>
      <w:szCs w:val="20"/>
      <w:lang w:eastAsia="en-US"/>
    </w:rPr>
  </w:style>
  <w:style w:type="character" w:customStyle="1" w:styleId="UnresolvedMention1">
    <w:name w:val="Unresolved Mention1"/>
    <w:basedOn w:val="Policepardfaut"/>
    <w:uiPriority w:val="99"/>
    <w:semiHidden/>
    <w:unhideWhenUsed/>
    <w:rsid w:val="002D6F86"/>
    <w:rPr>
      <w:color w:val="605E5C"/>
      <w:shd w:val="clear" w:color="auto" w:fill="E1DFDD"/>
    </w:rPr>
  </w:style>
  <w:style w:type="paragraph" w:styleId="Rvision">
    <w:name w:val="Revision"/>
    <w:hidden/>
    <w:uiPriority w:val="99"/>
    <w:semiHidden/>
    <w:rsid w:val="002D763B"/>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692478">
      <w:bodyDiv w:val="1"/>
      <w:marLeft w:val="0"/>
      <w:marRight w:val="0"/>
      <w:marTop w:val="0"/>
      <w:marBottom w:val="0"/>
      <w:divBdr>
        <w:top w:val="none" w:sz="0" w:space="0" w:color="auto"/>
        <w:left w:val="none" w:sz="0" w:space="0" w:color="auto"/>
        <w:bottom w:val="none" w:sz="0" w:space="0" w:color="auto"/>
        <w:right w:val="none" w:sz="0" w:space="0" w:color="auto"/>
      </w:divBdr>
    </w:div>
    <w:div w:id="132947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B7FB5-9037-4D49-A3AD-1AAA79B3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6</Pages>
  <Words>3402</Words>
  <Characters>18513</Characters>
  <Application>Microsoft Office Word</Application>
  <DocSecurity>0</DocSecurity>
  <Lines>303</Lines>
  <Paragraphs>101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CCPR/C/GIN/Q/3</vt:lpstr>
      <vt:lpstr>CCPR/C/GIN/Q/3</vt:lpstr>
    </vt:vector>
  </TitlesOfParts>
  <Company>DCM</Company>
  <LinksUpToDate>false</LinksUpToDate>
  <CharactersWithSpaces>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CCPR/C/MRT/Q/2</dc:title>
  <dc:subject>qrcode</dc:subject>
  <dc:creator>dvx</dc:creator>
  <cp:keywords/>
  <dc:description/>
  <cp:lastModifiedBy>Christine Devouassoux</cp:lastModifiedBy>
  <cp:revision>2</cp:revision>
  <cp:lastPrinted>2018-10-16T09:39:00Z</cp:lastPrinted>
  <dcterms:created xsi:type="dcterms:W3CDTF">2019-02-05T14:16:00Z</dcterms:created>
  <dcterms:modified xsi:type="dcterms:W3CDTF">2019-02-05T14:16:00Z</dcterms:modified>
</cp:coreProperties>
</file>