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092513" w:rsidP="00092513">
            <w:pPr>
              <w:bidi w:val="0"/>
              <w:spacing w:after="20"/>
              <w:jc w:val="left"/>
              <w:rPr>
                <w:szCs w:val="20"/>
              </w:rPr>
            </w:pPr>
            <w:r w:rsidRPr="00092513">
              <w:rPr>
                <w:sz w:val="40"/>
                <w:szCs w:val="20"/>
              </w:rPr>
              <w:t>CCPR</w:t>
            </w:r>
            <w:r>
              <w:rPr>
                <w:szCs w:val="20"/>
              </w:rPr>
              <w:t>/C/MRT/CO/1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092513" w:rsidRDefault="00092513" w:rsidP="00092513">
            <w:pPr>
              <w:bidi w:val="0"/>
              <w:spacing w:before="240"/>
              <w:jc w:val="left"/>
            </w:pPr>
            <w:r>
              <w:t>Distr.: General</w:t>
            </w:r>
          </w:p>
          <w:p w:rsidR="00092513" w:rsidRDefault="00092513" w:rsidP="00092513">
            <w:pPr>
              <w:bidi w:val="0"/>
              <w:jc w:val="left"/>
            </w:pPr>
            <w:r>
              <w:t>21 November 2013</w:t>
            </w:r>
          </w:p>
          <w:p w:rsidR="00092513" w:rsidRDefault="00092513" w:rsidP="00092513">
            <w:pPr>
              <w:bidi w:val="0"/>
              <w:jc w:val="left"/>
            </w:pPr>
            <w:r>
              <w:t>Arabic</w:t>
            </w:r>
          </w:p>
          <w:p w:rsidR="00257225" w:rsidRPr="008B4BC6" w:rsidRDefault="00092513" w:rsidP="00092513">
            <w:pPr>
              <w:bidi w:val="0"/>
              <w:jc w:val="left"/>
            </w:pPr>
            <w:r>
              <w:t>Original: French</w:t>
            </w:r>
          </w:p>
        </w:tc>
      </w:tr>
    </w:tbl>
    <w:p w:rsidR="000C3766" w:rsidRPr="00E27C50" w:rsidRDefault="000C3766" w:rsidP="000C3766">
      <w:pPr>
        <w:pStyle w:val="SingleTxtGA"/>
        <w:spacing w:before="120" w:after="0"/>
        <w:ind w:left="0" w:right="0"/>
        <w:rPr>
          <w:rFonts w:hint="cs"/>
          <w:b/>
          <w:bCs/>
          <w:sz w:val="26"/>
          <w:szCs w:val="36"/>
          <w:rtl/>
          <w:lang w:val="fr-CH"/>
        </w:rPr>
      </w:pPr>
      <w:r w:rsidRPr="00E27C50">
        <w:rPr>
          <w:b/>
          <w:bCs/>
          <w:sz w:val="26"/>
          <w:szCs w:val="36"/>
          <w:rtl/>
          <w:lang w:val="fr-CH"/>
        </w:rPr>
        <w:t xml:space="preserve">اللجنة المعنية بحقوق </w:t>
      </w:r>
      <w:r w:rsidRPr="00E27C50">
        <w:rPr>
          <w:rFonts w:hint="cs"/>
          <w:b/>
          <w:bCs/>
          <w:sz w:val="26"/>
          <w:szCs w:val="36"/>
          <w:rtl/>
          <w:lang w:val="fr-CH"/>
        </w:rPr>
        <w:t>الإنسان</w:t>
      </w:r>
    </w:p>
    <w:p w:rsidR="000C3766" w:rsidRDefault="000C3766" w:rsidP="00FD71BA">
      <w:pPr>
        <w:pStyle w:val="HChGA"/>
        <w:rPr>
          <w:rFonts w:hint="cs"/>
          <w:rtl/>
        </w:rPr>
      </w:pPr>
      <w:r>
        <w:rPr>
          <w:rFonts w:hint="cs"/>
          <w:rtl/>
        </w:rPr>
        <w:tab/>
      </w:r>
      <w:r>
        <w:rPr>
          <w:rFonts w:hint="cs"/>
          <w:rtl/>
        </w:rPr>
        <w:tab/>
      </w:r>
      <w:r w:rsidRPr="00746522">
        <w:rPr>
          <w:rtl/>
        </w:rPr>
        <w:t>الملاحظات الختامية</w:t>
      </w:r>
      <w:r>
        <w:rPr>
          <w:rFonts w:hint="cs"/>
          <w:rtl/>
        </w:rPr>
        <w:t xml:space="preserve"> </w:t>
      </w:r>
      <w:r w:rsidRPr="00746522">
        <w:rPr>
          <w:rtl/>
        </w:rPr>
        <w:t xml:space="preserve">بشأن </w:t>
      </w:r>
      <w:r>
        <w:rPr>
          <w:rFonts w:hint="cs"/>
          <w:rtl/>
        </w:rPr>
        <w:t>التقرير الأولي لموريتانيا</w:t>
      </w:r>
      <w:r w:rsidR="00FD71BA" w:rsidRPr="009C4B4E">
        <w:rPr>
          <w:rStyle w:val="FootnoteReference"/>
          <w:b/>
          <w:bCs w:val="0"/>
          <w:position w:val="6"/>
          <w:sz w:val="20"/>
          <w:vertAlign w:val="baseline"/>
          <w:rtl/>
        </w:rPr>
        <w:footnoteReference w:customMarkFollows="1" w:id="1"/>
        <w:t>*</w:t>
      </w:r>
    </w:p>
    <w:p w:rsidR="000C3766" w:rsidRPr="00875446" w:rsidRDefault="000C3766" w:rsidP="00507CFB">
      <w:pPr>
        <w:pStyle w:val="SingleTxtGA"/>
      </w:pPr>
      <w:r w:rsidRPr="00604305">
        <w:rPr>
          <w:rtl/>
        </w:rPr>
        <w:t>1-</w:t>
      </w:r>
      <w:r w:rsidRPr="00604305">
        <w:rPr>
          <w:rtl/>
        </w:rPr>
        <w:tab/>
        <w:t xml:space="preserve">نظرت اللجنة </w:t>
      </w:r>
      <w:r>
        <w:rPr>
          <w:rFonts w:hint="cs"/>
          <w:rtl/>
        </w:rPr>
        <w:t xml:space="preserve">المعنية بحقوق الإنسان </w:t>
      </w:r>
      <w:r w:rsidRPr="00604305">
        <w:rPr>
          <w:rtl/>
        </w:rPr>
        <w:t xml:space="preserve">في التقرير </w:t>
      </w:r>
      <w:r>
        <w:rPr>
          <w:rFonts w:hint="cs"/>
          <w:rtl/>
        </w:rPr>
        <w:t>الأولي</w:t>
      </w:r>
      <w:r w:rsidRPr="00604305">
        <w:rPr>
          <w:rtl/>
        </w:rPr>
        <w:t xml:space="preserve"> </w:t>
      </w:r>
      <w:r>
        <w:rPr>
          <w:rFonts w:hint="cs"/>
          <w:rtl/>
        </w:rPr>
        <w:t>لموريتانيا</w:t>
      </w:r>
      <w:r w:rsidRPr="00604305">
        <w:rPr>
          <w:rtl/>
        </w:rPr>
        <w:t xml:space="preserve"> (</w:t>
      </w:r>
      <w:r w:rsidRPr="00EF5556">
        <w:rPr>
          <w:lang w:val="fr-FR"/>
        </w:rPr>
        <w:t>CCPR/C/MRT/1</w:t>
      </w:r>
      <w:r w:rsidRPr="00604305">
        <w:rPr>
          <w:rtl/>
        </w:rPr>
        <w:t>) في</w:t>
      </w:r>
      <w:r>
        <w:rPr>
          <w:rFonts w:hint="cs"/>
          <w:rtl/>
        </w:rPr>
        <w:t> </w:t>
      </w:r>
      <w:r w:rsidRPr="00604305">
        <w:rPr>
          <w:rtl/>
        </w:rPr>
        <w:t xml:space="preserve">جلستيها </w:t>
      </w:r>
      <w:r>
        <w:rPr>
          <w:rFonts w:hint="cs"/>
          <w:rtl/>
        </w:rPr>
        <w:t>3018</w:t>
      </w:r>
      <w:r w:rsidRPr="00604305">
        <w:rPr>
          <w:rtl/>
        </w:rPr>
        <w:t xml:space="preserve"> </w:t>
      </w:r>
      <w:r>
        <w:rPr>
          <w:rFonts w:hint="cs"/>
          <w:rtl/>
        </w:rPr>
        <w:t>و3019</w:t>
      </w:r>
      <w:r w:rsidRPr="00604305">
        <w:rPr>
          <w:rtl/>
        </w:rPr>
        <w:t xml:space="preserve"> (</w:t>
      </w:r>
      <w:r w:rsidRPr="00EF5556">
        <w:rPr>
          <w:lang w:val="fr-FR"/>
        </w:rPr>
        <w:t>CCPR/C/SR.3018</w:t>
      </w:r>
      <w:r w:rsidRPr="00604305">
        <w:rPr>
          <w:rtl/>
        </w:rPr>
        <w:t xml:space="preserve"> </w:t>
      </w:r>
      <w:r>
        <w:rPr>
          <w:rFonts w:hint="cs"/>
          <w:rtl/>
        </w:rPr>
        <w:t>و</w:t>
      </w:r>
      <w:r w:rsidR="00815008">
        <w:rPr>
          <w:lang w:val="fr-FR"/>
        </w:rPr>
        <w:t>SR.</w:t>
      </w:r>
      <w:r w:rsidRPr="00EF5556">
        <w:rPr>
          <w:lang w:val="fr-FR"/>
        </w:rPr>
        <w:t>3019</w:t>
      </w:r>
      <w:r w:rsidRPr="00604305">
        <w:rPr>
          <w:rtl/>
        </w:rPr>
        <w:t xml:space="preserve">)، المعقودتين في </w:t>
      </w:r>
      <w:r>
        <w:rPr>
          <w:rFonts w:hint="cs"/>
          <w:rtl/>
        </w:rPr>
        <w:t>21 و22 تشرين الأول/أكتوبر </w:t>
      </w:r>
      <w:r w:rsidRPr="00604305">
        <w:rPr>
          <w:rtl/>
        </w:rPr>
        <w:t xml:space="preserve">2013. </w:t>
      </w:r>
      <w:r w:rsidRPr="00604305">
        <w:rPr>
          <w:rFonts w:cs="Times New Roman" w:hint="cs"/>
          <w:rtl/>
        </w:rPr>
        <w:t>‫</w:t>
      </w:r>
      <w:r w:rsidRPr="00604305">
        <w:rPr>
          <w:rFonts w:hint="cs"/>
          <w:rtl/>
        </w:rPr>
        <w:t xml:space="preserve">واعتمدت اللجنة في جلستها </w:t>
      </w:r>
      <w:r>
        <w:rPr>
          <w:rFonts w:hint="cs"/>
          <w:rtl/>
        </w:rPr>
        <w:t>3031</w:t>
      </w:r>
      <w:r w:rsidRPr="00604305">
        <w:rPr>
          <w:rFonts w:hint="cs"/>
          <w:rtl/>
        </w:rPr>
        <w:t xml:space="preserve"> (</w:t>
      </w:r>
      <w:r w:rsidRPr="00EF5556">
        <w:rPr>
          <w:lang w:val="fr-FR"/>
        </w:rPr>
        <w:t>CCPR/C/SR.3031</w:t>
      </w:r>
      <w:r w:rsidRPr="00604305">
        <w:rPr>
          <w:rtl/>
        </w:rPr>
        <w:t>) المعقودة في</w:t>
      </w:r>
      <w:r w:rsidRPr="00604305">
        <w:rPr>
          <w:rFonts w:hint="cs"/>
          <w:rtl/>
        </w:rPr>
        <w:t> </w:t>
      </w:r>
      <w:r>
        <w:rPr>
          <w:rFonts w:hint="cs"/>
          <w:rtl/>
        </w:rPr>
        <w:t>30</w:t>
      </w:r>
      <w:r w:rsidRPr="00604305">
        <w:rPr>
          <w:rtl/>
        </w:rPr>
        <w:t xml:space="preserve"> </w:t>
      </w:r>
      <w:r>
        <w:rPr>
          <w:rFonts w:hint="cs"/>
          <w:rtl/>
        </w:rPr>
        <w:t>تشرين الأول/أكتوبر </w:t>
      </w:r>
      <w:r w:rsidRPr="00604305">
        <w:rPr>
          <w:rtl/>
        </w:rPr>
        <w:t>2013 الملاحظات الختامية التالية.</w:t>
      </w:r>
      <w:r w:rsidRPr="00604305">
        <w:rPr>
          <w:rFonts w:cs="Times New Roman" w:hint="cs"/>
          <w:rtl/>
        </w:rPr>
        <w:t>‬</w:t>
      </w:r>
    </w:p>
    <w:p w:rsidR="000C3766" w:rsidRDefault="000C3766" w:rsidP="00507CFB">
      <w:pPr>
        <w:pStyle w:val="H1GA"/>
        <w:rPr>
          <w:rFonts w:cs="Times New Roman" w:hint="cs"/>
          <w:rtl/>
        </w:rPr>
      </w:pPr>
      <w:r>
        <w:rPr>
          <w:rFonts w:cs="Times New Roman"/>
          <w:rtl/>
        </w:rPr>
        <w:tab/>
      </w:r>
      <w:r>
        <w:rPr>
          <w:rFonts w:cs="Times New Roman" w:hint="cs"/>
          <w:rtl/>
        </w:rPr>
        <w:t>‫</w:t>
      </w:r>
      <w:r>
        <w:rPr>
          <w:rFonts w:hint="cs"/>
          <w:rtl/>
        </w:rPr>
        <w:t>ألف-</w:t>
      </w:r>
      <w:r>
        <w:rPr>
          <w:rFonts w:hint="cs"/>
          <w:rtl/>
        </w:rPr>
        <w:tab/>
        <w:t>مقدمة</w:t>
      </w:r>
      <w:r>
        <w:rPr>
          <w:rFonts w:cs="Times New Roman" w:hint="cs"/>
          <w:rtl/>
        </w:rPr>
        <w:t>‬</w:t>
      </w:r>
    </w:p>
    <w:p w:rsidR="000C3766" w:rsidRPr="00507CFB" w:rsidRDefault="000C3766" w:rsidP="00507CFB">
      <w:pPr>
        <w:pStyle w:val="SingleTxtGA"/>
        <w:rPr>
          <w:rFonts w:hint="cs"/>
          <w:spacing w:val="-1"/>
          <w:rtl/>
        </w:rPr>
      </w:pPr>
      <w:r w:rsidRPr="00507CFB">
        <w:rPr>
          <w:spacing w:val="-1"/>
          <w:rtl/>
        </w:rPr>
        <w:t>2-</w:t>
      </w:r>
      <w:r w:rsidRPr="00507CFB">
        <w:rPr>
          <w:spacing w:val="-1"/>
          <w:rtl/>
        </w:rPr>
        <w:tab/>
        <w:t>ترحب اللجنة ب</w:t>
      </w:r>
      <w:r w:rsidRPr="00507CFB">
        <w:rPr>
          <w:rFonts w:hint="cs"/>
          <w:spacing w:val="-1"/>
          <w:rtl/>
        </w:rPr>
        <w:t>ال</w:t>
      </w:r>
      <w:r w:rsidRPr="00507CFB">
        <w:rPr>
          <w:spacing w:val="-1"/>
          <w:rtl/>
        </w:rPr>
        <w:t>تقرير</w:t>
      </w:r>
      <w:r w:rsidRPr="00507CFB">
        <w:rPr>
          <w:rFonts w:hint="cs"/>
          <w:spacing w:val="-1"/>
          <w:rtl/>
        </w:rPr>
        <w:t xml:space="preserve"> الأولي لموريتانيا</w:t>
      </w:r>
      <w:r w:rsidRPr="00507CFB">
        <w:rPr>
          <w:spacing w:val="-1"/>
          <w:rtl/>
        </w:rPr>
        <w:t>، وبالمعلومات الواردة فيه</w:t>
      </w:r>
      <w:r w:rsidRPr="00507CFB">
        <w:rPr>
          <w:rFonts w:hint="cs"/>
          <w:spacing w:val="-1"/>
          <w:rtl/>
        </w:rPr>
        <w:t>، غير أنها تأسف للتأخر الكبير في تقديمه</w:t>
      </w:r>
      <w:r w:rsidRPr="00507CFB">
        <w:rPr>
          <w:spacing w:val="-1"/>
          <w:rtl/>
        </w:rPr>
        <w:t xml:space="preserve">. </w:t>
      </w:r>
      <w:r w:rsidRPr="00507CFB">
        <w:rPr>
          <w:rFonts w:cs="Times New Roman" w:hint="cs"/>
          <w:spacing w:val="-1"/>
          <w:rtl/>
        </w:rPr>
        <w:t>‫</w:t>
      </w:r>
      <w:r w:rsidRPr="00507CFB">
        <w:rPr>
          <w:rFonts w:hint="cs"/>
          <w:spacing w:val="-1"/>
          <w:rtl/>
        </w:rPr>
        <w:t>و</w:t>
      </w:r>
      <w:r w:rsidRPr="00507CFB">
        <w:rPr>
          <w:spacing w:val="-1"/>
          <w:rtl/>
        </w:rPr>
        <w:t xml:space="preserve">تعرب عن تقديرها للفرصة التي أتيحت لها </w:t>
      </w:r>
      <w:r w:rsidRPr="00507CFB">
        <w:rPr>
          <w:rFonts w:hint="cs"/>
          <w:spacing w:val="-1"/>
          <w:rtl/>
        </w:rPr>
        <w:t>لعقد</w:t>
      </w:r>
      <w:r w:rsidRPr="00507CFB">
        <w:rPr>
          <w:spacing w:val="-1"/>
          <w:rtl/>
        </w:rPr>
        <w:t xml:space="preserve"> حوار مع وفد الدولة الطرف </w:t>
      </w:r>
      <w:r w:rsidRPr="00507CFB">
        <w:rPr>
          <w:rFonts w:hint="cs"/>
          <w:spacing w:val="-1"/>
          <w:rtl/>
        </w:rPr>
        <w:t xml:space="preserve">الرفيع المستوى </w:t>
      </w:r>
      <w:r w:rsidRPr="00507CFB">
        <w:rPr>
          <w:spacing w:val="-1"/>
          <w:rtl/>
        </w:rPr>
        <w:t>بشأن التدابير ا</w:t>
      </w:r>
      <w:r w:rsidRPr="00507CFB">
        <w:rPr>
          <w:rFonts w:hint="cs"/>
          <w:spacing w:val="-1"/>
          <w:rtl/>
        </w:rPr>
        <w:t>لمُتخذة</w:t>
      </w:r>
      <w:r w:rsidRPr="00507CFB">
        <w:rPr>
          <w:spacing w:val="-1"/>
          <w:rtl/>
        </w:rPr>
        <w:t xml:space="preserve"> أثناء الفترة المشمولة بالتقرير لتنفيذ أحكام العهد.</w:t>
      </w:r>
      <w:r w:rsidR="00341BF0">
        <w:rPr>
          <w:rFonts w:hint="cs"/>
          <w:spacing w:val="-1"/>
          <w:rtl/>
        </w:rPr>
        <w:t xml:space="preserve"> </w:t>
      </w:r>
      <w:r w:rsidRPr="00507CFB">
        <w:rPr>
          <w:rFonts w:hint="cs"/>
          <w:spacing w:val="-1"/>
          <w:rtl/>
        </w:rPr>
        <w:t>وتشكر اللجنة الدولةَ الطرفَ على تقديم ردود خطية (</w:t>
      </w:r>
      <w:r w:rsidRPr="00507CFB">
        <w:rPr>
          <w:spacing w:val="-1"/>
          <w:lang w:val="fr-FR"/>
        </w:rPr>
        <w:t>CCPR/C/MRT/Q/1/</w:t>
      </w:r>
      <w:proofErr w:type="spellStart"/>
      <w:r w:rsidRPr="00507CFB">
        <w:rPr>
          <w:spacing w:val="-1"/>
          <w:lang w:val="fr-FR"/>
        </w:rPr>
        <w:t>Add</w:t>
      </w:r>
      <w:proofErr w:type="spellEnd"/>
      <w:r w:rsidRPr="00507CFB">
        <w:rPr>
          <w:spacing w:val="-1"/>
          <w:lang w:val="fr-FR"/>
        </w:rPr>
        <w:t>.1</w:t>
      </w:r>
      <w:r w:rsidRPr="00507CFB">
        <w:rPr>
          <w:spacing w:val="-1"/>
          <w:rtl/>
        </w:rPr>
        <w:t xml:space="preserve">) على قائمة </w:t>
      </w:r>
      <w:r w:rsidR="00A421CB" w:rsidRPr="00507CFB">
        <w:rPr>
          <w:rFonts w:hint="cs"/>
          <w:spacing w:val="-1"/>
          <w:rtl/>
        </w:rPr>
        <w:t xml:space="preserve">القضايا </w:t>
      </w:r>
      <w:r w:rsidRPr="00507CFB">
        <w:rPr>
          <w:spacing w:val="-1"/>
          <w:lang w:val="fr-FR"/>
        </w:rPr>
        <w:t>(CCPR/C/MRT/Q/1)</w:t>
      </w:r>
      <w:r w:rsidRPr="00507CFB">
        <w:rPr>
          <w:spacing w:val="-1"/>
          <w:rtl/>
        </w:rPr>
        <w:t xml:space="preserve"> التي استكملها الوفد بتقديم ردود شفوية.</w:t>
      </w:r>
    </w:p>
    <w:p w:rsidR="000C3766" w:rsidRPr="001B5C62" w:rsidRDefault="000C3766" w:rsidP="00507CFB">
      <w:pPr>
        <w:pStyle w:val="H1GA"/>
        <w:rPr>
          <w:rFonts w:hint="cs"/>
        </w:rPr>
      </w:pPr>
      <w:r>
        <w:rPr>
          <w:rtl/>
        </w:rPr>
        <w:tab/>
      </w:r>
      <w:r>
        <w:rPr>
          <w:rFonts w:cs="Times New Roman" w:hint="cs"/>
          <w:rtl/>
        </w:rPr>
        <w:t>‫</w:t>
      </w:r>
      <w:r>
        <w:rPr>
          <w:rFonts w:hint="cs"/>
          <w:rtl/>
        </w:rPr>
        <w:t>باء-</w:t>
      </w:r>
      <w:r>
        <w:rPr>
          <w:rFonts w:hint="cs"/>
          <w:rtl/>
        </w:rPr>
        <w:tab/>
        <w:t>الجوانب الإيجابية</w:t>
      </w:r>
      <w:r>
        <w:rPr>
          <w:rFonts w:cs="Times New Roman" w:hint="cs"/>
          <w:rtl/>
        </w:rPr>
        <w:t>‬</w:t>
      </w:r>
    </w:p>
    <w:p w:rsidR="000C3766" w:rsidRPr="00EF5556" w:rsidRDefault="000C3766" w:rsidP="00507CFB">
      <w:pPr>
        <w:pStyle w:val="SingleTxtGA"/>
      </w:pPr>
      <w:r>
        <w:rPr>
          <w:rtl/>
        </w:rPr>
        <w:t>3-</w:t>
      </w:r>
      <w:r>
        <w:rPr>
          <w:rtl/>
        </w:rPr>
        <w:tab/>
        <w:t>ترحب اللجنة ب</w:t>
      </w:r>
      <w:r>
        <w:rPr>
          <w:rFonts w:hint="cs"/>
          <w:rtl/>
        </w:rPr>
        <w:t>تصديق الدولة الطرف على صكوك دولية أساسية متعلقة بحقوق الإنسان، ولا سيما ما يلي</w:t>
      </w:r>
      <w:r>
        <w:rPr>
          <w:rtl/>
        </w:rPr>
        <w:t>:</w:t>
      </w:r>
    </w:p>
    <w:p w:rsidR="000C3766" w:rsidRPr="00780645" w:rsidRDefault="000C3766" w:rsidP="00507CFB">
      <w:pPr>
        <w:pStyle w:val="SingleTxtGA"/>
      </w:pPr>
      <w:r>
        <w:rPr>
          <w:rtl/>
        </w:rPr>
        <w:tab/>
        <w:t>(أ)</w:t>
      </w:r>
      <w:r>
        <w:rPr>
          <w:rtl/>
        </w:rPr>
        <w:tab/>
      </w:r>
      <w:r w:rsidRPr="00780645">
        <w:rPr>
          <w:rtl/>
        </w:rPr>
        <w:t>الاتفاقية الدولية لحماية حقوق جمي</w:t>
      </w:r>
      <w:r>
        <w:rPr>
          <w:rtl/>
        </w:rPr>
        <w:t>ع العمال المهاجرين وأفراد أسرهم، في</w:t>
      </w:r>
      <w:r w:rsidR="00507CFB">
        <w:rPr>
          <w:rFonts w:hint="cs"/>
          <w:rtl/>
        </w:rPr>
        <w:t> </w:t>
      </w:r>
      <w:r>
        <w:rPr>
          <w:rFonts w:hint="cs"/>
          <w:rtl/>
        </w:rPr>
        <w:t>22 كانون الثاني/يناير 2007</w:t>
      </w:r>
      <w:r>
        <w:rPr>
          <w:rtl/>
        </w:rPr>
        <w:t>؛</w:t>
      </w:r>
    </w:p>
    <w:p w:rsidR="000C3766" w:rsidRPr="00780645" w:rsidRDefault="000C3766" w:rsidP="00AC7DC0">
      <w:pPr>
        <w:pStyle w:val="SingleTxtGA"/>
      </w:pPr>
      <w:r>
        <w:rPr>
          <w:rtl/>
        </w:rPr>
        <w:tab/>
        <w:t>(</w:t>
      </w:r>
      <w:r>
        <w:rPr>
          <w:rFonts w:hint="cs"/>
          <w:rtl/>
        </w:rPr>
        <w:t>ب</w:t>
      </w:r>
      <w:r>
        <w:rPr>
          <w:rtl/>
        </w:rPr>
        <w:t>)</w:t>
      </w:r>
      <w:r>
        <w:rPr>
          <w:rtl/>
        </w:rPr>
        <w:tab/>
      </w:r>
      <w:r w:rsidRPr="00780645">
        <w:rPr>
          <w:rtl/>
        </w:rPr>
        <w:t>البروتوكول الاختياري لاتفاقية حقوق الطفل بشأن بيع الأطفال واستغلال الأطفال في البغاء وفي المواد الإباحية</w:t>
      </w:r>
      <w:r>
        <w:rPr>
          <w:rtl/>
        </w:rPr>
        <w:t xml:space="preserve">، في </w:t>
      </w:r>
      <w:r>
        <w:rPr>
          <w:rFonts w:hint="cs"/>
          <w:rtl/>
        </w:rPr>
        <w:t>23 نيسان/أبريل 2007</w:t>
      </w:r>
      <w:r>
        <w:rPr>
          <w:rtl/>
        </w:rPr>
        <w:t>؛</w:t>
      </w:r>
    </w:p>
    <w:p w:rsidR="000C3766" w:rsidRPr="00780645" w:rsidRDefault="000C3766" w:rsidP="00AC7DC0">
      <w:pPr>
        <w:pStyle w:val="SingleTxtGA"/>
      </w:pPr>
      <w:r>
        <w:rPr>
          <w:rtl/>
        </w:rPr>
        <w:tab/>
        <w:t>(</w:t>
      </w:r>
      <w:r>
        <w:rPr>
          <w:rFonts w:hint="cs"/>
          <w:rtl/>
        </w:rPr>
        <w:t>ج</w:t>
      </w:r>
      <w:r>
        <w:rPr>
          <w:rtl/>
        </w:rPr>
        <w:t>)</w:t>
      </w:r>
      <w:r>
        <w:rPr>
          <w:rtl/>
        </w:rPr>
        <w:tab/>
      </w:r>
      <w:r w:rsidRPr="009405F3">
        <w:rPr>
          <w:rtl/>
        </w:rPr>
        <w:t>ا</w:t>
      </w:r>
      <w:r>
        <w:rPr>
          <w:rtl/>
        </w:rPr>
        <w:t xml:space="preserve">تفاقية حقوق الأشخاص ذوي الإعاقة، في </w:t>
      </w:r>
      <w:r>
        <w:rPr>
          <w:rFonts w:hint="cs"/>
          <w:rtl/>
        </w:rPr>
        <w:t>3 نيسان/أبريل 2012</w:t>
      </w:r>
      <w:r>
        <w:rPr>
          <w:rtl/>
        </w:rPr>
        <w:t>؛</w:t>
      </w:r>
    </w:p>
    <w:p w:rsidR="000C3766" w:rsidRPr="009405F3" w:rsidRDefault="000C3766" w:rsidP="00AC7DC0">
      <w:pPr>
        <w:pStyle w:val="SingleTxtGA"/>
      </w:pPr>
      <w:r>
        <w:rPr>
          <w:rtl/>
        </w:rPr>
        <w:tab/>
        <w:t>(</w:t>
      </w:r>
      <w:r>
        <w:rPr>
          <w:rFonts w:hint="cs"/>
          <w:rtl/>
        </w:rPr>
        <w:t>د</w:t>
      </w:r>
      <w:r>
        <w:rPr>
          <w:rtl/>
        </w:rPr>
        <w:t>)</w:t>
      </w:r>
      <w:r>
        <w:rPr>
          <w:rtl/>
        </w:rPr>
        <w:tab/>
      </w:r>
      <w:r w:rsidRPr="009405F3">
        <w:rPr>
          <w:rtl/>
        </w:rPr>
        <w:t>البروتوكول الاختياري لاتفاقية حقوق الأشخاص ذوي الإعاق</w:t>
      </w:r>
      <w:r>
        <w:rPr>
          <w:rtl/>
        </w:rPr>
        <w:t xml:space="preserve">ة، في </w:t>
      </w:r>
      <w:r>
        <w:rPr>
          <w:rFonts w:hint="cs"/>
          <w:rtl/>
        </w:rPr>
        <w:t>3 نيسان/أبريل 2012</w:t>
      </w:r>
      <w:r>
        <w:rPr>
          <w:rtl/>
        </w:rPr>
        <w:t>؛</w:t>
      </w:r>
    </w:p>
    <w:p w:rsidR="000C3766" w:rsidRPr="009405F3" w:rsidRDefault="000C3766" w:rsidP="00AC7DC0">
      <w:pPr>
        <w:pStyle w:val="SingleTxtGA"/>
      </w:pPr>
      <w:r>
        <w:rPr>
          <w:rtl/>
        </w:rPr>
        <w:tab/>
        <w:t>(</w:t>
      </w:r>
      <w:r w:rsidR="004522E1">
        <w:rPr>
          <w:rFonts w:hint="cs"/>
          <w:rtl/>
        </w:rPr>
        <w:t>ه‍(</w:t>
      </w:r>
      <w:r>
        <w:rPr>
          <w:rtl/>
        </w:rPr>
        <w:tab/>
      </w:r>
      <w:r w:rsidRPr="009405F3">
        <w:rPr>
          <w:rtl/>
        </w:rPr>
        <w:t xml:space="preserve">الاتفاقية الدولية لحماية </w:t>
      </w:r>
      <w:r>
        <w:rPr>
          <w:rtl/>
        </w:rPr>
        <w:t xml:space="preserve">جميع الأشخاص من الاختفاء القسري، في </w:t>
      </w:r>
      <w:r>
        <w:rPr>
          <w:rFonts w:hint="cs"/>
          <w:rtl/>
        </w:rPr>
        <w:t>3 تشرين الأول/أكتوبر 2012</w:t>
      </w:r>
      <w:r>
        <w:rPr>
          <w:rtl/>
        </w:rPr>
        <w:t>؛</w:t>
      </w:r>
    </w:p>
    <w:p w:rsidR="000C3766" w:rsidRPr="009405F3" w:rsidRDefault="000C3766" w:rsidP="00AC7DC0">
      <w:pPr>
        <w:pStyle w:val="SingleTxtGA"/>
      </w:pPr>
      <w:r>
        <w:rPr>
          <w:rtl/>
        </w:rPr>
        <w:tab/>
        <w:t>(</w:t>
      </w:r>
      <w:r>
        <w:rPr>
          <w:rFonts w:hint="cs"/>
          <w:rtl/>
        </w:rPr>
        <w:t>و</w:t>
      </w:r>
      <w:r>
        <w:rPr>
          <w:rtl/>
        </w:rPr>
        <w:t>)</w:t>
      </w:r>
      <w:r>
        <w:rPr>
          <w:rtl/>
        </w:rPr>
        <w:tab/>
      </w:r>
      <w:r w:rsidRPr="00923163">
        <w:rPr>
          <w:rtl/>
        </w:rPr>
        <w:t>البروتوكول الاختياري لاتفاقية مناهضة التعذيب وغيره من ضروب المعاملة أو العقوبة ال</w:t>
      </w:r>
      <w:r>
        <w:rPr>
          <w:rtl/>
        </w:rPr>
        <w:t xml:space="preserve">قاسية أو اللاإنسانية أو المهينة، في </w:t>
      </w:r>
      <w:r>
        <w:rPr>
          <w:rFonts w:hint="cs"/>
          <w:rtl/>
        </w:rPr>
        <w:t>3 تشرين الأول/أكتوبر 2012.</w:t>
      </w:r>
    </w:p>
    <w:p w:rsidR="000C3766" w:rsidRPr="009C4D62" w:rsidRDefault="000C3766" w:rsidP="00AC7DC0">
      <w:pPr>
        <w:pStyle w:val="SingleTxtGA"/>
      </w:pPr>
      <w:r>
        <w:rPr>
          <w:rFonts w:hint="cs"/>
          <w:rtl/>
        </w:rPr>
        <w:t>4</w:t>
      </w:r>
      <w:r>
        <w:rPr>
          <w:rtl/>
        </w:rPr>
        <w:t>-</w:t>
      </w:r>
      <w:r>
        <w:rPr>
          <w:rtl/>
        </w:rPr>
        <w:tab/>
      </w:r>
      <w:r w:rsidRPr="00583B56">
        <w:rPr>
          <w:rtl/>
        </w:rPr>
        <w:t>وتحيط اللجنة علماً مع التقدير بالجهود التي بذلتها الدولة الطرف لمراجعة تشريعاتها،</w:t>
      </w:r>
      <w:r w:rsidR="00815008">
        <w:rPr>
          <w:rtl/>
        </w:rPr>
        <w:t xml:space="preserve"> ولا </w:t>
      </w:r>
      <w:r w:rsidRPr="00583B56">
        <w:rPr>
          <w:rtl/>
        </w:rPr>
        <w:t>سيما</w:t>
      </w:r>
      <w:r>
        <w:rPr>
          <w:rtl/>
        </w:rPr>
        <w:t>:</w:t>
      </w:r>
    </w:p>
    <w:p w:rsidR="000C3766" w:rsidRPr="00212D70" w:rsidRDefault="000C3766" w:rsidP="00AC7DC0">
      <w:pPr>
        <w:pStyle w:val="SingleTxtGA"/>
      </w:pPr>
      <w:r>
        <w:rPr>
          <w:rtl/>
        </w:rPr>
        <w:tab/>
        <w:t>(</w:t>
      </w:r>
      <w:r>
        <w:rPr>
          <w:rFonts w:hint="cs"/>
          <w:rtl/>
        </w:rPr>
        <w:t>أ</w:t>
      </w:r>
      <w:r>
        <w:rPr>
          <w:rtl/>
        </w:rPr>
        <w:t>)</w:t>
      </w:r>
      <w:r>
        <w:rPr>
          <w:rtl/>
        </w:rPr>
        <w:tab/>
      </w:r>
      <w:r>
        <w:rPr>
          <w:rFonts w:hint="cs"/>
          <w:rtl/>
        </w:rPr>
        <w:t xml:space="preserve">الأمر القانوني رقم 2005-015 </w:t>
      </w:r>
      <w:r>
        <w:rPr>
          <w:rFonts w:hint="cs"/>
          <w:rtl/>
          <w:lang w:val="fr-FR"/>
        </w:rPr>
        <w:t xml:space="preserve">المؤرخ </w:t>
      </w:r>
      <w:r>
        <w:rPr>
          <w:rFonts w:hint="cs"/>
          <w:rtl/>
        </w:rPr>
        <w:t>5 كانون الأول/ديسمبر 2005 بشأن الحماية الجنائية للطفل؛</w:t>
      </w:r>
    </w:p>
    <w:p w:rsidR="000C3766" w:rsidRPr="00671025" w:rsidRDefault="000C3766" w:rsidP="00C10E9A">
      <w:pPr>
        <w:pStyle w:val="SingleTxtGA"/>
      </w:pPr>
      <w:r>
        <w:rPr>
          <w:rtl/>
        </w:rPr>
        <w:tab/>
      </w:r>
      <w:r w:rsidRPr="001B5C62">
        <w:rPr>
          <w:rtl/>
        </w:rPr>
        <w:t>(</w:t>
      </w:r>
      <w:r w:rsidR="00562FAD">
        <w:rPr>
          <w:rFonts w:hint="cs"/>
          <w:rtl/>
        </w:rPr>
        <w:t>ب</w:t>
      </w:r>
      <w:r w:rsidRPr="001B5C62">
        <w:rPr>
          <w:rtl/>
        </w:rPr>
        <w:t>)</w:t>
      </w:r>
      <w:r w:rsidRPr="001B5C62">
        <w:rPr>
          <w:rtl/>
        </w:rPr>
        <w:tab/>
      </w:r>
      <w:r w:rsidRPr="001B5C62">
        <w:rPr>
          <w:rFonts w:hint="cs"/>
          <w:rtl/>
        </w:rPr>
        <w:t xml:space="preserve">الأمر القانوني رقم 2007-036 </w:t>
      </w:r>
      <w:r w:rsidRPr="001B5C62">
        <w:rPr>
          <w:rFonts w:hint="cs"/>
          <w:rtl/>
          <w:lang w:val="fr-FR"/>
        </w:rPr>
        <w:t xml:space="preserve">المؤرخ </w:t>
      </w:r>
      <w:r w:rsidRPr="001B5C62">
        <w:rPr>
          <w:rFonts w:hint="cs"/>
          <w:rtl/>
        </w:rPr>
        <w:t>17 نيسان/أبريل 2007 المتضمن قانون الإجراءات الجنائية؛</w:t>
      </w:r>
    </w:p>
    <w:p w:rsidR="000C3766" w:rsidRPr="002A5EF4" w:rsidRDefault="000C3766" w:rsidP="00DC6F9E">
      <w:pPr>
        <w:pStyle w:val="SingleTxtGA"/>
      </w:pPr>
      <w:r>
        <w:rPr>
          <w:rtl/>
        </w:rPr>
        <w:tab/>
        <w:t>(</w:t>
      </w:r>
      <w:r>
        <w:rPr>
          <w:rFonts w:hint="cs"/>
          <w:rtl/>
        </w:rPr>
        <w:t>ج</w:t>
      </w:r>
      <w:r>
        <w:rPr>
          <w:rtl/>
        </w:rPr>
        <w:t>)</w:t>
      </w:r>
      <w:r>
        <w:rPr>
          <w:rtl/>
        </w:rPr>
        <w:tab/>
      </w:r>
      <w:r w:rsidRPr="00C46820">
        <w:rPr>
          <w:rtl/>
          <w:lang w:val="fr-FR"/>
        </w:rPr>
        <w:t xml:space="preserve">اعتماد القانون رقم 2007-048 </w:t>
      </w:r>
      <w:r>
        <w:rPr>
          <w:rFonts w:hint="cs"/>
          <w:rtl/>
          <w:lang w:val="fr-FR"/>
        </w:rPr>
        <w:t xml:space="preserve">المؤرخ </w:t>
      </w:r>
      <w:r w:rsidRPr="00C46820">
        <w:rPr>
          <w:rtl/>
          <w:lang w:val="fr-FR"/>
        </w:rPr>
        <w:t>3 أيلول</w:t>
      </w:r>
      <w:r>
        <w:rPr>
          <w:rFonts w:hint="cs"/>
          <w:rtl/>
          <w:lang w:val="fr-FR"/>
        </w:rPr>
        <w:t>/</w:t>
      </w:r>
      <w:r>
        <w:rPr>
          <w:rtl/>
          <w:lang w:val="fr-FR"/>
        </w:rPr>
        <w:t>سبتمبر 2007</w:t>
      </w:r>
      <w:r>
        <w:rPr>
          <w:rFonts w:hint="cs"/>
          <w:rtl/>
          <w:lang w:val="fr-FR"/>
        </w:rPr>
        <w:t xml:space="preserve"> والمتعلق </w:t>
      </w:r>
      <w:r w:rsidRPr="00C46820">
        <w:rPr>
          <w:rtl/>
          <w:lang/>
        </w:rPr>
        <w:t xml:space="preserve">بتجريم </w:t>
      </w:r>
      <w:r>
        <w:rPr>
          <w:rFonts w:hint="cs"/>
          <w:rtl/>
          <w:lang/>
        </w:rPr>
        <w:t xml:space="preserve">الرق </w:t>
      </w:r>
      <w:r w:rsidRPr="00C46820">
        <w:rPr>
          <w:rtl/>
          <w:lang/>
        </w:rPr>
        <w:t xml:space="preserve">وقمع ممارسات </w:t>
      </w:r>
      <w:r>
        <w:rPr>
          <w:rFonts w:hint="cs"/>
          <w:rtl/>
          <w:lang/>
        </w:rPr>
        <w:t>الرق؛</w:t>
      </w:r>
    </w:p>
    <w:p w:rsidR="000C3766" w:rsidRPr="00594B2C" w:rsidRDefault="000C3766" w:rsidP="00DC6F9E">
      <w:pPr>
        <w:pStyle w:val="SingleTxtGA"/>
      </w:pPr>
      <w:r>
        <w:rPr>
          <w:rtl/>
        </w:rPr>
        <w:tab/>
        <w:t>(</w:t>
      </w:r>
      <w:r>
        <w:rPr>
          <w:rFonts w:hint="cs"/>
          <w:rtl/>
        </w:rPr>
        <w:t>د</w:t>
      </w:r>
      <w:r>
        <w:rPr>
          <w:rtl/>
        </w:rPr>
        <w:t>)</w:t>
      </w:r>
      <w:r>
        <w:rPr>
          <w:rtl/>
        </w:rPr>
        <w:tab/>
      </w:r>
      <w:r>
        <w:rPr>
          <w:rFonts w:hint="cs"/>
          <w:rtl/>
        </w:rPr>
        <w:t>التعديلات الدستورية لعام</w:t>
      </w:r>
      <w:r w:rsidR="00562FAD">
        <w:rPr>
          <w:rFonts w:hint="cs"/>
          <w:rtl/>
        </w:rPr>
        <w:t>ي</w:t>
      </w:r>
      <w:r>
        <w:rPr>
          <w:rFonts w:hint="cs"/>
          <w:rtl/>
        </w:rPr>
        <w:t xml:space="preserve"> 2006 و2012؛</w:t>
      </w:r>
    </w:p>
    <w:p w:rsidR="000C3766" w:rsidRPr="009405F3" w:rsidRDefault="000C3766" w:rsidP="00DC6F9E">
      <w:pPr>
        <w:pStyle w:val="SingleTxtGA"/>
      </w:pPr>
      <w:r>
        <w:rPr>
          <w:rtl/>
        </w:rPr>
        <w:tab/>
        <w:t>(</w:t>
      </w:r>
      <w:r>
        <w:rPr>
          <w:rFonts w:hint="cs"/>
          <w:rtl/>
        </w:rPr>
        <w:t>ه</w:t>
      </w:r>
      <w:r w:rsidR="00562FAD">
        <w:rPr>
          <w:rFonts w:hint="cs"/>
          <w:rtl/>
        </w:rPr>
        <w:t>‍(</w:t>
      </w:r>
      <w:r w:rsidR="00562FAD">
        <w:rPr>
          <w:rFonts w:hint="cs"/>
          <w:rtl/>
        </w:rPr>
        <w:tab/>
      </w:r>
      <w:r>
        <w:rPr>
          <w:rFonts w:hint="cs"/>
          <w:rtl/>
        </w:rPr>
        <w:t xml:space="preserve">القانون رقم 2010-021 </w:t>
      </w:r>
      <w:r>
        <w:rPr>
          <w:rFonts w:hint="cs"/>
          <w:rtl/>
          <w:lang w:val="fr-FR"/>
        </w:rPr>
        <w:t>المؤرخ</w:t>
      </w:r>
      <w:r>
        <w:rPr>
          <w:rFonts w:hint="cs"/>
          <w:rtl/>
        </w:rPr>
        <w:t xml:space="preserve"> 10 شباط/فبراير 2010 </w:t>
      </w:r>
      <w:r w:rsidRPr="00CF4550">
        <w:rPr>
          <w:rFonts w:hint="cs"/>
          <w:spacing w:val="-6"/>
          <w:rtl/>
          <w:lang/>
        </w:rPr>
        <w:t>المتعلق بتهريب المهاجرين</w:t>
      </w:r>
      <w:r>
        <w:rPr>
          <w:rFonts w:hint="cs"/>
          <w:rtl/>
        </w:rPr>
        <w:t>.</w:t>
      </w:r>
    </w:p>
    <w:p w:rsidR="000C3766" w:rsidRDefault="000C3766" w:rsidP="00DC6F9E">
      <w:pPr>
        <w:pStyle w:val="H1GA"/>
      </w:pPr>
      <w:r>
        <w:rPr>
          <w:rtl/>
        </w:rPr>
        <w:tab/>
        <w:t>جيم-</w:t>
      </w:r>
      <w:r>
        <w:rPr>
          <w:rtl/>
        </w:rPr>
        <w:tab/>
        <w:t>دواعي القلق الرئيسية والتوصيات</w:t>
      </w:r>
    </w:p>
    <w:p w:rsidR="000C3766" w:rsidRPr="00BE6C8B" w:rsidRDefault="000C3766" w:rsidP="00DC6F9E">
      <w:pPr>
        <w:pStyle w:val="SingleTxtGA"/>
      </w:pPr>
      <w:r>
        <w:rPr>
          <w:rtl/>
        </w:rPr>
        <w:t>5-</w:t>
      </w:r>
      <w:r>
        <w:rPr>
          <w:rtl/>
        </w:rPr>
        <w:tab/>
      </w:r>
      <w:r w:rsidRPr="009171DD">
        <w:rPr>
          <w:rtl/>
        </w:rPr>
        <w:t xml:space="preserve">تلاحظ اللجنة </w:t>
      </w:r>
      <w:r>
        <w:rPr>
          <w:rFonts w:hint="cs"/>
          <w:rtl/>
        </w:rPr>
        <w:t xml:space="preserve">بقلق أنّ المحاكم الوطنية لم تحتج بأحكام العهد أو لم تطبّقها، بسبب عدم نشر القوانين التي تصدق على المعاهدات والاتفاقيات المتعلقة بحقوق الإنسان ونصوص هذه الصكوك في </w:t>
      </w:r>
      <w:r w:rsidRPr="004C7EFA">
        <w:rPr>
          <w:rtl/>
        </w:rPr>
        <w:t xml:space="preserve">الجريدة الرسمية </w:t>
      </w:r>
      <w:r>
        <w:rPr>
          <w:rFonts w:hint="cs"/>
          <w:rtl/>
        </w:rPr>
        <w:t>(المادة 2).</w:t>
      </w:r>
    </w:p>
    <w:p w:rsidR="000C3766" w:rsidRPr="00DC6F9E" w:rsidRDefault="000C3766" w:rsidP="00813C01">
      <w:pPr>
        <w:pStyle w:val="SingleTxtGA"/>
        <w:rPr>
          <w:b/>
          <w:bCs/>
          <w:spacing w:val="-2"/>
          <w:lang w:val="fr-CH"/>
        </w:rPr>
      </w:pPr>
      <w:r w:rsidRPr="00DC6F9E">
        <w:rPr>
          <w:b/>
          <w:bCs/>
          <w:rtl/>
          <w:lang w:val="fr-CH"/>
        </w:rPr>
        <w:tab/>
        <w:t>ينبغي للدولة الطرف أن</w:t>
      </w:r>
      <w:r w:rsidRPr="00DC6F9E">
        <w:rPr>
          <w:rFonts w:hint="cs"/>
          <w:b/>
          <w:bCs/>
          <w:rtl/>
          <w:lang w:val="fr-CH"/>
        </w:rPr>
        <w:t xml:space="preserve"> تنشر </w:t>
      </w:r>
      <w:r w:rsidRPr="00DC6F9E">
        <w:rPr>
          <w:b/>
          <w:bCs/>
          <w:rtl/>
          <w:lang w:val="fr-CH"/>
        </w:rPr>
        <w:t>في الجريدة الرسمية</w:t>
      </w:r>
      <w:r w:rsidRPr="00DC6F9E">
        <w:rPr>
          <w:rFonts w:hint="cs"/>
          <w:b/>
          <w:bCs/>
          <w:rtl/>
          <w:lang w:val="fr-CH"/>
        </w:rPr>
        <w:t xml:space="preserve"> بصورة منهجية </w:t>
      </w:r>
      <w:r w:rsidRPr="00DC6F9E">
        <w:rPr>
          <w:b/>
          <w:bCs/>
          <w:rtl/>
          <w:lang w:val="fr-CH"/>
        </w:rPr>
        <w:t>القوانين التي تصدق على المعاهدات والاتفاقيات المتعلقة بحقوق الإنسان ونصوص هذه الصكوك</w:t>
      </w:r>
      <w:r w:rsidRPr="00DC6F9E">
        <w:rPr>
          <w:rFonts w:hint="cs"/>
          <w:b/>
          <w:bCs/>
          <w:rtl/>
          <w:lang w:val="fr-CH"/>
        </w:rPr>
        <w:t>، ولا</w:t>
      </w:r>
      <w:r w:rsidR="00813C01">
        <w:rPr>
          <w:rFonts w:hint="eastAsia"/>
          <w:b/>
          <w:bCs/>
          <w:rtl/>
          <w:lang w:val="fr-CH"/>
        </w:rPr>
        <w:t> </w:t>
      </w:r>
      <w:r w:rsidRPr="00DC6F9E">
        <w:rPr>
          <w:rFonts w:hint="cs"/>
          <w:b/>
          <w:bCs/>
          <w:rtl/>
          <w:lang w:val="fr-CH"/>
        </w:rPr>
        <w:t>سيما العهد</w:t>
      </w:r>
      <w:r w:rsidRPr="00DC6F9E">
        <w:rPr>
          <w:b/>
          <w:bCs/>
          <w:spacing w:val="-2"/>
          <w:rtl/>
          <w:lang w:val="fr-CH"/>
        </w:rPr>
        <w:t>.</w:t>
      </w:r>
      <w:r w:rsidRPr="00DC6F9E">
        <w:rPr>
          <w:rFonts w:hint="cs"/>
          <w:b/>
          <w:bCs/>
          <w:spacing w:val="-2"/>
          <w:rtl/>
          <w:lang w:val="fr-CH"/>
        </w:rPr>
        <w:t xml:space="preserve"> وينبغي للدولة أيضاً أن تذكي الوعي بالعهد في أوساط القضاة والمحامين والمدعين العامين بهدف ضمان أن تراعي المحاكم الوطنية أحكامه.</w:t>
      </w:r>
    </w:p>
    <w:p w:rsidR="000C3766" w:rsidRDefault="000C3766" w:rsidP="00DC6F9E">
      <w:pPr>
        <w:pStyle w:val="SingleTxtGA"/>
      </w:pPr>
      <w:r>
        <w:rPr>
          <w:rFonts w:hint="cs"/>
          <w:rtl/>
        </w:rPr>
        <w:t>6</w:t>
      </w:r>
      <w:r>
        <w:rPr>
          <w:rtl/>
        </w:rPr>
        <w:t>-</w:t>
      </w:r>
      <w:r>
        <w:rPr>
          <w:rtl/>
        </w:rPr>
        <w:tab/>
      </w:r>
      <w:r>
        <w:rPr>
          <w:rFonts w:hint="cs"/>
          <w:rtl/>
        </w:rPr>
        <w:t>وتحيط</w:t>
      </w:r>
      <w:r w:rsidRPr="009171DD">
        <w:rPr>
          <w:rtl/>
        </w:rPr>
        <w:t xml:space="preserve"> اللجنة </w:t>
      </w:r>
      <w:r>
        <w:rPr>
          <w:rFonts w:hint="cs"/>
          <w:rtl/>
        </w:rPr>
        <w:t xml:space="preserve">علماً </w:t>
      </w:r>
      <w:r w:rsidR="00934335">
        <w:rPr>
          <w:rFonts w:hint="cs"/>
          <w:rtl/>
        </w:rPr>
        <w:t xml:space="preserve">بما تثيره </w:t>
      </w:r>
      <w:r>
        <w:rPr>
          <w:rFonts w:hint="cs"/>
          <w:rtl/>
        </w:rPr>
        <w:t>الإشارة إلى الإسلام في د</w:t>
      </w:r>
      <w:r w:rsidR="00934335">
        <w:rPr>
          <w:rFonts w:hint="cs"/>
          <w:rtl/>
        </w:rPr>
        <w:t>ي</w:t>
      </w:r>
      <w:r>
        <w:rPr>
          <w:rFonts w:hint="cs"/>
          <w:rtl/>
        </w:rPr>
        <w:t xml:space="preserve">باجة دستور الدولة الطرف باعتباره </w:t>
      </w:r>
      <w:r w:rsidR="00934335">
        <w:rPr>
          <w:rFonts w:hint="cs"/>
          <w:rtl/>
        </w:rPr>
        <w:t>ال</w:t>
      </w:r>
      <w:r>
        <w:rPr>
          <w:rFonts w:hint="cs"/>
          <w:rtl/>
        </w:rPr>
        <w:t xml:space="preserve">مصدر </w:t>
      </w:r>
      <w:r w:rsidR="00934335">
        <w:rPr>
          <w:rFonts w:hint="cs"/>
          <w:rtl/>
        </w:rPr>
        <w:t>الوحيد ل</w:t>
      </w:r>
      <w:r>
        <w:rPr>
          <w:rFonts w:hint="cs"/>
          <w:rtl/>
        </w:rPr>
        <w:t xml:space="preserve">لقوانين </w:t>
      </w:r>
      <w:r w:rsidR="00934335">
        <w:rPr>
          <w:rFonts w:hint="cs"/>
          <w:rtl/>
        </w:rPr>
        <w:t xml:space="preserve">من مخاوف أن يفضي ذلك </w:t>
      </w:r>
      <w:r>
        <w:rPr>
          <w:rFonts w:hint="cs"/>
          <w:rtl/>
        </w:rPr>
        <w:t xml:space="preserve">إلى </w:t>
      </w:r>
      <w:r w:rsidRPr="003114F4">
        <w:rPr>
          <w:rtl/>
        </w:rPr>
        <w:t>أحكام تشريعية</w:t>
      </w:r>
      <w:r>
        <w:rPr>
          <w:rFonts w:hint="cs"/>
          <w:rtl/>
        </w:rPr>
        <w:t xml:space="preserve"> تمنع التمتع الكامل بحقوق معينة </w:t>
      </w:r>
      <w:proofErr w:type="spellStart"/>
      <w:r>
        <w:rPr>
          <w:rFonts w:hint="cs"/>
          <w:rtl/>
        </w:rPr>
        <w:t>ينصّ</w:t>
      </w:r>
      <w:proofErr w:type="spellEnd"/>
      <w:r>
        <w:rPr>
          <w:rFonts w:hint="cs"/>
          <w:rtl/>
        </w:rPr>
        <w:t xml:space="preserve"> عليها العهد. وتشعر اللجنة بالقلق لأن الدولة الطرف أبدت تحفظاً على المادة 18، </w:t>
      </w:r>
      <w:r>
        <w:rPr>
          <w:rFonts w:hint="cs"/>
          <w:rtl/>
          <w:lang w:bidi="ar-LB"/>
        </w:rPr>
        <w:t>فيما ينص العهد على عدم السماح بأي استثناء بشأن هذه المادة، و</w:t>
      </w:r>
      <w:r w:rsidR="00934335">
        <w:rPr>
          <w:rFonts w:hint="cs"/>
          <w:rtl/>
          <w:lang w:bidi="ar-LB"/>
        </w:rPr>
        <w:t xml:space="preserve">على </w:t>
      </w:r>
      <w:r>
        <w:rPr>
          <w:rFonts w:hint="cs"/>
          <w:rtl/>
          <w:lang w:bidi="ar-LB"/>
        </w:rPr>
        <w:t xml:space="preserve">الفقرة 4 من المادة 23 من العهد، وتأسف </w:t>
      </w:r>
      <w:r w:rsidR="009D49EC">
        <w:rPr>
          <w:rFonts w:hint="cs"/>
          <w:rtl/>
          <w:lang w:bidi="ar-LB"/>
        </w:rPr>
        <w:t xml:space="preserve">لتمسُّك </w:t>
      </w:r>
      <w:r>
        <w:rPr>
          <w:rFonts w:hint="cs"/>
          <w:rtl/>
          <w:lang w:bidi="ar-LB"/>
        </w:rPr>
        <w:t>الدولة الطرف بهذين التحفظين</w:t>
      </w:r>
      <w:r w:rsidRPr="004C7EFA">
        <w:rPr>
          <w:rtl/>
        </w:rPr>
        <w:t xml:space="preserve"> </w:t>
      </w:r>
      <w:r>
        <w:rPr>
          <w:rFonts w:hint="cs"/>
          <w:rtl/>
        </w:rPr>
        <w:t>(المواد 2 و18 و23).</w:t>
      </w:r>
    </w:p>
    <w:p w:rsidR="000C3766" w:rsidRPr="00DC6F9E" w:rsidRDefault="000C3766" w:rsidP="00DC6F9E">
      <w:pPr>
        <w:pStyle w:val="SingleTxtGA"/>
        <w:rPr>
          <w:rFonts w:hint="cs"/>
          <w:b/>
          <w:bCs/>
          <w:spacing w:val="-2"/>
          <w:rtl/>
          <w:lang w:val="fr-CH"/>
        </w:rPr>
      </w:pPr>
      <w:r w:rsidRPr="00DC6F9E">
        <w:rPr>
          <w:b/>
          <w:bCs/>
          <w:rtl/>
          <w:lang w:val="fr-CH"/>
        </w:rPr>
        <w:tab/>
        <w:t xml:space="preserve">ينبغي للدولة الطرف </w:t>
      </w:r>
      <w:r w:rsidRPr="00DC6F9E">
        <w:rPr>
          <w:rFonts w:hint="cs"/>
          <w:b/>
          <w:bCs/>
          <w:rtl/>
          <w:lang w:val="fr-CH"/>
        </w:rPr>
        <w:t>ضمان ألا تمنع الإشارة إلى الإسلام تطبيق أحكام العهد في نظامها القضائي تطبيقاً كاملاً وألا تشكل تبريراً لعدم وفاء الدولة الطرف بالالتزامات المكرسة في العهد. وبناء على ذلك، تشجع اللجنة الدولة الطرف على</w:t>
      </w:r>
      <w:r w:rsidRPr="00DC6F9E">
        <w:rPr>
          <w:rFonts w:hint="cs"/>
          <w:b/>
          <w:bCs/>
          <w:spacing w:val="-2"/>
          <w:rtl/>
          <w:lang w:val="fr-CH"/>
        </w:rPr>
        <w:t xml:space="preserve"> النظر في سحب تحفظيها بشأن المادة 18 والفقرة 4 من المادة 23 من العهد.</w:t>
      </w:r>
    </w:p>
    <w:p w:rsidR="000C3766" w:rsidRPr="00AA14BF" w:rsidRDefault="000C3766" w:rsidP="00DC6F9E">
      <w:pPr>
        <w:pStyle w:val="SingleTxtGA"/>
      </w:pPr>
      <w:r>
        <w:rPr>
          <w:rFonts w:hint="cs"/>
          <w:rtl/>
        </w:rPr>
        <w:t>7</w:t>
      </w:r>
      <w:r>
        <w:rPr>
          <w:rtl/>
        </w:rPr>
        <w:t>-</w:t>
      </w:r>
      <w:r>
        <w:rPr>
          <w:rtl/>
        </w:rPr>
        <w:tab/>
      </w:r>
      <w:r>
        <w:rPr>
          <w:rFonts w:hint="cs"/>
          <w:rtl/>
        </w:rPr>
        <w:t xml:space="preserve">وتأسف اللجنة لأن الدولة الطرف تنفي وجود </w:t>
      </w:r>
      <w:r w:rsidRPr="009D76D7">
        <w:rPr>
          <w:rtl/>
        </w:rPr>
        <w:t>التمييز العنصري‏</w:t>
      </w:r>
      <w:r>
        <w:rPr>
          <w:rFonts w:hint="cs"/>
          <w:rtl/>
        </w:rPr>
        <w:t xml:space="preserve"> </w:t>
      </w:r>
      <w:r w:rsidR="0076701D">
        <w:rPr>
          <w:rFonts w:hint="cs"/>
          <w:rtl/>
        </w:rPr>
        <w:t xml:space="preserve">في </w:t>
      </w:r>
      <w:r>
        <w:rPr>
          <w:rFonts w:hint="cs"/>
          <w:rtl/>
        </w:rPr>
        <w:t xml:space="preserve">إقليمها. ويساور اللجنة </w:t>
      </w:r>
      <w:r w:rsidR="0076701D">
        <w:rPr>
          <w:rFonts w:hint="cs"/>
          <w:rtl/>
        </w:rPr>
        <w:t xml:space="preserve">قلق </w:t>
      </w:r>
      <w:r>
        <w:rPr>
          <w:rFonts w:hint="cs"/>
          <w:rtl/>
        </w:rPr>
        <w:t xml:space="preserve">أيضاً بسبب </w:t>
      </w:r>
      <w:r w:rsidR="0076701D">
        <w:rPr>
          <w:rFonts w:hint="cs"/>
          <w:rtl/>
        </w:rPr>
        <w:t xml:space="preserve">عدم وجود </w:t>
      </w:r>
      <w:r>
        <w:rPr>
          <w:rFonts w:hint="cs"/>
          <w:rtl/>
        </w:rPr>
        <w:t>تعريف للتمييز العنصري و</w:t>
      </w:r>
      <w:r w:rsidR="0076701D">
        <w:rPr>
          <w:rFonts w:hint="cs"/>
          <w:rtl/>
        </w:rPr>
        <w:t>عدم تجريمه في تشريعات الدولة الطرف</w:t>
      </w:r>
      <w:r>
        <w:rPr>
          <w:rFonts w:hint="cs"/>
          <w:rtl/>
        </w:rPr>
        <w:t>، وتأسف لأن الدولة الطرف لم تقدم بيانات عن مدى انتشار هذه الظاهرة، وعن الفئات الأكثر تضرراً</w:t>
      </w:r>
      <w:r w:rsidR="0076701D">
        <w:rPr>
          <w:rFonts w:hint="cs"/>
          <w:rtl/>
        </w:rPr>
        <w:t xml:space="preserve"> منها</w:t>
      </w:r>
      <w:r>
        <w:rPr>
          <w:rFonts w:hint="cs"/>
          <w:rtl/>
        </w:rPr>
        <w:t xml:space="preserve">، والتدابير المتخذة لمكافحتها. وتشعر اللجنة بالقلق لأن التمييز العنصري القائم على </w:t>
      </w:r>
      <w:r w:rsidRPr="00F02079">
        <w:rPr>
          <w:rFonts w:hint="cs"/>
          <w:rtl/>
        </w:rPr>
        <w:t>الانتماء الإثني</w:t>
      </w:r>
      <w:r>
        <w:rPr>
          <w:rFonts w:hint="cs"/>
          <w:rtl/>
        </w:rPr>
        <w:t xml:space="preserve"> يمنع بعض </w:t>
      </w:r>
      <w:r>
        <w:rPr>
          <w:rtl/>
        </w:rPr>
        <w:t>المجموعات ال</w:t>
      </w:r>
      <w:r>
        <w:rPr>
          <w:rFonts w:hint="cs"/>
          <w:rtl/>
        </w:rPr>
        <w:t>إ</w:t>
      </w:r>
      <w:r w:rsidRPr="00847FA6">
        <w:rPr>
          <w:rtl/>
        </w:rPr>
        <w:t>ثنية</w:t>
      </w:r>
      <w:r>
        <w:rPr>
          <w:rFonts w:hint="cs"/>
          <w:rtl/>
        </w:rPr>
        <w:t xml:space="preserve"> من التمتع بحقوق الإنسان، بما في ذلك إمكانية مشاركة نساء </w:t>
      </w:r>
      <w:proofErr w:type="spellStart"/>
      <w:r>
        <w:rPr>
          <w:rFonts w:hint="cs"/>
          <w:rtl/>
        </w:rPr>
        <w:t>الحراطين</w:t>
      </w:r>
      <w:proofErr w:type="spellEnd"/>
      <w:r>
        <w:rPr>
          <w:rFonts w:hint="cs"/>
          <w:rtl/>
        </w:rPr>
        <w:t xml:space="preserve"> في الشؤون العامة. كما تشعر اللجنة بالقلق لأن الدولة الطرف لم تعتمد بعد مشروع خطة العمل الوطنية</w:t>
      </w:r>
      <w:r w:rsidRPr="00871D57">
        <w:rPr>
          <w:rFonts w:hint="cs"/>
          <w:rtl/>
        </w:rPr>
        <w:t xml:space="preserve"> لمكافحة التمييز العنصري </w:t>
      </w:r>
      <w:r w:rsidRPr="00871D57">
        <w:rPr>
          <w:rtl/>
        </w:rPr>
        <w:t>وكره الأجانب وما يتصل بذلك من تعصب</w:t>
      </w:r>
      <w:r w:rsidRPr="00871D57">
        <w:rPr>
          <w:rFonts w:hint="cs"/>
          <w:rtl/>
        </w:rPr>
        <w:t xml:space="preserve"> (المواد 2 و26 و</w:t>
      </w:r>
      <w:r>
        <w:rPr>
          <w:rFonts w:hint="cs"/>
          <w:rtl/>
        </w:rPr>
        <w:t>27).</w:t>
      </w:r>
    </w:p>
    <w:p w:rsidR="000C3766" w:rsidRPr="00DC6F9E" w:rsidRDefault="000C3766" w:rsidP="00DC6F9E">
      <w:pPr>
        <w:pStyle w:val="SingleTxtGA"/>
        <w:rPr>
          <w:rFonts w:hint="cs"/>
          <w:b/>
          <w:bCs/>
          <w:spacing w:val="-2"/>
          <w:rtl/>
          <w:lang w:val="fr-CH"/>
        </w:rPr>
      </w:pPr>
      <w:r w:rsidRPr="00DC6F9E">
        <w:rPr>
          <w:b/>
          <w:bCs/>
          <w:rtl/>
          <w:lang w:val="fr-CH"/>
        </w:rPr>
        <w:tab/>
        <w:t>ينبغي للدولة الطرف أن</w:t>
      </w:r>
      <w:r w:rsidRPr="00DC6F9E">
        <w:rPr>
          <w:rFonts w:hint="cs"/>
          <w:b/>
          <w:bCs/>
          <w:rtl/>
          <w:lang w:val="fr-CH"/>
        </w:rPr>
        <w:t xml:space="preserve"> تعتمد تعريفاً للتمييز العنصري في تشريعاتها و</w:t>
      </w:r>
      <w:r w:rsidR="0076701D" w:rsidRPr="00DC6F9E">
        <w:rPr>
          <w:rFonts w:hint="cs"/>
          <w:b/>
          <w:bCs/>
          <w:rtl/>
          <w:lang w:val="fr-CH"/>
        </w:rPr>
        <w:t>ت</w:t>
      </w:r>
      <w:r w:rsidRPr="00DC6F9E">
        <w:rPr>
          <w:rFonts w:hint="cs"/>
          <w:b/>
          <w:bCs/>
          <w:rtl/>
          <w:lang w:val="fr-CH"/>
        </w:rPr>
        <w:t xml:space="preserve">حظره بما يمتثل للعهد. وينبغي للدولة الطرف أيضاً أن تكافح التمييز القائم على الانتماء الإثني في كل المجالات وأن تسرع في صياغة </w:t>
      </w:r>
      <w:r w:rsidRPr="00DC6F9E">
        <w:rPr>
          <w:rFonts w:hint="cs"/>
          <w:b/>
          <w:bCs/>
          <w:rtl/>
        </w:rPr>
        <w:t xml:space="preserve">خطة العمل الوطنية لمكافحة التمييز العنصري </w:t>
      </w:r>
      <w:r w:rsidRPr="00DC6F9E">
        <w:rPr>
          <w:b/>
          <w:bCs/>
          <w:rtl/>
        </w:rPr>
        <w:t>وكره الأجانب وما يتصل بذلك من تعصب</w:t>
      </w:r>
      <w:r w:rsidRPr="00DC6F9E">
        <w:rPr>
          <w:rFonts w:hint="cs"/>
          <w:b/>
          <w:bCs/>
          <w:rtl/>
        </w:rPr>
        <w:t>، والتصديق عليها واعتمادها، وتنفيذها وتعميمها</w:t>
      </w:r>
      <w:r w:rsidRPr="00DC6F9E">
        <w:rPr>
          <w:rFonts w:hint="cs"/>
          <w:b/>
          <w:bCs/>
          <w:spacing w:val="-2"/>
          <w:rtl/>
          <w:lang w:val="fr-CH"/>
        </w:rPr>
        <w:t>.</w:t>
      </w:r>
    </w:p>
    <w:p w:rsidR="000C3766" w:rsidRDefault="000C3766" w:rsidP="00DC6F9E">
      <w:pPr>
        <w:pStyle w:val="SingleTxtGA"/>
        <w:rPr>
          <w:rFonts w:hint="cs"/>
          <w:rtl/>
        </w:rPr>
      </w:pPr>
      <w:r w:rsidRPr="005E1483">
        <w:rPr>
          <w:rFonts w:hint="cs"/>
          <w:rtl/>
        </w:rPr>
        <w:t>8</w:t>
      </w:r>
      <w:r w:rsidRPr="005E1483">
        <w:rPr>
          <w:rtl/>
        </w:rPr>
        <w:t>-</w:t>
      </w:r>
      <w:r w:rsidRPr="005E1483">
        <w:rPr>
          <w:rtl/>
        </w:rPr>
        <w:tab/>
      </w:r>
      <w:r w:rsidRPr="005E1483">
        <w:rPr>
          <w:rFonts w:hint="cs"/>
          <w:rtl/>
        </w:rPr>
        <w:t xml:space="preserve">وتلاحظ اللجنة بقلق تجريم </w:t>
      </w:r>
      <w:r w:rsidRPr="005E1483">
        <w:rPr>
          <w:rtl/>
        </w:rPr>
        <w:t>المثلية الجنسية</w:t>
      </w:r>
      <w:r w:rsidRPr="005E1483">
        <w:rPr>
          <w:rFonts w:hint="cs"/>
          <w:rtl/>
        </w:rPr>
        <w:t xml:space="preserve"> وإنزال عقوبة الإعدام بممارسيها، مما ينتهك أحكام العهد (المواد 2 و6 و17 و26).</w:t>
      </w:r>
    </w:p>
    <w:p w:rsidR="000C3766" w:rsidRPr="00DC6F9E" w:rsidRDefault="000C3766" w:rsidP="00DC6F9E">
      <w:pPr>
        <w:pStyle w:val="SingleTxtGA"/>
        <w:rPr>
          <w:rFonts w:hint="cs"/>
          <w:b/>
          <w:bCs/>
          <w:spacing w:val="-2"/>
          <w:rtl/>
          <w:lang w:val="fr-CH"/>
        </w:rPr>
      </w:pPr>
      <w:r w:rsidRPr="00DC6F9E">
        <w:rPr>
          <w:b/>
          <w:bCs/>
          <w:rtl/>
          <w:lang w:val="fr-CH"/>
        </w:rPr>
        <w:tab/>
      </w:r>
      <w:r w:rsidRPr="00DC6F9E">
        <w:rPr>
          <w:rFonts w:hint="cs"/>
          <w:b/>
          <w:bCs/>
          <w:rtl/>
          <w:lang w:val="fr-CH"/>
        </w:rPr>
        <w:t xml:space="preserve">تحترم اللجنة تنوع ثقافات كل البلدان ومبادئها الأخلاقية، ولكنها تذكر بأن هذه الثقافات والمبادئ </w:t>
      </w:r>
      <w:r w:rsidRPr="00DC6F9E">
        <w:rPr>
          <w:rFonts w:hint="cs"/>
          <w:b/>
          <w:bCs/>
          <w:rtl/>
        </w:rPr>
        <w:t>ت</w:t>
      </w:r>
      <w:r w:rsidRPr="00DC6F9E">
        <w:rPr>
          <w:b/>
          <w:bCs/>
          <w:rtl/>
        </w:rPr>
        <w:t xml:space="preserve">خضع </w:t>
      </w:r>
      <w:r w:rsidRPr="00DC6F9E">
        <w:rPr>
          <w:rFonts w:hint="cs"/>
          <w:b/>
          <w:bCs/>
          <w:rtl/>
        </w:rPr>
        <w:t>دائماً</w:t>
      </w:r>
      <w:r w:rsidRPr="00DC6F9E">
        <w:rPr>
          <w:b/>
          <w:bCs/>
          <w:rtl/>
        </w:rPr>
        <w:t xml:space="preserve"> لمبدأي عالمية حقوق الإنسان وعدم التمييز (الفقرة 32 من التعليق العام رقم 34(2011) بشأن</w:t>
      </w:r>
      <w:r w:rsidRPr="00DC6F9E">
        <w:rPr>
          <w:rFonts w:hint="cs"/>
          <w:b/>
          <w:bCs/>
          <w:rtl/>
        </w:rPr>
        <w:t xml:space="preserve"> المادة 19:</w:t>
      </w:r>
      <w:r w:rsidRPr="00DC6F9E">
        <w:rPr>
          <w:b/>
          <w:bCs/>
          <w:rtl/>
        </w:rPr>
        <w:t xml:space="preserve"> حرية الرأي وحرية التعبير). وبناء عليه، </w:t>
      </w:r>
      <w:r w:rsidRPr="00DC6F9E">
        <w:rPr>
          <w:rFonts w:hint="cs"/>
          <w:b/>
          <w:bCs/>
          <w:rtl/>
        </w:rPr>
        <w:t xml:space="preserve">ينبغي أن تلغي الدولة الطرف تجريم المثلية الجنسية وأن تتخذ التدابير اللازمة من أجل حماية </w:t>
      </w:r>
      <w:r w:rsidRPr="00DC6F9E">
        <w:rPr>
          <w:b/>
          <w:bCs/>
          <w:rtl/>
        </w:rPr>
        <w:t>الأفراد و</w:t>
      </w:r>
      <w:r w:rsidR="0076701D" w:rsidRPr="00DC6F9E">
        <w:rPr>
          <w:rFonts w:hint="cs"/>
          <w:b/>
          <w:bCs/>
          <w:rtl/>
        </w:rPr>
        <w:t xml:space="preserve">حماية </w:t>
      </w:r>
      <w:r w:rsidRPr="00DC6F9E">
        <w:rPr>
          <w:b/>
          <w:bCs/>
          <w:rtl/>
        </w:rPr>
        <w:t>خصوصيتهم</w:t>
      </w:r>
      <w:r w:rsidRPr="00DC6F9E">
        <w:rPr>
          <w:rFonts w:hint="cs"/>
          <w:b/>
          <w:bCs/>
          <w:spacing w:val="-2"/>
          <w:rtl/>
          <w:lang w:val="fr-CH"/>
        </w:rPr>
        <w:t>.</w:t>
      </w:r>
    </w:p>
    <w:p w:rsidR="000C3766" w:rsidRDefault="000C3766" w:rsidP="00C040DA">
      <w:pPr>
        <w:pStyle w:val="SingleTxtGA"/>
      </w:pPr>
      <w:r>
        <w:rPr>
          <w:rFonts w:hint="cs"/>
          <w:rtl/>
        </w:rPr>
        <w:t>9</w:t>
      </w:r>
      <w:r>
        <w:rPr>
          <w:rtl/>
        </w:rPr>
        <w:t>-</w:t>
      </w:r>
      <w:r>
        <w:rPr>
          <w:rtl/>
        </w:rPr>
        <w:tab/>
      </w:r>
      <w:r>
        <w:rPr>
          <w:rFonts w:hint="cs"/>
          <w:rtl/>
        </w:rPr>
        <w:t>وتلاحظ اللجنة بقلق انعدام المساواة بين الرجل والمرأة في بعض ميادين الشؤون العامة،</w:t>
      </w:r>
      <w:r w:rsidR="00815008">
        <w:rPr>
          <w:rFonts w:hint="cs"/>
          <w:rtl/>
        </w:rPr>
        <w:t xml:space="preserve"> ولا </w:t>
      </w:r>
      <w:r>
        <w:rPr>
          <w:rFonts w:hint="cs"/>
          <w:rtl/>
        </w:rPr>
        <w:t>سيما في السلك القضائي وال</w:t>
      </w:r>
      <w:r>
        <w:rPr>
          <w:rtl/>
        </w:rPr>
        <w:t>دبلوماسي</w:t>
      </w:r>
      <w:r>
        <w:rPr>
          <w:rFonts w:hint="cs"/>
          <w:rtl/>
        </w:rPr>
        <w:t xml:space="preserve"> وال</w:t>
      </w:r>
      <w:r w:rsidRPr="00D062B6">
        <w:rPr>
          <w:rtl/>
        </w:rPr>
        <w:t xml:space="preserve">مناصب </w:t>
      </w:r>
      <w:r>
        <w:rPr>
          <w:rFonts w:hint="cs"/>
          <w:rtl/>
        </w:rPr>
        <w:t>الرفيعة</w:t>
      </w:r>
      <w:r w:rsidRPr="00D062B6">
        <w:rPr>
          <w:rtl/>
        </w:rPr>
        <w:t xml:space="preserve"> في الإدارة العامة</w:t>
      </w:r>
      <w:r>
        <w:rPr>
          <w:rFonts w:hint="cs"/>
          <w:rtl/>
        </w:rPr>
        <w:t>. وتشعر اللجنة بالقلق إزاء انتشار التمييز ضدّ المرأة بالمقارنة مع الرجل فيما يتعلق بنقل الجنسية (المادة</w:t>
      </w:r>
      <w:r w:rsidR="00C040DA">
        <w:rPr>
          <w:rFonts w:hint="eastAsia"/>
          <w:rtl/>
        </w:rPr>
        <w:t> </w:t>
      </w:r>
      <w:r>
        <w:rPr>
          <w:rFonts w:hint="cs"/>
          <w:rtl/>
        </w:rPr>
        <w:t>16 من القانون رقم 1961-112، المعدَّل، المتضمن مدونة الجنسية الموريتانية)؛ والتمييز ضدّ المرأة المنصوص عليه في مدونة الأحوال الشخصية</w:t>
      </w:r>
      <w:r w:rsidR="00DC6F9E">
        <w:rPr>
          <w:rFonts w:hint="cs"/>
          <w:rtl/>
        </w:rPr>
        <w:t xml:space="preserve"> </w:t>
      </w:r>
      <w:r>
        <w:rPr>
          <w:rFonts w:hint="cs"/>
          <w:rtl/>
        </w:rPr>
        <w:t>لعام 2001 (المواد 9-13) بشأن الولاية على المرأة غير المتزوجة؛ والتمييز المتعلق بالحق في الميراث وحقوق الزوجين أثناء الزواج وفسخ الزواج (المواد 2 و3 و23 و26).</w:t>
      </w:r>
    </w:p>
    <w:p w:rsidR="000C3766" w:rsidRPr="00DC6F9E" w:rsidRDefault="000C3766" w:rsidP="00DC6F9E">
      <w:pPr>
        <w:pStyle w:val="SingleTxtGA"/>
        <w:rPr>
          <w:rFonts w:hint="cs"/>
          <w:b/>
          <w:bCs/>
          <w:spacing w:val="-2"/>
          <w:rtl/>
          <w:lang w:val="fr-CH"/>
        </w:rPr>
      </w:pPr>
      <w:r w:rsidRPr="00DC6F9E">
        <w:rPr>
          <w:b/>
          <w:bCs/>
          <w:rtl/>
          <w:lang w:val="fr-CH"/>
        </w:rPr>
        <w:tab/>
      </w:r>
      <w:r w:rsidRPr="00DC6F9E">
        <w:rPr>
          <w:rFonts w:hint="cs"/>
          <w:b/>
          <w:bCs/>
          <w:rtl/>
          <w:lang w:val="fr-CH"/>
        </w:rPr>
        <w:t>ينبغي للدولة الطرف أن تواصل بذل الجهود في سبيل تحسين معدلات تمثيل المرأة في الشؤون السياسية والعامة، وإطلاق حملات ترمي إلى تعميم حقوق المرأة وتوعية النساء بها</w:t>
      </w:r>
      <w:r w:rsidRPr="00DC6F9E">
        <w:rPr>
          <w:rFonts w:hint="cs"/>
          <w:b/>
          <w:bCs/>
          <w:spacing w:val="-2"/>
          <w:rtl/>
          <w:lang w:val="fr-CH"/>
        </w:rPr>
        <w:t xml:space="preserve">. وينبغي للدولة الطرف أن تراجع قانونها بشأن الجنسية بهدف السماح للمرأة الموريتانية بنقل جنسيتها إلى أطفالها </w:t>
      </w:r>
      <w:r w:rsidRPr="00DC6F9E">
        <w:rPr>
          <w:rFonts w:hint="cs"/>
          <w:b/>
          <w:bCs/>
          <w:rtl/>
          <w:lang/>
        </w:rPr>
        <w:t>على قدم المساواة مع الرجل</w:t>
      </w:r>
      <w:r w:rsidRPr="00DC6F9E">
        <w:rPr>
          <w:rFonts w:hint="cs"/>
          <w:b/>
          <w:bCs/>
          <w:spacing w:val="-2"/>
          <w:rtl/>
          <w:lang w:val="fr-CH"/>
        </w:rPr>
        <w:t>، وأن تراجع أيضاً مدونة الأحوال الشخصية لعام 2001 بهدف إبطال أحكام التمييز ضدّ المرأة.</w:t>
      </w:r>
    </w:p>
    <w:p w:rsidR="000C3766" w:rsidRDefault="000C3766" w:rsidP="00DC6F9E">
      <w:pPr>
        <w:pStyle w:val="SingleTxtGA"/>
        <w:rPr>
          <w:rFonts w:hint="cs"/>
          <w:rtl/>
        </w:rPr>
      </w:pPr>
      <w:r>
        <w:rPr>
          <w:rFonts w:hint="cs"/>
          <w:rtl/>
        </w:rPr>
        <w:t>10</w:t>
      </w:r>
      <w:r>
        <w:rPr>
          <w:rtl/>
        </w:rPr>
        <w:t>-</w:t>
      </w:r>
      <w:r>
        <w:rPr>
          <w:rtl/>
        </w:rPr>
        <w:tab/>
      </w:r>
      <w:r>
        <w:rPr>
          <w:rFonts w:hint="cs"/>
          <w:rtl/>
        </w:rPr>
        <w:t xml:space="preserve">وتلاحظ اللجنة بقلق انتشار العنف المنزلي، ولا سيما العنف ضدّ المرأة، بما فيه الاغتصاب، في الدولة الطرف. وتشعر اللجنة بالقلق أيضاً لأنّ مرتكبي هذه الأنواع من العنف لا يُلاحقون قضائياً ولا يعاقبون دائماً؛ وبالإضافة إلى ذلك، يجب على الضحية استدعاء شاهد كي يُعاقب المُغتَصِب. وعلاوةً على ذلك، يساور اللجنة </w:t>
      </w:r>
      <w:r w:rsidR="0076701D">
        <w:rPr>
          <w:rFonts w:hint="cs"/>
          <w:rtl/>
        </w:rPr>
        <w:t xml:space="preserve">قلق </w:t>
      </w:r>
      <w:r>
        <w:rPr>
          <w:rFonts w:hint="cs"/>
          <w:rtl/>
        </w:rPr>
        <w:t>بسبب وصم النساء ضحايا الاغتصاب وإمكانية تعرضهن ل</w:t>
      </w:r>
      <w:r w:rsidRPr="008D3F9B">
        <w:rPr>
          <w:rtl/>
        </w:rPr>
        <w:t>إجراءات جنائية</w:t>
      </w:r>
      <w:r>
        <w:rPr>
          <w:rFonts w:hint="cs"/>
          <w:rtl/>
        </w:rPr>
        <w:t xml:space="preserve">. وتشعر اللجنة بالقلق أيضاً من </w:t>
      </w:r>
      <w:r w:rsidR="0076701D">
        <w:rPr>
          <w:rFonts w:hint="cs"/>
          <w:rtl/>
        </w:rPr>
        <w:t xml:space="preserve">الافتقار إلى </w:t>
      </w:r>
      <w:r>
        <w:rPr>
          <w:rFonts w:hint="cs"/>
          <w:rtl/>
        </w:rPr>
        <w:t>معلومات عن تأثير تدابير الحماية التي اتخذتها الدولة الطرف، والنقص في مراكز استقبال النساء ضحايا العنف، والافتقار إلى معلومات عن الحملات المُنظمة لمكافحة العنف ضدّ المرأة (المواد 3 و7 و23).</w:t>
      </w:r>
    </w:p>
    <w:p w:rsidR="000C3766" w:rsidRPr="00DC6F9E" w:rsidRDefault="000C3766" w:rsidP="00DC6F9E">
      <w:pPr>
        <w:pStyle w:val="SingleTxtGA"/>
        <w:rPr>
          <w:rFonts w:hint="cs"/>
          <w:b/>
          <w:bCs/>
          <w:spacing w:val="-2"/>
          <w:rtl/>
          <w:lang w:val="fr-CH"/>
        </w:rPr>
      </w:pPr>
      <w:r w:rsidRPr="00DC6F9E">
        <w:rPr>
          <w:b/>
          <w:bCs/>
          <w:rtl/>
          <w:lang w:val="fr-CH"/>
        </w:rPr>
        <w:tab/>
      </w:r>
      <w:r w:rsidRPr="00DC6F9E">
        <w:rPr>
          <w:rFonts w:hint="cs"/>
          <w:b/>
          <w:bCs/>
          <w:rtl/>
          <w:lang w:val="fr-CH"/>
        </w:rPr>
        <w:t xml:space="preserve">ينبغي للدولة الطرف </w:t>
      </w:r>
      <w:r w:rsidR="00B0588F" w:rsidRPr="00DC6F9E">
        <w:rPr>
          <w:rFonts w:hint="cs"/>
          <w:b/>
          <w:bCs/>
          <w:rtl/>
          <w:lang w:val="fr-CH"/>
        </w:rPr>
        <w:t xml:space="preserve">أن تكفل قدرة </w:t>
      </w:r>
      <w:r w:rsidRPr="00DC6F9E">
        <w:rPr>
          <w:rFonts w:hint="cs"/>
          <w:b/>
          <w:bCs/>
          <w:rtl/>
          <w:lang w:val="fr-CH"/>
        </w:rPr>
        <w:t xml:space="preserve">النساء ضحايا العنف، </w:t>
      </w:r>
      <w:r w:rsidR="00B0588F" w:rsidRPr="00DC6F9E">
        <w:rPr>
          <w:rFonts w:hint="cs"/>
          <w:b/>
          <w:bCs/>
          <w:rtl/>
          <w:lang w:val="fr-CH"/>
        </w:rPr>
        <w:t xml:space="preserve">بما في ذلك </w:t>
      </w:r>
      <w:r w:rsidRPr="00DC6F9E">
        <w:rPr>
          <w:rFonts w:hint="cs"/>
          <w:b/>
          <w:bCs/>
          <w:rtl/>
          <w:lang w:val="fr-CH"/>
        </w:rPr>
        <w:t xml:space="preserve">الاغتصاب، </w:t>
      </w:r>
      <w:r w:rsidR="00B0588F" w:rsidRPr="00DC6F9E">
        <w:rPr>
          <w:rFonts w:hint="cs"/>
          <w:b/>
          <w:bCs/>
          <w:rtl/>
          <w:lang w:val="fr-CH"/>
        </w:rPr>
        <w:t xml:space="preserve">على </w:t>
      </w:r>
      <w:r w:rsidRPr="00DC6F9E">
        <w:rPr>
          <w:rFonts w:hint="cs"/>
          <w:b/>
          <w:bCs/>
          <w:rtl/>
          <w:lang w:val="fr-CH"/>
        </w:rPr>
        <w:t>تقديم شك</w:t>
      </w:r>
      <w:r w:rsidR="00B0588F" w:rsidRPr="00DC6F9E">
        <w:rPr>
          <w:rFonts w:hint="cs"/>
          <w:b/>
          <w:bCs/>
          <w:rtl/>
          <w:lang w:val="fr-CH"/>
        </w:rPr>
        <w:t>ا</w:t>
      </w:r>
      <w:r w:rsidRPr="00DC6F9E">
        <w:rPr>
          <w:rFonts w:hint="cs"/>
          <w:b/>
          <w:bCs/>
          <w:rtl/>
          <w:lang w:val="fr-CH"/>
        </w:rPr>
        <w:t xml:space="preserve">وى بسهولة، وفي هذا السياق ينبغي أن </w:t>
      </w:r>
      <w:r w:rsidR="00B0588F" w:rsidRPr="00DC6F9E">
        <w:rPr>
          <w:rFonts w:hint="cs"/>
          <w:b/>
          <w:bCs/>
          <w:rtl/>
          <w:lang w:val="fr-CH"/>
        </w:rPr>
        <w:t xml:space="preserve">تراجع </w:t>
      </w:r>
      <w:r w:rsidRPr="00DC6F9E">
        <w:rPr>
          <w:rFonts w:hint="cs"/>
          <w:b/>
          <w:bCs/>
          <w:rtl/>
          <w:lang w:val="fr-CH"/>
        </w:rPr>
        <w:t>الدولة الطرف شرط مثول شاهد في شكاوى الاغتصاب</w:t>
      </w:r>
      <w:r w:rsidRPr="00DC6F9E">
        <w:rPr>
          <w:rFonts w:hint="cs"/>
          <w:b/>
          <w:bCs/>
          <w:spacing w:val="-2"/>
          <w:rtl/>
          <w:lang w:val="fr-CH"/>
        </w:rPr>
        <w:t xml:space="preserve">. وينبغي للدولة الطرف أيضاً أن تعزز تدابير الحماية المتعلقة بالضحايا وأن تمتنع عن اتخاذ إجراءات جنائية. وينبغي للدولة الطرف أيضاً أن تعزز حملاتها للتوعية، ولا سيما في إطار خطة العمل الوطنية لمكافحة العنف ضدّ المرأة والفتاة، وأن تدرّب الموظفين المكلفين بإنفاذ القانون المتعلق بأعمال العنف ضدّ المرأة. وينبغي أن تضمِّن الدولة الطرف في تقريرها المقبل </w:t>
      </w:r>
      <w:r w:rsidR="00B0588F" w:rsidRPr="00DC6F9E">
        <w:rPr>
          <w:rFonts w:hint="cs"/>
          <w:b/>
          <w:bCs/>
          <w:spacing w:val="-2"/>
          <w:rtl/>
          <w:lang w:val="fr-CH"/>
        </w:rPr>
        <w:t>إلى ا</w:t>
      </w:r>
      <w:r w:rsidRPr="00DC6F9E">
        <w:rPr>
          <w:rFonts w:hint="cs"/>
          <w:b/>
          <w:bCs/>
          <w:spacing w:val="-2"/>
          <w:rtl/>
          <w:lang w:val="fr-CH"/>
        </w:rPr>
        <w:t xml:space="preserve">للجنة نتائج الاستقصاء الذي أجراه المكتب الوطني للإحصاءات بشأن جميع أشكال العنف ضدّ المرأة والفتاة وأن تقدم بيانات إحصائية بشأن التحقيقات مع مرتكبي العنف ضدّ المرأة ومقاضاتهم وإدانتهم وإنزال جزاءات بهم. </w:t>
      </w:r>
    </w:p>
    <w:p w:rsidR="000C3766" w:rsidRDefault="000C3766" w:rsidP="00DC6F9E">
      <w:pPr>
        <w:pStyle w:val="SingleTxtGA"/>
        <w:rPr>
          <w:rFonts w:hint="cs"/>
          <w:rtl/>
        </w:rPr>
      </w:pPr>
      <w:r>
        <w:rPr>
          <w:rFonts w:hint="cs"/>
          <w:rtl/>
        </w:rPr>
        <w:t>11</w:t>
      </w:r>
      <w:r>
        <w:rPr>
          <w:rtl/>
        </w:rPr>
        <w:t>-</w:t>
      </w:r>
      <w:r>
        <w:rPr>
          <w:rtl/>
        </w:rPr>
        <w:tab/>
      </w:r>
      <w:r>
        <w:rPr>
          <w:rFonts w:hint="cs"/>
          <w:rtl/>
        </w:rPr>
        <w:t xml:space="preserve">وتحيط اللجنة علماً بالمعلومات التي قدمتها الدولة الطرف بشأن التدابير المتخذة في سبيل مكافحة </w:t>
      </w:r>
      <w:r w:rsidRPr="00775861">
        <w:rPr>
          <w:rtl/>
        </w:rPr>
        <w:t>تشويه الأعضاء التناسلية الأنثوية</w:t>
      </w:r>
      <w:r>
        <w:rPr>
          <w:rFonts w:hint="cs"/>
          <w:rtl/>
        </w:rPr>
        <w:t xml:space="preserve">. غير أنّ اللجنة ما زالت قلقة إزاء انتشار هذه الممارسة في الدولة الطرف. وتأسف اللجنة لغياب معلومات وبيانات </w:t>
      </w:r>
      <w:r w:rsidRPr="0073512F">
        <w:rPr>
          <w:rtl/>
        </w:rPr>
        <w:t>إحصائية</w:t>
      </w:r>
      <w:r>
        <w:rPr>
          <w:rFonts w:hint="cs"/>
          <w:rtl/>
        </w:rPr>
        <w:t xml:space="preserve"> متعلقة بالجزاءات المفروضة على مرتكبي </w:t>
      </w:r>
      <w:r w:rsidRPr="00775861">
        <w:rPr>
          <w:rtl/>
        </w:rPr>
        <w:t>تشويه الأعضاء التناسلية الأنثوية</w:t>
      </w:r>
      <w:r>
        <w:rPr>
          <w:rFonts w:hint="cs"/>
          <w:rtl/>
        </w:rPr>
        <w:t xml:space="preserve"> وعدم وجود قانون محدد في هذا الصدد (المواد 3 و7 و24).</w:t>
      </w:r>
    </w:p>
    <w:p w:rsidR="000C3766" w:rsidRPr="00DC6F9E" w:rsidRDefault="000C3766" w:rsidP="00DC6F9E">
      <w:pPr>
        <w:pStyle w:val="SingleTxtGA"/>
        <w:rPr>
          <w:rFonts w:hint="cs"/>
          <w:b/>
          <w:bCs/>
          <w:rtl/>
        </w:rPr>
      </w:pPr>
      <w:r w:rsidRPr="00DC6F9E">
        <w:rPr>
          <w:b/>
          <w:bCs/>
          <w:rtl/>
          <w:lang w:val="fr-CH"/>
        </w:rPr>
        <w:tab/>
      </w:r>
      <w:r w:rsidRPr="00DC6F9E">
        <w:rPr>
          <w:rFonts w:hint="cs"/>
          <w:b/>
          <w:bCs/>
          <w:rtl/>
          <w:lang w:val="fr-CH"/>
        </w:rPr>
        <w:t>ينبغي للدولة الطرف أن تسهر على تطبيق المادة 12 من ال</w:t>
      </w:r>
      <w:r w:rsidRPr="00DC6F9E">
        <w:rPr>
          <w:rFonts w:hint="cs"/>
          <w:b/>
          <w:bCs/>
          <w:rtl/>
        </w:rPr>
        <w:t xml:space="preserve">أمر القانوني بشأن الحماية الجنائية للطفل وأن تعتمد مشروع القانون الذي يجرّم بصورة خاصة </w:t>
      </w:r>
      <w:r w:rsidRPr="00DC6F9E">
        <w:rPr>
          <w:b/>
          <w:bCs/>
          <w:rtl/>
        </w:rPr>
        <w:t>تشويه الأعضاء التناسلية الأنثوية</w:t>
      </w:r>
      <w:r w:rsidRPr="00DC6F9E">
        <w:rPr>
          <w:rFonts w:hint="cs"/>
          <w:b/>
          <w:bCs/>
          <w:rtl/>
        </w:rPr>
        <w:t xml:space="preserve">. وينبغي للدولة الطرف أيضاً أن تعزز وتواصل حملاتها والتدابير الأخرى المتعلقة بالتوعية ومكافحة </w:t>
      </w:r>
      <w:r w:rsidRPr="00DC6F9E">
        <w:rPr>
          <w:b/>
          <w:bCs/>
          <w:rtl/>
        </w:rPr>
        <w:t>تشويه الأعضاء التناسلية الأنثوية</w:t>
      </w:r>
      <w:r w:rsidRPr="00DC6F9E">
        <w:rPr>
          <w:rFonts w:hint="cs"/>
          <w:b/>
          <w:bCs/>
          <w:rtl/>
        </w:rPr>
        <w:t xml:space="preserve"> في أوساط عامة الناس، بما في ذلك في المناطق الريفية. </w:t>
      </w:r>
    </w:p>
    <w:p w:rsidR="000C3766" w:rsidRPr="0090241F" w:rsidRDefault="000C3766" w:rsidP="00DC6F9E">
      <w:pPr>
        <w:pStyle w:val="SingleTxtGA"/>
      </w:pPr>
      <w:r>
        <w:rPr>
          <w:rFonts w:hint="cs"/>
          <w:rtl/>
        </w:rPr>
        <w:t>12</w:t>
      </w:r>
      <w:r>
        <w:rPr>
          <w:rtl/>
        </w:rPr>
        <w:t>-</w:t>
      </w:r>
      <w:r>
        <w:rPr>
          <w:rtl/>
        </w:rPr>
        <w:tab/>
      </w:r>
      <w:r>
        <w:rPr>
          <w:rFonts w:hint="cs"/>
          <w:rtl/>
        </w:rPr>
        <w:t xml:space="preserve">وتحيط اللجنة علماً بتقدير أن الدولة الطرف أوقفت اختيارياً العمل بعقوبة الإعدام منذ عام 2007. غير أنّ اللجنة </w:t>
      </w:r>
      <w:r w:rsidR="00B0588F">
        <w:rPr>
          <w:rFonts w:hint="cs"/>
          <w:rtl/>
        </w:rPr>
        <w:t xml:space="preserve">تظل </w:t>
      </w:r>
      <w:r>
        <w:rPr>
          <w:rFonts w:hint="cs"/>
          <w:rtl/>
        </w:rPr>
        <w:t xml:space="preserve">قلقة لأن القانون الجنائي ما زال </w:t>
      </w:r>
      <w:proofErr w:type="spellStart"/>
      <w:r>
        <w:rPr>
          <w:rFonts w:hint="cs"/>
          <w:rtl/>
        </w:rPr>
        <w:t>ينصّ</w:t>
      </w:r>
      <w:proofErr w:type="spellEnd"/>
      <w:r>
        <w:rPr>
          <w:rFonts w:hint="cs"/>
          <w:rtl/>
        </w:rPr>
        <w:t xml:space="preserve"> على عقوبة الإعدام وما زالت المحاكم المحلية تطبقها، بما في ذلك ما يتعلق بالجرائم التي يرتكبها أحداث. وبالإضافة إلى ذلك، تشعر اللجنة بالقلق لأنّ عقوبة الإعدام لا تقتصر على الجرائم الأخطر وتُفرض خلافاً لأحكام المادة 6 من العهد، كما تشعر بالقلق بسبب المزاعم بشأن فرض عقوبة الإعدام عقب إدانات قائمة على اعترافات انتُزعت تحت التعذيب أو عقب محاكمات</w:t>
      </w:r>
      <w:r w:rsidR="00815008">
        <w:rPr>
          <w:rFonts w:hint="cs"/>
          <w:rtl/>
        </w:rPr>
        <w:t xml:space="preserve"> لا </w:t>
      </w:r>
      <w:r>
        <w:rPr>
          <w:rFonts w:hint="cs"/>
          <w:rtl/>
        </w:rPr>
        <w:t>تحترم كل الضمانات المنصوص عليها في المادة 14 من العهد (المادتان 6 و14).</w:t>
      </w:r>
    </w:p>
    <w:p w:rsidR="000C3766" w:rsidRPr="00DC6F9E" w:rsidRDefault="000C3766" w:rsidP="00DC6F9E">
      <w:pPr>
        <w:pStyle w:val="SingleTxtGA"/>
        <w:rPr>
          <w:rFonts w:hint="cs"/>
          <w:b/>
          <w:bCs/>
          <w:rtl/>
          <w:lang w:val="fr-CH"/>
        </w:rPr>
      </w:pPr>
      <w:r w:rsidRPr="00DC6F9E">
        <w:rPr>
          <w:b/>
          <w:bCs/>
          <w:rtl/>
          <w:lang w:val="fr-CH"/>
        </w:rPr>
        <w:tab/>
      </w:r>
      <w:r w:rsidRPr="00DC6F9E">
        <w:rPr>
          <w:rFonts w:hint="cs"/>
          <w:b/>
          <w:bCs/>
          <w:rtl/>
          <w:lang w:val="fr-CH"/>
        </w:rPr>
        <w:t xml:space="preserve">ينبغي للدولة الطرف أن تنظر في إلغاء عقوبة الإعدام والتصديق على </w:t>
      </w:r>
      <w:r w:rsidRPr="00DC6F9E">
        <w:rPr>
          <w:b/>
          <w:bCs/>
          <w:rtl/>
          <w:lang w:val="fr-CH"/>
        </w:rPr>
        <w:t>البروتوكول الاختياري الثاني الملحق بالعهد الدولي الخاص بالحقوق المدنية والسياسية والهادف إلى إلغاء عقوبة الإعدام</w:t>
      </w:r>
      <w:r w:rsidRPr="00DC6F9E">
        <w:rPr>
          <w:rFonts w:hint="cs"/>
          <w:b/>
          <w:bCs/>
          <w:rtl/>
          <w:lang w:val="fr-CH"/>
        </w:rPr>
        <w:t>. وينبغي للدولة الطرف أن تكفل عدم فرض عقوبة الإعدام في أي ظرف من الظروف، بما ينتهك الضمانات المنصوص عليها في المادة 6 من العهد.</w:t>
      </w:r>
    </w:p>
    <w:p w:rsidR="000C3766" w:rsidRPr="00EF5556" w:rsidRDefault="000C3766" w:rsidP="00DC6F9E">
      <w:pPr>
        <w:pStyle w:val="SingleTxtGA"/>
      </w:pPr>
      <w:r>
        <w:rPr>
          <w:rFonts w:hint="cs"/>
          <w:rtl/>
        </w:rPr>
        <w:t>13</w:t>
      </w:r>
      <w:r>
        <w:rPr>
          <w:rtl/>
        </w:rPr>
        <w:t>-</w:t>
      </w:r>
      <w:r>
        <w:rPr>
          <w:rtl/>
        </w:rPr>
        <w:tab/>
      </w:r>
      <w:r>
        <w:rPr>
          <w:rFonts w:hint="cs"/>
          <w:rtl/>
        </w:rPr>
        <w:t xml:space="preserve">وتشعر اللجنة بالقلق </w:t>
      </w:r>
      <w:r w:rsidR="00B0588F">
        <w:rPr>
          <w:rFonts w:hint="cs"/>
          <w:rtl/>
        </w:rPr>
        <w:t xml:space="preserve">إزاء </w:t>
      </w:r>
      <w:r>
        <w:rPr>
          <w:rFonts w:hint="cs"/>
          <w:rtl/>
        </w:rPr>
        <w:t xml:space="preserve">المعلومات التي تفيد بموت أشخاص </w:t>
      </w:r>
      <w:r w:rsidR="00B0588F">
        <w:rPr>
          <w:rFonts w:hint="cs"/>
          <w:rtl/>
        </w:rPr>
        <w:t>إ</w:t>
      </w:r>
      <w:r>
        <w:rPr>
          <w:rFonts w:hint="cs"/>
          <w:rtl/>
        </w:rPr>
        <w:t xml:space="preserve">ثر أعمال قمع تمارسها قوات الأمن، أثناء مظاهرات مختلفة نُظمت في البلد، ولا سيما في منطقة </w:t>
      </w:r>
      <w:r w:rsidR="00B0588F">
        <w:rPr>
          <w:rFonts w:hint="cs"/>
          <w:rtl/>
        </w:rPr>
        <w:t>مقامة</w:t>
      </w:r>
      <w:r>
        <w:rPr>
          <w:rFonts w:hint="cs"/>
          <w:rtl/>
        </w:rPr>
        <w:t>، في 27 أيلول/سبتمبر 2011، وأثناء إضراب موظفي شركة النحاس في موريتانيا، في تموز/</w:t>
      </w:r>
      <w:r w:rsidR="00DC6F9E">
        <w:rPr>
          <w:rFonts w:hint="cs"/>
          <w:rtl/>
        </w:rPr>
        <w:t xml:space="preserve"> </w:t>
      </w:r>
      <w:r>
        <w:rPr>
          <w:rFonts w:hint="cs"/>
          <w:rtl/>
        </w:rPr>
        <w:t>يوليه</w:t>
      </w:r>
      <w:r w:rsidR="00DC6F9E">
        <w:rPr>
          <w:rFonts w:hint="eastAsia"/>
          <w:rtl/>
        </w:rPr>
        <w:t> </w:t>
      </w:r>
      <w:r>
        <w:rPr>
          <w:rFonts w:hint="cs"/>
          <w:rtl/>
        </w:rPr>
        <w:t xml:space="preserve">2012. وتشعر اللجنة بالقلق أيضاً إزاء </w:t>
      </w:r>
      <w:r w:rsidR="00B0588F">
        <w:rPr>
          <w:rFonts w:hint="cs"/>
          <w:rtl/>
        </w:rPr>
        <w:t xml:space="preserve">عدم وجود </w:t>
      </w:r>
      <w:r>
        <w:rPr>
          <w:rFonts w:hint="cs"/>
          <w:rtl/>
        </w:rPr>
        <w:t xml:space="preserve">معلومات محددة ومفصلة عن التحقيقات التي أُجريت في هذه الأحداث (المادة 6). </w:t>
      </w:r>
    </w:p>
    <w:p w:rsidR="000C3766" w:rsidRPr="00AD0889" w:rsidRDefault="000C3766" w:rsidP="00AD0889">
      <w:pPr>
        <w:pStyle w:val="SingleTxtGA"/>
        <w:rPr>
          <w:rFonts w:hint="cs"/>
          <w:b/>
          <w:bCs/>
          <w:rtl/>
        </w:rPr>
      </w:pPr>
      <w:r w:rsidRPr="00AD0889">
        <w:rPr>
          <w:b/>
          <w:bCs/>
          <w:rtl/>
          <w:lang w:val="fr-CH"/>
        </w:rPr>
        <w:tab/>
      </w:r>
      <w:r w:rsidRPr="00AD0889">
        <w:rPr>
          <w:rFonts w:hint="cs"/>
          <w:b/>
          <w:bCs/>
          <w:rtl/>
          <w:lang w:val="fr-CH"/>
        </w:rPr>
        <w:t>ينبغي للدولة الطرف أن تجري تحقيقات كاملة وبصورة منهجية في هذه الأفعال، وأن تلاحق المسؤولين المفترضين قضائياً، و</w:t>
      </w:r>
      <w:r w:rsidRPr="00AD0889">
        <w:rPr>
          <w:rFonts w:hint="cs"/>
          <w:b/>
          <w:bCs/>
          <w:rtl/>
        </w:rPr>
        <w:t xml:space="preserve">أن تنزل بهم </w:t>
      </w:r>
      <w:r w:rsidRPr="00AD0889">
        <w:rPr>
          <w:b/>
          <w:bCs/>
          <w:rtl/>
          <w:lang w:val="fr-CH"/>
        </w:rPr>
        <w:t xml:space="preserve">عقوبات تتناسب </w:t>
      </w:r>
      <w:r w:rsidRPr="00AD0889">
        <w:rPr>
          <w:rFonts w:hint="cs"/>
          <w:b/>
          <w:bCs/>
          <w:rtl/>
          <w:lang w:val="fr-CH"/>
        </w:rPr>
        <w:t xml:space="preserve">مع </w:t>
      </w:r>
      <w:r w:rsidRPr="00AD0889">
        <w:rPr>
          <w:b/>
          <w:bCs/>
          <w:rtl/>
          <w:lang w:val="fr-CH"/>
        </w:rPr>
        <w:t>خط</w:t>
      </w:r>
      <w:r w:rsidRPr="00AD0889">
        <w:rPr>
          <w:rFonts w:hint="cs"/>
          <w:b/>
          <w:bCs/>
          <w:rtl/>
          <w:lang w:val="fr-CH"/>
        </w:rPr>
        <w:t>و</w:t>
      </w:r>
      <w:r w:rsidRPr="00AD0889">
        <w:rPr>
          <w:b/>
          <w:bCs/>
          <w:rtl/>
          <w:lang w:val="fr-CH"/>
        </w:rPr>
        <w:t>رة أفعالهم</w:t>
      </w:r>
      <w:r w:rsidRPr="00AD0889">
        <w:rPr>
          <w:rFonts w:hint="cs"/>
          <w:b/>
          <w:bCs/>
          <w:rtl/>
          <w:lang w:val="fr-CH"/>
        </w:rPr>
        <w:t>،</w:t>
      </w:r>
      <w:r w:rsidRPr="00AD0889">
        <w:rPr>
          <w:b/>
          <w:bCs/>
          <w:rtl/>
          <w:lang w:val="fr-CH"/>
        </w:rPr>
        <w:t xml:space="preserve"> </w:t>
      </w:r>
      <w:r w:rsidRPr="00AD0889">
        <w:rPr>
          <w:rFonts w:hint="cs"/>
          <w:b/>
          <w:bCs/>
          <w:rtl/>
          <w:lang w:val="fr-CH"/>
        </w:rPr>
        <w:t>إذا ثبتت إدانتهم، وأن تمنح التعويض المناسب للضحايا وأسرهم. وينبغي للدولة الطرف أن تضع</w:t>
      </w:r>
      <w:r w:rsidRPr="00AD0889">
        <w:rPr>
          <w:b/>
          <w:bCs/>
          <w:rtl/>
        </w:rPr>
        <w:t xml:space="preserve"> </w:t>
      </w:r>
      <w:r w:rsidRPr="00AD0889">
        <w:rPr>
          <w:rFonts w:hint="cs"/>
          <w:b/>
          <w:bCs/>
          <w:rtl/>
          <w:lang w:val="fr-CH"/>
        </w:rPr>
        <w:t>برامج</w:t>
      </w:r>
      <w:r w:rsidRPr="00AD0889">
        <w:rPr>
          <w:b/>
          <w:bCs/>
          <w:rtl/>
          <w:lang w:val="fr-CH"/>
        </w:rPr>
        <w:t xml:space="preserve"> تعليمية </w:t>
      </w:r>
      <w:r w:rsidRPr="00AD0889">
        <w:rPr>
          <w:rFonts w:hint="cs"/>
          <w:b/>
          <w:bCs/>
          <w:rtl/>
          <w:lang w:val="fr-CH"/>
        </w:rPr>
        <w:t>في مجال</w:t>
      </w:r>
      <w:r w:rsidRPr="00AD0889">
        <w:rPr>
          <w:b/>
          <w:bCs/>
          <w:rtl/>
          <w:lang w:val="fr-CH"/>
        </w:rPr>
        <w:t xml:space="preserve"> حقوق الإنسان</w:t>
      </w:r>
      <w:r w:rsidRPr="00AD0889">
        <w:rPr>
          <w:rFonts w:hint="cs"/>
          <w:b/>
          <w:bCs/>
          <w:rtl/>
          <w:lang w:val="fr-CH"/>
        </w:rPr>
        <w:t xml:space="preserve"> موجّهَة لأفراد قوات الأمن وأن ت</w:t>
      </w:r>
      <w:r w:rsidR="00B0588F" w:rsidRPr="00AD0889">
        <w:rPr>
          <w:rFonts w:hint="cs"/>
          <w:b/>
          <w:bCs/>
          <w:rtl/>
          <w:lang w:val="fr-CH"/>
        </w:rPr>
        <w:t>ُ</w:t>
      </w:r>
      <w:r w:rsidRPr="00AD0889">
        <w:rPr>
          <w:rFonts w:hint="cs"/>
          <w:b/>
          <w:bCs/>
          <w:rtl/>
          <w:lang w:val="fr-CH"/>
        </w:rPr>
        <w:t>ثري</w:t>
      </w:r>
      <w:r w:rsidR="00FE4E11">
        <w:rPr>
          <w:rFonts w:hint="cs"/>
          <w:b/>
          <w:bCs/>
          <w:rtl/>
          <w:lang w:val="fr-CH"/>
        </w:rPr>
        <w:t>َ</w:t>
      </w:r>
      <w:r w:rsidRPr="00AD0889">
        <w:rPr>
          <w:rFonts w:hint="cs"/>
          <w:b/>
          <w:bCs/>
          <w:rtl/>
          <w:lang w:val="fr-CH"/>
        </w:rPr>
        <w:t xml:space="preserve"> هذه البرامج، ولا سيما تلك المتعلقة بأحكام العهد. وينبغي للدولة الطرف أن تطلع اللجنة في تقريرها المقبل على مستجدات التحقيق الذي تجري</w:t>
      </w:r>
      <w:r w:rsidRPr="00AD0889">
        <w:rPr>
          <w:rFonts w:hint="cs"/>
          <w:b/>
          <w:bCs/>
          <w:rtl/>
          <w:lang w:val="de-AT" w:bidi="ar-LB"/>
        </w:rPr>
        <w:t xml:space="preserve">ه النيابة العامة </w:t>
      </w:r>
      <w:proofErr w:type="spellStart"/>
      <w:r w:rsidRPr="00AD0889">
        <w:rPr>
          <w:rFonts w:hint="cs"/>
          <w:b/>
          <w:bCs/>
          <w:spacing w:val="-2"/>
          <w:rtl/>
        </w:rPr>
        <w:t>لكيهيدي</w:t>
      </w:r>
      <w:proofErr w:type="spellEnd"/>
      <w:r w:rsidRPr="00AD0889">
        <w:rPr>
          <w:rFonts w:hint="cs"/>
          <w:b/>
          <w:bCs/>
          <w:spacing w:val="-2"/>
          <w:rtl/>
        </w:rPr>
        <w:t xml:space="preserve"> </w:t>
      </w:r>
      <w:r w:rsidRPr="00AD0889">
        <w:rPr>
          <w:rFonts w:hint="cs"/>
          <w:b/>
          <w:bCs/>
          <w:rtl/>
        </w:rPr>
        <w:t xml:space="preserve">بشأن موت الشاب </w:t>
      </w:r>
      <w:proofErr w:type="spellStart"/>
      <w:r w:rsidRPr="00AD0889">
        <w:rPr>
          <w:b/>
          <w:bCs/>
          <w:rtl/>
        </w:rPr>
        <w:t>لمين</w:t>
      </w:r>
      <w:proofErr w:type="spellEnd"/>
      <w:r w:rsidRPr="00AD0889">
        <w:rPr>
          <w:b/>
          <w:bCs/>
          <w:rtl/>
        </w:rPr>
        <w:t xml:space="preserve"> </w:t>
      </w:r>
      <w:proofErr w:type="spellStart"/>
      <w:r w:rsidRPr="00AD0889">
        <w:rPr>
          <w:b/>
          <w:bCs/>
          <w:rtl/>
        </w:rPr>
        <w:t>مانغان</w:t>
      </w:r>
      <w:proofErr w:type="spellEnd"/>
      <w:r w:rsidRPr="00AD0889">
        <w:rPr>
          <w:rFonts w:hint="cs"/>
          <w:b/>
          <w:bCs/>
          <w:rtl/>
        </w:rPr>
        <w:t xml:space="preserve">. </w:t>
      </w:r>
    </w:p>
    <w:p w:rsidR="000C3766" w:rsidRPr="0053635B" w:rsidRDefault="000C3766" w:rsidP="00AD0889">
      <w:pPr>
        <w:pStyle w:val="SingleTxtGA"/>
      </w:pPr>
      <w:r>
        <w:rPr>
          <w:rFonts w:hint="cs"/>
          <w:rtl/>
        </w:rPr>
        <w:t>14</w:t>
      </w:r>
      <w:r>
        <w:rPr>
          <w:rtl/>
        </w:rPr>
        <w:t>-</w:t>
      </w:r>
      <w:r>
        <w:rPr>
          <w:rtl/>
        </w:rPr>
        <w:tab/>
      </w:r>
      <w:r>
        <w:rPr>
          <w:rFonts w:hint="cs"/>
          <w:rtl/>
        </w:rPr>
        <w:t>وتشعر اللجنة بالقلق لأن أيا</w:t>
      </w:r>
      <w:r w:rsidR="00FE4E11">
        <w:rPr>
          <w:rFonts w:hint="cs"/>
          <w:rtl/>
        </w:rPr>
        <w:t>ً</w:t>
      </w:r>
      <w:r>
        <w:rPr>
          <w:rFonts w:hint="cs"/>
          <w:rtl/>
        </w:rPr>
        <w:t xml:space="preserve"> من الدستور (المادة 13) والقانون الجنائي ومدونة الإجراءات الجنائية (المادة 58) لا تعر</w:t>
      </w:r>
      <w:r w:rsidR="0088202F">
        <w:rPr>
          <w:rFonts w:hint="cs"/>
          <w:rtl/>
        </w:rPr>
        <w:t>ِّ</w:t>
      </w:r>
      <w:r>
        <w:rPr>
          <w:rFonts w:hint="cs"/>
          <w:rtl/>
        </w:rPr>
        <w:t>ف التعذيب ولا تجر</w:t>
      </w:r>
      <w:r w:rsidR="0088202F">
        <w:rPr>
          <w:rFonts w:hint="cs"/>
          <w:rtl/>
        </w:rPr>
        <w:t>ِّ</w:t>
      </w:r>
      <w:r>
        <w:rPr>
          <w:rFonts w:hint="cs"/>
          <w:rtl/>
        </w:rPr>
        <w:t xml:space="preserve">مه باعتباره جريمة خاصة؛ الأمر الذي يمنع قمع التعذيب على نحو كافٍ. وتشعر اللجنة بالقلق أيضاً بسبب المزاعم التي تفيد بأن أفراد الشرطة أو قوات الأمن يستخدمون التعذيب </w:t>
      </w:r>
      <w:r w:rsidR="0088202F">
        <w:rPr>
          <w:rFonts w:hint="cs"/>
          <w:rtl/>
        </w:rPr>
        <w:t xml:space="preserve">بصورة منهجية </w:t>
      </w:r>
      <w:r>
        <w:rPr>
          <w:rFonts w:hint="cs"/>
          <w:rtl/>
        </w:rPr>
        <w:t>ويسي</w:t>
      </w:r>
      <w:r w:rsidR="0088202F">
        <w:rPr>
          <w:rFonts w:hint="cs"/>
          <w:rtl/>
        </w:rPr>
        <w:t>ئ</w:t>
      </w:r>
      <w:r>
        <w:rPr>
          <w:rFonts w:hint="cs"/>
          <w:rtl/>
        </w:rPr>
        <w:t xml:space="preserve">ون المعاملة أو يفرطون في اللجوء إلى القوة في المظاهرات أو الاعتقالات أو الاستجوابات، </w:t>
      </w:r>
      <w:r w:rsidR="0088202F">
        <w:rPr>
          <w:rFonts w:hint="cs"/>
          <w:rtl/>
        </w:rPr>
        <w:t xml:space="preserve">ومن ضمن الضحايا </w:t>
      </w:r>
      <w:r>
        <w:rPr>
          <w:rFonts w:hint="cs"/>
          <w:rtl/>
        </w:rPr>
        <w:t xml:space="preserve">أشخاص مشتبه في ضلوعهم في أعمال إرهابية ومهاجرون، وذلك في مراكز الاحتجاز، </w:t>
      </w:r>
      <w:r w:rsidR="0088202F">
        <w:rPr>
          <w:rFonts w:hint="cs"/>
          <w:rtl/>
        </w:rPr>
        <w:t xml:space="preserve">ولا سيما </w:t>
      </w:r>
      <w:r>
        <w:rPr>
          <w:rFonts w:hint="cs"/>
          <w:rtl/>
          <w:lang/>
        </w:rPr>
        <w:t xml:space="preserve">سجن دار النعيم. </w:t>
      </w:r>
      <w:r w:rsidR="0088202F">
        <w:rPr>
          <w:rFonts w:hint="cs"/>
          <w:rtl/>
          <w:lang/>
        </w:rPr>
        <w:t>و</w:t>
      </w:r>
      <w:r>
        <w:rPr>
          <w:rFonts w:hint="cs"/>
          <w:rtl/>
          <w:lang/>
        </w:rPr>
        <w:t xml:space="preserve">بالإضافة إلى ذلك، يساور اللجنة </w:t>
      </w:r>
      <w:r w:rsidR="0088202F">
        <w:rPr>
          <w:rFonts w:hint="cs"/>
          <w:rtl/>
          <w:lang/>
        </w:rPr>
        <w:t xml:space="preserve">قلق </w:t>
      </w:r>
      <w:r>
        <w:rPr>
          <w:rFonts w:hint="cs"/>
          <w:rtl/>
          <w:lang/>
        </w:rPr>
        <w:t>بسبب عدم إنشاء أي سلطة مستقلة محددة للنظر في الشكاوى المرفوعة ضدّ رجال الشرطة وقوات الأمن (المادتان 7 و10).</w:t>
      </w:r>
    </w:p>
    <w:p w:rsidR="000C3766" w:rsidRPr="00AD0889" w:rsidRDefault="000C3766" w:rsidP="00AD0889">
      <w:pPr>
        <w:pStyle w:val="SingleTxtGA"/>
        <w:rPr>
          <w:rFonts w:hint="cs"/>
          <w:b/>
          <w:bCs/>
          <w:rtl/>
        </w:rPr>
      </w:pPr>
      <w:r w:rsidRPr="00AD0889">
        <w:rPr>
          <w:b/>
          <w:bCs/>
          <w:rtl/>
          <w:lang w:val="fr-CH"/>
        </w:rPr>
        <w:tab/>
      </w:r>
      <w:r w:rsidRPr="00AD0889">
        <w:rPr>
          <w:rFonts w:hint="cs"/>
          <w:b/>
          <w:bCs/>
          <w:rtl/>
          <w:lang w:val="fr-CH"/>
        </w:rPr>
        <w:t>ينبغي للدولة الطرف أن تعتمد تعريفاً للتعذيب وأن تجر</w:t>
      </w:r>
      <w:r w:rsidR="00CF7A7E" w:rsidRPr="00AD0889">
        <w:rPr>
          <w:rFonts w:hint="cs"/>
          <w:b/>
          <w:bCs/>
          <w:rtl/>
          <w:lang w:val="fr-CH"/>
        </w:rPr>
        <w:t>ِّ</w:t>
      </w:r>
      <w:r w:rsidRPr="00AD0889">
        <w:rPr>
          <w:rFonts w:hint="cs"/>
          <w:b/>
          <w:bCs/>
          <w:rtl/>
          <w:lang w:val="fr-CH"/>
        </w:rPr>
        <w:t xml:space="preserve">م بوضوح التعذيب في القانون الجنائي بما يتماشى مع المادة الأولى من </w:t>
      </w:r>
      <w:r w:rsidRPr="00AD0889">
        <w:rPr>
          <w:b/>
          <w:bCs/>
          <w:cs/>
          <w:lang w:val="fr-CH"/>
        </w:rPr>
        <w:t>‎‎</w:t>
      </w:r>
      <w:r w:rsidRPr="00AD0889">
        <w:rPr>
          <w:b/>
          <w:bCs/>
          <w:rtl/>
          <w:lang w:val="fr-CH"/>
        </w:rPr>
        <w:t>اتفاقية مناهضة التعذيب وغيره من ضروب المعاملة أو العقوبة القاسية أو اللاإنسانية أو المهينة‏</w:t>
      </w:r>
      <w:r w:rsidRPr="00AD0889">
        <w:rPr>
          <w:rFonts w:hint="cs"/>
          <w:b/>
          <w:bCs/>
          <w:rtl/>
          <w:lang w:val="fr-CH"/>
        </w:rPr>
        <w:t>، و</w:t>
      </w:r>
      <w:r w:rsidRPr="00AD0889">
        <w:rPr>
          <w:rFonts w:hint="cs"/>
          <w:b/>
          <w:bCs/>
          <w:rtl/>
          <w:lang/>
        </w:rPr>
        <w:t>المعايير الدولية ذات الصلة</w:t>
      </w:r>
      <w:r w:rsidRPr="00AD0889">
        <w:rPr>
          <w:rFonts w:hint="cs"/>
          <w:b/>
          <w:bCs/>
          <w:rtl/>
        </w:rPr>
        <w:t xml:space="preserve">. وينبغي أيضاً للدولة الطرف </w:t>
      </w:r>
      <w:r w:rsidR="00CF7A7E" w:rsidRPr="00AD0889">
        <w:rPr>
          <w:rFonts w:hint="cs"/>
          <w:b/>
          <w:bCs/>
          <w:rtl/>
        </w:rPr>
        <w:t xml:space="preserve">أن تحرص </w:t>
      </w:r>
      <w:r w:rsidRPr="00AD0889">
        <w:rPr>
          <w:rFonts w:hint="cs"/>
          <w:b/>
          <w:bCs/>
          <w:rtl/>
        </w:rPr>
        <w:t xml:space="preserve">على أن تجري هيئة مستقلة كل التحقيقات بشأن أعمال التعذيب أو سوء المعاملة أو استخدام القوة المفرطة التي تُعزى إلى أفراد الشرطة أو قوات الأمن. </w:t>
      </w:r>
      <w:r w:rsidR="00CF7A7E" w:rsidRPr="00AD0889">
        <w:rPr>
          <w:rFonts w:hint="cs"/>
          <w:b/>
          <w:bCs/>
          <w:rtl/>
          <w:lang w:val="fr-CH"/>
        </w:rPr>
        <w:t>وب</w:t>
      </w:r>
      <w:r w:rsidRPr="00AD0889">
        <w:rPr>
          <w:rFonts w:hint="cs"/>
          <w:b/>
          <w:bCs/>
          <w:rtl/>
          <w:lang w:val="fr-CH"/>
        </w:rPr>
        <w:t xml:space="preserve">الإضافة إلى ذلك، ينبغي للدولة الطرف أن تكفل تدريب أفراد </w:t>
      </w:r>
      <w:r w:rsidRPr="00AD0889">
        <w:rPr>
          <w:b/>
          <w:bCs/>
          <w:rtl/>
          <w:lang w:val="fr-CH"/>
        </w:rPr>
        <w:t>قوات الأمن العام</w:t>
      </w:r>
      <w:r w:rsidRPr="00AD0889">
        <w:rPr>
          <w:rFonts w:hint="cs"/>
          <w:b/>
          <w:bCs/>
          <w:rtl/>
          <w:lang w:val="fr-CH"/>
        </w:rPr>
        <w:t xml:space="preserve"> من أجل منع التعذيب وسوء المعاملة والتحقيق في هذه </w:t>
      </w:r>
      <w:proofErr w:type="spellStart"/>
      <w:r w:rsidRPr="00AD0889">
        <w:rPr>
          <w:rFonts w:hint="cs"/>
          <w:b/>
          <w:bCs/>
          <w:rtl/>
          <w:lang w:val="fr-CH"/>
        </w:rPr>
        <w:t>الخروقات</w:t>
      </w:r>
      <w:proofErr w:type="spellEnd"/>
      <w:r w:rsidRPr="00AD0889">
        <w:rPr>
          <w:rFonts w:hint="cs"/>
          <w:b/>
          <w:bCs/>
          <w:rtl/>
          <w:lang w:val="fr-CH"/>
        </w:rPr>
        <w:t xml:space="preserve"> مع الحرص على إدراج </w:t>
      </w:r>
      <w:r w:rsidRPr="00AD0889">
        <w:rPr>
          <w:b/>
          <w:bCs/>
          <w:rtl/>
          <w:lang w:val="fr-CH"/>
        </w:rPr>
        <w:t>دليل التقصي والتوثيق الفعالين بشأن التعذيب وغيره من ضروب المعاملة أو العقوبة القاسية أو اللاإنسانية أو المهينة</w:t>
      </w:r>
      <w:r w:rsidRPr="00AD0889">
        <w:rPr>
          <w:rFonts w:hint="cs"/>
          <w:b/>
          <w:bCs/>
          <w:rtl/>
          <w:lang w:val="fr-CH"/>
        </w:rPr>
        <w:t xml:space="preserve"> (بروتوكول اسطنبول) في كل برامج التدريب المخصصة لهم. </w:t>
      </w:r>
      <w:r w:rsidR="00CF7A7E" w:rsidRPr="00AD0889">
        <w:rPr>
          <w:rFonts w:hint="cs"/>
          <w:b/>
          <w:bCs/>
          <w:rtl/>
          <w:lang w:val="fr-CH"/>
        </w:rPr>
        <w:t xml:space="preserve">وعلاوة على </w:t>
      </w:r>
      <w:r w:rsidRPr="00AD0889">
        <w:rPr>
          <w:rFonts w:hint="cs"/>
          <w:b/>
          <w:bCs/>
          <w:rtl/>
          <w:lang w:val="fr-CH"/>
        </w:rPr>
        <w:t xml:space="preserve">ذلك، ينبغي للدولة الطرف أن تضمن إجراء تحقيقات كاملة وغير متحيزة في الادعاءات بالتعذيب وسوء المعاملة، وأن تكفل </w:t>
      </w:r>
      <w:r w:rsidR="00CF7A7E" w:rsidRPr="00AD0889">
        <w:rPr>
          <w:rFonts w:hint="cs"/>
          <w:b/>
          <w:bCs/>
          <w:rtl/>
          <w:lang w:val="fr-CH"/>
        </w:rPr>
        <w:t xml:space="preserve">تقديم </w:t>
      </w:r>
      <w:r w:rsidRPr="00AD0889">
        <w:rPr>
          <w:rFonts w:hint="cs"/>
          <w:b/>
          <w:bCs/>
          <w:rtl/>
          <w:lang w:val="fr-CH"/>
        </w:rPr>
        <w:t>مرتكبي هذه الأفعال المزعومين إلى العدالة، وأن تضمن إدانتهم بعقوبات تتناسب مع خطورة أعمالهم</w:t>
      </w:r>
      <w:r w:rsidR="00CF7A7E" w:rsidRPr="00AD0889">
        <w:rPr>
          <w:rFonts w:hint="cs"/>
          <w:b/>
          <w:bCs/>
          <w:rtl/>
          <w:lang w:val="fr-CH"/>
        </w:rPr>
        <w:t>،</w:t>
      </w:r>
      <w:r w:rsidRPr="00AD0889">
        <w:rPr>
          <w:rFonts w:hint="cs"/>
          <w:b/>
          <w:bCs/>
          <w:rtl/>
          <w:lang w:val="fr-CH"/>
        </w:rPr>
        <w:t xml:space="preserve"> وأن يتلقى الضحايا تعويضاً مناسباً. وينبغي للدولة الطرف أن تكفل إمكانية زيارة مراكز الاحتجاز باستمرار وتنفيذ الآلية الوطنية </w:t>
      </w:r>
      <w:r w:rsidRPr="00AD0889">
        <w:rPr>
          <w:rFonts w:hint="cs"/>
          <w:b/>
          <w:bCs/>
          <w:rtl/>
          <w:lang w:val="de-AT" w:bidi="ar-LB"/>
        </w:rPr>
        <w:t>لمنع</w:t>
      </w:r>
      <w:r w:rsidRPr="00AD0889">
        <w:rPr>
          <w:rFonts w:hint="cs"/>
          <w:b/>
          <w:bCs/>
          <w:rtl/>
          <w:lang w:val="fr-CH"/>
        </w:rPr>
        <w:t xml:space="preserve"> التعذيب بعد التصديق على </w:t>
      </w:r>
      <w:r w:rsidRPr="00AD0889">
        <w:rPr>
          <w:b/>
          <w:bCs/>
          <w:rtl/>
          <w:lang w:val="fr-CH"/>
        </w:rPr>
        <w:t>البروتوكول الاختياري لاتفاقية مناهضة التعذيب وغيره من ضروب المعاملة أو العقوبة القاسية أو اللاإنسانية أو المهينة</w:t>
      </w:r>
      <w:r w:rsidRPr="00AD0889">
        <w:rPr>
          <w:rFonts w:hint="cs"/>
          <w:b/>
          <w:bCs/>
          <w:rtl/>
          <w:lang w:val="fr-CH"/>
        </w:rPr>
        <w:t>.</w:t>
      </w:r>
    </w:p>
    <w:p w:rsidR="000C3766" w:rsidRDefault="000C3766" w:rsidP="00AD0889">
      <w:pPr>
        <w:pStyle w:val="SingleTxtGA"/>
        <w:rPr>
          <w:rFonts w:hint="cs"/>
          <w:rtl/>
        </w:rPr>
      </w:pPr>
      <w:r>
        <w:rPr>
          <w:rFonts w:hint="cs"/>
          <w:rtl/>
        </w:rPr>
        <w:t>15</w:t>
      </w:r>
      <w:r>
        <w:rPr>
          <w:rtl/>
        </w:rPr>
        <w:t>-</w:t>
      </w:r>
      <w:r>
        <w:rPr>
          <w:rtl/>
        </w:rPr>
        <w:tab/>
      </w:r>
      <w:r w:rsidR="00CF7A7E">
        <w:rPr>
          <w:rFonts w:hint="cs"/>
          <w:rtl/>
        </w:rPr>
        <w:t>و</w:t>
      </w:r>
      <w:r>
        <w:rPr>
          <w:rFonts w:hint="cs"/>
          <w:rtl/>
        </w:rPr>
        <w:t xml:space="preserve">تحيط اللجنة علماً بالتفسيرات التي قدمتها الدولة الطرف، </w:t>
      </w:r>
      <w:r w:rsidR="00CF7A7E">
        <w:rPr>
          <w:rFonts w:hint="cs"/>
          <w:rtl/>
        </w:rPr>
        <w:t xml:space="preserve">غير أن القلق يظل يساورها </w:t>
      </w:r>
      <w:r>
        <w:rPr>
          <w:rFonts w:hint="cs"/>
          <w:rtl/>
        </w:rPr>
        <w:t>إزاء المزاعم بممارسة التعذيب لانتزاع اعترافات تقبلها المحاكم لاحقاً من أجل إثبات إدانة المحتجزين (المادتان 7 و14).</w:t>
      </w:r>
    </w:p>
    <w:p w:rsidR="000C3766" w:rsidRPr="00AD0889" w:rsidRDefault="000C3766" w:rsidP="00AD0889">
      <w:pPr>
        <w:pStyle w:val="SingleTxtGA"/>
        <w:rPr>
          <w:rFonts w:hint="cs"/>
          <w:b/>
          <w:bCs/>
          <w:rtl/>
        </w:rPr>
      </w:pPr>
      <w:r w:rsidRPr="00AD0889">
        <w:rPr>
          <w:rFonts w:hint="cs"/>
          <w:b/>
          <w:bCs/>
          <w:rtl/>
          <w:lang w:val="fr-CH"/>
        </w:rPr>
        <w:tab/>
        <w:t xml:space="preserve">ينبغي للدولة الطرف ضمان ألا تستخدم المحاكم أو تقبل الاعترافات </w:t>
      </w:r>
      <w:proofErr w:type="spellStart"/>
      <w:r w:rsidRPr="00AD0889">
        <w:rPr>
          <w:rFonts w:hint="cs"/>
          <w:b/>
          <w:bCs/>
          <w:rtl/>
          <w:lang w:val="fr-CH"/>
        </w:rPr>
        <w:t>المتزعة</w:t>
      </w:r>
      <w:proofErr w:type="spellEnd"/>
      <w:r w:rsidRPr="00AD0889">
        <w:rPr>
          <w:rFonts w:hint="cs"/>
          <w:b/>
          <w:bCs/>
          <w:rtl/>
          <w:lang w:val="fr-CH"/>
        </w:rPr>
        <w:t xml:space="preserve"> بالإكراه باعتبارها دليلاً على ذنب المشتبه فيهم. وفي هذا السياق، ينبغي للدولة الطرف أن تضمن فعالية تطبيق مدونتها للإجراءات الجنائية التي تنص على ما يلي: "لا يعتد بالاعتراف المنتزع تحت التعذيب أو العنف أو الإكراه".</w:t>
      </w:r>
    </w:p>
    <w:p w:rsidR="000C3766" w:rsidRPr="00EF5556" w:rsidRDefault="000C3766" w:rsidP="00E64BF6">
      <w:pPr>
        <w:pStyle w:val="SingleTxtGA"/>
      </w:pPr>
      <w:r>
        <w:rPr>
          <w:rFonts w:hint="cs"/>
          <w:rtl/>
        </w:rPr>
        <w:t>16</w:t>
      </w:r>
      <w:r>
        <w:rPr>
          <w:rtl/>
        </w:rPr>
        <w:t>-</w:t>
      </w:r>
      <w:r>
        <w:rPr>
          <w:rtl/>
        </w:rPr>
        <w:tab/>
      </w:r>
      <w:r>
        <w:rPr>
          <w:rFonts w:hint="cs"/>
          <w:rtl/>
        </w:rPr>
        <w:t xml:space="preserve">وإذ تحيط اللجنة علماً باعتماد الدولة الطرف </w:t>
      </w:r>
      <w:r w:rsidR="00CF7A7E">
        <w:rPr>
          <w:rFonts w:hint="cs"/>
          <w:rtl/>
        </w:rPr>
        <w:t>ال</w:t>
      </w:r>
      <w:r>
        <w:rPr>
          <w:rFonts w:hint="cs"/>
          <w:rtl/>
        </w:rPr>
        <w:t xml:space="preserve">أمر </w:t>
      </w:r>
      <w:r w:rsidR="00CF7A7E">
        <w:rPr>
          <w:rFonts w:hint="cs"/>
          <w:rtl/>
        </w:rPr>
        <w:t>ال</w:t>
      </w:r>
      <w:r>
        <w:rPr>
          <w:rFonts w:hint="cs"/>
          <w:rtl/>
        </w:rPr>
        <w:t xml:space="preserve">قانوني رقم 2005-015 المؤرخ 5 كانون الأول/ديسمبر 2005 بشأن الحماية الجنائية للطفل، </w:t>
      </w:r>
      <w:r w:rsidR="00CF7A7E">
        <w:rPr>
          <w:rFonts w:hint="cs"/>
          <w:rtl/>
        </w:rPr>
        <w:t xml:space="preserve">يساورها </w:t>
      </w:r>
      <w:r>
        <w:rPr>
          <w:rFonts w:hint="cs"/>
          <w:rtl/>
        </w:rPr>
        <w:t>القلق إزاء انتشار ال</w:t>
      </w:r>
      <w:r w:rsidRPr="003821A8">
        <w:rPr>
          <w:rtl/>
        </w:rPr>
        <w:t xml:space="preserve">عقوبة </w:t>
      </w:r>
      <w:r>
        <w:rPr>
          <w:rFonts w:hint="cs"/>
          <w:rtl/>
        </w:rPr>
        <w:t>ال</w:t>
      </w:r>
      <w:r w:rsidRPr="003821A8">
        <w:rPr>
          <w:rtl/>
        </w:rPr>
        <w:t>بدنية</w:t>
      </w:r>
      <w:r>
        <w:rPr>
          <w:rFonts w:hint="cs"/>
          <w:rtl/>
        </w:rPr>
        <w:t xml:space="preserve"> في صفوف الأطفال في الدولة الطرف وعدم تجريم هذه العقوبة صراحةً في القانون (المادتان 7 و24).</w:t>
      </w:r>
    </w:p>
    <w:p w:rsidR="000C3766" w:rsidRPr="00E64BF6" w:rsidRDefault="000C3766" w:rsidP="00E64BF6">
      <w:pPr>
        <w:pStyle w:val="SingleTxtGA"/>
        <w:rPr>
          <w:rFonts w:hint="cs"/>
          <w:b/>
          <w:bCs/>
          <w:rtl/>
          <w:lang w:val="fr-CH"/>
        </w:rPr>
      </w:pPr>
      <w:r w:rsidRPr="00E64BF6">
        <w:rPr>
          <w:rFonts w:hint="cs"/>
          <w:b/>
          <w:bCs/>
          <w:rtl/>
          <w:lang w:val="fr-CH"/>
        </w:rPr>
        <w:tab/>
        <w:t>ينبغي للدولة الطرف أن تتخذ تدابير ملموسة لوضع حد لممارسة العقوبة البدنية في كل الأماكن. وينبغي للدولة الطرف أن تشجع استخدام تدابير تأديبية غير عنيفة كي تحل مكان العقوبة البدنية وأن تنظم حملات إعلامية لتوعية الجمهور بالنتائج السلبية المترتبة على هذا النوع من العنف.</w:t>
      </w:r>
    </w:p>
    <w:p w:rsidR="000C3766" w:rsidRPr="00EF5556" w:rsidRDefault="000C3766" w:rsidP="00E64BF6">
      <w:pPr>
        <w:pStyle w:val="SingleTxtGA"/>
      </w:pPr>
      <w:r>
        <w:rPr>
          <w:rFonts w:hint="cs"/>
          <w:rtl/>
        </w:rPr>
        <w:t>17</w:t>
      </w:r>
      <w:r>
        <w:rPr>
          <w:rtl/>
        </w:rPr>
        <w:t>-</w:t>
      </w:r>
      <w:r>
        <w:rPr>
          <w:rtl/>
        </w:rPr>
        <w:tab/>
      </w:r>
      <w:r>
        <w:rPr>
          <w:rFonts w:hint="cs"/>
          <w:rtl/>
        </w:rPr>
        <w:t xml:space="preserve">وتعرب اللجنة </w:t>
      </w:r>
      <w:r w:rsidR="00CF7A7E">
        <w:rPr>
          <w:rFonts w:hint="cs"/>
          <w:rtl/>
        </w:rPr>
        <w:t xml:space="preserve">عن </w:t>
      </w:r>
      <w:r>
        <w:rPr>
          <w:rFonts w:hint="cs"/>
          <w:rtl/>
        </w:rPr>
        <w:t>قلقها بسبب استمرار وجود حالات عبودية في الدولة الطرف، رغم المبادرات التشريعية الكثيرة بدءا</w:t>
      </w:r>
      <w:r w:rsidR="00FE4E11">
        <w:rPr>
          <w:rFonts w:hint="cs"/>
          <w:rtl/>
        </w:rPr>
        <w:t>ً</w:t>
      </w:r>
      <w:r>
        <w:rPr>
          <w:rFonts w:hint="cs"/>
          <w:rtl/>
        </w:rPr>
        <w:t xml:space="preserve"> من منع العبودية منعاً رسمياً في وقت متأخر </w:t>
      </w:r>
      <w:r w:rsidR="00CF7A7E">
        <w:rPr>
          <w:rFonts w:hint="cs"/>
          <w:rtl/>
        </w:rPr>
        <w:t xml:space="preserve">من </w:t>
      </w:r>
      <w:r w:rsidR="00B15C5C">
        <w:rPr>
          <w:rFonts w:hint="cs"/>
          <w:rtl/>
        </w:rPr>
        <w:t>عام</w:t>
      </w:r>
      <w:r w:rsidR="00E64BF6">
        <w:rPr>
          <w:rFonts w:hint="eastAsia"/>
          <w:rtl/>
        </w:rPr>
        <w:t> </w:t>
      </w:r>
      <w:r w:rsidR="00B15C5C">
        <w:rPr>
          <w:rFonts w:hint="cs"/>
          <w:rtl/>
        </w:rPr>
        <w:t>1981 والأحكام الأخرى الم</w:t>
      </w:r>
      <w:r>
        <w:rPr>
          <w:rFonts w:hint="cs"/>
          <w:rtl/>
        </w:rPr>
        <w:t>عتمدة بهذا الشأن في عام 2012. وتأسف اللجنة أيضاً بسبب غياب بيانات إحصائية محددة ومفصلة عن ممارسة العبودية والتحقيقات التي أجريت في هذا الصدد، والملاحقات القضائية، والإدانات، والجزاءات، وإعادة تأهيل الضحايا. وعلاوةً على ذلك، تشعر اللجنة بالقلق لأن ضحايا العبودية لا يملكون عملياً سبلاً فعالة للانتصاف ضدّ المسؤولين عن الممارسات الاستعبادية (المادة 8).</w:t>
      </w:r>
    </w:p>
    <w:p w:rsidR="000C3766" w:rsidRPr="00ED3183" w:rsidRDefault="000C3766" w:rsidP="00ED3183">
      <w:pPr>
        <w:pStyle w:val="SingleTxtGA"/>
        <w:rPr>
          <w:rFonts w:hint="cs"/>
          <w:b/>
          <w:bCs/>
          <w:rtl/>
          <w:lang w:val="fr-CH"/>
        </w:rPr>
      </w:pPr>
      <w:r w:rsidRPr="00ED3183">
        <w:rPr>
          <w:rFonts w:hint="cs"/>
          <w:b/>
          <w:bCs/>
          <w:rtl/>
          <w:lang w:val="fr-CH"/>
        </w:rPr>
        <w:tab/>
        <w:t>ينبغي للدولة الطرف أن تضمن تطبيق قانونها المتعلق بتجريم العبودية تطبيقاً فعالاً وأن تكفل الانتصاف الفعال لضحايا العبودية الذين رفعوا شك</w:t>
      </w:r>
      <w:r w:rsidR="000520D4" w:rsidRPr="00ED3183">
        <w:rPr>
          <w:rFonts w:hint="cs"/>
          <w:b/>
          <w:bCs/>
          <w:rtl/>
          <w:lang w:val="fr-CH"/>
        </w:rPr>
        <w:t>ا</w:t>
      </w:r>
      <w:r w:rsidRPr="00ED3183">
        <w:rPr>
          <w:rFonts w:hint="cs"/>
          <w:b/>
          <w:bCs/>
          <w:rtl/>
          <w:lang w:val="fr-CH"/>
        </w:rPr>
        <w:t xml:space="preserve">وى. وينبغي للدولة الطرف أيضاً أن تجري تحقيقات وأن تقاضي المسؤولين بفعالية وأن تدينهم وأن تقدم تعويضاً للضحايا وخدمات إعادة التأهيل لهم. وينبغي للدولة الطرف أيضاً أن تسرع في إصدار أحكام في القضايا العالقة؛ وأن تعتمد وتنفذ خريطة الطريق التي وُضعت بالتعاون مع </w:t>
      </w:r>
      <w:r w:rsidRPr="00ED3183">
        <w:rPr>
          <w:b/>
          <w:bCs/>
          <w:rtl/>
          <w:lang w:val="fr-CH"/>
        </w:rPr>
        <w:t>مفوّضية الأمم المتحدة السامية لحقوق الإنسان</w:t>
      </w:r>
      <w:r w:rsidRPr="00ED3183">
        <w:rPr>
          <w:rFonts w:hint="cs"/>
          <w:b/>
          <w:bCs/>
          <w:rtl/>
          <w:lang w:val="fr-CH"/>
        </w:rPr>
        <w:t xml:space="preserve"> والتي تتناول التوصيات الصادرة عن </w:t>
      </w:r>
      <w:r w:rsidRPr="00ED3183">
        <w:rPr>
          <w:b/>
          <w:bCs/>
          <w:rtl/>
          <w:lang w:val="fr-CH"/>
        </w:rPr>
        <w:t>المقرر</w:t>
      </w:r>
      <w:r w:rsidRPr="00ED3183">
        <w:rPr>
          <w:rFonts w:hint="cs"/>
          <w:b/>
          <w:bCs/>
          <w:rtl/>
          <w:lang w:val="fr-CH"/>
        </w:rPr>
        <w:t>ة</w:t>
      </w:r>
      <w:r w:rsidRPr="00ED3183">
        <w:rPr>
          <w:b/>
          <w:bCs/>
          <w:rtl/>
          <w:lang w:val="fr-CH"/>
        </w:rPr>
        <w:t xml:space="preserve"> الخاص</w:t>
      </w:r>
      <w:r w:rsidRPr="00ED3183">
        <w:rPr>
          <w:rFonts w:hint="cs"/>
          <w:b/>
          <w:bCs/>
          <w:rtl/>
          <w:lang w:val="fr-CH"/>
        </w:rPr>
        <w:t>ة</w:t>
      </w:r>
      <w:r w:rsidRPr="00ED3183">
        <w:rPr>
          <w:b/>
          <w:bCs/>
          <w:rtl/>
          <w:lang w:val="fr-CH"/>
        </w:rPr>
        <w:t xml:space="preserve"> المعني</w:t>
      </w:r>
      <w:r w:rsidRPr="00ED3183">
        <w:rPr>
          <w:rFonts w:hint="cs"/>
          <w:b/>
          <w:bCs/>
          <w:rtl/>
          <w:lang w:val="fr-CH"/>
        </w:rPr>
        <w:t>ة</w:t>
      </w:r>
      <w:r w:rsidRPr="00ED3183">
        <w:rPr>
          <w:b/>
          <w:bCs/>
          <w:rtl/>
          <w:lang w:val="fr-CH"/>
        </w:rPr>
        <w:t xml:space="preserve"> بأشكال الرق المعاصرة، بما في ذلك أسبابها وعواقبها</w:t>
      </w:r>
      <w:r w:rsidRPr="00ED3183">
        <w:rPr>
          <w:rFonts w:hint="cs"/>
          <w:b/>
          <w:bCs/>
          <w:rtl/>
          <w:lang w:val="fr-CH"/>
        </w:rPr>
        <w:t xml:space="preserve"> باعتبار هذه الخريطة سياسة حكومية؛ كما ينبغي أن توعي الدولة الطرف كل الموظفين المكلفين بإنفاذ القانون وعامة الناس، بمَن فيهم </w:t>
      </w:r>
      <w:r w:rsidR="000520D4" w:rsidRPr="00ED3183">
        <w:rPr>
          <w:rFonts w:hint="cs"/>
          <w:b/>
          <w:bCs/>
          <w:rtl/>
          <w:lang w:val="fr-CH"/>
        </w:rPr>
        <w:t xml:space="preserve">سكان </w:t>
      </w:r>
      <w:r w:rsidRPr="00ED3183">
        <w:rPr>
          <w:rFonts w:hint="cs"/>
          <w:b/>
          <w:bCs/>
          <w:rtl/>
          <w:lang w:val="fr-CH"/>
        </w:rPr>
        <w:t>المناطق الريفية، بهذا الشأن.</w:t>
      </w:r>
    </w:p>
    <w:p w:rsidR="000C3766" w:rsidRPr="00BF1402" w:rsidRDefault="000C3766" w:rsidP="00A71BE4">
      <w:pPr>
        <w:pStyle w:val="SingleTxtGA"/>
        <w:rPr>
          <w:lang w:val="de-AT"/>
        </w:rPr>
      </w:pPr>
      <w:r>
        <w:rPr>
          <w:rFonts w:hint="cs"/>
          <w:rtl/>
        </w:rPr>
        <w:t>18</w:t>
      </w:r>
      <w:r>
        <w:rPr>
          <w:rtl/>
        </w:rPr>
        <w:t>-</w:t>
      </w:r>
      <w:r>
        <w:rPr>
          <w:rtl/>
        </w:rPr>
        <w:tab/>
      </w:r>
      <w:r>
        <w:rPr>
          <w:rFonts w:hint="cs"/>
          <w:rtl/>
        </w:rPr>
        <w:t xml:space="preserve">وتشعر اللجنة بالقلق لأن قانون الإجراءات الجنائية لا ينص على كل الضمانات القانونية الأساسية للأشخاص المحرومين من حريتهم والمكرسة في المادة 9 من العهد ولأن الضمانات المذكورة في هذا القانون غير محترمة. ويساور اللجنة </w:t>
      </w:r>
      <w:r w:rsidR="000520D4">
        <w:rPr>
          <w:rFonts w:hint="cs"/>
          <w:rtl/>
        </w:rPr>
        <w:t xml:space="preserve">قلق </w:t>
      </w:r>
      <w:r>
        <w:rPr>
          <w:rFonts w:hint="cs"/>
          <w:rtl/>
        </w:rPr>
        <w:t xml:space="preserve">أيضاً لأن الأحكام المتعلقة بالاحتجاز تحت الحراسة النظرية المنصوص عليها في المواد من 57 إلى 60 </w:t>
      </w:r>
      <w:r w:rsidR="000520D4">
        <w:rPr>
          <w:rFonts w:hint="cs"/>
          <w:rtl/>
        </w:rPr>
        <w:t xml:space="preserve">من </w:t>
      </w:r>
      <w:r>
        <w:rPr>
          <w:rFonts w:hint="cs"/>
          <w:rtl/>
        </w:rPr>
        <w:t>قانون الإجراءات الجنائية وال</w:t>
      </w:r>
      <w:r>
        <w:rPr>
          <w:rtl/>
        </w:rPr>
        <w:t>جر</w:t>
      </w:r>
      <w:r>
        <w:rPr>
          <w:rFonts w:hint="cs"/>
          <w:rtl/>
        </w:rPr>
        <w:t>ائم</w:t>
      </w:r>
      <w:r w:rsidRPr="00D55D55">
        <w:rPr>
          <w:rtl/>
        </w:rPr>
        <w:t xml:space="preserve"> ال</w:t>
      </w:r>
      <w:r>
        <w:rPr>
          <w:rFonts w:hint="cs"/>
          <w:rtl/>
        </w:rPr>
        <w:t>جنائية</w:t>
      </w:r>
      <w:r w:rsidRPr="00D55D55">
        <w:rPr>
          <w:rtl/>
        </w:rPr>
        <w:t xml:space="preserve"> العا</w:t>
      </w:r>
      <w:r>
        <w:rPr>
          <w:rFonts w:hint="cs"/>
          <w:rtl/>
        </w:rPr>
        <w:t xml:space="preserve">دية والجرائم الإرهابية لا تمتثل امتثالاً كاملاً لأحكام العهد. </w:t>
      </w:r>
      <w:r w:rsidR="000520D4">
        <w:rPr>
          <w:rFonts w:hint="cs"/>
          <w:rtl/>
        </w:rPr>
        <w:t>و</w:t>
      </w:r>
      <w:r>
        <w:rPr>
          <w:rFonts w:hint="cs"/>
          <w:rtl/>
        </w:rPr>
        <w:t xml:space="preserve">بالإضافة إلى ذلك، تشعر اللجنة بالقلق </w:t>
      </w:r>
      <w:r w:rsidRPr="0031163A">
        <w:rPr>
          <w:rtl/>
        </w:rPr>
        <w:t>لأنّ المادّة 3 من القانون</w:t>
      </w:r>
      <w:r>
        <w:rPr>
          <w:rFonts w:hint="cs"/>
          <w:rtl/>
        </w:rPr>
        <w:t xml:space="preserve"> رقم</w:t>
      </w:r>
      <w:r w:rsidRPr="0031163A">
        <w:rPr>
          <w:rtl/>
        </w:rPr>
        <w:t xml:space="preserve"> 2010-</w:t>
      </w:r>
      <w:r>
        <w:rPr>
          <w:rFonts w:hint="cs"/>
          <w:rtl/>
        </w:rPr>
        <w:t>035</w:t>
      </w:r>
      <w:r w:rsidRPr="0031163A">
        <w:rPr>
          <w:rtl/>
        </w:rPr>
        <w:t xml:space="preserve"> المؤرخ 21 تموز/يوليه 2010 المتعلّق بمكافحة الإرهاب تُعرّف الإرهاب تعريفاً واسعاً وغير دقيق (المادة </w:t>
      </w:r>
      <w:r>
        <w:rPr>
          <w:rFonts w:hint="cs"/>
          <w:rtl/>
        </w:rPr>
        <w:t>9</w:t>
      </w:r>
      <w:r w:rsidRPr="0031163A">
        <w:rPr>
          <w:rtl/>
        </w:rPr>
        <w:t>)</w:t>
      </w:r>
      <w:r>
        <w:rPr>
          <w:rFonts w:hint="cs"/>
          <w:rtl/>
        </w:rPr>
        <w:t>.</w:t>
      </w:r>
    </w:p>
    <w:p w:rsidR="000C3766" w:rsidRPr="00ED3183" w:rsidRDefault="000C3766" w:rsidP="00ED3183">
      <w:pPr>
        <w:pStyle w:val="SingleTxtGA"/>
        <w:rPr>
          <w:b/>
          <w:bCs/>
          <w:lang w:val="fr-FR"/>
        </w:rPr>
      </w:pPr>
      <w:r w:rsidRPr="00ED3183">
        <w:rPr>
          <w:rFonts w:hint="cs"/>
          <w:b/>
          <w:bCs/>
          <w:rtl/>
          <w:lang w:val="fr-FR"/>
        </w:rPr>
        <w:tab/>
      </w:r>
      <w:r w:rsidRPr="00ED3183">
        <w:rPr>
          <w:b/>
          <w:bCs/>
          <w:rtl/>
          <w:lang w:val="fr-FR"/>
        </w:rPr>
        <w:t xml:space="preserve">ينبغي للدولة الطرف أن </w:t>
      </w:r>
      <w:r w:rsidR="000520D4" w:rsidRPr="00ED3183">
        <w:rPr>
          <w:rFonts w:hint="cs"/>
          <w:b/>
          <w:bCs/>
          <w:rtl/>
          <w:lang w:val="fr-FR"/>
        </w:rPr>
        <w:t xml:space="preserve">توائم </w:t>
      </w:r>
      <w:r w:rsidRPr="00ED3183">
        <w:rPr>
          <w:rFonts w:hint="cs"/>
          <w:b/>
          <w:bCs/>
          <w:rtl/>
          <w:lang w:val="fr-FR"/>
        </w:rPr>
        <w:t>فترة الاحتجاز تحت الحراسة النظرية، بما في</w:t>
      </w:r>
      <w:r w:rsidR="000520D4" w:rsidRPr="00ED3183">
        <w:rPr>
          <w:rFonts w:hint="cs"/>
          <w:b/>
          <w:bCs/>
          <w:rtl/>
          <w:lang w:val="fr-FR"/>
        </w:rPr>
        <w:t>ه الاحتجاز بسبب</w:t>
      </w:r>
      <w:r w:rsidRPr="00ED3183">
        <w:rPr>
          <w:rFonts w:hint="cs"/>
          <w:b/>
          <w:bCs/>
          <w:rtl/>
          <w:lang w:val="fr-FR"/>
        </w:rPr>
        <w:t xml:space="preserve"> </w:t>
      </w:r>
      <w:r w:rsidR="000520D4" w:rsidRPr="00ED3183">
        <w:rPr>
          <w:rFonts w:hint="cs"/>
          <w:b/>
          <w:bCs/>
          <w:rtl/>
          <w:lang w:val="fr-FR"/>
        </w:rPr>
        <w:t>ا</w:t>
      </w:r>
      <w:r w:rsidRPr="00ED3183">
        <w:rPr>
          <w:rFonts w:hint="cs"/>
          <w:b/>
          <w:bCs/>
          <w:rtl/>
          <w:lang w:val="fr-FR"/>
        </w:rPr>
        <w:t xml:space="preserve">لجرائم الإرهابية، </w:t>
      </w:r>
      <w:r w:rsidR="000520D4" w:rsidRPr="00ED3183">
        <w:rPr>
          <w:rFonts w:hint="cs"/>
          <w:b/>
          <w:bCs/>
          <w:rtl/>
          <w:lang w:val="fr-FR"/>
        </w:rPr>
        <w:t xml:space="preserve">مع </w:t>
      </w:r>
      <w:r w:rsidRPr="00ED3183">
        <w:rPr>
          <w:rFonts w:hint="cs"/>
          <w:b/>
          <w:bCs/>
          <w:rtl/>
          <w:lang w:val="fr-FR"/>
        </w:rPr>
        <w:t>أحكام العهد.</w:t>
      </w:r>
      <w:r w:rsidRPr="00ED3183">
        <w:rPr>
          <w:b/>
          <w:bCs/>
          <w:rtl/>
          <w:lang w:val="fr-FR"/>
        </w:rPr>
        <w:t xml:space="preserve"> </w:t>
      </w:r>
      <w:r w:rsidRPr="00ED3183">
        <w:rPr>
          <w:rFonts w:hint="cs"/>
          <w:b/>
          <w:bCs/>
          <w:rtl/>
          <w:lang w:val="fr-FR"/>
        </w:rPr>
        <w:t xml:space="preserve">وينبغي للدولة الطرف أيضاً أن تنقح قانونها الجنائي </w:t>
      </w:r>
      <w:r w:rsidRPr="00ED3183">
        <w:rPr>
          <w:rFonts w:hint="cs"/>
          <w:b/>
          <w:bCs/>
          <w:rtl/>
        </w:rPr>
        <w:t xml:space="preserve">كي تكفل </w:t>
      </w:r>
      <w:r w:rsidRPr="00ED3183">
        <w:rPr>
          <w:rFonts w:hint="cs"/>
          <w:b/>
          <w:bCs/>
          <w:i/>
          <w:iCs/>
          <w:rtl/>
        </w:rPr>
        <w:t>بحكم القانون</w:t>
      </w:r>
      <w:r w:rsidRPr="00ED3183">
        <w:rPr>
          <w:rFonts w:hint="cs"/>
          <w:b/>
          <w:bCs/>
          <w:rtl/>
        </w:rPr>
        <w:t xml:space="preserve"> و</w:t>
      </w:r>
      <w:r w:rsidRPr="00ED3183">
        <w:rPr>
          <w:rFonts w:hint="cs"/>
          <w:b/>
          <w:bCs/>
          <w:i/>
          <w:iCs/>
          <w:rtl/>
        </w:rPr>
        <w:t>الأمر الواقع</w:t>
      </w:r>
      <w:r w:rsidRPr="00ED3183">
        <w:rPr>
          <w:rFonts w:hint="cs"/>
          <w:b/>
          <w:bCs/>
          <w:rtl/>
          <w:lang w:val="fr-FR"/>
        </w:rPr>
        <w:t xml:space="preserve"> الضمانات القانونية </w:t>
      </w:r>
      <w:proofErr w:type="spellStart"/>
      <w:r w:rsidRPr="00ED3183">
        <w:rPr>
          <w:rFonts w:hint="cs"/>
          <w:b/>
          <w:bCs/>
          <w:rtl/>
          <w:lang w:val="fr-FR"/>
        </w:rPr>
        <w:t>الأسياسية</w:t>
      </w:r>
      <w:proofErr w:type="spellEnd"/>
      <w:r w:rsidRPr="00ED3183">
        <w:rPr>
          <w:rFonts w:hint="cs"/>
          <w:b/>
          <w:bCs/>
          <w:rtl/>
          <w:lang w:val="fr-FR"/>
        </w:rPr>
        <w:t xml:space="preserve"> للمحرومين من حريتهم، ولا سيما:</w:t>
      </w:r>
    </w:p>
    <w:p w:rsidR="000C3766" w:rsidRPr="00ED3183" w:rsidRDefault="000C3766" w:rsidP="00ED3183">
      <w:pPr>
        <w:pStyle w:val="SingleTxtGA"/>
        <w:rPr>
          <w:b/>
          <w:bCs/>
          <w:lang w:val="es-ES_tradnl" w:bidi="ar-EG"/>
        </w:rPr>
      </w:pPr>
      <w:r w:rsidRPr="00ED3183">
        <w:rPr>
          <w:rFonts w:hint="cs"/>
          <w:b/>
          <w:bCs/>
          <w:rtl/>
        </w:rPr>
        <w:tab/>
      </w:r>
      <w:r w:rsidRPr="00ED3183">
        <w:rPr>
          <w:rFonts w:hint="cs"/>
          <w:b/>
          <w:bCs/>
          <w:rtl/>
          <w:lang w:val="es-ES_tradnl" w:bidi="ar-EG"/>
        </w:rPr>
        <w:t>(أ)</w:t>
      </w:r>
      <w:r w:rsidRPr="00ED3183">
        <w:rPr>
          <w:rFonts w:hint="cs"/>
          <w:b/>
          <w:bCs/>
          <w:rtl/>
          <w:lang w:val="es-ES_tradnl" w:bidi="ar-EG"/>
        </w:rPr>
        <w:tab/>
      </w:r>
      <w:r w:rsidRPr="00ED3183">
        <w:rPr>
          <w:b/>
          <w:bCs/>
          <w:rtl/>
          <w:lang w:val="es-ES_tradnl" w:bidi="ar-EG"/>
        </w:rPr>
        <w:t>حق كل محتجز في أن يبلَّغ بأسباب اعتقاله؛</w:t>
      </w:r>
    </w:p>
    <w:p w:rsidR="000C3766" w:rsidRPr="00ED3183" w:rsidRDefault="000C3766" w:rsidP="00ED3183">
      <w:pPr>
        <w:pStyle w:val="SingleTxtGA"/>
        <w:rPr>
          <w:b/>
          <w:bCs/>
          <w:lang w:val="es-ES_tradnl" w:bidi="ar-EG"/>
        </w:rPr>
      </w:pPr>
      <w:r w:rsidRPr="00ED3183">
        <w:rPr>
          <w:rFonts w:hint="cs"/>
          <w:b/>
          <w:bCs/>
          <w:rtl/>
          <w:lang w:val="es-ES_tradnl" w:bidi="ar-EG"/>
        </w:rPr>
        <w:tab/>
        <w:t>(ب)</w:t>
      </w:r>
      <w:r w:rsidRPr="00ED3183">
        <w:rPr>
          <w:rFonts w:hint="cs"/>
          <w:b/>
          <w:bCs/>
          <w:rtl/>
          <w:lang w:val="es-ES_tradnl" w:bidi="ar-EG"/>
        </w:rPr>
        <w:tab/>
      </w:r>
      <w:r w:rsidRPr="00ED3183">
        <w:rPr>
          <w:b/>
          <w:bCs/>
          <w:rtl/>
          <w:lang w:val="es-ES_tradnl" w:bidi="ar-EG"/>
        </w:rPr>
        <w:t xml:space="preserve">الاستعانة </w:t>
      </w:r>
      <w:r w:rsidRPr="00ED3183">
        <w:rPr>
          <w:rFonts w:hint="cs"/>
          <w:b/>
          <w:bCs/>
          <w:rtl/>
          <w:lang w:val="es-ES_tradnl" w:bidi="ar-EG"/>
        </w:rPr>
        <w:t xml:space="preserve">بمحامٍ أو </w:t>
      </w:r>
      <w:r w:rsidRPr="00ED3183">
        <w:rPr>
          <w:b/>
          <w:bCs/>
          <w:rtl/>
          <w:lang w:val="es-ES_tradnl" w:bidi="ar-EG"/>
        </w:rPr>
        <w:t xml:space="preserve">بمستشار قانوني مُستقل </w:t>
      </w:r>
      <w:r w:rsidRPr="00ED3183">
        <w:rPr>
          <w:rFonts w:hint="cs"/>
          <w:b/>
          <w:bCs/>
          <w:rtl/>
          <w:lang w:val="es-ES_tradnl" w:bidi="ar-EG"/>
        </w:rPr>
        <w:t>أو</w:t>
      </w:r>
      <w:r w:rsidRPr="00ED3183">
        <w:rPr>
          <w:b/>
          <w:bCs/>
          <w:rtl/>
          <w:lang w:val="es-ES_tradnl" w:bidi="ar-EG"/>
        </w:rPr>
        <w:t xml:space="preserve"> </w:t>
      </w:r>
      <w:r w:rsidRPr="00ED3183">
        <w:rPr>
          <w:rFonts w:hint="cs"/>
          <w:b/>
          <w:bCs/>
          <w:rtl/>
          <w:lang w:val="es-ES_tradnl" w:bidi="ar-EG"/>
        </w:rPr>
        <w:t>الحصول على</w:t>
      </w:r>
      <w:r w:rsidR="00813C01">
        <w:rPr>
          <w:rFonts w:hint="cs"/>
          <w:b/>
          <w:bCs/>
          <w:rtl/>
          <w:lang w:val="es-ES_tradnl" w:bidi="ar-EG"/>
        </w:rPr>
        <w:t xml:space="preserve"> </w:t>
      </w:r>
      <w:r w:rsidRPr="00ED3183">
        <w:rPr>
          <w:b/>
          <w:bCs/>
          <w:rtl/>
          <w:lang w:val="es-ES_tradnl" w:bidi="ar-EG"/>
        </w:rPr>
        <w:t xml:space="preserve">مساعدة </w:t>
      </w:r>
      <w:r w:rsidRPr="00ED3183">
        <w:rPr>
          <w:rFonts w:hint="cs"/>
          <w:b/>
          <w:bCs/>
          <w:rtl/>
          <w:lang w:val="es-ES_tradnl" w:bidi="ar-EG"/>
        </w:rPr>
        <w:t>قضائية؛</w:t>
      </w:r>
    </w:p>
    <w:p w:rsidR="000C3766" w:rsidRPr="00ED3183" w:rsidRDefault="000C3766" w:rsidP="00ED3183">
      <w:pPr>
        <w:pStyle w:val="SingleTxtGA"/>
        <w:rPr>
          <w:rFonts w:hint="cs"/>
          <w:b/>
          <w:bCs/>
          <w:rtl/>
          <w:lang w:val="es-ES_tradnl" w:bidi="ar-EG"/>
        </w:rPr>
      </w:pPr>
      <w:r w:rsidRPr="00ED3183">
        <w:rPr>
          <w:rFonts w:hint="cs"/>
          <w:b/>
          <w:bCs/>
          <w:rtl/>
          <w:lang w:val="es-ES_tradnl" w:bidi="ar-EG"/>
        </w:rPr>
        <w:tab/>
        <w:t>(ج)</w:t>
      </w:r>
      <w:r w:rsidRPr="00ED3183">
        <w:rPr>
          <w:rFonts w:hint="cs"/>
          <w:b/>
          <w:bCs/>
          <w:rtl/>
          <w:lang w:val="es-ES_tradnl" w:bidi="ar-EG"/>
        </w:rPr>
        <w:tab/>
        <w:t>إمكانية استشارة</w:t>
      </w:r>
      <w:r w:rsidRPr="00ED3183">
        <w:rPr>
          <w:b/>
          <w:bCs/>
          <w:rtl/>
          <w:lang w:val="es-ES_tradnl" w:bidi="ar-EG"/>
        </w:rPr>
        <w:t xml:space="preserve"> طبيب مستقل والاتصال بأحد </w:t>
      </w:r>
      <w:r w:rsidRPr="00ED3183">
        <w:rPr>
          <w:rFonts w:hint="cs"/>
          <w:b/>
          <w:bCs/>
          <w:rtl/>
          <w:lang w:val="es-ES_tradnl" w:bidi="ar-EG"/>
        </w:rPr>
        <w:t xml:space="preserve">أفراد </w:t>
      </w:r>
      <w:r w:rsidRPr="00ED3183">
        <w:rPr>
          <w:b/>
          <w:bCs/>
          <w:rtl/>
          <w:lang w:val="es-ES_tradnl" w:bidi="ar-EG"/>
        </w:rPr>
        <w:t>أسرته؛</w:t>
      </w:r>
    </w:p>
    <w:p w:rsidR="000C3766" w:rsidRPr="00ED3183" w:rsidRDefault="000C3766" w:rsidP="00ED3183">
      <w:pPr>
        <w:pStyle w:val="SingleTxtGA"/>
        <w:rPr>
          <w:b/>
          <w:bCs/>
          <w:rtl/>
          <w:lang w:val="es-ES_tradnl" w:bidi="ar-EG"/>
        </w:rPr>
      </w:pPr>
      <w:r w:rsidRPr="00ED3183">
        <w:rPr>
          <w:rFonts w:hint="cs"/>
          <w:b/>
          <w:bCs/>
          <w:rtl/>
          <w:lang w:val="es-ES_tradnl" w:bidi="ar-EG"/>
        </w:rPr>
        <w:tab/>
        <w:t>(د)</w:t>
      </w:r>
      <w:r w:rsidRPr="00ED3183">
        <w:rPr>
          <w:rFonts w:hint="cs"/>
          <w:b/>
          <w:bCs/>
          <w:rtl/>
          <w:lang w:val="es-ES_tradnl" w:bidi="ar-EG"/>
        </w:rPr>
        <w:tab/>
      </w:r>
      <w:r w:rsidRPr="00ED3183">
        <w:rPr>
          <w:b/>
          <w:bCs/>
          <w:rtl/>
          <w:lang w:val="es-ES_tradnl" w:bidi="ar-EG"/>
        </w:rPr>
        <w:t xml:space="preserve">المثول فوراً أمام قاضٍ </w:t>
      </w:r>
      <w:r w:rsidRPr="00ED3183">
        <w:rPr>
          <w:rFonts w:hint="cs"/>
          <w:b/>
          <w:bCs/>
          <w:rtl/>
          <w:lang w:val="es-ES_tradnl" w:bidi="ar-EG"/>
        </w:rPr>
        <w:t xml:space="preserve">والحق في عرض </w:t>
      </w:r>
      <w:r w:rsidRPr="00ED3183">
        <w:rPr>
          <w:b/>
          <w:bCs/>
          <w:rtl/>
          <w:lang w:val="es-ES_tradnl" w:bidi="ar-EG"/>
        </w:rPr>
        <w:t>مشروعية احتجازه</w:t>
      </w:r>
      <w:r w:rsidRPr="00ED3183">
        <w:rPr>
          <w:rFonts w:hint="cs"/>
          <w:b/>
          <w:bCs/>
          <w:rtl/>
          <w:lang w:val="es-ES_tradnl" w:bidi="ar-EG"/>
        </w:rPr>
        <w:t xml:space="preserve"> على نظر المحكمة.</w:t>
      </w:r>
    </w:p>
    <w:p w:rsidR="000C3766" w:rsidRPr="00CE186D" w:rsidRDefault="000C3766" w:rsidP="00ED3183">
      <w:pPr>
        <w:pStyle w:val="SingleTxtGA"/>
        <w:rPr>
          <w:lang w:val="de-AT"/>
        </w:rPr>
      </w:pPr>
      <w:r>
        <w:rPr>
          <w:rFonts w:hint="cs"/>
          <w:rtl/>
        </w:rPr>
        <w:t>19</w:t>
      </w:r>
      <w:r>
        <w:rPr>
          <w:rtl/>
        </w:rPr>
        <w:t>-</w:t>
      </w:r>
      <w:r>
        <w:rPr>
          <w:rtl/>
        </w:rPr>
        <w:tab/>
      </w:r>
      <w:r>
        <w:rPr>
          <w:rFonts w:hint="cs"/>
          <w:rtl/>
        </w:rPr>
        <w:t>وإذ تحيط اللجنة علماً بجهود</w:t>
      </w:r>
      <w:r w:rsidRPr="0031163A">
        <w:rPr>
          <w:rtl/>
        </w:rPr>
        <w:t xml:space="preserve"> </w:t>
      </w:r>
      <w:r>
        <w:rPr>
          <w:rFonts w:hint="cs"/>
          <w:rtl/>
        </w:rPr>
        <w:t xml:space="preserve">الدولة الطرف، </w:t>
      </w:r>
      <w:r w:rsidR="000520D4">
        <w:rPr>
          <w:rFonts w:hint="cs"/>
          <w:rtl/>
        </w:rPr>
        <w:t xml:space="preserve">يظل القلق يساورها </w:t>
      </w:r>
      <w:r>
        <w:rPr>
          <w:rFonts w:hint="cs"/>
          <w:rtl/>
        </w:rPr>
        <w:t xml:space="preserve">إزاء ظروف الاحتجاز غير الملائمة في سجون الدولة الطرف، ولا سيما في سجن دار النعيم. ويشكل </w:t>
      </w:r>
      <w:r w:rsidRPr="00825DB6">
        <w:rPr>
          <w:rFonts w:hint="cs"/>
          <w:rtl/>
        </w:rPr>
        <w:t xml:space="preserve">الاكتظاظ في </w:t>
      </w:r>
      <w:r>
        <w:rPr>
          <w:rFonts w:hint="cs"/>
          <w:rtl/>
        </w:rPr>
        <w:t>بعض هذه ال</w:t>
      </w:r>
      <w:r w:rsidRPr="00825DB6">
        <w:rPr>
          <w:rFonts w:hint="cs"/>
          <w:rtl/>
        </w:rPr>
        <w:t>سج</w:t>
      </w:r>
      <w:r>
        <w:rPr>
          <w:rFonts w:hint="cs"/>
          <w:rtl/>
        </w:rPr>
        <w:t>و</w:t>
      </w:r>
      <w:r w:rsidRPr="00825DB6">
        <w:rPr>
          <w:rFonts w:hint="cs"/>
          <w:rtl/>
        </w:rPr>
        <w:t>ن</w:t>
      </w:r>
      <w:r>
        <w:rPr>
          <w:rFonts w:hint="cs"/>
          <w:rtl/>
        </w:rPr>
        <w:t xml:space="preserve"> شغلاً شاغلاً بالنسبة إلى اللجنة</w:t>
      </w:r>
      <w:r w:rsidRPr="0031163A">
        <w:rPr>
          <w:rtl/>
        </w:rPr>
        <w:t xml:space="preserve"> (المادة </w:t>
      </w:r>
      <w:r>
        <w:rPr>
          <w:rFonts w:hint="cs"/>
          <w:rtl/>
        </w:rPr>
        <w:t>10</w:t>
      </w:r>
      <w:r w:rsidRPr="0031163A">
        <w:rPr>
          <w:rtl/>
        </w:rPr>
        <w:t>)</w:t>
      </w:r>
      <w:r>
        <w:rPr>
          <w:rFonts w:hint="cs"/>
          <w:rtl/>
        </w:rPr>
        <w:t>.</w:t>
      </w:r>
    </w:p>
    <w:p w:rsidR="000C3766" w:rsidRPr="00ED3183" w:rsidRDefault="000C3766" w:rsidP="00ED3183">
      <w:pPr>
        <w:pStyle w:val="SingleTxtGA"/>
        <w:rPr>
          <w:rFonts w:hint="cs"/>
          <w:b/>
          <w:bCs/>
          <w:rtl/>
        </w:rPr>
      </w:pPr>
      <w:r w:rsidRPr="00ED3183">
        <w:rPr>
          <w:rFonts w:hint="cs"/>
          <w:b/>
          <w:bCs/>
          <w:rtl/>
        </w:rPr>
        <w:tab/>
        <w:t>ينبغي للدولة الطرف أن تنفذ تدابير ترمي إلى تحسين ظروف الاحتجاز في سجونها والتخفيف من الاكتظاظ فيها.</w:t>
      </w:r>
    </w:p>
    <w:p w:rsidR="000C3766" w:rsidRPr="00EF5556" w:rsidRDefault="000C3766" w:rsidP="00ED3183">
      <w:pPr>
        <w:pStyle w:val="SingleTxtGA"/>
      </w:pPr>
      <w:r>
        <w:rPr>
          <w:rFonts w:hint="cs"/>
          <w:rtl/>
        </w:rPr>
        <w:t>20-</w:t>
      </w:r>
      <w:r w:rsidRPr="00BF207A">
        <w:rPr>
          <w:rFonts w:hint="cs"/>
          <w:rtl/>
        </w:rPr>
        <w:tab/>
      </w:r>
      <w:r>
        <w:rPr>
          <w:rFonts w:hint="cs"/>
          <w:rtl/>
        </w:rPr>
        <w:t>و</w:t>
      </w:r>
      <w:r w:rsidRPr="00BF207A">
        <w:rPr>
          <w:rtl/>
        </w:rPr>
        <w:t xml:space="preserve">تعرب اللجنة عن قلقها </w:t>
      </w:r>
      <w:r>
        <w:rPr>
          <w:rFonts w:hint="cs"/>
          <w:rtl/>
        </w:rPr>
        <w:t>بسبب المعلومات الواردة عن افتقار السلطة القضائية إلى الاستقلالية</w:t>
      </w:r>
      <w:r w:rsidR="00A801E4">
        <w:rPr>
          <w:rFonts w:hint="cs"/>
          <w:rtl/>
        </w:rPr>
        <w:t>،</w:t>
      </w:r>
      <w:r>
        <w:rPr>
          <w:rFonts w:hint="cs"/>
          <w:rtl/>
        </w:rPr>
        <w:t xml:space="preserve"> وتدخلات السلطة التنفيذية، بطريقة تعيق ضمان استقلالية المحاكم وتم</w:t>
      </w:r>
      <w:r w:rsidRPr="00816C83">
        <w:rPr>
          <w:rtl/>
        </w:rPr>
        <w:t>س</w:t>
      </w:r>
      <w:r>
        <w:rPr>
          <w:rFonts w:hint="cs"/>
          <w:rtl/>
        </w:rPr>
        <w:t>ّ</w:t>
      </w:r>
      <w:r w:rsidRPr="00816C83">
        <w:rPr>
          <w:rtl/>
        </w:rPr>
        <w:t xml:space="preserve"> </w:t>
      </w:r>
      <w:r>
        <w:rPr>
          <w:rFonts w:hint="cs"/>
          <w:rtl/>
        </w:rPr>
        <w:t>ب</w:t>
      </w:r>
      <w:r w:rsidRPr="00816C83">
        <w:rPr>
          <w:rtl/>
        </w:rPr>
        <w:t>حسن سير العدالة</w:t>
      </w:r>
      <w:r>
        <w:rPr>
          <w:rFonts w:hint="cs"/>
          <w:rtl/>
        </w:rPr>
        <w:t>. وتشعر اللجنة بالقلق لأن المساعدة القضائية غير متاحة دائماً لأغلبية الملاحقين قضائياً ولأن حقوق الدفاع لا تُحترم في أوقات كثيرة (المادة 14).</w:t>
      </w:r>
    </w:p>
    <w:p w:rsidR="000C3766" w:rsidRPr="00ED3183" w:rsidRDefault="000C3766" w:rsidP="00ED3183">
      <w:pPr>
        <w:pStyle w:val="SingleTxtGA"/>
        <w:rPr>
          <w:b/>
          <w:bCs/>
        </w:rPr>
      </w:pPr>
      <w:r w:rsidRPr="00ED3183">
        <w:rPr>
          <w:rFonts w:hint="cs"/>
          <w:b/>
          <w:bCs/>
          <w:rtl/>
        </w:rPr>
        <w:tab/>
        <w:t>ينبغي للدولة الطرف أن تضمن</w:t>
      </w:r>
      <w:r w:rsidRPr="00ED3183">
        <w:rPr>
          <w:b/>
          <w:bCs/>
          <w:rtl/>
        </w:rPr>
        <w:t xml:space="preserve"> استقلا</w:t>
      </w:r>
      <w:r w:rsidRPr="00ED3183">
        <w:rPr>
          <w:rFonts w:hint="cs"/>
          <w:b/>
          <w:bCs/>
          <w:rtl/>
        </w:rPr>
        <w:t>لية النظام ا</w:t>
      </w:r>
      <w:r w:rsidRPr="00ED3183">
        <w:rPr>
          <w:b/>
          <w:bCs/>
          <w:rtl/>
        </w:rPr>
        <w:t>لقضا</w:t>
      </w:r>
      <w:r w:rsidRPr="00ED3183">
        <w:rPr>
          <w:rFonts w:hint="cs"/>
          <w:b/>
          <w:bCs/>
          <w:rtl/>
        </w:rPr>
        <w:t>ئي</w:t>
      </w:r>
      <w:r w:rsidRPr="00ED3183">
        <w:rPr>
          <w:b/>
          <w:bCs/>
          <w:rtl/>
        </w:rPr>
        <w:t xml:space="preserve">، </w:t>
      </w:r>
      <w:r w:rsidRPr="00ED3183">
        <w:rPr>
          <w:rFonts w:hint="cs"/>
          <w:b/>
          <w:bCs/>
          <w:rtl/>
        </w:rPr>
        <w:t>وشفافية إجراءاته وأن تقدّم</w:t>
      </w:r>
      <w:r w:rsidRPr="00ED3183">
        <w:rPr>
          <w:b/>
          <w:bCs/>
          <w:rtl/>
        </w:rPr>
        <w:t xml:space="preserve"> </w:t>
      </w:r>
      <w:r w:rsidRPr="00ED3183">
        <w:rPr>
          <w:rFonts w:hint="cs"/>
          <w:b/>
          <w:bCs/>
          <w:rtl/>
        </w:rPr>
        <w:t xml:space="preserve">له </w:t>
      </w:r>
      <w:r w:rsidRPr="00ED3183">
        <w:rPr>
          <w:b/>
          <w:bCs/>
          <w:rtl/>
        </w:rPr>
        <w:t xml:space="preserve">الموارد </w:t>
      </w:r>
      <w:r w:rsidRPr="00ED3183">
        <w:rPr>
          <w:rFonts w:hint="cs"/>
          <w:b/>
          <w:bCs/>
          <w:rtl/>
        </w:rPr>
        <w:t xml:space="preserve">اللازمة لسير عمله. وينبغي أيضاً إدراج تعليم حقوق الإنسان في برامج تدريب القضاة </w:t>
      </w:r>
      <w:r w:rsidRPr="00ED3183">
        <w:rPr>
          <w:b/>
          <w:bCs/>
          <w:rtl/>
        </w:rPr>
        <w:t>وقضاة محاكم الصلح</w:t>
      </w:r>
      <w:r w:rsidRPr="00ED3183">
        <w:rPr>
          <w:rFonts w:hint="cs"/>
          <w:b/>
          <w:bCs/>
          <w:rtl/>
        </w:rPr>
        <w:t xml:space="preserve"> والمحامين. وينبغي للدولة الطرف أيضاً أن تعتمد </w:t>
      </w:r>
      <w:r w:rsidRPr="00ED3183">
        <w:rPr>
          <w:rFonts w:eastAsia="Calibri" w:hint="cs"/>
          <w:b/>
          <w:bCs/>
          <w:rtl/>
          <w:lang w:eastAsia="en-GB"/>
        </w:rPr>
        <w:t>الوسائل اللازمة لكفالة تمتع الملاحقين قضائياً بكل الحقوق المنصوص عليها في المادة 14 من العهد في الناحية القانونية والناحية العملية.</w:t>
      </w:r>
    </w:p>
    <w:p w:rsidR="000C3766" w:rsidRPr="00BF1402" w:rsidRDefault="000C3766" w:rsidP="00ED3183">
      <w:pPr>
        <w:pStyle w:val="SingleTxtGA"/>
        <w:rPr>
          <w:lang w:val="de-AT"/>
        </w:rPr>
      </w:pPr>
      <w:r>
        <w:rPr>
          <w:rFonts w:hint="cs"/>
          <w:rtl/>
        </w:rPr>
        <w:t>21</w:t>
      </w:r>
      <w:r>
        <w:rPr>
          <w:rtl/>
        </w:rPr>
        <w:t>-</w:t>
      </w:r>
      <w:r>
        <w:rPr>
          <w:rtl/>
        </w:rPr>
        <w:tab/>
      </w:r>
      <w:r>
        <w:rPr>
          <w:rFonts w:hint="cs"/>
          <w:rtl/>
        </w:rPr>
        <w:t xml:space="preserve">وإذ تحيط اللجنة علماً بأن الإسلام هو دين الدولة في موريتانيا، فإن القلق يساورها لأن ممارسة حرية المعتقد والدين غير مكفولة رسمياً للموريتانيين المسلمين الذين يُجرَّم تغييرهم لدينهم باعتباره </w:t>
      </w:r>
      <w:r w:rsidR="00A801E4">
        <w:rPr>
          <w:rFonts w:hint="cs"/>
          <w:rtl/>
        </w:rPr>
        <w:t xml:space="preserve">ردَّة </w:t>
      </w:r>
      <w:r>
        <w:rPr>
          <w:rFonts w:hint="cs"/>
          <w:rtl/>
        </w:rPr>
        <w:t>ويعاقب عليه بالإعدام (المواد 2 و6 و18).</w:t>
      </w:r>
    </w:p>
    <w:p w:rsidR="000C3766" w:rsidRPr="00ED3183" w:rsidRDefault="000C3766" w:rsidP="00ED3183">
      <w:pPr>
        <w:pStyle w:val="SingleTxtGA"/>
        <w:rPr>
          <w:b/>
          <w:bCs/>
        </w:rPr>
      </w:pPr>
      <w:r w:rsidRPr="00ED3183">
        <w:rPr>
          <w:rFonts w:hint="cs"/>
          <w:b/>
          <w:bCs/>
          <w:rtl/>
        </w:rPr>
        <w:tab/>
        <w:t xml:space="preserve">ينبغي للدولة الطرف أن </w:t>
      </w:r>
      <w:r w:rsidR="00A801E4" w:rsidRPr="00ED3183">
        <w:rPr>
          <w:rFonts w:hint="cs"/>
          <w:b/>
          <w:bCs/>
          <w:rtl/>
        </w:rPr>
        <w:t xml:space="preserve">تلغي </w:t>
      </w:r>
      <w:r w:rsidRPr="00ED3183">
        <w:rPr>
          <w:rFonts w:hint="cs"/>
          <w:b/>
          <w:bCs/>
          <w:rtl/>
        </w:rPr>
        <w:t xml:space="preserve">جريمة </w:t>
      </w:r>
      <w:r w:rsidR="00A801E4" w:rsidRPr="00ED3183">
        <w:rPr>
          <w:rFonts w:hint="cs"/>
          <w:b/>
          <w:bCs/>
          <w:rtl/>
        </w:rPr>
        <w:t xml:space="preserve">الردَّة </w:t>
      </w:r>
      <w:r w:rsidRPr="00ED3183">
        <w:rPr>
          <w:rFonts w:hint="cs"/>
          <w:b/>
          <w:bCs/>
          <w:rtl/>
        </w:rPr>
        <w:t xml:space="preserve">من تشريعاتها وأن تسمح للموريتانيين </w:t>
      </w:r>
      <w:r w:rsidR="00A801E4" w:rsidRPr="00ED3183">
        <w:rPr>
          <w:rFonts w:hint="cs"/>
          <w:b/>
          <w:bCs/>
          <w:rtl/>
        </w:rPr>
        <w:t>ب</w:t>
      </w:r>
      <w:r w:rsidRPr="00ED3183">
        <w:rPr>
          <w:rFonts w:hint="cs"/>
          <w:b/>
          <w:bCs/>
          <w:rtl/>
        </w:rPr>
        <w:t>التمتع بلا تحفظ بحريتهم في الدين، بما في ذلك تغيير الدين</w:t>
      </w:r>
      <w:r w:rsidRPr="00ED3183">
        <w:rPr>
          <w:rFonts w:eastAsia="Calibri" w:hint="cs"/>
          <w:b/>
          <w:bCs/>
          <w:rtl/>
          <w:lang w:eastAsia="en-GB"/>
        </w:rPr>
        <w:t>.</w:t>
      </w:r>
    </w:p>
    <w:p w:rsidR="000C3766" w:rsidRPr="00BF1402" w:rsidRDefault="000C3766" w:rsidP="00ED3183">
      <w:pPr>
        <w:pStyle w:val="SingleTxtGA"/>
        <w:rPr>
          <w:rFonts w:hint="cs"/>
          <w:rtl/>
          <w:lang w:val="de-AT"/>
        </w:rPr>
      </w:pPr>
      <w:r>
        <w:rPr>
          <w:rFonts w:hint="cs"/>
          <w:rtl/>
        </w:rPr>
        <w:t>22</w:t>
      </w:r>
      <w:r>
        <w:rPr>
          <w:rtl/>
        </w:rPr>
        <w:t>-</w:t>
      </w:r>
      <w:r>
        <w:rPr>
          <w:rtl/>
        </w:rPr>
        <w:tab/>
      </w:r>
      <w:r>
        <w:rPr>
          <w:rFonts w:hint="cs"/>
          <w:rtl/>
        </w:rPr>
        <w:t>وتشعر اللجنة بالقلق بسبب تعرض مدافعين عن حقوق الإنسان ومتظاهرين للتهديد أو التخويف أو المضايقة على يد أفراد قوات الأمن أو رجال الشرطة. كما تشعر اللجنة بالقلق إزاء القيود المفروضة على إنشاء بعض المنظمات غير الحكومية أو الجمعيات وتسجيلها (المواد 19 و21 و22).</w:t>
      </w:r>
    </w:p>
    <w:p w:rsidR="000C3766" w:rsidRPr="00ED3183" w:rsidRDefault="000C3766" w:rsidP="00ED3183">
      <w:pPr>
        <w:pStyle w:val="SingleTxtGA"/>
        <w:rPr>
          <w:bCs/>
        </w:rPr>
      </w:pPr>
      <w:r w:rsidRPr="00ED3183">
        <w:rPr>
          <w:rFonts w:hint="cs"/>
          <w:bCs/>
          <w:rtl/>
        </w:rPr>
        <w:tab/>
        <w:t>ينبغي للدولة الطرف أن تعتمد قانوناً جديداً ينظم ممارسة حرية تكوين الجمعيات طبقاً للأحكام الدولية ويقدم الحماية المطلوبة للمدافعين عن حقوق الإنسان. وبالإضافة إلى ذلك، ينبغي للدولة الطرف أن تتخذ تدابير ملموسة لضمان حماية أعضاء المنظمات غير الحكومية من ال</w:t>
      </w:r>
      <w:r w:rsidRPr="00ED3183">
        <w:rPr>
          <w:bCs/>
          <w:rtl/>
        </w:rPr>
        <w:t xml:space="preserve">أعمال </w:t>
      </w:r>
      <w:r w:rsidRPr="00ED3183">
        <w:rPr>
          <w:rFonts w:hint="cs"/>
          <w:bCs/>
          <w:rtl/>
        </w:rPr>
        <w:t>ال</w:t>
      </w:r>
      <w:r w:rsidRPr="00ED3183">
        <w:rPr>
          <w:bCs/>
          <w:rtl/>
        </w:rPr>
        <w:t>انتقامية</w:t>
      </w:r>
      <w:r w:rsidRPr="00ED3183">
        <w:rPr>
          <w:rFonts w:hint="cs"/>
          <w:bCs/>
          <w:rtl/>
        </w:rPr>
        <w:t xml:space="preserve">، وحماية المظاهرات </w:t>
      </w:r>
      <w:r w:rsidR="00A801E4" w:rsidRPr="00ED3183">
        <w:rPr>
          <w:rFonts w:hint="cs"/>
          <w:bCs/>
          <w:rtl/>
        </w:rPr>
        <w:t xml:space="preserve">السلمية </w:t>
      </w:r>
      <w:r w:rsidRPr="00ED3183">
        <w:rPr>
          <w:rFonts w:hint="cs"/>
          <w:bCs/>
          <w:rtl/>
        </w:rPr>
        <w:t xml:space="preserve">المنظَّمة </w:t>
      </w:r>
      <w:r w:rsidR="00A801E4" w:rsidRPr="00ED3183">
        <w:rPr>
          <w:rFonts w:hint="cs"/>
          <w:bCs/>
          <w:rtl/>
        </w:rPr>
        <w:t xml:space="preserve">في </w:t>
      </w:r>
      <w:r w:rsidRPr="00ED3183">
        <w:rPr>
          <w:rFonts w:hint="cs"/>
          <w:bCs/>
          <w:rtl/>
        </w:rPr>
        <w:t>إقليمها، وإجراء تحقيقات، في حال ارتكاب انتهاكات، سعياً إلى مقاضاة المسؤولين.</w:t>
      </w:r>
    </w:p>
    <w:p w:rsidR="000C3766" w:rsidRPr="00990EA0" w:rsidRDefault="000C3766" w:rsidP="00ED3183">
      <w:pPr>
        <w:pStyle w:val="SingleTxtGA"/>
        <w:rPr>
          <w:lang w:val="de-AT"/>
        </w:rPr>
      </w:pPr>
      <w:r>
        <w:rPr>
          <w:rFonts w:hint="cs"/>
          <w:rtl/>
        </w:rPr>
        <w:t>23</w:t>
      </w:r>
      <w:r>
        <w:rPr>
          <w:rtl/>
        </w:rPr>
        <w:t>-</w:t>
      </w:r>
      <w:r>
        <w:rPr>
          <w:rtl/>
        </w:rPr>
        <w:tab/>
      </w:r>
      <w:r w:rsidR="00A801E4">
        <w:rPr>
          <w:rFonts w:hint="cs"/>
          <w:rtl/>
        </w:rPr>
        <w:t xml:space="preserve">ومع أن اللجنة تحيط </w:t>
      </w:r>
      <w:r>
        <w:rPr>
          <w:rFonts w:hint="cs"/>
          <w:rtl/>
        </w:rPr>
        <w:t xml:space="preserve">علماً بأن مدونة الأحوال الشخصية تحدد سِنَّ الزواج بعمر 18 عاماً، </w:t>
      </w:r>
      <w:r w:rsidR="00A801E4">
        <w:rPr>
          <w:rFonts w:hint="cs"/>
          <w:rtl/>
        </w:rPr>
        <w:t xml:space="preserve">فإنها </w:t>
      </w:r>
      <w:r>
        <w:rPr>
          <w:rFonts w:hint="cs"/>
          <w:rtl/>
        </w:rPr>
        <w:t>تلاحظ بقلق استمرار حالات ال</w:t>
      </w:r>
      <w:r w:rsidRPr="00B11642">
        <w:rPr>
          <w:rtl/>
        </w:rPr>
        <w:t xml:space="preserve">زواج </w:t>
      </w:r>
      <w:r>
        <w:rPr>
          <w:rFonts w:hint="cs"/>
          <w:rtl/>
        </w:rPr>
        <w:t>ال</w:t>
      </w:r>
      <w:r w:rsidRPr="00B11642">
        <w:rPr>
          <w:rtl/>
        </w:rPr>
        <w:t xml:space="preserve">مبكر </w:t>
      </w:r>
      <w:r>
        <w:rPr>
          <w:rFonts w:hint="cs"/>
          <w:rtl/>
        </w:rPr>
        <w:t>(المواد 3 و23 و24).</w:t>
      </w:r>
    </w:p>
    <w:p w:rsidR="000C3766" w:rsidRPr="00ED3183" w:rsidRDefault="000C3766" w:rsidP="00ED3183">
      <w:pPr>
        <w:pStyle w:val="SingleTxtGA"/>
        <w:rPr>
          <w:b/>
          <w:bCs/>
        </w:rPr>
      </w:pPr>
      <w:r w:rsidRPr="00ED3183">
        <w:rPr>
          <w:rFonts w:hint="cs"/>
          <w:b/>
          <w:bCs/>
          <w:rtl/>
        </w:rPr>
        <w:tab/>
        <w:t>ينبغي للدولة الطرف أن تحرص على تطبيق قانونها بشأن منع الزواج المبكر تطبيقاً صارماً</w:t>
      </w:r>
      <w:r w:rsidRPr="00ED3183">
        <w:rPr>
          <w:rFonts w:eastAsia="Calibri" w:hint="cs"/>
          <w:b/>
          <w:bCs/>
          <w:rtl/>
          <w:lang w:eastAsia="en-GB"/>
        </w:rPr>
        <w:t>. وينبغي أن تواصل تنظيم حملات توعية بهذا القانون وإطلاع الفتيات ووالديهن وقادة المجتمعات المحلية على الآثار السلبية الناتجة عن الزواج المبكر.</w:t>
      </w:r>
    </w:p>
    <w:p w:rsidR="000C3766" w:rsidRPr="00CE186D" w:rsidRDefault="000C3766" w:rsidP="00ED3183">
      <w:pPr>
        <w:pStyle w:val="SingleTxtGA"/>
        <w:rPr>
          <w:lang w:val="de-AT"/>
        </w:rPr>
      </w:pPr>
      <w:r>
        <w:rPr>
          <w:rFonts w:hint="cs"/>
          <w:rtl/>
        </w:rPr>
        <w:t>24</w:t>
      </w:r>
      <w:r>
        <w:rPr>
          <w:rtl/>
        </w:rPr>
        <w:t>-</w:t>
      </w:r>
      <w:r>
        <w:rPr>
          <w:rtl/>
        </w:rPr>
        <w:tab/>
      </w:r>
      <w:r>
        <w:rPr>
          <w:rFonts w:hint="cs"/>
          <w:rtl/>
        </w:rPr>
        <w:t xml:space="preserve">وتأسف اللجنة لأنّ الدولة الطرف لم تعتمد بعد القانون </w:t>
      </w:r>
      <w:r w:rsidR="001021D3">
        <w:rPr>
          <w:rFonts w:hint="cs"/>
          <w:rtl/>
        </w:rPr>
        <w:t>المتعلق ب</w:t>
      </w:r>
      <w:r>
        <w:rPr>
          <w:rFonts w:hint="cs"/>
          <w:rtl/>
        </w:rPr>
        <w:t xml:space="preserve">اللجوء. وتشعر بالقلق بسبب تقييد حرية حركة اللاجئين وطالبي اللجوء الذين توقفوا عن الاستفادة من </w:t>
      </w:r>
      <w:r w:rsidR="001021D3">
        <w:rPr>
          <w:rFonts w:hint="cs"/>
          <w:rtl/>
        </w:rPr>
        <w:t xml:space="preserve">وضع </w:t>
      </w:r>
      <w:r>
        <w:rPr>
          <w:rFonts w:hint="cs"/>
          <w:rtl/>
        </w:rPr>
        <w:t xml:space="preserve">اللاجئين منذ مراجعة قانون </w:t>
      </w:r>
      <w:r w:rsidR="001021D3">
        <w:rPr>
          <w:rFonts w:hint="cs"/>
          <w:rtl/>
        </w:rPr>
        <w:t xml:space="preserve">الحالة </w:t>
      </w:r>
      <w:r>
        <w:rPr>
          <w:rFonts w:hint="cs"/>
          <w:rtl/>
        </w:rPr>
        <w:t xml:space="preserve">المدنية لعام 2011. ويساور اللجنة </w:t>
      </w:r>
      <w:r w:rsidR="001021D3">
        <w:rPr>
          <w:rFonts w:hint="cs"/>
          <w:rtl/>
        </w:rPr>
        <w:t xml:space="preserve">قلق </w:t>
      </w:r>
      <w:r>
        <w:rPr>
          <w:rFonts w:hint="cs"/>
          <w:rtl/>
        </w:rPr>
        <w:t>أيضاً لأن ال</w:t>
      </w:r>
      <w:r>
        <w:rPr>
          <w:rtl/>
        </w:rPr>
        <w:t>لاج</w:t>
      </w:r>
      <w:r>
        <w:rPr>
          <w:rFonts w:hint="cs"/>
          <w:rtl/>
        </w:rPr>
        <w:t>ئي</w:t>
      </w:r>
      <w:r w:rsidRPr="00DF177D">
        <w:rPr>
          <w:rtl/>
        </w:rPr>
        <w:t>ن في المناطق الحضرية</w:t>
      </w:r>
      <w:r>
        <w:rPr>
          <w:rFonts w:hint="cs"/>
          <w:rtl/>
        </w:rPr>
        <w:t xml:space="preserve"> وطالبي اللجوء ما زالوا يواجهون عوائق قانونية لتسجيل أطفالهم المولودين في موريتانيا، بسبب أحكام </w:t>
      </w:r>
      <w:r w:rsidRPr="003B469C">
        <w:rPr>
          <w:rFonts w:hint="cs"/>
          <w:spacing w:val="-2"/>
          <w:rtl/>
          <w:lang w:val="fr-CH"/>
        </w:rPr>
        <w:t>مدونة الأحوال الشخصية</w:t>
      </w:r>
      <w:r>
        <w:rPr>
          <w:rFonts w:hint="cs"/>
          <w:spacing w:val="-2"/>
          <w:rtl/>
          <w:lang w:val="fr-CH"/>
        </w:rPr>
        <w:t xml:space="preserve">. وبالإضافة إلى ذلك، تشعر اللجنة بالقلق لأن اللاجئين الموريتانيين العائدين إلى وطنهم لم يحصلوا جميعاً بعد على الوثائق المتعلقة بالهوية </w:t>
      </w:r>
      <w:r w:rsidRPr="00A17E59">
        <w:rPr>
          <w:spacing w:val="-2"/>
          <w:rtl/>
          <w:lang w:val="fr-CH"/>
        </w:rPr>
        <w:t>والجنسية</w:t>
      </w:r>
      <w:r>
        <w:rPr>
          <w:rFonts w:hint="cs"/>
          <w:spacing w:val="-2"/>
          <w:rtl/>
          <w:lang w:val="fr-CH"/>
        </w:rPr>
        <w:t xml:space="preserve">؛ الأمر الذي </w:t>
      </w:r>
      <w:r w:rsidR="001021D3">
        <w:rPr>
          <w:rFonts w:hint="cs"/>
          <w:spacing w:val="-2"/>
          <w:rtl/>
          <w:lang w:val="fr-CH"/>
        </w:rPr>
        <w:t xml:space="preserve">قد </w:t>
      </w:r>
      <w:r>
        <w:rPr>
          <w:rFonts w:hint="cs"/>
          <w:spacing w:val="-2"/>
          <w:rtl/>
          <w:lang w:val="fr-CH"/>
        </w:rPr>
        <w:t>يخلق عوائق للتمتع ببعض الحقوق ويعزز</w:t>
      </w:r>
      <w:r w:rsidRPr="00AC074B">
        <w:rPr>
          <w:rStyle w:val="Header"/>
          <w:rFonts w:hint="cs"/>
          <w:rtl/>
          <w:lang/>
        </w:rPr>
        <w:t xml:space="preserve"> </w:t>
      </w:r>
      <w:r>
        <w:rPr>
          <w:rStyle w:val="hps"/>
          <w:rFonts w:hint="cs"/>
          <w:rtl/>
          <w:lang/>
        </w:rPr>
        <w:t>خطر انعدام الجنسية. كما تشعر اللجنة بالقلق لأنّ لاجئين موريتانيين آخرين في مالي إثر أحداث</w:t>
      </w:r>
      <w:r w:rsidR="00ED3183">
        <w:rPr>
          <w:rStyle w:val="hps"/>
          <w:rFonts w:hint="eastAsia"/>
          <w:rtl/>
          <w:lang/>
        </w:rPr>
        <w:t> </w:t>
      </w:r>
      <w:r>
        <w:rPr>
          <w:rStyle w:val="hps"/>
          <w:rFonts w:hint="cs"/>
          <w:rtl/>
          <w:lang/>
        </w:rPr>
        <w:t xml:space="preserve">1989-1990 لم يحصلوا بعد على </w:t>
      </w:r>
      <w:r>
        <w:rPr>
          <w:rFonts w:hint="cs"/>
          <w:spacing w:val="-2"/>
          <w:rtl/>
          <w:lang w:val="fr-CH"/>
        </w:rPr>
        <w:t>بطاقات الهوية (المادتان 12 و24).</w:t>
      </w:r>
    </w:p>
    <w:p w:rsidR="000C3766" w:rsidRPr="00ED3183" w:rsidRDefault="000C3766" w:rsidP="00ED3183">
      <w:pPr>
        <w:pStyle w:val="SingleTxtGA"/>
        <w:rPr>
          <w:b/>
          <w:bCs/>
        </w:rPr>
      </w:pPr>
      <w:r w:rsidRPr="00ED3183">
        <w:rPr>
          <w:rFonts w:hint="cs"/>
          <w:b/>
          <w:bCs/>
          <w:rtl/>
        </w:rPr>
        <w:tab/>
        <w:t xml:space="preserve">ينبغي للدولة الطرف أن تسرع في اعتماد مشروع القانون </w:t>
      </w:r>
      <w:r w:rsidR="001021D3" w:rsidRPr="00ED3183">
        <w:rPr>
          <w:rFonts w:hint="cs"/>
          <w:b/>
          <w:bCs/>
          <w:rtl/>
        </w:rPr>
        <w:t>المتعلق ب</w:t>
      </w:r>
      <w:r w:rsidRPr="00ED3183">
        <w:rPr>
          <w:rFonts w:hint="cs"/>
          <w:b/>
          <w:bCs/>
          <w:rtl/>
        </w:rPr>
        <w:t>اللجوء بهدف تسهيل إجراءات طلب اللجوء. وينبغي لها أيضاً أن تنظر في أوضاع اللاجئين القدماء وطالبي اللجوء من أجل منحهم وثائق الهوية، وأن تيسر تنقلهم عند الاقتضاء. وينبغي للدولة الطرف أن تذلل العوائق القانونية لتسجيل ولادات الأطفال المولودين للاجئين وطالبي لجوء في موريتانيا. كما ينبغي للدولة الطرف أن تسهل حصول اللاجئين الموريتانيين العائدين إلى بلدهم على وثائق الهوية بمقتضى الاتفاق الثلاثي المبرم بين الدولة الطرف والسنغال ومفوضية الأمم المتحدة لشؤون اللاجئين، وينبغي للدولة الطرف أن تنظر في التوقيع على اتفاق مماثل لصالح الموريتانيين اللاجئين في مالي، عقب أحداث</w:t>
      </w:r>
      <w:r w:rsidR="00ED3183">
        <w:rPr>
          <w:rFonts w:hint="eastAsia"/>
          <w:b/>
          <w:bCs/>
          <w:rtl/>
        </w:rPr>
        <w:t> </w:t>
      </w:r>
      <w:r w:rsidRPr="00ED3183">
        <w:rPr>
          <w:rFonts w:hint="cs"/>
          <w:b/>
          <w:bCs/>
          <w:rtl/>
        </w:rPr>
        <w:t>1989-1990. وينبغي أن تنظر في وضع آلية خاصة بتسوية القضايا الإنسانية العالقة نتيجة هذه الأحداث.</w:t>
      </w:r>
    </w:p>
    <w:p w:rsidR="000C3766" w:rsidRPr="00BF1402" w:rsidRDefault="000C3766" w:rsidP="00520DD4">
      <w:pPr>
        <w:pStyle w:val="SingleTxtGA"/>
      </w:pPr>
      <w:r>
        <w:rPr>
          <w:rFonts w:hint="cs"/>
          <w:rtl/>
        </w:rPr>
        <w:t>25</w:t>
      </w:r>
      <w:r>
        <w:rPr>
          <w:rtl/>
        </w:rPr>
        <w:t>-</w:t>
      </w:r>
      <w:r>
        <w:rPr>
          <w:rtl/>
        </w:rPr>
        <w:tab/>
      </w:r>
      <w:r>
        <w:rPr>
          <w:rFonts w:hint="cs"/>
          <w:rtl/>
        </w:rPr>
        <w:t>و</w:t>
      </w:r>
      <w:r w:rsidRPr="007A5B09">
        <w:rPr>
          <w:rtl/>
        </w:rPr>
        <w:t>ينبغي للدولة الطرف أن تنشر على نطاق واسع نص العهد ونص التقرير ال</w:t>
      </w:r>
      <w:r>
        <w:rPr>
          <w:rFonts w:hint="cs"/>
          <w:rtl/>
        </w:rPr>
        <w:t>أولي</w:t>
      </w:r>
      <w:r w:rsidRPr="007A5B09">
        <w:rPr>
          <w:rtl/>
        </w:rPr>
        <w:t xml:space="preserve"> والردود الخطية التي قدمتها على قائمة </w:t>
      </w:r>
      <w:r w:rsidR="001021D3">
        <w:rPr>
          <w:rFonts w:hint="cs"/>
          <w:rtl/>
        </w:rPr>
        <w:t xml:space="preserve">القضايا </w:t>
      </w:r>
      <w:r w:rsidRPr="007A5B09">
        <w:rPr>
          <w:rtl/>
        </w:rPr>
        <w:t>المقدمة من اللجنة وهذه الملاحظات الختامية</w:t>
      </w:r>
      <w:r>
        <w:rPr>
          <w:rFonts w:hint="cs"/>
          <w:rtl/>
        </w:rPr>
        <w:t xml:space="preserve">، </w:t>
      </w:r>
      <w:r w:rsidR="001021D3">
        <w:rPr>
          <w:rFonts w:hint="cs"/>
          <w:rtl/>
        </w:rPr>
        <w:t>ب</w:t>
      </w:r>
      <w:r>
        <w:rPr>
          <w:rFonts w:hint="cs"/>
          <w:rtl/>
        </w:rPr>
        <w:t>لغتها الرسمية،</w:t>
      </w:r>
      <w:r w:rsidRPr="007A5B09">
        <w:rPr>
          <w:rtl/>
        </w:rPr>
        <w:t xml:space="preserve"> </w:t>
      </w:r>
      <w:r>
        <w:rPr>
          <w:rFonts w:hint="cs"/>
          <w:rtl/>
        </w:rPr>
        <w:t>على</w:t>
      </w:r>
      <w:r w:rsidRPr="007A5B09">
        <w:rPr>
          <w:rtl/>
        </w:rPr>
        <w:t xml:space="preserve"> </w:t>
      </w:r>
      <w:r w:rsidR="001021D3">
        <w:rPr>
          <w:rFonts w:hint="cs"/>
          <w:rtl/>
        </w:rPr>
        <w:t xml:space="preserve">عموم </w:t>
      </w:r>
      <w:r w:rsidRPr="007A5B09">
        <w:rPr>
          <w:rtl/>
        </w:rPr>
        <w:t>السلطات القضائية والتشريعية والإدارية وفي أوساط المجتمع المدني والمنظمات غير الحكومية في البلد،</w:t>
      </w:r>
      <w:r>
        <w:rPr>
          <w:rtl/>
        </w:rPr>
        <w:t xml:space="preserve"> فضلاً</w:t>
      </w:r>
      <w:r>
        <w:rPr>
          <w:rFonts w:hint="cs"/>
          <w:rtl/>
        </w:rPr>
        <w:t> </w:t>
      </w:r>
      <w:r>
        <w:rPr>
          <w:rtl/>
        </w:rPr>
        <w:t>عن الجمهور العام.</w:t>
      </w:r>
      <w:r>
        <w:rPr>
          <w:rFonts w:cs="Times New Roman" w:hint="cs"/>
          <w:rtl/>
        </w:rPr>
        <w:t>‬</w:t>
      </w:r>
      <w:r>
        <w:rPr>
          <w:rFonts w:hint="cs"/>
          <w:rtl/>
        </w:rPr>
        <w:t xml:space="preserve"> وتطلب اللجنة أيضاً إلى الدولة الطرف إجراء مشاورات واسعة النطاق مع المجتمع المدني</w:t>
      </w:r>
      <w:r>
        <w:rPr>
          <w:rtl/>
        </w:rPr>
        <w:t xml:space="preserve"> والمنظمات غير الحكومية عند إعداد التقرير الدوري </w:t>
      </w:r>
      <w:r>
        <w:rPr>
          <w:rFonts w:hint="cs"/>
          <w:rtl/>
        </w:rPr>
        <w:t>المقبل</w:t>
      </w:r>
      <w:r>
        <w:rPr>
          <w:rtl/>
        </w:rPr>
        <w:t>.</w:t>
      </w:r>
    </w:p>
    <w:p w:rsidR="000C3766" w:rsidRPr="00EF5556" w:rsidRDefault="000C3766" w:rsidP="00520DD4">
      <w:pPr>
        <w:pStyle w:val="SingleTxtGA"/>
      </w:pPr>
      <w:r>
        <w:rPr>
          <w:rFonts w:hint="cs"/>
          <w:rtl/>
        </w:rPr>
        <w:t>26</w:t>
      </w:r>
      <w:r>
        <w:rPr>
          <w:rtl/>
        </w:rPr>
        <w:t>-</w:t>
      </w:r>
      <w:r>
        <w:rPr>
          <w:rtl/>
        </w:rPr>
        <w:tab/>
        <w:t>ووفقاً للفقرة 5 من المادة 71 من نظام اللجنة الداخلي، ينبغي للدولة الطرف أن تقدم،</w:t>
      </w:r>
      <w:r w:rsidR="001021D3">
        <w:rPr>
          <w:rtl/>
        </w:rPr>
        <w:t xml:space="preserve"> في غضون سنة، معلومات عن تنفيذ</w:t>
      </w:r>
      <w:r>
        <w:rPr>
          <w:rtl/>
        </w:rPr>
        <w:t xml:space="preserve"> توصيات اللجنة الواردة في الفقرات </w:t>
      </w:r>
      <w:r>
        <w:rPr>
          <w:rFonts w:hint="cs"/>
          <w:rtl/>
        </w:rPr>
        <w:t>5 و14 و17 و19</w:t>
      </w:r>
      <w:r>
        <w:rPr>
          <w:rtl/>
        </w:rPr>
        <w:t xml:space="preserve"> أعلاه.</w:t>
      </w:r>
      <w:r>
        <w:rPr>
          <w:rFonts w:cs="Times New Roman" w:hint="cs"/>
          <w:rtl/>
        </w:rPr>
        <w:t>‬</w:t>
      </w:r>
    </w:p>
    <w:p w:rsidR="000C3766" w:rsidRDefault="000C3766" w:rsidP="00520DD4">
      <w:pPr>
        <w:pStyle w:val="SingleTxtGA"/>
        <w:rPr>
          <w:rFonts w:cs="Times New Roman" w:hint="cs"/>
          <w:rtl/>
        </w:rPr>
      </w:pPr>
      <w:r>
        <w:rPr>
          <w:rFonts w:hint="cs"/>
          <w:rtl/>
        </w:rPr>
        <w:t>27</w:t>
      </w:r>
      <w:r w:rsidRPr="00730309">
        <w:rPr>
          <w:rtl/>
        </w:rPr>
        <w:t>-</w:t>
      </w:r>
      <w:r w:rsidRPr="00730309">
        <w:rPr>
          <w:rtl/>
        </w:rPr>
        <w:tab/>
        <w:t xml:space="preserve">وتطلب اللجنة إلى الدولة الطـرف أن </w:t>
      </w:r>
      <w:r>
        <w:rPr>
          <w:rFonts w:hint="cs"/>
          <w:rtl/>
        </w:rPr>
        <w:t>تضمِّن</w:t>
      </w:r>
      <w:r w:rsidRPr="00730309">
        <w:rPr>
          <w:rtl/>
        </w:rPr>
        <w:t xml:space="preserve"> تقريرها الدوري المقبل </w:t>
      </w:r>
      <w:r w:rsidRPr="00730309">
        <w:rPr>
          <w:rFonts w:hint="cs"/>
          <w:rtl/>
        </w:rPr>
        <w:t xml:space="preserve">الذي </w:t>
      </w:r>
      <w:r>
        <w:rPr>
          <w:rFonts w:hint="cs"/>
          <w:rtl/>
        </w:rPr>
        <w:t>يجب تقديمه</w:t>
      </w:r>
      <w:r w:rsidRPr="00730309">
        <w:rPr>
          <w:rtl/>
        </w:rPr>
        <w:t xml:space="preserve"> </w:t>
      </w:r>
      <w:r w:rsidR="001021D3">
        <w:rPr>
          <w:rFonts w:hint="cs"/>
          <w:rtl/>
        </w:rPr>
        <w:t xml:space="preserve">بحلول </w:t>
      </w:r>
      <w:r>
        <w:rPr>
          <w:rFonts w:hint="cs"/>
          <w:rtl/>
        </w:rPr>
        <w:t>1 تشرين الثاني/نوفمبر 2017</w:t>
      </w:r>
      <w:r w:rsidRPr="00730309">
        <w:rPr>
          <w:rtl/>
        </w:rPr>
        <w:t xml:space="preserve">، معلومات محددة ومحدّثة بشأن </w:t>
      </w:r>
      <w:r w:rsidR="001021D3">
        <w:rPr>
          <w:rFonts w:hint="cs"/>
          <w:rtl/>
        </w:rPr>
        <w:t xml:space="preserve">تنفيذ سائر </w:t>
      </w:r>
      <w:r w:rsidRPr="00730309">
        <w:rPr>
          <w:rtl/>
        </w:rPr>
        <w:t>توصيات</w:t>
      </w:r>
      <w:r w:rsidR="001021D3">
        <w:rPr>
          <w:rFonts w:hint="cs"/>
          <w:rtl/>
        </w:rPr>
        <w:t xml:space="preserve"> اللجنة</w:t>
      </w:r>
      <w:r w:rsidRPr="00730309">
        <w:rPr>
          <w:rtl/>
        </w:rPr>
        <w:t xml:space="preserve"> </w:t>
      </w:r>
      <w:r w:rsidR="001021D3">
        <w:rPr>
          <w:rFonts w:hint="cs"/>
          <w:rtl/>
        </w:rPr>
        <w:t xml:space="preserve">وتطبيق </w:t>
      </w:r>
      <w:r w:rsidRPr="00730309">
        <w:rPr>
          <w:rtl/>
        </w:rPr>
        <w:t xml:space="preserve">العهد </w:t>
      </w:r>
      <w:r w:rsidR="001021D3">
        <w:rPr>
          <w:rFonts w:hint="cs"/>
          <w:rtl/>
        </w:rPr>
        <w:t>برمته</w:t>
      </w:r>
      <w:r w:rsidRPr="00730309">
        <w:rPr>
          <w:rtl/>
        </w:rPr>
        <w:t>.</w:t>
      </w:r>
      <w:r w:rsidRPr="00730309">
        <w:rPr>
          <w:rFonts w:cs="Times New Roman" w:hint="cs"/>
          <w:rtl/>
        </w:rPr>
        <w:t>‬</w:t>
      </w:r>
    </w:p>
    <w:p w:rsidR="00520DD4" w:rsidRPr="00520DD4" w:rsidRDefault="00520DD4" w:rsidP="00520DD4">
      <w:pPr>
        <w:spacing w:before="120"/>
        <w:jc w:val="center"/>
        <w:rPr>
          <w:rFonts w:hint="cs"/>
          <w:u w:val="single"/>
          <w:rtl/>
        </w:rPr>
      </w:pPr>
      <w:r>
        <w:rPr>
          <w:u w:val="single"/>
          <w:rtl/>
        </w:rPr>
        <w:tab/>
      </w:r>
      <w:r>
        <w:rPr>
          <w:u w:val="single"/>
          <w:rtl/>
        </w:rPr>
        <w:tab/>
      </w:r>
      <w:r>
        <w:rPr>
          <w:u w:val="single"/>
          <w:rtl/>
        </w:rPr>
        <w:tab/>
      </w:r>
    </w:p>
    <w:sectPr w:rsidR="00520DD4" w:rsidRPr="00520DD4"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4EB" w:rsidRPr="00FE6865" w:rsidRDefault="005674EB" w:rsidP="00FE6865">
      <w:pPr>
        <w:pStyle w:val="Footer"/>
      </w:pPr>
    </w:p>
  </w:endnote>
  <w:endnote w:type="continuationSeparator" w:id="0">
    <w:p w:rsidR="005674EB" w:rsidRDefault="005674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89" w:rsidRPr="00092513" w:rsidRDefault="00AD0889" w:rsidP="00092513">
    <w:pPr>
      <w:pStyle w:val="Footer"/>
      <w:tabs>
        <w:tab w:val="right" w:pos="9598"/>
      </w:tabs>
    </w:pPr>
    <w:r>
      <w:t>GE.13-49063</w:t>
    </w:r>
    <w:r>
      <w:tab/>
    </w:r>
    <w:r w:rsidRPr="00092513">
      <w:rPr>
        <w:b/>
        <w:sz w:val="18"/>
      </w:rPr>
      <w:fldChar w:fldCharType="begin"/>
    </w:r>
    <w:r w:rsidRPr="00092513">
      <w:rPr>
        <w:b/>
        <w:sz w:val="18"/>
      </w:rPr>
      <w:instrText xml:space="preserve"> PAGE  \* MERGEFORMAT </w:instrText>
    </w:r>
    <w:r w:rsidRPr="00092513">
      <w:rPr>
        <w:b/>
        <w:sz w:val="18"/>
      </w:rPr>
      <w:fldChar w:fldCharType="separate"/>
    </w:r>
    <w:r w:rsidR="00FC2855">
      <w:rPr>
        <w:b/>
        <w:noProof/>
        <w:sz w:val="18"/>
      </w:rPr>
      <w:t>2</w:t>
    </w:r>
    <w:r w:rsidRPr="00092513">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89" w:rsidRPr="00092513" w:rsidRDefault="00AD0889" w:rsidP="00092513">
    <w:pPr>
      <w:pStyle w:val="Footer"/>
      <w:tabs>
        <w:tab w:val="right" w:pos="9598"/>
      </w:tabs>
      <w:rPr>
        <w:b/>
        <w:sz w:val="18"/>
      </w:rPr>
    </w:pPr>
    <w:r w:rsidRPr="00092513">
      <w:rPr>
        <w:b/>
        <w:sz w:val="18"/>
      </w:rPr>
      <w:fldChar w:fldCharType="begin"/>
    </w:r>
    <w:r w:rsidRPr="00092513">
      <w:rPr>
        <w:b/>
        <w:sz w:val="18"/>
      </w:rPr>
      <w:instrText xml:space="preserve"> PAGE  \* MERGEFORMAT </w:instrText>
    </w:r>
    <w:r w:rsidRPr="00092513">
      <w:rPr>
        <w:b/>
        <w:sz w:val="18"/>
      </w:rPr>
      <w:fldChar w:fldCharType="separate"/>
    </w:r>
    <w:r w:rsidR="00FC2855">
      <w:rPr>
        <w:b/>
        <w:noProof/>
        <w:sz w:val="18"/>
      </w:rPr>
      <w:t>9</w:t>
    </w:r>
    <w:r w:rsidRPr="00092513">
      <w:rPr>
        <w:b/>
        <w:sz w:val="18"/>
      </w:rPr>
      <w:fldChar w:fldCharType="end"/>
    </w:r>
    <w:r>
      <w:rPr>
        <w:b/>
        <w:sz w:val="18"/>
      </w:rPr>
      <w:tab/>
    </w:r>
    <w:r>
      <w:t>GE.13-49063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89" w:rsidRDefault="00AD0889" w:rsidP="0088216E">
    <w:pPr>
      <w:pStyle w:val="Footer"/>
      <w:jc w:val="right"/>
    </w:pPr>
    <w:r>
      <w:rPr>
        <w:sz w:val="20"/>
      </w:rPr>
      <w:t>(A)   GE.13-49063</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sidR="00C10E9A">
      <w:rPr>
        <w:sz w:val="20"/>
      </w:rPr>
      <w:t xml:space="preserve">    271213    </w:t>
    </w:r>
    <w:r w:rsidR="0088216E">
      <w:rPr>
        <w:sz w:val="20"/>
      </w:rPr>
      <w:t>30</w:t>
    </w:r>
    <w:r w:rsidR="00C10E9A">
      <w:rPr>
        <w:sz w:val="20"/>
      </w:rPr>
      <w:t>1213</w:t>
    </w:r>
    <w:r w:rsidR="00FC2855">
      <w:br/>
    </w:r>
    <w:r w:rsidR="00FC2855" w:rsidRPr="00FC2855">
      <w:rPr>
        <w:rFonts w:ascii="C39T30Lfz" w:hAnsi="C39T30Lfz"/>
        <w:sz w:val="56"/>
      </w:rPr>
      <w:t></w:t>
    </w:r>
    <w:r w:rsidR="00FC2855" w:rsidRPr="00FC2855">
      <w:rPr>
        <w:rFonts w:ascii="C39T30Lfz" w:hAnsi="C39T30Lfz"/>
        <w:sz w:val="56"/>
      </w:rPr>
      <w:t></w:t>
    </w:r>
    <w:r w:rsidR="00FC2855" w:rsidRPr="00FC2855">
      <w:rPr>
        <w:rFonts w:ascii="C39T30Lfz" w:hAnsi="C39T30Lfz"/>
        <w:sz w:val="56"/>
      </w:rPr>
      <w:t></w:t>
    </w:r>
    <w:r w:rsidR="00FC2855" w:rsidRPr="00FC2855">
      <w:rPr>
        <w:rFonts w:ascii="C39T30Lfz" w:hAnsi="C39T30Lfz"/>
        <w:sz w:val="56"/>
      </w:rPr>
      <w:t></w:t>
    </w:r>
    <w:r w:rsidR="00FC2855" w:rsidRPr="00FC2855">
      <w:rPr>
        <w:rFonts w:ascii="C39T30Lfz" w:hAnsi="C39T30Lfz"/>
        <w:sz w:val="56"/>
      </w:rPr>
      <w:t></w:t>
    </w:r>
    <w:r w:rsidR="00FC2855" w:rsidRPr="00FC2855">
      <w:rPr>
        <w:rFonts w:ascii="C39T30Lfz" w:hAnsi="C39T30Lfz"/>
        <w:sz w:val="56"/>
      </w:rPr>
      <w:t></w:t>
    </w:r>
    <w:r w:rsidR="00FC2855" w:rsidRPr="00FC2855">
      <w:rPr>
        <w:rFonts w:ascii="C39T30Lfz" w:hAnsi="C39T30Lfz"/>
        <w:sz w:val="56"/>
      </w:rPr>
      <w:t></w:t>
    </w:r>
    <w:r w:rsidR="00FC2855" w:rsidRPr="00FC2855">
      <w:rPr>
        <w:rFonts w:ascii="C39T30Lfz" w:hAnsi="C39T30Lfz"/>
        <w:sz w:val="56"/>
      </w:rPr>
      <w:t></w:t>
    </w:r>
    <w:r w:rsidR="00FC2855" w:rsidRPr="00FC2855">
      <w:rPr>
        <w:rFonts w:ascii="C39T30Lfz" w:hAnsi="C39T30Lfz"/>
        <w:sz w:val="56"/>
      </w:rPr>
      <w:t></w:t>
    </w:r>
    <w:r w:rsidR="00FC2855">
      <w:tab/>
    </w:r>
    <w:r w:rsidR="00FC2855">
      <w:rPr>
        <w:noProof/>
        <w:lang w:val="en-US"/>
      </w:rPr>
      <w:pict>
        <v:shape id="_x0000_s2054" type="#_x0000_t75" style="position:absolute;left:0;text-align:left;margin-left:.05pt;margin-top:0;width:50.25pt;height:50.25pt;z-index:3;mso-position-horizontal-relative:text;mso-position-vertical-relative:text" o:allowincell="f">
          <v:imagedata r:id="rId2" o:title="1&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4EB" w:rsidRDefault="005674EB" w:rsidP="007E4686">
      <w:pPr>
        <w:pStyle w:val="Footer"/>
        <w:bidi/>
        <w:spacing w:after="80" w:line="200" w:lineRule="exact"/>
        <w:ind w:left="680"/>
      </w:pPr>
      <w:r>
        <w:rPr>
          <w:rFonts w:hint="cs"/>
          <w:rtl/>
        </w:rPr>
        <w:t>__________</w:t>
      </w:r>
    </w:p>
  </w:footnote>
  <w:footnote w:type="continuationSeparator" w:id="0">
    <w:p w:rsidR="005674EB" w:rsidRDefault="005674EB" w:rsidP="007E4686">
      <w:pPr>
        <w:pStyle w:val="Footer"/>
        <w:bidi/>
        <w:spacing w:after="80" w:line="200" w:lineRule="exact"/>
        <w:ind w:left="680"/>
      </w:pPr>
      <w:r>
        <w:rPr>
          <w:rFonts w:hint="cs"/>
          <w:rtl/>
        </w:rPr>
        <w:t>__________</w:t>
      </w:r>
    </w:p>
  </w:footnote>
  <w:footnote w:id="1">
    <w:p w:rsidR="00AD0889" w:rsidRPr="00FD71BA" w:rsidRDefault="00AD0889" w:rsidP="00FC2855">
      <w:pPr>
        <w:pStyle w:val="footnoteText0"/>
        <w:spacing w:after="240"/>
        <w:rPr>
          <w:rFonts w:hint="cs"/>
          <w:rtl/>
        </w:rPr>
      </w:pPr>
      <w:r>
        <w:rPr>
          <w:rtl/>
        </w:rPr>
        <w:tab/>
      </w:r>
      <w:r w:rsidRPr="00FD71BA">
        <w:rPr>
          <w:rStyle w:val="FootnoteReference"/>
          <w:sz w:val="20"/>
          <w:vertAlign w:val="baseline"/>
          <w:rtl/>
        </w:rPr>
        <w:t>*</w:t>
      </w:r>
      <w:r>
        <w:rPr>
          <w:rtl/>
        </w:rPr>
        <w:tab/>
      </w:r>
      <w:r w:rsidRPr="00FD71BA">
        <w:rPr>
          <w:rFonts w:hint="cs"/>
          <w:rtl/>
        </w:rPr>
        <w:t>اعتمدتها اللجنة في دورتها 109 (14 تشرين الأول/أكتوبر </w:t>
      </w:r>
      <w:r w:rsidRPr="00FD71BA">
        <w:rPr>
          <w:rtl/>
        </w:rPr>
        <w:t>2013</w:t>
      </w:r>
      <w:r w:rsidR="007C5854">
        <w:rPr>
          <w:rFonts w:hint="cs"/>
          <w:rtl/>
        </w:rPr>
        <w:t xml:space="preserve"> </w:t>
      </w:r>
      <w:r w:rsidRPr="00FD71BA">
        <w:rPr>
          <w:rFonts w:hint="cs"/>
          <w:rtl/>
        </w:rPr>
        <w:t>- 1 تشرين الثاني/نوفمبر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89" w:rsidRPr="00092513" w:rsidRDefault="00AD0889" w:rsidP="00092513">
    <w:pPr>
      <w:pStyle w:val="Header"/>
      <w:jc w:val="right"/>
    </w:pPr>
    <w:r w:rsidRPr="00092513">
      <w:t>CCPR/C/MRT/CO/1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89" w:rsidRPr="00092513" w:rsidRDefault="00AD0889" w:rsidP="00092513">
    <w:pPr>
      <w:pStyle w:val="Header"/>
      <w:jc w:val="left"/>
    </w:pPr>
    <w:r w:rsidRPr="00092513">
      <w:t>CCPR/C/MRT/CO/1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89" w:rsidRDefault="00AD0889"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AD0889" w:rsidRPr="008F6743" w:rsidRDefault="00AD0889"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2516"/>
    <w:rsid w:val="00014C1D"/>
    <w:rsid w:val="00040E25"/>
    <w:rsid w:val="00042149"/>
    <w:rsid w:val="000520D4"/>
    <w:rsid w:val="000648EA"/>
    <w:rsid w:val="00092513"/>
    <w:rsid w:val="000957C8"/>
    <w:rsid w:val="00097049"/>
    <w:rsid w:val="000A04D5"/>
    <w:rsid w:val="000B52F2"/>
    <w:rsid w:val="000B6E8C"/>
    <w:rsid w:val="000C3766"/>
    <w:rsid w:val="000C5F9A"/>
    <w:rsid w:val="000D0EAE"/>
    <w:rsid w:val="000D5380"/>
    <w:rsid w:val="000D6654"/>
    <w:rsid w:val="000E103D"/>
    <w:rsid w:val="000F0264"/>
    <w:rsid w:val="000F2EBF"/>
    <w:rsid w:val="000F3A9F"/>
    <w:rsid w:val="000F5FF6"/>
    <w:rsid w:val="001021D3"/>
    <w:rsid w:val="001022B5"/>
    <w:rsid w:val="00113FA5"/>
    <w:rsid w:val="001455A0"/>
    <w:rsid w:val="001602A3"/>
    <w:rsid w:val="001A5161"/>
    <w:rsid w:val="001A60BD"/>
    <w:rsid w:val="001C6D53"/>
    <w:rsid w:val="00232277"/>
    <w:rsid w:val="0023736D"/>
    <w:rsid w:val="00257225"/>
    <w:rsid w:val="00273E40"/>
    <w:rsid w:val="00310160"/>
    <w:rsid w:val="00341A8C"/>
    <w:rsid w:val="00341BF0"/>
    <w:rsid w:val="003519E6"/>
    <w:rsid w:val="00355F81"/>
    <w:rsid w:val="003B4356"/>
    <w:rsid w:val="003F08A8"/>
    <w:rsid w:val="004250E3"/>
    <w:rsid w:val="0044376D"/>
    <w:rsid w:val="004522E1"/>
    <w:rsid w:val="00472A81"/>
    <w:rsid w:val="004A20A6"/>
    <w:rsid w:val="004B1B65"/>
    <w:rsid w:val="004B2C92"/>
    <w:rsid w:val="004D6A3A"/>
    <w:rsid w:val="004F4AD7"/>
    <w:rsid w:val="00507CFB"/>
    <w:rsid w:val="00520DD4"/>
    <w:rsid w:val="00557CD3"/>
    <w:rsid w:val="00562FAD"/>
    <w:rsid w:val="005674EB"/>
    <w:rsid w:val="00571432"/>
    <w:rsid w:val="005732A2"/>
    <w:rsid w:val="005762A5"/>
    <w:rsid w:val="00590BA3"/>
    <w:rsid w:val="005B46D9"/>
    <w:rsid w:val="005B759E"/>
    <w:rsid w:val="005B7AE0"/>
    <w:rsid w:val="005E23F5"/>
    <w:rsid w:val="005F146F"/>
    <w:rsid w:val="005F71B6"/>
    <w:rsid w:val="00654786"/>
    <w:rsid w:val="00660FD4"/>
    <w:rsid w:val="00665BE4"/>
    <w:rsid w:val="006A4425"/>
    <w:rsid w:val="006A7773"/>
    <w:rsid w:val="006B00A4"/>
    <w:rsid w:val="006B4669"/>
    <w:rsid w:val="006D3CFA"/>
    <w:rsid w:val="006F6BF8"/>
    <w:rsid w:val="00707BDF"/>
    <w:rsid w:val="00710727"/>
    <w:rsid w:val="00715F45"/>
    <w:rsid w:val="0072608F"/>
    <w:rsid w:val="00731815"/>
    <w:rsid w:val="00731B84"/>
    <w:rsid w:val="00734AE7"/>
    <w:rsid w:val="007452DC"/>
    <w:rsid w:val="0076701D"/>
    <w:rsid w:val="0079344E"/>
    <w:rsid w:val="007C5854"/>
    <w:rsid w:val="007E197F"/>
    <w:rsid w:val="007E2786"/>
    <w:rsid w:val="007E4686"/>
    <w:rsid w:val="007F68C4"/>
    <w:rsid w:val="00813C01"/>
    <w:rsid w:val="00815008"/>
    <w:rsid w:val="008153DE"/>
    <w:rsid w:val="00832B9F"/>
    <w:rsid w:val="00852A10"/>
    <w:rsid w:val="00862634"/>
    <w:rsid w:val="00866C59"/>
    <w:rsid w:val="00877306"/>
    <w:rsid w:val="0088202F"/>
    <w:rsid w:val="0088216E"/>
    <w:rsid w:val="00885524"/>
    <w:rsid w:val="008A6242"/>
    <w:rsid w:val="008B4BC6"/>
    <w:rsid w:val="008F6743"/>
    <w:rsid w:val="00901E57"/>
    <w:rsid w:val="009070DF"/>
    <w:rsid w:val="00934335"/>
    <w:rsid w:val="00935F0E"/>
    <w:rsid w:val="0095208F"/>
    <w:rsid w:val="00977B3F"/>
    <w:rsid w:val="009814AE"/>
    <w:rsid w:val="009901D3"/>
    <w:rsid w:val="0099038B"/>
    <w:rsid w:val="00996BBE"/>
    <w:rsid w:val="009B2C03"/>
    <w:rsid w:val="009C4B4E"/>
    <w:rsid w:val="009D17B9"/>
    <w:rsid w:val="009D1DD5"/>
    <w:rsid w:val="009D49EC"/>
    <w:rsid w:val="009F722C"/>
    <w:rsid w:val="00A26157"/>
    <w:rsid w:val="00A265C3"/>
    <w:rsid w:val="00A421CB"/>
    <w:rsid w:val="00A43F9A"/>
    <w:rsid w:val="00A53F38"/>
    <w:rsid w:val="00A543D4"/>
    <w:rsid w:val="00A71BE4"/>
    <w:rsid w:val="00A801E4"/>
    <w:rsid w:val="00AC0771"/>
    <w:rsid w:val="00AC7DC0"/>
    <w:rsid w:val="00AD0014"/>
    <w:rsid w:val="00AD0889"/>
    <w:rsid w:val="00AD2516"/>
    <w:rsid w:val="00AD4CF2"/>
    <w:rsid w:val="00AF0BBA"/>
    <w:rsid w:val="00B0588F"/>
    <w:rsid w:val="00B15C5C"/>
    <w:rsid w:val="00B23890"/>
    <w:rsid w:val="00B25159"/>
    <w:rsid w:val="00B30468"/>
    <w:rsid w:val="00B44E31"/>
    <w:rsid w:val="00B4736F"/>
    <w:rsid w:val="00BA4F7E"/>
    <w:rsid w:val="00BB2C41"/>
    <w:rsid w:val="00BC55C8"/>
    <w:rsid w:val="00BC5C10"/>
    <w:rsid w:val="00BE2964"/>
    <w:rsid w:val="00C040DA"/>
    <w:rsid w:val="00C10E9A"/>
    <w:rsid w:val="00C21623"/>
    <w:rsid w:val="00C24FBD"/>
    <w:rsid w:val="00C473BA"/>
    <w:rsid w:val="00C611ED"/>
    <w:rsid w:val="00C6490A"/>
    <w:rsid w:val="00C64FE1"/>
    <w:rsid w:val="00C726D2"/>
    <w:rsid w:val="00C74296"/>
    <w:rsid w:val="00C8345E"/>
    <w:rsid w:val="00C96F53"/>
    <w:rsid w:val="00CA5F7C"/>
    <w:rsid w:val="00CB3322"/>
    <w:rsid w:val="00CF7A7E"/>
    <w:rsid w:val="00D01BF1"/>
    <w:rsid w:val="00D51067"/>
    <w:rsid w:val="00D75657"/>
    <w:rsid w:val="00D960AD"/>
    <w:rsid w:val="00DA0E0E"/>
    <w:rsid w:val="00DB0885"/>
    <w:rsid w:val="00DB0C39"/>
    <w:rsid w:val="00DB7679"/>
    <w:rsid w:val="00DC6F9E"/>
    <w:rsid w:val="00DF1702"/>
    <w:rsid w:val="00DF4DD8"/>
    <w:rsid w:val="00DF668E"/>
    <w:rsid w:val="00E04826"/>
    <w:rsid w:val="00E14D2B"/>
    <w:rsid w:val="00E20DBA"/>
    <w:rsid w:val="00E64BF6"/>
    <w:rsid w:val="00E6524A"/>
    <w:rsid w:val="00E660D6"/>
    <w:rsid w:val="00E771AB"/>
    <w:rsid w:val="00EA796F"/>
    <w:rsid w:val="00EB077B"/>
    <w:rsid w:val="00EC50B9"/>
    <w:rsid w:val="00ED26A0"/>
    <w:rsid w:val="00ED3183"/>
    <w:rsid w:val="00F1727A"/>
    <w:rsid w:val="00F34764"/>
    <w:rsid w:val="00F54E3C"/>
    <w:rsid w:val="00F61EB4"/>
    <w:rsid w:val="00F874BD"/>
    <w:rsid w:val="00FB1D0B"/>
    <w:rsid w:val="00FC2855"/>
    <w:rsid w:val="00FD71BA"/>
    <w:rsid w:val="00FE4E11"/>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character" w:customStyle="1" w:styleId="RedFont">
    <w:name w:val="Red_Font"/>
    <w:rsid w:val="000C3766"/>
    <w:rPr>
      <w:color w:val="FF0000"/>
      <w:lang w:val="fr-CH"/>
    </w:rPr>
  </w:style>
  <w:style w:type="paragraph" w:customStyle="1" w:styleId="SingleTxtG">
    <w:name w:val="_ Single Txt_G"/>
    <w:basedOn w:val="Normal"/>
    <w:link w:val="SingleTxtGChar"/>
    <w:rsid w:val="000C3766"/>
    <w:pPr>
      <w:suppressAutoHyphens/>
      <w:bidi w:val="0"/>
      <w:spacing w:after="120"/>
      <w:ind w:left="1134" w:right="1134"/>
      <w:jc w:val="both"/>
    </w:pPr>
    <w:rPr>
      <w:rFonts w:cs="Times New Roman"/>
      <w:szCs w:val="20"/>
      <w:lang w:val="fr-CH"/>
    </w:rPr>
  </w:style>
  <w:style w:type="character" w:customStyle="1" w:styleId="SingleTxtGChar">
    <w:name w:val="_ Single Txt_G Char"/>
    <w:link w:val="SingleTxtG"/>
    <w:locked/>
    <w:rsid w:val="000C3766"/>
    <w:rPr>
      <w:lang w:val="fr-CH" w:eastAsia="en-US" w:bidi="ar-SA"/>
    </w:rPr>
  </w:style>
  <w:style w:type="character" w:styleId="CommentReference">
    <w:name w:val="annotation reference"/>
    <w:rsid w:val="000C3766"/>
    <w:rPr>
      <w:sz w:val="16"/>
      <w:szCs w:val="16"/>
    </w:rPr>
  </w:style>
  <w:style w:type="paragraph" w:styleId="CommentText">
    <w:name w:val="annotation text"/>
    <w:basedOn w:val="Normal"/>
    <w:link w:val="CommentTextChar"/>
    <w:rsid w:val="000C3766"/>
    <w:rPr>
      <w:szCs w:val="20"/>
    </w:rPr>
  </w:style>
  <w:style w:type="character" w:customStyle="1" w:styleId="CommentTextChar">
    <w:name w:val="Comment Text Char"/>
    <w:link w:val="CommentText"/>
    <w:rsid w:val="000C3766"/>
    <w:rPr>
      <w:rFonts w:cs="Traditional Arabic"/>
      <w:lang w:val="en-US" w:eastAsia="en-US" w:bidi="ar-SA"/>
    </w:rPr>
  </w:style>
  <w:style w:type="character" w:customStyle="1" w:styleId="SingleTxtGAChar">
    <w:name w:val="_ Single Txt_GA Char"/>
    <w:link w:val="SingleTxtGA"/>
    <w:rsid w:val="000C3766"/>
    <w:rPr>
      <w:rFonts w:cs="Traditional Arabic"/>
      <w:szCs w:val="30"/>
      <w:lang w:val="en-US" w:eastAsia="en-US" w:bidi="ar-SA"/>
    </w:rPr>
  </w:style>
  <w:style w:type="character" w:customStyle="1" w:styleId="hps">
    <w:name w:val="hps"/>
    <w:rsid w:val="000C3766"/>
  </w:style>
</w:styles>
</file>

<file path=word/webSettings.xml><?xml version="1.0" encoding="utf-8"?>
<w:webSettings xmlns:r="http://schemas.openxmlformats.org/officeDocument/2006/relationships" xmlns:w="http://schemas.openxmlformats.org/wordprocessingml/2006/main">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10</Pages>
  <Words>3069</Words>
  <Characters>16391</Characters>
  <Application>Microsoft Office Outlook</Application>
  <DocSecurity>4</DocSecurity>
  <Lines>260</Lines>
  <Paragraphs>71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CCPR/C/MRT/CO/1</vt:lpstr>
      <vt:lpstr>CCPR/C/MRT/CO/1</vt:lpstr>
    </vt:vector>
  </TitlesOfParts>
  <Company>CSD</Company>
  <LinksUpToDate>false</LinksUpToDate>
  <CharactersWithSpaces>19389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CCPR/C/MRT/CO/1</dc:title>
  <dc:subject>MOAWAD, MAMOUNE</dc:subject>
  <dc:creator>SAYED</dc:creator>
  <cp:keywords/>
  <dc:description/>
  <cp:lastModifiedBy>TPS</cp:lastModifiedBy>
  <cp:revision>2</cp:revision>
  <cp:lastPrinted>2013-12-27T08:57:00Z</cp:lastPrinted>
  <dcterms:created xsi:type="dcterms:W3CDTF">2013-12-30T08:17:00Z</dcterms:created>
  <dcterms:modified xsi:type="dcterms:W3CDTF">2013-12-30T08:17:00Z</dcterms:modified>
</cp:coreProperties>
</file>