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614952" w:rsidP="00614952">
            <w:pPr>
              <w:jc w:val="right"/>
            </w:pPr>
            <w:r w:rsidRPr="00614952">
              <w:rPr>
                <w:sz w:val="40"/>
              </w:rPr>
              <w:t>CERD</w:t>
            </w:r>
            <w:r>
              <w:t>/C/CYP/Q/17-22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E1636B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14952" w:rsidRDefault="00614952" w:rsidP="00593658">
            <w:pPr>
              <w:spacing w:before="240"/>
            </w:pPr>
            <w:r>
              <w:t>Distr. générale</w:t>
            </w:r>
          </w:p>
          <w:p w:rsidR="00614952" w:rsidRDefault="00614952" w:rsidP="00614952">
            <w:pPr>
              <w:spacing w:line="240" w:lineRule="exact"/>
            </w:pPr>
            <w:r>
              <w:t>3 juillet 2013</w:t>
            </w:r>
          </w:p>
          <w:p w:rsidR="00614952" w:rsidRDefault="00614952" w:rsidP="00614952">
            <w:pPr>
              <w:spacing w:line="240" w:lineRule="exact"/>
            </w:pPr>
            <w:r>
              <w:t>Français</w:t>
            </w:r>
          </w:p>
          <w:p w:rsidR="002E0D40" w:rsidRPr="00DB58B5" w:rsidRDefault="00614952" w:rsidP="00614952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614952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E1636B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614952">
        <w:rPr>
          <w:b/>
          <w:sz w:val="24"/>
          <w:szCs w:val="24"/>
        </w:rPr>
        <w:t>on de la discrimination raciale</w:t>
      </w:r>
    </w:p>
    <w:p w:rsidR="00614952" w:rsidRPr="00A062B4" w:rsidRDefault="00614952" w:rsidP="00614952">
      <w:pPr>
        <w:suppressAutoHyphens w:val="0"/>
        <w:rPr>
          <w:b/>
        </w:rPr>
      </w:pPr>
      <w:r w:rsidRPr="00A062B4">
        <w:rPr>
          <w:b/>
        </w:rPr>
        <w:t>Quatre-vingt-</w:t>
      </w:r>
      <w:r>
        <w:rPr>
          <w:b/>
        </w:rPr>
        <w:t>troisième</w:t>
      </w:r>
      <w:r w:rsidRPr="00A062B4">
        <w:rPr>
          <w:b/>
        </w:rPr>
        <w:t xml:space="preserve"> session</w:t>
      </w:r>
    </w:p>
    <w:p w:rsidR="00614952" w:rsidRPr="00A062B4" w:rsidRDefault="00614952" w:rsidP="00614952">
      <w:pPr>
        <w:suppressAutoHyphens w:val="0"/>
      </w:pPr>
      <w:r>
        <w:t xml:space="preserve">12-30 août </w:t>
      </w:r>
      <w:r w:rsidRPr="00A062B4">
        <w:t xml:space="preserve">2013 </w:t>
      </w:r>
    </w:p>
    <w:p w:rsidR="00614952" w:rsidRPr="00A062B4" w:rsidRDefault="00614952" w:rsidP="00614952">
      <w:pPr>
        <w:suppressAutoHyphens w:val="0"/>
      </w:pPr>
      <w:r w:rsidRPr="00A062B4">
        <w:t>Point 4 de l</w:t>
      </w:r>
      <w:r w:rsidR="00E1636B">
        <w:t>’</w:t>
      </w:r>
      <w:r w:rsidRPr="00A062B4">
        <w:t>ordre du jour provisoire</w:t>
      </w:r>
    </w:p>
    <w:p w:rsidR="00614952" w:rsidRDefault="00614952" w:rsidP="00614952">
      <w:pPr>
        <w:suppressAutoHyphens w:val="0"/>
      </w:pPr>
      <w:r w:rsidRPr="00A917F5">
        <w:rPr>
          <w:b/>
        </w:rPr>
        <w:t>Examen des rapports,</w:t>
      </w:r>
      <w:r>
        <w:rPr>
          <w:b/>
        </w:rPr>
        <w:t xml:space="preserve"> observations et renseignements</w:t>
      </w:r>
      <w:r w:rsidRPr="00A917F5">
        <w:rPr>
          <w:b/>
        </w:rPr>
        <w:br/>
        <w:t xml:space="preserve">soumis par les États parties en application </w:t>
      </w:r>
      <w:r w:rsidRPr="00A917F5">
        <w:rPr>
          <w:b/>
        </w:rPr>
        <w:br/>
        <w:t>de l</w:t>
      </w:r>
      <w:r w:rsidR="00E1636B">
        <w:rPr>
          <w:b/>
        </w:rPr>
        <w:t>’</w:t>
      </w:r>
      <w:r w:rsidRPr="00A917F5">
        <w:rPr>
          <w:b/>
        </w:rPr>
        <w:t>article 9 de la Convention</w:t>
      </w:r>
    </w:p>
    <w:p w:rsidR="00614952" w:rsidRPr="00614952" w:rsidRDefault="00614952" w:rsidP="00614952">
      <w:pPr>
        <w:pStyle w:val="HChG"/>
        <w:rPr>
          <w:spacing w:val="-4"/>
        </w:rPr>
      </w:pPr>
      <w:r>
        <w:tab/>
      </w:r>
      <w:r>
        <w:tab/>
      </w:r>
      <w:r w:rsidRPr="00614952">
        <w:rPr>
          <w:spacing w:val="-4"/>
        </w:rPr>
        <w:t>Liste de thèmes concernant les dix-septième à vingt-deuxième rapports périodiques de Chypre présentés en un seul document (CERD/C/CYP/17-22)</w:t>
      </w:r>
    </w:p>
    <w:p w:rsidR="00614952" w:rsidRDefault="00614952" w:rsidP="00614952">
      <w:pPr>
        <w:pStyle w:val="H1G"/>
        <w:rPr>
          <w:b w:val="0"/>
          <w:sz w:val="20"/>
        </w:rPr>
      </w:pPr>
      <w:r>
        <w:tab/>
      </w:r>
      <w:r>
        <w:tab/>
      </w:r>
      <w:r w:rsidRPr="00A917F5">
        <w:t xml:space="preserve">Note du Rapporteur </w:t>
      </w:r>
      <w:r>
        <w:t>pour le</w:t>
      </w:r>
      <w:r w:rsidRPr="00A917F5">
        <w:t xml:space="preserve"> pays</w:t>
      </w:r>
      <w:r w:rsidRPr="006149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1E0"/>
      </w:tblPr>
      <w:tblGrid>
        <w:gridCol w:w="9637"/>
      </w:tblGrid>
      <w:tr w:rsidR="00614952" w:rsidTr="00614952">
        <w:trPr>
          <w:jc w:val="center"/>
        </w:trPr>
        <w:tc>
          <w:tcPr>
            <w:tcW w:w="9637" w:type="dxa"/>
            <w:shd w:val="clear" w:color="auto" w:fill="auto"/>
          </w:tcPr>
          <w:p w:rsidR="00614952" w:rsidRPr="00614952" w:rsidRDefault="00614952" w:rsidP="00614952">
            <w:pPr>
              <w:spacing w:before="240" w:after="120"/>
              <w:ind w:left="255"/>
              <w:rPr>
                <w:i/>
                <w:sz w:val="24"/>
              </w:rPr>
            </w:pPr>
            <w:r w:rsidRPr="00614952">
              <w:rPr>
                <w:i/>
                <w:sz w:val="24"/>
              </w:rPr>
              <w:t>Résumé</w:t>
            </w:r>
          </w:p>
        </w:tc>
      </w:tr>
      <w:tr w:rsidR="00614952" w:rsidTr="00614952">
        <w:trPr>
          <w:jc w:val="center"/>
        </w:trPr>
        <w:tc>
          <w:tcPr>
            <w:tcW w:w="9637" w:type="dxa"/>
            <w:shd w:val="clear" w:color="auto" w:fill="auto"/>
          </w:tcPr>
          <w:p w:rsidR="00614952" w:rsidRDefault="00614952" w:rsidP="00614952">
            <w:pPr>
              <w:pStyle w:val="SingleTxtG"/>
              <w:ind w:firstLine="567"/>
            </w:pPr>
            <w:r w:rsidRPr="00A917F5">
              <w:rPr>
                <w:lang w:val="fr-FR"/>
              </w:rPr>
              <w:t>À sa soixante-seizième session, le Comité pour l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 xml:space="preserve">élimination de la discrimination raciale a décidé (A/65/18, par. 85) que le Rapporteur </w:t>
            </w:r>
            <w:r>
              <w:rPr>
                <w:lang w:val="fr-FR"/>
              </w:rPr>
              <w:t xml:space="preserve">pour le </w:t>
            </w:r>
            <w:r w:rsidRPr="00A917F5">
              <w:rPr>
                <w:lang w:val="fr-FR"/>
              </w:rPr>
              <w:t>pays ferait parvenir à l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>État partie concerné une courte liste de thèmes en vue de guider et de structurer le dialogue entre la délégation de l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 xml:space="preserve">État partie et le Comité </w:t>
            </w:r>
            <w:r>
              <w:rPr>
                <w:lang w:val="fr-FR"/>
              </w:rPr>
              <w:t xml:space="preserve">pendant </w:t>
            </w:r>
            <w:r w:rsidRPr="00A917F5">
              <w:rPr>
                <w:lang w:val="fr-FR"/>
              </w:rPr>
              <w:t>l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>examen du rapport de l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 xml:space="preserve">État partie. On trouvera ci-après une liste de thèmes </w:t>
            </w:r>
            <w:r>
              <w:rPr>
                <w:lang w:val="fr-FR"/>
              </w:rPr>
              <w:t xml:space="preserve">non exhaustive </w:t>
            </w:r>
            <w:r w:rsidRPr="00A917F5">
              <w:rPr>
                <w:lang w:val="fr-FR"/>
              </w:rPr>
              <w:t>d</w:t>
            </w:r>
            <w:r w:rsidR="00E1636B">
              <w:rPr>
                <w:lang w:val="fr-FR"/>
              </w:rPr>
              <w:t>’</w:t>
            </w:r>
            <w:r w:rsidRPr="00A917F5">
              <w:rPr>
                <w:lang w:val="fr-FR"/>
              </w:rPr>
              <w:t xml:space="preserve">autres questions </w:t>
            </w:r>
            <w:r>
              <w:rPr>
                <w:lang w:val="fr-FR"/>
              </w:rPr>
              <w:t xml:space="preserve">pouvant </w:t>
            </w:r>
            <w:r w:rsidRPr="00A917F5">
              <w:rPr>
                <w:lang w:val="fr-FR"/>
              </w:rPr>
              <w:t xml:space="preserve">être </w:t>
            </w:r>
            <w:r>
              <w:rPr>
                <w:lang w:val="fr-FR"/>
              </w:rPr>
              <w:t xml:space="preserve">traitées </w:t>
            </w:r>
            <w:r w:rsidRPr="00A917F5">
              <w:rPr>
                <w:lang w:val="fr-FR"/>
              </w:rPr>
              <w:t>au cours du dialogue</w:t>
            </w:r>
            <w:r>
              <w:rPr>
                <w:lang w:val="fr-FR"/>
              </w:rPr>
              <w:t>. Cette liste n</w:t>
            </w:r>
            <w:r w:rsidR="00E1636B">
              <w:rPr>
                <w:lang w:val="fr-FR"/>
              </w:rPr>
              <w:t>’</w:t>
            </w:r>
            <w:r>
              <w:rPr>
                <w:lang w:val="fr-FR"/>
              </w:rPr>
              <w:t>appelle pas de réponses écrites.</w:t>
            </w:r>
          </w:p>
        </w:tc>
      </w:tr>
      <w:tr w:rsidR="00614952" w:rsidTr="00614952">
        <w:trPr>
          <w:jc w:val="center"/>
        </w:trPr>
        <w:tc>
          <w:tcPr>
            <w:tcW w:w="9637" w:type="dxa"/>
            <w:shd w:val="clear" w:color="auto" w:fill="auto"/>
          </w:tcPr>
          <w:p w:rsidR="00614952" w:rsidRDefault="00614952" w:rsidP="00614952"/>
        </w:tc>
      </w:tr>
    </w:tbl>
    <w:p w:rsidR="00614952" w:rsidRPr="0064197D" w:rsidRDefault="00614952" w:rsidP="00614952">
      <w:pPr>
        <w:pStyle w:val="H23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tab/>
        <w:t>1.</w:t>
      </w:r>
      <w:r>
        <w:rPr>
          <w:lang w:val="fr-FR"/>
        </w:rPr>
        <w:tab/>
      </w:r>
      <w:r w:rsidRPr="0064197D">
        <w:rPr>
          <w:lang w:val="fr-FR"/>
        </w:rPr>
        <w:t xml:space="preserve">La Convention dans le droit interne et </w:t>
      </w:r>
      <w:r>
        <w:rPr>
          <w:lang w:val="fr-FR"/>
        </w:rPr>
        <w:t>le cadre institutionnel et politique</w:t>
      </w:r>
      <w:r>
        <w:rPr>
          <w:lang w:val="fr-FR"/>
        </w:rPr>
        <w:br/>
        <w:t>de son application (art</w:t>
      </w:r>
      <w:r w:rsidR="0097054E">
        <w:rPr>
          <w:lang w:val="fr-FR"/>
        </w:rPr>
        <w:t>. </w:t>
      </w:r>
      <w:r w:rsidRPr="0064197D">
        <w:rPr>
          <w:lang w:val="fr-FR"/>
        </w:rPr>
        <w:t xml:space="preserve">2, 4, 6 </w:t>
      </w:r>
      <w:r>
        <w:rPr>
          <w:lang w:val="fr-FR"/>
        </w:rPr>
        <w:t xml:space="preserve">et </w:t>
      </w:r>
      <w:r w:rsidRPr="0064197D">
        <w:rPr>
          <w:lang w:val="fr-FR"/>
        </w:rPr>
        <w:t>7)</w:t>
      </w:r>
    </w:p>
    <w:p w:rsidR="00614952" w:rsidRPr="0064197D" w:rsidRDefault="00614952" w:rsidP="00614952">
      <w:pPr>
        <w:pStyle w:val="SingleTxtG"/>
        <w:ind w:firstLine="567"/>
        <w:rPr>
          <w:lang w:val="en-GB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64197D">
        <w:rPr>
          <w:lang w:val="fr-FR"/>
        </w:rPr>
        <w:t xml:space="preserve">Efficacité du cadre juridique </w:t>
      </w:r>
      <w:r>
        <w:rPr>
          <w:lang w:val="fr-FR"/>
        </w:rPr>
        <w:t>dans la lutte contre la discrimination raciale;</w:t>
      </w:r>
    </w:p>
    <w:p w:rsidR="00614952" w:rsidRPr="00A37A12" w:rsidRDefault="0097054E" w:rsidP="00614952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614952" w:rsidRPr="0064197D">
        <w:rPr>
          <w:lang w:val="fr-FR"/>
        </w:rPr>
        <w:t>Accès à la justice pour les victim</w:t>
      </w:r>
      <w:r w:rsidR="00614952">
        <w:rPr>
          <w:lang w:val="fr-FR"/>
        </w:rPr>
        <w:t xml:space="preserve">es de discrimination raciale: plaintes, </w:t>
      </w:r>
      <w:r w:rsidR="00614952" w:rsidRPr="00A917F5">
        <w:rPr>
          <w:lang w:val="fr-FR"/>
        </w:rPr>
        <w:t xml:space="preserve">procédures judiciaires </w:t>
      </w:r>
      <w:r w:rsidR="00614952">
        <w:rPr>
          <w:lang w:val="fr-FR"/>
        </w:rPr>
        <w:t xml:space="preserve">et décisions </w:t>
      </w:r>
      <w:r>
        <w:rPr>
          <w:lang w:val="fr-FR"/>
        </w:rPr>
        <w:t xml:space="preserve">de justice </w:t>
      </w:r>
      <w:r w:rsidR="00614952">
        <w:rPr>
          <w:lang w:val="fr-FR"/>
        </w:rPr>
        <w:t xml:space="preserve">relatives à </w:t>
      </w:r>
      <w:r w:rsidR="00614952" w:rsidRPr="001A7E6D">
        <w:rPr>
          <w:lang w:val="fr-FR"/>
        </w:rPr>
        <w:t>des actes de discrimination raciale</w:t>
      </w:r>
      <w:r w:rsidR="00614952">
        <w:rPr>
          <w:lang w:val="fr-FR"/>
        </w:rPr>
        <w:t>; incidences des mesures prises pour renforcer le rôle de la police</w:t>
      </w:r>
      <w:r>
        <w:rPr>
          <w:lang w:val="fr-FR"/>
        </w:rPr>
        <w:t xml:space="preserve"> en matière de prévention de la </w:t>
      </w:r>
      <w:r w:rsidR="00614952">
        <w:rPr>
          <w:lang w:val="fr-FR"/>
        </w:rPr>
        <w:t>discrimination raciale dans l</w:t>
      </w:r>
      <w:r w:rsidR="00E1636B">
        <w:rPr>
          <w:lang w:val="fr-FR"/>
        </w:rPr>
        <w:t>’</w:t>
      </w:r>
      <w:r w:rsidR="00614952">
        <w:rPr>
          <w:lang w:val="fr-FR"/>
        </w:rPr>
        <w:t>administration d</w:t>
      </w:r>
      <w:r>
        <w:rPr>
          <w:lang w:val="fr-FR"/>
        </w:rPr>
        <w:t>e la justice (CERD/C/CYP/17-22,</w:t>
      </w:r>
      <w:r>
        <w:rPr>
          <w:lang w:val="fr-FR"/>
        </w:rPr>
        <w:br/>
      </w:r>
      <w:r w:rsidR="00614952">
        <w:rPr>
          <w:lang w:val="fr-FR"/>
        </w:rPr>
        <w:t>par</w:t>
      </w:r>
      <w:r>
        <w:rPr>
          <w:lang w:val="fr-FR"/>
        </w:rPr>
        <w:t>. </w:t>
      </w:r>
      <w:r w:rsidR="00614952">
        <w:rPr>
          <w:lang w:val="fr-FR"/>
        </w:rPr>
        <w:t>43</w:t>
      </w:r>
      <w:r>
        <w:rPr>
          <w:lang w:val="fr-FR"/>
        </w:rPr>
        <w:t>,</w:t>
      </w:r>
      <w:r w:rsidR="00614952">
        <w:rPr>
          <w:lang w:val="fr-FR"/>
        </w:rPr>
        <w:t xml:space="preserve"> </w:t>
      </w:r>
      <w:r w:rsidR="00614952" w:rsidRPr="00A37A12">
        <w:rPr>
          <w:lang w:val="fr-FR"/>
        </w:rPr>
        <w:t>45</w:t>
      </w:r>
      <w:r w:rsidR="00614952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614952" w:rsidRPr="00A37A12">
        <w:rPr>
          <w:lang w:val="fr-FR"/>
        </w:rPr>
        <w:t>46);</w:t>
      </w:r>
    </w:p>
    <w:p w:rsidR="00614952" w:rsidRPr="00347FD6" w:rsidRDefault="00614952" w:rsidP="00614952">
      <w:pPr>
        <w:pStyle w:val="SingleTxtG"/>
        <w:ind w:firstLine="567"/>
        <w:rPr>
          <w:lang w:val="fr-FR"/>
        </w:rPr>
      </w:pPr>
      <w:r w:rsidRPr="00A37A12">
        <w:rPr>
          <w:lang w:val="fr-FR"/>
        </w:rPr>
        <w:t>c)</w:t>
      </w:r>
      <w:r w:rsidR="0097054E">
        <w:rPr>
          <w:lang w:val="fr-FR"/>
        </w:rPr>
        <w:tab/>
      </w:r>
      <w:r w:rsidRPr="00A37A12">
        <w:rPr>
          <w:lang w:val="fr-FR"/>
        </w:rPr>
        <w:t>Politiques en faveur de l</w:t>
      </w:r>
      <w:r w:rsidR="00E1636B">
        <w:rPr>
          <w:lang w:val="fr-FR"/>
        </w:rPr>
        <w:t>’</w:t>
      </w:r>
      <w:r w:rsidRPr="00A37A12">
        <w:rPr>
          <w:lang w:val="fr-FR"/>
        </w:rPr>
        <w:t>élimination de la discrimination raciale et incidences de la mise en œuvre du</w:t>
      </w:r>
      <w:r>
        <w:rPr>
          <w:lang w:val="fr-FR"/>
        </w:rPr>
        <w:t xml:space="preserve"> Plan d</w:t>
      </w:r>
      <w:r w:rsidR="00E1636B">
        <w:rPr>
          <w:lang w:val="fr-FR"/>
        </w:rPr>
        <w:t>’</w:t>
      </w:r>
      <w:r>
        <w:rPr>
          <w:lang w:val="fr-FR"/>
        </w:rPr>
        <w:t xml:space="preserve">action </w:t>
      </w:r>
      <w:r w:rsidR="0097054E">
        <w:rPr>
          <w:lang w:val="fr-FR"/>
        </w:rPr>
        <w:t xml:space="preserve">national </w:t>
      </w:r>
      <w:r>
        <w:rPr>
          <w:lang w:val="fr-FR"/>
        </w:rPr>
        <w:t>contre le racisme (</w:t>
      </w:r>
      <w:r w:rsidRPr="00347FD6">
        <w:rPr>
          <w:lang w:val="fr-FR"/>
        </w:rPr>
        <w:t>CERD/C/CYP/17-22, par</w:t>
      </w:r>
      <w:r w:rsidR="0097054E">
        <w:rPr>
          <w:lang w:val="fr-FR"/>
        </w:rPr>
        <w:t>. </w:t>
      </w:r>
      <w:r w:rsidR="00DE2E3E">
        <w:rPr>
          <w:lang w:val="fr-FR"/>
        </w:rPr>
        <w:t xml:space="preserve">8, </w:t>
      </w:r>
      <w:r>
        <w:rPr>
          <w:lang w:val="fr-FR"/>
        </w:rPr>
        <w:t xml:space="preserve">12 à </w:t>
      </w:r>
      <w:r w:rsidRPr="00347FD6">
        <w:rPr>
          <w:lang w:val="fr-FR"/>
        </w:rPr>
        <w:t>15);</w:t>
      </w:r>
    </w:p>
    <w:p w:rsidR="00614952" w:rsidRPr="00DE2E3E" w:rsidRDefault="00614952" w:rsidP="00614952">
      <w:pPr>
        <w:pStyle w:val="SingleTxtG"/>
        <w:ind w:firstLine="567"/>
        <w:rPr>
          <w:spacing w:val="-2"/>
          <w:lang w:val="fr-FR"/>
        </w:rPr>
      </w:pPr>
      <w:r w:rsidRPr="002A4704">
        <w:rPr>
          <w:lang w:val="fr-FR"/>
        </w:rPr>
        <w:t>d)</w:t>
      </w:r>
      <w:r w:rsidRPr="002A4704">
        <w:rPr>
          <w:lang w:val="fr-FR"/>
        </w:rPr>
        <w:tab/>
      </w:r>
      <w:r w:rsidRPr="00DE2E3E">
        <w:rPr>
          <w:spacing w:val="-2"/>
          <w:lang w:val="fr-FR"/>
        </w:rPr>
        <w:t>Moyens mis à la disposition du Médiateur pour s</w:t>
      </w:r>
      <w:r w:rsidR="00E1636B" w:rsidRPr="00DE2E3E">
        <w:rPr>
          <w:spacing w:val="-2"/>
          <w:lang w:val="fr-FR"/>
        </w:rPr>
        <w:t>’</w:t>
      </w:r>
      <w:r w:rsidRPr="00DE2E3E">
        <w:rPr>
          <w:spacing w:val="-2"/>
          <w:lang w:val="fr-FR"/>
        </w:rPr>
        <w:t xml:space="preserve">acquitter de son mandat en </w:t>
      </w:r>
      <w:r w:rsidR="0097054E" w:rsidRPr="00DE2E3E">
        <w:rPr>
          <w:spacing w:val="-2"/>
          <w:lang w:val="fr-FR"/>
        </w:rPr>
        <w:t xml:space="preserve">ce qui concerne </w:t>
      </w:r>
      <w:r w:rsidRPr="00DE2E3E">
        <w:rPr>
          <w:spacing w:val="-2"/>
          <w:lang w:val="fr-FR"/>
        </w:rPr>
        <w:t>la lutte contre la discrimination raciale (CERD/C/CYP/17-22, par</w:t>
      </w:r>
      <w:r w:rsidR="0097054E" w:rsidRPr="00DE2E3E">
        <w:rPr>
          <w:spacing w:val="-2"/>
          <w:lang w:val="fr-FR"/>
        </w:rPr>
        <w:t>. </w:t>
      </w:r>
      <w:r w:rsidRPr="00DE2E3E">
        <w:rPr>
          <w:spacing w:val="-2"/>
          <w:lang w:val="fr-FR"/>
        </w:rPr>
        <w:t>12</w:t>
      </w:r>
      <w:r w:rsidR="0097054E" w:rsidRPr="00DE2E3E">
        <w:rPr>
          <w:spacing w:val="-2"/>
          <w:lang w:val="fr-FR"/>
        </w:rPr>
        <w:t> </w:t>
      </w:r>
      <w:r w:rsidRPr="00DE2E3E">
        <w:rPr>
          <w:spacing w:val="-2"/>
          <w:lang w:val="fr-FR"/>
        </w:rPr>
        <w:t xml:space="preserve">h)); </w:t>
      </w:r>
      <w:r w:rsidR="0097054E" w:rsidRPr="00DE2E3E">
        <w:rPr>
          <w:spacing w:val="-2"/>
          <w:lang w:val="fr-FR"/>
        </w:rPr>
        <w:t>conformité de l</w:t>
      </w:r>
      <w:r w:rsidR="00E1636B" w:rsidRPr="00DE2E3E">
        <w:rPr>
          <w:spacing w:val="-2"/>
          <w:lang w:val="fr-FR"/>
        </w:rPr>
        <w:t>’</w:t>
      </w:r>
      <w:r w:rsidR="0097054E" w:rsidRPr="00DE2E3E">
        <w:rPr>
          <w:spacing w:val="-2"/>
          <w:lang w:val="fr-FR"/>
        </w:rPr>
        <w:t xml:space="preserve">institution du Médiateur avec les </w:t>
      </w:r>
      <w:r w:rsidRPr="00DE2E3E">
        <w:rPr>
          <w:spacing w:val="-2"/>
          <w:lang w:val="fr-FR"/>
        </w:rPr>
        <w:t>Principes de Paris et mesures prises en vue de son accréditation par le Comité international de coordination des institutions nationales pour la promotion et la protection des droits de l</w:t>
      </w:r>
      <w:r w:rsidR="00E1636B" w:rsidRPr="00DE2E3E">
        <w:rPr>
          <w:spacing w:val="-2"/>
          <w:lang w:val="fr-FR"/>
        </w:rPr>
        <w:t>’</w:t>
      </w:r>
      <w:r w:rsidRPr="00DE2E3E">
        <w:rPr>
          <w:spacing w:val="-2"/>
          <w:lang w:val="fr-FR"/>
        </w:rPr>
        <w:t>homme (CERD/C/CYP/17-22, par</w:t>
      </w:r>
      <w:r w:rsidR="0097054E" w:rsidRPr="00DE2E3E">
        <w:rPr>
          <w:spacing w:val="-2"/>
          <w:lang w:val="fr-FR"/>
        </w:rPr>
        <w:t>. </w:t>
      </w:r>
      <w:r w:rsidRPr="00DE2E3E">
        <w:rPr>
          <w:spacing w:val="-2"/>
          <w:lang w:val="fr-FR"/>
        </w:rPr>
        <w:t>23).</w:t>
      </w:r>
    </w:p>
    <w:p w:rsidR="00614952" w:rsidRPr="0097054E" w:rsidRDefault="00614952" w:rsidP="00614952">
      <w:pPr>
        <w:pStyle w:val="H23G"/>
        <w:rPr>
          <w:spacing w:val="-4"/>
          <w:lang w:val="fr-FR"/>
        </w:rPr>
      </w:pPr>
      <w:r w:rsidRPr="002A4704">
        <w:rPr>
          <w:lang w:val="fr-FR"/>
        </w:rPr>
        <w:tab/>
      </w:r>
      <w:r w:rsidRPr="00780D94">
        <w:rPr>
          <w:lang w:val="fr-FR"/>
        </w:rPr>
        <w:t>2.</w:t>
      </w:r>
      <w:r w:rsidRPr="00780D94">
        <w:rPr>
          <w:lang w:val="fr-FR"/>
        </w:rPr>
        <w:tab/>
      </w:r>
      <w:r w:rsidRPr="0097054E">
        <w:rPr>
          <w:spacing w:val="-4"/>
          <w:lang w:val="fr-FR"/>
        </w:rPr>
        <w:t>Situation des membres des communautés et minorités.</w:t>
      </w:r>
      <w:r w:rsidR="0097054E" w:rsidRPr="0097054E">
        <w:rPr>
          <w:spacing w:val="-4"/>
          <w:lang w:val="fr-FR"/>
        </w:rPr>
        <w:t xml:space="preserve"> </w:t>
      </w:r>
      <w:r w:rsidR="0097054E">
        <w:rPr>
          <w:spacing w:val="-4"/>
          <w:lang w:val="fr-FR"/>
        </w:rPr>
        <w:t>Relations intercommunautaires</w:t>
      </w:r>
      <w:r w:rsidR="0097054E">
        <w:rPr>
          <w:spacing w:val="-4"/>
          <w:lang w:val="fr-FR"/>
        </w:rPr>
        <w:br/>
      </w:r>
      <w:r w:rsidRPr="0097054E">
        <w:rPr>
          <w:spacing w:val="-4"/>
          <w:lang w:val="fr-FR"/>
        </w:rPr>
        <w:t>et interethniques (art. 2, 3, 5 et 7)</w:t>
      </w:r>
    </w:p>
    <w:p w:rsidR="00614952" w:rsidRPr="00E04F6B" w:rsidRDefault="00614952" w:rsidP="00614952">
      <w:pPr>
        <w:pStyle w:val="SingleTxtG"/>
        <w:ind w:firstLine="567"/>
        <w:rPr>
          <w:lang w:val="fr-FR"/>
        </w:rPr>
      </w:pPr>
      <w:r w:rsidRPr="009F2371">
        <w:rPr>
          <w:lang w:val="fr-FR"/>
        </w:rPr>
        <w:t>a)</w:t>
      </w:r>
      <w:r w:rsidRPr="009F2371">
        <w:rPr>
          <w:lang w:val="fr-FR"/>
        </w:rPr>
        <w:tab/>
      </w:r>
      <w:r w:rsidRPr="00A917F5">
        <w:rPr>
          <w:lang w:val="fr-FR"/>
        </w:rPr>
        <w:t>Auto-identification</w:t>
      </w:r>
      <w:r w:rsidR="00F746F6">
        <w:rPr>
          <w:lang w:val="fr-FR"/>
        </w:rPr>
        <w:t xml:space="preserve"> </w:t>
      </w:r>
      <w:r w:rsidRPr="009F2371">
        <w:rPr>
          <w:lang w:val="fr-FR"/>
        </w:rPr>
        <w:t xml:space="preserve">des minorités et exercice de leurs droits culturels </w:t>
      </w:r>
      <w:r w:rsidR="0097054E">
        <w:rPr>
          <w:lang w:val="fr-FR"/>
        </w:rPr>
        <w:t>(CERD/C/CYP/17-22, par. </w:t>
      </w:r>
      <w:r w:rsidRPr="00E04F6B">
        <w:rPr>
          <w:lang w:val="fr-FR"/>
        </w:rPr>
        <w:t>73</w:t>
      </w:r>
      <w:r w:rsidR="0097054E">
        <w:rPr>
          <w:lang w:val="fr-FR"/>
        </w:rPr>
        <w:t>,</w:t>
      </w:r>
      <w:r w:rsidRPr="00E04F6B">
        <w:rPr>
          <w:lang w:val="fr-FR"/>
        </w:rPr>
        <w:t xml:space="preserve"> 135 </w:t>
      </w:r>
      <w:r w:rsidR="0097054E">
        <w:rPr>
          <w:lang w:val="fr-FR"/>
        </w:rPr>
        <w:t xml:space="preserve">et </w:t>
      </w:r>
      <w:r w:rsidRPr="00E04F6B">
        <w:rPr>
          <w:lang w:val="fr-FR"/>
        </w:rPr>
        <w:t>136);</w:t>
      </w:r>
    </w:p>
    <w:p w:rsidR="00614952" w:rsidRPr="009F2371" w:rsidRDefault="00614952" w:rsidP="00614952">
      <w:pPr>
        <w:pStyle w:val="SingleTxtG"/>
        <w:ind w:firstLine="567"/>
        <w:rPr>
          <w:lang w:val="fr-FR"/>
        </w:rPr>
      </w:pPr>
      <w:r w:rsidRPr="009F2371">
        <w:rPr>
          <w:lang w:val="fr-FR"/>
        </w:rPr>
        <w:t>b)</w:t>
      </w:r>
      <w:r w:rsidRPr="009F2371">
        <w:rPr>
          <w:lang w:val="fr-FR"/>
        </w:rPr>
        <w:tab/>
        <w:t xml:space="preserve">Discrimination </w:t>
      </w:r>
      <w:r w:rsidR="0097054E">
        <w:rPr>
          <w:lang w:val="fr-FR"/>
        </w:rPr>
        <w:t xml:space="preserve">subie </w:t>
      </w:r>
      <w:r w:rsidRPr="009F2371">
        <w:rPr>
          <w:lang w:val="fr-FR"/>
        </w:rPr>
        <w:t>par les Chypriotes turcs, notamment</w:t>
      </w:r>
      <w:r>
        <w:rPr>
          <w:lang w:val="fr-FR"/>
        </w:rPr>
        <w:t xml:space="preserve"> dans les domaines de l</w:t>
      </w:r>
      <w:r w:rsidR="00E1636B">
        <w:rPr>
          <w:lang w:val="fr-FR"/>
        </w:rPr>
        <w:t>’</w:t>
      </w:r>
      <w:r>
        <w:rPr>
          <w:lang w:val="fr-FR"/>
        </w:rPr>
        <w:t>emploi, de l</w:t>
      </w:r>
      <w:r w:rsidR="00E1636B">
        <w:rPr>
          <w:lang w:val="fr-FR"/>
        </w:rPr>
        <w:t>’</w:t>
      </w:r>
      <w:r>
        <w:rPr>
          <w:lang w:val="fr-FR"/>
        </w:rPr>
        <w:t>éducation et du logement, et en ce qui concerne l</w:t>
      </w:r>
      <w:r w:rsidR="00E1636B">
        <w:rPr>
          <w:lang w:val="fr-FR"/>
        </w:rPr>
        <w:t>’</w:t>
      </w:r>
      <w:r>
        <w:rPr>
          <w:lang w:val="fr-FR"/>
        </w:rPr>
        <w:t xml:space="preserve">utilisation de la langue turque </w:t>
      </w:r>
      <w:r w:rsidRPr="009F2371">
        <w:rPr>
          <w:lang w:val="fr-FR"/>
        </w:rPr>
        <w:t>(CERD/C/CYP/17-22, par</w:t>
      </w:r>
      <w:r>
        <w:rPr>
          <w:lang w:val="fr-FR"/>
        </w:rPr>
        <w:t>. </w:t>
      </w:r>
      <w:r w:rsidRPr="009F2371">
        <w:rPr>
          <w:lang w:val="fr-FR"/>
        </w:rPr>
        <w:t>140);</w:t>
      </w:r>
    </w:p>
    <w:p w:rsidR="00614952" w:rsidRPr="0028784F" w:rsidRDefault="00614952" w:rsidP="00614952">
      <w:pPr>
        <w:pStyle w:val="SingleTxtG"/>
        <w:ind w:firstLine="567"/>
        <w:rPr>
          <w:lang w:val="fr-FR"/>
        </w:rPr>
      </w:pPr>
      <w:r w:rsidRPr="00E26054">
        <w:rPr>
          <w:lang w:val="fr-FR"/>
        </w:rPr>
        <w:t>c)</w:t>
      </w:r>
      <w:r w:rsidRPr="00E26054">
        <w:rPr>
          <w:lang w:val="fr-FR"/>
        </w:rPr>
        <w:tab/>
        <w:t xml:space="preserve">Incidences des mesures prises pour </w:t>
      </w:r>
      <w:r w:rsidR="0097054E">
        <w:rPr>
          <w:lang w:val="fr-FR"/>
        </w:rPr>
        <w:t xml:space="preserve">remédier à </w:t>
      </w:r>
      <w:r w:rsidRPr="00E26054">
        <w:rPr>
          <w:lang w:val="fr-FR"/>
        </w:rPr>
        <w:t>la ségrégation des Roms</w:t>
      </w:r>
      <w:r>
        <w:rPr>
          <w:lang w:val="fr-FR"/>
        </w:rPr>
        <w:t xml:space="preserve"> dans le</w:t>
      </w:r>
      <w:r w:rsidR="0097054E">
        <w:rPr>
          <w:lang w:val="fr-FR"/>
        </w:rPr>
        <w:t>s</w:t>
      </w:r>
      <w:r>
        <w:rPr>
          <w:lang w:val="fr-FR"/>
        </w:rPr>
        <w:t xml:space="preserve"> domaine</w:t>
      </w:r>
      <w:r w:rsidR="0097054E">
        <w:rPr>
          <w:lang w:val="fr-FR"/>
        </w:rPr>
        <w:t>s</w:t>
      </w:r>
      <w:r>
        <w:rPr>
          <w:lang w:val="fr-FR"/>
        </w:rPr>
        <w:t xml:space="preserve"> du logement et </w:t>
      </w:r>
      <w:r w:rsidR="0097054E">
        <w:rPr>
          <w:lang w:val="fr-FR"/>
        </w:rPr>
        <w:t xml:space="preserve">de la scolarisation </w:t>
      </w:r>
      <w:r>
        <w:rPr>
          <w:lang w:val="fr-FR"/>
        </w:rPr>
        <w:t>(CERD/C/CYP/17-22, par</w:t>
      </w:r>
      <w:r w:rsidR="0097054E">
        <w:rPr>
          <w:lang w:val="fr-FR"/>
        </w:rPr>
        <w:t>. </w:t>
      </w:r>
      <w:r>
        <w:rPr>
          <w:lang w:val="fr-FR"/>
        </w:rPr>
        <w:t xml:space="preserve">33 et </w:t>
      </w:r>
      <w:r w:rsidRPr="0028784F">
        <w:rPr>
          <w:lang w:val="fr-FR"/>
        </w:rPr>
        <w:t>34);</w:t>
      </w:r>
    </w:p>
    <w:p w:rsidR="00614952" w:rsidRPr="0028784F" w:rsidRDefault="00614952" w:rsidP="00614952">
      <w:pPr>
        <w:pStyle w:val="SingleTxtG"/>
        <w:ind w:firstLine="567"/>
        <w:rPr>
          <w:lang w:val="fr-FR"/>
        </w:rPr>
      </w:pPr>
      <w:r w:rsidRPr="0028784F">
        <w:rPr>
          <w:lang w:val="fr-FR"/>
        </w:rPr>
        <w:t>d)</w:t>
      </w:r>
      <w:r w:rsidRPr="0028784F">
        <w:rPr>
          <w:lang w:val="fr-FR"/>
        </w:rPr>
        <w:tab/>
      </w:r>
      <w:r w:rsidR="0097054E">
        <w:rPr>
          <w:lang w:val="fr-FR"/>
        </w:rPr>
        <w:t>Mesures concrètes</w:t>
      </w:r>
      <w:r w:rsidRPr="001A7E6D">
        <w:rPr>
          <w:lang w:val="fr-FR"/>
        </w:rPr>
        <w:t xml:space="preserve"> prises </w:t>
      </w:r>
      <w:r w:rsidR="0097054E">
        <w:rPr>
          <w:lang w:val="fr-FR"/>
        </w:rPr>
        <w:t xml:space="preserve">en réponse à des propos </w:t>
      </w:r>
      <w:r w:rsidRPr="0028784F">
        <w:rPr>
          <w:lang w:val="fr-FR"/>
        </w:rPr>
        <w:t xml:space="preserve">haineux et racistes et </w:t>
      </w:r>
      <w:r w:rsidR="0097054E">
        <w:rPr>
          <w:lang w:val="fr-FR"/>
        </w:rPr>
        <w:t xml:space="preserve">à </w:t>
      </w:r>
      <w:r w:rsidRPr="0028784F">
        <w:rPr>
          <w:lang w:val="fr-FR"/>
        </w:rPr>
        <w:t xml:space="preserve">la violence </w:t>
      </w:r>
      <w:r>
        <w:rPr>
          <w:lang w:val="fr-FR"/>
        </w:rPr>
        <w:t>inspirée par la haine, notamment enquêtes et poursuites judicaires</w:t>
      </w:r>
      <w:r w:rsidR="0097054E">
        <w:rPr>
          <w:lang w:val="fr-FR"/>
        </w:rPr>
        <w:t>;</w:t>
      </w:r>
    </w:p>
    <w:p w:rsidR="00614952" w:rsidRPr="004E18E8" w:rsidRDefault="00614952" w:rsidP="00614952">
      <w:pPr>
        <w:pStyle w:val="SingleTxtG"/>
        <w:ind w:firstLine="567"/>
        <w:rPr>
          <w:lang w:val="fr-FR"/>
        </w:rPr>
      </w:pPr>
      <w:r w:rsidRPr="005A542F">
        <w:rPr>
          <w:lang w:val="fr-FR"/>
        </w:rPr>
        <w:t>e)</w:t>
      </w:r>
      <w:r w:rsidRPr="005A542F">
        <w:rPr>
          <w:lang w:val="fr-FR"/>
        </w:rPr>
        <w:tab/>
        <w:t xml:space="preserve">Promotion de la tolérance, de la compréhension et du dialogue entre les deux communautés </w:t>
      </w:r>
      <w:r w:rsidRPr="004E18E8">
        <w:rPr>
          <w:lang w:val="fr-FR"/>
        </w:rPr>
        <w:t>(CERD/C/CYP/17-22, par</w:t>
      </w:r>
      <w:r w:rsidR="0097054E">
        <w:rPr>
          <w:lang w:val="fr-FR"/>
        </w:rPr>
        <w:t>. </w:t>
      </w:r>
      <w:r w:rsidRPr="004E18E8">
        <w:rPr>
          <w:lang w:val="fr-FR"/>
        </w:rPr>
        <w:t>130).</w:t>
      </w:r>
    </w:p>
    <w:p w:rsidR="00614952" w:rsidRPr="00780D94" w:rsidRDefault="00614952" w:rsidP="00614952">
      <w:pPr>
        <w:pStyle w:val="H23G"/>
        <w:rPr>
          <w:lang w:val="fr-FR"/>
        </w:rPr>
      </w:pPr>
      <w:r w:rsidRPr="004E18E8">
        <w:rPr>
          <w:lang w:val="fr-FR"/>
        </w:rPr>
        <w:tab/>
      </w:r>
      <w:r w:rsidRPr="00780D94">
        <w:rPr>
          <w:lang w:val="fr-FR"/>
        </w:rPr>
        <w:t>3.</w:t>
      </w:r>
      <w:r w:rsidRPr="00780D94">
        <w:rPr>
          <w:lang w:val="fr-FR"/>
        </w:rPr>
        <w:tab/>
      </w:r>
      <w:r w:rsidRPr="00A917F5">
        <w:t>Situation des non-ressortissants, notamment des migrants, des réfugiés</w:t>
      </w:r>
      <w:r>
        <w:br/>
      </w:r>
      <w:r w:rsidRPr="00A917F5">
        <w:t>et des demandeurs d</w:t>
      </w:r>
      <w:r w:rsidR="00E1636B">
        <w:t>’</w:t>
      </w:r>
      <w:r w:rsidRPr="00A917F5">
        <w:t>asile</w:t>
      </w:r>
      <w:r w:rsidRPr="00A917F5">
        <w:rPr>
          <w:lang w:val="fr-FR"/>
        </w:rPr>
        <w:t xml:space="preserve"> </w:t>
      </w:r>
      <w:r w:rsidR="0097054E">
        <w:rPr>
          <w:lang w:val="fr-FR"/>
        </w:rPr>
        <w:t>(art. </w:t>
      </w:r>
      <w:r w:rsidRPr="00780D94">
        <w:rPr>
          <w:lang w:val="fr-FR"/>
        </w:rPr>
        <w:t xml:space="preserve">5, 6 </w:t>
      </w:r>
      <w:r>
        <w:rPr>
          <w:lang w:val="fr-FR"/>
        </w:rPr>
        <w:t>et</w:t>
      </w:r>
      <w:r w:rsidRPr="00780D94">
        <w:rPr>
          <w:lang w:val="fr-FR"/>
        </w:rPr>
        <w:t xml:space="preserve"> 7)</w:t>
      </w:r>
    </w:p>
    <w:p w:rsidR="00614952" w:rsidRPr="00C07B1B" w:rsidRDefault="00614952" w:rsidP="00614952">
      <w:pPr>
        <w:pStyle w:val="SingleTxtG"/>
        <w:ind w:firstLine="567"/>
        <w:rPr>
          <w:lang w:val="fr-FR"/>
        </w:rPr>
      </w:pPr>
      <w:r w:rsidRPr="00E05EB9">
        <w:rPr>
          <w:lang w:val="fr-FR"/>
        </w:rPr>
        <w:t>a)</w:t>
      </w:r>
      <w:r w:rsidRPr="00E05EB9">
        <w:rPr>
          <w:lang w:val="fr-FR"/>
        </w:rPr>
        <w:tab/>
        <w:t>Suppression des obstacles à l</w:t>
      </w:r>
      <w:r w:rsidR="00E1636B">
        <w:rPr>
          <w:lang w:val="fr-FR"/>
        </w:rPr>
        <w:t>’</w:t>
      </w:r>
      <w:r w:rsidRPr="00E05EB9">
        <w:rPr>
          <w:lang w:val="fr-FR"/>
        </w:rPr>
        <w:t>obtention de la nationalité pour les enfants nés de ressortissants chypriotes</w:t>
      </w:r>
      <w:r>
        <w:rPr>
          <w:lang w:val="fr-FR"/>
        </w:rPr>
        <w:t xml:space="preserve"> (CERD/C/CYP/17-22, par</w:t>
      </w:r>
      <w:r w:rsidR="0097054E">
        <w:rPr>
          <w:lang w:val="fr-FR"/>
        </w:rPr>
        <w:t>. </w:t>
      </w:r>
      <w:r w:rsidRPr="00C07B1B">
        <w:rPr>
          <w:lang w:val="fr-FR"/>
        </w:rPr>
        <w:t>78</w:t>
      </w:r>
      <w:r>
        <w:rPr>
          <w:lang w:val="fr-FR"/>
        </w:rPr>
        <w:t xml:space="preserve"> et </w:t>
      </w:r>
      <w:r w:rsidRPr="00C07B1B">
        <w:rPr>
          <w:lang w:val="fr-FR"/>
        </w:rPr>
        <w:t>79);</w:t>
      </w:r>
    </w:p>
    <w:p w:rsidR="00614952" w:rsidRPr="0097054E" w:rsidRDefault="00614952" w:rsidP="00614952">
      <w:pPr>
        <w:pStyle w:val="SingleTxtG"/>
        <w:ind w:firstLine="567"/>
        <w:rPr>
          <w:spacing w:val="-2"/>
          <w:lang w:val="fr-FR"/>
        </w:rPr>
      </w:pPr>
      <w:r w:rsidRPr="00C07B1B">
        <w:rPr>
          <w:lang w:val="fr-FR"/>
        </w:rPr>
        <w:t>b)</w:t>
      </w:r>
      <w:r w:rsidRPr="00C07B1B">
        <w:rPr>
          <w:lang w:val="fr-FR"/>
        </w:rPr>
        <w:tab/>
      </w:r>
      <w:r w:rsidRPr="0097054E">
        <w:rPr>
          <w:spacing w:val="-2"/>
          <w:lang w:val="fr-FR"/>
        </w:rPr>
        <w:t>Discrimination à l</w:t>
      </w:r>
      <w:r w:rsidR="00E1636B">
        <w:rPr>
          <w:spacing w:val="-2"/>
          <w:lang w:val="fr-FR"/>
        </w:rPr>
        <w:t>’</w:t>
      </w:r>
      <w:r w:rsidRPr="0097054E">
        <w:rPr>
          <w:spacing w:val="-2"/>
          <w:lang w:val="fr-FR"/>
        </w:rPr>
        <w:t xml:space="preserve">égard des non-ressortissants en ce qui concerne </w:t>
      </w:r>
      <w:r w:rsidR="0097054E" w:rsidRPr="0097054E">
        <w:rPr>
          <w:spacing w:val="-2"/>
          <w:lang w:val="fr-FR"/>
        </w:rPr>
        <w:t xml:space="preserve">la jouissance </w:t>
      </w:r>
      <w:r w:rsidRPr="0097054E">
        <w:rPr>
          <w:spacing w:val="-2"/>
          <w:lang w:val="fr-FR"/>
        </w:rPr>
        <w:t>des droits économiques, sociaux et culturels (CERD/C/CYP/17-22, par</w:t>
      </w:r>
      <w:r w:rsidR="0097054E" w:rsidRPr="0097054E">
        <w:rPr>
          <w:spacing w:val="-2"/>
          <w:lang w:val="fr-FR"/>
        </w:rPr>
        <w:t>. </w:t>
      </w:r>
      <w:r w:rsidRPr="0097054E">
        <w:rPr>
          <w:spacing w:val="-2"/>
          <w:lang w:val="fr-FR"/>
        </w:rPr>
        <w:t>35 et 36); protection des employés de maison et des travailleurs agricoles non</w:t>
      </w:r>
      <w:r w:rsidR="00C654D3">
        <w:rPr>
          <w:spacing w:val="-2"/>
          <w:lang w:val="fr-FR"/>
        </w:rPr>
        <w:t xml:space="preserve"> </w:t>
      </w:r>
      <w:r w:rsidRPr="0097054E">
        <w:rPr>
          <w:spacing w:val="-2"/>
          <w:lang w:val="fr-FR"/>
        </w:rPr>
        <w:t>ressor</w:t>
      </w:r>
      <w:r w:rsidR="0097054E">
        <w:rPr>
          <w:spacing w:val="-2"/>
          <w:lang w:val="fr-FR"/>
        </w:rPr>
        <w:t>tissants contre les atteintes à </w:t>
      </w:r>
      <w:r w:rsidRPr="0097054E">
        <w:rPr>
          <w:spacing w:val="-2"/>
          <w:lang w:val="fr-FR"/>
        </w:rPr>
        <w:t xml:space="preserve">leurs droits </w:t>
      </w:r>
      <w:r w:rsidR="0097054E" w:rsidRPr="0097054E">
        <w:rPr>
          <w:spacing w:val="-2"/>
          <w:lang w:val="fr-FR"/>
        </w:rPr>
        <w:t xml:space="preserve">liés au </w:t>
      </w:r>
      <w:r w:rsidRPr="0097054E">
        <w:rPr>
          <w:spacing w:val="-2"/>
          <w:lang w:val="fr-FR"/>
        </w:rPr>
        <w:t xml:space="preserve">travail et </w:t>
      </w:r>
      <w:r w:rsidR="0097054E" w:rsidRPr="0097054E">
        <w:rPr>
          <w:spacing w:val="-2"/>
          <w:lang w:val="fr-FR"/>
        </w:rPr>
        <w:t xml:space="preserve">contre </w:t>
      </w:r>
      <w:r w:rsidRPr="0097054E">
        <w:rPr>
          <w:spacing w:val="-2"/>
          <w:lang w:val="fr-FR"/>
        </w:rPr>
        <w:t>l</w:t>
      </w:r>
      <w:r w:rsidR="00E1636B">
        <w:rPr>
          <w:spacing w:val="-2"/>
          <w:lang w:val="fr-FR"/>
        </w:rPr>
        <w:t>’</w:t>
      </w:r>
      <w:r w:rsidRPr="0097054E">
        <w:rPr>
          <w:spacing w:val="-2"/>
          <w:lang w:val="fr-FR"/>
        </w:rPr>
        <w:t>exploitation (CERD/C/CYP/17-22, par</w:t>
      </w:r>
      <w:r w:rsidR="0097054E" w:rsidRPr="0097054E">
        <w:rPr>
          <w:spacing w:val="-2"/>
          <w:lang w:val="fr-FR"/>
        </w:rPr>
        <w:t>. </w:t>
      </w:r>
      <w:r w:rsidRPr="0097054E">
        <w:rPr>
          <w:spacing w:val="-2"/>
          <w:lang w:val="fr-FR"/>
        </w:rPr>
        <w:t>87 et 88);</w:t>
      </w:r>
    </w:p>
    <w:p w:rsidR="00614952" w:rsidRPr="001A7E6D" w:rsidRDefault="00614952" w:rsidP="00614952">
      <w:pPr>
        <w:pStyle w:val="SingleTxtG"/>
        <w:ind w:firstLine="567"/>
        <w:rPr>
          <w:lang w:val="fr-FR"/>
        </w:rPr>
      </w:pPr>
      <w:r w:rsidRPr="00721F59">
        <w:rPr>
          <w:lang w:val="fr-FR"/>
        </w:rPr>
        <w:t>c)</w:t>
      </w:r>
      <w:r w:rsidRPr="00721F59">
        <w:rPr>
          <w:lang w:val="fr-FR"/>
        </w:rPr>
        <w:tab/>
        <w:t xml:space="preserve">Préjugés </w:t>
      </w:r>
      <w:r w:rsidR="0097054E">
        <w:rPr>
          <w:lang w:val="fr-FR"/>
        </w:rPr>
        <w:t>défavorables</w:t>
      </w:r>
      <w:r w:rsidRPr="00721F59">
        <w:rPr>
          <w:lang w:val="fr-FR"/>
        </w:rPr>
        <w:t xml:space="preserve"> </w:t>
      </w:r>
      <w:r w:rsidR="0097054E">
        <w:rPr>
          <w:lang w:val="fr-FR"/>
        </w:rPr>
        <w:t>dont font l</w:t>
      </w:r>
      <w:r w:rsidR="00E1636B">
        <w:rPr>
          <w:lang w:val="fr-FR"/>
        </w:rPr>
        <w:t>’</w:t>
      </w:r>
      <w:r w:rsidR="0097054E">
        <w:rPr>
          <w:lang w:val="fr-FR"/>
        </w:rPr>
        <w:t xml:space="preserve">objet les </w:t>
      </w:r>
      <w:r w:rsidRPr="00721F59">
        <w:rPr>
          <w:lang w:val="fr-FR"/>
        </w:rPr>
        <w:t xml:space="preserve">non-ressortissants et </w:t>
      </w:r>
      <w:r w:rsidRPr="00A917F5">
        <w:rPr>
          <w:lang w:val="fr-FR"/>
        </w:rPr>
        <w:t>incidences de l</w:t>
      </w:r>
      <w:r w:rsidR="00E1636B">
        <w:rPr>
          <w:lang w:val="fr-FR"/>
        </w:rPr>
        <w:t>’</w:t>
      </w:r>
      <w:r w:rsidRPr="00A917F5">
        <w:rPr>
          <w:lang w:val="fr-FR"/>
        </w:rPr>
        <w:t>hostilité croissante à l</w:t>
      </w:r>
      <w:r w:rsidR="00E1636B">
        <w:rPr>
          <w:lang w:val="fr-FR"/>
        </w:rPr>
        <w:t>’</w:t>
      </w:r>
      <w:r w:rsidRPr="00A917F5">
        <w:rPr>
          <w:lang w:val="fr-FR"/>
        </w:rPr>
        <w:t>égard des immigrés</w:t>
      </w:r>
      <w:r>
        <w:rPr>
          <w:lang w:val="fr-FR"/>
        </w:rPr>
        <w:t xml:space="preserve">; mesures prises contre </w:t>
      </w:r>
      <w:r w:rsidR="0097054E">
        <w:rPr>
          <w:lang w:val="fr-FR"/>
        </w:rPr>
        <w:t>l</w:t>
      </w:r>
      <w:r w:rsidR="00E1636B">
        <w:rPr>
          <w:lang w:val="fr-FR"/>
        </w:rPr>
        <w:t>’</w:t>
      </w:r>
      <w:r w:rsidR="0097054E">
        <w:rPr>
          <w:lang w:val="fr-FR"/>
        </w:rPr>
        <w:t xml:space="preserve">emploi de termes </w:t>
      </w:r>
      <w:r>
        <w:rPr>
          <w:lang w:val="fr-FR"/>
        </w:rPr>
        <w:t>xénophobes, notamment par des personnalités politiques et dans les médias.</w:t>
      </w:r>
    </w:p>
    <w:p w:rsidR="00614952" w:rsidRPr="00780D94" w:rsidRDefault="00614952" w:rsidP="00614952">
      <w:pPr>
        <w:pStyle w:val="H23G"/>
        <w:rPr>
          <w:lang w:val="fr-FR"/>
        </w:rPr>
      </w:pPr>
      <w:r w:rsidRPr="001A7E6D">
        <w:rPr>
          <w:lang w:val="fr-FR"/>
        </w:rPr>
        <w:tab/>
      </w:r>
      <w:r w:rsidRPr="00780D94">
        <w:rPr>
          <w:lang w:val="fr-FR"/>
        </w:rPr>
        <w:t>4.</w:t>
      </w:r>
      <w:r w:rsidRPr="00780D94">
        <w:rPr>
          <w:lang w:val="fr-FR"/>
        </w:rPr>
        <w:tab/>
      </w:r>
      <w:r w:rsidRPr="00A917F5">
        <w:rPr>
          <w:lang w:val="fr-FR"/>
        </w:rPr>
        <w:t>Éducation aux droits de l</w:t>
      </w:r>
      <w:r w:rsidR="00E1636B">
        <w:rPr>
          <w:lang w:val="fr-FR"/>
        </w:rPr>
        <w:t>’</w:t>
      </w:r>
      <w:r w:rsidRPr="00A917F5">
        <w:rPr>
          <w:lang w:val="fr-FR"/>
        </w:rPr>
        <w:t>homme</w:t>
      </w:r>
      <w:r>
        <w:rPr>
          <w:lang w:val="fr-FR"/>
        </w:rPr>
        <w:t xml:space="preserve"> </w:t>
      </w:r>
      <w:r w:rsidRPr="00780D94">
        <w:rPr>
          <w:lang w:val="fr-FR"/>
        </w:rPr>
        <w:t>(</w:t>
      </w:r>
      <w:r w:rsidR="0097054E">
        <w:rPr>
          <w:lang w:val="fr-FR"/>
        </w:rPr>
        <w:t>art. </w:t>
      </w:r>
      <w:r w:rsidRPr="00780D94">
        <w:rPr>
          <w:lang w:val="fr-FR"/>
        </w:rPr>
        <w:t>7)</w:t>
      </w:r>
    </w:p>
    <w:p w:rsidR="00614952" w:rsidRPr="00551FBF" w:rsidRDefault="00614952" w:rsidP="00E1636B">
      <w:pPr>
        <w:pStyle w:val="SingleTxtG"/>
        <w:keepNext/>
        <w:keepLines/>
        <w:ind w:firstLine="567"/>
        <w:rPr>
          <w:lang w:val="fr-FR"/>
        </w:rPr>
      </w:pPr>
      <w:r w:rsidRPr="00780D94">
        <w:rPr>
          <w:lang w:val="fr-FR"/>
        </w:rPr>
        <w:t>a)</w:t>
      </w:r>
      <w:r w:rsidRPr="00780D94">
        <w:rPr>
          <w:lang w:val="fr-FR"/>
        </w:rPr>
        <w:tab/>
      </w:r>
      <w:r w:rsidRPr="00A917F5">
        <w:rPr>
          <w:lang w:val="fr-FR"/>
        </w:rPr>
        <w:t>Renseignements sur l</w:t>
      </w:r>
      <w:r w:rsidR="00E1636B">
        <w:rPr>
          <w:lang w:val="fr-FR"/>
        </w:rPr>
        <w:t>’</w:t>
      </w:r>
      <w:r w:rsidRPr="00A917F5">
        <w:rPr>
          <w:lang w:val="fr-FR"/>
        </w:rPr>
        <w:t>éducation aux droits de l</w:t>
      </w:r>
      <w:r w:rsidR="00E1636B">
        <w:rPr>
          <w:lang w:val="fr-FR"/>
        </w:rPr>
        <w:t>’</w:t>
      </w:r>
      <w:r w:rsidRPr="00A917F5">
        <w:rPr>
          <w:lang w:val="fr-FR"/>
        </w:rPr>
        <w:t>homme destinée au grand public, aux forces de l</w:t>
      </w:r>
      <w:r w:rsidR="00E1636B">
        <w:rPr>
          <w:lang w:val="fr-FR"/>
        </w:rPr>
        <w:t>’</w:t>
      </w:r>
      <w:r w:rsidR="0097054E">
        <w:rPr>
          <w:lang w:val="fr-FR"/>
        </w:rPr>
        <w:t>ordre, aux politiciens</w:t>
      </w:r>
      <w:r w:rsidRPr="00A917F5">
        <w:rPr>
          <w:lang w:val="fr-FR"/>
        </w:rPr>
        <w:t xml:space="preserve">, aux juges et aux </w:t>
      </w:r>
      <w:r w:rsidRPr="00A917F5">
        <w:rPr>
          <w:szCs w:val="24"/>
          <w:lang w:val="fr-FR"/>
        </w:rPr>
        <w:t>procureurs</w:t>
      </w:r>
      <w:r w:rsidRPr="00A917F5">
        <w:rPr>
          <w:lang w:val="fr-FR"/>
        </w:rPr>
        <w:t xml:space="preserve">, </w:t>
      </w:r>
      <w:r w:rsidR="0097054E">
        <w:rPr>
          <w:lang w:val="fr-FR"/>
        </w:rPr>
        <w:t xml:space="preserve">notamment sur </w:t>
      </w:r>
      <w:r w:rsidRPr="00A917F5">
        <w:rPr>
          <w:lang w:val="fr-FR"/>
        </w:rPr>
        <w:t>le principe de la non-discrimination fondée sur la race, l</w:t>
      </w:r>
      <w:r w:rsidR="00E1636B">
        <w:rPr>
          <w:lang w:val="fr-FR"/>
        </w:rPr>
        <w:t>’</w:t>
      </w:r>
      <w:r w:rsidRPr="00A917F5">
        <w:rPr>
          <w:lang w:val="fr-FR"/>
        </w:rPr>
        <w:t xml:space="preserve">origine, la religion, le sexe ou toute autre </w:t>
      </w:r>
      <w:r w:rsidR="0097054E">
        <w:rPr>
          <w:lang w:val="fr-FR"/>
        </w:rPr>
        <w:t xml:space="preserve">considération </w:t>
      </w:r>
      <w:r w:rsidRPr="00551FBF">
        <w:rPr>
          <w:lang w:val="fr-FR"/>
        </w:rPr>
        <w:t>(CERD/C/CYP/17-22, par</w:t>
      </w:r>
      <w:r w:rsidR="0097054E">
        <w:rPr>
          <w:lang w:val="fr-FR"/>
        </w:rPr>
        <w:t>. </w:t>
      </w:r>
      <w:r>
        <w:rPr>
          <w:lang w:val="fr-FR"/>
        </w:rPr>
        <w:t xml:space="preserve">38 à </w:t>
      </w:r>
      <w:r w:rsidR="0097054E">
        <w:rPr>
          <w:lang w:val="fr-FR"/>
        </w:rPr>
        <w:t>41);</w:t>
      </w:r>
    </w:p>
    <w:p w:rsidR="00614952" w:rsidRDefault="00614952" w:rsidP="00614952">
      <w:pPr>
        <w:pStyle w:val="SingleTxtG"/>
        <w:keepNext/>
        <w:keepLines/>
        <w:ind w:firstLine="567"/>
        <w:rPr>
          <w:lang w:val="fr-FR"/>
        </w:rPr>
      </w:pPr>
      <w:r w:rsidRPr="00551FBF">
        <w:rPr>
          <w:lang w:val="fr-FR"/>
        </w:rPr>
        <w:t>b)</w:t>
      </w:r>
      <w:r w:rsidRPr="00551FBF">
        <w:rPr>
          <w:lang w:val="fr-FR"/>
        </w:rPr>
        <w:tab/>
        <w:t>Droits de l</w:t>
      </w:r>
      <w:r w:rsidR="00E1636B">
        <w:rPr>
          <w:lang w:val="fr-FR"/>
        </w:rPr>
        <w:t>’</w:t>
      </w:r>
      <w:r w:rsidRPr="00551FBF">
        <w:rPr>
          <w:lang w:val="fr-FR"/>
        </w:rPr>
        <w:t xml:space="preserve">homme et </w:t>
      </w:r>
      <w:r w:rsidRPr="00A917F5">
        <w:rPr>
          <w:lang w:val="fr-FR"/>
        </w:rPr>
        <w:t>éducation interculturelle</w:t>
      </w:r>
      <w:r>
        <w:rPr>
          <w:lang w:val="fr-FR"/>
        </w:rPr>
        <w:t xml:space="preserve"> dans les programmes scolaires </w:t>
      </w:r>
      <w:r w:rsidRPr="00A00189">
        <w:rPr>
          <w:lang w:val="fr-FR"/>
        </w:rPr>
        <w:t>(CERD/C/CYP/17-22, par</w:t>
      </w:r>
      <w:r w:rsidR="00E1636B">
        <w:rPr>
          <w:lang w:val="fr-FR"/>
        </w:rPr>
        <w:t>. </w:t>
      </w:r>
      <w:r w:rsidRPr="00A00189">
        <w:rPr>
          <w:lang w:val="fr-FR"/>
        </w:rPr>
        <w:t>40</w:t>
      </w:r>
      <w:r>
        <w:rPr>
          <w:lang w:val="fr-FR"/>
        </w:rPr>
        <w:t xml:space="preserve"> et</w:t>
      </w:r>
      <w:r w:rsidRPr="00A00189">
        <w:rPr>
          <w:lang w:val="fr-FR"/>
        </w:rPr>
        <w:t xml:space="preserve"> 128).</w:t>
      </w:r>
    </w:p>
    <w:p w:rsidR="00614952" w:rsidRPr="00614952" w:rsidRDefault="00614952" w:rsidP="0061495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14952" w:rsidRPr="00614952" w:rsidSect="006149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6F" w:rsidRDefault="000E3F6F"/>
  </w:endnote>
  <w:endnote w:type="continuationSeparator" w:id="0">
    <w:p w:rsidR="000E3F6F" w:rsidRDefault="000E3F6F"/>
  </w:endnote>
  <w:endnote w:type="continuationNotice" w:id="1">
    <w:p w:rsidR="000E3F6F" w:rsidRPr="00201F68" w:rsidRDefault="000E3F6F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52" w:rsidRPr="00614952" w:rsidRDefault="00614952" w:rsidP="00614952">
    <w:pPr>
      <w:pStyle w:val="Footer"/>
      <w:tabs>
        <w:tab w:val="right" w:pos="9638"/>
      </w:tabs>
    </w:pPr>
    <w:r w:rsidRPr="00614952">
      <w:rPr>
        <w:b/>
        <w:sz w:val="18"/>
      </w:rPr>
      <w:fldChar w:fldCharType="begin"/>
    </w:r>
    <w:r w:rsidRPr="00614952">
      <w:rPr>
        <w:b/>
        <w:sz w:val="18"/>
      </w:rPr>
      <w:instrText xml:space="preserve"> PAGE  \* MERGEFORMAT </w:instrText>
    </w:r>
    <w:r w:rsidRPr="00614952">
      <w:rPr>
        <w:b/>
        <w:sz w:val="18"/>
      </w:rPr>
      <w:fldChar w:fldCharType="separate"/>
    </w:r>
    <w:r w:rsidR="00453065">
      <w:rPr>
        <w:b/>
        <w:noProof/>
        <w:sz w:val="18"/>
      </w:rPr>
      <w:t>2</w:t>
    </w:r>
    <w:r w:rsidRPr="00614952">
      <w:rPr>
        <w:b/>
        <w:sz w:val="18"/>
      </w:rPr>
      <w:fldChar w:fldCharType="end"/>
    </w:r>
    <w:r>
      <w:rPr>
        <w:b/>
        <w:sz w:val="18"/>
      </w:rPr>
      <w:tab/>
    </w:r>
    <w:r>
      <w:t>GE.13-44993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52" w:rsidRPr="00614952" w:rsidRDefault="00614952" w:rsidP="00614952">
    <w:pPr>
      <w:pStyle w:val="Footer"/>
      <w:tabs>
        <w:tab w:val="right" w:pos="9638"/>
      </w:tabs>
      <w:rPr>
        <w:b/>
        <w:sz w:val="18"/>
      </w:rPr>
    </w:pPr>
    <w:r>
      <w:t>GE.13-44993</w:t>
    </w:r>
    <w:r>
      <w:tab/>
    </w:r>
    <w:r w:rsidRPr="00614952">
      <w:rPr>
        <w:b/>
        <w:sz w:val="18"/>
      </w:rPr>
      <w:fldChar w:fldCharType="begin"/>
    </w:r>
    <w:r w:rsidRPr="00614952">
      <w:rPr>
        <w:b/>
        <w:sz w:val="18"/>
      </w:rPr>
      <w:instrText xml:space="preserve"> PAGE  \* MERGEFORMAT </w:instrText>
    </w:r>
    <w:r w:rsidRPr="00614952">
      <w:rPr>
        <w:b/>
        <w:sz w:val="18"/>
      </w:rPr>
      <w:fldChar w:fldCharType="separate"/>
    </w:r>
    <w:r w:rsidR="00453065">
      <w:rPr>
        <w:b/>
        <w:noProof/>
        <w:sz w:val="18"/>
      </w:rPr>
      <w:t>3</w:t>
    </w:r>
    <w:r w:rsidRPr="0061495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6F" w:rsidRDefault="00614952">
    <w:pPr>
      <w:pStyle w:val="Footer"/>
    </w:pPr>
    <w:r>
      <w:rPr>
        <w:sz w:val="20"/>
      </w:rPr>
      <w:t>GE.13-44993</w:t>
    </w:r>
    <w:r w:rsidR="000E3F6F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260713    260713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6F" w:rsidRPr="00D27D5E" w:rsidRDefault="000E3F6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3F6F" w:rsidRPr="00AA7FE7" w:rsidRDefault="000E3F6F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0E3F6F" w:rsidRPr="00201F68" w:rsidRDefault="000E3F6F" w:rsidP="00201F68">
      <w:pPr>
        <w:spacing w:line="240" w:lineRule="auto"/>
        <w:rPr>
          <w:sz w:val="2"/>
          <w:szCs w:val="2"/>
        </w:rPr>
      </w:pPr>
    </w:p>
  </w:footnote>
  <w:footnote w:id="2">
    <w:p w:rsidR="00614952" w:rsidRPr="00614952" w:rsidRDefault="00614952">
      <w:pPr>
        <w:pStyle w:val="FootnoteText"/>
      </w:pPr>
      <w:r>
        <w:tab/>
      </w:r>
      <w:r w:rsidRPr="0061495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614952">
        <w:rPr>
          <w:szCs w:val="18"/>
          <w:lang w:val="en-GB"/>
        </w:rPr>
        <w:t>Soumission tardive.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52" w:rsidRPr="00614952" w:rsidRDefault="00614952">
    <w:pPr>
      <w:pStyle w:val="Header"/>
    </w:pPr>
    <w:r>
      <w:t>CERD/C/CYP/Q/17-22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52" w:rsidRPr="00614952" w:rsidRDefault="00614952" w:rsidP="00614952">
    <w:pPr>
      <w:pStyle w:val="Header"/>
      <w:jc w:val="right"/>
    </w:pPr>
    <w:r>
      <w:t>CERD/C/CYP/Q/17-22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6F"/>
    <w:rsid w:val="00016AC5"/>
    <w:rsid w:val="00054609"/>
    <w:rsid w:val="000A6F55"/>
    <w:rsid w:val="000E3F6F"/>
    <w:rsid w:val="000E7579"/>
    <w:rsid w:val="000F41F2"/>
    <w:rsid w:val="00106138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74E13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4159D0"/>
    <w:rsid w:val="00453065"/>
    <w:rsid w:val="00472145"/>
    <w:rsid w:val="00540389"/>
    <w:rsid w:val="00543D5E"/>
    <w:rsid w:val="00571F41"/>
    <w:rsid w:val="00593658"/>
    <w:rsid w:val="005E5D1F"/>
    <w:rsid w:val="006034FC"/>
    <w:rsid w:val="00611D43"/>
    <w:rsid w:val="00612D48"/>
    <w:rsid w:val="00614952"/>
    <w:rsid w:val="00616B45"/>
    <w:rsid w:val="00630D9B"/>
    <w:rsid w:val="00631953"/>
    <w:rsid w:val="006439EC"/>
    <w:rsid w:val="0065167E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1553B"/>
    <w:rsid w:val="00844750"/>
    <w:rsid w:val="008B44C4"/>
    <w:rsid w:val="008D2259"/>
    <w:rsid w:val="008E7FAE"/>
    <w:rsid w:val="00911BF7"/>
    <w:rsid w:val="0097054E"/>
    <w:rsid w:val="00977EC8"/>
    <w:rsid w:val="009C17F5"/>
    <w:rsid w:val="009D3A8C"/>
    <w:rsid w:val="009D6F78"/>
    <w:rsid w:val="009E7956"/>
    <w:rsid w:val="00A2492E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F0556"/>
    <w:rsid w:val="00C03431"/>
    <w:rsid w:val="00C261F8"/>
    <w:rsid w:val="00C33100"/>
    <w:rsid w:val="00C654D3"/>
    <w:rsid w:val="00CD1A71"/>
    <w:rsid w:val="00CD1FBB"/>
    <w:rsid w:val="00D016B5"/>
    <w:rsid w:val="00D034F1"/>
    <w:rsid w:val="00D27D5E"/>
    <w:rsid w:val="00D37345"/>
    <w:rsid w:val="00DC156C"/>
    <w:rsid w:val="00DE2E3E"/>
    <w:rsid w:val="00DE6D90"/>
    <w:rsid w:val="00DF002F"/>
    <w:rsid w:val="00E0244D"/>
    <w:rsid w:val="00E1636B"/>
    <w:rsid w:val="00E1753A"/>
    <w:rsid w:val="00E42D5E"/>
    <w:rsid w:val="00E81E94"/>
    <w:rsid w:val="00E82607"/>
    <w:rsid w:val="00EC5A42"/>
    <w:rsid w:val="00F63BC6"/>
    <w:rsid w:val="00F746F6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paragraph" w:customStyle="1" w:styleId="ParNoG">
    <w:name w:val="_ParNo_G"/>
    <w:basedOn w:val="SingleTxtG"/>
    <w:rsid w:val="009D6F78"/>
    <w:pPr>
      <w:numPr>
        <w:numId w:val="3"/>
      </w:numPr>
    </w:pPr>
  </w:style>
  <w:style w:type="table" w:styleId="TableGrid">
    <w:name w:val="Table Grid"/>
    <w:basedOn w:val="TableNormal"/>
    <w:semiHidden/>
    <w:rsid w:val="0061495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</Pages>
  <Words>687</Words>
  <Characters>3918</Characters>
  <Application>Microsoft Office Outlook</Application>
  <DocSecurity>4</DocSecurity>
  <Lines>81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CERD/C/CYP/Q/17-22</vt:lpstr>
    </vt:vector>
  </TitlesOfParts>
  <Company>CSD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CERD/C/CYP/Q/17-22</dc:title>
  <dc:subject>FINAL</dc:subject>
  <dc:creator>Dariche</dc:creator>
  <cp:keywords/>
  <dc:description/>
  <cp:lastModifiedBy>Dariche</cp:lastModifiedBy>
  <cp:revision>2</cp:revision>
  <cp:lastPrinted>2013-07-26T10:21:00Z</cp:lastPrinted>
  <dcterms:created xsi:type="dcterms:W3CDTF">2013-07-26T12:05:00Z</dcterms:created>
  <dcterms:modified xsi:type="dcterms:W3CDTF">2013-07-26T12:05:00Z</dcterms:modified>
</cp:coreProperties>
</file>