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13.65pt;width:198pt;height:18pt;z-index:1;mso-position-horizontal-relative:page" stroked="f">
            <v:textbox style="mso-next-textbox:#_x0000_s1028" inset="0,0,0,0">
              <w:txbxContent>
                <w:p w:rsidR="00000000" w:rsidRDefault="00000000"/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5199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  <w:lang w:val="en-GB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CERD/C/BRB/CO/16</w:t>
            </w:r>
            <w:r>
              <w:rPr>
                <w:rStyle w:val="FootnoteReference"/>
                <w:lang w:val="en-US"/>
              </w:rPr>
              <w:footnoteReference w:customMarkFollows="1" w:id="1"/>
              <w:sym w:font="Symbol" w:char="F02A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 November 2005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40" w:lineRule="auto"/>
        <w:rPr>
          <w:lang w:val="en-US"/>
        </w:rPr>
      </w:pPr>
    </w:p>
    <w:p w:rsidR="00000000" w:rsidRDefault="00000000">
      <w:pPr>
        <w:spacing w:line="240" w:lineRule="auto"/>
      </w:pPr>
      <w:r>
        <w:t>КОМИТЕТ ПО ЛИКВИДАЦИИ РАСОВОЙ ДИСКРИМИНАЦИИ</w:t>
      </w:r>
    </w:p>
    <w:p w:rsidR="00000000" w:rsidRDefault="00000000">
      <w:pPr>
        <w:spacing w:line="240" w:lineRule="auto"/>
      </w:pPr>
      <w:r>
        <w:t xml:space="preserve">Шестьдесят </w:t>
      </w:r>
      <w:r>
        <w:rPr>
          <w:szCs w:val="24"/>
        </w:rPr>
        <w:t xml:space="preserve">седьмая </w:t>
      </w:r>
      <w:r>
        <w:t>сессия</w:t>
      </w:r>
    </w:p>
    <w:p w:rsidR="00000000" w:rsidRDefault="00000000">
      <w:r>
        <w:t>2-19 августа 2005 года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rPr>
          <w:lang w:val="en-GB"/>
        </w:rPr>
      </w:pPr>
    </w:p>
    <w:p w:rsidR="00000000" w:rsidRDefault="00000000">
      <w:pPr>
        <w:jc w:val="center"/>
      </w:pPr>
      <w: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расовой дискриминации</w:t>
      </w:r>
    </w:p>
    <w:p w:rsidR="00000000" w:rsidRDefault="00000000">
      <w:pPr>
        <w:rPr>
          <w:lang w:val="en-GB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БАРБАДОС</w:t>
      </w:r>
    </w:p>
    <w:p w:rsidR="00000000" w:rsidRDefault="00000000">
      <w:pPr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рассмотрел восьмой-шестнадцатый периодические доклады Барбадоса, представленные в одном документе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/452/</w:t>
      </w:r>
      <w:r>
        <w:rPr>
          <w:lang w:val="en-US"/>
        </w:rPr>
        <w:t>Add</w:t>
      </w:r>
      <w:r>
        <w:t>.5), на своих 1709-м и 1710</w:t>
      </w:r>
      <w:r>
        <w:noBreakHyphen/>
        <w:t>м заседаниях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 xml:space="preserve">.1709 и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.1709), состоявшихся 5 и 8 августа 2005 года.  На своем 1727-м 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.1727), состоявшемся 18 августа 2005 года, он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Введение</w:t>
      </w:r>
    </w:p>
    <w:p w:rsidR="00000000" w:rsidRDefault="00000000">
      <w:pPr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rPr>
          <w:noProof/>
          <w:sz w:val="20"/>
          <w:lang w:val="en-US"/>
        </w:rPr>
        <w:pict>
          <v:shape id="_x0000_s1029" type="#_x0000_t202" style="position:absolute;left:0;text-align:left;margin-left:-9pt;margin-top:159.3pt;width:90pt;height:27pt;z-index:2" stroked="f">
            <v:textbox>
              <w:txbxContent>
                <w:p w:rsidR="00000000" w:rsidRDefault="00000000">
                  <w:pPr>
                    <w:rPr>
                      <w:lang w:val="fr-CH"/>
                    </w:rPr>
                  </w:pPr>
                  <w:r>
                    <w:rPr>
                      <w:szCs w:val="24"/>
                    </w:rPr>
                    <w:t>GE.07-4099</w:t>
                  </w:r>
                  <w:r>
                    <w:rPr>
                      <w:szCs w:val="24"/>
                      <w:lang w:val="fr-CH"/>
                    </w:rPr>
                    <w:t>8</w:t>
                  </w:r>
                </w:p>
              </w:txbxContent>
            </v:textbox>
          </v:shape>
        </w:pict>
      </w:r>
      <w:r>
        <w:t>Комитет приветствует доклад государства-участника, который полностью соответствует руководящим принципам подготовки докладов, и выражает свое удовлетворение в связи с возобновлением диалога с государством-участником.  Он также приветствует дополнительную информацию, представленную государством-участником в письменном виде, а также устно.  Доклад и устное выступление позволили Комитету провести с государством-участником плодотворное обсуждение социально-исторического контекста расовых проблем в Барбадосе.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Отмечая, что доклад был представлен с более чем 12-летним опозданием, Комитет призывает государство-участник соблюдать рекомендованный им график представления его будущих докладов.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Позитивные аспекты</w:t>
      </w:r>
    </w:p>
    <w:p w:rsidR="00000000" w:rsidRDefault="00000000">
      <w:pPr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с удовлетворением отмечает создание Комитета по национальному примирению, в задачу которого входит разработка, координация и реализация программы национального примирения.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с удовлетворением отмечает представленную государством-участником актуальную статистическую информацию о составе населения страны.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приветствует проект национального плана по вопросам справедливости, мира и безопасности как важный шаг на пути предоставления жертвам насильственных преступлений права требовать компенсацию.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приветствует организацию Региональным управлением по подготовке кадров для полиции ряда учебных программ по вопросам поощрения и защиты прав человека в сфере расовой дискриминации.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также с удовлетворением отмечает экспериментальную учебную программу, включающую в себя изучение африканского наследия, воспитание гражданственности, изучение основ семейной жизни и преподавание иностранных языков в ряде начальных и средних школ.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также с удовлетворением отмечает высокое место, которое страна занимает в подготовленном ПРООН Докладе о развитии человеческого потенциала.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Проблемы, вызывающие озабоченность, и рекомендации</w:t>
      </w:r>
    </w:p>
    <w:p w:rsidR="00000000" w:rsidRDefault="00000000">
      <w:pPr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Приветствуя рекомендацию Комиссии по конституционному пересмотру о включении гендерного признака в Конституцию в качестве запрещенного основания дискриминации и создание Конституционного комитета, который приступил к переработке Конституции с целью включения в нее, в частности, такого определения расовой дискриминации, которое обеспечивало бы защиту отдельных лиц от дискриминационных действий со стороны частных лиц и субъектов, Комитет обеспокоен по поводу отсутствия во внутреннем законодательстве такого юридического определения расовой дискриминации, которое соответствовало бы статье 1 Конвенции.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принять определение расовой дискриминации, включающее в себя элементы, которые содержатся в статье 1 Конвенции.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Принимая к сведению учреждение института Омбудсмена, Комитет сожалеет по поводу отсутствия национального органа по правам человека, который был бы создан в соответствии с Принципами, касающимися статуса национальных учреждений, занимающихся поощрением и защитой прав человека (Парижские принципы) (резолюция 48/134 Генеральной Ассамблеи, приложение).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рассмотреть вопрос о создании национального учреждения по правам человека в соответствии с Парижскими принципами.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обеспокоен по поводу отсутствия в государстве-участнике общественных движений, которые поощряли бы объединяющие многорасовые ценности, а также по поводу того, что доклад не был предметом более широкого обсуждения в гражданском обществе до его представления.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В свете статьи 2 e) Конвенции Комитет просит государство-участник создать благоприятные условия для деятельности объединяющих многорасовых организаций и призывает государство-участник поддерживать диалог с организациями гражданского общества.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выражает озабоченность по поводу упомянутого в докладе "невидимого крипторасизма", являющегося результатом разделения черной и белой общин и коренящегося в социальных отношениях на межличностном уровне.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напоминает государству-участнику о своей рекомендации общего порядка </w:t>
      </w:r>
      <w:r>
        <w:rPr>
          <w:b/>
          <w:bCs/>
          <w:lang w:val="en-US"/>
        </w:rPr>
        <w:t>XIX</w:t>
      </w:r>
      <w:r>
        <w:rPr>
          <w:b/>
          <w:bCs/>
        </w:rPr>
        <w:t>, согласно которой фактическая расовая сегрегация может возникать без какой-либо инициативы или прямого участия властей.  Поэтому Комитет призывает государство-участник отслеживать все тенденции, которые могут порождать такую сегрегацию, принимать меры для ликвидации любых негативных последствий этого явления и представить информацию о принятых мерах в своем следующем периодическом докладе.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с озабоченностью отмечает, что в силу своего общего характера пункт 1 оговорки государства-участника затрагивает применение ряда положений Конвенции, в частности статей 2, 4, 5 и 6.  Кроме того, пункт 2 оговорки ограничивает толкование ключевого положения для эффективного применения Конвенции, а именно статьи 4.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изучить возможность снятия своей оговорки и принятия законодательства для обеспечения полного соблюдения статьи 4 Конвенции, а также для предоставления эффективных мер правовой защиты в соответствии со статьей 6.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выражает озабоченность в связи с отсутствием каких-либо жалоб на расовую дискриминацию в Высоком суде с 1994 года и по поводу того, что в Совет по рассмотрению жалоб на действия полиции вообще не было подано ни одной жалобы.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рассмотреть вопрос о том, не является ли отсутствие официальных жалоб результатом незнания потерпевшими своих прав, отсутствия доверия к полиции и судебным властям или недостаточного внимания, чувствительности или интереса к случаям расовой дискриминации.  Комитет просит государство-участник включить в свой следующий периодический доклад статистическую информацию о поданных жалобах, возбужденных делах и результатах рассмотрения дел, связанных с расовой или этнической дискриминацией, со ссылкой на конкретные примеры.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Принимая к сведению замечание государства-участника о том, что образование в Барбадосе является "социальной гарантией", Комитет выражает озабоченность по поводу того, что во внутреннем законодательстве не обеспечивается адекватная защита права на образование, а также других экономических и социальных прав.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обеспечить равное осуществление экономических и социальных прав, включая право на образование, предусмотренное в статье 5 e) Конвенции.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>Комитет выражает озабоченность по поводу закрытия Центра многоэтнических исследований в барбадосском Вестиндском университете, который занимался проведением научных исследований по расовым и этническим вопросам в Карибском бассейне.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призывает государство-участник рассмотреть вопрос о повторном открытии Центра.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numPr>
          <w:ilvl w:val="0"/>
          <w:numId w:val="3"/>
        </w:numPr>
      </w:pPr>
      <w:r>
        <w:t xml:space="preserve">Комитет просит государство-участник дополнительно прояснить ситуацию, касающуюся положения американских индейцев в Барбадосе.  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отмечает, что государство-участник не сделало факультативного заявления, предусмотренного статьей 14 Конвенции, и призывает государство-участник рассмотреть вопрос о том, чтобы сделать такое заявление.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рекомендует государству-участнику по</w:t>
      </w:r>
      <w:r>
        <w:noBreakHyphen/>
        <w:t>прежнему учитывать соответствующие разделы Дурбанской декларации и Программы действий при осуществлении Конвенции во внутреннем праве, в частности в связи со статьями 2-7 Конвенции, и включить в свой следующий периодический доклад информацию о дальнейших планах действий и других мерах, принятых в порядке осуществления Дурбанской декларации и Программы действий на национальном уровне.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 xml:space="preserve">Комитет настоятельно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- участников Конвенции и одобренные Генеральной Ассамблеей в ее резолюции 47/111.  В этой связи Комитет ссылается на резолюцию 59/176 Генеральной Ассамблеи от 20 декабря 2004 года, в которой Ассамблея настоятельно призвала государства-участники ускорить их национальные процедуры ратификации поправки и оперативно уведомить Генерального секретаря в письменной форме о своем согласии с поправкой. 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настоятельно рекомендует государству-участнику ратифицировать Международную конвенцию о защите прав всех трудящихся-мигрантов и членов их семей и Конвенцию о статусе беженцев.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рекомендует государству-участнику предоставлять общественности широкий доступ к его докладам с момента их представления и обеспечивать такое же распространение замечаний Комитета по этим докладам.  Он также рекомендует принять эффективные меры, включая проведение кампаний общественной информации, для пропаганды положений Конвенции.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В соответствии с пунктом 1 статьи 9 Конвенции и статьей 65 правил процедуры Комитета с внесенными в них изменениями Комитет просит государство-участник проинформировать его об осуществлении рекомендаций, содержащихся в пунктах 10 и 14 выше, в течение одного года с момента принятия настоящих замечаний.</w:t>
      </w:r>
    </w:p>
    <w:p w:rsidR="00000000" w:rsidRDefault="00000000"/>
    <w:p w:rsidR="00000000" w:rsidRDefault="00000000">
      <w:pPr>
        <w:numPr>
          <w:ilvl w:val="0"/>
          <w:numId w:val="3"/>
        </w:numPr>
      </w:pPr>
      <w:r>
        <w:t>Комитет рекомендует государству-участнику представить свой семнадцатый периодический доклад вместе с восемнадцатым периодическим докладом 8 декабря 2007 года и рассмотреть в нем все вопросы, поднятые в настоящих заключительных замечаниях.</w:t>
      </w:r>
    </w:p>
    <w:p w:rsidR="00000000" w:rsidRDefault="00000000">
      <w:pPr>
        <w:jc w:val="center"/>
        <w:rPr>
          <w:lang w:val="en-GB"/>
        </w:rPr>
      </w:pPr>
      <w:r>
        <w:t>------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  <w:footnote w:id="1"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rStyle w:val="FootnoteReference"/>
        </w:rPr>
        <w:sym w:font="Symbol" w:char="F02A"/>
      </w:r>
      <w:r>
        <w:t xml:space="preserve"> </w:t>
      </w:r>
      <w:r>
        <w:rPr>
          <w:lang w:val="en-GB"/>
        </w:rPr>
        <w:tab/>
      </w:r>
      <w:r>
        <w:rPr>
          <w:rFonts w:eastAsia="SimSun"/>
          <w:color w:val="000000"/>
          <w:lang w:eastAsia="zh-CN"/>
        </w:rPr>
        <w:t>Переиздано по техническим причинам</w:t>
      </w:r>
      <w:r>
        <w:t xml:space="preserve"> </w:t>
      </w:r>
    </w:p>
    <w:p w:rsidR="00000000" w:rsidRDefault="00000000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spacing w:line="216" w:lineRule="auto"/>
      <w:rPr>
        <w:lang w:val="en-US"/>
      </w:rPr>
    </w:pPr>
  </w:p>
  <w:p w:rsidR="00000000" w:rsidRDefault="00000000">
    <w:pPr>
      <w:spacing w:line="216" w:lineRule="auto"/>
      <w:rPr>
        <w:lang w:val="en-US"/>
      </w:rPr>
    </w:pPr>
    <w:r>
      <w:rPr>
        <w:lang w:val="en-US"/>
      </w:rPr>
      <w:t>CERD/C/BRB/CO/16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lang w:val="en-US"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spacing w:line="216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spacing w:line="216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CERD/C/BRB/CO/16</w:t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6038"/>
    <w:multiLevelType w:val="hybridMultilevel"/>
    <w:tmpl w:val="E6943E44"/>
    <w:lvl w:ilvl="0" w:tplc="D1FC4A5A">
      <w:start w:val="2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D1CC2"/>
    <w:multiLevelType w:val="hybridMultilevel"/>
    <w:tmpl w:val="09042492"/>
    <w:lvl w:ilvl="0" w:tplc="F6D4E650">
      <w:start w:val="20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D1B44"/>
    <w:multiLevelType w:val="multilevel"/>
    <w:tmpl w:val="07CEC6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5E2C"/>
    <w:multiLevelType w:val="hybridMultilevel"/>
    <w:tmpl w:val="851AD9F2"/>
    <w:lvl w:ilvl="0" w:tplc="6E4A9924">
      <w:start w:val="2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03E2D"/>
    <w:multiLevelType w:val="hybridMultilevel"/>
    <w:tmpl w:val="9A80A4E0"/>
    <w:lvl w:ilvl="0" w:tplc="26EEFEB2">
      <w:start w:val="20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B0C620B"/>
    <w:multiLevelType w:val="hybridMultilevel"/>
    <w:tmpl w:val="921CBE12"/>
    <w:lvl w:ilvl="0" w:tplc="E6C486A2">
      <w:start w:val="22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5032E"/>
    <w:multiLevelType w:val="multilevel"/>
    <w:tmpl w:val="6D04B07A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91FF6"/>
    <w:multiLevelType w:val="hybridMultilevel"/>
    <w:tmpl w:val="4200832E"/>
    <w:lvl w:ilvl="0" w:tplc="F31AEB62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8141C"/>
    <w:multiLevelType w:val="hybridMultilevel"/>
    <w:tmpl w:val="E8127F8E"/>
    <w:lvl w:ilvl="0" w:tplc="9D4E5596">
      <w:start w:val="22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868A0"/>
    <w:multiLevelType w:val="hybridMultilevel"/>
    <w:tmpl w:val="F0D81D58"/>
    <w:lvl w:ilvl="0" w:tplc="FC38A240">
      <w:start w:val="22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04B56"/>
    <w:multiLevelType w:val="hybridMultilevel"/>
    <w:tmpl w:val="00A29902"/>
    <w:lvl w:ilvl="0" w:tplc="20A260B2">
      <w:start w:val="21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623FB"/>
    <w:multiLevelType w:val="hybridMultilevel"/>
    <w:tmpl w:val="90C670E2"/>
    <w:lvl w:ilvl="0" w:tplc="529CBA32">
      <w:start w:val="2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A6E3B"/>
    <w:multiLevelType w:val="hybridMultilevel"/>
    <w:tmpl w:val="1298B5D6"/>
    <w:lvl w:ilvl="0" w:tplc="5D329B8E">
      <w:start w:val="20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617BE"/>
    <w:multiLevelType w:val="hybridMultilevel"/>
    <w:tmpl w:val="5A721F5C"/>
    <w:lvl w:ilvl="0" w:tplc="FC8403B4">
      <w:start w:val="2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40C6"/>
    <w:multiLevelType w:val="hybridMultilevel"/>
    <w:tmpl w:val="0054CEAE"/>
    <w:lvl w:ilvl="0" w:tplc="72AE0E2C">
      <w:start w:val="21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73D08"/>
    <w:multiLevelType w:val="hybridMultilevel"/>
    <w:tmpl w:val="557A83C6"/>
    <w:lvl w:ilvl="0" w:tplc="58C4DF0C">
      <w:start w:val="20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30CEE"/>
    <w:multiLevelType w:val="hybridMultilevel"/>
    <w:tmpl w:val="7D28D514"/>
    <w:lvl w:ilvl="0" w:tplc="B5A069C8">
      <w:start w:val="2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053E2"/>
    <w:multiLevelType w:val="multilevel"/>
    <w:tmpl w:val="D0B6667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B417D"/>
    <w:multiLevelType w:val="hybridMultilevel"/>
    <w:tmpl w:val="1FC8BF6E"/>
    <w:lvl w:ilvl="0" w:tplc="1ABCE2AA">
      <w:start w:val="20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E2EF5"/>
    <w:multiLevelType w:val="multilevel"/>
    <w:tmpl w:val="42564722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377A6E"/>
    <w:multiLevelType w:val="multilevel"/>
    <w:tmpl w:val="7B2CCF2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B761E"/>
    <w:multiLevelType w:val="hybridMultilevel"/>
    <w:tmpl w:val="C0144248"/>
    <w:lvl w:ilvl="0" w:tplc="91004CF4">
      <w:start w:val="22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F5D74"/>
    <w:multiLevelType w:val="hybridMultilevel"/>
    <w:tmpl w:val="4B464B94"/>
    <w:lvl w:ilvl="0" w:tplc="82A6BBB2">
      <w:start w:val="21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03F48"/>
    <w:multiLevelType w:val="hybridMultilevel"/>
    <w:tmpl w:val="361E8E9C"/>
    <w:lvl w:ilvl="0" w:tplc="756AC752">
      <w:start w:val="22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F0156"/>
    <w:multiLevelType w:val="hybridMultilevel"/>
    <w:tmpl w:val="593A8AA8"/>
    <w:lvl w:ilvl="0" w:tplc="B7AAA034">
      <w:start w:val="20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A412C"/>
    <w:multiLevelType w:val="hybridMultilevel"/>
    <w:tmpl w:val="1054D6A0"/>
    <w:lvl w:ilvl="0" w:tplc="F214A192">
      <w:start w:val="22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3563A8"/>
    <w:multiLevelType w:val="multilevel"/>
    <w:tmpl w:val="2EB64D98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7433B"/>
    <w:multiLevelType w:val="hybridMultilevel"/>
    <w:tmpl w:val="AF6A007C"/>
    <w:lvl w:ilvl="0" w:tplc="40A8E3EE">
      <w:start w:val="22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B5093"/>
    <w:multiLevelType w:val="hybridMultilevel"/>
    <w:tmpl w:val="2DDEF13A"/>
    <w:lvl w:ilvl="0" w:tplc="0AF84352">
      <w:start w:val="2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73E8E"/>
    <w:multiLevelType w:val="hybridMultilevel"/>
    <w:tmpl w:val="091E2046"/>
    <w:lvl w:ilvl="0" w:tplc="61E4EB8C">
      <w:start w:val="22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26462"/>
    <w:multiLevelType w:val="hybridMultilevel"/>
    <w:tmpl w:val="1250F028"/>
    <w:lvl w:ilvl="0" w:tplc="D2408782">
      <w:start w:val="2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141A1"/>
    <w:multiLevelType w:val="multilevel"/>
    <w:tmpl w:val="7FB842B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47989"/>
    <w:multiLevelType w:val="hybridMultilevel"/>
    <w:tmpl w:val="F064DED2"/>
    <w:lvl w:ilvl="0" w:tplc="897A91E8">
      <w:start w:val="22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7"/>
  </w:num>
  <w:num w:numId="5">
    <w:abstractNumId w:val="5"/>
  </w:num>
  <w:num w:numId="6">
    <w:abstractNumId w:val="26"/>
  </w:num>
  <w:num w:numId="7">
    <w:abstractNumId w:val="14"/>
  </w:num>
  <w:num w:numId="8">
    <w:abstractNumId w:val="20"/>
  </w:num>
  <w:num w:numId="9">
    <w:abstractNumId w:val="2"/>
  </w:num>
  <w:num w:numId="10">
    <w:abstractNumId w:val="30"/>
  </w:num>
  <w:num w:numId="11">
    <w:abstractNumId w:val="12"/>
  </w:num>
  <w:num w:numId="12">
    <w:abstractNumId w:val="24"/>
  </w:num>
  <w:num w:numId="13">
    <w:abstractNumId w:val="13"/>
  </w:num>
  <w:num w:numId="14">
    <w:abstractNumId w:val="1"/>
  </w:num>
  <w:num w:numId="15">
    <w:abstractNumId w:val="18"/>
  </w:num>
  <w:num w:numId="16">
    <w:abstractNumId w:val="32"/>
  </w:num>
  <w:num w:numId="17">
    <w:abstractNumId w:val="4"/>
  </w:num>
  <w:num w:numId="18">
    <w:abstractNumId w:val="15"/>
  </w:num>
  <w:num w:numId="19">
    <w:abstractNumId w:val="16"/>
  </w:num>
  <w:num w:numId="20">
    <w:abstractNumId w:val="11"/>
  </w:num>
  <w:num w:numId="21">
    <w:abstractNumId w:val="29"/>
  </w:num>
  <w:num w:numId="22">
    <w:abstractNumId w:val="25"/>
  </w:num>
  <w:num w:numId="23">
    <w:abstractNumId w:val="23"/>
  </w:num>
  <w:num w:numId="24">
    <w:abstractNumId w:val="10"/>
  </w:num>
  <w:num w:numId="25">
    <w:abstractNumId w:val="34"/>
  </w:num>
  <w:num w:numId="26">
    <w:abstractNumId w:val="27"/>
  </w:num>
  <w:num w:numId="27">
    <w:abstractNumId w:val="31"/>
  </w:num>
  <w:num w:numId="28">
    <w:abstractNumId w:val="7"/>
  </w:num>
  <w:num w:numId="29">
    <w:abstractNumId w:val="22"/>
  </w:num>
  <w:num w:numId="30">
    <w:abstractNumId w:val="28"/>
  </w:num>
  <w:num w:numId="31">
    <w:abstractNumId w:val="19"/>
  </w:num>
  <w:num w:numId="32">
    <w:abstractNumId w:val="33"/>
  </w:num>
  <w:num w:numId="33">
    <w:abstractNumId w:val="3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1433</Words>
  <Characters>8169</Characters>
  <Application>Microsoft Office Word</Application>
  <DocSecurity>4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0541075.doc</vt:lpstr>
    </vt:vector>
  </TitlesOfParts>
  <Company> 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0541075.doc</dc:title>
  <dc:subject>Klokov</dc:subject>
  <dc:creator>TDudnikova</dc:creator>
  <cp:keywords/>
  <dc:description/>
  <cp:lastModifiedBy>csd</cp:lastModifiedBy>
  <cp:revision>4</cp:revision>
  <cp:lastPrinted>2007-04-03T15:53:00Z</cp:lastPrinted>
  <dcterms:created xsi:type="dcterms:W3CDTF">2007-04-03T15:53:00Z</dcterms:created>
  <dcterms:modified xsi:type="dcterms:W3CDTF">2007-04-03T15:53:00Z</dcterms:modified>
</cp:coreProperties>
</file>