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F4A35" w14:paraId="4B19ADA4" w14:textId="77777777" w:rsidTr="00CB10BC">
        <w:trPr>
          <w:trHeight w:hRule="exact" w:val="851"/>
        </w:trPr>
        <w:tc>
          <w:tcPr>
            <w:tcW w:w="1280" w:type="dxa"/>
            <w:tcBorders>
              <w:bottom w:val="single" w:sz="4" w:space="0" w:color="auto"/>
            </w:tcBorders>
            <w:shd w:val="clear" w:color="auto" w:fill="auto"/>
          </w:tcPr>
          <w:p w14:paraId="614F53FC" w14:textId="36C7C1F6" w:rsidR="002D5AAC" w:rsidRPr="00A46C63" w:rsidRDefault="002D5AAC" w:rsidP="00F15090">
            <w:pPr>
              <w:spacing w:line="20" w:lineRule="exact"/>
              <w:rPr>
                <w:rStyle w:val="nfasis"/>
                <w:sz w:val="2"/>
              </w:rPr>
            </w:pPr>
          </w:p>
          <w:p w14:paraId="2868DCC0" w14:textId="77777777" w:rsidR="00F15090" w:rsidRPr="00881997" w:rsidRDefault="00F15090" w:rsidP="00881997">
            <w:pPr>
              <w:spacing w:line="20" w:lineRule="exact"/>
              <w:rPr>
                <w:rStyle w:val="nfasis"/>
                <w:sz w:val="2"/>
              </w:rPr>
            </w:pPr>
          </w:p>
          <w:p w14:paraId="419C34B3" w14:textId="518B1FC9" w:rsidR="00881997" w:rsidRPr="003608D9" w:rsidRDefault="00881997" w:rsidP="00CB10BC">
            <w:pPr>
              <w:rPr>
                <w:rStyle w:val="nfasis"/>
              </w:rPr>
            </w:pPr>
          </w:p>
        </w:tc>
        <w:tc>
          <w:tcPr>
            <w:tcW w:w="2273" w:type="dxa"/>
            <w:tcBorders>
              <w:bottom w:val="single" w:sz="4" w:space="0" w:color="auto"/>
            </w:tcBorders>
            <w:shd w:val="clear" w:color="auto" w:fill="auto"/>
            <w:vAlign w:val="bottom"/>
          </w:tcPr>
          <w:p w14:paraId="209E9FA1" w14:textId="77777777" w:rsidR="002D5AAC" w:rsidRPr="002C2675" w:rsidRDefault="00BD33EE" w:rsidP="00CB10BC">
            <w:pPr>
              <w:spacing w:after="80" w:line="300" w:lineRule="exact"/>
              <w:rPr>
                <w:sz w:val="28"/>
              </w:rPr>
            </w:pPr>
            <w:r w:rsidRPr="002C2675">
              <w:rPr>
                <w:sz w:val="28"/>
              </w:rPr>
              <w:t>Naciones Unidas</w:t>
            </w:r>
          </w:p>
        </w:tc>
        <w:tc>
          <w:tcPr>
            <w:tcW w:w="6086" w:type="dxa"/>
            <w:gridSpan w:val="2"/>
            <w:tcBorders>
              <w:bottom w:val="single" w:sz="4" w:space="0" w:color="auto"/>
            </w:tcBorders>
            <w:shd w:val="clear" w:color="auto" w:fill="auto"/>
            <w:vAlign w:val="bottom"/>
          </w:tcPr>
          <w:p w14:paraId="005EACD9" w14:textId="4B4DBE50" w:rsidR="002D5AAC" w:rsidRPr="002C2675" w:rsidRDefault="00F93BD3" w:rsidP="00F138D2">
            <w:pPr>
              <w:jc w:val="right"/>
              <w:rPr>
                <w:lang w:val="en-GB"/>
              </w:rPr>
            </w:pPr>
            <w:r w:rsidRPr="002C2675">
              <w:rPr>
                <w:sz w:val="40"/>
                <w:lang w:val="en-GB"/>
              </w:rPr>
              <w:t>CERD</w:t>
            </w:r>
            <w:r w:rsidRPr="002C2675">
              <w:rPr>
                <w:lang w:val="en-GB"/>
              </w:rPr>
              <w:t>/C/</w:t>
            </w:r>
            <w:r w:rsidR="003608D9" w:rsidRPr="002C2675">
              <w:rPr>
                <w:lang w:val="en-GB"/>
              </w:rPr>
              <w:t>COL</w:t>
            </w:r>
            <w:r w:rsidRPr="002C2675">
              <w:rPr>
                <w:lang w:val="en-GB"/>
              </w:rPr>
              <w:t>/CO/</w:t>
            </w:r>
            <w:r w:rsidR="001F317D">
              <w:rPr>
                <w:lang w:val="en-GB"/>
              </w:rPr>
              <w:t>17-19</w:t>
            </w:r>
          </w:p>
        </w:tc>
      </w:tr>
      <w:tr w:rsidR="002D5AAC" w:rsidRPr="002C2675" w14:paraId="32E06534" w14:textId="77777777" w:rsidTr="00CB10BC">
        <w:trPr>
          <w:trHeight w:hRule="exact" w:val="2835"/>
        </w:trPr>
        <w:tc>
          <w:tcPr>
            <w:tcW w:w="1280" w:type="dxa"/>
            <w:tcBorders>
              <w:top w:val="single" w:sz="4" w:space="0" w:color="auto"/>
              <w:bottom w:val="single" w:sz="12" w:space="0" w:color="auto"/>
            </w:tcBorders>
            <w:shd w:val="clear" w:color="auto" w:fill="auto"/>
          </w:tcPr>
          <w:p w14:paraId="332737E2" w14:textId="55BA792E" w:rsidR="002D5AAC" w:rsidRPr="002C2675" w:rsidRDefault="00B34DB7" w:rsidP="00CB10BC">
            <w:pPr>
              <w:spacing w:before="120"/>
              <w:jc w:val="center"/>
            </w:pPr>
            <w:r>
              <w:rPr>
                <w:noProof/>
                <w:lang w:val="en-GB" w:eastAsia="en-GB"/>
              </w:rPr>
              <w:drawing>
                <wp:inline distT="0" distB="0" distL="0" distR="0" wp14:anchorId="01098B2A" wp14:editId="67341FF2">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297B006" w14:textId="657DB61A" w:rsidR="002D5AAC" w:rsidRPr="002C2675" w:rsidRDefault="00160FF7" w:rsidP="00CB10BC">
            <w:pPr>
              <w:spacing w:before="120" w:line="380" w:lineRule="exact"/>
              <w:rPr>
                <w:b/>
                <w:sz w:val="34"/>
                <w:szCs w:val="34"/>
              </w:rPr>
            </w:pPr>
            <w:r w:rsidRPr="002C2675">
              <w:rPr>
                <w:b/>
                <w:sz w:val="34"/>
                <w:szCs w:val="34"/>
              </w:rPr>
              <w:t>Convención Internacional sobre</w:t>
            </w:r>
            <w:r w:rsidRPr="002C2675">
              <w:rPr>
                <w:b/>
                <w:sz w:val="34"/>
                <w:szCs w:val="34"/>
              </w:rPr>
              <w:br/>
              <w:t xml:space="preserve">la Eliminación de </w:t>
            </w:r>
            <w:r w:rsidR="007C1DBB" w:rsidRPr="002C2675">
              <w:rPr>
                <w:b/>
                <w:sz w:val="34"/>
                <w:szCs w:val="34"/>
              </w:rPr>
              <w:t xml:space="preserve">Todas </w:t>
            </w:r>
            <w:r w:rsidRPr="002C2675">
              <w:rPr>
                <w:b/>
                <w:sz w:val="34"/>
                <w:szCs w:val="34"/>
              </w:rPr>
              <w:t>las Formas</w:t>
            </w:r>
            <w:r w:rsidRPr="002C2675">
              <w:rPr>
                <w:b/>
                <w:sz w:val="34"/>
                <w:szCs w:val="34"/>
              </w:rPr>
              <w:br/>
              <w:t>de Discriminación Racial</w:t>
            </w:r>
          </w:p>
        </w:tc>
        <w:tc>
          <w:tcPr>
            <w:tcW w:w="2819" w:type="dxa"/>
            <w:tcBorders>
              <w:top w:val="single" w:sz="4" w:space="0" w:color="auto"/>
              <w:bottom w:val="single" w:sz="12" w:space="0" w:color="auto"/>
            </w:tcBorders>
            <w:shd w:val="clear" w:color="auto" w:fill="auto"/>
          </w:tcPr>
          <w:p w14:paraId="10487E45" w14:textId="008ACE72" w:rsidR="00F93BD3" w:rsidRPr="002C2675" w:rsidRDefault="00631AF7" w:rsidP="00631AF7">
            <w:pPr>
              <w:spacing w:before="240"/>
            </w:pPr>
            <w:r>
              <w:t xml:space="preserve">Distr. </w:t>
            </w:r>
            <w:r w:rsidR="00F138D2">
              <w:t>general</w:t>
            </w:r>
          </w:p>
          <w:p w14:paraId="4820D75D" w14:textId="0C83EE96" w:rsidR="00F93BD3" w:rsidRPr="00905DEE" w:rsidRDefault="00550199" w:rsidP="00CB10BC">
            <w:r>
              <w:t>2</w:t>
            </w:r>
            <w:r w:rsidR="00121F94">
              <w:t>2</w:t>
            </w:r>
            <w:r w:rsidR="00D04831" w:rsidRPr="005B601E">
              <w:t xml:space="preserve"> de</w:t>
            </w:r>
            <w:r w:rsidR="00D04831" w:rsidRPr="00905DEE">
              <w:t xml:space="preserve"> </w:t>
            </w:r>
            <w:r w:rsidR="005657B3">
              <w:t xml:space="preserve">enero </w:t>
            </w:r>
            <w:r w:rsidR="001F317D">
              <w:t>de 20</w:t>
            </w:r>
            <w:r w:rsidR="005657B3">
              <w:t>20</w:t>
            </w:r>
          </w:p>
          <w:p w14:paraId="2EF2E167" w14:textId="77777777" w:rsidR="00F93BD3" w:rsidRPr="002C2675" w:rsidRDefault="00F93BD3" w:rsidP="00CB10BC">
            <w:pPr>
              <w:spacing w:line="240" w:lineRule="exact"/>
            </w:pPr>
          </w:p>
          <w:p w14:paraId="6FA547F1" w14:textId="77777777" w:rsidR="007D6B7A" w:rsidRDefault="007D6B7A" w:rsidP="007D6B7A">
            <w:pPr>
              <w:spacing w:line="240" w:lineRule="exact"/>
            </w:pPr>
            <w:r>
              <w:t>Original: español</w:t>
            </w:r>
          </w:p>
          <w:p w14:paraId="36BE055C" w14:textId="12D85C05" w:rsidR="0028194C" w:rsidRPr="002C2675" w:rsidRDefault="0028194C" w:rsidP="007D6B7A">
            <w:pPr>
              <w:spacing w:line="240" w:lineRule="exact"/>
            </w:pPr>
          </w:p>
        </w:tc>
      </w:tr>
    </w:tbl>
    <w:p w14:paraId="65973A01" w14:textId="77777777" w:rsidR="00F93BD3" w:rsidRPr="002C2675" w:rsidRDefault="00F93BD3" w:rsidP="00584998">
      <w:pPr>
        <w:spacing w:before="120"/>
      </w:pPr>
      <w:r w:rsidRPr="002C2675">
        <w:rPr>
          <w:b/>
          <w:sz w:val="24"/>
        </w:rPr>
        <w:t>Comité para la Eliminación de la Discriminación Racial</w:t>
      </w:r>
    </w:p>
    <w:p w14:paraId="6261131D" w14:textId="7407327F" w:rsidR="005B601E" w:rsidRPr="00712D2F" w:rsidRDefault="00F036FF" w:rsidP="007432EC">
      <w:pPr>
        <w:pStyle w:val="HChG"/>
      </w:pPr>
      <w:r>
        <w:tab/>
      </w:r>
      <w:r>
        <w:tab/>
      </w:r>
      <w:r w:rsidR="00F93BD3" w:rsidRPr="00EE6B92">
        <w:t xml:space="preserve">Observaciones finales sobre </w:t>
      </w:r>
      <w:r w:rsidR="007C1DBB" w:rsidRPr="00EE6B92">
        <w:t xml:space="preserve">los </w:t>
      </w:r>
      <w:r w:rsidR="00F93BD3" w:rsidRPr="00EE6B92">
        <w:t>informe</w:t>
      </w:r>
      <w:r w:rsidR="00D04831" w:rsidRPr="00EE6B92">
        <w:t>s</w:t>
      </w:r>
      <w:r w:rsidR="00F93BD3" w:rsidRPr="00EE6B92">
        <w:t xml:space="preserve"> periódico</w:t>
      </w:r>
      <w:r w:rsidR="00D04831" w:rsidRPr="00EE6B92">
        <w:t>s</w:t>
      </w:r>
      <w:r w:rsidR="00F93BD3" w:rsidRPr="00EE6B92">
        <w:t xml:space="preserve"> </w:t>
      </w:r>
      <w:r w:rsidR="007432EC">
        <w:br/>
      </w:r>
      <w:r w:rsidR="001F317D">
        <w:t>17</w:t>
      </w:r>
      <w:r w:rsidR="007C1DBB" w:rsidRPr="00EE6B92">
        <w:t xml:space="preserve">º </w:t>
      </w:r>
      <w:r w:rsidR="001F317D">
        <w:t>a</w:t>
      </w:r>
      <w:r w:rsidR="007C1DBB" w:rsidRPr="00EE6B92">
        <w:t> 1</w:t>
      </w:r>
      <w:r w:rsidR="001F317D">
        <w:t>9</w:t>
      </w:r>
      <w:r w:rsidR="007C1DBB" w:rsidRPr="00EE6B92">
        <w:t xml:space="preserve">º combinados </w:t>
      </w:r>
      <w:r w:rsidR="00F93BD3" w:rsidRPr="00EE6B92">
        <w:t xml:space="preserve">de </w:t>
      </w:r>
      <w:r w:rsidR="003608D9" w:rsidRPr="00EE6B92">
        <w:t>Colombia</w:t>
      </w:r>
      <w:r w:rsidR="00F138D2" w:rsidRPr="008508AE">
        <w:rPr>
          <w:rStyle w:val="Refdenotaalpie"/>
          <w:b w:val="0"/>
          <w:sz w:val="20"/>
          <w:vertAlign w:val="baseline"/>
        </w:rPr>
        <w:footnoteReference w:customMarkFollows="1" w:id="1"/>
        <w:t>*</w:t>
      </w:r>
    </w:p>
    <w:p w14:paraId="43CB836A" w14:textId="19300F4A" w:rsidR="00053D8F" w:rsidRPr="004842B2" w:rsidRDefault="007432EC" w:rsidP="00B12627">
      <w:pPr>
        <w:pStyle w:val="SingleTxtG"/>
        <w:rPr>
          <w:rFonts w:eastAsia="SimSun"/>
        </w:rPr>
      </w:pPr>
      <w:r w:rsidRPr="004842B2">
        <w:rPr>
          <w:rFonts w:eastAsiaTheme="minorHAnsi"/>
        </w:rPr>
        <w:t>1.</w:t>
      </w:r>
      <w:r w:rsidRPr="004842B2">
        <w:rPr>
          <w:rFonts w:eastAsiaTheme="minorHAnsi"/>
        </w:rPr>
        <w:tab/>
      </w:r>
      <w:r w:rsidR="00053D8F" w:rsidRPr="004842B2">
        <w:rPr>
          <w:rFonts w:eastAsia="SimSun"/>
        </w:rPr>
        <w:t xml:space="preserve">El Comité examinó los informes periódicos 17º a 19º combinados de Colombia, presentados en un único documento (CERD/C/COL/17-19) en sus sesiones 2778ª y 2779ª (CERD/C/SR.2778 y 2779), celebradas los días 27 y 28 de noviembre de 2019. En su </w:t>
      </w:r>
      <w:r w:rsidR="00053D8F" w:rsidRPr="007A3B5E">
        <w:rPr>
          <w:rFonts w:eastAsia="SimSun"/>
        </w:rPr>
        <w:t>27</w:t>
      </w:r>
      <w:r w:rsidR="00EB77DC" w:rsidRPr="007432EC">
        <w:rPr>
          <w:rFonts w:eastAsia="SimSun"/>
        </w:rPr>
        <w:t>95</w:t>
      </w:r>
      <w:r w:rsidR="00053D8F" w:rsidRPr="0091422B">
        <w:rPr>
          <w:rFonts w:eastAsia="SimSun"/>
        </w:rPr>
        <w:t>ª</w:t>
      </w:r>
      <w:r w:rsidR="00E01597">
        <w:rPr>
          <w:rFonts w:eastAsia="SimSun"/>
        </w:rPr>
        <w:t xml:space="preserve"> </w:t>
      </w:r>
      <w:r w:rsidR="00E01597" w:rsidRPr="007A3B5E">
        <w:rPr>
          <w:rFonts w:eastAsia="SimSun"/>
        </w:rPr>
        <w:t>sesión</w:t>
      </w:r>
      <w:r w:rsidR="00053D8F" w:rsidRPr="0091422B">
        <w:rPr>
          <w:rFonts w:eastAsia="SimSun"/>
        </w:rPr>
        <w:t>, celebrada</w:t>
      </w:r>
      <w:r w:rsidR="00A559BA" w:rsidRPr="004842B2">
        <w:rPr>
          <w:rFonts w:eastAsia="SimSun"/>
        </w:rPr>
        <w:t xml:space="preserve"> el </w:t>
      </w:r>
      <w:r w:rsidR="000E2B8C">
        <w:rPr>
          <w:rFonts w:eastAsia="SimSun"/>
        </w:rPr>
        <w:t>10</w:t>
      </w:r>
      <w:r w:rsidR="00053D8F" w:rsidRPr="004842B2">
        <w:rPr>
          <w:rFonts w:eastAsia="SimSun"/>
        </w:rPr>
        <w:t xml:space="preserve"> de diciembre de 2019, el Comité aprobó las presentes observaciones finales.</w:t>
      </w:r>
    </w:p>
    <w:p w14:paraId="717D537E" w14:textId="77777777" w:rsidR="00053D8F" w:rsidRPr="00493B2A" w:rsidRDefault="00053D8F" w:rsidP="00493B2A">
      <w:pPr>
        <w:keepNext/>
        <w:keepLines/>
        <w:tabs>
          <w:tab w:val="right" w:pos="851"/>
        </w:tabs>
        <w:suppressAutoHyphens/>
        <w:spacing w:before="360" w:after="240" w:line="270" w:lineRule="exact"/>
        <w:ind w:left="1134" w:right="1134" w:hanging="1134"/>
        <w:rPr>
          <w:rFonts w:eastAsia="SimSun"/>
          <w:b/>
          <w:sz w:val="24"/>
        </w:rPr>
      </w:pPr>
      <w:r w:rsidRPr="00493B2A">
        <w:rPr>
          <w:rFonts w:eastAsia="SimSun"/>
          <w:b/>
          <w:sz w:val="24"/>
        </w:rPr>
        <w:tab/>
        <w:t>A.</w:t>
      </w:r>
      <w:r w:rsidRPr="00493B2A">
        <w:rPr>
          <w:rFonts w:eastAsia="SimSun"/>
          <w:b/>
          <w:sz w:val="24"/>
        </w:rPr>
        <w:tab/>
        <w:t>Introducción</w:t>
      </w:r>
    </w:p>
    <w:p w14:paraId="6FF90EBE" w14:textId="7EEB051C" w:rsidR="00053D8F" w:rsidRPr="00493B2A" w:rsidRDefault="007432EC" w:rsidP="00B12627">
      <w:pPr>
        <w:pStyle w:val="SingleTxtG"/>
        <w:rPr>
          <w:rFonts w:eastAsia="SimSun"/>
        </w:rPr>
      </w:pPr>
      <w:r w:rsidRPr="00493B2A">
        <w:rPr>
          <w:rFonts w:eastAsiaTheme="minorHAnsi"/>
        </w:rPr>
        <w:t>2.</w:t>
      </w:r>
      <w:r w:rsidRPr="00493B2A">
        <w:rPr>
          <w:rFonts w:eastAsiaTheme="minorHAnsi"/>
        </w:rPr>
        <w:tab/>
      </w:r>
      <w:r w:rsidR="00053D8F" w:rsidRPr="00493B2A">
        <w:rPr>
          <w:rFonts w:eastAsia="SimSun"/>
        </w:rPr>
        <w:t>El Comité acoge con beneplácito la presentación oportuna de los informes periódicos 1</w:t>
      </w:r>
      <w:r w:rsidR="00053D8F">
        <w:rPr>
          <w:rFonts w:eastAsia="SimSun"/>
        </w:rPr>
        <w:t>7º a 19</w:t>
      </w:r>
      <w:r w:rsidR="00053D8F" w:rsidRPr="00493B2A">
        <w:rPr>
          <w:rFonts w:eastAsia="SimSun"/>
        </w:rPr>
        <w:t>º combinados del Estado parte, presentados e</w:t>
      </w:r>
      <w:r w:rsidR="00053D8F">
        <w:rPr>
          <w:rFonts w:eastAsia="SimSun"/>
        </w:rPr>
        <w:t>n un único documento (CERD/C/COL</w:t>
      </w:r>
      <w:r w:rsidR="00053D8F" w:rsidRPr="00493B2A">
        <w:rPr>
          <w:rFonts w:eastAsia="SimSun"/>
        </w:rPr>
        <w:t>/1</w:t>
      </w:r>
      <w:r w:rsidR="00053D8F">
        <w:rPr>
          <w:rFonts w:eastAsia="SimSun"/>
        </w:rPr>
        <w:t>7</w:t>
      </w:r>
      <w:r w:rsidR="00053D8F" w:rsidRPr="00493B2A">
        <w:rPr>
          <w:rFonts w:eastAsia="SimSun"/>
        </w:rPr>
        <w:t>-1</w:t>
      </w:r>
      <w:r w:rsidR="00053D8F">
        <w:rPr>
          <w:rFonts w:eastAsia="SimSun"/>
        </w:rPr>
        <w:t>9</w:t>
      </w:r>
      <w:r w:rsidR="00053D8F" w:rsidRPr="00493B2A">
        <w:rPr>
          <w:rFonts w:eastAsia="SimSun"/>
        </w:rPr>
        <w:t xml:space="preserve">). El Comité manifiesta su satisfacción por el diálogo abierto que mantuvo con la delegación de alto nivel </w:t>
      </w:r>
      <w:r w:rsidR="00053D8F" w:rsidRPr="00C01964">
        <w:rPr>
          <w:rFonts w:eastAsia="SimSun"/>
        </w:rPr>
        <w:t>del Estado parte y agradece la información proporcionada por escrito.</w:t>
      </w:r>
    </w:p>
    <w:p w14:paraId="40B78689" w14:textId="77777777" w:rsidR="00053D8F" w:rsidRPr="00493B2A" w:rsidRDefault="00053D8F" w:rsidP="00493B2A">
      <w:pPr>
        <w:keepNext/>
        <w:keepLines/>
        <w:tabs>
          <w:tab w:val="right" w:pos="851"/>
        </w:tabs>
        <w:suppressAutoHyphens/>
        <w:spacing w:before="360" w:after="240" w:line="270" w:lineRule="exact"/>
        <w:ind w:left="1134" w:right="1134" w:hanging="1134"/>
        <w:rPr>
          <w:rFonts w:eastAsia="SimSun"/>
          <w:b/>
          <w:sz w:val="24"/>
        </w:rPr>
      </w:pPr>
      <w:r w:rsidRPr="00493B2A">
        <w:rPr>
          <w:rFonts w:eastAsia="SimSun"/>
          <w:b/>
          <w:sz w:val="24"/>
        </w:rPr>
        <w:tab/>
        <w:t>B.</w:t>
      </w:r>
      <w:r w:rsidRPr="00493B2A">
        <w:rPr>
          <w:rFonts w:eastAsia="SimSun"/>
          <w:b/>
          <w:sz w:val="24"/>
        </w:rPr>
        <w:tab/>
        <w:t>Aspectos positivos</w:t>
      </w:r>
    </w:p>
    <w:p w14:paraId="5BB104D1" w14:textId="6969122C" w:rsidR="00053D8F" w:rsidRDefault="007432EC" w:rsidP="00B12627">
      <w:pPr>
        <w:pStyle w:val="SingleTxtG"/>
        <w:rPr>
          <w:rFonts w:eastAsia="SimSun"/>
        </w:rPr>
      </w:pPr>
      <w:r>
        <w:rPr>
          <w:rFonts w:eastAsiaTheme="minorHAnsi"/>
        </w:rPr>
        <w:t>3.</w:t>
      </w:r>
      <w:r>
        <w:rPr>
          <w:rFonts w:eastAsiaTheme="minorHAnsi"/>
        </w:rPr>
        <w:tab/>
      </w:r>
      <w:r w:rsidR="00053D8F" w:rsidRPr="00493B2A">
        <w:rPr>
          <w:rFonts w:eastAsia="SimSun"/>
        </w:rPr>
        <w:t xml:space="preserve">El Comité acoge con beneplácito las siguientes medidas </w:t>
      </w:r>
      <w:r w:rsidR="00053D8F">
        <w:rPr>
          <w:rFonts w:eastAsia="SimSun"/>
        </w:rPr>
        <w:t xml:space="preserve">legislativas, institucionales y </w:t>
      </w:r>
      <w:r w:rsidR="00053D8F" w:rsidRPr="00493B2A">
        <w:rPr>
          <w:rFonts w:eastAsia="SimSun"/>
        </w:rPr>
        <w:t>en materia de políticas adoptadas por el Estado parte:</w:t>
      </w:r>
    </w:p>
    <w:p w14:paraId="377B8E64" w14:textId="2DC493DB" w:rsidR="00053D8F" w:rsidRPr="00576F4F" w:rsidRDefault="007432EC" w:rsidP="00B12627">
      <w:pPr>
        <w:pStyle w:val="SingleTxtG"/>
        <w:ind w:firstLine="567"/>
        <w:rPr>
          <w:rFonts w:eastAsia="SimSun"/>
          <w:lang w:val="es-ES_tradnl"/>
        </w:rPr>
      </w:pPr>
      <w:r w:rsidRPr="00576F4F">
        <w:rPr>
          <w:rFonts w:eastAsia="SimSun"/>
          <w:lang w:val="es-ES_tradnl"/>
        </w:rPr>
        <w:t>a)</w:t>
      </w:r>
      <w:r w:rsidRPr="00576F4F">
        <w:rPr>
          <w:rFonts w:eastAsia="SimSun"/>
          <w:lang w:val="es-ES_tradnl"/>
        </w:rPr>
        <w:tab/>
      </w:r>
      <w:r w:rsidR="00053D8F" w:rsidRPr="00576F4F">
        <w:rPr>
          <w:rFonts w:eastAsia="SimSun"/>
        </w:rPr>
        <w:t>El Plan Nacional de Desarrollo 2018-2022, “Pacto por Colombia, Pacto por la Equidad”</w:t>
      </w:r>
      <w:r w:rsidR="00B87DFB">
        <w:rPr>
          <w:rFonts w:eastAsia="SimSun"/>
        </w:rPr>
        <w:t xml:space="preserve"> (</w:t>
      </w:r>
      <w:r w:rsidR="00053D8F" w:rsidRPr="00576F4F">
        <w:rPr>
          <w:rFonts w:eastAsia="SimSun"/>
        </w:rPr>
        <w:t>Ley 1955 de 2019</w:t>
      </w:r>
      <w:r w:rsidR="00B87DFB">
        <w:rPr>
          <w:rFonts w:eastAsia="SimSun"/>
        </w:rPr>
        <w:t>)</w:t>
      </w:r>
      <w:r w:rsidR="00053D8F" w:rsidRPr="00576F4F">
        <w:rPr>
          <w:rFonts w:eastAsia="SimSun"/>
        </w:rPr>
        <w:t xml:space="preserve">; </w:t>
      </w:r>
      <w:r w:rsidR="00053D8F" w:rsidRPr="00576F4F" w:rsidDel="00C16CE8">
        <w:rPr>
          <w:rFonts w:eastAsia="SimSun"/>
          <w:lang w:val="es-ES_tradnl"/>
        </w:rPr>
        <w:t xml:space="preserve"> </w:t>
      </w:r>
    </w:p>
    <w:p w14:paraId="2292F926" w14:textId="5E4C3CC7" w:rsidR="00053D8F" w:rsidRPr="009B70B0" w:rsidRDefault="007432EC" w:rsidP="00B12627">
      <w:pPr>
        <w:pStyle w:val="SingleTxtG"/>
        <w:ind w:firstLine="567"/>
        <w:rPr>
          <w:rFonts w:eastAsia="SimSun"/>
          <w:lang w:val="es-ES_tradnl"/>
        </w:rPr>
      </w:pPr>
      <w:r w:rsidRPr="009B70B0">
        <w:rPr>
          <w:rFonts w:eastAsia="SimSun"/>
          <w:lang w:val="es-ES_tradnl"/>
        </w:rPr>
        <w:t>b)</w:t>
      </w:r>
      <w:r w:rsidRPr="009B70B0">
        <w:rPr>
          <w:rFonts w:eastAsia="SimSun"/>
          <w:lang w:val="es-ES_tradnl"/>
        </w:rPr>
        <w:tab/>
      </w:r>
      <w:r w:rsidR="00053D8F" w:rsidRPr="009B70B0">
        <w:rPr>
          <w:rFonts w:eastAsia="SimSun"/>
          <w:lang w:val="es-ES_tradnl"/>
        </w:rPr>
        <w:t xml:space="preserve">La </w:t>
      </w:r>
      <w:r w:rsidR="00B87DFB">
        <w:rPr>
          <w:rFonts w:eastAsia="SimSun"/>
          <w:lang w:val="es-ES_tradnl"/>
        </w:rPr>
        <w:t>L</w:t>
      </w:r>
      <w:r w:rsidR="00053D8F" w:rsidRPr="009B70B0">
        <w:rPr>
          <w:rFonts w:eastAsia="SimSun"/>
          <w:lang w:val="es-ES_tradnl"/>
        </w:rPr>
        <w:t>ey 1997 de 2019, que modificó la normativa para otorgar la nacionalidad a los hijos de migrantes venezolanos nacidos en Colombia;</w:t>
      </w:r>
    </w:p>
    <w:p w14:paraId="01F05961" w14:textId="247CAED7" w:rsidR="00053D8F" w:rsidRPr="009B70B0" w:rsidRDefault="007432EC" w:rsidP="00B12627">
      <w:pPr>
        <w:pStyle w:val="SingleTxtG"/>
        <w:ind w:firstLine="567"/>
        <w:rPr>
          <w:rFonts w:eastAsia="SimSun"/>
          <w:lang w:val="es-ES_tradnl"/>
        </w:rPr>
      </w:pPr>
      <w:r w:rsidRPr="009B70B0">
        <w:rPr>
          <w:rFonts w:eastAsia="SimSun"/>
          <w:lang w:val="es-ES_tradnl"/>
        </w:rPr>
        <w:t>c)</w:t>
      </w:r>
      <w:r w:rsidRPr="009B70B0">
        <w:rPr>
          <w:rFonts w:eastAsia="SimSun"/>
          <w:lang w:val="es-ES_tradnl"/>
        </w:rPr>
        <w:tab/>
      </w:r>
      <w:r w:rsidR="00053D8F" w:rsidRPr="009B70B0">
        <w:rPr>
          <w:rFonts w:eastAsia="SimSun"/>
          <w:lang w:val="es-ES_tradnl"/>
        </w:rPr>
        <w:t xml:space="preserve">La </w:t>
      </w:r>
      <w:r w:rsidR="00B87DFB">
        <w:rPr>
          <w:rFonts w:eastAsia="SimSun"/>
          <w:lang w:val="es-ES_tradnl"/>
        </w:rPr>
        <w:t>L</w:t>
      </w:r>
      <w:r w:rsidR="00053D8F" w:rsidRPr="009B70B0">
        <w:rPr>
          <w:rFonts w:eastAsia="SimSun"/>
          <w:lang w:val="es-ES_tradnl"/>
        </w:rPr>
        <w:t xml:space="preserve">ey 1833 de 2017, que crea la </w:t>
      </w:r>
      <w:r w:rsidR="00912020">
        <w:rPr>
          <w:rFonts w:eastAsia="SimSun"/>
          <w:lang w:val="es-ES_tradnl"/>
        </w:rPr>
        <w:t>c</w:t>
      </w:r>
      <w:r w:rsidR="00053D8F" w:rsidRPr="009B70B0">
        <w:rPr>
          <w:rFonts w:eastAsia="SimSun"/>
          <w:lang w:val="es-ES_tradnl"/>
        </w:rPr>
        <w:t xml:space="preserve">omisión </w:t>
      </w:r>
      <w:r w:rsidR="00912020">
        <w:rPr>
          <w:rFonts w:eastAsia="SimSun"/>
          <w:lang w:val="es-ES_tradnl"/>
        </w:rPr>
        <w:t>l</w:t>
      </w:r>
      <w:r w:rsidR="00053D8F" w:rsidRPr="009B70B0">
        <w:rPr>
          <w:rFonts w:eastAsia="SimSun"/>
          <w:lang w:val="es-ES_tradnl"/>
        </w:rPr>
        <w:t xml:space="preserve">egal para </w:t>
      </w:r>
      <w:r w:rsidR="00912020">
        <w:rPr>
          <w:rFonts w:eastAsia="SimSun"/>
          <w:lang w:val="es-ES_tradnl"/>
        </w:rPr>
        <w:t>l</w:t>
      </w:r>
      <w:r w:rsidR="00053D8F" w:rsidRPr="009B70B0">
        <w:rPr>
          <w:rFonts w:eastAsia="SimSun"/>
          <w:lang w:val="es-ES_tradnl"/>
        </w:rPr>
        <w:t xml:space="preserve">a </w:t>
      </w:r>
      <w:r w:rsidR="00912020">
        <w:rPr>
          <w:rFonts w:eastAsia="SimSun"/>
          <w:lang w:val="es-ES_tradnl"/>
        </w:rPr>
        <w:t>p</w:t>
      </w:r>
      <w:r w:rsidR="00053D8F" w:rsidRPr="009B70B0">
        <w:rPr>
          <w:rFonts w:eastAsia="SimSun"/>
          <w:lang w:val="es-ES_tradnl"/>
        </w:rPr>
        <w:t>rotección de los derechos de las comunidades negras o población afrocolombiana</w:t>
      </w:r>
      <w:r w:rsidR="00053D8F" w:rsidRPr="009B70B0">
        <w:rPr>
          <w:iCs/>
        </w:rPr>
        <w:t xml:space="preserve"> del Congreso de Colombia</w:t>
      </w:r>
      <w:r w:rsidR="00053D8F" w:rsidRPr="00F35C67">
        <w:rPr>
          <w:rFonts w:eastAsia="SimSun"/>
          <w:iCs/>
        </w:rPr>
        <w:t>;</w:t>
      </w:r>
    </w:p>
    <w:p w14:paraId="71FA3B70" w14:textId="495A33A9" w:rsidR="00053D8F" w:rsidRPr="009B70B0" w:rsidRDefault="007432EC" w:rsidP="00B12627">
      <w:pPr>
        <w:pStyle w:val="SingleTxtG"/>
        <w:ind w:firstLine="567"/>
      </w:pPr>
      <w:r w:rsidRPr="009B70B0">
        <w:t>d)</w:t>
      </w:r>
      <w:r w:rsidRPr="009B70B0">
        <w:tab/>
      </w:r>
      <w:r w:rsidR="00053D8F" w:rsidRPr="009B70B0">
        <w:rPr>
          <w:rFonts w:eastAsia="SimSun"/>
          <w:lang w:val="es-ES_tradnl"/>
        </w:rPr>
        <w:t xml:space="preserve">El </w:t>
      </w:r>
      <w:r w:rsidR="0066664C">
        <w:t>D</w:t>
      </w:r>
      <w:r w:rsidR="00053D8F" w:rsidRPr="009B70B0">
        <w:t>ecreto 2124 de 2017</w:t>
      </w:r>
      <w:r w:rsidR="00053D8F">
        <w:t>,</w:t>
      </w:r>
      <w:r w:rsidR="00053D8F" w:rsidRPr="009B70B0">
        <w:t xml:space="preserve"> que reglamenta el </w:t>
      </w:r>
      <w:r w:rsidR="00053D8F" w:rsidRPr="009B70B0">
        <w:rPr>
          <w:rStyle w:val="Textoennegrita"/>
          <w:b w:val="0"/>
        </w:rPr>
        <w:t>sistema de prevención y alerta para la reacción rápida a la presencia</w:t>
      </w:r>
      <w:r w:rsidR="00053D8F" w:rsidRPr="009B70B0">
        <w:t>, acciones y/o actividades de las organizaciones, hechos y conductas criminales que pongan en riesgo los derechos de la población</w:t>
      </w:r>
      <w:r w:rsidR="00053D8F" w:rsidRPr="009B70B0">
        <w:rPr>
          <w:rFonts w:ascii="Arial" w:hAnsi="Arial" w:cs="Arial"/>
          <w:sz w:val="27"/>
          <w:szCs w:val="27"/>
          <w:lang w:eastAsia="en-GB"/>
        </w:rPr>
        <w:t xml:space="preserve"> </w:t>
      </w:r>
      <w:r w:rsidR="00053D8F" w:rsidRPr="009B70B0">
        <w:t>y la implementación del Acuerdo Final para la Terminación del Conflicto y la Construcción de una Paz Estable y Duradera;</w:t>
      </w:r>
    </w:p>
    <w:p w14:paraId="58821B40" w14:textId="33331284" w:rsidR="00053D8F" w:rsidRPr="00CB198F" w:rsidRDefault="007432EC" w:rsidP="00B12627">
      <w:pPr>
        <w:pStyle w:val="SingleTxtG"/>
        <w:ind w:firstLine="567"/>
        <w:rPr>
          <w:lang w:val="es-419"/>
        </w:rPr>
      </w:pPr>
      <w:r w:rsidRPr="00CB198F">
        <w:rPr>
          <w:lang w:val="es-419"/>
        </w:rPr>
        <w:t>e)</w:t>
      </w:r>
      <w:r w:rsidRPr="00CB198F">
        <w:rPr>
          <w:lang w:val="es-419"/>
        </w:rPr>
        <w:tab/>
      </w:r>
      <w:r w:rsidR="00053D8F" w:rsidRPr="009B70B0">
        <w:rPr>
          <w:lang w:val="es-ES_tradnl"/>
        </w:rPr>
        <w:t>El Decreto 1953 de 2014, vigente en 2018, que reconoció la primera universidad indígena de Colombia, la Universidad Autónoma Indígena Intercultural del Cauca;</w:t>
      </w:r>
    </w:p>
    <w:p w14:paraId="125C40FE" w14:textId="1997FEED" w:rsidR="00053D8F" w:rsidRPr="00200A11" w:rsidRDefault="007432EC" w:rsidP="00B12627">
      <w:pPr>
        <w:pStyle w:val="SingleTxtG"/>
        <w:ind w:firstLine="567"/>
        <w:rPr>
          <w:rFonts w:eastAsia="SimSun"/>
          <w:lang w:val="es-ES_tradnl"/>
        </w:rPr>
      </w:pPr>
      <w:r w:rsidRPr="00200A11">
        <w:rPr>
          <w:rFonts w:eastAsia="SimSun"/>
          <w:lang w:val="es-ES_tradnl"/>
        </w:rPr>
        <w:lastRenderedPageBreak/>
        <w:t>f)</w:t>
      </w:r>
      <w:r w:rsidRPr="00200A11">
        <w:rPr>
          <w:rFonts w:eastAsia="SimSun"/>
          <w:lang w:val="es-ES_tradnl"/>
        </w:rPr>
        <w:tab/>
      </w:r>
      <w:r w:rsidR="00053D8F" w:rsidRPr="009B70B0">
        <w:rPr>
          <w:lang w:val="es-ES_tradnl"/>
        </w:rPr>
        <w:t xml:space="preserve">La </w:t>
      </w:r>
      <w:r w:rsidR="00053D8F" w:rsidRPr="009B70B0">
        <w:t>Estrategia Nacional para la Garantía de los Derechos Humano</w:t>
      </w:r>
      <w:r w:rsidR="00053D8F">
        <w:t>s</w:t>
      </w:r>
      <w:r w:rsidR="00053D8F" w:rsidRPr="009B70B0">
        <w:t xml:space="preserve"> 2014</w:t>
      </w:r>
      <w:r w:rsidR="00DB5D73">
        <w:noBreakHyphen/>
      </w:r>
      <w:bookmarkStart w:id="0" w:name="_GoBack"/>
      <w:bookmarkEnd w:id="0"/>
      <w:r w:rsidR="00053D8F" w:rsidRPr="009B70B0">
        <w:t>2034</w:t>
      </w:r>
      <w:r w:rsidR="00053D8F" w:rsidRPr="009B70B0">
        <w:rPr>
          <w:lang w:val="es-ES_tradnl"/>
        </w:rPr>
        <w:t>.</w:t>
      </w:r>
    </w:p>
    <w:p w14:paraId="1E6BECF1" w14:textId="6882D882" w:rsidR="00053D8F" w:rsidRPr="006B129C" w:rsidRDefault="00053D8F" w:rsidP="006B129C">
      <w:pPr>
        <w:pStyle w:val="H1G"/>
      </w:pPr>
      <w:r>
        <w:tab/>
        <w:t>C.</w:t>
      </w:r>
      <w:r>
        <w:tab/>
      </w:r>
      <w:r w:rsidRPr="006B129C">
        <w:t>Motivos de preocupación y recomendaciones</w:t>
      </w:r>
    </w:p>
    <w:p w14:paraId="081A38B1" w14:textId="17DB0FA4" w:rsidR="00053D8F" w:rsidRPr="00392A9B" w:rsidRDefault="00053D8F" w:rsidP="004842B2">
      <w:pPr>
        <w:pStyle w:val="H23G"/>
      </w:pPr>
      <w:r>
        <w:rPr>
          <w:rFonts w:eastAsia="SimSun"/>
        </w:rPr>
        <w:tab/>
      </w:r>
      <w:r w:rsidR="004842B2">
        <w:rPr>
          <w:rFonts w:eastAsia="SimSun"/>
        </w:rPr>
        <w:tab/>
      </w:r>
      <w:r w:rsidRPr="004C5470">
        <w:t>Composición demográfica de la población</w:t>
      </w:r>
    </w:p>
    <w:p w14:paraId="63A645B9" w14:textId="18A4069A" w:rsidR="00F350AD" w:rsidRDefault="007432EC" w:rsidP="00B12627">
      <w:pPr>
        <w:pStyle w:val="SingleTxtG"/>
        <w:rPr>
          <w:rFonts w:eastAsia="SimSun"/>
          <w:lang w:val="es-ES_tradnl"/>
        </w:rPr>
      </w:pPr>
      <w:r>
        <w:rPr>
          <w:rFonts w:eastAsiaTheme="minorHAnsi"/>
          <w:lang w:val="es-ES_tradnl"/>
        </w:rPr>
        <w:t>4.</w:t>
      </w:r>
      <w:r>
        <w:rPr>
          <w:rFonts w:eastAsiaTheme="minorHAnsi"/>
          <w:lang w:val="es-ES_tradnl"/>
        </w:rPr>
        <w:tab/>
      </w:r>
      <w:r w:rsidR="00053D8F" w:rsidRPr="005404CC">
        <w:rPr>
          <w:rFonts w:eastAsia="SimSun"/>
          <w:lang w:val="es-ES_tradnl"/>
        </w:rPr>
        <w:t xml:space="preserve">El Comité </w:t>
      </w:r>
      <w:r w:rsidR="00053D8F">
        <w:rPr>
          <w:rFonts w:eastAsia="SimSun"/>
          <w:lang w:val="es-ES_tradnl"/>
        </w:rPr>
        <w:t xml:space="preserve">toma nota de la realización del </w:t>
      </w:r>
      <w:r w:rsidR="00053D8F" w:rsidRPr="00C01964">
        <w:rPr>
          <w:rFonts w:eastAsia="SimSun"/>
        </w:rPr>
        <w:t>Censo Nacional</w:t>
      </w:r>
      <w:r w:rsidR="00053D8F" w:rsidRPr="00B52241">
        <w:rPr>
          <w:rFonts w:eastAsia="SimSun"/>
        </w:rPr>
        <w:t xml:space="preserve"> de</w:t>
      </w:r>
      <w:r w:rsidR="00053D8F" w:rsidRPr="005404CC">
        <w:rPr>
          <w:rFonts w:eastAsia="SimSun"/>
        </w:rPr>
        <w:t xml:space="preserve"> Población y Vivienda</w:t>
      </w:r>
      <w:r w:rsidR="00053D8F">
        <w:rPr>
          <w:rFonts w:eastAsia="SimSun"/>
        </w:rPr>
        <w:t xml:space="preserve"> 2018 y de la participación de la población indígena, afrodescendiente y romaní. Sin embargo, le preocupa que sus resultados no representen adecuadamente a la</w:t>
      </w:r>
      <w:r w:rsidR="00053D8F" w:rsidRPr="00FB698B">
        <w:rPr>
          <w:rFonts w:eastAsia="SimSun"/>
        </w:rPr>
        <w:t xml:space="preserve"> población afrocolombiana, negra, palenquera y raizal</w:t>
      </w:r>
      <w:r w:rsidR="00053D8F">
        <w:rPr>
          <w:rFonts w:eastAsia="SimSun"/>
        </w:rPr>
        <w:t xml:space="preserve">, ya que, según los datos obtenidos en dicho censo, esta población habría sufrido un descenso de casi </w:t>
      </w:r>
      <w:r w:rsidR="00334577">
        <w:rPr>
          <w:rFonts w:eastAsia="SimSun"/>
        </w:rPr>
        <w:t xml:space="preserve">un </w:t>
      </w:r>
      <w:r w:rsidR="00053D8F">
        <w:rPr>
          <w:rFonts w:eastAsia="SimSun"/>
        </w:rPr>
        <w:t>31</w:t>
      </w:r>
      <w:r w:rsidR="0066664C">
        <w:rPr>
          <w:rFonts w:eastAsia="SimSun"/>
        </w:rPr>
        <w:t xml:space="preserve"> </w:t>
      </w:r>
      <w:r w:rsidR="00053D8F">
        <w:rPr>
          <w:rFonts w:eastAsia="SimSun"/>
        </w:rPr>
        <w:t>% con respecto al censo de 2005.</w:t>
      </w:r>
      <w:r w:rsidR="00D93007">
        <w:rPr>
          <w:rFonts w:eastAsia="SimSun"/>
        </w:rPr>
        <w:t xml:space="preserve"> </w:t>
      </w:r>
      <w:r w:rsidR="00FB698B">
        <w:rPr>
          <w:rFonts w:eastAsia="SimSun"/>
        </w:rPr>
        <w:t>Si bien el Comité</w:t>
      </w:r>
      <w:r w:rsidR="00D93007">
        <w:rPr>
          <w:rFonts w:eastAsia="SimSun"/>
        </w:rPr>
        <w:t xml:space="preserve"> reconoce los esfuerzos del E</w:t>
      </w:r>
      <w:r w:rsidR="00FB698B">
        <w:rPr>
          <w:rFonts w:eastAsia="SimSun"/>
        </w:rPr>
        <w:t>stado part</w:t>
      </w:r>
      <w:r w:rsidR="00D93007">
        <w:rPr>
          <w:rFonts w:eastAsia="SimSun"/>
        </w:rPr>
        <w:t>e para</w:t>
      </w:r>
      <w:r w:rsidR="00FB698B">
        <w:rPr>
          <w:rFonts w:eastAsia="SimSun"/>
        </w:rPr>
        <w:t xml:space="preserve"> rectificar estos datos </w:t>
      </w:r>
      <w:r w:rsidR="00D93007">
        <w:rPr>
          <w:rFonts w:eastAsia="SimSun"/>
        </w:rPr>
        <w:t>y aumentar esta cifra a</w:t>
      </w:r>
      <w:r w:rsidR="00DB3DE1">
        <w:rPr>
          <w:rFonts w:eastAsia="SimSun"/>
        </w:rPr>
        <w:t xml:space="preserve"> una estimación </w:t>
      </w:r>
      <w:r w:rsidR="00CB198F">
        <w:rPr>
          <w:rFonts w:eastAsia="SimSun"/>
        </w:rPr>
        <w:t>basada</w:t>
      </w:r>
      <w:r w:rsidR="00D93007">
        <w:rPr>
          <w:rFonts w:eastAsia="SimSun"/>
        </w:rPr>
        <w:t xml:space="preserve"> en los datos obtenidos a partir de la Encuesta de Calidad de Vida de 2018, el Comité considera que los datos de esta población no se reflejan con exactitud </w:t>
      </w:r>
      <w:r w:rsidR="004842B2">
        <w:rPr>
          <w:rFonts w:eastAsia="SimSun"/>
          <w:lang w:val="es-ES_tradnl"/>
        </w:rPr>
        <w:t>(art. </w:t>
      </w:r>
      <w:r w:rsidR="00F350AD">
        <w:rPr>
          <w:rFonts w:eastAsia="SimSun"/>
          <w:lang w:val="es-ES_tradnl"/>
        </w:rPr>
        <w:t>2).</w:t>
      </w:r>
    </w:p>
    <w:p w14:paraId="2FD6C686" w14:textId="412DE481" w:rsidR="007814BB" w:rsidRPr="007814BB" w:rsidRDefault="007432EC" w:rsidP="00B12627">
      <w:pPr>
        <w:pStyle w:val="SingleTxtG"/>
        <w:rPr>
          <w:rFonts w:eastAsia="SimSun"/>
          <w:b/>
          <w:bCs/>
        </w:rPr>
      </w:pPr>
      <w:r w:rsidRPr="007814BB">
        <w:rPr>
          <w:rFonts w:eastAsiaTheme="minorHAnsi"/>
          <w:bCs/>
        </w:rPr>
        <w:t>5.</w:t>
      </w:r>
      <w:r w:rsidRPr="007814BB">
        <w:rPr>
          <w:rFonts w:eastAsiaTheme="minorHAnsi"/>
          <w:bCs/>
        </w:rPr>
        <w:tab/>
      </w:r>
      <w:r w:rsidR="001E314F">
        <w:rPr>
          <w:rFonts w:eastAsia="SimSun"/>
          <w:b/>
          <w:bCs/>
        </w:rPr>
        <w:t>El</w:t>
      </w:r>
      <w:r w:rsidR="00F350AD">
        <w:rPr>
          <w:rFonts w:eastAsia="SimSun"/>
          <w:b/>
          <w:bCs/>
        </w:rPr>
        <w:t xml:space="preserve"> Comité</w:t>
      </w:r>
      <w:r w:rsidR="007814BB">
        <w:rPr>
          <w:rFonts w:eastAsia="SimSun"/>
          <w:b/>
          <w:bCs/>
        </w:rPr>
        <w:t xml:space="preserve"> reitera su recomendación e insta </w:t>
      </w:r>
      <w:r w:rsidR="00290D3E">
        <w:rPr>
          <w:rFonts w:eastAsia="SimSun"/>
          <w:b/>
          <w:bCs/>
        </w:rPr>
        <w:t xml:space="preserve">al </w:t>
      </w:r>
      <w:r w:rsidR="00F350AD" w:rsidRPr="000C7B10">
        <w:rPr>
          <w:rFonts w:eastAsia="SimSun"/>
          <w:b/>
          <w:bCs/>
        </w:rPr>
        <w:t xml:space="preserve">Estado parte </w:t>
      </w:r>
      <w:r w:rsidR="007814BB">
        <w:rPr>
          <w:rFonts w:eastAsia="SimSun"/>
          <w:b/>
          <w:bCs/>
        </w:rPr>
        <w:t>a</w:t>
      </w:r>
      <w:r w:rsidR="00043DB1">
        <w:rPr>
          <w:rFonts w:eastAsia="SimSun"/>
          <w:b/>
          <w:bCs/>
        </w:rPr>
        <w:t xml:space="preserve"> </w:t>
      </w:r>
      <w:r w:rsidR="00F350AD" w:rsidRPr="000C7B10">
        <w:rPr>
          <w:rFonts w:eastAsia="SimSun"/>
          <w:b/>
          <w:bCs/>
        </w:rPr>
        <w:t>recopil</w:t>
      </w:r>
      <w:r w:rsidR="007814BB">
        <w:rPr>
          <w:rFonts w:eastAsia="SimSun"/>
          <w:b/>
          <w:bCs/>
        </w:rPr>
        <w:t>ar</w:t>
      </w:r>
      <w:r w:rsidR="00F350AD" w:rsidRPr="000C7B10">
        <w:rPr>
          <w:rFonts w:eastAsia="SimSun"/>
          <w:b/>
          <w:bCs/>
        </w:rPr>
        <w:t xml:space="preserve"> y proporcion</w:t>
      </w:r>
      <w:r w:rsidR="007814BB">
        <w:rPr>
          <w:rFonts w:eastAsia="SimSun"/>
          <w:b/>
          <w:bCs/>
        </w:rPr>
        <w:t>ar</w:t>
      </w:r>
      <w:r w:rsidR="00F350AD" w:rsidRPr="000C7B10">
        <w:rPr>
          <w:rFonts w:eastAsia="SimSun"/>
          <w:b/>
          <w:bCs/>
        </w:rPr>
        <w:t xml:space="preserve"> datos estadísticos fiables, actualizados y completos sobre la composición demográfica de la población, así como indicadores socioeconómicos desglosados por etnia, género, edad, regiones, zonas urbanas y rurales, incluyendo las más remotas.</w:t>
      </w:r>
      <w:r w:rsidR="00F350AD">
        <w:rPr>
          <w:rFonts w:eastAsia="SimSun"/>
          <w:b/>
          <w:bCs/>
        </w:rPr>
        <w:t xml:space="preserve"> </w:t>
      </w:r>
      <w:r w:rsidR="00290D3E">
        <w:rPr>
          <w:rFonts w:eastAsia="SimSun"/>
          <w:b/>
          <w:bCs/>
        </w:rPr>
        <w:t>Al respecto, el Comité alienta al Estado parte a</w:t>
      </w:r>
      <w:r w:rsidR="007814BB">
        <w:rPr>
          <w:rFonts w:eastAsia="SimSun"/>
          <w:b/>
          <w:bCs/>
        </w:rPr>
        <w:t xml:space="preserve"> que, </w:t>
      </w:r>
      <w:r w:rsidR="007814BB" w:rsidRPr="007814BB">
        <w:rPr>
          <w:rFonts w:eastAsia="SimSun"/>
          <w:b/>
          <w:bCs/>
        </w:rPr>
        <w:t xml:space="preserve">con la participación de la población indígena, </w:t>
      </w:r>
      <w:r w:rsidR="007C50AF" w:rsidRPr="007814BB">
        <w:rPr>
          <w:rFonts w:eastAsia="SimSun"/>
          <w:b/>
          <w:bCs/>
        </w:rPr>
        <w:t>afrode</w:t>
      </w:r>
      <w:r w:rsidR="007C50AF">
        <w:rPr>
          <w:rFonts w:eastAsia="SimSun"/>
          <w:b/>
          <w:bCs/>
        </w:rPr>
        <w:t>scendiente</w:t>
      </w:r>
      <w:r w:rsidR="007814BB" w:rsidRPr="007814BB">
        <w:rPr>
          <w:rFonts w:eastAsia="SimSun"/>
          <w:b/>
          <w:bCs/>
        </w:rPr>
        <w:t xml:space="preserve"> y romaní,</w:t>
      </w:r>
      <w:r w:rsidR="007814BB">
        <w:rPr>
          <w:rFonts w:eastAsia="SimSun"/>
          <w:b/>
          <w:bCs/>
        </w:rPr>
        <w:t xml:space="preserve"> </w:t>
      </w:r>
      <w:r w:rsidR="007814BB" w:rsidRPr="007814BB">
        <w:rPr>
          <w:rFonts w:eastAsia="SimSun"/>
          <w:b/>
          <w:bCs/>
          <w:lang w:val="es-ES_tradnl"/>
        </w:rPr>
        <w:t xml:space="preserve">continúe sus esfuerzos para adoptar una metodología apropiada para </w:t>
      </w:r>
      <w:r w:rsidR="007814BB">
        <w:rPr>
          <w:rFonts w:eastAsia="SimSun"/>
          <w:b/>
          <w:bCs/>
          <w:lang w:val="es-ES_tradnl"/>
        </w:rPr>
        <w:t xml:space="preserve">el próximo </w:t>
      </w:r>
      <w:r w:rsidR="007814BB" w:rsidRPr="007814BB">
        <w:rPr>
          <w:rFonts w:eastAsia="SimSun"/>
          <w:b/>
          <w:bCs/>
          <w:lang w:val="es-ES_tradnl"/>
        </w:rPr>
        <w:t>Censo de Población y Vivienda</w:t>
      </w:r>
      <w:r w:rsidR="007814BB">
        <w:rPr>
          <w:rFonts w:eastAsia="SimSun"/>
          <w:b/>
          <w:bCs/>
          <w:lang w:val="es-ES_tradnl"/>
        </w:rPr>
        <w:t xml:space="preserve"> que asegure la recolección de datos estadísticos </w:t>
      </w:r>
      <w:r w:rsidR="00C518A1">
        <w:rPr>
          <w:rFonts w:eastAsia="SimSun"/>
          <w:b/>
          <w:bCs/>
          <w:lang w:val="es-ES_tradnl"/>
        </w:rPr>
        <w:t xml:space="preserve">exactos y </w:t>
      </w:r>
      <w:r w:rsidR="007814BB">
        <w:rPr>
          <w:rFonts w:eastAsia="SimSun"/>
          <w:b/>
          <w:bCs/>
          <w:lang w:val="es-ES_tradnl"/>
        </w:rPr>
        <w:t xml:space="preserve">fiables de estas poblaciones, y en </w:t>
      </w:r>
      <w:r w:rsidR="00441CD9">
        <w:rPr>
          <w:rFonts w:eastAsia="SimSun"/>
          <w:b/>
          <w:bCs/>
          <w:lang w:val="es-ES_tradnl"/>
        </w:rPr>
        <w:t xml:space="preserve">particular </w:t>
      </w:r>
      <w:r w:rsidR="00441CD9" w:rsidRPr="007814BB">
        <w:rPr>
          <w:rFonts w:eastAsia="SimSun"/>
          <w:b/>
          <w:bCs/>
          <w:lang w:val="es-ES_tradnl"/>
        </w:rPr>
        <w:t>de</w:t>
      </w:r>
      <w:r w:rsidR="007814BB">
        <w:rPr>
          <w:rFonts w:eastAsia="SimSun"/>
          <w:b/>
          <w:bCs/>
        </w:rPr>
        <w:t xml:space="preserve"> la </w:t>
      </w:r>
      <w:r w:rsidR="00290D3E" w:rsidRPr="00290D3E">
        <w:rPr>
          <w:rFonts w:eastAsia="SimSun"/>
          <w:b/>
          <w:bCs/>
        </w:rPr>
        <w:t>población afrocolombiana, negra, palenquera y raizal</w:t>
      </w:r>
      <w:r w:rsidR="007814BB">
        <w:rPr>
          <w:rFonts w:eastAsia="SimSun"/>
          <w:b/>
          <w:bCs/>
        </w:rPr>
        <w:t>.</w:t>
      </w:r>
      <w:r w:rsidR="00290D3E">
        <w:rPr>
          <w:rFonts w:eastAsia="SimSun"/>
          <w:b/>
          <w:bCs/>
        </w:rPr>
        <w:t xml:space="preserve"> </w:t>
      </w:r>
      <w:r w:rsidR="00095F33">
        <w:rPr>
          <w:rFonts w:eastAsia="SimSun"/>
          <w:b/>
          <w:bCs/>
        </w:rPr>
        <w:t xml:space="preserve">Le recomienda </w:t>
      </w:r>
      <w:r w:rsidR="00290D3E">
        <w:rPr>
          <w:rFonts w:eastAsia="SimSun"/>
          <w:b/>
          <w:bCs/>
        </w:rPr>
        <w:t xml:space="preserve">además que proporcione una formación adecuada a los agentes del Departamento Administrativo Nacional de Estadística encargados de realizar el </w:t>
      </w:r>
      <w:r w:rsidR="00290D3E" w:rsidRPr="00290D3E">
        <w:rPr>
          <w:rFonts w:eastAsia="SimSun"/>
          <w:b/>
          <w:bCs/>
        </w:rPr>
        <w:t>Censo de Población y Vivienda</w:t>
      </w:r>
      <w:r w:rsidR="005222A6">
        <w:rPr>
          <w:rFonts w:eastAsia="SimSun"/>
          <w:b/>
          <w:bCs/>
        </w:rPr>
        <w:t xml:space="preserve">, </w:t>
      </w:r>
      <w:r w:rsidR="00290D3E">
        <w:rPr>
          <w:rFonts w:eastAsia="SimSun"/>
          <w:b/>
          <w:bCs/>
        </w:rPr>
        <w:t xml:space="preserve">para asegurar </w:t>
      </w:r>
      <w:r w:rsidR="00C035D4">
        <w:rPr>
          <w:rFonts w:eastAsia="SimSun"/>
          <w:b/>
          <w:bCs/>
        </w:rPr>
        <w:t xml:space="preserve">que el criterio de </w:t>
      </w:r>
      <w:r w:rsidR="004A278D">
        <w:rPr>
          <w:rFonts w:eastAsia="SimSun"/>
          <w:b/>
          <w:bCs/>
        </w:rPr>
        <w:t>autoidentificación</w:t>
      </w:r>
      <w:r w:rsidR="00C035D4">
        <w:rPr>
          <w:rFonts w:eastAsia="SimSun"/>
          <w:b/>
          <w:bCs/>
        </w:rPr>
        <w:t xml:space="preserve"> </w:t>
      </w:r>
      <w:r w:rsidR="00290D3E">
        <w:rPr>
          <w:rFonts w:eastAsia="SimSun"/>
          <w:b/>
          <w:bCs/>
        </w:rPr>
        <w:t xml:space="preserve">sea adecuadamente </w:t>
      </w:r>
      <w:r w:rsidR="00C035D4">
        <w:rPr>
          <w:rFonts w:eastAsia="SimSun"/>
          <w:b/>
          <w:bCs/>
        </w:rPr>
        <w:t xml:space="preserve">aplicado y recabado. </w:t>
      </w:r>
      <w:r w:rsidR="007814BB" w:rsidRPr="007814BB">
        <w:rPr>
          <w:rFonts w:eastAsia="SimSun"/>
          <w:b/>
          <w:bCs/>
        </w:rPr>
        <w:t>El Comité remite al Estado parte a su recomendación general núm. 4 (1973) sobre la presentación de informes por los Estados partes, en cuanto a la composición demográfica de la población.</w:t>
      </w:r>
    </w:p>
    <w:p w14:paraId="444D886B" w14:textId="61297659" w:rsidR="00F350AD" w:rsidRDefault="004842B2" w:rsidP="004842B2">
      <w:pPr>
        <w:pStyle w:val="H23G"/>
      </w:pPr>
      <w:r>
        <w:rPr>
          <w:rFonts w:eastAsia="SimSun"/>
          <w:lang w:val="es-ES_tradnl"/>
        </w:rPr>
        <w:tab/>
      </w:r>
      <w:r>
        <w:rPr>
          <w:rFonts w:eastAsia="SimSun"/>
          <w:lang w:val="es-ES_tradnl"/>
        </w:rPr>
        <w:tab/>
      </w:r>
      <w:r w:rsidR="00F350AD" w:rsidRPr="00A56D79">
        <w:rPr>
          <w:rFonts w:eastAsia="SimSun"/>
          <w:lang w:val="es-ES_tradnl"/>
        </w:rPr>
        <w:t>Definición de discriminación racial</w:t>
      </w:r>
      <w:r w:rsidR="00F350AD">
        <w:rPr>
          <w:rFonts w:eastAsia="SimSun"/>
          <w:b w:val="0"/>
          <w:lang w:val="es-ES_tradnl"/>
        </w:rPr>
        <w:t xml:space="preserve"> </w:t>
      </w:r>
    </w:p>
    <w:p w14:paraId="7DD441E3" w14:textId="1E9E7CFE" w:rsidR="00F350AD" w:rsidRDefault="007432EC" w:rsidP="00B12627">
      <w:pPr>
        <w:pStyle w:val="SingleTxtG"/>
        <w:rPr>
          <w:rFonts w:eastAsia="Calibri"/>
          <w:lang w:eastAsia="en-US"/>
        </w:rPr>
      </w:pPr>
      <w:r>
        <w:rPr>
          <w:rFonts w:eastAsiaTheme="minorHAnsi"/>
          <w:lang w:eastAsia="en-US"/>
        </w:rPr>
        <w:t>6.</w:t>
      </w:r>
      <w:r>
        <w:rPr>
          <w:rFonts w:eastAsiaTheme="minorHAnsi"/>
          <w:lang w:eastAsia="en-US"/>
        </w:rPr>
        <w:tab/>
      </w:r>
      <w:r w:rsidR="00831C09">
        <w:rPr>
          <w:rFonts w:eastAsia="Calibri"/>
          <w:lang w:eastAsia="en-US"/>
        </w:rPr>
        <w:t xml:space="preserve">Preocupa al Comité </w:t>
      </w:r>
      <w:r w:rsidR="00F350AD">
        <w:rPr>
          <w:rFonts w:eastAsia="Calibri"/>
          <w:lang w:eastAsia="en-US"/>
        </w:rPr>
        <w:t xml:space="preserve">que </w:t>
      </w:r>
      <w:r w:rsidR="00F350AD" w:rsidRPr="00703ED1">
        <w:rPr>
          <w:rFonts w:eastAsia="Calibri"/>
          <w:lang w:eastAsia="en-US"/>
        </w:rPr>
        <w:t>la definición de discriminación</w:t>
      </w:r>
      <w:r w:rsidR="00F350AD" w:rsidRPr="00821280">
        <w:rPr>
          <w:rFonts w:eastAsia="Calibri"/>
          <w:lang w:eastAsia="en-US"/>
        </w:rPr>
        <w:t xml:space="preserve"> racial</w:t>
      </w:r>
      <w:r w:rsidR="00F350AD">
        <w:rPr>
          <w:rFonts w:eastAsia="Calibri"/>
          <w:lang w:val="es-ES_tradnl" w:eastAsia="en-US"/>
        </w:rPr>
        <w:t xml:space="preserve"> prevista</w:t>
      </w:r>
      <w:r w:rsidR="00F350AD" w:rsidRPr="001A4318">
        <w:rPr>
          <w:rFonts w:eastAsia="Calibri"/>
          <w:lang w:val="es-ES_tradnl" w:eastAsia="en-US"/>
        </w:rPr>
        <w:t xml:space="preserve"> en la </w:t>
      </w:r>
      <w:r w:rsidR="0066664C">
        <w:rPr>
          <w:rFonts w:eastAsia="Calibri"/>
          <w:lang w:val="es-ES_tradnl" w:eastAsia="en-US"/>
        </w:rPr>
        <w:t>L</w:t>
      </w:r>
      <w:r w:rsidR="00F350AD">
        <w:rPr>
          <w:rFonts w:eastAsia="Calibri"/>
          <w:lang w:val="es-ES_tradnl" w:eastAsia="en-US"/>
        </w:rPr>
        <w:t xml:space="preserve">ey </w:t>
      </w:r>
      <w:r w:rsidR="00F350AD" w:rsidRPr="001A4318">
        <w:rPr>
          <w:rFonts w:eastAsia="Calibri"/>
          <w:lang w:val="es-ES_tradnl" w:eastAsia="en-US"/>
        </w:rPr>
        <w:t xml:space="preserve">1482 de 2011 </w:t>
      </w:r>
      <w:r w:rsidR="00F350AD">
        <w:rPr>
          <w:rFonts w:eastAsia="Calibri"/>
          <w:lang w:val="es-ES_tradnl" w:eastAsia="en-US"/>
        </w:rPr>
        <w:t xml:space="preserve">continúe sin ajustarse </w:t>
      </w:r>
      <w:r w:rsidR="00F350AD" w:rsidRPr="00821280">
        <w:rPr>
          <w:rFonts w:eastAsia="Calibri"/>
          <w:lang w:eastAsia="en-US"/>
        </w:rPr>
        <w:t xml:space="preserve">al artículo 1, párrafo 1, de la </w:t>
      </w:r>
      <w:r w:rsidR="00F350AD" w:rsidRPr="00821280">
        <w:rPr>
          <w:rFonts w:eastAsia="Calibri"/>
          <w:lang w:val="es-ES_tradnl" w:eastAsia="en-US"/>
        </w:rPr>
        <w:t>Convención</w:t>
      </w:r>
      <w:r w:rsidR="00954C83">
        <w:rPr>
          <w:rFonts w:eastAsia="Calibri"/>
          <w:lang w:val="es-ES_tradnl" w:eastAsia="en-US"/>
        </w:rPr>
        <w:t xml:space="preserve">. </w:t>
      </w:r>
      <w:r w:rsidR="00954C83" w:rsidRPr="00954C83">
        <w:rPr>
          <w:rFonts w:eastAsia="Calibri"/>
          <w:lang w:eastAsia="en-US"/>
        </w:rPr>
        <w:t xml:space="preserve">Preocupa además la falta de aplicación efectiva </w:t>
      </w:r>
      <w:r w:rsidR="00954C83">
        <w:rPr>
          <w:rFonts w:eastAsia="Calibri"/>
          <w:lang w:eastAsia="en-US"/>
        </w:rPr>
        <w:t>de dicha</w:t>
      </w:r>
      <w:r w:rsidR="00095F33">
        <w:rPr>
          <w:rFonts w:eastAsia="Calibri"/>
          <w:lang w:eastAsia="en-US"/>
        </w:rPr>
        <w:t xml:space="preserve"> ley</w:t>
      </w:r>
      <w:r w:rsidR="00954C83" w:rsidRPr="00954C83">
        <w:rPr>
          <w:rFonts w:eastAsia="Calibri"/>
          <w:lang w:eastAsia="en-US"/>
        </w:rPr>
        <w:t>, que se refleja en el escaso número de investigaciones y condenas por casos de discriminación racial</w:t>
      </w:r>
      <w:r w:rsidR="00F350AD">
        <w:rPr>
          <w:rFonts w:eastAsia="Calibri"/>
          <w:lang w:val="es-ES_tradnl" w:eastAsia="en-US"/>
        </w:rPr>
        <w:t xml:space="preserve"> </w:t>
      </w:r>
      <w:r w:rsidR="00F350AD">
        <w:rPr>
          <w:rFonts w:eastAsia="Calibri"/>
          <w:lang w:eastAsia="en-US"/>
        </w:rPr>
        <w:t>(art</w:t>
      </w:r>
      <w:r w:rsidR="0066664C">
        <w:rPr>
          <w:rFonts w:eastAsia="Calibri"/>
          <w:lang w:eastAsia="en-US"/>
        </w:rPr>
        <w:t>s</w:t>
      </w:r>
      <w:r w:rsidR="00F350AD">
        <w:rPr>
          <w:rFonts w:eastAsia="Calibri"/>
          <w:lang w:eastAsia="en-US"/>
        </w:rPr>
        <w:t>. 1</w:t>
      </w:r>
      <w:r w:rsidR="00954C83">
        <w:rPr>
          <w:rFonts w:eastAsia="Calibri"/>
          <w:lang w:eastAsia="en-US"/>
        </w:rPr>
        <w:t xml:space="preserve">, </w:t>
      </w:r>
      <w:r w:rsidR="006A2FC0">
        <w:rPr>
          <w:rFonts w:eastAsia="Calibri"/>
          <w:lang w:eastAsia="en-US"/>
        </w:rPr>
        <w:t>2</w:t>
      </w:r>
      <w:r w:rsidR="007905A3">
        <w:rPr>
          <w:rFonts w:eastAsia="Calibri"/>
          <w:lang w:eastAsia="en-US"/>
        </w:rPr>
        <w:t>, 5</w:t>
      </w:r>
      <w:r w:rsidR="00954C83">
        <w:rPr>
          <w:rFonts w:eastAsia="Calibri"/>
          <w:lang w:eastAsia="en-US"/>
        </w:rPr>
        <w:t xml:space="preserve"> y 6</w:t>
      </w:r>
      <w:r w:rsidR="00F350AD">
        <w:rPr>
          <w:rFonts w:eastAsia="Calibri"/>
          <w:lang w:eastAsia="en-US"/>
        </w:rPr>
        <w:t>)</w:t>
      </w:r>
      <w:r w:rsidR="00233C63">
        <w:rPr>
          <w:rFonts w:eastAsia="Calibri"/>
          <w:lang w:eastAsia="en-US"/>
        </w:rPr>
        <w:t>.</w:t>
      </w:r>
    </w:p>
    <w:p w14:paraId="45B7E787" w14:textId="025712E1" w:rsidR="00D72116" w:rsidRDefault="007432EC" w:rsidP="00B12627">
      <w:pPr>
        <w:pStyle w:val="SingleTxtG"/>
        <w:rPr>
          <w:rFonts w:eastAsia="Calibri"/>
          <w:b/>
          <w:lang w:eastAsia="en-US"/>
        </w:rPr>
      </w:pPr>
      <w:r>
        <w:rPr>
          <w:rFonts w:eastAsiaTheme="minorHAnsi"/>
          <w:lang w:eastAsia="en-US"/>
        </w:rPr>
        <w:t>7.</w:t>
      </w:r>
      <w:r>
        <w:rPr>
          <w:rFonts w:eastAsiaTheme="minorHAnsi"/>
          <w:lang w:eastAsia="en-US"/>
        </w:rPr>
        <w:tab/>
      </w:r>
      <w:r w:rsidR="00F350AD" w:rsidRPr="00802587">
        <w:rPr>
          <w:rFonts w:eastAsia="Calibri"/>
          <w:b/>
          <w:lang w:eastAsia="en-US"/>
        </w:rPr>
        <w:t xml:space="preserve">El Comité reitera su recomendación anterior </w:t>
      </w:r>
      <w:r w:rsidR="000312E3">
        <w:rPr>
          <w:rFonts w:eastAsia="Calibri"/>
          <w:b/>
          <w:lang w:eastAsia="en-US"/>
        </w:rPr>
        <w:t>(CERD/C/COL/CO/15-16, párr.</w:t>
      </w:r>
      <w:r w:rsidR="004842B2">
        <w:rPr>
          <w:rFonts w:eastAsia="Calibri"/>
          <w:b/>
          <w:lang w:eastAsia="en-US"/>
        </w:rPr>
        <w:t> </w:t>
      </w:r>
      <w:r w:rsidR="000312E3">
        <w:rPr>
          <w:rFonts w:eastAsia="Calibri"/>
          <w:b/>
          <w:lang w:eastAsia="en-US"/>
        </w:rPr>
        <w:t>10</w:t>
      </w:r>
      <w:r w:rsidR="000312E3" w:rsidRPr="000312E3">
        <w:rPr>
          <w:rFonts w:eastAsia="Calibri"/>
          <w:b/>
          <w:lang w:eastAsia="en-US"/>
        </w:rPr>
        <w:t>)</w:t>
      </w:r>
      <w:r w:rsidR="000312E3" w:rsidRPr="000312E3">
        <w:rPr>
          <w:rFonts w:eastAsia="Calibri"/>
          <w:b/>
          <w:lang w:val="es-ES_tradnl" w:eastAsia="en-US"/>
        </w:rPr>
        <w:t xml:space="preserve"> </w:t>
      </w:r>
      <w:r w:rsidR="00F350AD" w:rsidRPr="00802587">
        <w:rPr>
          <w:rFonts w:eastAsia="Calibri"/>
          <w:b/>
          <w:lang w:eastAsia="en-US"/>
        </w:rPr>
        <w:t>e insta al Estado parte a</w:t>
      </w:r>
      <w:r w:rsidR="00F350AD">
        <w:rPr>
          <w:rFonts w:eastAsia="Calibri"/>
          <w:b/>
          <w:lang w:eastAsia="en-US"/>
        </w:rPr>
        <w:t xml:space="preserve"> </w:t>
      </w:r>
      <w:r w:rsidR="00F350AD" w:rsidRPr="00802587">
        <w:rPr>
          <w:rFonts w:eastAsia="Calibri"/>
          <w:b/>
          <w:lang w:eastAsia="en-US"/>
        </w:rPr>
        <w:t xml:space="preserve">que introduzca </w:t>
      </w:r>
      <w:r w:rsidR="00F350AD">
        <w:rPr>
          <w:rFonts w:eastAsia="Calibri"/>
          <w:b/>
          <w:lang w:eastAsia="en-US"/>
        </w:rPr>
        <w:t xml:space="preserve">en su legislación </w:t>
      </w:r>
      <w:r w:rsidR="00F350AD" w:rsidRPr="00802587">
        <w:rPr>
          <w:rFonts w:eastAsia="Calibri"/>
          <w:b/>
          <w:lang w:eastAsia="en-US"/>
        </w:rPr>
        <w:t xml:space="preserve">una definición de discriminación racial </w:t>
      </w:r>
      <w:r w:rsidR="00F350AD">
        <w:rPr>
          <w:rFonts w:eastAsia="Calibri"/>
          <w:b/>
          <w:lang w:eastAsia="en-US"/>
        </w:rPr>
        <w:t>que est</w:t>
      </w:r>
      <w:r w:rsidR="00991025">
        <w:rPr>
          <w:rFonts w:eastAsia="Calibri"/>
          <w:b/>
          <w:lang w:eastAsia="en-US"/>
        </w:rPr>
        <w:t>é</w:t>
      </w:r>
      <w:r w:rsidR="00F350AD">
        <w:rPr>
          <w:rFonts w:eastAsia="Calibri"/>
          <w:b/>
          <w:lang w:eastAsia="en-US"/>
        </w:rPr>
        <w:t xml:space="preserve"> conforme </w:t>
      </w:r>
      <w:r w:rsidR="00F350AD" w:rsidRPr="00802587">
        <w:rPr>
          <w:rFonts w:eastAsia="Calibri"/>
          <w:b/>
          <w:lang w:eastAsia="en-US"/>
        </w:rPr>
        <w:t xml:space="preserve">con el artículo 1 de la </w:t>
      </w:r>
      <w:r w:rsidR="00F350AD" w:rsidRPr="00802587">
        <w:rPr>
          <w:rFonts w:eastAsia="Calibri"/>
          <w:b/>
          <w:lang w:val="es-ES_tradnl" w:eastAsia="en-US"/>
        </w:rPr>
        <w:t>Convención</w:t>
      </w:r>
      <w:r w:rsidR="00F350AD">
        <w:rPr>
          <w:rFonts w:eastAsia="Calibri"/>
          <w:b/>
          <w:lang w:val="es-ES_tradnl" w:eastAsia="en-US"/>
        </w:rPr>
        <w:t>.</w:t>
      </w:r>
      <w:r w:rsidR="00F350AD" w:rsidRPr="00802587">
        <w:rPr>
          <w:rFonts w:eastAsia="Calibri"/>
          <w:b/>
          <w:lang w:eastAsia="en-US"/>
        </w:rPr>
        <w:t xml:space="preserve"> </w:t>
      </w:r>
      <w:r w:rsidR="00954C83" w:rsidRPr="00954C83">
        <w:rPr>
          <w:rFonts w:eastAsia="Calibri"/>
          <w:b/>
          <w:lang w:eastAsia="en-US"/>
        </w:rPr>
        <w:t xml:space="preserve">El Comité insta al Estado parte a que tome las medidas necesarias para asegurar la aplicación efectiva de la </w:t>
      </w:r>
      <w:r w:rsidR="00C715F3">
        <w:rPr>
          <w:rFonts w:eastAsia="Calibri"/>
          <w:b/>
          <w:lang w:eastAsia="en-US"/>
        </w:rPr>
        <w:t>L</w:t>
      </w:r>
      <w:r w:rsidR="00954C83" w:rsidRPr="00954C83">
        <w:rPr>
          <w:rFonts w:eastAsia="Calibri"/>
          <w:b/>
          <w:lang w:eastAsia="en-US"/>
        </w:rPr>
        <w:t xml:space="preserve">ey 1482 y que lleve a cabo investigaciones exhaustivas de los casos de discriminación racial y sancione debidamente a los responsables. </w:t>
      </w:r>
      <w:r w:rsidR="0010120F">
        <w:rPr>
          <w:rFonts w:eastAsia="Calibri"/>
          <w:b/>
          <w:lang w:val="es-ES_tradnl" w:eastAsia="en-US"/>
        </w:rPr>
        <w:t xml:space="preserve"> </w:t>
      </w:r>
    </w:p>
    <w:p w14:paraId="22C0469A" w14:textId="4090F4C8" w:rsidR="007905A3" w:rsidRDefault="004842B2" w:rsidP="004842B2">
      <w:pPr>
        <w:pStyle w:val="H23G"/>
        <w:rPr>
          <w:rFonts w:eastAsia="Calibri"/>
          <w:lang w:eastAsia="en-US"/>
        </w:rPr>
      </w:pPr>
      <w:r>
        <w:rPr>
          <w:rFonts w:eastAsia="Calibri"/>
          <w:lang w:eastAsia="en-US"/>
        </w:rPr>
        <w:tab/>
      </w:r>
      <w:r>
        <w:rPr>
          <w:rFonts w:eastAsia="Calibri"/>
          <w:lang w:eastAsia="en-US"/>
        </w:rPr>
        <w:tab/>
      </w:r>
      <w:r w:rsidR="00474F1C">
        <w:rPr>
          <w:rFonts w:eastAsia="Calibri"/>
          <w:lang w:eastAsia="en-US"/>
        </w:rPr>
        <w:t>Prohibición de discriminación directa e indirecta</w:t>
      </w:r>
    </w:p>
    <w:p w14:paraId="416192D5" w14:textId="26BDF13B" w:rsidR="007905A3" w:rsidRDefault="007432EC" w:rsidP="00B12627">
      <w:pPr>
        <w:pStyle w:val="SingleTxtG"/>
        <w:rPr>
          <w:rFonts w:eastAsia="Calibri"/>
          <w:lang w:eastAsia="en-US"/>
        </w:rPr>
      </w:pPr>
      <w:r>
        <w:rPr>
          <w:rFonts w:eastAsiaTheme="minorHAnsi"/>
          <w:lang w:eastAsia="en-US"/>
        </w:rPr>
        <w:t>8.</w:t>
      </w:r>
      <w:r>
        <w:rPr>
          <w:rFonts w:eastAsiaTheme="minorHAnsi"/>
          <w:lang w:eastAsia="en-US"/>
        </w:rPr>
        <w:tab/>
      </w:r>
      <w:r w:rsidR="007905A3">
        <w:rPr>
          <w:rFonts w:eastAsia="Calibri"/>
          <w:lang w:eastAsia="en-US"/>
        </w:rPr>
        <w:t>El Comité continúa preocupado por la f</w:t>
      </w:r>
      <w:r w:rsidR="007905A3" w:rsidRPr="001A4318">
        <w:rPr>
          <w:rFonts w:eastAsia="Calibri"/>
          <w:lang w:val="es-ES_tradnl" w:eastAsia="en-US"/>
        </w:rPr>
        <w:t xml:space="preserve">alta de una disposición general en la legislación administrativa o civil que prohíba la </w:t>
      </w:r>
      <w:r w:rsidR="007905A3" w:rsidRPr="00703ED1">
        <w:rPr>
          <w:rFonts w:eastAsia="Calibri"/>
          <w:lang w:val="es-ES_tradnl" w:eastAsia="en-US"/>
        </w:rPr>
        <w:t>discriminación racial</w:t>
      </w:r>
      <w:r w:rsidR="007905A3" w:rsidRPr="00703ED1">
        <w:t xml:space="preserve"> </w:t>
      </w:r>
      <w:r w:rsidR="007905A3" w:rsidRPr="00703ED1">
        <w:rPr>
          <w:rFonts w:eastAsia="Calibri"/>
          <w:lang w:eastAsia="en-US"/>
        </w:rPr>
        <w:t>directa e indirecta en todos los ámbitos de la vida pública</w:t>
      </w:r>
      <w:r w:rsidR="007905A3">
        <w:rPr>
          <w:rFonts w:eastAsia="Calibri"/>
          <w:lang w:eastAsia="en-US"/>
        </w:rPr>
        <w:t xml:space="preserve"> y </w:t>
      </w:r>
      <w:r w:rsidR="007905A3" w:rsidRPr="00703ED1">
        <w:rPr>
          <w:rFonts w:eastAsia="Calibri"/>
          <w:lang w:eastAsia="en-US"/>
        </w:rPr>
        <w:t>en relación con los derechos contenidos en</w:t>
      </w:r>
      <w:r w:rsidR="007905A3">
        <w:rPr>
          <w:rFonts w:eastAsia="Calibri"/>
          <w:lang w:eastAsia="en-US"/>
        </w:rPr>
        <w:t xml:space="preserve"> el artículo 5 de la Convención (</w:t>
      </w:r>
      <w:r w:rsidR="006E1D2A">
        <w:rPr>
          <w:rFonts w:eastAsia="Calibri"/>
          <w:lang w:eastAsia="en-US"/>
        </w:rPr>
        <w:t>art</w:t>
      </w:r>
      <w:r w:rsidR="00C715F3">
        <w:rPr>
          <w:rFonts w:eastAsia="Calibri"/>
          <w:lang w:eastAsia="en-US"/>
        </w:rPr>
        <w:t>s</w:t>
      </w:r>
      <w:r w:rsidR="006E1D2A">
        <w:rPr>
          <w:rFonts w:eastAsia="Calibri"/>
          <w:lang w:eastAsia="en-US"/>
        </w:rPr>
        <w:t xml:space="preserve">. </w:t>
      </w:r>
      <w:r w:rsidR="007905A3">
        <w:rPr>
          <w:rFonts w:eastAsia="Calibri"/>
          <w:lang w:eastAsia="en-US"/>
        </w:rPr>
        <w:t>2</w:t>
      </w:r>
      <w:r w:rsidR="006E1D2A">
        <w:rPr>
          <w:rFonts w:eastAsia="Calibri"/>
          <w:lang w:eastAsia="en-US"/>
        </w:rPr>
        <w:t xml:space="preserve"> y</w:t>
      </w:r>
      <w:r w:rsidR="007905A3">
        <w:rPr>
          <w:rFonts w:eastAsia="Calibri"/>
          <w:lang w:eastAsia="en-US"/>
        </w:rPr>
        <w:t xml:space="preserve"> 5). </w:t>
      </w:r>
    </w:p>
    <w:p w14:paraId="332E2232" w14:textId="246DE383" w:rsidR="007905A3" w:rsidRDefault="007432EC" w:rsidP="00B12627">
      <w:pPr>
        <w:pStyle w:val="SingleTxtG"/>
        <w:rPr>
          <w:rFonts w:eastAsia="Calibri"/>
          <w:b/>
          <w:lang w:eastAsia="en-US"/>
        </w:rPr>
      </w:pPr>
      <w:r>
        <w:rPr>
          <w:rFonts w:eastAsiaTheme="minorHAnsi"/>
          <w:lang w:eastAsia="en-US"/>
        </w:rPr>
        <w:t>9.</w:t>
      </w:r>
      <w:r>
        <w:rPr>
          <w:rFonts w:eastAsiaTheme="minorHAnsi"/>
          <w:lang w:eastAsia="en-US"/>
        </w:rPr>
        <w:tab/>
      </w:r>
      <w:r w:rsidR="0010120F">
        <w:rPr>
          <w:rFonts w:eastAsia="Calibri"/>
          <w:b/>
          <w:lang w:eastAsia="en-US"/>
        </w:rPr>
        <w:t>El Comité</w:t>
      </w:r>
      <w:r w:rsidR="0010120F">
        <w:rPr>
          <w:rFonts w:eastAsia="Calibri"/>
          <w:b/>
          <w:lang w:val="es-ES_tradnl" w:eastAsia="en-US"/>
        </w:rPr>
        <w:t xml:space="preserve"> recomienda</w:t>
      </w:r>
      <w:r w:rsidR="0010120F" w:rsidRPr="00802587">
        <w:rPr>
          <w:rFonts w:eastAsia="Calibri"/>
          <w:b/>
          <w:lang w:eastAsia="en-US"/>
        </w:rPr>
        <w:t xml:space="preserve"> </w:t>
      </w:r>
      <w:r w:rsidR="007F2097">
        <w:rPr>
          <w:rFonts w:eastAsia="Calibri"/>
          <w:b/>
          <w:lang w:eastAsia="en-US"/>
        </w:rPr>
        <w:t xml:space="preserve">al Estado parte </w:t>
      </w:r>
      <w:r w:rsidR="0010120F" w:rsidRPr="00802587">
        <w:rPr>
          <w:rFonts w:eastAsia="Calibri"/>
          <w:b/>
          <w:lang w:eastAsia="en-US"/>
        </w:rPr>
        <w:t xml:space="preserve">que </w:t>
      </w:r>
      <w:r w:rsidR="0010120F">
        <w:rPr>
          <w:rFonts w:eastAsia="Calibri"/>
          <w:b/>
          <w:lang w:eastAsia="en-US"/>
        </w:rPr>
        <w:t>introduzca en su</w:t>
      </w:r>
      <w:r w:rsidR="0010120F" w:rsidRPr="00802587">
        <w:rPr>
          <w:rFonts w:eastAsia="Calibri"/>
          <w:b/>
          <w:lang w:eastAsia="en-US"/>
        </w:rPr>
        <w:t xml:space="preserve"> legislación administrativa y civil la prohibición de la discriminación directa e indirecta en todos los ámbitos de la vida pública, así como en relación con los derechos contenidos en el artículo 5 de la Convención</w:t>
      </w:r>
      <w:r w:rsidR="007F2097">
        <w:rPr>
          <w:rFonts w:eastAsia="Calibri"/>
          <w:b/>
          <w:lang w:eastAsia="en-US"/>
        </w:rPr>
        <w:t>.</w:t>
      </w:r>
    </w:p>
    <w:p w14:paraId="3B25749A" w14:textId="3BA5271C" w:rsidR="00523967" w:rsidRDefault="004842B2" w:rsidP="004842B2">
      <w:pPr>
        <w:pStyle w:val="H23G"/>
        <w:rPr>
          <w:rFonts w:eastAsia="Calibri"/>
          <w:lang w:val="es-419" w:eastAsia="en-US"/>
        </w:rPr>
      </w:pPr>
      <w:r>
        <w:rPr>
          <w:rFonts w:eastAsia="Calibri"/>
          <w:lang w:val="es-419" w:eastAsia="en-US"/>
        </w:rPr>
        <w:lastRenderedPageBreak/>
        <w:tab/>
      </w:r>
      <w:r>
        <w:rPr>
          <w:rFonts w:eastAsia="Calibri"/>
          <w:lang w:val="es-419" w:eastAsia="en-US"/>
        </w:rPr>
        <w:tab/>
      </w:r>
      <w:r w:rsidR="00523967" w:rsidRPr="00D72116">
        <w:rPr>
          <w:rFonts w:eastAsia="Calibri"/>
          <w:lang w:val="es-419" w:eastAsia="en-US"/>
        </w:rPr>
        <w:t xml:space="preserve">Odio </w:t>
      </w:r>
      <w:r w:rsidR="00523967" w:rsidRPr="00D72116">
        <w:rPr>
          <w:rFonts w:eastAsia="Calibri"/>
          <w:lang w:val="es-ES_tradnl" w:eastAsia="en-US"/>
        </w:rPr>
        <w:t>racial</w:t>
      </w:r>
      <w:r w:rsidR="00523967" w:rsidRPr="00D72116">
        <w:rPr>
          <w:rFonts w:eastAsia="Calibri"/>
          <w:lang w:val="es-419" w:eastAsia="en-US"/>
        </w:rPr>
        <w:t xml:space="preserve"> e incitación a la discriminación racial</w:t>
      </w:r>
    </w:p>
    <w:p w14:paraId="1898AC3C" w14:textId="49A0446D" w:rsidR="00D20E1C" w:rsidRDefault="007432EC" w:rsidP="00B12627">
      <w:pPr>
        <w:pStyle w:val="SingleTxtG"/>
        <w:rPr>
          <w:rFonts w:eastAsia="Calibri"/>
          <w:lang w:val="es-ES_tradnl" w:eastAsia="en-US"/>
        </w:rPr>
      </w:pPr>
      <w:r>
        <w:rPr>
          <w:rFonts w:eastAsiaTheme="minorHAnsi"/>
          <w:lang w:val="es-ES_tradnl" w:eastAsia="en-US"/>
        </w:rPr>
        <w:t>10.</w:t>
      </w:r>
      <w:r>
        <w:rPr>
          <w:rFonts w:eastAsiaTheme="minorHAnsi"/>
          <w:lang w:val="es-ES_tradnl" w:eastAsia="en-US"/>
        </w:rPr>
        <w:tab/>
      </w:r>
      <w:r w:rsidR="00F24B3D" w:rsidRPr="00384DFC">
        <w:rPr>
          <w:rFonts w:eastAsia="Calibri"/>
          <w:lang w:eastAsia="en-US"/>
        </w:rPr>
        <w:t>El</w:t>
      </w:r>
      <w:r w:rsidR="00F24B3D">
        <w:rPr>
          <w:rFonts w:eastAsia="Calibri"/>
          <w:b/>
          <w:lang w:eastAsia="en-US"/>
        </w:rPr>
        <w:t xml:space="preserve"> </w:t>
      </w:r>
      <w:r w:rsidR="00523967" w:rsidRPr="00014905">
        <w:rPr>
          <w:rFonts w:eastAsia="Calibri"/>
          <w:lang w:val="es-ES_tradnl" w:eastAsia="en-US"/>
        </w:rPr>
        <w:t xml:space="preserve">Comité </w:t>
      </w:r>
      <w:r w:rsidR="007237A5">
        <w:rPr>
          <w:rFonts w:eastAsia="Calibri"/>
          <w:lang w:val="es-ES_tradnl" w:eastAsia="en-US"/>
        </w:rPr>
        <w:t xml:space="preserve">está preocupado por </w:t>
      </w:r>
      <w:r w:rsidR="00523967" w:rsidRPr="00014905">
        <w:rPr>
          <w:rFonts w:eastAsia="Calibri"/>
          <w:lang w:val="es-ES_tradnl" w:eastAsia="en-US"/>
        </w:rPr>
        <w:t>el aumento del discurso de discriminación, odio racial y xenofobia</w:t>
      </w:r>
      <w:r w:rsidR="00523967">
        <w:rPr>
          <w:rFonts w:eastAsia="Calibri"/>
          <w:lang w:val="es-ES_tradnl" w:eastAsia="en-US"/>
        </w:rPr>
        <w:t xml:space="preserve"> en el Estado parte,</w:t>
      </w:r>
      <w:r w:rsidR="00F24B3D">
        <w:rPr>
          <w:rFonts w:eastAsia="Calibri"/>
          <w:lang w:val="es-ES_tradnl" w:eastAsia="en-US"/>
        </w:rPr>
        <w:t xml:space="preserve"> especialmente</w:t>
      </w:r>
      <w:r w:rsidR="00523967">
        <w:rPr>
          <w:rFonts w:eastAsia="Calibri"/>
          <w:lang w:val="es-ES_tradnl" w:eastAsia="en-US"/>
        </w:rPr>
        <w:t xml:space="preserve"> </w:t>
      </w:r>
      <w:r w:rsidR="00523967" w:rsidRPr="00014905">
        <w:rPr>
          <w:rFonts w:eastAsia="Calibri"/>
          <w:lang w:val="es-ES_tradnl" w:eastAsia="en-US"/>
        </w:rPr>
        <w:t xml:space="preserve">en </w:t>
      </w:r>
      <w:r w:rsidR="00523967" w:rsidRPr="008B0116">
        <w:rPr>
          <w:rFonts w:eastAsia="Calibri"/>
          <w:lang w:val="es-ES_tradnl" w:eastAsia="en-US"/>
        </w:rPr>
        <w:t xml:space="preserve">contra de migrantes, </w:t>
      </w:r>
      <w:r w:rsidR="00523967" w:rsidRPr="00FF54B2">
        <w:rPr>
          <w:rFonts w:eastAsia="Calibri"/>
          <w:lang w:val="es-ES_tradnl" w:eastAsia="en-US"/>
        </w:rPr>
        <w:t xml:space="preserve">particularmente aquellos portadores del VIH y </w:t>
      </w:r>
      <w:r w:rsidR="00A83124">
        <w:rPr>
          <w:rFonts w:eastAsia="Calibri"/>
          <w:lang w:val="es-ES_tradnl" w:eastAsia="en-US"/>
        </w:rPr>
        <w:t xml:space="preserve">migrantes </w:t>
      </w:r>
      <w:r w:rsidR="00523967" w:rsidRPr="00FF54B2">
        <w:rPr>
          <w:rFonts w:eastAsia="Calibri"/>
          <w:lang w:val="es-ES_tradnl" w:eastAsia="en-US"/>
        </w:rPr>
        <w:t>LGTBI</w:t>
      </w:r>
      <w:r w:rsidR="00D20E1C">
        <w:rPr>
          <w:rFonts w:eastAsia="Calibri"/>
          <w:lang w:val="es-ES_tradnl" w:eastAsia="en-US"/>
        </w:rPr>
        <w:t xml:space="preserve">. </w:t>
      </w:r>
      <w:r w:rsidR="00D20E1C" w:rsidRPr="00D20E1C">
        <w:rPr>
          <w:rFonts w:eastAsia="Calibri"/>
          <w:lang w:val="es-ES_tradnl" w:eastAsia="en-US"/>
        </w:rPr>
        <w:t xml:space="preserve">El Comité reitera su preocupación anterior respecto a que </w:t>
      </w:r>
      <w:r w:rsidR="00D20E1C" w:rsidRPr="00D20E1C">
        <w:rPr>
          <w:rFonts w:eastAsia="Calibri"/>
          <w:lang w:eastAsia="en-US"/>
        </w:rPr>
        <w:t>la legislación penal continúe sin estar en plena conformidad con el artículo 4 de la Convención</w:t>
      </w:r>
      <w:r w:rsidR="00D20E1C" w:rsidRPr="00D20E1C">
        <w:rPr>
          <w:rFonts w:eastAsia="Calibri"/>
          <w:lang w:val="es-ES_tradnl" w:eastAsia="en-US"/>
        </w:rPr>
        <w:t xml:space="preserve"> y que aún no se haya incorporado ninguna referencia a cualquier actividad de propaganda que promueva la discriminación racial e inciten a ella </w:t>
      </w:r>
      <w:r w:rsidR="00523967">
        <w:rPr>
          <w:rFonts w:eastAsia="Calibri"/>
          <w:lang w:val="es-ES_tradnl" w:eastAsia="en-US"/>
        </w:rPr>
        <w:t>(art</w:t>
      </w:r>
      <w:r w:rsidR="004D21B4">
        <w:rPr>
          <w:rFonts w:eastAsia="Calibri"/>
          <w:lang w:val="es-ES_tradnl" w:eastAsia="en-US"/>
        </w:rPr>
        <w:t>s</w:t>
      </w:r>
      <w:r w:rsidR="00523967">
        <w:rPr>
          <w:rFonts w:eastAsia="Calibri"/>
          <w:lang w:val="es-ES_tradnl" w:eastAsia="en-US"/>
        </w:rPr>
        <w:t>. 4</w:t>
      </w:r>
      <w:r w:rsidR="00222E45">
        <w:rPr>
          <w:rFonts w:eastAsia="Calibri"/>
          <w:lang w:val="es-ES_tradnl" w:eastAsia="en-US"/>
        </w:rPr>
        <w:t xml:space="preserve"> y</w:t>
      </w:r>
      <w:r w:rsidR="00523967">
        <w:rPr>
          <w:rFonts w:eastAsia="Calibri"/>
          <w:lang w:val="es-ES_tradnl" w:eastAsia="en-US"/>
        </w:rPr>
        <w:t xml:space="preserve"> 6).</w:t>
      </w:r>
    </w:p>
    <w:p w14:paraId="2D745028" w14:textId="41F4063E" w:rsidR="00CB7AAE" w:rsidRPr="007432EC" w:rsidRDefault="007432EC" w:rsidP="00B12627">
      <w:pPr>
        <w:pStyle w:val="SingleTxtG"/>
        <w:rPr>
          <w:rFonts w:eastAsia="SimSun"/>
          <w:b/>
          <w:bCs/>
          <w:lang w:val="es-ES_tradnl"/>
        </w:rPr>
      </w:pPr>
      <w:r w:rsidRPr="007432EC">
        <w:rPr>
          <w:rFonts w:eastAsiaTheme="minorHAnsi"/>
          <w:bCs/>
          <w:lang w:val="es-ES_tradnl"/>
        </w:rPr>
        <w:t>11.</w:t>
      </w:r>
      <w:r w:rsidRPr="007432EC">
        <w:rPr>
          <w:rFonts w:eastAsiaTheme="minorHAnsi"/>
          <w:bCs/>
          <w:lang w:val="es-ES_tradnl"/>
        </w:rPr>
        <w:tab/>
      </w:r>
      <w:r w:rsidR="00960535" w:rsidRPr="00960535">
        <w:rPr>
          <w:rFonts w:eastAsia="Calibri"/>
          <w:b/>
          <w:bCs/>
          <w:lang w:val="es-ES_tradnl" w:eastAsia="en-US"/>
        </w:rPr>
        <w:t>El Comité remite al Estado parte a sus recomendaciones generales núm. 15 (1993) sobre el artículo 4 de la Convención, y núm. 35 (2013) sobre la lucha con</w:t>
      </w:r>
      <w:r w:rsidR="00960535">
        <w:rPr>
          <w:rFonts w:eastAsia="Calibri"/>
          <w:b/>
          <w:bCs/>
          <w:lang w:val="es-ES_tradnl" w:eastAsia="en-US"/>
        </w:rPr>
        <w:t xml:space="preserve">tra el discurso de odio racista y </w:t>
      </w:r>
      <w:r w:rsidR="00910C5E">
        <w:rPr>
          <w:rFonts w:eastAsia="Calibri"/>
          <w:b/>
          <w:lang w:val="es-ES_tradnl" w:eastAsia="en-US"/>
        </w:rPr>
        <w:t>recomienda al Estado parte</w:t>
      </w:r>
      <w:r w:rsidR="00CB7AAE">
        <w:rPr>
          <w:rFonts w:eastAsia="Calibri"/>
          <w:b/>
          <w:lang w:val="es-ES_tradnl" w:eastAsia="en-US"/>
        </w:rPr>
        <w:t>:</w:t>
      </w:r>
    </w:p>
    <w:p w14:paraId="2674487B" w14:textId="247BF1B2" w:rsidR="009C6740" w:rsidRDefault="007432EC" w:rsidP="00B12627">
      <w:pPr>
        <w:pStyle w:val="SingleTxtG"/>
        <w:ind w:firstLine="567"/>
        <w:rPr>
          <w:rFonts w:eastAsia="Calibri"/>
          <w:b/>
          <w:lang w:eastAsia="en-US"/>
        </w:rPr>
      </w:pPr>
      <w:r>
        <w:rPr>
          <w:rFonts w:eastAsia="Calibri"/>
          <w:b/>
          <w:lang w:eastAsia="en-US"/>
        </w:rPr>
        <w:t>a)</w:t>
      </w:r>
      <w:r>
        <w:rPr>
          <w:rFonts w:eastAsia="Calibri"/>
          <w:b/>
          <w:lang w:eastAsia="en-US"/>
        </w:rPr>
        <w:tab/>
      </w:r>
      <w:r w:rsidR="00CB7AAE">
        <w:rPr>
          <w:rFonts w:eastAsia="Calibri"/>
          <w:b/>
          <w:lang w:eastAsia="en-US"/>
        </w:rPr>
        <w:t>A</w:t>
      </w:r>
      <w:r w:rsidR="00C57EC0" w:rsidRPr="00910C5E">
        <w:rPr>
          <w:rFonts w:eastAsia="Calibri"/>
          <w:b/>
          <w:lang w:eastAsia="en-US"/>
        </w:rPr>
        <w:t>doptar</w:t>
      </w:r>
      <w:r w:rsidR="00910C5E" w:rsidRPr="00910C5E">
        <w:rPr>
          <w:rFonts w:eastAsia="Calibri"/>
          <w:b/>
          <w:lang w:eastAsia="en-US"/>
        </w:rPr>
        <w:t xml:space="preserve"> medidas efectivas para prevenir y combatir el discurso de incitación </w:t>
      </w:r>
      <w:r w:rsidR="00783F72">
        <w:rPr>
          <w:rFonts w:eastAsia="Calibri"/>
          <w:b/>
          <w:lang w:eastAsia="en-US"/>
        </w:rPr>
        <w:t xml:space="preserve">al odio y </w:t>
      </w:r>
      <w:r w:rsidR="00910C5E" w:rsidRPr="00910C5E">
        <w:rPr>
          <w:rFonts w:eastAsia="Calibri"/>
          <w:b/>
          <w:lang w:eastAsia="en-US"/>
        </w:rPr>
        <w:t>a la discriminación racial y las manifestaciones de racismo</w:t>
      </w:r>
      <w:r w:rsidR="009C6740">
        <w:rPr>
          <w:rFonts w:eastAsia="Calibri"/>
          <w:b/>
          <w:lang w:eastAsia="en-US"/>
        </w:rPr>
        <w:t>;</w:t>
      </w:r>
    </w:p>
    <w:p w14:paraId="17DFF15C" w14:textId="1040E41D" w:rsidR="00CB7AAE" w:rsidRPr="007432EC" w:rsidRDefault="007432EC" w:rsidP="00B12627">
      <w:pPr>
        <w:pStyle w:val="SingleTxtG"/>
        <w:ind w:firstLine="567"/>
        <w:rPr>
          <w:rFonts w:eastAsia="SimSun"/>
          <w:b/>
          <w:bCs/>
          <w:lang w:val="es-ES_tradnl"/>
        </w:rPr>
      </w:pPr>
      <w:r w:rsidRPr="007432EC">
        <w:rPr>
          <w:rFonts w:eastAsia="SimSun"/>
          <w:b/>
          <w:bCs/>
          <w:lang w:val="es-ES_tradnl"/>
        </w:rPr>
        <w:t>b)</w:t>
      </w:r>
      <w:r w:rsidRPr="007432EC">
        <w:rPr>
          <w:rFonts w:eastAsia="SimSun"/>
          <w:b/>
          <w:bCs/>
          <w:lang w:val="es-ES_tradnl"/>
        </w:rPr>
        <w:tab/>
      </w:r>
      <w:r w:rsidR="009C6740">
        <w:rPr>
          <w:rFonts w:eastAsia="Calibri"/>
          <w:b/>
          <w:lang w:eastAsia="en-US"/>
        </w:rPr>
        <w:t>A</w:t>
      </w:r>
      <w:r w:rsidR="00910C5E" w:rsidRPr="00910C5E">
        <w:rPr>
          <w:rFonts w:eastAsia="Calibri"/>
          <w:b/>
          <w:lang w:eastAsia="en-US"/>
        </w:rPr>
        <w:t>segurar que todos los casos de xenofobia y de incitación al odio</w:t>
      </w:r>
      <w:r w:rsidR="00783F72">
        <w:rPr>
          <w:rFonts w:eastAsia="Calibri"/>
          <w:b/>
          <w:lang w:eastAsia="en-US"/>
        </w:rPr>
        <w:t xml:space="preserve"> y</w:t>
      </w:r>
      <w:r w:rsidR="00D848B4">
        <w:rPr>
          <w:rFonts w:eastAsia="Calibri"/>
          <w:b/>
          <w:lang w:eastAsia="en-US"/>
        </w:rPr>
        <w:t xml:space="preserve"> </w:t>
      </w:r>
      <w:r w:rsidR="00910C5E" w:rsidRPr="00910C5E">
        <w:rPr>
          <w:rFonts w:eastAsia="Calibri"/>
          <w:b/>
          <w:lang w:eastAsia="en-US"/>
        </w:rPr>
        <w:t>a la discriminación racial o a la violencia por motivos de raza sean investigados y que los responsables sean enjuiciados y debidamente castigados</w:t>
      </w:r>
      <w:r w:rsidR="00CB7AAE">
        <w:rPr>
          <w:rFonts w:eastAsia="SimSun"/>
          <w:b/>
        </w:rPr>
        <w:t>;</w:t>
      </w:r>
    </w:p>
    <w:p w14:paraId="003CCDB2" w14:textId="29A9A2D8" w:rsidR="0015045A" w:rsidRDefault="009C6740" w:rsidP="007432EC">
      <w:pPr>
        <w:pStyle w:val="SingleTxtG"/>
        <w:ind w:firstLine="567"/>
        <w:rPr>
          <w:b/>
          <w:lang w:val="es-ES_tradnl"/>
        </w:rPr>
      </w:pPr>
      <w:r>
        <w:rPr>
          <w:rFonts w:eastAsia="Calibri"/>
          <w:b/>
          <w:lang w:val="es-ES_tradnl" w:eastAsia="en-US"/>
        </w:rPr>
        <w:t>c</w:t>
      </w:r>
      <w:r w:rsidR="00CB7AAE">
        <w:rPr>
          <w:rFonts w:eastAsia="Calibri"/>
          <w:b/>
          <w:lang w:val="es-ES_tradnl" w:eastAsia="en-US"/>
        </w:rPr>
        <w:t>)</w:t>
      </w:r>
      <w:r w:rsidR="00807B44">
        <w:rPr>
          <w:rFonts w:eastAsia="SimSun"/>
          <w:b/>
          <w:bCs/>
        </w:rPr>
        <w:tab/>
      </w:r>
      <w:r w:rsidR="0015045A">
        <w:rPr>
          <w:rFonts w:eastAsia="SimSun"/>
          <w:b/>
          <w:bCs/>
        </w:rPr>
        <w:t>R</w:t>
      </w:r>
      <w:r w:rsidR="0061204D" w:rsidRPr="0061204D">
        <w:rPr>
          <w:rFonts w:eastAsia="SimSun"/>
          <w:b/>
          <w:bCs/>
        </w:rPr>
        <w:t>ealizar campañas de sensibilización dirigidas a la población sobre el respeto a la diversidad y la eliminación de la discriminación racial</w:t>
      </w:r>
      <w:r w:rsidR="000E66B7">
        <w:rPr>
          <w:b/>
          <w:lang w:val="es-ES_tradnl"/>
        </w:rPr>
        <w:t>;</w:t>
      </w:r>
    </w:p>
    <w:p w14:paraId="0EEBB7D2" w14:textId="31FA3E2B" w:rsidR="00CB7AAE" w:rsidRDefault="0015045A" w:rsidP="007432EC">
      <w:pPr>
        <w:pStyle w:val="SingleTxtG"/>
        <w:ind w:firstLine="567"/>
        <w:rPr>
          <w:rFonts w:eastAsia="SimSun"/>
          <w:b/>
          <w:bCs/>
          <w:lang w:val="es-ES_tradnl"/>
        </w:rPr>
      </w:pPr>
      <w:r>
        <w:rPr>
          <w:rFonts w:eastAsia="Calibri"/>
          <w:b/>
          <w:lang w:val="es-ES_tradnl" w:eastAsia="en-US"/>
        </w:rPr>
        <w:t>d)</w:t>
      </w:r>
      <w:r w:rsidR="00807B44">
        <w:rPr>
          <w:rFonts w:eastAsia="Calibri"/>
          <w:b/>
          <w:lang w:val="es-ES_tradnl" w:eastAsia="en-US"/>
        </w:rPr>
        <w:tab/>
      </w:r>
      <w:r w:rsidR="00A64876">
        <w:rPr>
          <w:rFonts w:eastAsia="SimSun"/>
          <w:b/>
          <w:bCs/>
          <w:lang w:val="es-ES_tradnl"/>
        </w:rPr>
        <w:t>T</w:t>
      </w:r>
      <w:r w:rsidR="00D20E1C" w:rsidRPr="00D20E1C">
        <w:rPr>
          <w:rFonts w:eastAsia="SimSun"/>
          <w:b/>
          <w:bCs/>
          <w:lang w:val="es-ES_tradnl"/>
        </w:rPr>
        <w:t>ipifi</w:t>
      </w:r>
      <w:r>
        <w:rPr>
          <w:rFonts w:eastAsia="SimSun"/>
          <w:b/>
          <w:bCs/>
          <w:lang w:val="es-ES_tradnl"/>
        </w:rPr>
        <w:t>car</w:t>
      </w:r>
      <w:r w:rsidR="00D20E1C" w:rsidRPr="00D20E1C">
        <w:rPr>
          <w:rFonts w:eastAsia="SimSun"/>
          <w:b/>
          <w:bCs/>
          <w:lang w:val="es-ES_tradnl"/>
        </w:rPr>
        <w:t xml:space="preserve"> como delitos la difusión de ideas que justifiquen o promuevan el odio racial y proh</w:t>
      </w:r>
      <w:r>
        <w:rPr>
          <w:rFonts w:eastAsia="SimSun"/>
          <w:b/>
          <w:bCs/>
          <w:lang w:val="es-ES_tradnl"/>
        </w:rPr>
        <w:t>ibir</w:t>
      </w:r>
      <w:r w:rsidR="00D20E1C" w:rsidRPr="00D20E1C">
        <w:rPr>
          <w:rFonts w:eastAsia="SimSun"/>
          <w:b/>
          <w:bCs/>
          <w:lang w:val="es-ES_tradnl"/>
        </w:rPr>
        <w:t xml:space="preserve"> las organizaciones que promuevan la discriminación racial e inciten a ella</w:t>
      </w:r>
      <w:r w:rsidR="00A64876">
        <w:rPr>
          <w:rFonts w:eastAsia="SimSun"/>
          <w:b/>
          <w:bCs/>
          <w:lang w:val="es-ES_tradnl"/>
        </w:rPr>
        <w:t>, e</w:t>
      </w:r>
      <w:r w:rsidR="00A64876" w:rsidRPr="00A64876">
        <w:rPr>
          <w:rFonts w:eastAsia="SimSun"/>
          <w:b/>
          <w:bCs/>
          <w:lang w:val="es-ES_tradnl"/>
        </w:rPr>
        <w:t>n cumplimiento con las anteriores</w:t>
      </w:r>
      <w:r w:rsidR="00A64876">
        <w:rPr>
          <w:rFonts w:eastAsia="SimSun"/>
          <w:b/>
          <w:bCs/>
          <w:lang w:val="es-ES_tradnl"/>
        </w:rPr>
        <w:t xml:space="preserve"> recomendaciones de este Comité.</w:t>
      </w:r>
    </w:p>
    <w:p w14:paraId="3E2E2D77" w14:textId="5AC253F5" w:rsidR="00F350AD" w:rsidRPr="00E3547B" w:rsidRDefault="004842B2" w:rsidP="004842B2">
      <w:pPr>
        <w:pStyle w:val="H23G"/>
        <w:rPr>
          <w:lang w:val="es-ES_tradnl"/>
        </w:rPr>
      </w:pPr>
      <w:r>
        <w:rPr>
          <w:lang w:val="es-ES_tradnl"/>
        </w:rPr>
        <w:tab/>
      </w:r>
      <w:r>
        <w:rPr>
          <w:lang w:val="es-ES_tradnl"/>
        </w:rPr>
        <w:tab/>
      </w:r>
      <w:r w:rsidR="00F350AD" w:rsidRPr="003374C9">
        <w:rPr>
          <w:lang w:val="es-ES_tradnl"/>
        </w:rPr>
        <w:t xml:space="preserve">Impacto del conflicto armado, </w:t>
      </w:r>
      <w:r w:rsidR="00D9151A">
        <w:rPr>
          <w:lang w:val="es-ES_tradnl"/>
        </w:rPr>
        <w:t>A</w:t>
      </w:r>
      <w:r w:rsidR="00F350AD" w:rsidRPr="003374C9">
        <w:rPr>
          <w:lang w:val="es-ES_tradnl"/>
        </w:rPr>
        <w:t xml:space="preserve">cuerdo de </w:t>
      </w:r>
      <w:r w:rsidR="00D9151A">
        <w:rPr>
          <w:lang w:val="es-ES_tradnl"/>
        </w:rPr>
        <w:t>P</w:t>
      </w:r>
      <w:r w:rsidR="00F350AD" w:rsidRPr="003374C9">
        <w:rPr>
          <w:lang w:val="es-ES_tradnl"/>
        </w:rPr>
        <w:t>az, justicia y reparación</w:t>
      </w:r>
    </w:p>
    <w:p w14:paraId="0C92FE8F" w14:textId="60D61718" w:rsidR="00A0665A" w:rsidRPr="00900534" w:rsidRDefault="007432EC" w:rsidP="00B12627">
      <w:pPr>
        <w:pStyle w:val="SingleTxtG"/>
        <w:rPr>
          <w:bCs/>
        </w:rPr>
      </w:pPr>
      <w:r w:rsidRPr="00900534">
        <w:rPr>
          <w:rFonts w:eastAsiaTheme="minorHAnsi"/>
          <w:bCs/>
        </w:rPr>
        <w:t>12.</w:t>
      </w:r>
      <w:r w:rsidRPr="00900534">
        <w:rPr>
          <w:rFonts w:eastAsiaTheme="minorHAnsi"/>
          <w:bCs/>
        </w:rPr>
        <w:tab/>
      </w:r>
      <w:r w:rsidR="00F350AD" w:rsidRPr="008228EE">
        <w:rPr>
          <w:lang w:val="es-ES_tradnl"/>
        </w:rPr>
        <w:t>Preocupa</w:t>
      </w:r>
      <w:r w:rsidR="00F1309A">
        <w:rPr>
          <w:lang w:val="es-ES_tradnl"/>
        </w:rPr>
        <w:t xml:space="preserve"> </w:t>
      </w:r>
      <w:r w:rsidR="00F350AD" w:rsidRPr="008228EE">
        <w:rPr>
          <w:lang w:val="es-ES_tradnl"/>
        </w:rPr>
        <w:t xml:space="preserve">al Comité </w:t>
      </w:r>
      <w:r w:rsidR="00F350AD">
        <w:rPr>
          <w:lang w:val="es-ES_tradnl"/>
        </w:rPr>
        <w:t>la</w:t>
      </w:r>
      <w:r w:rsidR="00F350AD" w:rsidRPr="008228EE">
        <w:rPr>
          <w:bCs/>
        </w:rPr>
        <w:t xml:space="preserve"> violencia que todav</w:t>
      </w:r>
      <w:r w:rsidR="00F350AD">
        <w:rPr>
          <w:bCs/>
        </w:rPr>
        <w:t>ía persiste</w:t>
      </w:r>
      <w:r w:rsidR="00F350AD" w:rsidRPr="008228EE">
        <w:rPr>
          <w:bCs/>
        </w:rPr>
        <w:t xml:space="preserve"> después de la firma de</w:t>
      </w:r>
      <w:r w:rsidR="00F350AD">
        <w:rPr>
          <w:bCs/>
        </w:rPr>
        <w:t xml:space="preserve">l </w:t>
      </w:r>
      <w:r w:rsidR="00D9151A">
        <w:rPr>
          <w:bCs/>
        </w:rPr>
        <w:t>A</w:t>
      </w:r>
      <w:r w:rsidR="00F350AD">
        <w:rPr>
          <w:bCs/>
        </w:rPr>
        <w:t>cuerdo</w:t>
      </w:r>
      <w:r w:rsidR="00F350AD" w:rsidRPr="008228EE">
        <w:rPr>
          <w:bCs/>
        </w:rPr>
        <w:t xml:space="preserve"> de </w:t>
      </w:r>
      <w:r w:rsidR="00D9151A">
        <w:rPr>
          <w:bCs/>
        </w:rPr>
        <w:t>P</w:t>
      </w:r>
      <w:r w:rsidR="00F350AD" w:rsidRPr="008228EE">
        <w:rPr>
          <w:bCs/>
        </w:rPr>
        <w:t>az y que afecta y pone en grave peligro a los pueblos indígenas y las comunidades afro</w:t>
      </w:r>
      <w:r w:rsidR="00D848B4">
        <w:rPr>
          <w:bCs/>
        </w:rPr>
        <w:t>descendientes</w:t>
      </w:r>
      <w:r w:rsidR="00F350AD" w:rsidRPr="008228EE">
        <w:rPr>
          <w:bCs/>
        </w:rPr>
        <w:t xml:space="preserve">. En particular, </w:t>
      </w:r>
      <w:r w:rsidR="00F350AD">
        <w:rPr>
          <w:bCs/>
        </w:rPr>
        <w:t xml:space="preserve">le </w:t>
      </w:r>
      <w:r w:rsidR="00F350AD" w:rsidRPr="008228EE">
        <w:rPr>
          <w:bCs/>
        </w:rPr>
        <w:t xml:space="preserve">preocupan las incursiones paramilitares en territorios habitados por </w:t>
      </w:r>
      <w:r w:rsidR="00F350AD">
        <w:rPr>
          <w:bCs/>
        </w:rPr>
        <w:t>estas poblaciones</w:t>
      </w:r>
      <w:r w:rsidR="00F350AD" w:rsidRPr="008228EE">
        <w:rPr>
          <w:bCs/>
        </w:rPr>
        <w:t>;</w:t>
      </w:r>
      <w:r w:rsidR="00CB58DC" w:rsidRPr="008228EE">
        <w:rPr>
          <w:bCs/>
        </w:rPr>
        <w:t xml:space="preserve"> </w:t>
      </w:r>
      <w:r w:rsidR="00CB58DC">
        <w:rPr>
          <w:bCs/>
          <w:lang w:val="es-MX"/>
        </w:rPr>
        <w:t>l</w:t>
      </w:r>
      <w:r w:rsidR="00F1309A">
        <w:rPr>
          <w:bCs/>
          <w:lang w:val="es-MX"/>
        </w:rPr>
        <w:t xml:space="preserve">os </w:t>
      </w:r>
      <w:r w:rsidR="00CB58DC" w:rsidRPr="003F2B58">
        <w:rPr>
          <w:bCs/>
        </w:rPr>
        <w:t>homicidios selectivos de miembros de comunidades afrodescendientes y pueblos indígenas;</w:t>
      </w:r>
      <w:r w:rsidR="00CB58DC">
        <w:rPr>
          <w:bCs/>
        </w:rPr>
        <w:t xml:space="preserve"> </w:t>
      </w:r>
      <w:r w:rsidR="004C3376">
        <w:rPr>
          <w:bCs/>
        </w:rPr>
        <w:t>el</w:t>
      </w:r>
      <w:r w:rsidR="00CB58DC" w:rsidRPr="008228EE">
        <w:rPr>
          <w:lang w:val="es-ES_tradnl"/>
        </w:rPr>
        <w:t xml:space="preserve"> aumento </w:t>
      </w:r>
      <w:r w:rsidR="00F1309A">
        <w:rPr>
          <w:lang w:val="es-ES_tradnl"/>
        </w:rPr>
        <w:t xml:space="preserve">de los </w:t>
      </w:r>
      <w:r w:rsidR="00CB58DC" w:rsidRPr="008228EE">
        <w:rPr>
          <w:bCs/>
        </w:rPr>
        <w:t xml:space="preserve">desplazamientos internos forzados y masivos, </w:t>
      </w:r>
      <w:r w:rsidR="004C3376">
        <w:rPr>
          <w:bCs/>
        </w:rPr>
        <w:t>así</w:t>
      </w:r>
      <w:r w:rsidR="002A28AD">
        <w:rPr>
          <w:bCs/>
        </w:rPr>
        <w:t xml:space="preserve"> como </w:t>
      </w:r>
      <w:r w:rsidR="00CB58DC" w:rsidRPr="008228EE">
        <w:rPr>
          <w:bCs/>
        </w:rPr>
        <w:t>la falta de protección de estas poblaciones</w:t>
      </w:r>
      <w:r w:rsidR="00A0665A">
        <w:rPr>
          <w:bCs/>
          <w:lang w:val="es-ES_tradnl"/>
        </w:rPr>
        <w:t xml:space="preserve">; </w:t>
      </w:r>
      <w:r w:rsidR="00C71E87">
        <w:rPr>
          <w:bCs/>
          <w:lang w:val="es-ES_tradnl"/>
        </w:rPr>
        <w:t xml:space="preserve">y </w:t>
      </w:r>
      <w:r w:rsidR="00A0665A" w:rsidRPr="008228EE">
        <w:rPr>
          <w:bCs/>
        </w:rPr>
        <w:t xml:space="preserve">la continuación de la práctica de reclutamiento </w:t>
      </w:r>
      <w:r w:rsidR="00A0665A" w:rsidRPr="008228EE">
        <w:rPr>
          <w:bCs/>
          <w:lang w:val="es-MX"/>
        </w:rPr>
        <w:t>de niños</w:t>
      </w:r>
      <w:r w:rsidR="005B5D88">
        <w:rPr>
          <w:bCs/>
          <w:lang w:val="es-MX"/>
        </w:rPr>
        <w:t xml:space="preserve"> y niñas </w:t>
      </w:r>
      <w:r w:rsidR="00A0665A" w:rsidRPr="008228EE">
        <w:rPr>
          <w:bCs/>
          <w:lang w:val="es-MX"/>
        </w:rPr>
        <w:t>indígenas y afro</w:t>
      </w:r>
      <w:r w:rsidR="004D6581">
        <w:rPr>
          <w:bCs/>
          <w:lang w:val="es-MX"/>
        </w:rPr>
        <w:t>descendientes</w:t>
      </w:r>
      <w:r w:rsidR="00A0665A" w:rsidRPr="008228EE">
        <w:rPr>
          <w:bCs/>
          <w:lang w:val="es-MX"/>
        </w:rPr>
        <w:t xml:space="preserve"> por grupos armados no estatales</w:t>
      </w:r>
      <w:r w:rsidR="00620D63">
        <w:rPr>
          <w:bCs/>
          <w:lang w:val="es-MX"/>
        </w:rPr>
        <w:t>.</w:t>
      </w:r>
      <w:r w:rsidR="00ED5B05">
        <w:rPr>
          <w:bCs/>
          <w:lang w:val="es-MX"/>
        </w:rPr>
        <w:t xml:space="preserve"> </w:t>
      </w:r>
      <w:r w:rsidR="00A0665A" w:rsidRPr="008B0116">
        <w:rPr>
          <w:bCs/>
        </w:rPr>
        <w:t xml:space="preserve">Preocupa también al Comité </w:t>
      </w:r>
      <w:r w:rsidR="00EF7CFC" w:rsidRPr="008B0116">
        <w:rPr>
          <w:bCs/>
        </w:rPr>
        <w:t xml:space="preserve">la información relativa a </w:t>
      </w:r>
      <w:r w:rsidR="00A0665A" w:rsidRPr="008B0116">
        <w:rPr>
          <w:bCs/>
        </w:rPr>
        <w:t>que los informes de riesgo emitid</w:t>
      </w:r>
      <w:r w:rsidR="00EF7CFC" w:rsidRPr="008B0116">
        <w:rPr>
          <w:bCs/>
        </w:rPr>
        <w:t>o</w:t>
      </w:r>
      <w:r w:rsidR="00A0665A" w:rsidRPr="008B0116">
        <w:rPr>
          <w:bCs/>
        </w:rPr>
        <w:t xml:space="preserve">s por el </w:t>
      </w:r>
      <w:r w:rsidR="00530A35">
        <w:rPr>
          <w:bCs/>
        </w:rPr>
        <w:t>s</w:t>
      </w:r>
      <w:r w:rsidR="00A0665A" w:rsidRPr="008B0116">
        <w:rPr>
          <w:bCs/>
        </w:rPr>
        <w:t xml:space="preserve">istema de </w:t>
      </w:r>
      <w:r w:rsidR="00530A35">
        <w:rPr>
          <w:bCs/>
        </w:rPr>
        <w:t>a</w:t>
      </w:r>
      <w:r w:rsidR="00A0665A" w:rsidRPr="008B0116">
        <w:rPr>
          <w:bCs/>
        </w:rPr>
        <w:t xml:space="preserve">lertas </w:t>
      </w:r>
      <w:r w:rsidR="00530A35">
        <w:rPr>
          <w:bCs/>
        </w:rPr>
        <w:t>t</w:t>
      </w:r>
      <w:r w:rsidR="00A0665A" w:rsidRPr="008B0116">
        <w:rPr>
          <w:bCs/>
        </w:rPr>
        <w:t>empranas de la Defensoría del Pueblo no sean debidamente considerad</w:t>
      </w:r>
      <w:r w:rsidR="00EF7CFC" w:rsidRPr="008B0116">
        <w:rPr>
          <w:bCs/>
        </w:rPr>
        <w:t>o</w:t>
      </w:r>
      <w:r w:rsidR="00A0665A" w:rsidRPr="008B0116">
        <w:rPr>
          <w:bCs/>
        </w:rPr>
        <w:t xml:space="preserve">s por la </w:t>
      </w:r>
      <w:r w:rsidR="00537E8C">
        <w:rPr>
          <w:bCs/>
        </w:rPr>
        <w:t>c</w:t>
      </w:r>
      <w:r w:rsidR="00A0665A" w:rsidRPr="008B0116">
        <w:rPr>
          <w:bCs/>
        </w:rPr>
        <w:t xml:space="preserve">omisión </w:t>
      </w:r>
      <w:r w:rsidR="00537E8C">
        <w:rPr>
          <w:bCs/>
        </w:rPr>
        <w:t>i</w:t>
      </w:r>
      <w:r w:rsidR="00A0665A" w:rsidRPr="008B0116">
        <w:rPr>
          <w:bCs/>
        </w:rPr>
        <w:t xml:space="preserve">ntersectorial para la </w:t>
      </w:r>
      <w:r w:rsidR="00537E8C">
        <w:rPr>
          <w:bCs/>
        </w:rPr>
        <w:t>r</w:t>
      </w:r>
      <w:r w:rsidR="00A0665A" w:rsidRPr="008B0116">
        <w:rPr>
          <w:bCs/>
        </w:rPr>
        <w:t xml:space="preserve">espuesta </w:t>
      </w:r>
      <w:r w:rsidR="00537E8C">
        <w:rPr>
          <w:bCs/>
        </w:rPr>
        <w:t>r</w:t>
      </w:r>
      <w:r w:rsidR="00A0665A" w:rsidRPr="008B0116">
        <w:rPr>
          <w:bCs/>
        </w:rPr>
        <w:t xml:space="preserve">ápida a las </w:t>
      </w:r>
      <w:r w:rsidR="00537E8C">
        <w:rPr>
          <w:bCs/>
        </w:rPr>
        <w:t>a</w:t>
      </w:r>
      <w:r w:rsidR="00A0665A" w:rsidRPr="008B0116">
        <w:rPr>
          <w:bCs/>
        </w:rPr>
        <w:t xml:space="preserve">lertas </w:t>
      </w:r>
      <w:r w:rsidR="00537E8C">
        <w:rPr>
          <w:bCs/>
        </w:rPr>
        <w:t>t</w:t>
      </w:r>
      <w:r w:rsidR="00A0665A" w:rsidRPr="008B0116">
        <w:rPr>
          <w:bCs/>
        </w:rPr>
        <w:t xml:space="preserve">empranas </w:t>
      </w:r>
      <w:r w:rsidR="00A0665A" w:rsidRPr="008B0116">
        <w:rPr>
          <w:bCs/>
          <w:lang w:val="es-CO"/>
        </w:rPr>
        <w:t xml:space="preserve">y que </w:t>
      </w:r>
      <w:r w:rsidR="00A0665A" w:rsidRPr="008B0116">
        <w:rPr>
          <w:bCs/>
        </w:rPr>
        <w:t xml:space="preserve">las recomendaciones emitidas por el Ministerio del Interior sobre los informes de riesgo emitidos por el </w:t>
      </w:r>
      <w:r w:rsidR="004D21B4">
        <w:rPr>
          <w:bCs/>
        </w:rPr>
        <w:t>sistema de alerta</w:t>
      </w:r>
      <w:r w:rsidR="007450AD">
        <w:rPr>
          <w:bCs/>
        </w:rPr>
        <w:t>s</w:t>
      </w:r>
      <w:r w:rsidR="004D21B4">
        <w:rPr>
          <w:bCs/>
        </w:rPr>
        <w:t xml:space="preserve"> temprana</w:t>
      </w:r>
      <w:r w:rsidR="007450AD">
        <w:rPr>
          <w:bCs/>
        </w:rPr>
        <w:t>s</w:t>
      </w:r>
      <w:r w:rsidR="004D21B4">
        <w:rPr>
          <w:bCs/>
        </w:rPr>
        <w:t xml:space="preserve"> </w:t>
      </w:r>
      <w:r w:rsidR="00A0665A" w:rsidRPr="008B0116">
        <w:rPr>
          <w:bCs/>
        </w:rPr>
        <w:t xml:space="preserve">no sean debidamente </w:t>
      </w:r>
      <w:r w:rsidR="005433B6" w:rsidRPr="008B0116">
        <w:rPr>
          <w:bCs/>
        </w:rPr>
        <w:t xml:space="preserve">implementadas </w:t>
      </w:r>
      <w:r w:rsidR="005433B6" w:rsidRPr="00900534">
        <w:rPr>
          <w:bCs/>
        </w:rPr>
        <w:t>(</w:t>
      </w:r>
      <w:r w:rsidR="00A0665A" w:rsidRPr="00900534">
        <w:rPr>
          <w:bCs/>
        </w:rPr>
        <w:t>art</w:t>
      </w:r>
      <w:r w:rsidR="009C1078">
        <w:rPr>
          <w:bCs/>
        </w:rPr>
        <w:t>s</w:t>
      </w:r>
      <w:r w:rsidR="00A0665A" w:rsidRPr="00900534">
        <w:rPr>
          <w:bCs/>
        </w:rPr>
        <w:t>.</w:t>
      </w:r>
      <w:r w:rsidR="00453B56">
        <w:rPr>
          <w:bCs/>
        </w:rPr>
        <w:t xml:space="preserve"> 2,</w:t>
      </w:r>
      <w:r w:rsidR="00A0665A" w:rsidRPr="00900534">
        <w:rPr>
          <w:bCs/>
        </w:rPr>
        <w:t xml:space="preserve"> 5 y 6).</w:t>
      </w:r>
    </w:p>
    <w:p w14:paraId="6CBAA4E4" w14:textId="3DC59AF2" w:rsidR="00A0665A" w:rsidRPr="005433B6" w:rsidRDefault="007432EC" w:rsidP="00B12627">
      <w:pPr>
        <w:pStyle w:val="SingleTxtG"/>
        <w:rPr>
          <w:b/>
          <w:bCs/>
          <w:lang w:val="es-ES_tradnl"/>
        </w:rPr>
      </w:pPr>
      <w:r w:rsidRPr="005433B6">
        <w:rPr>
          <w:rFonts w:eastAsiaTheme="minorHAnsi"/>
          <w:bCs/>
          <w:lang w:val="es-ES_tradnl"/>
        </w:rPr>
        <w:t>13.</w:t>
      </w:r>
      <w:r w:rsidRPr="005433B6">
        <w:rPr>
          <w:rFonts w:eastAsiaTheme="minorHAnsi"/>
          <w:bCs/>
          <w:lang w:val="es-ES_tradnl"/>
        </w:rPr>
        <w:tab/>
      </w:r>
      <w:r w:rsidR="00A0665A" w:rsidRPr="005433B6">
        <w:rPr>
          <w:b/>
          <w:bCs/>
          <w:lang w:val="es-ES_tradnl"/>
        </w:rPr>
        <w:t xml:space="preserve">El Comité reitera su recomendación anterior </w:t>
      </w:r>
      <w:r w:rsidR="004842B2">
        <w:rPr>
          <w:b/>
          <w:bCs/>
        </w:rPr>
        <w:t>(CERD/C/COL/CO/15-16, párr. </w:t>
      </w:r>
      <w:r w:rsidR="007326DD">
        <w:rPr>
          <w:b/>
          <w:bCs/>
        </w:rPr>
        <w:t>12</w:t>
      </w:r>
      <w:r w:rsidR="007326DD" w:rsidRPr="007326DD">
        <w:rPr>
          <w:b/>
          <w:bCs/>
        </w:rPr>
        <w:t xml:space="preserve">) </w:t>
      </w:r>
      <w:r w:rsidR="00A0665A" w:rsidRPr="005433B6">
        <w:rPr>
          <w:b/>
          <w:bCs/>
          <w:lang w:val="es-ES_tradnl"/>
        </w:rPr>
        <w:t xml:space="preserve">y urge al Estado parte a: </w:t>
      </w:r>
    </w:p>
    <w:p w14:paraId="4BDB624D" w14:textId="2229EF14" w:rsidR="00453B56" w:rsidRPr="004842B2" w:rsidRDefault="007432EC" w:rsidP="00B12627">
      <w:pPr>
        <w:pStyle w:val="SingleTxtG"/>
        <w:ind w:firstLine="567"/>
        <w:rPr>
          <w:b/>
        </w:rPr>
      </w:pPr>
      <w:r w:rsidRPr="004842B2">
        <w:rPr>
          <w:b/>
        </w:rPr>
        <w:t>a)</w:t>
      </w:r>
      <w:r w:rsidRPr="004842B2">
        <w:rPr>
          <w:b/>
        </w:rPr>
        <w:tab/>
      </w:r>
      <w:r w:rsidR="007D264E" w:rsidRPr="004842B2">
        <w:rPr>
          <w:b/>
        </w:rPr>
        <w:t>Redoblar sus esfuerzos para g</w:t>
      </w:r>
      <w:r w:rsidR="00453B56" w:rsidRPr="004842B2">
        <w:rPr>
          <w:b/>
        </w:rPr>
        <w:t xml:space="preserve">arantizar </w:t>
      </w:r>
      <w:r w:rsidR="00C03EA6" w:rsidRPr="004842B2">
        <w:rPr>
          <w:b/>
        </w:rPr>
        <w:t>la</w:t>
      </w:r>
      <w:r w:rsidR="00453B56" w:rsidRPr="004842B2">
        <w:rPr>
          <w:b/>
        </w:rPr>
        <w:t xml:space="preserve"> protección de los pueblos indígenas y </w:t>
      </w:r>
      <w:r w:rsidR="00C71E87" w:rsidRPr="004842B2">
        <w:rPr>
          <w:b/>
        </w:rPr>
        <w:t xml:space="preserve">comunidades </w:t>
      </w:r>
      <w:r w:rsidR="00453B56" w:rsidRPr="004842B2">
        <w:rPr>
          <w:b/>
        </w:rPr>
        <w:t xml:space="preserve">afrodescendientes con respecto </w:t>
      </w:r>
      <w:r w:rsidR="00BD24F5" w:rsidRPr="004842B2">
        <w:rPr>
          <w:b/>
        </w:rPr>
        <w:t xml:space="preserve">a la violencia </w:t>
      </w:r>
      <w:r w:rsidR="007D264E" w:rsidRPr="004842B2">
        <w:rPr>
          <w:b/>
        </w:rPr>
        <w:t xml:space="preserve">que todavía persiste </w:t>
      </w:r>
      <w:r w:rsidR="00D848B4" w:rsidRPr="004842B2">
        <w:rPr>
          <w:b/>
        </w:rPr>
        <w:t xml:space="preserve">en el marco del conflicto </w:t>
      </w:r>
      <w:r w:rsidR="007D264E" w:rsidRPr="004842B2">
        <w:rPr>
          <w:b/>
        </w:rPr>
        <w:t xml:space="preserve">y que sigue teniendo un </w:t>
      </w:r>
      <w:r w:rsidR="00453B56" w:rsidRPr="004842B2">
        <w:rPr>
          <w:b/>
        </w:rPr>
        <w:t xml:space="preserve">impacto desproporcionado </w:t>
      </w:r>
      <w:r w:rsidR="007D264E" w:rsidRPr="004842B2">
        <w:rPr>
          <w:b/>
        </w:rPr>
        <w:t>en estas poblaciones</w:t>
      </w:r>
      <w:r w:rsidR="007963F4">
        <w:rPr>
          <w:b/>
        </w:rPr>
        <w:t xml:space="preserve">, asegurando el pleno cumplimiento de las resoluciones de la Corte Constitucional </w:t>
      </w:r>
      <w:r w:rsidR="00F62198">
        <w:rPr>
          <w:b/>
        </w:rPr>
        <w:t xml:space="preserve">emitidas </w:t>
      </w:r>
      <w:r w:rsidR="007963F4">
        <w:rPr>
          <w:b/>
        </w:rPr>
        <w:t>al respecto</w:t>
      </w:r>
      <w:r w:rsidR="007D264E" w:rsidRPr="004842B2">
        <w:rPr>
          <w:b/>
        </w:rPr>
        <w:t>;</w:t>
      </w:r>
    </w:p>
    <w:p w14:paraId="7E180B58" w14:textId="601F0C5B" w:rsidR="00FE18F8" w:rsidRPr="00EC3DD5" w:rsidRDefault="007432EC" w:rsidP="00B12627">
      <w:pPr>
        <w:pStyle w:val="SingleTxtG"/>
        <w:ind w:firstLine="567"/>
        <w:rPr>
          <w:b/>
        </w:rPr>
      </w:pPr>
      <w:r w:rsidRPr="00EC3DD5">
        <w:rPr>
          <w:b/>
        </w:rPr>
        <w:t>b)</w:t>
      </w:r>
      <w:r w:rsidRPr="00EC3DD5">
        <w:rPr>
          <w:b/>
        </w:rPr>
        <w:tab/>
      </w:r>
      <w:r w:rsidR="00C03EA6" w:rsidRPr="00EC3DD5">
        <w:rPr>
          <w:b/>
        </w:rPr>
        <w:t xml:space="preserve">Garantizar </w:t>
      </w:r>
      <w:r w:rsidR="00FE18F8" w:rsidRPr="00EC3DD5">
        <w:rPr>
          <w:b/>
        </w:rPr>
        <w:t xml:space="preserve">una protección adecuada contra el desplazamiento forzoso, respetando los derechos, costumbres, tradiciones y cultura de los pueblos indígenas, </w:t>
      </w:r>
      <w:r w:rsidR="00900B87" w:rsidRPr="00900B87">
        <w:rPr>
          <w:b/>
        </w:rPr>
        <w:t xml:space="preserve">asegurando el pleno cumplimiento de las resoluciones de la Corte Constitucional emitidas al respecto </w:t>
      </w:r>
      <w:r w:rsidR="00900B87">
        <w:rPr>
          <w:b/>
        </w:rPr>
        <w:t xml:space="preserve">y </w:t>
      </w:r>
      <w:r w:rsidR="00FE18F8" w:rsidRPr="00900B87">
        <w:rPr>
          <w:b/>
        </w:rPr>
        <w:t xml:space="preserve">teniendo en cuenta lo dispuesto en el artículo 10 de la Declaración de las Naciones Unidas sobre los Derechos de los Pueblos Indígenas y garantizar, cuando sea posible, la opción del regreso; </w:t>
      </w:r>
    </w:p>
    <w:p w14:paraId="4BAB28D5" w14:textId="617BE720" w:rsidR="00FE18F8" w:rsidRPr="004842B2" w:rsidRDefault="007432EC" w:rsidP="00B12627">
      <w:pPr>
        <w:pStyle w:val="SingleTxtG"/>
        <w:ind w:firstLine="567"/>
        <w:rPr>
          <w:b/>
        </w:rPr>
      </w:pPr>
      <w:r w:rsidRPr="004842B2">
        <w:rPr>
          <w:b/>
        </w:rPr>
        <w:t>c)</w:t>
      </w:r>
      <w:r w:rsidRPr="004842B2">
        <w:rPr>
          <w:b/>
        </w:rPr>
        <w:tab/>
      </w:r>
      <w:r w:rsidR="00FE18F8" w:rsidRPr="004842B2">
        <w:rPr>
          <w:b/>
        </w:rPr>
        <w:t>Intensificar sus esfuerzos para prevenir y eliminar el reclutamiento de niños y niñas indígenas</w:t>
      </w:r>
      <w:r w:rsidR="005B5D88" w:rsidRPr="004842B2">
        <w:rPr>
          <w:b/>
        </w:rPr>
        <w:t xml:space="preserve"> y</w:t>
      </w:r>
      <w:r w:rsidR="008F677E" w:rsidRPr="004842B2">
        <w:rPr>
          <w:b/>
        </w:rPr>
        <w:t xml:space="preserve"> </w:t>
      </w:r>
      <w:r w:rsidR="00FE18F8" w:rsidRPr="004842B2">
        <w:rPr>
          <w:b/>
        </w:rPr>
        <w:t>afro</w:t>
      </w:r>
      <w:r w:rsidR="004D6581" w:rsidRPr="004842B2">
        <w:rPr>
          <w:b/>
        </w:rPr>
        <w:t>descendientes</w:t>
      </w:r>
      <w:r w:rsidR="00FE18F8" w:rsidRPr="004842B2">
        <w:rPr>
          <w:b/>
        </w:rPr>
        <w:t xml:space="preserve"> por parte de grupos armados no estatales y asegurar la aplicación efectiva de las medidas adoptadas para su desmovilización y reintegración;</w:t>
      </w:r>
    </w:p>
    <w:p w14:paraId="0DA6C2F3" w14:textId="119BDC70" w:rsidR="00064007" w:rsidRPr="007432EC" w:rsidRDefault="007432EC" w:rsidP="00B12627">
      <w:pPr>
        <w:pStyle w:val="SingleTxtG"/>
        <w:ind w:firstLine="567"/>
        <w:rPr>
          <w:b/>
        </w:rPr>
      </w:pPr>
      <w:r w:rsidRPr="007432EC">
        <w:rPr>
          <w:b/>
        </w:rPr>
        <w:lastRenderedPageBreak/>
        <w:t>d)</w:t>
      </w:r>
      <w:r w:rsidRPr="007432EC">
        <w:rPr>
          <w:b/>
        </w:rPr>
        <w:tab/>
      </w:r>
      <w:r w:rsidR="00064007" w:rsidRPr="00C64212">
        <w:rPr>
          <w:b/>
        </w:rPr>
        <w:t xml:space="preserve">Asegurar que los informes de riesgo emitidos por el </w:t>
      </w:r>
      <w:r w:rsidR="004D21B4" w:rsidRPr="007432EC">
        <w:rPr>
          <w:b/>
        </w:rPr>
        <w:t>sistema de alerta</w:t>
      </w:r>
      <w:r w:rsidR="00136C0D">
        <w:rPr>
          <w:b/>
        </w:rPr>
        <w:t>s</w:t>
      </w:r>
      <w:r w:rsidR="004D21B4" w:rsidRPr="007432EC">
        <w:rPr>
          <w:b/>
        </w:rPr>
        <w:t xml:space="preserve"> temprana</w:t>
      </w:r>
      <w:r w:rsidR="00136C0D">
        <w:rPr>
          <w:b/>
        </w:rPr>
        <w:t>s</w:t>
      </w:r>
      <w:r w:rsidR="004D21B4" w:rsidRPr="007432EC">
        <w:rPr>
          <w:b/>
        </w:rPr>
        <w:t xml:space="preserve"> </w:t>
      </w:r>
      <w:r w:rsidR="00064007" w:rsidRPr="00C64212">
        <w:rPr>
          <w:b/>
        </w:rPr>
        <w:t xml:space="preserve">sean debidamente tomados en cuenta por las autoridades correspondientes, particularmente por </w:t>
      </w:r>
      <w:r w:rsidR="000C5C7E" w:rsidRPr="00C64212">
        <w:rPr>
          <w:b/>
        </w:rPr>
        <w:t xml:space="preserve">la </w:t>
      </w:r>
      <w:r w:rsidR="000C5C7E" w:rsidRPr="007432EC">
        <w:rPr>
          <w:b/>
        </w:rPr>
        <w:t>comisión intersectorial</w:t>
      </w:r>
      <w:r w:rsidR="00B63799" w:rsidRPr="00B63799">
        <w:rPr>
          <w:bCs/>
        </w:rPr>
        <w:t xml:space="preserve"> </w:t>
      </w:r>
      <w:r w:rsidR="00B63799" w:rsidRPr="00B63799">
        <w:rPr>
          <w:b/>
          <w:bCs/>
        </w:rPr>
        <w:t xml:space="preserve">para la respuesta rápida a las alertas </w:t>
      </w:r>
      <w:proofErr w:type="gramStart"/>
      <w:r w:rsidR="00B63799" w:rsidRPr="00B63799">
        <w:rPr>
          <w:b/>
          <w:bCs/>
        </w:rPr>
        <w:t>tempranas</w:t>
      </w:r>
      <w:r w:rsidR="00B63799" w:rsidRPr="00B63799" w:rsidDel="000C5C7E">
        <w:rPr>
          <w:b/>
        </w:rPr>
        <w:t xml:space="preserve"> </w:t>
      </w:r>
      <w:r w:rsidR="00064007" w:rsidRPr="00C64212">
        <w:rPr>
          <w:b/>
        </w:rPr>
        <w:t>,</w:t>
      </w:r>
      <w:proofErr w:type="gramEnd"/>
      <w:r w:rsidR="00064007" w:rsidRPr="00C64212">
        <w:rPr>
          <w:b/>
        </w:rPr>
        <w:t xml:space="preserve"> y que las recomendaciones emitidas por el Ministerio del Interior sobre los informes de riesgo emitidos por el </w:t>
      </w:r>
      <w:r w:rsidR="004D21B4" w:rsidRPr="007432EC">
        <w:rPr>
          <w:b/>
        </w:rPr>
        <w:t>sistema de alerta</w:t>
      </w:r>
      <w:r w:rsidR="00136C0D">
        <w:rPr>
          <w:b/>
        </w:rPr>
        <w:t>s</w:t>
      </w:r>
      <w:r w:rsidR="004D21B4" w:rsidRPr="007432EC">
        <w:rPr>
          <w:b/>
        </w:rPr>
        <w:t xml:space="preserve"> temprana</w:t>
      </w:r>
      <w:r w:rsidR="00136C0D">
        <w:rPr>
          <w:b/>
        </w:rPr>
        <w:t>s</w:t>
      </w:r>
      <w:r w:rsidR="004D21B4" w:rsidRPr="007432EC">
        <w:rPr>
          <w:b/>
        </w:rPr>
        <w:t xml:space="preserve"> </w:t>
      </w:r>
      <w:r w:rsidR="00EF7CFC" w:rsidRPr="00C64212">
        <w:rPr>
          <w:b/>
        </w:rPr>
        <w:t>sean debidamente implementadas.</w:t>
      </w:r>
    </w:p>
    <w:p w14:paraId="705E5299" w14:textId="695EA8F7" w:rsidR="00FE18F8" w:rsidRPr="00F73B5F" w:rsidRDefault="007432EC" w:rsidP="00B12627">
      <w:pPr>
        <w:pStyle w:val="SingleTxtG"/>
        <w:rPr>
          <w:bCs/>
        </w:rPr>
      </w:pPr>
      <w:r w:rsidRPr="00F73B5F">
        <w:rPr>
          <w:rFonts w:eastAsiaTheme="minorHAnsi"/>
          <w:bCs/>
        </w:rPr>
        <w:t>14.</w:t>
      </w:r>
      <w:r w:rsidRPr="00F73B5F">
        <w:rPr>
          <w:rFonts w:eastAsiaTheme="minorHAnsi"/>
          <w:bCs/>
        </w:rPr>
        <w:tab/>
      </w:r>
      <w:r w:rsidR="00FA3EA4">
        <w:rPr>
          <w:bCs/>
        </w:rPr>
        <w:t xml:space="preserve">El </w:t>
      </w:r>
      <w:r w:rsidR="007C52D7">
        <w:rPr>
          <w:bCs/>
        </w:rPr>
        <w:t xml:space="preserve">Comité </w:t>
      </w:r>
      <w:r w:rsidR="00FA3EA4">
        <w:rPr>
          <w:bCs/>
        </w:rPr>
        <w:t xml:space="preserve">toma nota </w:t>
      </w:r>
      <w:r w:rsidR="00A83C6D">
        <w:rPr>
          <w:bCs/>
        </w:rPr>
        <w:t xml:space="preserve">de </w:t>
      </w:r>
      <w:r w:rsidR="00FA3EA4">
        <w:rPr>
          <w:bCs/>
        </w:rPr>
        <w:t xml:space="preserve">la introducción del </w:t>
      </w:r>
      <w:r w:rsidR="00FA3EA4" w:rsidRPr="00FA3EA4">
        <w:rPr>
          <w:bCs/>
        </w:rPr>
        <w:t>“</w:t>
      </w:r>
      <w:r w:rsidR="00D9151A">
        <w:rPr>
          <w:bCs/>
        </w:rPr>
        <w:t>c</w:t>
      </w:r>
      <w:r w:rsidR="00FA3EA4" w:rsidRPr="00FA3EA4">
        <w:rPr>
          <w:bCs/>
        </w:rPr>
        <w:t xml:space="preserve">apítulo </w:t>
      </w:r>
      <w:r w:rsidR="00D9151A">
        <w:rPr>
          <w:bCs/>
        </w:rPr>
        <w:t>é</w:t>
      </w:r>
      <w:r w:rsidR="00FA3EA4" w:rsidRPr="00FA3EA4">
        <w:rPr>
          <w:bCs/>
        </w:rPr>
        <w:t>tnico”</w:t>
      </w:r>
      <w:r w:rsidR="00FA3EA4">
        <w:rPr>
          <w:bCs/>
          <w:lang w:val="es-CO"/>
        </w:rPr>
        <w:t xml:space="preserve"> en </w:t>
      </w:r>
      <w:r w:rsidR="008E73AD">
        <w:rPr>
          <w:bCs/>
          <w:lang w:val="es-CO"/>
        </w:rPr>
        <w:t xml:space="preserve">el </w:t>
      </w:r>
      <w:r w:rsidR="008E73AD" w:rsidRPr="00FA3EA4">
        <w:rPr>
          <w:bCs/>
        </w:rPr>
        <w:t>Acuerdo</w:t>
      </w:r>
      <w:r w:rsidR="00FA3EA4">
        <w:rPr>
          <w:bCs/>
        </w:rPr>
        <w:t xml:space="preserve"> de P</w:t>
      </w:r>
      <w:r w:rsidR="00FA3EA4" w:rsidRPr="00FA3EA4">
        <w:rPr>
          <w:bCs/>
        </w:rPr>
        <w:t>az</w:t>
      </w:r>
      <w:r w:rsidR="00FA3EA4" w:rsidRPr="008B0116">
        <w:rPr>
          <w:bCs/>
        </w:rPr>
        <w:t>.</w:t>
      </w:r>
      <w:r w:rsidR="00FA3EA4">
        <w:rPr>
          <w:bCs/>
        </w:rPr>
        <w:t xml:space="preserve"> Sin embargo, le preocupa la información relativa a </w:t>
      </w:r>
      <w:r w:rsidR="00FE18F8" w:rsidRPr="00BA68C4">
        <w:rPr>
          <w:bCs/>
        </w:rPr>
        <w:t xml:space="preserve">la falta de implementación </w:t>
      </w:r>
      <w:r w:rsidR="00FA3EA4">
        <w:rPr>
          <w:bCs/>
        </w:rPr>
        <w:t xml:space="preserve">de las disposiciones de este capítulo, </w:t>
      </w:r>
      <w:r w:rsidR="00FE18F8">
        <w:rPr>
          <w:bCs/>
        </w:rPr>
        <w:t>así como la falta de</w:t>
      </w:r>
      <w:r w:rsidR="00FE18F8" w:rsidRPr="00BA68C4">
        <w:rPr>
          <w:bCs/>
        </w:rPr>
        <w:t xml:space="preserve"> garantías para la participación efectiva de los pueblos indígenas y las comunidades afrodescendientes </w:t>
      </w:r>
      <w:r w:rsidR="00FA3EA4">
        <w:rPr>
          <w:bCs/>
        </w:rPr>
        <w:t xml:space="preserve">en la </w:t>
      </w:r>
      <w:r w:rsidR="00FE18F8" w:rsidRPr="00BA68C4">
        <w:rPr>
          <w:bCs/>
        </w:rPr>
        <w:t>implementación</w:t>
      </w:r>
      <w:r w:rsidR="00FA3EA4">
        <w:rPr>
          <w:bCs/>
        </w:rPr>
        <w:t xml:space="preserve"> del Acuerdo de Paz</w:t>
      </w:r>
      <w:r w:rsidR="00FE18F8" w:rsidRPr="00BA68C4">
        <w:rPr>
          <w:bCs/>
        </w:rPr>
        <w:t xml:space="preserve">. </w:t>
      </w:r>
      <w:r w:rsidR="00FE18F8" w:rsidRPr="003F2B58">
        <w:rPr>
          <w:bCs/>
        </w:rPr>
        <w:t>Preocupa además la falta de avances en las investigaciones</w:t>
      </w:r>
      <w:r w:rsidR="00FE18F8">
        <w:rPr>
          <w:bCs/>
        </w:rPr>
        <w:t>,</w:t>
      </w:r>
      <w:r w:rsidR="00FE18F8" w:rsidRPr="003F2B58">
        <w:rPr>
          <w:bCs/>
        </w:rPr>
        <w:t xml:space="preserve"> enjuiciamientos, sanciones a los responsables</w:t>
      </w:r>
      <w:r w:rsidR="00FE18F8">
        <w:rPr>
          <w:bCs/>
        </w:rPr>
        <w:t xml:space="preserve"> </w:t>
      </w:r>
      <w:r w:rsidR="00FE18F8" w:rsidRPr="003F2B58">
        <w:rPr>
          <w:bCs/>
        </w:rPr>
        <w:t xml:space="preserve">y reparaciones otorgadas relativas a las violaciones de derechos humanos cometidas contra miembros de pueblos indígenas y </w:t>
      </w:r>
      <w:r w:rsidR="004D6581">
        <w:rPr>
          <w:bCs/>
        </w:rPr>
        <w:t xml:space="preserve">comunidades </w:t>
      </w:r>
      <w:r w:rsidR="00FE18F8" w:rsidRPr="003F2B58">
        <w:rPr>
          <w:bCs/>
        </w:rPr>
        <w:t>afro</w:t>
      </w:r>
      <w:r w:rsidR="004D6581">
        <w:rPr>
          <w:bCs/>
        </w:rPr>
        <w:t>descendientes</w:t>
      </w:r>
      <w:r w:rsidR="00FE18F8" w:rsidRPr="003F2B58">
        <w:rPr>
          <w:bCs/>
        </w:rPr>
        <w:t xml:space="preserve"> en el marco del conflicto armado, incluyendo las reparaciones colectivas como a la</w:t>
      </w:r>
      <w:r w:rsidR="006E4BF1" w:rsidRPr="006E4BF1">
        <w:rPr>
          <w:bCs/>
        </w:rPr>
        <w:t xml:space="preserve"> Coordinación de Mujeres Afrodescendientes</w:t>
      </w:r>
      <w:r w:rsidR="006E4BF1">
        <w:rPr>
          <w:bCs/>
        </w:rPr>
        <w:t xml:space="preserve"> Desplazadas en Resistencia </w:t>
      </w:r>
      <w:r w:rsidR="00E12C62" w:rsidRPr="00E3547B">
        <w:rPr>
          <w:bCs/>
        </w:rPr>
        <w:t>(art</w:t>
      </w:r>
      <w:r w:rsidR="009C1078">
        <w:rPr>
          <w:bCs/>
        </w:rPr>
        <w:t>s</w:t>
      </w:r>
      <w:r w:rsidR="00E12C62" w:rsidRPr="00E3547B">
        <w:rPr>
          <w:bCs/>
        </w:rPr>
        <w:t>. 2, 5 y 6)</w:t>
      </w:r>
      <w:r w:rsidR="00E3547B">
        <w:rPr>
          <w:bCs/>
        </w:rPr>
        <w:t>.</w:t>
      </w:r>
    </w:p>
    <w:p w14:paraId="6D93AFC4" w14:textId="1A3C12EF" w:rsidR="00FE18F8" w:rsidRDefault="007432EC" w:rsidP="00B12627">
      <w:pPr>
        <w:pStyle w:val="SingleTxtG"/>
        <w:rPr>
          <w:b/>
          <w:bCs/>
        </w:rPr>
      </w:pPr>
      <w:r>
        <w:rPr>
          <w:rFonts w:eastAsiaTheme="minorHAnsi"/>
          <w:bCs/>
        </w:rPr>
        <w:t>15.</w:t>
      </w:r>
      <w:r>
        <w:rPr>
          <w:rFonts w:eastAsiaTheme="minorHAnsi"/>
          <w:bCs/>
        </w:rPr>
        <w:tab/>
      </w:r>
      <w:r w:rsidR="00FE18F8" w:rsidRPr="00354087">
        <w:rPr>
          <w:b/>
          <w:bCs/>
        </w:rPr>
        <w:t xml:space="preserve">El Comité recomienda al Estado parte: </w:t>
      </w:r>
    </w:p>
    <w:p w14:paraId="55CAD987" w14:textId="7B417BEC" w:rsidR="00FE18F8" w:rsidRPr="00C22AB8" w:rsidRDefault="007432EC" w:rsidP="00B12627">
      <w:pPr>
        <w:pStyle w:val="SingleTxtG"/>
        <w:ind w:firstLine="567"/>
        <w:rPr>
          <w:b/>
        </w:rPr>
      </w:pPr>
      <w:r w:rsidRPr="00C22AB8">
        <w:rPr>
          <w:b/>
        </w:rPr>
        <w:t>a)</w:t>
      </w:r>
      <w:r w:rsidRPr="00C22AB8">
        <w:rPr>
          <w:b/>
        </w:rPr>
        <w:tab/>
      </w:r>
      <w:r w:rsidR="00FE18F8" w:rsidRPr="00C22AB8">
        <w:rPr>
          <w:b/>
        </w:rPr>
        <w:t xml:space="preserve">Garantizar la implementación del </w:t>
      </w:r>
      <w:r w:rsidR="002E65D9">
        <w:rPr>
          <w:b/>
        </w:rPr>
        <w:t>c</w:t>
      </w:r>
      <w:r w:rsidR="00FE18F8" w:rsidRPr="00C22AB8">
        <w:rPr>
          <w:b/>
        </w:rPr>
        <w:t>ap</w:t>
      </w:r>
      <w:r w:rsidR="002E65D9">
        <w:rPr>
          <w:b/>
        </w:rPr>
        <w:t>í</w:t>
      </w:r>
      <w:r w:rsidR="00FE18F8" w:rsidRPr="00C22AB8">
        <w:rPr>
          <w:b/>
        </w:rPr>
        <w:t xml:space="preserve">tulo </w:t>
      </w:r>
      <w:r w:rsidR="002E65D9">
        <w:rPr>
          <w:b/>
        </w:rPr>
        <w:t>é</w:t>
      </w:r>
      <w:r w:rsidR="00FE18F8" w:rsidRPr="00C22AB8">
        <w:rPr>
          <w:b/>
        </w:rPr>
        <w:t xml:space="preserve">tnico del </w:t>
      </w:r>
      <w:r w:rsidR="003C7164" w:rsidRPr="00C22AB8">
        <w:rPr>
          <w:b/>
        </w:rPr>
        <w:t>A</w:t>
      </w:r>
      <w:r w:rsidR="00FE18F8" w:rsidRPr="00C22AB8">
        <w:rPr>
          <w:b/>
        </w:rPr>
        <w:t xml:space="preserve">cuerdo de </w:t>
      </w:r>
      <w:r w:rsidR="003C7164" w:rsidRPr="00C22AB8">
        <w:rPr>
          <w:b/>
        </w:rPr>
        <w:t>P</w:t>
      </w:r>
      <w:r w:rsidR="00FE18F8" w:rsidRPr="00C22AB8">
        <w:rPr>
          <w:b/>
        </w:rPr>
        <w:t xml:space="preserve">az, incluyendo a través de una financiación apropiada, y asegurar la participación de los miembros de los pueblos indígenas y </w:t>
      </w:r>
      <w:r w:rsidR="004D6581" w:rsidRPr="00C22AB8">
        <w:rPr>
          <w:b/>
        </w:rPr>
        <w:t>comunidades afrodescendientes</w:t>
      </w:r>
      <w:r w:rsidR="00FE18F8" w:rsidRPr="00C22AB8">
        <w:rPr>
          <w:b/>
        </w:rPr>
        <w:t xml:space="preserve">, </w:t>
      </w:r>
      <w:r w:rsidR="00526589" w:rsidRPr="00C22AB8">
        <w:rPr>
          <w:b/>
        </w:rPr>
        <w:t>especialmente</w:t>
      </w:r>
      <w:r w:rsidR="00FE18F8" w:rsidRPr="00C22AB8">
        <w:rPr>
          <w:b/>
        </w:rPr>
        <w:t xml:space="preserve"> mujeres, en la implementación del acuerdo</w:t>
      </w:r>
      <w:r w:rsidR="00FD590F" w:rsidRPr="007432EC">
        <w:rPr>
          <w:b/>
        </w:rPr>
        <w:t>, respetando los procesos de selección tradicional de los pueblos indígenas y las comunidades afrodescendientes</w:t>
      </w:r>
      <w:r w:rsidR="00D654DF">
        <w:rPr>
          <w:b/>
        </w:rPr>
        <w:t>;</w:t>
      </w:r>
    </w:p>
    <w:p w14:paraId="6207FC76" w14:textId="6F85039D" w:rsidR="00FE18F8" w:rsidRPr="004842B2" w:rsidRDefault="007432EC" w:rsidP="00B12627">
      <w:pPr>
        <w:pStyle w:val="SingleTxtG"/>
        <w:ind w:firstLine="567"/>
        <w:rPr>
          <w:b/>
        </w:rPr>
      </w:pPr>
      <w:r w:rsidRPr="004842B2">
        <w:rPr>
          <w:b/>
        </w:rPr>
        <w:t>b)</w:t>
      </w:r>
      <w:r w:rsidRPr="004842B2">
        <w:rPr>
          <w:b/>
        </w:rPr>
        <w:tab/>
      </w:r>
      <w:r w:rsidR="00FE18F8" w:rsidRPr="004842B2">
        <w:rPr>
          <w:b/>
        </w:rPr>
        <w:t>Llevar</w:t>
      </w:r>
      <w:r w:rsidR="0006108B" w:rsidRPr="004842B2">
        <w:rPr>
          <w:b/>
        </w:rPr>
        <w:t xml:space="preserve"> a</w:t>
      </w:r>
      <w:r w:rsidR="00FE18F8" w:rsidRPr="004842B2">
        <w:rPr>
          <w:b/>
        </w:rPr>
        <w:t xml:space="preserve"> cabo investigaciones exhaustivas y eficaces a fin de procesar y sancionar a los responsables de las violaciones de derechos humanos cometidas contra miembros de pueblos indígenas y </w:t>
      </w:r>
      <w:r w:rsidR="004D6581" w:rsidRPr="004842B2">
        <w:rPr>
          <w:b/>
        </w:rPr>
        <w:t xml:space="preserve">comunidades </w:t>
      </w:r>
      <w:r w:rsidR="00E1497E" w:rsidRPr="004842B2">
        <w:rPr>
          <w:b/>
        </w:rPr>
        <w:t xml:space="preserve">afrodescendientes </w:t>
      </w:r>
      <w:r w:rsidR="00A47AA5">
        <w:rPr>
          <w:b/>
        </w:rPr>
        <w:t xml:space="preserve">afectados por </w:t>
      </w:r>
      <w:r w:rsidR="00FE18F8" w:rsidRPr="004842B2">
        <w:rPr>
          <w:b/>
        </w:rPr>
        <w:t xml:space="preserve">el conflicto armado y adoptar las medidas necesarias para asegurar una reparación integral a las víctimas, </w:t>
      </w:r>
      <w:r w:rsidR="00D555E2">
        <w:rPr>
          <w:b/>
        </w:rPr>
        <w:t>garantizando</w:t>
      </w:r>
      <w:r w:rsidR="0006108B" w:rsidRPr="004842B2">
        <w:rPr>
          <w:b/>
        </w:rPr>
        <w:t xml:space="preserve"> </w:t>
      </w:r>
      <w:r w:rsidR="00FE18F8" w:rsidRPr="004842B2">
        <w:rPr>
          <w:b/>
        </w:rPr>
        <w:t>la asignación de los recursos necesarios.</w:t>
      </w:r>
    </w:p>
    <w:p w14:paraId="3EE8B539" w14:textId="79666E24" w:rsidR="00FE18F8" w:rsidRPr="00064D4D" w:rsidRDefault="00FE18F8" w:rsidP="008E28C2">
      <w:pPr>
        <w:keepNext/>
        <w:keepLines/>
        <w:tabs>
          <w:tab w:val="right" w:pos="851"/>
        </w:tabs>
        <w:suppressAutoHyphens/>
        <w:spacing w:before="240" w:after="120" w:line="240" w:lineRule="exact"/>
        <w:ind w:left="1134" w:right="1134" w:hanging="1134"/>
        <w:rPr>
          <w:rFonts w:eastAsia="SimSun"/>
          <w:b/>
        </w:rPr>
      </w:pPr>
      <w:r w:rsidRPr="006676AD">
        <w:rPr>
          <w:rFonts w:eastAsia="SimSun"/>
          <w:b/>
        </w:rPr>
        <w:tab/>
      </w:r>
      <w:r w:rsidRPr="006676AD">
        <w:rPr>
          <w:rFonts w:eastAsia="SimSun"/>
          <w:b/>
        </w:rPr>
        <w:tab/>
      </w:r>
      <w:r w:rsidRPr="00064D4D">
        <w:rPr>
          <w:rFonts w:eastAsia="SimSun"/>
          <w:b/>
        </w:rPr>
        <w:t>Disc</w:t>
      </w:r>
      <w:r w:rsidR="00684991">
        <w:rPr>
          <w:rFonts w:eastAsia="SimSun"/>
          <w:b/>
        </w:rPr>
        <w:t>riminación estructural</w:t>
      </w:r>
    </w:p>
    <w:p w14:paraId="3175AA25" w14:textId="110248A3" w:rsidR="00FE18F8" w:rsidRPr="003B0A42" w:rsidRDefault="007432EC" w:rsidP="00B12627">
      <w:pPr>
        <w:pStyle w:val="SingleTxtG"/>
        <w:rPr>
          <w:rFonts w:eastAsia="Calibri"/>
          <w:bCs/>
          <w:lang w:val="es-ES_tradnl" w:eastAsia="en-US"/>
        </w:rPr>
      </w:pPr>
      <w:r w:rsidRPr="003B0A42">
        <w:rPr>
          <w:rFonts w:eastAsiaTheme="minorHAnsi"/>
          <w:bCs/>
          <w:lang w:val="es-ES_tradnl" w:eastAsia="en-US"/>
        </w:rPr>
        <w:t>16.</w:t>
      </w:r>
      <w:r w:rsidRPr="003B0A42">
        <w:rPr>
          <w:rFonts w:eastAsiaTheme="minorHAnsi"/>
          <w:bCs/>
          <w:lang w:val="es-ES_tradnl" w:eastAsia="en-US"/>
        </w:rPr>
        <w:tab/>
      </w:r>
      <w:r w:rsidR="00FE18F8" w:rsidRPr="003B0A42">
        <w:t xml:space="preserve">Preocupa al Comité la persistente discriminación estructural e histórica de la que son víctimas los </w:t>
      </w:r>
      <w:r w:rsidR="001D37C5" w:rsidRPr="003B0A42">
        <w:t xml:space="preserve">miembros de los </w:t>
      </w:r>
      <w:r w:rsidR="00FE18F8" w:rsidRPr="003B0A42">
        <w:t xml:space="preserve">pueblos indígenas y </w:t>
      </w:r>
      <w:r w:rsidR="001D37C5" w:rsidRPr="003B0A42">
        <w:t xml:space="preserve">de </w:t>
      </w:r>
      <w:r w:rsidR="005F68F3" w:rsidRPr="003B0A42">
        <w:t xml:space="preserve">las comunidades </w:t>
      </w:r>
      <w:r w:rsidR="00FE18F8" w:rsidRPr="003B0A42">
        <w:t>afrodescendientes,</w:t>
      </w:r>
      <w:r w:rsidR="00FE18F8" w:rsidRPr="003B0A42">
        <w:rPr>
          <w:rFonts w:eastAsia="SimSun"/>
        </w:rPr>
        <w:t xml:space="preserve"> </w:t>
      </w:r>
      <w:r w:rsidR="00FE18F8" w:rsidRPr="003B0A42">
        <w:t>que se manifiesta en los altos índices de pobreza y exclusión social</w:t>
      </w:r>
      <w:r w:rsidR="006A2FC0" w:rsidRPr="003B0A42">
        <w:t xml:space="preserve"> en comparación con el resto de la población</w:t>
      </w:r>
      <w:r w:rsidR="00FE18F8" w:rsidRPr="003B0A42">
        <w:t xml:space="preserve">. Le preocupa además el impacto que la discriminación tiene en el goce de los derechos </w:t>
      </w:r>
      <w:r w:rsidR="00D62253" w:rsidRPr="003B0A42">
        <w:t>establecidos en el artículo 5 de la Convención</w:t>
      </w:r>
      <w:r w:rsidR="00FE18F8" w:rsidRPr="003B0A42">
        <w:t xml:space="preserve">, </w:t>
      </w:r>
      <w:r w:rsidR="00FE18F8" w:rsidRPr="003B0A42">
        <w:rPr>
          <w:bCs/>
        </w:rPr>
        <w:t xml:space="preserve">en particular </w:t>
      </w:r>
      <w:r w:rsidR="00FE18F8" w:rsidRPr="003B0A42">
        <w:t>el derecho al trabajo, a la salud</w:t>
      </w:r>
      <w:r w:rsidR="00D62253" w:rsidRPr="003B0A42">
        <w:t>,</w:t>
      </w:r>
      <w:r w:rsidR="00FE18F8" w:rsidRPr="003B0A42">
        <w:t xml:space="preserve"> a la educación</w:t>
      </w:r>
      <w:r w:rsidR="00D62253" w:rsidRPr="003B0A42">
        <w:t xml:space="preserve"> y a la participación política</w:t>
      </w:r>
      <w:r w:rsidR="00FE18F8" w:rsidRPr="003B0A42">
        <w:t xml:space="preserve">. </w:t>
      </w:r>
      <w:r w:rsidR="005544C0" w:rsidRPr="003B0A42">
        <w:t>Al respecto, le preocupa</w:t>
      </w:r>
      <w:r w:rsidR="002E65D9">
        <w:t>n</w:t>
      </w:r>
      <w:r w:rsidR="005544C0" w:rsidRPr="003B0A42">
        <w:t>: a) las barre</w:t>
      </w:r>
      <w:r w:rsidR="003C7164">
        <w:t>r</w:t>
      </w:r>
      <w:r w:rsidR="005544C0" w:rsidRPr="003B0A42">
        <w:t xml:space="preserve">as que impiden la inclusión laboral de estas poblaciones; b) la falta de disponibilidad y accesibilidad </w:t>
      </w:r>
      <w:r w:rsidR="003C7164">
        <w:t>a</w:t>
      </w:r>
      <w:r w:rsidR="005544C0" w:rsidRPr="003B0A42">
        <w:t xml:space="preserve"> los servicios de salud</w:t>
      </w:r>
      <w:r w:rsidR="00F90D56" w:rsidRPr="003B0A42">
        <w:t>,</w:t>
      </w:r>
      <w:r w:rsidR="005544C0" w:rsidRPr="003B0A42">
        <w:t xml:space="preserve"> especialmente en las zonas rurales remotas, donde habitan la mayoría de los pueblos indígenas y</w:t>
      </w:r>
      <w:r w:rsidR="003C7164">
        <w:t xml:space="preserve"> un número significativo de </w:t>
      </w:r>
      <w:r w:rsidR="00336908" w:rsidRPr="003B0A42">
        <w:t>afrodescendientes</w:t>
      </w:r>
      <w:r w:rsidR="005544C0" w:rsidRPr="003B0A42">
        <w:t xml:space="preserve">; </w:t>
      </w:r>
      <w:r w:rsidR="00F90D56" w:rsidRPr="003B0A42">
        <w:t xml:space="preserve">c) </w:t>
      </w:r>
      <w:r w:rsidR="00F90D56" w:rsidRPr="003B0A42">
        <w:rPr>
          <w:bCs/>
        </w:rPr>
        <w:t xml:space="preserve">los casos de desnutrición crónica entre los niños y niñas indígenas y las muertes asociadas a la desnutrición, en particular entre los niños y niñas indígenas </w:t>
      </w:r>
      <w:proofErr w:type="spellStart"/>
      <w:r w:rsidR="002E65D9">
        <w:rPr>
          <w:bCs/>
        </w:rPr>
        <w:t>w</w:t>
      </w:r>
      <w:r w:rsidR="00F90D56" w:rsidRPr="003B0A42">
        <w:rPr>
          <w:bCs/>
        </w:rPr>
        <w:t>ayúu</w:t>
      </w:r>
      <w:proofErr w:type="spellEnd"/>
      <w:r w:rsidR="00F90D56" w:rsidRPr="003B0A42">
        <w:rPr>
          <w:bCs/>
        </w:rPr>
        <w:t xml:space="preserve">, </w:t>
      </w:r>
      <w:proofErr w:type="spellStart"/>
      <w:r w:rsidR="002E65D9">
        <w:rPr>
          <w:bCs/>
        </w:rPr>
        <w:t>a</w:t>
      </w:r>
      <w:r w:rsidR="00F90D56" w:rsidRPr="003B0A42">
        <w:rPr>
          <w:bCs/>
        </w:rPr>
        <w:t>morua</w:t>
      </w:r>
      <w:proofErr w:type="spellEnd"/>
      <w:r w:rsidR="00F90D56" w:rsidRPr="003B0A42">
        <w:rPr>
          <w:bCs/>
        </w:rPr>
        <w:t xml:space="preserve"> y </w:t>
      </w:r>
      <w:proofErr w:type="spellStart"/>
      <w:r w:rsidR="002E65D9">
        <w:rPr>
          <w:bCs/>
        </w:rPr>
        <w:t>s</w:t>
      </w:r>
      <w:r w:rsidR="00F90D56" w:rsidRPr="003B0A42">
        <w:rPr>
          <w:bCs/>
        </w:rPr>
        <w:t>ikuani</w:t>
      </w:r>
      <w:proofErr w:type="spellEnd"/>
      <w:r w:rsidR="00F90D56" w:rsidRPr="003B0A42">
        <w:rPr>
          <w:bCs/>
        </w:rPr>
        <w:t>; d</w:t>
      </w:r>
      <w:r w:rsidR="005544C0" w:rsidRPr="003B0A42">
        <w:t>)</w:t>
      </w:r>
      <w:r w:rsidR="00415CF8">
        <w:t> </w:t>
      </w:r>
      <w:r w:rsidR="005544C0" w:rsidRPr="003B0A42">
        <w:t xml:space="preserve">los bajos niveles de educación de estas poblaciones en comparación con el resto de la población; </w:t>
      </w:r>
      <w:r w:rsidR="00F90D56" w:rsidRPr="003B0A42">
        <w:t>y e</w:t>
      </w:r>
      <w:r w:rsidR="005544C0" w:rsidRPr="003B0A42">
        <w:t xml:space="preserve">) </w:t>
      </w:r>
      <w:r w:rsidR="00F90D56" w:rsidRPr="003B0A42">
        <w:t xml:space="preserve">la representación todavía inadecuada de la </w:t>
      </w:r>
      <w:r w:rsidR="005544C0" w:rsidRPr="003B0A42">
        <w:t>población afro</w:t>
      </w:r>
      <w:r w:rsidR="004D6581" w:rsidRPr="003B0A42">
        <w:t>descendiente</w:t>
      </w:r>
      <w:r w:rsidR="005544C0" w:rsidRPr="003B0A42">
        <w:t xml:space="preserve"> e indígena en todos los niveles de la administración pública</w:t>
      </w:r>
      <w:r w:rsidR="00F90D56" w:rsidRPr="003B0A42">
        <w:t xml:space="preserve"> </w:t>
      </w:r>
      <w:r w:rsidR="00FE18F8" w:rsidRPr="003B0A42">
        <w:rPr>
          <w:rFonts w:eastAsia="Calibri"/>
          <w:bCs/>
          <w:lang w:val="es-ES_tradnl" w:eastAsia="en-US"/>
        </w:rPr>
        <w:t>(art</w:t>
      </w:r>
      <w:r w:rsidR="009C1078">
        <w:rPr>
          <w:rFonts w:eastAsia="Calibri"/>
          <w:bCs/>
          <w:lang w:val="es-ES_tradnl" w:eastAsia="en-US"/>
        </w:rPr>
        <w:t>s</w:t>
      </w:r>
      <w:r w:rsidR="00FE18F8" w:rsidRPr="003B0A42">
        <w:rPr>
          <w:rFonts w:eastAsia="Calibri"/>
          <w:bCs/>
          <w:lang w:val="es-ES_tradnl" w:eastAsia="en-US"/>
        </w:rPr>
        <w:t>. 1, 2, 5 y 7).</w:t>
      </w:r>
    </w:p>
    <w:p w14:paraId="76AFCE06" w14:textId="32E65A98" w:rsidR="00FE18F8" w:rsidRDefault="007432EC" w:rsidP="00B12627">
      <w:pPr>
        <w:pStyle w:val="SingleTxtG"/>
        <w:rPr>
          <w:rFonts w:eastAsia="Calibri"/>
          <w:b/>
          <w:bCs/>
          <w:lang w:eastAsia="en-US"/>
        </w:rPr>
      </w:pPr>
      <w:r>
        <w:rPr>
          <w:rFonts w:eastAsiaTheme="minorHAnsi"/>
          <w:bCs/>
          <w:lang w:eastAsia="en-US"/>
        </w:rPr>
        <w:t>17.</w:t>
      </w:r>
      <w:r>
        <w:rPr>
          <w:rFonts w:eastAsiaTheme="minorHAnsi"/>
          <w:bCs/>
          <w:lang w:eastAsia="en-US"/>
        </w:rPr>
        <w:tab/>
      </w:r>
      <w:r w:rsidR="00FE18F8" w:rsidRPr="00025519">
        <w:rPr>
          <w:rFonts w:eastAsia="Calibri"/>
          <w:b/>
          <w:bCs/>
          <w:lang w:eastAsia="en-US"/>
        </w:rPr>
        <w:t xml:space="preserve">Con base en sus recomendaciones generales núm. 23 (1997) sobre los derechos de los pueblos indígenas, núm. 32 (2009) sobre significado y alcance de las medidas especiales en la Convención, y núm. 34 (2011) sobre discriminación racial contra afrodescendientes, el Comité recomienda al Estado parte: </w:t>
      </w:r>
    </w:p>
    <w:p w14:paraId="517FB809" w14:textId="18E8B7F8" w:rsidR="00FE18F8" w:rsidRPr="00014A94" w:rsidRDefault="007432EC" w:rsidP="00B12627">
      <w:pPr>
        <w:pStyle w:val="SingleTxtG"/>
        <w:ind w:firstLine="567"/>
        <w:rPr>
          <w:rFonts w:eastAsia="Calibri"/>
          <w:b/>
          <w:lang w:eastAsia="en-US"/>
        </w:rPr>
      </w:pPr>
      <w:r w:rsidRPr="00014A94">
        <w:rPr>
          <w:rFonts w:eastAsia="Calibri"/>
          <w:b/>
          <w:lang w:eastAsia="en-US"/>
        </w:rPr>
        <w:t>a)</w:t>
      </w:r>
      <w:r w:rsidRPr="00014A94">
        <w:rPr>
          <w:rFonts w:eastAsia="Calibri"/>
          <w:b/>
          <w:lang w:eastAsia="en-US"/>
        </w:rPr>
        <w:tab/>
      </w:r>
      <w:r w:rsidR="00FE18F8" w:rsidRPr="00014A94">
        <w:rPr>
          <w:rFonts w:eastAsia="Calibri"/>
          <w:b/>
          <w:lang w:eastAsia="en-US"/>
        </w:rPr>
        <w:t>Garantizar la protección de personas indígenas y afrodescendientes contra la discriminación</w:t>
      </w:r>
      <w:r w:rsidR="008C28A8" w:rsidRPr="00014A94">
        <w:rPr>
          <w:rFonts w:eastAsia="Calibri"/>
          <w:b/>
          <w:bCs/>
          <w:lang w:eastAsia="en-US"/>
        </w:rPr>
        <w:t xml:space="preserve"> </w:t>
      </w:r>
      <w:r w:rsidR="00FE18F8" w:rsidRPr="00014A94">
        <w:rPr>
          <w:rFonts w:eastAsia="Calibri"/>
          <w:b/>
          <w:lang w:eastAsia="en-US"/>
        </w:rPr>
        <w:t xml:space="preserve">por parte de organismos estatales y funcionarios públicos, así como por cualquier persona, grupo u organización; </w:t>
      </w:r>
    </w:p>
    <w:p w14:paraId="2BC414DA" w14:textId="0A953396" w:rsidR="00FE18F8" w:rsidRPr="00014A94" w:rsidRDefault="007432EC" w:rsidP="00B12627">
      <w:pPr>
        <w:pStyle w:val="SingleTxtG"/>
        <w:ind w:firstLine="567"/>
        <w:rPr>
          <w:rFonts w:eastAsia="Calibri"/>
          <w:b/>
          <w:lang w:eastAsia="en-US"/>
        </w:rPr>
      </w:pPr>
      <w:r w:rsidRPr="00014A94">
        <w:rPr>
          <w:rFonts w:eastAsia="Calibri"/>
          <w:b/>
          <w:lang w:eastAsia="en-US"/>
        </w:rPr>
        <w:t>b)</w:t>
      </w:r>
      <w:r w:rsidRPr="00014A94">
        <w:rPr>
          <w:rFonts w:eastAsia="Calibri"/>
          <w:b/>
          <w:lang w:eastAsia="en-US"/>
        </w:rPr>
        <w:tab/>
      </w:r>
      <w:r w:rsidR="00FE18F8" w:rsidRPr="00014A94">
        <w:rPr>
          <w:rFonts w:eastAsia="Calibri"/>
          <w:b/>
          <w:lang w:eastAsia="en-US"/>
        </w:rPr>
        <w:t xml:space="preserve">Promover de manera efectiva la inclusión social y reducir los altos índices de pobreza y desigualdad que afectan a los miembros de los pueblos indígenas y a las personas afrodescendientes, </w:t>
      </w:r>
      <w:r w:rsidR="003448C6" w:rsidRPr="00014A94">
        <w:rPr>
          <w:rFonts w:eastAsia="Calibri"/>
          <w:b/>
          <w:lang w:eastAsia="en-US"/>
        </w:rPr>
        <w:t xml:space="preserve">incluyendo </w:t>
      </w:r>
      <w:r w:rsidR="00FE18F8" w:rsidRPr="00014A94">
        <w:rPr>
          <w:rFonts w:eastAsia="Calibri"/>
          <w:b/>
          <w:lang w:eastAsia="en-US"/>
        </w:rPr>
        <w:t>mediante la adopción de medidas especiales orientadas a eliminar la discriminación estructural en su contra;</w:t>
      </w:r>
    </w:p>
    <w:p w14:paraId="3B396906" w14:textId="645E23ED" w:rsidR="00FE18F8" w:rsidRPr="00014A94" w:rsidRDefault="007432EC" w:rsidP="00B12627">
      <w:pPr>
        <w:pStyle w:val="SingleTxtG"/>
        <w:ind w:firstLine="567"/>
        <w:rPr>
          <w:rFonts w:eastAsia="Calibri"/>
          <w:b/>
          <w:lang w:eastAsia="en-US"/>
        </w:rPr>
      </w:pPr>
      <w:r w:rsidRPr="00014A94">
        <w:rPr>
          <w:rFonts w:eastAsia="Calibri"/>
          <w:b/>
          <w:lang w:eastAsia="en-US"/>
        </w:rPr>
        <w:lastRenderedPageBreak/>
        <w:t>c)</w:t>
      </w:r>
      <w:r w:rsidRPr="00014A94">
        <w:rPr>
          <w:rFonts w:eastAsia="Calibri"/>
          <w:b/>
          <w:lang w:eastAsia="en-US"/>
        </w:rPr>
        <w:tab/>
      </w:r>
      <w:r w:rsidR="005D359F" w:rsidRPr="00014A94">
        <w:rPr>
          <w:rFonts w:eastAsia="Calibri"/>
          <w:b/>
          <w:lang w:eastAsia="en-US"/>
        </w:rPr>
        <w:t xml:space="preserve">Eliminar todos los obstáculos que impidan el disfrute efectivo de los derechos económicos, sociales y culturales de </w:t>
      </w:r>
      <w:r w:rsidR="002500E8" w:rsidRPr="00014A94">
        <w:rPr>
          <w:rFonts w:eastAsia="Calibri"/>
          <w:b/>
          <w:lang w:eastAsia="en-US"/>
        </w:rPr>
        <w:t>los</w:t>
      </w:r>
      <w:r w:rsidR="002500E8" w:rsidRPr="00014A94">
        <w:rPr>
          <w:b/>
        </w:rPr>
        <w:t xml:space="preserve"> </w:t>
      </w:r>
      <w:r w:rsidR="002500E8" w:rsidRPr="00014A94">
        <w:rPr>
          <w:rFonts w:eastAsia="Calibri"/>
          <w:b/>
          <w:lang w:eastAsia="en-US"/>
        </w:rPr>
        <w:t>miembros de los pueblos indígenas y de las comunidades afrodescendientes</w:t>
      </w:r>
      <w:r w:rsidR="005D359F" w:rsidRPr="00014A94">
        <w:rPr>
          <w:rFonts w:eastAsia="Calibri"/>
          <w:b/>
          <w:lang w:eastAsia="en-US"/>
        </w:rPr>
        <w:t>, especialmente en los ámbitos de trabajo, salud y educación;</w:t>
      </w:r>
    </w:p>
    <w:p w14:paraId="449AB7A5" w14:textId="3DF4689D" w:rsidR="00FE18F8" w:rsidRPr="00014A94" w:rsidRDefault="007432EC" w:rsidP="00B12627">
      <w:pPr>
        <w:pStyle w:val="SingleTxtG"/>
        <w:ind w:firstLine="567"/>
        <w:rPr>
          <w:rFonts w:eastAsia="Calibri"/>
          <w:b/>
          <w:bCs/>
          <w:lang w:eastAsia="en-US"/>
        </w:rPr>
      </w:pPr>
      <w:r w:rsidRPr="00014A94">
        <w:rPr>
          <w:rFonts w:eastAsia="Calibri"/>
          <w:b/>
          <w:bCs/>
          <w:lang w:eastAsia="en-US"/>
        </w:rPr>
        <w:t>d)</w:t>
      </w:r>
      <w:r w:rsidRPr="00014A94">
        <w:rPr>
          <w:rFonts w:eastAsia="Calibri"/>
          <w:b/>
          <w:bCs/>
          <w:lang w:eastAsia="en-US"/>
        </w:rPr>
        <w:tab/>
      </w:r>
      <w:r w:rsidR="00FE18F8" w:rsidRPr="00014A94">
        <w:rPr>
          <w:rFonts w:eastAsia="Calibri"/>
          <w:b/>
          <w:bCs/>
          <w:lang w:eastAsia="en-US"/>
        </w:rPr>
        <w:t>Adoptar las medidas necesarias para reducir los índices de desnutrición crónica entre los niños y niñas indígenas y para garantizar el derecho a una alimentación adecuada de los pueblos indígenas;</w:t>
      </w:r>
    </w:p>
    <w:p w14:paraId="0DB8ADC8" w14:textId="1FA93DC1" w:rsidR="008114D2" w:rsidRDefault="007432EC" w:rsidP="00B12627">
      <w:pPr>
        <w:pStyle w:val="SingleTxtG"/>
        <w:ind w:firstLine="567"/>
        <w:rPr>
          <w:rFonts w:eastAsia="Calibri"/>
          <w:bCs/>
          <w:lang w:eastAsia="en-US"/>
        </w:rPr>
      </w:pPr>
      <w:r>
        <w:rPr>
          <w:rFonts w:eastAsia="Calibri"/>
          <w:b/>
          <w:bCs/>
          <w:lang w:eastAsia="en-US"/>
        </w:rPr>
        <w:t>e)</w:t>
      </w:r>
      <w:r>
        <w:rPr>
          <w:rFonts w:eastAsia="Calibri"/>
          <w:b/>
          <w:bCs/>
          <w:lang w:eastAsia="en-US"/>
        </w:rPr>
        <w:tab/>
      </w:r>
      <w:r w:rsidR="008114D2" w:rsidRPr="00014A94">
        <w:rPr>
          <w:rFonts w:eastAsia="Calibri"/>
          <w:b/>
          <w:bCs/>
          <w:lang w:eastAsia="en-US"/>
        </w:rPr>
        <w:t xml:space="preserve">En consulta y con la participación de los pueblos indígenas y </w:t>
      </w:r>
      <w:r w:rsidR="00225FCA">
        <w:rPr>
          <w:rFonts w:eastAsia="Calibri"/>
          <w:b/>
          <w:bCs/>
          <w:lang w:eastAsia="en-US"/>
        </w:rPr>
        <w:t xml:space="preserve">comunidades </w:t>
      </w:r>
      <w:r w:rsidR="008114D2" w:rsidRPr="00014A94">
        <w:rPr>
          <w:rFonts w:eastAsia="Calibri"/>
          <w:b/>
          <w:bCs/>
          <w:lang w:eastAsia="en-US"/>
        </w:rPr>
        <w:t xml:space="preserve">afrodescendientes, adoptar medidas efectivas, incluyendo medidas legislativas, para asegurar su plena participación en los asuntos públicos, tanto en los cargos de decisión como en instituciones representativas, así como asegurar la igualdad de oportunidades de participación de los pueblos indígenas y </w:t>
      </w:r>
      <w:r w:rsidR="00636E65">
        <w:rPr>
          <w:rFonts w:eastAsia="Calibri"/>
          <w:b/>
          <w:bCs/>
          <w:lang w:eastAsia="en-US"/>
        </w:rPr>
        <w:t xml:space="preserve">comunidades </w:t>
      </w:r>
      <w:r w:rsidR="008114D2" w:rsidRPr="00014A94">
        <w:rPr>
          <w:rFonts w:eastAsia="Calibri"/>
          <w:b/>
          <w:bCs/>
          <w:lang w:eastAsia="en-US"/>
        </w:rPr>
        <w:t>afrodescendientes en todos los niveles de la administración pública, tanto a nivel nacional como local.</w:t>
      </w:r>
    </w:p>
    <w:p w14:paraId="51F9D6DF" w14:textId="0046501F" w:rsidR="00FE18F8" w:rsidRPr="00514F6D" w:rsidRDefault="004842B2" w:rsidP="004842B2">
      <w:pPr>
        <w:pStyle w:val="H23G"/>
        <w:rPr>
          <w:rFonts w:eastAsia="Calibri"/>
          <w:lang w:val="es-ES_tradnl" w:eastAsia="en-US"/>
        </w:rPr>
      </w:pPr>
      <w:r>
        <w:rPr>
          <w:rFonts w:eastAsia="SimSun"/>
        </w:rPr>
        <w:tab/>
      </w:r>
      <w:r>
        <w:rPr>
          <w:rFonts w:eastAsia="SimSun"/>
        </w:rPr>
        <w:tab/>
      </w:r>
      <w:r w:rsidR="00FE18F8" w:rsidRPr="00514F6D">
        <w:rPr>
          <w:rFonts w:eastAsia="SimSun"/>
        </w:rPr>
        <w:t xml:space="preserve">Derecho a consulta previa </w:t>
      </w:r>
      <w:r w:rsidR="00FE18F8" w:rsidRPr="00514F6D">
        <w:rPr>
          <w:rFonts w:eastAsia="SimSun"/>
        </w:rPr>
        <w:tab/>
      </w:r>
      <w:r w:rsidR="00FE18F8" w:rsidRPr="00514F6D">
        <w:rPr>
          <w:rFonts w:eastAsia="Calibri"/>
          <w:lang w:val="es-ES_tradnl" w:eastAsia="en-US"/>
        </w:rPr>
        <w:t xml:space="preserve"> </w:t>
      </w:r>
    </w:p>
    <w:p w14:paraId="78B509E4" w14:textId="54AD0A7A" w:rsidR="00FE18F8" w:rsidRPr="00686634" w:rsidRDefault="007432EC" w:rsidP="00B12627">
      <w:pPr>
        <w:pStyle w:val="SingleTxtG"/>
        <w:rPr>
          <w:lang w:val="es-MX"/>
        </w:rPr>
      </w:pPr>
      <w:r w:rsidRPr="00686634">
        <w:rPr>
          <w:rFonts w:eastAsiaTheme="minorHAnsi"/>
          <w:lang w:val="es-MX"/>
        </w:rPr>
        <w:t>18.</w:t>
      </w:r>
      <w:r w:rsidRPr="00686634">
        <w:rPr>
          <w:rFonts w:eastAsiaTheme="minorHAnsi"/>
          <w:lang w:val="es-MX"/>
        </w:rPr>
        <w:tab/>
      </w:r>
      <w:r w:rsidR="00FE18F8">
        <w:rPr>
          <w:bCs/>
        </w:rPr>
        <w:t>Preocupa al Comité</w:t>
      </w:r>
      <w:r w:rsidR="00C31AA3">
        <w:rPr>
          <w:bCs/>
        </w:rPr>
        <w:t xml:space="preserve"> que, </w:t>
      </w:r>
      <w:r w:rsidR="00891B55">
        <w:rPr>
          <w:bCs/>
        </w:rPr>
        <w:t xml:space="preserve">aunque </w:t>
      </w:r>
      <w:r w:rsidR="00C31AA3" w:rsidRPr="00C31AA3">
        <w:rPr>
          <w:bCs/>
        </w:rPr>
        <w:t>el derecho a la consulta previa está formalmente reconocido en la legislación colombiana</w:t>
      </w:r>
      <w:r w:rsidR="00C31AA3">
        <w:rPr>
          <w:bCs/>
        </w:rPr>
        <w:t xml:space="preserve">, </w:t>
      </w:r>
      <w:r w:rsidR="00891B55">
        <w:rPr>
          <w:bCs/>
        </w:rPr>
        <w:t xml:space="preserve">se ha recibido </w:t>
      </w:r>
      <w:r w:rsidR="00FE18F8">
        <w:rPr>
          <w:bCs/>
        </w:rPr>
        <w:t xml:space="preserve">información </w:t>
      </w:r>
      <w:r w:rsidR="00891B55">
        <w:rPr>
          <w:bCs/>
        </w:rPr>
        <w:t xml:space="preserve">en cuanto </w:t>
      </w:r>
      <w:r w:rsidR="00843B80">
        <w:rPr>
          <w:bCs/>
        </w:rPr>
        <w:t xml:space="preserve">a </w:t>
      </w:r>
      <w:r w:rsidR="00B710B2">
        <w:rPr>
          <w:bCs/>
        </w:rPr>
        <w:t xml:space="preserve">que tanto los procesos legislativos en general, como la concesión de licencias para </w:t>
      </w:r>
      <w:r w:rsidR="00FE18F8" w:rsidRPr="00A356A6">
        <w:rPr>
          <w:bCs/>
        </w:rPr>
        <w:t>proyectos de inversión</w:t>
      </w:r>
      <w:r w:rsidR="00B710B2">
        <w:rPr>
          <w:bCs/>
        </w:rPr>
        <w:t xml:space="preserve">, de explotación turística, de pesca industrial o de extracción minera </w:t>
      </w:r>
      <w:r w:rsidR="00390F70">
        <w:rPr>
          <w:bCs/>
        </w:rPr>
        <w:t xml:space="preserve">en </w:t>
      </w:r>
      <w:r w:rsidR="00C01964">
        <w:rPr>
          <w:bCs/>
        </w:rPr>
        <w:t>particular, que</w:t>
      </w:r>
      <w:r w:rsidR="00390F70">
        <w:rPr>
          <w:bCs/>
        </w:rPr>
        <w:t xml:space="preserve"> </w:t>
      </w:r>
      <w:r w:rsidR="00FE18F8">
        <w:rPr>
          <w:bCs/>
        </w:rPr>
        <w:t>se están ll</w:t>
      </w:r>
      <w:r w:rsidR="00FE18F8" w:rsidRPr="00A356A6">
        <w:rPr>
          <w:bCs/>
        </w:rPr>
        <w:t>evando a cabo en territorios indígenas</w:t>
      </w:r>
      <w:r w:rsidR="00FE18F8">
        <w:rPr>
          <w:bCs/>
        </w:rPr>
        <w:t xml:space="preserve"> y de comunidades </w:t>
      </w:r>
      <w:r w:rsidR="00AA7C30">
        <w:rPr>
          <w:bCs/>
        </w:rPr>
        <w:t>afrodescendientes</w:t>
      </w:r>
      <w:r w:rsidR="00FE18F8">
        <w:rPr>
          <w:bCs/>
        </w:rPr>
        <w:t xml:space="preserve">, </w:t>
      </w:r>
      <w:r w:rsidR="00390F70">
        <w:rPr>
          <w:bCs/>
        </w:rPr>
        <w:t xml:space="preserve">se </w:t>
      </w:r>
      <w:r w:rsidR="00C01964">
        <w:rPr>
          <w:bCs/>
        </w:rPr>
        <w:t>realicen</w:t>
      </w:r>
      <w:r w:rsidR="00390F70">
        <w:rPr>
          <w:bCs/>
        </w:rPr>
        <w:t xml:space="preserve"> </w:t>
      </w:r>
      <w:r w:rsidR="00FE18F8" w:rsidRPr="00A356A6">
        <w:rPr>
          <w:bCs/>
        </w:rPr>
        <w:t>sin la debida consulta</w:t>
      </w:r>
      <w:r w:rsidR="00FE18F8">
        <w:rPr>
          <w:bCs/>
        </w:rPr>
        <w:t xml:space="preserve"> previa</w:t>
      </w:r>
      <w:r w:rsidR="00B710B2">
        <w:rPr>
          <w:bCs/>
        </w:rPr>
        <w:t xml:space="preserve">, libre e informada en los términos recogidos en el </w:t>
      </w:r>
      <w:r w:rsidR="00B710B2" w:rsidRPr="00B11BC3">
        <w:rPr>
          <w:bCs/>
        </w:rPr>
        <w:t xml:space="preserve">Convenio </w:t>
      </w:r>
      <w:r w:rsidR="003C7399" w:rsidRPr="007432EC">
        <w:rPr>
          <w:spacing w:val="-5"/>
        </w:rPr>
        <w:t xml:space="preserve">sobre </w:t>
      </w:r>
      <w:r w:rsidR="00415CF8">
        <w:rPr>
          <w:spacing w:val="-5"/>
        </w:rPr>
        <w:t>P</w:t>
      </w:r>
      <w:r w:rsidR="003C7399" w:rsidRPr="007432EC">
        <w:rPr>
          <w:spacing w:val="-5"/>
        </w:rPr>
        <w:t xml:space="preserve">ueblos </w:t>
      </w:r>
      <w:r w:rsidR="00415CF8">
        <w:rPr>
          <w:spacing w:val="-5"/>
        </w:rPr>
        <w:t>I</w:t>
      </w:r>
      <w:r w:rsidR="003C7399" w:rsidRPr="007432EC">
        <w:rPr>
          <w:spacing w:val="-5"/>
        </w:rPr>
        <w:t xml:space="preserve">ndígenas y </w:t>
      </w:r>
      <w:r w:rsidR="00415CF8">
        <w:rPr>
          <w:spacing w:val="-5"/>
        </w:rPr>
        <w:t>T</w:t>
      </w:r>
      <w:r w:rsidR="003C7399" w:rsidRPr="007432EC">
        <w:rPr>
          <w:spacing w:val="-5"/>
        </w:rPr>
        <w:t xml:space="preserve">ribales, 1989 (núm. 169) </w:t>
      </w:r>
      <w:r w:rsidR="00B710B2" w:rsidRPr="00B11BC3">
        <w:rPr>
          <w:bCs/>
        </w:rPr>
        <w:t xml:space="preserve">de la </w:t>
      </w:r>
      <w:r w:rsidR="003C7399" w:rsidRPr="00B11BC3">
        <w:t>Organización Internacional del Trabajo (</w:t>
      </w:r>
      <w:r w:rsidR="00B710B2" w:rsidRPr="00B11BC3">
        <w:rPr>
          <w:bCs/>
        </w:rPr>
        <w:t>OIT</w:t>
      </w:r>
      <w:r w:rsidR="003C7399" w:rsidRPr="00B11BC3">
        <w:t>)</w:t>
      </w:r>
      <w:r w:rsidR="0022552E" w:rsidRPr="00B11BC3">
        <w:rPr>
          <w:bCs/>
        </w:rPr>
        <w:t xml:space="preserve"> y sin las debidas </w:t>
      </w:r>
      <w:r w:rsidR="00FE18F8" w:rsidRPr="00B11BC3">
        <w:rPr>
          <w:bCs/>
        </w:rPr>
        <w:t>precauciones ambientales</w:t>
      </w:r>
      <w:r w:rsidR="000F1366" w:rsidRPr="00B11BC3">
        <w:rPr>
          <w:bCs/>
        </w:rPr>
        <w:t xml:space="preserve"> </w:t>
      </w:r>
      <w:r w:rsidR="000F1366">
        <w:rPr>
          <w:bCs/>
        </w:rPr>
        <w:t>(art</w:t>
      </w:r>
      <w:r w:rsidR="009C1078">
        <w:rPr>
          <w:bCs/>
        </w:rPr>
        <w:t>s</w:t>
      </w:r>
      <w:r w:rsidR="000F1366">
        <w:rPr>
          <w:bCs/>
        </w:rPr>
        <w:t>. 2 y 5)</w:t>
      </w:r>
      <w:r w:rsidR="00D20E1C">
        <w:rPr>
          <w:bCs/>
        </w:rPr>
        <w:t>.</w:t>
      </w:r>
    </w:p>
    <w:p w14:paraId="54496AB6" w14:textId="7B0A125C" w:rsidR="00FE18F8" w:rsidRPr="007074B1" w:rsidRDefault="007432EC" w:rsidP="00B12627">
      <w:pPr>
        <w:pStyle w:val="SingleTxtG"/>
        <w:rPr>
          <w:b/>
          <w:lang w:val="es-ES_tradnl"/>
        </w:rPr>
      </w:pPr>
      <w:r w:rsidRPr="007074B1">
        <w:rPr>
          <w:rFonts w:eastAsiaTheme="minorHAnsi"/>
          <w:lang w:val="es-ES_tradnl"/>
        </w:rPr>
        <w:t>19.</w:t>
      </w:r>
      <w:r w:rsidRPr="007074B1">
        <w:rPr>
          <w:rFonts w:eastAsiaTheme="minorHAnsi"/>
          <w:lang w:val="es-ES_tradnl"/>
        </w:rPr>
        <w:tab/>
      </w:r>
      <w:r w:rsidR="00FE18F8" w:rsidRPr="007074B1">
        <w:rPr>
          <w:b/>
          <w:lang w:val="es-ES_tradnl"/>
        </w:rPr>
        <w:t xml:space="preserve">Recordando su recomendación </w:t>
      </w:r>
      <w:r w:rsidR="00FE18F8">
        <w:rPr>
          <w:b/>
          <w:lang w:val="es-ES_tradnl"/>
        </w:rPr>
        <w:t>anterior</w:t>
      </w:r>
      <w:r w:rsidR="00BB704F">
        <w:rPr>
          <w:b/>
          <w:lang w:val="es-ES_tradnl"/>
        </w:rPr>
        <w:t xml:space="preserve"> </w:t>
      </w:r>
      <w:r w:rsidR="00773F0C">
        <w:rPr>
          <w:rFonts w:eastAsia="Calibri"/>
          <w:b/>
          <w:lang w:eastAsia="en-US"/>
        </w:rPr>
        <w:t>(CERD/C/COL/CO/15-16, párr. 22</w:t>
      </w:r>
      <w:r w:rsidR="00773F0C" w:rsidRPr="00802587">
        <w:rPr>
          <w:rFonts w:eastAsia="Calibri"/>
          <w:b/>
          <w:lang w:eastAsia="en-US"/>
        </w:rPr>
        <w:t>)</w:t>
      </w:r>
      <w:r w:rsidR="00FE18F8">
        <w:rPr>
          <w:b/>
          <w:lang w:val="es-ES_tradnl"/>
        </w:rPr>
        <w:t xml:space="preserve"> y su recomendación </w:t>
      </w:r>
      <w:r w:rsidR="00FE18F8" w:rsidRPr="007074B1">
        <w:rPr>
          <w:b/>
          <w:lang w:val="es-ES_tradnl"/>
        </w:rPr>
        <w:t>general núm. 23 (1997) relativa a los derechos de los pueblos indígenas, el Comité insta al Estado parte a:</w:t>
      </w:r>
    </w:p>
    <w:p w14:paraId="1F8F9DC3" w14:textId="62EEB7B2" w:rsidR="00FE18F8" w:rsidRPr="007074B1" w:rsidRDefault="007432EC" w:rsidP="00B12627">
      <w:pPr>
        <w:pStyle w:val="SingleTxtG"/>
        <w:ind w:firstLine="567"/>
        <w:rPr>
          <w:b/>
        </w:rPr>
      </w:pPr>
      <w:r w:rsidRPr="007074B1">
        <w:rPr>
          <w:b/>
        </w:rPr>
        <w:t>a)</w:t>
      </w:r>
      <w:r w:rsidRPr="007074B1">
        <w:rPr>
          <w:b/>
        </w:rPr>
        <w:tab/>
      </w:r>
      <w:r w:rsidR="00FE18F8">
        <w:rPr>
          <w:b/>
        </w:rPr>
        <w:t xml:space="preserve">Garantizar </w:t>
      </w:r>
      <w:r w:rsidR="00FE18F8" w:rsidRPr="007074B1">
        <w:rPr>
          <w:b/>
        </w:rPr>
        <w:t xml:space="preserve">el derecho </w:t>
      </w:r>
      <w:r w:rsidR="00FE18F8">
        <w:rPr>
          <w:b/>
        </w:rPr>
        <w:t>de</w:t>
      </w:r>
      <w:r w:rsidR="00FE18F8" w:rsidRPr="007074B1">
        <w:rPr>
          <w:b/>
        </w:rPr>
        <w:t xml:space="preserve"> los pueblos indígenas </w:t>
      </w:r>
      <w:r w:rsidR="00FE18F8">
        <w:rPr>
          <w:b/>
        </w:rPr>
        <w:t xml:space="preserve">y </w:t>
      </w:r>
      <w:r w:rsidR="002500E8">
        <w:rPr>
          <w:b/>
        </w:rPr>
        <w:t>comunidades afrodescendientes</w:t>
      </w:r>
      <w:r w:rsidR="00FE18F8">
        <w:rPr>
          <w:b/>
        </w:rPr>
        <w:t xml:space="preserve"> </w:t>
      </w:r>
      <w:r w:rsidR="00FE18F8" w:rsidRPr="007074B1">
        <w:rPr>
          <w:b/>
        </w:rPr>
        <w:t xml:space="preserve">a ser consultados respecto de cualquier </w:t>
      </w:r>
      <w:r w:rsidR="00FE18F8">
        <w:rPr>
          <w:b/>
        </w:rPr>
        <w:t>proyecto</w:t>
      </w:r>
      <w:r w:rsidR="003F1504">
        <w:rPr>
          <w:b/>
        </w:rPr>
        <w:t xml:space="preserve">, actividad, </w:t>
      </w:r>
      <w:r w:rsidR="003F1504" w:rsidRPr="007074B1">
        <w:rPr>
          <w:b/>
        </w:rPr>
        <w:t xml:space="preserve">medida legislativa o administrativa susceptible de afectar sus derechos, particularmente su derecho a la tierra y a los recursos naturales que poseen o que </w:t>
      </w:r>
      <w:r w:rsidR="003F1504">
        <w:rPr>
          <w:b/>
        </w:rPr>
        <w:t xml:space="preserve">tradicionalmente han utilizado, </w:t>
      </w:r>
      <w:r w:rsidR="003F1504" w:rsidRPr="007074B1">
        <w:rPr>
          <w:b/>
        </w:rPr>
        <w:t xml:space="preserve">con miras a obtener su consentimiento libre, previo e informado, en armonía con </w:t>
      </w:r>
      <w:r w:rsidR="00F72338">
        <w:rPr>
          <w:b/>
        </w:rPr>
        <w:t xml:space="preserve">la </w:t>
      </w:r>
      <w:r w:rsidR="009F4A35" w:rsidRPr="009F4A35">
        <w:rPr>
          <w:b/>
        </w:rPr>
        <w:t xml:space="preserve">Declaración de las Naciones Unidas sobre los Derechos de los Pueblos Indígenas </w:t>
      </w:r>
      <w:r w:rsidR="00F72338">
        <w:rPr>
          <w:b/>
        </w:rPr>
        <w:t>y otros</w:t>
      </w:r>
      <w:r w:rsidR="003F1504">
        <w:rPr>
          <w:b/>
        </w:rPr>
        <w:t xml:space="preserve"> estándares internacionales;</w:t>
      </w:r>
    </w:p>
    <w:p w14:paraId="63A40CEB" w14:textId="0D77D446" w:rsidR="00FE18F8" w:rsidRDefault="007432EC" w:rsidP="00B12627">
      <w:pPr>
        <w:pStyle w:val="SingleTxtG"/>
        <w:ind w:firstLine="567"/>
        <w:rPr>
          <w:b/>
          <w:bCs/>
        </w:rPr>
      </w:pPr>
      <w:r>
        <w:rPr>
          <w:b/>
          <w:bCs/>
        </w:rPr>
        <w:t>b)</w:t>
      </w:r>
      <w:r>
        <w:rPr>
          <w:b/>
          <w:bCs/>
        </w:rPr>
        <w:tab/>
      </w:r>
      <w:r w:rsidR="00FE18F8" w:rsidRPr="007074B1">
        <w:rPr>
          <w:b/>
          <w:bCs/>
        </w:rPr>
        <w:t xml:space="preserve">Asegurar que, como parte </w:t>
      </w:r>
      <w:r w:rsidR="00FE18F8" w:rsidRPr="00673B39">
        <w:rPr>
          <w:b/>
          <w:bCs/>
        </w:rPr>
        <w:t xml:space="preserve">integral </w:t>
      </w:r>
      <w:r w:rsidR="00FE18F8" w:rsidRPr="007074B1">
        <w:rPr>
          <w:b/>
          <w:bCs/>
        </w:rPr>
        <w:t xml:space="preserve">del proceso de consulta previa, </w:t>
      </w:r>
      <w:r w:rsidR="00FE18F8" w:rsidRPr="00673B39">
        <w:rPr>
          <w:b/>
          <w:bCs/>
        </w:rPr>
        <w:t xml:space="preserve">previo al otorgamiento de licencias y desde el diseño hasta la ejecución de proyectos, </w:t>
      </w:r>
      <w:r w:rsidR="00FE18F8" w:rsidRPr="00673B39">
        <w:rPr>
          <w:b/>
          <w:bCs/>
          <w:lang w:val="es-ES_tradnl"/>
        </w:rPr>
        <w:t>obras o actividades</w:t>
      </w:r>
      <w:r w:rsidR="00FE18F8">
        <w:rPr>
          <w:b/>
          <w:bCs/>
          <w:lang w:val="es-ES_tradnl"/>
        </w:rPr>
        <w:t>,</w:t>
      </w:r>
      <w:r w:rsidR="00FE18F8" w:rsidRPr="00673B39">
        <w:rPr>
          <w:b/>
          <w:bCs/>
        </w:rPr>
        <w:t xml:space="preserve"> </w:t>
      </w:r>
      <w:r w:rsidR="00FE18F8" w:rsidRPr="007074B1">
        <w:rPr>
          <w:b/>
          <w:bCs/>
        </w:rPr>
        <w:t xml:space="preserve">entidades imparciales e independientes realicen estudios sobre el impacto </w:t>
      </w:r>
      <w:r w:rsidR="00FE18F8" w:rsidRPr="00673B39">
        <w:rPr>
          <w:b/>
          <w:bCs/>
        </w:rPr>
        <w:t xml:space="preserve">ambiental y sobre los derechos humanos </w:t>
      </w:r>
      <w:r w:rsidR="00FE18F8" w:rsidRPr="007074B1">
        <w:rPr>
          <w:b/>
          <w:bCs/>
        </w:rPr>
        <w:t>que pueden tener los proyectos de desarrollo económico y de explotación de recursos naturales en territorios</w:t>
      </w:r>
      <w:r w:rsidR="001750E1">
        <w:rPr>
          <w:b/>
          <w:bCs/>
        </w:rPr>
        <w:t xml:space="preserve"> de pueblos </w:t>
      </w:r>
      <w:r w:rsidR="00FE18F8" w:rsidRPr="007074B1">
        <w:rPr>
          <w:b/>
          <w:bCs/>
        </w:rPr>
        <w:t>indígenas</w:t>
      </w:r>
      <w:r w:rsidR="00E929FE">
        <w:rPr>
          <w:b/>
          <w:bCs/>
        </w:rPr>
        <w:t xml:space="preserve"> y </w:t>
      </w:r>
      <w:r w:rsidR="001750E1">
        <w:rPr>
          <w:b/>
          <w:bCs/>
        </w:rPr>
        <w:t xml:space="preserve">comunidades </w:t>
      </w:r>
      <w:r w:rsidR="00E929FE">
        <w:rPr>
          <w:b/>
          <w:bCs/>
        </w:rPr>
        <w:t>afrodescendientes</w:t>
      </w:r>
      <w:r w:rsidR="00FE18F8" w:rsidRPr="007074B1">
        <w:rPr>
          <w:b/>
          <w:bCs/>
        </w:rPr>
        <w:t xml:space="preserve">; </w:t>
      </w:r>
    </w:p>
    <w:p w14:paraId="27906D5D" w14:textId="78C7DFD4" w:rsidR="00FE18F8" w:rsidRDefault="007432EC" w:rsidP="00B12627">
      <w:pPr>
        <w:pStyle w:val="SingleTxtG"/>
        <w:ind w:firstLine="567"/>
        <w:rPr>
          <w:b/>
          <w:bCs/>
        </w:rPr>
      </w:pPr>
      <w:r>
        <w:rPr>
          <w:b/>
          <w:bCs/>
        </w:rPr>
        <w:t>c)</w:t>
      </w:r>
      <w:r>
        <w:rPr>
          <w:b/>
          <w:bCs/>
        </w:rPr>
        <w:tab/>
      </w:r>
      <w:r w:rsidR="00FE18F8" w:rsidRPr="007074B1">
        <w:rPr>
          <w:b/>
          <w:bCs/>
        </w:rPr>
        <w:t xml:space="preserve">Definir, en consulta con los pueblos indígenas </w:t>
      </w:r>
      <w:r w:rsidR="00E929FE">
        <w:rPr>
          <w:b/>
          <w:bCs/>
        </w:rPr>
        <w:t xml:space="preserve">y comunidades afrodescendientes </w:t>
      </w:r>
      <w:r w:rsidR="00FE18F8" w:rsidRPr="007074B1">
        <w:rPr>
          <w:b/>
          <w:bCs/>
        </w:rPr>
        <w:t xml:space="preserve">cuyos territorios y recursos son afectados, medidas de mitigación, compensación por daños o pérdidas sufridas y de participación en los beneficios obtenidos de dichas actividades. </w:t>
      </w:r>
    </w:p>
    <w:p w14:paraId="68760F23" w14:textId="0CB83A33" w:rsidR="00FE18F8" w:rsidRPr="0038473D" w:rsidRDefault="00FE18F8" w:rsidP="006B65F4">
      <w:pPr>
        <w:pStyle w:val="H23G"/>
        <w:rPr>
          <w:lang w:val="es-ES_tradnl"/>
        </w:rPr>
      </w:pPr>
      <w:r w:rsidRPr="006676AD">
        <w:tab/>
      </w:r>
      <w:r w:rsidRPr="006676AD">
        <w:tab/>
      </w:r>
      <w:r w:rsidRPr="0038473D">
        <w:rPr>
          <w:lang w:val="es-ES_tradnl"/>
        </w:rPr>
        <w:t xml:space="preserve">Derechos territoriales y restitución de tierras </w:t>
      </w:r>
    </w:p>
    <w:p w14:paraId="00CA0416" w14:textId="0CD23F02" w:rsidR="00C927EE" w:rsidRPr="001F0E4F" w:rsidRDefault="007432EC" w:rsidP="00B12627">
      <w:pPr>
        <w:pStyle w:val="SingleTxtG"/>
      </w:pPr>
      <w:r w:rsidRPr="001F0E4F">
        <w:rPr>
          <w:rFonts w:eastAsiaTheme="minorHAnsi"/>
        </w:rPr>
        <w:t>20.</w:t>
      </w:r>
      <w:r w:rsidRPr="001F0E4F">
        <w:rPr>
          <w:rFonts w:eastAsiaTheme="minorHAnsi"/>
        </w:rPr>
        <w:tab/>
      </w:r>
      <w:r w:rsidR="00FE18F8" w:rsidRPr="001F0E4F">
        <w:t xml:space="preserve">Preocupan al Comité los limitados avances en la implementación de la legislación relativa a la protección, restitución y titulación de territorios indígenas y afrodescendientes, incluyendo la Ley 1448 de 2011 referente a la restitución de tierras para las víctimas del conflicto armado, </w:t>
      </w:r>
      <w:r w:rsidR="00FE18F8" w:rsidRPr="001F0E4F">
        <w:rPr>
          <w:bCs/>
        </w:rPr>
        <w:t>la Ley 70 de 1993, que reconoce el derecho de propiedad colectiva sobre sus territorios a los afrocolombianos, y los Decretos 1953 de 2014 y 632 de 2018</w:t>
      </w:r>
      <w:r w:rsidR="00FE18F8" w:rsidRPr="001F0E4F">
        <w:t xml:space="preserve">. </w:t>
      </w:r>
      <w:r w:rsidR="003643F4" w:rsidRPr="001F0E4F">
        <w:t xml:space="preserve">Al respecto, </w:t>
      </w:r>
      <w:r w:rsidR="00FE18F8" w:rsidRPr="001F0E4F">
        <w:t xml:space="preserve">preocupa al Comité </w:t>
      </w:r>
      <w:r w:rsidR="000D1DC2" w:rsidRPr="001F0E4F">
        <w:t xml:space="preserve">la información recibida respecto a </w:t>
      </w:r>
      <w:r w:rsidR="00FE18F8" w:rsidRPr="001F0E4F">
        <w:t>que la Unidad de Restitución de Tierras</w:t>
      </w:r>
      <w:r w:rsidR="00C927EE" w:rsidRPr="001F0E4F">
        <w:t xml:space="preserve"> haya denegado el 64</w:t>
      </w:r>
      <w:r w:rsidR="00EB4F40">
        <w:t xml:space="preserve"> </w:t>
      </w:r>
      <w:r w:rsidR="00C927EE" w:rsidRPr="001F0E4F">
        <w:t xml:space="preserve">% de las solicitudes de restitución de tierras, los graves retrasos por parte de la Agencia Nacional de Tierras en la implementación de </w:t>
      </w:r>
      <w:r w:rsidR="004B20AE" w:rsidRPr="001F0E4F">
        <w:t xml:space="preserve">las </w:t>
      </w:r>
      <w:r w:rsidR="00C927EE" w:rsidRPr="001F0E4F">
        <w:t xml:space="preserve">decisiones </w:t>
      </w:r>
      <w:r w:rsidR="004B20AE" w:rsidRPr="001F0E4F">
        <w:t xml:space="preserve">emanadas </w:t>
      </w:r>
      <w:r w:rsidR="00C927EE" w:rsidRPr="001F0E4F">
        <w:t xml:space="preserve">de la Corte que requieren la titulación de territorios colectivos, así </w:t>
      </w:r>
      <w:r w:rsidR="00C927EE" w:rsidRPr="001F0E4F">
        <w:lastRenderedPageBreak/>
        <w:t>como la reducción de los presupuestos de ambas entidades</w:t>
      </w:r>
      <w:r w:rsidR="007F37A9">
        <w:t xml:space="preserve">. </w:t>
      </w:r>
      <w:r w:rsidR="007F37A9" w:rsidRPr="007F37A9">
        <w:t xml:space="preserve">Preocupa también al Comité la situación que actualmente enfrentan algunos pueblos indígenas que habitan en áreas protegidas, incluyendo el Parque Nacional Tayrona, quienes encuentran limitaciones </w:t>
      </w:r>
      <w:r w:rsidR="00283046">
        <w:t>par</w:t>
      </w:r>
      <w:r w:rsidR="007F37A9" w:rsidRPr="007F37A9">
        <w:t>a disponer libremente de sus territorios y recursos naturales</w:t>
      </w:r>
      <w:r w:rsidR="00C927EE" w:rsidRPr="001F0E4F">
        <w:t xml:space="preserve"> (art</w:t>
      </w:r>
      <w:r w:rsidR="009C1078">
        <w:t>s</w:t>
      </w:r>
      <w:r w:rsidR="00C927EE" w:rsidRPr="001F0E4F">
        <w:t>.</w:t>
      </w:r>
      <w:r w:rsidR="00014A94">
        <w:t> </w:t>
      </w:r>
      <w:r w:rsidR="00C927EE" w:rsidRPr="001F0E4F">
        <w:t>2 y 5)</w:t>
      </w:r>
      <w:r w:rsidR="0090338C">
        <w:t>.</w:t>
      </w:r>
    </w:p>
    <w:p w14:paraId="10ACC502" w14:textId="1CA54EF1" w:rsidR="00C927EE" w:rsidRPr="008B0116" w:rsidRDefault="007432EC" w:rsidP="00B12627">
      <w:pPr>
        <w:pStyle w:val="SingleTxtG"/>
        <w:rPr>
          <w:b/>
          <w:lang w:val="es-ES_tradnl"/>
        </w:rPr>
      </w:pPr>
      <w:r w:rsidRPr="008B0116">
        <w:rPr>
          <w:rFonts w:eastAsiaTheme="minorHAnsi"/>
          <w:lang w:val="es-ES_tradnl"/>
        </w:rPr>
        <w:t>21.</w:t>
      </w:r>
      <w:r w:rsidRPr="008B0116">
        <w:rPr>
          <w:rFonts w:eastAsiaTheme="minorHAnsi"/>
          <w:lang w:val="es-ES_tradnl"/>
        </w:rPr>
        <w:tab/>
      </w:r>
      <w:r w:rsidR="00C927EE" w:rsidRPr="008B0116">
        <w:rPr>
          <w:b/>
          <w:lang w:val="es-ES_tradnl"/>
        </w:rPr>
        <w:t xml:space="preserve">El Comité recomienda al Estado parte que: </w:t>
      </w:r>
    </w:p>
    <w:p w14:paraId="11AFAAC1" w14:textId="49172EC3" w:rsidR="00C927EE" w:rsidRPr="00014A94" w:rsidRDefault="007432EC" w:rsidP="00B12627">
      <w:pPr>
        <w:pStyle w:val="SingleTxtG"/>
        <w:ind w:firstLine="567"/>
        <w:rPr>
          <w:b/>
        </w:rPr>
      </w:pPr>
      <w:r w:rsidRPr="00014A94">
        <w:rPr>
          <w:b/>
        </w:rPr>
        <w:t>a)</w:t>
      </w:r>
      <w:r w:rsidRPr="00014A94">
        <w:rPr>
          <w:b/>
        </w:rPr>
        <w:tab/>
      </w:r>
      <w:r w:rsidR="00092683">
        <w:rPr>
          <w:b/>
        </w:rPr>
        <w:t>Redoble sus esfuerzos para g</w:t>
      </w:r>
      <w:r w:rsidR="00C927EE" w:rsidRPr="00014A94">
        <w:rPr>
          <w:b/>
        </w:rPr>
        <w:t>aranti</w:t>
      </w:r>
      <w:r w:rsidR="00092683">
        <w:rPr>
          <w:b/>
        </w:rPr>
        <w:t xml:space="preserve">zar, </w:t>
      </w:r>
      <w:r w:rsidR="00C927EE" w:rsidRPr="00014A94">
        <w:rPr>
          <w:b/>
        </w:rPr>
        <w:t>facilit</w:t>
      </w:r>
      <w:r w:rsidR="00092683">
        <w:rPr>
          <w:b/>
        </w:rPr>
        <w:t xml:space="preserve">ar y agilizar </w:t>
      </w:r>
      <w:r w:rsidR="00234C15">
        <w:rPr>
          <w:b/>
        </w:rPr>
        <w:t xml:space="preserve">sin demora </w:t>
      </w:r>
      <w:r w:rsidR="00C927EE" w:rsidRPr="00014A94">
        <w:rPr>
          <w:b/>
        </w:rPr>
        <w:t>la implementación practica de las medidas legislativas, incluyendo la Ley 70 de 1993, la Ley 1448 de 2011, y de los Decretos 1953 de 2014 y 632 de 2018, destinadas a garantizar, preservar y restituir los derechos de los pueblos indígenas y afrodescendientes a poseer, utilizar, desarrollar y controlar con plena seguridad sus tierras, territorios y recursos, y que los proteja de cualquier usurpación ilegal;</w:t>
      </w:r>
    </w:p>
    <w:p w14:paraId="2ECA7291" w14:textId="51E9F3F2" w:rsidR="00C927EE" w:rsidRPr="00014A94" w:rsidRDefault="007432EC" w:rsidP="00B12627">
      <w:pPr>
        <w:pStyle w:val="SingleTxtG"/>
        <w:ind w:firstLine="567"/>
        <w:rPr>
          <w:b/>
        </w:rPr>
      </w:pPr>
      <w:r w:rsidRPr="00014A94">
        <w:rPr>
          <w:b/>
        </w:rPr>
        <w:t>b)</w:t>
      </w:r>
      <w:r w:rsidRPr="00014A94">
        <w:rPr>
          <w:b/>
        </w:rPr>
        <w:tab/>
      </w:r>
      <w:r w:rsidR="00C927EE" w:rsidRPr="00014A94">
        <w:rPr>
          <w:b/>
        </w:rPr>
        <w:t>Asegure que la Unidad de Restitución de Tierras y la Agencia Nacional de Tierras cuenten con recursos humanos, materiales y económicos adecuados para garantizar la implementación de las medidas legislativas relativas a la restitución de tierras, garantizando la efectiva participación de los pueblos indígenas y</w:t>
      </w:r>
      <w:r w:rsidR="00056FBF" w:rsidRPr="00014A94">
        <w:rPr>
          <w:b/>
        </w:rPr>
        <w:t xml:space="preserve"> </w:t>
      </w:r>
      <w:r w:rsidR="00F978A0" w:rsidRPr="00014A94">
        <w:rPr>
          <w:b/>
        </w:rPr>
        <w:t>comunidades afrodescendientes</w:t>
      </w:r>
      <w:r w:rsidR="00C927EE" w:rsidRPr="00014A94">
        <w:rPr>
          <w:b/>
        </w:rPr>
        <w:t>;</w:t>
      </w:r>
    </w:p>
    <w:p w14:paraId="2C7426DC" w14:textId="6F2AA432" w:rsidR="007F37A9" w:rsidRPr="00014A94" w:rsidRDefault="007432EC" w:rsidP="00B12627">
      <w:pPr>
        <w:pStyle w:val="SingleTxtG"/>
        <w:ind w:firstLine="567"/>
        <w:rPr>
          <w:b/>
        </w:rPr>
      </w:pPr>
      <w:r w:rsidRPr="00014A94">
        <w:rPr>
          <w:b/>
        </w:rPr>
        <w:t>c)</w:t>
      </w:r>
      <w:r w:rsidRPr="00014A94">
        <w:rPr>
          <w:b/>
        </w:rPr>
        <w:tab/>
      </w:r>
      <w:r w:rsidR="00C927EE" w:rsidRPr="00014A94">
        <w:rPr>
          <w:b/>
        </w:rPr>
        <w:t>Garantice la restitución de tierras de las comunidades indígenas y afrodescendientes y asegure que las solicitudes de restitución de tierras sean debidamente evaluadas basándose en los criterios legales establecidos y que las resoluciones judiciales en favor de restitución de tierras sean implementadas sin demora</w:t>
      </w:r>
      <w:r w:rsidR="007F37A9" w:rsidRPr="00014A94">
        <w:rPr>
          <w:b/>
        </w:rPr>
        <w:t>;</w:t>
      </w:r>
    </w:p>
    <w:p w14:paraId="725482C9" w14:textId="1B6790CC" w:rsidR="007F37A9" w:rsidRPr="00014A94" w:rsidRDefault="007432EC" w:rsidP="00B12627">
      <w:pPr>
        <w:pStyle w:val="SingleTxtG"/>
        <w:ind w:firstLine="567"/>
        <w:rPr>
          <w:b/>
        </w:rPr>
      </w:pPr>
      <w:r w:rsidRPr="00014A94">
        <w:rPr>
          <w:b/>
        </w:rPr>
        <w:t>d)</w:t>
      </w:r>
      <w:r w:rsidRPr="00014A94">
        <w:rPr>
          <w:b/>
        </w:rPr>
        <w:tab/>
      </w:r>
      <w:r w:rsidR="007F37A9" w:rsidRPr="00014A94">
        <w:rPr>
          <w:b/>
        </w:rPr>
        <w:t>Tome las medidas necesarias para garantizar que los pueblos indígenas asentados en zonas protegidas</w:t>
      </w:r>
      <w:r w:rsidR="00853D69">
        <w:rPr>
          <w:b/>
        </w:rPr>
        <w:t>, especialmente el Parque Nacional Tayrona,</w:t>
      </w:r>
      <w:r w:rsidR="007F37A9" w:rsidRPr="00014A94">
        <w:rPr>
          <w:b/>
        </w:rPr>
        <w:t xml:space="preserve"> puedan disponer libremente de sus territorios y recursos naturales, y que sean consultados en todos los procesos y decisiones que les afectan.</w:t>
      </w:r>
    </w:p>
    <w:p w14:paraId="5FDEF276" w14:textId="7733B60B" w:rsidR="00C927EE" w:rsidRPr="00CB58DC" w:rsidRDefault="00C927EE" w:rsidP="00014A94">
      <w:pPr>
        <w:pStyle w:val="H23G"/>
        <w:rPr>
          <w:rFonts w:eastAsia="SimSun"/>
        </w:rPr>
      </w:pPr>
      <w:r>
        <w:rPr>
          <w:rFonts w:eastAsia="SimSun"/>
          <w:lang w:val="es-ES_tradnl"/>
        </w:rPr>
        <w:tab/>
      </w:r>
      <w:r>
        <w:rPr>
          <w:rFonts w:eastAsia="SimSun"/>
          <w:lang w:val="es-ES_tradnl"/>
        </w:rPr>
        <w:tab/>
      </w:r>
      <w:r w:rsidRPr="00CB58DC">
        <w:rPr>
          <w:rFonts w:eastAsia="SimSun"/>
          <w:lang w:val="es-ES_tradnl"/>
        </w:rPr>
        <w:t xml:space="preserve">Pueblos indígenas en peligro de extinción, en aislamiento o contacto inicial </w:t>
      </w:r>
    </w:p>
    <w:p w14:paraId="07088AD6" w14:textId="5103D74D" w:rsidR="00C927EE" w:rsidRPr="00CB58DC" w:rsidRDefault="007432EC" w:rsidP="00B12627">
      <w:pPr>
        <w:pStyle w:val="SingleTxtG"/>
        <w:rPr>
          <w:b/>
        </w:rPr>
      </w:pPr>
      <w:r w:rsidRPr="00CB58DC">
        <w:rPr>
          <w:rFonts w:eastAsiaTheme="minorHAnsi"/>
        </w:rPr>
        <w:t>22.</w:t>
      </w:r>
      <w:r w:rsidRPr="00CB58DC">
        <w:rPr>
          <w:rFonts w:eastAsiaTheme="minorHAnsi"/>
        </w:rPr>
        <w:tab/>
      </w:r>
      <w:r w:rsidR="00C927EE" w:rsidRPr="00CB58DC">
        <w:t>El Comité lamenta la falta de avances significativos en la implementación de las resoluciones de la Corte Constitucional</w:t>
      </w:r>
      <w:r w:rsidR="00347663">
        <w:t xml:space="preserve"> </w:t>
      </w:r>
      <w:r w:rsidR="00C927EE" w:rsidRPr="00CB58DC">
        <w:t>y de los planes de salvaguarda étnica de los pueblos indígenas y afrodescendientes que han sido identificados como en peligro de extinción física o cultural</w:t>
      </w:r>
      <w:r w:rsidR="00C927EE" w:rsidRPr="00812407">
        <w:t xml:space="preserve">, </w:t>
      </w:r>
      <w:r w:rsidR="00783F72" w:rsidRPr="00812407">
        <w:t>o en</w:t>
      </w:r>
      <w:r w:rsidR="00783F72">
        <w:t xml:space="preserve"> extrema vulnerabilidad,</w:t>
      </w:r>
      <w:r w:rsidR="00783F72" w:rsidRPr="00CB58DC">
        <w:t xml:space="preserve"> </w:t>
      </w:r>
      <w:r w:rsidR="00C927EE" w:rsidRPr="00C16CE8">
        <w:t xml:space="preserve">en particular el pueblo </w:t>
      </w:r>
      <w:r w:rsidR="00EB4F40">
        <w:t>a</w:t>
      </w:r>
      <w:r w:rsidR="00C927EE" w:rsidRPr="00C16CE8">
        <w:t xml:space="preserve">wa y </w:t>
      </w:r>
      <w:r w:rsidR="00EB4F40">
        <w:t>u</w:t>
      </w:r>
      <w:r w:rsidR="00C927EE" w:rsidRPr="00C16CE8">
        <w:t>itoto</w:t>
      </w:r>
      <w:r w:rsidR="00783F72">
        <w:t>.</w:t>
      </w:r>
      <w:r w:rsidR="00C927EE" w:rsidRPr="00812407">
        <w:t xml:space="preserve"> </w:t>
      </w:r>
      <w:r w:rsidR="00C927EE" w:rsidRPr="00CB58DC">
        <w:t xml:space="preserve">Preocupa además al Comité </w:t>
      </w:r>
      <w:r w:rsidR="00C927EE" w:rsidRPr="00CB58DC">
        <w:rPr>
          <w:lang w:val="es-ES_tradnl"/>
        </w:rPr>
        <w:t xml:space="preserve">la falta de medidas </w:t>
      </w:r>
      <w:r w:rsidR="00C927EE">
        <w:rPr>
          <w:lang w:val="es-ES_tradnl"/>
        </w:rPr>
        <w:t>efectivas</w:t>
      </w:r>
      <w:r w:rsidR="00C927EE" w:rsidRPr="00CB58DC">
        <w:rPr>
          <w:lang w:val="es-ES_tradnl"/>
        </w:rPr>
        <w:t xml:space="preserve"> para la protección de los pueblos indígenas en aislamiento voluntario o en contacto inicial, </w:t>
      </w:r>
      <w:r w:rsidR="00C927EE" w:rsidRPr="00CB58DC">
        <w:t>particularmente el pueblo nukak-makú (art</w:t>
      </w:r>
      <w:r w:rsidR="009C1078">
        <w:t>s</w:t>
      </w:r>
      <w:r w:rsidR="00C927EE" w:rsidRPr="00CB58DC">
        <w:t>.</w:t>
      </w:r>
      <w:r w:rsidR="003D349B">
        <w:t> </w:t>
      </w:r>
      <w:r w:rsidR="00C927EE" w:rsidRPr="00CB58DC">
        <w:t>2, 4, 5 y 6).</w:t>
      </w:r>
    </w:p>
    <w:p w14:paraId="6AC26EC7" w14:textId="1969C48F" w:rsidR="00C927EE" w:rsidRPr="00CB58DC" w:rsidRDefault="007432EC" w:rsidP="00B12627">
      <w:pPr>
        <w:pStyle w:val="SingleTxtG"/>
        <w:rPr>
          <w:b/>
          <w:lang w:val="es-ES_tradnl"/>
        </w:rPr>
      </w:pPr>
      <w:r w:rsidRPr="00CB58DC">
        <w:rPr>
          <w:rFonts w:eastAsiaTheme="minorHAnsi"/>
          <w:lang w:val="es-ES_tradnl"/>
        </w:rPr>
        <w:t>23.</w:t>
      </w:r>
      <w:r w:rsidRPr="00CB58DC">
        <w:rPr>
          <w:rFonts w:eastAsiaTheme="minorHAnsi"/>
          <w:lang w:val="es-ES_tradnl"/>
        </w:rPr>
        <w:tab/>
      </w:r>
      <w:r w:rsidR="00C927EE" w:rsidRPr="00CB58DC">
        <w:rPr>
          <w:b/>
          <w:lang w:val="es-ES_tradnl"/>
        </w:rPr>
        <w:t xml:space="preserve">El Comité reitera su recomendación anterior </w:t>
      </w:r>
      <w:r w:rsidR="000312E3">
        <w:rPr>
          <w:b/>
          <w:lang w:val="es-ES_tradnl"/>
        </w:rPr>
        <w:t>(</w:t>
      </w:r>
      <w:r w:rsidR="000312E3">
        <w:rPr>
          <w:b/>
        </w:rPr>
        <w:t>CERD/C/COL/CO/15-16, párr.</w:t>
      </w:r>
      <w:r w:rsidR="00415CF8">
        <w:rPr>
          <w:b/>
        </w:rPr>
        <w:t> </w:t>
      </w:r>
      <w:r w:rsidR="000312E3">
        <w:rPr>
          <w:b/>
        </w:rPr>
        <w:t>16</w:t>
      </w:r>
      <w:r w:rsidR="000312E3" w:rsidRPr="000312E3">
        <w:rPr>
          <w:b/>
        </w:rPr>
        <w:t>)</w:t>
      </w:r>
      <w:r w:rsidR="000312E3" w:rsidRPr="000312E3">
        <w:rPr>
          <w:b/>
          <w:lang w:val="es-ES_tradnl"/>
        </w:rPr>
        <w:t xml:space="preserve"> </w:t>
      </w:r>
      <w:r w:rsidR="00C927EE" w:rsidRPr="00CB58DC">
        <w:rPr>
          <w:b/>
          <w:lang w:val="es-ES_tradnl"/>
        </w:rPr>
        <w:t>e insta al Estado parte a que dé efectivo cumplimiento a las resolucio</w:t>
      </w:r>
      <w:r w:rsidR="00C927EE">
        <w:rPr>
          <w:b/>
          <w:lang w:val="es-ES_tradnl"/>
        </w:rPr>
        <w:t xml:space="preserve">nes de la Corte Constitucional, finalice la formulación de </w:t>
      </w:r>
      <w:r w:rsidR="00C927EE" w:rsidRPr="00CB58DC">
        <w:rPr>
          <w:b/>
          <w:lang w:val="es-ES_tradnl"/>
        </w:rPr>
        <w:t>los planes de salvaguarda étnica para los pueblos que han sido identificados como en peligro de extinción física o cultural</w:t>
      </w:r>
      <w:r w:rsidR="00C927EE">
        <w:rPr>
          <w:b/>
          <w:lang w:val="es-ES_tradnl"/>
        </w:rPr>
        <w:t xml:space="preserve"> y asegure su implementación efectiva.</w:t>
      </w:r>
      <w:r w:rsidR="00C927EE" w:rsidRPr="00CB58DC">
        <w:rPr>
          <w:b/>
          <w:lang w:val="es-ES_tradnl"/>
        </w:rPr>
        <w:t xml:space="preserve"> El Comité recomienda al Estado parte que tome las medidas urgentes necesarias para asegurar la </w:t>
      </w:r>
      <w:r w:rsidR="009F6EC1">
        <w:rPr>
          <w:b/>
          <w:lang w:val="es-ES_tradnl"/>
        </w:rPr>
        <w:t>su</w:t>
      </w:r>
      <w:r w:rsidR="00C927EE" w:rsidRPr="00CB58DC">
        <w:rPr>
          <w:b/>
          <w:lang w:val="es-ES_tradnl"/>
        </w:rPr>
        <w:t xml:space="preserve">pervivencia física y cultural de los pueblos indígenas </w:t>
      </w:r>
      <w:r w:rsidR="00C927EE" w:rsidRPr="00CB58DC">
        <w:rPr>
          <w:b/>
        </w:rPr>
        <w:t xml:space="preserve">que se encuentran en aislamiento voluntario o en situación </w:t>
      </w:r>
      <w:r w:rsidR="00C927EE" w:rsidRPr="00CB58DC">
        <w:rPr>
          <w:b/>
          <w:lang w:val="es-ES_tradnl"/>
        </w:rPr>
        <w:t>de</w:t>
      </w:r>
      <w:r w:rsidR="00C927EE" w:rsidRPr="00CB58DC">
        <w:rPr>
          <w:b/>
        </w:rPr>
        <w:t xml:space="preserve"> contacto inicial,</w:t>
      </w:r>
      <w:r w:rsidR="00C927EE" w:rsidRPr="00CB58DC">
        <w:rPr>
          <w:lang w:val="es-ES_tradnl"/>
        </w:rPr>
        <w:t xml:space="preserve"> </w:t>
      </w:r>
      <w:r w:rsidR="00C927EE" w:rsidRPr="00CB58DC">
        <w:rPr>
          <w:b/>
          <w:lang w:val="es-ES_tradnl"/>
        </w:rPr>
        <w:t>particularmente</w:t>
      </w:r>
      <w:r w:rsidR="00C927EE" w:rsidRPr="00CB58DC">
        <w:rPr>
          <w:lang w:val="es-ES_tradnl"/>
        </w:rPr>
        <w:t xml:space="preserve"> </w:t>
      </w:r>
      <w:r w:rsidR="00C927EE" w:rsidRPr="00CB58DC">
        <w:rPr>
          <w:b/>
          <w:lang w:val="es-ES_tradnl"/>
        </w:rPr>
        <w:t xml:space="preserve">el pueblo nukak-makú. </w:t>
      </w:r>
    </w:p>
    <w:p w14:paraId="7B514EA8" w14:textId="6F5E9718" w:rsidR="00C927EE" w:rsidRDefault="00C927EE" w:rsidP="00AE282A">
      <w:pPr>
        <w:keepNext/>
        <w:keepLines/>
        <w:tabs>
          <w:tab w:val="right" w:pos="851"/>
        </w:tabs>
        <w:suppressAutoHyphens/>
        <w:spacing w:before="240" w:after="120" w:line="240" w:lineRule="exact"/>
        <w:ind w:left="1134" w:right="1134" w:hanging="1134"/>
        <w:rPr>
          <w:b/>
          <w:lang w:val="es-ES_tradnl"/>
        </w:rPr>
      </w:pPr>
      <w:r w:rsidRPr="006676AD">
        <w:rPr>
          <w:b/>
        </w:rPr>
        <w:tab/>
      </w:r>
      <w:r w:rsidRPr="006676AD">
        <w:rPr>
          <w:b/>
        </w:rPr>
        <w:tab/>
      </w:r>
      <w:r>
        <w:rPr>
          <w:b/>
          <w:lang w:val="es-ES_tradnl"/>
        </w:rPr>
        <w:t>Situación de las</w:t>
      </w:r>
      <w:r w:rsidRPr="00747E45">
        <w:rPr>
          <w:b/>
          <w:lang w:val="es-ES_tradnl"/>
        </w:rPr>
        <w:t xml:space="preserve"> mujeres afro</w:t>
      </w:r>
      <w:r w:rsidR="004D6581">
        <w:rPr>
          <w:b/>
          <w:lang w:val="es-ES_tradnl"/>
        </w:rPr>
        <w:t>descendientes</w:t>
      </w:r>
      <w:r w:rsidRPr="00747E45">
        <w:rPr>
          <w:b/>
          <w:lang w:val="es-ES_tradnl"/>
        </w:rPr>
        <w:t xml:space="preserve"> e indígenas </w:t>
      </w:r>
    </w:p>
    <w:p w14:paraId="79437884" w14:textId="3DA3EEF4" w:rsidR="00C927EE" w:rsidRDefault="007432EC" w:rsidP="00B12627">
      <w:pPr>
        <w:pStyle w:val="SingleTxtG"/>
        <w:rPr>
          <w:lang w:val="es-ES_tradnl"/>
        </w:rPr>
      </w:pPr>
      <w:r>
        <w:rPr>
          <w:rFonts w:eastAsiaTheme="minorHAnsi"/>
          <w:lang w:val="es-ES_tradnl"/>
        </w:rPr>
        <w:t>24.</w:t>
      </w:r>
      <w:r>
        <w:rPr>
          <w:rFonts w:eastAsiaTheme="minorHAnsi"/>
          <w:lang w:val="es-ES_tradnl"/>
        </w:rPr>
        <w:tab/>
      </w:r>
      <w:r w:rsidR="00C927EE">
        <w:rPr>
          <w:lang w:val="es-ES_tradnl"/>
        </w:rPr>
        <w:t xml:space="preserve">El </w:t>
      </w:r>
      <w:r w:rsidR="00C927EE" w:rsidRPr="008228EE">
        <w:rPr>
          <w:lang w:val="es-ES_tradnl"/>
        </w:rPr>
        <w:t xml:space="preserve">Comité </w:t>
      </w:r>
      <w:r w:rsidR="00C927EE">
        <w:rPr>
          <w:lang w:val="es-ES_tradnl"/>
        </w:rPr>
        <w:t xml:space="preserve">está preocupado por </w:t>
      </w:r>
      <w:r w:rsidR="00C927EE" w:rsidRPr="00B7435F">
        <w:t xml:space="preserve">las múltiples formas de discriminación </w:t>
      </w:r>
      <w:r w:rsidR="00C927EE">
        <w:t xml:space="preserve">a las que se enfrentan </w:t>
      </w:r>
      <w:r w:rsidR="00C927EE" w:rsidRPr="00B7435F">
        <w:t xml:space="preserve">las </w:t>
      </w:r>
      <w:r w:rsidR="00C927EE" w:rsidRPr="00747E45">
        <w:t>mujeres indígenas y afrodescendientes</w:t>
      </w:r>
      <w:r w:rsidR="00C927EE">
        <w:t xml:space="preserve"> en comparación </w:t>
      </w:r>
      <w:r w:rsidR="009F6EC1">
        <w:t>con</w:t>
      </w:r>
      <w:r w:rsidR="009876A4">
        <w:t xml:space="preserve"> las mujeres del </w:t>
      </w:r>
      <w:r w:rsidR="00C927EE">
        <w:t>resto</w:t>
      </w:r>
      <w:r w:rsidR="009876A4">
        <w:t xml:space="preserve"> </w:t>
      </w:r>
      <w:r w:rsidR="00C927EE">
        <w:t>de la población</w:t>
      </w:r>
      <w:r w:rsidR="00C927EE" w:rsidRPr="00747E45">
        <w:t>, especialmente en lo que respecta al acceso al trabajo, a la educación y a la salud, incluyendo a</w:t>
      </w:r>
      <w:r w:rsidR="00C927EE" w:rsidRPr="00747E45">
        <w:rPr>
          <w:lang w:val="es-ES_tradnl"/>
        </w:rPr>
        <w:t xml:space="preserve"> los servicios de salud sexual y reproductiva</w:t>
      </w:r>
      <w:r w:rsidR="00C927EE" w:rsidRPr="00747E45">
        <w:rPr>
          <w:bCs/>
        </w:rPr>
        <w:t>.</w:t>
      </w:r>
      <w:r w:rsidR="00C927EE" w:rsidRPr="008228EE">
        <w:rPr>
          <w:lang w:val="es-ES_tradnl"/>
        </w:rPr>
        <w:t xml:space="preserve"> </w:t>
      </w:r>
      <w:r w:rsidR="00C927EE">
        <w:t>Preocupan además al</w:t>
      </w:r>
      <w:r w:rsidR="00C927EE" w:rsidRPr="007A65F4">
        <w:t xml:space="preserve"> Comité </w:t>
      </w:r>
      <w:r w:rsidR="00C927EE">
        <w:rPr>
          <w:bCs/>
        </w:rPr>
        <w:t xml:space="preserve">los altos índices de </w:t>
      </w:r>
      <w:r w:rsidR="00C927EE" w:rsidRPr="00620D63">
        <w:rPr>
          <w:bCs/>
        </w:rPr>
        <w:t xml:space="preserve">violencia sexual </w:t>
      </w:r>
      <w:r w:rsidR="00C927EE">
        <w:rPr>
          <w:bCs/>
        </w:rPr>
        <w:t>que afecta</w:t>
      </w:r>
      <w:r w:rsidR="009F6EC1">
        <w:rPr>
          <w:bCs/>
        </w:rPr>
        <w:t>n</w:t>
      </w:r>
      <w:r w:rsidR="00C927EE">
        <w:rPr>
          <w:bCs/>
        </w:rPr>
        <w:t xml:space="preserve"> a las </w:t>
      </w:r>
      <w:r w:rsidR="00C927EE" w:rsidRPr="00620D63">
        <w:rPr>
          <w:bCs/>
        </w:rPr>
        <w:t>mujeres indígenas y afro</w:t>
      </w:r>
      <w:r w:rsidR="009B08A9">
        <w:rPr>
          <w:bCs/>
        </w:rPr>
        <w:t>descendientes</w:t>
      </w:r>
      <w:r w:rsidR="00C927EE">
        <w:t xml:space="preserve"> de manera desproporcionada</w:t>
      </w:r>
      <w:r w:rsidR="00C927EE" w:rsidRPr="007A65F4">
        <w:t>,</w:t>
      </w:r>
      <w:r w:rsidR="00C927EE">
        <w:t xml:space="preserve"> en particular en relación con el conflicto </w:t>
      </w:r>
      <w:r w:rsidR="00CA1780">
        <w:t xml:space="preserve">armado, </w:t>
      </w:r>
      <w:r w:rsidR="00CA1780" w:rsidRPr="007A65F4">
        <w:t>así</w:t>
      </w:r>
      <w:r w:rsidR="00C927EE" w:rsidRPr="007A65F4">
        <w:t xml:space="preserve"> como </w:t>
      </w:r>
      <w:r w:rsidR="00C927EE">
        <w:t xml:space="preserve">la falta </w:t>
      </w:r>
      <w:r w:rsidR="00C927EE" w:rsidRPr="005F7398">
        <w:rPr>
          <w:bCs/>
        </w:rPr>
        <w:t>de asistencia</w:t>
      </w:r>
      <w:r w:rsidR="00C927EE">
        <w:rPr>
          <w:bCs/>
        </w:rPr>
        <w:t xml:space="preserve">, </w:t>
      </w:r>
      <w:r w:rsidR="00C927EE" w:rsidRPr="005F7398">
        <w:rPr>
          <w:bCs/>
        </w:rPr>
        <w:t xml:space="preserve">protección </w:t>
      </w:r>
      <w:r w:rsidR="00C927EE">
        <w:rPr>
          <w:bCs/>
        </w:rPr>
        <w:t xml:space="preserve">y </w:t>
      </w:r>
      <w:r w:rsidR="00C927EE">
        <w:t>justicia para las víctimas, y los</w:t>
      </w:r>
      <w:r w:rsidR="00C927EE" w:rsidRPr="007A65F4">
        <w:t xml:space="preserve"> altos niveles de impunidad</w:t>
      </w:r>
      <w:r w:rsidR="00C927EE">
        <w:t xml:space="preserve"> de estos crímenes </w:t>
      </w:r>
      <w:r w:rsidR="00C927EE" w:rsidRPr="008228EE">
        <w:rPr>
          <w:lang w:val="es-ES_tradnl"/>
        </w:rPr>
        <w:t>(art</w:t>
      </w:r>
      <w:r w:rsidR="009C1078">
        <w:rPr>
          <w:lang w:val="es-ES_tradnl"/>
        </w:rPr>
        <w:t>s</w:t>
      </w:r>
      <w:r w:rsidR="00C927EE" w:rsidRPr="008228EE">
        <w:rPr>
          <w:lang w:val="es-ES_tradnl"/>
        </w:rPr>
        <w:t>. 2</w:t>
      </w:r>
      <w:r w:rsidR="00C927EE">
        <w:rPr>
          <w:lang w:val="es-ES_tradnl"/>
        </w:rPr>
        <w:t xml:space="preserve">, 5 </w:t>
      </w:r>
      <w:r w:rsidR="00C927EE">
        <w:t>y 6</w:t>
      </w:r>
      <w:r w:rsidR="00C927EE" w:rsidRPr="008228EE">
        <w:rPr>
          <w:lang w:val="es-ES_tradnl"/>
        </w:rPr>
        <w:t xml:space="preserve">). </w:t>
      </w:r>
    </w:p>
    <w:p w14:paraId="2C7358F7" w14:textId="7077C3EB" w:rsidR="00C927EE" w:rsidRPr="00B7435F" w:rsidRDefault="007432EC" w:rsidP="00B12627">
      <w:pPr>
        <w:pStyle w:val="SingleTxtG"/>
        <w:rPr>
          <w:b/>
          <w:bCs/>
        </w:rPr>
      </w:pPr>
      <w:r w:rsidRPr="00B7435F">
        <w:rPr>
          <w:rFonts w:eastAsiaTheme="minorHAnsi"/>
          <w:bCs/>
        </w:rPr>
        <w:t>25.</w:t>
      </w:r>
      <w:r w:rsidRPr="00B7435F">
        <w:rPr>
          <w:rFonts w:eastAsiaTheme="minorHAnsi"/>
          <w:bCs/>
        </w:rPr>
        <w:tab/>
      </w:r>
      <w:r w:rsidR="00C927EE" w:rsidRPr="00B7435F">
        <w:rPr>
          <w:b/>
          <w:bCs/>
        </w:rPr>
        <w:t xml:space="preserve">A la luz de su recomendación general núm. 25 (2000) sobre las dimensiones de la discriminación racial relacionadas con el género, el Comité insta al Estado parte a: </w:t>
      </w:r>
    </w:p>
    <w:p w14:paraId="6028BCB1" w14:textId="189392E9" w:rsidR="00C927EE" w:rsidRPr="00014A94" w:rsidRDefault="007432EC" w:rsidP="00B12627">
      <w:pPr>
        <w:pStyle w:val="SingleTxtG"/>
        <w:ind w:firstLine="567"/>
        <w:rPr>
          <w:b/>
        </w:rPr>
      </w:pPr>
      <w:r w:rsidRPr="00014A94">
        <w:rPr>
          <w:b/>
        </w:rPr>
        <w:lastRenderedPageBreak/>
        <w:t>a)</w:t>
      </w:r>
      <w:r w:rsidRPr="00014A94">
        <w:rPr>
          <w:b/>
        </w:rPr>
        <w:tab/>
      </w:r>
      <w:r w:rsidR="00C927EE" w:rsidRPr="00014A94">
        <w:rPr>
          <w:b/>
        </w:rPr>
        <w:t>Intensificar sus esfuerzos para combatir las formas múltiples de discriminación a las que se enfrentan las mujeres indígenas y afro</w:t>
      </w:r>
      <w:r w:rsidR="009B08A9" w:rsidRPr="00014A94">
        <w:rPr>
          <w:b/>
        </w:rPr>
        <w:t>descendientes</w:t>
      </w:r>
      <w:r w:rsidR="00C927EE" w:rsidRPr="00014A94">
        <w:rPr>
          <w:b/>
        </w:rPr>
        <w:t xml:space="preserve">, a fin de asegurar que tengan </w:t>
      </w:r>
      <w:r w:rsidR="000C319E">
        <w:rPr>
          <w:b/>
        </w:rPr>
        <w:t xml:space="preserve">un </w:t>
      </w:r>
      <w:r w:rsidR="00C927EE" w:rsidRPr="00014A94">
        <w:rPr>
          <w:b/>
        </w:rPr>
        <w:t xml:space="preserve">acceso efectivo y adecuado a </w:t>
      </w:r>
      <w:r w:rsidR="000C319E">
        <w:rPr>
          <w:b/>
        </w:rPr>
        <w:t xml:space="preserve">la </w:t>
      </w:r>
      <w:r w:rsidR="00C927EE" w:rsidRPr="00014A94">
        <w:rPr>
          <w:b/>
        </w:rPr>
        <w:t xml:space="preserve">justicia, trabajo, educación y salud, incluyendo la salud reproductiva, tomando en cuenta las diferencias culturales y lingüísticas; </w:t>
      </w:r>
    </w:p>
    <w:p w14:paraId="1D53CF28" w14:textId="09478A5C" w:rsidR="00605BD6" w:rsidRPr="00014A94" w:rsidRDefault="007432EC" w:rsidP="00B12627">
      <w:pPr>
        <w:pStyle w:val="SingleTxtG"/>
        <w:ind w:firstLine="567"/>
        <w:rPr>
          <w:b/>
        </w:rPr>
      </w:pPr>
      <w:r w:rsidRPr="00014A94">
        <w:rPr>
          <w:b/>
        </w:rPr>
        <w:t>b)</w:t>
      </w:r>
      <w:r w:rsidRPr="00014A94">
        <w:rPr>
          <w:b/>
        </w:rPr>
        <w:tab/>
      </w:r>
      <w:r w:rsidR="00C927EE" w:rsidRPr="00014A94">
        <w:rPr>
          <w:b/>
        </w:rPr>
        <w:t xml:space="preserve">Adoptar las medidas necesarias para prevenir la violencia </w:t>
      </w:r>
      <w:r w:rsidR="00605BD6" w:rsidRPr="00014A94">
        <w:rPr>
          <w:b/>
        </w:rPr>
        <w:t xml:space="preserve">sexual </w:t>
      </w:r>
      <w:r w:rsidR="00C927EE" w:rsidRPr="00014A94">
        <w:rPr>
          <w:b/>
        </w:rPr>
        <w:t xml:space="preserve">en contra de las mujeres indígenas y afrodescendientes </w:t>
      </w:r>
      <w:r w:rsidR="002444A8" w:rsidRPr="00014A94">
        <w:rPr>
          <w:b/>
        </w:rPr>
        <w:t>y</w:t>
      </w:r>
      <w:r w:rsidR="00605BD6" w:rsidRPr="00014A94">
        <w:rPr>
          <w:b/>
        </w:rPr>
        <w:t xml:space="preserve"> garantizar</w:t>
      </w:r>
      <w:r w:rsidR="00316200" w:rsidRPr="00014A94">
        <w:rPr>
          <w:b/>
        </w:rPr>
        <w:t xml:space="preserve"> el acceso de las víctimas a una asistencia adecuada </w:t>
      </w:r>
      <w:r w:rsidR="00605BD6" w:rsidRPr="00014A94">
        <w:rPr>
          <w:b/>
        </w:rPr>
        <w:t>y a mecanismos de protección efec</w:t>
      </w:r>
      <w:r w:rsidR="00316200" w:rsidRPr="00014A94">
        <w:rPr>
          <w:b/>
        </w:rPr>
        <w:t>tivos y culturalmente adecuados;</w:t>
      </w:r>
    </w:p>
    <w:p w14:paraId="60D9B2BE" w14:textId="740BF1C8" w:rsidR="002444A8" w:rsidRPr="00014A94" w:rsidRDefault="007432EC" w:rsidP="00B12627">
      <w:pPr>
        <w:pStyle w:val="SingleTxtG"/>
        <w:ind w:firstLine="567"/>
        <w:rPr>
          <w:b/>
        </w:rPr>
      </w:pPr>
      <w:r w:rsidRPr="00014A94">
        <w:rPr>
          <w:b/>
        </w:rPr>
        <w:t>c)</w:t>
      </w:r>
      <w:r w:rsidRPr="00014A94">
        <w:rPr>
          <w:b/>
        </w:rPr>
        <w:tab/>
      </w:r>
      <w:r w:rsidR="00316200" w:rsidRPr="00014A94">
        <w:rPr>
          <w:b/>
        </w:rPr>
        <w:t>A</w:t>
      </w:r>
      <w:r w:rsidR="00605BD6" w:rsidRPr="00014A94">
        <w:rPr>
          <w:b/>
        </w:rPr>
        <w:t xml:space="preserve">segurar la implementación efectiva de la Ley 1719 de 2014 sobre el acceso a la justicia para las víctimas de violencia sexual, especialmente relacionadas con el conflicto armado, </w:t>
      </w:r>
      <w:r w:rsidR="00CF71F3">
        <w:rPr>
          <w:b/>
        </w:rPr>
        <w:t xml:space="preserve">así como el cumplimiento de las resoluciones </w:t>
      </w:r>
      <w:r w:rsidR="00DC1ADF">
        <w:rPr>
          <w:b/>
        </w:rPr>
        <w:t xml:space="preserve">92/08 y 9/15 </w:t>
      </w:r>
      <w:r w:rsidR="00CF71F3">
        <w:rPr>
          <w:b/>
        </w:rPr>
        <w:t xml:space="preserve">de la Corte Constitucional, </w:t>
      </w:r>
      <w:r w:rsidR="00605BD6" w:rsidRPr="00014A94">
        <w:rPr>
          <w:b/>
        </w:rPr>
        <w:t xml:space="preserve">garantizando </w:t>
      </w:r>
      <w:r w:rsidR="00C927EE" w:rsidRPr="00014A94">
        <w:rPr>
          <w:b/>
        </w:rPr>
        <w:t>que todos los casos de violencia sexual sean debidamente investigados</w:t>
      </w:r>
      <w:r w:rsidR="002444A8" w:rsidRPr="00014A94">
        <w:rPr>
          <w:b/>
        </w:rPr>
        <w:t>, que los responsables sean enjuiciados y debidamente castigados, y que las v</w:t>
      </w:r>
      <w:r w:rsidR="009F6EC1">
        <w:rPr>
          <w:b/>
        </w:rPr>
        <w:t>í</w:t>
      </w:r>
      <w:r w:rsidR="002444A8" w:rsidRPr="00014A94">
        <w:rPr>
          <w:b/>
        </w:rPr>
        <w:t xml:space="preserve">ctimas </w:t>
      </w:r>
      <w:r w:rsidR="002A1E86" w:rsidRPr="00014A94">
        <w:rPr>
          <w:b/>
        </w:rPr>
        <w:t xml:space="preserve">obtengan </w:t>
      </w:r>
      <w:r w:rsidR="002444A8" w:rsidRPr="00014A94">
        <w:rPr>
          <w:b/>
        </w:rPr>
        <w:t>una reparación integral</w:t>
      </w:r>
      <w:r w:rsidR="0082791C" w:rsidRPr="00014A94">
        <w:rPr>
          <w:b/>
        </w:rPr>
        <w:t>.</w:t>
      </w:r>
    </w:p>
    <w:p w14:paraId="19C44427" w14:textId="3C50AA59" w:rsidR="00FE18F8" w:rsidRPr="007A5A44" w:rsidRDefault="00014A94" w:rsidP="00014A94">
      <w:pPr>
        <w:pStyle w:val="H23G"/>
        <w:rPr>
          <w:rFonts w:eastAsia="SimSun"/>
          <w:lang w:val="es-ES_tradnl"/>
        </w:rPr>
      </w:pPr>
      <w:r>
        <w:rPr>
          <w:rFonts w:eastAsia="SimSun"/>
          <w:lang w:val="es-ES_tradnl"/>
        </w:rPr>
        <w:tab/>
      </w:r>
      <w:r>
        <w:rPr>
          <w:rFonts w:eastAsia="SimSun"/>
          <w:lang w:val="es-ES_tradnl"/>
        </w:rPr>
        <w:tab/>
      </w:r>
      <w:r w:rsidR="00FE18F8" w:rsidRPr="007A5A44">
        <w:rPr>
          <w:rFonts w:eastAsia="SimSun"/>
          <w:lang w:val="es-ES_tradnl"/>
        </w:rPr>
        <w:t>Migrantes</w:t>
      </w:r>
      <w:r w:rsidR="00FE18F8">
        <w:rPr>
          <w:rFonts w:eastAsia="SimSun"/>
          <w:lang w:val="es-ES_tradnl"/>
        </w:rPr>
        <w:t xml:space="preserve"> venezolanos</w:t>
      </w:r>
    </w:p>
    <w:p w14:paraId="197743FE" w14:textId="7905F16E" w:rsidR="00FE18F8" w:rsidRPr="007A5A44" w:rsidRDefault="007432EC" w:rsidP="00B12627">
      <w:pPr>
        <w:pStyle w:val="SingleTxtG"/>
        <w:rPr>
          <w:rFonts w:eastAsia="SimSun"/>
          <w:lang w:val="es-ES_tradnl"/>
        </w:rPr>
      </w:pPr>
      <w:r w:rsidRPr="007A5A44">
        <w:rPr>
          <w:rFonts w:eastAsiaTheme="minorHAnsi"/>
          <w:lang w:val="es-ES_tradnl"/>
        </w:rPr>
        <w:t>26.</w:t>
      </w:r>
      <w:r w:rsidRPr="007A5A44">
        <w:rPr>
          <w:rFonts w:eastAsiaTheme="minorHAnsi"/>
          <w:lang w:val="es-ES_tradnl"/>
        </w:rPr>
        <w:tab/>
      </w:r>
      <w:r w:rsidR="00FE18F8">
        <w:rPr>
          <w:rFonts w:eastAsia="SimSun"/>
          <w:lang w:val="es-ES_tradnl"/>
        </w:rPr>
        <w:t>Preocupa</w:t>
      </w:r>
      <w:r w:rsidR="00D03E39">
        <w:rPr>
          <w:rFonts w:eastAsia="SimSun"/>
          <w:lang w:val="es-ES_tradnl"/>
        </w:rPr>
        <w:t xml:space="preserve"> </w:t>
      </w:r>
      <w:r w:rsidR="00FE18F8">
        <w:rPr>
          <w:rFonts w:eastAsia="SimSun"/>
          <w:lang w:val="es-ES_tradnl"/>
        </w:rPr>
        <w:t xml:space="preserve">al Comité </w:t>
      </w:r>
      <w:r w:rsidR="00FE18F8" w:rsidRPr="007A5A44">
        <w:rPr>
          <w:rFonts w:eastAsia="SimSun"/>
          <w:lang w:val="es-ES_tradnl"/>
        </w:rPr>
        <w:t>l</w:t>
      </w:r>
      <w:r w:rsidR="00FE18F8">
        <w:rPr>
          <w:rFonts w:eastAsia="SimSun"/>
          <w:lang w:val="es-ES_tradnl"/>
        </w:rPr>
        <w:t xml:space="preserve">a situación de vulnerabilidad de los migrantes venezolanos en </w:t>
      </w:r>
      <w:r w:rsidR="005E74AD">
        <w:rPr>
          <w:rFonts w:eastAsia="SimSun"/>
          <w:lang w:val="es-ES_tradnl"/>
        </w:rPr>
        <w:t>el Estado parte</w:t>
      </w:r>
      <w:r w:rsidR="003D4344">
        <w:rPr>
          <w:rFonts w:eastAsia="SimSun"/>
          <w:lang w:val="es-ES_tradnl"/>
        </w:rPr>
        <w:t xml:space="preserve"> y la </w:t>
      </w:r>
      <w:r w:rsidR="00FE18F8">
        <w:rPr>
          <w:rFonts w:eastAsia="SimSun"/>
          <w:lang w:val="es-ES_tradnl"/>
        </w:rPr>
        <w:t xml:space="preserve">discriminación de </w:t>
      </w:r>
      <w:r w:rsidR="00C7738B">
        <w:rPr>
          <w:rFonts w:eastAsia="SimSun"/>
          <w:lang w:val="es-ES_tradnl"/>
        </w:rPr>
        <w:t xml:space="preserve">la </w:t>
      </w:r>
      <w:r w:rsidR="00FE18F8">
        <w:rPr>
          <w:rFonts w:eastAsia="SimSun"/>
          <w:lang w:val="es-ES_tradnl"/>
        </w:rPr>
        <w:t>que son víctimas, en particular en el acceso a la salud</w:t>
      </w:r>
      <w:r w:rsidR="00931EA4">
        <w:rPr>
          <w:rFonts w:eastAsia="SimSun"/>
          <w:lang w:val="es-ES_tradnl"/>
        </w:rPr>
        <w:t xml:space="preserve"> y</w:t>
      </w:r>
      <w:r w:rsidR="00DC1ADF">
        <w:rPr>
          <w:rFonts w:eastAsia="SimSun"/>
          <w:lang w:val="es-ES_tradnl"/>
        </w:rPr>
        <w:t xml:space="preserve"> </w:t>
      </w:r>
      <w:r w:rsidR="00FE18F8">
        <w:rPr>
          <w:rFonts w:eastAsia="SimSun"/>
          <w:lang w:val="es-ES_tradnl"/>
        </w:rPr>
        <w:t>al trabajo</w:t>
      </w:r>
      <w:r w:rsidR="00A83C6D">
        <w:rPr>
          <w:rFonts w:eastAsia="SimSun"/>
          <w:lang w:val="es-ES_tradnl"/>
        </w:rPr>
        <w:t>, así como los obstáculos</w:t>
      </w:r>
      <w:r w:rsidR="00FE18F8">
        <w:rPr>
          <w:rFonts w:eastAsia="SimSun"/>
          <w:lang w:val="es-ES_tradnl"/>
        </w:rPr>
        <w:t xml:space="preserve"> </w:t>
      </w:r>
      <w:r w:rsidR="00A83C6D">
        <w:rPr>
          <w:rFonts w:eastAsia="SimSun"/>
          <w:lang w:val="es-ES_tradnl"/>
        </w:rPr>
        <w:t xml:space="preserve">en el acceso </w:t>
      </w:r>
      <w:r w:rsidR="00FE18F8">
        <w:rPr>
          <w:rFonts w:eastAsia="SimSun"/>
          <w:lang w:val="es-ES_tradnl"/>
        </w:rPr>
        <w:t xml:space="preserve">a la documentación </w:t>
      </w:r>
      <w:r w:rsidR="00FE18F8" w:rsidRPr="007A5A44">
        <w:rPr>
          <w:rFonts w:eastAsia="SimSun"/>
          <w:lang w:val="es-ES_tradnl"/>
        </w:rPr>
        <w:t>(art</w:t>
      </w:r>
      <w:r w:rsidR="009C1078">
        <w:rPr>
          <w:rFonts w:eastAsia="SimSun"/>
          <w:lang w:val="es-ES_tradnl"/>
        </w:rPr>
        <w:t>s</w:t>
      </w:r>
      <w:r w:rsidR="00FE18F8" w:rsidRPr="007A5A44">
        <w:rPr>
          <w:rFonts w:eastAsia="SimSun"/>
          <w:lang w:val="es-ES_tradnl"/>
        </w:rPr>
        <w:t>. 2 y 5).</w:t>
      </w:r>
    </w:p>
    <w:p w14:paraId="57419AC2" w14:textId="77EDCE08" w:rsidR="00F737BD" w:rsidRPr="00FE6850" w:rsidRDefault="007432EC" w:rsidP="00B12627">
      <w:pPr>
        <w:pStyle w:val="SingleTxtG"/>
        <w:rPr>
          <w:rFonts w:eastAsia="SimSun"/>
          <w:b/>
        </w:rPr>
      </w:pPr>
      <w:r w:rsidRPr="00FE6850">
        <w:rPr>
          <w:rFonts w:eastAsiaTheme="minorHAnsi"/>
        </w:rPr>
        <w:t>27.</w:t>
      </w:r>
      <w:r w:rsidRPr="00FE6850">
        <w:rPr>
          <w:rFonts w:eastAsiaTheme="minorHAnsi"/>
        </w:rPr>
        <w:tab/>
      </w:r>
      <w:r w:rsidR="00FE18F8" w:rsidRPr="007A5A44">
        <w:rPr>
          <w:rFonts w:eastAsia="SimSun"/>
          <w:b/>
          <w:lang w:val="es-ES_tradnl"/>
        </w:rPr>
        <w:t xml:space="preserve">El Comité </w:t>
      </w:r>
      <w:r w:rsidR="00014905">
        <w:rPr>
          <w:rFonts w:eastAsia="SimSun"/>
          <w:b/>
          <w:lang w:val="es-ES_tradnl"/>
        </w:rPr>
        <w:t>recomienda</w:t>
      </w:r>
      <w:r w:rsidR="00FE18F8" w:rsidRPr="007A5A44">
        <w:rPr>
          <w:rFonts w:eastAsia="SimSun"/>
          <w:b/>
          <w:lang w:val="es-ES_tradnl"/>
        </w:rPr>
        <w:t xml:space="preserve"> al Estado parte</w:t>
      </w:r>
      <w:r w:rsidR="004D03BD">
        <w:rPr>
          <w:rFonts w:eastAsia="SimSun"/>
          <w:b/>
          <w:lang w:val="es-ES_tradnl"/>
        </w:rPr>
        <w:t xml:space="preserve"> que tome las medidas necesarias para prevenir la discriminación en contra de migrantes, en particular en su acceso </w:t>
      </w:r>
      <w:r w:rsidR="004D03BD" w:rsidRPr="004D03BD">
        <w:rPr>
          <w:b/>
        </w:rPr>
        <w:t xml:space="preserve">a </w:t>
      </w:r>
      <w:r w:rsidR="004D03BD">
        <w:rPr>
          <w:rFonts w:eastAsia="SimSun"/>
          <w:b/>
        </w:rPr>
        <w:t xml:space="preserve">los </w:t>
      </w:r>
      <w:r w:rsidR="004D03BD" w:rsidRPr="004D03BD">
        <w:rPr>
          <w:b/>
        </w:rPr>
        <w:t>servicios</w:t>
      </w:r>
      <w:r w:rsidR="004D03BD" w:rsidRPr="004D03BD">
        <w:rPr>
          <w:b/>
          <w:lang w:val="es-ES_tradnl"/>
        </w:rPr>
        <w:t xml:space="preserve"> salud, al trabajo y</w:t>
      </w:r>
      <w:r w:rsidR="00E97EB0">
        <w:rPr>
          <w:b/>
          <w:lang w:val="es-ES_tradnl"/>
        </w:rPr>
        <w:t xml:space="preserve"> para facilitar la obtención de</w:t>
      </w:r>
      <w:r w:rsidR="004D03BD" w:rsidRPr="004D03BD">
        <w:rPr>
          <w:b/>
          <w:lang w:val="es-ES_tradnl"/>
        </w:rPr>
        <w:t xml:space="preserve"> documentación</w:t>
      </w:r>
      <w:r w:rsidR="004D03BD">
        <w:rPr>
          <w:rFonts w:eastAsia="SimSun"/>
          <w:b/>
          <w:lang w:val="es-ES_tradnl"/>
        </w:rPr>
        <w:t xml:space="preserve">, que promueva su integración y que asegure que las víctimas de actos de discriminación tengan acceso a un recurso efectivo. </w:t>
      </w:r>
    </w:p>
    <w:p w14:paraId="6CD212BA" w14:textId="6BB60D40" w:rsidR="00A0665A" w:rsidRPr="00B17687" w:rsidRDefault="00014A94" w:rsidP="00014A94">
      <w:pPr>
        <w:pStyle w:val="H23G"/>
        <w:rPr>
          <w:rFonts w:eastAsia="SimSun"/>
          <w:lang w:val="es-ES_tradnl" w:eastAsia="en-US"/>
        </w:rPr>
      </w:pPr>
      <w:r>
        <w:rPr>
          <w:rFonts w:eastAsia="SimSun"/>
          <w:lang w:val="es-ES_tradnl" w:eastAsia="en-US"/>
        </w:rPr>
        <w:tab/>
      </w:r>
      <w:r>
        <w:rPr>
          <w:rFonts w:eastAsia="SimSun"/>
          <w:lang w:val="es-ES_tradnl" w:eastAsia="en-US"/>
        </w:rPr>
        <w:tab/>
      </w:r>
      <w:r w:rsidR="00A0665A" w:rsidRPr="00B17687">
        <w:rPr>
          <w:rFonts w:eastAsia="SimSun"/>
          <w:lang w:val="es-ES_tradnl" w:eastAsia="en-US"/>
        </w:rPr>
        <w:t xml:space="preserve">Personas defensoras de derechos humanos </w:t>
      </w:r>
    </w:p>
    <w:p w14:paraId="64926EA2" w14:textId="7D210C9D" w:rsidR="00DE35B5" w:rsidRDefault="007432EC" w:rsidP="00B12627">
      <w:pPr>
        <w:pStyle w:val="SingleTxtG"/>
        <w:rPr>
          <w:bCs/>
          <w:lang w:val="es-ES_tradnl"/>
        </w:rPr>
      </w:pPr>
      <w:r>
        <w:rPr>
          <w:rFonts w:eastAsiaTheme="minorHAnsi"/>
          <w:bCs/>
          <w:lang w:val="es-ES_tradnl"/>
        </w:rPr>
        <w:t>28.</w:t>
      </w:r>
      <w:r>
        <w:rPr>
          <w:rFonts w:eastAsiaTheme="minorHAnsi"/>
          <w:bCs/>
          <w:lang w:val="es-ES_tradnl"/>
        </w:rPr>
        <w:tab/>
      </w:r>
      <w:r w:rsidR="00C7738B">
        <w:rPr>
          <w:lang w:val="es-CO"/>
        </w:rPr>
        <w:t xml:space="preserve">El Comité </w:t>
      </w:r>
      <w:r w:rsidR="00C7738B" w:rsidRPr="00C7738B">
        <w:rPr>
          <w:bCs/>
        </w:rPr>
        <w:t xml:space="preserve">está sumamente </w:t>
      </w:r>
      <w:r w:rsidR="00A7080D">
        <w:rPr>
          <w:bCs/>
        </w:rPr>
        <w:t xml:space="preserve">preocupado </w:t>
      </w:r>
      <w:r w:rsidR="00A7080D" w:rsidRPr="00C7738B">
        <w:rPr>
          <w:bCs/>
        </w:rPr>
        <w:t>por</w:t>
      </w:r>
      <w:r w:rsidR="00C7738B" w:rsidRPr="00C7738B">
        <w:rPr>
          <w:bCs/>
          <w:lang w:val="es-ES_tradnl"/>
        </w:rPr>
        <w:t xml:space="preserve"> los asesinatos y constantes</w:t>
      </w:r>
      <w:r w:rsidR="00C7738B" w:rsidRPr="00C7738B">
        <w:rPr>
          <w:bCs/>
        </w:rPr>
        <w:t xml:space="preserve"> actos de violencia, amenazas, intimidación y represalias en contra de personas </w:t>
      </w:r>
      <w:r w:rsidR="00C7738B" w:rsidRPr="00C7738B">
        <w:rPr>
          <w:bCs/>
          <w:lang w:val="es-ES_tradnl"/>
        </w:rPr>
        <w:t xml:space="preserve">defensoras de derechos humanos y de líderes y lideresas de pueblos indígenas y </w:t>
      </w:r>
      <w:r w:rsidR="0064259D">
        <w:rPr>
          <w:bCs/>
          <w:lang w:val="es-ES_tradnl"/>
        </w:rPr>
        <w:t xml:space="preserve">comunidades </w:t>
      </w:r>
      <w:r w:rsidR="00C7738B" w:rsidRPr="00C7738B">
        <w:rPr>
          <w:bCs/>
          <w:lang w:val="es-ES_tradnl"/>
        </w:rPr>
        <w:t>afro</w:t>
      </w:r>
      <w:r w:rsidR="0064259D">
        <w:rPr>
          <w:bCs/>
          <w:lang w:val="es-ES_tradnl"/>
        </w:rPr>
        <w:t>descendientes</w:t>
      </w:r>
      <w:r w:rsidR="00C7738B" w:rsidRPr="00C7738B">
        <w:rPr>
          <w:bCs/>
          <w:lang w:val="es-ES_tradnl"/>
        </w:rPr>
        <w:t xml:space="preserve">, en particular en el Cauca, como el reciente asesinato de </w:t>
      </w:r>
      <w:r w:rsidR="00C7738B" w:rsidRPr="00C7738B">
        <w:rPr>
          <w:bCs/>
        </w:rPr>
        <w:t xml:space="preserve">Cristina Bautista el 29 de octubre. </w:t>
      </w:r>
      <w:r w:rsidR="00C7738B">
        <w:rPr>
          <w:bCs/>
        </w:rPr>
        <w:t xml:space="preserve">Le preocupa también </w:t>
      </w:r>
      <w:r w:rsidR="00C7738B" w:rsidRPr="00C7738B">
        <w:rPr>
          <w:bCs/>
          <w:lang w:val="es-ES_tradnl"/>
        </w:rPr>
        <w:t xml:space="preserve">el escaso número de investigaciones, enjuiciamientos y sanciones </w:t>
      </w:r>
      <w:r w:rsidR="00C7738B">
        <w:rPr>
          <w:bCs/>
          <w:lang w:val="es-ES_tradnl"/>
        </w:rPr>
        <w:t>por estos crímenes</w:t>
      </w:r>
      <w:r w:rsidR="00E07BF0">
        <w:rPr>
          <w:bCs/>
          <w:lang w:val="es-ES_tradnl"/>
        </w:rPr>
        <w:t>.</w:t>
      </w:r>
      <w:r w:rsidR="00C7738B" w:rsidRPr="00C7738B">
        <w:rPr>
          <w:bCs/>
          <w:lang w:val="es-ES_tradnl"/>
        </w:rPr>
        <w:t xml:space="preserve"> </w:t>
      </w:r>
      <w:r w:rsidR="00165E82">
        <w:rPr>
          <w:bCs/>
          <w:lang w:val="es-ES_tradnl"/>
        </w:rPr>
        <w:t xml:space="preserve">Además, </w:t>
      </w:r>
      <w:r w:rsidR="00A0665A">
        <w:rPr>
          <w:lang w:val="es-ES_tradnl"/>
        </w:rPr>
        <w:t>está preocupado por la información relativa a la falta de recursos de</w:t>
      </w:r>
      <w:r w:rsidR="0089445C" w:rsidRPr="0089445C">
        <w:rPr>
          <w:lang w:val="es-ES_tradnl"/>
        </w:rPr>
        <w:t xml:space="preserve"> la Unidad Nacional de Protección</w:t>
      </w:r>
      <w:r w:rsidR="00A0665A">
        <w:rPr>
          <w:lang w:val="es-ES_tradnl"/>
        </w:rPr>
        <w:t xml:space="preserve"> y a la in</w:t>
      </w:r>
      <w:r w:rsidR="00A0665A" w:rsidRPr="00330D1F">
        <w:rPr>
          <w:bCs/>
        </w:rPr>
        <w:t xml:space="preserve">eficacia de </w:t>
      </w:r>
      <w:r w:rsidR="00A0665A">
        <w:rPr>
          <w:bCs/>
        </w:rPr>
        <w:t xml:space="preserve">sus </w:t>
      </w:r>
      <w:r w:rsidR="00A0665A" w:rsidRPr="00330D1F">
        <w:rPr>
          <w:bCs/>
        </w:rPr>
        <w:t xml:space="preserve">medidas de </w:t>
      </w:r>
      <w:r w:rsidR="008E73AD" w:rsidRPr="00330D1F">
        <w:rPr>
          <w:bCs/>
        </w:rPr>
        <w:t>protección</w:t>
      </w:r>
      <w:r w:rsidR="008E73AD">
        <w:rPr>
          <w:bCs/>
        </w:rPr>
        <w:t>,</w:t>
      </w:r>
      <w:r w:rsidR="00A0665A" w:rsidRPr="005E5F02">
        <w:rPr>
          <w:bCs/>
        </w:rPr>
        <w:t xml:space="preserve"> en particular en zonas </w:t>
      </w:r>
      <w:r w:rsidR="00A0665A" w:rsidRPr="00C134A3">
        <w:rPr>
          <w:bCs/>
        </w:rPr>
        <w:t>rurales</w:t>
      </w:r>
      <w:r w:rsidR="009F63CF">
        <w:rPr>
          <w:bCs/>
        </w:rPr>
        <w:t xml:space="preserve">. </w:t>
      </w:r>
      <w:r w:rsidR="004667D5">
        <w:rPr>
          <w:bCs/>
        </w:rPr>
        <w:t>También preocupan al Comité los actos de difamación y criminalización contra personas defensoras de derechos humanos</w:t>
      </w:r>
      <w:r w:rsidR="00FC1450">
        <w:rPr>
          <w:bCs/>
        </w:rPr>
        <w:t xml:space="preserve">, incluyendo los que pertenecen a </w:t>
      </w:r>
      <w:r w:rsidR="00FC1450" w:rsidRPr="00FC1450">
        <w:rPr>
          <w:bCs/>
          <w:lang w:val="es-ES_tradnl"/>
        </w:rPr>
        <w:t xml:space="preserve">pueblos indígenas y comunidades </w:t>
      </w:r>
      <w:r w:rsidR="00A7080D" w:rsidRPr="00FC1450">
        <w:rPr>
          <w:bCs/>
          <w:lang w:val="es-ES_tradnl"/>
        </w:rPr>
        <w:t>afrodescendientes</w:t>
      </w:r>
      <w:r w:rsidR="00A7080D">
        <w:rPr>
          <w:bCs/>
        </w:rPr>
        <w:t xml:space="preserve"> (</w:t>
      </w:r>
      <w:r w:rsidR="00DE35B5" w:rsidRPr="00C134A3">
        <w:rPr>
          <w:bCs/>
          <w:lang w:val="es-ES_tradnl"/>
        </w:rPr>
        <w:t>art</w:t>
      </w:r>
      <w:r w:rsidR="009C1078">
        <w:rPr>
          <w:bCs/>
          <w:lang w:val="es-ES_tradnl"/>
        </w:rPr>
        <w:t>s</w:t>
      </w:r>
      <w:r w:rsidR="00DE35B5" w:rsidRPr="00C134A3">
        <w:rPr>
          <w:bCs/>
          <w:lang w:val="es-ES_tradnl"/>
        </w:rPr>
        <w:t>.</w:t>
      </w:r>
      <w:r w:rsidR="00014A94">
        <w:rPr>
          <w:bCs/>
          <w:lang w:val="es-ES_tradnl"/>
        </w:rPr>
        <w:t> </w:t>
      </w:r>
      <w:r w:rsidR="00C67E91">
        <w:rPr>
          <w:bCs/>
          <w:lang w:val="es-ES_tradnl"/>
        </w:rPr>
        <w:t xml:space="preserve">4, </w:t>
      </w:r>
      <w:r w:rsidR="00DE35B5" w:rsidRPr="00C134A3">
        <w:rPr>
          <w:bCs/>
          <w:lang w:val="es-ES_tradnl"/>
        </w:rPr>
        <w:t>5 y 6).</w:t>
      </w:r>
    </w:p>
    <w:p w14:paraId="0BBC8067" w14:textId="0C8FA106" w:rsidR="00DE35B5" w:rsidRPr="003461A9" w:rsidRDefault="007432EC" w:rsidP="00B12627">
      <w:pPr>
        <w:pStyle w:val="SingleTxtG"/>
        <w:rPr>
          <w:b/>
          <w:bCs/>
          <w:snapToGrid w:val="0"/>
          <w:lang w:eastAsia="en-US"/>
        </w:rPr>
      </w:pPr>
      <w:r w:rsidRPr="003461A9">
        <w:rPr>
          <w:rFonts w:eastAsiaTheme="minorHAnsi"/>
          <w:bCs/>
          <w:snapToGrid w:val="0"/>
          <w:lang w:eastAsia="en-US"/>
        </w:rPr>
        <w:t>29.</w:t>
      </w:r>
      <w:r w:rsidRPr="003461A9">
        <w:rPr>
          <w:rFonts w:eastAsiaTheme="minorHAnsi"/>
          <w:bCs/>
          <w:snapToGrid w:val="0"/>
          <w:lang w:eastAsia="en-US"/>
        </w:rPr>
        <w:tab/>
      </w:r>
      <w:r w:rsidR="00014A94">
        <w:rPr>
          <w:rFonts w:eastAsia="SimSun"/>
          <w:b/>
          <w:bCs/>
          <w:lang w:val="es-ES_tradnl" w:eastAsia="es-ES_tradnl"/>
        </w:rPr>
        <w:t>E</w:t>
      </w:r>
      <w:r w:rsidR="00DE35B5" w:rsidRPr="003461A9">
        <w:rPr>
          <w:rFonts w:eastAsia="SimSun"/>
          <w:b/>
          <w:bCs/>
          <w:lang w:val="es-ES_tradnl" w:eastAsia="es-ES_tradnl"/>
        </w:rPr>
        <w:t xml:space="preserve">l Comité </w:t>
      </w:r>
      <w:r w:rsidR="002A1E86">
        <w:rPr>
          <w:rFonts w:eastAsia="SimSun"/>
          <w:b/>
          <w:bCs/>
          <w:lang w:val="es-ES_tradnl" w:eastAsia="es-ES_tradnl"/>
        </w:rPr>
        <w:t>insta</w:t>
      </w:r>
      <w:r w:rsidR="00DE35B5" w:rsidRPr="003461A9">
        <w:rPr>
          <w:rFonts w:eastAsia="SimSun"/>
          <w:b/>
          <w:bCs/>
          <w:lang w:val="es-ES_tradnl" w:eastAsia="es-ES_tradnl"/>
        </w:rPr>
        <w:t xml:space="preserve"> al Estado parte </w:t>
      </w:r>
      <w:r w:rsidR="00E00E3A">
        <w:rPr>
          <w:rFonts w:eastAsia="SimSun"/>
          <w:b/>
          <w:bCs/>
          <w:lang w:val="es-ES_tradnl" w:eastAsia="es-ES_tradnl"/>
        </w:rPr>
        <w:t xml:space="preserve">a </w:t>
      </w:r>
      <w:r w:rsidR="00DE35B5" w:rsidRPr="003461A9">
        <w:rPr>
          <w:rFonts w:eastAsia="SimSun"/>
          <w:b/>
          <w:bCs/>
          <w:lang w:val="es-ES_tradnl" w:eastAsia="es-ES_tradnl"/>
        </w:rPr>
        <w:t xml:space="preserve">que: </w:t>
      </w:r>
    </w:p>
    <w:p w14:paraId="001E37BF" w14:textId="6F46DCC0" w:rsidR="002A1E86" w:rsidRPr="00014A94" w:rsidRDefault="007432EC" w:rsidP="00B12627">
      <w:pPr>
        <w:pStyle w:val="SingleTxtG"/>
        <w:ind w:firstLine="567"/>
        <w:rPr>
          <w:b/>
          <w:bCs/>
        </w:rPr>
      </w:pPr>
      <w:r w:rsidRPr="00014A94">
        <w:rPr>
          <w:b/>
          <w:bCs/>
        </w:rPr>
        <w:t>a)</w:t>
      </w:r>
      <w:r w:rsidRPr="00014A94">
        <w:rPr>
          <w:b/>
          <w:bCs/>
        </w:rPr>
        <w:tab/>
      </w:r>
      <w:r w:rsidR="00DE35B5" w:rsidRPr="00014A94">
        <w:rPr>
          <w:rFonts w:eastAsia="SimSun"/>
          <w:b/>
        </w:rPr>
        <w:t>Adopte</w:t>
      </w:r>
      <w:r w:rsidR="0019196A" w:rsidRPr="00014A94">
        <w:rPr>
          <w:rFonts w:eastAsia="SimSun"/>
          <w:b/>
        </w:rPr>
        <w:t xml:space="preserve"> medidas adicionales </w:t>
      </w:r>
      <w:r w:rsidR="00F738E6" w:rsidRPr="00014A94">
        <w:rPr>
          <w:rFonts w:eastAsia="SimSun"/>
          <w:b/>
        </w:rPr>
        <w:t xml:space="preserve">y efectivas </w:t>
      </w:r>
      <w:r w:rsidR="00DE35B5" w:rsidRPr="00014A94">
        <w:rPr>
          <w:rFonts w:eastAsia="SimSun"/>
          <w:b/>
        </w:rPr>
        <w:t>para prevenir actos de violencia</w:t>
      </w:r>
      <w:r w:rsidR="0048708A" w:rsidRPr="00014A94">
        <w:rPr>
          <w:rFonts w:eastAsia="SimSun"/>
          <w:b/>
        </w:rPr>
        <w:t xml:space="preserve">, </w:t>
      </w:r>
      <w:r w:rsidR="00DE35B5" w:rsidRPr="00014A94">
        <w:rPr>
          <w:rFonts w:eastAsia="SimSun"/>
          <w:b/>
          <w:bCs/>
        </w:rPr>
        <w:t>amenazas, intimidación y represalias</w:t>
      </w:r>
      <w:r w:rsidR="00DE35B5" w:rsidRPr="00014A94">
        <w:rPr>
          <w:rFonts w:eastAsia="SimSun"/>
          <w:b/>
        </w:rPr>
        <w:t xml:space="preserve"> contra</w:t>
      </w:r>
      <w:r w:rsidR="00E531F2" w:rsidRPr="00014A94">
        <w:rPr>
          <w:rFonts w:eastAsia="SimSun"/>
          <w:b/>
        </w:rPr>
        <w:t xml:space="preserve"> personas</w:t>
      </w:r>
      <w:r w:rsidR="00DE35B5" w:rsidRPr="00014A94">
        <w:rPr>
          <w:rFonts w:eastAsia="SimSun"/>
          <w:b/>
        </w:rPr>
        <w:t xml:space="preserve"> defensor</w:t>
      </w:r>
      <w:r w:rsidR="00E531F2" w:rsidRPr="00014A94">
        <w:rPr>
          <w:rFonts w:eastAsia="SimSun"/>
          <w:b/>
        </w:rPr>
        <w:t>as</w:t>
      </w:r>
      <w:r w:rsidR="00DE35B5" w:rsidRPr="00014A94">
        <w:rPr>
          <w:rFonts w:eastAsia="SimSun"/>
          <w:b/>
        </w:rPr>
        <w:t xml:space="preserve"> de derechos humanos, </w:t>
      </w:r>
      <w:r w:rsidR="00DE35B5" w:rsidRPr="00014A94">
        <w:rPr>
          <w:rFonts w:eastAsia="SimSun"/>
          <w:b/>
          <w:bCs/>
        </w:rPr>
        <w:t xml:space="preserve">en particular </w:t>
      </w:r>
      <w:r w:rsidR="00E531F2" w:rsidRPr="00014A94">
        <w:rPr>
          <w:rFonts w:eastAsia="SimSun"/>
          <w:b/>
          <w:bCs/>
          <w:lang w:val="es-ES_tradnl"/>
        </w:rPr>
        <w:t>de líderes y lideresas de pueblos indígenas y</w:t>
      </w:r>
      <w:r w:rsidR="0064259D" w:rsidRPr="00014A94">
        <w:rPr>
          <w:rFonts w:eastAsia="SimSun"/>
          <w:b/>
          <w:bCs/>
          <w:lang w:val="es-ES_tradnl"/>
        </w:rPr>
        <w:t xml:space="preserve"> comunidades </w:t>
      </w:r>
      <w:r w:rsidR="00E531F2" w:rsidRPr="00014A94">
        <w:rPr>
          <w:rFonts w:eastAsia="SimSun"/>
          <w:b/>
          <w:bCs/>
          <w:lang w:val="es-ES_tradnl"/>
        </w:rPr>
        <w:t>afro</w:t>
      </w:r>
      <w:r w:rsidR="0064259D" w:rsidRPr="00014A94">
        <w:rPr>
          <w:rFonts w:eastAsia="SimSun"/>
          <w:b/>
          <w:bCs/>
          <w:lang w:val="es-ES_tradnl"/>
        </w:rPr>
        <w:t>descendientes</w:t>
      </w:r>
      <w:r w:rsidR="002A1E86" w:rsidRPr="00014A94">
        <w:rPr>
          <w:b/>
        </w:rPr>
        <w:t xml:space="preserve">, y garantice que </w:t>
      </w:r>
      <w:r w:rsidR="00951C78" w:rsidRPr="00014A94">
        <w:rPr>
          <w:b/>
        </w:rPr>
        <w:t xml:space="preserve">todas las denuncias de </w:t>
      </w:r>
      <w:r w:rsidR="002A1E86" w:rsidRPr="00014A94">
        <w:rPr>
          <w:b/>
        </w:rPr>
        <w:t>estos actos sean</w:t>
      </w:r>
      <w:r w:rsidR="002A1E86" w:rsidRPr="00014A94">
        <w:rPr>
          <w:b/>
          <w:bCs/>
        </w:rPr>
        <w:t xml:space="preserve"> investigad</w:t>
      </w:r>
      <w:r w:rsidR="00951C78" w:rsidRPr="00014A94">
        <w:rPr>
          <w:b/>
          <w:bCs/>
        </w:rPr>
        <w:t>a</w:t>
      </w:r>
      <w:r w:rsidR="002A1E86" w:rsidRPr="00014A94">
        <w:rPr>
          <w:b/>
          <w:bCs/>
        </w:rPr>
        <w:t>s</w:t>
      </w:r>
      <w:r w:rsidR="00951C78" w:rsidRPr="00014A94">
        <w:rPr>
          <w:b/>
          <w:bCs/>
        </w:rPr>
        <w:t xml:space="preserve"> </w:t>
      </w:r>
      <w:r w:rsidR="005C03B7">
        <w:rPr>
          <w:b/>
          <w:bCs/>
        </w:rPr>
        <w:t xml:space="preserve">de </w:t>
      </w:r>
      <w:r w:rsidR="00951C78" w:rsidRPr="00014A94">
        <w:rPr>
          <w:b/>
          <w:bCs/>
        </w:rPr>
        <w:t>manera exhaustiva, imparcial y efectiva</w:t>
      </w:r>
      <w:r w:rsidR="002A1E86" w:rsidRPr="00014A94">
        <w:rPr>
          <w:b/>
          <w:bCs/>
        </w:rPr>
        <w:t>, que los responsables</w:t>
      </w:r>
      <w:r w:rsidR="005C046A" w:rsidRPr="00014A94">
        <w:rPr>
          <w:b/>
          <w:bCs/>
        </w:rPr>
        <w:t xml:space="preserve">, </w:t>
      </w:r>
      <w:r w:rsidR="00C67E91" w:rsidRPr="00014A94">
        <w:rPr>
          <w:b/>
          <w:bCs/>
        </w:rPr>
        <w:t>tanto los autores materiales como los instigadores o autores ideológicos</w:t>
      </w:r>
      <w:r w:rsidR="005C046A" w:rsidRPr="00014A94">
        <w:rPr>
          <w:b/>
          <w:bCs/>
        </w:rPr>
        <w:t xml:space="preserve">, </w:t>
      </w:r>
      <w:r w:rsidR="002A1E86" w:rsidRPr="00014A94">
        <w:rPr>
          <w:b/>
          <w:bCs/>
        </w:rPr>
        <w:t xml:space="preserve">sean enjuiciados y debidamente castigados, y que las </w:t>
      </w:r>
      <w:r w:rsidR="009669DB" w:rsidRPr="00014A94">
        <w:rPr>
          <w:b/>
          <w:bCs/>
        </w:rPr>
        <w:t>víctimas</w:t>
      </w:r>
      <w:r w:rsidR="002A1E86" w:rsidRPr="00014A94">
        <w:rPr>
          <w:b/>
          <w:bCs/>
        </w:rPr>
        <w:t xml:space="preserve"> o sus familiares obtengan </w:t>
      </w:r>
      <w:r w:rsidR="005C03B7">
        <w:rPr>
          <w:b/>
          <w:bCs/>
        </w:rPr>
        <w:t xml:space="preserve">y </w:t>
      </w:r>
      <w:r w:rsidR="002A1E86" w:rsidRPr="00014A94">
        <w:rPr>
          <w:b/>
          <w:bCs/>
        </w:rPr>
        <w:t>reciban una reparación integral;</w:t>
      </w:r>
    </w:p>
    <w:p w14:paraId="37399FFE" w14:textId="0B87AEBA" w:rsidR="004E0A45" w:rsidRPr="00014A94" w:rsidRDefault="007432EC" w:rsidP="00B12627">
      <w:pPr>
        <w:pStyle w:val="SingleTxtG"/>
        <w:ind w:firstLine="567"/>
        <w:rPr>
          <w:rFonts w:eastAsia="SimSun"/>
          <w:b/>
        </w:rPr>
      </w:pPr>
      <w:r w:rsidRPr="00014A94">
        <w:rPr>
          <w:rFonts w:eastAsia="SimSun"/>
          <w:b/>
        </w:rPr>
        <w:t>b)</w:t>
      </w:r>
      <w:r w:rsidRPr="00014A94">
        <w:rPr>
          <w:rFonts w:eastAsia="SimSun"/>
          <w:b/>
        </w:rPr>
        <w:tab/>
      </w:r>
      <w:r w:rsidR="00E700E5" w:rsidRPr="00014A94">
        <w:rPr>
          <w:rFonts w:eastAsia="SimSun"/>
          <w:b/>
        </w:rPr>
        <w:t>G</w:t>
      </w:r>
      <w:r w:rsidR="00D927B7" w:rsidRPr="00014A94">
        <w:rPr>
          <w:rFonts w:eastAsia="SimSun"/>
          <w:b/>
        </w:rPr>
        <w:t xml:space="preserve">arantice </w:t>
      </w:r>
      <w:r w:rsidR="00DE35B5" w:rsidRPr="00014A94">
        <w:rPr>
          <w:rFonts w:eastAsia="SimSun"/>
          <w:b/>
        </w:rPr>
        <w:t>la efectiva protección de su vida e integridad personal</w:t>
      </w:r>
      <w:r w:rsidR="00D927B7" w:rsidRPr="00014A94">
        <w:rPr>
          <w:rFonts w:eastAsia="SimSun"/>
          <w:b/>
        </w:rPr>
        <w:t xml:space="preserve">, asegurando que las medidas de protección </w:t>
      </w:r>
      <w:r w:rsidR="002A1E86" w:rsidRPr="00014A94">
        <w:rPr>
          <w:rFonts w:eastAsia="SimSun"/>
          <w:b/>
        </w:rPr>
        <w:t xml:space="preserve">sean adoptadas con la participación de las personas, pueblos y comunidades afectadas de acuerdo con sus costumbres y cultura, y que </w:t>
      </w:r>
      <w:r w:rsidR="00D927B7" w:rsidRPr="00014A94">
        <w:rPr>
          <w:rFonts w:eastAsia="SimSun"/>
          <w:b/>
        </w:rPr>
        <w:t>sean implementadas de manera efectiva y revisadas regularmente</w:t>
      </w:r>
      <w:r w:rsidR="00C73797" w:rsidRPr="00014A94">
        <w:rPr>
          <w:rFonts w:eastAsia="SimSun"/>
          <w:b/>
        </w:rPr>
        <w:t>;</w:t>
      </w:r>
      <w:r w:rsidR="00C67E91" w:rsidRPr="00014A94">
        <w:rPr>
          <w:rFonts w:eastAsia="SimSun"/>
          <w:b/>
        </w:rPr>
        <w:t xml:space="preserve"> </w:t>
      </w:r>
    </w:p>
    <w:p w14:paraId="3448E721" w14:textId="28E8F18E" w:rsidR="00841D3C" w:rsidRPr="00014A94" w:rsidRDefault="007432EC" w:rsidP="00B12627">
      <w:pPr>
        <w:pStyle w:val="SingleTxtG"/>
        <w:ind w:firstLine="567"/>
        <w:rPr>
          <w:rFonts w:eastAsia="SimSun"/>
          <w:b/>
        </w:rPr>
      </w:pPr>
      <w:r w:rsidRPr="00014A94">
        <w:rPr>
          <w:rFonts w:eastAsia="SimSun"/>
          <w:b/>
        </w:rPr>
        <w:t>c)</w:t>
      </w:r>
      <w:r w:rsidRPr="00014A94">
        <w:rPr>
          <w:rFonts w:eastAsia="SimSun"/>
          <w:b/>
        </w:rPr>
        <w:tab/>
      </w:r>
      <w:r w:rsidR="00841D3C" w:rsidRPr="00014A94">
        <w:rPr>
          <w:rFonts w:eastAsia="SimSun"/>
          <w:b/>
        </w:rPr>
        <w:t xml:space="preserve">Refuerce, con recursos suficientes y con un reconocimiento legal expreso, los mecanismos de protección colectiva preexistentes en las comunidades afectadas, </w:t>
      </w:r>
      <w:r w:rsidR="005C046A" w:rsidRPr="00014A94">
        <w:rPr>
          <w:rFonts w:eastAsia="SimSun"/>
          <w:b/>
        </w:rPr>
        <w:t>en particular</w:t>
      </w:r>
      <w:r w:rsidR="00841D3C" w:rsidRPr="00014A94">
        <w:rPr>
          <w:rFonts w:eastAsia="SimSun"/>
          <w:b/>
        </w:rPr>
        <w:t xml:space="preserve"> la Guardia Indígena y la Guardia Cimarrona</w:t>
      </w:r>
      <w:r w:rsidR="00530150">
        <w:rPr>
          <w:rFonts w:eastAsia="SimSun"/>
          <w:b/>
        </w:rPr>
        <w:t>;</w:t>
      </w:r>
      <w:r w:rsidR="00841D3C" w:rsidRPr="00014A94">
        <w:rPr>
          <w:rFonts w:eastAsia="SimSun"/>
          <w:b/>
        </w:rPr>
        <w:t xml:space="preserve"> </w:t>
      </w:r>
    </w:p>
    <w:p w14:paraId="05020533" w14:textId="7676069F" w:rsidR="004E0A45" w:rsidRPr="00014A94" w:rsidRDefault="007432EC" w:rsidP="00B12627">
      <w:pPr>
        <w:pStyle w:val="SingleTxtG"/>
        <w:ind w:firstLine="567"/>
        <w:rPr>
          <w:rFonts w:eastAsia="SimSun"/>
          <w:b/>
        </w:rPr>
      </w:pPr>
      <w:r w:rsidRPr="00014A94">
        <w:rPr>
          <w:rFonts w:eastAsia="SimSun"/>
          <w:b/>
        </w:rPr>
        <w:lastRenderedPageBreak/>
        <w:t>d)</w:t>
      </w:r>
      <w:r w:rsidRPr="00014A94">
        <w:rPr>
          <w:rFonts w:eastAsia="SimSun"/>
          <w:b/>
        </w:rPr>
        <w:tab/>
      </w:r>
      <w:r w:rsidR="004E0A45" w:rsidRPr="00014A94">
        <w:rPr>
          <w:rFonts w:eastAsia="SimSun"/>
          <w:b/>
        </w:rPr>
        <w:t>Asegure el funcionamiento efectivo de la Unidad Nacional de Protección</w:t>
      </w:r>
      <w:r w:rsidR="00D70277" w:rsidRPr="00014A94">
        <w:rPr>
          <w:rFonts w:eastAsia="SimSun"/>
          <w:b/>
        </w:rPr>
        <w:t xml:space="preserve">, </w:t>
      </w:r>
      <w:r w:rsidR="004E0A45" w:rsidRPr="00014A94">
        <w:rPr>
          <w:rFonts w:eastAsia="SimSun"/>
          <w:b/>
        </w:rPr>
        <w:t xml:space="preserve">entre otros, mediante la revisión y mejoramiento de las actuales estrategias de protección, la adopción e implementación eficaz de medidas colectivas de protección, así como de medidas diferenciadas para personas que viven en zonas rurales y para mujeres, </w:t>
      </w:r>
      <w:r w:rsidR="00D70277" w:rsidRPr="00014A94">
        <w:rPr>
          <w:rFonts w:eastAsia="SimSun"/>
          <w:b/>
        </w:rPr>
        <w:t xml:space="preserve">y </w:t>
      </w:r>
      <w:r w:rsidR="004E0A45" w:rsidRPr="00014A94">
        <w:rPr>
          <w:rFonts w:eastAsia="SimSun"/>
          <w:b/>
        </w:rPr>
        <w:t>la asignación de los recursos humanos, financieros y técnicos adecuados;</w:t>
      </w:r>
    </w:p>
    <w:p w14:paraId="06DF0D95" w14:textId="32F4DAAE" w:rsidR="00812407" w:rsidRPr="00C16CE8" w:rsidRDefault="007432EC" w:rsidP="00B12627">
      <w:pPr>
        <w:pStyle w:val="SingleTxtG"/>
        <w:ind w:firstLine="567"/>
        <w:rPr>
          <w:bCs/>
        </w:rPr>
      </w:pPr>
      <w:r w:rsidRPr="00C16CE8">
        <w:rPr>
          <w:b/>
          <w:bCs/>
        </w:rPr>
        <w:t>e)</w:t>
      </w:r>
      <w:r w:rsidRPr="00C16CE8">
        <w:rPr>
          <w:b/>
          <w:bCs/>
        </w:rPr>
        <w:tab/>
      </w:r>
      <w:r w:rsidR="00812407" w:rsidRPr="00014A94">
        <w:rPr>
          <w:b/>
          <w:bCs/>
        </w:rPr>
        <w:t>Lleve a cabo campañas de información y sensibilización, y reconozca el trabajo fundamental de las personas defensoras de derechos humanos a fin de propiciar un ambiente de tolerancia que les permita realizar su labor libre de todo tipo de intim</w:t>
      </w:r>
      <w:r w:rsidR="00014A94">
        <w:rPr>
          <w:b/>
          <w:bCs/>
        </w:rPr>
        <w:t>idación, amenazas y represalias.</w:t>
      </w:r>
    </w:p>
    <w:p w14:paraId="2CE3F2D5" w14:textId="73F2D57A" w:rsidR="00DE35B5" w:rsidRPr="00947B60" w:rsidRDefault="00DE35B5" w:rsidP="00014A94">
      <w:pPr>
        <w:pStyle w:val="H23G"/>
        <w:rPr>
          <w:rFonts w:eastAsia="SimSun"/>
        </w:rPr>
      </w:pPr>
      <w:r w:rsidRPr="0043441D">
        <w:rPr>
          <w:rFonts w:eastAsia="SimSun"/>
        </w:rPr>
        <w:tab/>
      </w:r>
      <w:r w:rsidRPr="0043441D">
        <w:rPr>
          <w:rFonts w:eastAsia="SimSun"/>
        </w:rPr>
        <w:tab/>
      </w:r>
      <w:r w:rsidRPr="00BE482D">
        <w:rPr>
          <w:rFonts w:eastAsia="SimSun"/>
        </w:rPr>
        <w:t>Acceso a la justicia y jurisdicción indígena</w:t>
      </w:r>
    </w:p>
    <w:p w14:paraId="1D0151A2" w14:textId="4D2C2E31" w:rsidR="00DE35B5" w:rsidRDefault="007432EC" w:rsidP="00B12627">
      <w:pPr>
        <w:pStyle w:val="SingleTxtG"/>
        <w:rPr>
          <w:lang w:eastAsia="en-US"/>
        </w:rPr>
      </w:pPr>
      <w:r>
        <w:rPr>
          <w:rFonts w:eastAsiaTheme="minorHAnsi"/>
          <w:lang w:eastAsia="en-US"/>
        </w:rPr>
        <w:t>30.</w:t>
      </w:r>
      <w:r>
        <w:rPr>
          <w:rFonts w:eastAsiaTheme="minorHAnsi"/>
          <w:lang w:eastAsia="en-US"/>
        </w:rPr>
        <w:tab/>
      </w:r>
      <w:r w:rsidR="00611508">
        <w:rPr>
          <w:lang w:eastAsia="en-US"/>
        </w:rPr>
        <w:t>El Comité toma nota del</w:t>
      </w:r>
      <w:r w:rsidR="00611508" w:rsidRPr="00611508">
        <w:rPr>
          <w:lang w:eastAsia="en-US"/>
        </w:rPr>
        <w:t xml:space="preserve"> Programa Nacional de Casas de Justicia</w:t>
      </w:r>
      <w:r w:rsidR="00611508" w:rsidRPr="00611508">
        <w:rPr>
          <w:bCs/>
          <w:lang w:eastAsia="en-US"/>
        </w:rPr>
        <w:t xml:space="preserve"> y Convivencia Ciudadana y </w:t>
      </w:r>
      <w:r w:rsidR="00611508">
        <w:rPr>
          <w:bCs/>
          <w:lang w:eastAsia="en-US"/>
        </w:rPr>
        <w:t xml:space="preserve">de </w:t>
      </w:r>
      <w:r w:rsidR="00611508" w:rsidRPr="00611508">
        <w:rPr>
          <w:bCs/>
          <w:lang w:eastAsia="en-US"/>
        </w:rPr>
        <w:t xml:space="preserve">la estrategia de </w:t>
      </w:r>
      <w:r w:rsidR="00DC1ADF">
        <w:rPr>
          <w:bCs/>
          <w:lang w:eastAsia="en-US"/>
        </w:rPr>
        <w:t>s</w:t>
      </w:r>
      <w:r w:rsidR="00611508" w:rsidRPr="00611508">
        <w:rPr>
          <w:bCs/>
          <w:lang w:eastAsia="en-US"/>
        </w:rPr>
        <w:t xml:space="preserve">istemas </w:t>
      </w:r>
      <w:r w:rsidR="00DC1ADF">
        <w:rPr>
          <w:bCs/>
          <w:lang w:eastAsia="en-US"/>
        </w:rPr>
        <w:t>l</w:t>
      </w:r>
      <w:r w:rsidR="00611508" w:rsidRPr="00611508">
        <w:rPr>
          <w:bCs/>
          <w:lang w:eastAsia="en-US"/>
        </w:rPr>
        <w:t xml:space="preserve">ocales de </w:t>
      </w:r>
      <w:r w:rsidR="00DC1ADF">
        <w:rPr>
          <w:bCs/>
          <w:lang w:eastAsia="en-US"/>
        </w:rPr>
        <w:t>j</w:t>
      </w:r>
      <w:r w:rsidR="00611508" w:rsidRPr="00611508">
        <w:rPr>
          <w:bCs/>
          <w:lang w:eastAsia="en-US"/>
        </w:rPr>
        <w:t>usticia</w:t>
      </w:r>
      <w:r w:rsidR="00611508">
        <w:rPr>
          <w:bCs/>
          <w:lang w:eastAsia="en-US"/>
        </w:rPr>
        <w:t xml:space="preserve"> </w:t>
      </w:r>
      <w:r w:rsidR="00DE35B5" w:rsidRPr="0053296A">
        <w:rPr>
          <w:bCs/>
          <w:lang w:eastAsia="en-US"/>
        </w:rPr>
        <w:t xml:space="preserve">para fortalecer el funcionamiento de la jurisdicción especial indígena y mejorar el acceso a la justicia por parte de pueblos indígenas y </w:t>
      </w:r>
      <w:r w:rsidR="00990EE8">
        <w:rPr>
          <w:bCs/>
          <w:lang w:eastAsia="en-US"/>
        </w:rPr>
        <w:t xml:space="preserve">comunidades </w:t>
      </w:r>
      <w:r w:rsidR="00DE35B5" w:rsidRPr="0053296A">
        <w:rPr>
          <w:bCs/>
          <w:lang w:eastAsia="en-US"/>
        </w:rPr>
        <w:t>afrodescendientes</w:t>
      </w:r>
      <w:r w:rsidR="00611508">
        <w:rPr>
          <w:bCs/>
          <w:lang w:eastAsia="en-US"/>
        </w:rPr>
        <w:t xml:space="preserve">. Sin </w:t>
      </w:r>
      <w:r w:rsidR="008E73AD">
        <w:rPr>
          <w:bCs/>
          <w:lang w:eastAsia="en-US"/>
        </w:rPr>
        <w:t>embargo,</w:t>
      </w:r>
      <w:r w:rsidR="00611508">
        <w:rPr>
          <w:bCs/>
          <w:lang w:eastAsia="en-US"/>
        </w:rPr>
        <w:t xml:space="preserve"> </w:t>
      </w:r>
      <w:r w:rsidR="008E73AD">
        <w:rPr>
          <w:bCs/>
          <w:lang w:eastAsia="en-US"/>
        </w:rPr>
        <w:t>continúa</w:t>
      </w:r>
      <w:r w:rsidR="00611508">
        <w:rPr>
          <w:bCs/>
          <w:lang w:eastAsia="en-US"/>
        </w:rPr>
        <w:t xml:space="preserve"> preocupado por que estas </w:t>
      </w:r>
      <w:r w:rsidR="00611508">
        <w:rPr>
          <w:lang w:eastAsia="en-US"/>
        </w:rPr>
        <w:t>n</w:t>
      </w:r>
      <w:r w:rsidR="00DE35B5" w:rsidRPr="00835479">
        <w:rPr>
          <w:lang w:eastAsia="en-US"/>
        </w:rPr>
        <w:t xml:space="preserve">o sean suficientes para garantizar </w:t>
      </w:r>
      <w:r w:rsidR="00DE35B5" w:rsidRPr="00926D2D">
        <w:rPr>
          <w:lang w:eastAsia="en-US"/>
        </w:rPr>
        <w:t xml:space="preserve">el acceso a la justicia de </w:t>
      </w:r>
      <w:r w:rsidR="00990EE8">
        <w:rPr>
          <w:lang w:eastAsia="en-US"/>
        </w:rPr>
        <w:t>estas poblaciones</w:t>
      </w:r>
      <w:r w:rsidR="00DE35B5" w:rsidRPr="00926D2D">
        <w:rPr>
          <w:lang w:eastAsia="en-US"/>
        </w:rPr>
        <w:t>,</w:t>
      </w:r>
      <w:r w:rsidR="00DE35B5">
        <w:rPr>
          <w:lang w:eastAsia="en-US"/>
        </w:rPr>
        <w:t xml:space="preserve"> </w:t>
      </w:r>
      <w:r w:rsidR="00DE35B5" w:rsidRPr="00835479">
        <w:rPr>
          <w:lang w:eastAsia="en-US"/>
        </w:rPr>
        <w:t xml:space="preserve">ya que </w:t>
      </w:r>
      <w:r w:rsidR="00DE35B5">
        <w:rPr>
          <w:lang w:eastAsia="en-US"/>
        </w:rPr>
        <w:t xml:space="preserve">siguen sin estar </w:t>
      </w:r>
      <w:r w:rsidR="00DE35B5" w:rsidRPr="00835479">
        <w:rPr>
          <w:lang w:eastAsia="en-US"/>
        </w:rPr>
        <w:t xml:space="preserve">disponibles en todos </w:t>
      </w:r>
      <w:r w:rsidR="00DE35B5">
        <w:rPr>
          <w:lang w:eastAsia="en-US"/>
        </w:rPr>
        <w:t xml:space="preserve">sus </w:t>
      </w:r>
      <w:r w:rsidR="00DE35B5" w:rsidRPr="00835479">
        <w:rPr>
          <w:lang w:eastAsia="en-US"/>
        </w:rPr>
        <w:t>territorios (art. 6).</w:t>
      </w:r>
    </w:p>
    <w:p w14:paraId="1096E475" w14:textId="0A6B3064" w:rsidR="00DE35B5" w:rsidRPr="0053296A" w:rsidRDefault="007432EC" w:rsidP="00B12627">
      <w:pPr>
        <w:pStyle w:val="SingleTxtG"/>
        <w:rPr>
          <w:b/>
          <w:bCs/>
          <w:lang w:eastAsia="en-US"/>
        </w:rPr>
      </w:pPr>
      <w:r w:rsidRPr="0053296A">
        <w:rPr>
          <w:rFonts w:eastAsiaTheme="minorHAnsi"/>
          <w:bCs/>
          <w:lang w:eastAsia="en-US"/>
        </w:rPr>
        <w:t>31.</w:t>
      </w:r>
      <w:r w:rsidRPr="0053296A">
        <w:rPr>
          <w:rFonts w:eastAsiaTheme="minorHAnsi"/>
          <w:bCs/>
          <w:lang w:eastAsia="en-US"/>
        </w:rPr>
        <w:tab/>
      </w:r>
      <w:r w:rsidR="009F63CF">
        <w:rPr>
          <w:b/>
          <w:bCs/>
          <w:lang w:eastAsia="en-US"/>
        </w:rPr>
        <w:t>E</w:t>
      </w:r>
      <w:r w:rsidR="00DE35B5" w:rsidRPr="0053296A">
        <w:rPr>
          <w:b/>
          <w:bCs/>
          <w:lang w:eastAsia="en-US"/>
        </w:rPr>
        <w:t xml:space="preserve">l Comité recomienda al Estado parte que: </w:t>
      </w:r>
    </w:p>
    <w:p w14:paraId="45AEE7DD" w14:textId="535BF8F8" w:rsidR="00611508" w:rsidRPr="00014A94" w:rsidRDefault="007432EC" w:rsidP="00B12627">
      <w:pPr>
        <w:pStyle w:val="SingleTxtG"/>
        <w:ind w:firstLine="567"/>
        <w:rPr>
          <w:b/>
          <w:lang w:val="es-ES_tradnl" w:eastAsia="en-US"/>
        </w:rPr>
      </w:pPr>
      <w:r w:rsidRPr="00014A94">
        <w:rPr>
          <w:b/>
          <w:lang w:val="es-ES_tradnl" w:eastAsia="en-US"/>
        </w:rPr>
        <w:t>a)</w:t>
      </w:r>
      <w:r w:rsidRPr="00014A94">
        <w:rPr>
          <w:b/>
          <w:lang w:val="es-ES_tradnl" w:eastAsia="en-US"/>
        </w:rPr>
        <w:tab/>
      </w:r>
      <w:r w:rsidR="00DE35B5" w:rsidRPr="00014A94">
        <w:rPr>
          <w:rFonts w:eastAsia="SimSun"/>
          <w:b/>
        </w:rPr>
        <w:t>Intensifique sus esfuerzos para garantizar el acceso a la justicia por parte de los pueblos indígenas</w:t>
      </w:r>
      <w:r w:rsidR="00DD3B84" w:rsidRPr="00014A94">
        <w:rPr>
          <w:rFonts w:eastAsia="SimSun"/>
          <w:b/>
        </w:rPr>
        <w:t xml:space="preserve"> y comunidades afrodescendientes</w:t>
      </w:r>
      <w:r w:rsidR="00DE35B5" w:rsidRPr="00014A94">
        <w:rPr>
          <w:rFonts w:eastAsia="SimSun"/>
          <w:b/>
        </w:rPr>
        <w:t xml:space="preserve">, </w:t>
      </w:r>
      <w:r w:rsidR="00E51673" w:rsidRPr="00014A94">
        <w:rPr>
          <w:rFonts w:eastAsia="SimSun"/>
          <w:b/>
        </w:rPr>
        <w:t xml:space="preserve">asegurando su cobertura en todo el territorio donde </w:t>
      </w:r>
      <w:r w:rsidR="00DD3B84" w:rsidRPr="00014A94">
        <w:rPr>
          <w:rFonts w:eastAsia="SimSun"/>
          <w:b/>
        </w:rPr>
        <w:t xml:space="preserve">estos </w:t>
      </w:r>
      <w:r w:rsidR="00E51673" w:rsidRPr="00014A94">
        <w:rPr>
          <w:rFonts w:eastAsia="SimSun"/>
          <w:b/>
        </w:rPr>
        <w:t>habitan;</w:t>
      </w:r>
    </w:p>
    <w:p w14:paraId="0E35408F" w14:textId="392ECC2F" w:rsidR="00DE35B5" w:rsidRDefault="007432EC" w:rsidP="00B12627">
      <w:pPr>
        <w:pStyle w:val="SingleTxtG"/>
        <w:ind w:firstLine="567"/>
        <w:rPr>
          <w:rFonts w:eastAsia="SimSun"/>
          <w:b/>
          <w:lang w:val="es-ES_tradnl"/>
        </w:rPr>
      </w:pPr>
      <w:r>
        <w:rPr>
          <w:rFonts w:eastAsia="SimSun"/>
          <w:b/>
          <w:lang w:val="es-ES_tradnl"/>
        </w:rPr>
        <w:t>b)</w:t>
      </w:r>
      <w:r>
        <w:rPr>
          <w:rFonts w:eastAsia="SimSun"/>
          <w:b/>
          <w:lang w:val="es-ES_tradnl"/>
        </w:rPr>
        <w:tab/>
      </w:r>
      <w:r w:rsidR="00DE35B5" w:rsidRPr="00014A94">
        <w:rPr>
          <w:rFonts w:eastAsia="SimSun"/>
          <w:b/>
          <w:lang w:val="es-ES_tradnl"/>
        </w:rPr>
        <w:t xml:space="preserve">Continúe sus esfuerzos por reconocer, respetar y </w:t>
      </w:r>
      <w:r w:rsidR="00DE35B5" w:rsidRPr="00014A94">
        <w:rPr>
          <w:rFonts w:eastAsia="SimSun"/>
          <w:b/>
        </w:rPr>
        <w:t xml:space="preserve">fortalecer el </w:t>
      </w:r>
      <w:r w:rsidR="00DE35B5" w:rsidRPr="00014A94">
        <w:rPr>
          <w:rFonts w:eastAsia="SimSun"/>
          <w:b/>
          <w:lang w:val="es-ES_tradnl"/>
        </w:rPr>
        <w:t>sistema de justicia indígena</w:t>
      </w:r>
      <w:r w:rsidR="0029496F" w:rsidRPr="00014A94">
        <w:rPr>
          <w:rFonts w:eastAsia="SimSun"/>
          <w:b/>
          <w:lang w:val="es-ES_tradnl"/>
        </w:rPr>
        <w:t>,</w:t>
      </w:r>
      <w:r w:rsidR="00DE35B5" w:rsidRPr="00014A94">
        <w:rPr>
          <w:rFonts w:eastAsia="SimSun"/>
          <w:b/>
          <w:lang w:val="es-ES_tradnl"/>
        </w:rPr>
        <w:t xml:space="preserve"> </w:t>
      </w:r>
      <w:r w:rsidR="0047000D" w:rsidRPr="00014A94">
        <w:rPr>
          <w:rFonts w:eastAsia="SimSun"/>
          <w:b/>
          <w:lang w:val="es-ES_tradnl"/>
        </w:rPr>
        <w:t>en particular</w:t>
      </w:r>
      <w:r w:rsidR="00DE35B5" w:rsidRPr="00014A94">
        <w:rPr>
          <w:rFonts w:eastAsia="SimSun"/>
          <w:b/>
          <w:lang w:val="es-ES_tradnl"/>
        </w:rPr>
        <w:t xml:space="preserve"> mediante la </w:t>
      </w:r>
      <w:r w:rsidR="00DE35B5" w:rsidRPr="00014A94">
        <w:rPr>
          <w:rFonts w:eastAsia="SimSun" w:hint="eastAsia"/>
          <w:b/>
          <w:lang w:val="es-ES_tradnl"/>
        </w:rPr>
        <w:t>armonización</w:t>
      </w:r>
      <w:r w:rsidR="00DE35B5" w:rsidRPr="00014A94">
        <w:rPr>
          <w:rFonts w:eastAsia="SimSun"/>
          <w:b/>
          <w:lang w:val="es-ES_tradnl"/>
        </w:rPr>
        <w:t>, cooperación y coordinación entre las autoridades del sistema de justicia ordinaria y de la jurisdicción indígena</w:t>
      </w:r>
      <w:r w:rsidR="00CE70FA" w:rsidRPr="00014A94">
        <w:rPr>
          <w:rFonts w:eastAsia="SimSun"/>
          <w:b/>
          <w:lang w:val="es-ES_tradnl"/>
        </w:rPr>
        <w:t>.</w:t>
      </w:r>
    </w:p>
    <w:p w14:paraId="217B09A1" w14:textId="77777777" w:rsidR="00E70C1C" w:rsidRPr="00493B2A" w:rsidRDefault="00E70C1C" w:rsidP="00E70C1C">
      <w:pPr>
        <w:pStyle w:val="H1G"/>
        <w:rPr>
          <w:rFonts w:eastAsia="SimSun"/>
        </w:rPr>
      </w:pPr>
      <w:r>
        <w:rPr>
          <w:lang w:val="es-ES_tradnl"/>
        </w:rPr>
        <w:tab/>
      </w:r>
      <w:r w:rsidRPr="00493B2A">
        <w:rPr>
          <w:rFonts w:eastAsia="SimSun"/>
        </w:rPr>
        <w:t>D.</w:t>
      </w:r>
      <w:r w:rsidRPr="00493B2A">
        <w:rPr>
          <w:rFonts w:eastAsia="SimSun"/>
        </w:rPr>
        <w:tab/>
        <w:t>Otras recomendaciones</w:t>
      </w:r>
    </w:p>
    <w:p w14:paraId="082D318B" w14:textId="77777777" w:rsidR="00E70C1C" w:rsidRPr="000F6B30" w:rsidRDefault="00E70C1C" w:rsidP="00E70C1C">
      <w:pPr>
        <w:pStyle w:val="H23G"/>
        <w:rPr>
          <w:rFonts w:eastAsia="SimSun"/>
        </w:rPr>
      </w:pPr>
      <w:r w:rsidRPr="00493B2A">
        <w:rPr>
          <w:rFonts w:eastAsia="SimSun"/>
        </w:rPr>
        <w:tab/>
      </w:r>
      <w:r w:rsidRPr="00493B2A">
        <w:rPr>
          <w:rFonts w:eastAsia="SimSun"/>
        </w:rPr>
        <w:tab/>
      </w:r>
      <w:r w:rsidRPr="000F6B30">
        <w:rPr>
          <w:rFonts w:eastAsia="SimSun"/>
        </w:rPr>
        <w:t xml:space="preserve">Ratificación de otros tratados </w:t>
      </w:r>
    </w:p>
    <w:p w14:paraId="48D262FC" w14:textId="1588B906" w:rsidR="00E70C1C" w:rsidRPr="008B0116" w:rsidRDefault="007432EC" w:rsidP="00B12627">
      <w:pPr>
        <w:pStyle w:val="SingleTxtG"/>
        <w:rPr>
          <w:rFonts w:eastAsia="SimSun"/>
          <w:b/>
          <w:bCs/>
        </w:rPr>
      </w:pPr>
      <w:r w:rsidRPr="008B0116">
        <w:rPr>
          <w:rFonts w:eastAsiaTheme="minorHAnsi"/>
          <w:bCs/>
        </w:rPr>
        <w:t>32.</w:t>
      </w:r>
      <w:r w:rsidRPr="008B0116">
        <w:rPr>
          <w:rFonts w:eastAsiaTheme="minorHAnsi"/>
          <w:bCs/>
        </w:rPr>
        <w:tab/>
      </w:r>
      <w:r w:rsidR="00E70C1C" w:rsidRPr="008B0116">
        <w:rPr>
          <w:rFonts w:eastAsia="SimSun"/>
          <w:b/>
          <w:bCs/>
        </w:rPr>
        <w:t xml:space="preserve">Teniendo presente la indivisibilidad de todos los derechos humanos, el Comité alienta al Estado parte a que considere la posibilidad de ratificar los tratados internacionales de derechos humanos que todavía no haya ratificado, como el Protocolo Facultativo de la Convención </w:t>
      </w:r>
      <w:r w:rsidR="005C03B7">
        <w:rPr>
          <w:rFonts w:eastAsia="SimSun"/>
          <w:b/>
          <w:bCs/>
        </w:rPr>
        <w:t xml:space="preserve">Internacional </w:t>
      </w:r>
      <w:r w:rsidR="00E70C1C" w:rsidRPr="008B0116">
        <w:rPr>
          <w:rFonts w:eastAsia="SimSun"/>
          <w:b/>
          <w:bCs/>
        </w:rPr>
        <w:t>sobre los Derechos de las Personas con Discapacidad; el Protocolo Facultativo de la Convención contra la Tortura y Otros Tratos o Penas Crueles, Inhumanos o Degradantes; el Protocolo Facultativo del Pacto Internacional de Derechos Económicos, Sociales y Culturales;</w:t>
      </w:r>
      <w:r w:rsidR="002B2A66">
        <w:rPr>
          <w:rFonts w:eastAsia="SimSun"/>
          <w:b/>
          <w:bCs/>
        </w:rPr>
        <w:t xml:space="preserve"> y</w:t>
      </w:r>
      <w:r w:rsidR="00E70C1C" w:rsidRPr="008B0116">
        <w:rPr>
          <w:rFonts w:eastAsia="SimSun"/>
          <w:b/>
          <w:bCs/>
        </w:rPr>
        <w:t xml:space="preserve"> el Protocolo Facultativo de la Convención </w:t>
      </w:r>
      <w:r w:rsidR="00684605">
        <w:rPr>
          <w:rFonts w:eastAsia="SimSun"/>
          <w:b/>
          <w:bCs/>
        </w:rPr>
        <w:t xml:space="preserve">sobre </w:t>
      </w:r>
      <w:r w:rsidR="00E70C1C" w:rsidRPr="008B0116">
        <w:rPr>
          <w:rFonts w:eastAsia="SimSun"/>
          <w:b/>
          <w:bCs/>
        </w:rPr>
        <w:t>los Derechos de</w:t>
      </w:r>
      <w:r w:rsidR="00C83782">
        <w:rPr>
          <w:rFonts w:eastAsia="SimSun"/>
          <w:b/>
          <w:bCs/>
        </w:rPr>
        <w:t>l</w:t>
      </w:r>
      <w:r w:rsidR="00E70C1C" w:rsidRPr="008B0116">
        <w:rPr>
          <w:rFonts w:eastAsia="SimSun"/>
          <w:b/>
          <w:bCs/>
        </w:rPr>
        <w:t xml:space="preserve"> Niño relativo a un procedimiento de comunicaciones</w:t>
      </w:r>
      <w:r w:rsidR="00545FB1">
        <w:rPr>
          <w:rFonts w:eastAsia="SimSun"/>
          <w:b/>
          <w:bCs/>
        </w:rPr>
        <w:t>.</w:t>
      </w:r>
      <w:r w:rsidR="00E70C1C" w:rsidRPr="008B0116">
        <w:rPr>
          <w:rFonts w:eastAsia="SimSun"/>
          <w:b/>
          <w:bCs/>
        </w:rPr>
        <w:t xml:space="preserve"> El Comité, además, recomienda al Estado parte que considere la posibilidad de ratificar la Convención Interamericana contra el Racismo, la Discriminación Racial y Formas Conexas de Intolerancia.</w:t>
      </w:r>
    </w:p>
    <w:p w14:paraId="4A2C2DF2" w14:textId="77777777" w:rsidR="00E70C1C" w:rsidRPr="000F6B30" w:rsidRDefault="00E70C1C" w:rsidP="00E70C1C">
      <w:pPr>
        <w:pStyle w:val="H23G"/>
        <w:rPr>
          <w:rFonts w:eastAsia="SimSun"/>
        </w:rPr>
      </w:pPr>
      <w:r w:rsidRPr="000F6B30">
        <w:rPr>
          <w:rFonts w:eastAsia="SimSun"/>
        </w:rPr>
        <w:tab/>
      </w:r>
      <w:r w:rsidRPr="000F6B30">
        <w:rPr>
          <w:rFonts w:eastAsia="SimSun"/>
        </w:rPr>
        <w:tab/>
      </w:r>
      <w:r w:rsidRPr="00320003">
        <w:rPr>
          <w:rFonts w:eastAsia="SimSun"/>
        </w:rPr>
        <w:t>Declaración prevista en el artículo 14 de la Convención</w:t>
      </w:r>
    </w:p>
    <w:p w14:paraId="1BEB72EF" w14:textId="2A18D3F9" w:rsidR="00E70C1C" w:rsidRPr="008B0116" w:rsidRDefault="007432EC" w:rsidP="00B12627">
      <w:pPr>
        <w:pStyle w:val="SingleTxtG"/>
        <w:rPr>
          <w:rFonts w:eastAsia="SimSun"/>
          <w:b/>
          <w:bCs/>
        </w:rPr>
      </w:pPr>
      <w:r w:rsidRPr="008B0116">
        <w:rPr>
          <w:rFonts w:eastAsiaTheme="minorHAnsi"/>
          <w:bCs/>
        </w:rPr>
        <w:t>33.</w:t>
      </w:r>
      <w:r w:rsidRPr="008B0116">
        <w:rPr>
          <w:rFonts w:eastAsiaTheme="minorHAnsi"/>
          <w:bCs/>
        </w:rPr>
        <w:tab/>
      </w:r>
      <w:r w:rsidR="00E70C1C" w:rsidRPr="008B0116">
        <w:rPr>
          <w:rFonts w:eastAsia="SimSun"/>
          <w:b/>
          <w:bCs/>
        </w:rPr>
        <w:t>El Comité alienta al Estado parte a que formule la declaración facultativa prevista en el artículo 14 de la Convención a fin de reconocer la competencia del Comité para recibir y examinar comunicaciones individuales.</w:t>
      </w:r>
    </w:p>
    <w:p w14:paraId="32A50262" w14:textId="77777777" w:rsidR="00E70C1C" w:rsidRPr="002C2675" w:rsidRDefault="00E70C1C" w:rsidP="00E70C1C">
      <w:pPr>
        <w:pStyle w:val="H23G"/>
        <w:rPr>
          <w:bCs/>
        </w:rPr>
      </w:pPr>
      <w:r w:rsidRPr="000F6B30">
        <w:rPr>
          <w:rFonts w:eastAsia="SimSun"/>
        </w:rPr>
        <w:tab/>
      </w:r>
      <w:r w:rsidRPr="000F6B30">
        <w:rPr>
          <w:rFonts w:eastAsia="SimSun"/>
        </w:rPr>
        <w:tab/>
        <w:t>Seguimiento de la Declaración y el Programa de Acción de Durban</w:t>
      </w:r>
      <w:r>
        <w:rPr>
          <w:rFonts w:eastAsia="SimSun"/>
          <w:b w:val="0"/>
        </w:rPr>
        <w:t xml:space="preserve"> </w:t>
      </w:r>
    </w:p>
    <w:p w14:paraId="7F592EFB" w14:textId="6FE472E6" w:rsidR="00E70C1C" w:rsidRPr="008B0116" w:rsidRDefault="007432EC" w:rsidP="00B12627">
      <w:pPr>
        <w:pStyle w:val="SingleTxtG"/>
        <w:rPr>
          <w:rFonts w:eastAsia="SimSun"/>
          <w:b/>
          <w:bCs/>
        </w:rPr>
      </w:pPr>
      <w:r w:rsidRPr="008B0116">
        <w:rPr>
          <w:rFonts w:eastAsiaTheme="minorHAnsi"/>
          <w:bCs/>
        </w:rPr>
        <w:t>34.</w:t>
      </w:r>
      <w:r w:rsidRPr="008B0116">
        <w:rPr>
          <w:rFonts w:eastAsiaTheme="minorHAnsi"/>
          <w:bCs/>
        </w:rPr>
        <w:tab/>
      </w:r>
      <w:r w:rsidR="00E70C1C" w:rsidRPr="008B0116">
        <w:rPr>
          <w:rFonts w:eastAsia="SimSun"/>
          <w:b/>
          <w:bCs/>
        </w:rPr>
        <w:t xml:space="preserve">A la luz de su recomendación general núm. 33 (2009) sobre el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w:t>
      </w:r>
      <w:r w:rsidR="00E70C1C" w:rsidRPr="008B0116">
        <w:rPr>
          <w:rFonts w:eastAsia="SimSun"/>
          <w:b/>
          <w:bCs/>
        </w:rPr>
        <w:lastRenderedPageBreak/>
        <w:t xml:space="preserve">específica sobre los planes de acción y demás medidas adoptadas para aplicar la Declaración y el Programa de Acción de Durban en el plano nacional. </w:t>
      </w:r>
    </w:p>
    <w:p w14:paraId="1B6C5B08" w14:textId="77777777" w:rsidR="00E70C1C" w:rsidRPr="000F6B30" w:rsidRDefault="00E70C1C" w:rsidP="00E70C1C">
      <w:pPr>
        <w:pStyle w:val="H23G"/>
        <w:rPr>
          <w:lang w:val="es-GT"/>
        </w:rPr>
      </w:pPr>
      <w:r w:rsidRPr="00493B2A">
        <w:rPr>
          <w:rFonts w:eastAsia="SimSun"/>
        </w:rPr>
        <w:tab/>
      </w:r>
      <w:r w:rsidRPr="00493B2A">
        <w:rPr>
          <w:rFonts w:eastAsia="SimSun"/>
        </w:rPr>
        <w:tab/>
      </w:r>
      <w:r w:rsidRPr="000F6B30">
        <w:rPr>
          <w:rFonts w:eastAsia="SimSun"/>
        </w:rPr>
        <w:t xml:space="preserve">Decenio Internacional de los Afrodescendientes </w:t>
      </w:r>
    </w:p>
    <w:p w14:paraId="26ED0186" w14:textId="3B3EB64D" w:rsidR="00E70C1C" w:rsidRPr="008B0116" w:rsidRDefault="007432EC" w:rsidP="00B12627">
      <w:pPr>
        <w:pStyle w:val="SingleTxtG"/>
        <w:rPr>
          <w:rFonts w:eastAsia="SimSun"/>
          <w:b/>
          <w:bCs/>
        </w:rPr>
      </w:pPr>
      <w:r w:rsidRPr="008B0116">
        <w:rPr>
          <w:rFonts w:eastAsiaTheme="minorHAnsi"/>
          <w:bCs/>
        </w:rPr>
        <w:t>35.</w:t>
      </w:r>
      <w:r w:rsidRPr="008B0116">
        <w:rPr>
          <w:rFonts w:eastAsiaTheme="minorHAnsi"/>
          <w:bCs/>
        </w:rPr>
        <w:tab/>
      </w:r>
      <w:r w:rsidR="00E70C1C" w:rsidRPr="008B0116">
        <w:rPr>
          <w:rFonts w:eastAsia="SimSun"/>
          <w:b/>
          <w:bCs/>
        </w:rPr>
        <w:t xml:space="preserve">A la luz de la resolución 68/237 de la Asamblea General, en la que la Asamblea proclamó 2015-2024 Decenio Internacional de los Afrodescendientes, y la resolución 69/16 de la Asamblea sobre el programa de actividades del Decenio, el Comité recomienda al Estado parte que continúe sus esfuerzos para la elaboración e implementación de un programa, medidas o políticas adecuados, en colaboración con las organizaciones de afrodescendientes. El Comité solicita al Estado parte que incluya en su próximo informe información precisa sobre las medidas concretas adoptadas en ese marco, teniendo en cuenta su recomendación general núm. 34 (2011) sobre la discriminación racial contra afrodescendientes. </w:t>
      </w:r>
    </w:p>
    <w:p w14:paraId="6D602D52" w14:textId="77777777" w:rsidR="00E70C1C" w:rsidRPr="000F6B30" w:rsidRDefault="00E70C1C" w:rsidP="00E70C1C">
      <w:pPr>
        <w:pStyle w:val="H23G"/>
        <w:rPr>
          <w:bCs/>
        </w:rPr>
      </w:pPr>
      <w:r w:rsidRPr="000F6B30">
        <w:rPr>
          <w:rFonts w:eastAsia="SimSun"/>
        </w:rPr>
        <w:tab/>
      </w:r>
      <w:r w:rsidRPr="000F6B30">
        <w:rPr>
          <w:rFonts w:eastAsia="SimSun"/>
        </w:rPr>
        <w:tab/>
        <w:t>Difusión de información</w:t>
      </w:r>
      <w:r w:rsidRPr="000F6B30">
        <w:rPr>
          <w:rFonts w:eastAsia="SimSun"/>
          <w:b w:val="0"/>
        </w:rPr>
        <w:t xml:space="preserve"> </w:t>
      </w:r>
    </w:p>
    <w:p w14:paraId="1DB7931C" w14:textId="040126EB" w:rsidR="00E70C1C" w:rsidRPr="008B0116" w:rsidRDefault="007432EC" w:rsidP="00B12627">
      <w:pPr>
        <w:pStyle w:val="SingleTxtG"/>
        <w:rPr>
          <w:rFonts w:eastAsia="SimSun"/>
          <w:b/>
          <w:bCs/>
        </w:rPr>
      </w:pPr>
      <w:r w:rsidRPr="008B0116">
        <w:rPr>
          <w:rFonts w:eastAsiaTheme="minorHAnsi"/>
          <w:bCs/>
        </w:rPr>
        <w:t>36.</w:t>
      </w:r>
      <w:r w:rsidRPr="008B0116">
        <w:rPr>
          <w:rFonts w:eastAsiaTheme="minorHAnsi"/>
          <w:bCs/>
        </w:rPr>
        <w:tab/>
      </w:r>
      <w:r w:rsidR="00E70C1C" w:rsidRPr="008B0116">
        <w:rPr>
          <w:rFonts w:eastAsia="SimSun"/>
          <w:b/>
          <w:bCs/>
        </w:rPr>
        <w:t>El Comité recomienda que los informes del Estado parte se pongan a disposición y al alcance del público en el momento de su presentación y que difunda las presentes observaciones finales en el idioma oficial, así como en otras lenguas de uso común en el Estado parte.</w:t>
      </w:r>
    </w:p>
    <w:p w14:paraId="26935770" w14:textId="77777777" w:rsidR="00E70C1C" w:rsidRPr="000F6B30" w:rsidRDefault="00E70C1C" w:rsidP="00E70C1C">
      <w:pPr>
        <w:pStyle w:val="H23G"/>
        <w:rPr>
          <w:bCs/>
        </w:rPr>
      </w:pPr>
      <w:r w:rsidRPr="000F6B30">
        <w:rPr>
          <w:rFonts w:eastAsia="SimSun"/>
        </w:rPr>
        <w:tab/>
      </w:r>
      <w:r w:rsidRPr="000F6B30">
        <w:rPr>
          <w:rFonts w:eastAsia="SimSun"/>
        </w:rPr>
        <w:tab/>
        <w:t>Consultas con la sociedad civil</w:t>
      </w:r>
      <w:r w:rsidRPr="000F6B30">
        <w:rPr>
          <w:rFonts w:eastAsia="SimSun"/>
          <w:b w:val="0"/>
        </w:rPr>
        <w:t xml:space="preserve"> </w:t>
      </w:r>
    </w:p>
    <w:p w14:paraId="7D8E3B5A" w14:textId="0C53C033" w:rsidR="00E70C1C" w:rsidRPr="008B0116" w:rsidRDefault="007432EC" w:rsidP="00B12627">
      <w:pPr>
        <w:pStyle w:val="SingleTxtG"/>
        <w:rPr>
          <w:rFonts w:eastAsia="SimSun"/>
          <w:b/>
          <w:bCs/>
        </w:rPr>
      </w:pPr>
      <w:r w:rsidRPr="008B0116">
        <w:rPr>
          <w:rFonts w:eastAsiaTheme="minorHAnsi"/>
          <w:bCs/>
        </w:rPr>
        <w:t>37.</w:t>
      </w:r>
      <w:r w:rsidRPr="008B0116">
        <w:rPr>
          <w:rFonts w:eastAsiaTheme="minorHAnsi"/>
          <w:bCs/>
        </w:rPr>
        <w:tab/>
      </w:r>
      <w:r w:rsidR="00E70C1C" w:rsidRPr="008B0116">
        <w:rPr>
          <w:rFonts w:eastAsia="SimSun"/>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14:paraId="14A8B13B" w14:textId="0595DC21" w:rsidR="00E70C1C" w:rsidRPr="00C71DDE" w:rsidRDefault="00E70C1C" w:rsidP="00F138D2">
      <w:pPr>
        <w:pStyle w:val="H23G"/>
        <w:rPr>
          <w:bCs/>
        </w:rPr>
      </w:pPr>
      <w:r w:rsidRPr="000F6B30">
        <w:rPr>
          <w:rFonts w:eastAsia="SimSun"/>
        </w:rPr>
        <w:tab/>
      </w:r>
      <w:r w:rsidRPr="000F6B30">
        <w:rPr>
          <w:rFonts w:eastAsia="SimSun"/>
        </w:rPr>
        <w:tab/>
      </w:r>
      <w:r w:rsidRPr="00C71DDE">
        <w:rPr>
          <w:rFonts w:eastAsia="SimSun"/>
        </w:rPr>
        <w:tab/>
        <w:t>Seguimiento de las presentes observaciones finales</w:t>
      </w:r>
      <w:r w:rsidRPr="00C71DDE">
        <w:rPr>
          <w:rFonts w:eastAsia="SimSun"/>
          <w:b w:val="0"/>
        </w:rPr>
        <w:t xml:space="preserve"> </w:t>
      </w:r>
    </w:p>
    <w:p w14:paraId="26A3DF1B" w14:textId="09A67400" w:rsidR="00E70C1C" w:rsidRPr="007432EC" w:rsidRDefault="007432EC" w:rsidP="00B12627">
      <w:pPr>
        <w:pStyle w:val="SingleTxtG"/>
        <w:rPr>
          <w:rFonts w:eastAsia="SimSun"/>
          <w:b/>
          <w:bCs/>
        </w:rPr>
      </w:pPr>
      <w:r w:rsidRPr="007432EC">
        <w:rPr>
          <w:rFonts w:eastAsiaTheme="minorHAnsi"/>
          <w:bCs/>
        </w:rPr>
        <w:t>38.</w:t>
      </w:r>
      <w:r w:rsidRPr="007432EC">
        <w:rPr>
          <w:rFonts w:eastAsiaTheme="minorHAnsi"/>
          <w:bCs/>
        </w:rPr>
        <w:tab/>
      </w:r>
      <w:r w:rsidR="00E70C1C" w:rsidRPr="00C71DDE">
        <w:rPr>
          <w:rFonts w:eastAsia="SimSun"/>
          <w:b/>
          <w:bCs/>
        </w:rPr>
        <w:t>De conformidad con el artículo</w:t>
      </w:r>
      <w:r w:rsidR="00E70C1C" w:rsidRPr="0091422B">
        <w:rPr>
          <w:rFonts w:eastAsia="SimSun"/>
          <w:b/>
          <w:bCs/>
        </w:rPr>
        <w:t>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w:t>
      </w:r>
      <w:r w:rsidR="00560B1E" w:rsidRPr="007432EC">
        <w:rPr>
          <w:rFonts w:eastAsia="SimSun"/>
          <w:b/>
          <w:bCs/>
        </w:rPr>
        <w:t>21</w:t>
      </w:r>
      <w:r w:rsidR="009C1078">
        <w:rPr>
          <w:rFonts w:eastAsia="SimSun"/>
          <w:b/>
          <w:bCs/>
        </w:rPr>
        <w:t>, apartado</w:t>
      </w:r>
      <w:r w:rsidR="00560B1E" w:rsidRPr="007432EC">
        <w:rPr>
          <w:rFonts w:eastAsia="SimSun"/>
          <w:b/>
          <w:bCs/>
        </w:rPr>
        <w:t xml:space="preserve"> a) </w:t>
      </w:r>
      <w:r w:rsidR="00E70C1C" w:rsidRPr="007432EC">
        <w:rPr>
          <w:rFonts w:eastAsia="SimSun"/>
          <w:b/>
          <w:bCs/>
        </w:rPr>
        <w:t>(</w:t>
      </w:r>
      <w:r w:rsidR="006A6AAA">
        <w:rPr>
          <w:rFonts w:eastAsia="SimSun"/>
          <w:b/>
          <w:bCs/>
          <w:lang w:val="es-ES_tradnl"/>
        </w:rPr>
        <w:t>d</w:t>
      </w:r>
      <w:r w:rsidR="006A6AAA" w:rsidRPr="006A6AAA">
        <w:rPr>
          <w:rFonts w:eastAsia="SimSun"/>
          <w:b/>
          <w:bCs/>
          <w:lang w:val="es-ES_tradnl"/>
        </w:rPr>
        <w:t>erechos territoriales y restitución de tierras</w:t>
      </w:r>
      <w:r w:rsidR="006A6AAA">
        <w:rPr>
          <w:rFonts w:eastAsia="SimSun"/>
          <w:b/>
          <w:bCs/>
          <w:lang w:val="es-ES_tradnl"/>
        </w:rPr>
        <w:t>)</w:t>
      </w:r>
      <w:r w:rsidR="00E70C1C" w:rsidRPr="007432EC">
        <w:rPr>
          <w:rFonts w:eastAsia="SimSun"/>
          <w:b/>
          <w:bCs/>
        </w:rPr>
        <w:t xml:space="preserve">) y </w:t>
      </w:r>
      <w:r w:rsidR="00560B1E" w:rsidRPr="007432EC">
        <w:rPr>
          <w:rFonts w:eastAsia="SimSun"/>
          <w:b/>
          <w:bCs/>
        </w:rPr>
        <w:t>23</w:t>
      </w:r>
      <w:r w:rsidR="00E70C1C" w:rsidRPr="007432EC">
        <w:rPr>
          <w:rFonts w:eastAsia="SimSun"/>
          <w:b/>
          <w:bCs/>
        </w:rPr>
        <w:t xml:space="preserve"> (</w:t>
      </w:r>
      <w:r w:rsidR="006A6AAA">
        <w:rPr>
          <w:rFonts w:eastAsia="SimSun"/>
          <w:b/>
          <w:bCs/>
          <w:lang w:val="es-ES_tradnl"/>
        </w:rPr>
        <w:t>p</w:t>
      </w:r>
      <w:r w:rsidR="006A6AAA" w:rsidRPr="006A6AAA">
        <w:rPr>
          <w:rFonts w:eastAsia="SimSun"/>
          <w:b/>
          <w:bCs/>
          <w:lang w:val="es-ES_tradnl"/>
        </w:rPr>
        <w:t>ueblos indígenas en peligro de extinción, en</w:t>
      </w:r>
      <w:r w:rsidR="006A6AAA">
        <w:rPr>
          <w:rFonts w:eastAsia="SimSun"/>
          <w:b/>
          <w:bCs/>
          <w:lang w:val="es-ES_tradnl"/>
        </w:rPr>
        <w:t xml:space="preserve"> aislamiento o contacto inicial</w:t>
      </w:r>
      <w:r w:rsidR="00E70C1C" w:rsidRPr="007432EC">
        <w:rPr>
          <w:rFonts w:eastAsia="SimSun"/>
          <w:b/>
          <w:bCs/>
        </w:rPr>
        <w:t>).</w:t>
      </w:r>
    </w:p>
    <w:p w14:paraId="77B2CAE6" w14:textId="77777777" w:rsidR="00E70C1C" w:rsidRPr="0091422B" w:rsidRDefault="00E70C1C" w:rsidP="00E70C1C">
      <w:pPr>
        <w:pStyle w:val="H23G"/>
        <w:rPr>
          <w:bCs/>
        </w:rPr>
      </w:pPr>
      <w:r w:rsidRPr="0091422B">
        <w:rPr>
          <w:rFonts w:eastAsia="SimSun"/>
        </w:rPr>
        <w:tab/>
      </w:r>
      <w:r w:rsidRPr="0091422B">
        <w:rPr>
          <w:rFonts w:eastAsia="SimSun"/>
        </w:rPr>
        <w:tab/>
        <w:t>Párrafos de particular importancia</w:t>
      </w:r>
      <w:r w:rsidRPr="0091422B">
        <w:rPr>
          <w:rFonts w:eastAsia="SimSun"/>
          <w:b w:val="0"/>
        </w:rPr>
        <w:t xml:space="preserve"> </w:t>
      </w:r>
    </w:p>
    <w:p w14:paraId="211ECD52" w14:textId="6D189563" w:rsidR="00E70C1C" w:rsidRPr="0091422B" w:rsidRDefault="007432EC" w:rsidP="00B12627">
      <w:pPr>
        <w:pStyle w:val="SingleTxtG"/>
        <w:rPr>
          <w:rFonts w:eastAsia="SimSun"/>
          <w:b/>
          <w:bCs/>
        </w:rPr>
      </w:pPr>
      <w:r w:rsidRPr="0091422B">
        <w:rPr>
          <w:rFonts w:eastAsiaTheme="minorHAnsi"/>
          <w:bCs/>
        </w:rPr>
        <w:t>39.</w:t>
      </w:r>
      <w:r w:rsidRPr="0091422B">
        <w:rPr>
          <w:rFonts w:eastAsiaTheme="minorHAnsi"/>
          <w:bCs/>
        </w:rPr>
        <w:tab/>
      </w:r>
      <w:r w:rsidR="00E70C1C" w:rsidRPr="0091422B">
        <w:rPr>
          <w:rFonts w:eastAsia="SimSun"/>
          <w:b/>
          <w:bCs/>
        </w:rPr>
        <w:t>El Comité desea señalar a la atención del Estado parte la particular importancia de las recomendaciones que figuran en los párrafos </w:t>
      </w:r>
      <w:r w:rsidR="001C2BCC" w:rsidRPr="0091422B">
        <w:rPr>
          <w:rFonts w:eastAsia="SimSun"/>
          <w:b/>
          <w:bCs/>
        </w:rPr>
        <w:t xml:space="preserve">11 (discurso de odio), </w:t>
      </w:r>
      <w:r w:rsidR="008037CF" w:rsidRPr="002710BA">
        <w:rPr>
          <w:rFonts w:eastAsia="SimSun"/>
          <w:b/>
          <w:bCs/>
        </w:rPr>
        <w:t>17 (discriminación estructural)</w:t>
      </w:r>
      <w:r w:rsidR="008037CF">
        <w:rPr>
          <w:rFonts w:eastAsia="SimSun"/>
          <w:b/>
          <w:bCs/>
        </w:rPr>
        <w:t>,</w:t>
      </w:r>
      <w:r w:rsidR="008037CF" w:rsidRPr="002710BA">
        <w:rPr>
          <w:rFonts w:eastAsia="SimSun"/>
          <w:b/>
          <w:bCs/>
        </w:rPr>
        <w:t xml:space="preserve"> </w:t>
      </w:r>
      <w:r w:rsidR="00E70C1C" w:rsidRPr="007432EC">
        <w:rPr>
          <w:rFonts w:eastAsia="SimSun"/>
          <w:b/>
          <w:bCs/>
        </w:rPr>
        <w:t>19 (derecho a la consulta previa) y 29 (protección a personas defensoras de derechos humanos y líderes y lideresas de pueblos étnicos</w:t>
      </w:r>
      <w:r w:rsidR="00E70C1C" w:rsidRPr="0091422B">
        <w:rPr>
          <w:rFonts w:eastAsia="SimSun"/>
          <w:b/>
          <w:bCs/>
        </w:rPr>
        <w:t>) y le solicita que en su próximo informe periódico facilite información detallada sobre las medidas concretas que haya adoptado para aplicarlas.</w:t>
      </w:r>
    </w:p>
    <w:p w14:paraId="35B78EB1" w14:textId="77777777" w:rsidR="00E70C1C" w:rsidRPr="0091422B" w:rsidRDefault="00E70C1C" w:rsidP="00E70C1C">
      <w:pPr>
        <w:pStyle w:val="H23G"/>
        <w:rPr>
          <w:bCs/>
        </w:rPr>
      </w:pPr>
      <w:r w:rsidRPr="0091422B">
        <w:rPr>
          <w:rFonts w:eastAsia="SimSun"/>
        </w:rPr>
        <w:tab/>
      </w:r>
      <w:r w:rsidRPr="0091422B">
        <w:rPr>
          <w:rFonts w:eastAsia="SimSun"/>
        </w:rPr>
        <w:tab/>
        <w:t>Preparación del próximo informe periódico</w:t>
      </w:r>
      <w:r w:rsidRPr="0091422B">
        <w:rPr>
          <w:rFonts w:eastAsia="SimSun"/>
          <w:b w:val="0"/>
        </w:rPr>
        <w:t xml:space="preserve"> </w:t>
      </w:r>
    </w:p>
    <w:p w14:paraId="165574CD" w14:textId="5329290C" w:rsidR="00712D2F" w:rsidRPr="00875419" w:rsidRDefault="007432EC" w:rsidP="00B12627">
      <w:pPr>
        <w:pStyle w:val="SingleTxtG"/>
        <w:rPr>
          <w:rFonts w:eastAsia="SimSun"/>
          <w:sz w:val="18"/>
          <w:lang w:val="es-ES_tradnl"/>
        </w:rPr>
      </w:pPr>
      <w:r w:rsidRPr="00B12627">
        <w:rPr>
          <w:rFonts w:eastAsiaTheme="minorHAnsi"/>
          <w:lang w:val="es-ES_tradnl"/>
        </w:rPr>
        <w:t>40.</w:t>
      </w:r>
      <w:r w:rsidRPr="00875419">
        <w:rPr>
          <w:rFonts w:eastAsiaTheme="minorHAnsi"/>
          <w:sz w:val="18"/>
          <w:lang w:val="es-ES_tradnl"/>
        </w:rPr>
        <w:tab/>
      </w:r>
      <w:r w:rsidR="00E70C1C" w:rsidRPr="0091422B">
        <w:rPr>
          <w:rFonts w:eastAsia="SimSun"/>
          <w:b/>
        </w:rPr>
        <w:t>El Comité recomienda al Estado parte que presente sus informes periódicos 20º a 2</w:t>
      </w:r>
      <w:r w:rsidR="00C95551" w:rsidRPr="0091422B">
        <w:rPr>
          <w:rFonts w:eastAsia="SimSun"/>
          <w:b/>
        </w:rPr>
        <w:t>1</w:t>
      </w:r>
      <w:r w:rsidR="00B45372">
        <w:rPr>
          <w:rFonts w:eastAsia="SimSun"/>
          <w:b/>
        </w:rPr>
        <w:t>º</w:t>
      </w:r>
      <w:r w:rsidR="00E70C1C" w:rsidRPr="0091422B">
        <w:rPr>
          <w:rFonts w:eastAsia="SimSun"/>
          <w:b/>
        </w:rPr>
        <w:t xml:space="preserve"> combinados, en un solo documento, a más tardar el </w:t>
      </w:r>
      <w:r w:rsidR="00C95551" w:rsidRPr="0091422B">
        <w:rPr>
          <w:rFonts w:eastAsia="SimSun"/>
          <w:b/>
        </w:rPr>
        <w:t xml:space="preserve">2 de octubre </w:t>
      </w:r>
      <w:r w:rsidR="00D12A11">
        <w:rPr>
          <w:rFonts w:eastAsia="SimSun"/>
          <w:b/>
        </w:rPr>
        <w:t xml:space="preserve">de </w:t>
      </w:r>
      <w:r w:rsidR="00E70C1C" w:rsidRPr="007432EC">
        <w:rPr>
          <w:rFonts w:eastAsia="SimSun"/>
          <w:b/>
        </w:rPr>
        <w:t>20</w:t>
      </w:r>
      <w:r w:rsidR="00C95551" w:rsidRPr="007432EC">
        <w:rPr>
          <w:rFonts w:eastAsia="SimSun"/>
          <w:b/>
        </w:rPr>
        <w:t>22</w:t>
      </w:r>
      <w:r w:rsidR="00E70C1C" w:rsidRPr="0091422B">
        <w:rPr>
          <w:rFonts w:eastAsia="SimSun"/>
          <w:b/>
        </w:rPr>
        <w:t>, teniendo en cuenta las directrices relativas a la presentación de informes aprobadas por el Comité en su 71</w:t>
      </w:r>
      <w:r w:rsidR="00E70C1C" w:rsidRPr="007432EC">
        <w:rPr>
          <w:rFonts w:eastAsia="SimSun"/>
          <w:b/>
          <w:vertAlign w:val="superscript"/>
        </w:rPr>
        <w:t>er</w:t>
      </w:r>
      <w:r w:rsidR="00E70C1C" w:rsidRPr="0091422B">
        <w:rPr>
          <w:rFonts w:eastAsia="SimSun"/>
          <w:b/>
        </w:rPr>
        <w:t xml:space="preserve"> período de sesiones (CERD/C/2007/1) y que en dicho documento se aborden todas las cuestiones planteadas en las presentes observaciones finales. A la luz de la resolución 68/268 de la Asamblea General, el Comité insta al Estado parte a que respete</w:t>
      </w:r>
      <w:r w:rsidR="00E70C1C" w:rsidRPr="004A0EDF">
        <w:rPr>
          <w:rFonts w:eastAsia="SimSun"/>
          <w:b/>
        </w:rPr>
        <w:t xml:space="preserve"> el límite de 21.200 palabras establecido para los informes periódicos.</w:t>
      </w:r>
    </w:p>
    <w:p w14:paraId="4FE5239D" w14:textId="0528FAA2" w:rsidR="004842B2" w:rsidRPr="00417DF7" w:rsidRDefault="00417DF7" w:rsidP="00417DF7">
      <w:pPr>
        <w:pStyle w:val="SingleTxtG"/>
        <w:suppressAutoHyphens/>
        <w:spacing w:before="240" w:after="0"/>
        <w:jc w:val="center"/>
        <w:rPr>
          <w:u w:val="single"/>
        </w:rPr>
      </w:pPr>
      <w:r>
        <w:rPr>
          <w:u w:val="single"/>
        </w:rPr>
        <w:tab/>
      </w:r>
      <w:r>
        <w:rPr>
          <w:u w:val="single"/>
        </w:rPr>
        <w:tab/>
      </w:r>
      <w:r>
        <w:rPr>
          <w:u w:val="single"/>
        </w:rPr>
        <w:tab/>
      </w:r>
      <w:r>
        <w:rPr>
          <w:u w:val="single"/>
        </w:rPr>
        <w:tab/>
      </w:r>
    </w:p>
    <w:sectPr w:rsidR="004842B2" w:rsidRPr="00417DF7" w:rsidSect="005708A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C7A99" w14:textId="77777777" w:rsidR="004053AC" w:rsidRDefault="004053AC">
      <w:r>
        <w:separator/>
      </w:r>
    </w:p>
  </w:endnote>
  <w:endnote w:type="continuationSeparator" w:id="0">
    <w:p w14:paraId="46C84FF5" w14:textId="77777777" w:rsidR="004053AC" w:rsidRDefault="0040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B721" w14:textId="0CB28F91" w:rsidR="00261F71" w:rsidRPr="00F93BD3" w:rsidRDefault="00261F71" w:rsidP="0028194C">
    <w:pPr>
      <w:pStyle w:val="Piedepgina"/>
      <w:tabs>
        <w:tab w:val="left" w:pos="7745"/>
        <w:tab w:val="right" w:pos="9638"/>
      </w:tabs>
    </w:pPr>
    <w:r w:rsidRPr="00F93BD3">
      <w:rPr>
        <w:b/>
        <w:sz w:val="18"/>
      </w:rPr>
      <w:fldChar w:fldCharType="begin"/>
    </w:r>
    <w:r w:rsidRPr="00F93BD3">
      <w:rPr>
        <w:b/>
        <w:sz w:val="18"/>
      </w:rPr>
      <w:instrText xml:space="preserve"> PAGE  \* MERGEFORMAT </w:instrText>
    </w:r>
    <w:r w:rsidRPr="00F93BD3">
      <w:rPr>
        <w:b/>
        <w:sz w:val="18"/>
      </w:rPr>
      <w:fldChar w:fldCharType="separate"/>
    </w:r>
    <w:r w:rsidR="00417DF7">
      <w:rPr>
        <w:b/>
        <w:noProof/>
        <w:sz w:val="18"/>
      </w:rPr>
      <w:t>6</w:t>
    </w:r>
    <w:r w:rsidRPr="00F93BD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E684" w14:textId="03EDA245" w:rsidR="00261F71" w:rsidRPr="00F93BD3" w:rsidRDefault="00261F71" w:rsidP="00F93BD3">
    <w:pPr>
      <w:pStyle w:val="Piedepgina"/>
      <w:tabs>
        <w:tab w:val="right" w:pos="9638"/>
      </w:tabs>
      <w:rPr>
        <w:b/>
        <w:sz w:val="18"/>
      </w:rPr>
    </w:pPr>
    <w:r>
      <w:tab/>
    </w:r>
    <w:r w:rsidRPr="00F93BD3">
      <w:rPr>
        <w:b/>
        <w:sz w:val="18"/>
      </w:rPr>
      <w:fldChar w:fldCharType="begin"/>
    </w:r>
    <w:r w:rsidRPr="00F93BD3">
      <w:rPr>
        <w:b/>
        <w:sz w:val="18"/>
      </w:rPr>
      <w:instrText xml:space="preserve"> PAGE  \* MERGEFORMAT </w:instrText>
    </w:r>
    <w:r w:rsidRPr="00F93BD3">
      <w:rPr>
        <w:b/>
        <w:sz w:val="18"/>
      </w:rPr>
      <w:fldChar w:fldCharType="separate"/>
    </w:r>
    <w:r w:rsidR="00417DF7">
      <w:rPr>
        <w:b/>
        <w:noProof/>
        <w:sz w:val="18"/>
      </w:rPr>
      <w:t>7</w:t>
    </w:r>
    <w:r w:rsidRPr="00F93B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00E7" w14:textId="0863FFB4" w:rsidR="00F92852" w:rsidRPr="00F92852" w:rsidRDefault="00F92852" w:rsidP="00F92852">
    <w:pPr>
      <w:pStyle w:val="Piedepgina"/>
      <w:spacing w:before="120" w:line="240" w:lineRule="auto"/>
      <w:rPr>
        <w:sz w:val="20"/>
      </w:rPr>
    </w:pPr>
    <w:proofErr w:type="spellStart"/>
    <w:r>
      <w:rPr>
        <w:sz w:val="20"/>
      </w:rPr>
      <w:t>GE.20</w:t>
    </w:r>
    <w:proofErr w:type="spellEnd"/>
    <w:r>
      <w:rPr>
        <w:sz w:val="20"/>
      </w:rPr>
      <w:t>-</w:t>
    </w:r>
    <w:proofErr w:type="gramStart"/>
    <w:r>
      <w:rPr>
        <w:sz w:val="20"/>
      </w:rPr>
      <w:t>00927  (</w:t>
    </w:r>
    <w:proofErr w:type="gramEnd"/>
    <w:r>
      <w:rPr>
        <w:sz w:val="20"/>
      </w:rPr>
      <w:t>S)</w:t>
    </w:r>
    <w:r>
      <w:rPr>
        <w:sz w:val="20"/>
      </w:rPr>
      <w:br/>
    </w:r>
    <w:r w:rsidRPr="00F92852">
      <w:rPr>
        <w:rFonts w:ascii="C39T30Lfz" w:hAnsi="C39T30Lfz"/>
        <w:sz w:val="56"/>
      </w:rPr>
      <w:t></w:t>
    </w:r>
    <w:r w:rsidRPr="00F92852">
      <w:rPr>
        <w:rFonts w:ascii="C39T30Lfz" w:hAnsi="C39T30Lfz"/>
        <w:sz w:val="56"/>
      </w:rPr>
      <w:t></w:t>
    </w:r>
    <w:r w:rsidRPr="00F92852">
      <w:rPr>
        <w:rFonts w:ascii="C39T30Lfz" w:hAnsi="C39T30Lfz"/>
        <w:sz w:val="56"/>
      </w:rPr>
      <w:t></w:t>
    </w:r>
    <w:r w:rsidRPr="00F92852">
      <w:rPr>
        <w:rFonts w:ascii="C39T30Lfz" w:hAnsi="C39T30Lfz"/>
        <w:sz w:val="56"/>
      </w:rPr>
      <w:t></w:t>
    </w:r>
    <w:r w:rsidRPr="00F92852">
      <w:rPr>
        <w:rFonts w:ascii="C39T30Lfz" w:hAnsi="C39T30Lfz"/>
        <w:sz w:val="56"/>
      </w:rPr>
      <w:t></w:t>
    </w:r>
    <w:r w:rsidRPr="00F92852">
      <w:rPr>
        <w:rFonts w:ascii="C39T30Lfz" w:hAnsi="C39T30Lfz"/>
        <w:sz w:val="56"/>
      </w:rPr>
      <w:t></w:t>
    </w:r>
    <w:r w:rsidRPr="00F92852">
      <w:rPr>
        <w:rFonts w:ascii="C39T30Lfz" w:hAnsi="C39T30Lfz"/>
        <w:sz w:val="56"/>
      </w:rPr>
      <w:t></w:t>
    </w:r>
    <w:r w:rsidRPr="00F92852">
      <w:rPr>
        <w:rFonts w:ascii="C39T30Lfz" w:hAnsi="C39T30Lfz"/>
        <w:sz w:val="56"/>
      </w:rPr>
      <w:t></w:t>
    </w:r>
    <w:r w:rsidRPr="00F92852">
      <w:rPr>
        <w:rFonts w:ascii="C39T30Lfz" w:hAnsi="C39T30Lfz"/>
        <w:sz w:val="56"/>
      </w:rPr>
      <w:t></w:t>
    </w:r>
    <w:r w:rsidRPr="00F92852">
      <w:rPr>
        <w:rFonts w:ascii="C39T30Lfz" w:hAnsi="C39T30Lfz"/>
        <w:noProof/>
        <w:sz w:val="56"/>
        <w:lang w:val="fr-CH" w:eastAsia="zh-CN"/>
      </w:rPr>
      <w:drawing>
        <wp:anchor distT="0" distB="0" distL="114300" distR="114300" simplePos="0" relativeHeight="251660288" behindDoc="0" locked="1" layoutInCell="1" allowOverlap="1" wp14:anchorId="7F55402A" wp14:editId="048B946B">
          <wp:simplePos x="0" y="0"/>
          <wp:positionH relativeFrom="margin">
            <wp:posOffset>4319905</wp:posOffset>
          </wp:positionH>
          <wp:positionV relativeFrom="margin">
            <wp:posOffset>9145270</wp:posOffset>
          </wp:positionV>
          <wp:extent cx="1087200" cy="2304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01FC03B8" wp14:editId="16D51A70">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ERD/C/COL/CO/17-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OL/CO/17-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AAA7F" w14:textId="77777777" w:rsidR="004053AC" w:rsidRPr="001075E9" w:rsidRDefault="004053AC" w:rsidP="001075E9">
      <w:pPr>
        <w:tabs>
          <w:tab w:val="right" w:pos="2155"/>
        </w:tabs>
        <w:spacing w:after="80" w:line="240" w:lineRule="auto"/>
        <w:ind w:left="680"/>
        <w:rPr>
          <w:u w:val="single"/>
        </w:rPr>
      </w:pPr>
      <w:r>
        <w:rPr>
          <w:u w:val="single"/>
        </w:rPr>
        <w:tab/>
      </w:r>
    </w:p>
  </w:footnote>
  <w:footnote w:type="continuationSeparator" w:id="0">
    <w:p w14:paraId="52E66CD0" w14:textId="77777777" w:rsidR="004053AC" w:rsidRDefault="004053AC">
      <w:r>
        <w:continuationSeparator/>
      </w:r>
    </w:p>
  </w:footnote>
  <w:footnote w:id="1">
    <w:p w14:paraId="07E14934" w14:textId="6E34A0BC" w:rsidR="00F138D2" w:rsidRPr="00B12627" w:rsidRDefault="00F138D2" w:rsidP="001D00D0">
      <w:pPr>
        <w:pStyle w:val="Textonotapie"/>
      </w:pPr>
      <w:r w:rsidRPr="001D00D0">
        <w:tab/>
      </w:r>
      <w:r w:rsidRPr="001D00D0">
        <w:rPr>
          <w:rStyle w:val="Refdenotaalpie"/>
          <w:sz w:val="20"/>
          <w:vertAlign w:val="baseline"/>
        </w:rPr>
        <w:t>*</w:t>
      </w:r>
      <w:r w:rsidRPr="001D00D0">
        <w:rPr>
          <w:rStyle w:val="Refdenotaalpie"/>
          <w:vertAlign w:val="baseline"/>
        </w:rPr>
        <w:tab/>
        <w:t xml:space="preserve">Aprobadas por el Comité en su </w:t>
      </w:r>
      <w:r w:rsidRPr="001D00D0">
        <w:t>100°</w:t>
      </w:r>
      <w:r w:rsidRPr="001D00D0">
        <w:rPr>
          <w:rStyle w:val="Refdenotaalpie"/>
          <w:vertAlign w:val="baseline"/>
        </w:rPr>
        <w:t xml:space="preserve"> período de sesiones (</w:t>
      </w:r>
      <w:r w:rsidRPr="001D00D0">
        <w:t xml:space="preserve">25 de noviembre </w:t>
      </w:r>
      <w:r w:rsidR="00965F65" w:rsidRPr="001D00D0">
        <w:t xml:space="preserve">a </w:t>
      </w:r>
      <w:r w:rsidRPr="001D00D0">
        <w:t xml:space="preserve">13 </w:t>
      </w:r>
      <w:r w:rsidR="009E7048" w:rsidRPr="001D00D0">
        <w:t xml:space="preserve">de </w:t>
      </w:r>
      <w:r w:rsidRPr="001D00D0">
        <w:t>diciembre de 2019</w:t>
      </w:r>
      <w:r w:rsidRPr="001D00D0">
        <w:rPr>
          <w:rStyle w:val="Refdenotaalpie"/>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90CB" w14:textId="795715D8" w:rsidR="00261F71" w:rsidRPr="00F93BD3" w:rsidRDefault="00261F71">
    <w:pPr>
      <w:pStyle w:val="Encabezado"/>
      <w:rPr>
        <w:lang w:val="en-GB"/>
      </w:rPr>
    </w:pPr>
    <w:r w:rsidRPr="00F93BD3">
      <w:rPr>
        <w:lang w:val="en-GB"/>
      </w:rPr>
      <w:t>CERD/C/</w:t>
    </w:r>
    <w:r>
      <w:rPr>
        <w:lang w:val="en-GB"/>
      </w:rPr>
      <w:t>COL/CO/17-19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5649" w14:textId="1CEDE9F2" w:rsidR="00261F71" w:rsidRPr="00F93BD3" w:rsidRDefault="00261F71" w:rsidP="00F93BD3">
    <w:pPr>
      <w:pStyle w:val="Encabezado"/>
      <w:jc w:val="right"/>
      <w:rPr>
        <w:lang w:val="en-GB"/>
      </w:rPr>
    </w:pPr>
    <w:r w:rsidRPr="00F93BD3">
      <w:rPr>
        <w:lang w:val="en-GB"/>
      </w:rPr>
      <w:t>CERD/C/</w:t>
    </w:r>
    <w:r>
      <w:rPr>
        <w:lang w:val="en-GB"/>
      </w:rPr>
      <w:t>COL</w:t>
    </w:r>
    <w:r w:rsidRPr="00F93BD3">
      <w:rPr>
        <w:lang w:val="en-GB"/>
      </w:rPr>
      <w:t>/CO/</w:t>
    </w:r>
    <w:r>
      <w:rPr>
        <w:lang w:val="en-GB"/>
      </w:rPr>
      <w:t>17-19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EF86702"/>
    <w:multiLevelType w:val="hybridMultilevel"/>
    <w:tmpl w:val="EBAA739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2D938CB"/>
    <w:multiLevelType w:val="hybridMultilevel"/>
    <w:tmpl w:val="0F962EA8"/>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9CD0239"/>
    <w:multiLevelType w:val="hybridMultilevel"/>
    <w:tmpl w:val="D2DCFEFC"/>
    <w:lvl w:ilvl="0" w:tplc="B42A228E">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72B57EC"/>
    <w:multiLevelType w:val="hybridMultilevel"/>
    <w:tmpl w:val="6D30255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39B7C56"/>
    <w:multiLevelType w:val="hybridMultilevel"/>
    <w:tmpl w:val="93C8CF9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94EA7"/>
    <w:multiLevelType w:val="hybridMultilevel"/>
    <w:tmpl w:val="275EA260"/>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E497BD4"/>
    <w:multiLevelType w:val="hybridMultilevel"/>
    <w:tmpl w:val="8CB473D2"/>
    <w:lvl w:ilvl="0" w:tplc="08090017">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F7B7094"/>
    <w:multiLevelType w:val="hybridMultilevel"/>
    <w:tmpl w:val="46DA653C"/>
    <w:lvl w:ilvl="0" w:tplc="4E6253F8">
      <w:start w:val="1"/>
      <w:numFmt w:val="decimal"/>
      <w:lvlText w:val="%1."/>
      <w:lvlJc w:val="left"/>
      <w:pPr>
        <w:ind w:left="1854" w:hanging="360"/>
      </w:pPr>
      <w:rPr>
        <w:rFonts w:ascii="Times New Roman" w:eastAsiaTheme="minorHAnsi" w:hAnsi="Times New Roman" w:cs="Times New Roman" w:hint="default"/>
      </w:rPr>
    </w:lvl>
    <w:lvl w:ilvl="1" w:tplc="08090017">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9CF2646"/>
    <w:multiLevelType w:val="hybridMultilevel"/>
    <w:tmpl w:val="2618D5B4"/>
    <w:lvl w:ilvl="0" w:tplc="2A26467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D2744"/>
    <w:multiLevelType w:val="hybridMultilevel"/>
    <w:tmpl w:val="28349CFC"/>
    <w:lvl w:ilvl="0" w:tplc="DC38D800">
      <w:start w:val="1"/>
      <w:numFmt w:val="decimal"/>
      <w:lvlText w:val="%1."/>
      <w:lvlJc w:val="left"/>
      <w:pPr>
        <w:ind w:left="1854" w:hanging="360"/>
      </w:pPr>
      <w:rPr>
        <w:rFonts w:ascii="Times New Roman" w:eastAsiaTheme="minorHAnsi" w:hAnsi="Times New Roman" w:cs="Times New Roman" w:hint="default"/>
        <w:b w:val="0"/>
      </w:rPr>
    </w:lvl>
    <w:lvl w:ilvl="1" w:tplc="2A26467A">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1005871"/>
    <w:multiLevelType w:val="hybridMultilevel"/>
    <w:tmpl w:val="B6EE756E"/>
    <w:lvl w:ilvl="0" w:tplc="6CBCDB84">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3961461"/>
    <w:multiLevelType w:val="hybridMultilevel"/>
    <w:tmpl w:val="28349CFC"/>
    <w:lvl w:ilvl="0" w:tplc="DC38D800">
      <w:start w:val="1"/>
      <w:numFmt w:val="decimal"/>
      <w:lvlText w:val="%1."/>
      <w:lvlJc w:val="left"/>
      <w:pPr>
        <w:ind w:left="1854" w:hanging="360"/>
      </w:pPr>
      <w:rPr>
        <w:rFonts w:ascii="Times New Roman" w:eastAsiaTheme="minorHAnsi" w:hAnsi="Times New Roman" w:cs="Times New Roman" w:hint="default"/>
        <w:b w:val="0"/>
      </w:rPr>
    </w:lvl>
    <w:lvl w:ilvl="1" w:tplc="2A26467A">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5"/>
  </w:num>
  <w:num w:numId="3">
    <w:abstractNumId w:val="26"/>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1"/>
  </w:num>
  <w:num w:numId="18">
    <w:abstractNumId w:val="10"/>
  </w:num>
  <w:num w:numId="19">
    <w:abstractNumId w:val="18"/>
  </w:num>
  <w:num w:numId="20">
    <w:abstractNumId w:val="23"/>
  </w:num>
  <w:num w:numId="21">
    <w:abstractNumId w:val="17"/>
  </w:num>
  <w:num w:numId="22">
    <w:abstractNumId w:val="13"/>
  </w:num>
  <w:num w:numId="23">
    <w:abstractNumId w:val="16"/>
  </w:num>
  <w:num w:numId="24">
    <w:abstractNumId w:val="12"/>
  </w:num>
  <w:num w:numId="25">
    <w:abstractNumId w:val="14"/>
  </w:num>
  <w:num w:numId="26">
    <w:abstractNumId w:val="25"/>
  </w:num>
  <w:num w:numId="2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419" w:vendorID="64" w:dllVersion="6" w:nlCheck="1" w:checkStyle="0"/>
  <w:activeWritingStyle w:appName="MSWord" w:lang="es-CO"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GB" w:vendorID="64" w:dllVersion="0" w:nlCheck="1" w:checkStyle="0"/>
  <w:activeWritingStyle w:appName="MSWord" w:lang="es-419" w:vendorID="64" w:dllVersion="0" w:nlCheck="1" w:checkStyle="0"/>
  <w:activeWritingStyle w:appName="MSWord" w:lang="es-MX" w:vendorID="64" w:dllVersion="0" w:nlCheck="1" w:checkStyle="0"/>
  <w:activeWritingStyle w:appName="MSWord" w:lang="es-MX" w:vendorID="64" w:dllVersion="6"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77"/>
    <w:rsid w:val="000038E6"/>
    <w:rsid w:val="00006BB9"/>
    <w:rsid w:val="00006F20"/>
    <w:rsid w:val="00006F3C"/>
    <w:rsid w:val="00007323"/>
    <w:rsid w:val="00007A9B"/>
    <w:rsid w:val="000107A1"/>
    <w:rsid w:val="00011951"/>
    <w:rsid w:val="00011EA3"/>
    <w:rsid w:val="00013DBB"/>
    <w:rsid w:val="00014905"/>
    <w:rsid w:val="00014A94"/>
    <w:rsid w:val="00020E90"/>
    <w:rsid w:val="00020EFA"/>
    <w:rsid w:val="000224C1"/>
    <w:rsid w:val="0002339D"/>
    <w:rsid w:val="00025519"/>
    <w:rsid w:val="000261FA"/>
    <w:rsid w:val="000312E3"/>
    <w:rsid w:val="00036733"/>
    <w:rsid w:val="00043C7C"/>
    <w:rsid w:val="00043DB1"/>
    <w:rsid w:val="00044614"/>
    <w:rsid w:val="000456C2"/>
    <w:rsid w:val="00045C3B"/>
    <w:rsid w:val="00053D8F"/>
    <w:rsid w:val="00056FBF"/>
    <w:rsid w:val="00057A08"/>
    <w:rsid w:val="00060304"/>
    <w:rsid w:val="0006108B"/>
    <w:rsid w:val="00061B07"/>
    <w:rsid w:val="00061CA0"/>
    <w:rsid w:val="00062B37"/>
    <w:rsid w:val="00064007"/>
    <w:rsid w:val="00064D4D"/>
    <w:rsid w:val="0006558B"/>
    <w:rsid w:val="0006739D"/>
    <w:rsid w:val="000752A7"/>
    <w:rsid w:val="00076907"/>
    <w:rsid w:val="00076B3A"/>
    <w:rsid w:val="00080D50"/>
    <w:rsid w:val="0008236F"/>
    <w:rsid w:val="000843F7"/>
    <w:rsid w:val="00091B63"/>
    <w:rsid w:val="00092683"/>
    <w:rsid w:val="000938F9"/>
    <w:rsid w:val="00095F33"/>
    <w:rsid w:val="00096845"/>
    <w:rsid w:val="00096C19"/>
    <w:rsid w:val="000A4916"/>
    <w:rsid w:val="000A4FDC"/>
    <w:rsid w:val="000A6CAC"/>
    <w:rsid w:val="000A79F2"/>
    <w:rsid w:val="000B1603"/>
    <w:rsid w:val="000B25BA"/>
    <w:rsid w:val="000B4FC7"/>
    <w:rsid w:val="000B57E7"/>
    <w:rsid w:val="000B7F86"/>
    <w:rsid w:val="000C2757"/>
    <w:rsid w:val="000C319E"/>
    <w:rsid w:val="000C3AF6"/>
    <w:rsid w:val="000C4930"/>
    <w:rsid w:val="000C5C7E"/>
    <w:rsid w:val="000C6562"/>
    <w:rsid w:val="000C6EDD"/>
    <w:rsid w:val="000C7B10"/>
    <w:rsid w:val="000D16C8"/>
    <w:rsid w:val="000D1DC2"/>
    <w:rsid w:val="000D3A5B"/>
    <w:rsid w:val="000D498D"/>
    <w:rsid w:val="000D56D2"/>
    <w:rsid w:val="000D6912"/>
    <w:rsid w:val="000E2B8C"/>
    <w:rsid w:val="000E60CD"/>
    <w:rsid w:val="000E66B7"/>
    <w:rsid w:val="000E7491"/>
    <w:rsid w:val="000E76E5"/>
    <w:rsid w:val="000F09DF"/>
    <w:rsid w:val="000F0CFD"/>
    <w:rsid w:val="000F1366"/>
    <w:rsid w:val="000F2E68"/>
    <w:rsid w:val="000F61B2"/>
    <w:rsid w:val="000F6B30"/>
    <w:rsid w:val="000F6D13"/>
    <w:rsid w:val="0010120F"/>
    <w:rsid w:val="001014B5"/>
    <w:rsid w:val="00101C0D"/>
    <w:rsid w:val="001021B8"/>
    <w:rsid w:val="001035A4"/>
    <w:rsid w:val="001037B6"/>
    <w:rsid w:val="00103A93"/>
    <w:rsid w:val="00107064"/>
    <w:rsid w:val="001075E9"/>
    <w:rsid w:val="001126D1"/>
    <w:rsid w:val="00112C8C"/>
    <w:rsid w:val="00115CD0"/>
    <w:rsid w:val="00121F94"/>
    <w:rsid w:val="00122EFD"/>
    <w:rsid w:val="0013176F"/>
    <w:rsid w:val="00132913"/>
    <w:rsid w:val="001331FD"/>
    <w:rsid w:val="00133B3C"/>
    <w:rsid w:val="00135FBC"/>
    <w:rsid w:val="00136C0D"/>
    <w:rsid w:val="00136E91"/>
    <w:rsid w:val="0013756C"/>
    <w:rsid w:val="00137C0A"/>
    <w:rsid w:val="00142704"/>
    <w:rsid w:val="00145107"/>
    <w:rsid w:val="00145F2F"/>
    <w:rsid w:val="0015045A"/>
    <w:rsid w:val="00152FA7"/>
    <w:rsid w:val="00153217"/>
    <w:rsid w:val="00157490"/>
    <w:rsid w:val="00160FF7"/>
    <w:rsid w:val="0016116E"/>
    <w:rsid w:val="00163211"/>
    <w:rsid w:val="00165E82"/>
    <w:rsid w:val="001716B3"/>
    <w:rsid w:val="001750E1"/>
    <w:rsid w:val="0017628F"/>
    <w:rsid w:val="00180183"/>
    <w:rsid w:val="0018075B"/>
    <w:rsid w:val="00181A26"/>
    <w:rsid w:val="00182BA0"/>
    <w:rsid w:val="001856C0"/>
    <w:rsid w:val="00186374"/>
    <w:rsid w:val="0018655A"/>
    <w:rsid w:val="00187C44"/>
    <w:rsid w:val="0019196A"/>
    <w:rsid w:val="00191B80"/>
    <w:rsid w:val="00195153"/>
    <w:rsid w:val="00195FD7"/>
    <w:rsid w:val="00196389"/>
    <w:rsid w:val="001A10AF"/>
    <w:rsid w:val="001A4318"/>
    <w:rsid w:val="001B0747"/>
    <w:rsid w:val="001B17C8"/>
    <w:rsid w:val="001B432E"/>
    <w:rsid w:val="001B5006"/>
    <w:rsid w:val="001B5744"/>
    <w:rsid w:val="001B5905"/>
    <w:rsid w:val="001B6256"/>
    <w:rsid w:val="001C0643"/>
    <w:rsid w:val="001C11C8"/>
    <w:rsid w:val="001C166B"/>
    <w:rsid w:val="001C1BC0"/>
    <w:rsid w:val="001C24DF"/>
    <w:rsid w:val="001C2BCC"/>
    <w:rsid w:val="001C520C"/>
    <w:rsid w:val="001C69E8"/>
    <w:rsid w:val="001C6D88"/>
    <w:rsid w:val="001C735C"/>
    <w:rsid w:val="001C7702"/>
    <w:rsid w:val="001C7A89"/>
    <w:rsid w:val="001D00D0"/>
    <w:rsid w:val="001D0B48"/>
    <w:rsid w:val="001D1256"/>
    <w:rsid w:val="001D37C5"/>
    <w:rsid w:val="001D409A"/>
    <w:rsid w:val="001D4BFD"/>
    <w:rsid w:val="001D68DD"/>
    <w:rsid w:val="001E1EB7"/>
    <w:rsid w:val="001E314F"/>
    <w:rsid w:val="001E40FD"/>
    <w:rsid w:val="001E42C5"/>
    <w:rsid w:val="001E7CD9"/>
    <w:rsid w:val="001F0E4F"/>
    <w:rsid w:val="001F1033"/>
    <w:rsid w:val="001F1F72"/>
    <w:rsid w:val="001F2DC6"/>
    <w:rsid w:val="001F317D"/>
    <w:rsid w:val="001F7BF9"/>
    <w:rsid w:val="002006D2"/>
    <w:rsid w:val="00200A11"/>
    <w:rsid w:val="002015AB"/>
    <w:rsid w:val="00201F1A"/>
    <w:rsid w:val="00206BFB"/>
    <w:rsid w:val="00207A77"/>
    <w:rsid w:val="00212021"/>
    <w:rsid w:val="0021217C"/>
    <w:rsid w:val="002148DA"/>
    <w:rsid w:val="002174E8"/>
    <w:rsid w:val="00221E3C"/>
    <w:rsid w:val="00222D3A"/>
    <w:rsid w:val="00222E45"/>
    <w:rsid w:val="00223E5B"/>
    <w:rsid w:val="002254BA"/>
    <w:rsid w:val="0022552E"/>
    <w:rsid w:val="00225FCA"/>
    <w:rsid w:val="002268FA"/>
    <w:rsid w:val="002270C8"/>
    <w:rsid w:val="00227A30"/>
    <w:rsid w:val="002302D1"/>
    <w:rsid w:val="002319C7"/>
    <w:rsid w:val="0023300C"/>
    <w:rsid w:val="00233C63"/>
    <w:rsid w:val="00234C15"/>
    <w:rsid w:val="00236B63"/>
    <w:rsid w:val="00236F07"/>
    <w:rsid w:val="00237AF2"/>
    <w:rsid w:val="00240308"/>
    <w:rsid w:val="002433EC"/>
    <w:rsid w:val="002444A8"/>
    <w:rsid w:val="002500E8"/>
    <w:rsid w:val="0025226E"/>
    <w:rsid w:val="00261223"/>
    <w:rsid w:val="00261E4F"/>
    <w:rsid w:val="00261F71"/>
    <w:rsid w:val="00264BCC"/>
    <w:rsid w:val="00266CAF"/>
    <w:rsid w:val="00270432"/>
    <w:rsid w:val="00270AE5"/>
    <w:rsid w:val="00271D5B"/>
    <w:rsid w:val="00271FE9"/>
    <w:rsid w:val="00274AFA"/>
    <w:rsid w:val="0028194C"/>
    <w:rsid w:val="00282998"/>
    <w:rsid w:val="00283046"/>
    <w:rsid w:val="0028329F"/>
    <w:rsid w:val="0028796D"/>
    <w:rsid w:val="0029095C"/>
    <w:rsid w:val="00290D3E"/>
    <w:rsid w:val="002914EA"/>
    <w:rsid w:val="00292961"/>
    <w:rsid w:val="002942CC"/>
    <w:rsid w:val="00294586"/>
    <w:rsid w:val="0029496F"/>
    <w:rsid w:val="002957B9"/>
    <w:rsid w:val="002962E5"/>
    <w:rsid w:val="00297356"/>
    <w:rsid w:val="002A0F8C"/>
    <w:rsid w:val="002A1654"/>
    <w:rsid w:val="002A1936"/>
    <w:rsid w:val="002A1E86"/>
    <w:rsid w:val="002A28AD"/>
    <w:rsid w:val="002A2EFC"/>
    <w:rsid w:val="002A5C32"/>
    <w:rsid w:val="002A7838"/>
    <w:rsid w:val="002B1550"/>
    <w:rsid w:val="002B1995"/>
    <w:rsid w:val="002B1E38"/>
    <w:rsid w:val="002B2392"/>
    <w:rsid w:val="002B29E2"/>
    <w:rsid w:val="002B2A66"/>
    <w:rsid w:val="002B527F"/>
    <w:rsid w:val="002B65E7"/>
    <w:rsid w:val="002C0E18"/>
    <w:rsid w:val="002C2675"/>
    <w:rsid w:val="002C2B50"/>
    <w:rsid w:val="002C313F"/>
    <w:rsid w:val="002C33BB"/>
    <w:rsid w:val="002C4A87"/>
    <w:rsid w:val="002C57F1"/>
    <w:rsid w:val="002C7439"/>
    <w:rsid w:val="002D0778"/>
    <w:rsid w:val="002D0F06"/>
    <w:rsid w:val="002D3809"/>
    <w:rsid w:val="002D4BB9"/>
    <w:rsid w:val="002D5AAC"/>
    <w:rsid w:val="002D5BA6"/>
    <w:rsid w:val="002D6414"/>
    <w:rsid w:val="002D6DFF"/>
    <w:rsid w:val="002E050E"/>
    <w:rsid w:val="002E3F9E"/>
    <w:rsid w:val="002E6471"/>
    <w:rsid w:val="002E65D9"/>
    <w:rsid w:val="002E71B4"/>
    <w:rsid w:val="002F0440"/>
    <w:rsid w:val="002F1DBD"/>
    <w:rsid w:val="002F30D3"/>
    <w:rsid w:val="002F396E"/>
    <w:rsid w:val="002F39D0"/>
    <w:rsid w:val="002F3B4D"/>
    <w:rsid w:val="002F52EF"/>
    <w:rsid w:val="002F6764"/>
    <w:rsid w:val="00300C89"/>
    <w:rsid w:val="00301299"/>
    <w:rsid w:val="00301722"/>
    <w:rsid w:val="00305F44"/>
    <w:rsid w:val="00306A45"/>
    <w:rsid w:val="00306A63"/>
    <w:rsid w:val="00311E10"/>
    <w:rsid w:val="003126AB"/>
    <w:rsid w:val="00313063"/>
    <w:rsid w:val="003132C8"/>
    <w:rsid w:val="00313E2C"/>
    <w:rsid w:val="00316200"/>
    <w:rsid w:val="00320003"/>
    <w:rsid w:val="00321BD8"/>
    <w:rsid w:val="00322004"/>
    <w:rsid w:val="003226EA"/>
    <w:rsid w:val="00322AE2"/>
    <w:rsid w:val="00323AE3"/>
    <w:rsid w:val="00325AE7"/>
    <w:rsid w:val="0033099B"/>
    <w:rsid w:val="00330D1B"/>
    <w:rsid w:val="00330D1F"/>
    <w:rsid w:val="003337DE"/>
    <w:rsid w:val="00334577"/>
    <w:rsid w:val="00336908"/>
    <w:rsid w:val="003374C9"/>
    <w:rsid w:val="003402C2"/>
    <w:rsid w:val="003407AC"/>
    <w:rsid w:val="00340C7B"/>
    <w:rsid w:val="00341398"/>
    <w:rsid w:val="00341632"/>
    <w:rsid w:val="003448C6"/>
    <w:rsid w:val="003461A9"/>
    <w:rsid w:val="00347663"/>
    <w:rsid w:val="00350762"/>
    <w:rsid w:val="00351489"/>
    <w:rsid w:val="00354087"/>
    <w:rsid w:val="003608D9"/>
    <w:rsid w:val="00361FA8"/>
    <w:rsid w:val="003643F4"/>
    <w:rsid w:val="00364BFD"/>
    <w:rsid w:val="00366991"/>
    <w:rsid w:val="0037002E"/>
    <w:rsid w:val="003715B6"/>
    <w:rsid w:val="00371B72"/>
    <w:rsid w:val="00374361"/>
    <w:rsid w:val="00374367"/>
    <w:rsid w:val="00375CA8"/>
    <w:rsid w:val="00375D7F"/>
    <w:rsid w:val="00375F16"/>
    <w:rsid w:val="00381C24"/>
    <w:rsid w:val="00382299"/>
    <w:rsid w:val="00383AED"/>
    <w:rsid w:val="0038473D"/>
    <w:rsid w:val="00384DFC"/>
    <w:rsid w:val="0038568D"/>
    <w:rsid w:val="003870F6"/>
    <w:rsid w:val="003879EC"/>
    <w:rsid w:val="00390F70"/>
    <w:rsid w:val="003923B5"/>
    <w:rsid w:val="00392A9B"/>
    <w:rsid w:val="00392C15"/>
    <w:rsid w:val="003950E1"/>
    <w:rsid w:val="003958D0"/>
    <w:rsid w:val="003A31F7"/>
    <w:rsid w:val="003A3E85"/>
    <w:rsid w:val="003A6A62"/>
    <w:rsid w:val="003A7B17"/>
    <w:rsid w:val="003B0143"/>
    <w:rsid w:val="003B0A42"/>
    <w:rsid w:val="003B2478"/>
    <w:rsid w:val="003B3BBB"/>
    <w:rsid w:val="003B48FE"/>
    <w:rsid w:val="003B4C12"/>
    <w:rsid w:val="003B592A"/>
    <w:rsid w:val="003B5FDB"/>
    <w:rsid w:val="003B614D"/>
    <w:rsid w:val="003B6500"/>
    <w:rsid w:val="003B7CFD"/>
    <w:rsid w:val="003C47D5"/>
    <w:rsid w:val="003C5277"/>
    <w:rsid w:val="003C7164"/>
    <w:rsid w:val="003C7399"/>
    <w:rsid w:val="003D024E"/>
    <w:rsid w:val="003D1395"/>
    <w:rsid w:val="003D349B"/>
    <w:rsid w:val="003D3726"/>
    <w:rsid w:val="003D4344"/>
    <w:rsid w:val="003D4FE1"/>
    <w:rsid w:val="003D618A"/>
    <w:rsid w:val="003D6E78"/>
    <w:rsid w:val="003D7F91"/>
    <w:rsid w:val="003E1D61"/>
    <w:rsid w:val="003E20CA"/>
    <w:rsid w:val="003E32E6"/>
    <w:rsid w:val="003E363D"/>
    <w:rsid w:val="003E3E75"/>
    <w:rsid w:val="003E53CD"/>
    <w:rsid w:val="003E5EEE"/>
    <w:rsid w:val="003F1504"/>
    <w:rsid w:val="003F2B58"/>
    <w:rsid w:val="003F39BB"/>
    <w:rsid w:val="003F6F5A"/>
    <w:rsid w:val="00402567"/>
    <w:rsid w:val="004031F0"/>
    <w:rsid w:val="00403799"/>
    <w:rsid w:val="004043F0"/>
    <w:rsid w:val="00404A5A"/>
    <w:rsid w:val="004053AC"/>
    <w:rsid w:val="00406FD9"/>
    <w:rsid w:val="00411DB6"/>
    <w:rsid w:val="004129F8"/>
    <w:rsid w:val="00415CF8"/>
    <w:rsid w:val="0041630D"/>
    <w:rsid w:val="00417396"/>
    <w:rsid w:val="00417DF7"/>
    <w:rsid w:val="004218C0"/>
    <w:rsid w:val="00422359"/>
    <w:rsid w:val="00422E63"/>
    <w:rsid w:val="00425495"/>
    <w:rsid w:val="00425ADA"/>
    <w:rsid w:val="004274B1"/>
    <w:rsid w:val="004301AF"/>
    <w:rsid w:val="00431317"/>
    <w:rsid w:val="004318F9"/>
    <w:rsid w:val="00432253"/>
    <w:rsid w:val="004336C7"/>
    <w:rsid w:val="0043441D"/>
    <w:rsid w:val="00435080"/>
    <w:rsid w:val="0043518A"/>
    <w:rsid w:val="00440CD9"/>
    <w:rsid w:val="00441CD9"/>
    <w:rsid w:val="00442566"/>
    <w:rsid w:val="00442EB2"/>
    <w:rsid w:val="00445B7E"/>
    <w:rsid w:val="004506C8"/>
    <w:rsid w:val="004529F9"/>
    <w:rsid w:val="00453B56"/>
    <w:rsid w:val="00454C56"/>
    <w:rsid w:val="00454E07"/>
    <w:rsid w:val="004656D0"/>
    <w:rsid w:val="004667D5"/>
    <w:rsid w:val="00467ABA"/>
    <w:rsid w:val="0047000D"/>
    <w:rsid w:val="00471CB3"/>
    <w:rsid w:val="00474F1C"/>
    <w:rsid w:val="004842B2"/>
    <w:rsid w:val="00484C49"/>
    <w:rsid w:val="00485A46"/>
    <w:rsid w:val="0048708A"/>
    <w:rsid w:val="00493B2A"/>
    <w:rsid w:val="00494115"/>
    <w:rsid w:val="00495528"/>
    <w:rsid w:val="00495B41"/>
    <w:rsid w:val="0049638D"/>
    <w:rsid w:val="004A114B"/>
    <w:rsid w:val="004A278D"/>
    <w:rsid w:val="004A6430"/>
    <w:rsid w:val="004B20AE"/>
    <w:rsid w:val="004B5790"/>
    <w:rsid w:val="004B75A7"/>
    <w:rsid w:val="004C04B8"/>
    <w:rsid w:val="004C0883"/>
    <w:rsid w:val="004C2325"/>
    <w:rsid w:val="004C3376"/>
    <w:rsid w:val="004C3C93"/>
    <w:rsid w:val="004C5470"/>
    <w:rsid w:val="004C5842"/>
    <w:rsid w:val="004C613F"/>
    <w:rsid w:val="004D03BD"/>
    <w:rsid w:val="004D0B82"/>
    <w:rsid w:val="004D1411"/>
    <w:rsid w:val="004D21B4"/>
    <w:rsid w:val="004D2C6C"/>
    <w:rsid w:val="004D62D0"/>
    <w:rsid w:val="004D653D"/>
    <w:rsid w:val="004D6581"/>
    <w:rsid w:val="004D6902"/>
    <w:rsid w:val="004D6C01"/>
    <w:rsid w:val="004D7F95"/>
    <w:rsid w:val="004E0A45"/>
    <w:rsid w:val="004E1B72"/>
    <w:rsid w:val="004E2B41"/>
    <w:rsid w:val="004E2CA7"/>
    <w:rsid w:val="004E3BC1"/>
    <w:rsid w:val="004E3CAC"/>
    <w:rsid w:val="004E5889"/>
    <w:rsid w:val="004E6EFD"/>
    <w:rsid w:val="004F1347"/>
    <w:rsid w:val="004F218A"/>
    <w:rsid w:val="004F2358"/>
    <w:rsid w:val="004F4C04"/>
    <w:rsid w:val="004F64E5"/>
    <w:rsid w:val="004F69A1"/>
    <w:rsid w:val="0050033C"/>
    <w:rsid w:val="0050108D"/>
    <w:rsid w:val="0050180A"/>
    <w:rsid w:val="0050379C"/>
    <w:rsid w:val="00506552"/>
    <w:rsid w:val="00510929"/>
    <w:rsid w:val="005119E5"/>
    <w:rsid w:val="005121C1"/>
    <w:rsid w:val="00512FA5"/>
    <w:rsid w:val="00513A9D"/>
    <w:rsid w:val="00514AC8"/>
    <w:rsid w:val="00514F6D"/>
    <w:rsid w:val="0051726E"/>
    <w:rsid w:val="0051740C"/>
    <w:rsid w:val="00520EFC"/>
    <w:rsid w:val="005222A6"/>
    <w:rsid w:val="00523967"/>
    <w:rsid w:val="00524EE0"/>
    <w:rsid w:val="00526589"/>
    <w:rsid w:val="005266C4"/>
    <w:rsid w:val="00526A48"/>
    <w:rsid w:val="00526FA5"/>
    <w:rsid w:val="00530150"/>
    <w:rsid w:val="00530A35"/>
    <w:rsid w:val="00531E15"/>
    <w:rsid w:val="0053296A"/>
    <w:rsid w:val="005330E8"/>
    <w:rsid w:val="00533AC7"/>
    <w:rsid w:val="00537A02"/>
    <w:rsid w:val="00537E8C"/>
    <w:rsid w:val="005400EF"/>
    <w:rsid w:val="005403E8"/>
    <w:rsid w:val="005404CC"/>
    <w:rsid w:val="00540720"/>
    <w:rsid w:val="005419A1"/>
    <w:rsid w:val="005433B6"/>
    <w:rsid w:val="005433C7"/>
    <w:rsid w:val="00544AEE"/>
    <w:rsid w:val="00545CD7"/>
    <w:rsid w:val="00545FB1"/>
    <w:rsid w:val="00550199"/>
    <w:rsid w:val="00551052"/>
    <w:rsid w:val="005544C0"/>
    <w:rsid w:val="00556F18"/>
    <w:rsid w:val="00557D5A"/>
    <w:rsid w:val="005604B2"/>
    <w:rsid w:val="00560B1E"/>
    <w:rsid w:val="00561105"/>
    <w:rsid w:val="00561988"/>
    <w:rsid w:val="00563F22"/>
    <w:rsid w:val="0056426A"/>
    <w:rsid w:val="00564356"/>
    <w:rsid w:val="005657B3"/>
    <w:rsid w:val="005708AE"/>
    <w:rsid w:val="00572C45"/>
    <w:rsid w:val="00572E19"/>
    <w:rsid w:val="005753D2"/>
    <w:rsid w:val="005762DC"/>
    <w:rsid w:val="00576F4F"/>
    <w:rsid w:val="005820CA"/>
    <w:rsid w:val="0058284F"/>
    <w:rsid w:val="00584998"/>
    <w:rsid w:val="00585275"/>
    <w:rsid w:val="00591789"/>
    <w:rsid w:val="00592C47"/>
    <w:rsid w:val="0059653F"/>
    <w:rsid w:val="005972DD"/>
    <w:rsid w:val="005A01FB"/>
    <w:rsid w:val="005A0A1A"/>
    <w:rsid w:val="005A3B13"/>
    <w:rsid w:val="005A3EAD"/>
    <w:rsid w:val="005A6699"/>
    <w:rsid w:val="005B1075"/>
    <w:rsid w:val="005B5D88"/>
    <w:rsid w:val="005B601E"/>
    <w:rsid w:val="005B6113"/>
    <w:rsid w:val="005C03B7"/>
    <w:rsid w:val="005C046A"/>
    <w:rsid w:val="005C067F"/>
    <w:rsid w:val="005C5102"/>
    <w:rsid w:val="005C5673"/>
    <w:rsid w:val="005C7369"/>
    <w:rsid w:val="005C7437"/>
    <w:rsid w:val="005C7C02"/>
    <w:rsid w:val="005D359F"/>
    <w:rsid w:val="005D5DCE"/>
    <w:rsid w:val="005D5DFD"/>
    <w:rsid w:val="005D5DFF"/>
    <w:rsid w:val="005E5F02"/>
    <w:rsid w:val="005E63EC"/>
    <w:rsid w:val="005E74AD"/>
    <w:rsid w:val="005F0B42"/>
    <w:rsid w:val="005F1685"/>
    <w:rsid w:val="005F3069"/>
    <w:rsid w:val="005F44BB"/>
    <w:rsid w:val="005F4791"/>
    <w:rsid w:val="005F49F9"/>
    <w:rsid w:val="005F50E0"/>
    <w:rsid w:val="005F68F3"/>
    <w:rsid w:val="005F7398"/>
    <w:rsid w:val="00602635"/>
    <w:rsid w:val="00604F32"/>
    <w:rsid w:val="00605BD5"/>
    <w:rsid w:val="00605BD6"/>
    <w:rsid w:val="00606019"/>
    <w:rsid w:val="00606A1F"/>
    <w:rsid w:val="00606AEC"/>
    <w:rsid w:val="00607B86"/>
    <w:rsid w:val="006101E0"/>
    <w:rsid w:val="00611508"/>
    <w:rsid w:val="00611AB7"/>
    <w:rsid w:val="0061204D"/>
    <w:rsid w:val="00613BD2"/>
    <w:rsid w:val="00613D28"/>
    <w:rsid w:val="006153E6"/>
    <w:rsid w:val="00620D63"/>
    <w:rsid w:val="00622A5A"/>
    <w:rsid w:val="0062330C"/>
    <w:rsid w:val="00624ED1"/>
    <w:rsid w:val="00627E91"/>
    <w:rsid w:val="00631AF7"/>
    <w:rsid w:val="00634841"/>
    <w:rsid w:val="00636E65"/>
    <w:rsid w:val="0064259D"/>
    <w:rsid w:val="006440BD"/>
    <w:rsid w:val="006454D5"/>
    <w:rsid w:val="006454EB"/>
    <w:rsid w:val="0064643F"/>
    <w:rsid w:val="00646FA5"/>
    <w:rsid w:val="006475C7"/>
    <w:rsid w:val="00647C88"/>
    <w:rsid w:val="006506F9"/>
    <w:rsid w:val="00650F3B"/>
    <w:rsid w:val="006524A5"/>
    <w:rsid w:val="006535E6"/>
    <w:rsid w:val="00653775"/>
    <w:rsid w:val="00654FB6"/>
    <w:rsid w:val="00655A21"/>
    <w:rsid w:val="006560C8"/>
    <w:rsid w:val="00656A50"/>
    <w:rsid w:val="00661308"/>
    <w:rsid w:val="00661776"/>
    <w:rsid w:val="00665836"/>
    <w:rsid w:val="0066664C"/>
    <w:rsid w:val="006676AD"/>
    <w:rsid w:val="00670B10"/>
    <w:rsid w:val="00671CF4"/>
    <w:rsid w:val="006725B3"/>
    <w:rsid w:val="00673B39"/>
    <w:rsid w:val="006750C4"/>
    <w:rsid w:val="006808A9"/>
    <w:rsid w:val="006808CF"/>
    <w:rsid w:val="00681AA7"/>
    <w:rsid w:val="00684605"/>
    <w:rsid w:val="00684991"/>
    <w:rsid w:val="0068645D"/>
    <w:rsid w:val="00686634"/>
    <w:rsid w:val="00686CC8"/>
    <w:rsid w:val="00686F27"/>
    <w:rsid w:val="00687993"/>
    <w:rsid w:val="00691210"/>
    <w:rsid w:val="00691790"/>
    <w:rsid w:val="00691C16"/>
    <w:rsid w:val="00693017"/>
    <w:rsid w:val="00693E7F"/>
    <w:rsid w:val="00694ED8"/>
    <w:rsid w:val="00697068"/>
    <w:rsid w:val="0069748E"/>
    <w:rsid w:val="006A1B7C"/>
    <w:rsid w:val="006A2FC0"/>
    <w:rsid w:val="006A6AAA"/>
    <w:rsid w:val="006A77AE"/>
    <w:rsid w:val="006A77E9"/>
    <w:rsid w:val="006A7B40"/>
    <w:rsid w:val="006B129C"/>
    <w:rsid w:val="006B2413"/>
    <w:rsid w:val="006B25FE"/>
    <w:rsid w:val="006B4FD6"/>
    <w:rsid w:val="006B501B"/>
    <w:rsid w:val="006B577B"/>
    <w:rsid w:val="006B65F4"/>
    <w:rsid w:val="006B7DFF"/>
    <w:rsid w:val="006C069C"/>
    <w:rsid w:val="006C32F7"/>
    <w:rsid w:val="006C39AA"/>
    <w:rsid w:val="006C4628"/>
    <w:rsid w:val="006C588E"/>
    <w:rsid w:val="006C6C5A"/>
    <w:rsid w:val="006D1AB6"/>
    <w:rsid w:val="006D236A"/>
    <w:rsid w:val="006D4EA8"/>
    <w:rsid w:val="006D5162"/>
    <w:rsid w:val="006D531C"/>
    <w:rsid w:val="006D631C"/>
    <w:rsid w:val="006D7650"/>
    <w:rsid w:val="006D7DA5"/>
    <w:rsid w:val="006E1D2A"/>
    <w:rsid w:val="006E24E5"/>
    <w:rsid w:val="006E33E8"/>
    <w:rsid w:val="006E4BF1"/>
    <w:rsid w:val="006F0E6B"/>
    <w:rsid w:val="006F1455"/>
    <w:rsid w:val="006F2452"/>
    <w:rsid w:val="006F35EE"/>
    <w:rsid w:val="006F75E8"/>
    <w:rsid w:val="00700CFC"/>
    <w:rsid w:val="00700E14"/>
    <w:rsid w:val="00701226"/>
    <w:rsid w:val="007021FF"/>
    <w:rsid w:val="007026F6"/>
    <w:rsid w:val="0070355F"/>
    <w:rsid w:val="00703ED1"/>
    <w:rsid w:val="00705B54"/>
    <w:rsid w:val="00706591"/>
    <w:rsid w:val="007074B1"/>
    <w:rsid w:val="007076CB"/>
    <w:rsid w:val="0071153F"/>
    <w:rsid w:val="00712D2F"/>
    <w:rsid w:val="00712E44"/>
    <w:rsid w:val="007142AF"/>
    <w:rsid w:val="007203CA"/>
    <w:rsid w:val="007229CA"/>
    <w:rsid w:val="007237A5"/>
    <w:rsid w:val="00723D3F"/>
    <w:rsid w:val="00727B27"/>
    <w:rsid w:val="00730EA0"/>
    <w:rsid w:val="007326DD"/>
    <w:rsid w:val="00735A51"/>
    <w:rsid w:val="007377E7"/>
    <w:rsid w:val="00742660"/>
    <w:rsid w:val="007432EC"/>
    <w:rsid w:val="007450AD"/>
    <w:rsid w:val="00745D1D"/>
    <w:rsid w:val="00745D7A"/>
    <w:rsid w:val="007465B0"/>
    <w:rsid w:val="00747C60"/>
    <w:rsid w:val="00747E45"/>
    <w:rsid w:val="00750874"/>
    <w:rsid w:val="00750B40"/>
    <w:rsid w:val="0075368F"/>
    <w:rsid w:val="00755343"/>
    <w:rsid w:val="00757FAA"/>
    <w:rsid w:val="00763993"/>
    <w:rsid w:val="007646DC"/>
    <w:rsid w:val="00764C0F"/>
    <w:rsid w:val="007667BE"/>
    <w:rsid w:val="00766C4C"/>
    <w:rsid w:val="007730FA"/>
    <w:rsid w:val="00773F0C"/>
    <w:rsid w:val="00774190"/>
    <w:rsid w:val="00775739"/>
    <w:rsid w:val="007760A8"/>
    <w:rsid w:val="00776931"/>
    <w:rsid w:val="007773AC"/>
    <w:rsid w:val="007814BB"/>
    <w:rsid w:val="007819EF"/>
    <w:rsid w:val="00782435"/>
    <w:rsid w:val="00782C01"/>
    <w:rsid w:val="00783F72"/>
    <w:rsid w:val="00784FDE"/>
    <w:rsid w:val="00787605"/>
    <w:rsid w:val="00787AC2"/>
    <w:rsid w:val="007901E1"/>
    <w:rsid w:val="007905A3"/>
    <w:rsid w:val="00790DF6"/>
    <w:rsid w:val="007921BF"/>
    <w:rsid w:val="00792AA6"/>
    <w:rsid w:val="0079384C"/>
    <w:rsid w:val="0079394D"/>
    <w:rsid w:val="00793B81"/>
    <w:rsid w:val="00793DC6"/>
    <w:rsid w:val="00795AE0"/>
    <w:rsid w:val="007963F4"/>
    <w:rsid w:val="007967DF"/>
    <w:rsid w:val="007A1A2F"/>
    <w:rsid w:val="007A2673"/>
    <w:rsid w:val="007A2CBF"/>
    <w:rsid w:val="007A3057"/>
    <w:rsid w:val="007A3B5E"/>
    <w:rsid w:val="007A5A44"/>
    <w:rsid w:val="007A6066"/>
    <w:rsid w:val="007A65F4"/>
    <w:rsid w:val="007B2D52"/>
    <w:rsid w:val="007B612E"/>
    <w:rsid w:val="007C0673"/>
    <w:rsid w:val="007C1BC8"/>
    <w:rsid w:val="007C1DBB"/>
    <w:rsid w:val="007C4BFD"/>
    <w:rsid w:val="007C50AF"/>
    <w:rsid w:val="007C52D7"/>
    <w:rsid w:val="007C5D07"/>
    <w:rsid w:val="007C77BA"/>
    <w:rsid w:val="007C7DE2"/>
    <w:rsid w:val="007D1509"/>
    <w:rsid w:val="007D264E"/>
    <w:rsid w:val="007D2BB3"/>
    <w:rsid w:val="007D6243"/>
    <w:rsid w:val="007D6B7A"/>
    <w:rsid w:val="007E2E1C"/>
    <w:rsid w:val="007E60EB"/>
    <w:rsid w:val="007E6E9A"/>
    <w:rsid w:val="007F17EF"/>
    <w:rsid w:val="007F2097"/>
    <w:rsid w:val="007F2340"/>
    <w:rsid w:val="007F37A9"/>
    <w:rsid w:val="007F4288"/>
    <w:rsid w:val="007F4492"/>
    <w:rsid w:val="007F480D"/>
    <w:rsid w:val="007F6400"/>
    <w:rsid w:val="00802587"/>
    <w:rsid w:val="008029A7"/>
    <w:rsid w:val="00802BE0"/>
    <w:rsid w:val="008037CF"/>
    <w:rsid w:val="0080721A"/>
    <w:rsid w:val="00807B44"/>
    <w:rsid w:val="00810090"/>
    <w:rsid w:val="008110F8"/>
    <w:rsid w:val="008114D2"/>
    <w:rsid w:val="0081156A"/>
    <w:rsid w:val="008117EE"/>
    <w:rsid w:val="00812407"/>
    <w:rsid w:val="00812809"/>
    <w:rsid w:val="00812ED8"/>
    <w:rsid w:val="008153A5"/>
    <w:rsid w:val="00816590"/>
    <w:rsid w:val="0081698A"/>
    <w:rsid w:val="00817B83"/>
    <w:rsid w:val="00821280"/>
    <w:rsid w:val="008228EE"/>
    <w:rsid w:val="00822F2B"/>
    <w:rsid w:val="008244C7"/>
    <w:rsid w:val="00827900"/>
    <w:rsid w:val="0082791C"/>
    <w:rsid w:val="00831C09"/>
    <w:rsid w:val="008326D5"/>
    <w:rsid w:val="008330F3"/>
    <w:rsid w:val="0083417F"/>
    <w:rsid w:val="00834B71"/>
    <w:rsid w:val="00835428"/>
    <w:rsid w:val="00835479"/>
    <w:rsid w:val="0083559A"/>
    <w:rsid w:val="00837B10"/>
    <w:rsid w:val="00840506"/>
    <w:rsid w:val="00840D7A"/>
    <w:rsid w:val="008416F7"/>
    <w:rsid w:val="00841D3C"/>
    <w:rsid w:val="00843B80"/>
    <w:rsid w:val="00844B2D"/>
    <w:rsid w:val="008500C5"/>
    <w:rsid w:val="008513BC"/>
    <w:rsid w:val="00853D69"/>
    <w:rsid w:val="00854E3A"/>
    <w:rsid w:val="00855E77"/>
    <w:rsid w:val="008606FD"/>
    <w:rsid w:val="00862BBC"/>
    <w:rsid w:val="0086445C"/>
    <w:rsid w:val="00864E1C"/>
    <w:rsid w:val="00865FAC"/>
    <w:rsid w:val="00866B89"/>
    <w:rsid w:val="00867815"/>
    <w:rsid w:val="008703FC"/>
    <w:rsid w:val="0087122A"/>
    <w:rsid w:val="0087135B"/>
    <w:rsid w:val="00871E3A"/>
    <w:rsid w:val="008728CD"/>
    <w:rsid w:val="00874203"/>
    <w:rsid w:val="00875419"/>
    <w:rsid w:val="00876334"/>
    <w:rsid w:val="00876A5C"/>
    <w:rsid w:val="00881997"/>
    <w:rsid w:val="00881DB2"/>
    <w:rsid w:val="00883ED3"/>
    <w:rsid w:val="00885E51"/>
    <w:rsid w:val="00886C03"/>
    <w:rsid w:val="0089138E"/>
    <w:rsid w:val="00891B55"/>
    <w:rsid w:val="0089445C"/>
    <w:rsid w:val="008A017A"/>
    <w:rsid w:val="008A08D7"/>
    <w:rsid w:val="008A13F9"/>
    <w:rsid w:val="008A1CB4"/>
    <w:rsid w:val="008A22D1"/>
    <w:rsid w:val="008A2A56"/>
    <w:rsid w:val="008A3FC2"/>
    <w:rsid w:val="008A48D5"/>
    <w:rsid w:val="008B0116"/>
    <w:rsid w:val="008B08D3"/>
    <w:rsid w:val="008B285D"/>
    <w:rsid w:val="008B3F17"/>
    <w:rsid w:val="008B772C"/>
    <w:rsid w:val="008C085F"/>
    <w:rsid w:val="008C0ACF"/>
    <w:rsid w:val="008C0F65"/>
    <w:rsid w:val="008C136F"/>
    <w:rsid w:val="008C23DE"/>
    <w:rsid w:val="008C28A8"/>
    <w:rsid w:val="008C7EA2"/>
    <w:rsid w:val="008D0A84"/>
    <w:rsid w:val="008D1DF2"/>
    <w:rsid w:val="008D2405"/>
    <w:rsid w:val="008D24F3"/>
    <w:rsid w:val="008D47DD"/>
    <w:rsid w:val="008D48F7"/>
    <w:rsid w:val="008D56EF"/>
    <w:rsid w:val="008E23CA"/>
    <w:rsid w:val="008E28C2"/>
    <w:rsid w:val="008E56BF"/>
    <w:rsid w:val="008E73AD"/>
    <w:rsid w:val="008E7F95"/>
    <w:rsid w:val="008F0067"/>
    <w:rsid w:val="008F2B2F"/>
    <w:rsid w:val="008F3D56"/>
    <w:rsid w:val="008F525E"/>
    <w:rsid w:val="008F58D3"/>
    <w:rsid w:val="008F677E"/>
    <w:rsid w:val="00900534"/>
    <w:rsid w:val="009007DE"/>
    <w:rsid w:val="00900B87"/>
    <w:rsid w:val="0090233D"/>
    <w:rsid w:val="00902ADB"/>
    <w:rsid w:val="0090338C"/>
    <w:rsid w:val="0090476B"/>
    <w:rsid w:val="00905DEE"/>
    <w:rsid w:val="00905F2B"/>
    <w:rsid w:val="00906890"/>
    <w:rsid w:val="00907C2C"/>
    <w:rsid w:val="00910C5E"/>
    <w:rsid w:val="00912020"/>
    <w:rsid w:val="0091422B"/>
    <w:rsid w:val="0091799B"/>
    <w:rsid w:val="00921386"/>
    <w:rsid w:val="00922572"/>
    <w:rsid w:val="00922837"/>
    <w:rsid w:val="0092353E"/>
    <w:rsid w:val="009239F6"/>
    <w:rsid w:val="00923B63"/>
    <w:rsid w:val="00925C4E"/>
    <w:rsid w:val="00926D2D"/>
    <w:rsid w:val="00930C30"/>
    <w:rsid w:val="0093178C"/>
    <w:rsid w:val="00931EA4"/>
    <w:rsid w:val="0093406F"/>
    <w:rsid w:val="00934F63"/>
    <w:rsid w:val="00935BB0"/>
    <w:rsid w:val="009360FD"/>
    <w:rsid w:val="00942285"/>
    <w:rsid w:val="009442E4"/>
    <w:rsid w:val="00945EE3"/>
    <w:rsid w:val="0094743E"/>
    <w:rsid w:val="009476D0"/>
    <w:rsid w:val="00947B60"/>
    <w:rsid w:val="00951972"/>
    <w:rsid w:val="00951C78"/>
    <w:rsid w:val="00954C83"/>
    <w:rsid w:val="00954E65"/>
    <w:rsid w:val="0095522E"/>
    <w:rsid w:val="00955A28"/>
    <w:rsid w:val="00960535"/>
    <w:rsid w:val="00960676"/>
    <w:rsid w:val="009640D6"/>
    <w:rsid w:val="00965F65"/>
    <w:rsid w:val="009669DB"/>
    <w:rsid w:val="0097168E"/>
    <w:rsid w:val="009717F9"/>
    <w:rsid w:val="00974EC3"/>
    <w:rsid w:val="00976BED"/>
    <w:rsid w:val="00976F82"/>
    <w:rsid w:val="009777E4"/>
    <w:rsid w:val="00981839"/>
    <w:rsid w:val="00981A71"/>
    <w:rsid w:val="00981EA0"/>
    <w:rsid w:val="0098262E"/>
    <w:rsid w:val="00983493"/>
    <w:rsid w:val="00983A7C"/>
    <w:rsid w:val="009864DA"/>
    <w:rsid w:val="00987062"/>
    <w:rsid w:val="009876A4"/>
    <w:rsid w:val="00987969"/>
    <w:rsid w:val="00987D09"/>
    <w:rsid w:val="00990313"/>
    <w:rsid w:val="00990EE8"/>
    <w:rsid w:val="00991025"/>
    <w:rsid w:val="00992D0A"/>
    <w:rsid w:val="00993ACD"/>
    <w:rsid w:val="00997ED3"/>
    <w:rsid w:val="009A3390"/>
    <w:rsid w:val="009A3878"/>
    <w:rsid w:val="009A3EF9"/>
    <w:rsid w:val="009A5011"/>
    <w:rsid w:val="009A5650"/>
    <w:rsid w:val="009B08A9"/>
    <w:rsid w:val="009B3DCF"/>
    <w:rsid w:val="009B4A74"/>
    <w:rsid w:val="009B5F22"/>
    <w:rsid w:val="009B63FA"/>
    <w:rsid w:val="009B6C94"/>
    <w:rsid w:val="009B70B0"/>
    <w:rsid w:val="009C0F60"/>
    <w:rsid w:val="009C1078"/>
    <w:rsid w:val="009C65C5"/>
    <w:rsid w:val="009C6740"/>
    <w:rsid w:val="009D1DEF"/>
    <w:rsid w:val="009D7271"/>
    <w:rsid w:val="009D7645"/>
    <w:rsid w:val="009D7806"/>
    <w:rsid w:val="009E02CA"/>
    <w:rsid w:val="009E02FC"/>
    <w:rsid w:val="009E1872"/>
    <w:rsid w:val="009E274D"/>
    <w:rsid w:val="009E4685"/>
    <w:rsid w:val="009E551B"/>
    <w:rsid w:val="009E7048"/>
    <w:rsid w:val="009E70F2"/>
    <w:rsid w:val="009F3B21"/>
    <w:rsid w:val="009F3EDA"/>
    <w:rsid w:val="009F4A35"/>
    <w:rsid w:val="009F4C79"/>
    <w:rsid w:val="009F54E4"/>
    <w:rsid w:val="009F5678"/>
    <w:rsid w:val="009F63CF"/>
    <w:rsid w:val="009F6AA5"/>
    <w:rsid w:val="009F6EC1"/>
    <w:rsid w:val="009F7023"/>
    <w:rsid w:val="009F71DF"/>
    <w:rsid w:val="009F7946"/>
    <w:rsid w:val="00A006F3"/>
    <w:rsid w:val="00A03C24"/>
    <w:rsid w:val="00A03CE1"/>
    <w:rsid w:val="00A0665A"/>
    <w:rsid w:val="00A113CE"/>
    <w:rsid w:val="00A11750"/>
    <w:rsid w:val="00A11FF9"/>
    <w:rsid w:val="00A13787"/>
    <w:rsid w:val="00A14135"/>
    <w:rsid w:val="00A14A13"/>
    <w:rsid w:val="00A1504C"/>
    <w:rsid w:val="00A17DFD"/>
    <w:rsid w:val="00A200E5"/>
    <w:rsid w:val="00A210A2"/>
    <w:rsid w:val="00A2442C"/>
    <w:rsid w:val="00A2650C"/>
    <w:rsid w:val="00A27C27"/>
    <w:rsid w:val="00A30D45"/>
    <w:rsid w:val="00A31E8C"/>
    <w:rsid w:val="00A32EE5"/>
    <w:rsid w:val="00A356A6"/>
    <w:rsid w:val="00A43520"/>
    <w:rsid w:val="00A441CE"/>
    <w:rsid w:val="00A4470B"/>
    <w:rsid w:val="00A44CF3"/>
    <w:rsid w:val="00A45E77"/>
    <w:rsid w:val="00A4674B"/>
    <w:rsid w:val="00A46964"/>
    <w:rsid w:val="00A46C63"/>
    <w:rsid w:val="00A47AA5"/>
    <w:rsid w:val="00A544ED"/>
    <w:rsid w:val="00A559BA"/>
    <w:rsid w:val="00A56588"/>
    <w:rsid w:val="00A56D79"/>
    <w:rsid w:val="00A573BC"/>
    <w:rsid w:val="00A607C0"/>
    <w:rsid w:val="00A619B1"/>
    <w:rsid w:val="00A6263D"/>
    <w:rsid w:val="00A632C4"/>
    <w:rsid w:val="00A644C2"/>
    <w:rsid w:val="00A64876"/>
    <w:rsid w:val="00A66DC1"/>
    <w:rsid w:val="00A700D2"/>
    <w:rsid w:val="00A7080D"/>
    <w:rsid w:val="00A726F0"/>
    <w:rsid w:val="00A726FE"/>
    <w:rsid w:val="00A727EC"/>
    <w:rsid w:val="00A74360"/>
    <w:rsid w:val="00A77F5F"/>
    <w:rsid w:val="00A8039F"/>
    <w:rsid w:val="00A80C11"/>
    <w:rsid w:val="00A83124"/>
    <w:rsid w:val="00A83C6D"/>
    <w:rsid w:val="00A917B3"/>
    <w:rsid w:val="00A94A02"/>
    <w:rsid w:val="00A972C0"/>
    <w:rsid w:val="00AA06C8"/>
    <w:rsid w:val="00AA3CA5"/>
    <w:rsid w:val="00AA47F1"/>
    <w:rsid w:val="00AA65E1"/>
    <w:rsid w:val="00AA68DB"/>
    <w:rsid w:val="00AA7C30"/>
    <w:rsid w:val="00AB0BCD"/>
    <w:rsid w:val="00AB4B51"/>
    <w:rsid w:val="00AB58AD"/>
    <w:rsid w:val="00AB61CC"/>
    <w:rsid w:val="00AC4489"/>
    <w:rsid w:val="00AC4E95"/>
    <w:rsid w:val="00AC6364"/>
    <w:rsid w:val="00AC6BB4"/>
    <w:rsid w:val="00AC6EDB"/>
    <w:rsid w:val="00AD1945"/>
    <w:rsid w:val="00AD3154"/>
    <w:rsid w:val="00AD5446"/>
    <w:rsid w:val="00AD64E1"/>
    <w:rsid w:val="00AE282A"/>
    <w:rsid w:val="00AE305A"/>
    <w:rsid w:val="00AE4944"/>
    <w:rsid w:val="00AE5976"/>
    <w:rsid w:val="00AE718E"/>
    <w:rsid w:val="00AF05B3"/>
    <w:rsid w:val="00AF38B6"/>
    <w:rsid w:val="00AF4040"/>
    <w:rsid w:val="00AF473C"/>
    <w:rsid w:val="00AF4E8C"/>
    <w:rsid w:val="00AF6976"/>
    <w:rsid w:val="00AF71C2"/>
    <w:rsid w:val="00B00BFA"/>
    <w:rsid w:val="00B04860"/>
    <w:rsid w:val="00B05A60"/>
    <w:rsid w:val="00B066FC"/>
    <w:rsid w:val="00B07836"/>
    <w:rsid w:val="00B10CC7"/>
    <w:rsid w:val="00B11473"/>
    <w:rsid w:val="00B11BC3"/>
    <w:rsid w:val="00B12627"/>
    <w:rsid w:val="00B12FBA"/>
    <w:rsid w:val="00B1630F"/>
    <w:rsid w:val="00B1695D"/>
    <w:rsid w:val="00B16B36"/>
    <w:rsid w:val="00B17687"/>
    <w:rsid w:val="00B179FD"/>
    <w:rsid w:val="00B222A6"/>
    <w:rsid w:val="00B321CA"/>
    <w:rsid w:val="00B34DB7"/>
    <w:rsid w:val="00B35312"/>
    <w:rsid w:val="00B356F2"/>
    <w:rsid w:val="00B37D45"/>
    <w:rsid w:val="00B40DA4"/>
    <w:rsid w:val="00B41E58"/>
    <w:rsid w:val="00B45372"/>
    <w:rsid w:val="00B4543E"/>
    <w:rsid w:val="00B45E24"/>
    <w:rsid w:val="00B52241"/>
    <w:rsid w:val="00B55D92"/>
    <w:rsid w:val="00B62220"/>
    <w:rsid w:val="00B62458"/>
    <w:rsid w:val="00B63799"/>
    <w:rsid w:val="00B65697"/>
    <w:rsid w:val="00B700DC"/>
    <w:rsid w:val="00B710B2"/>
    <w:rsid w:val="00B7435F"/>
    <w:rsid w:val="00B76AAE"/>
    <w:rsid w:val="00B77498"/>
    <w:rsid w:val="00B778C8"/>
    <w:rsid w:val="00B85DCC"/>
    <w:rsid w:val="00B879E3"/>
    <w:rsid w:val="00B87DFB"/>
    <w:rsid w:val="00B92671"/>
    <w:rsid w:val="00B95B06"/>
    <w:rsid w:val="00BA30C6"/>
    <w:rsid w:val="00BA3587"/>
    <w:rsid w:val="00BA36DF"/>
    <w:rsid w:val="00BA46CA"/>
    <w:rsid w:val="00BA66ED"/>
    <w:rsid w:val="00BA68C4"/>
    <w:rsid w:val="00BA69CC"/>
    <w:rsid w:val="00BA7C1A"/>
    <w:rsid w:val="00BB05AA"/>
    <w:rsid w:val="00BB1BEC"/>
    <w:rsid w:val="00BB350A"/>
    <w:rsid w:val="00BB36EA"/>
    <w:rsid w:val="00BB43F6"/>
    <w:rsid w:val="00BB47CE"/>
    <w:rsid w:val="00BB570B"/>
    <w:rsid w:val="00BB704F"/>
    <w:rsid w:val="00BB7B64"/>
    <w:rsid w:val="00BC15DD"/>
    <w:rsid w:val="00BC3821"/>
    <w:rsid w:val="00BC3B22"/>
    <w:rsid w:val="00BC4745"/>
    <w:rsid w:val="00BD0226"/>
    <w:rsid w:val="00BD24F5"/>
    <w:rsid w:val="00BD33EE"/>
    <w:rsid w:val="00BD3521"/>
    <w:rsid w:val="00BD36C2"/>
    <w:rsid w:val="00BD464A"/>
    <w:rsid w:val="00BD5969"/>
    <w:rsid w:val="00BD66C1"/>
    <w:rsid w:val="00BD6C30"/>
    <w:rsid w:val="00BE0BEC"/>
    <w:rsid w:val="00BE46F2"/>
    <w:rsid w:val="00BE482D"/>
    <w:rsid w:val="00BE6F31"/>
    <w:rsid w:val="00BE78D4"/>
    <w:rsid w:val="00BF0085"/>
    <w:rsid w:val="00BF1E0A"/>
    <w:rsid w:val="00BF721B"/>
    <w:rsid w:val="00BF74D5"/>
    <w:rsid w:val="00C002AF"/>
    <w:rsid w:val="00C0098F"/>
    <w:rsid w:val="00C00F3B"/>
    <w:rsid w:val="00C01964"/>
    <w:rsid w:val="00C01981"/>
    <w:rsid w:val="00C033AA"/>
    <w:rsid w:val="00C033CB"/>
    <w:rsid w:val="00C035D4"/>
    <w:rsid w:val="00C03EA6"/>
    <w:rsid w:val="00C057DE"/>
    <w:rsid w:val="00C05921"/>
    <w:rsid w:val="00C07272"/>
    <w:rsid w:val="00C077E2"/>
    <w:rsid w:val="00C134A3"/>
    <w:rsid w:val="00C14469"/>
    <w:rsid w:val="00C15C97"/>
    <w:rsid w:val="00C16CE8"/>
    <w:rsid w:val="00C17E6C"/>
    <w:rsid w:val="00C22AB8"/>
    <w:rsid w:val="00C22C82"/>
    <w:rsid w:val="00C24622"/>
    <w:rsid w:val="00C24FD2"/>
    <w:rsid w:val="00C31AA3"/>
    <w:rsid w:val="00C34F86"/>
    <w:rsid w:val="00C41119"/>
    <w:rsid w:val="00C41333"/>
    <w:rsid w:val="00C518A1"/>
    <w:rsid w:val="00C52543"/>
    <w:rsid w:val="00C528FB"/>
    <w:rsid w:val="00C55052"/>
    <w:rsid w:val="00C57EC0"/>
    <w:rsid w:val="00C60F0C"/>
    <w:rsid w:val="00C628C2"/>
    <w:rsid w:val="00C62B89"/>
    <w:rsid w:val="00C63C2A"/>
    <w:rsid w:val="00C64212"/>
    <w:rsid w:val="00C650C8"/>
    <w:rsid w:val="00C67E91"/>
    <w:rsid w:val="00C67FA6"/>
    <w:rsid w:val="00C70834"/>
    <w:rsid w:val="00C715F3"/>
    <w:rsid w:val="00C71DDE"/>
    <w:rsid w:val="00C71E87"/>
    <w:rsid w:val="00C73797"/>
    <w:rsid w:val="00C7408C"/>
    <w:rsid w:val="00C7738B"/>
    <w:rsid w:val="00C805C9"/>
    <w:rsid w:val="00C82274"/>
    <w:rsid w:val="00C8255D"/>
    <w:rsid w:val="00C83782"/>
    <w:rsid w:val="00C851F3"/>
    <w:rsid w:val="00C857FA"/>
    <w:rsid w:val="00C86AB8"/>
    <w:rsid w:val="00C91060"/>
    <w:rsid w:val="00C91866"/>
    <w:rsid w:val="00C927EE"/>
    <w:rsid w:val="00C92F1D"/>
    <w:rsid w:val="00C95551"/>
    <w:rsid w:val="00C9602C"/>
    <w:rsid w:val="00CA1679"/>
    <w:rsid w:val="00CA1780"/>
    <w:rsid w:val="00CA3008"/>
    <w:rsid w:val="00CA781F"/>
    <w:rsid w:val="00CB0F82"/>
    <w:rsid w:val="00CB10BC"/>
    <w:rsid w:val="00CB198F"/>
    <w:rsid w:val="00CB21CF"/>
    <w:rsid w:val="00CB289A"/>
    <w:rsid w:val="00CB4590"/>
    <w:rsid w:val="00CB4C45"/>
    <w:rsid w:val="00CB58DC"/>
    <w:rsid w:val="00CB5A7A"/>
    <w:rsid w:val="00CB7AAE"/>
    <w:rsid w:val="00CC0E89"/>
    <w:rsid w:val="00CC2131"/>
    <w:rsid w:val="00CC3EE0"/>
    <w:rsid w:val="00CC3EE4"/>
    <w:rsid w:val="00CD1A63"/>
    <w:rsid w:val="00CD20E8"/>
    <w:rsid w:val="00CD26C9"/>
    <w:rsid w:val="00CD38D9"/>
    <w:rsid w:val="00CD3B90"/>
    <w:rsid w:val="00CD4981"/>
    <w:rsid w:val="00CD7C86"/>
    <w:rsid w:val="00CD7DD1"/>
    <w:rsid w:val="00CE3F30"/>
    <w:rsid w:val="00CE3FF8"/>
    <w:rsid w:val="00CE6CEA"/>
    <w:rsid w:val="00CE70FA"/>
    <w:rsid w:val="00CE7761"/>
    <w:rsid w:val="00CF05EF"/>
    <w:rsid w:val="00CF1701"/>
    <w:rsid w:val="00CF3D23"/>
    <w:rsid w:val="00CF4F15"/>
    <w:rsid w:val="00CF71F3"/>
    <w:rsid w:val="00CF734C"/>
    <w:rsid w:val="00D00786"/>
    <w:rsid w:val="00D011A9"/>
    <w:rsid w:val="00D01EBF"/>
    <w:rsid w:val="00D034A5"/>
    <w:rsid w:val="00D03E39"/>
    <w:rsid w:val="00D04831"/>
    <w:rsid w:val="00D05347"/>
    <w:rsid w:val="00D05907"/>
    <w:rsid w:val="00D06992"/>
    <w:rsid w:val="00D074AD"/>
    <w:rsid w:val="00D10F9E"/>
    <w:rsid w:val="00D11F0B"/>
    <w:rsid w:val="00D12A11"/>
    <w:rsid w:val="00D12E9A"/>
    <w:rsid w:val="00D14385"/>
    <w:rsid w:val="00D14CD3"/>
    <w:rsid w:val="00D16462"/>
    <w:rsid w:val="00D20E1C"/>
    <w:rsid w:val="00D21BC4"/>
    <w:rsid w:val="00D2333E"/>
    <w:rsid w:val="00D250E5"/>
    <w:rsid w:val="00D30FCC"/>
    <w:rsid w:val="00D34E62"/>
    <w:rsid w:val="00D35AD7"/>
    <w:rsid w:val="00D363A4"/>
    <w:rsid w:val="00D363C0"/>
    <w:rsid w:val="00D36E75"/>
    <w:rsid w:val="00D40DAF"/>
    <w:rsid w:val="00D41878"/>
    <w:rsid w:val="00D424CA"/>
    <w:rsid w:val="00D43B27"/>
    <w:rsid w:val="00D44DBF"/>
    <w:rsid w:val="00D4509B"/>
    <w:rsid w:val="00D46C5C"/>
    <w:rsid w:val="00D47790"/>
    <w:rsid w:val="00D53109"/>
    <w:rsid w:val="00D534FB"/>
    <w:rsid w:val="00D5473F"/>
    <w:rsid w:val="00D54EA4"/>
    <w:rsid w:val="00D555E2"/>
    <w:rsid w:val="00D56CAB"/>
    <w:rsid w:val="00D572F9"/>
    <w:rsid w:val="00D61BFE"/>
    <w:rsid w:val="00D620E1"/>
    <w:rsid w:val="00D62253"/>
    <w:rsid w:val="00D634CA"/>
    <w:rsid w:val="00D6422D"/>
    <w:rsid w:val="00D654DF"/>
    <w:rsid w:val="00D65E80"/>
    <w:rsid w:val="00D67769"/>
    <w:rsid w:val="00D678CB"/>
    <w:rsid w:val="00D70277"/>
    <w:rsid w:val="00D70CF7"/>
    <w:rsid w:val="00D72116"/>
    <w:rsid w:val="00D752C6"/>
    <w:rsid w:val="00D75BD9"/>
    <w:rsid w:val="00D80243"/>
    <w:rsid w:val="00D8159D"/>
    <w:rsid w:val="00D846DA"/>
    <w:rsid w:val="00D848B4"/>
    <w:rsid w:val="00D87B7B"/>
    <w:rsid w:val="00D90138"/>
    <w:rsid w:val="00D9151A"/>
    <w:rsid w:val="00D91682"/>
    <w:rsid w:val="00D9273D"/>
    <w:rsid w:val="00D927B7"/>
    <w:rsid w:val="00D93007"/>
    <w:rsid w:val="00D934C2"/>
    <w:rsid w:val="00D95A23"/>
    <w:rsid w:val="00D97016"/>
    <w:rsid w:val="00D97A75"/>
    <w:rsid w:val="00DA0041"/>
    <w:rsid w:val="00DA1810"/>
    <w:rsid w:val="00DA26B8"/>
    <w:rsid w:val="00DA3C05"/>
    <w:rsid w:val="00DA5516"/>
    <w:rsid w:val="00DA5FDD"/>
    <w:rsid w:val="00DB0F13"/>
    <w:rsid w:val="00DB3415"/>
    <w:rsid w:val="00DB3DE1"/>
    <w:rsid w:val="00DB5D73"/>
    <w:rsid w:val="00DC0A36"/>
    <w:rsid w:val="00DC0E5C"/>
    <w:rsid w:val="00DC189B"/>
    <w:rsid w:val="00DC1ADF"/>
    <w:rsid w:val="00DC4348"/>
    <w:rsid w:val="00DC7E10"/>
    <w:rsid w:val="00DD3B84"/>
    <w:rsid w:val="00DD402E"/>
    <w:rsid w:val="00DD468F"/>
    <w:rsid w:val="00DD4E25"/>
    <w:rsid w:val="00DD60D3"/>
    <w:rsid w:val="00DD66D6"/>
    <w:rsid w:val="00DE30D6"/>
    <w:rsid w:val="00DE32F6"/>
    <w:rsid w:val="00DE35B5"/>
    <w:rsid w:val="00DE5969"/>
    <w:rsid w:val="00DE7829"/>
    <w:rsid w:val="00DF11EB"/>
    <w:rsid w:val="00DF205C"/>
    <w:rsid w:val="00DF23A7"/>
    <w:rsid w:val="00DF6534"/>
    <w:rsid w:val="00DF741D"/>
    <w:rsid w:val="00E00A7E"/>
    <w:rsid w:val="00E00C63"/>
    <w:rsid w:val="00E00C6B"/>
    <w:rsid w:val="00E00E3A"/>
    <w:rsid w:val="00E012AC"/>
    <w:rsid w:val="00E01597"/>
    <w:rsid w:val="00E027FE"/>
    <w:rsid w:val="00E02DC6"/>
    <w:rsid w:val="00E03472"/>
    <w:rsid w:val="00E05377"/>
    <w:rsid w:val="00E0750D"/>
    <w:rsid w:val="00E07BF0"/>
    <w:rsid w:val="00E07E49"/>
    <w:rsid w:val="00E11757"/>
    <w:rsid w:val="00E11E4C"/>
    <w:rsid w:val="00E12C62"/>
    <w:rsid w:val="00E14177"/>
    <w:rsid w:val="00E1497E"/>
    <w:rsid w:val="00E170E4"/>
    <w:rsid w:val="00E21BBF"/>
    <w:rsid w:val="00E2232C"/>
    <w:rsid w:val="00E246D8"/>
    <w:rsid w:val="00E2520C"/>
    <w:rsid w:val="00E27ACC"/>
    <w:rsid w:val="00E35033"/>
    <w:rsid w:val="00E3547B"/>
    <w:rsid w:val="00E37393"/>
    <w:rsid w:val="00E411EB"/>
    <w:rsid w:val="00E42CD1"/>
    <w:rsid w:val="00E44415"/>
    <w:rsid w:val="00E447A9"/>
    <w:rsid w:val="00E44DD5"/>
    <w:rsid w:val="00E45089"/>
    <w:rsid w:val="00E454D9"/>
    <w:rsid w:val="00E46EBF"/>
    <w:rsid w:val="00E47396"/>
    <w:rsid w:val="00E51673"/>
    <w:rsid w:val="00E531F2"/>
    <w:rsid w:val="00E575F3"/>
    <w:rsid w:val="00E61906"/>
    <w:rsid w:val="00E62B3C"/>
    <w:rsid w:val="00E6540C"/>
    <w:rsid w:val="00E65E6B"/>
    <w:rsid w:val="00E66D28"/>
    <w:rsid w:val="00E700E5"/>
    <w:rsid w:val="00E70C1C"/>
    <w:rsid w:val="00E73895"/>
    <w:rsid w:val="00E73F76"/>
    <w:rsid w:val="00E7487C"/>
    <w:rsid w:val="00E83000"/>
    <w:rsid w:val="00E835AC"/>
    <w:rsid w:val="00E86F16"/>
    <w:rsid w:val="00E8769A"/>
    <w:rsid w:val="00E9076B"/>
    <w:rsid w:val="00E91D06"/>
    <w:rsid w:val="00E92899"/>
    <w:rsid w:val="00E929FE"/>
    <w:rsid w:val="00E94BE0"/>
    <w:rsid w:val="00E94EB9"/>
    <w:rsid w:val="00E95B4B"/>
    <w:rsid w:val="00E95C18"/>
    <w:rsid w:val="00E9743C"/>
    <w:rsid w:val="00E97EB0"/>
    <w:rsid w:val="00EA18DC"/>
    <w:rsid w:val="00EA23DB"/>
    <w:rsid w:val="00EA31D8"/>
    <w:rsid w:val="00EA42CE"/>
    <w:rsid w:val="00EA47A6"/>
    <w:rsid w:val="00EA5579"/>
    <w:rsid w:val="00EA5A26"/>
    <w:rsid w:val="00EB2D62"/>
    <w:rsid w:val="00EB2F87"/>
    <w:rsid w:val="00EB3A05"/>
    <w:rsid w:val="00EB4400"/>
    <w:rsid w:val="00EB4F40"/>
    <w:rsid w:val="00EB77DC"/>
    <w:rsid w:val="00EC02A2"/>
    <w:rsid w:val="00EC0B31"/>
    <w:rsid w:val="00EC3DD5"/>
    <w:rsid w:val="00EC7145"/>
    <w:rsid w:val="00ED1848"/>
    <w:rsid w:val="00ED20C7"/>
    <w:rsid w:val="00ED2D30"/>
    <w:rsid w:val="00ED4125"/>
    <w:rsid w:val="00ED421E"/>
    <w:rsid w:val="00ED4838"/>
    <w:rsid w:val="00ED518B"/>
    <w:rsid w:val="00ED59FF"/>
    <w:rsid w:val="00ED5AED"/>
    <w:rsid w:val="00ED5B05"/>
    <w:rsid w:val="00ED689A"/>
    <w:rsid w:val="00ED7E3F"/>
    <w:rsid w:val="00EE03A0"/>
    <w:rsid w:val="00EE089A"/>
    <w:rsid w:val="00EE2B30"/>
    <w:rsid w:val="00EE3E23"/>
    <w:rsid w:val="00EE4157"/>
    <w:rsid w:val="00EE4A73"/>
    <w:rsid w:val="00EE4F48"/>
    <w:rsid w:val="00EE6B92"/>
    <w:rsid w:val="00EF1360"/>
    <w:rsid w:val="00EF3220"/>
    <w:rsid w:val="00EF54C4"/>
    <w:rsid w:val="00EF56CF"/>
    <w:rsid w:val="00EF7198"/>
    <w:rsid w:val="00EF7CFC"/>
    <w:rsid w:val="00F0117A"/>
    <w:rsid w:val="00F01829"/>
    <w:rsid w:val="00F036FF"/>
    <w:rsid w:val="00F03A85"/>
    <w:rsid w:val="00F05994"/>
    <w:rsid w:val="00F06E9B"/>
    <w:rsid w:val="00F07FF3"/>
    <w:rsid w:val="00F115F3"/>
    <w:rsid w:val="00F11C1F"/>
    <w:rsid w:val="00F12082"/>
    <w:rsid w:val="00F1309A"/>
    <w:rsid w:val="00F138D2"/>
    <w:rsid w:val="00F15090"/>
    <w:rsid w:val="00F17919"/>
    <w:rsid w:val="00F20DAD"/>
    <w:rsid w:val="00F22E4B"/>
    <w:rsid w:val="00F24B3D"/>
    <w:rsid w:val="00F24C47"/>
    <w:rsid w:val="00F268F9"/>
    <w:rsid w:val="00F26984"/>
    <w:rsid w:val="00F30106"/>
    <w:rsid w:val="00F31D8A"/>
    <w:rsid w:val="00F32246"/>
    <w:rsid w:val="00F349A8"/>
    <w:rsid w:val="00F34FCE"/>
    <w:rsid w:val="00F350AD"/>
    <w:rsid w:val="00F3516A"/>
    <w:rsid w:val="00F35C67"/>
    <w:rsid w:val="00F36085"/>
    <w:rsid w:val="00F41883"/>
    <w:rsid w:val="00F421EE"/>
    <w:rsid w:val="00F450EE"/>
    <w:rsid w:val="00F472FB"/>
    <w:rsid w:val="00F4768E"/>
    <w:rsid w:val="00F51475"/>
    <w:rsid w:val="00F51892"/>
    <w:rsid w:val="00F5593C"/>
    <w:rsid w:val="00F565CE"/>
    <w:rsid w:val="00F57470"/>
    <w:rsid w:val="00F60055"/>
    <w:rsid w:val="00F62198"/>
    <w:rsid w:val="00F624AE"/>
    <w:rsid w:val="00F63DDE"/>
    <w:rsid w:val="00F63E3D"/>
    <w:rsid w:val="00F702DF"/>
    <w:rsid w:val="00F70CE4"/>
    <w:rsid w:val="00F7142A"/>
    <w:rsid w:val="00F72338"/>
    <w:rsid w:val="00F737BD"/>
    <w:rsid w:val="00F738E6"/>
    <w:rsid w:val="00F73B5F"/>
    <w:rsid w:val="00F73F6A"/>
    <w:rsid w:val="00F749DF"/>
    <w:rsid w:val="00F76A39"/>
    <w:rsid w:val="00F80F06"/>
    <w:rsid w:val="00F80F4D"/>
    <w:rsid w:val="00F81C09"/>
    <w:rsid w:val="00F8365C"/>
    <w:rsid w:val="00F83B05"/>
    <w:rsid w:val="00F84264"/>
    <w:rsid w:val="00F8531E"/>
    <w:rsid w:val="00F85598"/>
    <w:rsid w:val="00F858AF"/>
    <w:rsid w:val="00F86B5D"/>
    <w:rsid w:val="00F86C16"/>
    <w:rsid w:val="00F90D56"/>
    <w:rsid w:val="00F92852"/>
    <w:rsid w:val="00F93BD3"/>
    <w:rsid w:val="00F94155"/>
    <w:rsid w:val="00F94C24"/>
    <w:rsid w:val="00F95232"/>
    <w:rsid w:val="00F96DB0"/>
    <w:rsid w:val="00F978A0"/>
    <w:rsid w:val="00F97B1E"/>
    <w:rsid w:val="00FA17FE"/>
    <w:rsid w:val="00FA1F41"/>
    <w:rsid w:val="00FA3040"/>
    <w:rsid w:val="00FA3EA4"/>
    <w:rsid w:val="00FA432B"/>
    <w:rsid w:val="00FA63CB"/>
    <w:rsid w:val="00FA7C80"/>
    <w:rsid w:val="00FA7FCA"/>
    <w:rsid w:val="00FB028C"/>
    <w:rsid w:val="00FB110A"/>
    <w:rsid w:val="00FB314B"/>
    <w:rsid w:val="00FB348A"/>
    <w:rsid w:val="00FB5C0B"/>
    <w:rsid w:val="00FB698B"/>
    <w:rsid w:val="00FB6AB8"/>
    <w:rsid w:val="00FB7AA6"/>
    <w:rsid w:val="00FC1450"/>
    <w:rsid w:val="00FC15D0"/>
    <w:rsid w:val="00FC1E35"/>
    <w:rsid w:val="00FC221F"/>
    <w:rsid w:val="00FC50D6"/>
    <w:rsid w:val="00FC57E4"/>
    <w:rsid w:val="00FC76CB"/>
    <w:rsid w:val="00FD0CDC"/>
    <w:rsid w:val="00FD1428"/>
    <w:rsid w:val="00FD14C9"/>
    <w:rsid w:val="00FD223B"/>
    <w:rsid w:val="00FD2EF7"/>
    <w:rsid w:val="00FD340B"/>
    <w:rsid w:val="00FD4AD6"/>
    <w:rsid w:val="00FD590F"/>
    <w:rsid w:val="00FD7A68"/>
    <w:rsid w:val="00FD7CD5"/>
    <w:rsid w:val="00FE18F8"/>
    <w:rsid w:val="00FE296F"/>
    <w:rsid w:val="00FE54ED"/>
    <w:rsid w:val="00FE5547"/>
    <w:rsid w:val="00FE6552"/>
    <w:rsid w:val="00FE6850"/>
    <w:rsid w:val="00FF0A5E"/>
    <w:rsid w:val="00FF13A4"/>
    <w:rsid w:val="00FF1E5D"/>
    <w:rsid w:val="00FF3EE7"/>
    <w:rsid w:val="00FF4A7A"/>
    <w:rsid w:val="00FF54B2"/>
    <w:rsid w:val="00FF54BA"/>
    <w:rsid w:val="00FF55A9"/>
    <w:rsid w:val="00FF637E"/>
    <w:rsid w:val="00FF6678"/>
    <w:rsid w:val="00FF72E7"/>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3A05E556"/>
  <w15:docId w15:val="{C0D56EBA-8FCC-4998-BF8E-EC28F64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31D8"/>
    <w:pPr>
      <w:spacing w:line="240" w:lineRule="atLeast"/>
    </w:pPr>
    <w:rPr>
      <w:lang w:val="es-ES" w:eastAsia="es-ES"/>
    </w:rPr>
  </w:style>
  <w:style w:type="paragraph" w:styleId="Ttulo1">
    <w:name w:val="heading 1"/>
    <w:aliases w:val="Table_G"/>
    <w:basedOn w:val="SingleTxtG"/>
    <w:next w:val="SingleTxtG"/>
    <w:qFormat/>
    <w:rsid w:val="00D05347"/>
    <w:pPr>
      <w:keepNext/>
      <w:spacing w:after="0" w:line="240" w:lineRule="auto"/>
      <w:outlineLvl w:val="0"/>
    </w:pPr>
    <w:rPr>
      <w:rFonts w:cs="Arial"/>
      <w:bCs/>
      <w:szCs w:val="32"/>
    </w:rPr>
  </w:style>
  <w:style w:type="paragraph" w:styleId="Ttulo2">
    <w:name w:val="heading 2"/>
    <w:basedOn w:val="Normal"/>
    <w:next w:val="Normal"/>
    <w:qFormat/>
    <w:rsid w:val="00EA31D8"/>
    <w:pPr>
      <w:keepNext/>
      <w:outlineLvl w:val="1"/>
    </w:pPr>
    <w:rPr>
      <w:rFonts w:cs="Arial"/>
      <w:bCs/>
      <w:iCs/>
      <w:szCs w:val="28"/>
    </w:rPr>
  </w:style>
  <w:style w:type="paragraph" w:styleId="Ttulo3">
    <w:name w:val="heading 3"/>
    <w:basedOn w:val="Normal"/>
    <w:next w:val="Normal"/>
    <w:qFormat/>
    <w:rsid w:val="00EA31D8"/>
    <w:pPr>
      <w:keepNext/>
      <w:spacing w:before="240" w:after="60"/>
      <w:outlineLvl w:val="2"/>
    </w:pPr>
    <w:rPr>
      <w:rFonts w:ascii="Arial" w:hAnsi="Arial" w:cs="Arial"/>
      <w:b/>
      <w:bCs/>
      <w:sz w:val="26"/>
      <w:szCs w:val="26"/>
    </w:rPr>
  </w:style>
  <w:style w:type="paragraph" w:styleId="Ttulo4">
    <w:name w:val="heading 4"/>
    <w:basedOn w:val="Normal"/>
    <w:next w:val="Normal"/>
    <w:qFormat/>
    <w:rsid w:val="00EA31D8"/>
    <w:pPr>
      <w:keepNext/>
      <w:spacing w:before="240" w:after="60"/>
      <w:outlineLvl w:val="3"/>
    </w:pPr>
    <w:rPr>
      <w:b/>
      <w:bCs/>
      <w:sz w:val="28"/>
      <w:szCs w:val="28"/>
    </w:rPr>
  </w:style>
  <w:style w:type="paragraph" w:styleId="Ttulo5">
    <w:name w:val="heading 5"/>
    <w:basedOn w:val="Normal"/>
    <w:next w:val="Normal"/>
    <w:qFormat/>
    <w:rsid w:val="00EA31D8"/>
    <w:pPr>
      <w:spacing w:before="240" w:after="60"/>
      <w:outlineLvl w:val="4"/>
    </w:pPr>
    <w:rPr>
      <w:b/>
      <w:bCs/>
      <w:i/>
      <w:iCs/>
      <w:sz w:val="26"/>
      <w:szCs w:val="26"/>
    </w:rPr>
  </w:style>
  <w:style w:type="paragraph" w:styleId="Ttulo6">
    <w:name w:val="heading 6"/>
    <w:basedOn w:val="Normal"/>
    <w:next w:val="Normal"/>
    <w:qFormat/>
    <w:rsid w:val="00EA31D8"/>
    <w:pPr>
      <w:spacing w:before="240" w:after="60"/>
      <w:outlineLvl w:val="5"/>
    </w:pPr>
    <w:rPr>
      <w:b/>
      <w:bCs/>
      <w:sz w:val="22"/>
      <w:szCs w:val="22"/>
    </w:rPr>
  </w:style>
  <w:style w:type="paragraph" w:styleId="Ttulo7">
    <w:name w:val="heading 7"/>
    <w:basedOn w:val="Normal"/>
    <w:next w:val="Normal"/>
    <w:qFormat/>
    <w:rsid w:val="00EA31D8"/>
    <w:pPr>
      <w:spacing w:before="240" w:after="60"/>
      <w:outlineLvl w:val="6"/>
    </w:pPr>
    <w:rPr>
      <w:sz w:val="24"/>
      <w:szCs w:val="24"/>
    </w:rPr>
  </w:style>
  <w:style w:type="paragraph" w:styleId="Ttulo8">
    <w:name w:val="heading 8"/>
    <w:basedOn w:val="Normal"/>
    <w:next w:val="Normal"/>
    <w:qFormat/>
    <w:rsid w:val="00EA31D8"/>
    <w:pPr>
      <w:spacing w:before="240" w:after="60"/>
      <w:outlineLvl w:val="7"/>
    </w:pPr>
    <w:rPr>
      <w:i/>
      <w:iCs/>
      <w:sz w:val="24"/>
      <w:szCs w:val="24"/>
    </w:rPr>
  </w:style>
  <w:style w:type="paragraph" w:styleId="Ttulo9">
    <w:name w:val="heading 9"/>
    <w:basedOn w:val="Normal"/>
    <w:next w:val="Normal"/>
    <w:qFormat/>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locked/>
    <w:rsid w:val="00F93BD3"/>
    <w:rPr>
      <w:lang w:val="es-ES" w:eastAsia="es-ES" w:bidi="ar-SA"/>
    </w:rPr>
  </w:style>
  <w:style w:type="character" w:customStyle="1" w:styleId="SingleTxtGCar">
    <w:name w:val="_ Single Txt_G Car"/>
    <w:locked/>
    <w:rsid w:val="00107064"/>
    <w:rPr>
      <w:lang w:val="es-ES" w:eastAsia="es-ES"/>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1D00D0"/>
    <w:pPr>
      <w:tabs>
        <w:tab w:val="right" w:pos="284"/>
      </w:tabs>
      <w:spacing w:line="220" w:lineRule="exact"/>
      <w:ind w:left="993" w:right="-1" w:hanging="142"/>
      <w:jc w:val="both"/>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semiHidden/>
    <w:rsid w:val="00EA31D8"/>
    <w:rPr>
      <w:i/>
      <w:iCs/>
    </w:rPr>
  </w:style>
  <w:style w:type="character" w:styleId="CdigoHTML">
    <w:name w:val="HTML Code"/>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qFormat/>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semiHidden/>
    <w:rsid w:val="00EA31D8"/>
    <w:rPr>
      <w:color w:val="0000FF"/>
      <w:u w:val="single"/>
    </w:rPr>
  </w:style>
  <w:style w:type="character" w:styleId="Hipervnculovisitado">
    <w:name w:val="FollowedHyperlink"/>
    <w:semiHidden/>
    <w:rsid w:val="00EA31D8"/>
    <w:rPr>
      <w:color w:val="800080"/>
      <w:u w:val="singl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rsid w:val="00EA31D8"/>
    <w:rPr>
      <w:b/>
      <w:sz w:val="18"/>
    </w:rPr>
  </w:style>
  <w:style w:type="character" w:styleId="Refdenotaalfinal">
    <w:name w:val="endnote reference"/>
    <w:aliases w:val="1_G"/>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qFormat/>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uiPriority w:val="22"/>
    <w:qFormat/>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qFormat/>
    <w:rsid w:val="00EA31D8"/>
    <w:pPr>
      <w:spacing w:before="240" w:after="60"/>
      <w:jc w:val="center"/>
      <w:outlineLvl w:val="0"/>
    </w:pPr>
    <w:rPr>
      <w:rFonts w:ascii="Arial" w:hAnsi="Arial" w:cs="Arial"/>
      <w:b/>
      <w:bCs/>
      <w:kern w:val="28"/>
      <w:sz w:val="32"/>
      <w:szCs w:val="32"/>
    </w:rPr>
  </w:style>
  <w:style w:type="character" w:styleId="VariableHTML">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paragraph" w:styleId="Textodeglobo">
    <w:name w:val="Balloon Text"/>
    <w:basedOn w:val="Normal"/>
    <w:link w:val="TextodegloboCar"/>
    <w:rsid w:val="00650F3B"/>
    <w:pPr>
      <w:spacing w:line="240" w:lineRule="auto"/>
    </w:pPr>
    <w:rPr>
      <w:rFonts w:ascii="Tahoma" w:hAnsi="Tahoma" w:cs="Tahoma"/>
      <w:sz w:val="16"/>
      <w:szCs w:val="16"/>
    </w:rPr>
  </w:style>
  <w:style w:type="character" w:customStyle="1" w:styleId="TextodegloboCar">
    <w:name w:val="Texto de globo Car"/>
    <w:link w:val="Textodeglobo"/>
    <w:rsid w:val="00650F3B"/>
    <w:rPr>
      <w:rFonts w:ascii="Tahoma" w:hAnsi="Tahoma" w:cs="Tahoma"/>
      <w:sz w:val="16"/>
      <w:szCs w:val="16"/>
      <w:lang w:val="es-ES" w:eastAsia="es-ES"/>
    </w:rPr>
  </w:style>
  <w:style w:type="character" w:styleId="Refdecomentario">
    <w:name w:val="annotation reference"/>
    <w:rsid w:val="008606FD"/>
    <w:rPr>
      <w:sz w:val="18"/>
      <w:szCs w:val="18"/>
    </w:rPr>
  </w:style>
  <w:style w:type="paragraph" w:styleId="Textocomentario">
    <w:name w:val="annotation text"/>
    <w:basedOn w:val="Normal"/>
    <w:link w:val="TextocomentarioCar"/>
    <w:rsid w:val="008606FD"/>
    <w:pPr>
      <w:spacing w:line="240" w:lineRule="auto"/>
    </w:pPr>
    <w:rPr>
      <w:sz w:val="24"/>
      <w:szCs w:val="24"/>
    </w:rPr>
  </w:style>
  <w:style w:type="character" w:customStyle="1" w:styleId="TextocomentarioCar">
    <w:name w:val="Texto comentario Car"/>
    <w:link w:val="Textocomentario"/>
    <w:rsid w:val="008606FD"/>
    <w:rPr>
      <w:sz w:val="24"/>
      <w:szCs w:val="24"/>
      <w:lang w:val="es-ES" w:eastAsia="es-ES"/>
    </w:rPr>
  </w:style>
  <w:style w:type="paragraph" w:styleId="Asuntodelcomentario">
    <w:name w:val="annotation subject"/>
    <w:basedOn w:val="Textocomentario"/>
    <w:next w:val="Textocomentario"/>
    <w:link w:val="AsuntodelcomentarioCar"/>
    <w:rsid w:val="008606FD"/>
    <w:rPr>
      <w:b/>
      <w:bCs/>
      <w:sz w:val="20"/>
      <w:szCs w:val="20"/>
    </w:rPr>
  </w:style>
  <w:style w:type="character" w:customStyle="1" w:styleId="AsuntodelcomentarioCar">
    <w:name w:val="Asunto del comentario Car"/>
    <w:link w:val="Asuntodelcomentario"/>
    <w:rsid w:val="008606FD"/>
    <w:rPr>
      <w:b/>
      <w:bCs/>
      <w:sz w:val="24"/>
      <w:szCs w:val="24"/>
      <w:lang w:val="es-ES" w:eastAsia="es-ES"/>
    </w:rPr>
  </w:style>
  <w:style w:type="paragraph" w:styleId="Revisin">
    <w:name w:val="Revision"/>
    <w:hidden/>
    <w:uiPriority w:val="71"/>
    <w:semiHidden/>
    <w:rsid w:val="00EE4A73"/>
    <w:rPr>
      <w:lang w:val="es-ES" w:eastAsia="es-ES"/>
    </w:rPr>
  </w:style>
  <w:style w:type="paragraph" w:styleId="Prrafodelista">
    <w:name w:val="List Paragraph"/>
    <w:basedOn w:val="Normal"/>
    <w:uiPriority w:val="34"/>
    <w:qFormat/>
    <w:rsid w:val="009777E4"/>
    <w:pPr>
      <w:ind w:left="720"/>
      <w:contextualSpacing/>
    </w:pPr>
    <w:rPr>
      <w:rFonts w:eastAsiaTheme="minorEastAsia"/>
    </w:rPr>
  </w:style>
  <w:style w:type="character" w:customStyle="1" w:styleId="TextonotaalfinalCar">
    <w:name w:val="Texto nota al final Car"/>
    <w:aliases w:val="2_G Car"/>
    <w:basedOn w:val="Fuentedeprrafopredeter"/>
    <w:link w:val="Textonotaalfinal"/>
    <w:rsid w:val="009777E4"/>
    <w:rPr>
      <w:sz w:val="18"/>
      <w:lang w:val="es-ES" w:eastAsia="es-ES"/>
    </w:rPr>
  </w:style>
  <w:style w:type="character" w:customStyle="1" w:styleId="TextonotapieCar">
    <w:name w:val="Texto nota pie Car"/>
    <w:aliases w:val="5_G Car"/>
    <w:basedOn w:val="Fuentedeprrafopredeter"/>
    <w:link w:val="Textonotapie"/>
    <w:rsid w:val="001D00D0"/>
    <w:rPr>
      <w:sz w:val="18"/>
      <w:lang w:val="es-ES" w:eastAsia="es-ES"/>
    </w:rPr>
  </w:style>
  <w:style w:type="paragraph" w:customStyle="1" w:styleId="Default">
    <w:name w:val="Default"/>
    <w:rsid w:val="002006D2"/>
    <w:pPr>
      <w:autoSpaceDE w:val="0"/>
      <w:autoSpaceDN w:val="0"/>
      <w:adjustRightInd w:val="0"/>
    </w:pPr>
    <w:rPr>
      <w:rFonts w:ascii="Calibri" w:hAnsi="Calibri" w:cs="Calibri"/>
      <w:color w:val="000000"/>
      <w:sz w:val="24"/>
      <w:szCs w:val="24"/>
    </w:rPr>
  </w:style>
  <w:style w:type="table" w:styleId="Cuadrculaclara-nfasis3">
    <w:name w:val="Light Grid Accent 3"/>
    <w:basedOn w:val="Tablanormal"/>
    <w:uiPriority w:val="71"/>
    <w:semiHidden/>
    <w:unhideWhenUsed/>
    <w:rsid w:val="003337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0470">
      <w:bodyDiv w:val="1"/>
      <w:marLeft w:val="0"/>
      <w:marRight w:val="0"/>
      <w:marTop w:val="0"/>
      <w:marBottom w:val="0"/>
      <w:divBdr>
        <w:top w:val="none" w:sz="0" w:space="0" w:color="auto"/>
        <w:left w:val="none" w:sz="0" w:space="0" w:color="auto"/>
        <w:bottom w:val="none" w:sz="0" w:space="0" w:color="auto"/>
        <w:right w:val="none" w:sz="0" w:space="0" w:color="auto"/>
      </w:divBdr>
    </w:div>
    <w:div w:id="148641558">
      <w:bodyDiv w:val="1"/>
      <w:marLeft w:val="0"/>
      <w:marRight w:val="0"/>
      <w:marTop w:val="0"/>
      <w:marBottom w:val="0"/>
      <w:divBdr>
        <w:top w:val="none" w:sz="0" w:space="0" w:color="auto"/>
        <w:left w:val="none" w:sz="0" w:space="0" w:color="auto"/>
        <w:bottom w:val="none" w:sz="0" w:space="0" w:color="auto"/>
        <w:right w:val="none" w:sz="0" w:space="0" w:color="auto"/>
      </w:divBdr>
      <w:divsChild>
        <w:div w:id="1515462188">
          <w:marLeft w:val="0"/>
          <w:marRight w:val="0"/>
          <w:marTop w:val="0"/>
          <w:marBottom w:val="0"/>
          <w:divBdr>
            <w:top w:val="none" w:sz="0" w:space="0" w:color="auto"/>
            <w:left w:val="none" w:sz="0" w:space="0" w:color="auto"/>
            <w:bottom w:val="none" w:sz="0" w:space="0" w:color="auto"/>
            <w:right w:val="none" w:sz="0" w:space="0" w:color="auto"/>
          </w:divBdr>
        </w:div>
      </w:divsChild>
    </w:div>
    <w:div w:id="305815642">
      <w:bodyDiv w:val="1"/>
      <w:marLeft w:val="0"/>
      <w:marRight w:val="0"/>
      <w:marTop w:val="0"/>
      <w:marBottom w:val="0"/>
      <w:divBdr>
        <w:top w:val="none" w:sz="0" w:space="0" w:color="auto"/>
        <w:left w:val="none" w:sz="0" w:space="0" w:color="auto"/>
        <w:bottom w:val="none" w:sz="0" w:space="0" w:color="auto"/>
        <w:right w:val="none" w:sz="0" w:space="0" w:color="auto"/>
      </w:divBdr>
    </w:div>
    <w:div w:id="312486121">
      <w:bodyDiv w:val="1"/>
      <w:marLeft w:val="0"/>
      <w:marRight w:val="0"/>
      <w:marTop w:val="0"/>
      <w:marBottom w:val="0"/>
      <w:divBdr>
        <w:top w:val="none" w:sz="0" w:space="0" w:color="auto"/>
        <w:left w:val="none" w:sz="0" w:space="0" w:color="auto"/>
        <w:bottom w:val="none" w:sz="0" w:space="0" w:color="auto"/>
        <w:right w:val="none" w:sz="0" w:space="0" w:color="auto"/>
      </w:divBdr>
    </w:div>
    <w:div w:id="325792696">
      <w:bodyDiv w:val="1"/>
      <w:marLeft w:val="0"/>
      <w:marRight w:val="0"/>
      <w:marTop w:val="0"/>
      <w:marBottom w:val="0"/>
      <w:divBdr>
        <w:top w:val="none" w:sz="0" w:space="0" w:color="auto"/>
        <w:left w:val="none" w:sz="0" w:space="0" w:color="auto"/>
        <w:bottom w:val="none" w:sz="0" w:space="0" w:color="auto"/>
        <w:right w:val="none" w:sz="0" w:space="0" w:color="auto"/>
      </w:divBdr>
    </w:div>
    <w:div w:id="348218744">
      <w:bodyDiv w:val="1"/>
      <w:marLeft w:val="0"/>
      <w:marRight w:val="0"/>
      <w:marTop w:val="0"/>
      <w:marBottom w:val="0"/>
      <w:divBdr>
        <w:top w:val="none" w:sz="0" w:space="0" w:color="auto"/>
        <w:left w:val="none" w:sz="0" w:space="0" w:color="auto"/>
        <w:bottom w:val="none" w:sz="0" w:space="0" w:color="auto"/>
        <w:right w:val="none" w:sz="0" w:space="0" w:color="auto"/>
      </w:divBdr>
    </w:div>
    <w:div w:id="407464396">
      <w:bodyDiv w:val="1"/>
      <w:marLeft w:val="0"/>
      <w:marRight w:val="0"/>
      <w:marTop w:val="0"/>
      <w:marBottom w:val="0"/>
      <w:divBdr>
        <w:top w:val="none" w:sz="0" w:space="0" w:color="auto"/>
        <w:left w:val="none" w:sz="0" w:space="0" w:color="auto"/>
        <w:bottom w:val="none" w:sz="0" w:space="0" w:color="auto"/>
        <w:right w:val="none" w:sz="0" w:space="0" w:color="auto"/>
      </w:divBdr>
    </w:div>
    <w:div w:id="408238442">
      <w:bodyDiv w:val="1"/>
      <w:marLeft w:val="0"/>
      <w:marRight w:val="0"/>
      <w:marTop w:val="0"/>
      <w:marBottom w:val="0"/>
      <w:divBdr>
        <w:top w:val="none" w:sz="0" w:space="0" w:color="auto"/>
        <w:left w:val="none" w:sz="0" w:space="0" w:color="auto"/>
        <w:bottom w:val="none" w:sz="0" w:space="0" w:color="auto"/>
        <w:right w:val="none" w:sz="0" w:space="0" w:color="auto"/>
      </w:divBdr>
    </w:div>
    <w:div w:id="438642529">
      <w:bodyDiv w:val="1"/>
      <w:marLeft w:val="0"/>
      <w:marRight w:val="0"/>
      <w:marTop w:val="0"/>
      <w:marBottom w:val="0"/>
      <w:divBdr>
        <w:top w:val="none" w:sz="0" w:space="0" w:color="auto"/>
        <w:left w:val="none" w:sz="0" w:space="0" w:color="auto"/>
        <w:bottom w:val="none" w:sz="0" w:space="0" w:color="auto"/>
        <w:right w:val="none" w:sz="0" w:space="0" w:color="auto"/>
      </w:divBdr>
    </w:div>
    <w:div w:id="493689507">
      <w:bodyDiv w:val="1"/>
      <w:marLeft w:val="0"/>
      <w:marRight w:val="0"/>
      <w:marTop w:val="0"/>
      <w:marBottom w:val="0"/>
      <w:divBdr>
        <w:top w:val="none" w:sz="0" w:space="0" w:color="auto"/>
        <w:left w:val="none" w:sz="0" w:space="0" w:color="auto"/>
        <w:bottom w:val="none" w:sz="0" w:space="0" w:color="auto"/>
        <w:right w:val="none" w:sz="0" w:space="0" w:color="auto"/>
      </w:divBdr>
    </w:div>
    <w:div w:id="537546267">
      <w:bodyDiv w:val="1"/>
      <w:marLeft w:val="0"/>
      <w:marRight w:val="0"/>
      <w:marTop w:val="0"/>
      <w:marBottom w:val="0"/>
      <w:divBdr>
        <w:top w:val="none" w:sz="0" w:space="0" w:color="auto"/>
        <w:left w:val="none" w:sz="0" w:space="0" w:color="auto"/>
        <w:bottom w:val="none" w:sz="0" w:space="0" w:color="auto"/>
        <w:right w:val="none" w:sz="0" w:space="0" w:color="auto"/>
      </w:divBdr>
    </w:div>
    <w:div w:id="702365400">
      <w:bodyDiv w:val="1"/>
      <w:marLeft w:val="0"/>
      <w:marRight w:val="0"/>
      <w:marTop w:val="0"/>
      <w:marBottom w:val="0"/>
      <w:divBdr>
        <w:top w:val="none" w:sz="0" w:space="0" w:color="auto"/>
        <w:left w:val="none" w:sz="0" w:space="0" w:color="auto"/>
        <w:bottom w:val="none" w:sz="0" w:space="0" w:color="auto"/>
        <w:right w:val="none" w:sz="0" w:space="0" w:color="auto"/>
      </w:divBdr>
    </w:div>
    <w:div w:id="729186061">
      <w:bodyDiv w:val="1"/>
      <w:marLeft w:val="0"/>
      <w:marRight w:val="0"/>
      <w:marTop w:val="0"/>
      <w:marBottom w:val="0"/>
      <w:divBdr>
        <w:top w:val="none" w:sz="0" w:space="0" w:color="auto"/>
        <w:left w:val="none" w:sz="0" w:space="0" w:color="auto"/>
        <w:bottom w:val="none" w:sz="0" w:space="0" w:color="auto"/>
        <w:right w:val="none" w:sz="0" w:space="0" w:color="auto"/>
      </w:divBdr>
    </w:div>
    <w:div w:id="746421809">
      <w:bodyDiv w:val="1"/>
      <w:marLeft w:val="0"/>
      <w:marRight w:val="0"/>
      <w:marTop w:val="0"/>
      <w:marBottom w:val="0"/>
      <w:divBdr>
        <w:top w:val="none" w:sz="0" w:space="0" w:color="auto"/>
        <w:left w:val="none" w:sz="0" w:space="0" w:color="auto"/>
        <w:bottom w:val="none" w:sz="0" w:space="0" w:color="auto"/>
        <w:right w:val="none" w:sz="0" w:space="0" w:color="auto"/>
      </w:divBdr>
    </w:div>
    <w:div w:id="762184243">
      <w:bodyDiv w:val="1"/>
      <w:marLeft w:val="0"/>
      <w:marRight w:val="0"/>
      <w:marTop w:val="0"/>
      <w:marBottom w:val="0"/>
      <w:divBdr>
        <w:top w:val="none" w:sz="0" w:space="0" w:color="auto"/>
        <w:left w:val="none" w:sz="0" w:space="0" w:color="auto"/>
        <w:bottom w:val="none" w:sz="0" w:space="0" w:color="auto"/>
        <w:right w:val="none" w:sz="0" w:space="0" w:color="auto"/>
      </w:divBdr>
    </w:div>
    <w:div w:id="889146489">
      <w:bodyDiv w:val="1"/>
      <w:marLeft w:val="0"/>
      <w:marRight w:val="0"/>
      <w:marTop w:val="0"/>
      <w:marBottom w:val="0"/>
      <w:divBdr>
        <w:top w:val="none" w:sz="0" w:space="0" w:color="auto"/>
        <w:left w:val="none" w:sz="0" w:space="0" w:color="auto"/>
        <w:bottom w:val="none" w:sz="0" w:space="0" w:color="auto"/>
        <w:right w:val="none" w:sz="0" w:space="0" w:color="auto"/>
      </w:divBdr>
    </w:div>
    <w:div w:id="913319793">
      <w:bodyDiv w:val="1"/>
      <w:marLeft w:val="0"/>
      <w:marRight w:val="0"/>
      <w:marTop w:val="0"/>
      <w:marBottom w:val="0"/>
      <w:divBdr>
        <w:top w:val="none" w:sz="0" w:space="0" w:color="auto"/>
        <w:left w:val="none" w:sz="0" w:space="0" w:color="auto"/>
        <w:bottom w:val="none" w:sz="0" w:space="0" w:color="auto"/>
        <w:right w:val="none" w:sz="0" w:space="0" w:color="auto"/>
      </w:divBdr>
    </w:div>
    <w:div w:id="1362588100">
      <w:bodyDiv w:val="1"/>
      <w:marLeft w:val="0"/>
      <w:marRight w:val="0"/>
      <w:marTop w:val="0"/>
      <w:marBottom w:val="0"/>
      <w:divBdr>
        <w:top w:val="none" w:sz="0" w:space="0" w:color="auto"/>
        <w:left w:val="none" w:sz="0" w:space="0" w:color="auto"/>
        <w:bottom w:val="none" w:sz="0" w:space="0" w:color="auto"/>
        <w:right w:val="none" w:sz="0" w:space="0" w:color="auto"/>
      </w:divBdr>
      <w:divsChild>
        <w:div w:id="72356287">
          <w:marLeft w:val="0"/>
          <w:marRight w:val="0"/>
          <w:marTop w:val="0"/>
          <w:marBottom w:val="0"/>
          <w:divBdr>
            <w:top w:val="none" w:sz="0" w:space="0" w:color="auto"/>
            <w:left w:val="none" w:sz="0" w:space="0" w:color="auto"/>
            <w:bottom w:val="none" w:sz="0" w:space="0" w:color="auto"/>
            <w:right w:val="none" w:sz="0" w:space="0" w:color="auto"/>
          </w:divBdr>
        </w:div>
        <w:div w:id="125241882">
          <w:marLeft w:val="0"/>
          <w:marRight w:val="0"/>
          <w:marTop w:val="0"/>
          <w:marBottom w:val="0"/>
          <w:divBdr>
            <w:top w:val="none" w:sz="0" w:space="0" w:color="auto"/>
            <w:left w:val="none" w:sz="0" w:space="0" w:color="auto"/>
            <w:bottom w:val="none" w:sz="0" w:space="0" w:color="auto"/>
            <w:right w:val="none" w:sz="0" w:space="0" w:color="auto"/>
          </w:divBdr>
        </w:div>
        <w:div w:id="221063712">
          <w:marLeft w:val="0"/>
          <w:marRight w:val="0"/>
          <w:marTop w:val="0"/>
          <w:marBottom w:val="0"/>
          <w:divBdr>
            <w:top w:val="none" w:sz="0" w:space="0" w:color="auto"/>
            <w:left w:val="none" w:sz="0" w:space="0" w:color="auto"/>
            <w:bottom w:val="none" w:sz="0" w:space="0" w:color="auto"/>
            <w:right w:val="none" w:sz="0" w:space="0" w:color="auto"/>
          </w:divBdr>
        </w:div>
        <w:div w:id="237830714">
          <w:marLeft w:val="0"/>
          <w:marRight w:val="0"/>
          <w:marTop w:val="0"/>
          <w:marBottom w:val="0"/>
          <w:divBdr>
            <w:top w:val="none" w:sz="0" w:space="0" w:color="auto"/>
            <w:left w:val="none" w:sz="0" w:space="0" w:color="auto"/>
            <w:bottom w:val="none" w:sz="0" w:space="0" w:color="auto"/>
            <w:right w:val="none" w:sz="0" w:space="0" w:color="auto"/>
          </w:divBdr>
        </w:div>
        <w:div w:id="294214913">
          <w:marLeft w:val="0"/>
          <w:marRight w:val="0"/>
          <w:marTop w:val="0"/>
          <w:marBottom w:val="0"/>
          <w:divBdr>
            <w:top w:val="none" w:sz="0" w:space="0" w:color="auto"/>
            <w:left w:val="none" w:sz="0" w:space="0" w:color="auto"/>
            <w:bottom w:val="none" w:sz="0" w:space="0" w:color="auto"/>
            <w:right w:val="none" w:sz="0" w:space="0" w:color="auto"/>
          </w:divBdr>
        </w:div>
        <w:div w:id="391852682">
          <w:marLeft w:val="0"/>
          <w:marRight w:val="0"/>
          <w:marTop w:val="0"/>
          <w:marBottom w:val="0"/>
          <w:divBdr>
            <w:top w:val="none" w:sz="0" w:space="0" w:color="auto"/>
            <w:left w:val="none" w:sz="0" w:space="0" w:color="auto"/>
            <w:bottom w:val="none" w:sz="0" w:space="0" w:color="auto"/>
            <w:right w:val="none" w:sz="0" w:space="0" w:color="auto"/>
          </w:divBdr>
        </w:div>
        <w:div w:id="585380525">
          <w:marLeft w:val="0"/>
          <w:marRight w:val="0"/>
          <w:marTop w:val="0"/>
          <w:marBottom w:val="0"/>
          <w:divBdr>
            <w:top w:val="none" w:sz="0" w:space="0" w:color="auto"/>
            <w:left w:val="none" w:sz="0" w:space="0" w:color="auto"/>
            <w:bottom w:val="none" w:sz="0" w:space="0" w:color="auto"/>
            <w:right w:val="none" w:sz="0" w:space="0" w:color="auto"/>
          </w:divBdr>
        </w:div>
        <w:div w:id="625429037">
          <w:marLeft w:val="0"/>
          <w:marRight w:val="0"/>
          <w:marTop w:val="0"/>
          <w:marBottom w:val="0"/>
          <w:divBdr>
            <w:top w:val="none" w:sz="0" w:space="0" w:color="auto"/>
            <w:left w:val="none" w:sz="0" w:space="0" w:color="auto"/>
            <w:bottom w:val="none" w:sz="0" w:space="0" w:color="auto"/>
            <w:right w:val="none" w:sz="0" w:space="0" w:color="auto"/>
          </w:divBdr>
        </w:div>
        <w:div w:id="776561888">
          <w:marLeft w:val="0"/>
          <w:marRight w:val="0"/>
          <w:marTop w:val="0"/>
          <w:marBottom w:val="0"/>
          <w:divBdr>
            <w:top w:val="none" w:sz="0" w:space="0" w:color="auto"/>
            <w:left w:val="none" w:sz="0" w:space="0" w:color="auto"/>
            <w:bottom w:val="none" w:sz="0" w:space="0" w:color="auto"/>
            <w:right w:val="none" w:sz="0" w:space="0" w:color="auto"/>
          </w:divBdr>
        </w:div>
        <w:div w:id="776826805">
          <w:marLeft w:val="0"/>
          <w:marRight w:val="0"/>
          <w:marTop w:val="0"/>
          <w:marBottom w:val="0"/>
          <w:divBdr>
            <w:top w:val="none" w:sz="0" w:space="0" w:color="auto"/>
            <w:left w:val="none" w:sz="0" w:space="0" w:color="auto"/>
            <w:bottom w:val="none" w:sz="0" w:space="0" w:color="auto"/>
            <w:right w:val="none" w:sz="0" w:space="0" w:color="auto"/>
          </w:divBdr>
        </w:div>
        <w:div w:id="1029988666">
          <w:marLeft w:val="0"/>
          <w:marRight w:val="0"/>
          <w:marTop w:val="0"/>
          <w:marBottom w:val="0"/>
          <w:divBdr>
            <w:top w:val="none" w:sz="0" w:space="0" w:color="auto"/>
            <w:left w:val="none" w:sz="0" w:space="0" w:color="auto"/>
            <w:bottom w:val="none" w:sz="0" w:space="0" w:color="auto"/>
            <w:right w:val="none" w:sz="0" w:space="0" w:color="auto"/>
          </w:divBdr>
        </w:div>
        <w:div w:id="1169977067">
          <w:marLeft w:val="0"/>
          <w:marRight w:val="0"/>
          <w:marTop w:val="0"/>
          <w:marBottom w:val="0"/>
          <w:divBdr>
            <w:top w:val="none" w:sz="0" w:space="0" w:color="auto"/>
            <w:left w:val="none" w:sz="0" w:space="0" w:color="auto"/>
            <w:bottom w:val="none" w:sz="0" w:space="0" w:color="auto"/>
            <w:right w:val="none" w:sz="0" w:space="0" w:color="auto"/>
          </w:divBdr>
        </w:div>
        <w:div w:id="1288270458">
          <w:marLeft w:val="0"/>
          <w:marRight w:val="0"/>
          <w:marTop w:val="0"/>
          <w:marBottom w:val="0"/>
          <w:divBdr>
            <w:top w:val="none" w:sz="0" w:space="0" w:color="auto"/>
            <w:left w:val="none" w:sz="0" w:space="0" w:color="auto"/>
            <w:bottom w:val="none" w:sz="0" w:space="0" w:color="auto"/>
            <w:right w:val="none" w:sz="0" w:space="0" w:color="auto"/>
          </w:divBdr>
        </w:div>
        <w:div w:id="1511606561">
          <w:marLeft w:val="0"/>
          <w:marRight w:val="0"/>
          <w:marTop w:val="0"/>
          <w:marBottom w:val="0"/>
          <w:divBdr>
            <w:top w:val="none" w:sz="0" w:space="0" w:color="auto"/>
            <w:left w:val="none" w:sz="0" w:space="0" w:color="auto"/>
            <w:bottom w:val="none" w:sz="0" w:space="0" w:color="auto"/>
            <w:right w:val="none" w:sz="0" w:space="0" w:color="auto"/>
          </w:divBdr>
        </w:div>
        <w:div w:id="1651865775">
          <w:marLeft w:val="0"/>
          <w:marRight w:val="0"/>
          <w:marTop w:val="0"/>
          <w:marBottom w:val="0"/>
          <w:divBdr>
            <w:top w:val="none" w:sz="0" w:space="0" w:color="auto"/>
            <w:left w:val="none" w:sz="0" w:space="0" w:color="auto"/>
            <w:bottom w:val="none" w:sz="0" w:space="0" w:color="auto"/>
            <w:right w:val="none" w:sz="0" w:space="0" w:color="auto"/>
          </w:divBdr>
        </w:div>
        <w:div w:id="1715301410">
          <w:marLeft w:val="0"/>
          <w:marRight w:val="0"/>
          <w:marTop w:val="0"/>
          <w:marBottom w:val="0"/>
          <w:divBdr>
            <w:top w:val="none" w:sz="0" w:space="0" w:color="auto"/>
            <w:left w:val="none" w:sz="0" w:space="0" w:color="auto"/>
            <w:bottom w:val="none" w:sz="0" w:space="0" w:color="auto"/>
            <w:right w:val="none" w:sz="0" w:space="0" w:color="auto"/>
          </w:divBdr>
        </w:div>
        <w:div w:id="1811361590">
          <w:marLeft w:val="0"/>
          <w:marRight w:val="0"/>
          <w:marTop w:val="0"/>
          <w:marBottom w:val="0"/>
          <w:divBdr>
            <w:top w:val="none" w:sz="0" w:space="0" w:color="auto"/>
            <w:left w:val="none" w:sz="0" w:space="0" w:color="auto"/>
            <w:bottom w:val="none" w:sz="0" w:space="0" w:color="auto"/>
            <w:right w:val="none" w:sz="0" w:space="0" w:color="auto"/>
          </w:divBdr>
        </w:div>
        <w:div w:id="1814178588">
          <w:marLeft w:val="0"/>
          <w:marRight w:val="0"/>
          <w:marTop w:val="0"/>
          <w:marBottom w:val="0"/>
          <w:divBdr>
            <w:top w:val="none" w:sz="0" w:space="0" w:color="auto"/>
            <w:left w:val="none" w:sz="0" w:space="0" w:color="auto"/>
            <w:bottom w:val="none" w:sz="0" w:space="0" w:color="auto"/>
            <w:right w:val="none" w:sz="0" w:space="0" w:color="auto"/>
          </w:divBdr>
        </w:div>
        <w:div w:id="2035689300">
          <w:marLeft w:val="0"/>
          <w:marRight w:val="0"/>
          <w:marTop w:val="0"/>
          <w:marBottom w:val="0"/>
          <w:divBdr>
            <w:top w:val="none" w:sz="0" w:space="0" w:color="auto"/>
            <w:left w:val="none" w:sz="0" w:space="0" w:color="auto"/>
            <w:bottom w:val="none" w:sz="0" w:space="0" w:color="auto"/>
            <w:right w:val="none" w:sz="0" w:space="0" w:color="auto"/>
          </w:divBdr>
        </w:div>
      </w:divsChild>
    </w:div>
    <w:div w:id="1387535494">
      <w:bodyDiv w:val="1"/>
      <w:marLeft w:val="0"/>
      <w:marRight w:val="0"/>
      <w:marTop w:val="0"/>
      <w:marBottom w:val="0"/>
      <w:divBdr>
        <w:top w:val="none" w:sz="0" w:space="0" w:color="auto"/>
        <w:left w:val="none" w:sz="0" w:space="0" w:color="auto"/>
        <w:bottom w:val="none" w:sz="0" w:space="0" w:color="auto"/>
        <w:right w:val="none" w:sz="0" w:space="0" w:color="auto"/>
      </w:divBdr>
      <w:divsChild>
        <w:div w:id="478887452">
          <w:marLeft w:val="0"/>
          <w:marRight w:val="0"/>
          <w:marTop w:val="0"/>
          <w:marBottom w:val="0"/>
          <w:divBdr>
            <w:top w:val="none" w:sz="0" w:space="0" w:color="auto"/>
            <w:left w:val="none" w:sz="0" w:space="0" w:color="auto"/>
            <w:bottom w:val="none" w:sz="0" w:space="0" w:color="auto"/>
            <w:right w:val="none" w:sz="0" w:space="0" w:color="auto"/>
          </w:divBdr>
        </w:div>
        <w:div w:id="1444570405">
          <w:marLeft w:val="0"/>
          <w:marRight w:val="0"/>
          <w:marTop w:val="0"/>
          <w:marBottom w:val="0"/>
          <w:divBdr>
            <w:top w:val="none" w:sz="0" w:space="0" w:color="auto"/>
            <w:left w:val="none" w:sz="0" w:space="0" w:color="auto"/>
            <w:bottom w:val="none" w:sz="0" w:space="0" w:color="auto"/>
            <w:right w:val="none" w:sz="0" w:space="0" w:color="auto"/>
          </w:divBdr>
        </w:div>
        <w:div w:id="1552577653">
          <w:marLeft w:val="0"/>
          <w:marRight w:val="0"/>
          <w:marTop w:val="0"/>
          <w:marBottom w:val="0"/>
          <w:divBdr>
            <w:top w:val="none" w:sz="0" w:space="0" w:color="auto"/>
            <w:left w:val="none" w:sz="0" w:space="0" w:color="auto"/>
            <w:bottom w:val="none" w:sz="0" w:space="0" w:color="auto"/>
            <w:right w:val="none" w:sz="0" w:space="0" w:color="auto"/>
          </w:divBdr>
        </w:div>
        <w:div w:id="1653874736">
          <w:marLeft w:val="0"/>
          <w:marRight w:val="0"/>
          <w:marTop w:val="0"/>
          <w:marBottom w:val="0"/>
          <w:divBdr>
            <w:top w:val="none" w:sz="0" w:space="0" w:color="auto"/>
            <w:left w:val="none" w:sz="0" w:space="0" w:color="auto"/>
            <w:bottom w:val="none" w:sz="0" w:space="0" w:color="auto"/>
            <w:right w:val="none" w:sz="0" w:space="0" w:color="auto"/>
          </w:divBdr>
        </w:div>
        <w:div w:id="1904220050">
          <w:marLeft w:val="0"/>
          <w:marRight w:val="0"/>
          <w:marTop w:val="0"/>
          <w:marBottom w:val="0"/>
          <w:divBdr>
            <w:top w:val="none" w:sz="0" w:space="0" w:color="auto"/>
            <w:left w:val="none" w:sz="0" w:space="0" w:color="auto"/>
            <w:bottom w:val="none" w:sz="0" w:space="0" w:color="auto"/>
            <w:right w:val="none" w:sz="0" w:space="0" w:color="auto"/>
          </w:divBdr>
        </w:div>
      </w:divsChild>
    </w:div>
    <w:div w:id="1404184603">
      <w:bodyDiv w:val="1"/>
      <w:marLeft w:val="0"/>
      <w:marRight w:val="0"/>
      <w:marTop w:val="0"/>
      <w:marBottom w:val="0"/>
      <w:divBdr>
        <w:top w:val="none" w:sz="0" w:space="0" w:color="auto"/>
        <w:left w:val="none" w:sz="0" w:space="0" w:color="auto"/>
        <w:bottom w:val="none" w:sz="0" w:space="0" w:color="auto"/>
        <w:right w:val="none" w:sz="0" w:space="0" w:color="auto"/>
      </w:divBdr>
    </w:div>
    <w:div w:id="1437409074">
      <w:bodyDiv w:val="1"/>
      <w:marLeft w:val="0"/>
      <w:marRight w:val="0"/>
      <w:marTop w:val="0"/>
      <w:marBottom w:val="0"/>
      <w:divBdr>
        <w:top w:val="none" w:sz="0" w:space="0" w:color="auto"/>
        <w:left w:val="none" w:sz="0" w:space="0" w:color="auto"/>
        <w:bottom w:val="none" w:sz="0" w:space="0" w:color="auto"/>
        <w:right w:val="none" w:sz="0" w:space="0" w:color="auto"/>
      </w:divBdr>
    </w:div>
    <w:div w:id="1483698074">
      <w:bodyDiv w:val="1"/>
      <w:marLeft w:val="0"/>
      <w:marRight w:val="0"/>
      <w:marTop w:val="0"/>
      <w:marBottom w:val="0"/>
      <w:divBdr>
        <w:top w:val="none" w:sz="0" w:space="0" w:color="auto"/>
        <w:left w:val="none" w:sz="0" w:space="0" w:color="auto"/>
        <w:bottom w:val="none" w:sz="0" w:space="0" w:color="auto"/>
        <w:right w:val="none" w:sz="0" w:space="0" w:color="auto"/>
      </w:divBdr>
    </w:div>
    <w:div w:id="1708532393">
      <w:bodyDiv w:val="1"/>
      <w:marLeft w:val="0"/>
      <w:marRight w:val="0"/>
      <w:marTop w:val="0"/>
      <w:marBottom w:val="0"/>
      <w:divBdr>
        <w:top w:val="none" w:sz="0" w:space="0" w:color="auto"/>
        <w:left w:val="none" w:sz="0" w:space="0" w:color="auto"/>
        <w:bottom w:val="none" w:sz="0" w:space="0" w:color="auto"/>
        <w:right w:val="none" w:sz="0" w:space="0" w:color="auto"/>
      </w:divBdr>
    </w:div>
    <w:div w:id="1764372198">
      <w:bodyDiv w:val="1"/>
      <w:marLeft w:val="0"/>
      <w:marRight w:val="0"/>
      <w:marTop w:val="0"/>
      <w:marBottom w:val="0"/>
      <w:divBdr>
        <w:top w:val="none" w:sz="0" w:space="0" w:color="auto"/>
        <w:left w:val="none" w:sz="0" w:space="0" w:color="auto"/>
        <w:bottom w:val="none" w:sz="0" w:space="0" w:color="auto"/>
        <w:right w:val="none" w:sz="0" w:space="0" w:color="auto"/>
      </w:divBdr>
    </w:div>
    <w:div w:id="1891651447">
      <w:bodyDiv w:val="1"/>
      <w:marLeft w:val="0"/>
      <w:marRight w:val="0"/>
      <w:marTop w:val="0"/>
      <w:marBottom w:val="0"/>
      <w:divBdr>
        <w:top w:val="none" w:sz="0" w:space="0" w:color="auto"/>
        <w:left w:val="none" w:sz="0" w:space="0" w:color="auto"/>
        <w:bottom w:val="none" w:sz="0" w:space="0" w:color="auto"/>
        <w:right w:val="none" w:sz="0" w:space="0" w:color="auto"/>
      </w:divBdr>
      <w:divsChild>
        <w:div w:id="1106147803">
          <w:marLeft w:val="0"/>
          <w:marRight w:val="0"/>
          <w:marTop w:val="0"/>
          <w:marBottom w:val="0"/>
          <w:divBdr>
            <w:top w:val="none" w:sz="0" w:space="0" w:color="auto"/>
            <w:left w:val="none" w:sz="0" w:space="0" w:color="auto"/>
            <w:bottom w:val="none" w:sz="0" w:space="0" w:color="auto"/>
            <w:right w:val="none" w:sz="0" w:space="0" w:color="auto"/>
          </w:divBdr>
          <w:divsChild>
            <w:div w:id="1897622981">
              <w:marLeft w:val="0"/>
              <w:marRight w:val="0"/>
              <w:marTop w:val="0"/>
              <w:marBottom w:val="0"/>
              <w:divBdr>
                <w:top w:val="none" w:sz="0" w:space="0" w:color="auto"/>
                <w:left w:val="none" w:sz="0" w:space="0" w:color="auto"/>
                <w:bottom w:val="none" w:sz="0" w:space="0" w:color="auto"/>
                <w:right w:val="none" w:sz="0" w:space="0" w:color="auto"/>
              </w:divBdr>
              <w:divsChild>
                <w:div w:id="140731585">
                  <w:marLeft w:val="-225"/>
                  <w:marRight w:val="-225"/>
                  <w:marTop w:val="0"/>
                  <w:marBottom w:val="0"/>
                  <w:divBdr>
                    <w:top w:val="none" w:sz="0" w:space="0" w:color="auto"/>
                    <w:left w:val="none" w:sz="0" w:space="0" w:color="auto"/>
                    <w:bottom w:val="none" w:sz="0" w:space="0" w:color="auto"/>
                    <w:right w:val="none" w:sz="0" w:space="0" w:color="auto"/>
                  </w:divBdr>
                  <w:divsChild>
                    <w:div w:id="422335054">
                      <w:marLeft w:val="0"/>
                      <w:marRight w:val="0"/>
                      <w:marTop w:val="0"/>
                      <w:marBottom w:val="0"/>
                      <w:divBdr>
                        <w:top w:val="none" w:sz="0" w:space="0" w:color="auto"/>
                        <w:left w:val="none" w:sz="0" w:space="0" w:color="auto"/>
                        <w:bottom w:val="none" w:sz="0" w:space="0" w:color="auto"/>
                        <w:right w:val="none" w:sz="0" w:space="0" w:color="auto"/>
                      </w:divBdr>
                      <w:divsChild>
                        <w:div w:id="1266231700">
                          <w:marLeft w:val="0"/>
                          <w:marRight w:val="0"/>
                          <w:marTop w:val="0"/>
                          <w:marBottom w:val="0"/>
                          <w:divBdr>
                            <w:top w:val="none" w:sz="0" w:space="0" w:color="auto"/>
                            <w:left w:val="none" w:sz="0" w:space="0" w:color="auto"/>
                            <w:bottom w:val="none" w:sz="0" w:space="0" w:color="auto"/>
                            <w:right w:val="none" w:sz="0" w:space="0" w:color="auto"/>
                          </w:divBdr>
                          <w:divsChild>
                            <w:div w:id="5695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95135">
      <w:bodyDiv w:val="1"/>
      <w:marLeft w:val="0"/>
      <w:marRight w:val="0"/>
      <w:marTop w:val="0"/>
      <w:marBottom w:val="0"/>
      <w:divBdr>
        <w:top w:val="none" w:sz="0" w:space="0" w:color="auto"/>
        <w:left w:val="none" w:sz="0" w:space="0" w:color="auto"/>
        <w:bottom w:val="none" w:sz="0" w:space="0" w:color="auto"/>
        <w:right w:val="none" w:sz="0" w:space="0" w:color="auto"/>
      </w:divBdr>
    </w:div>
    <w:div w:id="2084792500">
      <w:bodyDiv w:val="1"/>
      <w:marLeft w:val="0"/>
      <w:marRight w:val="0"/>
      <w:marTop w:val="0"/>
      <w:marBottom w:val="0"/>
      <w:divBdr>
        <w:top w:val="none" w:sz="0" w:space="0" w:color="auto"/>
        <w:left w:val="none" w:sz="0" w:space="0" w:color="auto"/>
        <w:bottom w:val="none" w:sz="0" w:space="0" w:color="auto"/>
        <w:right w:val="none" w:sz="0" w:space="0" w:color="auto"/>
      </w:divBdr>
    </w:div>
    <w:div w:id="2089958861">
      <w:bodyDiv w:val="1"/>
      <w:marLeft w:val="0"/>
      <w:marRight w:val="0"/>
      <w:marTop w:val="0"/>
      <w:marBottom w:val="0"/>
      <w:divBdr>
        <w:top w:val="none" w:sz="0" w:space="0" w:color="auto"/>
        <w:left w:val="none" w:sz="0" w:space="0" w:color="auto"/>
        <w:bottom w:val="none" w:sz="0" w:space="0" w:color="auto"/>
        <w:right w:val="none" w:sz="0" w:space="0" w:color="auto"/>
      </w:divBdr>
    </w:div>
    <w:div w:id="2138059018">
      <w:bodyDiv w:val="1"/>
      <w:marLeft w:val="0"/>
      <w:marRight w:val="0"/>
      <w:marTop w:val="0"/>
      <w:marBottom w:val="0"/>
      <w:divBdr>
        <w:top w:val="none" w:sz="0" w:space="0" w:color="auto"/>
        <w:left w:val="none" w:sz="0" w:space="0" w:color="auto"/>
        <w:bottom w:val="none" w:sz="0" w:space="0" w:color="auto"/>
        <w:right w:val="none" w:sz="0" w:space="0" w:color="auto"/>
      </w:divBdr>
    </w:div>
    <w:div w:id="2142991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6BC1-DB79-40C5-988B-AB4F4ABB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Template>
  <TotalTime>0</TotalTime>
  <Pages>9</Pages>
  <Words>5019</Words>
  <Characters>27605</Characters>
  <Application>Microsoft Office Word</Application>
  <DocSecurity>0</DocSecurity>
  <Lines>230</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CERD/C/COL/CO/R.17-19</vt:lpstr>
      <vt:lpstr>CERD/C/COL/CO/R.17-19</vt:lpstr>
    </vt:vector>
  </TitlesOfParts>
  <Company>OHCHR</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CERD/C/COL/CO/17-19</dc:title>
  <dc:subject/>
  <dc:creator>Maria Luisa Zeballos Moreno</dc:creator>
  <cp:keywords/>
  <dc:description/>
  <cp:lastModifiedBy>Maria De La Plaza</cp:lastModifiedBy>
  <cp:revision>3</cp:revision>
  <cp:lastPrinted>2020-01-22T15:07:00Z</cp:lastPrinted>
  <dcterms:created xsi:type="dcterms:W3CDTF">2020-01-22T15:07:00Z</dcterms:created>
  <dcterms:modified xsi:type="dcterms:W3CDTF">2020-01-22T15:07:00Z</dcterms:modified>
</cp:coreProperties>
</file>