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3C4479" w:rsidP="003C4479">
            <w:pPr>
              <w:jc w:val="right"/>
            </w:pPr>
            <w:r w:rsidRPr="003C4479">
              <w:rPr>
                <w:sz w:val="40"/>
              </w:rPr>
              <w:t>CRC</w:t>
            </w:r>
            <w:r>
              <w:t>/C/GNB/Q/2-4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BA326C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4479" w:rsidRDefault="003C4479" w:rsidP="006A2FF6">
            <w:pPr>
              <w:spacing w:before="240"/>
            </w:pPr>
            <w:r>
              <w:t>Distr. générale</w:t>
            </w:r>
          </w:p>
          <w:p w:rsidR="003C4479" w:rsidRDefault="003C4479" w:rsidP="003C4479">
            <w:pPr>
              <w:spacing w:line="240" w:lineRule="exact"/>
            </w:pPr>
            <w:r>
              <w:t>26 mars 2012</w:t>
            </w:r>
          </w:p>
          <w:p w:rsidR="003C4479" w:rsidRDefault="003C4479" w:rsidP="003C4479">
            <w:pPr>
              <w:spacing w:line="240" w:lineRule="exact"/>
            </w:pPr>
            <w:r>
              <w:t>Français</w:t>
            </w:r>
          </w:p>
          <w:p w:rsidR="00060E82" w:rsidRPr="00DB58B5" w:rsidRDefault="003C4479" w:rsidP="003C4479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</w:t>
      </w:r>
      <w:r w:rsidR="00BA326C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3C4479" w:rsidRPr="003C4479" w:rsidRDefault="003C4479" w:rsidP="003C4479">
      <w:pPr>
        <w:rPr>
          <w:b/>
        </w:rPr>
      </w:pPr>
      <w:r w:rsidRPr="003C4479">
        <w:rPr>
          <w:b/>
        </w:rPr>
        <w:t>Soixante et unième session</w:t>
      </w:r>
    </w:p>
    <w:p w:rsidR="003C4479" w:rsidRPr="003C4479" w:rsidRDefault="003C4479" w:rsidP="003C4479">
      <w:r w:rsidRPr="003C4479">
        <w:t>17 septembre-5 octobre 2012</w:t>
      </w:r>
    </w:p>
    <w:p w:rsidR="003C4479" w:rsidRPr="003C4479" w:rsidRDefault="003C4479" w:rsidP="003C4479">
      <w:pPr>
        <w:pStyle w:val="HChG"/>
      </w:pPr>
      <w:r>
        <w:tab/>
      </w:r>
      <w:r>
        <w:tab/>
      </w:r>
      <w:r w:rsidRPr="003C4479">
        <w:t>Application de la Convention relative aux droits de l</w:t>
      </w:r>
      <w:r w:rsidR="00BA326C">
        <w:t>’</w:t>
      </w:r>
      <w:r w:rsidRPr="003C4479">
        <w:t>enfant</w:t>
      </w:r>
    </w:p>
    <w:p w:rsidR="003C4479" w:rsidRPr="003C4479" w:rsidRDefault="003C4479" w:rsidP="003C4479">
      <w:pPr>
        <w:pStyle w:val="H1G"/>
      </w:pPr>
      <w:r>
        <w:tab/>
      </w:r>
      <w:r>
        <w:tab/>
      </w:r>
      <w:r w:rsidRPr="003C4479">
        <w:t xml:space="preserve">Liste de points appelant des informations complémentaires </w:t>
      </w:r>
      <w:r w:rsidR="00A0304E">
        <w:br/>
      </w:r>
      <w:r w:rsidRPr="003C4479">
        <w:t>et actualisées en vue de l</w:t>
      </w:r>
      <w:r w:rsidR="00BA326C">
        <w:t>’</w:t>
      </w:r>
      <w:r w:rsidRPr="003C4479">
        <w:t xml:space="preserve">examen des troisième et quatrième </w:t>
      </w:r>
      <w:r w:rsidR="00A0304E">
        <w:br/>
      </w:r>
      <w:r w:rsidRPr="003C4479">
        <w:t xml:space="preserve">rapports périodiques de la Guinée-Bissau présentés </w:t>
      </w:r>
      <w:r w:rsidR="00A0304E">
        <w:br/>
      </w:r>
      <w:r w:rsidRPr="003C4479">
        <w:t>en un seul document (CRC/GNB/2-4)</w:t>
      </w:r>
    </w:p>
    <w:p w:rsidR="003C4479" w:rsidRPr="003C4479" w:rsidRDefault="003C4479" w:rsidP="003C4479">
      <w:pPr>
        <w:pStyle w:val="H23G"/>
      </w:pPr>
      <w:r>
        <w:tab/>
      </w:r>
      <w:r>
        <w:tab/>
      </w:r>
      <w:r w:rsidRPr="003C4479">
        <w:t>L</w:t>
      </w:r>
      <w:r w:rsidR="00BA326C">
        <w:t>’</w:t>
      </w:r>
      <w:r w:rsidRPr="003C4479">
        <w:t xml:space="preserve">État partie est invité à </w:t>
      </w:r>
      <w:r>
        <w:t>soumettre</w:t>
      </w:r>
      <w:r w:rsidRPr="003C4479">
        <w:t xml:space="preserve"> par écrit des </w:t>
      </w:r>
      <w:r>
        <w:t>information</w:t>
      </w:r>
      <w:r w:rsidRPr="003C4479">
        <w:t xml:space="preserve">s </w:t>
      </w:r>
      <w:r>
        <w:t>com</w:t>
      </w:r>
      <w:r w:rsidRPr="003C4479">
        <w:t xml:space="preserve">plémentaires </w:t>
      </w:r>
      <w:r w:rsidR="00A0304E">
        <w:br/>
      </w:r>
      <w:r w:rsidRPr="003C4479">
        <w:t xml:space="preserve">et </w:t>
      </w:r>
      <w:r>
        <w:t>actualisées</w:t>
      </w:r>
      <w:r w:rsidRPr="003C4479">
        <w:t xml:space="preserve">, si possible avant le 2 juillet 2012. </w:t>
      </w:r>
    </w:p>
    <w:p w:rsidR="003C4479" w:rsidRPr="003C4479" w:rsidRDefault="003C4479" w:rsidP="003C4479">
      <w:pPr>
        <w:pStyle w:val="H4G"/>
      </w:pPr>
      <w:r>
        <w:tab/>
      </w:r>
      <w:r>
        <w:tab/>
      </w:r>
      <w:r w:rsidRPr="003C4479">
        <w:t>Le Comité pourra aborder tous les aspects des droits de l</w:t>
      </w:r>
      <w:r w:rsidR="00BA326C">
        <w:t>’</w:t>
      </w:r>
      <w:r w:rsidRPr="003C4479">
        <w:t>enf</w:t>
      </w:r>
      <w:r>
        <w:t xml:space="preserve">ant énoncés </w:t>
      </w:r>
      <w:r w:rsidR="00A0304E">
        <w:br/>
      </w:r>
      <w:r>
        <w:t xml:space="preserve">dans la Convention au cours </w:t>
      </w:r>
      <w:r w:rsidRPr="003C4479">
        <w:t>du dialogue avec l</w:t>
      </w:r>
      <w:r w:rsidR="00BA326C">
        <w:t>’</w:t>
      </w:r>
      <w:r w:rsidRPr="003C4479">
        <w:t>État partie</w:t>
      </w:r>
      <w:r w:rsidR="0075256B">
        <w:t>.</w:t>
      </w:r>
    </w:p>
    <w:p w:rsidR="00DA3BE9" w:rsidRDefault="003C4479" w:rsidP="003C4479">
      <w:pPr>
        <w:pStyle w:val="HChG"/>
      </w:pPr>
      <w:r>
        <w:tab/>
      </w:r>
      <w:r>
        <w:tab/>
      </w:r>
      <w:r w:rsidRPr="003C4479">
        <w:t>Première partie</w:t>
      </w:r>
    </w:p>
    <w:p w:rsidR="003C4479" w:rsidRDefault="003C4479" w:rsidP="003C4479">
      <w:pPr>
        <w:pStyle w:val="H23G"/>
      </w:pPr>
      <w:r>
        <w:tab/>
      </w:r>
      <w:r>
        <w:tab/>
        <w:t>Sous cette rubrique, l</w:t>
      </w:r>
      <w:r w:rsidR="00BA326C">
        <w:t>’</w:t>
      </w:r>
      <w:r w:rsidRPr="003C4479">
        <w:t xml:space="preserve">État partie est invité à répondre </w:t>
      </w:r>
      <w:r>
        <w:t xml:space="preserve">(en </w:t>
      </w:r>
      <w:r w:rsidRPr="003C4479">
        <w:t>30 pages</w:t>
      </w:r>
      <w:r>
        <w:t xml:space="preserve"> maximum) </w:t>
      </w:r>
      <w:r w:rsidR="00A0304E">
        <w:br/>
      </w:r>
      <w:r w:rsidRPr="003C4479">
        <w:t>aux questions ci-après</w:t>
      </w:r>
      <w:r w:rsidR="0075256B">
        <w:t>.</w:t>
      </w:r>
    </w:p>
    <w:p w:rsidR="003C4479" w:rsidRPr="003C4479" w:rsidRDefault="003C4479" w:rsidP="00BA326C">
      <w:pPr>
        <w:pStyle w:val="SingleTxtG"/>
      </w:pPr>
      <w:r w:rsidRPr="003C4479">
        <w:t>1.</w:t>
      </w:r>
      <w:r w:rsidRPr="003C4479">
        <w:tab/>
      </w:r>
      <w:r>
        <w:t>Donne</w:t>
      </w:r>
      <w:r w:rsidRPr="003C4479">
        <w:t>r des informations détaillées sur l</w:t>
      </w:r>
      <w:r w:rsidR="00BA326C">
        <w:t>’</w:t>
      </w:r>
      <w:r w:rsidRPr="003C4479">
        <w:t>état d</w:t>
      </w:r>
      <w:r w:rsidR="00BA326C">
        <w:t>’</w:t>
      </w:r>
      <w:r w:rsidRPr="003C4479">
        <w:t>avancement</w:t>
      </w:r>
      <w:r w:rsidR="00BA326C">
        <w:t xml:space="preserve"> </w:t>
      </w:r>
      <w:r w:rsidRPr="003C4479">
        <w:t>de l</w:t>
      </w:r>
      <w:r w:rsidR="00BA326C">
        <w:t>’</w:t>
      </w:r>
      <w:r w:rsidRPr="003C4479">
        <w:t>élaboration ou de l</w:t>
      </w:r>
      <w:r w:rsidR="00BA326C">
        <w:t>’</w:t>
      </w:r>
      <w:r w:rsidRPr="003C4479">
        <w:t>adoption du Code de protection de l</w:t>
      </w:r>
      <w:r w:rsidR="00BA326C">
        <w:t>’</w:t>
      </w:r>
      <w:r w:rsidRPr="003C4479">
        <w:t>enfant proposé par le Ministre de la justice.</w:t>
      </w:r>
    </w:p>
    <w:p w:rsidR="003C4479" w:rsidRPr="003C4479" w:rsidRDefault="003C4479" w:rsidP="003C4479">
      <w:pPr>
        <w:pStyle w:val="SingleTxtG"/>
      </w:pPr>
      <w:r w:rsidRPr="003C4479">
        <w:t>2.</w:t>
      </w:r>
      <w:r w:rsidRPr="003C4479">
        <w:tab/>
      </w:r>
      <w:r>
        <w:t>Donner</w:t>
      </w:r>
      <w:r w:rsidRPr="003C4479">
        <w:t xml:space="preserve"> des informations détaillées et actualisées sur les mécanismes </w:t>
      </w:r>
      <w:r>
        <w:t>en place</w:t>
      </w:r>
      <w:r w:rsidRPr="003C4479">
        <w:t xml:space="preserve"> pour coordonner ses activités </w:t>
      </w:r>
      <w:r>
        <w:t>en vue de</w:t>
      </w:r>
      <w:r w:rsidRPr="003C4479">
        <w:t xml:space="preserve"> la mise en œuvre de la Convention, </w:t>
      </w:r>
      <w:r>
        <w:t>en précisant</w:t>
      </w:r>
      <w:r w:rsidRPr="003C4479">
        <w:t>:</w:t>
      </w:r>
    </w:p>
    <w:p w:rsidR="003C4479" w:rsidRPr="003C4479" w:rsidRDefault="003C4479" w:rsidP="003C4479">
      <w:pPr>
        <w:pStyle w:val="SingleTxtG"/>
        <w:ind w:firstLine="567"/>
      </w:pPr>
      <w:r>
        <w:t>a)</w:t>
      </w:r>
      <w:r>
        <w:tab/>
        <w:t>L</w:t>
      </w:r>
      <w:r w:rsidRPr="003C4479">
        <w:t xml:space="preserve">es responsabilités </w:t>
      </w:r>
      <w:r>
        <w:t>et le mandat de chacun</w:t>
      </w:r>
      <w:r w:rsidRPr="003C4479">
        <w:t xml:space="preserve"> des </w:t>
      </w:r>
      <w:r w:rsidR="00BA326C" w:rsidRPr="003C4479">
        <w:t>ministè</w:t>
      </w:r>
      <w:r w:rsidR="00BA326C">
        <w:t>re</w:t>
      </w:r>
      <w:r w:rsidR="00BA326C" w:rsidRPr="003C4479">
        <w:t>s</w:t>
      </w:r>
      <w:r w:rsidRPr="003C4479">
        <w:t xml:space="preserve"> qui s</w:t>
      </w:r>
      <w:r w:rsidR="00BA326C">
        <w:t>’</w:t>
      </w:r>
      <w:r w:rsidRPr="003C4479">
        <w:t>occupent de l</w:t>
      </w:r>
      <w:r w:rsidR="00BA326C">
        <w:t>’</w:t>
      </w:r>
      <w:r w:rsidRPr="003C4479">
        <w:t>application de la Convention ou de parties de cet instrument;</w:t>
      </w:r>
    </w:p>
    <w:p w:rsidR="003C4479" w:rsidRPr="003C4479" w:rsidRDefault="003C4479" w:rsidP="003C4479">
      <w:pPr>
        <w:pStyle w:val="SingleTxtG"/>
        <w:ind w:firstLine="567"/>
      </w:pPr>
      <w:r>
        <w:t>b)</w:t>
      </w:r>
      <w:r>
        <w:tab/>
        <w:t>Le mandat</w:t>
      </w:r>
      <w:r w:rsidRPr="003C4479">
        <w:t xml:space="preserve"> du Conseil national de l</w:t>
      </w:r>
      <w:r w:rsidR="00BA326C">
        <w:t>’</w:t>
      </w:r>
      <w:r w:rsidRPr="003C4479">
        <w:t>enfance par rapport à celui de l</w:t>
      </w:r>
      <w:r w:rsidR="00BA326C">
        <w:t>’</w:t>
      </w:r>
      <w:r w:rsidRPr="003C4479">
        <w:t>Institut de la femme et de l</w:t>
      </w:r>
      <w:r w:rsidR="00BA326C">
        <w:t>’</w:t>
      </w:r>
      <w:r w:rsidRPr="003C4479">
        <w:t>enfant;</w:t>
      </w:r>
    </w:p>
    <w:p w:rsidR="003C4479" w:rsidRPr="003C4479" w:rsidRDefault="003C4479" w:rsidP="003C4479">
      <w:pPr>
        <w:pStyle w:val="SingleTxtG"/>
        <w:ind w:firstLine="567"/>
      </w:pPr>
      <w:r w:rsidRPr="003C4479">
        <w:t>c)</w:t>
      </w:r>
      <w:r w:rsidRPr="003C4479">
        <w:tab/>
        <w:t>Tou</w:t>
      </w:r>
      <w:r>
        <w:t>t</w:t>
      </w:r>
      <w:r w:rsidRPr="003C4479">
        <w:t xml:space="preserve"> autre mécanisme de coordination horizontale et verticale </w:t>
      </w:r>
      <w:r>
        <w:t>qui peut</w:t>
      </w:r>
      <w:r w:rsidRPr="003C4479">
        <w:t xml:space="preserve"> </w:t>
      </w:r>
      <w:r>
        <w:t>exister</w:t>
      </w:r>
      <w:r w:rsidRPr="003C4479">
        <w:t>, y compris au niveau local, aux fins de l</w:t>
      </w:r>
      <w:r w:rsidR="00BA326C">
        <w:t>’</w:t>
      </w:r>
      <w:r w:rsidRPr="003C4479">
        <w:t>application de la Convention;</w:t>
      </w:r>
    </w:p>
    <w:p w:rsidR="003C4479" w:rsidRPr="003C4479" w:rsidRDefault="003C4479" w:rsidP="003C4479">
      <w:pPr>
        <w:pStyle w:val="SingleTxtG"/>
        <w:ind w:firstLine="567"/>
      </w:pPr>
      <w:r w:rsidRPr="003C4479">
        <w:t>d)</w:t>
      </w:r>
      <w:r w:rsidRPr="003C4479">
        <w:tab/>
        <w:t xml:space="preserve">Les ressources humaines, techniques et financières affectées </w:t>
      </w:r>
      <w:r>
        <w:t>à ces</w:t>
      </w:r>
      <w:r w:rsidRPr="003C4479">
        <w:t xml:space="preserve"> mécanismes.</w:t>
      </w:r>
    </w:p>
    <w:p w:rsidR="003C4479" w:rsidRPr="003C4479" w:rsidRDefault="003C4479" w:rsidP="003C4479">
      <w:pPr>
        <w:pStyle w:val="SingleTxtG"/>
      </w:pPr>
      <w:r w:rsidRPr="003C4479">
        <w:t>3.</w:t>
      </w:r>
      <w:r w:rsidRPr="003C4479">
        <w:tab/>
      </w:r>
      <w:r>
        <w:t>Donne</w:t>
      </w:r>
      <w:r w:rsidRPr="003C4479">
        <w:t xml:space="preserve">r des informations actualisées sur les mesures prises pour </w:t>
      </w:r>
      <w:r>
        <w:t>établir</w:t>
      </w:r>
      <w:r w:rsidRPr="003C4479">
        <w:t xml:space="preserve"> un </w:t>
      </w:r>
      <w:r w:rsidR="00763967">
        <w:t>p</w:t>
      </w:r>
      <w:r w:rsidRPr="003C4479">
        <w:t>lan d</w:t>
      </w:r>
      <w:r w:rsidR="00BA326C">
        <w:t>’</w:t>
      </w:r>
      <w:r w:rsidRPr="003C4479">
        <w:t>action national relatif aux droits de l</w:t>
      </w:r>
      <w:r w:rsidR="00BA326C">
        <w:t>’</w:t>
      </w:r>
      <w:r w:rsidRPr="003C4479">
        <w:t xml:space="preserve">enfant. </w:t>
      </w:r>
      <w:r>
        <w:t>Expliquer comment l</w:t>
      </w:r>
      <w:r w:rsidRPr="003C4479">
        <w:t>es stratégies de l</w:t>
      </w:r>
      <w:r w:rsidR="00BA326C">
        <w:t>’</w:t>
      </w:r>
      <w:r w:rsidRPr="003C4479">
        <w:t xml:space="preserve">État partie </w:t>
      </w:r>
      <w:r>
        <w:t>intègrent</w:t>
      </w:r>
      <w:r w:rsidRPr="003C4479">
        <w:t xml:space="preserve"> les enfants orphelins et/ou vulnérables, </w:t>
      </w:r>
      <w:r>
        <w:t>dont</w:t>
      </w:r>
      <w:r w:rsidRPr="003C4479">
        <w:t xml:space="preserve"> les enfants porteurs du VIH, </w:t>
      </w:r>
      <w:r>
        <w:t>les enfants</w:t>
      </w:r>
      <w:r w:rsidRPr="003C4479">
        <w:t xml:space="preserve"> victimes de </w:t>
      </w:r>
      <w:r w:rsidR="00763967">
        <w:t xml:space="preserve">la </w:t>
      </w:r>
      <w:r w:rsidRPr="003C4479">
        <w:t xml:space="preserve">traite et de pratiques </w:t>
      </w:r>
      <w:r>
        <w:t>préjudiciabl</w:t>
      </w:r>
      <w:r w:rsidRPr="003C4479">
        <w:t xml:space="preserve">es. </w:t>
      </w:r>
      <w:r>
        <w:t>Préciser quels sont</w:t>
      </w:r>
      <w:r w:rsidRPr="003C4479">
        <w:t xml:space="preserve"> les délais d</w:t>
      </w:r>
      <w:r w:rsidR="00BA326C">
        <w:t>’</w:t>
      </w:r>
      <w:r w:rsidRPr="003C4479">
        <w:t>exécution des stratégies précitées.</w:t>
      </w:r>
    </w:p>
    <w:p w:rsidR="003C4479" w:rsidRPr="003C4479" w:rsidRDefault="003C4479" w:rsidP="003C4479">
      <w:pPr>
        <w:pStyle w:val="SingleTxtG"/>
      </w:pPr>
      <w:r w:rsidRPr="003C4479">
        <w:t>4.</w:t>
      </w:r>
      <w:r w:rsidRPr="003C4479">
        <w:tab/>
      </w:r>
      <w:r>
        <w:t>Donne</w:t>
      </w:r>
      <w:r w:rsidRPr="003C4479">
        <w:t xml:space="preserve">r des informations sur les mesures prises, le cas échéant, </w:t>
      </w:r>
      <w:r>
        <w:t>pour chercher à modifier les comportements</w:t>
      </w:r>
      <w:r w:rsidRPr="003C4479">
        <w:t xml:space="preserve"> socia</w:t>
      </w:r>
      <w:r>
        <w:t>ux</w:t>
      </w:r>
      <w:r w:rsidRPr="003C4479">
        <w:t xml:space="preserve"> entravant l</w:t>
      </w:r>
      <w:r w:rsidR="00BA326C">
        <w:t>’</w:t>
      </w:r>
      <w:r w:rsidRPr="003C4479">
        <w:t xml:space="preserve">application de la Convention. </w:t>
      </w:r>
      <w:r>
        <w:t>Expliquer ce qui est fait</w:t>
      </w:r>
      <w:r w:rsidRPr="003C4479">
        <w:t xml:space="preserve"> pour prévenir les pratiques </w:t>
      </w:r>
      <w:r>
        <w:t>préjudiciabl</w:t>
      </w:r>
      <w:r w:rsidRPr="003C4479">
        <w:t xml:space="preserve">es </w:t>
      </w:r>
      <w:r>
        <w:t>comm</w:t>
      </w:r>
      <w:r w:rsidRPr="003C4479">
        <w:t>e:</w:t>
      </w:r>
    </w:p>
    <w:p w:rsidR="003C4479" w:rsidRPr="003C4479" w:rsidRDefault="003C4479" w:rsidP="003C4479">
      <w:pPr>
        <w:pStyle w:val="SingleTxtG"/>
        <w:ind w:firstLine="567"/>
      </w:pPr>
      <w:r w:rsidRPr="003C4479">
        <w:t>a)</w:t>
      </w:r>
      <w:r w:rsidRPr="003C4479">
        <w:tab/>
        <w:t>Les mariages forcés et/ou précoces</w:t>
      </w:r>
      <w:r w:rsidR="00763967">
        <w:t>;</w:t>
      </w:r>
    </w:p>
    <w:p w:rsidR="003C4479" w:rsidRPr="003C4479" w:rsidRDefault="003C4479" w:rsidP="003C4479">
      <w:pPr>
        <w:pStyle w:val="SingleTxtG"/>
        <w:ind w:firstLine="567"/>
      </w:pPr>
      <w:r w:rsidRPr="003C4479">
        <w:t>b)</w:t>
      </w:r>
      <w:r w:rsidRPr="003C4479">
        <w:tab/>
        <w:t xml:space="preserve">Les mesures spécifiques visant à mettre effectivement en œuvre la législation </w:t>
      </w:r>
      <w:r w:rsidR="00D320EF">
        <w:t xml:space="preserve">qui </w:t>
      </w:r>
      <w:r w:rsidRPr="003C4479">
        <w:t>interdi</w:t>
      </w:r>
      <w:r w:rsidR="00D320EF">
        <w:t>t</w:t>
      </w:r>
      <w:r w:rsidRPr="003C4479">
        <w:t xml:space="preserve"> </w:t>
      </w:r>
      <w:r w:rsidR="00D320EF">
        <w:t>l</w:t>
      </w:r>
      <w:r w:rsidRPr="003C4479">
        <w:t xml:space="preserve">es mutilations </w:t>
      </w:r>
      <w:r w:rsidR="00D320EF">
        <w:t>génita</w:t>
      </w:r>
      <w:r w:rsidRPr="003C4479">
        <w:t>les féminines</w:t>
      </w:r>
      <w:r w:rsidR="00D320EF">
        <w:t>, promulguée récemment</w:t>
      </w:r>
      <w:r w:rsidRPr="003C4479">
        <w:t>;</w:t>
      </w:r>
    </w:p>
    <w:p w:rsidR="003C4479" w:rsidRPr="003C4479" w:rsidRDefault="003C4479" w:rsidP="003C4479">
      <w:pPr>
        <w:pStyle w:val="SingleTxtG"/>
        <w:ind w:firstLine="567"/>
      </w:pPr>
      <w:r w:rsidRPr="003C4479">
        <w:t>c)</w:t>
      </w:r>
      <w:r w:rsidRPr="003C4479">
        <w:tab/>
        <w:t>L</w:t>
      </w:r>
      <w:r w:rsidR="00BA326C">
        <w:t>’</w:t>
      </w:r>
      <w:r w:rsidRPr="003C4479">
        <w:t>infanticide, en particulier des enfants handicapés ou présentant des malformations physiques;</w:t>
      </w:r>
    </w:p>
    <w:p w:rsidR="003C4479" w:rsidRPr="003C4479" w:rsidRDefault="003C4479" w:rsidP="003C4479">
      <w:pPr>
        <w:pStyle w:val="SingleTxtG"/>
        <w:ind w:firstLine="567"/>
      </w:pPr>
      <w:r w:rsidRPr="003C4479">
        <w:t>d)</w:t>
      </w:r>
      <w:r w:rsidRPr="003C4479">
        <w:tab/>
        <w:t xml:space="preserve">La sensibilisation aux questions précitées, notamment </w:t>
      </w:r>
      <w:r w:rsidR="00D320EF">
        <w:t>en faisant appel aux chefs</w:t>
      </w:r>
      <w:r w:rsidRPr="003C4479">
        <w:t xml:space="preserve"> traditionnels et/ou communautaires.</w:t>
      </w:r>
    </w:p>
    <w:p w:rsidR="003C4479" w:rsidRPr="003C4479" w:rsidRDefault="003C4479" w:rsidP="003C4479">
      <w:pPr>
        <w:pStyle w:val="SingleTxtG"/>
      </w:pPr>
      <w:r w:rsidRPr="003C4479">
        <w:t>5.</w:t>
      </w:r>
      <w:r w:rsidRPr="003C4479">
        <w:tab/>
      </w:r>
      <w:r w:rsidR="00D320EF">
        <w:t>Décrire en détail</w:t>
      </w:r>
      <w:r w:rsidRPr="003C4479">
        <w:t xml:space="preserve"> les mesures législatives, politiques et institutionnelles, </w:t>
      </w:r>
      <w:r w:rsidR="00D320EF">
        <w:t>pris</w:t>
      </w:r>
      <w:r w:rsidRPr="003C4479">
        <w:t>es le cas échéant pour:</w:t>
      </w:r>
    </w:p>
    <w:p w:rsidR="003C4479" w:rsidRPr="003C4479" w:rsidRDefault="003C4479" w:rsidP="00D320EF">
      <w:pPr>
        <w:pStyle w:val="SingleTxtG"/>
        <w:ind w:firstLine="567"/>
      </w:pPr>
      <w:r w:rsidRPr="003C4479">
        <w:t>a)</w:t>
      </w:r>
      <w:r w:rsidRPr="003C4479">
        <w:tab/>
      </w:r>
      <w:r w:rsidR="00D320EF">
        <w:t>Traiter du problème de</w:t>
      </w:r>
      <w:r w:rsidRPr="003C4479">
        <w:t xml:space="preserve"> la violence </w:t>
      </w:r>
      <w:r w:rsidR="0075256B">
        <w:t xml:space="preserve">au </w:t>
      </w:r>
      <w:r w:rsidR="00D320EF">
        <w:t>foyer</w:t>
      </w:r>
      <w:r w:rsidRPr="003C4479">
        <w:t xml:space="preserve"> et </w:t>
      </w:r>
      <w:r w:rsidR="00D320EF">
        <w:t xml:space="preserve">de </w:t>
      </w:r>
      <w:r w:rsidRPr="003C4479">
        <w:t>la violence sexiste</w:t>
      </w:r>
      <w:r w:rsidR="00763967">
        <w:t>;</w:t>
      </w:r>
    </w:p>
    <w:p w:rsidR="003C4479" w:rsidRPr="003C4479" w:rsidRDefault="003C4479" w:rsidP="00D320EF">
      <w:pPr>
        <w:pStyle w:val="SingleTxtG"/>
        <w:ind w:firstLine="567"/>
      </w:pPr>
      <w:r w:rsidRPr="003C4479">
        <w:t>b)</w:t>
      </w:r>
      <w:r w:rsidRPr="003C4479">
        <w:tab/>
      </w:r>
      <w:r w:rsidR="00BA326C">
        <w:t>Interd</w:t>
      </w:r>
      <w:r w:rsidR="00BA326C" w:rsidRPr="003C4479">
        <w:t>ir</w:t>
      </w:r>
      <w:r w:rsidR="00BA326C">
        <w:t>e</w:t>
      </w:r>
      <w:r w:rsidRPr="003C4479">
        <w:t xml:space="preserve"> les châtiments corporels des enfants dans tous les </w:t>
      </w:r>
      <w:r w:rsidR="00D320EF">
        <w:t>contextes</w:t>
      </w:r>
      <w:r w:rsidRPr="003C4479">
        <w:t>.</w:t>
      </w:r>
    </w:p>
    <w:p w:rsidR="003C4479" w:rsidRPr="003C4479" w:rsidRDefault="003C4479" w:rsidP="003C4479">
      <w:pPr>
        <w:pStyle w:val="SingleTxtG"/>
      </w:pPr>
      <w:r w:rsidRPr="003C4479">
        <w:t>6.</w:t>
      </w:r>
      <w:r w:rsidRPr="003C4479">
        <w:tab/>
        <w:t>Indiquer les mesures prises, le cas échéant, pour lutter contre la pratique généralisée consistant à donner un enfant à d</w:t>
      </w:r>
      <w:r w:rsidR="00BA326C">
        <w:t>’</w:t>
      </w:r>
      <w:r w:rsidRPr="003C4479">
        <w:t xml:space="preserve">autres membres de sa famille ou à des connaissances qui sont </w:t>
      </w:r>
      <w:r w:rsidR="00D320EF">
        <w:t>cen</w:t>
      </w:r>
      <w:r w:rsidRPr="003C4479">
        <w:t xml:space="preserve">sés pouvoir </w:t>
      </w:r>
      <w:r w:rsidR="00D320EF">
        <w:t xml:space="preserve">lui </w:t>
      </w:r>
      <w:r w:rsidRPr="003C4479">
        <w:t>offrir de meilleures conditions</w:t>
      </w:r>
      <w:r w:rsidR="00D320EF">
        <w:t xml:space="preserve"> de vie</w:t>
      </w:r>
      <w:r w:rsidRPr="003C4479">
        <w:t xml:space="preserve"> et une meilleure éducation (</w:t>
      </w:r>
      <w:r w:rsidRPr="003C4479">
        <w:rPr>
          <w:i/>
        </w:rPr>
        <w:t>menino de criação</w:t>
      </w:r>
      <w:r w:rsidR="00D320EF">
        <w:t>)</w:t>
      </w:r>
      <w:r w:rsidRPr="003C4479">
        <w:t xml:space="preserve"> et la vulnérabilité </w:t>
      </w:r>
      <w:r w:rsidR="00D320EF">
        <w:t>accru</w:t>
      </w:r>
      <w:r w:rsidRPr="003C4479">
        <w:t>e de</w:t>
      </w:r>
      <w:r w:rsidR="00D320EF">
        <w:t xml:space="preserve"> ce</w:t>
      </w:r>
      <w:r w:rsidRPr="003C4479">
        <w:t xml:space="preserve">s enfants aux </w:t>
      </w:r>
      <w:r w:rsidR="00D320EF">
        <w:t xml:space="preserve">mauvais traitements </w:t>
      </w:r>
      <w:r w:rsidRPr="003C4479">
        <w:t>ou à l</w:t>
      </w:r>
      <w:r w:rsidR="00BA326C">
        <w:t>’</w:t>
      </w:r>
      <w:r w:rsidRPr="003C4479">
        <w:t xml:space="preserve">exploitation. </w:t>
      </w:r>
      <w:r w:rsidR="00D320EF">
        <w:t>Décrire</w:t>
      </w:r>
      <w:r w:rsidRPr="003C4479">
        <w:t xml:space="preserve"> également </w:t>
      </w:r>
      <w:r w:rsidR="00D320EF">
        <w:t>l</w:t>
      </w:r>
      <w:r w:rsidR="00BA326C">
        <w:t>’</w:t>
      </w:r>
      <w:r w:rsidR="00D320EF">
        <w:t>action de</w:t>
      </w:r>
      <w:r w:rsidRPr="003C4479">
        <w:t xml:space="preserve"> la Commission nationale pour l</w:t>
      </w:r>
      <w:r w:rsidR="00BA326C">
        <w:t>’</w:t>
      </w:r>
      <w:r w:rsidRPr="003C4479">
        <w:t xml:space="preserve">abolition du travail des enfants. </w:t>
      </w:r>
    </w:p>
    <w:p w:rsidR="003C4479" w:rsidRPr="003C4479" w:rsidRDefault="003C4479" w:rsidP="003C4479">
      <w:pPr>
        <w:pStyle w:val="SingleTxtG"/>
      </w:pPr>
      <w:r w:rsidRPr="003C4479">
        <w:t>7.</w:t>
      </w:r>
      <w:r w:rsidRPr="003C4479">
        <w:tab/>
      </w:r>
      <w:r w:rsidR="00D320EF">
        <w:t>Exposer en</w:t>
      </w:r>
      <w:r w:rsidRPr="003C4479">
        <w:t xml:space="preserve"> détail</w:t>
      </w:r>
      <w:r w:rsidR="00763967">
        <w:t xml:space="preserve"> </w:t>
      </w:r>
      <w:r w:rsidRPr="003C4479">
        <w:t xml:space="preserve">les mesures prises pour protéger les droits des enfants handicapés et répondre à leurs besoins, notamment: </w:t>
      </w:r>
    </w:p>
    <w:p w:rsidR="003C4479" w:rsidRPr="003C4479" w:rsidRDefault="003C4479" w:rsidP="00D320EF">
      <w:pPr>
        <w:pStyle w:val="SingleTxtG"/>
        <w:ind w:firstLine="567"/>
      </w:pPr>
      <w:r w:rsidRPr="003C4479">
        <w:t>a)</w:t>
      </w:r>
      <w:r w:rsidRPr="003C4479">
        <w:tab/>
        <w:t xml:space="preserve">Les mesures prises pour </w:t>
      </w:r>
      <w:r w:rsidR="00D320EF">
        <w:t>atténuer</w:t>
      </w:r>
      <w:r w:rsidRPr="003C4479">
        <w:t xml:space="preserve"> et prévenir la discrimination à l</w:t>
      </w:r>
      <w:r w:rsidR="00BA326C">
        <w:t>’</w:t>
      </w:r>
      <w:r w:rsidRPr="003C4479">
        <w:t>égard des enfants handicapés;</w:t>
      </w:r>
    </w:p>
    <w:p w:rsidR="003C4479" w:rsidRPr="003C4479" w:rsidRDefault="003C4479" w:rsidP="00D320EF">
      <w:pPr>
        <w:pStyle w:val="SingleTxtG"/>
        <w:ind w:firstLine="567"/>
      </w:pPr>
      <w:r w:rsidRPr="003C4479">
        <w:t>b)</w:t>
      </w:r>
      <w:r w:rsidRPr="003C4479">
        <w:tab/>
        <w:t xml:space="preserve">Les mesures visant à </w:t>
      </w:r>
      <w:r w:rsidR="00D320EF">
        <w:t>apporter</w:t>
      </w:r>
      <w:r w:rsidRPr="003C4479">
        <w:t xml:space="preserve"> un soutien </w:t>
      </w:r>
      <w:r w:rsidR="00D320EF">
        <w:t>suffisant</w:t>
      </w:r>
      <w:r w:rsidRPr="003C4479">
        <w:t xml:space="preserve"> aux enfants handicapés et à leur famille, </w:t>
      </w:r>
      <w:r w:rsidR="00D320EF">
        <w:t>en précisant ce qui est fait pour</w:t>
      </w:r>
      <w:r w:rsidRPr="003C4479">
        <w:t xml:space="preserve"> garantir l</w:t>
      </w:r>
      <w:r w:rsidR="00BA326C">
        <w:t>’</w:t>
      </w:r>
      <w:r w:rsidRPr="003C4479">
        <w:t>accès aux soins de santé et à l</w:t>
      </w:r>
      <w:r w:rsidR="00BA326C">
        <w:t>’</w:t>
      </w:r>
      <w:r w:rsidRPr="003C4479">
        <w:t>éducation;</w:t>
      </w:r>
    </w:p>
    <w:p w:rsidR="003C4479" w:rsidRPr="003C4479" w:rsidRDefault="003C4479" w:rsidP="00D320EF">
      <w:pPr>
        <w:pStyle w:val="SingleTxtG"/>
        <w:ind w:firstLine="567"/>
      </w:pPr>
      <w:r w:rsidRPr="003C4479">
        <w:t>c)</w:t>
      </w:r>
      <w:r w:rsidRPr="003C4479">
        <w:tab/>
        <w:t xml:space="preserve">Les </w:t>
      </w:r>
      <w:r w:rsidR="00D320EF">
        <w:t>action</w:t>
      </w:r>
      <w:r w:rsidRPr="003C4479">
        <w:t xml:space="preserve">s visant à mettre en œuvre </w:t>
      </w:r>
      <w:r w:rsidR="00D320EF">
        <w:t>les mesures susmentionnées</w:t>
      </w:r>
      <w:r w:rsidRPr="003C4479">
        <w:t xml:space="preserve"> dans les zones reculées de l</w:t>
      </w:r>
      <w:r w:rsidR="00BA326C">
        <w:t>’</w:t>
      </w:r>
      <w:r w:rsidRPr="003C4479">
        <w:t>État partie</w:t>
      </w:r>
      <w:r w:rsidR="00D320EF">
        <w:t>,</w:t>
      </w:r>
      <w:r w:rsidRPr="003C4479">
        <w:t xml:space="preserve"> afin de réduire les disparités entre </w:t>
      </w:r>
      <w:r w:rsidR="00D320EF">
        <w:t>zone</w:t>
      </w:r>
      <w:r w:rsidRPr="003C4479">
        <w:t>s</w:t>
      </w:r>
      <w:r w:rsidR="00D320EF">
        <w:t xml:space="preserve"> urbaines et zones rurales</w:t>
      </w:r>
      <w:r w:rsidRPr="003C4479">
        <w:t>.</w:t>
      </w:r>
    </w:p>
    <w:p w:rsidR="003C4479" w:rsidRPr="003C4479" w:rsidRDefault="003C4479" w:rsidP="003C4479">
      <w:pPr>
        <w:pStyle w:val="SingleTxtG"/>
      </w:pPr>
      <w:r w:rsidRPr="003C4479">
        <w:t>8.</w:t>
      </w:r>
      <w:r w:rsidRPr="003C4479">
        <w:tab/>
      </w:r>
      <w:r w:rsidR="00D320EF">
        <w:t>Exposer l</w:t>
      </w:r>
      <w:r w:rsidRPr="003C4479">
        <w:t xml:space="preserve">es mesures prises pour </w:t>
      </w:r>
      <w:r w:rsidR="00D320EF">
        <w:t>assurer des services</w:t>
      </w:r>
      <w:r w:rsidRPr="003C4479">
        <w:t xml:space="preserve"> de soins de santé adéquats, </w:t>
      </w:r>
      <w:r w:rsidR="00D320EF">
        <w:t>ainsi que l</w:t>
      </w:r>
      <w:r w:rsidR="00BA326C">
        <w:t>’</w:t>
      </w:r>
      <w:r w:rsidRPr="003C4479">
        <w:t>accès à l</w:t>
      </w:r>
      <w:r w:rsidR="00BA326C">
        <w:t>’</w:t>
      </w:r>
      <w:r w:rsidRPr="003C4479">
        <w:t>assainissement et à l</w:t>
      </w:r>
      <w:r w:rsidR="00BA326C">
        <w:t>’</w:t>
      </w:r>
      <w:r w:rsidRPr="003C4479">
        <w:t xml:space="preserve">eau </w:t>
      </w:r>
      <w:r w:rsidR="00D320EF">
        <w:t>salubr</w:t>
      </w:r>
      <w:r w:rsidRPr="003C4479">
        <w:t>e, en particulier en ce qui concerne les enfants qui vi</w:t>
      </w:r>
      <w:r w:rsidR="00D320EF">
        <w:t>vent dans des zones reculées</w:t>
      </w:r>
      <w:r w:rsidRPr="003C4479">
        <w:t>.</w:t>
      </w:r>
    </w:p>
    <w:p w:rsidR="003C4479" w:rsidRPr="003C4479" w:rsidRDefault="003C4479" w:rsidP="003C4479">
      <w:pPr>
        <w:pStyle w:val="SingleTxtG"/>
      </w:pPr>
      <w:r w:rsidRPr="003C4479">
        <w:t>9.</w:t>
      </w:r>
      <w:r w:rsidRPr="003C4479">
        <w:tab/>
      </w:r>
      <w:r w:rsidR="00D320EF">
        <w:t xml:space="preserve">Donner </w:t>
      </w:r>
      <w:r w:rsidRPr="003C4479">
        <w:t xml:space="preserve">des </w:t>
      </w:r>
      <w:r w:rsidR="00D320EF">
        <w:t>détail</w:t>
      </w:r>
      <w:r w:rsidRPr="003C4479">
        <w:t>s sur les mesures prises pour lutter contre la discrimination dans l</w:t>
      </w:r>
      <w:r w:rsidR="00BA326C">
        <w:t>’</w:t>
      </w:r>
      <w:r w:rsidRPr="003C4479">
        <w:t xml:space="preserve">éducation et </w:t>
      </w:r>
      <w:r w:rsidR="00D320EF">
        <w:t>l</w:t>
      </w:r>
      <w:r w:rsidR="00BA326C">
        <w:t>’</w:t>
      </w:r>
      <w:r w:rsidRPr="003C4479">
        <w:t xml:space="preserve">abandon scolaire des filles. Dans ce contexte, fournir également des informations actualisées sur les frais </w:t>
      </w:r>
      <w:r w:rsidR="00D320EF">
        <w:t>perçus</w:t>
      </w:r>
      <w:r w:rsidRPr="003C4479">
        <w:t xml:space="preserve"> par les </w:t>
      </w:r>
      <w:r w:rsidR="00D320EF">
        <w:t>établissements scolaires</w:t>
      </w:r>
      <w:r w:rsidRPr="003C4479">
        <w:t>.</w:t>
      </w:r>
    </w:p>
    <w:p w:rsidR="003C4479" w:rsidRPr="003C4479" w:rsidRDefault="003C4479" w:rsidP="003C4479">
      <w:pPr>
        <w:pStyle w:val="SingleTxtG"/>
      </w:pPr>
      <w:r w:rsidRPr="003C4479">
        <w:t>10.</w:t>
      </w:r>
      <w:r w:rsidRPr="003C4479">
        <w:tab/>
        <w:t xml:space="preserve">Fournir des informations sur les mesures </w:t>
      </w:r>
      <w:r w:rsidR="00D320EF">
        <w:t xml:space="preserve">qui ont pu être </w:t>
      </w:r>
      <w:r w:rsidRPr="003C4479">
        <w:t>prises pour assurer la protection et l</w:t>
      </w:r>
      <w:r w:rsidR="00BA326C">
        <w:t>’</w:t>
      </w:r>
      <w:r w:rsidRPr="003C4479">
        <w:t xml:space="preserve">exercice des droits des </w:t>
      </w:r>
      <w:r w:rsidRPr="003C4479">
        <w:rPr>
          <w:i/>
        </w:rPr>
        <w:t>talibés</w:t>
      </w:r>
      <w:r w:rsidRPr="003C4479">
        <w:t xml:space="preserve"> </w:t>
      </w:r>
      <w:r w:rsidR="00D320EF">
        <w:t>−</w:t>
      </w:r>
      <w:r w:rsidRPr="003C4479">
        <w:t xml:space="preserve"> </w:t>
      </w:r>
      <w:r w:rsidR="00DB2A97">
        <w:t>l</w:t>
      </w:r>
      <w:r w:rsidRPr="003C4479">
        <w:t xml:space="preserve">es enfants qui </w:t>
      </w:r>
      <w:r w:rsidR="00D320EF">
        <w:t>fréquentent</w:t>
      </w:r>
      <w:r w:rsidRPr="003C4479">
        <w:t xml:space="preserve"> les écoles coraniques</w:t>
      </w:r>
      <w:r w:rsidR="00D320EF">
        <w:t xml:space="preserve"> − notamment</w:t>
      </w:r>
      <w:r w:rsidRPr="003C4479">
        <w:t>:</w:t>
      </w:r>
    </w:p>
    <w:p w:rsidR="003C4479" w:rsidRPr="003C4479" w:rsidRDefault="003C4479" w:rsidP="00D320EF">
      <w:pPr>
        <w:pStyle w:val="SingleTxtG"/>
        <w:ind w:firstLine="567"/>
      </w:pPr>
      <w:r w:rsidRPr="003C4479">
        <w:t>a)</w:t>
      </w:r>
      <w:r w:rsidRPr="003C4479">
        <w:tab/>
      </w:r>
      <w:r w:rsidR="00D320EF">
        <w:t>Pour faire de</w:t>
      </w:r>
      <w:r w:rsidRPr="003C4479">
        <w:t xml:space="preserve"> l</w:t>
      </w:r>
      <w:r w:rsidR="00BA326C">
        <w:t>’</w:t>
      </w:r>
      <w:r w:rsidRPr="003C4479">
        <w:t>éducation coranique un</w:t>
      </w:r>
      <w:r w:rsidR="00D320EF">
        <w:t xml:space="preserve"> élément facultatif du</w:t>
      </w:r>
      <w:r w:rsidRPr="003C4479">
        <w:t xml:space="preserve"> programme scolaire de </w:t>
      </w:r>
      <w:r w:rsidR="00D320EF">
        <w:t xml:space="preserve">façon à </w:t>
      </w:r>
      <w:r w:rsidRPr="003C4479">
        <w:t xml:space="preserve">permettre aux enfants de </w:t>
      </w:r>
      <w:r w:rsidR="00D320EF">
        <w:t>continuer à fréquenter</w:t>
      </w:r>
      <w:r w:rsidRPr="003C4479">
        <w:t xml:space="preserve"> les écoles </w:t>
      </w:r>
      <w:r w:rsidR="00D320EF">
        <w:t>ordinair</w:t>
      </w:r>
      <w:r w:rsidRPr="003C4479">
        <w:t xml:space="preserve">es </w:t>
      </w:r>
      <w:r w:rsidR="00D320EF">
        <w:t>sans que</w:t>
      </w:r>
      <w:r w:rsidRPr="003C4479">
        <w:t xml:space="preserve"> leurs besoins</w:t>
      </w:r>
      <w:r w:rsidR="00D320EF">
        <w:t xml:space="preserve"> en matière de religion soient négligés</w:t>
      </w:r>
      <w:r w:rsidRPr="003C4479">
        <w:t>;</w:t>
      </w:r>
    </w:p>
    <w:p w:rsidR="003C4479" w:rsidRPr="003C4479" w:rsidRDefault="003C4479" w:rsidP="00D320EF">
      <w:pPr>
        <w:pStyle w:val="SingleTxtG"/>
        <w:ind w:firstLine="567"/>
      </w:pPr>
      <w:r w:rsidRPr="003C4479">
        <w:t>b)</w:t>
      </w:r>
      <w:r w:rsidRPr="003C4479">
        <w:tab/>
      </w:r>
      <w:r w:rsidR="00D320EF">
        <w:t>Pour surveiller</w:t>
      </w:r>
      <w:r w:rsidRPr="003C4479">
        <w:t xml:space="preserve"> les conditions de vie des enfants </w:t>
      </w:r>
      <w:r w:rsidRPr="003C4479">
        <w:rPr>
          <w:i/>
        </w:rPr>
        <w:t>talibés</w:t>
      </w:r>
      <w:r w:rsidRPr="003C4479">
        <w:t xml:space="preserve"> </w:t>
      </w:r>
      <w:r w:rsidR="00D320EF">
        <w:t>afin de garantir qu</w:t>
      </w:r>
      <w:r w:rsidR="00BA326C">
        <w:t>’</w:t>
      </w:r>
      <w:r w:rsidR="00D320EF">
        <w:t>elles soient</w:t>
      </w:r>
      <w:r w:rsidRPr="003C4479">
        <w:t xml:space="preserve"> conformes à la Convention.</w:t>
      </w:r>
    </w:p>
    <w:p w:rsidR="003C4479" w:rsidRPr="003C4479" w:rsidRDefault="003C4479" w:rsidP="003C4479">
      <w:pPr>
        <w:pStyle w:val="SingleTxtG"/>
      </w:pPr>
      <w:r w:rsidRPr="003C4479">
        <w:t>11.</w:t>
      </w:r>
      <w:r w:rsidRPr="003C4479">
        <w:tab/>
      </w:r>
      <w:r w:rsidR="00D320EF">
        <w:t>Expliquer en détail</w:t>
      </w:r>
      <w:r w:rsidRPr="003C4479">
        <w:t xml:space="preserve"> les mesures prises pour lutter contre les </w:t>
      </w:r>
      <w:r w:rsidR="00D320EF">
        <w:t>atteint</w:t>
      </w:r>
      <w:r w:rsidRPr="003C4479">
        <w:t>es sexuelles et l</w:t>
      </w:r>
      <w:r w:rsidR="00BA326C">
        <w:t>’</w:t>
      </w:r>
      <w:r w:rsidRPr="003C4479">
        <w:t>exploitation des enfants, y compris, le cas échéant, les mesures de r</w:t>
      </w:r>
      <w:r w:rsidR="00D320EF">
        <w:t>établis</w:t>
      </w:r>
      <w:r w:rsidRPr="003C4479">
        <w:t>sement</w:t>
      </w:r>
      <w:r w:rsidR="00D320EF">
        <w:t xml:space="preserve"> et </w:t>
      </w:r>
      <w:r w:rsidRPr="003C4479">
        <w:t xml:space="preserve">de réadaptation et </w:t>
      </w:r>
      <w:r w:rsidR="00D320EF">
        <w:t xml:space="preserve">des moyens </w:t>
      </w:r>
      <w:r w:rsidRPr="003C4479">
        <w:t>de r</w:t>
      </w:r>
      <w:r w:rsidR="00D320EF">
        <w:t>éparation, notamment une</w:t>
      </w:r>
      <w:r w:rsidRPr="003C4479">
        <w:t xml:space="preserve"> d</w:t>
      </w:r>
      <w:r w:rsidR="00BA326C">
        <w:t>’</w:t>
      </w:r>
      <w:r w:rsidRPr="003C4479">
        <w:t>indemnisation.</w:t>
      </w:r>
    </w:p>
    <w:p w:rsidR="003C4479" w:rsidRPr="003C4479" w:rsidRDefault="003C4479" w:rsidP="003C4479">
      <w:pPr>
        <w:pStyle w:val="SingleTxtG"/>
      </w:pPr>
      <w:r w:rsidRPr="003C4479">
        <w:t>12.</w:t>
      </w:r>
      <w:r w:rsidRPr="003C4479">
        <w:tab/>
      </w:r>
      <w:r w:rsidR="00D320EF">
        <w:t>Donner</w:t>
      </w:r>
      <w:r w:rsidRPr="003C4479">
        <w:t xml:space="preserve"> des </w:t>
      </w:r>
      <w:r w:rsidR="00D320EF">
        <w:t>détail</w:t>
      </w:r>
      <w:r w:rsidRPr="003C4479">
        <w:t>s sur les mesures prises par l</w:t>
      </w:r>
      <w:r w:rsidR="00BA326C">
        <w:t>’</w:t>
      </w:r>
      <w:r w:rsidRPr="003C4479">
        <w:t xml:space="preserve">État partie pour modifier et/ou appliquer sa législation de </w:t>
      </w:r>
      <w:r w:rsidR="00D320EF">
        <w:t xml:space="preserve">façon à </w:t>
      </w:r>
      <w:r w:rsidRPr="003C4479">
        <w:t xml:space="preserve">garantir que </w:t>
      </w:r>
      <w:r w:rsidR="006E25D1">
        <w:t>le</w:t>
      </w:r>
      <w:r w:rsidRPr="003C4479">
        <w:t xml:space="preserve"> système de justice pour mineurs </w:t>
      </w:r>
      <w:r w:rsidR="006E25D1">
        <w:t>soi</w:t>
      </w:r>
      <w:r w:rsidRPr="003C4479">
        <w:t>t conforme aux dispositions de la Convention et à d</w:t>
      </w:r>
      <w:r w:rsidR="00BA326C">
        <w:t>’</w:t>
      </w:r>
      <w:r w:rsidRPr="003C4479">
        <w:t>autres normes internationales. Donner également des renseignements spécifiques sur les mesures prises afin de garantir:</w:t>
      </w:r>
    </w:p>
    <w:p w:rsidR="003C4479" w:rsidRPr="003C4479" w:rsidRDefault="003C4479" w:rsidP="006E25D1">
      <w:pPr>
        <w:pStyle w:val="SingleTxtG"/>
        <w:ind w:firstLine="567"/>
      </w:pPr>
      <w:r w:rsidRPr="003C4479">
        <w:t>a)</w:t>
      </w:r>
      <w:r w:rsidRPr="003C4479">
        <w:tab/>
      </w:r>
      <w:r w:rsidR="006E25D1">
        <w:t>Q</w:t>
      </w:r>
      <w:r w:rsidRPr="003C4479">
        <w:t>ue la police, les services sociaux et le système judiciaire agissent de façon coordonné</w:t>
      </w:r>
      <w:r w:rsidR="00763967">
        <w:t>e</w:t>
      </w:r>
      <w:r w:rsidRPr="003C4479">
        <w:t xml:space="preserve"> pour ce qui est des </w:t>
      </w:r>
      <w:r w:rsidR="006E25D1">
        <w:t xml:space="preserve">questions et des </w:t>
      </w:r>
      <w:r w:rsidRPr="003C4479">
        <w:t>affaires concernant les enfants en conflit avec la loi;</w:t>
      </w:r>
    </w:p>
    <w:p w:rsidR="003C4479" w:rsidRPr="003C4479" w:rsidRDefault="003C4479" w:rsidP="006E25D1">
      <w:pPr>
        <w:pStyle w:val="SingleTxtG"/>
        <w:ind w:firstLine="567"/>
      </w:pPr>
      <w:r w:rsidRPr="003C4479">
        <w:t>b)</w:t>
      </w:r>
      <w:r w:rsidRPr="003C4479">
        <w:tab/>
      </w:r>
      <w:r w:rsidR="006E25D1">
        <w:t>Q</w:t>
      </w:r>
      <w:r w:rsidRPr="003C4479">
        <w:t>ue les enfants en conflit avec la loi soient détenus séparément des détenus adultes;</w:t>
      </w:r>
    </w:p>
    <w:p w:rsidR="003C4479" w:rsidRPr="003C4479" w:rsidRDefault="003C4479" w:rsidP="006E25D1">
      <w:pPr>
        <w:pStyle w:val="SingleTxtG"/>
        <w:ind w:firstLine="567"/>
      </w:pPr>
      <w:r w:rsidRPr="003C4479">
        <w:t>c)</w:t>
      </w:r>
      <w:r w:rsidRPr="003C4479">
        <w:tab/>
      </w:r>
      <w:r w:rsidR="006E25D1">
        <w:t>Q</w:t>
      </w:r>
      <w:r w:rsidRPr="003C4479">
        <w:t>ue le</w:t>
      </w:r>
      <w:r w:rsidR="006E25D1">
        <w:t>s</w:t>
      </w:r>
      <w:r w:rsidRPr="003C4479">
        <w:t xml:space="preserve"> personnel</w:t>
      </w:r>
      <w:r w:rsidR="006E25D1">
        <w:t>s</w:t>
      </w:r>
      <w:r w:rsidRPr="003C4479">
        <w:t xml:space="preserve"> judiciaire</w:t>
      </w:r>
      <w:r w:rsidR="006E25D1">
        <w:t>s</w:t>
      </w:r>
      <w:r w:rsidRPr="003C4479">
        <w:t xml:space="preserve"> et les </w:t>
      </w:r>
      <w:r w:rsidR="006E25D1">
        <w:t>membres des forces de l</w:t>
      </w:r>
      <w:r w:rsidR="00BA326C">
        <w:t>’</w:t>
      </w:r>
      <w:r w:rsidR="006E25D1">
        <w:t xml:space="preserve">ordre reçoivent </w:t>
      </w:r>
      <w:r w:rsidRPr="003C4479">
        <w:t xml:space="preserve">une formation adéquate à la </w:t>
      </w:r>
      <w:r w:rsidR="00BA326C" w:rsidRPr="003C4479">
        <w:t>Convention.</w:t>
      </w:r>
    </w:p>
    <w:p w:rsidR="003C4479" w:rsidRPr="003C4479" w:rsidRDefault="006E25D1" w:rsidP="006E25D1">
      <w:pPr>
        <w:pStyle w:val="HChG"/>
      </w:pPr>
      <w:r>
        <w:tab/>
      </w:r>
      <w:r>
        <w:tab/>
      </w:r>
      <w:r w:rsidR="003C4479" w:rsidRPr="003C4479">
        <w:t>Deuxième partie</w:t>
      </w:r>
    </w:p>
    <w:p w:rsidR="003C4479" w:rsidRPr="003C4479" w:rsidRDefault="006E25D1" w:rsidP="006E25D1">
      <w:pPr>
        <w:pStyle w:val="H23G"/>
      </w:pPr>
      <w:r>
        <w:tab/>
      </w:r>
      <w:r>
        <w:tab/>
      </w:r>
      <w:r w:rsidR="003C4479" w:rsidRPr="003C4479">
        <w:t>Sous cette rubrique, l</w:t>
      </w:r>
      <w:r w:rsidR="00BA326C">
        <w:t>’</w:t>
      </w:r>
      <w:r w:rsidR="003C4479" w:rsidRPr="003C4479">
        <w:t>État partie est invité à mettre à jour brièvement (</w:t>
      </w:r>
      <w:r>
        <w:t xml:space="preserve">en </w:t>
      </w:r>
      <w:r w:rsidR="003C4479" w:rsidRPr="003C4479">
        <w:t>trois pages maximum) les renseignements fournis dans son rapport en ce qui concerne:</w:t>
      </w:r>
    </w:p>
    <w:p w:rsidR="003C4479" w:rsidRPr="003C4479" w:rsidRDefault="003C4479" w:rsidP="006E25D1">
      <w:pPr>
        <w:pStyle w:val="SingleTxtG"/>
        <w:ind w:firstLine="567"/>
      </w:pPr>
      <w:r w:rsidRPr="003C4479">
        <w:t>a)</w:t>
      </w:r>
      <w:r w:rsidRPr="003C4479">
        <w:tab/>
        <w:t>Les nouveaux projets ou textes de loi adoptés;</w:t>
      </w:r>
    </w:p>
    <w:p w:rsidR="003C4479" w:rsidRPr="003C4479" w:rsidRDefault="003C4479" w:rsidP="006E25D1">
      <w:pPr>
        <w:pStyle w:val="SingleTxtG"/>
        <w:ind w:firstLine="567"/>
      </w:pPr>
      <w:r w:rsidRPr="003C4479">
        <w:t>b)</w:t>
      </w:r>
      <w:r w:rsidRPr="003C4479">
        <w:tab/>
        <w:t xml:space="preserve">Les programmes et projets récemment adoptés, </w:t>
      </w:r>
      <w:r w:rsidR="006E25D1">
        <w:t xml:space="preserve">ainsi que </w:t>
      </w:r>
      <w:r w:rsidRPr="003C4479">
        <w:t>leur champ d</w:t>
      </w:r>
      <w:r w:rsidR="00BA326C">
        <w:t>’</w:t>
      </w:r>
      <w:r w:rsidRPr="003C4479">
        <w:t>application et leur financement;</w:t>
      </w:r>
    </w:p>
    <w:p w:rsidR="003C4479" w:rsidRPr="003C4479" w:rsidRDefault="003C4479" w:rsidP="006E25D1">
      <w:pPr>
        <w:pStyle w:val="SingleTxtG"/>
        <w:ind w:firstLine="567"/>
      </w:pPr>
      <w:r w:rsidRPr="003C4479">
        <w:t>c)</w:t>
      </w:r>
      <w:r w:rsidRPr="003C4479">
        <w:tab/>
        <w:t>Les nouvelles institutions, leur mandat et leur financement;</w:t>
      </w:r>
    </w:p>
    <w:p w:rsidR="003C4479" w:rsidRPr="003C4479" w:rsidRDefault="003C4479" w:rsidP="006E25D1">
      <w:pPr>
        <w:pStyle w:val="SingleTxtG"/>
        <w:ind w:firstLine="567"/>
      </w:pPr>
      <w:r w:rsidRPr="003C4479">
        <w:t>d)</w:t>
      </w:r>
      <w:r w:rsidRPr="003C4479">
        <w:tab/>
        <w:t>Les instruments relatifs aux droits de l</w:t>
      </w:r>
      <w:r w:rsidR="00BA326C">
        <w:t>’</w:t>
      </w:r>
      <w:r w:rsidRPr="003C4479">
        <w:t>homme récemment ratifiés.</w:t>
      </w:r>
    </w:p>
    <w:p w:rsidR="003C4479" w:rsidRPr="003C4479" w:rsidRDefault="006E25D1" w:rsidP="006E25D1">
      <w:pPr>
        <w:pStyle w:val="HChG"/>
      </w:pPr>
      <w:r>
        <w:tab/>
      </w:r>
      <w:r>
        <w:tab/>
      </w:r>
      <w:r w:rsidR="003C4479" w:rsidRPr="003C4479">
        <w:t>Troisième partie</w:t>
      </w:r>
    </w:p>
    <w:p w:rsidR="003C4479" w:rsidRPr="003C4479" w:rsidRDefault="006E25D1" w:rsidP="006E25D1">
      <w:pPr>
        <w:pStyle w:val="H23G"/>
      </w:pPr>
      <w:r>
        <w:tab/>
      </w:r>
      <w:r>
        <w:tab/>
      </w:r>
      <w:r w:rsidR="003C4479" w:rsidRPr="003C4479">
        <w:t>Données, statistiques et autres informations, si disponibles</w:t>
      </w:r>
    </w:p>
    <w:p w:rsidR="003C4479" w:rsidRPr="003C4479" w:rsidRDefault="003C4479" w:rsidP="003C4479">
      <w:pPr>
        <w:pStyle w:val="SingleTxtG"/>
      </w:pPr>
      <w:r w:rsidRPr="003C4479">
        <w:t>1.</w:t>
      </w:r>
      <w:r w:rsidRPr="003C4479">
        <w:tab/>
        <w:t xml:space="preserve">Fournir des données, ventilées par âge, sexe, origine ethnique, </w:t>
      </w:r>
      <w:r w:rsidR="006E25D1">
        <w:t xml:space="preserve">lieu </w:t>
      </w:r>
      <w:r w:rsidRPr="003C4479">
        <w:t xml:space="preserve">géographique et </w:t>
      </w:r>
      <w:r w:rsidR="006E25D1">
        <w:t>catégorie</w:t>
      </w:r>
      <w:r w:rsidRPr="003C4479">
        <w:t xml:space="preserve"> socioéconomique</w:t>
      </w:r>
      <w:r w:rsidR="00763967">
        <w:t>,</w:t>
      </w:r>
      <w:r w:rsidRPr="003C4479">
        <w:t xml:space="preserve"> </w:t>
      </w:r>
      <w:r w:rsidR="006E25D1">
        <w:t>montrant</w:t>
      </w:r>
      <w:r w:rsidRPr="003C4479">
        <w:t xml:space="preserve"> les taux de mortalité infantile et </w:t>
      </w:r>
      <w:r w:rsidR="006E25D1">
        <w:t>donne</w:t>
      </w:r>
      <w:r w:rsidRPr="003C4479">
        <w:t xml:space="preserve">r des </w:t>
      </w:r>
      <w:r w:rsidR="006E25D1">
        <w:t>chiffres</w:t>
      </w:r>
      <w:r w:rsidRPr="003C4479">
        <w:t xml:space="preserve"> relatifs et absolus sur les causes de la mortalité infantile.</w:t>
      </w:r>
    </w:p>
    <w:p w:rsidR="003C4479" w:rsidRPr="003C4479" w:rsidRDefault="003C4479" w:rsidP="003C4479">
      <w:pPr>
        <w:pStyle w:val="SingleTxtG"/>
      </w:pPr>
      <w:r w:rsidRPr="003C4479">
        <w:t>2.</w:t>
      </w:r>
      <w:r w:rsidRPr="003C4479">
        <w:tab/>
      </w:r>
      <w:r w:rsidR="006E25D1">
        <w:t>Indiquer le</w:t>
      </w:r>
      <w:r w:rsidRPr="003C4479">
        <w:t xml:space="preserve"> nombre d</w:t>
      </w:r>
      <w:r w:rsidR="00BA326C">
        <w:t>’</w:t>
      </w:r>
      <w:r w:rsidRPr="003C4479">
        <w:t>enfants apatrides.</w:t>
      </w:r>
    </w:p>
    <w:p w:rsidR="003C4479" w:rsidRPr="003C4479" w:rsidRDefault="003C4479" w:rsidP="003C4479">
      <w:pPr>
        <w:pStyle w:val="SingleTxtG"/>
      </w:pPr>
      <w:r w:rsidRPr="003C4479">
        <w:t>3.</w:t>
      </w:r>
      <w:r w:rsidRPr="003C4479">
        <w:tab/>
        <w:t>Fournir des données, ventilées par sexe et âge, sur le nombre d</w:t>
      </w:r>
      <w:r w:rsidR="00BA326C">
        <w:t>’</w:t>
      </w:r>
      <w:r w:rsidRPr="003C4479">
        <w:t>enfants qui consomment des substances psychoactives (alcool et drogues)</w:t>
      </w:r>
      <w:r w:rsidR="006E25D1">
        <w:t>.</w:t>
      </w:r>
    </w:p>
    <w:p w:rsidR="003C4479" w:rsidRPr="003C4479" w:rsidRDefault="003C4479" w:rsidP="003C4479">
      <w:pPr>
        <w:pStyle w:val="SingleTxtG"/>
      </w:pPr>
      <w:r w:rsidRPr="003C4479">
        <w:t>4.</w:t>
      </w:r>
      <w:r w:rsidRPr="003C4479">
        <w:tab/>
        <w:t>Fournir des données, ventilées par sexe et âge, sur les enfants enrôlés dans les forces armées.</w:t>
      </w:r>
    </w:p>
    <w:p w:rsidR="003C4479" w:rsidRPr="003C4479" w:rsidRDefault="003C4479" w:rsidP="003C4479">
      <w:pPr>
        <w:pStyle w:val="SingleTxtG"/>
      </w:pPr>
      <w:r w:rsidRPr="003C4479">
        <w:t>5.</w:t>
      </w:r>
      <w:r w:rsidRPr="003C4479">
        <w:tab/>
        <w:t xml:space="preserve">Fournir des données, ventilées par âge, sexe, origine ethnique et </w:t>
      </w:r>
      <w:r w:rsidR="006E25D1">
        <w:t xml:space="preserve">catégorie </w:t>
      </w:r>
      <w:r w:rsidRPr="003C4479">
        <w:t>socioéconomique, sur la prévalence de la traite d</w:t>
      </w:r>
      <w:r w:rsidR="00BA326C">
        <w:t>’</w:t>
      </w:r>
      <w:r w:rsidRPr="003C4479">
        <w:t>enfants.</w:t>
      </w:r>
    </w:p>
    <w:p w:rsidR="003C4479" w:rsidRDefault="003C4479" w:rsidP="003C4479">
      <w:pPr>
        <w:pStyle w:val="SingleTxtG"/>
      </w:pPr>
      <w:r w:rsidRPr="003C4479">
        <w:t>6.</w:t>
      </w:r>
      <w:r w:rsidRPr="003C4479">
        <w:tab/>
        <w:t>En outre, l</w:t>
      </w:r>
      <w:r w:rsidR="00BA326C">
        <w:t>’</w:t>
      </w:r>
      <w:r w:rsidRPr="003C4479">
        <w:t xml:space="preserve">État partie peut </w:t>
      </w:r>
      <w:r w:rsidR="006E25D1">
        <w:t>joindre</w:t>
      </w:r>
      <w:r w:rsidRPr="003C4479">
        <w:t xml:space="preserve"> la liste des domaines qu</w:t>
      </w:r>
      <w:r w:rsidR="00BA326C">
        <w:t>’</w:t>
      </w:r>
      <w:r w:rsidRPr="003C4479">
        <w:t xml:space="preserve">il </w:t>
      </w:r>
      <w:r w:rsidR="006E25D1">
        <w:t>jug</w:t>
      </w:r>
      <w:r w:rsidRPr="003C4479">
        <w:t>e prioritaires au regard de la mise en œuvre de la Convention.</w:t>
      </w:r>
    </w:p>
    <w:p w:rsidR="006E25D1" w:rsidRPr="006E25D1" w:rsidRDefault="006E25D1" w:rsidP="006E25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25D1" w:rsidRPr="006E25D1" w:rsidSect="003C44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0F" w:rsidRDefault="00227A0F"/>
  </w:endnote>
  <w:endnote w:type="continuationSeparator" w:id="0">
    <w:p w:rsidR="00227A0F" w:rsidRDefault="00227A0F"/>
  </w:endnote>
  <w:endnote w:type="continuationNotice" w:id="1">
    <w:p w:rsidR="00227A0F" w:rsidRPr="00F67765" w:rsidRDefault="00227A0F" w:rsidP="00F6776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F" w:rsidRPr="003C4479" w:rsidRDefault="00227A0F" w:rsidP="003C4479">
    <w:pPr>
      <w:pStyle w:val="Footer"/>
      <w:tabs>
        <w:tab w:val="right" w:pos="9638"/>
      </w:tabs>
    </w:pPr>
    <w:r w:rsidRPr="003C4479">
      <w:rPr>
        <w:b/>
        <w:sz w:val="18"/>
      </w:rPr>
      <w:fldChar w:fldCharType="begin"/>
    </w:r>
    <w:r w:rsidRPr="003C4479">
      <w:rPr>
        <w:b/>
        <w:sz w:val="18"/>
      </w:rPr>
      <w:instrText xml:space="preserve"> PAGE  \* MERGEFORMAT </w:instrText>
    </w:r>
    <w:r w:rsidRPr="003C447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C4479">
      <w:rPr>
        <w:b/>
        <w:sz w:val="18"/>
      </w:rPr>
      <w:fldChar w:fldCharType="end"/>
    </w:r>
    <w:r>
      <w:rPr>
        <w:b/>
        <w:sz w:val="18"/>
      </w:rPr>
      <w:tab/>
    </w:r>
    <w:r>
      <w:t>GE.12-41477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F" w:rsidRPr="003C4479" w:rsidRDefault="00227A0F" w:rsidP="003C4479">
    <w:pPr>
      <w:pStyle w:val="Footer"/>
      <w:tabs>
        <w:tab w:val="right" w:pos="9638"/>
      </w:tabs>
      <w:rPr>
        <w:b/>
        <w:sz w:val="18"/>
      </w:rPr>
    </w:pPr>
    <w:r>
      <w:t>GE.12-41477</w:t>
    </w:r>
    <w:r>
      <w:tab/>
    </w:r>
    <w:r w:rsidRPr="003C4479">
      <w:rPr>
        <w:b/>
        <w:sz w:val="18"/>
      </w:rPr>
      <w:fldChar w:fldCharType="begin"/>
    </w:r>
    <w:r w:rsidRPr="003C4479">
      <w:rPr>
        <w:b/>
        <w:sz w:val="18"/>
      </w:rPr>
      <w:instrText xml:space="preserve"> PAGE  \* MERGEFORMAT </w:instrText>
    </w:r>
    <w:r w:rsidRPr="003C447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C44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F" w:rsidRDefault="00227A0F">
    <w:pPr>
      <w:pStyle w:val="Footer"/>
    </w:pPr>
    <w:r>
      <w:rPr>
        <w:sz w:val="20"/>
      </w:rPr>
      <w:t>GE.12-41477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030512    040512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0F" w:rsidRPr="00D27D5E" w:rsidRDefault="00227A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7A0F" w:rsidRPr="00EA0E33" w:rsidRDefault="00227A0F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227A0F" w:rsidRPr="00F67765" w:rsidRDefault="00227A0F" w:rsidP="00F677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F" w:rsidRPr="003C4479" w:rsidRDefault="00227A0F">
    <w:pPr>
      <w:pStyle w:val="Header"/>
    </w:pPr>
    <w:r>
      <w:t>CRC/C/GNB/Q/2-4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F" w:rsidRPr="003C4479" w:rsidRDefault="00227A0F" w:rsidP="003C4479">
    <w:pPr>
      <w:pStyle w:val="Header"/>
      <w:jc w:val="right"/>
    </w:pPr>
    <w:r>
      <w:t>CRC/C/GNB/Q/2-4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01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EF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7A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DE1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8E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E1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1E7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E1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2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A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16"/>
    <w:rsid w:val="0000767A"/>
    <w:rsid w:val="00016AC5"/>
    <w:rsid w:val="00060E82"/>
    <w:rsid w:val="000B696A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27A0F"/>
    <w:rsid w:val="002659F1"/>
    <w:rsid w:val="00287E79"/>
    <w:rsid w:val="002928F9"/>
    <w:rsid w:val="002A5D07"/>
    <w:rsid w:val="002C6A52"/>
    <w:rsid w:val="003016B7"/>
    <w:rsid w:val="0031567F"/>
    <w:rsid w:val="00331C04"/>
    <w:rsid w:val="003515AA"/>
    <w:rsid w:val="00374106"/>
    <w:rsid w:val="003976D5"/>
    <w:rsid w:val="003C4479"/>
    <w:rsid w:val="003D2F6C"/>
    <w:rsid w:val="003D6C68"/>
    <w:rsid w:val="003E7F2E"/>
    <w:rsid w:val="003F4CA4"/>
    <w:rsid w:val="004159D0"/>
    <w:rsid w:val="004377D2"/>
    <w:rsid w:val="00543D5E"/>
    <w:rsid w:val="00547BC0"/>
    <w:rsid w:val="00564901"/>
    <w:rsid w:val="00571F41"/>
    <w:rsid w:val="005E5D1F"/>
    <w:rsid w:val="0060753B"/>
    <w:rsid w:val="00611D43"/>
    <w:rsid w:val="00612D48"/>
    <w:rsid w:val="00616B45"/>
    <w:rsid w:val="00630D9B"/>
    <w:rsid w:val="00631953"/>
    <w:rsid w:val="006439EC"/>
    <w:rsid w:val="006A2FF6"/>
    <w:rsid w:val="006B4590"/>
    <w:rsid w:val="006C340C"/>
    <w:rsid w:val="006E25D1"/>
    <w:rsid w:val="006E637C"/>
    <w:rsid w:val="0070347C"/>
    <w:rsid w:val="00716BD0"/>
    <w:rsid w:val="007176C1"/>
    <w:rsid w:val="0075256B"/>
    <w:rsid w:val="00763967"/>
    <w:rsid w:val="007C3C0D"/>
    <w:rsid w:val="007F55CB"/>
    <w:rsid w:val="00844750"/>
    <w:rsid w:val="008B44C4"/>
    <w:rsid w:val="008C1084"/>
    <w:rsid w:val="008E7FAE"/>
    <w:rsid w:val="00901884"/>
    <w:rsid w:val="00911BF7"/>
    <w:rsid w:val="00976A16"/>
    <w:rsid w:val="00977EC8"/>
    <w:rsid w:val="00993C56"/>
    <w:rsid w:val="009C2D18"/>
    <w:rsid w:val="009D3A8C"/>
    <w:rsid w:val="009E7956"/>
    <w:rsid w:val="00A0304E"/>
    <w:rsid w:val="00A133AF"/>
    <w:rsid w:val="00A2492E"/>
    <w:rsid w:val="00A63C60"/>
    <w:rsid w:val="00AC67A1"/>
    <w:rsid w:val="00AC7977"/>
    <w:rsid w:val="00AD1127"/>
    <w:rsid w:val="00AE352C"/>
    <w:rsid w:val="00B32E2D"/>
    <w:rsid w:val="00B61990"/>
    <w:rsid w:val="00B76A21"/>
    <w:rsid w:val="00B93DB1"/>
    <w:rsid w:val="00B96AED"/>
    <w:rsid w:val="00BA326C"/>
    <w:rsid w:val="00BE6AE4"/>
    <w:rsid w:val="00BF0556"/>
    <w:rsid w:val="00C261F8"/>
    <w:rsid w:val="00C33100"/>
    <w:rsid w:val="00C36B9B"/>
    <w:rsid w:val="00C45563"/>
    <w:rsid w:val="00CD1A71"/>
    <w:rsid w:val="00CD1FBB"/>
    <w:rsid w:val="00D016B5"/>
    <w:rsid w:val="00D034F1"/>
    <w:rsid w:val="00D10597"/>
    <w:rsid w:val="00D21AD3"/>
    <w:rsid w:val="00D27D5E"/>
    <w:rsid w:val="00D320EF"/>
    <w:rsid w:val="00D43A3B"/>
    <w:rsid w:val="00D77231"/>
    <w:rsid w:val="00D838EB"/>
    <w:rsid w:val="00DA3BE9"/>
    <w:rsid w:val="00DB2A97"/>
    <w:rsid w:val="00DE6D90"/>
    <w:rsid w:val="00DF002F"/>
    <w:rsid w:val="00E0244D"/>
    <w:rsid w:val="00E36FE5"/>
    <w:rsid w:val="00E81E94"/>
    <w:rsid w:val="00E82607"/>
    <w:rsid w:val="00E938B3"/>
    <w:rsid w:val="00EA0E33"/>
    <w:rsid w:val="00F47851"/>
    <w:rsid w:val="00F67765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A63C60"/>
    <w:rPr>
      <w:color w:val="auto"/>
      <w:u w:val="none"/>
    </w:rPr>
  </w:style>
  <w:style w:type="character" w:styleId="FollowedHyperlink">
    <w:name w:val="FollowedHyperlink"/>
    <w:rsid w:val="00A63C6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3</Pages>
  <Words>1130</Words>
  <Characters>6283</Characters>
  <Application>Microsoft Office Word</Application>
  <DocSecurity>4</DocSecurity>
  <Lines>123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CRC/C/GNB/Q/2-4</vt:lpstr>
    </vt:vector>
  </TitlesOfParts>
  <Company>Corine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CRC/C/GNB/Q/2-4</dc:title>
  <dc:subject>Semifinal</dc:subject>
  <dc:creator>Letaillieur</dc:creator>
  <cp:keywords/>
  <dc:description/>
  <cp:lastModifiedBy>Brèque</cp:lastModifiedBy>
  <cp:revision>2</cp:revision>
  <cp:lastPrinted>2012-05-04T07:15:00Z</cp:lastPrinted>
  <dcterms:created xsi:type="dcterms:W3CDTF">2012-05-04T11:50:00Z</dcterms:created>
  <dcterms:modified xsi:type="dcterms:W3CDTF">2012-05-04T11:50:00Z</dcterms:modified>
</cp:coreProperties>
</file>