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F9050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90502" w:rsidP="00F90502">
            <w:pPr>
              <w:jc w:val="right"/>
            </w:pPr>
            <w:r w:rsidRPr="00F90502">
              <w:rPr>
                <w:sz w:val="40"/>
              </w:rPr>
              <w:t>CAT</w:t>
            </w:r>
            <w:r>
              <w:t>/C/SEN/CO/4</w:t>
            </w:r>
          </w:p>
        </w:tc>
      </w:tr>
      <w:tr w:rsidR="002D5AAC" w:rsidRPr="00D8336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F90502" w:rsidRDefault="00F90502" w:rsidP="00F90E40">
            <w:pPr>
              <w:spacing w:before="240"/>
              <w:rPr>
                <w:lang w:val="en-US"/>
              </w:rPr>
            </w:pPr>
            <w:r w:rsidRPr="00F90502">
              <w:rPr>
                <w:lang w:val="en-US"/>
              </w:rPr>
              <w:t>Distr.: General</w:t>
            </w:r>
          </w:p>
          <w:p w:rsidR="00F90502" w:rsidRPr="00F90502" w:rsidRDefault="00F90502" w:rsidP="00F90502">
            <w:pPr>
              <w:spacing w:line="240" w:lineRule="exact"/>
              <w:rPr>
                <w:lang w:val="en-US"/>
              </w:rPr>
            </w:pPr>
            <w:r w:rsidRPr="00F90502">
              <w:rPr>
                <w:lang w:val="en-US"/>
              </w:rPr>
              <w:t>30 January 2019</w:t>
            </w:r>
          </w:p>
          <w:p w:rsidR="00F90502" w:rsidRPr="00F90502" w:rsidRDefault="00F90502" w:rsidP="00F90502">
            <w:pPr>
              <w:spacing w:line="240" w:lineRule="exact"/>
              <w:rPr>
                <w:lang w:val="en-US"/>
              </w:rPr>
            </w:pPr>
            <w:r w:rsidRPr="00F90502">
              <w:rPr>
                <w:lang w:val="en-US"/>
              </w:rPr>
              <w:t>Russian</w:t>
            </w:r>
          </w:p>
          <w:p w:rsidR="00F90502" w:rsidRPr="00F90502" w:rsidRDefault="00F90502" w:rsidP="00F90502">
            <w:pPr>
              <w:spacing w:line="240" w:lineRule="exact"/>
              <w:rPr>
                <w:lang w:val="en-US"/>
              </w:rPr>
            </w:pPr>
            <w:r w:rsidRPr="00F90502">
              <w:rPr>
                <w:lang w:val="en-US"/>
              </w:rPr>
              <w:t>Original: French</w:t>
            </w:r>
          </w:p>
        </w:tc>
      </w:tr>
    </w:tbl>
    <w:p w:rsidR="00F90502" w:rsidRPr="00F90502" w:rsidRDefault="00F90502" w:rsidP="00F90502">
      <w:pPr>
        <w:pStyle w:val="SingleTxtG"/>
        <w:spacing w:before="120"/>
        <w:ind w:left="0"/>
        <w:rPr>
          <w:b/>
          <w:sz w:val="24"/>
          <w:szCs w:val="24"/>
        </w:rPr>
      </w:pPr>
      <w:r w:rsidRPr="00F90502">
        <w:rPr>
          <w:b/>
          <w:sz w:val="24"/>
          <w:szCs w:val="24"/>
        </w:rPr>
        <w:t>Комитет против пыток</w:t>
      </w:r>
    </w:p>
    <w:p w:rsidR="00F90502" w:rsidRPr="00F90502" w:rsidRDefault="00F90502" w:rsidP="00F90502">
      <w:pPr>
        <w:pStyle w:val="HChG"/>
      </w:pPr>
      <w:r w:rsidRPr="00F90502">
        <w:tab/>
      </w:r>
      <w:r w:rsidRPr="00F90502">
        <w:tab/>
        <w:t>Заключительные замечания по четвертому периодическому докладу Сенегала</w:t>
      </w:r>
      <w:r w:rsidRPr="00F90502">
        <w:rPr>
          <w:b w:val="0"/>
          <w:sz w:val="20"/>
        </w:rPr>
        <w:footnoteReference w:customMarkFollows="1" w:id="1"/>
        <w:t>*</w:t>
      </w:r>
    </w:p>
    <w:p w:rsidR="00F90502" w:rsidRPr="00F90502" w:rsidRDefault="00F90502" w:rsidP="00F90502">
      <w:pPr>
        <w:pStyle w:val="SingleTxtG"/>
      </w:pPr>
      <w:r w:rsidRPr="00F90502">
        <w:t>1.</w:t>
      </w:r>
      <w:r w:rsidRPr="00F90502">
        <w:tab/>
        <w:t>Комитет против пыток рассмотрел четвертый периодический доклад Сенегала (</w:t>
      </w:r>
      <w:r w:rsidRPr="00F90502">
        <w:rPr>
          <w:lang w:val="fr-CH"/>
        </w:rPr>
        <w:t>CAT</w:t>
      </w:r>
      <w:r w:rsidRPr="00F90502">
        <w:t>/</w:t>
      </w:r>
      <w:r w:rsidRPr="00F90502">
        <w:rPr>
          <w:lang w:val="fr-CH"/>
        </w:rPr>
        <w:t>C</w:t>
      </w:r>
      <w:r w:rsidRPr="00F90502">
        <w:t>/</w:t>
      </w:r>
      <w:r w:rsidRPr="00F90502">
        <w:rPr>
          <w:lang w:val="fr-CH"/>
        </w:rPr>
        <w:t>SEN</w:t>
      </w:r>
      <w:r w:rsidRPr="00F90502">
        <w:t xml:space="preserve">/4) на своих 1619-м и 1622-м заседаниях (см. </w:t>
      </w:r>
      <w:r w:rsidRPr="00F90502">
        <w:rPr>
          <w:lang w:val="fr-CH"/>
        </w:rPr>
        <w:t>CAT</w:t>
      </w:r>
      <w:r w:rsidRPr="00F90502">
        <w:t>/</w:t>
      </w:r>
      <w:r w:rsidRPr="00F90502">
        <w:rPr>
          <w:lang w:val="fr-CH"/>
        </w:rPr>
        <w:t>C</w:t>
      </w:r>
      <w:r w:rsidRPr="00F90502">
        <w:t>/</w:t>
      </w:r>
      <w:r w:rsidRPr="00F90502">
        <w:rPr>
          <w:lang w:val="fr-CH"/>
        </w:rPr>
        <w:t>SR</w:t>
      </w:r>
      <w:r w:rsidRPr="00F90502">
        <w:t>.1619 и 1622), состоявшихся 25 и 26 апреля 2018 года, и на своем 1647-м заседании 15 мая 2018 года принял следующие заключительные замечания.</w:t>
      </w:r>
    </w:p>
    <w:p w:rsidR="00F90502" w:rsidRPr="00F90502" w:rsidRDefault="00F90502" w:rsidP="00F90502">
      <w:pPr>
        <w:pStyle w:val="H1G"/>
      </w:pPr>
      <w:r w:rsidRPr="00F90502">
        <w:tab/>
      </w:r>
      <w:r w:rsidRPr="00F90502">
        <w:rPr>
          <w:lang w:val="fr-CH"/>
        </w:rPr>
        <w:t>A</w:t>
      </w:r>
      <w:r w:rsidRPr="00F90502">
        <w:t>.</w:t>
      </w:r>
      <w:r w:rsidRPr="00F90502">
        <w:tab/>
        <w:t xml:space="preserve">Введение </w:t>
      </w:r>
    </w:p>
    <w:p w:rsidR="00F90502" w:rsidRPr="00F90502" w:rsidRDefault="00F90502" w:rsidP="00F90502">
      <w:pPr>
        <w:pStyle w:val="SingleTxtG"/>
      </w:pPr>
      <w:r w:rsidRPr="00F90502">
        <w:t>2.</w:t>
      </w:r>
      <w:r w:rsidRPr="00F90502">
        <w:tab/>
        <w:t>Комитет принимает к сведению четвертый периодический доклад Сенегала, подготовленный в соответствии с факультативной процедурой представления докладов, позволяющей установить более предметный диалог между государством-участником и Комитетом.</w:t>
      </w:r>
    </w:p>
    <w:p w:rsidR="00F90502" w:rsidRPr="00F90502" w:rsidRDefault="00F90502" w:rsidP="00F90502">
      <w:pPr>
        <w:pStyle w:val="SingleTxtG"/>
      </w:pPr>
      <w:r w:rsidRPr="00F90502">
        <w:t>3.</w:t>
      </w:r>
      <w:r w:rsidRPr="00F90502">
        <w:tab/>
        <w:t xml:space="preserve">Комитет выражает удовлетворение тем, что ему удалось наладить конструктивный диалог с делегацией государства-участника, и приветствует ответы на вопросы и озабоченности, которые были озвучены в ходе рассмотрения доклада. </w:t>
      </w:r>
    </w:p>
    <w:p w:rsidR="00F90502" w:rsidRPr="00F90502" w:rsidRDefault="00F90502" w:rsidP="00F90502">
      <w:pPr>
        <w:pStyle w:val="H1G"/>
      </w:pPr>
      <w:r w:rsidRPr="00F90502">
        <w:tab/>
      </w:r>
      <w:r w:rsidRPr="00F90502">
        <w:rPr>
          <w:lang w:val="fr-CH"/>
        </w:rPr>
        <w:t>B</w:t>
      </w:r>
      <w:r w:rsidRPr="00F90502">
        <w:t>.</w:t>
      </w:r>
      <w:r w:rsidRPr="00F90502">
        <w:tab/>
        <w:t>Позитивные аспекты</w:t>
      </w:r>
    </w:p>
    <w:p w:rsidR="00F90502" w:rsidRPr="00F90502" w:rsidRDefault="00F90502" w:rsidP="00F90502">
      <w:pPr>
        <w:pStyle w:val="SingleTxtG"/>
      </w:pPr>
      <w:r w:rsidRPr="00F90502">
        <w:t>4.</w:t>
      </w:r>
      <w:r w:rsidRPr="00F90502">
        <w:tab/>
        <w:t>Комитет с удовлетворением отмечает законодательные акты, принятые государством-участником для обеспечения применения Конвенции, в частности:</w:t>
      </w:r>
    </w:p>
    <w:p w:rsidR="00F90502" w:rsidRPr="00F90502" w:rsidRDefault="00F90502" w:rsidP="00F90502">
      <w:pPr>
        <w:pStyle w:val="SingleTxtG"/>
      </w:pPr>
      <w:r w:rsidRPr="00D83369">
        <w:tab/>
      </w:r>
      <w:r w:rsidRPr="00D83369">
        <w:tab/>
      </w:r>
      <w:r w:rsidRPr="00F90502">
        <w:rPr>
          <w:lang w:val="fr-FR"/>
        </w:rPr>
        <w:t>a</w:t>
      </w:r>
      <w:r w:rsidRPr="00F90502">
        <w:t>)</w:t>
      </w:r>
      <w:r w:rsidRPr="00F90502">
        <w:tab/>
        <w:t>Закон № 2016-30 от 2016 года о внесении изменений в Закон № 65-61 от 21 июля 1965 года об Уголовно-процессуальном кодексе, который, в частности, укрепляет основные правовые гарантии и вводит практику постоянного проведения заседаний уголовных палат;</w:t>
      </w:r>
    </w:p>
    <w:p w:rsidR="00F90502" w:rsidRPr="00F90502" w:rsidRDefault="00F90502" w:rsidP="00F90502">
      <w:pPr>
        <w:pStyle w:val="SingleTxtG"/>
      </w:pPr>
      <w:r w:rsidRPr="00D83369">
        <w:tab/>
      </w:r>
      <w:r w:rsidRPr="00D83369">
        <w:tab/>
      </w:r>
      <w:r w:rsidRPr="00F90502">
        <w:rPr>
          <w:lang w:val="fr-FR"/>
        </w:rPr>
        <w:t>b</w:t>
      </w:r>
      <w:r w:rsidRPr="00F90502">
        <w:t>)</w:t>
      </w:r>
      <w:r w:rsidRPr="00F90502">
        <w:tab/>
        <w:t>Органический закон № 2017-10 от 17 января 2017 года о статусе судей, цель которого, в частности, заключается в повышении уровня независимости судей;</w:t>
      </w:r>
    </w:p>
    <w:p w:rsidR="00F90502" w:rsidRPr="00F90502" w:rsidRDefault="00F90502" w:rsidP="00F90502">
      <w:pPr>
        <w:pStyle w:val="SingleTxtG"/>
        <w:rPr>
          <w:bCs/>
        </w:rPr>
      </w:pPr>
      <w:r w:rsidRPr="00D83369">
        <w:tab/>
      </w:r>
      <w:r w:rsidRPr="00D83369">
        <w:tab/>
      </w:r>
      <w:r w:rsidRPr="00F90502">
        <w:rPr>
          <w:lang w:val="fr-FR"/>
        </w:rPr>
        <w:t>c</w:t>
      </w:r>
      <w:r w:rsidRPr="00F90502">
        <w:t>)</w:t>
      </w:r>
      <w:r w:rsidRPr="00F90502">
        <w:tab/>
        <w:t>Органический закон № 2017-11 от 17 января 2017 года об организации и функционировании Высшего совета магистратуры, предусматривающ</w:t>
      </w:r>
      <w:r w:rsidR="00D83369">
        <w:t>ий</w:t>
      </w:r>
      <w:r w:rsidRPr="00F90502">
        <w:t>, в частности, введение права</w:t>
      </w:r>
      <w:bookmarkStart w:id="0" w:name="_GoBack"/>
      <w:bookmarkEnd w:id="0"/>
      <w:r w:rsidRPr="00F90502">
        <w:t xml:space="preserve"> на дисциплинарную апелляционную процедуру и требование о том, что решения об отзыве или отставке должны приниматься большинством голосов членов</w:t>
      </w:r>
      <w:r w:rsidRPr="00F90502">
        <w:rPr>
          <w:bCs/>
        </w:rPr>
        <w:t>;</w:t>
      </w:r>
    </w:p>
    <w:p w:rsidR="00F90502" w:rsidRPr="00F90502" w:rsidRDefault="00F90502" w:rsidP="00F90502">
      <w:pPr>
        <w:pStyle w:val="SingleTxtG"/>
        <w:rPr>
          <w:bCs/>
        </w:rPr>
      </w:pPr>
      <w:r w:rsidRPr="00D83369">
        <w:tab/>
      </w:r>
      <w:r w:rsidRPr="00D83369">
        <w:tab/>
      </w:r>
      <w:r w:rsidRPr="00F90502">
        <w:rPr>
          <w:lang w:val="fr-FR"/>
        </w:rPr>
        <w:t>d</w:t>
      </w:r>
      <w:r w:rsidRPr="00F90502">
        <w:t>)</w:t>
      </w:r>
      <w:r w:rsidRPr="00F90502">
        <w:tab/>
        <w:t>Органический закон № 2017-09 от 17 января 2017 года об отмене и замене Органического закона № 2008-35 от 8 августа 2008 года о Верховном суде, который упорядочивает процедуру присуждения компенсации жертвам длительного содержания под стражей.</w:t>
      </w:r>
    </w:p>
    <w:p w:rsidR="00F90502" w:rsidRPr="00F90502" w:rsidRDefault="00F90502" w:rsidP="00F90502">
      <w:pPr>
        <w:pStyle w:val="SingleTxtG"/>
      </w:pPr>
      <w:r w:rsidRPr="00F90502">
        <w:lastRenderedPageBreak/>
        <w:t>5.</w:t>
      </w:r>
      <w:r w:rsidRPr="00F90502">
        <w:tab/>
        <w:t>Комитет приветствует и другие усилия, предпринимаемые государством-участником для обеспечения применения Конвенции, в частности:</w:t>
      </w:r>
    </w:p>
    <w:p w:rsidR="00F90502" w:rsidRPr="00F90502" w:rsidRDefault="00F90502" w:rsidP="00F90502">
      <w:pPr>
        <w:pStyle w:val="SingleTxtG"/>
      </w:pPr>
      <w:r w:rsidRPr="00F90502">
        <w:tab/>
      </w:r>
      <w:r w:rsidRPr="00F90502">
        <w:tab/>
      </w:r>
      <w:r w:rsidRPr="00F90502">
        <w:rPr>
          <w:lang w:val="fr-CH"/>
        </w:rPr>
        <w:t>a</w:t>
      </w:r>
      <w:r w:rsidRPr="00F90502">
        <w:t>)</w:t>
      </w:r>
      <w:r w:rsidRPr="00F90502">
        <w:tab/>
        <w:t>Циркуляр № 179/</w:t>
      </w:r>
      <w:r w:rsidRPr="00F90502">
        <w:rPr>
          <w:lang w:val="fr-FR"/>
        </w:rPr>
        <w:t>MJ</w:t>
      </w:r>
      <w:r w:rsidRPr="00F90502">
        <w:t>/</w:t>
      </w:r>
      <w:r w:rsidRPr="00F90502">
        <w:rPr>
          <w:lang w:val="fr-FR"/>
        </w:rPr>
        <w:t>DACG</w:t>
      </w:r>
      <w:r w:rsidRPr="00F90502">
        <w:t>/</w:t>
      </w:r>
      <w:r w:rsidRPr="00F90502">
        <w:rPr>
          <w:lang w:val="fr-FR"/>
        </w:rPr>
        <w:t>MN</w:t>
      </w:r>
      <w:r w:rsidRPr="00F90502">
        <w:t xml:space="preserve"> от 2018 года, в котором уточняется порядок осуществления права на помощь адвоката;</w:t>
      </w:r>
    </w:p>
    <w:p w:rsidR="00F90502" w:rsidRPr="00F90502" w:rsidRDefault="00F90502" w:rsidP="00F90502">
      <w:pPr>
        <w:pStyle w:val="SingleTxtG"/>
      </w:pPr>
      <w:r w:rsidRPr="00F90502">
        <w:tab/>
      </w:r>
      <w:r w:rsidRPr="00F90502">
        <w:tab/>
      </w:r>
      <w:r w:rsidRPr="00F90502">
        <w:rPr>
          <w:lang w:val="fr-CH"/>
        </w:rPr>
        <w:t>b</w:t>
      </w:r>
      <w:r w:rsidRPr="00F90502">
        <w:t>)</w:t>
      </w:r>
      <w:r w:rsidRPr="00F90502">
        <w:tab/>
        <w:t xml:space="preserve">создание в структуре судебных органов Сенегала чрезвычайных африканских палат в порядке выполнения решения по делу </w:t>
      </w:r>
      <w:r w:rsidRPr="00F90502">
        <w:rPr>
          <w:i/>
          <w:iCs/>
        </w:rPr>
        <w:t>Генгенг и др. против Сенегала</w:t>
      </w:r>
      <w:r w:rsidRPr="00F90502">
        <w:rPr>
          <w:i/>
        </w:rPr>
        <w:t xml:space="preserve"> </w:t>
      </w:r>
      <w:r w:rsidRPr="00F90502">
        <w:rPr>
          <w:iCs/>
        </w:rPr>
        <w:t>(</w:t>
      </w:r>
      <w:r w:rsidRPr="00F90502">
        <w:rPr>
          <w:iCs/>
          <w:lang w:val="fr-FR"/>
        </w:rPr>
        <w:t>CAT</w:t>
      </w:r>
      <w:r w:rsidRPr="00F90502">
        <w:rPr>
          <w:iCs/>
        </w:rPr>
        <w:t>/</w:t>
      </w:r>
      <w:r w:rsidRPr="00F90502">
        <w:rPr>
          <w:iCs/>
          <w:lang w:val="fr-FR"/>
        </w:rPr>
        <w:t>C</w:t>
      </w:r>
      <w:r w:rsidRPr="00F90502">
        <w:rPr>
          <w:iCs/>
        </w:rPr>
        <w:t>/36/</w:t>
      </w:r>
      <w:r w:rsidRPr="00F90502">
        <w:rPr>
          <w:iCs/>
          <w:lang w:val="fr-FR"/>
        </w:rPr>
        <w:t>D</w:t>
      </w:r>
      <w:r w:rsidRPr="00F90502">
        <w:rPr>
          <w:iCs/>
        </w:rPr>
        <w:t>/181/2001)</w:t>
      </w:r>
      <w:r w:rsidRPr="00F90502">
        <w:t>, чтобы вести процесс по делу Хиссена Хабре, осужденного в 2016 году за преступления против человечности, военные преступления и применение пыток в Чаде в 1982</w:t>
      </w:r>
      <w:r w:rsidR="00D83A2A">
        <w:t>–</w:t>
      </w:r>
      <w:r w:rsidRPr="00F90502">
        <w:t>1990 годах;</w:t>
      </w:r>
    </w:p>
    <w:p w:rsidR="00F90502" w:rsidRPr="00F90502" w:rsidRDefault="00F90502" w:rsidP="00F90502">
      <w:pPr>
        <w:pStyle w:val="SingleTxtG"/>
      </w:pPr>
      <w:r w:rsidRPr="00F90502">
        <w:tab/>
      </w:r>
      <w:r w:rsidRPr="00F90502">
        <w:tab/>
      </w:r>
      <w:r w:rsidRPr="00F90502">
        <w:rPr>
          <w:lang w:val="fr-CH"/>
        </w:rPr>
        <w:t>c</w:t>
      </w:r>
      <w:r w:rsidRPr="00F90502">
        <w:t>)</w:t>
      </w:r>
      <w:r w:rsidRPr="00F90502">
        <w:tab/>
        <w:t>постановление от 2016 года о срочном изъятии детей с улиц и об ужесточении наказания для лиц, занимающихся их эксплуатацией;</w:t>
      </w:r>
    </w:p>
    <w:p w:rsidR="00F90502" w:rsidRPr="00F90502" w:rsidRDefault="00F90502" w:rsidP="00F90502">
      <w:pPr>
        <w:pStyle w:val="SingleTxtG"/>
      </w:pPr>
      <w:r w:rsidRPr="00F90502">
        <w:tab/>
      </w:r>
      <w:r w:rsidRPr="00F90502">
        <w:tab/>
      </w:r>
      <w:r w:rsidRPr="00F90502">
        <w:rPr>
          <w:lang w:val="fr-CH"/>
        </w:rPr>
        <w:t>d</w:t>
      </w:r>
      <w:r w:rsidRPr="00F90502">
        <w:t>)</w:t>
      </w:r>
      <w:r w:rsidRPr="00F90502">
        <w:tab/>
        <w:t>создание электронного реестра в пенитенциарных учреждениях;</w:t>
      </w:r>
    </w:p>
    <w:p w:rsidR="00F90502" w:rsidRPr="00F90502" w:rsidRDefault="00F90502" w:rsidP="00F90502">
      <w:pPr>
        <w:pStyle w:val="SingleTxtG"/>
      </w:pPr>
      <w:r w:rsidRPr="00F90502">
        <w:tab/>
      </w:r>
      <w:r w:rsidRPr="00F90502">
        <w:tab/>
      </w:r>
      <w:r w:rsidRPr="00F90502">
        <w:rPr>
          <w:lang w:val="fr-CH"/>
        </w:rPr>
        <w:t>e</w:t>
      </w:r>
      <w:r w:rsidRPr="00F90502">
        <w:t>)</w:t>
      </w:r>
      <w:r w:rsidRPr="00F90502">
        <w:tab/>
        <w:t>национальную стратегию защиты ребенка 2013 года.</w:t>
      </w:r>
    </w:p>
    <w:p w:rsidR="00F90502" w:rsidRPr="00F90502" w:rsidRDefault="00F90502" w:rsidP="00F90502">
      <w:pPr>
        <w:pStyle w:val="H1G"/>
      </w:pPr>
      <w:r w:rsidRPr="00F90502">
        <w:tab/>
      </w:r>
      <w:r w:rsidRPr="00F90502">
        <w:rPr>
          <w:lang w:val="fr-CH"/>
        </w:rPr>
        <w:t>C</w:t>
      </w:r>
      <w:r w:rsidRPr="00F90502">
        <w:t>.</w:t>
      </w:r>
      <w:r w:rsidRPr="00F90502">
        <w:tab/>
        <w:t>Основные вопросы, вызывающие озабоченность, и</w:t>
      </w:r>
      <w:r w:rsidRPr="00F90502">
        <w:rPr>
          <w:lang w:val="fr-CH"/>
        </w:rPr>
        <w:t> </w:t>
      </w:r>
      <w:r w:rsidRPr="00F90502">
        <w:t xml:space="preserve">рекомендации </w:t>
      </w:r>
    </w:p>
    <w:p w:rsidR="00F90502" w:rsidRPr="00F90502" w:rsidRDefault="00F90502" w:rsidP="00F90502">
      <w:pPr>
        <w:pStyle w:val="H23G"/>
      </w:pPr>
      <w:r w:rsidRPr="00F90502">
        <w:tab/>
      </w:r>
      <w:r w:rsidRPr="00F90502">
        <w:tab/>
        <w:t>Нерешенные вопросы по процедуре последующих действий</w:t>
      </w:r>
    </w:p>
    <w:p w:rsidR="00F90502" w:rsidRPr="00F90502" w:rsidRDefault="00F90502" w:rsidP="00F90502">
      <w:pPr>
        <w:pStyle w:val="SingleTxtG"/>
      </w:pPr>
      <w:r w:rsidRPr="00F90502">
        <w:t>6.</w:t>
      </w:r>
      <w:r w:rsidRPr="00F90502">
        <w:tab/>
        <w:t>Комитет с удовлетворением принимает к сведению информацию, представленную государством-участником по процедуре последующих действий в связи с предыдущими заключительными замечаниями (</w:t>
      </w:r>
      <w:r w:rsidRPr="00F90502">
        <w:rPr>
          <w:lang w:val="fr-CH"/>
        </w:rPr>
        <w:t>CAT</w:t>
      </w:r>
      <w:r w:rsidRPr="00F90502">
        <w:t>/</w:t>
      </w:r>
      <w:r w:rsidRPr="00F90502">
        <w:rPr>
          <w:lang w:val="fr-CH"/>
        </w:rPr>
        <w:t>C</w:t>
      </w:r>
      <w:r w:rsidRPr="00F90502">
        <w:t>/</w:t>
      </w:r>
      <w:r w:rsidRPr="00F90502">
        <w:rPr>
          <w:lang w:val="fr-CH"/>
        </w:rPr>
        <w:t>SEN</w:t>
      </w:r>
      <w:r w:rsidRPr="00F90502">
        <w:t>/</w:t>
      </w:r>
      <w:r w:rsidRPr="00F90502">
        <w:rPr>
          <w:lang w:val="fr-CH"/>
        </w:rPr>
        <w:t>CO</w:t>
      </w:r>
      <w:r w:rsidRPr="00F90502">
        <w:t xml:space="preserve">/3) и в ответ на письмо Докладчика Комитета по последующим мерам в связи с заключительными замечаниями от 25 ноября 2013 года, но при этом сожалеет, что рекомендации относительно последующих действий, изложенные в пунктах 10 </w:t>
      </w:r>
      <w:r w:rsidRPr="00F90502">
        <w:rPr>
          <w:lang w:val="fr-CH"/>
        </w:rPr>
        <w:t>a</w:t>
      </w:r>
      <w:r w:rsidRPr="00F90502">
        <w:t>) (Основные правовые гарантии) и 11</w:t>
      </w:r>
      <w:r w:rsidRPr="00F90502">
        <w:rPr>
          <w:lang w:val="fr-CH"/>
        </w:rPr>
        <w:t> a</w:t>
      </w:r>
      <w:r w:rsidRPr="00F90502">
        <w:t>)</w:t>
      </w:r>
      <w:r w:rsidRPr="00F90502">
        <w:rPr>
          <w:lang w:val="fr-CH"/>
        </w:rPr>
        <w:t> </w:t>
      </w:r>
      <w:r w:rsidRPr="00F90502">
        <w:t xml:space="preserve">(Расследования и безнаказанность) предыдущих заключительных замечаний, до сих пор не выполнены (см. пункт 10 </w:t>
      </w:r>
      <w:r w:rsidRPr="00F90502">
        <w:rPr>
          <w:lang w:val="fr-CH"/>
        </w:rPr>
        <w:t>a</w:t>
      </w:r>
      <w:r w:rsidRPr="00F90502">
        <w:t xml:space="preserve">), </w:t>
      </w:r>
      <w:r w:rsidRPr="00F90502">
        <w:rPr>
          <w:lang w:val="fr-CH"/>
        </w:rPr>
        <w:t>b</w:t>
      </w:r>
      <w:r w:rsidRPr="00F90502">
        <w:t xml:space="preserve">) и </w:t>
      </w:r>
      <w:r w:rsidRPr="00F90502">
        <w:rPr>
          <w:lang w:val="fr-CH"/>
        </w:rPr>
        <w:t>c</w:t>
      </w:r>
      <w:r w:rsidRPr="00F90502">
        <w:t>) и пункт</w:t>
      </w:r>
      <w:r w:rsidRPr="00F90502">
        <w:rPr>
          <w:lang w:val="fr-CH"/>
        </w:rPr>
        <w:t> </w:t>
      </w:r>
      <w:r w:rsidRPr="00F90502">
        <w:t xml:space="preserve">20 </w:t>
      </w:r>
      <w:r w:rsidRPr="00F90502">
        <w:rPr>
          <w:lang w:val="fr-CH"/>
        </w:rPr>
        <w:t>a</w:t>
      </w:r>
      <w:r w:rsidRPr="00F90502">
        <w:t>) ниже).</w:t>
      </w:r>
    </w:p>
    <w:p w:rsidR="00F90502" w:rsidRPr="00F90502" w:rsidRDefault="00F90502" w:rsidP="00F90502">
      <w:pPr>
        <w:pStyle w:val="H23G"/>
      </w:pPr>
      <w:r w:rsidRPr="00F90502">
        <w:tab/>
      </w:r>
      <w:r w:rsidRPr="00F90502">
        <w:tab/>
        <w:t>Определение пытки и надлежащие меры наказания</w:t>
      </w:r>
    </w:p>
    <w:p w:rsidR="00F90502" w:rsidRPr="00F90502" w:rsidRDefault="00F90502" w:rsidP="00F90502">
      <w:pPr>
        <w:pStyle w:val="SingleTxtG"/>
      </w:pPr>
      <w:r w:rsidRPr="00F90502">
        <w:t>7.</w:t>
      </w:r>
      <w:r w:rsidRPr="00F90502">
        <w:tab/>
        <w:t xml:space="preserve">Напоминая свою предыдущую рекомендацию (см. </w:t>
      </w:r>
      <w:r w:rsidRPr="00F90502">
        <w:rPr>
          <w:lang w:val="fr-CH"/>
        </w:rPr>
        <w:t>CAT</w:t>
      </w:r>
      <w:r w:rsidRPr="00F90502">
        <w:t>/</w:t>
      </w:r>
      <w:r w:rsidRPr="00F90502">
        <w:rPr>
          <w:lang w:val="fr-CH"/>
        </w:rPr>
        <w:t>C</w:t>
      </w:r>
      <w:r w:rsidRPr="00F90502">
        <w:t>/</w:t>
      </w:r>
      <w:r w:rsidRPr="00F90502">
        <w:rPr>
          <w:lang w:val="fr-CH"/>
        </w:rPr>
        <w:t>SEN</w:t>
      </w:r>
      <w:r w:rsidRPr="00F90502">
        <w:t>/</w:t>
      </w:r>
      <w:r w:rsidRPr="00F90502">
        <w:rPr>
          <w:lang w:val="fr-CH"/>
        </w:rPr>
        <w:t>CO</w:t>
      </w:r>
      <w:r w:rsidRPr="00F90502">
        <w:t xml:space="preserve">/3, пункт 8), Комитет вновь выражает озабоченность тем, что ни в статье 295-1 Уголовного кодекса, где содержится определение пытки, ни в предусмотренных поправках к законопроекту об изменении Уголовного кодекса не упомянута возможность применения пытки в отношении третьего лица. Комитет также обеспокоен тем, что в статье 295-1 за применение пыток предусмотрено минимальное наказание в виде тюремного заключения на срок пять лет, что позволяет судье смягчить срок наказания до двух лет и назначить его условно. Комитет, в частности, с озабоченностью констатирует, что в целом ряде случаев за применение пыток были назначены очень мягкие наказания. При этом он отмечает, что государство-участник обязалось восполнить выявленные пробелы в определении термина </w:t>
      </w:r>
      <w:r w:rsidR="00D83A2A">
        <w:t>«</w:t>
      </w:r>
      <w:r w:rsidRPr="00F90502">
        <w:t>пытка</w:t>
      </w:r>
      <w:r w:rsidR="00D83A2A">
        <w:t>»</w:t>
      </w:r>
      <w:r w:rsidRPr="00F90502">
        <w:t xml:space="preserve"> (статьи 1 и 4).</w:t>
      </w:r>
    </w:p>
    <w:p w:rsidR="00F90502" w:rsidRPr="00F90502" w:rsidRDefault="00F90502" w:rsidP="00F90502">
      <w:pPr>
        <w:pStyle w:val="SingleTxtG"/>
        <w:rPr>
          <w:b/>
        </w:rPr>
      </w:pPr>
      <w:r w:rsidRPr="00F90502">
        <w:t>8.</w:t>
      </w:r>
      <w:r w:rsidRPr="00F90502">
        <w:tab/>
      </w:r>
      <w:r w:rsidRPr="00F90502">
        <w:rPr>
          <w:b/>
        </w:rPr>
        <w:t>Комитет повторяет свою предыдущую рекомендацию (</w:t>
      </w:r>
      <w:r w:rsidRPr="00F90502">
        <w:rPr>
          <w:b/>
          <w:lang w:val="fr-FR"/>
        </w:rPr>
        <w:t>CAT</w:t>
      </w:r>
      <w:r w:rsidRPr="00F90502">
        <w:rPr>
          <w:b/>
        </w:rPr>
        <w:t>/</w:t>
      </w:r>
      <w:r w:rsidRPr="00F90502">
        <w:rPr>
          <w:b/>
          <w:lang w:val="fr-FR"/>
        </w:rPr>
        <w:t>C</w:t>
      </w:r>
      <w:r w:rsidRPr="00F90502">
        <w:rPr>
          <w:b/>
        </w:rPr>
        <w:t>/</w:t>
      </w:r>
      <w:r w:rsidRPr="00F90502">
        <w:rPr>
          <w:b/>
          <w:lang w:val="fr-FR"/>
        </w:rPr>
        <w:t>SEN</w:t>
      </w:r>
      <w:r w:rsidRPr="00F90502">
        <w:rPr>
          <w:b/>
        </w:rPr>
        <w:t>/</w:t>
      </w:r>
      <w:r w:rsidRPr="00F90502">
        <w:rPr>
          <w:b/>
          <w:lang w:val="fr-FR"/>
        </w:rPr>
        <w:t>CO</w:t>
      </w:r>
      <w:r w:rsidRPr="00F90502">
        <w:rPr>
          <w:b/>
        </w:rPr>
        <w:t>/3, пункт 8) и настоятельно призывает государство-участник внести изменение в статью</w:t>
      </w:r>
      <w:r w:rsidRPr="00F90502">
        <w:rPr>
          <w:b/>
          <w:lang w:val="fr-CH"/>
        </w:rPr>
        <w:t> </w:t>
      </w:r>
      <w:r w:rsidRPr="00F90502">
        <w:rPr>
          <w:b/>
        </w:rPr>
        <w:t xml:space="preserve">295-1 Уголовного кодекса, чтобы включить в определение термина </w:t>
      </w:r>
      <w:r w:rsidR="00D83A2A">
        <w:rPr>
          <w:b/>
        </w:rPr>
        <w:t>«</w:t>
      </w:r>
      <w:r w:rsidRPr="00F90502">
        <w:rPr>
          <w:b/>
        </w:rPr>
        <w:t>пытка</w:t>
      </w:r>
      <w:r w:rsidR="00D83A2A">
        <w:rPr>
          <w:b/>
        </w:rPr>
        <w:t>»</w:t>
      </w:r>
      <w:r w:rsidRPr="00F90502">
        <w:rPr>
          <w:b/>
        </w:rPr>
        <w:t xml:space="preserve"> деяния в отношении третьего лица, направленные на получение от него сведений, его наказание, запугивание или принуждение. Кроме того, за преступление в виде применения пытки нужно предусмотреть надлежащие меры наказания с учетом тяжести подобных деяний, как это предусмотрено в пункте</w:t>
      </w:r>
      <w:r w:rsidR="004D6AB3">
        <w:rPr>
          <w:b/>
          <w:lang w:val="en-US"/>
        </w:rPr>
        <w:t> </w:t>
      </w:r>
      <w:r w:rsidRPr="00F90502">
        <w:rPr>
          <w:b/>
        </w:rPr>
        <w:t xml:space="preserve">2 статьи 4 Конвенции. </w:t>
      </w:r>
    </w:p>
    <w:p w:rsidR="00F90502" w:rsidRPr="00F90502" w:rsidRDefault="00F90502" w:rsidP="00F90502">
      <w:pPr>
        <w:pStyle w:val="H23G"/>
      </w:pPr>
      <w:r w:rsidRPr="00F90502">
        <w:tab/>
      </w:r>
      <w:r w:rsidRPr="00F90502">
        <w:tab/>
        <w:t xml:space="preserve">Основные правовые гарантии  </w:t>
      </w:r>
    </w:p>
    <w:p w:rsidR="00F90502" w:rsidRPr="00F90502" w:rsidRDefault="00F90502" w:rsidP="00F90502">
      <w:pPr>
        <w:pStyle w:val="SingleTxtG"/>
        <w:rPr>
          <w:b/>
        </w:rPr>
      </w:pPr>
      <w:r w:rsidRPr="00F90502">
        <w:t>9.</w:t>
      </w:r>
      <w:r w:rsidRPr="00F90502">
        <w:tab/>
        <w:t>Принимая к сведению изменения, внесенные Законом № 2016-30 и Циркуляром</w:t>
      </w:r>
      <w:r w:rsidR="004D6AB3">
        <w:rPr>
          <w:lang w:val="en-US"/>
        </w:rPr>
        <w:t> </w:t>
      </w:r>
      <w:r w:rsidRPr="00F90502">
        <w:t>№ 179/</w:t>
      </w:r>
      <w:r w:rsidRPr="00F90502">
        <w:rPr>
          <w:lang w:val="fr-FR"/>
        </w:rPr>
        <w:t>MJ</w:t>
      </w:r>
      <w:r w:rsidRPr="00F90502">
        <w:t>/</w:t>
      </w:r>
      <w:r w:rsidRPr="00F90502">
        <w:rPr>
          <w:lang w:val="fr-FR"/>
        </w:rPr>
        <w:t>DACG</w:t>
      </w:r>
      <w:r w:rsidRPr="00F90502">
        <w:t>/</w:t>
      </w:r>
      <w:r w:rsidRPr="00F90502">
        <w:rPr>
          <w:lang w:val="fr-FR"/>
        </w:rPr>
        <w:t>MN</w:t>
      </w:r>
      <w:r w:rsidRPr="00F90502">
        <w:t xml:space="preserve"> об основных гарантиях, Комитет по-прежнему обеспокоен тем, что: </w:t>
      </w:r>
      <w:r w:rsidRPr="00F90502">
        <w:rPr>
          <w:lang w:val="fr-CH"/>
        </w:rPr>
        <w:t>i</w:t>
      </w:r>
      <w:r w:rsidRPr="00F90502">
        <w:t>) срок задержания продолжительностью 48 часов, однократно продлеваемый с соответствующего разрешения, может быть увеличен вплоть до восьми дней в связи с преступлениями против государственной безопасности;</w:t>
      </w:r>
      <w:r w:rsidR="00D83369">
        <w:rPr>
          <w:vertAlign w:val="superscript"/>
        </w:rPr>
        <w:br/>
      </w:r>
      <w:r w:rsidRPr="00F90502">
        <w:rPr>
          <w:lang w:val="fr-CH"/>
        </w:rPr>
        <w:lastRenderedPageBreak/>
        <w:t>ii</w:t>
      </w:r>
      <w:r w:rsidRPr="00F90502">
        <w:t>) в рамках дел о терроризме он может с соответствующего разрешения продлеваться до</w:t>
      </w:r>
      <w:r w:rsidR="004D6AB3">
        <w:rPr>
          <w:lang w:val="en-US"/>
        </w:rPr>
        <w:t> </w:t>
      </w:r>
      <w:r w:rsidRPr="00F90502">
        <w:t>12</w:t>
      </w:r>
      <w:r w:rsidR="004D6AB3">
        <w:rPr>
          <w:lang w:val="en-US"/>
        </w:rPr>
        <w:t> </w:t>
      </w:r>
      <w:r w:rsidRPr="00F90502">
        <w:t>дней;</w:t>
      </w:r>
      <w:r w:rsidRPr="00F90502">
        <w:rPr>
          <w:vertAlign w:val="superscript"/>
        </w:rPr>
        <w:t xml:space="preserve"> </w:t>
      </w:r>
      <w:r w:rsidRPr="00F90502">
        <w:rPr>
          <w:lang w:val="fr-CH"/>
        </w:rPr>
        <w:t>iii</w:t>
      </w:r>
      <w:r w:rsidRPr="00F90502">
        <w:t xml:space="preserve">) для детей, находящихся в конфликте с законом, предусмотрены те же сроки задержания; </w:t>
      </w:r>
      <w:r w:rsidRPr="00F90502">
        <w:rPr>
          <w:lang w:val="fr-CH"/>
        </w:rPr>
        <w:t>iv</w:t>
      </w:r>
      <w:r w:rsidRPr="00F90502">
        <w:t xml:space="preserve">) в законодательстве не признано право задержанного лица на оповещение своих родственников; и </w:t>
      </w:r>
      <w:r w:rsidRPr="00F90502">
        <w:rPr>
          <w:lang w:val="fr-FR"/>
        </w:rPr>
        <w:t>v</w:t>
      </w:r>
      <w:r w:rsidRPr="00F90502">
        <w:t xml:space="preserve">) продолжительность свидания задержанного с адвокатом ограничена 30 минутами. Комитет с озабоченностью констатирует, что весьма ограниченное число адвокатов, зарегистрированных в адвокатуре, а также их сосредоточенность в столице являются на практике препятствием для реализации права на помощь защитника с момента задержания, хотя он принимает к сведению меры, предусмотренные государством-участником для расширения адвокатуры на региональном уровне и ежегодной проверки доступности адвокатской помощи. Что касается доступа задержанных к медицинскому осмотру, то Комитет сожалеет об отсутствии системы, требующей проведения такого осмотра в период содержания под стражей и при поступлении задержанного в следственный изолятор, чтобы выявлять, в частности, следы применения пыток или жестокого обращения. Он также сожалеет о намерении государства-участника узаконить практику так называемого </w:t>
      </w:r>
      <w:r w:rsidR="00D83A2A">
        <w:t>«</w:t>
      </w:r>
      <w:r w:rsidRPr="00F90502">
        <w:t>прокурорского возврата</w:t>
      </w:r>
      <w:r w:rsidR="00D83A2A">
        <w:t>»</w:t>
      </w:r>
      <w:r w:rsidRPr="00F90502">
        <w:t xml:space="preserve"> или отдачи распоряжения о возвращении под стражу, которая позволяет продолжить применение задержания сверх предусмотренных законом сроков (статья 2).</w:t>
      </w:r>
    </w:p>
    <w:p w:rsidR="00F90502" w:rsidRPr="00F90502" w:rsidRDefault="00F90502" w:rsidP="00F90502">
      <w:pPr>
        <w:pStyle w:val="SingleTxtG"/>
        <w:rPr>
          <w:b/>
        </w:rPr>
      </w:pPr>
      <w:r w:rsidRPr="00F90502">
        <w:t>10.</w:t>
      </w:r>
      <w:r w:rsidRPr="00F90502">
        <w:tab/>
      </w:r>
      <w:r w:rsidRPr="00F90502">
        <w:rPr>
          <w:b/>
        </w:rPr>
        <w:t xml:space="preserve">Государству-участнику следует принять необходимые меры, в том числе законодательного характера, чтобы: </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Pr>
          <w:b/>
        </w:rPr>
        <w:tab/>
      </w:r>
      <w:r w:rsidRPr="00F90502">
        <w:rPr>
          <w:b/>
        </w:rPr>
        <w:t xml:space="preserve">обеспечить, чтобы максимальный срок задержания вне зависимости от его мотивов не превышал 48 часов (для детей </w:t>
      </w:r>
      <w:r w:rsidR="004D6AB3" w:rsidRPr="004D6AB3">
        <w:rPr>
          <w:b/>
        </w:rPr>
        <w:t>–</w:t>
      </w:r>
      <w:r w:rsidRPr="00F90502">
        <w:rPr>
          <w:b/>
        </w:rPr>
        <w:t xml:space="preserve"> 24 часа) с возможностью его однократного продления при чрезвычайных обстоятельствах, которые надлежащим образом обоснованы убедительными доказательствами, и чтобы по истечении срока задержания арестант был лично доставлен к независимому и беспристрастному судье;</w:t>
      </w:r>
    </w:p>
    <w:p w:rsidR="00F90502" w:rsidRPr="00F90502" w:rsidRDefault="00F90502" w:rsidP="00F90502">
      <w:pPr>
        <w:pStyle w:val="SingleTxtG"/>
        <w:rPr>
          <w:b/>
        </w:rPr>
      </w:pPr>
      <w:r w:rsidRPr="00F90502">
        <w:rPr>
          <w:b/>
        </w:rPr>
        <w:tab/>
      </w:r>
      <w:r w:rsidRPr="00F90502">
        <w:rPr>
          <w:b/>
        </w:rPr>
        <w:tab/>
      </w:r>
      <w:r w:rsidRPr="00F90502">
        <w:rPr>
          <w:b/>
          <w:lang w:val="fr-CH"/>
        </w:rPr>
        <w:t>b</w:t>
      </w:r>
      <w:r w:rsidRPr="00F90502">
        <w:rPr>
          <w:b/>
        </w:rPr>
        <w:t>)</w:t>
      </w:r>
      <w:r w:rsidRPr="00F90502">
        <w:rPr>
          <w:b/>
        </w:rPr>
        <w:tab/>
        <w:t xml:space="preserve">гарантировать всем задержанным лицам пользование основными правовыми гарантиями с самого начала срока их лишения свободы, в частности правом </w:t>
      </w:r>
      <w:r w:rsidRPr="00F90502">
        <w:rPr>
          <w:b/>
          <w:lang w:val="fr-CH"/>
        </w:rPr>
        <w:t>i</w:t>
      </w:r>
      <w:r w:rsidRPr="00F90502">
        <w:rPr>
          <w:b/>
        </w:rPr>
        <w:t xml:space="preserve">) быть информированными на понимаемом ими языке о мотивах ареста, </w:t>
      </w:r>
      <w:r w:rsidRPr="00F90502">
        <w:rPr>
          <w:b/>
          <w:lang w:val="fr-CH"/>
        </w:rPr>
        <w:t>ii</w:t>
      </w:r>
      <w:r w:rsidRPr="00F90502">
        <w:rPr>
          <w:b/>
        </w:rPr>
        <w:t xml:space="preserve">) сообщить о задержании своим близким, </w:t>
      </w:r>
      <w:r w:rsidRPr="00F90502">
        <w:rPr>
          <w:b/>
          <w:lang w:val="fr-CH"/>
        </w:rPr>
        <w:t>iii</w:t>
      </w:r>
      <w:r w:rsidRPr="00F90502">
        <w:rPr>
          <w:b/>
        </w:rPr>
        <w:t xml:space="preserve">) получить незамедлительный конфиденциальный доступ к независимому адвокату или к правовой помощи на весь период, который необходим для ведения эффективной защиты, </w:t>
      </w:r>
      <w:r w:rsidR="00D83A2A">
        <w:rPr>
          <w:b/>
        </w:rPr>
        <w:br/>
      </w:r>
      <w:r w:rsidRPr="00F90502">
        <w:rPr>
          <w:b/>
        </w:rPr>
        <w:t xml:space="preserve">и </w:t>
      </w:r>
      <w:r w:rsidRPr="00F90502">
        <w:rPr>
          <w:b/>
          <w:lang w:val="fr-CH"/>
        </w:rPr>
        <w:t>iv</w:t>
      </w:r>
      <w:r w:rsidRPr="00F90502">
        <w:rPr>
          <w:b/>
        </w:rPr>
        <w:t>) с</w:t>
      </w:r>
      <w:r w:rsidR="004D6AB3">
        <w:rPr>
          <w:b/>
          <w:lang w:val="en-US"/>
        </w:rPr>
        <w:t> </w:t>
      </w:r>
      <w:r w:rsidRPr="00F90502">
        <w:rPr>
          <w:b/>
        </w:rPr>
        <w:t>момента их доставки в следственный изолятор потребовать и пройти без каких-либо предварительных условий медицинский осмотр, проводимый квалифицированным медперсоналом, и доступ к независимому врачу по их просьбе;</w:t>
      </w:r>
    </w:p>
    <w:p w:rsidR="00F90502" w:rsidRPr="00F90502" w:rsidRDefault="00F90502" w:rsidP="00F90502">
      <w:pPr>
        <w:pStyle w:val="SingleTxtG"/>
        <w:rPr>
          <w:b/>
        </w:rPr>
      </w:pPr>
      <w:r w:rsidRPr="00F90502">
        <w:rPr>
          <w:b/>
        </w:rPr>
        <w:tab/>
      </w:r>
      <w:r w:rsidRPr="00F90502">
        <w:rPr>
          <w:b/>
        </w:rPr>
        <w:tab/>
      </w:r>
      <w:r w:rsidRPr="00F90502">
        <w:rPr>
          <w:b/>
          <w:lang w:val="fr-CH"/>
        </w:rPr>
        <w:t>c</w:t>
      </w:r>
      <w:r w:rsidRPr="00F90502">
        <w:rPr>
          <w:b/>
        </w:rPr>
        <w:t>)</w:t>
      </w:r>
      <w:r w:rsidRPr="00F90502">
        <w:rPr>
          <w:b/>
        </w:rPr>
        <w:tab/>
        <w:t>следить за тем, чтобы медицинский персонал сообщал независимому следственному органу о выявлении каждого признака пыток или жесткого обращения в условиях полного доверия и отсутствия опасности преследований. Государству-участнику следует объединять статистические данные о количестве случаев, выявленных благодаря этому механизму, а также подробные сведения о результатах расследований по этим случаям;</w:t>
      </w:r>
    </w:p>
    <w:p w:rsidR="00F90502" w:rsidRPr="00F90502" w:rsidRDefault="00F90502" w:rsidP="00F90502">
      <w:pPr>
        <w:pStyle w:val="SingleTxtG"/>
        <w:rPr>
          <w:b/>
        </w:rPr>
      </w:pPr>
      <w:r w:rsidRPr="00F90502">
        <w:rPr>
          <w:b/>
        </w:rPr>
        <w:tab/>
      </w:r>
      <w:r w:rsidRPr="00F90502">
        <w:rPr>
          <w:b/>
        </w:rPr>
        <w:tab/>
      </w:r>
      <w:r w:rsidRPr="00F90502">
        <w:rPr>
          <w:b/>
          <w:lang w:val="fr-CH"/>
        </w:rPr>
        <w:t>d</w:t>
      </w:r>
      <w:r w:rsidRPr="00F90502">
        <w:rPr>
          <w:b/>
        </w:rPr>
        <w:t>)</w:t>
      </w:r>
      <w:r w:rsidRPr="00F90502">
        <w:rPr>
          <w:b/>
        </w:rPr>
        <w:tab/>
        <w:t>обеспечивать регулярное проведение экзамена на приятие в адвокатуру для увеличения численности практикующих адвокатов, стимулировать адвокатов к ведению практики в регионах и выделять необходимые ресурсы для упрощения доступа всех малоимущих лиц к правовой помощи;</w:t>
      </w:r>
    </w:p>
    <w:p w:rsidR="00F90502" w:rsidRPr="00F90502" w:rsidRDefault="00F90502" w:rsidP="00F90502">
      <w:pPr>
        <w:pStyle w:val="SingleTxtG"/>
        <w:rPr>
          <w:b/>
        </w:rPr>
      </w:pPr>
      <w:r w:rsidRPr="00F90502">
        <w:rPr>
          <w:b/>
        </w:rPr>
        <w:tab/>
      </w:r>
      <w:r w:rsidRPr="00F90502">
        <w:rPr>
          <w:b/>
        </w:rPr>
        <w:tab/>
      </w:r>
      <w:r w:rsidRPr="00F90502">
        <w:rPr>
          <w:b/>
          <w:lang w:val="fr-CH"/>
        </w:rPr>
        <w:t>e</w:t>
      </w:r>
      <w:r w:rsidRPr="00F90502">
        <w:rPr>
          <w:b/>
        </w:rPr>
        <w:t>)</w:t>
      </w:r>
      <w:r w:rsidRPr="00F90502">
        <w:rPr>
          <w:b/>
        </w:rPr>
        <w:tab/>
        <w:t xml:space="preserve">прекратить практику так называемого </w:t>
      </w:r>
      <w:r w:rsidR="00D83A2A">
        <w:rPr>
          <w:b/>
        </w:rPr>
        <w:t>«</w:t>
      </w:r>
      <w:r w:rsidRPr="00F90502">
        <w:rPr>
          <w:b/>
        </w:rPr>
        <w:t>прокурорского возврата</w:t>
      </w:r>
      <w:r w:rsidR="00D83A2A">
        <w:rPr>
          <w:b/>
        </w:rPr>
        <w:t>»</w:t>
      </w:r>
      <w:r w:rsidRPr="00F90502">
        <w:rPr>
          <w:b/>
        </w:rPr>
        <w:t xml:space="preserve"> или отдачи распоряжения о возвращении под стражу и предоставить судебной системе дополнительные средства для сокращения сроков доставки задержанных в суды;</w:t>
      </w:r>
    </w:p>
    <w:p w:rsidR="00F90502" w:rsidRPr="00F90502" w:rsidRDefault="00F90502" w:rsidP="00F90502">
      <w:pPr>
        <w:pStyle w:val="SingleTxtG"/>
        <w:rPr>
          <w:b/>
        </w:rPr>
      </w:pPr>
      <w:r w:rsidRPr="00F90502">
        <w:rPr>
          <w:b/>
        </w:rPr>
        <w:tab/>
      </w:r>
      <w:r w:rsidRPr="00F90502">
        <w:rPr>
          <w:b/>
        </w:rPr>
        <w:tab/>
      </w:r>
      <w:r w:rsidRPr="00F90502">
        <w:rPr>
          <w:b/>
          <w:lang w:val="fr-CH"/>
        </w:rPr>
        <w:t>f</w:t>
      </w:r>
      <w:r w:rsidRPr="00F90502">
        <w:rPr>
          <w:b/>
        </w:rPr>
        <w:t>)</w:t>
      </w:r>
      <w:r w:rsidRPr="00F90502">
        <w:rPr>
          <w:b/>
        </w:rPr>
        <w:tab/>
        <w:t>систематически проверять практическое соблюдение государственными агентами юридических гарантий и строгое ведение реестров и пресекать при этом любые нарушения.</w:t>
      </w:r>
    </w:p>
    <w:p w:rsidR="00F90502" w:rsidRPr="00F90502" w:rsidRDefault="00F90502" w:rsidP="00F90502">
      <w:pPr>
        <w:pStyle w:val="H23G"/>
      </w:pPr>
      <w:r w:rsidRPr="00F90502">
        <w:lastRenderedPageBreak/>
        <w:tab/>
      </w:r>
      <w:r w:rsidRPr="00F90502">
        <w:tab/>
        <w:t xml:space="preserve">Правонарушения, совершенные в ходе конфликта в Казамансе  </w:t>
      </w:r>
    </w:p>
    <w:p w:rsidR="00F90502" w:rsidRPr="00F90502" w:rsidRDefault="00F90502" w:rsidP="00F90502">
      <w:pPr>
        <w:pStyle w:val="SingleTxtG"/>
      </w:pPr>
      <w:r w:rsidRPr="00F90502">
        <w:t>11.</w:t>
      </w:r>
      <w:r w:rsidRPr="00F90502">
        <w:tab/>
        <w:t>Комитет сожалеет о том, что государство-участник по-прежнему оправдывает принятие законов об амнистии в отношении всех правонарушений, совершенных в ходе немеждународного вооруженного конфликта в Казамансе, необходимостью восстановления мира в стране. Кроме того, он с озабоченностью принимает к сведению позицию государства-участника, согласно которой в Казамансе не было ни одного случая насильственного исчезновения, несмотря на жалобы членов семей задержанных. Комитет обеспокоен информацией о том, что в январе 201</w:t>
      </w:r>
      <w:r w:rsidR="00D83369">
        <w:t>8</w:t>
      </w:r>
      <w:r w:rsidRPr="00F90502">
        <w:t xml:space="preserve"> года в лесу Бофа-Байотт были убиты 15 человек и что военнослужащие сенегальской армии задержали 24 человека. В связи с этой информацией Комитет сожалеет, что государство-участник не ответило ни на просьбы предоставить сведения о юридическом статусе задержанных лиц, ни на вопрос о том, проводятся ли соответствующие расследования (статья 2, 12, 14 и 16). </w:t>
      </w:r>
    </w:p>
    <w:p w:rsidR="00F90502" w:rsidRPr="00F90502" w:rsidRDefault="00F90502" w:rsidP="00F90502">
      <w:pPr>
        <w:pStyle w:val="SingleTxtG"/>
        <w:rPr>
          <w:b/>
        </w:rPr>
      </w:pPr>
      <w:r w:rsidRPr="00F90502">
        <w:t>12.</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отменить амнистию всех случаев применения пыток или жестокого обращения, совершенных каждой из сторон в конфликте, а также других правонарушений, которые были совершены в Казамансе в ходе немеждународного вооруженного конфликта, чтобы провести расследования и обеспечить наказание виновных;</w:t>
      </w:r>
    </w:p>
    <w:p w:rsidR="00F90502" w:rsidRPr="00F90502" w:rsidRDefault="00F90502" w:rsidP="00F90502">
      <w:pPr>
        <w:pStyle w:val="SingleTxtG"/>
        <w:rPr>
          <w:b/>
        </w:rPr>
      </w:pPr>
      <w:r w:rsidRPr="00F90502">
        <w:rPr>
          <w:b/>
        </w:rPr>
        <w:tab/>
      </w:r>
      <w:r w:rsidRPr="00F90502">
        <w:rPr>
          <w:b/>
        </w:rPr>
        <w:tab/>
      </w:r>
      <w:r w:rsidRPr="00F90502">
        <w:rPr>
          <w:b/>
          <w:lang w:val="fr-CH"/>
        </w:rPr>
        <w:t>b</w:t>
      </w:r>
      <w:r w:rsidRPr="00F90502">
        <w:rPr>
          <w:b/>
        </w:rPr>
        <w:t>)</w:t>
      </w:r>
      <w:r w:rsidRPr="00F90502">
        <w:rPr>
          <w:b/>
        </w:rPr>
        <w:tab/>
        <w:t>принять меры по укреплению защиты гражданских лиц в Казамансе в соответствии со своими международными обязательствами и строго контролировать действия органов безопасности;</w:t>
      </w:r>
    </w:p>
    <w:p w:rsidR="00F90502" w:rsidRPr="00F90502" w:rsidRDefault="00F90502" w:rsidP="00F90502">
      <w:pPr>
        <w:pStyle w:val="SingleTxtG"/>
        <w:rPr>
          <w:b/>
        </w:rPr>
      </w:pPr>
      <w:r w:rsidRPr="00F90502">
        <w:rPr>
          <w:b/>
        </w:rPr>
        <w:tab/>
      </w:r>
      <w:r w:rsidRPr="00F90502">
        <w:rPr>
          <w:b/>
        </w:rPr>
        <w:tab/>
      </w:r>
      <w:r w:rsidRPr="00F90502">
        <w:rPr>
          <w:b/>
          <w:lang w:val="fr-FR"/>
        </w:rPr>
        <w:t>c</w:t>
      </w:r>
      <w:r w:rsidRPr="00F90502">
        <w:rPr>
          <w:b/>
        </w:rPr>
        <w:t>)</w:t>
      </w:r>
      <w:r w:rsidRPr="00F90502">
        <w:rPr>
          <w:b/>
        </w:rPr>
        <w:tab/>
        <w:t>сделать все возможное для розыска лиц, объявленных пропавшими без вести, в частности тех, которые исчезли после их ареста правоохранительными органами, и для обеспечения того, чтобы каждое лицо, которому непосредственно в результате насильственного исчезновения или задержания его родственника был нанесен ущерб, имело доступ ко всей имеющейся информации, которая может быть полезна для установления местонахождения исчезнувшего или задержанного лица;</w:t>
      </w:r>
    </w:p>
    <w:p w:rsidR="00F90502" w:rsidRPr="00F90502" w:rsidRDefault="00F90502" w:rsidP="00F90502">
      <w:pPr>
        <w:pStyle w:val="SingleTxtG"/>
        <w:rPr>
          <w:b/>
        </w:rPr>
      </w:pPr>
      <w:r w:rsidRPr="00F90502">
        <w:rPr>
          <w:b/>
        </w:rPr>
        <w:tab/>
      </w:r>
      <w:r w:rsidRPr="00F90502">
        <w:rPr>
          <w:b/>
        </w:rPr>
        <w:tab/>
      </w:r>
      <w:r w:rsidRPr="00F90502">
        <w:rPr>
          <w:b/>
          <w:lang w:val="fr-CH"/>
        </w:rPr>
        <w:t>d</w:t>
      </w:r>
      <w:r w:rsidRPr="00F90502">
        <w:rPr>
          <w:b/>
        </w:rPr>
        <w:t>)</w:t>
      </w:r>
      <w:r w:rsidRPr="00F90502">
        <w:rPr>
          <w:b/>
        </w:rPr>
        <w:tab/>
        <w:t>следить за тем, чтобы по всем недавним утверждениям об убийствах в Казамансе были проведены объективные расследования, в том числе в соответствующих случаях – независимые судебно-медицинские экспертизы и вскрытия для привлечения виновных к ответственности;</w:t>
      </w:r>
    </w:p>
    <w:p w:rsidR="00F90502" w:rsidRPr="00F90502" w:rsidRDefault="00F90502" w:rsidP="00F90502">
      <w:pPr>
        <w:pStyle w:val="SingleTxtG"/>
        <w:rPr>
          <w:b/>
        </w:rPr>
      </w:pPr>
      <w:r w:rsidRPr="00F90502">
        <w:rPr>
          <w:b/>
        </w:rPr>
        <w:tab/>
      </w:r>
      <w:r w:rsidRPr="00F90502">
        <w:rPr>
          <w:b/>
        </w:rPr>
        <w:tab/>
      </w:r>
      <w:r w:rsidRPr="00F90502">
        <w:rPr>
          <w:b/>
          <w:lang w:val="fr-FR"/>
        </w:rPr>
        <w:t>e</w:t>
      </w:r>
      <w:r w:rsidRPr="00F90502">
        <w:rPr>
          <w:b/>
        </w:rPr>
        <w:t>)</w:t>
      </w:r>
      <w:r w:rsidRPr="00F90502">
        <w:rPr>
          <w:b/>
        </w:rPr>
        <w:tab/>
        <w:t xml:space="preserve">обеспечить всем потерпевшим возмещение ущерба и максимально возможную реадаптацию. </w:t>
      </w:r>
    </w:p>
    <w:p w:rsidR="00F90502" w:rsidRPr="00F90502" w:rsidRDefault="00F90502" w:rsidP="00F90502">
      <w:pPr>
        <w:pStyle w:val="H23G"/>
      </w:pPr>
      <w:r w:rsidRPr="00F90502">
        <w:tab/>
      </w:r>
      <w:r w:rsidRPr="00F90502">
        <w:tab/>
        <w:t>Условия содержания под стражей</w:t>
      </w:r>
    </w:p>
    <w:p w:rsidR="00F90502" w:rsidRPr="00F90502" w:rsidRDefault="00F90502" w:rsidP="00F90502">
      <w:pPr>
        <w:pStyle w:val="SingleTxtG"/>
      </w:pPr>
      <w:r w:rsidRPr="00F90502">
        <w:t>13.</w:t>
      </w:r>
      <w:r w:rsidRPr="00F90502">
        <w:tab/>
        <w:t xml:space="preserve">Принимая к сведению рост числа мест и проектов по строительству и реконструкции пенитенциарных учреждений, Комитет по-прежнему обеспокоен постоянным увеличением численности арестантов, приводящим к их хронической переполненности. Кроме того, Комитет с озабоченностью отмечает, что органы по изменению мер наказания не функционируют и что доля применения таких мер очень незначительна, что усугубляет проблему переполненности тюрем. Он озабочен тем, что законопроект об отправлении правосудия в отношении несовершеннолетних, предусматривающий альтернативы содержанию под стражей и отбыванию наказания, до сих пор не принят. Комитет обеспокоен сообщениями о тяжелых условиях содержания и гигиены в центрах задержания, о нехватке надзирателей и неадекватном питании, а также тем, что содержание несовершеннолетних отдельно от взрослых не обеспечивается, особенно в женских тюрьмах и полицейских участках. Он также указывает, что Управление медицинского обслуживания пенитенциарных учреждений подчинено Министерству юстиции, и обеспокоен информацией о дефиците медицинского персонала и услуг, особенно для арестантов, страдающих психическими расстройствами. В отношении лиц, обвиняемых в терроризме, Комитет обеспокоен информацией о том, что условия их содержания являются особенно суровыми, включая изоляцию и даже отказ в медицинской помощи. Наконец, Комитет отмечает, </w:t>
      </w:r>
      <w:r w:rsidRPr="00F90502">
        <w:lastRenderedPageBreak/>
        <w:t>что содержащиеся под стражей женщины сталкиваются с препятствиями в доступе к профессиональному обучению и занятиям (статьи</w:t>
      </w:r>
      <w:r w:rsidRPr="00F90502">
        <w:rPr>
          <w:lang w:val="fr-CH"/>
        </w:rPr>
        <w:t> </w:t>
      </w:r>
      <w:r w:rsidRPr="00F90502">
        <w:t>2, 11 и 16).</w:t>
      </w:r>
    </w:p>
    <w:p w:rsidR="00F90502" w:rsidRPr="00F90502" w:rsidRDefault="00F90502" w:rsidP="00F90502">
      <w:pPr>
        <w:pStyle w:val="SingleTxtG"/>
        <w:rPr>
          <w:b/>
        </w:rPr>
      </w:pPr>
      <w:r w:rsidRPr="00F90502">
        <w:t>14.</w:t>
      </w:r>
      <w:r w:rsidRPr="00F90502">
        <w:tab/>
      </w:r>
      <w:r w:rsidRPr="00F90502">
        <w:rPr>
          <w:b/>
        </w:rPr>
        <w:t>Комитет призывает государство-участник активизировать усилия по приведению условий содержания под стражей в соответствие с Минимальными стандартными правилами обращения с заключенными Организации Объединенных Наций (Правилами Нельсона Манделы), в частности:</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sidRPr="00F90502">
        <w:rPr>
          <w:b/>
        </w:rPr>
        <w:tab/>
        <w:t>снизить уровень переполненности тюрем, активнее принимая меры по изменению наказаний, предусмотренных уголовным законодательством, особенно в случаях с детьми, находящимися в конфликте с законом, и ускорив процедуру назначения членов органов, занимающихся принятием таких мер;</w:t>
      </w:r>
    </w:p>
    <w:p w:rsidR="00F90502" w:rsidRPr="00F90502" w:rsidRDefault="00F90502" w:rsidP="00F90502">
      <w:pPr>
        <w:pStyle w:val="SingleTxtG"/>
        <w:rPr>
          <w:b/>
        </w:rPr>
      </w:pPr>
      <w:r w:rsidRPr="00F90502">
        <w:rPr>
          <w:b/>
        </w:rPr>
        <w:tab/>
      </w:r>
      <w:r w:rsidRPr="00F90502">
        <w:rPr>
          <w:b/>
        </w:rPr>
        <w:tab/>
      </w:r>
      <w:r w:rsidRPr="00F90502">
        <w:rPr>
          <w:b/>
          <w:lang w:val="fr-CH"/>
        </w:rPr>
        <w:t>b</w:t>
      </w:r>
      <w:r w:rsidRPr="00F90502">
        <w:rPr>
          <w:b/>
        </w:rPr>
        <w:t>)</w:t>
      </w:r>
      <w:r w:rsidRPr="00F90502">
        <w:rPr>
          <w:b/>
        </w:rPr>
        <w:tab/>
        <w:t>ускорить принятие закона об отправлении правосудия в отношении несовершеннолетних и следить за тем, чтобы дети не содержались в тюрьмах и отделениях полиции вместе со взрослыми и чтобы условия содержания соответствовали их статусу несовершеннолетнего лица</w:t>
      </w:r>
      <w:r w:rsidRPr="00F90502">
        <w:rPr>
          <w:b/>
          <w:bCs/>
        </w:rPr>
        <w:t>;</w:t>
      </w:r>
    </w:p>
    <w:p w:rsidR="00F90502" w:rsidRPr="00F90502" w:rsidRDefault="00F90502" w:rsidP="00F90502">
      <w:pPr>
        <w:pStyle w:val="SingleTxtG"/>
        <w:rPr>
          <w:b/>
        </w:rPr>
      </w:pPr>
      <w:r w:rsidRPr="00F90502">
        <w:rPr>
          <w:b/>
        </w:rPr>
        <w:tab/>
      </w:r>
      <w:r w:rsidRPr="00F90502">
        <w:rPr>
          <w:b/>
        </w:rPr>
        <w:tab/>
      </w:r>
      <w:r w:rsidRPr="00F90502">
        <w:rPr>
          <w:b/>
          <w:lang w:val="fr-CH"/>
        </w:rPr>
        <w:t>c</w:t>
      </w:r>
      <w:r w:rsidRPr="00F90502">
        <w:rPr>
          <w:b/>
        </w:rPr>
        <w:t>)</w:t>
      </w:r>
      <w:r w:rsidRPr="00F90502">
        <w:rPr>
          <w:b/>
        </w:rPr>
        <w:tab/>
        <w:t>продолжать реализацию планов по развитию инфраструктуры тюрем и улучшению условий содержания, принимая меры к тому, чтобы заключенные имели в камерах достаточное пространство, кровати, матрацы и спальные принадлежности, наращивая численность персонала в пенитенциарных учреждениях и следя за адекватностью санитарно-гигиенических условий и рациона питания;</w:t>
      </w:r>
    </w:p>
    <w:p w:rsidR="00F90502" w:rsidRPr="00F90502" w:rsidRDefault="00F90502" w:rsidP="00F90502">
      <w:pPr>
        <w:pStyle w:val="SingleTxtG"/>
        <w:rPr>
          <w:b/>
        </w:rPr>
      </w:pPr>
      <w:r w:rsidRPr="00F90502">
        <w:rPr>
          <w:b/>
        </w:rPr>
        <w:tab/>
      </w:r>
      <w:r w:rsidRPr="00F90502">
        <w:rPr>
          <w:b/>
        </w:rPr>
        <w:tab/>
      </w:r>
      <w:r w:rsidRPr="00F90502">
        <w:rPr>
          <w:b/>
          <w:lang w:val="fr-CH"/>
        </w:rPr>
        <w:t>d</w:t>
      </w:r>
      <w:r w:rsidRPr="00F90502">
        <w:rPr>
          <w:b/>
        </w:rPr>
        <w:t>)</w:t>
      </w:r>
      <w:r w:rsidRPr="00F90502">
        <w:rPr>
          <w:b/>
        </w:rPr>
        <w:tab/>
        <w:t>организовать систему медицинского обслуживания в тесном сотрудничестве с руководством общей системы государственного здравоохранения, предоставляя всем заключенным доступ к медицинским услугам такого же качества, что и для остального населения Сенегала, увеличить численность медицинского персонала и обеспечить надлежащую психиатрическую помощь;</w:t>
      </w:r>
    </w:p>
    <w:p w:rsidR="00F90502" w:rsidRPr="00F90502" w:rsidRDefault="00F90502" w:rsidP="00F90502">
      <w:pPr>
        <w:pStyle w:val="SingleTxtG"/>
        <w:rPr>
          <w:b/>
        </w:rPr>
      </w:pPr>
      <w:r w:rsidRPr="00F90502">
        <w:rPr>
          <w:b/>
        </w:rPr>
        <w:tab/>
      </w:r>
      <w:r w:rsidRPr="00F90502">
        <w:rPr>
          <w:b/>
        </w:rPr>
        <w:tab/>
      </w:r>
      <w:r w:rsidRPr="00F90502">
        <w:rPr>
          <w:b/>
          <w:lang w:val="fr-FR"/>
        </w:rPr>
        <w:t>e</w:t>
      </w:r>
      <w:r w:rsidRPr="00F90502">
        <w:rPr>
          <w:b/>
        </w:rPr>
        <w:t>)</w:t>
      </w:r>
      <w:r w:rsidRPr="00F90502">
        <w:rPr>
          <w:b/>
        </w:rPr>
        <w:tab/>
        <w:t>принять меры к тому, чтобы условия содержания лиц, обвиняемых в терроризме, не представляли собой жестокое, бесчеловечное или унижающее достоинство обращение, и во всех случаях гарантировать им доступ к медицинскому обслуживанию;</w:t>
      </w:r>
    </w:p>
    <w:p w:rsidR="00F90502" w:rsidRPr="00F90502" w:rsidRDefault="00F90502" w:rsidP="00F90502">
      <w:pPr>
        <w:pStyle w:val="SingleTxtG"/>
        <w:rPr>
          <w:b/>
        </w:rPr>
      </w:pPr>
      <w:r w:rsidRPr="00F90502">
        <w:rPr>
          <w:b/>
        </w:rPr>
        <w:tab/>
      </w:r>
      <w:r w:rsidRPr="00F90502">
        <w:rPr>
          <w:b/>
        </w:rPr>
        <w:tab/>
      </w:r>
      <w:r w:rsidRPr="00F90502">
        <w:rPr>
          <w:b/>
          <w:lang w:val="fr-CH"/>
        </w:rPr>
        <w:t>f</w:t>
      </w:r>
      <w:r w:rsidRPr="00F90502">
        <w:rPr>
          <w:b/>
        </w:rPr>
        <w:t>)</w:t>
      </w:r>
      <w:r w:rsidRPr="00F90502">
        <w:rPr>
          <w:b/>
        </w:rPr>
        <w:tab/>
        <w:t>следить за тем, чтобы режим изоляции применялся только в крайних случаях, на максимально короткий срок и под строгим судебным надзором и контролем;</w:t>
      </w:r>
    </w:p>
    <w:p w:rsidR="00F90502" w:rsidRPr="00F90502" w:rsidRDefault="00F90502" w:rsidP="00F90502">
      <w:pPr>
        <w:pStyle w:val="SingleTxtG"/>
        <w:rPr>
          <w:b/>
        </w:rPr>
      </w:pPr>
      <w:r w:rsidRPr="00F90502">
        <w:rPr>
          <w:b/>
        </w:rPr>
        <w:tab/>
      </w:r>
      <w:r w:rsidRPr="00F90502">
        <w:rPr>
          <w:b/>
        </w:rPr>
        <w:tab/>
      </w:r>
      <w:r w:rsidRPr="00F90502">
        <w:rPr>
          <w:b/>
          <w:lang w:val="fr-CH"/>
        </w:rPr>
        <w:t>g</w:t>
      </w:r>
      <w:r w:rsidRPr="00F90502">
        <w:rPr>
          <w:b/>
        </w:rPr>
        <w:t>)</w:t>
      </w:r>
      <w:r w:rsidRPr="00F90502">
        <w:rPr>
          <w:b/>
        </w:rPr>
        <w:tab/>
        <w:t>упростить доступ заключенных, особенно женщин, к рекреационным и культурным мероприятиям, а также к профессиональному обучению и образованию, чтобы способствовать их реинтеграции в жизнь общества;</w:t>
      </w:r>
    </w:p>
    <w:p w:rsidR="00F90502" w:rsidRPr="00F90502" w:rsidRDefault="00F90502" w:rsidP="00F90502">
      <w:pPr>
        <w:pStyle w:val="SingleTxtG"/>
        <w:rPr>
          <w:b/>
        </w:rPr>
      </w:pPr>
      <w:r w:rsidRPr="00F90502">
        <w:rPr>
          <w:b/>
        </w:rPr>
        <w:tab/>
      </w:r>
      <w:r w:rsidRPr="00F90502">
        <w:rPr>
          <w:b/>
        </w:rPr>
        <w:tab/>
      </w:r>
      <w:r w:rsidRPr="00F90502">
        <w:rPr>
          <w:b/>
          <w:lang w:val="fr-FR"/>
        </w:rPr>
        <w:t>h</w:t>
      </w:r>
      <w:r w:rsidRPr="00F90502">
        <w:rPr>
          <w:b/>
        </w:rPr>
        <w:t>)</w:t>
      </w:r>
      <w:r w:rsidRPr="00F90502">
        <w:rPr>
          <w:b/>
        </w:rPr>
        <w:tab/>
        <w:t xml:space="preserve">принимать меры к тому, чтобы </w:t>
      </w:r>
      <w:r w:rsidR="00D83A2A">
        <w:rPr>
          <w:b/>
        </w:rPr>
        <w:t>–</w:t>
      </w:r>
      <w:r w:rsidRPr="00F90502">
        <w:rPr>
          <w:b/>
        </w:rPr>
        <w:t xml:space="preserve"> пока число врачей в медпунктах пенитенциарных учреждений не достигнет нормы </w:t>
      </w:r>
      <w:r w:rsidR="00D83A2A">
        <w:rPr>
          <w:b/>
        </w:rPr>
        <w:t>–</w:t>
      </w:r>
      <w:r w:rsidRPr="00F90502">
        <w:rPr>
          <w:b/>
        </w:rPr>
        <w:t xml:space="preserve"> медперсонал проводил первоначальные медосмотры при поступлении заключенных и был подготовлен в части выявления, документирования и сообщения следов пыток или жестокого обращения на самой ранней стадии; </w:t>
      </w:r>
    </w:p>
    <w:p w:rsidR="00F90502" w:rsidRPr="00F90502" w:rsidRDefault="00F90502" w:rsidP="00F90502">
      <w:pPr>
        <w:pStyle w:val="SingleTxtG"/>
      </w:pPr>
      <w:r w:rsidRPr="00F90502">
        <w:rPr>
          <w:b/>
        </w:rPr>
        <w:tab/>
      </w:r>
      <w:r w:rsidRPr="00F90502">
        <w:rPr>
          <w:b/>
        </w:rPr>
        <w:tab/>
      </w:r>
      <w:r w:rsidRPr="00F90502">
        <w:rPr>
          <w:b/>
          <w:lang w:val="fr-FR"/>
        </w:rPr>
        <w:t>i</w:t>
      </w:r>
      <w:r w:rsidRPr="00F90502">
        <w:rPr>
          <w:b/>
        </w:rPr>
        <w:t>)</w:t>
      </w:r>
      <w:r w:rsidRPr="00F90502">
        <w:rPr>
          <w:b/>
        </w:rPr>
        <w:tab/>
        <w:t>следить за тем, чтобы организациям гражданского общества было разрешено совершать неоднократные и неожиданные посещения всех мест лишения свободы.</w:t>
      </w:r>
    </w:p>
    <w:p w:rsidR="00F90502" w:rsidRPr="00F90502" w:rsidRDefault="00F90502" w:rsidP="00F90502">
      <w:pPr>
        <w:pStyle w:val="H23G"/>
      </w:pPr>
      <w:r w:rsidRPr="00F90502">
        <w:tab/>
      </w:r>
      <w:r w:rsidRPr="00F90502">
        <w:tab/>
        <w:t xml:space="preserve">Чрезмерное применение предварительного заключения </w:t>
      </w:r>
    </w:p>
    <w:p w:rsidR="00F90502" w:rsidRPr="00F90502" w:rsidRDefault="00F90502" w:rsidP="00F90502">
      <w:pPr>
        <w:pStyle w:val="SingleTxtG"/>
      </w:pPr>
      <w:r w:rsidRPr="00F90502">
        <w:t>15.</w:t>
      </w:r>
      <w:r w:rsidRPr="00F90502">
        <w:tab/>
        <w:t xml:space="preserve">Комитет обеспокоен большим числом лиц, подвергнутых предварительному заключению: их доля предположительно составляет порядка 45% всех содержащихся под стражей лиц и 72% содержащихся под стражей женщин. Он с обеспокоенностью отмечает, что чрезвычайные обстоятельства, оправдывающие применение предварительного заключения, четко не регламентированы, и что Уголовно-процессуальный кодекс предусматривает по ряду правонарушений обязательное взятие под стражу, что приводит к чрезмерному применению этой меры пресечения. </w:t>
      </w:r>
      <w:r w:rsidRPr="00F90502">
        <w:lastRenderedPageBreak/>
        <w:t>Высоко оценивая принятые меры по борьбе с длительными сроками задержания (см.</w:t>
      </w:r>
      <w:r w:rsidR="004D6AB3">
        <w:rPr>
          <w:lang w:val="en-US"/>
        </w:rPr>
        <w:t> </w:t>
      </w:r>
      <w:r w:rsidRPr="00F90502">
        <w:t>пункт</w:t>
      </w:r>
      <w:r w:rsidRPr="00F90502">
        <w:rPr>
          <w:lang w:val="fr-FR"/>
        </w:rPr>
        <w:t> </w:t>
      </w:r>
      <w:r w:rsidRPr="00F90502">
        <w:t xml:space="preserve">4 </w:t>
      </w:r>
      <w:r w:rsidRPr="00F90502">
        <w:rPr>
          <w:lang w:val="fr-FR"/>
        </w:rPr>
        <w:t>a</w:t>
      </w:r>
      <w:r w:rsidRPr="00F90502">
        <w:t xml:space="preserve">) выше), Комитет по-прежнему обеспокоен информацией о том, что во многих случаях при расследовании уголовных дел срок предварительного заключения превышает меру наказания, которая может быть избрана судом, хотя он принимает к сведению меры, предусмотренные для установления фиксированного срока предварительного заключения по уголовным делам (статьи 11 и 16). </w:t>
      </w:r>
    </w:p>
    <w:p w:rsidR="00F90502" w:rsidRPr="00F90502" w:rsidRDefault="00F90502" w:rsidP="00F90502">
      <w:pPr>
        <w:pStyle w:val="SingleTxtG"/>
        <w:rPr>
          <w:b/>
        </w:rPr>
      </w:pPr>
      <w:r w:rsidRPr="00F90502">
        <w:t>16.</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Pr>
          <w:b/>
        </w:rPr>
        <w:tab/>
      </w:r>
      <w:r w:rsidRPr="00F90502">
        <w:rPr>
          <w:b/>
        </w:rPr>
        <w:t>пересмотреть положения, регулирующие порядок применения предварительного заключения, чтобы уточнить обстоятельства, которые могут оправдать эту меру, и чтобы эта мера применялась только в исключительных случаях и на ограниченные периоды времени, в зависимости от критерия необходимости и с учетом индивидуальных обстоятельств;</w:t>
      </w:r>
    </w:p>
    <w:p w:rsidR="00F90502" w:rsidRPr="00F90502" w:rsidRDefault="00F90502" w:rsidP="00F90502">
      <w:pPr>
        <w:pStyle w:val="SingleTxtG"/>
        <w:rPr>
          <w:b/>
        </w:rPr>
      </w:pPr>
      <w:r w:rsidRPr="00F90502">
        <w:rPr>
          <w:b/>
        </w:rPr>
        <w:tab/>
      </w:r>
      <w:r w:rsidRPr="00F90502">
        <w:rPr>
          <w:b/>
        </w:rPr>
        <w:tab/>
      </w:r>
      <w:r w:rsidRPr="00F90502">
        <w:rPr>
          <w:b/>
          <w:lang w:val="fr-CH"/>
        </w:rPr>
        <w:t>b</w:t>
      </w:r>
      <w:r w:rsidRPr="00F90502">
        <w:rPr>
          <w:b/>
        </w:rPr>
        <w:t>)</w:t>
      </w:r>
      <w:r w:rsidRPr="00F90502">
        <w:rPr>
          <w:b/>
        </w:rPr>
        <w:tab/>
        <w:t>принять необходимые меры, в частности для подготовки судей, чтобы в соответствии с международными нормами расширять практику применения мер, альтернативных предварительному заключению.</w:t>
      </w:r>
    </w:p>
    <w:p w:rsidR="00F90502" w:rsidRPr="00F90502" w:rsidRDefault="00F90502" w:rsidP="00F90502">
      <w:pPr>
        <w:pStyle w:val="H23G"/>
      </w:pPr>
      <w:r w:rsidRPr="00F90502">
        <w:tab/>
      </w:r>
      <w:r w:rsidRPr="00F90502">
        <w:tab/>
        <w:t xml:space="preserve">Случаи смерти и жалобы на жестокое обращение в период содержания под стражей </w:t>
      </w:r>
    </w:p>
    <w:p w:rsidR="00F90502" w:rsidRPr="00F90502" w:rsidRDefault="00F90502" w:rsidP="00F90502">
      <w:pPr>
        <w:pStyle w:val="SingleTxtG"/>
      </w:pPr>
      <w:r w:rsidRPr="00F90502">
        <w:t>17.</w:t>
      </w:r>
      <w:r w:rsidRPr="00F90502">
        <w:tab/>
        <w:t>Хотя за отчетный период число случаев смерти среди содержащихся под стражей лиц уменьшилось, Комитет по-прежнему обеспокоен информацией о случаях смерти, произошедших при подозрительных обстоятельствах, которые до сих пор не раскрыты, например случай Ибрахима Мбоу, скончавшегося в 2016 году в ходе волнений в тюрьме Ребеуса, или случай задержанных Амаду Ка и Элимана Туре, умерших в результате преднамеренного применения пыток. Комитет также озабочен утверждениями о жестоком обращении, которое применяется в тюрьме в различных формах – от принудительного холодного душа до нанесения ударов дубинкой по коленным суставам или голеням. Кроме того, Комитет выражает беспокойство в связи с практикой полного личного досмотра, которому подвергаются осужденные, доставляемые в тюрьму, хотя при этом он отмечает предусмотренные государством-участником меры для отмены такой практики (статьи</w:t>
      </w:r>
      <w:r w:rsidRPr="00F90502">
        <w:rPr>
          <w:lang w:val="fr-CH"/>
        </w:rPr>
        <w:t> </w:t>
      </w:r>
      <w:r w:rsidRPr="00F90502">
        <w:t>2, 11, 12, 13 и</w:t>
      </w:r>
      <w:r w:rsidRPr="00F90502">
        <w:rPr>
          <w:lang w:val="fr-CH"/>
        </w:rPr>
        <w:t> </w:t>
      </w:r>
      <w:r w:rsidRPr="00F90502">
        <w:t>16).</w:t>
      </w:r>
    </w:p>
    <w:p w:rsidR="00F90502" w:rsidRPr="00F90502" w:rsidRDefault="00F90502" w:rsidP="00F90502">
      <w:pPr>
        <w:pStyle w:val="SingleTxtG"/>
        <w:rPr>
          <w:b/>
        </w:rPr>
      </w:pPr>
      <w:r w:rsidRPr="00F90502">
        <w:t>18.</w:t>
      </w:r>
      <w:r w:rsidRPr="00F90502">
        <w:tab/>
      </w:r>
      <w:r w:rsidRPr="00F90502">
        <w:rPr>
          <w:b/>
        </w:rPr>
        <w:t>Государству-участнику следует принять необходимые меры к тому, чтобы:</w:t>
      </w:r>
    </w:p>
    <w:p w:rsidR="00F90502" w:rsidRPr="00F90502" w:rsidRDefault="00F90502" w:rsidP="00F90502">
      <w:pPr>
        <w:pStyle w:val="SingleTxtG"/>
        <w:rPr>
          <w:b/>
        </w:rPr>
      </w:pPr>
      <w:r w:rsidRPr="00D83369">
        <w:rPr>
          <w:b/>
        </w:rPr>
        <w:tab/>
      </w:r>
      <w:r w:rsidRPr="00D83369">
        <w:rPr>
          <w:b/>
        </w:rPr>
        <w:tab/>
      </w:r>
      <w:r w:rsidRPr="00F90502">
        <w:rPr>
          <w:b/>
          <w:lang w:val="fr-CH"/>
        </w:rPr>
        <w:t>a</w:t>
      </w:r>
      <w:r w:rsidRPr="00F90502">
        <w:rPr>
          <w:b/>
        </w:rPr>
        <w:t>)</w:t>
      </w:r>
      <w:r w:rsidRPr="00F90502">
        <w:tab/>
      </w:r>
      <w:r w:rsidRPr="00F90502">
        <w:rPr>
          <w:b/>
        </w:rPr>
        <w:t>по всем</w:t>
      </w:r>
      <w:r w:rsidRPr="00F90502">
        <w:t xml:space="preserve"> </w:t>
      </w:r>
      <w:r w:rsidRPr="00F90502">
        <w:rPr>
          <w:b/>
        </w:rPr>
        <w:t>случаям смерти лиц, содержащихся под стражей, а также по всем предполагаемым актам насилия и жестокого обращения проводились тщательные и объективные расследования, в том числе в случаях смерти – независимая судебно-медицинская экспертиза в соответствии с Типовым протоколом судебного расследования внесудебных и произвольных казней и казней без судебного разбирательства (Миннесотский протокол), чтобы все подозреваемые предстали перед судом и в случае признания их виновными понесли надлежащее наказание, а потерпевшие или их правопреемники получили адекватную компенсацию;</w:t>
      </w:r>
    </w:p>
    <w:p w:rsidR="00F90502" w:rsidRPr="00F90502" w:rsidRDefault="00F90502" w:rsidP="00F90502">
      <w:pPr>
        <w:pStyle w:val="SingleTxtG"/>
        <w:rPr>
          <w:b/>
          <w:bCs/>
        </w:rPr>
      </w:pPr>
      <w:r w:rsidRPr="00D83369">
        <w:rPr>
          <w:b/>
        </w:rPr>
        <w:tab/>
      </w:r>
      <w:r w:rsidRPr="00D83369">
        <w:rPr>
          <w:b/>
        </w:rPr>
        <w:tab/>
      </w:r>
      <w:r w:rsidRPr="00F90502">
        <w:rPr>
          <w:b/>
          <w:lang w:val="fr-CH"/>
        </w:rPr>
        <w:t>b</w:t>
      </w:r>
      <w:r w:rsidRPr="00F90502">
        <w:rPr>
          <w:b/>
        </w:rPr>
        <w:t>)</w:t>
      </w:r>
      <w:r w:rsidRPr="00F90502">
        <w:tab/>
      </w:r>
      <w:r w:rsidRPr="00F90502">
        <w:rPr>
          <w:b/>
          <w:bCs/>
        </w:rPr>
        <w:t>в приоритетном порядке внедрять детекторные приборы вместо процедуры личного досмотра, которая должна проводиться только при крайней необходимости, в частном порядке и усилиями квалифицированного сотрудника одного пола с досматриваемым лицом.</w:t>
      </w:r>
    </w:p>
    <w:p w:rsidR="00F90502" w:rsidRPr="00F90502" w:rsidRDefault="00F90502" w:rsidP="00F90502">
      <w:pPr>
        <w:pStyle w:val="H23G"/>
      </w:pPr>
      <w:r w:rsidRPr="00F90502">
        <w:tab/>
      </w:r>
      <w:r w:rsidRPr="00F90502">
        <w:tab/>
        <w:t xml:space="preserve">Безнаказанность случаев применения пыток и жестокого обращения </w:t>
      </w:r>
    </w:p>
    <w:p w:rsidR="00F90502" w:rsidRPr="00F90502" w:rsidRDefault="00F90502" w:rsidP="00F90502">
      <w:pPr>
        <w:pStyle w:val="SingleTxtG"/>
      </w:pPr>
      <w:r w:rsidRPr="00F90502">
        <w:t>19.</w:t>
      </w:r>
      <w:r w:rsidRPr="00F90502">
        <w:tab/>
        <w:t>Комитет с беспокойством отмечает информацию о том, что по жалобам на применение пыток редко проводятся расследования, а в случаях, когда подозрение падает на сотрудников правоохранительных органов, эти расследования не приводят к передаче предполагаемых виновных лиц в руки правосудия и не заканчиваются назначением им наказаний, соответствующих тяжести совершенных ими деяний. С</w:t>
      </w:r>
      <w:r w:rsidR="004D6AB3">
        <w:rPr>
          <w:lang w:val="en-US"/>
        </w:rPr>
        <w:t> </w:t>
      </w:r>
      <w:r w:rsidRPr="00F90502">
        <w:t xml:space="preserve">учетом этих утверждений Комитет выражает озабоченность тем, что государство-участник не представило статистические данные ни о числе жалоб на применение пыток, ни о числе расследований и уголовных дел, которые были возбуждены в связи с такими случаями, ни о числе вынесенных обвинительных приговоров и назначенных </w:t>
      </w:r>
      <w:r w:rsidRPr="00F90502">
        <w:lastRenderedPageBreak/>
        <w:t>уголовных или дисциплинарных наказаний. Рассматривая сведения, представленные государством-участником в показательном порядке, Комитет с озабоченностью констатирует, что несколько наказаний, вынесенных государственным должностным лицам, не пропорциональны тяжести содеянного ими, как, например, в судебных делах</w:t>
      </w:r>
      <w:r w:rsidR="00FD5472">
        <w:t> </w:t>
      </w:r>
      <w:r w:rsidRPr="00F90502">
        <w:t>№ 224/12 и № 322/13,</w:t>
      </w:r>
      <w:r w:rsidRPr="00F90502">
        <w:rPr>
          <w:i/>
        </w:rPr>
        <w:t xml:space="preserve"> </w:t>
      </w:r>
      <w:r w:rsidRPr="00F90502">
        <w:t>и что основная часть расследований до сих пор не завершена (статьи</w:t>
      </w:r>
      <w:r w:rsidRPr="00F90502">
        <w:rPr>
          <w:lang w:val="fr-FR"/>
        </w:rPr>
        <w:t> </w:t>
      </w:r>
      <w:r w:rsidRPr="00F90502">
        <w:t>2, 12, 13 и 16).</w:t>
      </w:r>
    </w:p>
    <w:p w:rsidR="00F90502" w:rsidRPr="00F90502" w:rsidRDefault="00F90502" w:rsidP="00F90502">
      <w:pPr>
        <w:pStyle w:val="SingleTxtG"/>
        <w:rPr>
          <w:b/>
        </w:rPr>
      </w:pPr>
      <w:r w:rsidRPr="00F90502">
        <w:t>20.</w:t>
      </w:r>
      <w:r w:rsidRPr="00F90502">
        <w:tab/>
      </w:r>
      <w:r w:rsidRPr="00F90502">
        <w:rPr>
          <w:b/>
        </w:rPr>
        <w:t>Государству-участнику</w:t>
      </w:r>
      <w:r w:rsidRPr="00F90502">
        <w:rPr>
          <w:b/>
          <w:lang w:val="fr-FR"/>
        </w:rPr>
        <w:t> </w:t>
      </w:r>
      <w:r w:rsidRPr="00F90502">
        <w:rPr>
          <w:b/>
        </w:rPr>
        <w:t>следует:</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принять меры к тому, чтобы по всем утверждениям о применении пыток и жестокого обращения какой-либо независимый орган оперативно проводил объективные расследования, чтобы между следователями и подозреваемыми не было институциональных или иерархических связей, чтобы предполагаемые правонарушители передавались в руки правосудия и в случае признания их виновными несли наказание, соответствующее тяжести их деяний;</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обеспечивать возбуждение компетентными органами уголовного дела в каждом случае, когда имеются разумные основания полагать, что имело место применение пыток или жестокого обращения;</w:t>
      </w:r>
    </w:p>
    <w:p w:rsidR="00F90502" w:rsidRPr="00F90502" w:rsidRDefault="00F90502" w:rsidP="00F90502">
      <w:pPr>
        <w:pStyle w:val="SingleTxtG"/>
        <w:rPr>
          <w:b/>
        </w:rPr>
      </w:pPr>
      <w:r w:rsidRPr="00F90502">
        <w:rPr>
          <w:b/>
        </w:rPr>
        <w:tab/>
      </w:r>
      <w:r w:rsidRPr="00F90502">
        <w:rPr>
          <w:b/>
        </w:rPr>
        <w:tab/>
      </w:r>
      <w:r w:rsidRPr="00F90502">
        <w:rPr>
          <w:b/>
          <w:lang w:val="fr-CH"/>
        </w:rPr>
        <w:t>c</w:t>
      </w:r>
      <w:r w:rsidRPr="00F90502">
        <w:rPr>
          <w:b/>
        </w:rPr>
        <w:t>)</w:t>
      </w:r>
      <w:r w:rsidRPr="00F90502">
        <w:rPr>
          <w:b/>
        </w:rPr>
        <w:tab/>
        <w:t>принимать меры к тому, чтобы лица, подозреваемые в применении пыток и жестокого обращения, немедленно отстранялись от исполнения своих обязанностей на период расследования, особенно когда есть опасность того, что они могут вновь совершить деяния, в которых они подозреваются, оказать давление на потерпевшего или воспрепятствовать ведению следствия;</w:t>
      </w:r>
    </w:p>
    <w:p w:rsidR="00F90502" w:rsidRPr="00F90502" w:rsidRDefault="00F90502" w:rsidP="00F90502">
      <w:pPr>
        <w:pStyle w:val="SingleTxtG"/>
        <w:rPr>
          <w:b/>
        </w:rPr>
      </w:pPr>
      <w:r w:rsidRPr="00F90502">
        <w:rPr>
          <w:b/>
        </w:rPr>
        <w:tab/>
      </w:r>
      <w:r w:rsidRPr="00F90502">
        <w:rPr>
          <w:b/>
        </w:rPr>
        <w:tab/>
      </w:r>
      <w:r w:rsidRPr="00F90502">
        <w:rPr>
          <w:b/>
          <w:lang w:val="fr-FR"/>
        </w:rPr>
        <w:t>d</w:t>
      </w:r>
      <w:r w:rsidRPr="00F90502">
        <w:rPr>
          <w:b/>
        </w:rPr>
        <w:t>)</w:t>
      </w:r>
      <w:r w:rsidRPr="00F90502">
        <w:rPr>
          <w:b/>
        </w:rPr>
        <w:tab/>
        <w:t>компилировать статистические данные о поданных жалобах, проведенных расследованиях, судебных разбирательствах и вынесенных обвинительных приговорах по делам о применении пыток и жестокого обращения.</w:t>
      </w:r>
    </w:p>
    <w:p w:rsidR="00F90502" w:rsidRPr="00F90502" w:rsidRDefault="00F90502" w:rsidP="00F90502">
      <w:pPr>
        <w:pStyle w:val="H23G"/>
      </w:pPr>
      <w:r w:rsidRPr="00F90502">
        <w:tab/>
      </w:r>
      <w:r w:rsidRPr="00F90502">
        <w:tab/>
        <w:t>Независимость судебной власти</w:t>
      </w:r>
    </w:p>
    <w:p w:rsidR="00F90502" w:rsidRPr="00F90502" w:rsidRDefault="00F90502" w:rsidP="00F90502">
      <w:pPr>
        <w:pStyle w:val="SingleTxtG"/>
      </w:pPr>
      <w:r w:rsidRPr="00F90502">
        <w:t>21.</w:t>
      </w:r>
      <w:r w:rsidRPr="00F90502">
        <w:rPr>
          <w:b/>
        </w:rPr>
        <w:tab/>
      </w:r>
      <w:r w:rsidRPr="00F90502">
        <w:t>Отмечая принятие законов о статусе судей и о Высшем совете магистратуры (см. пункт</w:t>
      </w:r>
      <w:r w:rsidRPr="00F90502">
        <w:rPr>
          <w:lang w:val="fr-CH"/>
        </w:rPr>
        <w:t> </w:t>
      </w:r>
      <w:r w:rsidRPr="00F90502">
        <w:t xml:space="preserve">4 </w:t>
      </w:r>
      <w:r w:rsidRPr="00F90502">
        <w:rPr>
          <w:lang w:val="fr-CH"/>
        </w:rPr>
        <w:t>b</w:t>
      </w:r>
      <w:r w:rsidRPr="00F90502">
        <w:t xml:space="preserve">) и </w:t>
      </w:r>
      <w:r w:rsidRPr="00F90502">
        <w:rPr>
          <w:lang w:val="fr-CH"/>
        </w:rPr>
        <w:t>c</w:t>
      </w:r>
      <w:r w:rsidRPr="00F90502">
        <w:t>) выше), Комитет вновь выражает озабоченность тем, что президент Республики по-прежнему является председателем Высшего совета магистратуры, а</w:t>
      </w:r>
      <w:r w:rsidR="00FD5472">
        <w:t> </w:t>
      </w:r>
      <w:r w:rsidRPr="00F90502">
        <w:t xml:space="preserve">министр юстиции – заместителем председателя этого совета, подрывая тем самым независимости судебной системы. Кроме того, Комитет с обеспокоенностью отмечает, что после вынесения решений в том или ином ключе судьи могут переводиться с одной должности на другую в рамках системы временного замещения или в зависимости от служебной необходимости. В этой связи в Комитет поступили утверждения об отсутствии у судов независимости при ведении процессов по делам, вызвавшим в нынешней обстановке сильный политический резонанс. Комитет также обеспокоен ущемлением прокурорских полномочий по оценке обстоятельств дел, поскольку прокуратура подчинена министру юстиции; такое ущемление может препятствовать проведению объективных расследований по делам о нарушениях положений </w:t>
      </w:r>
      <w:r w:rsidRPr="00F90502">
        <w:rPr>
          <w:iCs/>
        </w:rPr>
        <w:t>Конвенции государственными должностными лицами</w:t>
      </w:r>
      <w:r w:rsidRPr="00F90502">
        <w:t xml:space="preserve">. Комитет обеспокоен опасностью того, что политическое вмешательство может подорвать гарантии верховенства права, которые необходимы для эффективной защиты от применения пыток (статьи 2 и 13). </w:t>
      </w:r>
    </w:p>
    <w:p w:rsidR="00F90502" w:rsidRPr="00F90502" w:rsidRDefault="00F90502" w:rsidP="00F90502">
      <w:pPr>
        <w:pStyle w:val="SingleTxtG"/>
      </w:pPr>
      <w:r w:rsidRPr="00F90502">
        <w:t>22.</w:t>
      </w:r>
      <w:r w:rsidRPr="00F90502">
        <w:tab/>
      </w:r>
      <w:r w:rsidRPr="00F90502">
        <w:rPr>
          <w:b/>
        </w:rPr>
        <w:t>Государству-участнику следует реформировать законы о Высшем совете магистратуры и о статусе судей, чтобы президент Республики и министр юстиции не входили в состав Высшего совета, и принять любые другие необходимые меры для гарантирования независимости судебной системы, включая назначение судей на основе объективных и прозрачных критериев и обеспечение их несменяемости. Ему следует также исключить для министра юстиции возможность отдания распоряжений по отдельным судебным делам.</w:t>
      </w:r>
    </w:p>
    <w:p w:rsidR="00F90502" w:rsidRPr="00F90502" w:rsidRDefault="00F90502" w:rsidP="00F90502">
      <w:pPr>
        <w:pStyle w:val="H23G"/>
      </w:pPr>
      <w:r w:rsidRPr="00F90502">
        <w:tab/>
      </w:r>
      <w:r w:rsidRPr="00F90502">
        <w:tab/>
        <w:t>Неприемлемость признаний, полученных с помощью пыток</w:t>
      </w:r>
    </w:p>
    <w:p w:rsidR="00F90502" w:rsidRPr="00F90502" w:rsidRDefault="00F90502" w:rsidP="00F90502">
      <w:pPr>
        <w:pStyle w:val="SingleTxtG"/>
      </w:pPr>
      <w:r w:rsidRPr="00F90502">
        <w:t>23.</w:t>
      </w:r>
      <w:r w:rsidRPr="00F90502">
        <w:tab/>
        <w:t xml:space="preserve">Комитет с беспокойством констатирует, что в уголовном законодательстве до сих пор нет четко сформулированного положения о неприемлемости доказательств, </w:t>
      </w:r>
      <w:r w:rsidRPr="00F90502">
        <w:lastRenderedPageBreak/>
        <w:t>полученных с применением пыток. Комитет, в частности, озабочен исключительной широтой дискреционных полномочий судьи в оценке значимости признаний, полученных с помощью пытки, и с обеспокоенностью отмечает отсутствие случаев, когда суды объявляли недействительными средства доказывания, полученные с применением пыток (статья</w:t>
      </w:r>
      <w:r w:rsidRPr="00F90502">
        <w:rPr>
          <w:lang w:val="fr-FR"/>
        </w:rPr>
        <w:t> </w:t>
      </w:r>
      <w:r w:rsidRPr="00F90502">
        <w:t>15).</w:t>
      </w:r>
    </w:p>
    <w:p w:rsidR="00F90502" w:rsidRPr="00F90502" w:rsidRDefault="00F90502" w:rsidP="00F90502">
      <w:pPr>
        <w:pStyle w:val="SingleTxtG"/>
        <w:rPr>
          <w:b/>
        </w:rPr>
      </w:pPr>
      <w:r w:rsidRPr="00F90502">
        <w:t>24.</w:t>
      </w:r>
      <w:r w:rsidRPr="00F90502">
        <w:tab/>
      </w:r>
      <w:r w:rsidRPr="00F90502">
        <w:rPr>
          <w:b/>
        </w:rPr>
        <w:t>Государству-участнику следует принять необходимые меры, в том числе законодательного характера, чтобы гарантировать неприемлемость заявлений, сделанных под воздействием пытки или жестокого обращения. Комитет предлагает также следить за тем, чтобы:</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sidRPr="00F90502">
        <w:rPr>
          <w:b/>
        </w:rPr>
        <w:tab/>
        <w:t>при получении утверждений о признаниях, полученных с применением пыток или жестокого обращения, незамедлительно проводились тщательные расследования таких утверждений и судебно-медицинское освидетельствование потерпевшего;</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государственные должностные лица, получившие признательные показания таким путем, были переданы в руки правосудия;</w:t>
      </w:r>
    </w:p>
    <w:p w:rsidR="00F90502" w:rsidRPr="00F90502" w:rsidRDefault="00F90502" w:rsidP="00F90502">
      <w:pPr>
        <w:pStyle w:val="SingleTxtG"/>
        <w:rPr>
          <w:b/>
        </w:rPr>
      </w:pPr>
      <w:r w:rsidRPr="00F90502">
        <w:rPr>
          <w:b/>
        </w:rPr>
        <w:tab/>
      </w:r>
      <w:r w:rsidRPr="00F90502">
        <w:rPr>
          <w:b/>
        </w:rPr>
        <w:tab/>
      </w:r>
      <w:r w:rsidRPr="00F90502">
        <w:rPr>
          <w:b/>
          <w:lang w:val="fr-CH"/>
        </w:rPr>
        <w:t>c</w:t>
      </w:r>
      <w:r w:rsidRPr="00F90502">
        <w:rPr>
          <w:b/>
        </w:rPr>
        <w:t>)</w:t>
      </w:r>
      <w:r w:rsidRPr="00F90502">
        <w:rPr>
          <w:b/>
        </w:rPr>
        <w:tab/>
        <w:t xml:space="preserve">судьи обучались методам проверки приемлемости признаний и применению наказаний к лицам, которые не соблюдают процессуальных норм. </w:t>
      </w:r>
    </w:p>
    <w:p w:rsidR="00F90502" w:rsidRPr="00F90502" w:rsidRDefault="00F90502" w:rsidP="00F90502">
      <w:pPr>
        <w:pStyle w:val="H23G"/>
      </w:pPr>
      <w:r w:rsidRPr="00F90502">
        <w:tab/>
      </w:r>
      <w:r w:rsidRPr="00F90502">
        <w:tab/>
        <w:t xml:space="preserve">Национальное учреждение по правам человека  </w:t>
      </w:r>
    </w:p>
    <w:p w:rsidR="00F90502" w:rsidRPr="00F90502" w:rsidRDefault="00F90502" w:rsidP="00F90502">
      <w:pPr>
        <w:pStyle w:val="SingleTxtG"/>
      </w:pPr>
      <w:r w:rsidRPr="00F90502">
        <w:t>25.</w:t>
      </w:r>
      <w:r w:rsidRPr="00F90502">
        <w:tab/>
        <w:t>Комитет с обеспокоенностью отмечает, что в 2012 году Сенегальский комитет по правам человека лишился статуса А, предусмотренного принципами, касающимися статуса национальных учреждений, занимающихся поощрением и защитой прав человека (Парижскими принципами), в частности из-за отсутствия транспарентного и плюралистического процесса назначения его членов и недостаточной независимости этого комитета, что сказывалось на его функционировании и ресурсах. При этом Комитет отмечает стремление государства-участника принять новый закон, предусматривающий учреждение сенегальской национальной комиссии по правам человека, чтобы обеспечить соблюдение Парижских принципов (статья</w:t>
      </w:r>
      <w:r w:rsidRPr="00F90502">
        <w:rPr>
          <w:lang w:val="fr-FR"/>
        </w:rPr>
        <w:t> </w:t>
      </w:r>
      <w:r w:rsidRPr="00F90502">
        <w:t xml:space="preserve">2). </w:t>
      </w:r>
    </w:p>
    <w:p w:rsidR="00F90502" w:rsidRPr="00F90502" w:rsidRDefault="00F90502" w:rsidP="00F90502">
      <w:pPr>
        <w:pStyle w:val="SingleTxtG"/>
        <w:rPr>
          <w:b/>
        </w:rPr>
      </w:pPr>
      <w:r w:rsidRPr="00F90502">
        <w:rPr>
          <w:bCs/>
        </w:rPr>
        <w:t>26.</w:t>
      </w:r>
      <w:r w:rsidRPr="00F90502">
        <w:rPr>
          <w:bCs/>
        </w:rPr>
        <w:tab/>
      </w:r>
      <w:r w:rsidRPr="00F90502">
        <w:rPr>
          <w:b/>
        </w:rPr>
        <w:t>Государству-участнику следует принять необходимые меры, в том числе законодательного характера, чтобы:</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ввести четкий, транспарентный и коллективный процесс отбора членов национального учреждения по правам человека и их назначения с режимом работы полный рабочий день;</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гарантировать финансовую и функциональную самостоятельность национального учреждения по правам человека, выделяя ему необходимые ресурсы, чтобы оно могло эффективно выполнять свой мандат, и давая ему возможность назначать своих сотрудников в соответствии с Парижскими принципами.</w:t>
      </w:r>
    </w:p>
    <w:p w:rsidR="00F90502" w:rsidRPr="00F90502" w:rsidRDefault="00F90502" w:rsidP="00F90502">
      <w:pPr>
        <w:pStyle w:val="H23G"/>
      </w:pPr>
      <w:r w:rsidRPr="00F90502">
        <w:tab/>
      </w:r>
      <w:r w:rsidRPr="00F90502">
        <w:tab/>
        <w:t>Национальный механизм по предупреждению пыток</w:t>
      </w:r>
    </w:p>
    <w:p w:rsidR="00F90502" w:rsidRPr="00F90502" w:rsidRDefault="00F90502" w:rsidP="00F90502">
      <w:pPr>
        <w:pStyle w:val="SingleTxtG"/>
      </w:pPr>
      <w:r w:rsidRPr="00F90502">
        <w:t>27.</w:t>
      </w:r>
      <w:r w:rsidRPr="00F90502">
        <w:tab/>
        <w:t xml:space="preserve">Комитет ссылается на свою предыдущую рекомендацию (см. </w:t>
      </w:r>
      <w:r w:rsidRPr="00F90502">
        <w:rPr>
          <w:lang w:val="fr-FR"/>
        </w:rPr>
        <w:t>CAT</w:t>
      </w:r>
      <w:r w:rsidRPr="00F90502">
        <w:t>/</w:t>
      </w:r>
      <w:r w:rsidRPr="00F90502">
        <w:rPr>
          <w:lang w:val="fr-FR"/>
        </w:rPr>
        <w:t>C</w:t>
      </w:r>
      <w:r w:rsidRPr="00F90502">
        <w:t>/</w:t>
      </w:r>
      <w:r w:rsidRPr="00F90502">
        <w:rPr>
          <w:lang w:val="fr-FR"/>
        </w:rPr>
        <w:t>SEN</w:t>
      </w:r>
      <w:r w:rsidRPr="00F90502">
        <w:t>/</w:t>
      </w:r>
      <w:r w:rsidRPr="00F90502">
        <w:rPr>
          <w:lang w:val="fr-FR"/>
        </w:rPr>
        <w:t>CO</w:t>
      </w:r>
      <w:r w:rsidRPr="00F90502">
        <w:t>/3, пункт</w:t>
      </w:r>
      <w:r w:rsidRPr="00F90502">
        <w:rPr>
          <w:lang w:val="fr-FR"/>
        </w:rPr>
        <w:t> </w:t>
      </w:r>
      <w:r w:rsidRPr="00F90502">
        <w:t>23</w:t>
      </w:r>
      <w:r w:rsidRPr="00F90502">
        <w:rPr>
          <w:lang w:val="fr-FR"/>
        </w:rPr>
        <w:t> a</w:t>
      </w:r>
      <w:r w:rsidRPr="00F90502">
        <w:t>)) и вновь выражает обеспокоенность информацией о том, что размер бюджета, выделяемого Национальному органу по наблюдению за местами лишения свободы (НОНЛС), остается недостаточным. Кроме того, он разделяет озабоченность Подкомитета по предупреждению пыток и других жестоких, бесчеловечных или унижающих достоинство видов обращения и наказания, выраженную в докладе о поездке его делегации в Сенегал (</w:t>
      </w:r>
      <w:r w:rsidRPr="00F90502">
        <w:rPr>
          <w:lang w:val="fr-CH"/>
        </w:rPr>
        <w:t>CAT</w:t>
      </w:r>
      <w:r w:rsidRPr="00F90502">
        <w:t>/</w:t>
      </w:r>
      <w:r w:rsidRPr="00F90502">
        <w:rPr>
          <w:lang w:val="fr-CH"/>
        </w:rPr>
        <w:t>OP</w:t>
      </w:r>
      <w:r w:rsidRPr="00F90502">
        <w:t>/</w:t>
      </w:r>
      <w:r w:rsidRPr="00F90502">
        <w:rPr>
          <w:lang w:val="fr-CH"/>
        </w:rPr>
        <w:t>SEN</w:t>
      </w:r>
      <w:r w:rsidRPr="00F90502">
        <w:t>/2, пункт</w:t>
      </w:r>
      <w:r w:rsidRPr="00F90502">
        <w:rPr>
          <w:lang w:val="fr-CH"/>
        </w:rPr>
        <w:t> </w:t>
      </w:r>
      <w:r w:rsidRPr="00F90502">
        <w:t xml:space="preserve">15) по поводу ограничительного толкования полномочий НОНЛС, исключающего посещение мест лишения свободы, контролируемых военными. Наряду с этим он выражает обеспокоенность: </w:t>
      </w:r>
      <w:r w:rsidRPr="00F90502">
        <w:rPr>
          <w:lang w:val="fr-CH"/>
        </w:rPr>
        <w:t>i</w:t>
      </w:r>
      <w:r w:rsidRPr="00F90502">
        <w:t xml:space="preserve">) назначением омбудсмена по представлению Министерства юстиции; </w:t>
      </w:r>
      <w:r w:rsidRPr="00F90502">
        <w:rPr>
          <w:lang w:val="fr-CH"/>
        </w:rPr>
        <w:t>ii</w:t>
      </w:r>
      <w:r w:rsidRPr="00F90502">
        <w:t>) включением НОНЛС в структуру упомянутого министерства; и</w:t>
      </w:r>
      <w:r w:rsidR="00FD5472">
        <w:t> </w:t>
      </w:r>
      <w:r w:rsidRPr="00F90502">
        <w:rPr>
          <w:lang w:val="fr-FR"/>
        </w:rPr>
        <w:t>iii</w:t>
      </w:r>
      <w:r w:rsidRPr="00F90502">
        <w:t>)</w:t>
      </w:r>
      <w:r w:rsidR="004D6AB3">
        <w:rPr>
          <w:lang w:val="en-US"/>
        </w:rPr>
        <w:t> </w:t>
      </w:r>
      <w:r w:rsidRPr="00F90502">
        <w:t>отсутствием у НОНЛС полномочий самостоятельно обеспечивать отбор, наем и оплату труда своих сотрудников, как об этом упомянул Подкомитет (статьи 2 и 11).</w:t>
      </w:r>
    </w:p>
    <w:p w:rsidR="00F90502" w:rsidRPr="00F90502" w:rsidRDefault="00F90502" w:rsidP="00F90502">
      <w:pPr>
        <w:pStyle w:val="SingleTxtG"/>
        <w:rPr>
          <w:b/>
        </w:rPr>
      </w:pPr>
      <w:r w:rsidRPr="00F90502">
        <w:rPr>
          <w:bCs/>
        </w:rPr>
        <w:lastRenderedPageBreak/>
        <w:t>28.</w:t>
      </w:r>
      <w:r w:rsidRPr="00F90502">
        <w:rPr>
          <w:bCs/>
        </w:rPr>
        <w:tab/>
      </w:r>
      <w:r w:rsidRPr="00F90502">
        <w:rPr>
          <w:b/>
        </w:rPr>
        <w:t>Государству-участнику следует принять необходимые меры, в том числе законодательного характера, чтобы гарантировать:</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прозрачный, инклюзивный и коллективный характер процедуры назначения омбудсмена и не допускать назначения лиц, чья должность может вызвать конфликт интересов (</w:t>
      </w:r>
      <w:r w:rsidRPr="00F90502">
        <w:rPr>
          <w:b/>
          <w:lang w:val="fr-FR"/>
        </w:rPr>
        <w:t>CAT</w:t>
      </w:r>
      <w:r w:rsidRPr="00F90502">
        <w:rPr>
          <w:b/>
        </w:rPr>
        <w:t>/</w:t>
      </w:r>
      <w:r w:rsidRPr="00F90502">
        <w:rPr>
          <w:b/>
          <w:lang w:val="fr-FR"/>
        </w:rPr>
        <w:t>OP</w:t>
      </w:r>
      <w:r w:rsidRPr="00F90502">
        <w:rPr>
          <w:b/>
        </w:rPr>
        <w:t>/</w:t>
      </w:r>
      <w:r w:rsidRPr="00F90502">
        <w:rPr>
          <w:b/>
          <w:lang w:val="fr-FR"/>
        </w:rPr>
        <w:t>SEN</w:t>
      </w:r>
      <w:r w:rsidRPr="00F90502">
        <w:rPr>
          <w:b/>
        </w:rPr>
        <w:t>/2, пункт</w:t>
      </w:r>
      <w:r w:rsidRPr="00F90502">
        <w:rPr>
          <w:b/>
          <w:lang w:val="fr-FR"/>
        </w:rPr>
        <w:t> </w:t>
      </w:r>
      <w:r w:rsidRPr="00F90502">
        <w:rPr>
          <w:b/>
        </w:rPr>
        <w:t>17);</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независимость НОНЛС от исполнительной власти и его полномочия самостоятельно обеспечивать отбор, наем и оплату труда своих сотрудников;</w:t>
      </w:r>
    </w:p>
    <w:p w:rsidR="00F90502" w:rsidRPr="00F90502" w:rsidRDefault="00F90502" w:rsidP="00F90502">
      <w:pPr>
        <w:pStyle w:val="SingleTxtG"/>
        <w:rPr>
          <w:b/>
        </w:rPr>
      </w:pPr>
      <w:r w:rsidRPr="00F90502">
        <w:rPr>
          <w:b/>
        </w:rPr>
        <w:tab/>
      </w:r>
      <w:r w:rsidRPr="00F90502">
        <w:rPr>
          <w:b/>
        </w:rPr>
        <w:tab/>
      </w:r>
      <w:r w:rsidRPr="00F90502">
        <w:rPr>
          <w:b/>
          <w:lang w:val="fr-FR"/>
        </w:rPr>
        <w:t>c</w:t>
      </w:r>
      <w:r w:rsidRPr="00F90502">
        <w:rPr>
          <w:b/>
        </w:rPr>
        <w:t>)</w:t>
      </w:r>
      <w:r w:rsidRPr="00F90502">
        <w:rPr>
          <w:b/>
        </w:rPr>
        <w:tab/>
        <w:t xml:space="preserve">наличие у НОНЛС необходимых ресурсов для эффективного выполнения своего мандата; </w:t>
      </w:r>
    </w:p>
    <w:p w:rsidR="00F90502" w:rsidRPr="00F90502" w:rsidRDefault="00F90502" w:rsidP="00F90502">
      <w:pPr>
        <w:pStyle w:val="SingleTxtG"/>
        <w:rPr>
          <w:b/>
        </w:rPr>
      </w:pPr>
      <w:r w:rsidRPr="00F90502">
        <w:rPr>
          <w:b/>
        </w:rPr>
        <w:tab/>
      </w:r>
      <w:r w:rsidRPr="00F90502">
        <w:rPr>
          <w:b/>
        </w:rPr>
        <w:tab/>
      </w:r>
      <w:r w:rsidRPr="00F90502">
        <w:rPr>
          <w:b/>
          <w:lang w:val="fr-FR"/>
        </w:rPr>
        <w:t>d</w:t>
      </w:r>
      <w:r w:rsidRPr="00F90502">
        <w:rPr>
          <w:b/>
        </w:rPr>
        <w:t>)</w:t>
      </w:r>
      <w:r w:rsidRPr="00F90502">
        <w:rPr>
          <w:b/>
        </w:rPr>
        <w:tab/>
        <w:t>возможность для НОНЛС проводить в сопровождении экспертов по медицине и психиатрии регулярные и внезапные посещения всех мест содержания под стражей, контролируемых как гражданскими, так и военными властями, включая неофициальные места такого рода.</w:t>
      </w:r>
    </w:p>
    <w:p w:rsidR="00F90502" w:rsidRPr="00F90502" w:rsidRDefault="00F90502" w:rsidP="00F90502">
      <w:pPr>
        <w:pStyle w:val="H23G"/>
      </w:pPr>
      <w:r w:rsidRPr="00F90502">
        <w:tab/>
      </w:r>
      <w:r w:rsidRPr="00F90502">
        <w:tab/>
        <w:t>Чрезмерное применение силы государственными должностными лицами</w:t>
      </w:r>
    </w:p>
    <w:p w:rsidR="00F90502" w:rsidRPr="00F90502" w:rsidRDefault="00F90502" w:rsidP="00F90502">
      <w:pPr>
        <w:pStyle w:val="SingleTxtG"/>
      </w:pPr>
      <w:r w:rsidRPr="00F90502">
        <w:t>29.</w:t>
      </w:r>
      <w:r w:rsidRPr="00F90502">
        <w:tab/>
        <w:t>Комитет с озабоченностью отмечает систематические сообщения о чрезмерном и непропорциональном применении силы сотрудниками правоохранительных органов, в том числе боевых патронов и слезоточивого газа, в целях разгона политических собраний и манифестаций. Комитет также с озабоченностью констатирует, что в результате непропорционального применения силы государственными должностными лицами погибли несколько человек, например Ямаду Санья, Абдулай Балде или Мбайе Мбуп. Кроме того, он сожалеет, что государство-участник не ответило на запросы о предоставлении информации о том, были ли или будут ли проведены расследования этих случаев (статьи 2, 12, 13 и 16).</w:t>
      </w:r>
    </w:p>
    <w:p w:rsidR="00F90502" w:rsidRPr="00F90502" w:rsidRDefault="00F90502" w:rsidP="00F90502">
      <w:pPr>
        <w:pStyle w:val="SingleTxtG"/>
        <w:rPr>
          <w:b/>
        </w:rPr>
      </w:pPr>
      <w:r w:rsidRPr="00F90502">
        <w:t>30.</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принять меры к тому, чтобы были безотлагательно проведены объективные и тщательные расследования всех утверждений о чрезмерном применении силы и внесудебных казнях, совершенных государственными должностными лицами, включая, в случаях гибели, независимую судебно-медицинскую экспертизу в соответствии с Миннесотским протоколом, и</w:t>
      </w:r>
      <w:r w:rsidR="00FD5472">
        <w:rPr>
          <w:b/>
        </w:rPr>
        <w:t> </w:t>
      </w:r>
      <w:r w:rsidRPr="00F90502">
        <w:rPr>
          <w:b/>
        </w:rPr>
        <w:t>обеспечить привлечение виновных к суду, а в случае признания их виновными</w:t>
      </w:r>
      <w:r w:rsidR="00FD5472">
        <w:rPr>
          <w:b/>
        </w:rPr>
        <w:t> </w:t>
      </w:r>
      <w:r w:rsidRPr="00F90502">
        <w:rPr>
          <w:b/>
        </w:rPr>
        <w:t>– применение к ним наказаний и выплату компенсации потерпевшим;</w:t>
      </w:r>
    </w:p>
    <w:p w:rsidR="00F90502" w:rsidRPr="00F90502" w:rsidRDefault="00F90502" w:rsidP="00F90502">
      <w:pPr>
        <w:pStyle w:val="SingleTxtG"/>
        <w:rPr>
          <w:b/>
        </w:rPr>
      </w:pPr>
      <w:r w:rsidRPr="00F90502">
        <w:rPr>
          <w:b/>
          <w:bCs/>
        </w:rPr>
        <w:tab/>
      </w:r>
      <w:r w:rsidRPr="00F90502">
        <w:rPr>
          <w:b/>
          <w:bCs/>
        </w:rPr>
        <w:tab/>
      </w:r>
      <w:r w:rsidRPr="00F90502">
        <w:rPr>
          <w:b/>
          <w:bCs/>
          <w:lang w:val="fr-CH"/>
        </w:rPr>
        <w:t>b</w:t>
      </w:r>
      <w:r w:rsidRPr="00F90502">
        <w:rPr>
          <w:b/>
          <w:bCs/>
        </w:rPr>
        <w:t>)</w:t>
      </w:r>
      <w:r w:rsidRPr="00F90502">
        <w:rPr>
          <w:b/>
        </w:rPr>
        <w:tab/>
        <w:t>следить за тем, чтобы правоохранительные органы применяли ненасильственные средства, прежде чем применять силу в процессе сопровождения манифестаций;</w:t>
      </w:r>
    </w:p>
    <w:p w:rsidR="00F90502" w:rsidRPr="00F90502" w:rsidRDefault="00F90502" w:rsidP="00F90502">
      <w:pPr>
        <w:pStyle w:val="SingleTxtG"/>
        <w:rPr>
          <w:b/>
        </w:rPr>
      </w:pPr>
      <w:r w:rsidRPr="00F90502">
        <w:rPr>
          <w:b/>
        </w:rPr>
        <w:tab/>
      </w:r>
      <w:r w:rsidRPr="00F90502">
        <w:rPr>
          <w:b/>
        </w:rPr>
        <w:tab/>
      </w:r>
      <w:r w:rsidRPr="00F90502">
        <w:rPr>
          <w:b/>
          <w:bCs/>
          <w:lang w:val="fr-CH"/>
        </w:rPr>
        <w:t>c</w:t>
      </w:r>
      <w:r w:rsidRPr="00F90502">
        <w:rPr>
          <w:b/>
          <w:bCs/>
        </w:rPr>
        <w:t>)</w:t>
      </w:r>
      <w:r w:rsidRPr="00F90502">
        <w:rPr>
          <w:b/>
        </w:rPr>
        <w:tab/>
        <w:t>активизировать усилия по предоставлению всем сотрудникам правоохранительных органов систематической подготовки по вопросам применения силы, особенно тем, кто обеспечивает сопровождение манифестаций, уделяя при этом должное внимание Основным принципам применения силы и огнестрельного оружия должностными лицами по поддержанию правопорядка.</w:t>
      </w:r>
    </w:p>
    <w:p w:rsidR="00F90502" w:rsidRPr="00F90502" w:rsidRDefault="00F90502" w:rsidP="00F90502">
      <w:pPr>
        <w:pStyle w:val="H23G"/>
      </w:pPr>
      <w:r w:rsidRPr="00F90502">
        <w:tab/>
      </w:r>
      <w:r w:rsidRPr="00F90502">
        <w:tab/>
      </w:r>
      <w:r w:rsidRPr="00F90502">
        <w:rPr>
          <w:lang w:val="fr-FR"/>
        </w:rPr>
        <w:t>T</w:t>
      </w:r>
      <w:r w:rsidRPr="00F90502">
        <w:t xml:space="preserve">орговля детьми и злоупотребления в отношении детей </w:t>
      </w:r>
    </w:p>
    <w:p w:rsidR="00F90502" w:rsidRPr="00F90502" w:rsidRDefault="00F90502" w:rsidP="00F90502">
      <w:pPr>
        <w:pStyle w:val="SingleTxtG"/>
      </w:pPr>
      <w:r w:rsidRPr="00F90502">
        <w:t>31.</w:t>
      </w:r>
      <w:r w:rsidRPr="00F90502">
        <w:tab/>
        <w:t>Несмотря на заявленные государством-участником меры по изъятию с улиц детей, посещающих коранические школы (</w:t>
      </w:r>
      <w:r w:rsidR="00D83A2A">
        <w:t>«</w:t>
      </w:r>
      <w:r w:rsidRPr="00F90502">
        <w:t>даары</w:t>
      </w:r>
      <w:r w:rsidR="00D83A2A">
        <w:t>»</w:t>
      </w:r>
      <w:r w:rsidRPr="00F90502">
        <w:t>), Комитет по-прежнему обеспокоен информацией о том, что эксплуатация этих детей преподавателями коранических школ в целях принудительного попрошайничества – это явление, масштабы которого за отчетный период не только не сократились, но и, напротив, выросли, и что эти дети продолжают становиться жертвами торговли, принудительного попрошайничества и крайних форм злоупотребления и пренебрежения со стороны тех, кто занимается их опекой (</w:t>
      </w:r>
      <w:r w:rsidRPr="00F90502">
        <w:rPr>
          <w:iCs/>
        </w:rPr>
        <w:t>марабутов</w:t>
      </w:r>
      <w:r w:rsidRPr="00F90502">
        <w:t xml:space="preserve">). Комитет также озабочен сообщениями о потворстве властей этому явлению и об их бездействии в отношении марабутов-нарушителей в случаях смерти детей или крайних проявлений надругательства над ними. Кроме того, Комитет с обеспокоенностью отмечает, что </w:t>
      </w:r>
      <w:r w:rsidR="00D83A2A">
        <w:lastRenderedPageBreak/>
        <w:t>«</w:t>
      </w:r>
      <w:r w:rsidRPr="00F90502">
        <w:t>даары</w:t>
      </w:r>
      <w:r w:rsidR="00D83A2A">
        <w:t>»</w:t>
      </w:r>
      <w:r w:rsidRPr="00F90502">
        <w:t xml:space="preserve"> не подлежат никакому официальному контролю и что законопроект о статусе этих школ до сих пор находится на рассмотрении. С другой стороны, Комитет озабочен информацией о том, что девочки нередко подвергаются сексуальному надругательству со стороны учителей в своих школах, причем в условиях полной безнаказанности (статьи 11 и 16).</w:t>
      </w:r>
    </w:p>
    <w:p w:rsidR="00F90502" w:rsidRPr="00F90502" w:rsidRDefault="00F90502" w:rsidP="00F90502">
      <w:pPr>
        <w:pStyle w:val="SingleTxtG"/>
        <w:rPr>
          <w:b/>
        </w:rPr>
      </w:pPr>
      <w:r w:rsidRPr="00F90502">
        <w:t>32.</w:t>
      </w:r>
      <w:r w:rsidRPr="00F90502">
        <w:tab/>
      </w:r>
      <w:r w:rsidRPr="00F90502">
        <w:rPr>
          <w:b/>
        </w:rPr>
        <w:t>Комитет повторяет свою предыдущую рекомендацию (</w:t>
      </w:r>
      <w:r w:rsidRPr="00F90502">
        <w:rPr>
          <w:b/>
          <w:lang w:val="fr-FR"/>
        </w:rPr>
        <w:t>CAT</w:t>
      </w:r>
      <w:r w:rsidRPr="00F90502">
        <w:rPr>
          <w:b/>
        </w:rPr>
        <w:t>/</w:t>
      </w:r>
      <w:r w:rsidRPr="00F90502">
        <w:rPr>
          <w:b/>
          <w:lang w:val="fr-FR"/>
        </w:rPr>
        <w:t>C</w:t>
      </w:r>
      <w:r w:rsidRPr="00F90502">
        <w:rPr>
          <w:b/>
        </w:rPr>
        <w:t>/</w:t>
      </w:r>
      <w:r w:rsidRPr="00F90502">
        <w:rPr>
          <w:b/>
          <w:lang w:val="fr-FR"/>
        </w:rPr>
        <w:t>SEN</w:t>
      </w:r>
      <w:r w:rsidRPr="00F90502">
        <w:rPr>
          <w:b/>
        </w:rPr>
        <w:t>/</w:t>
      </w:r>
      <w:r w:rsidRPr="00F90502">
        <w:rPr>
          <w:b/>
          <w:lang w:val="fr-FR"/>
        </w:rPr>
        <w:t>CO</w:t>
      </w:r>
      <w:r w:rsidRPr="00F90502">
        <w:rPr>
          <w:b/>
        </w:rPr>
        <w:t>/3, пункт 15) и призывает государство-участник:</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 xml:space="preserve">создать согласованными усилиями систему заботы о детях-учащихся коранических школ, чтобы защищать их от эксплуатации и жестокого обращения и чтобы составить надлежащий план надзора и мониторинга в целях предупреждения рецидива; </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 xml:space="preserve">активизировать применение национальных законов и провести объективные и тщательные расследования случаев торговли детьми, жестокого обращения и сексуального надругательства в отношении детей в </w:t>
      </w:r>
      <w:r w:rsidR="00D83A2A">
        <w:rPr>
          <w:b/>
        </w:rPr>
        <w:t>«</w:t>
      </w:r>
      <w:r w:rsidRPr="00F90502">
        <w:rPr>
          <w:b/>
        </w:rPr>
        <w:t>даарах</w:t>
      </w:r>
      <w:r w:rsidR="00D83A2A">
        <w:rPr>
          <w:b/>
        </w:rPr>
        <w:t>»</w:t>
      </w:r>
      <w:r w:rsidRPr="00F90502">
        <w:rPr>
          <w:b/>
        </w:rPr>
        <w:t xml:space="preserve"> и других школах и принять меры по преследованию виновных лиц, а также государственных должностных лиц, не расследующих такие утверждения, и если они будут признаны виновными – применить к ним соответствующие меры наказания;</w:t>
      </w:r>
    </w:p>
    <w:p w:rsidR="00F90502" w:rsidRPr="00F90502" w:rsidRDefault="00F90502" w:rsidP="00F90502">
      <w:pPr>
        <w:pStyle w:val="SingleTxtG"/>
        <w:rPr>
          <w:b/>
        </w:rPr>
      </w:pPr>
      <w:r w:rsidRPr="00F90502">
        <w:rPr>
          <w:b/>
        </w:rPr>
        <w:tab/>
      </w:r>
      <w:r w:rsidRPr="00F90502">
        <w:rPr>
          <w:b/>
        </w:rPr>
        <w:tab/>
      </w:r>
      <w:r w:rsidRPr="00F90502">
        <w:rPr>
          <w:b/>
          <w:lang w:val="fr-FR"/>
        </w:rPr>
        <w:t>c</w:t>
      </w:r>
      <w:r w:rsidRPr="00F90502">
        <w:rPr>
          <w:b/>
        </w:rPr>
        <w:t>)</w:t>
      </w:r>
      <w:r w:rsidRPr="00F90502">
        <w:rPr>
          <w:b/>
        </w:rPr>
        <w:tab/>
        <w:t xml:space="preserve">ускорить принятие любого законопроекта, направленного на упорядочение деятельности </w:t>
      </w:r>
      <w:r w:rsidR="00D83A2A">
        <w:rPr>
          <w:b/>
        </w:rPr>
        <w:t>«</w:t>
      </w:r>
      <w:r w:rsidRPr="00F90502">
        <w:rPr>
          <w:b/>
        </w:rPr>
        <w:t>дааров</w:t>
      </w:r>
      <w:r w:rsidR="00D83A2A">
        <w:rPr>
          <w:b/>
        </w:rPr>
        <w:t>»</w:t>
      </w:r>
      <w:r w:rsidRPr="00F90502">
        <w:rPr>
          <w:b/>
        </w:rPr>
        <w:t xml:space="preserve">, и выделить необходимые ресурсы для обеспечения надлежащего функционирования инспекционной службы; </w:t>
      </w:r>
    </w:p>
    <w:p w:rsidR="00F90502" w:rsidRPr="00F90502" w:rsidRDefault="00F90502" w:rsidP="00F90502">
      <w:pPr>
        <w:pStyle w:val="SingleTxtG"/>
        <w:rPr>
          <w:b/>
        </w:rPr>
      </w:pPr>
      <w:r w:rsidRPr="00F90502">
        <w:rPr>
          <w:b/>
        </w:rPr>
        <w:tab/>
      </w:r>
      <w:r w:rsidRPr="00F90502">
        <w:rPr>
          <w:b/>
        </w:rPr>
        <w:tab/>
      </w:r>
      <w:r w:rsidRPr="00F90502">
        <w:rPr>
          <w:b/>
          <w:lang w:val="fr-FR"/>
        </w:rPr>
        <w:t>d</w:t>
      </w:r>
      <w:r w:rsidRPr="00F90502">
        <w:rPr>
          <w:b/>
        </w:rPr>
        <w:t>)</w:t>
      </w:r>
      <w:r w:rsidRPr="00F90502">
        <w:rPr>
          <w:b/>
        </w:rPr>
        <w:tab/>
        <w:t>следить за тем, чтобы во всех школах действовали конфиденциальные и независимые механизмы подачи жалоб;</w:t>
      </w:r>
    </w:p>
    <w:p w:rsidR="00F90502" w:rsidRPr="00F90502" w:rsidRDefault="00F90502" w:rsidP="00F90502">
      <w:pPr>
        <w:pStyle w:val="SingleTxtG"/>
        <w:rPr>
          <w:b/>
        </w:rPr>
      </w:pPr>
      <w:r w:rsidRPr="00F90502">
        <w:rPr>
          <w:b/>
        </w:rPr>
        <w:tab/>
      </w:r>
      <w:r w:rsidRPr="00F90502">
        <w:rPr>
          <w:b/>
        </w:rPr>
        <w:tab/>
      </w:r>
      <w:r w:rsidRPr="00F90502">
        <w:rPr>
          <w:b/>
          <w:lang w:val="fr-FR"/>
        </w:rPr>
        <w:t>e</w:t>
      </w:r>
      <w:r w:rsidRPr="00F90502">
        <w:rPr>
          <w:b/>
        </w:rPr>
        <w:t>)</w:t>
      </w:r>
      <w:r w:rsidRPr="00F90502">
        <w:rPr>
          <w:b/>
        </w:rPr>
        <w:tab/>
        <w:t>проводить информационно-пропагандистские кампании, посвященные правам ребенка и проблемам торговли детьми, принудительного попрошайничества и сексуального надругательства над детьми в школах.</w:t>
      </w:r>
    </w:p>
    <w:p w:rsidR="00F90502" w:rsidRPr="00F90502" w:rsidRDefault="00F90502" w:rsidP="00F90502">
      <w:pPr>
        <w:pStyle w:val="H23G"/>
      </w:pPr>
      <w:r w:rsidRPr="00F90502">
        <w:tab/>
      </w:r>
      <w:r w:rsidRPr="00F90502">
        <w:tab/>
        <w:t xml:space="preserve">Невыдворение и задержание в связи с миграционным статусом  </w:t>
      </w:r>
    </w:p>
    <w:p w:rsidR="00F90502" w:rsidRPr="00F90502" w:rsidRDefault="00F90502" w:rsidP="00F90502">
      <w:pPr>
        <w:pStyle w:val="SingleTxtG"/>
      </w:pPr>
      <w:r w:rsidRPr="00F90502">
        <w:t>33.</w:t>
      </w:r>
      <w:r w:rsidRPr="00F90502">
        <w:tab/>
        <w:t xml:space="preserve">Комитет с обеспокоенностью отмечает, что в законодательном акте об убежище (Закон № 68-27) не признан принцип невыдворения в связи с опасностью подвергнуться пыткам. Он сожалеет, что не получил дополнительной информации о признании этого принципа в рамках проекта реформы этого закона, а также в законодательных положениях о порядке высылки нелегальных мигрантов. Комитет также обеспокоен тем, что решения по ходатайствам о предоставлении убежища принимаются одним и тем же органом как в первой инстанции, так и по апелляционной процедуре, и выражает озабоченность по поводу информации о том, что процедура принятия решений протекает очень медленно. Комитет с обеспокоенностью отмечает, что нелегальные иммигранты, в том числе несопровождаемые несовершеннолетние, перед высылкой могут содержаться под стражей в тюрьмах и полицейских участках без судебного надзора. Кроме того, он выражает озабоченность в связи с информацией о произвольных арестах мигрантов в результате совместных действий правоохранительных органов Сенегала и Европейского агентства по управлению оперативным сотрудничеством на внешних границах (ФРОНТЕКС) (статьи 3 и 11). </w:t>
      </w:r>
    </w:p>
    <w:p w:rsidR="00F90502" w:rsidRPr="00F90502" w:rsidRDefault="00F90502" w:rsidP="00F90502">
      <w:pPr>
        <w:pStyle w:val="SingleTxtG"/>
        <w:rPr>
          <w:b/>
        </w:rPr>
      </w:pPr>
      <w:r w:rsidRPr="00F90502">
        <w:t>34.</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sidRPr="00F90502">
        <w:rPr>
          <w:b/>
        </w:rPr>
        <w:tab/>
        <w:t>гарантировать непосредственное признание принципа невыдворения в законодательных актах, регулирующих порядок предоставления убежища, а также порядок выдачи и высылки мигрантов, не имеющих документов;</w:t>
      </w:r>
    </w:p>
    <w:p w:rsidR="00F90502" w:rsidRPr="00F90502" w:rsidRDefault="00F90502" w:rsidP="00F90502">
      <w:pPr>
        <w:pStyle w:val="SingleTxtG"/>
        <w:rPr>
          <w:b/>
        </w:rPr>
      </w:pPr>
      <w:r w:rsidRPr="00F90502">
        <w:rPr>
          <w:b/>
        </w:rPr>
        <w:tab/>
      </w:r>
      <w:r w:rsidRPr="00F90502">
        <w:rPr>
          <w:b/>
        </w:rPr>
        <w:tab/>
      </w:r>
      <w:r w:rsidRPr="00F90502">
        <w:rPr>
          <w:b/>
          <w:lang w:val="fr-CH"/>
        </w:rPr>
        <w:t>b</w:t>
      </w:r>
      <w:r w:rsidRPr="00F90502">
        <w:rPr>
          <w:b/>
        </w:rPr>
        <w:t>)</w:t>
      </w:r>
      <w:r w:rsidRPr="00F90502">
        <w:rPr>
          <w:b/>
        </w:rPr>
        <w:tab/>
        <w:t xml:space="preserve">ускорить процедуру предоставления статуса беженца и создать юрисдикционный механизм обжалования для подачи апелляций на решения о высылке с автоматической отсрочкой исполнения, действующий в суде, компетентном рассматривать обоснованность апелляционной жалобы; </w:t>
      </w:r>
    </w:p>
    <w:p w:rsidR="00F90502" w:rsidRPr="00F90502" w:rsidRDefault="00F90502" w:rsidP="00F90502">
      <w:pPr>
        <w:pStyle w:val="SingleTxtG"/>
        <w:rPr>
          <w:b/>
        </w:rPr>
      </w:pPr>
      <w:r w:rsidRPr="00F90502">
        <w:rPr>
          <w:b/>
          <w:bCs/>
        </w:rPr>
        <w:tab/>
      </w:r>
      <w:r w:rsidRPr="00F90502">
        <w:rPr>
          <w:b/>
          <w:bCs/>
        </w:rPr>
        <w:tab/>
      </w:r>
      <w:r w:rsidRPr="00F90502">
        <w:rPr>
          <w:b/>
          <w:bCs/>
          <w:lang w:val="fr-CH"/>
        </w:rPr>
        <w:t>c</w:t>
      </w:r>
      <w:r w:rsidRPr="00F90502">
        <w:rPr>
          <w:b/>
          <w:bCs/>
        </w:rPr>
        <w:t>)</w:t>
      </w:r>
      <w:r w:rsidRPr="00F90502">
        <w:rPr>
          <w:b/>
          <w:bCs/>
        </w:rPr>
        <w:tab/>
      </w:r>
      <w:r w:rsidRPr="00F90502">
        <w:rPr>
          <w:b/>
        </w:rPr>
        <w:t xml:space="preserve">принять меры к тому, чтобы в миграционном законодательстве применение задержания предусматривалось только в крайних случаях, когда все </w:t>
      </w:r>
      <w:r w:rsidRPr="00F90502">
        <w:rPr>
          <w:b/>
        </w:rPr>
        <w:lastRenderedPageBreak/>
        <w:t>остальные меры были надлежащим образом рассмотрены и исчерпаны, с</w:t>
      </w:r>
      <w:r w:rsidR="00476E3D">
        <w:rPr>
          <w:b/>
        </w:rPr>
        <w:t> </w:t>
      </w:r>
      <w:r w:rsidRPr="00F90502">
        <w:rPr>
          <w:b/>
        </w:rPr>
        <w:t>соблюдением принципов необходимости и пропорциональности и на максимально короткий срок. Несопровождаемые дети не должны подвергаться задержанию;</w:t>
      </w:r>
    </w:p>
    <w:p w:rsidR="00F90502" w:rsidRPr="00F90502" w:rsidRDefault="00F90502" w:rsidP="00F90502">
      <w:pPr>
        <w:pStyle w:val="SingleTxtG"/>
      </w:pPr>
      <w:r w:rsidRPr="00F90502">
        <w:rPr>
          <w:b/>
        </w:rPr>
        <w:tab/>
      </w:r>
      <w:r w:rsidRPr="00F90502">
        <w:rPr>
          <w:b/>
        </w:rPr>
        <w:tab/>
      </w:r>
      <w:r w:rsidRPr="00F90502">
        <w:rPr>
          <w:b/>
          <w:lang w:val="fr-CH"/>
        </w:rPr>
        <w:t>d</w:t>
      </w:r>
      <w:r w:rsidRPr="00F90502">
        <w:rPr>
          <w:b/>
        </w:rPr>
        <w:t>)</w:t>
      </w:r>
      <w:r w:rsidRPr="00F90502">
        <w:rPr>
          <w:b/>
        </w:rPr>
        <w:tab/>
        <w:t>обеспечить эффективный судебный надзор за содержанием под стражей в связи с иммиграционным статусом, и если задержание признано необходимым, гарантировать нелегальным иммигрантам перевод в центр содержания, соответствующий их статусу.</w:t>
      </w:r>
      <w:r w:rsidRPr="00F90502">
        <w:t xml:space="preserve"> </w:t>
      </w:r>
    </w:p>
    <w:p w:rsidR="00F90502" w:rsidRPr="00F90502" w:rsidRDefault="00F90502" w:rsidP="00F90502">
      <w:pPr>
        <w:pStyle w:val="H23G"/>
      </w:pPr>
      <w:r w:rsidRPr="00F90502">
        <w:tab/>
      </w:r>
      <w:r w:rsidRPr="00F90502">
        <w:tab/>
        <w:t xml:space="preserve">Неправомерное обращение на дискриминационных основаниях  </w:t>
      </w:r>
    </w:p>
    <w:p w:rsidR="00F90502" w:rsidRPr="00F90502" w:rsidRDefault="00F90502" w:rsidP="00F90502">
      <w:pPr>
        <w:pStyle w:val="SingleTxtG"/>
      </w:pPr>
      <w:r w:rsidRPr="00F90502">
        <w:t>35.</w:t>
      </w:r>
      <w:r w:rsidRPr="00F90502">
        <w:tab/>
        <w:t xml:space="preserve">Принимая к сведению заявление делегации о том, что в Сенегале нет открытого преследования за гомосексуальность, Комитет с озабоченностью отмечает неоднократные сообщения о ряде случаев жестких арестов лиц в связи с их предполагаемой сексуальной ориентацией, сопровождаемых возбуждением уголовных дел за совершение </w:t>
      </w:r>
      <w:r w:rsidR="00D83A2A">
        <w:t>«</w:t>
      </w:r>
      <w:r w:rsidRPr="00F90502">
        <w:t>противоестественных</w:t>
      </w:r>
      <w:r w:rsidR="00D83A2A">
        <w:t>»</w:t>
      </w:r>
      <w:r w:rsidRPr="00F90502">
        <w:t xml:space="preserve"> действий. Комитет также с обеспокоенностью отмечает информацию о недостаточных мерах со стороны государства-участника, направленных на обеспечение защиты альбиносов (статьи</w:t>
      </w:r>
      <w:r w:rsidRPr="00F90502">
        <w:rPr>
          <w:lang w:val="fr-CH"/>
        </w:rPr>
        <w:t> </w:t>
      </w:r>
      <w:r w:rsidRPr="00F90502">
        <w:t>2, 12, 13 и 16).</w:t>
      </w:r>
    </w:p>
    <w:p w:rsidR="00F90502" w:rsidRPr="00F90502" w:rsidRDefault="00F90502" w:rsidP="00F90502">
      <w:pPr>
        <w:pStyle w:val="SingleTxtG"/>
        <w:rPr>
          <w:b/>
        </w:rPr>
      </w:pPr>
      <w:r w:rsidRPr="00F90502">
        <w:t>36.</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rPr>
        <w:tab/>
      </w:r>
      <w:r w:rsidRPr="00F90502">
        <w:rPr>
          <w:b/>
        </w:rPr>
        <w:tab/>
      </w:r>
      <w:r w:rsidRPr="00F90502">
        <w:rPr>
          <w:b/>
          <w:lang w:val="fr-FR"/>
        </w:rPr>
        <w:t>a</w:t>
      </w:r>
      <w:r w:rsidRPr="00F90502">
        <w:rPr>
          <w:b/>
        </w:rPr>
        <w:t>)</w:t>
      </w:r>
      <w:r w:rsidRPr="00F90502">
        <w:rPr>
          <w:b/>
        </w:rPr>
        <w:tab/>
        <w:t>упразднить статью</w:t>
      </w:r>
      <w:r w:rsidRPr="00F90502">
        <w:rPr>
          <w:b/>
          <w:lang w:val="fr-FR"/>
        </w:rPr>
        <w:t> </w:t>
      </w:r>
      <w:r w:rsidRPr="00F90502">
        <w:rPr>
          <w:b/>
        </w:rPr>
        <w:t>319 3) Уголовного кодекса о преследовании гомосексуальных отношений между лицами по взаимному согласию;</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принять эффективные меры по предупреждению арестов и полицейского насилия в отношении лиц в связи с их реальной или предполагаемой сексуальной ориентацией и по защите альбиносов от ритуальных нападений и других пагубных видов традиционной практики;</w:t>
      </w:r>
    </w:p>
    <w:p w:rsidR="00F90502" w:rsidRPr="00F90502" w:rsidRDefault="00F90502" w:rsidP="00F90502">
      <w:pPr>
        <w:pStyle w:val="SingleTxtG"/>
        <w:rPr>
          <w:b/>
        </w:rPr>
      </w:pPr>
      <w:r w:rsidRPr="00F90502">
        <w:rPr>
          <w:b/>
        </w:rPr>
        <w:tab/>
      </w:r>
      <w:r w:rsidRPr="00F90502">
        <w:rPr>
          <w:b/>
        </w:rPr>
        <w:tab/>
      </w:r>
      <w:r w:rsidRPr="00F90502">
        <w:rPr>
          <w:b/>
          <w:lang w:val="fr-FR"/>
        </w:rPr>
        <w:t>c</w:t>
      </w:r>
      <w:r w:rsidRPr="00F90502">
        <w:rPr>
          <w:b/>
        </w:rPr>
        <w:t>)</w:t>
      </w:r>
      <w:r w:rsidRPr="00F90502">
        <w:rPr>
          <w:b/>
        </w:rPr>
        <w:tab/>
        <w:t>обеспечить проведение расследований всех случаев совершения насильственных действий, привлечение виновных к суду и выплату потерпевшим компенсации.</w:t>
      </w:r>
    </w:p>
    <w:p w:rsidR="00F90502" w:rsidRPr="00F90502" w:rsidRDefault="00F90502" w:rsidP="00F90502">
      <w:pPr>
        <w:pStyle w:val="H23G"/>
      </w:pPr>
      <w:r w:rsidRPr="00F90502">
        <w:tab/>
      </w:r>
      <w:r w:rsidRPr="00F90502">
        <w:tab/>
        <w:t>Профессиональная подготовка</w:t>
      </w:r>
    </w:p>
    <w:p w:rsidR="00F90502" w:rsidRPr="00F90502" w:rsidRDefault="00F90502" w:rsidP="00F90502">
      <w:pPr>
        <w:pStyle w:val="SingleTxtG"/>
      </w:pPr>
      <w:r w:rsidRPr="00F90502">
        <w:t>37.</w:t>
      </w:r>
      <w:r w:rsidRPr="00F90502">
        <w:tab/>
        <w:t>Принимая к сведению усилия государства-участника по реализации программ профессиональной подготовки, посвященных правам человека и положениям Конвенции, Комитет выражает сожаление в связи с недостатком информации о последствиях такой подготовки для предупреждения пыток и с отсутствием уточнений о том, включают ли эти программы отдельный курс, посвященный применению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(Стамбульского протокола) (статья</w:t>
      </w:r>
      <w:r w:rsidRPr="00F90502">
        <w:rPr>
          <w:lang w:val="fr-FR"/>
        </w:rPr>
        <w:t> </w:t>
      </w:r>
      <w:r w:rsidRPr="00F90502">
        <w:t>10).</w:t>
      </w:r>
    </w:p>
    <w:p w:rsidR="00F90502" w:rsidRPr="00F90502" w:rsidRDefault="00F90502" w:rsidP="00F90502">
      <w:pPr>
        <w:pStyle w:val="SingleTxtG"/>
        <w:rPr>
          <w:b/>
        </w:rPr>
      </w:pPr>
      <w:r w:rsidRPr="00F90502">
        <w:t>38.</w:t>
      </w:r>
      <w:r w:rsidRPr="00F90502">
        <w:tab/>
      </w:r>
      <w:r w:rsidRPr="00F90502">
        <w:rPr>
          <w:b/>
        </w:rPr>
        <w:t>Государству-участнику следует:</w:t>
      </w:r>
    </w:p>
    <w:p w:rsidR="00F90502" w:rsidRPr="00F90502" w:rsidRDefault="00F90502" w:rsidP="00F90502">
      <w:pPr>
        <w:pStyle w:val="SingleTxtG"/>
        <w:rPr>
          <w:b/>
        </w:rPr>
      </w:pPr>
      <w:r w:rsidRPr="00F90502">
        <w:rPr>
          <w:b/>
          <w:bCs/>
        </w:rPr>
        <w:tab/>
      </w:r>
      <w:r w:rsidRPr="00F90502">
        <w:rPr>
          <w:b/>
          <w:bCs/>
        </w:rPr>
        <w:tab/>
      </w:r>
      <w:r w:rsidRPr="00F90502">
        <w:rPr>
          <w:b/>
          <w:bCs/>
          <w:lang w:val="fr-FR"/>
        </w:rPr>
        <w:t>a</w:t>
      </w:r>
      <w:r w:rsidRPr="00F90502">
        <w:rPr>
          <w:b/>
          <w:bCs/>
        </w:rPr>
        <w:t>)</w:t>
      </w:r>
      <w:r w:rsidRPr="00F90502">
        <w:rPr>
          <w:b/>
          <w:bCs/>
        </w:rPr>
        <w:tab/>
      </w:r>
      <w:r w:rsidRPr="00F90502">
        <w:rPr>
          <w:b/>
        </w:rPr>
        <w:t>проводить на регулярной и систематической основе профессиональную подготовку, посвященную абсолютному запрету пыток, а</w:t>
      </w:r>
      <w:r w:rsidR="00476E3D">
        <w:rPr>
          <w:b/>
        </w:rPr>
        <w:t> </w:t>
      </w:r>
      <w:r w:rsidRPr="00F90502">
        <w:rPr>
          <w:b/>
        </w:rPr>
        <w:t>также положениям Конвенции и непринудительным методам ведения допроса, предназначенную для всех лиц, служебные функции которых связаны с содержанием под стражей и проведением допроса лиц, лишенных свободы, а</w:t>
      </w:r>
      <w:r w:rsidR="00476E3D">
        <w:rPr>
          <w:b/>
        </w:rPr>
        <w:t> </w:t>
      </w:r>
      <w:r w:rsidRPr="00F90502">
        <w:rPr>
          <w:b/>
        </w:rPr>
        <w:t>также с обращением с ними;</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следить за тем, чтобы профильный персонал, в частности медицинские работники, проходили специальную подготовку по выявлению случаев пыток и жестокого обращения и по сбору соответствующих доказательств в соответствии со Стамбульским протоколом;</w:t>
      </w:r>
    </w:p>
    <w:p w:rsidR="00F90502" w:rsidRPr="00F90502" w:rsidRDefault="00F90502" w:rsidP="00F90502">
      <w:pPr>
        <w:pStyle w:val="SingleTxtG"/>
        <w:rPr>
          <w:b/>
        </w:rPr>
      </w:pPr>
      <w:r w:rsidRPr="00F90502">
        <w:rPr>
          <w:b/>
        </w:rPr>
        <w:tab/>
      </w:r>
      <w:r w:rsidRPr="00F90502">
        <w:rPr>
          <w:b/>
        </w:rPr>
        <w:tab/>
      </w:r>
      <w:r w:rsidRPr="00F90502">
        <w:rPr>
          <w:b/>
          <w:lang w:val="fr-FR"/>
        </w:rPr>
        <w:t>c</w:t>
      </w:r>
      <w:r w:rsidRPr="00F90502">
        <w:rPr>
          <w:b/>
        </w:rPr>
        <w:t>)</w:t>
      </w:r>
      <w:r w:rsidRPr="00F90502">
        <w:rPr>
          <w:b/>
        </w:rPr>
        <w:tab/>
        <w:t>разработать и применять методику оценки эффективности программ образования и профессиональной подготовки, посвященных Конвенции и Стамбульскому протоколу.</w:t>
      </w:r>
    </w:p>
    <w:p w:rsidR="00F90502" w:rsidRPr="00F90502" w:rsidRDefault="00F90502" w:rsidP="00F90502">
      <w:pPr>
        <w:pStyle w:val="H23G"/>
      </w:pPr>
      <w:r w:rsidRPr="00F90502">
        <w:lastRenderedPageBreak/>
        <w:tab/>
      </w:r>
      <w:r w:rsidRPr="00F90502">
        <w:tab/>
        <w:t xml:space="preserve">Возмещение ущерба  </w:t>
      </w:r>
    </w:p>
    <w:p w:rsidR="00F90502" w:rsidRPr="00F90502" w:rsidRDefault="00F90502" w:rsidP="00F90502">
      <w:pPr>
        <w:pStyle w:val="SingleTxtG"/>
      </w:pPr>
      <w:r w:rsidRPr="00F90502">
        <w:t>39.</w:t>
      </w:r>
      <w:r w:rsidRPr="00F90502">
        <w:tab/>
        <w:t xml:space="preserve">С удовлетворением отмечая введение процедуры возмещения ущерба лицам, пострадавшим от задержания на чрезмерный срок </w:t>
      </w:r>
      <w:r w:rsidRPr="00F90502">
        <w:rPr>
          <w:bCs/>
        </w:rPr>
        <w:t>(</w:t>
      </w:r>
      <w:r w:rsidRPr="00F90502">
        <w:t>см. пункт</w:t>
      </w:r>
      <w:r w:rsidRPr="00F90502">
        <w:rPr>
          <w:lang w:val="fr-FR"/>
        </w:rPr>
        <w:t> </w:t>
      </w:r>
      <w:r w:rsidRPr="00F90502">
        <w:t xml:space="preserve">4 </w:t>
      </w:r>
      <w:r w:rsidRPr="00F90502">
        <w:rPr>
          <w:lang w:val="fr-FR"/>
        </w:rPr>
        <w:t>d</w:t>
      </w:r>
      <w:r w:rsidRPr="00F90502">
        <w:t>) выше</w:t>
      </w:r>
      <w:r w:rsidRPr="00F90502">
        <w:rPr>
          <w:bCs/>
        </w:rPr>
        <w:t>), Комитет</w:t>
      </w:r>
      <w:r w:rsidRPr="00F90502">
        <w:t xml:space="preserve"> выражает обеспокоенность информацией о том, что такое возмещение до сих пор не предоставляется и что в стране не осуществлялись программы реадаптации жертв пыток. Учитывая эту информацию, Комитет сожалеет об отсутствии сведений о мерах по возмещению ущерба, которые были законодательно введены в интересах лиц, пострадавших за отчетный период от пыток или чрезмерно длительного задержания, а</w:t>
      </w:r>
      <w:r w:rsidR="00476E3D">
        <w:t> </w:t>
      </w:r>
      <w:r w:rsidRPr="00F90502">
        <w:t>также об имеющихся программах реадаптации. Комитет также принимает к сведению тот факт, что Хиссен Хабре был осужден к пожизненному тюремному заключению, но при этом сожалеет, что жертвы его преступлений до сих пор не получили компенсацию (статья</w:t>
      </w:r>
      <w:r w:rsidRPr="00F90502">
        <w:rPr>
          <w:lang w:val="fr-FR"/>
        </w:rPr>
        <w:t> </w:t>
      </w:r>
      <w:r w:rsidRPr="00F90502">
        <w:t>14).</w:t>
      </w:r>
    </w:p>
    <w:p w:rsidR="00F90502" w:rsidRPr="00F90502" w:rsidRDefault="00F90502" w:rsidP="00F90502">
      <w:pPr>
        <w:pStyle w:val="SingleTxtG"/>
        <w:rPr>
          <w:b/>
        </w:rPr>
      </w:pPr>
      <w:r w:rsidRPr="00F90502">
        <w:t>40.</w:t>
      </w:r>
      <w:r w:rsidRPr="00F90502">
        <w:tab/>
      </w:r>
      <w:r w:rsidRPr="00F90502">
        <w:rPr>
          <w:b/>
        </w:rPr>
        <w:t>Комитет обращает внимание государства-участника на замечание общего порядка № 3 (2012) об осуществлении статьи 14 государствами-участниками и, в</w:t>
      </w:r>
      <w:r w:rsidR="00D83A2A">
        <w:rPr>
          <w:b/>
        </w:rPr>
        <w:t> </w:t>
      </w:r>
      <w:r w:rsidRPr="00F90502">
        <w:rPr>
          <w:b/>
        </w:rPr>
        <w:t>частности, предлагает государству-участнику:</w:t>
      </w:r>
    </w:p>
    <w:p w:rsidR="00F90502" w:rsidRPr="00F90502" w:rsidRDefault="00F90502" w:rsidP="00F90502">
      <w:pPr>
        <w:pStyle w:val="SingleTxtG"/>
        <w:rPr>
          <w:b/>
        </w:rPr>
      </w:pPr>
      <w:r w:rsidRPr="00F90502">
        <w:rPr>
          <w:b/>
        </w:rPr>
        <w:tab/>
      </w:r>
      <w:r w:rsidRPr="00F90502">
        <w:rPr>
          <w:b/>
        </w:rPr>
        <w:tab/>
      </w:r>
      <w:r w:rsidRPr="00F90502">
        <w:rPr>
          <w:b/>
          <w:lang w:val="fr-CH"/>
        </w:rPr>
        <w:t>a</w:t>
      </w:r>
      <w:r w:rsidRPr="00F90502">
        <w:rPr>
          <w:b/>
        </w:rPr>
        <w:t>)</w:t>
      </w:r>
      <w:r w:rsidRPr="00F90502">
        <w:rPr>
          <w:b/>
        </w:rPr>
        <w:tab/>
        <w:t>принять меры к тому, чтобы все жертвы пыток и жестокого обращения, а также жертвы чрезмерных сроков содержания под стражей имели эффективные средства правовой защиты и могли получить компенсацию за причиненный им ущерб, в том числе в случаях, когда личность виновного в применении пыток так и не была установлена;</w:t>
      </w:r>
    </w:p>
    <w:p w:rsidR="00F90502" w:rsidRPr="00F90502" w:rsidRDefault="00F90502" w:rsidP="00F90502">
      <w:pPr>
        <w:pStyle w:val="SingleTxtG"/>
        <w:rPr>
          <w:b/>
        </w:rPr>
      </w:pPr>
      <w:r w:rsidRPr="00F90502">
        <w:rPr>
          <w:b/>
        </w:rPr>
        <w:tab/>
      </w:r>
      <w:r w:rsidRPr="00F90502">
        <w:rPr>
          <w:b/>
        </w:rPr>
        <w:tab/>
      </w:r>
      <w:r w:rsidRPr="00F90502">
        <w:rPr>
          <w:b/>
          <w:lang w:val="fr-FR"/>
        </w:rPr>
        <w:t>b</w:t>
      </w:r>
      <w:r w:rsidRPr="00F90502">
        <w:rPr>
          <w:b/>
        </w:rPr>
        <w:t>)</w:t>
      </w:r>
      <w:r w:rsidRPr="00F90502">
        <w:rPr>
          <w:b/>
        </w:rPr>
        <w:tab/>
        <w:t>провести всестороннюю оценку потребностей жертв пыток и принять меры к тому, чтобы быстро предоставить им специализированные услуги по реадаптации, непосредственно обеспечивая им помощь в этой области или финансируя другие услуги, например те, которые находятся в ведении неправительственных организаций;</w:t>
      </w:r>
    </w:p>
    <w:p w:rsidR="00F90502" w:rsidRPr="00F90502" w:rsidRDefault="00F90502" w:rsidP="00F90502">
      <w:pPr>
        <w:pStyle w:val="SingleTxtG"/>
      </w:pPr>
      <w:r w:rsidRPr="00F90502">
        <w:rPr>
          <w:b/>
        </w:rPr>
        <w:tab/>
      </w:r>
      <w:r w:rsidRPr="00F90502">
        <w:rPr>
          <w:b/>
        </w:rPr>
        <w:tab/>
      </w:r>
      <w:r w:rsidRPr="00F90502">
        <w:rPr>
          <w:b/>
          <w:lang w:val="fr-FR"/>
        </w:rPr>
        <w:t>c</w:t>
      </w:r>
      <w:r w:rsidRPr="00F90502">
        <w:rPr>
          <w:b/>
        </w:rPr>
        <w:t>)</w:t>
      </w:r>
      <w:r w:rsidRPr="00F90502">
        <w:rPr>
          <w:b/>
        </w:rPr>
        <w:tab/>
        <w:t>следить за тем, чтобы жертвы преступлений, совершенных Хиссеном Хабре, получили компенсацию в соответствии с положениями Конвенции.</w:t>
      </w:r>
    </w:p>
    <w:p w:rsidR="00F90502" w:rsidRPr="00F90502" w:rsidRDefault="00F90502" w:rsidP="00F90502">
      <w:pPr>
        <w:pStyle w:val="H23G"/>
      </w:pPr>
      <w:r w:rsidRPr="00F90502">
        <w:tab/>
      </w:r>
      <w:r w:rsidRPr="00F90502">
        <w:tab/>
        <w:t xml:space="preserve">Процедура последующих действий </w:t>
      </w:r>
    </w:p>
    <w:p w:rsidR="00F90502" w:rsidRPr="00F90502" w:rsidRDefault="00F90502" w:rsidP="00F90502">
      <w:pPr>
        <w:pStyle w:val="SingleTxtG"/>
        <w:rPr>
          <w:b/>
        </w:rPr>
      </w:pPr>
      <w:r w:rsidRPr="00F90502">
        <w:rPr>
          <w:bCs/>
        </w:rPr>
        <w:t>41.</w:t>
      </w:r>
      <w:r w:rsidRPr="00F90502">
        <w:rPr>
          <w:bCs/>
        </w:rPr>
        <w:tab/>
      </w:r>
      <w:r w:rsidRPr="00F90502">
        <w:rPr>
          <w:b/>
          <w:bCs/>
        </w:rPr>
        <w:t xml:space="preserve">Комитет обращается к государству-участнику с просьбой представить ему не позднее 18 мая 2019 года информацию о мерах, принятых для выполнения рекомендаций, содержащихся в пунктах </w:t>
      </w:r>
      <w:r w:rsidRPr="00F90502">
        <w:rPr>
          <w:b/>
        </w:rPr>
        <w:t xml:space="preserve">10 </w:t>
      </w:r>
      <w:r w:rsidRPr="00F90502">
        <w:rPr>
          <w:b/>
          <w:lang w:val="fr-CH"/>
        </w:rPr>
        <w:t>d</w:t>
      </w:r>
      <w:r w:rsidRPr="00F90502">
        <w:rPr>
          <w:b/>
        </w:rPr>
        <w:t xml:space="preserve">), 28 и 32 выше. </w:t>
      </w:r>
      <w:r w:rsidRPr="00F90502">
        <w:rPr>
          <w:b/>
          <w:bCs/>
        </w:rPr>
        <w:t>В этой связи государству-участнику предлагается проинформировать Комитет о своих планах по выполнению в течение периода, охватываемого будущим докладом, всех или некоторых оставшихся рекомендаций, которые изложены в настоящих заключительных замечаниях</w:t>
      </w:r>
      <w:r w:rsidRPr="00F90502">
        <w:rPr>
          <w:b/>
        </w:rPr>
        <w:t xml:space="preserve">. </w:t>
      </w:r>
    </w:p>
    <w:p w:rsidR="00F90502" w:rsidRPr="00D83369" w:rsidRDefault="00F90502" w:rsidP="00F90502">
      <w:pPr>
        <w:pStyle w:val="H23G"/>
      </w:pPr>
      <w:r w:rsidRPr="00F90502">
        <w:tab/>
      </w:r>
      <w:r w:rsidRPr="00F90502">
        <w:tab/>
        <w:t>Прочие вопросы</w:t>
      </w:r>
      <w:r w:rsidRPr="00D83369">
        <w:t xml:space="preserve"> </w:t>
      </w:r>
    </w:p>
    <w:p w:rsidR="00F90502" w:rsidRPr="00F90502" w:rsidRDefault="00F90502" w:rsidP="00F90502">
      <w:pPr>
        <w:pStyle w:val="SingleTxtG"/>
        <w:rPr>
          <w:b/>
        </w:rPr>
      </w:pPr>
      <w:r w:rsidRPr="00F90502">
        <w:rPr>
          <w:bCs/>
        </w:rPr>
        <w:t>42.</w:t>
      </w:r>
      <w:r w:rsidRPr="00F90502">
        <w:rPr>
          <w:bCs/>
        </w:rPr>
        <w:tab/>
      </w:r>
      <w:r w:rsidRPr="00F90502">
        <w:rPr>
          <w:b/>
          <w:bCs/>
        </w:rPr>
        <w:t>Комитет предлагает государству-участнику рассмотреть вопрос о ратификации других договоров по правам человека Организации Объединенных Наций, участником которых оно еще не является</w:t>
      </w:r>
      <w:r w:rsidRPr="00F90502">
        <w:rPr>
          <w:b/>
        </w:rPr>
        <w:t xml:space="preserve">. </w:t>
      </w:r>
    </w:p>
    <w:p w:rsidR="00F90502" w:rsidRPr="00F90502" w:rsidRDefault="00F90502" w:rsidP="00F90502">
      <w:pPr>
        <w:pStyle w:val="SingleTxtG"/>
        <w:rPr>
          <w:b/>
        </w:rPr>
      </w:pPr>
      <w:r w:rsidRPr="00F90502">
        <w:rPr>
          <w:bCs/>
        </w:rPr>
        <w:t>43.</w:t>
      </w:r>
      <w:r w:rsidRPr="00F90502">
        <w:rPr>
          <w:bCs/>
        </w:rPr>
        <w:tab/>
      </w:r>
      <w:r w:rsidRPr="00F90502">
        <w:rPr>
          <w:b/>
        </w:rPr>
        <w:t>Государству-участнику п</w:t>
      </w:r>
      <w:r w:rsidRPr="00F90502">
        <w:rPr>
          <w:b/>
          <w:bCs/>
        </w:rPr>
        <w:t>редлагается обеспечить широкое распространение доклада и приложения к нему, представленных Комитету, а</w:t>
      </w:r>
      <w:r w:rsidR="004D6AB3">
        <w:rPr>
          <w:b/>
          <w:bCs/>
          <w:lang w:val="en-US"/>
        </w:rPr>
        <w:t> </w:t>
      </w:r>
      <w:r w:rsidRPr="00F90502">
        <w:rPr>
          <w:b/>
          <w:bCs/>
        </w:rPr>
        <w:t xml:space="preserve">также настоящих заключительных замечаний на соответствующих языках </w:t>
      </w:r>
      <w:r w:rsidR="004D6AB3">
        <w:rPr>
          <w:b/>
          <w:bCs/>
        </w:rPr>
        <w:br/>
      </w:r>
      <w:r w:rsidRPr="00F90502">
        <w:rPr>
          <w:b/>
          <w:bCs/>
        </w:rPr>
        <w:t>через официальные веб-сайты, средства массовой информации и неправительственные организации</w:t>
      </w:r>
      <w:r w:rsidRPr="00F90502">
        <w:rPr>
          <w:b/>
        </w:rPr>
        <w:t>.</w:t>
      </w:r>
    </w:p>
    <w:p w:rsidR="00F90502" w:rsidRPr="00F90502" w:rsidRDefault="00F90502" w:rsidP="00F90502">
      <w:pPr>
        <w:pStyle w:val="SingleTxtG"/>
        <w:rPr>
          <w:b/>
        </w:rPr>
      </w:pPr>
      <w:r w:rsidRPr="00F90502">
        <w:rPr>
          <w:bCs/>
        </w:rPr>
        <w:t>44.</w:t>
      </w:r>
      <w:r w:rsidRPr="00F90502">
        <w:rPr>
          <w:bCs/>
        </w:rPr>
        <w:tab/>
      </w:r>
      <w:r w:rsidRPr="00F90502">
        <w:rPr>
          <w:b/>
        </w:rPr>
        <w:t>Государству-участнику</w:t>
      </w:r>
      <w:r w:rsidRPr="00F90502">
        <w:rPr>
          <w:b/>
          <w:bCs/>
        </w:rPr>
        <w:t xml:space="preserve"> предлагается обновить свой общий базовый документ </w:t>
      </w:r>
      <w:r w:rsidRPr="00F90502">
        <w:rPr>
          <w:b/>
        </w:rPr>
        <w:t>(</w:t>
      </w:r>
      <w:r w:rsidRPr="00F90502">
        <w:rPr>
          <w:b/>
          <w:lang w:val="fr-CH"/>
        </w:rPr>
        <w:t>HRI</w:t>
      </w:r>
      <w:r w:rsidRPr="00F90502">
        <w:rPr>
          <w:b/>
        </w:rPr>
        <w:t>/</w:t>
      </w:r>
      <w:r w:rsidRPr="00F90502">
        <w:rPr>
          <w:b/>
          <w:lang w:val="fr-CH"/>
        </w:rPr>
        <w:t>CORE</w:t>
      </w:r>
      <w:r w:rsidRPr="00F90502">
        <w:rPr>
          <w:b/>
        </w:rPr>
        <w:t>/</w:t>
      </w:r>
      <w:r w:rsidRPr="00F90502">
        <w:rPr>
          <w:b/>
          <w:lang w:val="fr-CH"/>
        </w:rPr>
        <w:t>SEN</w:t>
      </w:r>
      <w:r w:rsidRPr="00F90502">
        <w:rPr>
          <w:b/>
        </w:rPr>
        <w:t xml:space="preserve">/2015) </w:t>
      </w:r>
      <w:r w:rsidRPr="00F90502">
        <w:rPr>
          <w:b/>
          <w:bCs/>
        </w:rPr>
        <w:t xml:space="preserve">в соответствии с требованиями к общему базовому документу, изложенными в согласованных руководящих принципах представления докладов по международным договорам о правах человека </w:t>
      </w:r>
      <w:r w:rsidRPr="00F90502">
        <w:rPr>
          <w:b/>
        </w:rPr>
        <w:t>(</w:t>
      </w:r>
      <w:r w:rsidRPr="00F90502">
        <w:rPr>
          <w:b/>
          <w:lang w:val="fr-CH"/>
        </w:rPr>
        <w:t>HRI</w:t>
      </w:r>
      <w:r w:rsidRPr="00F90502">
        <w:rPr>
          <w:b/>
        </w:rPr>
        <w:t>/</w:t>
      </w:r>
      <w:r w:rsidRPr="00F90502">
        <w:rPr>
          <w:b/>
          <w:lang w:val="fr-CH"/>
        </w:rPr>
        <w:t>GEN</w:t>
      </w:r>
      <w:r w:rsidRPr="00F90502">
        <w:rPr>
          <w:b/>
        </w:rPr>
        <w:t>/2/</w:t>
      </w:r>
      <w:r w:rsidRPr="00F90502">
        <w:rPr>
          <w:b/>
          <w:lang w:val="fr-CH"/>
        </w:rPr>
        <w:t>Rev</w:t>
      </w:r>
      <w:r w:rsidRPr="00F90502">
        <w:rPr>
          <w:b/>
        </w:rPr>
        <w:t xml:space="preserve">.6). </w:t>
      </w:r>
    </w:p>
    <w:p w:rsidR="00F90502" w:rsidRDefault="00F90502" w:rsidP="00F90502">
      <w:pPr>
        <w:pStyle w:val="SingleTxtG"/>
        <w:rPr>
          <w:b/>
        </w:rPr>
      </w:pPr>
      <w:r w:rsidRPr="00F90502">
        <w:rPr>
          <w:bCs/>
        </w:rPr>
        <w:t>45.</w:t>
      </w:r>
      <w:r w:rsidRPr="00F90502">
        <w:rPr>
          <w:bCs/>
        </w:rPr>
        <w:tab/>
      </w:r>
      <w:r w:rsidRPr="00F90502">
        <w:rPr>
          <w:b/>
          <w:bCs/>
        </w:rPr>
        <w:t xml:space="preserve">Комитет просит государство-участник представить свой пятый периодический доклад не позднее 18 мая </w:t>
      </w:r>
      <w:r w:rsidRPr="00F90502">
        <w:rPr>
          <w:b/>
        </w:rPr>
        <w:t xml:space="preserve">2022 года. </w:t>
      </w:r>
      <w:r w:rsidRPr="00F90502">
        <w:rPr>
          <w:b/>
          <w:bCs/>
        </w:rPr>
        <w:t xml:space="preserve">В этой связи, </w:t>
      </w:r>
      <w:r w:rsidR="004D6AB3">
        <w:rPr>
          <w:b/>
          <w:bCs/>
        </w:rPr>
        <w:br/>
      </w:r>
      <w:r w:rsidRPr="00F90502">
        <w:rPr>
          <w:b/>
          <w:bCs/>
        </w:rPr>
        <w:t xml:space="preserve">поскольку государство-участник согласилось представлять Комитету доклады в </w:t>
      </w:r>
      <w:r w:rsidRPr="00F90502">
        <w:rPr>
          <w:b/>
          <w:bCs/>
        </w:rPr>
        <w:lastRenderedPageBreak/>
        <w:t>соответствии с упрощенной процедурой отчетности, Комитет в установленном порядке препроводит государству-участнику перечень вопросов, предваряющий представление доклада. Ответы государства-участника на этот перечень вопросов будут представлять собой его пятый периодический доклад в соответствии со статьей 19 Конвенции</w:t>
      </w:r>
      <w:r w:rsidRPr="00F90502">
        <w:rPr>
          <w:b/>
        </w:rPr>
        <w:t>.</w:t>
      </w:r>
    </w:p>
    <w:p w:rsidR="00381C24" w:rsidRPr="00F90502" w:rsidRDefault="00F90502" w:rsidP="00F90502">
      <w:pPr>
        <w:pStyle w:val="SingleTxtG"/>
        <w:spacing w:before="240" w:after="0"/>
        <w:jc w:val="center"/>
      </w:pPr>
      <w:r>
        <w:rPr>
          <w:b/>
          <w:u w:val="single"/>
        </w:rPr>
        <w:tab/>
      </w:r>
      <w:r w:rsidRPr="00F90502">
        <w:rPr>
          <w:u w:val="single"/>
        </w:rPr>
        <w:tab/>
      </w:r>
      <w:r w:rsidRPr="00F90502">
        <w:rPr>
          <w:u w:val="single"/>
        </w:rPr>
        <w:tab/>
      </w:r>
      <w:r>
        <w:rPr>
          <w:u w:val="single"/>
        </w:rPr>
        <w:tab/>
      </w:r>
    </w:p>
    <w:sectPr w:rsidR="00381C24" w:rsidRPr="00F90502" w:rsidSect="00F905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D6" w:rsidRPr="00A312BC" w:rsidRDefault="000B77D6" w:rsidP="00A312BC"/>
  </w:endnote>
  <w:endnote w:type="continuationSeparator" w:id="0">
    <w:p w:rsidR="000B77D6" w:rsidRPr="00A312BC" w:rsidRDefault="000B77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02" w:rsidRPr="00F90502" w:rsidRDefault="00F90502">
    <w:pPr>
      <w:pStyle w:val="a8"/>
    </w:pPr>
    <w:r w:rsidRPr="00F90502">
      <w:rPr>
        <w:b/>
        <w:sz w:val="18"/>
      </w:rPr>
      <w:fldChar w:fldCharType="begin"/>
    </w:r>
    <w:r w:rsidRPr="00F90502">
      <w:rPr>
        <w:b/>
        <w:sz w:val="18"/>
      </w:rPr>
      <w:instrText xml:space="preserve"> PAGE  \* MERGEFORMAT </w:instrText>
    </w:r>
    <w:r w:rsidRPr="00F90502">
      <w:rPr>
        <w:b/>
        <w:sz w:val="18"/>
      </w:rPr>
      <w:fldChar w:fldCharType="separate"/>
    </w:r>
    <w:r w:rsidR="00B8673B">
      <w:rPr>
        <w:b/>
        <w:noProof/>
        <w:sz w:val="18"/>
      </w:rPr>
      <w:t>12</w:t>
    </w:r>
    <w:r w:rsidRPr="00F90502">
      <w:rPr>
        <w:b/>
        <w:sz w:val="18"/>
      </w:rPr>
      <w:fldChar w:fldCharType="end"/>
    </w:r>
    <w:r>
      <w:rPr>
        <w:b/>
        <w:sz w:val="18"/>
      </w:rPr>
      <w:tab/>
    </w:r>
    <w:r>
      <w:t>GE.19-01428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02" w:rsidRPr="00F90502" w:rsidRDefault="00F90502" w:rsidP="00F90502">
    <w:pPr>
      <w:pStyle w:val="a8"/>
      <w:tabs>
        <w:tab w:val="clear" w:pos="9639"/>
        <w:tab w:val="right" w:pos="9638"/>
      </w:tabs>
      <w:rPr>
        <w:b/>
        <w:sz w:val="18"/>
      </w:rPr>
    </w:pPr>
    <w:r>
      <w:t>GE.19-01428</w:t>
    </w:r>
    <w:r>
      <w:tab/>
    </w:r>
    <w:r w:rsidRPr="00F90502">
      <w:rPr>
        <w:b/>
        <w:sz w:val="18"/>
      </w:rPr>
      <w:fldChar w:fldCharType="begin"/>
    </w:r>
    <w:r w:rsidRPr="00F90502">
      <w:rPr>
        <w:b/>
        <w:sz w:val="18"/>
      </w:rPr>
      <w:instrText xml:space="preserve"> PAGE  \* MERGEFORMAT </w:instrText>
    </w:r>
    <w:r w:rsidRPr="00F90502">
      <w:rPr>
        <w:b/>
        <w:sz w:val="18"/>
      </w:rPr>
      <w:fldChar w:fldCharType="separate"/>
    </w:r>
    <w:r w:rsidR="00B8673B">
      <w:rPr>
        <w:b/>
        <w:noProof/>
        <w:sz w:val="18"/>
      </w:rPr>
      <w:t>13</w:t>
    </w:r>
    <w:r w:rsidRPr="00F905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90502" w:rsidRDefault="00F90502" w:rsidP="00F90502">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19-01428  (R)</w:t>
    </w:r>
    <w:r>
      <w:rPr>
        <w:lang w:val="en-US"/>
      </w:rPr>
      <w:t xml:space="preserve">  130219  140219</w:t>
    </w:r>
    <w:r>
      <w:br/>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sidRPr="00F9050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SEN/CO/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EN/CO/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D6" w:rsidRPr="001075E9" w:rsidRDefault="000B77D6" w:rsidP="001075E9">
      <w:pPr>
        <w:tabs>
          <w:tab w:val="right" w:pos="2155"/>
        </w:tabs>
        <w:spacing w:after="80" w:line="240" w:lineRule="auto"/>
        <w:ind w:left="680"/>
        <w:rPr>
          <w:u w:val="single"/>
        </w:rPr>
      </w:pPr>
      <w:r>
        <w:rPr>
          <w:u w:val="single"/>
        </w:rPr>
        <w:tab/>
      </w:r>
    </w:p>
  </w:footnote>
  <w:footnote w:type="continuationSeparator" w:id="0">
    <w:p w:rsidR="000B77D6" w:rsidRDefault="000B77D6" w:rsidP="00407B78">
      <w:pPr>
        <w:tabs>
          <w:tab w:val="right" w:pos="2155"/>
        </w:tabs>
        <w:spacing w:after="80"/>
        <w:ind w:left="680"/>
        <w:rPr>
          <w:u w:val="single"/>
        </w:rPr>
      </w:pPr>
      <w:r>
        <w:rPr>
          <w:u w:val="single"/>
        </w:rPr>
        <w:tab/>
      </w:r>
    </w:p>
  </w:footnote>
  <w:footnote w:id="1">
    <w:p w:rsidR="00F90502" w:rsidRPr="00F90502" w:rsidRDefault="00F90502" w:rsidP="00F90502">
      <w:pPr>
        <w:pStyle w:val="ad"/>
      </w:pPr>
      <w:r w:rsidRPr="00074F27">
        <w:rPr>
          <w:rStyle w:val="aa"/>
          <w:spacing w:val="-2"/>
        </w:rPr>
        <w:tab/>
      </w:r>
      <w:r w:rsidRPr="00F90502">
        <w:rPr>
          <w:rStyle w:val="aa"/>
          <w:spacing w:val="-2"/>
          <w:sz w:val="20"/>
          <w:vertAlign w:val="baseline"/>
        </w:rPr>
        <w:t>*</w:t>
      </w:r>
      <w:r w:rsidRPr="00074F27">
        <w:rPr>
          <w:rStyle w:val="aa"/>
          <w:spacing w:val="-2"/>
          <w:sz w:val="20"/>
        </w:rPr>
        <w:tab/>
      </w:r>
      <w:r>
        <w:t>Приняты Комитетом на его шестьдесят третьей сессии (</w:t>
      </w:r>
      <w:r w:rsidRPr="002D66D9">
        <w:t>23</w:t>
      </w:r>
      <w:r>
        <w:t xml:space="preserve"> апреля – 18 мая </w:t>
      </w:r>
      <w:r w:rsidRPr="002D66D9">
        <w:t>2018</w:t>
      </w:r>
      <w:r>
        <w:t xml:space="preserve"> года</w:t>
      </w:r>
      <w:r w:rsidRPr="002D66D9">
        <w:t>)</w:t>
      </w:r>
      <w:r w:rsidRPr="00F90502">
        <w:rPr>
          <w:spacing w:val="-2"/>
        </w:rPr>
        <w:t>.</w:t>
      </w:r>
      <w:r w:rsidRPr="00F905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02" w:rsidRPr="00F90502" w:rsidRDefault="00B8673B">
    <w:pPr>
      <w:pStyle w:val="a5"/>
    </w:pPr>
    <w:r>
      <w:fldChar w:fldCharType="begin"/>
    </w:r>
    <w:r>
      <w:instrText xml:space="preserve"> TITLE  \* MERGEFORMAT </w:instrText>
    </w:r>
    <w:r>
      <w:fldChar w:fldCharType="separate"/>
    </w:r>
    <w:r>
      <w:t>CAT/C/SEN/CO/4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02" w:rsidRPr="00F90502" w:rsidRDefault="00B8673B" w:rsidP="00F90502">
    <w:pPr>
      <w:pStyle w:val="a5"/>
      <w:jc w:val="right"/>
    </w:pPr>
    <w:r>
      <w:fldChar w:fldCharType="begin"/>
    </w:r>
    <w:r>
      <w:instrText xml:space="preserve"> TITLE  \* MERGEFORMAT </w:instrText>
    </w:r>
    <w:r>
      <w:fldChar w:fldCharType="separate"/>
    </w:r>
    <w:r>
      <w:t>CAT/C/SEN/CO/4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02" w:rsidRDefault="00F90502" w:rsidP="00F9050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1760"/>
    <w:multiLevelType w:val="hybridMultilevel"/>
    <w:tmpl w:val="489AA964"/>
    <w:lvl w:ilvl="0" w:tplc="294E14FC">
      <w:start w:val="36"/>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15:restartNumberingAfterBreak="0">
    <w:nsid w:val="0D954887"/>
    <w:multiLevelType w:val="hybridMultilevel"/>
    <w:tmpl w:val="D1262C5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CA5904"/>
    <w:multiLevelType w:val="hybridMultilevel"/>
    <w:tmpl w:val="8EC0DA24"/>
    <w:lvl w:ilvl="0" w:tplc="2190E0B8">
      <w:start w:val="1"/>
      <w:numFmt w:val="lowerLetter"/>
      <w:lvlText w:val="%1)"/>
      <w:lvlJc w:val="left"/>
      <w:pPr>
        <w:ind w:left="1134" w:hanging="360"/>
      </w:pPr>
      <w:rPr>
        <w:rFonts w:ascii="Times New Roman" w:eastAsia="Calibri" w:hAnsi="Times New Roman" w:cs="Times New Roman"/>
      </w:rPr>
    </w:lvl>
    <w:lvl w:ilvl="1" w:tplc="100C0019">
      <w:start w:val="1"/>
      <w:numFmt w:val="lowerLetter"/>
      <w:lvlText w:val="%2."/>
      <w:lvlJc w:val="left"/>
      <w:pPr>
        <w:ind w:left="1713" w:hanging="360"/>
      </w:pPr>
    </w:lvl>
    <w:lvl w:ilvl="2" w:tplc="100C001B" w:tentative="1">
      <w:start w:val="1"/>
      <w:numFmt w:val="lowerRoman"/>
      <w:lvlText w:val="%3."/>
      <w:lvlJc w:val="right"/>
      <w:pPr>
        <w:ind w:left="2433" w:hanging="180"/>
      </w:pPr>
    </w:lvl>
    <w:lvl w:ilvl="3" w:tplc="100C000F" w:tentative="1">
      <w:start w:val="1"/>
      <w:numFmt w:val="decimal"/>
      <w:lvlText w:val="%4."/>
      <w:lvlJc w:val="left"/>
      <w:pPr>
        <w:ind w:left="3153" w:hanging="360"/>
      </w:pPr>
    </w:lvl>
    <w:lvl w:ilvl="4" w:tplc="100C0019" w:tentative="1">
      <w:start w:val="1"/>
      <w:numFmt w:val="lowerLetter"/>
      <w:lvlText w:val="%5."/>
      <w:lvlJc w:val="left"/>
      <w:pPr>
        <w:ind w:left="3873" w:hanging="360"/>
      </w:pPr>
    </w:lvl>
    <w:lvl w:ilvl="5" w:tplc="100C001B" w:tentative="1">
      <w:start w:val="1"/>
      <w:numFmt w:val="lowerRoman"/>
      <w:lvlText w:val="%6."/>
      <w:lvlJc w:val="right"/>
      <w:pPr>
        <w:ind w:left="4593" w:hanging="180"/>
      </w:pPr>
    </w:lvl>
    <w:lvl w:ilvl="6" w:tplc="100C000F" w:tentative="1">
      <w:start w:val="1"/>
      <w:numFmt w:val="decimal"/>
      <w:lvlText w:val="%7."/>
      <w:lvlJc w:val="left"/>
      <w:pPr>
        <w:ind w:left="5313" w:hanging="360"/>
      </w:pPr>
    </w:lvl>
    <w:lvl w:ilvl="7" w:tplc="100C0019" w:tentative="1">
      <w:start w:val="1"/>
      <w:numFmt w:val="lowerLetter"/>
      <w:lvlText w:val="%8."/>
      <w:lvlJc w:val="left"/>
      <w:pPr>
        <w:ind w:left="6033" w:hanging="360"/>
      </w:pPr>
    </w:lvl>
    <w:lvl w:ilvl="8" w:tplc="100C001B" w:tentative="1">
      <w:start w:val="1"/>
      <w:numFmt w:val="lowerRoman"/>
      <w:lvlText w:val="%9."/>
      <w:lvlJc w:val="right"/>
      <w:pPr>
        <w:ind w:left="6753" w:hanging="180"/>
      </w:pPr>
    </w:lvl>
  </w:abstractNum>
  <w:abstractNum w:abstractNumId="13"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10200C50"/>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B13CDD9A"/>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564A37"/>
    <w:multiLevelType w:val="hybridMultilevel"/>
    <w:tmpl w:val="198C7E28"/>
    <w:lvl w:ilvl="0" w:tplc="57B8A70C">
      <w:start w:val="4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1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21"/>
  </w:num>
  <w:num w:numId="23">
    <w:abstractNumId w:val="15"/>
  </w:num>
  <w:num w:numId="24">
    <w:abstractNumId w:val="11"/>
  </w:num>
  <w:num w:numId="25">
    <w:abstractNumId w:val="12"/>
  </w:num>
  <w:num w:numId="26">
    <w:abstractNumId w:val="10"/>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D6"/>
    <w:rsid w:val="00033EE1"/>
    <w:rsid w:val="00041407"/>
    <w:rsid w:val="00042B72"/>
    <w:rsid w:val="000558BD"/>
    <w:rsid w:val="000725B5"/>
    <w:rsid w:val="000814CD"/>
    <w:rsid w:val="000B57E7"/>
    <w:rsid w:val="000B6373"/>
    <w:rsid w:val="000B77D6"/>
    <w:rsid w:val="000F09DF"/>
    <w:rsid w:val="000F61B2"/>
    <w:rsid w:val="001075E9"/>
    <w:rsid w:val="00180183"/>
    <w:rsid w:val="0018024D"/>
    <w:rsid w:val="0018649F"/>
    <w:rsid w:val="00196389"/>
    <w:rsid w:val="001B3EF6"/>
    <w:rsid w:val="001C769C"/>
    <w:rsid w:val="001C7A89"/>
    <w:rsid w:val="00202C04"/>
    <w:rsid w:val="00207E3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0BAC"/>
    <w:rsid w:val="00407B78"/>
    <w:rsid w:val="00424203"/>
    <w:rsid w:val="00452493"/>
    <w:rsid w:val="00454E07"/>
    <w:rsid w:val="00472C5C"/>
    <w:rsid w:val="00476E3D"/>
    <w:rsid w:val="004D6AB3"/>
    <w:rsid w:val="0050108D"/>
    <w:rsid w:val="00513081"/>
    <w:rsid w:val="00517901"/>
    <w:rsid w:val="00526683"/>
    <w:rsid w:val="00550706"/>
    <w:rsid w:val="005709E0"/>
    <w:rsid w:val="00570A37"/>
    <w:rsid w:val="00572E19"/>
    <w:rsid w:val="0058663C"/>
    <w:rsid w:val="005961C8"/>
    <w:rsid w:val="005D0DC1"/>
    <w:rsid w:val="005D7914"/>
    <w:rsid w:val="005E2B41"/>
    <w:rsid w:val="005F0B42"/>
    <w:rsid w:val="00681A10"/>
    <w:rsid w:val="006A1ED8"/>
    <w:rsid w:val="006B3047"/>
    <w:rsid w:val="006C2031"/>
    <w:rsid w:val="006D461A"/>
    <w:rsid w:val="006F35EE"/>
    <w:rsid w:val="007021FF"/>
    <w:rsid w:val="00712895"/>
    <w:rsid w:val="00725525"/>
    <w:rsid w:val="00757357"/>
    <w:rsid w:val="00825F8D"/>
    <w:rsid w:val="00834B71"/>
    <w:rsid w:val="00834CC0"/>
    <w:rsid w:val="0086445C"/>
    <w:rsid w:val="00894693"/>
    <w:rsid w:val="008A08D7"/>
    <w:rsid w:val="008B6909"/>
    <w:rsid w:val="008C509A"/>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8673B"/>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83369"/>
    <w:rsid w:val="00D83A2A"/>
    <w:rsid w:val="00D90028"/>
    <w:rsid w:val="00D90138"/>
    <w:rsid w:val="00DF71B9"/>
    <w:rsid w:val="00E21169"/>
    <w:rsid w:val="00E528D1"/>
    <w:rsid w:val="00E71222"/>
    <w:rsid w:val="00E73F76"/>
    <w:rsid w:val="00EA2C9F"/>
    <w:rsid w:val="00ED0BDA"/>
    <w:rsid w:val="00EF1360"/>
    <w:rsid w:val="00EF3220"/>
    <w:rsid w:val="00F21B00"/>
    <w:rsid w:val="00F82DE6"/>
    <w:rsid w:val="00F90502"/>
    <w:rsid w:val="00F90E40"/>
    <w:rsid w:val="00F94155"/>
    <w:rsid w:val="00F9783F"/>
    <w:rsid w:val="00FD2EF7"/>
    <w:rsid w:val="00FD547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52D4D"/>
  <w15:docId w15:val="{EC5DB603-2C10-4DEE-B59D-581F248D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0814CD"/>
    <w:pPr>
      <w:keepNext/>
      <w:outlineLvl w:val="1"/>
    </w:pPr>
    <w:rPr>
      <w:rFonts w:cs="Arial"/>
      <w:bCs/>
      <w:iCs/>
      <w:szCs w:val="28"/>
    </w:rPr>
  </w:style>
  <w:style w:type="paragraph" w:styleId="3">
    <w:name w:val="heading 3"/>
    <w:basedOn w:val="a"/>
    <w:next w:val="a"/>
    <w:link w:val="30"/>
    <w:uiPriority w:val="9"/>
    <w:qFormat/>
    <w:rsid w:val="000814C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814CD"/>
    <w:pPr>
      <w:keepNext/>
      <w:spacing w:before="240" w:after="60"/>
      <w:outlineLvl w:val="3"/>
    </w:pPr>
    <w:rPr>
      <w:b/>
      <w:bCs/>
      <w:sz w:val="28"/>
      <w:szCs w:val="28"/>
    </w:rPr>
  </w:style>
  <w:style w:type="paragraph" w:styleId="5">
    <w:name w:val="heading 5"/>
    <w:basedOn w:val="a"/>
    <w:next w:val="a"/>
    <w:link w:val="50"/>
    <w:uiPriority w:val="9"/>
    <w:qFormat/>
    <w:rsid w:val="000814CD"/>
    <w:pPr>
      <w:spacing w:before="240" w:after="60"/>
      <w:outlineLvl w:val="4"/>
    </w:pPr>
    <w:rPr>
      <w:b/>
      <w:bCs/>
      <w:i/>
      <w:iCs/>
      <w:sz w:val="26"/>
      <w:szCs w:val="26"/>
    </w:rPr>
  </w:style>
  <w:style w:type="paragraph" w:styleId="6">
    <w:name w:val="heading 6"/>
    <w:basedOn w:val="a"/>
    <w:next w:val="a"/>
    <w:link w:val="60"/>
    <w:qFormat/>
    <w:rsid w:val="000814CD"/>
    <w:pPr>
      <w:spacing w:before="240" w:after="60"/>
      <w:outlineLvl w:val="5"/>
    </w:pPr>
    <w:rPr>
      <w:b/>
      <w:bCs/>
      <w:sz w:val="22"/>
    </w:rPr>
  </w:style>
  <w:style w:type="paragraph" w:styleId="7">
    <w:name w:val="heading 7"/>
    <w:basedOn w:val="a"/>
    <w:next w:val="a"/>
    <w:link w:val="70"/>
    <w:uiPriority w:val="9"/>
    <w:qFormat/>
    <w:rsid w:val="000814CD"/>
    <w:pPr>
      <w:spacing w:before="240" w:after="60"/>
      <w:outlineLvl w:val="6"/>
    </w:pPr>
    <w:rPr>
      <w:sz w:val="24"/>
      <w:szCs w:val="24"/>
    </w:rPr>
  </w:style>
  <w:style w:type="paragraph" w:styleId="8">
    <w:name w:val="heading 8"/>
    <w:basedOn w:val="a"/>
    <w:next w:val="a"/>
    <w:link w:val="80"/>
    <w:uiPriority w:val="9"/>
    <w:qFormat/>
    <w:rsid w:val="000814CD"/>
    <w:pPr>
      <w:spacing w:before="240" w:after="60"/>
      <w:outlineLvl w:val="7"/>
    </w:pPr>
    <w:rPr>
      <w:i/>
      <w:iCs/>
      <w:sz w:val="24"/>
      <w:szCs w:val="24"/>
    </w:rPr>
  </w:style>
  <w:style w:type="paragraph" w:styleId="9">
    <w:name w:val="heading 9"/>
    <w:basedOn w:val="a"/>
    <w:next w:val="a"/>
    <w:link w:val="90"/>
    <w:uiPriority w:val="9"/>
    <w:qFormat/>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ootnote number,ftref,BVI fnr,16 Point,Superscript 6 Point,Footnote,Footnote symbol,Footnote Refernece,Texto de nota al pie,Fußnotenzeichen_Raxen"/>
    <w:basedOn w:val="a0"/>
    <w:uiPriority w:val="99"/>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Footnote Text Char Char Char Char Char,Footnote Text Char Char Char Char,Footnote reference,FA Fu, Char,Footnote Reference1,single space,ft,footnote text Char,single space Char,ft Char Char"/>
    <w:basedOn w:val="a"/>
    <w:link w:val="ae"/>
    <w:uiPriority w:val="99"/>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 Знак,Footnote Text Char Char Char Char Char Знак,Footnote Text Char Char Char Char Знак,Footnote reference Знак,FA Fu Знак, Char Знак,Footnote Reference1 Знак,single space Знак"/>
    <w:basedOn w:val="a0"/>
    <w:link w:val="ad"/>
    <w:uiPriority w:val="99"/>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uiPriority w:val="9"/>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ParNoG">
    <w:name w:val="_ParNo_G"/>
    <w:basedOn w:val="a"/>
    <w:qFormat/>
    <w:rsid w:val="00F90502"/>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0"/>
    <w:link w:val="2"/>
    <w:uiPriority w:val="9"/>
    <w:rsid w:val="00F90502"/>
    <w:rPr>
      <w:rFonts w:eastAsiaTheme="minorHAnsi" w:cs="Arial"/>
      <w:bCs/>
      <w:iCs/>
      <w:szCs w:val="28"/>
      <w:lang w:val="ru-RU" w:eastAsia="en-US"/>
    </w:rPr>
  </w:style>
  <w:style w:type="character" w:customStyle="1" w:styleId="30">
    <w:name w:val="Заголовок 3 Знак"/>
    <w:basedOn w:val="a0"/>
    <w:link w:val="3"/>
    <w:uiPriority w:val="9"/>
    <w:rsid w:val="00F90502"/>
    <w:rPr>
      <w:rFonts w:ascii="Arial" w:eastAsiaTheme="minorHAnsi" w:hAnsi="Arial" w:cs="Arial"/>
      <w:b/>
      <w:bCs/>
      <w:sz w:val="26"/>
      <w:szCs w:val="26"/>
      <w:lang w:val="ru-RU" w:eastAsia="en-US"/>
    </w:rPr>
  </w:style>
  <w:style w:type="character" w:customStyle="1" w:styleId="40">
    <w:name w:val="Заголовок 4 Знак"/>
    <w:basedOn w:val="a0"/>
    <w:link w:val="4"/>
    <w:uiPriority w:val="9"/>
    <w:rsid w:val="00F90502"/>
    <w:rPr>
      <w:rFonts w:eastAsiaTheme="minorHAnsi" w:cstheme="minorBidi"/>
      <w:b/>
      <w:bCs/>
      <w:sz w:val="28"/>
      <w:szCs w:val="28"/>
      <w:lang w:val="ru-RU" w:eastAsia="en-US"/>
    </w:rPr>
  </w:style>
  <w:style w:type="character" w:customStyle="1" w:styleId="50">
    <w:name w:val="Заголовок 5 Знак"/>
    <w:basedOn w:val="a0"/>
    <w:link w:val="5"/>
    <w:uiPriority w:val="9"/>
    <w:rsid w:val="00F90502"/>
    <w:rPr>
      <w:rFonts w:eastAsiaTheme="minorHAnsi" w:cstheme="minorBidi"/>
      <w:b/>
      <w:bCs/>
      <w:i/>
      <w:iCs/>
      <w:sz w:val="26"/>
      <w:szCs w:val="26"/>
      <w:lang w:val="ru-RU" w:eastAsia="en-US"/>
    </w:rPr>
  </w:style>
  <w:style w:type="character" w:customStyle="1" w:styleId="60">
    <w:name w:val="Заголовок 6 Знак"/>
    <w:basedOn w:val="a0"/>
    <w:link w:val="6"/>
    <w:rsid w:val="00F90502"/>
    <w:rPr>
      <w:rFonts w:eastAsiaTheme="minorHAnsi" w:cstheme="minorBidi"/>
      <w:b/>
      <w:bCs/>
      <w:sz w:val="22"/>
      <w:szCs w:val="22"/>
      <w:lang w:val="ru-RU" w:eastAsia="en-US"/>
    </w:rPr>
  </w:style>
  <w:style w:type="character" w:customStyle="1" w:styleId="70">
    <w:name w:val="Заголовок 7 Знак"/>
    <w:basedOn w:val="a0"/>
    <w:link w:val="7"/>
    <w:uiPriority w:val="9"/>
    <w:rsid w:val="00F90502"/>
    <w:rPr>
      <w:rFonts w:eastAsiaTheme="minorHAnsi" w:cstheme="minorBidi"/>
      <w:sz w:val="24"/>
      <w:szCs w:val="24"/>
      <w:lang w:val="ru-RU" w:eastAsia="en-US"/>
    </w:rPr>
  </w:style>
  <w:style w:type="character" w:customStyle="1" w:styleId="80">
    <w:name w:val="Заголовок 8 Знак"/>
    <w:basedOn w:val="a0"/>
    <w:link w:val="8"/>
    <w:uiPriority w:val="9"/>
    <w:rsid w:val="00F90502"/>
    <w:rPr>
      <w:rFonts w:eastAsiaTheme="minorHAnsi" w:cstheme="minorBidi"/>
      <w:i/>
      <w:iCs/>
      <w:sz w:val="24"/>
      <w:szCs w:val="24"/>
      <w:lang w:val="ru-RU" w:eastAsia="en-US"/>
    </w:rPr>
  </w:style>
  <w:style w:type="character" w:customStyle="1" w:styleId="90">
    <w:name w:val="Заголовок 9 Знак"/>
    <w:basedOn w:val="a0"/>
    <w:link w:val="9"/>
    <w:uiPriority w:val="9"/>
    <w:rsid w:val="00F90502"/>
    <w:rPr>
      <w:rFonts w:ascii="Arial" w:eastAsiaTheme="minorHAnsi" w:hAnsi="Arial" w:cs="Arial"/>
      <w:sz w:val="22"/>
      <w:szCs w:val="22"/>
      <w:lang w:val="ru-RU" w:eastAsia="en-US"/>
    </w:rPr>
  </w:style>
  <w:style w:type="character" w:customStyle="1" w:styleId="SingleTxtGChar">
    <w:name w:val="_ Single Txt_G Char"/>
    <w:link w:val="SingleTxtG"/>
    <w:rsid w:val="00F90502"/>
    <w:rPr>
      <w:lang w:val="ru-RU" w:eastAsia="en-US"/>
    </w:rPr>
  </w:style>
  <w:style w:type="character" w:customStyle="1" w:styleId="HChGChar">
    <w:name w:val="_ H _Ch_G Char"/>
    <w:link w:val="HChG"/>
    <w:rsid w:val="00F90502"/>
    <w:rPr>
      <w:b/>
      <w:sz w:val="28"/>
      <w:lang w:val="ru-RU" w:eastAsia="ru-RU"/>
    </w:rPr>
  </w:style>
  <w:style w:type="character" w:customStyle="1" w:styleId="H1GChar">
    <w:name w:val="_ H_1_G Char"/>
    <w:link w:val="H1G"/>
    <w:locked/>
    <w:rsid w:val="00F90502"/>
    <w:rPr>
      <w:b/>
      <w:sz w:val="24"/>
      <w:lang w:val="ru-RU" w:eastAsia="ru-RU"/>
    </w:rPr>
  </w:style>
  <w:style w:type="character" w:customStyle="1" w:styleId="H23GChar">
    <w:name w:val="_ H_2/3_G Char"/>
    <w:link w:val="H23G"/>
    <w:locked/>
    <w:rsid w:val="00F90502"/>
    <w:rPr>
      <w:b/>
      <w:lang w:val="ru-RU" w:eastAsia="ru-RU"/>
    </w:rPr>
  </w:style>
  <w:style w:type="numbering" w:customStyle="1" w:styleId="NoList1">
    <w:name w:val="No List1"/>
    <w:next w:val="a2"/>
    <w:uiPriority w:val="99"/>
    <w:semiHidden/>
    <w:unhideWhenUsed/>
    <w:rsid w:val="00F90502"/>
  </w:style>
  <w:style w:type="table" w:customStyle="1" w:styleId="TableGrid1">
    <w:name w:val="Table Grid1"/>
    <w:basedOn w:val="a1"/>
    <w:next w:val="ac"/>
    <w:rsid w:val="00F90502"/>
    <w:pPr>
      <w:suppressAutoHyphens/>
      <w:spacing w:line="240" w:lineRule="atLeast"/>
    </w:pPr>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a2"/>
    <w:uiPriority w:val="99"/>
    <w:semiHidden/>
    <w:unhideWhenUsed/>
    <w:rsid w:val="00F90502"/>
  </w:style>
  <w:style w:type="table" w:customStyle="1" w:styleId="TableGrid11">
    <w:name w:val="Table Grid11"/>
    <w:basedOn w:val="a1"/>
    <w:next w:val="ac"/>
    <w:rsid w:val="00F9050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F90502"/>
    <w:pPr>
      <w:autoSpaceDE w:val="0"/>
      <w:autoSpaceDN w:val="0"/>
      <w:adjustRightInd w:val="0"/>
    </w:pPr>
    <w:rPr>
      <w:color w:val="000000"/>
      <w:sz w:val="24"/>
      <w:szCs w:val="24"/>
      <w:lang w:val="en-GB" w:eastAsia="en-GB"/>
    </w:rPr>
  </w:style>
  <w:style w:type="paragraph" w:styleId="af3">
    <w:name w:val="List Paragraph"/>
    <w:basedOn w:val="a"/>
    <w:uiPriority w:val="34"/>
    <w:qFormat/>
    <w:rsid w:val="00F90502"/>
    <w:pPr>
      <w:ind w:left="720"/>
    </w:pPr>
    <w:rPr>
      <w:rFonts w:eastAsia="Times New Roman" w:cs="Times New Roman"/>
      <w:szCs w:val="20"/>
      <w:lang w:val="fr-CH"/>
    </w:rPr>
  </w:style>
  <w:style w:type="numbering" w:customStyle="1" w:styleId="NoList111">
    <w:name w:val="No List111"/>
    <w:next w:val="a2"/>
    <w:uiPriority w:val="99"/>
    <w:semiHidden/>
    <w:unhideWhenUsed/>
    <w:rsid w:val="00F90502"/>
  </w:style>
  <w:style w:type="character" w:styleId="af4">
    <w:name w:val="annotation reference"/>
    <w:uiPriority w:val="99"/>
    <w:unhideWhenUsed/>
    <w:rsid w:val="00F90502"/>
    <w:rPr>
      <w:sz w:val="16"/>
      <w:szCs w:val="16"/>
    </w:rPr>
  </w:style>
  <w:style w:type="paragraph" w:styleId="af5">
    <w:name w:val="annotation text"/>
    <w:basedOn w:val="a"/>
    <w:link w:val="af6"/>
    <w:uiPriority w:val="99"/>
    <w:unhideWhenUsed/>
    <w:rsid w:val="00F90502"/>
    <w:pPr>
      <w:suppressAutoHyphens w:val="0"/>
      <w:spacing w:line="240" w:lineRule="auto"/>
    </w:pPr>
    <w:rPr>
      <w:rFonts w:eastAsia="Times New Roman" w:cs="Times New Roman"/>
      <w:szCs w:val="20"/>
      <w:lang w:val="en-US"/>
    </w:rPr>
  </w:style>
  <w:style w:type="character" w:customStyle="1" w:styleId="af6">
    <w:name w:val="Текст примечания Знак"/>
    <w:basedOn w:val="a0"/>
    <w:link w:val="af5"/>
    <w:uiPriority w:val="99"/>
    <w:rsid w:val="00F90502"/>
    <w:rPr>
      <w:lang w:val="en-US" w:eastAsia="en-US"/>
    </w:rPr>
  </w:style>
  <w:style w:type="paragraph" w:styleId="af7">
    <w:name w:val="annotation subject"/>
    <w:basedOn w:val="af5"/>
    <w:next w:val="af5"/>
    <w:link w:val="af8"/>
    <w:uiPriority w:val="99"/>
    <w:unhideWhenUsed/>
    <w:rsid w:val="00F90502"/>
    <w:rPr>
      <w:b/>
      <w:bCs/>
    </w:rPr>
  </w:style>
  <w:style w:type="character" w:customStyle="1" w:styleId="af8">
    <w:name w:val="Тема примечания Знак"/>
    <w:basedOn w:val="af6"/>
    <w:link w:val="af7"/>
    <w:uiPriority w:val="99"/>
    <w:rsid w:val="00F90502"/>
    <w:rPr>
      <w:b/>
      <w:bCs/>
      <w:lang w:val="en-US" w:eastAsia="en-US"/>
    </w:rPr>
  </w:style>
  <w:style w:type="paragraph" w:customStyle="1" w:styleId="SingleTxt">
    <w:name w:val="__Single Txt"/>
    <w:basedOn w:val="a"/>
    <w:qFormat/>
    <w:rsid w:val="00F905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cs="Times New Roman"/>
      <w:spacing w:val="4"/>
      <w:w w:val="103"/>
      <w:kern w:val="14"/>
      <w:lang w:val="fr-CA"/>
    </w:rPr>
  </w:style>
  <w:style w:type="paragraph" w:customStyle="1" w:styleId="H23">
    <w:name w:val="_ H_2/3"/>
    <w:basedOn w:val="a"/>
    <w:next w:val="SingleTxt"/>
    <w:qFormat/>
    <w:rsid w:val="00F90502"/>
    <w:pPr>
      <w:keepNext/>
      <w:keepLines/>
      <w:spacing w:line="240" w:lineRule="exact"/>
      <w:outlineLvl w:val="1"/>
    </w:pPr>
    <w:rPr>
      <w:rFonts w:eastAsia="Calibri" w:cs="Times New Roman"/>
      <w:b/>
      <w:spacing w:val="2"/>
      <w:w w:val="103"/>
      <w:kern w:val="14"/>
      <w:lang w:val="fr-CA"/>
    </w:rPr>
  </w:style>
  <w:style w:type="paragraph" w:customStyle="1" w:styleId="SL">
    <w:name w:val="__S_L"/>
    <w:basedOn w:val="a"/>
    <w:next w:val="a"/>
    <w:qFormat/>
    <w:rsid w:val="00F90502"/>
    <w:pPr>
      <w:keepNext/>
      <w:keepLines/>
      <w:tabs>
        <w:tab w:val="right" w:pos="360"/>
      </w:tabs>
      <w:spacing w:line="540" w:lineRule="exact"/>
      <w:ind w:left="1267" w:right="1267"/>
      <w:outlineLvl w:val="0"/>
    </w:pPr>
    <w:rPr>
      <w:rFonts w:eastAsia="Calibri" w:cs="Times New Roman"/>
      <w:b/>
      <w:spacing w:val="-8"/>
      <w:w w:val="96"/>
      <w:kern w:val="14"/>
      <w:sz w:val="57"/>
      <w:lang w:val="fr-CA"/>
    </w:rPr>
  </w:style>
  <w:style w:type="character" w:customStyle="1" w:styleId="shorttext">
    <w:name w:val="short_text"/>
    <w:basedOn w:val="a0"/>
    <w:rsid w:val="00F90502"/>
  </w:style>
  <w:style w:type="character" w:customStyle="1" w:styleId="highlight">
    <w:name w:val="highlight"/>
    <w:basedOn w:val="a0"/>
    <w:rsid w:val="00F90502"/>
  </w:style>
  <w:style w:type="paragraph" w:styleId="af9">
    <w:name w:val="Normal (Web)"/>
    <w:basedOn w:val="a"/>
    <w:uiPriority w:val="99"/>
    <w:unhideWhenUsed/>
    <w:rsid w:val="00F90502"/>
    <w:pPr>
      <w:suppressAutoHyphens w:val="0"/>
      <w:spacing w:before="100" w:beforeAutospacing="1" w:after="100" w:afterAutospacing="1" w:line="240" w:lineRule="auto"/>
    </w:pPr>
    <w:rPr>
      <w:rFonts w:eastAsia="Times New Roman" w:cs="Times New Roman"/>
      <w:sz w:val="24"/>
      <w:szCs w:val="24"/>
      <w:lang w:val="es-ES_tradnl" w:eastAsia="es-ES_tradnl"/>
    </w:rPr>
  </w:style>
  <w:style w:type="paragraph" w:styleId="HTML">
    <w:name w:val="HTML Preformatted"/>
    <w:basedOn w:val="a"/>
    <w:link w:val="HTML0"/>
    <w:uiPriority w:val="99"/>
    <w:unhideWhenUsed/>
    <w:rsid w:val="00F9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es-ES_tradnl" w:eastAsia="es-ES_tradnl"/>
    </w:rPr>
  </w:style>
  <w:style w:type="character" w:customStyle="1" w:styleId="HTML0">
    <w:name w:val="Стандартный HTML Знак"/>
    <w:basedOn w:val="a0"/>
    <w:link w:val="HTML"/>
    <w:uiPriority w:val="99"/>
    <w:rsid w:val="00F90502"/>
    <w:rPr>
      <w:rFonts w:ascii="Courier New" w:hAnsi="Courier New" w:cs="Courier New"/>
      <w:lang w:val="es-ES_tradnl" w:eastAsia="es-ES_tradnl"/>
    </w:rPr>
  </w:style>
  <w:style w:type="character" w:customStyle="1" w:styleId="SingleTxtGCar">
    <w:name w:val="_ Single Txt_G Car"/>
    <w:locked/>
    <w:rsid w:val="00F90502"/>
    <w:rPr>
      <w:lang w:val="fr-CH" w:eastAsia="en-US"/>
    </w:rPr>
  </w:style>
  <w:style w:type="character" w:customStyle="1" w:styleId="apple-converted-space">
    <w:name w:val="apple-converted-space"/>
    <w:basedOn w:val="a0"/>
    <w:rsid w:val="00F90502"/>
  </w:style>
  <w:style w:type="character" w:styleId="afa">
    <w:name w:val="Emphasis"/>
    <w:uiPriority w:val="20"/>
    <w:qFormat/>
    <w:rsid w:val="00F90502"/>
    <w:rPr>
      <w:i/>
      <w:iCs/>
    </w:rPr>
  </w:style>
  <w:style w:type="character" w:customStyle="1" w:styleId="sessionsubtitle">
    <w:name w:val="sessionsubtitle"/>
    <w:basedOn w:val="a0"/>
    <w:rsid w:val="00F90502"/>
  </w:style>
  <w:style w:type="paragraph" w:styleId="afb">
    <w:name w:val="Revision"/>
    <w:hidden/>
    <w:uiPriority w:val="99"/>
    <w:semiHidden/>
    <w:rsid w:val="00F90502"/>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5036</Words>
  <Characters>34909</Characters>
  <Application>Microsoft Office Word</Application>
  <DocSecurity>0</DocSecurity>
  <Lines>626</Lines>
  <Paragraphs>144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CAT/C/SEN/CO/4</vt:lpstr>
      <vt:lpstr>A/</vt:lpstr>
      <vt:lpstr>A/</vt:lpstr>
      <vt:lpstr>A/</vt:lpstr>
    </vt:vector>
  </TitlesOfParts>
  <Company>DCM</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dc:title>
  <dc:subject/>
  <dc:creator>Olga OVTCHINNIKOVA</dc:creator>
  <cp:keywords/>
  <cp:lastModifiedBy>Olga Ovchinnikova</cp:lastModifiedBy>
  <cp:revision>3</cp:revision>
  <cp:lastPrinted>2019-02-14T09:27:00Z</cp:lastPrinted>
  <dcterms:created xsi:type="dcterms:W3CDTF">2019-02-14T09:27:00Z</dcterms:created>
  <dcterms:modified xsi:type="dcterms:W3CDTF">2019-02-14T09:27:00Z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