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BB5A75" w:rsidRPr="00D65A62" w:rsidTr="007A4D10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635870" w:rsidRDefault="00BB5A75" w:rsidP="007A4D1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BB5A75" w:rsidRPr="00D65A62" w:rsidRDefault="00BB5A75" w:rsidP="007A4D10">
            <w:pPr>
              <w:jc w:val="right"/>
              <w:rPr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</w:t>
            </w:r>
            <w:r>
              <w:rPr>
                <w:sz w:val="40"/>
                <w:szCs w:val="40"/>
                <w:lang w:val="en-US"/>
              </w:rPr>
              <w:t>RPD</w:t>
            </w:r>
            <w:proofErr w:type="spellEnd"/>
            <w:r w:rsidRPr="00D65A62"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CR</w:instrText>
            </w:r>
            <w:r>
              <w:rPr>
                <w:lang w:val="en-US"/>
              </w:rPr>
              <w:instrText>P</w:instrText>
            </w:r>
            <w:r>
              <w:instrText xml:space="preserve">D/"  \* MERGEFORMAT </w:instrText>
            </w:r>
            <w:r w:rsidR="007A4D10">
              <w:fldChar w:fldCharType="separate"/>
            </w:r>
            <w:r w:rsidR="007A4D10">
              <w:t>C/16/3</w:t>
            </w:r>
            <w:r>
              <w:fldChar w:fldCharType="end"/>
            </w:r>
          </w:p>
        </w:tc>
      </w:tr>
      <w:tr w:rsidR="00BB5A75" w:rsidRPr="00635870" w:rsidTr="007A4D1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635870" w:rsidRDefault="00BB5A75" w:rsidP="007A4D1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2233A9" wp14:editId="1324A27B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B5A75" w:rsidRPr="007511D7" w:rsidRDefault="00BB5A75" w:rsidP="007A4D1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5A75" w:rsidRPr="00D65A62" w:rsidRDefault="00BB5A75" w:rsidP="007A4D10">
            <w:pPr>
              <w:spacing w:before="240"/>
              <w:rPr>
                <w:lang w:val="en-US"/>
              </w:rPr>
            </w:pPr>
            <w:proofErr w:type="spellStart"/>
            <w:r w:rsidRPr="00D65A62">
              <w:rPr>
                <w:lang w:val="en-US"/>
              </w:rPr>
              <w:t>Distr</w:t>
            </w:r>
            <w:proofErr w:type="spellEnd"/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7A4D10">
              <w:fldChar w:fldCharType="separate"/>
            </w:r>
            <w:r w:rsidRPr="00D65A62">
              <w:fldChar w:fldCharType="end"/>
            </w:r>
            <w:bookmarkEnd w:id="0"/>
          </w:p>
          <w:p w:rsidR="00BB5A75" w:rsidRPr="00D65A62" w:rsidRDefault="00BB5A75" w:rsidP="007A4D10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="007A4D10">
              <w:rPr>
                <w:lang w:val="en-US"/>
              </w:rPr>
              <w:fldChar w:fldCharType="separate"/>
            </w:r>
            <w:r w:rsidR="007A4D10">
              <w:rPr>
                <w:lang w:val="en-US"/>
              </w:rPr>
              <w:t>19 October 2016</w:t>
            </w:r>
            <w:r w:rsidRPr="00D65A62">
              <w:rPr>
                <w:lang w:val="en-US"/>
              </w:rPr>
              <w:fldChar w:fldCharType="end"/>
            </w:r>
          </w:p>
          <w:p w:rsidR="00BB5A75" w:rsidRPr="00D65A62" w:rsidRDefault="00BB5A75" w:rsidP="007A4D10">
            <w:r w:rsidRPr="00D65A62">
              <w:rPr>
                <w:lang w:val="en-US"/>
              </w:rPr>
              <w:t>Russian</w:t>
            </w:r>
          </w:p>
          <w:p w:rsidR="00BB5A75" w:rsidRPr="00D65A62" w:rsidRDefault="00BB5A75" w:rsidP="007A4D10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7A4D10">
              <w:fldChar w:fldCharType="separate"/>
            </w:r>
            <w:r w:rsidRPr="00D65A62">
              <w:fldChar w:fldCharType="end"/>
            </w:r>
            <w:bookmarkEnd w:id="1"/>
          </w:p>
          <w:p w:rsidR="00BB5A75" w:rsidRPr="00635870" w:rsidRDefault="00BB5A75" w:rsidP="007A4D10"/>
        </w:tc>
      </w:tr>
    </w:tbl>
    <w:p w:rsidR="007A4D10" w:rsidRPr="007A4D10" w:rsidRDefault="007A4D10" w:rsidP="007A4D10">
      <w:pPr>
        <w:spacing w:before="120"/>
        <w:rPr>
          <w:b/>
          <w:sz w:val="24"/>
          <w:szCs w:val="24"/>
        </w:rPr>
      </w:pPr>
      <w:r w:rsidRPr="007A4D10">
        <w:rPr>
          <w:b/>
          <w:sz w:val="24"/>
          <w:szCs w:val="24"/>
        </w:rPr>
        <w:t>Комитет по правам инвалидов</w:t>
      </w:r>
    </w:p>
    <w:p w:rsidR="007A4D10" w:rsidRPr="007A4D10" w:rsidRDefault="007A4D10" w:rsidP="007A4D10">
      <w:pPr>
        <w:pStyle w:val="HChGR"/>
      </w:pPr>
      <w:r w:rsidRPr="007A4D10">
        <w:tab/>
      </w:r>
      <w:r w:rsidRPr="007A4D10">
        <w:tab/>
        <w:t>Доклад о последующей деятельности в</w:t>
      </w:r>
      <w:r w:rsidRPr="007A4D10">
        <w:rPr>
          <w:lang w:val="en-US"/>
        </w:rPr>
        <w:t> </w:t>
      </w:r>
      <w:r w:rsidRPr="007A4D10">
        <w:t>связи с</w:t>
      </w:r>
      <w:r>
        <w:rPr>
          <w:lang w:val="en-US"/>
        </w:rPr>
        <w:t> </w:t>
      </w:r>
      <w:r w:rsidRPr="007A4D10">
        <w:t xml:space="preserve">индивидуальными сообщениями, принятый Комитетом на его шестнадцатой сессии </w:t>
      </w:r>
      <w:r w:rsidRPr="007A4D10">
        <w:br/>
        <w:t xml:space="preserve">(15 августа </w:t>
      </w:r>
      <w:r w:rsidR="000E5E55">
        <w:t>–</w:t>
      </w:r>
      <w:r w:rsidRPr="007A4D10">
        <w:t xml:space="preserve"> 2 сентября 2016 года)</w:t>
      </w:r>
    </w:p>
    <w:p w:rsidR="007A4D10" w:rsidRPr="007A4D10" w:rsidRDefault="007A4D10" w:rsidP="007A4D10">
      <w:pPr>
        <w:pStyle w:val="H1GR"/>
      </w:pPr>
      <w:r w:rsidRPr="007A4D10">
        <w:tab/>
        <w:t>A.</w:t>
      </w:r>
      <w:r w:rsidRPr="007A4D10">
        <w:tab/>
        <w:t>Введение</w:t>
      </w:r>
    </w:p>
    <w:p w:rsidR="007A4D10" w:rsidRPr="007A4D10" w:rsidRDefault="007A4D10" w:rsidP="007A4D10">
      <w:pPr>
        <w:pStyle w:val="SingleTxtGR"/>
      </w:pPr>
      <w:r w:rsidRPr="007A4D10">
        <w:t>1.</w:t>
      </w:r>
      <w:r w:rsidRPr="007A4D10">
        <w:tab/>
        <w:t>Настоящий доклад подготовлен в соответствии со статьей 5 Факультати</w:t>
      </w:r>
      <w:r w:rsidRPr="007A4D10">
        <w:t>в</w:t>
      </w:r>
      <w:r w:rsidRPr="007A4D10">
        <w:t>ного протокола к Конвенции о правах инвалидов, в которой говорится, что при рассмотрении сообщений в соответствии с настоящим Протоколом Комитет проводит закрытые заседания и что после изучения сообщения Комитет направляет свои предложения и рекомендации, если таковые имеются, соотве</w:t>
      </w:r>
      <w:r w:rsidRPr="007A4D10">
        <w:t>т</w:t>
      </w:r>
      <w:r w:rsidRPr="007A4D10">
        <w:t>ствующему государству-участнику и заявителю. Настоящий доклад подгото</w:t>
      </w:r>
      <w:r w:rsidRPr="007A4D10">
        <w:t>в</w:t>
      </w:r>
      <w:r w:rsidRPr="007A4D10">
        <w:t>лен также в соответствии с пунктом 7 правила 75 правил процедуры Комитета, который предусматривает, что для обеспечения принятия государствами-участниками мер для реализации Соображений Комитета, Специальный д</w:t>
      </w:r>
      <w:r w:rsidRPr="007A4D10">
        <w:t>о</w:t>
      </w:r>
      <w:r w:rsidRPr="007A4D10">
        <w:t>кладчик или рабочая группа регулярно информируют Комитет об осуществл</w:t>
      </w:r>
      <w:r w:rsidRPr="007A4D10">
        <w:t>е</w:t>
      </w:r>
      <w:r w:rsidRPr="007A4D10">
        <w:t>нии мероприятий в связи с последующими мерами. Комитет рассмотрел и пр</w:t>
      </w:r>
      <w:r w:rsidRPr="007A4D10">
        <w:t>и</w:t>
      </w:r>
      <w:r w:rsidRPr="007A4D10">
        <w:t>нял настоящий доклад на своей шестнадцатой сессии.</w:t>
      </w:r>
    </w:p>
    <w:p w:rsidR="007A4D10" w:rsidRPr="007A4D10" w:rsidRDefault="007A4D10" w:rsidP="007A4D10">
      <w:pPr>
        <w:pStyle w:val="SingleTxtGR"/>
      </w:pPr>
      <w:r w:rsidRPr="007A4D10">
        <w:t>2.</w:t>
      </w:r>
      <w:r w:rsidRPr="007A4D10">
        <w:tab/>
        <w:t>В настоящем докладе приводится информация, полученная Специальным докладчиком по последующей деятельности в связи с Соображениями Комит</w:t>
      </w:r>
      <w:r w:rsidRPr="007A4D10">
        <w:t>е</w:t>
      </w:r>
      <w:r w:rsidRPr="007A4D10">
        <w:t>та в период между пятнадцатой и шестнадцатой сессиями в соответствии с пр</w:t>
      </w:r>
      <w:r w:rsidRPr="007A4D10">
        <w:t>а</w:t>
      </w:r>
      <w:r w:rsidRPr="007A4D10">
        <w:t>вилами процедуры Комитета, и излагаются аналитические оценки и решения, принятые Комитетом на его шестнадцатой сессии. Для оценки были использ</w:t>
      </w:r>
      <w:r w:rsidRPr="007A4D10">
        <w:t>о</w:t>
      </w:r>
      <w:r w:rsidRPr="007A4D10">
        <w:t>ваны следующие критерии: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810"/>
        <w:gridCol w:w="7694"/>
      </w:tblGrid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7A4D10" w:rsidRPr="007A4D10" w:rsidRDefault="007A4D10" w:rsidP="007A4D10">
            <w:pPr>
              <w:spacing w:before="60" w:after="60"/>
              <w:rPr>
                <w:i/>
                <w:sz w:val="16"/>
                <w:szCs w:val="16"/>
              </w:rPr>
            </w:pPr>
            <w:r w:rsidRPr="007A4D10">
              <w:rPr>
                <w:i/>
                <w:sz w:val="16"/>
                <w:szCs w:val="16"/>
              </w:rPr>
              <w:t>Критерии оценки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top w:val="single" w:sz="12" w:space="0" w:color="auto"/>
            </w:tcBorders>
            <w:vAlign w:val="top"/>
          </w:tcPr>
          <w:p w:rsidR="007A4D10" w:rsidRPr="007A4D10" w:rsidRDefault="007A4D10" w:rsidP="007A4D10">
            <w:pPr>
              <w:spacing w:before="60" w:after="60"/>
              <w:rPr>
                <w:i/>
              </w:rPr>
            </w:pPr>
            <w:r w:rsidRPr="007A4D10">
              <w:rPr>
                <w:i/>
              </w:rPr>
              <w:t>Удовлетворительные меры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top"/>
          </w:tcPr>
          <w:p w:rsidR="007A4D10" w:rsidRPr="007A4D10" w:rsidRDefault="007A4D10" w:rsidP="007A4D10">
            <w:pPr>
              <w:spacing w:before="60" w:after="60"/>
              <w:rPr>
                <w:b/>
              </w:rPr>
            </w:pPr>
            <w:r w:rsidRPr="007A4D10">
              <w:rPr>
                <w:b/>
              </w:rPr>
              <w:t>A</w:t>
            </w:r>
          </w:p>
        </w:tc>
        <w:tc>
          <w:tcPr>
            <w:tcW w:w="684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Приняты в целом удовлетворительные меры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vAlign w:val="top"/>
          </w:tcPr>
          <w:p w:rsidR="007A4D10" w:rsidRPr="007A4D10" w:rsidRDefault="007A4D10" w:rsidP="007A4D10">
            <w:pPr>
              <w:spacing w:before="60" w:after="60"/>
              <w:rPr>
                <w:i/>
              </w:rPr>
            </w:pPr>
            <w:r w:rsidRPr="007A4D10">
              <w:rPr>
                <w:i/>
              </w:rPr>
              <w:t>Частично удовлетворительные меры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top"/>
          </w:tcPr>
          <w:p w:rsidR="007A4D10" w:rsidRPr="007A4D10" w:rsidRDefault="007A4D10" w:rsidP="007A4D10">
            <w:pPr>
              <w:spacing w:before="60" w:after="60"/>
              <w:rPr>
                <w:b/>
              </w:rPr>
            </w:pPr>
            <w:r w:rsidRPr="007A4D10">
              <w:rPr>
                <w:b/>
              </w:rPr>
              <w:t>B1</w:t>
            </w:r>
          </w:p>
        </w:tc>
        <w:tc>
          <w:tcPr>
            <w:tcW w:w="6840" w:type="dxa"/>
            <w:tcBorders>
              <w:bottom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Приняты существенные меры, но требуется дополнительная информация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  <w:rPr>
                <w:b/>
              </w:rPr>
            </w:pPr>
            <w:r w:rsidRPr="007A4D10">
              <w:rPr>
                <w:b/>
              </w:rPr>
              <w:t>B2</w:t>
            </w:r>
          </w:p>
        </w:tc>
        <w:tc>
          <w:tcPr>
            <w:tcW w:w="6840" w:type="dxa"/>
            <w:tcBorders>
              <w:top w:val="nil"/>
              <w:bottom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Приняты первоначальные меры, но необходимы дополнительные меры и инфо</w:t>
            </w:r>
            <w:r w:rsidRPr="007A4D10">
              <w:t>р</w:t>
            </w:r>
            <w:r w:rsidRPr="007A4D10">
              <w:t>мация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tcBorders>
              <w:top w:val="nil"/>
            </w:tcBorders>
            <w:vAlign w:val="top"/>
          </w:tcPr>
          <w:p w:rsidR="007A4D10" w:rsidRPr="007A4D10" w:rsidRDefault="007A4D10" w:rsidP="007A4D10">
            <w:pPr>
              <w:keepNext/>
              <w:spacing w:before="60" w:after="60"/>
              <w:rPr>
                <w:i/>
              </w:rPr>
            </w:pPr>
            <w:r w:rsidRPr="007A4D10">
              <w:rPr>
                <w:i/>
              </w:rPr>
              <w:lastRenderedPageBreak/>
              <w:t>Неудовлетворительные меры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top"/>
          </w:tcPr>
          <w:p w:rsidR="007A4D10" w:rsidRPr="007A4D10" w:rsidRDefault="007A4D10" w:rsidP="007A4D10">
            <w:pPr>
              <w:spacing w:before="60" w:after="60"/>
              <w:rPr>
                <w:b/>
              </w:rPr>
            </w:pPr>
            <w:r w:rsidRPr="007A4D10">
              <w:rPr>
                <w:b/>
              </w:rPr>
              <w:t>C1</w:t>
            </w:r>
          </w:p>
        </w:tc>
        <w:tc>
          <w:tcPr>
            <w:tcW w:w="684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Ответ получен, но принятые меры не обеспечивают осуществления Соображ</w:t>
            </w:r>
            <w:r w:rsidRPr="007A4D10">
              <w:t>е</w:t>
            </w:r>
            <w:r w:rsidRPr="007A4D10">
              <w:t>ний/</w:t>
            </w:r>
            <w:r w:rsidRPr="007A4D10">
              <w:br/>
              <w:t>рекомендаций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top"/>
          </w:tcPr>
          <w:p w:rsidR="007A4D10" w:rsidRPr="007A4D10" w:rsidRDefault="007A4D10" w:rsidP="007A4D10">
            <w:pPr>
              <w:spacing w:before="60" w:after="60"/>
              <w:rPr>
                <w:b/>
              </w:rPr>
            </w:pPr>
            <w:r w:rsidRPr="007A4D10">
              <w:rPr>
                <w:b/>
              </w:rPr>
              <w:t>C2</w:t>
            </w:r>
          </w:p>
        </w:tc>
        <w:tc>
          <w:tcPr>
            <w:tcW w:w="684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Ответ получен, но не имеет отношения к Соображениям/рекомендациям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vAlign w:val="top"/>
          </w:tcPr>
          <w:p w:rsidR="007A4D10" w:rsidRPr="007A4D10" w:rsidRDefault="007A4D10" w:rsidP="007A4D10">
            <w:pPr>
              <w:spacing w:before="60" w:after="60"/>
              <w:rPr>
                <w:i/>
              </w:rPr>
            </w:pPr>
            <w:r w:rsidRPr="007A4D10">
              <w:rPr>
                <w:i/>
              </w:rPr>
              <w:t>Отсутствие сотрудничества с Комитетом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top"/>
          </w:tcPr>
          <w:p w:rsidR="007A4D10" w:rsidRPr="007A4D10" w:rsidRDefault="007A4D10" w:rsidP="007A4D10">
            <w:pPr>
              <w:spacing w:before="60" w:after="60"/>
              <w:rPr>
                <w:b/>
              </w:rPr>
            </w:pPr>
            <w:r w:rsidRPr="007A4D10">
              <w:rPr>
                <w:b/>
              </w:rPr>
              <w:t>D1</w:t>
            </w:r>
          </w:p>
        </w:tc>
        <w:tc>
          <w:tcPr>
            <w:tcW w:w="684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Не получено ответа на одну или несколько рекомендаций или на часть рекоменд</w:t>
            </w:r>
            <w:r w:rsidRPr="007A4D10">
              <w:t>а</w:t>
            </w:r>
            <w:r w:rsidRPr="007A4D10">
              <w:t>ции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top"/>
          </w:tcPr>
          <w:p w:rsidR="007A4D10" w:rsidRPr="007A4D10" w:rsidRDefault="007A4D10" w:rsidP="007A4D10">
            <w:pPr>
              <w:spacing w:before="60" w:after="60"/>
              <w:rPr>
                <w:b/>
              </w:rPr>
            </w:pPr>
            <w:r w:rsidRPr="007A4D10">
              <w:rPr>
                <w:b/>
              </w:rPr>
              <w:t>D2</w:t>
            </w:r>
          </w:p>
        </w:tc>
        <w:tc>
          <w:tcPr>
            <w:tcW w:w="684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Не получено ответа после напоминания (напоминаний)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vAlign w:val="top"/>
          </w:tcPr>
          <w:p w:rsidR="007A4D10" w:rsidRPr="007A4D10" w:rsidRDefault="007A4D10" w:rsidP="007A4D10">
            <w:pPr>
              <w:spacing w:before="60" w:after="60"/>
              <w:rPr>
                <w:i/>
              </w:rPr>
            </w:pPr>
            <w:r w:rsidRPr="007A4D10">
              <w:rPr>
                <w:i/>
              </w:rPr>
              <w:t>Принятые меры противоречат рекомендациям Комитета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top"/>
          </w:tcPr>
          <w:p w:rsidR="007A4D10" w:rsidRPr="007A4D10" w:rsidRDefault="007A4D10" w:rsidP="007A4D10">
            <w:pPr>
              <w:spacing w:before="60" w:after="60"/>
              <w:rPr>
                <w:b/>
              </w:rPr>
            </w:pPr>
            <w:r w:rsidRPr="007A4D10">
              <w:rPr>
                <w:b/>
              </w:rPr>
              <w:t>E</w:t>
            </w:r>
          </w:p>
        </w:tc>
        <w:tc>
          <w:tcPr>
            <w:tcW w:w="684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Ответ свидетельствует о том, что принятые меры идут вразрез с Соображени</w:t>
            </w:r>
            <w:r w:rsidRPr="007A4D10">
              <w:t>я</w:t>
            </w:r>
            <w:r w:rsidRPr="007A4D10">
              <w:t>ми/</w:t>
            </w:r>
            <w:r w:rsidR="000E5E55">
              <w:br/>
            </w:r>
            <w:r w:rsidRPr="007A4D10">
              <w:t>рекомендациями Комитета</w:t>
            </w:r>
          </w:p>
        </w:tc>
      </w:tr>
    </w:tbl>
    <w:p w:rsidR="007A4D10" w:rsidRPr="007A4D10" w:rsidRDefault="007A4D10" w:rsidP="007A4D10">
      <w:pPr>
        <w:pStyle w:val="H1GR"/>
      </w:pPr>
      <w:r w:rsidRPr="007A4D10">
        <w:tab/>
        <w:t>B.</w:t>
      </w:r>
      <w:r w:rsidRPr="007A4D10">
        <w:tab/>
        <w:t>Сообщения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584"/>
        <w:gridCol w:w="5920"/>
      </w:tblGrid>
      <w:tr w:rsidR="007A4D10" w:rsidRPr="007A4D10" w:rsidTr="007A4D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7A4D10" w:rsidRPr="007A4D10" w:rsidRDefault="007A4D10" w:rsidP="007A4D10">
            <w:pPr>
              <w:spacing w:before="60" w:after="60"/>
              <w:rPr>
                <w:b/>
                <w:i/>
              </w:rPr>
            </w:pPr>
            <w:r w:rsidRPr="007A4D10">
              <w:rPr>
                <w:b/>
              </w:rPr>
              <w:t>1.</w:t>
            </w:r>
            <w:r w:rsidRPr="007A4D10">
              <w:rPr>
                <w:b/>
              </w:rPr>
              <w:tab/>
              <w:t>Сообщение № 1/2010,</w:t>
            </w:r>
            <w:r w:rsidRPr="007A4D10">
              <w:rPr>
                <w:b/>
                <w:i/>
              </w:rPr>
              <w:t xml:space="preserve"> </w:t>
            </w:r>
            <w:proofErr w:type="spellStart"/>
            <w:r w:rsidRPr="007A4D10">
              <w:rPr>
                <w:b/>
                <w:i/>
              </w:rPr>
              <w:t>Ниушти</w:t>
            </w:r>
            <w:proofErr w:type="spellEnd"/>
            <w:r w:rsidRPr="007A4D10">
              <w:rPr>
                <w:b/>
                <w:i/>
              </w:rPr>
              <w:t xml:space="preserve"> и </w:t>
            </w:r>
            <w:proofErr w:type="spellStart"/>
            <w:r w:rsidRPr="007A4D10">
              <w:rPr>
                <w:b/>
                <w:i/>
              </w:rPr>
              <w:t>Такач</w:t>
            </w:r>
            <w:proofErr w:type="spellEnd"/>
            <w:r w:rsidRPr="007A4D10">
              <w:rPr>
                <w:b/>
                <w:i/>
              </w:rPr>
              <w:t xml:space="preserve"> против Венгрии</w:t>
            </w:r>
          </w:p>
        </w:tc>
      </w:tr>
      <w:tr w:rsidR="007A4D10" w:rsidRPr="007A4D10" w:rsidTr="007A4D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single" w:sz="12" w:space="0" w:color="auto"/>
            </w:tcBorders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>Соображения:</w:t>
            </w:r>
          </w:p>
        </w:tc>
        <w:tc>
          <w:tcPr>
            <w:tcW w:w="5920" w:type="dxa"/>
            <w:tcBorders>
              <w:top w:val="single" w:sz="12" w:space="0" w:color="auto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16 апреля 2013 года</w:t>
            </w:r>
          </w:p>
        </w:tc>
      </w:tr>
      <w:tr w:rsidR="007A4D10" w:rsidRPr="007A4D10" w:rsidTr="007A4D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>Первый ответ государства-участника:</w:t>
            </w:r>
          </w:p>
        </w:tc>
        <w:tc>
          <w:tcPr>
            <w:tcW w:w="592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 xml:space="preserve">Подлежал представлению 24 октября 2013 года. </w:t>
            </w:r>
            <w:proofErr w:type="gramStart"/>
            <w:r w:rsidRPr="007A4D10">
              <w:t>Получен</w:t>
            </w:r>
            <w:proofErr w:type="gramEnd"/>
            <w:r w:rsidRPr="007A4D10">
              <w:t xml:space="preserve"> 13</w:t>
            </w:r>
            <w:r>
              <w:rPr>
                <w:lang w:val="en-US"/>
              </w:rPr>
              <w:t> </w:t>
            </w:r>
            <w:r w:rsidRPr="007A4D10">
              <w:t>декабря 2013 года. Изучен на одиннадцатой сессии (см.</w:t>
            </w:r>
            <w:r>
              <w:rPr>
                <w:lang w:val="en-US"/>
              </w:rPr>
              <w:t> </w:t>
            </w:r>
            <w:proofErr w:type="spellStart"/>
            <w:r w:rsidRPr="007A4D10">
              <w:t>CRPD</w:t>
            </w:r>
            <w:proofErr w:type="spellEnd"/>
            <w:r w:rsidRPr="007A4D10">
              <w:t>/C/11/5).</w:t>
            </w:r>
          </w:p>
        </w:tc>
      </w:tr>
      <w:tr w:rsidR="007A4D10" w:rsidRPr="007A4D10" w:rsidTr="007A4D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 xml:space="preserve">Замечания автора </w:t>
            </w:r>
            <w:r>
              <w:t>(</w:t>
            </w:r>
            <w:r w:rsidRPr="007A4D10">
              <w:t>первый пакет документов):</w:t>
            </w:r>
          </w:p>
        </w:tc>
        <w:tc>
          <w:tcPr>
            <w:tcW w:w="592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13 марта 2014 года. Изучены на одиннадцатой сессии (см.</w:t>
            </w:r>
            <w:r>
              <w:rPr>
                <w:lang w:val="en-US"/>
              </w:rPr>
              <w:t> </w:t>
            </w:r>
            <w:proofErr w:type="spellStart"/>
            <w:r w:rsidRPr="007A4D10">
              <w:t>CRPD</w:t>
            </w:r>
            <w:proofErr w:type="spellEnd"/>
            <w:r w:rsidRPr="007A4D10">
              <w:t>/C/11/5).</w:t>
            </w:r>
          </w:p>
        </w:tc>
      </w:tr>
      <w:tr w:rsidR="007A4D10" w:rsidRPr="007A4D10" w:rsidTr="007A4D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>Решение, принятое на одиннадц</w:t>
            </w:r>
            <w:r w:rsidRPr="007A4D10">
              <w:t>а</w:t>
            </w:r>
            <w:r w:rsidRPr="007A4D10">
              <w:t>той сессии:</w:t>
            </w:r>
          </w:p>
        </w:tc>
        <w:tc>
          <w:tcPr>
            <w:tcW w:w="5920" w:type="dxa"/>
            <w:tcBorders>
              <w:bottom w:val="nil"/>
            </w:tcBorders>
            <w:vAlign w:val="top"/>
          </w:tcPr>
          <w:p w:rsidR="007A4D10" w:rsidRPr="007A4D10" w:rsidRDefault="007A4D10" w:rsidP="000E5E5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8 мая 2014 года государству-участнику направлено последу</w:t>
            </w:r>
            <w:r w:rsidRPr="007A4D10">
              <w:t>ю</w:t>
            </w:r>
            <w:r w:rsidRPr="007A4D10">
              <w:t>щее письмо (см. </w:t>
            </w:r>
            <w:proofErr w:type="spellStart"/>
            <w:r w:rsidRPr="007A4D10">
              <w:t>CRPD</w:t>
            </w:r>
            <w:proofErr w:type="spellEnd"/>
            <w:r w:rsidRPr="007A4D10">
              <w:t>/C/12/3) с указанием пр</w:t>
            </w:r>
            <w:r w:rsidRPr="007A4D10">
              <w:t>е</w:t>
            </w:r>
            <w:r w:rsidRPr="007A4D10">
              <w:t xml:space="preserve">дельного срока для представления замечаний </w:t>
            </w:r>
            <w:r w:rsidR="000E5E55">
              <w:t>–</w:t>
            </w:r>
            <w:r w:rsidRPr="007A4D10">
              <w:t xml:space="preserve"> 7 ноября 2014 года.</w:t>
            </w:r>
          </w:p>
        </w:tc>
      </w:tr>
      <w:tr w:rsidR="007A4D10" w:rsidRPr="007A4D10" w:rsidTr="007A4D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nil"/>
            </w:tcBorders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>Второй ответ государства-участника:</w:t>
            </w:r>
          </w:p>
        </w:tc>
        <w:tc>
          <w:tcPr>
            <w:tcW w:w="5920" w:type="dxa"/>
            <w:tcBorders>
              <w:top w:val="nil"/>
              <w:bottom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7A4D10">
              <w:t>Получен</w:t>
            </w:r>
            <w:proofErr w:type="gramEnd"/>
            <w:r w:rsidRPr="007A4D10">
              <w:t xml:space="preserve"> 29 июня 2015 года и 27 мая 2016 года; в нем сообщ</w:t>
            </w:r>
            <w:r w:rsidRPr="007A4D10">
              <w:t>а</w:t>
            </w:r>
            <w:r w:rsidRPr="007A4D10">
              <w:t>ется что: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ab/>
            </w:r>
            <w:r w:rsidRPr="007A4D10">
              <w:t xml:space="preserve">а) </w:t>
            </w:r>
            <w:r w:rsidRPr="007A4D10">
              <w:tab/>
              <w:t>государство-участник выплатило компенсацию а</w:t>
            </w:r>
            <w:r w:rsidRPr="007A4D10">
              <w:t>в</w:t>
            </w:r>
            <w:r w:rsidRPr="007A4D10">
              <w:t>торам и покрыло их судебные расходы;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ab/>
              <w:t xml:space="preserve">b) </w:t>
            </w:r>
            <w:r w:rsidRPr="007A4D10">
              <w:tab/>
              <w:t xml:space="preserve">банк </w:t>
            </w:r>
            <w:proofErr w:type="spellStart"/>
            <w:r w:rsidRPr="007A4D10">
              <w:t>ОТП</w:t>
            </w:r>
            <w:proofErr w:type="spellEnd"/>
            <w:r w:rsidRPr="007A4D10">
              <w:t xml:space="preserve"> обязался осуществить четырехлетнюю программу по переоборудованию всех автоматических касс</w:t>
            </w:r>
            <w:r w:rsidRPr="007A4D10">
              <w:t>о</w:t>
            </w:r>
            <w:r w:rsidRPr="007A4D10">
              <w:t>вых м</w:t>
            </w:r>
            <w:r w:rsidRPr="007A4D10">
              <w:t>а</w:t>
            </w:r>
            <w:r w:rsidRPr="007A4D10">
              <w:t xml:space="preserve">шин (банкоматов) в своих отделениях, с </w:t>
            </w:r>
            <w:proofErr w:type="gramStart"/>
            <w:r w:rsidRPr="007A4D10">
              <w:t>тем</w:t>
            </w:r>
            <w:proofErr w:type="gramEnd"/>
            <w:r w:rsidRPr="007A4D10">
              <w:t xml:space="preserve"> чтобы лица с нарушениями зрения могли самостоятельно пользоваться ими; 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ab/>
              <w:t xml:space="preserve">c) </w:t>
            </w:r>
            <w:r w:rsidRPr="007A4D10">
              <w:tab/>
              <w:t>21 октября 2013 года министерство, в ведении к</w:t>
            </w:r>
            <w:r w:rsidRPr="007A4D10">
              <w:t>о</w:t>
            </w:r>
            <w:r w:rsidRPr="007A4D10">
              <w:t>торого находятся социальные вопросы, начало проводить ко</w:t>
            </w:r>
            <w:r w:rsidRPr="007A4D10">
              <w:t>н</w:t>
            </w:r>
            <w:r w:rsidRPr="007A4D10">
              <w:t xml:space="preserve">сультации с Председателем Венгерской федерации слепых и слабовидящих, а 17 апреля 2015 года </w:t>
            </w:r>
            <w:r w:rsidR="000E5E55">
              <w:t>–</w:t>
            </w:r>
            <w:r w:rsidRPr="007A4D10">
              <w:t xml:space="preserve"> с министром, отвеча</w:t>
            </w:r>
            <w:r w:rsidRPr="007A4D10">
              <w:t>ю</w:t>
            </w:r>
            <w:r w:rsidRPr="007A4D10">
              <w:t>щим за вопросы налогообложения и финансов в министерстве национальной экономики, в целях поиска возможных норм</w:t>
            </w:r>
            <w:r w:rsidRPr="007A4D10">
              <w:t>а</w:t>
            </w:r>
            <w:r w:rsidRPr="007A4D10">
              <w:t>тивно-правовых решений, позволяющих осуществить Сообр</w:t>
            </w:r>
            <w:r w:rsidRPr="007A4D10">
              <w:t>а</w:t>
            </w:r>
            <w:r w:rsidRPr="007A4D10">
              <w:t>жения Комит</w:t>
            </w:r>
            <w:r w:rsidRPr="007A4D10">
              <w:t>е</w:t>
            </w:r>
            <w:r w:rsidRPr="007A4D10">
              <w:t>та;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5E55">
              <w:tab/>
            </w:r>
            <w:r w:rsidRPr="007A4D10">
              <w:t xml:space="preserve">d) </w:t>
            </w:r>
            <w:r w:rsidRPr="007A4D10">
              <w:tab/>
              <w:t xml:space="preserve">министр, отвечающий за вопросы социального обеспечения и интеграции в министерстве людских ресурсов, направил Центральному банку Венгрии письмо с просьбой </w:t>
            </w:r>
            <w:r w:rsidRPr="007A4D10">
              <w:lastRenderedPageBreak/>
              <w:t>представить информацию о преобразованиях, проведенных в последние годы, и возможных нормати</w:t>
            </w:r>
            <w:r w:rsidRPr="007A4D10">
              <w:t>в</w:t>
            </w:r>
            <w:r w:rsidRPr="007A4D10">
              <w:t>но-правовых решениях в области, которая была затр</w:t>
            </w:r>
            <w:r w:rsidRPr="007A4D10">
              <w:t>о</w:t>
            </w:r>
            <w:r w:rsidRPr="007A4D10">
              <w:t>нута в Соображениях Комитета;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ab/>
            </w:r>
            <w:r w:rsidRPr="007A4D10">
              <w:t xml:space="preserve">e) </w:t>
            </w:r>
            <w:r w:rsidRPr="007A4D10">
              <w:tab/>
              <w:t>были начаты консультации с целью формирования нормативных рамок.</w:t>
            </w:r>
          </w:p>
        </w:tc>
      </w:tr>
      <w:tr w:rsidR="007A4D10" w:rsidRPr="007A4D10" w:rsidTr="007A4D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nil"/>
            </w:tcBorders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lastRenderedPageBreak/>
              <w:t>Решение, принятое на пятнадц</w:t>
            </w:r>
            <w:r w:rsidRPr="007A4D10">
              <w:t>а</w:t>
            </w:r>
            <w:r w:rsidRPr="007A4D10">
              <w:t>той сессии:</w:t>
            </w:r>
          </w:p>
        </w:tc>
        <w:tc>
          <w:tcPr>
            <w:tcW w:w="5920" w:type="dxa"/>
            <w:tcBorders>
              <w:top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Продолжить осуществление последующих мер. Гос</w:t>
            </w:r>
            <w:r w:rsidRPr="007A4D10">
              <w:t>у</w:t>
            </w:r>
            <w:r w:rsidRPr="007A4D10">
              <w:t>дарству-участнику будет направлено соответствующее письмо.</w:t>
            </w:r>
          </w:p>
        </w:tc>
      </w:tr>
      <w:tr w:rsidR="007A4D10" w:rsidRPr="007A4D10" w:rsidTr="007A4D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>Принятые меры:</w:t>
            </w:r>
          </w:p>
        </w:tc>
        <w:tc>
          <w:tcPr>
            <w:tcW w:w="592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6 июня 2016 года: государству-участнику направлено письмо Специального докладчика по последующей деятельности в связи с Соображениями Комитета, в котором он: a) приветств</w:t>
            </w:r>
            <w:r w:rsidRPr="007A4D10">
              <w:t>о</w:t>
            </w:r>
            <w:r w:rsidRPr="007A4D10">
              <w:t>вал выплату компенсации автору и b) просил представить о</w:t>
            </w:r>
            <w:r w:rsidRPr="007A4D10">
              <w:t>б</w:t>
            </w:r>
            <w:r w:rsidRPr="007A4D10">
              <w:t>новл</w:t>
            </w:r>
            <w:r w:rsidR="005E02E1">
              <w:t>е</w:t>
            </w:r>
            <w:r w:rsidRPr="007A4D10">
              <w:t>нную информацию об осуществлении Соображений К</w:t>
            </w:r>
            <w:r w:rsidRPr="007A4D10">
              <w:t>о</w:t>
            </w:r>
            <w:r w:rsidRPr="007A4D10">
              <w:t>митета и четыр</w:t>
            </w:r>
            <w:r w:rsidR="005E02E1">
              <w:t>е</w:t>
            </w:r>
            <w:r w:rsidRPr="007A4D10">
              <w:t>хлетней программы по переоборудованию ба</w:t>
            </w:r>
            <w:r w:rsidRPr="007A4D10">
              <w:t>н</w:t>
            </w:r>
            <w:r w:rsidRPr="007A4D10">
              <w:t>коматов, а также сообщить об итогах консультаций, инициир</w:t>
            </w:r>
            <w:r w:rsidRPr="007A4D10">
              <w:t>о</w:t>
            </w:r>
            <w:r w:rsidRPr="007A4D10">
              <w:t>ванных государством</w:t>
            </w:r>
            <w:r w:rsidR="005E02E1">
              <w:t>-</w:t>
            </w:r>
            <w:r w:rsidRPr="007A4D10">
              <w:t>участник</w:t>
            </w:r>
            <w:r w:rsidR="005E02E1">
              <w:t>о</w:t>
            </w:r>
            <w:r w:rsidRPr="007A4D10">
              <w:t>м.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 xml:space="preserve">Предельный срок для представления ответа </w:t>
            </w:r>
            <w:r w:rsidR="000E5E55">
              <w:t>–</w:t>
            </w:r>
            <w:r w:rsidRPr="007A4D10">
              <w:t xml:space="preserve"> 2 августа 2016</w:t>
            </w:r>
            <w:r>
              <w:rPr>
                <w:lang w:val="en-US"/>
              </w:rPr>
              <w:t> </w:t>
            </w:r>
            <w:r w:rsidRPr="007A4D10">
              <w:t>года.</w:t>
            </w:r>
          </w:p>
        </w:tc>
      </w:tr>
      <w:tr w:rsidR="007A4D10" w:rsidRPr="007A4D10" w:rsidTr="007A4D1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>Решение Комитета:</w:t>
            </w:r>
          </w:p>
        </w:tc>
        <w:tc>
          <w:tcPr>
            <w:tcW w:w="592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Продолжить осуществление последующих мер, за исключен</w:t>
            </w:r>
            <w:r w:rsidRPr="007A4D10">
              <w:t>и</w:t>
            </w:r>
            <w:r w:rsidRPr="007A4D10">
              <w:t>ем деятельности в связи с вопросом о компе</w:t>
            </w:r>
            <w:r w:rsidRPr="007A4D10">
              <w:t>н</w:t>
            </w:r>
            <w:r w:rsidRPr="007A4D10">
              <w:t>сации авторов (оценка "А").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Ответ государства-участника о последующих мерах по его п</w:t>
            </w:r>
            <w:r w:rsidRPr="007A4D10">
              <w:t>о</w:t>
            </w:r>
            <w:r w:rsidRPr="007A4D10">
              <w:t>лучении передать авторам для представления з</w:t>
            </w:r>
            <w:r w:rsidRPr="007A4D10">
              <w:t>а</w:t>
            </w:r>
            <w:r w:rsidRPr="007A4D10">
              <w:t>мечаний.</w:t>
            </w:r>
          </w:p>
        </w:tc>
      </w:tr>
    </w:tbl>
    <w:p w:rsidR="007A4D10" w:rsidRPr="007A4D10" w:rsidRDefault="007A4D10" w:rsidP="007A4D10">
      <w:pPr>
        <w:pStyle w:val="SingleTxtGR"/>
      </w:pP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584"/>
        <w:gridCol w:w="5920"/>
      </w:tblGrid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7A4D10" w:rsidRPr="007A4D10" w:rsidRDefault="007A4D10" w:rsidP="007A4D10">
            <w:pPr>
              <w:spacing w:before="60" w:after="60"/>
              <w:rPr>
                <w:b/>
                <w:i/>
              </w:rPr>
            </w:pPr>
            <w:r w:rsidRPr="007A4D10">
              <w:rPr>
                <w:b/>
              </w:rPr>
              <w:t>2.</w:t>
            </w:r>
            <w:r w:rsidRPr="007A4D10">
              <w:rPr>
                <w:b/>
              </w:rPr>
              <w:tab/>
              <w:t>Сообщение № 4/2011,</w:t>
            </w:r>
            <w:r w:rsidRPr="007A4D10">
              <w:rPr>
                <w:b/>
                <w:i/>
              </w:rPr>
              <w:t xml:space="preserve"> </w:t>
            </w:r>
            <w:proofErr w:type="spellStart"/>
            <w:r w:rsidRPr="007A4D10">
              <w:rPr>
                <w:b/>
                <w:i/>
              </w:rPr>
              <w:t>Буйдошо</w:t>
            </w:r>
            <w:proofErr w:type="spellEnd"/>
            <w:r w:rsidRPr="007A4D10">
              <w:rPr>
                <w:b/>
                <w:i/>
              </w:rPr>
              <w:t xml:space="preserve"> и др. против Венгрии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single" w:sz="12" w:space="0" w:color="auto"/>
            </w:tcBorders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>Соображения:</w:t>
            </w:r>
          </w:p>
        </w:tc>
        <w:tc>
          <w:tcPr>
            <w:tcW w:w="5920" w:type="dxa"/>
            <w:tcBorders>
              <w:top w:val="single" w:sz="12" w:space="0" w:color="auto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9 сентября 2013 года.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>Первый ответ государства-участника:</w:t>
            </w:r>
          </w:p>
        </w:tc>
        <w:tc>
          <w:tcPr>
            <w:tcW w:w="592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 xml:space="preserve">26 марта 2014 года (см. </w:t>
            </w:r>
            <w:proofErr w:type="spellStart"/>
            <w:r w:rsidRPr="007A4D10">
              <w:t>CRPD</w:t>
            </w:r>
            <w:proofErr w:type="spellEnd"/>
            <w:r w:rsidRPr="007A4D10">
              <w:t>/C/12/3).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 xml:space="preserve">Замечания авторов </w:t>
            </w:r>
            <w:r w:rsidRPr="007A4D10">
              <w:br/>
              <w:t>(первый и второй пакеты документов):</w:t>
            </w:r>
          </w:p>
        </w:tc>
        <w:tc>
          <w:tcPr>
            <w:tcW w:w="592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 xml:space="preserve">5 мая 2014 года (см. </w:t>
            </w:r>
            <w:proofErr w:type="spellStart"/>
            <w:r w:rsidRPr="007A4D10">
              <w:t>CRPD</w:t>
            </w:r>
            <w:proofErr w:type="spellEnd"/>
            <w:r w:rsidRPr="007A4D10">
              <w:t>/C/12/3).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>Решение, принятое на одинн</w:t>
            </w:r>
            <w:r w:rsidRPr="007A4D10">
              <w:t>а</w:t>
            </w:r>
            <w:r w:rsidRPr="007A4D10">
              <w:t>дцатой сессии:</w:t>
            </w:r>
          </w:p>
        </w:tc>
        <w:tc>
          <w:tcPr>
            <w:tcW w:w="592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8 мая 2014 года государству-участнику направлено последу</w:t>
            </w:r>
            <w:r w:rsidRPr="007A4D10">
              <w:t>ю</w:t>
            </w:r>
            <w:r w:rsidRPr="007A4D10">
              <w:t>щее письмо (см. </w:t>
            </w:r>
            <w:proofErr w:type="spellStart"/>
            <w:r w:rsidRPr="007A4D10">
              <w:t>CRPD</w:t>
            </w:r>
            <w:proofErr w:type="spellEnd"/>
            <w:r w:rsidRPr="007A4D10">
              <w:t>/C/12/3) с указанием предельн</w:t>
            </w:r>
            <w:r w:rsidRPr="007A4D10">
              <w:t>о</w:t>
            </w:r>
            <w:r w:rsidRPr="007A4D10">
              <w:t xml:space="preserve">го срока для представления замечаний </w:t>
            </w:r>
            <w:r w:rsidR="000E5E55">
              <w:t>–</w:t>
            </w:r>
            <w:r w:rsidRPr="007A4D10">
              <w:t xml:space="preserve"> 7 ноября 2014 года.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>Второй ответ государства-участника:</w:t>
            </w:r>
          </w:p>
        </w:tc>
        <w:tc>
          <w:tcPr>
            <w:tcW w:w="5920" w:type="dxa"/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 xml:space="preserve">8 июля 2014 года (см. </w:t>
            </w:r>
            <w:proofErr w:type="spellStart"/>
            <w:r w:rsidRPr="007A4D10">
              <w:t>CRPD</w:t>
            </w:r>
            <w:proofErr w:type="spellEnd"/>
            <w:r w:rsidRPr="007A4D10">
              <w:t>/C/12/3).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 xml:space="preserve">Замечания авторов </w:t>
            </w:r>
            <w:r w:rsidRPr="007A4D10">
              <w:br/>
              <w:t>(третий п</w:t>
            </w:r>
            <w:r w:rsidRPr="007A4D10">
              <w:t>а</w:t>
            </w:r>
            <w:r w:rsidRPr="007A4D10">
              <w:t>кет документов):</w:t>
            </w:r>
          </w:p>
        </w:tc>
        <w:tc>
          <w:tcPr>
            <w:tcW w:w="5920" w:type="dxa"/>
            <w:tcBorders>
              <w:bottom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25 августа 2015 года.</w:t>
            </w:r>
          </w:p>
        </w:tc>
      </w:tr>
      <w:tr w:rsidR="007A4D10" w:rsidRPr="007A4D10" w:rsidTr="007A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nil"/>
            </w:tcBorders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>Третий ответ государства-участника:</w:t>
            </w:r>
          </w:p>
        </w:tc>
        <w:tc>
          <w:tcPr>
            <w:tcW w:w="5920" w:type="dxa"/>
            <w:tcBorders>
              <w:top w:val="nil"/>
              <w:bottom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7A4D10">
              <w:t>Получен</w:t>
            </w:r>
            <w:proofErr w:type="gramEnd"/>
            <w:r w:rsidRPr="007A4D10">
              <w:t xml:space="preserve"> 29 июня 2015 года; в нем сообщается что: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7A4D10">
              <w:t xml:space="preserve">а) </w:t>
            </w:r>
            <w:r>
              <w:tab/>
            </w:r>
            <w:r w:rsidRPr="007A4D10">
              <w:t>17 июня 2015 года государство-участник выплат</w:t>
            </w:r>
            <w:r w:rsidRPr="007A4D10">
              <w:t>и</w:t>
            </w:r>
            <w:r w:rsidRPr="007A4D10">
              <w:t>ло компе</w:t>
            </w:r>
            <w:r w:rsidRPr="007A4D10">
              <w:t>н</w:t>
            </w:r>
            <w:r w:rsidRPr="007A4D10">
              <w:t>сацию авторам и покрыло их судебные расходы;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7A4D10">
              <w:t xml:space="preserve">b) </w:t>
            </w:r>
            <w:r>
              <w:tab/>
            </w:r>
            <w:r w:rsidRPr="007A4D10">
              <w:t>15 марта 2014 года в силу вступил принятый в 2013 году Закон V о Гражданском кодексе, на основании кот</w:t>
            </w:r>
            <w:r w:rsidRPr="007A4D10">
              <w:t>о</w:t>
            </w:r>
            <w:r w:rsidRPr="007A4D10">
              <w:t>рого были внесены изменения в систему передачи под опеку. В</w:t>
            </w:r>
            <w:r>
              <w:t> </w:t>
            </w:r>
            <w:r w:rsidRPr="007A4D10">
              <w:t>случае лиц, которым затруднительно принимать самосто</w:t>
            </w:r>
            <w:r w:rsidRPr="007A4D10">
              <w:t>я</w:t>
            </w:r>
            <w:r w:rsidRPr="007A4D10">
              <w:t>тельные решения, этот Закон предусматривает не только огр</w:t>
            </w:r>
            <w:r w:rsidRPr="007A4D10">
              <w:t>а</w:t>
            </w:r>
            <w:r w:rsidRPr="007A4D10">
              <w:t>ничение право- и дееспособности, но и альтернативные прав</w:t>
            </w:r>
            <w:r w:rsidRPr="007A4D10">
              <w:t>о</w:t>
            </w:r>
            <w:r w:rsidRPr="007A4D10">
              <w:lastRenderedPageBreak/>
              <w:t>вые и</w:t>
            </w:r>
            <w:r w:rsidRPr="007A4D10">
              <w:t>н</w:t>
            </w:r>
            <w:r w:rsidRPr="007A4D10">
              <w:t xml:space="preserve">струменты. В этом Законе говорится о </w:t>
            </w:r>
            <w:proofErr w:type="spellStart"/>
            <w:r w:rsidRPr="007A4D10">
              <w:t>суппортивной</w:t>
            </w:r>
            <w:proofErr w:type="spellEnd"/>
            <w:r w:rsidRPr="007A4D10">
              <w:t xml:space="preserve"> модели принятия решений без какой-либо конкретизации ра</w:t>
            </w:r>
            <w:r w:rsidRPr="007A4D10">
              <w:t>з</w:t>
            </w:r>
            <w:r w:rsidRPr="007A4D10">
              <w:t>личных аспе</w:t>
            </w:r>
            <w:r w:rsidRPr="007A4D10">
              <w:t>к</w:t>
            </w:r>
            <w:r w:rsidRPr="007A4D10">
              <w:t>тов е</w:t>
            </w:r>
            <w:r w:rsidR="005E02E1">
              <w:t>е</w:t>
            </w:r>
            <w:r w:rsidRPr="007A4D10">
              <w:t xml:space="preserve"> применения;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7A4D10">
              <w:t xml:space="preserve">c) </w:t>
            </w:r>
            <w:r>
              <w:tab/>
            </w:r>
            <w:r w:rsidRPr="007A4D10">
              <w:t xml:space="preserve">Закон </w:t>
            </w:r>
            <w:proofErr w:type="spellStart"/>
            <w:r w:rsidRPr="007A4D10">
              <w:t>CLV</w:t>
            </w:r>
            <w:proofErr w:type="spellEnd"/>
            <w:r w:rsidRPr="007A4D10">
              <w:t xml:space="preserve"> от 2013 года был принят в целях оказ</w:t>
            </w:r>
            <w:r w:rsidRPr="007A4D10">
              <w:t>а</w:t>
            </w:r>
            <w:r w:rsidRPr="007A4D10">
              <w:t>ния поддержки при принятии решений лицам, чья способность к суждению является предположительно ограниченной, без введения каких-либо рестрикций и с уч</w:t>
            </w:r>
            <w:r w:rsidR="005E02E1">
              <w:t>е</w:t>
            </w:r>
            <w:r w:rsidRPr="007A4D10">
              <w:t>том принципов нео</w:t>
            </w:r>
            <w:r w:rsidRPr="007A4D10">
              <w:t>б</w:t>
            </w:r>
            <w:r w:rsidRPr="007A4D10">
              <w:t>ходимости и пропорциональности. Регулярные консультации с Национальным управлением по делам судебных органов в св</w:t>
            </w:r>
            <w:r w:rsidRPr="007A4D10">
              <w:t>я</w:t>
            </w:r>
            <w:r w:rsidRPr="007A4D10">
              <w:t>зи с этим Законом показали, что чи</w:t>
            </w:r>
            <w:r w:rsidRPr="007A4D10">
              <w:t>с</w:t>
            </w:r>
            <w:r w:rsidRPr="007A4D10">
              <w:t>ло лиц, которые не были лишены избирательных прав, увеличилось с 1 333 в 2013 году до 3 044 в мае 2015 года;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7A4D10">
              <w:t xml:space="preserve">d) </w:t>
            </w:r>
            <w:r>
              <w:tab/>
            </w:r>
            <w:r w:rsidRPr="007A4D10">
              <w:t>в октябре 2014 года Национальное управление по делам судебных органов провело обзор судебной практики, применяемой в стране в рамках принятия решений в отнош</w:t>
            </w:r>
            <w:r w:rsidRPr="007A4D10">
              <w:t>е</w:t>
            </w:r>
            <w:r w:rsidRPr="007A4D10">
              <w:t>нии способности лиц, переданных под опеку, к рассудительн</w:t>
            </w:r>
            <w:r w:rsidRPr="007A4D10">
              <w:t>о</w:t>
            </w:r>
            <w:r w:rsidRPr="007A4D10">
              <w:t>сти при осуществлении избирательных прав. Цель этого обзора состо</w:t>
            </w:r>
            <w:r w:rsidRPr="007A4D10">
              <w:t>я</w:t>
            </w:r>
            <w:r w:rsidRPr="007A4D10">
              <w:t>ла в определении процентной доли случаев, в которых лица, переданные под опеку, были лишены избирательных прав, практических аспектов, учитываемых судьями в ходе этой процедуры, и относительной строгости анализа способности к рассудительности в св</w:t>
            </w:r>
            <w:r w:rsidRPr="007A4D10">
              <w:t>я</w:t>
            </w:r>
            <w:r w:rsidRPr="007A4D10">
              <w:t>зи с осуществлением избирательных прав. С уч</w:t>
            </w:r>
            <w:r w:rsidR="005E02E1">
              <w:t>е</w:t>
            </w:r>
            <w:r w:rsidRPr="007A4D10">
              <w:t>том результатов этого обзора государство</w:t>
            </w:r>
            <w:r w:rsidR="005E02E1">
              <w:t>-</w:t>
            </w:r>
            <w:r w:rsidRPr="007A4D10">
              <w:t>учас</w:t>
            </w:r>
            <w:r w:rsidRPr="007A4D10">
              <w:t>т</w:t>
            </w:r>
            <w:r w:rsidRPr="007A4D10">
              <w:t>ник пришло к выводу о том, что в настоящее время суды уд</w:t>
            </w:r>
            <w:r w:rsidRPr="007A4D10">
              <w:t>е</w:t>
            </w:r>
            <w:r w:rsidRPr="007A4D10">
              <w:t>ляют повышенное внимание анализу способности к рассудительн</w:t>
            </w:r>
            <w:r w:rsidRPr="007A4D10">
              <w:t>о</w:t>
            </w:r>
            <w:r w:rsidRPr="007A4D10">
              <w:t>сти применительно к осуществлению избирательных прав, тр</w:t>
            </w:r>
            <w:r w:rsidRPr="007A4D10">
              <w:t>е</w:t>
            </w:r>
            <w:r w:rsidRPr="007A4D10">
              <w:t>буют представления о</w:t>
            </w:r>
            <w:r w:rsidRPr="007A4D10">
              <w:t>б</w:t>
            </w:r>
            <w:r w:rsidRPr="007A4D10">
              <w:t>ширных доказательств и более подробно изучают все обсто</w:t>
            </w:r>
            <w:r w:rsidRPr="007A4D10">
              <w:t>я</w:t>
            </w:r>
            <w:r w:rsidRPr="007A4D10">
              <w:t>тельства;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7A4D10">
              <w:t xml:space="preserve">e) </w:t>
            </w:r>
            <w:r>
              <w:tab/>
            </w:r>
            <w:r w:rsidRPr="007A4D10">
              <w:t>некоторые суды провели конференции с участием сотрудников прокуратуры, органов опеки и экспертов в целях согласования внутренней судебной практики, поощрения пр</w:t>
            </w:r>
            <w:r w:rsidRPr="007A4D10">
              <w:t>о</w:t>
            </w:r>
            <w:r w:rsidRPr="007A4D10">
              <w:t>ведения соответствующего анализа экспертами и уч</w:t>
            </w:r>
            <w:r w:rsidR="005E02E1">
              <w:t>е</w:t>
            </w:r>
            <w:r w:rsidRPr="007A4D10">
              <w:t>та их мн</w:t>
            </w:r>
            <w:r w:rsidRPr="007A4D10">
              <w:t>е</w:t>
            </w:r>
            <w:r w:rsidRPr="007A4D10">
              <w:t>ний при принятии решений в отношении передачи под опеку и осуществления и</w:t>
            </w:r>
            <w:r w:rsidRPr="007A4D10">
              <w:t>з</w:t>
            </w:r>
            <w:r w:rsidRPr="007A4D10">
              <w:t>бирательных прав;</w:t>
            </w:r>
          </w:p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proofErr w:type="gramStart"/>
            <w:r w:rsidRPr="007A4D10">
              <w:t xml:space="preserve">f) </w:t>
            </w:r>
            <w:r>
              <w:tab/>
            </w:r>
            <w:r w:rsidRPr="007A4D10">
              <w:t>разработан план действий, который предусматр</w:t>
            </w:r>
            <w:r w:rsidRPr="007A4D10">
              <w:t>и</w:t>
            </w:r>
            <w:r w:rsidRPr="007A4D10">
              <w:t>вает пров</w:t>
            </w:r>
            <w:r w:rsidRPr="007A4D10">
              <w:t>е</w:t>
            </w:r>
            <w:r w:rsidRPr="007A4D10">
              <w:t xml:space="preserve">дение обзора практики судебных органов и органов опеки в том, что касается использования </w:t>
            </w:r>
            <w:proofErr w:type="spellStart"/>
            <w:r w:rsidRPr="007A4D10">
              <w:t>суппортивной</w:t>
            </w:r>
            <w:proofErr w:type="spellEnd"/>
            <w:r w:rsidRPr="007A4D10">
              <w:t xml:space="preserve"> модели принятия решений, и реализацию с уч</w:t>
            </w:r>
            <w:r w:rsidR="005E02E1">
              <w:t>е</w:t>
            </w:r>
            <w:r w:rsidRPr="007A4D10">
              <w:t>том его итогов пр</w:t>
            </w:r>
            <w:r w:rsidRPr="007A4D10">
              <w:t>о</w:t>
            </w:r>
            <w:r w:rsidRPr="007A4D10">
              <w:t>грамм подготовки для судей, судмедэкспертов, сотрудников органов опеки, социальных и медицинских работников, а также сотру</w:t>
            </w:r>
            <w:r w:rsidRPr="007A4D10">
              <w:t>д</w:t>
            </w:r>
            <w:r w:rsidRPr="007A4D10">
              <w:t>ников органов, занимающихся вопросами защиты детей и передачи их под опеку.</w:t>
            </w:r>
            <w:proofErr w:type="gramEnd"/>
            <w:r w:rsidRPr="007A4D10">
              <w:t xml:space="preserve"> Соответствующее решение будет пр</w:t>
            </w:r>
            <w:r w:rsidRPr="007A4D10">
              <w:t>и</w:t>
            </w:r>
            <w:r w:rsidRPr="007A4D10">
              <w:t>нято в ближайшем буд</w:t>
            </w:r>
            <w:r w:rsidRPr="007A4D10">
              <w:t>у</w:t>
            </w:r>
            <w:r w:rsidRPr="007A4D10">
              <w:t>щем.</w:t>
            </w:r>
          </w:p>
        </w:tc>
      </w:tr>
      <w:tr w:rsidR="007A4D10" w:rsidRPr="007A4D10" w:rsidTr="00EC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nil"/>
            </w:tcBorders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lastRenderedPageBreak/>
              <w:t>Решение, принятое на двенадцатой сессии:</w:t>
            </w:r>
          </w:p>
        </w:tc>
        <w:tc>
          <w:tcPr>
            <w:tcW w:w="5920" w:type="dxa"/>
            <w:tcBorders>
              <w:top w:val="nil"/>
              <w:bottom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Продолжить осуществление последующих мер. Госуда</w:t>
            </w:r>
            <w:r w:rsidRPr="007A4D10">
              <w:t>р</w:t>
            </w:r>
            <w:r w:rsidRPr="007A4D10">
              <w:t>ству-участнику будет направлено соответствующее пис</w:t>
            </w:r>
            <w:r w:rsidRPr="007A4D10">
              <w:t>ь</w:t>
            </w:r>
            <w:r w:rsidRPr="007A4D10">
              <w:t>мо.</w:t>
            </w:r>
          </w:p>
        </w:tc>
      </w:tr>
      <w:tr w:rsidR="007A4D10" w:rsidRPr="007A4D10" w:rsidTr="00EC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nil"/>
            </w:tcBorders>
            <w:vAlign w:val="top"/>
          </w:tcPr>
          <w:p w:rsidR="007A4D10" w:rsidRPr="007A4D10" w:rsidRDefault="007A4D10" w:rsidP="007A4D10">
            <w:pPr>
              <w:suppressAutoHyphens/>
              <w:spacing w:before="60" w:after="60"/>
            </w:pPr>
            <w:r w:rsidRPr="007A4D10">
              <w:t>Принятые меры:</w:t>
            </w:r>
          </w:p>
        </w:tc>
        <w:tc>
          <w:tcPr>
            <w:tcW w:w="5920" w:type="dxa"/>
            <w:tcBorders>
              <w:top w:val="nil"/>
              <w:bottom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14 июня 2016 года: государству-участнику направлено письмо Специального докладчика по последующей деятельности в связи с Соображениями Комитета, в котором он:</w:t>
            </w:r>
          </w:p>
          <w:p w:rsidR="007A4D10" w:rsidRPr="007A4D10" w:rsidRDefault="00EC5E81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7A4D10">
              <w:t xml:space="preserve">a) </w:t>
            </w:r>
            <w:r>
              <w:tab/>
            </w:r>
            <w:r w:rsidR="007A4D10" w:rsidRPr="007A4D10">
              <w:t>приветствовал выплату компенсации автору (оце</w:t>
            </w:r>
            <w:r w:rsidR="007A4D10" w:rsidRPr="007A4D10">
              <w:t>н</w:t>
            </w:r>
            <w:r w:rsidR="007A4D10" w:rsidRPr="007A4D10">
              <w:t>ка "А");</w:t>
            </w:r>
            <w:r>
              <w:br/>
            </w:r>
          </w:p>
          <w:p w:rsidR="007A4D10" w:rsidRPr="007A4D10" w:rsidRDefault="00EC5E81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ab/>
            </w:r>
            <w:proofErr w:type="gramStart"/>
            <w:r w:rsidR="007A4D10" w:rsidRPr="007A4D10">
              <w:t xml:space="preserve">b) </w:t>
            </w:r>
            <w:r>
              <w:tab/>
            </w:r>
            <w:r w:rsidR="007A4D10" w:rsidRPr="007A4D10">
              <w:t>просил представить обновл</w:t>
            </w:r>
            <w:r w:rsidR="005E02E1">
              <w:t>е</w:t>
            </w:r>
            <w:r w:rsidR="007A4D10" w:rsidRPr="007A4D10">
              <w:t>нную информацию об осуществлении Соображений Комитета и альтернативных пр</w:t>
            </w:r>
            <w:r w:rsidR="007A4D10" w:rsidRPr="007A4D10">
              <w:t>а</w:t>
            </w:r>
            <w:r w:rsidR="007A4D10" w:rsidRPr="007A4D10">
              <w:t>вовых инструментах для совершеннолетних лиц, которым як</w:t>
            </w:r>
            <w:r w:rsidR="007A4D10" w:rsidRPr="007A4D10">
              <w:t>о</w:t>
            </w:r>
            <w:r w:rsidR="007A4D10" w:rsidRPr="007A4D10">
              <w:t>бы затруднительно принимать самостоятельные решения, м</w:t>
            </w:r>
            <w:r w:rsidR="007A4D10" w:rsidRPr="007A4D10">
              <w:t>е</w:t>
            </w:r>
            <w:r w:rsidR="007A4D10" w:rsidRPr="007A4D10">
              <w:t>рах, принятых для выполнения Закона, касающегося оказания помощи всем инвалидам в рамках проведения голосований, выводе Наци</w:t>
            </w:r>
            <w:r w:rsidR="007A4D10" w:rsidRPr="007A4D10">
              <w:t>о</w:t>
            </w:r>
            <w:r w:rsidR="007A4D10" w:rsidRPr="007A4D10">
              <w:t>нального управления по делам судебных органов в отношении увеличения чи</w:t>
            </w:r>
            <w:r w:rsidR="007A4D10" w:rsidRPr="007A4D10">
              <w:t>с</w:t>
            </w:r>
            <w:r w:rsidR="007A4D10" w:rsidRPr="007A4D10">
              <w:t>ла лиц, которые не были лишены избирательных прав, и динамике показателя удельного веса переданных</w:t>
            </w:r>
            <w:proofErr w:type="gramEnd"/>
            <w:r w:rsidR="007A4D10" w:rsidRPr="007A4D10">
              <w:t xml:space="preserve"> под опеку лиц, которые были лишены избирател</w:t>
            </w:r>
            <w:r w:rsidR="007A4D10" w:rsidRPr="007A4D10">
              <w:t>ь</w:t>
            </w:r>
            <w:r w:rsidR="007A4D10" w:rsidRPr="007A4D10">
              <w:t>ных прав по ит</w:t>
            </w:r>
            <w:r w:rsidR="007A4D10" w:rsidRPr="007A4D10">
              <w:t>о</w:t>
            </w:r>
            <w:r w:rsidR="007A4D10" w:rsidRPr="007A4D10">
              <w:t>гам оценки их дееспособности, и процентной доле случаев, когда в результате передачи под опеку соотве</w:t>
            </w:r>
            <w:r w:rsidR="007A4D10" w:rsidRPr="007A4D10">
              <w:t>т</w:t>
            </w:r>
            <w:r w:rsidR="007A4D10" w:rsidRPr="007A4D10">
              <w:t>ствующие лица лишались права голоса;</w:t>
            </w:r>
          </w:p>
          <w:p w:rsidR="007A4D10" w:rsidRPr="007A4D10" w:rsidRDefault="00EC5E81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7A4D10">
              <w:t xml:space="preserve">c) </w:t>
            </w:r>
            <w:r>
              <w:tab/>
            </w:r>
            <w:r w:rsidR="007A4D10" w:rsidRPr="007A4D10">
              <w:t>настоятельно рекомендовал обеспечить соотве</w:t>
            </w:r>
            <w:r w:rsidR="007A4D10" w:rsidRPr="007A4D10">
              <w:t>т</w:t>
            </w:r>
            <w:r w:rsidR="007A4D10" w:rsidRPr="007A4D10">
              <w:t>ствие альте</w:t>
            </w:r>
            <w:r w:rsidR="007A4D10" w:rsidRPr="007A4D10">
              <w:t>р</w:t>
            </w:r>
            <w:r w:rsidR="007A4D10" w:rsidRPr="007A4D10">
              <w:t>нативных правовых инструментов положениям пункта 10 b) 2) Соображений Комитета (признание без какой-либо "оценки правоспособности" права голосовать всех инв</w:t>
            </w:r>
            <w:r w:rsidR="007A4D10" w:rsidRPr="007A4D10">
              <w:t>а</w:t>
            </w:r>
            <w:r w:rsidR="007A4D10" w:rsidRPr="007A4D10">
              <w:t>лидов) и рассмотреть вопрос об отмене закон</w:t>
            </w:r>
            <w:r w:rsidR="007A4D10" w:rsidRPr="007A4D10">
              <w:t>о</w:t>
            </w:r>
            <w:r w:rsidR="007A4D10" w:rsidRPr="007A4D10">
              <w:t>дательства, в соответствии с которым суды обязаны выносить решение о способности лиц, переданных под опеку, к рассудительности при осуществлении избирательных прав.</w:t>
            </w:r>
          </w:p>
        </w:tc>
      </w:tr>
      <w:tr w:rsidR="007A4D10" w:rsidRPr="007A4D10" w:rsidTr="00EC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nil"/>
            </w:tcBorders>
            <w:vAlign w:val="top"/>
          </w:tcPr>
          <w:p w:rsidR="007A4D10" w:rsidRPr="007A4D10" w:rsidRDefault="007A4D10" w:rsidP="005E02E1">
            <w:pPr>
              <w:suppressAutoHyphens/>
              <w:spacing w:before="60" w:after="60"/>
            </w:pPr>
            <w:r w:rsidRPr="007A4D10">
              <w:lastRenderedPageBreak/>
              <w:t>Четвертый ответ государства-участника</w:t>
            </w:r>
          </w:p>
        </w:tc>
        <w:tc>
          <w:tcPr>
            <w:tcW w:w="5920" w:type="dxa"/>
            <w:tcBorders>
              <w:top w:val="nil"/>
              <w:bottom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7A4D10">
              <w:t>Получен</w:t>
            </w:r>
            <w:proofErr w:type="gramEnd"/>
            <w:r w:rsidRPr="007A4D10">
              <w:t xml:space="preserve"> 12 августа 2016 года; в нем сообщается что:</w:t>
            </w:r>
          </w:p>
          <w:p w:rsidR="007A4D10" w:rsidRPr="007A4D10" w:rsidRDefault="00EC5E81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7A4D10">
              <w:t xml:space="preserve">a) </w:t>
            </w:r>
            <w:r>
              <w:tab/>
            </w:r>
            <w:r w:rsidR="007A4D10" w:rsidRPr="007A4D10">
              <w:t xml:space="preserve">применение </w:t>
            </w:r>
            <w:proofErr w:type="spellStart"/>
            <w:r w:rsidR="007A4D10" w:rsidRPr="007A4D10">
              <w:t>суппортивной</w:t>
            </w:r>
            <w:proofErr w:type="spellEnd"/>
            <w:r w:rsidR="007A4D10" w:rsidRPr="007A4D10">
              <w:t xml:space="preserve"> модели принятия реш</w:t>
            </w:r>
            <w:r w:rsidR="007A4D10" w:rsidRPr="007A4D10">
              <w:t>е</w:t>
            </w:r>
            <w:r w:rsidR="007A4D10" w:rsidRPr="007A4D10">
              <w:t>ний стало возможно после вступления в силу принятого в 2013</w:t>
            </w:r>
            <w:r>
              <w:t> </w:t>
            </w:r>
            <w:r w:rsidR="007A4D10" w:rsidRPr="007A4D10">
              <w:t>году Закона V о Гражданском кодексе, который обеспеч</w:t>
            </w:r>
            <w:r w:rsidR="007A4D10" w:rsidRPr="007A4D10">
              <w:t>и</w:t>
            </w:r>
            <w:r w:rsidR="007A4D10" w:rsidRPr="007A4D10">
              <w:t>вает возможность использования такой модели и предусматр</w:t>
            </w:r>
            <w:r w:rsidR="007A4D10" w:rsidRPr="007A4D10">
              <w:t>и</w:t>
            </w:r>
            <w:r w:rsidR="007A4D10" w:rsidRPr="007A4D10">
              <w:t>вает оказание индивидуальной помощи любому лицу без огр</w:t>
            </w:r>
            <w:r w:rsidR="007A4D10" w:rsidRPr="007A4D10">
              <w:t>а</w:t>
            </w:r>
            <w:r w:rsidR="007A4D10" w:rsidRPr="007A4D10">
              <w:t xml:space="preserve">ничения его право- и дееспособности. </w:t>
            </w:r>
            <w:proofErr w:type="gramStart"/>
            <w:r w:rsidR="007A4D10" w:rsidRPr="007A4D10">
              <w:t>Лицо, оказывающее поддержку, может помогать соответству</w:t>
            </w:r>
            <w:r w:rsidR="007A4D10" w:rsidRPr="007A4D10">
              <w:t>ю</w:t>
            </w:r>
            <w:r w:rsidR="007A4D10" w:rsidRPr="007A4D10">
              <w:t>щему лицу принимать решения, не ограничивая его право- и дееспособности, при этом последнее может делать имеющие законную силу заявл</w:t>
            </w:r>
            <w:r w:rsidR="007A4D10" w:rsidRPr="007A4D10">
              <w:t>е</w:t>
            </w:r>
            <w:r w:rsidR="007A4D10" w:rsidRPr="007A4D10">
              <w:t>ния;</w:t>
            </w:r>
            <w:proofErr w:type="gramEnd"/>
          </w:p>
          <w:p w:rsidR="007A4D10" w:rsidRPr="007A4D10" w:rsidRDefault="00EC5E81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7A4D10">
              <w:t xml:space="preserve">b) </w:t>
            </w:r>
            <w:r>
              <w:tab/>
            </w:r>
            <w:r w:rsidR="007A4D10" w:rsidRPr="007A4D10">
              <w:t xml:space="preserve">в части права голосовать статья </w:t>
            </w:r>
            <w:proofErr w:type="spellStart"/>
            <w:r w:rsidR="007A4D10" w:rsidRPr="007A4D10">
              <w:t>XXXVI</w:t>
            </w:r>
            <w:proofErr w:type="spellEnd"/>
            <w:r w:rsidR="007A4D10" w:rsidRPr="007A4D10">
              <w:t xml:space="preserve"> Констит</w:t>
            </w:r>
            <w:r w:rsidR="007A4D10" w:rsidRPr="007A4D10">
              <w:t>у</w:t>
            </w:r>
            <w:r w:rsidR="007A4D10" w:rsidRPr="007A4D10">
              <w:t>ции устанавливает, что суды принимают решения в отношении того</w:t>
            </w:r>
            <w:r w:rsidR="005E02E1">
              <w:t>,</w:t>
            </w:r>
            <w:r w:rsidR="007A4D10" w:rsidRPr="007A4D10">
              <w:t xml:space="preserve"> лишать или не лишать избирательных прав лиц, переда</w:t>
            </w:r>
            <w:r w:rsidR="007A4D10" w:rsidRPr="007A4D10">
              <w:t>н</w:t>
            </w:r>
            <w:r w:rsidR="007A4D10" w:rsidRPr="007A4D10">
              <w:t>ных под опеку с ограничением или лишением их правоспосо</w:t>
            </w:r>
            <w:r w:rsidR="007A4D10" w:rsidRPr="007A4D10">
              <w:t>б</w:t>
            </w:r>
            <w:r w:rsidR="007A4D10" w:rsidRPr="007A4D10">
              <w:t>ности. Если суд не лишает совершеннолетнее лицо избирател</w:t>
            </w:r>
            <w:r w:rsidR="007A4D10" w:rsidRPr="007A4D10">
              <w:t>ь</w:t>
            </w:r>
            <w:r w:rsidR="007A4D10" w:rsidRPr="007A4D10">
              <w:t>ных прав, то оно может голосовать и выдвигать свою кандид</w:t>
            </w:r>
            <w:r w:rsidR="007A4D10" w:rsidRPr="007A4D10">
              <w:t>а</w:t>
            </w:r>
            <w:r w:rsidR="007A4D10" w:rsidRPr="007A4D10">
              <w:t>туру на выборах. Государство</w:t>
            </w:r>
            <w:r w:rsidR="005E02E1">
              <w:t>-</w:t>
            </w:r>
            <w:r w:rsidR="007A4D10" w:rsidRPr="007A4D10">
              <w:t>участник в настоящее время не планирует изменять или отменять эти недвусмысленные пол</w:t>
            </w:r>
            <w:r w:rsidR="007A4D10" w:rsidRPr="007A4D10">
              <w:t>о</w:t>
            </w:r>
            <w:r w:rsidR="007A4D10" w:rsidRPr="007A4D10">
              <w:t>жения Конституции. Однако Совместная межведомственная комиссия по вопросам инвалидности, которая отвечает за коо</w:t>
            </w:r>
            <w:r w:rsidR="007A4D10" w:rsidRPr="007A4D10">
              <w:t>р</w:t>
            </w:r>
            <w:r w:rsidR="007A4D10" w:rsidRPr="007A4D10">
              <w:t>динацию осуществления Национальн</w:t>
            </w:r>
            <w:r w:rsidR="005E02E1">
              <w:t>ой</w:t>
            </w:r>
            <w:r w:rsidR="007A4D10" w:rsidRPr="007A4D10">
              <w:t xml:space="preserve"> программы поддержки инвалидов, учредила рабочую группу в целях анализа прав</w:t>
            </w:r>
            <w:r w:rsidR="007A4D10" w:rsidRPr="007A4D10">
              <w:t>о</w:t>
            </w:r>
            <w:r w:rsidR="007A4D10" w:rsidRPr="007A4D10">
              <w:t>вых институтов "</w:t>
            </w:r>
            <w:proofErr w:type="spellStart"/>
            <w:r w:rsidR="007A4D10" w:rsidRPr="007A4D10">
              <w:t>суппортивный</w:t>
            </w:r>
            <w:proofErr w:type="spellEnd"/>
            <w:r w:rsidR="007A4D10" w:rsidRPr="007A4D10">
              <w:t xml:space="preserve"> режим принятия решений" и избирательные пр</w:t>
            </w:r>
            <w:r w:rsidR="007A4D10" w:rsidRPr="007A4D10">
              <w:t>а</w:t>
            </w:r>
            <w:r w:rsidR="007A4D10" w:rsidRPr="007A4D10">
              <w:t>ва инвалидов. В состав этой рабочей группы входят эксперты из министерства юстиции, министерства лю</w:t>
            </w:r>
            <w:r w:rsidR="007A4D10" w:rsidRPr="007A4D10">
              <w:t>д</w:t>
            </w:r>
            <w:r w:rsidR="007A4D10" w:rsidRPr="007A4D10">
              <w:t>ских ресурсов и Нац</w:t>
            </w:r>
            <w:r w:rsidR="007A4D10" w:rsidRPr="007A4D10">
              <w:t>и</w:t>
            </w:r>
            <w:r w:rsidR="007A4D10" w:rsidRPr="007A4D10">
              <w:t>онального управления по делам судебных органов, а также Комиссар по основополагающим правам. Е</w:t>
            </w:r>
            <w:r w:rsidR="005E02E1">
              <w:t>е </w:t>
            </w:r>
            <w:r w:rsidR="007A4D10" w:rsidRPr="007A4D10">
              <w:t>основная цель состоит в анализе правил и норм прецеден</w:t>
            </w:r>
            <w:r w:rsidR="007A4D10" w:rsidRPr="007A4D10">
              <w:t>т</w:t>
            </w:r>
            <w:r w:rsidR="007A4D10" w:rsidRPr="007A4D10">
              <w:t>ного права, используемых при ограничении избирательных прав. Первое обсуждения б</w:t>
            </w:r>
            <w:r w:rsidR="007A4D10" w:rsidRPr="007A4D10">
              <w:t>ы</w:t>
            </w:r>
            <w:r w:rsidR="007A4D10" w:rsidRPr="007A4D10">
              <w:t>ло проведено в августе 2016 года;</w:t>
            </w:r>
          </w:p>
          <w:p w:rsidR="007A4D10" w:rsidRPr="007A4D10" w:rsidRDefault="00EC5E81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ab/>
            </w:r>
            <w:r w:rsidR="007A4D10" w:rsidRPr="007A4D10">
              <w:t xml:space="preserve">c) </w:t>
            </w:r>
            <w:r>
              <w:tab/>
            </w:r>
            <w:r w:rsidR="007A4D10" w:rsidRPr="007A4D10">
              <w:t>меры по предоставлению компенсации авторам нах</w:t>
            </w:r>
            <w:r w:rsidR="007A4D10" w:rsidRPr="007A4D10">
              <w:t>о</w:t>
            </w:r>
            <w:r w:rsidR="007A4D10" w:rsidRPr="007A4D10">
              <w:t>дятся в процессе осуществления.</w:t>
            </w:r>
          </w:p>
        </w:tc>
      </w:tr>
      <w:tr w:rsidR="007A4D10" w:rsidRPr="007A4D10" w:rsidTr="00EC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</w:pPr>
            <w:r w:rsidRPr="007A4D10">
              <w:lastRenderedPageBreak/>
              <w:t>Принятые меры:</w:t>
            </w:r>
          </w:p>
        </w:tc>
        <w:tc>
          <w:tcPr>
            <w:tcW w:w="5920" w:type="dxa"/>
            <w:tcBorders>
              <w:top w:val="nil"/>
              <w:bottom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16 августа 2016 года: ответ государства-участника о послед</w:t>
            </w:r>
            <w:r w:rsidRPr="007A4D10">
              <w:t>у</w:t>
            </w:r>
            <w:r w:rsidRPr="007A4D10">
              <w:t>ющих мерах препровожден авторам для представления замеч</w:t>
            </w:r>
            <w:r w:rsidRPr="007A4D10">
              <w:t>а</w:t>
            </w:r>
            <w:r w:rsidRPr="007A4D10">
              <w:t xml:space="preserve">ний; предельный срок представления замечаний </w:t>
            </w:r>
            <w:r w:rsidR="000E5E55">
              <w:t>–</w:t>
            </w:r>
            <w:r w:rsidRPr="007A4D10">
              <w:t xml:space="preserve"> 28 октября 2016 года.</w:t>
            </w:r>
          </w:p>
        </w:tc>
      </w:tr>
      <w:tr w:rsidR="007A4D10" w:rsidRPr="007A4D10" w:rsidTr="00EC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nil"/>
            </w:tcBorders>
            <w:vAlign w:val="top"/>
          </w:tcPr>
          <w:p w:rsidR="007A4D10" w:rsidRPr="007A4D10" w:rsidRDefault="007A4D10" w:rsidP="005E02E1">
            <w:pPr>
              <w:suppressAutoHyphens/>
              <w:spacing w:before="60" w:after="60"/>
            </w:pPr>
            <w:r w:rsidRPr="007A4D10">
              <w:t>Замечания авторов в отношении ответа государства-участника</w:t>
            </w:r>
          </w:p>
        </w:tc>
        <w:tc>
          <w:tcPr>
            <w:tcW w:w="5920" w:type="dxa"/>
            <w:tcBorders>
              <w:top w:val="nil"/>
              <w:bottom w:val="nil"/>
            </w:tcBorders>
            <w:vAlign w:val="top"/>
          </w:tcPr>
          <w:p w:rsidR="007A4D10" w:rsidRPr="007A4D10" w:rsidRDefault="007A4D10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17 августа 2016 года: получены замечания авторов в отнош</w:t>
            </w:r>
            <w:r w:rsidRPr="007A4D10">
              <w:t>е</w:t>
            </w:r>
            <w:r w:rsidRPr="007A4D10">
              <w:t>нии ответа государства-участника; в них сообщается что:</w:t>
            </w:r>
          </w:p>
          <w:p w:rsidR="007A4D10" w:rsidRPr="007A4D10" w:rsidRDefault="00EC5E81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7A4D10">
              <w:t xml:space="preserve">a) </w:t>
            </w:r>
            <w:r>
              <w:tab/>
            </w:r>
            <w:r w:rsidR="007A4D10" w:rsidRPr="007A4D10">
              <w:t>в том</w:t>
            </w:r>
            <w:r w:rsidR="005E02E1">
              <w:t>,</w:t>
            </w:r>
            <w:r w:rsidR="007A4D10" w:rsidRPr="007A4D10">
              <w:t xml:space="preserve"> что касается </w:t>
            </w:r>
            <w:proofErr w:type="spellStart"/>
            <w:r w:rsidR="007A4D10" w:rsidRPr="007A4D10">
              <w:t>суппортивной</w:t>
            </w:r>
            <w:proofErr w:type="spellEnd"/>
            <w:r w:rsidR="007A4D10" w:rsidRPr="007A4D10">
              <w:t xml:space="preserve"> модели принятия решений, то авторы приветствуют принятие Закона 2013 г</w:t>
            </w:r>
            <w:r w:rsidR="007A4D10" w:rsidRPr="007A4D10">
              <w:t>о</w:t>
            </w:r>
            <w:r w:rsidR="007A4D10" w:rsidRPr="007A4D10">
              <w:t>да. Однако они считают, что Гражданский кодекс 2009 года, кот</w:t>
            </w:r>
            <w:r w:rsidR="007A4D10" w:rsidRPr="007A4D10">
              <w:t>о</w:t>
            </w:r>
            <w:r w:rsidR="007A4D10" w:rsidRPr="007A4D10">
              <w:t>рый так и не вступил в силу по причине его отмены правител</w:t>
            </w:r>
            <w:r w:rsidR="007A4D10" w:rsidRPr="007A4D10">
              <w:t>ь</w:t>
            </w:r>
            <w:r w:rsidR="007A4D10" w:rsidRPr="007A4D10">
              <w:t xml:space="preserve">ством в 2010 году, предусматривал более широкое применение </w:t>
            </w:r>
            <w:proofErr w:type="spellStart"/>
            <w:r w:rsidR="007A4D10" w:rsidRPr="007A4D10">
              <w:t>суппортивной</w:t>
            </w:r>
            <w:proofErr w:type="spellEnd"/>
            <w:r w:rsidR="007A4D10" w:rsidRPr="007A4D10">
              <w:t xml:space="preserve"> модели принятия р</w:t>
            </w:r>
            <w:r w:rsidR="007A4D10" w:rsidRPr="007A4D10">
              <w:t>е</w:t>
            </w:r>
            <w:r w:rsidR="007A4D10" w:rsidRPr="007A4D10">
              <w:t>шений;</w:t>
            </w:r>
          </w:p>
          <w:p w:rsidR="007A4D10" w:rsidRPr="007A4D10" w:rsidRDefault="00EC5E81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7A4D10">
              <w:t xml:space="preserve">b) </w:t>
            </w:r>
            <w:r>
              <w:tab/>
            </w:r>
            <w:r w:rsidR="007A4D10" w:rsidRPr="007A4D10">
              <w:t>в том</w:t>
            </w:r>
            <w:r w:rsidR="005E02E1">
              <w:t>,</w:t>
            </w:r>
            <w:r w:rsidR="007A4D10" w:rsidRPr="007A4D10">
              <w:t xml:space="preserve"> что касается права голосовать, то, по их мнению, з</w:t>
            </w:r>
            <w:r w:rsidR="007A4D10" w:rsidRPr="007A4D10">
              <w:t>а</w:t>
            </w:r>
            <w:r w:rsidR="007A4D10" w:rsidRPr="007A4D10">
              <w:t>явление правительства, в соответствии с которым оно не будет изменять или отменять соответствующие полож</w:t>
            </w:r>
            <w:r w:rsidR="007A4D10" w:rsidRPr="007A4D10">
              <w:t>е</w:t>
            </w:r>
            <w:r w:rsidR="007A4D10" w:rsidRPr="007A4D10">
              <w:t>ния Конституции, представляет собой явный отказ выполнять Соображения Комитета. Авторы согласны с тем, что констит</w:t>
            </w:r>
            <w:r w:rsidR="007A4D10" w:rsidRPr="007A4D10">
              <w:t>у</w:t>
            </w:r>
            <w:r w:rsidR="007A4D10" w:rsidRPr="007A4D10">
              <w:t>ционные рамки не являются двусмысленными, но считают, что они весьма двусмыслен</w:t>
            </w:r>
            <w:r>
              <w:t>н</w:t>
            </w:r>
            <w:r w:rsidR="007A4D10" w:rsidRPr="007A4D10">
              <w:t>ы в том, что касается причин, по кот</w:t>
            </w:r>
            <w:r w:rsidR="007A4D10" w:rsidRPr="007A4D10">
              <w:t>о</w:t>
            </w:r>
            <w:r w:rsidR="007A4D10" w:rsidRPr="007A4D10">
              <w:t xml:space="preserve">рым может быть ограничено </w:t>
            </w:r>
            <w:proofErr w:type="gramStart"/>
            <w:r w:rsidR="007A4D10" w:rsidRPr="007A4D10">
              <w:t>право</w:t>
            </w:r>
            <w:proofErr w:type="gramEnd"/>
            <w:r w:rsidR="007A4D10" w:rsidRPr="007A4D10">
              <w:t xml:space="preserve"> голос</w:t>
            </w:r>
            <w:r w:rsidR="007A4D10" w:rsidRPr="007A4D10">
              <w:t>о</w:t>
            </w:r>
            <w:r w:rsidR="007A4D10" w:rsidRPr="007A4D10">
              <w:t xml:space="preserve">вать </w:t>
            </w:r>
            <w:proofErr w:type="gramStart"/>
            <w:r w:rsidR="007A4D10" w:rsidRPr="007A4D10">
              <w:t>какого</w:t>
            </w:r>
            <w:proofErr w:type="gramEnd"/>
            <w:r w:rsidR="007A4D10" w:rsidRPr="007A4D10">
              <w:t xml:space="preserve"> бы то ни было лица. Нет никакого протокола психиатрической или иной судмедэкспертизы, который бы устанавливал</w:t>
            </w:r>
            <w:r w:rsidR="005E02E1">
              <w:t>,</w:t>
            </w:r>
            <w:r w:rsidR="007A4D10" w:rsidRPr="007A4D10">
              <w:t xml:space="preserve"> что именно должны освидетельствовать судмедэксперты, когда им задается вопрос о том, сп</w:t>
            </w:r>
            <w:r w:rsidR="007A4D10" w:rsidRPr="007A4D10">
              <w:t>о</w:t>
            </w:r>
            <w:r w:rsidR="007A4D10" w:rsidRPr="007A4D10">
              <w:t>собно ли голосовать то или иное лицо;</w:t>
            </w:r>
          </w:p>
          <w:p w:rsidR="007A4D10" w:rsidRPr="007A4D10" w:rsidRDefault="00EC5E81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7A4D10">
              <w:t xml:space="preserve">c) </w:t>
            </w:r>
            <w:r>
              <w:tab/>
            </w:r>
            <w:r w:rsidR="007A4D10" w:rsidRPr="007A4D10">
              <w:t>авторы сожалеют о том, что представители гра</w:t>
            </w:r>
            <w:r w:rsidR="007A4D10" w:rsidRPr="007A4D10">
              <w:t>ж</w:t>
            </w:r>
            <w:r w:rsidR="007A4D10" w:rsidRPr="007A4D10">
              <w:t>данского о</w:t>
            </w:r>
            <w:r w:rsidR="007A4D10" w:rsidRPr="007A4D10">
              <w:t>б</w:t>
            </w:r>
            <w:r w:rsidR="007A4D10" w:rsidRPr="007A4D10">
              <w:t>щества не были приглашены для участия в рабочей группе Совместной межведомственной комиссии по вопросам инв</w:t>
            </w:r>
            <w:r w:rsidR="007A4D10" w:rsidRPr="007A4D10">
              <w:t>а</w:t>
            </w:r>
            <w:r w:rsidR="007A4D10" w:rsidRPr="007A4D10">
              <w:t>лидности, что подрывает правомерность е</w:t>
            </w:r>
            <w:r w:rsidR="005E02E1">
              <w:t>е</w:t>
            </w:r>
            <w:r w:rsidR="007A4D10" w:rsidRPr="007A4D10">
              <w:t xml:space="preserve"> деятельности;</w:t>
            </w:r>
          </w:p>
          <w:p w:rsidR="007A4D10" w:rsidRPr="007A4D10" w:rsidRDefault="00EC5E81" w:rsidP="007A4D10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7A4D10">
              <w:t xml:space="preserve">d) </w:t>
            </w:r>
            <w:r>
              <w:tab/>
            </w:r>
            <w:r w:rsidR="007A4D10" w:rsidRPr="007A4D10">
              <w:t>в том</w:t>
            </w:r>
            <w:r w:rsidR="005E02E1">
              <w:t>,</w:t>
            </w:r>
            <w:r w:rsidR="007A4D10" w:rsidRPr="007A4D10">
              <w:t xml:space="preserve"> что касается выплаты компенсации, то с</w:t>
            </w:r>
            <w:r w:rsidR="007A4D10" w:rsidRPr="007A4D10">
              <w:t>у</w:t>
            </w:r>
            <w:r w:rsidR="007A4D10" w:rsidRPr="007A4D10">
              <w:t>дебные издержки, присужд</w:t>
            </w:r>
            <w:r w:rsidR="005E02E1">
              <w:t>е</w:t>
            </w:r>
            <w:r w:rsidR="007A4D10" w:rsidRPr="007A4D10">
              <w:t>нные на основании правител</w:t>
            </w:r>
            <w:r w:rsidR="007A4D10" w:rsidRPr="007A4D10">
              <w:t>ь</w:t>
            </w:r>
            <w:r w:rsidR="007A4D10" w:rsidRPr="007A4D10">
              <w:t>ственного указа в июне 2015 года, не были покрыты в полном объ</w:t>
            </w:r>
            <w:r w:rsidR="005E02E1">
              <w:t>е</w:t>
            </w:r>
            <w:r w:rsidR="007A4D10" w:rsidRPr="007A4D10">
              <w:t>ме;</w:t>
            </w:r>
          </w:p>
          <w:p w:rsidR="007A4D10" w:rsidRPr="007A4D10" w:rsidRDefault="00EC5E81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7A4D10">
              <w:t xml:space="preserve">e) </w:t>
            </w:r>
            <w:r>
              <w:tab/>
            </w:r>
            <w:r w:rsidR="007A4D10" w:rsidRPr="007A4D10">
              <w:t>в том</w:t>
            </w:r>
            <w:r w:rsidR="005E02E1">
              <w:t>,</w:t>
            </w:r>
            <w:r w:rsidR="007A4D10" w:rsidRPr="007A4D10">
              <w:t xml:space="preserve"> что касается оставшейся суммы компенс</w:t>
            </w:r>
            <w:r w:rsidR="007A4D10" w:rsidRPr="007A4D10">
              <w:t>а</w:t>
            </w:r>
            <w:r w:rsidR="007A4D10" w:rsidRPr="007A4D10">
              <w:t>ции, то при е</w:t>
            </w:r>
            <w:r w:rsidR="005E02E1">
              <w:t>е</w:t>
            </w:r>
            <w:r w:rsidR="007A4D10" w:rsidRPr="007A4D10">
              <w:t xml:space="preserve"> выплате имели место значительные задержки. Авторы до сих пор не получили суммы, установленной в ук</w:t>
            </w:r>
            <w:r w:rsidR="007A4D10" w:rsidRPr="007A4D10">
              <w:t>а</w:t>
            </w:r>
            <w:r w:rsidR="007A4D10" w:rsidRPr="007A4D10">
              <w:t>зе 2015 года, что, по их мнению, является следствием их нахо</w:t>
            </w:r>
            <w:r w:rsidR="007A4D10" w:rsidRPr="007A4D10">
              <w:t>ж</w:t>
            </w:r>
            <w:r w:rsidR="007A4D10" w:rsidRPr="007A4D10">
              <w:t xml:space="preserve">дения под опекой. Министерство людских ресурсов приняло решение о том, что оно признает их законного представителя лишь в случае процедуры Комитета. Для целей внутренней </w:t>
            </w:r>
            <w:proofErr w:type="spellStart"/>
            <w:r w:rsidR="007A4D10" w:rsidRPr="007A4D10">
              <w:t>и</w:t>
            </w:r>
            <w:r w:rsidR="007A4D10" w:rsidRPr="007A4D10">
              <w:t>м</w:t>
            </w:r>
            <w:r w:rsidR="007A4D10" w:rsidRPr="007A4D10">
              <w:t>плементационной</w:t>
            </w:r>
            <w:proofErr w:type="spellEnd"/>
            <w:r w:rsidR="007A4D10" w:rsidRPr="007A4D10">
              <w:t xml:space="preserve"> процедуры они не были представлены сво</w:t>
            </w:r>
            <w:r w:rsidR="007A4D10" w:rsidRPr="007A4D10">
              <w:t>и</w:t>
            </w:r>
            <w:r w:rsidR="007A4D10" w:rsidRPr="007A4D10">
              <w:t>ми законными опекунами, против которых и была отчасти направлена жалоба авторов. Авторы утверждают, что из-за эт</w:t>
            </w:r>
            <w:r w:rsidR="007A4D10" w:rsidRPr="007A4D10">
              <w:t>о</w:t>
            </w:r>
            <w:r w:rsidR="007A4D10" w:rsidRPr="007A4D10">
              <w:t>го они ок</w:t>
            </w:r>
            <w:r w:rsidR="007A4D10" w:rsidRPr="007A4D10">
              <w:t>а</w:t>
            </w:r>
            <w:r w:rsidR="007A4D10" w:rsidRPr="007A4D10">
              <w:t>зались в уязвимом положении, поскольку их опекуны могут распоряжаться имущ</w:t>
            </w:r>
            <w:r w:rsidR="007A4D10" w:rsidRPr="007A4D10">
              <w:t>е</w:t>
            </w:r>
            <w:r w:rsidR="007A4D10" w:rsidRPr="007A4D10">
              <w:t>ством авторов.</w:t>
            </w:r>
          </w:p>
        </w:tc>
      </w:tr>
      <w:tr w:rsidR="007A4D10" w:rsidRPr="007A4D10" w:rsidTr="00EC5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nil"/>
            </w:tcBorders>
            <w:vAlign w:val="top"/>
          </w:tcPr>
          <w:p w:rsidR="007A4D10" w:rsidRPr="007A4D10" w:rsidRDefault="007A4D10" w:rsidP="00EC5E81">
            <w:pPr>
              <w:pageBreakBefore/>
              <w:spacing w:before="60" w:after="60"/>
            </w:pPr>
            <w:r w:rsidRPr="007A4D10">
              <w:lastRenderedPageBreak/>
              <w:t>Решение Комитета</w:t>
            </w:r>
          </w:p>
        </w:tc>
        <w:tc>
          <w:tcPr>
            <w:tcW w:w="5920" w:type="dxa"/>
            <w:tcBorders>
              <w:top w:val="nil"/>
            </w:tcBorders>
            <w:vAlign w:val="top"/>
          </w:tcPr>
          <w:p w:rsidR="007A4D10" w:rsidRPr="007A4D10" w:rsidRDefault="007A4D10" w:rsidP="005E02E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D10">
              <w:t>Продолжить осуществление последующих мер. Докладчик направит государству</w:t>
            </w:r>
            <w:r w:rsidR="005E02E1">
              <w:t>-</w:t>
            </w:r>
            <w:r w:rsidRPr="007A4D10">
              <w:t>участнику ещ</w:t>
            </w:r>
            <w:r w:rsidR="005E02E1">
              <w:t>е</w:t>
            </w:r>
            <w:r w:rsidRPr="007A4D10">
              <w:t xml:space="preserve"> одно письмо, в к</w:t>
            </w:r>
            <w:r w:rsidRPr="007A4D10">
              <w:t>о</w:t>
            </w:r>
            <w:r w:rsidRPr="007A4D10">
              <w:t>тором он заявит, что приветствует компенсацию судебных расходов авторов</w:t>
            </w:r>
            <w:r w:rsidR="005E02E1">
              <w:t>,</w:t>
            </w:r>
            <w:r w:rsidRPr="007A4D10">
              <w:t xml:space="preserve"> и отметит, что Комитет сожалеет по поводу однозна</w:t>
            </w:r>
            <w:r w:rsidRPr="007A4D10">
              <w:t>ч</w:t>
            </w:r>
            <w:r w:rsidRPr="007A4D10">
              <w:t>ного заявления государства</w:t>
            </w:r>
            <w:r w:rsidR="005E02E1">
              <w:t>-</w:t>
            </w:r>
            <w:r w:rsidRPr="007A4D10">
              <w:t>участника о том, что оно не план</w:t>
            </w:r>
            <w:r w:rsidRPr="007A4D10">
              <w:t>и</w:t>
            </w:r>
            <w:r w:rsidRPr="007A4D10">
              <w:t xml:space="preserve">рует изменять или отменять статью </w:t>
            </w:r>
            <w:proofErr w:type="spellStart"/>
            <w:r w:rsidRPr="007A4D10">
              <w:t>XXXVI</w:t>
            </w:r>
            <w:proofErr w:type="spellEnd"/>
            <w:r w:rsidRPr="007A4D10">
              <w:t xml:space="preserve"> Конституции, как это было рекомендовано в Соображениях Комитета (пункт</w:t>
            </w:r>
            <w:r w:rsidR="00EC5E81">
              <w:t> </w:t>
            </w:r>
            <w:r w:rsidRPr="007A4D10">
              <w:t>10</w:t>
            </w:r>
            <w:r w:rsidR="005E02E1">
              <w:t> </w:t>
            </w:r>
            <w:r w:rsidRPr="007A4D10">
              <w:t xml:space="preserve">b) i)). </w:t>
            </w:r>
            <w:proofErr w:type="gramStart"/>
            <w:r w:rsidRPr="007A4D10">
              <w:t>Государству-участнику будет предложено пре</w:t>
            </w:r>
            <w:r w:rsidRPr="007A4D10">
              <w:t>д</w:t>
            </w:r>
            <w:r w:rsidRPr="007A4D10">
              <w:t>ставить информацию о a) мера</w:t>
            </w:r>
            <w:bookmarkStart w:id="2" w:name="_GoBack"/>
            <w:bookmarkEnd w:id="2"/>
            <w:r w:rsidRPr="007A4D10">
              <w:t>х, принятых в целях обесп</w:t>
            </w:r>
            <w:r w:rsidRPr="007A4D10">
              <w:t>е</w:t>
            </w:r>
            <w:r w:rsidRPr="007A4D10">
              <w:t xml:space="preserve">чения полной совместимости законодательства в отношении </w:t>
            </w:r>
            <w:proofErr w:type="spellStart"/>
            <w:r w:rsidRPr="007A4D10">
              <w:t>суппо</w:t>
            </w:r>
            <w:r w:rsidRPr="007A4D10">
              <w:t>р</w:t>
            </w:r>
            <w:r w:rsidRPr="007A4D10">
              <w:t>тивного</w:t>
            </w:r>
            <w:proofErr w:type="spellEnd"/>
            <w:r w:rsidRPr="007A4D10">
              <w:t xml:space="preserve"> режима принятия решений и права голосовать с пол</w:t>
            </w:r>
            <w:r w:rsidRPr="007A4D10">
              <w:t>о</w:t>
            </w:r>
            <w:r w:rsidRPr="007A4D10">
              <w:t xml:space="preserve">жениями Конвенции и Соображениями Комитета по делу </w:t>
            </w:r>
            <w:proofErr w:type="spellStart"/>
            <w:r w:rsidRPr="0047641D">
              <w:rPr>
                <w:i/>
              </w:rPr>
              <w:t>Бу</w:t>
            </w:r>
            <w:r w:rsidRPr="0047641D">
              <w:rPr>
                <w:i/>
              </w:rPr>
              <w:t>й</w:t>
            </w:r>
            <w:r w:rsidRPr="0047641D">
              <w:rPr>
                <w:i/>
              </w:rPr>
              <w:t>дошо</w:t>
            </w:r>
            <w:proofErr w:type="spellEnd"/>
            <w:r w:rsidRPr="0047641D">
              <w:rPr>
                <w:i/>
              </w:rPr>
              <w:t xml:space="preserve"> и др. против Венгрии</w:t>
            </w:r>
            <w:r w:rsidRPr="007A4D10">
              <w:t>, b) мерах, принятых с целью обе</w:t>
            </w:r>
            <w:r w:rsidRPr="007A4D10">
              <w:t>с</w:t>
            </w:r>
            <w:r w:rsidRPr="007A4D10">
              <w:t>печения участия организаций гражданского общества в де</w:t>
            </w:r>
            <w:r w:rsidRPr="007A4D10">
              <w:t>я</w:t>
            </w:r>
            <w:r w:rsidRPr="007A4D10">
              <w:t>тельности рабочей группы Совместной межведомственной к</w:t>
            </w:r>
            <w:r w:rsidRPr="007A4D10">
              <w:t>о</w:t>
            </w:r>
            <w:r w:rsidRPr="007A4D10">
              <w:t>миссии по вопросам инвалидности</w:t>
            </w:r>
            <w:r w:rsidR="0047641D">
              <w:t>,</w:t>
            </w:r>
            <w:r w:rsidRPr="007A4D10">
              <w:t xml:space="preserve"> и c) прогрессе</w:t>
            </w:r>
            <w:proofErr w:type="gramEnd"/>
            <w:r w:rsidRPr="007A4D10">
              <w:t xml:space="preserve">, </w:t>
            </w:r>
            <w:proofErr w:type="gramStart"/>
            <w:r w:rsidRPr="007A4D10">
              <w:t>достигн</w:t>
            </w:r>
            <w:r w:rsidRPr="007A4D10">
              <w:t>у</w:t>
            </w:r>
            <w:r w:rsidRPr="007A4D10">
              <w:t>том в деле выплаты суммы компенсации, установленной в июне 2015 года, и мерах, принятых для обеспечения того, чт</w:t>
            </w:r>
            <w:r w:rsidRPr="007A4D10">
              <w:t>о</w:t>
            </w:r>
            <w:r w:rsidRPr="007A4D10">
              <w:t>бы авторы могли по своему желанию и усмотрению распор</w:t>
            </w:r>
            <w:r w:rsidRPr="007A4D10">
              <w:t>я</w:t>
            </w:r>
            <w:r w:rsidRPr="007A4D10">
              <w:t>диться выплаченной им ко</w:t>
            </w:r>
            <w:r w:rsidRPr="007A4D10">
              <w:t>м</w:t>
            </w:r>
            <w:r w:rsidRPr="007A4D10">
              <w:t>пенсацией.</w:t>
            </w:r>
            <w:proofErr w:type="gramEnd"/>
          </w:p>
        </w:tc>
      </w:tr>
    </w:tbl>
    <w:p w:rsidR="007A4D10" w:rsidRPr="007A4D10" w:rsidRDefault="007A4D10" w:rsidP="007A4D10">
      <w:pPr>
        <w:pStyle w:val="SingleTxtGR"/>
      </w:pP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584"/>
        <w:gridCol w:w="5920"/>
      </w:tblGrid>
      <w:tr w:rsidR="007A4D10" w:rsidRPr="00EC5E81" w:rsidTr="00EC5E8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7A4D10" w:rsidRPr="00EC5E81" w:rsidRDefault="007A4D10" w:rsidP="00EC5E81">
            <w:pPr>
              <w:spacing w:before="60" w:after="60"/>
              <w:rPr>
                <w:b/>
                <w:i/>
              </w:rPr>
            </w:pPr>
            <w:r w:rsidRPr="00EC5E81">
              <w:rPr>
                <w:b/>
              </w:rPr>
              <w:t>3.</w:t>
            </w:r>
            <w:r w:rsidRPr="00EC5E81">
              <w:rPr>
                <w:b/>
              </w:rPr>
              <w:tab/>
              <w:t xml:space="preserve">Сообщение № 21/2014, </w:t>
            </w:r>
            <w:r w:rsidRPr="00EC5E81">
              <w:rPr>
                <w:b/>
                <w:i/>
              </w:rPr>
              <w:t xml:space="preserve">Ф против Австрии </w:t>
            </w:r>
          </w:p>
        </w:tc>
      </w:tr>
      <w:tr w:rsidR="007A4D10" w:rsidRPr="00EC5E81" w:rsidTr="00EC5E8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single" w:sz="12" w:space="0" w:color="auto"/>
            </w:tcBorders>
            <w:vAlign w:val="top"/>
          </w:tcPr>
          <w:p w:rsidR="007A4D10" w:rsidRPr="00EC5E81" w:rsidRDefault="007A4D10" w:rsidP="00EC5E81">
            <w:pPr>
              <w:suppressAutoHyphens/>
              <w:spacing w:before="60" w:after="60"/>
            </w:pPr>
            <w:r w:rsidRPr="00EC5E81">
              <w:t>Соображения:</w:t>
            </w:r>
          </w:p>
        </w:tc>
        <w:tc>
          <w:tcPr>
            <w:tcW w:w="5920" w:type="dxa"/>
            <w:tcBorders>
              <w:top w:val="single" w:sz="12" w:space="0" w:color="auto"/>
            </w:tcBorders>
            <w:vAlign w:val="top"/>
          </w:tcPr>
          <w:p w:rsidR="007A4D10" w:rsidRPr="00EC5E81" w:rsidRDefault="007A4D10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5E81">
              <w:t>21 августа 2015 года.</w:t>
            </w:r>
          </w:p>
        </w:tc>
      </w:tr>
      <w:tr w:rsidR="007A4D10" w:rsidRPr="00EC5E81" w:rsidTr="00EC5E8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EC5E81" w:rsidRDefault="007A4D10" w:rsidP="00EC5E81">
            <w:pPr>
              <w:suppressAutoHyphens/>
              <w:spacing w:before="60" w:after="60"/>
            </w:pPr>
            <w:r w:rsidRPr="00EC5E81">
              <w:t>Предельный срок для представления первого ответа госуда</w:t>
            </w:r>
            <w:r w:rsidRPr="00EC5E81">
              <w:t>р</w:t>
            </w:r>
            <w:r w:rsidRPr="00EC5E81">
              <w:t>ством-участником:</w:t>
            </w:r>
          </w:p>
        </w:tc>
        <w:tc>
          <w:tcPr>
            <w:tcW w:w="5920" w:type="dxa"/>
            <w:tcBorders>
              <w:bottom w:val="nil"/>
            </w:tcBorders>
            <w:vAlign w:val="top"/>
          </w:tcPr>
          <w:p w:rsidR="007A4D10" w:rsidRPr="00EC5E81" w:rsidRDefault="007A4D10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5E81">
              <w:t>9 марта 2016 года</w:t>
            </w:r>
          </w:p>
        </w:tc>
      </w:tr>
      <w:tr w:rsidR="007A4D10" w:rsidRPr="00EC5E81" w:rsidTr="00EC5E8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nil"/>
            </w:tcBorders>
            <w:vAlign w:val="top"/>
          </w:tcPr>
          <w:p w:rsidR="007A4D10" w:rsidRPr="00EC5E81" w:rsidRDefault="007A4D10" w:rsidP="00EC5E81">
            <w:pPr>
              <w:suppressAutoHyphens/>
              <w:spacing w:before="60" w:after="60"/>
            </w:pPr>
            <w:r w:rsidRPr="00EC5E81">
              <w:t>Первый ответ государства-участника:</w:t>
            </w:r>
          </w:p>
        </w:tc>
        <w:tc>
          <w:tcPr>
            <w:tcW w:w="5920" w:type="dxa"/>
            <w:tcBorders>
              <w:top w:val="nil"/>
              <w:bottom w:val="nil"/>
            </w:tcBorders>
            <w:vAlign w:val="top"/>
          </w:tcPr>
          <w:p w:rsidR="007A4D10" w:rsidRPr="00EC5E81" w:rsidRDefault="007A4D10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EC5E81">
              <w:t>Получен</w:t>
            </w:r>
            <w:proofErr w:type="gramEnd"/>
            <w:r w:rsidRPr="00EC5E81">
              <w:t xml:space="preserve"> 24 февраля 2016 года, в нем сообщается что: </w:t>
            </w:r>
          </w:p>
          <w:p w:rsidR="007A4D10" w:rsidRPr="00EC5E81" w:rsidRDefault="00EC5E81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EC5E81">
              <w:t xml:space="preserve">a) </w:t>
            </w:r>
            <w:r>
              <w:tab/>
            </w:r>
            <w:r w:rsidR="007A4D10" w:rsidRPr="00EC5E81">
              <w:t>компания "</w:t>
            </w:r>
            <w:proofErr w:type="spellStart"/>
            <w:r w:rsidR="007A4D10" w:rsidRPr="00EC5E81">
              <w:t>Линц</w:t>
            </w:r>
            <w:proofErr w:type="spellEnd"/>
            <w:r w:rsidR="007A4D10" w:rsidRPr="00EC5E81">
              <w:t xml:space="preserve"> </w:t>
            </w:r>
            <w:proofErr w:type="spellStart"/>
            <w:r w:rsidR="007A4D10" w:rsidRPr="00EC5E81">
              <w:t>линиен</w:t>
            </w:r>
            <w:proofErr w:type="spellEnd"/>
            <w:r w:rsidR="007A4D10" w:rsidRPr="00EC5E81">
              <w:t xml:space="preserve"> </w:t>
            </w:r>
            <w:proofErr w:type="spellStart"/>
            <w:r w:rsidR="007A4D10" w:rsidRPr="00EC5E81">
              <w:t>ГмбХ</w:t>
            </w:r>
            <w:proofErr w:type="spellEnd"/>
            <w:r w:rsidR="007A4D10" w:rsidRPr="00EC5E81">
              <w:t>", в управлении к</w:t>
            </w:r>
            <w:r w:rsidR="007A4D10" w:rsidRPr="00EC5E81">
              <w:t>о</w:t>
            </w:r>
            <w:r w:rsidR="007A4D10" w:rsidRPr="00EC5E81">
              <w:t>торой находится общественный транспорт в Линце, включая тра</w:t>
            </w:r>
            <w:r w:rsidR="007A4D10" w:rsidRPr="00EC5E81">
              <w:t>м</w:t>
            </w:r>
            <w:r w:rsidR="007A4D10" w:rsidRPr="00EC5E81">
              <w:t xml:space="preserve">вайный маршрут № 3, будет продолжать </w:t>
            </w:r>
            <w:proofErr w:type="gramStart"/>
            <w:r w:rsidR="007A4D10" w:rsidRPr="00EC5E81">
              <w:t>предпринимать усилия</w:t>
            </w:r>
            <w:proofErr w:type="gramEnd"/>
            <w:r w:rsidR="007A4D10" w:rsidRPr="00EC5E81">
              <w:t xml:space="preserve"> с целью улучшения доступа для инвалидов. В тесном сотрудничестве с Австрийской федерацией слепых и слабов</w:t>
            </w:r>
            <w:r w:rsidR="007A4D10" w:rsidRPr="00EC5E81">
              <w:t>и</w:t>
            </w:r>
            <w:r w:rsidR="007A4D10" w:rsidRPr="00EC5E81">
              <w:t>дящих она разработает системы электронного расписании, приводимые в действие с помощью смартфонов со встроенн</w:t>
            </w:r>
            <w:r w:rsidR="007A4D10" w:rsidRPr="00EC5E81">
              <w:t>ы</w:t>
            </w:r>
            <w:r w:rsidR="007A4D10" w:rsidRPr="00EC5E81">
              <w:t xml:space="preserve">ми устройствами речевого вывода цифровых данных, с </w:t>
            </w:r>
            <w:proofErr w:type="gramStart"/>
            <w:r w:rsidR="007A4D10" w:rsidRPr="00EC5E81">
              <w:t>тем</w:t>
            </w:r>
            <w:proofErr w:type="gramEnd"/>
            <w:r w:rsidR="007A4D10" w:rsidRPr="00EC5E81">
              <w:t xml:space="preserve"> чтобы пользователи могли в индивидуальном порядке получать в режиме реального времени исчерпывающую информацию о сит</w:t>
            </w:r>
            <w:r w:rsidR="007A4D10" w:rsidRPr="00EC5E81">
              <w:t>у</w:t>
            </w:r>
            <w:r w:rsidR="007A4D10" w:rsidRPr="00EC5E81">
              <w:t>ации с движением транспорта;</w:t>
            </w:r>
          </w:p>
          <w:p w:rsidR="007A4D10" w:rsidRPr="00EC5E81" w:rsidRDefault="00EC5E81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EC5E81">
              <w:t xml:space="preserve">b) </w:t>
            </w:r>
            <w:r>
              <w:tab/>
            </w:r>
            <w:r w:rsidR="007A4D10" w:rsidRPr="00EC5E81">
              <w:t>компания "</w:t>
            </w:r>
            <w:proofErr w:type="spellStart"/>
            <w:r w:rsidR="007A4D10" w:rsidRPr="00EC5E81">
              <w:t>Линц</w:t>
            </w:r>
            <w:proofErr w:type="spellEnd"/>
            <w:r w:rsidR="007A4D10" w:rsidRPr="00EC5E81">
              <w:t xml:space="preserve"> </w:t>
            </w:r>
            <w:proofErr w:type="spellStart"/>
            <w:r w:rsidR="007A4D10" w:rsidRPr="00EC5E81">
              <w:t>линиен</w:t>
            </w:r>
            <w:proofErr w:type="spellEnd"/>
            <w:r w:rsidR="007A4D10" w:rsidRPr="00EC5E81">
              <w:t xml:space="preserve"> </w:t>
            </w:r>
            <w:proofErr w:type="spellStart"/>
            <w:r w:rsidR="007A4D10" w:rsidRPr="00EC5E81">
              <w:t>ГмбХ</w:t>
            </w:r>
            <w:proofErr w:type="spellEnd"/>
            <w:r w:rsidR="007A4D10" w:rsidRPr="00EC5E81">
              <w:t>" провед</w:t>
            </w:r>
            <w:r w:rsidR="005E02E1">
              <w:t>е</w:t>
            </w:r>
            <w:r w:rsidR="007A4D10" w:rsidRPr="00EC5E81">
              <w:t>т совмес</w:t>
            </w:r>
            <w:r w:rsidR="007A4D10" w:rsidRPr="00EC5E81">
              <w:t>т</w:t>
            </w:r>
            <w:r w:rsidR="007A4D10" w:rsidRPr="00EC5E81">
              <w:t>но с Австрийской федерацией слепых и слабовидящих подро</w:t>
            </w:r>
            <w:r w:rsidR="007A4D10" w:rsidRPr="00EC5E81">
              <w:t>б</w:t>
            </w:r>
            <w:r w:rsidR="007A4D10" w:rsidRPr="00EC5E81">
              <w:t>ный анализ текущей ситуации с целью устранения недостатков, ограничивающих доступность транспорта и транспортной и</w:t>
            </w:r>
            <w:r w:rsidR="007A4D10" w:rsidRPr="00EC5E81">
              <w:t>н</w:t>
            </w:r>
            <w:r w:rsidR="007A4D10" w:rsidRPr="00EC5E81">
              <w:t>фраструктуры для всех пасс</w:t>
            </w:r>
            <w:r w:rsidR="007A4D10" w:rsidRPr="00EC5E81">
              <w:t>а</w:t>
            </w:r>
            <w:r w:rsidR="007A4D10" w:rsidRPr="00EC5E81">
              <w:t>жиров;</w:t>
            </w:r>
          </w:p>
          <w:p w:rsidR="007A4D10" w:rsidRPr="00EC5E81" w:rsidRDefault="00EC5E81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EC5E81">
              <w:t xml:space="preserve">c) </w:t>
            </w:r>
            <w:r>
              <w:tab/>
            </w:r>
            <w:r w:rsidR="007A4D10" w:rsidRPr="00EC5E81">
              <w:t>в том</w:t>
            </w:r>
            <w:r w:rsidR="0047641D">
              <w:t>,</w:t>
            </w:r>
            <w:r w:rsidR="007A4D10" w:rsidRPr="00EC5E81">
              <w:t xml:space="preserve"> что касается просьбы автора о компенсации его судебных расходов некоторыми федеральными учрежден</w:t>
            </w:r>
            <w:r w:rsidR="007A4D10" w:rsidRPr="00EC5E81">
              <w:t>и</w:t>
            </w:r>
            <w:r w:rsidR="007A4D10" w:rsidRPr="00EC5E81">
              <w:t>ями, то Австрия принципиально не предоставляет компенсации з</w:t>
            </w:r>
            <w:r w:rsidR="007A4D10" w:rsidRPr="00EC5E81">
              <w:t>а</w:t>
            </w:r>
            <w:r w:rsidR="007A4D10" w:rsidRPr="00EC5E81">
              <w:t>явителям в рамках процедур договорных органов. Вопрос о расходах, понес</w:t>
            </w:r>
            <w:r w:rsidR="005E02E1">
              <w:t>е</w:t>
            </w:r>
            <w:r w:rsidR="007A4D10" w:rsidRPr="00EC5E81">
              <w:t>нных автором в рамках судебных разбир</w:t>
            </w:r>
            <w:r w:rsidR="007A4D10" w:rsidRPr="00EC5E81">
              <w:t>а</w:t>
            </w:r>
            <w:r w:rsidR="007A4D10" w:rsidRPr="00EC5E81">
              <w:lastRenderedPageBreak/>
              <w:t>тельств внутри страны, подлежит рассмотрению независимым судом, который вынесет окончательное решение;</w:t>
            </w:r>
          </w:p>
          <w:p w:rsidR="007A4D10" w:rsidRPr="00EC5E81" w:rsidRDefault="00EC5E81" w:rsidP="0047641D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EC5E81">
              <w:t xml:space="preserve">d) </w:t>
            </w:r>
            <w:r>
              <w:tab/>
            </w:r>
            <w:r w:rsidR="007A4D10" w:rsidRPr="00EC5E81">
              <w:t>в том</w:t>
            </w:r>
            <w:r w:rsidR="0047641D">
              <w:t>,</w:t>
            </w:r>
            <w:r w:rsidR="007A4D10" w:rsidRPr="00EC5E81">
              <w:t xml:space="preserve"> что касается общих рекомендаций, то: i)</w:t>
            </w:r>
            <w:r w:rsidR="0047641D">
              <w:t> </w:t>
            </w:r>
            <w:r w:rsidR="007A4D10" w:rsidRPr="00EC5E81">
              <w:t>правительство приняло Национальный план действий в и</w:t>
            </w:r>
            <w:r w:rsidR="007A4D10" w:rsidRPr="00EC5E81">
              <w:t>н</w:t>
            </w:r>
            <w:r w:rsidR="007A4D10" w:rsidRPr="00EC5E81">
              <w:t>тересах инвалидов на период 2012</w:t>
            </w:r>
            <w:r w:rsidR="0047641D">
              <w:t>−</w:t>
            </w:r>
            <w:r w:rsidR="007A4D10" w:rsidRPr="00EC5E81">
              <w:t>2020 годов, который был включ</w:t>
            </w:r>
            <w:r w:rsidR="005E02E1">
              <w:t>е</w:t>
            </w:r>
            <w:r w:rsidR="007A4D10" w:rsidRPr="00EC5E81">
              <w:t>н в программу работы правительства на 2013</w:t>
            </w:r>
            <w:r w:rsidR="0047641D">
              <w:t>−</w:t>
            </w:r>
            <w:r w:rsidR="007A4D10" w:rsidRPr="00EC5E81">
              <w:t>2018 г</w:t>
            </w:r>
            <w:r w:rsidR="007A4D10" w:rsidRPr="00EC5E81">
              <w:t>о</w:t>
            </w:r>
            <w:r w:rsidR="007A4D10" w:rsidRPr="00EC5E81">
              <w:t xml:space="preserve">ды. </w:t>
            </w:r>
            <w:proofErr w:type="gramStart"/>
            <w:r w:rsidR="007A4D10" w:rsidRPr="00EC5E81">
              <w:t>Рекомендации Комитета в отношении обеспечения досту</w:t>
            </w:r>
            <w:r w:rsidR="007A4D10" w:rsidRPr="00EC5E81">
              <w:t>п</w:t>
            </w:r>
            <w:r w:rsidR="007A4D10" w:rsidRPr="00EC5E81">
              <w:t>ности общественного транспорта будут проанализированы группой по исследованиям в области инклюзивной мобильн</w:t>
            </w:r>
            <w:r w:rsidR="007A4D10" w:rsidRPr="00EC5E81">
              <w:t>о</w:t>
            </w:r>
            <w:r w:rsidR="007A4D10" w:rsidRPr="00EC5E81">
              <w:t>сти в составе экспертов правительства и гражданского общ</w:t>
            </w:r>
            <w:r w:rsidR="007A4D10" w:rsidRPr="00EC5E81">
              <w:t>е</w:t>
            </w:r>
            <w:r w:rsidR="007A4D10" w:rsidRPr="00EC5E81">
              <w:t>ства, кот</w:t>
            </w:r>
            <w:r w:rsidR="007A4D10" w:rsidRPr="00EC5E81">
              <w:t>о</w:t>
            </w:r>
            <w:r w:rsidR="007A4D10" w:rsidRPr="00EC5E81">
              <w:t>рая проводит свои совещания на ежегодной основе в целях пов</w:t>
            </w:r>
            <w:r w:rsidR="007A4D10" w:rsidRPr="00EC5E81">
              <w:t>ы</w:t>
            </w:r>
            <w:r w:rsidR="007A4D10" w:rsidRPr="00EC5E81">
              <w:t xml:space="preserve">шения уровня информированности по касающимся доступности вопросам, </w:t>
            </w:r>
            <w:proofErr w:type="spellStart"/>
            <w:r w:rsidR="007A4D10" w:rsidRPr="00EC5E81">
              <w:t>ii</w:t>
            </w:r>
            <w:proofErr w:type="spellEnd"/>
            <w:r w:rsidR="007A4D10" w:rsidRPr="00EC5E81">
              <w:t>) направление деятельности № 92 Национального плана действий в интересах инвалидов пред</w:t>
            </w:r>
            <w:r w:rsidR="007A4D10" w:rsidRPr="00EC5E81">
              <w:t>у</w:t>
            </w:r>
            <w:r w:rsidR="007A4D10" w:rsidRPr="00EC5E81">
              <w:t>сматривает проведение лекций по вопросам доступности в рамках преп</w:t>
            </w:r>
            <w:r w:rsidR="007A4D10" w:rsidRPr="00EC5E81">
              <w:t>о</w:t>
            </w:r>
            <w:r w:rsidR="007A4D10" w:rsidRPr="00EC5E81">
              <w:t>давания в</w:t>
            </w:r>
            <w:proofErr w:type="gramEnd"/>
            <w:r w:rsidR="007A4D10" w:rsidRPr="00EC5E81">
              <w:t xml:space="preserve"> технических </w:t>
            </w:r>
            <w:proofErr w:type="gramStart"/>
            <w:r w:rsidR="007A4D10" w:rsidRPr="00EC5E81">
              <w:t>университетах</w:t>
            </w:r>
            <w:proofErr w:type="gramEnd"/>
            <w:r w:rsidR="007A4D10" w:rsidRPr="00EC5E81">
              <w:t xml:space="preserve"> и других учебных зав</w:t>
            </w:r>
            <w:r w:rsidR="007A4D10" w:rsidRPr="00EC5E81">
              <w:t>е</w:t>
            </w:r>
            <w:r w:rsidR="007A4D10" w:rsidRPr="00EC5E81">
              <w:t>дениях предметов по специальностям, имеющим отнош</w:t>
            </w:r>
            <w:r w:rsidR="007A4D10" w:rsidRPr="00EC5E81">
              <w:t>е</w:t>
            </w:r>
            <w:r w:rsidR="007A4D10" w:rsidRPr="00EC5E81">
              <w:t>ние к общественному транспорту, как то</w:t>
            </w:r>
            <w:r w:rsidR="0047641D">
              <w:t>:</w:t>
            </w:r>
            <w:r w:rsidR="007A4D10" w:rsidRPr="00EC5E81">
              <w:t xml:space="preserve"> архитектура, гражда</w:t>
            </w:r>
            <w:r w:rsidR="007A4D10" w:rsidRPr="00EC5E81">
              <w:t>н</w:t>
            </w:r>
            <w:r w:rsidR="007A4D10" w:rsidRPr="00EC5E81">
              <w:t>ское строительство, инженерное дело, электротехника и информ</w:t>
            </w:r>
            <w:r w:rsidR="007A4D10" w:rsidRPr="00EC5E81">
              <w:t>а</w:t>
            </w:r>
            <w:r w:rsidR="007A4D10" w:rsidRPr="00EC5E81">
              <w:t>ционные технологии. Федеральное министерство науки, исследований и экономики обеспечило включение в</w:t>
            </w:r>
            <w:r w:rsidR="007A4D10" w:rsidRPr="00EC5E81">
              <w:t>о</w:t>
            </w:r>
            <w:r w:rsidR="007A4D10" w:rsidRPr="00EC5E81">
              <w:t>просов доступности в различные учебные программы. Комп</w:t>
            </w:r>
            <w:r w:rsidR="007A4D10" w:rsidRPr="00EC5E81">
              <w:t>а</w:t>
            </w:r>
            <w:r w:rsidR="007A4D10" w:rsidRPr="00EC5E81">
              <w:t>ния "</w:t>
            </w:r>
            <w:proofErr w:type="spellStart"/>
            <w:r w:rsidR="007A4D10" w:rsidRPr="00EC5E81">
              <w:t>Линц</w:t>
            </w:r>
            <w:proofErr w:type="spellEnd"/>
            <w:r w:rsidR="007A4D10" w:rsidRPr="00EC5E81">
              <w:t xml:space="preserve"> </w:t>
            </w:r>
            <w:proofErr w:type="spellStart"/>
            <w:r w:rsidR="007A4D10" w:rsidRPr="00EC5E81">
              <w:t>линиен</w:t>
            </w:r>
            <w:proofErr w:type="spellEnd"/>
            <w:r w:rsidR="007A4D10" w:rsidRPr="00EC5E81">
              <w:t xml:space="preserve"> </w:t>
            </w:r>
            <w:proofErr w:type="spellStart"/>
            <w:r w:rsidR="007A4D10" w:rsidRPr="00EC5E81">
              <w:t>ГмбХ</w:t>
            </w:r>
            <w:proofErr w:type="spellEnd"/>
            <w:r w:rsidR="007A4D10" w:rsidRPr="00EC5E81">
              <w:t>" будет продолжать орг</w:t>
            </w:r>
            <w:r w:rsidR="007A4D10" w:rsidRPr="00EC5E81">
              <w:t>а</w:t>
            </w:r>
            <w:r w:rsidR="007A4D10" w:rsidRPr="00EC5E81">
              <w:t>низовывать для водителей трамваев и автобусов курсы подготовки, посв</w:t>
            </w:r>
            <w:r w:rsidR="007A4D10" w:rsidRPr="00EC5E81">
              <w:t>я</w:t>
            </w:r>
            <w:r w:rsidR="007A4D10" w:rsidRPr="00EC5E81">
              <w:t>щенные пассажирам</w:t>
            </w:r>
            <w:r w:rsidR="00515E40">
              <w:t>-</w:t>
            </w:r>
            <w:r w:rsidR="007A4D10" w:rsidRPr="00EC5E81">
              <w:t>инвалидам. За период с сентября 2014 г</w:t>
            </w:r>
            <w:r w:rsidR="007A4D10" w:rsidRPr="00EC5E81">
              <w:t>о</w:t>
            </w:r>
            <w:r w:rsidR="007A4D10" w:rsidRPr="00EC5E81">
              <w:t>да по апрель 2015 года соответствующую по</w:t>
            </w:r>
            <w:r w:rsidR="007A4D10" w:rsidRPr="00EC5E81">
              <w:t>д</w:t>
            </w:r>
            <w:r w:rsidR="007A4D10" w:rsidRPr="00EC5E81">
              <w:t>готовку прошли 420 водителей, при этом следующие курсы будут организованы п</w:t>
            </w:r>
            <w:r w:rsidR="007A4D10" w:rsidRPr="00EC5E81">
              <w:t>о</w:t>
            </w:r>
            <w:r w:rsidR="007A4D10" w:rsidRPr="00EC5E81">
              <w:t xml:space="preserve">сле найма достаточного числа новых водителей. В рамках этих курсов особое внимание будет уделено выводам Комитета, </w:t>
            </w:r>
            <w:proofErr w:type="spellStart"/>
            <w:proofErr w:type="gramStart"/>
            <w:r w:rsidR="007A4D10" w:rsidRPr="00EC5E81">
              <w:t>iii</w:t>
            </w:r>
            <w:proofErr w:type="spellEnd"/>
            <w:r w:rsidR="007A4D10" w:rsidRPr="00EC5E81">
              <w:t xml:space="preserve">) </w:t>
            </w:r>
            <w:proofErr w:type="gramEnd"/>
            <w:r w:rsidR="007A4D10" w:rsidRPr="00EC5E81">
              <w:t>госуда</w:t>
            </w:r>
            <w:r w:rsidR="007A4D10" w:rsidRPr="00EC5E81">
              <w:t>р</w:t>
            </w:r>
            <w:r w:rsidR="007A4D10" w:rsidRPr="00EC5E81">
              <w:t>ство-участник приветствовало Европейский закон о доступности, который был предложен Европе</w:t>
            </w:r>
            <w:r w:rsidR="007A4D10" w:rsidRPr="00EC5E81">
              <w:t>й</w:t>
            </w:r>
            <w:r w:rsidR="007A4D10" w:rsidRPr="00EC5E81">
              <w:t>ской комиссией 2 декабря 2015 года и в котором устанавливаются общие треб</w:t>
            </w:r>
            <w:r w:rsidR="007A4D10" w:rsidRPr="00EC5E81">
              <w:t>о</w:t>
            </w:r>
            <w:r w:rsidR="007A4D10" w:rsidRPr="00EC5E81">
              <w:t xml:space="preserve">вания к доступности в случае базовых продуктов и услуг. </w:t>
            </w:r>
            <w:proofErr w:type="gramStart"/>
            <w:r w:rsidR="007A4D10" w:rsidRPr="00EC5E81">
              <w:t>О</w:t>
            </w:r>
            <w:r w:rsidR="007A4D10" w:rsidRPr="00EC5E81">
              <w:t>с</w:t>
            </w:r>
            <w:r w:rsidR="007A4D10" w:rsidRPr="00EC5E81">
              <w:t>новное внимание в этой директиве уделяется доступности и</w:t>
            </w:r>
            <w:r w:rsidR="007A4D10" w:rsidRPr="00EC5E81">
              <w:t>н</w:t>
            </w:r>
            <w:r w:rsidR="007A4D10" w:rsidRPr="00EC5E81">
              <w:t xml:space="preserve">формационных и коммуникационных технологий, а также транспорта, </w:t>
            </w:r>
            <w:proofErr w:type="spellStart"/>
            <w:r w:rsidR="007A4D10" w:rsidRPr="00EC5E81">
              <w:t>iv</w:t>
            </w:r>
            <w:proofErr w:type="spellEnd"/>
            <w:r w:rsidR="007A4D10" w:rsidRPr="00EC5E81">
              <w:t>) в целях проведения более тесных консультаций с инвалидами и представляющими их интересы о</w:t>
            </w:r>
            <w:r w:rsidR="007A4D10" w:rsidRPr="00EC5E81">
              <w:t>р</w:t>
            </w:r>
            <w:r w:rsidR="007A4D10" w:rsidRPr="00EC5E81">
              <w:t>ганизациями Ведомство Федерального Канцлера в ци</w:t>
            </w:r>
            <w:r w:rsidR="007A4D10" w:rsidRPr="00EC5E81">
              <w:t>р</w:t>
            </w:r>
            <w:r w:rsidR="007A4D10" w:rsidRPr="00EC5E81">
              <w:t>кулярном письме от 18 сентября 2009 года проинформ</w:t>
            </w:r>
            <w:r w:rsidR="007A4D10" w:rsidRPr="00EC5E81">
              <w:t>и</w:t>
            </w:r>
            <w:r w:rsidR="007A4D10" w:rsidRPr="00EC5E81">
              <w:t>ровало соответствующие национальные учреждения, включая парламент и все фед</w:t>
            </w:r>
            <w:r w:rsidR="007A4D10" w:rsidRPr="00EC5E81">
              <w:t>е</w:t>
            </w:r>
            <w:r w:rsidR="007A4D10" w:rsidRPr="00EC5E81">
              <w:t>ральные министерства и правительства всех земель, о вытек</w:t>
            </w:r>
            <w:r w:rsidR="007A4D10" w:rsidRPr="00EC5E81">
              <w:t>а</w:t>
            </w:r>
            <w:r w:rsidR="007A4D10" w:rsidRPr="00EC5E81">
              <w:t>ющем из пункта 3 статьи 4</w:t>
            </w:r>
            <w:proofErr w:type="gramEnd"/>
            <w:r w:rsidR="007A4D10" w:rsidRPr="00EC5E81">
              <w:t xml:space="preserve"> </w:t>
            </w:r>
            <w:proofErr w:type="gramStart"/>
            <w:r w:rsidR="007A4D10" w:rsidRPr="00EC5E81">
              <w:t>Конвенции обязательстве проводить в рамках проце</w:t>
            </w:r>
            <w:r w:rsidR="007A4D10" w:rsidRPr="00EC5E81">
              <w:t>с</w:t>
            </w:r>
            <w:r w:rsidR="007A4D10" w:rsidRPr="00EC5E81">
              <w:t>са разработки и принятия законодательства консультации с о</w:t>
            </w:r>
            <w:r w:rsidR="007A4D10" w:rsidRPr="00EC5E81">
              <w:t>р</w:t>
            </w:r>
            <w:r w:rsidR="007A4D10" w:rsidRPr="00EC5E81">
              <w:t>ганизациями инвалидов по затрагивающим их вопросам, и v)</w:t>
            </w:r>
            <w:r>
              <w:t> </w:t>
            </w:r>
            <w:r w:rsidR="007A4D10" w:rsidRPr="00EC5E81">
              <w:t>Соображения К</w:t>
            </w:r>
            <w:r w:rsidR="007A4D10" w:rsidRPr="00EC5E81">
              <w:t>о</w:t>
            </w:r>
            <w:r w:rsidR="007A4D10" w:rsidRPr="00EC5E81">
              <w:t>митета были переведены на немецкий язык и опубликованы на веб-сайтах Ведомства Фед</w:t>
            </w:r>
            <w:r w:rsidR="007A4D10" w:rsidRPr="00EC5E81">
              <w:t>е</w:t>
            </w:r>
            <w:r w:rsidR="007A4D10" w:rsidRPr="00EC5E81">
              <w:t>рального канцлера и Федерального министерства труда, соц</w:t>
            </w:r>
            <w:r w:rsidR="007A4D10" w:rsidRPr="00EC5E81">
              <w:t>и</w:t>
            </w:r>
            <w:r w:rsidR="007A4D10" w:rsidRPr="00EC5E81">
              <w:t>альных дел и защиты прав потребителей. 16 сентября и 14 д</w:t>
            </w:r>
            <w:r w:rsidR="007A4D10" w:rsidRPr="00EC5E81">
              <w:t>е</w:t>
            </w:r>
            <w:r w:rsidR="007A4D10" w:rsidRPr="00EC5E81">
              <w:t>кабря 2015 года Федеральное министерство по делам Европы, интеграции и внешних сношений</w:t>
            </w:r>
            <w:proofErr w:type="gramEnd"/>
            <w:r w:rsidR="007A4D10" w:rsidRPr="00EC5E81">
              <w:t xml:space="preserve"> и Ведомство Федерального канцлера препроводили эти Соображения Федеральному мин</w:t>
            </w:r>
            <w:r w:rsidR="007A4D10" w:rsidRPr="00EC5E81">
              <w:t>и</w:t>
            </w:r>
            <w:r w:rsidR="007A4D10" w:rsidRPr="00EC5E81">
              <w:t>стерству тр</w:t>
            </w:r>
            <w:r w:rsidR="007A4D10" w:rsidRPr="00EC5E81">
              <w:t>у</w:t>
            </w:r>
            <w:r w:rsidR="007A4D10" w:rsidRPr="00EC5E81">
              <w:t>да, социальных дел и защиты прав потребителей, Федеральному министерству транспорта, инноваций и технол</w:t>
            </w:r>
            <w:r w:rsidR="007A4D10" w:rsidRPr="00EC5E81">
              <w:t>о</w:t>
            </w:r>
            <w:r w:rsidR="007A4D10" w:rsidRPr="00EC5E81">
              <w:lastRenderedPageBreak/>
              <w:t xml:space="preserve">гий, Федеральному министерству юстиции, властям города </w:t>
            </w:r>
            <w:proofErr w:type="spellStart"/>
            <w:r w:rsidR="007A4D10" w:rsidRPr="00EC5E81">
              <w:t>Линц</w:t>
            </w:r>
            <w:proofErr w:type="spellEnd"/>
            <w:r w:rsidR="007A4D10" w:rsidRPr="00EC5E81">
              <w:t xml:space="preserve"> и компании "</w:t>
            </w:r>
            <w:proofErr w:type="spellStart"/>
            <w:r w:rsidR="007A4D10" w:rsidRPr="00EC5E81">
              <w:t>Линц</w:t>
            </w:r>
            <w:proofErr w:type="spellEnd"/>
            <w:r w:rsidR="007A4D10" w:rsidRPr="00EC5E81">
              <w:t xml:space="preserve"> </w:t>
            </w:r>
            <w:proofErr w:type="spellStart"/>
            <w:r w:rsidR="007A4D10" w:rsidRPr="00EC5E81">
              <w:t>л</w:t>
            </w:r>
            <w:r w:rsidR="007A4D10" w:rsidRPr="00EC5E81">
              <w:t>и</w:t>
            </w:r>
            <w:r w:rsidR="007A4D10" w:rsidRPr="00EC5E81">
              <w:t>ниен</w:t>
            </w:r>
            <w:proofErr w:type="spellEnd"/>
            <w:r w:rsidR="007A4D10" w:rsidRPr="00EC5E81">
              <w:t xml:space="preserve"> </w:t>
            </w:r>
            <w:proofErr w:type="spellStart"/>
            <w:r w:rsidR="007A4D10" w:rsidRPr="00EC5E81">
              <w:t>ГмбХ</w:t>
            </w:r>
            <w:proofErr w:type="spellEnd"/>
            <w:r w:rsidR="007A4D10" w:rsidRPr="00EC5E81">
              <w:t>".</w:t>
            </w:r>
          </w:p>
        </w:tc>
      </w:tr>
      <w:tr w:rsidR="007A4D10" w:rsidRPr="00EC5E81" w:rsidTr="00EC5E8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tcBorders>
              <w:top w:val="nil"/>
            </w:tcBorders>
            <w:vAlign w:val="top"/>
          </w:tcPr>
          <w:p w:rsidR="007A4D10" w:rsidRPr="00EC5E81" w:rsidRDefault="007A4D10" w:rsidP="00EC5E81">
            <w:pPr>
              <w:suppressAutoHyphens/>
              <w:spacing w:before="60" w:after="60"/>
            </w:pPr>
            <w:r w:rsidRPr="00EC5E81">
              <w:lastRenderedPageBreak/>
              <w:t>Принятые меры:</w:t>
            </w:r>
          </w:p>
        </w:tc>
        <w:tc>
          <w:tcPr>
            <w:tcW w:w="5920" w:type="dxa"/>
            <w:tcBorders>
              <w:top w:val="nil"/>
            </w:tcBorders>
            <w:vAlign w:val="top"/>
          </w:tcPr>
          <w:p w:rsidR="007A4D10" w:rsidRPr="00EC5E81" w:rsidRDefault="007A4D10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5E81">
              <w:t>11 марта 2016 года: ответ государства-участника о последу</w:t>
            </w:r>
            <w:r w:rsidRPr="00EC5E81">
              <w:t>ю</w:t>
            </w:r>
            <w:r w:rsidRPr="00EC5E81">
              <w:t>щих мерах препровожден автору для предста</w:t>
            </w:r>
            <w:r w:rsidRPr="00EC5E81">
              <w:t>в</w:t>
            </w:r>
            <w:r w:rsidRPr="00EC5E81">
              <w:t xml:space="preserve">ления замечаний; предельный срок представления замечаний </w:t>
            </w:r>
            <w:r w:rsidR="000E5E55">
              <w:t>–</w:t>
            </w:r>
            <w:r w:rsidRPr="00EC5E81">
              <w:t xml:space="preserve"> 10 июня 2016 г</w:t>
            </w:r>
            <w:r w:rsidRPr="00EC5E81">
              <w:t>о</w:t>
            </w:r>
            <w:r w:rsidRPr="00EC5E81">
              <w:t>да.</w:t>
            </w:r>
          </w:p>
          <w:p w:rsidR="007A4D10" w:rsidRPr="00EC5E81" w:rsidRDefault="007A4D10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5E81">
              <w:t>13 июня 2016 года: автору направлено первое напом</w:t>
            </w:r>
            <w:r w:rsidRPr="00EC5E81">
              <w:t>и</w:t>
            </w:r>
            <w:r w:rsidRPr="00EC5E81">
              <w:t xml:space="preserve">нание; предельный срок представления ответа </w:t>
            </w:r>
            <w:r w:rsidR="000E5E55">
              <w:t>–</w:t>
            </w:r>
            <w:r w:rsidRPr="00EC5E81">
              <w:t xml:space="preserve"> 15 а</w:t>
            </w:r>
            <w:r w:rsidRPr="00EC5E81">
              <w:t>в</w:t>
            </w:r>
            <w:r w:rsidRPr="00EC5E81">
              <w:t>густа 2016 года.</w:t>
            </w:r>
          </w:p>
        </w:tc>
      </w:tr>
      <w:tr w:rsidR="007A4D10" w:rsidRPr="00EC5E81" w:rsidTr="00EC5E8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EC5E81" w:rsidRDefault="007A4D10" w:rsidP="00EC5E81">
            <w:pPr>
              <w:suppressAutoHyphens/>
              <w:spacing w:before="60" w:after="60"/>
            </w:pPr>
            <w:r w:rsidRPr="00EC5E81">
              <w:t>Замечания автора:</w:t>
            </w:r>
          </w:p>
        </w:tc>
        <w:tc>
          <w:tcPr>
            <w:tcW w:w="5920" w:type="dxa"/>
            <w:vAlign w:val="top"/>
          </w:tcPr>
          <w:p w:rsidR="007A4D10" w:rsidRPr="00EC5E81" w:rsidRDefault="007A4D10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EC5E81">
              <w:t>Получены 22 июня 2016 года; в них сообщается, что:</w:t>
            </w:r>
            <w:proofErr w:type="gramEnd"/>
          </w:p>
          <w:p w:rsidR="007A4D10" w:rsidRPr="00EC5E81" w:rsidRDefault="00EC5E81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EC5E81">
              <w:t xml:space="preserve">a) </w:t>
            </w:r>
            <w:r>
              <w:tab/>
            </w:r>
            <w:r w:rsidR="007A4D10" w:rsidRPr="00EC5E81">
              <w:t>государство</w:t>
            </w:r>
            <w:r w:rsidR="0047641D">
              <w:t>-</w:t>
            </w:r>
            <w:r w:rsidR="007A4D10" w:rsidRPr="00EC5E81">
              <w:t>участник опубликовало Соображ</w:t>
            </w:r>
            <w:r w:rsidR="007A4D10" w:rsidRPr="00EC5E81">
              <w:t>е</w:t>
            </w:r>
            <w:r w:rsidR="007A4D10" w:rsidRPr="00EC5E81">
              <w:t>ния Комитета на немецком языке, но не в доступном форм</w:t>
            </w:r>
            <w:r w:rsidR="007A4D10" w:rsidRPr="00EC5E81">
              <w:t>а</w:t>
            </w:r>
            <w:r w:rsidR="007A4D10" w:rsidRPr="00EC5E81">
              <w:t>те;</w:t>
            </w:r>
          </w:p>
          <w:p w:rsidR="007A4D10" w:rsidRPr="00EC5E81" w:rsidRDefault="00EC5E81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EC5E81">
              <w:t xml:space="preserve">b) </w:t>
            </w:r>
            <w:r>
              <w:tab/>
            </w:r>
            <w:r w:rsidR="007A4D10" w:rsidRPr="00EC5E81">
              <w:t>автор не получил компенсации за расходы, пон</w:t>
            </w:r>
            <w:r w:rsidR="007A4D10" w:rsidRPr="00EC5E81">
              <w:t>е</w:t>
            </w:r>
            <w:r w:rsidR="007A4D10" w:rsidRPr="00EC5E81">
              <w:t>с</w:t>
            </w:r>
            <w:r w:rsidR="005E02E1">
              <w:t>е</w:t>
            </w:r>
            <w:r w:rsidR="007A4D10" w:rsidRPr="00EC5E81">
              <w:t>нные им в связи с судебными разбирательствами внутри страны и напра</w:t>
            </w:r>
            <w:r w:rsidR="007A4D10" w:rsidRPr="00EC5E81">
              <w:t>в</w:t>
            </w:r>
            <w:r w:rsidR="007A4D10" w:rsidRPr="00EC5E81">
              <w:t>лением сообщени</w:t>
            </w:r>
            <w:r w:rsidR="0047641D">
              <w:t>я</w:t>
            </w:r>
            <w:r w:rsidR="007A4D10" w:rsidRPr="00EC5E81">
              <w:t>;</w:t>
            </w:r>
          </w:p>
          <w:p w:rsidR="007A4D10" w:rsidRPr="00EC5E81" w:rsidRDefault="00EC5E81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="007A4D10" w:rsidRPr="00EC5E81">
              <w:t xml:space="preserve">c) </w:t>
            </w:r>
            <w:r>
              <w:tab/>
            </w:r>
            <w:r w:rsidR="007A4D10" w:rsidRPr="00EC5E81">
              <w:t>не были предприняты какие-либо конкретные шаги в целях обеспечения того, чтобы права инвалидов включали право на доступную информацию о транспорте, а транспор</w:t>
            </w:r>
            <w:r w:rsidR="007A4D10" w:rsidRPr="00EC5E81">
              <w:t>т</w:t>
            </w:r>
            <w:r w:rsidR="007A4D10" w:rsidRPr="00EC5E81">
              <w:t>ные сети, которые будут построены в Австрии в будущем, с</w:t>
            </w:r>
            <w:r w:rsidR="007A4D10" w:rsidRPr="00EC5E81">
              <w:t>о</w:t>
            </w:r>
            <w:r w:rsidR="007A4D10" w:rsidRPr="00EC5E81">
              <w:t>ответствовали принципу униве</w:t>
            </w:r>
            <w:r w:rsidR="007A4D10" w:rsidRPr="00EC5E81">
              <w:t>р</w:t>
            </w:r>
            <w:r w:rsidR="007A4D10" w:rsidRPr="00EC5E81">
              <w:t>сального дизайна;</w:t>
            </w:r>
          </w:p>
          <w:p w:rsidR="007A4D10" w:rsidRPr="00EC5E81" w:rsidRDefault="00EC5E81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proofErr w:type="gramStart"/>
            <w:r w:rsidR="007A4D10" w:rsidRPr="00EC5E81">
              <w:t xml:space="preserve">d) </w:t>
            </w:r>
            <w:r>
              <w:tab/>
            </w:r>
            <w:r w:rsidR="007A4D10" w:rsidRPr="00EC5E81">
              <w:t>меры, о которых объявила компания "</w:t>
            </w:r>
            <w:proofErr w:type="spellStart"/>
            <w:r w:rsidR="007A4D10" w:rsidRPr="00EC5E81">
              <w:t>Линц</w:t>
            </w:r>
            <w:proofErr w:type="spellEnd"/>
            <w:r w:rsidR="007A4D10" w:rsidRPr="00EC5E81">
              <w:t xml:space="preserve"> </w:t>
            </w:r>
            <w:proofErr w:type="spellStart"/>
            <w:r w:rsidR="007A4D10" w:rsidRPr="00EC5E81">
              <w:t>линиен</w:t>
            </w:r>
            <w:proofErr w:type="spellEnd"/>
            <w:r w:rsidR="007A4D10" w:rsidRPr="00EC5E81">
              <w:t xml:space="preserve"> </w:t>
            </w:r>
            <w:proofErr w:type="spellStart"/>
            <w:r w:rsidR="007A4D10" w:rsidRPr="00EC5E81">
              <w:t>ГмбХ</w:t>
            </w:r>
            <w:proofErr w:type="spellEnd"/>
            <w:r w:rsidR="007A4D10" w:rsidRPr="00EC5E81">
              <w:t>", могут привести к улучшениям в этой конкретной ко</w:t>
            </w:r>
            <w:r w:rsidR="007A4D10" w:rsidRPr="00EC5E81">
              <w:t>м</w:t>
            </w:r>
            <w:r w:rsidR="007A4D10" w:rsidRPr="00EC5E81">
              <w:t>пании, однако в стране отсутствуют какие-либо общие правила, которые бы обязывали компании общественного транспорта пред</w:t>
            </w:r>
            <w:r w:rsidR="007A4D10" w:rsidRPr="00EC5E81">
              <w:t>о</w:t>
            </w:r>
            <w:r w:rsidR="007A4D10" w:rsidRPr="00EC5E81">
              <w:t>ставлять пассажирам информацию в доступном формате; подготовка, организуемая для работников компании "</w:t>
            </w:r>
            <w:proofErr w:type="spellStart"/>
            <w:r w:rsidR="007A4D10" w:rsidRPr="00EC5E81">
              <w:t>Линц</w:t>
            </w:r>
            <w:proofErr w:type="spellEnd"/>
            <w:r w:rsidR="007A4D10" w:rsidRPr="00EC5E81">
              <w:t xml:space="preserve"> </w:t>
            </w:r>
            <w:proofErr w:type="spellStart"/>
            <w:r w:rsidR="007A4D10" w:rsidRPr="00EC5E81">
              <w:t>л</w:t>
            </w:r>
            <w:r w:rsidR="007A4D10" w:rsidRPr="00EC5E81">
              <w:t>и</w:t>
            </w:r>
            <w:r w:rsidR="007A4D10" w:rsidRPr="00EC5E81">
              <w:t>ниен</w:t>
            </w:r>
            <w:proofErr w:type="spellEnd"/>
            <w:r w:rsidR="007A4D10" w:rsidRPr="00EC5E81">
              <w:t xml:space="preserve"> </w:t>
            </w:r>
            <w:proofErr w:type="spellStart"/>
            <w:r w:rsidR="007A4D10" w:rsidRPr="00EC5E81">
              <w:t>ГмбХ</w:t>
            </w:r>
            <w:proofErr w:type="spellEnd"/>
            <w:r w:rsidR="007A4D10" w:rsidRPr="00EC5E81">
              <w:t>", является полезной, однако она не решает пробл</w:t>
            </w:r>
            <w:r w:rsidR="007A4D10" w:rsidRPr="00EC5E81">
              <w:t>е</w:t>
            </w:r>
            <w:r w:rsidR="007A4D10" w:rsidRPr="00EC5E81">
              <w:t>мы о</w:t>
            </w:r>
            <w:r w:rsidR="007A4D10" w:rsidRPr="00EC5E81">
              <w:t>т</w:t>
            </w:r>
            <w:r w:rsidR="007A4D10" w:rsidRPr="00EC5E81">
              <w:t>сутствия доступной информации.</w:t>
            </w:r>
            <w:proofErr w:type="gramEnd"/>
          </w:p>
        </w:tc>
      </w:tr>
      <w:tr w:rsidR="007A4D10" w:rsidRPr="00EC5E81" w:rsidTr="00EC5E8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top"/>
          </w:tcPr>
          <w:p w:rsidR="007A4D10" w:rsidRPr="00EC5E81" w:rsidRDefault="007A4D10" w:rsidP="00EC5E81">
            <w:pPr>
              <w:suppressAutoHyphens/>
              <w:spacing w:before="60" w:after="60"/>
            </w:pPr>
            <w:r w:rsidRPr="00EC5E81">
              <w:t>Решение Комитета</w:t>
            </w:r>
          </w:p>
        </w:tc>
        <w:tc>
          <w:tcPr>
            <w:tcW w:w="5920" w:type="dxa"/>
            <w:vAlign w:val="top"/>
          </w:tcPr>
          <w:p w:rsidR="007A4D10" w:rsidRPr="00EC5E81" w:rsidRDefault="007A4D10" w:rsidP="00EC5E81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5E81">
              <w:t>Продолжить осуществление последующих мер. Гос</w:t>
            </w:r>
            <w:r w:rsidRPr="00EC5E81">
              <w:t>у</w:t>
            </w:r>
            <w:r w:rsidRPr="00EC5E81">
              <w:t>дарству-участнику будет направлено письмо, в котором ему будет напомнено о рекомендации Комитета в отн</w:t>
            </w:r>
            <w:r w:rsidRPr="00EC5E81">
              <w:t>о</w:t>
            </w:r>
            <w:r w:rsidRPr="00EC5E81">
              <w:t>шении выплаты компенсации и предложено представить дополнительную и</w:t>
            </w:r>
            <w:r w:rsidRPr="00EC5E81">
              <w:t>н</w:t>
            </w:r>
            <w:r w:rsidRPr="00EC5E81">
              <w:t>формацию о мерах, принятых для предоставления доступной информации об обществе</w:t>
            </w:r>
            <w:r w:rsidRPr="00EC5E81">
              <w:t>н</w:t>
            </w:r>
            <w:r w:rsidRPr="00EC5E81">
              <w:t>ном транспорте.</w:t>
            </w:r>
          </w:p>
        </w:tc>
      </w:tr>
    </w:tbl>
    <w:p w:rsidR="00BB5A75" w:rsidRPr="007A4D10" w:rsidRDefault="007A4D10" w:rsidP="007A4D1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5A75" w:rsidRPr="007A4D10" w:rsidSect="00BB5A7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10" w:rsidRDefault="007A4D10" w:rsidP="00B471C5">
      <w:r>
        <w:separator/>
      </w:r>
    </w:p>
  </w:endnote>
  <w:endnote w:type="continuationSeparator" w:id="0">
    <w:p w:rsidR="007A4D10" w:rsidRDefault="007A4D1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10" w:rsidRPr="009A6F4A" w:rsidRDefault="007A4D10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A3077">
      <w:rPr>
        <w:rStyle w:val="a9"/>
        <w:noProof/>
      </w:rPr>
      <w:t>6</w:t>
    </w:r>
    <w:r>
      <w:rPr>
        <w:rStyle w:val="a9"/>
      </w:rPr>
      <w:fldChar w:fldCharType="end"/>
    </w:r>
    <w:r>
      <w:rPr>
        <w:lang w:val="en-US"/>
      </w:rPr>
      <w:tab/>
      <w:t>GE.16-</w:t>
    </w:r>
    <w:r w:rsidR="00EC5E81">
      <w:rPr>
        <w:lang w:val="en-US"/>
      </w:rPr>
      <w:t>18125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10" w:rsidRPr="009A6F4A" w:rsidRDefault="007A4D10">
    <w:pPr>
      <w:pStyle w:val="a7"/>
      <w:rPr>
        <w:lang w:val="en-US"/>
      </w:rPr>
    </w:pPr>
    <w:r>
      <w:rPr>
        <w:lang w:val="en-US"/>
      </w:rPr>
      <w:t>GE.16-</w:t>
    </w:r>
    <w:r w:rsidR="00EC5E81">
      <w:rPr>
        <w:lang w:val="en-US"/>
      </w:rPr>
      <w:t>18125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A3077">
      <w:rPr>
        <w:rStyle w:val="a9"/>
        <w:noProof/>
      </w:rPr>
      <w:t>7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A4D10" w:rsidRPr="00797A78" w:rsidTr="007A4D10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A4D10" w:rsidRPr="001C3ABC" w:rsidRDefault="007A4D10" w:rsidP="00EC5E8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C5E81">
            <w:rPr>
              <w:lang w:val="en-US"/>
            </w:rPr>
            <w:t>18125</w:t>
          </w:r>
          <w:r w:rsidRPr="001C3ABC">
            <w:rPr>
              <w:lang w:val="en-US"/>
            </w:rPr>
            <w:t xml:space="preserve"> (R)</w:t>
          </w:r>
          <w:r w:rsidR="00EC5E81">
            <w:rPr>
              <w:lang w:val="en-US"/>
            </w:rPr>
            <w:t xml:space="preserve">   271016   271016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A4D10" w:rsidRDefault="007A4D10" w:rsidP="007A4D10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92FD7E5" wp14:editId="4B7A3AF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A4D10" w:rsidRDefault="00EC5E81" w:rsidP="007A4D10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RPD/C/16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PD/C/16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4D10" w:rsidRPr="00797A78" w:rsidTr="007A4D10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A4D10" w:rsidRPr="00EC5E81" w:rsidRDefault="00EC5E81" w:rsidP="007A4D1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C5E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C5E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C5E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C5E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C5E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C5E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C5E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C5E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C5E8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A4D10" w:rsidRDefault="007A4D10" w:rsidP="007A4D10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A4D10" w:rsidRDefault="007A4D10" w:rsidP="007A4D10"/>
      </w:tc>
    </w:tr>
  </w:tbl>
  <w:p w:rsidR="007A4D10" w:rsidRDefault="007A4D10" w:rsidP="007A4D10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10" w:rsidRPr="009141DC" w:rsidRDefault="007A4D1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A4D10" w:rsidRPr="00D1261C" w:rsidRDefault="007A4D1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10" w:rsidRPr="005A734F" w:rsidRDefault="00EC5E81">
    <w:pPr>
      <w:pStyle w:val="a3"/>
      <w:rPr>
        <w:lang w:val="en-US"/>
      </w:rPr>
    </w:pPr>
    <w:proofErr w:type="spellStart"/>
    <w:r w:rsidRPr="00EC5E81">
      <w:rPr>
        <w:lang w:val="en-US"/>
      </w:rPr>
      <w:t>CRPD</w:t>
    </w:r>
    <w:proofErr w:type="spellEnd"/>
    <w:r w:rsidRPr="00EC5E81">
      <w:rPr>
        <w:lang w:val="en-US"/>
      </w:rPr>
      <w:t>/C/16/3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10" w:rsidRPr="009A6F4A" w:rsidRDefault="007A4D10">
    <w:pPr>
      <w:pStyle w:val="a3"/>
      <w:rPr>
        <w:lang w:val="en-US"/>
      </w:rPr>
    </w:pPr>
    <w:r>
      <w:rPr>
        <w:lang w:val="en-US"/>
      </w:rPr>
      <w:tab/>
    </w:r>
    <w:proofErr w:type="spellStart"/>
    <w:r w:rsidR="00EC5E81" w:rsidRPr="00EC5E81">
      <w:rPr>
        <w:lang w:val="en-US"/>
      </w:rPr>
      <w:t>CRPD</w:t>
    </w:r>
    <w:proofErr w:type="spellEnd"/>
    <w:r w:rsidR="00EC5E81" w:rsidRPr="00EC5E81">
      <w:rPr>
        <w:lang w:val="en-US"/>
      </w:rPr>
      <w:t>/C/16/3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10"/>
    <w:rsid w:val="000450D1"/>
    <w:rsid w:val="000677ED"/>
    <w:rsid w:val="000E5E55"/>
    <w:rsid w:val="000F2A4F"/>
    <w:rsid w:val="00203F84"/>
    <w:rsid w:val="00275188"/>
    <w:rsid w:val="0028687D"/>
    <w:rsid w:val="002B091C"/>
    <w:rsid w:val="002D0CCB"/>
    <w:rsid w:val="00345C79"/>
    <w:rsid w:val="00366A39"/>
    <w:rsid w:val="0047641D"/>
    <w:rsid w:val="0048005C"/>
    <w:rsid w:val="004E242B"/>
    <w:rsid w:val="00515E40"/>
    <w:rsid w:val="00544379"/>
    <w:rsid w:val="00566944"/>
    <w:rsid w:val="005C4872"/>
    <w:rsid w:val="005D56BF"/>
    <w:rsid w:val="005E02E1"/>
    <w:rsid w:val="00665D8D"/>
    <w:rsid w:val="006A7A3B"/>
    <w:rsid w:val="006B6B57"/>
    <w:rsid w:val="00705394"/>
    <w:rsid w:val="00743F62"/>
    <w:rsid w:val="00760D3A"/>
    <w:rsid w:val="00777042"/>
    <w:rsid w:val="007A1F42"/>
    <w:rsid w:val="007A4D10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B5A75"/>
    <w:rsid w:val="00BE1742"/>
    <w:rsid w:val="00C3067D"/>
    <w:rsid w:val="00CA3077"/>
    <w:rsid w:val="00D1261C"/>
    <w:rsid w:val="00D75DCE"/>
    <w:rsid w:val="00DD35AC"/>
    <w:rsid w:val="00DD479F"/>
    <w:rsid w:val="00E15E48"/>
    <w:rsid w:val="00EA00D6"/>
    <w:rsid w:val="00EB0723"/>
    <w:rsid w:val="00EC5E81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5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P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9A76-F182-4EAC-B295-E419BF29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9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Maykov</cp:lastModifiedBy>
  <cp:revision>2</cp:revision>
  <dcterms:created xsi:type="dcterms:W3CDTF">2016-10-27T15:44:00Z</dcterms:created>
  <dcterms:modified xsi:type="dcterms:W3CDTF">2016-10-27T15:44:00Z</dcterms:modified>
</cp:coreProperties>
</file>