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tblPr>
      <w:tblGrid>
        <w:gridCol w:w="1280"/>
        <w:gridCol w:w="3420"/>
        <w:gridCol w:w="2120"/>
        <w:gridCol w:w="2819"/>
      </w:tblGrid>
      <w:tr w:rsidR="007511D7" w:rsidRPr="00623599" w:rsidTr="002B43B0">
        <w:trPr>
          <w:cnfStyle w:val="100000000000"/>
          <w:trHeight w:hRule="exact" w:val="851"/>
        </w:trPr>
        <w:tc>
          <w:tcPr>
            <w:tcW w:w="4700" w:type="dxa"/>
            <w:gridSpan w:val="2"/>
            <w:tcBorders>
              <w:bottom w:val="single" w:sz="4" w:space="0" w:color="auto"/>
            </w:tcBorders>
            <w:vAlign w:val="bottom"/>
          </w:tcPr>
          <w:p w:rsidR="007511D7" w:rsidRPr="00623599" w:rsidRDefault="007511D7" w:rsidP="002B43B0">
            <w:pPr>
              <w:spacing w:after="80" w:line="300" w:lineRule="exact"/>
              <w:rPr>
                <w:sz w:val="28"/>
              </w:rPr>
            </w:pPr>
            <w:r w:rsidRPr="00623599">
              <w:rPr>
                <w:sz w:val="28"/>
              </w:rPr>
              <w:t>Организация Объединенных Наций</w:t>
            </w:r>
          </w:p>
        </w:tc>
        <w:tc>
          <w:tcPr>
            <w:tcW w:w="4939" w:type="dxa"/>
            <w:gridSpan w:val="2"/>
            <w:tcBorders>
              <w:bottom w:val="single" w:sz="4" w:space="0" w:color="auto"/>
            </w:tcBorders>
            <w:vAlign w:val="bottom"/>
          </w:tcPr>
          <w:p w:rsidR="007511D7" w:rsidRPr="00623599" w:rsidRDefault="007511D7" w:rsidP="002B43B0">
            <w:pPr>
              <w:jc w:val="right"/>
              <w:rPr>
                <w:sz w:val="20"/>
              </w:rPr>
            </w:pPr>
            <w:r w:rsidRPr="00623599">
              <w:rPr>
                <w:sz w:val="40"/>
                <w:szCs w:val="40"/>
              </w:rPr>
              <w:t>CERD</w:t>
            </w:r>
            <w:r w:rsidRPr="00623599">
              <w:rPr>
                <w:sz w:val="20"/>
              </w:rPr>
              <w:t>/</w:t>
            </w:r>
            <w:fldSimple w:instr=" FILLIN  &quot;Введите часть символа после CERD/&quot;  \* MERGEFORMAT ">
              <w:r w:rsidR="00706337" w:rsidRPr="00623599">
                <w:t>C/LTU/6-8</w:t>
              </w:r>
            </w:fldSimple>
          </w:p>
        </w:tc>
      </w:tr>
      <w:tr w:rsidR="007511D7" w:rsidRPr="00623599" w:rsidTr="002B43B0">
        <w:trPr>
          <w:trHeight w:hRule="exact" w:val="2835"/>
        </w:trPr>
        <w:tc>
          <w:tcPr>
            <w:tcW w:w="1280" w:type="dxa"/>
            <w:tcBorders>
              <w:top w:val="single" w:sz="4" w:space="0" w:color="auto"/>
              <w:bottom w:val="single" w:sz="12" w:space="0" w:color="auto"/>
            </w:tcBorders>
          </w:tcPr>
          <w:p w:rsidR="007511D7" w:rsidRPr="00623599" w:rsidRDefault="007511D7" w:rsidP="002B43B0">
            <w:pPr>
              <w:spacing w:before="120"/>
              <w:jc w:val="center"/>
            </w:pPr>
            <w:r w:rsidRPr="0062359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511D7" w:rsidRPr="00623599" w:rsidRDefault="007511D7" w:rsidP="007511D7">
            <w:pPr>
              <w:suppressAutoHyphens/>
              <w:spacing w:before="120" w:line="380" w:lineRule="exact"/>
              <w:rPr>
                <w:b/>
                <w:spacing w:val="-4"/>
                <w:w w:val="100"/>
                <w:sz w:val="34"/>
                <w:szCs w:val="40"/>
              </w:rPr>
            </w:pPr>
            <w:r w:rsidRPr="00623599">
              <w:rPr>
                <w:b/>
                <w:spacing w:val="-4"/>
                <w:w w:val="100"/>
                <w:sz w:val="34"/>
                <w:szCs w:val="40"/>
              </w:rPr>
              <w:t>Международная конвенция</w:t>
            </w:r>
            <w:r w:rsidRPr="00623599">
              <w:rPr>
                <w:b/>
                <w:spacing w:val="-4"/>
                <w:w w:val="100"/>
                <w:sz w:val="34"/>
                <w:szCs w:val="40"/>
              </w:rPr>
              <w:br/>
              <w:t>о ликвидации всех форм</w:t>
            </w:r>
            <w:r w:rsidRPr="00623599">
              <w:rPr>
                <w:b/>
                <w:spacing w:val="-4"/>
                <w:w w:val="100"/>
                <w:sz w:val="34"/>
                <w:szCs w:val="40"/>
              </w:rPr>
              <w:br/>
              <w:t>расовой дискриминации</w:t>
            </w:r>
          </w:p>
        </w:tc>
        <w:tc>
          <w:tcPr>
            <w:tcW w:w="2819" w:type="dxa"/>
            <w:tcBorders>
              <w:top w:val="single" w:sz="4" w:space="0" w:color="auto"/>
              <w:bottom w:val="single" w:sz="12" w:space="0" w:color="auto"/>
            </w:tcBorders>
          </w:tcPr>
          <w:p w:rsidR="007511D7" w:rsidRPr="00623599" w:rsidRDefault="007511D7" w:rsidP="002B43B0">
            <w:pPr>
              <w:spacing w:before="240" w:after="0"/>
              <w:rPr>
                <w:sz w:val="20"/>
              </w:rPr>
            </w:pPr>
            <w:proofErr w:type="spellStart"/>
            <w:r w:rsidRPr="00623599">
              <w:rPr>
                <w:sz w:val="20"/>
              </w:rPr>
              <w:t>Distr</w:t>
            </w:r>
            <w:proofErr w:type="spellEnd"/>
            <w:r w:rsidRPr="00623599">
              <w:rPr>
                <w:sz w:val="20"/>
              </w:rPr>
              <w:t xml:space="preserve">.: </w:t>
            </w:r>
            <w:bookmarkStart w:id="0" w:name="ПолеСоСписком1"/>
            <w:r w:rsidRPr="00623599">
              <w:rPr>
                <w:sz w:val="20"/>
              </w:rPr>
              <w:fldChar w:fldCharType="begin">
                <w:ffData>
                  <w:name w:val="ПолеСоСписком1"/>
                  <w:enabled/>
                  <w:calcOnExit w:val="0"/>
                  <w:ddList>
                    <w:listEntry w:val="General"/>
                    <w:listEntry w:val="Limited"/>
                    <w:listEntry w:val="Restricted"/>
                  </w:ddList>
                </w:ffData>
              </w:fldChar>
            </w:r>
            <w:r w:rsidRPr="00623599">
              <w:rPr>
                <w:sz w:val="20"/>
              </w:rPr>
              <w:instrText xml:space="preserve"> FORMDROPDOWN </w:instrText>
            </w:r>
            <w:r w:rsidRPr="00623599">
              <w:rPr>
                <w:sz w:val="20"/>
              </w:rPr>
            </w:r>
            <w:r w:rsidRPr="00623599">
              <w:rPr>
                <w:sz w:val="20"/>
              </w:rPr>
              <w:fldChar w:fldCharType="end"/>
            </w:r>
            <w:bookmarkEnd w:id="0"/>
          </w:p>
          <w:p w:rsidR="007511D7" w:rsidRPr="00623599" w:rsidRDefault="007511D7" w:rsidP="002B43B0">
            <w:pPr>
              <w:spacing w:before="0" w:after="0"/>
              <w:rPr>
                <w:sz w:val="20"/>
              </w:rPr>
            </w:pPr>
            <w:r w:rsidRPr="00623599">
              <w:rPr>
                <w:sz w:val="20"/>
              </w:rPr>
              <w:fldChar w:fldCharType="begin"/>
            </w:r>
            <w:r w:rsidRPr="00623599">
              <w:rPr>
                <w:sz w:val="20"/>
              </w:rPr>
              <w:instrText xml:space="preserve"> FILLIN  "Введите дату документа" \* MERGEFORMAT </w:instrText>
            </w:r>
            <w:r w:rsidR="00706337" w:rsidRPr="00623599">
              <w:rPr>
                <w:sz w:val="20"/>
              </w:rPr>
              <w:fldChar w:fldCharType="separate"/>
            </w:r>
            <w:r w:rsidR="00706337" w:rsidRPr="00623599">
              <w:rPr>
                <w:sz w:val="20"/>
              </w:rPr>
              <w:t xml:space="preserve">1 </w:t>
            </w:r>
            <w:proofErr w:type="spellStart"/>
            <w:r w:rsidR="00706337" w:rsidRPr="00623599">
              <w:rPr>
                <w:sz w:val="20"/>
              </w:rPr>
              <w:t>September</w:t>
            </w:r>
            <w:proofErr w:type="spellEnd"/>
            <w:r w:rsidR="00706337" w:rsidRPr="00623599">
              <w:rPr>
                <w:sz w:val="20"/>
              </w:rPr>
              <w:t xml:space="preserve"> 2014 </w:t>
            </w:r>
            <w:r w:rsidRPr="00623599">
              <w:rPr>
                <w:sz w:val="20"/>
              </w:rPr>
              <w:fldChar w:fldCharType="end"/>
            </w:r>
          </w:p>
          <w:p w:rsidR="007511D7" w:rsidRPr="00623599" w:rsidRDefault="007511D7" w:rsidP="002B43B0">
            <w:pPr>
              <w:spacing w:before="0" w:after="0"/>
              <w:rPr>
                <w:sz w:val="20"/>
              </w:rPr>
            </w:pPr>
            <w:proofErr w:type="spellStart"/>
            <w:r w:rsidRPr="00623599">
              <w:rPr>
                <w:sz w:val="20"/>
              </w:rPr>
              <w:t>Russian</w:t>
            </w:r>
            <w:proofErr w:type="spellEnd"/>
          </w:p>
          <w:p w:rsidR="007511D7" w:rsidRPr="00623599" w:rsidRDefault="007511D7" w:rsidP="002B43B0">
            <w:pPr>
              <w:spacing w:before="0" w:after="0"/>
              <w:rPr>
                <w:sz w:val="20"/>
              </w:rPr>
            </w:pPr>
            <w:proofErr w:type="spellStart"/>
            <w:r w:rsidRPr="00623599">
              <w:rPr>
                <w:sz w:val="20"/>
              </w:rPr>
              <w:t>Original</w:t>
            </w:r>
            <w:proofErr w:type="spellEnd"/>
            <w:r w:rsidRPr="00623599">
              <w:rPr>
                <w:sz w:val="20"/>
              </w:rPr>
              <w:t xml:space="preserve">: </w:t>
            </w:r>
            <w:bookmarkStart w:id="1" w:name="ПолеСоСписком2"/>
            <w:r w:rsidRPr="00623599">
              <w:rPr>
                <w:sz w:val="20"/>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623599">
              <w:rPr>
                <w:sz w:val="20"/>
              </w:rPr>
              <w:instrText xml:space="preserve"> FORMDROPDOWN </w:instrText>
            </w:r>
            <w:r w:rsidRPr="00623599">
              <w:rPr>
                <w:sz w:val="20"/>
              </w:rPr>
            </w:r>
            <w:r w:rsidRPr="00623599">
              <w:rPr>
                <w:sz w:val="20"/>
              </w:rPr>
              <w:fldChar w:fldCharType="end"/>
            </w:r>
            <w:bookmarkEnd w:id="1"/>
          </w:p>
          <w:p w:rsidR="007511D7" w:rsidRPr="00623599" w:rsidRDefault="007511D7" w:rsidP="002B43B0"/>
        </w:tc>
      </w:tr>
    </w:tbl>
    <w:p w:rsidR="00706337" w:rsidRPr="00623599" w:rsidRDefault="00706337" w:rsidP="00706337">
      <w:pPr>
        <w:spacing w:before="120"/>
        <w:rPr>
          <w:b/>
          <w:sz w:val="24"/>
          <w:szCs w:val="24"/>
        </w:rPr>
      </w:pPr>
      <w:r w:rsidRPr="00623599">
        <w:rPr>
          <w:b/>
          <w:sz w:val="24"/>
          <w:szCs w:val="24"/>
        </w:rPr>
        <w:t>Комитет по ликвидации расовой дискриминации</w:t>
      </w:r>
    </w:p>
    <w:p w:rsidR="00706337" w:rsidRPr="00623599" w:rsidRDefault="00706337" w:rsidP="00706337">
      <w:pPr>
        <w:pStyle w:val="HChGR"/>
      </w:pPr>
      <w:r w:rsidRPr="00623599">
        <w:tab/>
      </w:r>
      <w:r w:rsidRPr="00623599">
        <w:tab/>
        <w:t>Рассмотрение докладов, представляемых государствами-участниками в соответствии со</w:t>
      </w:r>
      <w:r w:rsidR="00623599" w:rsidRPr="00623599">
        <w:t> </w:t>
      </w:r>
      <w:r w:rsidRPr="00623599">
        <w:t>статьей 9 Конвенции</w:t>
      </w:r>
    </w:p>
    <w:p w:rsidR="00706337" w:rsidRPr="00623599" w:rsidRDefault="00706337" w:rsidP="00706337">
      <w:pPr>
        <w:pStyle w:val="H1GR"/>
      </w:pPr>
      <w:r w:rsidRPr="00623599">
        <w:tab/>
      </w:r>
      <w:r w:rsidRPr="00623599">
        <w:tab/>
        <w:t>Шестой, седьмой и восьмой периодические доклады, подлежащие представлению в 2014 году</w:t>
      </w:r>
    </w:p>
    <w:p w:rsidR="00706337" w:rsidRPr="00623599" w:rsidRDefault="00706337" w:rsidP="00623599">
      <w:pPr>
        <w:pStyle w:val="HChGR"/>
      </w:pPr>
      <w:r w:rsidRPr="00623599">
        <w:tab/>
      </w:r>
      <w:r w:rsidRPr="00623599">
        <w:tab/>
        <w:t>Литва</w:t>
      </w:r>
      <w:r w:rsidR="00623599" w:rsidRPr="00623599">
        <w:rPr>
          <w:rStyle w:val="FootnoteReference"/>
          <w:b w:val="0"/>
          <w:sz w:val="20"/>
          <w:vertAlign w:val="baseline"/>
        </w:rPr>
        <w:footnoteReference w:customMarkFollows="1" w:id="1"/>
        <w:t>*</w:t>
      </w:r>
    </w:p>
    <w:p w:rsidR="00706337" w:rsidRPr="00623599" w:rsidRDefault="00706337" w:rsidP="00623599">
      <w:pPr>
        <w:pStyle w:val="SingleTxtGR"/>
        <w:jc w:val="right"/>
      </w:pPr>
      <w:r w:rsidRPr="00623599">
        <w:t>[Дата получения: 11 июня 2014 года]</w:t>
      </w:r>
    </w:p>
    <w:p w:rsidR="00623599" w:rsidRPr="00623599" w:rsidRDefault="00706337" w:rsidP="00623599">
      <w:pPr>
        <w:pStyle w:val="SingleTxtGR"/>
        <w:suppressAutoHyphens/>
        <w:ind w:left="0" w:right="0"/>
        <w:jc w:val="left"/>
        <w:rPr>
          <w:sz w:val="28"/>
        </w:rPr>
      </w:pPr>
      <w:r w:rsidRPr="00623599">
        <w:br w:type="page"/>
      </w:r>
      <w:r w:rsidR="00623599" w:rsidRPr="00623599">
        <w:rPr>
          <w:sz w:val="28"/>
        </w:rPr>
        <w:t>Содержание</w:t>
      </w:r>
    </w:p>
    <w:p w:rsidR="00623599" w:rsidRPr="00623599" w:rsidRDefault="00623599" w:rsidP="00623599">
      <w:pPr>
        <w:pStyle w:val="SingleTxtGR"/>
        <w:tabs>
          <w:tab w:val="clear" w:pos="1701"/>
          <w:tab w:val="clear" w:pos="2268"/>
          <w:tab w:val="clear" w:pos="2835"/>
          <w:tab w:val="clear" w:pos="3402"/>
          <w:tab w:val="clear" w:pos="3969"/>
          <w:tab w:val="right" w:pos="8929"/>
          <w:tab w:val="right" w:pos="9638"/>
        </w:tabs>
        <w:suppressAutoHyphens/>
        <w:ind w:left="283" w:right="0"/>
        <w:jc w:val="left"/>
      </w:pPr>
      <w:r w:rsidRPr="00623599">
        <w:rPr>
          <w:i/>
          <w:sz w:val="18"/>
        </w:rPr>
        <w:tab/>
        <w:t>Пункты</w:t>
      </w:r>
      <w:r w:rsidRPr="00623599">
        <w:rPr>
          <w:i/>
          <w:sz w:val="18"/>
        </w:rPr>
        <w:tab/>
        <w:t>Стр.</w:t>
      </w:r>
    </w:p>
    <w:p w:rsidR="00706337" w:rsidRPr="00623599" w:rsidRDefault="00706337" w:rsidP="00623599">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23599">
        <w:tab/>
        <w:t>I.</w:t>
      </w:r>
      <w:r w:rsidRPr="00623599">
        <w:tab/>
        <w:t>Введение</w:t>
      </w:r>
      <w:r w:rsidRPr="00623599">
        <w:tab/>
      </w:r>
      <w:r w:rsidRPr="00623599">
        <w:tab/>
        <w:t>1−3</w:t>
      </w:r>
      <w:r w:rsidRPr="00623599">
        <w:tab/>
      </w:r>
      <w:r w:rsidR="00B866B7">
        <w:t>3</w:t>
      </w:r>
    </w:p>
    <w:p w:rsidR="00706337" w:rsidRPr="00623599" w:rsidRDefault="00706337" w:rsidP="00623599">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23599">
        <w:tab/>
        <w:t>II.</w:t>
      </w:r>
      <w:r w:rsidRPr="00623599">
        <w:tab/>
        <w:t>Информация об осуществлении рекомендаций Комитета</w:t>
      </w:r>
      <w:r w:rsidRPr="00623599">
        <w:tab/>
      </w:r>
      <w:r w:rsidRPr="00623599">
        <w:tab/>
        <w:t>4−95</w:t>
      </w:r>
      <w:r w:rsidRPr="00623599">
        <w:tab/>
      </w:r>
      <w:r w:rsidR="00B866B7">
        <w:t>3</w:t>
      </w:r>
    </w:p>
    <w:p w:rsidR="00706337" w:rsidRPr="00623599" w:rsidRDefault="00706337" w:rsidP="00623599">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23599">
        <w:tab/>
        <w:t>III.</w:t>
      </w:r>
      <w:r w:rsidRPr="00623599">
        <w:tab/>
        <w:t>Информация, касающаяся статей Конвенции</w:t>
      </w:r>
      <w:r w:rsidRPr="00623599">
        <w:tab/>
      </w:r>
      <w:r w:rsidRPr="00623599">
        <w:tab/>
        <w:t>96−232</w:t>
      </w:r>
      <w:r w:rsidRPr="00623599">
        <w:tab/>
      </w:r>
      <w:r w:rsidR="00B866B7">
        <w:t>28</w:t>
      </w:r>
    </w:p>
    <w:p w:rsidR="00706337" w:rsidRPr="00623599" w:rsidRDefault="00706337" w:rsidP="00623599">
      <w:pPr>
        <w:pStyle w:val="SingleTxtGR"/>
        <w:tabs>
          <w:tab w:val="clear" w:pos="1701"/>
          <w:tab w:val="clear" w:pos="2268"/>
          <w:tab w:val="clear" w:pos="2835"/>
          <w:tab w:val="clear" w:pos="3402"/>
          <w:tab w:val="clear" w:pos="3969"/>
          <w:tab w:val="right" w:pos="850"/>
          <w:tab w:val="left" w:pos="1134"/>
          <w:tab w:val="left" w:pos="1559"/>
          <w:tab w:val="left" w:leader="dot" w:pos="7654"/>
          <w:tab w:val="right" w:pos="8929"/>
          <w:tab w:val="right" w:pos="9638"/>
        </w:tabs>
        <w:suppressAutoHyphens/>
        <w:ind w:left="0" w:right="0"/>
        <w:jc w:val="left"/>
      </w:pPr>
      <w:r w:rsidRPr="00623599">
        <w:t xml:space="preserve"> </w:t>
      </w:r>
      <w:r w:rsidR="00623599" w:rsidRPr="00623599">
        <w:tab/>
      </w:r>
      <w:r w:rsidR="00623599" w:rsidRPr="00623599">
        <w:tab/>
      </w:r>
      <w:r w:rsidRPr="00623599">
        <w:t>Статья 2</w:t>
      </w:r>
      <w:r w:rsidRPr="00623599">
        <w:tab/>
      </w:r>
      <w:r w:rsidRPr="00623599">
        <w:tab/>
        <w:t>96−118</w:t>
      </w:r>
      <w:r w:rsidRPr="00623599">
        <w:tab/>
      </w:r>
      <w:r w:rsidR="00B866B7">
        <w:t>28</w:t>
      </w:r>
    </w:p>
    <w:p w:rsidR="00706337" w:rsidRPr="00623599" w:rsidRDefault="00706337" w:rsidP="00623599">
      <w:pPr>
        <w:pStyle w:val="SingleTxtGR"/>
        <w:tabs>
          <w:tab w:val="clear" w:pos="1701"/>
          <w:tab w:val="clear" w:pos="2268"/>
          <w:tab w:val="clear" w:pos="2835"/>
          <w:tab w:val="clear" w:pos="3402"/>
          <w:tab w:val="clear" w:pos="3969"/>
          <w:tab w:val="right" w:pos="850"/>
          <w:tab w:val="left" w:pos="1134"/>
          <w:tab w:val="left" w:pos="1559"/>
          <w:tab w:val="left" w:leader="dot" w:pos="7654"/>
          <w:tab w:val="right" w:pos="8929"/>
          <w:tab w:val="right" w:pos="9638"/>
        </w:tabs>
        <w:suppressAutoHyphens/>
        <w:ind w:left="0" w:right="0"/>
        <w:jc w:val="left"/>
      </w:pPr>
      <w:r w:rsidRPr="00623599">
        <w:t xml:space="preserve"> </w:t>
      </w:r>
      <w:r w:rsidR="00623599" w:rsidRPr="00623599">
        <w:tab/>
      </w:r>
      <w:r w:rsidR="00623599" w:rsidRPr="00623599">
        <w:tab/>
      </w:r>
      <w:r w:rsidRPr="00623599">
        <w:t>Статья 3</w:t>
      </w:r>
      <w:r w:rsidRPr="00623599">
        <w:tab/>
      </w:r>
      <w:r w:rsidRPr="00623599">
        <w:tab/>
        <w:t>119-121</w:t>
      </w:r>
      <w:r w:rsidRPr="00623599">
        <w:tab/>
      </w:r>
      <w:r w:rsidR="00B866B7">
        <w:t>33</w:t>
      </w:r>
    </w:p>
    <w:p w:rsidR="00706337" w:rsidRPr="00623599" w:rsidRDefault="00706337" w:rsidP="00623599">
      <w:pPr>
        <w:pStyle w:val="SingleTxtGR"/>
        <w:tabs>
          <w:tab w:val="clear" w:pos="1701"/>
          <w:tab w:val="clear" w:pos="2268"/>
          <w:tab w:val="clear" w:pos="2835"/>
          <w:tab w:val="clear" w:pos="3402"/>
          <w:tab w:val="clear" w:pos="3969"/>
          <w:tab w:val="right" w:pos="850"/>
          <w:tab w:val="left" w:pos="1134"/>
          <w:tab w:val="left" w:pos="1559"/>
          <w:tab w:val="left" w:leader="dot" w:pos="7654"/>
          <w:tab w:val="right" w:pos="8929"/>
          <w:tab w:val="right" w:pos="9638"/>
        </w:tabs>
        <w:suppressAutoHyphens/>
        <w:ind w:left="0" w:right="0"/>
        <w:jc w:val="left"/>
      </w:pPr>
      <w:r w:rsidRPr="00623599">
        <w:t xml:space="preserve"> </w:t>
      </w:r>
      <w:r w:rsidR="00623599" w:rsidRPr="00623599">
        <w:tab/>
      </w:r>
      <w:r w:rsidR="00623599" w:rsidRPr="00623599">
        <w:tab/>
      </w:r>
      <w:r w:rsidRPr="00623599">
        <w:t>Статья 4</w:t>
      </w:r>
      <w:r w:rsidRPr="00623599">
        <w:tab/>
      </w:r>
      <w:r w:rsidRPr="00623599">
        <w:tab/>
        <w:t>122−135</w:t>
      </w:r>
      <w:r w:rsidRPr="00623599">
        <w:tab/>
      </w:r>
      <w:r w:rsidR="00B866B7">
        <w:t>34</w:t>
      </w:r>
    </w:p>
    <w:p w:rsidR="00706337" w:rsidRPr="00623599" w:rsidRDefault="00706337" w:rsidP="00623599">
      <w:pPr>
        <w:pStyle w:val="SingleTxtGR"/>
        <w:tabs>
          <w:tab w:val="clear" w:pos="1701"/>
          <w:tab w:val="clear" w:pos="2268"/>
          <w:tab w:val="clear" w:pos="2835"/>
          <w:tab w:val="clear" w:pos="3402"/>
          <w:tab w:val="clear" w:pos="3969"/>
          <w:tab w:val="right" w:pos="850"/>
          <w:tab w:val="left" w:pos="1134"/>
          <w:tab w:val="left" w:pos="1559"/>
          <w:tab w:val="left" w:leader="dot" w:pos="7654"/>
          <w:tab w:val="right" w:pos="8929"/>
          <w:tab w:val="right" w:pos="9638"/>
        </w:tabs>
        <w:suppressAutoHyphens/>
        <w:ind w:left="0" w:right="0"/>
        <w:jc w:val="left"/>
      </w:pPr>
      <w:r w:rsidRPr="00623599">
        <w:t xml:space="preserve"> </w:t>
      </w:r>
      <w:r w:rsidR="00623599" w:rsidRPr="00623599">
        <w:tab/>
      </w:r>
      <w:r w:rsidR="00623599" w:rsidRPr="00623599">
        <w:tab/>
      </w:r>
      <w:r w:rsidRPr="00623599">
        <w:t>Статья 5</w:t>
      </w:r>
      <w:r w:rsidRPr="00623599">
        <w:tab/>
      </w:r>
      <w:r w:rsidRPr="00623599">
        <w:tab/>
        <w:t>136−184</w:t>
      </w:r>
      <w:r w:rsidRPr="00623599">
        <w:tab/>
      </w:r>
      <w:r w:rsidR="00B866B7">
        <w:t>38</w:t>
      </w:r>
    </w:p>
    <w:p w:rsidR="00706337" w:rsidRPr="00623599" w:rsidRDefault="00706337" w:rsidP="00623599">
      <w:pPr>
        <w:pStyle w:val="SingleTxtGR"/>
        <w:tabs>
          <w:tab w:val="clear" w:pos="1701"/>
          <w:tab w:val="clear" w:pos="2268"/>
          <w:tab w:val="clear" w:pos="2835"/>
          <w:tab w:val="clear" w:pos="3402"/>
          <w:tab w:val="clear" w:pos="3969"/>
          <w:tab w:val="right" w:pos="850"/>
          <w:tab w:val="left" w:pos="1134"/>
          <w:tab w:val="left" w:pos="1559"/>
          <w:tab w:val="left" w:leader="dot" w:pos="7654"/>
          <w:tab w:val="right" w:pos="8929"/>
          <w:tab w:val="right" w:pos="9638"/>
        </w:tabs>
        <w:suppressAutoHyphens/>
        <w:ind w:left="0" w:right="0"/>
        <w:jc w:val="left"/>
      </w:pPr>
      <w:r w:rsidRPr="00623599">
        <w:tab/>
      </w:r>
      <w:r w:rsidRPr="00623599">
        <w:tab/>
        <w:t>Статья 6</w:t>
      </w:r>
      <w:r w:rsidRPr="00623599">
        <w:tab/>
      </w:r>
      <w:r w:rsidRPr="00623599">
        <w:tab/>
        <w:t>185−198</w:t>
      </w:r>
      <w:r w:rsidRPr="00623599">
        <w:tab/>
      </w:r>
      <w:r w:rsidR="00B866B7">
        <w:t>55</w:t>
      </w:r>
    </w:p>
    <w:p w:rsidR="00706337" w:rsidRPr="00623599" w:rsidRDefault="00706337" w:rsidP="00623599">
      <w:pPr>
        <w:pStyle w:val="SingleTxtGR"/>
        <w:tabs>
          <w:tab w:val="clear" w:pos="1701"/>
          <w:tab w:val="clear" w:pos="2268"/>
          <w:tab w:val="clear" w:pos="2835"/>
          <w:tab w:val="clear" w:pos="3402"/>
          <w:tab w:val="clear" w:pos="3969"/>
          <w:tab w:val="right" w:pos="850"/>
          <w:tab w:val="left" w:pos="1134"/>
          <w:tab w:val="left" w:pos="1559"/>
          <w:tab w:val="left" w:leader="dot" w:pos="7654"/>
          <w:tab w:val="right" w:pos="8929"/>
          <w:tab w:val="right" w:pos="9638"/>
        </w:tabs>
        <w:suppressAutoHyphens/>
        <w:ind w:left="0" w:right="0"/>
        <w:jc w:val="left"/>
      </w:pPr>
      <w:r w:rsidRPr="00623599">
        <w:tab/>
      </w:r>
      <w:r w:rsidRPr="00623599">
        <w:tab/>
        <w:t>Статья 7</w:t>
      </w:r>
      <w:r w:rsidRPr="00623599">
        <w:tab/>
      </w:r>
      <w:r w:rsidRPr="00623599">
        <w:tab/>
        <w:t>199−232</w:t>
      </w:r>
      <w:r w:rsidRPr="00623599">
        <w:tab/>
      </w:r>
      <w:r w:rsidR="00B866B7">
        <w:t>59</w:t>
      </w:r>
    </w:p>
    <w:p w:rsidR="00EF0E81" w:rsidRPr="00EF0E81" w:rsidRDefault="00706337" w:rsidP="00EF0E81">
      <w:pPr>
        <w:pStyle w:val="SingleTxtGR"/>
        <w:tabs>
          <w:tab w:val="clear" w:pos="1701"/>
          <w:tab w:val="clear" w:pos="2268"/>
          <w:tab w:val="clear" w:pos="2835"/>
          <w:tab w:val="clear" w:pos="3402"/>
          <w:tab w:val="clear" w:pos="3969"/>
          <w:tab w:val="right" w:pos="850"/>
          <w:tab w:val="left" w:pos="1134"/>
          <w:tab w:val="left" w:pos="1559"/>
          <w:tab w:val="left" w:leader="dot" w:pos="7654"/>
          <w:tab w:val="right" w:pos="8929"/>
          <w:tab w:val="right" w:pos="9638"/>
        </w:tabs>
        <w:suppressAutoHyphens/>
        <w:ind w:left="0" w:right="0"/>
        <w:jc w:val="left"/>
      </w:pPr>
      <w:r w:rsidRPr="00623599">
        <w:tab/>
        <w:t>Приложения</w:t>
      </w:r>
      <w:r w:rsidR="00EF0E81" w:rsidRPr="00EF0E81">
        <w:footnoteReference w:customMarkFollows="1" w:id="2"/>
        <w:t>**</w:t>
      </w:r>
    </w:p>
    <w:p w:rsidR="00706337" w:rsidRPr="00623599" w:rsidRDefault="00EF0E81" w:rsidP="00EF0E81">
      <w:pPr>
        <w:pStyle w:val="HChGR"/>
        <w:pageBreakBefore/>
      </w:pPr>
      <w:r>
        <w:rPr>
          <w:lang w:val="en-US"/>
        </w:rPr>
        <w:tab/>
        <w:t>I</w:t>
      </w:r>
      <w:r>
        <w:t>.</w:t>
      </w:r>
      <w:r>
        <w:tab/>
      </w:r>
      <w:r w:rsidR="00706337" w:rsidRPr="00623599">
        <w:t>Введение</w:t>
      </w:r>
    </w:p>
    <w:p w:rsidR="00706337" w:rsidRPr="00623599" w:rsidRDefault="00706337" w:rsidP="00706337">
      <w:pPr>
        <w:pStyle w:val="SingleTxtGR"/>
      </w:pPr>
      <w:r w:rsidRPr="00623599">
        <w:t>1.</w:t>
      </w:r>
      <w:r w:rsidRPr="00623599">
        <w:tab/>
        <w:t>Настоящий доклад, представляемый Правительством Литвы в соответс</w:t>
      </w:r>
      <w:r w:rsidRPr="00623599">
        <w:t>т</w:t>
      </w:r>
      <w:r w:rsidRPr="00623599">
        <w:t>вии со стать</w:t>
      </w:r>
      <w:r w:rsidR="00FE0EFD">
        <w:t>е</w:t>
      </w:r>
      <w:r w:rsidRPr="00623599">
        <w:t>й 9 Международной конвенции о ликвидации всех форм расовой дискриминации, объединяет в себе шестой, седьмой и восьмой периодические доклады. В докладе содержится обзор прогресса, достигнутого Литвой в деле реализации положений Конвенции за период после представления четвертого и пятого периодических докладов Литвы.</w:t>
      </w:r>
    </w:p>
    <w:p w:rsidR="00706337" w:rsidRPr="00623599" w:rsidRDefault="00706337" w:rsidP="00706337">
      <w:pPr>
        <w:pStyle w:val="SingleTxtGR"/>
      </w:pPr>
      <w:r w:rsidRPr="00623599">
        <w:t>2.</w:t>
      </w:r>
      <w:r w:rsidRPr="00623599">
        <w:tab/>
        <w:t>Настоящий доклад был составлен в соответствии с руководящими при</w:t>
      </w:r>
      <w:r w:rsidRPr="00623599">
        <w:t>н</w:t>
      </w:r>
      <w:r w:rsidRPr="00623599">
        <w:t>ципами и общими рекомендациями в отношении подготовки докладов, утве</w:t>
      </w:r>
      <w:r w:rsidRPr="00623599">
        <w:t>р</w:t>
      </w:r>
      <w:r w:rsidRPr="00623599">
        <w:t>жд</w:t>
      </w:r>
      <w:r w:rsidR="00FE0EFD">
        <w:t>е</w:t>
      </w:r>
      <w:r w:rsidRPr="00623599">
        <w:t>нными Комитетом по ликвидации расовой дискриминации. В ходе подг</w:t>
      </w:r>
      <w:r w:rsidRPr="00623599">
        <w:t>о</w:t>
      </w:r>
      <w:r w:rsidRPr="00623599">
        <w:t>товки доклада должное внимание уделялось заключительным замечаниям К</w:t>
      </w:r>
      <w:r w:rsidRPr="00623599">
        <w:t>о</w:t>
      </w:r>
      <w:r w:rsidRPr="00623599">
        <w:t>митета по четвертому и пятому периодическим докладам Литвы, утвержденным Комитетом на его 78-й сессии 10 марта 2011 года (CERD/C/LTU/CO/4-5). При</w:t>
      </w:r>
      <w:r w:rsidR="00664A2F">
        <w:rPr>
          <w:lang w:val="en-US"/>
        </w:rPr>
        <w:t> </w:t>
      </w:r>
      <w:r w:rsidRPr="00623599">
        <w:t>подготовке доклада были также надлежащим образом учтены доклад Ли</w:t>
      </w:r>
      <w:r w:rsidRPr="00623599">
        <w:t>т</w:t>
      </w:r>
      <w:r w:rsidRPr="00623599">
        <w:t>вы об осуществлении рекомендаций, содержащихся в пункте 30 заключител</w:t>
      </w:r>
      <w:r w:rsidRPr="00623599">
        <w:t>ь</w:t>
      </w:r>
      <w:r w:rsidRPr="00623599">
        <w:t>ных замечаний (CERD/C/LTU/CO/4-5/Add.1), а также письмо Комитета по ит</w:t>
      </w:r>
      <w:r w:rsidRPr="00623599">
        <w:t>о</w:t>
      </w:r>
      <w:r w:rsidRPr="00623599">
        <w:t>гам анализа этого доклада с просьбой о предоставлении дополнительной и</w:t>
      </w:r>
      <w:r w:rsidRPr="00623599">
        <w:t>н</w:t>
      </w:r>
      <w:r w:rsidRPr="00623599">
        <w:t>формации (CERD/81st/FU/GH/FM).</w:t>
      </w:r>
    </w:p>
    <w:p w:rsidR="00706337" w:rsidRPr="00623599" w:rsidRDefault="00706337" w:rsidP="00706337">
      <w:pPr>
        <w:pStyle w:val="SingleTxtGR"/>
      </w:pPr>
      <w:r w:rsidRPr="00623599">
        <w:t>3.</w:t>
      </w:r>
      <w:r w:rsidRPr="00623599">
        <w:tab/>
        <w:t>Вошедшие в настоящий доклад сведения были получены от более чем 40</w:t>
      </w:r>
      <w:r w:rsidR="00664A2F">
        <w:rPr>
          <w:lang w:val="en-US"/>
        </w:rPr>
        <w:t> </w:t>
      </w:r>
      <w:r w:rsidRPr="00623599">
        <w:t>органов государственного управления, муниципальных органов, учебных з</w:t>
      </w:r>
      <w:r w:rsidRPr="00623599">
        <w:t>а</w:t>
      </w:r>
      <w:r w:rsidRPr="00623599">
        <w:t>ведений и научных учреждений, а также неправительственных организаций. Во</w:t>
      </w:r>
      <w:r w:rsidR="00664A2F">
        <w:rPr>
          <w:lang w:val="en-US"/>
        </w:rPr>
        <w:t> </w:t>
      </w:r>
      <w:r w:rsidRPr="00623599">
        <w:t>исполнение требования о проведении общественных консультаций проект доклада был вынесен на рассмотрение литовского гражданского общества, включая неправительственные организации, занимающиеся вопросами прав ч</w:t>
      </w:r>
      <w:r w:rsidRPr="00623599">
        <w:t>е</w:t>
      </w:r>
      <w:r w:rsidRPr="00623599">
        <w:t>ловека.</w:t>
      </w:r>
    </w:p>
    <w:p w:rsidR="008F52F9" w:rsidRPr="00642D0B" w:rsidRDefault="008F52F9" w:rsidP="008F52F9">
      <w:pPr>
        <w:pStyle w:val="HChGR"/>
      </w:pPr>
      <w:r>
        <w:tab/>
      </w:r>
      <w:r w:rsidRPr="00642D0B">
        <w:rPr>
          <w:lang w:val="en-US"/>
        </w:rPr>
        <w:t>II</w:t>
      </w:r>
      <w:r w:rsidRPr="00642D0B">
        <w:t>.</w:t>
      </w:r>
      <w:r w:rsidRPr="00642D0B">
        <w:tab/>
        <w:t>Информация об осуществлении рекомендаций Комитета</w:t>
      </w:r>
    </w:p>
    <w:p w:rsidR="008F52F9" w:rsidRPr="00642D0B" w:rsidRDefault="008F52F9" w:rsidP="008F52F9">
      <w:pPr>
        <w:pStyle w:val="SingleTxtGR"/>
      </w:pPr>
      <w:r w:rsidRPr="00642D0B">
        <w:t>4.</w:t>
      </w:r>
      <w:r w:rsidRPr="00642D0B">
        <w:tab/>
        <w:t>В докладе приводятся ссылки на рекомендации, содержащиеся в пун</w:t>
      </w:r>
      <w:r w:rsidRPr="00642D0B">
        <w:t>к</w:t>
      </w:r>
      <w:r w:rsidRPr="00642D0B">
        <w:t>тах</w:t>
      </w:r>
      <w:r>
        <w:t> 10−</w:t>
      </w:r>
      <w:r w:rsidRPr="00642D0B">
        <w:t>29 заключительных замечаний Комитета по четвертому и пятому пери</w:t>
      </w:r>
      <w:r w:rsidRPr="00642D0B">
        <w:t>о</w:t>
      </w:r>
      <w:r w:rsidRPr="00642D0B">
        <w:t>дическим докладам Литвы (</w:t>
      </w:r>
      <w:r w:rsidRPr="00642D0B">
        <w:rPr>
          <w:lang w:val="en-US"/>
        </w:rPr>
        <w:t>CERD</w:t>
      </w:r>
      <w:r w:rsidRPr="00642D0B">
        <w:t>/</w:t>
      </w:r>
      <w:r w:rsidRPr="00642D0B">
        <w:rPr>
          <w:lang w:val="en-US"/>
        </w:rPr>
        <w:t>C</w:t>
      </w:r>
      <w:r w:rsidRPr="00642D0B">
        <w:t>/</w:t>
      </w:r>
      <w:r w:rsidRPr="00642D0B">
        <w:rPr>
          <w:lang w:val="en-US"/>
        </w:rPr>
        <w:t>LTU</w:t>
      </w:r>
      <w:r w:rsidRPr="00642D0B">
        <w:t>/</w:t>
      </w:r>
      <w:r w:rsidRPr="00642D0B">
        <w:rPr>
          <w:lang w:val="en-US"/>
        </w:rPr>
        <w:t>CO</w:t>
      </w:r>
      <w:r w:rsidRPr="00642D0B">
        <w:t>/4-5). Что касается рекомендаций, содержащихся в пунктах 12, 15, 18 и 19 заключительных замечаний, то дол</w:t>
      </w:r>
      <w:r w:rsidRPr="00642D0B">
        <w:t>ж</w:t>
      </w:r>
      <w:r w:rsidRPr="00642D0B">
        <w:t>ным образом было принято во внимание письмо Комитета, в котором подтве</w:t>
      </w:r>
      <w:r w:rsidRPr="00642D0B">
        <w:t>р</w:t>
      </w:r>
      <w:r w:rsidRPr="00642D0B">
        <w:t>ждалось получение последующего доклада Литвы об осуществлении рекоме</w:t>
      </w:r>
      <w:r w:rsidRPr="00642D0B">
        <w:t>н</w:t>
      </w:r>
      <w:r w:rsidRPr="00642D0B">
        <w:t xml:space="preserve">даций, </w:t>
      </w:r>
      <w:r>
        <w:t>указанных</w:t>
      </w:r>
      <w:r w:rsidRPr="00642D0B">
        <w:t xml:space="preserve"> в пункт</w:t>
      </w:r>
      <w:r>
        <w:t>е</w:t>
      </w:r>
      <w:r w:rsidRPr="00642D0B">
        <w:t xml:space="preserve"> 30 заключительных замечаний, а также содержалась просьба о предоставлении дополнительной информации о ходе осуществления рекоме</w:t>
      </w:r>
      <w:r w:rsidRPr="00642D0B">
        <w:t>н</w:t>
      </w:r>
      <w:r w:rsidRPr="00642D0B">
        <w:t>даций (</w:t>
      </w:r>
      <w:r w:rsidRPr="00642D0B">
        <w:rPr>
          <w:lang w:val="en-US"/>
        </w:rPr>
        <w:t>CERD</w:t>
      </w:r>
      <w:r w:rsidRPr="00642D0B">
        <w:t>/81</w:t>
      </w:r>
      <w:proofErr w:type="spellStart"/>
      <w:r w:rsidRPr="00642D0B">
        <w:rPr>
          <w:lang w:val="en-US"/>
        </w:rPr>
        <w:t>st</w:t>
      </w:r>
      <w:proofErr w:type="spellEnd"/>
      <w:r w:rsidRPr="00642D0B">
        <w:t>/</w:t>
      </w:r>
      <w:r w:rsidRPr="00642D0B">
        <w:rPr>
          <w:lang w:val="en-US"/>
        </w:rPr>
        <w:t>FU</w:t>
      </w:r>
      <w:r w:rsidRPr="00642D0B">
        <w:t>/</w:t>
      </w:r>
      <w:r w:rsidRPr="00642D0B">
        <w:rPr>
          <w:lang w:val="en-US"/>
        </w:rPr>
        <w:t>GH</w:t>
      </w:r>
      <w:r w:rsidRPr="00642D0B">
        <w:t>/</w:t>
      </w:r>
      <w:r w:rsidRPr="00642D0B">
        <w:rPr>
          <w:lang w:val="en-US"/>
        </w:rPr>
        <w:t>FM</w:t>
      </w:r>
      <w:r w:rsidRPr="00642D0B">
        <w:t>).</w:t>
      </w:r>
    </w:p>
    <w:p w:rsidR="008F52F9" w:rsidRPr="00642D0B" w:rsidRDefault="008F52F9" w:rsidP="008F52F9">
      <w:pPr>
        <w:pStyle w:val="H1GR"/>
      </w:pPr>
      <w:r>
        <w:tab/>
      </w:r>
      <w:r>
        <w:tab/>
      </w:r>
      <w:r w:rsidRPr="00642D0B">
        <w:t>Пункт 10</w:t>
      </w:r>
    </w:p>
    <w:p w:rsidR="008F52F9" w:rsidRPr="0072701C" w:rsidRDefault="008F52F9" w:rsidP="008F52F9">
      <w:pPr>
        <w:pStyle w:val="SingleTxtGR"/>
        <w:rPr>
          <w:b/>
        </w:rPr>
      </w:pPr>
      <w:r w:rsidRPr="0072701C">
        <w:rPr>
          <w:b/>
        </w:rPr>
        <w:t>Комитет рекомендует государству-участнику предоставить консультати</w:t>
      </w:r>
      <w:r w:rsidRPr="0072701C">
        <w:rPr>
          <w:b/>
        </w:rPr>
        <w:t>в</w:t>
      </w:r>
      <w:r w:rsidRPr="0072701C">
        <w:rPr>
          <w:b/>
        </w:rPr>
        <w:t>ным органам, которые занимаются вопросами прав человека, и в частн</w:t>
      </w:r>
      <w:r w:rsidRPr="0072701C">
        <w:rPr>
          <w:b/>
        </w:rPr>
        <w:t>о</w:t>
      </w:r>
      <w:r w:rsidRPr="0072701C">
        <w:rPr>
          <w:b/>
        </w:rPr>
        <w:t>сти Уполн</w:t>
      </w:r>
      <w:r w:rsidRPr="0072701C">
        <w:rPr>
          <w:b/>
        </w:rPr>
        <w:t>о</w:t>
      </w:r>
      <w:r w:rsidRPr="0072701C">
        <w:rPr>
          <w:b/>
        </w:rPr>
        <w:t>моченному по обеспечению равных возможностей, необходимые людские и финансовые ресурсы, с тем чтобы обеспечить их оптимальное функци</w:t>
      </w:r>
      <w:r w:rsidRPr="0072701C">
        <w:rPr>
          <w:b/>
        </w:rPr>
        <w:t>о</w:t>
      </w:r>
      <w:r w:rsidRPr="0072701C">
        <w:rPr>
          <w:b/>
        </w:rPr>
        <w:t>нирование.</w:t>
      </w:r>
    </w:p>
    <w:p w:rsidR="008F52F9" w:rsidRPr="00642D0B" w:rsidRDefault="008F52F9" w:rsidP="008F52F9">
      <w:pPr>
        <w:pStyle w:val="SingleTxtGR"/>
      </w:pPr>
      <w:r w:rsidRPr="00642D0B">
        <w:t>5.</w:t>
      </w:r>
      <w:r w:rsidRPr="00642D0B">
        <w:tab/>
        <w:t>С учетом экономической и финансовой ситуации, сложившейся в Литве, начиная с 2009 года были сокращены расходы государственного бюджета на финансирование всех государственных учреждений, включая консультативные органы, занимающиеся вопросами прав человека. По линии государственного бюджета на цели финансирования этих органов были выделены следующие а</w:t>
      </w:r>
      <w:r w:rsidRPr="00642D0B">
        <w:t>с</w:t>
      </w:r>
      <w:r w:rsidRPr="00642D0B">
        <w:t xml:space="preserve">сигнования: в 2008 году – 1 850 000 </w:t>
      </w:r>
      <w:proofErr w:type="spellStart"/>
      <w:r w:rsidRPr="00642D0B">
        <w:t>литов</w:t>
      </w:r>
      <w:proofErr w:type="spellEnd"/>
      <w:r w:rsidRPr="00642D0B">
        <w:t>, в 2009 году –</w:t>
      </w:r>
      <w:r>
        <w:t xml:space="preserve"> 1 499 000 </w:t>
      </w:r>
      <w:proofErr w:type="spellStart"/>
      <w:r>
        <w:t>литов</w:t>
      </w:r>
      <w:proofErr w:type="spellEnd"/>
      <w:r>
        <w:t>, в 2010 </w:t>
      </w:r>
      <w:r w:rsidRPr="00642D0B">
        <w:t xml:space="preserve">году – 1 008 000 </w:t>
      </w:r>
      <w:proofErr w:type="spellStart"/>
      <w:r w:rsidRPr="00642D0B">
        <w:t>литов</w:t>
      </w:r>
      <w:proofErr w:type="spellEnd"/>
      <w:r w:rsidRPr="00642D0B">
        <w:t xml:space="preserve">, в 2011 году – 1 256 000 </w:t>
      </w:r>
      <w:proofErr w:type="spellStart"/>
      <w:r w:rsidRPr="00642D0B">
        <w:t>литов</w:t>
      </w:r>
      <w:proofErr w:type="spellEnd"/>
      <w:r w:rsidRPr="00642D0B">
        <w:t>, в 2012 и 2013 г</w:t>
      </w:r>
      <w:r w:rsidRPr="00642D0B">
        <w:t>о</w:t>
      </w:r>
      <w:r w:rsidRPr="00642D0B">
        <w:t>дах</w:t>
      </w:r>
      <w:r w:rsidR="00FE0EFD">
        <w:t> </w:t>
      </w:r>
      <w:r w:rsidRPr="00642D0B">
        <w:t xml:space="preserve">– по 1 325 000 </w:t>
      </w:r>
      <w:proofErr w:type="spellStart"/>
      <w:r w:rsidRPr="00642D0B">
        <w:t>литов</w:t>
      </w:r>
      <w:proofErr w:type="spellEnd"/>
      <w:r w:rsidRPr="00642D0B">
        <w:t>. Увеличение государственного финансирования бю</w:t>
      </w:r>
      <w:r w:rsidRPr="00642D0B">
        <w:t>д</w:t>
      </w:r>
      <w:r w:rsidRPr="00642D0B">
        <w:t>жетных учреждений зависит от наличия финансовых ресурсов. Следует отм</w:t>
      </w:r>
      <w:r w:rsidRPr="00642D0B">
        <w:t>е</w:t>
      </w:r>
      <w:r w:rsidRPr="00642D0B">
        <w:t>тить, что изменения общих бюджетных ассигнований на финансирование де</w:t>
      </w:r>
      <w:r w:rsidRPr="00642D0B">
        <w:t>я</w:t>
      </w:r>
      <w:r w:rsidRPr="00642D0B">
        <w:t>тельности Уполномоченного по обеспечению равных возможностей производ</w:t>
      </w:r>
      <w:r w:rsidRPr="00642D0B">
        <w:t>и</w:t>
      </w:r>
      <w:r w:rsidRPr="00642D0B">
        <w:t xml:space="preserve">лись лишь за счет модификации порядка ее </w:t>
      </w:r>
      <w:proofErr w:type="spellStart"/>
      <w:r w:rsidRPr="00642D0B">
        <w:t>софинансирования</w:t>
      </w:r>
      <w:proofErr w:type="spellEnd"/>
      <w:r w:rsidRPr="00642D0B">
        <w:t xml:space="preserve"> по линии бю</w:t>
      </w:r>
      <w:r w:rsidRPr="00642D0B">
        <w:t>д</w:t>
      </w:r>
      <w:r w:rsidRPr="00642D0B">
        <w:t>жета. Уполномоченный ежегодно занимается деятельностью</w:t>
      </w:r>
      <w:r>
        <w:t xml:space="preserve"> по</w:t>
      </w:r>
      <w:r w:rsidRPr="00642D0B">
        <w:t xml:space="preserve"> осуществл</w:t>
      </w:r>
      <w:r w:rsidRPr="00642D0B">
        <w:t>е</w:t>
      </w:r>
      <w:r w:rsidRPr="00642D0B">
        <w:t>ни</w:t>
      </w:r>
      <w:r>
        <w:t>ю</w:t>
      </w:r>
      <w:r w:rsidRPr="00642D0B">
        <w:t xml:space="preserve"> проектов, которая частично (на 80</w:t>
      </w:r>
      <w:r w:rsidR="00FE0EFD">
        <w:t>%</w:t>
      </w:r>
      <w:r w:rsidRPr="00642D0B">
        <w:t>) финансируется Европейской коми</w:t>
      </w:r>
      <w:r w:rsidRPr="00642D0B">
        <w:t>с</w:t>
      </w:r>
      <w:r w:rsidRPr="00642D0B">
        <w:t>сией. В аппарате Уполномоченного работают 12 сотрудников.</w:t>
      </w:r>
    </w:p>
    <w:p w:rsidR="008F52F9" w:rsidRPr="0072701C" w:rsidRDefault="008F52F9" w:rsidP="008F52F9">
      <w:pPr>
        <w:pStyle w:val="SingleTxtGR"/>
        <w:rPr>
          <w:b/>
        </w:rPr>
      </w:pPr>
      <w:r w:rsidRPr="0072701C">
        <w:rPr>
          <w:b/>
        </w:rPr>
        <w:t>Комитет рекомендует государству-участнику учредить независимое наци</w:t>
      </w:r>
      <w:r w:rsidRPr="0072701C">
        <w:rPr>
          <w:b/>
        </w:rPr>
        <w:t>о</w:t>
      </w:r>
      <w:r w:rsidRPr="0072701C">
        <w:rPr>
          <w:b/>
        </w:rPr>
        <w:t>нальное правозащитное учреждение в соответствии с Парижскими при</w:t>
      </w:r>
      <w:r w:rsidRPr="0072701C">
        <w:rPr>
          <w:b/>
        </w:rPr>
        <w:t>н</w:t>
      </w:r>
      <w:r w:rsidRPr="0072701C">
        <w:rPr>
          <w:b/>
        </w:rPr>
        <w:t>ципами (р</w:t>
      </w:r>
      <w:r w:rsidRPr="0072701C">
        <w:rPr>
          <w:b/>
        </w:rPr>
        <w:t>е</w:t>
      </w:r>
      <w:r w:rsidRPr="0072701C">
        <w:rPr>
          <w:b/>
        </w:rPr>
        <w:t>золюция 48/134 Генеральной Ассамблеи).</w:t>
      </w:r>
    </w:p>
    <w:p w:rsidR="008F52F9" w:rsidRPr="00642D0B" w:rsidRDefault="008F52F9" w:rsidP="008F52F9">
      <w:pPr>
        <w:pStyle w:val="SingleTxtGR"/>
      </w:pPr>
      <w:r w:rsidRPr="00642D0B">
        <w:t>6.</w:t>
      </w:r>
      <w:r w:rsidRPr="00642D0B">
        <w:tab/>
      </w:r>
      <w:r w:rsidR="00FE0EFD">
        <w:t>21</w:t>
      </w:r>
      <w:r w:rsidRPr="00642D0B">
        <w:t xml:space="preserve"> сентября 2011 года Правление Сейма постановило внести улучшения в положения, регламентирующие деятельность Канцелярии Омбу</w:t>
      </w:r>
      <w:r w:rsidRPr="00642D0B">
        <w:t>д</w:t>
      </w:r>
      <w:r w:rsidRPr="00642D0B">
        <w:t>смена Сейма, с тем чтобы обеспечить выполнение требований Парижских принципов в отн</w:t>
      </w:r>
      <w:r w:rsidRPr="00642D0B">
        <w:t>о</w:t>
      </w:r>
      <w:r w:rsidRPr="00642D0B">
        <w:t>шении национального правозащитного учреждения. В этих целях была создана рабочая группа Сейма Литвы (здесь и далее – Сейм) для проведения обзора проекта Закона об Омбудсмене Сейма и внесения в него п</w:t>
      </w:r>
      <w:r w:rsidRPr="00642D0B">
        <w:t>о</w:t>
      </w:r>
      <w:r w:rsidRPr="00642D0B">
        <w:t>правок, связанных с приданием Канцелярии Омбудсмена Сейма функций национального правоз</w:t>
      </w:r>
      <w:r w:rsidRPr="00642D0B">
        <w:t>а</w:t>
      </w:r>
      <w:r w:rsidRPr="00642D0B">
        <w:t>щитного учреждения. Рабочая группа подготовила текст поправки к Закону об Омбудсмене Сейма, в которой было предусмотрено расширение функций О</w:t>
      </w:r>
      <w:r w:rsidRPr="00642D0B">
        <w:t>м</w:t>
      </w:r>
      <w:r w:rsidRPr="00642D0B">
        <w:t>будсмена Сейма, а также наделение его дополнительными полномочиями и усиление его независимости, с тем чтобы Канцелярия могла стать независимым правозащитным учреждением. Соответствующий законопроект был предста</w:t>
      </w:r>
      <w:r w:rsidRPr="00642D0B">
        <w:t>в</w:t>
      </w:r>
      <w:r w:rsidRPr="00642D0B">
        <w:t>лен на рассмотрение Сейма 3 июля 2012 года; затем в него были внесены изм</w:t>
      </w:r>
      <w:r w:rsidRPr="00642D0B">
        <w:t>е</w:t>
      </w:r>
      <w:r w:rsidRPr="00642D0B">
        <w:t>нения с учетом рекомендаций Управления Верховного к</w:t>
      </w:r>
      <w:r w:rsidRPr="00642D0B">
        <w:t>о</w:t>
      </w:r>
      <w:r w:rsidRPr="00642D0B">
        <w:t>миссара Организации Объединенных Наций по правам человека, после чего он был вновь зарегистр</w:t>
      </w:r>
      <w:r w:rsidRPr="00642D0B">
        <w:t>и</w:t>
      </w:r>
      <w:r w:rsidRPr="00642D0B">
        <w:t>рован в Сейме 24 сентября 2012 года. В настоящее время законопроект ра</w:t>
      </w:r>
      <w:r w:rsidRPr="00642D0B">
        <w:t>с</w:t>
      </w:r>
      <w:r w:rsidRPr="00642D0B">
        <w:t>сматривается в соответствии с действующей в Сейме законодательной проц</w:t>
      </w:r>
      <w:r w:rsidRPr="00642D0B">
        <w:t>е</w:t>
      </w:r>
      <w:r w:rsidRPr="00642D0B">
        <w:t>дурой.</w:t>
      </w:r>
    </w:p>
    <w:p w:rsidR="008F52F9" w:rsidRPr="00642D0B" w:rsidRDefault="008F52F9" w:rsidP="008F52F9">
      <w:pPr>
        <w:pStyle w:val="H1GR"/>
      </w:pPr>
      <w:r>
        <w:tab/>
      </w:r>
      <w:r>
        <w:tab/>
      </w:r>
      <w:r w:rsidRPr="00642D0B">
        <w:t>Пункт 11</w:t>
      </w:r>
    </w:p>
    <w:p w:rsidR="008F52F9" w:rsidRPr="0072701C" w:rsidRDefault="008F52F9" w:rsidP="008F52F9">
      <w:pPr>
        <w:pStyle w:val="SingleTxtGR"/>
        <w:rPr>
          <w:b/>
        </w:rPr>
      </w:pPr>
      <w:r w:rsidRPr="0072701C">
        <w:rPr>
          <w:b/>
        </w:rPr>
        <w:t>Комитет рекомендует государству-участнику как можно скорее принять з</w:t>
      </w:r>
      <w:r w:rsidRPr="0072701C">
        <w:rPr>
          <w:b/>
        </w:rPr>
        <w:t>а</w:t>
      </w:r>
      <w:r w:rsidRPr="0072701C">
        <w:rPr>
          <w:b/>
        </w:rPr>
        <w:t>кон о национальных меньшинствах, выполняя тем самым соответству</w:t>
      </w:r>
      <w:r w:rsidRPr="0072701C">
        <w:rPr>
          <w:b/>
        </w:rPr>
        <w:t>ю</w:t>
      </w:r>
      <w:r w:rsidRPr="0072701C">
        <w:rPr>
          <w:b/>
        </w:rPr>
        <w:t>щие полож</w:t>
      </w:r>
      <w:r w:rsidRPr="0072701C">
        <w:rPr>
          <w:b/>
        </w:rPr>
        <w:t>е</w:t>
      </w:r>
      <w:r w:rsidRPr="0072701C">
        <w:rPr>
          <w:b/>
        </w:rPr>
        <w:t>ния Конвенции, в особенности положения статьи 4.</w:t>
      </w:r>
    </w:p>
    <w:p w:rsidR="008F52F9" w:rsidRPr="00642D0B" w:rsidRDefault="008F52F9" w:rsidP="008F52F9">
      <w:pPr>
        <w:pStyle w:val="SingleTxtGR"/>
      </w:pPr>
      <w:r w:rsidRPr="00642D0B">
        <w:t>7.</w:t>
      </w:r>
      <w:r w:rsidRPr="00642D0B">
        <w:tab/>
        <w:t>Разработка Закона о национальных меньшинствах предусмотрена пр</w:t>
      </w:r>
      <w:r w:rsidRPr="00642D0B">
        <w:t>о</w:t>
      </w:r>
      <w:r w:rsidRPr="00642D0B">
        <w:t>граммой Правительства Литвы на 2012</w:t>
      </w:r>
      <w:r>
        <w:t>−</w:t>
      </w:r>
      <w:r w:rsidRPr="00642D0B">
        <w:t xml:space="preserve">2016 годы (раздел </w:t>
      </w:r>
      <w:r w:rsidRPr="00642D0B">
        <w:rPr>
          <w:lang w:val="en-US"/>
        </w:rPr>
        <w:t>X</w:t>
      </w:r>
      <w:r w:rsidRPr="00642D0B">
        <w:t xml:space="preserve">, </w:t>
      </w:r>
      <w:r>
        <w:t>"</w:t>
      </w:r>
      <w:r w:rsidRPr="00642D0B">
        <w:t>Этнические меньшинства</w:t>
      </w:r>
      <w:r>
        <w:t>"</w:t>
      </w:r>
      <w:r w:rsidRPr="00642D0B">
        <w:t>). В начале ноября 2013 года проект Закона о национальных меньши</w:t>
      </w:r>
      <w:r w:rsidRPr="00642D0B">
        <w:t>н</w:t>
      </w:r>
      <w:r w:rsidRPr="00642D0B">
        <w:t xml:space="preserve">ствах был представлен на согласование государственным органам. </w:t>
      </w:r>
    </w:p>
    <w:p w:rsidR="008F52F9" w:rsidRPr="00642D0B" w:rsidRDefault="008F52F9" w:rsidP="008F52F9">
      <w:pPr>
        <w:pStyle w:val="H1GR"/>
      </w:pPr>
      <w:r>
        <w:tab/>
      </w:r>
      <w:r>
        <w:tab/>
      </w:r>
      <w:r w:rsidRPr="00642D0B">
        <w:t>Пункт 12</w:t>
      </w:r>
    </w:p>
    <w:p w:rsidR="008F52F9" w:rsidRPr="0072701C" w:rsidRDefault="008F52F9" w:rsidP="008F52F9">
      <w:pPr>
        <w:pStyle w:val="SingleTxtGR"/>
        <w:rPr>
          <w:b/>
        </w:rPr>
      </w:pPr>
      <w:r w:rsidRPr="0072701C">
        <w:rPr>
          <w:b/>
        </w:rPr>
        <w:t>Комитет отмечает, что информация относительно механизмов правовой защиты лиц, пострадавших от проявлений расизма и ксенофобии, предо</w:t>
      </w:r>
      <w:r w:rsidRPr="0072701C">
        <w:rPr>
          <w:b/>
        </w:rPr>
        <w:t>с</w:t>
      </w:r>
      <w:r w:rsidRPr="0072701C">
        <w:rPr>
          <w:b/>
        </w:rPr>
        <w:t>тавлена не б</w:t>
      </w:r>
      <w:r w:rsidRPr="0072701C">
        <w:rPr>
          <w:b/>
        </w:rPr>
        <w:t>ы</w:t>
      </w:r>
      <w:r w:rsidRPr="0072701C">
        <w:rPr>
          <w:b/>
        </w:rPr>
        <w:t>ла.</w:t>
      </w:r>
    </w:p>
    <w:p w:rsidR="008F52F9" w:rsidRPr="00642D0B" w:rsidRDefault="008F52F9" w:rsidP="008F52F9">
      <w:pPr>
        <w:pStyle w:val="SingleTxtGR"/>
      </w:pPr>
      <w:r w:rsidRPr="00642D0B">
        <w:t>8.</w:t>
      </w:r>
      <w:r w:rsidRPr="00642D0B">
        <w:tab/>
        <w:t>В соответствии с основными положениями Конституции, Конвенции о ликвидации расовой дискриминации и Конвенции о защите прав человека и о</w:t>
      </w:r>
      <w:r w:rsidRPr="00642D0B">
        <w:t>с</w:t>
      </w:r>
      <w:r w:rsidRPr="00642D0B">
        <w:t>новных свобод (Европейской конвенции по правам человека) всем без искл</w:t>
      </w:r>
      <w:r w:rsidRPr="00642D0B">
        <w:t>ю</w:t>
      </w:r>
      <w:r w:rsidRPr="00642D0B">
        <w:t>чения жертвам расовой дискриминации и ксенофобии гарантируются соотве</w:t>
      </w:r>
      <w:r w:rsidRPr="00642D0B">
        <w:t>т</w:t>
      </w:r>
      <w:r w:rsidRPr="00642D0B">
        <w:t>ствующие процессуальные права. Процессуальный статус потерпевших в ра</w:t>
      </w:r>
      <w:r w:rsidRPr="00642D0B">
        <w:t>м</w:t>
      </w:r>
      <w:r w:rsidRPr="00642D0B">
        <w:t>ках досудебного расследования и уголовного судопроизводства регламентир</w:t>
      </w:r>
      <w:r w:rsidRPr="00642D0B">
        <w:t>у</w:t>
      </w:r>
      <w:r w:rsidRPr="00642D0B">
        <w:t xml:space="preserve">ется Уголовно-процессуальным кодексом. </w:t>
      </w:r>
    </w:p>
    <w:p w:rsidR="008F52F9" w:rsidRPr="00642D0B" w:rsidRDefault="008F52F9" w:rsidP="008F52F9">
      <w:pPr>
        <w:pStyle w:val="SingleTxtGR"/>
      </w:pPr>
      <w:r w:rsidRPr="00642D0B">
        <w:t>9.</w:t>
      </w:r>
      <w:r w:rsidRPr="00642D0B">
        <w:tab/>
        <w:t>В соответствии со статьей 28 Уголовно-процессуального кодекса (</w:t>
      </w:r>
      <w:r>
        <w:t>"</w:t>
      </w:r>
      <w:r w:rsidRPr="00642D0B">
        <w:t>П</w:t>
      </w:r>
      <w:r w:rsidRPr="00642D0B">
        <w:t>о</w:t>
      </w:r>
      <w:r w:rsidRPr="00642D0B">
        <w:t>терпевший</w:t>
      </w:r>
      <w:r>
        <w:t>"</w:t>
      </w:r>
      <w:r w:rsidRPr="00642D0B">
        <w:t xml:space="preserve">) потерпевший и его законный представитель в рамках уголовного судопроизводства имеют право: давать показания, подавать заявления (согласно положениям статьи 178 Кодекса, озаглавленной </w:t>
      </w:r>
      <w:r>
        <w:t>"</w:t>
      </w:r>
      <w:r w:rsidRPr="00642D0B">
        <w:t>Действия обвинителей и должностных лиц, проводящих расследование</w:t>
      </w:r>
      <w:r>
        <w:t>"</w:t>
      </w:r>
      <w:r w:rsidRPr="00642D0B">
        <w:t>, потерпевший, подавший зая</w:t>
      </w:r>
      <w:r w:rsidRPr="00642D0B">
        <w:t>в</w:t>
      </w:r>
      <w:r w:rsidRPr="00642D0B">
        <w:t>ление о принятии соответствующих мер в рамках досудебного следствия, имеет право принимать участие в следственных действиях, проводимых по его прос</w:t>
      </w:r>
      <w:r w:rsidRPr="00642D0B">
        <w:t>ь</w:t>
      </w:r>
      <w:r w:rsidRPr="00642D0B">
        <w:t>бе, задавать вопросы в ходе слушаний, знакомиться с отчетами о действиях, предпринятых по его просьбе, а также комментировать содержание этих отч</w:t>
      </w:r>
      <w:r w:rsidRPr="00642D0B">
        <w:t>е</w:t>
      </w:r>
      <w:r w:rsidRPr="00642D0B">
        <w:t>тов), ходатайствовать об отводе судей; пользоваться доступом к материалам д</w:t>
      </w:r>
      <w:r w:rsidRPr="00642D0B">
        <w:t>е</w:t>
      </w:r>
      <w:r w:rsidRPr="00642D0B">
        <w:t>ла в ходе досудебного следствия и судебного разбирательства (в ходе досуде</w:t>
      </w:r>
      <w:r w:rsidRPr="00642D0B">
        <w:t>б</w:t>
      </w:r>
      <w:r w:rsidRPr="00642D0B">
        <w:t>ного следствия потерпевший имеет право в любое время получить доступ к м</w:t>
      </w:r>
      <w:r w:rsidRPr="00642D0B">
        <w:t>а</w:t>
      </w:r>
      <w:r w:rsidRPr="00642D0B">
        <w:t>териалам досудебного следствия), участвовать в судебном разбирательстве, п</w:t>
      </w:r>
      <w:r w:rsidRPr="00642D0B">
        <w:t>о</w:t>
      </w:r>
      <w:r w:rsidRPr="00642D0B">
        <w:t>давать апелляции в отношении действий должностных лиц, проводящих дос</w:t>
      </w:r>
      <w:r w:rsidRPr="00642D0B">
        <w:t>у</w:t>
      </w:r>
      <w:r w:rsidRPr="00642D0B">
        <w:t>дебное следствие, обвинителей, судей, участвующих в досудебном производс</w:t>
      </w:r>
      <w:r w:rsidRPr="00642D0B">
        <w:t>т</w:t>
      </w:r>
      <w:r w:rsidRPr="00642D0B">
        <w:t>ве, и органов правосудия, а также обжаловать решения и постановления и в</w:t>
      </w:r>
      <w:r w:rsidRPr="00642D0B">
        <w:t>ы</w:t>
      </w:r>
      <w:r w:rsidRPr="00642D0B">
        <w:t xml:space="preserve">ступать в суде с последним словом. </w:t>
      </w:r>
    </w:p>
    <w:p w:rsidR="008F52F9" w:rsidRPr="00642D0B" w:rsidRDefault="008F52F9" w:rsidP="008F52F9">
      <w:pPr>
        <w:pStyle w:val="SingleTxtGR"/>
      </w:pPr>
      <w:r w:rsidRPr="00642D0B">
        <w:t>10.</w:t>
      </w:r>
      <w:r w:rsidRPr="00642D0B">
        <w:tab/>
        <w:t>В случаях, предусмотренных Законом о гарантированной государством правовой помощи, потерпевшие в рамках уголовных дел, связанных с престу</w:t>
      </w:r>
      <w:r w:rsidRPr="00642D0B">
        <w:t>п</w:t>
      </w:r>
      <w:r w:rsidRPr="00642D0B">
        <w:t>лениями против принципа равенства или свободы совести, имеют право на г</w:t>
      </w:r>
      <w:r w:rsidRPr="00642D0B">
        <w:t>а</w:t>
      </w:r>
      <w:r w:rsidRPr="00642D0B">
        <w:t>рантированную государством вторичную правовую помощь. Под вторичной правовой помощью подразумевается гарантированная государством помощь а</w:t>
      </w:r>
      <w:r w:rsidRPr="00642D0B">
        <w:t>д</w:t>
      </w:r>
      <w:r w:rsidRPr="00642D0B">
        <w:t>воката в ходе судебного процесса, в том числе подготовка документов, защита и представление интересов в суде, включая процесс исполнения решения. Выш</w:t>
      </w:r>
      <w:r w:rsidRPr="00642D0B">
        <w:t>е</w:t>
      </w:r>
      <w:r w:rsidRPr="00642D0B">
        <w:t>упомянутый закон предусматривает, что в число лиц, имеющих право на гара</w:t>
      </w:r>
      <w:r w:rsidRPr="00642D0B">
        <w:t>н</w:t>
      </w:r>
      <w:r w:rsidRPr="00642D0B">
        <w:t>тированную государством правовую помощь, входят лица, стоимость имущес</w:t>
      </w:r>
      <w:r w:rsidRPr="00642D0B">
        <w:t>т</w:t>
      </w:r>
      <w:r w:rsidRPr="00642D0B">
        <w:t>ва и годовые доходы которых не превышают показателей имущественного п</w:t>
      </w:r>
      <w:r w:rsidRPr="00642D0B">
        <w:t>о</w:t>
      </w:r>
      <w:r w:rsidRPr="00642D0B">
        <w:t>ложения и годовых доходов, установленных Правительством применительно к случаям, связанным с предоставлением правовой помощи. Потерпевшие ущерб стороны в рамках дел, которые связаны с возмещением ущерба, возникшего в результате уголовно наказуемых деяний, включая случаи рассмотрения вопр</w:t>
      </w:r>
      <w:r w:rsidRPr="00642D0B">
        <w:t>о</w:t>
      </w:r>
      <w:r w:rsidRPr="00642D0B">
        <w:t>сов возмещения ущерба в рамках уголовного судопроизводства, имеют право на вторичную правовую помощь безотносительно к установленным Правительс</w:t>
      </w:r>
      <w:r w:rsidRPr="00642D0B">
        <w:t>т</w:t>
      </w:r>
      <w:r w:rsidRPr="00642D0B">
        <w:t>вом показателям имущественного положения и уровня доходов. Право таких лиц на получение вторичной правовой помощи должно быть подтверждено р</w:t>
      </w:r>
      <w:r w:rsidRPr="00642D0B">
        <w:t>е</w:t>
      </w:r>
      <w:r w:rsidRPr="00642D0B">
        <w:t>шением должностного лица, ведущего досудебное следствие, решением прок</w:t>
      </w:r>
      <w:r w:rsidRPr="00642D0B">
        <w:t>у</w:t>
      </w:r>
      <w:r w:rsidRPr="00642D0B">
        <w:t>рора, судебным постановлением, признающим данное лицо потерпевшей ущерб стороной, и/или решением суда. Информация о доступе потерпевших к гара</w:t>
      </w:r>
      <w:r w:rsidRPr="00642D0B">
        <w:t>н</w:t>
      </w:r>
      <w:r w:rsidRPr="00642D0B">
        <w:t>тированной государством правовой помощи содержится в тексте образца бланка решения о признании лица потерпевшей ущерб стороной с поправками, вн</w:t>
      </w:r>
      <w:r w:rsidRPr="00642D0B">
        <w:t>е</w:t>
      </w:r>
      <w:r w:rsidRPr="00642D0B">
        <w:t xml:space="preserve">сенными приказом Генерального прокурора № </w:t>
      </w:r>
      <w:r w:rsidRPr="00642D0B">
        <w:rPr>
          <w:lang w:val="en-US"/>
        </w:rPr>
        <w:t>I</w:t>
      </w:r>
      <w:r w:rsidRPr="00642D0B">
        <w:t>-107 от 22 июля 2009 года.</w:t>
      </w:r>
    </w:p>
    <w:p w:rsidR="008F52F9" w:rsidRPr="00642D0B" w:rsidRDefault="008F52F9" w:rsidP="008F52F9">
      <w:pPr>
        <w:pStyle w:val="SingleTxtGR"/>
      </w:pPr>
      <w:r w:rsidRPr="00642D0B">
        <w:t>11.</w:t>
      </w:r>
      <w:r w:rsidRPr="00642D0B">
        <w:tab/>
        <w:t xml:space="preserve">Статья 128 Уголовно-процессуального кодекса, озаглавленная </w:t>
      </w:r>
      <w:r>
        <w:t>"</w:t>
      </w:r>
      <w:r w:rsidRPr="00642D0B">
        <w:t>Уведомл</w:t>
      </w:r>
      <w:r w:rsidRPr="00642D0B">
        <w:t>е</w:t>
      </w:r>
      <w:r w:rsidRPr="00642D0B">
        <w:t>ние об аресте подозреваемого</w:t>
      </w:r>
      <w:r>
        <w:t>"</w:t>
      </w:r>
      <w:r w:rsidRPr="00642D0B">
        <w:t>, предусматривает обязательство должностного лица, проводящего досудебное следствие, или прокурора сообщать потерпе</w:t>
      </w:r>
      <w:r w:rsidRPr="00642D0B">
        <w:t>в</w:t>
      </w:r>
      <w:r w:rsidRPr="00642D0B">
        <w:t>шим по делам, связанным с преступлениями на почве расизма или дискримин</w:t>
      </w:r>
      <w:r w:rsidRPr="00642D0B">
        <w:t>а</w:t>
      </w:r>
      <w:r w:rsidRPr="00642D0B">
        <w:t>ции, об аресте правонарушителей (подозреваемых), а также выяснять у поте</w:t>
      </w:r>
      <w:r w:rsidRPr="00642D0B">
        <w:t>р</w:t>
      </w:r>
      <w:r w:rsidRPr="00642D0B">
        <w:t>певших, желают ли они, чтобы им сообщили о выходе подозреваемых на своб</w:t>
      </w:r>
      <w:r w:rsidRPr="00642D0B">
        <w:t>о</w:t>
      </w:r>
      <w:r w:rsidRPr="00642D0B">
        <w:t>ду в будущем. Уведомление об аресте подозреваемого может не произв</w:t>
      </w:r>
      <w:r w:rsidRPr="00642D0B">
        <w:t>о</w:t>
      </w:r>
      <w:r w:rsidRPr="00642D0B">
        <w:t>диться в тех случаях, когда местопребывание потерпевшего неизвестно. У подозрева</w:t>
      </w:r>
      <w:r w:rsidRPr="00642D0B">
        <w:t>е</w:t>
      </w:r>
      <w:r w:rsidRPr="00642D0B">
        <w:t>мого и его адвоката нет права доступа к содержанию документов, утвержда</w:t>
      </w:r>
      <w:r w:rsidRPr="00642D0B">
        <w:t>ю</w:t>
      </w:r>
      <w:r w:rsidRPr="00642D0B">
        <w:t xml:space="preserve">щих эти решения. </w:t>
      </w:r>
    </w:p>
    <w:p w:rsidR="008F52F9" w:rsidRPr="00642D0B" w:rsidRDefault="008F52F9" w:rsidP="008F52F9">
      <w:pPr>
        <w:pStyle w:val="SingleTxtGR"/>
      </w:pPr>
      <w:r w:rsidRPr="00642D0B">
        <w:t>12.</w:t>
      </w:r>
      <w:r w:rsidRPr="00642D0B">
        <w:tab/>
        <w:t>В соответствии с положениями статей 198 (</w:t>
      </w:r>
      <w:r>
        <w:t>"</w:t>
      </w:r>
      <w:r w:rsidRPr="00642D0B">
        <w:t>Право потерпевших и свид</w:t>
      </w:r>
      <w:r w:rsidRPr="00642D0B">
        <w:t>е</w:t>
      </w:r>
      <w:r w:rsidRPr="00642D0B">
        <w:t>телей требовать анонимности</w:t>
      </w:r>
      <w:r>
        <w:t>"</w:t>
      </w:r>
      <w:r w:rsidRPr="00642D0B">
        <w:t>) и 199 (</w:t>
      </w:r>
      <w:r>
        <w:t>"</w:t>
      </w:r>
      <w:r w:rsidRPr="00642D0B">
        <w:t>Основания для обеспечения анонимн</w:t>
      </w:r>
      <w:r w:rsidRPr="00642D0B">
        <w:t>о</w:t>
      </w:r>
      <w:r w:rsidRPr="00642D0B">
        <w:t>сти потерпевшим и свидетелям</w:t>
      </w:r>
      <w:r>
        <w:t>"</w:t>
      </w:r>
      <w:r w:rsidRPr="00642D0B">
        <w:t>) Уголовно-процессуального кодекса потерпе</w:t>
      </w:r>
      <w:r w:rsidRPr="00642D0B">
        <w:t>в</w:t>
      </w:r>
      <w:r w:rsidRPr="00642D0B">
        <w:t>шие или свидетели по любым делам, связанным с тяжкими, серьезными или менее серьезными преступлениями, при наличии реальной угрозы для жизни, здоровья, свободы или имущества потерпевших, свидетелей, членов их семей или близких родственников, а также для их интересов, связанных с работой или предпринимательской деятельностью, или же любых других законных интер</w:t>
      </w:r>
      <w:r w:rsidRPr="00642D0B">
        <w:t>е</w:t>
      </w:r>
      <w:r w:rsidRPr="00642D0B">
        <w:t>сов, в тех случаях, когда показания потерпевших или свидетелей связаны с уг</w:t>
      </w:r>
      <w:r w:rsidRPr="00642D0B">
        <w:t>о</w:t>
      </w:r>
      <w:r w:rsidRPr="00642D0B">
        <w:t>ловными делами, а также в случаях с преступлениями на почве расизма и ди</w:t>
      </w:r>
      <w:r w:rsidRPr="00642D0B">
        <w:t>с</w:t>
      </w:r>
      <w:r w:rsidRPr="00642D0B">
        <w:t>криминации имеют право просить прокурора или должностное лицо, ведущее досудебное следствие, обеспечить свою анонимность в соответствии с проц</w:t>
      </w:r>
      <w:r w:rsidRPr="00642D0B">
        <w:t>е</w:t>
      </w:r>
      <w:r w:rsidRPr="00642D0B">
        <w:t>дурой, предусмотренной Кодексом. Анонимность может быть предоставлена по инициативе прокурора лишь в том случае, если соблюдены все вышеперечи</w:t>
      </w:r>
      <w:r w:rsidRPr="00642D0B">
        <w:t>с</w:t>
      </w:r>
      <w:r w:rsidRPr="00642D0B">
        <w:t>ленные условия. В период с 2008 года до середины 2013 года не поступило ни одного заявления об обеспечении анонимности, и анонимность ни разу не пр</w:t>
      </w:r>
      <w:r w:rsidRPr="00642D0B">
        <w:t>е</w:t>
      </w:r>
      <w:r w:rsidRPr="00642D0B">
        <w:t>доставлялась на практике в рамках производств по уголовным делам, связа</w:t>
      </w:r>
      <w:r w:rsidRPr="00642D0B">
        <w:t>н</w:t>
      </w:r>
      <w:r w:rsidRPr="00642D0B">
        <w:t>ным с преступлениями на почве расизма или дискриминации.</w:t>
      </w:r>
    </w:p>
    <w:p w:rsidR="008F52F9" w:rsidRPr="00642D0B" w:rsidRDefault="008F52F9" w:rsidP="008F52F9">
      <w:pPr>
        <w:pStyle w:val="SingleTxtGR"/>
      </w:pPr>
      <w:r w:rsidRPr="00642D0B">
        <w:t>13.</w:t>
      </w:r>
      <w:r w:rsidRPr="00642D0B">
        <w:tab/>
        <w:t>В исключительных случаях, когда речь идет о реальной угрозе жизни жертв преступлений на почве расовой дискриминации и ксенофобии, им может быть предоставлена государственная защита. Следует отметить, что такая и</w:t>
      </w:r>
      <w:r w:rsidRPr="00642D0B">
        <w:t>с</w:t>
      </w:r>
      <w:r w:rsidRPr="00642D0B">
        <w:t>ключительная мера обеспечения безопасности жертв преступлений на почве расизма, ксенофобии и дискриминации ни разу не применялась в уголовном с</w:t>
      </w:r>
      <w:r w:rsidRPr="00642D0B">
        <w:t>у</w:t>
      </w:r>
      <w:r w:rsidRPr="00642D0B">
        <w:t>допроизводстве из-за отсутствия достаточных оснований для этого.</w:t>
      </w:r>
    </w:p>
    <w:p w:rsidR="008F52F9" w:rsidRPr="0072701C" w:rsidRDefault="008F52F9" w:rsidP="008F52F9">
      <w:pPr>
        <w:pStyle w:val="SingleTxtGR"/>
        <w:rPr>
          <w:b/>
        </w:rPr>
      </w:pPr>
      <w:r w:rsidRPr="0072701C">
        <w:rPr>
          <w:b/>
        </w:rPr>
        <w:t>Комитет также просит предоставить дополнительную информацию о результатах курсов профессиональной подготовки и кампаний по ликвидации расовой дискриминации.</w:t>
      </w:r>
    </w:p>
    <w:p w:rsidR="008F52F9" w:rsidRPr="00642D0B" w:rsidRDefault="008F52F9" w:rsidP="008F52F9">
      <w:pPr>
        <w:pStyle w:val="SingleTxtGR"/>
      </w:pPr>
      <w:r w:rsidRPr="00642D0B">
        <w:t>14.</w:t>
      </w:r>
      <w:r w:rsidRPr="00642D0B">
        <w:tab/>
        <w:t>Положительный эффект и результаты программ профессиональной по</w:t>
      </w:r>
      <w:r w:rsidRPr="00642D0B">
        <w:t>д</w:t>
      </w:r>
      <w:r w:rsidRPr="00642D0B">
        <w:t>готовки прокуроров и следователей по вопросам оценки дискриминационной практики очевидны и не вызывают сомнений (информация о деятельности по профессиональной под</w:t>
      </w:r>
      <w:r>
        <w:t>готовке приводится в пунктах 24−</w:t>
      </w:r>
      <w:r w:rsidRPr="00642D0B">
        <w:t>36). Должностные л</w:t>
      </w:r>
      <w:r w:rsidRPr="00642D0B">
        <w:t>и</w:t>
      </w:r>
      <w:r w:rsidRPr="00642D0B">
        <w:t>ца, проводящие досудебное следствие (сотрудники полиции), а также прокур</w:t>
      </w:r>
      <w:r w:rsidRPr="00642D0B">
        <w:t>о</w:t>
      </w:r>
      <w:r w:rsidRPr="00642D0B">
        <w:t>ры, руководящие досудебным производством</w:t>
      </w:r>
      <w:r>
        <w:t xml:space="preserve"> в качестве</w:t>
      </w:r>
      <w:r w:rsidRPr="00642D0B">
        <w:t xml:space="preserve"> наиболее важны</w:t>
      </w:r>
      <w:r>
        <w:t>х</w:t>
      </w:r>
      <w:r w:rsidRPr="00642D0B">
        <w:t xml:space="preserve"> пр</w:t>
      </w:r>
      <w:r w:rsidRPr="00642D0B">
        <w:t>о</w:t>
      </w:r>
      <w:r w:rsidRPr="00642D0B">
        <w:t>цессуальны</w:t>
      </w:r>
      <w:r>
        <w:t>х</w:t>
      </w:r>
      <w:r w:rsidRPr="00642D0B">
        <w:t xml:space="preserve"> </w:t>
      </w:r>
      <w:r>
        <w:t>лиц,</w:t>
      </w:r>
      <w:r w:rsidRPr="00642D0B">
        <w:t xml:space="preserve"> несу</w:t>
      </w:r>
      <w:r>
        <w:t>щих</w:t>
      </w:r>
      <w:r w:rsidRPr="00642D0B">
        <w:t xml:space="preserve"> прямую процессуальную ответственность за надл</w:t>
      </w:r>
      <w:r w:rsidRPr="00642D0B">
        <w:t>е</w:t>
      </w:r>
      <w:r w:rsidRPr="00642D0B">
        <w:t>жащую идентификацию проявлений ненависти по расовым, этническим, н</w:t>
      </w:r>
      <w:r w:rsidRPr="00642D0B">
        <w:t>а</w:t>
      </w:r>
      <w:r w:rsidRPr="00642D0B">
        <w:t>циональным, религиозным и иным мотивам, равно как и других проявлений дискриминации и нетерпимости, а также за принятие надлежащих процесс</w:t>
      </w:r>
      <w:r w:rsidRPr="00642D0B">
        <w:t>у</w:t>
      </w:r>
      <w:r w:rsidRPr="00642D0B">
        <w:t>альных решений относительно инициирования досудебного следствия, пров</w:t>
      </w:r>
      <w:r w:rsidRPr="00642D0B">
        <w:t>е</w:t>
      </w:r>
      <w:r w:rsidRPr="00642D0B">
        <w:t>дение ра</w:t>
      </w:r>
      <w:r w:rsidRPr="00642D0B">
        <w:t>с</w:t>
      </w:r>
      <w:r w:rsidRPr="00642D0B">
        <w:t>следований и передачу в суд дел, связанных с преступлениями данной категории, должным образом выполняют свои прямые обязанности и процесс</w:t>
      </w:r>
      <w:r w:rsidRPr="00642D0B">
        <w:t>у</w:t>
      </w:r>
      <w:r w:rsidRPr="00642D0B">
        <w:t>альные функции на данном направлении борьбы с преступностью. Меры по профе</w:t>
      </w:r>
      <w:r w:rsidRPr="00642D0B">
        <w:t>с</w:t>
      </w:r>
      <w:r w:rsidRPr="00642D0B">
        <w:t>сиональной подготовке и повышению квалификации этих сотрудников в значительной мере способствовали расширению теоретических знаний и с</w:t>
      </w:r>
      <w:r w:rsidRPr="00642D0B">
        <w:t>о</w:t>
      </w:r>
      <w:r w:rsidRPr="00642D0B">
        <w:t>вершенствованию практических навыков специалистов, вовлеченных в уголо</w:t>
      </w:r>
      <w:r w:rsidRPr="00642D0B">
        <w:t>в</w:t>
      </w:r>
      <w:r w:rsidRPr="00642D0B">
        <w:t xml:space="preserve">ное производство по делам подобного рода, в </w:t>
      </w:r>
      <w:r>
        <w:t>вопросах,</w:t>
      </w:r>
      <w:r w:rsidRPr="00642D0B">
        <w:t xml:space="preserve"> </w:t>
      </w:r>
      <w:r>
        <w:t>касающихся</w:t>
      </w:r>
      <w:r w:rsidRPr="00642D0B">
        <w:t xml:space="preserve"> надлеж</w:t>
      </w:r>
      <w:r w:rsidRPr="00642D0B">
        <w:t>а</w:t>
      </w:r>
      <w:r w:rsidRPr="00642D0B">
        <w:t>щего выявления и эффективного расследования преступлений данной катег</w:t>
      </w:r>
      <w:r w:rsidRPr="00642D0B">
        <w:t>о</w:t>
      </w:r>
      <w:r w:rsidRPr="00642D0B">
        <w:t>рии.</w:t>
      </w:r>
    </w:p>
    <w:p w:rsidR="008F52F9" w:rsidRPr="00642D0B" w:rsidRDefault="008F52F9" w:rsidP="008F52F9">
      <w:pPr>
        <w:pStyle w:val="SingleTxtGR"/>
      </w:pPr>
      <w:r w:rsidRPr="00642D0B">
        <w:t>15.</w:t>
      </w:r>
      <w:r w:rsidRPr="00642D0B">
        <w:tab/>
        <w:t>Это подтверждается официальной статистикой преступлений в данной области, а именно: в 2004 году было начато досудебное следствие по</w:t>
      </w:r>
      <w:r>
        <w:t xml:space="preserve"> семи</w:t>
      </w:r>
      <w:r w:rsidRPr="00642D0B">
        <w:t xml:space="preserve"> д</w:t>
      </w:r>
      <w:r w:rsidRPr="00642D0B">
        <w:t>е</w:t>
      </w:r>
      <w:r w:rsidRPr="00642D0B">
        <w:t>лам, связанным с преступлениями против принципа равенства и свободы сове</w:t>
      </w:r>
      <w:r w:rsidRPr="00642D0B">
        <w:t>с</w:t>
      </w:r>
      <w:r w:rsidRPr="00642D0B">
        <w:t>ти, по итогам которых одно уголовное дело было передано в суд; в 2011 году были начаты расследования 335 преступлений данной категории, по итогам к</w:t>
      </w:r>
      <w:r w:rsidRPr="00642D0B">
        <w:t>о</w:t>
      </w:r>
      <w:r w:rsidRPr="00642D0B">
        <w:t>торых 120 уголовных дел были передан</w:t>
      </w:r>
      <w:r w:rsidR="004C683B">
        <w:t>ы</w:t>
      </w:r>
      <w:r w:rsidRPr="00642D0B">
        <w:t xml:space="preserve"> в суд; в 2012 году было начато 278</w:t>
      </w:r>
      <w:r>
        <w:t> </w:t>
      </w:r>
      <w:r w:rsidRPr="00642D0B">
        <w:t>расследований, по итогам которых 74 уголовных дела были переданы в суд; в первой половине 2013 года (шесть месяцев) было начато досудебное следс</w:t>
      </w:r>
      <w:r w:rsidRPr="00642D0B">
        <w:t>т</w:t>
      </w:r>
      <w:r w:rsidRPr="00642D0B">
        <w:t>вие по 84 делам, связанным с преступлениями данной категории, по итогам к</w:t>
      </w:r>
      <w:r w:rsidRPr="00642D0B">
        <w:t>о</w:t>
      </w:r>
      <w:r w:rsidRPr="00642D0B">
        <w:t>торых в суд было передано 31 уголовное дело.</w:t>
      </w:r>
    </w:p>
    <w:p w:rsidR="008F52F9" w:rsidRPr="00642D0B" w:rsidRDefault="008F52F9" w:rsidP="008F52F9">
      <w:pPr>
        <w:pStyle w:val="SingleTxtGR"/>
      </w:pPr>
      <w:r w:rsidRPr="00642D0B">
        <w:t>16.</w:t>
      </w:r>
      <w:r w:rsidRPr="00642D0B">
        <w:tab/>
        <w:t>Положительный эффект от общественных кампаний был описан в иссл</w:t>
      </w:r>
      <w:r w:rsidRPr="00642D0B">
        <w:t>е</w:t>
      </w:r>
      <w:r w:rsidRPr="00642D0B">
        <w:t xml:space="preserve">довании </w:t>
      </w:r>
      <w:r>
        <w:t>"</w:t>
      </w:r>
      <w:r w:rsidRPr="00642D0B">
        <w:t>Оценка возможных проявлений дискриминационной практики и тол</w:t>
      </w:r>
      <w:r w:rsidRPr="00642D0B">
        <w:t>е</w:t>
      </w:r>
      <w:r w:rsidRPr="00642D0B">
        <w:t>рантности населения по отношению к различным социальным группам</w:t>
      </w:r>
      <w:r>
        <w:t>"</w:t>
      </w:r>
      <w:r w:rsidRPr="00642D0B">
        <w:t>, кот</w:t>
      </w:r>
      <w:r w:rsidRPr="00642D0B">
        <w:t>о</w:t>
      </w:r>
      <w:r w:rsidRPr="00642D0B">
        <w:t>рое было проведено в 2012 году по распоряжению Уполномоченного по обесп</w:t>
      </w:r>
      <w:r w:rsidRPr="00642D0B">
        <w:t>е</w:t>
      </w:r>
      <w:r w:rsidRPr="00642D0B">
        <w:t>чению равных возможностей. Согласно данным исследования за последние пять лет произошло улучшение отношения обследованных жителей страны б</w:t>
      </w:r>
      <w:r w:rsidRPr="00642D0B">
        <w:t>о</w:t>
      </w:r>
      <w:r w:rsidRPr="00642D0B">
        <w:t>лее чем к половине охваченных исследованием социальных групп. Наиболее ярко выраженным стало улучшение отношения общественности к лицам с о</w:t>
      </w:r>
      <w:r w:rsidRPr="00642D0B">
        <w:t>г</w:t>
      </w:r>
      <w:r w:rsidRPr="00642D0B">
        <w:t>раниченными физическими возможностями (сравнительный показатель разн</w:t>
      </w:r>
      <w:r w:rsidRPr="00642D0B">
        <w:t>и</w:t>
      </w:r>
      <w:r w:rsidRPr="00642D0B">
        <w:t>цы между положительными и отрицательными ответами составил +21</w:t>
      </w:r>
      <w:r w:rsidR="004C683B">
        <w:t>%</w:t>
      </w:r>
      <w:r w:rsidRPr="00642D0B">
        <w:t xml:space="preserve">), лицам русской национальности (+14), верующим традиционных христианский </w:t>
      </w:r>
      <w:proofErr w:type="spellStart"/>
      <w:r w:rsidRPr="00642D0B">
        <w:t>ко</w:t>
      </w:r>
      <w:r w:rsidRPr="00642D0B">
        <w:t>н</w:t>
      </w:r>
      <w:r w:rsidRPr="00642D0B">
        <w:t>фессий</w:t>
      </w:r>
      <w:proofErr w:type="spellEnd"/>
      <w:r w:rsidRPr="00642D0B">
        <w:t xml:space="preserve"> (+12), татарам и другим лицам, разговаривающим на наци</w:t>
      </w:r>
      <w:r w:rsidRPr="00642D0B">
        <w:t>о</w:t>
      </w:r>
      <w:r w:rsidRPr="00642D0B">
        <w:t>нальных языках (+11). В общей сложности 33</w:t>
      </w:r>
      <w:r>
        <w:t>%</w:t>
      </w:r>
      <w:r w:rsidRPr="00642D0B">
        <w:t xml:space="preserve"> опрошенных указали, что за рассматр</w:t>
      </w:r>
      <w:r w:rsidRPr="00642D0B">
        <w:t>и</w:t>
      </w:r>
      <w:r w:rsidRPr="00642D0B">
        <w:t>ваемый период улучшилось их отношение к полякам, 29</w:t>
      </w:r>
      <w:r>
        <w:t xml:space="preserve">% </w:t>
      </w:r>
      <w:r w:rsidRPr="00642D0B">
        <w:t>– к представителям иных рас, 22</w:t>
      </w:r>
      <w:r>
        <w:t xml:space="preserve">% </w:t>
      </w:r>
      <w:r w:rsidRPr="00642D0B">
        <w:t>– к представителям народа рома и 30</w:t>
      </w:r>
      <w:r>
        <w:t xml:space="preserve">% </w:t>
      </w:r>
      <w:r w:rsidRPr="00642D0B">
        <w:t>– к лицам негроидной р</w:t>
      </w:r>
      <w:r w:rsidRPr="00642D0B">
        <w:t>а</w:t>
      </w:r>
      <w:r w:rsidRPr="00642D0B">
        <w:t>сы.</w:t>
      </w:r>
    </w:p>
    <w:p w:rsidR="008F52F9" w:rsidRPr="00642D0B" w:rsidRDefault="008F52F9" w:rsidP="008F52F9">
      <w:pPr>
        <w:pStyle w:val="SingleTxtGR"/>
      </w:pPr>
      <w:r w:rsidRPr="00642D0B">
        <w:t>17.</w:t>
      </w:r>
      <w:r w:rsidRPr="00642D0B">
        <w:tab/>
        <w:t xml:space="preserve">Следует отметить, что в рамках проекта </w:t>
      </w:r>
      <w:r>
        <w:t>"</w:t>
      </w:r>
      <w:r w:rsidRPr="00642D0B">
        <w:t>Развитие навыков и повышение компетентности в деле борьбы с дискриминацией</w:t>
      </w:r>
      <w:r>
        <w:t>"</w:t>
      </w:r>
      <w:r w:rsidRPr="00642D0B">
        <w:t xml:space="preserve">, финансирование которого осуществлялось по линии Программы Европейской комиссии по обеспечению занятости и общественной солидарности </w:t>
      </w:r>
      <w:r>
        <w:t>"</w:t>
      </w:r>
      <w:r w:rsidRPr="00642D0B">
        <w:t>ПРОГРЕСС</w:t>
      </w:r>
      <w:r>
        <w:t>" (2007−</w:t>
      </w:r>
      <w:r w:rsidRPr="00642D0B">
        <w:t xml:space="preserve">2013 годы), в </w:t>
      </w:r>
      <w:proofErr w:type="spellStart"/>
      <w:r w:rsidRPr="00642D0B">
        <w:t>н</w:t>
      </w:r>
      <w:r w:rsidRPr="00642D0B">
        <w:t>о</w:t>
      </w:r>
      <w:r w:rsidRPr="00642D0B">
        <w:t>ябре</w:t>
      </w:r>
      <w:r>
        <w:t>−</w:t>
      </w:r>
      <w:r w:rsidRPr="00642D0B">
        <w:t>декабре</w:t>
      </w:r>
      <w:proofErr w:type="spellEnd"/>
      <w:r w:rsidRPr="00642D0B">
        <w:t xml:space="preserve"> 2011 года по распоряжению Уполномоченного по обеспечению равных возможностей была реализована программа расширения информир</w:t>
      </w:r>
      <w:r w:rsidRPr="00642D0B">
        <w:t>о</w:t>
      </w:r>
      <w:r w:rsidRPr="00642D0B">
        <w:t xml:space="preserve">ванности общественности под лозунгом </w:t>
      </w:r>
      <w:r>
        <w:t>"</w:t>
      </w:r>
      <w:r w:rsidRPr="00642D0B">
        <w:t>Дискриминация вредит всем</w:t>
      </w:r>
      <w:r>
        <w:t>"</w:t>
      </w:r>
      <w:r w:rsidRPr="00642D0B">
        <w:t>. Эта информационная кампания получила высокие оценки неправительственных о</w:t>
      </w:r>
      <w:r w:rsidRPr="00642D0B">
        <w:t>р</w:t>
      </w:r>
      <w:r w:rsidRPr="00642D0B">
        <w:t>ганизаций, а анализ результатов репрезентативного обследования населения Литвы, проведенного в октябре 2013 года, позволит оценить влияние кампании на уровень толерантности в обществе.</w:t>
      </w:r>
    </w:p>
    <w:p w:rsidR="008F52F9" w:rsidRPr="00642D0B" w:rsidRDefault="008F52F9" w:rsidP="008F52F9">
      <w:pPr>
        <w:pStyle w:val="SingleTxtGR"/>
      </w:pPr>
      <w:r w:rsidRPr="00642D0B">
        <w:t>18.</w:t>
      </w:r>
      <w:r w:rsidRPr="00642D0B">
        <w:tab/>
        <w:t xml:space="preserve">Кроме того, следует подчеркнуть, что в ходе осуществления мер в рамках </w:t>
      </w:r>
      <w:proofErr w:type="spellStart"/>
      <w:r w:rsidRPr="00642D0B">
        <w:t>Межучрежденческого</w:t>
      </w:r>
      <w:proofErr w:type="spellEnd"/>
      <w:r w:rsidRPr="00642D0B">
        <w:t xml:space="preserve"> плана действий по поощрению борьбы с дискриминацией на 2012</w:t>
      </w:r>
      <w:r>
        <w:t>−</w:t>
      </w:r>
      <w:r w:rsidRPr="00642D0B">
        <w:t>2014 годы Министерство социального обеспечения и труда планирует провести исследование динамики изменений общественных настроений и о</w:t>
      </w:r>
      <w:r w:rsidRPr="00642D0B">
        <w:t>с</w:t>
      </w:r>
      <w:r w:rsidRPr="00642D0B">
        <w:t>нований для дискриминации, а также провести анализ его результатов в 2014</w:t>
      </w:r>
      <w:r>
        <w:t> </w:t>
      </w:r>
      <w:r w:rsidRPr="00642D0B">
        <w:t>году.</w:t>
      </w:r>
    </w:p>
    <w:p w:rsidR="008F52F9" w:rsidRPr="0072701C" w:rsidRDefault="008F52F9" w:rsidP="008F52F9">
      <w:pPr>
        <w:pStyle w:val="SingleTxtGR"/>
        <w:rPr>
          <w:b/>
        </w:rPr>
      </w:pPr>
      <w:r w:rsidRPr="0072701C">
        <w:rPr>
          <w:b/>
        </w:rPr>
        <w:t>С учетом наблюдающейся в последнее время активизации деятельности неонацистских группировок (включая шествие, проведенное в феврале 2012 года) Комитет просит предоставить в его распоряжение дополнител</w:t>
      </w:r>
      <w:r w:rsidRPr="0072701C">
        <w:rPr>
          <w:b/>
        </w:rPr>
        <w:t>ь</w:t>
      </w:r>
      <w:r w:rsidRPr="0072701C">
        <w:rPr>
          <w:b/>
        </w:rPr>
        <w:t>ную информацию о возбужденных делах и вынесенных приговорах на о</w:t>
      </w:r>
      <w:r w:rsidRPr="0072701C">
        <w:rPr>
          <w:b/>
        </w:rPr>
        <w:t>с</w:t>
      </w:r>
      <w:r w:rsidRPr="0072701C">
        <w:rPr>
          <w:b/>
        </w:rPr>
        <w:t xml:space="preserve">новании Закона № </w:t>
      </w:r>
      <w:r w:rsidRPr="0072701C">
        <w:rPr>
          <w:b/>
          <w:lang w:val="en-US"/>
        </w:rPr>
        <w:t>XI</w:t>
      </w:r>
      <w:r w:rsidRPr="0072701C">
        <w:rPr>
          <w:b/>
        </w:rPr>
        <w:t>-330 от 9 июля 2009 года о введении уголовной отве</w:t>
      </w:r>
      <w:r w:rsidRPr="0072701C">
        <w:rPr>
          <w:b/>
        </w:rPr>
        <w:t>т</w:t>
      </w:r>
      <w:r w:rsidRPr="0072701C">
        <w:rPr>
          <w:b/>
        </w:rPr>
        <w:t>ственности за участие в деятельности групп и организаций, пропаганд</w:t>
      </w:r>
      <w:r w:rsidRPr="0072701C">
        <w:rPr>
          <w:b/>
        </w:rPr>
        <w:t>и</w:t>
      </w:r>
      <w:r w:rsidRPr="0072701C">
        <w:rPr>
          <w:b/>
        </w:rPr>
        <w:t>рующих расовую ненависть и дискриминацию.</w:t>
      </w:r>
    </w:p>
    <w:p w:rsidR="008F52F9" w:rsidRPr="00642D0B" w:rsidRDefault="008F52F9" w:rsidP="008F52F9">
      <w:pPr>
        <w:pStyle w:val="SingleTxtGR"/>
      </w:pPr>
      <w:r w:rsidRPr="00642D0B">
        <w:t>19.</w:t>
      </w:r>
      <w:r w:rsidRPr="00642D0B">
        <w:tab/>
        <w:t>В соответствии с принятым 9 июля 2009 года Законом о внесении попр</w:t>
      </w:r>
      <w:r w:rsidRPr="00642D0B">
        <w:t>а</w:t>
      </w:r>
      <w:r w:rsidRPr="00642D0B">
        <w:t xml:space="preserve">вок в Уголовный кодекс и включении в него статьи 1701, озаглавленной </w:t>
      </w:r>
      <w:r>
        <w:t>"</w:t>
      </w:r>
      <w:r w:rsidRPr="00642D0B">
        <w:t>Созд</w:t>
      </w:r>
      <w:r w:rsidRPr="00642D0B">
        <w:t>а</w:t>
      </w:r>
      <w:r w:rsidRPr="00642D0B">
        <w:t>ние и деятельность групп и организаций, имеющих целью дискриминацию той или иной группы лиц или возбуждение против нее вражды</w:t>
      </w:r>
      <w:r>
        <w:t>"</w:t>
      </w:r>
      <w:r w:rsidRPr="00642D0B">
        <w:t>, была введена уг</w:t>
      </w:r>
      <w:r w:rsidRPr="00642D0B">
        <w:t>о</w:t>
      </w:r>
      <w:r w:rsidRPr="00642D0B">
        <w:t>ловная ответственность за действия, которые относятся к созданию и деятел</w:t>
      </w:r>
      <w:r w:rsidRPr="00642D0B">
        <w:t>ь</w:t>
      </w:r>
      <w:r w:rsidRPr="00642D0B">
        <w:t>ности групп и организаций, имеющих целью дискриминацию той или иной группы лиц или возбуждение против нее вражды. С момента вступления этой статьи Кодекса в силу случаев возбуждения по ней досудебного производства зафиксировано не было; в течение рассматриваемого периода судебное пресл</w:t>
      </w:r>
      <w:r w:rsidRPr="00642D0B">
        <w:t>е</w:t>
      </w:r>
      <w:r w:rsidRPr="00642D0B">
        <w:t xml:space="preserve">дование лиц в соответствии с этим уголовным законом не осуществлялось. </w:t>
      </w:r>
    </w:p>
    <w:p w:rsidR="008F52F9" w:rsidRPr="0072701C" w:rsidRDefault="008F52F9" w:rsidP="008F52F9">
      <w:pPr>
        <w:pStyle w:val="SingleTxtGR"/>
        <w:rPr>
          <w:b/>
        </w:rPr>
      </w:pPr>
      <w:r w:rsidRPr="0072701C">
        <w:rPr>
          <w:b/>
        </w:rPr>
        <w:t>Комитет просит представить информацию о дальнейших усилиях, пре</w:t>
      </w:r>
      <w:r w:rsidRPr="0072701C">
        <w:rPr>
          <w:b/>
        </w:rPr>
        <w:t>д</w:t>
      </w:r>
      <w:r w:rsidRPr="0072701C">
        <w:rPr>
          <w:b/>
        </w:rPr>
        <w:t>принятых государством-участником, включая меры законодательного, с</w:t>
      </w:r>
      <w:r w:rsidRPr="0072701C">
        <w:rPr>
          <w:b/>
        </w:rPr>
        <w:t>у</w:t>
      </w:r>
      <w:r w:rsidRPr="0072701C">
        <w:rPr>
          <w:b/>
        </w:rPr>
        <w:t>дебного, политического и образовательного характера, направленные на прекращение деятельности подобных организаций и недопущение расовой ди</w:t>
      </w:r>
      <w:r w:rsidRPr="0072701C">
        <w:rPr>
          <w:b/>
        </w:rPr>
        <w:t>с</w:t>
      </w:r>
      <w:r w:rsidRPr="0072701C">
        <w:rPr>
          <w:b/>
        </w:rPr>
        <w:t>криминации.</w:t>
      </w:r>
    </w:p>
    <w:p w:rsidR="008F52F9" w:rsidRPr="00642D0B" w:rsidRDefault="008F52F9" w:rsidP="008F52F9">
      <w:pPr>
        <w:pStyle w:val="SingleTxtGR"/>
      </w:pPr>
      <w:r w:rsidRPr="00642D0B">
        <w:t>20.</w:t>
      </w:r>
      <w:r w:rsidRPr="00642D0B">
        <w:tab/>
        <w:t>В целях предотвращения расовой дискриминации и поощрения толеран</w:t>
      </w:r>
      <w:r w:rsidRPr="00642D0B">
        <w:t>т</w:t>
      </w:r>
      <w:r w:rsidRPr="00642D0B">
        <w:t xml:space="preserve">ности Правительство разрабатывает и утверждает национальные стратегии, программы и планы действий, включая Национальную </w:t>
      </w:r>
      <w:proofErr w:type="spellStart"/>
      <w:r w:rsidRPr="00642D0B">
        <w:t>антидискриминацио</w:t>
      </w:r>
      <w:r w:rsidRPr="00642D0B">
        <w:t>н</w:t>
      </w:r>
      <w:r w:rsidRPr="00642D0B">
        <w:t>ную</w:t>
      </w:r>
      <w:proofErr w:type="spellEnd"/>
      <w:r w:rsidRPr="00642D0B">
        <w:t xml:space="preserve"> программу на 2009</w:t>
      </w:r>
      <w:r>
        <w:t>−</w:t>
      </w:r>
      <w:r w:rsidRPr="00642D0B">
        <w:t xml:space="preserve">2011 годы, </w:t>
      </w:r>
      <w:proofErr w:type="spellStart"/>
      <w:r w:rsidRPr="00642D0B">
        <w:t>Межучрежденческий</w:t>
      </w:r>
      <w:proofErr w:type="spellEnd"/>
      <w:r w:rsidRPr="00642D0B">
        <w:t xml:space="preserve"> план действий по п</w:t>
      </w:r>
      <w:r w:rsidRPr="00642D0B">
        <w:t>о</w:t>
      </w:r>
      <w:r w:rsidRPr="00642D0B">
        <w:t>ощрению борьбы с дискриминацией на 2012</w:t>
      </w:r>
      <w:r>
        <w:t>−</w:t>
      </w:r>
      <w:r w:rsidRPr="00642D0B">
        <w:t>2014 годы, Стратегию развития политики в отношении национальных меньшинств на период до 2015 года, Пр</w:t>
      </w:r>
      <w:r w:rsidRPr="00642D0B">
        <w:t>о</w:t>
      </w:r>
      <w:r w:rsidRPr="00642D0B">
        <w:t>грамму интеграции рома в литовское общество на 2008</w:t>
      </w:r>
      <w:r>
        <w:t>−</w:t>
      </w:r>
      <w:r w:rsidRPr="00642D0B">
        <w:t>2010 годы, План дейс</w:t>
      </w:r>
      <w:r w:rsidRPr="00642D0B">
        <w:t>т</w:t>
      </w:r>
      <w:r w:rsidRPr="00642D0B">
        <w:t>вий по интеграции рома в литовское общество на 2012</w:t>
      </w:r>
      <w:r>
        <w:t>−</w:t>
      </w:r>
      <w:r w:rsidRPr="00642D0B">
        <w:t>2014 годы и Наци</w:t>
      </w:r>
      <w:r w:rsidRPr="00642D0B">
        <w:t>о</w:t>
      </w:r>
      <w:r w:rsidRPr="00642D0B">
        <w:t>нальную программу по обеспечению равных возможностей для женщин и му</w:t>
      </w:r>
      <w:r w:rsidRPr="00642D0B">
        <w:t>ж</w:t>
      </w:r>
      <w:r w:rsidRPr="00642D0B">
        <w:t>чин на 2010</w:t>
      </w:r>
      <w:r>
        <w:t>−</w:t>
      </w:r>
      <w:r w:rsidRPr="00642D0B">
        <w:t>2014 годы. В этих документах предусматриваются основопол</w:t>
      </w:r>
      <w:r w:rsidRPr="00642D0B">
        <w:t>а</w:t>
      </w:r>
      <w:r w:rsidRPr="00642D0B">
        <w:t>гающие меры, направленные на поощрение уважения к человеческой личности, обесп</w:t>
      </w:r>
      <w:r w:rsidRPr="00642D0B">
        <w:t>е</w:t>
      </w:r>
      <w:r w:rsidRPr="00642D0B">
        <w:t xml:space="preserve">чение реализации законодательных актов, предусматривающих принцип </w:t>
      </w:r>
      <w:proofErr w:type="spellStart"/>
      <w:r w:rsidRPr="00642D0B">
        <w:t>недискриминации</w:t>
      </w:r>
      <w:proofErr w:type="spellEnd"/>
      <w:r w:rsidRPr="00642D0B">
        <w:t xml:space="preserve"> и равных возможностей, </w:t>
      </w:r>
      <w:r>
        <w:t>повышение уровня</w:t>
      </w:r>
      <w:r w:rsidRPr="00642D0B">
        <w:t xml:space="preserve"> юридической грамотности, взаимопонимания и толерантности, информирование обществе</w:t>
      </w:r>
      <w:r w:rsidRPr="00642D0B">
        <w:t>н</w:t>
      </w:r>
      <w:r w:rsidRPr="00642D0B">
        <w:t>ности о проявлениях дискриминации в Литве и их негативных последствиях для возможностей некоторых групп в плане активного участия в общественной жизни на равноправной основе, а также об имеющихся средствах защиты ра</w:t>
      </w:r>
      <w:r w:rsidRPr="00642D0B">
        <w:t>в</w:t>
      </w:r>
      <w:r w:rsidRPr="00642D0B">
        <w:t>ноправия. Более подробная информация о мерах, предусмотренных этими д</w:t>
      </w:r>
      <w:r w:rsidRPr="00642D0B">
        <w:t>о</w:t>
      </w:r>
      <w:r w:rsidRPr="00642D0B">
        <w:t>кументами, и их осуществлении приводится ниже в настоящем докладе Литвы.</w:t>
      </w:r>
    </w:p>
    <w:p w:rsidR="008F52F9" w:rsidRPr="00642D0B" w:rsidRDefault="008F52F9" w:rsidP="008F52F9">
      <w:pPr>
        <w:pStyle w:val="SingleTxtGR"/>
      </w:pPr>
      <w:r w:rsidRPr="00642D0B">
        <w:t>21.</w:t>
      </w:r>
      <w:r w:rsidRPr="00642D0B">
        <w:tab/>
        <w:t>Кроме того, следует отметить, что одним из событий, ознаменовавших период председательства Литвы в Европейском союзе, стало проведение 12</w:t>
      </w:r>
      <w:r>
        <w:t>−</w:t>
      </w:r>
      <w:r w:rsidRPr="00642D0B">
        <w:t>13</w:t>
      </w:r>
      <w:r>
        <w:t> </w:t>
      </w:r>
      <w:r w:rsidRPr="00642D0B">
        <w:t>ноября 2013 года конференции по проблемам основных прав, главной темой которой стали преступления на почве ненависти. В ходе конференции были з</w:t>
      </w:r>
      <w:r w:rsidRPr="00642D0B">
        <w:t>а</w:t>
      </w:r>
      <w:r w:rsidRPr="00642D0B">
        <w:t xml:space="preserve">тронуты проблемы, вызываемые преступлениями на почве ненависти, а также их последствия для индивидуумов. </w:t>
      </w:r>
    </w:p>
    <w:p w:rsidR="008F52F9" w:rsidRPr="00642D0B" w:rsidRDefault="008F52F9" w:rsidP="008F52F9">
      <w:pPr>
        <w:pStyle w:val="H1GR"/>
      </w:pPr>
      <w:r>
        <w:tab/>
      </w:r>
      <w:r>
        <w:tab/>
      </w:r>
      <w:r w:rsidRPr="00642D0B">
        <w:t>Пункт 13</w:t>
      </w:r>
    </w:p>
    <w:p w:rsidR="008F52F9" w:rsidRPr="0072701C" w:rsidRDefault="008F52F9" w:rsidP="008F52F9">
      <w:pPr>
        <w:pStyle w:val="SingleTxtGR"/>
        <w:rPr>
          <w:b/>
        </w:rPr>
      </w:pPr>
      <w:r w:rsidRPr="0072701C">
        <w:rPr>
          <w:b/>
        </w:rPr>
        <w:t>Комитет рекомендует государству-участнику осуществлять наблюдение за любыми формами расовой сегрегации в свете его общей рекоменд</w:t>
      </w:r>
      <w:r w:rsidRPr="0072701C">
        <w:rPr>
          <w:b/>
        </w:rPr>
        <w:t>а</w:t>
      </w:r>
      <w:r w:rsidRPr="0072701C">
        <w:rPr>
          <w:b/>
        </w:rPr>
        <w:t>ции</w:t>
      </w:r>
      <w:r>
        <w:rPr>
          <w:b/>
        </w:rPr>
        <w:t> </w:t>
      </w:r>
      <w:r w:rsidRPr="0072701C">
        <w:rPr>
          <w:b/>
        </w:rPr>
        <w:t>№ 19 (1995) о недопущении, запрещении и искоренении расовой сегр</w:t>
      </w:r>
      <w:r w:rsidRPr="0072701C">
        <w:rPr>
          <w:b/>
        </w:rPr>
        <w:t>е</w:t>
      </w:r>
      <w:r w:rsidRPr="0072701C">
        <w:rPr>
          <w:b/>
        </w:rPr>
        <w:t>гации и апартеида и включить информацию об этом в свой следующий п</w:t>
      </w:r>
      <w:r w:rsidRPr="0072701C">
        <w:rPr>
          <w:b/>
        </w:rPr>
        <w:t>е</w:t>
      </w:r>
      <w:r w:rsidRPr="0072701C">
        <w:rPr>
          <w:b/>
        </w:rPr>
        <w:t>риодический доклад о расовой сегрегации и апартеиде (статья 3 Конве</w:t>
      </w:r>
      <w:r w:rsidRPr="0072701C">
        <w:rPr>
          <w:b/>
        </w:rPr>
        <w:t>н</w:t>
      </w:r>
      <w:r w:rsidRPr="0072701C">
        <w:rPr>
          <w:b/>
        </w:rPr>
        <w:t>ции), учитывая, что условия для расовой сегрегации могут быть созданы не только проводимой правительством политикой, но и могут сформир</w:t>
      </w:r>
      <w:r w:rsidRPr="0072701C">
        <w:rPr>
          <w:b/>
        </w:rPr>
        <w:t>о</w:t>
      </w:r>
      <w:r w:rsidRPr="0072701C">
        <w:rPr>
          <w:b/>
        </w:rPr>
        <w:t>ваться ненамеренно как п</w:t>
      </w:r>
      <w:r w:rsidRPr="0072701C">
        <w:rPr>
          <w:b/>
        </w:rPr>
        <w:t>о</w:t>
      </w:r>
      <w:r w:rsidRPr="0072701C">
        <w:rPr>
          <w:b/>
        </w:rPr>
        <w:t>бочный результат таких действий частных лиц, как создание поселений типа гетто, а также других форм социальной из</w:t>
      </w:r>
      <w:r w:rsidRPr="0072701C">
        <w:rPr>
          <w:b/>
        </w:rPr>
        <w:t>о</w:t>
      </w:r>
      <w:r w:rsidRPr="0072701C">
        <w:rPr>
          <w:b/>
        </w:rPr>
        <w:t xml:space="preserve">ляции. </w:t>
      </w:r>
    </w:p>
    <w:p w:rsidR="008F52F9" w:rsidRPr="00642D0B" w:rsidRDefault="008F52F9" w:rsidP="008F52F9">
      <w:pPr>
        <w:pStyle w:val="SingleTxtGR"/>
      </w:pPr>
      <w:r w:rsidRPr="00642D0B">
        <w:t>22.</w:t>
      </w:r>
      <w:r w:rsidRPr="00642D0B">
        <w:tab/>
        <w:t>В соответствии с Законом о равных возможностях Правительство и орг</w:t>
      </w:r>
      <w:r w:rsidRPr="00642D0B">
        <w:t>а</w:t>
      </w:r>
      <w:r w:rsidRPr="00642D0B">
        <w:t>ны государственной власти обязаны осуществлять программы и меры, напра</w:t>
      </w:r>
      <w:r w:rsidRPr="00642D0B">
        <w:t>в</w:t>
      </w:r>
      <w:r w:rsidRPr="00642D0B">
        <w:t>ленные на обеспечение равных возможностей для женщин и мужчин и реализ</w:t>
      </w:r>
      <w:r w:rsidRPr="00642D0B">
        <w:t>а</w:t>
      </w:r>
      <w:r w:rsidRPr="00642D0B">
        <w:t>цию принципа равенства вне зависимости от возраста, сексуальной ориентации, наличия инвалидности, расового или этнического происхождения, религии или убеждений. Функции по контролю за осуществлением этого закона были во</w:t>
      </w:r>
      <w:r w:rsidRPr="00642D0B">
        <w:t>з</w:t>
      </w:r>
      <w:r w:rsidRPr="00642D0B">
        <w:t>ложены на Канцелярию Уполномоченного по обеспечению равных возможн</w:t>
      </w:r>
      <w:r w:rsidRPr="00642D0B">
        <w:t>о</w:t>
      </w:r>
      <w:r w:rsidRPr="00642D0B">
        <w:t>стей. В своих ежегодных докладах Канцелярия представляет Сейму данные о жалобах и соответствующие резюме, а также рекомендации в отношении ко</w:t>
      </w:r>
      <w:r w:rsidRPr="00642D0B">
        <w:t>н</w:t>
      </w:r>
      <w:r w:rsidRPr="00642D0B">
        <w:t xml:space="preserve">кретных проблем, которые возникают в контексте усилий, направленных на учет </w:t>
      </w:r>
      <w:proofErr w:type="spellStart"/>
      <w:r w:rsidRPr="00642D0B">
        <w:t>гендерной</w:t>
      </w:r>
      <w:proofErr w:type="spellEnd"/>
      <w:r w:rsidRPr="00642D0B">
        <w:t xml:space="preserve"> проблематики в государственном и частном секторах Литвы.</w:t>
      </w:r>
    </w:p>
    <w:p w:rsidR="008F52F9" w:rsidRPr="00642D0B" w:rsidRDefault="008F52F9" w:rsidP="008F52F9">
      <w:pPr>
        <w:pStyle w:val="SingleTxtGR"/>
      </w:pPr>
      <w:r w:rsidRPr="00642D0B">
        <w:t>23.</w:t>
      </w:r>
      <w:r w:rsidRPr="00642D0B">
        <w:tab/>
        <w:t>В целях наблюдения за ситуацией, связанной с возможными проявлени</w:t>
      </w:r>
      <w:r w:rsidRPr="00642D0B">
        <w:t>я</w:t>
      </w:r>
      <w:r w:rsidRPr="00642D0B">
        <w:t>ми дискриминации, а также выявления их причин проводятся различные иссл</w:t>
      </w:r>
      <w:r w:rsidRPr="00642D0B">
        <w:t>е</w:t>
      </w:r>
      <w:r w:rsidRPr="00642D0B">
        <w:t>дования по проблемам дискриминации. В 2008 году по поручению Министе</w:t>
      </w:r>
      <w:r w:rsidRPr="00642D0B">
        <w:t>р</w:t>
      </w:r>
      <w:r w:rsidRPr="00642D0B">
        <w:t>ства социального обеспечения и труда было проведено исследование, озагла</w:t>
      </w:r>
      <w:r w:rsidRPr="00642D0B">
        <w:t>в</w:t>
      </w:r>
      <w:r w:rsidRPr="00642D0B">
        <w:t xml:space="preserve">ленное </w:t>
      </w:r>
      <w:r>
        <w:t>"</w:t>
      </w:r>
      <w:r w:rsidRPr="00642D0B">
        <w:t>Оценка и сравнительный анализ проявлений дискриминации в свете их новых определений, содержащихся в Законе о равных возможностях, а также степени толерантности общественности по отношению к различным социал</w:t>
      </w:r>
      <w:r w:rsidRPr="00642D0B">
        <w:t>ь</w:t>
      </w:r>
      <w:r w:rsidRPr="00642D0B">
        <w:t>ным группам</w:t>
      </w:r>
      <w:r>
        <w:t>"</w:t>
      </w:r>
      <w:r w:rsidRPr="00642D0B">
        <w:t>. В 2012 году по инициативе Уполномоченного по обеспечению равных возможностей было проведено репрезентативное обследование насел</w:t>
      </w:r>
      <w:r w:rsidRPr="00642D0B">
        <w:t>е</w:t>
      </w:r>
      <w:r w:rsidRPr="00642D0B">
        <w:t xml:space="preserve">ния путем очных </w:t>
      </w:r>
      <w:r>
        <w:t>опросов</w:t>
      </w:r>
      <w:r w:rsidRPr="00642D0B">
        <w:t>. Участникам обследования предлагалось указать, представители каких групп людей были бы для них нежелательны в качестве соседей или коллег по работе, а также сообщить о любых изменениях своего отношения к этим группам. Результаты обследования были доведены до свед</w:t>
      </w:r>
      <w:r w:rsidRPr="00642D0B">
        <w:t>е</w:t>
      </w:r>
      <w:r w:rsidRPr="00642D0B">
        <w:t>ния общес</w:t>
      </w:r>
      <w:r w:rsidRPr="00642D0B">
        <w:t>т</w:t>
      </w:r>
      <w:r w:rsidRPr="00642D0B">
        <w:t>венности.</w:t>
      </w:r>
    </w:p>
    <w:p w:rsidR="008F52F9" w:rsidRPr="00642D0B" w:rsidRDefault="008F52F9" w:rsidP="008F52F9">
      <w:pPr>
        <w:pStyle w:val="H1GR"/>
      </w:pPr>
      <w:r>
        <w:tab/>
      </w:r>
      <w:r>
        <w:tab/>
      </w:r>
      <w:r w:rsidRPr="00642D0B">
        <w:t>Пункт 14</w:t>
      </w:r>
    </w:p>
    <w:p w:rsidR="008F52F9" w:rsidRPr="00642D0B" w:rsidRDefault="008F52F9" w:rsidP="008F52F9">
      <w:pPr>
        <w:pStyle w:val="SingleTxtGR"/>
        <w:rPr>
          <w:b/>
        </w:rPr>
      </w:pPr>
      <w:r w:rsidRPr="00642D0B">
        <w:rPr>
          <w:b/>
        </w:rPr>
        <w:t xml:space="preserve">Комитет рекомендует государству-участнику в полной мере выполнить его общую рекомендацию № 31 (2005) о </w:t>
      </w:r>
      <w:r w:rsidRPr="00642D0B">
        <w:rPr>
          <w:b/>
          <w:bCs/>
        </w:rPr>
        <w:t>предупреждении расовой дискримин</w:t>
      </w:r>
      <w:r w:rsidRPr="00642D0B">
        <w:rPr>
          <w:b/>
          <w:bCs/>
        </w:rPr>
        <w:t>а</w:t>
      </w:r>
      <w:r w:rsidRPr="00642D0B">
        <w:rPr>
          <w:b/>
          <w:bCs/>
        </w:rPr>
        <w:t xml:space="preserve">ции в процессе </w:t>
      </w:r>
      <w:r>
        <w:rPr>
          <w:b/>
          <w:bCs/>
        </w:rPr>
        <w:t>от</w:t>
      </w:r>
      <w:r w:rsidRPr="00642D0B">
        <w:rPr>
          <w:b/>
          <w:bCs/>
        </w:rPr>
        <w:t>правления</w:t>
      </w:r>
      <w:r>
        <w:rPr>
          <w:b/>
          <w:bCs/>
        </w:rPr>
        <w:t xml:space="preserve"> и </w:t>
      </w:r>
      <w:r w:rsidRPr="00642D0B">
        <w:rPr>
          <w:b/>
          <w:bCs/>
        </w:rPr>
        <w:t>функционирования систем</w:t>
      </w:r>
      <w:r>
        <w:rPr>
          <w:b/>
          <w:bCs/>
        </w:rPr>
        <w:t>ы</w:t>
      </w:r>
      <w:r w:rsidRPr="00642D0B">
        <w:rPr>
          <w:b/>
          <w:bCs/>
        </w:rPr>
        <w:t xml:space="preserve"> уголовного пр</w:t>
      </w:r>
      <w:r w:rsidRPr="00642D0B">
        <w:rPr>
          <w:b/>
          <w:bCs/>
        </w:rPr>
        <w:t>а</w:t>
      </w:r>
      <w:r w:rsidRPr="00642D0B">
        <w:rPr>
          <w:b/>
          <w:bCs/>
        </w:rPr>
        <w:t>восудия</w:t>
      </w:r>
      <w:r w:rsidRPr="00642D0B">
        <w:rPr>
          <w:b/>
        </w:rPr>
        <w:t>, включая разработку соответствующих образовательных пр</w:t>
      </w:r>
      <w:r w:rsidRPr="00642D0B">
        <w:rPr>
          <w:b/>
        </w:rPr>
        <w:t>о</w:t>
      </w:r>
      <w:r w:rsidRPr="00642D0B">
        <w:rPr>
          <w:b/>
        </w:rPr>
        <w:t>грамм, ориентированных как на сотрудников правоохранительных орг</w:t>
      </w:r>
      <w:r w:rsidRPr="00642D0B">
        <w:rPr>
          <w:b/>
        </w:rPr>
        <w:t>а</w:t>
      </w:r>
      <w:r w:rsidRPr="00642D0B">
        <w:rPr>
          <w:b/>
        </w:rPr>
        <w:t>нов, так и на группы меньшинств</w:t>
      </w:r>
      <w:r>
        <w:rPr>
          <w:b/>
        </w:rPr>
        <w:t>.</w:t>
      </w:r>
    </w:p>
    <w:p w:rsidR="008F52F9" w:rsidRPr="00642D0B" w:rsidRDefault="008F52F9" w:rsidP="008F52F9">
      <w:pPr>
        <w:pStyle w:val="SingleTxtGR"/>
      </w:pPr>
      <w:r w:rsidRPr="00642D0B">
        <w:t>24.</w:t>
      </w:r>
      <w:r w:rsidRPr="00642D0B">
        <w:tab/>
        <w:t>Среди сотрудников правоохранительных органов на регулярной основе организуются образовательные мероприятия, касающиеся вопросов расовой дискриминации и иных ее форм, в целях совершенствования их навыков в пл</w:t>
      </w:r>
      <w:r w:rsidRPr="00642D0B">
        <w:t>а</w:t>
      </w:r>
      <w:r w:rsidRPr="00642D0B">
        <w:t>не оценки преступлений дискриминационного характера, а также их ознако</w:t>
      </w:r>
      <w:r w:rsidRPr="00642D0B">
        <w:t>м</w:t>
      </w:r>
      <w:r w:rsidRPr="00642D0B">
        <w:t xml:space="preserve">ления с соответствующим национальным и международным законодательством и проблематикой прав человека. Ниже приводится подробная информация </w:t>
      </w:r>
      <w:r w:rsidR="004C683B">
        <w:t xml:space="preserve">о </w:t>
      </w:r>
      <w:r w:rsidRPr="00642D0B">
        <w:t>деятельности по повышению квалификации и проведенных семинарах на соо</w:t>
      </w:r>
      <w:r w:rsidRPr="00642D0B">
        <w:t>т</w:t>
      </w:r>
      <w:r w:rsidRPr="00642D0B">
        <w:t>ветствующие темы.</w:t>
      </w:r>
    </w:p>
    <w:p w:rsidR="008F52F9" w:rsidRPr="00642D0B" w:rsidRDefault="008F52F9" w:rsidP="008F52F9">
      <w:pPr>
        <w:pStyle w:val="SingleTxtGR"/>
      </w:pPr>
      <w:r w:rsidRPr="00642D0B">
        <w:t>25.</w:t>
      </w:r>
      <w:r w:rsidRPr="00642D0B">
        <w:tab/>
        <w:t>Для судей и прокуроров был проведен семинар по вопросам применения законодательства Европейского союза и национального законодательства, н</w:t>
      </w:r>
      <w:r w:rsidRPr="00642D0B">
        <w:t>а</w:t>
      </w:r>
      <w:r w:rsidRPr="00642D0B">
        <w:t>правленного на борьбу с дискриминацией, который состоялся 15</w:t>
      </w:r>
      <w:r>
        <w:t>−</w:t>
      </w:r>
      <w:r w:rsidRPr="00642D0B">
        <w:t>16 апреля 2009 года и был посвящен исключительно Международной конвенции о ликв</w:t>
      </w:r>
      <w:r w:rsidRPr="00642D0B">
        <w:t>и</w:t>
      </w:r>
      <w:r w:rsidRPr="00642D0B">
        <w:t xml:space="preserve">дации всех форм расовой дискриминации, вопросам ее применения, а также другим </w:t>
      </w:r>
      <w:proofErr w:type="spellStart"/>
      <w:r w:rsidRPr="00642D0B">
        <w:t>антидискриминационным</w:t>
      </w:r>
      <w:proofErr w:type="spellEnd"/>
      <w:r w:rsidRPr="00642D0B">
        <w:t xml:space="preserve"> нормативно-правовым актам. В семинаре приняли участие 29 судей и 10 прокуроров.</w:t>
      </w:r>
    </w:p>
    <w:p w:rsidR="008F52F9" w:rsidRPr="00642D0B" w:rsidRDefault="008F52F9" w:rsidP="008F52F9">
      <w:pPr>
        <w:pStyle w:val="SingleTxtGR"/>
      </w:pPr>
      <w:r w:rsidRPr="00642D0B">
        <w:t>26.</w:t>
      </w:r>
      <w:r w:rsidRPr="00642D0B">
        <w:tab/>
        <w:t>С 19 по 22 декабря 2011 года были организованы курсы повышения кв</w:t>
      </w:r>
      <w:r w:rsidRPr="00642D0B">
        <w:t>а</w:t>
      </w:r>
      <w:r w:rsidRPr="00642D0B">
        <w:t>лификации для должностных лиц, проводящих досудебное следствие, прокур</w:t>
      </w:r>
      <w:r w:rsidRPr="00642D0B">
        <w:t>о</w:t>
      </w:r>
      <w:r w:rsidRPr="00642D0B">
        <w:t>ров и судей, которые занимаются преступлениями, связанными с коррупцией; одной из тем мероприятия стало применение положений Европейской конве</w:t>
      </w:r>
      <w:r w:rsidRPr="00642D0B">
        <w:t>н</w:t>
      </w:r>
      <w:r w:rsidRPr="00642D0B">
        <w:t>ции по правам человека в рамках деятельности в связи с уголовными престу</w:t>
      </w:r>
      <w:r w:rsidRPr="00642D0B">
        <w:t>п</w:t>
      </w:r>
      <w:r w:rsidRPr="00642D0B">
        <w:t>лениями, направленными против государственной службы и государственных интересов. В число участников этих учебных курсов вошли 16 судей, 6 прок</w:t>
      </w:r>
      <w:r w:rsidRPr="00642D0B">
        <w:t>у</w:t>
      </w:r>
      <w:r w:rsidRPr="00642D0B">
        <w:t xml:space="preserve">роров, 5 сотрудников Государственной пограничной службы, 5 работников службы по расследованию финансовых преступлений и 3 работника службы специальных расследований. </w:t>
      </w:r>
    </w:p>
    <w:p w:rsidR="008F52F9" w:rsidRDefault="008F52F9" w:rsidP="008F52F9">
      <w:pPr>
        <w:pStyle w:val="SingleTxtGR"/>
        <w:rPr>
          <w:lang w:val="en-US"/>
        </w:rPr>
      </w:pPr>
      <w:r w:rsidRPr="00642D0B">
        <w:t>27.</w:t>
      </w:r>
      <w:r w:rsidRPr="00642D0B">
        <w:tab/>
        <w:t>Во втором квартале 2012 года для судей и прокуроров был организован семинар по правовым и социальным аспектам борьбы с дискриминацией пр</w:t>
      </w:r>
      <w:r w:rsidRPr="00642D0B">
        <w:t>о</w:t>
      </w:r>
      <w:r w:rsidRPr="00642D0B">
        <w:t>должительностью в 12 академических часов. В семинаре приняли участие 37</w:t>
      </w:r>
      <w:r>
        <w:t> </w:t>
      </w:r>
      <w:r w:rsidRPr="00642D0B">
        <w:t>судей и 15 прокуроров.</w:t>
      </w:r>
    </w:p>
    <w:p w:rsidR="008F52F9" w:rsidRPr="00C63B8B" w:rsidRDefault="008F52F9" w:rsidP="008F52F9">
      <w:pPr>
        <w:pStyle w:val="SingleTxtGR"/>
      </w:pPr>
      <w:r w:rsidRPr="00C63B8B">
        <w:t>28.</w:t>
      </w:r>
      <w:r w:rsidRPr="00C63B8B">
        <w:tab/>
        <w:t>С 11 по 13 февраля 2013 года был организован тренинг для судей в ра</w:t>
      </w:r>
      <w:r w:rsidRPr="00C63B8B">
        <w:t>м</w:t>
      </w:r>
      <w:r w:rsidRPr="00C63B8B">
        <w:t>ках программы повышения квалификации "Преступления, связанные с корру</w:t>
      </w:r>
      <w:r w:rsidRPr="00C63B8B">
        <w:t>п</w:t>
      </w:r>
      <w:r w:rsidRPr="00C63B8B">
        <w:t>цией"; одной из тем тренинга стало применение положений Европейской ко</w:t>
      </w:r>
      <w:r w:rsidRPr="00C63B8B">
        <w:t>н</w:t>
      </w:r>
      <w:r w:rsidRPr="00C63B8B">
        <w:t>венции по правам человека в рамках деятельности в связи с уголовными пр</w:t>
      </w:r>
      <w:r w:rsidRPr="00C63B8B">
        <w:t>е</w:t>
      </w:r>
      <w:r w:rsidRPr="00C63B8B">
        <w:t>ступлениями, направленными против государственной службы и государстве</w:t>
      </w:r>
      <w:r w:rsidRPr="00C63B8B">
        <w:t>н</w:t>
      </w:r>
      <w:r w:rsidRPr="00C63B8B">
        <w:t>ных интересов. Участниками тренинга стали 37 судей.</w:t>
      </w:r>
    </w:p>
    <w:p w:rsidR="008F52F9" w:rsidRPr="00C63B8B" w:rsidRDefault="008F52F9" w:rsidP="008F52F9">
      <w:pPr>
        <w:pStyle w:val="SingleTxtGR"/>
      </w:pPr>
      <w:r w:rsidRPr="00C63B8B">
        <w:t>29.</w:t>
      </w:r>
      <w:r w:rsidRPr="00C63B8B">
        <w:tab/>
        <w:t>С 13 по 15 мая 2013 года состоялся тренинг в рамках программы пов</w:t>
      </w:r>
      <w:r w:rsidRPr="00C63B8B">
        <w:t>ы</w:t>
      </w:r>
      <w:r w:rsidRPr="00C63B8B">
        <w:t>шения квалификации судей "Законодательство и процедура Европейского со</w:t>
      </w:r>
      <w:r w:rsidRPr="00C63B8B">
        <w:t>ю</w:t>
      </w:r>
      <w:r w:rsidRPr="00C63B8B">
        <w:t>за", одной из тем которого стал обзор решений Европейского суда по правам человека, а также вопрос о влиянии международных нормативно-правовых а</w:t>
      </w:r>
      <w:r w:rsidRPr="00C63B8B">
        <w:t>к</w:t>
      </w:r>
      <w:r w:rsidRPr="00C63B8B">
        <w:t>тов в области прав человека на толкование и применение законодательства Е</w:t>
      </w:r>
      <w:r w:rsidRPr="00C63B8B">
        <w:t>в</w:t>
      </w:r>
      <w:r w:rsidRPr="00C63B8B">
        <w:t xml:space="preserve">ропейского союза. В тренинге приняли участие 37 судей. </w:t>
      </w:r>
    </w:p>
    <w:p w:rsidR="008F52F9" w:rsidRPr="00C63B8B" w:rsidRDefault="008F52F9" w:rsidP="008F52F9">
      <w:pPr>
        <w:pStyle w:val="SingleTxtGR"/>
      </w:pPr>
      <w:r w:rsidRPr="00C63B8B">
        <w:t>30.</w:t>
      </w:r>
      <w:r w:rsidRPr="00C63B8B">
        <w:tab/>
        <w:t>Тридцать первого мая 2013 года состоялся семинар, посвященный те</w:t>
      </w:r>
      <w:r w:rsidRPr="00C63B8B">
        <w:t>н</w:t>
      </w:r>
      <w:r w:rsidRPr="00C63B8B">
        <w:t>денциям в сфере применения Европейской конвенции по правам человека в контексте решений Европейского суда по правам человека, а также литовских судов. В нем приняли участие 109 человек (судьи, младшие сотрудники по пр</w:t>
      </w:r>
      <w:r w:rsidRPr="00C63B8B">
        <w:t>а</w:t>
      </w:r>
      <w:r w:rsidRPr="00C63B8B">
        <w:t xml:space="preserve">вовым вопросам, а также другие работники судебных органов). </w:t>
      </w:r>
    </w:p>
    <w:p w:rsidR="008F52F9" w:rsidRPr="00C63B8B" w:rsidRDefault="008F52F9" w:rsidP="008F52F9">
      <w:pPr>
        <w:pStyle w:val="SingleTxtGR"/>
      </w:pPr>
      <w:r w:rsidRPr="00C63B8B">
        <w:t>31.</w:t>
      </w:r>
      <w:r w:rsidRPr="00C63B8B">
        <w:tab/>
        <w:t>Генеральный прокурор утвердил специализированную программу пр</w:t>
      </w:r>
      <w:r w:rsidRPr="00C63B8B">
        <w:t>о</w:t>
      </w:r>
      <w:r w:rsidRPr="00C63B8B">
        <w:t>фессиональной подготовки прокуроров на 2010 год, в рамках которой четыре академических часа были отведены на изучение темы преступлений, связанных с разжиганием расовой ненависти (статья 170 Уголовного кодекса) и дискрим</w:t>
      </w:r>
      <w:r w:rsidRPr="00C63B8B">
        <w:t>и</w:t>
      </w:r>
      <w:r w:rsidRPr="00C63B8B">
        <w:t>нацией (статья 169 Уголовного кодекса), а также преступлениям, совершаемым на почве расизма, ксенофобии и антисемитизма, и особенностям их квалифик</w:t>
      </w:r>
      <w:r w:rsidRPr="00C63B8B">
        <w:t>а</w:t>
      </w:r>
      <w:r w:rsidRPr="00C63B8B">
        <w:t>ции и расследования.</w:t>
      </w:r>
    </w:p>
    <w:p w:rsidR="008F52F9" w:rsidRPr="00C63B8B" w:rsidRDefault="008F52F9" w:rsidP="008F52F9">
      <w:pPr>
        <w:pStyle w:val="SingleTxtGR"/>
      </w:pPr>
      <w:r w:rsidRPr="00C63B8B">
        <w:t>32.</w:t>
      </w:r>
      <w:r w:rsidRPr="00C63B8B">
        <w:tab/>
        <w:t>Вопросы прав и свобод человека, а также равных возможностей включ</w:t>
      </w:r>
      <w:r w:rsidRPr="00C63B8B">
        <w:t>е</w:t>
      </w:r>
      <w:r w:rsidRPr="00C63B8B">
        <w:t>ны в Программу профессиональной подготовки сотрудников полиции. Эта Пр</w:t>
      </w:r>
      <w:r w:rsidRPr="00C63B8B">
        <w:t>о</w:t>
      </w:r>
      <w:r w:rsidRPr="00C63B8B">
        <w:t>грамма предусматривает ознакомление учащихся Школы полиции Литвы с и</w:t>
      </w:r>
      <w:r w:rsidRPr="00C63B8B">
        <w:t>н</w:t>
      </w:r>
      <w:r w:rsidRPr="00C63B8B">
        <w:t>формацией об основных правах человека и свободах, а также об институтах, обеспечивающих защиту прав и свобод человека. Они также знакомятся с н</w:t>
      </w:r>
      <w:r w:rsidRPr="00C63B8B">
        <w:t>а</w:t>
      </w:r>
      <w:r w:rsidRPr="00C63B8B">
        <w:t>циональным и международным законодательством, касающимся защиты прав человека. В 2010 году в рамках Программы обучалось 129 человек, в 2011 г</w:t>
      </w:r>
      <w:r w:rsidRPr="00C63B8B">
        <w:t>о</w:t>
      </w:r>
      <w:r w:rsidRPr="00C63B8B">
        <w:t>ду</w:t>
      </w:r>
      <w:r w:rsidR="004C683B">
        <w:t> </w:t>
      </w:r>
      <w:r w:rsidRPr="00C63B8B">
        <w:t>– 96 человек, а в 2012 году – 75 человек.</w:t>
      </w:r>
    </w:p>
    <w:p w:rsidR="008F52F9" w:rsidRPr="00C63B8B" w:rsidRDefault="008F52F9" w:rsidP="008F52F9">
      <w:pPr>
        <w:pStyle w:val="SingleTxtGR"/>
      </w:pPr>
      <w:r w:rsidRPr="00C63B8B">
        <w:t>33.</w:t>
      </w:r>
      <w:r w:rsidRPr="00C63B8B">
        <w:tab/>
        <w:t>В 2010 году в Школе полиции Литвы было проведено 15 учебных сем</w:t>
      </w:r>
      <w:r w:rsidRPr="00C63B8B">
        <w:t>и</w:t>
      </w:r>
      <w:r w:rsidRPr="00C63B8B">
        <w:t>наров, посвященных вопросам общения с потерпевшими, в которых приняли участие 223 сотрудника полиции. Темой одного из семинаров стали возможные проявления дискриминации в Литве (речь шла о дискриминации по признакам возраста, наличия инвалидности, сексуальной ориентации, расового или этн</w:t>
      </w:r>
      <w:r w:rsidRPr="00C63B8B">
        <w:t>и</w:t>
      </w:r>
      <w:r w:rsidRPr="00C63B8B">
        <w:t>ческого происхождения, религии и убеждений). В 2011 году было проведено десять семинаров с участием 130 сотрудников, а в 2012 году – девять семинаров с участием 126 сотрудников.</w:t>
      </w:r>
    </w:p>
    <w:p w:rsidR="008F52F9" w:rsidRPr="00C63B8B" w:rsidRDefault="008F52F9" w:rsidP="008F52F9">
      <w:pPr>
        <w:pStyle w:val="SingleTxtGR"/>
      </w:pPr>
      <w:r w:rsidRPr="00C63B8B">
        <w:t>34.</w:t>
      </w:r>
      <w:r w:rsidRPr="00C63B8B">
        <w:tab/>
        <w:t>В 2010 году было подготовлено учебное пособие для полицейских под названием "Дискриминация: реализация принципа равенства возможностей", в котором содержатся общие сведения о ситуации с равенством возможностей в Литве, дискриминации и связанной с ней ответственности, мерах по достиж</w:t>
      </w:r>
      <w:r w:rsidRPr="00C63B8B">
        <w:t>е</w:t>
      </w:r>
      <w:r w:rsidRPr="00C63B8B">
        <w:t>нию реального равенства, фактическом положении дел, практических проявл</w:t>
      </w:r>
      <w:r w:rsidRPr="00C63B8B">
        <w:t>е</w:t>
      </w:r>
      <w:r w:rsidRPr="00C63B8B">
        <w:t xml:space="preserve">ниях дискриминации и т.д. </w:t>
      </w:r>
    </w:p>
    <w:p w:rsidR="008F52F9" w:rsidRPr="00C63B8B" w:rsidRDefault="008F52F9" w:rsidP="008F52F9">
      <w:pPr>
        <w:pStyle w:val="SingleTxtGR"/>
      </w:pPr>
      <w:r w:rsidRPr="00C63B8B">
        <w:t>35.</w:t>
      </w:r>
      <w:r w:rsidRPr="00C63B8B">
        <w:tab/>
        <w:t>В 2012 году в Школе полиции Литвы был проведен учебный семинар на тему содействия борьбе с дискриминацией и осуществления политики в обла</w:t>
      </w:r>
      <w:r w:rsidRPr="00C63B8B">
        <w:t>с</w:t>
      </w:r>
      <w:r w:rsidRPr="00C63B8B">
        <w:t>ти обеспечения равных возможностей, в котором приняли участие 26 сотрудн</w:t>
      </w:r>
      <w:r w:rsidRPr="00C63B8B">
        <w:t>и</w:t>
      </w:r>
      <w:r w:rsidRPr="00C63B8B">
        <w:t>ков полиции.</w:t>
      </w:r>
    </w:p>
    <w:p w:rsidR="008F52F9" w:rsidRPr="00C63B8B" w:rsidRDefault="008F52F9" w:rsidP="008F52F9">
      <w:pPr>
        <w:pStyle w:val="SingleTxtGR"/>
      </w:pPr>
      <w:r w:rsidRPr="00C63B8B">
        <w:t>36.</w:t>
      </w:r>
      <w:r w:rsidRPr="00C63B8B">
        <w:tab/>
        <w:t>Коллегия адвокатов Литвы проводила семинары по таким проблемам, как защита прав человека в национальном законодательстве и законодательстве Е</w:t>
      </w:r>
      <w:r w:rsidRPr="00C63B8B">
        <w:t>в</w:t>
      </w:r>
      <w:r w:rsidRPr="00C63B8B">
        <w:t>ропейского союза, обеспечение соблюдения прав человека в рамках уголовно-процессуальной и правоприменительной деятельности, профессиональная эт</w:t>
      </w:r>
      <w:r w:rsidRPr="00C63B8B">
        <w:t>и</w:t>
      </w:r>
      <w:r w:rsidRPr="00C63B8B">
        <w:t>ка адвокатов и права человека, а также различные вопросы, связанные с прим</w:t>
      </w:r>
      <w:r w:rsidRPr="00C63B8B">
        <w:t>е</w:t>
      </w:r>
      <w:r w:rsidRPr="00C63B8B">
        <w:t>нением Европейской конвенции по правам человека. Силами Коллегии адвок</w:t>
      </w:r>
      <w:r w:rsidRPr="00C63B8B">
        <w:t>а</w:t>
      </w:r>
      <w:r w:rsidRPr="00C63B8B">
        <w:t>тов Литвы в 2010 году было организовано 18 семинаров, в 2011 году – 12 сем</w:t>
      </w:r>
      <w:r w:rsidRPr="00C63B8B">
        <w:t>и</w:t>
      </w:r>
      <w:r w:rsidRPr="00C63B8B">
        <w:t xml:space="preserve">наров, в 2012 году – 4 семинара, а в 2013 году – 2 семинара. В этих семинарах приняли участие 1 222 адвоката и помощника адвокатов. </w:t>
      </w:r>
    </w:p>
    <w:p w:rsidR="008F52F9" w:rsidRPr="00C63B8B" w:rsidRDefault="008F52F9" w:rsidP="008F52F9">
      <w:pPr>
        <w:pStyle w:val="SingleTxtGR"/>
        <w:rPr>
          <w:b/>
        </w:rPr>
      </w:pPr>
      <w:r w:rsidRPr="00C63B8B">
        <w:rPr>
          <w:b/>
        </w:rPr>
        <w:t>Комитет рекомендует государству-участнику принять меры по обеспеч</w:t>
      </w:r>
      <w:r w:rsidRPr="00C63B8B">
        <w:rPr>
          <w:b/>
        </w:rPr>
        <w:t>е</w:t>
      </w:r>
      <w:r w:rsidRPr="00C63B8B">
        <w:rPr>
          <w:b/>
        </w:rPr>
        <w:t>нию представленности лиц, принадлежащих к группам меньшинств, в о</w:t>
      </w:r>
      <w:r w:rsidRPr="00C63B8B">
        <w:rPr>
          <w:b/>
        </w:rPr>
        <w:t>р</w:t>
      </w:r>
      <w:r w:rsidRPr="00C63B8B">
        <w:rPr>
          <w:b/>
        </w:rPr>
        <w:t>ганах полиции и судебных органах.</w:t>
      </w:r>
    </w:p>
    <w:p w:rsidR="008F52F9" w:rsidRPr="00C63B8B" w:rsidRDefault="008F52F9" w:rsidP="008F52F9">
      <w:pPr>
        <w:pStyle w:val="SingleTxtGR"/>
      </w:pPr>
      <w:r w:rsidRPr="00C63B8B">
        <w:t>37.</w:t>
      </w:r>
      <w:r w:rsidRPr="00C63B8B">
        <w:tab/>
        <w:t>В статье 6 Устава органов внутренних дел устанавливаются общие треб</w:t>
      </w:r>
      <w:r w:rsidRPr="00C63B8B">
        <w:t>о</w:t>
      </w:r>
      <w:r w:rsidRPr="00C63B8B">
        <w:t>вания к лицам, желающим поступить на службу в органы внутренних дел, включая службу в полиции. Законодательство не предусматривает каких-либо ограничений в отношении этнической или расовой принадлежности в том, что касается работы в органах внутренних дел.</w:t>
      </w:r>
    </w:p>
    <w:p w:rsidR="008F52F9" w:rsidRPr="00C63B8B" w:rsidRDefault="008F52F9" w:rsidP="008F52F9">
      <w:pPr>
        <w:pStyle w:val="SingleTxtGR"/>
      </w:pPr>
      <w:r w:rsidRPr="00C63B8B">
        <w:t>38.</w:t>
      </w:r>
      <w:r w:rsidRPr="00C63B8B">
        <w:tab/>
        <w:t>От лиц, подающих заявления о приеме на работу в органы полиции, не требуется указывать свою национальность, вследствие чего невозможно прои</w:t>
      </w:r>
      <w:r w:rsidRPr="00C63B8B">
        <w:t>з</w:t>
      </w:r>
      <w:r w:rsidRPr="00C63B8B">
        <w:t>вести разбивку статистических данных о сотрудниках полиции по признаку н</w:t>
      </w:r>
      <w:r w:rsidRPr="00C63B8B">
        <w:t>а</w:t>
      </w:r>
      <w:r w:rsidRPr="00C63B8B">
        <w:t>циональности.</w:t>
      </w:r>
    </w:p>
    <w:p w:rsidR="008F52F9" w:rsidRPr="00C63B8B" w:rsidRDefault="008F52F9" w:rsidP="008F52F9">
      <w:pPr>
        <w:pStyle w:val="H1GR"/>
      </w:pPr>
      <w:r w:rsidRPr="00C63B8B">
        <w:tab/>
      </w:r>
      <w:r w:rsidRPr="00C63B8B">
        <w:tab/>
        <w:t>Пункт 15</w:t>
      </w:r>
    </w:p>
    <w:p w:rsidR="008F52F9" w:rsidRPr="00C63B8B" w:rsidRDefault="008F52F9" w:rsidP="008F52F9">
      <w:pPr>
        <w:pStyle w:val="SingleTxtGR"/>
        <w:rPr>
          <w:b/>
        </w:rPr>
      </w:pPr>
      <w:r w:rsidRPr="00C63B8B">
        <w:rPr>
          <w:b/>
        </w:rPr>
        <w:t>Комитет просит предоставить в его распоряжение обновленную информ</w:t>
      </w:r>
      <w:r w:rsidRPr="00C63B8B">
        <w:rPr>
          <w:b/>
        </w:rPr>
        <w:t>а</w:t>
      </w:r>
      <w:r w:rsidRPr="00C63B8B">
        <w:rPr>
          <w:b/>
        </w:rPr>
        <w:t>цию о целенаправленных инициативах, а также о последствиях и конкре</w:t>
      </w:r>
      <w:r w:rsidRPr="00C63B8B">
        <w:rPr>
          <w:b/>
        </w:rPr>
        <w:t>т</w:t>
      </w:r>
      <w:r w:rsidRPr="00C63B8B">
        <w:rPr>
          <w:b/>
        </w:rPr>
        <w:t>ных результатах Плана действий по интеграции рома в литовское общес</w:t>
      </w:r>
      <w:r w:rsidRPr="00C63B8B">
        <w:rPr>
          <w:b/>
        </w:rPr>
        <w:t>т</w:t>
      </w:r>
      <w:r w:rsidRPr="00C63B8B">
        <w:rPr>
          <w:b/>
        </w:rPr>
        <w:t xml:space="preserve">во на 2012−2014 годы с точки зрения факторов образования и занятости представителей общины рома и их доступа к услугам здравоохранения. </w:t>
      </w:r>
    </w:p>
    <w:p w:rsidR="008F52F9" w:rsidRPr="00C63B8B" w:rsidRDefault="008F52F9" w:rsidP="008F52F9">
      <w:pPr>
        <w:pStyle w:val="SingleTxtGR"/>
        <w:rPr>
          <w:u w:val="single"/>
        </w:rPr>
      </w:pPr>
      <w:r w:rsidRPr="00C63B8B">
        <w:t>39.</w:t>
      </w:r>
      <w:r w:rsidRPr="00C63B8B">
        <w:tab/>
        <w:t>План действий по интеграции рома в литовское общество на 2012−2014 годы (здесь и далее – План интеграции рома) был утвержден расп</w:t>
      </w:r>
      <w:r w:rsidRPr="00C63B8B">
        <w:t>о</w:t>
      </w:r>
      <w:r w:rsidRPr="00C63B8B">
        <w:t>ряжением Министра культуры от 20 марта 2012 года. Основные сферы деятел</w:t>
      </w:r>
      <w:r w:rsidRPr="00C63B8B">
        <w:t>ь</w:t>
      </w:r>
      <w:r w:rsidRPr="00C63B8B">
        <w:t>ности в рамках Плана интеграции рома касаются образования детей и взрослых из числа рома, развития их социальных навыков, участия в рынке труда и п</w:t>
      </w:r>
      <w:r w:rsidRPr="00C63B8B">
        <w:t>о</w:t>
      </w:r>
      <w:r w:rsidRPr="00C63B8B">
        <w:t xml:space="preserve">ощрения диалога между культурами. </w:t>
      </w:r>
    </w:p>
    <w:p w:rsidR="008F52F9" w:rsidRPr="00C63B8B" w:rsidRDefault="008F52F9" w:rsidP="008F52F9">
      <w:pPr>
        <w:pStyle w:val="SingleTxtGR"/>
        <w:rPr>
          <w:b/>
        </w:rPr>
      </w:pPr>
      <w:r w:rsidRPr="00C63B8B">
        <w:rPr>
          <w:b/>
        </w:rPr>
        <w:t>Меры в сфере образования</w:t>
      </w:r>
    </w:p>
    <w:p w:rsidR="008F52F9" w:rsidRPr="00C63B8B" w:rsidRDefault="008F52F9" w:rsidP="008F52F9">
      <w:pPr>
        <w:pStyle w:val="SingleTxtGR"/>
      </w:pPr>
      <w:r w:rsidRPr="00C63B8B">
        <w:t>40.</w:t>
      </w:r>
      <w:r w:rsidRPr="00C63B8B">
        <w:tab/>
        <w:t>В 2012 году в рамках Плана интеграции рома были реализованы следу</w:t>
      </w:r>
      <w:r w:rsidRPr="00C63B8B">
        <w:t>ю</w:t>
      </w:r>
      <w:r w:rsidRPr="00C63B8B">
        <w:t>щие меры: созданы две должности помощников педагогов в Вильнюсе (дол</w:t>
      </w:r>
      <w:r w:rsidRPr="00C63B8B">
        <w:t>ж</w:t>
      </w:r>
      <w:r w:rsidRPr="00C63B8B">
        <w:t>ности решено было сохранить и в 2013 году); проведен обзор положения дел в области интеграции детей-рома в систему образования; организован семинар в целях повышения квалификации педагогов общеобразовательного профиля, р</w:t>
      </w:r>
      <w:r w:rsidRPr="00C63B8B">
        <w:t>а</w:t>
      </w:r>
      <w:r w:rsidRPr="00C63B8B">
        <w:t>ботающих с детьми-рома; обеспечено финансирование обучения детей-рома (в рамках дошкольных групп и групп подготовки к школе) и взрослых из числа рома при Общинном центре рома в Вильнюсе; в сотрудничестве с Центром ра</w:t>
      </w:r>
      <w:r w:rsidRPr="00C63B8B">
        <w:t>з</w:t>
      </w:r>
      <w:r w:rsidRPr="00C63B8B">
        <w:t>вития образования Общинный центр рома осуществил сбор материалов по и</w:t>
      </w:r>
      <w:r w:rsidRPr="00C63B8B">
        <w:t>с</w:t>
      </w:r>
      <w:r w:rsidRPr="00C63B8B">
        <w:t>тории и этнологии рома.</w:t>
      </w:r>
    </w:p>
    <w:p w:rsidR="008F52F9" w:rsidRPr="00C63B8B" w:rsidRDefault="008F52F9" w:rsidP="008F52F9">
      <w:pPr>
        <w:pStyle w:val="SingleTxtGR"/>
      </w:pPr>
      <w:r w:rsidRPr="00C63B8B">
        <w:t>41.</w:t>
      </w:r>
      <w:r w:rsidRPr="00C63B8B">
        <w:tab/>
        <w:t>В целях вовлечения взрослых из числа рома в программы неформального образования (профессиональной подготовки) будут предприняты шаги по их вовлечению в такие программы в рамках проекта "Развитие системы образов</w:t>
      </w:r>
      <w:r w:rsidRPr="00C63B8B">
        <w:t>а</w:t>
      </w:r>
      <w:r w:rsidRPr="00C63B8B">
        <w:t>ния взрослых в целях приобретения обучающимися основных профессионал</w:t>
      </w:r>
      <w:r w:rsidRPr="00C63B8B">
        <w:t>ь</w:t>
      </w:r>
      <w:r w:rsidRPr="00C63B8B">
        <w:t>ных навыков (этап II)", реализуемого Центром развития образования. В серед</w:t>
      </w:r>
      <w:r w:rsidRPr="00C63B8B">
        <w:t>и</w:t>
      </w:r>
      <w:r w:rsidRPr="00C63B8B">
        <w:t>не июля 2013 года на территории 33 муниципальных образований была начата подготовительная работа по организации программы профессиональной подг</w:t>
      </w:r>
      <w:r w:rsidRPr="00C63B8B">
        <w:t>о</w:t>
      </w:r>
      <w:r w:rsidRPr="00C63B8B">
        <w:t>товки в целях совершенствования общепрофессиональных навыков лиц, вход</w:t>
      </w:r>
      <w:r w:rsidRPr="00C63B8B">
        <w:t>я</w:t>
      </w:r>
      <w:r w:rsidRPr="00C63B8B">
        <w:t>щих в группы социального риска, а также лиц с особыми потребностями и с</w:t>
      </w:r>
      <w:r w:rsidRPr="00C63B8B">
        <w:t>о</w:t>
      </w:r>
      <w:r w:rsidRPr="00C63B8B">
        <w:t>циально изолированных лиц. Предлагаемые учебные темы включают в себя: гражданское образование взрослых, финансовое образование, художественные навыки и формы организации досуга. Участие в учебных программах строится на принципах добровольного согласия каждого участника, наличия соответс</w:t>
      </w:r>
      <w:r w:rsidRPr="00C63B8B">
        <w:t>т</w:t>
      </w:r>
      <w:r w:rsidRPr="00C63B8B">
        <w:t>вующего желания и личной заинтересованности. Исполнители проектов вза</w:t>
      </w:r>
      <w:r w:rsidRPr="00C63B8B">
        <w:t>и</w:t>
      </w:r>
      <w:r w:rsidRPr="00C63B8B">
        <w:t>модействуют друг с другом в деле обеспечения информированности рома, а также объединяющих и представляющих их организаций о запланированных учебных мероприятиях, а также в деле содействия представителям народа рома и создания у них заинтересованности в том, чтобы воспользоваться предоста</w:t>
      </w:r>
      <w:r w:rsidRPr="00C63B8B">
        <w:t>в</w:t>
      </w:r>
      <w:r w:rsidRPr="00C63B8B">
        <w:t>ляемыми им возможностями в плане приобретения общепрофессиональных н</w:t>
      </w:r>
      <w:r w:rsidRPr="00C63B8B">
        <w:t>а</w:t>
      </w:r>
      <w:r w:rsidRPr="00C63B8B">
        <w:t>выков, востребованных в современном обществе.</w:t>
      </w:r>
    </w:p>
    <w:p w:rsidR="008F52F9" w:rsidRPr="00C63B8B" w:rsidRDefault="008F52F9" w:rsidP="008F52F9">
      <w:pPr>
        <w:pStyle w:val="SingleTxtGR"/>
      </w:pPr>
      <w:r w:rsidRPr="00C63B8B">
        <w:t>42.</w:t>
      </w:r>
      <w:r w:rsidRPr="00C63B8B">
        <w:tab/>
        <w:t>Осенью 2013 года в 25 муниципальных образованиях планируется пр</w:t>
      </w:r>
      <w:r w:rsidRPr="00C63B8B">
        <w:t>о</w:t>
      </w:r>
      <w:r w:rsidRPr="00C63B8B">
        <w:t>вести учебные мероприятия по развитию общепрофессиональных навыков в рамках 19 тематических модулей. В них предлагается принять участие и пре</w:t>
      </w:r>
      <w:r w:rsidRPr="00C63B8B">
        <w:t>д</w:t>
      </w:r>
      <w:r w:rsidRPr="00C63B8B">
        <w:t>ставителям народа рома.</w:t>
      </w:r>
    </w:p>
    <w:p w:rsidR="008F52F9" w:rsidRPr="00C63B8B" w:rsidRDefault="008F52F9" w:rsidP="008F52F9">
      <w:pPr>
        <w:pStyle w:val="H23GR"/>
      </w:pPr>
      <w:r w:rsidRPr="00C63B8B">
        <w:tab/>
      </w:r>
      <w:r w:rsidRPr="00C63B8B">
        <w:tab/>
        <w:t>Меры в сфере занятости</w:t>
      </w:r>
    </w:p>
    <w:p w:rsidR="008F52F9" w:rsidRPr="00C63B8B" w:rsidRDefault="008F52F9" w:rsidP="008F52F9">
      <w:pPr>
        <w:pStyle w:val="SingleTxtGR"/>
      </w:pPr>
      <w:r w:rsidRPr="00C63B8B">
        <w:t>43.</w:t>
      </w:r>
      <w:r w:rsidRPr="00C63B8B">
        <w:tab/>
        <w:t>В 2012 году в рамках Плана интеграции рома были реализованы следу</w:t>
      </w:r>
      <w:r w:rsidRPr="00C63B8B">
        <w:t>ю</w:t>
      </w:r>
      <w:r w:rsidRPr="00C63B8B">
        <w:t>щие меры по обеспечению занятости: 213 представителям народа рома, зарег</w:t>
      </w:r>
      <w:r w:rsidRPr="00C63B8B">
        <w:t>и</w:t>
      </w:r>
      <w:r w:rsidRPr="00C63B8B">
        <w:t xml:space="preserve">стрированным на Бирже труда, были предоставлены информационные услуги; 7 представителей народа рома приняли участие в общественных работах; </w:t>
      </w:r>
      <w:r w:rsidRPr="00C63B8B">
        <w:br/>
        <w:t>6 – получили субсидии на приобретение лицензии на ведение предприним</w:t>
      </w:r>
      <w:r w:rsidRPr="00C63B8B">
        <w:t>а</w:t>
      </w:r>
      <w:r w:rsidRPr="00C63B8B">
        <w:t>тельской деятельности; 20 лиц из числа рома были трудоустроены на име</w:t>
      </w:r>
      <w:r w:rsidRPr="00C63B8B">
        <w:t>ю</w:t>
      </w:r>
      <w:r w:rsidRPr="00C63B8B">
        <w:t>щиеся вакансии.</w:t>
      </w:r>
    </w:p>
    <w:p w:rsidR="008F52F9" w:rsidRPr="00C63B8B" w:rsidRDefault="008F52F9" w:rsidP="008F52F9">
      <w:pPr>
        <w:pStyle w:val="SingleTxtGR"/>
      </w:pPr>
      <w:r w:rsidRPr="00C63B8B">
        <w:t>44.</w:t>
      </w:r>
      <w:r w:rsidRPr="00C63B8B">
        <w:tab/>
        <w:t>В соответствии с Планом интеграции рома в 2012 году была начата ре</w:t>
      </w:r>
      <w:r w:rsidRPr="00C63B8B">
        <w:t>а</w:t>
      </w:r>
      <w:r w:rsidRPr="00C63B8B">
        <w:t>лизация проекта Европейского социального фонда под названием "Культура е</w:t>
      </w:r>
      <w:r w:rsidRPr="00C63B8B">
        <w:t>в</w:t>
      </w:r>
      <w:r w:rsidRPr="00C63B8B">
        <w:t>ропейских рома и бизнес-парк "Бахтало дром". В 2012 году в рамках этого пр</w:t>
      </w:r>
      <w:r w:rsidRPr="00C63B8B">
        <w:t>о</w:t>
      </w:r>
      <w:r w:rsidRPr="00C63B8B">
        <w:t>екта 30 представителям народа рома были оказаны услуги по социальной и профессиональной реабилитации. Проекты ресоциализации позволили обесп</w:t>
      </w:r>
      <w:r w:rsidRPr="00C63B8B">
        <w:t>е</w:t>
      </w:r>
      <w:r w:rsidRPr="00C63B8B">
        <w:t>чить вовлечение рома в систему образования; кроме того, благодаря этим пр</w:t>
      </w:r>
      <w:r w:rsidRPr="00C63B8B">
        <w:t>о</w:t>
      </w:r>
      <w:r w:rsidRPr="00C63B8B">
        <w:t>ектам рома получили возможность по меньшей мере частично привести в пор</w:t>
      </w:r>
      <w:r w:rsidRPr="00C63B8B">
        <w:t>я</w:t>
      </w:r>
      <w:r w:rsidRPr="00C63B8B">
        <w:t>док свои документы, а также приобрести общие социальные навыки, тогда как совершенствования их профессиональных навыков в рамках вышеуказанного проекта добиться не удалось. В дальнейшем Проект будет направлен на предо</w:t>
      </w:r>
      <w:r w:rsidRPr="00C63B8B">
        <w:t>с</w:t>
      </w:r>
      <w:r w:rsidRPr="00C63B8B">
        <w:t>тавление им возможности приобрести необходимые социальные и професси</w:t>
      </w:r>
      <w:r w:rsidRPr="00C63B8B">
        <w:t>о</w:t>
      </w:r>
      <w:r w:rsidRPr="00C63B8B">
        <w:t>нальные навыки, а также освоить такие профессии, которые в настоящее время являются востребованными и приемлемыми для самих рома. В рамках проекта 240 участников из числа рома получат доступ к комплексным услугам по соц</w:t>
      </w:r>
      <w:r w:rsidRPr="00C63B8B">
        <w:t>и</w:t>
      </w:r>
      <w:r w:rsidRPr="00C63B8B">
        <w:t>альной (включая создание необходимой мотивации, оценку потребностей, во</w:t>
      </w:r>
      <w:r w:rsidRPr="00C63B8B">
        <w:t>с</w:t>
      </w:r>
      <w:r w:rsidRPr="00C63B8B">
        <w:t>становление социальных навыков, образовательные услуги) и профессионал</w:t>
      </w:r>
      <w:r w:rsidRPr="00C63B8B">
        <w:t>ь</w:t>
      </w:r>
      <w:r w:rsidRPr="00C63B8B">
        <w:t>ной реабилитации; кроме того, у них будет возможность освоить профессии, приемлемые и привлекательные для самих рома (включая профессии портного, повара, механика, плотника и водителя легковых автомобилей), им будет пре</w:t>
      </w:r>
      <w:r w:rsidRPr="00C63B8B">
        <w:t>д</w:t>
      </w:r>
      <w:r w:rsidRPr="00C63B8B">
        <w:t>ложена производственная практика, а некоторые из участников проекта будут обеспечены работой при помощи механизма подбора кадров, разработанного в рамках проекта с участием организаций-партнеров и других компаний региона, или же получат возможность продолжить свое обучение (не менее 30% от о</w:t>
      </w:r>
      <w:r w:rsidRPr="00C63B8B">
        <w:t>б</w:t>
      </w:r>
      <w:r w:rsidRPr="00C63B8B">
        <w:t>щего числа участников проекта). Участники проекта также смогут пер</w:t>
      </w:r>
      <w:r w:rsidRPr="00C63B8B">
        <w:t>е</w:t>
      </w:r>
      <w:r w:rsidRPr="00C63B8B">
        <w:t>дать свои знания другим представителям народа рома. Тем, кто будет участв</w:t>
      </w:r>
      <w:r w:rsidRPr="00C63B8B">
        <w:t>о</w:t>
      </w:r>
      <w:r w:rsidRPr="00C63B8B">
        <w:t>вать в исполнении проекта, будут предоставлены возможности для повышения квал</w:t>
      </w:r>
      <w:r w:rsidRPr="00C63B8B">
        <w:t>и</w:t>
      </w:r>
      <w:r w:rsidRPr="00C63B8B">
        <w:t>фикации; в рамках проекта также найдут применение наиболее эффективные образцы зарубежной практики в сфере социальной и профессиональной реаб</w:t>
      </w:r>
      <w:r w:rsidRPr="00C63B8B">
        <w:t>и</w:t>
      </w:r>
      <w:r w:rsidRPr="00C63B8B">
        <w:t>литации целевой группы. Планируется, что реализация проекта будет заверш</w:t>
      </w:r>
      <w:r w:rsidRPr="00C63B8B">
        <w:t>е</w:t>
      </w:r>
      <w:r w:rsidRPr="00C63B8B">
        <w:t>на к 2015 году.</w:t>
      </w:r>
    </w:p>
    <w:p w:rsidR="008F52F9" w:rsidRPr="00C63B8B" w:rsidRDefault="008F52F9" w:rsidP="008F52F9">
      <w:pPr>
        <w:pStyle w:val="SingleTxtGR"/>
        <w:rPr>
          <w:b/>
        </w:rPr>
      </w:pPr>
      <w:r w:rsidRPr="00C63B8B">
        <w:rPr>
          <w:b/>
        </w:rPr>
        <w:t>Меры в сфере охраны здоровья</w:t>
      </w:r>
    </w:p>
    <w:p w:rsidR="008F52F9" w:rsidRPr="00C63B8B" w:rsidRDefault="008F52F9" w:rsidP="008F52F9">
      <w:pPr>
        <w:pStyle w:val="SingleTxtGR"/>
      </w:pPr>
      <w:r w:rsidRPr="00C63B8B">
        <w:t>45.</w:t>
      </w:r>
      <w:r w:rsidRPr="00C63B8B">
        <w:tab/>
        <w:t>В 2012 году в соответствии с Планом интеграции рома Общинный центр рома организовал лекции для детей-рома в целях ознакомления представителей народа рома с требованиями, касающимися охраны здоровья и гигиены (было проведено восемь лекций, собравших 115 участников).</w:t>
      </w:r>
    </w:p>
    <w:p w:rsidR="008F52F9" w:rsidRPr="00C63B8B" w:rsidRDefault="008F52F9" w:rsidP="008F52F9">
      <w:pPr>
        <w:pStyle w:val="SingleTxtGR"/>
        <w:rPr>
          <w:b/>
        </w:rPr>
      </w:pPr>
      <w:r w:rsidRPr="00C63B8B">
        <w:rPr>
          <w:b/>
        </w:rPr>
        <w:t>Прочие меры</w:t>
      </w:r>
    </w:p>
    <w:p w:rsidR="008F52F9" w:rsidRPr="00C63B8B" w:rsidRDefault="008F52F9" w:rsidP="008F52F9">
      <w:pPr>
        <w:pStyle w:val="SingleTxtGR"/>
      </w:pPr>
      <w:r w:rsidRPr="00C63B8B">
        <w:t>46.</w:t>
      </w:r>
      <w:r w:rsidRPr="00C63B8B">
        <w:tab/>
        <w:t>В 2012 году в рамках Плана интеграции рома были реализованы следу</w:t>
      </w:r>
      <w:r w:rsidRPr="00C63B8B">
        <w:t>ю</w:t>
      </w:r>
      <w:r w:rsidRPr="00C63B8B">
        <w:t>щие меры в целях развития социальных навыков: на конкурсной основе было обеспечено финансирование центров по уходу за детьми, посещаемых детьми-рома (в Вильнюсе и Паневежисе); специалисты из Комиссии по вопросам м</w:t>
      </w:r>
      <w:r w:rsidRPr="00C63B8B">
        <w:t>и</w:t>
      </w:r>
      <w:r w:rsidRPr="00C63B8B">
        <w:t>грации Управления полиции Вильнюсского уезда посетили Социальный центр по уходу за детьми "Жолюняс" и поселок Киртимай в целях оказания консул</w:t>
      </w:r>
      <w:r w:rsidRPr="00C63B8B">
        <w:t>ь</w:t>
      </w:r>
      <w:r w:rsidRPr="00C63B8B">
        <w:t xml:space="preserve">тативной помощи детям-рома в вопросах, связанных с личными документами; Министерство культуры выделило средства на цели финансирования услуг по межкультурной медиации в Общинном центре рома и летних лагерях для детей. </w:t>
      </w:r>
    </w:p>
    <w:p w:rsidR="008F52F9" w:rsidRPr="00C63B8B" w:rsidRDefault="008F52F9" w:rsidP="008F52F9">
      <w:pPr>
        <w:pStyle w:val="SingleTxtGR"/>
      </w:pPr>
      <w:r w:rsidRPr="00C63B8B">
        <w:t>47.</w:t>
      </w:r>
      <w:r w:rsidRPr="00C63B8B">
        <w:tab/>
        <w:t>В 2012 году в рамках Плана интеграции рома были реализованы следу</w:t>
      </w:r>
      <w:r w:rsidRPr="00C63B8B">
        <w:t>ю</w:t>
      </w:r>
      <w:r w:rsidRPr="00C63B8B">
        <w:t>щие меры в области развития культуры: Министерство культуры выделило сумму в 23 000 литов на цели осуществления культурных проектов; была опу</w:t>
      </w:r>
      <w:r w:rsidRPr="00C63B8B">
        <w:t>б</w:t>
      </w:r>
      <w:r w:rsidRPr="00C63B8B">
        <w:t>ликована брошюра, посвященная Холокосту рома.</w:t>
      </w:r>
    </w:p>
    <w:p w:rsidR="008F52F9" w:rsidRPr="00C63B8B" w:rsidRDefault="008F52F9" w:rsidP="008F52F9">
      <w:pPr>
        <w:pStyle w:val="SingleTxtGR"/>
      </w:pPr>
      <w:r w:rsidRPr="00C63B8B">
        <w:t>48.</w:t>
      </w:r>
      <w:r w:rsidRPr="00C63B8B">
        <w:tab/>
        <w:t>План интеграции рома был принят во исполнение Послания Европейской комиссии от 5 апреля 2011 года, озаглавленного "Рамочные параметры Евр</w:t>
      </w:r>
      <w:r w:rsidRPr="00C63B8B">
        <w:t>о</w:t>
      </w:r>
      <w:r w:rsidRPr="00C63B8B">
        <w:t>пейского союза в отношении национальных стратегий интеграции рома на п</w:t>
      </w:r>
      <w:r w:rsidRPr="00C63B8B">
        <w:t>е</w:t>
      </w:r>
      <w:r w:rsidRPr="00C63B8B">
        <w:t>риод до 2020 года". С учетом того, что в этом Послании предлагалось принять стратегии интеграции рома на период до 2020 года, а нынешний План де</w:t>
      </w:r>
      <w:r w:rsidRPr="00C63B8B">
        <w:t>й</w:t>
      </w:r>
      <w:r w:rsidRPr="00C63B8B">
        <w:t>ствует лишь до 2014 года включительно, в целях выполнения требований, и</w:t>
      </w:r>
      <w:r w:rsidRPr="00C63B8B">
        <w:t>з</w:t>
      </w:r>
      <w:r w:rsidRPr="00C63B8B">
        <w:t>ложенных в Послании Европейской комиссии, в 2015 году будет принят новый документ. Ожидается, что в этот новый документ будут включены меры, н</w:t>
      </w:r>
      <w:r w:rsidRPr="00C63B8B">
        <w:t>а</w:t>
      </w:r>
      <w:r w:rsidRPr="00C63B8B">
        <w:t>правленные на решение основных проблем рома в области образования и ж</w:t>
      </w:r>
      <w:r w:rsidRPr="00C63B8B">
        <w:t>и</w:t>
      </w:r>
      <w:r w:rsidRPr="00C63B8B">
        <w:t>лья.</w:t>
      </w:r>
    </w:p>
    <w:p w:rsidR="008F52F9" w:rsidRPr="00C63B8B" w:rsidRDefault="008F52F9" w:rsidP="008F52F9">
      <w:pPr>
        <w:pStyle w:val="SingleTxtGR"/>
      </w:pPr>
      <w:r w:rsidRPr="00C63B8B">
        <w:t>49.</w:t>
      </w:r>
      <w:r w:rsidRPr="00C63B8B">
        <w:tab/>
        <w:t>В ноябре 2013 года Общинный центр рома провел международную ко</w:t>
      </w:r>
      <w:r w:rsidRPr="00C63B8B">
        <w:t>н</w:t>
      </w:r>
      <w:r w:rsidRPr="00C63B8B">
        <w:t>ференцию (финансирование было предоставлено Министерством иностранных дел) в целях обсуждения эффективности интеграции рома и руководящих при</w:t>
      </w:r>
      <w:r w:rsidRPr="00C63B8B">
        <w:t>н</w:t>
      </w:r>
      <w:r w:rsidRPr="00C63B8B">
        <w:t>ципов будущей стратегии интеграции рома.</w:t>
      </w:r>
    </w:p>
    <w:p w:rsidR="008F52F9" w:rsidRPr="00C63B8B" w:rsidRDefault="008F52F9" w:rsidP="008F52F9">
      <w:pPr>
        <w:pStyle w:val="SingleTxtGR"/>
        <w:rPr>
          <w:b/>
        </w:rPr>
      </w:pPr>
      <w:r w:rsidRPr="00C63B8B">
        <w:rPr>
          <w:b/>
        </w:rPr>
        <w:t>Комитет также просит предоставить в его распоряжение данные о после</w:t>
      </w:r>
      <w:r w:rsidRPr="00C63B8B">
        <w:rPr>
          <w:b/>
        </w:rPr>
        <w:t>д</w:t>
      </w:r>
      <w:r w:rsidRPr="00C63B8B">
        <w:rPr>
          <w:b/>
        </w:rPr>
        <w:t>ствиях кампаний по расширению информированности общественности, которые планируется организовать в целях укрепления толерантности в обществе и поощрения межкультурного диалога.</w:t>
      </w:r>
    </w:p>
    <w:p w:rsidR="008F52F9" w:rsidRPr="00C63B8B" w:rsidRDefault="008F52F9" w:rsidP="008F52F9">
      <w:pPr>
        <w:pStyle w:val="SingleTxtGR"/>
      </w:pPr>
      <w:r w:rsidRPr="00C63B8B">
        <w:t>50.</w:t>
      </w:r>
      <w:r w:rsidRPr="00C63B8B">
        <w:tab/>
        <w:t>В рамках Программы интеграции рома в литовское общество на 2008−2010 годы, которая была утверждена Правительством Литвы в резол</w:t>
      </w:r>
      <w:r w:rsidRPr="00C63B8B">
        <w:t>ю</w:t>
      </w:r>
      <w:r w:rsidRPr="00C63B8B">
        <w:t>ции № 309 от 26 марта 2008 года, были предусмотрены меры и кампании в сф</w:t>
      </w:r>
      <w:r w:rsidRPr="00C63B8B">
        <w:t>е</w:t>
      </w:r>
      <w:r w:rsidRPr="00C63B8B">
        <w:t>ре общественной информации. По причине финансового и экономического сп</w:t>
      </w:r>
      <w:r w:rsidRPr="00C63B8B">
        <w:t>а</w:t>
      </w:r>
      <w:r w:rsidRPr="00C63B8B">
        <w:t>да в стране финансирование некоторых из этих мер было обеспечено не полн</w:t>
      </w:r>
      <w:r w:rsidRPr="00C63B8B">
        <w:t>о</w:t>
      </w:r>
      <w:r w:rsidRPr="00C63B8B">
        <w:t>стью. В данной связи, а также в целях дальнейшего содействия укреплению в обществе толерантности по отношению к рома меры и кампании в области о</w:t>
      </w:r>
      <w:r w:rsidRPr="00C63B8B">
        <w:t>б</w:t>
      </w:r>
      <w:r w:rsidRPr="00C63B8B">
        <w:t>щественной информации также были включены в План интеграции рома. Ре</w:t>
      </w:r>
      <w:r w:rsidRPr="00C63B8B">
        <w:t>а</w:t>
      </w:r>
      <w:r w:rsidRPr="00C63B8B">
        <w:t>лизация этих мер в рамках Плана, направленных на повышение открытости культ</w:t>
      </w:r>
      <w:r w:rsidRPr="00C63B8B">
        <w:t>у</w:t>
      </w:r>
      <w:r w:rsidRPr="00C63B8B">
        <w:t>ры рома и поощрение толерантности в обществе, будет завершена в 2014 году, после чего станет возможным проведение оценки их последствий.</w:t>
      </w:r>
    </w:p>
    <w:p w:rsidR="008F52F9" w:rsidRPr="00C63B8B" w:rsidRDefault="008F52F9" w:rsidP="008F52F9">
      <w:pPr>
        <w:pStyle w:val="H1GR"/>
      </w:pPr>
      <w:r w:rsidRPr="00C63B8B">
        <w:tab/>
      </w:r>
      <w:r w:rsidRPr="00C63B8B">
        <w:tab/>
        <w:t>Пункт 16</w:t>
      </w:r>
    </w:p>
    <w:p w:rsidR="008F52F9" w:rsidRPr="00C63B8B" w:rsidRDefault="008F52F9" w:rsidP="008F52F9">
      <w:pPr>
        <w:pStyle w:val="SingleTxtGR"/>
        <w:rPr>
          <w:b/>
        </w:rPr>
      </w:pPr>
      <w:r w:rsidRPr="00C63B8B">
        <w:rPr>
          <w:b/>
        </w:rPr>
        <w:t>Комитет рекомендует государству-участнику активизировать свои усилия по обеспечению дальнейшей интеграции детей-рома в обычные школы, решительно заняться проблемой отсева детей-рома из школ, а также соде</w:t>
      </w:r>
      <w:r w:rsidRPr="00C63B8B">
        <w:rPr>
          <w:b/>
        </w:rPr>
        <w:t>й</w:t>
      </w:r>
      <w:r w:rsidRPr="00C63B8B">
        <w:rPr>
          <w:b/>
        </w:rPr>
        <w:t>ствовать распространению языка рома в школьной системе.</w:t>
      </w:r>
    </w:p>
    <w:p w:rsidR="008F52F9" w:rsidRPr="00C63B8B" w:rsidRDefault="008F52F9" w:rsidP="008F52F9">
      <w:pPr>
        <w:pStyle w:val="SingleTxtGR"/>
      </w:pPr>
      <w:r w:rsidRPr="00C63B8B">
        <w:t>51.</w:t>
      </w:r>
      <w:r w:rsidRPr="00C63B8B">
        <w:tab/>
        <w:t>В целях содействия интеграции детей дошкольного и подготовительного возраста в школьную среду ежегодно выделяются средства на финансирование Общинного центра рома, где примерно 40 детей в возрасте от четырех до семи лет занимаются подготовкой к школе, посещая уроки литовского языка, матем</w:t>
      </w:r>
      <w:r w:rsidRPr="00C63B8B">
        <w:t>а</w:t>
      </w:r>
      <w:r w:rsidRPr="00C63B8B">
        <w:t>тики и социальных навыков. Начиная с середины 2010 года общественная м</w:t>
      </w:r>
      <w:r w:rsidRPr="00C63B8B">
        <w:t>о</w:t>
      </w:r>
      <w:r w:rsidRPr="00C63B8B">
        <w:t xml:space="preserve">лодежная организация "Лиетувос сакалиуку саюнга" </w:t>
      </w:r>
      <w:r w:rsidRPr="00C63B8B">
        <w:rPr>
          <w:i/>
        </w:rPr>
        <w:t>(</w:t>
      </w:r>
      <w:r w:rsidRPr="00C63B8B">
        <w:t>"Lietuvos Sakaliukų sąjunga") реализует проект под названием "Помощь в адаптации: первые шаги в школе", в рамках которого ставится цель разработать новые перспективные м</w:t>
      </w:r>
      <w:r w:rsidRPr="00C63B8B">
        <w:t>е</w:t>
      </w:r>
      <w:r w:rsidRPr="00C63B8B">
        <w:t>тоды уменьшения изоляции детей-рома. Благодаря этому проекту удалось нал</w:t>
      </w:r>
      <w:r w:rsidRPr="00C63B8B">
        <w:t>а</w:t>
      </w:r>
      <w:r w:rsidRPr="00C63B8B">
        <w:t>дить регуля</w:t>
      </w:r>
      <w:r w:rsidRPr="00C63B8B">
        <w:t>р</w:t>
      </w:r>
      <w:r w:rsidRPr="00C63B8B">
        <w:t>ное взаимодействие между группой волонтеров, педагогами и детьми-рома и их семьями, а также создать самодостаточную систему для удо</w:t>
      </w:r>
      <w:r w:rsidRPr="00C63B8B">
        <w:t>в</w:t>
      </w:r>
      <w:r w:rsidRPr="00C63B8B">
        <w:t>летворения потребностей детей-рома, связанных с получением образования. Фундаментом проекта является сотрудничество между литовскими волонтер</w:t>
      </w:r>
      <w:r w:rsidRPr="00C63B8B">
        <w:t>а</w:t>
      </w:r>
      <w:r w:rsidRPr="00C63B8B">
        <w:t>ми и детьми-рома, основанное на дружбе и взаимопонимании; это сотруднич</w:t>
      </w:r>
      <w:r w:rsidRPr="00C63B8B">
        <w:t>е</w:t>
      </w:r>
      <w:r w:rsidRPr="00C63B8B">
        <w:t>ство направлено на то, чтобы повысить мотивацию детей-рома и помочь им б</w:t>
      </w:r>
      <w:r w:rsidRPr="00C63B8B">
        <w:t>о</w:t>
      </w:r>
      <w:r w:rsidRPr="00C63B8B">
        <w:t>лее полно раскрыть свои возможности в школе, с тем чтобы уменьшить взаи</w:t>
      </w:r>
      <w:r w:rsidRPr="00C63B8B">
        <w:t>м</w:t>
      </w:r>
      <w:r w:rsidRPr="00C63B8B">
        <w:t>ные проявления негативного отношения и способствовать интеграции. При этом ставится цель помочь детям полностью пройти школьный курс обучения, с тем чтобы уменьшить число детей, преждевременно уходящих из школы. Зан</w:t>
      </w:r>
      <w:r w:rsidRPr="00C63B8B">
        <w:t>я</w:t>
      </w:r>
      <w:r w:rsidRPr="00C63B8B">
        <w:t>тия проводятся дважды в неделю: на одном из них в рамках неформальной о</w:t>
      </w:r>
      <w:r w:rsidRPr="00C63B8B">
        <w:t>б</w:t>
      </w:r>
      <w:r w:rsidRPr="00C63B8B">
        <w:t>разовательной программы дети развивают социальные навыки, а на другом – выполняют д</w:t>
      </w:r>
      <w:r w:rsidRPr="00C63B8B">
        <w:t>о</w:t>
      </w:r>
      <w:r w:rsidRPr="00C63B8B">
        <w:t xml:space="preserve">машние задания. </w:t>
      </w:r>
    </w:p>
    <w:p w:rsidR="008F52F9" w:rsidRPr="00C63B8B" w:rsidRDefault="008F52F9" w:rsidP="008F52F9">
      <w:pPr>
        <w:pStyle w:val="SingleTxtGR"/>
      </w:pPr>
      <w:r w:rsidRPr="00C63B8B">
        <w:t>52.</w:t>
      </w:r>
      <w:r w:rsidRPr="00C63B8B">
        <w:tab/>
        <w:t>В 2004 году Министерство образования организовало публикацию дв</w:t>
      </w:r>
      <w:r w:rsidRPr="00C63B8B">
        <w:t>у</w:t>
      </w:r>
      <w:r w:rsidRPr="00C63B8B">
        <w:t>язычного учебника "Романи букви" ("Romani bukvi"). Он предназначен не тол</w:t>
      </w:r>
      <w:r w:rsidRPr="00C63B8B">
        <w:t>ь</w:t>
      </w:r>
      <w:r w:rsidRPr="00C63B8B">
        <w:t>ко для детей-рома, но и для других детей, обучающихся совместно с ними. В </w:t>
      </w:r>
      <w:r w:rsidRPr="00C63B8B">
        <w:t>у</w:t>
      </w:r>
      <w:r w:rsidRPr="00C63B8B">
        <w:t>чебнике содержатся многочисленные народные песни, пословицы и поговорки как на языке рома, так и на литовском языке. Вместе с тем это учебное пособие используется главным образом в рамках неформального образовательного пр</w:t>
      </w:r>
      <w:r w:rsidRPr="00C63B8B">
        <w:t>о</w:t>
      </w:r>
      <w:r w:rsidRPr="00C63B8B">
        <w:t>цесса в целях ознакомления учеников с их культурными традициями и поощр</w:t>
      </w:r>
      <w:r w:rsidRPr="00C63B8B">
        <w:t>е</w:t>
      </w:r>
      <w:r w:rsidRPr="00C63B8B">
        <w:t>ния толерантности. Главной проблемой, препятствующей организации фо</w:t>
      </w:r>
      <w:r w:rsidRPr="00C63B8B">
        <w:t>р</w:t>
      </w:r>
      <w:r w:rsidRPr="00C63B8B">
        <w:t>мального учебного процесса (в качестве модуля или факультативного предм</w:t>
      </w:r>
      <w:r w:rsidRPr="00C63B8B">
        <w:t>е</w:t>
      </w:r>
      <w:r w:rsidRPr="00C63B8B">
        <w:t>та), является нехватка учителей из числа рома, а также нежелание родителей-рома обеспечивать своим детям возможность для изучения родного языка в школе.</w:t>
      </w:r>
    </w:p>
    <w:p w:rsidR="008F52F9" w:rsidRPr="00C63B8B" w:rsidRDefault="008F52F9" w:rsidP="008F52F9">
      <w:pPr>
        <w:pStyle w:val="SingleTxtGR"/>
        <w:rPr>
          <w:b/>
        </w:rPr>
      </w:pPr>
      <w:r w:rsidRPr="00C63B8B">
        <w:rPr>
          <w:b/>
        </w:rPr>
        <w:t>Комитет рекомендует государству-участнику создать механизм для точного определения числа детей рома, обучающихся в средних школах или уче</w:t>
      </w:r>
      <w:r w:rsidRPr="00C63B8B">
        <w:rPr>
          <w:b/>
        </w:rPr>
        <w:t>б</w:t>
      </w:r>
      <w:r w:rsidRPr="00C63B8B">
        <w:rPr>
          <w:b/>
        </w:rPr>
        <w:t>ных заведениях более высокого уровня.</w:t>
      </w:r>
    </w:p>
    <w:p w:rsidR="008F52F9" w:rsidRPr="00C63B8B" w:rsidRDefault="008F52F9" w:rsidP="008F52F9">
      <w:pPr>
        <w:pStyle w:val="SingleTxtGR"/>
      </w:pPr>
      <w:r w:rsidRPr="00C63B8B">
        <w:t>53.</w:t>
      </w:r>
      <w:r w:rsidRPr="00C63B8B">
        <w:tab/>
        <w:t>На государственном уровне сбор достоверной информации об уровне о</w:t>
      </w:r>
      <w:r w:rsidRPr="00C63B8B">
        <w:t>б</w:t>
      </w:r>
      <w:r w:rsidRPr="00C63B8B">
        <w:t>разования населения, включая рома, проводится каждые 10 лет в рамках всео</w:t>
      </w:r>
      <w:r w:rsidRPr="00C63B8B">
        <w:t>б</w:t>
      </w:r>
      <w:r w:rsidRPr="00C63B8B">
        <w:t>щей переписи населения (статистическая информация об изменениях, каса</w:t>
      </w:r>
      <w:r w:rsidRPr="00C63B8B">
        <w:t>ю</w:t>
      </w:r>
      <w:r w:rsidRPr="00C63B8B">
        <w:t>щихся образования рома, приводится в пункте 177). Кроме того, на национал</w:t>
      </w:r>
      <w:r w:rsidRPr="00C63B8B">
        <w:t>ь</w:t>
      </w:r>
      <w:r w:rsidRPr="00C63B8B">
        <w:t>ном уровне данные о родном языке школьников хранятся в Регистре школьн</w:t>
      </w:r>
      <w:r w:rsidRPr="00C63B8B">
        <w:t>и</w:t>
      </w:r>
      <w:r w:rsidRPr="00C63B8B">
        <w:t>ков, являющемся частью Системы управления информацией об образовании, однако сбор такой информации не является обязательным для школ, вследствие чего данные, касающиеся рома, являются неточными. Тем не менее даже н</w:t>
      </w:r>
      <w:r w:rsidRPr="00C63B8B">
        <w:t>е</w:t>
      </w:r>
      <w:r w:rsidRPr="00C63B8B">
        <w:t xml:space="preserve">полные данные позволяют провести анализ положения с обучением рома. </w:t>
      </w:r>
    </w:p>
    <w:p w:rsidR="008F52F9" w:rsidRPr="00C63B8B" w:rsidRDefault="008F52F9" w:rsidP="008F52F9">
      <w:pPr>
        <w:pStyle w:val="SingleTxtGR"/>
      </w:pPr>
      <w:r w:rsidRPr="00C63B8B">
        <w:t>54.</w:t>
      </w:r>
      <w:r w:rsidRPr="00C63B8B">
        <w:tab/>
        <w:t>Контроль за соблюдением прав несовершеннолетних и деятельностью по недопущению связанных с этим нарушений осуществляется на муниципальном уровне. Самая крупная община рома находится в Вильнюсе и насчитывает 400 человек, в том числе 190 несовершеннолетних в возрасте до 18 лет. В Вил</w:t>
      </w:r>
      <w:r w:rsidRPr="00C63B8B">
        <w:t>ь</w:t>
      </w:r>
      <w:r w:rsidRPr="00C63B8B">
        <w:t>нюсе, а также в других городах и поселках контроль за посещаемостью школ учениками осуществляют муниципалитеты. Представители муниципальных о</w:t>
      </w:r>
      <w:r w:rsidRPr="00C63B8B">
        <w:t>р</w:t>
      </w:r>
      <w:r w:rsidRPr="00C63B8B">
        <w:t>ганов совместно с сотрудниками полиции, занимающимися вопросами нес</w:t>
      </w:r>
      <w:r w:rsidRPr="00C63B8B">
        <w:t>о</w:t>
      </w:r>
      <w:r w:rsidRPr="00C63B8B">
        <w:t>вершеннолетних, и школьными социальными педагогами проверяют условия жизни несовершеннолетних и то, как они посещают школу, выносят предупр</w:t>
      </w:r>
      <w:r w:rsidRPr="00C63B8B">
        <w:t>е</w:t>
      </w:r>
      <w:r w:rsidRPr="00C63B8B">
        <w:t>ждения детям, не посещающим школу, и их родителям и разъясняют им их об</w:t>
      </w:r>
      <w:r w:rsidRPr="00C63B8B">
        <w:t>я</w:t>
      </w:r>
      <w:r w:rsidRPr="00C63B8B">
        <w:t>занности. Так, например, муниципалитет города Вильнюса, где проживает с</w:t>
      </w:r>
      <w:r w:rsidRPr="00C63B8B">
        <w:t>а</w:t>
      </w:r>
      <w:r w:rsidRPr="00C63B8B">
        <w:t>мая крупная община рома, начиная с 2010 года на ежеквартальной основе ос</w:t>
      </w:r>
      <w:r w:rsidRPr="00C63B8B">
        <w:t>у</w:t>
      </w:r>
      <w:r w:rsidRPr="00C63B8B">
        <w:t>ществляет сбор информации о посещении школы детьми-рома.</w:t>
      </w:r>
    </w:p>
    <w:p w:rsidR="008F52F9" w:rsidRPr="00C63B8B" w:rsidRDefault="008F52F9" w:rsidP="008F52F9">
      <w:pPr>
        <w:pStyle w:val="SingleTxtGR"/>
        <w:rPr>
          <w:b/>
        </w:rPr>
      </w:pPr>
      <w:r w:rsidRPr="00C63B8B">
        <w:rPr>
          <w:b/>
        </w:rPr>
        <w:t>Комитет просит государство-участник представить в своем следующем п</w:t>
      </w:r>
      <w:r w:rsidRPr="00C63B8B">
        <w:rPr>
          <w:b/>
        </w:rPr>
        <w:t>е</w:t>
      </w:r>
      <w:r w:rsidRPr="00C63B8B">
        <w:rPr>
          <w:b/>
        </w:rPr>
        <w:t>риодическом докладе дополнительную информацию о процедуре принятия решений, касающихся помещения детей рома в школы для детей с особ</w:t>
      </w:r>
      <w:r w:rsidRPr="00C63B8B">
        <w:rPr>
          <w:b/>
        </w:rPr>
        <w:t>ы</w:t>
      </w:r>
      <w:r w:rsidRPr="00C63B8B">
        <w:rPr>
          <w:b/>
        </w:rPr>
        <w:t>ми потребностями, а также о мерах государства-участника по обеспечению родителям-рома стимулов для направления своих детей в школы.</w:t>
      </w:r>
    </w:p>
    <w:p w:rsidR="008F52F9" w:rsidRPr="00C63B8B" w:rsidRDefault="008F52F9" w:rsidP="008F52F9">
      <w:pPr>
        <w:pStyle w:val="SingleTxtGR"/>
      </w:pPr>
      <w:r w:rsidRPr="00C63B8B">
        <w:t>55.</w:t>
      </w:r>
      <w:r w:rsidRPr="00C63B8B">
        <w:tab/>
        <w:t>В 2012 году при осуществлении проекта "ИПР: Изменить подходы ради равенства", реализуемого в рамках программы "ПРОГРЕСС", особое внимание уделялось проблемам, с которыми сталкиваются дети-рома в сферах образов</w:t>
      </w:r>
      <w:r w:rsidRPr="00C63B8B">
        <w:t>а</w:t>
      </w:r>
      <w:r w:rsidRPr="00C63B8B">
        <w:t>ния и социализации, а также тем возможностям, которые открываются перед ними в обществе. Во-первых, были учреждены две должности помощников п</w:t>
      </w:r>
      <w:r w:rsidRPr="00C63B8B">
        <w:t>е</w:t>
      </w:r>
      <w:r w:rsidRPr="00C63B8B">
        <w:t>дагогов в целях сотрудничества со школами "Науйининкай" ("Naujininkų") и "Восход" ("Saulėtekio") в Вильнюсе, в которых обучаются дети-рома. Помощн</w:t>
      </w:r>
      <w:r w:rsidRPr="00C63B8B">
        <w:t>и</w:t>
      </w:r>
      <w:r w:rsidRPr="00C63B8B">
        <w:t>кам было поручено взаимодействовать с администрациями школ в плане пр</w:t>
      </w:r>
      <w:r w:rsidRPr="00C63B8B">
        <w:t>е</w:t>
      </w:r>
      <w:r w:rsidRPr="00C63B8B">
        <w:t>доставления им информации, замечаний и предложений относительно пос</w:t>
      </w:r>
      <w:r w:rsidRPr="00C63B8B">
        <w:t>е</w:t>
      </w:r>
      <w:r w:rsidRPr="00C63B8B">
        <w:t>щаемости, прогресса и дисциплины детей-рома, а также сотрудничать с ними в решении возникающих проблем, в случае необходимости принимать участие в учебных мероприятиях, создавать у детей мотивацию к учебе, обеспечивать надлежащую посещаемость, помогать тем, кто испытывает трудности с обуч</w:t>
      </w:r>
      <w:r w:rsidRPr="00C63B8B">
        <w:t>е</w:t>
      </w:r>
      <w:r w:rsidRPr="00C63B8B">
        <w:t>нием, а также содействовать диалогу между преподавателями и родителями. Кроме того, был организован тренинг для преподавателей начальных школ и социальных педагогов, работающих с детьми-рома. Тренинг преследовал сл</w:t>
      </w:r>
      <w:r w:rsidRPr="00C63B8B">
        <w:t>е</w:t>
      </w:r>
      <w:r w:rsidRPr="00C63B8B">
        <w:t>дующие главные цели: предоставить теоретическую информацию о детях-рома в литовской системе образования; обсудить проблемы, возникающие в семье и школе; повысить компетентность преподавателей в плане работы с детьми, не посещающими школу, обсудить вопросы совместной работы в школах и с</w:t>
      </w:r>
      <w:r w:rsidRPr="00C63B8B">
        <w:t>о</w:t>
      </w:r>
      <w:r w:rsidRPr="00C63B8B">
        <w:t>трудничества с различными учреждениями; провести анализ конкретных случ</w:t>
      </w:r>
      <w:r w:rsidRPr="00C63B8B">
        <w:t>а</w:t>
      </w:r>
      <w:r w:rsidRPr="00C63B8B">
        <w:t>ев и сформулировать возможные решения. В тренинге приняли участие 20 пр</w:t>
      </w:r>
      <w:r w:rsidRPr="00C63B8B">
        <w:t>е</w:t>
      </w:r>
      <w:r w:rsidRPr="00C63B8B">
        <w:t>подавателей и социальных работников из различных городов Литвы.</w:t>
      </w:r>
    </w:p>
    <w:p w:rsidR="008F52F9" w:rsidRPr="00C63B8B" w:rsidRDefault="008F52F9" w:rsidP="008F52F9">
      <w:pPr>
        <w:pStyle w:val="H1GR"/>
      </w:pPr>
      <w:r w:rsidRPr="00C63B8B">
        <w:tab/>
      </w:r>
      <w:r w:rsidRPr="00C63B8B">
        <w:tab/>
        <w:t>Пункт 17</w:t>
      </w:r>
    </w:p>
    <w:p w:rsidR="008F52F9" w:rsidRPr="00C63B8B" w:rsidRDefault="008F52F9" w:rsidP="008F52F9">
      <w:pPr>
        <w:pStyle w:val="SingleTxtGR"/>
        <w:rPr>
          <w:b/>
        </w:rPr>
      </w:pPr>
      <w:r w:rsidRPr="00C63B8B">
        <w:rPr>
          <w:b/>
        </w:rPr>
        <w:t>В свете своей общей рекомендации № 27 (2000) о дискриминации в отн</w:t>
      </w:r>
      <w:r w:rsidRPr="00C63B8B">
        <w:rPr>
          <w:b/>
        </w:rPr>
        <w:t>о</w:t>
      </w:r>
      <w:r w:rsidRPr="00C63B8B">
        <w:rPr>
          <w:b/>
        </w:rPr>
        <w:t>шении рома Комитет предлагает государству-участнику укрепить свои п</w:t>
      </w:r>
      <w:r w:rsidRPr="00C63B8B">
        <w:rPr>
          <w:b/>
        </w:rPr>
        <w:t>о</w:t>
      </w:r>
      <w:r w:rsidRPr="00C63B8B">
        <w:rPr>
          <w:b/>
        </w:rPr>
        <w:t>литику и программы по интеграции групп меньшинств, в частности инт</w:t>
      </w:r>
      <w:r w:rsidRPr="00C63B8B">
        <w:rPr>
          <w:b/>
        </w:rPr>
        <w:t>е</w:t>
      </w:r>
      <w:r w:rsidRPr="00C63B8B">
        <w:rPr>
          <w:b/>
        </w:rPr>
        <w:t>грации рома в литовское общество.</w:t>
      </w:r>
    </w:p>
    <w:p w:rsidR="008F52F9" w:rsidRPr="00C63B8B" w:rsidRDefault="008F52F9" w:rsidP="008F52F9">
      <w:pPr>
        <w:pStyle w:val="SingleTxtGR"/>
      </w:pPr>
      <w:r w:rsidRPr="00C63B8B">
        <w:t>56.</w:t>
      </w:r>
      <w:r w:rsidRPr="00C63B8B">
        <w:tab/>
        <w:t>В Программе Правительства на 2012−2016 годы содержится отдельная глава, посвященная обязательствам Правительства перед этническими мен</w:t>
      </w:r>
      <w:r w:rsidRPr="00C63B8B">
        <w:t>ь</w:t>
      </w:r>
      <w:r w:rsidRPr="00C63B8B">
        <w:t>шинствами. В марте 2013 года созданная Премьер-министром рабочая группа разработала рекомендации по осуществлению тех положений Программы Пр</w:t>
      </w:r>
      <w:r w:rsidRPr="00C63B8B">
        <w:t>а</w:t>
      </w:r>
      <w:r w:rsidRPr="00C63B8B">
        <w:t>вительства, которые касаются этнических меньшинств. Одна из рекомендаций касалась разработки и принятия Стратегии развития политики в отношении н</w:t>
      </w:r>
      <w:r w:rsidRPr="00C63B8B">
        <w:t>а</w:t>
      </w:r>
      <w:r w:rsidRPr="00C63B8B">
        <w:t>циональных меньшинств на 2015−2021 годы, направленной на создание гарм</w:t>
      </w:r>
      <w:r w:rsidRPr="00C63B8B">
        <w:t>о</w:t>
      </w:r>
      <w:r w:rsidRPr="00C63B8B">
        <w:t>ничных условий для успешной интеграции этнических меньшинств в литовское общество, а также для использования их культурного потенциала в интересах государства на новом этапе его развития. Планируется также разработать до</w:t>
      </w:r>
      <w:r w:rsidRPr="00C63B8B">
        <w:t>л</w:t>
      </w:r>
      <w:r w:rsidRPr="00C63B8B">
        <w:t>госрочную стратегию в области интеграции рома. Намеченные программы п</w:t>
      </w:r>
      <w:r w:rsidRPr="00C63B8B">
        <w:t>о</w:t>
      </w:r>
      <w:r w:rsidRPr="00C63B8B">
        <w:t>лучат увеличенное национальное финансирование; кроме того, на их реализ</w:t>
      </w:r>
      <w:r w:rsidRPr="00C63B8B">
        <w:t>а</w:t>
      </w:r>
      <w:r w:rsidRPr="00C63B8B">
        <w:t>цию будут выделены средства по линии Финансового плана Европейского со</w:t>
      </w:r>
      <w:r w:rsidRPr="00C63B8B">
        <w:t>ю</w:t>
      </w:r>
      <w:r w:rsidRPr="00C63B8B">
        <w:t>за на 2014−2020 годы.</w:t>
      </w:r>
    </w:p>
    <w:p w:rsidR="008F52F9" w:rsidRPr="00C63B8B" w:rsidRDefault="008F52F9" w:rsidP="008F52F9">
      <w:pPr>
        <w:pStyle w:val="SingleTxtGR"/>
        <w:rPr>
          <w:b/>
        </w:rPr>
      </w:pPr>
      <w:r w:rsidRPr="00C63B8B">
        <w:rPr>
          <w:b/>
        </w:rPr>
        <w:t>Комитет призывает государство-участник принимать участие в совмес</w:t>
      </w:r>
      <w:r w:rsidRPr="00C63B8B">
        <w:rPr>
          <w:b/>
        </w:rPr>
        <w:t>т</w:t>
      </w:r>
      <w:r w:rsidRPr="00C63B8B">
        <w:rPr>
          <w:b/>
        </w:rPr>
        <w:t>ных европейских инициативах, ориентированных на рома, и выделять достаточные ресурсы для реализации существующих программ, каса</w:t>
      </w:r>
      <w:r w:rsidRPr="00C63B8B">
        <w:rPr>
          <w:b/>
        </w:rPr>
        <w:t>ю</w:t>
      </w:r>
      <w:r w:rsidRPr="00C63B8B">
        <w:rPr>
          <w:b/>
        </w:rPr>
        <w:t>щихся рома.</w:t>
      </w:r>
    </w:p>
    <w:p w:rsidR="008F52F9" w:rsidRPr="00C63B8B" w:rsidRDefault="008F52F9" w:rsidP="008F52F9">
      <w:pPr>
        <w:pStyle w:val="SingleTxtGR"/>
      </w:pPr>
      <w:r w:rsidRPr="00C63B8B">
        <w:t>57.</w:t>
      </w:r>
      <w:r w:rsidRPr="00C63B8B">
        <w:tab/>
        <w:t>С учетом того факта, что в Литве проживает лишь немногим более 2 000 рома, ее часто не включают в сферу реализации различных междунаро</w:t>
      </w:r>
      <w:r w:rsidRPr="00C63B8B">
        <w:t>д</w:t>
      </w:r>
      <w:r w:rsidRPr="00C63B8B">
        <w:t>ных инициатив, включая, например, Программу Совета Европы и Европейской комиссии "РОМЕД" по подготовке межкультурных посредников, Десятилетие рома и т.д. Тем не менее Министерство культуры принимает участие в работе Специального комитета экспертов Совета Европы по проблемам рома (СКЭСЕР) и рабочей группы Европейской комиссии, в состав которой входят национальные представители, отвечающие за реализацию стратегий интегр</w:t>
      </w:r>
      <w:r w:rsidRPr="00C63B8B">
        <w:t>а</w:t>
      </w:r>
      <w:r w:rsidRPr="00C63B8B">
        <w:t>ции рома, а также стремится, при возможности, присоединяться к деятельности в рамках международных инициатив, таких, как кампания Совета Европы "Д</w:t>
      </w:r>
      <w:r w:rsidRPr="00C63B8B">
        <w:t>о</w:t>
      </w:r>
      <w:r w:rsidRPr="00C63B8B">
        <w:t xml:space="preserve">вольно!". </w:t>
      </w:r>
    </w:p>
    <w:p w:rsidR="008F52F9" w:rsidRPr="00C63B8B" w:rsidRDefault="008F52F9" w:rsidP="008F52F9">
      <w:pPr>
        <w:pStyle w:val="SingleTxtGR"/>
      </w:pPr>
      <w:r w:rsidRPr="00C63B8B">
        <w:t>58.</w:t>
      </w:r>
      <w:r w:rsidRPr="00C63B8B">
        <w:tab/>
        <w:t>Департамент по делам национальных меньшинств и литовцев, прож</w:t>
      </w:r>
      <w:r w:rsidRPr="00C63B8B">
        <w:t>и</w:t>
      </w:r>
      <w:r w:rsidRPr="00C63B8B">
        <w:t>вающих за рубежом, выделил в 2008 году сумму в 40 700 литов на цели реал</w:t>
      </w:r>
      <w:r w:rsidRPr="00C63B8B">
        <w:t>и</w:t>
      </w:r>
      <w:r w:rsidRPr="00C63B8B">
        <w:t>зации культурных и образовательных мероприятий общинных организаций р</w:t>
      </w:r>
      <w:r w:rsidRPr="00C63B8B">
        <w:t>о</w:t>
      </w:r>
      <w:r w:rsidRPr="00C63B8B">
        <w:t>ма, а в 2009 году – сумму в 13 100 литов. Начиная с 2010 года функции Депа</w:t>
      </w:r>
      <w:r w:rsidRPr="00C63B8B">
        <w:t>р</w:t>
      </w:r>
      <w:r w:rsidRPr="00C63B8B">
        <w:t>тамента, связанные с культурными аспектами политики в отношении этнич</w:t>
      </w:r>
      <w:r w:rsidRPr="00C63B8B">
        <w:t>е</w:t>
      </w:r>
      <w:r w:rsidRPr="00C63B8B">
        <w:t>ских меньшинств, были переданы Министерству культуры.</w:t>
      </w:r>
    </w:p>
    <w:p w:rsidR="008F52F9" w:rsidRPr="00C63B8B" w:rsidRDefault="008F52F9" w:rsidP="008F52F9">
      <w:pPr>
        <w:pStyle w:val="SingleTxtGR"/>
      </w:pPr>
      <w:r w:rsidRPr="00C63B8B">
        <w:t>59.</w:t>
      </w:r>
      <w:r w:rsidRPr="00C63B8B">
        <w:tab/>
        <w:t>Министерство культуры ежегодно выделяет средства на цели финансир</w:t>
      </w:r>
      <w:r w:rsidRPr="00C63B8B">
        <w:t>о</w:t>
      </w:r>
      <w:r w:rsidRPr="00C63B8B">
        <w:t>вания культурных проектов рома; в 2009 году на эти цели было выделено 13 100 литов, в 2011 году – примерно 20 000 литов, в 2012 году – 24 000 литов, а в 2013 году – 35 000 литов. В 2013 году особое внимание было уделено в</w:t>
      </w:r>
      <w:r w:rsidRPr="00C63B8B">
        <w:t>о</w:t>
      </w:r>
      <w:r w:rsidRPr="00C63B8B">
        <w:t>просам расширения прав и возможностей женщин, а именно реализации Пр</w:t>
      </w:r>
      <w:r w:rsidRPr="00C63B8B">
        <w:t>о</w:t>
      </w:r>
      <w:r w:rsidRPr="00C63B8B">
        <w:t>екта "Дом интеграции рома", целью которого было вовлечение женщин из чи</w:t>
      </w:r>
      <w:r w:rsidRPr="00C63B8B">
        <w:t>с</w:t>
      </w:r>
      <w:r w:rsidRPr="00C63B8B">
        <w:t>ла рома в различные виды деятельности, способствующие развитию традиц</w:t>
      </w:r>
      <w:r w:rsidRPr="00C63B8B">
        <w:t>и</w:t>
      </w:r>
      <w:r w:rsidRPr="00C63B8B">
        <w:t>онных рем</w:t>
      </w:r>
      <w:r w:rsidRPr="00C63B8B">
        <w:t>е</w:t>
      </w:r>
      <w:r w:rsidRPr="00C63B8B">
        <w:t>сел (на эти цели было выделено 15 000 литов).</w:t>
      </w:r>
    </w:p>
    <w:p w:rsidR="008F52F9" w:rsidRPr="00C63B8B" w:rsidRDefault="008F52F9" w:rsidP="008F52F9">
      <w:pPr>
        <w:pStyle w:val="SingleTxtGR"/>
      </w:pPr>
      <w:r w:rsidRPr="00C63B8B">
        <w:t>60.</w:t>
      </w:r>
      <w:r w:rsidRPr="00C63B8B">
        <w:tab/>
        <w:t>Финансирование деятельности в рамках Плана интеграции рома осущ</w:t>
      </w:r>
      <w:r w:rsidRPr="00C63B8B">
        <w:t>е</w:t>
      </w:r>
      <w:r w:rsidRPr="00C63B8B">
        <w:t>ствляется за счет средств государственного бюджета, структурных фондов Е</w:t>
      </w:r>
      <w:r w:rsidRPr="00C63B8B">
        <w:t>в</w:t>
      </w:r>
      <w:r w:rsidRPr="00C63B8B">
        <w:t xml:space="preserve">ропейского союза, а также Программы Европейской комиссии "ПРОГРЕСС". В 2012 году на цели реализации мероприятий, направленных на интеграцию рома, было направлено 647 000 литов. В 2013 году на эти цели предусмотрено выделить сумму в 1 403 000 литов. </w:t>
      </w:r>
    </w:p>
    <w:p w:rsidR="008F52F9" w:rsidRPr="00C63B8B" w:rsidRDefault="008F52F9" w:rsidP="008F52F9">
      <w:pPr>
        <w:pStyle w:val="H1GR"/>
      </w:pPr>
      <w:r w:rsidRPr="00C63B8B">
        <w:tab/>
      </w:r>
      <w:r w:rsidRPr="00C63B8B">
        <w:tab/>
        <w:t>Пункт 18</w:t>
      </w:r>
    </w:p>
    <w:p w:rsidR="008F52F9" w:rsidRPr="00C63B8B" w:rsidRDefault="008F52F9" w:rsidP="008F52F9">
      <w:pPr>
        <w:pStyle w:val="SingleTxtGR"/>
        <w:rPr>
          <w:b/>
        </w:rPr>
      </w:pPr>
      <w:r w:rsidRPr="00C63B8B">
        <w:rPr>
          <w:b/>
        </w:rPr>
        <w:t>Комитет просит предоставить ему подробную информацию о прогрессе, достигнутом в деле осуществления Стратегии развития политики в отн</w:t>
      </w:r>
      <w:r w:rsidRPr="00C63B8B">
        <w:rPr>
          <w:b/>
        </w:rPr>
        <w:t>о</w:t>
      </w:r>
      <w:r w:rsidRPr="00C63B8B">
        <w:rPr>
          <w:b/>
        </w:rPr>
        <w:t>шении этнических меньшинств, которую планировалось реализовать к 2015 году.</w:t>
      </w:r>
    </w:p>
    <w:p w:rsidR="008F52F9" w:rsidRPr="00C63B8B" w:rsidRDefault="008F52F9" w:rsidP="008F52F9">
      <w:pPr>
        <w:pStyle w:val="SingleTxtGR"/>
      </w:pPr>
      <w:r w:rsidRPr="00C63B8B">
        <w:t>61.</w:t>
      </w:r>
      <w:r w:rsidRPr="00C63B8B">
        <w:tab/>
        <w:t>В целях реализации Стратегии развития политики в отношении наци</w:t>
      </w:r>
      <w:r w:rsidRPr="00C63B8B">
        <w:t>о</w:t>
      </w:r>
      <w:r w:rsidRPr="00C63B8B">
        <w:t>нальных меньшинств на период до 2015 года Министерство культуры на еж</w:t>
      </w:r>
      <w:r w:rsidRPr="00C63B8B">
        <w:t>е</w:t>
      </w:r>
      <w:r w:rsidRPr="00C63B8B">
        <w:t>годной основе финансирует деятельность по интеграции и поощрению развития культуры этнических меньшинств, осуществляемую государственными учре</w:t>
      </w:r>
      <w:r w:rsidRPr="00C63B8B">
        <w:t>ж</w:t>
      </w:r>
      <w:r w:rsidRPr="00C63B8B">
        <w:t>дениями, Домом национальных общин, Общинным центром рома, Каунасским многонациональным культурным центром, а также Центром фольклора и этн</w:t>
      </w:r>
      <w:r w:rsidRPr="00C63B8B">
        <w:t>о</w:t>
      </w:r>
      <w:r w:rsidRPr="00C63B8B">
        <w:t>графии этнических меньшинств Литвы. Их услуги задействовались для ежего</w:t>
      </w:r>
      <w:r w:rsidRPr="00C63B8B">
        <w:t>д</w:t>
      </w:r>
      <w:r w:rsidRPr="00C63B8B">
        <w:t>ной организации на национальном и местном уровнях более 100 мероприятий с участием неправительственных организаций этнических меньшинств. Объем ежегодных ассигнований на цели финансирования центров национальных меньшинств превышает 70 000 литов.</w:t>
      </w:r>
    </w:p>
    <w:p w:rsidR="008F52F9" w:rsidRPr="00C63B8B" w:rsidRDefault="008F52F9" w:rsidP="008F52F9">
      <w:pPr>
        <w:pStyle w:val="SingleTxtGR"/>
      </w:pPr>
      <w:r w:rsidRPr="00C63B8B">
        <w:t>62.</w:t>
      </w:r>
      <w:r w:rsidRPr="00C63B8B">
        <w:tab/>
        <w:t>С 2009 по 2012 годы проводился сбор заявок на софинансирование по линии государственного бюджета культурных проектов, направленных на с</w:t>
      </w:r>
      <w:r w:rsidRPr="00C63B8B">
        <w:t>о</w:t>
      </w:r>
      <w:r w:rsidRPr="00C63B8B">
        <w:t>действие развитию культур этнических меньшинств. Внимание в рамках пре</w:t>
      </w:r>
      <w:r w:rsidRPr="00C63B8B">
        <w:t>д</w:t>
      </w:r>
      <w:r w:rsidRPr="00C63B8B">
        <w:t>ложений по проектам уделялось таким вопросам, как поощрение культур н</w:t>
      </w:r>
      <w:r w:rsidRPr="00C63B8B">
        <w:t>а</w:t>
      </w:r>
      <w:r w:rsidRPr="00C63B8B">
        <w:t>циональных меньшинств в Литве и за рубежом, деятельность в интересах детей и молодежи из числа этнических меньшинств, сохранение культурного насл</w:t>
      </w:r>
      <w:r w:rsidRPr="00C63B8B">
        <w:t>е</w:t>
      </w:r>
      <w:r w:rsidRPr="00C63B8B">
        <w:t>дия этнических меньшинств и его культурной ценности, деятельность суббо</w:t>
      </w:r>
      <w:r w:rsidRPr="00C63B8B">
        <w:t>т</w:t>
      </w:r>
      <w:r w:rsidRPr="00C63B8B">
        <w:t>них/воскресных школ, воспитание этнической толерантности, поощрение бор</w:t>
      </w:r>
      <w:r w:rsidRPr="00C63B8B">
        <w:t>ь</w:t>
      </w:r>
      <w:r w:rsidRPr="00C63B8B">
        <w:t>бы против расизма и расовой дискриминации, интеграция этнического мен</w:t>
      </w:r>
      <w:r w:rsidRPr="00C63B8B">
        <w:t>ь</w:t>
      </w:r>
      <w:r w:rsidRPr="00C63B8B">
        <w:t>шинства рома и укрепление национальной идентичности. В 2008 году на цели реализации проектов, связанных с этническими меньшинствами, было выдел</w:t>
      </w:r>
      <w:r w:rsidRPr="00C63B8B">
        <w:t>е</w:t>
      </w:r>
      <w:r w:rsidRPr="00C63B8B">
        <w:t>но 619 500 литов, в 2009 году – 550 000 литов, а в 2011 и 2012 годах – по 270 000 литов.</w:t>
      </w:r>
    </w:p>
    <w:p w:rsidR="008F52F9" w:rsidRPr="00C63B8B" w:rsidRDefault="008F52F9" w:rsidP="008F52F9">
      <w:pPr>
        <w:pStyle w:val="SingleTxtGR"/>
      </w:pPr>
      <w:r w:rsidRPr="00C63B8B">
        <w:t>63.</w:t>
      </w:r>
      <w:r w:rsidRPr="00C63B8B">
        <w:tab/>
        <w:t>С целью продемонстрировать исторически присущую Литве многокул</w:t>
      </w:r>
      <w:r w:rsidRPr="00C63B8B">
        <w:t>ь</w:t>
      </w:r>
      <w:r w:rsidRPr="00C63B8B">
        <w:t>турность, а также расширить информированность общественности о многоо</w:t>
      </w:r>
      <w:r w:rsidRPr="00C63B8B">
        <w:t>б</w:t>
      </w:r>
      <w:r w:rsidRPr="00C63B8B">
        <w:t>разии культурного наследия других народов в 2012 году в Литве впервые была выпущена обзорная коллекция фотографий под названием "Движимые и н</w:t>
      </w:r>
      <w:r w:rsidRPr="00C63B8B">
        <w:t>е</w:t>
      </w:r>
      <w:r w:rsidRPr="00C63B8B">
        <w:t>движимые объекты культурного наследия национальных меньшинств в Литве". Ожидается, что следующим шагом на пути реализации данного проекта станет выпуск цифрового видеодиска о польском и еврейском культурном наследии в Литве. Также в 2012 году был подготовлен архивно-исторический экскурс (по</w:t>
      </w:r>
      <w:r w:rsidRPr="00C63B8B">
        <w:t>д</w:t>
      </w:r>
      <w:r w:rsidRPr="00C63B8B">
        <w:t>борка материалов), посвященный участию этнических меньшинств в восст</w:t>
      </w:r>
      <w:r w:rsidRPr="00C63B8B">
        <w:t>а</w:t>
      </w:r>
      <w:r w:rsidRPr="00C63B8B">
        <w:t>новлении независимости Литвы в 1988−1992 годах.</w:t>
      </w:r>
    </w:p>
    <w:p w:rsidR="008F52F9" w:rsidRPr="00C63B8B" w:rsidRDefault="008F52F9" w:rsidP="008F52F9">
      <w:pPr>
        <w:pStyle w:val="SingleTxtGR"/>
      </w:pPr>
      <w:r w:rsidRPr="00C63B8B">
        <w:t>64.</w:t>
      </w:r>
      <w:r w:rsidRPr="00C63B8B">
        <w:tab/>
        <w:t>В Литве осуществляется публикация периодических изданий на языках национальных меньшинств (на русском, польском языках и идише), а также действуют информационные веб-сайты этнических меньшинств на русском и польском языках (http://ru.delfi.lt, http://kurierwilenski.lt, http://nedelia.lt, http://kurier.lt, http://pl.delfi.lt, www.zw.pl, ww.zpl.lt, www127.lt, www.magwil.lt, www.wilnoteka.lt). Национальное радио и телевидение Литвы выпускают радио- и телепрограммы для национальных меньшинств на русском, белорусском, польском и украинском языках. В 2012 году Министерство культуры предост</w:t>
      </w:r>
      <w:r w:rsidRPr="00C63B8B">
        <w:t>а</w:t>
      </w:r>
      <w:r w:rsidRPr="00C63B8B">
        <w:t>вило финансирование на цели реализации проекта "Новости для польского меньшинства в Литве" на радиостанции "Znad Willi" в целях расширения и</w:t>
      </w:r>
      <w:r w:rsidRPr="00C63B8B">
        <w:t>н</w:t>
      </w:r>
      <w:r w:rsidRPr="00C63B8B">
        <w:t>формированности польского населения Литвы о вопросах, касающихся гос</w:t>
      </w:r>
      <w:r w:rsidRPr="00C63B8B">
        <w:t>у</w:t>
      </w:r>
      <w:r w:rsidRPr="00C63B8B">
        <w:t>дарственной политики в отношении этнических меньшинств, а также освещ</w:t>
      </w:r>
      <w:r w:rsidRPr="00C63B8B">
        <w:t>е</w:t>
      </w:r>
      <w:r w:rsidRPr="00C63B8B">
        <w:t>ния текущих вопросов в жизни польской общины. С целью информировать о</w:t>
      </w:r>
      <w:r w:rsidRPr="00C63B8B">
        <w:t>б</w:t>
      </w:r>
      <w:r w:rsidRPr="00C63B8B">
        <w:t>щественность о событиях и других вопросах, касающихся поощрения культур национальных меньшинств, публикуется ежеквартальное обозрение под назв</w:t>
      </w:r>
      <w:r w:rsidRPr="00C63B8B">
        <w:t>а</w:t>
      </w:r>
      <w:r w:rsidRPr="00C63B8B">
        <w:t>нием "Новости национальных общин" ("Tautinių bendrijų naujienos")</w:t>
      </w:r>
      <w:r w:rsidRPr="00C63B8B">
        <w:rPr>
          <w:i/>
        </w:rPr>
        <w:t>.</w:t>
      </w:r>
    </w:p>
    <w:p w:rsidR="008F52F9" w:rsidRPr="00C63B8B" w:rsidRDefault="008F52F9" w:rsidP="008F52F9">
      <w:pPr>
        <w:pStyle w:val="SingleTxtGR"/>
      </w:pPr>
      <w:r w:rsidRPr="00C63B8B">
        <w:t>65.</w:t>
      </w:r>
      <w:r w:rsidRPr="00C63B8B">
        <w:tab/>
        <w:t>Представителям этнических меньшинств обеспечен доступ к бесплатным курсам государственного языка при Доме национальных общин в Вильнюсе. В 2008 году эти курсы закончили 120 человек, в 2009 году – 31 человек, в 2010 году – 39 человек, в 2011 году – 64 человека, а в 2012 году – 99 человек.</w:t>
      </w:r>
    </w:p>
    <w:p w:rsidR="008F52F9" w:rsidRPr="00C63B8B" w:rsidRDefault="008F52F9" w:rsidP="008F52F9">
      <w:pPr>
        <w:pStyle w:val="SingleTxtGR"/>
        <w:rPr>
          <w:b/>
        </w:rPr>
      </w:pPr>
      <w:r w:rsidRPr="00C63B8B">
        <w:rPr>
          <w:b/>
        </w:rPr>
        <w:t>Комитет приветствует дополнительную информацию об итогах исследов</w:t>
      </w:r>
      <w:r w:rsidRPr="00C63B8B">
        <w:rPr>
          <w:b/>
        </w:rPr>
        <w:t>а</w:t>
      </w:r>
      <w:r w:rsidRPr="00C63B8B">
        <w:rPr>
          <w:b/>
        </w:rPr>
        <w:t>ния положения женщин, представляющих различные социальные группы.</w:t>
      </w:r>
    </w:p>
    <w:p w:rsidR="008F52F9" w:rsidRPr="00C63B8B" w:rsidRDefault="008F52F9" w:rsidP="008F52F9">
      <w:pPr>
        <w:pStyle w:val="SingleTxtGR"/>
      </w:pPr>
      <w:r w:rsidRPr="00C63B8B">
        <w:t>66.</w:t>
      </w:r>
      <w:r w:rsidRPr="00C63B8B">
        <w:tab/>
        <w:t>Целью исследования положения женщин, представляющих различные социальные группы, является анализ положения целевых групп, идентифицир</w:t>
      </w:r>
      <w:r w:rsidRPr="00C63B8B">
        <w:t>о</w:t>
      </w:r>
      <w:r w:rsidRPr="00C63B8B">
        <w:t>ванных Комитетом Организации Объединенных Наций по ликвидации дискр</w:t>
      </w:r>
      <w:r w:rsidRPr="00C63B8B">
        <w:t>и</w:t>
      </w:r>
      <w:r w:rsidRPr="00C63B8B">
        <w:t>минации в отношении женщин применительно к Литве, а именно женщин-инвалидов, женщин из числа этнических меньшинств (включая женщин-рома), женщин старшего возраста (55−60 лет и старше) и женщин-мигрантов, а также выявление имеющихся проблем, оценка последствий принятых мер, разработка предложений в отношении конкретных мер по решению проблем и определение расходов, связанных с их реализацией. Ожидалось, что по итогам исследования удастся достичь следующих результатов: завершить проведение расширенного сравнительного анализа положения целевых групп меньшинств в конкретных городских и сельских районах и по конкретным аспектам, а также представить результаты анализа в виде процентных и цифровых показателей; выявить имеющиеся проблемы и предложить конкретные меры в целях их решения, о</w:t>
      </w:r>
      <w:r w:rsidRPr="00C63B8B">
        <w:t>д</w:t>
      </w:r>
      <w:r w:rsidRPr="00C63B8B">
        <w:t>новременно определив расходы и механизмы, связанные с реализацией каждой из этих мер; представить исследование и его результаты на рассмотрение н</w:t>
      </w:r>
      <w:r w:rsidRPr="00C63B8B">
        <w:t>а</w:t>
      </w:r>
      <w:r w:rsidRPr="00C63B8B">
        <w:t>циональных и муниципальных органов, социальных партнеров (работодателей и профсоюзов), общин, неправительственных организаций, ученых и т.д. Ко</w:t>
      </w:r>
      <w:r w:rsidRPr="00C63B8B">
        <w:t>н</w:t>
      </w:r>
      <w:r w:rsidRPr="00C63B8B">
        <w:t>тракт на проведение исследования был подписан в сентябре 2013 года. Его р</w:t>
      </w:r>
      <w:r w:rsidRPr="00C63B8B">
        <w:t>е</w:t>
      </w:r>
      <w:r w:rsidRPr="00C63B8B">
        <w:t>зультаты ожидаются в июне 2014 года.</w:t>
      </w:r>
    </w:p>
    <w:p w:rsidR="008F52F9" w:rsidRPr="00C63B8B" w:rsidRDefault="008F52F9" w:rsidP="008F52F9">
      <w:pPr>
        <w:pStyle w:val="SingleTxtGR"/>
        <w:rPr>
          <w:b/>
        </w:rPr>
      </w:pPr>
      <w:r w:rsidRPr="00C63B8B">
        <w:rPr>
          <w:b/>
        </w:rPr>
        <w:t>Комитет предлагает государству-участнику расширять информирова</w:t>
      </w:r>
      <w:r w:rsidRPr="00C63B8B">
        <w:rPr>
          <w:b/>
        </w:rPr>
        <w:t>н</w:t>
      </w:r>
      <w:r w:rsidRPr="00C63B8B">
        <w:rPr>
          <w:b/>
        </w:rPr>
        <w:t>ность общественности о работе Уполномоченного по обеспечению равных возможностей и об имеющихся средствах правовой защиты.</w:t>
      </w:r>
    </w:p>
    <w:p w:rsidR="008F52F9" w:rsidRPr="00C63B8B" w:rsidRDefault="008F52F9" w:rsidP="008F52F9">
      <w:pPr>
        <w:pStyle w:val="SingleTxtGR"/>
      </w:pPr>
      <w:r w:rsidRPr="00C63B8B">
        <w:t>67.</w:t>
      </w:r>
      <w:r w:rsidRPr="00C63B8B">
        <w:tab/>
        <w:t>Информация о местонахождении приемных омбудсменов, их функциях, возможностях для обращения к ним за помощью и процедуре подачи заявок размещена на соответствующих веб-сайтах на литовском и английском языках (Уполномоченный по обеспечению равных возможностей – www.lygybe.lt, Уполномоченный по правам ребенка – www.vaikams.lrs.lt (также на русском языке), Омбудсмен Сейма – www.lrski.lt). Эта информация также распростран</w:t>
      </w:r>
      <w:r w:rsidRPr="00C63B8B">
        <w:t>я</w:t>
      </w:r>
      <w:r w:rsidRPr="00C63B8B">
        <w:t>ется в ходе консультаций со всеми заинтересованными сторонами, через сре</w:t>
      </w:r>
      <w:r w:rsidRPr="00C63B8B">
        <w:t>д</w:t>
      </w:r>
      <w:r w:rsidRPr="00C63B8B">
        <w:t>ства массовой информации, в рамках различных мероприятий и т.д.</w:t>
      </w:r>
    </w:p>
    <w:p w:rsidR="008F52F9" w:rsidRPr="00C63B8B" w:rsidRDefault="008F52F9" w:rsidP="008F52F9">
      <w:pPr>
        <w:pStyle w:val="SingleTxtGR"/>
      </w:pPr>
      <w:r w:rsidRPr="00C63B8B">
        <w:t>68.</w:t>
      </w:r>
      <w:r w:rsidRPr="00C63B8B">
        <w:tab/>
        <w:t>Канцелярия Уполномоченного по обеспечению равных возможностей ежегодно осуществляет международные проекты и реализует национальные программы, направленные на обеспечение равноправия, равных возможностей, отсутствия дискриминации, многообразия и толерантности. Борьба против ст</w:t>
      </w:r>
      <w:r w:rsidRPr="00C63B8B">
        <w:t>е</w:t>
      </w:r>
      <w:r w:rsidRPr="00C63B8B">
        <w:t>реотипов и дискриминации по признаку этнической принадлежности регулярно становится темой программ профессиональной подготовки и семинаров с уч</w:t>
      </w:r>
      <w:r w:rsidRPr="00C63B8B">
        <w:t>а</w:t>
      </w:r>
      <w:r w:rsidRPr="00C63B8B">
        <w:t>стием представителей различных целевых групп и широко освещается по тел</w:t>
      </w:r>
      <w:r w:rsidRPr="00C63B8B">
        <w:t>е</w:t>
      </w:r>
      <w:r w:rsidRPr="00C63B8B">
        <w:t>видению и радио, а также в рамках кампаний по расширению информированн</w:t>
      </w:r>
      <w:r w:rsidRPr="00C63B8B">
        <w:t>о</w:t>
      </w:r>
      <w:r w:rsidRPr="00C63B8B">
        <w:t>сти общественности.</w:t>
      </w:r>
    </w:p>
    <w:p w:rsidR="008F52F9" w:rsidRPr="00C63B8B" w:rsidRDefault="008F52F9" w:rsidP="008F52F9">
      <w:pPr>
        <w:pStyle w:val="H1GR"/>
      </w:pPr>
      <w:r w:rsidRPr="00C63B8B">
        <w:tab/>
      </w:r>
      <w:r w:rsidRPr="00C63B8B">
        <w:tab/>
        <w:t>Пункт 19</w:t>
      </w:r>
    </w:p>
    <w:p w:rsidR="008F52F9" w:rsidRPr="00C63B8B" w:rsidRDefault="008F52F9" w:rsidP="008F52F9">
      <w:pPr>
        <w:pStyle w:val="SingleTxtGR"/>
        <w:rPr>
          <w:b/>
        </w:rPr>
      </w:pPr>
      <w:r w:rsidRPr="00C63B8B">
        <w:rPr>
          <w:b/>
        </w:rPr>
        <w:t>Комитет заинтересован в получении информации о последствиях нового Закона о гражданстве, который вступил в силу в апреле 2011 года, с точки зрения сокращения числа апатридов в государстве-участнике.</w:t>
      </w:r>
    </w:p>
    <w:p w:rsidR="008F52F9" w:rsidRPr="00C63B8B" w:rsidRDefault="008F52F9" w:rsidP="008F52F9">
      <w:pPr>
        <w:pStyle w:val="SingleTxtGR"/>
      </w:pPr>
      <w:r w:rsidRPr="00C63B8B">
        <w:t>69.</w:t>
      </w:r>
      <w:r w:rsidRPr="00C63B8B">
        <w:tab/>
        <w:t>Лицами без гражданства являются 0,13% общей численности н</w:t>
      </w:r>
      <w:r w:rsidRPr="00C63B8B">
        <w:t>а</w:t>
      </w:r>
      <w:r w:rsidRPr="00C63B8B">
        <w:t>селения Литвы. Уменьшение масштабов безгражданства (см. приводимую ниже табл</w:t>
      </w:r>
      <w:r w:rsidRPr="00C63B8B">
        <w:t>и</w:t>
      </w:r>
      <w:r w:rsidRPr="00C63B8B">
        <w:t>цу) связано не только с поправками, внесенными в Закон о гражданстве, но и с другими факторами, что затрудняет оценку последствий принятия этого закона для сокращения числа апатридов. В соответствии с Законом о гражданстве н</w:t>
      </w:r>
      <w:r w:rsidRPr="00C63B8B">
        <w:t>е</w:t>
      </w:r>
      <w:r w:rsidRPr="00C63B8B">
        <w:t>которые лица без гражданства приобретают литовское гражданство по упр</w:t>
      </w:r>
      <w:r w:rsidRPr="00C63B8B">
        <w:t>о</w:t>
      </w:r>
      <w:r w:rsidRPr="00C63B8B">
        <w:t>щенной процедуре посредством натурализации, при рождении (например, р</w:t>
      </w:r>
      <w:r w:rsidRPr="00C63B8B">
        <w:t>е</w:t>
      </w:r>
      <w:r w:rsidRPr="00C63B8B">
        <w:t>бенок, родившийся у лиц без гражданства, которые проживают в Литве, прио</w:t>
      </w:r>
      <w:r w:rsidRPr="00C63B8B">
        <w:t>б</w:t>
      </w:r>
      <w:r w:rsidRPr="00C63B8B">
        <w:t>ретает литовское гражданство при рождении) и т.д. Наряду с этим имеют м</w:t>
      </w:r>
      <w:r w:rsidRPr="00C63B8B">
        <w:t>е</w:t>
      </w:r>
      <w:r w:rsidRPr="00C63B8B">
        <w:t>сто случаи, когда лица без гражданства приобретают гражданство других гос</w:t>
      </w:r>
      <w:r w:rsidRPr="00C63B8B">
        <w:t>у</w:t>
      </w:r>
      <w:r w:rsidRPr="00C63B8B">
        <w:t>дарств, уезжая из Литвы в другие страны, или умирают.</w:t>
      </w:r>
    </w:p>
    <w:p w:rsidR="008F52F9" w:rsidRPr="00C63B8B" w:rsidRDefault="008F52F9" w:rsidP="008F52F9">
      <w:pPr>
        <w:pStyle w:val="H23GR"/>
      </w:pPr>
      <w:r w:rsidRPr="00C63B8B">
        <w:tab/>
      </w:r>
      <w:r w:rsidRPr="00C63B8B">
        <w:tab/>
        <w:t>Число лиц без гражданства (по состоянию на начало года)</w:t>
      </w:r>
    </w:p>
    <w:tbl>
      <w:tblPr>
        <w:tblStyle w:val="TabNum"/>
        <w:tblW w:w="7370" w:type="dxa"/>
        <w:tblInd w:w="1134" w:type="dxa"/>
        <w:tblLook w:val="01E0"/>
      </w:tblPr>
      <w:tblGrid>
        <w:gridCol w:w="2835"/>
        <w:gridCol w:w="851"/>
        <w:gridCol w:w="709"/>
        <w:gridCol w:w="850"/>
        <w:gridCol w:w="709"/>
        <w:gridCol w:w="709"/>
        <w:gridCol w:w="707"/>
      </w:tblGrid>
      <w:tr w:rsidR="008F52F9" w:rsidRPr="00C63B8B" w:rsidTr="008F52F9">
        <w:trPr>
          <w:tblHeader/>
        </w:trPr>
        <w:tc>
          <w:tcPr>
            <w:cnfStyle w:val="001000000000"/>
            <w:tcW w:w="2835" w:type="dxa"/>
            <w:tcBorders>
              <w:bottom w:val="single" w:sz="12" w:space="0" w:color="auto"/>
            </w:tcBorders>
            <w:shd w:val="clear" w:color="auto" w:fill="auto"/>
          </w:tcPr>
          <w:p w:rsidR="008F52F9" w:rsidRPr="00C63B8B" w:rsidRDefault="008F52F9" w:rsidP="008F52F9">
            <w:pPr>
              <w:spacing w:before="80" w:after="80" w:line="200" w:lineRule="exact"/>
              <w:rPr>
                <w:i/>
                <w:sz w:val="16"/>
              </w:rPr>
            </w:pPr>
            <w:r w:rsidRPr="00C63B8B">
              <w:rPr>
                <w:i/>
                <w:sz w:val="16"/>
              </w:rPr>
              <w:t>Год</w:t>
            </w:r>
          </w:p>
        </w:tc>
        <w:tc>
          <w:tcPr>
            <w:tcW w:w="851"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2009</w:t>
            </w:r>
          </w:p>
        </w:tc>
        <w:tc>
          <w:tcPr>
            <w:tcW w:w="709"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2010</w:t>
            </w:r>
          </w:p>
        </w:tc>
        <w:tc>
          <w:tcPr>
            <w:tcW w:w="850"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2011</w:t>
            </w:r>
          </w:p>
        </w:tc>
        <w:tc>
          <w:tcPr>
            <w:tcW w:w="709"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2012</w:t>
            </w:r>
          </w:p>
        </w:tc>
        <w:tc>
          <w:tcPr>
            <w:tcW w:w="709"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2013</w:t>
            </w:r>
          </w:p>
        </w:tc>
        <w:tc>
          <w:tcPr>
            <w:tcW w:w="707"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2014 </w:t>
            </w:r>
          </w:p>
        </w:tc>
      </w:tr>
      <w:tr w:rsidR="008F52F9" w:rsidRPr="00C63B8B" w:rsidTr="008F52F9">
        <w:tc>
          <w:tcPr>
            <w:cnfStyle w:val="001000000000"/>
            <w:tcW w:w="2835" w:type="dxa"/>
            <w:tcBorders>
              <w:top w:val="single" w:sz="12" w:space="0" w:color="auto"/>
            </w:tcBorders>
          </w:tcPr>
          <w:p w:rsidR="008F52F9" w:rsidRPr="00C63B8B" w:rsidRDefault="008F52F9" w:rsidP="008F52F9">
            <w:r w:rsidRPr="00C63B8B">
              <w:t>Число лиц без гражданства</w:t>
            </w:r>
          </w:p>
        </w:tc>
        <w:tc>
          <w:tcPr>
            <w:tcW w:w="851" w:type="dxa"/>
            <w:tcBorders>
              <w:top w:val="single" w:sz="12" w:space="0" w:color="auto"/>
            </w:tcBorders>
          </w:tcPr>
          <w:p w:rsidR="008F52F9" w:rsidRPr="00C63B8B" w:rsidRDefault="008F52F9" w:rsidP="008F52F9">
            <w:pPr>
              <w:cnfStyle w:val="000000000000"/>
            </w:pPr>
            <w:r w:rsidRPr="00C63B8B">
              <w:t>4 844</w:t>
            </w:r>
          </w:p>
        </w:tc>
        <w:tc>
          <w:tcPr>
            <w:tcW w:w="709" w:type="dxa"/>
            <w:tcBorders>
              <w:top w:val="single" w:sz="12" w:space="0" w:color="auto"/>
            </w:tcBorders>
          </w:tcPr>
          <w:p w:rsidR="008F52F9" w:rsidRPr="00C63B8B" w:rsidRDefault="008F52F9" w:rsidP="008F52F9">
            <w:pPr>
              <w:cnfStyle w:val="000000000000"/>
            </w:pPr>
            <w:r w:rsidRPr="00C63B8B">
              <w:t>4 593</w:t>
            </w:r>
          </w:p>
        </w:tc>
        <w:tc>
          <w:tcPr>
            <w:tcW w:w="850" w:type="dxa"/>
            <w:tcBorders>
              <w:top w:val="single" w:sz="12" w:space="0" w:color="auto"/>
            </w:tcBorders>
          </w:tcPr>
          <w:p w:rsidR="008F52F9" w:rsidRPr="00C63B8B" w:rsidRDefault="008F52F9" w:rsidP="008F52F9">
            <w:pPr>
              <w:cnfStyle w:val="000000000000"/>
            </w:pPr>
            <w:r w:rsidRPr="00C63B8B">
              <w:t>4 453</w:t>
            </w:r>
          </w:p>
        </w:tc>
        <w:tc>
          <w:tcPr>
            <w:tcW w:w="709" w:type="dxa"/>
            <w:tcBorders>
              <w:top w:val="single" w:sz="12" w:space="0" w:color="auto"/>
            </w:tcBorders>
          </w:tcPr>
          <w:p w:rsidR="008F52F9" w:rsidRPr="00C63B8B" w:rsidRDefault="008F52F9" w:rsidP="008F52F9">
            <w:pPr>
              <w:cnfStyle w:val="000000000000"/>
            </w:pPr>
            <w:r w:rsidRPr="00C63B8B">
              <w:t>4 314</w:t>
            </w:r>
          </w:p>
        </w:tc>
        <w:tc>
          <w:tcPr>
            <w:tcW w:w="709" w:type="dxa"/>
            <w:tcBorders>
              <w:top w:val="single" w:sz="12" w:space="0" w:color="auto"/>
            </w:tcBorders>
          </w:tcPr>
          <w:p w:rsidR="008F52F9" w:rsidRPr="00C63B8B" w:rsidRDefault="008F52F9" w:rsidP="008F52F9">
            <w:pPr>
              <w:cnfStyle w:val="000000000000"/>
            </w:pPr>
            <w:r w:rsidRPr="00C63B8B">
              <w:t>4 130</w:t>
            </w:r>
          </w:p>
        </w:tc>
        <w:tc>
          <w:tcPr>
            <w:tcW w:w="707" w:type="dxa"/>
            <w:tcBorders>
              <w:top w:val="single" w:sz="12" w:space="0" w:color="auto"/>
            </w:tcBorders>
          </w:tcPr>
          <w:p w:rsidR="008F52F9" w:rsidRPr="00C63B8B" w:rsidRDefault="008F52F9" w:rsidP="008F52F9">
            <w:pPr>
              <w:cnfStyle w:val="000000000000"/>
            </w:pPr>
            <w:r w:rsidRPr="00C63B8B">
              <w:t>3 892</w:t>
            </w:r>
          </w:p>
        </w:tc>
      </w:tr>
    </w:tbl>
    <w:p w:rsidR="008F52F9" w:rsidRPr="00C63B8B" w:rsidRDefault="008F52F9" w:rsidP="008F52F9">
      <w:pPr>
        <w:pStyle w:val="SingleTxtGR"/>
        <w:spacing w:before="120" w:line="220" w:lineRule="exact"/>
        <w:ind w:firstLine="170"/>
        <w:rPr>
          <w:sz w:val="18"/>
          <w:szCs w:val="18"/>
        </w:rPr>
      </w:pPr>
      <w:r w:rsidRPr="00C63B8B">
        <w:rPr>
          <w:i/>
          <w:sz w:val="18"/>
          <w:szCs w:val="18"/>
        </w:rPr>
        <w:t>Источник</w:t>
      </w:r>
      <w:r w:rsidRPr="00C63B8B">
        <w:rPr>
          <w:sz w:val="18"/>
          <w:szCs w:val="18"/>
        </w:rPr>
        <w:t>: Министерство внутренних дел.</w:t>
      </w:r>
    </w:p>
    <w:p w:rsidR="008F52F9" w:rsidRPr="00C63B8B" w:rsidRDefault="008F52F9" w:rsidP="008F52F9">
      <w:pPr>
        <w:pStyle w:val="SingleTxtGR"/>
      </w:pPr>
      <w:r w:rsidRPr="00C63B8B">
        <w:t>70.</w:t>
      </w:r>
      <w:r w:rsidRPr="00C63B8B">
        <w:tab/>
        <w:t>Следует отметить, что Закон о гражданстве от 1 апреля 2011 года по сути запрещает лишать то или иное лицо литовского гражданства в тех случаях, к</w:t>
      </w:r>
      <w:r w:rsidRPr="00C63B8B">
        <w:t>о</w:t>
      </w:r>
      <w:r w:rsidRPr="00C63B8B">
        <w:t>гда это приведет к превращению такого лица в апатрида. Тем не менее Закон предусматривает исключения из этого правила, которые могут приводить к бе</w:t>
      </w:r>
      <w:r w:rsidRPr="00C63B8B">
        <w:t>з</w:t>
      </w:r>
      <w:r w:rsidRPr="00C63B8B">
        <w:t>гражданству в том случае, если: лицо состоит на государственной службе др</w:t>
      </w:r>
      <w:r w:rsidRPr="00C63B8B">
        <w:t>у</w:t>
      </w:r>
      <w:r w:rsidRPr="00C63B8B">
        <w:t>гого государства без разрешения Правительства; представляется, что литовское гражданство было получено путем фальсификации документов или иных м</w:t>
      </w:r>
      <w:r w:rsidRPr="00C63B8B">
        <w:t>о</w:t>
      </w:r>
      <w:r w:rsidRPr="00C63B8B">
        <w:t>шеннических действий; имели место обстоятельства, которые в соответствии с Законом рассматриваются как препятствующие предоставлению, повторному получению или восстановлению литовского гражданства; решение о предоста</w:t>
      </w:r>
      <w:r w:rsidRPr="00C63B8B">
        <w:t>в</w:t>
      </w:r>
      <w:r w:rsidRPr="00C63B8B">
        <w:t>лении гражданства Литвы было принято с нарушением Закона о гражданстве или иных законов. С момента вступления Закона в силу 1 июня 2013 года п</w:t>
      </w:r>
      <w:r w:rsidRPr="00C63B8B">
        <w:t>о</w:t>
      </w:r>
      <w:r w:rsidRPr="00C63B8B">
        <w:t>добных случаев зафиксировано не было.</w:t>
      </w:r>
    </w:p>
    <w:p w:rsidR="008F52F9" w:rsidRPr="00C63B8B" w:rsidRDefault="008F52F9" w:rsidP="008F52F9">
      <w:pPr>
        <w:pStyle w:val="SingleTxtGR"/>
      </w:pPr>
      <w:r w:rsidRPr="00C63B8B">
        <w:t>71.</w:t>
      </w:r>
      <w:r w:rsidRPr="00C63B8B">
        <w:tab/>
        <w:t>В соответствии с поправками к Закону о гражданстве, которые вступили в силу 25 мая 2013 года, лицам без гражданства, родившимся на территории Ли</w:t>
      </w:r>
      <w:r w:rsidRPr="00C63B8B">
        <w:t>т</w:t>
      </w:r>
      <w:r w:rsidRPr="00C63B8B">
        <w:t>вы, было предоставлено право на получение гражданства Литвы по упроще</w:t>
      </w:r>
      <w:r w:rsidRPr="00C63B8B">
        <w:t>н</w:t>
      </w:r>
      <w:r w:rsidRPr="00C63B8B">
        <w:t>ной процедуре посредством натурализации. Соответствующая поправка пред</w:t>
      </w:r>
      <w:r w:rsidRPr="00C63B8B">
        <w:t>у</w:t>
      </w:r>
      <w:r w:rsidRPr="00C63B8B">
        <w:t>сматривает, что такие лица имеют право на получение гражданства Литвы п</w:t>
      </w:r>
      <w:r w:rsidRPr="00C63B8B">
        <w:t>у</w:t>
      </w:r>
      <w:r w:rsidRPr="00C63B8B">
        <w:t>тем натурализации в том случае, если они на законных основаниях проживали в Литве в течение последних пяти лет. Прочие лица имеют право на получение литовского гражданства путем натурализации в том случае, если они прожив</w:t>
      </w:r>
      <w:r w:rsidRPr="00C63B8B">
        <w:t>а</w:t>
      </w:r>
      <w:r w:rsidRPr="00C63B8B">
        <w:t>ли в Литве в течение последних 10 лет.</w:t>
      </w:r>
    </w:p>
    <w:p w:rsidR="008F52F9" w:rsidRPr="00C63B8B" w:rsidRDefault="008F52F9" w:rsidP="008F52F9">
      <w:pPr>
        <w:pStyle w:val="SingleTxtGR"/>
      </w:pPr>
      <w:r w:rsidRPr="00C63B8B">
        <w:t>72.</w:t>
      </w:r>
      <w:r w:rsidRPr="00C63B8B">
        <w:tab/>
        <w:t>Следует отметить, что 9 мая 2013 года Сейм ратифицировал Конвенцию о сокращении безгражданства.</w:t>
      </w:r>
    </w:p>
    <w:p w:rsidR="008F52F9" w:rsidRPr="00C63B8B" w:rsidRDefault="008F52F9" w:rsidP="008F52F9">
      <w:pPr>
        <w:pStyle w:val="H1GR"/>
      </w:pPr>
      <w:r w:rsidRPr="00C63B8B">
        <w:tab/>
      </w:r>
      <w:r w:rsidRPr="00C63B8B">
        <w:tab/>
        <w:t>Пункт 20</w:t>
      </w:r>
    </w:p>
    <w:p w:rsidR="008F52F9" w:rsidRPr="00C63B8B" w:rsidRDefault="008F52F9" w:rsidP="008F52F9">
      <w:pPr>
        <w:pStyle w:val="SingleTxtGR"/>
        <w:rPr>
          <w:b/>
        </w:rPr>
      </w:pPr>
      <w:r w:rsidRPr="00C63B8B">
        <w:rPr>
          <w:b/>
        </w:rPr>
        <w:t>Комитет рекомендует государству-участнику продолжить свои усилия по борьбе с торговлей людьми, в том числе для целей сексуальной эксплуат</w:t>
      </w:r>
      <w:r w:rsidRPr="00C63B8B">
        <w:rPr>
          <w:b/>
        </w:rPr>
        <w:t>а</w:t>
      </w:r>
      <w:r w:rsidRPr="00C63B8B">
        <w:rPr>
          <w:b/>
        </w:rPr>
        <w:t>ции. Он настоятельно рекомендует государству-участнику выделять на это достаточные средства и проинформировать Комитет о достигнутых в этом направлении успехах в следующем периодическом докладе.</w:t>
      </w:r>
    </w:p>
    <w:p w:rsidR="008F52F9" w:rsidRPr="00C63B8B" w:rsidRDefault="008F52F9" w:rsidP="008F52F9">
      <w:pPr>
        <w:pStyle w:val="SingleTxtGR"/>
      </w:pPr>
      <w:r w:rsidRPr="00C63B8B">
        <w:t>73.</w:t>
      </w:r>
      <w:r w:rsidRPr="00C63B8B">
        <w:tab/>
        <w:t>В 2009 году Правительство утвердило третью национальную Программу предотвращения торговли людьми и борьбы с ней на 2009−2012 годы, в которой предусматриваются меры по совершенствованию нормативно-правовой базы, укреплению межучрежденческого сотрудничества на муниципальном уровне, усилению профилактической деятельности, повышению квалификации сотру</w:t>
      </w:r>
      <w:r w:rsidRPr="00C63B8B">
        <w:t>д</w:t>
      </w:r>
      <w:r w:rsidRPr="00C63B8B">
        <w:t>ников правоохранительных органов, судей и других специалистов, оказанию всесторонней помощи пострадавшим, развитию регионального и междунаро</w:t>
      </w:r>
      <w:r w:rsidRPr="00C63B8B">
        <w:t>д</w:t>
      </w:r>
      <w:r w:rsidRPr="00C63B8B">
        <w:t>ного сотрудничества, а также расширению обмена информацией о наилучшим образом зарекомендовавших себя на практике методах работы в данной обла</w:t>
      </w:r>
      <w:r w:rsidRPr="00C63B8B">
        <w:t>с</w:t>
      </w:r>
      <w:r w:rsidRPr="00C63B8B">
        <w:t>ти. В целях реализации программ предотвращения торговли людьми и борьбы с ней начиная с 2002 года оказывается государственная финансовая поддержка в деле осуществления отобранных на конкурсной основе проектов, направленных на оказание социальной помощи жертвам торговли людьми и принудительной проституции. В 2008−2012 годах были проведены четыре отборочных конкурса и обеспечено финансирование 31 проекта, включая 29 проектов неправительс</w:t>
      </w:r>
      <w:r w:rsidRPr="00C63B8B">
        <w:t>т</w:t>
      </w:r>
      <w:r w:rsidRPr="00C63B8B">
        <w:t>венных организаций. В 2008 году общий объем ассигнований на финансиров</w:t>
      </w:r>
      <w:r w:rsidRPr="00C63B8B">
        <w:t>а</w:t>
      </w:r>
      <w:r w:rsidRPr="00C63B8B">
        <w:t>ние этих проектов составил 400 000 литов, в 2010 году – 87 000 литов, в 2011 году – 150 000 литов, а в 2012 году – 150 000 литов. За период 2008−2012 годов социальная помощь была оказана более чем 600 фактическим и потенц</w:t>
      </w:r>
      <w:r w:rsidRPr="00C63B8B">
        <w:t>и</w:t>
      </w:r>
      <w:r w:rsidRPr="00C63B8B">
        <w:t>альным жертвам торговли людьми и принудительной проституции.</w:t>
      </w:r>
    </w:p>
    <w:p w:rsidR="008F52F9" w:rsidRPr="00C63B8B" w:rsidRDefault="008F52F9" w:rsidP="008F52F9">
      <w:pPr>
        <w:pStyle w:val="SingleTxtGR"/>
      </w:pPr>
      <w:r w:rsidRPr="00C63B8B">
        <w:t>74.</w:t>
      </w:r>
      <w:r w:rsidRPr="00C63B8B">
        <w:tab/>
        <w:t>В 2012 году Правительство утвердило Межучрежденческий план дейс</w:t>
      </w:r>
      <w:r w:rsidRPr="00C63B8B">
        <w:t>т</w:t>
      </w:r>
      <w:r w:rsidRPr="00C63B8B">
        <w:t>вий по осуществлению Национальной программы предотвращения преступн</w:t>
      </w:r>
      <w:r w:rsidRPr="00C63B8B">
        <w:t>о</w:t>
      </w:r>
      <w:r w:rsidRPr="00C63B8B">
        <w:t>сти и борьбы с ней на период 2013−2015 годов, в которой предусматриваются меры по борьбе с торговлей людьми, включая предотвращение торговли люд</w:t>
      </w:r>
      <w:r w:rsidRPr="00C63B8B">
        <w:t>ь</w:t>
      </w:r>
      <w:r w:rsidRPr="00C63B8B">
        <w:t>ми, повышение профессиональной квалификации сотрудников, оказание вс</w:t>
      </w:r>
      <w:r w:rsidRPr="00C63B8B">
        <w:t>е</w:t>
      </w:r>
      <w:r w:rsidRPr="00C63B8B">
        <w:t>сторонней помощи жертвам и защиту их прав, а также международное сотру</w:t>
      </w:r>
      <w:r w:rsidRPr="00C63B8B">
        <w:t>д</w:t>
      </w:r>
      <w:r w:rsidRPr="00C63B8B">
        <w:t>ничество.</w:t>
      </w:r>
    </w:p>
    <w:p w:rsidR="008F52F9" w:rsidRPr="00C63B8B" w:rsidRDefault="008F52F9" w:rsidP="008F52F9">
      <w:pPr>
        <w:pStyle w:val="SingleTxtGR"/>
      </w:pPr>
      <w:r w:rsidRPr="00C63B8B">
        <w:t>75.</w:t>
      </w:r>
      <w:r w:rsidRPr="00C63B8B">
        <w:tab/>
        <w:t>Двадцать первого июня 2012 года Сейм ратифицировал Конвенцию Сов</w:t>
      </w:r>
      <w:r w:rsidRPr="00C63B8B">
        <w:t>е</w:t>
      </w:r>
      <w:r w:rsidRPr="00C63B8B">
        <w:t>та Европы о противодействии торговле людьми (СДСЕ № 197). В целях надл</w:t>
      </w:r>
      <w:r w:rsidRPr="00C63B8B">
        <w:t>е</w:t>
      </w:r>
      <w:r w:rsidRPr="00C63B8B">
        <w:t>жащего осуществления положений этой Конвенции, учета положений Директ</w:t>
      </w:r>
      <w:r w:rsidRPr="00C63B8B">
        <w:t>и</w:t>
      </w:r>
      <w:r w:rsidRPr="00C63B8B">
        <w:t>вы 2011/36/EU Европейского парламента и Совета от 5 апреля 2011 года о пр</w:t>
      </w:r>
      <w:r w:rsidRPr="00C63B8B">
        <w:t>е</w:t>
      </w:r>
      <w:r w:rsidRPr="00C63B8B">
        <w:t>дотвращении торговле людьми, борьбе с ней и защите ее жертв, которая зам</w:t>
      </w:r>
      <w:r w:rsidRPr="00C63B8B">
        <w:t>е</w:t>
      </w:r>
      <w:r w:rsidRPr="00C63B8B">
        <w:t>нила Рамочное решение Совета 2002/629/JHA, а также повышения эффективн</w:t>
      </w:r>
      <w:r w:rsidRPr="00C63B8B">
        <w:t>о</w:t>
      </w:r>
      <w:r w:rsidRPr="00C63B8B">
        <w:t>сти мер по борьбе с торговлей людьми 30 июня 2012 года были внесены соо</w:t>
      </w:r>
      <w:r w:rsidRPr="00C63B8B">
        <w:t>т</w:t>
      </w:r>
      <w:r w:rsidRPr="00C63B8B">
        <w:t>ветствующие поправки в Уголовный кодекс. Эти поправки предусматривают введение уголовной ответственности за торговлю людьми, а также за продажу и покупку детей в любых целях, связанных с эксплуатацией, в том числе для з</w:t>
      </w:r>
      <w:r w:rsidRPr="00C63B8B">
        <w:t>а</w:t>
      </w:r>
      <w:r w:rsidRPr="00C63B8B">
        <w:t>нятий попрошайничеством и совершения преступлений, то есть содержат неи</w:t>
      </w:r>
      <w:r w:rsidRPr="00C63B8B">
        <w:t>с</w:t>
      </w:r>
      <w:r w:rsidRPr="00C63B8B">
        <w:t>черпывающий перечень целей эксплуатации. Теперь уголовное законодательс</w:t>
      </w:r>
      <w:r w:rsidRPr="00C63B8B">
        <w:t>т</w:t>
      </w:r>
      <w:r w:rsidRPr="00C63B8B">
        <w:t>во конкретно предусматривает, что согласие жертвы не отменят личную отве</w:t>
      </w:r>
      <w:r w:rsidRPr="00C63B8B">
        <w:t>т</w:t>
      </w:r>
      <w:r w:rsidRPr="00C63B8B">
        <w:t>ственность за правонарушения, связанные с торговлей в целях эксплуатации. К перечню видов преступлений, связанных с торговлей людьми, а также с п</w:t>
      </w:r>
      <w:r w:rsidRPr="00C63B8B">
        <w:t>о</w:t>
      </w:r>
      <w:r w:rsidRPr="00C63B8B">
        <w:t>купкой и продажей детей, были добавлены следующие отягчающие обстоятел</w:t>
      </w:r>
      <w:r w:rsidRPr="00C63B8B">
        <w:t>ь</w:t>
      </w:r>
      <w:r w:rsidRPr="00C63B8B">
        <w:t>ства: преступление создало угрозу жизни жертвы; правонарушитель знал или планировал, что у жертвы будут отторгнуты органы тела, ткани или клетки; правон</w:t>
      </w:r>
      <w:r w:rsidRPr="00C63B8B">
        <w:t>а</w:t>
      </w:r>
      <w:r w:rsidRPr="00C63B8B">
        <w:t>рушитель является государственным служащим или лицом, наделенным государственными полномочиями, которое находилось при исполнении возл</w:t>
      </w:r>
      <w:r w:rsidRPr="00C63B8B">
        <w:t>о</w:t>
      </w:r>
      <w:r w:rsidRPr="00C63B8B">
        <w:t>женных на него обязанностей. Поправки предусматривали возможность отказа от привлечения жертв торговли людьми к ответственности за совершение ими уголовного преступления в том случае, если они были принуждены к его с</w:t>
      </w:r>
      <w:r w:rsidRPr="00C63B8B">
        <w:t>о</w:t>
      </w:r>
      <w:r w:rsidRPr="00C63B8B">
        <w:t>вершению непосредственно по причине того, что стали жертвами торговли людьми. Уголовный кодекс был дополнен новой статьей 1472, озаглавленной "Использование принудительного труда или услуг", которая вводит уголовную ответственность за использование труда или услуг лица, являющегося жертвой торговли людьми, включая проституцию, в тех случаях, когда преступник знал, должен был и мог знать, что лицо, оказывающее услуги или выполняющее р</w:t>
      </w:r>
      <w:r w:rsidRPr="00C63B8B">
        <w:t>а</w:t>
      </w:r>
      <w:r w:rsidRPr="00C63B8B">
        <w:t>боту, делало это потому, что было подвергнуто физическому насилию, угрозам, обману или другим методам подчинения в целях эксплуатации. Эта новая ст</w:t>
      </w:r>
      <w:r w:rsidRPr="00C63B8B">
        <w:t>а</w:t>
      </w:r>
      <w:r w:rsidRPr="00C63B8B">
        <w:t>тья также предусматривает возможность освобождения лица от уголовной о</w:t>
      </w:r>
      <w:r w:rsidRPr="00C63B8B">
        <w:t>т</w:t>
      </w:r>
      <w:r w:rsidRPr="00C63B8B">
        <w:t>ветственности за использование принудительного труда или услуг в том случае, если оно добровольно сообщает о преступлении правоохранительным органам до присвоения ему статуса подозреваемого и тесно сотрудничает с органами власти в вопросах идентификации жертв торговли людьми и покупки или пр</w:t>
      </w:r>
      <w:r w:rsidRPr="00C63B8B">
        <w:t>о</w:t>
      </w:r>
      <w:r w:rsidRPr="00C63B8B">
        <w:t>дажи детей, тем самым способствуя раскрытию преступления. Кроме того, б</w:t>
      </w:r>
      <w:r w:rsidRPr="00C63B8B">
        <w:t>ы</w:t>
      </w:r>
      <w:r w:rsidRPr="00C63B8B">
        <w:t>ло расширено понятие использования принудительного труда (статья 1471 Уг</w:t>
      </w:r>
      <w:r w:rsidRPr="00C63B8B">
        <w:t>о</w:t>
      </w:r>
      <w:r w:rsidRPr="00C63B8B">
        <w:t>ловного кодекса) путем введения уголовной ответственности не только за эк</w:t>
      </w:r>
      <w:r w:rsidRPr="00C63B8B">
        <w:t>с</w:t>
      </w:r>
      <w:r w:rsidRPr="00C63B8B">
        <w:t>плуатацию в целях принудительного труда, но и за эксплуатацию в целях пр</w:t>
      </w:r>
      <w:r w:rsidRPr="00C63B8B">
        <w:t>и</w:t>
      </w:r>
      <w:r w:rsidRPr="00C63B8B">
        <w:t>нудительного оказания услуг; был также расширен перечень способов подч</w:t>
      </w:r>
      <w:r w:rsidRPr="00C63B8B">
        <w:t>и</w:t>
      </w:r>
      <w:r w:rsidRPr="00C63B8B">
        <w:t>нения (физическое насилие, угрозы, а также другие способы подавления сп</w:t>
      </w:r>
      <w:r w:rsidRPr="00C63B8B">
        <w:t>о</w:t>
      </w:r>
      <w:r w:rsidRPr="00C63B8B">
        <w:t>собности к сопротивлению или эксплуатации зависимости человека), который был увязан со средствами подчинения, перечисленными в статье 147 Кодекса.</w:t>
      </w:r>
    </w:p>
    <w:p w:rsidR="008F52F9" w:rsidRPr="00C63B8B" w:rsidRDefault="008F52F9" w:rsidP="008F52F9">
      <w:pPr>
        <w:pStyle w:val="SingleTxtGR"/>
      </w:pPr>
      <w:r w:rsidRPr="00C63B8B">
        <w:t>76.</w:t>
      </w:r>
      <w:r w:rsidRPr="00C63B8B">
        <w:tab/>
        <w:t>В целях надлежащего осуществления положений вышеупомянутой д</w:t>
      </w:r>
      <w:r w:rsidRPr="00C63B8B">
        <w:t>и</w:t>
      </w:r>
      <w:r w:rsidRPr="00C63B8B">
        <w:t>рективы Европейского парламента и Совета 9 мая 2013 года на рассмотрение Сейма был представлен проект поправок к Уголовно-процессуальному кодексу (законопроект № XIIP-552). Этот проект предусматривает проведение закрыт</w:t>
      </w:r>
      <w:r w:rsidRPr="00C63B8B">
        <w:t>о</w:t>
      </w:r>
      <w:r w:rsidRPr="00C63B8B">
        <w:t>го разбирательства в тех случаях, когда потерпевший может пострадать от пс</w:t>
      </w:r>
      <w:r w:rsidRPr="00C63B8B">
        <w:t>и</w:t>
      </w:r>
      <w:r w:rsidRPr="00C63B8B">
        <w:t>хологической травмы или других серьезных последствий в, если судебное зас</w:t>
      </w:r>
      <w:r w:rsidRPr="00C63B8B">
        <w:t>е</w:t>
      </w:r>
      <w:r w:rsidRPr="00C63B8B">
        <w:t>дание будет открытым. Проект также предусматривает специальную процедуру проведения допроса для тех случаев, когда потерпевший может пострадать от психологической травмы или других серьезных последствий в результате д</w:t>
      </w:r>
      <w:r w:rsidRPr="00C63B8B">
        <w:t>о</w:t>
      </w:r>
      <w:r w:rsidRPr="00C63B8B">
        <w:t>проса; эту процедуру предлагается применять как в ходе досудебного прои</w:t>
      </w:r>
      <w:r w:rsidRPr="00C63B8B">
        <w:t>з</w:t>
      </w:r>
      <w:r w:rsidRPr="00C63B8B">
        <w:t>водства, так и непосредственно в ходе судебного разбирательства. В ходе дос</w:t>
      </w:r>
      <w:r w:rsidRPr="00C63B8B">
        <w:t>у</w:t>
      </w:r>
      <w:r w:rsidRPr="00C63B8B">
        <w:t>дебного производства было предложено применять в отношении лиц, которые потенциально могут пострадать от психологической травмы или других серье</w:t>
      </w:r>
      <w:r w:rsidRPr="00C63B8B">
        <w:t>з</w:t>
      </w:r>
      <w:r w:rsidRPr="00C63B8B">
        <w:t>ных последствий, те же правила, которые применяются в ходе допросов нес</w:t>
      </w:r>
      <w:r w:rsidRPr="00C63B8B">
        <w:t>о</w:t>
      </w:r>
      <w:r w:rsidRPr="00C63B8B">
        <w:t>вершеннолетних свидетелей и потерпевших. Проект предусматривает, что с</w:t>
      </w:r>
      <w:r w:rsidRPr="00C63B8B">
        <w:t>у</w:t>
      </w:r>
      <w:r w:rsidRPr="00C63B8B">
        <w:t>дья, ведущий досудебное производство, имеет право допрашивать таких лиц не более одного раза, что может вестись аудио- и видеозапись таких допросов, что они могут приглашаться для участия в судебных заседаниях лишь в исключ</w:t>
      </w:r>
      <w:r w:rsidRPr="00C63B8B">
        <w:t>и</w:t>
      </w:r>
      <w:r w:rsidRPr="00C63B8B">
        <w:t>тельных случаях и т.д. С учетом предлагаемых поправок к правилам, регламе</w:t>
      </w:r>
      <w:r w:rsidRPr="00C63B8B">
        <w:t>н</w:t>
      </w:r>
      <w:r w:rsidRPr="00C63B8B">
        <w:t>тирующим проведение досудебных допросов, было предложено внести соо</w:t>
      </w:r>
      <w:r w:rsidRPr="00C63B8B">
        <w:t>т</w:t>
      </w:r>
      <w:r w:rsidRPr="00C63B8B">
        <w:t>ветствующие изменения и в правила проведения судебных слушаний; в частн</w:t>
      </w:r>
      <w:r w:rsidRPr="00C63B8B">
        <w:t>о</w:t>
      </w:r>
      <w:r w:rsidRPr="00C63B8B">
        <w:t>сти, для тех случаев, когда потерпевший может пострадать от психологической травмы или других серьезных последствий из-за проведения допроса в суде, была предусмотрена возможность зачитывать в ходе судебного заседания пок</w:t>
      </w:r>
      <w:r w:rsidRPr="00C63B8B">
        <w:t>а</w:t>
      </w:r>
      <w:r w:rsidRPr="00C63B8B">
        <w:t>зания потерпевшего судье, ведущему предварительное следствие. Кроме того, в отношении потерпевших, которые могут пострадать от психологической тра</w:t>
      </w:r>
      <w:r w:rsidRPr="00C63B8B">
        <w:t>в</w:t>
      </w:r>
      <w:r w:rsidRPr="00C63B8B">
        <w:t>мы или других серьезных последствий из-за проведения допроса, должны пр</w:t>
      </w:r>
      <w:r w:rsidRPr="00C63B8B">
        <w:t>и</w:t>
      </w:r>
      <w:r w:rsidRPr="00C63B8B">
        <w:t xml:space="preserve">меняться те же правила дачи показаний, что и к потерпевшим, не достигшим совершеннолетия. </w:t>
      </w:r>
    </w:p>
    <w:p w:rsidR="008F52F9" w:rsidRPr="00C63B8B" w:rsidRDefault="008F52F9" w:rsidP="008F52F9">
      <w:pPr>
        <w:pStyle w:val="SingleTxtGR"/>
      </w:pPr>
      <w:r w:rsidRPr="00C63B8B">
        <w:t>77.</w:t>
      </w:r>
      <w:r w:rsidRPr="00C63B8B">
        <w:tab/>
        <w:t>Усилия сотрудников правоохранительных органов и неправительстве</w:t>
      </w:r>
      <w:r w:rsidRPr="00C63B8B">
        <w:t>н</w:t>
      </w:r>
      <w:r w:rsidRPr="00C63B8B">
        <w:t>ных организаций, направленные на борьбу с этим негативным явлением, пр</w:t>
      </w:r>
      <w:r w:rsidRPr="00C63B8B">
        <w:t>и</w:t>
      </w:r>
      <w:r w:rsidRPr="00C63B8B">
        <w:t>несли эффективные результаты, в особенности в том, что касается профилакт</w:t>
      </w:r>
      <w:r w:rsidRPr="00C63B8B">
        <w:t>и</w:t>
      </w:r>
      <w:r w:rsidRPr="00C63B8B">
        <w:t>ческой работы; преступники либо уже осуждены, либо по совершенным ими правонарушениям ведется следствие.</w:t>
      </w:r>
    </w:p>
    <w:p w:rsidR="008F52F9" w:rsidRPr="00C63B8B" w:rsidRDefault="008F52F9" w:rsidP="008F52F9">
      <w:pPr>
        <w:pStyle w:val="H23GR"/>
      </w:pPr>
      <w:r w:rsidRPr="00C63B8B">
        <w:tab/>
      </w:r>
      <w:r w:rsidRPr="00C63B8B">
        <w:tab/>
        <w:t>Число возбужденных досудебных производств и идентифицированных подозреваемых по статьям 147 ("Торговля людьми"), 1471 ("Эксплуатация принудительного труда и услуг") и 157 ("Покупка или продажа ребенка") Уголовного кодекса</w:t>
      </w:r>
    </w:p>
    <w:tbl>
      <w:tblPr>
        <w:tblStyle w:val="TabNum"/>
        <w:tblW w:w="7370" w:type="dxa"/>
        <w:tblInd w:w="1134" w:type="dxa"/>
        <w:tblLayout w:type="fixed"/>
        <w:tblLook w:val="01E0"/>
      </w:tblPr>
      <w:tblGrid>
        <w:gridCol w:w="2010"/>
        <w:gridCol w:w="1340"/>
        <w:gridCol w:w="1340"/>
        <w:gridCol w:w="1340"/>
        <w:gridCol w:w="1340"/>
      </w:tblGrid>
      <w:tr w:rsidR="008F52F9" w:rsidRPr="00C63B8B" w:rsidTr="008F52F9">
        <w:trPr>
          <w:tblHeader/>
        </w:trPr>
        <w:tc>
          <w:tcPr>
            <w:cnfStyle w:val="001000000000"/>
            <w:tcW w:w="2011" w:type="dxa"/>
            <w:tcBorders>
              <w:bottom w:val="single" w:sz="12" w:space="0" w:color="auto"/>
            </w:tcBorders>
            <w:shd w:val="clear" w:color="auto" w:fill="auto"/>
          </w:tcPr>
          <w:p w:rsidR="008F52F9" w:rsidRPr="00C63B8B" w:rsidRDefault="008F52F9" w:rsidP="008F52F9">
            <w:pPr>
              <w:spacing w:before="80" w:after="80" w:line="200" w:lineRule="exact"/>
              <w:rPr>
                <w:i/>
                <w:sz w:val="16"/>
              </w:rPr>
            </w:pPr>
          </w:p>
        </w:tc>
        <w:tc>
          <w:tcPr>
            <w:tcW w:w="1340"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2009 </w:t>
            </w:r>
          </w:p>
        </w:tc>
        <w:tc>
          <w:tcPr>
            <w:tcW w:w="1340"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2010 </w:t>
            </w:r>
          </w:p>
        </w:tc>
        <w:tc>
          <w:tcPr>
            <w:tcW w:w="1340"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2011 </w:t>
            </w:r>
          </w:p>
        </w:tc>
        <w:tc>
          <w:tcPr>
            <w:tcW w:w="1340"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2012 </w:t>
            </w:r>
          </w:p>
        </w:tc>
      </w:tr>
      <w:tr w:rsidR="008F52F9" w:rsidRPr="00C63B8B" w:rsidTr="008F52F9">
        <w:tc>
          <w:tcPr>
            <w:cnfStyle w:val="001000000000"/>
            <w:tcW w:w="2011" w:type="dxa"/>
            <w:tcBorders>
              <w:top w:val="single" w:sz="12" w:space="0" w:color="auto"/>
            </w:tcBorders>
          </w:tcPr>
          <w:p w:rsidR="008F52F9" w:rsidRPr="00C63B8B" w:rsidRDefault="008F52F9" w:rsidP="008F52F9">
            <w:r w:rsidRPr="00C63B8B">
              <w:t>Досудебные расслед</w:t>
            </w:r>
            <w:r w:rsidRPr="00C63B8B">
              <w:t>о</w:t>
            </w:r>
            <w:r w:rsidRPr="00C63B8B">
              <w:t>вания</w:t>
            </w:r>
          </w:p>
        </w:tc>
        <w:tc>
          <w:tcPr>
            <w:tcW w:w="1340" w:type="dxa"/>
            <w:tcBorders>
              <w:top w:val="single" w:sz="12" w:space="0" w:color="auto"/>
            </w:tcBorders>
          </w:tcPr>
          <w:p w:rsidR="008F52F9" w:rsidRPr="00C63B8B" w:rsidRDefault="008F52F9" w:rsidP="008F52F9">
            <w:pPr>
              <w:cnfStyle w:val="000000000000"/>
            </w:pPr>
            <w:r w:rsidRPr="00C63B8B">
              <w:t>12</w:t>
            </w:r>
          </w:p>
        </w:tc>
        <w:tc>
          <w:tcPr>
            <w:tcW w:w="1340" w:type="dxa"/>
            <w:tcBorders>
              <w:top w:val="single" w:sz="12" w:space="0" w:color="auto"/>
            </w:tcBorders>
          </w:tcPr>
          <w:p w:rsidR="008F52F9" w:rsidRPr="00C63B8B" w:rsidRDefault="008F52F9" w:rsidP="008F52F9">
            <w:pPr>
              <w:cnfStyle w:val="000000000000"/>
            </w:pPr>
            <w:r w:rsidRPr="00C63B8B">
              <w:t>8</w:t>
            </w:r>
          </w:p>
        </w:tc>
        <w:tc>
          <w:tcPr>
            <w:tcW w:w="1340" w:type="dxa"/>
            <w:tcBorders>
              <w:top w:val="single" w:sz="12" w:space="0" w:color="auto"/>
            </w:tcBorders>
          </w:tcPr>
          <w:p w:rsidR="008F52F9" w:rsidRPr="00C63B8B" w:rsidRDefault="008F52F9" w:rsidP="008F52F9">
            <w:pPr>
              <w:cnfStyle w:val="000000000000"/>
            </w:pPr>
            <w:r w:rsidRPr="00C63B8B">
              <w:t>21</w:t>
            </w:r>
          </w:p>
        </w:tc>
        <w:tc>
          <w:tcPr>
            <w:tcW w:w="1340" w:type="dxa"/>
            <w:tcBorders>
              <w:top w:val="single" w:sz="12" w:space="0" w:color="auto"/>
            </w:tcBorders>
          </w:tcPr>
          <w:p w:rsidR="008F52F9" w:rsidRPr="00C63B8B" w:rsidRDefault="008F52F9" w:rsidP="008F52F9">
            <w:pPr>
              <w:cnfStyle w:val="000000000000"/>
            </w:pPr>
            <w:r w:rsidRPr="00C63B8B">
              <w:t>11</w:t>
            </w:r>
          </w:p>
        </w:tc>
      </w:tr>
      <w:tr w:rsidR="008F52F9" w:rsidRPr="00C63B8B" w:rsidTr="008F52F9">
        <w:tc>
          <w:tcPr>
            <w:cnfStyle w:val="001000000000"/>
            <w:tcW w:w="2011" w:type="dxa"/>
          </w:tcPr>
          <w:p w:rsidR="008F52F9" w:rsidRPr="00C63B8B" w:rsidRDefault="008F52F9" w:rsidP="008F52F9">
            <w:r w:rsidRPr="00C63B8B">
              <w:t xml:space="preserve">Подозреваемые </w:t>
            </w:r>
          </w:p>
        </w:tc>
        <w:tc>
          <w:tcPr>
            <w:tcW w:w="1340" w:type="dxa"/>
          </w:tcPr>
          <w:p w:rsidR="008F52F9" w:rsidRPr="00C63B8B" w:rsidRDefault="008F52F9" w:rsidP="008F52F9">
            <w:pPr>
              <w:cnfStyle w:val="000000000000"/>
            </w:pPr>
            <w:r w:rsidRPr="00C63B8B">
              <w:t>21</w:t>
            </w:r>
          </w:p>
        </w:tc>
        <w:tc>
          <w:tcPr>
            <w:tcW w:w="1340" w:type="dxa"/>
          </w:tcPr>
          <w:p w:rsidR="008F52F9" w:rsidRPr="00C63B8B" w:rsidRDefault="008F52F9" w:rsidP="008F52F9">
            <w:pPr>
              <w:cnfStyle w:val="000000000000"/>
            </w:pPr>
            <w:r w:rsidRPr="00C63B8B">
              <w:t>16</w:t>
            </w:r>
          </w:p>
        </w:tc>
        <w:tc>
          <w:tcPr>
            <w:tcW w:w="1340" w:type="dxa"/>
          </w:tcPr>
          <w:p w:rsidR="008F52F9" w:rsidRPr="00C63B8B" w:rsidRDefault="008F52F9" w:rsidP="008F52F9">
            <w:pPr>
              <w:cnfStyle w:val="000000000000"/>
            </w:pPr>
            <w:r w:rsidRPr="00C63B8B">
              <w:t>37</w:t>
            </w:r>
          </w:p>
        </w:tc>
        <w:tc>
          <w:tcPr>
            <w:tcW w:w="1340" w:type="dxa"/>
          </w:tcPr>
          <w:p w:rsidR="008F52F9" w:rsidRPr="00C63B8B" w:rsidRDefault="008F52F9" w:rsidP="008F52F9">
            <w:pPr>
              <w:cnfStyle w:val="000000000000"/>
            </w:pPr>
            <w:r w:rsidRPr="00C63B8B">
              <w:t>25</w:t>
            </w:r>
          </w:p>
        </w:tc>
      </w:tr>
    </w:tbl>
    <w:p w:rsidR="008F52F9" w:rsidRPr="00C63B8B" w:rsidRDefault="008F52F9" w:rsidP="008F52F9">
      <w:pPr>
        <w:pStyle w:val="SingleTxtGR"/>
        <w:spacing w:before="120" w:line="220" w:lineRule="exact"/>
        <w:ind w:firstLine="170"/>
        <w:rPr>
          <w:sz w:val="18"/>
          <w:szCs w:val="18"/>
        </w:rPr>
      </w:pPr>
      <w:r w:rsidRPr="00C63B8B">
        <w:rPr>
          <w:i/>
          <w:sz w:val="18"/>
          <w:szCs w:val="18"/>
        </w:rPr>
        <w:t>Источник</w:t>
      </w:r>
      <w:r w:rsidRPr="00C63B8B">
        <w:rPr>
          <w:sz w:val="18"/>
          <w:szCs w:val="18"/>
        </w:rPr>
        <w:t>: Управление криминальной полиции Литвы.</w:t>
      </w:r>
    </w:p>
    <w:p w:rsidR="008F52F9" w:rsidRPr="00C63B8B" w:rsidRDefault="008F52F9" w:rsidP="008F52F9">
      <w:pPr>
        <w:pStyle w:val="H23GR"/>
      </w:pPr>
      <w:r w:rsidRPr="00C63B8B">
        <w:tab/>
      </w:r>
      <w:r w:rsidRPr="00C63B8B">
        <w:tab/>
        <w:t>Рассмотрение судами первой инстанции уголовных дел по статьям 147 ("Торговля людьми"), 1471 ("Эксплуатация принудительного труда и услуг") и 157 ("Покупка или продажа ребенка") Уголовного кодекса</w:t>
      </w:r>
    </w:p>
    <w:tbl>
      <w:tblPr>
        <w:tblStyle w:val="TabNum"/>
        <w:tblW w:w="7370" w:type="dxa"/>
        <w:tblInd w:w="1134" w:type="dxa"/>
        <w:tblLook w:val="01E0"/>
      </w:tblPr>
      <w:tblGrid>
        <w:gridCol w:w="4502"/>
        <w:gridCol w:w="717"/>
        <w:gridCol w:w="718"/>
        <w:gridCol w:w="715"/>
        <w:gridCol w:w="718"/>
      </w:tblGrid>
      <w:tr w:rsidR="008F52F9" w:rsidRPr="00C63B8B" w:rsidTr="008F52F9">
        <w:trPr>
          <w:trHeight w:val="240"/>
          <w:tblHeader/>
        </w:trPr>
        <w:tc>
          <w:tcPr>
            <w:cnfStyle w:val="001000000000"/>
            <w:tcW w:w="4502" w:type="dxa"/>
            <w:tcBorders>
              <w:bottom w:val="single" w:sz="12" w:space="0" w:color="auto"/>
            </w:tcBorders>
            <w:shd w:val="clear" w:color="auto" w:fill="auto"/>
          </w:tcPr>
          <w:p w:rsidR="008F52F9" w:rsidRPr="00C63B8B" w:rsidRDefault="008F52F9" w:rsidP="008F52F9">
            <w:pPr>
              <w:spacing w:before="80" w:after="80" w:line="200" w:lineRule="exact"/>
              <w:rPr>
                <w:i/>
                <w:sz w:val="16"/>
              </w:rPr>
            </w:pPr>
          </w:p>
        </w:tc>
        <w:tc>
          <w:tcPr>
            <w:tcW w:w="717"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2009 </w:t>
            </w:r>
          </w:p>
        </w:tc>
        <w:tc>
          <w:tcPr>
            <w:tcW w:w="718"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2010 </w:t>
            </w:r>
          </w:p>
        </w:tc>
        <w:tc>
          <w:tcPr>
            <w:tcW w:w="715"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2011 </w:t>
            </w:r>
          </w:p>
        </w:tc>
        <w:tc>
          <w:tcPr>
            <w:tcW w:w="718"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2012 </w:t>
            </w:r>
          </w:p>
        </w:tc>
      </w:tr>
      <w:tr w:rsidR="008F52F9" w:rsidRPr="00C63B8B" w:rsidTr="008F52F9">
        <w:trPr>
          <w:trHeight w:val="240"/>
        </w:trPr>
        <w:tc>
          <w:tcPr>
            <w:cnfStyle w:val="001000000000"/>
            <w:tcW w:w="4502" w:type="dxa"/>
            <w:tcBorders>
              <w:top w:val="single" w:sz="12" w:space="0" w:color="auto"/>
            </w:tcBorders>
          </w:tcPr>
          <w:p w:rsidR="008F52F9" w:rsidRPr="00C63B8B" w:rsidRDefault="008F52F9" w:rsidP="008F52F9">
            <w:r w:rsidRPr="00C63B8B">
              <w:t>Рассматриваемые дела по состоянию на начало о</w:t>
            </w:r>
            <w:r w:rsidRPr="00C63B8B">
              <w:t>т</w:t>
            </w:r>
            <w:r w:rsidRPr="00C63B8B">
              <w:t>четного периода</w:t>
            </w:r>
          </w:p>
        </w:tc>
        <w:tc>
          <w:tcPr>
            <w:tcW w:w="717" w:type="dxa"/>
            <w:tcBorders>
              <w:top w:val="single" w:sz="12" w:space="0" w:color="auto"/>
            </w:tcBorders>
          </w:tcPr>
          <w:p w:rsidR="008F52F9" w:rsidRPr="00C63B8B" w:rsidRDefault="008F52F9" w:rsidP="008F52F9">
            <w:pPr>
              <w:cnfStyle w:val="000000000000"/>
            </w:pPr>
            <w:r w:rsidRPr="00C63B8B">
              <w:t>12</w:t>
            </w:r>
          </w:p>
        </w:tc>
        <w:tc>
          <w:tcPr>
            <w:tcW w:w="718" w:type="dxa"/>
            <w:tcBorders>
              <w:top w:val="single" w:sz="12" w:space="0" w:color="auto"/>
            </w:tcBorders>
          </w:tcPr>
          <w:p w:rsidR="008F52F9" w:rsidRPr="00C63B8B" w:rsidRDefault="008F52F9" w:rsidP="008F52F9">
            <w:pPr>
              <w:cnfStyle w:val="000000000000"/>
            </w:pPr>
            <w:r w:rsidRPr="00C63B8B">
              <w:t>12</w:t>
            </w:r>
          </w:p>
        </w:tc>
        <w:tc>
          <w:tcPr>
            <w:tcW w:w="715" w:type="dxa"/>
            <w:tcBorders>
              <w:top w:val="single" w:sz="12" w:space="0" w:color="auto"/>
            </w:tcBorders>
          </w:tcPr>
          <w:p w:rsidR="008F52F9" w:rsidRPr="00C63B8B" w:rsidRDefault="008F52F9" w:rsidP="008F52F9">
            <w:pPr>
              <w:cnfStyle w:val="000000000000"/>
            </w:pPr>
            <w:r w:rsidRPr="00C63B8B">
              <w:t>7</w:t>
            </w:r>
          </w:p>
        </w:tc>
        <w:tc>
          <w:tcPr>
            <w:tcW w:w="718" w:type="dxa"/>
            <w:tcBorders>
              <w:top w:val="single" w:sz="12" w:space="0" w:color="auto"/>
            </w:tcBorders>
          </w:tcPr>
          <w:p w:rsidR="008F52F9" w:rsidRPr="00C63B8B" w:rsidRDefault="008F52F9" w:rsidP="008F52F9">
            <w:pPr>
              <w:cnfStyle w:val="000000000000"/>
            </w:pPr>
            <w:r w:rsidRPr="00C63B8B">
              <w:t>11</w:t>
            </w:r>
          </w:p>
        </w:tc>
      </w:tr>
      <w:tr w:rsidR="008F52F9" w:rsidRPr="00C63B8B" w:rsidTr="008F52F9">
        <w:trPr>
          <w:trHeight w:val="240"/>
        </w:trPr>
        <w:tc>
          <w:tcPr>
            <w:cnfStyle w:val="001000000000"/>
            <w:tcW w:w="4502" w:type="dxa"/>
          </w:tcPr>
          <w:p w:rsidR="008F52F9" w:rsidRPr="00C63B8B" w:rsidRDefault="008F52F9" w:rsidP="008F52F9">
            <w:r w:rsidRPr="00C63B8B">
              <w:t>Дела, принятые к рассмотрению</w:t>
            </w:r>
          </w:p>
        </w:tc>
        <w:tc>
          <w:tcPr>
            <w:tcW w:w="717" w:type="dxa"/>
          </w:tcPr>
          <w:p w:rsidR="008F52F9" w:rsidRPr="00C63B8B" w:rsidRDefault="008F52F9" w:rsidP="008F52F9">
            <w:pPr>
              <w:cnfStyle w:val="000000000000"/>
            </w:pPr>
            <w:r w:rsidRPr="00C63B8B">
              <w:t>8</w:t>
            </w:r>
          </w:p>
        </w:tc>
        <w:tc>
          <w:tcPr>
            <w:tcW w:w="718" w:type="dxa"/>
          </w:tcPr>
          <w:p w:rsidR="008F52F9" w:rsidRPr="00C63B8B" w:rsidRDefault="008F52F9" w:rsidP="008F52F9">
            <w:pPr>
              <w:cnfStyle w:val="000000000000"/>
            </w:pPr>
            <w:r w:rsidRPr="00C63B8B">
              <w:t>4</w:t>
            </w:r>
          </w:p>
        </w:tc>
        <w:tc>
          <w:tcPr>
            <w:tcW w:w="715" w:type="dxa"/>
          </w:tcPr>
          <w:p w:rsidR="008F52F9" w:rsidRPr="00C63B8B" w:rsidRDefault="008F52F9" w:rsidP="008F52F9">
            <w:pPr>
              <w:cnfStyle w:val="000000000000"/>
            </w:pPr>
            <w:r w:rsidRPr="00C63B8B">
              <w:t>12</w:t>
            </w:r>
          </w:p>
        </w:tc>
        <w:tc>
          <w:tcPr>
            <w:tcW w:w="718" w:type="dxa"/>
          </w:tcPr>
          <w:p w:rsidR="008F52F9" w:rsidRPr="00C63B8B" w:rsidRDefault="008F52F9" w:rsidP="008F52F9">
            <w:pPr>
              <w:cnfStyle w:val="000000000000"/>
            </w:pPr>
            <w:r w:rsidRPr="00C63B8B">
              <w:t>10</w:t>
            </w:r>
          </w:p>
        </w:tc>
      </w:tr>
      <w:tr w:rsidR="008F52F9" w:rsidRPr="00C63B8B" w:rsidTr="008F52F9">
        <w:trPr>
          <w:trHeight w:val="240"/>
        </w:trPr>
        <w:tc>
          <w:tcPr>
            <w:cnfStyle w:val="001000000000"/>
            <w:tcW w:w="4502" w:type="dxa"/>
          </w:tcPr>
          <w:p w:rsidR="008F52F9" w:rsidRPr="00C63B8B" w:rsidRDefault="008F52F9" w:rsidP="008F52F9">
            <w:r w:rsidRPr="00C63B8B">
              <w:t>Дела, рассмотрение которых было завершено</w:t>
            </w:r>
          </w:p>
        </w:tc>
        <w:tc>
          <w:tcPr>
            <w:tcW w:w="717" w:type="dxa"/>
          </w:tcPr>
          <w:p w:rsidR="008F52F9" w:rsidRPr="00C63B8B" w:rsidRDefault="008F52F9" w:rsidP="008F52F9">
            <w:pPr>
              <w:cnfStyle w:val="000000000000"/>
            </w:pPr>
            <w:r w:rsidRPr="00C63B8B">
              <w:t>8</w:t>
            </w:r>
          </w:p>
        </w:tc>
        <w:tc>
          <w:tcPr>
            <w:tcW w:w="718" w:type="dxa"/>
          </w:tcPr>
          <w:p w:rsidR="008F52F9" w:rsidRPr="00C63B8B" w:rsidRDefault="008F52F9" w:rsidP="008F52F9">
            <w:pPr>
              <w:cnfStyle w:val="000000000000"/>
            </w:pPr>
            <w:r w:rsidRPr="00C63B8B">
              <w:t>9</w:t>
            </w:r>
          </w:p>
        </w:tc>
        <w:tc>
          <w:tcPr>
            <w:tcW w:w="715" w:type="dxa"/>
          </w:tcPr>
          <w:p w:rsidR="008F52F9" w:rsidRPr="00C63B8B" w:rsidRDefault="008F52F9" w:rsidP="008F52F9">
            <w:pPr>
              <w:cnfStyle w:val="000000000000"/>
            </w:pPr>
            <w:r w:rsidRPr="00C63B8B">
              <w:t>8</w:t>
            </w:r>
          </w:p>
        </w:tc>
        <w:tc>
          <w:tcPr>
            <w:tcW w:w="718" w:type="dxa"/>
          </w:tcPr>
          <w:p w:rsidR="008F52F9" w:rsidRPr="00C63B8B" w:rsidRDefault="008F52F9" w:rsidP="008F52F9">
            <w:pPr>
              <w:cnfStyle w:val="000000000000"/>
            </w:pPr>
            <w:r w:rsidRPr="00C63B8B">
              <w:t>4</w:t>
            </w:r>
          </w:p>
        </w:tc>
      </w:tr>
      <w:tr w:rsidR="008F52F9" w:rsidRPr="00C63B8B" w:rsidTr="008F52F9">
        <w:trPr>
          <w:trHeight w:val="240"/>
        </w:trPr>
        <w:tc>
          <w:tcPr>
            <w:cnfStyle w:val="001000000000"/>
            <w:tcW w:w="4502" w:type="dxa"/>
          </w:tcPr>
          <w:p w:rsidR="008F52F9" w:rsidRPr="00C63B8B" w:rsidRDefault="008F52F9" w:rsidP="008F52F9">
            <w:r w:rsidRPr="00C63B8B">
              <w:t>Рассматриваемые дела по состоянию на конец отче</w:t>
            </w:r>
            <w:r w:rsidRPr="00C63B8B">
              <w:t>т</w:t>
            </w:r>
            <w:r w:rsidRPr="00C63B8B">
              <w:t>ного периода</w:t>
            </w:r>
          </w:p>
        </w:tc>
        <w:tc>
          <w:tcPr>
            <w:tcW w:w="717" w:type="dxa"/>
          </w:tcPr>
          <w:p w:rsidR="008F52F9" w:rsidRPr="00C63B8B" w:rsidRDefault="008F52F9" w:rsidP="008F52F9">
            <w:pPr>
              <w:cnfStyle w:val="000000000000"/>
            </w:pPr>
            <w:r w:rsidRPr="00C63B8B">
              <w:t>12</w:t>
            </w:r>
          </w:p>
        </w:tc>
        <w:tc>
          <w:tcPr>
            <w:tcW w:w="718" w:type="dxa"/>
          </w:tcPr>
          <w:p w:rsidR="008F52F9" w:rsidRPr="00C63B8B" w:rsidRDefault="008F52F9" w:rsidP="008F52F9">
            <w:pPr>
              <w:cnfStyle w:val="000000000000"/>
            </w:pPr>
            <w:r w:rsidRPr="00C63B8B">
              <w:t>7</w:t>
            </w:r>
          </w:p>
        </w:tc>
        <w:tc>
          <w:tcPr>
            <w:tcW w:w="715" w:type="dxa"/>
          </w:tcPr>
          <w:p w:rsidR="008F52F9" w:rsidRPr="00C63B8B" w:rsidRDefault="008F52F9" w:rsidP="008F52F9">
            <w:pPr>
              <w:cnfStyle w:val="000000000000"/>
            </w:pPr>
            <w:r w:rsidRPr="00C63B8B">
              <w:t>11</w:t>
            </w:r>
          </w:p>
        </w:tc>
        <w:tc>
          <w:tcPr>
            <w:tcW w:w="718" w:type="dxa"/>
          </w:tcPr>
          <w:p w:rsidR="008F52F9" w:rsidRPr="00C63B8B" w:rsidRDefault="008F52F9" w:rsidP="008F52F9">
            <w:pPr>
              <w:cnfStyle w:val="000000000000"/>
            </w:pPr>
            <w:r w:rsidRPr="00C63B8B">
              <w:t>17</w:t>
            </w:r>
          </w:p>
        </w:tc>
      </w:tr>
    </w:tbl>
    <w:p w:rsidR="008F52F9" w:rsidRPr="00C63B8B" w:rsidRDefault="008F52F9" w:rsidP="008F52F9">
      <w:pPr>
        <w:pStyle w:val="SingleTxtGR"/>
        <w:spacing w:before="120" w:line="220" w:lineRule="exact"/>
        <w:ind w:firstLine="170"/>
        <w:rPr>
          <w:sz w:val="18"/>
          <w:szCs w:val="18"/>
        </w:rPr>
      </w:pPr>
      <w:r w:rsidRPr="00C63B8B">
        <w:rPr>
          <w:i/>
          <w:sz w:val="18"/>
          <w:szCs w:val="18"/>
        </w:rPr>
        <w:t>Источник</w:t>
      </w:r>
      <w:r w:rsidRPr="00C63B8B">
        <w:rPr>
          <w:sz w:val="18"/>
          <w:szCs w:val="18"/>
        </w:rPr>
        <w:t>: Национальная судебная администрация.</w:t>
      </w:r>
    </w:p>
    <w:p w:rsidR="008F52F9" w:rsidRPr="00C63B8B" w:rsidRDefault="008F52F9" w:rsidP="008F52F9">
      <w:pPr>
        <w:pStyle w:val="SingleTxtGR"/>
      </w:pPr>
      <w:r w:rsidRPr="00C63B8B">
        <w:t>78.</w:t>
      </w:r>
      <w:r w:rsidRPr="00C63B8B">
        <w:tab/>
        <w:t>Приказом от 14 апреля 2011 года командующий Государственной погр</w:t>
      </w:r>
      <w:r w:rsidRPr="00C63B8B">
        <w:t>а</w:t>
      </w:r>
      <w:r w:rsidRPr="00C63B8B">
        <w:t>ничной службой Министерства внутренних дел утвердил методологические р</w:t>
      </w:r>
      <w:r w:rsidRPr="00C63B8B">
        <w:t>е</w:t>
      </w:r>
      <w:r w:rsidRPr="00C63B8B">
        <w:t>комендации по раннему предупреждению незаконного вывоза детей в зарубе</w:t>
      </w:r>
      <w:r w:rsidRPr="00C63B8B">
        <w:t>ж</w:t>
      </w:r>
      <w:r w:rsidRPr="00C63B8B">
        <w:t>ные страны, расположенные за пределами Шенгенской зоны, для продажи или иных целей. Эти рекомендации были включены в программы профессионал</w:t>
      </w:r>
      <w:r w:rsidRPr="00C63B8B">
        <w:t>ь</w:t>
      </w:r>
      <w:r w:rsidRPr="00C63B8B">
        <w:t>ной подготовки пограничников.</w:t>
      </w:r>
    </w:p>
    <w:p w:rsidR="008F52F9" w:rsidRPr="00C63B8B" w:rsidRDefault="008F52F9" w:rsidP="008F52F9">
      <w:pPr>
        <w:pStyle w:val="SingleTxtGR"/>
      </w:pPr>
      <w:r w:rsidRPr="00C63B8B">
        <w:t>79.</w:t>
      </w:r>
      <w:r w:rsidRPr="00C63B8B">
        <w:tab/>
        <w:t>Приказом Генерального комиссара Полиции Литвы от 8 ноября 2011 года была утверждена учебная программа "Профилактика и расследование случаев торговли людьми", основанная на Общем учебном плане по вопросам торговли людьми Европейского полицейского колледжа. Программа преследует цель снабдить сотрудников государственной полиции информацией о таком явлении, как торговля людьми, ее формах, конкретных аспектах расследования соотве</w:t>
      </w:r>
      <w:r w:rsidRPr="00C63B8B">
        <w:t>т</w:t>
      </w:r>
      <w:r w:rsidRPr="00C63B8B">
        <w:t>ствующих правонарушений и возможностях их профилактики, сформировать у них практические навыки, необходимые для ведения деятельности по расслед</w:t>
      </w:r>
      <w:r w:rsidRPr="00C63B8B">
        <w:t>о</w:t>
      </w:r>
      <w:r w:rsidRPr="00C63B8B">
        <w:t>ванию и предотвращению торговли людьми, а также способность сотрудничать с региональными и международными учреждениями в плане расследования и профилактики случаев торговли людьми. Программа предусматривает провед</w:t>
      </w:r>
      <w:r w:rsidRPr="00C63B8B">
        <w:t>е</w:t>
      </w:r>
      <w:r w:rsidRPr="00C63B8B">
        <w:t>ние занятий общей продолжительностью в 16 академических часов. В 2011 году по этой программе прошли курс подготовки 26 сотрудников, в 2012 году – 20 сотрудников, а в 2013 году – 17 сотрудников. Для прохождения курса обуч</w:t>
      </w:r>
      <w:r w:rsidRPr="00C63B8B">
        <w:t>е</w:t>
      </w:r>
      <w:r w:rsidRPr="00C63B8B">
        <w:t xml:space="preserve">ния были также приглашены сотрудники Государственной пограничной службы Министерства внутренних дел. </w:t>
      </w:r>
    </w:p>
    <w:p w:rsidR="008F52F9" w:rsidRPr="00C63B8B" w:rsidRDefault="008F52F9" w:rsidP="008F52F9">
      <w:pPr>
        <w:pStyle w:val="SingleTxtGR"/>
      </w:pPr>
      <w:r w:rsidRPr="00C63B8B">
        <w:t>80.</w:t>
      </w:r>
      <w:r w:rsidRPr="00C63B8B">
        <w:tab/>
        <w:t>В целях укрепления деятельности по предотвращению торговли людьми для принудительного труда в девяти странах Балтийского региона в 2012 году была начата реализация международного проекта "АДСТРИНГ" ("Борьба с то</w:t>
      </w:r>
      <w:r w:rsidRPr="00C63B8B">
        <w:t>р</w:t>
      </w:r>
      <w:r w:rsidRPr="00C63B8B">
        <w:t>говлей людьми в целях трудовой эксплуатации посредством укрепления с</w:t>
      </w:r>
      <w:r w:rsidRPr="00C63B8B">
        <w:t>о</w:t>
      </w:r>
      <w:r w:rsidRPr="00C63B8B">
        <w:t>трудничества, углубления диагностической деятельности и повышения инте</w:t>
      </w:r>
      <w:r w:rsidRPr="00C63B8B">
        <w:t>н</w:t>
      </w:r>
      <w:r w:rsidRPr="00C63B8B">
        <w:t>сивности организационной работы") продолжительностью в 24 месяца. Фина</w:t>
      </w:r>
      <w:r w:rsidRPr="00C63B8B">
        <w:t>н</w:t>
      </w:r>
      <w:r w:rsidRPr="00C63B8B">
        <w:t>сирование проекта осуществлялось Европейской комиссией (общий бюджет – 343 818 евро). В рамках проекта был выпущен видеофильм под названием "Не закрывайте глаза на торговлю людьми", который преследовал профилактич</w:t>
      </w:r>
      <w:r w:rsidRPr="00C63B8B">
        <w:t>е</w:t>
      </w:r>
      <w:r w:rsidRPr="00C63B8B">
        <w:t>ские и информационные цели. Кроме того, было проведено социологическое исследование в целях выяснения методов вовлечения участников в торговлю людьми в целях принудительного труда, а также изучения роли в этом процессе учреждений и работодателей в Литве, Эстонии, Швеции и Финляндии (резул</w:t>
      </w:r>
      <w:r w:rsidRPr="00C63B8B">
        <w:t>ь</w:t>
      </w:r>
      <w:r w:rsidRPr="00C63B8B">
        <w:t>таты исследования были изданы в виде специальной публикации). К весне 2014 года в рамках этого проекта будут разработаны рекомендации в целях пр</w:t>
      </w:r>
      <w:r w:rsidRPr="00C63B8B">
        <w:t>е</w:t>
      </w:r>
      <w:r w:rsidRPr="00C63B8B">
        <w:t>доставления физическим и юридическим лицам, занимающимся оказанием у</w:t>
      </w:r>
      <w:r w:rsidRPr="00C63B8B">
        <w:t>с</w:t>
      </w:r>
      <w:r w:rsidRPr="00C63B8B">
        <w:t>луг в сфере трудоустройства, а также работодателям информации относительно выявления и предотвращения случаев торговли людьми в целях принудительн</w:t>
      </w:r>
      <w:r w:rsidRPr="00C63B8B">
        <w:t>о</w:t>
      </w:r>
      <w:r w:rsidRPr="00C63B8B">
        <w:t>го труда, а также собственно принудительного труда; эти рекомендации также будут предоставлены в распоряжение международного сообщества.</w:t>
      </w:r>
    </w:p>
    <w:p w:rsidR="008F52F9" w:rsidRPr="00C63B8B" w:rsidRDefault="008F52F9" w:rsidP="008F52F9">
      <w:pPr>
        <w:pStyle w:val="SingleTxtGR"/>
      </w:pPr>
      <w:r w:rsidRPr="00C63B8B">
        <w:t>81.</w:t>
      </w:r>
      <w:r w:rsidRPr="00C63B8B">
        <w:tab/>
        <w:t>Семнадцатого октября 2013 года Министерство внутренних дел в сотру</w:t>
      </w:r>
      <w:r w:rsidRPr="00C63B8B">
        <w:t>д</w:t>
      </w:r>
      <w:r w:rsidRPr="00C63B8B">
        <w:t>ничестве с Комитетом Сейма по правовым вопросам, Европейским институтом по предупреждению преступности и борьбе с ней, аффилированным с Орган</w:t>
      </w:r>
      <w:r w:rsidRPr="00C63B8B">
        <w:t>и</w:t>
      </w:r>
      <w:r w:rsidRPr="00C63B8B">
        <w:t>зацией Объединенных Наций, Целевой группой Совета государств Балтийского моря по борьбе с торговлей людьми и Университетом Тарту организовало ко</w:t>
      </w:r>
      <w:r w:rsidRPr="00C63B8B">
        <w:t>н</w:t>
      </w:r>
      <w:r w:rsidRPr="00C63B8B">
        <w:t>ференцию под названием "АДСТРИНГО: борьба против торговли людьми в ц</w:t>
      </w:r>
      <w:r w:rsidRPr="00C63B8B">
        <w:t>е</w:t>
      </w:r>
      <w:r w:rsidRPr="00C63B8B">
        <w:t>лях принудительного труда на основе сотрудничества в деле совершенствов</w:t>
      </w:r>
      <w:r w:rsidRPr="00C63B8B">
        <w:t>а</w:t>
      </w:r>
      <w:r w:rsidRPr="00C63B8B">
        <w:t>ния процессов разработки и осуществления организационных мер", направле</w:t>
      </w:r>
      <w:r w:rsidRPr="00C63B8B">
        <w:t>н</w:t>
      </w:r>
      <w:r w:rsidRPr="00C63B8B">
        <w:t xml:space="preserve">ную на предотвращение торговли людьми в целях принудительного труда путем укрепления национальных и региональных механизмов сотрудничества, а также углубления понимания механизмов, позволяющих эксплуатировать мигрантов. </w:t>
      </w:r>
    </w:p>
    <w:p w:rsidR="008F52F9" w:rsidRPr="00C63B8B" w:rsidRDefault="008F52F9" w:rsidP="008F52F9">
      <w:pPr>
        <w:pStyle w:val="H1GR"/>
      </w:pPr>
      <w:r w:rsidRPr="00C63B8B">
        <w:tab/>
      </w:r>
      <w:r w:rsidRPr="00C63B8B">
        <w:tab/>
        <w:t>Пункт 21</w:t>
      </w:r>
    </w:p>
    <w:p w:rsidR="008F52F9" w:rsidRPr="00C63B8B" w:rsidRDefault="008F52F9" w:rsidP="008F52F9">
      <w:pPr>
        <w:pStyle w:val="SingleTxtGR"/>
        <w:keepNext/>
        <w:keepLines/>
        <w:rPr>
          <w:b/>
        </w:rPr>
      </w:pPr>
      <w:r w:rsidRPr="00C63B8B">
        <w:rPr>
          <w:b/>
        </w:rPr>
        <w:t>Комитет рекомендует государству-участнику выделять надлежащие ресу</w:t>
      </w:r>
      <w:r w:rsidRPr="00C63B8B">
        <w:rPr>
          <w:b/>
        </w:rPr>
        <w:t>р</w:t>
      </w:r>
      <w:r w:rsidRPr="00C63B8B">
        <w:rPr>
          <w:b/>
        </w:rPr>
        <w:t>сы на цели активизации информационно-просветительских и образов</w:t>
      </w:r>
      <w:r w:rsidRPr="00C63B8B">
        <w:rPr>
          <w:b/>
        </w:rPr>
        <w:t>а</w:t>
      </w:r>
      <w:r w:rsidRPr="00C63B8B">
        <w:rPr>
          <w:b/>
        </w:rPr>
        <w:t>тельных мероприятий в области прав человека с особым упором на борьбу против дискриминации, коммуникативную культуру и уважение принципа многообразия.</w:t>
      </w:r>
    </w:p>
    <w:p w:rsidR="008F52F9" w:rsidRPr="00C63B8B" w:rsidRDefault="008F52F9" w:rsidP="008F52F9">
      <w:pPr>
        <w:pStyle w:val="SingleTxtGR"/>
      </w:pPr>
      <w:r w:rsidRPr="00C63B8B">
        <w:t>82.</w:t>
      </w:r>
      <w:r w:rsidRPr="00C63B8B">
        <w:tab/>
        <w:t>В своем стремлении расширить информационно-просветительскую и о</w:t>
      </w:r>
      <w:r w:rsidRPr="00C63B8B">
        <w:t>б</w:t>
      </w:r>
      <w:r w:rsidRPr="00C63B8B">
        <w:t>разовательную работу в области прав человека Правительство финансирует деятельность неправительственных организаций, занимающихся вопросами прав человека, поддерживают молодежные организации, пропагандирующие толерантность, а также выделяет финансовые средства на подготовку информ</w:t>
      </w:r>
      <w:r w:rsidRPr="00C63B8B">
        <w:t>а</w:t>
      </w:r>
      <w:r w:rsidRPr="00C63B8B">
        <w:t>ционных передач, посвященных теме борьбы с дискриминацией. Ресурсы на финансирование этой деятельности выделяются в рамках программ, планов м</w:t>
      </w:r>
      <w:r w:rsidRPr="00C63B8B">
        <w:t>е</w:t>
      </w:r>
      <w:r w:rsidRPr="00C63B8B">
        <w:t>роприятий и других механизмов, утверждаемых Правительством. Кроме того, для этих целей используются средства, выделяемые Европейской комиссией и другими международными организациями в рамках различных программ, включая программу "ПРОГРЕСС" и программу Европейского фонда интегр</w:t>
      </w:r>
      <w:r w:rsidRPr="00C63B8B">
        <w:t>а</w:t>
      </w:r>
      <w:r w:rsidRPr="00C63B8B">
        <w:t>ции граждан третьих стран, утвержденную Европейской комиссией.</w:t>
      </w:r>
    </w:p>
    <w:p w:rsidR="008F52F9" w:rsidRPr="00C63B8B" w:rsidRDefault="008F52F9" w:rsidP="008F52F9">
      <w:pPr>
        <w:pStyle w:val="SingleTxtGR"/>
        <w:rPr>
          <w:b/>
        </w:rPr>
      </w:pPr>
      <w:r w:rsidRPr="00C63B8B">
        <w:rPr>
          <w:b/>
        </w:rPr>
        <w:t>Комитет призывает государство-участник ориентироваться в особенности на подготовку преподавателей и сотрудников правоохранительных орг</w:t>
      </w:r>
      <w:r w:rsidRPr="00C63B8B">
        <w:rPr>
          <w:b/>
        </w:rPr>
        <w:t>а</w:t>
      </w:r>
      <w:r w:rsidRPr="00C63B8B">
        <w:rPr>
          <w:b/>
        </w:rPr>
        <w:t>нов.</w:t>
      </w:r>
    </w:p>
    <w:p w:rsidR="008F52F9" w:rsidRPr="00C63B8B" w:rsidRDefault="008F52F9" w:rsidP="008F52F9">
      <w:pPr>
        <w:pStyle w:val="SingleTxtGR"/>
      </w:pPr>
      <w:r w:rsidRPr="00C63B8B">
        <w:t>83.</w:t>
      </w:r>
      <w:r w:rsidRPr="00C63B8B">
        <w:tab/>
        <w:t>Информация о профессиональной подготовке сотрудников правоохран</w:t>
      </w:r>
      <w:r w:rsidRPr="00C63B8B">
        <w:t>и</w:t>
      </w:r>
      <w:r w:rsidRPr="00C63B8B">
        <w:t>тельных органов приводится в пунктах 24−36.</w:t>
      </w:r>
    </w:p>
    <w:p w:rsidR="008F52F9" w:rsidRPr="00C63B8B" w:rsidRDefault="008F52F9" w:rsidP="008F52F9">
      <w:pPr>
        <w:pStyle w:val="SingleTxtGR"/>
      </w:pPr>
      <w:r w:rsidRPr="00C63B8B">
        <w:t>84.</w:t>
      </w:r>
      <w:r w:rsidRPr="00C63B8B">
        <w:tab/>
        <w:t>Информация о профессиональной подготовке преподавателей приводится в пунктах 199−200.</w:t>
      </w:r>
    </w:p>
    <w:p w:rsidR="008F52F9" w:rsidRPr="00C63B8B" w:rsidRDefault="008F52F9" w:rsidP="008F52F9">
      <w:pPr>
        <w:pStyle w:val="H1GR"/>
      </w:pPr>
      <w:r w:rsidRPr="00C63B8B">
        <w:tab/>
      </w:r>
      <w:r w:rsidRPr="00C63B8B">
        <w:tab/>
        <w:t>Пункт 22</w:t>
      </w:r>
    </w:p>
    <w:p w:rsidR="008F52F9" w:rsidRPr="00C63B8B" w:rsidRDefault="008F52F9" w:rsidP="008F52F9">
      <w:pPr>
        <w:pStyle w:val="SingleTxtGR"/>
        <w:rPr>
          <w:b/>
        </w:rPr>
      </w:pPr>
      <w:r w:rsidRPr="00C63B8B">
        <w:rPr>
          <w:b/>
        </w:rPr>
        <w:t>Комитет призывает государство-участник рассмотреть возможность рат</w:t>
      </w:r>
      <w:r w:rsidRPr="00C63B8B">
        <w:rPr>
          <w:b/>
        </w:rPr>
        <w:t>и</w:t>
      </w:r>
      <w:r w:rsidRPr="00C63B8B">
        <w:rPr>
          <w:b/>
        </w:rPr>
        <w:t>фикации тех договоров в области прав человека, которые еще не были им ратифицированы, и в частности договоров, положения которых имеют н</w:t>
      </w:r>
      <w:r w:rsidRPr="00C63B8B">
        <w:rPr>
          <w:b/>
        </w:rPr>
        <w:t>е</w:t>
      </w:r>
      <w:r w:rsidRPr="00C63B8B">
        <w:rPr>
          <w:b/>
        </w:rPr>
        <w:t>посредственное отношение к теме расовой дискриминации, включая Ме</w:t>
      </w:r>
      <w:r w:rsidRPr="00C63B8B">
        <w:rPr>
          <w:b/>
        </w:rPr>
        <w:t>ж</w:t>
      </w:r>
      <w:r w:rsidRPr="00C63B8B">
        <w:rPr>
          <w:b/>
        </w:rPr>
        <w:t>дународную конвенцию о защите прав всех трудящихся-мигрантов и чл</w:t>
      </w:r>
      <w:r w:rsidRPr="00C63B8B">
        <w:rPr>
          <w:b/>
        </w:rPr>
        <w:t>е</w:t>
      </w:r>
      <w:r w:rsidRPr="00C63B8B">
        <w:rPr>
          <w:b/>
        </w:rPr>
        <w:t>нов их семей (1990 год) и Конвенцию Организации Объединенных Наций по вопросам образования, науки и культуры о борьбе с дискриминацией в области образования (1960 год).</w:t>
      </w:r>
    </w:p>
    <w:p w:rsidR="008F52F9" w:rsidRPr="00C63B8B" w:rsidRDefault="008F52F9" w:rsidP="008F52F9">
      <w:pPr>
        <w:pStyle w:val="SingleTxtGR"/>
      </w:pPr>
      <w:r w:rsidRPr="00C63B8B">
        <w:t>85.</w:t>
      </w:r>
      <w:r w:rsidRPr="00C63B8B">
        <w:tab/>
        <w:t>В соответствии с литовским законодательством, нормативно-правовыми актами Европейского союза и документами Организации Объединенных Наций в области прав человека, имеющими обязательную силу для Литвы, трудящи</w:t>
      </w:r>
      <w:r w:rsidRPr="00C63B8B">
        <w:t>е</w:t>
      </w:r>
      <w:r w:rsidRPr="00C63B8B">
        <w:t>ся-мигранты и члены их семей наделяются определенными правами. Вместе с тем расширять эти права, как этого требует Международная конвенция о защ</w:t>
      </w:r>
      <w:r w:rsidRPr="00C63B8B">
        <w:t>и</w:t>
      </w:r>
      <w:r w:rsidRPr="00C63B8B">
        <w:t>те прав трудящихся-мигрантов и членов их семей, не планируется, в особенн</w:t>
      </w:r>
      <w:r w:rsidRPr="00C63B8B">
        <w:t>о</w:t>
      </w:r>
      <w:r w:rsidRPr="00C63B8B">
        <w:t>сти в том, что касается безусловного требования о создании для них равных у</w:t>
      </w:r>
      <w:r w:rsidRPr="00C63B8B">
        <w:t>с</w:t>
      </w:r>
      <w:r w:rsidRPr="00C63B8B">
        <w:t>ловий в таких сферах, как образование, обеспечение жильем и предоставление социальных услуг и услуг в области здравоохранения. С учетом вышеизложе</w:t>
      </w:r>
      <w:r w:rsidRPr="00C63B8B">
        <w:t>н</w:t>
      </w:r>
      <w:r w:rsidRPr="00C63B8B">
        <w:t>ного Литва в настоящее время не намеревается брать на себя такие междун</w:t>
      </w:r>
      <w:r w:rsidRPr="00C63B8B">
        <w:t>а</w:t>
      </w:r>
      <w:r w:rsidRPr="00C63B8B">
        <w:t>родные обязательства.</w:t>
      </w:r>
    </w:p>
    <w:p w:rsidR="008F52F9" w:rsidRPr="00C63B8B" w:rsidRDefault="008F52F9" w:rsidP="008F52F9">
      <w:pPr>
        <w:pStyle w:val="SingleTxtGR"/>
      </w:pPr>
      <w:r w:rsidRPr="00C63B8B">
        <w:t>86.</w:t>
      </w:r>
      <w:r w:rsidRPr="00C63B8B">
        <w:tab/>
        <w:t>Восьмого ноября 2013 года компетентные органы государственной власти Литвы инициировали предусмотренную литовским законодательством вну</w:t>
      </w:r>
      <w:r w:rsidRPr="00C63B8B">
        <w:t>т</w:t>
      </w:r>
      <w:r w:rsidRPr="00C63B8B">
        <w:t>реннюю процедуру принятия решения относительно присоединения к Конве</w:t>
      </w:r>
      <w:r w:rsidRPr="00C63B8B">
        <w:t>н</w:t>
      </w:r>
      <w:r w:rsidRPr="00C63B8B">
        <w:t>ции Организации Объединенных Наций по вопросам образования, науки и культуры о борьбе с дискриминацией в области образования.</w:t>
      </w:r>
    </w:p>
    <w:p w:rsidR="008F52F9" w:rsidRPr="00C63B8B" w:rsidRDefault="008F52F9" w:rsidP="008F52F9">
      <w:pPr>
        <w:pStyle w:val="H1GR"/>
      </w:pPr>
      <w:r w:rsidRPr="00C63B8B">
        <w:tab/>
      </w:r>
      <w:r w:rsidRPr="00C63B8B">
        <w:tab/>
        <w:t>Пункт 23</w:t>
      </w:r>
    </w:p>
    <w:p w:rsidR="008F52F9" w:rsidRPr="00C63B8B" w:rsidRDefault="008F52F9" w:rsidP="008F52F9">
      <w:pPr>
        <w:pStyle w:val="SingleTxtGR"/>
        <w:rPr>
          <w:b/>
        </w:rPr>
      </w:pPr>
      <w:r w:rsidRPr="00C63B8B">
        <w:rPr>
          <w:b/>
        </w:rPr>
        <w:t>С учетом своей общей рекомендации № 33 (1990) о последующих мерах в связи с Конференцией по обзору Дурбанского процесса Комитет рекоменд</w:t>
      </w:r>
      <w:r w:rsidRPr="00C63B8B">
        <w:rPr>
          <w:b/>
        </w:rPr>
        <w:t>у</w:t>
      </w:r>
      <w:r w:rsidRPr="00C63B8B">
        <w:rPr>
          <w:b/>
        </w:rPr>
        <w:t>ет государству-участнику при включении Конвенции в свое внутреннее з</w:t>
      </w:r>
      <w:r w:rsidRPr="00C63B8B">
        <w:rPr>
          <w:b/>
        </w:rPr>
        <w:t>а</w:t>
      </w:r>
      <w:r w:rsidRPr="00C63B8B">
        <w:rPr>
          <w:b/>
        </w:rPr>
        <w:t>конодательство осуществить Дурбанскую декларацию и Программу дейс</w:t>
      </w:r>
      <w:r w:rsidRPr="00C63B8B">
        <w:rPr>
          <w:b/>
        </w:rPr>
        <w:t>т</w:t>
      </w:r>
      <w:r w:rsidRPr="00C63B8B">
        <w:rPr>
          <w:b/>
        </w:rPr>
        <w:t>вий, принятые в сентябре 2001 года Всемирной конференцией по борьбе против расизма, расовой дискриминации, ксенофобии и связанной с ними нетерпимости, с учетом Итогового документа Конференции по обзору Ду</w:t>
      </w:r>
      <w:r w:rsidRPr="00C63B8B">
        <w:rPr>
          <w:b/>
        </w:rPr>
        <w:t>р</w:t>
      </w:r>
      <w:r w:rsidRPr="00C63B8B">
        <w:rPr>
          <w:b/>
        </w:rPr>
        <w:t>банского процесса, состоявшейся в Женеве в апреле 2009 года. Комитет просит государство-участник включить в свой следующий периодический доклад конкретную информацию о принятых планах действий и других мерах по осуществлению Дурбанской декларации и Программы действий на национальном уровне.</w:t>
      </w:r>
    </w:p>
    <w:p w:rsidR="008F52F9" w:rsidRPr="00C63B8B" w:rsidRDefault="008F52F9" w:rsidP="008F52F9">
      <w:pPr>
        <w:pStyle w:val="SingleTxtGR"/>
      </w:pPr>
      <w:r w:rsidRPr="00C63B8B">
        <w:t>87.</w:t>
      </w:r>
      <w:r w:rsidRPr="00C63B8B">
        <w:tab/>
        <w:t>В целях успешной реализации политики в области обеспечения равн</w:t>
      </w:r>
      <w:r w:rsidRPr="00C63B8B">
        <w:t>о</w:t>
      </w:r>
      <w:r w:rsidRPr="00C63B8B">
        <w:t>правия, отсутствия дискриминации и толерантности в Литве Правительство в своем постановлении № 1281 от 2 ноября 2011 года утвердило Межучрежде</w:t>
      </w:r>
      <w:r w:rsidRPr="00C63B8B">
        <w:t>н</w:t>
      </w:r>
      <w:r w:rsidRPr="00C63B8B">
        <w:t>ческий план действий по поощрению борьбы с дискриминацией на 2012−2014 годы, в котором, в частности, предусматриваются меры по осущес</w:t>
      </w:r>
      <w:r w:rsidRPr="00C63B8B">
        <w:t>т</w:t>
      </w:r>
      <w:r w:rsidRPr="00C63B8B">
        <w:t>влению Дурбанской декларации и Программы действий, принятых в сентябре 2001 года Всемирной конференцией по борьбе против расизма, расовой ди</w:t>
      </w:r>
      <w:r w:rsidRPr="00C63B8B">
        <w:t>с</w:t>
      </w:r>
      <w:r w:rsidRPr="00C63B8B">
        <w:t>криминации, ксенофобии и связанной с ними нетерпимости. В рамках осущес</w:t>
      </w:r>
      <w:r w:rsidRPr="00C63B8B">
        <w:t>т</w:t>
      </w:r>
      <w:r w:rsidRPr="00C63B8B">
        <w:t>вления Плана были предусмотрены различные меры, касающиеся образов</w:t>
      </w:r>
      <w:r w:rsidRPr="00C63B8B">
        <w:t>а</w:t>
      </w:r>
      <w:r w:rsidRPr="00C63B8B">
        <w:t>тельной деятельности в целях поощрения борьбы с дискриминацией, а также проведения исследований, обзоров и обследований; реализации информацио</w:t>
      </w:r>
      <w:r w:rsidRPr="00C63B8B">
        <w:t>н</w:t>
      </w:r>
      <w:r w:rsidRPr="00C63B8B">
        <w:t>но-просветительских и образовательных кампаний среди общественности по темам обеспечения равных возможностей и поощрения борьбы с дискримин</w:t>
      </w:r>
      <w:r w:rsidRPr="00C63B8B">
        <w:t>а</w:t>
      </w:r>
      <w:r w:rsidRPr="00C63B8B">
        <w:t>цией; организации семинаров, тренингов и других учебных мероприятий в ц</w:t>
      </w:r>
      <w:r w:rsidRPr="00C63B8B">
        <w:t>е</w:t>
      </w:r>
      <w:r w:rsidRPr="00C63B8B">
        <w:t>лях поощрения борьбы с дискриминацией, толерантности и уважения человеч</w:t>
      </w:r>
      <w:r w:rsidRPr="00C63B8B">
        <w:t>е</w:t>
      </w:r>
      <w:r w:rsidRPr="00C63B8B">
        <w:t>ского достоинства; и стимулирования деятельности неправительственных орг</w:t>
      </w:r>
      <w:r w:rsidRPr="00C63B8B">
        <w:t>а</w:t>
      </w:r>
      <w:r w:rsidRPr="00C63B8B">
        <w:t xml:space="preserve">низаций, занимающихся защитой прав человека (конкретные меры перечислены в приложениях). </w:t>
      </w:r>
    </w:p>
    <w:p w:rsidR="008F52F9" w:rsidRPr="00C63B8B" w:rsidRDefault="008F52F9" w:rsidP="008F52F9">
      <w:pPr>
        <w:pStyle w:val="H1GR"/>
      </w:pPr>
      <w:r w:rsidRPr="00C63B8B">
        <w:tab/>
      </w:r>
      <w:r w:rsidRPr="00C63B8B">
        <w:tab/>
        <w:t>Пункт 24</w:t>
      </w:r>
    </w:p>
    <w:p w:rsidR="008F52F9" w:rsidRPr="00C63B8B" w:rsidRDefault="008F52F9" w:rsidP="008F52F9">
      <w:pPr>
        <w:pStyle w:val="SingleTxtGR"/>
        <w:rPr>
          <w:b/>
        </w:rPr>
      </w:pPr>
      <w:r w:rsidRPr="00C63B8B">
        <w:rPr>
          <w:b/>
        </w:rPr>
        <w:t>Комитет рекомендует государству-участнику обеспечить реализацию и надлежащее информационное сопровождение программы мероприятий по проведению в 2011 году Международного года лиц африканского происхо</w:t>
      </w:r>
      <w:r w:rsidRPr="00C63B8B">
        <w:rPr>
          <w:b/>
        </w:rPr>
        <w:t>ж</w:t>
      </w:r>
      <w:r w:rsidRPr="00C63B8B">
        <w:rPr>
          <w:b/>
        </w:rPr>
        <w:t>дения, провозглашенного Генеральной Ассамблеей в ее резолюции 64/169 от 18 декабря 2009 года.</w:t>
      </w:r>
    </w:p>
    <w:p w:rsidR="008F52F9" w:rsidRPr="00C63B8B" w:rsidRDefault="008F52F9" w:rsidP="008F52F9">
      <w:pPr>
        <w:pStyle w:val="SingleTxtGR"/>
      </w:pPr>
      <w:r w:rsidRPr="00C63B8B">
        <w:t>88.</w:t>
      </w:r>
      <w:r w:rsidRPr="00C63B8B">
        <w:tab/>
        <w:t>Отдельная программа мероприятий в целях проведения в 2011 году Ме</w:t>
      </w:r>
      <w:r w:rsidRPr="00C63B8B">
        <w:t>ж</w:t>
      </w:r>
      <w:r w:rsidRPr="00C63B8B">
        <w:t>дународного года лиц африканского происхождения в Литве не утверждалась. При поддержке Министерства иностранных дел 18−22 мая 2011 года в Вильн</w:t>
      </w:r>
      <w:r w:rsidRPr="00C63B8B">
        <w:t>ю</w:t>
      </w:r>
      <w:r w:rsidRPr="00C63B8B">
        <w:t>се был впервые проведен фестиваль культуры Черной Африки "Дни Африки – 2011". Целью фестиваля стало пробуждение и стимулирование среди жителей и гостей Вильнюса интереса к современной культуре и традициям стран Черной Африки, расположенных к югу от пустыни Сахара. Перед проектом "Дни А</w:t>
      </w:r>
      <w:r w:rsidRPr="00C63B8B">
        <w:t>ф</w:t>
      </w:r>
      <w:r w:rsidRPr="00C63B8B">
        <w:t>рики – 2011" ставилась задача создать возможности для более глубокого озн</w:t>
      </w:r>
      <w:r w:rsidRPr="00C63B8B">
        <w:t>а</w:t>
      </w:r>
      <w:r w:rsidRPr="00C63B8B">
        <w:t>комления с Африкой с положительной стороны и лучшего понимания населя</w:t>
      </w:r>
      <w:r w:rsidRPr="00C63B8B">
        <w:t>ю</w:t>
      </w:r>
      <w:r w:rsidRPr="00C63B8B">
        <w:t>щих ее людей. Кроме того, следует отметить, что в 2011 году была создана н</w:t>
      </w:r>
      <w:r w:rsidRPr="00C63B8B">
        <w:t>е</w:t>
      </w:r>
      <w:r w:rsidRPr="00C63B8B">
        <w:t>правительственная организация "Африканская община Вильнюса".</w:t>
      </w:r>
    </w:p>
    <w:p w:rsidR="008F52F9" w:rsidRPr="00C63B8B" w:rsidRDefault="008F52F9" w:rsidP="008F52F9">
      <w:pPr>
        <w:pStyle w:val="H1GR"/>
      </w:pPr>
      <w:r w:rsidRPr="00C63B8B">
        <w:tab/>
      </w:r>
      <w:r w:rsidRPr="00C63B8B">
        <w:tab/>
        <w:t>Пункт 25</w:t>
      </w:r>
    </w:p>
    <w:p w:rsidR="008F52F9" w:rsidRPr="00C63B8B" w:rsidRDefault="008F52F9" w:rsidP="008F52F9">
      <w:pPr>
        <w:pStyle w:val="SingleTxtGR"/>
        <w:rPr>
          <w:b/>
        </w:rPr>
      </w:pPr>
      <w:r w:rsidRPr="00C63B8B">
        <w:rPr>
          <w:b/>
        </w:rPr>
        <w:t>Комитет рекомендует государству-участнику продолжать консультации и расширять диалог с организациями гражданского общества, работающими в сфере защиты прав человека.</w:t>
      </w:r>
    </w:p>
    <w:p w:rsidR="008F52F9" w:rsidRPr="00C63B8B" w:rsidRDefault="008F52F9" w:rsidP="008F52F9">
      <w:pPr>
        <w:pStyle w:val="SingleTxtGR"/>
      </w:pPr>
      <w:r w:rsidRPr="00C63B8B">
        <w:t>89.</w:t>
      </w:r>
      <w:r w:rsidRPr="00C63B8B">
        <w:tab/>
        <w:t>Правила процедуры Правительства (новый вариант которых был утве</w:t>
      </w:r>
      <w:r w:rsidRPr="00C63B8B">
        <w:t>р</w:t>
      </w:r>
      <w:r w:rsidRPr="00C63B8B">
        <w:t>жден Правительством в его резолюции № 337 от 17 мая 2013 года) и Закон об основах законодательства предусматривают основополагающие принципы пр</w:t>
      </w:r>
      <w:r w:rsidRPr="00C63B8B">
        <w:t>о</w:t>
      </w:r>
      <w:r w:rsidRPr="00C63B8B">
        <w:t>ведения консультаций с обществом. Консультации с обществом и его группами (неправительственными организациями, занимающимися защитой прав челов</w:t>
      </w:r>
      <w:r w:rsidRPr="00C63B8B">
        <w:t>е</w:t>
      </w:r>
      <w:r w:rsidRPr="00C63B8B">
        <w:t>ка) проводятся в целях выяснения существующих в обществе мнений относ</w:t>
      </w:r>
      <w:r w:rsidRPr="00C63B8B">
        <w:t>и</w:t>
      </w:r>
      <w:r w:rsidRPr="00C63B8B">
        <w:t>тельно конкретных проблем и способов их решения, более точной оценки п</w:t>
      </w:r>
      <w:r w:rsidRPr="00C63B8B">
        <w:t>о</w:t>
      </w:r>
      <w:r w:rsidRPr="00C63B8B">
        <w:t>ложительных и отрицательных последствий предлагаемых нормативно-правовых актов и расходов, связанных с их реализацией, обеспечения трансп</w:t>
      </w:r>
      <w:r w:rsidRPr="00C63B8B">
        <w:t>а</w:t>
      </w:r>
      <w:r w:rsidRPr="00C63B8B">
        <w:t>рентности и предоставления обществу возможности влиять на содержание тех или иных решений.</w:t>
      </w:r>
    </w:p>
    <w:p w:rsidR="008F52F9" w:rsidRPr="00C63B8B" w:rsidRDefault="008F52F9" w:rsidP="008F52F9">
      <w:pPr>
        <w:pStyle w:val="SingleTxtGR"/>
      </w:pPr>
      <w:r w:rsidRPr="00C63B8B">
        <w:t>90.</w:t>
      </w:r>
      <w:r w:rsidRPr="00C63B8B">
        <w:tab/>
        <w:t>Правила процедуры Правительства также предусматривают, что закон</w:t>
      </w:r>
      <w:r w:rsidRPr="00C63B8B">
        <w:t>о</w:t>
      </w:r>
      <w:r w:rsidRPr="00C63B8B">
        <w:t>проекты (за исключением тех из них, которые по законам Литвы не могут быть преданы гласности) публикуются на веб-сайте (подсистема регистрации зак</w:t>
      </w:r>
      <w:r w:rsidRPr="00C63B8B">
        <w:t>о</w:t>
      </w:r>
      <w:r w:rsidRPr="00C63B8B">
        <w:t>нопроектов в Системе законодательной информации Сейма, связанная с публ</w:t>
      </w:r>
      <w:r w:rsidRPr="00C63B8B">
        <w:t>и</w:t>
      </w:r>
      <w:r w:rsidRPr="00C63B8B">
        <w:t>кацией законопроектов) в целях обеспечения обратной связи. Благодаря этой системе общественность не только имеет доступ к законодательным предлож</w:t>
      </w:r>
      <w:r w:rsidRPr="00C63B8B">
        <w:t>е</w:t>
      </w:r>
      <w:r w:rsidRPr="00C63B8B">
        <w:t xml:space="preserve">ниям, но и получает возможность представлять свои замечания и комментарии относительно законодательных инициатив, законопроектов, а также тех мер правового регулирования, в отношении которых осуществляется мониторинг. </w:t>
      </w:r>
    </w:p>
    <w:p w:rsidR="008F52F9" w:rsidRPr="00C63B8B" w:rsidRDefault="008F52F9" w:rsidP="008F52F9">
      <w:pPr>
        <w:pStyle w:val="SingleTxtGR"/>
      </w:pPr>
      <w:r w:rsidRPr="00C63B8B">
        <w:t>91.</w:t>
      </w:r>
      <w:r w:rsidRPr="00C63B8B">
        <w:tab/>
        <w:t>Консультации с общественностью также должны проводиться в контексте подготовки докладов Литвы о ходе выполнения ее международных обяз</w:t>
      </w:r>
      <w:r w:rsidRPr="00C63B8B">
        <w:t>а</w:t>
      </w:r>
      <w:r w:rsidRPr="00C63B8B">
        <w:t>тельств. В соответствии с процедурой подготовки и представления докладов, связанных с конвенциями Организации Объединенных Наций в области прав человека, участницей которых является Литва, а также докладов в рамках ун</w:t>
      </w:r>
      <w:r w:rsidRPr="00C63B8B">
        <w:t>и</w:t>
      </w:r>
      <w:r w:rsidRPr="00C63B8B">
        <w:t>версального периодического обзора, проводимого Советом по правам человека, любые проекты докладов должны предоставляться в распоряжение всех непр</w:t>
      </w:r>
      <w:r w:rsidRPr="00C63B8B">
        <w:t>а</w:t>
      </w:r>
      <w:r w:rsidRPr="00C63B8B">
        <w:t>вительственных организаций, желающих с ними ознакомиться. Кроме того, у</w:t>
      </w:r>
      <w:r w:rsidRPr="00C63B8B">
        <w:t>ч</w:t>
      </w:r>
      <w:r w:rsidRPr="00C63B8B">
        <w:t>реждения, занимающиеся подготовкой того или иного доклада, обязаны ра</w:t>
      </w:r>
      <w:r w:rsidRPr="00C63B8B">
        <w:t>с</w:t>
      </w:r>
      <w:r w:rsidRPr="00C63B8B">
        <w:t>смотреть поступившие замечания и предложения и внести в текст соответс</w:t>
      </w:r>
      <w:r w:rsidRPr="00C63B8B">
        <w:t>т</w:t>
      </w:r>
      <w:r w:rsidRPr="00C63B8B">
        <w:t>вующие коррективы или дополнения. Так, при подготовке объединенных ше</w:t>
      </w:r>
      <w:r w:rsidRPr="00C63B8B">
        <w:t>с</w:t>
      </w:r>
      <w:r w:rsidRPr="00C63B8B">
        <w:t>того, седьмого и восьмого периодических докладов Литвы в соответствии с Международной конвенцией о ликвидации всех форм расовой дискриминации вышеизложенные основополагающие принципы, касающиеся проведения ко</w:t>
      </w:r>
      <w:r w:rsidRPr="00C63B8B">
        <w:t>н</w:t>
      </w:r>
      <w:r w:rsidRPr="00C63B8B">
        <w:t>сультаций с общественностью, были соблюдены, и проект доклада на этапе его подготовки был представлен на рассмотрение литовских неправительственных организаций, работающих в сфере защиты прав человека.</w:t>
      </w:r>
    </w:p>
    <w:p w:rsidR="008F52F9" w:rsidRPr="00C63B8B" w:rsidRDefault="008F52F9" w:rsidP="008F52F9">
      <w:pPr>
        <w:pStyle w:val="H1GR"/>
      </w:pPr>
      <w:r w:rsidRPr="00C63B8B">
        <w:tab/>
      </w:r>
      <w:r w:rsidRPr="00C63B8B">
        <w:tab/>
        <w:t>Пункт 26</w:t>
      </w:r>
    </w:p>
    <w:p w:rsidR="008F52F9" w:rsidRPr="00C63B8B" w:rsidRDefault="008F52F9" w:rsidP="008F52F9">
      <w:pPr>
        <w:pStyle w:val="SingleTxtGR"/>
        <w:rPr>
          <w:b/>
        </w:rPr>
      </w:pPr>
      <w:r w:rsidRPr="00C63B8B">
        <w:rPr>
          <w:b/>
        </w:rPr>
        <w:t>Комитет призывает государство-участник рассмотреть возможность того, чтобы сделать предусмотренное в статье 14 Конвенции факультативное з</w:t>
      </w:r>
      <w:r w:rsidRPr="00C63B8B">
        <w:rPr>
          <w:b/>
        </w:rPr>
        <w:t>а</w:t>
      </w:r>
      <w:r w:rsidRPr="00C63B8B">
        <w:rPr>
          <w:b/>
        </w:rPr>
        <w:t>явление о признании компетенции Комитета принимать и рассматривать индивидуальные жалобы.</w:t>
      </w:r>
    </w:p>
    <w:p w:rsidR="008F52F9" w:rsidRPr="00C63B8B" w:rsidRDefault="008F52F9" w:rsidP="008F52F9">
      <w:pPr>
        <w:pStyle w:val="SingleTxtGR"/>
      </w:pPr>
      <w:r w:rsidRPr="00C63B8B">
        <w:t>92.</w:t>
      </w:r>
      <w:r w:rsidRPr="00C63B8B">
        <w:tab/>
        <w:t>Рассмотрев возможность того, чтобы сделать предусмотренное в ст</w:t>
      </w:r>
      <w:r w:rsidRPr="00C63B8B">
        <w:t>а</w:t>
      </w:r>
      <w:r w:rsidRPr="00C63B8B">
        <w:t>тье 14 Конвенции факультативное заявление о признании компетенции Комит</w:t>
      </w:r>
      <w:r w:rsidRPr="00C63B8B">
        <w:t>е</w:t>
      </w:r>
      <w:r w:rsidRPr="00C63B8B">
        <w:t>та принимать и рассматривать индивидуальные жалобы, Литва хотела бы за</w:t>
      </w:r>
      <w:r w:rsidRPr="00C63B8B">
        <w:t>я</w:t>
      </w:r>
      <w:r w:rsidRPr="00C63B8B">
        <w:t>вить, что в ближайшем будущем не планирует делать такое заявление. При в</w:t>
      </w:r>
      <w:r w:rsidRPr="00C63B8B">
        <w:t>ы</w:t>
      </w:r>
      <w:r w:rsidRPr="00C63B8B">
        <w:t>несении данного решения было принято во внимание количество и содержание заявлений (включая, в частности, большое число изъятий), представленных д</w:t>
      </w:r>
      <w:r w:rsidRPr="00C63B8B">
        <w:t>е</w:t>
      </w:r>
      <w:r w:rsidRPr="00C63B8B">
        <w:t>позитарию Конвенции в соответствии со статьей 14 Конвенции странами, пр</w:t>
      </w:r>
      <w:r w:rsidRPr="00C63B8B">
        <w:t>и</w:t>
      </w:r>
      <w:r w:rsidRPr="00C63B8B">
        <w:t>знавш</w:t>
      </w:r>
      <w:r w:rsidRPr="00C63B8B">
        <w:t>и</w:t>
      </w:r>
      <w:r w:rsidRPr="00C63B8B">
        <w:t>ми компетенцию Комитета рассматривать индивидуальные жалобы. Кроме того, существующие в Литве механизмы защиты прав (возможность о</w:t>
      </w:r>
      <w:r w:rsidRPr="00C63B8B">
        <w:t>б</w:t>
      </w:r>
      <w:r w:rsidRPr="00C63B8B">
        <w:t>ращаться в национальные судебные органы, представлять индивидуальные з</w:t>
      </w:r>
      <w:r w:rsidRPr="00C63B8B">
        <w:t>а</w:t>
      </w:r>
      <w:r w:rsidRPr="00C63B8B">
        <w:t>явления в Комитет по правам человека в соответствии с Международным па</w:t>
      </w:r>
      <w:r w:rsidRPr="00C63B8B">
        <w:t>к</w:t>
      </w:r>
      <w:r w:rsidRPr="00C63B8B">
        <w:t>том о гражданских и политических правах, а также подавать жалобы в Евр</w:t>
      </w:r>
      <w:r w:rsidRPr="00C63B8B">
        <w:t>о</w:t>
      </w:r>
      <w:r w:rsidRPr="00C63B8B">
        <w:t>пейский суд по правам человека в соответствии с Европейской конвенцией по правам человека) считаются достаточными.</w:t>
      </w:r>
    </w:p>
    <w:p w:rsidR="008F52F9" w:rsidRPr="00C63B8B" w:rsidRDefault="008F52F9" w:rsidP="008F52F9">
      <w:pPr>
        <w:pStyle w:val="H1GR"/>
      </w:pPr>
      <w:r w:rsidRPr="00C63B8B">
        <w:tab/>
      </w:r>
      <w:r w:rsidRPr="00C63B8B">
        <w:tab/>
        <w:t>Пункт 27</w:t>
      </w:r>
    </w:p>
    <w:p w:rsidR="008F52F9" w:rsidRPr="00C63B8B" w:rsidRDefault="008F52F9" w:rsidP="008F52F9">
      <w:pPr>
        <w:pStyle w:val="SingleTxtGR"/>
        <w:rPr>
          <w:b/>
        </w:rPr>
      </w:pPr>
      <w:r w:rsidRPr="00C63B8B">
        <w:rPr>
          <w:b/>
        </w:rPr>
        <w:t>Комитет рекомендует государству-участнику ратифицировать поправки к пункту 6 статьи 8 Конвенции, принятые 15 января 1992 года на четырн</w:t>
      </w:r>
      <w:r w:rsidRPr="00C63B8B">
        <w:rPr>
          <w:b/>
        </w:rPr>
        <w:t>а</w:t>
      </w:r>
      <w:r w:rsidRPr="00C63B8B">
        <w:rPr>
          <w:b/>
        </w:rPr>
        <w:t>дцатом совещании государств− участников Конвенции и одобренную Ген</w:t>
      </w:r>
      <w:r w:rsidRPr="00C63B8B">
        <w:rPr>
          <w:b/>
        </w:rPr>
        <w:t>е</w:t>
      </w:r>
      <w:r w:rsidRPr="00C63B8B">
        <w:rPr>
          <w:b/>
        </w:rPr>
        <w:t>ральной Ассамблеей в ее резолюции 47/111 от 16 декабря 1992 года. В этой связи Комитет ссылается на резолюции Генеральной Ассамблеи 61/148 и 63/243, в которых Генеральная Ассамблея настоятельно призвала гос</w:t>
      </w:r>
      <w:r w:rsidRPr="00C63B8B">
        <w:rPr>
          <w:b/>
        </w:rPr>
        <w:t>у</w:t>
      </w:r>
      <w:r w:rsidRPr="00C63B8B">
        <w:rPr>
          <w:b/>
        </w:rPr>
        <w:t>дарства-участники ускорить их внутренние процедуры ратификации п</w:t>
      </w:r>
      <w:r w:rsidRPr="00C63B8B">
        <w:rPr>
          <w:b/>
        </w:rPr>
        <w:t>о</w:t>
      </w:r>
      <w:r w:rsidRPr="00C63B8B">
        <w:rPr>
          <w:b/>
        </w:rPr>
        <w:t>правки к Конвенции, касающейся финансирования Комитета, и операти</w:t>
      </w:r>
      <w:r w:rsidRPr="00C63B8B">
        <w:rPr>
          <w:b/>
        </w:rPr>
        <w:t>в</w:t>
      </w:r>
      <w:r w:rsidRPr="00C63B8B">
        <w:rPr>
          <w:b/>
        </w:rPr>
        <w:t>но уведомить Генерального секретаря в письменной форме о своем согл</w:t>
      </w:r>
      <w:r w:rsidRPr="00C63B8B">
        <w:rPr>
          <w:b/>
        </w:rPr>
        <w:t>а</w:t>
      </w:r>
      <w:r w:rsidRPr="00C63B8B">
        <w:rPr>
          <w:b/>
        </w:rPr>
        <w:t>сии с этой поправкой.</w:t>
      </w:r>
    </w:p>
    <w:p w:rsidR="008F52F9" w:rsidRPr="00C63B8B" w:rsidRDefault="008F52F9" w:rsidP="008F52F9">
      <w:pPr>
        <w:pStyle w:val="SingleTxtGR"/>
      </w:pPr>
      <w:r w:rsidRPr="00C63B8B">
        <w:t>93.</w:t>
      </w:r>
      <w:r w:rsidRPr="00C63B8B">
        <w:tab/>
        <w:t>В настоящее время Литва не планирует ратифицировать поправки к пун</w:t>
      </w:r>
      <w:r w:rsidRPr="00C63B8B">
        <w:t>к</w:t>
      </w:r>
      <w:r w:rsidRPr="00C63B8B">
        <w:t>ту 6 статьи 8 Конвенции. Принятие поправки влечет за собой определенные финансовые последствия, которые необходимо тщательно изучить. Мы также хотели бы отметить, что ратификация поправок к пункту 6 статьи 8 не является обязательной для государств-участников Конвенции и не влияет на выполнение обязательств, взятых на себя Литвой в соответствии с Конвенцией.</w:t>
      </w:r>
    </w:p>
    <w:p w:rsidR="008F52F9" w:rsidRPr="00C63B8B" w:rsidRDefault="008F52F9" w:rsidP="008F52F9">
      <w:pPr>
        <w:pStyle w:val="H1GR"/>
      </w:pPr>
      <w:r w:rsidRPr="00C63B8B">
        <w:tab/>
      </w:r>
      <w:r w:rsidRPr="00C63B8B">
        <w:tab/>
        <w:t>Пункт 28</w:t>
      </w:r>
    </w:p>
    <w:p w:rsidR="008F52F9" w:rsidRPr="00C63B8B" w:rsidRDefault="008F52F9" w:rsidP="008F52F9">
      <w:pPr>
        <w:pStyle w:val="SingleTxtGR"/>
        <w:rPr>
          <w:b/>
        </w:rPr>
      </w:pPr>
      <w:r w:rsidRPr="00C63B8B">
        <w:rPr>
          <w:b/>
        </w:rPr>
        <w:t>Комитет рекомендует государству-участнику обеспечивать быстрый и бе</w:t>
      </w:r>
      <w:r w:rsidRPr="00C63B8B">
        <w:rPr>
          <w:b/>
        </w:rPr>
        <w:t>с</w:t>
      </w:r>
      <w:r w:rsidRPr="00C63B8B">
        <w:rPr>
          <w:b/>
        </w:rPr>
        <w:t>препятственный доступ общественности к своим докладам на момент их представления, а также публиковать замечания Комитета по этим докл</w:t>
      </w:r>
      <w:r w:rsidRPr="00C63B8B">
        <w:rPr>
          <w:b/>
        </w:rPr>
        <w:t>а</w:t>
      </w:r>
      <w:r w:rsidRPr="00C63B8B">
        <w:rPr>
          <w:b/>
        </w:rPr>
        <w:t>дам на официальном языке и, при необходимости, на всех других широко используемых языках.</w:t>
      </w:r>
    </w:p>
    <w:p w:rsidR="008F52F9" w:rsidRPr="00C63B8B" w:rsidRDefault="008F52F9" w:rsidP="008F52F9">
      <w:pPr>
        <w:pStyle w:val="SingleTxtGR"/>
      </w:pPr>
      <w:r w:rsidRPr="00C63B8B">
        <w:t>94.</w:t>
      </w:r>
      <w:r w:rsidRPr="00C63B8B">
        <w:tab/>
        <w:t>Утвержденные Правительством доклады о ходе осуществления конве</w:t>
      </w:r>
      <w:r w:rsidRPr="00C63B8B">
        <w:t>н</w:t>
      </w:r>
      <w:r w:rsidRPr="00C63B8B">
        <w:t>ций Организации Объединенных Наций после их принятия публикуются на веб-сайтах государственных учреждений, ответственных за их подготовку, а также на веб-сайте Министерства иностранных дел (www.urm.lt), где находятся в свободном доступе. На веб-сайте Министерства также можно ознакомиться с информацией относительно заключительных замечаний Комитета по докладам, представленным Литвой. Доклады и заключительные замечания Комитета пу</w:t>
      </w:r>
      <w:r w:rsidRPr="00C63B8B">
        <w:t>б</w:t>
      </w:r>
      <w:r w:rsidRPr="00C63B8B">
        <w:t>ликуются на этих веб-сайтах на официальном языке.</w:t>
      </w:r>
    </w:p>
    <w:p w:rsidR="008F52F9" w:rsidRPr="00C63B8B" w:rsidRDefault="008F52F9" w:rsidP="008F52F9">
      <w:pPr>
        <w:pStyle w:val="H1GR"/>
      </w:pPr>
      <w:r w:rsidRPr="00C63B8B">
        <w:tab/>
      </w:r>
      <w:r w:rsidRPr="00C63B8B">
        <w:tab/>
        <w:t>Пункт 29</w:t>
      </w:r>
    </w:p>
    <w:p w:rsidR="008F52F9" w:rsidRPr="00C63B8B" w:rsidRDefault="008F52F9" w:rsidP="008F52F9">
      <w:pPr>
        <w:pStyle w:val="SingleTxtGR"/>
        <w:rPr>
          <w:b/>
        </w:rPr>
      </w:pPr>
      <w:r w:rsidRPr="00C63B8B">
        <w:rPr>
          <w:b/>
        </w:rPr>
        <w:t>Отмечая, что Литва представила свой базовый документ в 1998 году, Ком</w:t>
      </w:r>
      <w:r w:rsidRPr="00C63B8B">
        <w:rPr>
          <w:b/>
        </w:rPr>
        <w:t>и</w:t>
      </w:r>
      <w:r w:rsidRPr="00C63B8B">
        <w:rPr>
          <w:b/>
        </w:rPr>
        <w:t>тет призывает ее представить обновленный вариант этого документа в с</w:t>
      </w:r>
      <w:r w:rsidRPr="00C63B8B">
        <w:rPr>
          <w:b/>
        </w:rPr>
        <w:t>о</w:t>
      </w:r>
      <w:r w:rsidRPr="00C63B8B">
        <w:rPr>
          <w:b/>
        </w:rPr>
        <w:t>ответствии с согласованными руководящими принципами представления докладов согласно международным договорам в области прав человека, в частности с руководящими принципами подготовки общего базового док</w:t>
      </w:r>
      <w:r w:rsidRPr="00C63B8B">
        <w:rPr>
          <w:b/>
        </w:rPr>
        <w:t>у</w:t>
      </w:r>
      <w:r w:rsidRPr="00C63B8B">
        <w:rPr>
          <w:b/>
        </w:rPr>
        <w:t>мента, которые были приняты на пятом межкомитетском совещании дог</w:t>
      </w:r>
      <w:r w:rsidRPr="00C63B8B">
        <w:rPr>
          <w:b/>
        </w:rPr>
        <w:t>о</w:t>
      </w:r>
      <w:r w:rsidRPr="00C63B8B">
        <w:rPr>
          <w:b/>
        </w:rPr>
        <w:t>ворных органов по правам человека в июне 2006 года (HRI/MC/2006/3).</w:t>
      </w:r>
    </w:p>
    <w:p w:rsidR="008F52F9" w:rsidRPr="00C63B8B" w:rsidRDefault="008F52F9" w:rsidP="008F52F9">
      <w:pPr>
        <w:pStyle w:val="SingleTxtGR"/>
      </w:pPr>
      <w:r w:rsidRPr="00C63B8B">
        <w:t>95.</w:t>
      </w:r>
      <w:r w:rsidRPr="00C63B8B">
        <w:tab/>
        <w:t>В настоящее время процесс укрепления договорных органов Организ</w:t>
      </w:r>
      <w:r w:rsidRPr="00C63B8B">
        <w:t>а</w:t>
      </w:r>
      <w:r w:rsidRPr="00C63B8B">
        <w:t>ции Объединенных Наций все еще продолжается; как ожидается, его результ</w:t>
      </w:r>
      <w:r w:rsidRPr="00C63B8B">
        <w:t>а</w:t>
      </w:r>
      <w:r w:rsidRPr="00C63B8B">
        <w:t>том станет принятие четких руководящих принципов в отношении содержания общего базового документа, сферы его охвата, а также его подготовки и обно</w:t>
      </w:r>
      <w:r w:rsidRPr="00C63B8B">
        <w:t>в</w:t>
      </w:r>
      <w:r w:rsidRPr="00C63B8B">
        <w:t>ления. Литва планирует представить новый общий базовый документ после т</w:t>
      </w:r>
      <w:r w:rsidRPr="00C63B8B">
        <w:t>о</w:t>
      </w:r>
      <w:r w:rsidRPr="00C63B8B">
        <w:t>го, как государства придут к согласию в отношении нового метода обновления общего базового документа.</w:t>
      </w:r>
    </w:p>
    <w:p w:rsidR="008F52F9" w:rsidRPr="00C63B8B" w:rsidRDefault="008F52F9" w:rsidP="008F52F9">
      <w:pPr>
        <w:pStyle w:val="HChGR"/>
      </w:pPr>
      <w:r w:rsidRPr="00C63B8B">
        <w:tab/>
        <w:t>III.</w:t>
      </w:r>
      <w:r w:rsidRPr="00C63B8B">
        <w:tab/>
        <w:t>Информация, касающаяся статей Конвенции</w:t>
      </w:r>
    </w:p>
    <w:p w:rsidR="008F52F9" w:rsidRPr="00C63B8B" w:rsidRDefault="008F52F9" w:rsidP="008F52F9">
      <w:pPr>
        <w:pStyle w:val="H1GR"/>
      </w:pPr>
      <w:r w:rsidRPr="00C63B8B">
        <w:tab/>
      </w:r>
      <w:r w:rsidRPr="00C63B8B">
        <w:tab/>
        <w:t>Статья 2</w:t>
      </w:r>
    </w:p>
    <w:p w:rsidR="008F52F9" w:rsidRPr="00C63B8B" w:rsidRDefault="008F52F9" w:rsidP="008F52F9">
      <w:pPr>
        <w:pStyle w:val="SingleTxtGR"/>
      </w:pPr>
      <w:r w:rsidRPr="00C63B8B">
        <w:t>96.</w:t>
      </w:r>
      <w:r w:rsidRPr="00C63B8B">
        <w:tab/>
        <w:t>В статье 29 Конституции Литвы закреплен принцип недискриминации всех лиц, в то время как другие действующие нормативно-правовые акты г</w:t>
      </w:r>
      <w:r w:rsidRPr="00C63B8B">
        <w:t>а</w:t>
      </w:r>
      <w:r w:rsidRPr="00C63B8B">
        <w:t>рантируют равноправие всех людей вне зависимости от их пола, сексуальной ориентации, расы, национальности, наличия инвалидности, возраста, религии или убеждений. Законодательная база борьбы против расовой дискриминации постоянно совершенствуется. Стремясь обеспечить толерантность в обществе, а также не допустить проявлений этнической ненависти и всех форм дискрим</w:t>
      </w:r>
      <w:r w:rsidRPr="00C63B8B">
        <w:t>и</w:t>
      </w:r>
      <w:r w:rsidRPr="00C63B8B">
        <w:t>нации и изоляции, Правительство разрабатывает на национальном уровне стр</w:t>
      </w:r>
      <w:r w:rsidRPr="00C63B8B">
        <w:t>а</w:t>
      </w:r>
      <w:r w:rsidRPr="00C63B8B">
        <w:t>тегии, для реализации которых принимаются программы и планы действий, н</w:t>
      </w:r>
      <w:r w:rsidRPr="00C63B8B">
        <w:t>а</w:t>
      </w:r>
      <w:r w:rsidRPr="00C63B8B">
        <w:t>правленные на предотвращение расизма и ксенофобии, поощрение борьбы с дискриминацией и интеграцию этнических меньшинств, а также вырабатывает руководящие принципы политики в отношении уязвимых групп.</w:t>
      </w:r>
    </w:p>
    <w:p w:rsidR="008F52F9" w:rsidRPr="00C63B8B" w:rsidRDefault="008F52F9" w:rsidP="008F52F9">
      <w:pPr>
        <w:pStyle w:val="SingleTxtGR"/>
      </w:pPr>
      <w:r w:rsidRPr="00C63B8B">
        <w:t>97.</w:t>
      </w:r>
      <w:r w:rsidRPr="00C63B8B">
        <w:tab/>
        <w:t>В своей резолюции № 317 от 15 апреля 2009 года Правительство утве</w:t>
      </w:r>
      <w:r w:rsidRPr="00C63B8B">
        <w:t>р</w:t>
      </w:r>
      <w:r w:rsidRPr="00C63B8B">
        <w:t>дило Национальную антидискриминационную программу на 2009−2011 годы, направленную на уменьшение числа случаев дискриминации по признакам п</w:t>
      </w:r>
      <w:r w:rsidRPr="00C63B8B">
        <w:t>о</w:t>
      </w:r>
      <w:r w:rsidRPr="00C63B8B">
        <w:t>ла, сексуальной ориентации, расы, национальности, наличия инвалидности, возраста, религии или убеждений во всех сферах жизни общества, а также во</w:t>
      </w:r>
      <w:r w:rsidRPr="00C63B8B">
        <w:t>с</w:t>
      </w:r>
      <w:r w:rsidRPr="00C63B8B">
        <w:t>питания толерантности в обществе. В целях дальнейшей реализации своей п</w:t>
      </w:r>
      <w:r w:rsidRPr="00C63B8B">
        <w:t>о</w:t>
      </w:r>
      <w:r w:rsidRPr="00C63B8B">
        <w:t>литики в области борьбы с дискриминацией и обеспечения толерантности Пр</w:t>
      </w:r>
      <w:r w:rsidRPr="00C63B8B">
        <w:t>а</w:t>
      </w:r>
      <w:r w:rsidRPr="00C63B8B">
        <w:t>вительство в своей резолюции № 1281 от 2 ноября 2011 года утвердило Межу</w:t>
      </w:r>
      <w:r w:rsidRPr="00C63B8B">
        <w:t>ч</w:t>
      </w:r>
      <w:r w:rsidRPr="00C63B8B">
        <w:t>режденческий план действий по поощрению борьбы с дискриминацией на 2012−2014 годы, в котором предусматриваются меры, направленные на поо</w:t>
      </w:r>
      <w:r w:rsidRPr="00C63B8B">
        <w:t>щ</w:t>
      </w:r>
      <w:r w:rsidRPr="00C63B8B">
        <w:t>рение борьбы с дискриминацией и обеспечение равных возможностей, а также порядок осуществления этих мер (с поправками, внесенными 1 января 2013 г</w:t>
      </w:r>
      <w:r w:rsidRPr="00C63B8B">
        <w:t>о</w:t>
      </w:r>
      <w:r w:rsidRPr="00C63B8B">
        <w:t xml:space="preserve">да). </w:t>
      </w:r>
    </w:p>
    <w:p w:rsidR="008F52F9" w:rsidRPr="00C63B8B" w:rsidRDefault="008F52F9" w:rsidP="008F52F9">
      <w:pPr>
        <w:pStyle w:val="SingleTxtGR"/>
      </w:pPr>
      <w:r w:rsidRPr="00C63B8B">
        <w:t>98.</w:t>
      </w:r>
      <w:r w:rsidRPr="00C63B8B">
        <w:tab/>
        <w:t>В настоящее время Правительство реализует Стратегию развития пол</w:t>
      </w:r>
      <w:r w:rsidRPr="00C63B8B">
        <w:t>и</w:t>
      </w:r>
      <w:r w:rsidRPr="00C63B8B">
        <w:t>тики в отношении национальных меньшинств на период до 2015 года, однако предложение относительно подготовки и утверждения Стратегии развития п</w:t>
      </w:r>
      <w:r w:rsidRPr="00C63B8B">
        <w:t>о</w:t>
      </w:r>
      <w:r w:rsidRPr="00C63B8B">
        <w:t>литики в отношении национальных меньшинств на 2015−2021 годы уже было направлено в Правительство. Ее целью является создание благоприятных усл</w:t>
      </w:r>
      <w:r w:rsidRPr="00C63B8B">
        <w:t>о</w:t>
      </w:r>
      <w:r w:rsidRPr="00C63B8B">
        <w:t>вий, обеспечивающих успешную интеграцию национальных меньшинств в л</w:t>
      </w:r>
      <w:r w:rsidRPr="00C63B8B">
        <w:t>и</w:t>
      </w:r>
      <w:r w:rsidRPr="00C63B8B">
        <w:t>товское общество и предоставление им возможности использовать свой кул</w:t>
      </w:r>
      <w:r w:rsidRPr="00C63B8B">
        <w:t>ь</w:t>
      </w:r>
      <w:r w:rsidRPr="00C63B8B">
        <w:t>турный потенциал для блага государства на новом этапе его развития.</w:t>
      </w:r>
    </w:p>
    <w:p w:rsidR="008F52F9" w:rsidRPr="00C63B8B" w:rsidRDefault="008F52F9" w:rsidP="008F52F9">
      <w:pPr>
        <w:pStyle w:val="SingleTxtGR"/>
      </w:pPr>
      <w:r w:rsidRPr="00C63B8B">
        <w:t>99.</w:t>
      </w:r>
      <w:r w:rsidRPr="00C63B8B">
        <w:tab/>
        <w:t>Стремясь обеспечить сохранение идентичности рома, уменьшить степень их социальной изоляции, обеспечить их интеграцию в литовское общество и укрепить доверие общественности к рома, Правительство в своей резол</w:t>
      </w:r>
      <w:r w:rsidRPr="00C63B8B">
        <w:t>ю</w:t>
      </w:r>
      <w:r w:rsidRPr="00C63B8B">
        <w:t>ции № 309 от 26 марта 2008 года приняло, а затем и реализовало Стратегию и</w:t>
      </w:r>
      <w:r w:rsidRPr="00C63B8B">
        <w:t>н</w:t>
      </w:r>
      <w:r w:rsidRPr="00C63B8B">
        <w:t>теграции рома в литовское общество на 2008−2010 годы. Если же говорить о том, что принятые в рамках этой программы меры не позволили в полной мере решить проблемы, связанные с интеграцией рома в рынок труда и преодолен</w:t>
      </w:r>
      <w:r w:rsidRPr="00C63B8B">
        <w:t>и</w:t>
      </w:r>
      <w:r w:rsidRPr="00C63B8B">
        <w:t>ем их социальной изоляции, то можно упомянуть о том факте, что в марте 2012 года распоряжением Министра культуры был утвержден План действий по и</w:t>
      </w:r>
      <w:r w:rsidRPr="00C63B8B">
        <w:t>н</w:t>
      </w:r>
      <w:r w:rsidRPr="00C63B8B">
        <w:t>теграции рома в литовское общество на 2012−2014 годы.</w:t>
      </w:r>
    </w:p>
    <w:p w:rsidR="008F52F9" w:rsidRPr="00C63B8B" w:rsidRDefault="008F52F9" w:rsidP="008F52F9">
      <w:pPr>
        <w:pStyle w:val="SingleTxtGR"/>
      </w:pPr>
      <w:r w:rsidRPr="00C63B8B">
        <w:t>100.</w:t>
      </w:r>
      <w:r w:rsidRPr="00C63B8B">
        <w:tab/>
        <w:t>Стремясь обеспечить последовательное, всестороннее и систематическое осуществление положений Закона о равных возможностях для женщин и му</w:t>
      </w:r>
      <w:r w:rsidRPr="00C63B8B">
        <w:t>ж</w:t>
      </w:r>
      <w:r w:rsidRPr="00C63B8B">
        <w:t>чин, а также обязательств по соглашениям Европейского союза и междунаро</w:t>
      </w:r>
      <w:r w:rsidRPr="00C63B8B">
        <w:t>д</w:t>
      </w:r>
      <w:r w:rsidRPr="00C63B8B">
        <w:t>ным соглашениям в области обеспечения равенства женщин и мужчин, Прав</w:t>
      </w:r>
      <w:r w:rsidRPr="00C63B8B">
        <w:t>и</w:t>
      </w:r>
      <w:r w:rsidRPr="00C63B8B">
        <w:t>тельство в своей резолюции № 530 от 4 мая 2010 года утвердило Национальную программу по обеспечению равных возможностей для женщин и мужчин на 2010-2014 годы.</w:t>
      </w:r>
    </w:p>
    <w:p w:rsidR="008F52F9" w:rsidRPr="00C63B8B" w:rsidRDefault="008F52F9" w:rsidP="008F52F9">
      <w:pPr>
        <w:pStyle w:val="SingleTxtGR"/>
      </w:pPr>
      <w:r w:rsidRPr="00C63B8B">
        <w:t>101.</w:t>
      </w:r>
      <w:r w:rsidRPr="00C63B8B">
        <w:tab/>
        <w:t>В своей резолюции № 1715 от 1 декабря 2010 года Правительство утве</w:t>
      </w:r>
      <w:r w:rsidRPr="00C63B8B">
        <w:t>р</w:t>
      </w:r>
      <w:r w:rsidRPr="00C63B8B">
        <w:t>дило Национальную программу развития молодежной политики на 2011−2019 годы, которая, в частности, направлена на поощрение активного уч</w:t>
      </w:r>
      <w:r w:rsidRPr="00C63B8B">
        <w:t>а</w:t>
      </w:r>
      <w:r w:rsidRPr="00C63B8B">
        <w:t>стия молодежи из числа национальных меньшинств в экономической, гражда</w:t>
      </w:r>
      <w:r w:rsidRPr="00C63B8B">
        <w:t>н</w:t>
      </w:r>
      <w:r w:rsidRPr="00C63B8B">
        <w:t>ской и о</w:t>
      </w:r>
      <w:r w:rsidRPr="00C63B8B">
        <w:t>б</w:t>
      </w:r>
      <w:r w:rsidRPr="00C63B8B">
        <w:t>щественной жизни, а также на оказание ей помощи в деле интеграции в общество. В целях обеспечения реализации этой программы Министр соц</w:t>
      </w:r>
      <w:r w:rsidRPr="00C63B8B">
        <w:t>и</w:t>
      </w:r>
      <w:r w:rsidRPr="00C63B8B">
        <w:t>ального обеспечения и труда своим распоряжением № А1-93 от 12 апреля 2011 года утвердил План мер на 2011−2013 годы по осуществлению Наци</w:t>
      </w:r>
      <w:r w:rsidRPr="00C63B8B">
        <w:t>о</w:t>
      </w:r>
      <w:r w:rsidRPr="00C63B8B">
        <w:t xml:space="preserve">нальной программы развития молодежной политики на 2011−2019 годы. </w:t>
      </w:r>
    </w:p>
    <w:p w:rsidR="008F52F9" w:rsidRPr="00C63B8B" w:rsidRDefault="008F52F9" w:rsidP="008F52F9">
      <w:pPr>
        <w:pStyle w:val="SingleTxtGR"/>
      </w:pPr>
      <w:r w:rsidRPr="00C63B8B">
        <w:t>102.</w:t>
      </w:r>
      <w:r w:rsidRPr="00C63B8B">
        <w:tab/>
        <w:t>В своей резолюции № 1381 от 14 ноября 2012 года Правительство утве</w:t>
      </w:r>
      <w:r w:rsidRPr="00C63B8B">
        <w:t>р</w:t>
      </w:r>
      <w:r w:rsidRPr="00C63B8B">
        <w:t>дило Межучрежденческий план действий по осуществлению Национальной программы предотвращения преступности и борьбы с ней, одним из приорит</w:t>
      </w:r>
      <w:r w:rsidRPr="00C63B8B">
        <w:t>е</w:t>
      </w:r>
      <w:r w:rsidRPr="00C63B8B">
        <w:t>тов которого является усиление борьбы против торговли людьми, включая пр</w:t>
      </w:r>
      <w:r w:rsidRPr="00C63B8B">
        <w:t>е</w:t>
      </w:r>
      <w:r w:rsidRPr="00C63B8B">
        <w:t>дотвращение преступлений, связанных с торговлей людьми, повышение пр</w:t>
      </w:r>
      <w:r w:rsidRPr="00C63B8B">
        <w:t>о</w:t>
      </w:r>
      <w:r w:rsidRPr="00C63B8B">
        <w:t>фессиональной квалификации специалистов, оказание всесторонней помощи жертвам торговли людьми и принудительной проституции и защиту их прав, а также обеспечение эффективного международного взаимодействия в деле бор</w:t>
      </w:r>
      <w:r w:rsidRPr="00C63B8B">
        <w:t>ь</w:t>
      </w:r>
      <w:r w:rsidRPr="00C63B8B">
        <w:t>бы против торговли людьми.</w:t>
      </w:r>
    </w:p>
    <w:p w:rsidR="008F52F9" w:rsidRPr="00C63B8B" w:rsidRDefault="008F52F9" w:rsidP="008F52F9">
      <w:pPr>
        <w:pStyle w:val="H23GR"/>
      </w:pPr>
      <w:r w:rsidRPr="00C63B8B">
        <w:tab/>
      </w:r>
      <w:r w:rsidRPr="00C63B8B">
        <w:tab/>
        <w:t>Социологические и научные исследования</w:t>
      </w:r>
    </w:p>
    <w:p w:rsidR="008F52F9" w:rsidRPr="00C63B8B" w:rsidRDefault="008F52F9" w:rsidP="008F52F9">
      <w:pPr>
        <w:pStyle w:val="SingleTxtGR"/>
      </w:pPr>
      <w:r w:rsidRPr="00C63B8B">
        <w:t>103.</w:t>
      </w:r>
      <w:r w:rsidRPr="00C63B8B">
        <w:tab/>
        <w:t>Вильнюсский университет, Институт международных отношений и пол</w:t>
      </w:r>
      <w:r w:rsidRPr="00C63B8B">
        <w:t>и</w:t>
      </w:r>
      <w:r w:rsidRPr="00C63B8B">
        <w:t>тических наук Вильнюсского университета, Центр востоковедения Вильню</w:t>
      </w:r>
      <w:r w:rsidRPr="00C63B8B">
        <w:t>с</w:t>
      </w:r>
      <w:r w:rsidRPr="00C63B8B">
        <w:t>ского университета, Центр религиоведения и исследований религии Вильню</w:t>
      </w:r>
      <w:r w:rsidRPr="00C63B8B">
        <w:t>с</w:t>
      </w:r>
      <w:r w:rsidRPr="00C63B8B">
        <w:t>ского университета, Вильнюсский институт идиша, Университет Витовта Вел</w:t>
      </w:r>
      <w:r w:rsidRPr="00C63B8B">
        <w:t>и</w:t>
      </w:r>
      <w:r w:rsidRPr="00C63B8B">
        <w:t>кого, Институт этнических исследований при Литовском центре социальных исследований, а также неправительственные организации, в том числе Лито</w:t>
      </w:r>
      <w:r w:rsidRPr="00C63B8B">
        <w:t>в</w:t>
      </w:r>
      <w:r w:rsidRPr="00C63B8B">
        <w:t>ский центр по правам человека, проводят и организуют социологические и н</w:t>
      </w:r>
      <w:r w:rsidRPr="00C63B8B">
        <w:t>а</w:t>
      </w:r>
      <w:r w:rsidRPr="00C63B8B">
        <w:t>учные исследования, принимают участие в национальных и международных проектах, организуют конференции, семинары и другие мероприятия, а также разрабатывают и осуществляют образовательные программы. Кроме того, эти учреждения занимаются анализом законодательных актов, регламентирующих права и свободы национальных меньшинств, собирают материалы об их кул</w:t>
      </w:r>
      <w:r w:rsidRPr="00C63B8B">
        <w:t>ь</w:t>
      </w:r>
      <w:r w:rsidRPr="00C63B8B">
        <w:t>туре, истории и религии, предоставляют методологическую поддержку и ко</w:t>
      </w:r>
      <w:r w:rsidRPr="00C63B8B">
        <w:t>н</w:t>
      </w:r>
      <w:r w:rsidRPr="00C63B8B">
        <w:t>сультации, а также выполняют функции по консолидации усилий ученых, сп</w:t>
      </w:r>
      <w:r w:rsidRPr="00C63B8B">
        <w:t>е</w:t>
      </w:r>
      <w:r w:rsidRPr="00C63B8B">
        <w:t>циалистов и представителей общественности в данной области.</w:t>
      </w:r>
    </w:p>
    <w:p w:rsidR="008F52F9" w:rsidRPr="00C63B8B" w:rsidRDefault="008F52F9" w:rsidP="008F52F9">
      <w:pPr>
        <w:pStyle w:val="SingleTxtGR"/>
      </w:pPr>
      <w:r w:rsidRPr="00C63B8B">
        <w:t>104.</w:t>
      </w:r>
      <w:r w:rsidRPr="00C63B8B">
        <w:tab/>
        <w:t>В декабре 2008 года по распоряжению Департамента по делам наци</w:t>
      </w:r>
      <w:r w:rsidRPr="00C63B8B">
        <w:t>о</w:t>
      </w:r>
      <w:r w:rsidRPr="00C63B8B">
        <w:t>нальных меньшинств и литовцев, проживающих за рубежом, Институт труд</w:t>
      </w:r>
      <w:r w:rsidRPr="00C63B8B">
        <w:t>о</w:t>
      </w:r>
      <w:r w:rsidRPr="00C63B8B">
        <w:t>вых и социальных исследований провел обследование под названием "Полож</w:t>
      </w:r>
      <w:r w:rsidRPr="00C63B8B">
        <w:t>е</w:t>
      </w:r>
      <w:r w:rsidRPr="00C63B8B">
        <w:t>ние женщин и мужчин из числа национальных меньшинств на рынке труда". Обследование охватило в общей сложности 622 представителей национальных меньшинств из Вильнюса и населенных пунктов Вильнюсского уезда, а также из Клайпеды и населенных пунктов Клайпедского уезда. Результаты обследов</w:t>
      </w:r>
      <w:r w:rsidRPr="00C63B8B">
        <w:t>а</w:t>
      </w:r>
      <w:r w:rsidRPr="00C63B8B">
        <w:t>ния показали, что 69,8% представителей национальных меньшинств имеют р</w:t>
      </w:r>
      <w:r w:rsidRPr="00C63B8B">
        <w:t>а</w:t>
      </w:r>
      <w:r w:rsidRPr="00C63B8B">
        <w:t>боту. Хотя готовность заниматься трудовой деятельностью у женщин из числа национальных меньшинств была выше, чем у мужчин, они уступали мужчинам по показателям экономической активности и занятости (из-за выполнения д</w:t>
      </w:r>
      <w:r w:rsidRPr="00C63B8B">
        <w:t>о</w:t>
      </w:r>
      <w:r w:rsidRPr="00C63B8B">
        <w:t>машних обязанностей, учебы и т.д.). Дипломы о высшем образовании имеют 43,2% женщин и лишь 29,7% мужчин. В ходе процессов трудоустро</w:t>
      </w:r>
      <w:r w:rsidRPr="00C63B8B">
        <w:t>й</w:t>
      </w:r>
      <w:r w:rsidRPr="00C63B8B">
        <w:t>ства и карьерного роста, как правило, имеют место проявления дискриминации. Как показывают результаты социологического обследования, представители наци</w:t>
      </w:r>
      <w:r w:rsidRPr="00C63B8B">
        <w:t>о</w:t>
      </w:r>
      <w:r w:rsidRPr="00C63B8B">
        <w:t>нальных меньшинств весьма скромно оценили уровень своего владения лито</w:t>
      </w:r>
      <w:r w:rsidRPr="00C63B8B">
        <w:t>в</w:t>
      </w:r>
      <w:r w:rsidRPr="00C63B8B">
        <w:t>ским языком: всего лишь половина представителей национальных мен</w:t>
      </w:r>
      <w:r w:rsidRPr="00C63B8B">
        <w:t>ь</w:t>
      </w:r>
      <w:r w:rsidRPr="00C63B8B">
        <w:t>шинств хорошо понимает литовский язык; лишь треть может свободно разговаривать по-литовски; и лишь одна пятая свободно владеет письменным литовским яз</w:t>
      </w:r>
      <w:r w:rsidRPr="00C63B8B">
        <w:t>ы</w:t>
      </w:r>
      <w:r w:rsidRPr="00C63B8B">
        <w:t>ком. С учетом того, что устное владение официальным языком является необх</w:t>
      </w:r>
      <w:r w:rsidRPr="00C63B8B">
        <w:t>о</w:t>
      </w:r>
      <w:r w:rsidRPr="00C63B8B">
        <w:t>димым условием трудовой деятельности, результаты обследования показывают, что более половины представителей национальных меньшинств не в полной мере удовлетворяют требованиям рынка труда. Примерно 42% предст</w:t>
      </w:r>
      <w:r w:rsidRPr="00C63B8B">
        <w:t>а</w:t>
      </w:r>
      <w:r w:rsidRPr="00C63B8B">
        <w:t>вителей национальных меньшинств выражают готовность улучшить уровень владения литовским языком.</w:t>
      </w:r>
    </w:p>
    <w:p w:rsidR="008F52F9" w:rsidRPr="00C63B8B" w:rsidRDefault="008F52F9" w:rsidP="008F52F9">
      <w:pPr>
        <w:pStyle w:val="SingleTxtGR"/>
      </w:pPr>
      <w:r w:rsidRPr="00C63B8B">
        <w:t>105.</w:t>
      </w:r>
      <w:r w:rsidRPr="00C63B8B">
        <w:tab/>
        <w:t>В декабре 2008 года были опубликованы результаты социологического обследования под названием "Обзор положения рома: рома перед выбором м</w:t>
      </w:r>
      <w:r w:rsidRPr="00C63B8B">
        <w:t>е</w:t>
      </w:r>
      <w:r w:rsidRPr="00C63B8B">
        <w:t>жду учебой и рынком труда". Обследование было проведено Институтом этн</w:t>
      </w:r>
      <w:r w:rsidRPr="00C63B8B">
        <w:t>и</w:t>
      </w:r>
      <w:r w:rsidRPr="00C63B8B">
        <w:t>ческих исследований Литовского центра социальных исследований. Было о</w:t>
      </w:r>
      <w:r w:rsidRPr="00C63B8B">
        <w:t>б</w:t>
      </w:r>
      <w:r w:rsidRPr="00C63B8B">
        <w:t>следовано в общей сложности 250 представителей народа рома из всех реги</w:t>
      </w:r>
      <w:r w:rsidRPr="00C63B8B">
        <w:t>о</w:t>
      </w:r>
      <w:r w:rsidRPr="00C63B8B">
        <w:t>нов Литвы. Результаты обследования свидетельствуют о том, что литовские р</w:t>
      </w:r>
      <w:r w:rsidRPr="00C63B8B">
        <w:t>о</w:t>
      </w:r>
      <w:r w:rsidRPr="00C63B8B">
        <w:t>ма ведут оседлый образ жизни. В течение последнего десятилетия выросло к</w:t>
      </w:r>
      <w:r w:rsidRPr="00C63B8B">
        <w:t>о</w:t>
      </w:r>
      <w:r w:rsidRPr="00C63B8B">
        <w:t>личество детей-рома, заканчивающих начальные школы; число детей-рома, обучающихся в средних школах, также увеличилось, хотя и лишь очень немн</w:t>
      </w:r>
      <w:r w:rsidRPr="00C63B8B">
        <w:t>о</w:t>
      </w:r>
      <w:r w:rsidRPr="00C63B8B">
        <w:t>гие из них получают полное среднее образование. Безработными являются в общей сложности 56,7% опрошенных взрослых. Для более чем трети респо</w:t>
      </w:r>
      <w:r w:rsidRPr="00C63B8B">
        <w:t>н</w:t>
      </w:r>
      <w:r w:rsidRPr="00C63B8B">
        <w:t>дентов основным источником дохода являются социальные пособия. Обслед</w:t>
      </w:r>
      <w:r w:rsidRPr="00C63B8B">
        <w:t>о</w:t>
      </w:r>
      <w:r w:rsidRPr="00C63B8B">
        <w:t>вание показывает, что рома, как правило, стремятся решать свои проблемы со</w:t>
      </w:r>
      <w:r w:rsidRPr="00C63B8B">
        <w:t>б</w:t>
      </w:r>
      <w:r w:rsidRPr="00C63B8B">
        <w:t>ственными силами, полагаясь исключительно на связи в своей общине.</w:t>
      </w:r>
    </w:p>
    <w:p w:rsidR="008F52F9" w:rsidRPr="00C63B8B" w:rsidRDefault="008F52F9" w:rsidP="008F52F9">
      <w:pPr>
        <w:pStyle w:val="SingleTxtGR"/>
      </w:pPr>
      <w:r w:rsidRPr="00C63B8B">
        <w:t>106.</w:t>
      </w:r>
      <w:r w:rsidRPr="00C63B8B">
        <w:tab/>
        <w:t>В 2008−2011 годах Институт этнических исследований принял участие в реализации проекта "ЕНРИ-Восток", финансирование которого осуществл</w:t>
      </w:r>
      <w:r w:rsidRPr="00C63B8B">
        <w:t>я</w:t>
      </w:r>
      <w:r w:rsidRPr="00C63B8B">
        <w:t>лось по линии проекта научных исследований Европейской комиссии; в рамках пр</w:t>
      </w:r>
      <w:r w:rsidRPr="00C63B8B">
        <w:t>о</w:t>
      </w:r>
      <w:r w:rsidRPr="00C63B8B">
        <w:t>екта исследовались национальные идентичности и идентичности мен</w:t>
      </w:r>
      <w:r w:rsidRPr="00C63B8B">
        <w:t>ь</w:t>
      </w:r>
      <w:r w:rsidRPr="00C63B8B">
        <w:t>шинств в странах, расположенных вдоль восточной границы Европейского союза. Цель проекта состояла в том, чтобы собрать, проанализировать и резюмировать об</w:t>
      </w:r>
      <w:r w:rsidRPr="00C63B8B">
        <w:t>ъ</w:t>
      </w:r>
      <w:r w:rsidRPr="00C63B8B">
        <w:t>ективные, достоверные и сопоставимые на общеевропейском уровне данные по следующим исследуемым областям: углубление исследований н</w:t>
      </w:r>
      <w:r w:rsidRPr="00C63B8B">
        <w:t>а</w:t>
      </w:r>
      <w:r w:rsidRPr="00C63B8B">
        <w:t>циональных и этнических идентичностей; совершенствование методологии исследования в</w:t>
      </w:r>
      <w:r w:rsidRPr="00C63B8B">
        <w:t>о</w:t>
      </w:r>
      <w:r w:rsidRPr="00C63B8B">
        <w:t>проса о формировании европейской идентичности; оценка исторического ра</w:t>
      </w:r>
      <w:r w:rsidRPr="00C63B8B">
        <w:t>з</w:t>
      </w:r>
      <w:r w:rsidRPr="00C63B8B">
        <w:t>вития национальных меньшинств; вторичный анализ данных, полученных в х</w:t>
      </w:r>
      <w:r w:rsidRPr="00C63B8B">
        <w:t>о</w:t>
      </w:r>
      <w:r w:rsidRPr="00C63B8B">
        <w:t>де исследований меньшинств; количественное (репрезентативное) междун</w:t>
      </w:r>
      <w:r w:rsidRPr="00C63B8B">
        <w:t>а</w:t>
      </w:r>
      <w:r w:rsidRPr="00C63B8B">
        <w:t>родное обследование в целях анализа ценностей и идентичностей; и качестве</w:t>
      </w:r>
      <w:r w:rsidRPr="00C63B8B">
        <w:t>н</w:t>
      </w:r>
      <w:r w:rsidRPr="00C63B8B">
        <w:t>ное международное обследование (при помощи различных методов). На осн</w:t>
      </w:r>
      <w:r w:rsidRPr="00C63B8B">
        <w:t>о</w:t>
      </w:r>
      <w:r w:rsidRPr="00C63B8B">
        <w:t>вании данных, полученных в ходе реализации проекта, были по</w:t>
      </w:r>
      <w:r w:rsidRPr="00C63B8B">
        <w:t>д</w:t>
      </w:r>
      <w:r w:rsidRPr="00C63B8B">
        <w:t>готовлены три доклада о положении этнических меньшинств в Литве: "Русское меньшинство в Литве", "Белорусское меньшинство в Литве" и "Польское меньшинство в Ли</w:t>
      </w:r>
      <w:r w:rsidRPr="00C63B8B">
        <w:t>т</w:t>
      </w:r>
      <w:r w:rsidRPr="00C63B8B">
        <w:t xml:space="preserve">ве" (с ними можно ознакомиться по ссылке </w:t>
      </w:r>
      <w:hyperlink r:id="rId8" w:history="1">
        <w:r w:rsidRPr="00C63B8B">
          <w:rPr>
            <w:rStyle w:val="Hyperlink"/>
            <w:u w:val="none"/>
          </w:rPr>
          <w:t>www.enri-east.net/projects-results/en/</w:t>
        </w:r>
      </w:hyperlink>
      <w:r w:rsidRPr="00C63B8B">
        <w:t xml:space="preserve">). </w:t>
      </w:r>
    </w:p>
    <w:p w:rsidR="008F52F9" w:rsidRPr="00C63B8B" w:rsidRDefault="008F52F9" w:rsidP="008F52F9">
      <w:pPr>
        <w:pStyle w:val="SingleTxtGR"/>
      </w:pPr>
      <w:r w:rsidRPr="00C63B8B">
        <w:t>107.</w:t>
      </w:r>
      <w:r w:rsidRPr="00C63B8B">
        <w:tab/>
        <w:t>В 2008−2010 годах Институт истории Литвы совместно с Центром иссл</w:t>
      </w:r>
      <w:r w:rsidRPr="00C63B8B">
        <w:t>е</w:t>
      </w:r>
      <w:r w:rsidRPr="00C63B8B">
        <w:t>дований культуры и истории восточноевропейских евреев реализовал исслед</w:t>
      </w:r>
      <w:r w:rsidRPr="00C63B8B">
        <w:t>о</w:t>
      </w:r>
      <w:r w:rsidRPr="00C63B8B">
        <w:t>вательский проект под названием "Евреи в Литве: историческое исследование". Объектом этого исследовательского проекта стала история евреев Литвы. В ц</w:t>
      </w:r>
      <w:r w:rsidRPr="00C63B8B">
        <w:t>е</w:t>
      </w:r>
      <w:r w:rsidRPr="00C63B8B">
        <w:t>лях реализации этого проекта была сформирована международная исследов</w:t>
      </w:r>
      <w:r w:rsidRPr="00C63B8B">
        <w:t>а</w:t>
      </w:r>
      <w:r w:rsidRPr="00C63B8B">
        <w:t>тельская группа (с участием представителей Израиля, Литвы, Польши, Соед</w:t>
      </w:r>
      <w:r w:rsidRPr="00C63B8B">
        <w:t>и</w:t>
      </w:r>
      <w:r w:rsidRPr="00C63B8B">
        <w:t>ненных Штатов Америки и Эстонии), а также создан международный редакц</w:t>
      </w:r>
      <w:r w:rsidRPr="00C63B8B">
        <w:t>и</w:t>
      </w:r>
      <w:r w:rsidRPr="00C63B8B">
        <w:t>онный совет. Данный проект имел как научное, так и более широкое общес</w:t>
      </w:r>
      <w:r w:rsidRPr="00C63B8B">
        <w:t>т</w:t>
      </w:r>
      <w:r w:rsidRPr="00C63B8B">
        <w:t xml:space="preserve">венное и культурное значение. </w:t>
      </w:r>
    </w:p>
    <w:p w:rsidR="008F52F9" w:rsidRPr="00C63B8B" w:rsidRDefault="008F52F9" w:rsidP="008F52F9">
      <w:pPr>
        <w:pStyle w:val="SingleTxtGR"/>
      </w:pPr>
      <w:r w:rsidRPr="00C63B8B">
        <w:t>108.</w:t>
      </w:r>
      <w:r w:rsidRPr="00C63B8B">
        <w:tab/>
        <w:t>В 2009−2010 годах Институт истории Литвы продолжил реализацию н</w:t>
      </w:r>
      <w:r w:rsidRPr="00C63B8B">
        <w:t>а</w:t>
      </w:r>
      <w:r w:rsidRPr="00C63B8B">
        <w:t>чатой в 2001 году научной программы под названием "Модернизация литовск</w:t>
      </w:r>
      <w:r w:rsidRPr="00C63B8B">
        <w:t>о</w:t>
      </w:r>
      <w:r w:rsidRPr="00C63B8B">
        <w:t>го общества и этнические конфликты (недоминирующие этнические сообщес</w:t>
      </w:r>
      <w:r w:rsidRPr="00C63B8B">
        <w:t>т</w:t>
      </w:r>
      <w:r w:rsidRPr="00C63B8B">
        <w:t>ва в Литве в XIX веке и первой половине XX века"). В рамках программы пр</w:t>
      </w:r>
      <w:r w:rsidRPr="00C63B8B">
        <w:t>о</w:t>
      </w:r>
      <w:r w:rsidRPr="00C63B8B">
        <w:t>водился анализ основных причин этнических конфликтов и их динамики в л</w:t>
      </w:r>
      <w:r w:rsidRPr="00C63B8B">
        <w:t>и</w:t>
      </w:r>
      <w:r w:rsidRPr="00C63B8B">
        <w:t>товском обществе с упором на развитие этнических сообществ, взаимосвязи между ними и влияние смены политических режимов на межэтнические отн</w:t>
      </w:r>
      <w:r w:rsidRPr="00C63B8B">
        <w:t>о</w:t>
      </w:r>
      <w:r w:rsidRPr="00C63B8B">
        <w:t>шения. В 2009−2010 году были опубликованы 10 научно-исследовательских д</w:t>
      </w:r>
      <w:r w:rsidRPr="00C63B8B">
        <w:t>о</w:t>
      </w:r>
      <w:r w:rsidRPr="00C63B8B">
        <w:t>кументов, посвященных этим темам.</w:t>
      </w:r>
    </w:p>
    <w:p w:rsidR="008F52F9" w:rsidRPr="00C63B8B" w:rsidRDefault="008F52F9" w:rsidP="008F52F9">
      <w:pPr>
        <w:pStyle w:val="SingleTxtGR"/>
      </w:pPr>
      <w:r w:rsidRPr="00C63B8B">
        <w:t>109.</w:t>
      </w:r>
      <w:r w:rsidRPr="00C63B8B">
        <w:tab/>
        <w:t>В 2009 году Институт этнических исследований подготовил и опублик</w:t>
      </w:r>
      <w:r w:rsidRPr="00C63B8B">
        <w:t>о</w:t>
      </w:r>
      <w:r w:rsidRPr="00C63B8B">
        <w:t>вал исследование социолога Наталии Касаткиной и историка Андрюса Марци</w:t>
      </w:r>
      <w:r w:rsidRPr="00C63B8B">
        <w:t>н</w:t>
      </w:r>
      <w:r w:rsidRPr="00C63B8B">
        <w:t>кявичюса под названием "Русские в литовском обществе в 1918−1940 годах: конструирование исторической ретроспективы", в основу которого были пол</w:t>
      </w:r>
      <w:r w:rsidRPr="00C63B8B">
        <w:t>о</w:t>
      </w:r>
      <w:r w:rsidRPr="00C63B8B">
        <w:t>жены результаты исследовательского проекта, реализованного на средства Г</w:t>
      </w:r>
      <w:r w:rsidRPr="00C63B8B">
        <w:t>о</w:t>
      </w:r>
      <w:r w:rsidRPr="00C63B8B">
        <w:t>сударс</w:t>
      </w:r>
      <w:r w:rsidRPr="00C63B8B">
        <w:t>т</w:t>
      </w:r>
      <w:r w:rsidRPr="00C63B8B">
        <w:t>венного научно-исследовательского фонда Литвы. В ходе исследования были проанализированы исторические аспекты социального положения ру</w:t>
      </w:r>
      <w:r w:rsidRPr="00C63B8B">
        <w:t>с</w:t>
      </w:r>
      <w:r w:rsidRPr="00C63B8B">
        <w:t>ских, а также исторические аспекты их взаимоотношений с литовским общес</w:t>
      </w:r>
      <w:r w:rsidRPr="00C63B8B">
        <w:t>т</w:t>
      </w:r>
      <w:r w:rsidRPr="00C63B8B">
        <w:t>вом.</w:t>
      </w:r>
    </w:p>
    <w:p w:rsidR="008F52F9" w:rsidRPr="00C63B8B" w:rsidRDefault="008F52F9" w:rsidP="008F52F9">
      <w:pPr>
        <w:pStyle w:val="SingleTxtGR"/>
      </w:pPr>
      <w:r w:rsidRPr="00C63B8B">
        <w:t>110.</w:t>
      </w:r>
      <w:r w:rsidRPr="00C63B8B">
        <w:tab/>
        <w:t>В 2011−2012 годах Институт этнических исследований осуществил пр</w:t>
      </w:r>
      <w:r w:rsidRPr="00C63B8B">
        <w:t>о</w:t>
      </w:r>
      <w:r w:rsidRPr="00C63B8B">
        <w:t>ект под названием "Социальные вызовы, с которыми сталкиваются этнические меньшинства и группы новых иммигрантов в Литве после ее присоединения к Европейскому союзу", который финансировался Научным советом Литвы. В рамках проекта были изучены характерные особенности интеграции в общ</w:t>
      </w:r>
      <w:r w:rsidRPr="00C63B8B">
        <w:t>е</w:t>
      </w:r>
      <w:r w:rsidRPr="00C63B8B">
        <w:t>ство и социального развития русского, белорусского и украинского социальных меньшинств в Висагинасе, а также трех наиболее многочисленных групп имм</w:t>
      </w:r>
      <w:r w:rsidRPr="00C63B8B">
        <w:t>и</w:t>
      </w:r>
      <w:r w:rsidRPr="00C63B8B">
        <w:t>грантов в Литве (русских, белорусов и украинцев); проведены оценка и сопо</w:t>
      </w:r>
      <w:r w:rsidRPr="00C63B8B">
        <w:t>с</w:t>
      </w:r>
      <w:r w:rsidRPr="00C63B8B">
        <w:t xml:space="preserve">тавление социального положения этих групп; и описаны этнические процессы в Литве после ее присоединения к Европейскому союзу (с результатами проекта можно ознакомиться по ссылке </w:t>
      </w:r>
      <w:hyperlink r:id="rId9" w:history="1">
        <w:r w:rsidRPr="00C63B8B">
          <w:rPr>
            <w:rStyle w:val="Hyperlink"/>
            <w:u w:val="none"/>
          </w:rPr>
          <w:t>www.ces.lt/etniskumo-studijos-2/isleisti-zurnalai/ etniskumo-studijos-2012/</w:t>
        </w:r>
      </w:hyperlink>
      <w:r w:rsidRPr="00C63B8B">
        <w:t>).</w:t>
      </w:r>
    </w:p>
    <w:p w:rsidR="008F52F9" w:rsidRPr="00C63B8B" w:rsidRDefault="008F52F9" w:rsidP="008F52F9">
      <w:pPr>
        <w:pStyle w:val="SingleTxtGR"/>
      </w:pPr>
      <w:r w:rsidRPr="00C63B8B">
        <w:t>111.</w:t>
      </w:r>
      <w:r w:rsidRPr="00C63B8B">
        <w:tab/>
        <w:t>В 2012 году Институт подготовил для Агентства Европейского союза по основным правам обзор положения рома, в котором представлены результаты качественных и количественных исследований в таких сферах, как образование, обеспечение жильем, занятость, здравоохранение, проблема нищеты и гражда</w:t>
      </w:r>
      <w:r w:rsidRPr="00C63B8B">
        <w:t>н</w:t>
      </w:r>
      <w:r w:rsidRPr="00C63B8B">
        <w:t xml:space="preserve">ская активность (с результатами обзора можно ознакомиться по ссылке </w:t>
      </w:r>
      <w:hyperlink r:id="rId10" w:history="1">
        <w:r w:rsidRPr="00C63B8B">
          <w:rPr>
            <w:rStyle w:val="Hyperlink"/>
            <w:u w:val="none"/>
          </w:rPr>
          <w:t>www.fra.europa.eu/en/country-data-/2013/country-thematic-studies-situation-roma</w:t>
        </w:r>
      </w:hyperlink>
      <w:r w:rsidRPr="00C63B8B">
        <w:t>).</w:t>
      </w:r>
    </w:p>
    <w:p w:rsidR="008F52F9" w:rsidRPr="00C63B8B" w:rsidRDefault="008F52F9" w:rsidP="008F52F9">
      <w:pPr>
        <w:pStyle w:val="SingleTxtGR"/>
      </w:pPr>
      <w:r w:rsidRPr="00C63B8B">
        <w:t>112.</w:t>
      </w:r>
      <w:r w:rsidRPr="00C63B8B">
        <w:tab/>
        <w:t>В 2012 году Канцелярия Уполномоченного по обеспечению равных во</w:t>
      </w:r>
      <w:r w:rsidRPr="00C63B8B">
        <w:t>з</w:t>
      </w:r>
      <w:r w:rsidRPr="00C63B8B">
        <w:t>можностей и Литовский центр социальных исследований опубликовали иссл</w:t>
      </w:r>
      <w:r w:rsidRPr="00C63B8B">
        <w:t>е</w:t>
      </w:r>
      <w:r w:rsidRPr="00C63B8B">
        <w:t>дование младшего научного сотрудника Института этнических исследований Виты Петрушаускайте под названием "Дети-рома в системе образования на примерах Вильнюсского и Укмергского муниципальных образований". В этой публикации представлены результаты сравнительного исследования участия д</w:t>
      </w:r>
      <w:r w:rsidRPr="00C63B8B">
        <w:t>е</w:t>
      </w:r>
      <w:r w:rsidRPr="00C63B8B">
        <w:t>тей-рома в системе образования в Вильнюсском и Укмергском муниципальных образованиях. В рамках исследования был проведен обзор региональных ра</w:t>
      </w:r>
      <w:r w:rsidRPr="00C63B8B">
        <w:t>з</w:t>
      </w:r>
      <w:r w:rsidRPr="00C63B8B">
        <w:t>личий в участии детей-рома в системе образования, а также оценка влияния м</w:t>
      </w:r>
      <w:r w:rsidRPr="00C63B8B">
        <w:t>е</w:t>
      </w:r>
      <w:r w:rsidRPr="00C63B8B">
        <w:t>стных особенностей образовательных учреждений на вероятность дальнейшего участия детей в системе образования.</w:t>
      </w:r>
    </w:p>
    <w:p w:rsidR="008F52F9" w:rsidRPr="00C63B8B" w:rsidRDefault="008F52F9" w:rsidP="008F52F9">
      <w:pPr>
        <w:pStyle w:val="SingleTxtGR"/>
      </w:pPr>
      <w:r w:rsidRPr="00C63B8B">
        <w:t>113.</w:t>
      </w:r>
      <w:r w:rsidRPr="00C63B8B">
        <w:tab/>
        <w:t>Также в 2012 году по инициативе Канцелярии Уполномоченного по обе</w:t>
      </w:r>
      <w:r w:rsidRPr="00C63B8B">
        <w:t>с</w:t>
      </w:r>
      <w:r w:rsidRPr="00C63B8B">
        <w:t>печению равных возможностей было проведено исследование под названием "Проблемы религиозного многообразия в Литве: взгляд со стороны религио</w:t>
      </w:r>
      <w:r w:rsidRPr="00C63B8B">
        <w:t>з</w:t>
      </w:r>
      <w:r w:rsidRPr="00C63B8B">
        <w:t>ных меньшинств". В обследовании, проведенном в рамках этого эмпирического исследования, приняли участие 362 представителя общин религиозных мен</w:t>
      </w:r>
      <w:r w:rsidRPr="00C63B8B">
        <w:t>ь</w:t>
      </w:r>
      <w:r w:rsidRPr="00C63B8B">
        <w:t xml:space="preserve">шинств и 17 представителей общин нетрадиционных меньшинств. </w:t>
      </w:r>
    </w:p>
    <w:p w:rsidR="008F52F9" w:rsidRPr="00C63B8B" w:rsidRDefault="008F52F9" w:rsidP="008F52F9">
      <w:pPr>
        <w:pStyle w:val="SingleTxtGR"/>
      </w:pPr>
      <w:r w:rsidRPr="00C63B8B">
        <w:t>114.</w:t>
      </w:r>
      <w:r w:rsidRPr="00C63B8B">
        <w:tab/>
        <w:t>В 2012 году Институт этнических исследований приступил к реализации проекта под названием "Этнические меньшинства в юго-восточной Литве: пр</w:t>
      </w:r>
      <w:r w:rsidRPr="00C63B8B">
        <w:t>о</w:t>
      </w:r>
      <w:r w:rsidRPr="00C63B8B">
        <w:t>явления этнических, гражданских, региональных и локальных идентичностей", который финансируется Научным советом Литвы. Целью данного проекта явл</w:t>
      </w:r>
      <w:r w:rsidRPr="00C63B8B">
        <w:t>я</w:t>
      </w:r>
      <w:r w:rsidRPr="00C63B8B">
        <w:t>ется проведение междисциплинарных исследований, касающихся конфигур</w:t>
      </w:r>
      <w:r w:rsidRPr="00C63B8B">
        <w:t>а</w:t>
      </w:r>
      <w:r w:rsidRPr="00C63B8B">
        <w:t>ций и проявлений этнических, гражданских, региональных и локальных иде</w:t>
      </w:r>
      <w:r w:rsidRPr="00C63B8B">
        <w:t>н</w:t>
      </w:r>
      <w:r w:rsidRPr="00C63B8B">
        <w:t xml:space="preserve">тичностей жителей приграничных районов Литвы (польской, белорусской и русской этнических групп). </w:t>
      </w:r>
    </w:p>
    <w:p w:rsidR="008F52F9" w:rsidRPr="00C63B8B" w:rsidRDefault="008F52F9" w:rsidP="008F52F9">
      <w:pPr>
        <w:pStyle w:val="SingleTxtGR"/>
      </w:pPr>
      <w:r w:rsidRPr="00C63B8B">
        <w:t>115.</w:t>
      </w:r>
      <w:r w:rsidRPr="00C63B8B">
        <w:tab/>
        <w:t>Двадцатого апреля 2012 года Сейм провел международную конференцию на тему "Национальные меньшинства и международное право", организова</w:t>
      </w:r>
      <w:r w:rsidRPr="00C63B8B">
        <w:t>н</w:t>
      </w:r>
      <w:r w:rsidRPr="00C63B8B">
        <w:t>ную Комитетом Сейма по правам человека в сотрудничестве с Университетом им. Миколаса Ромериса. Организаторы конференции ставили цель не только провести презентации исследований, связанных с защитой прав национальных меньшинств, но и заслушать мнения представителей международных учрежд</w:t>
      </w:r>
      <w:r w:rsidRPr="00C63B8B">
        <w:t>е</w:t>
      </w:r>
      <w:r w:rsidRPr="00C63B8B">
        <w:t>ний и национальных меньшинств, живущих в Литве, относительно вопросов, касающихся защиты прав национальных меньшинств. Впоследствии на основе материалов конференции было подготовлено и опубликовано научное исслед</w:t>
      </w:r>
      <w:r w:rsidRPr="00C63B8B">
        <w:t>о</w:t>
      </w:r>
      <w:r w:rsidRPr="00C63B8B">
        <w:t xml:space="preserve">вание. </w:t>
      </w:r>
    </w:p>
    <w:p w:rsidR="008F52F9" w:rsidRPr="00C63B8B" w:rsidRDefault="008F52F9" w:rsidP="008F52F9">
      <w:pPr>
        <w:pStyle w:val="SingleTxtGR"/>
      </w:pPr>
      <w:r w:rsidRPr="00C63B8B">
        <w:t>116.</w:t>
      </w:r>
      <w:r w:rsidRPr="00C63B8B">
        <w:tab/>
        <w:t>В 2012 году в рамках проекта, который финансировался Научным сов</w:t>
      </w:r>
      <w:r w:rsidRPr="00C63B8B">
        <w:t>е</w:t>
      </w:r>
      <w:r w:rsidRPr="00C63B8B">
        <w:t>том Литвы, ученые из Университета им. Миколаса Ромериса подготовили нау</w:t>
      </w:r>
      <w:r w:rsidRPr="00C63B8B">
        <w:t>ч</w:t>
      </w:r>
      <w:r w:rsidRPr="00C63B8B">
        <w:t xml:space="preserve">ное исследование на тему "Ограничения свободы религии в демократическом обществе". </w:t>
      </w:r>
    </w:p>
    <w:p w:rsidR="008F52F9" w:rsidRPr="00C63B8B" w:rsidRDefault="008F52F9" w:rsidP="008F52F9">
      <w:pPr>
        <w:pStyle w:val="SingleTxtGR"/>
      </w:pPr>
      <w:r w:rsidRPr="00C63B8B">
        <w:t>117.</w:t>
      </w:r>
      <w:r w:rsidRPr="00C63B8B">
        <w:tab/>
        <w:t>В 2012−2013 годах Институт этнических исследований совместно с Це</w:t>
      </w:r>
      <w:r w:rsidRPr="00C63B8B">
        <w:t>н</w:t>
      </w:r>
      <w:r w:rsidRPr="00C63B8B">
        <w:t>тром гармоничного развития общин и Литовским обществом Красного Креста, действуя в рамках программы Европейского фонда беженцев, приступили к реализации международного проекта под названием "Осуществление свода норм и правил Европейского союза, касающихся предоставления убежища, в Литве: юридические и социологические аспекты". Целью проекта было пров</w:t>
      </w:r>
      <w:r w:rsidRPr="00C63B8B">
        <w:t>е</w:t>
      </w:r>
      <w:r w:rsidRPr="00C63B8B">
        <w:t>дение подробного правового и социологического исследования в целях оценки положения дел в области осуществления свода норм и правил Европейского союза, касающихся предоставления убежища, обеспечения их надлежащего применения, а также содействия дальнейшему развитию системы предоставл</w:t>
      </w:r>
      <w:r w:rsidRPr="00C63B8B">
        <w:t>е</w:t>
      </w:r>
      <w:r w:rsidRPr="00C63B8B">
        <w:t xml:space="preserve">ния убежища и политики в данной сфере в Литве (результаты проекта доступны по ссылке </w:t>
      </w:r>
      <w:hyperlink r:id="rId11" w:history="1">
        <w:r w:rsidRPr="00C63B8B">
          <w:rPr>
            <w:rStyle w:val="Hyperlink"/>
            <w:u w:val="none"/>
          </w:rPr>
          <w:t>www.ces.lt/etniskumo-studijos-2/isleisti-zurnalai/etniskumo-studijos-20131/</w:t>
        </w:r>
      </w:hyperlink>
      <w:r w:rsidRPr="00C63B8B">
        <w:t>).</w:t>
      </w:r>
    </w:p>
    <w:p w:rsidR="008F52F9" w:rsidRPr="00C63B8B" w:rsidRDefault="008F52F9" w:rsidP="008F52F9">
      <w:pPr>
        <w:pStyle w:val="SingleTxtGR"/>
      </w:pPr>
      <w:r w:rsidRPr="00C63B8B">
        <w:t>118.</w:t>
      </w:r>
      <w:r w:rsidRPr="00C63B8B">
        <w:tab/>
        <w:t>В соответствии с Межучрежденческим планом действий по поощрению борьбы с дискриминацией на 2012−2014 годы в 2014 году планируется прове</w:t>
      </w:r>
      <w:r w:rsidRPr="00C63B8B">
        <w:t>с</w:t>
      </w:r>
      <w:r w:rsidRPr="00C63B8B">
        <w:t>ти исследование, касающееся изменений общественных настроений и причин дискриминации, а также проанализировать его результаты.</w:t>
      </w:r>
    </w:p>
    <w:p w:rsidR="008F52F9" w:rsidRPr="00C63B8B" w:rsidRDefault="008F52F9" w:rsidP="008F52F9">
      <w:pPr>
        <w:pStyle w:val="H1GR"/>
      </w:pPr>
      <w:r w:rsidRPr="00C63B8B">
        <w:tab/>
      </w:r>
      <w:r w:rsidRPr="00C63B8B">
        <w:tab/>
        <w:t>Статья 3</w:t>
      </w:r>
    </w:p>
    <w:p w:rsidR="008F52F9" w:rsidRPr="00C63B8B" w:rsidRDefault="008F52F9" w:rsidP="008F52F9">
      <w:pPr>
        <w:pStyle w:val="SingleTxtGR"/>
      </w:pPr>
      <w:r w:rsidRPr="00C63B8B">
        <w:t>119.</w:t>
      </w:r>
      <w:r w:rsidRPr="00C63B8B">
        <w:tab/>
        <w:t>Каждые десять лет правительственный Департамент статистики ("Liet</w:t>
      </w:r>
      <w:r w:rsidRPr="00C63B8B">
        <w:t>u</w:t>
      </w:r>
      <w:r w:rsidRPr="00C63B8B">
        <w:t>vos statistikos departamentas") проводит всеобщую перепись населения и жилого фонда. Последняя всеобщая перепись была проведена в 2011 году. В табл</w:t>
      </w:r>
      <w:r w:rsidRPr="00C63B8B">
        <w:t>и</w:t>
      </w:r>
      <w:r w:rsidRPr="00C63B8B">
        <w:t>цах 1−5, содержащихся в приложении, приводятся статистические данные о н</w:t>
      </w:r>
      <w:r w:rsidRPr="00C63B8B">
        <w:t>а</w:t>
      </w:r>
      <w:r w:rsidRPr="00C63B8B">
        <w:t>селении Литвы, в том числе о его численности, этническом составе и распред</w:t>
      </w:r>
      <w:r w:rsidRPr="00C63B8B">
        <w:t>е</w:t>
      </w:r>
      <w:r w:rsidRPr="00C63B8B">
        <w:t>лении по городам Литвы, а также о национальной принадлежности жителей Литвы.</w:t>
      </w:r>
    </w:p>
    <w:p w:rsidR="008F52F9" w:rsidRPr="00C63B8B" w:rsidRDefault="008F52F9" w:rsidP="008F52F9">
      <w:pPr>
        <w:pStyle w:val="SingleTxtGR"/>
      </w:pPr>
      <w:r w:rsidRPr="00C63B8B">
        <w:t>120.</w:t>
      </w:r>
      <w:r w:rsidRPr="00C63B8B">
        <w:tab/>
        <w:t>В плане социальной изоляции наибольшую обеспокоенность вызывает поселок рома Киртимай (Вильнюс), насчитывающий 400 жителей (более пол</w:t>
      </w:r>
      <w:r w:rsidRPr="00C63B8B">
        <w:t>о</w:t>
      </w:r>
      <w:r w:rsidRPr="00C63B8B">
        <w:t>вины из них – дети). В целях интеграции представителей общины рома из п</w:t>
      </w:r>
      <w:r w:rsidRPr="00C63B8B">
        <w:t>о</w:t>
      </w:r>
      <w:r w:rsidRPr="00C63B8B">
        <w:t>селка Киртимай в общество Министерство социального обеспечения и труда в настоящее время разрабатывает План действий по усилению социальной ин</w:t>
      </w:r>
      <w:r w:rsidRPr="00C63B8B">
        <w:t>к</w:t>
      </w:r>
      <w:r w:rsidRPr="00C63B8B">
        <w:t>люзии на 2014−2020</w:t>
      </w:r>
      <w:r w:rsidR="004A3CB2">
        <w:t xml:space="preserve"> годы</w:t>
      </w:r>
      <w:r w:rsidRPr="00C63B8B">
        <w:t>, в котором должны быть предусмотрены специальные меры по распределению социального жилья. Муниципалитет города Вильнюса также готовит меры, направленные на интеграцию проживающих в этом посе</w:t>
      </w:r>
      <w:r w:rsidRPr="00C63B8B">
        <w:t>л</w:t>
      </w:r>
      <w:r w:rsidRPr="00C63B8B">
        <w:t>ке рома. С целью реализации этих мер планируется привлечь финансирование из средств, выделенных по линии Многолетнего финансового плана Европе</w:t>
      </w:r>
      <w:r w:rsidRPr="00C63B8B">
        <w:t>й</w:t>
      </w:r>
      <w:r w:rsidRPr="00C63B8B">
        <w:t xml:space="preserve">ского союза на оказание финансовой поддержки деятельности по интеграции рома. </w:t>
      </w:r>
    </w:p>
    <w:p w:rsidR="008F52F9" w:rsidRPr="00C63B8B" w:rsidRDefault="008F52F9" w:rsidP="008F52F9">
      <w:pPr>
        <w:pStyle w:val="SingleTxtGR"/>
      </w:pPr>
      <w:r w:rsidRPr="00C63B8B">
        <w:t>121.</w:t>
      </w:r>
      <w:r w:rsidRPr="00C63B8B">
        <w:tab/>
        <w:t>Следует также упомянуть о случае, связанном с мониторингом ситуации касательно сегрегации рома в области образования. По сообщениям СМИ, в 2011 году в одной из городских школ Вильнюса был создан отдельный класс "Č" для учащихся-рома (с этой буквы начинается литовское слово "čigonas" (цыгане). После проведения тщательного расследования данного случая Упо</w:t>
      </w:r>
      <w:r w:rsidRPr="00C63B8B">
        <w:t>л</w:t>
      </w:r>
      <w:r w:rsidRPr="00C63B8B">
        <w:t>номоченный по обеспечению равных возможностей рекомендовал директору школы перевести учащихся-рома в другие классы. С учетом этой рекомендации отдельный класс был расформирован. Более подробная информация о монит</w:t>
      </w:r>
      <w:r w:rsidRPr="00C63B8B">
        <w:t>о</w:t>
      </w:r>
      <w:r w:rsidRPr="00C63B8B">
        <w:t>ринге проявлений расовой сегрегации приводится в пунктах 22−23.</w:t>
      </w:r>
    </w:p>
    <w:p w:rsidR="008F52F9" w:rsidRPr="00C63B8B" w:rsidRDefault="008F52F9" w:rsidP="008F52F9">
      <w:pPr>
        <w:pStyle w:val="H1GR"/>
      </w:pPr>
      <w:r w:rsidRPr="00C63B8B">
        <w:tab/>
      </w:r>
      <w:r w:rsidRPr="00C63B8B">
        <w:tab/>
        <w:t>Статья 4</w:t>
      </w:r>
    </w:p>
    <w:p w:rsidR="008F52F9" w:rsidRPr="00C63B8B" w:rsidRDefault="008F52F9" w:rsidP="008F52F9">
      <w:pPr>
        <w:pStyle w:val="SingleTxtGR"/>
      </w:pPr>
      <w:r w:rsidRPr="00C63B8B">
        <w:t>122.</w:t>
      </w:r>
      <w:r w:rsidRPr="00C63B8B">
        <w:tab/>
        <w:t>В целях обеспечения соблюдения прав человека и выполнения принципа недискриминации в рамках законодательного процесса в законодательстве Ли</w:t>
      </w:r>
      <w:r w:rsidRPr="00C63B8B">
        <w:t>т</w:t>
      </w:r>
      <w:r w:rsidRPr="00C63B8B">
        <w:t>вы был предусмотрен соответствующий контрольный механизм. Законодател</w:t>
      </w:r>
      <w:r w:rsidRPr="00C63B8B">
        <w:t>ь</w:t>
      </w:r>
      <w:r w:rsidRPr="00C63B8B">
        <w:t>ство предусматривает, что все нормативно-правовые акты должны соответств</w:t>
      </w:r>
      <w:r w:rsidRPr="00C63B8B">
        <w:t>о</w:t>
      </w:r>
      <w:r w:rsidRPr="00C63B8B">
        <w:t>вать Конституции, а также другим действующим нормативно-правовым актам, за исключением тех случаев, когда такой акт содержит положения, предусма</w:t>
      </w:r>
      <w:r w:rsidRPr="00C63B8B">
        <w:t>т</w:t>
      </w:r>
      <w:r w:rsidRPr="00C63B8B">
        <w:t>ривающие внесение поправок в действующие нормативно-правовые акты. Кр</w:t>
      </w:r>
      <w:r w:rsidRPr="00C63B8B">
        <w:t>о</w:t>
      </w:r>
      <w:r w:rsidRPr="00C63B8B">
        <w:t>ме того, существует требование, согласно которому в процессе концептуальной проработки законов, касающихся прав человека, должно быть проанализиров</w:t>
      </w:r>
      <w:r w:rsidRPr="00C63B8B">
        <w:t>а</w:t>
      </w:r>
      <w:r w:rsidRPr="00C63B8B">
        <w:t>но его соответствие их основных положений Конституции, а также Европе</w:t>
      </w:r>
      <w:r w:rsidRPr="00C63B8B">
        <w:t>й</w:t>
      </w:r>
      <w:r w:rsidRPr="00C63B8B">
        <w:t>ской конвенции по правам человека.</w:t>
      </w:r>
    </w:p>
    <w:p w:rsidR="008F52F9" w:rsidRPr="00C63B8B" w:rsidRDefault="008F52F9" w:rsidP="008F52F9">
      <w:pPr>
        <w:pStyle w:val="SingleTxtGR"/>
      </w:pPr>
      <w:r w:rsidRPr="00C63B8B">
        <w:t>123.</w:t>
      </w:r>
      <w:r w:rsidRPr="00C63B8B">
        <w:tab/>
        <w:t>Первого января 2014 года вступила в силу поправка к Закону об основах законодательства, в соответствии с которой уполномоченным Правительством учреждениям было поручено выносить постановления относительно соответс</w:t>
      </w:r>
      <w:r w:rsidRPr="00C63B8B">
        <w:t>т</w:t>
      </w:r>
      <w:r w:rsidRPr="00C63B8B">
        <w:t>вия законопроектов (помимо других источников) Европейской конвенции по правам человека, решениям Европейского суда по правам человека, а также м</w:t>
      </w:r>
      <w:r w:rsidRPr="00C63B8B">
        <w:t>е</w:t>
      </w:r>
      <w:r w:rsidRPr="00C63B8B">
        <w:t>ждународным соглашениям Литвы, в том числе конвенциям Организации Об</w:t>
      </w:r>
      <w:r w:rsidRPr="00C63B8B">
        <w:t>ъ</w:t>
      </w:r>
      <w:r w:rsidRPr="00C63B8B">
        <w:t>единенных Наций, участницей которых является Литва. Выводы также должны доводиться до сведения учреждений, ответственных за принятие законодател</w:t>
      </w:r>
      <w:r w:rsidRPr="00C63B8B">
        <w:t>ь</w:t>
      </w:r>
      <w:r w:rsidRPr="00C63B8B">
        <w:t>ных актов.</w:t>
      </w:r>
    </w:p>
    <w:p w:rsidR="008F52F9" w:rsidRPr="00C63B8B" w:rsidRDefault="008F52F9" w:rsidP="008F52F9">
      <w:pPr>
        <w:pStyle w:val="H23GR"/>
      </w:pPr>
      <w:r w:rsidRPr="00C63B8B">
        <w:tab/>
      </w:r>
      <w:r w:rsidRPr="00C63B8B">
        <w:tab/>
        <w:t>Поправки к законодательным актам</w:t>
      </w:r>
    </w:p>
    <w:p w:rsidR="008F52F9" w:rsidRPr="00C63B8B" w:rsidRDefault="008F52F9" w:rsidP="008F52F9">
      <w:pPr>
        <w:pStyle w:val="SingleTxtGR"/>
      </w:pPr>
      <w:r w:rsidRPr="00C63B8B">
        <w:t>124.</w:t>
      </w:r>
      <w:r w:rsidRPr="00C63B8B">
        <w:tab/>
        <w:t>Законодательные акты Литвы, предусматривающие уголовную и админ</w:t>
      </w:r>
      <w:r w:rsidRPr="00C63B8B">
        <w:t>и</w:t>
      </w:r>
      <w:r w:rsidRPr="00C63B8B">
        <w:t>стративную ответственность за разжигание и распространение расовой и этн</w:t>
      </w:r>
      <w:r w:rsidRPr="00C63B8B">
        <w:t>и</w:t>
      </w:r>
      <w:r w:rsidRPr="00C63B8B">
        <w:t>ческой ненависти, постоянно совершенствуются в целях более эффективной борьбы с расовой дискриминацией. Принятые в последние годы поправки к з</w:t>
      </w:r>
      <w:r w:rsidRPr="00C63B8B">
        <w:t>а</w:t>
      </w:r>
      <w:r w:rsidRPr="00C63B8B">
        <w:t>конам, в частности, предусматривают введение уголовной ответственности за более значительное число действий, связанных с разжиганием расовой и иной ненависти, а также признание расовой мотивации в качестве отягчающего о</w:t>
      </w:r>
      <w:r w:rsidRPr="00C63B8B">
        <w:t>б</w:t>
      </w:r>
      <w:r w:rsidRPr="00C63B8B">
        <w:t>стоятельства при совершении ряда уголовных преступлений.</w:t>
      </w:r>
    </w:p>
    <w:p w:rsidR="008F52F9" w:rsidRPr="00C63B8B" w:rsidRDefault="008F52F9" w:rsidP="008F52F9">
      <w:pPr>
        <w:pStyle w:val="SingleTxtGR"/>
      </w:pPr>
      <w:r w:rsidRPr="00C63B8B">
        <w:t>125.</w:t>
      </w:r>
      <w:r w:rsidRPr="00C63B8B">
        <w:tab/>
        <w:t>В соответствии с Законом от 9 июля 2009 года статья 170 Уголовного к</w:t>
      </w:r>
      <w:r w:rsidRPr="00C63B8B">
        <w:t>о</w:t>
      </w:r>
      <w:r w:rsidRPr="00C63B8B">
        <w:t>декса, озаглавленная "Разжигание вражды против любой национальной, рас</w:t>
      </w:r>
      <w:r w:rsidRPr="00C63B8B">
        <w:t>о</w:t>
      </w:r>
      <w:r w:rsidRPr="00C63B8B">
        <w:t>вой, этнической, религиозной или иной группы лиц", была дополнена новым пунктом, в соответствии с которым лицо, которое в целях распространения производит, приобретает, пересылает, перевозит или хранит предметы, связа</w:t>
      </w:r>
      <w:r w:rsidRPr="00C63B8B">
        <w:t>н</w:t>
      </w:r>
      <w:r w:rsidRPr="00C63B8B">
        <w:t>ные с высмеиванием, выражением презрения, разжиганием ненависти или по</w:t>
      </w:r>
      <w:r w:rsidRPr="00C63B8B">
        <w:t>д</w:t>
      </w:r>
      <w:r w:rsidRPr="00C63B8B">
        <w:t>стрекательством к дискриминации в отношении группы лиц или отдельного принадлежащего к ней лица по признаку пола, сексуальной ориентации, расы, национальности, языка, происхождения, социального положения, религии, уб</w:t>
      </w:r>
      <w:r w:rsidRPr="00C63B8B">
        <w:t>е</w:t>
      </w:r>
      <w:r w:rsidRPr="00C63B8B">
        <w:t>ждений или взглядов или же с разжиганием насилия или совершением физич</w:t>
      </w:r>
      <w:r w:rsidRPr="00C63B8B">
        <w:t>е</w:t>
      </w:r>
      <w:r w:rsidRPr="00C63B8B">
        <w:t>ских актов насилия в отношении такой группы лиц или отдельного принадл</w:t>
      </w:r>
      <w:r w:rsidRPr="00C63B8B">
        <w:t>е</w:t>
      </w:r>
      <w:r w:rsidRPr="00C63B8B">
        <w:t>жащего к ней лица, или занимается их распространением, подлежит уголовной ответственности. В Уголовный кодекс также была добавлена статья 1701, оз</w:t>
      </w:r>
      <w:r w:rsidRPr="00C63B8B">
        <w:t>а</w:t>
      </w:r>
      <w:r w:rsidRPr="00C63B8B">
        <w:t>главленная "Создание и деятельность групп и организаций, имеющих целью дискриминацию той или иной группы лиц или возбуждение против нее вра</w:t>
      </w:r>
      <w:r w:rsidRPr="00C63B8B">
        <w:t>ж</w:t>
      </w:r>
      <w:r w:rsidRPr="00C63B8B">
        <w:t>ды", которая предусматривает уголовную ответственность лиц, создающих группу сообщников или же организованную группу или организацию, целью которой является дискриминация группы лиц по признаку пола, сексуальной ориентации, расы, национальности, языка, происхождения, социального пол</w:t>
      </w:r>
      <w:r w:rsidRPr="00C63B8B">
        <w:t>о</w:t>
      </w:r>
      <w:r w:rsidRPr="00C63B8B">
        <w:t>жения, религии, убеждений или взглядов или же возбуждение против нее вра</w:t>
      </w:r>
      <w:r w:rsidRPr="00C63B8B">
        <w:t>ж</w:t>
      </w:r>
      <w:r w:rsidRPr="00C63B8B">
        <w:t>ды, принимающих участие в деятельности такой группы или организации или финансирующих или иным образом поддерживающих такую группу или орг</w:t>
      </w:r>
      <w:r w:rsidRPr="00C63B8B">
        <w:t>а</w:t>
      </w:r>
      <w:r w:rsidRPr="00C63B8B">
        <w:t>низацию. Ранее вышеперечисленные действия рассматривались в качестве а</w:t>
      </w:r>
      <w:r w:rsidRPr="00C63B8B">
        <w:t>д</w:t>
      </w:r>
      <w:r w:rsidRPr="00C63B8B">
        <w:t>министративных правонарушений. После внесения поправок в перечисленные выше законодательные акты публичное разжигание (возбуждение) ненависти (несогласия) и побуждение к дискриминации преследуются более жестко, п</w:t>
      </w:r>
      <w:r w:rsidRPr="00C63B8B">
        <w:t>о</w:t>
      </w:r>
      <w:r w:rsidRPr="00C63B8B">
        <w:t>скольку применение административных мер воздействия было заменено уг</w:t>
      </w:r>
      <w:r w:rsidRPr="00C63B8B">
        <w:t>о</w:t>
      </w:r>
      <w:r w:rsidRPr="00C63B8B">
        <w:t>ловной ответственностью.</w:t>
      </w:r>
    </w:p>
    <w:p w:rsidR="008F52F9" w:rsidRPr="00C63B8B" w:rsidRDefault="008F52F9" w:rsidP="008F52F9">
      <w:pPr>
        <w:pStyle w:val="SingleTxtGR"/>
      </w:pPr>
      <w:r w:rsidRPr="00C63B8B">
        <w:t>126.</w:t>
      </w:r>
      <w:r w:rsidRPr="00C63B8B">
        <w:tab/>
        <w:t>В 2005 году Европейская комиссия по борьбе с расизмом и нетерпим</w:t>
      </w:r>
      <w:r w:rsidRPr="00C63B8B">
        <w:t>о</w:t>
      </w:r>
      <w:r w:rsidRPr="00C63B8B">
        <w:t>стью, действующая под эгидой Совета Европы, рекомендовала литовским орг</w:t>
      </w:r>
      <w:r w:rsidRPr="00C63B8B">
        <w:t>а</w:t>
      </w:r>
      <w:r w:rsidRPr="00C63B8B">
        <w:t>нам государственной власти ввести норму, рассматривающую расовую мотив</w:t>
      </w:r>
      <w:r w:rsidRPr="00C63B8B">
        <w:t>а</w:t>
      </w:r>
      <w:r w:rsidRPr="00C63B8B">
        <w:t>цию в качестве отягчающего обстоятельства. С учетом этого 16 июня 2009 года был принят Закон № XI-303 о внесении поправок в Уголовный кодекс, в соо</w:t>
      </w:r>
      <w:r w:rsidRPr="00C63B8B">
        <w:t>т</w:t>
      </w:r>
      <w:r w:rsidRPr="00C63B8B">
        <w:t>ветствии с которым была ужесточена уголовная ответственность за преступл</w:t>
      </w:r>
      <w:r w:rsidRPr="00C63B8B">
        <w:t>е</w:t>
      </w:r>
      <w:r w:rsidRPr="00C63B8B">
        <w:t>ния на почве ненависти. Согласно Закону во вторые абзацы статьи 129 Кодекса ("Убийство"), статьи 135 Кодекса ("Причинение тяжкого вреда здоровью") и статьи 138 Кодекса ("Причинение нетяжкого вреда здоровью") был добавлен пункт, предусматривающий новые основания для квалификации этих престу</w:t>
      </w:r>
      <w:r w:rsidRPr="00C63B8B">
        <w:t>п</w:t>
      </w:r>
      <w:r w:rsidRPr="00C63B8B">
        <w:t>лений, а именно те случаи, когда преступление совершается в целях проявления ненависти в отношении группы лиц или отдельного принадлежащего к ней л</w:t>
      </w:r>
      <w:r w:rsidRPr="00C63B8B">
        <w:t>и</w:t>
      </w:r>
      <w:r w:rsidRPr="00C63B8B">
        <w:t>ца по признакам возраста, пола, сексуальной ориентации, наличия инвалидн</w:t>
      </w:r>
      <w:r w:rsidRPr="00C63B8B">
        <w:t>о</w:t>
      </w:r>
      <w:r w:rsidRPr="00C63B8B">
        <w:t>сти, расы, национальности, языка, происхождения, социального положения, р</w:t>
      </w:r>
      <w:r w:rsidRPr="00C63B8B">
        <w:t>е</w:t>
      </w:r>
      <w:r w:rsidRPr="00C63B8B">
        <w:t>лигии, убеждений или взглядов. В подобных случаях к правонарушителям пр</w:t>
      </w:r>
      <w:r w:rsidRPr="00C63B8B">
        <w:t>и</w:t>
      </w:r>
      <w:r w:rsidRPr="00C63B8B">
        <w:t>меняется тот пункт соответствующей статьи Кодекса, который предусматривает квалификацию преступления в качестве более серьезного, а также более сур</w:t>
      </w:r>
      <w:r w:rsidRPr="00C63B8B">
        <w:t>о</w:t>
      </w:r>
      <w:r w:rsidRPr="00C63B8B">
        <w:t>вое наказание. Совершение других преступлений на этой почве признается в качестве обстоятельства, отягчающего уголовную ответственность правонар</w:t>
      </w:r>
      <w:r w:rsidRPr="00C63B8B">
        <w:t>у</w:t>
      </w:r>
      <w:r w:rsidRPr="00C63B8B">
        <w:t xml:space="preserve">шителя, и судам следует учитывать это при принятии решения относительно формы и степени применимого наказания. </w:t>
      </w:r>
    </w:p>
    <w:p w:rsidR="008F52F9" w:rsidRPr="00C63B8B" w:rsidRDefault="008F52F9" w:rsidP="008F52F9">
      <w:pPr>
        <w:pStyle w:val="SingleTxtGR"/>
      </w:pPr>
      <w:r w:rsidRPr="00C63B8B">
        <w:t>127.</w:t>
      </w:r>
      <w:r w:rsidRPr="00C63B8B">
        <w:tab/>
      </w:r>
      <w:r>
        <w:t>24</w:t>
      </w:r>
      <w:r w:rsidRPr="00C63B8B">
        <w:t xml:space="preserve"> апреля 2012 года на рассмотрение Сейма был вынесен проект нового Кодекса административных правонарушений, разработанный Министерством юстиции (законопроект № XIP-3600(2), предусматривающий, что, если при с</w:t>
      </w:r>
      <w:r w:rsidRPr="00C63B8B">
        <w:t>о</w:t>
      </w:r>
      <w:r w:rsidRPr="00C63B8B">
        <w:t>вершении административного правонарушения допускается выражение нен</w:t>
      </w:r>
      <w:r w:rsidRPr="00C63B8B">
        <w:t>а</w:t>
      </w:r>
      <w:r w:rsidRPr="00C63B8B">
        <w:t>висти в отношении лица (лиц) или проявление дискриминации в отношении лица (лиц) по признакам пола, расы, национальности, языка, происхождения, социального положения, религии, убеждений, взглядов или по другим призн</w:t>
      </w:r>
      <w:r w:rsidRPr="00C63B8B">
        <w:t>а</w:t>
      </w:r>
      <w:r w:rsidRPr="00C63B8B">
        <w:t>кам, это будет рассматриваться в качестве отягчающего обсто</w:t>
      </w:r>
      <w:r w:rsidRPr="00C63B8B">
        <w:t>я</w:t>
      </w:r>
      <w:r w:rsidRPr="00C63B8B">
        <w:t xml:space="preserve">тельства. </w:t>
      </w:r>
    </w:p>
    <w:p w:rsidR="008F52F9" w:rsidRPr="00C63B8B" w:rsidRDefault="008F52F9" w:rsidP="008F52F9">
      <w:pPr>
        <w:pStyle w:val="SingleTxtGR"/>
      </w:pPr>
      <w:r w:rsidRPr="00C63B8B">
        <w:t>128.</w:t>
      </w:r>
      <w:r w:rsidRPr="00C63B8B">
        <w:tab/>
        <w:t>Кроме того, следует отметить, что 23 декабря 2009 года Генеральный прокурор опубликовал Методологические рекомендации для прокуроров и должностных лиц, ведущих досудебное следствие, в отношении организации, проведения и осуществления досудебного расследования уголовных преступл</w:t>
      </w:r>
      <w:r w:rsidRPr="00C63B8B">
        <w:t>е</w:t>
      </w:r>
      <w:r w:rsidRPr="00C63B8B">
        <w:t>ний, совершенных на почве расизма, национализма, ксенофобии, гомофобии или по другим мотивам, связанным с дискриминацией (№ 12.14-40). Эти рек</w:t>
      </w:r>
      <w:r w:rsidRPr="00C63B8B">
        <w:t>о</w:t>
      </w:r>
      <w:r w:rsidRPr="00C63B8B">
        <w:t>мендации уголовно-процессуального характера предусматривают порядок о</w:t>
      </w:r>
      <w:r w:rsidRPr="00C63B8B">
        <w:t>р</w:t>
      </w:r>
      <w:r w:rsidRPr="00C63B8B">
        <w:t>ганизации досудебного расследования уголовных преступлений, мотивация к</w:t>
      </w:r>
      <w:r w:rsidRPr="00C63B8B">
        <w:t>о</w:t>
      </w:r>
      <w:r w:rsidRPr="00C63B8B">
        <w:t>торых могла быть связана с факторами расы, национальности, этнической пр</w:t>
      </w:r>
      <w:r w:rsidRPr="00C63B8B">
        <w:t>и</w:t>
      </w:r>
      <w:r w:rsidRPr="00C63B8B">
        <w:t>надлежности, языка, религии, пола, сексуальной ориентации или другими о</w:t>
      </w:r>
      <w:r w:rsidRPr="00C63B8B">
        <w:t>б</w:t>
      </w:r>
      <w:r w:rsidRPr="00C63B8B">
        <w:t>стоятельствами, связанными с дискриминацией или ксенофобией. Эти рекоме</w:t>
      </w:r>
      <w:r w:rsidRPr="00C63B8B">
        <w:t>н</w:t>
      </w:r>
      <w:r w:rsidRPr="00C63B8B">
        <w:t>дации используются в практической работе сотрудников прокуратуры и органов досудебного следствия и вносят ощутимый вклад в эффективное расследование уголовных преступлений.</w:t>
      </w:r>
    </w:p>
    <w:p w:rsidR="008F52F9" w:rsidRPr="00C63B8B" w:rsidRDefault="008F52F9" w:rsidP="008F52F9">
      <w:pPr>
        <w:pStyle w:val="SingleTxtGR"/>
        <w:rPr>
          <w:b/>
        </w:rPr>
      </w:pPr>
      <w:r w:rsidRPr="00C63B8B">
        <w:rPr>
          <w:b/>
        </w:rPr>
        <w:t>Расследования, проводимые правоохранительными органами</w:t>
      </w:r>
    </w:p>
    <w:p w:rsidR="008F52F9" w:rsidRPr="00C63B8B" w:rsidRDefault="008F52F9" w:rsidP="008F52F9">
      <w:pPr>
        <w:pStyle w:val="SingleTxtGR"/>
      </w:pPr>
      <w:r w:rsidRPr="00C63B8B">
        <w:t>129.</w:t>
      </w:r>
      <w:r w:rsidRPr="00C63B8B">
        <w:tab/>
        <w:t>В период с 2009 года по 1 июня 2013 года было начато и проведено дос</w:t>
      </w:r>
      <w:r w:rsidRPr="00C63B8B">
        <w:t>у</w:t>
      </w:r>
      <w:r w:rsidRPr="00C63B8B">
        <w:t>дебное следствие по 888 уголовным преступлениям, связанным с посягательс</w:t>
      </w:r>
      <w:r w:rsidRPr="00C63B8B">
        <w:t>т</w:t>
      </w:r>
      <w:r w:rsidRPr="00C63B8B">
        <w:t>вами на равноправие и свободу совести, уголовная ответственность за которые предусматривается в разделе XXV ("Преступления и правонарушения, пос</w:t>
      </w:r>
      <w:r w:rsidRPr="00C63B8B">
        <w:t>я</w:t>
      </w:r>
      <w:r w:rsidRPr="00C63B8B">
        <w:t>гающие на равноправие и свободу совести того или иного лица") Уголовного кодекса (статьи 169−1702). Подпадающие под эту категорию уголовные прест</w:t>
      </w:r>
      <w:r w:rsidRPr="00C63B8B">
        <w:t>у</w:t>
      </w:r>
      <w:r w:rsidRPr="00C63B8B">
        <w:t>пления включают в себя дискриминацию в отношении того или иного лица по признакам пола, сексуальной ориентации, расы, национальности, языка, прои</w:t>
      </w:r>
      <w:r w:rsidRPr="00C63B8B">
        <w:t>с</w:t>
      </w:r>
      <w:r w:rsidRPr="00C63B8B">
        <w:t>хождения, социального положения, религии, убеждений или взглядов, а также разжигание ненависти на тех же основаниях. Из досудебных производств, нач</w:t>
      </w:r>
      <w:r w:rsidRPr="00C63B8B">
        <w:t>а</w:t>
      </w:r>
      <w:r w:rsidRPr="00C63B8B">
        <w:t>тых в течение вышеуказанного периода, были завершены и переданы в суд уг</w:t>
      </w:r>
      <w:r w:rsidRPr="00C63B8B">
        <w:t>о</w:t>
      </w:r>
      <w:r w:rsidRPr="00C63B8B">
        <w:t>ловные дела по 251 уголовному преступлению данной категории. Досудебные расследования 284 уголовных преступлений этой категории были прекращены по причине того, что в ходе предварительного следствия не удалось в полной мере установить наличие состава уголовных преступлений или же имеющихся улик оказалось недостаточно для доказательства виновности подозреваемых в совершении уголовных преступлений такого рода. После завершения всех во</w:t>
      </w:r>
      <w:r w:rsidRPr="00C63B8B">
        <w:t>з</w:t>
      </w:r>
      <w:r w:rsidRPr="00C63B8B">
        <w:t>можных процессуальных действий из общего числа уголо</w:t>
      </w:r>
      <w:r w:rsidRPr="00C63B8B">
        <w:t>в</w:t>
      </w:r>
      <w:r w:rsidRPr="00C63B8B">
        <w:t>ных преступлений, в связи с которыми было начато досудебное следствие, оно было прекращено в отношении 211 уголовных преступлений данной категории, тогда как по оста</w:t>
      </w:r>
      <w:r w:rsidRPr="00C63B8B">
        <w:t>в</w:t>
      </w:r>
      <w:r w:rsidRPr="00C63B8B">
        <w:t>шимся 393 уголовным преступлениям досудебное следствие продолжается.</w:t>
      </w:r>
    </w:p>
    <w:p w:rsidR="008F52F9" w:rsidRPr="00C63B8B" w:rsidRDefault="008F52F9" w:rsidP="008F52F9">
      <w:pPr>
        <w:pStyle w:val="SingleTxtGR"/>
      </w:pPr>
      <w:r w:rsidRPr="00C63B8B">
        <w:t>130.</w:t>
      </w:r>
      <w:r w:rsidRPr="00C63B8B">
        <w:tab/>
        <w:t>Проведение досудебного следствия по уголовным делам данной катег</w:t>
      </w:r>
      <w:r w:rsidRPr="00C63B8B">
        <w:t>о</w:t>
      </w:r>
      <w:r w:rsidRPr="00C63B8B">
        <w:t>рии включает в себя предварительное расследование случаев распространения расистских идей, а также разжигания ненависти, которая является расистской по своей природе и мотивам (она проявляется в связи с принадлежностью п</w:t>
      </w:r>
      <w:r w:rsidRPr="00C63B8B">
        <w:t>о</w:t>
      </w:r>
      <w:r w:rsidRPr="00C63B8B">
        <w:t>терпевшего к негроидной расе, его этническим происхождением (рома, евреи) и национальностью (рома, евреи, поляки); вместе с тем в своем подавляющем большинстве (до 95−98% всех уголовных преступлений, связанных с посяг</w:t>
      </w:r>
      <w:r w:rsidRPr="00C63B8B">
        <w:t>а</w:t>
      </w:r>
      <w:r w:rsidRPr="00C63B8B">
        <w:t>тельством на равноправие и свободу совести) подобные действия совершаются в киберпространстве и имеют вид комментариев на различных информацио</w:t>
      </w:r>
      <w:r w:rsidRPr="00C63B8B">
        <w:t>н</w:t>
      </w:r>
      <w:r w:rsidRPr="00C63B8B">
        <w:t>ных ресурсах Интернета, а также в социальных сетях, личных блогах и т.д. Эти уголовные преступления подпадают под категорию устных проявлений нен</w:t>
      </w:r>
      <w:r w:rsidRPr="00C63B8B">
        <w:t>а</w:t>
      </w:r>
      <w:r w:rsidRPr="00C63B8B">
        <w:t>висти и, таким образом, не связаны с применением насилия.</w:t>
      </w:r>
    </w:p>
    <w:p w:rsidR="008F52F9" w:rsidRPr="00C63B8B" w:rsidRDefault="008F52F9" w:rsidP="008F52F9">
      <w:pPr>
        <w:pStyle w:val="SingleTxtGR"/>
      </w:pPr>
      <w:r w:rsidRPr="00C63B8B">
        <w:t>131.</w:t>
      </w:r>
      <w:r w:rsidRPr="00C63B8B">
        <w:tab/>
        <w:t>В течение рассматриваемого периода было начато досудебное следствие по трем случаям совершения актов насилия против индивидуумов по причине их этнической принадлежности и национальности. После завершения досуде</w:t>
      </w:r>
      <w:r w:rsidRPr="00C63B8B">
        <w:t>б</w:t>
      </w:r>
      <w:r w:rsidRPr="00C63B8B">
        <w:t>ного следствия по двум из этих уголовных дел судами были вынесены обвин</w:t>
      </w:r>
      <w:r w:rsidRPr="00C63B8B">
        <w:t>и</w:t>
      </w:r>
      <w:r w:rsidRPr="00C63B8B">
        <w:t>тельные приговоры, а рассмотрение третьего дела продолжается.</w:t>
      </w:r>
    </w:p>
    <w:p w:rsidR="008F52F9" w:rsidRPr="00C63B8B" w:rsidRDefault="008F52F9" w:rsidP="008F52F9">
      <w:pPr>
        <w:pStyle w:val="SingleTxtGR"/>
      </w:pPr>
      <w:r w:rsidRPr="00C63B8B">
        <w:t>132.</w:t>
      </w:r>
      <w:r w:rsidRPr="00C63B8B">
        <w:tab/>
        <w:t>В ходе вышеуказанного периода не начиналось и не проводилось дос</w:t>
      </w:r>
      <w:r w:rsidRPr="00C63B8B">
        <w:t>у</w:t>
      </w:r>
      <w:r w:rsidRPr="00C63B8B">
        <w:t>дебное следствие ни по одному случаю, связанному с деятельностью расис</w:t>
      </w:r>
      <w:r w:rsidRPr="00C63B8B">
        <w:t>т</w:t>
      </w:r>
      <w:r w:rsidRPr="00C63B8B">
        <w:t>ских организаций, за исключением трех досудебных производств по уголовным преступлениям (разжигание ненависти на почве расизма, антисемитизма и н</w:t>
      </w:r>
      <w:r w:rsidRPr="00C63B8B">
        <w:t>а</w:t>
      </w:r>
      <w:r w:rsidRPr="00C63B8B">
        <w:t>ционализма в публичном пространстве и в публикациях), которые были сове</w:t>
      </w:r>
      <w:r w:rsidRPr="00C63B8B">
        <w:t>р</w:t>
      </w:r>
      <w:r w:rsidRPr="00C63B8B">
        <w:t>шены тремя лицами, связанными с неформальными маргинальными национ</w:t>
      </w:r>
      <w:r w:rsidRPr="00C63B8B">
        <w:t>а</w:t>
      </w:r>
      <w:r w:rsidRPr="00C63B8B">
        <w:t>листическими организациями. Все вышеупомянутые лица были осуждены за совершение уголовных преступлений, связанных с возбуждением ненависти (по статье 170 Уголовного кодекса, озаглавленной "Разжигание вражды против л</w:t>
      </w:r>
      <w:r w:rsidRPr="00C63B8B">
        <w:t>ю</w:t>
      </w:r>
      <w:r w:rsidRPr="00C63B8B">
        <w:t>бой национальной, расовой, этнической, религиозной или иной группы лиц").</w:t>
      </w:r>
    </w:p>
    <w:p w:rsidR="008F52F9" w:rsidRPr="00C63B8B" w:rsidRDefault="008F52F9" w:rsidP="008F52F9">
      <w:pPr>
        <w:pStyle w:val="SingleTxtGR"/>
      </w:pPr>
      <w:r w:rsidRPr="00C63B8B">
        <w:t>133.</w:t>
      </w:r>
      <w:r w:rsidRPr="00C63B8B">
        <w:tab/>
        <w:t>В течение вышеупомянутого периода было начато 32 досудебных прои</w:t>
      </w:r>
      <w:r w:rsidRPr="00C63B8B">
        <w:t>з</w:t>
      </w:r>
      <w:r w:rsidRPr="00C63B8B">
        <w:t>водства в отношении случаев, связанных с дискриминацией лица или группы лиц (по статье 169 Уголовного кодекса, озаглавленной "Дискриминация по пр</w:t>
      </w:r>
      <w:r w:rsidRPr="00C63B8B">
        <w:t>и</w:t>
      </w:r>
      <w:r w:rsidRPr="00C63B8B">
        <w:t>знаку национальности, расы, пола, происхождения, религии или принадлежн</w:t>
      </w:r>
      <w:r w:rsidRPr="00C63B8B">
        <w:t>о</w:t>
      </w:r>
      <w:r w:rsidRPr="00C63B8B">
        <w:t>сти к другим группам"), из которых пять расследуемых случаев были связаны с дискриминацией по признаку этнической (национальной) принадлежности (ромской, еврейской). Эти правонарушения были совершены в киберпростра</w:t>
      </w:r>
      <w:r w:rsidRPr="00C63B8B">
        <w:t>н</w:t>
      </w:r>
      <w:r w:rsidRPr="00C63B8B">
        <w:t xml:space="preserve">стве в форме написания комментариев, пропагандирующих дискриминацию, на новостных онлайн-порталах. </w:t>
      </w:r>
    </w:p>
    <w:p w:rsidR="008F52F9" w:rsidRPr="00C63B8B" w:rsidRDefault="008F52F9" w:rsidP="008F52F9">
      <w:pPr>
        <w:pStyle w:val="SingleTxtGR"/>
      </w:pPr>
      <w:r w:rsidRPr="00C63B8B">
        <w:t>134.</w:t>
      </w:r>
      <w:r w:rsidRPr="00C63B8B">
        <w:tab/>
        <w:t>Кроме того, следует отметить, что в ходу вышеуказанного периода было начато и проведено досудебное следствие по двум случаям, связанным с разж</w:t>
      </w:r>
      <w:r w:rsidRPr="00C63B8B">
        <w:t>и</w:t>
      </w:r>
      <w:r w:rsidRPr="00C63B8B">
        <w:t>ганием ненависти на почве расизма и сходных факторов (этнического, наци</w:t>
      </w:r>
      <w:r w:rsidRPr="00C63B8B">
        <w:t>о</w:t>
      </w:r>
      <w:r w:rsidRPr="00C63B8B">
        <w:t>нального); эти случаи касались политической организации, которая занималась политической деятельностью на различных уровнях, а также лица, принима</w:t>
      </w:r>
      <w:r w:rsidRPr="00C63B8B">
        <w:t>в</w:t>
      </w:r>
      <w:r w:rsidRPr="00C63B8B">
        <w:t>шего участие в ее деятельности. Досудебное следствие по этим случаям было прекращено из-за отсутствия состава уголовного преступления.</w:t>
      </w:r>
    </w:p>
    <w:p w:rsidR="008F52F9" w:rsidRPr="00C63B8B" w:rsidRDefault="008F52F9" w:rsidP="008F52F9">
      <w:pPr>
        <w:pStyle w:val="H23GR"/>
      </w:pPr>
      <w:r w:rsidRPr="00C63B8B">
        <w:tab/>
      </w:r>
      <w:r w:rsidRPr="00C63B8B">
        <w:tab/>
        <w:t>Расследование уголовных преступлений по статье 170 Уголовного кодекса ("Разжигание вражды против любой национальной, расовой, этнической, религиозной или иной группы лиц") и статье 1701 ("Создание и деятельность групп и организаций, имеющих целью дискриминацию той или иной группы лиц или возбуждение против нее вражды")</w:t>
      </w:r>
    </w:p>
    <w:tbl>
      <w:tblPr>
        <w:tblStyle w:val="TabNum"/>
        <w:tblW w:w="7370" w:type="dxa"/>
        <w:tblInd w:w="1134" w:type="dxa"/>
        <w:tblLayout w:type="fixed"/>
        <w:tblLook w:val="01E0"/>
      </w:tblPr>
      <w:tblGrid>
        <w:gridCol w:w="4536"/>
        <w:gridCol w:w="709"/>
        <w:gridCol w:w="709"/>
        <w:gridCol w:w="709"/>
        <w:gridCol w:w="707"/>
      </w:tblGrid>
      <w:tr w:rsidR="008F52F9" w:rsidRPr="00C63B8B" w:rsidTr="008F52F9">
        <w:trPr>
          <w:tblHeader/>
        </w:trPr>
        <w:tc>
          <w:tcPr>
            <w:cnfStyle w:val="001000000000"/>
            <w:tcW w:w="4537" w:type="dxa"/>
            <w:tcBorders>
              <w:bottom w:val="single" w:sz="12" w:space="0" w:color="auto"/>
            </w:tcBorders>
            <w:shd w:val="clear" w:color="auto" w:fill="auto"/>
          </w:tcPr>
          <w:p w:rsidR="008F52F9" w:rsidRPr="00C63B8B" w:rsidRDefault="008F52F9" w:rsidP="008F52F9">
            <w:pPr>
              <w:spacing w:before="80" w:after="80" w:line="200" w:lineRule="exact"/>
              <w:rPr>
                <w:i/>
                <w:sz w:val="16"/>
              </w:rPr>
            </w:pPr>
          </w:p>
        </w:tc>
        <w:tc>
          <w:tcPr>
            <w:tcW w:w="709"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2009 </w:t>
            </w:r>
          </w:p>
        </w:tc>
        <w:tc>
          <w:tcPr>
            <w:tcW w:w="709"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2010 </w:t>
            </w:r>
          </w:p>
        </w:tc>
        <w:tc>
          <w:tcPr>
            <w:tcW w:w="709"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2011 </w:t>
            </w:r>
          </w:p>
        </w:tc>
        <w:tc>
          <w:tcPr>
            <w:tcW w:w="707"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2012 </w:t>
            </w:r>
          </w:p>
        </w:tc>
      </w:tr>
      <w:tr w:rsidR="008F52F9" w:rsidRPr="00C63B8B" w:rsidTr="008F52F9">
        <w:tc>
          <w:tcPr>
            <w:cnfStyle w:val="001000000000"/>
            <w:tcW w:w="4537" w:type="dxa"/>
            <w:tcBorders>
              <w:top w:val="single" w:sz="12" w:space="0" w:color="auto"/>
            </w:tcBorders>
          </w:tcPr>
          <w:p w:rsidR="008F52F9" w:rsidRPr="00C63B8B" w:rsidRDefault="008F52F9" w:rsidP="008F52F9">
            <w:r w:rsidRPr="00C63B8B">
              <w:t>Уголовные преступления, зарегистрированные в с</w:t>
            </w:r>
            <w:r w:rsidRPr="00C63B8B">
              <w:t>о</w:t>
            </w:r>
            <w:r w:rsidRPr="00C63B8B">
              <w:t xml:space="preserve">ответствии со статьей 170 </w:t>
            </w:r>
          </w:p>
        </w:tc>
        <w:tc>
          <w:tcPr>
            <w:tcW w:w="709" w:type="dxa"/>
            <w:tcBorders>
              <w:top w:val="single" w:sz="12" w:space="0" w:color="auto"/>
            </w:tcBorders>
          </w:tcPr>
          <w:p w:rsidR="008F52F9" w:rsidRPr="00C63B8B" w:rsidRDefault="008F52F9" w:rsidP="008F52F9">
            <w:pPr>
              <w:cnfStyle w:val="000000000000"/>
            </w:pPr>
            <w:r w:rsidRPr="00C63B8B">
              <w:t>37</w:t>
            </w:r>
          </w:p>
        </w:tc>
        <w:tc>
          <w:tcPr>
            <w:tcW w:w="709" w:type="dxa"/>
            <w:tcBorders>
              <w:top w:val="single" w:sz="12" w:space="0" w:color="auto"/>
            </w:tcBorders>
          </w:tcPr>
          <w:p w:rsidR="008F52F9" w:rsidRPr="00C63B8B" w:rsidRDefault="008F52F9" w:rsidP="008F52F9">
            <w:pPr>
              <w:cnfStyle w:val="000000000000"/>
            </w:pPr>
            <w:r w:rsidRPr="00C63B8B">
              <w:t>158</w:t>
            </w:r>
          </w:p>
        </w:tc>
        <w:tc>
          <w:tcPr>
            <w:tcW w:w="709" w:type="dxa"/>
            <w:tcBorders>
              <w:top w:val="single" w:sz="12" w:space="0" w:color="auto"/>
            </w:tcBorders>
          </w:tcPr>
          <w:p w:rsidR="008F52F9" w:rsidRPr="00C63B8B" w:rsidRDefault="008F52F9" w:rsidP="008F52F9">
            <w:pPr>
              <w:cnfStyle w:val="000000000000"/>
            </w:pPr>
            <w:r w:rsidRPr="00C63B8B">
              <w:t>328</w:t>
            </w:r>
          </w:p>
        </w:tc>
        <w:tc>
          <w:tcPr>
            <w:tcW w:w="707" w:type="dxa"/>
            <w:tcBorders>
              <w:top w:val="single" w:sz="12" w:space="0" w:color="auto"/>
            </w:tcBorders>
          </w:tcPr>
          <w:p w:rsidR="008F52F9" w:rsidRPr="00C63B8B" w:rsidRDefault="008F52F9" w:rsidP="008F52F9">
            <w:pPr>
              <w:cnfStyle w:val="000000000000"/>
            </w:pPr>
            <w:r w:rsidRPr="00C63B8B">
              <w:t>266</w:t>
            </w:r>
          </w:p>
        </w:tc>
      </w:tr>
      <w:tr w:rsidR="008F52F9" w:rsidRPr="00C63B8B" w:rsidTr="008F52F9">
        <w:tc>
          <w:tcPr>
            <w:cnfStyle w:val="001000000000"/>
            <w:tcW w:w="4537" w:type="dxa"/>
          </w:tcPr>
          <w:p w:rsidR="008F52F9" w:rsidRPr="00C63B8B" w:rsidRDefault="008F52F9" w:rsidP="008F52F9">
            <w:r w:rsidRPr="00C63B8B">
              <w:t>Уголовные преступления, зарегистрированные в с</w:t>
            </w:r>
            <w:r w:rsidRPr="00C63B8B">
              <w:t>о</w:t>
            </w:r>
            <w:r w:rsidRPr="00C63B8B">
              <w:t>ответствии со статьей 1701</w:t>
            </w:r>
          </w:p>
        </w:tc>
        <w:tc>
          <w:tcPr>
            <w:tcW w:w="709" w:type="dxa"/>
          </w:tcPr>
          <w:p w:rsidR="008F52F9" w:rsidRPr="00C63B8B" w:rsidRDefault="008F52F9" w:rsidP="008F52F9">
            <w:pPr>
              <w:cnfStyle w:val="000000000000"/>
            </w:pPr>
            <w:r w:rsidRPr="00C63B8B">
              <w:t>0</w:t>
            </w:r>
          </w:p>
        </w:tc>
        <w:tc>
          <w:tcPr>
            <w:tcW w:w="709" w:type="dxa"/>
          </w:tcPr>
          <w:p w:rsidR="008F52F9" w:rsidRPr="00C63B8B" w:rsidRDefault="008F52F9" w:rsidP="008F52F9">
            <w:pPr>
              <w:cnfStyle w:val="000000000000"/>
            </w:pPr>
            <w:r w:rsidRPr="00C63B8B">
              <w:t>0</w:t>
            </w:r>
          </w:p>
        </w:tc>
        <w:tc>
          <w:tcPr>
            <w:tcW w:w="709" w:type="dxa"/>
          </w:tcPr>
          <w:p w:rsidR="008F52F9" w:rsidRPr="00C63B8B" w:rsidRDefault="008F52F9" w:rsidP="008F52F9">
            <w:pPr>
              <w:cnfStyle w:val="000000000000"/>
            </w:pPr>
            <w:r w:rsidRPr="00C63B8B">
              <w:t>0</w:t>
            </w:r>
          </w:p>
        </w:tc>
        <w:tc>
          <w:tcPr>
            <w:tcW w:w="707" w:type="dxa"/>
          </w:tcPr>
          <w:p w:rsidR="008F52F9" w:rsidRPr="00C63B8B" w:rsidRDefault="008F52F9" w:rsidP="008F52F9">
            <w:pPr>
              <w:cnfStyle w:val="000000000000"/>
            </w:pPr>
            <w:r w:rsidRPr="00C63B8B">
              <w:t>0</w:t>
            </w:r>
          </w:p>
        </w:tc>
      </w:tr>
      <w:tr w:rsidR="008F52F9" w:rsidRPr="00C63B8B" w:rsidTr="008F52F9">
        <w:tc>
          <w:tcPr>
            <w:cnfStyle w:val="001000000000"/>
            <w:tcW w:w="4537" w:type="dxa"/>
          </w:tcPr>
          <w:p w:rsidR="008F52F9" w:rsidRPr="00C63B8B" w:rsidRDefault="008F52F9" w:rsidP="008F52F9">
            <w:r w:rsidRPr="00C63B8B">
              <w:t xml:space="preserve">Дела, поступившие в суды </w:t>
            </w:r>
          </w:p>
        </w:tc>
        <w:tc>
          <w:tcPr>
            <w:tcW w:w="709" w:type="dxa"/>
          </w:tcPr>
          <w:p w:rsidR="008F52F9" w:rsidRPr="00C63B8B" w:rsidRDefault="008F52F9" w:rsidP="008F52F9">
            <w:pPr>
              <w:cnfStyle w:val="000000000000"/>
            </w:pPr>
            <w:r w:rsidRPr="00C63B8B">
              <w:t>7</w:t>
            </w:r>
          </w:p>
        </w:tc>
        <w:tc>
          <w:tcPr>
            <w:tcW w:w="709" w:type="dxa"/>
          </w:tcPr>
          <w:p w:rsidR="008F52F9" w:rsidRPr="00C63B8B" w:rsidRDefault="008F52F9" w:rsidP="008F52F9">
            <w:pPr>
              <w:cnfStyle w:val="000000000000"/>
            </w:pPr>
            <w:r w:rsidRPr="00C63B8B">
              <w:t>21</w:t>
            </w:r>
          </w:p>
        </w:tc>
        <w:tc>
          <w:tcPr>
            <w:tcW w:w="709" w:type="dxa"/>
          </w:tcPr>
          <w:p w:rsidR="008F52F9" w:rsidRPr="00C63B8B" w:rsidRDefault="008F52F9" w:rsidP="008F52F9">
            <w:pPr>
              <w:cnfStyle w:val="000000000000"/>
            </w:pPr>
            <w:r w:rsidRPr="00C63B8B">
              <w:t>94</w:t>
            </w:r>
          </w:p>
        </w:tc>
        <w:tc>
          <w:tcPr>
            <w:tcW w:w="707" w:type="dxa"/>
          </w:tcPr>
          <w:p w:rsidR="008F52F9" w:rsidRPr="00C63B8B" w:rsidRDefault="008F52F9" w:rsidP="008F52F9">
            <w:pPr>
              <w:cnfStyle w:val="000000000000"/>
            </w:pPr>
            <w:r w:rsidRPr="00C63B8B">
              <w:t>59</w:t>
            </w:r>
          </w:p>
        </w:tc>
      </w:tr>
      <w:tr w:rsidR="008F52F9" w:rsidRPr="00C63B8B" w:rsidTr="008F52F9">
        <w:tc>
          <w:tcPr>
            <w:cnfStyle w:val="001000000000"/>
            <w:tcW w:w="4537" w:type="dxa"/>
          </w:tcPr>
          <w:p w:rsidR="008F52F9" w:rsidRPr="00C63B8B" w:rsidRDefault="008F52F9" w:rsidP="008F52F9">
            <w:r w:rsidRPr="00C63B8B">
              <w:t xml:space="preserve">Дела, рассмотренные судами </w:t>
            </w:r>
          </w:p>
        </w:tc>
        <w:tc>
          <w:tcPr>
            <w:tcW w:w="709" w:type="dxa"/>
          </w:tcPr>
          <w:p w:rsidR="008F52F9" w:rsidRPr="00C63B8B" w:rsidRDefault="008F52F9" w:rsidP="008F52F9">
            <w:pPr>
              <w:cnfStyle w:val="000000000000"/>
            </w:pPr>
            <w:r w:rsidRPr="00C63B8B">
              <w:t>17</w:t>
            </w:r>
          </w:p>
        </w:tc>
        <w:tc>
          <w:tcPr>
            <w:tcW w:w="709" w:type="dxa"/>
          </w:tcPr>
          <w:p w:rsidR="008F52F9" w:rsidRPr="00C63B8B" w:rsidRDefault="008F52F9" w:rsidP="008F52F9">
            <w:pPr>
              <w:cnfStyle w:val="000000000000"/>
            </w:pPr>
            <w:r w:rsidRPr="00C63B8B">
              <w:t>19</w:t>
            </w:r>
          </w:p>
        </w:tc>
        <w:tc>
          <w:tcPr>
            <w:tcW w:w="709" w:type="dxa"/>
          </w:tcPr>
          <w:p w:rsidR="008F52F9" w:rsidRPr="00C63B8B" w:rsidRDefault="008F52F9" w:rsidP="008F52F9">
            <w:pPr>
              <w:cnfStyle w:val="000000000000"/>
            </w:pPr>
            <w:r w:rsidRPr="00C63B8B">
              <w:t>95</w:t>
            </w:r>
          </w:p>
        </w:tc>
        <w:tc>
          <w:tcPr>
            <w:tcW w:w="707" w:type="dxa"/>
          </w:tcPr>
          <w:p w:rsidR="008F52F9" w:rsidRPr="00C63B8B" w:rsidRDefault="008F52F9" w:rsidP="008F52F9">
            <w:pPr>
              <w:cnfStyle w:val="000000000000"/>
            </w:pPr>
            <w:r w:rsidRPr="00C63B8B">
              <w:t>56</w:t>
            </w:r>
          </w:p>
        </w:tc>
      </w:tr>
      <w:tr w:rsidR="008F52F9" w:rsidRPr="00C63B8B" w:rsidTr="008F52F9">
        <w:tc>
          <w:tcPr>
            <w:cnfStyle w:val="001000000000"/>
            <w:tcW w:w="4537" w:type="dxa"/>
          </w:tcPr>
          <w:p w:rsidR="008F52F9" w:rsidRPr="00C63B8B" w:rsidRDefault="008F52F9" w:rsidP="008F52F9">
            <w:r w:rsidRPr="00C63B8B">
              <w:t xml:space="preserve">Количество обвинительных приговоров </w:t>
            </w:r>
          </w:p>
        </w:tc>
        <w:tc>
          <w:tcPr>
            <w:tcW w:w="709" w:type="dxa"/>
          </w:tcPr>
          <w:p w:rsidR="008F52F9" w:rsidRPr="00C63B8B" w:rsidRDefault="008F52F9" w:rsidP="008F52F9">
            <w:pPr>
              <w:cnfStyle w:val="000000000000"/>
            </w:pPr>
            <w:r w:rsidRPr="00C63B8B">
              <w:t>16</w:t>
            </w:r>
          </w:p>
        </w:tc>
        <w:tc>
          <w:tcPr>
            <w:tcW w:w="709" w:type="dxa"/>
          </w:tcPr>
          <w:p w:rsidR="008F52F9" w:rsidRPr="00C63B8B" w:rsidRDefault="008F52F9" w:rsidP="008F52F9">
            <w:pPr>
              <w:cnfStyle w:val="000000000000"/>
            </w:pPr>
            <w:r w:rsidRPr="00C63B8B">
              <w:t>14</w:t>
            </w:r>
          </w:p>
        </w:tc>
        <w:tc>
          <w:tcPr>
            <w:tcW w:w="709" w:type="dxa"/>
          </w:tcPr>
          <w:p w:rsidR="008F52F9" w:rsidRPr="00C63B8B" w:rsidRDefault="008F52F9" w:rsidP="008F52F9">
            <w:pPr>
              <w:cnfStyle w:val="000000000000"/>
            </w:pPr>
            <w:r w:rsidRPr="00C63B8B">
              <w:t>91</w:t>
            </w:r>
          </w:p>
        </w:tc>
        <w:tc>
          <w:tcPr>
            <w:tcW w:w="707" w:type="dxa"/>
          </w:tcPr>
          <w:p w:rsidR="008F52F9" w:rsidRPr="00C63B8B" w:rsidRDefault="008F52F9" w:rsidP="008F52F9">
            <w:pPr>
              <w:cnfStyle w:val="000000000000"/>
            </w:pPr>
            <w:r w:rsidRPr="00C63B8B">
              <w:t>55</w:t>
            </w:r>
          </w:p>
        </w:tc>
      </w:tr>
      <w:tr w:rsidR="008F52F9" w:rsidRPr="00C63B8B" w:rsidTr="008F52F9">
        <w:tc>
          <w:tcPr>
            <w:cnfStyle w:val="001000000000"/>
            <w:tcW w:w="4537" w:type="dxa"/>
          </w:tcPr>
          <w:p w:rsidR="008F52F9" w:rsidRPr="00C63B8B" w:rsidRDefault="008F52F9" w:rsidP="008F52F9">
            <w:r w:rsidRPr="00C63B8B">
              <w:t xml:space="preserve">Количество осужденных лиц </w:t>
            </w:r>
          </w:p>
        </w:tc>
        <w:tc>
          <w:tcPr>
            <w:tcW w:w="709" w:type="dxa"/>
          </w:tcPr>
          <w:p w:rsidR="008F52F9" w:rsidRPr="00C63B8B" w:rsidRDefault="008F52F9" w:rsidP="008F52F9">
            <w:pPr>
              <w:cnfStyle w:val="000000000000"/>
            </w:pPr>
            <w:r w:rsidRPr="00C63B8B">
              <w:t>16</w:t>
            </w:r>
          </w:p>
        </w:tc>
        <w:tc>
          <w:tcPr>
            <w:tcW w:w="709" w:type="dxa"/>
          </w:tcPr>
          <w:p w:rsidR="008F52F9" w:rsidRPr="00C63B8B" w:rsidRDefault="008F52F9" w:rsidP="008F52F9">
            <w:pPr>
              <w:cnfStyle w:val="000000000000"/>
            </w:pPr>
            <w:r w:rsidRPr="00C63B8B">
              <w:t>14</w:t>
            </w:r>
          </w:p>
        </w:tc>
        <w:tc>
          <w:tcPr>
            <w:tcW w:w="709" w:type="dxa"/>
          </w:tcPr>
          <w:p w:rsidR="008F52F9" w:rsidRPr="00C63B8B" w:rsidRDefault="008F52F9" w:rsidP="008F52F9">
            <w:pPr>
              <w:cnfStyle w:val="000000000000"/>
            </w:pPr>
            <w:r w:rsidRPr="00C63B8B">
              <w:t>95</w:t>
            </w:r>
          </w:p>
        </w:tc>
        <w:tc>
          <w:tcPr>
            <w:tcW w:w="707" w:type="dxa"/>
          </w:tcPr>
          <w:p w:rsidR="008F52F9" w:rsidRPr="00C63B8B" w:rsidRDefault="008F52F9" w:rsidP="008F52F9">
            <w:pPr>
              <w:cnfStyle w:val="000000000000"/>
            </w:pPr>
            <w:r w:rsidRPr="00C63B8B">
              <w:t>56</w:t>
            </w:r>
          </w:p>
        </w:tc>
      </w:tr>
    </w:tbl>
    <w:p w:rsidR="008F52F9" w:rsidRPr="00C63B8B" w:rsidRDefault="008F52F9" w:rsidP="008F52F9">
      <w:pPr>
        <w:pStyle w:val="SingleTxtGR"/>
        <w:spacing w:before="120" w:line="220" w:lineRule="exact"/>
        <w:ind w:firstLine="170"/>
        <w:rPr>
          <w:iCs/>
          <w:sz w:val="18"/>
          <w:szCs w:val="18"/>
        </w:rPr>
      </w:pPr>
      <w:r w:rsidRPr="00C63B8B">
        <w:rPr>
          <w:i/>
          <w:sz w:val="18"/>
          <w:szCs w:val="18"/>
        </w:rPr>
        <w:t>Источник</w:t>
      </w:r>
      <w:r w:rsidRPr="00C63B8B">
        <w:rPr>
          <w:iCs/>
          <w:sz w:val="18"/>
          <w:szCs w:val="18"/>
        </w:rPr>
        <w:t>: Департамент информационных технологий и связи Министерства вну</w:t>
      </w:r>
      <w:r w:rsidRPr="00C63B8B">
        <w:rPr>
          <w:iCs/>
          <w:sz w:val="18"/>
          <w:szCs w:val="18"/>
        </w:rPr>
        <w:t>т</w:t>
      </w:r>
      <w:r w:rsidRPr="00C63B8B">
        <w:rPr>
          <w:iCs/>
          <w:sz w:val="18"/>
          <w:szCs w:val="18"/>
        </w:rPr>
        <w:t>ренних дел и Национальная судебная администрация.</w:t>
      </w:r>
    </w:p>
    <w:p w:rsidR="008F52F9" w:rsidRPr="00C63B8B" w:rsidRDefault="008F52F9" w:rsidP="008F52F9">
      <w:pPr>
        <w:pStyle w:val="SingleTxtGR"/>
      </w:pPr>
      <w:r w:rsidRPr="00C63B8B">
        <w:t>135.</w:t>
      </w:r>
      <w:r w:rsidRPr="00C63B8B">
        <w:tab/>
        <w:t>В последнее время происходит рост числа зарегистрированных уголо</w:t>
      </w:r>
      <w:r w:rsidRPr="00C63B8B">
        <w:t>в</w:t>
      </w:r>
      <w:r w:rsidRPr="00C63B8B">
        <w:t>ных преступлений против равноправия и свободы совести индивидуумов. Это связано, в частности, и с активизацией деятельности правоохранительных о</w:t>
      </w:r>
      <w:r w:rsidRPr="00C63B8B">
        <w:t>р</w:t>
      </w:r>
      <w:r w:rsidRPr="00C63B8B">
        <w:t>ганов по выявлению и расследованию таких преступлений, а также с повыш</w:t>
      </w:r>
      <w:r w:rsidRPr="00C63B8B">
        <w:t>е</w:t>
      </w:r>
      <w:r w:rsidRPr="00C63B8B">
        <w:t>нием восприимчивости общественности к подобного рода действиям, причиной которых является увеличение решимости потерпевших обращаться в правоо</w:t>
      </w:r>
      <w:r w:rsidRPr="00C63B8B">
        <w:t>х</w:t>
      </w:r>
      <w:r w:rsidRPr="00C63B8B">
        <w:t xml:space="preserve">ранительные органы. </w:t>
      </w:r>
    </w:p>
    <w:p w:rsidR="008F52F9" w:rsidRPr="00C63B8B" w:rsidRDefault="008F52F9" w:rsidP="008F52F9">
      <w:pPr>
        <w:pStyle w:val="H1GR"/>
      </w:pPr>
      <w:r w:rsidRPr="00C63B8B">
        <w:tab/>
      </w:r>
      <w:r w:rsidRPr="00C63B8B">
        <w:tab/>
        <w:t>Статья 5</w:t>
      </w:r>
    </w:p>
    <w:p w:rsidR="008F52F9" w:rsidRPr="00C63B8B" w:rsidRDefault="008F52F9" w:rsidP="008F52F9">
      <w:pPr>
        <w:pStyle w:val="H23GR"/>
      </w:pPr>
      <w:r w:rsidRPr="00C63B8B">
        <w:tab/>
        <w:t>1.</w:t>
      </w:r>
      <w:r w:rsidRPr="00C63B8B">
        <w:tab/>
        <w:t>Политические и гражданские права</w:t>
      </w:r>
    </w:p>
    <w:p w:rsidR="008F52F9" w:rsidRPr="00C63B8B" w:rsidRDefault="008F52F9" w:rsidP="008F52F9">
      <w:pPr>
        <w:pStyle w:val="H23GR"/>
      </w:pPr>
      <w:r w:rsidRPr="00C63B8B">
        <w:tab/>
      </w:r>
      <w:r w:rsidRPr="00C63B8B">
        <w:tab/>
        <w:t xml:space="preserve">Право принимать участие в управлении страной, равно как </w:t>
      </w:r>
      <w:r w:rsidRPr="00C63B8B">
        <w:br/>
        <w:t>и в руководстве государственными делами на любом уровне, а также право равного доступа к государственной службе</w:t>
      </w:r>
    </w:p>
    <w:p w:rsidR="008F52F9" w:rsidRPr="00C63B8B" w:rsidRDefault="008F52F9" w:rsidP="008F52F9">
      <w:pPr>
        <w:pStyle w:val="SingleTxtGR"/>
      </w:pPr>
      <w:r w:rsidRPr="00C63B8B">
        <w:t>136.</w:t>
      </w:r>
      <w:r w:rsidRPr="00C63B8B">
        <w:tab/>
        <w:t>Законодательные акты, регламентирующие право граждан на участие в управлении страной и в руководстве государственными делами на любом уро</w:t>
      </w:r>
      <w:r w:rsidRPr="00C63B8B">
        <w:t>в</w:t>
      </w:r>
      <w:r w:rsidRPr="00C63B8B">
        <w:t>не, а также право равного доступа к государственной службе, не предусматр</w:t>
      </w:r>
      <w:r w:rsidRPr="00C63B8B">
        <w:t>и</w:t>
      </w:r>
      <w:r w:rsidRPr="00C63B8B">
        <w:t>вают каких-либо ограничений по признакам расы, цвета кожи, национальности или этнической принадлежности. Следует отметить, что в соответствии с ин</w:t>
      </w:r>
      <w:r w:rsidRPr="00C63B8B">
        <w:t>и</w:t>
      </w:r>
      <w:r w:rsidRPr="00C63B8B">
        <w:t>циативами, изложенными в стратегических документах, которые касаются п</w:t>
      </w:r>
      <w:r w:rsidRPr="00C63B8B">
        <w:t>о</w:t>
      </w:r>
      <w:r w:rsidRPr="00C63B8B">
        <w:t>вышения открытости процессов государственного управления и совершенств</w:t>
      </w:r>
      <w:r w:rsidRPr="00C63B8B">
        <w:t>о</w:t>
      </w:r>
      <w:r w:rsidRPr="00C63B8B">
        <w:t>вания системы государственной службы, будут и впредь приниматься меры с целью обеспечить, чтобы реализация вышеупомянутых инициатив не оказывала никакого прямого или косвенного влияния на равноправие лиц, отличающихся друг от друга по признакам расы, цвета кожи, национальности или этнической принадлежности.</w:t>
      </w:r>
    </w:p>
    <w:p w:rsidR="008F52F9" w:rsidRPr="00C63B8B" w:rsidRDefault="008F52F9" w:rsidP="008F52F9">
      <w:pPr>
        <w:pStyle w:val="H23GR"/>
      </w:pPr>
      <w:r w:rsidRPr="00C63B8B">
        <w:tab/>
      </w:r>
      <w:r w:rsidRPr="00C63B8B">
        <w:tab/>
        <w:t>Право голосовать и выставлять свою кандидатуру на выборах, а также право принимать участие в деятельности политических партий</w:t>
      </w:r>
    </w:p>
    <w:p w:rsidR="008F52F9" w:rsidRPr="00C63B8B" w:rsidRDefault="008F52F9" w:rsidP="008F52F9">
      <w:pPr>
        <w:pStyle w:val="SingleTxtGR"/>
      </w:pPr>
      <w:r w:rsidRPr="00C63B8B">
        <w:t>137.</w:t>
      </w:r>
      <w:r w:rsidRPr="00C63B8B">
        <w:tab/>
        <w:t>Законодательные акты Литвы не предусматривают каких-либо огранич</w:t>
      </w:r>
      <w:r w:rsidRPr="00C63B8B">
        <w:t>е</w:t>
      </w:r>
      <w:r w:rsidRPr="00C63B8B">
        <w:t>ний по признаку расы, цвета кожи, национальности или этнической прина</w:t>
      </w:r>
      <w:r w:rsidRPr="00C63B8B">
        <w:t>д</w:t>
      </w:r>
      <w:r w:rsidRPr="00C63B8B">
        <w:t>лежности в том, что касается права голосовать или выставлять свою кандидат</w:t>
      </w:r>
      <w:r w:rsidRPr="00C63B8B">
        <w:t>у</w:t>
      </w:r>
      <w:r w:rsidRPr="00C63B8B">
        <w:t>ру на выборах. Следует отметить, что при выдвижении кандидатуры для уч</w:t>
      </w:r>
      <w:r w:rsidRPr="00C63B8B">
        <w:t>а</w:t>
      </w:r>
      <w:r w:rsidRPr="00C63B8B">
        <w:t xml:space="preserve">стия в выборах указывать свою национальность не обязательно. </w:t>
      </w:r>
    </w:p>
    <w:p w:rsidR="008F52F9" w:rsidRPr="00C63B8B" w:rsidRDefault="008F52F9" w:rsidP="008F52F9">
      <w:pPr>
        <w:pStyle w:val="H23GR"/>
      </w:pPr>
      <w:r w:rsidRPr="00C63B8B">
        <w:tab/>
      </w:r>
      <w:r w:rsidRPr="00C63B8B">
        <w:tab/>
        <w:t xml:space="preserve">Национальный состав кандидатов на выборах, состоявшихся </w:t>
      </w:r>
      <w:r w:rsidRPr="00C63B8B">
        <w:br/>
        <w:t>в 2009−2012 годах</w:t>
      </w:r>
    </w:p>
    <w:tbl>
      <w:tblPr>
        <w:tblStyle w:val="TabNum"/>
        <w:tblW w:w="7370" w:type="dxa"/>
        <w:tblInd w:w="1134" w:type="dxa"/>
        <w:tblLayout w:type="fixed"/>
        <w:tblLook w:val="01E0"/>
      </w:tblPr>
      <w:tblGrid>
        <w:gridCol w:w="1134"/>
        <w:gridCol w:w="851"/>
        <w:gridCol w:w="709"/>
        <w:gridCol w:w="850"/>
        <w:gridCol w:w="709"/>
        <w:gridCol w:w="850"/>
        <w:gridCol w:w="706"/>
        <w:gridCol w:w="854"/>
        <w:gridCol w:w="707"/>
      </w:tblGrid>
      <w:tr w:rsidR="008F52F9" w:rsidRPr="00C63B8B" w:rsidTr="008F52F9">
        <w:trPr>
          <w:tblHeader/>
        </w:trPr>
        <w:tc>
          <w:tcPr>
            <w:cnfStyle w:val="001000000000"/>
            <w:tcW w:w="1134" w:type="dxa"/>
            <w:vMerge w:val="restart"/>
            <w:shd w:val="clear" w:color="auto" w:fill="auto"/>
          </w:tcPr>
          <w:p w:rsidR="008F52F9" w:rsidRPr="00C63B8B" w:rsidRDefault="008F52F9" w:rsidP="008F52F9">
            <w:pPr>
              <w:spacing w:before="80" w:after="80" w:line="200" w:lineRule="exact"/>
              <w:rPr>
                <w:i/>
                <w:sz w:val="16"/>
              </w:rPr>
            </w:pPr>
            <w:r w:rsidRPr="00C63B8B">
              <w:rPr>
                <w:i/>
                <w:sz w:val="16"/>
              </w:rPr>
              <w:t>Этническая принадле</w:t>
            </w:r>
            <w:r w:rsidRPr="00C63B8B">
              <w:rPr>
                <w:i/>
                <w:sz w:val="16"/>
              </w:rPr>
              <w:t>ж</w:t>
            </w:r>
            <w:r w:rsidRPr="00C63B8B">
              <w:rPr>
                <w:i/>
                <w:sz w:val="16"/>
              </w:rPr>
              <w:t>ность</w:t>
            </w:r>
          </w:p>
        </w:tc>
        <w:tc>
          <w:tcPr>
            <w:tcW w:w="1560" w:type="dxa"/>
            <w:gridSpan w:val="2"/>
            <w:tcBorders>
              <w:top w:val="single" w:sz="4" w:space="0" w:color="auto"/>
              <w:bottom w:val="single" w:sz="4"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Президентские выборы 2009 года</w:t>
            </w:r>
          </w:p>
        </w:tc>
        <w:tc>
          <w:tcPr>
            <w:tcW w:w="1559" w:type="dxa"/>
            <w:gridSpan w:val="2"/>
            <w:tcBorders>
              <w:top w:val="single" w:sz="4" w:space="0" w:color="auto"/>
              <w:bottom w:val="single" w:sz="4"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Выборы в Европе</w:t>
            </w:r>
            <w:r w:rsidRPr="00C63B8B">
              <w:rPr>
                <w:i/>
                <w:sz w:val="16"/>
              </w:rPr>
              <w:t>й</w:t>
            </w:r>
            <w:r w:rsidRPr="00C63B8B">
              <w:rPr>
                <w:i/>
                <w:sz w:val="16"/>
              </w:rPr>
              <w:t>ский парл</w:t>
            </w:r>
            <w:r w:rsidRPr="00C63B8B">
              <w:rPr>
                <w:i/>
                <w:sz w:val="16"/>
              </w:rPr>
              <w:t>а</w:t>
            </w:r>
            <w:r w:rsidRPr="00C63B8B">
              <w:rPr>
                <w:i/>
                <w:sz w:val="16"/>
              </w:rPr>
              <w:t>мент 2009 года</w:t>
            </w:r>
          </w:p>
        </w:tc>
        <w:tc>
          <w:tcPr>
            <w:tcW w:w="1556" w:type="dxa"/>
            <w:gridSpan w:val="2"/>
            <w:tcBorders>
              <w:top w:val="single" w:sz="4" w:space="0" w:color="auto"/>
              <w:bottom w:val="single" w:sz="4"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Муниципальные выборы 2011 года</w:t>
            </w:r>
          </w:p>
        </w:tc>
        <w:tc>
          <w:tcPr>
            <w:tcW w:w="1561" w:type="dxa"/>
            <w:gridSpan w:val="2"/>
            <w:tcBorders>
              <w:top w:val="single" w:sz="4" w:space="0" w:color="auto"/>
              <w:bottom w:val="single" w:sz="4"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Выборы в Сейм </w:t>
            </w:r>
            <w:r w:rsidRPr="00C63B8B">
              <w:rPr>
                <w:i/>
                <w:sz w:val="16"/>
              </w:rPr>
              <w:br/>
              <w:t>14 октября 2012 года</w:t>
            </w:r>
          </w:p>
        </w:tc>
      </w:tr>
      <w:tr w:rsidR="008F52F9" w:rsidRPr="00C63B8B" w:rsidTr="008F52F9">
        <w:trPr>
          <w:tblHeader/>
        </w:trPr>
        <w:tc>
          <w:tcPr>
            <w:cnfStyle w:val="001000000000"/>
            <w:tcW w:w="1134" w:type="dxa"/>
            <w:vMerge/>
            <w:tcBorders>
              <w:top w:val="nil"/>
              <w:bottom w:val="single" w:sz="12" w:space="0" w:color="auto"/>
            </w:tcBorders>
            <w:shd w:val="clear" w:color="auto" w:fill="auto"/>
          </w:tcPr>
          <w:p w:rsidR="008F52F9" w:rsidRPr="00C63B8B" w:rsidRDefault="008F52F9" w:rsidP="008F52F9">
            <w:pPr>
              <w:spacing w:before="80" w:after="80" w:line="200" w:lineRule="exact"/>
              <w:rPr>
                <w:i/>
                <w:sz w:val="16"/>
              </w:rPr>
            </w:pPr>
          </w:p>
        </w:tc>
        <w:tc>
          <w:tcPr>
            <w:tcW w:w="851"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Выдвин</w:t>
            </w:r>
            <w:r w:rsidRPr="00C63B8B">
              <w:rPr>
                <w:i/>
                <w:sz w:val="16"/>
              </w:rPr>
              <w:t>у</w:t>
            </w:r>
            <w:r w:rsidRPr="00C63B8B">
              <w:rPr>
                <w:i/>
                <w:sz w:val="16"/>
              </w:rPr>
              <w:t>то канд</w:t>
            </w:r>
            <w:r w:rsidRPr="00C63B8B">
              <w:rPr>
                <w:i/>
                <w:sz w:val="16"/>
              </w:rPr>
              <w:t>и</w:t>
            </w:r>
            <w:r w:rsidRPr="00C63B8B">
              <w:rPr>
                <w:i/>
                <w:sz w:val="16"/>
              </w:rPr>
              <w:t>датов</w:t>
            </w:r>
          </w:p>
        </w:tc>
        <w:tc>
          <w:tcPr>
            <w:tcW w:w="709"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Избр</w:t>
            </w:r>
            <w:r w:rsidRPr="00C63B8B">
              <w:rPr>
                <w:i/>
                <w:sz w:val="16"/>
              </w:rPr>
              <w:t>а</w:t>
            </w:r>
            <w:r w:rsidRPr="00C63B8B">
              <w:rPr>
                <w:i/>
                <w:sz w:val="16"/>
              </w:rPr>
              <w:t>но канд</w:t>
            </w:r>
            <w:r w:rsidRPr="00C63B8B">
              <w:rPr>
                <w:i/>
                <w:sz w:val="16"/>
              </w:rPr>
              <w:t>и</w:t>
            </w:r>
            <w:r w:rsidRPr="00C63B8B">
              <w:rPr>
                <w:i/>
                <w:sz w:val="16"/>
              </w:rPr>
              <w:t>датов</w:t>
            </w:r>
          </w:p>
        </w:tc>
        <w:tc>
          <w:tcPr>
            <w:tcW w:w="850"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Выдвин</w:t>
            </w:r>
            <w:r w:rsidRPr="00C63B8B">
              <w:rPr>
                <w:i/>
                <w:sz w:val="16"/>
              </w:rPr>
              <w:t>у</w:t>
            </w:r>
            <w:r w:rsidRPr="00C63B8B">
              <w:rPr>
                <w:i/>
                <w:sz w:val="16"/>
              </w:rPr>
              <w:t>то канд</w:t>
            </w:r>
            <w:r w:rsidRPr="00C63B8B">
              <w:rPr>
                <w:i/>
                <w:sz w:val="16"/>
              </w:rPr>
              <w:t>и</w:t>
            </w:r>
            <w:r w:rsidRPr="00C63B8B">
              <w:rPr>
                <w:i/>
                <w:sz w:val="16"/>
              </w:rPr>
              <w:t>датов</w:t>
            </w:r>
          </w:p>
        </w:tc>
        <w:tc>
          <w:tcPr>
            <w:tcW w:w="709"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Избр</w:t>
            </w:r>
            <w:r w:rsidRPr="00C63B8B">
              <w:rPr>
                <w:i/>
                <w:sz w:val="16"/>
              </w:rPr>
              <w:t>а</w:t>
            </w:r>
            <w:r w:rsidRPr="00C63B8B">
              <w:rPr>
                <w:i/>
                <w:sz w:val="16"/>
              </w:rPr>
              <w:t>но канд</w:t>
            </w:r>
            <w:r w:rsidRPr="00C63B8B">
              <w:rPr>
                <w:i/>
                <w:sz w:val="16"/>
              </w:rPr>
              <w:t>и</w:t>
            </w:r>
            <w:r w:rsidRPr="00C63B8B">
              <w:rPr>
                <w:i/>
                <w:sz w:val="16"/>
              </w:rPr>
              <w:t>датов</w:t>
            </w:r>
          </w:p>
        </w:tc>
        <w:tc>
          <w:tcPr>
            <w:tcW w:w="850"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Выдвин</w:t>
            </w:r>
            <w:r w:rsidRPr="00C63B8B">
              <w:rPr>
                <w:i/>
                <w:sz w:val="16"/>
              </w:rPr>
              <w:t>у</w:t>
            </w:r>
            <w:r w:rsidRPr="00C63B8B">
              <w:rPr>
                <w:i/>
                <w:sz w:val="16"/>
              </w:rPr>
              <w:t>то канд</w:t>
            </w:r>
            <w:r w:rsidRPr="00C63B8B">
              <w:rPr>
                <w:i/>
                <w:sz w:val="16"/>
              </w:rPr>
              <w:t>и</w:t>
            </w:r>
            <w:r w:rsidRPr="00C63B8B">
              <w:rPr>
                <w:i/>
                <w:sz w:val="16"/>
              </w:rPr>
              <w:t>датов</w:t>
            </w:r>
          </w:p>
        </w:tc>
        <w:tc>
          <w:tcPr>
            <w:tcW w:w="706"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Избр</w:t>
            </w:r>
            <w:r w:rsidRPr="00C63B8B">
              <w:rPr>
                <w:i/>
                <w:sz w:val="16"/>
              </w:rPr>
              <w:t>а</w:t>
            </w:r>
            <w:r w:rsidRPr="00C63B8B">
              <w:rPr>
                <w:i/>
                <w:sz w:val="16"/>
              </w:rPr>
              <w:t>но канд</w:t>
            </w:r>
            <w:r w:rsidRPr="00C63B8B">
              <w:rPr>
                <w:i/>
                <w:sz w:val="16"/>
              </w:rPr>
              <w:t>и</w:t>
            </w:r>
            <w:r w:rsidRPr="00C63B8B">
              <w:rPr>
                <w:i/>
                <w:sz w:val="16"/>
              </w:rPr>
              <w:t>датов</w:t>
            </w:r>
          </w:p>
        </w:tc>
        <w:tc>
          <w:tcPr>
            <w:tcW w:w="854"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Выдвин</w:t>
            </w:r>
            <w:r w:rsidRPr="00C63B8B">
              <w:rPr>
                <w:i/>
                <w:sz w:val="16"/>
              </w:rPr>
              <w:t>у</w:t>
            </w:r>
            <w:r w:rsidRPr="00C63B8B">
              <w:rPr>
                <w:i/>
                <w:sz w:val="16"/>
              </w:rPr>
              <w:t>то канд</w:t>
            </w:r>
            <w:r w:rsidRPr="00C63B8B">
              <w:rPr>
                <w:i/>
                <w:sz w:val="16"/>
              </w:rPr>
              <w:t>и</w:t>
            </w:r>
            <w:r w:rsidRPr="00C63B8B">
              <w:rPr>
                <w:i/>
                <w:sz w:val="16"/>
              </w:rPr>
              <w:t>датов</w:t>
            </w:r>
          </w:p>
        </w:tc>
        <w:tc>
          <w:tcPr>
            <w:tcW w:w="707"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Избрано канд</w:t>
            </w:r>
            <w:r w:rsidRPr="00C63B8B">
              <w:rPr>
                <w:i/>
                <w:sz w:val="16"/>
              </w:rPr>
              <w:t>и</w:t>
            </w:r>
            <w:r w:rsidRPr="00C63B8B">
              <w:rPr>
                <w:i/>
                <w:sz w:val="16"/>
              </w:rPr>
              <w:t>датов</w:t>
            </w:r>
          </w:p>
        </w:tc>
      </w:tr>
      <w:tr w:rsidR="008F52F9" w:rsidRPr="00C63B8B" w:rsidTr="008F52F9">
        <w:tc>
          <w:tcPr>
            <w:cnfStyle w:val="001000000000"/>
            <w:tcW w:w="1134" w:type="dxa"/>
            <w:tcBorders>
              <w:top w:val="single" w:sz="12" w:space="0" w:color="auto"/>
            </w:tcBorders>
          </w:tcPr>
          <w:p w:rsidR="008F52F9" w:rsidRPr="00C63B8B" w:rsidRDefault="008F52F9" w:rsidP="008F52F9">
            <w:r w:rsidRPr="00C63B8B">
              <w:t>Армяне</w:t>
            </w:r>
          </w:p>
        </w:tc>
        <w:tc>
          <w:tcPr>
            <w:tcW w:w="851" w:type="dxa"/>
            <w:tcBorders>
              <w:top w:val="single" w:sz="12" w:space="0" w:color="auto"/>
            </w:tcBorders>
          </w:tcPr>
          <w:p w:rsidR="008F52F9" w:rsidRPr="00C63B8B" w:rsidRDefault="008F52F9" w:rsidP="008F52F9">
            <w:pPr>
              <w:cnfStyle w:val="000000000000"/>
            </w:pPr>
            <w:r w:rsidRPr="00C63B8B">
              <w:t xml:space="preserve"> </w:t>
            </w:r>
          </w:p>
        </w:tc>
        <w:tc>
          <w:tcPr>
            <w:tcW w:w="709" w:type="dxa"/>
            <w:tcBorders>
              <w:top w:val="single" w:sz="12" w:space="0" w:color="auto"/>
            </w:tcBorders>
          </w:tcPr>
          <w:p w:rsidR="008F52F9" w:rsidRPr="00C63B8B" w:rsidRDefault="008F52F9" w:rsidP="008F52F9">
            <w:pPr>
              <w:cnfStyle w:val="000000000000"/>
            </w:pPr>
            <w:r w:rsidRPr="00C63B8B">
              <w:t xml:space="preserve"> </w:t>
            </w:r>
          </w:p>
        </w:tc>
        <w:tc>
          <w:tcPr>
            <w:tcW w:w="850" w:type="dxa"/>
            <w:tcBorders>
              <w:top w:val="single" w:sz="12" w:space="0" w:color="auto"/>
            </w:tcBorders>
          </w:tcPr>
          <w:p w:rsidR="008F52F9" w:rsidRPr="00C63B8B" w:rsidRDefault="008F52F9" w:rsidP="008F52F9">
            <w:pPr>
              <w:cnfStyle w:val="000000000000"/>
            </w:pPr>
            <w:r w:rsidRPr="00C63B8B">
              <w:t xml:space="preserve"> </w:t>
            </w:r>
          </w:p>
        </w:tc>
        <w:tc>
          <w:tcPr>
            <w:tcW w:w="709" w:type="dxa"/>
            <w:tcBorders>
              <w:top w:val="single" w:sz="12" w:space="0" w:color="auto"/>
            </w:tcBorders>
          </w:tcPr>
          <w:p w:rsidR="008F52F9" w:rsidRPr="00C63B8B" w:rsidRDefault="008F52F9" w:rsidP="008F52F9">
            <w:pPr>
              <w:cnfStyle w:val="000000000000"/>
            </w:pPr>
            <w:r w:rsidRPr="00C63B8B">
              <w:t xml:space="preserve"> </w:t>
            </w:r>
          </w:p>
        </w:tc>
        <w:tc>
          <w:tcPr>
            <w:tcW w:w="850" w:type="dxa"/>
            <w:tcBorders>
              <w:top w:val="single" w:sz="12" w:space="0" w:color="auto"/>
            </w:tcBorders>
          </w:tcPr>
          <w:p w:rsidR="008F52F9" w:rsidRPr="00C63B8B" w:rsidRDefault="008F52F9" w:rsidP="008F52F9">
            <w:pPr>
              <w:cnfStyle w:val="000000000000"/>
            </w:pPr>
            <w:r w:rsidRPr="00C63B8B">
              <w:t>4</w:t>
            </w:r>
          </w:p>
        </w:tc>
        <w:tc>
          <w:tcPr>
            <w:tcW w:w="706" w:type="dxa"/>
            <w:tcBorders>
              <w:top w:val="single" w:sz="12" w:space="0" w:color="auto"/>
            </w:tcBorders>
          </w:tcPr>
          <w:p w:rsidR="008F52F9" w:rsidRPr="00C63B8B" w:rsidRDefault="008F52F9" w:rsidP="008F52F9">
            <w:pPr>
              <w:cnfStyle w:val="000000000000"/>
            </w:pPr>
            <w:r w:rsidRPr="00C63B8B">
              <w:t xml:space="preserve"> </w:t>
            </w:r>
          </w:p>
        </w:tc>
        <w:tc>
          <w:tcPr>
            <w:tcW w:w="854" w:type="dxa"/>
            <w:tcBorders>
              <w:top w:val="single" w:sz="12" w:space="0" w:color="auto"/>
            </w:tcBorders>
          </w:tcPr>
          <w:p w:rsidR="008F52F9" w:rsidRPr="00C63B8B" w:rsidRDefault="008F52F9" w:rsidP="008F52F9">
            <w:pPr>
              <w:cnfStyle w:val="000000000000"/>
            </w:pPr>
            <w:r w:rsidRPr="00C63B8B">
              <w:t>1</w:t>
            </w:r>
          </w:p>
        </w:tc>
        <w:tc>
          <w:tcPr>
            <w:tcW w:w="707" w:type="dxa"/>
            <w:tcBorders>
              <w:top w:val="single" w:sz="12" w:space="0" w:color="auto"/>
            </w:tcBorders>
          </w:tcPr>
          <w:p w:rsidR="008F52F9" w:rsidRPr="00C63B8B" w:rsidRDefault="008F52F9" w:rsidP="008F52F9">
            <w:pPr>
              <w:cnfStyle w:val="000000000000"/>
            </w:pPr>
            <w:r w:rsidRPr="00C63B8B">
              <w:t xml:space="preserve"> </w:t>
            </w:r>
          </w:p>
        </w:tc>
      </w:tr>
      <w:tr w:rsidR="008F52F9" w:rsidRPr="00C63B8B" w:rsidTr="008F52F9">
        <w:tc>
          <w:tcPr>
            <w:cnfStyle w:val="001000000000"/>
            <w:tcW w:w="1134" w:type="dxa"/>
          </w:tcPr>
          <w:p w:rsidR="008F52F9" w:rsidRPr="00C63B8B" w:rsidRDefault="008F52F9" w:rsidP="008F52F9">
            <w:r w:rsidRPr="00C63B8B">
              <w:t>Белорусы</w:t>
            </w:r>
          </w:p>
        </w:tc>
        <w:tc>
          <w:tcPr>
            <w:tcW w:w="851" w:type="dxa"/>
          </w:tcPr>
          <w:p w:rsidR="008F52F9" w:rsidRPr="00C63B8B" w:rsidRDefault="008F52F9" w:rsidP="008F52F9">
            <w:pPr>
              <w:cnfStyle w:val="000000000000"/>
            </w:pPr>
            <w:r w:rsidRPr="00C63B8B">
              <w:t xml:space="preserve"> </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2</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53</w:t>
            </w:r>
          </w:p>
        </w:tc>
        <w:tc>
          <w:tcPr>
            <w:tcW w:w="706" w:type="dxa"/>
          </w:tcPr>
          <w:p w:rsidR="008F52F9" w:rsidRPr="00C63B8B" w:rsidRDefault="008F52F9" w:rsidP="008F52F9">
            <w:pPr>
              <w:cnfStyle w:val="000000000000"/>
            </w:pPr>
            <w:r w:rsidRPr="00C63B8B">
              <w:t>3</w:t>
            </w:r>
          </w:p>
        </w:tc>
        <w:tc>
          <w:tcPr>
            <w:tcW w:w="854" w:type="dxa"/>
          </w:tcPr>
          <w:p w:rsidR="008F52F9" w:rsidRPr="00C63B8B" w:rsidRDefault="008F52F9" w:rsidP="008F52F9">
            <w:pPr>
              <w:cnfStyle w:val="000000000000"/>
            </w:pPr>
            <w:r w:rsidRPr="00C63B8B">
              <w:t>10</w:t>
            </w:r>
          </w:p>
        </w:tc>
        <w:tc>
          <w:tcPr>
            <w:tcW w:w="707" w:type="dxa"/>
          </w:tcPr>
          <w:p w:rsidR="008F52F9" w:rsidRPr="00C63B8B" w:rsidRDefault="008F52F9" w:rsidP="008F52F9">
            <w:pPr>
              <w:cnfStyle w:val="000000000000"/>
            </w:pPr>
            <w:r w:rsidRPr="00C63B8B">
              <w:t xml:space="preserve"> </w:t>
            </w:r>
          </w:p>
        </w:tc>
      </w:tr>
      <w:tr w:rsidR="008F52F9" w:rsidRPr="00C63B8B" w:rsidTr="008F52F9">
        <w:tc>
          <w:tcPr>
            <w:cnfStyle w:val="001000000000"/>
            <w:tcW w:w="1134" w:type="dxa"/>
          </w:tcPr>
          <w:p w:rsidR="008F52F9" w:rsidRPr="00C63B8B" w:rsidRDefault="008F52F9" w:rsidP="008F52F9">
            <w:r w:rsidRPr="00C63B8B">
              <w:t>Башкиры</w:t>
            </w:r>
          </w:p>
        </w:tc>
        <w:tc>
          <w:tcPr>
            <w:tcW w:w="851" w:type="dxa"/>
            <w:tcBorders>
              <w:bottom w:val="nil"/>
            </w:tcBorders>
          </w:tcPr>
          <w:p w:rsidR="008F52F9" w:rsidRPr="00C63B8B" w:rsidRDefault="008F52F9" w:rsidP="008F52F9">
            <w:pPr>
              <w:cnfStyle w:val="000000000000"/>
            </w:pPr>
            <w:r w:rsidRPr="00C63B8B">
              <w:t xml:space="preserve"> </w:t>
            </w:r>
          </w:p>
        </w:tc>
        <w:tc>
          <w:tcPr>
            <w:tcW w:w="709" w:type="dxa"/>
            <w:tcBorders>
              <w:bottom w:val="nil"/>
            </w:tcBorders>
          </w:tcPr>
          <w:p w:rsidR="008F52F9" w:rsidRPr="00C63B8B" w:rsidRDefault="008F52F9" w:rsidP="008F52F9">
            <w:pPr>
              <w:cnfStyle w:val="000000000000"/>
            </w:pPr>
            <w:r w:rsidRPr="00C63B8B">
              <w:t xml:space="preserve"> </w:t>
            </w:r>
          </w:p>
        </w:tc>
        <w:tc>
          <w:tcPr>
            <w:tcW w:w="850" w:type="dxa"/>
            <w:tcBorders>
              <w:bottom w:val="nil"/>
            </w:tcBorders>
          </w:tcPr>
          <w:p w:rsidR="008F52F9" w:rsidRPr="00C63B8B" w:rsidRDefault="008F52F9" w:rsidP="008F52F9">
            <w:pPr>
              <w:cnfStyle w:val="000000000000"/>
            </w:pPr>
            <w:r w:rsidRPr="00C63B8B">
              <w:t xml:space="preserve"> </w:t>
            </w:r>
          </w:p>
        </w:tc>
        <w:tc>
          <w:tcPr>
            <w:tcW w:w="709" w:type="dxa"/>
            <w:tcBorders>
              <w:bottom w:val="nil"/>
            </w:tcBorders>
          </w:tcPr>
          <w:p w:rsidR="008F52F9" w:rsidRPr="00C63B8B" w:rsidRDefault="008F52F9" w:rsidP="008F52F9">
            <w:pPr>
              <w:cnfStyle w:val="000000000000"/>
            </w:pPr>
            <w:r w:rsidRPr="00C63B8B">
              <w:t xml:space="preserve"> </w:t>
            </w:r>
          </w:p>
        </w:tc>
        <w:tc>
          <w:tcPr>
            <w:tcW w:w="850" w:type="dxa"/>
            <w:tcBorders>
              <w:bottom w:val="nil"/>
            </w:tcBorders>
          </w:tcPr>
          <w:p w:rsidR="008F52F9" w:rsidRPr="00C63B8B" w:rsidRDefault="008F52F9" w:rsidP="008F52F9">
            <w:pPr>
              <w:cnfStyle w:val="000000000000"/>
            </w:pPr>
            <w:r w:rsidRPr="00C63B8B">
              <w:t>1</w:t>
            </w:r>
          </w:p>
        </w:tc>
        <w:tc>
          <w:tcPr>
            <w:tcW w:w="706" w:type="dxa"/>
            <w:tcBorders>
              <w:bottom w:val="nil"/>
            </w:tcBorders>
          </w:tcPr>
          <w:p w:rsidR="008F52F9" w:rsidRPr="00C63B8B" w:rsidRDefault="008F52F9" w:rsidP="008F52F9">
            <w:pPr>
              <w:cnfStyle w:val="000000000000"/>
            </w:pPr>
            <w:r w:rsidRPr="00C63B8B">
              <w:t xml:space="preserve"> </w:t>
            </w:r>
          </w:p>
        </w:tc>
        <w:tc>
          <w:tcPr>
            <w:tcW w:w="854" w:type="dxa"/>
            <w:tcBorders>
              <w:bottom w:val="nil"/>
            </w:tcBorders>
          </w:tcPr>
          <w:p w:rsidR="008F52F9" w:rsidRPr="00C63B8B" w:rsidRDefault="008F52F9" w:rsidP="008F52F9">
            <w:pPr>
              <w:cnfStyle w:val="000000000000"/>
            </w:pPr>
            <w:r w:rsidRPr="00C63B8B">
              <w:t xml:space="preserve"> </w:t>
            </w:r>
          </w:p>
        </w:tc>
        <w:tc>
          <w:tcPr>
            <w:tcW w:w="707" w:type="dxa"/>
            <w:tcBorders>
              <w:bottom w:val="nil"/>
            </w:tcBorders>
          </w:tcPr>
          <w:p w:rsidR="008F52F9" w:rsidRPr="00C63B8B" w:rsidRDefault="008F52F9" w:rsidP="008F52F9">
            <w:pPr>
              <w:cnfStyle w:val="000000000000"/>
            </w:pPr>
            <w:r w:rsidRPr="00C63B8B">
              <w:t xml:space="preserve"> </w:t>
            </w:r>
          </w:p>
        </w:tc>
      </w:tr>
      <w:tr w:rsidR="008F52F9" w:rsidRPr="00C63B8B" w:rsidTr="008F52F9">
        <w:tc>
          <w:tcPr>
            <w:cnfStyle w:val="001000000000"/>
            <w:tcW w:w="1134" w:type="dxa"/>
          </w:tcPr>
          <w:p w:rsidR="008F52F9" w:rsidRPr="00C63B8B" w:rsidRDefault="008F52F9" w:rsidP="008F52F9">
            <w:r w:rsidRPr="00C63B8B">
              <w:t>Рома</w:t>
            </w:r>
          </w:p>
        </w:tc>
        <w:tc>
          <w:tcPr>
            <w:tcW w:w="851" w:type="dxa"/>
            <w:tcBorders>
              <w:top w:val="nil"/>
              <w:bottom w:val="nil"/>
            </w:tcBorders>
          </w:tcPr>
          <w:p w:rsidR="008F52F9" w:rsidRPr="00C63B8B" w:rsidRDefault="008F52F9" w:rsidP="008F52F9">
            <w:pPr>
              <w:cnfStyle w:val="000000000000"/>
            </w:pPr>
            <w:r w:rsidRPr="00C63B8B">
              <w:t xml:space="preserve"> </w:t>
            </w:r>
          </w:p>
        </w:tc>
        <w:tc>
          <w:tcPr>
            <w:tcW w:w="709" w:type="dxa"/>
            <w:tcBorders>
              <w:top w:val="nil"/>
              <w:bottom w:val="nil"/>
            </w:tcBorders>
          </w:tcPr>
          <w:p w:rsidR="008F52F9" w:rsidRPr="00C63B8B" w:rsidRDefault="008F52F9" w:rsidP="008F52F9">
            <w:pPr>
              <w:cnfStyle w:val="000000000000"/>
            </w:pPr>
            <w:r w:rsidRPr="00C63B8B">
              <w:t xml:space="preserve"> </w:t>
            </w:r>
          </w:p>
        </w:tc>
        <w:tc>
          <w:tcPr>
            <w:tcW w:w="850" w:type="dxa"/>
            <w:tcBorders>
              <w:top w:val="nil"/>
              <w:bottom w:val="nil"/>
            </w:tcBorders>
          </w:tcPr>
          <w:p w:rsidR="008F52F9" w:rsidRPr="00C63B8B" w:rsidRDefault="008F52F9" w:rsidP="008F52F9">
            <w:pPr>
              <w:cnfStyle w:val="000000000000"/>
            </w:pPr>
            <w:r w:rsidRPr="00C63B8B">
              <w:t xml:space="preserve"> </w:t>
            </w:r>
          </w:p>
        </w:tc>
        <w:tc>
          <w:tcPr>
            <w:tcW w:w="709" w:type="dxa"/>
            <w:tcBorders>
              <w:top w:val="nil"/>
              <w:bottom w:val="nil"/>
            </w:tcBorders>
          </w:tcPr>
          <w:p w:rsidR="008F52F9" w:rsidRPr="00C63B8B" w:rsidRDefault="008F52F9" w:rsidP="008F52F9">
            <w:pPr>
              <w:cnfStyle w:val="000000000000"/>
            </w:pPr>
            <w:r w:rsidRPr="00C63B8B">
              <w:t xml:space="preserve"> </w:t>
            </w:r>
          </w:p>
        </w:tc>
        <w:tc>
          <w:tcPr>
            <w:tcW w:w="850" w:type="dxa"/>
            <w:tcBorders>
              <w:top w:val="nil"/>
              <w:bottom w:val="nil"/>
            </w:tcBorders>
          </w:tcPr>
          <w:p w:rsidR="008F52F9" w:rsidRPr="00C63B8B" w:rsidRDefault="008F52F9" w:rsidP="008F52F9">
            <w:pPr>
              <w:cnfStyle w:val="000000000000"/>
            </w:pPr>
            <w:r w:rsidRPr="00C63B8B">
              <w:t>1</w:t>
            </w:r>
          </w:p>
        </w:tc>
        <w:tc>
          <w:tcPr>
            <w:tcW w:w="706" w:type="dxa"/>
            <w:tcBorders>
              <w:top w:val="nil"/>
              <w:bottom w:val="nil"/>
            </w:tcBorders>
          </w:tcPr>
          <w:p w:rsidR="008F52F9" w:rsidRPr="00C63B8B" w:rsidRDefault="008F52F9" w:rsidP="008F52F9">
            <w:pPr>
              <w:cnfStyle w:val="000000000000"/>
            </w:pPr>
            <w:r w:rsidRPr="00C63B8B">
              <w:t xml:space="preserve"> </w:t>
            </w:r>
          </w:p>
        </w:tc>
        <w:tc>
          <w:tcPr>
            <w:tcW w:w="854" w:type="dxa"/>
            <w:tcBorders>
              <w:top w:val="nil"/>
              <w:bottom w:val="nil"/>
            </w:tcBorders>
          </w:tcPr>
          <w:p w:rsidR="008F52F9" w:rsidRPr="00C63B8B" w:rsidRDefault="008F52F9" w:rsidP="008F52F9">
            <w:pPr>
              <w:cnfStyle w:val="000000000000"/>
            </w:pPr>
            <w:r w:rsidRPr="00C63B8B">
              <w:t xml:space="preserve"> </w:t>
            </w:r>
          </w:p>
        </w:tc>
        <w:tc>
          <w:tcPr>
            <w:tcW w:w="707" w:type="dxa"/>
            <w:tcBorders>
              <w:top w:val="nil"/>
              <w:bottom w:val="nil"/>
            </w:tcBorders>
          </w:tcPr>
          <w:p w:rsidR="008F52F9" w:rsidRPr="00C63B8B" w:rsidRDefault="008F52F9" w:rsidP="008F52F9">
            <w:pPr>
              <w:cnfStyle w:val="000000000000"/>
            </w:pPr>
            <w:r w:rsidRPr="00C63B8B">
              <w:t xml:space="preserve"> </w:t>
            </w:r>
          </w:p>
        </w:tc>
      </w:tr>
      <w:tr w:rsidR="008F52F9" w:rsidRPr="00C63B8B" w:rsidTr="008F52F9">
        <w:tc>
          <w:tcPr>
            <w:cnfStyle w:val="001000000000"/>
            <w:tcW w:w="1134" w:type="dxa"/>
          </w:tcPr>
          <w:p w:rsidR="008F52F9" w:rsidRPr="00C63B8B" w:rsidRDefault="008F52F9" w:rsidP="008F52F9">
            <w:r w:rsidRPr="00C63B8B">
              <w:t>Чуваши</w:t>
            </w:r>
          </w:p>
        </w:tc>
        <w:tc>
          <w:tcPr>
            <w:tcW w:w="851" w:type="dxa"/>
            <w:tcBorders>
              <w:top w:val="nil"/>
              <w:bottom w:val="nil"/>
            </w:tcBorders>
          </w:tcPr>
          <w:p w:rsidR="008F52F9" w:rsidRPr="00C63B8B" w:rsidRDefault="008F52F9" w:rsidP="008F52F9">
            <w:pPr>
              <w:cnfStyle w:val="000000000000"/>
            </w:pPr>
            <w:r w:rsidRPr="00C63B8B">
              <w:t xml:space="preserve"> </w:t>
            </w:r>
          </w:p>
        </w:tc>
        <w:tc>
          <w:tcPr>
            <w:tcW w:w="709" w:type="dxa"/>
            <w:tcBorders>
              <w:top w:val="nil"/>
              <w:bottom w:val="nil"/>
            </w:tcBorders>
          </w:tcPr>
          <w:p w:rsidR="008F52F9" w:rsidRPr="00C63B8B" w:rsidRDefault="008F52F9" w:rsidP="008F52F9">
            <w:pPr>
              <w:cnfStyle w:val="000000000000"/>
            </w:pPr>
            <w:r w:rsidRPr="00C63B8B">
              <w:t xml:space="preserve"> </w:t>
            </w:r>
          </w:p>
        </w:tc>
        <w:tc>
          <w:tcPr>
            <w:tcW w:w="850" w:type="dxa"/>
            <w:tcBorders>
              <w:top w:val="nil"/>
              <w:bottom w:val="nil"/>
            </w:tcBorders>
          </w:tcPr>
          <w:p w:rsidR="008F52F9" w:rsidRPr="00C63B8B" w:rsidRDefault="008F52F9" w:rsidP="008F52F9">
            <w:pPr>
              <w:cnfStyle w:val="000000000000"/>
            </w:pPr>
            <w:r w:rsidRPr="00C63B8B">
              <w:t xml:space="preserve"> </w:t>
            </w:r>
          </w:p>
        </w:tc>
        <w:tc>
          <w:tcPr>
            <w:tcW w:w="709" w:type="dxa"/>
            <w:tcBorders>
              <w:top w:val="nil"/>
              <w:bottom w:val="nil"/>
            </w:tcBorders>
          </w:tcPr>
          <w:p w:rsidR="008F52F9" w:rsidRPr="00C63B8B" w:rsidRDefault="008F52F9" w:rsidP="008F52F9">
            <w:pPr>
              <w:cnfStyle w:val="000000000000"/>
            </w:pPr>
            <w:r w:rsidRPr="00C63B8B">
              <w:t xml:space="preserve"> </w:t>
            </w:r>
          </w:p>
        </w:tc>
        <w:tc>
          <w:tcPr>
            <w:tcW w:w="850" w:type="dxa"/>
            <w:tcBorders>
              <w:top w:val="nil"/>
              <w:bottom w:val="nil"/>
            </w:tcBorders>
          </w:tcPr>
          <w:p w:rsidR="008F52F9" w:rsidRPr="00C63B8B" w:rsidRDefault="008F52F9" w:rsidP="008F52F9">
            <w:pPr>
              <w:cnfStyle w:val="000000000000"/>
            </w:pPr>
            <w:r w:rsidRPr="00C63B8B">
              <w:t>1</w:t>
            </w:r>
          </w:p>
        </w:tc>
        <w:tc>
          <w:tcPr>
            <w:tcW w:w="706" w:type="dxa"/>
            <w:tcBorders>
              <w:top w:val="nil"/>
              <w:bottom w:val="nil"/>
            </w:tcBorders>
          </w:tcPr>
          <w:p w:rsidR="008F52F9" w:rsidRPr="00C63B8B" w:rsidRDefault="008F52F9" w:rsidP="008F52F9">
            <w:pPr>
              <w:cnfStyle w:val="000000000000"/>
            </w:pPr>
            <w:r w:rsidRPr="00C63B8B">
              <w:t xml:space="preserve"> </w:t>
            </w:r>
          </w:p>
        </w:tc>
        <w:tc>
          <w:tcPr>
            <w:tcW w:w="854" w:type="dxa"/>
            <w:tcBorders>
              <w:top w:val="nil"/>
              <w:bottom w:val="nil"/>
            </w:tcBorders>
          </w:tcPr>
          <w:p w:rsidR="008F52F9" w:rsidRPr="00C63B8B" w:rsidRDefault="008F52F9" w:rsidP="008F52F9">
            <w:pPr>
              <w:cnfStyle w:val="000000000000"/>
            </w:pPr>
            <w:r w:rsidRPr="00C63B8B">
              <w:t xml:space="preserve"> </w:t>
            </w:r>
          </w:p>
        </w:tc>
        <w:tc>
          <w:tcPr>
            <w:tcW w:w="707" w:type="dxa"/>
            <w:tcBorders>
              <w:top w:val="nil"/>
              <w:bottom w:val="nil"/>
            </w:tcBorders>
          </w:tcPr>
          <w:p w:rsidR="008F52F9" w:rsidRPr="00C63B8B" w:rsidRDefault="008F52F9" w:rsidP="008F52F9">
            <w:pPr>
              <w:cnfStyle w:val="000000000000"/>
            </w:pPr>
            <w:r w:rsidRPr="00C63B8B">
              <w:t xml:space="preserve"> </w:t>
            </w:r>
          </w:p>
        </w:tc>
      </w:tr>
      <w:tr w:rsidR="008F52F9" w:rsidRPr="00C63B8B" w:rsidTr="008F52F9">
        <w:tc>
          <w:tcPr>
            <w:cnfStyle w:val="001000000000"/>
            <w:tcW w:w="1134" w:type="dxa"/>
          </w:tcPr>
          <w:p w:rsidR="008F52F9" w:rsidRPr="00C63B8B" w:rsidRDefault="008F52F9" w:rsidP="008F52F9">
            <w:r w:rsidRPr="00C63B8B">
              <w:t>Греки</w:t>
            </w:r>
          </w:p>
        </w:tc>
        <w:tc>
          <w:tcPr>
            <w:tcW w:w="851" w:type="dxa"/>
            <w:tcBorders>
              <w:top w:val="nil"/>
              <w:bottom w:val="nil"/>
            </w:tcBorders>
          </w:tcPr>
          <w:p w:rsidR="008F52F9" w:rsidRPr="00C63B8B" w:rsidRDefault="008F52F9" w:rsidP="008F52F9">
            <w:pPr>
              <w:cnfStyle w:val="000000000000"/>
            </w:pPr>
            <w:r w:rsidRPr="00C63B8B">
              <w:t xml:space="preserve"> </w:t>
            </w:r>
          </w:p>
        </w:tc>
        <w:tc>
          <w:tcPr>
            <w:tcW w:w="709" w:type="dxa"/>
            <w:tcBorders>
              <w:top w:val="nil"/>
              <w:bottom w:val="nil"/>
            </w:tcBorders>
          </w:tcPr>
          <w:p w:rsidR="008F52F9" w:rsidRPr="00C63B8B" w:rsidRDefault="008F52F9" w:rsidP="008F52F9">
            <w:pPr>
              <w:cnfStyle w:val="000000000000"/>
            </w:pPr>
            <w:r w:rsidRPr="00C63B8B">
              <w:t xml:space="preserve"> </w:t>
            </w:r>
          </w:p>
        </w:tc>
        <w:tc>
          <w:tcPr>
            <w:tcW w:w="850" w:type="dxa"/>
            <w:tcBorders>
              <w:top w:val="nil"/>
              <w:bottom w:val="nil"/>
            </w:tcBorders>
          </w:tcPr>
          <w:p w:rsidR="008F52F9" w:rsidRPr="00C63B8B" w:rsidRDefault="008F52F9" w:rsidP="008F52F9">
            <w:pPr>
              <w:cnfStyle w:val="000000000000"/>
            </w:pPr>
            <w:r w:rsidRPr="00C63B8B">
              <w:t xml:space="preserve"> </w:t>
            </w:r>
          </w:p>
        </w:tc>
        <w:tc>
          <w:tcPr>
            <w:tcW w:w="709" w:type="dxa"/>
            <w:tcBorders>
              <w:top w:val="nil"/>
              <w:bottom w:val="nil"/>
            </w:tcBorders>
          </w:tcPr>
          <w:p w:rsidR="008F52F9" w:rsidRPr="00C63B8B" w:rsidRDefault="008F52F9" w:rsidP="008F52F9">
            <w:pPr>
              <w:cnfStyle w:val="000000000000"/>
            </w:pPr>
            <w:r w:rsidRPr="00C63B8B">
              <w:t xml:space="preserve"> </w:t>
            </w:r>
          </w:p>
        </w:tc>
        <w:tc>
          <w:tcPr>
            <w:tcW w:w="850" w:type="dxa"/>
            <w:tcBorders>
              <w:top w:val="nil"/>
              <w:bottom w:val="nil"/>
            </w:tcBorders>
          </w:tcPr>
          <w:p w:rsidR="008F52F9" w:rsidRPr="00C63B8B" w:rsidRDefault="008F52F9" w:rsidP="008F52F9">
            <w:pPr>
              <w:cnfStyle w:val="000000000000"/>
            </w:pPr>
            <w:r w:rsidRPr="00C63B8B">
              <w:t>1</w:t>
            </w:r>
          </w:p>
        </w:tc>
        <w:tc>
          <w:tcPr>
            <w:tcW w:w="706" w:type="dxa"/>
            <w:tcBorders>
              <w:top w:val="nil"/>
              <w:bottom w:val="nil"/>
            </w:tcBorders>
          </w:tcPr>
          <w:p w:rsidR="008F52F9" w:rsidRPr="00C63B8B" w:rsidRDefault="008F52F9" w:rsidP="008F52F9">
            <w:pPr>
              <w:cnfStyle w:val="000000000000"/>
            </w:pPr>
            <w:r w:rsidRPr="00C63B8B">
              <w:t xml:space="preserve"> </w:t>
            </w:r>
          </w:p>
        </w:tc>
        <w:tc>
          <w:tcPr>
            <w:tcW w:w="854" w:type="dxa"/>
            <w:tcBorders>
              <w:top w:val="nil"/>
              <w:bottom w:val="nil"/>
            </w:tcBorders>
          </w:tcPr>
          <w:p w:rsidR="008F52F9" w:rsidRPr="00C63B8B" w:rsidRDefault="008F52F9" w:rsidP="008F52F9">
            <w:pPr>
              <w:cnfStyle w:val="000000000000"/>
            </w:pPr>
            <w:r w:rsidRPr="00C63B8B">
              <w:t xml:space="preserve"> </w:t>
            </w:r>
          </w:p>
        </w:tc>
        <w:tc>
          <w:tcPr>
            <w:tcW w:w="707" w:type="dxa"/>
            <w:tcBorders>
              <w:top w:val="nil"/>
              <w:bottom w:val="nil"/>
            </w:tcBorders>
          </w:tcPr>
          <w:p w:rsidR="008F52F9" w:rsidRPr="00C63B8B" w:rsidRDefault="008F52F9" w:rsidP="008F52F9">
            <w:pPr>
              <w:cnfStyle w:val="000000000000"/>
            </w:pPr>
            <w:r w:rsidRPr="00C63B8B">
              <w:t xml:space="preserve"> </w:t>
            </w:r>
          </w:p>
        </w:tc>
      </w:tr>
      <w:tr w:rsidR="008F52F9" w:rsidRPr="00C63B8B" w:rsidTr="008F52F9">
        <w:tc>
          <w:tcPr>
            <w:cnfStyle w:val="001000000000"/>
            <w:tcW w:w="1134" w:type="dxa"/>
          </w:tcPr>
          <w:p w:rsidR="008F52F9" w:rsidRPr="00C63B8B" w:rsidRDefault="008F52F9" w:rsidP="008F52F9">
            <w:r w:rsidRPr="00C63B8B">
              <w:t>Грузины</w:t>
            </w:r>
          </w:p>
        </w:tc>
        <w:tc>
          <w:tcPr>
            <w:tcW w:w="851" w:type="dxa"/>
            <w:tcBorders>
              <w:top w:val="nil"/>
            </w:tcBorders>
          </w:tcPr>
          <w:p w:rsidR="008F52F9" w:rsidRPr="00C63B8B" w:rsidRDefault="008F52F9" w:rsidP="008F52F9">
            <w:pPr>
              <w:cnfStyle w:val="000000000000"/>
            </w:pPr>
            <w:r w:rsidRPr="00C63B8B">
              <w:t xml:space="preserve"> </w:t>
            </w:r>
          </w:p>
        </w:tc>
        <w:tc>
          <w:tcPr>
            <w:tcW w:w="709" w:type="dxa"/>
            <w:tcBorders>
              <w:top w:val="nil"/>
            </w:tcBorders>
          </w:tcPr>
          <w:p w:rsidR="008F52F9" w:rsidRPr="00C63B8B" w:rsidRDefault="008F52F9" w:rsidP="008F52F9">
            <w:pPr>
              <w:cnfStyle w:val="000000000000"/>
            </w:pPr>
            <w:r w:rsidRPr="00C63B8B">
              <w:t xml:space="preserve"> </w:t>
            </w:r>
          </w:p>
        </w:tc>
        <w:tc>
          <w:tcPr>
            <w:tcW w:w="850" w:type="dxa"/>
            <w:tcBorders>
              <w:top w:val="nil"/>
            </w:tcBorders>
          </w:tcPr>
          <w:p w:rsidR="008F52F9" w:rsidRPr="00C63B8B" w:rsidRDefault="008F52F9" w:rsidP="008F52F9">
            <w:pPr>
              <w:cnfStyle w:val="000000000000"/>
            </w:pPr>
            <w:r w:rsidRPr="00C63B8B">
              <w:t>1</w:t>
            </w:r>
          </w:p>
        </w:tc>
        <w:tc>
          <w:tcPr>
            <w:tcW w:w="709" w:type="dxa"/>
            <w:tcBorders>
              <w:top w:val="nil"/>
            </w:tcBorders>
          </w:tcPr>
          <w:p w:rsidR="008F52F9" w:rsidRPr="00C63B8B" w:rsidRDefault="008F52F9" w:rsidP="008F52F9">
            <w:pPr>
              <w:cnfStyle w:val="000000000000"/>
            </w:pPr>
            <w:r w:rsidRPr="00C63B8B">
              <w:t xml:space="preserve"> </w:t>
            </w:r>
          </w:p>
        </w:tc>
        <w:tc>
          <w:tcPr>
            <w:tcW w:w="850" w:type="dxa"/>
            <w:tcBorders>
              <w:top w:val="nil"/>
            </w:tcBorders>
          </w:tcPr>
          <w:p w:rsidR="008F52F9" w:rsidRPr="00C63B8B" w:rsidRDefault="008F52F9" w:rsidP="008F52F9">
            <w:pPr>
              <w:cnfStyle w:val="000000000000"/>
            </w:pPr>
            <w:r w:rsidRPr="00C63B8B">
              <w:t>1</w:t>
            </w:r>
          </w:p>
        </w:tc>
        <w:tc>
          <w:tcPr>
            <w:tcW w:w="706" w:type="dxa"/>
            <w:tcBorders>
              <w:top w:val="nil"/>
            </w:tcBorders>
          </w:tcPr>
          <w:p w:rsidR="008F52F9" w:rsidRPr="00C63B8B" w:rsidRDefault="008F52F9" w:rsidP="008F52F9">
            <w:pPr>
              <w:cnfStyle w:val="000000000000"/>
            </w:pPr>
            <w:r w:rsidRPr="00C63B8B">
              <w:t xml:space="preserve"> </w:t>
            </w:r>
          </w:p>
        </w:tc>
        <w:tc>
          <w:tcPr>
            <w:tcW w:w="854" w:type="dxa"/>
            <w:tcBorders>
              <w:top w:val="nil"/>
            </w:tcBorders>
          </w:tcPr>
          <w:p w:rsidR="008F52F9" w:rsidRPr="00C63B8B" w:rsidRDefault="008F52F9" w:rsidP="008F52F9">
            <w:pPr>
              <w:cnfStyle w:val="000000000000"/>
            </w:pPr>
            <w:r w:rsidRPr="00C63B8B">
              <w:t>2</w:t>
            </w:r>
          </w:p>
        </w:tc>
        <w:tc>
          <w:tcPr>
            <w:tcW w:w="707" w:type="dxa"/>
            <w:tcBorders>
              <w:top w:val="nil"/>
            </w:tcBorders>
          </w:tcPr>
          <w:p w:rsidR="008F52F9" w:rsidRPr="00C63B8B" w:rsidRDefault="008F52F9" w:rsidP="008F52F9">
            <w:pPr>
              <w:cnfStyle w:val="000000000000"/>
            </w:pPr>
            <w:r w:rsidRPr="00C63B8B">
              <w:t xml:space="preserve"> </w:t>
            </w:r>
          </w:p>
        </w:tc>
      </w:tr>
      <w:tr w:rsidR="008F52F9" w:rsidRPr="00C63B8B" w:rsidTr="008F52F9">
        <w:tc>
          <w:tcPr>
            <w:cnfStyle w:val="001000000000"/>
            <w:tcW w:w="1134" w:type="dxa"/>
          </w:tcPr>
          <w:p w:rsidR="008F52F9" w:rsidRPr="00C63B8B" w:rsidRDefault="008F52F9" w:rsidP="008F52F9">
            <w:r w:rsidRPr="00C63B8B">
              <w:t>Ингуши</w:t>
            </w:r>
          </w:p>
        </w:tc>
        <w:tc>
          <w:tcPr>
            <w:tcW w:w="851" w:type="dxa"/>
          </w:tcPr>
          <w:p w:rsidR="008F52F9" w:rsidRPr="00C63B8B" w:rsidRDefault="008F52F9" w:rsidP="008F52F9">
            <w:pPr>
              <w:cnfStyle w:val="000000000000"/>
            </w:pPr>
            <w:r w:rsidRPr="00C63B8B">
              <w:t xml:space="preserve"> </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 xml:space="preserve"> </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1</w:t>
            </w:r>
          </w:p>
        </w:tc>
        <w:tc>
          <w:tcPr>
            <w:tcW w:w="706" w:type="dxa"/>
          </w:tcPr>
          <w:p w:rsidR="008F52F9" w:rsidRPr="00C63B8B" w:rsidRDefault="008F52F9" w:rsidP="008F52F9">
            <w:pPr>
              <w:cnfStyle w:val="000000000000"/>
            </w:pPr>
            <w:r w:rsidRPr="00C63B8B">
              <w:t xml:space="preserve"> </w:t>
            </w:r>
          </w:p>
        </w:tc>
        <w:tc>
          <w:tcPr>
            <w:tcW w:w="854" w:type="dxa"/>
          </w:tcPr>
          <w:p w:rsidR="008F52F9" w:rsidRPr="00C63B8B" w:rsidRDefault="008F52F9" w:rsidP="008F52F9">
            <w:pPr>
              <w:cnfStyle w:val="000000000000"/>
            </w:pPr>
            <w:r w:rsidRPr="00C63B8B">
              <w:t xml:space="preserve"> </w:t>
            </w:r>
          </w:p>
        </w:tc>
        <w:tc>
          <w:tcPr>
            <w:tcW w:w="707" w:type="dxa"/>
          </w:tcPr>
          <w:p w:rsidR="008F52F9" w:rsidRPr="00C63B8B" w:rsidRDefault="008F52F9" w:rsidP="008F52F9">
            <w:pPr>
              <w:cnfStyle w:val="000000000000"/>
            </w:pPr>
            <w:r w:rsidRPr="00C63B8B">
              <w:t xml:space="preserve"> </w:t>
            </w:r>
          </w:p>
        </w:tc>
      </w:tr>
      <w:tr w:rsidR="008F52F9" w:rsidRPr="00C63B8B" w:rsidTr="008F52F9">
        <w:tc>
          <w:tcPr>
            <w:cnfStyle w:val="001000000000"/>
            <w:tcW w:w="1134" w:type="dxa"/>
          </w:tcPr>
          <w:p w:rsidR="008F52F9" w:rsidRPr="00C63B8B" w:rsidRDefault="008F52F9" w:rsidP="008F52F9">
            <w:r w:rsidRPr="00C63B8B">
              <w:t>Итальянцы</w:t>
            </w:r>
          </w:p>
        </w:tc>
        <w:tc>
          <w:tcPr>
            <w:tcW w:w="851" w:type="dxa"/>
          </w:tcPr>
          <w:p w:rsidR="008F52F9" w:rsidRPr="00C63B8B" w:rsidRDefault="008F52F9" w:rsidP="008F52F9">
            <w:pPr>
              <w:cnfStyle w:val="000000000000"/>
            </w:pPr>
            <w:r w:rsidRPr="00C63B8B">
              <w:t xml:space="preserve"> </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 xml:space="preserve"> </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1</w:t>
            </w:r>
          </w:p>
        </w:tc>
        <w:tc>
          <w:tcPr>
            <w:tcW w:w="706" w:type="dxa"/>
          </w:tcPr>
          <w:p w:rsidR="008F52F9" w:rsidRPr="00C63B8B" w:rsidRDefault="008F52F9" w:rsidP="008F52F9">
            <w:pPr>
              <w:cnfStyle w:val="000000000000"/>
            </w:pPr>
            <w:r w:rsidRPr="00C63B8B">
              <w:t>1</w:t>
            </w:r>
          </w:p>
        </w:tc>
        <w:tc>
          <w:tcPr>
            <w:tcW w:w="854" w:type="dxa"/>
          </w:tcPr>
          <w:p w:rsidR="008F52F9" w:rsidRPr="00C63B8B" w:rsidRDefault="008F52F9" w:rsidP="008F52F9">
            <w:pPr>
              <w:cnfStyle w:val="000000000000"/>
            </w:pPr>
            <w:r w:rsidRPr="00C63B8B">
              <w:t xml:space="preserve"> </w:t>
            </w:r>
          </w:p>
        </w:tc>
        <w:tc>
          <w:tcPr>
            <w:tcW w:w="707" w:type="dxa"/>
          </w:tcPr>
          <w:p w:rsidR="008F52F9" w:rsidRPr="00C63B8B" w:rsidRDefault="008F52F9" w:rsidP="008F52F9">
            <w:pPr>
              <w:cnfStyle w:val="000000000000"/>
            </w:pPr>
            <w:r w:rsidRPr="00C63B8B">
              <w:t xml:space="preserve"> </w:t>
            </w:r>
          </w:p>
        </w:tc>
      </w:tr>
      <w:tr w:rsidR="008F52F9" w:rsidRPr="00C63B8B" w:rsidTr="008F52F9">
        <w:tc>
          <w:tcPr>
            <w:cnfStyle w:val="001000000000"/>
            <w:tcW w:w="1134" w:type="dxa"/>
          </w:tcPr>
          <w:p w:rsidR="008F52F9" w:rsidRPr="00C63B8B" w:rsidRDefault="008F52F9" w:rsidP="008F52F9">
            <w:r w:rsidRPr="00C63B8B">
              <w:t>Казахи</w:t>
            </w:r>
          </w:p>
        </w:tc>
        <w:tc>
          <w:tcPr>
            <w:tcW w:w="851" w:type="dxa"/>
            <w:tcBorders>
              <w:bottom w:val="nil"/>
            </w:tcBorders>
          </w:tcPr>
          <w:p w:rsidR="008F52F9" w:rsidRPr="00C63B8B" w:rsidRDefault="008F52F9" w:rsidP="008F52F9">
            <w:pPr>
              <w:cnfStyle w:val="000000000000"/>
            </w:pPr>
            <w:r w:rsidRPr="00C63B8B">
              <w:t xml:space="preserve"> </w:t>
            </w:r>
          </w:p>
        </w:tc>
        <w:tc>
          <w:tcPr>
            <w:tcW w:w="709" w:type="dxa"/>
            <w:tcBorders>
              <w:bottom w:val="nil"/>
            </w:tcBorders>
          </w:tcPr>
          <w:p w:rsidR="008F52F9" w:rsidRPr="00C63B8B" w:rsidRDefault="008F52F9" w:rsidP="008F52F9">
            <w:pPr>
              <w:cnfStyle w:val="000000000000"/>
            </w:pPr>
            <w:r w:rsidRPr="00C63B8B">
              <w:t xml:space="preserve"> </w:t>
            </w:r>
          </w:p>
        </w:tc>
        <w:tc>
          <w:tcPr>
            <w:tcW w:w="850" w:type="dxa"/>
            <w:tcBorders>
              <w:bottom w:val="nil"/>
            </w:tcBorders>
          </w:tcPr>
          <w:p w:rsidR="008F52F9" w:rsidRPr="00C63B8B" w:rsidRDefault="008F52F9" w:rsidP="008F52F9">
            <w:pPr>
              <w:cnfStyle w:val="000000000000"/>
            </w:pPr>
            <w:r w:rsidRPr="00C63B8B">
              <w:t xml:space="preserve"> </w:t>
            </w:r>
          </w:p>
        </w:tc>
        <w:tc>
          <w:tcPr>
            <w:tcW w:w="709" w:type="dxa"/>
            <w:tcBorders>
              <w:bottom w:val="nil"/>
            </w:tcBorders>
          </w:tcPr>
          <w:p w:rsidR="008F52F9" w:rsidRPr="00C63B8B" w:rsidRDefault="008F52F9" w:rsidP="008F52F9">
            <w:pPr>
              <w:cnfStyle w:val="000000000000"/>
            </w:pPr>
            <w:r w:rsidRPr="00C63B8B">
              <w:t xml:space="preserve"> </w:t>
            </w:r>
          </w:p>
        </w:tc>
        <w:tc>
          <w:tcPr>
            <w:tcW w:w="850" w:type="dxa"/>
            <w:tcBorders>
              <w:bottom w:val="nil"/>
            </w:tcBorders>
          </w:tcPr>
          <w:p w:rsidR="008F52F9" w:rsidRPr="00C63B8B" w:rsidRDefault="008F52F9" w:rsidP="008F52F9">
            <w:pPr>
              <w:cnfStyle w:val="000000000000"/>
            </w:pPr>
            <w:r w:rsidRPr="00C63B8B">
              <w:t>2</w:t>
            </w:r>
          </w:p>
        </w:tc>
        <w:tc>
          <w:tcPr>
            <w:tcW w:w="706" w:type="dxa"/>
            <w:tcBorders>
              <w:bottom w:val="nil"/>
            </w:tcBorders>
          </w:tcPr>
          <w:p w:rsidR="008F52F9" w:rsidRPr="00C63B8B" w:rsidRDefault="008F52F9" w:rsidP="008F52F9">
            <w:pPr>
              <w:cnfStyle w:val="000000000000"/>
            </w:pPr>
            <w:r w:rsidRPr="00C63B8B">
              <w:t xml:space="preserve"> </w:t>
            </w:r>
          </w:p>
        </w:tc>
        <w:tc>
          <w:tcPr>
            <w:tcW w:w="854" w:type="dxa"/>
            <w:tcBorders>
              <w:bottom w:val="nil"/>
            </w:tcBorders>
          </w:tcPr>
          <w:p w:rsidR="008F52F9" w:rsidRPr="00C63B8B" w:rsidRDefault="008F52F9" w:rsidP="008F52F9">
            <w:pPr>
              <w:cnfStyle w:val="000000000000"/>
            </w:pPr>
            <w:r w:rsidRPr="00C63B8B">
              <w:t xml:space="preserve"> </w:t>
            </w:r>
          </w:p>
        </w:tc>
        <w:tc>
          <w:tcPr>
            <w:tcW w:w="707" w:type="dxa"/>
            <w:tcBorders>
              <w:bottom w:val="nil"/>
            </w:tcBorders>
          </w:tcPr>
          <w:p w:rsidR="008F52F9" w:rsidRPr="00C63B8B" w:rsidRDefault="008F52F9" w:rsidP="008F52F9">
            <w:pPr>
              <w:cnfStyle w:val="000000000000"/>
            </w:pPr>
            <w:r w:rsidRPr="00C63B8B">
              <w:t xml:space="preserve"> </w:t>
            </w:r>
          </w:p>
        </w:tc>
      </w:tr>
      <w:tr w:rsidR="008F52F9" w:rsidRPr="00C63B8B" w:rsidTr="008F52F9">
        <w:tc>
          <w:tcPr>
            <w:cnfStyle w:val="001000000000"/>
            <w:tcW w:w="1134" w:type="dxa"/>
          </w:tcPr>
          <w:p w:rsidR="008F52F9" w:rsidRPr="00C63B8B" w:rsidRDefault="008F52F9" w:rsidP="008F52F9">
            <w:r w:rsidRPr="00C63B8B">
              <w:t>Латыши</w:t>
            </w:r>
          </w:p>
        </w:tc>
        <w:tc>
          <w:tcPr>
            <w:tcW w:w="851" w:type="dxa"/>
            <w:tcBorders>
              <w:top w:val="nil"/>
              <w:bottom w:val="nil"/>
            </w:tcBorders>
          </w:tcPr>
          <w:p w:rsidR="008F52F9" w:rsidRPr="00C63B8B" w:rsidRDefault="008F52F9" w:rsidP="008F52F9">
            <w:pPr>
              <w:cnfStyle w:val="000000000000"/>
            </w:pPr>
            <w:r w:rsidRPr="00C63B8B">
              <w:t xml:space="preserve"> </w:t>
            </w:r>
          </w:p>
        </w:tc>
        <w:tc>
          <w:tcPr>
            <w:tcW w:w="709" w:type="dxa"/>
            <w:tcBorders>
              <w:top w:val="nil"/>
              <w:bottom w:val="nil"/>
            </w:tcBorders>
          </w:tcPr>
          <w:p w:rsidR="008F52F9" w:rsidRPr="00C63B8B" w:rsidRDefault="008F52F9" w:rsidP="008F52F9">
            <w:pPr>
              <w:cnfStyle w:val="000000000000"/>
            </w:pPr>
            <w:r w:rsidRPr="00C63B8B">
              <w:t xml:space="preserve"> </w:t>
            </w:r>
          </w:p>
        </w:tc>
        <w:tc>
          <w:tcPr>
            <w:tcW w:w="850" w:type="dxa"/>
            <w:tcBorders>
              <w:top w:val="nil"/>
              <w:bottom w:val="nil"/>
            </w:tcBorders>
          </w:tcPr>
          <w:p w:rsidR="008F52F9" w:rsidRPr="00C63B8B" w:rsidRDefault="008F52F9" w:rsidP="008F52F9">
            <w:pPr>
              <w:cnfStyle w:val="000000000000"/>
            </w:pPr>
            <w:r w:rsidRPr="00C63B8B">
              <w:t xml:space="preserve"> </w:t>
            </w:r>
          </w:p>
        </w:tc>
        <w:tc>
          <w:tcPr>
            <w:tcW w:w="709" w:type="dxa"/>
            <w:tcBorders>
              <w:top w:val="nil"/>
              <w:bottom w:val="nil"/>
            </w:tcBorders>
          </w:tcPr>
          <w:p w:rsidR="008F52F9" w:rsidRPr="00C63B8B" w:rsidRDefault="008F52F9" w:rsidP="008F52F9">
            <w:pPr>
              <w:cnfStyle w:val="000000000000"/>
            </w:pPr>
            <w:r w:rsidRPr="00C63B8B">
              <w:t xml:space="preserve"> </w:t>
            </w:r>
          </w:p>
        </w:tc>
        <w:tc>
          <w:tcPr>
            <w:tcW w:w="850" w:type="dxa"/>
            <w:tcBorders>
              <w:top w:val="nil"/>
              <w:bottom w:val="nil"/>
            </w:tcBorders>
          </w:tcPr>
          <w:p w:rsidR="008F52F9" w:rsidRPr="00C63B8B" w:rsidRDefault="008F52F9" w:rsidP="008F52F9">
            <w:pPr>
              <w:cnfStyle w:val="000000000000"/>
            </w:pPr>
            <w:r w:rsidRPr="00C63B8B">
              <w:t>16</w:t>
            </w:r>
          </w:p>
        </w:tc>
        <w:tc>
          <w:tcPr>
            <w:tcW w:w="706" w:type="dxa"/>
            <w:tcBorders>
              <w:top w:val="nil"/>
              <w:bottom w:val="nil"/>
            </w:tcBorders>
          </w:tcPr>
          <w:p w:rsidR="008F52F9" w:rsidRPr="00C63B8B" w:rsidRDefault="008F52F9" w:rsidP="008F52F9">
            <w:pPr>
              <w:cnfStyle w:val="000000000000"/>
            </w:pPr>
            <w:r w:rsidRPr="00C63B8B">
              <w:t xml:space="preserve"> </w:t>
            </w:r>
          </w:p>
        </w:tc>
        <w:tc>
          <w:tcPr>
            <w:tcW w:w="854" w:type="dxa"/>
            <w:tcBorders>
              <w:top w:val="nil"/>
              <w:bottom w:val="nil"/>
            </w:tcBorders>
          </w:tcPr>
          <w:p w:rsidR="008F52F9" w:rsidRPr="00C63B8B" w:rsidRDefault="008F52F9" w:rsidP="008F52F9">
            <w:pPr>
              <w:cnfStyle w:val="000000000000"/>
            </w:pPr>
            <w:r w:rsidRPr="00C63B8B">
              <w:t>2</w:t>
            </w:r>
          </w:p>
        </w:tc>
        <w:tc>
          <w:tcPr>
            <w:tcW w:w="707" w:type="dxa"/>
            <w:tcBorders>
              <w:top w:val="nil"/>
              <w:bottom w:val="nil"/>
            </w:tcBorders>
          </w:tcPr>
          <w:p w:rsidR="008F52F9" w:rsidRPr="00C63B8B" w:rsidRDefault="008F52F9" w:rsidP="008F52F9">
            <w:pPr>
              <w:cnfStyle w:val="000000000000"/>
            </w:pPr>
            <w:r w:rsidRPr="00C63B8B">
              <w:t xml:space="preserve"> </w:t>
            </w:r>
          </w:p>
        </w:tc>
      </w:tr>
      <w:tr w:rsidR="008F52F9" w:rsidRPr="00C63B8B" w:rsidTr="008F52F9">
        <w:tc>
          <w:tcPr>
            <w:cnfStyle w:val="001000000000"/>
            <w:tcW w:w="1134" w:type="dxa"/>
          </w:tcPr>
          <w:p w:rsidR="008F52F9" w:rsidRPr="00C63B8B" w:rsidRDefault="008F52F9" w:rsidP="008F52F9">
            <w:r w:rsidRPr="00C63B8B">
              <w:t>Поляки</w:t>
            </w:r>
          </w:p>
        </w:tc>
        <w:tc>
          <w:tcPr>
            <w:tcW w:w="851" w:type="dxa"/>
            <w:tcBorders>
              <w:top w:val="nil"/>
            </w:tcBorders>
          </w:tcPr>
          <w:p w:rsidR="008F52F9" w:rsidRPr="00C63B8B" w:rsidRDefault="008F52F9" w:rsidP="008F52F9">
            <w:pPr>
              <w:cnfStyle w:val="000000000000"/>
            </w:pPr>
            <w:r w:rsidRPr="00C63B8B">
              <w:t>1</w:t>
            </w:r>
          </w:p>
        </w:tc>
        <w:tc>
          <w:tcPr>
            <w:tcW w:w="709" w:type="dxa"/>
            <w:tcBorders>
              <w:top w:val="nil"/>
            </w:tcBorders>
          </w:tcPr>
          <w:p w:rsidR="008F52F9" w:rsidRPr="00C63B8B" w:rsidRDefault="008F52F9" w:rsidP="008F52F9">
            <w:pPr>
              <w:cnfStyle w:val="000000000000"/>
            </w:pPr>
            <w:r w:rsidRPr="00C63B8B">
              <w:t xml:space="preserve"> </w:t>
            </w:r>
          </w:p>
        </w:tc>
        <w:tc>
          <w:tcPr>
            <w:tcW w:w="850" w:type="dxa"/>
            <w:tcBorders>
              <w:top w:val="nil"/>
            </w:tcBorders>
          </w:tcPr>
          <w:p w:rsidR="008F52F9" w:rsidRPr="00C63B8B" w:rsidRDefault="008F52F9" w:rsidP="008F52F9">
            <w:pPr>
              <w:cnfStyle w:val="000000000000"/>
            </w:pPr>
            <w:r w:rsidRPr="00C63B8B">
              <w:t>16</w:t>
            </w:r>
          </w:p>
        </w:tc>
        <w:tc>
          <w:tcPr>
            <w:tcW w:w="709" w:type="dxa"/>
            <w:tcBorders>
              <w:top w:val="nil"/>
            </w:tcBorders>
          </w:tcPr>
          <w:p w:rsidR="008F52F9" w:rsidRPr="00C63B8B" w:rsidRDefault="008F52F9" w:rsidP="008F52F9">
            <w:pPr>
              <w:cnfStyle w:val="000000000000"/>
            </w:pPr>
            <w:r w:rsidRPr="00C63B8B">
              <w:t>1</w:t>
            </w:r>
          </w:p>
        </w:tc>
        <w:tc>
          <w:tcPr>
            <w:tcW w:w="850" w:type="dxa"/>
            <w:tcBorders>
              <w:top w:val="nil"/>
            </w:tcBorders>
          </w:tcPr>
          <w:p w:rsidR="008F52F9" w:rsidRPr="00C63B8B" w:rsidRDefault="008F52F9" w:rsidP="008F52F9">
            <w:pPr>
              <w:cnfStyle w:val="000000000000"/>
            </w:pPr>
            <w:r w:rsidRPr="00C63B8B">
              <w:t>587</w:t>
            </w:r>
          </w:p>
        </w:tc>
        <w:tc>
          <w:tcPr>
            <w:tcW w:w="706" w:type="dxa"/>
            <w:tcBorders>
              <w:top w:val="nil"/>
            </w:tcBorders>
          </w:tcPr>
          <w:p w:rsidR="008F52F9" w:rsidRPr="00C63B8B" w:rsidRDefault="008F52F9" w:rsidP="008F52F9">
            <w:pPr>
              <w:cnfStyle w:val="000000000000"/>
            </w:pPr>
            <w:r w:rsidRPr="00C63B8B">
              <w:t>71</w:t>
            </w:r>
          </w:p>
        </w:tc>
        <w:tc>
          <w:tcPr>
            <w:tcW w:w="854" w:type="dxa"/>
            <w:tcBorders>
              <w:top w:val="nil"/>
            </w:tcBorders>
          </w:tcPr>
          <w:p w:rsidR="008F52F9" w:rsidRPr="00C63B8B" w:rsidRDefault="008F52F9" w:rsidP="008F52F9">
            <w:pPr>
              <w:cnfStyle w:val="000000000000"/>
            </w:pPr>
            <w:r w:rsidRPr="00C63B8B">
              <w:t>133</w:t>
            </w:r>
          </w:p>
        </w:tc>
        <w:tc>
          <w:tcPr>
            <w:tcW w:w="707" w:type="dxa"/>
            <w:tcBorders>
              <w:top w:val="nil"/>
            </w:tcBorders>
          </w:tcPr>
          <w:p w:rsidR="008F52F9" w:rsidRPr="00C63B8B" w:rsidRDefault="008F52F9" w:rsidP="008F52F9">
            <w:pPr>
              <w:cnfStyle w:val="000000000000"/>
            </w:pPr>
            <w:r w:rsidRPr="00C63B8B">
              <w:t>8</w:t>
            </w:r>
          </w:p>
        </w:tc>
      </w:tr>
      <w:tr w:rsidR="008F52F9" w:rsidRPr="00C63B8B" w:rsidTr="008F52F9">
        <w:tc>
          <w:tcPr>
            <w:cnfStyle w:val="001000000000"/>
            <w:tcW w:w="1134" w:type="dxa"/>
          </w:tcPr>
          <w:p w:rsidR="008F52F9" w:rsidRPr="00C63B8B" w:rsidRDefault="008F52F9" w:rsidP="008F52F9">
            <w:r w:rsidRPr="00C63B8B">
              <w:t>Лезгины</w:t>
            </w:r>
          </w:p>
        </w:tc>
        <w:tc>
          <w:tcPr>
            <w:tcW w:w="851" w:type="dxa"/>
          </w:tcPr>
          <w:p w:rsidR="008F52F9" w:rsidRPr="00C63B8B" w:rsidRDefault="008F52F9" w:rsidP="008F52F9">
            <w:pPr>
              <w:cnfStyle w:val="000000000000"/>
            </w:pPr>
            <w:r w:rsidRPr="00C63B8B">
              <w:t xml:space="preserve"> </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 xml:space="preserve"> </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1</w:t>
            </w:r>
          </w:p>
        </w:tc>
        <w:tc>
          <w:tcPr>
            <w:tcW w:w="706" w:type="dxa"/>
          </w:tcPr>
          <w:p w:rsidR="008F52F9" w:rsidRPr="00C63B8B" w:rsidRDefault="008F52F9" w:rsidP="008F52F9">
            <w:pPr>
              <w:cnfStyle w:val="000000000000"/>
            </w:pPr>
            <w:r w:rsidRPr="00C63B8B">
              <w:t xml:space="preserve"> </w:t>
            </w:r>
          </w:p>
        </w:tc>
        <w:tc>
          <w:tcPr>
            <w:tcW w:w="854" w:type="dxa"/>
          </w:tcPr>
          <w:p w:rsidR="008F52F9" w:rsidRPr="00C63B8B" w:rsidRDefault="008F52F9" w:rsidP="008F52F9">
            <w:pPr>
              <w:cnfStyle w:val="000000000000"/>
            </w:pPr>
            <w:r w:rsidRPr="00C63B8B">
              <w:t xml:space="preserve"> </w:t>
            </w:r>
          </w:p>
        </w:tc>
        <w:tc>
          <w:tcPr>
            <w:tcW w:w="707" w:type="dxa"/>
          </w:tcPr>
          <w:p w:rsidR="008F52F9" w:rsidRPr="00C63B8B" w:rsidRDefault="008F52F9" w:rsidP="008F52F9">
            <w:pPr>
              <w:cnfStyle w:val="000000000000"/>
            </w:pPr>
            <w:r w:rsidRPr="00C63B8B">
              <w:t xml:space="preserve"> </w:t>
            </w:r>
          </w:p>
        </w:tc>
      </w:tr>
      <w:tr w:rsidR="008F52F9" w:rsidRPr="00C63B8B" w:rsidTr="008F52F9">
        <w:tc>
          <w:tcPr>
            <w:cnfStyle w:val="001000000000"/>
            <w:tcW w:w="1134" w:type="dxa"/>
          </w:tcPr>
          <w:p w:rsidR="008F52F9" w:rsidRPr="00C63B8B" w:rsidRDefault="008F52F9" w:rsidP="008F52F9">
            <w:r w:rsidRPr="00C63B8B">
              <w:t>Ливанцы</w:t>
            </w:r>
          </w:p>
        </w:tc>
        <w:tc>
          <w:tcPr>
            <w:tcW w:w="851" w:type="dxa"/>
          </w:tcPr>
          <w:p w:rsidR="008F52F9" w:rsidRPr="00C63B8B" w:rsidRDefault="008F52F9" w:rsidP="008F52F9">
            <w:pPr>
              <w:cnfStyle w:val="000000000000"/>
            </w:pPr>
            <w:r w:rsidRPr="00C63B8B">
              <w:t xml:space="preserve"> </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 xml:space="preserve"> </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1</w:t>
            </w:r>
          </w:p>
        </w:tc>
        <w:tc>
          <w:tcPr>
            <w:tcW w:w="706" w:type="dxa"/>
          </w:tcPr>
          <w:p w:rsidR="008F52F9" w:rsidRPr="00C63B8B" w:rsidRDefault="008F52F9" w:rsidP="008F52F9">
            <w:pPr>
              <w:cnfStyle w:val="000000000000"/>
            </w:pPr>
            <w:r w:rsidRPr="00C63B8B">
              <w:t xml:space="preserve"> </w:t>
            </w:r>
          </w:p>
        </w:tc>
        <w:tc>
          <w:tcPr>
            <w:tcW w:w="854" w:type="dxa"/>
          </w:tcPr>
          <w:p w:rsidR="008F52F9" w:rsidRPr="00C63B8B" w:rsidRDefault="008F52F9" w:rsidP="008F52F9">
            <w:pPr>
              <w:cnfStyle w:val="000000000000"/>
            </w:pPr>
            <w:r w:rsidRPr="00C63B8B">
              <w:t xml:space="preserve"> </w:t>
            </w:r>
          </w:p>
        </w:tc>
        <w:tc>
          <w:tcPr>
            <w:tcW w:w="707" w:type="dxa"/>
          </w:tcPr>
          <w:p w:rsidR="008F52F9" w:rsidRPr="00C63B8B" w:rsidRDefault="008F52F9" w:rsidP="008F52F9">
            <w:pPr>
              <w:cnfStyle w:val="000000000000"/>
            </w:pPr>
            <w:r w:rsidRPr="00C63B8B">
              <w:t xml:space="preserve"> </w:t>
            </w:r>
          </w:p>
        </w:tc>
      </w:tr>
      <w:tr w:rsidR="008F52F9" w:rsidRPr="00C63B8B" w:rsidTr="008F52F9">
        <w:tc>
          <w:tcPr>
            <w:cnfStyle w:val="001000000000"/>
            <w:tcW w:w="1134" w:type="dxa"/>
          </w:tcPr>
          <w:p w:rsidR="008F52F9" w:rsidRPr="00C63B8B" w:rsidRDefault="008F52F9" w:rsidP="008F52F9">
            <w:r w:rsidRPr="00C63B8B">
              <w:t>Литовцы</w:t>
            </w:r>
          </w:p>
        </w:tc>
        <w:tc>
          <w:tcPr>
            <w:tcW w:w="851" w:type="dxa"/>
          </w:tcPr>
          <w:p w:rsidR="008F52F9" w:rsidRPr="00C63B8B" w:rsidRDefault="008F52F9" w:rsidP="008F52F9">
            <w:pPr>
              <w:cnfStyle w:val="000000000000"/>
            </w:pPr>
            <w:r w:rsidRPr="00C63B8B">
              <w:t>6</w:t>
            </w:r>
          </w:p>
        </w:tc>
        <w:tc>
          <w:tcPr>
            <w:tcW w:w="709" w:type="dxa"/>
          </w:tcPr>
          <w:p w:rsidR="008F52F9" w:rsidRPr="00C63B8B" w:rsidRDefault="008F52F9" w:rsidP="008F52F9">
            <w:pPr>
              <w:cnfStyle w:val="000000000000"/>
            </w:pPr>
            <w:r w:rsidRPr="00C63B8B">
              <w:t>1</w:t>
            </w:r>
          </w:p>
        </w:tc>
        <w:tc>
          <w:tcPr>
            <w:tcW w:w="850" w:type="dxa"/>
          </w:tcPr>
          <w:p w:rsidR="008F52F9" w:rsidRPr="00C63B8B" w:rsidRDefault="008F52F9" w:rsidP="008F52F9">
            <w:pPr>
              <w:cnfStyle w:val="000000000000"/>
            </w:pPr>
            <w:r w:rsidRPr="00C63B8B">
              <w:t>222</w:t>
            </w:r>
          </w:p>
        </w:tc>
        <w:tc>
          <w:tcPr>
            <w:tcW w:w="709" w:type="dxa"/>
          </w:tcPr>
          <w:p w:rsidR="008F52F9" w:rsidRPr="00C63B8B" w:rsidRDefault="008F52F9" w:rsidP="008F52F9">
            <w:pPr>
              <w:cnfStyle w:val="000000000000"/>
            </w:pPr>
            <w:r w:rsidRPr="00C63B8B">
              <w:t>10</w:t>
            </w:r>
          </w:p>
        </w:tc>
        <w:tc>
          <w:tcPr>
            <w:tcW w:w="850" w:type="dxa"/>
          </w:tcPr>
          <w:p w:rsidR="008F52F9" w:rsidRPr="00C63B8B" w:rsidRDefault="008F52F9" w:rsidP="008F52F9">
            <w:pPr>
              <w:cnfStyle w:val="000000000000"/>
            </w:pPr>
            <w:r w:rsidRPr="00C63B8B">
              <w:t>13 642</w:t>
            </w:r>
          </w:p>
        </w:tc>
        <w:tc>
          <w:tcPr>
            <w:tcW w:w="706" w:type="dxa"/>
          </w:tcPr>
          <w:p w:rsidR="008F52F9" w:rsidRPr="00C63B8B" w:rsidRDefault="008F52F9" w:rsidP="008F52F9">
            <w:pPr>
              <w:cnfStyle w:val="000000000000"/>
            </w:pPr>
            <w:r w:rsidRPr="00C63B8B">
              <w:t>1 354</w:t>
            </w:r>
          </w:p>
        </w:tc>
        <w:tc>
          <w:tcPr>
            <w:tcW w:w="854" w:type="dxa"/>
          </w:tcPr>
          <w:p w:rsidR="008F52F9" w:rsidRPr="00C63B8B" w:rsidRDefault="008F52F9" w:rsidP="008F52F9">
            <w:pPr>
              <w:cnfStyle w:val="000000000000"/>
            </w:pPr>
            <w:r w:rsidRPr="00C63B8B">
              <w:t>1 602</w:t>
            </w:r>
          </w:p>
        </w:tc>
        <w:tc>
          <w:tcPr>
            <w:tcW w:w="707" w:type="dxa"/>
          </w:tcPr>
          <w:p w:rsidR="008F52F9" w:rsidRPr="00C63B8B" w:rsidRDefault="008F52F9" w:rsidP="008F52F9">
            <w:pPr>
              <w:cnfStyle w:val="000000000000"/>
            </w:pPr>
            <w:r w:rsidRPr="00C63B8B">
              <w:t>128</w:t>
            </w:r>
          </w:p>
        </w:tc>
      </w:tr>
      <w:tr w:rsidR="008F52F9" w:rsidRPr="00C63B8B" w:rsidTr="008F52F9">
        <w:tc>
          <w:tcPr>
            <w:cnfStyle w:val="001000000000"/>
            <w:tcW w:w="1134" w:type="dxa"/>
          </w:tcPr>
          <w:p w:rsidR="008F52F9" w:rsidRPr="00C63B8B" w:rsidRDefault="008F52F9" w:rsidP="008F52F9">
            <w:r w:rsidRPr="00C63B8B">
              <w:t>Марийцы</w:t>
            </w:r>
          </w:p>
        </w:tc>
        <w:tc>
          <w:tcPr>
            <w:tcW w:w="851" w:type="dxa"/>
          </w:tcPr>
          <w:p w:rsidR="008F52F9" w:rsidRPr="00C63B8B" w:rsidRDefault="008F52F9" w:rsidP="008F52F9">
            <w:pPr>
              <w:cnfStyle w:val="000000000000"/>
            </w:pPr>
            <w:r w:rsidRPr="00C63B8B">
              <w:t xml:space="preserve"> </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 xml:space="preserve"> </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1</w:t>
            </w:r>
          </w:p>
        </w:tc>
        <w:tc>
          <w:tcPr>
            <w:tcW w:w="706" w:type="dxa"/>
          </w:tcPr>
          <w:p w:rsidR="008F52F9" w:rsidRPr="00C63B8B" w:rsidRDefault="008F52F9" w:rsidP="008F52F9">
            <w:pPr>
              <w:cnfStyle w:val="000000000000"/>
            </w:pPr>
            <w:r w:rsidRPr="00C63B8B">
              <w:t xml:space="preserve"> </w:t>
            </w:r>
          </w:p>
        </w:tc>
        <w:tc>
          <w:tcPr>
            <w:tcW w:w="854" w:type="dxa"/>
          </w:tcPr>
          <w:p w:rsidR="008F52F9" w:rsidRPr="00C63B8B" w:rsidRDefault="008F52F9" w:rsidP="008F52F9">
            <w:pPr>
              <w:cnfStyle w:val="000000000000"/>
            </w:pPr>
            <w:r w:rsidRPr="00C63B8B">
              <w:t xml:space="preserve"> </w:t>
            </w:r>
          </w:p>
        </w:tc>
        <w:tc>
          <w:tcPr>
            <w:tcW w:w="707" w:type="dxa"/>
          </w:tcPr>
          <w:p w:rsidR="008F52F9" w:rsidRPr="00C63B8B" w:rsidRDefault="008F52F9" w:rsidP="008F52F9">
            <w:pPr>
              <w:cnfStyle w:val="000000000000"/>
            </w:pPr>
            <w:r w:rsidRPr="00C63B8B">
              <w:t xml:space="preserve"> </w:t>
            </w:r>
          </w:p>
        </w:tc>
      </w:tr>
      <w:tr w:rsidR="008F52F9" w:rsidRPr="00C63B8B" w:rsidTr="008F52F9">
        <w:tc>
          <w:tcPr>
            <w:cnfStyle w:val="001000000000"/>
            <w:tcW w:w="1134" w:type="dxa"/>
          </w:tcPr>
          <w:p w:rsidR="008F52F9" w:rsidRPr="00C63B8B" w:rsidRDefault="008F52F9" w:rsidP="008F52F9">
            <w:r w:rsidRPr="00C63B8B">
              <w:t>Молдаване</w:t>
            </w:r>
          </w:p>
        </w:tc>
        <w:tc>
          <w:tcPr>
            <w:tcW w:w="851" w:type="dxa"/>
          </w:tcPr>
          <w:p w:rsidR="008F52F9" w:rsidRPr="00C63B8B" w:rsidRDefault="008F52F9" w:rsidP="008F52F9">
            <w:pPr>
              <w:cnfStyle w:val="000000000000"/>
            </w:pPr>
            <w:r w:rsidRPr="00C63B8B">
              <w:t xml:space="preserve"> </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 xml:space="preserve"> </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1</w:t>
            </w:r>
          </w:p>
        </w:tc>
        <w:tc>
          <w:tcPr>
            <w:tcW w:w="706" w:type="dxa"/>
          </w:tcPr>
          <w:p w:rsidR="008F52F9" w:rsidRPr="00C63B8B" w:rsidRDefault="008F52F9" w:rsidP="008F52F9">
            <w:pPr>
              <w:cnfStyle w:val="000000000000"/>
            </w:pPr>
            <w:r w:rsidRPr="00C63B8B">
              <w:t>1</w:t>
            </w:r>
          </w:p>
        </w:tc>
        <w:tc>
          <w:tcPr>
            <w:tcW w:w="854" w:type="dxa"/>
          </w:tcPr>
          <w:p w:rsidR="008F52F9" w:rsidRPr="00C63B8B" w:rsidRDefault="008F52F9" w:rsidP="008F52F9">
            <w:pPr>
              <w:cnfStyle w:val="000000000000"/>
            </w:pPr>
            <w:r w:rsidRPr="00C63B8B">
              <w:t>1</w:t>
            </w:r>
          </w:p>
        </w:tc>
        <w:tc>
          <w:tcPr>
            <w:tcW w:w="707" w:type="dxa"/>
          </w:tcPr>
          <w:p w:rsidR="008F52F9" w:rsidRPr="00C63B8B" w:rsidRDefault="008F52F9" w:rsidP="008F52F9">
            <w:pPr>
              <w:cnfStyle w:val="000000000000"/>
            </w:pPr>
            <w:r w:rsidRPr="00C63B8B">
              <w:t>1</w:t>
            </w:r>
          </w:p>
        </w:tc>
      </w:tr>
      <w:tr w:rsidR="008F52F9" w:rsidRPr="00C63B8B" w:rsidTr="008F52F9">
        <w:tc>
          <w:tcPr>
            <w:cnfStyle w:val="001000000000"/>
            <w:tcW w:w="1134" w:type="dxa"/>
          </w:tcPr>
          <w:p w:rsidR="008F52F9" w:rsidRPr="00C63B8B" w:rsidRDefault="008F52F9" w:rsidP="008F52F9">
            <w:r w:rsidRPr="00C63B8B">
              <w:t>Французы</w:t>
            </w:r>
          </w:p>
        </w:tc>
        <w:tc>
          <w:tcPr>
            <w:tcW w:w="851" w:type="dxa"/>
          </w:tcPr>
          <w:p w:rsidR="008F52F9" w:rsidRPr="00C63B8B" w:rsidRDefault="008F52F9" w:rsidP="008F52F9">
            <w:pPr>
              <w:cnfStyle w:val="000000000000"/>
            </w:pPr>
            <w:r w:rsidRPr="00C63B8B">
              <w:t xml:space="preserve"> </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 xml:space="preserve"> </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1</w:t>
            </w:r>
          </w:p>
        </w:tc>
        <w:tc>
          <w:tcPr>
            <w:tcW w:w="706" w:type="dxa"/>
          </w:tcPr>
          <w:p w:rsidR="008F52F9" w:rsidRPr="00C63B8B" w:rsidRDefault="008F52F9" w:rsidP="008F52F9">
            <w:pPr>
              <w:cnfStyle w:val="000000000000"/>
            </w:pPr>
            <w:r w:rsidRPr="00C63B8B">
              <w:t xml:space="preserve"> </w:t>
            </w:r>
          </w:p>
        </w:tc>
        <w:tc>
          <w:tcPr>
            <w:tcW w:w="854" w:type="dxa"/>
          </w:tcPr>
          <w:p w:rsidR="008F52F9" w:rsidRPr="00C63B8B" w:rsidRDefault="008F52F9" w:rsidP="008F52F9">
            <w:pPr>
              <w:cnfStyle w:val="000000000000"/>
            </w:pPr>
            <w:r w:rsidRPr="00C63B8B">
              <w:t xml:space="preserve"> </w:t>
            </w:r>
          </w:p>
        </w:tc>
        <w:tc>
          <w:tcPr>
            <w:tcW w:w="707" w:type="dxa"/>
          </w:tcPr>
          <w:p w:rsidR="008F52F9" w:rsidRPr="00C63B8B" w:rsidRDefault="008F52F9" w:rsidP="008F52F9">
            <w:pPr>
              <w:cnfStyle w:val="000000000000"/>
            </w:pPr>
            <w:r w:rsidRPr="00C63B8B">
              <w:t xml:space="preserve"> </w:t>
            </w:r>
          </w:p>
        </w:tc>
      </w:tr>
      <w:tr w:rsidR="008F52F9" w:rsidRPr="00C63B8B" w:rsidTr="008F52F9">
        <w:tc>
          <w:tcPr>
            <w:cnfStyle w:val="001000000000"/>
            <w:tcW w:w="1134" w:type="dxa"/>
          </w:tcPr>
          <w:p w:rsidR="008F52F9" w:rsidRPr="00C63B8B" w:rsidRDefault="008F52F9" w:rsidP="008F52F9">
            <w:r w:rsidRPr="00C63B8B">
              <w:t>Русские</w:t>
            </w:r>
          </w:p>
        </w:tc>
        <w:tc>
          <w:tcPr>
            <w:tcW w:w="851" w:type="dxa"/>
          </w:tcPr>
          <w:p w:rsidR="008F52F9" w:rsidRPr="00C63B8B" w:rsidRDefault="008F52F9" w:rsidP="008F52F9">
            <w:pPr>
              <w:cnfStyle w:val="000000000000"/>
            </w:pPr>
            <w:r w:rsidRPr="00C63B8B">
              <w:t xml:space="preserve"> </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10</w:t>
            </w:r>
          </w:p>
        </w:tc>
        <w:tc>
          <w:tcPr>
            <w:tcW w:w="709" w:type="dxa"/>
          </w:tcPr>
          <w:p w:rsidR="008F52F9" w:rsidRPr="00C63B8B" w:rsidRDefault="008F52F9" w:rsidP="008F52F9">
            <w:pPr>
              <w:cnfStyle w:val="000000000000"/>
            </w:pPr>
            <w:r w:rsidRPr="00C63B8B">
              <w:t>1</w:t>
            </w:r>
          </w:p>
        </w:tc>
        <w:tc>
          <w:tcPr>
            <w:tcW w:w="850" w:type="dxa"/>
          </w:tcPr>
          <w:p w:rsidR="008F52F9" w:rsidRPr="00C63B8B" w:rsidRDefault="008F52F9" w:rsidP="008F52F9">
            <w:pPr>
              <w:cnfStyle w:val="000000000000"/>
            </w:pPr>
            <w:r w:rsidRPr="00C63B8B">
              <w:t>496</w:t>
            </w:r>
          </w:p>
        </w:tc>
        <w:tc>
          <w:tcPr>
            <w:tcW w:w="706" w:type="dxa"/>
          </w:tcPr>
          <w:p w:rsidR="008F52F9" w:rsidRPr="00C63B8B" w:rsidRDefault="008F52F9" w:rsidP="008F52F9">
            <w:pPr>
              <w:cnfStyle w:val="000000000000"/>
            </w:pPr>
            <w:r w:rsidRPr="00C63B8B">
              <w:t>27</w:t>
            </w:r>
          </w:p>
        </w:tc>
        <w:tc>
          <w:tcPr>
            <w:tcW w:w="854" w:type="dxa"/>
          </w:tcPr>
          <w:p w:rsidR="008F52F9" w:rsidRPr="00C63B8B" w:rsidRDefault="008F52F9" w:rsidP="008F52F9">
            <w:pPr>
              <w:cnfStyle w:val="000000000000"/>
            </w:pPr>
            <w:r w:rsidRPr="00C63B8B">
              <w:t>58</w:t>
            </w:r>
          </w:p>
        </w:tc>
        <w:tc>
          <w:tcPr>
            <w:tcW w:w="707" w:type="dxa"/>
          </w:tcPr>
          <w:p w:rsidR="008F52F9" w:rsidRPr="00C63B8B" w:rsidRDefault="008F52F9" w:rsidP="008F52F9">
            <w:pPr>
              <w:cnfStyle w:val="000000000000"/>
            </w:pPr>
            <w:r w:rsidRPr="00C63B8B">
              <w:t>2</w:t>
            </w:r>
          </w:p>
        </w:tc>
      </w:tr>
      <w:tr w:rsidR="008F52F9" w:rsidRPr="00C63B8B" w:rsidTr="008F52F9">
        <w:tc>
          <w:tcPr>
            <w:cnfStyle w:val="001000000000"/>
            <w:tcW w:w="1134" w:type="dxa"/>
          </w:tcPr>
          <w:p w:rsidR="008F52F9" w:rsidRPr="00C63B8B" w:rsidRDefault="008F52F9" w:rsidP="008F52F9">
            <w:r w:rsidRPr="00C63B8B">
              <w:t>Татары</w:t>
            </w:r>
          </w:p>
        </w:tc>
        <w:tc>
          <w:tcPr>
            <w:tcW w:w="851" w:type="dxa"/>
          </w:tcPr>
          <w:p w:rsidR="008F52F9" w:rsidRPr="00C63B8B" w:rsidRDefault="008F52F9" w:rsidP="008F52F9">
            <w:pPr>
              <w:cnfStyle w:val="000000000000"/>
            </w:pPr>
            <w:r w:rsidRPr="00C63B8B">
              <w:t xml:space="preserve"> </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 xml:space="preserve"> </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8</w:t>
            </w:r>
          </w:p>
        </w:tc>
        <w:tc>
          <w:tcPr>
            <w:tcW w:w="706" w:type="dxa"/>
          </w:tcPr>
          <w:p w:rsidR="008F52F9" w:rsidRPr="00C63B8B" w:rsidRDefault="008F52F9" w:rsidP="008F52F9">
            <w:pPr>
              <w:cnfStyle w:val="000000000000"/>
            </w:pPr>
            <w:r w:rsidRPr="00C63B8B">
              <w:t xml:space="preserve"> </w:t>
            </w:r>
          </w:p>
        </w:tc>
        <w:tc>
          <w:tcPr>
            <w:tcW w:w="854" w:type="dxa"/>
          </w:tcPr>
          <w:p w:rsidR="008F52F9" w:rsidRPr="00C63B8B" w:rsidRDefault="008F52F9" w:rsidP="008F52F9">
            <w:pPr>
              <w:cnfStyle w:val="000000000000"/>
            </w:pPr>
            <w:r w:rsidRPr="00C63B8B">
              <w:t>3</w:t>
            </w:r>
          </w:p>
        </w:tc>
        <w:tc>
          <w:tcPr>
            <w:tcW w:w="707" w:type="dxa"/>
          </w:tcPr>
          <w:p w:rsidR="008F52F9" w:rsidRPr="00C63B8B" w:rsidRDefault="008F52F9" w:rsidP="008F52F9">
            <w:pPr>
              <w:cnfStyle w:val="000000000000"/>
            </w:pPr>
            <w:r w:rsidRPr="00C63B8B">
              <w:t xml:space="preserve"> </w:t>
            </w:r>
          </w:p>
        </w:tc>
      </w:tr>
      <w:tr w:rsidR="008F52F9" w:rsidRPr="00C63B8B" w:rsidTr="008F52F9">
        <w:tc>
          <w:tcPr>
            <w:cnfStyle w:val="001000000000"/>
            <w:tcW w:w="1134" w:type="dxa"/>
          </w:tcPr>
          <w:p w:rsidR="008F52F9" w:rsidRPr="00C63B8B" w:rsidRDefault="008F52F9" w:rsidP="008F52F9">
            <w:r w:rsidRPr="00C63B8B">
              <w:t>Удмурты</w:t>
            </w:r>
          </w:p>
        </w:tc>
        <w:tc>
          <w:tcPr>
            <w:tcW w:w="851" w:type="dxa"/>
          </w:tcPr>
          <w:p w:rsidR="008F52F9" w:rsidRPr="00C63B8B" w:rsidRDefault="008F52F9" w:rsidP="008F52F9">
            <w:pPr>
              <w:cnfStyle w:val="000000000000"/>
            </w:pPr>
            <w:r w:rsidRPr="00C63B8B">
              <w:t xml:space="preserve"> </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 xml:space="preserve"> </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2</w:t>
            </w:r>
          </w:p>
        </w:tc>
        <w:tc>
          <w:tcPr>
            <w:tcW w:w="706" w:type="dxa"/>
          </w:tcPr>
          <w:p w:rsidR="008F52F9" w:rsidRPr="00C63B8B" w:rsidRDefault="008F52F9" w:rsidP="008F52F9">
            <w:pPr>
              <w:cnfStyle w:val="000000000000"/>
            </w:pPr>
            <w:r w:rsidRPr="00C63B8B">
              <w:t xml:space="preserve"> </w:t>
            </w:r>
          </w:p>
        </w:tc>
        <w:tc>
          <w:tcPr>
            <w:tcW w:w="854" w:type="dxa"/>
          </w:tcPr>
          <w:p w:rsidR="008F52F9" w:rsidRPr="00C63B8B" w:rsidRDefault="008F52F9" w:rsidP="008F52F9">
            <w:pPr>
              <w:cnfStyle w:val="000000000000"/>
            </w:pPr>
            <w:r w:rsidRPr="00C63B8B">
              <w:t xml:space="preserve"> </w:t>
            </w:r>
          </w:p>
        </w:tc>
        <w:tc>
          <w:tcPr>
            <w:tcW w:w="707" w:type="dxa"/>
          </w:tcPr>
          <w:p w:rsidR="008F52F9" w:rsidRPr="00C63B8B" w:rsidRDefault="008F52F9" w:rsidP="008F52F9">
            <w:pPr>
              <w:cnfStyle w:val="000000000000"/>
            </w:pPr>
            <w:r w:rsidRPr="00C63B8B">
              <w:t xml:space="preserve"> </w:t>
            </w:r>
          </w:p>
        </w:tc>
      </w:tr>
      <w:tr w:rsidR="008F52F9" w:rsidRPr="00C63B8B" w:rsidTr="008F52F9">
        <w:tc>
          <w:tcPr>
            <w:cnfStyle w:val="001000000000"/>
            <w:tcW w:w="1134" w:type="dxa"/>
          </w:tcPr>
          <w:p w:rsidR="008F52F9" w:rsidRPr="00C63B8B" w:rsidRDefault="008F52F9" w:rsidP="008F52F9">
            <w:r w:rsidRPr="00C63B8B">
              <w:t>Украинцы</w:t>
            </w:r>
          </w:p>
        </w:tc>
        <w:tc>
          <w:tcPr>
            <w:tcW w:w="851" w:type="dxa"/>
          </w:tcPr>
          <w:p w:rsidR="008F52F9" w:rsidRPr="00C63B8B" w:rsidRDefault="008F52F9" w:rsidP="008F52F9">
            <w:pPr>
              <w:cnfStyle w:val="000000000000"/>
            </w:pPr>
            <w:r w:rsidRPr="00C63B8B">
              <w:t xml:space="preserve"> </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 xml:space="preserve"> </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55</w:t>
            </w:r>
          </w:p>
        </w:tc>
        <w:tc>
          <w:tcPr>
            <w:tcW w:w="706" w:type="dxa"/>
          </w:tcPr>
          <w:p w:rsidR="008F52F9" w:rsidRPr="00C63B8B" w:rsidRDefault="008F52F9" w:rsidP="008F52F9">
            <w:pPr>
              <w:cnfStyle w:val="000000000000"/>
            </w:pPr>
            <w:r w:rsidRPr="00C63B8B">
              <w:t>3</w:t>
            </w:r>
          </w:p>
        </w:tc>
        <w:tc>
          <w:tcPr>
            <w:tcW w:w="854" w:type="dxa"/>
          </w:tcPr>
          <w:p w:rsidR="008F52F9" w:rsidRPr="00C63B8B" w:rsidRDefault="008F52F9" w:rsidP="008F52F9">
            <w:pPr>
              <w:cnfStyle w:val="000000000000"/>
            </w:pPr>
            <w:r w:rsidRPr="00C63B8B">
              <w:t>5</w:t>
            </w:r>
          </w:p>
        </w:tc>
        <w:tc>
          <w:tcPr>
            <w:tcW w:w="707" w:type="dxa"/>
          </w:tcPr>
          <w:p w:rsidR="008F52F9" w:rsidRPr="00C63B8B" w:rsidRDefault="008F52F9" w:rsidP="008F52F9">
            <w:pPr>
              <w:cnfStyle w:val="000000000000"/>
            </w:pPr>
            <w:r w:rsidRPr="00C63B8B">
              <w:t xml:space="preserve"> </w:t>
            </w:r>
          </w:p>
        </w:tc>
      </w:tr>
      <w:tr w:rsidR="008F52F9" w:rsidRPr="00C63B8B" w:rsidTr="008F52F9">
        <w:tc>
          <w:tcPr>
            <w:cnfStyle w:val="001000000000"/>
            <w:tcW w:w="1134" w:type="dxa"/>
          </w:tcPr>
          <w:p w:rsidR="008F52F9" w:rsidRPr="00C63B8B" w:rsidRDefault="008F52F9" w:rsidP="008F52F9">
            <w:r w:rsidRPr="00C63B8B">
              <w:t>Узбеки</w:t>
            </w:r>
          </w:p>
        </w:tc>
        <w:tc>
          <w:tcPr>
            <w:tcW w:w="851" w:type="dxa"/>
          </w:tcPr>
          <w:p w:rsidR="008F52F9" w:rsidRPr="00C63B8B" w:rsidRDefault="008F52F9" w:rsidP="008F52F9">
            <w:pPr>
              <w:cnfStyle w:val="000000000000"/>
            </w:pPr>
            <w:r w:rsidRPr="00C63B8B">
              <w:t xml:space="preserve"> </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 xml:space="preserve"> </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2</w:t>
            </w:r>
          </w:p>
        </w:tc>
        <w:tc>
          <w:tcPr>
            <w:tcW w:w="706" w:type="dxa"/>
          </w:tcPr>
          <w:p w:rsidR="008F52F9" w:rsidRPr="00C63B8B" w:rsidRDefault="008F52F9" w:rsidP="008F52F9">
            <w:pPr>
              <w:cnfStyle w:val="000000000000"/>
            </w:pPr>
            <w:r w:rsidRPr="00C63B8B">
              <w:t xml:space="preserve"> </w:t>
            </w:r>
          </w:p>
        </w:tc>
        <w:tc>
          <w:tcPr>
            <w:tcW w:w="854" w:type="dxa"/>
          </w:tcPr>
          <w:p w:rsidR="008F52F9" w:rsidRPr="00C63B8B" w:rsidRDefault="008F52F9" w:rsidP="008F52F9">
            <w:pPr>
              <w:cnfStyle w:val="000000000000"/>
            </w:pPr>
            <w:r w:rsidRPr="00C63B8B">
              <w:t xml:space="preserve"> </w:t>
            </w:r>
          </w:p>
        </w:tc>
        <w:tc>
          <w:tcPr>
            <w:tcW w:w="707" w:type="dxa"/>
          </w:tcPr>
          <w:p w:rsidR="008F52F9" w:rsidRPr="00C63B8B" w:rsidRDefault="008F52F9" w:rsidP="008F52F9">
            <w:pPr>
              <w:cnfStyle w:val="000000000000"/>
            </w:pPr>
            <w:r w:rsidRPr="00C63B8B">
              <w:t xml:space="preserve"> </w:t>
            </w:r>
          </w:p>
        </w:tc>
      </w:tr>
      <w:tr w:rsidR="008F52F9" w:rsidRPr="00C63B8B" w:rsidTr="008F52F9">
        <w:tc>
          <w:tcPr>
            <w:cnfStyle w:val="001000000000"/>
            <w:tcW w:w="1134" w:type="dxa"/>
          </w:tcPr>
          <w:p w:rsidR="008F52F9" w:rsidRPr="00C63B8B" w:rsidRDefault="008F52F9" w:rsidP="008F52F9">
            <w:r w:rsidRPr="00C63B8B">
              <w:t>Венгры</w:t>
            </w:r>
          </w:p>
        </w:tc>
        <w:tc>
          <w:tcPr>
            <w:tcW w:w="851" w:type="dxa"/>
          </w:tcPr>
          <w:p w:rsidR="008F52F9" w:rsidRPr="00C63B8B" w:rsidRDefault="008F52F9" w:rsidP="008F52F9">
            <w:pPr>
              <w:cnfStyle w:val="000000000000"/>
            </w:pPr>
            <w:r w:rsidRPr="00C63B8B">
              <w:t xml:space="preserve"> </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 xml:space="preserve"> </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 xml:space="preserve"> </w:t>
            </w:r>
          </w:p>
        </w:tc>
        <w:tc>
          <w:tcPr>
            <w:tcW w:w="706" w:type="dxa"/>
          </w:tcPr>
          <w:p w:rsidR="008F52F9" w:rsidRPr="00C63B8B" w:rsidRDefault="008F52F9" w:rsidP="008F52F9">
            <w:pPr>
              <w:cnfStyle w:val="000000000000"/>
            </w:pPr>
            <w:r w:rsidRPr="00C63B8B">
              <w:t xml:space="preserve"> </w:t>
            </w:r>
          </w:p>
        </w:tc>
        <w:tc>
          <w:tcPr>
            <w:tcW w:w="854" w:type="dxa"/>
          </w:tcPr>
          <w:p w:rsidR="008F52F9" w:rsidRPr="00C63B8B" w:rsidRDefault="008F52F9" w:rsidP="008F52F9">
            <w:pPr>
              <w:cnfStyle w:val="000000000000"/>
            </w:pPr>
            <w:r w:rsidRPr="00C63B8B">
              <w:t>1</w:t>
            </w:r>
          </w:p>
        </w:tc>
        <w:tc>
          <w:tcPr>
            <w:tcW w:w="707" w:type="dxa"/>
          </w:tcPr>
          <w:p w:rsidR="008F52F9" w:rsidRPr="00C63B8B" w:rsidRDefault="008F52F9" w:rsidP="008F52F9">
            <w:pPr>
              <w:cnfStyle w:val="000000000000"/>
            </w:pPr>
            <w:r w:rsidRPr="00C63B8B">
              <w:t xml:space="preserve"> </w:t>
            </w:r>
          </w:p>
        </w:tc>
      </w:tr>
      <w:tr w:rsidR="008F52F9" w:rsidRPr="00C63B8B" w:rsidTr="008F52F9">
        <w:tc>
          <w:tcPr>
            <w:cnfStyle w:val="001000000000"/>
            <w:tcW w:w="1134" w:type="dxa"/>
          </w:tcPr>
          <w:p w:rsidR="008F52F9" w:rsidRPr="00C63B8B" w:rsidRDefault="008F52F9" w:rsidP="008F52F9">
            <w:r w:rsidRPr="00C63B8B">
              <w:t>Немцы</w:t>
            </w:r>
          </w:p>
        </w:tc>
        <w:tc>
          <w:tcPr>
            <w:tcW w:w="851" w:type="dxa"/>
          </w:tcPr>
          <w:p w:rsidR="008F52F9" w:rsidRPr="00C63B8B" w:rsidRDefault="008F52F9" w:rsidP="008F52F9">
            <w:pPr>
              <w:cnfStyle w:val="000000000000"/>
            </w:pPr>
            <w:r w:rsidRPr="00C63B8B">
              <w:t xml:space="preserve"> </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1</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13</w:t>
            </w:r>
          </w:p>
        </w:tc>
        <w:tc>
          <w:tcPr>
            <w:tcW w:w="706" w:type="dxa"/>
          </w:tcPr>
          <w:p w:rsidR="008F52F9" w:rsidRPr="00C63B8B" w:rsidRDefault="008F52F9" w:rsidP="008F52F9">
            <w:pPr>
              <w:cnfStyle w:val="000000000000"/>
            </w:pPr>
            <w:r w:rsidRPr="00C63B8B">
              <w:t xml:space="preserve"> </w:t>
            </w:r>
          </w:p>
        </w:tc>
        <w:tc>
          <w:tcPr>
            <w:tcW w:w="854" w:type="dxa"/>
          </w:tcPr>
          <w:p w:rsidR="008F52F9" w:rsidRPr="00C63B8B" w:rsidRDefault="008F52F9" w:rsidP="008F52F9">
            <w:pPr>
              <w:cnfStyle w:val="000000000000"/>
            </w:pPr>
            <w:r w:rsidRPr="00C63B8B">
              <w:t>4</w:t>
            </w:r>
          </w:p>
        </w:tc>
        <w:tc>
          <w:tcPr>
            <w:tcW w:w="707" w:type="dxa"/>
          </w:tcPr>
          <w:p w:rsidR="008F52F9" w:rsidRPr="00C63B8B" w:rsidRDefault="008F52F9" w:rsidP="008F52F9">
            <w:pPr>
              <w:cnfStyle w:val="000000000000"/>
            </w:pPr>
            <w:r w:rsidRPr="00C63B8B">
              <w:t xml:space="preserve"> </w:t>
            </w:r>
          </w:p>
        </w:tc>
      </w:tr>
      <w:tr w:rsidR="008F52F9" w:rsidRPr="00C63B8B" w:rsidTr="008F52F9">
        <w:tc>
          <w:tcPr>
            <w:cnfStyle w:val="001000000000"/>
            <w:tcW w:w="1134" w:type="dxa"/>
          </w:tcPr>
          <w:p w:rsidR="008F52F9" w:rsidRPr="00C63B8B" w:rsidRDefault="008F52F9" w:rsidP="008F52F9">
            <w:r w:rsidRPr="00C63B8B">
              <w:t>Жемайты</w:t>
            </w:r>
          </w:p>
        </w:tc>
        <w:tc>
          <w:tcPr>
            <w:tcW w:w="851" w:type="dxa"/>
          </w:tcPr>
          <w:p w:rsidR="008F52F9" w:rsidRPr="00C63B8B" w:rsidRDefault="008F52F9" w:rsidP="008F52F9">
            <w:pPr>
              <w:cnfStyle w:val="000000000000"/>
            </w:pPr>
            <w:r w:rsidRPr="00C63B8B">
              <w:t xml:space="preserve"> </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2</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5</w:t>
            </w:r>
          </w:p>
        </w:tc>
        <w:tc>
          <w:tcPr>
            <w:tcW w:w="706" w:type="dxa"/>
          </w:tcPr>
          <w:p w:rsidR="008F52F9" w:rsidRPr="00C63B8B" w:rsidRDefault="008F52F9" w:rsidP="008F52F9">
            <w:pPr>
              <w:cnfStyle w:val="000000000000"/>
            </w:pPr>
            <w:r w:rsidRPr="00C63B8B">
              <w:t>1</w:t>
            </w:r>
          </w:p>
        </w:tc>
        <w:tc>
          <w:tcPr>
            <w:tcW w:w="854" w:type="dxa"/>
          </w:tcPr>
          <w:p w:rsidR="008F52F9" w:rsidRPr="00C63B8B" w:rsidRDefault="008F52F9" w:rsidP="008F52F9">
            <w:pPr>
              <w:cnfStyle w:val="000000000000"/>
            </w:pPr>
            <w:r w:rsidRPr="00C63B8B">
              <w:t>2</w:t>
            </w:r>
          </w:p>
        </w:tc>
        <w:tc>
          <w:tcPr>
            <w:tcW w:w="707" w:type="dxa"/>
          </w:tcPr>
          <w:p w:rsidR="008F52F9" w:rsidRPr="00C63B8B" w:rsidRDefault="008F52F9" w:rsidP="008F52F9">
            <w:pPr>
              <w:cnfStyle w:val="000000000000"/>
            </w:pPr>
            <w:r w:rsidRPr="00C63B8B">
              <w:t xml:space="preserve"> </w:t>
            </w:r>
          </w:p>
        </w:tc>
      </w:tr>
      <w:tr w:rsidR="008F52F9" w:rsidRPr="00C63B8B" w:rsidTr="008F52F9">
        <w:tc>
          <w:tcPr>
            <w:cnfStyle w:val="001000000000"/>
            <w:tcW w:w="1134" w:type="dxa"/>
          </w:tcPr>
          <w:p w:rsidR="008F52F9" w:rsidRPr="00C63B8B" w:rsidRDefault="008F52F9" w:rsidP="008F52F9">
            <w:r w:rsidRPr="00C63B8B">
              <w:t>Евреи</w:t>
            </w:r>
          </w:p>
        </w:tc>
        <w:tc>
          <w:tcPr>
            <w:tcW w:w="851" w:type="dxa"/>
          </w:tcPr>
          <w:p w:rsidR="008F52F9" w:rsidRPr="00C63B8B" w:rsidRDefault="008F52F9" w:rsidP="008F52F9">
            <w:pPr>
              <w:cnfStyle w:val="000000000000"/>
            </w:pPr>
            <w:r w:rsidRPr="00C63B8B">
              <w:t xml:space="preserve"> </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1</w:t>
            </w:r>
          </w:p>
        </w:tc>
        <w:tc>
          <w:tcPr>
            <w:tcW w:w="709" w:type="dxa"/>
          </w:tcPr>
          <w:p w:rsidR="008F52F9" w:rsidRPr="00C63B8B" w:rsidRDefault="008F52F9" w:rsidP="008F52F9">
            <w:pPr>
              <w:cnfStyle w:val="000000000000"/>
            </w:pPr>
            <w:r w:rsidRPr="00C63B8B">
              <w:t xml:space="preserve"> </w:t>
            </w:r>
          </w:p>
        </w:tc>
        <w:tc>
          <w:tcPr>
            <w:tcW w:w="850" w:type="dxa"/>
          </w:tcPr>
          <w:p w:rsidR="008F52F9" w:rsidRPr="00C63B8B" w:rsidRDefault="008F52F9" w:rsidP="008F52F9">
            <w:pPr>
              <w:cnfStyle w:val="000000000000"/>
            </w:pPr>
            <w:r w:rsidRPr="00C63B8B">
              <w:t>9</w:t>
            </w:r>
          </w:p>
        </w:tc>
        <w:tc>
          <w:tcPr>
            <w:tcW w:w="706" w:type="dxa"/>
          </w:tcPr>
          <w:p w:rsidR="008F52F9" w:rsidRPr="00C63B8B" w:rsidRDefault="008F52F9" w:rsidP="008F52F9">
            <w:pPr>
              <w:cnfStyle w:val="000000000000"/>
            </w:pPr>
            <w:r w:rsidRPr="00C63B8B">
              <w:t>1</w:t>
            </w:r>
          </w:p>
        </w:tc>
        <w:tc>
          <w:tcPr>
            <w:tcW w:w="854" w:type="dxa"/>
          </w:tcPr>
          <w:p w:rsidR="008F52F9" w:rsidRPr="00C63B8B" w:rsidRDefault="008F52F9" w:rsidP="008F52F9">
            <w:pPr>
              <w:cnfStyle w:val="000000000000"/>
            </w:pPr>
            <w:r w:rsidRPr="00C63B8B">
              <w:t>3</w:t>
            </w:r>
          </w:p>
        </w:tc>
        <w:tc>
          <w:tcPr>
            <w:tcW w:w="707" w:type="dxa"/>
          </w:tcPr>
          <w:p w:rsidR="008F52F9" w:rsidRPr="00C63B8B" w:rsidRDefault="008F52F9" w:rsidP="008F52F9">
            <w:pPr>
              <w:cnfStyle w:val="000000000000"/>
            </w:pPr>
            <w:r w:rsidRPr="00C63B8B">
              <w:t>1</w:t>
            </w:r>
          </w:p>
        </w:tc>
      </w:tr>
      <w:tr w:rsidR="008F52F9" w:rsidRPr="00C63B8B" w:rsidTr="008F52F9">
        <w:tc>
          <w:tcPr>
            <w:cnfStyle w:val="001000000000"/>
            <w:tcW w:w="1134" w:type="dxa"/>
            <w:tcBorders>
              <w:bottom w:val="single" w:sz="4" w:space="0" w:color="auto"/>
            </w:tcBorders>
          </w:tcPr>
          <w:p w:rsidR="008F52F9" w:rsidRPr="00C63B8B" w:rsidRDefault="008F52F9" w:rsidP="008F52F9">
            <w:r w:rsidRPr="00C63B8B">
              <w:t>Лица, не указавшие свою наци</w:t>
            </w:r>
            <w:r w:rsidRPr="00C63B8B">
              <w:t>о</w:t>
            </w:r>
            <w:r w:rsidRPr="00C63B8B">
              <w:t>нальность</w:t>
            </w:r>
          </w:p>
        </w:tc>
        <w:tc>
          <w:tcPr>
            <w:tcW w:w="851" w:type="dxa"/>
            <w:tcBorders>
              <w:bottom w:val="single" w:sz="4" w:space="0" w:color="auto"/>
            </w:tcBorders>
          </w:tcPr>
          <w:p w:rsidR="008F52F9" w:rsidRPr="00C63B8B" w:rsidRDefault="008F52F9" w:rsidP="008F52F9">
            <w:pPr>
              <w:cnfStyle w:val="000000000000"/>
            </w:pPr>
            <w:r w:rsidRPr="00C63B8B">
              <w:t xml:space="preserve"> </w:t>
            </w:r>
          </w:p>
        </w:tc>
        <w:tc>
          <w:tcPr>
            <w:tcW w:w="709" w:type="dxa"/>
            <w:tcBorders>
              <w:bottom w:val="single" w:sz="4" w:space="0" w:color="auto"/>
            </w:tcBorders>
          </w:tcPr>
          <w:p w:rsidR="008F52F9" w:rsidRPr="00C63B8B" w:rsidRDefault="008F52F9" w:rsidP="008F52F9">
            <w:pPr>
              <w:cnfStyle w:val="000000000000"/>
            </w:pPr>
            <w:r w:rsidRPr="00C63B8B">
              <w:t xml:space="preserve"> </w:t>
            </w:r>
          </w:p>
        </w:tc>
        <w:tc>
          <w:tcPr>
            <w:tcW w:w="850" w:type="dxa"/>
            <w:tcBorders>
              <w:bottom w:val="single" w:sz="4" w:space="0" w:color="auto"/>
            </w:tcBorders>
          </w:tcPr>
          <w:p w:rsidR="008F52F9" w:rsidRPr="00C63B8B" w:rsidRDefault="008F52F9" w:rsidP="008F52F9">
            <w:pPr>
              <w:cnfStyle w:val="000000000000"/>
            </w:pPr>
            <w:r w:rsidRPr="00C63B8B">
              <w:t>7</w:t>
            </w:r>
          </w:p>
        </w:tc>
        <w:tc>
          <w:tcPr>
            <w:tcW w:w="709" w:type="dxa"/>
            <w:tcBorders>
              <w:bottom w:val="single" w:sz="4" w:space="0" w:color="auto"/>
            </w:tcBorders>
          </w:tcPr>
          <w:p w:rsidR="008F52F9" w:rsidRPr="00C63B8B" w:rsidRDefault="008F52F9" w:rsidP="008F52F9">
            <w:pPr>
              <w:cnfStyle w:val="000000000000"/>
            </w:pPr>
            <w:r w:rsidRPr="00C63B8B">
              <w:t xml:space="preserve"> </w:t>
            </w:r>
          </w:p>
        </w:tc>
        <w:tc>
          <w:tcPr>
            <w:tcW w:w="850" w:type="dxa"/>
            <w:tcBorders>
              <w:bottom w:val="single" w:sz="4" w:space="0" w:color="auto"/>
            </w:tcBorders>
          </w:tcPr>
          <w:p w:rsidR="008F52F9" w:rsidRPr="00C63B8B" w:rsidRDefault="008F52F9" w:rsidP="008F52F9">
            <w:pPr>
              <w:cnfStyle w:val="000000000000"/>
            </w:pPr>
            <w:r w:rsidRPr="00C63B8B">
              <w:t>1 498</w:t>
            </w:r>
          </w:p>
        </w:tc>
        <w:tc>
          <w:tcPr>
            <w:tcW w:w="706" w:type="dxa"/>
            <w:tcBorders>
              <w:bottom w:val="single" w:sz="4" w:space="0" w:color="auto"/>
            </w:tcBorders>
          </w:tcPr>
          <w:p w:rsidR="008F52F9" w:rsidRPr="00C63B8B" w:rsidRDefault="008F52F9" w:rsidP="008F52F9">
            <w:pPr>
              <w:cnfStyle w:val="000000000000"/>
            </w:pPr>
            <w:r w:rsidRPr="00C63B8B">
              <w:t>64</w:t>
            </w:r>
          </w:p>
        </w:tc>
        <w:tc>
          <w:tcPr>
            <w:tcW w:w="854" w:type="dxa"/>
            <w:tcBorders>
              <w:bottom w:val="single" w:sz="4" w:space="0" w:color="auto"/>
            </w:tcBorders>
          </w:tcPr>
          <w:p w:rsidR="008F52F9" w:rsidRPr="00C63B8B" w:rsidRDefault="008F52F9" w:rsidP="008F52F9">
            <w:pPr>
              <w:cnfStyle w:val="000000000000"/>
            </w:pPr>
            <w:r w:rsidRPr="00C63B8B">
              <w:t>100</w:t>
            </w:r>
          </w:p>
        </w:tc>
        <w:tc>
          <w:tcPr>
            <w:tcW w:w="707" w:type="dxa"/>
            <w:tcBorders>
              <w:bottom w:val="single" w:sz="4" w:space="0" w:color="auto"/>
            </w:tcBorders>
          </w:tcPr>
          <w:p w:rsidR="008F52F9" w:rsidRPr="00C63B8B" w:rsidRDefault="008F52F9" w:rsidP="008F52F9">
            <w:pPr>
              <w:cnfStyle w:val="000000000000"/>
            </w:pPr>
            <w:r w:rsidRPr="00C63B8B">
              <w:t>1</w:t>
            </w:r>
          </w:p>
        </w:tc>
      </w:tr>
      <w:tr w:rsidR="008F52F9" w:rsidRPr="00C63B8B" w:rsidTr="008F52F9">
        <w:tc>
          <w:tcPr>
            <w:cnfStyle w:val="001000000000"/>
            <w:tcW w:w="1134" w:type="dxa"/>
            <w:tcBorders>
              <w:top w:val="single" w:sz="4" w:space="0" w:color="auto"/>
            </w:tcBorders>
          </w:tcPr>
          <w:p w:rsidR="008F52F9" w:rsidRPr="00C63B8B" w:rsidRDefault="008F52F9" w:rsidP="008F52F9">
            <w:pPr>
              <w:ind w:firstLine="170"/>
              <w:rPr>
                <w:b/>
              </w:rPr>
            </w:pPr>
            <w:r w:rsidRPr="00C63B8B">
              <w:rPr>
                <w:b/>
              </w:rPr>
              <w:t>Всего</w:t>
            </w:r>
          </w:p>
        </w:tc>
        <w:tc>
          <w:tcPr>
            <w:tcW w:w="851" w:type="dxa"/>
            <w:tcBorders>
              <w:top w:val="single" w:sz="4" w:space="0" w:color="auto"/>
              <w:bottom w:val="single" w:sz="12" w:space="0" w:color="auto"/>
            </w:tcBorders>
          </w:tcPr>
          <w:p w:rsidR="008F52F9" w:rsidRPr="00C63B8B" w:rsidRDefault="008F52F9" w:rsidP="008F52F9">
            <w:pPr>
              <w:cnfStyle w:val="000000000000"/>
              <w:rPr>
                <w:b/>
              </w:rPr>
            </w:pPr>
            <w:r w:rsidRPr="00C63B8B">
              <w:rPr>
                <w:b/>
              </w:rPr>
              <w:t>7</w:t>
            </w:r>
          </w:p>
        </w:tc>
        <w:tc>
          <w:tcPr>
            <w:tcW w:w="709" w:type="dxa"/>
            <w:tcBorders>
              <w:top w:val="single" w:sz="4" w:space="0" w:color="auto"/>
              <w:bottom w:val="single" w:sz="12" w:space="0" w:color="auto"/>
            </w:tcBorders>
          </w:tcPr>
          <w:p w:rsidR="008F52F9" w:rsidRPr="00C63B8B" w:rsidRDefault="008F52F9" w:rsidP="008F52F9">
            <w:pPr>
              <w:cnfStyle w:val="000000000000"/>
              <w:rPr>
                <w:b/>
              </w:rPr>
            </w:pPr>
            <w:r w:rsidRPr="00C63B8B">
              <w:rPr>
                <w:b/>
              </w:rPr>
              <w:t>1</w:t>
            </w:r>
          </w:p>
        </w:tc>
        <w:tc>
          <w:tcPr>
            <w:tcW w:w="850" w:type="dxa"/>
            <w:tcBorders>
              <w:top w:val="single" w:sz="4" w:space="0" w:color="auto"/>
              <w:bottom w:val="single" w:sz="12" w:space="0" w:color="auto"/>
            </w:tcBorders>
          </w:tcPr>
          <w:p w:rsidR="008F52F9" w:rsidRPr="00C63B8B" w:rsidRDefault="008F52F9" w:rsidP="008F52F9">
            <w:pPr>
              <w:cnfStyle w:val="000000000000"/>
              <w:rPr>
                <w:b/>
              </w:rPr>
            </w:pPr>
            <w:r w:rsidRPr="00C63B8B">
              <w:rPr>
                <w:b/>
              </w:rPr>
              <w:t>262</w:t>
            </w:r>
          </w:p>
        </w:tc>
        <w:tc>
          <w:tcPr>
            <w:tcW w:w="709" w:type="dxa"/>
            <w:tcBorders>
              <w:top w:val="single" w:sz="4" w:space="0" w:color="auto"/>
              <w:bottom w:val="single" w:sz="12" w:space="0" w:color="auto"/>
            </w:tcBorders>
          </w:tcPr>
          <w:p w:rsidR="008F52F9" w:rsidRPr="00C63B8B" w:rsidRDefault="008F52F9" w:rsidP="008F52F9">
            <w:pPr>
              <w:cnfStyle w:val="000000000000"/>
              <w:rPr>
                <w:b/>
              </w:rPr>
            </w:pPr>
            <w:r w:rsidRPr="00C63B8B">
              <w:rPr>
                <w:b/>
              </w:rPr>
              <w:t>12</w:t>
            </w:r>
          </w:p>
        </w:tc>
        <w:tc>
          <w:tcPr>
            <w:tcW w:w="850" w:type="dxa"/>
            <w:tcBorders>
              <w:top w:val="single" w:sz="4" w:space="0" w:color="auto"/>
              <w:bottom w:val="single" w:sz="12" w:space="0" w:color="auto"/>
            </w:tcBorders>
          </w:tcPr>
          <w:p w:rsidR="008F52F9" w:rsidRPr="00C63B8B" w:rsidRDefault="008F52F9" w:rsidP="008F52F9">
            <w:pPr>
              <w:cnfStyle w:val="000000000000"/>
              <w:rPr>
                <w:b/>
              </w:rPr>
            </w:pPr>
            <w:r w:rsidRPr="00C63B8B">
              <w:rPr>
                <w:b/>
              </w:rPr>
              <w:t>16 404</w:t>
            </w:r>
          </w:p>
        </w:tc>
        <w:tc>
          <w:tcPr>
            <w:tcW w:w="706" w:type="dxa"/>
            <w:tcBorders>
              <w:top w:val="single" w:sz="4" w:space="0" w:color="auto"/>
              <w:bottom w:val="single" w:sz="12" w:space="0" w:color="auto"/>
            </w:tcBorders>
          </w:tcPr>
          <w:p w:rsidR="008F52F9" w:rsidRPr="00C63B8B" w:rsidRDefault="008F52F9" w:rsidP="008F52F9">
            <w:pPr>
              <w:cnfStyle w:val="000000000000"/>
              <w:rPr>
                <w:b/>
              </w:rPr>
            </w:pPr>
            <w:r w:rsidRPr="00C63B8B">
              <w:rPr>
                <w:b/>
              </w:rPr>
              <w:t>1 526</w:t>
            </w:r>
          </w:p>
        </w:tc>
        <w:tc>
          <w:tcPr>
            <w:tcW w:w="854" w:type="dxa"/>
            <w:tcBorders>
              <w:top w:val="single" w:sz="4" w:space="0" w:color="auto"/>
              <w:bottom w:val="single" w:sz="12" w:space="0" w:color="auto"/>
            </w:tcBorders>
          </w:tcPr>
          <w:p w:rsidR="008F52F9" w:rsidRPr="00C63B8B" w:rsidRDefault="008F52F9" w:rsidP="008F52F9">
            <w:pPr>
              <w:cnfStyle w:val="000000000000"/>
              <w:rPr>
                <w:b/>
              </w:rPr>
            </w:pPr>
            <w:r w:rsidRPr="00C63B8B">
              <w:rPr>
                <w:b/>
              </w:rPr>
              <w:t>1 927</w:t>
            </w:r>
          </w:p>
        </w:tc>
        <w:tc>
          <w:tcPr>
            <w:tcW w:w="707" w:type="dxa"/>
            <w:tcBorders>
              <w:top w:val="single" w:sz="4" w:space="0" w:color="auto"/>
              <w:bottom w:val="single" w:sz="12" w:space="0" w:color="auto"/>
            </w:tcBorders>
          </w:tcPr>
          <w:p w:rsidR="008F52F9" w:rsidRPr="00C63B8B" w:rsidRDefault="008F52F9" w:rsidP="008F52F9">
            <w:pPr>
              <w:cnfStyle w:val="000000000000"/>
              <w:rPr>
                <w:b/>
              </w:rPr>
            </w:pPr>
            <w:r w:rsidRPr="00C63B8B">
              <w:rPr>
                <w:b/>
              </w:rPr>
              <w:t>141</w:t>
            </w:r>
          </w:p>
        </w:tc>
      </w:tr>
    </w:tbl>
    <w:p w:rsidR="008F52F9" w:rsidRPr="00C63B8B" w:rsidRDefault="008F52F9" w:rsidP="008F52F9">
      <w:pPr>
        <w:pStyle w:val="SingleTxtGR"/>
        <w:spacing w:before="120" w:line="220" w:lineRule="exact"/>
        <w:ind w:firstLine="170"/>
        <w:rPr>
          <w:iCs/>
          <w:sz w:val="18"/>
          <w:szCs w:val="18"/>
        </w:rPr>
      </w:pPr>
      <w:r w:rsidRPr="00C63B8B">
        <w:rPr>
          <w:i/>
          <w:sz w:val="18"/>
          <w:szCs w:val="18"/>
        </w:rPr>
        <w:t>Источник</w:t>
      </w:r>
      <w:r w:rsidRPr="00C63B8B">
        <w:rPr>
          <w:iCs/>
          <w:sz w:val="18"/>
          <w:szCs w:val="18"/>
        </w:rPr>
        <w:t>: Центральная избирательная комиссия.</w:t>
      </w:r>
    </w:p>
    <w:p w:rsidR="008F52F9" w:rsidRPr="00C63B8B" w:rsidRDefault="008F52F9" w:rsidP="008F52F9">
      <w:pPr>
        <w:pStyle w:val="SingleTxtGR"/>
      </w:pPr>
      <w:r w:rsidRPr="00C63B8B">
        <w:t>138.</w:t>
      </w:r>
      <w:r w:rsidRPr="00C63B8B">
        <w:tab/>
        <w:t>Двадцать второго июля 2013 года на рассмотрение Сейма был предста</w:t>
      </w:r>
      <w:r w:rsidRPr="00C63B8B">
        <w:t>в</w:t>
      </w:r>
      <w:r w:rsidRPr="00C63B8B">
        <w:t>лен проект закона о внесении поправок в Закон о политических партиях (зак</w:t>
      </w:r>
      <w:r w:rsidRPr="00C63B8B">
        <w:t>о</w:t>
      </w:r>
      <w:r w:rsidRPr="00C63B8B">
        <w:t>нопроект № XIIP-875). Законопроект предусматривает, что основателями и чл</w:t>
      </w:r>
      <w:r w:rsidRPr="00C63B8B">
        <w:t>е</w:t>
      </w:r>
      <w:r w:rsidRPr="00C63B8B">
        <w:t>нами политических партий могут быть не только граждане Литвы, но и гражд</w:t>
      </w:r>
      <w:r w:rsidRPr="00C63B8B">
        <w:t>а</w:t>
      </w:r>
      <w:r w:rsidRPr="00C63B8B">
        <w:t>не других государств-членов Европейского союза в возрасте 18 лет и старше, постоянно проживающие в Литве.</w:t>
      </w:r>
    </w:p>
    <w:p w:rsidR="008F52F9" w:rsidRPr="00C63B8B" w:rsidRDefault="008F52F9" w:rsidP="008F52F9">
      <w:pPr>
        <w:pStyle w:val="H23GR"/>
      </w:pPr>
      <w:r w:rsidRPr="00C63B8B">
        <w:tab/>
      </w:r>
      <w:r w:rsidRPr="00C63B8B">
        <w:tab/>
        <w:t>Прочие гражданские права</w:t>
      </w:r>
    </w:p>
    <w:p w:rsidR="008F52F9" w:rsidRPr="00C63B8B" w:rsidRDefault="008F52F9" w:rsidP="008F52F9">
      <w:pPr>
        <w:pStyle w:val="SingleTxtGR"/>
      </w:pPr>
      <w:r w:rsidRPr="00C63B8B">
        <w:t>139.</w:t>
      </w:r>
      <w:r w:rsidRPr="00C63B8B">
        <w:tab/>
        <w:t>За последние годы нормы, регламентирующие другие гражданские права (включая право на вступление в брак, право на владение имуществом, право наследования, право на свободу мысли, совести и религии, а также право на свободное выражение убеждений) и закрепленные в Конституции и других нормативно-правовых актах, принципиальных изменений не претерпели.</w:t>
      </w:r>
    </w:p>
    <w:p w:rsidR="008F52F9" w:rsidRPr="00C63B8B" w:rsidRDefault="008F52F9" w:rsidP="008F52F9">
      <w:pPr>
        <w:pStyle w:val="SingleTxtGR"/>
      </w:pPr>
      <w:r w:rsidRPr="00C63B8B">
        <w:t>140.</w:t>
      </w:r>
      <w:r w:rsidRPr="00C63B8B">
        <w:tab/>
        <w:t>Следует отметить, что в целях обеспечения соблюдения права на неди</w:t>
      </w:r>
      <w:r w:rsidRPr="00C63B8B">
        <w:t>с</w:t>
      </w:r>
      <w:r w:rsidRPr="00C63B8B">
        <w:t>криминационный доступ к информации 28 июня 2012 года Литва ратифицир</w:t>
      </w:r>
      <w:r w:rsidRPr="00C63B8B">
        <w:t>о</w:t>
      </w:r>
      <w:r w:rsidRPr="00C63B8B">
        <w:t>вала Конвенцию Совета Европы о доступе к официальным документам. Отве</w:t>
      </w:r>
      <w:r w:rsidRPr="00C63B8B">
        <w:t>т</w:t>
      </w:r>
      <w:r w:rsidRPr="00C63B8B">
        <w:t>ственность за реализацию положений Конвенции была возложена на Комитет по развитию информационного общества Министерства транспорта и связи.</w:t>
      </w:r>
    </w:p>
    <w:p w:rsidR="008F52F9" w:rsidRPr="00C63B8B" w:rsidRDefault="008F52F9" w:rsidP="008F52F9">
      <w:pPr>
        <w:pStyle w:val="H23GR"/>
      </w:pPr>
      <w:r w:rsidRPr="00C63B8B">
        <w:tab/>
        <w:t>2.</w:t>
      </w:r>
      <w:r w:rsidRPr="00C63B8B">
        <w:tab/>
        <w:t>Экономические, социальные и культурные права</w:t>
      </w:r>
    </w:p>
    <w:p w:rsidR="008F52F9" w:rsidRPr="00C63B8B" w:rsidRDefault="008F52F9" w:rsidP="008F52F9">
      <w:pPr>
        <w:pStyle w:val="H23GR"/>
      </w:pPr>
      <w:r w:rsidRPr="00C63B8B">
        <w:tab/>
      </w:r>
      <w:r w:rsidRPr="00C63B8B">
        <w:tab/>
        <w:t>Право на труд</w:t>
      </w:r>
    </w:p>
    <w:p w:rsidR="008F52F9" w:rsidRPr="00C63B8B" w:rsidRDefault="008F52F9" w:rsidP="008F52F9">
      <w:pPr>
        <w:pStyle w:val="SingleTxtGR"/>
      </w:pPr>
      <w:r w:rsidRPr="00C63B8B">
        <w:t>141.</w:t>
      </w:r>
      <w:r w:rsidRPr="00C63B8B">
        <w:tab/>
        <w:t>В Трудовом кодексе закреплены принципы, регламентирующие трудовые отношения, включая принцип равенства субъектов трудового законодательства вне зависимости от их пола, сексуальной ориентации, расы, национальной пр</w:t>
      </w:r>
      <w:r w:rsidRPr="00C63B8B">
        <w:t>и</w:t>
      </w:r>
      <w:r w:rsidRPr="00C63B8B">
        <w:t>надлежности, языка, происхождения, гражданства и социального положения, религии, наличия супруга/супруги и семейных обстоятельств, возраста, убе</w:t>
      </w:r>
      <w:r w:rsidRPr="00C63B8B">
        <w:t>ж</w:t>
      </w:r>
      <w:r w:rsidRPr="00C63B8B">
        <w:t>дений или взглядов, членства в политических партиях или общественных орг</w:t>
      </w:r>
      <w:r w:rsidRPr="00C63B8B">
        <w:t>а</w:t>
      </w:r>
      <w:r w:rsidRPr="00C63B8B">
        <w:t>низациях, а также от факторов, не связанных с профессиональными качествами работников.</w:t>
      </w:r>
    </w:p>
    <w:p w:rsidR="008F52F9" w:rsidRPr="00C63B8B" w:rsidRDefault="008F52F9" w:rsidP="008F52F9">
      <w:pPr>
        <w:pStyle w:val="H23GR"/>
      </w:pPr>
      <w:r w:rsidRPr="00C63B8B">
        <w:tab/>
      </w:r>
      <w:r w:rsidRPr="00C63B8B">
        <w:tab/>
        <w:t>Уровень безработицы в Литве</w:t>
      </w:r>
    </w:p>
    <w:tbl>
      <w:tblPr>
        <w:tblStyle w:val="TabNum"/>
        <w:tblW w:w="7370" w:type="dxa"/>
        <w:tblInd w:w="1134" w:type="dxa"/>
        <w:tblLayout w:type="fixed"/>
        <w:tblLook w:val="01E0"/>
      </w:tblPr>
      <w:tblGrid>
        <w:gridCol w:w="3402"/>
        <w:gridCol w:w="798"/>
        <w:gridCol w:w="811"/>
        <w:gridCol w:w="798"/>
        <w:gridCol w:w="770"/>
        <w:gridCol w:w="791"/>
      </w:tblGrid>
      <w:tr w:rsidR="008F52F9" w:rsidRPr="00C63B8B" w:rsidTr="008F52F9">
        <w:trPr>
          <w:tblHeader/>
        </w:trPr>
        <w:tc>
          <w:tcPr>
            <w:cnfStyle w:val="001000000000"/>
            <w:tcW w:w="3402" w:type="dxa"/>
            <w:tcBorders>
              <w:bottom w:val="single" w:sz="12" w:space="0" w:color="auto"/>
            </w:tcBorders>
            <w:shd w:val="clear" w:color="auto" w:fill="auto"/>
          </w:tcPr>
          <w:p w:rsidR="008F52F9" w:rsidRPr="00C63B8B" w:rsidRDefault="008F52F9" w:rsidP="008F52F9">
            <w:pPr>
              <w:spacing w:before="80" w:after="80" w:line="200" w:lineRule="exact"/>
              <w:rPr>
                <w:i/>
                <w:sz w:val="16"/>
              </w:rPr>
            </w:pPr>
            <w:r w:rsidRPr="00C63B8B">
              <w:rPr>
                <w:i/>
                <w:sz w:val="16"/>
              </w:rPr>
              <w:t>Год</w:t>
            </w:r>
          </w:p>
        </w:tc>
        <w:tc>
          <w:tcPr>
            <w:tcW w:w="798"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2008 </w:t>
            </w:r>
          </w:p>
        </w:tc>
        <w:tc>
          <w:tcPr>
            <w:tcW w:w="811"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2009 </w:t>
            </w:r>
          </w:p>
        </w:tc>
        <w:tc>
          <w:tcPr>
            <w:tcW w:w="798"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2010 </w:t>
            </w:r>
          </w:p>
        </w:tc>
        <w:tc>
          <w:tcPr>
            <w:tcW w:w="770"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2011 </w:t>
            </w:r>
          </w:p>
        </w:tc>
        <w:tc>
          <w:tcPr>
            <w:tcW w:w="791"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2012 </w:t>
            </w:r>
          </w:p>
        </w:tc>
      </w:tr>
      <w:tr w:rsidR="008F52F9" w:rsidRPr="00C63B8B" w:rsidTr="008F52F9">
        <w:tc>
          <w:tcPr>
            <w:cnfStyle w:val="001000000000"/>
            <w:tcW w:w="3402" w:type="dxa"/>
            <w:tcBorders>
              <w:top w:val="single" w:sz="12" w:space="0" w:color="auto"/>
            </w:tcBorders>
          </w:tcPr>
          <w:p w:rsidR="008F52F9" w:rsidRPr="00C63B8B" w:rsidRDefault="008F52F9" w:rsidP="008F52F9">
            <w:r w:rsidRPr="00C63B8B">
              <w:t>Количество безработных</w:t>
            </w:r>
          </w:p>
        </w:tc>
        <w:tc>
          <w:tcPr>
            <w:tcW w:w="798" w:type="dxa"/>
            <w:tcBorders>
              <w:top w:val="single" w:sz="12" w:space="0" w:color="auto"/>
            </w:tcBorders>
          </w:tcPr>
          <w:p w:rsidR="008F52F9" w:rsidRPr="00C63B8B" w:rsidRDefault="008F52F9" w:rsidP="008F52F9">
            <w:pPr>
              <w:cnfStyle w:val="000000000000"/>
            </w:pPr>
            <w:r w:rsidRPr="00C63B8B">
              <w:t>94 300</w:t>
            </w:r>
          </w:p>
        </w:tc>
        <w:tc>
          <w:tcPr>
            <w:tcW w:w="811" w:type="dxa"/>
            <w:tcBorders>
              <w:top w:val="single" w:sz="12" w:space="0" w:color="auto"/>
            </w:tcBorders>
          </w:tcPr>
          <w:p w:rsidR="008F52F9" w:rsidRPr="00C63B8B" w:rsidRDefault="008F52F9" w:rsidP="008F52F9">
            <w:pPr>
              <w:cnfStyle w:val="000000000000"/>
            </w:pPr>
            <w:r w:rsidRPr="00C63B8B">
              <w:t>225 100</w:t>
            </w:r>
          </w:p>
        </w:tc>
        <w:tc>
          <w:tcPr>
            <w:tcW w:w="798" w:type="dxa"/>
            <w:tcBorders>
              <w:top w:val="single" w:sz="12" w:space="0" w:color="auto"/>
            </w:tcBorders>
          </w:tcPr>
          <w:p w:rsidR="008F52F9" w:rsidRPr="00C63B8B" w:rsidRDefault="008F52F9" w:rsidP="008F52F9">
            <w:pPr>
              <w:cnfStyle w:val="000000000000"/>
            </w:pPr>
            <w:r w:rsidRPr="00C63B8B">
              <w:t>270 400</w:t>
            </w:r>
          </w:p>
        </w:tc>
        <w:tc>
          <w:tcPr>
            <w:tcW w:w="770" w:type="dxa"/>
            <w:tcBorders>
              <w:top w:val="single" w:sz="12" w:space="0" w:color="auto"/>
            </w:tcBorders>
          </w:tcPr>
          <w:p w:rsidR="008F52F9" w:rsidRPr="00C63B8B" w:rsidRDefault="008F52F9" w:rsidP="008F52F9">
            <w:pPr>
              <w:cnfStyle w:val="000000000000"/>
            </w:pPr>
            <w:r w:rsidRPr="00C63B8B">
              <w:t>226 100</w:t>
            </w:r>
          </w:p>
        </w:tc>
        <w:tc>
          <w:tcPr>
            <w:tcW w:w="791" w:type="dxa"/>
            <w:tcBorders>
              <w:top w:val="single" w:sz="12" w:space="0" w:color="auto"/>
            </w:tcBorders>
          </w:tcPr>
          <w:p w:rsidR="008F52F9" w:rsidRPr="00C63B8B" w:rsidRDefault="008F52F9" w:rsidP="008F52F9">
            <w:pPr>
              <w:cnfStyle w:val="000000000000"/>
            </w:pPr>
            <w:r w:rsidRPr="00C63B8B">
              <w:t>195 200</w:t>
            </w:r>
          </w:p>
        </w:tc>
      </w:tr>
      <w:tr w:rsidR="008F52F9" w:rsidRPr="00C63B8B" w:rsidTr="008F52F9">
        <w:tc>
          <w:tcPr>
            <w:cnfStyle w:val="001000000000"/>
            <w:tcW w:w="3402" w:type="dxa"/>
          </w:tcPr>
          <w:p w:rsidR="008F52F9" w:rsidRPr="00C63B8B" w:rsidRDefault="008F52F9" w:rsidP="008F52F9">
            <w:r w:rsidRPr="00C63B8B">
              <w:t>Уровень безработицы, %</w:t>
            </w:r>
          </w:p>
        </w:tc>
        <w:tc>
          <w:tcPr>
            <w:tcW w:w="798" w:type="dxa"/>
          </w:tcPr>
          <w:p w:rsidR="008F52F9" w:rsidRPr="00C63B8B" w:rsidRDefault="008F52F9" w:rsidP="008F52F9">
            <w:pPr>
              <w:cnfStyle w:val="000000000000"/>
            </w:pPr>
          </w:p>
        </w:tc>
        <w:tc>
          <w:tcPr>
            <w:tcW w:w="811" w:type="dxa"/>
          </w:tcPr>
          <w:p w:rsidR="008F52F9" w:rsidRPr="00C63B8B" w:rsidRDefault="008F52F9" w:rsidP="008F52F9">
            <w:pPr>
              <w:cnfStyle w:val="000000000000"/>
            </w:pPr>
          </w:p>
        </w:tc>
        <w:tc>
          <w:tcPr>
            <w:tcW w:w="798" w:type="dxa"/>
          </w:tcPr>
          <w:p w:rsidR="008F52F9" w:rsidRPr="00C63B8B" w:rsidRDefault="008F52F9" w:rsidP="008F52F9">
            <w:pPr>
              <w:cnfStyle w:val="000000000000"/>
            </w:pPr>
          </w:p>
        </w:tc>
        <w:tc>
          <w:tcPr>
            <w:tcW w:w="770" w:type="dxa"/>
          </w:tcPr>
          <w:p w:rsidR="008F52F9" w:rsidRPr="00C63B8B" w:rsidRDefault="008F52F9" w:rsidP="008F52F9">
            <w:pPr>
              <w:cnfStyle w:val="000000000000"/>
            </w:pPr>
          </w:p>
        </w:tc>
        <w:tc>
          <w:tcPr>
            <w:tcW w:w="791" w:type="dxa"/>
          </w:tcPr>
          <w:p w:rsidR="008F52F9" w:rsidRPr="00C63B8B" w:rsidRDefault="008F52F9" w:rsidP="008F52F9">
            <w:pPr>
              <w:cnfStyle w:val="000000000000"/>
            </w:pPr>
          </w:p>
        </w:tc>
      </w:tr>
      <w:tr w:rsidR="008F52F9" w:rsidRPr="00C63B8B" w:rsidTr="008F52F9">
        <w:tc>
          <w:tcPr>
            <w:cnfStyle w:val="001000000000"/>
            <w:tcW w:w="3402" w:type="dxa"/>
          </w:tcPr>
          <w:p w:rsidR="008F52F9" w:rsidRPr="00C63B8B" w:rsidRDefault="008F52F9" w:rsidP="008F52F9">
            <w:r w:rsidRPr="00C63B8B">
              <w:t>Всего</w:t>
            </w:r>
          </w:p>
        </w:tc>
        <w:tc>
          <w:tcPr>
            <w:tcW w:w="798" w:type="dxa"/>
          </w:tcPr>
          <w:p w:rsidR="008F52F9" w:rsidRPr="00C63B8B" w:rsidRDefault="008F52F9" w:rsidP="008F52F9">
            <w:pPr>
              <w:cnfStyle w:val="000000000000"/>
            </w:pPr>
            <w:r w:rsidRPr="00C63B8B">
              <w:t>5,8</w:t>
            </w:r>
          </w:p>
        </w:tc>
        <w:tc>
          <w:tcPr>
            <w:tcW w:w="811" w:type="dxa"/>
          </w:tcPr>
          <w:p w:rsidR="008F52F9" w:rsidRPr="00C63B8B" w:rsidRDefault="008F52F9" w:rsidP="008F52F9">
            <w:pPr>
              <w:cnfStyle w:val="000000000000"/>
            </w:pPr>
            <w:r w:rsidRPr="00C63B8B">
              <w:t>13,7</w:t>
            </w:r>
          </w:p>
        </w:tc>
        <w:tc>
          <w:tcPr>
            <w:tcW w:w="798" w:type="dxa"/>
          </w:tcPr>
          <w:p w:rsidR="008F52F9" w:rsidRPr="00C63B8B" w:rsidRDefault="008F52F9" w:rsidP="008F52F9">
            <w:pPr>
              <w:cnfStyle w:val="000000000000"/>
            </w:pPr>
            <w:r w:rsidRPr="00C63B8B">
              <w:t>17,8</w:t>
            </w:r>
          </w:p>
        </w:tc>
        <w:tc>
          <w:tcPr>
            <w:tcW w:w="770" w:type="dxa"/>
          </w:tcPr>
          <w:p w:rsidR="008F52F9" w:rsidRPr="00C63B8B" w:rsidRDefault="008F52F9" w:rsidP="008F52F9">
            <w:pPr>
              <w:cnfStyle w:val="000000000000"/>
            </w:pPr>
            <w:r w:rsidRPr="00C63B8B">
              <w:t>15,3</w:t>
            </w:r>
          </w:p>
        </w:tc>
        <w:tc>
          <w:tcPr>
            <w:tcW w:w="791" w:type="dxa"/>
          </w:tcPr>
          <w:p w:rsidR="008F52F9" w:rsidRPr="00C63B8B" w:rsidRDefault="008F52F9" w:rsidP="008F52F9">
            <w:pPr>
              <w:cnfStyle w:val="000000000000"/>
            </w:pPr>
            <w:r w:rsidRPr="00C63B8B">
              <w:t>13,2</w:t>
            </w:r>
          </w:p>
        </w:tc>
      </w:tr>
      <w:tr w:rsidR="008F52F9" w:rsidRPr="00C63B8B" w:rsidTr="008F52F9">
        <w:tc>
          <w:tcPr>
            <w:cnfStyle w:val="001000000000"/>
            <w:tcW w:w="3402" w:type="dxa"/>
          </w:tcPr>
          <w:p w:rsidR="008F52F9" w:rsidRPr="00C63B8B" w:rsidRDefault="008F52F9" w:rsidP="008F52F9">
            <w:r w:rsidRPr="00C63B8B">
              <w:t>Женщины</w:t>
            </w:r>
          </w:p>
        </w:tc>
        <w:tc>
          <w:tcPr>
            <w:tcW w:w="798" w:type="dxa"/>
          </w:tcPr>
          <w:p w:rsidR="008F52F9" w:rsidRPr="00C63B8B" w:rsidRDefault="008F52F9" w:rsidP="008F52F9">
            <w:pPr>
              <w:cnfStyle w:val="000000000000"/>
            </w:pPr>
            <w:r w:rsidRPr="00C63B8B">
              <w:t>5,6</w:t>
            </w:r>
          </w:p>
        </w:tc>
        <w:tc>
          <w:tcPr>
            <w:tcW w:w="811" w:type="dxa"/>
          </w:tcPr>
          <w:p w:rsidR="008F52F9" w:rsidRPr="00C63B8B" w:rsidRDefault="008F52F9" w:rsidP="008F52F9">
            <w:pPr>
              <w:cnfStyle w:val="000000000000"/>
            </w:pPr>
            <w:r w:rsidRPr="00C63B8B">
              <w:t>10,4</w:t>
            </w:r>
          </w:p>
        </w:tc>
        <w:tc>
          <w:tcPr>
            <w:tcW w:w="798" w:type="dxa"/>
          </w:tcPr>
          <w:p w:rsidR="008F52F9" w:rsidRPr="00C63B8B" w:rsidRDefault="008F52F9" w:rsidP="008F52F9">
            <w:pPr>
              <w:cnfStyle w:val="000000000000"/>
            </w:pPr>
            <w:r w:rsidRPr="00C63B8B">
              <w:t>14,5</w:t>
            </w:r>
          </w:p>
        </w:tc>
        <w:tc>
          <w:tcPr>
            <w:tcW w:w="770" w:type="dxa"/>
          </w:tcPr>
          <w:p w:rsidR="008F52F9" w:rsidRPr="00C63B8B" w:rsidRDefault="008F52F9" w:rsidP="008F52F9">
            <w:pPr>
              <w:cnfStyle w:val="000000000000"/>
            </w:pPr>
            <w:r w:rsidRPr="00C63B8B">
              <w:t>12,9</w:t>
            </w:r>
          </w:p>
        </w:tc>
        <w:tc>
          <w:tcPr>
            <w:tcW w:w="791" w:type="dxa"/>
          </w:tcPr>
          <w:p w:rsidR="008F52F9" w:rsidRPr="00C63B8B" w:rsidRDefault="008F52F9" w:rsidP="008F52F9">
            <w:pPr>
              <w:cnfStyle w:val="000000000000"/>
            </w:pPr>
            <w:r w:rsidRPr="00C63B8B">
              <w:t>11,5</w:t>
            </w:r>
          </w:p>
        </w:tc>
      </w:tr>
      <w:tr w:rsidR="008F52F9" w:rsidRPr="00C63B8B" w:rsidTr="008F52F9">
        <w:tc>
          <w:tcPr>
            <w:cnfStyle w:val="001000000000"/>
            <w:tcW w:w="3402" w:type="dxa"/>
          </w:tcPr>
          <w:p w:rsidR="008F52F9" w:rsidRPr="00C63B8B" w:rsidRDefault="008F52F9" w:rsidP="008F52F9">
            <w:r w:rsidRPr="00C63B8B">
              <w:t>Мужчины</w:t>
            </w:r>
          </w:p>
        </w:tc>
        <w:tc>
          <w:tcPr>
            <w:tcW w:w="798" w:type="dxa"/>
          </w:tcPr>
          <w:p w:rsidR="008F52F9" w:rsidRPr="00C63B8B" w:rsidRDefault="008F52F9" w:rsidP="008F52F9">
            <w:pPr>
              <w:cnfStyle w:val="000000000000"/>
            </w:pPr>
            <w:r w:rsidRPr="00C63B8B">
              <w:t>6,0</w:t>
            </w:r>
          </w:p>
        </w:tc>
        <w:tc>
          <w:tcPr>
            <w:tcW w:w="811" w:type="dxa"/>
          </w:tcPr>
          <w:p w:rsidR="008F52F9" w:rsidRPr="00C63B8B" w:rsidRDefault="008F52F9" w:rsidP="008F52F9">
            <w:pPr>
              <w:cnfStyle w:val="000000000000"/>
            </w:pPr>
            <w:r w:rsidRPr="00C63B8B">
              <w:t>17,0</w:t>
            </w:r>
          </w:p>
        </w:tc>
        <w:tc>
          <w:tcPr>
            <w:tcW w:w="798" w:type="dxa"/>
          </w:tcPr>
          <w:p w:rsidR="008F52F9" w:rsidRPr="00C63B8B" w:rsidRDefault="008F52F9" w:rsidP="008F52F9">
            <w:pPr>
              <w:cnfStyle w:val="000000000000"/>
            </w:pPr>
            <w:r w:rsidRPr="00C63B8B">
              <w:t>21,2</w:t>
            </w:r>
          </w:p>
        </w:tc>
        <w:tc>
          <w:tcPr>
            <w:tcW w:w="770" w:type="dxa"/>
          </w:tcPr>
          <w:p w:rsidR="008F52F9" w:rsidRPr="00C63B8B" w:rsidRDefault="008F52F9" w:rsidP="008F52F9">
            <w:pPr>
              <w:cnfStyle w:val="000000000000"/>
            </w:pPr>
            <w:r w:rsidRPr="00C63B8B">
              <w:t>17,7</w:t>
            </w:r>
          </w:p>
        </w:tc>
        <w:tc>
          <w:tcPr>
            <w:tcW w:w="791" w:type="dxa"/>
          </w:tcPr>
          <w:p w:rsidR="008F52F9" w:rsidRPr="00C63B8B" w:rsidRDefault="008F52F9" w:rsidP="008F52F9">
            <w:pPr>
              <w:cnfStyle w:val="000000000000"/>
            </w:pPr>
            <w:r w:rsidRPr="00C63B8B">
              <w:t>15,1</w:t>
            </w:r>
          </w:p>
        </w:tc>
      </w:tr>
      <w:tr w:rsidR="008F52F9" w:rsidRPr="00C63B8B" w:rsidTr="008F52F9">
        <w:tc>
          <w:tcPr>
            <w:cnfStyle w:val="001000000000"/>
            <w:tcW w:w="3402" w:type="dxa"/>
          </w:tcPr>
          <w:p w:rsidR="008F52F9" w:rsidRPr="00C63B8B" w:rsidRDefault="008F52F9" w:rsidP="008F52F9">
            <w:r w:rsidRPr="00C63B8B">
              <w:t>Молодежь (в возрасте от 15 до 24 лет)</w:t>
            </w:r>
          </w:p>
        </w:tc>
        <w:tc>
          <w:tcPr>
            <w:tcW w:w="798" w:type="dxa"/>
          </w:tcPr>
          <w:p w:rsidR="008F52F9" w:rsidRPr="00C63B8B" w:rsidRDefault="008F52F9" w:rsidP="008F52F9">
            <w:pPr>
              <w:cnfStyle w:val="000000000000"/>
            </w:pPr>
            <w:r w:rsidRPr="00C63B8B">
              <w:t>12,6</w:t>
            </w:r>
          </w:p>
        </w:tc>
        <w:tc>
          <w:tcPr>
            <w:tcW w:w="811" w:type="dxa"/>
          </w:tcPr>
          <w:p w:rsidR="008F52F9" w:rsidRPr="00C63B8B" w:rsidRDefault="008F52F9" w:rsidP="008F52F9">
            <w:pPr>
              <w:cnfStyle w:val="000000000000"/>
            </w:pPr>
            <w:r w:rsidRPr="00C63B8B">
              <w:t>35,1</w:t>
            </w:r>
          </w:p>
        </w:tc>
        <w:tc>
          <w:tcPr>
            <w:tcW w:w="798" w:type="dxa"/>
          </w:tcPr>
          <w:p w:rsidR="008F52F9" w:rsidRPr="00C63B8B" w:rsidRDefault="008F52F9" w:rsidP="008F52F9">
            <w:pPr>
              <w:cnfStyle w:val="000000000000"/>
            </w:pPr>
            <w:r w:rsidRPr="00C63B8B">
              <w:t>39,0</w:t>
            </w:r>
          </w:p>
        </w:tc>
        <w:tc>
          <w:tcPr>
            <w:tcW w:w="770" w:type="dxa"/>
          </w:tcPr>
          <w:p w:rsidR="008F52F9" w:rsidRPr="00C63B8B" w:rsidRDefault="008F52F9" w:rsidP="008F52F9">
            <w:pPr>
              <w:cnfStyle w:val="000000000000"/>
            </w:pPr>
            <w:r w:rsidRPr="00C63B8B">
              <w:t>32,2</w:t>
            </w:r>
          </w:p>
        </w:tc>
        <w:tc>
          <w:tcPr>
            <w:tcW w:w="791" w:type="dxa"/>
          </w:tcPr>
          <w:p w:rsidR="008F52F9" w:rsidRPr="00C63B8B" w:rsidRDefault="008F52F9" w:rsidP="008F52F9">
            <w:pPr>
              <w:cnfStyle w:val="000000000000"/>
            </w:pPr>
            <w:r w:rsidRPr="00C63B8B">
              <w:t>26,4</w:t>
            </w:r>
          </w:p>
        </w:tc>
      </w:tr>
    </w:tbl>
    <w:p w:rsidR="008F52F9" w:rsidRPr="00C63B8B" w:rsidRDefault="008F52F9" w:rsidP="008F52F9">
      <w:pPr>
        <w:pStyle w:val="SingleTxtGR"/>
        <w:spacing w:before="120" w:line="220" w:lineRule="exact"/>
        <w:ind w:firstLine="170"/>
        <w:rPr>
          <w:sz w:val="18"/>
          <w:szCs w:val="18"/>
        </w:rPr>
      </w:pPr>
      <w:r w:rsidRPr="00C63B8B">
        <w:rPr>
          <w:i/>
          <w:sz w:val="18"/>
          <w:szCs w:val="18"/>
        </w:rPr>
        <w:t>Источник</w:t>
      </w:r>
      <w:r w:rsidRPr="00C63B8B">
        <w:rPr>
          <w:sz w:val="18"/>
          <w:szCs w:val="18"/>
        </w:rPr>
        <w:t>: Департамент статистики Литвы.</w:t>
      </w:r>
    </w:p>
    <w:p w:rsidR="008F52F9" w:rsidRPr="00C63B8B" w:rsidRDefault="008F52F9" w:rsidP="008F52F9">
      <w:pPr>
        <w:pStyle w:val="H23GR"/>
      </w:pPr>
      <w:r w:rsidRPr="00C63B8B">
        <w:rPr>
          <w:i/>
        </w:rPr>
        <w:tab/>
      </w:r>
      <w:r w:rsidRPr="00C63B8B">
        <w:rPr>
          <w:i/>
        </w:rPr>
        <w:tab/>
      </w:r>
      <w:r w:rsidRPr="00C63B8B">
        <w:t>Право создавать профессиональные союзы и вступать в них</w:t>
      </w:r>
    </w:p>
    <w:p w:rsidR="008F52F9" w:rsidRPr="00C63B8B" w:rsidRDefault="008F52F9" w:rsidP="008F52F9">
      <w:pPr>
        <w:pStyle w:val="SingleTxtGR"/>
      </w:pPr>
      <w:r w:rsidRPr="00C63B8B">
        <w:t>142.</w:t>
      </w:r>
      <w:r w:rsidRPr="00C63B8B">
        <w:tab/>
        <w:t>В 2010 году были скорректированы положения статьи 6 Закона о профе</w:t>
      </w:r>
      <w:r w:rsidRPr="00C63B8B">
        <w:t>с</w:t>
      </w:r>
      <w:r w:rsidRPr="00C63B8B">
        <w:t>сиональных союзах и статьи 2.38 Гражданского кодекса, регламентирующие минимальное число основателей профсоюзов. Причиной внесения поправок в эти законодательные акты стала вынесенная в 2006 году рекомендация Евр</w:t>
      </w:r>
      <w:r w:rsidRPr="00C63B8B">
        <w:t>о</w:t>
      </w:r>
      <w:r w:rsidRPr="00C63B8B">
        <w:t>пейского комитета по социальным правам, в которой было отмечено, что Литва не обеспечила соблюдение требований Европейской социальной хартии 1996 года (пересмотренной). По мнению Европейского комитета, требование о том, что для создания профсоюза необходимо минимум 30 основателей, являе</w:t>
      </w:r>
      <w:r w:rsidRPr="00C63B8B">
        <w:t>т</w:t>
      </w:r>
      <w:r w:rsidRPr="00C63B8B">
        <w:t>ся чрезмерно жестким и нарушает принцип свободы ассоциаций. Таким обр</w:t>
      </w:r>
      <w:r w:rsidRPr="00C63B8B">
        <w:t>а</w:t>
      </w:r>
      <w:r w:rsidRPr="00C63B8B">
        <w:t>зом, в соответствии с вышеупомянутыми поправками к законодательным актам было установлено, что для создания профсоюза необходимо, чтобы минимал</w:t>
      </w:r>
      <w:r w:rsidRPr="00C63B8B">
        <w:t>ь</w:t>
      </w:r>
      <w:r w:rsidRPr="00C63B8B">
        <w:t>ное число основателей составляло 20 человек или как минимум 10% всех р</w:t>
      </w:r>
      <w:r w:rsidRPr="00C63B8B">
        <w:t>а</w:t>
      </w:r>
      <w:r w:rsidRPr="00C63B8B">
        <w:t xml:space="preserve">ботников, но при этом не менее трех человек. </w:t>
      </w:r>
    </w:p>
    <w:p w:rsidR="008F52F9" w:rsidRPr="00C63B8B" w:rsidRDefault="008F52F9" w:rsidP="008F52F9">
      <w:pPr>
        <w:pStyle w:val="SingleTxtGR"/>
      </w:pPr>
      <w:r w:rsidRPr="00C63B8B">
        <w:t>143.</w:t>
      </w:r>
      <w:r w:rsidRPr="00C63B8B">
        <w:tab/>
        <w:t>13 июня 2013 года были приняты поправки к Закону о пр</w:t>
      </w:r>
      <w:r w:rsidRPr="00C63B8B">
        <w:t>о</w:t>
      </w:r>
      <w:r w:rsidRPr="00C63B8B">
        <w:t>фессиональных союзах и статье 2.38 Гражданского кодекса, инкорпор</w:t>
      </w:r>
      <w:r w:rsidRPr="00C63B8B">
        <w:t>и</w:t>
      </w:r>
      <w:r w:rsidRPr="00C63B8B">
        <w:t>рующие в национальное законодательство требования Директивы Совета 2003/109/ЕС от 25 ноября 2003</w:t>
      </w:r>
      <w:r w:rsidR="004A3CB2">
        <w:t> </w:t>
      </w:r>
      <w:r w:rsidRPr="00C63B8B">
        <w:t>года о статусе граждан третьих стран, являющихся долгосрочными рез</w:t>
      </w:r>
      <w:r w:rsidRPr="00C63B8B">
        <w:t>и</w:t>
      </w:r>
      <w:r w:rsidRPr="00C63B8B">
        <w:t>дентами (OJ L 016, 23/01/2004, стр. 44−53), и Директивы 2011/98/EU Европе</w:t>
      </w:r>
      <w:r w:rsidRPr="00C63B8B">
        <w:t>й</w:t>
      </w:r>
      <w:r w:rsidRPr="00C63B8B">
        <w:t>ского парламента и Совета о единой процедуре подачи заявок на выдачу гра</w:t>
      </w:r>
      <w:r w:rsidRPr="00C63B8B">
        <w:t>ж</w:t>
      </w:r>
      <w:r w:rsidRPr="00C63B8B">
        <w:t>данам третьих стран единообразных разрешений на проживание и работу в о</w:t>
      </w:r>
      <w:r w:rsidRPr="00C63B8B">
        <w:t>д</w:t>
      </w:r>
      <w:r w:rsidRPr="00C63B8B">
        <w:t>ном из государств-членов, а также об общем своде правил, касающихся рабо</w:t>
      </w:r>
      <w:r w:rsidRPr="00C63B8B">
        <w:t>т</w:t>
      </w:r>
      <w:r w:rsidRPr="00C63B8B">
        <w:t>ников из числа граждан третьих стран, которые на законных основаниях пр</w:t>
      </w:r>
      <w:r w:rsidRPr="00C63B8B">
        <w:t>о</w:t>
      </w:r>
      <w:r w:rsidRPr="00C63B8B">
        <w:t>живают на территории одного из государств-членов. До внесения поправок в эти законод</w:t>
      </w:r>
      <w:r w:rsidRPr="00C63B8B">
        <w:t>а</w:t>
      </w:r>
      <w:r w:rsidRPr="00C63B8B">
        <w:t>тельные акты профсоюзы могли учреждаться гражданами Литвы и лицами, постоянно проживающими в Литве, достигшими возраста 14 лет и р</w:t>
      </w:r>
      <w:r w:rsidRPr="00C63B8B">
        <w:t>а</w:t>
      </w:r>
      <w:r w:rsidRPr="00C63B8B">
        <w:t>ботающими на основании трудовых контрактов или на каком-либо ином осн</w:t>
      </w:r>
      <w:r w:rsidRPr="00C63B8B">
        <w:t>о</w:t>
      </w:r>
      <w:r w:rsidRPr="00C63B8B">
        <w:t>вании. После принятия данных поправок право учреждать профсоюзы было предоставлено трудоспособным гражданам как Литвы, так и иностранных г</w:t>
      </w:r>
      <w:r w:rsidRPr="00C63B8B">
        <w:t>о</w:t>
      </w:r>
      <w:r w:rsidRPr="00C63B8B">
        <w:t>сударств.</w:t>
      </w:r>
    </w:p>
    <w:p w:rsidR="008F52F9" w:rsidRPr="00C63B8B" w:rsidRDefault="008F52F9" w:rsidP="008F52F9">
      <w:pPr>
        <w:pStyle w:val="SingleTxtGR"/>
      </w:pPr>
      <w:r w:rsidRPr="00C63B8B">
        <w:t>144.</w:t>
      </w:r>
      <w:r w:rsidRPr="00C63B8B">
        <w:tab/>
        <w:t>Вышеуказанные поправки в законодательные акты были также вн</w:t>
      </w:r>
      <w:r w:rsidRPr="00C63B8B">
        <w:t>е</w:t>
      </w:r>
      <w:r w:rsidRPr="00C63B8B">
        <w:t>сены с учетом установленного Комитетом по свободе объединения несоответствия л</w:t>
      </w:r>
      <w:r w:rsidRPr="00C63B8B">
        <w:t>и</w:t>
      </w:r>
      <w:r w:rsidRPr="00C63B8B">
        <w:t>товского законодательства требованиям относительно равных возможностей для различных организаций трудящихся (представителей трудящихся), изл</w:t>
      </w:r>
      <w:r w:rsidRPr="00C63B8B">
        <w:t>о</w:t>
      </w:r>
      <w:r w:rsidRPr="00C63B8B">
        <w:t>женным в Конвенции Международной организации труда № 135 о защите прав представителей трудящихся на предприятии и предоставляемых им возможн</w:t>
      </w:r>
      <w:r w:rsidRPr="00C63B8B">
        <w:t>о</w:t>
      </w:r>
      <w:r w:rsidRPr="00C63B8B">
        <w:t>стях (1971 год). В соответствии с ранее применявшимися положениями Закона о профессиональных союзах и Закона о советах трудовых коллективов в отн</w:t>
      </w:r>
      <w:r w:rsidRPr="00C63B8B">
        <w:t>о</w:t>
      </w:r>
      <w:r w:rsidRPr="00C63B8B">
        <w:t>шении представителей работников применялись различные гарантии. С учетом этого обстоятельства поправки, внесенные в 2013 году, установили единые г</w:t>
      </w:r>
      <w:r w:rsidRPr="00C63B8B">
        <w:t>а</w:t>
      </w:r>
      <w:r w:rsidRPr="00C63B8B">
        <w:t>рантии в отношении советов трудовых коллективов и профессиональных со</w:t>
      </w:r>
      <w:r w:rsidRPr="00C63B8B">
        <w:t>ю</w:t>
      </w:r>
      <w:r w:rsidRPr="00C63B8B">
        <w:t>зов без какой-либо дискриминации в отношении любых возможных категорий представителей трудящихся.</w:t>
      </w:r>
    </w:p>
    <w:p w:rsidR="008F52F9" w:rsidRPr="00C63B8B" w:rsidRDefault="008F52F9" w:rsidP="008F52F9">
      <w:pPr>
        <w:pStyle w:val="SingleTxtGR"/>
      </w:pPr>
      <w:r w:rsidRPr="00C63B8B">
        <w:t>145.</w:t>
      </w:r>
      <w:r w:rsidRPr="00C63B8B">
        <w:tab/>
        <w:t>С учетом решения Конституционного Суда от 30 сентября 2003 года в з</w:t>
      </w:r>
      <w:r w:rsidRPr="00C63B8B">
        <w:t>а</w:t>
      </w:r>
      <w:r w:rsidRPr="00C63B8B">
        <w:t>коне более не предусматривается оказание постоянной помощи професси</w:t>
      </w:r>
      <w:r w:rsidRPr="00C63B8B">
        <w:t>о</w:t>
      </w:r>
      <w:r w:rsidRPr="00C63B8B">
        <w:t>нальным союзам; это решение гласит, что положение части 1 статьи 50 Конст</w:t>
      </w:r>
      <w:r w:rsidRPr="00C63B8B">
        <w:t>и</w:t>
      </w:r>
      <w:r w:rsidRPr="00C63B8B">
        <w:t>туции относительно свободного создания и независимого функционирования профессиональных союзов очерчивает не только границы взаимодействия ме</w:t>
      </w:r>
      <w:r w:rsidRPr="00C63B8B">
        <w:t>ж</w:t>
      </w:r>
      <w:r w:rsidRPr="00C63B8B">
        <w:t>ду государством и профсоюзами, но и конституционные рамки помощи про</w:t>
      </w:r>
      <w:r w:rsidRPr="00C63B8B">
        <w:t>ф</w:t>
      </w:r>
      <w:r w:rsidRPr="00C63B8B">
        <w:t>союзам со стороны государства. Закон предусматривает расширение функций профессиональных союзов в сфере контроля за соблюдением трудового закон</w:t>
      </w:r>
      <w:r w:rsidRPr="00C63B8B">
        <w:t>о</w:t>
      </w:r>
      <w:r w:rsidRPr="00C63B8B">
        <w:t>дательства, включая соблюдение тех его положений, которые касаются отсутс</w:t>
      </w:r>
      <w:r w:rsidRPr="00C63B8B">
        <w:t>т</w:t>
      </w:r>
      <w:r w:rsidRPr="00C63B8B">
        <w:t>вия дискриминации.</w:t>
      </w:r>
    </w:p>
    <w:p w:rsidR="008F52F9" w:rsidRPr="00C63B8B" w:rsidRDefault="008F52F9" w:rsidP="008F52F9">
      <w:pPr>
        <w:pStyle w:val="H23GR"/>
      </w:pPr>
      <w:r w:rsidRPr="00C63B8B">
        <w:tab/>
      </w:r>
      <w:r w:rsidRPr="00C63B8B">
        <w:tab/>
        <w:t xml:space="preserve">Право на жилище </w:t>
      </w:r>
    </w:p>
    <w:p w:rsidR="008F52F9" w:rsidRPr="00C63B8B" w:rsidRDefault="008F52F9" w:rsidP="008F52F9">
      <w:pPr>
        <w:pStyle w:val="SingleTxtGR"/>
      </w:pPr>
      <w:r w:rsidRPr="00C63B8B">
        <w:t>146.</w:t>
      </w:r>
      <w:r w:rsidRPr="00C63B8B">
        <w:tab/>
        <w:t>В соответствии с законодательными актами Литвы предусматриваются два вида помощи физическим лицам и семьям, проживающим в Литве: помощь на цели аренды жилья и помощь на цели приобретения жилья. Право на пол</w:t>
      </w:r>
      <w:r w:rsidRPr="00C63B8B">
        <w:t>у</w:t>
      </w:r>
      <w:r w:rsidRPr="00C63B8B">
        <w:t>чение помощи имеют все лица (семьи), уровень доходов которых (установле</w:t>
      </w:r>
      <w:r w:rsidRPr="00C63B8B">
        <w:t>н</w:t>
      </w:r>
      <w:r w:rsidRPr="00C63B8B">
        <w:t>ный Правительством) является недостаточным для самостоятельного приобр</w:t>
      </w:r>
      <w:r w:rsidRPr="00C63B8B">
        <w:t>е</w:t>
      </w:r>
      <w:r w:rsidRPr="00C63B8B">
        <w:t>тения жилья.</w:t>
      </w:r>
    </w:p>
    <w:p w:rsidR="008F52F9" w:rsidRPr="00C63B8B" w:rsidRDefault="008F52F9" w:rsidP="008F52F9">
      <w:pPr>
        <w:pStyle w:val="SingleTxtGR"/>
      </w:pPr>
      <w:r w:rsidRPr="00C63B8B">
        <w:t>147.</w:t>
      </w:r>
      <w:r w:rsidRPr="00C63B8B">
        <w:tab/>
        <w:t>В 2012 году в Литве насчитывалось 31 584 таких лиц (семей), в том чи</w:t>
      </w:r>
      <w:r w:rsidRPr="00C63B8B">
        <w:t>с</w:t>
      </w:r>
      <w:r w:rsidRPr="00C63B8B">
        <w:t>ле: 9 514 молодых семей; 2 213 семей с тремя или более детьми; сирот и лиц, оставшихся без родительской опеки, − 2 951 человек; 4 633 семьи, где есть и</w:t>
      </w:r>
      <w:r w:rsidRPr="00C63B8B">
        <w:t>н</w:t>
      </w:r>
      <w:r w:rsidRPr="00C63B8B">
        <w:t>валиды; 11 728 семей, не подпадающих под другие категории и включенных в общий список; 545 арендаторов, имеющих право на улучшение жилищных у</w:t>
      </w:r>
      <w:r w:rsidRPr="00C63B8B">
        <w:t>с</w:t>
      </w:r>
      <w:r w:rsidRPr="00C63B8B">
        <w:t>ловий. Помощь этим лицам (семьям) предоставляется путем сдачи им в аренду социального жилья. В 2012 году социальным жильем было обеспечено 1 086 лиц (семей), в том числе: 253 молодых семьи; 213 семей с тремя или б</w:t>
      </w:r>
      <w:r w:rsidRPr="00C63B8B">
        <w:t>о</w:t>
      </w:r>
      <w:r w:rsidRPr="00C63B8B">
        <w:t>лее детьми; 140 сирот и лиц, оставшихся без родительской опеки; 186 семей, где есть инвалиды; 240 семей, не подпадающих под другие категории и вкл</w:t>
      </w:r>
      <w:r w:rsidRPr="00C63B8B">
        <w:t>ю</w:t>
      </w:r>
      <w:r w:rsidRPr="00C63B8B">
        <w:t>ченных в общий список; 54 арендатора, имеющих право на улучшение жили</w:t>
      </w:r>
      <w:r w:rsidRPr="00C63B8B">
        <w:t>щ</w:t>
      </w:r>
      <w:r w:rsidRPr="00C63B8B">
        <w:t>ных условий.</w:t>
      </w:r>
    </w:p>
    <w:p w:rsidR="008F52F9" w:rsidRPr="00C63B8B" w:rsidRDefault="008F52F9" w:rsidP="008F52F9">
      <w:pPr>
        <w:pStyle w:val="H23GR"/>
      </w:pPr>
      <w:r w:rsidRPr="00C63B8B">
        <w:tab/>
      </w:r>
      <w:r w:rsidRPr="00C63B8B">
        <w:tab/>
        <w:t>Помощь на цели аренды жилья, оказанная в 2009−2012 годах</w:t>
      </w:r>
    </w:p>
    <w:tbl>
      <w:tblPr>
        <w:tblStyle w:val="TabNum"/>
        <w:tblW w:w="7370" w:type="dxa"/>
        <w:tblInd w:w="1134" w:type="dxa"/>
        <w:tblLayout w:type="fixed"/>
        <w:tblLook w:val="01E0"/>
      </w:tblPr>
      <w:tblGrid>
        <w:gridCol w:w="2456"/>
        <w:gridCol w:w="2457"/>
        <w:gridCol w:w="2457"/>
      </w:tblGrid>
      <w:tr w:rsidR="008F52F9" w:rsidRPr="004A3CB2" w:rsidTr="004A3CB2">
        <w:trPr>
          <w:tblHeader/>
        </w:trPr>
        <w:tc>
          <w:tcPr>
            <w:cnfStyle w:val="001000000000"/>
            <w:tcW w:w="2456" w:type="dxa"/>
            <w:tcBorders>
              <w:bottom w:val="single" w:sz="12" w:space="0" w:color="auto"/>
            </w:tcBorders>
            <w:shd w:val="clear" w:color="auto" w:fill="auto"/>
          </w:tcPr>
          <w:p w:rsidR="008F52F9" w:rsidRPr="004A3CB2" w:rsidRDefault="008F52F9" w:rsidP="004A3CB2">
            <w:pPr>
              <w:spacing w:before="80" w:after="80" w:line="200" w:lineRule="exact"/>
              <w:rPr>
                <w:i/>
                <w:sz w:val="16"/>
              </w:rPr>
            </w:pPr>
            <w:r w:rsidRPr="004A3CB2">
              <w:rPr>
                <w:i/>
                <w:sz w:val="16"/>
              </w:rPr>
              <w:t>Год</w:t>
            </w:r>
          </w:p>
        </w:tc>
        <w:tc>
          <w:tcPr>
            <w:tcW w:w="2457" w:type="dxa"/>
            <w:tcBorders>
              <w:top w:val="single" w:sz="4" w:space="0" w:color="auto"/>
              <w:bottom w:val="single" w:sz="12" w:space="0" w:color="auto"/>
            </w:tcBorders>
            <w:shd w:val="clear" w:color="auto" w:fill="auto"/>
          </w:tcPr>
          <w:p w:rsidR="008F52F9" w:rsidRPr="004A3CB2" w:rsidRDefault="008F52F9" w:rsidP="004A3CB2">
            <w:pPr>
              <w:spacing w:before="80" w:after="80" w:line="200" w:lineRule="exact"/>
              <w:cnfStyle w:val="000000000000"/>
              <w:rPr>
                <w:i/>
                <w:sz w:val="16"/>
              </w:rPr>
            </w:pPr>
            <w:r w:rsidRPr="004A3CB2">
              <w:rPr>
                <w:i/>
                <w:sz w:val="16"/>
              </w:rPr>
              <w:t>Зарегистрированные с</w:t>
            </w:r>
            <w:r w:rsidRPr="004A3CB2">
              <w:rPr>
                <w:i/>
                <w:sz w:val="16"/>
              </w:rPr>
              <w:t>е</w:t>
            </w:r>
            <w:r w:rsidRPr="004A3CB2">
              <w:rPr>
                <w:i/>
                <w:sz w:val="16"/>
              </w:rPr>
              <w:t xml:space="preserve">мьи и лица </w:t>
            </w:r>
          </w:p>
        </w:tc>
        <w:tc>
          <w:tcPr>
            <w:tcW w:w="2457" w:type="dxa"/>
            <w:tcBorders>
              <w:top w:val="single" w:sz="4" w:space="0" w:color="auto"/>
              <w:bottom w:val="single" w:sz="12" w:space="0" w:color="auto"/>
            </w:tcBorders>
            <w:shd w:val="clear" w:color="auto" w:fill="auto"/>
          </w:tcPr>
          <w:p w:rsidR="008F52F9" w:rsidRPr="004A3CB2" w:rsidRDefault="008F52F9" w:rsidP="004A3CB2">
            <w:pPr>
              <w:spacing w:before="80" w:after="80" w:line="200" w:lineRule="exact"/>
              <w:cnfStyle w:val="000000000000"/>
              <w:rPr>
                <w:i/>
                <w:sz w:val="16"/>
              </w:rPr>
            </w:pPr>
            <w:r w:rsidRPr="004A3CB2">
              <w:rPr>
                <w:i/>
                <w:sz w:val="16"/>
              </w:rPr>
              <w:t>Удовлетворенный спрос</w:t>
            </w:r>
          </w:p>
        </w:tc>
      </w:tr>
      <w:tr w:rsidR="008F52F9" w:rsidRPr="00C63B8B" w:rsidTr="004A3CB2">
        <w:tc>
          <w:tcPr>
            <w:cnfStyle w:val="001000000000"/>
            <w:tcW w:w="2456" w:type="dxa"/>
            <w:tcBorders>
              <w:top w:val="single" w:sz="12" w:space="0" w:color="auto"/>
            </w:tcBorders>
          </w:tcPr>
          <w:p w:rsidR="008F52F9" w:rsidRPr="00C63B8B" w:rsidRDefault="008F52F9" w:rsidP="008F52F9">
            <w:r w:rsidRPr="00C63B8B">
              <w:t>2012</w:t>
            </w:r>
          </w:p>
        </w:tc>
        <w:tc>
          <w:tcPr>
            <w:tcW w:w="2457" w:type="dxa"/>
            <w:tcBorders>
              <w:top w:val="single" w:sz="12" w:space="0" w:color="auto"/>
            </w:tcBorders>
          </w:tcPr>
          <w:p w:rsidR="008F52F9" w:rsidRPr="00C63B8B" w:rsidRDefault="008F52F9" w:rsidP="008F52F9">
            <w:pPr>
              <w:cnfStyle w:val="000000000000"/>
            </w:pPr>
            <w:r w:rsidRPr="00C63B8B">
              <w:t>31 584</w:t>
            </w:r>
          </w:p>
        </w:tc>
        <w:tc>
          <w:tcPr>
            <w:tcW w:w="2457" w:type="dxa"/>
            <w:tcBorders>
              <w:top w:val="single" w:sz="12" w:space="0" w:color="auto"/>
            </w:tcBorders>
          </w:tcPr>
          <w:p w:rsidR="008F52F9" w:rsidRPr="00C63B8B" w:rsidRDefault="008F52F9" w:rsidP="008F52F9">
            <w:pPr>
              <w:cnfStyle w:val="000000000000"/>
            </w:pPr>
            <w:r w:rsidRPr="00C63B8B">
              <w:t>1 086</w:t>
            </w:r>
          </w:p>
        </w:tc>
      </w:tr>
      <w:tr w:rsidR="008F52F9" w:rsidRPr="00C63B8B" w:rsidTr="008F52F9">
        <w:tc>
          <w:tcPr>
            <w:cnfStyle w:val="001000000000"/>
            <w:tcW w:w="2456" w:type="dxa"/>
          </w:tcPr>
          <w:p w:rsidR="008F52F9" w:rsidRPr="00C63B8B" w:rsidRDefault="008F52F9" w:rsidP="008F52F9">
            <w:r w:rsidRPr="00C63B8B">
              <w:t>2011</w:t>
            </w:r>
          </w:p>
        </w:tc>
        <w:tc>
          <w:tcPr>
            <w:tcW w:w="2457" w:type="dxa"/>
          </w:tcPr>
          <w:p w:rsidR="008F52F9" w:rsidRPr="00C63B8B" w:rsidRDefault="008F52F9" w:rsidP="008F52F9">
            <w:pPr>
              <w:cnfStyle w:val="000000000000"/>
            </w:pPr>
            <w:r w:rsidRPr="00C63B8B">
              <w:t>30 484</w:t>
            </w:r>
          </w:p>
        </w:tc>
        <w:tc>
          <w:tcPr>
            <w:tcW w:w="2457" w:type="dxa"/>
          </w:tcPr>
          <w:p w:rsidR="008F52F9" w:rsidRPr="00C63B8B" w:rsidRDefault="008F52F9" w:rsidP="008F52F9">
            <w:pPr>
              <w:cnfStyle w:val="000000000000"/>
            </w:pPr>
            <w:r w:rsidRPr="00C63B8B">
              <w:t>949</w:t>
            </w:r>
          </w:p>
        </w:tc>
      </w:tr>
      <w:tr w:rsidR="008F52F9" w:rsidRPr="00C63B8B" w:rsidTr="008F52F9">
        <w:tc>
          <w:tcPr>
            <w:cnfStyle w:val="001000000000"/>
            <w:tcW w:w="2456" w:type="dxa"/>
          </w:tcPr>
          <w:p w:rsidR="008F52F9" w:rsidRPr="00C63B8B" w:rsidRDefault="008F52F9" w:rsidP="008F52F9">
            <w:r w:rsidRPr="00C63B8B">
              <w:t>2010</w:t>
            </w:r>
          </w:p>
        </w:tc>
        <w:tc>
          <w:tcPr>
            <w:tcW w:w="2457" w:type="dxa"/>
          </w:tcPr>
          <w:p w:rsidR="008F52F9" w:rsidRPr="00C63B8B" w:rsidRDefault="008F52F9" w:rsidP="008F52F9">
            <w:pPr>
              <w:cnfStyle w:val="000000000000"/>
            </w:pPr>
            <w:r w:rsidRPr="00C63B8B">
              <w:t>28 461</w:t>
            </w:r>
          </w:p>
        </w:tc>
        <w:tc>
          <w:tcPr>
            <w:tcW w:w="2457" w:type="dxa"/>
          </w:tcPr>
          <w:p w:rsidR="008F52F9" w:rsidRPr="00C63B8B" w:rsidRDefault="008F52F9" w:rsidP="008F52F9">
            <w:pPr>
              <w:cnfStyle w:val="000000000000"/>
            </w:pPr>
            <w:r w:rsidRPr="00C63B8B">
              <w:t>831</w:t>
            </w:r>
          </w:p>
        </w:tc>
      </w:tr>
      <w:tr w:rsidR="008F52F9" w:rsidRPr="00C63B8B" w:rsidTr="008F52F9">
        <w:tc>
          <w:tcPr>
            <w:cnfStyle w:val="001000000000"/>
            <w:tcW w:w="2456" w:type="dxa"/>
          </w:tcPr>
          <w:p w:rsidR="008F52F9" w:rsidRPr="00C63B8B" w:rsidRDefault="008F52F9" w:rsidP="008F52F9">
            <w:r w:rsidRPr="00C63B8B">
              <w:t>2009</w:t>
            </w:r>
          </w:p>
        </w:tc>
        <w:tc>
          <w:tcPr>
            <w:tcW w:w="2457" w:type="dxa"/>
          </w:tcPr>
          <w:p w:rsidR="008F52F9" w:rsidRPr="00C63B8B" w:rsidRDefault="008F52F9" w:rsidP="008F52F9">
            <w:pPr>
              <w:cnfStyle w:val="000000000000"/>
            </w:pPr>
            <w:r w:rsidRPr="00C63B8B">
              <w:t>20 647</w:t>
            </w:r>
          </w:p>
        </w:tc>
        <w:tc>
          <w:tcPr>
            <w:tcW w:w="2457" w:type="dxa"/>
          </w:tcPr>
          <w:p w:rsidR="008F52F9" w:rsidRPr="00C63B8B" w:rsidRDefault="008F52F9" w:rsidP="008F52F9">
            <w:pPr>
              <w:cnfStyle w:val="000000000000"/>
            </w:pPr>
            <w:r w:rsidRPr="00C63B8B">
              <w:t>1 191</w:t>
            </w:r>
          </w:p>
        </w:tc>
      </w:tr>
    </w:tbl>
    <w:p w:rsidR="008F52F9" w:rsidRPr="00C63B8B" w:rsidRDefault="008F52F9" w:rsidP="008F52F9">
      <w:pPr>
        <w:pStyle w:val="SingleTxtGR"/>
        <w:spacing w:before="120" w:line="220" w:lineRule="exact"/>
        <w:ind w:firstLine="170"/>
        <w:rPr>
          <w:iCs/>
          <w:sz w:val="18"/>
          <w:szCs w:val="18"/>
        </w:rPr>
      </w:pPr>
      <w:r w:rsidRPr="00C63B8B">
        <w:rPr>
          <w:i/>
          <w:sz w:val="18"/>
          <w:szCs w:val="18"/>
        </w:rPr>
        <w:t>Источник</w:t>
      </w:r>
      <w:r w:rsidRPr="00C63B8B">
        <w:rPr>
          <w:iCs/>
          <w:sz w:val="18"/>
          <w:szCs w:val="18"/>
        </w:rPr>
        <w:t>: Департамент статистики Литвы.</w:t>
      </w:r>
    </w:p>
    <w:p w:rsidR="008F52F9" w:rsidRPr="00C63B8B" w:rsidRDefault="008F52F9" w:rsidP="008F52F9">
      <w:pPr>
        <w:pStyle w:val="H23GR"/>
      </w:pPr>
      <w:r w:rsidRPr="00C63B8B">
        <w:rPr>
          <w:i/>
        </w:rPr>
        <w:tab/>
      </w:r>
      <w:r w:rsidRPr="00C63B8B">
        <w:rPr>
          <w:i/>
        </w:rPr>
        <w:tab/>
      </w:r>
      <w:r w:rsidRPr="00C63B8B">
        <w:t>Помощь на цели приобретения жилья, оказанная в 2009−2012 годах</w:t>
      </w:r>
    </w:p>
    <w:tbl>
      <w:tblPr>
        <w:tblStyle w:val="TabNum"/>
        <w:tblW w:w="7370" w:type="dxa"/>
        <w:tblInd w:w="1134" w:type="dxa"/>
        <w:tblLayout w:type="fixed"/>
        <w:tblLook w:val="01E0"/>
      </w:tblPr>
      <w:tblGrid>
        <w:gridCol w:w="993"/>
        <w:gridCol w:w="1983"/>
        <w:gridCol w:w="1843"/>
        <w:gridCol w:w="2551"/>
      </w:tblGrid>
      <w:tr w:rsidR="008F52F9" w:rsidRPr="00C63B8B" w:rsidTr="008F52F9">
        <w:trPr>
          <w:tblHeader/>
        </w:trPr>
        <w:tc>
          <w:tcPr>
            <w:cnfStyle w:val="001000000000"/>
            <w:tcW w:w="994" w:type="dxa"/>
            <w:vMerge w:val="restart"/>
            <w:shd w:val="clear" w:color="auto" w:fill="auto"/>
          </w:tcPr>
          <w:p w:rsidR="008F52F9" w:rsidRPr="00C63B8B" w:rsidRDefault="008F52F9" w:rsidP="008F52F9">
            <w:pPr>
              <w:spacing w:before="80" w:after="80" w:line="200" w:lineRule="exact"/>
              <w:rPr>
                <w:i/>
                <w:sz w:val="16"/>
              </w:rPr>
            </w:pPr>
            <w:r w:rsidRPr="00C63B8B">
              <w:rPr>
                <w:i/>
                <w:sz w:val="16"/>
              </w:rPr>
              <w:t>Год</w:t>
            </w:r>
          </w:p>
        </w:tc>
        <w:tc>
          <w:tcPr>
            <w:tcW w:w="3826" w:type="dxa"/>
            <w:gridSpan w:val="2"/>
            <w:tcBorders>
              <w:top w:val="single" w:sz="4" w:space="0" w:color="auto"/>
              <w:bottom w:val="nil"/>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Кредиты на жилье, предоставленные </w:t>
            </w:r>
            <w:r w:rsidRPr="00C63B8B">
              <w:rPr>
                <w:i/>
                <w:sz w:val="16"/>
              </w:rPr>
              <w:br/>
              <w:t>при по</w:t>
            </w:r>
            <w:r w:rsidRPr="00C63B8B">
              <w:rPr>
                <w:i/>
                <w:sz w:val="16"/>
              </w:rPr>
              <w:t>д</w:t>
            </w:r>
            <w:r w:rsidRPr="00C63B8B">
              <w:rPr>
                <w:i/>
                <w:sz w:val="16"/>
              </w:rPr>
              <w:t>держке государства</w:t>
            </w:r>
          </w:p>
        </w:tc>
        <w:tc>
          <w:tcPr>
            <w:tcW w:w="2551" w:type="dxa"/>
            <w:vMerge w:val="restart"/>
            <w:tcBorders>
              <w:top w:val="single" w:sz="4" w:space="0" w:color="auto"/>
              <w:bottom w:val="nil"/>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Сумма субсидий, предоставле</w:t>
            </w:r>
            <w:r w:rsidRPr="00C63B8B">
              <w:rPr>
                <w:i/>
                <w:sz w:val="16"/>
              </w:rPr>
              <w:t>н</w:t>
            </w:r>
            <w:r w:rsidRPr="00C63B8B">
              <w:rPr>
                <w:i/>
                <w:sz w:val="16"/>
              </w:rPr>
              <w:t>ных лицам (семьям), литы</w:t>
            </w:r>
          </w:p>
        </w:tc>
      </w:tr>
      <w:tr w:rsidR="008F52F9" w:rsidRPr="00C63B8B" w:rsidTr="008F52F9">
        <w:trPr>
          <w:tblHeader/>
        </w:trPr>
        <w:tc>
          <w:tcPr>
            <w:cnfStyle w:val="001000000000"/>
            <w:tcW w:w="994" w:type="dxa"/>
            <w:vMerge/>
            <w:tcBorders>
              <w:top w:val="nil"/>
              <w:bottom w:val="single" w:sz="12" w:space="0" w:color="auto"/>
            </w:tcBorders>
            <w:shd w:val="clear" w:color="auto" w:fill="auto"/>
          </w:tcPr>
          <w:p w:rsidR="008F52F9" w:rsidRPr="00C63B8B" w:rsidRDefault="008F52F9" w:rsidP="008F52F9">
            <w:pPr>
              <w:spacing w:before="80" w:after="80" w:line="200" w:lineRule="exact"/>
              <w:rPr>
                <w:i/>
                <w:sz w:val="16"/>
              </w:rPr>
            </w:pPr>
          </w:p>
        </w:tc>
        <w:tc>
          <w:tcPr>
            <w:tcW w:w="1983" w:type="dxa"/>
            <w:tcBorders>
              <w:top w:val="nil"/>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Число лиц (семей)</w:t>
            </w:r>
          </w:p>
        </w:tc>
        <w:tc>
          <w:tcPr>
            <w:tcW w:w="1843" w:type="dxa"/>
            <w:tcBorders>
              <w:top w:val="nil"/>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Сумма кредитов, литы</w:t>
            </w:r>
          </w:p>
        </w:tc>
        <w:tc>
          <w:tcPr>
            <w:tcW w:w="2551" w:type="dxa"/>
            <w:vMerge/>
            <w:tcBorders>
              <w:top w:val="nil"/>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p>
        </w:tc>
      </w:tr>
      <w:tr w:rsidR="008F52F9" w:rsidRPr="00C63B8B" w:rsidTr="008F52F9">
        <w:tc>
          <w:tcPr>
            <w:cnfStyle w:val="001000000000"/>
            <w:tcW w:w="994" w:type="dxa"/>
            <w:tcBorders>
              <w:top w:val="single" w:sz="12" w:space="0" w:color="auto"/>
            </w:tcBorders>
          </w:tcPr>
          <w:p w:rsidR="008F52F9" w:rsidRPr="00C63B8B" w:rsidRDefault="008F52F9" w:rsidP="008F52F9">
            <w:r w:rsidRPr="00C63B8B">
              <w:t>2012</w:t>
            </w:r>
          </w:p>
        </w:tc>
        <w:tc>
          <w:tcPr>
            <w:tcW w:w="1983" w:type="dxa"/>
            <w:tcBorders>
              <w:top w:val="single" w:sz="12" w:space="0" w:color="auto"/>
            </w:tcBorders>
          </w:tcPr>
          <w:p w:rsidR="008F52F9" w:rsidRPr="00C63B8B" w:rsidRDefault="008F52F9" w:rsidP="008F52F9">
            <w:pPr>
              <w:cnfStyle w:val="000000000000"/>
            </w:pPr>
            <w:r w:rsidRPr="00C63B8B">
              <w:t>60</w:t>
            </w:r>
          </w:p>
        </w:tc>
        <w:tc>
          <w:tcPr>
            <w:tcW w:w="1843" w:type="dxa"/>
            <w:tcBorders>
              <w:top w:val="single" w:sz="12" w:space="0" w:color="auto"/>
            </w:tcBorders>
          </w:tcPr>
          <w:p w:rsidR="008F52F9" w:rsidRPr="00C63B8B" w:rsidRDefault="008F52F9" w:rsidP="008F52F9">
            <w:pPr>
              <w:cnfStyle w:val="000000000000"/>
            </w:pPr>
            <w:r w:rsidRPr="00C63B8B">
              <w:t xml:space="preserve">5 202 300 </w:t>
            </w:r>
          </w:p>
        </w:tc>
        <w:tc>
          <w:tcPr>
            <w:tcW w:w="2551" w:type="dxa"/>
            <w:tcBorders>
              <w:top w:val="single" w:sz="12" w:space="0" w:color="auto"/>
            </w:tcBorders>
          </w:tcPr>
          <w:p w:rsidR="008F52F9" w:rsidRPr="00C63B8B" w:rsidRDefault="008F52F9" w:rsidP="008F52F9">
            <w:pPr>
              <w:cnfStyle w:val="000000000000"/>
            </w:pPr>
            <w:r w:rsidRPr="00C63B8B">
              <w:t>594 300</w:t>
            </w:r>
          </w:p>
        </w:tc>
      </w:tr>
      <w:tr w:rsidR="008F52F9" w:rsidRPr="00C63B8B" w:rsidTr="008F52F9">
        <w:tc>
          <w:tcPr>
            <w:cnfStyle w:val="001000000000"/>
            <w:tcW w:w="994" w:type="dxa"/>
          </w:tcPr>
          <w:p w:rsidR="008F52F9" w:rsidRPr="00C63B8B" w:rsidRDefault="008F52F9" w:rsidP="008F52F9">
            <w:r w:rsidRPr="00C63B8B">
              <w:t>2011</w:t>
            </w:r>
          </w:p>
        </w:tc>
        <w:tc>
          <w:tcPr>
            <w:tcW w:w="1983" w:type="dxa"/>
          </w:tcPr>
          <w:p w:rsidR="008F52F9" w:rsidRPr="00C63B8B" w:rsidRDefault="008F52F9" w:rsidP="008F52F9">
            <w:pPr>
              <w:cnfStyle w:val="000000000000"/>
            </w:pPr>
            <w:r w:rsidRPr="00C63B8B">
              <w:t>80</w:t>
            </w:r>
          </w:p>
        </w:tc>
        <w:tc>
          <w:tcPr>
            <w:tcW w:w="1843" w:type="dxa"/>
          </w:tcPr>
          <w:p w:rsidR="008F52F9" w:rsidRPr="00C63B8B" w:rsidRDefault="008F52F9" w:rsidP="008F52F9">
            <w:pPr>
              <w:cnfStyle w:val="000000000000"/>
            </w:pPr>
            <w:r w:rsidRPr="00C63B8B">
              <w:t>7 355 000</w:t>
            </w:r>
          </w:p>
        </w:tc>
        <w:tc>
          <w:tcPr>
            <w:tcW w:w="2551" w:type="dxa"/>
          </w:tcPr>
          <w:p w:rsidR="008F52F9" w:rsidRPr="00C63B8B" w:rsidRDefault="008F52F9" w:rsidP="008F52F9">
            <w:pPr>
              <w:cnfStyle w:val="000000000000"/>
            </w:pPr>
            <w:r w:rsidRPr="00C63B8B">
              <w:t>806 000</w:t>
            </w:r>
          </w:p>
        </w:tc>
      </w:tr>
      <w:tr w:rsidR="008F52F9" w:rsidRPr="00C63B8B" w:rsidTr="008F52F9">
        <w:tc>
          <w:tcPr>
            <w:cnfStyle w:val="001000000000"/>
            <w:tcW w:w="994" w:type="dxa"/>
          </w:tcPr>
          <w:p w:rsidR="008F52F9" w:rsidRPr="00C63B8B" w:rsidRDefault="008F52F9" w:rsidP="008F52F9">
            <w:r w:rsidRPr="00C63B8B">
              <w:t>2010</w:t>
            </w:r>
          </w:p>
        </w:tc>
        <w:tc>
          <w:tcPr>
            <w:tcW w:w="1983" w:type="dxa"/>
          </w:tcPr>
          <w:p w:rsidR="008F52F9" w:rsidRPr="00C63B8B" w:rsidRDefault="008F52F9" w:rsidP="008F52F9">
            <w:pPr>
              <w:cnfStyle w:val="000000000000"/>
            </w:pPr>
            <w:r w:rsidRPr="00C63B8B">
              <w:t>23</w:t>
            </w:r>
          </w:p>
        </w:tc>
        <w:tc>
          <w:tcPr>
            <w:tcW w:w="1843" w:type="dxa"/>
          </w:tcPr>
          <w:p w:rsidR="008F52F9" w:rsidRPr="00C63B8B" w:rsidRDefault="008F52F9" w:rsidP="008F52F9">
            <w:pPr>
              <w:cnfStyle w:val="000000000000"/>
            </w:pPr>
            <w:r w:rsidRPr="00C63B8B">
              <w:t>2 189 000</w:t>
            </w:r>
          </w:p>
        </w:tc>
        <w:tc>
          <w:tcPr>
            <w:tcW w:w="2551" w:type="dxa"/>
          </w:tcPr>
          <w:p w:rsidR="008F52F9" w:rsidRPr="00C63B8B" w:rsidRDefault="008F52F9" w:rsidP="008F52F9">
            <w:pPr>
              <w:cnfStyle w:val="000000000000"/>
            </w:pPr>
            <w:r w:rsidRPr="00C63B8B">
              <w:t>300 000</w:t>
            </w:r>
          </w:p>
        </w:tc>
      </w:tr>
      <w:tr w:rsidR="008F52F9" w:rsidRPr="00C63B8B" w:rsidTr="008F52F9">
        <w:tc>
          <w:tcPr>
            <w:cnfStyle w:val="001000000000"/>
            <w:tcW w:w="994" w:type="dxa"/>
          </w:tcPr>
          <w:p w:rsidR="008F52F9" w:rsidRPr="00C63B8B" w:rsidRDefault="008F52F9" w:rsidP="008F52F9">
            <w:r w:rsidRPr="00C63B8B">
              <w:t>2009</w:t>
            </w:r>
          </w:p>
        </w:tc>
        <w:tc>
          <w:tcPr>
            <w:tcW w:w="1983" w:type="dxa"/>
          </w:tcPr>
          <w:p w:rsidR="008F52F9" w:rsidRPr="00C63B8B" w:rsidRDefault="008F52F9" w:rsidP="008F52F9">
            <w:pPr>
              <w:cnfStyle w:val="000000000000"/>
            </w:pPr>
            <w:r w:rsidRPr="00C63B8B">
              <w:t>61</w:t>
            </w:r>
          </w:p>
        </w:tc>
        <w:tc>
          <w:tcPr>
            <w:tcW w:w="1843" w:type="dxa"/>
          </w:tcPr>
          <w:p w:rsidR="008F52F9" w:rsidRPr="00C63B8B" w:rsidRDefault="008F52F9" w:rsidP="008F52F9">
            <w:pPr>
              <w:cnfStyle w:val="000000000000"/>
            </w:pPr>
            <w:r w:rsidRPr="00C63B8B">
              <w:t>5 926 000</w:t>
            </w:r>
          </w:p>
        </w:tc>
        <w:tc>
          <w:tcPr>
            <w:tcW w:w="2551" w:type="dxa"/>
          </w:tcPr>
          <w:p w:rsidR="008F52F9" w:rsidRPr="00C63B8B" w:rsidRDefault="008F52F9" w:rsidP="008F52F9">
            <w:pPr>
              <w:cnfStyle w:val="000000000000"/>
            </w:pPr>
            <w:r w:rsidRPr="00C63B8B">
              <w:t>619 000</w:t>
            </w:r>
          </w:p>
        </w:tc>
      </w:tr>
    </w:tbl>
    <w:p w:rsidR="008F52F9" w:rsidRPr="00C63B8B" w:rsidRDefault="008F52F9" w:rsidP="008F52F9">
      <w:pPr>
        <w:pStyle w:val="SingleTxtGR"/>
        <w:spacing w:before="120" w:line="220" w:lineRule="exact"/>
        <w:ind w:firstLine="170"/>
        <w:rPr>
          <w:sz w:val="18"/>
          <w:szCs w:val="18"/>
        </w:rPr>
      </w:pPr>
      <w:r w:rsidRPr="00C63B8B">
        <w:rPr>
          <w:i/>
          <w:sz w:val="18"/>
          <w:szCs w:val="18"/>
        </w:rPr>
        <w:t xml:space="preserve">Источник: </w:t>
      </w:r>
      <w:r w:rsidRPr="00C63B8B">
        <w:rPr>
          <w:sz w:val="18"/>
          <w:szCs w:val="18"/>
        </w:rPr>
        <w:t>Департамент статистики Литвы.</w:t>
      </w:r>
    </w:p>
    <w:p w:rsidR="008F52F9" w:rsidRPr="00C63B8B" w:rsidRDefault="008F52F9" w:rsidP="008F52F9">
      <w:pPr>
        <w:pStyle w:val="SingleTxtGR"/>
      </w:pPr>
      <w:r w:rsidRPr="00C63B8B">
        <w:t>148.</w:t>
      </w:r>
      <w:r w:rsidRPr="00C63B8B">
        <w:tab/>
        <w:t>По итогам анализа и оценки функционирования системы оказания пом</w:t>
      </w:r>
      <w:r w:rsidRPr="00C63B8B">
        <w:t>о</w:t>
      </w:r>
      <w:r w:rsidRPr="00C63B8B">
        <w:t>щи на цели приобретения или аренды жилья был сделан вывод о том, что ныне действующий механизм законодательной регламентации помощи на цели пр</w:t>
      </w:r>
      <w:r w:rsidRPr="00C63B8B">
        <w:t>и</w:t>
      </w:r>
      <w:r w:rsidRPr="00C63B8B">
        <w:t>обретения или аренды жилья не обеспечивает эффективного соблюдения права людей на жилище. Ежегодно помощь получают лишь 3% лиц (семей), име</w:t>
      </w:r>
      <w:r w:rsidRPr="00C63B8B">
        <w:t>ю</w:t>
      </w:r>
      <w:r w:rsidRPr="00C63B8B">
        <w:t>щих на нее право, а некоторым из них приходится ждать помощи в течение 20−30 лет. В целях обеспечения доступности помощи на цели приобретения или аренды жилья был разработан Закон о помощи на цели приобретения или аренды жилья. Законопроект предусматривает внедрение новой формы оказ</w:t>
      </w:r>
      <w:r w:rsidRPr="00C63B8B">
        <w:t>а</w:t>
      </w:r>
      <w:r w:rsidRPr="00C63B8B">
        <w:t>ния помощи на цели приобретения или аренды жилья, а именно частичного возмещения расходов на аренду или погашение ипотечного кредита, и гласит, что семьи и лица, имеющие право на социальное жилье и при этом арендующие жилье у физических или юридических лиц на рыночных условиях, получают право на частичное возмещение расходов на аренду или погашение ипотечного кредита. Оказание такой помощи начинается сразу же после представления л</w:t>
      </w:r>
      <w:r w:rsidRPr="00C63B8B">
        <w:t>и</w:t>
      </w:r>
      <w:r w:rsidRPr="00C63B8B">
        <w:t xml:space="preserve">цами (семьями) арендного или ипотечного соглашения, зарегистрированного в государственном реестре. </w:t>
      </w:r>
    </w:p>
    <w:p w:rsidR="008F52F9" w:rsidRPr="00C63B8B" w:rsidRDefault="008F52F9" w:rsidP="008F52F9">
      <w:pPr>
        <w:pStyle w:val="SingleTxtGR"/>
      </w:pPr>
      <w:r w:rsidRPr="00C63B8B">
        <w:t>149.</w:t>
      </w:r>
      <w:r w:rsidRPr="00C63B8B">
        <w:tab/>
        <w:t>Во всех случаях помощь на цели приобретения или аренды жилья пр</w:t>
      </w:r>
      <w:r w:rsidRPr="00C63B8B">
        <w:t>е</w:t>
      </w:r>
      <w:r w:rsidRPr="00C63B8B">
        <w:t>доставляется на основе равного обращения с малоимущими семьями и лицами вне зависимости от их пола, расы, национального происхождения, языка, пр</w:t>
      </w:r>
      <w:r w:rsidRPr="00C63B8B">
        <w:t>о</w:t>
      </w:r>
      <w:r w:rsidRPr="00C63B8B">
        <w:t>исхождения, социального положения, вероисповедания, убеждений или взгл</w:t>
      </w:r>
      <w:r w:rsidRPr="00C63B8B">
        <w:t>я</w:t>
      </w:r>
      <w:r w:rsidRPr="00C63B8B">
        <w:t xml:space="preserve">дов, возраста, сексуальной ориентации, наличия инвалидности, этнической принадлежности, религии и иных обстоятельств. </w:t>
      </w:r>
    </w:p>
    <w:p w:rsidR="008F52F9" w:rsidRPr="00C63B8B" w:rsidRDefault="008F52F9" w:rsidP="008F52F9">
      <w:pPr>
        <w:pStyle w:val="SingleTxtGR"/>
        <w:rPr>
          <w:iCs/>
        </w:rPr>
      </w:pPr>
      <w:r w:rsidRPr="00C63B8B">
        <w:rPr>
          <w:iCs/>
        </w:rPr>
        <w:t>150.</w:t>
      </w:r>
      <w:r w:rsidRPr="00C63B8B">
        <w:rPr>
          <w:iCs/>
        </w:rPr>
        <w:tab/>
        <w:t>В приложении (таблицы 8−12) приводятся статистические данные о ж</w:t>
      </w:r>
      <w:r w:rsidRPr="00C63B8B">
        <w:rPr>
          <w:iCs/>
        </w:rPr>
        <w:t>и</w:t>
      </w:r>
      <w:r w:rsidRPr="00C63B8B">
        <w:rPr>
          <w:iCs/>
        </w:rPr>
        <w:t>лищных условиях граждан Литвы с указанием типа, местоположения, формы собственности и полезной площади жилья.</w:t>
      </w:r>
    </w:p>
    <w:p w:rsidR="008F52F9" w:rsidRPr="00C63B8B" w:rsidRDefault="008F52F9" w:rsidP="008F52F9">
      <w:pPr>
        <w:pStyle w:val="H23GR"/>
      </w:pPr>
      <w:r w:rsidRPr="00C63B8B">
        <w:tab/>
      </w:r>
      <w:r w:rsidRPr="00C63B8B">
        <w:tab/>
        <w:t>Право на здравоохранение</w:t>
      </w:r>
    </w:p>
    <w:p w:rsidR="008F52F9" w:rsidRPr="00C63B8B" w:rsidRDefault="008F52F9" w:rsidP="008F52F9">
      <w:pPr>
        <w:pStyle w:val="SingleTxtGR"/>
        <w:rPr>
          <w:iCs/>
        </w:rPr>
      </w:pPr>
      <w:r w:rsidRPr="00C63B8B">
        <w:rPr>
          <w:iCs/>
        </w:rPr>
        <w:t>151.</w:t>
      </w:r>
      <w:r w:rsidRPr="00C63B8B">
        <w:rPr>
          <w:iCs/>
        </w:rPr>
        <w:tab/>
        <w:t>Проводимая Правительством политика обеспечивает всем гражданам без какой-либо дискриминации возможность пользоваться правом на здравоохран</w:t>
      </w:r>
      <w:r w:rsidRPr="00C63B8B">
        <w:rPr>
          <w:iCs/>
        </w:rPr>
        <w:t>е</w:t>
      </w:r>
      <w:r w:rsidRPr="00C63B8B">
        <w:rPr>
          <w:iCs/>
        </w:rPr>
        <w:t>ние; в стране нет ограничений в плане доступа иностранцев, представителей этнических меньшинств и прочих групп к услугам в области здравоохранения. Как и прежде, действуют и применяются положения законодательных актов, к</w:t>
      </w:r>
      <w:r w:rsidRPr="00C63B8B">
        <w:rPr>
          <w:iCs/>
        </w:rPr>
        <w:t>а</w:t>
      </w:r>
      <w:r w:rsidRPr="00C63B8B">
        <w:rPr>
          <w:iCs/>
        </w:rPr>
        <w:t>сающихся предоставления услуг первичного (первая и неотложная помощь) м</w:t>
      </w:r>
      <w:r w:rsidRPr="00C63B8B">
        <w:rPr>
          <w:iCs/>
        </w:rPr>
        <w:t>е</w:t>
      </w:r>
      <w:r w:rsidRPr="00C63B8B">
        <w:rPr>
          <w:iCs/>
        </w:rPr>
        <w:t>дико-санитарного обслуживания в учреждениях индивидуальной медицинской помощи всем без исключения пациентам (в том числе рома, беженцам и т.п.). Существенные поправки в действующие нормы, относящиеся к сфере расовой дискриминации, не вносились.</w:t>
      </w:r>
    </w:p>
    <w:p w:rsidR="008F52F9" w:rsidRPr="00C63B8B" w:rsidRDefault="008F52F9" w:rsidP="008F52F9">
      <w:pPr>
        <w:pStyle w:val="SingleTxtGR"/>
        <w:rPr>
          <w:iCs/>
        </w:rPr>
      </w:pPr>
      <w:r w:rsidRPr="00C63B8B">
        <w:rPr>
          <w:iCs/>
        </w:rPr>
        <w:t>152.</w:t>
      </w:r>
      <w:r w:rsidRPr="00C63B8B">
        <w:rPr>
          <w:iCs/>
        </w:rPr>
        <w:tab/>
        <w:t>Кроме того, следует отметить, что 25 октября 2013 года вступила в силу поправка к Закону о медицинском страховании, направленная на осуществление Директивы 2011/95/EU Европейского парламента и Совета от 13 декабря 2011 года о нормах предоставления международной защиты гражданам третьих стран и лицам без гражданства, единообразии статуса беженцев и лиц, име</w:t>
      </w:r>
      <w:r w:rsidRPr="00C63B8B">
        <w:rPr>
          <w:iCs/>
        </w:rPr>
        <w:t>ю</w:t>
      </w:r>
      <w:r w:rsidRPr="00C63B8B">
        <w:rPr>
          <w:iCs/>
        </w:rPr>
        <w:t>щих право на дополнительную защиту, и о содержании предоставляемой защ</w:t>
      </w:r>
      <w:r w:rsidRPr="00C63B8B">
        <w:rPr>
          <w:iCs/>
        </w:rPr>
        <w:t>и</w:t>
      </w:r>
      <w:r w:rsidRPr="00C63B8B">
        <w:rPr>
          <w:iCs/>
        </w:rPr>
        <w:t xml:space="preserve">ты, а также на изменение порядка законодательного регулирования проблем, связанных с обязательным медицинским страхованием иностранцев, которым была предоставлена дополнительная или временная защита в Литве. </w:t>
      </w:r>
    </w:p>
    <w:p w:rsidR="008F52F9" w:rsidRPr="00C63B8B" w:rsidRDefault="008F52F9" w:rsidP="008F52F9">
      <w:pPr>
        <w:pStyle w:val="H23GR"/>
      </w:pPr>
      <w:r w:rsidRPr="00C63B8B">
        <w:tab/>
      </w:r>
      <w:r w:rsidRPr="00C63B8B">
        <w:tab/>
        <w:t>Право на образование и профессиональную подготовку</w:t>
      </w:r>
    </w:p>
    <w:p w:rsidR="008F52F9" w:rsidRPr="00C63B8B" w:rsidRDefault="008F52F9" w:rsidP="008F52F9">
      <w:pPr>
        <w:pStyle w:val="SingleTxtGR"/>
        <w:rPr>
          <w:iCs/>
        </w:rPr>
      </w:pPr>
      <w:r w:rsidRPr="00C63B8B">
        <w:rPr>
          <w:iCs/>
        </w:rPr>
        <w:t>153.</w:t>
      </w:r>
      <w:r w:rsidRPr="00C63B8B">
        <w:rPr>
          <w:iCs/>
        </w:rPr>
        <w:tab/>
        <w:t>Литва гарантирует соблюдение прав человека всем без исключения л</w:t>
      </w:r>
      <w:r w:rsidRPr="00C63B8B">
        <w:rPr>
          <w:iCs/>
        </w:rPr>
        <w:t>и</w:t>
      </w:r>
      <w:r w:rsidRPr="00C63B8B">
        <w:rPr>
          <w:iCs/>
        </w:rPr>
        <w:t>цам, обеспечивает доступ к образованию, получение общего образования и первой профессии, а также создает условия для повышения имеющейся квал</w:t>
      </w:r>
      <w:r w:rsidRPr="00C63B8B">
        <w:rPr>
          <w:iCs/>
        </w:rPr>
        <w:t>и</w:t>
      </w:r>
      <w:r w:rsidRPr="00C63B8B">
        <w:rPr>
          <w:iCs/>
        </w:rPr>
        <w:t>фикации или приобретения новой. Литовская система образования включает в себя: формальное образование (начальное, базовое, среднее образование, фо</w:t>
      </w:r>
      <w:r w:rsidRPr="00C63B8B">
        <w:rPr>
          <w:iCs/>
        </w:rPr>
        <w:t>р</w:t>
      </w:r>
      <w:r w:rsidRPr="00C63B8B">
        <w:rPr>
          <w:iCs/>
        </w:rPr>
        <w:t>мальное профессионально-техническое образование и высшее образование); неформальное образование (дошкольное образование и подготовка к школе, другие виды неформального образования детей (включая занятия, дополня</w:t>
      </w:r>
      <w:r w:rsidRPr="00C63B8B">
        <w:rPr>
          <w:iCs/>
        </w:rPr>
        <w:t>ю</w:t>
      </w:r>
      <w:r w:rsidRPr="00C63B8B">
        <w:rPr>
          <w:iCs/>
        </w:rPr>
        <w:t>щие формальное образование) и взрослых); самообразование и помощь в пол</w:t>
      </w:r>
      <w:r w:rsidRPr="00C63B8B">
        <w:rPr>
          <w:iCs/>
        </w:rPr>
        <w:t>у</w:t>
      </w:r>
      <w:r w:rsidRPr="00C63B8B">
        <w:rPr>
          <w:iCs/>
        </w:rPr>
        <w:t>чении образования (профессионально-техническое обучение, информационная, психологическая, социально-педагогическая, специальная педагогическая и специальная образовательная поддержка, услуги здравоохранения в школах, консультационные услуги, повышение квалификации преподавателей и прочие виды помощи).</w:t>
      </w:r>
    </w:p>
    <w:p w:rsidR="008F52F9" w:rsidRPr="00C63B8B" w:rsidRDefault="008F52F9" w:rsidP="008F52F9">
      <w:pPr>
        <w:pStyle w:val="SingleTxtGR"/>
        <w:rPr>
          <w:iCs/>
        </w:rPr>
      </w:pPr>
      <w:r w:rsidRPr="00C63B8B">
        <w:rPr>
          <w:iCs/>
        </w:rPr>
        <w:t>154.</w:t>
      </w:r>
      <w:r w:rsidRPr="00C63B8B">
        <w:rPr>
          <w:iCs/>
        </w:rPr>
        <w:tab/>
        <w:t>Закон об образовании предусматривает необходимость наличия надл</w:t>
      </w:r>
      <w:r w:rsidRPr="00C63B8B">
        <w:rPr>
          <w:iCs/>
        </w:rPr>
        <w:t>е</w:t>
      </w:r>
      <w:r w:rsidRPr="00C63B8B">
        <w:rPr>
          <w:iCs/>
        </w:rPr>
        <w:t>жащей сети учреждений образования в целях обеспечения доступа к обязател</w:t>
      </w:r>
      <w:r w:rsidRPr="00C63B8B">
        <w:rPr>
          <w:iCs/>
        </w:rPr>
        <w:t>ь</w:t>
      </w:r>
      <w:r w:rsidRPr="00C63B8B">
        <w:rPr>
          <w:iCs/>
        </w:rPr>
        <w:t>ному и общему образованию, его разнообразия и возможности учиться в теч</w:t>
      </w:r>
      <w:r w:rsidRPr="00C63B8B">
        <w:rPr>
          <w:iCs/>
        </w:rPr>
        <w:t>е</w:t>
      </w:r>
      <w:r w:rsidRPr="00C63B8B">
        <w:rPr>
          <w:iCs/>
        </w:rPr>
        <w:t>ние всей жизни. В целях защиты общественных интересов при создании сети государственных и муниципальных школ следует проводить консультации с гражданами или их группами. В рамках каждого муниципального образования должна действовать оптимально сбалансированная сеть учреждений, работа</w:t>
      </w:r>
      <w:r w:rsidRPr="00C63B8B">
        <w:rPr>
          <w:iCs/>
        </w:rPr>
        <w:t>ю</w:t>
      </w:r>
      <w:r w:rsidRPr="00C63B8B">
        <w:rPr>
          <w:iCs/>
        </w:rPr>
        <w:t>щих по программам начального, базового, среднего и неформального образов</w:t>
      </w:r>
      <w:r w:rsidRPr="00C63B8B">
        <w:rPr>
          <w:iCs/>
        </w:rPr>
        <w:t>а</w:t>
      </w:r>
      <w:r w:rsidRPr="00C63B8B">
        <w:rPr>
          <w:iCs/>
        </w:rPr>
        <w:t>ния на государственном языке для детей и взрослых, а в тех районах, где тр</w:t>
      </w:r>
      <w:r w:rsidRPr="00C63B8B">
        <w:rPr>
          <w:iCs/>
        </w:rPr>
        <w:t>а</w:t>
      </w:r>
      <w:r w:rsidRPr="00C63B8B">
        <w:rPr>
          <w:iCs/>
        </w:rPr>
        <w:t>диционно проживает значительное число лиц, принадлежащих к национальным меньшинствам, муниципалитет по просьбе местного населения обязан гарант</w:t>
      </w:r>
      <w:r w:rsidRPr="00C63B8B">
        <w:rPr>
          <w:iCs/>
        </w:rPr>
        <w:t>и</w:t>
      </w:r>
      <w:r w:rsidRPr="00C63B8B">
        <w:rPr>
          <w:iCs/>
        </w:rPr>
        <w:t>ровать преподавание на языках национальных меньшинств, а также обучение языкам национальных меньшинств.</w:t>
      </w:r>
    </w:p>
    <w:p w:rsidR="008F52F9" w:rsidRPr="00C63B8B" w:rsidRDefault="008F52F9" w:rsidP="008F52F9">
      <w:pPr>
        <w:pStyle w:val="SingleTxtGR"/>
        <w:rPr>
          <w:iCs/>
        </w:rPr>
      </w:pPr>
      <w:r w:rsidRPr="00C63B8B">
        <w:rPr>
          <w:iCs/>
        </w:rPr>
        <w:t>155.</w:t>
      </w:r>
      <w:r w:rsidRPr="00C63B8B">
        <w:rPr>
          <w:iCs/>
        </w:rPr>
        <w:tab/>
        <w:t>В соответствии с Законом об образовании учащимся гарантируется право обучаться на государственном языке и изучать государственный язык, а также свобода выбора языка обучения. Школы, работающие по программам общего и неформального образования, предоставляют учащимся из числа национальных меньшинств возможность воспитывать свою национальную, этническую и яз</w:t>
      </w:r>
      <w:r w:rsidRPr="00C63B8B">
        <w:rPr>
          <w:iCs/>
        </w:rPr>
        <w:t>ы</w:t>
      </w:r>
      <w:r w:rsidRPr="00C63B8B">
        <w:rPr>
          <w:iCs/>
        </w:rPr>
        <w:t>ковую идентичность, а также изучать свой родной язык, историю и культуру. Школы, работающие по программам общего и неформального образования, у</w:t>
      </w:r>
      <w:r w:rsidRPr="00C63B8B">
        <w:rPr>
          <w:iCs/>
        </w:rPr>
        <w:t>с</w:t>
      </w:r>
      <w:r w:rsidRPr="00C63B8B">
        <w:rPr>
          <w:iCs/>
        </w:rPr>
        <w:t>тавы (статуты) которых предусматривают обучение языкам национальных меньшинств или преподавание на таких языках по просьбам родителей (усын</w:t>
      </w:r>
      <w:r w:rsidRPr="00C63B8B">
        <w:rPr>
          <w:iCs/>
        </w:rPr>
        <w:t>о</w:t>
      </w:r>
      <w:r w:rsidRPr="00C63B8B">
        <w:rPr>
          <w:iCs/>
        </w:rPr>
        <w:t>вителей, опекунов) и учащихся, могут вести учебный процесс или преподавать некоторые предметы на языках национальных меньшинств. В таких школах предмет "литовский язык" должен быть включен в учебную программу, а кол</w:t>
      </w:r>
      <w:r w:rsidRPr="00C63B8B">
        <w:rPr>
          <w:iCs/>
        </w:rPr>
        <w:t>и</w:t>
      </w:r>
      <w:r w:rsidRPr="00C63B8B">
        <w:rPr>
          <w:iCs/>
        </w:rPr>
        <w:t>чество часов, отводимых на изучение литовского языка, должно быть не мен</w:t>
      </w:r>
      <w:r w:rsidRPr="00C63B8B">
        <w:rPr>
          <w:iCs/>
        </w:rPr>
        <w:t>ь</w:t>
      </w:r>
      <w:r w:rsidRPr="00C63B8B">
        <w:rPr>
          <w:iCs/>
        </w:rPr>
        <w:t>шим, нежели количество часов, предназначенных для уроков родного языка.</w:t>
      </w:r>
    </w:p>
    <w:p w:rsidR="008F52F9" w:rsidRPr="00C63B8B" w:rsidRDefault="008F52F9" w:rsidP="008F52F9">
      <w:pPr>
        <w:pStyle w:val="SingleTxtGR"/>
        <w:rPr>
          <w:iCs/>
        </w:rPr>
      </w:pPr>
      <w:r w:rsidRPr="00C63B8B">
        <w:rPr>
          <w:iCs/>
        </w:rPr>
        <w:t>156.</w:t>
      </w:r>
      <w:r w:rsidRPr="00C63B8B">
        <w:rPr>
          <w:iCs/>
        </w:rPr>
        <w:tab/>
        <w:t>В 2012−2013 годах в Литве насчитывалось 1 111 школ с литовским яз</w:t>
      </w:r>
      <w:r w:rsidRPr="00C63B8B">
        <w:rPr>
          <w:iCs/>
        </w:rPr>
        <w:t>ы</w:t>
      </w:r>
      <w:r w:rsidRPr="00C63B8B">
        <w:rPr>
          <w:iCs/>
        </w:rPr>
        <w:t>ком обучения, 55 школ с польским языком обучения, 32 школы с русским яз</w:t>
      </w:r>
      <w:r w:rsidRPr="00C63B8B">
        <w:rPr>
          <w:iCs/>
        </w:rPr>
        <w:t>ы</w:t>
      </w:r>
      <w:r w:rsidRPr="00C63B8B">
        <w:rPr>
          <w:iCs/>
        </w:rPr>
        <w:t>ком обучения, 1 школа с белорусским языком обучения и 40 школ, в которых обучение ведется на нескольких языках (в 9 школах – на литовском и польском яз</w:t>
      </w:r>
      <w:r w:rsidRPr="00C63B8B">
        <w:rPr>
          <w:iCs/>
        </w:rPr>
        <w:t>ы</w:t>
      </w:r>
      <w:r w:rsidRPr="00C63B8B">
        <w:rPr>
          <w:iCs/>
        </w:rPr>
        <w:t>ках; в 18 школах – на литовском и русском языках; в 9 школах – на русском и польском языках; и в 4 школах – на литовском, русском и польском языках). На литовском языке обучается в общей сложности 346 359 учеников, на ру</w:t>
      </w:r>
      <w:r w:rsidRPr="00C63B8B">
        <w:rPr>
          <w:iCs/>
        </w:rPr>
        <w:t>с</w:t>
      </w:r>
      <w:r w:rsidRPr="00C63B8B">
        <w:rPr>
          <w:iCs/>
        </w:rPr>
        <w:t>ском – 14 825 учеников, на польском – 12 359 учеников, а на белорусском – 177 учеников. Большинство школ с польским языком обучения расположено в городе Вильнюсе, а также в Вильнюсском, Шальчининкском, Тракайском и Швянченском районах, а школы с русским языком обучения находятся в гор</w:t>
      </w:r>
      <w:r w:rsidRPr="00C63B8B">
        <w:rPr>
          <w:iCs/>
        </w:rPr>
        <w:t>о</w:t>
      </w:r>
      <w:r w:rsidRPr="00C63B8B">
        <w:rPr>
          <w:iCs/>
        </w:rPr>
        <w:t>дах Вил</w:t>
      </w:r>
      <w:r w:rsidRPr="00C63B8B">
        <w:rPr>
          <w:iCs/>
        </w:rPr>
        <w:t>ь</w:t>
      </w:r>
      <w:r w:rsidRPr="00C63B8B">
        <w:rPr>
          <w:iCs/>
        </w:rPr>
        <w:t xml:space="preserve">нюс, Клайпеда и Висагинас. </w:t>
      </w:r>
    </w:p>
    <w:p w:rsidR="008F52F9" w:rsidRPr="00C63B8B" w:rsidRDefault="008F52F9" w:rsidP="008F52F9">
      <w:pPr>
        <w:pStyle w:val="SingleTxtGR"/>
        <w:rPr>
          <w:iCs/>
        </w:rPr>
      </w:pPr>
      <w:r w:rsidRPr="00C63B8B">
        <w:rPr>
          <w:iCs/>
        </w:rPr>
        <w:t>157.</w:t>
      </w:r>
      <w:r w:rsidRPr="00C63B8B">
        <w:rPr>
          <w:iCs/>
        </w:rPr>
        <w:tab/>
        <w:t>Статистическая информация, касающаяся образования и уровня владения иностранными языками среди крупнейших этнических меньшинств Литвы, приводится в приложении (таблицы 6−7).</w:t>
      </w:r>
    </w:p>
    <w:p w:rsidR="008F52F9" w:rsidRPr="00C63B8B" w:rsidRDefault="008F52F9" w:rsidP="008F52F9">
      <w:pPr>
        <w:pStyle w:val="H23GR"/>
      </w:pPr>
      <w:r w:rsidRPr="00C63B8B">
        <w:tab/>
      </w:r>
      <w:r w:rsidRPr="00C63B8B">
        <w:tab/>
        <w:t>Право на равное участие в культурной жизни</w:t>
      </w:r>
    </w:p>
    <w:p w:rsidR="008F52F9" w:rsidRPr="00C63B8B" w:rsidRDefault="008F52F9" w:rsidP="008F52F9">
      <w:pPr>
        <w:pStyle w:val="SingleTxtGR"/>
        <w:rPr>
          <w:iCs/>
        </w:rPr>
      </w:pPr>
      <w:r w:rsidRPr="00C63B8B">
        <w:rPr>
          <w:iCs/>
        </w:rPr>
        <w:t>158.</w:t>
      </w:r>
      <w:r w:rsidRPr="00C63B8B">
        <w:rPr>
          <w:iCs/>
        </w:rPr>
        <w:tab/>
        <w:t>Литва предпринимает усилия в целях создания для всех социальных групп равных условий для участия в культурной жизни и наращивания соц</w:t>
      </w:r>
      <w:r w:rsidRPr="00C63B8B">
        <w:rPr>
          <w:iCs/>
        </w:rPr>
        <w:t>и</w:t>
      </w:r>
      <w:r w:rsidRPr="00C63B8B">
        <w:rPr>
          <w:iCs/>
        </w:rPr>
        <w:t>ального и культурного капитала. В целях выполнения этой задачи был утве</w:t>
      </w:r>
      <w:r w:rsidRPr="00C63B8B">
        <w:rPr>
          <w:iCs/>
        </w:rPr>
        <w:t>р</w:t>
      </w:r>
      <w:r w:rsidRPr="00C63B8B">
        <w:rPr>
          <w:iCs/>
        </w:rPr>
        <w:t>жден и претворяется в жизнь ряд программ, в том числе:</w:t>
      </w:r>
    </w:p>
    <w:p w:rsidR="008F52F9" w:rsidRPr="00C63B8B" w:rsidRDefault="008F52F9" w:rsidP="008F52F9">
      <w:pPr>
        <w:pStyle w:val="SingleTxtGR"/>
        <w:rPr>
          <w:iCs/>
        </w:rPr>
      </w:pPr>
      <w:r w:rsidRPr="00C63B8B">
        <w:rPr>
          <w:iCs/>
        </w:rPr>
        <w:tab/>
        <w:t>а)</w:t>
      </w:r>
      <w:r w:rsidRPr="00C63B8B">
        <w:rPr>
          <w:iCs/>
        </w:rPr>
        <w:tab/>
        <w:t>Программа модернизации центров культуры на 2007−2020 годы предполагает создание надлежащих условий для поощрения культурных мер</w:t>
      </w:r>
      <w:r w:rsidRPr="00C63B8B">
        <w:rPr>
          <w:iCs/>
        </w:rPr>
        <w:t>о</w:t>
      </w:r>
      <w:r w:rsidRPr="00C63B8B">
        <w:rPr>
          <w:iCs/>
        </w:rPr>
        <w:t>приятий в муниципальных центрах культуры;</w:t>
      </w:r>
    </w:p>
    <w:p w:rsidR="008F52F9" w:rsidRPr="00C63B8B" w:rsidRDefault="008F52F9" w:rsidP="008F52F9">
      <w:pPr>
        <w:pStyle w:val="SingleTxtGR"/>
        <w:rPr>
          <w:iCs/>
        </w:rPr>
      </w:pPr>
      <w:r w:rsidRPr="00C63B8B">
        <w:rPr>
          <w:iCs/>
        </w:rPr>
        <w:tab/>
        <w:t>b)</w:t>
      </w:r>
      <w:r w:rsidRPr="00C63B8B">
        <w:rPr>
          <w:iCs/>
        </w:rPr>
        <w:tab/>
        <w:t>Стратегия развития политики в отношении национальных мен</w:t>
      </w:r>
      <w:r w:rsidRPr="00C63B8B">
        <w:rPr>
          <w:iCs/>
        </w:rPr>
        <w:t>ь</w:t>
      </w:r>
      <w:r w:rsidRPr="00C63B8B">
        <w:rPr>
          <w:iCs/>
        </w:rPr>
        <w:t>шинств на период до 2015 года направлена на интеграцию жителей Литвы, принадлежащих к национальным меньшинствам, в литовское общество путем создания адекватных условий для жизни, работы и учебы в Литве, а также с</w:t>
      </w:r>
      <w:r w:rsidRPr="00C63B8B">
        <w:rPr>
          <w:iCs/>
        </w:rPr>
        <w:t>о</w:t>
      </w:r>
      <w:r w:rsidRPr="00C63B8B">
        <w:rPr>
          <w:iCs/>
        </w:rPr>
        <w:t>хранения их культуры и идентичности и обеспечения гармоничных взаимоо</w:t>
      </w:r>
      <w:r w:rsidRPr="00C63B8B">
        <w:rPr>
          <w:iCs/>
        </w:rPr>
        <w:t>т</w:t>
      </w:r>
      <w:r w:rsidRPr="00C63B8B">
        <w:rPr>
          <w:iCs/>
        </w:rPr>
        <w:t>ношений между этническими группами;</w:t>
      </w:r>
    </w:p>
    <w:p w:rsidR="008F52F9" w:rsidRPr="00C63B8B" w:rsidRDefault="008F52F9" w:rsidP="008F52F9">
      <w:pPr>
        <w:pStyle w:val="SingleTxtGR"/>
        <w:rPr>
          <w:iCs/>
        </w:rPr>
      </w:pPr>
      <w:r w:rsidRPr="00C63B8B">
        <w:rPr>
          <w:iCs/>
        </w:rPr>
        <w:tab/>
        <w:t>c)</w:t>
      </w:r>
      <w:r w:rsidRPr="00C63B8B">
        <w:rPr>
          <w:iCs/>
        </w:rPr>
        <w:tab/>
        <w:t>Программа развития региональной культуры на 2012−2020 годы направлена на создание в регионах условий для самовыражения людей средс</w:t>
      </w:r>
      <w:r w:rsidRPr="00C63B8B">
        <w:rPr>
          <w:iCs/>
        </w:rPr>
        <w:t>т</w:t>
      </w:r>
      <w:r w:rsidRPr="00C63B8B">
        <w:rPr>
          <w:iCs/>
        </w:rPr>
        <w:t>вами культуры и всестороннего развития личности, обеспечение многообразия, распространения и доступности культуры в качестве основы для социально-экономического прогресса регионов, а также на воспитание гражданской созн</w:t>
      </w:r>
      <w:r w:rsidRPr="00C63B8B">
        <w:rPr>
          <w:iCs/>
        </w:rPr>
        <w:t>а</w:t>
      </w:r>
      <w:r w:rsidRPr="00C63B8B">
        <w:rPr>
          <w:iCs/>
        </w:rPr>
        <w:t>тельности путем популяризации самобытности и привлекательности регионов;</w:t>
      </w:r>
    </w:p>
    <w:p w:rsidR="008F52F9" w:rsidRPr="00C63B8B" w:rsidRDefault="008F52F9" w:rsidP="008F52F9">
      <w:pPr>
        <w:pStyle w:val="SingleTxtGR"/>
        <w:rPr>
          <w:iCs/>
        </w:rPr>
      </w:pPr>
      <w:r w:rsidRPr="00C63B8B">
        <w:rPr>
          <w:iCs/>
        </w:rPr>
        <w:tab/>
        <w:t>d)</w:t>
      </w:r>
      <w:r w:rsidRPr="00C63B8B">
        <w:rPr>
          <w:iCs/>
        </w:rPr>
        <w:tab/>
        <w:t>Национальная программа развития молодежной политики на 2011−2019 годы предусматривает создание благоприятной обстановки (усл</w:t>
      </w:r>
      <w:r w:rsidRPr="00C63B8B">
        <w:rPr>
          <w:iCs/>
        </w:rPr>
        <w:t>о</w:t>
      </w:r>
      <w:r w:rsidRPr="00C63B8B">
        <w:rPr>
          <w:iCs/>
        </w:rPr>
        <w:t>вий) для осмысленной жизни и самовыражения молодежи в Литве;</w:t>
      </w:r>
    </w:p>
    <w:p w:rsidR="008F52F9" w:rsidRPr="00C63B8B" w:rsidRDefault="008F52F9" w:rsidP="008F52F9">
      <w:pPr>
        <w:pStyle w:val="SingleTxtGR"/>
        <w:rPr>
          <w:iCs/>
        </w:rPr>
      </w:pPr>
      <w:r w:rsidRPr="00C63B8B">
        <w:rPr>
          <w:iCs/>
        </w:rPr>
        <w:tab/>
        <w:t>e)</w:t>
      </w:r>
      <w:r w:rsidRPr="00C63B8B">
        <w:rPr>
          <w:iCs/>
        </w:rPr>
        <w:tab/>
        <w:t>программа ремонта и модернизации библиотек направлена на до</w:t>
      </w:r>
      <w:r w:rsidRPr="00C63B8B">
        <w:rPr>
          <w:iCs/>
        </w:rPr>
        <w:t>с</w:t>
      </w:r>
      <w:r w:rsidRPr="00C63B8B">
        <w:rPr>
          <w:iCs/>
        </w:rPr>
        <w:t>тижение следующих целей: предоставление литовскому населению возможн</w:t>
      </w:r>
      <w:r w:rsidRPr="00C63B8B">
        <w:rPr>
          <w:iCs/>
        </w:rPr>
        <w:t>о</w:t>
      </w:r>
      <w:r w:rsidRPr="00C63B8B">
        <w:rPr>
          <w:iCs/>
        </w:rPr>
        <w:t>сти для получения знаний и квалификации; устранение диспропорций между городской и сельской информационно-коммуникационной инфраструктурой и предоставление всем жителям страны равного доступа к информационным те</w:t>
      </w:r>
      <w:r w:rsidRPr="00C63B8B">
        <w:rPr>
          <w:iCs/>
        </w:rPr>
        <w:t>х</w:t>
      </w:r>
      <w:r w:rsidRPr="00C63B8B">
        <w:rPr>
          <w:iCs/>
        </w:rPr>
        <w:t>нологиям для социальных и общественных целей; создание в библиотеках на</w:t>
      </w:r>
      <w:r w:rsidRPr="00C63B8B">
        <w:rPr>
          <w:iCs/>
        </w:rPr>
        <w:t>д</w:t>
      </w:r>
      <w:r w:rsidRPr="00C63B8B">
        <w:rPr>
          <w:iCs/>
        </w:rPr>
        <w:t>лежащих условий для сбора, хранения и представления общественности объе</w:t>
      </w:r>
      <w:r w:rsidRPr="00C63B8B">
        <w:rPr>
          <w:iCs/>
        </w:rPr>
        <w:t>к</w:t>
      </w:r>
      <w:r w:rsidRPr="00C63B8B">
        <w:rPr>
          <w:iCs/>
        </w:rPr>
        <w:t>тов национального, культурного и научного наследия; и обеспечение доступа к библиотечным фондам;</w:t>
      </w:r>
    </w:p>
    <w:p w:rsidR="008F52F9" w:rsidRPr="00C63B8B" w:rsidRDefault="008F52F9" w:rsidP="008F52F9">
      <w:pPr>
        <w:pStyle w:val="SingleTxtGR"/>
        <w:rPr>
          <w:iCs/>
        </w:rPr>
      </w:pPr>
      <w:r w:rsidRPr="00C63B8B">
        <w:rPr>
          <w:iCs/>
        </w:rPr>
        <w:tab/>
        <w:t>f)</w:t>
      </w:r>
      <w:r w:rsidRPr="00C63B8B">
        <w:rPr>
          <w:iCs/>
        </w:rPr>
        <w:tab/>
        <w:t>в целях обеспечения эффективного расходования средств, выд</w:t>
      </w:r>
      <w:r w:rsidRPr="00C63B8B">
        <w:rPr>
          <w:iCs/>
        </w:rPr>
        <w:t>е</w:t>
      </w:r>
      <w:r w:rsidRPr="00C63B8B">
        <w:rPr>
          <w:iCs/>
        </w:rPr>
        <w:t>ляемых в рамках Финансового плана Европейского союза на 2014−2020 годы, была разработана Национальная программа прогресса на 2014−2020 годы, зад</w:t>
      </w:r>
      <w:r w:rsidRPr="00C63B8B">
        <w:rPr>
          <w:iCs/>
        </w:rPr>
        <w:t>а</w:t>
      </w:r>
      <w:r w:rsidRPr="00C63B8B">
        <w:rPr>
          <w:iCs/>
        </w:rPr>
        <w:t>чей которой является целенаправленное улучшение доступа ко всем областям культуры, а также развитие системы оказания качественных культурных услуг представителям всех групп населения и людям всех возрастов. Эта деятел</w:t>
      </w:r>
      <w:r w:rsidRPr="00C63B8B">
        <w:rPr>
          <w:iCs/>
        </w:rPr>
        <w:t>ь</w:t>
      </w:r>
      <w:r w:rsidRPr="00C63B8B">
        <w:rPr>
          <w:iCs/>
        </w:rPr>
        <w:t>ность должна вестись в комплексе с усилиями по обеспечению сбалансирова</w:t>
      </w:r>
      <w:r w:rsidRPr="00C63B8B">
        <w:rPr>
          <w:iCs/>
        </w:rPr>
        <w:t>н</w:t>
      </w:r>
      <w:r w:rsidRPr="00C63B8B">
        <w:rPr>
          <w:iCs/>
        </w:rPr>
        <w:t>ности сферы культурных услуг и творчества (уменьшению разрыва между це</w:t>
      </w:r>
      <w:r w:rsidRPr="00C63B8B">
        <w:rPr>
          <w:iCs/>
        </w:rPr>
        <w:t>н</w:t>
      </w:r>
      <w:r w:rsidRPr="00C63B8B">
        <w:rPr>
          <w:iCs/>
        </w:rPr>
        <w:t>тром и периферией) путем вложения средств в региональную инфраструктуру сети культурных учреждений на всей территории страны, повышения эффе</w:t>
      </w:r>
      <w:r w:rsidRPr="00C63B8B">
        <w:rPr>
          <w:iCs/>
        </w:rPr>
        <w:t>к</w:t>
      </w:r>
      <w:r w:rsidRPr="00C63B8B">
        <w:rPr>
          <w:iCs/>
        </w:rPr>
        <w:t>тивности управления соответствующими учреждениями в сфере предоставл</w:t>
      </w:r>
      <w:r w:rsidRPr="00C63B8B">
        <w:rPr>
          <w:iCs/>
        </w:rPr>
        <w:t>е</w:t>
      </w:r>
      <w:r w:rsidRPr="00C63B8B">
        <w:rPr>
          <w:iCs/>
        </w:rPr>
        <w:t>ния культурных услуг населению, а также придания импульса усилиям по вн</w:t>
      </w:r>
      <w:r w:rsidRPr="00C63B8B">
        <w:rPr>
          <w:iCs/>
        </w:rPr>
        <w:t>е</w:t>
      </w:r>
      <w:r w:rsidRPr="00C63B8B">
        <w:rPr>
          <w:iCs/>
        </w:rPr>
        <w:t>дрению новых услуг, продуктов и инициатив.</w:t>
      </w:r>
    </w:p>
    <w:p w:rsidR="008F52F9" w:rsidRPr="00C63B8B" w:rsidRDefault="008F52F9" w:rsidP="008F52F9">
      <w:pPr>
        <w:pStyle w:val="H23GR"/>
      </w:pPr>
      <w:r w:rsidRPr="00C63B8B">
        <w:tab/>
        <w:t>3.</w:t>
      </w:r>
      <w:r w:rsidRPr="00C63B8B">
        <w:tab/>
        <w:t>Правовой статус некоторых групп населения и меры, принимаемые в целях их интеграции</w:t>
      </w:r>
    </w:p>
    <w:p w:rsidR="008F52F9" w:rsidRPr="00C63B8B" w:rsidRDefault="008F52F9" w:rsidP="008F52F9">
      <w:pPr>
        <w:pStyle w:val="H23GR"/>
      </w:pPr>
      <w:r w:rsidRPr="00C63B8B">
        <w:tab/>
      </w:r>
      <w:r w:rsidRPr="00C63B8B">
        <w:tab/>
        <w:t>Правовой статус беженцев и их интеграция</w:t>
      </w:r>
    </w:p>
    <w:p w:rsidR="008F52F9" w:rsidRPr="00C63B8B" w:rsidRDefault="008F52F9" w:rsidP="008F52F9">
      <w:pPr>
        <w:pStyle w:val="SingleTxtGR"/>
        <w:rPr>
          <w:iCs/>
        </w:rPr>
      </w:pPr>
      <w:r w:rsidRPr="00C63B8B">
        <w:rPr>
          <w:iCs/>
        </w:rPr>
        <w:t>159.</w:t>
      </w:r>
      <w:r w:rsidRPr="00C63B8B">
        <w:rPr>
          <w:iCs/>
        </w:rPr>
        <w:tab/>
        <w:t>Иностранцы, которым было предоставлено убежище в Литве, пользуются правами и свободами, которые предусматриваются Конституцией, междунаро</w:t>
      </w:r>
      <w:r w:rsidRPr="00C63B8B">
        <w:rPr>
          <w:iCs/>
        </w:rPr>
        <w:t>д</w:t>
      </w:r>
      <w:r w:rsidRPr="00C63B8B">
        <w:rPr>
          <w:iCs/>
        </w:rPr>
        <w:t>ными соглашениями, законами Литвы и законодательством Европейского со</w:t>
      </w:r>
      <w:r w:rsidRPr="00C63B8B">
        <w:rPr>
          <w:iCs/>
        </w:rPr>
        <w:t>ю</w:t>
      </w:r>
      <w:r w:rsidRPr="00C63B8B">
        <w:rPr>
          <w:iCs/>
        </w:rPr>
        <w:t>за. Их равенство перед законом обеспечивается вне зависимости от их пола, р</w:t>
      </w:r>
      <w:r w:rsidRPr="00C63B8B">
        <w:rPr>
          <w:iCs/>
        </w:rPr>
        <w:t>а</w:t>
      </w:r>
      <w:r w:rsidRPr="00C63B8B">
        <w:rPr>
          <w:iCs/>
        </w:rPr>
        <w:t>сы, национальности, языка, происхождения, социального положения, религии, убеждений или взглядов. В качестве лиц, постоянно проживающих в стране, иностранцы, которым было предоставлено убежище и разрешение на постоя</w:t>
      </w:r>
      <w:r w:rsidRPr="00C63B8B">
        <w:rPr>
          <w:iCs/>
        </w:rPr>
        <w:t>н</w:t>
      </w:r>
      <w:r w:rsidRPr="00C63B8B">
        <w:rPr>
          <w:iCs/>
        </w:rPr>
        <w:t>ное проживание, пользуются равным доступом ко всем социальным и иным г</w:t>
      </w:r>
      <w:r w:rsidRPr="00C63B8B">
        <w:rPr>
          <w:iCs/>
        </w:rPr>
        <w:t>а</w:t>
      </w:r>
      <w:r w:rsidRPr="00C63B8B">
        <w:rPr>
          <w:iCs/>
        </w:rPr>
        <w:t>рантиям, установленным в законодательстве. Что касается подготовки лиц, стремящихся получить убежище, к интеграции в литовское общество, то ва</w:t>
      </w:r>
      <w:r w:rsidRPr="00C63B8B">
        <w:rPr>
          <w:iCs/>
        </w:rPr>
        <w:t>ж</w:t>
      </w:r>
      <w:r w:rsidRPr="00C63B8B">
        <w:rPr>
          <w:iCs/>
        </w:rPr>
        <w:t>ную роль в данной связи играет Центр приема беженцев, одной из основных функций которого является обеспечение жильем иностранцев, которым было предоставлено убежище, статус беженцев или дополнительная защита.</w:t>
      </w:r>
    </w:p>
    <w:p w:rsidR="008F52F9" w:rsidRPr="00C63B8B" w:rsidRDefault="008F52F9" w:rsidP="008F52F9">
      <w:pPr>
        <w:pStyle w:val="H23GR"/>
        <w:rPr>
          <w:iCs/>
        </w:rPr>
      </w:pPr>
      <w:r w:rsidRPr="00C63B8B">
        <w:tab/>
      </w:r>
      <w:r w:rsidRPr="00C63B8B">
        <w:tab/>
        <w:t>Иностранцы, беженцы, апатриды и соискатели убежища, постоянно проживающие в Литве</w:t>
      </w:r>
      <w:r w:rsidRPr="00C63B8B">
        <w:rPr>
          <w:iCs/>
        </w:rPr>
        <w:t xml:space="preserve"> </w:t>
      </w:r>
    </w:p>
    <w:tbl>
      <w:tblPr>
        <w:tblStyle w:val="TabNum"/>
        <w:tblW w:w="7370" w:type="dxa"/>
        <w:tblInd w:w="1134" w:type="dxa"/>
        <w:tblLayout w:type="fixed"/>
        <w:tblLook w:val="01E0"/>
      </w:tblPr>
      <w:tblGrid>
        <w:gridCol w:w="3827"/>
        <w:gridCol w:w="708"/>
        <w:gridCol w:w="709"/>
        <w:gridCol w:w="709"/>
        <w:gridCol w:w="709"/>
        <w:gridCol w:w="708"/>
      </w:tblGrid>
      <w:tr w:rsidR="008F52F9" w:rsidRPr="00C63B8B" w:rsidTr="008F52F9">
        <w:trPr>
          <w:tblHeader/>
        </w:trPr>
        <w:tc>
          <w:tcPr>
            <w:cnfStyle w:val="001000000000"/>
            <w:tcW w:w="3827" w:type="dxa"/>
            <w:tcBorders>
              <w:bottom w:val="single" w:sz="12" w:space="0" w:color="auto"/>
            </w:tcBorders>
            <w:shd w:val="clear" w:color="auto" w:fill="auto"/>
          </w:tcPr>
          <w:p w:rsidR="008F52F9" w:rsidRPr="00C63B8B" w:rsidRDefault="008F52F9" w:rsidP="008F52F9">
            <w:pPr>
              <w:spacing w:before="80" w:after="80" w:line="200" w:lineRule="exact"/>
              <w:rPr>
                <w:i/>
                <w:sz w:val="16"/>
              </w:rPr>
            </w:pPr>
            <w:r w:rsidRPr="00C63B8B">
              <w:rPr>
                <w:i/>
                <w:sz w:val="16"/>
              </w:rPr>
              <w:t>Иностранцы</w:t>
            </w:r>
          </w:p>
        </w:tc>
        <w:tc>
          <w:tcPr>
            <w:tcW w:w="708"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2009 </w:t>
            </w:r>
          </w:p>
        </w:tc>
        <w:tc>
          <w:tcPr>
            <w:tcW w:w="709"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2010 </w:t>
            </w:r>
          </w:p>
        </w:tc>
        <w:tc>
          <w:tcPr>
            <w:tcW w:w="709"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2011 </w:t>
            </w:r>
          </w:p>
        </w:tc>
        <w:tc>
          <w:tcPr>
            <w:tcW w:w="709"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2012 </w:t>
            </w:r>
          </w:p>
        </w:tc>
        <w:tc>
          <w:tcPr>
            <w:tcW w:w="708"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2013 </w:t>
            </w:r>
          </w:p>
        </w:tc>
      </w:tr>
      <w:tr w:rsidR="008F52F9" w:rsidRPr="00C63B8B" w:rsidTr="008F52F9">
        <w:tc>
          <w:tcPr>
            <w:cnfStyle w:val="001000000000"/>
            <w:tcW w:w="3827" w:type="dxa"/>
            <w:tcBorders>
              <w:top w:val="single" w:sz="12" w:space="0" w:color="auto"/>
            </w:tcBorders>
          </w:tcPr>
          <w:p w:rsidR="008F52F9" w:rsidRPr="00C63B8B" w:rsidRDefault="008F52F9" w:rsidP="008F52F9">
            <w:r w:rsidRPr="00C63B8B">
              <w:t>Иностранцы, имеющие действующие разр</w:t>
            </w:r>
            <w:r w:rsidRPr="00C63B8B">
              <w:t>е</w:t>
            </w:r>
            <w:r w:rsidRPr="00C63B8B">
              <w:t>шения на постоянное проживание*</w:t>
            </w:r>
          </w:p>
        </w:tc>
        <w:tc>
          <w:tcPr>
            <w:tcW w:w="708" w:type="dxa"/>
            <w:tcBorders>
              <w:top w:val="single" w:sz="12" w:space="0" w:color="auto"/>
            </w:tcBorders>
          </w:tcPr>
          <w:p w:rsidR="008F52F9" w:rsidRPr="00C63B8B" w:rsidRDefault="008F52F9" w:rsidP="008F52F9">
            <w:pPr>
              <w:cnfStyle w:val="000000000000"/>
            </w:pPr>
            <w:r w:rsidRPr="00C63B8B">
              <w:t>20 429</w:t>
            </w:r>
          </w:p>
        </w:tc>
        <w:tc>
          <w:tcPr>
            <w:tcW w:w="709" w:type="dxa"/>
            <w:tcBorders>
              <w:top w:val="single" w:sz="12" w:space="0" w:color="auto"/>
            </w:tcBorders>
          </w:tcPr>
          <w:p w:rsidR="008F52F9" w:rsidRPr="00C63B8B" w:rsidRDefault="008F52F9" w:rsidP="008F52F9">
            <w:pPr>
              <w:cnfStyle w:val="000000000000"/>
            </w:pPr>
            <w:r w:rsidRPr="00C63B8B">
              <w:t>19 592</w:t>
            </w:r>
          </w:p>
        </w:tc>
        <w:tc>
          <w:tcPr>
            <w:tcW w:w="709" w:type="dxa"/>
            <w:tcBorders>
              <w:top w:val="single" w:sz="12" w:space="0" w:color="auto"/>
            </w:tcBorders>
          </w:tcPr>
          <w:p w:rsidR="008F52F9" w:rsidRPr="00C63B8B" w:rsidRDefault="008F52F9" w:rsidP="008F52F9">
            <w:pPr>
              <w:cnfStyle w:val="000000000000"/>
            </w:pPr>
            <w:r w:rsidRPr="00C63B8B">
              <w:t>19 234</w:t>
            </w:r>
          </w:p>
        </w:tc>
        <w:tc>
          <w:tcPr>
            <w:tcW w:w="709" w:type="dxa"/>
            <w:tcBorders>
              <w:top w:val="single" w:sz="12" w:space="0" w:color="auto"/>
            </w:tcBorders>
          </w:tcPr>
          <w:p w:rsidR="008F52F9" w:rsidRPr="00C63B8B" w:rsidRDefault="008F52F9" w:rsidP="008F52F9">
            <w:pPr>
              <w:cnfStyle w:val="000000000000"/>
            </w:pPr>
            <w:r w:rsidRPr="00C63B8B">
              <w:t>19 142</w:t>
            </w:r>
          </w:p>
        </w:tc>
        <w:tc>
          <w:tcPr>
            <w:tcW w:w="708" w:type="dxa"/>
            <w:tcBorders>
              <w:top w:val="single" w:sz="12" w:space="0" w:color="auto"/>
            </w:tcBorders>
          </w:tcPr>
          <w:p w:rsidR="008F52F9" w:rsidRPr="00C63B8B" w:rsidRDefault="008F52F9" w:rsidP="008F52F9">
            <w:pPr>
              <w:cnfStyle w:val="000000000000"/>
            </w:pPr>
            <w:r w:rsidRPr="00C63B8B">
              <w:t>18 925</w:t>
            </w:r>
          </w:p>
        </w:tc>
      </w:tr>
      <w:tr w:rsidR="008F52F9" w:rsidRPr="00C63B8B" w:rsidTr="008F52F9">
        <w:tc>
          <w:tcPr>
            <w:cnfStyle w:val="001000000000"/>
            <w:tcW w:w="3827" w:type="dxa"/>
          </w:tcPr>
          <w:p w:rsidR="008F52F9" w:rsidRPr="00C63B8B" w:rsidRDefault="008F52F9" w:rsidP="008F52F9">
            <w:r w:rsidRPr="00C63B8B">
              <w:t>Апатриды, имеющие действующие разреш</w:t>
            </w:r>
            <w:r w:rsidRPr="00C63B8B">
              <w:t>е</w:t>
            </w:r>
            <w:r w:rsidRPr="00C63B8B">
              <w:t>ния на постоянное проживание</w:t>
            </w:r>
          </w:p>
        </w:tc>
        <w:tc>
          <w:tcPr>
            <w:tcW w:w="708" w:type="dxa"/>
          </w:tcPr>
          <w:p w:rsidR="008F52F9" w:rsidRPr="00C63B8B" w:rsidRDefault="008F52F9" w:rsidP="008F52F9">
            <w:pPr>
              <w:cnfStyle w:val="000000000000"/>
            </w:pPr>
            <w:r w:rsidRPr="00C63B8B">
              <w:t>4 844</w:t>
            </w:r>
          </w:p>
        </w:tc>
        <w:tc>
          <w:tcPr>
            <w:tcW w:w="709" w:type="dxa"/>
          </w:tcPr>
          <w:p w:rsidR="008F52F9" w:rsidRPr="00C63B8B" w:rsidRDefault="008F52F9" w:rsidP="008F52F9">
            <w:pPr>
              <w:cnfStyle w:val="000000000000"/>
            </w:pPr>
            <w:r w:rsidRPr="00C63B8B">
              <w:t>4 593</w:t>
            </w:r>
          </w:p>
        </w:tc>
        <w:tc>
          <w:tcPr>
            <w:tcW w:w="709" w:type="dxa"/>
          </w:tcPr>
          <w:p w:rsidR="008F52F9" w:rsidRPr="00C63B8B" w:rsidRDefault="008F52F9" w:rsidP="008F52F9">
            <w:pPr>
              <w:cnfStyle w:val="000000000000"/>
            </w:pPr>
            <w:r w:rsidRPr="00C63B8B">
              <w:t>4 453</w:t>
            </w:r>
          </w:p>
        </w:tc>
        <w:tc>
          <w:tcPr>
            <w:tcW w:w="709" w:type="dxa"/>
          </w:tcPr>
          <w:p w:rsidR="008F52F9" w:rsidRPr="00C63B8B" w:rsidRDefault="008F52F9" w:rsidP="008F52F9">
            <w:pPr>
              <w:cnfStyle w:val="000000000000"/>
            </w:pPr>
            <w:r w:rsidRPr="00C63B8B">
              <w:t>4 314</w:t>
            </w:r>
          </w:p>
        </w:tc>
        <w:tc>
          <w:tcPr>
            <w:tcW w:w="708" w:type="dxa"/>
          </w:tcPr>
          <w:p w:rsidR="008F52F9" w:rsidRPr="00C63B8B" w:rsidRDefault="008F52F9" w:rsidP="008F52F9">
            <w:pPr>
              <w:cnfStyle w:val="000000000000"/>
            </w:pPr>
            <w:r w:rsidRPr="00C63B8B">
              <w:t>4 130</w:t>
            </w:r>
          </w:p>
        </w:tc>
      </w:tr>
      <w:tr w:rsidR="008F52F9" w:rsidRPr="00C63B8B" w:rsidTr="008F52F9">
        <w:tc>
          <w:tcPr>
            <w:cnfStyle w:val="001000000000"/>
            <w:tcW w:w="3827" w:type="dxa"/>
          </w:tcPr>
          <w:p w:rsidR="008F52F9" w:rsidRPr="00C63B8B" w:rsidRDefault="008F52F9" w:rsidP="008F52F9">
            <w:r w:rsidRPr="00C63B8B">
              <w:t>Иностранцы, имеющие действующие разр</w:t>
            </w:r>
            <w:r w:rsidRPr="00C63B8B">
              <w:t>е</w:t>
            </w:r>
            <w:r w:rsidRPr="00C63B8B">
              <w:t>шения на проживание (беженцы)</w:t>
            </w:r>
          </w:p>
        </w:tc>
        <w:tc>
          <w:tcPr>
            <w:tcW w:w="708" w:type="dxa"/>
          </w:tcPr>
          <w:p w:rsidR="008F52F9" w:rsidRPr="00C63B8B" w:rsidRDefault="008F52F9" w:rsidP="008F52F9">
            <w:pPr>
              <w:cnfStyle w:val="000000000000"/>
            </w:pPr>
            <w:r w:rsidRPr="00C63B8B">
              <w:t>56</w:t>
            </w:r>
          </w:p>
        </w:tc>
        <w:tc>
          <w:tcPr>
            <w:tcW w:w="709" w:type="dxa"/>
          </w:tcPr>
          <w:p w:rsidR="008F52F9" w:rsidRPr="00C63B8B" w:rsidRDefault="008F52F9" w:rsidP="008F52F9">
            <w:pPr>
              <w:cnfStyle w:val="000000000000"/>
            </w:pPr>
            <w:r w:rsidRPr="00C63B8B">
              <w:t>61</w:t>
            </w:r>
          </w:p>
        </w:tc>
        <w:tc>
          <w:tcPr>
            <w:tcW w:w="709" w:type="dxa"/>
          </w:tcPr>
          <w:p w:rsidR="008F52F9" w:rsidRPr="00C63B8B" w:rsidRDefault="008F52F9" w:rsidP="008F52F9">
            <w:pPr>
              <w:cnfStyle w:val="000000000000"/>
            </w:pPr>
            <w:r w:rsidRPr="00C63B8B">
              <w:t>44</w:t>
            </w:r>
          </w:p>
        </w:tc>
        <w:tc>
          <w:tcPr>
            <w:tcW w:w="709" w:type="dxa"/>
          </w:tcPr>
          <w:p w:rsidR="008F52F9" w:rsidRPr="00C63B8B" w:rsidRDefault="008F52F9" w:rsidP="008F52F9">
            <w:pPr>
              <w:cnfStyle w:val="000000000000"/>
            </w:pPr>
            <w:r w:rsidRPr="00C63B8B">
              <w:t>39</w:t>
            </w:r>
          </w:p>
        </w:tc>
        <w:tc>
          <w:tcPr>
            <w:tcW w:w="708" w:type="dxa"/>
          </w:tcPr>
          <w:p w:rsidR="008F52F9" w:rsidRPr="00C63B8B" w:rsidRDefault="008F52F9" w:rsidP="008F52F9">
            <w:pPr>
              <w:cnfStyle w:val="000000000000"/>
            </w:pPr>
            <w:r w:rsidRPr="00C63B8B">
              <w:t>43</w:t>
            </w:r>
          </w:p>
        </w:tc>
      </w:tr>
      <w:tr w:rsidR="008F52F9" w:rsidRPr="00C63B8B" w:rsidTr="008F52F9">
        <w:tc>
          <w:tcPr>
            <w:cnfStyle w:val="001000000000"/>
            <w:tcW w:w="3827" w:type="dxa"/>
          </w:tcPr>
          <w:p w:rsidR="008F52F9" w:rsidRPr="00C63B8B" w:rsidRDefault="008F52F9" w:rsidP="008F52F9">
            <w:r w:rsidRPr="00C63B8B">
              <w:t>Иностранцы, имеющие действующие разр</w:t>
            </w:r>
            <w:r w:rsidRPr="00C63B8B">
              <w:t>е</w:t>
            </w:r>
            <w:r w:rsidRPr="00C63B8B">
              <w:t>шения на проживание (лица, кот</w:t>
            </w:r>
            <w:r w:rsidRPr="00C63B8B">
              <w:t>о</w:t>
            </w:r>
            <w:r w:rsidRPr="00C63B8B">
              <w:t xml:space="preserve">рым была предоставлена дополнительная защита) </w:t>
            </w:r>
          </w:p>
        </w:tc>
        <w:tc>
          <w:tcPr>
            <w:tcW w:w="708" w:type="dxa"/>
          </w:tcPr>
          <w:p w:rsidR="008F52F9" w:rsidRPr="00C63B8B" w:rsidRDefault="008F52F9" w:rsidP="008F52F9">
            <w:pPr>
              <w:cnfStyle w:val="000000000000"/>
            </w:pPr>
            <w:r w:rsidRPr="00C63B8B">
              <w:t>329</w:t>
            </w:r>
          </w:p>
        </w:tc>
        <w:tc>
          <w:tcPr>
            <w:tcW w:w="709" w:type="dxa"/>
          </w:tcPr>
          <w:p w:rsidR="008F52F9" w:rsidRPr="00C63B8B" w:rsidRDefault="008F52F9" w:rsidP="008F52F9">
            <w:pPr>
              <w:cnfStyle w:val="000000000000"/>
            </w:pPr>
            <w:r w:rsidRPr="00C63B8B">
              <w:t>198</w:t>
            </w:r>
          </w:p>
        </w:tc>
        <w:tc>
          <w:tcPr>
            <w:tcW w:w="709" w:type="dxa"/>
          </w:tcPr>
          <w:p w:rsidR="008F52F9" w:rsidRPr="00C63B8B" w:rsidRDefault="008F52F9" w:rsidP="008F52F9">
            <w:pPr>
              <w:cnfStyle w:val="000000000000"/>
            </w:pPr>
            <w:r w:rsidRPr="00C63B8B">
              <w:t>87</w:t>
            </w:r>
          </w:p>
        </w:tc>
        <w:tc>
          <w:tcPr>
            <w:tcW w:w="709" w:type="dxa"/>
          </w:tcPr>
          <w:p w:rsidR="008F52F9" w:rsidRPr="00C63B8B" w:rsidRDefault="008F52F9" w:rsidP="008F52F9">
            <w:pPr>
              <w:cnfStyle w:val="000000000000"/>
            </w:pPr>
            <w:r w:rsidRPr="00C63B8B">
              <w:t>81</w:t>
            </w:r>
          </w:p>
        </w:tc>
        <w:tc>
          <w:tcPr>
            <w:tcW w:w="708" w:type="dxa"/>
          </w:tcPr>
          <w:p w:rsidR="008F52F9" w:rsidRPr="00C63B8B" w:rsidRDefault="008F52F9" w:rsidP="008F52F9">
            <w:pPr>
              <w:cnfStyle w:val="000000000000"/>
            </w:pPr>
            <w:r w:rsidRPr="00C63B8B">
              <w:t>101</w:t>
            </w:r>
          </w:p>
        </w:tc>
      </w:tr>
    </w:tbl>
    <w:p w:rsidR="008F52F9" w:rsidRPr="00C63B8B" w:rsidRDefault="008F52F9" w:rsidP="008F52F9">
      <w:pPr>
        <w:pStyle w:val="SingleTxtGR"/>
        <w:spacing w:before="120" w:after="0" w:line="220" w:lineRule="atLeast"/>
        <w:ind w:firstLine="170"/>
        <w:rPr>
          <w:sz w:val="18"/>
          <w:szCs w:val="18"/>
        </w:rPr>
      </w:pPr>
      <w:r w:rsidRPr="00C63B8B">
        <w:rPr>
          <w:i/>
          <w:sz w:val="18"/>
          <w:szCs w:val="18"/>
        </w:rPr>
        <w:t>Источник</w:t>
      </w:r>
      <w:r w:rsidRPr="00C63B8B">
        <w:rPr>
          <w:sz w:val="18"/>
          <w:szCs w:val="18"/>
        </w:rPr>
        <w:t>: Департамент по вопросам миграции Министерства внутренних дел.</w:t>
      </w:r>
    </w:p>
    <w:p w:rsidR="008F52F9" w:rsidRPr="00C63B8B" w:rsidRDefault="008F52F9" w:rsidP="008F52F9">
      <w:pPr>
        <w:pStyle w:val="SingleTxtGR"/>
        <w:spacing w:line="220" w:lineRule="atLeast"/>
        <w:ind w:firstLine="170"/>
        <w:rPr>
          <w:sz w:val="18"/>
          <w:szCs w:val="18"/>
        </w:rPr>
      </w:pPr>
      <w:r w:rsidRPr="00C63B8B">
        <w:rPr>
          <w:sz w:val="18"/>
          <w:szCs w:val="18"/>
        </w:rPr>
        <w:t>*  В том числе апатриды и беженцы.</w:t>
      </w:r>
    </w:p>
    <w:p w:rsidR="008F52F9" w:rsidRPr="00C63B8B" w:rsidRDefault="008F52F9" w:rsidP="008F52F9">
      <w:pPr>
        <w:pStyle w:val="H23GR"/>
      </w:pPr>
      <w:r w:rsidRPr="00C63B8B">
        <w:tab/>
      </w:r>
      <w:r w:rsidRPr="00C63B8B">
        <w:tab/>
        <w:t>Заявления на получение статуса беженцев</w:t>
      </w:r>
    </w:p>
    <w:tbl>
      <w:tblPr>
        <w:tblStyle w:val="TabNum"/>
        <w:tblW w:w="7370" w:type="dxa"/>
        <w:tblInd w:w="1134" w:type="dxa"/>
        <w:tblLayout w:type="fixed"/>
        <w:tblLook w:val="01E0"/>
      </w:tblPr>
      <w:tblGrid>
        <w:gridCol w:w="840"/>
        <w:gridCol w:w="1708"/>
        <w:gridCol w:w="2155"/>
        <w:gridCol w:w="2667"/>
      </w:tblGrid>
      <w:tr w:rsidR="008F52F9" w:rsidRPr="00C63B8B" w:rsidTr="008F52F9">
        <w:trPr>
          <w:tblHeader/>
        </w:trPr>
        <w:tc>
          <w:tcPr>
            <w:cnfStyle w:val="001000000000"/>
            <w:tcW w:w="840" w:type="dxa"/>
            <w:tcBorders>
              <w:bottom w:val="single" w:sz="12" w:space="0" w:color="auto"/>
            </w:tcBorders>
            <w:shd w:val="clear" w:color="auto" w:fill="auto"/>
          </w:tcPr>
          <w:p w:rsidR="008F52F9" w:rsidRPr="00C63B8B" w:rsidRDefault="008F52F9" w:rsidP="008F52F9">
            <w:pPr>
              <w:spacing w:before="80" w:after="80" w:line="200" w:lineRule="exact"/>
              <w:rPr>
                <w:i/>
                <w:sz w:val="16"/>
              </w:rPr>
            </w:pPr>
            <w:r w:rsidRPr="00C63B8B">
              <w:rPr>
                <w:i/>
                <w:sz w:val="16"/>
              </w:rPr>
              <w:t>Год</w:t>
            </w:r>
          </w:p>
        </w:tc>
        <w:tc>
          <w:tcPr>
            <w:tcW w:w="1708"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Заявления о предо</w:t>
            </w:r>
            <w:r w:rsidRPr="00C63B8B">
              <w:rPr>
                <w:i/>
                <w:sz w:val="16"/>
              </w:rPr>
              <w:t>с</w:t>
            </w:r>
            <w:r w:rsidRPr="00C63B8B">
              <w:rPr>
                <w:i/>
                <w:sz w:val="16"/>
              </w:rPr>
              <w:t>тавлении убежища</w:t>
            </w:r>
          </w:p>
        </w:tc>
        <w:tc>
          <w:tcPr>
            <w:tcW w:w="2155"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Число лиц, которым было предоставл</w:t>
            </w:r>
            <w:r w:rsidRPr="00C63B8B">
              <w:rPr>
                <w:i/>
                <w:sz w:val="16"/>
              </w:rPr>
              <w:t>е</w:t>
            </w:r>
            <w:r w:rsidRPr="00C63B8B">
              <w:rPr>
                <w:i/>
                <w:sz w:val="16"/>
              </w:rPr>
              <w:t>но убежище</w:t>
            </w:r>
          </w:p>
        </w:tc>
        <w:tc>
          <w:tcPr>
            <w:tcW w:w="2667"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Число лиц, которым была предо</w:t>
            </w:r>
            <w:r w:rsidRPr="00C63B8B">
              <w:rPr>
                <w:i/>
                <w:sz w:val="16"/>
              </w:rPr>
              <w:t>с</w:t>
            </w:r>
            <w:r w:rsidRPr="00C63B8B">
              <w:rPr>
                <w:i/>
                <w:sz w:val="16"/>
              </w:rPr>
              <w:t>тавлена дополнител</w:t>
            </w:r>
            <w:r w:rsidRPr="00C63B8B">
              <w:rPr>
                <w:i/>
                <w:sz w:val="16"/>
              </w:rPr>
              <w:t>ь</w:t>
            </w:r>
            <w:r w:rsidRPr="00C63B8B">
              <w:rPr>
                <w:i/>
                <w:sz w:val="16"/>
              </w:rPr>
              <w:t>ная защита</w:t>
            </w:r>
          </w:p>
        </w:tc>
      </w:tr>
      <w:tr w:rsidR="008F52F9" w:rsidRPr="00C63B8B" w:rsidTr="008F52F9">
        <w:tc>
          <w:tcPr>
            <w:cnfStyle w:val="001000000000"/>
            <w:tcW w:w="840" w:type="dxa"/>
            <w:tcBorders>
              <w:top w:val="single" w:sz="12" w:space="0" w:color="auto"/>
            </w:tcBorders>
          </w:tcPr>
          <w:p w:rsidR="008F52F9" w:rsidRPr="00C63B8B" w:rsidRDefault="008F52F9" w:rsidP="008F52F9">
            <w:r w:rsidRPr="00C63B8B">
              <w:t>2009</w:t>
            </w:r>
          </w:p>
        </w:tc>
        <w:tc>
          <w:tcPr>
            <w:tcW w:w="1708" w:type="dxa"/>
            <w:tcBorders>
              <w:top w:val="single" w:sz="12" w:space="0" w:color="auto"/>
            </w:tcBorders>
          </w:tcPr>
          <w:p w:rsidR="008F52F9" w:rsidRPr="00C63B8B" w:rsidRDefault="008F52F9" w:rsidP="008F52F9">
            <w:pPr>
              <w:cnfStyle w:val="000000000000"/>
            </w:pPr>
            <w:r w:rsidRPr="00C63B8B">
              <w:t>449</w:t>
            </w:r>
          </w:p>
        </w:tc>
        <w:tc>
          <w:tcPr>
            <w:tcW w:w="2155" w:type="dxa"/>
            <w:tcBorders>
              <w:top w:val="single" w:sz="12" w:space="0" w:color="auto"/>
            </w:tcBorders>
          </w:tcPr>
          <w:p w:rsidR="008F52F9" w:rsidRPr="00C63B8B" w:rsidRDefault="008F52F9" w:rsidP="008F52F9">
            <w:pPr>
              <w:cnfStyle w:val="000000000000"/>
            </w:pPr>
            <w:r w:rsidRPr="00C63B8B">
              <w:t>11</w:t>
            </w:r>
          </w:p>
        </w:tc>
        <w:tc>
          <w:tcPr>
            <w:tcW w:w="2667" w:type="dxa"/>
            <w:tcBorders>
              <w:top w:val="single" w:sz="12" w:space="0" w:color="auto"/>
            </w:tcBorders>
          </w:tcPr>
          <w:p w:rsidR="008F52F9" w:rsidRPr="00C63B8B" w:rsidRDefault="008F52F9" w:rsidP="008F52F9">
            <w:pPr>
              <w:cnfStyle w:val="000000000000"/>
            </w:pPr>
            <w:r w:rsidRPr="00C63B8B">
              <w:t>221</w:t>
            </w:r>
          </w:p>
        </w:tc>
      </w:tr>
      <w:tr w:rsidR="008F52F9" w:rsidRPr="00C63B8B" w:rsidTr="008F52F9">
        <w:tc>
          <w:tcPr>
            <w:cnfStyle w:val="001000000000"/>
            <w:tcW w:w="840" w:type="dxa"/>
          </w:tcPr>
          <w:p w:rsidR="008F52F9" w:rsidRPr="00C63B8B" w:rsidRDefault="008F52F9" w:rsidP="008F52F9">
            <w:r w:rsidRPr="00C63B8B">
              <w:t>2010</w:t>
            </w:r>
          </w:p>
        </w:tc>
        <w:tc>
          <w:tcPr>
            <w:tcW w:w="1708" w:type="dxa"/>
          </w:tcPr>
          <w:p w:rsidR="008F52F9" w:rsidRPr="00C63B8B" w:rsidRDefault="008F52F9" w:rsidP="008F52F9">
            <w:pPr>
              <w:cnfStyle w:val="000000000000"/>
            </w:pPr>
            <w:r w:rsidRPr="00C63B8B">
              <w:t>503</w:t>
            </w:r>
          </w:p>
        </w:tc>
        <w:tc>
          <w:tcPr>
            <w:tcW w:w="2155" w:type="dxa"/>
          </w:tcPr>
          <w:p w:rsidR="008F52F9" w:rsidRPr="00C63B8B" w:rsidRDefault="008F52F9" w:rsidP="008F52F9">
            <w:pPr>
              <w:cnfStyle w:val="000000000000"/>
            </w:pPr>
            <w:r w:rsidRPr="00C63B8B">
              <w:t>1</w:t>
            </w:r>
          </w:p>
        </w:tc>
        <w:tc>
          <w:tcPr>
            <w:tcW w:w="2667" w:type="dxa"/>
          </w:tcPr>
          <w:p w:rsidR="008F52F9" w:rsidRPr="00C63B8B" w:rsidRDefault="008F52F9" w:rsidP="008F52F9">
            <w:pPr>
              <w:cnfStyle w:val="000000000000"/>
            </w:pPr>
            <w:r w:rsidRPr="00C63B8B">
              <w:t>109</w:t>
            </w:r>
          </w:p>
        </w:tc>
      </w:tr>
      <w:tr w:rsidR="008F52F9" w:rsidRPr="00C63B8B" w:rsidTr="008F52F9">
        <w:tc>
          <w:tcPr>
            <w:cnfStyle w:val="001000000000"/>
            <w:tcW w:w="840" w:type="dxa"/>
          </w:tcPr>
          <w:p w:rsidR="008F52F9" w:rsidRPr="00C63B8B" w:rsidRDefault="008F52F9" w:rsidP="008F52F9">
            <w:r w:rsidRPr="00C63B8B">
              <w:t>2011</w:t>
            </w:r>
          </w:p>
        </w:tc>
        <w:tc>
          <w:tcPr>
            <w:tcW w:w="1708" w:type="dxa"/>
          </w:tcPr>
          <w:p w:rsidR="008F52F9" w:rsidRPr="00C63B8B" w:rsidRDefault="008F52F9" w:rsidP="008F52F9">
            <w:pPr>
              <w:cnfStyle w:val="000000000000"/>
            </w:pPr>
            <w:r w:rsidRPr="00C63B8B">
              <w:t>527</w:t>
            </w:r>
          </w:p>
        </w:tc>
        <w:tc>
          <w:tcPr>
            <w:tcW w:w="2155" w:type="dxa"/>
          </w:tcPr>
          <w:p w:rsidR="008F52F9" w:rsidRPr="00C63B8B" w:rsidRDefault="008F52F9" w:rsidP="008F52F9">
            <w:pPr>
              <w:cnfStyle w:val="000000000000"/>
            </w:pPr>
            <w:r w:rsidRPr="00C63B8B">
              <w:t>7</w:t>
            </w:r>
          </w:p>
        </w:tc>
        <w:tc>
          <w:tcPr>
            <w:tcW w:w="2667" w:type="dxa"/>
          </w:tcPr>
          <w:p w:rsidR="008F52F9" w:rsidRPr="00C63B8B" w:rsidRDefault="008F52F9" w:rsidP="008F52F9">
            <w:pPr>
              <w:cnfStyle w:val="000000000000"/>
            </w:pPr>
            <w:r w:rsidRPr="00C63B8B">
              <w:t>88</w:t>
            </w:r>
          </w:p>
        </w:tc>
      </w:tr>
      <w:tr w:rsidR="008F52F9" w:rsidRPr="00C63B8B" w:rsidTr="008F52F9">
        <w:tc>
          <w:tcPr>
            <w:cnfStyle w:val="001000000000"/>
            <w:tcW w:w="840" w:type="dxa"/>
          </w:tcPr>
          <w:p w:rsidR="008F52F9" w:rsidRPr="00C63B8B" w:rsidRDefault="008F52F9" w:rsidP="008F52F9">
            <w:r w:rsidRPr="00C63B8B">
              <w:t>2012</w:t>
            </w:r>
          </w:p>
        </w:tc>
        <w:tc>
          <w:tcPr>
            <w:tcW w:w="1708" w:type="dxa"/>
          </w:tcPr>
          <w:p w:rsidR="008F52F9" w:rsidRPr="00C63B8B" w:rsidRDefault="008F52F9" w:rsidP="008F52F9">
            <w:pPr>
              <w:cnfStyle w:val="000000000000"/>
            </w:pPr>
            <w:r w:rsidRPr="00C63B8B">
              <w:t>627</w:t>
            </w:r>
          </w:p>
        </w:tc>
        <w:tc>
          <w:tcPr>
            <w:tcW w:w="2155" w:type="dxa"/>
          </w:tcPr>
          <w:p w:rsidR="008F52F9" w:rsidRPr="00C63B8B" w:rsidRDefault="008F52F9" w:rsidP="008F52F9">
            <w:pPr>
              <w:cnfStyle w:val="000000000000"/>
            </w:pPr>
            <w:r w:rsidRPr="00C63B8B">
              <w:t>13</w:t>
            </w:r>
          </w:p>
        </w:tc>
        <w:tc>
          <w:tcPr>
            <w:tcW w:w="2667" w:type="dxa"/>
          </w:tcPr>
          <w:p w:rsidR="008F52F9" w:rsidRPr="00C63B8B" w:rsidRDefault="008F52F9" w:rsidP="008F52F9">
            <w:pPr>
              <w:cnfStyle w:val="000000000000"/>
            </w:pPr>
            <w:r w:rsidRPr="00C63B8B">
              <w:t>111</w:t>
            </w:r>
          </w:p>
        </w:tc>
      </w:tr>
    </w:tbl>
    <w:p w:rsidR="008F52F9" w:rsidRPr="00C63B8B" w:rsidRDefault="008F52F9" w:rsidP="008F52F9">
      <w:pPr>
        <w:pStyle w:val="SingleTxtGR"/>
        <w:spacing w:before="120" w:line="220" w:lineRule="exact"/>
        <w:ind w:firstLine="170"/>
        <w:rPr>
          <w:iCs/>
          <w:sz w:val="18"/>
          <w:szCs w:val="18"/>
        </w:rPr>
      </w:pPr>
      <w:r w:rsidRPr="00C63B8B">
        <w:rPr>
          <w:i/>
          <w:sz w:val="18"/>
          <w:szCs w:val="18"/>
        </w:rPr>
        <w:t>Источник</w:t>
      </w:r>
      <w:r w:rsidRPr="00C63B8B">
        <w:rPr>
          <w:iCs/>
          <w:sz w:val="18"/>
          <w:szCs w:val="18"/>
        </w:rPr>
        <w:t>: Департамент по вопросам миграции Министерства внутренних дел.</w:t>
      </w:r>
    </w:p>
    <w:p w:rsidR="008F52F9" w:rsidRPr="00C63B8B" w:rsidRDefault="008F52F9" w:rsidP="008F52F9">
      <w:pPr>
        <w:pStyle w:val="SingleTxtGR"/>
      </w:pPr>
      <w:r w:rsidRPr="00C63B8B">
        <w:t>160.</w:t>
      </w:r>
      <w:r w:rsidRPr="00C63B8B">
        <w:tab/>
        <w:t>Поддержка интеграции иностранцев, которым был предоставлен статус беженцев, оказывается в Центре приема беженцев в городе Рукла в соответс</w:t>
      </w:r>
      <w:r w:rsidRPr="00C63B8B">
        <w:t>т</w:t>
      </w:r>
      <w:r w:rsidRPr="00C63B8B">
        <w:t>вии с постановлением № А1-238 Министра социального обеспечения и труда от 21 октября 2004 года, озаглавленным "Об утверждении процедуры оказания г</w:t>
      </w:r>
      <w:r w:rsidRPr="00C63B8B">
        <w:t>о</w:t>
      </w:r>
      <w:r w:rsidRPr="00C63B8B">
        <w:t>сударственной поддержки в интеграции иностранцев, которым было предоста</w:t>
      </w:r>
      <w:r w:rsidRPr="00C63B8B">
        <w:t>в</w:t>
      </w:r>
      <w:r w:rsidRPr="00C63B8B">
        <w:t>лено убежище в Литовской Республике". Правительственная поддержка инт</w:t>
      </w:r>
      <w:r w:rsidRPr="00C63B8B">
        <w:t>е</w:t>
      </w:r>
      <w:r w:rsidRPr="00C63B8B">
        <w:t>грации включает в себя предоставление временного жилья, образование (курсы государственного языка для взрослых, обучение детей на уровнях дошкольного образования и подготовки к школе), обеспечение занятости (помощь в поиске работы, переквалификация и т.д.), социальную защиту и здравоохранение. Т</w:t>
      </w:r>
      <w:r w:rsidRPr="00C63B8B">
        <w:t>а</w:t>
      </w:r>
      <w:r w:rsidRPr="00C63B8B">
        <w:t>кие лица получают социальные, медицинские и юридические услуги первичн</w:t>
      </w:r>
      <w:r w:rsidRPr="00C63B8B">
        <w:t>о</w:t>
      </w:r>
      <w:r w:rsidRPr="00C63B8B">
        <w:t>го уровня; им также предлагаются интенсивные курсы изучения литовского языка, услуги по оценке личных данных в целях трудоустройства, предоста</w:t>
      </w:r>
      <w:r w:rsidRPr="00C63B8B">
        <w:t>в</w:t>
      </w:r>
      <w:r w:rsidRPr="00C63B8B">
        <w:t>ляемые совместно с местными биржами труда и местными службами по пр</w:t>
      </w:r>
      <w:r w:rsidRPr="00C63B8B">
        <w:t>о</w:t>
      </w:r>
      <w:r w:rsidRPr="00C63B8B">
        <w:t>фессиональной подготовке и оказанию консультаций, а также программы пр</w:t>
      </w:r>
      <w:r w:rsidRPr="00C63B8B">
        <w:t>о</w:t>
      </w:r>
      <w:r w:rsidRPr="00C63B8B">
        <w:t>фессионально-технической подготовки и переподготовки и курсы поиска раб</w:t>
      </w:r>
      <w:r w:rsidRPr="00C63B8B">
        <w:t>о</w:t>
      </w:r>
      <w:r w:rsidRPr="00C63B8B">
        <w:t>ты. В период своей интеграции иностранцы, получившие убежище, имеют пр</w:t>
      </w:r>
      <w:r w:rsidRPr="00C63B8B">
        <w:t>а</w:t>
      </w:r>
      <w:r w:rsidRPr="00C63B8B">
        <w:t>во на получение следующих выплат: единовременное подъемное пособие; су</w:t>
      </w:r>
      <w:r w:rsidRPr="00C63B8B">
        <w:t>б</w:t>
      </w:r>
      <w:r w:rsidRPr="00C63B8B">
        <w:t>сидия на жилье (арендная плата и коммунальные услуги); субсидии на удовл</w:t>
      </w:r>
      <w:r w:rsidRPr="00C63B8B">
        <w:t>е</w:t>
      </w:r>
      <w:r w:rsidRPr="00C63B8B">
        <w:t>творение основных потребностей, изучение литовского языка, комп</w:t>
      </w:r>
      <w:r w:rsidR="00351B6A">
        <w:t xml:space="preserve">енсацию </w:t>
      </w:r>
      <w:r w:rsidRPr="00C63B8B">
        <w:t>расходов на обучение детей школьного возраста, а также расходов на дошкол</w:t>
      </w:r>
      <w:r w:rsidRPr="00C63B8B">
        <w:t>ь</w:t>
      </w:r>
      <w:r w:rsidRPr="00C63B8B">
        <w:t>ное образование детей младшего возраста; выплаты на цели медицинского</w:t>
      </w:r>
      <w:r w:rsidR="00351B6A">
        <w:br/>
      </w:r>
      <w:r w:rsidR="00351B6A">
        <w:br w:type="page"/>
      </w:r>
      <w:r w:rsidRPr="00C63B8B">
        <w:t>страхования детей в возрасте до трех лет в том случае, если они не посещают дошкольное образовательное учреждение.</w:t>
      </w:r>
    </w:p>
    <w:p w:rsidR="008F52F9" w:rsidRPr="00C63B8B" w:rsidRDefault="008F52F9" w:rsidP="008F52F9">
      <w:pPr>
        <w:pStyle w:val="SingleTxtGR"/>
      </w:pPr>
      <w:r w:rsidRPr="00C63B8B">
        <w:t>161.</w:t>
      </w:r>
      <w:r w:rsidRPr="00C63B8B">
        <w:tab/>
        <w:t>Поддержка по линии Центра приема беженцев предоставляется в течение срока до восьми месяцев. Если в ходе установленного периода времени ин</w:t>
      </w:r>
      <w:r w:rsidRPr="00C63B8B">
        <w:t>о</w:t>
      </w:r>
      <w:r w:rsidRPr="00C63B8B">
        <w:t>странцу, которому было предоставлено убежище, не удается интегрироваться га территории соответствующего муниципального образования по объективным причинам, этот период может быть продлен на срок до 12 месяцев. Если ин</w:t>
      </w:r>
      <w:r w:rsidRPr="00C63B8B">
        <w:t>о</w:t>
      </w:r>
      <w:r w:rsidRPr="00C63B8B">
        <w:t>странцы, которым было предоставлено убежище, относятся к уязвимым гру</w:t>
      </w:r>
      <w:r w:rsidRPr="00C63B8B">
        <w:t>п</w:t>
      </w:r>
      <w:r w:rsidRPr="00C63B8B">
        <w:t>пам (включая детей без сопровождения взрослых, беременных женщин, жертв пыток, лиц с психическими расстройствами, лиц с расстройствами здоровья, вызывающими длительную нетрудоспособность, и лиц, чьи возможности в плане образования, участия и жизнедеятельности пострадали в результате б</w:t>
      </w:r>
      <w:r w:rsidRPr="00C63B8B">
        <w:t>о</w:t>
      </w:r>
      <w:r w:rsidRPr="00C63B8B">
        <w:t>лезни, травмы, физического ущерба, врожденных или возникших в детском возрасте проблем со здоровьем или негативного воздействия экологических факторов, этот период может быть продлен на срок до 18 месяцев. С учетом и</w:t>
      </w:r>
      <w:r w:rsidRPr="00C63B8B">
        <w:t>н</w:t>
      </w:r>
      <w:r w:rsidRPr="00C63B8B">
        <w:t>тересов ребенка период оказания помощи несовершеннолетним лицам силами Центра может быть продлен до достижения ими возраста 18 лет. После заве</w:t>
      </w:r>
      <w:r w:rsidRPr="00C63B8B">
        <w:t>р</w:t>
      </w:r>
      <w:r w:rsidRPr="00C63B8B">
        <w:t>шения интеграции в рамках Центра дальнейшая поддержка в плане интеграции предоставляется на территории муниципальных образований в течение пери</w:t>
      </w:r>
      <w:r w:rsidRPr="00C63B8B">
        <w:t>о</w:t>
      </w:r>
      <w:r w:rsidRPr="00C63B8B">
        <w:t>да, составляющего до 12 месяцев с момента, когда лица, которым было предо</w:t>
      </w:r>
      <w:r w:rsidRPr="00C63B8B">
        <w:t>с</w:t>
      </w:r>
      <w:r w:rsidRPr="00C63B8B">
        <w:t>тавлено убежище, покидают Центр, но не более, чем на срок действия разреш</w:t>
      </w:r>
      <w:r w:rsidRPr="00C63B8B">
        <w:t>е</w:t>
      </w:r>
      <w:r w:rsidRPr="00C63B8B">
        <w:t>ния на временное проживание в Литве или до момента, когда они покидают Литву. В том случае, если иностранцы принадлежат к одной из уязвимых групп, программа их социальной интеграции на уровне муниципального образования может быть продлена на срок до 60 месяцев.</w:t>
      </w:r>
    </w:p>
    <w:p w:rsidR="008F52F9" w:rsidRPr="00C63B8B" w:rsidRDefault="008F52F9" w:rsidP="008F52F9">
      <w:pPr>
        <w:pStyle w:val="H23GR"/>
        <w:rPr>
          <w:iCs/>
        </w:rPr>
      </w:pPr>
      <w:r w:rsidRPr="00C63B8B">
        <w:tab/>
      </w:r>
      <w:r w:rsidRPr="00C63B8B">
        <w:tab/>
        <w:t>Иностранцы, которым было предоставлено убежище и государственная поддержка в целях интеграции, с разбивкой по странам происхождения</w:t>
      </w:r>
    </w:p>
    <w:tbl>
      <w:tblPr>
        <w:tblStyle w:val="TabNum"/>
        <w:tblW w:w="7370" w:type="dxa"/>
        <w:tblInd w:w="1134" w:type="dxa"/>
        <w:tblLayout w:type="fixed"/>
        <w:tblLook w:val="01E0"/>
      </w:tblPr>
      <w:tblGrid>
        <w:gridCol w:w="2254"/>
        <w:gridCol w:w="963"/>
        <w:gridCol w:w="1315"/>
        <w:gridCol w:w="1314"/>
        <w:gridCol w:w="1524"/>
      </w:tblGrid>
      <w:tr w:rsidR="008F52F9" w:rsidRPr="00C63B8B" w:rsidTr="008F52F9">
        <w:trPr>
          <w:tblHeader/>
        </w:trPr>
        <w:tc>
          <w:tcPr>
            <w:cnfStyle w:val="001000000000"/>
            <w:tcW w:w="2254" w:type="dxa"/>
            <w:vMerge w:val="restart"/>
            <w:shd w:val="clear" w:color="auto" w:fill="auto"/>
          </w:tcPr>
          <w:p w:rsidR="008F52F9" w:rsidRPr="00C63B8B" w:rsidRDefault="008F52F9" w:rsidP="008F52F9">
            <w:pPr>
              <w:spacing w:before="80" w:after="80" w:line="200" w:lineRule="exact"/>
              <w:rPr>
                <w:i/>
                <w:sz w:val="16"/>
              </w:rPr>
            </w:pPr>
            <w:r w:rsidRPr="00C63B8B">
              <w:rPr>
                <w:i/>
                <w:sz w:val="16"/>
              </w:rPr>
              <w:t>Страна происхожд</w:t>
            </w:r>
            <w:r w:rsidRPr="00C63B8B">
              <w:rPr>
                <w:i/>
                <w:sz w:val="16"/>
              </w:rPr>
              <w:t>е</w:t>
            </w:r>
            <w:r w:rsidRPr="00C63B8B">
              <w:rPr>
                <w:i/>
                <w:sz w:val="16"/>
              </w:rPr>
              <w:t>ния</w:t>
            </w:r>
          </w:p>
        </w:tc>
        <w:tc>
          <w:tcPr>
            <w:tcW w:w="5116" w:type="dxa"/>
            <w:gridSpan w:val="4"/>
            <w:tcBorders>
              <w:top w:val="single" w:sz="4" w:space="0" w:color="auto"/>
              <w:bottom w:val="single" w:sz="4"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Число иностранцев, которым была предоставлена государстве</w:t>
            </w:r>
            <w:r w:rsidRPr="00C63B8B">
              <w:rPr>
                <w:i/>
                <w:sz w:val="16"/>
              </w:rPr>
              <w:t>н</w:t>
            </w:r>
            <w:r w:rsidRPr="00C63B8B">
              <w:rPr>
                <w:i/>
                <w:sz w:val="16"/>
              </w:rPr>
              <w:t>ная поддержка в целях интеграции</w:t>
            </w:r>
          </w:p>
        </w:tc>
      </w:tr>
      <w:tr w:rsidR="008F52F9" w:rsidRPr="00C63B8B" w:rsidTr="008F52F9">
        <w:trPr>
          <w:tblHeader/>
        </w:trPr>
        <w:tc>
          <w:tcPr>
            <w:cnfStyle w:val="001000000000"/>
            <w:tcW w:w="2254" w:type="dxa"/>
            <w:vMerge/>
            <w:tcBorders>
              <w:top w:val="nil"/>
              <w:bottom w:val="single" w:sz="12" w:space="0" w:color="auto"/>
            </w:tcBorders>
            <w:shd w:val="clear" w:color="auto" w:fill="auto"/>
          </w:tcPr>
          <w:p w:rsidR="008F52F9" w:rsidRPr="00C63B8B" w:rsidRDefault="008F52F9" w:rsidP="008F52F9">
            <w:pPr>
              <w:spacing w:before="80" w:after="80" w:line="200" w:lineRule="exact"/>
              <w:rPr>
                <w:i/>
                <w:sz w:val="16"/>
              </w:rPr>
            </w:pPr>
          </w:p>
        </w:tc>
        <w:tc>
          <w:tcPr>
            <w:tcW w:w="963"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2009 </w:t>
            </w:r>
          </w:p>
        </w:tc>
        <w:tc>
          <w:tcPr>
            <w:tcW w:w="1315"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2010 </w:t>
            </w:r>
          </w:p>
        </w:tc>
        <w:tc>
          <w:tcPr>
            <w:tcW w:w="1314"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2011 </w:t>
            </w:r>
          </w:p>
        </w:tc>
        <w:tc>
          <w:tcPr>
            <w:tcW w:w="1524"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2012 </w:t>
            </w:r>
          </w:p>
        </w:tc>
      </w:tr>
      <w:tr w:rsidR="008F52F9" w:rsidRPr="00C63B8B" w:rsidTr="008F52F9">
        <w:tc>
          <w:tcPr>
            <w:cnfStyle w:val="001000000000"/>
            <w:tcW w:w="2254" w:type="dxa"/>
            <w:tcBorders>
              <w:top w:val="single" w:sz="12" w:space="0" w:color="auto"/>
            </w:tcBorders>
          </w:tcPr>
          <w:p w:rsidR="008F52F9" w:rsidRPr="00C63B8B" w:rsidRDefault="008F52F9" w:rsidP="008F52F9">
            <w:r w:rsidRPr="00C63B8B">
              <w:t>Афганистан</w:t>
            </w:r>
          </w:p>
        </w:tc>
        <w:tc>
          <w:tcPr>
            <w:tcW w:w="963" w:type="dxa"/>
            <w:tcBorders>
              <w:top w:val="single" w:sz="12" w:space="0" w:color="auto"/>
            </w:tcBorders>
          </w:tcPr>
          <w:p w:rsidR="008F52F9" w:rsidRPr="00C63B8B" w:rsidRDefault="008F52F9" w:rsidP="008F52F9">
            <w:pPr>
              <w:cnfStyle w:val="000000000000"/>
            </w:pPr>
            <w:r w:rsidRPr="00C63B8B">
              <w:t>3</w:t>
            </w:r>
          </w:p>
        </w:tc>
        <w:tc>
          <w:tcPr>
            <w:tcW w:w="1315" w:type="dxa"/>
            <w:tcBorders>
              <w:top w:val="single" w:sz="12" w:space="0" w:color="auto"/>
            </w:tcBorders>
          </w:tcPr>
          <w:p w:rsidR="008F52F9" w:rsidRPr="00C63B8B" w:rsidRDefault="008F52F9" w:rsidP="008F52F9">
            <w:pPr>
              <w:cnfStyle w:val="000000000000"/>
            </w:pPr>
            <w:r w:rsidRPr="00C63B8B">
              <w:t>10</w:t>
            </w:r>
          </w:p>
        </w:tc>
        <w:tc>
          <w:tcPr>
            <w:tcW w:w="1314" w:type="dxa"/>
            <w:tcBorders>
              <w:top w:val="single" w:sz="12" w:space="0" w:color="auto"/>
            </w:tcBorders>
          </w:tcPr>
          <w:p w:rsidR="008F52F9" w:rsidRPr="00C63B8B" w:rsidRDefault="008F52F9" w:rsidP="008F52F9">
            <w:pPr>
              <w:cnfStyle w:val="000000000000"/>
            </w:pPr>
            <w:r w:rsidRPr="00C63B8B">
              <w:t>28</w:t>
            </w:r>
          </w:p>
        </w:tc>
        <w:tc>
          <w:tcPr>
            <w:tcW w:w="1524" w:type="dxa"/>
            <w:tcBorders>
              <w:top w:val="single" w:sz="12" w:space="0" w:color="auto"/>
            </w:tcBorders>
          </w:tcPr>
          <w:p w:rsidR="008F52F9" w:rsidRPr="00C63B8B" w:rsidRDefault="008F52F9" w:rsidP="008F52F9">
            <w:pPr>
              <w:cnfStyle w:val="000000000000"/>
            </w:pPr>
            <w:r w:rsidRPr="00C63B8B">
              <w:t>45</w:t>
            </w:r>
          </w:p>
        </w:tc>
      </w:tr>
      <w:tr w:rsidR="008F52F9" w:rsidRPr="00C63B8B" w:rsidTr="008F52F9">
        <w:tc>
          <w:tcPr>
            <w:cnfStyle w:val="001000000000"/>
            <w:tcW w:w="2254" w:type="dxa"/>
          </w:tcPr>
          <w:p w:rsidR="008F52F9" w:rsidRPr="00C63B8B" w:rsidRDefault="008F52F9" w:rsidP="008F52F9">
            <w:r w:rsidRPr="00C63B8B">
              <w:t>Армения</w:t>
            </w:r>
          </w:p>
        </w:tc>
        <w:tc>
          <w:tcPr>
            <w:tcW w:w="963" w:type="dxa"/>
          </w:tcPr>
          <w:p w:rsidR="008F52F9" w:rsidRPr="00C63B8B" w:rsidRDefault="008F52F9" w:rsidP="008F52F9">
            <w:pPr>
              <w:cnfStyle w:val="000000000000"/>
            </w:pPr>
            <w:r w:rsidRPr="00C63B8B">
              <w:t>2</w:t>
            </w:r>
          </w:p>
        </w:tc>
        <w:tc>
          <w:tcPr>
            <w:tcW w:w="1315" w:type="dxa"/>
          </w:tcPr>
          <w:p w:rsidR="008F52F9" w:rsidRPr="00C63B8B" w:rsidRDefault="008F52F9" w:rsidP="008F52F9">
            <w:pPr>
              <w:cnfStyle w:val="000000000000"/>
            </w:pPr>
            <w:r w:rsidRPr="00C63B8B">
              <w:t>0</w:t>
            </w:r>
          </w:p>
        </w:tc>
        <w:tc>
          <w:tcPr>
            <w:tcW w:w="1314" w:type="dxa"/>
          </w:tcPr>
          <w:p w:rsidR="008F52F9" w:rsidRPr="00C63B8B" w:rsidRDefault="008F52F9" w:rsidP="008F52F9">
            <w:pPr>
              <w:cnfStyle w:val="000000000000"/>
            </w:pPr>
            <w:r w:rsidRPr="00C63B8B">
              <w:t>0</w:t>
            </w:r>
          </w:p>
        </w:tc>
        <w:tc>
          <w:tcPr>
            <w:tcW w:w="1524" w:type="dxa"/>
          </w:tcPr>
          <w:p w:rsidR="008F52F9" w:rsidRPr="00C63B8B" w:rsidRDefault="008F52F9" w:rsidP="008F52F9">
            <w:pPr>
              <w:cnfStyle w:val="000000000000"/>
            </w:pPr>
            <w:r w:rsidRPr="00C63B8B">
              <w:t>0</w:t>
            </w:r>
          </w:p>
        </w:tc>
      </w:tr>
      <w:tr w:rsidR="008F52F9" w:rsidRPr="00C63B8B" w:rsidTr="008F52F9">
        <w:tc>
          <w:tcPr>
            <w:cnfStyle w:val="001000000000"/>
            <w:tcW w:w="2254" w:type="dxa"/>
          </w:tcPr>
          <w:p w:rsidR="008F52F9" w:rsidRPr="00C63B8B" w:rsidRDefault="008F52F9" w:rsidP="008F52F9">
            <w:r w:rsidRPr="00C63B8B">
              <w:t>Беларусь</w:t>
            </w:r>
          </w:p>
        </w:tc>
        <w:tc>
          <w:tcPr>
            <w:tcW w:w="963" w:type="dxa"/>
          </w:tcPr>
          <w:p w:rsidR="008F52F9" w:rsidRPr="00C63B8B" w:rsidRDefault="008F52F9" w:rsidP="008F52F9">
            <w:pPr>
              <w:cnfStyle w:val="000000000000"/>
            </w:pPr>
            <w:r w:rsidRPr="00C63B8B">
              <w:t>1</w:t>
            </w:r>
          </w:p>
        </w:tc>
        <w:tc>
          <w:tcPr>
            <w:tcW w:w="1315" w:type="dxa"/>
          </w:tcPr>
          <w:p w:rsidR="008F52F9" w:rsidRPr="00C63B8B" w:rsidRDefault="008F52F9" w:rsidP="008F52F9">
            <w:pPr>
              <w:cnfStyle w:val="000000000000"/>
            </w:pPr>
            <w:r w:rsidRPr="00C63B8B">
              <w:t>0</w:t>
            </w:r>
          </w:p>
        </w:tc>
        <w:tc>
          <w:tcPr>
            <w:tcW w:w="1314" w:type="dxa"/>
          </w:tcPr>
          <w:p w:rsidR="008F52F9" w:rsidRPr="00C63B8B" w:rsidRDefault="008F52F9" w:rsidP="008F52F9">
            <w:pPr>
              <w:cnfStyle w:val="000000000000"/>
            </w:pPr>
            <w:r w:rsidRPr="00C63B8B">
              <w:t>1</w:t>
            </w:r>
          </w:p>
        </w:tc>
        <w:tc>
          <w:tcPr>
            <w:tcW w:w="1524" w:type="dxa"/>
          </w:tcPr>
          <w:p w:rsidR="008F52F9" w:rsidRPr="00C63B8B" w:rsidRDefault="008F52F9" w:rsidP="008F52F9">
            <w:pPr>
              <w:cnfStyle w:val="000000000000"/>
            </w:pPr>
            <w:r w:rsidRPr="00C63B8B">
              <w:t>82</w:t>
            </w:r>
          </w:p>
        </w:tc>
      </w:tr>
      <w:tr w:rsidR="008F52F9" w:rsidRPr="00C63B8B" w:rsidTr="008F52F9">
        <w:tc>
          <w:tcPr>
            <w:cnfStyle w:val="001000000000"/>
            <w:tcW w:w="2254" w:type="dxa"/>
          </w:tcPr>
          <w:p w:rsidR="008F52F9" w:rsidRPr="00C63B8B" w:rsidRDefault="008F52F9" w:rsidP="008F52F9">
            <w:r w:rsidRPr="00C63B8B">
              <w:t>Грузия</w:t>
            </w:r>
          </w:p>
        </w:tc>
        <w:tc>
          <w:tcPr>
            <w:tcW w:w="963" w:type="dxa"/>
          </w:tcPr>
          <w:p w:rsidR="008F52F9" w:rsidRPr="00C63B8B" w:rsidRDefault="008F52F9" w:rsidP="008F52F9">
            <w:pPr>
              <w:cnfStyle w:val="000000000000"/>
            </w:pPr>
            <w:r w:rsidRPr="00C63B8B">
              <w:t>1</w:t>
            </w:r>
          </w:p>
        </w:tc>
        <w:tc>
          <w:tcPr>
            <w:tcW w:w="1315" w:type="dxa"/>
          </w:tcPr>
          <w:p w:rsidR="008F52F9" w:rsidRPr="00C63B8B" w:rsidRDefault="008F52F9" w:rsidP="008F52F9">
            <w:pPr>
              <w:cnfStyle w:val="000000000000"/>
            </w:pPr>
            <w:r w:rsidRPr="00C63B8B">
              <w:t>2</w:t>
            </w:r>
          </w:p>
        </w:tc>
        <w:tc>
          <w:tcPr>
            <w:tcW w:w="1314" w:type="dxa"/>
          </w:tcPr>
          <w:p w:rsidR="008F52F9" w:rsidRPr="00C63B8B" w:rsidRDefault="008F52F9" w:rsidP="008F52F9">
            <w:pPr>
              <w:cnfStyle w:val="000000000000"/>
            </w:pPr>
            <w:r w:rsidRPr="00C63B8B">
              <w:t>1</w:t>
            </w:r>
          </w:p>
        </w:tc>
        <w:tc>
          <w:tcPr>
            <w:tcW w:w="1524" w:type="dxa"/>
          </w:tcPr>
          <w:p w:rsidR="008F52F9" w:rsidRPr="00C63B8B" w:rsidRDefault="008F52F9" w:rsidP="008F52F9">
            <w:pPr>
              <w:cnfStyle w:val="000000000000"/>
            </w:pPr>
            <w:r w:rsidRPr="00C63B8B">
              <w:t>1</w:t>
            </w:r>
          </w:p>
        </w:tc>
      </w:tr>
      <w:tr w:rsidR="008F52F9" w:rsidRPr="00C63B8B" w:rsidTr="008F52F9">
        <w:tc>
          <w:tcPr>
            <w:cnfStyle w:val="001000000000"/>
            <w:tcW w:w="2254" w:type="dxa"/>
          </w:tcPr>
          <w:p w:rsidR="008F52F9" w:rsidRPr="00C63B8B" w:rsidRDefault="008F52F9" w:rsidP="008F52F9">
            <w:r w:rsidRPr="00C63B8B">
              <w:t>Непал</w:t>
            </w:r>
          </w:p>
        </w:tc>
        <w:tc>
          <w:tcPr>
            <w:tcW w:w="963" w:type="dxa"/>
          </w:tcPr>
          <w:p w:rsidR="008F52F9" w:rsidRPr="00C63B8B" w:rsidRDefault="008F52F9" w:rsidP="008F52F9">
            <w:pPr>
              <w:cnfStyle w:val="000000000000"/>
            </w:pPr>
            <w:r w:rsidRPr="00C63B8B">
              <w:t>2</w:t>
            </w:r>
          </w:p>
        </w:tc>
        <w:tc>
          <w:tcPr>
            <w:tcW w:w="1315" w:type="dxa"/>
          </w:tcPr>
          <w:p w:rsidR="008F52F9" w:rsidRPr="00C63B8B" w:rsidRDefault="008F52F9" w:rsidP="008F52F9">
            <w:pPr>
              <w:cnfStyle w:val="000000000000"/>
            </w:pPr>
            <w:r w:rsidRPr="00C63B8B">
              <w:t>1</w:t>
            </w:r>
          </w:p>
        </w:tc>
        <w:tc>
          <w:tcPr>
            <w:tcW w:w="1314" w:type="dxa"/>
          </w:tcPr>
          <w:p w:rsidR="008F52F9" w:rsidRPr="00C63B8B" w:rsidRDefault="008F52F9" w:rsidP="008F52F9">
            <w:pPr>
              <w:cnfStyle w:val="000000000000"/>
            </w:pPr>
            <w:r w:rsidRPr="00C63B8B">
              <w:t>0</w:t>
            </w:r>
          </w:p>
        </w:tc>
        <w:tc>
          <w:tcPr>
            <w:tcW w:w="1524" w:type="dxa"/>
          </w:tcPr>
          <w:p w:rsidR="008F52F9" w:rsidRPr="00C63B8B" w:rsidRDefault="008F52F9" w:rsidP="008F52F9">
            <w:pPr>
              <w:cnfStyle w:val="000000000000"/>
            </w:pPr>
            <w:r w:rsidRPr="00C63B8B">
              <w:t>0</w:t>
            </w:r>
          </w:p>
        </w:tc>
      </w:tr>
      <w:tr w:rsidR="008F52F9" w:rsidRPr="00C63B8B" w:rsidTr="008F52F9">
        <w:tc>
          <w:tcPr>
            <w:cnfStyle w:val="001000000000"/>
            <w:tcW w:w="2254" w:type="dxa"/>
          </w:tcPr>
          <w:p w:rsidR="008F52F9" w:rsidRPr="00C63B8B" w:rsidRDefault="008F52F9" w:rsidP="008F52F9">
            <w:r w:rsidRPr="00C63B8B">
              <w:t>Нигерия</w:t>
            </w:r>
          </w:p>
        </w:tc>
        <w:tc>
          <w:tcPr>
            <w:tcW w:w="963" w:type="dxa"/>
          </w:tcPr>
          <w:p w:rsidR="008F52F9" w:rsidRPr="00C63B8B" w:rsidRDefault="008F52F9" w:rsidP="008F52F9">
            <w:pPr>
              <w:cnfStyle w:val="000000000000"/>
            </w:pPr>
            <w:r w:rsidRPr="00C63B8B">
              <w:t>1</w:t>
            </w:r>
          </w:p>
        </w:tc>
        <w:tc>
          <w:tcPr>
            <w:tcW w:w="1315" w:type="dxa"/>
          </w:tcPr>
          <w:p w:rsidR="008F52F9" w:rsidRPr="00C63B8B" w:rsidRDefault="008F52F9" w:rsidP="008F52F9">
            <w:pPr>
              <w:cnfStyle w:val="000000000000"/>
            </w:pPr>
            <w:r w:rsidRPr="00C63B8B">
              <w:t>0</w:t>
            </w:r>
          </w:p>
        </w:tc>
        <w:tc>
          <w:tcPr>
            <w:tcW w:w="1314" w:type="dxa"/>
          </w:tcPr>
          <w:p w:rsidR="008F52F9" w:rsidRPr="00C63B8B" w:rsidRDefault="008F52F9" w:rsidP="008F52F9">
            <w:pPr>
              <w:cnfStyle w:val="000000000000"/>
            </w:pPr>
            <w:r w:rsidRPr="00C63B8B">
              <w:t>0</w:t>
            </w:r>
          </w:p>
        </w:tc>
        <w:tc>
          <w:tcPr>
            <w:tcW w:w="1524" w:type="dxa"/>
          </w:tcPr>
          <w:p w:rsidR="008F52F9" w:rsidRPr="00C63B8B" w:rsidRDefault="008F52F9" w:rsidP="008F52F9">
            <w:pPr>
              <w:cnfStyle w:val="000000000000"/>
            </w:pPr>
            <w:r w:rsidRPr="00C63B8B">
              <w:t>0</w:t>
            </w:r>
          </w:p>
        </w:tc>
      </w:tr>
      <w:tr w:rsidR="008F52F9" w:rsidRPr="00C63B8B" w:rsidTr="008F52F9">
        <w:tc>
          <w:tcPr>
            <w:cnfStyle w:val="001000000000"/>
            <w:tcW w:w="2254" w:type="dxa"/>
          </w:tcPr>
          <w:p w:rsidR="008F52F9" w:rsidRPr="00C63B8B" w:rsidRDefault="008F52F9" w:rsidP="008F52F9">
            <w:r w:rsidRPr="00C63B8B">
              <w:t>Пакистан</w:t>
            </w:r>
          </w:p>
        </w:tc>
        <w:tc>
          <w:tcPr>
            <w:tcW w:w="963" w:type="dxa"/>
          </w:tcPr>
          <w:p w:rsidR="008F52F9" w:rsidRPr="00C63B8B" w:rsidRDefault="008F52F9" w:rsidP="008F52F9">
            <w:pPr>
              <w:cnfStyle w:val="000000000000"/>
            </w:pPr>
            <w:r w:rsidRPr="00C63B8B">
              <w:t>0</w:t>
            </w:r>
          </w:p>
        </w:tc>
        <w:tc>
          <w:tcPr>
            <w:tcW w:w="1315" w:type="dxa"/>
          </w:tcPr>
          <w:p w:rsidR="008F52F9" w:rsidRPr="00C63B8B" w:rsidRDefault="008F52F9" w:rsidP="008F52F9">
            <w:pPr>
              <w:cnfStyle w:val="000000000000"/>
            </w:pPr>
            <w:r w:rsidRPr="00C63B8B">
              <w:t>1</w:t>
            </w:r>
          </w:p>
        </w:tc>
        <w:tc>
          <w:tcPr>
            <w:tcW w:w="1314" w:type="dxa"/>
          </w:tcPr>
          <w:p w:rsidR="008F52F9" w:rsidRPr="00C63B8B" w:rsidRDefault="008F52F9" w:rsidP="008F52F9">
            <w:pPr>
              <w:cnfStyle w:val="000000000000"/>
            </w:pPr>
            <w:r w:rsidRPr="00C63B8B">
              <w:t>0</w:t>
            </w:r>
          </w:p>
        </w:tc>
        <w:tc>
          <w:tcPr>
            <w:tcW w:w="1524" w:type="dxa"/>
          </w:tcPr>
          <w:p w:rsidR="008F52F9" w:rsidRPr="00C63B8B" w:rsidRDefault="008F52F9" w:rsidP="008F52F9">
            <w:pPr>
              <w:cnfStyle w:val="000000000000"/>
            </w:pPr>
            <w:r w:rsidRPr="00C63B8B">
              <w:t>3</w:t>
            </w:r>
          </w:p>
        </w:tc>
      </w:tr>
      <w:tr w:rsidR="008F52F9" w:rsidRPr="00C63B8B" w:rsidTr="008F52F9">
        <w:tc>
          <w:tcPr>
            <w:cnfStyle w:val="001000000000"/>
            <w:tcW w:w="2254" w:type="dxa"/>
          </w:tcPr>
          <w:p w:rsidR="008F52F9" w:rsidRPr="00C63B8B" w:rsidRDefault="008F52F9" w:rsidP="008F52F9">
            <w:r w:rsidRPr="00C63B8B">
              <w:t>Российская Федер</w:t>
            </w:r>
            <w:r w:rsidRPr="00C63B8B">
              <w:t>а</w:t>
            </w:r>
            <w:r w:rsidRPr="00C63B8B">
              <w:t>ция</w:t>
            </w:r>
          </w:p>
        </w:tc>
        <w:tc>
          <w:tcPr>
            <w:tcW w:w="963" w:type="dxa"/>
          </w:tcPr>
          <w:p w:rsidR="008F52F9" w:rsidRPr="00C63B8B" w:rsidRDefault="008F52F9" w:rsidP="008F52F9">
            <w:pPr>
              <w:cnfStyle w:val="000000000000"/>
            </w:pPr>
            <w:r w:rsidRPr="00C63B8B">
              <w:t>25</w:t>
            </w:r>
          </w:p>
        </w:tc>
        <w:tc>
          <w:tcPr>
            <w:tcW w:w="1315" w:type="dxa"/>
          </w:tcPr>
          <w:p w:rsidR="008F52F9" w:rsidRPr="00C63B8B" w:rsidRDefault="008F52F9" w:rsidP="008F52F9">
            <w:pPr>
              <w:cnfStyle w:val="000000000000"/>
            </w:pPr>
            <w:r w:rsidRPr="00C63B8B">
              <w:t>1</w:t>
            </w:r>
          </w:p>
        </w:tc>
        <w:tc>
          <w:tcPr>
            <w:tcW w:w="1314" w:type="dxa"/>
          </w:tcPr>
          <w:p w:rsidR="008F52F9" w:rsidRPr="00C63B8B" w:rsidRDefault="008F52F9" w:rsidP="008F52F9">
            <w:pPr>
              <w:cnfStyle w:val="000000000000"/>
            </w:pPr>
            <w:r w:rsidRPr="00C63B8B">
              <w:t>15</w:t>
            </w:r>
          </w:p>
        </w:tc>
        <w:tc>
          <w:tcPr>
            <w:tcW w:w="1524" w:type="dxa"/>
          </w:tcPr>
          <w:p w:rsidR="008F52F9" w:rsidRPr="00C63B8B" w:rsidRDefault="008F52F9" w:rsidP="008F52F9">
            <w:pPr>
              <w:cnfStyle w:val="000000000000"/>
            </w:pPr>
            <w:r w:rsidRPr="00C63B8B">
              <w:t>13</w:t>
            </w:r>
          </w:p>
        </w:tc>
      </w:tr>
      <w:tr w:rsidR="008F52F9" w:rsidRPr="00C63B8B" w:rsidTr="008F52F9">
        <w:tc>
          <w:tcPr>
            <w:cnfStyle w:val="001000000000"/>
            <w:tcW w:w="2254" w:type="dxa"/>
          </w:tcPr>
          <w:p w:rsidR="008F52F9" w:rsidRPr="00C63B8B" w:rsidRDefault="008F52F9" w:rsidP="008F52F9">
            <w:r w:rsidRPr="00C63B8B">
              <w:t>Шри-Ланка</w:t>
            </w:r>
          </w:p>
        </w:tc>
        <w:tc>
          <w:tcPr>
            <w:tcW w:w="963" w:type="dxa"/>
          </w:tcPr>
          <w:p w:rsidR="008F52F9" w:rsidRPr="00C63B8B" w:rsidRDefault="008F52F9" w:rsidP="008F52F9">
            <w:pPr>
              <w:cnfStyle w:val="000000000000"/>
            </w:pPr>
            <w:r w:rsidRPr="00C63B8B">
              <w:t>6</w:t>
            </w:r>
          </w:p>
        </w:tc>
        <w:tc>
          <w:tcPr>
            <w:tcW w:w="1315" w:type="dxa"/>
          </w:tcPr>
          <w:p w:rsidR="008F52F9" w:rsidRPr="00C63B8B" w:rsidRDefault="008F52F9" w:rsidP="008F52F9">
            <w:pPr>
              <w:cnfStyle w:val="000000000000"/>
            </w:pPr>
            <w:r w:rsidRPr="00C63B8B">
              <w:t>0</w:t>
            </w:r>
          </w:p>
        </w:tc>
        <w:tc>
          <w:tcPr>
            <w:tcW w:w="1314" w:type="dxa"/>
          </w:tcPr>
          <w:p w:rsidR="008F52F9" w:rsidRPr="00C63B8B" w:rsidRDefault="008F52F9" w:rsidP="008F52F9">
            <w:pPr>
              <w:cnfStyle w:val="000000000000"/>
            </w:pPr>
            <w:r w:rsidRPr="00C63B8B">
              <w:t>0</w:t>
            </w:r>
          </w:p>
        </w:tc>
        <w:tc>
          <w:tcPr>
            <w:tcW w:w="1524" w:type="dxa"/>
          </w:tcPr>
          <w:p w:rsidR="008F52F9" w:rsidRPr="00C63B8B" w:rsidRDefault="008F52F9" w:rsidP="008F52F9">
            <w:pPr>
              <w:cnfStyle w:val="000000000000"/>
            </w:pPr>
            <w:r w:rsidRPr="00C63B8B">
              <w:t>0</w:t>
            </w:r>
          </w:p>
        </w:tc>
      </w:tr>
      <w:tr w:rsidR="008F52F9" w:rsidRPr="00C63B8B" w:rsidTr="008F52F9">
        <w:tc>
          <w:tcPr>
            <w:cnfStyle w:val="001000000000"/>
            <w:tcW w:w="2254" w:type="dxa"/>
          </w:tcPr>
          <w:p w:rsidR="008F52F9" w:rsidRPr="00C63B8B" w:rsidRDefault="008F52F9" w:rsidP="008F52F9">
            <w:r w:rsidRPr="00C63B8B">
              <w:t>Вьетнам</w:t>
            </w:r>
          </w:p>
        </w:tc>
        <w:tc>
          <w:tcPr>
            <w:tcW w:w="963" w:type="dxa"/>
            <w:tcBorders>
              <w:bottom w:val="nil"/>
            </w:tcBorders>
          </w:tcPr>
          <w:p w:rsidR="008F52F9" w:rsidRPr="00C63B8B" w:rsidRDefault="008F52F9" w:rsidP="008F52F9">
            <w:pPr>
              <w:cnfStyle w:val="000000000000"/>
            </w:pPr>
            <w:r w:rsidRPr="00C63B8B">
              <w:t>1</w:t>
            </w:r>
          </w:p>
        </w:tc>
        <w:tc>
          <w:tcPr>
            <w:tcW w:w="1315" w:type="dxa"/>
            <w:tcBorders>
              <w:bottom w:val="nil"/>
            </w:tcBorders>
          </w:tcPr>
          <w:p w:rsidR="008F52F9" w:rsidRPr="00C63B8B" w:rsidRDefault="008F52F9" w:rsidP="008F52F9">
            <w:pPr>
              <w:cnfStyle w:val="000000000000"/>
            </w:pPr>
            <w:r w:rsidRPr="00C63B8B">
              <w:t>3</w:t>
            </w:r>
          </w:p>
        </w:tc>
        <w:tc>
          <w:tcPr>
            <w:tcW w:w="1314" w:type="dxa"/>
            <w:tcBorders>
              <w:bottom w:val="nil"/>
            </w:tcBorders>
          </w:tcPr>
          <w:p w:rsidR="008F52F9" w:rsidRPr="00C63B8B" w:rsidRDefault="008F52F9" w:rsidP="008F52F9">
            <w:pPr>
              <w:cnfStyle w:val="000000000000"/>
            </w:pPr>
            <w:r w:rsidRPr="00C63B8B">
              <w:t>0</w:t>
            </w:r>
          </w:p>
        </w:tc>
        <w:tc>
          <w:tcPr>
            <w:tcW w:w="1524" w:type="dxa"/>
            <w:tcBorders>
              <w:bottom w:val="nil"/>
            </w:tcBorders>
          </w:tcPr>
          <w:p w:rsidR="008F52F9" w:rsidRPr="00C63B8B" w:rsidRDefault="008F52F9" w:rsidP="008F52F9">
            <w:pPr>
              <w:cnfStyle w:val="000000000000"/>
            </w:pPr>
            <w:r w:rsidRPr="00C63B8B">
              <w:t>2</w:t>
            </w:r>
          </w:p>
        </w:tc>
      </w:tr>
      <w:tr w:rsidR="008F52F9" w:rsidRPr="00C63B8B" w:rsidTr="008F52F9">
        <w:tc>
          <w:tcPr>
            <w:cnfStyle w:val="001000000000"/>
            <w:tcW w:w="2254" w:type="dxa"/>
          </w:tcPr>
          <w:p w:rsidR="008F52F9" w:rsidRPr="00C63B8B" w:rsidRDefault="008F52F9" w:rsidP="008F52F9">
            <w:r w:rsidRPr="00C63B8B">
              <w:t>Таджикистан</w:t>
            </w:r>
          </w:p>
        </w:tc>
        <w:tc>
          <w:tcPr>
            <w:tcW w:w="963" w:type="dxa"/>
            <w:tcBorders>
              <w:top w:val="nil"/>
              <w:bottom w:val="nil"/>
            </w:tcBorders>
          </w:tcPr>
          <w:p w:rsidR="008F52F9" w:rsidRPr="00C63B8B" w:rsidRDefault="008F52F9" w:rsidP="008F52F9">
            <w:pPr>
              <w:cnfStyle w:val="000000000000"/>
            </w:pPr>
            <w:r w:rsidRPr="00C63B8B">
              <w:t>0</w:t>
            </w:r>
          </w:p>
        </w:tc>
        <w:tc>
          <w:tcPr>
            <w:tcW w:w="1315" w:type="dxa"/>
            <w:tcBorders>
              <w:top w:val="nil"/>
              <w:bottom w:val="nil"/>
            </w:tcBorders>
          </w:tcPr>
          <w:p w:rsidR="008F52F9" w:rsidRPr="00C63B8B" w:rsidRDefault="008F52F9" w:rsidP="008F52F9">
            <w:pPr>
              <w:cnfStyle w:val="000000000000"/>
            </w:pPr>
            <w:r w:rsidRPr="00C63B8B">
              <w:t>0</w:t>
            </w:r>
          </w:p>
        </w:tc>
        <w:tc>
          <w:tcPr>
            <w:tcW w:w="1314" w:type="dxa"/>
            <w:tcBorders>
              <w:top w:val="nil"/>
              <w:bottom w:val="nil"/>
            </w:tcBorders>
          </w:tcPr>
          <w:p w:rsidR="008F52F9" w:rsidRPr="00C63B8B" w:rsidRDefault="008F52F9" w:rsidP="008F52F9">
            <w:pPr>
              <w:cnfStyle w:val="000000000000"/>
            </w:pPr>
            <w:r w:rsidRPr="00C63B8B">
              <w:t>1</w:t>
            </w:r>
          </w:p>
        </w:tc>
        <w:tc>
          <w:tcPr>
            <w:tcW w:w="1524" w:type="dxa"/>
            <w:tcBorders>
              <w:top w:val="nil"/>
              <w:bottom w:val="nil"/>
            </w:tcBorders>
          </w:tcPr>
          <w:p w:rsidR="008F52F9" w:rsidRPr="00C63B8B" w:rsidRDefault="008F52F9" w:rsidP="008F52F9">
            <w:pPr>
              <w:cnfStyle w:val="000000000000"/>
            </w:pPr>
            <w:r w:rsidRPr="00C63B8B">
              <w:t>10</w:t>
            </w:r>
          </w:p>
        </w:tc>
      </w:tr>
      <w:tr w:rsidR="008F52F9" w:rsidRPr="00C63B8B" w:rsidTr="008F52F9">
        <w:tc>
          <w:tcPr>
            <w:cnfStyle w:val="001000000000"/>
            <w:tcW w:w="2254" w:type="dxa"/>
          </w:tcPr>
          <w:p w:rsidR="008F52F9" w:rsidRPr="00C63B8B" w:rsidRDefault="008F52F9" w:rsidP="008F52F9">
            <w:r w:rsidRPr="00C63B8B">
              <w:t>Эритрея</w:t>
            </w:r>
          </w:p>
        </w:tc>
        <w:tc>
          <w:tcPr>
            <w:tcW w:w="963" w:type="dxa"/>
            <w:tcBorders>
              <w:top w:val="nil"/>
              <w:bottom w:val="nil"/>
            </w:tcBorders>
          </w:tcPr>
          <w:p w:rsidR="008F52F9" w:rsidRPr="00C63B8B" w:rsidRDefault="008F52F9" w:rsidP="008F52F9">
            <w:pPr>
              <w:cnfStyle w:val="000000000000"/>
            </w:pPr>
            <w:r w:rsidRPr="00C63B8B">
              <w:t>0</w:t>
            </w:r>
          </w:p>
        </w:tc>
        <w:tc>
          <w:tcPr>
            <w:tcW w:w="1315" w:type="dxa"/>
            <w:tcBorders>
              <w:top w:val="nil"/>
              <w:bottom w:val="nil"/>
            </w:tcBorders>
          </w:tcPr>
          <w:p w:rsidR="008F52F9" w:rsidRPr="00C63B8B" w:rsidRDefault="008F52F9" w:rsidP="008F52F9">
            <w:pPr>
              <w:cnfStyle w:val="000000000000"/>
            </w:pPr>
            <w:r w:rsidRPr="00C63B8B">
              <w:t>0</w:t>
            </w:r>
          </w:p>
        </w:tc>
        <w:tc>
          <w:tcPr>
            <w:tcW w:w="1314" w:type="dxa"/>
            <w:tcBorders>
              <w:top w:val="nil"/>
              <w:bottom w:val="nil"/>
            </w:tcBorders>
          </w:tcPr>
          <w:p w:rsidR="008F52F9" w:rsidRPr="00C63B8B" w:rsidRDefault="008F52F9" w:rsidP="008F52F9">
            <w:pPr>
              <w:cnfStyle w:val="000000000000"/>
            </w:pPr>
            <w:r w:rsidRPr="00C63B8B">
              <w:t>0</w:t>
            </w:r>
          </w:p>
        </w:tc>
        <w:tc>
          <w:tcPr>
            <w:tcW w:w="1524" w:type="dxa"/>
            <w:tcBorders>
              <w:top w:val="nil"/>
              <w:bottom w:val="nil"/>
            </w:tcBorders>
          </w:tcPr>
          <w:p w:rsidR="008F52F9" w:rsidRPr="00C63B8B" w:rsidRDefault="008F52F9" w:rsidP="008F52F9">
            <w:pPr>
              <w:cnfStyle w:val="000000000000"/>
            </w:pPr>
            <w:r w:rsidRPr="00C63B8B">
              <w:t>5</w:t>
            </w:r>
          </w:p>
        </w:tc>
      </w:tr>
      <w:tr w:rsidR="008F52F9" w:rsidRPr="00C63B8B" w:rsidTr="008F52F9">
        <w:tc>
          <w:tcPr>
            <w:cnfStyle w:val="001000000000"/>
            <w:tcW w:w="2254" w:type="dxa"/>
          </w:tcPr>
          <w:p w:rsidR="008F52F9" w:rsidRPr="00C63B8B" w:rsidRDefault="008F52F9" w:rsidP="008F52F9">
            <w:r w:rsidRPr="00C63B8B">
              <w:t>Апатриды</w:t>
            </w:r>
          </w:p>
        </w:tc>
        <w:tc>
          <w:tcPr>
            <w:tcW w:w="963" w:type="dxa"/>
            <w:tcBorders>
              <w:top w:val="nil"/>
              <w:bottom w:val="nil"/>
            </w:tcBorders>
          </w:tcPr>
          <w:p w:rsidR="008F52F9" w:rsidRPr="00C63B8B" w:rsidRDefault="008F52F9" w:rsidP="008F52F9">
            <w:pPr>
              <w:cnfStyle w:val="000000000000"/>
            </w:pPr>
            <w:r w:rsidRPr="00C63B8B">
              <w:t>0</w:t>
            </w:r>
          </w:p>
        </w:tc>
        <w:tc>
          <w:tcPr>
            <w:tcW w:w="1315" w:type="dxa"/>
            <w:tcBorders>
              <w:top w:val="nil"/>
              <w:bottom w:val="nil"/>
            </w:tcBorders>
          </w:tcPr>
          <w:p w:rsidR="008F52F9" w:rsidRPr="00C63B8B" w:rsidRDefault="008F52F9" w:rsidP="008F52F9">
            <w:pPr>
              <w:cnfStyle w:val="000000000000"/>
            </w:pPr>
            <w:r w:rsidRPr="00C63B8B">
              <w:t>0</w:t>
            </w:r>
          </w:p>
        </w:tc>
        <w:tc>
          <w:tcPr>
            <w:tcW w:w="1314" w:type="dxa"/>
            <w:tcBorders>
              <w:top w:val="nil"/>
              <w:bottom w:val="nil"/>
            </w:tcBorders>
          </w:tcPr>
          <w:p w:rsidR="008F52F9" w:rsidRPr="00C63B8B" w:rsidRDefault="008F52F9" w:rsidP="008F52F9">
            <w:pPr>
              <w:cnfStyle w:val="000000000000"/>
            </w:pPr>
            <w:r w:rsidRPr="00C63B8B">
              <w:t>0</w:t>
            </w:r>
          </w:p>
        </w:tc>
        <w:tc>
          <w:tcPr>
            <w:tcW w:w="1524" w:type="dxa"/>
            <w:tcBorders>
              <w:top w:val="nil"/>
              <w:bottom w:val="nil"/>
            </w:tcBorders>
          </w:tcPr>
          <w:p w:rsidR="008F52F9" w:rsidRPr="00C63B8B" w:rsidRDefault="008F52F9" w:rsidP="008F52F9">
            <w:pPr>
              <w:cnfStyle w:val="000000000000"/>
            </w:pPr>
            <w:r w:rsidRPr="00C63B8B">
              <w:t>2</w:t>
            </w:r>
          </w:p>
        </w:tc>
      </w:tr>
      <w:tr w:rsidR="008F52F9" w:rsidRPr="00C63B8B" w:rsidTr="00CE1A87">
        <w:tc>
          <w:tcPr>
            <w:cnfStyle w:val="001000000000"/>
            <w:tcW w:w="2254" w:type="dxa"/>
          </w:tcPr>
          <w:p w:rsidR="008F52F9" w:rsidRPr="00C63B8B" w:rsidRDefault="008F52F9" w:rsidP="008F52F9">
            <w:r w:rsidRPr="00C63B8B">
              <w:t>Украина</w:t>
            </w:r>
          </w:p>
        </w:tc>
        <w:tc>
          <w:tcPr>
            <w:tcW w:w="963" w:type="dxa"/>
            <w:tcBorders>
              <w:top w:val="nil"/>
              <w:bottom w:val="nil"/>
            </w:tcBorders>
          </w:tcPr>
          <w:p w:rsidR="008F52F9" w:rsidRPr="00C63B8B" w:rsidRDefault="008F52F9" w:rsidP="008F52F9">
            <w:pPr>
              <w:cnfStyle w:val="000000000000"/>
            </w:pPr>
            <w:r w:rsidRPr="00C63B8B">
              <w:t>0</w:t>
            </w:r>
          </w:p>
        </w:tc>
        <w:tc>
          <w:tcPr>
            <w:tcW w:w="1315" w:type="dxa"/>
            <w:tcBorders>
              <w:top w:val="nil"/>
              <w:bottom w:val="nil"/>
            </w:tcBorders>
          </w:tcPr>
          <w:p w:rsidR="008F52F9" w:rsidRPr="00C63B8B" w:rsidRDefault="008F52F9" w:rsidP="008F52F9">
            <w:pPr>
              <w:cnfStyle w:val="000000000000"/>
            </w:pPr>
            <w:r w:rsidRPr="00C63B8B">
              <w:t>0</w:t>
            </w:r>
          </w:p>
        </w:tc>
        <w:tc>
          <w:tcPr>
            <w:tcW w:w="1314" w:type="dxa"/>
            <w:tcBorders>
              <w:top w:val="nil"/>
              <w:bottom w:val="nil"/>
            </w:tcBorders>
          </w:tcPr>
          <w:p w:rsidR="008F52F9" w:rsidRPr="00C63B8B" w:rsidRDefault="008F52F9" w:rsidP="008F52F9">
            <w:pPr>
              <w:cnfStyle w:val="000000000000"/>
            </w:pPr>
            <w:r w:rsidRPr="00C63B8B">
              <w:t>0</w:t>
            </w:r>
          </w:p>
        </w:tc>
        <w:tc>
          <w:tcPr>
            <w:tcW w:w="1524" w:type="dxa"/>
            <w:tcBorders>
              <w:top w:val="nil"/>
              <w:bottom w:val="nil"/>
            </w:tcBorders>
          </w:tcPr>
          <w:p w:rsidR="008F52F9" w:rsidRPr="00C63B8B" w:rsidRDefault="008F52F9" w:rsidP="008F52F9">
            <w:pPr>
              <w:cnfStyle w:val="000000000000"/>
            </w:pPr>
            <w:r w:rsidRPr="00C63B8B">
              <w:t>1</w:t>
            </w:r>
          </w:p>
        </w:tc>
      </w:tr>
      <w:tr w:rsidR="008F52F9" w:rsidRPr="00C63B8B" w:rsidTr="00CE1A87">
        <w:tc>
          <w:tcPr>
            <w:cnfStyle w:val="001000000000"/>
            <w:tcW w:w="2254" w:type="dxa"/>
          </w:tcPr>
          <w:p w:rsidR="008F52F9" w:rsidRPr="00C63B8B" w:rsidRDefault="008F52F9" w:rsidP="008F52F9">
            <w:r w:rsidRPr="00C63B8B">
              <w:t>Ирак</w:t>
            </w:r>
          </w:p>
        </w:tc>
        <w:tc>
          <w:tcPr>
            <w:tcW w:w="963" w:type="dxa"/>
            <w:tcBorders>
              <w:top w:val="nil"/>
              <w:bottom w:val="nil"/>
            </w:tcBorders>
          </w:tcPr>
          <w:p w:rsidR="008F52F9" w:rsidRPr="00C63B8B" w:rsidRDefault="008F52F9" w:rsidP="008F52F9">
            <w:pPr>
              <w:cnfStyle w:val="000000000000"/>
            </w:pPr>
            <w:r w:rsidRPr="00C63B8B">
              <w:t>0</w:t>
            </w:r>
          </w:p>
        </w:tc>
        <w:tc>
          <w:tcPr>
            <w:tcW w:w="1315" w:type="dxa"/>
            <w:tcBorders>
              <w:top w:val="nil"/>
              <w:bottom w:val="nil"/>
            </w:tcBorders>
          </w:tcPr>
          <w:p w:rsidR="008F52F9" w:rsidRPr="00C63B8B" w:rsidRDefault="008F52F9" w:rsidP="008F52F9">
            <w:pPr>
              <w:cnfStyle w:val="000000000000"/>
            </w:pPr>
            <w:r w:rsidRPr="00C63B8B">
              <w:t>0</w:t>
            </w:r>
          </w:p>
        </w:tc>
        <w:tc>
          <w:tcPr>
            <w:tcW w:w="1314" w:type="dxa"/>
            <w:tcBorders>
              <w:top w:val="nil"/>
              <w:bottom w:val="nil"/>
            </w:tcBorders>
          </w:tcPr>
          <w:p w:rsidR="008F52F9" w:rsidRPr="00C63B8B" w:rsidRDefault="008F52F9" w:rsidP="008F52F9">
            <w:pPr>
              <w:cnfStyle w:val="000000000000"/>
            </w:pPr>
            <w:r w:rsidRPr="00C63B8B">
              <w:t>0</w:t>
            </w:r>
          </w:p>
        </w:tc>
        <w:tc>
          <w:tcPr>
            <w:tcW w:w="1524" w:type="dxa"/>
            <w:tcBorders>
              <w:top w:val="nil"/>
              <w:bottom w:val="nil"/>
            </w:tcBorders>
          </w:tcPr>
          <w:p w:rsidR="008F52F9" w:rsidRPr="00C63B8B" w:rsidRDefault="008F52F9" w:rsidP="008F52F9">
            <w:pPr>
              <w:cnfStyle w:val="000000000000"/>
            </w:pPr>
            <w:r w:rsidRPr="00C63B8B">
              <w:t>1</w:t>
            </w:r>
          </w:p>
        </w:tc>
      </w:tr>
      <w:tr w:rsidR="008F52F9" w:rsidRPr="00C63B8B" w:rsidTr="00CE1A87">
        <w:tc>
          <w:tcPr>
            <w:cnfStyle w:val="001000000000"/>
            <w:tcW w:w="2254" w:type="dxa"/>
          </w:tcPr>
          <w:p w:rsidR="008F52F9" w:rsidRPr="00C63B8B" w:rsidRDefault="008F52F9" w:rsidP="008F52F9">
            <w:r w:rsidRPr="00C63B8B">
              <w:t>Мали</w:t>
            </w:r>
          </w:p>
        </w:tc>
        <w:tc>
          <w:tcPr>
            <w:tcW w:w="963" w:type="dxa"/>
            <w:tcBorders>
              <w:top w:val="nil"/>
            </w:tcBorders>
          </w:tcPr>
          <w:p w:rsidR="008F52F9" w:rsidRPr="00C63B8B" w:rsidRDefault="008F52F9" w:rsidP="008F52F9">
            <w:pPr>
              <w:cnfStyle w:val="000000000000"/>
            </w:pPr>
            <w:r w:rsidRPr="00C63B8B">
              <w:t>0</w:t>
            </w:r>
          </w:p>
        </w:tc>
        <w:tc>
          <w:tcPr>
            <w:tcW w:w="1315" w:type="dxa"/>
            <w:tcBorders>
              <w:top w:val="nil"/>
            </w:tcBorders>
          </w:tcPr>
          <w:p w:rsidR="008F52F9" w:rsidRPr="00C63B8B" w:rsidRDefault="008F52F9" w:rsidP="008F52F9">
            <w:pPr>
              <w:cnfStyle w:val="000000000000"/>
            </w:pPr>
            <w:r w:rsidRPr="00C63B8B">
              <w:t>0</w:t>
            </w:r>
          </w:p>
        </w:tc>
        <w:tc>
          <w:tcPr>
            <w:tcW w:w="1314" w:type="dxa"/>
            <w:tcBorders>
              <w:top w:val="nil"/>
            </w:tcBorders>
          </w:tcPr>
          <w:p w:rsidR="008F52F9" w:rsidRPr="00C63B8B" w:rsidRDefault="008F52F9" w:rsidP="008F52F9">
            <w:pPr>
              <w:cnfStyle w:val="000000000000"/>
            </w:pPr>
            <w:r w:rsidRPr="00C63B8B">
              <w:t>0</w:t>
            </w:r>
          </w:p>
        </w:tc>
        <w:tc>
          <w:tcPr>
            <w:tcW w:w="1524" w:type="dxa"/>
            <w:tcBorders>
              <w:top w:val="nil"/>
            </w:tcBorders>
          </w:tcPr>
          <w:p w:rsidR="008F52F9" w:rsidRPr="00C63B8B" w:rsidRDefault="008F52F9" w:rsidP="008F52F9">
            <w:pPr>
              <w:cnfStyle w:val="000000000000"/>
            </w:pPr>
            <w:r w:rsidRPr="00C63B8B">
              <w:t>5</w:t>
            </w:r>
          </w:p>
        </w:tc>
      </w:tr>
      <w:tr w:rsidR="008F52F9" w:rsidRPr="00C63B8B" w:rsidTr="008F52F9">
        <w:tc>
          <w:tcPr>
            <w:cnfStyle w:val="001000000000"/>
            <w:tcW w:w="2254" w:type="dxa"/>
          </w:tcPr>
          <w:p w:rsidR="008F52F9" w:rsidRPr="00C63B8B" w:rsidRDefault="008F52F9" w:rsidP="008F52F9">
            <w:r w:rsidRPr="00C63B8B">
              <w:t>Всего</w:t>
            </w:r>
          </w:p>
        </w:tc>
        <w:tc>
          <w:tcPr>
            <w:tcW w:w="963" w:type="dxa"/>
          </w:tcPr>
          <w:p w:rsidR="008F52F9" w:rsidRPr="00C63B8B" w:rsidRDefault="008F52F9" w:rsidP="008F52F9">
            <w:pPr>
              <w:cnfStyle w:val="000000000000"/>
            </w:pPr>
            <w:r w:rsidRPr="00C63B8B">
              <w:t>42</w:t>
            </w:r>
          </w:p>
        </w:tc>
        <w:tc>
          <w:tcPr>
            <w:tcW w:w="1315" w:type="dxa"/>
          </w:tcPr>
          <w:p w:rsidR="008F52F9" w:rsidRPr="00C63B8B" w:rsidRDefault="008F52F9" w:rsidP="008F52F9">
            <w:pPr>
              <w:cnfStyle w:val="000000000000"/>
            </w:pPr>
            <w:r w:rsidRPr="00C63B8B">
              <w:t>19</w:t>
            </w:r>
          </w:p>
        </w:tc>
        <w:tc>
          <w:tcPr>
            <w:tcW w:w="1314" w:type="dxa"/>
          </w:tcPr>
          <w:p w:rsidR="008F52F9" w:rsidRPr="00C63B8B" w:rsidRDefault="008F52F9" w:rsidP="008F52F9">
            <w:pPr>
              <w:cnfStyle w:val="000000000000"/>
            </w:pPr>
            <w:r w:rsidRPr="00C63B8B">
              <w:t>46</w:t>
            </w:r>
          </w:p>
        </w:tc>
        <w:tc>
          <w:tcPr>
            <w:tcW w:w="1524" w:type="dxa"/>
          </w:tcPr>
          <w:p w:rsidR="008F52F9" w:rsidRPr="00C63B8B" w:rsidRDefault="008F52F9" w:rsidP="008F52F9">
            <w:pPr>
              <w:cnfStyle w:val="000000000000"/>
            </w:pPr>
            <w:r w:rsidRPr="00C63B8B">
              <w:t>166</w:t>
            </w:r>
          </w:p>
        </w:tc>
      </w:tr>
    </w:tbl>
    <w:p w:rsidR="008F52F9" w:rsidRPr="00C63B8B" w:rsidRDefault="008F52F9" w:rsidP="008F52F9">
      <w:pPr>
        <w:pStyle w:val="SingleTxtGR"/>
        <w:spacing w:before="120" w:line="220" w:lineRule="exact"/>
        <w:ind w:firstLine="170"/>
        <w:rPr>
          <w:iCs/>
          <w:sz w:val="18"/>
          <w:szCs w:val="18"/>
        </w:rPr>
      </w:pPr>
      <w:r w:rsidRPr="00C63B8B">
        <w:rPr>
          <w:i/>
          <w:sz w:val="18"/>
          <w:szCs w:val="18"/>
        </w:rPr>
        <w:t>Источник</w:t>
      </w:r>
      <w:r w:rsidRPr="00C63B8B">
        <w:rPr>
          <w:iCs/>
          <w:sz w:val="18"/>
          <w:szCs w:val="18"/>
        </w:rPr>
        <w:t>: Министерство социального обеспечения и труда.</w:t>
      </w:r>
    </w:p>
    <w:p w:rsidR="008F52F9" w:rsidRPr="00C63B8B" w:rsidRDefault="008F52F9" w:rsidP="008F52F9">
      <w:pPr>
        <w:pStyle w:val="SingleTxtGR"/>
      </w:pPr>
      <w:r w:rsidRPr="00C63B8B">
        <w:t>162.</w:t>
      </w:r>
      <w:r w:rsidRPr="00C63B8B">
        <w:tab/>
        <w:t>Ежегодно в распоряжение общественности предоставляется информация об иностранцах, которым было предоставлено убежище, в целях недопущения их изоляции и проявлений ксенофобии в обществе, а также поощрения тол</w:t>
      </w:r>
      <w:r w:rsidRPr="00C63B8B">
        <w:t>е</w:t>
      </w:r>
      <w:r w:rsidRPr="00C63B8B">
        <w:t>рантности. Для выполнения этой задачи используется финансирование по л</w:t>
      </w:r>
      <w:r w:rsidRPr="00C63B8B">
        <w:t>и</w:t>
      </w:r>
      <w:r w:rsidRPr="00C63B8B">
        <w:t>нии Европейского фонда беженцев, который был создан в контексте реализации Рамочной программы "Солидарность и управление миграционными потоками". Целью этого фонда является оказание поддержки и содействие усилиям гос</w:t>
      </w:r>
      <w:r w:rsidRPr="00C63B8B">
        <w:t>у</w:t>
      </w:r>
      <w:r w:rsidRPr="00C63B8B">
        <w:t>дарств-членов в области приема беженцев и решения вопросов, связанных с п</w:t>
      </w:r>
      <w:r w:rsidRPr="00C63B8B">
        <w:t>о</w:t>
      </w:r>
      <w:r w:rsidRPr="00C63B8B">
        <w:t>следствиями приема беженцев и соискателей убежища, с учетом решений С</w:t>
      </w:r>
      <w:r w:rsidRPr="00C63B8B">
        <w:t>о</w:t>
      </w:r>
      <w:r w:rsidRPr="00C63B8B">
        <w:t>общества по данным вопросам путем софинансирования мероприятий, пред</w:t>
      </w:r>
      <w:r w:rsidRPr="00C63B8B">
        <w:t>у</w:t>
      </w:r>
      <w:r w:rsidRPr="00C63B8B">
        <w:t>смотренных в решении № 573/2007/ЕС Европейского парламента и Совета от 23 мая 2007 года. В целях реализации приоритетов Фонда, выбранных Литвой, используется финансовая поддержка по линии Фонда для решения таких в</w:t>
      </w:r>
      <w:r w:rsidRPr="00C63B8B">
        <w:t>о</w:t>
      </w:r>
      <w:r w:rsidRPr="00C63B8B">
        <w:t>просов, как улучшение условий приема и процедур, связанных с получением убежища, интеграция иностранцев, которым было предоставлено убежище в Литве, а также укрепление потенциала государств-членов в плане разработки, мониторинга и оценки соответствующих направлений их политики, касающи</w:t>
      </w:r>
      <w:r w:rsidRPr="00C63B8B">
        <w:t>х</w:t>
      </w:r>
      <w:r w:rsidRPr="00C63B8B">
        <w:t>ся предоставления убежища, в целях развития практического сотрудничества между государствами-членами.</w:t>
      </w:r>
    </w:p>
    <w:p w:rsidR="008F52F9" w:rsidRPr="00C63B8B" w:rsidRDefault="008F52F9" w:rsidP="008F52F9">
      <w:pPr>
        <w:pStyle w:val="SingleTxtGR"/>
      </w:pPr>
      <w:r w:rsidRPr="00C63B8B">
        <w:t>163.</w:t>
      </w:r>
      <w:r w:rsidRPr="00C63B8B">
        <w:tab/>
        <w:t>В настоящее время близится к завершению реализация восьми проектов в рамках Программы Европейского фонда беженцев на 2011 год на общую сумму в 2 330 000 литов; кроме того, намечено реализовать пять проектов в рамках программы Фонда на 2012 год общей стоимостью в 2 320 000 литов. Деятел</w:t>
      </w:r>
      <w:r w:rsidRPr="00C63B8B">
        <w:t>ь</w:t>
      </w:r>
      <w:r w:rsidRPr="00C63B8B">
        <w:t>ность по осуществлению проектов, реализуемых в рамках программ Фонда на 2009−2012 годы, включает в себя предоставление соискателям убежища и л</w:t>
      </w:r>
      <w:r w:rsidRPr="00C63B8B">
        <w:t>и</w:t>
      </w:r>
      <w:r w:rsidRPr="00C63B8B">
        <w:t>цам, которым оно уже предоставлено, услуг, связанных с социальной работой, организацию медицинского обслуживания, языковые курсы, курсы обучения информационным технологиям, проведение информационных мероприятий с участием экспертов из различных учреждений, а также организацию спорти</w:t>
      </w:r>
      <w:r w:rsidRPr="00C63B8B">
        <w:t>в</w:t>
      </w:r>
      <w:r w:rsidRPr="00C63B8B">
        <w:t>ных мероприятий. В целях расширения знаний о стране, в которой соискатели убежища пытаются его получить, организуются ознакомительные экскурсии и общественные мероприятия с участием местного населения. Иностранцам, п</w:t>
      </w:r>
      <w:r w:rsidRPr="00C63B8B">
        <w:t>о</w:t>
      </w:r>
      <w:r w:rsidRPr="00C63B8B">
        <w:t>лучившим убежище, предоставляется социальная и материальная помощь, юр</w:t>
      </w:r>
      <w:r w:rsidRPr="00C63B8B">
        <w:t>и</w:t>
      </w:r>
      <w:r w:rsidRPr="00C63B8B">
        <w:t>дические и психологические консультации, а также консультации по вопросам жилья, п</w:t>
      </w:r>
      <w:r w:rsidRPr="00C63B8B">
        <w:t>о</w:t>
      </w:r>
      <w:r w:rsidRPr="00C63B8B">
        <w:t>лучения средств к существованию и интеграции в рынок труда. Кроме того, им предлагаются тренинги по вопросам организации предпринимател</w:t>
      </w:r>
      <w:r w:rsidRPr="00C63B8B">
        <w:t>ь</w:t>
      </w:r>
      <w:r w:rsidRPr="00C63B8B">
        <w:t>ской де</w:t>
      </w:r>
      <w:r w:rsidRPr="00C63B8B">
        <w:t>я</w:t>
      </w:r>
      <w:r w:rsidRPr="00C63B8B">
        <w:t>тельности и управления предприятием, развития личностных навыков и повышения квалификации, а также предоставляется помощь в вопросах тр</w:t>
      </w:r>
      <w:r w:rsidRPr="00C63B8B">
        <w:t>у</w:t>
      </w:r>
      <w:r w:rsidRPr="00C63B8B">
        <w:t>доустройства. Дети получают помощь социальных педагогов и посещают с</w:t>
      </w:r>
      <w:r w:rsidRPr="00C63B8B">
        <w:t>о</w:t>
      </w:r>
      <w:r w:rsidRPr="00C63B8B">
        <w:t>вместные мероприятия с участием литовских детей из детского центра "Вайку стотеле" ("Vaikų stotelė") организации "Каритас", что способствует межкул</w:t>
      </w:r>
      <w:r w:rsidRPr="00C63B8B">
        <w:t>ь</w:t>
      </w:r>
      <w:r w:rsidRPr="00C63B8B">
        <w:t>турному взаимообмену, воспитанию толерантности, уменьшению числа проя</w:t>
      </w:r>
      <w:r w:rsidRPr="00C63B8B">
        <w:t>в</w:t>
      </w:r>
      <w:r w:rsidRPr="00C63B8B">
        <w:t xml:space="preserve">лений ксенофобии, а также дает детям, представляющим различные культуры, возможность узнать больше о Литве и о культурных особенностях друг друга. Был также организован летний лагерь "Маленький большой человек". </w:t>
      </w:r>
    </w:p>
    <w:p w:rsidR="008F52F9" w:rsidRPr="00C63B8B" w:rsidRDefault="008F52F9" w:rsidP="008F52F9">
      <w:pPr>
        <w:pStyle w:val="SingleTxtGR"/>
      </w:pPr>
      <w:r w:rsidRPr="00C63B8B">
        <w:t>164.</w:t>
      </w:r>
      <w:r w:rsidRPr="00C63B8B">
        <w:tab/>
        <w:t>Проект под названием "Интеграция беженцев в общество с использов</w:t>
      </w:r>
      <w:r w:rsidRPr="00C63B8B">
        <w:t>а</w:t>
      </w:r>
      <w:r w:rsidRPr="00C63B8B">
        <w:t>нием методов активной социализации", реализованный Канцелярией Уполн</w:t>
      </w:r>
      <w:r w:rsidRPr="00C63B8B">
        <w:t>о</w:t>
      </w:r>
      <w:r w:rsidRPr="00C63B8B">
        <w:t>моченного по обеспечению равных возможностей в сотрудничестве с Ассоци</w:t>
      </w:r>
      <w:r w:rsidRPr="00C63B8B">
        <w:t>а</w:t>
      </w:r>
      <w:r w:rsidRPr="00C63B8B">
        <w:t>цией толерантной молодежи, был признан одним их наиболее успешных прое</w:t>
      </w:r>
      <w:r w:rsidRPr="00C63B8B">
        <w:t>к</w:t>
      </w:r>
      <w:r w:rsidRPr="00C63B8B">
        <w:t>тов в области содействия толерантному отношению к соискателям убежища, проживающим в Литве. Деятельность в целях боле активной интеграции б</w:t>
      </w:r>
      <w:r w:rsidRPr="00C63B8B">
        <w:t>е</w:t>
      </w:r>
      <w:r w:rsidRPr="00C63B8B">
        <w:t>женцев велась по двум направлениям: путем информирования общественности и путем формирования в обществе толерантных подходов (в целях поощрения приема беженцев и оказания помощи в их интеграции), а также обучения самих беженцев навыкам, необходимым для успешной интеграции, включая знания о литовском обществе и культуре и другие социальные навыки. В рамках разр</w:t>
      </w:r>
      <w:r w:rsidRPr="00C63B8B">
        <w:t>а</w:t>
      </w:r>
      <w:r w:rsidRPr="00C63B8B">
        <w:t>ботанной программы под названием "Школа развития компетенции" были орг</w:t>
      </w:r>
      <w:r w:rsidRPr="00C63B8B">
        <w:t>а</w:t>
      </w:r>
      <w:r w:rsidRPr="00C63B8B">
        <w:t>низованы тренинги в целях повышения самостоятельности женщин и детей, развития их способностей понимать и применять полученную информацию и успешно справляться с повседневными задачами, а также совершенствования навыков вербальной и невербальной коммуникации. В ходе реализации проекта был создан мультипликационный социальный рекламный видеоролик под н</w:t>
      </w:r>
      <w:r w:rsidRPr="00C63B8B">
        <w:t>а</w:t>
      </w:r>
      <w:r w:rsidRPr="00C63B8B">
        <w:t>званием "Дома среди незнакомцев", который впоследствии транслировался по Литовскому национальному телевидению. В семи крупнейших городах страны на рекламных стендах и автобусных остановках были размещены анимирова</w:t>
      </w:r>
      <w:r w:rsidRPr="00C63B8B">
        <w:t>н</w:t>
      </w:r>
      <w:r w:rsidRPr="00C63B8B">
        <w:t>ные плакаты с социальной рекламой. Было подготовлено десять информацио</w:t>
      </w:r>
      <w:r w:rsidRPr="00C63B8B">
        <w:t>н</w:t>
      </w:r>
      <w:r w:rsidRPr="00C63B8B">
        <w:t>ных программ для распространения через Интернет. При помощи этих рекла</w:t>
      </w:r>
      <w:r w:rsidRPr="00C63B8B">
        <w:t>м</w:t>
      </w:r>
      <w:r w:rsidRPr="00C63B8B">
        <w:t>ных мероприятий было обеспечено информирование общественности об инт</w:t>
      </w:r>
      <w:r w:rsidRPr="00C63B8B">
        <w:t>е</w:t>
      </w:r>
      <w:r w:rsidRPr="00C63B8B">
        <w:t>грации лиц, получивших убежище, и обращен призыв к населению проявлять толерантность по отношению к этим лицам.</w:t>
      </w:r>
    </w:p>
    <w:p w:rsidR="008F52F9" w:rsidRPr="00C63B8B" w:rsidRDefault="008F52F9" w:rsidP="008F52F9">
      <w:pPr>
        <w:pStyle w:val="H23GR"/>
      </w:pPr>
      <w:r w:rsidRPr="00C63B8B">
        <w:tab/>
      </w:r>
      <w:r w:rsidRPr="00C63B8B">
        <w:tab/>
        <w:t>Положение представителей народа рома и их интеграция</w:t>
      </w:r>
    </w:p>
    <w:p w:rsidR="008F52F9" w:rsidRPr="00C63B8B" w:rsidRDefault="008F52F9" w:rsidP="008F52F9">
      <w:pPr>
        <w:pStyle w:val="SingleTxtGR"/>
      </w:pPr>
      <w:r w:rsidRPr="00C63B8B">
        <w:t>165.</w:t>
      </w:r>
      <w:r w:rsidRPr="00C63B8B">
        <w:tab/>
        <w:t>Согласно данным переписи населения 2011 года численность прожива</w:t>
      </w:r>
      <w:r w:rsidRPr="00C63B8B">
        <w:t>ю</w:t>
      </w:r>
      <w:r w:rsidRPr="00C63B8B">
        <w:t>щих в Литве представителей народа рома составляет 2 115 человек (по сравн</w:t>
      </w:r>
      <w:r w:rsidRPr="00C63B8B">
        <w:t>е</w:t>
      </w:r>
      <w:r w:rsidRPr="00C63B8B">
        <w:t>нию с 2 571 в 2001 году). По данным за 2011 год в городских районах прожив</w:t>
      </w:r>
      <w:r w:rsidRPr="00C63B8B">
        <w:t>а</w:t>
      </w:r>
      <w:r w:rsidRPr="00C63B8B">
        <w:t>ет 81% литовских рома, а в сельских – 19%; 29% из них живут в городе Вил</w:t>
      </w:r>
      <w:r w:rsidRPr="00C63B8B">
        <w:t>ь</w:t>
      </w:r>
      <w:r w:rsidRPr="00C63B8B">
        <w:t>нюсе. На детей и молодежь в возрасте до 20 лет приходится 49% общей чи</w:t>
      </w:r>
      <w:r w:rsidRPr="00C63B8B">
        <w:t>с</w:t>
      </w:r>
      <w:r w:rsidRPr="00C63B8B">
        <w:t>ленности населения рома (в среднем по стране этот показатель составл</w:t>
      </w:r>
      <w:r w:rsidRPr="00C63B8B">
        <w:t>я</w:t>
      </w:r>
      <w:r w:rsidRPr="00C63B8B">
        <w:t>ет 22%), а на лиц старше 60 лет – всего лишь 6% (по сравнению с 23% в сре</w:t>
      </w:r>
      <w:r w:rsidRPr="00C63B8B">
        <w:t>д</w:t>
      </w:r>
      <w:r w:rsidRPr="00C63B8B">
        <w:t>нем по стране).</w:t>
      </w:r>
    </w:p>
    <w:p w:rsidR="008F52F9" w:rsidRPr="00C63B8B" w:rsidRDefault="008F52F9" w:rsidP="008F52F9">
      <w:pPr>
        <w:pStyle w:val="SingleTxtGR"/>
      </w:pPr>
      <w:r w:rsidRPr="00C63B8B">
        <w:t>166.</w:t>
      </w:r>
      <w:r w:rsidRPr="00C63B8B">
        <w:tab/>
        <w:t>Перед рома в Литве стоят те же самые проблемы, что и перед большинс</w:t>
      </w:r>
      <w:r w:rsidRPr="00C63B8B">
        <w:t>т</w:t>
      </w:r>
      <w:r w:rsidRPr="00C63B8B">
        <w:t>вом представителей народа рома в Европе и во всем мире, а именно: низкий уровень образования, безработица, плохие условия жизни и другие проблемы социального и экономического характера. Заявление аналогичного содержания было сделано Омбудсменом Сейма после проведения им в 2009 году расслед</w:t>
      </w:r>
      <w:r w:rsidRPr="00C63B8B">
        <w:t>о</w:t>
      </w:r>
      <w:r w:rsidRPr="00C63B8B">
        <w:t>вания по жалобе руководителя общины рома и поселения рома в Вильнюсе. Подробная информация о расследовании (решение № 4D-2008/3-69 от 25 июня 2009 года) доступна на веб-сайте Канцелярии Омбудсмена Сейма (www.lrski.lt).</w:t>
      </w:r>
    </w:p>
    <w:p w:rsidR="008F52F9" w:rsidRPr="00C63B8B" w:rsidRDefault="008F52F9" w:rsidP="008F52F9">
      <w:pPr>
        <w:pStyle w:val="SingleTxtGR"/>
        <w:rPr>
          <w:iCs/>
        </w:rPr>
      </w:pPr>
      <w:r w:rsidRPr="00C63B8B">
        <w:rPr>
          <w:iCs/>
        </w:rPr>
        <w:t>167.</w:t>
      </w:r>
      <w:r w:rsidRPr="00C63B8B">
        <w:rPr>
          <w:iCs/>
        </w:rPr>
        <w:tab/>
        <w:t>В целях содействия интеграции рома в 2008 году Правительство утверд</w:t>
      </w:r>
      <w:r w:rsidRPr="00C63B8B">
        <w:rPr>
          <w:iCs/>
        </w:rPr>
        <w:t>и</w:t>
      </w:r>
      <w:r w:rsidRPr="00C63B8B">
        <w:rPr>
          <w:iCs/>
        </w:rPr>
        <w:t>ло Программу интеграции рома в литовское общество на 2008−2010 годы. Вм</w:t>
      </w:r>
      <w:r w:rsidRPr="00C63B8B">
        <w:rPr>
          <w:iCs/>
        </w:rPr>
        <w:t>е</w:t>
      </w:r>
      <w:r w:rsidRPr="00C63B8B">
        <w:rPr>
          <w:iCs/>
        </w:rPr>
        <w:t>сте с тем по причине экономического и финансового кризиса некоторые меры, предусмотренные в Программе интеграции рома на 2008−2010 годы, реализ</w:t>
      </w:r>
      <w:r w:rsidRPr="00C63B8B">
        <w:rPr>
          <w:iCs/>
        </w:rPr>
        <w:t>о</w:t>
      </w:r>
      <w:r w:rsidRPr="00C63B8B">
        <w:rPr>
          <w:iCs/>
        </w:rPr>
        <w:t>вать не удалось. В целях претворения в жизнь данной Программы Департаме</w:t>
      </w:r>
      <w:r w:rsidRPr="00C63B8B">
        <w:rPr>
          <w:iCs/>
        </w:rPr>
        <w:t>н</w:t>
      </w:r>
      <w:r w:rsidRPr="00C63B8B">
        <w:rPr>
          <w:iCs/>
        </w:rPr>
        <w:t>ту по делам национальных меньшинств и литовцев, проживающих за рубежом, при Правительстве Литвы, а с 2010 года – Министерству культуры, были выд</w:t>
      </w:r>
      <w:r w:rsidRPr="00C63B8B">
        <w:rPr>
          <w:iCs/>
        </w:rPr>
        <w:t>е</w:t>
      </w:r>
      <w:r w:rsidRPr="00C63B8B">
        <w:rPr>
          <w:iCs/>
        </w:rPr>
        <w:t>лены следующие средства: в 2008 году – 365 000 литов, в 2009 году – примерно 400 000 литов, а в 2010 году – 180 000 литов. С учетом того, что были дости</w:t>
      </w:r>
      <w:r w:rsidRPr="00C63B8B">
        <w:rPr>
          <w:iCs/>
        </w:rPr>
        <w:t>г</w:t>
      </w:r>
      <w:r w:rsidRPr="00C63B8B">
        <w:rPr>
          <w:iCs/>
        </w:rPr>
        <w:t>нуты не все поставленные цели, в 2012 году Правительство утвердило План действий по интеграции рома в литовское общество на 2012−2014 годы. И</w:t>
      </w:r>
      <w:r w:rsidRPr="00C63B8B">
        <w:rPr>
          <w:iCs/>
        </w:rPr>
        <w:t>н</w:t>
      </w:r>
      <w:r w:rsidRPr="00C63B8B">
        <w:rPr>
          <w:iCs/>
        </w:rPr>
        <w:t>формация о ходе осуществления предусмотренных Планом мер в сферах обр</w:t>
      </w:r>
      <w:r w:rsidRPr="00C63B8B">
        <w:rPr>
          <w:iCs/>
        </w:rPr>
        <w:t>а</w:t>
      </w:r>
      <w:r w:rsidRPr="00C63B8B">
        <w:rPr>
          <w:iCs/>
        </w:rPr>
        <w:t>зования, занятости, здравоохранения и других областях приводится в пун</w:t>
      </w:r>
      <w:r w:rsidRPr="00C63B8B">
        <w:rPr>
          <w:iCs/>
        </w:rPr>
        <w:t>к</w:t>
      </w:r>
      <w:r w:rsidRPr="00C63B8B">
        <w:rPr>
          <w:iCs/>
        </w:rPr>
        <w:t>тах 39−49.</w:t>
      </w:r>
    </w:p>
    <w:p w:rsidR="008F52F9" w:rsidRPr="00C63B8B" w:rsidRDefault="008F52F9" w:rsidP="008F52F9">
      <w:pPr>
        <w:pStyle w:val="H23GR"/>
      </w:pPr>
      <w:r w:rsidRPr="00C63B8B">
        <w:tab/>
      </w:r>
      <w:r w:rsidRPr="00C63B8B">
        <w:tab/>
        <w:t>Участие рома в рынке труда</w:t>
      </w:r>
    </w:p>
    <w:p w:rsidR="008F52F9" w:rsidRPr="00C63B8B" w:rsidRDefault="008F52F9" w:rsidP="008F52F9">
      <w:pPr>
        <w:pStyle w:val="SingleTxtGR"/>
        <w:rPr>
          <w:iCs/>
        </w:rPr>
      </w:pPr>
      <w:r w:rsidRPr="00C63B8B">
        <w:rPr>
          <w:iCs/>
        </w:rPr>
        <w:t>168.</w:t>
      </w:r>
      <w:r w:rsidRPr="00C63B8B">
        <w:rPr>
          <w:iCs/>
        </w:rPr>
        <w:tab/>
        <w:t>Согласно данным реализованного в декабре 2008 года социологического проекта под названием "Обследование положения рома: рома на перекрестке рынков образования и труда" 56,7% взрослых рома являются безработными; 40,7% опрошенных указали, что у них есть работа или зан</w:t>
      </w:r>
      <w:r w:rsidRPr="00C63B8B">
        <w:rPr>
          <w:iCs/>
        </w:rPr>
        <w:t>я</w:t>
      </w:r>
      <w:r w:rsidRPr="00C63B8B">
        <w:rPr>
          <w:iCs/>
        </w:rPr>
        <w:t>тие (в большинстве случаев речь шла о неофициальных индивидуальных занятиях – таких как сбор металлолома, гадание или торговля на рынках). Лишь 8,7% всех респондентов работали по трудовым контрактам, а самостоятельно занятыми являлись 6,1 респондентов. Более трети респондентов указали, что основным источником их доходов являются социальные пособия. Большинство рома (83,2%) заявили, что не участвовали в каких-либо программах профессиональной подготовки. В общей сложности 16% респондентов прошли курсы профессиональной по</w:t>
      </w:r>
      <w:r w:rsidRPr="00C63B8B">
        <w:rPr>
          <w:iCs/>
        </w:rPr>
        <w:t>д</w:t>
      </w:r>
      <w:r w:rsidRPr="00C63B8B">
        <w:rPr>
          <w:iCs/>
        </w:rPr>
        <w:t>готовки по таким специальностям, как флорист, портной, водитель, кузнец, пло</w:t>
      </w:r>
      <w:r w:rsidRPr="00C63B8B">
        <w:rPr>
          <w:iCs/>
        </w:rPr>
        <w:t>т</w:t>
      </w:r>
      <w:r w:rsidRPr="00C63B8B">
        <w:rPr>
          <w:iCs/>
        </w:rPr>
        <w:t>ник, помощник продавца и музыкант.</w:t>
      </w:r>
    </w:p>
    <w:p w:rsidR="008F52F9" w:rsidRPr="00C63B8B" w:rsidRDefault="008F52F9" w:rsidP="008F52F9">
      <w:pPr>
        <w:pStyle w:val="SingleTxtGR"/>
        <w:rPr>
          <w:iCs/>
        </w:rPr>
      </w:pPr>
      <w:r w:rsidRPr="00C63B8B">
        <w:rPr>
          <w:iCs/>
        </w:rPr>
        <w:t>169.</w:t>
      </w:r>
      <w:r w:rsidRPr="00C63B8B">
        <w:rPr>
          <w:iCs/>
        </w:rPr>
        <w:tab/>
        <w:t>В соответствии с положениями Закона о поддержке занятости государс</w:t>
      </w:r>
      <w:r w:rsidRPr="00C63B8B">
        <w:rPr>
          <w:iCs/>
        </w:rPr>
        <w:t>т</w:t>
      </w:r>
      <w:r w:rsidRPr="00C63B8B">
        <w:rPr>
          <w:iCs/>
        </w:rPr>
        <w:t>венная поддержка должна предоставляться всем лицам, ищущим работу, кот</w:t>
      </w:r>
      <w:r w:rsidRPr="00C63B8B">
        <w:rPr>
          <w:iCs/>
        </w:rPr>
        <w:t>о</w:t>
      </w:r>
      <w:r w:rsidRPr="00C63B8B">
        <w:rPr>
          <w:iCs/>
        </w:rPr>
        <w:t>рые зарегистрировались на местных биржах труда, в рамках реализации акти</w:t>
      </w:r>
      <w:r w:rsidRPr="00C63B8B">
        <w:rPr>
          <w:iCs/>
        </w:rPr>
        <w:t>в</w:t>
      </w:r>
      <w:r w:rsidRPr="00C63B8B">
        <w:rPr>
          <w:iCs/>
        </w:rPr>
        <w:t>ных мер в области трудовой политики. Таким образом, активные меры в обла</w:t>
      </w:r>
      <w:r w:rsidRPr="00C63B8B">
        <w:rPr>
          <w:iCs/>
        </w:rPr>
        <w:t>с</w:t>
      </w:r>
      <w:r w:rsidRPr="00C63B8B">
        <w:rPr>
          <w:iCs/>
        </w:rPr>
        <w:t xml:space="preserve">ти трудовой политики распространяются на рома в той же мере, что и на других лиц, ведущих поиск работы. </w:t>
      </w:r>
    </w:p>
    <w:p w:rsidR="008F52F9" w:rsidRPr="00C63B8B" w:rsidRDefault="008F52F9" w:rsidP="008F52F9">
      <w:pPr>
        <w:pStyle w:val="H23GR"/>
        <w:rPr>
          <w:iCs/>
        </w:rPr>
      </w:pPr>
      <w:r w:rsidRPr="00C63B8B">
        <w:tab/>
      </w:r>
      <w:r w:rsidRPr="00C63B8B">
        <w:tab/>
        <w:t>Меры в области трудовой политики, реализованные в целях содействия интеграции рома в рынок труда</w:t>
      </w:r>
    </w:p>
    <w:tbl>
      <w:tblPr>
        <w:tblStyle w:val="TabNum"/>
        <w:tblW w:w="7370" w:type="dxa"/>
        <w:tblInd w:w="1134" w:type="dxa"/>
        <w:tblLayout w:type="fixed"/>
        <w:tblLook w:val="01E0"/>
      </w:tblPr>
      <w:tblGrid>
        <w:gridCol w:w="4253"/>
        <w:gridCol w:w="958"/>
        <w:gridCol w:w="709"/>
        <w:gridCol w:w="709"/>
        <w:gridCol w:w="741"/>
      </w:tblGrid>
      <w:tr w:rsidR="008F52F9" w:rsidRPr="00C63B8B" w:rsidTr="008F52F9">
        <w:trPr>
          <w:tblHeader/>
        </w:trPr>
        <w:tc>
          <w:tcPr>
            <w:cnfStyle w:val="001000000000"/>
            <w:tcW w:w="4254" w:type="dxa"/>
            <w:tcBorders>
              <w:bottom w:val="single" w:sz="12" w:space="0" w:color="auto"/>
            </w:tcBorders>
            <w:shd w:val="clear" w:color="auto" w:fill="auto"/>
          </w:tcPr>
          <w:p w:rsidR="008F52F9" w:rsidRPr="00C63B8B" w:rsidRDefault="008F52F9" w:rsidP="008F52F9">
            <w:pPr>
              <w:spacing w:before="80" w:after="80" w:line="200" w:lineRule="exact"/>
              <w:rPr>
                <w:i/>
                <w:sz w:val="16"/>
              </w:rPr>
            </w:pPr>
            <w:r w:rsidRPr="00C63B8B">
              <w:rPr>
                <w:i/>
                <w:sz w:val="16"/>
              </w:rPr>
              <w:t>Охват представителей народа рома, зарегистрирова</w:t>
            </w:r>
            <w:r w:rsidRPr="00C63B8B">
              <w:rPr>
                <w:i/>
                <w:sz w:val="16"/>
              </w:rPr>
              <w:t>н</w:t>
            </w:r>
            <w:r w:rsidRPr="00C63B8B">
              <w:rPr>
                <w:i/>
                <w:sz w:val="16"/>
              </w:rPr>
              <w:t>ных на местных биржах труда, мерами в области тр</w:t>
            </w:r>
            <w:r w:rsidRPr="00C63B8B">
              <w:rPr>
                <w:i/>
                <w:sz w:val="16"/>
              </w:rPr>
              <w:t>у</w:t>
            </w:r>
            <w:r w:rsidRPr="00C63B8B">
              <w:rPr>
                <w:i/>
                <w:sz w:val="16"/>
              </w:rPr>
              <w:t>довой политики в 2008−2011 годах</w:t>
            </w:r>
          </w:p>
        </w:tc>
        <w:tc>
          <w:tcPr>
            <w:tcW w:w="958"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2008 </w:t>
            </w:r>
          </w:p>
        </w:tc>
        <w:tc>
          <w:tcPr>
            <w:tcW w:w="709"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2009 </w:t>
            </w:r>
          </w:p>
        </w:tc>
        <w:tc>
          <w:tcPr>
            <w:tcW w:w="709"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2010 </w:t>
            </w:r>
          </w:p>
        </w:tc>
        <w:tc>
          <w:tcPr>
            <w:tcW w:w="741"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2011 </w:t>
            </w:r>
          </w:p>
        </w:tc>
      </w:tr>
      <w:tr w:rsidR="008F52F9" w:rsidRPr="00C63B8B" w:rsidTr="008F52F9">
        <w:tc>
          <w:tcPr>
            <w:cnfStyle w:val="001000000000"/>
            <w:tcW w:w="4254" w:type="dxa"/>
            <w:tcBorders>
              <w:top w:val="single" w:sz="12" w:space="0" w:color="auto"/>
            </w:tcBorders>
          </w:tcPr>
          <w:p w:rsidR="008F52F9" w:rsidRPr="00C63B8B" w:rsidRDefault="008F52F9" w:rsidP="008F52F9">
            <w:r w:rsidRPr="00C63B8B">
              <w:t>Групповые консультации</w:t>
            </w:r>
          </w:p>
        </w:tc>
        <w:tc>
          <w:tcPr>
            <w:tcW w:w="958" w:type="dxa"/>
            <w:tcBorders>
              <w:top w:val="single" w:sz="12" w:space="0" w:color="auto"/>
            </w:tcBorders>
          </w:tcPr>
          <w:p w:rsidR="008F52F9" w:rsidRPr="00C63B8B" w:rsidRDefault="008F52F9" w:rsidP="008F52F9">
            <w:pPr>
              <w:cnfStyle w:val="000000000000"/>
            </w:pPr>
            <w:r w:rsidRPr="00C63B8B">
              <w:t>19</w:t>
            </w:r>
          </w:p>
        </w:tc>
        <w:tc>
          <w:tcPr>
            <w:tcW w:w="709" w:type="dxa"/>
            <w:tcBorders>
              <w:top w:val="single" w:sz="12" w:space="0" w:color="auto"/>
            </w:tcBorders>
          </w:tcPr>
          <w:p w:rsidR="008F52F9" w:rsidRPr="00C63B8B" w:rsidRDefault="008F52F9" w:rsidP="008F52F9">
            <w:pPr>
              <w:cnfStyle w:val="000000000000"/>
            </w:pPr>
            <w:r w:rsidRPr="00C63B8B">
              <w:t>8</w:t>
            </w:r>
          </w:p>
        </w:tc>
        <w:tc>
          <w:tcPr>
            <w:tcW w:w="709" w:type="dxa"/>
            <w:tcBorders>
              <w:top w:val="single" w:sz="12" w:space="0" w:color="auto"/>
            </w:tcBorders>
          </w:tcPr>
          <w:p w:rsidR="008F52F9" w:rsidRPr="00C63B8B" w:rsidRDefault="008F52F9" w:rsidP="008F52F9">
            <w:pPr>
              <w:cnfStyle w:val="000000000000"/>
            </w:pPr>
            <w:r w:rsidRPr="00C63B8B">
              <w:t>4</w:t>
            </w:r>
          </w:p>
        </w:tc>
        <w:tc>
          <w:tcPr>
            <w:tcW w:w="741" w:type="dxa"/>
            <w:tcBorders>
              <w:top w:val="single" w:sz="12" w:space="0" w:color="auto"/>
            </w:tcBorders>
          </w:tcPr>
          <w:p w:rsidR="008F52F9" w:rsidRPr="00C63B8B" w:rsidRDefault="008F52F9" w:rsidP="008F52F9">
            <w:pPr>
              <w:cnfStyle w:val="000000000000"/>
            </w:pPr>
            <w:r w:rsidRPr="00C63B8B">
              <w:t>4</w:t>
            </w:r>
          </w:p>
        </w:tc>
      </w:tr>
      <w:tr w:rsidR="008F52F9" w:rsidRPr="00C63B8B" w:rsidTr="008F52F9">
        <w:tc>
          <w:tcPr>
            <w:cnfStyle w:val="001000000000"/>
            <w:tcW w:w="4254" w:type="dxa"/>
          </w:tcPr>
          <w:p w:rsidR="008F52F9" w:rsidRPr="00C63B8B" w:rsidRDefault="008F52F9" w:rsidP="008F52F9">
            <w:r w:rsidRPr="00C63B8B">
              <w:t xml:space="preserve">Общественные работы </w:t>
            </w:r>
          </w:p>
        </w:tc>
        <w:tc>
          <w:tcPr>
            <w:tcW w:w="958" w:type="dxa"/>
          </w:tcPr>
          <w:p w:rsidR="008F52F9" w:rsidRPr="00C63B8B" w:rsidRDefault="008F52F9" w:rsidP="008F52F9">
            <w:pPr>
              <w:cnfStyle w:val="000000000000"/>
            </w:pPr>
            <w:r w:rsidRPr="00C63B8B">
              <w:t>5</w:t>
            </w:r>
          </w:p>
        </w:tc>
        <w:tc>
          <w:tcPr>
            <w:tcW w:w="709" w:type="dxa"/>
          </w:tcPr>
          <w:p w:rsidR="008F52F9" w:rsidRPr="00C63B8B" w:rsidRDefault="008F52F9" w:rsidP="008F52F9">
            <w:pPr>
              <w:cnfStyle w:val="000000000000"/>
            </w:pPr>
            <w:r w:rsidRPr="00C63B8B">
              <w:t>1</w:t>
            </w:r>
          </w:p>
        </w:tc>
        <w:tc>
          <w:tcPr>
            <w:tcW w:w="709" w:type="dxa"/>
          </w:tcPr>
          <w:p w:rsidR="008F52F9" w:rsidRPr="00C63B8B" w:rsidRDefault="008F52F9" w:rsidP="008F52F9">
            <w:pPr>
              <w:cnfStyle w:val="000000000000"/>
            </w:pPr>
            <w:r w:rsidRPr="00C63B8B">
              <w:t>0</w:t>
            </w:r>
          </w:p>
        </w:tc>
        <w:tc>
          <w:tcPr>
            <w:tcW w:w="741" w:type="dxa"/>
          </w:tcPr>
          <w:p w:rsidR="008F52F9" w:rsidRPr="00C63B8B" w:rsidRDefault="008F52F9" w:rsidP="008F52F9">
            <w:pPr>
              <w:cnfStyle w:val="000000000000"/>
            </w:pPr>
            <w:r w:rsidRPr="00C63B8B">
              <w:t>2</w:t>
            </w:r>
          </w:p>
        </w:tc>
      </w:tr>
      <w:tr w:rsidR="008F52F9" w:rsidRPr="00C63B8B" w:rsidTr="008F52F9">
        <w:tc>
          <w:tcPr>
            <w:cnfStyle w:val="001000000000"/>
            <w:tcW w:w="4254" w:type="dxa"/>
          </w:tcPr>
          <w:p w:rsidR="008F52F9" w:rsidRPr="00C63B8B" w:rsidRDefault="008F52F9" w:rsidP="008F52F9">
            <w:pPr>
              <w:rPr>
                <w:b/>
              </w:rPr>
            </w:pPr>
            <w:r w:rsidRPr="00C63B8B">
              <w:t>Общее число лиц, рекомендованных для уч</w:t>
            </w:r>
            <w:r w:rsidRPr="00C63B8B">
              <w:t>а</w:t>
            </w:r>
            <w:r w:rsidRPr="00C63B8B">
              <w:t>стия в активных мероприятиях в области трудовой пол</w:t>
            </w:r>
            <w:r w:rsidRPr="00C63B8B">
              <w:t>и</w:t>
            </w:r>
            <w:r w:rsidRPr="00C63B8B">
              <w:t>тики</w:t>
            </w:r>
          </w:p>
        </w:tc>
        <w:tc>
          <w:tcPr>
            <w:tcW w:w="958" w:type="dxa"/>
          </w:tcPr>
          <w:p w:rsidR="008F52F9" w:rsidRPr="00C63B8B" w:rsidRDefault="008F52F9" w:rsidP="008F52F9">
            <w:pPr>
              <w:cnfStyle w:val="000000000000"/>
            </w:pPr>
            <w:r w:rsidRPr="00C63B8B">
              <w:t>24</w:t>
            </w:r>
          </w:p>
        </w:tc>
        <w:tc>
          <w:tcPr>
            <w:tcW w:w="709" w:type="dxa"/>
          </w:tcPr>
          <w:p w:rsidR="008F52F9" w:rsidRPr="00C63B8B" w:rsidRDefault="008F52F9" w:rsidP="008F52F9">
            <w:pPr>
              <w:cnfStyle w:val="000000000000"/>
            </w:pPr>
            <w:r w:rsidRPr="00C63B8B">
              <w:t>9</w:t>
            </w:r>
          </w:p>
        </w:tc>
        <w:tc>
          <w:tcPr>
            <w:tcW w:w="709" w:type="dxa"/>
          </w:tcPr>
          <w:p w:rsidR="008F52F9" w:rsidRPr="00C63B8B" w:rsidRDefault="008F52F9" w:rsidP="008F52F9">
            <w:pPr>
              <w:cnfStyle w:val="000000000000"/>
            </w:pPr>
            <w:r w:rsidRPr="00C63B8B">
              <w:t>4</w:t>
            </w:r>
          </w:p>
        </w:tc>
        <w:tc>
          <w:tcPr>
            <w:tcW w:w="741" w:type="dxa"/>
          </w:tcPr>
          <w:p w:rsidR="008F52F9" w:rsidRPr="00C63B8B" w:rsidRDefault="008F52F9" w:rsidP="008F52F9">
            <w:pPr>
              <w:cnfStyle w:val="000000000000"/>
            </w:pPr>
            <w:r w:rsidRPr="00C63B8B">
              <w:t>6</w:t>
            </w:r>
          </w:p>
        </w:tc>
      </w:tr>
      <w:tr w:rsidR="008F52F9" w:rsidRPr="00C63B8B" w:rsidTr="008F52F9">
        <w:tc>
          <w:tcPr>
            <w:cnfStyle w:val="001000000000"/>
            <w:tcW w:w="4254" w:type="dxa"/>
          </w:tcPr>
          <w:p w:rsidR="008F52F9" w:rsidRPr="00C63B8B" w:rsidRDefault="008F52F9" w:rsidP="008F52F9">
            <w:r w:rsidRPr="00C63B8B">
              <w:t>Число лиц, трудоустроенных на имеющиеся в</w:t>
            </w:r>
            <w:r w:rsidRPr="00C63B8B">
              <w:t>а</w:t>
            </w:r>
            <w:r w:rsidRPr="00C63B8B">
              <w:t>кансии</w:t>
            </w:r>
          </w:p>
        </w:tc>
        <w:tc>
          <w:tcPr>
            <w:tcW w:w="958" w:type="dxa"/>
            <w:tcBorders>
              <w:bottom w:val="nil"/>
            </w:tcBorders>
          </w:tcPr>
          <w:p w:rsidR="008F52F9" w:rsidRPr="00C63B8B" w:rsidRDefault="008F52F9" w:rsidP="008F52F9">
            <w:pPr>
              <w:cnfStyle w:val="000000000000"/>
            </w:pPr>
            <w:r w:rsidRPr="00C63B8B">
              <w:t>13</w:t>
            </w:r>
          </w:p>
        </w:tc>
        <w:tc>
          <w:tcPr>
            <w:tcW w:w="709" w:type="dxa"/>
            <w:tcBorders>
              <w:bottom w:val="nil"/>
            </w:tcBorders>
          </w:tcPr>
          <w:p w:rsidR="008F52F9" w:rsidRPr="00C63B8B" w:rsidRDefault="008F52F9" w:rsidP="008F52F9">
            <w:pPr>
              <w:cnfStyle w:val="000000000000"/>
            </w:pPr>
            <w:r w:rsidRPr="00C63B8B">
              <w:t>1</w:t>
            </w:r>
          </w:p>
        </w:tc>
        <w:tc>
          <w:tcPr>
            <w:tcW w:w="709" w:type="dxa"/>
            <w:tcBorders>
              <w:bottom w:val="nil"/>
            </w:tcBorders>
          </w:tcPr>
          <w:p w:rsidR="008F52F9" w:rsidRPr="00C63B8B" w:rsidRDefault="008F52F9" w:rsidP="008F52F9">
            <w:pPr>
              <w:cnfStyle w:val="000000000000"/>
            </w:pPr>
            <w:r w:rsidRPr="00C63B8B">
              <w:t>2</w:t>
            </w:r>
          </w:p>
        </w:tc>
        <w:tc>
          <w:tcPr>
            <w:tcW w:w="741" w:type="dxa"/>
            <w:tcBorders>
              <w:bottom w:val="nil"/>
            </w:tcBorders>
          </w:tcPr>
          <w:p w:rsidR="008F52F9" w:rsidRPr="00C63B8B" w:rsidRDefault="008F52F9" w:rsidP="008F52F9">
            <w:pPr>
              <w:cnfStyle w:val="000000000000"/>
            </w:pPr>
            <w:r w:rsidRPr="00C63B8B">
              <w:t>5</w:t>
            </w:r>
          </w:p>
        </w:tc>
      </w:tr>
      <w:tr w:rsidR="008F52F9" w:rsidRPr="00C63B8B" w:rsidTr="008F52F9">
        <w:tc>
          <w:tcPr>
            <w:cnfStyle w:val="001000000000"/>
            <w:tcW w:w="4254" w:type="dxa"/>
          </w:tcPr>
          <w:p w:rsidR="008F52F9" w:rsidRPr="00C63B8B" w:rsidRDefault="008F52F9" w:rsidP="008F52F9">
            <w:pPr>
              <w:keepNext/>
              <w:keepLines/>
            </w:pPr>
            <w:r w:rsidRPr="00C63B8B">
              <w:t>Число зарегистрированных безработных (р</w:t>
            </w:r>
            <w:r w:rsidRPr="00C63B8B">
              <w:t>о</w:t>
            </w:r>
            <w:r w:rsidRPr="00C63B8B">
              <w:t>ма) в течение рассматриваемого периода</w:t>
            </w:r>
          </w:p>
        </w:tc>
        <w:tc>
          <w:tcPr>
            <w:tcW w:w="958" w:type="dxa"/>
            <w:tcBorders>
              <w:top w:val="nil"/>
              <w:bottom w:val="nil"/>
            </w:tcBorders>
          </w:tcPr>
          <w:p w:rsidR="008F52F9" w:rsidRPr="00C63B8B" w:rsidRDefault="008F52F9" w:rsidP="008F52F9">
            <w:pPr>
              <w:cnfStyle w:val="000000000000"/>
            </w:pPr>
            <w:r w:rsidRPr="00C63B8B">
              <w:t>90</w:t>
            </w:r>
          </w:p>
        </w:tc>
        <w:tc>
          <w:tcPr>
            <w:tcW w:w="709" w:type="dxa"/>
            <w:tcBorders>
              <w:top w:val="nil"/>
              <w:bottom w:val="nil"/>
            </w:tcBorders>
          </w:tcPr>
          <w:p w:rsidR="008F52F9" w:rsidRPr="00C63B8B" w:rsidRDefault="008F52F9" w:rsidP="008F52F9">
            <w:pPr>
              <w:cnfStyle w:val="000000000000"/>
            </w:pPr>
            <w:r w:rsidRPr="00C63B8B">
              <w:t>79</w:t>
            </w:r>
          </w:p>
        </w:tc>
        <w:tc>
          <w:tcPr>
            <w:tcW w:w="709" w:type="dxa"/>
            <w:tcBorders>
              <w:top w:val="nil"/>
              <w:bottom w:val="nil"/>
            </w:tcBorders>
          </w:tcPr>
          <w:p w:rsidR="008F52F9" w:rsidRPr="00C63B8B" w:rsidRDefault="008F52F9" w:rsidP="008F52F9">
            <w:pPr>
              <w:cnfStyle w:val="000000000000"/>
            </w:pPr>
            <w:r w:rsidRPr="00C63B8B">
              <w:t>106*</w:t>
            </w:r>
          </w:p>
        </w:tc>
        <w:tc>
          <w:tcPr>
            <w:tcW w:w="741" w:type="dxa"/>
            <w:tcBorders>
              <w:top w:val="nil"/>
              <w:bottom w:val="nil"/>
            </w:tcBorders>
          </w:tcPr>
          <w:p w:rsidR="008F52F9" w:rsidRPr="00C63B8B" w:rsidRDefault="008F52F9" w:rsidP="008F52F9">
            <w:pPr>
              <w:cnfStyle w:val="000000000000"/>
            </w:pPr>
            <w:r w:rsidRPr="00C63B8B">
              <w:t>168*</w:t>
            </w:r>
          </w:p>
        </w:tc>
      </w:tr>
      <w:tr w:rsidR="008F52F9" w:rsidRPr="00C63B8B" w:rsidTr="008F52F9">
        <w:tc>
          <w:tcPr>
            <w:cnfStyle w:val="001000000000"/>
            <w:tcW w:w="4254" w:type="dxa"/>
          </w:tcPr>
          <w:p w:rsidR="008F52F9" w:rsidRPr="00C63B8B" w:rsidRDefault="008F52F9" w:rsidP="008F52F9">
            <w:r w:rsidRPr="00C63B8B">
              <w:t>Число зарегистрированных безработных по с</w:t>
            </w:r>
            <w:r w:rsidRPr="00C63B8B">
              <w:t>о</w:t>
            </w:r>
            <w:r w:rsidRPr="00C63B8B">
              <w:t>стоянию на конец рассматриваемого пери</w:t>
            </w:r>
            <w:r w:rsidRPr="00C63B8B">
              <w:t>о</w:t>
            </w:r>
            <w:r w:rsidRPr="00C63B8B">
              <w:t>да</w:t>
            </w:r>
          </w:p>
        </w:tc>
        <w:tc>
          <w:tcPr>
            <w:tcW w:w="958" w:type="dxa"/>
            <w:tcBorders>
              <w:top w:val="nil"/>
            </w:tcBorders>
          </w:tcPr>
          <w:p w:rsidR="008F52F9" w:rsidRPr="00C63B8B" w:rsidRDefault="008F52F9" w:rsidP="008F52F9">
            <w:pPr>
              <w:cnfStyle w:val="000000000000"/>
            </w:pPr>
            <w:r w:rsidRPr="00C63B8B">
              <w:t>23</w:t>
            </w:r>
          </w:p>
        </w:tc>
        <w:tc>
          <w:tcPr>
            <w:tcW w:w="709" w:type="dxa"/>
            <w:tcBorders>
              <w:top w:val="nil"/>
            </w:tcBorders>
          </w:tcPr>
          <w:p w:rsidR="008F52F9" w:rsidRPr="00C63B8B" w:rsidRDefault="008F52F9" w:rsidP="008F52F9">
            <w:pPr>
              <w:cnfStyle w:val="000000000000"/>
            </w:pPr>
            <w:r w:rsidRPr="00C63B8B">
              <w:t>65</w:t>
            </w:r>
          </w:p>
        </w:tc>
        <w:tc>
          <w:tcPr>
            <w:tcW w:w="709" w:type="dxa"/>
            <w:tcBorders>
              <w:top w:val="nil"/>
            </w:tcBorders>
          </w:tcPr>
          <w:p w:rsidR="008F52F9" w:rsidRPr="00C63B8B" w:rsidRDefault="008F52F9" w:rsidP="008F52F9">
            <w:pPr>
              <w:cnfStyle w:val="000000000000"/>
            </w:pPr>
            <w:r w:rsidRPr="00C63B8B">
              <w:t>94*</w:t>
            </w:r>
          </w:p>
        </w:tc>
        <w:tc>
          <w:tcPr>
            <w:tcW w:w="741" w:type="dxa"/>
            <w:tcBorders>
              <w:top w:val="nil"/>
            </w:tcBorders>
          </w:tcPr>
          <w:p w:rsidR="008F52F9" w:rsidRPr="00C63B8B" w:rsidRDefault="008F52F9" w:rsidP="008F52F9">
            <w:pPr>
              <w:cnfStyle w:val="000000000000"/>
            </w:pPr>
            <w:r w:rsidRPr="00C63B8B">
              <w:t>126*</w:t>
            </w:r>
          </w:p>
        </w:tc>
      </w:tr>
    </w:tbl>
    <w:p w:rsidR="008F52F9" w:rsidRPr="00C63B8B" w:rsidRDefault="008F52F9" w:rsidP="008F52F9">
      <w:pPr>
        <w:pStyle w:val="SingleTxtGR"/>
        <w:spacing w:before="120" w:line="220" w:lineRule="exact"/>
        <w:ind w:firstLine="170"/>
        <w:rPr>
          <w:iCs/>
          <w:sz w:val="18"/>
          <w:szCs w:val="18"/>
        </w:rPr>
      </w:pPr>
      <w:r w:rsidRPr="00C63B8B">
        <w:rPr>
          <w:iCs/>
          <w:sz w:val="18"/>
          <w:szCs w:val="18"/>
        </w:rPr>
        <w:t>*  Территориальный уровень (данные не ограничиваются городом Вильн</w:t>
      </w:r>
      <w:r w:rsidRPr="00C63B8B">
        <w:rPr>
          <w:iCs/>
          <w:sz w:val="18"/>
          <w:szCs w:val="18"/>
        </w:rPr>
        <w:t>ю</w:t>
      </w:r>
      <w:r w:rsidRPr="00C63B8B">
        <w:rPr>
          <w:iCs/>
          <w:sz w:val="18"/>
          <w:szCs w:val="18"/>
        </w:rPr>
        <w:t xml:space="preserve">сом). </w:t>
      </w:r>
    </w:p>
    <w:p w:rsidR="008F52F9" w:rsidRPr="00C63B8B" w:rsidRDefault="008F52F9" w:rsidP="008F52F9">
      <w:pPr>
        <w:pStyle w:val="SingleTxtGR"/>
        <w:rPr>
          <w:iCs/>
        </w:rPr>
      </w:pPr>
      <w:r w:rsidRPr="00C63B8B">
        <w:rPr>
          <w:iCs/>
        </w:rPr>
        <w:t>170.</w:t>
      </w:r>
      <w:r w:rsidRPr="00C63B8B">
        <w:rPr>
          <w:iCs/>
        </w:rPr>
        <w:tab/>
        <w:t>В рамках Программы интеграции рома на 2008-2010 годы были реализ</w:t>
      </w:r>
      <w:r w:rsidRPr="00C63B8B">
        <w:rPr>
          <w:iCs/>
        </w:rPr>
        <w:t>о</w:t>
      </w:r>
      <w:r w:rsidRPr="00C63B8B">
        <w:rPr>
          <w:iCs/>
        </w:rPr>
        <w:t>ваны следующие меры в целях вовлечения рома в рынок труда:</w:t>
      </w:r>
    </w:p>
    <w:p w:rsidR="008F52F9" w:rsidRPr="00C63B8B" w:rsidRDefault="008F52F9" w:rsidP="008F52F9">
      <w:pPr>
        <w:pStyle w:val="Bullet1GR"/>
        <w:numPr>
          <w:ilvl w:val="0"/>
          <w:numId w:val="1"/>
        </w:numPr>
      </w:pPr>
      <w:r w:rsidRPr="00C63B8B">
        <w:t>государственное учреждение "Общинный центр рома" организовало д</w:t>
      </w:r>
      <w:r w:rsidRPr="00C63B8B">
        <w:t>е</w:t>
      </w:r>
      <w:r w:rsidRPr="00C63B8B">
        <w:t>вять мероприятий под названием "День занятости" с участием 90 пре</w:t>
      </w:r>
      <w:r w:rsidRPr="00C63B8B">
        <w:t>д</w:t>
      </w:r>
      <w:r w:rsidRPr="00C63B8B">
        <w:t>ставителей народа рома, в ходе которых последним была предоставлена информация о возможностях для трудоустройства и о программах пр</w:t>
      </w:r>
      <w:r w:rsidRPr="00C63B8B">
        <w:t>о</w:t>
      </w:r>
      <w:r w:rsidRPr="00C63B8B">
        <w:t>фессиональной подготовки, а также предложены консультации по инт</w:t>
      </w:r>
      <w:r w:rsidRPr="00C63B8B">
        <w:t>е</w:t>
      </w:r>
      <w:r w:rsidRPr="00C63B8B">
        <w:t>ресующим их вопр</w:t>
      </w:r>
      <w:r w:rsidRPr="00C63B8B">
        <w:t>о</w:t>
      </w:r>
      <w:r w:rsidRPr="00C63B8B">
        <w:t>сам, касающимся рынка труда;</w:t>
      </w:r>
    </w:p>
    <w:p w:rsidR="008F52F9" w:rsidRPr="00C63B8B" w:rsidRDefault="008F52F9" w:rsidP="008F52F9">
      <w:pPr>
        <w:pStyle w:val="Bullet1GR"/>
        <w:numPr>
          <w:ilvl w:val="0"/>
          <w:numId w:val="1"/>
        </w:numPr>
        <w:rPr>
          <w:b/>
        </w:rPr>
      </w:pPr>
      <w:r w:rsidRPr="00C63B8B">
        <w:t>в декабре 2008 года в Общинном центре рома был размещен информац</w:t>
      </w:r>
      <w:r w:rsidRPr="00C63B8B">
        <w:t>и</w:t>
      </w:r>
      <w:r w:rsidRPr="00C63B8B">
        <w:t>онный стенд Вильнюсской биржи труда в целях ознакомления лиц, ищ</w:t>
      </w:r>
      <w:r w:rsidRPr="00C63B8B">
        <w:t>у</w:t>
      </w:r>
      <w:r w:rsidRPr="00C63B8B">
        <w:t>щих работу, с соответствующей информацией. В октябре 2008 года была подготовлена и опубликована брошюра для рома под названием "Пр</w:t>
      </w:r>
      <w:r w:rsidRPr="00C63B8B">
        <w:t>о</w:t>
      </w:r>
      <w:r w:rsidRPr="00C63B8B">
        <w:t>грамма инт</w:t>
      </w:r>
      <w:r w:rsidRPr="00C63B8B">
        <w:t>е</w:t>
      </w:r>
      <w:r w:rsidRPr="00C63B8B">
        <w:t>грации рома на 2008−2010 годы: новая возможность для рома выйти на рынок труда"; она преследовала цель информировать предст</w:t>
      </w:r>
      <w:r w:rsidRPr="00C63B8B">
        <w:t>а</w:t>
      </w:r>
      <w:r w:rsidRPr="00C63B8B">
        <w:t>вителей общины рома о Программе и ознакомить их с основными мер</w:t>
      </w:r>
      <w:r w:rsidRPr="00C63B8B">
        <w:t>а</w:t>
      </w:r>
      <w:r w:rsidRPr="00C63B8B">
        <w:t>ми, направленными на вовлечение рома в рынок труда. Биржа труда пу</w:t>
      </w:r>
      <w:r w:rsidRPr="00C63B8B">
        <w:t>б</w:t>
      </w:r>
      <w:r w:rsidRPr="00C63B8B">
        <w:t>ликует и другие информационные материалы, направленные на обесп</w:t>
      </w:r>
      <w:r w:rsidRPr="00C63B8B">
        <w:t>е</w:t>
      </w:r>
      <w:r w:rsidRPr="00C63B8B">
        <w:t>чение трудоустройс</w:t>
      </w:r>
      <w:r w:rsidRPr="00C63B8B">
        <w:t>т</w:t>
      </w:r>
      <w:r w:rsidRPr="00C63B8B">
        <w:t>ва рома;</w:t>
      </w:r>
    </w:p>
    <w:p w:rsidR="008F52F9" w:rsidRPr="00C63B8B" w:rsidRDefault="008F52F9" w:rsidP="008F52F9">
      <w:pPr>
        <w:pStyle w:val="Bullet1GR"/>
        <w:numPr>
          <w:ilvl w:val="0"/>
          <w:numId w:val="1"/>
        </w:numPr>
        <w:rPr>
          <w:b/>
        </w:rPr>
      </w:pPr>
      <w:r w:rsidRPr="00C63B8B">
        <w:t>в декабре 2009 года в государственном учреждении Общинный центр р</w:t>
      </w:r>
      <w:r w:rsidRPr="00C63B8B">
        <w:t>о</w:t>
      </w:r>
      <w:r w:rsidRPr="00C63B8B">
        <w:t>ма было установлено устройство поиска информации (терминал), предн</w:t>
      </w:r>
      <w:r w:rsidRPr="00C63B8B">
        <w:t>а</w:t>
      </w:r>
      <w:r w:rsidRPr="00C63B8B">
        <w:t>значенный для использования клиентами из числа рома в целях получ</w:t>
      </w:r>
      <w:r w:rsidRPr="00C63B8B">
        <w:t>е</w:t>
      </w:r>
      <w:r w:rsidRPr="00C63B8B">
        <w:t>ния информации о вакансиях, зарегистрированных на бирже труда. Через этот терминал рома также получили дистанционный доступ к професси</w:t>
      </w:r>
      <w:r w:rsidRPr="00C63B8B">
        <w:t>о</w:t>
      </w:r>
      <w:r w:rsidRPr="00C63B8B">
        <w:t>нальным информационным услугам.</w:t>
      </w:r>
    </w:p>
    <w:p w:rsidR="008F52F9" w:rsidRPr="00C63B8B" w:rsidRDefault="008F52F9" w:rsidP="008F52F9">
      <w:pPr>
        <w:pStyle w:val="SingleTxtGR"/>
        <w:rPr>
          <w:iCs/>
        </w:rPr>
      </w:pPr>
      <w:r w:rsidRPr="00C63B8B">
        <w:rPr>
          <w:iCs/>
        </w:rPr>
        <w:t>171.</w:t>
      </w:r>
      <w:r w:rsidRPr="00C63B8B">
        <w:rPr>
          <w:iCs/>
        </w:rPr>
        <w:tab/>
        <w:t>Наиболее эффективным способом решения проблем, связанных с инт</w:t>
      </w:r>
      <w:r w:rsidRPr="00C63B8B">
        <w:rPr>
          <w:iCs/>
        </w:rPr>
        <w:t>е</w:t>
      </w:r>
      <w:r w:rsidRPr="00C63B8B">
        <w:rPr>
          <w:iCs/>
        </w:rPr>
        <w:t>грацией рома, является реализация проектов при поддержке Европейского с</w:t>
      </w:r>
      <w:r w:rsidRPr="00C63B8B">
        <w:rPr>
          <w:iCs/>
        </w:rPr>
        <w:t>о</w:t>
      </w:r>
      <w:r w:rsidRPr="00C63B8B">
        <w:rPr>
          <w:iCs/>
        </w:rPr>
        <w:t>циального фонда. В 2009−2012 годах был осуществлен проект под названием "Навстречу рома: инновационные меры в целях вовлечения рома в рынок тр</w:t>
      </w:r>
      <w:r w:rsidRPr="00C63B8B">
        <w:rPr>
          <w:iCs/>
        </w:rPr>
        <w:t>у</w:t>
      </w:r>
      <w:r w:rsidRPr="00C63B8B">
        <w:rPr>
          <w:iCs/>
        </w:rPr>
        <w:t>да". Целью этого проекта была разработка комплекса мер в целях включения рома в рынок труда и обеспечения их участия в общественной жизни, что п</w:t>
      </w:r>
      <w:r w:rsidRPr="00C63B8B">
        <w:rPr>
          <w:iCs/>
        </w:rPr>
        <w:t>о</w:t>
      </w:r>
      <w:r w:rsidRPr="00C63B8B">
        <w:rPr>
          <w:iCs/>
        </w:rPr>
        <w:t>зволило бы им не только находить работу, но и не терять ее впоследствии. Р</w:t>
      </w:r>
      <w:r w:rsidRPr="00C63B8B">
        <w:rPr>
          <w:iCs/>
        </w:rPr>
        <w:t>е</w:t>
      </w:r>
      <w:r w:rsidRPr="00C63B8B">
        <w:rPr>
          <w:iCs/>
        </w:rPr>
        <w:t>зультаты проекта перечислены ниже. Благодаря совместным усилиям посредн</w:t>
      </w:r>
      <w:r w:rsidRPr="00C63B8B">
        <w:rPr>
          <w:iCs/>
        </w:rPr>
        <w:t>и</w:t>
      </w:r>
      <w:r w:rsidRPr="00C63B8B">
        <w:rPr>
          <w:iCs/>
        </w:rPr>
        <w:t>ков по вопросам трудоустройства, организаций-партнеров и самих безработных рома 37 из них были трудоустроены в таких сферах, как уборка помещений, строительство, пошив одежды, услуги мойки автомобилей, общественное пит</w:t>
      </w:r>
      <w:r w:rsidRPr="00C63B8B">
        <w:rPr>
          <w:iCs/>
        </w:rPr>
        <w:t>а</w:t>
      </w:r>
      <w:r w:rsidRPr="00C63B8B">
        <w:rPr>
          <w:iCs/>
        </w:rPr>
        <w:t>ние и т.д. В 2009 году было заключено 2 трудовых контракта, в 2010 году раб</w:t>
      </w:r>
      <w:r w:rsidRPr="00C63B8B">
        <w:rPr>
          <w:iCs/>
        </w:rPr>
        <w:t>о</w:t>
      </w:r>
      <w:r w:rsidRPr="00C63B8B">
        <w:rPr>
          <w:iCs/>
        </w:rPr>
        <w:t>ту получили 7 человек, в 2011 году – 23 человека, а в 2012 году – 2 человека. Двум участникам проекта были выданы сертификаты предпринимателей, а еще один участник приступил к обучению в одном из профессионально-технических училищ. Несколько других участников проекта заняты активными поисками работы или же готовятся к вступительным экзаменам, рассчитывая продолжить свое обучение за собственный счет.</w:t>
      </w:r>
    </w:p>
    <w:p w:rsidR="008F52F9" w:rsidRPr="00C63B8B" w:rsidRDefault="008F52F9" w:rsidP="008F52F9">
      <w:pPr>
        <w:pStyle w:val="H23GR"/>
      </w:pPr>
      <w:r w:rsidRPr="00C63B8B">
        <w:tab/>
      </w:r>
      <w:r w:rsidRPr="00C63B8B">
        <w:tab/>
        <w:t>Жилье</w:t>
      </w:r>
    </w:p>
    <w:p w:rsidR="008F52F9" w:rsidRPr="00C63B8B" w:rsidRDefault="008F52F9" w:rsidP="008F52F9">
      <w:pPr>
        <w:pStyle w:val="SingleTxtGR"/>
        <w:rPr>
          <w:iCs/>
        </w:rPr>
      </w:pPr>
      <w:r w:rsidRPr="00C63B8B">
        <w:rPr>
          <w:iCs/>
        </w:rPr>
        <w:t>172.</w:t>
      </w:r>
      <w:r w:rsidRPr="00C63B8B">
        <w:rPr>
          <w:iCs/>
        </w:rPr>
        <w:tab/>
        <w:t>Расследование, проведенное Омбудсменом Сейма в 2009 году, позволило выяснить, что одной из главных проблем рома является жилищный вопрос, особенно в связи с существованием незаконного поселка Киртимай в Вильн</w:t>
      </w:r>
      <w:r w:rsidRPr="00C63B8B">
        <w:rPr>
          <w:iCs/>
        </w:rPr>
        <w:t>ю</w:t>
      </w:r>
      <w:r w:rsidRPr="00C63B8B">
        <w:rPr>
          <w:iCs/>
        </w:rPr>
        <w:t>се. Дома, в которых проживают рома на территории поселка Киртимай, а также другие строения были сооружены на земле, находящейся в государственной собственности, без получения разрешений на строительство. Находящиеся на территории поселка строения не отвечают установленным санитарно-гигиеническим нормам (в них отсутствуют водопровод и канализация, не с</w:t>
      </w:r>
      <w:r w:rsidRPr="00C63B8B">
        <w:rPr>
          <w:iCs/>
        </w:rPr>
        <w:t>о</w:t>
      </w:r>
      <w:r w:rsidRPr="00C63B8B">
        <w:rPr>
          <w:iCs/>
        </w:rPr>
        <w:t>блюдаются нормативы по минимальной жилой площади и т.д.), а проживающие в них люди страдают из-за неадекватных условий для жизни и плохого жилья. Муниципалитет города Вильнюса частично решил эту проблему путем предо</w:t>
      </w:r>
      <w:r w:rsidRPr="00C63B8B">
        <w:rPr>
          <w:iCs/>
        </w:rPr>
        <w:t>с</w:t>
      </w:r>
      <w:r w:rsidRPr="00C63B8B">
        <w:rPr>
          <w:iCs/>
        </w:rPr>
        <w:t>тавления нуждающимся социального жилья. По данным за 2012 год социальное жилье было сдано в аренду 24 семьям рома, а в список семей, имеющих по</w:t>
      </w:r>
      <w:r w:rsidRPr="00C63B8B">
        <w:rPr>
          <w:iCs/>
        </w:rPr>
        <w:t>д</w:t>
      </w:r>
      <w:r w:rsidRPr="00C63B8B">
        <w:rPr>
          <w:iCs/>
        </w:rPr>
        <w:t>твержденное право на социальное жилье, входило 40 семей рома. В целях р</w:t>
      </w:r>
      <w:r w:rsidRPr="00C63B8B">
        <w:rPr>
          <w:iCs/>
        </w:rPr>
        <w:t>е</w:t>
      </w:r>
      <w:r w:rsidRPr="00C63B8B">
        <w:rPr>
          <w:iCs/>
        </w:rPr>
        <w:t>шения проблемы обеспечения рома жильем муниципалитет планирует привлечь финансирование по линии Фонда регионального развития Европейского союза в рамках Финансового плана Европейского союза на 2014−2020 годы. В целях максимально возможной интеграции рома, живущих в этом поселке, в жизнь общества Министерство социального обеспечения и труда в настоящее время разрабатывает План действий по углублению социальной интеграции на 2014−2020 годы, который будет включать в себя надлежащие меры по обесп</w:t>
      </w:r>
      <w:r w:rsidRPr="00C63B8B">
        <w:rPr>
          <w:iCs/>
        </w:rPr>
        <w:t>е</w:t>
      </w:r>
      <w:r w:rsidRPr="00C63B8B">
        <w:rPr>
          <w:iCs/>
        </w:rPr>
        <w:t>чению нуждающихся социальным жильем.</w:t>
      </w:r>
    </w:p>
    <w:p w:rsidR="008F52F9" w:rsidRPr="00C63B8B" w:rsidRDefault="008F52F9" w:rsidP="008F52F9">
      <w:pPr>
        <w:pStyle w:val="H23GR"/>
      </w:pPr>
      <w:r w:rsidRPr="00C63B8B">
        <w:tab/>
      </w:r>
      <w:r w:rsidRPr="00C63B8B">
        <w:tab/>
        <w:t>Охрана здоровья рома</w:t>
      </w:r>
    </w:p>
    <w:p w:rsidR="008F52F9" w:rsidRPr="00C63B8B" w:rsidRDefault="008F52F9" w:rsidP="008F52F9">
      <w:pPr>
        <w:pStyle w:val="SingleTxtGR"/>
        <w:rPr>
          <w:iCs/>
        </w:rPr>
      </w:pPr>
      <w:r w:rsidRPr="00C63B8B">
        <w:rPr>
          <w:iCs/>
        </w:rPr>
        <w:t>173.</w:t>
      </w:r>
      <w:r w:rsidRPr="00C63B8B">
        <w:rPr>
          <w:iCs/>
        </w:rPr>
        <w:tab/>
        <w:t>Все учреждения индивидуальной медицинской помощи предоставляют рома услуги в области здравоохранения на основании той же самой общей пр</w:t>
      </w:r>
      <w:r w:rsidRPr="00C63B8B">
        <w:rPr>
          <w:iCs/>
        </w:rPr>
        <w:t>о</w:t>
      </w:r>
      <w:r w:rsidRPr="00C63B8B">
        <w:rPr>
          <w:iCs/>
        </w:rPr>
        <w:t>цедуры, которая применяется ко всем гражданам Литвы.</w:t>
      </w:r>
    </w:p>
    <w:p w:rsidR="008F52F9" w:rsidRPr="00C63B8B" w:rsidRDefault="008F52F9" w:rsidP="008F52F9">
      <w:pPr>
        <w:pStyle w:val="SingleTxtGR"/>
        <w:rPr>
          <w:iCs/>
        </w:rPr>
      </w:pPr>
      <w:r w:rsidRPr="00C63B8B">
        <w:rPr>
          <w:iCs/>
        </w:rPr>
        <w:t>174.</w:t>
      </w:r>
      <w:r w:rsidRPr="00C63B8B">
        <w:rPr>
          <w:iCs/>
        </w:rPr>
        <w:tab/>
        <w:t>В целях ознакомления рома с принципами здорового образа жизни в ра</w:t>
      </w:r>
      <w:r w:rsidRPr="00C63B8B">
        <w:rPr>
          <w:iCs/>
        </w:rPr>
        <w:t>м</w:t>
      </w:r>
      <w:r w:rsidRPr="00C63B8B">
        <w:rPr>
          <w:iCs/>
        </w:rPr>
        <w:t>ках Программы интеграции рома в литовское общество на 2008−2010 годы был реализован проект под названием "Желтый автобус". Фонд благотворительн</w:t>
      </w:r>
      <w:r w:rsidRPr="00C63B8B">
        <w:rPr>
          <w:iCs/>
        </w:rPr>
        <w:t>о</w:t>
      </w:r>
      <w:r w:rsidRPr="00C63B8B">
        <w:rPr>
          <w:iCs/>
        </w:rPr>
        <w:t>сти и поддержки "Маяк надежды" ("</w:t>
      </w:r>
      <w:r w:rsidRPr="00C63B8B">
        <w:t>Vilties švyturys") организовал</w:t>
      </w:r>
      <w:r w:rsidRPr="00C63B8B">
        <w:rPr>
          <w:iCs/>
        </w:rPr>
        <w:t xml:space="preserve"> вблизи п</w:t>
      </w:r>
      <w:r w:rsidRPr="00C63B8B">
        <w:rPr>
          <w:iCs/>
        </w:rPr>
        <w:t>о</w:t>
      </w:r>
      <w:r w:rsidRPr="00C63B8B">
        <w:rPr>
          <w:iCs/>
        </w:rPr>
        <w:t>селка Киртимай передвижной пункт социальной и медицинской помощи (н</w:t>
      </w:r>
      <w:r w:rsidRPr="00C63B8B">
        <w:rPr>
          <w:iCs/>
        </w:rPr>
        <w:t>а</w:t>
      </w:r>
      <w:r w:rsidRPr="00C63B8B">
        <w:rPr>
          <w:iCs/>
        </w:rPr>
        <w:t>правленный на снижение вреда) для лиц, зависимых от инъекционных наркот</w:t>
      </w:r>
      <w:r w:rsidRPr="00C63B8B">
        <w:rPr>
          <w:iCs/>
        </w:rPr>
        <w:t>и</w:t>
      </w:r>
      <w:r w:rsidRPr="00C63B8B">
        <w:rPr>
          <w:iCs/>
        </w:rPr>
        <w:t>ков, с тем чтобы направлять их в соответствующие учреждения для лечения и оказывать им содействие в получении социальных услуг. В 2008 году в рамках реализации этого проекта было предоставлено 1 436 консультаций и проведено 730 учебных мероприятий по вопросам, связанным с охраной здоровья; в 43 случаях были предоставлены посреднические услуги, а в 37 случаях – тран</w:t>
      </w:r>
      <w:r w:rsidRPr="00C63B8B">
        <w:rPr>
          <w:iCs/>
        </w:rPr>
        <w:t>с</w:t>
      </w:r>
      <w:r w:rsidRPr="00C63B8B">
        <w:rPr>
          <w:iCs/>
        </w:rPr>
        <w:t>портные услуги (была обеспечена доставка людей в реабилитационные учре</w:t>
      </w:r>
      <w:r w:rsidRPr="00C63B8B">
        <w:rPr>
          <w:iCs/>
        </w:rPr>
        <w:t>ж</w:t>
      </w:r>
      <w:r w:rsidRPr="00C63B8B">
        <w:rPr>
          <w:iCs/>
        </w:rPr>
        <w:t>дения). В 2009 году в рамках реализации проекта "Желтый автобус" вблизи п</w:t>
      </w:r>
      <w:r w:rsidRPr="00C63B8B">
        <w:rPr>
          <w:iCs/>
        </w:rPr>
        <w:t>о</w:t>
      </w:r>
      <w:r w:rsidRPr="00C63B8B">
        <w:rPr>
          <w:iCs/>
        </w:rPr>
        <w:t>селка рома были предоставлены услуги 1 240 клиентам и проведены 382 ко</w:t>
      </w:r>
      <w:r w:rsidRPr="00C63B8B">
        <w:rPr>
          <w:iCs/>
        </w:rPr>
        <w:t>н</w:t>
      </w:r>
      <w:r w:rsidRPr="00C63B8B">
        <w:rPr>
          <w:iCs/>
        </w:rPr>
        <w:t xml:space="preserve">сультации; посреднические и транспортные услуги были оказаны в 22 случаях. </w:t>
      </w:r>
    </w:p>
    <w:p w:rsidR="008F52F9" w:rsidRPr="00C63B8B" w:rsidRDefault="008F52F9" w:rsidP="008F52F9">
      <w:pPr>
        <w:pStyle w:val="SingleTxtGR"/>
        <w:rPr>
          <w:iCs/>
        </w:rPr>
      </w:pPr>
      <w:r w:rsidRPr="00C63B8B">
        <w:rPr>
          <w:iCs/>
        </w:rPr>
        <w:t>175.</w:t>
      </w:r>
      <w:r w:rsidRPr="00C63B8B">
        <w:rPr>
          <w:iCs/>
        </w:rPr>
        <w:tab/>
        <w:t>Постоянные контакты с рома поддерживает Вильнюсский центр адди</w:t>
      </w:r>
      <w:r w:rsidRPr="00C63B8B">
        <w:rPr>
          <w:iCs/>
        </w:rPr>
        <w:t>к</w:t>
      </w:r>
      <w:r w:rsidRPr="00C63B8B">
        <w:rPr>
          <w:iCs/>
        </w:rPr>
        <w:t>тивных расстройств, который в рамках программы снижения вреда занимается распространением препаратов опиоидной фармакотерапии (метадон) и оказан</w:t>
      </w:r>
      <w:r w:rsidRPr="00C63B8B">
        <w:rPr>
          <w:iCs/>
        </w:rPr>
        <w:t>и</w:t>
      </w:r>
      <w:r w:rsidRPr="00C63B8B">
        <w:rPr>
          <w:iCs/>
        </w:rPr>
        <w:t>ем других услуг в целях снижения вреда. В 2011 году в программе снижения вреда принял участие в общей сложности 91 клиент из числа рома (61 мужчина и 30 женщин, средний возраст – 35 лет), а в 2012 году – 136 клиентов (87 му</w:t>
      </w:r>
      <w:r w:rsidRPr="00C63B8B">
        <w:rPr>
          <w:iCs/>
        </w:rPr>
        <w:t>ж</w:t>
      </w:r>
      <w:r w:rsidRPr="00C63B8B">
        <w:rPr>
          <w:iCs/>
        </w:rPr>
        <w:t>чин и 49 женщин, средний возраст – 35 лет). Представителям народа рома, ра</w:t>
      </w:r>
      <w:r w:rsidRPr="00C63B8B">
        <w:rPr>
          <w:iCs/>
        </w:rPr>
        <w:t>в</w:t>
      </w:r>
      <w:r w:rsidRPr="00C63B8B">
        <w:rPr>
          <w:iCs/>
        </w:rPr>
        <w:t xml:space="preserve">но как и другим клиентам/пациентам Вильнюсского центра, предоставляется медицинская, социальная и психологическая помощь; индивидуальные планы лечения/помощи разрабатываются с учетом потребностей и условий каждого человека. </w:t>
      </w:r>
    </w:p>
    <w:p w:rsidR="008F52F9" w:rsidRPr="00C63B8B" w:rsidRDefault="008F52F9" w:rsidP="008F52F9">
      <w:pPr>
        <w:pStyle w:val="SingleTxtGR"/>
        <w:rPr>
          <w:iCs/>
        </w:rPr>
      </w:pPr>
      <w:r w:rsidRPr="00C63B8B">
        <w:rPr>
          <w:iCs/>
        </w:rPr>
        <w:t>176.</w:t>
      </w:r>
      <w:r w:rsidRPr="00C63B8B">
        <w:rPr>
          <w:iCs/>
        </w:rPr>
        <w:tab/>
        <w:t>В данной связи следует упомянуть о вспышке вирусного гепатита А, к</w:t>
      </w:r>
      <w:r w:rsidRPr="00C63B8B">
        <w:rPr>
          <w:iCs/>
        </w:rPr>
        <w:t>о</w:t>
      </w:r>
      <w:r w:rsidRPr="00C63B8B">
        <w:rPr>
          <w:iCs/>
        </w:rPr>
        <w:t>торая имела место в Вильнюсе в 2012 году. С учетом того, что вильнюсский п</w:t>
      </w:r>
      <w:r w:rsidRPr="00C63B8B">
        <w:rPr>
          <w:iCs/>
        </w:rPr>
        <w:t>о</w:t>
      </w:r>
      <w:r w:rsidRPr="00C63B8B">
        <w:rPr>
          <w:iCs/>
        </w:rPr>
        <w:t>селок рома стал одним из очагов распространения этого заболевания, членам общины рома была предоставлена бесплатная вакцина от гепатита А. Вакцин</w:t>
      </w:r>
      <w:r w:rsidRPr="00C63B8B">
        <w:rPr>
          <w:iCs/>
        </w:rPr>
        <w:t>а</w:t>
      </w:r>
      <w:r w:rsidRPr="00C63B8B">
        <w:rPr>
          <w:iCs/>
        </w:rPr>
        <w:t>цию от гепатита А прошли в общей сложности 168 рома, в том числе 93 взро</w:t>
      </w:r>
      <w:r w:rsidRPr="00C63B8B">
        <w:rPr>
          <w:iCs/>
        </w:rPr>
        <w:t>с</w:t>
      </w:r>
      <w:r w:rsidRPr="00C63B8B">
        <w:rPr>
          <w:iCs/>
        </w:rPr>
        <w:t>лых и 75 детей. Вспышку инфекционного гепатита А в городе Вильнюсе уд</w:t>
      </w:r>
      <w:r w:rsidRPr="00C63B8B">
        <w:rPr>
          <w:iCs/>
        </w:rPr>
        <w:t>а</w:t>
      </w:r>
      <w:r w:rsidRPr="00C63B8B">
        <w:rPr>
          <w:iCs/>
        </w:rPr>
        <w:t>лось остановить.</w:t>
      </w:r>
    </w:p>
    <w:p w:rsidR="008F52F9" w:rsidRPr="00C63B8B" w:rsidRDefault="008F52F9" w:rsidP="008F52F9">
      <w:pPr>
        <w:pStyle w:val="H23GR"/>
      </w:pPr>
      <w:r w:rsidRPr="00C63B8B">
        <w:tab/>
      </w:r>
      <w:r w:rsidRPr="00C63B8B">
        <w:tab/>
        <w:t>Образование рома</w:t>
      </w:r>
    </w:p>
    <w:p w:rsidR="008F52F9" w:rsidRPr="00C63B8B" w:rsidRDefault="008F52F9" w:rsidP="008F52F9">
      <w:pPr>
        <w:pStyle w:val="SingleTxtGR"/>
        <w:rPr>
          <w:iCs/>
        </w:rPr>
      </w:pPr>
      <w:r w:rsidRPr="00C63B8B">
        <w:rPr>
          <w:iCs/>
        </w:rPr>
        <w:t>177.</w:t>
      </w:r>
      <w:r w:rsidRPr="00C63B8B">
        <w:rPr>
          <w:iCs/>
        </w:rPr>
        <w:tab/>
        <w:t>За последнее десятилетие число детей-рома, обучающихся в общеобраз</w:t>
      </w:r>
      <w:r w:rsidRPr="00C63B8B">
        <w:rPr>
          <w:iCs/>
        </w:rPr>
        <w:t>о</w:t>
      </w:r>
      <w:r w:rsidRPr="00C63B8B">
        <w:rPr>
          <w:iCs/>
        </w:rPr>
        <w:t>вательных школах, возросло с 276 человек в 1996−1997 годах до 572 человек в 2011−2012 годах. В 2012−2013 учебном году этот показатель снизился до 494 учеников; тем не менее большинству учеников из числа рома удается з</w:t>
      </w:r>
      <w:r w:rsidRPr="00C63B8B">
        <w:rPr>
          <w:iCs/>
        </w:rPr>
        <w:t>а</w:t>
      </w:r>
      <w:r w:rsidRPr="00C63B8B">
        <w:rPr>
          <w:iCs/>
        </w:rPr>
        <w:t>кончить начальную школу и некоторое время проучиться в классах базовой ст</w:t>
      </w:r>
      <w:r w:rsidRPr="00C63B8B">
        <w:rPr>
          <w:iCs/>
        </w:rPr>
        <w:t>а</w:t>
      </w:r>
      <w:r w:rsidRPr="00C63B8B">
        <w:rPr>
          <w:iCs/>
        </w:rPr>
        <w:t>дии обучения. Согласно данным социологического проекта "Обследование п</w:t>
      </w:r>
      <w:r w:rsidRPr="00C63B8B">
        <w:rPr>
          <w:iCs/>
        </w:rPr>
        <w:t>о</w:t>
      </w:r>
      <w:r w:rsidRPr="00C63B8B">
        <w:rPr>
          <w:iCs/>
        </w:rPr>
        <w:t>ложения рома: рома на перекрестке рынков образования и труда", результаты которого были опубликованы в декабре 2008 года, имел место относительный рост учеников-рома в пятом-седьмом классах. В среднем ученики-рома пос</w:t>
      </w:r>
      <w:r w:rsidRPr="00C63B8B">
        <w:rPr>
          <w:iCs/>
        </w:rPr>
        <w:t>е</w:t>
      </w:r>
      <w:r w:rsidRPr="00C63B8B">
        <w:rPr>
          <w:iCs/>
        </w:rPr>
        <w:t>щают школу шести−семи лет, в течение которых им удается закончить пять кла</w:t>
      </w:r>
      <w:r w:rsidRPr="00C63B8B">
        <w:rPr>
          <w:iCs/>
        </w:rPr>
        <w:t>с</w:t>
      </w:r>
      <w:r w:rsidRPr="00C63B8B">
        <w:rPr>
          <w:iCs/>
        </w:rPr>
        <w:t>сов. Четверть обследованных рома посещали и окончили только начальную школу (с первого по четвертый классы). Большинству школьников-рома не уд</w:t>
      </w:r>
      <w:r w:rsidRPr="00C63B8B">
        <w:rPr>
          <w:iCs/>
        </w:rPr>
        <w:t>а</w:t>
      </w:r>
      <w:r w:rsidRPr="00C63B8B">
        <w:rPr>
          <w:iCs/>
        </w:rPr>
        <w:t>ется получить базовое и среднее образование. Треть обследованных рома пос</w:t>
      </w:r>
      <w:r w:rsidRPr="00C63B8B">
        <w:rPr>
          <w:iCs/>
        </w:rPr>
        <w:t>е</w:t>
      </w:r>
      <w:r w:rsidRPr="00C63B8B">
        <w:rPr>
          <w:iCs/>
        </w:rPr>
        <w:t>щали среднюю школу, но заканчивали обучение в восьмом классе или ранее, то есть не получали законченное базовое образование. Девять или более классов общеобразовател</w:t>
      </w:r>
      <w:r w:rsidRPr="00C63B8B">
        <w:rPr>
          <w:iCs/>
        </w:rPr>
        <w:t>ь</w:t>
      </w:r>
      <w:r w:rsidRPr="00C63B8B">
        <w:rPr>
          <w:iCs/>
        </w:rPr>
        <w:t xml:space="preserve">ной школы закончили лишь 17,3% опрошенных. </w:t>
      </w:r>
    </w:p>
    <w:p w:rsidR="008F52F9" w:rsidRPr="00C63B8B" w:rsidRDefault="008F52F9" w:rsidP="008F52F9">
      <w:pPr>
        <w:pStyle w:val="H23GR"/>
        <w:rPr>
          <w:iCs/>
        </w:rPr>
      </w:pPr>
      <w:r w:rsidRPr="00C63B8B">
        <w:tab/>
      </w:r>
      <w:r w:rsidRPr="00C63B8B">
        <w:tab/>
        <w:t>Изменения в области образования рома в период с 2001 по 2011 годы (в %)</w:t>
      </w:r>
    </w:p>
    <w:tbl>
      <w:tblPr>
        <w:tblStyle w:val="TabNum"/>
        <w:tblW w:w="7370" w:type="dxa"/>
        <w:tblInd w:w="1134" w:type="dxa"/>
        <w:tblLayout w:type="fixed"/>
        <w:tblLook w:val="01E0"/>
      </w:tblPr>
      <w:tblGrid>
        <w:gridCol w:w="3614"/>
        <w:gridCol w:w="1878"/>
        <w:gridCol w:w="1878"/>
      </w:tblGrid>
      <w:tr w:rsidR="008F52F9" w:rsidRPr="00C63B8B" w:rsidTr="008F52F9">
        <w:trPr>
          <w:tblHeader/>
        </w:trPr>
        <w:tc>
          <w:tcPr>
            <w:cnfStyle w:val="001000000000"/>
            <w:tcW w:w="3615" w:type="dxa"/>
            <w:tcBorders>
              <w:bottom w:val="single" w:sz="12" w:space="0" w:color="auto"/>
            </w:tcBorders>
            <w:shd w:val="clear" w:color="auto" w:fill="auto"/>
          </w:tcPr>
          <w:p w:rsidR="008F52F9" w:rsidRPr="00C63B8B" w:rsidRDefault="008F52F9" w:rsidP="008F52F9">
            <w:pPr>
              <w:spacing w:before="80" w:after="80" w:line="200" w:lineRule="exact"/>
              <w:rPr>
                <w:i/>
                <w:sz w:val="16"/>
              </w:rPr>
            </w:pPr>
            <w:r w:rsidRPr="00C63B8B">
              <w:rPr>
                <w:i/>
                <w:sz w:val="16"/>
              </w:rPr>
              <w:t>Образование</w:t>
            </w:r>
          </w:p>
        </w:tc>
        <w:tc>
          <w:tcPr>
            <w:tcW w:w="1878"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2001 </w:t>
            </w:r>
          </w:p>
        </w:tc>
        <w:tc>
          <w:tcPr>
            <w:tcW w:w="1878"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 xml:space="preserve">2011 </w:t>
            </w:r>
          </w:p>
        </w:tc>
      </w:tr>
      <w:tr w:rsidR="008F52F9" w:rsidRPr="00C63B8B" w:rsidTr="008F52F9">
        <w:tc>
          <w:tcPr>
            <w:cnfStyle w:val="001000000000"/>
            <w:tcW w:w="3615" w:type="dxa"/>
            <w:tcBorders>
              <w:top w:val="single" w:sz="12" w:space="0" w:color="auto"/>
            </w:tcBorders>
          </w:tcPr>
          <w:p w:rsidR="008F52F9" w:rsidRPr="00C63B8B" w:rsidRDefault="008F52F9" w:rsidP="008F52F9">
            <w:r w:rsidRPr="00C63B8B">
              <w:t xml:space="preserve">Высшее </w:t>
            </w:r>
          </w:p>
        </w:tc>
        <w:tc>
          <w:tcPr>
            <w:tcW w:w="1878" w:type="dxa"/>
            <w:tcBorders>
              <w:top w:val="single" w:sz="12" w:space="0" w:color="auto"/>
            </w:tcBorders>
          </w:tcPr>
          <w:p w:rsidR="008F52F9" w:rsidRPr="00C63B8B" w:rsidRDefault="008F52F9" w:rsidP="008F52F9">
            <w:pPr>
              <w:cnfStyle w:val="000000000000"/>
            </w:pPr>
            <w:r w:rsidRPr="00C63B8B">
              <w:t>4</w:t>
            </w:r>
          </w:p>
        </w:tc>
        <w:tc>
          <w:tcPr>
            <w:tcW w:w="1878" w:type="dxa"/>
            <w:tcBorders>
              <w:top w:val="single" w:sz="12" w:space="0" w:color="auto"/>
            </w:tcBorders>
          </w:tcPr>
          <w:p w:rsidR="008F52F9" w:rsidRPr="00C63B8B" w:rsidRDefault="008F52F9" w:rsidP="008F52F9">
            <w:pPr>
              <w:cnfStyle w:val="000000000000"/>
            </w:pPr>
            <w:r w:rsidRPr="00C63B8B">
              <w:t>2</w:t>
            </w:r>
          </w:p>
        </w:tc>
      </w:tr>
      <w:tr w:rsidR="008F52F9" w:rsidRPr="00C63B8B" w:rsidTr="008F52F9">
        <w:tc>
          <w:tcPr>
            <w:cnfStyle w:val="001000000000"/>
            <w:tcW w:w="3615" w:type="dxa"/>
          </w:tcPr>
          <w:p w:rsidR="008F52F9" w:rsidRPr="00C63B8B" w:rsidRDefault="008F52F9" w:rsidP="008F52F9">
            <w:r w:rsidRPr="00C63B8B">
              <w:t xml:space="preserve">Высшее профессиональное и среднее </w:t>
            </w:r>
            <w:r w:rsidR="00CE1A87">
              <w:br/>
            </w:r>
            <w:r w:rsidRPr="00C63B8B">
              <w:t>сп</w:t>
            </w:r>
            <w:r w:rsidRPr="00C63B8B">
              <w:t>е</w:t>
            </w:r>
            <w:r w:rsidRPr="00C63B8B">
              <w:t>циальное</w:t>
            </w:r>
          </w:p>
        </w:tc>
        <w:tc>
          <w:tcPr>
            <w:tcW w:w="1878" w:type="dxa"/>
          </w:tcPr>
          <w:p w:rsidR="008F52F9" w:rsidRPr="00C63B8B" w:rsidRDefault="008F52F9" w:rsidP="008F52F9">
            <w:pPr>
              <w:cnfStyle w:val="000000000000"/>
            </w:pPr>
            <w:r w:rsidRPr="00C63B8B">
              <w:t>2</w:t>
            </w:r>
          </w:p>
        </w:tc>
        <w:tc>
          <w:tcPr>
            <w:tcW w:w="1878" w:type="dxa"/>
          </w:tcPr>
          <w:p w:rsidR="008F52F9" w:rsidRPr="00C63B8B" w:rsidRDefault="008F52F9" w:rsidP="008F52F9">
            <w:pPr>
              <w:cnfStyle w:val="000000000000"/>
            </w:pPr>
            <w:r w:rsidRPr="00C63B8B">
              <w:t>2</w:t>
            </w:r>
          </w:p>
        </w:tc>
      </w:tr>
      <w:tr w:rsidR="008F52F9" w:rsidRPr="00C63B8B" w:rsidTr="008F52F9">
        <w:tc>
          <w:tcPr>
            <w:cnfStyle w:val="001000000000"/>
            <w:tcW w:w="3615" w:type="dxa"/>
          </w:tcPr>
          <w:p w:rsidR="008F52F9" w:rsidRPr="00C63B8B" w:rsidRDefault="008F52F9" w:rsidP="008F52F9">
            <w:r w:rsidRPr="00C63B8B">
              <w:t xml:space="preserve">Среднее </w:t>
            </w:r>
          </w:p>
        </w:tc>
        <w:tc>
          <w:tcPr>
            <w:tcW w:w="1878" w:type="dxa"/>
          </w:tcPr>
          <w:p w:rsidR="008F52F9" w:rsidRPr="00C63B8B" w:rsidRDefault="008F52F9" w:rsidP="008F52F9">
            <w:pPr>
              <w:cnfStyle w:val="000000000000"/>
            </w:pPr>
            <w:r w:rsidRPr="00C63B8B">
              <w:t>22</w:t>
            </w:r>
          </w:p>
        </w:tc>
        <w:tc>
          <w:tcPr>
            <w:tcW w:w="1878" w:type="dxa"/>
          </w:tcPr>
          <w:p w:rsidR="008F52F9" w:rsidRPr="00C63B8B" w:rsidRDefault="008F52F9" w:rsidP="008F52F9">
            <w:pPr>
              <w:cnfStyle w:val="000000000000"/>
            </w:pPr>
            <w:r w:rsidRPr="00C63B8B">
              <w:t>16</w:t>
            </w:r>
          </w:p>
        </w:tc>
      </w:tr>
      <w:tr w:rsidR="008F52F9" w:rsidRPr="00C63B8B" w:rsidTr="008F52F9">
        <w:tc>
          <w:tcPr>
            <w:cnfStyle w:val="001000000000"/>
            <w:tcW w:w="3615" w:type="dxa"/>
          </w:tcPr>
          <w:p w:rsidR="008F52F9" w:rsidRPr="00C63B8B" w:rsidRDefault="008F52F9" w:rsidP="008F52F9">
            <w:r w:rsidRPr="00C63B8B">
              <w:t xml:space="preserve">Базовое </w:t>
            </w:r>
          </w:p>
        </w:tc>
        <w:tc>
          <w:tcPr>
            <w:tcW w:w="1878" w:type="dxa"/>
          </w:tcPr>
          <w:p w:rsidR="008F52F9" w:rsidRPr="00C63B8B" w:rsidRDefault="008F52F9" w:rsidP="008F52F9">
            <w:pPr>
              <w:cnfStyle w:val="000000000000"/>
            </w:pPr>
            <w:r w:rsidRPr="00C63B8B">
              <w:t>15</w:t>
            </w:r>
          </w:p>
        </w:tc>
        <w:tc>
          <w:tcPr>
            <w:tcW w:w="1878" w:type="dxa"/>
          </w:tcPr>
          <w:p w:rsidR="008F52F9" w:rsidRPr="00C63B8B" w:rsidRDefault="008F52F9" w:rsidP="008F52F9">
            <w:pPr>
              <w:cnfStyle w:val="000000000000"/>
            </w:pPr>
            <w:r w:rsidRPr="00C63B8B">
              <w:t>29</w:t>
            </w:r>
          </w:p>
        </w:tc>
      </w:tr>
      <w:tr w:rsidR="008F52F9" w:rsidRPr="00C63B8B" w:rsidTr="008F52F9">
        <w:tc>
          <w:tcPr>
            <w:cnfStyle w:val="001000000000"/>
            <w:tcW w:w="3615" w:type="dxa"/>
          </w:tcPr>
          <w:p w:rsidR="008F52F9" w:rsidRPr="00C63B8B" w:rsidRDefault="008F52F9" w:rsidP="008F52F9">
            <w:r w:rsidRPr="00C63B8B">
              <w:t xml:space="preserve">Начальное </w:t>
            </w:r>
          </w:p>
        </w:tc>
        <w:tc>
          <w:tcPr>
            <w:tcW w:w="1878" w:type="dxa"/>
          </w:tcPr>
          <w:p w:rsidR="008F52F9" w:rsidRPr="00C63B8B" w:rsidRDefault="008F52F9" w:rsidP="008F52F9">
            <w:pPr>
              <w:cnfStyle w:val="000000000000"/>
            </w:pPr>
            <w:r w:rsidRPr="00C63B8B">
              <w:t>31</w:t>
            </w:r>
          </w:p>
        </w:tc>
        <w:tc>
          <w:tcPr>
            <w:tcW w:w="1878" w:type="dxa"/>
          </w:tcPr>
          <w:p w:rsidR="008F52F9" w:rsidRPr="00C63B8B" w:rsidRDefault="008F52F9" w:rsidP="008F52F9">
            <w:pPr>
              <w:cnfStyle w:val="000000000000"/>
            </w:pPr>
            <w:r w:rsidRPr="00C63B8B">
              <w:t>42</w:t>
            </w:r>
          </w:p>
        </w:tc>
      </w:tr>
      <w:tr w:rsidR="008F52F9" w:rsidRPr="00C63B8B" w:rsidTr="008F52F9">
        <w:tc>
          <w:tcPr>
            <w:cnfStyle w:val="001000000000"/>
            <w:tcW w:w="3615" w:type="dxa"/>
          </w:tcPr>
          <w:p w:rsidR="008F52F9" w:rsidRPr="00C63B8B" w:rsidRDefault="008F52F9" w:rsidP="008F52F9">
            <w:r w:rsidRPr="00C63B8B">
              <w:t>Неполное начальное образование/</w:t>
            </w:r>
            <w:r w:rsidR="00CE1A87">
              <w:br/>
            </w:r>
            <w:r w:rsidRPr="00C63B8B">
              <w:t>не п</w:t>
            </w:r>
            <w:r w:rsidRPr="00C63B8B">
              <w:t>о</w:t>
            </w:r>
            <w:r w:rsidRPr="00C63B8B">
              <w:t xml:space="preserve">сещали школу </w:t>
            </w:r>
          </w:p>
        </w:tc>
        <w:tc>
          <w:tcPr>
            <w:tcW w:w="1878" w:type="dxa"/>
          </w:tcPr>
          <w:p w:rsidR="008F52F9" w:rsidRPr="00C63B8B" w:rsidRDefault="008F52F9" w:rsidP="008F52F9">
            <w:pPr>
              <w:cnfStyle w:val="000000000000"/>
            </w:pPr>
            <w:r w:rsidRPr="00C63B8B">
              <w:t>26</w:t>
            </w:r>
          </w:p>
        </w:tc>
        <w:tc>
          <w:tcPr>
            <w:tcW w:w="1878" w:type="dxa"/>
          </w:tcPr>
          <w:p w:rsidR="008F52F9" w:rsidRPr="00C63B8B" w:rsidRDefault="008F52F9" w:rsidP="008F52F9">
            <w:pPr>
              <w:cnfStyle w:val="000000000000"/>
            </w:pPr>
            <w:r w:rsidRPr="00C63B8B">
              <w:t>10</w:t>
            </w:r>
          </w:p>
        </w:tc>
      </w:tr>
    </w:tbl>
    <w:p w:rsidR="008F52F9" w:rsidRPr="00C63B8B" w:rsidRDefault="008F52F9" w:rsidP="008F52F9">
      <w:pPr>
        <w:pStyle w:val="SingleTxtGR"/>
        <w:spacing w:before="120"/>
        <w:rPr>
          <w:iCs/>
        </w:rPr>
      </w:pPr>
      <w:r w:rsidRPr="00C63B8B">
        <w:rPr>
          <w:iCs/>
        </w:rPr>
        <w:t>178.</w:t>
      </w:r>
      <w:r w:rsidRPr="00C63B8B">
        <w:rPr>
          <w:iCs/>
        </w:rPr>
        <w:tab/>
        <w:t>В ходе осуществления Программы интеграции рома в литовское общес</w:t>
      </w:r>
      <w:r w:rsidRPr="00C63B8B">
        <w:rPr>
          <w:iCs/>
        </w:rPr>
        <w:t>т</w:t>
      </w:r>
      <w:r w:rsidRPr="00C63B8B">
        <w:rPr>
          <w:iCs/>
        </w:rPr>
        <w:t>во на 2008−2010 годы при Общинном центре рома в Вильнюсе было организ</w:t>
      </w:r>
      <w:r w:rsidRPr="00C63B8B">
        <w:rPr>
          <w:iCs/>
        </w:rPr>
        <w:t>о</w:t>
      </w:r>
      <w:r w:rsidRPr="00C63B8B">
        <w:rPr>
          <w:iCs/>
        </w:rPr>
        <w:t>вано дошкольное обучение и занятия по подготовке к школе (уроки литовского языка, математики и социальных навыков, которые посещали 40 детей), а также уроки государственного языка и компьютерной грамотности. При Центре также функционирует учреждение по уходу за детьми в дневное время, в котором д</w:t>
      </w:r>
      <w:r w:rsidRPr="00C63B8B">
        <w:rPr>
          <w:iCs/>
        </w:rPr>
        <w:t>е</w:t>
      </w:r>
      <w:r w:rsidRPr="00C63B8B">
        <w:rPr>
          <w:iCs/>
        </w:rPr>
        <w:t>тям и молодежи предлагаются занятия по интересам, а также организуются учебные мероприятия и детские сценические выступления. Кроме того, пров</w:t>
      </w:r>
      <w:r w:rsidRPr="00C63B8B">
        <w:rPr>
          <w:iCs/>
        </w:rPr>
        <w:t>о</w:t>
      </w:r>
      <w:r w:rsidRPr="00C63B8B">
        <w:rPr>
          <w:iCs/>
        </w:rPr>
        <w:t>дятся тренинги для педагогов, работающих с детьми-рома.</w:t>
      </w:r>
    </w:p>
    <w:p w:rsidR="008F52F9" w:rsidRPr="00C63B8B" w:rsidRDefault="008F52F9" w:rsidP="008F52F9">
      <w:pPr>
        <w:pStyle w:val="SingleTxtGR"/>
        <w:rPr>
          <w:b/>
          <w:iCs/>
        </w:rPr>
      </w:pPr>
      <w:r w:rsidRPr="00C63B8B">
        <w:rPr>
          <w:b/>
          <w:iCs/>
        </w:rPr>
        <w:t>Поощрение культуры и традиций рома</w:t>
      </w:r>
    </w:p>
    <w:p w:rsidR="008F52F9" w:rsidRPr="00C63B8B" w:rsidRDefault="008F52F9" w:rsidP="008F52F9">
      <w:pPr>
        <w:pStyle w:val="SingleTxtGR"/>
        <w:rPr>
          <w:iCs/>
        </w:rPr>
      </w:pPr>
      <w:r w:rsidRPr="00C63B8B">
        <w:rPr>
          <w:iCs/>
        </w:rPr>
        <w:t>179.</w:t>
      </w:r>
      <w:r w:rsidRPr="00C63B8B">
        <w:rPr>
          <w:iCs/>
        </w:rPr>
        <w:tab/>
        <w:t>В целях содействия воспитанию в обществе толерантности и обеспечения взаимного понимания и уважения между различными народами проводятся ежегодные мероприятия, направленные на поощрение толерантности по отн</w:t>
      </w:r>
      <w:r w:rsidRPr="00C63B8B">
        <w:rPr>
          <w:iCs/>
        </w:rPr>
        <w:t>о</w:t>
      </w:r>
      <w:r w:rsidRPr="00C63B8B">
        <w:rPr>
          <w:iCs/>
        </w:rPr>
        <w:t>шению к различным культурам и расширение знаний о них, включая меропри</w:t>
      </w:r>
      <w:r w:rsidRPr="00C63B8B">
        <w:rPr>
          <w:iCs/>
        </w:rPr>
        <w:t>я</w:t>
      </w:r>
      <w:r w:rsidRPr="00C63B8B">
        <w:rPr>
          <w:iCs/>
        </w:rPr>
        <w:t>тия, ежегодно организуемые в Литве в связи с проведением Международного дня рома.</w:t>
      </w:r>
    </w:p>
    <w:p w:rsidR="008F52F9" w:rsidRPr="00C63B8B" w:rsidRDefault="008F52F9" w:rsidP="008F52F9">
      <w:pPr>
        <w:pStyle w:val="SingleTxtGR"/>
        <w:rPr>
          <w:iCs/>
        </w:rPr>
      </w:pPr>
      <w:r w:rsidRPr="00C63B8B">
        <w:rPr>
          <w:iCs/>
        </w:rPr>
        <w:t>180.</w:t>
      </w:r>
      <w:r w:rsidRPr="00C63B8B">
        <w:rPr>
          <w:iCs/>
        </w:rPr>
        <w:tab/>
        <w:t>В целях ознакомления литовской общественности с традициями и об</w:t>
      </w:r>
      <w:r w:rsidRPr="00C63B8B">
        <w:rPr>
          <w:iCs/>
        </w:rPr>
        <w:t>ы</w:t>
      </w:r>
      <w:r w:rsidRPr="00C63B8B">
        <w:rPr>
          <w:iCs/>
        </w:rPr>
        <w:t>чаями рома, а также содействия укреплению в обществе толерантности и дов</w:t>
      </w:r>
      <w:r w:rsidRPr="00C63B8B">
        <w:rPr>
          <w:iCs/>
        </w:rPr>
        <w:t>е</w:t>
      </w:r>
      <w:r w:rsidRPr="00C63B8B">
        <w:rPr>
          <w:iCs/>
        </w:rPr>
        <w:t>рия по отношению к рома в рамках Программы интеграции рома в литовское общество на 2008−2010 годы обеспечивалась трансляция соответствующих р</w:t>
      </w:r>
      <w:r w:rsidRPr="00C63B8B">
        <w:rPr>
          <w:iCs/>
        </w:rPr>
        <w:t>а</w:t>
      </w:r>
      <w:r w:rsidRPr="00C63B8B">
        <w:rPr>
          <w:iCs/>
        </w:rPr>
        <w:t>диопередач, в ежедневных газетах публиковались статьи, посвященные данным темам, а также было начато издание информационного бюллетеня, посвященн</w:t>
      </w:r>
      <w:r w:rsidRPr="00C63B8B">
        <w:rPr>
          <w:iCs/>
        </w:rPr>
        <w:t>о</w:t>
      </w:r>
      <w:r w:rsidRPr="00C63B8B">
        <w:rPr>
          <w:iCs/>
        </w:rPr>
        <w:t xml:space="preserve">го рома, под названием "Рома день за днем" </w:t>
      </w:r>
      <w:r w:rsidRPr="00C63B8B">
        <w:rPr>
          <w:i/>
          <w:iCs/>
        </w:rPr>
        <w:t>(</w:t>
      </w:r>
      <w:r w:rsidRPr="00C63B8B">
        <w:rPr>
          <w:iCs/>
        </w:rPr>
        <w:t>"Romano čačipen"</w:t>
      </w:r>
      <w:r w:rsidRPr="00C63B8B">
        <w:rPr>
          <w:i/>
          <w:iCs/>
        </w:rPr>
        <w:t>)</w:t>
      </w:r>
      <w:r w:rsidRPr="00C63B8B">
        <w:rPr>
          <w:iCs/>
        </w:rPr>
        <w:t>. Кроме того, на веб-сайте www.roma.lt размещалась соответствующая информация на лито</w:t>
      </w:r>
      <w:r w:rsidRPr="00C63B8B">
        <w:rPr>
          <w:iCs/>
        </w:rPr>
        <w:t>в</w:t>
      </w:r>
      <w:r w:rsidRPr="00C63B8B">
        <w:rPr>
          <w:iCs/>
        </w:rPr>
        <w:t>ском, английском и русском языках.</w:t>
      </w:r>
    </w:p>
    <w:p w:rsidR="008F52F9" w:rsidRPr="00C63B8B" w:rsidRDefault="008F52F9" w:rsidP="008F52F9">
      <w:pPr>
        <w:pStyle w:val="SingleTxtGR"/>
        <w:rPr>
          <w:iCs/>
        </w:rPr>
      </w:pPr>
      <w:r w:rsidRPr="00C63B8B">
        <w:rPr>
          <w:iCs/>
        </w:rPr>
        <w:t>181.</w:t>
      </w:r>
      <w:r w:rsidRPr="00C63B8B">
        <w:rPr>
          <w:iCs/>
        </w:rPr>
        <w:tab/>
        <w:t xml:space="preserve">В 2009 году были впервые проведены мероприятия, посвященные памяти жертв Холокоста рома. </w:t>
      </w:r>
    </w:p>
    <w:p w:rsidR="008F52F9" w:rsidRPr="00C63B8B" w:rsidRDefault="008F52F9" w:rsidP="008F52F9">
      <w:pPr>
        <w:pStyle w:val="SingleTxtGR"/>
        <w:rPr>
          <w:iCs/>
        </w:rPr>
      </w:pPr>
      <w:r w:rsidRPr="00C63B8B">
        <w:rPr>
          <w:iCs/>
        </w:rPr>
        <w:t>182.</w:t>
      </w:r>
      <w:r w:rsidRPr="00C63B8B">
        <w:rPr>
          <w:iCs/>
        </w:rPr>
        <w:tab/>
        <w:t>В конце 2012 года Литва присоединилась к кампании Совета Европы под названием "Довольно!"; ее целью является углубление знаний о рома, сближ</w:t>
      </w:r>
      <w:r w:rsidRPr="00C63B8B">
        <w:rPr>
          <w:iCs/>
        </w:rPr>
        <w:t>е</w:t>
      </w:r>
      <w:r w:rsidRPr="00C63B8B">
        <w:rPr>
          <w:iCs/>
        </w:rPr>
        <w:t>ние представителей народа рома с представителями других народов и устран</w:t>
      </w:r>
      <w:r w:rsidRPr="00C63B8B">
        <w:rPr>
          <w:iCs/>
        </w:rPr>
        <w:t>е</w:t>
      </w:r>
      <w:r w:rsidRPr="00C63B8B">
        <w:rPr>
          <w:iCs/>
        </w:rPr>
        <w:t>ние барьеров, обусловленных глубоко укоренившимися предрассудками и ст</w:t>
      </w:r>
      <w:r w:rsidRPr="00C63B8B">
        <w:rPr>
          <w:iCs/>
        </w:rPr>
        <w:t>е</w:t>
      </w:r>
      <w:r w:rsidRPr="00C63B8B">
        <w:rPr>
          <w:iCs/>
        </w:rPr>
        <w:t>реотипами. В рамках кампании "Довольно!" Министерство культуры планирует выпустить компакт-диск со сказками народа рома на двух языках (цыганском и литовском), а также книгу по истории рома, экземпляры которой будут разосл</w:t>
      </w:r>
      <w:r w:rsidRPr="00C63B8B">
        <w:rPr>
          <w:iCs/>
        </w:rPr>
        <w:t>а</w:t>
      </w:r>
      <w:r w:rsidRPr="00C63B8B">
        <w:rPr>
          <w:iCs/>
        </w:rPr>
        <w:t xml:space="preserve">ны по библиотекам. </w:t>
      </w:r>
    </w:p>
    <w:p w:rsidR="008F52F9" w:rsidRPr="00C63B8B" w:rsidRDefault="008F52F9" w:rsidP="008F52F9">
      <w:pPr>
        <w:pStyle w:val="H23GR"/>
      </w:pPr>
      <w:r w:rsidRPr="00C63B8B">
        <w:tab/>
      </w:r>
      <w:r w:rsidRPr="00C63B8B">
        <w:tab/>
        <w:t>Программа по снятию с эксплуатации Государственного предприятия "Игналинская атомная электростанция" на 2010−2014 годы</w:t>
      </w:r>
    </w:p>
    <w:p w:rsidR="008F52F9" w:rsidRPr="00C63B8B" w:rsidRDefault="008F52F9" w:rsidP="008F52F9">
      <w:pPr>
        <w:pStyle w:val="SingleTxtGR"/>
        <w:rPr>
          <w:iCs/>
        </w:rPr>
      </w:pPr>
      <w:r w:rsidRPr="00C63B8B">
        <w:rPr>
          <w:iCs/>
        </w:rPr>
        <w:t>183.</w:t>
      </w:r>
      <w:r w:rsidRPr="00C63B8B">
        <w:rPr>
          <w:iCs/>
        </w:rPr>
        <w:tab/>
        <w:t>Программа по снятию с эксплуатации Государственного предприятия "Игналинская атомная электростанция" на 2010−2014 годы была одобрена Пр</w:t>
      </w:r>
      <w:r w:rsidRPr="00C63B8B">
        <w:rPr>
          <w:iCs/>
        </w:rPr>
        <w:t>а</w:t>
      </w:r>
      <w:r w:rsidRPr="00C63B8B">
        <w:rPr>
          <w:iCs/>
        </w:rPr>
        <w:t>вительством в его резолюции № 1425 от 29 сентября 2010 года. Одной из целей Программы является смягчение негативных социально-экономических после</w:t>
      </w:r>
      <w:r w:rsidRPr="00C63B8B">
        <w:rPr>
          <w:iCs/>
        </w:rPr>
        <w:t>д</w:t>
      </w:r>
      <w:r w:rsidRPr="00C63B8B">
        <w:rPr>
          <w:iCs/>
        </w:rPr>
        <w:t>ствий закрытия Игналинской АЭС для региона, в котором она расположена. С</w:t>
      </w:r>
      <w:r w:rsidRPr="00C63B8B">
        <w:rPr>
          <w:iCs/>
        </w:rPr>
        <w:t>о</w:t>
      </w:r>
      <w:r w:rsidRPr="00C63B8B">
        <w:rPr>
          <w:iCs/>
        </w:rPr>
        <w:t>вместную ответственность за реализацию мероприятий в рамках этой Пр</w:t>
      </w:r>
      <w:r w:rsidRPr="00C63B8B">
        <w:rPr>
          <w:iCs/>
        </w:rPr>
        <w:t>о</w:t>
      </w:r>
      <w:r w:rsidRPr="00C63B8B">
        <w:rPr>
          <w:iCs/>
        </w:rPr>
        <w:t>граммы несут биржа труда города Утена, Литовская биржа труда при Мин</w:t>
      </w:r>
      <w:r w:rsidRPr="00C63B8B">
        <w:rPr>
          <w:iCs/>
        </w:rPr>
        <w:t>и</w:t>
      </w:r>
      <w:r w:rsidRPr="00C63B8B">
        <w:rPr>
          <w:iCs/>
        </w:rPr>
        <w:t>стерстве социального обеспечения и труда, Министерство социального обесп</w:t>
      </w:r>
      <w:r w:rsidRPr="00C63B8B">
        <w:rPr>
          <w:iCs/>
        </w:rPr>
        <w:t>е</w:t>
      </w:r>
      <w:r w:rsidRPr="00C63B8B">
        <w:rPr>
          <w:iCs/>
        </w:rPr>
        <w:t>чения и труда, а также Министерство энергетики; в частности, речь идет о пр</w:t>
      </w:r>
      <w:r w:rsidRPr="00C63B8B">
        <w:rPr>
          <w:iCs/>
        </w:rPr>
        <w:t>е</w:t>
      </w:r>
      <w:r w:rsidRPr="00C63B8B">
        <w:rPr>
          <w:iCs/>
        </w:rPr>
        <w:t>доставлении дополнительных социальных и трудовых гарантий уволенным р</w:t>
      </w:r>
      <w:r w:rsidRPr="00C63B8B">
        <w:rPr>
          <w:iCs/>
        </w:rPr>
        <w:t>а</w:t>
      </w:r>
      <w:r w:rsidRPr="00C63B8B">
        <w:rPr>
          <w:iCs/>
        </w:rPr>
        <w:t>ботникам электростанции, а также работникам, которым было объявлено о предстоящем увольнении, и членам их семей. Планируется, что средства на ц</w:t>
      </w:r>
      <w:r w:rsidRPr="00C63B8B">
        <w:rPr>
          <w:iCs/>
        </w:rPr>
        <w:t>е</w:t>
      </w:r>
      <w:r w:rsidRPr="00C63B8B">
        <w:rPr>
          <w:iCs/>
        </w:rPr>
        <w:t>ли финансирования этих мер поступят от Фонда снятия с эксплуатации Гос</w:t>
      </w:r>
      <w:r w:rsidRPr="00C63B8B">
        <w:rPr>
          <w:iCs/>
        </w:rPr>
        <w:t>у</w:t>
      </w:r>
      <w:r w:rsidRPr="00C63B8B">
        <w:rPr>
          <w:iCs/>
        </w:rPr>
        <w:t>дарственного предприятия "Игналинская атомная электростанция". Расчетные потребности в финансировании составляют: в 2010 году – 28 млн. литов; в 2011 году – 7 200 000 литов; в 2012 году – 10 млн. литов; в 2013 году – 6 млн. литов; и в 2014 году – 5 млн. литов.</w:t>
      </w:r>
    </w:p>
    <w:p w:rsidR="008F52F9" w:rsidRPr="00C63B8B" w:rsidRDefault="008F52F9" w:rsidP="008F52F9">
      <w:pPr>
        <w:pStyle w:val="SingleTxtGR"/>
        <w:rPr>
          <w:iCs/>
        </w:rPr>
      </w:pPr>
      <w:r w:rsidRPr="00C63B8B">
        <w:rPr>
          <w:iCs/>
        </w:rPr>
        <w:t>184.</w:t>
      </w:r>
      <w:r w:rsidRPr="00C63B8B">
        <w:rPr>
          <w:iCs/>
        </w:rPr>
        <w:tab/>
        <w:t>В целях смягчения негативных социально-экономических последствий снятия с эксплуатации Игналинской электростанции для региона, в котором она расположена, были реализованы следующие меры: предоставлены услуги по организации курсов литовского языка для 1 800 жителей муниципального обр</w:t>
      </w:r>
      <w:r w:rsidRPr="00C63B8B">
        <w:rPr>
          <w:iCs/>
        </w:rPr>
        <w:t>а</w:t>
      </w:r>
      <w:r w:rsidRPr="00C63B8B">
        <w:rPr>
          <w:iCs/>
        </w:rPr>
        <w:t>зования Висагинас и организовано 150 программ по информированию насел</w:t>
      </w:r>
      <w:r w:rsidRPr="00C63B8B">
        <w:rPr>
          <w:iCs/>
        </w:rPr>
        <w:t>е</w:t>
      </w:r>
      <w:r w:rsidRPr="00C63B8B">
        <w:rPr>
          <w:iCs/>
        </w:rPr>
        <w:t>ния; претворены в жизнь 60 местных инициатив и молодежных проектов в р</w:t>
      </w:r>
      <w:r w:rsidRPr="00C63B8B">
        <w:rPr>
          <w:iCs/>
        </w:rPr>
        <w:t>е</w:t>
      </w:r>
      <w:r w:rsidRPr="00C63B8B">
        <w:rPr>
          <w:iCs/>
        </w:rPr>
        <w:t>гионе расположения Игналинской электростанции; предоставлены дополн</w:t>
      </w:r>
      <w:r w:rsidRPr="00C63B8B">
        <w:rPr>
          <w:iCs/>
        </w:rPr>
        <w:t>и</w:t>
      </w:r>
      <w:r w:rsidRPr="00C63B8B">
        <w:rPr>
          <w:iCs/>
        </w:rPr>
        <w:t>тельные трудовые и социальные гарантии работникам электростанции, которым было объявлено об увольнении; реализовано 9 проектов повышения энергоэ</w:t>
      </w:r>
      <w:r w:rsidRPr="00C63B8B">
        <w:rPr>
          <w:iCs/>
        </w:rPr>
        <w:t>ф</w:t>
      </w:r>
      <w:r w:rsidRPr="00C63B8B">
        <w:rPr>
          <w:iCs/>
        </w:rPr>
        <w:t>фективности на электростанции; проведено полное обновление системы це</w:t>
      </w:r>
      <w:r w:rsidRPr="00C63B8B">
        <w:rPr>
          <w:iCs/>
        </w:rPr>
        <w:t>н</w:t>
      </w:r>
      <w:r w:rsidRPr="00C63B8B">
        <w:rPr>
          <w:iCs/>
        </w:rPr>
        <w:t>трального отопления в муниципальном образовании Висагинас; жителям мун</w:t>
      </w:r>
      <w:r w:rsidRPr="00C63B8B">
        <w:rPr>
          <w:iCs/>
        </w:rPr>
        <w:t>и</w:t>
      </w:r>
      <w:r w:rsidRPr="00C63B8B">
        <w:rPr>
          <w:iCs/>
        </w:rPr>
        <w:t xml:space="preserve">ципального образования Висагинас частично возмещены расходы на отопление жилищ. </w:t>
      </w:r>
    </w:p>
    <w:p w:rsidR="008F52F9" w:rsidRPr="00C63B8B" w:rsidRDefault="008F52F9" w:rsidP="008F52F9">
      <w:pPr>
        <w:pStyle w:val="H1GR"/>
      </w:pPr>
      <w:r w:rsidRPr="00C63B8B">
        <w:tab/>
      </w:r>
      <w:r w:rsidRPr="00C63B8B">
        <w:tab/>
        <w:t>Статья 6</w:t>
      </w:r>
    </w:p>
    <w:p w:rsidR="008F52F9" w:rsidRPr="00C63B8B" w:rsidRDefault="008F52F9" w:rsidP="008F52F9">
      <w:pPr>
        <w:pStyle w:val="SingleTxtGR"/>
        <w:rPr>
          <w:iCs/>
        </w:rPr>
      </w:pPr>
      <w:r w:rsidRPr="00C63B8B">
        <w:rPr>
          <w:iCs/>
        </w:rPr>
        <w:t>185.</w:t>
      </w:r>
      <w:r w:rsidRPr="00C63B8B">
        <w:rPr>
          <w:iCs/>
        </w:rPr>
        <w:tab/>
        <w:t>Все лица вне зависимости от их расы, цвета кожи, национальности или этнического происхождения имеют равное право обращаться в полицию, орг</w:t>
      </w:r>
      <w:r w:rsidRPr="00C63B8B">
        <w:rPr>
          <w:iCs/>
        </w:rPr>
        <w:t>а</w:t>
      </w:r>
      <w:r w:rsidRPr="00C63B8B">
        <w:rPr>
          <w:iCs/>
        </w:rPr>
        <w:t xml:space="preserve">ны прокуратуры и суды, а также к Омбудсмену Сейма, Уполномоченному по обеспечению равных возможностей и Уполномоченному по правам ребенка. </w:t>
      </w:r>
    </w:p>
    <w:p w:rsidR="008F52F9" w:rsidRPr="00C63B8B" w:rsidRDefault="008F52F9" w:rsidP="008F52F9">
      <w:pPr>
        <w:pStyle w:val="H23GR"/>
      </w:pPr>
      <w:r w:rsidRPr="00C63B8B">
        <w:tab/>
      </w:r>
      <w:r w:rsidRPr="00C63B8B">
        <w:tab/>
        <w:t>Процессуальные гарантии и компенсации жертвам дискриминации</w:t>
      </w:r>
    </w:p>
    <w:p w:rsidR="008F52F9" w:rsidRPr="00C63B8B" w:rsidRDefault="008F52F9" w:rsidP="008F52F9">
      <w:pPr>
        <w:pStyle w:val="SingleTxtGR"/>
        <w:rPr>
          <w:iCs/>
        </w:rPr>
      </w:pPr>
      <w:r w:rsidRPr="00C63B8B">
        <w:rPr>
          <w:iCs/>
        </w:rPr>
        <w:t>186.</w:t>
      </w:r>
      <w:r w:rsidRPr="00C63B8B">
        <w:rPr>
          <w:iCs/>
        </w:rPr>
        <w:tab/>
        <w:t>Подробная информация о процессуальных гарантиях, предоставляемых потерпевшим, а также о средствах правовой защиты приводится в пун</w:t>
      </w:r>
      <w:r w:rsidRPr="00C63B8B">
        <w:rPr>
          <w:iCs/>
        </w:rPr>
        <w:t>к</w:t>
      </w:r>
      <w:r w:rsidRPr="00C63B8B">
        <w:rPr>
          <w:iCs/>
        </w:rPr>
        <w:t>тах 8−13.</w:t>
      </w:r>
    </w:p>
    <w:p w:rsidR="008F52F9" w:rsidRPr="00C63B8B" w:rsidRDefault="008F52F9" w:rsidP="008F52F9">
      <w:pPr>
        <w:pStyle w:val="SingleTxtGR"/>
      </w:pPr>
      <w:r w:rsidRPr="00C63B8B">
        <w:t>187.</w:t>
      </w:r>
      <w:r w:rsidRPr="00C63B8B">
        <w:tab/>
        <w:t>Кроме того, важно отметить, что 17 июня 2008 года была принята п</w:t>
      </w:r>
      <w:r w:rsidRPr="00C63B8B">
        <w:t>о</w:t>
      </w:r>
      <w:r w:rsidRPr="00C63B8B">
        <w:t>правка к Закону о равных возможностях, предусматривающая оперативную в</w:t>
      </w:r>
      <w:r w:rsidRPr="00C63B8B">
        <w:t>ы</w:t>
      </w:r>
      <w:r w:rsidRPr="00C63B8B">
        <w:t>плату пропорциональных и существенных компенсаций за нарушения принципа равных возможностей, что, в свою очередь, дает жертвам дискриминации по признакам возраста, сексуальной ориентации, наличия инвалидности, расы или этнической принадлежности, религии, убеждений или политических взглядов право требовать от тех лиц, которые нанесли им материальный или нематер</w:t>
      </w:r>
      <w:r w:rsidRPr="00C63B8B">
        <w:t>и</w:t>
      </w:r>
      <w:r w:rsidRPr="00C63B8B">
        <w:t>альный ущерб, компенсации в соответствии с процедурой, предусмотренной з</w:t>
      </w:r>
      <w:r w:rsidRPr="00C63B8B">
        <w:t>а</w:t>
      </w:r>
      <w:r w:rsidRPr="00C63B8B">
        <w:t>конами Литвы. Кроме того, эти поправки к Закону о равных возможностях пр</w:t>
      </w:r>
      <w:r w:rsidRPr="00C63B8B">
        <w:t>е</w:t>
      </w:r>
      <w:r w:rsidRPr="00C63B8B">
        <w:t>доставляют жертвам дискриминации более эффективные процессуальные г</w:t>
      </w:r>
      <w:r w:rsidRPr="00C63B8B">
        <w:t>а</w:t>
      </w:r>
      <w:r w:rsidRPr="00C63B8B">
        <w:t xml:space="preserve">рантии, возлагая бремя доказывания в связи со случаями дискриминации (за исключением уголовных дел) на ответчика. </w:t>
      </w:r>
    </w:p>
    <w:p w:rsidR="008F52F9" w:rsidRPr="00C63B8B" w:rsidRDefault="008F52F9" w:rsidP="008F52F9">
      <w:pPr>
        <w:pStyle w:val="H23GR"/>
      </w:pPr>
      <w:r w:rsidRPr="00C63B8B">
        <w:tab/>
      </w:r>
      <w:r w:rsidRPr="00C63B8B">
        <w:tab/>
        <w:t>Расследования, проведенные Канцелярией Омбудсмена Сейма</w:t>
      </w:r>
    </w:p>
    <w:p w:rsidR="008F52F9" w:rsidRPr="00C63B8B" w:rsidRDefault="008F52F9" w:rsidP="008F52F9">
      <w:pPr>
        <w:pStyle w:val="SingleTxtGR"/>
      </w:pPr>
      <w:r w:rsidRPr="00C63B8B">
        <w:t>188.</w:t>
      </w:r>
      <w:r w:rsidRPr="00C63B8B">
        <w:tab/>
        <w:t>В соответствии с Законом об Омбудсмене Сейма последний рассматрив</w:t>
      </w:r>
      <w:r w:rsidRPr="00C63B8B">
        <w:t>а</w:t>
      </w:r>
      <w:r w:rsidRPr="00C63B8B">
        <w:t>ет жалобы граждан, связанные с превышением власти и служебных полномочий со стороны должностных лиц, а также с любыми другими нарушениями прав и свобод человека в области государственного управления, включая случаи, св</w:t>
      </w:r>
      <w:r w:rsidRPr="00C63B8B">
        <w:t>я</w:t>
      </w:r>
      <w:r w:rsidRPr="00C63B8B">
        <w:t>занные с предполагаемой дискриминацией по признакам национальности, расы, пола, языка, происхождения, социального положения, вероисповедания или п</w:t>
      </w:r>
      <w:r w:rsidRPr="00C63B8B">
        <w:t>о</w:t>
      </w:r>
      <w:r w:rsidRPr="00C63B8B">
        <w:t>литических взглядов. В 2009 году Омбудсмен Сейма рассмотрел жалобу по факту предполагаемых дискриминационных действий со стороны судебных приставов (было предложено дать оценку действиям приставов с точки зрения профессиональной этики), а в 2011 году – жалобу, касающуюся предполагаемой расовой дискриминации при решении вопросов, связанных с правами собс</w:t>
      </w:r>
      <w:r w:rsidRPr="00C63B8B">
        <w:t>т</w:t>
      </w:r>
      <w:r w:rsidRPr="00C63B8B">
        <w:t>венности на недвижимое имущество (жалоба не была принята к рассмотрению, поскольку действия, ставшие предметом жалобы, не входили в сферу компете</w:t>
      </w:r>
      <w:r w:rsidRPr="00C63B8B">
        <w:t>н</w:t>
      </w:r>
      <w:r w:rsidRPr="00C63B8B">
        <w:t>ции Канцелярии Омбудсмена Сейма).</w:t>
      </w:r>
    </w:p>
    <w:p w:rsidR="008F52F9" w:rsidRPr="00C63B8B" w:rsidRDefault="008F52F9" w:rsidP="008F52F9">
      <w:pPr>
        <w:pStyle w:val="H23GR"/>
      </w:pPr>
      <w:r w:rsidRPr="00C63B8B">
        <w:tab/>
      </w:r>
      <w:r w:rsidRPr="00C63B8B">
        <w:tab/>
        <w:t>Расследования, проведенные Канцелярией Уполномоченного по обеспечению равных возможностей</w:t>
      </w:r>
    </w:p>
    <w:p w:rsidR="008F52F9" w:rsidRPr="00C63B8B" w:rsidRDefault="008F52F9" w:rsidP="008F52F9">
      <w:pPr>
        <w:pStyle w:val="SingleTxtGR"/>
      </w:pPr>
      <w:r w:rsidRPr="00C63B8B">
        <w:t>189.</w:t>
      </w:r>
      <w:r w:rsidRPr="00C63B8B">
        <w:tab/>
        <w:t>Закон о равных возможностях предусматривает право обращаться в Ка</w:t>
      </w:r>
      <w:r w:rsidRPr="00C63B8B">
        <w:t>н</w:t>
      </w:r>
      <w:r w:rsidRPr="00C63B8B">
        <w:t>целярию Уполномоченного по обеспечению равных возможностей в связи со случаями дискриминации по признакам расы, этнической принадлежности, н</w:t>
      </w:r>
      <w:r w:rsidRPr="00C63B8B">
        <w:t>а</w:t>
      </w:r>
      <w:r w:rsidRPr="00C63B8B">
        <w:t>циональности, происхождения и языка. На жалобы, связанные с дискриминац</w:t>
      </w:r>
      <w:r w:rsidRPr="00C63B8B">
        <w:t>и</w:t>
      </w:r>
      <w:r w:rsidRPr="00C63B8B">
        <w:t>ей по признакам расы, национальности, языка, происхождения и этнической принадлежности приходится примерно 9−15% от всех жалоб, рассмотренных Канцелярией Уполномоченного по обеспечению равных возможностей: в 2009 году – 12%, в 2010 году – 15%, в 2011 году – 13,5%, а в 2012 году – 9%. Такие жалобы занимают третье и четвертое места по своей доле в общем числе жалоб, поступающих в Канцелярию, находясь на ступеньку ниже жалоб на ди</w:t>
      </w:r>
      <w:r w:rsidRPr="00C63B8B">
        <w:t>с</w:t>
      </w:r>
      <w:r w:rsidRPr="00C63B8B">
        <w:t>криминацию по признакам пола, возраста и социального положения. Большая часть ежегодно поступающих жалоб касается дискриминации по признаку н</w:t>
      </w:r>
      <w:r w:rsidRPr="00C63B8B">
        <w:t>а</w:t>
      </w:r>
      <w:r w:rsidRPr="00C63B8B">
        <w:t>циональности, тогда как число жалоб, связанных с дискриминацией по этнич</w:t>
      </w:r>
      <w:r w:rsidRPr="00C63B8B">
        <w:t>е</w:t>
      </w:r>
      <w:r w:rsidRPr="00C63B8B">
        <w:t>ским мотивам, является наименьшим. В 2011−2012 годах было получено знач</w:t>
      </w:r>
      <w:r w:rsidRPr="00C63B8B">
        <w:t>и</w:t>
      </w:r>
      <w:r w:rsidRPr="00C63B8B">
        <w:t>тельное число жалоб, связанных с дискриминацией по языковому признаку. Относительное сокращение количества жалоб на дискриминацию по вышеук</w:t>
      </w:r>
      <w:r w:rsidRPr="00C63B8B">
        <w:t>а</w:t>
      </w:r>
      <w:r w:rsidRPr="00C63B8B">
        <w:t>занным признакам в последние годы объясняется, с одной стороны, трудным экономическим положением государства (одним из следс</w:t>
      </w:r>
      <w:r w:rsidRPr="00C63B8B">
        <w:t>т</w:t>
      </w:r>
      <w:r w:rsidRPr="00C63B8B">
        <w:t>вий которого является страх лишиться работы), а, с другой стороны, − появившейся в после</w:t>
      </w:r>
      <w:r w:rsidRPr="00C63B8B">
        <w:t>д</w:t>
      </w:r>
      <w:r w:rsidRPr="00C63B8B">
        <w:t>нее время среди работодателей тенденцией консультироваться с Канцелярией Уполном</w:t>
      </w:r>
      <w:r w:rsidRPr="00C63B8B">
        <w:t>о</w:t>
      </w:r>
      <w:r w:rsidRPr="00C63B8B">
        <w:t>ченного по обеспечению равных возможностей, прежде чем предпринимать к</w:t>
      </w:r>
      <w:r w:rsidRPr="00C63B8B">
        <w:t>а</w:t>
      </w:r>
      <w:r w:rsidRPr="00C63B8B">
        <w:t>кие-либо действия.</w:t>
      </w:r>
    </w:p>
    <w:p w:rsidR="008F52F9" w:rsidRPr="00C63B8B" w:rsidRDefault="008F52F9" w:rsidP="008F52F9">
      <w:pPr>
        <w:pStyle w:val="SingleTxtGR"/>
      </w:pPr>
      <w:r w:rsidRPr="00C63B8B">
        <w:t>190.</w:t>
      </w:r>
      <w:r w:rsidRPr="00C63B8B">
        <w:tab/>
        <w:t>В 2010−2011 годах увеличилось количество жалоб, связанных со сферой образования. Абсолютное большинство подобных жалоб касалось положений нового Закона об образовании, которые, как утверждалось, приводят к дискр</w:t>
      </w:r>
      <w:r w:rsidRPr="00C63B8B">
        <w:t>и</w:t>
      </w:r>
      <w:r w:rsidRPr="00C63B8B">
        <w:t>минации в отношении лиц, посещающих школы с польским языком обучения. Несмотря на то, что по итогам рассмотрения этих жалоб случаев дискримин</w:t>
      </w:r>
      <w:r w:rsidRPr="00C63B8B">
        <w:t>а</w:t>
      </w:r>
      <w:r w:rsidRPr="00C63B8B">
        <w:t>ции выявлено не было, Министерству образования и науки было рекомендовано принять решение о том, чтобы отложить сроки реализации этого Закона, с тем чтобы педагоги и ученики могли должным образом подготовиться к вступл</w:t>
      </w:r>
      <w:r w:rsidRPr="00C63B8B">
        <w:t>е</w:t>
      </w:r>
      <w:r w:rsidRPr="00C63B8B">
        <w:t>нию в силу предлагаемых законодательных изменений. В целях обеспечения взаимопонимания Министерству образования и науки было рекомендовано п</w:t>
      </w:r>
      <w:r w:rsidRPr="00C63B8B">
        <w:t>о</w:t>
      </w:r>
      <w:r w:rsidRPr="00C63B8B">
        <w:t>стоянно держать в поле своего зрения процесс осуществления положений Зак</w:t>
      </w:r>
      <w:r w:rsidRPr="00C63B8B">
        <w:t>о</w:t>
      </w:r>
      <w:r w:rsidRPr="00C63B8B">
        <w:t>на о внесении поправок в Закон об образовании, а также обеспечивать благ</w:t>
      </w:r>
      <w:r w:rsidRPr="00C63B8B">
        <w:t>о</w:t>
      </w:r>
      <w:r w:rsidRPr="00C63B8B">
        <w:t>приятные условия для профессионального роста, а, при необходимости, и для переподготовки преподавателей школ национальных меньшинств.</w:t>
      </w:r>
    </w:p>
    <w:p w:rsidR="008F52F9" w:rsidRPr="00C63B8B" w:rsidRDefault="008F52F9" w:rsidP="008F52F9">
      <w:pPr>
        <w:pStyle w:val="SingleTxtGR"/>
      </w:pPr>
      <w:r w:rsidRPr="00C63B8B">
        <w:t>191.</w:t>
      </w:r>
      <w:r w:rsidRPr="00C63B8B">
        <w:tab/>
        <w:t>В 2011 году Канцелярия Уполномоченного по обеспечению равных во</w:t>
      </w:r>
      <w:r w:rsidRPr="00C63B8B">
        <w:t>з</w:t>
      </w:r>
      <w:r w:rsidRPr="00C63B8B">
        <w:t>можностей рассмотрела значительное число жалоб, связанных со сферой услуг. Кроме того, ежегодно поступает несколько жалоб, касающихся трудовых в</w:t>
      </w:r>
      <w:r w:rsidRPr="00C63B8B">
        <w:t>о</w:t>
      </w:r>
      <w:r w:rsidRPr="00C63B8B">
        <w:t>просов, многие из которых касаются требований относительно необходимости владения тем или иным конкретным языком при приеме на работу, включая, н</w:t>
      </w:r>
      <w:r w:rsidRPr="00C63B8B">
        <w:t>а</w:t>
      </w:r>
      <w:r w:rsidRPr="00C63B8B">
        <w:t>пример, те случаи, когда от соискателя требуется свободно владеть русским языком.</w:t>
      </w:r>
    </w:p>
    <w:p w:rsidR="008F52F9" w:rsidRPr="00C63B8B" w:rsidRDefault="008F52F9" w:rsidP="008F52F9">
      <w:pPr>
        <w:pStyle w:val="H23GR"/>
      </w:pPr>
      <w:r w:rsidRPr="00C63B8B">
        <w:tab/>
      </w:r>
      <w:r w:rsidRPr="00C63B8B">
        <w:tab/>
        <w:t>Расследованные, проведенные Канцелярией Уполномоченного по правам ребенка</w:t>
      </w:r>
    </w:p>
    <w:p w:rsidR="008F52F9" w:rsidRPr="00C63B8B" w:rsidRDefault="008F52F9" w:rsidP="008F52F9">
      <w:pPr>
        <w:pStyle w:val="SingleTxtGR"/>
      </w:pPr>
      <w:r w:rsidRPr="00C63B8B">
        <w:t>192.</w:t>
      </w:r>
      <w:r w:rsidRPr="00C63B8B">
        <w:tab/>
        <w:t>Часть жалоб, полученных Канцелярией Уполномоченного по правам р</w:t>
      </w:r>
      <w:r w:rsidRPr="00C63B8B">
        <w:t>е</w:t>
      </w:r>
      <w:r w:rsidRPr="00C63B8B">
        <w:t>бенка в 2009−2012 годах, может быть связана с некоторыми аспектами этнич</w:t>
      </w:r>
      <w:r w:rsidRPr="00C63B8B">
        <w:t>е</w:t>
      </w:r>
      <w:r w:rsidRPr="00C63B8B">
        <w:t>ского характера, однако их авторы не заостряли внимание на случаях дискр</w:t>
      </w:r>
      <w:r w:rsidRPr="00C63B8B">
        <w:t>и</w:t>
      </w:r>
      <w:r w:rsidRPr="00C63B8B">
        <w:t>минации по этническому признаку и не сообщали о них. Кроме того, по ин</w:t>
      </w:r>
      <w:r w:rsidRPr="00C63B8B">
        <w:t>и</w:t>
      </w:r>
      <w:r w:rsidRPr="00C63B8B">
        <w:t>циативе Уполномоченного по правам ребенка был получен ряд жалоб и пров</w:t>
      </w:r>
      <w:r w:rsidRPr="00C63B8B">
        <w:t>е</w:t>
      </w:r>
      <w:r w:rsidRPr="00C63B8B">
        <w:t>ден ряд расследований в связи с вопросами организации процесса обучения польских и литовских детей в городе Вильнюсе и Вильнюсском уезде.</w:t>
      </w:r>
    </w:p>
    <w:p w:rsidR="008F52F9" w:rsidRPr="00C63B8B" w:rsidRDefault="008F52F9" w:rsidP="008F52F9">
      <w:pPr>
        <w:pStyle w:val="SingleTxtGR"/>
      </w:pPr>
      <w:r w:rsidRPr="00C63B8B">
        <w:t>193.</w:t>
      </w:r>
      <w:r w:rsidRPr="00C63B8B">
        <w:tab/>
        <w:t>Помимо этого, в 2009 году по собственной инициативе Уполномоченного по правам ребенка Канцелярия Уполномоченного по правам ребенка изучила вопрос об интеграции детей-репатриантов и детей-иммигрантов в литовские общеобразовательные школы. По итогам изучения вопроса был сделан вывод о том, что с формальной точки зрения национальное законодательство Литвы действительно обеспечивает детям мигрантов (в широком смысле слова) ра</w:t>
      </w:r>
      <w:r w:rsidRPr="00C63B8B">
        <w:t>в</w:t>
      </w:r>
      <w:r w:rsidRPr="00C63B8B">
        <w:t>ные возможности для успешного получения образования (обучения) и интегр</w:t>
      </w:r>
      <w:r w:rsidRPr="00C63B8B">
        <w:t>а</w:t>
      </w:r>
      <w:r w:rsidRPr="00C63B8B">
        <w:t>ции в систему образования и в общество, необходимую поддержку (как фина</w:t>
      </w:r>
      <w:r w:rsidRPr="00C63B8B">
        <w:t>н</w:t>
      </w:r>
      <w:r w:rsidRPr="00C63B8B">
        <w:t>совую, так и методическую), а также возможность изучать литовский язык и свои родные языки, сохранять свою культурную самобытность и понимать культуру принимающего государства. Тем не менее в реальности при обучении этих детей возникают отдельные проблемы практического характера, включая нехватку учебных пособий и методических материалов, недостаточный уровень профессиональной подготовки педагогов, занимающихся обучением детей-репатриантов и детей-иммигрантов, и т.д. С учетом сложившейся ситуации Уполномоченный передал на рассмотрение Министерства образования и науки предложения и рекомендации, направленные на решение выявленных проблем.</w:t>
      </w:r>
    </w:p>
    <w:p w:rsidR="008F52F9" w:rsidRPr="00C63B8B" w:rsidRDefault="008F52F9" w:rsidP="008F52F9">
      <w:pPr>
        <w:pStyle w:val="SingleTxtGR"/>
      </w:pPr>
      <w:r w:rsidRPr="00C63B8B">
        <w:t>194.</w:t>
      </w:r>
      <w:r w:rsidRPr="00C63B8B">
        <w:tab/>
        <w:t>В 2010 году в связи с поступившим заявлением и в целях более глубокого изучения сложившейся в городе Вильнюсе ситуации в том, что касается права детей, относящихся к польскому меньшинству, получать образование на пол</w:t>
      </w:r>
      <w:r w:rsidRPr="00C63B8B">
        <w:t>ь</w:t>
      </w:r>
      <w:r w:rsidRPr="00C63B8B">
        <w:t>ском языке, Уполномоченный по правам ребенка провел соответствующее ра</w:t>
      </w:r>
      <w:r w:rsidRPr="00C63B8B">
        <w:t>с</w:t>
      </w:r>
      <w:r w:rsidRPr="00C63B8B">
        <w:t>следование. По итогам расследования не было установлено, что семьи из числа меньшинств, воспитывающие детей в Вильнюсе, были лишены возможности обучать их на своем родном языке. С учетом того обстоятельства, что потре</w:t>
      </w:r>
      <w:r w:rsidRPr="00C63B8B">
        <w:t>б</w:t>
      </w:r>
      <w:r w:rsidRPr="00C63B8B">
        <w:t>ности в услугах детских дошкольных учреждений в городе Вильнюсе удовл</w:t>
      </w:r>
      <w:r w:rsidRPr="00C63B8B">
        <w:t>е</w:t>
      </w:r>
      <w:r w:rsidRPr="00C63B8B">
        <w:t>творены не полностью, а также того факта, что, как было установлено в ходе расследования, в детских дошкольных учреждениях города Вильнюса имеется определенное количество свободных мест, на которые могли бы быть приняты дети, обучающиеся на польском языке, было высказано мнение о том, что сем</w:t>
      </w:r>
      <w:r w:rsidRPr="00C63B8B">
        <w:t>ь</w:t>
      </w:r>
      <w:r w:rsidRPr="00C63B8B">
        <w:t>ям из числа меньшинств, желающим, чтобы их дети обучались на польском языке, следует учесть изложенные выше выводы и устроить своих детей в польскоязычную группу в одном из детских дошкольных учреждений, распол</w:t>
      </w:r>
      <w:r w:rsidRPr="00C63B8B">
        <w:t>о</w:t>
      </w:r>
      <w:r w:rsidRPr="00C63B8B">
        <w:t>женных в соседнем муниципальном образовании, где имеются свободные ме</w:t>
      </w:r>
      <w:r w:rsidRPr="00C63B8B">
        <w:t>с</w:t>
      </w:r>
      <w:r w:rsidRPr="00C63B8B">
        <w:t>та; был также высказан и ряд других предложений.</w:t>
      </w:r>
    </w:p>
    <w:p w:rsidR="008F52F9" w:rsidRPr="00C63B8B" w:rsidRDefault="008F52F9" w:rsidP="008F52F9">
      <w:pPr>
        <w:pStyle w:val="SingleTxtGR"/>
      </w:pPr>
      <w:r w:rsidRPr="00C63B8B">
        <w:t>195.</w:t>
      </w:r>
      <w:r w:rsidRPr="00C63B8B">
        <w:tab/>
        <w:t>В 2011 году в ответ на обращения некоторых членов Сейма, а также школьных учителей, учеников и их родителей в Вильнюсском уезде касательно дискриминационных положений Закона об образовании (имеется в виду новый вариант Закона по состоянию на 2011 год), ограничивающих права учеников получать образование на своем родном языке, Уполномоченный по правам р</w:t>
      </w:r>
      <w:r w:rsidRPr="00C63B8B">
        <w:t>е</w:t>
      </w:r>
      <w:r w:rsidRPr="00C63B8B">
        <w:t>бенка вынес заключение, согласно которому положения Закона, регламент</w:t>
      </w:r>
      <w:r w:rsidRPr="00C63B8B">
        <w:t>и</w:t>
      </w:r>
      <w:r w:rsidRPr="00C63B8B">
        <w:t>рующие вопросы получения образования на государственном языке и языках национальных меньшинств в школах национальных меньшинств, обеспечивают детям надлежащие условия для получения образования без каких-либо проя</w:t>
      </w:r>
      <w:r w:rsidRPr="00C63B8B">
        <w:t>в</w:t>
      </w:r>
      <w:r w:rsidRPr="00C63B8B">
        <w:t>лений дискриминации, обеспечивая при этом сохранение их идентичности, и не влекут за собой нарушения прав и законных интересов детей.</w:t>
      </w:r>
    </w:p>
    <w:p w:rsidR="008F52F9" w:rsidRPr="00C63B8B" w:rsidRDefault="008F52F9" w:rsidP="008F52F9">
      <w:pPr>
        <w:pStyle w:val="H23GR"/>
      </w:pPr>
      <w:r w:rsidRPr="00C63B8B">
        <w:tab/>
      </w:r>
      <w:r w:rsidRPr="00C63B8B">
        <w:tab/>
        <w:t>Расследования, проведенные Инспектором по вопросам журналистской этики</w:t>
      </w:r>
    </w:p>
    <w:p w:rsidR="008F52F9" w:rsidRPr="00C63B8B" w:rsidRDefault="008F52F9" w:rsidP="008F52F9">
      <w:pPr>
        <w:pStyle w:val="SingleTxtGR"/>
      </w:pPr>
      <w:r w:rsidRPr="00C63B8B">
        <w:t>196.</w:t>
      </w:r>
      <w:r w:rsidRPr="00C63B8B">
        <w:tab/>
        <w:t>После того, как 1 января 2010 года вступили в силу поправки к Закону о распространении информации среди общественности, Инспектору по вопросам журналистской этики были предоставлены новые полномочия, в соответствии с которыми он имеет право, опираясь на выводы экспертных групп (экспертов), принимать решения относительно того, не приводит ли та или иная публичная информация, обнародованная в СМИ, к разжиганию розни по признакам пола, сексуальной ориентации, расы, национальности, языка, происхождения, соц</w:t>
      </w:r>
      <w:r w:rsidRPr="00C63B8B">
        <w:t>и</w:t>
      </w:r>
      <w:r w:rsidRPr="00C63B8B">
        <w:t>ального положения, религии, убеждений или взглядов. Эти полномочия пер</w:t>
      </w:r>
      <w:r w:rsidRPr="00C63B8B">
        <w:t>е</w:t>
      </w:r>
      <w:r w:rsidRPr="00C63B8B">
        <w:t>шли к Инспектору от самоуправляющегося (самостоятельно регламентирующ</w:t>
      </w:r>
      <w:r w:rsidRPr="00C63B8B">
        <w:t>е</w:t>
      </w:r>
      <w:r w:rsidRPr="00C63B8B">
        <w:t>го собственную деятельность) органа – Комиссии по вопросам журналистской и издательской этики. В связи с вышеизложенным можно отметить, что в ходе досудебной стадии следствия по делам, связанным с разжиганием розни, И</w:t>
      </w:r>
      <w:r w:rsidRPr="00C63B8B">
        <w:t>н</w:t>
      </w:r>
      <w:r w:rsidRPr="00C63B8B">
        <w:t>спектору предлагается изучить вопрос о том, не способствует ли та или иная публичная информация разжиганию ненависти в связи с такими факторами, как пол, сексуальная ориентация, раса, национальность, язык, происхождение, с</w:t>
      </w:r>
      <w:r w:rsidRPr="00C63B8B">
        <w:t>о</w:t>
      </w:r>
      <w:r w:rsidRPr="00C63B8B">
        <w:t>циальное положение, религия, убеждения или взгляды (по причине ограниче</w:t>
      </w:r>
      <w:r w:rsidRPr="00C63B8B">
        <w:t>н</w:t>
      </w:r>
      <w:r w:rsidRPr="00C63B8B">
        <w:t xml:space="preserve">ности финансирования Канцелярии Инспектора по вопросам журналистской этики вышеуказанная функция до 2011 года не выполнялась). </w:t>
      </w:r>
    </w:p>
    <w:p w:rsidR="008F52F9" w:rsidRPr="00C63B8B" w:rsidRDefault="008F52F9" w:rsidP="008F52F9">
      <w:pPr>
        <w:pStyle w:val="SingleTxtGR"/>
      </w:pPr>
      <w:r w:rsidRPr="00C63B8B">
        <w:t>197.</w:t>
      </w:r>
      <w:r w:rsidRPr="00C63B8B">
        <w:tab/>
        <w:t>В 2010−2012 годах по просьбам органов досудебного следствия Канцел</w:t>
      </w:r>
      <w:r w:rsidRPr="00C63B8B">
        <w:t>я</w:t>
      </w:r>
      <w:r w:rsidRPr="00C63B8B">
        <w:t>рия Инспектора по вопросам журналистской этики провела 239 мероприятий, связанных с изучением публичных информационных сообщений на предмет разжигания розни (в 2010 году – 6 мероприятий, в 2011 году – 104, а в 2012 г</w:t>
      </w:r>
      <w:r w:rsidRPr="00C63B8B">
        <w:t>о</w:t>
      </w:r>
      <w:r w:rsidRPr="00C63B8B">
        <w:t>ду</w:t>
      </w:r>
      <w:r w:rsidR="002217A3">
        <w:t> </w:t>
      </w:r>
      <w:r w:rsidRPr="00C63B8B">
        <w:t>– 129 мероприятий). На основе проведенного анализа были вынесены з</w:t>
      </w:r>
      <w:r w:rsidRPr="00C63B8B">
        <w:t>а</w:t>
      </w:r>
      <w:r w:rsidRPr="00C63B8B">
        <w:t>ключения в отношении в общей сложности 1174 различных объектов анализа (60 заключений в 2010 году, 739 – в 2011 году и 375 – в 2012 году), включая комментарии в Интернете, публикации, статьи в блогах, телевизионные пр</w:t>
      </w:r>
      <w:r w:rsidRPr="00C63B8B">
        <w:t>о</w:t>
      </w:r>
      <w:r w:rsidRPr="00C63B8B">
        <w:t>граммы, плакаты, тексты песен, обзоры, видеоролики и т.д. Наибольшее число расследований проводилось по поводу комментариев в Интернете (1 222 сл</w:t>
      </w:r>
      <w:r w:rsidRPr="00C63B8B">
        <w:t>у</w:t>
      </w:r>
      <w:r w:rsidRPr="00C63B8B">
        <w:t>чая, в том числе 56 в 2010 году, 711 – в 2011 году и 355 − в 2012 году). Разжиг</w:t>
      </w:r>
      <w:r w:rsidRPr="00C63B8B">
        <w:t>а</w:t>
      </w:r>
      <w:r w:rsidRPr="00C63B8B">
        <w:t>ние розни (ненависти, дискриминации) в связи с такими факторами, как раса, национал</w:t>
      </w:r>
      <w:r w:rsidRPr="00C63B8B">
        <w:t>ь</w:t>
      </w:r>
      <w:r w:rsidRPr="00C63B8B">
        <w:t>ность, происхождение или язык, было подтверждено в 50 случаях (7</w:t>
      </w:r>
      <w:r w:rsidR="002217A3">
        <w:t> </w:t>
      </w:r>
      <w:r w:rsidRPr="00C63B8B">
        <w:t>случаев в 2010 году, 11 – в 2011 году и 32 – в 2012 году); факты домог</w:t>
      </w:r>
      <w:r w:rsidRPr="00C63B8B">
        <w:t>а</w:t>
      </w:r>
      <w:r w:rsidRPr="00C63B8B">
        <w:t>тельств (пренебрежительного обращения, оскорбительных действий), связа</w:t>
      </w:r>
      <w:r w:rsidRPr="00C63B8B">
        <w:t>н</w:t>
      </w:r>
      <w:r w:rsidRPr="00C63B8B">
        <w:t>ных с расовой принадлежностью, национальностью, происхождением или яз</w:t>
      </w:r>
      <w:r w:rsidRPr="00C63B8B">
        <w:t>ы</w:t>
      </w:r>
      <w:r w:rsidRPr="00C63B8B">
        <w:t>ком, были установлены в 267 случаях (22 случая в 2010 году, 87 – в 2011 году и 158 – в 2012 году), а факты подстрекательства к насилию (физического запуг</w:t>
      </w:r>
      <w:r w:rsidRPr="00C63B8B">
        <w:t>и</w:t>
      </w:r>
      <w:r w:rsidRPr="00C63B8B">
        <w:t>вания) на почве расы, национальности, происхождения или языка были уст</w:t>
      </w:r>
      <w:r w:rsidRPr="00C63B8B">
        <w:t>а</w:t>
      </w:r>
      <w:r w:rsidRPr="00C63B8B">
        <w:t>новлены в 101 случае (14 случаев в 2010 году, 29 – в 2011 году и 58 – в 2012 г</w:t>
      </w:r>
      <w:r w:rsidRPr="00C63B8B">
        <w:t>о</w:t>
      </w:r>
      <w:r w:rsidRPr="00C63B8B">
        <w:t>ду).</w:t>
      </w:r>
    </w:p>
    <w:p w:rsidR="008F52F9" w:rsidRPr="00C63B8B" w:rsidRDefault="008F52F9" w:rsidP="008F52F9">
      <w:pPr>
        <w:pStyle w:val="SingleTxtGR"/>
      </w:pPr>
      <w:r w:rsidRPr="00C63B8B">
        <w:t>198.</w:t>
      </w:r>
      <w:r w:rsidRPr="00C63B8B">
        <w:tab/>
        <w:t>В большинстве случаев попытки разжигания розни, а также подстрек</w:t>
      </w:r>
      <w:r w:rsidRPr="00C63B8B">
        <w:t>а</w:t>
      </w:r>
      <w:r w:rsidRPr="00C63B8B">
        <w:t>тельство к насилию и домогательствам на почве расы, национальности, прои</w:t>
      </w:r>
      <w:r w:rsidRPr="00C63B8B">
        <w:t>с</w:t>
      </w:r>
      <w:r w:rsidRPr="00C63B8B">
        <w:t>хождения или языка бывают направлены против лиц еврейской, ромской и польской национальности. Комментарии, связанные с попытками разжигания розни, а также подстрекательства к физическому запугиванию или насилию, чаще всего размещаются на новостных Интернет-порталах www.lrytas.lt и www.delfi.lt. Несмотря на то, что администраторы этих порталов принимают в данной связи определенные меры (например, на портале www.lrytas.lt показаны IP-адреса пользователей, оставляющих комментарии, а портал www.delfi.lt вн</w:t>
      </w:r>
      <w:r w:rsidRPr="00C63B8B">
        <w:t>е</w:t>
      </w:r>
      <w:r w:rsidRPr="00C63B8B">
        <w:t>дрил систему удаления ненадлежащих комментариев), он занимают довольно пассивную позицию в том, что касается редакционной ответственности. Более того, вступившие в силу 18 октября 2010 года поправки к Закону о распростр</w:t>
      </w:r>
      <w:r w:rsidRPr="00C63B8B">
        <w:t>а</w:t>
      </w:r>
      <w:r w:rsidRPr="00C63B8B">
        <w:t>нении информации среди общественности ограничили редакционную ответс</w:t>
      </w:r>
      <w:r w:rsidRPr="00C63B8B">
        <w:t>т</w:t>
      </w:r>
      <w:r w:rsidRPr="00C63B8B">
        <w:t>венность распространителей публичной информации за информацию, разм</w:t>
      </w:r>
      <w:r w:rsidRPr="00C63B8B">
        <w:t>е</w:t>
      </w:r>
      <w:r w:rsidRPr="00C63B8B">
        <w:t>щаемую другими, посторонними лицами (например, за комментарии), вследс</w:t>
      </w:r>
      <w:r w:rsidRPr="00C63B8B">
        <w:t>т</w:t>
      </w:r>
      <w:r w:rsidRPr="00C63B8B">
        <w:t>вие чего ответственность за разжигание розни, а также призывы к физическому запугиванию и насилию теперь возлагается на авторов комментариев.</w:t>
      </w:r>
    </w:p>
    <w:p w:rsidR="008F52F9" w:rsidRPr="00C63B8B" w:rsidRDefault="008F52F9" w:rsidP="008F52F9">
      <w:pPr>
        <w:pStyle w:val="H1GR"/>
      </w:pPr>
      <w:r w:rsidRPr="00C63B8B">
        <w:tab/>
      </w:r>
      <w:r w:rsidRPr="00C63B8B">
        <w:tab/>
        <w:t>Статья 7</w:t>
      </w:r>
    </w:p>
    <w:p w:rsidR="008F52F9" w:rsidRPr="00C63B8B" w:rsidRDefault="008F52F9" w:rsidP="008F52F9">
      <w:pPr>
        <w:pStyle w:val="H23GR"/>
      </w:pPr>
      <w:r w:rsidRPr="00C63B8B">
        <w:tab/>
        <w:t>А.</w:t>
      </w:r>
      <w:r w:rsidRPr="00C63B8B">
        <w:tab/>
        <w:t>Антидискриминационные меры в сфере образования</w:t>
      </w:r>
    </w:p>
    <w:p w:rsidR="008F52F9" w:rsidRPr="00C63B8B" w:rsidRDefault="008F52F9" w:rsidP="008F52F9">
      <w:pPr>
        <w:pStyle w:val="H23GR"/>
      </w:pPr>
      <w:r w:rsidRPr="00C63B8B">
        <w:tab/>
      </w:r>
      <w:r w:rsidRPr="00C63B8B">
        <w:tab/>
        <w:t>Образовательная деятельность в связи с преступлениями, совершенными тоталитарными режимами, предотвращением преступлений против человечества и воспитанием толерантности</w:t>
      </w:r>
    </w:p>
    <w:p w:rsidR="008F52F9" w:rsidRPr="00C63B8B" w:rsidRDefault="008F52F9" w:rsidP="008F52F9">
      <w:pPr>
        <w:pStyle w:val="SingleTxtGR"/>
      </w:pPr>
      <w:r w:rsidRPr="00C63B8B">
        <w:t>199.</w:t>
      </w:r>
      <w:r w:rsidRPr="00C63B8B">
        <w:tab/>
        <w:t>В стремлении содействовать толерантности и диалогу между различными культурами учебные мероприятия, связанные с Холокостом и воспитанием т</w:t>
      </w:r>
      <w:r w:rsidRPr="00C63B8B">
        <w:t>о</w:t>
      </w:r>
      <w:r w:rsidRPr="00C63B8B">
        <w:t>лерантности, были включены в общие программы основного и среднего обр</w:t>
      </w:r>
      <w:r w:rsidRPr="00C63B8B">
        <w:t>а</w:t>
      </w:r>
      <w:r w:rsidRPr="00C63B8B">
        <w:t>зования в литовских общеобразовательных школах. Международная комиссия по оценке преступлений нацистского и советского оккупационного режимов в Литве организует эти учебные мероприятия на основе Программы образов</w:t>
      </w:r>
      <w:r w:rsidRPr="00C63B8B">
        <w:t>а</w:t>
      </w:r>
      <w:r w:rsidRPr="00C63B8B">
        <w:t>тельных мероприятий по вопросам, связанным с преступлениями тоталитарных режимов, предотвращением преступлений против человечества и воспитанием толерантности, которая была утверждена в 2002 году. Учебно-методические м</w:t>
      </w:r>
      <w:r w:rsidRPr="00C63B8B">
        <w:t>а</w:t>
      </w:r>
      <w:r w:rsidRPr="00C63B8B">
        <w:t>териалы касательно преступлений тоталитарных режимов и их последствий для общества разрабатываются совместно с педагогами, сотрудничающими с Ме</w:t>
      </w:r>
      <w:r w:rsidRPr="00C63B8B">
        <w:t>ж</w:t>
      </w:r>
      <w:r w:rsidRPr="00C63B8B">
        <w:t>дународной комиссией.</w:t>
      </w:r>
    </w:p>
    <w:p w:rsidR="008F52F9" w:rsidRPr="00C63B8B" w:rsidRDefault="008F52F9" w:rsidP="008F52F9">
      <w:pPr>
        <w:pStyle w:val="SingleTxtGR"/>
      </w:pPr>
      <w:r w:rsidRPr="00C63B8B">
        <w:t>200.</w:t>
      </w:r>
      <w:r w:rsidRPr="00C63B8B">
        <w:tab/>
        <w:t>Предпринимаются усилия по вовлечению преподавателей истории, а та</w:t>
      </w:r>
      <w:r w:rsidRPr="00C63B8B">
        <w:t>к</w:t>
      </w:r>
      <w:r w:rsidRPr="00C63B8B">
        <w:t>же других предметов – таких, как этика, религия, языки, музыка и искусство, − в реализацию вышеупомянутой Программы образовательных мероприятий по вопросам, связанным с преступлениями тоталитарных режимов, предотвращ</w:t>
      </w:r>
      <w:r w:rsidRPr="00C63B8B">
        <w:t>е</w:t>
      </w:r>
      <w:r w:rsidRPr="00C63B8B">
        <w:t>нием преступлений против человечества и воспитанием толерантности. Обуч</w:t>
      </w:r>
      <w:r w:rsidRPr="00C63B8B">
        <w:t>е</w:t>
      </w:r>
      <w:r w:rsidRPr="00C63B8B">
        <w:t>ние преподавателей осуществляется в форме проведения семинаров, орган</w:t>
      </w:r>
      <w:r w:rsidRPr="00C63B8B">
        <w:t>и</w:t>
      </w:r>
      <w:r w:rsidRPr="00C63B8B">
        <w:t>зуемых как в Литве, так и за ее пределами. Участники семинаров имеют во</w:t>
      </w:r>
      <w:r w:rsidRPr="00C63B8B">
        <w:t>з</w:t>
      </w:r>
      <w:r w:rsidRPr="00C63B8B">
        <w:t>можность ознакомиться с результатами исследований, проводимых историками Международной комиссии, а также с методическим опытом, накопленным в з</w:t>
      </w:r>
      <w:r w:rsidRPr="00C63B8B">
        <w:t>а</w:t>
      </w:r>
      <w:r w:rsidRPr="00C63B8B">
        <w:t>рубежных странах; для участия в них приглашаются знающие специалисты по истории. С 2009 года до середины 2013 года в Литве было организовано в о</w:t>
      </w:r>
      <w:r w:rsidRPr="00C63B8B">
        <w:t>б</w:t>
      </w:r>
      <w:r w:rsidRPr="00C63B8B">
        <w:t>щей сложности 53 семинара для преподавателей (продолжительностью от одн</w:t>
      </w:r>
      <w:r w:rsidRPr="00C63B8B">
        <w:t>о</w:t>
      </w:r>
      <w:r w:rsidRPr="00C63B8B">
        <w:t>го до пяти дней), в которых приняли участие 2338 педагогов; что касается с</w:t>
      </w:r>
      <w:r w:rsidRPr="00C63B8B">
        <w:t>е</w:t>
      </w:r>
      <w:r w:rsidRPr="00C63B8B">
        <w:t>минаров в Израиле, то в 2009−2012 годах их посетили 96 педагогов, а в 2013 году – 21 педагог; семинары в Соединенных Штатах в 2010−2012 годах посетили 6 педагогов, а 5 педагогов приняли участие в организованных в Литве национальных и международных конференциях.</w:t>
      </w:r>
    </w:p>
    <w:p w:rsidR="008F52F9" w:rsidRPr="00C63B8B" w:rsidRDefault="008F52F9" w:rsidP="008F52F9">
      <w:pPr>
        <w:pStyle w:val="SingleTxtGR"/>
      </w:pPr>
      <w:r w:rsidRPr="00C63B8B">
        <w:t>201.</w:t>
      </w:r>
      <w:r w:rsidRPr="00C63B8B">
        <w:tab/>
        <w:t>Число работающих в Литве Информационно-просветительских центров по вопросам толерантности, занятых реализацией Программы образовательных мероприятий и воспитания толерантности, составляет 91. На протяжении уче</w:t>
      </w:r>
      <w:r w:rsidRPr="00C63B8B">
        <w:t>б</w:t>
      </w:r>
      <w:r w:rsidRPr="00C63B8B">
        <w:t>ного года представители средних школ приглашаются для участия в кратк</w:t>
      </w:r>
      <w:r w:rsidRPr="00C63B8B">
        <w:t>о</w:t>
      </w:r>
      <w:r w:rsidRPr="00C63B8B">
        <w:t>срочных и долгосрочных образовательных проектах, которые помогают уч</w:t>
      </w:r>
      <w:r w:rsidRPr="00C63B8B">
        <w:t>а</w:t>
      </w:r>
      <w:r w:rsidRPr="00C63B8B">
        <w:t>щимся освоить исторические темы, связанные с многокультурным наследием и периодами оккупации Литвы, и пробуждают у них желание чтить память жертв нацистского и советского оккупационных режимов, а также оказывать сопр</w:t>
      </w:r>
      <w:r w:rsidRPr="00C63B8B">
        <w:t>о</w:t>
      </w:r>
      <w:r w:rsidRPr="00C63B8B">
        <w:t>тивление проявлениям нетерпимости, насилия, ксенофобии, дискриминации, антисемитизма, действиям деструктивных радикальных движений и т.д. Кроме того, по инициативе Международной комиссии организуются памятные мер</w:t>
      </w:r>
      <w:r w:rsidRPr="00C63B8B">
        <w:t>о</w:t>
      </w:r>
      <w:r w:rsidRPr="00C63B8B">
        <w:t>приятия в связи с проведением Международного дня памяти жертв Холокоста, Дня жертв геноцида литовских евреев и Международного дня, посвященного терпимости.</w:t>
      </w:r>
    </w:p>
    <w:p w:rsidR="008F52F9" w:rsidRPr="00C63B8B" w:rsidRDefault="008F52F9" w:rsidP="008F52F9">
      <w:pPr>
        <w:pStyle w:val="H23GR"/>
      </w:pPr>
      <w:r w:rsidRPr="00C63B8B">
        <w:tab/>
      </w:r>
      <w:r w:rsidRPr="00C63B8B">
        <w:tab/>
        <w:t>Профессиональная подготовка сотрудников правоохранительных органов</w:t>
      </w:r>
    </w:p>
    <w:p w:rsidR="008F52F9" w:rsidRPr="00C63B8B" w:rsidRDefault="008F52F9" w:rsidP="008F52F9">
      <w:pPr>
        <w:pStyle w:val="SingleTxtGR"/>
      </w:pPr>
      <w:r w:rsidRPr="00C63B8B">
        <w:t>202.</w:t>
      </w:r>
      <w:r w:rsidRPr="00C63B8B">
        <w:tab/>
        <w:t>Информация о проведенных мероприятиях по профессиональной подг</w:t>
      </w:r>
      <w:r w:rsidRPr="00C63B8B">
        <w:t>о</w:t>
      </w:r>
      <w:r w:rsidRPr="00C63B8B">
        <w:t>товке сотрудников правоохранительных органов в связи с вопросами, каса</w:t>
      </w:r>
      <w:r w:rsidRPr="00C63B8B">
        <w:t>ю</w:t>
      </w:r>
      <w:r w:rsidRPr="00C63B8B">
        <w:t>щимися дискриминации, приводится в пунктах 24−36.</w:t>
      </w:r>
    </w:p>
    <w:p w:rsidR="008F52F9" w:rsidRPr="00C63B8B" w:rsidRDefault="008F52F9" w:rsidP="008F52F9">
      <w:pPr>
        <w:pStyle w:val="H23GR"/>
      </w:pPr>
      <w:r w:rsidRPr="00C63B8B">
        <w:tab/>
      </w:r>
      <w:r w:rsidRPr="00C63B8B">
        <w:tab/>
        <w:t>Образовательные мероприятия, касающиеся обеспечения равенства женщин и мужчин</w:t>
      </w:r>
    </w:p>
    <w:p w:rsidR="008F52F9" w:rsidRPr="00C63B8B" w:rsidRDefault="008F52F9" w:rsidP="008F52F9">
      <w:pPr>
        <w:pStyle w:val="SingleTxtGR"/>
      </w:pPr>
      <w:r w:rsidRPr="00C63B8B">
        <w:t>203.</w:t>
      </w:r>
      <w:r w:rsidRPr="00C63B8B">
        <w:tab/>
        <w:t>В соответствии с Планом мер в целях осуществления Национальной пр</w:t>
      </w:r>
      <w:r w:rsidRPr="00C63B8B">
        <w:t>о</w:t>
      </w:r>
      <w:r w:rsidRPr="00C63B8B">
        <w:t>граммы по обеспечению равных возможностей для женщин и мужчин на 2010−2014 годы были реализованы перечисленные ниже информационно-просветительские и образовательные мероприятия в области обеспечения р</w:t>
      </w:r>
      <w:r w:rsidRPr="00C63B8B">
        <w:t>а</w:t>
      </w:r>
      <w:r w:rsidRPr="00C63B8B">
        <w:t>венства мужчин и женщин.</w:t>
      </w:r>
    </w:p>
    <w:p w:rsidR="008F52F9" w:rsidRPr="00C63B8B" w:rsidRDefault="008F52F9" w:rsidP="008F52F9">
      <w:pPr>
        <w:pStyle w:val="SingleTxtGR"/>
      </w:pPr>
      <w:r w:rsidRPr="00C63B8B">
        <w:t>204.</w:t>
      </w:r>
      <w:r w:rsidRPr="00C63B8B">
        <w:tab/>
        <w:t>Министерство социального обеспечения и труда совместно с Информ</w:t>
      </w:r>
      <w:r w:rsidRPr="00C63B8B">
        <w:t>а</w:t>
      </w:r>
      <w:r w:rsidRPr="00C63B8B">
        <w:t>ционным центром для женщин организовали тренинг для социальных партн</w:t>
      </w:r>
      <w:r w:rsidRPr="00C63B8B">
        <w:t>е</w:t>
      </w:r>
      <w:r w:rsidRPr="00C63B8B">
        <w:t>ров по вопросам создания благоприятных условий для семейных сотрудников. Были организованы курсы продолжительностью в 12 академических часов. В состав их участников (общая численность – 21 человек) вошли представители различных учреждений Вильнюса и Вильнюсского района, а также женских групп и организаций и т.д. Был также подготовлен и организован тренинг по вопросам равного участия мужчин и женщин в различных видах деятельности (продолжительность программы составила 12 академических часов). Целью данного тренинга было уменьшение существующих проявлений неравенства между женщинами и мужчинами, а также в контексте отношений между ними как на личном, так и на организационном уровнях, путем их ознакомления с основной информацией, позволяющей осмыслить, усвоить и понять социал</w:t>
      </w:r>
      <w:r w:rsidRPr="00C63B8B">
        <w:t>ь</w:t>
      </w:r>
      <w:r w:rsidRPr="00C63B8B">
        <w:t>ную конструкцию гендера, определяющую различные функции женщин и му</w:t>
      </w:r>
      <w:r w:rsidRPr="00C63B8B">
        <w:t>ж</w:t>
      </w:r>
      <w:r w:rsidRPr="00C63B8B">
        <w:t xml:space="preserve">чин, а также стереотипы в отношениях применительно к факторам власти и контроля. </w:t>
      </w:r>
    </w:p>
    <w:p w:rsidR="008F52F9" w:rsidRPr="00C63B8B" w:rsidRDefault="008F52F9" w:rsidP="008F52F9">
      <w:pPr>
        <w:pStyle w:val="SingleTxtGR"/>
      </w:pPr>
      <w:r w:rsidRPr="00C63B8B">
        <w:t>205.</w:t>
      </w:r>
      <w:r w:rsidRPr="00C63B8B">
        <w:tab/>
        <w:t>Литовская биржа труда при Министерстве социального обеспечения и труда организовала программу подготовки для консультантов по вопросам профориентации, работающих в местных организациях по оказанию учебных и консультативных услуг по проблемам, связанным с рынком труда, и консул</w:t>
      </w:r>
      <w:r w:rsidRPr="00C63B8B">
        <w:t>ь</w:t>
      </w:r>
      <w:r w:rsidRPr="00C63B8B">
        <w:t>тантов, представляющих местные биржи труда; темой программы стало иск</w:t>
      </w:r>
      <w:r w:rsidRPr="00C63B8B">
        <w:t>о</w:t>
      </w:r>
      <w:r w:rsidRPr="00C63B8B">
        <w:t>ренение стереотипных подходов при оказании консультативных услуг в области профориентации и предоставлении информации о различных профессиях же</w:t>
      </w:r>
      <w:r w:rsidRPr="00C63B8B">
        <w:t>н</w:t>
      </w:r>
      <w:r w:rsidRPr="00C63B8B">
        <w:t>щинам и мужчинам. В семинарах приняли участие в общей сложности 44 с</w:t>
      </w:r>
      <w:r w:rsidRPr="00C63B8B">
        <w:t>о</w:t>
      </w:r>
      <w:r w:rsidRPr="00C63B8B">
        <w:t>трудника (в том числе 41 женщина) местных бирж труда, работающих неп</w:t>
      </w:r>
      <w:r w:rsidRPr="00C63B8B">
        <w:t>о</w:t>
      </w:r>
      <w:r w:rsidRPr="00C63B8B">
        <w:t>средственно с клиентами.</w:t>
      </w:r>
    </w:p>
    <w:p w:rsidR="008F52F9" w:rsidRPr="00C63B8B" w:rsidRDefault="008F52F9" w:rsidP="008F52F9">
      <w:pPr>
        <w:pStyle w:val="SingleTxtGR"/>
      </w:pPr>
      <w:r w:rsidRPr="00C63B8B">
        <w:t>206.</w:t>
      </w:r>
      <w:r w:rsidRPr="00C63B8B">
        <w:tab/>
        <w:t>Канцелярия Уполномоченного по обеспечению равных возможностей разработала руководящие принципы предотвращения сексуальных домог</w:t>
      </w:r>
      <w:r w:rsidRPr="00C63B8B">
        <w:t>а</w:t>
      </w:r>
      <w:r w:rsidRPr="00C63B8B">
        <w:t>тельств, домогательств гендерного характера и возникновения условий, благ</w:t>
      </w:r>
      <w:r w:rsidRPr="00C63B8B">
        <w:t>о</w:t>
      </w:r>
      <w:r w:rsidRPr="00C63B8B">
        <w:t>приятствующих дискриминации, а также руководящие установки в отношении применения временных специальных мер.</w:t>
      </w:r>
    </w:p>
    <w:p w:rsidR="008F52F9" w:rsidRPr="00C63B8B" w:rsidRDefault="008F52F9" w:rsidP="008F52F9">
      <w:pPr>
        <w:pStyle w:val="SingleTxtGR"/>
      </w:pPr>
      <w:r w:rsidRPr="00C63B8B">
        <w:t>207.</w:t>
      </w:r>
      <w:r w:rsidRPr="00C63B8B">
        <w:tab/>
        <w:t>Министерство национальной обороны организовало лекции (семинары) для государственных служащих Министерства национальной обороны, подо</w:t>
      </w:r>
      <w:r w:rsidRPr="00C63B8B">
        <w:t>т</w:t>
      </w:r>
      <w:r w:rsidRPr="00C63B8B">
        <w:t>четных ему учреждений и других органов системы национальной обороны в целях углубления знаний военнослужащих и работников касательно вопросов, связанных с обеспечением равных возможностей для женщин и мужчин. Были организованы три лекции (продолжительностью в 12 академических часов), п</w:t>
      </w:r>
      <w:r w:rsidRPr="00C63B8B">
        <w:t>о</w:t>
      </w:r>
      <w:r w:rsidRPr="00C63B8B">
        <w:t>священные обеспечению равных возможностей для женщин и мужчин, в кот</w:t>
      </w:r>
      <w:r w:rsidRPr="00C63B8B">
        <w:t>о</w:t>
      </w:r>
      <w:r w:rsidRPr="00C63B8B">
        <w:t>рых приняли участие 124 военнослужащих и гражданских лиц, работающих в системе национальной обороны. Объединенный штаб Вооруженных сил Литвы обеспечил, чтобы лекции о равных возможностях для женщин и мужчин были также прочитаны военнослужащим, которые готовятся к участию в междун</w:t>
      </w:r>
      <w:r w:rsidRPr="00C63B8B">
        <w:t>а</w:t>
      </w:r>
      <w:r w:rsidRPr="00C63B8B">
        <w:t>родных операциях. Эти лекции посетили 330 военнослужащих.</w:t>
      </w:r>
    </w:p>
    <w:p w:rsidR="008F52F9" w:rsidRPr="00C63B8B" w:rsidRDefault="008F52F9" w:rsidP="008F52F9">
      <w:pPr>
        <w:pStyle w:val="SingleTxtGR"/>
      </w:pPr>
      <w:r w:rsidRPr="00C63B8B">
        <w:t>208.</w:t>
      </w:r>
      <w:r w:rsidRPr="00C63B8B">
        <w:tab/>
        <w:t>Министерство внутренних дел и подотчетные ему учреждения (Пожарно-спасательная служба, Служба общественной безопасности и Департамент п</w:t>
      </w:r>
      <w:r w:rsidRPr="00C63B8B">
        <w:t>о</w:t>
      </w:r>
      <w:r w:rsidRPr="00C63B8B">
        <w:t>лиции) организовали девять учебных курсов в целях повышения компетентн</w:t>
      </w:r>
      <w:r w:rsidRPr="00C63B8B">
        <w:t>о</w:t>
      </w:r>
      <w:r w:rsidRPr="00C63B8B">
        <w:t>сти своих сотрудников в сфере обеспечения равных возможностей для женщин и мужчин. В общей сложности в этих мероприятиях принял участие 301 с</w:t>
      </w:r>
      <w:r w:rsidRPr="00C63B8B">
        <w:t>о</w:t>
      </w:r>
      <w:r w:rsidRPr="00C63B8B">
        <w:t>трудник.</w:t>
      </w:r>
    </w:p>
    <w:p w:rsidR="008F52F9" w:rsidRPr="00C63B8B" w:rsidRDefault="008F52F9" w:rsidP="008F52F9">
      <w:pPr>
        <w:pStyle w:val="SingleTxtGR"/>
      </w:pPr>
      <w:r w:rsidRPr="00C63B8B">
        <w:t>209.</w:t>
      </w:r>
      <w:r w:rsidRPr="00C63B8B">
        <w:tab/>
        <w:t>При наличии соответствующих возможностей предприятия, органы и о</w:t>
      </w:r>
      <w:r w:rsidRPr="00C63B8B">
        <w:t>р</w:t>
      </w:r>
      <w:r w:rsidRPr="00C63B8B">
        <w:t>ганизации системы Министерства транспорта и связи проводили мероприятия по обучению сотрудников, а также лекции/дискуссии, посвященные вопросам роли женщин и мужчин в национальной экономике, а также мерам по недоп</w:t>
      </w:r>
      <w:r w:rsidRPr="00C63B8B">
        <w:t>у</w:t>
      </w:r>
      <w:r w:rsidRPr="00C63B8B">
        <w:t>щению гендерной дискриминации, направленным на преодоление дискримин</w:t>
      </w:r>
      <w:r w:rsidRPr="00C63B8B">
        <w:t>а</w:t>
      </w:r>
      <w:r w:rsidRPr="00C63B8B">
        <w:t>ционных подходов к роли женщин и мужчин в экономической деятельности и обеспечение распространения информации о равенстве мужчин и женщин. В т</w:t>
      </w:r>
      <w:r w:rsidRPr="00C63B8B">
        <w:t>а</w:t>
      </w:r>
      <w:r w:rsidRPr="00C63B8B">
        <w:t>ких семинарах приняли участие 114 сотрудников.</w:t>
      </w:r>
    </w:p>
    <w:p w:rsidR="008F52F9" w:rsidRPr="00C63B8B" w:rsidRDefault="008F52F9" w:rsidP="008F52F9">
      <w:pPr>
        <w:pStyle w:val="H23GR"/>
      </w:pPr>
      <w:r w:rsidRPr="00C63B8B">
        <w:tab/>
      </w:r>
      <w:r w:rsidRPr="00C63B8B">
        <w:tab/>
        <w:t>Образовательные мероприятия по вопросам, касающимся прав инвалидов</w:t>
      </w:r>
    </w:p>
    <w:p w:rsidR="008F52F9" w:rsidRPr="00C63B8B" w:rsidRDefault="008F52F9" w:rsidP="008F52F9">
      <w:pPr>
        <w:pStyle w:val="SingleTxtGR"/>
      </w:pPr>
      <w:r w:rsidRPr="00C63B8B">
        <w:t>210.</w:t>
      </w:r>
      <w:r w:rsidRPr="00C63B8B">
        <w:tab/>
        <w:t xml:space="preserve">27 мая 2010 года Литва ратифицировала Конвенцию о правах инвалидов от 13 декабря 2006 года и Факультативный протокол к ней. </w:t>
      </w:r>
    </w:p>
    <w:p w:rsidR="008F52F9" w:rsidRPr="00C63B8B" w:rsidRDefault="008F52F9" w:rsidP="008F52F9">
      <w:pPr>
        <w:pStyle w:val="SingleTxtGR"/>
      </w:pPr>
      <w:r w:rsidRPr="00C63B8B">
        <w:t>211.</w:t>
      </w:r>
      <w:r w:rsidRPr="00C63B8B">
        <w:tab/>
        <w:t>В 2012 году Департамент по делам инвалидов, входящий в систему М</w:t>
      </w:r>
      <w:r w:rsidRPr="00C63B8B">
        <w:t>и</w:t>
      </w:r>
      <w:r w:rsidRPr="00C63B8B">
        <w:t>нистерства социального обеспечения и труда, организовал курсы по вопросам недопущения дискриминации в отношении инвалидов для специалистов, раб</w:t>
      </w:r>
      <w:r w:rsidRPr="00C63B8B">
        <w:t>о</w:t>
      </w:r>
      <w:r w:rsidRPr="00C63B8B">
        <w:t>тающих в сфере общественной информации. Обучение в рамках курсов прошли 20 человек. Кроме того, Министерство социального обеспечения и труда по</w:t>
      </w:r>
      <w:r w:rsidRPr="00C63B8B">
        <w:t>д</w:t>
      </w:r>
      <w:r w:rsidRPr="00C63B8B">
        <w:t>держивает проекты деятельности неправительственных организаций, дейс</w:t>
      </w:r>
      <w:r w:rsidRPr="00C63B8B">
        <w:t>т</w:t>
      </w:r>
      <w:r w:rsidRPr="00C63B8B">
        <w:t>вующих в интересах инвалидов, в рамках которых приоритетное внимание уд</w:t>
      </w:r>
      <w:r w:rsidRPr="00C63B8B">
        <w:t>е</w:t>
      </w:r>
      <w:r w:rsidRPr="00C63B8B">
        <w:t>ляется защите прав инвалидов.</w:t>
      </w:r>
    </w:p>
    <w:p w:rsidR="008F52F9" w:rsidRPr="00C63B8B" w:rsidRDefault="008F52F9" w:rsidP="008F52F9">
      <w:pPr>
        <w:pStyle w:val="H23GR"/>
      </w:pPr>
      <w:r w:rsidRPr="00C63B8B">
        <w:tab/>
        <w:t>В.</w:t>
      </w:r>
      <w:r w:rsidRPr="00C63B8B">
        <w:tab/>
        <w:t>Антидискриминационные меры в сфере культуры</w:t>
      </w:r>
    </w:p>
    <w:p w:rsidR="008F52F9" w:rsidRPr="00C63B8B" w:rsidRDefault="008F52F9" w:rsidP="008F52F9">
      <w:pPr>
        <w:pStyle w:val="SingleTxtGR"/>
      </w:pPr>
      <w:r w:rsidRPr="00C63B8B">
        <w:t>212.</w:t>
      </w:r>
      <w:r w:rsidRPr="00C63B8B">
        <w:tab/>
        <w:t>Различные органы власти национального и местного уровня, а также н</w:t>
      </w:r>
      <w:r w:rsidRPr="00C63B8B">
        <w:t>е</w:t>
      </w:r>
      <w:r w:rsidRPr="00C63B8B">
        <w:t>правительственные организации проводят культурные мероприятия, напра</w:t>
      </w:r>
      <w:r w:rsidRPr="00C63B8B">
        <w:t>в</w:t>
      </w:r>
      <w:r w:rsidRPr="00C63B8B">
        <w:t>ленные на ознакомление общественности с культурой и обычаями различных национальных меньшинств, проживающих в Литве. Информация об антиди</w:t>
      </w:r>
      <w:r w:rsidRPr="00C63B8B">
        <w:t>с</w:t>
      </w:r>
      <w:r w:rsidRPr="00C63B8B">
        <w:t>криминационных мерах культурного характера, реализуемых в рамках Страт</w:t>
      </w:r>
      <w:r w:rsidRPr="00C63B8B">
        <w:t>е</w:t>
      </w:r>
      <w:r w:rsidRPr="00C63B8B">
        <w:t xml:space="preserve">гии развития политики в отношении национальных меньшинств, приводится в пунктах 61−65. </w:t>
      </w:r>
    </w:p>
    <w:p w:rsidR="008F52F9" w:rsidRPr="00C63B8B" w:rsidRDefault="008F52F9" w:rsidP="008F52F9">
      <w:pPr>
        <w:pStyle w:val="SingleTxtGR"/>
      </w:pPr>
      <w:r w:rsidRPr="00C63B8B">
        <w:t>213.</w:t>
      </w:r>
      <w:r w:rsidRPr="00C63B8B">
        <w:tab/>
        <w:t>Начиная с 2011 года муниципалитет Тракайского района ежегодно пров</w:t>
      </w:r>
      <w:r w:rsidRPr="00C63B8B">
        <w:t>о</w:t>
      </w:r>
      <w:r w:rsidRPr="00C63B8B">
        <w:t>дит Дни культуры литовских татар, известные под названием "Татарский саба</w:t>
      </w:r>
      <w:r w:rsidRPr="00C63B8B">
        <w:t>н</w:t>
      </w:r>
      <w:r w:rsidRPr="00C63B8B">
        <w:t>туй в Тракае" ("Totorių Sabantujus Trakuose"). Это мероприятие преследует цель подчеркнуть роль татар в истории города Тракая, а также важное значения Тр</w:t>
      </w:r>
      <w:r w:rsidRPr="00C63B8B">
        <w:t>а</w:t>
      </w:r>
      <w:r w:rsidRPr="00C63B8B">
        <w:t>кая для татар в Литве.</w:t>
      </w:r>
    </w:p>
    <w:p w:rsidR="008F52F9" w:rsidRPr="00C63B8B" w:rsidRDefault="008F52F9" w:rsidP="008F52F9">
      <w:pPr>
        <w:pStyle w:val="SingleTxtGR"/>
      </w:pPr>
      <w:r w:rsidRPr="00C63B8B">
        <w:t>214.</w:t>
      </w:r>
      <w:r w:rsidRPr="00C63B8B">
        <w:tab/>
        <w:t>Институт истории Литвы в сотрудничестве с Университетским колледжем Лондона провел в Лондоне международные конференции, посвященные вопр</w:t>
      </w:r>
      <w:r w:rsidRPr="00C63B8B">
        <w:t>о</w:t>
      </w:r>
      <w:r w:rsidRPr="00C63B8B">
        <w:t>сам истории еврейского народа: 6−7 февраля 2011 года состоялась конференция на тему "Непростые истории отношений между евреями и литовцами: от сос</w:t>
      </w:r>
      <w:r w:rsidRPr="00C63B8B">
        <w:t>у</w:t>
      </w:r>
      <w:r w:rsidRPr="00C63B8B">
        <w:t>ществования до насилия", а 17−18 декабря 2012 года – конференция на тему "Евреи и неевреи в Литве: сосуществование, сотрудничество, насилие".</w:t>
      </w:r>
    </w:p>
    <w:p w:rsidR="008F52F9" w:rsidRPr="00C63B8B" w:rsidRDefault="008F52F9" w:rsidP="008F52F9">
      <w:pPr>
        <w:pStyle w:val="SingleTxtGR"/>
      </w:pPr>
      <w:r w:rsidRPr="00C63B8B">
        <w:t>215.</w:t>
      </w:r>
      <w:r w:rsidRPr="00C63B8B">
        <w:tab/>
        <w:t>В рамках реализации Межучрежденческого плана действий по поощр</w:t>
      </w:r>
      <w:r w:rsidRPr="00C63B8B">
        <w:t>е</w:t>
      </w:r>
      <w:r w:rsidRPr="00C63B8B">
        <w:t>нию борьбы с дискриминацией на 2012−2014 годы в 2012 году впервые в Литве были опубликованы панорамные трехмерные фотографии объектов культурного наследия, имеющих важное культурное значение для национальных мен</w:t>
      </w:r>
      <w:r w:rsidRPr="00C63B8B">
        <w:t>ь</w:t>
      </w:r>
      <w:r w:rsidRPr="00C63B8B">
        <w:t>шинств (они были выпущены в виде компакт-диска в качестве виртуального т</w:t>
      </w:r>
      <w:r w:rsidRPr="00C63B8B">
        <w:t>у</w:t>
      </w:r>
      <w:r w:rsidRPr="00C63B8B">
        <w:t>ра по объектам культурного туризма); к ним также прилагалась письменная и</w:t>
      </w:r>
      <w:r w:rsidRPr="00C63B8B">
        <w:t>н</w:t>
      </w:r>
      <w:r w:rsidRPr="00C63B8B">
        <w:t>формация на литовском, польском, русском и английском языках.</w:t>
      </w:r>
    </w:p>
    <w:p w:rsidR="008F52F9" w:rsidRPr="00C63B8B" w:rsidRDefault="008F52F9" w:rsidP="008F52F9">
      <w:pPr>
        <w:pStyle w:val="SingleTxtGR"/>
      </w:pPr>
      <w:r w:rsidRPr="00C63B8B">
        <w:t>216.</w:t>
      </w:r>
      <w:r w:rsidRPr="00C63B8B">
        <w:tab/>
        <w:t>Центр исследований в области культуры и истории восточноевропейских евреев (здесь и далее – "Центр еврейской культуры") занимается реализацией проектов как научного, так и образовательного характера, направленных на п</w:t>
      </w:r>
      <w:r w:rsidRPr="00C63B8B">
        <w:t>о</w:t>
      </w:r>
      <w:r w:rsidRPr="00C63B8B">
        <w:t>вышение качества еврейских исследований в нашем регионе, привлечение вн</w:t>
      </w:r>
      <w:r w:rsidRPr="00C63B8B">
        <w:t>и</w:t>
      </w:r>
      <w:r w:rsidRPr="00C63B8B">
        <w:t>мания как к материальному, так и к нематериальному наследию местных евр</w:t>
      </w:r>
      <w:r w:rsidRPr="00C63B8B">
        <w:t>е</w:t>
      </w:r>
      <w:r w:rsidRPr="00C63B8B">
        <w:t>ев, а также на поощрение межнациональной толерантности и взаимопоним</w:t>
      </w:r>
      <w:r w:rsidRPr="00C63B8B">
        <w:t>а</w:t>
      </w:r>
      <w:r w:rsidRPr="00C63B8B">
        <w:t>ния.</w:t>
      </w:r>
    </w:p>
    <w:p w:rsidR="008F52F9" w:rsidRPr="00C63B8B" w:rsidRDefault="008F52F9" w:rsidP="008F52F9">
      <w:pPr>
        <w:pStyle w:val="SingleTxtGR"/>
      </w:pPr>
      <w:r w:rsidRPr="00C63B8B">
        <w:t>217.</w:t>
      </w:r>
      <w:r w:rsidRPr="00C63B8B">
        <w:tab/>
        <w:t>В 2011−2012 годах Центр еврейской культуры принял участие в разраб</w:t>
      </w:r>
      <w:r w:rsidRPr="00C63B8B">
        <w:t>о</w:t>
      </w:r>
      <w:r w:rsidRPr="00C63B8B">
        <w:t>танной Правительством программе "Память жертв Холокоста в Литве", реал</w:t>
      </w:r>
      <w:r w:rsidRPr="00C63B8B">
        <w:t>и</w:t>
      </w:r>
      <w:r w:rsidRPr="00C63B8B">
        <w:t>зовав проект под названием "Информационно-просветительские выставки, п</w:t>
      </w:r>
      <w:r w:rsidRPr="00C63B8B">
        <w:t>о</w:t>
      </w:r>
      <w:r w:rsidRPr="00C63B8B">
        <w:t>священные еврейской истории и культуре, в региональных музеях". В ходе осуществления данного проекта в региональных музеях Литвы было организ</w:t>
      </w:r>
      <w:r w:rsidRPr="00C63B8B">
        <w:t>о</w:t>
      </w:r>
      <w:r w:rsidRPr="00C63B8B">
        <w:t>вано 20 долгосрочных выставок, посвященных еврейской истории и культуре.</w:t>
      </w:r>
    </w:p>
    <w:p w:rsidR="008F52F9" w:rsidRPr="00C63B8B" w:rsidRDefault="008F52F9" w:rsidP="008F52F9">
      <w:pPr>
        <w:pStyle w:val="SingleTxtGR"/>
      </w:pPr>
      <w:r w:rsidRPr="00C63B8B">
        <w:t>218.</w:t>
      </w:r>
      <w:r w:rsidRPr="00C63B8B">
        <w:tab/>
        <w:t>В сотрудничестве в австрийской некоммерческой организацией "Центр</w:t>
      </w:r>
      <w:r w:rsidRPr="00C63B8B">
        <w:t>о</w:t>
      </w:r>
      <w:r w:rsidRPr="00C63B8B">
        <w:t>па" 23−25 ноября 2012 года был проведен обучающий семинар и творческий практикум для литовских преподавателей истории, литературы и английского языка. В ходе мероприятия затрагивались вопросы, связанные с дидактическ</w:t>
      </w:r>
      <w:r w:rsidRPr="00C63B8B">
        <w:t>и</w:t>
      </w:r>
      <w:r w:rsidRPr="00C63B8B">
        <w:t>ми аспектами преподавания еврейской и литовской истории, а также с методами представления информации о еврейской культуре и наследии. Кроме того, были организованы передвижные выставки, посвященные истории евреев в Литве, а также презентация для еврейской общины Литвы.</w:t>
      </w:r>
    </w:p>
    <w:p w:rsidR="008F52F9" w:rsidRPr="00C63B8B" w:rsidRDefault="008F52F9" w:rsidP="008F52F9">
      <w:pPr>
        <w:pStyle w:val="SingleTxtGR"/>
      </w:pPr>
      <w:r w:rsidRPr="00C63B8B">
        <w:t>219.</w:t>
      </w:r>
      <w:r w:rsidRPr="00C63B8B">
        <w:tab/>
        <w:t>В начале 2013 года Центр еврейской культуры представил на рассмотр</w:t>
      </w:r>
      <w:r w:rsidRPr="00C63B8B">
        <w:t>е</w:t>
      </w:r>
      <w:r w:rsidRPr="00C63B8B">
        <w:t>ние литовской общественности результаты информационно-просветительского проекта под названием "Виртуальный альбом истории литовских евреев". По итогам проекта был создан веб-сайт www.lzia.lt, на котором представлена ист</w:t>
      </w:r>
      <w:r w:rsidRPr="00C63B8B">
        <w:t>о</w:t>
      </w:r>
      <w:r w:rsidRPr="00C63B8B">
        <w:t>рия евреев в Литве в фотографиях и документах, сопровождаемых короткими текстовыми вставками по конкретным темам. В рамках данного проекта, пре</w:t>
      </w:r>
      <w:r w:rsidRPr="00C63B8B">
        <w:t>д</w:t>
      </w:r>
      <w:r w:rsidRPr="00C63B8B">
        <w:t>назначенного для широкой общественности, значительное внимание уделено привлекательному визуальному дизайну веб-сайта, который призван облегчить процесс ознакомления с историческими фактами и сделать его более интере</w:t>
      </w:r>
      <w:r w:rsidRPr="00C63B8B">
        <w:t>с</w:t>
      </w:r>
      <w:r w:rsidRPr="00C63B8B">
        <w:t>ным.</w:t>
      </w:r>
    </w:p>
    <w:p w:rsidR="008F52F9" w:rsidRPr="00C63B8B" w:rsidRDefault="008F52F9" w:rsidP="008F52F9">
      <w:pPr>
        <w:pStyle w:val="H23GR"/>
      </w:pPr>
      <w:r w:rsidRPr="00C63B8B">
        <w:tab/>
      </w:r>
      <w:r w:rsidRPr="00C63B8B">
        <w:tab/>
        <w:t>Осуществление Программы Европейского фонда интеграции граждан третьих стран</w:t>
      </w:r>
    </w:p>
    <w:p w:rsidR="008F52F9" w:rsidRPr="00C63B8B" w:rsidRDefault="008F52F9" w:rsidP="008F52F9">
      <w:pPr>
        <w:pStyle w:val="SingleTxtGR"/>
      </w:pPr>
      <w:r w:rsidRPr="00C63B8B">
        <w:t>220.</w:t>
      </w:r>
      <w:r w:rsidRPr="00C63B8B">
        <w:tab/>
        <w:t>Целью Программы Европейского фонда интеграции граждан третьих стран (ЕФИ), учрежденной на основе Рамочной программы "Солидарность и управление миграционными потоками", является поддержка государств-членов в их усилиях по оказанию помощи гражданам третьих стран (вне зависимости от их экономического положения, социальных условий, культуры, религии, языка и этнической принадлежности) в деле выполнения ими условий предо</w:t>
      </w:r>
      <w:r w:rsidRPr="00C63B8B">
        <w:t>с</w:t>
      </w:r>
      <w:r w:rsidRPr="00C63B8B">
        <w:t>тавления вида на жительство, а также по содействию их интеграции в европе</w:t>
      </w:r>
      <w:r w:rsidRPr="00C63B8B">
        <w:t>й</w:t>
      </w:r>
      <w:r w:rsidRPr="00C63B8B">
        <w:t>ские общества.</w:t>
      </w:r>
    </w:p>
    <w:p w:rsidR="008F52F9" w:rsidRPr="00C63B8B" w:rsidRDefault="008F52F9" w:rsidP="008F52F9">
      <w:pPr>
        <w:pStyle w:val="SingleTxtGR"/>
      </w:pPr>
      <w:r w:rsidRPr="00C63B8B">
        <w:t>221.</w:t>
      </w:r>
      <w:r w:rsidRPr="00C63B8B">
        <w:tab/>
        <w:t>Одно из направлений деятельности в рамках Программы имеет название "Содействие межкультурным взаимообменам"; его целью является расширение возможностей литовского общества в плане приспособления к фактору мног</w:t>
      </w:r>
      <w:r w:rsidRPr="00C63B8B">
        <w:t>о</w:t>
      </w:r>
      <w:r w:rsidRPr="00C63B8B">
        <w:t>образия, а также укрепление взаимопонимания между различными группами общественности, что, в свою очередь, способствует созданию боле благоприя</w:t>
      </w:r>
      <w:r w:rsidRPr="00C63B8B">
        <w:t>т</w:t>
      </w:r>
      <w:r w:rsidRPr="00C63B8B">
        <w:t>ных условий для интеграции граждан третьих стран. В рамках этого направл</w:t>
      </w:r>
      <w:r w:rsidRPr="00C63B8B">
        <w:t>е</w:t>
      </w:r>
      <w:r w:rsidRPr="00C63B8B">
        <w:t>ния деятельности обеспечивается финансирование проектов, предусматрива</w:t>
      </w:r>
      <w:r w:rsidRPr="00C63B8B">
        <w:t>ю</w:t>
      </w:r>
      <w:r w:rsidRPr="00C63B8B">
        <w:t>щих реализацию программ и аналогичных мер в контексте совместных мер</w:t>
      </w:r>
      <w:r w:rsidRPr="00C63B8B">
        <w:t>о</w:t>
      </w:r>
      <w:r w:rsidRPr="00C63B8B">
        <w:t>приятий, связей и конструктивного диалога; поощряется участие граждан третьих стран в волонтерской деятельности совместно с представителями л</w:t>
      </w:r>
      <w:r w:rsidRPr="00C63B8B">
        <w:t>и</w:t>
      </w:r>
      <w:r w:rsidRPr="00C63B8B">
        <w:t>товского общества; оказывается содействие в расширении информированности членов литовского общества, а также в углублении понимания ими вопросов, связанных с гражданами третьих стран, и укреплении толерантности в отнош</w:t>
      </w:r>
      <w:r w:rsidRPr="00C63B8B">
        <w:t>е</w:t>
      </w:r>
      <w:r w:rsidRPr="00C63B8B">
        <w:t>нии последних (путем проведения информационных кампаний, кампаний по расширению информированности общественности и т.д.); и предоставляется помощь в борьбе с предубеждениями и стереотипами, касающимися граждан третьих стран.</w:t>
      </w:r>
    </w:p>
    <w:p w:rsidR="008F52F9" w:rsidRPr="00C63B8B" w:rsidRDefault="008F52F9" w:rsidP="008F52F9">
      <w:pPr>
        <w:pStyle w:val="SingleTxtGR"/>
      </w:pPr>
      <w:r w:rsidRPr="00C63B8B">
        <w:t>222.</w:t>
      </w:r>
      <w:r w:rsidRPr="00C63B8B">
        <w:tab/>
        <w:t>Начиная с 2009 года по линии этого направления деятельности было ре</w:t>
      </w:r>
      <w:r w:rsidRPr="00C63B8B">
        <w:t>а</w:t>
      </w:r>
      <w:r w:rsidRPr="00C63B8B">
        <w:t>лизовано 17 проектов. Одним из примеров эффективной деятельности по укр</w:t>
      </w:r>
      <w:r w:rsidRPr="00C63B8B">
        <w:t>е</w:t>
      </w:r>
      <w:r w:rsidRPr="00C63B8B">
        <w:t>плению межкультурного взаимопонимания является реализованный ОАО "Св</w:t>
      </w:r>
      <w:r w:rsidRPr="00C63B8B">
        <w:t>о</w:t>
      </w:r>
      <w:r w:rsidRPr="00C63B8B">
        <w:t>бодный и независимый канал" (JSC "Laisvas ir nepriklausomas kanalas") проект под названием "Невидимки среди нас" ("Nematomi. Tarp mūsų"), получивший финансирование в объеме 205 108 литов. В рамках этого проекта, направленн</w:t>
      </w:r>
      <w:r w:rsidRPr="00C63B8B">
        <w:t>о</w:t>
      </w:r>
      <w:r w:rsidRPr="00C63B8B">
        <w:t>го на расширение информированности общественности, была обеспечена съе</w:t>
      </w:r>
      <w:r w:rsidRPr="00C63B8B">
        <w:t>м</w:t>
      </w:r>
      <w:r w:rsidRPr="00C63B8B">
        <w:t>ка и трансляция нескольких телепередач, посвященных проживающим в Литве гражданам третьих стран. Некоторые проекты реализуются при участии орг</w:t>
      </w:r>
      <w:r w:rsidRPr="00C63B8B">
        <w:t>а</w:t>
      </w:r>
      <w:r w:rsidRPr="00C63B8B">
        <w:t>низаций, созданных гражданами третьих стран, которые живут в Литве. Прим</w:t>
      </w:r>
      <w:r w:rsidRPr="00C63B8B">
        <w:t>е</w:t>
      </w:r>
      <w:r w:rsidRPr="00C63B8B">
        <w:t>ром эффективной деятельности подобного рода стал проект под названием "Многокультурный волонтерский центр: гармоничные отношения между лито</w:t>
      </w:r>
      <w:r w:rsidRPr="00C63B8B">
        <w:t>в</w:t>
      </w:r>
      <w:r w:rsidRPr="00C63B8B">
        <w:t xml:space="preserve">ским обществом и гражданами третьих стран", реализованный Ассоциацией толерантной молодежи (объем финансирования проекта составляет </w:t>
      </w:r>
      <w:r w:rsidRPr="00C63B8B">
        <w:br/>
        <w:t>468 862,18 лита). Целью данного проекта было создание многокультурного в</w:t>
      </w:r>
      <w:r w:rsidRPr="00C63B8B">
        <w:t>о</w:t>
      </w:r>
      <w:r w:rsidRPr="00C63B8B">
        <w:t>лонтерского центра, а также осуществление деятельности, способствующей у</w:t>
      </w:r>
      <w:r w:rsidRPr="00C63B8B">
        <w:t>к</w:t>
      </w:r>
      <w:r w:rsidRPr="00C63B8B">
        <w:t>реплению взаимного доверия и понимания; в качестве партнера по реализации проекта выступила африканская община Вильнюса.</w:t>
      </w:r>
    </w:p>
    <w:p w:rsidR="002217A3" w:rsidRDefault="008F52F9" w:rsidP="008F52F9">
      <w:pPr>
        <w:pStyle w:val="SingleTxtGR"/>
      </w:pPr>
      <w:r w:rsidRPr="00C63B8B">
        <w:t>223.</w:t>
      </w:r>
      <w:r w:rsidRPr="00C63B8B">
        <w:tab/>
        <w:t>Еще одно направление деятельности в рамках Программы имеет название "Профессиональная подготовка лиц, ответственных за разработку политики, г</w:t>
      </w:r>
      <w:r w:rsidRPr="00C63B8B">
        <w:t>о</w:t>
      </w:r>
      <w:r w:rsidRPr="00C63B8B">
        <w:t>сударственных служащих и других лиц, которые работают в областях, име</w:t>
      </w:r>
      <w:r w:rsidRPr="00C63B8B">
        <w:t>ю</w:t>
      </w:r>
      <w:r w:rsidRPr="00C63B8B">
        <w:t>щих отношение к целям ЕФИ, в целях расширения их компетентности в вопросах межкультурных взаимоотношений, наращивания потенциала и управления мн</w:t>
      </w:r>
      <w:r w:rsidRPr="00C63B8B">
        <w:t>о</w:t>
      </w:r>
      <w:r w:rsidRPr="00C63B8B">
        <w:t>гообразием"; его задачей является расширение знаний лиц, ответственных за разработку политики, государственных служащих и других заинтересованных лиц в вопросах управления многообразием и межкультурных взаимоотнош</w:t>
      </w:r>
      <w:r w:rsidRPr="00C63B8B">
        <w:t>е</w:t>
      </w:r>
      <w:r w:rsidRPr="00C63B8B">
        <w:t>ний, а также укрепление их потенциала в плане выполнения возложенных на них функций, что, в свою очередь, должно способствовать повышению качества механизмов интеграционной политики. В рамках этого направления деятельн</w:t>
      </w:r>
      <w:r w:rsidRPr="00C63B8B">
        <w:t>о</w:t>
      </w:r>
      <w:r w:rsidRPr="00C63B8B">
        <w:t xml:space="preserve">сти обеспечивается финансирование проектов, направленных на разработку </w:t>
      </w:r>
      <w:r w:rsidR="002217A3">
        <w:br/>
      </w:r>
    </w:p>
    <w:p w:rsidR="008F52F9" w:rsidRPr="00C63B8B" w:rsidRDefault="002217A3" w:rsidP="008F52F9">
      <w:pPr>
        <w:pStyle w:val="SingleTxtGR"/>
      </w:pPr>
      <w:r>
        <w:br w:type="page"/>
      </w:r>
      <w:r w:rsidR="008F52F9" w:rsidRPr="00C63B8B">
        <w:t>и/или реализацию учебных программ для работников различных сфер, функции которых связаны с гражданами третьих стран и мерами по их интеграции, и о</w:t>
      </w:r>
      <w:r w:rsidR="008F52F9" w:rsidRPr="00C63B8B">
        <w:t>р</w:t>
      </w:r>
      <w:r w:rsidR="008F52F9" w:rsidRPr="00C63B8B">
        <w:t>ганизуются тренинги в области развития навыков межкультурного взаимоде</w:t>
      </w:r>
      <w:r w:rsidR="008F52F9" w:rsidRPr="00C63B8B">
        <w:t>й</w:t>
      </w:r>
      <w:r w:rsidR="008F52F9" w:rsidRPr="00C63B8B">
        <w:t>ствия, наращивания потенциала и управления многообразием для лиц, раб</w:t>
      </w:r>
      <w:r w:rsidR="008F52F9" w:rsidRPr="00C63B8B">
        <w:t>о</w:t>
      </w:r>
      <w:r w:rsidR="008F52F9" w:rsidRPr="00C63B8B">
        <w:t>тающих в государственном и частном секторах, а также в неправительственных организациях, функции которых связаны с жителями, являющимися граждан</w:t>
      </w:r>
      <w:r w:rsidR="008F52F9" w:rsidRPr="00C63B8B">
        <w:t>а</w:t>
      </w:r>
      <w:r w:rsidR="008F52F9" w:rsidRPr="00C63B8B">
        <w:t>ми третьих стран, и мерами по их интеграции.</w:t>
      </w:r>
    </w:p>
    <w:p w:rsidR="008F52F9" w:rsidRPr="00C63B8B" w:rsidRDefault="008F52F9" w:rsidP="008F52F9">
      <w:pPr>
        <w:pStyle w:val="SingleTxtGR"/>
      </w:pPr>
      <w:r w:rsidRPr="00C63B8B">
        <w:t>224.</w:t>
      </w:r>
      <w:r w:rsidRPr="00C63B8B">
        <w:tab/>
        <w:t>Начиная с 2009 года в рамках этого направления деятельности было ре</w:t>
      </w:r>
      <w:r w:rsidRPr="00C63B8B">
        <w:t>а</w:t>
      </w:r>
      <w:r w:rsidRPr="00C63B8B">
        <w:t>лизовано 11 проектов. Примером с точки зрения результативности является проект "Мой ученик – иностранец", реализованный Центром содействия раве</w:t>
      </w:r>
      <w:r w:rsidRPr="00C63B8B">
        <w:t>н</w:t>
      </w:r>
      <w:r w:rsidRPr="00C63B8B">
        <w:t xml:space="preserve">ству (объем финансирования проекта составил в общей сложности </w:t>
      </w:r>
      <w:r w:rsidRPr="00C63B8B">
        <w:br/>
        <w:t>338 127,39 литов). Проект был направлен на укрепление навыков межкульту</w:t>
      </w:r>
      <w:r w:rsidRPr="00C63B8B">
        <w:t>р</w:t>
      </w:r>
      <w:r w:rsidRPr="00C63B8B">
        <w:t>ной работы школьных учителей и других сотрудников школ путем организации тренингов. Аналогичные тренинги в целях укрепления навыков межкультурной работы были организованы для муниципальных специалистов, должностные обязанности которых предусматривают взаимодействие с гражданами третьих стран, а также решение вопросов, связанных с их интеграцией. В период с 1 февраля 2012 года по 30 июня 2013 года Канцелярия Уполномоченного по правам ребенка совместно с Вильнюсским отделением Международной орган</w:t>
      </w:r>
      <w:r w:rsidRPr="00C63B8B">
        <w:t>и</w:t>
      </w:r>
      <w:r w:rsidRPr="00C63B8B">
        <w:t>зации по миграции реализовали проект под названием "Помощь детям и сем</w:t>
      </w:r>
      <w:r w:rsidRPr="00C63B8B">
        <w:t>ь</w:t>
      </w:r>
      <w:r w:rsidRPr="00C63B8B">
        <w:t>ям: повышение компетентности специалистов в вопросах межкультурного взаимодействия", благодаря которому удалось расширить возможности специ</w:t>
      </w:r>
      <w:r w:rsidRPr="00C63B8B">
        <w:t>а</w:t>
      </w:r>
      <w:r w:rsidRPr="00C63B8B">
        <w:t>листов в плане выполнения функций, связанных с оказанием помощи семьям граждан третьих стран, смешанным семьям и детям из таких семей, а также у</w:t>
      </w:r>
      <w:r w:rsidRPr="00C63B8B">
        <w:t>к</w:t>
      </w:r>
      <w:r w:rsidRPr="00C63B8B">
        <w:t>репить навыки межкультурной работы путем углубления теоретических знаний и п</w:t>
      </w:r>
      <w:r w:rsidRPr="00C63B8B">
        <w:t>о</w:t>
      </w:r>
      <w:r w:rsidRPr="00C63B8B">
        <w:t xml:space="preserve">нимания способов их практического применения. </w:t>
      </w:r>
    </w:p>
    <w:p w:rsidR="008F52F9" w:rsidRPr="00C63B8B" w:rsidRDefault="008F52F9" w:rsidP="008F52F9">
      <w:pPr>
        <w:pStyle w:val="H23GR"/>
      </w:pPr>
      <w:r w:rsidRPr="00C63B8B">
        <w:tab/>
        <w:t>С.</w:t>
      </w:r>
      <w:r w:rsidRPr="00C63B8B">
        <w:tab/>
        <w:t>Антидискриминационные меры, касающиеся средств массовой информации</w:t>
      </w:r>
    </w:p>
    <w:p w:rsidR="008F52F9" w:rsidRPr="00C63B8B" w:rsidRDefault="008F52F9" w:rsidP="008F52F9">
      <w:pPr>
        <w:pStyle w:val="SingleTxtGR"/>
      </w:pPr>
      <w:r w:rsidRPr="00C63B8B">
        <w:t>225.</w:t>
      </w:r>
      <w:r w:rsidRPr="00C63B8B">
        <w:tab/>
        <w:t>Полномочия по осуществлению контроля за соблюдением принципов, определяющих порядок распространения информации среди общественности в соответствии с Законом о распространении информации среди общественности и другими законами, регламентирующими эту деятельность, возложены на И</w:t>
      </w:r>
      <w:r w:rsidRPr="00C63B8B">
        <w:t>н</w:t>
      </w:r>
      <w:r w:rsidRPr="00C63B8B">
        <w:t>спектора по вопросам журналистской этики. Канцелярия Инспектора по вопр</w:t>
      </w:r>
      <w:r w:rsidRPr="00C63B8B">
        <w:t>о</w:t>
      </w:r>
      <w:r w:rsidRPr="00C63B8B">
        <w:t>сам журналистской этики также занимается рассмотрением жалоб/заявлений заинтересованных лиц и вынесением определений по вопросу о том, является ли то или иное публичное информационное сообщение попыткой разжигания вражды в связи с такими факторами, как пол, сексуальная ориентация, раса, н</w:t>
      </w:r>
      <w:r w:rsidRPr="00C63B8B">
        <w:t>а</w:t>
      </w:r>
      <w:r w:rsidRPr="00C63B8B">
        <w:t>циональность, язык, происхождение, социальное положение, религия, убежд</w:t>
      </w:r>
      <w:r w:rsidRPr="00C63B8B">
        <w:t>е</w:t>
      </w:r>
      <w:r w:rsidRPr="00C63B8B">
        <w:t>ния или взгляды. Государственный орган по защите прав потребителей контр</w:t>
      </w:r>
      <w:r w:rsidRPr="00C63B8B">
        <w:t>о</w:t>
      </w:r>
      <w:r w:rsidRPr="00C63B8B">
        <w:t>лирует соблюдение запретов и требований, связанных с рекламой.</w:t>
      </w:r>
    </w:p>
    <w:p w:rsidR="008F52F9" w:rsidRPr="00C63B8B" w:rsidRDefault="008F52F9" w:rsidP="008F52F9">
      <w:pPr>
        <w:pStyle w:val="SingleTxtGR"/>
      </w:pPr>
      <w:r w:rsidRPr="00C63B8B">
        <w:t>226.</w:t>
      </w:r>
      <w:r w:rsidRPr="00C63B8B">
        <w:tab/>
        <w:t>С одной стороны, антидискриминационные меры в данной области вкл</w:t>
      </w:r>
      <w:r w:rsidRPr="00C63B8B">
        <w:t>ю</w:t>
      </w:r>
      <w:r w:rsidRPr="00C63B8B">
        <w:t>чают в себя ознакомление представителей средств массовой информации с пр</w:t>
      </w:r>
      <w:r w:rsidRPr="00C63B8B">
        <w:t>о</w:t>
      </w:r>
      <w:r w:rsidRPr="00C63B8B">
        <w:t>явлениями дискриминационной практики, а также с их ответственностью, во</w:t>
      </w:r>
      <w:r w:rsidRPr="00C63B8B">
        <w:t>з</w:t>
      </w:r>
      <w:r w:rsidRPr="00C63B8B">
        <w:t>никающей в данной связи. При содействии неправительственных организаций для представителей средств массовой информации организуются ежегодные тренинги по вопросам борьбы с дискриминацией, влияния СМИ на представл</w:t>
      </w:r>
      <w:r w:rsidRPr="00C63B8B">
        <w:t>е</w:t>
      </w:r>
      <w:r w:rsidRPr="00C63B8B">
        <w:t>ния о дискриминации и личной ответственности журналистов. Так, например, в 2009 году был организован цикл из трех семинаров для представителей реги</w:t>
      </w:r>
      <w:r w:rsidRPr="00C63B8B">
        <w:t>о</w:t>
      </w:r>
      <w:r w:rsidRPr="00C63B8B">
        <w:t>нальных СМИ в рамках проекта "Более пристальный взгляд на проблему мн</w:t>
      </w:r>
      <w:r w:rsidRPr="00C63B8B">
        <w:t>о</w:t>
      </w:r>
      <w:r w:rsidRPr="00C63B8B">
        <w:t>жественной дискриминации", финансирование которого осуществляется по л</w:t>
      </w:r>
      <w:r w:rsidRPr="00C63B8B">
        <w:t>и</w:t>
      </w:r>
      <w:r w:rsidRPr="00C63B8B">
        <w:t>нии Программы Европейской комиссии по обеспечению занятости и общес</w:t>
      </w:r>
      <w:r w:rsidRPr="00C63B8B">
        <w:t>т</w:t>
      </w:r>
      <w:r w:rsidRPr="00C63B8B">
        <w:t>венной солидарности "ПРОГРЕСС"; целью мероприятия было расширение и</w:t>
      </w:r>
      <w:r w:rsidRPr="00C63B8B">
        <w:t>н</w:t>
      </w:r>
      <w:r w:rsidRPr="00C63B8B">
        <w:t>формированности журналистов о вопросах, связанных с фактором многообр</w:t>
      </w:r>
      <w:r w:rsidRPr="00C63B8B">
        <w:t>а</w:t>
      </w:r>
      <w:r w:rsidRPr="00C63B8B">
        <w:t>зия, а также развитие их профессиональных навыков.</w:t>
      </w:r>
    </w:p>
    <w:p w:rsidR="008F52F9" w:rsidRPr="00C63B8B" w:rsidRDefault="008F52F9" w:rsidP="008F52F9">
      <w:pPr>
        <w:pStyle w:val="SingleTxtGR"/>
      </w:pPr>
      <w:r w:rsidRPr="00C63B8B">
        <w:t>227.</w:t>
      </w:r>
      <w:r w:rsidRPr="00C63B8B">
        <w:tab/>
        <w:t>С другой стороны, предпринимаются усилия по расширению информир</w:t>
      </w:r>
      <w:r w:rsidRPr="00C63B8B">
        <w:t>о</w:t>
      </w:r>
      <w:r w:rsidRPr="00C63B8B">
        <w:t>ванности населения при помощи средств массовой информации, а также уменьшению числа случаев разжигания вражды в Интернете. В этих целях Канцелярия Инспектора по вопросам журналистской этики в сотрудничестве с Интернет-порталом "Делфи" ("Delfi") организовала в режиме онлайн конфере</w:t>
      </w:r>
      <w:r w:rsidRPr="00C63B8B">
        <w:t>н</w:t>
      </w:r>
      <w:r w:rsidRPr="00C63B8B">
        <w:t>цию/обсуждение по теме "О словах и их значении при выражении ненависти". Была отснята серия коротких социальных видеороликов под названием "Ди</w:t>
      </w:r>
      <w:r w:rsidRPr="00C63B8B">
        <w:t>с</w:t>
      </w:r>
      <w:r w:rsidRPr="00C63B8B">
        <w:t>криминация вредит всем", темой которых стала толерантность этнически "ра</w:t>
      </w:r>
      <w:r w:rsidRPr="00C63B8B">
        <w:t>з</w:t>
      </w:r>
      <w:r w:rsidRPr="00C63B8B">
        <w:t>ных" людей по отношению друг к другу; 11 октября 2011 года ролики были п</w:t>
      </w:r>
      <w:r w:rsidRPr="00C63B8B">
        <w:t>о</w:t>
      </w:r>
      <w:r w:rsidRPr="00C63B8B">
        <w:t>казаны по Литовскому национальному телевидению и каналу "LNK" в конте</w:t>
      </w:r>
      <w:r w:rsidRPr="00C63B8B">
        <w:t>к</w:t>
      </w:r>
      <w:r w:rsidRPr="00C63B8B">
        <w:t>сте реализации проекта "Развитие навыков и повышение компетентности в деле борьбы с дискриминацией" по линии Программы "ПРОГРЕСС". Ироничная и остроумная социальная реклама была призвана проиллюстрировать пагубные последствия дискриминации для общества и побудить людей задуматься о том, что более важно: квалификация специалиста или же цвет его кожи, его религ</w:t>
      </w:r>
      <w:r w:rsidRPr="00C63B8B">
        <w:t>и</w:t>
      </w:r>
      <w:r w:rsidRPr="00C63B8B">
        <w:t xml:space="preserve">озные убеждения и сексуальная ориентация. </w:t>
      </w:r>
    </w:p>
    <w:p w:rsidR="008F52F9" w:rsidRPr="00C63B8B" w:rsidRDefault="008F52F9" w:rsidP="008F52F9">
      <w:pPr>
        <w:pStyle w:val="SingleTxtGR"/>
      </w:pPr>
      <w:r w:rsidRPr="00C63B8B">
        <w:t>228.</w:t>
      </w:r>
      <w:r w:rsidRPr="00C63B8B">
        <w:tab/>
        <w:t>Свой вклад в расширение информированности общественности и поо</w:t>
      </w:r>
      <w:r w:rsidRPr="00C63B8B">
        <w:t>щ</w:t>
      </w:r>
      <w:r w:rsidRPr="00C63B8B">
        <w:t>рение толерантности внес и проводимый начиная с 2007 года конкурс на сои</w:t>
      </w:r>
      <w:r w:rsidRPr="00C63B8B">
        <w:t>с</w:t>
      </w:r>
      <w:r w:rsidRPr="00C63B8B">
        <w:t>кание "Национальной премии в области толерантности". В конкурсе приним</w:t>
      </w:r>
      <w:r w:rsidRPr="00C63B8B">
        <w:t>а</w:t>
      </w:r>
      <w:r w:rsidRPr="00C63B8B">
        <w:t>ют участие материалы, публикуемые или транслируемые национальными или р</w:t>
      </w:r>
      <w:r w:rsidRPr="00C63B8B">
        <w:t>е</w:t>
      </w:r>
      <w:r w:rsidRPr="00C63B8B">
        <w:t>гиональными литовскими СМИ (включая печать, радио, телевидение и Инте</w:t>
      </w:r>
      <w:r w:rsidRPr="00C63B8B">
        <w:t>р</w:t>
      </w:r>
      <w:r w:rsidRPr="00C63B8B">
        <w:t>нет), которые способствуют укреплению национальных идентичностей, тол</w:t>
      </w:r>
      <w:r w:rsidRPr="00C63B8B">
        <w:t>е</w:t>
      </w:r>
      <w:r w:rsidRPr="00C63B8B">
        <w:t>рантности по отношению к национальным меньшинствам, а также борьбе с дискриминацией по национальному и расовому признакам. Начиная с 2007 года ежегодно проводится экзаменационный конкурс на знание Конституции, кот</w:t>
      </w:r>
      <w:r w:rsidRPr="00C63B8B">
        <w:t>о</w:t>
      </w:r>
      <w:r w:rsidRPr="00C63B8B">
        <w:t>рый дает участникам возможность проверить свою правовую грамотность, что, в свою очередь, способствует самостоятельному изучению гражданами пол</w:t>
      </w:r>
      <w:r w:rsidRPr="00C63B8B">
        <w:t>о</w:t>
      </w:r>
      <w:r w:rsidRPr="00C63B8B">
        <w:t>жений Конституции, включая те из них, которые касаются прав человека и с</w:t>
      </w:r>
      <w:r w:rsidRPr="00C63B8B">
        <w:t>о</w:t>
      </w:r>
      <w:r w:rsidRPr="00C63B8B">
        <w:t xml:space="preserve">ответствующих средств правовой защиты. </w:t>
      </w:r>
    </w:p>
    <w:p w:rsidR="008F52F9" w:rsidRPr="00C63B8B" w:rsidRDefault="008F52F9" w:rsidP="008F52F9">
      <w:pPr>
        <w:pStyle w:val="SingleTxtGR"/>
      </w:pPr>
      <w:r w:rsidRPr="00C63B8B">
        <w:t>229.</w:t>
      </w:r>
      <w:r w:rsidRPr="00C63B8B">
        <w:tab/>
        <w:t>Кроме того, следует отметить, что в рамках реализации Межучрежденч</w:t>
      </w:r>
      <w:r w:rsidRPr="00C63B8B">
        <w:t>е</w:t>
      </w:r>
      <w:r w:rsidRPr="00C63B8B">
        <w:t>ского плана действий по поощрению борьбы с дискриминацией на 2012−2014 годы Департамент информатики и связи Министерства внутренних дел сводит воедино статистические данные о преступлениях, совершенных на почве н</w:t>
      </w:r>
      <w:r w:rsidRPr="00C63B8B">
        <w:t>а</w:t>
      </w:r>
      <w:r w:rsidRPr="00C63B8B">
        <w:t>циональности потерпевшего, его расы, происхождения, религии, языка или принадлежности к какой-либо другой группе, и начиная с 2012 года рег</w:t>
      </w:r>
      <w:r w:rsidRPr="00C63B8B">
        <w:t>у</w:t>
      </w:r>
      <w:r w:rsidRPr="00C63B8B">
        <w:t>лярно (дважды в год) публикует их на своей веб-странице, расположенной по адресу www.ird.lt.</w:t>
      </w:r>
    </w:p>
    <w:p w:rsidR="008F52F9" w:rsidRPr="00C63B8B" w:rsidRDefault="008F52F9" w:rsidP="008F52F9">
      <w:pPr>
        <w:pStyle w:val="H23GR"/>
      </w:pPr>
      <w:r w:rsidRPr="00C63B8B">
        <w:tab/>
        <w:t>D.</w:t>
      </w:r>
      <w:r w:rsidRPr="00C63B8B">
        <w:tab/>
        <w:t>Поддержка неправительственных организаций</w:t>
      </w:r>
    </w:p>
    <w:p w:rsidR="008F52F9" w:rsidRPr="00C63B8B" w:rsidRDefault="008F52F9" w:rsidP="008F52F9">
      <w:pPr>
        <w:pStyle w:val="SingleTxtGR"/>
      </w:pPr>
      <w:r w:rsidRPr="00C63B8B">
        <w:t>230.</w:t>
      </w:r>
      <w:r w:rsidRPr="00C63B8B">
        <w:tab/>
        <w:t>Начиная с 2011 года Министерство социального обеспечения и труда о</w:t>
      </w:r>
      <w:r w:rsidRPr="00C63B8B">
        <w:t>р</w:t>
      </w:r>
      <w:r w:rsidRPr="00C63B8B">
        <w:t>ганизует ежегодный отборочный конкурс проектов, которые осуществляются организациями, занимающимися защитой прав человека. Целью финансиров</w:t>
      </w:r>
      <w:r w:rsidRPr="00C63B8B">
        <w:t>а</w:t>
      </w:r>
      <w:r w:rsidRPr="00C63B8B">
        <w:t xml:space="preserve">ния, предоставляемого неправительственным организациям, является отбор при помощи установленных критериев самых лучших проектов, направленных на воспитание толерантности и уважения человеческой личности, уменьшение числа случаев дискриминации и обеспечение равноправия. </w:t>
      </w:r>
    </w:p>
    <w:p w:rsidR="008F52F9" w:rsidRPr="00C63B8B" w:rsidRDefault="008F52F9" w:rsidP="008F52F9">
      <w:pPr>
        <w:pStyle w:val="H23GR"/>
      </w:pPr>
      <w:r w:rsidRPr="00C63B8B">
        <w:tab/>
      </w:r>
      <w:r w:rsidRPr="00C63B8B">
        <w:tab/>
        <w:t>Конкурсы по отбору практических проектов, которые осуществляются НПО, занимающимися защитой прав человека</w:t>
      </w:r>
    </w:p>
    <w:tbl>
      <w:tblPr>
        <w:tblStyle w:val="TabNum"/>
        <w:tblW w:w="7370" w:type="dxa"/>
        <w:tblInd w:w="1134" w:type="dxa"/>
        <w:tblLayout w:type="fixed"/>
        <w:tblLook w:val="01E0"/>
      </w:tblPr>
      <w:tblGrid>
        <w:gridCol w:w="709"/>
        <w:gridCol w:w="2700"/>
        <w:gridCol w:w="2358"/>
        <w:gridCol w:w="1603"/>
      </w:tblGrid>
      <w:tr w:rsidR="008F52F9" w:rsidRPr="00C63B8B" w:rsidTr="008F52F9">
        <w:trPr>
          <w:tblHeader/>
        </w:trPr>
        <w:tc>
          <w:tcPr>
            <w:cnfStyle w:val="001000000000"/>
            <w:tcW w:w="709" w:type="dxa"/>
            <w:tcBorders>
              <w:bottom w:val="single" w:sz="12" w:space="0" w:color="auto"/>
            </w:tcBorders>
            <w:shd w:val="clear" w:color="auto" w:fill="auto"/>
          </w:tcPr>
          <w:p w:rsidR="008F52F9" w:rsidRPr="00C63B8B" w:rsidRDefault="008F52F9" w:rsidP="008F52F9">
            <w:pPr>
              <w:spacing w:before="80" w:after="80" w:line="200" w:lineRule="exact"/>
              <w:rPr>
                <w:i/>
                <w:sz w:val="16"/>
              </w:rPr>
            </w:pPr>
            <w:r w:rsidRPr="00C63B8B">
              <w:rPr>
                <w:i/>
                <w:sz w:val="16"/>
              </w:rPr>
              <w:t>Год</w:t>
            </w:r>
          </w:p>
        </w:tc>
        <w:tc>
          <w:tcPr>
            <w:tcW w:w="2700"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Число заявок, поданных на ко</w:t>
            </w:r>
            <w:r w:rsidRPr="00C63B8B">
              <w:rPr>
                <w:i/>
                <w:sz w:val="16"/>
              </w:rPr>
              <w:t>н</w:t>
            </w:r>
            <w:r w:rsidRPr="00C63B8B">
              <w:rPr>
                <w:i/>
                <w:sz w:val="16"/>
              </w:rPr>
              <w:t>курс</w:t>
            </w:r>
          </w:p>
        </w:tc>
        <w:tc>
          <w:tcPr>
            <w:tcW w:w="2358"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Число НПО, получивших ф</w:t>
            </w:r>
            <w:r w:rsidRPr="00C63B8B">
              <w:rPr>
                <w:i/>
                <w:sz w:val="16"/>
              </w:rPr>
              <w:t>и</w:t>
            </w:r>
            <w:r w:rsidRPr="00C63B8B">
              <w:rPr>
                <w:i/>
                <w:sz w:val="16"/>
              </w:rPr>
              <w:t>нанс</w:t>
            </w:r>
            <w:r w:rsidRPr="00C63B8B">
              <w:rPr>
                <w:i/>
                <w:sz w:val="16"/>
              </w:rPr>
              <w:t>и</w:t>
            </w:r>
            <w:r w:rsidRPr="00C63B8B">
              <w:rPr>
                <w:i/>
                <w:sz w:val="16"/>
              </w:rPr>
              <w:t>рование</w:t>
            </w:r>
          </w:p>
        </w:tc>
        <w:tc>
          <w:tcPr>
            <w:tcW w:w="1603" w:type="dxa"/>
            <w:tcBorders>
              <w:top w:val="single" w:sz="4" w:space="0" w:color="auto"/>
              <w:bottom w:val="single" w:sz="12" w:space="0" w:color="auto"/>
            </w:tcBorders>
            <w:shd w:val="clear" w:color="auto" w:fill="auto"/>
          </w:tcPr>
          <w:p w:rsidR="008F52F9" w:rsidRPr="00C63B8B" w:rsidRDefault="008F52F9" w:rsidP="008F52F9">
            <w:pPr>
              <w:spacing w:before="80" w:after="80" w:line="200" w:lineRule="exact"/>
              <w:cnfStyle w:val="000000000000"/>
              <w:rPr>
                <w:i/>
                <w:sz w:val="16"/>
              </w:rPr>
            </w:pPr>
            <w:r w:rsidRPr="00C63B8B">
              <w:rPr>
                <w:i/>
                <w:sz w:val="16"/>
              </w:rPr>
              <w:t>Объем финансир</w:t>
            </w:r>
            <w:r w:rsidRPr="00C63B8B">
              <w:rPr>
                <w:i/>
                <w:sz w:val="16"/>
              </w:rPr>
              <w:t>о</w:t>
            </w:r>
            <w:r w:rsidRPr="00C63B8B">
              <w:rPr>
                <w:i/>
                <w:sz w:val="16"/>
              </w:rPr>
              <w:t>вания, л</w:t>
            </w:r>
            <w:r w:rsidRPr="00C63B8B">
              <w:rPr>
                <w:i/>
                <w:sz w:val="16"/>
              </w:rPr>
              <w:t>и</w:t>
            </w:r>
            <w:r w:rsidRPr="00C63B8B">
              <w:rPr>
                <w:i/>
                <w:sz w:val="16"/>
              </w:rPr>
              <w:t>ты</w:t>
            </w:r>
          </w:p>
        </w:tc>
      </w:tr>
      <w:tr w:rsidR="008F52F9" w:rsidRPr="00C63B8B" w:rsidTr="008F52F9">
        <w:tc>
          <w:tcPr>
            <w:cnfStyle w:val="001000000000"/>
            <w:tcW w:w="709" w:type="dxa"/>
            <w:tcBorders>
              <w:top w:val="single" w:sz="12" w:space="0" w:color="auto"/>
            </w:tcBorders>
          </w:tcPr>
          <w:p w:rsidR="008F52F9" w:rsidRPr="00C63B8B" w:rsidRDefault="008F52F9" w:rsidP="008F52F9">
            <w:r w:rsidRPr="00C63B8B">
              <w:t xml:space="preserve">2011 </w:t>
            </w:r>
          </w:p>
        </w:tc>
        <w:tc>
          <w:tcPr>
            <w:tcW w:w="2700" w:type="dxa"/>
            <w:tcBorders>
              <w:top w:val="single" w:sz="12" w:space="0" w:color="auto"/>
            </w:tcBorders>
          </w:tcPr>
          <w:p w:rsidR="008F52F9" w:rsidRPr="00C63B8B" w:rsidRDefault="008F52F9" w:rsidP="008F52F9">
            <w:pPr>
              <w:cnfStyle w:val="000000000000"/>
            </w:pPr>
            <w:r w:rsidRPr="00C63B8B">
              <w:t>13</w:t>
            </w:r>
          </w:p>
        </w:tc>
        <w:tc>
          <w:tcPr>
            <w:tcW w:w="2358" w:type="dxa"/>
            <w:tcBorders>
              <w:top w:val="single" w:sz="12" w:space="0" w:color="auto"/>
            </w:tcBorders>
          </w:tcPr>
          <w:p w:rsidR="008F52F9" w:rsidRPr="00C63B8B" w:rsidRDefault="008F52F9" w:rsidP="008F52F9">
            <w:pPr>
              <w:cnfStyle w:val="000000000000"/>
            </w:pPr>
            <w:r w:rsidRPr="00C63B8B">
              <w:t>5</w:t>
            </w:r>
          </w:p>
        </w:tc>
        <w:tc>
          <w:tcPr>
            <w:tcW w:w="1603" w:type="dxa"/>
            <w:tcBorders>
              <w:top w:val="single" w:sz="12" w:space="0" w:color="auto"/>
            </w:tcBorders>
          </w:tcPr>
          <w:p w:rsidR="008F52F9" w:rsidRPr="00C63B8B" w:rsidRDefault="008F52F9" w:rsidP="008F52F9">
            <w:pPr>
              <w:cnfStyle w:val="000000000000"/>
            </w:pPr>
            <w:r w:rsidRPr="00C63B8B">
              <w:t>70 000</w:t>
            </w:r>
          </w:p>
        </w:tc>
      </w:tr>
      <w:tr w:rsidR="008F52F9" w:rsidRPr="00C63B8B" w:rsidTr="008F52F9">
        <w:tc>
          <w:tcPr>
            <w:cnfStyle w:val="001000000000"/>
            <w:tcW w:w="709" w:type="dxa"/>
          </w:tcPr>
          <w:p w:rsidR="008F52F9" w:rsidRPr="00C63B8B" w:rsidRDefault="008F52F9" w:rsidP="008F52F9">
            <w:r w:rsidRPr="00C63B8B">
              <w:t xml:space="preserve">2012 </w:t>
            </w:r>
          </w:p>
        </w:tc>
        <w:tc>
          <w:tcPr>
            <w:tcW w:w="2700" w:type="dxa"/>
          </w:tcPr>
          <w:p w:rsidR="008F52F9" w:rsidRPr="00C63B8B" w:rsidRDefault="008F52F9" w:rsidP="008F52F9">
            <w:pPr>
              <w:cnfStyle w:val="000000000000"/>
            </w:pPr>
            <w:r w:rsidRPr="00C63B8B">
              <w:t>19</w:t>
            </w:r>
          </w:p>
        </w:tc>
        <w:tc>
          <w:tcPr>
            <w:tcW w:w="2358" w:type="dxa"/>
          </w:tcPr>
          <w:p w:rsidR="008F52F9" w:rsidRPr="00C63B8B" w:rsidRDefault="008F52F9" w:rsidP="008F52F9">
            <w:pPr>
              <w:cnfStyle w:val="000000000000"/>
            </w:pPr>
            <w:r w:rsidRPr="00C63B8B">
              <w:t>8</w:t>
            </w:r>
          </w:p>
        </w:tc>
        <w:tc>
          <w:tcPr>
            <w:tcW w:w="1603" w:type="dxa"/>
          </w:tcPr>
          <w:p w:rsidR="008F52F9" w:rsidRPr="00C63B8B" w:rsidRDefault="008F52F9" w:rsidP="008F52F9">
            <w:pPr>
              <w:cnfStyle w:val="000000000000"/>
            </w:pPr>
            <w:r w:rsidRPr="00C63B8B">
              <w:t>79 600</w:t>
            </w:r>
          </w:p>
        </w:tc>
      </w:tr>
      <w:tr w:rsidR="008F52F9" w:rsidRPr="00C63B8B" w:rsidTr="008F52F9">
        <w:tc>
          <w:tcPr>
            <w:cnfStyle w:val="001000000000"/>
            <w:tcW w:w="709" w:type="dxa"/>
          </w:tcPr>
          <w:p w:rsidR="008F52F9" w:rsidRPr="00C63B8B" w:rsidRDefault="008F52F9" w:rsidP="008F52F9">
            <w:r w:rsidRPr="00C63B8B">
              <w:t>2013</w:t>
            </w:r>
          </w:p>
        </w:tc>
        <w:tc>
          <w:tcPr>
            <w:tcW w:w="2700" w:type="dxa"/>
          </w:tcPr>
          <w:p w:rsidR="008F52F9" w:rsidRPr="00C63B8B" w:rsidRDefault="008F52F9" w:rsidP="008F52F9">
            <w:pPr>
              <w:cnfStyle w:val="000000000000"/>
            </w:pPr>
            <w:r w:rsidRPr="00C63B8B">
              <w:t>19</w:t>
            </w:r>
          </w:p>
        </w:tc>
        <w:tc>
          <w:tcPr>
            <w:tcW w:w="2358" w:type="dxa"/>
          </w:tcPr>
          <w:p w:rsidR="008F52F9" w:rsidRPr="00C63B8B" w:rsidRDefault="008F52F9" w:rsidP="008F52F9">
            <w:pPr>
              <w:cnfStyle w:val="000000000000"/>
            </w:pPr>
            <w:r w:rsidRPr="00C63B8B">
              <w:t>7</w:t>
            </w:r>
          </w:p>
        </w:tc>
        <w:tc>
          <w:tcPr>
            <w:tcW w:w="1603" w:type="dxa"/>
          </w:tcPr>
          <w:p w:rsidR="008F52F9" w:rsidRPr="00C63B8B" w:rsidRDefault="008F52F9" w:rsidP="008F52F9">
            <w:pPr>
              <w:cnfStyle w:val="000000000000"/>
            </w:pPr>
            <w:r w:rsidRPr="00C63B8B">
              <w:t>79 800</w:t>
            </w:r>
          </w:p>
        </w:tc>
      </w:tr>
    </w:tbl>
    <w:p w:rsidR="008F52F9" w:rsidRPr="00C63B8B" w:rsidRDefault="008F52F9" w:rsidP="008F52F9">
      <w:pPr>
        <w:pStyle w:val="SingleTxtGR"/>
        <w:spacing w:before="120"/>
      </w:pPr>
      <w:r w:rsidRPr="00C63B8B">
        <w:t>231.</w:t>
      </w:r>
      <w:r w:rsidRPr="00C63B8B">
        <w:tab/>
        <w:t>В число целей Национальной программы развития молодежной политики на 2011−2019 годы, утвержденной Правительством в его резолюции № 1715 от 1 декабря 2010 года, входит обеспечение адекватной поддержки молодежных организаций, а также организаций, работающих с молодыми людьми, в частн</w:t>
      </w:r>
      <w:r w:rsidRPr="00C63B8B">
        <w:t>о</w:t>
      </w:r>
      <w:r w:rsidRPr="00C63B8B">
        <w:t>сти в том, что касается укрепления их организационных возможностей, сохр</w:t>
      </w:r>
      <w:r w:rsidRPr="00C63B8B">
        <w:t>а</w:t>
      </w:r>
      <w:r w:rsidRPr="00C63B8B">
        <w:t>нения их идентичности и обеспечения их стабильной деятельности, а также п</w:t>
      </w:r>
      <w:r w:rsidRPr="00C63B8B">
        <w:t>о</w:t>
      </w:r>
      <w:r w:rsidRPr="00C63B8B">
        <w:t>ощрение участия молодых людей в жизни местных общин, деятельности непр</w:t>
      </w:r>
      <w:r w:rsidRPr="00C63B8B">
        <w:t>а</w:t>
      </w:r>
      <w:r w:rsidRPr="00C63B8B">
        <w:t>вительственных организаций и волонтерской работе. В целях укрепления мол</w:t>
      </w:r>
      <w:r w:rsidRPr="00C63B8B">
        <w:t>о</w:t>
      </w:r>
      <w:r w:rsidRPr="00C63B8B">
        <w:t>дежных организаций и содействия участию молодых людей в общественной жизни, а также формирования из них активных и мыслящих граждан Литвы было поддержано проведение девять конкурсных мероприятий (в 2012 году о</w:t>
      </w:r>
      <w:r w:rsidRPr="00C63B8B">
        <w:t>б</w:t>
      </w:r>
      <w:r w:rsidRPr="00C63B8B">
        <w:t>щая сумма выделенных на эти цели средств составила 1 261 000 литов). В пр</w:t>
      </w:r>
      <w:r w:rsidRPr="00C63B8B">
        <w:t>о</w:t>
      </w:r>
      <w:r w:rsidRPr="00C63B8B">
        <w:t>граммы и проекты, реализованные в течение 2012 года, было вовлечено в о</w:t>
      </w:r>
      <w:r w:rsidRPr="00C63B8B">
        <w:t>б</w:t>
      </w:r>
      <w:r w:rsidRPr="00C63B8B">
        <w:t>щей сложности 35 000 молодых людей. В целом в работе различных молоде</w:t>
      </w:r>
      <w:r w:rsidRPr="00C63B8B">
        <w:t>ж</w:t>
      </w:r>
      <w:r w:rsidRPr="00C63B8B">
        <w:t>ных организаций принимает участие 9,2% всей литовской молодежи. Кроме т</w:t>
      </w:r>
      <w:r w:rsidRPr="00C63B8B">
        <w:t>о</w:t>
      </w:r>
      <w:r w:rsidRPr="00C63B8B">
        <w:t>го, в 2012 году 167 проектов получили поддержку по линии программы Евр</w:t>
      </w:r>
      <w:r w:rsidRPr="00C63B8B">
        <w:t>о</w:t>
      </w:r>
      <w:r w:rsidRPr="00C63B8B">
        <w:t>пейского союза "Молодежь в действии", которая направлена на поддержку во</w:t>
      </w:r>
      <w:r w:rsidRPr="00C63B8B">
        <w:t>с</w:t>
      </w:r>
      <w:r w:rsidRPr="00C63B8B">
        <w:t>питания у молодых людей активной гражданской позиции, содействие укрепл</w:t>
      </w:r>
      <w:r w:rsidRPr="00C63B8B">
        <w:t>е</w:t>
      </w:r>
      <w:r w:rsidRPr="00C63B8B">
        <w:t>нию у них чувства солидарности, поощрение толерантности и интеграцию м</w:t>
      </w:r>
      <w:r w:rsidRPr="00C63B8B">
        <w:t>о</w:t>
      </w:r>
      <w:r w:rsidRPr="00C63B8B">
        <w:t>лодежи, находящейся в неблагоприятном положении, в целях недопущения с</w:t>
      </w:r>
      <w:r w:rsidRPr="00C63B8B">
        <w:t>о</w:t>
      </w:r>
      <w:r w:rsidRPr="00C63B8B">
        <w:t xml:space="preserve">циальной изоляции (в 2012 году в этой программе приняли непосредственное участие 4 700 литовцев). </w:t>
      </w:r>
    </w:p>
    <w:p w:rsidR="008F52F9" w:rsidRPr="00C63B8B" w:rsidRDefault="008F52F9" w:rsidP="008F52F9">
      <w:pPr>
        <w:pStyle w:val="SingleTxtGR"/>
      </w:pPr>
      <w:r w:rsidRPr="00C63B8B">
        <w:t>232.</w:t>
      </w:r>
      <w:r w:rsidRPr="00C63B8B">
        <w:tab/>
        <w:t>В контексте осуществления Государственной программы по обеспечению равных возможностей для женщин и мужчин на 2010−2014 годы Министерство социального обеспечения и труда объявило о проведении в 2012 году конкурса проектов неправительственных организаций, направленных на реализацию мер в рамках данной Программы в 2012−2013 годах. Целью конкурса было предо</w:t>
      </w:r>
      <w:r w:rsidRPr="00C63B8B">
        <w:t>с</w:t>
      </w:r>
      <w:r w:rsidRPr="00C63B8B">
        <w:t>тавление финансирования на цели осуществления трех самых лучших проектов в соответствии с требованиями конкурса (один проект разработки механизмов и методов работы в каждой из следующих областей: занятость, принятие реш</w:t>
      </w:r>
      <w:r w:rsidRPr="00C63B8B">
        <w:t>е</w:t>
      </w:r>
      <w:r w:rsidRPr="00C63B8B">
        <w:t>ний и обеспечение равных возможностей для женщин и мужчин). По итогам конкурса были отобраны проекты, предложенные Информационным центром для женщин, Каунасским центром занятости женщин и Фондом социальных инноваций. Финансирование данных проектов было обеспечено в 2013 году. Средства Государственной программы по обеспечению равных возможностей для женщин и мужчин на 2010−2014 годы также используются для поддержки членства и деятельности женских неправительственных организаций, входящих в Европейское женское лобби (ассоциацию, объединяющую женские организ</w:t>
      </w:r>
      <w:r w:rsidRPr="00C63B8B">
        <w:t>а</w:t>
      </w:r>
      <w:r w:rsidRPr="00C63B8B">
        <w:t>ции Европейского союза).</w:t>
      </w:r>
    </w:p>
    <w:p w:rsidR="008F52F9" w:rsidRPr="00C63B8B" w:rsidRDefault="008F52F9" w:rsidP="008F52F9">
      <w:pPr>
        <w:spacing w:before="240"/>
        <w:jc w:val="center"/>
        <w:rPr>
          <w:u w:val="single"/>
        </w:rPr>
      </w:pPr>
      <w:r w:rsidRPr="00C63B8B">
        <w:rPr>
          <w:u w:val="single"/>
        </w:rPr>
        <w:tab/>
      </w:r>
      <w:r w:rsidRPr="00C63B8B">
        <w:rPr>
          <w:u w:val="single"/>
        </w:rPr>
        <w:tab/>
      </w:r>
      <w:r w:rsidRPr="00C63B8B">
        <w:rPr>
          <w:u w:val="single"/>
        </w:rPr>
        <w:tab/>
      </w:r>
    </w:p>
    <w:sectPr w:rsidR="008F52F9" w:rsidRPr="00C63B8B" w:rsidSect="007511D7">
      <w:headerReference w:type="even" r:id="rId12"/>
      <w:headerReference w:type="default" r:id="rId13"/>
      <w:footerReference w:type="even" r:id="rId14"/>
      <w:footerReference w:type="default" r:id="rId15"/>
      <w:footerReference w:type="first" r:id="rId16"/>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5D8" w:rsidRDefault="006565D8">
      <w:r>
        <w:rPr>
          <w:lang w:val="en-US"/>
        </w:rPr>
        <w:tab/>
      </w:r>
      <w:r>
        <w:separator/>
      </w:r>
    </w:p>
  </w:endnote>
  <w:endnote w:type="continuationSeparator" w:id="0">
    <w:p w:rsidR="006565D8" w:rsidRDefault="006565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D8" w:rsidRPr="009A6F4A" w:rsidRDefault="006565D8">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lang w:val="en-US"/>
      </w:rPr>
      <w:tab/>
      <w:t>GE.14-15300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D8" w:rsidRPr="009A6F4A" w:rsidRDefault="006565D8">
    <w:pPr>
      <w:pStyle w:val="Footer"/>
      <w:rPr>
        <w:lang w:val="en-US"/>
      </w:rPr>
    </w:pPr>
    <w:r>
      <w:rPr>
        <w:lang w:val="en-US"/>
      </w:rPr>
      <w:t>GE.14-15300</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bottom w:val="none" w:sz="0" w:space="0" w:color="auto"/>
      </w:tblBorders>
      <w:tblLook w:val="01E0"/>
    </w:tblPr>
    <w:tblGrid>
      <w:gridCol w:w="3979"/>
      <w:gridCol w:w="4655"/>
      <w:gridCol w:w="1221"/>
    </w:tblGrid>
    <w:tr w:rsidR="006565D8" w:rsidTr="00BB2D63">
      <w:trPr>
        <w:cnfStyle w:val="100000000000"/>
        <w:trHeight w:val="438"/>
      </w:trPr>
      <w:tc>
        <w:tcPr>
          <w:tcW w:w="4068" w:type="dxa"/>
          <w:vAlign w:val="bottom"/>
        </w:tcPr>
        <w:p w:rsidR="006565D8" w:rsidRPr="00D24875" w:rsidRDefault="006565D8" w:rsidP="00BB2D63">
          <w:pPr>
            <w:rPr>
              <w:sz w:val="20"/>
            </w:rPr>
          </w:pPr>
          <w:r>
            <w:rPr>
              <w:sz w:val="20"/>
              <w:lang w:val="en-US"/>
            </w:rPr>
            <w:t>GE.</w:t>
          </w:r>
          <w:r w:rsidRPr="00D24875">
            <w:rPr>
              <w:sz w:val="20"/>
              <w:lang w:val="en-US"/>
            </w:rPr>
            <w:t>1</w:t>
          </w:r>
          <w:r>
            <w:rPr>
              <w:sz w:val="20"/>
              <w:lang w:val="en-US"/>
            </w:rPr>
            <w:t>4</w:t>
          </w:r>
          <w:r w:rsidRPr="00D24875">
            <w:rPr>
              <w:sz w:val="20"/>
              <w:lang w:val="en-US"/>
            </w:rPr>
            <w:t>-</w:t>
          </w:r>
          <w:r>
            <w:rPr>
              <w:sz w:val="20"/>
              <w:lang w:val="en-US"/>
            </w:rPr>
            <w:t>15300</w:t>
          </w:r>
          <w:r w:rsidRPr="00D24875">
            <w:rPr>
              <w:sz w:val="20"/>
              <w:lang w:val="en-US"/>
            </w:rPr>
            <w:t xml:space="preserve">   (R)</w:t>
          </w:r>
          <w:r>
            <w:rPr>
              <w:sz w:val="20"/>
              <w:lang w:val="en-US"/>
            </w:rPr>
            <w:t xml:space="preserve">   </w:t>
          </w:r>
          <w:r>
            <w:rPr>
              <w:sz w:val="20"/>
            </w:rPr>
            <w:t>191214  221214</w:t>
          </w:r>
        </w:p>
      </w:tc>
      <w:tc>
        <w:tcPr>
          <w:tcW w:w="4663" w:type="dxa"/>
          <w:vMerge w:val="restart"/>
          <w:vAlign w:val="bottom"/>
        </w:tcPr>
        <w:p w:rsidR="006565D8" w:rsidRDefault="006565D8" w:rsidP="00BB2D63">
          <w:pPr>
            <w:spacing w:after="120"/>
            <w:jc w:val="right"/>
          </w:pP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c>
        <w:tcPr>
          <w:tcW w:w="1124" w:type="dxa"/>
          <w:vMerge w:val="restart"/>
          <w:vAlign w:val="bottom"/>
        </w:tcPr>
        <w:p w:rsidR="006565D8" w:rsidRDefault="006565D8" w:rsidP="00BB2D63">
          <w:pPr>
            <w:jc w:val="right"/>
          </w:pPr>
          <w:r>
            <w:pict>
              <v:shape id="_x0000_i1027" type="#_x0000_t75" style="width:50.25pt;height:50.25pt">
                <v:imagedata r:id="rId2" o:title="6-8&amp;Size=2&amp;Lang=R"/>
              </v:shape>
            </w:pict>
          </w:r>
        </w:p>
      </w:tc>
    </w:tr>
    <w:tr w:rsidR="006565D8" w:rsidRPr="00797A78" w:rsidTr="00BB2D63">
      <w:tc>
        <w:tcPr>
          <w:tcW w:w="4068" w:type="dxa"/>
          <w:vAlign w:val="bottom"/>
        </w:tcPr>
        <w:p w:rsidR="006565D8" w:rsidRPr="00664A2F" w:rsidRDefault="006565D8" w:rsidP="00BB2D63">
          <w:pPr>
            <w:rPr>
              <w:rFonts w:ascii="C39T30Lfz" w:hAnsi="C39T30Lfz"/>
              <w:spacing w:val="0"/>
              <w:w w:val="100"/>
              <w:kern w:val="0"/>
              <w:sz w:val="56"/>
              <w:szCs w:val="56"/>
              <w:lang w:val="en-US" w:eastAsia="ru-RU"/>
            </w:rPr>
          </w:pPr>
          <w:r w:rsidRPr="00664A2F">
            <w:rPr>
              <w:rFonts w:ascii="C39T30Lfz" w:hAnsi="C39T30Lfz"/>
              <w:spacing w:val="0"/>
              <w:w w:val="100"/>
              <w:kern w:val="0"/>
              <w:sz w:val="56"/>
              <w:szCs w:val="56"/>
              <w:lang w:val="en-US" w:eastAsia="ru-RU"/>
            </w:rPr>
            <w:t></w:t>
          </w:r>
          <w:r w:rsidRPr="00664A2F">
            <w:rPr>
              <w:rFonts w:ascii="C39T30Lfz" w:hAnsi="C39T30Lfz"/>
              <w:spacing w:val="0"/>
              <w:w w:val="100"/>
              <w:kern w:val="0"/>
              <w:sz w:val="56"/>
              <w:szCs w:val="56"/>
              <w:lang w:val="en-US" w:eastAsia="ru-RU"/>
            </w:rPr>
            <w:t></w:t>
          </w:r>
          <w:r w:rsidRPr="00664A2F">
            <w:rPr>
              <w:rFonts w:ascii="C39T30Lfz" w:hAnsi="C39T30Lfz"/>
              <w:spacing w:val="0"/>
              <w:w w:val="100"/>
              <w:kern w:val="0"/>
              <w:sz w:val="56"/>
              <w:szCs w:val="56"/>
              <w:lang w:val="en-US" w:eastAsia="ru-RU"/>
            </w:rPr>
            <w:t></w:t>
          </w:r>
          <w:r w:rsidRPr="00664A2F">
            <w:rPr>
              <w:rFonts w:ascii="C39T30Lfz" w:hAnsi="C39T30Lfz"/>
              <w:spacing w:val="0"/>
              <w:w w:val="100"/>
              <w:kern w:val="0"/>
              <w:sz w:val="56"/>
              <w:szCs w:val="56"/>
              <w:lang w:val="en-US" w:eastAsia="ru-RU"/>
            </w:rPr>
            <w:t></w:t>
          </w:r>
          <w:r w:rsidRPr="00664A2F">
            <w:rPr>
              <w:rFonts w:ascii="C39T30Lfz" w:hAnsi="C39T30Lfz"/>
              <w:spacing w:val="0"/>
              <w:w w:val="100"/>
              <w:kern w:val="0"/>
              <w:sz w:val="56"/>
              <w:szCs w:val="56"/>
              <w:lang w:val="en-US" w:eastAsia="ru-RU"/>
            </w:rPr>
            <w:t></w:t>
          </w:r>
          <w:r w:rsidRPr="00664A2F">
            <w:rPr>
              <w:rFonts w:ascii="C39T30Lfz" w:hAnsi="C39T30Lfz"/>
              <w:spacing w:val="0"/>
              <w:w w:val="100"/>
              <w:kern w:val="0"/>
              <w:sz w:val="56"/>
              <w:szCs w:val="56"/>
              <w:lang w:val="en-US" w:eastAsia="ru-RU"/>
            </w:rPr>
            <w:t></w:t>
          </w:r>
          <w:r w:rsidRPr="00664A2F">
            <w:rPr>
              <w:rFonts w:ascii="C39T30Lfz" w:hAnsi="C39T30Lfz"/>
              <w:spacing w:val="0"/>
              <w:w w:val="100"/>
              <w:kern w:val="0"/>
              <w:sz w:val="56"/>
              <w:szCs w:val="56"/>
              <w:lang w:val="en-US" w:eastAsia="ru-RU"/>
            </w:rPr>
            <w:t></w:t>
          </w:r>
          <w:r w:rsidRPr="00664A2F">
            <w:rPr>
              <w:rFonts w:ascii="C39T30Lfz" w:hAnsi="C39T30Lfz"/>
              <w:spacing w:val="0"/>
              <w:w w:val="100"/>
              <w:kern w:val="0"/>
              <w:sz w:val="56"/>
              <w:szCs w:val="56"/>
              <w:lang w:val="en-US" w:eastAsia="ru-RU"/>
            </w:rPr>
            <w:t></w:t>
          </w:r>
          <w:r w:rsidRPr="00664A2F">
            <w:rPr>
              <w:rFonts w:ascii="C39T30Lfz" w:hAnsi="C39T30Lfz"/>
              <w:spacing w:val="0"/>
              <w:w w:val="100"/>
              <w:kern w:val="0"/>
              <w:sz w:val="56"/>
              <w:szCs w:val="56"/>
              <w:lang w:val="en-US" w:eastAsia="ru-RU"/>
            </w:rPr>
            <w:t></w:t>
          </w:r>
        </w:p>
      </w:tc>
      <w:tc>
        <w:tcPr>
          <w:tcW w:w="4663" w:type="dxa"/>
          <w:vMerge/>
        </w:tcPr>
        <w:p w:rsidR="006565D8" w:rsidRDefault="006565D8" w:rsidP="00BB2D63"/>
      </w:tc>
      <w:tc>
        <w:tcPr>
          <w:tcW w:w="1124" w:type="dxa"/>
          <w:vMerge/>
        </w:tcPr>
        <w:p w:rsidR="006565D8" w:rsidRDefault="006565D8" w:rsidP="00BB2D63"/>
      </w:tc>
    </w:tr>
  </w:tbl>
  <w:p w:rsidR="006565D8" w:rsidRDefault="006565D8" w:rsidP="00D24875">
    <w:pPr>
      <w:spacing w:line="240" w:lineRule="auto"/>
      <w:rPr>
        <w:sz w:val="2"/>
        <w:szCs w:val="2"/>
        <w:lang w:val="en-US"/>
      </w:rPr>
    </w:pPr>
  </w:p>
  <w:p w:rsidR="006565D8" w:rsidRDefault="006565D8" w:rsidP="00B7014E">
    <w:pPr>
      <w:pStyle w:val="Footer"/>
      <w:rPr>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5D8" w:rsidRPr="00F71F63" w:rsidRDefault="006565D8"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6565D8" w:rsidRPr="00F71F63" w:rsidRDefault="006565D8" w:rsidP="00635E86">
      <w:pPr>
        <w:tabs>
          <w:tab w:val="right" w:pos="2155"/>
        </w:tabs>
        <w:spacing w:after="80" w:line="240" w:lineRule="auto"/>
        <w:rPr>
          <w:u w:val="single"/>
          <w:lang w:val="en-US"/>
        </w:rPr>
      </w:pPr>
      <w:r w:rsidRPr="00F71F63">
        <w:rPr>
          <w:u w:val="single"/>
          <w:lang w:val="en-US"/>
        </w:rPr>
        <w:tab/>
      </w:r>
    </w:p>
    <w:p w:rsidR="006565D8" w:rsidRPr="00635E86" w:rsidRDefault="006565D8" w:rsidP="00635E86">
      <w:pPr>
        <w:pStyle w:val="Footer"/>
      </w:pPr>
    </w:p>
  </w:footnote>
  <w:footnote w:id="1">
    <w:p w:rsidR="006565D8" w:rsidRPr="00623599" w:rsidRDefault="006565D8">
      <w:pPr>
        <w:pStyle w:val="FootnoteText"/>
        <w:rPr>
          <w:sz w:val="20"/>
          <w:lang w:val="ru-RU"/>
        </w:rPr>
      </w:pPr>
      <w:r w:rsidRPr="00623599">
        <w:rPr>
          <w:lang w:val="ru-RU"/>
        </w:rPr>
        <w:tab/>
      </w:r>
      <w:r w:rsidRPr="00623599">
        <w:rPr>
          <w:rStyle w:val="FootnoteReference"/>
          <w:sz w:val="20"/>
          <w:vertAlign w:val="baseline"/>
          <w:lang w:val="ru-RU"/>
        </w:rPr>
        <w:t>*</w:t>
      </w:r>
      <w:r w:rsidRPr="00623599">
        <w:rPr>
          <w:lang w:val="ru-RU"/>
        </w:rPr>
        <w:tab/>
        <w:t>Настоящий документ выпускается без официального редактирования.</w:t>
      </w:r>
    </w:p>
  </w:footnote>
  <w:footnote w:id="2">
    <w:p w:rsidR="006565D8" w:rsidRPr="008F52F9" w:rsidRDefault="006565D8">
      <w:pPr>
        <w:pStyle w:val="FootnoteText"/>
        <w:rPr>
          <w:sz w:val="20"/>
          <w:lang w:val="ru-RU"/>
        </w:rPr>
      </w:pPr>
      <w:r>
        <w:tab/>
      </w:r>
      <w:r w:rsidRPr="008F52F9">
        <w:rPr>
          <w:rStyle w:val="FootnoteReference"/>
          <w:sz w:val="20"/>
          <w:vertAlign w:val="baseline"/>
          <w:lang w:val="ru-RU"/>
        </w:rPr>
        <w:t>**</w:t>
      </w:r>
      <w:r w:rsidRPr="008F52F9">
        <w:rPr>
          <w:lang w:val="ru-RU"/>
        </w:rPr>
        <w:tab/>
      </w:r>
      <w:r w:rsidRPr="00623599">
        <w:rPr>
          <w:lang w:val="ru-RU"/>
        </w:rPr>
        <w:t>С приложениями можно ознакомиться в архивах секретариата.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D8" w:rsidRPr="00664A2F" w:rsidRDefault="006565D8" w:rsidP="00664A2F">
    <w:pPr>
      <w:pStyle w:val="Header"/>
      <w:rPr>
        <w:lang w:val="en-US"/>
      </w:rPr>
    </w:pPr>
    <w:r w:rsidRPr="00664A2F">
      <w:rPr>
        <w:lang w:val="en-US"/>
      </w:rPr>
      <w:t>CERD/C/LTU/6-8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D8" w:rsidRPr="00664A2F" w:rsidRDefault="006565D8">
    <w:pPr>
      <w:pStyle w:val="Header"/>
      <w:rPr>
        <w:lang w:val="en-US"/>
      </w:rPr>
    </w:pPr>
    <w:r>
      <w:rPr>
        <w:lang w:val="en-US"/>
      </w:rPr>
      <w:tab/>
    </w:r>
    <w:r w:rsidRPr="00664A2F">
      <w:rPr>
        <w:lang w:val="en-US"/>
      </w:rPr>
      <w:t>CERD/C/LTU/6-8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184040"/>
    <w:multiLevelType w:val="hybridMultilevel"/>
    <w:tmpl w:val="90E41DC8"/>
    <w:lvl w:ilvl="0" w:tplc="94E6BD38">
      <w:start w:val="1"/>
      <w:numFmt w:val="decimal"/>
      <w:lvlText w:val="%1."/>
      <w:lvlJc w:val="left"/>
      <w:pPr>
        <w:ind w:left="1080" w:hanging="360"/>
      </w:pPr>
      <w:rPr>
        <w:rFonts w:cs="Times New Roman" w:hint="default"/>
        <w:w w:val="1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6EB4210"/>
    <w:multiLevelType w:val="hybridMultilevel"/>
    <w:tmpl w:val="652A5F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F53ECA"/>
    <w:multiLevelType w:val="hybridMultilevel"/>
    <w:tmpl w:val="23840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0522E6A"/>
    <w:multiLevelType w:val="hybridMultilevel"/>
    <w:tmpl w:val="F18AC15C"/>
    <w:lvl w:ilvl="0" w:tplc="0CD467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7907C6C"/>
    <w:multiLevelType w:val="hybridMultilevel"/>
    <w:tmpl w:val="DFB6C4D0"/>
    <w:lvl w:ilvl="0" w:tplc="4F087376">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3"/>
  </w:num>
  <w:num w:numId="3">
    <w:abstractNumId w:val="18"/>
  </w:num>
  <w:num w:numId="4">
    <w:abstractNumId w:val="2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9"/>
  </w:num>
  <w:num w:numId="18">
    <w:abstractNumId w:val="13"/>
  </w:num>
  <w:num w:numId="19">
    <w:abstractNumId w:val="13"/>
  </w:num>
  <w:num w:numId="20">
    <w:abstractNumId w:val="19"/>
  </w:num>
  <w:num w:numId="21">
    <w:abstractNumId w:val="13"/>
  </w:num>
  <w:num w:numId="22">
    <w:abstractNumId w:val="18"/>
  </w:num>
  <w:num w:numId="23">
    <w:abstractNumId w:val="18"/>
  </w:num>
  <w:num w:numId="24">
    <w:abstractNumId w:val="17"/>
  </w:num>
  <w:num w:numId="25">
    <w:abstractNumId w:val="15"/>
  </w:num>
  <w:num w:numId="26">
    <w:abstractNumId w:val="10"/>
  </w:num>
  <w:num w:numId="27">
    <w:abstractNumId w:val="12"/>
  </w:num>
  <w:num w:numId="28">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6337"/>
    <w:rsid w:val="000033D8"/>
    <w:rsid w:val="00005C1C"/>
    <w:rsid w:val="00016553"/>
    <w:rsid w:val="000233B3"/>
    <w:rsid w:val="00023E9E"/>
    <w:rsid w:val="00026B0C"/>
    <w:rsid w:val="00034A16"/>
    <w:rsid w:val="0003638E"/>
    <w:rsid w:val="00036FF2"/>
    <w:rsid w:val="0004010A"/>
    <w:rsid w:val="00043D88"/>
    <w:rsid w:val="00046E4D"/>
    <w:rsid w:val="0006401A"/>
    <w:rsid w:val="00072C27"/>
    <w:rsid w:val="00086182"/>
    <w:rsid w:val="00090891"/>
    <w:rsid w:val="00092E62"/>
    <w:rsid w:val="00097975"/>
    <w:rsid w:val="000A3DDF"/>
    <w:rsid w:val="000A60A0"/>
    <w:rsid w:val="000C3688"/>
    <w:rsid w:val="000D6863"/>
    <w:rsid w:val="00117AEE"/>
    <w:rsid w:val="001463F7"/>
    <w:rsid w:val="0015769C"/>
    <w:rsid w:val="00180752"/>
    <w:rsid w:val="00185076"/>
    <w:rsid w:val="0018543C"/>
    <w:rsid w:val="00190231"/>
    <w:rsid w:val="00192ABD"/>
    <w:rsid w:val="001A75D5"/>
    <w:rsid w:val="001A7D40"/>
    <w:rsid w:val="001D07F7"/>
    <w:rsid w:val="001D7B8F"/>
    <w:rsid w:val="001E48EE"/>
    <w:rsid w:val="001F2D04"/>
    <w:rsid w:val="0020059C"/>
    <w:rsid w:val="002019BD"/>
    <w:rsid w:val="002217A3"/>
    <w:rsid w:val="00232D42"/>
    <w:rsid w:val="00237334"/>
    <w:rsid w:val="002444F4"/>
    <w:rsid w:val="002629A0"/>
    <w:rsid w:val="0028492B"/>
    <w:rsid w:val="00290BB3"/>
    <w:rsid w:val="00291C8F"/>
    <w:rsid w:val="002B43B0"/>
    <w:rsid w:val="002C5036"/>
    <w:rsid w:val="002C6A71"/>
    <w:rsid w:val="002C6D5F"/>
    <w:rsid w:val="002D15EA"/>
    <w:rsid w:val="002D6C07"/>
    <w:rsid w:val="002E0CE6"/>
    <w:rsid w:val="002E1163"/>
    <w:rsid w:val="002E43F3"/>
    <w:rsid w:val="003215F5"/>
    <w:rsid w:val="00332891"/>
    <w:rsid w:val="00336175"/>
    <w:rsid w:val="00351B6A"/>
    <w:rsid w:val="00356BB2"/>
    <w:rsid w:val="00360477"/>
    <w:rsid w:val="00367FC9"/>
    <w:rsid w:val="003711A1"/>
    <w:rsid w:val="00372123"/>
    <w:rsid w:val="00386581"/>
    <w:rsid w:val="00387100"/>
    <w:rsid w:val="003951D3"/>
    <w:rsid w:val="003978C6"/>
    <w:rsid w:val="003B40A9"/>
    <w:rsid w:val="003C016E"/>
    <w:rsid w:val="003D5EBD"/>
    <w:rsid w:val="00401CE0"/>
    <w:rsid w:val="00403234"/>
    <w:rsid w:val="00407AC3"/>
    <w:rsid w:val="00414586"/>
    <w:rsid w:val="00415059"/>
    <w:rsid w:val="00424FDD"/>
    <w:rsid w:val="0043033D"/>
    <w:rsid w:val="00435FE4"/>
    <w:rsid w:val="00457634"/>
    <w:rsid w:val="00474F42"/>
    <w:rsid w:val="0048244D"/>
    <w:rsid w:val="004A0DE8"/>
    <w:rsid w:val="004A3CB2"/>
    <w:rsid w:val="004A4CB7"/>
    <w:rsid w:val="004A57B5"/>
    <w:rsid w:val="004B19DA"/>
    <w:rsid w:val="004B77A8"/>
    <w:rsid w:val="004C2A53"/>
    <w:rsid w:val="004C3B35"/>
    <w:rsid w:val="004C43EC"/>
    <w:rsid w:val="004C683B"/>
    <w:rsid w:val="004E6729"/>
    <w:rsid w:val="004F0DD5"/>
    <w:rsid w:val="004F0E47"/>
    <w:rsid w:val="0051339C"/>
    <w:rsid w:val="0051412F"/>
    <w:rsid w:val="00522B6F"/>
    <w:rsid w:val="0052430E"/>
    <w:rsid w:val="005276AD"/>
    <w:rsid w:val="0053632E"/>
    <w:rsid w:val="00540A9A"/>
    <w:rsid w:val="00543522"/>
    <w:rsid w:val="00545680"/>
    <w:rsid w:val="0056618E"/>
    <w:rsid w:val="00576F59"/>
    <w:rsid w:val="00577A34"/>
    <w:rsid w:val="00580AAD"/>
    <w:rsid w:val="00581786"/>
    <w:rsid w:val="00593A04"/>
    <w:rsid w:val="005A6D5A"/>
    <w:rsid w:val="005B1B28"/>
    <w:rsid w:val="005B7D51"/>
    <w:rsid w:val="005B7F35"/>
    <w:rsid w:val="005C2081"/>
    <w:rsid w:val="005C678A"/>
    <w:rsid w:val="005D346D"/>
    <w:rsid w:val="005E74AB"/>
    <w:rsid w:val="00606A3E"/>
    <w:rsid w:val="006115AA"/>
    <w:rsid w:val="006120AE"/>
    <w:rsid w:val="00623599"/>
    <w:rsid w:val="00635E86"/>
    <w:rsid w:val="00636A37"/>
    <w:rsid w:val="006501A5"/>
    <w:rsid w:val="006565D8"/>
    <w:rsid w:val="006567B2"/>
    <w:rsid w:val="00662ADE"/>
    <w:rsid w:val="00664106"/>
    <w:rsid w:val="00664A2F"/>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F5FBF"/>
    <w:rsid w:val="0070327E"/>
    <w:rsid w:val="007055BE"/>
    <w:rsid w:val="00706337"/>
    <w:rsid w:val="00707B5F"/>
    <w:rsid w:val="00735602"/>
    <w:rsid w:val="007511D7"/>
    <w:rsid w:val="0075279B"/>
    <w:rsid w:val="00753748"/>
    <w:rsid w:val="007538B1"/>
    <w:rsid w:val="00762446"/>
    <w:rsid w:val="00781ACB"/>
    <w:rsid w:val="007A79EB"/>
    <w:rsid w:val="007D4CA0"/>
    <w:rsid w:val="007D7A23"/>
    <w:rsid w:val="007E38C3"/>
    <w:rsid w:val="007E549E"/>
    <w:rsid w:val="007E71C9"/>
    <w:rsid w:val="007F7553"/>
    <w:rsid w:val="0080755E"/>
    <w:rsid w:val="008120D4"/>
    <w:rsid w:val="008139A5"/>
    <w:rsid w:val="00817F73"/>
    <w:rsid w:val="0082228E"/>
    <w:rsid w:val="00830402"/>
    <w:rsid w:val="008305D7"/>
    <w:rsid w:val="00834887"/>
    <w:rsid w:val="00842FED"/>
    <w:rsid w:val="008455CF"/>
    <w:rsid w:val="00847689"/>
    <w:rsid w:val="00861C52"/>
    <w:rsid w:val="008727A1"/>
    <w:rsid w:val="00886B0F"/>
    <w:rsid w:val="00891C08"/>
    <w:rsid w:val="008A3879"/>
    <w:rsid w:val="008A5FA8"/>
    <w:rsid w:val="008A7575"/>
    <w:rsid w:val="008B5F47"/>
    <w:rsid w:val="008C7B87"/>
    <w:rsid w:val="008D6A7A"/>
    <w:rsid w:val="008E3E87"/>
    <w:rsid w:val="008E7F13"/>
    <w:rsid w:val="008F3185"/>
    <w:rsid w:val="008F52F9"/>
    <w:rsid w:val="00915B0A"/>
    <w:rsid w:val="00925557"/>
    <w:rsid w:val="00926904"/>
    <w:rsid w:val="009372F0"/>
    <w:rsid w:val="00955022"/>
    <w:rsid w:val="00957B4D"/>
    <w:rsid w:val="00964EEA"/>
    <w:rsid w:val="00980C86"/>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800D1"/>
    <w:rsid w:val="00A92699"/>
    <w:rsid w:val="00AB5BF0"/>
    <w:rsid w:val="00AC1C95"/>
    <w:rsid w:val="00AC2CCB"/>
    <w:rsid w:val="00AC443A"/>
    <w:rsid w:val="00AD72A0"/>
    <w:rsid w:val="00AE60E2"/>
    <w:rsid w:val="00B0169F"/>
    <w:rsid w:val="00B05F21"/>
    <w:rsid w:val="00B14EA9"/>
    <w:rsid w:val="00B30A3C"/>
    <w:rsid w:val="00B574B4"/>
    <w:rsid w:val="00B7014E"/>
    <w:rsid w:val="00B81305"/>
    <w:rsid w:val="00B866B7"/>
    <w:rsid w:val="00BB17DC"/>
    <w:rsid w:val="00BB1AF9"/>
    <w:rsid w:val="00BB2D63"/>
    <w:rsid w:val="00BB4C4A"/>
    <w:rsid w:val="00BD3CAE"/>
    <w:rsid w:val="00BD5F3C"/>
    <w:rsid w:val="00C07C0F"/>
    <w:rsid w:val="00C145C4"/>
    <w:rsid w:val="00C20D2F"/>
    <w:rsid w:val="00C2131B"/>
    <w:rsid w:val="00C37AF8"/>
    <w:rsid w:val="00C37C79"/>
    <w:rsid w:val="00C41BBC"/>
    <w:rsid w:val="00C51419"/>
    <w:rsid w:val="00C54056"/>
    <w:rsid w:val="00C663A3"/>
    <w:rsid w:val="00C75CB2"/>
    <w:rsid w:val="00C90723"/>
    <w:rsid w:val="00C90D5C"/>
    <w:rsid w:val="00CA609E"/>
    <w:rsid w:val="00CA7DA4"/>
    <w:rsid w:val="00CB31FB"/>
    <w:rsid w:val="00CE1A87"/>
    <w:rsid w:val="00CE3D6F"/>
    <w:rsid w:val="00CE79A5"/>
    <w:rsid w:val="00CF0042"/>
    <w:rsid w:val="00CF262F"/>
    <w:rsid w:val="00D025D5"/>
    <w:rsid w:val="00D24875"/>
    <w:rsid w:val="00D26B13"/>
    <w:rsid w:val="00D26CC1"/>
    <w:rsid w:val="00D30662"/>
    <w:rsid w:val="00D32A0B"/>
    <w:rsid w:val="00D6236B"/>
    <w:rsid w:val="00D809D1"/>
    <w:rsid w:val="00D84ECF"/>
    <w:rsid w:val="00DA2851"/>
    <w:rsid w:val="00DA2B7C"/>
    <w:rsid w:val="00DA5686"/>
    <w:rsid w:val="00DB2FC0"/>
    <w:rsid w:val="00DF18FA"/>
    <w:rsid w:val="00DF49CA"/>
    <w:rsid w:val="00DF775B"/>
    <w:rsid w:val="00E007F3"/>
    <w:rsid w:val="00E00DEA"/>
    <w:rsid w:val="00E06EF0"/>
    <w:rsid w:val="00E11679"/>
    <w:rsid w:val="00E154CA"/>
    <w:rsid w:val="00E307D1"/>
    <w:rsid w:val="00E46A04"/>
    <w:rsid w:val="00E54AEB"/>
    <w:rsid w:val="00E55871"/>
    <w:rsid w:val="00E717F3"/>
    <w:rsid w:val="00E72C5E"/>
    <w:rsid w:val="00E73451"/>
    <w:rsid w:val="00E7489F"/>
    <w:rsid w:val="00E75147"/>
    <w:rsid w:val="00E8167D"/>
    <w:rsid w:val="00E907E9"/>
    <w:rsid w:val="00E96BE7"/>
    <w:rsid w:val="00EA2CD0"/>
    <w:rsid w:val="00EC0044"/>
    <w:rsid w:val="00EC6B9F"/>
    <w:rsid w:val="00EE516D"/>
    <w:rsid w:val="00EF0E81"/>
    <w:rsid w:val="00EF4D1B"/>
    <w:rsid w:val="00EF7295"/>
    <w:rsid w:val="00F069D1"/>
    <w:rsid w:val="00F1503D"/>
    <w:rsid w:val="00F22712"/>
    <w:rsid w:val="00F275F5"/>
    <w:rsid w:val="00F33188"/>
    <w:rsid w:val="00F35BDE"/>
    <w:rsid w:val="00F52A0E"/>
    <w:rsid w:val="00F622A8"/>
    <w:rsid w:val="00F71F63"/>
    <w:rsid w:val="00F87506"/>
    <w:rsid w:val="00F92C41"/>
    <w:rsid w:val="00FA5522"/>
    <w:rsid w:val="00FA6E4A"/>
    <w:rsid w:val="00FB2B35"/>
    <w:rsid w:val="00FC4AE1"/>
    <w:rsid w:val="00FD78A3"/>
    <w:rsid w:val="00FE0EFD"/>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7511D7"/>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qFormat/>
    <w:rsid w:val="008F52F9"/>
    <w:pPr>
      <w:spacing w:after="160" w:line="259" w:lineRule="auto"/>
      <w:ind w:left="720"/>
      <w:contextualSpacing/>
    </w:pPr>
    <w:rPr>
      <w:rFonts w:ascii="Calibri" w:hAnsi="Calibri" w:cs="Arial"/>
      <w:spacing w:val="0"/>
      <w:w w:val="100"/>
      <w:kern w:val="0"/>
      <w:sz w:val="22"/>
      <w:szCs w:val="22"/>
      <w:lang w:val="en-US"/>
    </w:r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character" w:customStyle="1" w:styleId="FootnoteTextChar">
    <w:name w:val="Footnote Text Char"/>
    <w:aliases w:val="5_GR Char"/>
    <w:basedOn w:val="DefaultParagraphFont"/>
    <w:link w:val="FootnoteText"/>
    <w:semiHidden/>
    <w:locked/>
    <w:rsid w:val="008F52F9"/>
    <w:rPr>
      <w:spacing w:val="5"/>
      <w:w w:val="104"/>
      <w:kern w:val="14"/>
      <w:sz w:val="18"/>
      <w:lang w:val="en-GB" w:eastAsia="ru-RU" w:bidi="ar-SA"/>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paragraph" w:styleId="BalloonText">
    <w:name w:val="Balloon Text"/>
    <w:basedOn w:val="Normal"/>
    <w:link w:val="BalloonTextChar"/>
    <w:semiHidden/>
    <w:rsid w:val="008F52F9"/>
    <w:pPr>
      <w:spacing w:line="240" w:lineRule="auto"/>
    </w:pPr>
    <w:rPr>
      <w:rFonts w:ascii="Segoe UI" w:hAnsi="Segoe UI" w:cs="Segoe UI"/>
      <w:spacing w:val="0"/>
      <w:w w:val="100"/>
      <w:kern w:val="0"/>
      <w:sz w:val="18"/>
      <w:szCs w:val="18"/>
      <w:lang w:val="en-US"/>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BalloonTextChar">
    <w:name w:val="Balloon Text Char"/>
    <w:basedOn w:val="DefaultParagraphFont"/>
    <w:link w:val="BalloonText"/>
    <w:semiHidden/>
    <w:locked/>
    <w:rsid w:val="008F52F9"/>
    <w:rPr>
      <w:rFonts w:ascii="Segoe UI" w:hAnsi="Segoe UI" w:cs="Segoe UI"/>
      <w:sz w:val="18"/>
      <w:szCs w:val="18"/>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Diane\Local%20Settings\Temp\notes97CA44\www.enri-east.net\projects-results\en\"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Diane\Local%20Settings\Temp\notes97CA44\www.ces.lt\etniskumo-studijos-2\isleisti-zurnalai\etniskumo-studijos-2013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C:\Documents%20and%20Settings\Diane\Local%20Settings\Temp\notes97CA44\www.fra.europa.eu\en\country-data-\2013\country-thematic-studies-situation-roma" TargetMode="External"/><Relationship Id="rId4" Type="http://schemas.openxmlformats.org/officeDocument/2006/relationships/webSettings" Target="webSettings.xml"/><Relationship Id="rId9" Type="http://schemas.openxmlformats.org/officeDocument/2006/relationships/hyperlink" Target="file:///C:\Documents%20and%20Settings\Diane\Local%20Settings\Temp\notes97CA44\www.ces.lt\etniskumo-studijos-2\isleisti-zurnalai\etniskumo-studijos-2012\"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OD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66</Pages>
  <Words>25417</Words>
  <Characters>174811</Characters>
  <Application>Microsoft Office Outlook</Application>
  <DocSecurity>4</DocSecurity>
  <Lines>3665</Lines>
  <Paragraphs>890</Paragraphs>
  <ScaleCrop>false</ScaleCrop>
  <HeadingPairs>
    <vt:vector size="2" baseType="variant">
      <vt:variant>
        <vt:lpstr>Название</vt:lpstr>
      </vt:variant>
      <vt:variant>
        <vt:i4>1</vt:i4>
      </vt:variant>
    </vt:vector>
  </HeadingPairs>
  <TitlesOfParts>
    <vt:vector size="1" baseType="lpstr">
      <vt:lpstr>1415300</vt:lpstr>
    </vt:vector>
  </TitlesOfParts>
  <Manager>contr.</Manager>
  <Company>CSD</Company>
  <LinksUpToDate>false</LinksUpToDate>
  <CharactersWithSpaces>199899</CharactersWithSpaces>
  <SharedDoc>false</SharedDoc>
  <HLinks>
    <vt:vector size="24" baseType="variant">
      <vt:variant>
        <vt:i4>3735636</vt:i4>
      </vt:variant>
      <vt:variant>
        <vt:i4>19</vt:i4>
      </vt:variant>
      <vt:variant>
        <vt:i4>0</vt:i4>
      </vt:variant>
      <vt:variant>
        <vt:i4>5</vt:i4>
      </vt:variant>
      <vt:variant>
        <vt:lpwstr>C:\Documents and Settings\Diane\Local Settings\Temp\notes97CA44\www.ces.lt\etniskumo-studijos-2\isleisti-zurnalai\etniskumo-studijos-20131\</vt:lpwstr>
      </vt:variant>
      <vt:variant>
        <vt:lpwstr/>
      </vt:variant>
      <vt:variant>
        <vt:i4>6750255</vt:i4>
      </vt:variant>
      <vt:variant>
        <vt:i4>16</vt:i4>
      </vt:variant>
      <vt:variant>
        <vt:i4>0</vt:i4>
      </vt:variant>
      <vt:variant>
        <vt:i4>5</vt:i4>
      </vt:variant>
      <vt:variant>
        <vt:lpwstr>C:\Documents and Settings\Diane\Local Settings\Temp\notes97CA44\www.fra.europa.eu\en\country-data-\2013\country-thematic-studies-situation-roma</vt:lpwstr>
      </vt:variant>
      <vt:variant>
        <vt:lpwstr/>
      </vt:variant>
      <vt:variant>
        <vt:i4>5505109</vt:i4>
      </vt:variant>
      <vt:variant>
        <vt:i4>13</vt:i4>
      </vt:variant>
      <vt:variant>
        <vt:i4>0</vt:i4>
      </vt:variant>
      <vt:variant>
        <vt:i4>5</vt:i4>
      </vt:variant>
      <vt:variant>
        <vt:lpwstr>C:\Documents and Settings\Diane\Local Settings\Temp\notes97CA44\www.ces.lt\etniskumo-studijos-2\isleisti-zurnalai\etniskumo-studijos-2012\</vt:lpwstr>
      </vt:variant>
      <vt:variant>
        <vt:lpwstr/>
      </vt:variant>
      <vt:variant>
        <vt:i4>6881374</vt:i4>
      </vt:variant>
      <vt:variant>
        <vt:i4>10</vt:i4>
      </vt:variant>
      <vt:variant>
        <vt:i4>0</vt:i4>
      </vt:variant>
      <vt:variant>
        <vt:i4>5</vt:i4>
      </vt:variant>
      <vt:variant>
        <vt:lpwstr>C:\Documents and Settings\Diane\Local Settings\Temp\notes97CA44\www.enri-east.net\projects-results\en\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1415300</dc:title>
  <dc:subject>CERD/C/LTU/6-8</dc:subject>
  <dc:creator>Svetlana Prokoudina</dc:creator>
  <cp:keywords/>
  <dc:description>Final</dc:description>
  <cp:lastModifiedBy>Svetlana Prokoudina</cp:lastModifiedBy>
  <cp:revision>2</cp:revision>
  <cp:lastPrinted>1601-01-01T00:00:00Z</cp:lastPrinted>
  <dcterms:created xsi:type="dcterms:W3CDTF">2014-12-22T13:34:00Z</dcterms:created>
  <dcterms:modified xsi:type="dcterms:W3CDTF">2014-12-22T13:34:00Z</dcterms:modified>
</cp:coreProperties>
</file>