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14FE6">
        <w:trPr>
          <w:trHeight w:val="851"/>
        </w:trPr>
        <w:tc>
          <w:tcPr>
            <w:tcW w:w="1259" w:type="dxa"/>
            <w:tcBorders>
              <w:top w:val="nil"/>
              <w:left w:val="nil"/>
              <w:bottom w:val="single" w:sz="4" w:space="0" w:color="auto"/>
              <w:right w:val="nil"/>
            </w:tcBorders>
            <w:vAlign w:val="bottom"/>
          </w:tcPr>
          <w:p w:rsidR="00414FE6" w:rsidRDefault="00414FE6" w:rsidP="00421A44">
            <w:pPr>
              <w:pStyle w:val="Heading2"/>
            </w:pPr>
          </w:p>
        </w:tc>
        <w:tc>
          <w:tcPr>
            <w:tcW w:w="2236" w:type="dxa"/>
            <w:tcBorders>
              <w:top w:val="nil"/>
              <w:left w:val="nil"/>
              <w:bottom w:val="single" w:sz="4" w:space="0" w:color="auto"/>
              <w:right w:val="nil"/>
            </w:tcBorders>
            <w:vAlign w:val="bottom"/>
          </w:tcPr>
          <w:p w:rsidR="00414FE6" w:rsidRPr="00B97172" w:rsidRDefault="00414FE6" w:rsidP="00414FE6">
            <w:pPr>
              <w:spacing w:after="80" w:line="300" w:lineRule="exact"/>
              <w:rPr>
                <w:b/>
                <w:sz w:val="24"/>
                <w:szCs w:val="24"/>
              </w:rPr>
            </w:pPr>
            <w:r>
              <w:rPr>
                <w:sz w:val="28"/>
                <w:szCs w:val="28"/>
              </w:rPr>
              <w:t>United Nations</w:t>
            </w:r>
          </w:p>
        </w:tc>
        <w:tc>
          <w:tcPr>
            <w:tcW w:w="6144" w:type="dxa"/>
            <w:gridSpan w:val="2"/>
            <w:tcBorders>
              <w:top w:val="nil"/>
              <w:left w:val="nil"/>
              <w:bottom w:val="single" w:sz="4" w:space="0" w:color="auto"/>
              <w:right w:val="nil"/>
            </w:tcBorders>
            <w:vAlign w:val="bottom"/>
          </w:tcPr>
          <w:p w:rsidR="00414FE6" w:rsidRPr="00DE3EC0" w:rsidRDefault="00414FE6" w:rsidP="00421A44">
            <w:pPr>
              <w:jc w:val="right"/>
            </w:pPr>
            <w:r w:rsidRPr="008564C3">
              <w:rPr>
                <w:sz w:val="40"/>
              </w:rPr>
              <w:t>CCPR</w:t>
            </w:r>
            <w:r>
              <w:t>/C/</w:t>
            </w:r>
            <w:r w:rsidR="00595877">
              <w:t>TKM</w:t>
            </w:r>
            <w:r>
              <w:t>/CO/1</w:t>
            </w:r>
          </w:p>
        </w:tc>
      </w:tr>
      <w:tr w:rsidR="00414FE6">
        <w:trPr>
          <w:trHeight w:val="2835"/>
        </w:trPr>
        <w:tc>
          <w:tcPr>
            <w:tcW w:w="1259" w:type="dxa"/>
            <w:tcBorders>
              <w:top w:val="single" w:sz="4" w:space="0" w:color="auto"/>
              <w:left w:val="nil"/>
              <w:bottom w:val="single" w:sz="12" w:space="0" w:color="auto"/>
              <w:right w:val="nil"/>
            </w:tcBorders>
          </w:tcPr>
          <w:p w:rsidR="00414FE6" w:rsidRDefault="00414FE6" w:rsidP="00414FE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414FE6" w:rsidRPr="00267F5F" w:rsidRDefault="00414FE6" w:rsidP="00414FE6">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414FE6" w:rsidRDefault="00414FE6" w:rsidP="00414FE6">
            <w:pPr>
              <w:spacing w:before="240" w:line="240" w:lineRule="exact"/>
            </w:pPr>
            <w:r>
              <w:t xml:space="preserve">Distr.: </w:t>
            </w:r>
            <w:r w:rsidR="00421A44">
              <w:t>General</w:t>
            </w:r>
          </w:p>
          <w:p w:rsidR="00414FE6" w:rsidRDefault="00A7761C" w:rsidP="00414FE6">
            <w:pPr>
              <w:spacing w:line="240" w:lineRule="exact"/>
            </w:pPr>
            <w:r>
              <w:t>1</w:t>
            </w:r>
            <w:r w:rsidR="00864895">
              <w:t>9</w:t>
            </w:r>
            <w:r w:rsidR="00EA253A">
              <w:t xml:space="preserve"> </w:t>
            </w:r>
            <w:r w:rsidR="00421A44">
              <w:t>April</w:t>
            </w:r>
            <w:r w:rsidR="00595877">
              <w:t xml:space="preserve"> 2012</w:t>
            </w:r>
          </w:p>
          <w:p w:rsidR="00414FE6" w:rsidRDefault="00414FE6" w:rsidP="00414FE6">
            <w:pPr>
              <w:spacing w:line="240" w:lineRule="exact"/>
            </w:pPr>
          </w:p>
          <w:p w:rsidR="00414FE6" w:rsidRDefault="00414FE6" w:rsidP="00414FE6">
            <w:pPr>
              <w:spacing w:line="240" w:lineRule="exact"/>
            </w:pPr>
            <w:r>
              <w:t>Original: English</w:t>
            </w:r>
          </w:p>
        </w:tc>
      </w:tr>
    </w:tbl>
    <w:p w:rsidR="008564C3" w:rsidRPr="00AA2E62" w:rsidRDefault="008564C3" w:rsidP="008564C3">
      <w:pPr>
        <w:autoSpaceDE w:val="0"/>
        <w:autoSpaceDN w:val="0"/>
        <w:adjustRightInd w:val="0"/>
        <w:rPr>
          <w:b/>
          <w:bCs/>
          <w:sz w:val="24"/>
          <w:szCs w:val="24"/>
        </w:rPr>
      </w:pPr>
      <w:r w:rsidRPr="00AA2E62">
        <w:rPr>
          <w:b/>
          <w:bCs/>
          <w:sz w:val="24"/>
          <w:szCs w:val="24"/>
        </w:rPr>
        <w:t>Human Rights Committee</w:t>
      </w:r>
    </w:p>
    <w:p w:rsidR="008564C3" w:rsidRPr="00AA2E62" w:rsidRDefault="008564C3" w:rsidP="008564C3">
      <w:pPr>
        <w:autoSpaceDE w:val="0"/>
        <w:autoSpaceDN w:val="0"/>
        <w:adjustRightInd w:val="0"/>
        <w:rPr>
          <w:b/>
          <w:bCs/>
        </w:rPr>
      </w:pPr>
      <w:r>
        <w:rPr>
          <w:b/>
          <w:bCs/>
        </w:rPr>
        <w:t>10</w:t>
      </w:r>
      <w:r w:rsidR="00595877">
        <w:rPr>
          <w:b/>
          <w:bCs/>
        </w:rPr>
        <w:t xml:space="preserve">4th </w:t>
      </w:r>
      <w:r w:rsidRPr="00AA2E62">
        <w:rPr>
          <w:b/>
          <w:bCs/>
        </w:rPr>
        <w:t>session</w:t>
      </w:r>
    </w:p>
    <w:p w:rsidR="008564C3" w:rsidRPr="00985D45" w:rsidRDefault="00595877" w:rsidP="008564C3">
      <w:pPr>
        <w:autoSpaceDE w:val="0"/>
        <w:autoSpaceDN w:val="0"/>
        <w:adjustRightInd w:val="0"/>
      </w:pPr>
      <w:smartTag w:uri="urn:schemas-microsoft-com:office:smarttags" w:element="place">
        <w:smartTag w:uri="urn:schemas-microsoft-com:office:smarttags" w:element="State">
          <w:r>
            <w:t>New York</w:t>
          </w:r>
        </w:smartTag>
      </w:smartTag>
      <w:r>
        <w:t>, 12</w:t>
      </w:r>
      <w:r w:rsidR="006457DA">
        <w:t>–</w:t>
      </w:r>
      <w:r>
        <w:t>30 March 2012</w:t>
      </w:r>
    </w:p>
    <w:p w:rsidR="008564C3" w:rsidRPr="00AA7D2F" w:rsidRDefault="008564C3" w:rsidP="008564C3">
      <w:pPr>
        <w:pStyle w:val="HChG"/>
        <w:rPr>
          <w:lang w:val="en-US"/>
        </w:rPr>
      </w:pPr>
      <w:r>
        <w:rPr>
          <w:lang w:val="en-US"/>
        </w:rPr>
        <w:tab/>
      </w:r>
      <w:r>
        <w:rPr>
          <w:lang w:val="en-US"/>
        </w:rPr>
        <w:tab/>
      </w:r>
      <w:r w:rsidRPr="00AA7D2F">
        <w:rPr>
          <w:lang w:val="en-US"/>
        </w:rPr>
        <w:t xml:space="preserve">Consideration of reports submitted by States parties </w:t>
      </w:r>
      <w:r w:rsidRPr="00AA7D2F">
        <w:rPr>
          <w:bCs/>
          <w:lang w:val="en-US"/>
        </w:rPr>
        <w:t xml:space="preserve">under article 40 of the Covenant </w:t>
      </w:r>
    </w:p>
    <w:p w:rsidR="008564C3" w:rsidRPr="00AA7D2F" w:rsidRDefault="008564C3" w:rsidP="008564C3">
      <w:pPr>
        <w:pStyle w:val="H1G"/>
        <w:rPr>
          <w:lang w:val="en-US"/>
        </w:rPr>
      </w:pPr>
      <w:r w:rsidRPr="00AA7D2F">
        <w:rPr>
          <w:lang w:val="en-US"/>
        </w:rPr>
        <w:tab/>
      </w:r>
      <w:r w:rsidRPr="00AA7D2F">
        <w:rPr>
          <w:lang w:val="en-US"/>
        </w:rPr>
        <w:tab/>
      </w:r>
      <w:r w:rsidR="00414FE6" w:rsidRPr="00AA7D2F">
        <w:rPr>
          <w:lang w:val="en-US"/>
        </w:rPr>
        <w:t>C</w:t>
      </w:r>
      <w:r w:rsidRPr="00AA7D2F">
        <w:rPr>
          <w:lang w:val="en-US"/>
        </w:rPr>
        <w:t>oncluding observations of the Human Rights Committee</w:t>
      </w:r>
    </w:p>
    <w:p w:rsidR="008564C3" w:rsidRPr="00AA7D2F" w:rsidRDefault="008564C3" w:rsidP="008564C3">
      <w:pPr>
        <w:pStyle w:val="HChG"/>
        <w:rPr>
          <w:lang w:val="en-US"/>
        </w:rPr>
      </w:pPr>
      <w:r w:rsidRPr="00AA7D2F">
        <w:rPr>
          <w:lang w:val="en-US"/>
        </w:rPr>
        <w:tab/>
      </w:r>
      <w:r w:rsidRPr="00AA7D2F">
        <w:rPr>
          <w:lang w:val="en-US"/>
        </w:rPr>
        <w:tab/>
      </w:r>
      <w:smartTag w:uri="urn:schemas-microsoft-com:office:smarttags" w:element="place">
        <w:smartTag w:uri="urn:schemas-microsoft-com:office:smarttags" w:element="country-region">
          <w:r w:rsidR="00595877">
            <w:rPr>
              <w:lang w:val="en-US"/>
            </w:rPr>
            <w:t>Turkmeni</w:t>
          </w:r>
          <w:r w:rsidRPr="00AA7D2F">
            <w:rPr>
              <w:lang w:val="en-US"/>
            </w:rPr>
            <w:t>stan</w:t>
          </w:r>
        </w:smartTag>
      </w:smartTag>
    </w:p>
    <w:p w:rsidR="008564C3" w:rsidRPr="00AA7D2F" w:rsidRDefault="008564C3" w:rsidP="008C5382">
      <w:pPr>
        <w:pStyle w:val="SingleTxtG"/>
        <w:rPr>
          <w:lang w:val="en-US"/>
        </w:rPr>
      </w:pPr>
      <w:r w:rsidRPr="00AA7D2F">
        <w:rPr>
          <w:lang w:val="en-US"/>
        </w:rPr>
        <w:t>1.</w:t>
      </w:r>
      <w:r w:rsidRPr="00AA7D2F">
        <w:rPr>
          <w:lang w:val="en-US"/>
        </w:rPr>
        <w:tab/>
        <w:t xml:space="preserve">The Committee considered the </w:t>
      </w:r>
      <w:r w:rsidR="006457DA" w:rsidRPr="00AA7D2F">
        <w:rPr>
          <w:lang w:val="en-US"/>
        </w:rPr>
        <w:t>i</w:t>
      </w:r>
      <w:r w:rsidRPr="00AA7D2F">
        <w:rPr>
          <w:lang w:val="en-US"/>
        </w:rPr>
        <w:t>nitial report sub</w:t>
      </w:r>
      <w:r w:rsidR="00595877">
        <w:rPr>
          <w:lang w:val="en-US"/>
        </w:rPr>
        <w:t xml:space="preserve">mitted by </w:t>
      </w:r>
      <w:r w:rsidR="00C170F2">
        <w:rPr>
          <w:lang w:val="en-US"/>
        </w:rPr>
        <w:t>Turkmeni</w:t>
      </w:r>
      <w:r w:rsidR="00595877">
        <w:rPr>
          <w:lang w:val="en-US"/>
        </w:rPr>
        <w:t>stan (CCPR/C/TKM/1) at its 2870th, 2871th and 287</w:t>
      </w:r>
      <w:r w:rsidRPr="00AA7D2F">
        <w:rPr>
          <w:lang w:val="en-US"/>
        </w:rPr>
        <w:t>2th meetings (CCPR/C/SR.28</w:t>
      </w:r>
      <w:r w:rsidR="00595877">
        <w:rPr>
          <w:lang w:val="en-US"/>
        </w:rPr>
        <w:t>7</w:t>
      </w:r>
      <w:r w:rsidRPr="00AA7D2F">
        <w:rPr>
          <w:lang w:val="en-US"/>
        </w:rPr>
        <w:t>0,</w:t>
      </w:r>
      <w:r w:rsidR="006457DA" w:rsidRPr="00AA7D2F">
        <w:rPr>
          <w:lang w:val="en-US"/>
        </w:rPr>
        <w:t xml:space="preserve"> </w:t>
      </w:r>
      <w:r w:rsidR="00595877">
        <w:rPr>
          <w:lang w:val="en-US"/>
        </w:rPr>
        <w:t>287</w:t>
      </w:r>
      <w:r w:rsidRPr="00AA7D2F">
        <w:rPr>
          <w:lang w:val="en-US"/>
        </w:rPr>
        <w:t>1 and</w:t>
      </w:r>
      <w:r w:rsidR="006457DA" w:rsidRPr="00AA7D2F">
        <w:rPr>
          <w:lang w:val="en-US"/>
        </w:rPr>
        <w:t xml:space="preserve"> </w:t>
      </w:r>
      <w:r w:rsidR="00595877">
        <w:rPr>
          <w:lang w:val="en-US"/>
        </w:rPr>
        <w:t>287</w:t>
      </w:r>
      <w:r w:rsidRPr="00AA7D2F">
        <w:rPr>
          <w:lang w:val="en-US"/>
        </w:rPr>
        <w:t>2), held on 1</w:t>
      </w:r>
      <w:r w:rsidR="00595877">
        <w:rPr>
          <w:lang w:val="en-US"/>
        </w:rPr>
        <w:t>5</w:t>
      </w:r>
      <w:r w:rsidR="006457DA" w:rsidRPr="00AA7D2F">
        <w:rPr>
          <w:lang w:val="en-US"/>
        </w:rPr>
        <w:t xml:space="preserve"> </w:t>
      </w:r>
      <w:r w:rsidRPr="00AA7D2F">
        <w:rPr>
          <w:lang w:val="en-US"/>
        </w:rPr>
        <w:t>and 1</w:t>
      </w:r>
      <w:r w:rsidR="00595877">
        <w:rPr>
          <w:lang w:val="en-US"/>
        </w:rPr>
        <w:t>6</w:t>
      </w:r>
      <w:r w:rsidR="006457DA" w:rsidRPr="00AA7D2F">
        <w:rPr>
          <w:lang w:val="en-US"/>
        </w:rPr>
        <w:t xml:space="preserve"> </w:t>
      </w:r>
      <w:r w:rsidR="00595877">
        <w:rPr>
          <w:lang w:val="en-US"/>
        </w:rPr>
        <w:t xml:space="preserve">March </w:t>
      </w:r>
      <w:r w:rsidRPr="00AA7D2F">
        <w:rPr>
          <w:lang w:val="en-US"/>
        </w:rPr>
        <w:t>201</w:t>
      </w:r>
      <w:r w:rsidR="00595877">
        <w:rPr>
          <w:lang w:val="en-US"/>
        </w:rPr>
        <w:t>2</w:t>
      </w:r>
      <w:r w:rsidR="006457DA" w:rsidRPr="00AA7D2F">
        <w:rPr>
          <w:lang w:val="en-US"/>
        </w:rPr>
        <w:t>, and adopted a</w:t>
      </w:r>
      <w:r w:rsidRPr="00AA7D2F">
        <w:rPr>
          <w:lang w:val="en-US"/>
        </w:rPr>
        <w:t xml:space="preserve">t its </w:t>
      </w:r>
      <w:r w:rsidR="00595877">
        <w:rPr>
          <w:lang w:val="en-US"/>
        </w:rPr>
        <w:t>2887</w:t>
      </w:r>
      <w:r w:rsidRPr="00AA7D2F">
        <w:rPr>
          <w:lang w:val="en-US"/>
        </w:rPr>
        <w:t>th (CCPR/C/SR</w:t>
      </w:r>
      <w:r w:rsidR="00595877">
        <w:rPr>
          <w:lang w:val="en-US"/>
        </w:rPr>
        <w:t>.2887</w:t>
      </w:r>
      <w:r w:rsidRPr="00AA7D2F">
        <w:rPr>
          <w:lang w:val="en-US"/>
        </w:rPr>
        <w:t xml:space="preserve">), held on </w:t>
      </w:r>
      <w:r w:rsidR="008C5382">
        <w:rPr>
          <w:lang w:val="en-US"/>
        </w:rPr>
        <w:t xml:space="preserve">28 </w:t>
      </w:r>
      <w:r w:rsidR="00595877">
        <w:rPr>
          <w:lang w:val="en-US"/>
        </w:rPr>
        <w:t>March 2012</w:t>
      </w:r>
      <w:r w:rsidRPr="00AA7D2F">
        <w:rPr>
          <w:lang w:val="en-US"/>
        </w:rPr>
        <w:t>, the following concluding observations.</w:t>
      </w:r>
    </w:p>
    <w:p w:rsidR="008564C3" w:rsidRPr="00AA7D2F" w:rsidRDefault="008564C3" w:rsidP="008564C3">
      <w:pPr>
        <w:pStyle w:val="H23G"/>
        <w:rPr>
          <w:lang w:val="en-US"/>
        </w:rPr>
      </w:pPr>
      <w:r w:rsidRPr="00AA7D2F">
        <w:rPr>
          <w:lang w:val="en-US"/>
        </w:rPr>
        <w:tab/>
        <w:t>A.</w:t>
      </w:r>
      <w:r w:rsidRPr="00AA7D2F">
        <w:rPr>
          <w:lang w:val="en-US"/>
        </w:rPr>
        <w:tab/>
        <w:t>Introduction</w:t>
      </w:r>
    </w:p>
    <w:p w:rsidR="008564C3" w:rsidRPr="00AA7D2F" w:rsidRDefault="008564C3" w:rsidP="008564C3">
      <w:pPr>
        <w:pStyle w:val="SingleTxtG"/>
        <w:rPr>
          <w:lang w:val="en-US"/>
        </w:rPr>
      </w:pPr>
      <w:r w:rsidRPr="00AA7D2F">
        <w:rPr>
          <w:lang w:val="en-US"/>
        </w:rPr>
        <w:t>2.</w:t>
      </w:r>
      <w:r w:rsidRPr="00AA7D2F">
        <w:rPr>
          <w:lang w:val="en-US"/>
        </w:rPr>
        <w:tab/>
        <w:t xml:space="preserve">The Committee welcomes the submission of the initial report of </w:t>
      </w:r>
      <w:smartTag w:uri="urn:schemas-microsoft-com:office:smarttags" w:element="place">
        <w:smartTag w:uri="urn:schemas-microsoft-com:office:smarttags" w:element="country-region">
          <w:r w:rsidR="00595877">
            <w:rPr>
              <w:lang w:val="en-US"/>
            </w:rPr>
            <w:t>Turkmenistan</w:t>
          </w:r>
        </w:smartTag>
      </w:smartTag>
      <w:r w:rsidR="00595877">
        <w:rPr>
          <w:lang w:val="en-US"/>
        </w:rPr>
        <w:t xml:space="preserve"> and </w:t>
      </w:r>
      <w:r w:rsidRPr="00AA7D2F">
        <w:rPr>
          <w:lang w:val="en-US"/>
        </w:rPr>
        <w:t>the information presented therein</w:t>
      </w:r>
      <w:r w:rsidR="003D483C">
        <w:rPr>
          <w:lang w:val="en-US"/>
        </w:rPr>
        <w:t>,</w:t>
      </w:r>
      <w:r w:rsidR="00595877">
        <w:rPr>
          <w:lang w:val="en-US"/>
        </w:rPr>
        <w:t xml:space="preserve"> although the report has been due since 1998</w:t>
      </w:r>
      <w:r w:rsidRPr="00AA7D2F">
        <w:rPr>
          <w:lang w:val="en-US"/>
        </w:rPr>
        <w:t xml:space="preserve">. It expresses appreciation for the opportunity to engage in </w:t>
      </w:r>
      <w:r w:rsidR="003D483C">
        <w:rPr>
          <w:lang w:val="en-US"/>
        </w:rPr>
        <w:t xml:space="preserve">a </w:t>
      </w:r>
      <w:r w:rsidRPr="00AA7D2F">
        <w:rPr>
          <w:lang w:val="en-US"/>
        </w:rPr>
        <w:t xml:space="preserve">constructive dialogue with the State party’s delegation on the measures that the State party has taken to implement the provisions of the Covenant since </w:t>
      </w:r>
      <w:r w:rsidR="0041499F">
        <w:rPr>
          <w:lang w:val="en-US"/>
        </w:rPr>
        <w:t>its</w:t>
      </w:r>
      <w:r w:rsidRPr="00AA7D2F">
        <w:rPr>
          <w:lang w:val="en-US"/>
        </w:rPr>
        <w:t xml:space="preserve"> </w:t>
      </w:r>
      <w:r w:rsidR="00D33454">
        <w:rPr>
          <w:lang w:val="en-US"/>
        </w:rPr>
        <w:t>accession to</w:t>
      </w:r>
      <w:r w:rsidRPr="00AA7D2F">
        <w:rPr>
          <w:lang w:val="en-US"/>
        </w:rPr>
        <w:t xml:space="preserve"> the Covenant in </w:t>
      </w:r>
      <w:r w:rsidR="00D33454">
        <w:rPr>
          <w:lang w:val="en-US"/>
        </w:rPr>
        <w:t>1997</w:t>
      </w:r>
      <w:r w:rsidRPr="00AA7D2F">
        <w:rPr>
          <w:lang w:val="en-US"/>
        </w:rPr>
        <w:t xml:space="preserve">. The Committee </w:t>
      </w:r>
      <w:r w:rsidR="00207734" w:rsidRPr="00AA7D2F">
        <w:rPr>
          <w:lang w:val="en-US"/>
        </w:rPr>
        <w:t>appreciates the</w:t>
      </w:r>
      <w:r w:rsidRPr="00AA7D2F">
        <w:rPr>
          <w:lang w:val="en-US"/>
        </w:rPr>
        <w:t xml:space="preserve"> written replies (CCPR/C/</w:t>
      </w:r>
      <w:r w:rsidR="00D33454">
        <w:rPr>
          <w:lang w:val="en-US"/>
        </w:rPr>
        <w:t>TKM</w:t>
      </w:r>
      <w:r w:rsidRPr="00AA7D2F">
        <w:rPr>
          <w:lang w:val="en-US"/>
        </w:rPr>
        <w:t>/Q/1/Add.1) to the list of issues</w:t>
      </w:r>
      <w:r w:rsidR="00445553" w:rsidRPr="00AA7D2F">
        <w:rPr>
          <w:lang w:val="en-US"/>
        </w:rPr>
        <w:t>,</w:t>
      </w:r>
      <w:r w:rsidRPr="00AA7D2F">
        <w:rPr>
          <w:lang w:val="en-US"/>
        </w:rPr>
        <w:t xml:space="preserve"> which were supplemented by the oral responses provided by the delegation.</w:t>
      </w:r>
    </w:p>
    <w:p w:rsidR="008564C3" w:rsidRPr="00AA7D2F" w:rsidRDefault="008564C3" w:rsidP="008564C3">
      <w:pPr>
        <w:pStyle w:val="H23G"/>
        <w:rPr>
          <w:lang w:val="en-US"/>
        </w:rPr>
      </w:pPr>
      <w:r w:rsidRPr="00AA7D2F">
        <w:rPr>
          <w:lang w:val="en-US"/>
        </w:rPr>
        <w:tab/>
        <w:t>B.</w:t>
      </w:r>
      <w:r w:rsidRPr="00AA7D2F">
        <w:rPr>
          <w:lang w:val="en-US"/>
        </w:rPr>
        <w:tab/>
        <w:t>Positive aspects</w:t>
      </w:r>
    </w:p>
    <w:p w:rsidR="008564C3" w:rsidRPr="00AA7D2F" w:rsidRDefault="008564C3" w:rsidP="008564C3">
      <w:pPr>
        <w:pStyle w:val="SingleTxtG"/>
        <w:rPr>
          <w:lang w:val="en-US"/>
        </w:rPr>
      </w:pPr>
      <w:r w:rsidRPr="00AA7D2F">
        <w:rPr>
          <w:lang w:val="en-US"/>
        </w:rPr>
        <w:t>3.</w:t>
      </w:r>
      <w:r w:rsidRPr="00AA7D2F">
        <w:rPr>
          <w:lang w:val="en-US"/>
        </w:rPr>
        <w:tab/>
        <w:t xml:space="preserve">The Committee welcomes the following legislative </w:t>
      </w:r>
      <w:r w:rsidR="00876DDA">
        <w:rPr>
          <w:lang w:val="en-US"/>
        </w:rPr>
        <w:t>measures</w:t>
      </w:r>
      <w:r w:rsidRPr="00AA7D2F">
        <w:rPr>
          <w:lang w:val="en-US"/>
        </w:rPr>
        <w:t xml:space="preserve"> taken by the State party:</w:t>
      </w:r>
    </w:p>
    <w:p w:rsidR="00445553" w:rsidRPr="00AA7D2F" w:rsidRDefault="008564C3" w:rsidP="008C5382">
      <w:pPr>
        <w:pStyle w:val="SingleTxtG"/>
        <w:ind w:firstLine="567"/>
        <w:rPr>
          <w:lang w:val="en-US"/>
        </w:rPr>
      </w:pPr>
      <w:r w:rsidRPr="00AA7D2F">
        <w:rPr>
          <w:lang w:val="en-US"/>
        </w:rPr>
        <w:t>(</w:t>
      </w:r>
      <w:r w:rsidR="00445553" w:rsidRPr="00AA7D2F">
        <w:rPr>
          <w:lang w:val="en-US"/>
        </w:rPr>
        <w:t>a</w:t>
      </w:r>
      <w:r w:rsidRPr="00AA7D2F">
        <w:rPr>
          <w:lang w:val="en-US"/>
        </w:rPr>
        <w:t>)</w:t>
      </w:r>
      <w:r w:rsidRPr="00AA7D2F">
        <w:rPr>
          <w:lang w:val="en-US"/>
        </w:rPr>
        <w:tab/>
        <w:t xml:space="preserve">The </w:t>
      </w:r>
      <w:r w:rsidR="003D63A3">
        <w:rPr>
          <w:lang w:val="en-US"/>
        </w:rPr>
        <w:t>enactment of the International Treaties Act of 10 May 2010</w:t>
      </w:r>
      <w:r w:rsidR="008C5382">
        <w:rPr>
          <w:lang w:val="en-US"/>
        </w:rPr>
        <w:t>;</w:t>
      </w:r>
      <w:r w:rsidRPr="00AA7D2F">
        <w:rPr>
          <w:lang w:val="en-US"/>
        </w:rPr>
        <w:t xml:space="preserve"> </w:t>
      </w:r>
    </w:p>
    <w:p w:rsidR="008564C3" w:rsidRDefault="008564C3" w:rsidP="008C5382">
      <w:pPr>
        <w:pStyle w:val="SingleTxtG"/>
        <w:ind w:left="2268" w:hanging="567"/>
        <w:rPr>
          <w:lang w:val="en-US"/>
        </w:rPr>
      </w:pPr>
      <w:r w:rsidRPr="00AA7D2F">
        <w:rPr>
          <w:lang w:val="en-US"/>
        </w:rPr>
        <w:t>(</w:t>
      </w:r>
      <w:r w:rsidR="00445553" w:rsidRPr="00AA7D2F">
        <w:rPr>
          <w:lang w:val="en-US"/>
        </w:rPr>
        <w:t>b</w:t>
      </w:r>
      <w:r w:rsidRPr="00AA7D2F">
        <w:rPr>
          <w:lang w:val="en-US"/>
        </w:rPr>
        <w:t>)</w:t>
      </w:r>
      <w:r w:rsidRPr="00AA7D2F">
        <w:rPr>
          <w:lang w:val="en-US"/>
        </w:rPr>
        <w:tab/>
      </w:r>
      <w:r w:rsidR="004B54E5">
        <w:rPr>
          <w:lang w:val="en-US"/>
        </w:rPr>
        <w:t>The enactment of the State Guarantees of Women’s Equality Act of 14 December 2007</w:t>
      </w:r>
      <w:r w:rsidR="008C5382">
        <w:rPr>
          <w:lang w:val="en-US"/>
        </w:rPr>
        <w:t>;</w:t>
      </w:r>
    </w:p>
    <w:p w:rsidR="003D63A3" w:rsidRDefault="00B35E25" w:rsidP="00605CDC">
      <w:pPr>
        <w:pStyle w:val="SingleTxtG"/>
        <w:ind w:left="2268" w:hanging="567"/>
        <w:rPr>
          <w:lang w:val="en-US"/>
        </w:rPr>
      </w:pPr>
      <w:r>
        <w:rPr>
          <w:lang w:val="en-US"/>
        </w:rPr>
        <w:t>(c)</w:t>
      </w:r>
      <w:r>
        <w:rPr>
          <w:lang w:val="en-US"/>
        </w:rPr>
        <w:tab/>
      </w:r>
      <w:r w:rsidR="004B54E5">
        <w:rPr>
          <w:lang w:val="en-US"/>
        </w:rPr>
        <w:t>The adoption of the Law on Combating Trafficking in Persons on 17 December 2007.</w:t>
      </w:r>
    </w:p>
    <w:p w:rsidR="008564C3" w:rsidRPr="00AA7D2F" w:rsidRDefault="008564C3" w:rsidP="008564C3">
      <w:pPr>
        <w:pStyle w:val="SingleTxtG"/>
        <w:rPr>
          <w:lang w:val="en-US"/>
        </w:rPr>
      </w:pPr>
      <w:r w:rsidRPr="00AA7D2F">
        <w:rPr>
          <w:lang w:val="en-US"/>
        </w:rPr>
        <w:t>4.</w:t>
      </w:r>
      <w:r w:rsidRPr="00AA7D2F">
        <w:rPr>
          <w:lang w:val="en-US"/>
        </w:rPr>
        <w:tab/>
        <w:t>The Committee welcomes the ratification by the State party of the following international instruments:</w:t>
      </w:r>
    </w:p>
    <w:p w:rsidR="008564C3" w:rsidRPr="00AA7D2F" w:rsidRDefault="008564C3" w:rsidP="008C5382">
      <w:pPr>
        <w:pStyle w:val="SingleTxtG"/>
        <w:ind w:left="2268" w:hanging="567"/>
        <w:rPr>
          <w:lang w:val="en-US"/>
        </w:rPr>
      </w:pPr>
      <w:r w:rsidRPr="00AA7D2F">
        <w:rPr>
          <w:lang w:val="en-US"/>
        </w:rPr>
        <w:t>(a)</w:t>
      </w:r>
      <w:r w:rsidRPr="00AA7D2F">
        <w:rPr>
          <w:lang w:val="en-US"/>
        </w:rPr>
        <w:tab/>
        <w:t xml:space="preserve">The </w:t>
      </w:r>
      <w:r w:rsidR="00876DDA" w:rsidRPr="00876DDA">
        <w:rPr>
          <w:lang w:val="en-US"/>
        </w:rPr>
        <w:t>Convention on the Rights of Persons with Disabilities</w:t>
      </w:r>
      <w:r w:rsidR="0041499F">
        <w:rPr>
          <w:lang w:val="en-US"/>
        </w:rPr>
        <w:t>,</w:t>
      </w:r>
      <w:r w:rsidR="00876DDA">
        <w:rPr>
          <w:lang w:val="en-US"/>
        </w:rPr>
        <w:t xml:space="preserve"> on 4 September 2008</w:t>
      </w:r>
      <w:r w:rsidR="008C5382">
        <w:rPr>
          <w:lang w:val="en-US"/>
        </w:rPr>
        <w:t>;</w:t>
      </w:r>
    </w:p>
    <w:p w:rsidR="008564C3" w:rsidRPr="00AA7D2F" w:rsidRDefault="008564C3" w:rsidP="008C5382">
      <w:pPr>
        <w:pStyle w:val="SingleTxtG"/>
        <w:ind w:left="2268" w:hanging="567"/>
        <w:rPr>
          <w:lang w:val="en-US"/>
        </w:rPr>
      </w:pPr>
      <w:r w:rsidRPr="00AA7D2F">
        <w:rPr>
          <w:lang w:val="en-US"/>
        </w:rPr>
        <w:t>(b)</w:t>
      </w:r>
      <w:r w:rsidRPr="00AA7D2F">
        <w:rPr>
          <w:lang w:val="en-US"/>
        </w:rPr>
        <w:tab/>
        <w:t>The Optional Protocol to the International Covenant on Civil and Political Rights</w:t>
      </w:r>
      <w:r w:rsidR="00445553" w:rsidRPr="00AA7D2F">
        <w:rPr>
          <w:lang w:val="en-US"/>
        </w:rPr>
        <w:t>,</w:t>
      </w:r>
      <w:r w:rsidRPr="00AA7D2F">
        <w:rPr>
          <w:lang w:val="en-US"/>
        </w:rPr>
        <w:t xml:space="preserve"> on </w:t>
      </w:r>
      <w:r w:rsidR="00605CDC">
        <w:rPr>
          <w:lang w:val="en-US"/>
        </w:rPr>
        <w:t>1 May 1997</w:t>
      </w:r>
      <w:r w:rsidR="003D483C">
        <w:rPr>
          <w:lang w:val="en-US"/>
        </w:rPr>
        <w:t>, and t</w:t>
      </w:r>
      <w:r w:rsidRPr="00AA7D2F">
        <w:rPr>
          <w:lang w:val="en-US"/>
        </w:rPr>
        <w:t xml:space="preserve">he </w:t>
      </w:r>
      <w:r w:rsidR="00876DDA">
        <w:rPr>
          <w:lang w:val="en-US"/>
        </w:rPr>
        <w:t xml:space="preserve">Second </w:t>
      </w:r>
      <w:r w:rsidRPr="00AA7D2F">
        <w:rPr>
          <w:lang w:val="en-US"/>
        </w:rPr>
        <w:t xml:space="preserve">Optional Protocol </w:t>
      </w:r>
      <w:r w:rsidR="00605CDC">
        <w:rPr>
          <w:lang w:val="en-US"/>
        </w:rPr>
        <w:t>aiming at the abolition of the death penalty, on 11 January 2000</w:t>
      </w:r>
      <w:r w:rsidR="008C5382">
        <w:rPr>
          <w:lang w:val="en-US"/>
        </w:rPr>
        <w:t>;</w:t>
      </w:r>
    </w:p>
    <w:p w:rsidR="008564C3" w:rsidRPr="00AA7D2F" w:rsidRDefault="00605CDC" w:rsidP="00605CDC">
      <w:pPr>
        <w:pStyle w:val="SingleTxtG"/>
        <w:ind w:left="2268" w:hanging="567"/>
        <w:rPr>
          <w:lang w:val="en-US"/>
        </w:rPr>
      </w:pPr>
      <w:r>
        <w:rPr>
          <w:lang w:val="en-US"/>
        </w:rPr>
        <w:t>(</w:t>
      </w:r>
      <w:r w:rsidR="003D483C">
        <w:rPr>
          <w:lang w:val="en-US"/>
        </w:rPr>
        <w:t>c</w:t>
      </w:r>
      <w:r>
        <w:rPr>
          <w:lang w:val="en-US"/>
        </w:rPr>
        <w:t>)</w:t>
      </w:r>
      <w:r>
        <w:rPr>
          <w:lang w:val="en-US"/>
        </w:rPr>
        <w:tab/>
        <w:t>The Convention on the Rights of the Child, on 29 April 2005.</w:t>
      </w:r>
    </w:p>
    <w:p w:rsidR="008564C3" w:rsidRPr="00AA7D2F" w:rsidRDefault="008564C3" w:rsidP="000F70EB">
      <w:pPr>
        <w:pStyle w:val="H23G"/>
        <w:jc w:val="both"/>
        <w:rPr>
          <w:lang w:val="en-US"/>
        </w:rPr>
      </w:pPr>
      <w:r w:rsidRPr="00AA7D2F">
        <w:rPr>
          <w:lang w:val="en-US"/>
        </w:rPr>
        <w:tab/>
        <w:t>C.</w:t>
      </w:r>
      <w:r w:rsidRPr="00AA7D2F">
        <w:rPr>
          <w:lang w:val="en-US"/>
        </w:rPr>
        <w:tab/>
        <w:t>Principal matters of concern and recommendations</w:t>
      </w:r>
    </w:p>
    <w:p w:rsidR="008564C3" w:rsidRDefault="00951938" w:rsidP="00A32784">
      <w:pPr>
        <w:pStyle w:val="SingleTxtG"/>
        <w:rPr>
          <w:lang w:val="en-US"/>
        </w:rPr>
      </w:pPr>
      <w:r w:rsidRPr="00AA7D2F">
        <w:rPr>
          <w:lang w:val="en-US"/>
        </w:rPr>
        <w:t>5.</w:t>
      </w:r>
      <w:r w:rsidRPr="00AA7D2F">
        <w:rPr>
          <w:lang w:val="en-US"/>
        </w:rPr>
        <w:tab/>
      </w:r>
      <w:r w:rsidR="007141F0">
        <w:rPr>
          <w:lang w:val="en-US"/>
        </w:rPr>
        <w:t>While welcoming</w:t>
      </w:r>
      <w:r w:rsidR="00A32784">
        <w:rPr>
          <w:lang w:val="en-US"/>
        </w:rPr>
        <w:t xml:space="preserve"> the accession </w:t>
      </w:r>
      <w:r w:rsidR="0054093A">
        <w:rPr>
          <w:lang w:val="en-US"/>
        </w:rPr>
        <w:t xml:space="preserve">by the State party to the Optional Protocol to the International Covenant on Civil and Political Rights and the State party’s commitment to </w:t>
      </w:r>
      <w:r w:rsidR="00197972">
        <w:rPr>
          <w:lang w:val="en-US"/>
        </w:rPr>
        <w:t xml:space="preserve">implement </w:t>
      </w:r>
      <w:r w:rsidR="0054093A">
        <w:rPr>
          <w:lang w:val="en-US"/>
        </w:rPr>
        <w:t xml:space="preserve">the Committee’s Views adopted under its individual complaints procedure, the Committee is concerned at the lack of a mechanism in the State party to implement the Committee’s Views </w:t>
      </w:r>
      <w:r w:rsidR="003D483C">
        <w:rPr>
          <w:lang w:val="en-US"/>
        </w:rPr>
        <w:t>as well as at the present non-satisfactory degree of implementation</w:t>
      </w:r>
      <w:r w:rsidR="005B0B8D">
        <w:rPr>
          <w:lang w:val="en-US"/>
        </w:rPr>
        <w:t xml:space="preserve"> of the Views of the Committee concerning complaints related to the State party</w:t>
      </w:r>
      <w:r w:rsidR="003D483C">
        <w:rPr>
          <w:lang w:val="en-US"/>
        </w:rPr>
        <w:t xml:space="preserve"> </w:t>
      </w:r>
      <w:r w:rsidR="0054093A">
        <w:rPr>
          <w:lang w:val="en-US"/>
        </w:rPr>
        <w:t>(art. 2)</w:t>
      </w:r>
      <w:r w:rsidR="00F865ED">
        <w:rPr>
          <w:lang w:val="en-US"/>
        </w:rPr>
        <w:t>.</w:t>
      </w:r>
    </w:p>
    <w:p w:rsidR="000422BE" w:rsidRPr="000422BE" w:rsidRDefault="00864895" w:rsidP="00A32784">
      <w:pPr>
        <w:pStyle w:val="SingleTxtG"/>
        <w:rPr>
          <w:b/>
          <w:lang w:val="en-US"/>
        </w:rPr>
      </w:pPr>
      <w:r>
        <w:rPr>
          <w:b/>
          <w:lang w:val="en-US"/>
        </w:rPr>
        <w:tab/>
      </w:r>
      <w:r w:rsidR="000422BE">
        <w:rPr>
          <w:b/>
          <w:lang w:val="en-US"/>
        </w:rPr>
        <w:t xml:space="preserve">The Committee urges the State party to </w:t>
      </w:r>
      <w:r w:rsidR="003D483C">
        <w:rPr>
          <w:b/>
          <w:lang w:val="en-US"/>
        </w:rPr>
        <w:t xml:space="preserve">implement the </w:t>
      </w:r>
      <w:r w:rsidR="00197972">
        <w:rPr>
          <w:b/>
          <w:lang w:val="en-US"/>
        </w:rPr>
        <w:t>Views of the Committee</w:t>
      </w:r>
      <w:r w:rsidR="003D483C">
        <w:rPr>
          <w:b/>
          <w:lang w:val="en-US"/>
        </w:rPr>
        <w:t xml:space="preserve"> and </w:t>
      </w:r>
      <w:r w:rsidR="00197972">
        <w:rPr>
          <w:b/>
          <w:lang w:val="en-US"/>
        </w:rPr>
        <w:t xml:space="preserve">to </w:t>
      </w:r>
      <w:r w:rsidR="000422BE">
        <w:rPr>
          <w:b/>
          <w:lang w:val="en-US"/>
        </w:rPr>
        <w:t>establish a mechanism with a mandate to implement the Views adopted by the Committee</w:t>
      </w:r>
      <w:r w:rsidR="005B0B8D">
        <w:rPr>
          <w:b/>
          <w:lang w:val="en-US"/>
        </w:rPr>
        <w:t xml:space="preserve"> concerning the State party</w:t>
      </w:r>
      <w:r w:rsidR="000422BE">
        <w:rPr>
          <w:b/>
          <w:lang w:val="en-US"/>
        </w:rPr>
        <w:t>. In this regar</w:t>
      </w:r>
      <w:r w:rsidR="007141F0">
        <w:rPr>
          <w:b/>
          <w:lang w:val="en-US"/>
        </w:rPr>
        <w:t>d, the State part</w:t>
      </w:r>
      <w:r w:rsidR="0041499F">
        <w:rPr>
          <w:b/>
          <w:lang w:val="en-US"/>
        </w:rPr>
        <w:t>y</w:t>
      </w:r>
      <w:r w:rsidR="007141F0">
        <w:rPr>
          <w:b/>
          <w:lang w:val="en-US"/>
        </w:rPr>
        <w:t xml:space="preserve"> should include in</w:t>
      </w:r>
      <w:r w:rsidR="000422BE">
        <w:rPr>
          <w:b/>
          <w:lang w:val="en-US"/>
        </w:rPr>
        <w:t xml:space="preserve"> its second periodic report information on the measures that the State party has taken to implement the Committee’s Views in all communications in which the Committee </w:t>
      </w:r>
      <w:r w:rsidR="003D483C">
        <w:rPr>
          <w:b/>
          <w:lang w:val="en-US"/>
        </w:rPr>
        <w:t xml:space="preserve">has </w:t>
      </w:r>
      <w:r w:rsidR="000422BE">
        <w:rPr>
          <w:b/>
          <w:lang w:val="en-US"/>
        </w:rPr>
        <w:t>found a violation of the rights under the Covenant.</w:t>
      </w:r>
      <w:r w:rsidR="00AA2F87">
        <w:rPr>
          <w:b/>
          <w:lang w:val="en-US"/>
        </w:rPr>
        <w:t xml:space="preserve"> </w:t>
      </w:r>
    </w:p>
    <w:p w:rsidR="000905D0" w:rsidRPr="000905D0" w:rsidRDefault="003D3F4A" w:rsidP="000905D0">
      <w:pPr>
        <w:pStyle w:val="SingleTxtG"/>
        <w:rPr>
          <w:lang w:val="en-US"/>
        </w:rPr>
      </w:pPr>
      <w:r>
        <w:rPr>
          <w:lang w:val="en-US"/>
        </w:rPr>
        <w:t>6</w:t>
      </w:r>
      <w:r w:rsidR="000905D0">
        <w:rPr>
          <w:lang w:val="en-US"/>
        </w:rPr>
        <w:t>.</w:t>
      </w:r>
      <w:r w:rsidR="000905D0">
        <w:rPr>
          <w:lang w:val="en-US"/>
        </w:rPr>
        <w:tab/>
      </w:r>
      <w:r w:rsidR="000905D0" w:rsidRPr="000905D0">
        <w:rPr>
          <w:lang w:val="en-US"/>
        </w:rPr>
        <w:t xml:space="preserve">While </w:t>
      </w:r>
      <w:r w:rsidR="003D483C">
        <w:rPr>
          <w:lang w:val="en-US"/>
        </w:rPr>
        <w:t>noting</w:t>
      </w:r>
      <w:r w:rsidR="000905D0" w:rsidRPr="000905D0">
        <w:rPr>
          <w:lang w:val="en-US"/>
        </w:rPr>
        <w:t xml:space="preserve"> that international human rights treaties ratified and promulgated</w:t>
      </w:r>
      <w:r w:rsidR="0041499F">
        <w:rPr>
          <w:lang w:val="en-US"/>
        </w:rPr>
        <w:t xml:space="preserve"> by the State party</w:t>
      </w:r>
      <w:r w:rsidR="000905D0" w:rsidRPr="000905D0">
        <w:rPr>
          <w:lang w:val="en-US"/>
        </w:rPr>
        <w:t xml:space="preserve"> take precedence over national laws, the Committee is concerned that none of the provisions of the Covenant have been invoked before national courts since </w:t>
      </w:r>
      <w:r w:rsidR="007141F0">
        <w:rPr>
          <w:lang w:val="en-US"/>
        </w:rPr>
        <w:t>the accession</w:t>
      </w:r>
      <w:r w:rsidR="000905D0" w:rsidRPr="000905D0">
        <w:rPr>
          <w:lang w:val="en-US"/>
        </w:rPr>
        <w:t xml:space="preserve"> of the State party</w:t>
      </w:r>
      <w:r w:rsidR="007141F0">
        <w:rPr>
          <w:lang w:val="en-US"/>
        </w:rPr>
        <w:t xml:space="preserve"> to the Covenant</w:t>
      </w:r>
      <w:r w:rsidR="000905D0" w:rsidRPr="000905D0">
        <w:rPr>
          <w:lang w:val="en-US"/>
        </w:rPr>
        <w:t xml:space="preserve"> (art. 2).</w:t>
      </w:r>
    </w:p>
    <w:p w:rsidR="000905D0" w:rsidRPr="000905D0" w:rsidRDefault="000905D0" w:rsidP="000905D0">
      <w:pPr>
        <w:pStyle w:val="SingleTxtG"/>
        <w:rPr>
          <w:b/>
          <w:lang w:val="en-US"/>
        </w:rPr>
      </w:pPr>
      <w:r w:rsidRPr="000905D0">
        <w:rPr>
          <w:b/>
          <w:lang w:val="en-US"/>
        </w:rPr>
        <w:t xml:space="preserve">The State party should take appropriate measures to raise awareness of the Covenant among judges, lawyers and prosecutors to ensure that its provisions are taken into account before </w:t>
      </w:r>
      <w:r w:rsidR="005B0B8D">
        <w:rPr>
          <w:b/>
          <w:lang w:val="en-US"/>
        </w:rPr>
        <w:t xml:space="preserve">and by </w:t>
      </w:r>
      <w:r w:rsidRPr="000905D0">
        <w:rPr>
          <w:b/>
          <w:lang w:val="en-US"/>
        </w:rPr>
        <w:t>national courts.</w:t>
      </w:r>
      <w:r w:rsidR="00AA2F87">
        <w:rPr>
          <w:b/>
          <w:lang w:val="en-US"/>
        </w:rPr>
        <w:t xml:space="preserve"> </w:t>
      </w:r>
    </w:p>
    <w:p w:rsidR="00883006" w:rsidRPr="00883006" w:rsidRDefault="003D3F4A" w:rsidP="00883006">
      <w:pPr>
        <w:pStyle w:val="SingleTxtG"/>
        <w:rPr>
          <w:lang w:val="en-US"/>
        </w:rPr>
      </w:pPr>
      <w:r>
        <w:rPr>
          <w:lang w:val="en-US"/>
        </w:rPr>
        <w:t>7</w:t>
      </w:r>
      <w:r w:rsidR="008564C3" w:rsidRPr="00AA7D2F">
        <w:rPr>
          <w:lang w:val="en-US"/>
        </w:rPr>
        <w:t>.</w:t>
      </w:r>
      <w:r w:rsidR="008564C3" w:rsidRPr="00AA7D2F">
        <w:rPr>
          <w:lang w:val="en-US"/>
        </w:rPr>
        <w:tab/>
      </w:r>
      <w:r w:rsidR="00883006">
        <w:rPr>
          <w:lang w:val="en-US"/>
        </w:rPr>
        <w:t>While noting the establishment of the National Institute for Democracy and Human Rights (NIDHR)</w:t>
      </w:r>
      <w:r w:rsidR="0041499F">
        <w:rPr>
          <w:lang w:val="en-US"/>
        </w:rPr>
        <w:t xml:space="preserve">, </w:t>
      </w:r>
      <w:r w:rsidR="00883006">
        <w:rPr>
          <w:lang w:val="en-US"/>
        </w:rPr>
        <w:t>which has the mandate to act as a national human rights institution, the</w:t>
      </w:r>
      <w:r w:rsidR="00883006" w:rsidRPr="00883006">
        <w:rPr>
          <w:lang w:val="en-US"/>
        </w:rPr>
        <w:t xml:space="preserve"> Committee is concerned that </w:t>
      </w:r>
      <w:r w:rsidR="00883006">
        <w:rPr>
          <w:lang w:val="en-US"/>
        </w:rPr>
        <w:t>the NIDHR</w:t>
      </w:r>
      <w:r w:rsidR="003D483C">
        <w:rPr>
          <w:lang w:val="en-US"/>
        </w:rPr>
        <w:t>, as a part of the President’s office,</w:t>
      </w:r>
      <w:r w:rsidR="00883006">
        <w:rPr>
          <w:lang w:val="en-US"/>
        </w:rPr>
        <w:t xml:space="preserve"> is not independent </w:t>
      </w:r>
      <w:r w:rsidR="00883006" w:rsidRPr="00883006">
        <w:rPr>
          <w:lang w:val="en-US"/>
        </w:rPr>
        <w:t>(art. 2).</w:t>
      </w:r>
    </w:p>
    <w:p w:rsidR="00883006" w:rsidRDefault="00864895" w:rsidP="00C25732">
      <w:pPr>
        <w:pStyle w:val="SingleTxtG"/>
        <w:rPr>
          <w:b/>
          <w:lang w:val="en-US"/>
        </w:rPr>
      </w:pPr>
      <w:r>
        <w:rPr>
          <w:b/>
          <w:lang w:val="en-US"/>
        </w:rPr>
        <w:tab/>
      </w:r>
      <w:r w:rsidR="00883006" w:rsidRPr="00883006">
        <w:rPr>
          <w:b/>
          <w:lang w:val="en-US"/>
        </w:rPr>
        <w:t xml:space="preserve">The State party should </w:t>
      </w:r>
      <w:r w:rsidR="005B0B8D">
        <w:rPr>
          <w:b/>
          <w:lang w:val="en-US"/>
        </w:rPr>
        <w:t xml:space="preserve">establish a national human rights institution </w:t>
      </w:r>
      <w:r w:rsidR="005B0B8D" w:rsidRPr="000328B2">
        <w:rPr>
          <w:b/>
          <w:lang w:val="en-US"/>
        </w:rPr>
        <w:t>that can implement</w:t>
      </w:r>
      <w:r w:rsidR="00883006" w:rsidRPr="000328B2">
        <w:rPr>
          <w:b/>
          <w:lang w:val="en-US"/>
        </w:rPr>
        <w:t xml:space="preserve"> its mandate independently </w:t>
      </w:r>
      <w:r w:rsidR="00CB3033" w:rsidRPr="000328B2">
        <w:rPr>
          <w:b/>
          <w:lang w:val="en-US"/>
        </w:rPr>
        <w:t xml:space="preserve">and in </w:t>
      </w:r>
      <w:r w:rsidR="00C55ACD" w:rsidRPr="000328B2">
        <w:rPr>
          <w:b/>
          <w:lang w:val="en-US"/>
        </w:rPr>
        <w:t xml:space="preserve">full </w:t>
      </w:r>
      <w:r w:rsidR="00CB3033" w:rsidRPr="000328B2">
        <w:rPr>
          <w:b/>
          <w:lang w:val="en-US"/>
        </w:rPr>
        <w:t>accordance</w:t>
      </w:r>
      <w:r w:rsidR="00883006" w:rsidRPr="000328B2">
        <w:rPr>
          <w:b/>
          <w:lang w:val="en-US"/>
        </w:rPr>
        <w:t xml:space="preserve"> with the </w:t>
      </w:r>
      <w:r w:rsidR="008C5382" w:rsidRPr="000328B2">
        <w:rPr>
          <w:b/>
          <w:lang w:val="en-US"/>
        </w:rPr>
        <w:t xml:space="preserve">principles relating to the status of national institutions for the promotion and protection of human rights </w:t>
      </w:r>
      <w:r w:rsidR="008C5382">
        <w:rPr>
          <w:b/>
          <w:lang w:val="en-US"/>
        </w:rPr>
        <w:t>(</w:t>
      </w:r>
      <w:smartTag w:uri="urn:schemas-microsoft-com:office:smarttags" w:element="City">
        <w:smartTag w:uri="urn:schemas-microsoft-com:office:smarttags" w:element="place">
          <w:r w:rsidR="00883006" w:rsidRPr="00883006">
            <w:rPr>
              <w:b/>
              <w:lang w:val="en-US"/>
            </w:rPr>
            <w:t>Paris</w:t>
          </w:r>
        </w:smartTag>
      </w:smartTag>
      <w:r w:rsidR="00883006" w:rsidRPr="00883006">
        <w:rPr>
          <w:b/>
          <w:lang w:val="en-US"/>
        </w:rPr>
        <w:t xml:space="preserve"> Principles</w:t>
      </w:r>
      <w:r w:rsidR="008C5382">
        <w:rPr>
          <w:b/>
          <w:lang w:val="en-US"/>
        </w:rPr>
        <w:t>)</w:t>
      </w:r>
      <w:r w:rsidR="00883006" w:rsidRPr="00883006">
        <w:rPr>
          <w:b/>
          <w:lang w:val="en-US"/>
        </w:rPr>
        <w:t>.</w:t>
      </w:r>
    </w:p>
    <w:p w:rsidR="008564C3" w:rsidRPr="00AA7D2F" w:rsidRDefault="0012593B" w:rsidP="000F70EB">
      <w:pPr>
        <w:pStyle w:val="SingleTxtG"/>
        <w:rPr>
          <w:lang w:val="en-US"/>
        </w:rPr>
      </w:pPr>
      <w:r>
        <w:rPr>
          <w:lang w:val="en-US"/>
        </w:rPr>
        <w:t>8</w:t>
      </w:r>
      <w:r w:rsidR="00883006">
        <w:rPr>
          <w:lang w:val="en-US"/>
        </w:rPr>
        <w:t>.</w:t>
      </w:r>
      <w:r w:rsidR="00883006">
        <w:rPr>
          <w:lang w:val="en-US"/>
        </w:rPr>
        <w:tab/>
      </w:r>
      <w:r w:rsidR="009C7778" w:rsidRPr="00AA7D2F">
        <w:rPr>
          <w:lang w:val="en-US"/>
        </w:rPr>
        <w:t>T</w:t>
      </w:r>
      <w:r w:rsidR="008564C3" w:rsidRPr="00AA7D2F">
        <w:rPr>
          <w:lang w:val="en-US"/>
        </w:rPr>
        <w:t>he Committee expresses concern that women remain underrepresented in both the public and private sectors, particularl</w:t>
      </w:r>
      <w:r w:rsidR="000905D0">
        <w:rPr>
          <w:lang w:val="en-US"/>
        </w:rPr>
        <w:t xml:space="preserve">y in decision-making positions. </w:t>
      </w:r>
      <w:r w:rsidR="008564C3" w:rsidRPr="00AA7D2F">
        <w:rPr>
          <w:lang w:val="en-US"/>
        </w:rPr>
        <w:t xml:space="preserve">The Committee is also concerned at the prevalent negative stereotypes </w:t>
      </w:r>
      <w:r w:rsidR="009F4E0A" w:rsidRPr="00AA7D2F">
        <w:rPr>
          <w:lang w:val="en-US"/>
        </w:rPr>
        <w:t xml:space="preserve">regarding </w:t>
      </w:r>
      <w:r w:rsidR="008564C3" w:rsidRPr="00AA7D2F">
        <w:rPr>
          <w:lang w:val="en-US"/>
        </w:rPr>
        <w:t>the roles of women in society</w:t>
      </w:r>
      <w:r w:rsidR="00F10027">
        <w:rPr>
          <w:lang w:val="en-US"/>
        </w:rPr>
        <w:t>,</w:t>
      </w:r>
      <w:r w:rsidR="000905D0">
        <w:rPr>
          <w:lang w:val="en-US"/>
        </w:rPr>
        <w:t xml:space="preserve"> which is partly perpetuated by the Labour Code</w:t>
      </w:r>
      <w:r w:rsidR="00C5720E">
        <w:rPr>
          <w:lang w:val="en-US"/>
        </w:rPr>
        <w:t xml:space="preserve"> that is overly protective of the traditional roles of women in society</w:t>
      </w:r>
      <w:r w:rsidR="008564C3" w:rsidRPr="00AA7D2F">
        <w:rPr>
          <w:lang w:val="en-US"/>
        </w:rPr>
        <w:t xml:space="preserve"> (arts. 2, 3 and 26).</w:t>
      </w:r>
    </w:p>
    <w:p w:rsidR="008564C3" w:rsidRPr="00AA7D2F" w:rsidRDefault="00864895" w:rsidP="00AA7D2F">
      <w:pPr>
        <w:pStyle w:val="SingleTxtG"/>
        <w:rPr>
          <w:b/>
          <w:lang w:val="en-US"/>
        </w:rPr>
      </w:pPr>
      <w:r>
        <w:rPr>
          <w:b/>
          <w:lang w:val="en-US"/>
        </w:rPr>
        <w:tab/>
      </w:r>
      <w:r w:rsidR="008564C3" w:rsidRPr="00AA7D2F">
        <w:rPr>
          <w:b/>
          <w:lang w:val="en-US"/>
        </w:rPr>
        <w:t>The State party should strengthen its efforts to increase the participation of women in the public and private sectors and</w:t>
      </w:r>
      <w:r w:rsidR="00F10027">
        <w:rPr>
          <w:b/>
          <w:lang w:val="en-US"/>
        </w:rPr>
        <w:t>,</w:t>
      </w:r>
      <w:r w:rsidR="008564C3" w:rsidRPr="00AA7D2F">
        <w:rPr>
          <w:b/>
          <w:lang w:val="en-US"/>
        </w:rPr>
        <w:t xml:space="preserve"> if necessary, through appropriate temporary special measures</w:t>
      </w:r>
      <w:r w:rsidR="008564C3" w:rsidRPr="00AA7D2F" w:rsidDel="003645E6">
        <w:rPr>
          <w:b/>
          <w:lang w:val="en-US"/>
        </w:rPr>
        <w:t xml:space="preserve"> </w:t>
      </w:r>
      <w:r w:rsidR="008564C3" w:rsidRPr="00AA7D2F">
        <w:rPr>
          <w:b/>
          <w:lang w:val="en-US"/>
        </w:rPr>
        <w:t xml:space="preserve">to give effect to the provisions of the Covenant. The State party should </w:t>
      </w:r>
      <w:r w:rsidR="000905D0">
        <w:rPr>
          <w:b/>
          <w:lang w:val="en-US"/>
        </w:rPr>
        <w:t xml:space="preserve">revise </w:t>
      </w:r>
      <w:r w:rsidR="00A45BAD">
        <w:rPr>
          <w:b/>
          <w:lang w:val="en-US"/>
        </w:rPr>
        <w:t>its</w:t>
      </w:r>
      <w:r w:rsidR="000905D0">
        <w:rPr>
          <w:b/>
          <w:lang w:val="en-US"/>
        </w:rPr>
        <w:t xml:space="preserve"> Labour Code to</w:t>
      </w:r>
      <w:r w:rsidR="008564C3" w:rsidRPr="00AA7D2F">
        <w:rPr>
          <w:b/>
          <w:lang w:val="en-US"/>
        </w:rPr>
        <w:t xml:space="preserve"> eliminate the prevailing neg</w:t>
      </w:r>
      <w:r w:rsidR="000905D0">
        <w:rPr>
          <w:b/>
          <w:lang w:val="en-US"/>
        </w:rPr>
        <w:t>ative stereotypes against women</w:t>
      </w:r>
      <w:r w:rsidR="00A45BAD">
        <w:rPr>
          <w:b/>
          <w:lang w:val="en-US"/>
        </w:rPr>
        <w:t xml:space="preserve"> that restrict the</w:t>
      </w:r>
      <w:r w:rsidR="009E74D5">
        <w:rPr>
          <w:b/>
          <w:lang w:val="en-US"/>
        </w:rPr>
        <w:t>ir</w:t>
      </w:r>
      <w:r w:rsidR="00A45BAD">
        <w:rPr>
          <w:b/>
          <w:lang w:val="en-US"/>
        </w:rPr>
        <w:t xml:space="preserve"> participation in public life</w:t>
      </w:r>
      <w:r w:rsidR="00F10027">
        <w:rPr>
          <w:b/>
          <w:lang w:val="en-US"/>
        </w:rPr>
        <w:t>,</w:t>
      </w:r>
      <w:r w:rsidR="00A45BAD">
        <w:rPr>
          <w:b/>
          <w:lang w:val="en-US"/>
        </w:rPr>
        <w:t xml:space="preserve"> particularly in the employment sector</w:t>
      </w:r>
      <w:r w:rsidR="000905D0">
        <w:rPr>
          <w:b/>
          <w:lang w:val="en-US"/>
        </w:rPr>
        <w:t xml:space="preserve">. </w:t>
      </w:r>
    </w:p>
    <w:p w:rsidR="008564C3" w:rsidRPr="00AA7D2F" w:rsidRDefault="0012593B" w:rsidP="005B6C18">
      <w:pPr>
        <w:pStyle w:val="SingleTxtG"/>
        <w:ind w:left="1138" w:right="1138"/>
        <w:rPr>
          <w:lang w:val="en-US"/>
        </w:rPr>
      </w:pPr>
      <w:r>
        <w:rPr>
          <w:lang w:val="en-US"/>
        </w:rPr>
        <w:t>9</w:t>
      </w:r>
      <w:r w:rsidR="00CB50B2">
        <w:rPr>
          <w:lang w:val="en-US"/>
        </w:rPr>
        <w:t>.</w:t>
      </w:r>
      <w:r w:rsidR="00141DB6">
        <w:rPr>
          <w:lang w:val="en-US"/>
        </w:rPr>
        <w:tab/>
      </w:r>
      <w:r w:rsidR="00F80948">
        <w:rPr>
          <w:lang w:val="en-US"/>
        </w:rPr>
        <w:t xml:space="preserve">The </w:t>
      </w:r>
      <w:r w:rsidR="00F80948" w:rsidRPr="00AA7D2F">
        <w:rPr>
          <w:lang w:val="en-US"/>
        </w:rPr>
        <w:t xml:space="preserve">Committee </w:t>
      </w:r>
      <w:r w:rsidR="00F80948">
        <w:rPr>
          <w:lang w:val="en-US"/>
        </w:rPr>
        <w:t>is</w:t>
      </w:r>
      <w:r w:rsidR="00F80948" w:rsidRPr="00AA7D2F">
        <w:rPr>
          <w:lang w:val="en-US"/>
        </w:rPr>
        <w:t xml:space="preserve"> concern</w:t>
      </w:r>
      <w:r w:rsidR="00F80948">
        <w:rPr>
          <w:lang w:val="en-US"/>
        </w:rPr>
        <w:t>ed</w:t>
      </w:r>
      <w:r w:rsidR="00F80948" w:rsidRPr="00AA7D2F">
        <w:rPr>
          <w:lang w:val="en-US"/>
        </w:rPr>
        <w:t xml:space="preserve"> at increased reports of torture </w:t>
      </w:r>
      <w:r w:rsidR="00F80948">
        <w:rPr>
          <w:lang w:val="en-US"/>
        </w:rPr>
        <w:t xml:space="preserve">and ill-treatment in places of detention where it is often used to extract confessions from accused persons, and the lack of an independent body to investigate abuse by law enforcement officers and to conduct regular visits to prisons and other places of detention. </w:t>
      </w:r>
      <w:r w:rsidR="000905D0">
        <w:rPr>
          <w:lang w:val="en-US"/>
        </w:rPr>
        <w:t xml:space="preserve">The Committee </w:t>
      </w:r>
      <w:r w:rsidR="00F80948">
        <w:rPr>
          <w:lang w:val="en-US"/>
        </w:rPr>
        <w:t xml:space="preserve">also </w:t>
      </w:r>
      <w:r w:rsidR="00C609A9">
        <w:rPr>
          <w:lang w:val="en-US"/>
        </w:rPr>
        <w:t xml:space="preserve">expresses concern at the lack of a definition of torture in the State party’s legislation. </w:t>
      </w:r>
      <w:r w:rsidR="00F10027">
        <w:rPr>
          <w:lang w:val="en-US"/>
        </w:rPr>
        <w:t xml:space="preserve">The Committee is </w:t>
      </w:r>
      <w:r w:rsidR="00F80948">
        <w:rPr>
          <w:lang w:val="en-US"/>
        </w:rPr>
        <w:t xml:space="preserve">further </w:t>
      </w:r>
      <w:r w:rsidR="00F10027">
        <w:rPr>
          <w:lang w:val="en-US"/>
        </w:rPr>
        <w:t>concerned that access to places of detention is denied to international human rights monitors</w:t>
      </w:r>
      <w:r w:rsidR="00A245AF">
        <w:rPr>
          <w:lang w:val="en-US"/>
        </w:rPr>
        <w:t xml:space="preserve"> (art. </w:t>
      </w:r>
      <w:r w:rsidR="008564C3" w:rsidRPr="00AA7D2F">
        <w:rPr>
          <w:lang w:val="en-US"/>
        </w:rPr>
        <w:t>7).</w:t>
      </w:r>
    </w:p>
    <w:p w:rsidR="00F10027" w:rsidRDefault="00F10027" w:rsidP="00AA7D2F">
      <w:pPr>
        <w:pStyle w:val="SingleTxtG"/>
        <w:rPr>
          <w:b/>
          <w:lang w:val="en-US"/>
        </w:rPr>
      </w:pPr>
      <w:r>
        <w:rPr>
          <w:b/>
          <w:lang w:val="en-US"/>
        </w:rPr>
        <w:t>The Committee recommends that</w:t>
      </w:r>
      <w:r w:rsidR="008C5382">
        <w:rPr>
          <w:b/>
          <w:lang w:val="en-US"/>
        </w:rPr>
        <w:t xml:space="preserve"> the State party</w:t>
      </w:r>
      <w:r>
        <w:rPr>
          <w:b/>
          <w:lang w:val="en-US"/>
        </w:rPr>
        <w:t>:</w:t>
      </w:r>
    </w:p>
    <w:p w:rsidR="00F10027" w:rsidRDefault="00F10027" w:rsidP="00AA2F87">
      <w:pPr>
        <w:pStyle w:val="SingleTxtG"/>
        <w:ind w:firstLine="567"/>
        <w:rPr>
          <w:b/>
          <w:lang w:val="en-US"/>
        </w:rPr>
      </w:pPr>
      <w:r>
        <w:rPr>
          <w:b/>
          <w:lang w:val="en-US"/>
        </w:rPr>
        <w:t>(</w:t>
      </w:r>
      <w:r w:rsidR="008C5382">
        <w:rPr>
          <w:b/>
          <w:lang w:val="en-US"/>
        </w:rPr>
        <w:t>a</w:t>
      </w:r>
      <w:r>
        <w:rPr>
          <w:b/>
          <w:lang w:val="en-US"/>
        </w:rPr>
        <w:t>)</w:t>
      </w:r>
      <w:r w:rsidR="00AA2F87">
        <w:rPr>
          <w:b/>
          <w:lang w:val="en-US"/>
        </w:rPr>
        <w:tab/>
      </w:r>
      <w:r w:rsidR="008C5382">
        <w:rPr>
          <w:b/>
          <w:lang w:val="en-US"/>
        </w:rPr>
        <w:t>R</w:t>
      </w:r>
      <w:r w:rsidR="00A245AF">
        <w:rPr>
          <w:b/>
          <w:lang w:val="en-US"/>
        </w:rPr>
        <w:t xml:space="preserve">evise its Criminal Code in order to incorporate a definition of torture that is in line with the </w:t>
      </w:r>
      <w:r w:rsidR="00E66FA6">
        <w:rPr>
          <w:b/>
          <w:lang w:val="en-US"/>
        </w:rPr>
        <w:t>definition</w:t>
      </w:r>
      <w:r w:rsidR="00A245AF">
        <w:rPr>
          <w:b/>
          <w:lang w:val="en-US"/>
        </w:rPr>
        <w:t xml:space="preserve"> under the </w:t>
      </w:r>
      <w:r w:rsidR="00A245AF" w:rsidRPr="00A245AF">
        <w:rPr>
          <w:b/>
          <w:lang w:val="en-US"/>
        </w:rPr>
        <w:t>Convention against Torture and Other Cruel, Inhuman or Degrading Treatment or Punishment</w:t>
      </w:r>
      <w:r>
        <w:rPr>
          <w:b/>
          <w:lang w:val="en-US"/>
        </w:rPr>
        <w:t>;</w:t>
      </w:r>
      <w:r w:rsidR="00A245AF">
        <w:rPr>
          <w:b/>
          <w:lang w:val="en-US"/>
        </w:rPr>
        <w:t xml:space="preserve"> </w:t>
      </w:r>
    </w:p>
    <w:p w:rsidR="00197972" w:rsidRDefault="00F10027" w:rsidP="00AA2F87">
      <w:pPr>
        <w:pStyle w:val="SingleTxtG"/>
        <w:ind w:firstLine="567"/>
        <w:rPr>
          <w:b/>
          <w:lang w:val="en-US"/>
        </w:rPr>
      </w:pPr>
      <w:r>
        <w:rPr>
          <w:b/>
          <w:lang w:val="en-US"/>
        </w:rPr>
        <w:t>(</w:t>
      </w:r>
      <w:r w:rsidR="008C5382">
        <w:rPr>
          <w:b/>
          <w:lang w:val="en-US"/>
        </w:rPr>
        <w:t>b</w:t>
      </w:r>
      <w:r>
        <w:rPr>
          <w:b/>
          <w:lang w:val="en-US"/>
        </w:rPr>
        <w:t>)</w:t>
      </w:r>
      <w:r w:rsidR="00AA2F87">
        <w:rPr>
          <w:b/>
          <w:lang w:val="en-US"/>
        </w:rPr>
        <w:tab/>
      </w:r>
      <w:r w:rsidR="008C5382">
        <w:rPr>
          <w:b/>
          <w:lang w:val="en-US"/>
        </w:rPr>
        <w:t>T</w:t>
      </w:r>
      <w:r w:rsidR="008564C3" w:rsidRPr="00AA7D2F">
        <w:rPr>
          <w:b/>
          <w:lang w:val="en-US"/>
        </w:rPr>
        <w:t xml:space="preserve">ake appropriate measures to put an end to torture by, inter alia, </w:t>
      </w:r>
      <w:r w:rsidR="008C38FC">
        <w:rPr>
          <w:b/>
          <w:lang w:val="en-US"/>
        </w:rPr>
        <w:t>establishing an independent oversight body</w:t>
      </w:r>
      <w:r w:rsidR="008564C3" w:rsidRPr="00AA7D2F">
        <w:rPr>
          <w:b/>
          <w:lang w:val="en-US"/>
        </w:rPr>
        <w:t xml:space="preserve"> to carry out independent</w:t>
      </w:r>
      <w:r w:rsidR="008C38FC">
        <w:rPr>
          <w:b/>
          <w:lang w:val="en-US"/>
        </w:rPr>
        <w:t xml:space="preserve"> inspections and</w:t>
      </w:r>
      <w:r w:rsidR="008564C3" w:rsidRPr="00AA7D2F">
        <w:rPr>
          <w:b/>
          <w:lang w:val="en-US"/>
        </w:rPr>
        <w:t xml:space="preserve"> investigations </w:t>
      </w:r>
      <w:r w:rsidR="00197972">
        <w:rPr>
          <w:b/>
          <w:lang w:val="en-US"/>
        </w:rPr>
        <w:t xml:space="preserve">in </w:t>
      </w:r>
      <w:r w:rsidR="00FE4666">
        <w:rPr>
          <w:b/>
          <w:lang w:val="en-US"/>
        </w:rPr>
        <w:t xml:space="preserve">all </w:t>
      </w:r>
      <w:r w:rsidR="00197972">
        <w:rPr>
          <w:b/>
          <w:lang w:val="en-US"/>
        </w:rPr>
        <w:t xml:space="preserve">places of detention </w:t>
      </w:r>
      <w:r w:rsidR="008564C3" w:rsidRPr="00AA7D2F">
        <w:rPr>
          <w:b/>
          <w:lang w:val="en-US"/>
        </w:rPr>
        <w:t>of alleged misconduct by law enforcement officials</w:t>
      </w:r>
      <w:r w:rsidR="00965ABA">
        <w:rPr>
          <w:b/>
          <w:lang w:val="en-US"/>
        </w:rPr>
        <w:t>;</w:t>
      </w:r>
      <w:r w:rsidR="008564C3" w:rsidRPr="00AA7D2F">
        <w:rPr>
          <w:b/>
          <w:lang w:val="en-US"/>
        </w:rPr>
        <w:t xml:space="preserve"> </w:t>
      </w:r>
    </w:p>
    <w:p w:rsidR="008564C3" w:rsidRDefault="00197972" w:rsidP="00AA2F87">
      <w:pPr>
        <w:pStyle w:val="SingleTxtG"/>
        <w:ind w:firstLine="567"/>
        <w:rPr>
          <w:b/>
          <w:lang w:val="en-US"/>
        </w:rPr>
      </w:pPr>
      <w:r>
        <w:rPr>
          <w:b/>
          <w:lang w:val="en-US"/>
        </w:rPr>
        <w:t>(</w:t>
      </w:r>
      <w:r w:rsidR="008C5382">
        <w:rPr>
          <w:b/>
          <w:lang w:val="en-US"/>
        </w:rPr>
        <w:t>c</w:t>
      </w:r>
      <w:r>
        <w:rPr>
          <w:b/>
          <w:lang w:val="en-US"/>
        </w:rPr>
        <w:t>)</w:t>
      </w:r>
      <w:r w:rsidR="00AA2F87">
        <w:rPr>
          <w:b/>
          <w:lang w:val="en-US"/>
        </w:rPr>
        <w:tab/>
      </w:r>
      <w:r w:rsidR="008C5382">
        <w:rPr>
          <w:b/>
          <w:lang w:val="en-US"/>
        </w:rPr>
        <w:t>E</w:t>
      </w:r>
      <w:r w:rsidR="008564C3" w:rsidRPr="00AA7D2F">
        <w:rPr>
          <w:b/>
          <w:lang w:val="en-US"/>
        </w:rPr>
        <w:t xml:space="preserve">nsure that law enforcement personnel continue to receive training on the prevention of torture and ill-treatment by integrating </w:t>
      </w:r>
      <w:r w:rsidR="005B6C18" w:rsidRPr="00AA7D2F">
        <w:rPr>
          <w:b/>
          <w:lang w:val="en-US"/>
        </w:rPr>
        <w:t xml:space="preserve">the </w:t>
      </w:r>
      <w:r w:rsidR="008C5382">
        <w:rPr>
          <w:b/>
          <w:lang w:val="en-US"/>
        </w:rPr>
        <w:t xml:space="preserve">1999 </w:t>
      </w:r>
      <w:r w:rsidR="008564C3" w:rsidRPr="00AA7D2F">
        <w:rPr>
          <w:b/>
          <w:lang w:val="en-US"/>
        </w:rPr>
        <w:t>Manual on the Effective Investigation and Documentation of Torture and Other Cruel, Inhuman or Degrading Treatment or Punishment</w:t>
      </w:r>
      <w:r w:rsidR="005B6C18" w:rsidRPr="00AA7D2F">
        <w:rPr>
          <w:b/>
          <w:lang w:val="en-US"/>
        </w:rPr>
        <w:t xml:space="preserve"> (the Istanbul Protocol) </w:t>
      </w:r>
      <w:r w:rsidR="008564C3" w:rsidRPr="00AA7D2F">
        <w:rPr>
          <w:b/>
          <w:lang w:val="en-US"/>
        </w:rPr>
        <w:t>in all training programmes for law enforcement officials</w:t>
      </w:r>
      <w:r>
        <w:rPr>
          <w:b/>
          <w:lang w:val="en-US"/>
        </w:rPr>
        <w:t>. The State party should also</w:t>
      </w:r>
      <w:r w:rsidR="00AA2F87">
        <w:rPr>
          <w:b/>
          <w:lang w:val="en-US"/>
        </w:rPr>
        <w:t xml:space="preserve"> </w:t>
      </w:r>
      <w:r w:rsidR="008564C3" w:rsidRPr="00AA7D2F">
        <w:rPr>
          <w:b/>
          <w:lang w:val="en-US"/>
        </w:rPr>
        <w:t>ensure that allegations of torture and ill-treatment are effectively investigated</w:t>
      </w:r>
      <w:r w:rsidR="005B6C18" w:rsidRPr="00AA7D2F">
        <w:rPr>
          <w:b/>
          <w:lang w:val="en-US"/>
        </w:rPr>
        <w:t>,</w:t>
      </w:r>
      <w:r w:rsidR="008564C3" w:rsidRPr="00AA7D2F">
        <w:rPr>
          <w:b/>
          <w:lang w:val="en-US"/>
        </w:rPr>
        <w:t xml:space="preserve"> </w:t>
      </w:r>
      <w:r w:rsidR="00B54C9D">
        <w:rPr>
          <w:b/>
          <w:lang w:val="en-US"/>
        </w:rPr>
        <w:t xml:space="preserve">and </w:t>
      </w:r>
      <w:r w:rsidR="008564C3" w:rsidRPr="00AA7D2F">
        <w:rPr>
          <w:b/>
          <w:lang w:val="en-US"/>
        </w:rPr>
        <w:t>that perpetrators are prosecuted and punished with appropriate sanctions, and that the victims receive adequate reparation</w:t>
      </w:r>
      <w:r w:rsidR="00B54C9D">
        <w:rPr>
          <w:b/>
          <w:lang w:val="en-US"/>
        </w:rPr>
        <w:t>; and</w:t>
      </w:r>
    </w:p>
    <w:p w:rsidR="00B54C9D" w:rsidRPr="00AA7D2F" w:rsidRDefault="00B54C9D" w:rsidP="00AA2F87">
      <w:pPr>
        <w:pStyle w:val="SingleTxtG"/>
        <w:ind w:firstLine="567"/>
        <w:rPr>
          <w:b/>
          <w:lang w:val="en-US"/>
        </w:rPr>
      </w:pPr>
      <w:r>
        <w:rPr>
          <w:b/>
          <w:lang w:val="en-US"/>
        </w:rPr>
        <w:t>(</w:t>
      </w:r>
      <w:r w:rsidR="008C5382">
        <w:rPr>
          <w:b/>
          <w:lang w:val="en-US"/>
        </w:rPr>
        <w:t>d</w:t>
      </w:r>
      <w:r>
        <w:rPr>
          <w:b/>
          <w:lang w:val="en-US"/>
        </w:rPr>
        <w:t>)</w:t>
      </w:r>
      <w:r w:rsidR="00AA2F87">
        <w:rPr>
          <w:b/>
          <w:lang w:val="en-US"/>
        </w:rPr>
        <w:tab/>
      </w:r>
      <w:r w:rsidR="008C5382">
        <w:rPr>
          <w:b/>
          <w:lang w:val="en-US"/>
        </w:rPr>
        <w:t>A</w:t>
      </w:r>
      <w:r>
        <w:rPr>
          <w:b/>
          <w:lang w:val="en-US"/>
        </w:rPr>
        <w:t xml:space="preserve">llow visits by </w:t>
      </w:r>
      <w:r w:rsidR="0086673E">
        <w:rPr>
          <w:b/>
          <w:lang w:val="en-US"/>
        </w:rPr>
        <w:t xml:space="preserve">recognized </w:t>
      </w:r>
      <w:r>
        <w:rPr>
          <w:b/>
          <w:lang w:val="en-US"/>
        </w:rPr>
        <w:t xml:space="preserve">international </w:t>
      </w:r>
      <w:r w:rsidR="005B0B8D">
        <w:rPr>
          <w:b/>
          <w:lang w:val="en-US"/>
        </w:rPr>
        <w:t xml:space="preserve">humanitarian </w:t>
      </w:r>
      <w:r w:rsidR="00CB50B2">
        <w:rPr>
          <w:b/>
          <w:lang w:val="en-US"/>
        </w:rPr>
        <w:t>organizations</w:t>
      </w:r>
      <w:r>
        <w:rPr>
          <w:b/>
          <w:lang w:val="en-US"/>
        </w:rPr>
        <w:t xml:space="preserve"> to all places of detention.</w:t>
      </w:r>
    </w:p>
    <w:p w:rsidR="00141DB6" w:rsidRDefault="008564C3" w:rsidP="000F70EB">
      <w:pPr>
        <w:pStyle w:val="SingleTxtG"/>
        <w:rPr>
          <w:lang w:val="en-US"/>
        </w:rPr>
      </w:pPr>
      <w:r w:rsidRPr="00AA7D2F">
        <w:rPr>
          <w:lang w:val="en-US"/>
        </w:rPr>
        <w:t>1</w:t>
      </w:r>
      <w:r w:rsidR="0012593B">
        <w:rPr>
          <w:lang w:val="en-US"/>
        </w:rPr>
        <w:t>0</w:t>
      </w:r>
      <w:r w:rsidRPr="00AA7D2F">
        <w:rPr>
          <w:lang w:val="en-US"/>
        </w:rPr>
        <w:t>.</w:t>
      </w:r>
      <w:r w:rsidRPr="00AA7D2F">
        <w:rPr>
          <w:lang w:val="en-US"/>
        </w:rPr>
        <w:tab/>
      </w:r>
      <w:r w:rsidR="00141DB6">
        <w:rPr>
          <w:lang w:val="en-US"/>
        </w:rPr>
        <w:t xml:space="preserve">The Committee </w:t>
      </w:r>
      <w:r w:rsidR="00B54C9D">
        <w:rPr>
          <w:lang w:val="en-US"/>
        </w:rPr>
        <w:t xml:space="preserve">is concerned at </w:t>
      </w:r>
      <w:r w:rsidR="00141DB6">
        <w:rPr>
          <w:lang w:val="en-US"/>
        </w:rPr>
        <w:t>reports that a number of individuals who were convicted in December 2002 and January 2003 for their alleged involvement in the assassination attempt on the former President in November 2002 continue to be held incommunicado (art</w:t>
      </w:r>
      <w:r w:rsidR="00B90DB4">
        <w:rPr>
          <w:lang w:val="en-US"/>
        </w:rPr>
        <w:t>s</w:t>
      </w:r>
      <w:r w:rsidR="00141DB6">
        <w:rPr>
          <w:lang w:val="en-US"/>
        </w:rPr>
        <w:t>.</w:t>
      </w:r>
      <w:r w:rsidR="00B90DB4">
        <w:rPr>
          <w:lang w:val="en-US"/>
        </w:rPr>
        <w:t xml:space="preserve">7, </w:t>
      </w:r>
      <w:r w:rsidR="00141DB6">
        <w:rPr>
          <w:lang w:val="en-US"/>
        </w:rPr>
        <w:t>9 and 10)</w:t>
      </w:r>
      <w:r w:rsidR="00F865ED">
        <w:rPr>
          <w:lang w:val="en-US"/>
        </w:rPr>
        <w:t>.</w:t>
      </w:r>
    </w:p>
    <w:p w:rsidR="00141DB6" w:rsidRPr="00141DB6" w:rsidRDefault="00864895" w:rsidP="000F70EB">
      <w:pPr>
        <w:pStyle w:val="SingleTxtG"/>
        <w:rPr>
          <w:b/>
          <w:lang w:val="en-US"/>
        </w:rPr>
      </w:pPr>
      <w:r>
        <w:rPr>
          <w:b/>
          <w:lang w:val="en-US"/>
        </w:rPr>
        <w:tab/>
      </w:r>
      <w:r w:rsidR="00141DB6" w:rsidRPr="00141DB6">
        <w:rPr>
          <w:b/>
          <w:lang w:val="en-US"/>
        </w:rPr>
        <w:t xml:space="preserve">The </w:t>
      </w:r>
      <w:r w:rsidR="00E66FA6">
        <w:rPr>
          <w:b/>
          <w:lang w:val="en-US"/>
        </w:rPr>
        <w:t>State party should take concrete measures to</w:t>
      </w:r>
      <w:r w:rsidR="00141DB6" w:rsidRPr="00141DB6">
        <w:rPr>
          <w:b/>
          <w:lang w:val="en-US"/>
        </w:rPr>
        <w:t xml:space="preserve"> put an end to the practice of incommunicado detention</w:t>
      </w:r>
      <w:r w:rsidR="00466D16">
        <w:rPr>
          <w:b/>
          <w:lang w:val="en-US"/>
        </w:rPr>
        <w:t xml:space="preserve"> and imprisonment</w:t>
      </w:r>
      <w:r w:rsidR="00141DB6">
        <w:rPr>
          <w:b/>
          <w:lang w:val="en-US"/>
        </w:rPr>
        <w:t xml:space="preserve">. The Committee urges the State party </w:t>
      </w:r>
      <w:r w:rsidR="00E66FA6">
        <w:rPr>
          <w:b/>
          <w:lang w:val="en-US"/>
        </w:rPr>
        <w:t xml:space="preserve">to immediately </w:t>
      </w:r>
      <w:r w:rsidR="00466D16">
        <w:rPr>
          <w:b/>
          <w:lang w:val="en-US"/>
        </w:rPr>
        <w:t>make known the whereabouts of those convicted for allegedly attempting to assassinate the former President and allow visits from members of their families and access to their lawyers.</w:t>
      </w:r>
    </w:p>
    <w:p w:rsidR="008564C3" w:rsidRPr="00AA7D2F" w:rsidRDefault="00141DB6" w:rsidP="000F70EB">
      <w:pPr>
        <w:pStyle w:val="SingleTxtG"/>
        <w:rPr>
          <w:lang w:val="en-US"/>
        </w:rPr>
      </w:pPr>
      <w:r>
        <w:rPr>
          <w:lang w:val="en-US"/>
        </w:rPr>
        <w:t>1</w:t>
      </w:r>
      <w:r w:rsidR="0012593B">
        <w:rPr>
          <w:lang w:val="en-US"/>
        </w:rPr>
        <w:t>1</w:t>
      </w:r>
      <w:r>
        <w:rPr>
          <w:lang w:val="en-US"/>
        </w:rPr>
        <w:t>.</w:t>
      </w:r>
      <w:r>
        <w:rPr>
          <w:lang w:val="en-US"/>
        </w:rPr>
        <w:tab/>
      </w:r>
      <w:r w:rsidR="00D007AB">
        <w:rPr>
          <w:lang w:val="en-US"/>
        </w:rPr>
        <w:t xml:space="preserve">While noting the adoption </w:t>
      </w:r>
      <w:r w:rsidR="006A5F10">
        <w:rPr>
          <w:lang w:val="en-US"/>
        </w:rPr>
        <w:t xml:space="preserve">in December 2007 </w:t>
      </w:r>
      <w:r w:rsidR="00D007AB">
        <w:rPr>
          <w:lang w:val="en-US"/>
        </w:rPr>
        <w:t xml:space="preserve">of a law to combat trafficking in persons, the </w:t>
      </w:r>
      <w:r w:rsidR="008564C3" w:rsidRPr="00AA7D2F">
        <w:rPr>
          <w:lang w:val="en-US"/>
        </w:rPr>
        <w:t xml:space="preserve">Committee </w:t>
      </w:r>
      <w:r w:rsidR="00D007AB">
        <w:rPr>
          <w:lang w:val="en-US"/>
        </w:rPr>
        <w:t xml:space="preserve">regrets reports of </w:t>
      </w:r>
      <w:r w:rsidR="006A5F10">
        <w:rPr>
          <w:lang w:val="en-US"/>
        </w:rPr>
        <w:t xml:space="preserve">cases of </w:t>
      </w:r>
      <w:r w:rsidR="00D007AB">
        <w:rPr>
          <w:lang w:val="en-US"/>
        </w:rPr>
        <w:t>human trafficking in the State party</w:t>
      </w:r>
      <w:r w:rsidR="006744C3">
        <w:rPr>
          <w:lang w:val="en-US"/>
        </w:rPr>
        <w:t xml:space="preserve"> </w:t>
      </w:r>
      <w:r w:rsidR="008564C3" w:rsidRPr="00AA7D2F">
        <w:rPr>
          <w:lang w:val="en-US"/>
        </w:rPr>
        <w:t>(art. 8).</w:t>
      </w:r>
    </w:p>
    <w:p w:rsidR="008564C3" w:rsidRPr="00AA7D2F" w:rsidRDefault="00864895" w:rsidP="00AA7D2F">
      <w:pPr>
        <w:pStyle w:val="SingleTxtG"/>
        <w:rPr>
          <w:b/>
          <w:lang w:val="en-US"/>
        </w:rPr>
      </w:pPr>
      <w:r>
        <w:rPr>
          <w:b/>
          <w:lang w:val="en-US"/>
        </w:rPr>
        <w:tab/>
      </w:r>
      <w:r w:rsidR="008564C3" w:rsidRPr="00AA7D2F">
        <w:rPr>
          <w:b/>
          <w:lang w:val="en-US"/>
        </w:rPr>
        <w:t>The State party should strengthen its efforts to combat trafficking in human beings by ensuring that efforts are directed towards establishing and dealing with the root causes of trafficking. In this regard, the State party should ensure that all cases of human trafficking are effectively investigated</w:t>
      </w:r>
      <w:r w:rsidR="00D20F94" w:rsidRPr="00AA7D2F">
        <w:rPr>
          <w:b/>
          <w:lang w:val="en-US"/>
        </w:rPr>
        <w:t>,</w:t>
      </w:r>
      <w:r w:rsidR="008564C3" w:rsidRPr="00AA7D2F">
        <w:rPr>
          <w:b/>
          <w:lang w:val="en-US"/>
        </w:rPr>
        <w:t xml:space="preserve"> that perpetrators are prosecuted and punished with appropriate sanctions, and that the victims</w:t>
      </w:r>
      <w:r w:rsidR="00D811D9">
        <w:rPr>
          <w:b/>
          <w:lang w:val="en-US"/>
        </w:rPr>
        <w:t>’</w:t>
      </w:r>
      <w:r w:rsidR="008564C3" w:rsidRPr="00AA7D2F">
        <w:rPr>
          <w:b/>
          <w:lang w:val="en-US"/>
        </w:rPr>
        <w:t xml:space="preserve"> </w:t>
      </w:r>
      <w:r w:rsidR="00243401">
        <w:rPr>
          <w:b/>
          <w:lang w:val="en-US"/>
        </w:rPr>
        <w:t>human rights are fully respected and vindicated</w:t>
      </w:r>
      <w:r w:rsidR="008564C3" w:rsidRPr="00AA7D2F">
        <w:rPr>
          <w:b/>
          <w:lang w:val="en-US"/>
        </w:rPr>
        <w:t>.</w:t>
      </w:r>
    </w:p>
    <w:p w:rsidR="008564C3" w:rsidRPr="00AA7D2F" w:rsidRDefault="008564C3" w:rsidP="000F70EB">
      <w:pPr>
        <w:pStyle w:val="SingleTxtG"/>
        <w:rPr>
          <w:lang w:val="en-US"/>
        </w:rPr>
      </w:pPr>
      <w:r w:rsidRPr="00AA7D2F">
        <w:rPr>
          <w:lang w:val="en-US"/>
        </w:rPr>
        <w:t>1</w:t>
      </w:r>
      <w:r w:rsidR="0012593B">
        <w:rPr>
          <w:lang w:val="en-US"/>
        </w:rPr>
        <w:t>2</w:t>
      </w:r>
      <w:r w:rsidRPr="00AA7D2F">
        <w:rPr>
          <w:lang w:val="en-US"/>
        </w:rPr>
        <w:t>.</w:t>
      </w:r>
      <w:r w:rsidRPr="00AA7D2F">
        <w:rPr>
          <w:lang w:val="en-US"/>
        </w:rPr>
        <w:tab/>
        <w:t xml:space="preserve">The Committee </w:t>
      </w:r>
      <w:r w:rsidR="000B5B3F">
        <w:rPr>
          <w:lang w:val="en-US"/>
        </w:rPr>
        <w:t xml:space="preserve">is concerned at </w:t>
      </w:r>
      <w:r w:rsidR="00A17106">
        <w:rPr>
          <w:lang w:val="en-US"/>
        </w:rPr>
        <w:t xml:space="preserve">reports that the State party restricts the exit and entry into the State party by certain individuals who </w:t>
      </w:r>
      <w:r w:rsidR="00071365">
        <w:rPr>
          <w:lang w:val="en-US"/>
        </w:rPr>
        <w:t>are on the</w:t>
      </w:r>
      <w:r w:rsidR="00A17106">
        <w:rPr>
          <w:lang w:val="en-US"/>
        </w:rPr>
        <w:t xml:space="preserve"> list of individuals under State surveillance. The Committee also regrets</w:t>
      </w:r>
      <w:r w:rsidRPr="00AA7D2F">
        <w:rPr>
          <w:lang w:val="en-US"/>
        </w:rPr>
        <w:t xml:space="preserve"> that the State party maintains the </w:t>
      </w:r>
      <w:r w:rsidR="00A17106">
        <w:rPr>
          <w:lang w:val="en-US"/>
        </w:rPr>
        <w:t xml:space="preserve">system of mandatory registration at the place of residence which is a prerequisite for residence, employment, acquisition of real estate and access to health services. The Committee is concerned that this system </w:t>
      </w:r>
      <w:r w:rsidRPr="00AA7D2F">
        <w:rPr>
          <w:lang w:val="en-US"/>
        </w:rPr>
        <w:t>may interfere with the enjoyment of rights under article 12 of the Covenant (art. 12).</w:t>
      </w:r>
    </w:p>
    <w:p w:rsidR="008564C3" w:rsidRDefault="00864895" w:rsidP="007D5877">
      <w:pPr>
        <w:pStyle w:val="SingleTxtG"/>
        <w:rPr>
          <w:b/>
          <w:lang w:val="en-US"/>
        </w:rPr>
      </w:pPr>
      <w:r>
        <w:rPr>
          <w:b/>
          <w:lang w:val="en-US"/>
        </w:rPr>
        <w:tab/>
      </w:r>
      <w:r w:rsidR="008564C3" w:rsidRPr="00AA7D2F">
        <w:rPr>
          <w:b/>
          <w:lang w:val="en-US"/>
        </w:rPr>
        <w:t xml:space="preserve">The State party should </w:t>
      </w:r>
      <w:r w:rsidR="00030722">
        <w:rPr>
          <w:b/>
          <w:lang w:val="en-US"/>
        </w:rPr>
        <w:t xml:space="preserve">ensure that restrictions on the movement of individuals </w:t>
      </w:r>
      <w:r w:rsidR="00414E24">
        <w:rPr>
          <w:b/>
          <w:lang w:val="en-US"/>
        </w:rPr>
        <w:t>within the territory of the State party</w:t>
      </w:r>
      <w:r w:rsidR="00FA34E8">
        <w:rPr>
          <w:b/>
          <w:lang w:val="en-US"/>
        </w:rPr>
        <w:t>, as well as the right to exit,</w:t>
      </w:r>
      <w:r w:rsidR="00414E24">
        <w:rPr>
          <w:b/>
          <w:lang w:val="en-US"/>
        </w:rPr>
        <w:t xml:space="preserve"> </w:t>
      </w:r>
      <w:r w:rsidR="00030722">
        <w:rPr>
          <w:b/>
          <w:lang w:val="en-US"/>
        </w:rPr>
        <w:t>and any surveillance programme</w:t>
      </w:r>
      <w:r w:rsidR="00414E24">
        <w:rPr>
          <w:b/>
          <w:lang w:val="en-US"/>
        </w:rPr>
        <w:t xml:space="preserve">s for purposes of </w:t>
      </w:r>
      <w:r w:rsidR="007D5877">
        <w:rPr>
          <w:b/>
          <w:lang w:val="en-US"/>
        </w:rPr>
        <w:t xml:space="preserve">State </w:t>
      </w:r>
      <w:r w:rsidR="00414E24">
        <w:rPr>
          <w:b/>
          <w:lang w:val="en-US"/>
        </w:rPr>
        <w:t xml:space="preserve">security </w:t>
      </w:r>
      <w:r w:rsidR="00030722">
        <w:rPr>
          <w:b/>
          <w:lang w:val="en-US"/>
        </w:rPr>
        <w:t>are compatible with the strict requirements of article 12. In this regard, the State party should</w:t>
      </w:r>
      <w:r w:rsidR="008564C3" w:rsidRPr="00AA7D2F">
        <w:rPr>
          <w:b/>
          <w:lang w:val="en-US"/>
        </w:rPr>
        <w:t xml:space="preserve"> ensure that the requirement that individuals register their place of residence is in full compliance with the provisions of article 12 of the Covenant.</w:t>
      </w:r>
    </w:p>
    <w:p w:rsidR="008564C3" w:rsidRPr="00AA7D2F" w:rsidRDefault="008A5298" w:rsidP="007D5877">
      <w:pPr>
        <w:pStyle w:val="SingleTxtG"/>
        <w:rPr>
          <w:lang w:val="en-US"/>
        </w:rPr>
      </w:pPr>
      <w:r>
        <w:rPr>
          <w:lang w:val="en-US"/>
        </w:rPr>
        <w:t>1</w:t>
      </w:r>
      <w:r w:rsidR="00FE4666">
        <w:rPr>
          <w:lang w:val="en-US"/>
        </w:rPr>
        <w:t>3</w:t>
      </w:r>
      <w:r w:rsidR="008564C3" w:rsidRPr="00AA7D2F">
        <w:rPr>
          <w:lang w:val="en-US"/>
        </w:rPr>
        <w:t>.</w:t>
      </w:r>
      <w:r w:rsidR="008564C3" w:rsidRPr="00AA7D2F">
        <w:rPr>
          <w:lang w:val="en-US"/>
        </w:rPr>
        <w:tab/>
        <w:t xml:space="preserve">The Committee expresses concern at reports that corruption is widespread in the judiciary. The Committee also expresses concern at the lack of an independent judiciary in the State party </w:t>
      </w:r>
      <w:r w:rsidR="004579D9">
        <w:rPr>
          <w:lang w:val="en-US"/>
        </w:rPr>
        <w:t xml:space="preserve">particularly with regard to tenure of office since </w:t>
      </w:r>
      <w:r w:rsidR="00F9553C">
        <w:rPr>
          <w:lang w:val="en-US"/>
        </w:rPr>
        <w:t>judges are appointed by the President for renewable term</w:t>
      </w:r>
      <w:r w:rsidR="009E74D5">
        <w:rPr>
          <w:lang w:val="en-US"/>
        </w:rPr>
        <w:t>s</w:t>
      </w:r>
      <w:r w:rsidR="00F9553C">
        <w:rPr>
          <w:lang w:val="en-US"/>
        </w:rPr>
        <w:t xml:space="preserve"> of </w:t>
      </w:r>
      <w:r w:rsidR="007D5877">
        <w:rPr>
          <w:lang w:val="en-US"/>
        </w:rPr>
        <w:t xml:space="preserve">five </w:t>
      </w:r>
      <w:r w:rsidR="00F9553C">
        <w:rPr>
          <w:lang w:val="en-US"/>
        </w:rPr>
        <w:t>years</w:t>
      </w:r>
      <w:r w:rsidR="00157B56" w:rsidRPr="00AA7D2F">
        <w:rPr>
          <w:lang w:val="en-US"/>
        </w:rPr>
        <w:t xml:space="preserve">. </w:t>
      </w:r>
      <w:r w:rsidR="00B579DC">
        <w:rPr>
          <w:lang w:val="en-US"/>
        </w:rPr>
        <w:t xml:space="preserve">The Committee is concerned that this lack of security of tenure has the effect of exerting undue influence by the executive on the administration of justice in the State party </w:t>
      </w:r>
      <w:r w:rsidR="008564C3" w:rsidRPr="00AA7D2F">
        <w:rPr>
          <w:lang w:val="en-US"/>
        </w:rPr>
        <w:t>(art</w:t>
      </w:r>
      <w:r w:rsidR="00157B56" w:rsidRPr="00AA7D2F">
        <w:rPr>
          <w:lang w:val="en-US"/>
        </w:rPr>
        <w:t>s</w:t>
      </w:r>
      <w:r w:rsidR="008564C3" w:rsidRPr="00AA7D2F">
        <w:rPr>
          <w:lang w:val="en-US"/>
        </w:rPr>
        <w:t>. 2 and 14)</w:t>
      </w:r>
      <w:r w:rsidR="00F865ED">
        <w:rPr>
          <w:lang w:val="en-US"/>
        </w:rPr>
        <w:t>.</w:t>
      </w:r>
    </w:p>
    <w:p w:rsidR="008564C3" w:rsidRPr="00AA7D2F" w:rsidRDefault="00864895" w:rsidP="00AA7D2F">
      <w:pPr>
        <w:pStyle w:val="SingleTxtG"/>
        <w:rPr>
          <w:b/>
          <w:lang w:val="en-US"/>
        </w:rPr>
      </w:pPr>
      <w:r>
        <w:rPr>
          <w:b/>
          <w:lang w:val="en-US"/>
        </w:rPr>
        <w:tab/>
      </w:r>
      <w:r w:rsidR="00F040AF">
        <w:rPr>
          <w:b/>
          <w:lang w:val="en-US"/>
        </w:rPr>
        <w:t xml:space="preserve">The State party should </w:t>
      </w:r>
      <w:r w:rsidR="00F040AF" w:rsidRPr="00AA7D2F">
        <w:rPr>
          <w:b/>
          <w:lang w:val="en-US"/>
        </w:rPr>
        <w:t>take measures to eradicate corruption</w:t>
      </w:r>
      <w:r w:rsidR="009E74D5">
        <w:rPr>
          <w:b/>
          <w:lang w:val="en-US"/>
        </w:rPr>
        <w:t xml:space="preserve"> by</w:t>
      </w:r>
      <w:r w:rsidR="00F040AF">
        <w:rPr>
          <w:b/>
          <w:lang w:val="en-US"/>
        </w:rPr>
        <w:t xml:space="preserve"> investigating, prosecuting</w:t>
      </w:r>
      <w:r w:rsidR="00F040AF" w:rsidRPr="00AA7D2F">
        <w:rPr>
          <w:b/>
          <w:lang w:val="en-US"/>
        </w:rPr>
        <w:t xml:space="preserve"> and punish</w:t>
      </w:r>
      <w:r w:rsidR="00F040AF">
        <w:rPr>
          <w:b/>
          <w:lang w:val="en-US"/>
        </w:rPr>
        <w:t>ing alleged</w:t>
      </w:r>
      <w:r w:rsidR="00F040AF" w:rsidRPr="00AA7D2F">
        <w:rPr>
          <w:b/>
          <w:lang w:val="en-US"/>
        </w:rPr>
        <w:t xml:space="preserve"> perpetrators, including judges who may be complicit.</w:t>
      </w:r>
      <w:r w:rsidR="00AA2F87">
        <w:rPr>
          <w:b/>
          <w:lang w:val="en-US"/>
        </w:rPr>
        <w:t xml:space="preserve"> </w:t>
      </w:r>
      <w:r w:rsidR="008564C3" w:rsidRPr="00AA7D2F">
        <w:rPr>
          <w:b/>
          <w:lang w:val="en-US"/>
        </w:rPr>
        <w:t xml:space="preserve">The State party should take </w:t>
      </w:r>
      <w:r w:rsidR="00F9553C">
        <w:rPr>
          <w:b/>
          <w:lang w:val="en-US"/>
        </w:rPr>
        <w:t xml:space="preserve">all necessary measures </w:t>
      </w:r>
      <w:r w:rsidR="008564C3" w:rsidRPr="00AA7D2F">
        <w:rPr>
          <w:b/>
          <w:lang w:val="en-US"/>
        </w:rPr>
        <w:t>to safeguard</w:t>
      </w:r>
      <w:r w:rsidR="00F9553C">
        <w:rPr>
          <w:b/>
          <w:lang w:val="en-US"/>
        </w:rPr>
        <w:t xml:space="preserve"> t</w:t>
      </w:r>
      <w:r w:rsidR="00F9553C" w:rsidRPr="00AA7D2F">
        <w:rPr>
          <w:b/>
          <w:lang w:val="en-US"/>
        </w:rPr>
        <w:t>he</w:t>
      </w:r>
      <w:r w:rsidR="008564C3" w:rsidRPr="00AA7D2F">
        <w:rPr>
          <w:b/>
          <w:lang w:val="en-US"/>
        </w:rPr>
        <w:t xml:space="preserve"> independence of the judiciary </w:t>
      </w:r>
      <w:r w:rsidR="00F9553C">
        <w:rPr>
          <w:b/>
          <w:lang w:val="en-US"/>
        </w:rPr>
        <w:t>by guaranteeing their</w:t>
      </w:r>
      <w:r w:rsidR="008564C3" w:rsidRPr="00AA7D2F">
        <w:rPr>
          <w:b/>
          <w:lang w:val="en-US"/>
        </w:rPr>
        <w:t xml:space="preserve"> tenure of</w:t>
      </w:r>
      <w:r w:rsidR="00F9553C">
        <w:rPr>
          <w:b/>
          <w:lang w:val="en-US"/>
        </w:rPr>
        <w:t xml:space="preserve"> office</w:t>
      </w:r>
      <w:r w:rsidR="0038551A">
        <w:rPr>
          <w:b/>
          <w:lang w:val="en-US"/>
        </w:rPr>
        <w:t>, and sever the administrative and other ties with the Executive Office</w:t>
      </w:r>
      <w:r w:rsidR="008564C3" w:rsidRPr="00AA7D2F">
        <w:rPr>
          <w:b/>
          <w:lang w:val="en-US"/>
        </w:rPr>
        <w:t xml:space="preserve">. </w:t>
      </w:r>
    </w:p>
    <w:p w:rsidR="008564C3" w:rsidRPr="00AA7D2F" w:rsidRDefault="008A5298" w:rsidP="000F70EB">
      <w:pPr>
        <w:pStyle w:val="SingleTxtG"/>
        <w:rPr>
          <w:lang w:val="en-US"/>
        </w:rPr>
      </w:pPr>
      <w:r>
        <w:rPr>
          <w:lang w:val="en-US"/>
        </w:rPr>
        <w:t>1</w:t>
      </w:r>
      <w:r w:rsidR="00FE4666">
        <w:rPr>
          <w:lang w:val="en-US"/>
        </w:rPr>
        <w:t>4</w:t>
      </w:r>
      <w:r w:rsidR="008564C3" w:rsidRPr="00AA7D2F">
        <w:rPr>
          <w:lang w:val="en-US"/>
        </w:rPr>
        <w:t>.</w:t>
      </w:r>
      <w:r w:rsidR="008564C3" w:rsidRPr="00AA7D2F">
        <w:rPr>
          <w:lang w:val="en-US"/>
        </w:rPr>
        <w:tab/>
      </w:r>
      <w:r w:rsidR="00A669ED">
        <w:rPr>
          <w:lang w:val="en-US"/>
        </w:rPr>
        <w:t xml:space="preserve">While </w:t>
      </w:r>
      <w:r w:rsidR="00166EA0">
        <w:rPr>
          <w:lang w:val="en-US"/>
        </w:rPr>
        <w:t>appreciating</w:t>
      </w:r>
      <w:r w:rsidR="00A669ED">
        <w:rPr>
          <w:lang w:val="en-US"/>
        </w:rPr>
        <w:t xml:space="preserve"> that under article 125 of the Code of Criminal Procedure evidence obtained through coercion has no legal force, t</w:t>
      </w:r>
      <w:r w:rsidR="008564C3" w:rsidRPr="00AA7D2F">
        <w:rPr>
          <w:lang w:val="en-US"/>
        </w:rPr>
        <w:t xml:space="preserve">he Committee is concerned at increased reports that judges </w:t>
      </w:r>
      <w:r w:rsidR="00BF3493">
        <w:rPr>
          <w:lang w:val="en-US"/>
        </w:rPr>
        <w:t xml:space="preserve">continue to </w:t>
      </w:r>
      <w:r w:rsidR="008564C3" w:rsidRPr="00AA7D2F">
        <w:rPr>
          <w:lang w:val="en-US"/>
        </w:rPr>
        <w:t xml:space="preserve">admit </w:t>
      </w:r>
      <w:r w:rsidR="004D6AE0" w:rsidRPr="00AA7D2F">
        <w:rPr>
          <w:lang w:val="en-US"/>
        </w:rPr>
        <w:t>as</w:t>
      </w:r>
      <w:r w:rsidR="008564C3" w:rsidRPr="00AA7D2F">
        <w:rPr>
          <w:lang w:val="en-US"/>
        </w:rPr>
        <w:t xml:space="preserve"> evidence testimony obtained under torture (art</w:t>
      </w:r>
      <w:r w:rsidR="004D6AE0" w:rsidRPr="00AA7D2F">
        <w:rPr>
          <w:lang w:val="en-US"/>
        </w:rPr>
        <w:t>s</w:t>
      </w:r>
      <w:r w:rsidR="008564C3" w:rsidRPr="00AA7D2F">
        <w:rPr>
          <w:lang w:val="en-US"/>
        </w:rPr>
        <w:t>. 2 and 14).</w:t>
      </w:r>
    </w:p>
    <w:p w:rsidR="008564C3" w:rsidRPr="00AA7D2F" w:rsidRDefault="00864895" w:rsidP="00AA7D2F">
      <w:pPr>
        <w:pStyle w:val="SingleTxtG"/>
        <w:rPr>
          <w:b/>
          <w:lang w:val="en-US"/>
        </w:rPr>
      </w:pPr>
      <w:r>
        <w:rPr>
          <w:b/>
          <w:lang w:val="en-US"/>
        </w:rPr>
        <w:tab/>
      </w:r>
      <w:r w:rsidR="008564C3" w:rsidRPr="00AA7D2F">
        <w:rPr>
          <w:b/>
          <w:lang w:val="en-US"/>
        </w:rPr>
        <w:t>The State party should ensure that measures are put in place to guarantee</w:t>
      </w:r>
      <w:r w:rsidR="0038551A">
        <w:rPr>
          <w:b/>
          <w:lang w:val="en-US"/>
        </w:rPr>
        <w:t>, in practice,</w:t>
      </w:r>
      <w:r w:rsidR="008564C3" w:rsidRPr="00AA7D2F">
        <w:rPr>
          <w:b/>
          <w:lang w:val="en-US"/>
        </w:rPr>
        <w:t xml:space="preserve"> the exclusion by the judiciary of </w:t>
      </w:r>
      <w:r w:rsidR="00A669ED">
        <w:rPr>
          <w:b/>
          <w:lang w:val="en-US"/>
        </w:rPr>
        <w:t xml:space="preserve">any </w:t>
      </w:r>
      <w:r w:rsidR="008564C3" w:rsidRPr="00AA7D2F">
        <w:rPr>
          <w:b/>
          <w:lang w:val="en-US"/>
        </w:rPr>
        <w:t xml:space="preserve">evidence obtained under </w:t>
      </w:r>
      <w:r w:rsidR="003859F1">
        <w:rPr>
          <w:b/>
          <w:lang w:val="en-US"/>
        </w:rPr>
        <w:t>any form of coercion and torture</w:t>
      </w:r>
      <w:r w:rsidR="008564C3" w:rsidRPr="00AA7D2F">
        <w:rPr>
          <w:b/>
          <w:lang w:val="en-US"/>
        </w:rPr>
        <w:t>.</w:t>
      </w:r>
    </w:p>
    <w:p w:rsidR="00B53569" w:rsidRDefault="008A5298" w:rsidP="007D5877">
      <w:pPr>
        <w:pStyle w:val="SingleTxtG"/>
        <w:rPr>
          <w:lang w:val="en-US"/>
        </w:rPr>
      </w:pPr>
      <w:r>
        <w:rPr>
          <w:lang w:val="en-US"/>
        </w:rPr>
        <w:t>1</w:t>
      </w:r>
      <w:r w:rsidR="00FE4666">
        <w:rPr>
          <w:lang w:val="en-US"/>
        </w:rPr>
        <w:t>5</w:t>
      </w:r>
      <w:r w:rsidR="008564C3" w:rsidRPr="00AA7D2F">
        <w:rPr>
          <w:lang w:val="en-US"/>
        </w:rPr>
        <w:t>.</w:t>
      </w:r>
      <w:r w:rsidR="008564C3" w:rsidRPr="00AA7D2F">
        <w:rPr>
          <w:lang w:val="en-US"/>
        </w:rPr>
        <w:tab/>
      </w:r>
      <w:r w:rsidR="00B53569">
        <w:rPr>
          <w:lang w:val="en-US"/>
        </w:rPr>
        <w:t>The Committ</w:t>
      </w:r>
      <w:r w:rsidR="001B5A0E">
        <w:rPr>
          <w:lang w:val="en-US"/>
        </w:rPr>
        <w:t xml:space="preserve">ee </w:t>
      </w:r>
      <w:r w:rsidR="00C92D32">
        <w:rPr>
          <w:lang w:val="en-US"/>
        </w:rPr>
        <w:t xml:space="preserve">is concerned </w:t>
      </w:r>
      <w:r w:rsidR="001B5A0E">
        <w:rPr>
          <w:lang w:val="en-US"/>
        </w:rPr>
        <w:t xml:space="preserve">that under the HIV/AIDS Prevention Act of 2001, foreign citizens infected with HIV/AIDS may freely enter the territory of the State party </w:t>
      </w:r>
      <w:r w:rsidR="0078142B">
        <w:rPr>
          <w:lang w:val="en-US"/>
        </w:rPr>
        <w:t xml:space="preserve">but only </w:t>
      </w:r>
      <w:r w:rsidR="001B5A0E">
        <w:rPr>
          <w:lang w:val="en-US"/>
        </w:rPr>
        <w:t xml:space="preserve">for a maximum period of </w:t>
      </w:r>
      <w:r w:rsidR="007D5877">
        <w:rPr>
          <w:lang w:val="en-US"/>
        </w:rPr>
        <w:t xml:space="preserve">three </w:t>
      </w:r>
      <w:r w:rsidR="001B5A0E">
        <w:rPr>
          <w:lang w:val="en-US"/>
        </w:rPr>
        <w:t>months. The Committee is also concerned that upon detection of an infection, foreign nationals are deported (arts. 17 and 26).</w:t>
      </w:r>
    </w:p>
    <w:p w:rsidR="003D3F4A" w:rsidRPr="003D3F4A" w:rsidRDefault="00864895" w:rsidP="00D54B13">
      <w:pPr>
        <w:pStyle w:val="SingleTxtG"/>
        <w:rPr>
          <w:b/>
          <w:lang w:val="en-US"/>
        </w:rPr>
      </w:pPr>
      <w:r>
        <w:rPr>
          <w:b/>
          <w:lang w:val="en-US"/>
        </w:rPr>
        <w:tab/>
      </w:r>
      <w:r w:rsidR="003D3F4A">
        <w:rPr>
          <w:b/>
          <w:lang w:val="en-US"/>
        </w:rPr>
        <w:t>The State party should revise its legislation to ensure that foreign nationals who enter the territory of the State party enjo</w:t>
      </w:r>
      <w:r w:rsidR="003D3F4A" w:rsidRPr="00D537B4">
        <w:rPr>
          <w:b/>
          <w:lang w:val="en-US"/>
        </w:rPr>
        <w:t>y all their rights under the Covenant</w:t>
      </w:r>
      <w:r w:rsidR="00373DD3" w:rsidRPr="00D537B4">
        <w:rPr>
          <w:b/>
          <w:lang w:val="en-US"/>
        </w:rPr>
        <w:t>,</w:t>
      </w:r>
      <w:r w:rsidR="003D3F4A" w:rsidRPr="00D537B4">
        <w:rPr>
          <w:b/>
          <w:lang w:val="en-US"/>
        </w:rPr>
        <w:t xml:space="preserve"> particularly </w:t>
      </w:r>
      <w:r w:rsidR="00CD6047" w:rsidRPr="00D54B13">
        <w:rPr>
          <w:b/>
          <w:lang w:val="en-US"/>
        </w:rPr>
        <w:t>to</w:t>
      </w:r>
      <w:r w:rsidR="001071C3" w:rsidRPr="00D54B13">
        <w:rPr>
          <w:b/>
          <w:lang w:val="en-US"/>
        </w:rPr>
        <w:t xml:space="preserve"> </w:t>
      </w:r>
      <w:r w:rsidR="00D537B4" w:rsidRPr="00D54B13">
        <w:rPr>
          <w:b/>
          <w:lang w:val="en-US"/>
        </w:rPr>
        <w:t>freedom</w:t>
      </w:r>
      <w:r w:rsidR="00AA2F87">
        <w:rPr>
          <w:b/>
          <w:lang w:val="en-US"/>
        </w:rPr>
        <w:t xml:space="preserve"> </w:t>
      </w:r>
      <w:r w:rsidR="003D3F4A" w:rsidRPr="00D54B13">
        <w:rPr>
          <w:b/>
          <w:lang w:val="en-US"/>
        </w:rPr>
        <w:t>of</w:t>
      </w:r>
      <w:r w:rsidR="003D3F4A" w:rsidRPr="00D537B4">
        <w:rPr>
          <w:b/>
          <w:lang w:val="en-US"/>
        </w:rPr>
        <w:t xml:space="preserve"> movement and privacy.</w:t>
      </w:r>
    </w:p>
    <w:p w:rsidR="008564C3" w:rsidRPr="00AA7D2F" w:rsidRDefault="008A5298" w:rsidP="000F70EB">
      <w:pPr>
        <w:pStyle w:val="SingleTxtG"/>
        <w:rPr>
          <w:lang w:val="en-US"/>
        </w:rPr>
      </w:pPr>
      <w:r>
        <w:rPr>
          <w:lang w:val="en-US"/>
        </w:rPr>
        <w:t>1</w:t>
      </w:r>
      <w:r w:rsidR="00FE4666">
        <w:rPr>
          <w:lang w:val="en-US"/>
        </w:rPr>
        <w:t>6</w:t>
      </w:r>
      <w:r w:rsidR="00B53569">
        <w:rPr>
          <w:lang w:val="en-US"/>
        </w:rPr>
        <w:t>.</w:t>
      </w:r>
      <w:r w:rsidR="00B53569">
        <w:rPr>
          <w:lang w:val="en-US"/>
        </w:rPr>
        <w:tab/>
      </w:r>
      <w:r w:rsidR="00A669ED">
        <w:rPr>
          <w:lang w:val="en-US"/>
        </w:rPr>
        <w:t>T</w:t>
      </w:r>
      <w:r w:rsidR="008564C3" w:rsidRPr="00AA7D2F">
        <w:rPr>
          <w:lang w:val="en-US"/>
        </w:rPr>
        <w:t xml:space="preserve">he Committee </w:t>
      </w:r>
      <w:r w:rsidR="00C92D32">
        <w:rPr>
          <w:lang w:val="en-US"/>
        </w:rPr>
        <w:t>is concerned</w:t>
      </w:r>
      <w:r w:rsidR="00C92D32" w:rsidRPr="00AA7D2F">
        <w:rPr>
          <w:lang w:val="en-US"/>
        </w:rPr>
        <w:t xml:space="preserve"> </w:t>
      </w:r>
      <w:r w:rsidR="008564C3" w:rsidRPr="00AA7D2F">
        <w:rPr>
          <w:lang w:val="en-US"/>
        </w:rPr>
        <w:t xml:space="preserve">that the </w:t>
      </w:r>
      <w:r w:rsidR="00A669ED">
        <w:rPr>
          <w:lang w:val="en-US"/>
        </w:rPr>
        <w:t>Conscription and Military Service Act</w:t>
      </w:r>
      <w:r w:rsidR="009E74D5">
        <w:rPr>
          <w:lang w:val="en-US"/>
        </w:rPr>
        <w:t>,</w:t>
      </w:r>
      <w:r w:rsidR="00A669ED">
        <w:rPr>
          <w:lang w:val="en-US"/>
        </w:rPr>
        <w:t xml:space="preserve"> as amended on 25 September 2010</w:t>
      </w:r>
      <w:r w:rsidR="009E74D5">
        <w:rPr>
          <w:lang w:val="en-US"/>
        </w:rPr>
        <w:t>,</w:t>
      </w:r>
      <w:r w:rsidR="00A669ED">
        <w:rPr>
          <w:lang w:val="en-US"/>
        </w:rPr>
        <w:t xml:space="preserve"> </w:t>
      </w:r>
      <w:r w:rsidR="008564C3" w:rsidRPr="00AA7D2F">
        <w:rPr>
          <w:lang w:val="en-US"/>
        </w:rPr>
        <w:t xml:space="preserve">does </w:t>
      </w:r>
      <w:r w:rsidR="00A669ED">
        <w:rPr>
          <w:lang w:val="en-US"/>
        </w:rPr>
        <w:t>not</w:t>
      </w:r>
      <w:r w:rsidR="008564C3" w:rsidRPr="00AA7D2F">
        <w:rPr>
          <w:lang w:val="en-US"/>
        </w:rPr>
        <w:t xml:space="preserve"> recogni</w:t>
      </w:r>
      <w:r w:rsidR="00AB58FE" w:rsidRPr="00AA7D2F">
        <w:rPr>
          <w:lang w:val="en-US"/>
        </w:rPr>
        <w:t>z</w:t>
      </w:r>
      <w:r w:rsidR="008564C3" w:rsidRPr="00AA7D2F">
        <w:rPr>
          <w:lang w:val="en-US"/>
        </w:rPr>
        <w:t xml:space="preserve">e a person’s right to exercise conscientious objection to military service and does not provide for </w:t>
      </w:r>
      <w:r w:rsidR="00373DD3">
        <w:rPr>
          <w:lang w:val="en-US"/>
        </w:rPr>
        <w:t xml:space="preserve">any </w:t>
      </w:r>
      <w:r w:rsidR="008564C3" w:rsidRPr="00AA7D2F">
        <w:rPr>
          <w:lang w:val="en-US"/>
        </w:rPr>
        <w:t>alternative military service</w:t>
      </w:r>
      <w:r w:rsidR="00A669ED">
        <w:rPr>
          <w:lang w:val="en-US"/>
        </w:rPr>
        <w:t>. The Committee regrets that due to this law, a number of persons belong</w:t>
      </w:r>
      <w:r w:rsidR="00D07CFA">
        <w:rPr>
          <w:lang w:val="en-US"/>
        </w:rPr>
        <w:t>ing</w:t>
      </w:r>
      <w:r w:rsidR="00A669ED">
        <w:rPr>
          <w:lang w:val="en-US"/>
        </w:rPr>
        <w:t xml:space="preserve"> to the Jehovah’s Witness have been</w:t>
      </w:r>
      <w:r w:rsidR="002878EA">
        <w:rPr>
          <w:lang w:val="en-US"/>
        </w:rPr>
        <w:t xml:space="preserve"> </w:t>
      </w:r>
      <w:r w:rsidR="0038551A">
        <w:rPr>
          <w:lang w:val="en-US"/>
        </w:rPr>
        <w:t xml:space="preserve">repeatedly </w:t>
      </w:r>
      <w:r w:rsidR="002878EA">
        <w:rPr>
          <w:lang w:val="en-US"/>
        </w:rPr>
        <w:t>prosecuted and imprisoned for refusing to perform</w:t>
      </w:r>
      <w:r w:rsidR="00AA2F87">
        <w:rPr>
          <w:lang w:val="en-US"/>
        </w:rPr>
        <w:t xml:space="preserve"> </w:t>
      </w:r>
      <w:r w:rsidR="000A1191">
        <w:rPr>
          <w:lang w:val="en-US"/>
        </w:rPr>
        <w:t>compulsory</w:t>
      </w:r>
      <w:r w:rsidR="002878EA">
        <w:rPr>
          <w:lang w:val="en-US"/>
        </w:rPr>
        <w:t xml:space="preserve"> military service</w:t>
      </w:r>
      <w:r w:rsidR="00A669ED">
        <w:rPr>
          <w:lang w:val="en-US"/>
        </w:rPr>
        <w:t xml:space="preserve"> </w:t>
      </w:r>
      <w:r w:rsidR="008564C3" w:rsidRPr="00AA7D2F">
        <w:rPr>
          <w:lang w:val="en-US"/>
        </w:rPr>
        <w:t>(art. 18).</w:t>
      </w:r>
    </w:p>
    <w:p w:rsidR="008564C3" w:rsidRPr="00AA7D2F" w:rsidRDefault="00864895" w:rsidP="00AA7D2F">
      <w:pPr>
        <w:pStyle w:val="SingleTxtG"/>
        <w:rPr>
          <w:b/>
          <w:lang w:val="en-US"/>
        </w:rPr>
      </w:pPr>
      <w:r>
        <w:rPr>
          <w:b/>
          <w:lang w:val="en-US"/>
        </w:rPr>
        <w:tab/>
      </w:r>
      <w:r w:rsidR="008564C3" w:rsidRPr="00AA7D2F">
        <w:rPr>
          <w:b/>
          <w:lang w:val="en-US"/>
        </w:rPr>
        <w:t xml:space="preserve">The </w:t>
      </w:r>
      <w:r w:rsidR="000A1191">
        <w:rPr>
          <w:b/>
          <w:lang w:val="en-US"/>
        </w:rPr>
        <w:t>State party should</w:t>
      </w:r>
      <w:r w:rsidR="008564C3" w:rsidRPr="00AA7D2F">
        <w:rPr>
          <w:b/>
          <w:lang w:val="en-US"/>
        </w:rPr>
        <w:t xml:space="preserve"> take </w:t>
      </w:r>
      <w:r w:rsidR="000A1191">
        <w:rPr>
          <w:b/>
          <w:lang w:val="en-US"/>
        </w:rPr>
        <w:t xml:space="preserve">all </w:t>
      </w:r>
      <w:r w:rsidR="008564C3" w:rsidRPr="00AA7D2F">
        <w:rPr>
          <w:b/>
          <w:lang w:val="en-US"/>
        </w:rPr>
        <w:t>necessary measures to review its legislation with a view to provid</w:t>
      </w:r>
      <w:r w:rsidR="00AB58FE" w:rsidRPr="00AA7D2F">
        <w:rPr>
          <w:b/>
          <w:lang w:val="en-US"/>
        </w:rPr>
        <w:t>ing</w:t>
      </w:r>
      <w:r w:rsidR="008564C3" w:rsidRPr="00AA7D2F">
        <w:rPr>
          <w:b/>
          <w:lang w:val="en-US"/>
        </w:rPr>
        <w:t xml:space="preserve"> for alternative military service. The State party should also ensure that the law clearly stipulates that individuals have </w:t>
      </w:r>
      <w:r w:rsidR="00AB58FE" w:rsidRPr="00AA7D2F">
        <w:rPr>
          <w:b/>
          <w:lang w:val="en-US"/>
        </w:rPr>
        <w:t>the</w:t>
      </w:r>
      <w:r w:rsidR="008564C3" w:rsidRPr="00AA7D2F">
        <w:rPr>
          <w:b/>
          <w:lang w:val="en-US"/>
        </w:rPr>
        <w:t xml:space="preserve"> right to conscientiou</w:t>
      </w:r>
      <w:r w:rsidR="002878EA">
        <w:rPr>
          <w:b/>
          <w:lang w:val="en-US"/>
        </w:rPr>
        <w:t>s objection to military service</w:t>
      </w:r>
      <w:r w:rsidR="008564C3" w:rsidRPr="00AA7D2F">
        <w:rPr>
          <w:b/>
          <w:lang w:val="en-US"/>
        </w:rPr>
        <w:t>.</w:t>
      </w:r>
      <w:r w:rsidR="002878EA">
        <w:rPr>
          <w:b/>
          <w:lang w:val="en-US"/>
        </w:rPr>
        <w:t xml:space="preserve"> Furthermore, the State party should halt all prosecutions of individuals who refuse to perform military service </w:t>
      </w:r>
      <w:r w:rsidR="005B0B8D">
        <w:rPr>
          <w:b/>
          <w:lang w:val="en-US"/>
        </w:rPr>
        <w:t xml:space="preserve">on grounds of conscience </w:t>
      </w:r>
      <w:r w:rsidR="002878EA">
        <w:rPr>
          <w:b/>
          <w:lang w:val="en-US"/>
        </w:rPr>
        <w:t>and release those individuals who are currently serving prison sentences.</w:t>
      </w:r>
    </w:p>
    <w:p w:rsidR="008564C3" w:rsidRPr="00AA7D2F" w:rsidRDefault="008A5298" w:rsidP="000F70EB">
      <w:pPr>
        <w:pStyle w:val="SingleTxtG"/>
        <w:rPr>
          <w:lang w:val="en-US"/>
        </w:rPr>
      </w:pPr>
      <w:r>
        <w:rPr>
          <w:lang w:val="en-US"/>
        </w:rPr>
        <w:t>1</w:t>
      </w:r>
      <w:r w:rsidR="00FE4666">
        <w:rPr>
          <w:lang w:val="en-US"/>
        </w:rPr>
        <w:t>7</w:t>
      </w:r>
      <w:r w:rsidR="008564C3" w:rsidRPr="00AA7D2F">
        <w:rPr>
          <w:lang w:val="en-US"/>
        </w:rPr>
        <w:t>.</w:t>
      </w:r>
      <w:r w:rsidR="008564C3" w:rsidRPr="00AA7D2F">
        <w:rPr>
          <w:lang w:val="en-US"/>
        </w:rPr>
        <w:tab/>
      </w:r>
      <w:r w:rsidR="00C2644D">
        <w:rPr>
          <w:lang w:val="en-US"/>
        </w:rPr>
        <w:t>While noting the plans</w:t>
      </w:r>
      <w:r w:rsidR="00F02719">
        <w:rPr>
          <w:lang w:val="en-US"/>
        </w:rPr>
        <w:t xml:space="preserve"> and efforts</w:t>
      </w:r>
      <w:r w:rsidR="00C2644D">
        <w:rPr>
          <w:lang w:val="en-US"/>
        </w:rPr>
        <w:t xml:space="preserve"> by the State party to review its legislation on religious organizations, t</w:t>
      </w:r>
      <w:r w:rsidR="008564C3" w:rsidRPr="00AA7D2F">
        <w:rPr>
          <w:lang w:val="en-US"/>
        </w:rPr>
        <w:t xml:space="preserve">he Committee is concerned that the Freedom of Religion and Religious </w:t>
      </w:r>
      <w:r w:rsidR="002878EA">
        <w:rPr>
          <w:lang w:val="en-US"/>
        </w:rPr>
        <w:t>Organizations</w:t>
      </w:r>
      <w:r w:rsidR="008564C3" w:rsidRPr="00AA7D2F">
        <w:rPr>
          <w:lang w:val="en-US"/>
        </w:rPr>
        <w:t xml:space="preserve"> Act provide</w:t>
      </w:r>
      <w:r w:rsidR="002878EA">
        <w:rPr>
          <w:lang w:val="en-US"/>
        </w:rPr>
        <w:t>s</w:t>
      </w:r>
      <w:r w:rsidR="008564C3" w:rsidRPr="00AA7D2F">
        <w:rPr>
          <w:lang w:val="en-US"/>
        </w:rPr>
        <w:t xml:space="preserve"> for the compulsory registration of religious associations and </w:t>
      </w:r>
      <w:r w:rsidR="002878EA">
        <w:rPr>
          <w:lang w:val="en-US"/>
        </w:rPr>
        <w:t>similar entities</w:t>
      </w:r>
      <w:r w:rsidR="008564C3" w:rsidRPr="00AA7D2F">
        <w:rPr>
          <w:lang w:val="en-US"/>
        </w:rPr>
        <w:t>. The Committee is</w:t>
      </w:r>
      <w:r w:rsidR="00F02719">
        <w:rPr>
          <w:lang w:val="en-US"/>
        </w:rPr>
        <w:t xml:space="preserve"> also concerned that the </w:t>
      </w:r>
      <w:r w:rsidR="007D5877">
        <w:rPr>
          <w:lang w:val="en-US"/>
        </w:rPr>
        <w:t>practic</w:t>
      </w:r>
      <w:r w:rsidR="007D5877" w:rsidRPr="00AA7D2F">
        <w:rPr>
          <w:lang w:val="en-US"/>
        </w:rPr>
        <w:t>e</w:t>
      </w:r>
      <w:r w:rsidR="008564C3" w:rsidRPr="00AA7D2F">
        <w:rPr>
          <w:lang w:val="en-US"/>
        </w:rPr>
        <w:t xml:space="preserve"> of a religion and the conduct of any religious activities without registration is subject to administrative penalties</w:t>
      </w:r>
      <w:r w:rsidR="00F02719">
        <w:rPr>
          <w:lang w:val="en-US"/>
        </w:rPr>
        <w:t>.</w:t>
      </w:r>
      <w:r w:rsidR="008564C3" w:rsidRPr="00AA7D2F">
        <w:rPr>
          <w:lang w:val="en-US"/>
        </w:rPr>
        <w:t xml:space="preserve"> </w:t>
      </w:r>
      <w:r w:rsidR="00857008">
        <w:rPr>
          <w:lang w:val="en-US"/>
        </w:rPr>
        <w:t>Furthermore, the Committee is concerned at reports that the</w:t>
      </w:r>
      <w:r w:rsidR="00857008" w:rsidRPr="00857008">
        <w:t xml:space="preserve"> </w:t>
      </w:r>
      <w:r w:rsidR="00857008" w:rsidRPr="00857008">
        <w:rPr>
          <w:lang w:val="en-US"/>
        </w:rPr>
        <w:t>Freedom of Religion and Religious Organizations Act</w:t>
      </w:r>
      <w:r w:rsidR="00857008">
        <w:rPr>
          <w:lang w:val="en-US"/>
        </w:rPr>
        <w:t xml:space="preserve"> prohibits private religious education at all levels</w:t>
      </w:r>
      <w:r w:rsidR="00E11D38">
        <w:rPr>
          <w:lang w:val="en-US"/>
        </w:rPr>
        <w:t>, and that the State party strictly regulates the number of copies of religious texts that religious organizations may import</w:t>
      </w:r>
      <w:r w:rsidR="00857008">
        <w:rPr>
          <w:lang w:val="en-US"/>
        </w:rPr>
        <w:t xml:space="preserve"> </w:t>
      </w:r>
      <w:r w:rsidR="008564C3" w:rsidRPr="00AA7D2F">
        <w:rPr>
          <w:lang w:val="en-US"/>
        </w:rPr>
        <w:t>(art. 18).</w:t>
      </w:r>
    </w:p>
    <w:p w:rsidR="008564C3" w:rsidRPr="00AA7D2F" w:rsidRDefault="00864895" w:rsidP="00AA7D2F">
      <w:pPr>
        <w:pStyle w:val="SingleTxtG"/>
        <w:rPr>
          <w:b/>
          <w:lang w:val="en-US"/>
        </w:rPr>
      </w:pPr>
      <w:r>
        <w:rPr>
          <w:b/>
          <w:lang w:val="en-US"/>
        </w:rPr>
        <w:tab/>
      </w:r>
      <w:r w:rsidR="008564C3" w:rsidRPr="00AA7D2F">
        <w:rPr>
          <w:b/>
          <w:lang w:val="en-US"/>
        </w:rPr>
        <w:t>The State party should ensure that its law</w:t>
      </w:r>
      <w:r w:rsidR="0038551A">
        <w:rPr>
          <w:b/>
          <w:lang w:val="en-US"/>
        </w:rPr>
        <w:t>s and practices</w:t>
      </w:r>
      <w:r w:rsidR="008564C3" w:rsidRPr="00AA7D2F">
        <w:rPr>
          <w:b/>
          <w:lang w:val="en-US"/>
        </w:rPr>
        <w:t xml:space="preserve"> relating to the registration of religious organizations respect the rights of persons </w:t>
      </w:r>
      <w:r w:rsidR="00AB58FE" w:rsidRPr="00AA7D2F">
        <w:rPr>
          <w:b/>
          <w:lang w:val="en-US"/>
        </w:rPr>
        <w:t>to</w:t>
      </w:r>
      <w:r w:rsidR="008564C3" w:rsidRPr="00AA7D2F">
        <w:rPr>
          <w:b/>
          <w:lang w:val="en-US"/>
        </w:rPr>
        <w:t xml:space="preserve"> freely </w:t>
      </w:r>
      <w:r w:rsidR="007D5877" w:rsidRPr="00AA7D2F">
        <w:rPr>
          <w:b/>
          <w:lang w:val="en-US"/>
        </w:rPr>
        <w:t>practice</w:t>
      </w:r>
      <w:r w:rsidR="008564C3" w:rsidRPr="00AA7D2F">
        <w:rPr>
          <w:b/>
          <w:lang w:val="en-US"/>
        </w:rPr>
        <w:t xml:space="preserve"> and manifest their religious beliefs as </w:t>
      </w:r>
      <w:r w:rsidR="00AB58FE" w:rsidRPr="00AA7D2F">
        <w:rPr>
          <w:b/>
          <w:lang w:val="en-US"/>
        </w:rPr>
        <w:t>provided for under</w:t>
      </w:r>
      <w:r w:rsidR="008564C3" w:rsidRPr="00AA7D2F">
        <w:rPr>
          <w:b/>
          <w:lang w:val="en-US"/>
        </w:rPr>
        <w:t xml:space="preserve"> the Covenant. </w:t>
      </w:r>
      <w:r w:rsidR="008D1250">
        <w:rPr>
          <w:b/>
          <w:lang w:val="en-US"/>
        </w:rPr>
        <w:t>The State party should amend its law to ensure that individuals can freely provide religious education in private at all levels</w:t>
      </w:r>
      <w:r w:rsidR="003036E1">
        <w:rPr>
          <w:b/>
          <w:lang w:val="en-US"/>
        </w:rPr>
        <w:t xml:space="preserve"> and can import religious texts in quantities they consider appropriate</w:t>
      </w:r>
      <w:r w:rsidR="008D1250">
        <w:rPr>
          <w:b/>
          <w:lang w:val="en-US"/>
        </w:rPr>
        <w:t>.</w:t>
      </w:r>
    </w:p>
    <w:p w:rsidR="008564C3" w:rsidRPr="00AA7D2F" w:rsidRDefault="0012593B" w:rsidP="007D5877">
      <w:pPr>
        <w:pStyle w:val="SingleTxtG"/>
        <w:rPr>
          <w:lang w:val="en-US"/>
        </w:rPr>
      </w:pPr>
      <w:r>
        <w:rPr>
          <w:lang w:val="en-US"/>
        </w:rPr>
        <w:t>1</w:t>
      </w:r>
      <w:r w:rsidR="00FE4666">
        <w:rPr>
          <w:lang w:val="en-US"/>
        </w:rPr>
        <w:t>8</w:t>
      </w:r>
      <w:r w:rsidR="008564C3" w:rsidRPr="00AA7D2F">
        <w:rPr>
          <w:lang w:val="en-US"/>
        </w:rPr>
        <w:t>.</w:t>
      </w:r>
      <w:r w:rsidR="008564C3" w:rsidRPr="00AA7D2F">
        <w:rPr>
          <w:lang w:val="en-US"/>
        </w:rPr>
        <w:tab/>
        <w:t xml:space="preserve">The Committee expresses concern at reports that the State party </w:t>
      </w:r>
      <w:r w:rsidR="00271693">
        <w:rPr>
          <w:lang w:val="en-US"/>
        </w:rPr>
        <w:t xml:space="preserve">systematically </w:t>
      </w:r>
      <w:r w:rsidR="008564C3" w:rsidRPr="00AA7D2F">
        <w:rPr>
          <w:lang w:val="en-US"/>
        </w:rPr>
        <w:t xml:space="preserve">does not respect the right to freedom of expression. The Committee, in particular, expresses concern at reports </w:t>
      </w:r>
      <w:r w:rsidR="00D8472C">
        <w:rPr>
          <w:lang w:val="en-US"/>
        </w:rPr>
        <w:t>of the</w:t>
      </w:r>
      <w:r w:rsidR="008564C3" w:rsidRPr="00AA7D2F">
        <w:rPr>
          <w:lang w:val="en-US"/>
        </w:rPr>
        <w:t xml:space="preserve"> harassment and intimidation of journalists and human rights defenders </w:t>
      </w:r>
      <w:r w:rsidR="00D8472C">
        <w:rPr>
          <w:lang w:val="en-US"/>
        </w:rPr>
        <w:t>in the State party</w:t>
      </w:r>
      <w:r w:rsidR="0038551A">
        <w:rPr>
          <w:lang w:val="en-US"/>
        </w:rPr>
        <w:t xml:space="preserve">, and its refusal to grant </w:t>
      </w:r>
      <w:r w:rsidR="00CB48A6">
        <w:rPr>
          <w:lang w:val="en-US"/>
        </w:rPr>
        <w:t xml:space="preserve">entry </w:t>
      </w:r>
      <w:r w:rsidR="0038551A">
        <w:rPr>
          <w:lang w:val="en-US"/>
        </w:rPr>
        <w:t xml:space="preserve">visas to international human rights </w:t>
      </w:r>
      <w:r w:rsidR="008C5382">
        <w:rPr>
          <w:lang w:val="en-US"/>
        </w:rPr>
        <w:t>organizations</w:t>
      </w:r>
      <w:r w:rsidR="00D8472C">
        <w:rPr>
          <w:lang w:val="en-US"/>
        </w:rPr>
        <w:t>. The Committee is also concerned at allegations that the State party monitors the use of the</w:t>
      </w:r>
      <w:r w:rsidR="00640E22">
        <w:rPr>
          <w:lang w:val="en-US"/>
        </w:rPr>
        <w:t xml:space="preserve"> </w:t>
      </w:r>
      <w:r w:rsidR="007D5877">
        <w:rPr>
          <w:lang w:val="en-US"/>
        </w:rPr>
        <w:t xml:space="preserve">Internet </w:t>
      </w:r>
      <w:r w:rsidR="00640E22">
        <w:rPr>
          <w:lang w:val="en-US"/>
        </w:rPr>
        <w:t>and blocks access to some</w:t>
      </w:r>
      <w:r w:rsidR="00D8472C">
        <w:rPr>
          <w:lang w:val="en-US"/>
        </w:rPr>
        <w:t xml:space="preserve"> websites </w:t>
      </w:r>
      <w:r w:rsidR="008564C3" w:rsidRPr="00AA7D2F">
        <w:rPr>
          <w:lang w:val="en-US"/>
        </w:rPr>
        <w:t>(art. 19).</w:t>
      </w:r>
    </w:p>
    <w:p w:rsidR="008564C3" w:rsidRPr="00AA7D2F" w:rsidRDefault="00864895" w:rsidP="007D5877">
      <w:pPr>
        <w:pStyle w:val="SingleTxtG"/>
        <w:rPr>
          <w:b/>
          <w:lang w:val="en-US"/>
        </w:rPr>
      </w:pPr>
      <w:r>
        <w:rPr>
          <w:b/>
          <w:lang w:val="en-US"/>
        </w:rPr>
        <w:tab/>
      </w:r>
      <w:r w:rsidR="008564C3" w:rsidRPr="00AA7D2F">
        <w:rPr>
          <w:b/>
          <w:lang w:val="en-US"/>
        </w:rPr>
        <w:t>The State party should ensure that journalists, human rights defenders and individuals are able to freely exercise the</w:t>
      </w:r>
      <w:r w:rsidR="00640E22">
        <w:rPr>
          <w:b/>
          <w:lang w:val="en-US"/>
        </w:rPr>
        <w:t>ir</w:t>
      </w:r>
      <w:r w:rsidR="008564C3" w:rsidRPr="00AA7D2F">
        <w:rPr>
          <w:b/>
          <w:lang w:val="en-US"/>
        </w:rPr>
        <w:t xml:space="preserve"> right to freedom of expression in accordance with the Covenant</w:t>
      </w:r>
      <w:r w:rsidR="0038551A">
        <w:rPr>
          <w:b/>
          <w:lang w:val="en-US"/>
        </w:rPr>
        <w:t>, and also allow international human rights organizations into the country</w:t>
      </w:r>
      <w:r w:rsidR="008564C3" w:rsidRPr="00AA7D2F">
        <w:rPr>
          <w:b/>
          <w:lang w:val="en-US"/>
        </w:rPr>
        <w:t xml:space="preserve">. </w:t>
      </w:r>
      <w:r w:rsidR="00D8472C">
        <w:rPr>
          <w:b/>
          <w:lang w:val="en-US"/>
        </w:rPr>
        <w:t xml:space="preserve">The State party should ensure that </w:t>
      </w:r>
      <w:r w:rsidR="005A375A">
        <w:rPr>
          <w:b/>
          <w:lang w:val="en-US"/>
        </w:rPr>
        <w:t>individuals</w:t>
      </w:r>
      <w:r w:rsidR="00D8472C">
        <w:rPr>
          <w:b/>
          <w:lang w:val="en-US"/>
        </w:rPr>
        <w:t xml:space="preserve"> have access to websites and use the </w:t>
      </w:r>
      <w:r w:rsidR="007D5877">
        <w:rPr>
          <w:b/>
          <w:lang w:val="en-US"/>
        </w:rPr>
        <w:t xml:space="preserve">Internet </w:t>
      </w:r>
      <w:r w:rsidR="005A375A">
        <w:rPr>
          <w:b/>
          <w:lang w:val="en-US"/>
        </w:rPr>
        <w:t>without undue restrictions</w:t>
      </w:r>
      <w:r w:rsidR="008564C3" w:rsidRPr="00AA7D2F">
        <w:rPr>
          <w:b/>
          <w:lang w:val="en-US"/>
        </w:rPr>
        <w:t xml:space="preserve">. </w:t>
      </w:r>
      <w:r w:rsidR="005A375A">
        <w:rPr>
          <w:b/>
          <w:lang w:val="en-US"/>
        </w:rPr>
        <w:t xml:space="preserve">The Committee, therefore, urges the State party to </w:t>
      </w:r>
      <w:r w:rsidR="0038551A">
        <w:rPr>
          <w:b/>
          <w:lang w:val="en-US"/>
        </w:rPr>
        <w:t xml:space="preserve">take all necessary steps to </w:t>
      </w:r>
      <w:r w:rsidR="005A375A">
        <w:rPr>
          <w:b/>
          <w:lang w:val="en-US"/>
        </w:rPr>
        <w:t>ensure that</w:t>
      </w:r>
      <w:r w:rsidR="008564C3" w:rsidRPr="00AA7D2F">
        <w:rPr>
          <w:b/>
          <w:lang w:val="en-US"/>
        </w:rPr>
        <w:t xml:space="preserve"> any restrictions on the exercise of freedom of expression </w:t>
      </w:r>
      <w:r w:rsidR="0038551A">
        <w:rPr>
          <w:b/>
          <w:lang w:val="en-US"/>
        </w:rPr>
        <w:t>fully</w:t>
      </w:r>
      <w:r w:rsidR="0038551A" w:rsidRPr="00AA7D2F">
        <w:rPr>
          <w:b/>
          <w:lang w:val="en-US"/>
        </w:rPr>
        <w:t xml:space="preserve"> </w:t>
      </w:r>
      <w:r w:rsidR="008564C3" w:rsidRPr="00AA7D2F">
        <w:rPr>
          <w:b/>
          <w:lang w:val="en-US"/>
        </w:rPr>
        <w:t>comply with the strict requirements of article 19</w:t>
      </w:r>
      <w:r w:rsidR="00BA5C25" w:rsidRPr="00AA7D2F">
        <w:rPr>
          <w:b/>
          <w:lang w:val="en-US"/>
        </w:rPr>
        <w:t>,</w:t>
      </w:r>
      <w:r w:rsidR="008564C3" w:rsidRPr="00AA7D2F">
        <w:rPr>
          <w:b/>
          <w:lang w:val="en-US"/>
        </w:rPr>
        <w:t xml:space="preserve"> paragraph 3</w:t>
      </w:r>
      <w:r w:rsidR="00BA5C25" w:rsidRPr="00AA7D2F">
        <w:rPr>
          <w:b/>
          <w:lang w:val="en-US"/>
        </w:rPr>
        <w:t>, of the Covenant</w:t>
      </w:r>
      <w:r w:rsidR="004544DB">
        <w:rPr>
          <w:b/>
          <w:lang w:val="en-US"/>
        </w:rPr>
        <w:t xml:space="preserve"> as </w:t>
      </w:r>
      <w:r w:rsidR="0038551A">
        <w:rPr>
          <w:b/>
          <w:lang w:val="en-US"/>
        </w:rPr>
        <w:t xml:space="preserve">further </w:t>
      </w:r>
      <w:r w:rsidR="004544DB">
        <w:rPr>
          <w:b/>
          <w:lang w:val="en-US"/>
        </w:rPr>
        <w:t>set out in</w:t>
      </w:r>
      <w:r w:rsidR="00AA2F87">
        <w:rPr>
          <w:b/>
          <w:lang w:val="en-US"/>
        </w:rPr>
        <w:t xml:space="preserve"> </w:t>
      </w:r>
      <w:r w:rsidR="007D5877">
        <w:rPr>
          <w:b/>
          <w:lang w:val="en-US"/>
        </w:rPr>
        <w:t xml:space="preserve">its general comment </w:t>
      </w:r>
      <w:r w:rsidR="004544DB">
        <w:rPr>
          <w:b/>
          <w:lang w:val="en-US"/>
        </w:rPr>
        <w:t xml:space="preserve">No. 34 </w:t>
      </w:r>
      <w:r w:rsidR="007D5877">
        <w:rPr>
          <w:b/>
          <w:lang w:val="en-US"/>
        </w:rPr>
        <w:t xml:space="preserve">(2011) </w:t>
      </w:r>
      <w:r w:rsidR="004544DB">
        <w:rPr>
          <w:b/>
          <w:lang w:val="en-US"/>
        </w:rPr>
        <w:t xml:space="preserve">on </w:t>
      </w:r>
      <w:r w:rsidR="007D5877">
        <w:rPr>
          <w:b/>
          <w:lang w:val="en-US"/>
        </w:rPr>
        <w:t xml:space="preserve">freedoms </w:t>
      </w:r>
      <w:r w:rsidR="00576E64">
        <w:rPr>
          <w:b/>
          <w:lang w:val="en-US"/>
        </w:rPr>
        <w:t>of opinion and expression.</w:t>
      </w:r>
    </w:p>
    <w:p w:rsidR="008564C3" w:rsidRPr="00AA7D2F" w:rsidRDefault="00FE4666" w:rsidP="000F70EB">
      <w:pPr>
        <w:pStyle w:val="SingleTxtG"/>
        <w:rPr>
          <w:lang w:val="en-US"/>
        </w:rPr>
      </w:pPr>
      <w:r>
        <w:rPr>
          <w:lang w:val="en-US"/>
        </w:rPr>
        <w:t>19</w:t>
      </w:r>
      <w:r w:rsidR="008564C3" w:rsidRPr="00AA7D2F">
        <w:rPr>
          <w:lang w:val="en-US"/>
        </w:rPr>
        <w:t>.</w:t>
      </w:r>
      <w:r w:rsidR="008564C3" w:rsidRPr="00AA7D2F">
        <w:rPr>
          <w:lang w:val="en-US"/>
        </w:rPr>
        <w:tab/>
      </w:r>
      <w:r w:rsidR="008564C3" w:rsidRPr="00AA7D2F">
        <w:rPr>
          <w:bCs/>
          <w:lang w:val="en-US"/>
        </w:rPr>
        <w:t xml:space="preserve">The Committee </w:t>
      </w:r>
      <w:r w:rsidR="008326BE">
        <w:rPr>
          <w:bCs/>
          <w:lang w:val="en-US"/>
        </w:rPr>
        <w:t xml:space="preserve">is concerned </w:t>
      </w:r>
      <w:r w:rsidR="00056A80">
        <w:rPr>
          <w:bCs/>
          <w:lang w:val="en-US"/>
        </w:rPr>
        <w:t>that the Law on Public Associations severely restricts freedom of association in that it, inter alia, provides for the compulsory registration of public associations</w:t>
      </w:r>
      <w:r w:rsidR="00F734A1">
        <w:rPr>
          <w:bCs/>
          <w:lang w:val="en-US"/>
        </w:rPr>
        <w:t xml:space="preserve"> and contains onerous obligations on associations to report to authorities.</w:t>
      </w:r>
      <w:r w:rsidR="00AA2F87">
        <w:rPr>
          <w:bCs/>
          <w:lang w:val="en-US"/>
        </w:rPr>
        <w:t xml:space="preserve"> </w:t>
      </w:r>
      <w:r w:rsidR="00F734A1">
        <w:rPr>
          <w:bCs/>
          <w:lang w:val="en-US"/>
        </w:rPr>
        <w:t xml:space="preserve">The Committee </w:t>
      </w:r>
      <w:r w:rsidR="008326BE">
        <w:rPr>
          <w:bCs/>
          <w:lang w:val="en-US"/>
        </w:rPr>
        <w:t xml:space="preserve">is </w:t>
      </w:r>
      <w:r w:rsidR="00F734A1">
        <w:rPr>
          <w:bCs/>
          <w:lang w:val="en-US"/>
        </w:rPr>
        <w:t xml:space="preserve">also </w:t>
      </w:r>
      <w:r w:rsidR="008326BE">
        <w:rPr>
          <w:bCs/>
          <w:lang w:val="en-US"/>
        </w:rPr>
        <w:t xml:space="preserve">concerned </w:t>
      </w:r>
      <w:r w:rsidR="00F734A1">
        <w:rPr>
          <w:bCs/>
          <w:lang w:val="en-US"/>
        </w:rPr>
        <w:t xml:space="preserve">that associations undergo </w:t>
      </w:r>
      <w:r w:rsidR="0011583F">
        <w:rPr>
          <w:bCs/>
          <w:lang w:val="en-US"/>
        </w:rPr>
        <w:t xml:space="preserve">cumbersome </w:t>
      </w:r>
      <w:r w:rsidR="0038551A">
        <w:rPr>
          <w:bCs/>
          <w:lang w:val="en-US"/>
        </w:rPr>
        <w:t xml:space="preserve">administrative </w:t>
      </w:r>
      <w:r w:rsidR="00F734A1">
        <w:rPr>
          <w:bCs/>
          <w:lang w:val="en-US"/>
        </w:rPr>
        <w:t xml:space="preserve">processes for registration </w:t>
      </w:r>
      <w:r w:rsidR="0038551A">
        <w:rPr>
          <w:bCs/>
          <w:lang w:val="en-US"/>
        </w:rPr>
        <w:t xml:space="preserve">so </w:t>
      </w:r>
      <w:r w:rsidR="00F734A1">
        <w:rPr>
          <w:bCs/>
          <w:lang w:val="en-US"/>
        </w:rPr>
        <w:t>that in some instances associations</w:t>
      </w:r>
      <w:r w:rsidR="005F15A2">
        <w:rPr>
          <w:bCs/>
          <w:lang w:val="en-US"/>
        </w:rPr>
        <w:t xml:space="preserve"> are forced to</w:t>
      </w:r>
      <w:r w:rsidR="00F734A1">
        <w:rPr>
          <w:bCs/>
          <w:lang w:val="en-US"/>
        </w:rPr>
        <w:t xml:space="preserve"> wait for a number of years before they obtain a registration certificate</w:t>
      </w:r>
      <w:r w:rsidR="008564C3" w:rsidRPr="00AA7D2F">
        <w:rPr>
          <w:bCs/>
          <w:lang w:val="en-US"/>
        </w:rPr>
        <w:t xml:space="preserve"> (art. 22).</w:t>
      </w:r>
    </w:p>
    <w:p w:rsidR="008564C3" w:rsidRDefault="00864895" w:rsidP="00FE7DD2">
      <w:pPr>
        <w:pStyle w:val="SingleTxtG"/>
        <w:rPr>
          <w:b/>
          <w:lang w:val="en-US"/>
        </w:rPr>
      </w:pPr>
      <w:r>
        <w:rPr>
          <w:b/>
          <w:lang w:val="en-US"/>
        </w:rPr>
        <w:tab/>
      </w:r>
      <w:r w:rsidR="008564C3" w:rsidRPr="00AA7D2F">
        <w:rPr>
          <w:b/>
          <w:lang w:val="en-US"/>
        </w:rPr>
        <w:t xml:space="preserve">The State party should </w:t>
      </w:r>
      <w:r w:rsidR="004C7FE7" w:rsidRPr="00AA7D2F">
        <w:rPr>
          <w:b/>
          <w:lang w:val="en-US"/>
        </w:rPr>
        <w:t xml:space="preserve">ensure that the process of registration </w:t>
      </w:r>
      <w:r w:rsidR="005F15A2">
        <w:rPr>
          <w:b/>
          <w:lang w:val="en-US"/>
        </w:rPr>
        <w:t xml:space="preserve">of associations </w:t>
      </w:r>
      <w:r w:rsidR="004C7FE7" w:rsidRPr="00AA7D2F">
        <w:rPr>
          <w:b/>
          <w:lang w:val="en-US"/>
        </w:rPr>
        <w:t>complies with</w:t>
      </w:r>
      <w:r w:rsidR="00DB63DD" w:rsidRPr="00AA7D2F">
        <w:rPr>
          <w:b/>
          <w:lang w:val="en-US"/>
        </w:rPr>
        <w:t xml:space="preserve"> </w:t>
      </w:r>
      <w:r w:rsidR="00FE7DD2">
        <w:rPr>
          <w:b/>
          <w:lang w:val="en-US"/>
        </w:rPr>
        <w:t>article</w:t>
      </w:r>
      <w:r w:rsidR="00FE7DD2" w:rsidRPr="00AA7D2F">
        <w:rPr>
          <w:b/>
          <w:lang w:val="en-US"/>
        </w:rPr>
        <w:t xml:space="preserve"> </w:t>
      </w:r>
      <w:r w:rsidR="008564C3" w:rsidRPr="00AA7D2F">
        <w:rPr>
          <w:b/>
          <w:lang w:val="en-US"/>
        </w:rPr>
        <w:t>22</w:t>
      </w:r>
      <w:r w:rsidR="00C70FBB" w:rsidRPr="00AA7D2F">
        <w:rPr>
          <w:b/>
          <w:lang w:val="en-US"/>
        </w:rPr>
        <w:t xml:space="preserve">, paragraph </w:t>
      </w:r>
      <w:r w:rsidR="004C7FE7" w:rsidRPr="00AA7D2F">
        <w:rPr>
          <w:b/>
          <w:lang w:val="en-US"/>
        </w:rPr>
        <w:t>2</w:t>
      </w:r>
      <w:r w:rsidR="0012593B">
        <w:rPr>
          <w:b/>
          <w:lang w:val="en-US"/>
        </w:rPr>
        <w:t xml:space="preserve"> </w:t>
      </w:r>
      <w:r w:rsidR="008564C3" w:rsidRPr="00AA7D2F">
        <w:rPr>
          <w:b/>
          <w:lang w:val="en-US"/>
        </w:rPr>
        <w:t xml:space="preserve">of the Covenant. </w:t>
      </w:r>
      <w:r w:rsidR="00F734A1">
        <w:rPr>
          <w:b/>
          <w:lang w:val="en-US"/>
        </w:rPr>
        <w:t>In this regard, t</w:t>
      </w:r>
      <w:r w:rsidR="008564C3" w:rsidRPr="00AA7D2F">
        <w:rPr>
          <w:b/>
          <w:lang w:val="en-US"/>
        </w:rPr>
        <w:t>he State party should</w:t>
      </w:r>
      <w:r w:rsidR="004C7FE7" w:rsidRPr="00AA7D2F">
        <w:rPr>
          <w:b/>
          <w:lang w:val="en-US"/>
        </w:rPr>
        <w:t xml:space="preserve"> </w:t>
      </w:r>
      <w:r w:rsidR="00F734A1">
        <w:rPr>
          <w:b/>
          <w:lang w:val="en-US"/>
        </w:rPr>
        <w:t>reform its system of registration to ensure that registration applications are processed professionally and expeditiously</w:t>
      </w:r>
      <w:r w:rsidR="008564C3" w:rsidRPr="00AA7D2F">
        <w:rPr>
          <w:b/>
          <w:lang w:val="en-US"/>
        </w:rPr>
        <w:t>.</w:t>
      </w:r>
    </w:p>
    <w:p w:rsidR="00C05AC0" w:rsidRPr="00871B30" w:rsidRDefault="00C05AC0" w:rsidP="00AA7D2F">
      <w:pPr>
        <w:pStyle w:val="SingleTxtG"/>
        <w:rPr>
          <w:lang w:val="en-US"/>
        </w:rPr>
      </w:pPr>
      <w:r w:rsidRPr="00871B30">
        <w:rPr>
          <w:lang w:val="en-US"/>
        </w:rPr>
        <w:t>2</w:t>
      </w:r>
      <w:r w:rsidR="00FE4666">
        <w:rPr>
          <w:lang w:val="en-US"/>
        </w:rPr>
        <w:t>0</w:t>
      </w:r>
      <w:r w:rsidRPr="00871B30">
        <w:rPr>
          <w:lang w:val="en-US"/>
        </w:rPr>
        <w:t>.</w:t>
      </w:r>
      <w:r w:rsidRPr="00871B30">
        <w:rPr>
          <w:lang w:val="en-US"/>
        </w:rPr>
        <w:tab/>
        <w:t xml:space="preserve">The Committee is concerned at reports of </w:t>
      </w:r>
      <w:r w:rsidR="00414944">
        <w:rPr>
          <w:lang w:val="en-US"/>
        </w:rPr>
        <w:t xml:space="preserve">the </w:t>
      </w:r>
      <w:r w:rsidRPr="00871B30">
        <w:rPr>
          <w:lang w:val="en-US"/>
        </w:rPr>
        <w:t>use of children for cotton harvesting</w:t>
      </w:r>
      <w:r w:rsidR="00871B30">
        <w:rPr>
          <w:lang w:val="en-US"/>
        </w:rPr>
        <w:t xml:space="preserve"> in the State party</w:t>
      </w:r>
      <w:r w:rsidR="00871B30" w:rsidRPr="00871B30">
        <w:rPr>
          <w:lang w:val="en-US"/>
        </w:rPr>
        <w:t xml:space="preserve"> (art. 24).</w:t>
      </w:r>
    </w:p>
    <w:p w:rsidR="00871B30" w:rsidRPr="00AA7D2F" w:rsidRDefault="00871B30" w:rsidP="00AA7D2F">
      <w:pPr>
        <w:pStyle w:val="SingleTxtG"/>
        <w:rPr>
          <w:b/>
          <w:lang w:val="en-US"/>
        </w:rPr>
      </w:pPr>
      <w:r>
        <w:rPr>
          <w:b/>
          <w:lang w:val="en-US"/>
        </w:rPr>
        <w:t>T</w:t>
      </w:r>
      <w:r w:rsidRPr="00871B30">
        <w:rPr>
          <w:b/>
          <w:lang w:val="en-US"/>
        </w:rPr>
        <w:t xml:space="preserve">he State party should </w:t>
      </w:r>
      <w:r>
        <w:rPr>
          <w:b/>
          <w:lang w:val="en-US"/>
        </w:rPr>
        <w:t xml:space="preserve">eliminate the use of children for cotton harvesting and </w:t>
      </w:r>
      <w:r w:rsidRPr="00871B30">
        <w:rPr>
          <w:b/>
          <w:lang w:val="en-US"/>
        </w:rPr>
        <w:t xml:space="preserve">ensure that children are protected from the </w:t>
      </w:r>
      <w:r>
        <w:rPr>
          <w:b/>
          <w:lang w:val="en-US"/>
        </w:rPr>
        <w:t xml:space="preserve">harmful effects of all forms </w:t>
      </w:r>
      <w:r w:rsidR="003038F3">
        <w:rPr>
          <w:b/>
          <w:lang w:val="en-US"/>
        </w:rPr>
        <w:t xml:space="preserve">of </w:t>
      </w:r>
      <w:r>
        <w:rPr>
          <w:b/>
          <w:lang w:val="en-US"/>
        </w:rPr>
        <w:t>child labour</w:t>
      </w:r>
      <w:r w:rsidRPr="00871B30">
        <w:rPr>
          <w:b/>
          <w:lang w:val="en-US"/>
        </w:rPr>
        <w:t>.</w:t>
      </w:r>
      <w:r w:rsidRPr="00871B30">
        <w:t xml:space="preserve"> </w:t>
      </w:r>
    </w:p>
    <w:p w:rsidR="00CE09E2" w:rsidRPr="00CE09E2" w:rsidRDefault="00F80948" w:rsidP="00FE7DD2">
      <w:pPr>
        <w:pStyle w:val="SingleTxtG"/>
        <w:rPr>
          <w:lang w:val="en-US"/>
        </w:rPr>
      </w:pPr>
      <w:r>
        <w:rPr>
          <w:lang w:val="en-US"/>
        </w:rPr>
        <w:t>2</w:t>
      </w:r>
      <w:r w:rsidR="0012593B">
        <w:rPr>
          <w:lang w:val="en-US"/>
        </w:rPr>
        <w:t>1</w:t>
      </w:r>
      <w:r>
        <w:rPr>
          <w:lang w:val="en-US"/>
        </w:rPr>
        <w:t>.</w:t>
      </w:r>
      <w:r>
        <w:rPr>
          <w:lang w:val="en-US"/>
        </w:rPr>
        <w:tab/>
      </w:r>
      <w:r w:rsidR="00CE09E2" w:rsidRPr="00CE09E2">
        <w:rPr>
          <w:lang w:val="en-US"/>
        </w:rPr>
        <w:t xml:space="preserve">The Committee regrets the criminalization of sexual relations between consenting adults of the same sex, which entails a penalty of up to two years in prison. The Committee is concerned at the </w:t>
      </w:r>
      <w:r w:rsidR="00FE7DD2">
        <w:rPr>
          <w:lang w:val="en-US"/>
        </w:rPr>
        <w:t>deep-</w:t>
      </w:r>
      <w:r w:rsidR="00CE09E2" w:rsidRPr="00CE09E2">
        <w:rPr>
          <w:lang w:val="en-US"/>
        </w:rPr>
        <w:t>rooted stereotypes against individuals on the basis of their sexual orientation or gender identity (art</w:t>
      </w:r>
      <w:r w:rsidR="00965ABA">
        <w:rPr>
          <w:lang w:val="en-US"/>
        </w:rPr>
        <w:t>.</w:t>
      </w:r>
      <w:r w:rsidR="00CE09E2" w:rsidRPr="00CE09E2">
        <w:rPr>
          <w:lang w:val="en-US"/>
        </w:rPr>
        <w:t xml:space="preserve"> 26)</w:t>
      </w:r>
      <w:r w:rsidR="00F865ED">
        <w:rPr>
          <w:lang w:val="en-US"/>
        </w:rPr>
        <w:t>.</w:t>
      </w:r>
    </w:p>
    <w:p w:rsidR="00CE09E2" w:rsidRPr="00F80948" w:rsidRDefault="00864895" w:rsidP="00CE09E2">
      <w:pPr>
        <w:pStyle w:val="SingleTxtG"/>
        <w:rPr>
          <w:b/>
          <w:lang w:val="en-US"/>
        </w:rPr>
      </w:pPr>
      <w:r>
        <w:rPr>
          <w:b/>
          <w:lang w:val="en-US"/>
        </w:rPr>
        <w:tab/>
      </w:r>
      <w:r w:rsidR="00CE09E2" w:rsidRPr="00F80948">
        <w:rPr>
          <w:b/>
          <w:lang w:val="en-US"/>
        </w:rPr>
        <w:t>The State party should decriminalize sexual relations between consenting adults of the same sex in order to bring its legislation in line with the Covenant. The State party should also take the necessary steps to put an end to the social stigmatization of homosexuality and send a clear message that it does not tolerate any form of discrimination against persons based on their sexual orientation or gender identity.</w:t>
      </w:r>
    </w:p>
    <w:p w:rsidR="008564C3" w:rsidRPr="00AA7D2F" w:rsidRDefault="008564C3" w:rsidP="000F70EB">
      <w:pPr>
        <w:pStyle w:val="SingleTxtG"/>
        <w:rPr>
          <w:lang w:val="en-US"/>
        </w:rPr>
      </w:pPr>
      <w:r w:rsidRPr="00AA7D2F">
        <w:rPr>
          <w:lang w:val="en-US"/>
        </w:rPr>
        <w:t>2</w:t>
      </w:r>
      <w:r w:rsidR="008A5298">
        <w:rPr>
          <w:lang w:val="en-US"/>
        </w:rPr>
        <w:t>2</w:t>
      </w:r>
      <w:r w:rsidRPr="00AA7D2F">
        <w:rPr>
          <w:lang w:val="en-US"/>
        </w:rPr>
        <w:t>.</w:t>
      </w:r>
      <w:r w:rsidRPr="00AA7D2F">
        <w:rPr>
          <w:lang w:val="en-US"/>
        </w:rPr>
        <w:tab/>
      </w:r>
      <w:r w:rsidR="0020016B">
        <w:rPr>
          <w:lang w:val="en-US"/>
        </w:rPr>
        <w:t>T</w:t>
      </w:r>
      <w:r w:rsidRPr="00AA7D2F">
        <w:rPr>
          <w:lang w:val="en-US"/>
        </w:rPr>
        <w:t xml:space="preserve">he Committee is concerned at </w:t>
      </w:r>
      <w:r w:rsidR="00FC65F1">
        <w:rPr>
          <w:lang w:val="en-US"/>
        </w:rPr>
        <w:t>the limited access of ethnic minorities to employment in the public sector and in</w:t>
      </w:r>
      <w:r w:rsidRPr="00AA7D2F">
        <w:rPr>
          <w:lang w:val="en-US"/>
        </w:rPr>
        <w:t xml:space="preserve"> decision</w:t>
      </w:r>
      <w:r w:rsidR="00167F9A" w:rsidRPr="00AA7D2F">
        <w:rPr>
          <w:lang w:val="en-US"/>
        </w:rPr>
        <w:t>-</w:t>
      </w:r>
      <w:r w:rsidR="00FC65F1">
        <w:rPr>
          <w:lang w:val="en-US"/>
        </w:rPr>
        <w:t xml:space="preserve">making bodies. The Committee </w:t>
      </w:r>
      <w:r w:rsidR="0011583F">
        <w:rPr>
          <w:lang w:val="en-US"/>
        </w:rPr>
        <w:t xml:space="preserve">is concerned </w:t>
      </w:r>
      <w:r w:rsidR="00243401">
        <w:rPr>
          <w:lang w:val="en-US"/>
        </w:rPr>
        <w:t xml:space="preserve">at </w:t>
      </w:r>
      <w:r w:rsidR="00FC65F1">
        <w:rPr>
          <w:lang w:val="en-US"/>
        </w:rPr>
        <w:t xml:space="preserve">reports of the alleged use of </w:t>
      </w:r>
      <w:r w:rsidR="00011998">
        <w:rPr>
          <w:lang w:val="en-US"/>
        </w:rPr>
        <w:t xml:space="preserve">a </w:t>
      </w:r>
      <w:r w:rsidR="00FC65F1">
        <w:rPr>
          <w:lang w:val="en-US"/>
        </w:rPr>
        <w:t xml:space="preserve">forced assimilation policy of ‘Turkmenisation’, which </w:t>
      </w:r>
      <w:r w:rsidR="00011998">
        <w:rPr>
          <w:lang w:val="en-US"/>
        </w:rPr>
        <w:t xml:space="preserve">seriously reduces </w:t>
      </w:r>
      <w:r w:rsidR="00640E22">
        <w:rPr>
          <w:lang w:val="en-US"/>
        </w:rPr>
        <w:t xml:space="preserve">opportunities for ethnic minorities in the </w:t>
      </w:r>
      <w:r w:rsidR="00FC65F1">
        <w:rPr>
          <w:lang w:val="en-US"/>
        </w:rPr>
        <w:t xml:space="preserve">fields of employment, education and political </w:t>
      </w:r>
      <w:r w:rsidR="007E4C99">
        <w:rPr>
          <w:lang w:val="en-US"/>
        </w:rPr>
        <w:t xml:space="preserve">life </w:t>
      </w:r>
      <w:r w:rsidRPr="00AA7D2F">
        <w:rPr>
          <w:lang w:val="en-US"/>
        </w:rPr>
        <w:t xml:space="preserve">(arts. </w:t>
      </w:r>
      <w:r w:rsidR="00892A01">
        <w:rPr>
          <w:lang w:val="en-US"/>
        </w:rPr>
        <w:t xml:space="preserve">25, </w:t>
      </w:r>
      <w:r w:rsidRPr="00AA7D2F">
        <w:rPr>
          <w:lang w:val="en-US"/>
        </w:rPr>
        <w:t>26 and 27).</w:t>
      </w:r>
    </w:p>
    <w:p w:rsidR="008564C3" w:rsidRPr="00AA7D2F" w:rsidRDefault="00864895" w:rsidP="00AA7D2F">
      <w:pPr>
        <w:pStyle w:val="SingleTxtG"/>
        <w:rPr>
          <w:b/>
          <w:lang w:val="en-US"/>
        </w:rPr>
      </w:pPr>
      <w:r>
        <w:rPr>
          <w:b/>
          <w:lang w:val="en-US"/>
        </w:rPr>
        <w:tab/>
      </w:r>
      <w:r w:rsidR="008564C3" w:rsidRPr="00AA7D2F">
        <w:rPr>
          <w:b/>
          <w:lang w:val="en-US"/>
        </w:rPr>
        <w:t xml:space="preserve">The State party should strengthen its efforts to promote the participation of minority groups in </w:t>
      </w:r>
      <w:r w:rsidR="007E4C99">
        <w:rPr>
          <w:b/>
          <w:lang w:val="en-US"/>
        </w:rPr>
        <w:t>public</w:t>
      </w:r>
      <w:r w:rsidR="008564C3" w:rsidRPr="00AA7D2F">
        <w:rPr>
          <w:b/>
          <w:lang w:val="en-US"/>
        </w:rPr>
        <w:t xml:space="preserve"> life and decision</w:t>
      </w:r>
      <w:r w:rsidR="001E2214" w:rsidRPr="00AA7D2F">
        <w:rPr>
          <w:b/>
          <w:lang w:val="en-US"/>
        </w:rPr>
        <w:t>-</w:t>
      </w:r>
      <w:r w:rsidR="008564C3" w:rsidRPr="00AA7D2F">
        <w:rPr>
          <w:b/>
          <w:lang w:val="en-US"/>
        </w:rPr>
        <w:t xml:space="preserve">making bodies by, inter alia, adopting temporary special measures. The State party </w:t>
      </w:r>
      <w:r w:rsidR="001E2214" w:rsidRPr="00AA7D2F">
        <w:rPr>
          <w:b/>
          <w:lang w:val="en-US"/>
        </w:rPr>
        <w:t xml:space="preserve">is requested </w:t>
      </w:r>
      <w:r w:rsidR="00220FBF" w:rsidRPr="00AA7D2F">
        <w:rPr>
          <w:b/>
          <w:lang w:val="en-US"/>
        </w:rPr>
        <w:t xml:space="preserve">to </w:t>
      </w:r>
      <w:r w:rsidR="008564C3" w:rsidRPr="00AA7D2F">
        <w:rPr>
          <w:b/>
          <w:lang w:val="en-US"/>
        </w:rPr>
        <w:t xml:space="preserve">provide </w:t>
      </w:r>
      <w:r w:rsidR="00640E22" w:rsidRPr="00AA7D2F">
        <w:rPr>
          <w:b/>
          <w:lang w:val="en-US"/>
        </w:rPr>
        <w:t xml:space="preserve">in its second periodic report </w:t>
      </w:r>
      <w:r w:rsidR="008564C3" w:rsidRPr="00AA7D2F">
        <w:rPr>
          <w:b/>
          <w:lang w:val="en-US"/>
        </w:rPr>
        <w:t xml:space="preserve">data disaggregated by ethnic groups on the representation of minority groups in </w:t>
      </w:r>
      <w:r w:rsidR="007E4C99">
        <w:rPr>
          <w:b/>
          <w:lang w:val="en-US"/>
        </w:rPr>
        <w:t>public office</w:t>
      </w:r>
      <w:r w:rsidR="008564C3" w:rsidRPr="00AA7D2F">
        <w:rPr>
          <w:b/>
          <w:lang w:val="en-US"/>
        </w:rPr>
        <w:t xml:space="preserve"> and decision</w:t>
      </w:r>
      <w:r w:rsidR="00D36447" w:rsidRPr="00AA7D2F">
        <w:rPr>
          <w:b/>
          <w:lang w:val="en-US"/>
        </w:rPr>
        <w:t>-</w:t>
      </w:r>
      <w:r w:rsidR="008564C3" w:rsidRPr="00AA7D2F">
        <w:rPr>
          <w:b/>
          <w:lang w:val="en-US"/>
        </w:rPr>
        <w:t>making positions.</w:t>
      </w:r>
    </w:p>
    <w:p w:rsidR="008564C3" w:rsidRPr="00AA7D2F" w:rsidRDefault="008564C3" w:rsidP="000F70EB">
      <w:pPr>
        <w:pStyle w:val="SingleTxtG"/>
        <w:rPr>
          <w:lang w:val="en-US"/>
        </w:rPr>
      </w:pPr>
      <w:r w:rsidRPr="00AA7D2F">
        <w:rPr>
          <w:lang w:val="en-US"/>
        </w:rPr>
        <w:t>2</w:t>
      </w:r>
      <w:r w:rsidR="008A5298">
        <w:rPr>
          <w:lang w:val="en-US"/>
        </w:rPr>
        <w:t>3</w:t>
      </w:r>
      <w:r w:rsidRPr="00AA7D2F">
        <w:rPr>
          <w:lang w:val="en-US"/>
        </w:rPr>
        <w:t>.</w:t>
      </w:r>
      <w:r w:rsidRPr="00AA7D2F">
        <w:rPr>
          <w:lang w:val="en-US"/>
        </w:rPr>
        <w:tab/>
        <w:t>The State party should widely disseminate the Covenant, the Optional Protocols</w:t>
      </w:r>
      <w:r w:rsidRPr="00AA7D2F">
        <w:rPr>
          <w:b/>
          <w:bCs/>
          <w:lang w:val="en-US"/>
        </w:rPr>
        <w:t xml:space="preserve"> </w:t>
      </w:r>
      <w:r w:rsidRPr="00AA7D2F">
        <w:rPr>
          <w:lang w:val="en-US"/>
        </w:rPr>
        <w:t>to the Covenant, the text of the initial report, the written responses it has provided in</w:t>
      </w:r>
      <w:r w:rsidRPr="00AA7D2F">
        <w:rPr>
          <w:b/>
          <w:bCs/>
          <w:lang w:val="en-US"/>
        </w:rPr>
        <w:t xml:space="preserve"> </w:t>
      </w:r>
      <w:r w:rsidRPr="00AA7D2F">
        <w:rPr>
          <w:lang w:val="en-US"/>
        </w:rPr>
        <w:t>response to the list of issues drawn up by the Committee, and the present concluding</w:t>
      </w:r>
      <w:r w:rsidRPr="00AA7D2F">
        <w:rPr>
          <w:b/>
          <w:bCs/>
          <w:lang w:val="en-US"/>
        </w:rPr>
        <w:t xml:space="preserve"> </w:t>
      </w:r>
      <w:r w:rsidRPr="00AA7D2F">
        <w:rPr>
          <w:lang w:val="en-US"/>
        </w:rPr>
        <w:t>observations among the judicial, legislative and administrative</w:t>
      </w:r>
      <w:r w:rsidRPr="00AA7D2F">
        <w:rPr>
          <w:b/>
          <w:bCs/>
          <w:lang w:val="en-US"/>
        </w:rPr>
        <w:t xml:space="preserve"> </w:t>
      </w:r>
      <w:r w:rsidRPr="00AA7D2F">
        <w:rPr>
          <w:lang w:val="en-US"/>
        </w:rPr>
        <w:t>authorities, civil society and non-governmental organizations operating in the country, as</w:t>
      </w:r>
      <w:r w:rsidRPr="00AA7D2F">
        <w:rPr>
          <w:b/>
          <w:bCs/>
          <w:lang w:val="en-US"/>
        </w:rPr>
        <w:t xml:space="preserve"> </w:t>
      </w:r>
      <w:r w:rsidRPr="00AA7D2F">
        <w:rPr>
          <w:lang w:val="en-US"/>
        </w:rPr>
        <w:t>well as the general public. The report and the concluding</w:t>
      </w:r>
      <w:r w:rsidRPr="00AA7D2F">
        <w:rPr>
          <w:b/>
          <w:bCs/>
          <w:lang w:val="en-US"/>
        </w:rPr>
        <w:t xml:space="preserve"> </w:t>
      </w:r>
      <w:r w:rsidRPr="00AA7D2F">
        <w:rPr>
          <w:lang w:val="en-US"/>
        </w:rPr>
        <w:t xml:space="preserve">observations </w:t>
      </w:r>
      <w:r w:rsidR="00D36447" w:rsidRPr="00AA7D2F">
        <w:rPr>
          <w:lang w:val="en-US"/>
        </w:rPr>
        <w:t xml:space="preserve">should </w:t>
      </w:r>
      <w:r w:rsidRPr="00AA7D2F">
        <w:rPr>
          <w:lang w:val="en-US"/>
        </w:rPr>
        <w:t xml:space="preserve">be translated into the official language of the State party. </w:t>
      </w:r>
    </w:p>
    <w:p w:rsidR="008564C3" w:rsidRPr="00AA7D2F" w:rsidRDefault="002469B8" w:rsidP="000F70EB">
      <w:pPr>
        <w:pStyle w:val="SingleTxtG"/>
        <w:rPr>
          <w:lang w:val="en-US"/>
        </w:rPr>
      </w:pPr>
      <w:r>
        <w:rPr>
          <w:lang w:val="en-US"/>
        </w:rPr>
        <w:t>24</w:t>
      </w:r>
      <w:r w:rsidR="008564C3" w:rsidRPr="00AA7D2F">
        <w:rPr>
          <w:lang w:val="en-US"/>
        </w:rPr>
        <w:t>.</w:t>
      </w:r>
      <w:r w:rsidR="008564C3" w:rsidRPr="00AA7D2F">
        <w:rPr>
          <w:lang w:val="en-US"/>
        </w:rPr>
        <w:tab/>
        <w:t>In accordance with rule 71, paragraph 5, of the Committee’s rules of procedure, the State party should provide, within one year,</w:t>
      </w:r>
      <w:r w:rsidR="008564C3" w:rsidRPr="00AA7D2F">
        <w:rPr>
          <w:bCs/>
          <w:lang w:val="en-US"/>
        </w:rPr>
        <w:t xml:space="preserve"> relevant information on its implementation of the Committee’s recommendations</w:t>
      </w:r>
      <w:r w:rsidR="008564C3" w:rsidRPr="00AA7D2F">
        <w:rPr>
          <w:lang w:val="en-US"/>
        </w:rPr>
        <w:t xml:space="preserve"> made in paragraphs </w:t>
      </w:r>
      <w:r w:rsidR="0012593B">
        <w:rPr>
          <w:lang w:val="en-US"/>
        </w:rPr>
        <w:t>9</w:t>
      </w:r>
      <w:r w:rsidR="00011998">
        <w:rPr>
          <w:lang w:val="en-US"/>
        </w:rPr>
        <w:t>, 1</w:t>
      </w:r>
      <w:r w:rsidR="00FE4666">
        <w:rPr>
          <w:lang w:val="en-US"/>
        </w:rPr>
        <w:t>3</w:t>
      </w:r>
      <w:r w:rsidR="00011998" w:rsidRPr="00AA7D2F">
        <w:rPr>
          <w:lang w:val="en-US"/>
        </w:rPr>
        <w:t xml:space="preserve"> </w:t>
      </w:r>
      <w:r w:rsidR="008564C3" w:rsidRPr="00AA7D2F">
        <w:rPr>
          <w:lang w:val="en-US"/>
        </w:rPr>
        <w:t>and</w:t>
      </w:r>
      <w:r w:rsidR="00011998">
        <w:rPr>
          <w:lang w:val="en-US"/>
        </w:rPr>
        <w:t xml:space="preserve"> </w:t>
      </w:r>
      <w:r w:rsidR="0012593B">
        <w:rPr>
          <w:lang w:val="en-US"/>
        </w:rPr>
        <w:t>1</w:t>
      </w:r>
      <w:r w:rsidR="00FE4666">
        <w:rPr>
          <w:lang w:val="en-US"/>
        </w:rPr>
        <w:t>8</w:t>
      </w:r>
      <w:r w:rsidR="00011998">
        <w:rPr>
          <w:lang w:val="en-US"/>
        </w:rPr>
        <w:t xml:space="preserve"> </w:t>
      </w:r>
      <w:r w:rsidR="008564C3" w:rsidRPr="00AA7D2F">
        <w:rPr>
          <w:lang w:val="en-US"/>
        </w:rPr>
        <w:t>above.</w:t>
      </w:r>
    </w:p>
    <w:p w:rsidR="008564C3" w:rsidRPr="00AA7D2F" w:rsidRDefault="000F6E4D" w:rsidP="000C5356">
      <w:pPr>
        <w:pStyle w:val="SingleTxtG"/>
        <w:rPr>
          <w:lang w:val="en-US"/>
        </w:rPr>
      </w:pPr>
      <w:r>
        <w:rPr>
          <w:lang w:val="en-US"/>
        </w:rPr>
        <w:t>25</w:t>
      </w:r>
      <w:r w:rsidR="008564C3" w:rsidRPr="00AA7D2F">
        <w:rPr>
          <w:lang w:val="en-US"/>
        </w:rPr>
        <w:t>.</w:t>
      </w:r>
      <w:r w:rsidR="008564C3" w:rsidRPr="00AA7D2F">
        <w:rPr>
          <w:lang w:val="en-US"/>
        </w:rPr>
        <w:tab/>
        <w:t>The Committee requests the State party</w:t>
      </w:r>
      <w:r w:rsidR="00D36447" w:rsidRPr="00AA7D2F">
        <w:rPr>
          <w:lang w:val="en-US"/>
        </w:rPr>
        <w:t xml:space="preserve"> to provide</w:t>
      </w:r>
      <w:r w:rsidR="008564C3" w:rsidRPr="00AA7D2F">
        <w:rPr>
          <w:lang w:val="en-US"/>
        </w:rPr>
        <w:t xml:space="preserve">, in its next periodic report due </w:t>
      </w:r>
      <w:r w:rsidR="000C5356">
        <w:rPr>
          <w:lang w:val="en-US"/>
        </w:rPr>
        <w:t>to be submitted</w:t>
      </w:r>
      <w:r w:rsidR="008564C3" w:rsidRPr="00AA7D2F">
        <w:rPr>
          <w:lang w:val="en-US"/>
        </w:rPr>
        <w:t xml:space="preserve"> on </w:t>
      </w:r>
      <w:r w:rsidR="00F62AC6">
        <w:rPr>
          <w:lang w:val="en-US"/>
        </w:rPr>
        <w:t>30 March 2015</w:t>
      </w:r>
      <w:r w:rsidR="00F62AC6" w:rsidRPr="00AA7D2F">
        <w:rPr>
          <w:lang w:val="en-US"/>
        </w:rPr>
        <w:t xml:space="preserve">, </w:t>
      </w:r>
      <w:r w:rsidR="008564C3" w:rsidRPr="00AA7D2F">
        <w:rPr>
          <w:lang w:val="en-US"/>
        </w:rPr>
        <w:t xml:space="preserve">specific, up-to-date information on </w:t>
      </w:r>
      <w:r w:rsidR="00D36447" w:rsidRPr="00AA7D2F">
        <w:rPr>
          <w:lang w:val="en-US"/>
        </w:rPr>
        <w:t xml:space="preserve">the implementation of </w:t>
      </w:r>
      <w:r w:rsidR="008564C3" w:rsidRPr="00AA7D2F">
        <w:rPr>
          <w:lang w:val="en-US"/>
        </w:rPr>
        <w:t xml:space="preserve">all its recommendations and on the Covenant as a whole. </w:t>
      </w:r>
      <w:r w:rsidR="00D36447" w:rsidRPr="00AA7D2F">
        <w:rPr>
          <w:lang w:val="en-US"/>
        </w:rPr>
        <w:t>The Committee also requests the State party, when preparing its next periodic report, to broadly consult civil society and non-governmental organizations operating in the country.</w:t>
      </w:r>
    </w:p>
    <w:p w:rsidR="008564C3" w:rsidRPr="00AA7D2F" w:rsidRDefault="005B11B4" w:rsidP="008564C3">
      <w:pPr>
        <w:pStyle w:val="SingleTxtG"/>
        <w:spacing w:before="240" w:after="0"/>
        <w:jc w:val="center"/>
        <w:rPr>
          <w:u w:val="single"/>
          <w:lang w:val="en-US"/>
        </w:rPr>
      </w:pPr>
      <w:r>
        <w:rPr>
          <w:u w:val="single"/>
          <w:lang w:val="en-US"/>
        </w:rPr>
        <w:t xml:space="preserve"> </w:t>
      </w:r>
      <w:r w:rsidR="008564C3" w:rsidRPr="00AA7D2F">
        <w:rPr>
          <w:u w:val="single"/>
          <w:lang w:val="en-US"/>
        </w:rPr>
        <w:tab/>
      </w:r>
      <w:r w:rsidR="008564C3" w:rsidRPr="00AA7D2F">
        <w:rPr>
          <w:u w:val="single"/>
          <w:lang w:val="en-US"/>
        </w:rPr>
        <w:tab/>
      </w:r>
      <w:r w:rsidR="008564C3" w:rsidRPr="00AA7D2F">
        <w:rPr>
          <w:u w:val="single"/>
          <w:lang w:val="en-US"/>
        </w:rPr>
        <w:tab/>
      </w:r>
    </w:p>
    <w:sectPr w:rsidR="008564C3" w:rsidRPr="00AA7D2F" w:rsidSect="008564C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EC" w:rsidRDefault="002B11EC"/>
  </w:endnote>
  <w:endnote w:type="continuationSeparator" w:id="0">
    <w:p w:rsidR="002B11EC" w:rsidRDefault="002B11EC"/>
  </w:endnote>
  <w:endnote w:type="continuationNotice" w:id="1">
    <w:p w:rsidR="002B11EC" w:rsidRDefault="002B1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80" w:rsidRPr="008564C3" w:rsidRDefault="00BE2E80" w:rsidP="008564C3">
    <w:pPr>
      <w:pStyle w:val="Footer"/>
      <w:tabs>
        <w:tab w:val="right" w:pos="9638"/>
      </w:tabs>
    </w:pPr>
    <w:r w:rsidRPr="008564C3">
      <w:rPr>
        <w:b/>
        <w:sz w:val="18"/>
      </w:rPr>
      <w:fldChar w:fldCharType="begin"/>
    </w:r>
    <w:r w:rsidRPr="008564C3">
      <w:rPr>
        <w:b/>
        <w:sz w:val="18"/>
      </w:rPr>
      <w:instrText xml:space="preserve"> PAGE  \* MERGEFORMAT </w:instrText>
    </w:r>
    <w:r w:rsidRPr="008564C3">
      <w:rPr>
        <w:b/>
        <w:sz w:val="18"/>
      </w:rPr>
      <w:fldChar w:fldCharType="separate"/>
    </w:r>
    <w:r w:rsidR="00691672">
      <w:rPr>
        <w:b/>
        <w:noProof/>
        <w:sz w:val="18"/>
      </w:rPr>
      <w:t>6</w:t>
    </w:r>
    <w:r w:rsidRPr="008564C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80" w:rsidRPr="008564C3" w:rsidRDefault="00BE2E80" w:rsidP="008564C3">
    <w:pPr>
      <w:pStyle w:val="Footer"/>
      <w:tabs>
        <w:tab w:val="right" w:pos="9638"/>
      </w:tabs>
      <w:rPr>
        <w:b/>
        <w:sz w:val="18"/>
      </w:rPr>
    </w:pPr>
    <w:r>
      <w:tab/>
    </w:r>
    <w:r w:rsidRPr="008564C3">
      <w:rPr>
        <w:b/>
        <w:sz w:val="18"/>
      </w:rPr>
      <w:fldChar w:fldCharType="begin"/>
    </w:r>
    <w:r w:rsidRPr="008564C3">
      <w:rPr>
        <w:b/>
        <w:sz w:val="18"/>
      </w:rPr>
      <w:instrText xml:space="preserve"> PAGE  \* MERGEFORMAT </w:instrText>
    </w:r>
    <w:r w:rsidRPr="008564C3">
      <w:rPr>
        <w:b/>
        <w:sz w:val="18"/>
      </w:rPr>
      <w:fldChar w:fldCharType="separate"/>
    </w:r>
    <w:r w:rsidR="00691672">
      <w:rPr>
        <w:b/>
        <w:noProof/>
        <w:sz w:val="18"/>
      </w:rPr>
      <w:t>5</w:t>
    </w:r>
    <w:r w:rsidRPr="008564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80" w:rsidRPr="008564C3" w:rsidRDefault="00BE2E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864895">
      <w:t>GE.12-</w:t>
    </w:r>
    <w:r w:rsidR="00691672">
      <w:t>42091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EC" w:rsidRPr="000B175B" w:rsidRDefault="002B11EC" w:rsidP="000B175B">
      <w:pPr>
        <w:tabs>
          <w:tab w:val="right" w:pos="2155"/>
        </w:tabs>
        <w:spacing w:after="80"/>
        <w:ind w:left="680"/>
        <w:rPr>
          <w:u w:val="single"/>
        </w:rPr>
      </w:pPr>
      <w:r>
        <w:rPr>
          <w:u w:val="single"/>
        </w:rPr>
        <w:tab/>
      </w:r>
    </w:p>
  </w:footnote>
  <w:footnote w:type="continuationSeparator" w:id="0">
    <w:p w:rsidR="002B11EC" w:rsidRPr="00FC68B7" w:rsidRDefault="002B11EC" w:rsidP="00FC68B7">
      <w:pPr>
        <w:tabs>
          <w:tab w:val="left" w:pos="2155"/>
        </w:tabs>
        <w:spacing w:after="80"/>
        <w:ind w:left="680"/>
        <w:rPr>
          <w:u w:val="single"/>
        </w:rPr>
      </w:pPr>
      <w:r>
        <w:rPr>
          <w:u w:val="single"/>
        </w:rPr>
        <w:tab/>
      </w:r>
    </w:p>
  </w:footnote>
  <w:footnote w:type="continuationNotice" w:id="1">
    <w:p w:rsidR="002B11EC" w:rsidRDefault="002B11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80" w:rsidRPr="008564C3" w:rsidRDefault="00BE2E80">
    <w:pPr>
      <w:pStyle w:val="Header"/>
    </w:pPr>
    <w:r>
      <w:t>CCPR/C/TKM/CO/1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80" w:rsidRPr="008564C3" w:rsidRDefault="00BE2E80" w:rsidP="008564C3">
    <w:pPr>
      <w:pStyle w:val="Header"/>
      <w:jc w:val="right"/>
    </w:pPr>
    <w:r>
      <w:t>CCPR/C/TKM/CO/1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06E4978"/>
    <w:multiLevelType w:val="hybridMultilevel"/>
    <w:tmpl w:val="787EF030"/>
    <w:lvl w:ilvl="0" w:tplc="07DCBE36">
      <w:start w:val="3"/>
      <w:numFmt w:val="decimal"/>
      <w:lvlText w:val="%1."/>
      <w:lvlJc w:val="left"/>
      <w:pPr>
        <w:tabs>
          <w:tab w:val="num" w:pos="1655"/>
        </w:tabs>
        <w:ind w:left="1655" w:hanging="555"/>
      </w:pPr>
      <w:rPr>
        <w:rFonts w:cs="Times New Roman" w:hint="default"/>
        <w:b w:val="0"/>
      </w:rPr>
    </w:lvl>
    <w:lvl w:ilvl="1" w:tplc="BC9E9BC0">
      <w:start w:val="1"/>
      <w:numFmt w:val="lowerLetter"/>
      <w:lvlText w:val="(%2)"/>
      <w:lvlJc w:val="left"/>
      <w:pPr>
        <w:tabs>
          <w:tab w:val="num" w:pos="2424"/>
        </w:tabs>
        <w:ind w:left="2424" w:hanging="570"/>
      </w:pPr>
      <w:rPr>
        <w:rFonts w:cs="Times New Roman" w:hint="default"/>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3F37A0"/>
    <w:multiLevelType w:val="hybridMultilevel"/>
    <w:tmpl w:val="CC4898CC"/>
    <w:lvl w:ilvl="0" w:tplc="E4A4FD70">
      <w:start w:val="2"/>
      <w:numFmt w:val="upperLetter"/>
      <w:lvlText w:val="%1."/>
      <w:lvlJc w:val="left"/>
      <w:pPr>
        <w:tabs>
          <w:tab w:val="num" w:pos="1137"/>
        </w:tabs>
        <w:ind w:left="1137" w:hanging="570"/>
      </w:pPr>
      <w:rPr>
        <w:rFonts w:cs="Times New Roman"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BD1"/>
    <w:rsid w:val="00011998"/>
    <w:rsid w:val="00030722"/>
    <w:rsid w:val="000326BC"/>
    <w:rsid w:val="000328B2"/>
    <w:rsid w:val="000422BE"/>
    <w:rsid w:val="00050F6B"/>
    <w:rsid w:val="00056A80"/>
    <w:rsid w:val="00071365"/>
    <w:rsid w:val="00072C8C"/>
    <w:rsid w:val="00073291"/>
    <w:rsid w:val="000905D0"/>
    <w:rsid w:val="000931C0"/>
    <w:rsid w:val="000A1191"/>
    <w:rsid w:val="000B175B"/>
    <w:rsid w:val="000B3A0F"/>
    <w:rsid w:val="000B597B"/>
    <w:rsid w:val="000B5B3F"/>
    <w:rsid w:val="000C5356"/>
    <w:rsid w:val="000E0415"/>
    <w:rsid w:val="000F6E4D"/>
    <w:rsid w:val="000F70EB"/>
    <w:rsid w:val="000F77F8"/>
    <w:rsid w:val="001071C3"/>
    <w:rsid w:val="00114620"/>
    <w:rsid w:val="0011583F"/>
    <w:rsid w:val="0012593B"/>
    <w:rsid w:val="001268E3"/>
    <w:rsid w:val="00141DB6"/>
    <w:rsid w:val="00157B56"/>
    <w:rsid w:val="00161AFB"/>
    <w:rsid w:val="00163761"/>
    <w:rsid w:val="00166EA0"/>
    <w:rsid w:val="00167F9A"/>
    <w:rsid w:val="00197972"/>
    <w:rsid w:val="001B28A1"/>
    <w:rsid w:val="001B4B04"/>
    <w:rsid w:val="001B5A0E"/>
    <w:rsid w:val="001C6663"/>
    <w:rsid w:val="001C7895"/>
    <w:rsid w:val="001D26DF"/>
    <w:rsid w:val="001D3A9A"/>
    <w:rsid w:val="001E2214"/>
    <w:rsid w:val="001E627E"/>
    <w:rsid w:val="001F6387"/>
    <w:rsid w:val="001F6479"/>
    <w:rsid w:val="0020016B"/>
    <w:rsid w:val="0020322F"/>
    <w:rsid w:val="00207734"/>
    <w:rsid w:val="00211E0B"/>
    <w:rsid w:val="00220FBF"/>
    <w:rsid w:val="00243401"/>
    <w:rsid w:val="0024499A"/>
    <w:rsid w:val="002469B8"/>
    <w:rsid w:val="00271693"/>
    <w:rsid w:val="002878EA"/>
    <w:rsid w:val="002950C3"/>
    <w:rsid w:val="002B11EC"/>
    <w:rsid w:val="002D030D"/>
    <w:rsid w:val="002D4629"/>
    <w:rsid w:val="002D4A57"/>
    <w:rsid w:val="003036E1"/>
    <w:rsid w:val="003038F3"/>
    <w:rsid w:val="0031067C"/>
    <w:rsid w:val="003107FA"/>
    <w:rsid w:val="003112FD"/>
    <w:rsid w:val="003229D8"/>
    <w:rsid w:val="0033745A"/>
    <w:rsid w:val="0034406B"/>
    <w:rsid w:val="00373DD3"/>
    <w:rsid w:val="0038551A"/>
    <w:rsid w:val="003859F1"/>
    <w:rsid w:val="0039277A"/>
    <w:rsid w:val="00393A7E"/>
    <w:rsid w:val="003972E0"/>
    <w:rsid w:val="003B542B"/>
    <w:rsid w:val="003C2C5C"/>
    <w:rsid w:val="003C2CC4"/>
    <w:rsid w:val="003D3F4A"/>
    <w:rsid w:val="003D483C"/>
    <w:rsid w:val="003D4B23"/>
    <w:rsid w:val="003D5AD9"/>
    <w:rsid w:val="003D63A3"/>
    <w:rsid w:val="003E3C9D"/>
    <w:rsid w:val="00400EB6"/>
    <w:rsid w:val="00413392"/>
    <w:rsid w:val="00414944"/>
    <w:rsid w:val="0041499F"/>
    <w:rsid w:val="00414E24"/>
    <w:rsid w:val="00414FE6"/>
    <w:rsid w:val="00421A44"/>
    <w:rsid w:val="004325CB"/>
    <w:rsid w:val="00435E3A"/>
    <w:rsid w:val="00445553"/>
    <w:rsid w:val="0044668D"/>
    <w:rsid w:val="00446DE4"/>
    <w:rsid w:val="004544DB"/>
    <w:rsid w:val="004579D9"/>
    <w:rsid w:val="00464761"/>
    <w:rsid w:val="004667D4"/>
    <w:rsid w:val="00466D16"/>
    <w:rsid w:val="00476B9B"/>
    <w:rsid w:val="00484578"/>
    <w:rsid w:val="004923D7"/>
    <w:rsid w:val="00492D6D"/>
    <w:rsid w:val="00492E56"/>
    <w:rsid w:val="004978E0"/>
    <w:rsid w:val="004A3374"/>
    <w:rsid w:val="004A41CA"/>
    <w:rsid w:val="004B54E5"/>
    <w:rsid w:val="004C5913"/>
    <w:rsid w:val="004C7FE7"/>
    <w:rsid w:val="004D6AE0"/>
    <w:rsid w:val="00503228"/>
    <w:rsid w:val="00505384"/>
    <w:rsid w:val="00506206"/>
    <w:rsid w:val="00507AB5"/>
    <w:rsid w:val="005246EF"/>
    <w:rsid w:val="0054093A"/>
    <w:rsid w:val="005420F2"/>
    <w:rsid w:val="00545786"/>
    <w:rsid w:val="00560B65"/>
    <w:rsid w:val="00573A05"/>
    <w:rsid w:val="00576E64"/>
    <w:rsid w:val="00595877"/>
    <w:rsid w:val="005A375A"/>
    <w:rsid w:val="005B0B8D"/>
    <w:rsid w:val="005B11B4"/>
    <w:rsid w:val="005B3DB3"/>
    <w:rsid w:val="005B6C18"/>
    <w:rsid w:val="005D5ED2"/>
    <w:rsid w:val="005F02A9"/>
    <w:rsid w:val="005F15A2"/>
    <w:rsid w:val="00601F7C"/>
    <w:rsid w:val="00605CDC"/>
    <w:rsid w:val="006110FD"/>
    <w:rsid w:val="00611FC4"/>
    <w:rsid w:val="006176FB"/>
    <w:rsid w:val="00627ED0"/>
    <w:rsid w:val="00633933"/>
    <w:rsid w:val="0064055D"/>
    <w:rsid w:val="00640B26"/>
    <w:rsid w:val="00640E22"/>
    <w:rsid w:val="006457DA"/>
    <w:rsid w:val="00650C25"/>
    <w:rsid w:val="00657E54"/>
    <w:rsid w:val="0066210B"/>
    <w:rsid w:val="00665595"/>
    <w:rsid w:val="006744C3"/>
    <w:rsid w:val="00691672"/>
    <w:rsid w:val="00692742"/>
    <w:rsid w:val="006A5F10"/>
    <w:rsid w:val="006A7392"/>
    <w:rsid w:val="006C2F69"/>
    <w:rsid w:val="006C2F93"/>
    <w:rsid w:val="006C5178"/>
    <w:rsid w:val="006E564B"/>
    <w:rsid w:val="006F19EC"/>
    <w:rsid w:val="006F4141"/>
    <w:rsid w:val="007141F0"/>
    <w:rsid w:val="007261AE"/>
    <w:rsid w:val="0072632A"/>
    <w:rsid w:val="0073175F"/>
    <w:rsid w:val="00734323"/>
    <w:rsid w:val="007369EB"/>
    <w:rsid w:val="00760048"/>
    <w:rsid w:val="00780E1D"/>
    <w:rsid w:val="0078142B"/>
    <w:rsid w:val="00783460"/>
    <w:rsid w:val="007856DA"/>
    <w:rsid w:val="007A71FB"/>
    <w:rsid w:val="007B6BA5"/>
    <w:rsid w:val="007C3390"/>
    <w:rsid w:val="007C4F4B"/>
    <w:rsid w:val="007D5877"/>
    <w:rsid w:val="007E4C99"/>
    <w:rsid w:val="007F0B83"/>
    <w:rsid w:val="007F6611"/>
    <w:rsid w:val="008175E9"/>
    <w:rsid w:val="008242D7"/>
    <w:rsid w:val="008311A3"/>
    <w:rsid w:val="008326BE"/>
    <w:rsid w:val="0084167D"/>
    <w:rsid w:val="008564C3"/>
    <w:rsid w:val="00857008"/>
    <w:rsid w:val="00864895"/>
    <w:rsid w:val="0086673E"/>
    <w:rsid w:val="00866A81"/>
    <w:rsid w:val="00871B30"/>
    <w:rsid w:val="00871FD5"/>
    <w:rsid w:val="008761C0"/>
    <w:rsid w:val="00876DDA"/>
    <w:rsid w:val="00883006"/>
    <w:rsid w:val="00890A12"/>
    <w:rsid w:val="00892A01"/>
    <w:rsid w:val="008979B1"/>
    <w:rsid w:val="008A5298"/>
    <w:rsid w:val="008A6B25"/>
    <w:rsid w:val="008A6C4F"/>
    <w:rsid w:val="008C38FC"/>
    <w:rsid w:val="008C5382"/>
    <w:rsid w:val="008D1250"/>
    <w:rsid w:val="008E0E46"/>
    <w:rsid w:val="008F0DE4"/>
    <w:rsid w:val="00907AD2"/>
    <w:rsid w:val="00937226"/>
    <w:rsid w:val="00947DE4"/>
    <w:rsid w:val="00951938"/>
    <w:rsid w:val="00963CBA"/>
    <w:rsid w:val="00965ABA"/>
    <w:rsid w:val="0096659F"/>
    <w:rsid w:val="00974A8D"/>
    <w:rsid w:val="009777AF"/>
    <w:rsid w:val="00991261"/>
    <w:rsid w:val="009C7778"/>
    <w:rsid w:val="009E5CC7"/>
    <w:rsid w:val="009E74D5"/>
    <w:rsid w:val="009F3A17"/>
    <w:rsid w:val="009F4E0A"/>
    <w:rsid w:val="00A1427D"/>
    <w:rsid w:val="00A15411"/>
    <w:rsid w:val="00A17106"/>
    <w:rsid w:val="00A245AF"/>
    <w:rsid w:val="00A32784"/>
    <w:rsid w:val="00A37D4B"/>
    <w:rsid w:val="00A45BAD"/>
    <w:rsid w:val="00A669ED"/>
    <w:rsid w:val="00A72F22"/>
    <w:rsid w:val="00A74587"/>
    <w:rsid w:val="00A748A6"/>
    <w:rsid w:val="00A7761C"/>
    <w:rsid w:val="00A77F69"/>
    <w:rsid w:val="00A879A4"/>
    <w:rsid w:val="00A927DD"/>
    <w:rsid w:val="00AA2F87"/>
    <w:rsid w:val="00AA7D2F"/>
    <w:rsid w:val="00AB58FE"/>
    <w:rsid w:val="00AD7F24"/>
    <w:rsid w:val="00B30179"/>
    <w:rsid w:val="00B31823"/>
    <w:rsid w:val="00B33EC0"/>
    <w:rsid w:val="00B35E25"/>
    <w:rsid w:val="00B53569"/>
    <w:rsid w:val="00B54C9D"/>
    <w:rsid w:val="00B579DC"/>
    <w:rsid w:val="00B76B42"/>
    <w:rsid w:val="00B81E12"/>
    <w:rsid w:val="00B90DB4"/>
    <w:rsid w:val="00BA5C25"/>
    <w:rsid w:val="00BB5FB7"/>
    <w:rsid w:val="00BC22B2"/>
    <w:rsid w:val="00BC74E9"/>
    <w:rsid w:val="00BE2E80"/>
    <w:rsid w:val="00BE4F74"/>
    <w:rsid w:val="00BE618E"/>
    <w:rsid w:val="00BF3493"/>
    <w:rsid w:val="00BF35BE"/>
    <w:rsid w:val="00BF3FA9"/>
    <w:rsid w:val="00BF781B"/>
    <w:rsid w:val="00C05AC0"/>
    <w:rsid w:val="00C06B5C"/>
    <w:rsid w:val="00C170F2"/>
    <w:rsid w:val="00C17699"/>
    <w:rsid w:val="00C249A9"/>
    <w:rsid w:val="00C25732"/>
    <w:rsid w:val="00C2644D"/>
    <w:rsid w:val="00C26DD9"/>
    <w:rsid w:val="00C463DD"/>
    <w:rsid w:val="00C55ACD"/>
    <w:rsid w:val="00C5720E"/>
    <w:rsid w:val="00C609A9"/>
    <w:rsid w:val="00C70FBB"/>
    <w:rsid w:val="00C745C3"/>
    <w:rsid w:val="00C92D32"/>
    <w:rsid w:val="00CB3033"/>
    <w:rsid w:val="00CB48A6"/>
    <w:rsid w:val="00CB50B2"/>
    <w:rsid w:val="00CD6047"/>
    <w:rsid w:val="00CE09E2"/>
    <w:rsid w:val="00CE4A8F"/>
    <w:rsid w:val="00CF3B25"/>
    <w:rsid w:val="00D007AB"/>
    <w:rsid w:val="00D0258E"/>
    <w:rsid w:val="00D07CFA"/>
    <w:rsid w:val="00D2031B"/>
    <w:rsid w:val="00D20F94"/>
    <w:rsid w:val="00D25FE2"/>
    <w:rsid w:val="00D26A3C"/>
    <w:rsid w:val="00D317BB"/>
    <w:rsid w:val="00D33454"/>
    <w:rsid w:val="00D36447"/>
    <w:rsid w:val="00D43252"/>
    <w:rsid w:val="00D4508F"/>
    <w:rsid w:val="00D537B4"/>
    <w:rsid w:val="00D54B13"/>
    <w:rsid w:val="00D72920"/>
    <w:rsid w:val="00D737B6"/>
    <w:rsid w:val="00D811D9"/>
    <w:rsid w:val="00D8472C"/>
    <w:rsid w:val="00D95D1D"/>
    <w:rsid w:val="00D978C6"/>
    <w:rsid w:val="00DA094C"/>
    <w:rsid w:val="00DA3A16"/>
    <w:rsid w:val="00DA5A32"/>
    <w:rsid w:val="00DA67AD"/>
    <w:rsid w:val="00DB5D0F"/>
    <w:rsid w:val="00DB63DD"/>
    <w:rsid w:val="00DB6638"/>
    <w:rsid w:val="00DC420D"/>
    <w:rsid w:val="00DC6703"/>
    <w:rsid w:val="00DE5522"/>
    <w:rsid w:val="00DF0F82"/>
    <w:rsid w:val="00DF12F7"/>
    <w:rsid w:val="00E02C81"/>
    <w:rsid w:val="00E11D38"/>
    <w:rsid w:val="00E130AB"/>
    <w:rsid w:val="00E175A0"/>
    <w:rsid w:val="00E62A20"/>
    <w:rsid w:val="00E66FA6"/>
    <w:rsid w:val="00E7260F"/>
    <w:rsid w:val="00E87921"/>
    <w:rsid w:val="00E96630"/>
    <w:rsid w:val="00EA253A"/>
    <w:rsid w:val="00EB455B"/>
    <w:rsid w:val="00EB7461"/>
    <w:rsid w:val="00ED7A2A"/>
    <w:rsid w:val="00EE0F25"/>
    <w:rsid w:val="00EF1D7F"/>
    <w:rsid w:val="00F02719"/>
    <w:rsid w:val="00F040AF"/>
    <w:rsid w:val="00F10027"/>
    <w:rsid w:val="00F21AC3"/>
    <w:rsid w:val="00F23859"/>
    <w:rsid w:val="00F47DD4"/>
    <w:rsid w:val="00F53EDA"/>
    <w:rsid w:val="00F56C05"/>
    <w:rsid w:val="00F62AC6"/>
    <w:rsid w:val="00F734A1"/>
    <w:rsid w:val="00F75317"/>
    <w:rsid w:val="00F75BD1"/>
    <w:rsid w:val="00F7753D"/>
    <w:rsid w:val="00F80948"/>
    <w:rsid w:val="00F85F34"/>
    <w:rsid w:val="00F865ED"/>
    <w:rsid w:val="00F9553C"/>
    <w:rsid w:val="00FA06F7"/>
    <w:rsid w:val="00FA34E8"/>
    <w:rsid w:val="00FB171A"/>
    <w:rsid w:val="00FC65F1"/>
    <w:rsid w:val="00FC68B7"/>
    <w:rsid w:val="00FD7BF6"/>
    <w:rsid w:val="00FE4666"/>
    <w:rsid w:val="00FE7D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414FE6"/>
    <w:pPr>
      <w:spacing w:line="240" w:lineRule="auto"/>
    </w:pPr>
    <w:rPr>
      <w:rFonts w:ascii="Tahoma" w:hAnsi="Tahoma" w:cs="Tahoma"/>
      <w:sz w:val="16"/>
      <w:szCs w:val="16"/>
    </w:rPr>
  </w:style>
  <w:style w:type="character" w:customStyle="1" w:styleId="BalloonTextChar">
    <w:name w:val="Balloon Text Char"/>
    <w:link w:val="BalloonText"/>
    <w:rsid w:val="00414FE6"/>
    <w:rPr>
      <w:rFonts w:ascii="Tahoma" w:hAnsi="Tahoma" w:cs="Tahoma"/>
      <w:sz w:val="16"/>
      <w:szCs w:val="16"/>
      <w:lang w:eastAsia="en-US"/>
    </w:rPr>
  </w:style>
  <w:style w:type="character" w:styleId="CommentReference">
    <w:name w:val="annotation reference"/>
    <w:rsid w:val="0041499F"/>
    <w:rPr>
      <w:sz w:val="16"/>
      <w:szCs w:val="16"/>
    </w:rPr>
  </w:style>
  <w:style w:type="paragraph" w:styleId="CommentText">
    <w:name w:val="annotation text"/>
    <w:basedOn w:val="Normal"/>
    <w:link w:val="CommentTextChar"/>
    <w:rsid w:val="0041499F"/>
  </w:style>
  <w:style w:type="character" w:customStyle="1" w:styleId="CommentTextChar">
    <w:name w:val="Comment Text Char"/>
    <w:link w:val="CommentText"/>
    <w:rsid w:val="0041499F"/>
    <w:rPr>
      <w:lang w:eastAsia="en-US"/>
    </w:rPr>
  </w:style>
  <w:style w:type="paragraph" w:styleId="CommentSubject">
    <w:name w:val="annotation subject"/>
    <w:basedOn w:val="CommentText"/>
    <w:next w:val="CommentText"/>
    <w:link w:val="CommentSubjectChar"/>
    <w:rsid w:val="0041499F"/>
    <w:rPr>
      <w:b/>
      <w:bCs/>
    </w:rPr>
  </w:style>
  <w:style w:type="character" w:customStyle="1" w:styleId="CommentSubjectChar">
    <w:name w:val="Comment Subject Char"/>
    <w:link w:val="CommentSubject"/>
    <w:rsid w:val="0041499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2717</Words>
  <Characters>15488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CCPR/C/KAZ/CO/1/CRP</vt:lpstr>
    </vt:vector>
  </TitlesOfParts>
  <Company>CSD</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CCPR/C/KAZ/CO/1/CRP</dc:title>
  <dc:subject/>
  <dc:creator>default</dc:creator>
  <cp:keywords/>
  <cp:lastModifiedBy>DCM</cp:lastModifiedBy>
  <cp:revision>2</cp:revision>
  <cp:lastPrinted>2012-04-19T08:31:00Z</cp:lastPrinted>
  <dcterms:created xsi:type="dcterms:W3CDTF">2012-04-26T10:48:00Z</dcterms:created>
  <dcterms:modified xsi:type="dcterms:W3CDTF">2012-04-26T10:48:00Z</dcterms:modified>
</cp:coreProperties>
</file>