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26157" w:rsidTr="00776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926157" w:rsidRDefault="00926157" w:rsidP="00926157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86.4pt;margin-top:706.25pt;width:141.75pt;height:28.35pt;z-index:1;mso-position-horizontal-relative:page" o:allowincell="f" stroked="f">
                  <v:textbox style="mso-next-textbox:#_x0000_s2051" inset="0">
                    <w:txbxContent>
                      <w:p w:rsidR="00926157" w:rsidRDefault="00926157" w:rsidP="0092615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</w:instrText>
                        </w:r>
                        <w:r>
                          <w:instrText>и</w:instrText>
                        </w:r>
                        <w:r>
                          <w:rPr>
                            <w:lang w:val="en-US"/>
                          </w:rPr>
                          <w:instrText xml:space="preserve">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41457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926157" w:rsidRPr="00926157" w:rsidRDefault="00926157" w:rsidP="00926157">
            <w:pPr>
              <w:pStyle w:val="Heading4"/>
              <w:rPr>
                <w:i w:val="0"/>
                <w:sz w:val="30"/>
                <w:szCs w:val="30"/>
              </w:rPr>
            </w:pPr>
            <w:r w:rsidRPr="00926157">
              <w:rPr>
                <w:i w:val="0"/>
                <w:sz w:val="30"/>
                <w:szCs w:val="30"/>
              </w:rPr>
              <w:t>ОБЪЕДИНЕННЫХ НАЦИЙ</w:t>
            </w:r>
          </w:p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926157" w:rsidRPr="00926157" w:rsidRDefault="00926157" w:rsidP="00776BA6">
            <w:pPr>
              <w:pStyle w:val="Heading5"/>
              <w:jc w:val="right"/>
              <w:rPr>
                <w:b/>
                <w:i w:val="0"/>
                <w:sz w:val="72"/>
                <w:szCs w:val="72"/>
                <w:u w:val="none"/>
              </w:rPr>
            </w:pPr>
            <w:r w:rsidRPr="00926157">
              <w:rPr>
                <w:b/>
                <w:i w:val="0"/>
                <w:sz w:val="72"/>
                <w:szCs w:val="72"/>
                <w:u w:val="none"/>
              </w:rPr>
              <w:t>CERD</w:t>
            </w:r>
          </w:p>
        </w:tc>
      </w:tr>
    </w:tbl>
    <w:p w:rsidR="00926157" w:rsidRDefault="00926157" w:rsidP="00926157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926157" w:rsidRPr="006555BB" w:rsidTr="00776BA6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926157" w:rsidRDefault="00926157" w:rsidP="00776BA6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554065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926157" w:rsidRDefault="00926157" w:rsidP="00776BA6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926157" w:rsidRDefault="00926157" w:rsidP="00776BA6"/>
          <w:p w:rsidR="00926157" w:rsidRDefault="00926157" w:rsidP="00776BA6">
            <w:pPr>
              <w:spacing w:line="216" w:lineRule="auto"/>
            </w:pPr>
            <w:r>
              <w:t>Distr.</w:t>
            </w:r>
          </w:p>
          <w:p w:rsidR="00926157" w:rsidRDefault="00926157" w:rsidP="00776BA6">
            <w:pPr>
              <w:spacing w:line="216" w:lineRule="auto"/>
            </w:pP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instrText xml:space="preserve"> FORMDROPDOWN </w:instrText>
            </w:r>
            <w:r>
              <w:fldChar w:fldCharType="end"/>
            </w:r>
            <w:bookmarkEnd w:id="0"/>
          </w:p>
          <w:p w:rsidR="00926157" w:rsidRDefault="00926157" w:rsidP="00776BA6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</w:rPr>
            </w:pPr>
          </w:p>
          <w:p w:rsidR="00926157" w:rsidRPr="006555BB" w:rsidRDefault="00926157" w:rsidP="00776BA6">
            <w:pPr>
              <w:spacing w:line="216" w:lineRule="auto"/>
              <w:rPr>
                <w:lang w:val="en-US"/>
              </w:rPr>
            </w:pPr>
            <w:r>
              <w:fldChar w:fldCharType="begin"/>
            </w:r>
            <w:r w:rsidRPr="006555BB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555BB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6555BB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6555BB">
              <w:rPr>
                <w:lang w:val="en-US"/>
              </w:rPr>
              <w:instrText xml:space="preserve">" \* MERGEFORMAT </w:instrText>
            </w:r>
            <w:r>
              <w:fldChar w:fldCharType="separate"/>
            </w:r>
            <w:r w:rsidRPr="006555BB">
              <w:rPr>
                <w:lang w:val="en-US"/>
              </w:rPr>
              <w:t>CERD/C/304/Add.97</w:t>
            </w:r>
            <w:r>
              <w:fldChar w:fldCharType="end"/>
            </w:r>
          </w:p>
          <w:p w:rsidR="00926157" w:rsidRPr="006555BB" w:rsidRDefault="00926157" w:rsidP="00776BA6">
            <w:pPr>
              <w:spacing w:line="216" w:lineRule="auto"/>
              <w:rPr>
                <w:lang w:val="en-US"/>
              </w:rPr>
            </w:pPr>
            <w:r>
              <w:fldChar w:fldCharType="begin"/>
            </w:r>
            <w:r w:rsidRPr="006555BB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555BB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6555BB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6555BB">
              <w:rPr>
                <w:lang w:val="en-US"/>
              </w:rPr>
              <w:instrText xml:space="preserve">" \* MERGEFORMAT </w:instrText>
            </w:r>
            <w:r>
              <w:fldChar w:fldCharType="separate"/>
            </w:r>
            <w:r w:rsidRPr="006555BB">
              <w:rPr>
                <w:lang w:val="en-US"/>
              </w:rPr>
              <w:t>19 April 2000</w:t>
            </w:r>
            <w:r>
              <w:fldChar w:fldCharType="end"/>
            </w:r>
          </w:p>
          <w:p w:rsidR="00926157" w:rsidRPr="006555BB" w:rsidRDefault="00926157" w:rsidP="00776BA6">
            <w:pPr>
              <w:spacing w:line="216" w:lineRule="auto"/>
              <w:rPr>
                <w:lang w:val="en-US"/>
              </w:rPr>
            </w:pPr>
          </w:p>
          <w:p w:rsidR="00926157" w:rsidRPr="006555BB" w:rsidRDefault="00926157" w:rsidP="00776BA6">
            <w:pPr>
              <w:spacing w:line="216" w:lineRule="auto"/>
              <w:rPr>
                <w:lang w:val="en-US"/>
              </w:rPr>
            </w:pPr>
            <w:r w:rsidRPr="006555BB">
              <w:rPr>
                <w:lang w:val="en-US"/>
              </w:rPr>
              <w:t>RUSSIAN</w:t>
            </w:r>
          </w:p>
          <w:p w:rsidR="00926157" w:rsidRPr="006555BB" w:rsidRDefault="00926157" w:rsidP="00776BA6">
            <w:pPr>
              <w:spacing w:line="216" w:lineRule="auto"/>
              <w:rPr>
                <w:lang w:val="en-US"/>
              </w:rPr>
            </w:pPr>
            <w:r w:rsidRPr="006555BB">
              <w:rPr>
                <w:lang w:val="en-US"/>
              </w:rPr>
              <w:t xml:space="preserve">Original: 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 w:rsidRPr="006555BB"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926157" w:rsidRPr="006555BB" w:rsidRDefault="00926157" w:rsidP="00776BA6">
            <w:pPr>
              <w:rPr>
                <w:lang w:val="en-US"/>
              </w:rPr>
            </w:pPr>
          </w:p>
          <w:p w:rsidR="00926157" w:rsidRPr="006555BB" w:rsidRDefault="00926157" w:rsidP="00776BA6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926157" w:rsidRPr="006555BB" w:rsidRDefault="00926157" w:rsidP="00926157">
      <w:pPr>
        <w:tabs>
          <w:tab w:val="left" w:pos="0"/>
          <w:tab w:val="left" w:pos="7086"/>
        </w:tabs>
        <w:suppressAutoHyphens/>
        <w:rPr>
          <w:sz w:val="20"/>
          <w:lang w:val="en-US"/>
        </w:rPr>
      </w:pPr>
    </w:p>
    <w:p w:rsidR="00926157" w:rsidRDefault="00926157" w:rsidP="00926157">
      <w:r>
        <w:t>КОМИТЕТ ПО ЛИКВИДАЦИИ</w:t>
      </w:r>
    </w:p>
    <w:p w:rsidR="00926157" w:rsidRDefault="00926157" w:rsidP="00926157">
      <w:r>
        <w:t>РАСОВОЙ ДИСКРИМИНАЦИИ</w:t>
      </w:r>
    </w:p>
    <w:p w:rsidR="00926157" w:rsidRDefault="00926157" w:rsidP="00926157">
      <w:r>
        <w:t>Пятьдесят шестая сессия</w:t>
      </w:r>
    </w:p>
    <w:p w:rsidR="00926157" w:rsidRDefault="00926157" w:rsidP="00926157">
      <w:r>
        <w:t>6-24 марта 2000 года</w:t>
      </w:r>
    </w:p>
    <w:p w:rsidR="00926157" w:rsidRDefault="00926157" w:rsidP="00926157"/>
    <w:p w:rsidR="00926157" w:rsidRDefault="00926157" w:rsidP="00926157"/>
    <w:p w:rsidR="00926157" w:rsidRDefault="00926157" w:rsidP="00926157"/>
    <w:p w:rsidR="00926157" w:rsidRDefault="00926157" w:rsidP="00926157">
      <w:pPr>
        <w:pStyle w:val="16"/>
      </w:pPr>
      <w:r>
        <w:t>РАССМОТРЕНИЕ ДОКЛАДОВ, ПРЕДСТАВЛЕННЫХ ГОСУДАРСТВАМИ-УЧАСТНИКАМИ В СООТВЕТСТВИИ СО СТАТЬЕЙ 9 КОНВЕНЦИИ</w:t>
      </w:r>
    </w:p>
    <w:p w:rsidR="00926157" w:rsidRDefault="00926157" w:rsidP="00926157">
      <w:pPr>
        <w:pStyle w:val="16"/>
      </w:pPr>
    </w:p>
    <w:p w:rsidR="00926157" w:rsidRDefault="00926157" w:rsidP="00926157">
      <w:pPr>
        <w:pStyle w:val="11"/>
      </w:pPr>
      <w:r>
        <w:t>Заключительные замечания Комитета по ликвидации расовой дискриминации</w:t>
      </w:r>
    </w:p>
    <w:p w:rsidR="00926157" w:rsidRDefault="00926157" w:rsidP="00926157">
      <w:pPr>
        <w:pStyle w:val="11"/>
      </w:pPr>
    </w:p>
    <w:p w:rsidR="00926157" w:rsidRDefault="00926157" w:rsidP="00926157">
      <w:pPr>
        <w:pStyle w:val="11"/>
      </w:pPr>
      <w:r>
        <w:t>Руанда</w:t>
      </w:r>
    </w:p>
    <w:p w:rsidR="00926157" w:rsidRDefault="00926157" w:rsidP="00926157">
      <w:pPr>
        <w:pStyle w:val="11"/>
      </w:pPr>
    </w:p>
    <w:p w:rsidR="00926157" w:rsidRDefault="00926157" w:rsidP="00926157">
      <w:r>
        <w:t>1.</w:t>
      </w:r>
      <w:r>
        <w:tab/>
        <w:t>Комитет рассмотрел восьмой, девятый, десятый, одиннадцатый и двенадцатый периодические доклады Руанды, представленные в одном документе (CERD/C/335/Add.1), на своих 1385-м и 1386-м заседаниях (CERD/C/SR/1385 и 1386), состоявшихся 14 и 15 марта 2000 года.  На своем 1397-м заседании, состоявшемся 23 марта 2000 года, Комитет принял нижеследующие заключительные замечания.</w:t>
      </w:r>
    </w:p>
    <w:p w:rsidR="00926157" w:rsidRDefault="00926157" w:rsidP="00926157"/>
    <w:p w:rsidR="00926157" w:rsidRDefault="00926157" w:rsidP="00926157">
      <w:pPr>
        <w:jc w:val="center"/>
      </w:pPr>
      <w:r>
        <w:t>А.</w:t>
      </w:r>
      <w:r>
        <w:tab/>
      </w:r>
      <w:r>
        <w:rPr>
          <w:u w:val="single"/>
        </w:rPr>
        <w:t>Введение</w:t>
      </w:r>
    </w:p>
    <w:p w:rsidR="00926157" w:rsidRDefault="00926157" w:rsidP="00926157">
      <w:pPr>
        <w:jc w:val="center"/>
      </w:pPr>
    </w:p>
    <w:p w:rsidR="00926157" w:rsidRDefault="00926157" w:rsidP="00926157">
      <w:r>
        <w:t>2.</w:t>
      </w:r>
      <w:r>
        <w:tab/>
        <w:t>Комитет с удовлетворением отмечает доклады, представленные государством-участником, а также дополнительную устную и письменную информацию, изложенную делегацией в качестве конструктивного ответа на вопросы членов Комитета.  Он также выражает удовлетворение в связи с предоставившейся таким образом возможностью возобновить диалог с государством-участником в рамках установленной процедуры представления докладов.</w:t>
      </w:r>
    </w:p>
    <w:p w:rsidR="00926157" w:rsidRDefault="00926157" w:rsidP="00926157"/>
    <w:p w:rsidR="00926157" w:rsidRDefault="00926157" w:rsidP="00926157">
      <w:r>
        <w:t>3.</w:t>
      </w:r>
      <w:r>
        <w:tab/>
        <w:t>Комитет отмечает, что, хотя после рассмотрения предыдущего доклада государства-участника в 1988 году прошло много времени и за это время в Руанде произошли трагические события беспрецедентных масштабов, основное внимание в докладе уделяется законодательным и практическим мерам, принимаемым государством-участником с целью ликвидации узаконенных и иных форм расовой дискриминации, но при этом мало что сказано о совершенных актах расовой дискриминации.</w:t>
      </w:r>
    </w:p>
    <w:p w:rsidR="00926157" w:rsidRDefault="00926157" w:rsidP="00926157"/>
    <w:p w:rsidR="00926157" w:rsidRDefault="00926157" w:rsidP="00926157">
      <w:pPr>
        <w:jc w:val="center"/>
      </w:pPr>
      <w:r>
        <w:t>В.</w:t>
      </w:r>
      <w:r>
        <w:tab/>
      </w:r>
      <w:r>
        <w:rPr>
          <w:u w:val="single"/>
        </w:rPr>
        <w:t>Факторы и трудности, препятствующие осуществлению Конвенции</w:t>
      </w:r>
    </w:p>
    <w:p w:rsidR="00926157" w:rsidRDefault="00926157" w:rsidP="00926157">
      <w:pPr>
        <w:jc w:val="center"/>
      </w:pPr>
    </w:p>
    <w:p w:rsidR="00926157" w:rsidRDefault="00926157" w:rsidP="00926157">
      <w:r>
        <w:t>4.</w:t>
      </w:r>
      <w:r>
        <w:tab/>
        <w:t>Комитет помнит о происшедших в 1994 году и в последующий период событиях, которые привели к геноциду и массовым убийствам, и признает, что населению государства-участника трудно преодолеть последствия этих недавних событий.  Комитет осведомлен о том, что геноцид продолжает давать о себе знать почти во всех областях жизни в государстве-участнике.  Комитет также признает проблемы, обусловленные непрекращающимися с 1994 года нападениями вооруженных оппозиционных группировок, базирующихся за пределами страны.</w:t>
      </w:r>
    </w:p>
    <w:p w:rsidR="00926157" w:rsidRDefault="00926157" w:rsidP="00926157"/>
    <w:p w:rsidR="00926157" w:rsidRDefault="00926157" w:rsidP="00926157">
      <w:r>
        <w:t>5.</w:t>
      </w:r>
      <w:r>
        <w:tab/>
        <w:t>Комитет далее принимает к сведению, что в результате актов вандализма и разворовывания в период вооруженных конфликтов в 1994 году государственные финансовые и материальные ресурсы были сведены к минимуму.  Отмечая прогресс, достигнутый государством-участником в решении некоторых из экономических проблем, стоящих перед страной, в частности в области борьбы с инфляцией, Комитет осознает, что непрекращающиеся экономические трудности в государстве-участнике, его сильная зависимость от скудной международной помощи и ограниченные ресурсы, которыми оно располагает, служат существенными препятствиями на пути к полному осуществлению Конвенции в Руанде.</w:t>
      </w:r>
    </w:p>
    <w:p w:rsidR="00926157" w:rsidRDefault="00926157" w:rsidP="00926157"/>
    <w:p w:rsidR="00926157" w:rsidRDefault="00926157" w:rsidP="00926157">
      <w:pPr>
        <w:jc w:val="center"/>
      </w:pPr>
      <w:r>
        <w:t>С.</w:t>
      </w:r>
      <w:r>
        <w:tab/>
      </w:r>
      <w:r>
        <w:rPr>
          <w:u w:val="single"/>
        </w:rPr>
        <w:t>Позитивные аспекты</w:t>
      </w:r>
    </w:p>
    <w:p w:rsidR="00926157" w:rsidRDefault="00926157" w:rsidP="00926157">
      <w:pPr>
        <w:jc w:val="center"/>
      </w:pPr>
    </w:p>
    <w:p w:rsidR="00926157" w:rsidRDefault="00926157" w:rsidP="00926157">
      <w:r>
        <w:t>6.</w:t>
      </w:r>
      <w:r>
        <w:tab/>
        <w:t>Комитет выражает удовлетворение в связи с тем, что государство-участник добилось значительного прогресса в области искоренения узаконенных форм дискриминации.  Комитет с удовлетворением отмечает учреждение независимой Национальной комиссии по правам человека, которой поручено контролировать и стимулировать соблюдение прав человека, а также наблюдать за тем, как обеспечивается управление государственными учреждениями, отвечающими за осуществление и защиту прав человека, включая права, предусмотренные Конвенцией.</w:t>
      </w:r>
    </w:p>
    <w:p w:rsidR="00926157" w:rsidRDefault="00926157" w:rsidP="00926157"/>
    <w:p w:rsidR="00926157" w:rsidRDefault="00926157" w:rsidP="00926157">
      <w:r>
        <w:t>7.</w:t>
      </w:r>
      <w:r>
        <w:tab/>
        <w:t>Комитет также принимает к сведению предпринимаемые государством-участником усилия по исключению всех ссылок на этнические различия из официальных документов и выступлений, а также из удостоверений личности.  Кроме того, Комитет отмечает усилия государства-участника, направленные на недопущение того, чтобы лица, виновные в совершении актов геноцида и других нарушениях прав человека, оставались безнаказанными, и на предание суду тех, кто несет основную ответственность за совершение подобных актов.  Комитет выражает удовлетворение в связи с усилиями государства-участника по воссозданию судебной системы, в том числе посредством профессиональной подготовки судей и сотрудников правоприменительных органов.</w:t>
      </w:r>
    </w:p>
    <w:p w:rsidR="00926157" w:rsidRDefault="00926157" w:rsidP="00926157"/>
    <w:p w:rsidR="00926157" w:rsidRDefault="00926157" w:rsidP="00926157">
      <w:r>
        <w:t>8.</w:t>
      </w:r>
      <w:r>
        <w:tab/>
        <w:t>Комитет приветствует предпринятые государством-участником усилия по содействию более эффективному осуществлению экономических и социальных прав населения, в частности путем обеспечения жилья.</w:t>
      </w:r>
    </w:p>
    <w:p w:rsidR="00926157" w:rsidRDefault="00926157" w:rsidP="00926157"/>
    <w:p w:rsidR="00926157" w:rsidRDefault="00926157" w:rsidP="00926157">
      <w:r>
        <w:t>9.</w:t>
      </w:r>
      <w:r>
        <w:tab/>
        <w:t>Комитет одобряет усилия государства-участника по приему беженцев из соседних стран.</w:t>
      </w:r>
    </w:p>
    <w:p w:rsidR="00926157" w:rsidRDefault="00926157" w:rsidP="00926157"/>
    <w:p w:rsidR="00926157" w:rsidRDefault="00926157" w:rsidP="00926157">
      <w:pPr>
        <w:jc w:val="center"/>
      </w:pPr>
      <w:r>
        <w:t>D.</w:t>
      </w:r>
      <w:r>
        <w:tab/>
      </w:r>
      <w:r>
        <w:rPr>
          <w:u w:val="single"/>
        </w:rPr>
        <w:t>Вопросы, вызывающие обеспокоенность, и рекомендации</w:t>
      </w:r>
    </w:p>
    <w:p w:rsidR="00926157" w:rsidRDefault="00926157" w:rsidP="00926157">
      <w:pPr>
        <w:jc w:val="center"/>
      </w:pPr>
    </w:p>
    <w:p w:rsidR="00926157" w:rsidRDefault="00926157" w:rsidP="00926157">
      <w:r>
        <w:t>10.</w:t>
      </w:r>
      <w:r>
        <w:tab/>
        <w:t>Комитет по</w:t>
      </w:r>
      <w:r>
        <w:noBreakHyphen/>
        <w:t>прежнему испытывает обеспокоенность в связи с тем, что в стране сохраняется обстановка безнаказанности, в частности в связи с некоторыми случаями совершения незаконных актов сотрудниками сил безопасности.  Комитет рекомендует государству-участнику и впредь добиваться решения проблемы безнаказанности надлежащими судебными средствами и настоятельно призывает его предпринять дополнительные усилия для надлежащего реагирования на незаконные акты, совершаемые военнослужащими или сотрудниками гражданских органов, и предотвращения таких актов.</w:t>
      </w:r>
    </w:p>
    <w:p w:rsidR="00926157" w:rsidRDefault="00926157" w:rsidP="00926157"/>
    <w:p w:rsidR="00926157" w:rsidRDefault="00926157" w:rsidP="00926157">
      <w:r>
        <w:t>11.</w:t>
      </w:r>
      <w:r>
        <w:tab/>
        <w:t>Комитет отмечает, что с учетом характера недавнего геноцида основную часть среди многочисленных заключенных или содержащихся под стражей лиц составляют представители этнической группы хуту.  Комитет выражает обеспокоенность в связи с плохими условиями содержания под стражей и тюремного заключения, а также высоким уровнем смертности лиц, содержащихся под стражей и в тюремном заключении.  Комитет рекомендует государству-участнику продолжить свои усилия по соблюдению минимальных стандартов содержания под стражей.</w:t>
      </w:r>
    </w:p>
    <w:p w:rsidR="00926157" w:rsidRDefault="00926157" w:rsidP="00926157"/>
    <w:p w:rsidR="00926157" w:rsidRDefault="00926157" w:rsidP="00926157">
      <w:r>
        <w:t>12.</w:t>
      </w:r>
      <w:r>
        <w:tab/>
        <w:t>Комитет признает трудности, с которыми государство-участник сталкивается при отправлении правосудия, и высоко оценивает его усилия по определению практических методов укрепления судебной процедуры, в том числе с использованием обычноправовой практики.  Он обращается к государству-участнику с настоятельным призывом принять дальнейшие меры по сокращению сроков содержания под стражей до суда и по обеспечению в рамках национального и обычноправового судопроизводства на равенство граждан перед законом, предусмотренного в статье 5 а) Конвенции.</w:t>
      </w:r>
    </w:p>
    <w:p w:rsidR="00926157" w:rsidRDefault="00926157" w:rsidP="00926157"/>
    <w:p w:rsidR="00926157" w:rsidRDefault="00926157" w:rsidP="00926157">
      <w:r>
        <w:t>13.</w:t>
      </w:r>
      <w:r>
        <w:tab/>
        <w:t>Комитет отмечает предпринимавшиеся государством-участником в прошлом усилия по внедрению таких механизмов проверки, как классификационные комиссии, в качестве дополнительного средства досрочного освобождения содержащихся под стражей лиц, в отношении которых имеются лишь незначительные доказательства совершения уголовных преступлений.  Комитет рекомендует государству-участнику возобновить такие усилия и обеспечить надлежащее ознакомление с такими процедурами населения в целом, с тем чтобы освобожденные из-под стражи лица могли возвратиться в свои общины в условиях безопасности.  Комитет далее рекомендует распространить амнистию на лиц, совершивших менее опасные преступления и признавшихся в совершении этих преступлений.</w:t>
      </w:r>
    </w:p>
    <w:p w:rsidR="00926157" w:rsidRDefault="00926157" w:rsidP="00926157"/>
    <w:p w:rsidR="00926157" w:rsidRDefault="00926157" w:rsidP="00926157">
      <w:r>
        <w:t>14.</w:t>
      </w:r>
      <w:r>
        <w:tab/>
        <w:t xml:space="preserve">Комитет с удовлетворением отмечает, что государство-участник возобновило сотрудничество с Международным трибуналом по Руанде, и рекомендует государству-участнику всесторонне помогать этому Трибуналу и сотрудничать с ним.  </w:t>
      </w:r>
    </w:p>
    <w:p w:rsidR="00926157" w:rsidRDefault="00926157" w:rsidP="00926157"/>
    <w:p w:rsidR="00926157" w:rsidRDefault="00926157" w:rsidP="00926157">
      <w:r>
        <w:t>15.</w:t>
      </w:r>
      <w:r>
        <w:tab/>
        <w:t>Отмечая, что принимаемые государством-участником меры по перемещению значительных групп населения в специализированные поселки преследуют цель улучшения доступа к водоснабжению, здравоохранению и другим услугам, Комитет испытывает обеспокоенность в связи с сообщениями об их принудительном перемещении, а также в связи с тем, что некоторые из перемещенных лиц не имеют доступа к надлежащему жилью.  Комитет рекомендует государству-участнику добиться того, чтобы все перемещения осуществлялись на недискриминационной основе и чтобы перемещенные лица могли без всякой дискриминации пользоваться правами, предусмотренными в статье 5 Конвенции.</w:t>
      </w:r>
    </w:p>
    <w:p w:rsidR="00926157" w:rsidRDefault="00926157" w:rsidP="00926157"/>
    <w:p w:rsidR="00926157" w:rsidRDefault="00926157" w:rsidP="00926157">
      <w:r>
        <w:t>16.</w:t>
      </w:r>
      <w:r>
        <w:tab/>
        <w:t>Комитет одобряет усилия государства-участника по созданию специализированного центра для несовершеннолетних, обвиняемых в участии в геноциде, однако по</w:t>
      </w:r>
      <w:r>
        <w:noBreakHyphen/>
        <w:t>прежнему обеспокоен тем, что длительные сроки содержания детей под стражей могут пагубным образом отразиться на личности ребенка.  Принимая во внимание всю серьезность и трагичность актов, в совершении которых обвиняются эти несовершеннолетние, Комитет тем не менее рекомендует государству-участнику предпринять все усилия по скорейшей реинтеграции таких несовершеннолетних в общины.</w:t>
      </w:r>
    </w:p>
    <w:p w:rsidR="00926157" w:rsidRDefault="00926157" w:rsidP="00926157"/>
    <w:p w:rsidR="00926157" w:rsidRDefault="00926157" w:rsidP="00926157">
      <w:r>
        <w:t>17.</w:t>
      </w:r>
      <w:r>
        <w:tab/>
        <w:t xml:space="preserve">Комитет испытывает обеспокоенность в связи с недавними сообщениями о формировании базирующихся в деревнях местных сил самообороны, вооруженных огнестрельным и холодным оружием, проходящих весьма ограниченную подготовку и объединяющих в своих рядах лиц весьма юного возраста.  Комитет рекомендует государству-участнику избегать любых действий, которые могли бы привести к новым вспышкам этнического насилия, в частности к актам насилия, совершаемым несовершеннолетними.  </w:t>
      </w:r>
    </w:p>
    <w:p w:rsidR="00926157" w:rsidRDefault="00926157" w:rsidP="00926157"/>
    <w:p w:rsidR="00926157" w:rsidRDefault="00926157" w:rsidP="00926157">
      <w:r>
        <w:t>18.</w:t>
      </w:r>
      <w:r>
        <w:tab/>
        <w:t>Ссылаясь на свои решения по Руанде, принятые в рамках процедур раннего предупреждения и незамедлительных действий, в частности на свои решения 5(53) от 19 августа 1998 года и 3(54) от 19 марта 1999 года, Комитет вновь выражает обеспокоенность в связи с сообщениями о запугивании представителей судебных органов, стремящихся расследовать и выявлять нарушения прав человека, совершенные после 1994 года в отношении этнических хуту.</w:t>
      </w:r>
    </w:p>
    <w:p w:rsidR="00926157" w:rsidRDefault="00926157" w:rsidP="00926157"/>
    <w:p w:rsidR="00926157" w:rsidRDefault="00926157" w:rsidP="00926157">
      <w:r>
        <w:t>19.</w:t>
      </w:r>
      <w:r>
        <w:tab/>
        <w:t>Комитет обращается к государству-участнику с призывом предпринять дополнительные усилия по расследованию утверждений о случаях серьезного этнического насилия и нарушениях гуманитарного права, которые могли бы быть совершены, и провести судебное разбирательство по этим актам в условиях полного соблюдения соответствующих прав человека обвиняемых и содержащихся под стражей лиц и обеспечения для сотрудников судебных органов возможности работать, не опасаясь угроз или иного давления.</w:t>
      </w:r>
    </w:p>
    <w:p w:rsidR="00926157" w:rsidRDefault="00926157" w:rsidP="00926157"/>
    <w:p w:rsidR="00926157" w:rsidRDefault="00926157" w:rsidP="00926157">
      <w:r>
        <w:t>20.</w:t>
      </w:r>
      <w:r>
        <w:tab/>
        <w:t>Государству-участнику предлагается представить в его следующем докладе дальнейшую информацию по следующим вопросам:  а)  действия, предпринятые в области прав человека с целью улучшения взаимопонимания между всеми слоями населения;  b)  дальнейшие шаги по решению проблемы нарушений прав человека, обусловленных дискриминирующим обращением;  и  с)  действия, предпринятые Национальной комиссией по правам человека и достигнутые ею результаты.</w:t>
      </w:r>
    </w:p>
    <w:p w:rsidR="00926157" w:rsidRDefault="00926157" w:rsidP="00926157"/>
    <w:p w:rsidR="00926157" w:rsidRDefault="00926157" w:rsidP="00926157">
      <w:r>
        <w:t>21.</w:t>
      </w:r>
      <w:r>
        <w:tab/>
        <w:t>Комитет рекомендует государству-участнику ратифицировать поправки к пункту 6 статьи 8 Конвенции, принятые 15 января 1992 года на четырнадцатом Совещании государств - участников Конвенции.</w:t>
      </w:r>
    </w:p>
    <w:p w:rsidR="00926157" w:rsidRDefault="00926157" w:rsidP="00926157"/>
    <w:p w:rsidR="00926157" w:rsidRDefault="00926157" w:rsidP="00926157">
      <w:r>
        <w:t>22.</w:t>
      </w:r>
      <w:r>
        <w:tab/>
        <w:t>Отмечается, что государство-участник не сделало заявление, предусмотренное в статье 14 Конвенции, и некоторые члены Комитета просят рассмотреть возможность принятия такого заявления.</w:t>
      </w:r>
    </w:p>
    <w:p w:rsidR="00926157" w:rsidRDefault="00926157" w:rsidP="00926157"/>
    <w:p w:rsidR="00926157" w:rsidRDefault="00926157" w:rsidP="00926157">
      <w:r>
        <w:t>23.</w:t>
      </w:r>
      <w:r>
        <w:tab/>
        <w:t>Комитет рекомендует обеспечивать беспрепятственное предоставление в распоряжение общественности докладов государства с момента их представления и такое же широкое распространение замечаний Комитета по этим докладам.</w:t>
      </w:r>
    </w:p>
    <w:p w:rsidR="00926157" w:rsidRDefault="00926157" w:rsidP="00926157"/>
    <w:p w:rsidR="00926157" w:rsidRDefault="00926157" w:rsidP="00926157">
      <w:r>
        <w:t>24.</w:t>
      </w:r>
      <w:r>
        <w:tab/>
        <w:t>Комитет рекомендует обеспечить, чтобы следующий периодический доклад государства-участника, который должен быть представлен 16 мая 2000 года, содержал обновленную информацию и касался вопросов, затронутых в настоящих замечаниях.</w:t>
      </w:r>
    </w:p>
    <w:p w:rsidR="00926157" w:rsidRDefault="00926157" w:rsidP="00926157"/>
    <w:p w:rsidR="00926157" w:rsidRDefault="00926157" w:rsidP="00926157">
      <w:pPr>
        <w:jc w:val="center"/>
      </w:pPr>
    </w:p>
    <w:p w:rsidR="00926157" w:rsidRDefault="00926157" w:rsidP="00926157">
      <w:pPr>
        <w:jc w:val="center"/>
      </w:pPr>
    </w:p>
    <w:p w:rsidR="00926157" w:rsidRDefault="00926157" w:rsidP="00926157">
      <w:pPr>
        <w:jc w:val="center"/>
      </w:pPr>
      <w:r>
        <w:t>-----</w:t>
      </w:r>
    </w:p>
    <w:p w:rsidR="00926157" w:rsidRDefault="00926157" w:rsidP="00926157"/>
    <w:p w:rsidR="00067236" w:rsidRDefault="00067236"/>
    <w:sectPr w:rsidR="00067236" w:rsidSect="00CF0363">
      <w:headerReference w:type="even" r:id="rId8"/>
      <w:headerReference w:type="default" r:id="rId9"/>
      <w:footerReference w:type="default" r:id="rId10"/>
      <w:pgSz w:w="11907" w:h="16840" w:code="9"/>
      <w:pgMar w:top="851" w:right="851" w:bottom="1701" w:left="1701" w:header="851" w:footer="851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B" w:rsidRDefault="006B200B">
      <w:r>
        <w:separator/>
      </w:r>
    </w:p>
  </w:endnote>
  <w:endnote w:type="continuationSeparator" w:id="0">
    <w:p w:rsidR="006B200B" w:rsidRDefault="006B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D8" w:rsidRDefault="00C446D8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5pt;margin-top:-149.15pt;width:28.05pt;height:146.05pt;z-index:1" filled="f" stroked="f">
          <v:textbox style="layout-flow:vertical" inset="0,0,0,0">
            <w:txbxContent>
              <w:p w:rsidR="00C446D8" w:rsidRDefault="00C446D8">
                <w:pPr>
                  <w:rPr>
                    <w:lang w:val="en-US"/>
                  </w:rPr>
                </w:pPr>
              </w:p>
              <w:p w:rsidR="00C446D8" w:rsidRDefault="00C446D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D61E1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B" w:rsidRDefault="006B200B">
      <w:r>
        <w:separator/>
      </w:r>
    </w:p>
  </w:footnote>
  <w:footnote w:type="continuationSeparator" w:id="0">
    <w:p w:rsidR="006B200B" w:rsidRDefault="006B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63" w:rsidRPr="00554065" w:rsidRDefault="00554065" w:rsidP="00554065">
    <w:pPr>
      <w:pStyle w:val="Header"/>
      <w:rPr>
        <w:lang w:val="en-US"/>
      </w:rPr>
    </w:pPr>
    <w:r>
      <w:rPr>
        <w:lang w:val="en-US"/>
      </w:rPr>
      <w:t>CERD</w:t>
    </w:r>
    <w:r w:rsidR="00222DD7">
      <w:rPr>
        <w:lang w:val="en-US"/>
      </w:rPr>
      <w:t>/</w:t>
    </w:r>
    <w:r>
      <w:rPr>
        <w:lang w:val="en-US"/>
      </w:rPr>
      <w:t>C</w:t>
    </w:r>
    <w:r w:rsidR="00222DD7">
      <w:rPr>
        <w:lang w:val="en-US"/>
      </w:rPr>
      <w:t>/</w:t>
    </w:r>
    <w:r>
      <w:rPr>
        <w:lang w:val="en-US"/>
      </w:rPr>
      <w:t>304</w:t>
    </w:r>
    <w:r w:rsidR="00222DD7">
      <w:rPr>
        <w:lang w:val="en-US"/>
      </w:rPr>
      <w:t>/</w:t>
    </w:r>
    <w:r>
      <w:rPr>
        <w:lang w:val="en-US"/>
      </w:rPr>
      <w:t>Add.97</w:t>
    </w:r>
  </w:p>
  <w:p w:rsidR="00CF0363" w:rsidRDefault="00CF0363" w:rsidP="00554065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1E1">
      <w:rPr>
        <w:rStyle w:val="PageNumber"/>
        <w:noProof/>
      </w:rPr>
      <w:t>6</w:t>
    </w:r>
    <w:r>
      <w:rPr>
        <w:rStyle w:val="PageNumber"/>
      </w:rPr>
      <w:fldChar w:fldCharType="end"/>
    </w:r>
  </w:p>
  <w:p w:rsidR="00C446D8" w:rsidRDefault="00C446D8" w:rsidP="00554065">
    <w:pPr>
      <w:pStyle w:val="Head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5pt;margin-top:42.5pt;width:28.05pt;height:146.05pt;z-index:2" filled="f" stroked="f">
          <v:textbox style="layout-flow:vertical" inset="0,0,0,0">
            <w:txbxContent>
              <w:p w:rsidR="00C446D8" w:rsidRDefault="00C446D8">
                <w:pPr>
                  <w:rPr>
                    <w:lang w:val="en-US"/>
                  </w:rPr>
                </w:pPr>
              </w:p>
              <w:p w:rsidR="00C446D8" w:rsidRDefault="00C446D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D61E1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CF0363" w:rsidRDefault="00CF0363" w:rsidP="00554065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63" w:rsidRDefault="00CF0363" w:rsidP="00CF0363">
    <w:pPr>
      <w:pStyle w:val="Header"/>
      <w:tabs>
        <w:tab w:val="clear" w:pos="4153"/>
        <w:tab w:val="clear" w:pos="8306"/>
        <w:tab w:val="left" w:pos="6804"/>
      </w:tabs>
      <w:rPr>
        <w:lang w:val="en-US"/>
      </w:rPr>
    </w:pPr>
    <w:r>
      <w:rPr>
        <w:lang w:val="en-US"/>
      </w:rPr>
      <w:tab/>
    </w:r>
    <w:r w:rsidR="00554065">
      <w:rPr>
        <w:lang w:val="en-US"/>
      </w:rPr>
      <w:t>CERD/C/304/Add.97</w:t>
    </w:r>
  </w:p>
  <w:p w:rsidR="00CF0363" w:rsidRDefault="00CF0363" w:rsidP="00CF0363">
    <w:pPr>
      <w:pStyle w:val="Header"/>
      <w:tabs>
        <w:tab w:val="clear" w:pos="4153"/>
        <w:tab w:val="clear" w:pos="8306"/>
        <w:tab w:val="left" w:pos="6804"/>
      </w:tabs>
      <w:rPr>
        <w:rStyle w:val="PageNumber"/>
        <w:lang w:val="en-US"/>
      </w:rPr>
    </w:pP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1E1">
      <w:rPr>
        <w:rStyle w:val="PageNumber"/>
        <w:noProof/>
      </w:rPr>
      <w:t>5</w:t>
    </w:r>
    <w:r>
      <w:rPr>
        <w:rStyle w:val="PageNumber"/>
      </w:rPr>
      <w:fldChar w:fldCharType="end"/>
    </w:r>
  </w:p>
  <w:p w:rsidR="00CF0363" w:rsidRPr="00CF0363" w:rsidRDefault="00CF0363" w:rsidP="00CF0363">
    <w:pPr>
      <w:pStyle w:val="Header"/>
      <w:tabs>
        <w:tab w:val="clear" w:pos="4153"/>
        <w:tab w:val="clear" w:pos="8306"/>
        <w:tab w:val="left" w:pos="6804"/>
      </w:tabs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82.55pt;margin-top:42.5pt;width:28.05pt;height:146.05pt;z-index:3" filled="f" stroked="f">
          <v:textbox style="layout-flow:vertical" inset="0,0,0,0">
            <w:txbxContent>
              <w:p w:rsidR="00CF0363" w:rsidRDefault="00CF0363" w:rsidP="00CF0363">
                <w:pPr>
                  <w:rPr>
                    <w:lang w:val="en-US"/>
                  </w:rPr>
                </w:pPr>
              </w:p>
              <w:p w:rsidR="00CF0363" w:rsidRDefault="00CF0363" w:rsidP="00CF036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D61E1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ab/>
    </w:r>
  </w:p>
  <w:p w:rsidR="00CF0363" w:rsidRPr="00CF0363" w:rsidRDefault="00CF0363" w:rsidP="00CF0363"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6804"/>
      </w:tabs>
      <w:spacing w:line="240" w:lineRule="auto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157"/>
    <w:rsid w:val="00067236"/>
    <w:rsid w:val="0019750E"/>
    <w:rsid w:val="001C6D67"/>
    <w:rsid w:val="00216959"/>
    <w:rsid w:val="00222DD7"/>
    <w:rsid w:val="0030530E"/>
    <w:rsid w:val="003C126B"/>
    <w:rsid w:val="003E388D"/>
    <w:rsid w:val="00404100"/>
    <w:rsid w:val="00416106"/>
    <w:rsid w:val="00471A95"/>
    <w:rsid w:val="004817A8"/>
    <w:rsid w:val="004C54C4"/>
    <w:rsid w:val="004D1A23"/>
    <w:rsid w:val="00554065"/>
    <w:rsid w:val="00605ACD"/>
    <w:rsid w:val="00663265"/>
    <w:rsid w:val="006B200B"/>
    <w:rsid w:val="006C497B"/>
    <w:rsid w:val="006D61E1"/>
    <w:rsid w:val="00776BA6"/>
    <w:rsid w:val="007A4ED8"/>
    <w:rsid w:val="00822E2F"/>
    <w:rsid w:val="008510B4"/>
    <w:rsid w:val="00926157"/>
    <w:rsid w:val="009643B8"/>
    <w:rsid w:val="00985202"/>
    <w:rsid w:val="00995462"/>
    <w:rsid w:val="009F2195"/>
    <w:rsid w:val="00A25F75"/>
    <w:rsid w:val="00A3464D"/>
    <w:rsid w:val="00A96C84"/>
    <w:rsid w:val="00AA6D3D"/>
    <w:rsid w:val="00C446D8"/>
    <w:rsid w:val="00CD3722"/>
    <w:rsid w:val="00CF0363"/>
    <w:rsid w:val="00D50361"/>
    <w:rsid w:val="00D6558D"/>
    <w:rsid w:val="00E2357E"/>
    <w:rsid w:val="00E60215"/>
    <w:rsid w:val="00E8048C"/>
    <w:rsid w:val="00EC47D4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rsid w:val="009261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</w:style>
  <w:style w:type="paragraph" w:customStyle="1" w:styleId="2">
    <w:name w:val="текст 2"/>
    <w:basedOn w:val="Normal"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paragraph" w:customStyle="1" w:styleId="a">
    <w:name w:val="название"/>
    <w:basedOn w:val="Normal"/>
    <w:rsid w:val="00926157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1670</Words>
  <Characters>9520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CSD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Adtpsrus</dc:creator>
  <cp:keywords/>
  <dc:description/>
  <cp:lastModifiedBy>Adtpsrus</cp:lastModifiedBy>
  <cp:revision>2</cp:revision>
  <cp:lastPrinted>2009-01-09T08:39:00Z</cp:lastPrinted>
  <dcterms:created xsi:type="dcterms:W3CDTF">2009-01-09T08:42:00Z</dcterms:created>
  <dcterms:modified xsi:type="dcterms:W3CDTF">2009-01-09T08:42:00Z</dcterms:modified>
</cp:coreProperties>
</file>