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772A62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A17DFD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A17DFD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72A62" w:rsidP="00772A62">
            <w:pPr>
              <w:jc w:val="right"/>
            </w:pPr>
            <w:r w:rsidRPr="00772A62">
              <w:rPr>
                <w:sz w:val="40"/>
              </w:rPr>
              <w:t>CERD</w:t>
            </w:r>
            <w:r>
              <w:t>/C/CAN/Q/19-20</w:t>
            </w:r>
          </w:p>
        </w:tc>
      </w:tr>
      <w:tr w:rsidR="002D5AAC" w:rsidTr="00772A6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A17DFD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8728CD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>la Eliminación de todas 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72A62" w:rsidRDefault="00772A62" w:rsidP="00B778C8">
            <w:pPr>
              <w:spacing w:before="240"/>
            </w:pPr>
            <w:r>
              <w:t>Distr. general</w:t>
            </w:r>
          </w:p>
          <w:p w:rsidR="00772A62" w:rsidRDefault="00772A62" w:rsidP="00772A62">
            <w:pPr>
              <w:spacing w:line="240" w:lineRule="exact"/>
            </w:pPr>
            <w:r>
              <w:t>26 de enero de 2012</w:t>
            </w:r>
          </w:p>
          <w:p w:rsidR="00772A62" w:rsidRDefault="00772A62" w:rsidP="00772A62">
            <w:pPr>
              <w:spacing w:line="240" w:lineRule="exact"/>
            </w:pPr>
            <w:r>
              <w:t>Español</w:t>
            </w:r>
          </w:p>
          <w:p w:rsidR="002D5AAC" w:rsidRDefault="00772A62" w:rsidP="00772A62">
            <w:pPr>
              <w:spacing w:line="240" w:lineRule="exact"/>
            </w:pPr>
            <w:r>
              <w:t>Original: inglés</w:t>
            </w:r>
          </w:p>
        </w:tc>
      </w:tr>
    </w:tbl>
    <w:p w:rsidR="00772A62" w:rsidRPr="002E4AED" w:rsidRDefault="00772A62" w:rsidP="00772A62">
      <w:pPr>
        <w:spacing w:before="120"/>
        <w:rPr>
          <w:b/>
          <w:sz w:val="24"/>
          <w:szCs w:val="24"/>
        </w:rPr>
      </w:pPr>
      <w:r w:rsidRPr="002E4AED">
        <w:rPr>
          <w:b/>
          <w:sz w:val="24"/>
          <w:szCs w:val="24"/>
        </w:rPr>
        <w:t>Comité para la Eliminación de la Discriminación Racial</w:t>
      </w:r>
    </w:p>
    <w:p w:rsidR="00772A62" w:rsidRPr="002E4AED" w:rsidRDefault="00772A62" w:rsidP="00772A62">
      <w:pPr>
        <w:rPr>
          <w:b/>
        </w:rPr>
      </w:pPr>
      <w:r w:rsidRPr="002E4AED">
        <w:rPr>
          <w:b/>
        </w:rPr>
        <w:t>80º período de sesiones</w:t>
      </w:r>
    </w:p>
    <w:p w:rsidR="00772A62" w:rsidRPr="002E4AED" w:rsidRDefault="00772A62" w:rsidP="00772A62">
      <w:r w:rsidRPr="002E4AED">
        <w:t>13 de febrero a 9 de marzo de 2012</w:t>
      </w:r>
    </w:p>
    <w:p w:rsidR="00772A62" w:rsidRPr="002E4AED" w:rsidRDefault="00772A62" w:rsidP="00772A62">
      <w:pPr>
        <w:pStyle w:val="HChG"/>
      </w:pPr>
      <w:r>
        <w:tab/>
      </w:r>
      <w:r>
        <w:tab/>
      </w:r>
      <w:r w:rsidRPr="002E4AED">
        <w:t>Aplicación de la Convención Internacional sobre</w:t>
      </w:r>
      <w:r w:rsidR="00562DF7">
        <w:t xml:space="preserve"> </w:t>
      </w:r>
      <w:r w:rsidRPr="002E4AED">
        <w:t xml:space="preserve">la Eliminación de </w:t>
      </w:r>
      <w:r>
        <w:t>t</w:t>
      </w:r>
      <w:r w:rsidRPr="002E4AED">
        <w:t>odas las Formas de</w:t>
      </w:r>
      <w:r w:rsidR="00562DF7">
        <w:t xml:space="preserve"> </w:t>
      </w:r>
      <w:r w:rsidRPr="002E4AED">
        <w:t>Discriminación Racial</w:t>
      </w:r>
    </w:p>
    <w:p w:rsidR="00772A62" w:rsidRDefault="00772A62" w:rsidP="00772A62">
      <w:pPr>
        <w:pStyle w:val="H1G"/>
        <w:rPr>
          <w:b w:val="0"/>
          <w:sz w:val="20"/>
        </w:rPr>
      </w:pPr>
      <w:r>
        <w:tab/>
      </w:r>
      <w:r>
        <w:tab/>
      </w:r>
      <w:r w:rsidRPr="002E4AED">
        <w:t>Lista de temas que deben abordarse al examinar los informes periódicos 19º y 20º del Canadá (CERD/C/CAN/19-20)</w:t>
      </w:r>
      <w:r w:rsidR="00DB1CEF" w:rsidRPr="00DB1CE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72A62" w:rsidTr="00CC2A4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772A62" w:rsidRDefault="00772A62" w:rsidP="00CC2A45">
            <w:pPr>
              <w:spacing w:line="240" w:lineRule="auto"/>
            </w:pPr>
          </w:p>
        </w:tc>
      </w:tr>
      <w:tr w:rsidR="00772A62" w:rsidTr="00CC2A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772A62" w:rsidRDefault="00772A62" w:rsidP="00CC2A45">
            <w:pPr>
              <w:spacing w:after="120"/>
              <w:jc w:val="both"/>
            </w:pPr>
            <w:r>
              <w:tab/>
            </w:r>
            <w:r w:rsidRPr="00212B11">
              <w:t xml:space="preserve">La lista de temas que figura a continuación ha sido elaborada por el Relator para el país, con el propósito de utilizarla en el examen de los informes periódicos 19º y 20º del Canadá. El objetivo de esta lista es facilitar el diálogo entre la delegación del Estado parte y el Comité, y </w:t>
            </w:r>
            <w:r w:rsidRPr="007F2BC6">
              <w:rPr>
                <w:i/>
              </w:rPr>
              <w:t>no requiere respuestas por escrito</w:t>
            </w:r>
            <w:r w:rsidRPr="00212B11">
              <w:t>. No es una lista exhaustiva, pues durante el diálogo con el Estado parte podrán abordarse otros asuntos</w:t>
            </w:r>
            <w:r>
              <w:t>.</w:t>
            </w:r>
          </w:p>
        </w:tc>
      </w:tr>
      <w:tr w:rsidR="00772A62" w:rsidTr="00CC2A45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772A62" w:rsidRDefault="00772A62" w:rsidP="00CC2A45">
            <w:pPr>
              <w:spacing w:line="240" w:lineRule="auto"/>
            </w:pPr>
          </w:p>
        </w:tc>
      </w:tr>
    </w:tbl>
    <w:p w:rsidR="00772A62" w:rsidRPr="002E4AED" w:rsidRDefault="00772A62" w:rsidP="00772A62">
      <w:pPr>
        <w:pStyle w:val="H23G"/>
      </w:pPr>
      <w:r>
        <w:tab/>
      </w:r>
      <w:r w:rsidRPr="002E4AED">
        <w:t>1.</w:t>
      </w:r>
      <w:r w:rsidRPr="002E4AED">
        <w:tab/>
        <w:t>Obstáculos a la igualdad y problemas con que tropiezan ciertos grupos, entre</w:t>
      </w:r>
      <w:r>
        <w:br/>
      </w:r>
      <w:r w:rsidRPr="002E4AED">
        <w:t>ellos los no ciudadanos y las minorías visibles, para ejercer sus derechos civiles, políticos, económicos, sociales y culturales (art</w:t>
      </w:r>
      <w:r>
        <w:t>ículos</w:t>
      </w:r>
      <w:r w:rsidRPr="002E4AED">
        <w:t xml:space="preserve"> 2, 3, 4, 5 y 7)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a)</w:t>
      </w:r>
      <w:r w:rsidRPr="002E4AED">
        <w:tab/>
        <w:t>Datos desglosados sobre las condiciones socioeconómicas en que viven los distintos grupos raciales y étnicos y los no ciudadanos en el Estado parte (CERD/C/CAN/CO/18, párr. 11);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b)</w:t>
      </w:r>
      <w:r w:rsidRPr="002E4AED">
        <w:tab/>
        <w:t xml:space="preserve">Disfrute de los derechos económicos, sociales y culturales de los no ciudadanos y </w:t>
      </w:r>
      <w:r>
        <w:t xml:space="preserve">de </w:t>
      </w:r>
      <w:r w:rsidRPr="002E4AED">
        <w:t>los grupos raciales y étnicos en el territorio del Estado parte;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c)</w:t>
      </w:r>
      <w:r w:rsidRPr="002E4AED">
        <w:tab/>
        <w:t xml:space="preserve">Efecto y resultados de las diversas medidas adoptadas a nivel federal, provincial y territorial para facilitar el acceso de los no ciudadanos y </w:t>
      </w:r>
      <w:r>
        <w:t xml:space="preserve">de </w:t>
      </w:r>
      <w:r w:rsidRPr="002E4AED">
        <w:t>los grupos raciales y étnicos al mercado de trabajo (CERD/C/CAN/CO/18, párr. 24);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d)</w:t>
      </w:r>
      <w:r w:rsidRPr="002E4AED">
        <w:tab/>
        <w:t>Aplicación de la Ley de modernización de la administración pública y la Ley de empleo en la administración pública con el fin de fomentar la contratación de miembros de las minorías visibles en la administración pública (CERD/C/CAN/19-20, párrs. 69 y 70);</w:t>
      </w:r>
    </w:p>
    <w:p w:rsidR="00772A62" w:rsidRPr="002E4AED" w:rsidRDefault="00772A62" w:rsidP="003A2A94">
      <w:pPr>
        <w:pStyle w:val="SingleTxtG"/>
        <w:keepNext/>
        <w:keepLines/>
      </w:pPr>
      <w:r>
        <w:tab/>
      </w:r>
      <w:r w:rsidRPr="002E4AED">
        <w:t>e)</w:t>
      </w:r>
      <w:r w:rsidRPr="002E4AED">
        <w:tab/>
        <w:t>Eliminación de las barreras al acceso de los grupos raciales y étnicos del Canadá y de los no ciudadanos al mercado de trabajo: resultados de la Estrategia para un lugar de trabajo libre de racismo (CERD/C/CAN/19-20, párr. 72) y de algunas iniciativas provinciales y territoriales (párrs. 144</w:t>
      </w:r>
      <w:r>
        <w:t>,</w:t>
      </w:r>
      <w:r w:rsidRPr="002E4AED">
        <w:t xml:space="preserve"> 145</w:t>
      </w:r>
      <w:r>
        <w:t>,</w:t>
      </w:r>
      <w:r w:rsidRPr="002E4AED">
        <w:t xml:space="preserve"> 196</w:t>
      </w:r>
      <w:r>
        <w:t>,</w:t>
      </w:r>
      <w:r w:rsidRPr="002E4AED">
        <w:t xml:space="preserve"> 197</w:t>
      </w:r>
      <w:r>
        <w:t>,</w:t>
      </w:r>
      <w:r w:rsidRPr="002E4AED">
        <w:t xml:space="preserve"> 255 a 257</w:t>
      </w:r>
      <w:r>
        <w:t>,</w:t>
      </w:r>
      <w:r w:rsidRPr="002E4AED">
        <w:t xml:space="preserve"> 282</w:t>
      </w:r>
      <w:r>
        <w:t>,</w:t>
      </w:r>
      <w:r w:rsidRPr="002E4AED">
        <w:t xml:space="preserve"> 283</w:t>
      </w:r>
      <w:r>
        <w:t>,</w:t>
      </w:r>
      <w:r w:rsidRPr="002E4AED">
        <w:t xml:space="preserve"> 314</w:t>
      </w:r>
      <w:r>
        <w:t xml:space="preserve"> y</w:t>
      </w:r>
      <w:r w:rsidRPr="002E4AED">
        <w:t xml:space="preserve"> 333 a</w:t>
      </w:r>
      <w:r>
        <w:t> </w:t>
      </w:r>
      <w:r w:rsidRPr="002E4AED">
        <w:t>339);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f)</w:t>
      </w:r>
      <w:r w:rsidRPr="002E4AED">
        <w:tab/>
        <w:t>Reconocimiento de las credenciales de los inmigrantes y de sus diplomas obtenidos en el extranjero: resultados de las medidas adoptadas por el Estado parte, en particular el Marco Pancanadiense para la evaluación y reconocimiento de títulos extranjeros (CERD/C/CAN/19-20, párr. 13);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g)</w:t>
      </w:r>
      <w:r w:rsidRPr="002E4AED">
        <w:tab/>
        <w:t xml:space="preserve">Discrepancias entre provincias y territorios en lo que respecta a las prestaciones sociales a que tienen derecho los solicitantes de asilo cuya solicitud ha sido denegada, </w:t>
      </w:r>
      <w:r>
        <w:t xml:space="preserve">así como </w:t>
      </w:r>
      <w:r w:rsidRPr="002E4AED">
        <w:t>los no ciudadanos sin documentación y los apátridas, en particular en materia de salud, asistencia social y acceso a la educación (CERD/C/CAN/CO/18, párr. 23; CERD/C/CAN/19-20, párrs. 117</w:t>
      </w:r>
      <w:r>
        <w:t>,</w:t>
      </w:r>
      <w:r w:rsidRPr="002E4AED">
        <w:t xml:space="preserve"> 118</w:t>
      </w:r>
      <w:r>
        <w:t>,</w:t>
      </w:r>
      <w:r w:rsidRPr="002E4AED">
        <w:t xml:space="preserve"> 139</w:t>
      </w:r>
      <w:r>
        <w:t>,</w:t>
      </w:r>
      <w:r w:rsidRPr="002E4AED">
        <w:t xml:space="preserve"> 156 a 158</w:t>
      </w:r>
      <w:r>
        <w:t>,</w:t>
      </w:r>
      <w:r w:rsidRPr="002E4AED">
        <w:t xml:space="preserve"> 190</w:t>
      </w:r>
      <w:r>
        <w:t>,</w:t>
      </w:r>
      <w:r w:rsidRPr="002E4AED">
        <w:t xml:space="preserve"> 191</w:t>
      </w:r>
      <w:r>
        <w:t>,</w:t>
      </w:r>
      <w:r w:rsidRPr="002E4AED">
        <w:t xml:space="preserve"> 226</w:t>
      </w:r>
      <w:r>
        <w:t>,</w:t>
      </w:r>
      <w:r w:rsidRPr="002E4AED">
        <w:t xml:space="preserve"> 227</w:t>
      </w:r>
      <w:r>
        <w:t>,</w:t>
      </w:r>
      <w:r w:rsidRPr="002E4AED">
        <w:t xml:space="preserve"> 315 a 318</w:t>
      </w:r>
      <w:r>
        <w:t>,</w:t>
      </w:r>
      <w:r w:rsidRPr="002E4AED">
        <w:t xml:space="preserve"> 352</w:t>
      </w:r>
      <w:r>
        <w:t xml:space="preserve"> y </w:t>
      </w:r>
      <w:r w:rsidRPr="002E4AED">
        <w:t>384);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h)</w:t>
      </w:r>
      <w:r w:rsidRPr="002E4AED">
        <w:tab/>
      </w:r>
      <w:r w:rsidRPr="00986522">
        <w:rPr>
          <w:spacing w:val="-2"/>
        </w:rPr>
        <w:t xml:space="preserve">Garantías efectivamente, en la práctica contra el uso de perfiles raciales de los miembros de las minorías raciales y étnicas y de los no ciudadanos (CERD/C/CAN/CO/18, párr. </w:t>
      </w:r>
      <w:r w:rsidRPr="00986522">
        <w:rPr>
          <w:spacing w:val="-2"/>
          <w:lang w:val="en-GB"/>
        </w:rPr>
        <w:t>14; CERD/C/CAN/CO/18/Add.1, párrs. 2 a 17; CERD/C/CAN/19-20, párr. </w:t>
      </w:r>
      <w:r w:rsidRPr="00986522">
        <w:rPr>
          <w:spacing w:val="-2"/>
        </w:rPr>
        <w:t>92);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i)</w:t>
      </w:r>
      <w:r w:rsidRPr="002E4AED">
        <w:tab/>
        <w:t>Efecto de las distintas medidas aplicadas a nivel federal, provincial y territorial para combatir la discriminación contra los no ciudadanos y los grupos raciales y étnicos, incluidas las iniciativas relacionadas con el multiculturalismo, la diversidad y la tolerancia;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j)</w:t>
      </w:r>
      <w:r w:rsidRPr="002E4AED">
        <w:tab/>
        <w:t>Denuncias de uso excesivo de la fuerza contra afrocanadienses (CERD/C/CAN/CO/18, párr. 19)</w:t>
      </w:r>
      <w:r>
        <w:t>; m</w:t>
      </w:r>
      <w:r w:rsidRPr="002E4AED">
        <w:t>edidas adoptadas para aumentar la confianza de los afrocanadienses en las fuerzas de seguridad;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k)</w:t>
      </w:r>
      <w:r w:rsidRPr="002E4AED">
        <w:tab/>
        <w:t xml:space="preserve">Situación de los refugiados y </w:t>
      </w:r>
      <w:r>
        <w:t xml:space="preserve">de los </w:t>
      </w:r>
      <w:r w:rsidRPr="002E4AED">
        <w:t>solicitantes de asilo;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l)</w:t>
      </w:r>
      <w:r w:rsidRPr="002E4AED">
        <w:tab/>
        <w:t xml:space="preserve">Detención administrativa obligatoria de los migrantes </w:t>
      </w:r>
      <w:r>
        <w:t>"</w:t>
      </w:r>
      <w:r w:rsidRPr="002E4AED">
        <w:t>irregulares</w:t>
      </w:r>
      <w:r>
        <w:t>"</w:t>
      </w:r>
      <w:r w:rsidRPr="002E4AED">
        <w:t>.</w:t>
      </w:r>
    </w:p>
    <w:p w:rsidR="00772A62" w:rsidRPr="002E4AED" w:rsidRDefault="00772A62" w:rsidP="00772A62">
      <w:pPr>
        <w:pStyle w:val="H23G"/>
      </w:pPr>
      <w:r>
        <w:tab/>
      </w:r>
      <w:r w:rsidRPr="002E4AED">
        <w:t>2.</w:t>
      </w:r>
      <w:r w:rsidRPr="002E4AED">
        <w:tab/>
        <w:t xml:space="preserve">Legislación y disponibilidad de recursos </w:t>
      </w:r>
      <w:r>
        <w:t xml:space="preserve">en </w:t>
      </w:r>
      <w:r w:rsidRPr="002E4AED">
        <w:t>caso de discriminación</w:t>
      </w:r>
      <w:r>
        <w:br/>
      </w:r>
      <w:r w:rsidRPr="002E4AED">
        <w:t>racial (art</w:t>
      </w:r>
      <w:r>
        <w:t>ículos</w:t>
      </w:r>
      <w:r w:rsidRPr="002E4AED">
        <w:t xml:space="preserve"> 2, 4 y 6)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a)</w:t>
      </w:r>
      <w:r w:rsidRPr="002E4AED">
        <w:tab/>
        <w:t xml:space="preserve">Conformidad del artículo 718.2 del Código Penal con el artículo 4 a) de la Convención en lo que respecta a la tipificación como delito de los actos de racismo y las organizaciones racistas (CERD/C/CAN/CO/18, párr. 16); 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b)</w:t>
      </w:r>
      <w:r w:rsidRPr="002E4AED">
        <w:tab/>
        <w:t>Casos de discriminación racial, incluidos los delitos motivados por el odio, y reparaciones concedidas al respecto (CERD/C/CAN/19-20, párrs. 73 a 77);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c)</w:t>
      </w:r>
      <w:r w:rsidRPr="002E4AED">
        <w:tab/>
        <w:t>Medidas para combatir las declaraciones de incitación al odio;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d)</w:t>
      </w:r>
      <w:r w:rsidRPr="002E4AED">
        <w:tab/>
        <w:t xml:space="preserve">Acceso de los aborígenes y </w:t>
      </w:r>
      <w:r>
        <w:t xml:space="preserve">de </w:t>
      </w:r>
      <w:r w:rsidRPr="002E4AED">
        <w:t>otros grupos étnicos y raciales, incluidos los no ciudadanos, a la justicia y la asistencia jurídica: efecto de las medidas adoptadas a nivel federal, provincial y territorial (CERD/C/CAN/19-20, párrs. 63 a 65</w:t>
      </w:r>
      <w:r>
        <w:t>,</w:t>
      </w:r>
      <w:r w:rsidRPr="002E4AED">
        <w:t xml:space="preserve"> 258 a 260</w:t>
      </w:r>
      <w:r>
        <w:t xml:space="preserve"> y</w:t>
      </w:r>
      <w:r w:rsidRPr="002E4AED">
        <w:t xml:space="preserve"> 285);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e)</w:t>
      </w:r>
      <w:r w:rsidRPr="002E4AED">
        <w:tab/>
        <w:t>Situación del nuevo mecanismo que debe sustituir al Court Challenges Program (Programa de impugnación judicial) (CERD/C/CAN/CO/18, párr. 26; CERD/C/CAN/CO/18/Add.1, párr. 139).</w:t>
      </w:r>
    </w:p>
    <w:p w:rsidR="00772A62" w:rsidRPr="002E4AED" w:rsidRDefault="00772A62" w:rsidP="00772A62">
      <w:pPr>
        <w:pStyle w:val="H23G"/>
      </w:pPr>
      <w:r>
        <w:tab/>
      </w:r>
      <w:r w:rsidRPr="002E4AED">
        <w:t>3.</w:t>
      </w:r>
      <w:r w:rsidRPr="002E4AED">
        <w:tab/>
        <w:t>Situación de los aborígenes (art</w:t>
      </w:r>
      <w:r>
        <w:t>ículos</w:t>
      </w:r>
      <w:r w:rsidRPr="002E4AED">
        <w:t xml:space="preserve"> 2, 5 y 7)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a)</w:t>
      </w:r>
      <w:r w:rsidRPr="002E4AED">
        <w:tab/>
        <w:t>Violencia contra las mujeres aborígenes y migrantes, así como contra las mujeres de los grupos raciales y étnicos minoritarios: efectos, resultados y evaluación de las diferentes medidas adoptadas a nivel federal, provincial y territorial (CERD/C/CAN/CO/18, párr. 20; CERD/C/CAN/19-20, párrs. 44 a 62</w:t>
      </w:r>
      <w:r>
        <w:t>,</w:t>
      </w:r>
      <w:r w:rsidRPr="002E4AED">
        <w:t xml:space="preserve"> 132</w:t>
      </w:r>
      <w:r>
        <w:t>,</w:t>
      </w:r>
      <w:r w:rsidRPr="002E4AED">
        <w:t xml:space="preserve"> 133</w:t>
      </w:r>
      <w:r>
        <w:t>,</w:t>
      </w:r>
      <w:r w:rsidRPr="002E4AED">
        <w:t xml:space="preserve"> 141 a 143</w:t>
      </w:r>
      <w:r>
        <w:t>,</w:t>
      </w:r>
      <w:r w:rsidRPr="002E4AED">
        <w:t xml:space="preserve"> 162 a 165</w:t>
      </w:r>
      <w:r>
        <w:t>,</w:t>
      </w:r>
      <w:r w:rsidRPr="002E4AED">
        <w:t xml:space="preserve"> 204 a 219</w:t>
      </w:r>
      <w:r>
        <w:t>,</w:t>
      </w:r>
      <w:r w:rsidRPr="002E4AED">
        <w:t xml:space="preserve"> 231 a 249</w:t>
      </w:r>
      <w:r>
        <w:t>,</w:t>
      </w:r>
      <w:r w:rsidRPr="002E4AED">
        <w:t xml:space="preserve"> 275 a 281</w:t>
      </w:r>
      <w:r>
        <w:t>,</w:t>
      </w:r>
      <w:r w:rsidRPr="002E4AED">
        <w:t xml:space="preserve"> 291 a 294</w:t>
      </w:r>
      <w:r>
        <w:t>,</w:t>
      </w:r>
      <w:r w:rsidRPr="002E4AED">
        <w:t xml:space="preserve"> 306 a 313</w:t>
      </w:r>
      <w:r>
        <w:t>,</w:t>
      </w:r>
      <w:r w:rsidRPr="002E4AED">
        <w:t xml:space="preserve"> 324 a 332</w:t>
      </w:r>
      <w:r>
        <w:t>,</w:t>
      </w:r>
      <w:r w:rsidRPr="002E4AED">
        <w:t xml:space="preserve"> 355</w:t>
      </w:r>
      <w:r>
        <w:t>,</w:t>
      </w:r>
      <w:r w:rsidRPr="002E4AED">
        <w:t xml:space="preserve"> 360</w:t>
      </w:r>
      <w:r>
        <w:t>,</w:t>
      </w:r>
      <w:r w:rsidRPr="002E4AED">
        <w:t xml:space="preserve"> 361</w:t>
      </w:r>
      <w:r>
        <w:t xml:space="preserve"> y</w:t>
      </w:r>
      <w:r w:rsidRPr="002E4AED">
        <w:t xml:space="preserve"> 374 a 377). Falta de datos desglosados</w:t>
      </w:r>
      <w:r>
        <w:t>.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b)</w:t>
      </w:r>
      <w:r w:rsidRPr="002E4AED">
        <w:tab/>
        <w:t xml:space="preserve">Efectos discriminatorios de la Ley de asuntos indios en los derechos de las mujeres y </w:t>
      </w:r>
      <w:r>
        <w:t xml:space="preserve">los </w:t>
      </w:r>
      <w:r w:rsidRPr="002E4AED">
        <w:t>niños aborígenes a contraer matrimonio, poseer bienes raíces y heredar tierras en las reservas (CERD/C/CAN/CO/18, párr. 15)</w:t>
      </w:r>
      <w:r>
        <w:t>.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c)</w:t>
      </w:r>
      <w:r w:rsidRPr="002E4AED">
        <w:tab/>
        <w:t>Porcentaje desproporcionado de aborígenes en los centros penitenciarios, y reintegración de esos presos en la sociedad: resultados de las iniciativas emprendidas, en particular en la Columbia Británica (CERD/C/CAN/19-20, párr. 346 a 350). Falta de datos a nivel federal</w:t>
      </w:r>
      <w:r>
        <w:t>.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d)</w:t>
      </w:r>
      <w:r w:rsidRPr="002E4AED">
        <w:tab/>
        <w:t>Contratación de aborígenes en la administración pública a nivel federal, en particular aplicación del Plan de acción para la renovación de la administración pública de 2008-2009, y a los niveles provincial y territorial: resultados y evaluación (CERD/C/CAN/19-20, párrs. 69 a 71</w:t>
      </w:r>
      <w:r>
        <w:t>,</w:t>
      </w:r>
      <w:r w:rsidRPr="002E4AED">
        <w:t xml:space="preserve"> 178 a 185</w:t>
      </w:r>
      <w:r>
        <w:t>,</w:t>
      </w:r>
      <w:r w:rsidRPr="002E4AED">
        <w:t xml:space="preserve"> 314</w:t>
      </w:r>
      <w:r>
        <w:t>,</w:t>
      </w:r>
      <w:r w:rsidRPr="002E4AED">
        <w:t xml:space="preserve"> 339</w:t>
      </w:r>
      <w:r>
        <w:t>,</w:t>
      </w:r>
      <w:r w:rsidRPr="002E4AED">
        <w:t xml:space="preserve"> 356</w:t>
      </w:r>
      <w:r>
        <w:t>,</w:t>
      </w:r>
      <w:r w:rsidRPr="002E4AED">
        <w:t xml:space="preserve"> 380 y 381)</w:t>
      </w:r>
      <w:r>
        <w:t>.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e)</w:t>
      </w:r>
      <w:r w:rsidRPr="002E4AED">
        <w:tab/>
        <w:t xml:space="preserve">Disfrute de los derechos económicos, sociales y culturales de los aborígenes: acceso al mercado de trabajo público y privado, condiciones laborales, reconocimiento de cualificaciones, seguridad </w:t>
      </w:r>
      <w:r>
        <w:t xml:space="preserve">en el empleo </w:t>
      </w:r>
      <w:r w:rsidRPr="002E4AED">
        <w:t>y educación (CERD/C/CAN/CO/18, párrs. 21 y</w:t>
      </w:r>
      <w:r>
        <w:t> </w:t>
      </w:r>
      <w:r w:rsidRPr="002E4AED">
        <w:t>24)</w:t>
      </w:r>
      <w:r>
        <w:t>.</w:t>
      </w:r>
    </w:p>
    <w:p w:rsidR="00772A62" w:rsidRPr="002E4AED" w:rsidRDefault="00772A62" w:rsidP="00772A62">
      <w:pPr>
        <w:pStyle w:val="SingleTxtG"/>
      </w:pPr>
      <w:r>
        <w:tab/>
      </w:r>
      <w:r w:rsidRPr="002E4AED">
        <w:t>f)</w:t>
      </w:r>
      <w:r w:rsidRPr="002E4AED">
        <w:tab/>
        <w:t xml:space="preserve">Efecto </w:t>
      </w:r>
      <w:r>
        <w:t xml:space="preserve">de </w:t>
      </w:r>
      <w:r w:rsidRPr="002E4AED">
        <w:t xml:space="preserve">las campañas e iniciativas de concienciación </w:t>
      </w:r>
      <w:r>
        <w:t xml:space="preserve">sobre el </w:t>
      </w:r>
      <w:r w:rsidRPr="002E4AED">
        <w:t>multiculturalismo y la diversidad en la discriminación contra los aborígenes y los inmigrantes a nivel federal, provincial y territorial</w:t>
      </w:r>
      <w:r>
        <w:t>.</w:t>
      </w:r>
    </w:p>
    <w:p w:rsidR="00772A62" w:rsidRDefault="00772A62" w:rsidP="00772A62">
      <w:pPr>
        <w:pStyle w:val="SingleTxtG"/>
      </w:pPr>
      <w:r>
        <w:tab/>
      </w:r>
      <w:r w:rsidRPr="002E4AED">
        <w:t>g)</w:t>
      </w:r>
      <w:r w:rsidRPr="002E4AED">
        <w:tab/>
        <w:t>Cuestiones relacionadas con la tierra, negociación de tratados y de pretensiones sobre las tierras con los aborígenes, incluido el caso del lago Lubicon (CERD/C/CAN/CO/18, párrs. 20 a 22, 25; CERD/C/CAN/CO/18/Add.1, párrs. 19 a 105).</w:t>
      </w:r>
    </w:p>
    <w:p w:rsidR="00772A62" w:rsidRPr="00297956" w:rsidRDefault="00772A62" w:rsidP="00772A62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35EE" w:rsidRDefault="006F35EE" w:rsidP="001075E9"/>
    <w:p w:rsidR="00381C24" w:rsidRPr="001075E9" w:rsidRDefault="00381C24" w:rsidP="001075E9"/>
    <w:sectPr w:rsidR="00381C24" w:rsidRPr="001075E9" w:rsidSect="00772A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17" w:rsidRDefault="00B25A17">
      <w:r>
        <w:separator/>
      </w:r>
    </w:p>
  </w:endnote>
  <w:endnote w:type="continuationSeparator" w:id="0">
    <w:p w:rsidR="00B25A17" w:rsidRDefault="00B2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62" w:rsidRPr="00772A62" w:rsidRDefault="00772A62" w:rsidP="00772A62">
    <w:pPr>
      <w:pStyle w:val="Footer"/>
      <w:tabs>
        <w:tab w:val="right" w:pos="9638"/>
      </w:tabs>
    </w:pPr>
    <w:r w:rsidRPr="00772A62">
      <w:rPr>
        <w:b/>
        <w:sz w:val="18"/>
      </w:rPr>
      <w:fldChar w:fldCharType="begin"/>
    </w:r>
    <w:r w:rsidRPr="00772A62">
      <w:rPr>
        <w:b/>
        <w:sz w:val="18"/>
      </w:rPr>
      <w:instrText xml:space="preserve"> PAGE  \* MERGEFORMAT </w:instrText>
    </w:r>
    <w:r w:rsidRPr="00772A62">
      <w:rPr>
        <w:b/>
        <w:sz w:val="18"/>
      </w:rPr>
      <w:fldChar w:fldCharType="separate"/>
    </w:r>
    <w:r w:rsidR="00D829D1">
      <w:rPr>
        <w:b/>
        <w:noProof/>
        <w:sz w:val="18"/>
      </w:rPr>
      <w:t>2</w:t>
    </w:r>
    <w:r w:rsidRPr="00772A62">
      <w:rPr>
        <w:b/>
        <w:sz w:val="18"/>
      </w:rPr>
      <w:fldChar w:fldCharType="end"/>
    </w:r>
    <w:r>
      <w:rPr>
        <w:b/>
        <w:sz w:val="18"/>
      </w:rPr>
      <w:tab/>
    </w:r>
    <w:r>
      <w:t>GE.12-40377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62" w:rsidRPr="00772A62" w:rsidRDefault="00772A62" w:rsidP="00772A62">
    <w:pPr>
      <w:pStyle w:val="Footer"/>
      <w:tabs>
        <w:tab w:val="right" w:pos="9638"/>
      </w:tabs>
      <w:rPr>
        <w:b/>
        <w:sz w:val="18"/>
      </w:rPr>
    </w:pPr>
    <w:r>
      <w:t>GE.12-40377</w:t>
    </w:r>
    <w:r>
      <w:tab/>
    </w:r>
    <w:r w:rsidRPr="00772A62">
      <w:rPr>
        <w:b/>
        <w:sz w:val="18"/>
      </w:rPr>
      <w:fldChar w:fldCharType="begin"/>
    </w:r>
    <w:r w:rsidRPr="00772A62">
      <w:rPr>
        <w:b/>
        <w:sz w:val="18"/>
      </w:rPr>
      <w:instrText xml:space="preserve"> PAGE  \* MERGEFORMAT </w:instrText>
    </w:r>
    <w:r w:rsidRPr="00772A62">
      <w:rPr>
        <w:b/>
        <w:sz w:val="18"/>
      </w:rPr>
      <w:fldChar w:fldCharType="separate"/>
    </w:r>
    <w:r w:rsidR="00D829D1">
      <w:rPr>
        <w:b/>
        <w:noProof/>
        <w:sz w:val="18"/>
      </w:rPr>
      <w:t>3</w:t>
    </w:r>
    <w:r w:rsidRPr="00772A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1B" w:rsidRPr="00772A62" w:rsidRDefault="00772A62">
    <w:pPr>
      <w:pStyle w:val="Footer"/>
      <w:rPr>
        <w:sz w:val="20"/>
      </w:rPr>
    </w:pPr>
    <w:r>
      <w:rPr>
        <w:sz w:val="20"/>
      </w:rPr>
      <w:t>GE.</w:t>
    </w:r>
    <w:r w:rsidR="00556E1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7.15pt;margin-top:-6.95pt;width:85.5pt;height:18pt;z-index:1;mso-position-horizontal-relative:text;mso-position-vertical-relative:text" wrapcoords="18189 0 0 9900 -189 12600 -189 17100 758 19800 19516 19800 20274 19800 21032 14400 21600 14400 21600 8100 20653 0 18189 0">
          <v:imagedata r:id="rId1" o:title="recycle_Spanish"/>
          <w10:anchorlock/>
        </v:shape>
      </w:pict>
    </w:r>
    <w:r>
      <w:rPr>
        <w:sz w:val="20"/>
      </w:rPr>
      <w:t>12-40377  (S)</w:t>
    </w:r>
    <w:r w:rsidR="00DB1CEF">
      <w:rPr>
        <w:sz w:val="20"/>
      </w:rPr>
      <w:t xml:space="preserve">    060212    130212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17" w:rsidRPr="001075E9" w:rsidRDefault="00B25A1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5A17" w:rsidRDefault="00B25A17">
      <w:r>
        <w:continuationSeparator/>
      </w:r>
    </w:p>
  </w:footnote>
  <w:footnote w:id="1">
    <w:p w:rsidR="00DB1CEF" w:rsidRPr="00DB1CEF" w:rsidRDefault="00DB1CEF">
      <w:pPr>
        <w:pStyle w:val="FootnoteText"/>
        <w:rPr>
          <w:sz w:val="20"/>
        </w:rPr>
      </w:pPr>
      <w:r>
        <w:tab/>
      </w:r>
      <w:r w:rsidRPr="00DB1CEF">
        <w:rPr>
          <w:rStyle w:val="FootnoteReference"/>
          <w:sz w:val="20"/>
          <w:vertAlign w:val="baseline"/>
        </w:rPr>
        <w:t>*</w:t>
      </w:r>
      <w:r w:rsidRPr="00DB1CEF">
        <w:tab/>
      </w:r>
      <w:r w:rsidRPr="002E4AED">
        <w:t>Documento presentado con retraso.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62" w:rsidRPr="00772A62" w:rsidRDefault="00772A62">
    <w:pPr>
      <w:pStyle w:val="Header"/>
    </w:pPr>
    <w:r>
      <w:t>CERD/C/CAN/Q/19-20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62" w:rsidRPr="00772A62" w:rsidRDefault="00772A62" w:rsidP="00772A62">
    <w:pPr>
      <w:pStyle w:val="Header"/>
      <w:jc w:val="right"/>
    </w:pPr>
    <w:r>
      <w:t>CERD/C/CAN/Q/19-20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E1B"/>
    <w:rsid w:val="00006BB9"/>
    <w:rsid w:val="000107A1"/>
    <w:rsid w:val="0002339D"/>
    <w:rsid w:val="00036733"/>
    <w:rsid w:val="000B57E7"/>
    <w:rsid w:val="000F09DF"/>
    <w:rsid w:val="000F61B2"/>
    <w:rsid w:val="001075E9"/>
    <w:rsid w:val="00145F2F"/>
    <w:rsid w:val="00160FF7"/>
    <w:rsid w:val="00180183"/>
    <w:rsid w:val="00196389"/>
    <w:rsid w:val="001C7A89"/>
    <w:rsid w:val="00201F1A"/>
    <w:rsid w:val="002433EC"/>
    <w:rsid w:val="0025226E"/>
    <w:rsid w:val="002A2EFC"/>
    <w:rsid w:val="002C0E18"/>
    <w:rsid w:val="002C33BB"/>
    <w:rsid w:val="002D5AAC"/>
    <w:rsid w:val="00301299"/>
    <w:rsid w:val="00322004"/>
    <w:rsid w:val="003402C2"/>
    <w:rsid w:val="00381C24"/>
    <w:rsid w:val="003958D0"/>
    <w:rsid w:val="003A2A94"/>
    <w:rsid w:val="004031F0"/>
    <w:rsid w:val="00454E07"/>
    <w:rsid w:val="00471CB3"/>
    <w:rsid w:val="004E7F40"/>
    <w:rsid w:val="0050108D"/>
    <w:rsid w:val="0051740C"/>
    <w:rsid w:val="00556E1B"/>
    <w:rsid w:val="00562DF7"/>
    <w:rsid w:val="00572E19"/>
    <w:rsid w:val="005F0B42"/>
    <w:rsid w:val="00634841"/>
    <w:rsid w:val="00655A21"/>
    <w:rsid w:val="006725B3"/>
    <w:rsid w:val="006808A9"/>
    <w:rsid w:val="006D631C"/>
    <w:rsid w:val="006F35EE"/>
    <w:rsid w:val="007021FF"/>
    <w:rsid w:val="007076CB"/>
    <w:rsid w:val="00772A62"/>
    <w:rsid w:val="007967DF"/>
    <w:rsid w:val="00834B71"/>
    <w:rsid w:val="0086445C"/>
    <w:rsid w:val="00865FAC"/>
    <w:rsid w:val="008728CD"/>
    <w:rsid w:val="008A08D7"/>
    <w:rsid w:val="008A13F9"/>
    <w:rsid w:val="008C0F65"/>
    <w:rsid w:val="00906890"/>
    <w:rsid w:val="00951972"/>
    <w:rsid w:val="00954E65"/>
    <w:rsid w:val="00986522"/>
    <w:rsid w:val="00A17DFD"/>
    <w:rsid w:val="00A31EAE"/>
    <w:rsid w:val="00A4674B"/>
    <w:rsid w:val="00A917B3"/>
    <w:rsid w:val="00AB4B51"/>
    <w:rsid w:val="00B066FC"/>
    <w:rsid w:val="00B10CC7"/>
    <w:rsid w:val="00B25A17"/>
    <w:rsid w:val="00B55175"/>
    <w:rsid w:val="00B62458"/>
    <w:rsid w:val="00B778C8"/>
    <w:rsid w:val="00BB36EA"/>
    <w:rsid w:val="00BD33EE"/>
    <w:rsid w:val="00C60F0C"/>
    <w:rsid w:val="00C63C2A"/>
    <w:rsid w:val="00C805C9"/>
    <w:rsid w:val="00CA1679"/>
    <w:rsid w:val="00CC2A45"/>
    <w:rsid w:val="00D05347"/>
    <w:rsid w:val="00D829D1"/>
    <w:rsid w:val="00D90138"/>
    <w:rsid w:val="00DB1CEF"/>
    <w:rsid w:val="00E73F76"/>
    <w:rsid w:val="00EA31D8"/>
    <w:rsid w:val="00EA5579"/>
    <w:rsid w:val="00EF1360"/>
    <w:rsid w:val="00EF3220"/>
    <w:rsid w:val="00EF7198"/>
    <w:rsid w:val="00F41883"/>
    <w:rsid w:val="00F9415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1D8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EA31D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A31D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EA31D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31D8"/>
  </w:style>
  <w:style w:type="character" w:styleId="FootnoteReference">
    <w:name w:val="footnote reference"/>
    <w:aliases w:val="4_G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EA31D8"/>
    <w:pPr>
      <w:numPr>
        <w:numId w:val="3"/>
      </w:numPr>
    </w:pPr>
  </w:style>
  <w:style w:type="numbering" w:styleId="1ai">
    <w:name w:val="Outline List 1"/>
    <w:basedOn w:val="NoList"/>
    <w:semiHidden/>
    <w:rsid w:val="00EA31D8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EA31D8"/>
  </w:style>
  <w:style w:type="numbering" w:styleId="ArticleSection">
    <w:name w:val="Outline List 3"/>
    <w:basedOn w:val="NoList"/>
    <w:semiHidden/>
    <w:rsid w:val="00EA31D8"/>
    <w:pPr>
      <w:numPr>
        <w:numId w:val="5"/>
      </w:numPr>
    </w:pPr>
  </w:style>
  <w:style w:type="paragraph" w:styleId="Closing">
    <w:name w:val="Closing"/>
    <w:basedOn w:val="Normal"/>
    <w:semiHidden/>
    <w:rsid w:val="00EA31D8"/>
    <w:pPr>
      <w:ind w:left="4252"/>
    </w:pPr>
  </w:style>
  <w:style w:type="character" w:styleId="HTMLCite">
    <w:name w:val="HTML Cite"/>
    <w:semiHidden/>
    <w:rsid w:val="00EA31D8"/>
    <w:rPr>
      <w:i/>
      <w:iCs/>
    </w:rPr>
  </w:style>
  <w:style w:type="character" w:styleId="HTMLCode">
    <w:name w:val="HTML Code"/>
    <w:semiHidden/>
    <w:rsid w:val="00EA31D8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EA31D8"/>
    <w:pPr>
      <w:spacing w:after="120"/>
      <w:ind w:left="283"/>
    </w:pPr>
  </w:style>
  <w:style w:type="paragraph" w:styleId="ListContinue2">
    <w:name w:val="List Continue 2"/>
    <w:basedOn w:val="Normal"/>
    <w:semiHidden/>
    <w:rsid w:val="00EA31D8"/>
    <w:pPr>
      <w:spacing w:after="120"/>
      <w:ind w:left="566"/>
    </w:pPr>
  </w:style>
  <w:style w:type="paragraph" w:styleId="ListContinue3">
    <w:name w:val="List Continue 3"/>
    <w:basedOn w:val="Normal"/>
    <w:semiHidden/>
    <w:rsid w:val="00EA31D8"/>
    <w:pPr>
      <w:spacing w:after="120"/>
      <w:ind w:left="849"/>
    </w:pPr>
  </w:style>
  <w:style w:type="paragraph" w:styleId="ListContinue4">
    <w:name w:val="List Continue 4"/>
    <w:basedOn w:val="Normal"/>
    <w:semiHidden/>
    <w:rsid w:val="00EA31D8"/>
    <w:pPr>
      <w:spacing w:after="120"/>
      <w:ind w:left="1132"/>
    </w:pPr>
  </w:style>
  <w:style w:type="paragraph" w:styleId="ListContinue5">
    <w:name w:val="List Continue 5"/>
    <w:basedOn w:val="Normal"/>
    <w:semiHidden/>
    <w:rsid w:val="00EA31D8"/>
    <w:pPr>
      <w:spacing w:after="120"/>
      <w:ind w:left="1415"/>
    </w:pPr>
  </w:style>
  <w:style w:type="character" w:styleId="HTMLDefinition">
    <w:name w:val="HTML Definition"/>
    <w:semiHidden/>
    <w:rsid w:val="00EA31D8"/>
    <w:rPr>
      <w:i/>
      <w:iCs/>
    </w:rPr>
  </w:style>
  <w:style w:type="paragraph" w:styleId="HTMLAddress">
    <w:name w:val="HTML Address"/>
    <w:basedOn w:val="Normal"/>
    <w:semiHidden/>
    <w:rsid w:val="00EA31D8"/>
    <w:rPr>
      <w:i/>
      <w:iCs/>
    </w:rPr>
  </w:style>
  <w:style w:type="paragraph" w:styleId="EnvelopeAddress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EA31D8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EA31D8"/>
  </w:style>
  <w:style w:type="character" w:styleId="Emphasis">
    <w:name w:val="Emphasis"/>
    <w:qFormat/>
    <w:rsid w:val="00EA31D8"/>
    <w:rPr>
      <w:i/>
      <w:iCs/>
    </w:rPr>
  </w:style>
  <w:style w:type="paragraph" w:styleId="Date">
    <w:name w:val="Date"/>
    <w:basedOn w:val="Normal"/>
    <w:next w:val="Normal"/>
    <w:semiHidden/>
    <w:rsid w:val="00EA31D8"/>
  </w:style>
  <w:style w:type="paragraph" w:styleId="Signature">
    <w:name w:val="Signature"/>
    <w:basedOn w:val="Normal"/>
    <w:semiHidden/>
    <w:rsid w:val="00EA31D8"/>
    <w:pPr>
      <w:ind w:left="4252"/>
    </w:pPr>
  </w:style>
  <w:style w:type="paragraph" w:styleId="E-mailSignature">
    <w:name w:val="E-mail Signature"/>
    <w:basedOn w:val="Normal"/>
    <w:semiHidden/>
    <w:rsid w:val="00EA31D8"/>
  </w:style>
  <w:style w:type="character" w:styleId="Hyperlink">
    <w:name w:val="Hyperlink"/>
    <w:semiHidden/>
    <w:rsid w:val="00EA31D8"/>
    <w:rPr>
      <w:color w:val="0000FF"/>
      <w:u w:val="single"/>
    </w:rPr>
  </w:style>
  <w:style w:type="character" w:styleId="FollowedHyperlink">
    <w:name w:val="FollowedHyperlink"/>
    <w:semiHidden/>
    <w:rsid w:val="00EA31D8"/>
    <w:rPr>
      <w:color w:val="800080"/>
      <w:u w:val="single"/>
    </w:rPr>
  </w:style>
  <w:style w:type="paragraph" w:styleId="HTMLPreformatted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">
    <w:name w:val="List"/>
    <w:basedOn w:val="Normal"/>
    <w:semiHidden/>
    <w:rsid w:val="00EA31D8"/>
    <w:pPr>
      <w:ind w:left="283" w:hanging="283"/>
    </w:pPr>
  </w:style>
  <w:style w:type="paragraph" w:styleId="List2">
    <w:name w:val="List 2"/>
    <w:basedOn w:val="Normal"/>
    <w:semiHidden/>
    <w:rsid w:val="00EA31D8"/>
    <w:pPr>
      <w:ind w:left="566" w:hanging="283"/>
    </w:pPr>
  </w:style>
  <w:style w:type="paragraph" w:styleId="List3">
    <w:name w:val="List 3"/>
    <w:basedOn w:val="Normal"/>
    <w:semiHidden/>
    <w:rsid w:val="00EA31D8"/>
    <w:pPr>
      <w:ind w:left="849" w:hanging="283"/>
    </w:pPr>
  </w:style>
  <w:style w:type="paragraph" w:styleId="List4">
    <w:name w:val="List 4"/>
    <w:basedOn w:val="Normal"/>
    <w:semiHidden/>
    <w:rsid w:val="00EA31D8"/>
    <w:pPr>
      <w:ind w:left="1132" w:hanging="283"/>
    </w:pPr>
  </w:style>
  <w:style w:type="paragraph" w:styleId="List5">
    <w:name w:val="List 5"/>
    <w:basedOn w:val="Normal"/>
    <w:semiHidden/>
    <w:rsid w:val="00EA31D8"/>
    <w:pPr>
      <w:ind w:left="1415" w:hanging="283"/>
    </w:pPr>
  </w:style>
  <w:style w:type="paragraph" w:styleId="ListNumber">
    <w:name w:val="List Number"/>
    <w:basedOn w:val="Normal"/>
    <w:semiHidden/>
    <w:rsid w:val="00EA31D8"/>
    <w:pPr>
      <w:numPr>
        <w:numId w:val="6"/>
      </w:numPr>
    </w:pPr>
  </w:style>
  <w:style w:type="paragraph" w:styleId="ListNumber2">
    <w:name w:val="List Number 2"/>
    <w:basedOn w:val="Normal"/>
    <w:semiHidden/>
    <w:rsid w:val="00EA31D8"/>
    <w:pPr>
      <w:numPr>
        <w:numId w:val="7"/>
      </w:numPr>
    </w:pPr>
  </w:style>
  <w:style w:type="paragraph" w:styleId="ListNumber3">
    <w:name w:val="List Number 3"/>
    <w:basedOn w:val="Normal"/>
    <w:semiHidden/>
    <w:rsid w:val="00EA31D8"/>
    <w:pPr>
      <w:numPr>
        <w:numId w:val="8"/>
      </w:numPr>
    </w:pPr>
  </w:style>
  <w:style w:type="paragraph" w:styleId="ListNumber4">
    <w:name w:val="List Number 4"/>
    <w:basedOn w:val="Normal"/>
    <w:semiHidden/>
    <w:rsid w:val="00EA31D8"/>
    <w:pPr>
      <w:numPr>
        <w:numId w:val="9"/>
      </w:numPr>
    </w:pPr>
  </w:style>
  <w:style w:type="paragraph" w:styleId="ListNumber5">
    <w:name w:val="List Number 5"/>
    <w:basedOn w:val="Normal"/>
    <w:semiHidden/>
    <w:rsid w:val="00EA31D8"/>
    <w:pPr>
      <w:numPr>
        <w:numId w:val="10"/>
      </w:numPr>
    </w:pPr>
  </w:style>
  <w:style w:type="paragraph" w:styleId="ListBullet">
    <w:name w:val="List Bullet"/>
    <w:basedOn w:val="Normal"/>
    <w:semiHidden/>
    <w:rsid w:val="00EA31D8"/>
    <w:pPr>
      <w:numPr>
        <w:numId w:val="11"/>
      </w:numPr>
    </w:pPr>
  </w:style>
  <w:style w:type="paragraph" w:styleId="ListBullet2">
    <w:name w:val="List Bullet 2"/>
    <w:basedOn w:val="Normal"/>
    <w:semiHidden/>
    <w:rsid w:val="00EA31D8"/>
    <w:pPr>
      <w:numPr>
        <w:numId w:val="12"/>
      </w:numPr>
    </w:pPr>
  </w:style>
  <w:style w:type="paragraph" w:styleId="ListBullet3">
    <w:name w:val="List Bullet 3"/>
    <w:basedOn w:val="Normal"/>
    <w:semiHidden/>
    <w:rsid w:val="00EA31D8"/>
    <w:pPr>
      <w:numPr>
        <w:numId w:val="13"/>
      </w:numPr>
    </w:pPr>
  </w:style>
  <w:style w:type="paragraph" w:styleId="ListBullet4">
    <w:name w:val="List Bullet 4"/>
    <w:basedOn w:val="Normal"/>
    <w:semiHidden/>
    <w:rsid w:val="00EA31D8"/>
    <w:pPr>
      <w:numPr>
        <w:numId w:val="14"/>
      </w:numPr>
    </w:pPr>
  </w:style>
  <w:style w:type="paragraph" w:styleId="ListBullet5">
    <w:name w:val="List Bullet 5"/>
    <w:basedOn w:val="Normal"/>
    <w:semiHidden/>
    <w:rsid w:val="00EA31D8"/>
    <w:pPr>
      <w:numPr>
        <w:numId w:val="15"/>
      </w:numPr>
    </w:pPr>
  </w:style>
  <w:style w:type="character" w:styleId="HTMLTypewriter">
    <w:name w:val="HTML Typewri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LineNumber">
    <w:name w:val="line number"/>
    <w:basedOn w:val="DefaultParagraphFont"/>
    <w:semiHidden/>
    <w:rsid w:val="00EA31D8"/>
  </w:style>
  <w:style w:type="character" w:styleId="PageNumber">
    <w:name w:val="page number"/>
    <w:aliases w:val="7_G"/>
    <w:rsid w:val="00EA31D8"/>
    <w:rPr>
      <w:b/>
      <w:sz w:val="18"/>
    </w:rPr>
  </w:style>
  <w:style w:type="character" w:styleId="EndnoteReference">
    <w:name w:val="endnote reference"/>
    <w:aliases w:val="1_G"/>
    <w:basedOn w:val="FootnoteReference"/>
    <w:rsid w:val="00EA31D8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EA31D8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EA31D8"/>
  </w:style>
  <w:style w:type="paragraph" w:styleId="BodyTextIndent2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EA31D8"/>
    <w:pPr>
      <w:spacing w:after="120"/>
      <w:ind w:left="283"/>
    </w:pPr>
  </w:style>
  <w:style w:type="paragraph" w:styleId="NormalIndent">
    <w:name w:val="Normal Indent"/>
    <w:basedOn w:val="Normal"/>
    <w:semiHidden/>
    <w:rsid w:val="00EA31D8"/>
    <w:pPr>
      <w:ind w:left="567"/>
    </w:pPr>
  </w:style>
  <w:style w:type="paragraph" w:styleId="Subtitle">
    <w:name w:val="Subtitle"/>
    <w:basedOn w:val="Normal"/>
    <w:qFormat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31D8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31D8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31D8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31D8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31D8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EA31D8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31D8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31D8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EA31D8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EA31D8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31D8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31D8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31D8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31D8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31D8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31D8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EA31D8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EA31D8"/>
    <w:pPr>
      <w:spacing w:after="120"/>
      <w:ind w:left="1440" w:right="1440"/>
    </w:pPr>
  </w:style>
  <w:style w:type="character" w:styleId="Strong">
    <w:name w:val="Strong"/>
    <w:qFormat/>
    <w:rsid w:val="00EA31D8"/>
    <w:rPr>
      <w:b/>
      <w:bCs/>
    </w:rPr>
  </w:style>
  <w:style w:type="paragraph" w:styleId="BodyText">
    <w:name w:val="Body Text"/>
    <w:basedOn w:val="Normal"/>
    <w:semiHidden/>
    <w:rsid w:val="00EA31D8"/>
    <w:pPr>
      <w:spacing w:after="120"/>
    </w:pPr>
  </w:style>
  <w:style w:type="paragraph" w:styleId="BodyText2">
    <w:name w:val="Body Text 2"/>
    <w:basedOn w:val="Normal"/>
    <w:semiHidden/>
    <w:rsid w:val="00EA31D8"/>
    <w:pPr>
      <w:spacing w:after="120" w:line="480" w:lineRule="auto"/>
    </w:pPr>
  </w:style>
  <w:style w:type="paragraph" w:styleId="BodyText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A31D8"/>
    <w:pPr>
      <w:ind w:firstLine="210"/>
    </w:pPr>
  </w:style>
  <w:style w:type="paragraph" w:styleId="BodyTextFirstIndent2">
    <w:name w:val="Body Text First Indent 2"/>
    <w:basedOn w:val="BodyTextIndent"/>
    <w:semiHidden/>
    <w:rsid w:val="00EA31D8"/>
    <w:pPr>
      <w:ind w:firstLine="210"/>
    </w:pPr>
  </w:style>
  <w:style w:type="paragraph" w:styleId="EndnoteText">
    <w:name w:val="endnote text"/>
    <w:aliases w:val="2_G"/>
    <w:basedOn w:val="FootnoteText"/>
    <w:rsid w:val="00EA31D8"/>
  </w:style>
  <w:style w:type="paragraph" w:styleId="PlainText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itle">
    <w:name w:val="Title"/>
    <w:basedOn w:val="Normal"/>
    <w:qFormat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EA31D8"/>
    <w:rPr>
      <w:i/>
      <w:iCs/>
    </w:rPr>
  </w:style>
  <w:style w:type="paragraph" w:customStyle="1" w:styleId="Bullet1G">
    <w:name w:val="_Bullet 1_G"/>
    <w:basedOn w:val="Normal"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EA31D8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3</Pages>
  <Words>1074</Words>
  <Characters>5911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CERD/C/CAN/Q/19-20</vt:lpstr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CERD/C/CAN/Q/19-20</dc:title>
  <dc:subject>Final</dc:subject>
  <dc:creator>Carlos Bragunde</dc:creator>
  <cp:keywords/>
  <dc:description/>
  <cp:lastModifiedBy>Maruchi Zeballos</cp:lastModifiedBy>
  <cp:revision>2</cp:revision>
  <cp:lastPrinted>2012-02-13T08:20:00Z</cp:lastPrinted>
  <dcterms:created xsi:type="dcterms:W3CDTF">2012-02-13T08:22:00Z</dcterms:created>
  <dcterms:modified xsi:type="dcterms:W3CDTF">2012-02-13T08:22:00Z</dcterms:modified>
</cp:coreProperties>
</file>