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F2D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2DD2" w:rsidP="00EF2DD2">
            <w:pPr>
              <w:jc w:val="right"/>
            </w:pPr>
            <w:proofErr w:type="spellStart"/>
            <w:r w:rsidRPr="00EF2DD2">
              <w:rPr>
                <w:sz w:val="40"/>
              </w:rPr>
              <w:t>CERD</w:t>
            </w:r>
            <w:proofErr w:type="spellEnd"/>
            <w:r>
              <w:t>/C/</w:t>
            </w:r>
            <w:proofErr w:type="spellStart"/>
            <w:r>
              <w:t>CUB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/19-21</w:t>
            </w:r>
          </w:p>
        </w:tc>
      </w:tr>
      <w:tr w:rsidR="002D5AA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2DD2" w:rsidP="008D2AAD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:rsidR="00EF2DD2" w:rsidRDefault="00EF2DD2" w:rsidP="00EF2DD2">
            <w:pPr>
              <w:spacing w:line="240" w:lineRule="exact"/>
            </w:pPr>
            <w:r>
              <w:t xml:space="preserve">20 </w:t>
            </w:r>
            <w:proofErr w:type="spellStart"/>
            <w:r>
              <w:t>September</w:t>
            </w:r>
            <w:proofErr w:type="spellEnd"/>
            <w:r>
              <w:t xml:space="preserve"> 2018</w:t>
            </w:r>
          </w:p>
          <w:p w:rsidR="00EF2DD2" w:rsidRDefault="00EF2DD2" w:rsidP="00EF2DD2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:rsidR="00EF2DD2" w:rsidRPr="007C46C9" w:rsidRDefault="00EF2DD2" w:rsidP="00EF2DD2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Spanish</w:t>
            </w:r>
            <w:proofErr w:type="spellEnd"/>
          </w:p>
        </w:tc>
      </w:tr>
    </w:tbl>
    <w:p w:rsidR="00EF2DD2" w:rsidRPr="00410202" w:rsidRDefault="00EF2DD2" w:rsidP="00EF2DD2">
      <w:pPr>
        <w:spacing w:before="120"/>
        <w:rPr>
          <w:b/>
          <w:sz w:val="24"/>
          <w:szCs w:val="24"/>
        </w:rPr>
      </w:pPr>
      <w:r w:rsidRPr="00410202">
        <w:rPr>
          <w:b/>
          <w:bCs/>
          <w:sz w:val="24"/>
          <w:szCs w:val="24"/>
        </w:rPr>
        <w:t xml:space="preserve">Комитет по ликвидации </w:t>
      </w:r>
      <w:r>
        <w:rPr>
          <w:b/>
          <w:bCs/>
          <w:sz w:val="24"/>
          <w:szCs w:val="24"/>
        </w:rPr>
        <w:br/>
      </w:r>
      <w:r w:rsidRPr="00410202">
        <w:rPr>
          <w:b/>
          <w:bCs/>
          <w:sz w:val="24"/>
          <w:szCs w:val="24"/>
        </w:rPr>
        <w:t>расовой дискриминации</w:t>
      </w:r>
    </w:p>
    <w:p w:rsidR="00EF2DD2" w:rsidRPr="00410202" w:rsidRDefault="00EF2DD2" w:rsidP="00EF2DD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Заключительные замечания по объединенным девятнадцатому–двадцать первому периодическим докладам Кубы</w:t>
      </w:r>
      <w:r w:rsidRPr="009B3B67">
        <w:rPr>
          <w:b w:val="0"/>
          <w:sz w:val="18"/>
          <w:lang w:eastAsia="ru-RU"/>
        </w:rPr>
        <w:footnoteReference w:customMarkFollows="1" w:id="1"/>
        <w:t>*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рассмотрел объединенные девятнадцатый–двадцать первый периодические</w:t>
      </w:r>
      <w:r w:rsidRPr="00EF2DD2">
        <w:rPr>
          <w:spacing w:val="-4"/>
          <w:lang w:val="ru-RU"/>
        </w:rPr>
        <w:t xml:space="preserve"> доклады Кубы, представленные в одном документе (</w:t>
      </w:r>
      <w:proofErr w:type="spellStart"/>
      <w:r w:rsidRPr="00EF2DD2">
        <w:rPr>
          <w:spacing w:val="-4"/>
          <w:lang w:val="ru-RU"/>
        </w:rPr>
        <w:t>CERD</w:t>
      </w:r>
      <w:proofErr w:type="spellEnd"/>
      <w:r w:rsidRPr="00EF2DD2">
        <w:rPr>
          <w:spacing w:val="-4"/>
          <w:lang w:val="ru-RU"/>
        </w:rPr>
        <w:t>/C/</w:t>
      </w:r>
      <w:proofErr w:type="spellStart"/>
      <w:r w:rsidRPr="00EF2DD2">
        <w:rPr>
          <w:spacing w:val="-4"/>
          <w:lang w:val="ru-RU"/>
        </w:rPr>
        <w:t>CUB</w:t>
      </w:r>
      <w:proofErr w:type="spellEnd"/>
      <w:r w:rsidRPr="00EF2DD2">
        <w:rPr>
          <w:spacing w:val="-4"/>
          <w:lang w:val="ru-RU"/>
        </w:rPr>
        <w:t xml:space="preserve">/19-21) </w:t>
      </w:r>
      <w:r>
        <w:rPr>
          <w:lang w:val="ru-RU"/>
        </w:rPr>
        <w:t>на своих 2660-м и 2661-м заседаниях (</w:t>
      </w:r>
      <w:proofErr w:type="spellStart"/>
      <w:r>
        <w:rPr>
          <w:lang w:val="ru-RU"/>
        </w:rPr>
        <w:t>CERD</w:t>
      </w:r>
      <w:proofErr w:type="spellEnd"/>
      <w:r>
        <w:rPr>
          <w:lang w:val="ru-RU"/>
        </w:rPr>
        <w:t>/C/SR.2660 и 2661), состоявшихся 15 и 16</w:t>
      </w:r>
      <w:r w:rsidR="009B3B67">
        <w:rPr>
          <w:lang w:val="en-US"/>
        </w:rPr>
        <w:t> </w:t>
      </w:r>
      <w:r>
        <w:rPr>
          <w:lang w:val="ru-RU"/>
        </w:rPr>
        <w:t>августа 2018 года. На своих 2676-м и 2677-м заседаниях 28 и 29 августа 2018 года он принял следующие заключительные замечания.</w:t>
      </w:r>
    </w:p>
    <w:p w:rsidR="00EF2DD2" w:rsidRPr="00410202" w:rsidRDefault="00EF2DD2" w:rsidP="00EF2DD2">
      <w:pPr>
        <w:pStyle w:val="H1G"/>
        <w:rPr>
          <w:lang w:val="ru-RU"/>
        </w:rPr>
      </w:pPr>
      <w:r>
        <w:rPr>
          <w:bCs/>
          <w:lang w:val="ru-RU"/>
        </w:rPr>
        <w:tab/>
        <w:t>A.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представление девятнадцатого–двадцать первого периодических докладов государства-участника, сведенных в один документ. Комитет с удовлетворением отмечает откровенный и открытый диалог, состоявшийся с делегацией государства-участника, и благодарит ее за предоставленную в ходе диалога дополнительную информацию.</w:t>
      </w:r>
    </w:p>
    <w:p w:rsidR="00EF2DD2" w:rsidRPr="00410202" w:rsidRDefault="00EF2DD2" w:rsidP="00EF2DD2">
      <w:pPr>
        <w:pStyle w:val="H1G"/>
        <w:rPr>
          <w:lang w:val="ru-RU"/>
        </w:rPr>
      </w:pPr>
      <w:r>
        <w:rPr>
          <w:bCs/>
          <w:lang w:val="ru-RU"/>
        </w:rPr>
        <w:tab/>
        <w:t>B.</w:t>
      </w:r>
      <w:r>
        <w:rPr>
          <w:lang w:val="ru-RU"/>
        </w:rPr>
        <w:tab/>
      </w:r>
      <w:r>
        <w:rPr>
          <w:bCs/>
          <w:lang w:val="ru-RU"/>
        </w:rPr>
        <w:t>Позитивные аспекты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с удовлетворением отмечает ратификацию государством-участником в июне 2013 года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принимает к сведению принятые государством-участником в рассматриваемый период</w:t>
      </w:r>
      <w:r w:rsidRPr="003C5F8B">
        <w:rPr>
          <w:lang w:val="ru-RU"/>
        </w:rPr>
        <w:t xml:space="preserve"> </w:t>
      </w:r>
      <w:r>
        <w:rPr>
          <w:lang w:val="ru-RU"/>
        </w:rPr>
        <w:t>законодательные меры, в частности: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>принятие в декабре 2013 года Закона № 116 (о Трудовом кодексе), в</w:t>
      </w:r>
      <w:r w:rsidR="0080171F">
        <w:rPr>
          <w:lang w:val="ru-RU"/>
        </w:rPr>
        <w:t> </w:t>
      </w:r>
      <w:r>
        <w:rPr>
          <w:lang w:val="ru-RU"/>
        </w:rPr>
        <w:t xml:space="preserve">соответствии с которым устанавливается запрет на дискриминацию, включая дискриминацию по признаку </w:t>
      </w:r>
      <w:r w:rsidR="009B3B67">
        <w:rPr>
          <w:lang w:val="ru-RU"/>
        </w:rPr>
        <w:t>«</w:t>
      </w:r>
      <w:r>
        <w:rPr>
          <w:lang w:val="ru-RU"/>
        </w:rPr>
        <w:t>цвета кожи, пола, религиозных убеждений, сексуальной ориентации, территориального происхождения, инвалидности или любому иному отличительному признаку, подрывающему человеческое достоинство</w:t>
      </w:r>
      <w:r w:rsidR="009B3B67">
        <w:rPr>
          <w:lang w:val="ru-RU"/>
        </w:rPr>
        <w:t>»</w:t>
      </w:r>
      <w:r>
        <w:rPr>
          <w:lang w:val="ru-RU"/>
        </w:rPr>
        <w:t xml:space="preserve"> (подпункт d) пункта 1 статьи 2).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принятие в октябре 2012 года Декрета-закона № 302 о внесении изменений в Закон № 1312 (Закон о миграции).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lastRenderedPageBreak/>
        <w:t>5.</w:t>
      </w:r>
      <w:r>
        <w:rPr>
          <w:lang w:val="ru-RU"/>
        </w:rPr>
        <w:tab/>
        <w:t>Комитет также приветствует усилия, предпринятые государством-участником с целью привлечения большего внимания к проблеме расовой дискриминации, в том числе принятие плана действий по проведению Международного года лиц африканского происхождения и национальной программы по этому вопросу, где предусматриваются информационно-разъяснительные кампании и обмен мнениями по вопросу о расовой дискриминации и ее социальных последствиях.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приветствует тот факт, что, несмотря на торгово-экономическую и финансовую блокаду, государству-участнику удалось создать систему всеобщего образования и здравоохранения и охватить системой социальной защиты все население страны, включая лиц африканского происхождения.</w:t>
      </w:r>
    </w:p>
    <w:p w:rsidR="00EF2DD2" w:rsidRPr="00410202" w:rsidRDefault="00EF2DD2" w:rsidP="00EF2DD2">
      <w:pPr>
        <w:pStyle w:val="H1G"/>
        <w:rPr>
          <w:lang w:val="ru-RU"/>
        </w:rPr>
      </w:pPr>
      <w:r>
        <w:rPr>
          <w:bCs/>
          <w:lang w:val="ru-RU"/>
        </w:rPr>
        <w:tab/>
        <w:t>C.</w:t>
      </w:r>
      <w:r>
        <w:rPr>
          <w:lang w:val="ru-RU"/>
        </w:rPr>
        <w:tab/>
      </w:r>
      <w:r>
        <w:rPr>
          <w:bCs/>
          <w:lang w:val="ru-RU"/>
        </w:rPr>
        <w:t>Вопросы, вызывающие обеспокоенность, и рекомендации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Применение Конвенции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Комитет отмечает, что в законодательстве государства-участника признается приоритет международных договоров над внутренним правом. Вместе с тем Комитет сожалеет, что государство-участник не предоставило информацию о случаях прямого применения Конвенции его судебными органами (статья 2). 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принимать соответствующие меры, в том числе путем подготовки кадров, в целях обеспечения того, чтобы судьи, прокуроры и адвокаты были знакомы с положениями Конвенции и могли применять их в соответствующих случаях.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просит государство-участник включить в его следующий периодический доклад конкретные примеры применения Конвенции национальными судами.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Демографический состав населения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Комитет принимает к сведению усилия государства-участника по включению в последнюю перепись населения и жилого фонда, проведенную в 2012 году, сведений об этнической и расовой принадлежности на основе самоидентификации. Вместе с тем он выражает обеспокоенность по поводу того, что использованная методология не позволяет получить объективные данные, точно отражающие этнический состав населения государства-участника (пункт 1</w:t>
      </w:r>
      <w:r w:rsidRPr="00296FA1">
        <w:rPr>
          <w:lang w:val="ru-RU"/>
        </w:rPr>
        <w:t xml:space="preserve"> </w:t>
      </w:r>
      <w:r>
        <w:rPr>
          <w:lang w:val="ru-RU"/>
        </w:rPr>
        <w:t>статьи 2).</w:t>
      </w:r>
    </w:p>
    <w:p w:rsidR="00EF2DD2" w:rsidRPr="00410202" w:rsidRDefault="00EF2DD2" w:rsidP="00EF2DD2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пересмотреть применяемую им при проведении переписей населения и жилого фонда</w:t>
      </w:r>
      <w:r w:rsidRPr="00CA7D7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методологию сбора данных для обеспечения того, чтобы такая методология основывалась на критерии самоидентификации, а включаемые в опросный лист вопросы, позволяющие адекватно отражать этнический состав населения, составлялись в консультации с лицами африканского происхождения.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 также настоятельно призывает его активизировать усилия по сбору достоверных и всеобъемлющих обновленных статистических данных о демографическом составе населения и разработке показателей, касающихся прав человека и социально-экономического развития, в разбивке по этнической принадлежности, полу, возрасту, регионам, городским и сельским районам, включая самые отдаленные районы, с целью формирования надлежащей эмпирической базы для выработки стратегий, направленных на улучшение положения с реализацией закрепленных в Конвенции прав.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обращает внимание государства-участника на свои общие рекомендации № 4 (1973) о представлении докладов государствами-участниками;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№ 8 (1990) о толковании и применении пунктов 1 и 4 статьи 1 Конвенции;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и № 30 (2005) о дискриминации в отношении </w:t>
      </w:r>
      <w:proofErr w:type="spellStart"/>
      <w:r>
        <w:rPr>
          <w:b/>
          <w:bCs/>
          <w:lang w:val="ru-RU"/>
        </w:rPr>
        <w:t>неграждан</w:t>
      </w:r>
      <w:proofErr w:type="spellEnd"/>
      <w:r>
        <w:rPr>
          <w:b/>
          <w:bCs/>
          <w:lang w:val="ru-RU"/>
        </w:rPr>
        <w:t>, а также Цель 10 в области устойчивого развития.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Национальные правозащитные учреждения</w:t>
      </w:r>
    </w:p>
    <w:p w:rsidR="00EF2DD2" w:rsidRPr="00410202" w:rsidRDefault="00EF2DD2" w:rsidP="00EF2DD2">
      <w:pPr>
        <w:pStyle w:val="SingleTxtG"/>
        <w:suppressAutoHyphens/>
        <w:rPr>
          <w:vertAlign w:val="superscript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Комитет по-прежнему обеспокоен отсутствием национального учреждения по защите и поощрению прав человека, которое соответствовало бы принципам, касающимся статуса национальных учреждений, занимающихся поощрением и защитой прав человека (Парижские принципы) (статья 2).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</w:r>
      <w:r>
        <w:rPr>
          <w:b/>
          <w:bCs/>
          <w:lang w:val="ru-RU"/>
        </w:rPr>
        <w:t>Комитет повторяет свою предыдущую рекомендацию (см.</w:t>
      </w:r>
      <w:r w:rsidR="00FF0D97">
        <w:rPr>
          <w:b/>
          <w:bCs/>
          <w:lang w:val="ru-RU"/>
        </w:rPr>
        <w:t> </w:t>
      </w:r>
      <w:proofErr w:type="spellStart"/>
      <w:r>
        <w:rPr>
          <w:b/>
          <w:bCs/>
          <w:lang w:val="ru-RU"/>
        </w:rPr>
        <w:t>CERD</w:t>
      </w:r>
      <w:proofErr w:type="spellEnd"/>
      <w:r>
        <w:rPr>
          <w:b/>
          <w:bCs/>
          <w:lang w:val="ru-RU"/>
        </w:rPr>
        <w:t>/C/</w:t>
      </w:r>
      <w:proofErr w:type="spellStart"/>
      <w:r>
        <w:rPr>
          <w:b/>
          <w:bCs/>
          <w:lang w:val="ru-RU"/>
        </w:rPr>
        <w:t>CUB</w:t>
      </w:r>
      <w:proofErr w:type="spellEnd"/>
      <w:r>
        <w:rPr>
          <w:b/>
          <w:bCs/>
          <w:lang w:val="ru-RU"/>
        </w:rPr>
        <w:t>/</w:t>
      </w:r>
      <w:proofErr w:type="spellStart"/>
      <w:r>
        <w:rPr>
          <w:b/>
          <w:bCs/>
          <w:lang w:val="ru-RU"/>
        </w:rPr>
        <w:t>CO</w:t>
      </w:r>
      <w:proofErr w:type="spellEnd"/>
      <w:r>
        <w:rPr>
          <w:b/>
          <w:bCs/>
          <w:lang w:val="ru-RU"/>
        </w:rPr>
        <w:t>/14-18, пункт 13) и настоятельно призывает государство-участник создать независимое национальное правозащитное учреждение в соответствии с Парижскими принципами, наделенное полномочиями по поощрению и защите прав человека, а также по принятию мер по борьбе с расизмом и расовой дискриминацией.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обращает внимание государства-участника на свою общую рекомендацию № 17 (1993) о создании национальных институтов по содействию осуществлению Конвенции.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Положение правозащитников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Комитет глубоко обеспокоен утверждениями о том, что правозащитники, в</w:t>
      </w:r>
      <w:r w:rsidR="00FF0D97">
        <w:rPr>
          <w:lang w:val="ru-RU"/>
        </w:rPr>
        <w:t> </w:t>
      </w:r>
      <w:r>
        <w:rPr>
          <w:lang w:val="ru-RU"/>
        </w:rPr>
        <w:t>частности лидеры гражданского общества, журналисты, активисты и те правозащитники, которые борются с расовой дискриминацией и отстаивают права человека лиц африканского происхождения, подвергаются притеснениям, преследованию, запугиванию и угрозам, поражаются в правах и привлекаются к уголовной ответственности. Комитет обеспокоен тем, что, согласно полученным сообщениям, правозащитники и лидеры гражданского общества, отстаивающие права лиц африканского происхождения, неоднократно подвергались задержанию на непродолжительный срок или лишались возможности выехать из страны для участия в встречах, организуемых международными правозащитными механизмами. В</w:t>
      </w:r>
      <w:r w:rsidR="00FF0D97">
        <w:rPr>
          <w:lang w:val="ru-RU"/>
        </w:rPr>
        <w:t> </w:t>
      </w:r>
      <w:r>
        <w:rPr>
          <w:lang w:val="ru-RU"/>
        </w:rPr>
        <w:t>частности, Комитет с обеспокоенностью отмечает полученную информацию о введении ограничений на поездки правозащитников для участия в процессе рассмотрения Комитетом доклада, представленного государством-участником. Комитет сожалеет, что государство-участник не признает, что эти факты имели место, и как следствие не приняло меры по их расследованию или недопущению (статьи 2 и</w:t>
      </w:r>
      <w:r w:rsidR="00FF0D97">
        <w:rPr>
          <w:lang w:val="ru-RU"/>
        </w:rPr>
        <w:t> </w:t>
      </w:r>
      <w:r>
        <w:rPr>
          <w:lang w:val="ru-RU"/>
        </w:rPr>
        <w:t>5).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>
        <w:rPr>
          <w:b/>
          <w:bCs/>
          <w:lang w:val="ru-RU"/>
        </w:rPr>
        <w:t>Комитет настоятельно призывает государство-участник: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а)</w:t>
      </w:r>
      <w:r>
        <w:rPr>
          <w:lang w:val="ru-RU"/>
        </w:rPr>
        <w:tab/>
      </w:r>
      <w:r>
        <w:rPr>
          <w:b/>
          <w:bCs/>
          <w:lang w:val="ru-RU"/>
        </w:rPr>
        <w:t>своевременно принимать эффективные меры по недопущению того, чтобы правозащитники, в частности лидеры гражданского общества, журналисты, активисты и те правозащитники, которые борются с расовой дискриминацией и отстаивают права человека лиц африканского происхождения, подвергались притеснениям, преследованию, запугиванию и угрозам, поражались в правах и привлекались к уголовной ответственности</w:t>
      </w:r>
      <w:r w:rsidR="0080171F">
        <w:rPr>
          <w:b/>
          <w:bCs/>
          <w:lang w:val="ru-RU"/>
        </w:rPr>
        <w:t>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создать независимый национальный механизм защиты правозащитников, разработать надлежащие стратегии защиты и предусмотреть выделение людских, финансовых и технических ресурсов, достаточных для обеспечения его эффективного функционирования;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проводить расследование по каждому случаю притеснения, преследования, запугивания, поражения в правах и привлечения к уголовной ответственности правозащитников и надлежащим образом наказывать виновных в этом;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принимать необходимые меры для обеспечения того, чтобы правозащитники, в частности лидеры гражданского общества и правозащитники, которые борются с расовой дискриминацией и отстаивают прав человека лиц африканского происхождения, не подвергались произвольным ограничениям и могли участвовать во встречах и деятельности международных правозащитных механизмов;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e)</w:t>
      </w:r>
      <w:r>
        <w:rPr>
          <w:lang w:val="ru-RU"/>
        </w:rPr>
        <w:tab/>
      </w:r>
      <w:r>
        <w:rPr>
          <w:b/>
          <w:bCs/>
          <w:lang w:val="ru-RU"/>
        </w:rPr>
        <w:t>проводить кампании по повышению уровня информированности и осведомленности о важности работы правозащитников с целью создания благоприятных условий безопасности, в которых они могли бы заниматься своей деятельностью, не опасаясь всякого рода запугивания, угроз, нападений и репрессий.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Определение расовой дискриминации</w:t>
      </w:r>
    </w:p>
    <w:p w:rsidR="00EF2DD2" w:rsidRPr="00410202" w:rsidRDefault="00EF2DD2" w:rsidP="00EF2DD2">
      <w:pPr>
        <w:pStyle w:val="SingleTxtG"/>
        <w:suppressAutoHyphens/>
        <w:rPr>
          <w:rStyle w:val="col-xs-12"/>
          <w:b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 отмечает, что государство-участник включило положения о запрещении расовой дискриминации в свое законодательство и принимает к сведению, что в настоящее время оно находится в процессе подготовки новой редакции Конституции и Уголовного кодекса. Вместе с тем он обеспокоен тем, что положения действующего законодательства и проекта Конституции не полностью соответствуют статье 1 Конвенции и не охватывает акты прямой и косвенной дискриминации (пункт</w:t>
      </w:r>
      <w:r w:rsidR="00FF0D97">
        <w:rPr>
          <w:lang w:val="ru-RU"/>
        </w:rPr>
        <w:t> </w:t>
      </w:r>
      <w:r>
        <w:rPr>
          <w:lang w:val="ru-RU"/>
        </w:rPr>
        <w:t xml:space="preserve">1 статьи 2 и подпункт d) пункта 1 статьи 2).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пересмотреть правовые положения действующего законодательства, запрещающие расовую дискриминацию, и обеспечить в процессе подготовки новой редакции Конституции и Уголовного кодекса включение в четких и недвусмысленных формулировках определения и запрета расовой дискриминации, которые соответствовали бы всем требованиям и положениям пункта 1 статьи 1 Конвенции и охватывали бы акты прямой и косвенной дискриминации.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рекомендует государству-участнику в процессе подготовки новой редакции Уголовного кодекса предусмотреть уголовную ответственность за действия, которые перечислены в статье 4 Конвенции,</w:t>
      </w:r>
      <w:r w:rsidRPr="00C05DB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 учетом своей общей рекомендации</w:t>
      </w:r>
      <w:r w:rsidR="00FF0D97">
        <w:rPr>
          <w:b/>
          <w:bCs/>
          <w:lang w:val="ru-RU"/>
        </w:rPr>
        <w:t> </w:t>
      </w:r>
      <w:r>
        <w:rPr>
          <w:b/>
          <w:bCs/>
          <w:lang w:val="ru-RU"/>
        </w:rPr>
        <w:t>№ 35 (2013) о борьбе с ненавистническими высказываниями расистского толка.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Комитет повторяет свою предыдущую рекомендацию и настоятельно призывает государство-участник обеспечить, чтобы при назначении мер наказания за совершение преступления наличие расовых мотивов или мотивов, продиктованных цветом кожи, родовым, национальным или этническим происхождением, рассматривалось в качестве отягчающего обстоятельства.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Дискриминация в отношении лиц африканского происхождения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Комитет принимает к сведению заявления государства-участника в отношении отсутствия в нем институциональной и структурной дискриминации. Вместе с тем Комитет считает, что в силу исторического наследия рабства лица африканского происхождения до сих пор становятся в государстве-участнике жертвами расизма и структурной дискриминации, котор</w:t>
      </w:r>
      <w:r w:rsidR="008557C8">
        <w:rPr>
          <w:lang w:val="ru-RU"/>
        </w:rPr>
        <w:t>ая</w:t>
      </w:r>
      <w:r>
        <w:rPr>
          <w:lang w:val="ru-RU"/>
        </w:rPr>
        <w:t xml:space="preserve"> проявляется в неравенстве в осуществлении экономических, социальных и культурных прав данной группой населения по сравнению с остальными. Комитет выражает обеспокоенность по поводу трудностей, с которыми сталкивается эта группа населения в плане доступа к рынку труда, низких показателей представленности женщин на руководящих должностях как в государственном, так и в частном секторах, а также уровня нищеты, которая затрагивает их в несоразмерно большей степени (статьи 2 и 5).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 xml:space="preserve"> учетом своей общей рекомендации № 32 (2009) о значении и сфере применения особых мер в Конвенции и № 34 (2011) по вопросу о расовой дискриминации в отношении лиц африканского происхождения Комитет рекомендует государству-участнику активизировать свои усилия по принятию и осуществлению специальных мер, необходимых для того, чтобы положить конец структурной дискриминации, которой подвергаются лица африканского происхождения, в частности, для: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а)</w:t>
      </w:r>
      <w:r>
        <w:rPr>
          <w:lang w:val="ru-RU"/>
        </w:rPr>
        <w:tab/>
      </w:r>
      <w:r>
        <w:rPr>
          <w:b/>
          <w:bCs/>
          <w:lang w:val="ru-RU"/>
        </w:rPr>
        <w:t>улучшения условий жизни лиц африканского происхождения с обеспечением их защиты от дискриминации со стороны государственных учреждений и должностных лиц, а также любых частных лиц, групп или организаций;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устранения любых препятствий на пути эффективного осуществления экономических, социальных и культурных прав данной группой населения, особенно в таких вопросах, как труд, жилье, участие в политической жизни и их представленность на руководящих должностях;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борьбы с нищетой, социальной изоляцией и </w:t>
      </w:r>
      <w:proofErr w:type="spellStart"/>
      <w:r>
        <w:rPr>
          <w:b/>
          <w:bCs/>
          <w:lang w:val="ru-RU"/>
        </w:rPr>
        <w:t>маргинализацией</w:t>
      </w:r>
      <w:proofErr w:type="spellEnd"/>
      <w:r>
        <w:rPr>
          <w:b/>
          <w:bCs/>
          <w:lang w:val="ru-RU"/>
        </w:rPr>
        <w:t>, которые в несоразмерно большей степени затрагивают лиц африканского происхождения.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План борьбы с расовой дискриминацией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 xml:space="preserve">Приветствуя предоставленную в ходе диалога информацию о разработке национального плана действий по искоренению всех форм расовой дискриминации, Комитет вместе с тем выражает сожаление по поводу того, что не получил сведений о воздействии и конкретных результатах осуществления социальных программ и </w:t>
      </w:r>
      <w:proofErr w:type="spellStart"/>
      <w:r>
        <w:rPr>
          <w:lang w:val="ru-RU"/>
        </w:rPr>
        <w:t>многосекторальной</w:t>
      </w:r>
      <w:proofErr w:type="spellEnd"/>
      <w:r>
        <w:rPr>
          <w:lang w:val="ru-RU"/>
        </w:rPr>
        <w:t xml:space="preserve"> политики по искоренению проявлений расовой дискриминации (статьи 2 и 5).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активизировать свои усилия по разработке национального плана по искоренению всех форм расовой дискриминации, включив в него четкие и конкретные целевые показатели, прописав в нем механизмы оценки достигнутых результатов и предусмотрев выделение людских, технических и финансовых ресурсов, необходимых для его эффективного осуществления.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настоятельно призывает государство-участник обеспечить, чтобы разработка и осуществление этого плана проходили при эффективном участии лиц африканского происхождения и всех национальных или этнических групп, которые до сих пор подвергаются дискриминации и социальной изоляции.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Доступ к правосудию</w:t>
      </w:r>
    </w:p>
    <w:p w:rsidR="00EF2DD2" w:rsidRPr="00410202" w:rsidRDefault="00EF2DD2" w:rsidP="00EF2DD2">
      <w:pPr>
        <w:pStyle w:val="SingleTxtG"/>
        <w:suppressAutoHyphens/>
        <w:rPr>
          <w:color w:val="000000"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Комитет принимает к сведению предоставленную дополнительную информацию о путях и механизмах подачи жалоб, связанных с расовой дискриминацией, но при этом выражает свою обеспокоенность тем, что к настоящему времени судами было рассмотрено всего одно дело о расовой дискриминации, а также отсутствием информации о количестве поданных жалоб и проведенных по ним расследований (статьи 2 и 6).</w:t>
      </w:r>
    </w:p>
    <w:p w:rsidR="00EF2DD2" w:rsidRPr="00410202" w:rsidRDefault="00EF2DD2" w:rsidP="00EF2DD2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r>
        <w:rPr>
          <w:b/>
          <w:bCs/>
          <w:lang w:val="ru-RU"/>
        </w:rPr>
        <w:t>Комитет напоминает государству-участнику о том, что отсутствие судебных преследований и вынесенных обвинительных приговоров за деяния, связанные с расовой дискриминацией, может объясняться недостаточной информированностью жертв о существующих у них средствах правовой защиты, в связи с чем Комитет рекомендует государству-участнику: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а)</w:t>
      </w:r>
      <w:r>
        <w:rPr>
          <w:lang w:val="ru-RU"/>
        </w:rPr>
        <w:tab/>
      </w:r>
      <w:r>
        <w:rPr>
          <w:b/>
          <w:bCs/>
          <w:lang w:val="ru-RU"/>
        </w:rPr>
        <w:t>обеспечивать, чтобы любые жалобы на расовую дискриминаци</w:t>
      </w:r>
      <w:r w:rsidR="007B03D2">
        <w:rPr>
          <w:b/>
          <w:bCs/>
          <w:lang w:val="ru-RU"/>
        </w:rPr>
        <w:t>ю</w:t>
      </w:r>
      <w:r>
        <w:rPr>
          <w:b/>
          <w:bCs/>
          <w:lang w:val="ru-RU"/>
        </w:rPr>
        <w:t xml:space="preserve"> расследовались самым тщательным и независимым образом;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принимать эффективные меры для обеспечения того, чтобы все жертвы расовой дискриминации имели беспрепятственный доступ к оперативным и эффективным средствам правовой защиты и компенсации;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организовывать систематическую учебную подготовку для государственных должностных лиц, прокуроров, судей, мировых судей и сотрудников правоохранительных органов в целях обеспечения эффективного применения положений Конвенции и законов о борьбе с расовой дискриминацией;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добиваться того, чтобы прокуратура по своей инициативе возбуждала уголовные дела, связанные с расовой дискриминацией;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e)</w:t>
      </w:r>
      <w:r>
        <w:rPr>
          <w:lang w:val="ru-RU"/>
        </w:rPr>
        <w:tab/>
      </w:r>
      <w:r>
        <w:rPr>
          <w:b/>
          <w:bCs/>
          <w:lang w:val="ru-RU"/>
        </w:rPr>
        <w:t>проводить среди правообладателей информационно-разъяснительные кампании, посвященные положениям Конвенции и юридической системе защиты от расовой дискриминации;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>внедрять средства, обеспечивающие доступ к информации о преступности и насилии и предусматривающие использование таких сведений, как цвет кожи, национальное или этническое происхождение и любых иных соответствующих сведений, имеющих отношение к перекрестной дискриминации жертв.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Лица, содержащиеся в пенитенциарных учреждениях</w:t>
      </w:r>
    </w:p>
    <w:p w:rsidR="00EF2DD2" w:rsidRPr="00410202" w:rsidRDefault="00EF2DD2" w:rsidP="00EF2DD2">
      <w:pPr>
        <w:pStyle w:val="SingleTxtG"/>
        <w:suppressAutoHyphens/>
        <w:rPr>
          <w:color w:val="000000"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 xml:space="preserve">Комитет выражает сожаление по поводу отсутствия всеобъемлющей информации об этническом или национальном происхождении лиц, лишенных свободы (статьи 2 и 6). </w:t>
      </w:r>
    </w:p>
    <w:p w:rsidR="00EF2DD2" w:rsidRPr="00410202" w:rsidRDefault="00EF2DD2" w:rsidP="00EF2DD2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обеспечить использование сведений об этническом, национальном или родовом происхождении в журналах регистрации задержаний, чтобы получить достоверную информацию о лицах, содержащихся в пенитенциарных учреждениях, и просит его включить такую информацию в свой следующий доклад.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Множественные формы дискриминации в отношении женщин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color w:val="000000"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Комитет обеспокоен сообщениями о множественных формах дискриминации, которой до сих пор подвергаются в государстве-участнике женщины африканского происхождения, сталкивающиеся с более значительными препятствиями при выходе на рынок труда, а также при реализации возможностей для участия в политической жизни и обеспечения представленности в политических органах и на руководящих должностях (статья 5).</w:t>
      </w:r>
    </w:p>
    <w:p w:rsidR="00EF2DD2" w:rsidRPr="00410202" w:rsidRDefault="00EF2DD2" w:rsidP="00EF2DD2">
      <w:pPr>
        <w:pStyle w:val="SingleTxtG"/>
        <w:suppressAutoHyphens/>
        <w:rPr>
          <w:b/>
          <w:color w:val="000000"/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с учетом его общей рекомендации № 25 (2000) о гендерных аспектах расовой дискриминации отражать гендерную проблематику во всех программах и стратегиях, направленных на борьбу с расовой дискриминацией, с тем чтобы преодолеть множественные формы дискриминации, которой подвергаются женщины африканского происхождения.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 также рекомендует государству-участнику активизировать усилия для устранения структурных барьеров, с которыми сталкиваются женщины африканского происхождения при выходе на рынок труда, а также при реализации возможностей для участия в политической жизни и обеспечения представленности в политических органах и на руководящих должностях.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Выдворение нелегальных мигрантов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Несмотря на информацию, предоставленную делегацией в ходе состоявшегося диалога, Комитет по-прежнему обеспокоен неблагоприятными последствиями осуществления статьи 215 действующего Уголовного кодекса, устанавливающего уголовную ответственность за незаконный въезд на территорию страны, в том, что касается выдворения нелегальных мигрантов (статья 5).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рассмотреть при подготовке новой редакции Уголовного кодекса возможность отмены уголовной ответственности за незаконный въезд на территорию страны и принять необходимые меры по обеспечению соответствия положений, касающихся выдворения иностранцев, нормам и принципам международного права прав человека, в частности принципу </w:t>
      </w:r>
      <w:proofErr w:type="spellStart"/>
      <w:r>
        <w:rPr>
          <w:b/>
          <w:bCs/>
          <w:lang w:val="ru-RU"/>
        </w:rPr>
        <w:t>недискриминации</w:t>
      </w:r>
      <w:proofErr w:type="spellEnd"/>
      <w:r>
        <w:rPr>
          <w:b/>
          <w:bCs/>
          <w:lang w:val="ru-RU"/>
        </w:rPr>
        <w:t>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Торговля людьми</w:t>
      </w:r>
    </w:p>
    <w:p w:rsidR="00EF2DD2" w:rsidRPr="00410202" w:rsidRDefault="00EF2DD2" w:rsidP="00EF2DD2">
      <w:pPr>
        <w:pStyle w:val="SingleTxtG"/>
        <w:suppressAutoHyphens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Комитет с удовлетворением отмечает меры, принимаемые государством-участником в рамках борьбы с торговлей людьми, включая утверждение Национального плана действий по предупреждению торговли людьми и борьбе с ней и защите ее жертв (на 2017</w:t>
      </w:r>
      <w:r w:rsidR="002423C8">
        <w:rPr>
          <w:lang w:val="ru-RU"/>
        </w:rPr>
        <w:t>–</w:t>
      </w:r>
      <w:r>
        <w:rPr>
          <w:lang w:val="ru-RU"/>
        </w:rPr>
        <w:t>2020 годы). Вместе с тем он выражает сожаление по поводу отсутствия информации в разбивке по полу, возрасту, этническому и национальному происхождению жертв, которая позволила бы оценить масштабы этого явления среди лиц африканского происхождения или лиц другого этнического или национального происхождения (статья 5).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напоминает свою предыдущую рекомендация и предлагает государству-участнику включить в свой следующий периодический доклад подробную информацию </w:t>
      </w:r>
      <w:r w:rsidR="00FF0D97">
        <w:rPr>
          <w:b/>
          <w:bCs/>
          <w:lang w:val="ru-RU"/>
        </w:rPr>
        <w:t>–</w:t>
      </w:r>
      <w:r>
        <w:rPr>
          <w:b/>
          <w:bCs/>
          <w:lang w:val="ru-RU"/>
        </w:rPr>
        <w:t xml:space="preserve"> в разбивке по полу, возрасту, этническому и национальному происхождению жертв </w:t>
      </w:r>
      <w:r w:rsidR="00FF0D97">
        <w:rPr>
          <w:b/>
          <w:bCs/>
          <w:lang w:val="ru-RU"/>
        </w:rPr>
        <w:t>–</w:t>
      </w:r>
      <w:r>
        <w:rPr>
          <w:b/>
          <w:bCs/>
          <w:lang w:val="ru-RU"/>
        </w:rPr>
        <w:t xml:space="preserve"> о числе проведенных расследований, обвинительных приговоров и назначенных наказаниях по делам, связанным с торговлей людьми для целей трудовой и сексуальной эксплуатации.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призывает государство-участник продолжать свои усилия по борьбе с торговлей людьми и принимать все необходимые меры для обеспечения эффективного осуществления Национального плана действий по предупреждению торговли людьми и борьбе с ней и защите ее жертв (на 2017</w:t>
      </w:r>
      <w:r w:rsidR="004F1398">
        <w:rPr>
          <w:b/>
          <w:bCs/>
          <w:lang w:val="ru-RU"/>
        </w:rPr>
        <w:t>–</w:t>
      </w:r>
      <w:r>
        <w:rPr>
          <w:b/>
          <w:bCs/>
          <w:lang w:val="ru-RU"/>
        </w:rPr>
        <w:t>2020 годы).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Чрезмерное применение силы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Комитет выражает обеспокоенность по поводу утверждений о чрезмерном применении силы сотрудниками правоохранительных органов в отношении лиц африканского происхождения и отсутствия надлежащей информации о мерах, принимаемых государством-участником для расследования таких случаев (статьи 5 и</w:t>
      </w:r>
      <w:r w:rsidR="00FF0D97">
        <w:rPr>
          <w:lang w:val="ru-RU"/>
        </w:rPr>
        <w:t> </w:t>
      </w:r>
      <w:r>
        <w:rPr>
          <w:lang w:val="ru-RU"/>
        </w:rPr>
        <w:t xml:space="preserve">6). </w:t>
      </w:r>
    </w:p>
    <w:p w:rsidR="00EF2DD2" w:rsidRPr="00410202" w:rsidRDefault="00EF2DD2" w:rsidP="00EF2DD2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государству-участнику: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а)</w:t>
      </w:r>
      <w:r>
        <w:rPr>
          <w:lang w:val="ru-RU"/>
        </w:rPr>
        <w:tab/>
      </w:r>
      <w:r>
        <w:rPr>
          <w:b/>
          <w:bCs/>
          <w:lang w:val="ru-RU"/>
        </w:rPr>
        <w:t>принимать действенные меры в целях недопущения чрезмерного применения силы, жестокого обращения и злоупотребления служебным положением в отношении лиц африканского происхождения со стороны сотрудников правоохранительных органов, обеспечивая, помимо прочего, уважение принципа соразмерности и крайней необходимости при применении силы и подготовку сотрудников правоохранительных органов по вопросам применения силы и восстановления порядка с использованием обычных механизмов;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 xml:space="preserve">обеспечить, чтобы все жалобы на чрезмерное применение силы, жестокое обращение и злоупотребление служебным положением со стороны сотрудников правоохранительных органов эффективным и тщательным образом </w:t>
      </w:r>
      <w:proofErr w:type="gramStart"/>
      <w:r>
        <w:rPr>
          <w:b/>
          <w:bCs/>
          <w:lang w:val="ru-RU"/>
        </w:rPr>
        <w:t>расследовались</w:t>
      </w:r>
      <w:proofErr w:type="gramEnd"/>
      <w:r>
        <w:rPr>
          <w:b/>
          <w:bCs/>
          <w:lang w:val="ru-RU"/>
        </w:rPr>
        <w:t xml:space="preserve"> и чтобы в случае подтверждения их обоснованности виновные подвергались судебному преследованию и наказанию с учетом тяжести таких деяний;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обеспечивать, чтобы лица африканского происхождения, которые стали жертвами чрезмерного применения силы со стороны сотрудников правоохранительных органов, имели доступ к эффективным средствам правовой защиты и компенсации и не подвергались репрессиям за то, что сообщили о таких случаях.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Борьба с расовыми стереотипами</w:t>
      </w:r>
      <w:r>
        <w:rPr>
          <w:lang w:val="ru-RU"/>
        </w:rPr>
        <w:t xml:space="preserve"> </w:t>
      </w:r>
    </w:p>
    <w:p w:rsidR="00EF2DD2" w:rsidRPr="00410202" w:rsidRDefault="00EF2DD2" w:rsidP="00FF0D97">
      <w:pPr>
        <w:pStyle w:val="SingleTxtG"/>
        <w:suppressAutoHyphens/>
        <w:spacing w:before="240" w:after="0"/>
        <w:rPr>
          <w:b/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>Комитет отмечает усилия государства-участника по борьбе с расовой дискриминацией, но при этом выражает обеспокоенность тем, что эти меры не являются достаточно эффективными в борьбе с по-прежнему существующими в обществе расовыми стереотипами и предрассудками (статьи 2 и 7).</w:t>
      </w:r>
    </w:p>
    <w:p w:rsidR="00EF2DD2" w:rsidRPr="00410202" w:rsidRDefault="00EF2DD2" w:rsidP="00FF0D97">
      <w:pPr>
        <w:pStyle w:val="SingleTxtG"/>
        <w:suppressAutoHyphens/>
        <w:spacing w:before="240" w:after="0"/>
        <w:rPr>
          <w:b/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систематически проводить среди широкой общественности информационно-разъяснительные и просветительские кампании, посвященные негативным последствиям расовой дискриминации и </w:t>
      </w:r>
      <w:proofErr w:type="gramStart"/>
      <w:r>
        <w:rPr>
          <w:b/>
          <w:bCs/>
          <w:lang w:val="ru-RU"/>
        </w:rPr>
        <w:t>направленные на поощрение взаимопонимания</w:t>
      </w:r>
      <w:proofErr w:type="gramEnd"/>
      <w:r>
        <w:rPr>
          <w:b/>
          <w:bCs/>
          <w:lang w:val="ru-RU"/>
        </w:rPr>
        <w:t xml:space="preserve"> и терпимости между различными этническими группами, которые существуют в государстве-участнике, в целях борьбы с расовыми стереотипами и любыми формами дискриминации.</w:t>
      </w:r>
    </w:p>
    <w:p w:rsidR="00EF2DD2" w:rsidRPr="00410202" w:rsidRDefault="00EF2DD2" w:rsidP="00EF2DD2">
      <w:pPr>
        <w:pStyle w:val="H1G"/>
        <w:rPr>
          <w:lang w:val="ru-RU"/>
        </w:rPr>
      </w:pPr>
      <w:r>
        <w:rPr>
          <w:bCs/>
          <w:lang w:val="ru-RU"/>
        </w:rPr>
        <w:tab/>
        <w:t>D.</w:t>
      </w:r>
      <w:r>
        <w:rPr>
          <w:lang w:val="ru-RU"/>
        </w:rPr>
        <w:tab/>
      </w:r>
      <w:proofErr w:type="gramStart"/>
      <w:r>
        <w:rPr>
          <w:bCs/>
          <w:lang w:val="ru-RU"/>
        </w:rPr>
        <w:t>Другие</w:t>
      </w:r>
      <w:proofErr w:type="gramEnd"/>
      <w:r>
        <w:rPr>
          <w:bCs/>
          <w:lang w:val="ru-RU"/>
        </w:rPr>
        <w:t xml:space="preserve"> рекомендации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Ратификация других договоров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>
        <w:rPr>
          <w:b/>
          <w:bCs/>
          <w:lang w:val="ru-RU"/>
        </w:rPr>
        <w:t>Принимая во внимание неделимость всех прав человека, Комитет рекомендует государству-участнику рассмотреть возможность ратификации основных договоров Организации Объединенных Наций о правах человека, участником которых оно пока не является, в частности Международного пакта о гражданских и политических правах, Международного пакта об экономических, социальных и культурных правах, Международной конвенции о защите прав всех трудящихся-мигрантов и членов их семей, Факультативного протокола к Конвенции о ликвидации всех форм дискриминации в отношении женщин, Факультативного протокола к Конвенции о правах инвалидов, Факультативного протокола к Международному пакту об экономических, социальных и культурных правах и Факультативного протокола к Конвенции о правах ребенка, касающегося процедуры сообщений.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Последующие меры в связи с </w:t>
      </w:r>
      <w:proofErr w:type="spellStart"/>
      <w:r>
        <w:rPr>
          <w:bCs/>
          <w:lang w:val="ru-RU"/>
        </w:rPr>
        <w:t>Дурбанской</w:t>
      </w:r>
      <w:proofErr w:type="spellEnd"/>
      <w:r>
        <w:rPr>
          <w:bCs/>
          <w:lang w:val="ru-RU"/>
        </w:rPr>
        <w:t xml:space="preserve"> декларацией и Программой действий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>
        <w:rPr>
          <w:b/>
          <w:bCs/>
          <w:lang w:val="ru-RU"/>
        </w:rPr>
        <w:t>Дурбанского</w:t>
      </w:r>
      <w:proofErr w:type="spellEnd"/>
      <w:r>
        <w:rPr>
          <w:b/>
          <w:bCs/>
          <w:lang w:val="ru-RU"/>
        </w:rPr>
        <w:t xml:space="preserve"> процесса Комитет рекомендует государству-участнику при включении положений Конвенции в свое национальное законодательство учесть </w:t>
      </w:r>
      <w:proofErr w:type="spellStart"/>
      <w:r>
        <w:rPr>
          <w:b/>
          <w:bCs/>
          <w:lang w:val="ru-RU"/>
        </w:rPr>
        <w:t>Дурбанскую</w:t>
      </w:r>
      <w:proofErr w:type="spellEnd"/>
      <w:r>
        <w:rPr>
          <w:b/>
          <w:bCs/>
          <w:lang w:val="ru-RU"/>
        </w:rPr>
        <w:t xml:space="preserve">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нетерпимости, а также итоговый документ Конференции по обзору </w:t>
      </w:r>
      <w:proofErr w:type="spellStart"/>
      <w:r>
        <w:rPr>
          <w:b/>
          <w:bCs/>
          <w:lang w:val="ru-RU"/>
        </w:rPr>
        <w:t>Дурбанского</w:t>
      </w:r>
      <w:proofErr w:type="spellEnd"/>
      <w:r>
        <w:rPr>
          <w:b/>
          <w:bCs/>
          <w:lang w:val="ru-RU"/>
        </w:rPr>
        <w:t xml:space="preserve"> процесса, состоявшейся в Женеве в апреле 2009 года.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просит государство-участник включить в свой следующий периодический доклад конкретную информацию по этому вопросу.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Международное десятилетие лиц африканского происхождения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>
        <w:rPr>
          <w:b/>
          <w:bCs/>
          <w:lang w:val="ru-RU"/>
        </w:rPr>
        <w:t>В свете резолюции 68/237, в которой Генеральная Ассамблея провозгласила Международное десятилетие лиц африканского происхождения (2015–2024 годы), и ее резолюции 69/16 о программе мероприятий по проведению Международного десятилетия Комитет рекомендует государству-участнику включить в свой следующий периодический доклад точную информацию о выполнении плана действий по проведению Международного года лиц африканского происхождения и своей национальной программы и о принятых в этой связи конкретных мерах с учетом общей рекомендации № 34 (2011) о расовой дискриминации в отношении лиц африканского происхождения.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Распространение информации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обнародовать содержание своих докладов с момента их представления, а также широко распространить настоящие заключительные замечания.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Консультации с организациями гражданского общества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активизировать свои усилия, направленные на налаживание конструктивного сотрудничества с организациями гражданского общества, работающими в сфере защиты прав человека, в частности в сфере борьбы с расовой дискриминацией, и провести широкие консультации в связи с подготовкой следующего периодического доклада и выполнением рекомендаций, содержащихся в настоящих заключительных замечаниях.</w:t>
      </w:r>
    </w:p>
    <w:p w:rsidR="00EF2DD2" w:rsidRPr="00410202" w:rsidRDefault="00EF2DD2" w:rsidP="00EF2DD2">
      <w:pPr>
        <w:pStyle w:val="H23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Заявление, предусмотренное в статье 14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>
        <w:rPr>
          <w:b/>
          <w:bCs/>
          <w:lang w:val="ru-RU"/>
        </w:rPr>
        <w:t>Комитет призывает государство-участник сделать факультативное заявление, предусмотренное статьей 14 Конвенции.</w:t>
      </w:r>
    </w:p>
    <w:p w:rsidR="00EF2DD2" w:rsidRPr="00410202" w:rsidRDefault="00EF2DD2" w:rsidP="00EF2DD2">
      <w:pPr>
        <w:pStyle w:val="H23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Последующие меры по выполнению настоящих заключительных замечаний</w:t>
      </w:r>
      <w:r>
        <w:rPr>
          <w:lang w:val="ru-RU"/>
        </w:rPr>
        <w:t xml:space="preserve"> 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</w:r>
      <w:r>
        <w:rPr>
          <w:b/>
          <w:bCs/>
          <w:lang w:val="ru-RU"/>
        </w:rPr>
        <w:t>В соответствии с положениями пункта 1 статьи 9 Конвенции и статьей 65 своих пересмотренных правил процедуры Комитет просит государство-участник представить в течение года после принятия настоящих заключительных замечаний информацию о ходе выполнения рекомендаций, фигурирующих в подпунктах d) и e) пункта 14 (положение правозащитников), пункте 20 (план борьбы с расовой дискриминацией) и подпунктах c) и f) пункта 22 (доступ к правосудию).</w:t>
      </w:r>
    </w:p>
    <w:p w:rsidR="00EF2DD2" w:rsidRPr="00410202" w:rsidRDefault="00EF2DD2" w:rsidP="00EF2DD2">
      <w:pPr>
        <w:pStyle w:val="H23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Пункты, имеющие особое значение</w:t>
      </w:r>
    </w:p>
    <w:p w:rsidR="00EF2DD2" w:rsidRPr="00410202" w:rsidRDefault="00EF2DD2" w:rsidP="00EF2DD2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>
        <w:rPr>
          <w:b/>
          <w:bCs/>
          <w:lang w:val="ru-RU"/>
        </w:rPr>
        <w:t>Комитет также хотел бы обратить внимание государства-участника на особую важность рекомендаций, содержащихся в пунктах 16 (определение расовой дискриминации),</w:t>
      </w:r>
      <w:r w:rsidR="00DE17E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18 (дискриминация в отношении лиц африканского происхождения) и 32 (чрезмерное применение силы), и просит государство-участник включить в свой следующий периодический доклад подробную информацию о конкретных мерах, принятых по их выполнению.</w:t>
      </w:r>
    </w:p>
    <w:p w:rsidR="00EF2DD2" w:rsidRPr="00410202" w:rsidRDefault="00EF2DD2" w:rsidP="00EF2DD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Подготовка следующего периодического доклада</w:t>
      </w:r>
    </w:p>
    <w:p w:rsidR="00EF2DD2" w:rsidRPr="00410202" w:rsidRDefault="00EF2DD2" w:rsidP="00EF2DD2">
      <w:pPr>
        <w:pStyle w:val="SingleTxtG"/>
        <w:suppressAutoHyphens/>
        <w:rPr>
          <w:u w:val="single"/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представить свои объединенные двадцать второй</w:t>
      </w:r>
      <w:r w:rsidR="00DE17E6">
        <w:rPr>
          <w:b/>
          <w:bCs/>
          <w:lang w:val="ru-RU"/>
        </w:rPr>
        <w:t>–</w:t>
      </w:r>
      <w:bookmarkStart w:id="0" w:name="_GoBack"/>
      <w:bookmarkEnd w:id="0"/>
      <w:r>
        <w:rPr>
          <w:b/>
          <w:bCs/>
          <w:lang w:val="ru-RU"/>
        </w:rPr>
        <w:t>двадцать шестой периодические доклады в одном документе к 16 марта 2023 года, приняв во внимание руководящие принципы подготовки и представления докладов, утвержденные Комитетом на его семьдесят первой сессии (</w:t>
      </w:r>
      <w:proofErr w:type="spellStart"/>
      <w:r>
        <w:rPr>
          <w:b/>
          <w:bCs/>
          <w:lang w:val="ru-RU"/>
        </w:rPr>
        <w:t>CERD</w:t>
      </w:r>
      <w:proofErr w:type="spellEnd"/>
      <w:r>
        <w:rPr>
          <w:b/>
          <w:bCs/>
          <w:lang w:val="ru-RU"/>
        </w:rPr>
        <w:t>/C/2007/1), и отразив в нем все вопросы, поднятые в настоящих заключительных замечаниях.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</w:t>
      </w:r>
      <w:r w:rsidR="00FF0D97">
        <w:rPr>
          <w:b/>
          <w:bCs/>
          <w:lang w:val="ru-RU"/>
        </w:rPr>
        <w:t> </w:t>
      </w:r>
      <w:r>
        <w:rPr>
          <w:b/>
          <w:bCs/>
          <w:lang w:val="ru-RU"/>
        </w:rPr>
        <w:t>200 слов.</w:t>
      </w:r>
    </w:p>
    <w:p w:rsidR="00381C24" w:rsidRPr="00EF2DD2" w:rsidRDefault="00EF2DD2" w:rsidP="00EF2DD2">
      <w:pPr>
        <w:pStyle w:val="SingleTxtG"/>
        <w:suppressAutoHyphens/>
        <w:spacing w:before="240" w:after="0"/>
        <w:jc w:val="center"/>
        <w:rPr>
          <w:u w:val="single"/>
          <w:lang w:val="ru-RU"/>
        </w:rPr>
      </w:pPr>
      <w:r w:rsidRPr="00410202">
        <w:rPr>
          <w:u w:val="single"/>
          <w:lang w:val="ru-RU"/>
        </w:rPr>
        <w:tab/>
      </w:r>
      <w:r w:rsidRPr="00410202">
        <w:rPr>
          <w:u w:val="single"/>
          <w:lang w:val="ru-RU"/>
        </w:rPr>
        <w:tab/>
      </w:r>
      <w:r w:rsidRPr="00410202">
        <w:rPr>
          <w:u w:val="single"/>
          <w:lang w:val="ru-RU"/>
        </w:rPr>
        <w:tab/>
      </w:r>
      <w:r w:rsidRPr="00410202">
        <w:rPr>
          <w:u w:val="single"/>
          <w:lang w:val="ru-RU"/>
        </w:rPr>
        <w:tab/>
      </w:r>
    </w:p>
    <w:sectPr w:rsidR="00381C24" w:rsidRPr="00EF2DD2" w:rsidSect="00EF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83" w:rsidRPr="00A312BC" w:rsidRDefault="00544283" w:rsidP="00A312BC"/>
  </w:endnote>
  <w:endnote w:type="continuationSeparator" w:id="0">
    <w:p w:rsidR="00544283" w:rsidRPr="00A312BC" w:rsidRDefault="005442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2" w:rsidRPr="00EF2DD2" w:rsidRDefault="00EF2DD2">
    <w:pPr>
      <w:pStyle w:val="a8"/>
    </w:pPr>
    <w:r w:rsidRPr="00EF2DD2">
      <w:rPr>
        <w:b/>
        <w:sz w:val="18"/>
      </w:rPr>
      <w:fldChar w:fldCharType="begin"/>
    </w:r>
    <w:r w:rsidRPr="00EF2DD2">
      <w:rPr>
        <w:b/>
        <w:sz w:val="18"/>
      </w:rPr>
      <w:instrText xml:space="preserve"> PAGE  \* MERGEFORMAT </w:instrText>
    </w:r>
    <w:r w:rsidRPr="00EF2DD2">
      <w:rPr>
        <w:b/>
        <w:sz w:val="18"/>
      </w:rPr>
      <w:fldChar w:fldCharType="separate"/>
    </w:r>
    <w:r w:rsidR="009848E1">
      <w:rPr>
        <w:b/>
        <w:noProof/>
        <w:sz w:val="18"/>
      </w:rPr>
      <w:t>8</w:t>
    </w:r>
    <w:r w:rsidRPr="00EF2DD2">
      <w:rPr>
        <w:b/>
        <w:sz w:val="18"/>
      </w:rPr>
      <w:fldChar w:fldCharType="end"/>
    </w:r>
    <w:r>
      <w:rPr>
        <w:b/>
        <w:sz w:val="18"/>
      </w:rPr>
      <w:tab/>
    </w:r>
    <w:r>
      <w:t>GE.18-15573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2" w:rsidRPr="00EF2DD2" w:rsidRDefault="00EF2DD2" w:rsidP="00EF2DD2">
    <w:pPr>
      <w:pStyle w:val="a8"/>
      <w:tabs>
        <w:tab w:val="clear" w:pos="9639"/>
        <w:tab w:val="right" w:pos="9638"/>
      </w:tabs>
      <w:rPr>
        <w:b/>
        <w:sz w:val="18"/>
      </w:rPr>
    </w:pPr>
    <w:r>
      <w:t>GE.18-15573</w:t>
    </w:r>
    <w:r>
      <w:tab/>
    </w:r>
    <w:r w:rsidRPr="00EF2DD2">
      <w:rPr>
        <w:b/>
        <w:sz w:val="18"/>
      </w:rPr>
      <w:fldChar w:fldCharType="begin"/>
    </w:r>
    <w:r w:rsidRPr="00EF2DD2">
      <w:rPr>
        <w:b/>
        <w:sz w:val="18"/>
      </w:rPr>
      <w:instrText xml:space="preserve"> PAGE  \* MERGEFORMAT </w:instrText>
    </w:r>
    <w:r w:rsidRPr="00EF2DD2">
      <w:rPr>
        <w:b/>
        <w:sz w:val="18"/>
      </w:rPr>
      <w:fldChar w:fldCharType="separate"/>
    </w:r>
    <w:r w:rsidR="009848E1">
      <w:rPr>
        <w:b/>
        <w:noProof/>
        <w:sz w:val="18"/>
      </w:rPr>
      <w:t>9</w:t>
    </w:r>
    <w:r w:rsidRPr="00EF2D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F2DD2" w:rsidRDefault="00EF2DD2" w:rsidP="00EF2DD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18-15573  (R)</w:t>
    </w:r>
    <w:r>
      <w:rPr>
        <w:lang w:val="en-US"/>
      </w:rPr>
      <w:t xml:space="preserve">  270918  280918</w:t>
    </w:r>
    <w:r>
      <w:br/>
    </w:r>
    <w:r w:rsidRPr="00EF2DD2">
      <w:rPr>
        <w:rFonts w:ascii="C39T30Lfz" w:hAnsi="C39T30Lfz"/>
        <w:kern w:val="14"/>
        <w:sz w:val="56"/>
      </w:rPr>
      <w:t></w:t>
    </w:r>
    <w:r w:rsidRPr="00EF2DD2">
      <w:rPr>
        <w:rFonts w:ascii="C39T30Lfz" w:hAnsi="C39T30Lfz"/>
        <w:kern w:val="14"/>
        <w:sz w:val="56"/>
      </w:rPr>
      <w:t></w:t>
    </w:r>
    <w:r w:rsidRPr="00EF2DD2">
      <w:rPr>
        <w:rFonts w:ascii="C39T30Lfz" w:hAnsi="C39T30Lfz"/>
        <w:kern w:val="14"/>
        <w:sz w:val="56"/>
      </w:rPr>
      <w:t></w:t>
    </w:r>
    <w:r w:rsidRPr="00EF2DD2">
      <w:rPr>
        <w:rFonts w:ascii="C39T30Lfz" w:hAnsi="C39T30Lfz"/>
        <w:kern w:val="14"/>
        <w:sz w:val="56"/>
      </w:rPr>
      <w:t></w:t>
    </w:r>
    <w:r w:rsidRPr="00EF2DD2">
      <w:rPr>
        <w:rFonts w:ascii="C39T30Lfz" w:hAnsi="C39T30Lfz"/>
        <w:kern w:val="14"/>
        <w:sz w:val="56"/>
      </w:rPr>
      <w:t></w:t>
    </w:r>
    <w:r w:rsidRPr="00EF2DD2">
      <w:rPr>
        <w:rFonts w:ascii="C39T30Lfz" w:hAnsi="C39T30Lfz"/>
        <w:kern w:val="14"/>
        <w:sz w:val="56"/>
      </w:rPr>
      <w:t></w:t>
    </w:r>
    <w:r w:rsidRPr="00EF2DD2">
      <w:rPr>
        <w:rFonts w:ascii="C39T30Lfz" w:hAnsi="C39T30Lfz"/>
        <w:kern w:val="14"/>
        <w:sz w:val="56"/>
      </w:rPr>
      <w:t></w:t>
    </w:r>
    <w:r w:rsidRPr="00EF2DD2">
      <w:rPr>
        <w:rFonts w:ascii="C39T30Lfz" w:hAnsi="C39T30Lfz"/>
        <w:kern w:val="14"/>
        <w:sz w:val="56"/>
      </w:rPr>
      <w:t></w:t>
    </w:r>
    <w:r w:rsidRPr="00EF2DD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CUB/CO/19-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UB/CO/19-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83" w:rsidRPr="001075E9" w:rsidRDefault="005442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4283" w:rsidRDefault="005442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2DD2" w:rsidRPr="00410202" w:rsidRDefault="00EF2DD2" w:rsidP="00EF2DD2">
      <w:pPr>
        <w:pStyle w:val="ad"/>
        <w:rPr>
          <w:sz w:val="20"/>
        </w:rPr>
      </w:pPr>
      <w:r>
        <w:tab/>
        <w:t>*</w:t>
      </w:r>
      <w:r>
        <w:tab/>
        <w:t>Приняты Комитетом на его девяносто шестой сессии (6</w:t>
      </w:r>
      <w:r w:rsidR="009B3B67">
        <w:t>–</w:t>
      </w:r>
      <w:r>
        <w:t>30 августа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2" w:rsidRPr="00EF2DD2" w:rsidRDefault="00EF2DD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848E1">
      <w:t>CERD</w:t>
    </w:r>
    <w:proofErr w:type="spellEnd"/>
    <w:r w:rsidR="009848E1">
      <w:t>/C/CUB/CO/19-21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2" w:rsidRPr="00EF2DD2" w:rsidRDefault="00EF2DD2" w:rsidP="00EF2D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848E1">
      <w:t>CERD</w:t>
    </w:r>
    <w:proofErr w:type="spellEnd"/>
    <w:r w:rsidR="009848E1">
      <w:t>/C/CUB/CO/19-21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D2" w:rsidRDefault="00EF2DD2" w:rsidP="00EF2D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3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23C8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4F1398"/>
    <w:rsid w:val="0050108D"/>
    <w:rsid w:val="00513081"/>
    <w:rsid w:val="00517901"/>
    <w:rsid w:val="00526683"/>
    <w:rsid w:val="00544283"/>
    <w:rsid w:val="0057071C"/>
    <w:rsid w:val="005709E0"/>
    <w:rsid w:val="00572E19"/>
    <w:rsid w:val="005961C8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B03D2"/>
    <w:rsid w:val="007C46C9"/>
    <w:rsid w:val="0080171F"/>
    <w:rsid w:val="00825F8D"/>
    <w:rsid w:val="00834B71"/>
    <w:rsid w:val="008557C8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848E1"/>
    <w:rsid w:val="009A24AC"/>
    <w:rsid w:val="009B3B67"/>
    <w:rsid w:val="009D5FCE"/>
    <w:rsid w:val="00A14DA8"/>
    <w:rsid w:val="00A312BC"/>
    <w:rsid w:val="00A43FFA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17E6"/>
    <w:rsid w:val="00DE32CD"/>
    <w:rsid w:val="00DF71B9"/>
    <w:rsid w:val="00DF71C8"/>
    <w:rsid w:val="00E407C2"/>
    <w:rsid w:val="00E73F76"/>
    <w:rsid w:val="00EA2C9F"/>
    <w:rsid w:val="00EA420E"/>
    <w:rsid w:val="00ED0BDA"/>
    <w:rsid w:val="00EF1360"/>
    <w:rsid w:val="00EF2DD2"/>
    <w:rsid w:val="00EF3220"/>
    <w:rsid w:val="00F0540A"/>
    <w:rsid w:val="00F41B03"/>
    <w:rsid w:val="00F43903"/>
    <w:rsid w:val="00F94155"/>
    <w:rsid w:val="00F9783F"/>
    <w:rsid w:val="00FD2EF7"/>
    <w:rsid w:val="00FE447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22ED8"/>
  <w15:docId w15:val="{185AFE94-BD95-4C65-A2F2-6267906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,callout,Fago Fußnotenzeichen"/>
    <w:basedOn w:val="a0"/>
    <w:uiPriority w:val="99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uiPriority w:val="99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EF2DD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s-ES" w:eastAsia="es-ES"/>
    </w:rPr>
  </w:style>
  <w:style w:type="paragraph" w:customStyle="1" w:styleId="H1G">
    <w:name w:val="_ H_1_G"/>
    <w:basedOn w:val="a"/>
    <w:next w:val="a"/>
    <w:qFormat/>
    <w:rsid w:val="00EF2DD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s-ES" w:eastAsia="es-ES"/>
    </w:rPr>
  </w:style>
  <w:style w:type="paragraph" w:customStyle="1" w:styleId="H23G">
    <w:name w:val="_ H_2/3_G"/>
    <w:basedOn w:val="a"/>
    <w:next w:val="a"/>
    <w:qFormat/>
    <w:rsid w:val="00EF2DD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s-ES" w:eastAsia="es-ES"/>
    </w:rPr>
  </w:style>
  <w:style w:type="paragraph" w:customStyle="1" w:styleId="SingleTxtG">
    <w:name w:val="_ Single Txt_G"/>
    <w:basedOn w:val="a"/>
    <w:link w:val="SingleTxtGChar"/>
    <w:qFormat/>
    <w:rsid w:val="00EF2DD2"/>
    <w:pPr>
      <w:suppressAutoHyphens w:val="0"/>
      <w:spacing w:after="120"/>
      <w:ind w:left="1134" w:right="1134"/>
      <w:jc w:val="both"/>
    </w:pPr>
    <w:rPr>
      <w:rFonts w:eastAsia="Times New Roman" w:cs="Times New Roman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EF2DD2"/>
  </w:style>
  <w:style w:type="character" w:customStyle="1" w:styleId="col-xs-12">
    <w:name w:val="col-xs-12"/>
    <w:basedOn w:val="a0"/>
    <w:rsid w:val="00EF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9</Pages>
  <Words>3136</Words>
  <Characters>22863</Characters>
  <Application>Microsoft Office Word</Application>
  <DocSecurity>0</DocSecurity>
  <Lines>422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CERD/C/CUB/CO/19-21</vt:lpstr>
      <vt:lpstr>A/</vt:lpstr>
      <vt:lpstr>A/</vt:lpstr>
    </vt:vector>
  </TitlesOfParts>
  <Company>DCM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CERD/C/CUB/CO/19-21</dc:title>
  <dc:subject/>
  <dc:creator>SHUVALOVA Natalia</dc:creator>
  <cp:keywords/>
  <cp:lastModifiedBy>Natalia Shuvalova</cp:lastModifiedBy>
  <cp:revision>3</cp:revision>
  <cp:lastPrinted>2018-09-28T08:14:00Z</cp:lastPrinted>
  <dcterms:created xsi:type="dcterms:W3CDTF">2018-09-28T08:14:00Z</dcterms:created>
  <dcterms:modified xsi:type="dcterms:W3CDTF">2018-09-28T08:15:00Z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