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E7C4C" w:rsidTr="00B6553F">
        <w:trPr>
          <w:cantSplit/>
          <w:trHeight w:hRule="exact" w:val="851"/>
        </w:trPr>
        <w:tc>
          <w:tcPr>
            <w:tcW w:w="1276" w:type="dxa"/>
            <w:tcBorders>
              <w:bottom w:val="single" w:sz="4" w:space="0" w:color="auto"/>
            </w:tcBorders>
            <w:vAlign w:val="bottom"/>
          </w:tcPr>
          <w:p w:rsidR="00B56E9C" w:rsidRPr="00DE7C4C" w:rsidRDefault="00B56E9C" w:rsidP="00B6553F">
            <w:pPr>
              <w:spacing w:after="80"/>
            </w:pPr>
          </w:p>
        </w:tc>
        <w:tc>
          <w:tcPr>
            <w:tcW w:w="2268" w:type="dxa"/>
            <w:tcBorders>
              <w:bottom w:val="single" w:sz="4" w:space="0" w:color="auto"/>
            </w:tcBorders>
            <w:vAlign w:val="bottom"/>
          </w:tcPr>
          <w:p w:rsidR="00B56E9C" w:rsidRPr="00DE7C4C" w:rsidRDefault="00B56E9C" w:rsidP="00B6553F">
            <w:pPr>
              <w:spacing w:after="80" w:line="300" w:lineRule="exact"/>
              <w:rPr>
                <w:b/>
                <w:sz w:val="24"/>
                <w:szCs w:val="24"/>
              </w:rPr>
            </w:pPr>
            <w:r w:rsidRPr="00DE7C4C">
              <w:rPr>
                <w:sz w:val="28"/>
                <w:szCs w:val="28"/>
              </w:rPr>
              <w:t>United Nations</w:t>
            </w:r>
          </w:p>
        </w:tc>
        <w:tc>
          <w:tcPr>
            <w:tcW w:w="6095" w:type="dxa"/>
            <w:gridSpan w:val="2"/>
            <w:tcBorders>
              <w:bottom w:val="single" w:sz="4" w:space="0" w:color="auto"/>
            </w:tcBorders>
            <w:vAlign w:val="bottom"/>
          </w:tcPr>
          <w:p w:rsidR="00B56E9C" w:rsidRPr="00DE7C4C" w:rsidRDefault="006959AE" w:rsidP="00F4685D">
            <w:pPr>
              <w:jc w:val="right"/>
            </w:pPr>
            <w:r w:rsidRPr="00DE7C4C">
              <w:rPr>
                <w:sz w:val="40"/>
              </w:rPr>
              <w:t>CCPR</w:t>
            </w:r>
            <w:r w:rsidRPr="00DE7C4C">
              <w:t>/C/</w:t>
            </w:r>
            <w:r w:rsidR="00FF544D" w:rsidRPr="00DE7C4C">
              <w:t>NZL</w:t>
            </w:r>
            <w:r w:rsidRPr="00DE7C4C">
              <w:t>/CO/</w:t>
            </w:r>
            <w:r w:rsidR="00FF544D" w:rsidRPr="00DE7C4C">
              <w:t>6</w:t>
            </w:r>
          </w:p>
        </w:tc>
      </w:tr>
      <w:tr w:rsidR="00B56E9C" w:rsidRPr="00DE7C4C" w:rsidTr="00B6553F">
        <w:trPr>
          <w:cantSplit/>
          <w:trHeight w:hRule="exact" w:val="2835"/>
        </w:trPr>
        <w:tc>
          <w:tcPr>
            <w:tcW w:w="1276" w:type="dxa"/>
            <w:tcBorders>
              <w:top w:val="single" w:sz="4" w:space="0" w:color="auto"/>
              <w:bottom w:val="single" w:sz="12" w:space="0" w:color="auto"/>
            </w:tcBorders>
          </w:tcPr>
          <w:p w:rsidR="00B56E9C" w:rsidRPr="00DE7C4C" w:rsidRDefault="00A3463B" w:rsidP="00B6553F">
            <w:pPr>
              <w:spacing w:before="120"/>
            </w:pPr>
            <w:r>
              <w:rPr>
                <w:noProof/>
                <w:lang w:val="en-US" w:eastAsia="zh-CN"/>
              </w:rPr>
              <w:drawing>
                <wp:inline distT="0" distB="0" distL="0" distR="0" wp14:anchorId="1B76903E" wp14:editId="2E8860F5">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E7C4C" w:rsidRDefault="00B56E9C" w:rsidP="00267F5F">
            <w:pPr>
              <w:spacing w:before="120" w:line="380" w:lineRule="exact"/>
              <w:rPr>
                <w:sz w:val="34"/>
              </w:rPr>
            </w:pPr>
            <w:r w:rsidRPr="00DE7C4C">
              <w:rPr>
                <w:b/>
                <w:sz w:val="34"/>
                <w:szCs w:val="40"/>
              </w:rPr>
              <w:t xml:space="preserve">International </w:t>
            </w:r>
            <w:r w:rsidR="00060C3A" w:rsidRPr="00DE7C4C">
              <w:rPr>
                <w:b/>
                <w:sz w:val="34"/>
                <w:szCs w:val="40"/>
              </w:rPr>
              <w:t>Covenant on</w:t>
            </w:r>
            <w:r w:rsidR="00060C3A" w:rsidRPr="00DE7C4C">
              <w:rPr>
                <w:b/>
                <w:sz w:val="34"/>
                <w:szCs w:val="40"/>
              </w:rPr>
              <w:br/>
              <w:t>Civil and Political R</w:t>
            </w:r>
            <w:r w:rsidR="00703577" w:rsidRPr="00DE7C4C">
              <w:rPr>
                <w:b/>
                <w:sz w:val="34"/>
                <w:szCs w:val="40"/>
              </w:rPr>
              <w:t>ights</w:t>
            </w:r>
          </w:p>
        </w:tc>
        <w:tc>
          <w:tcPr>
            <w:tcW w:w="2835" w:type="dxa"/>
            <w:tcBorders>
              <w:top w:val="single" w:sz="4" w:space="0" w:color="auto"/>
              <w:bottom w:val="single" w:sz="12" w:space="0" w:color="auto"/>
            </w:tcBorders>
          </w:tcPr>
          <w:p w:rsidR="00B56E9C" w:rsidRPr="00DE7C4C" w:rsidRDefault="006959AE" w:rsidP="006959AE">
            <w:pPr>
              <w:spacing w:before="240" w:line="240" w:lineRule="exact"/>
            </w:pPr>
            <w:r w:rsidRPr="00DE7C4C">
              <w:t xml:space="preserve">Distr.: </w:t>
            </w:r>
            <w:r w:rsidR="00F4685D">
              <w:t>General</w:t>
            </w:r>
          </w:p>
          <w:p w:rsidR="006959AE" w:rsidRPr="00DE7C4C" w:rsidRDefault="00C71D65" w:rsidP="00C063CA">
            <w:pPr>
              <w:spacing w:line="240" w:lineRule="exact"/>
            </w:pPr>
            <w:r>
              <w:t>2</w:t>
            </w:r>
            <w:r w:rsidR="00C063CA">
              <w:t>8</w:t>
            </w:r>
            <w:r w:rsidR="006472A0">
              <w:t xml:space="preserve"> April</w:t>
            </w:r>
            <w:r w:rsidR="006959AE" w:rsidRPr="00DE7C4C">
              <w:t xml:space="preserve"> 2016</w:t>
            </w:r>
          </w:p>
          <w:p w:rsidR="006959AE" w:rsidRPr="00DE7C4C" w:rsidRDefault="006959AE" w:rsidP="006959AE">
            <w:pPr>
              <w:spacing w:line="240" w:lineRule="exact"/>
            </w:pPr>
          </w:p>
          <w:p w:rsidR="006959AE" w:rsidRDefault="006959AE" w:rsidP="006959AE">
            <w:pPr>
              <w:spacing w:line="240" w:lineRule="exact"/>
            </w:pPr>
            <w:r w:rsidRPr="00DE7C4C">
              <w:t>Original: English</w:t>
            </w:r>
          </w:p>
          <w:p w:rsidR="001B04E2" w:rsidRPr="00DE7C4C" w:rsidRDefault="001B04E2" w:rsidP="006959AE">
            <w:pPr>
              <w:spacing w:line="240" w:lineRule="exact"/>
            </w:pPr>
          </w:p>
        </w:tc>
      </w:tr>
    </w:tbl>
    <w:p w:rsidR="00A3463B" w:rsidRPr="00A3463B" w:rsidRDefault="00A3463B" w:rsidP="00A3463B">
      <w:pPr>
        <w:spacing w:line="20" w:lineRule="exact"/>
        <w:rPr>
          <w:b/>
          <w:bCs/>
          <w:sz w:val="2"/>
          <w:szCs w:val="24"/>
        </w:rPr>
      </w:pPr>
    </w:p>
    <w:p w:rsidR="00120941" w:rsidRPr="00F81F83" w:rsidRDefault="00120941" w:rsidP="00120941">
      <w:pPr>
        <w:spacing w:before="120"/>
        <w:rPr>
          <w:b/>
          <w:bCs/>
          <w:sz w:val="24"/>
          <w:szCs w:val="24"/>
        </w:rPr>
      </w:pPr>
      <w:r w:rsidRPr="00F81F83">
        <w:rPr>
          <w:b/>
          <w:bCs/>
          <w:sz w:val="24"/>
          <w:szCs w:val="24"/>
        </w:rPr>
        <w:t>Human Rights Committee</w:t>
      </w:r>
    </w:p>
    <w:p w:rsidR="00FF544D" w:rsidRDefault="00FF544D" w:rsidP="00A23A05">
      <w:pPr>
        <w:pStyle w:val="HChG"/>
        <w:rPr>
          <w:bCs/>
        </w:rPr>
      </w:pPr>
      <w:r>
        <w:tab/>
      </w:r>
      <w:r>
        <w:tab/>
        <w:t xml:space="preserve">Concluding observations on the sixth periodic report of </w:t>
      </w:r>
      <w:r>
        <w:rPr>
          <w:bCs/>
        </w:rPr>
        <w:t>New</w:t>
      </w:r>
      <w:r w:rsidR="000A4E21">
        <w:rPr>
          <w:bCs/>
        </w:rPr>
        <w:t> </w:t>
      </w:r>
      <w:r>
        <w:rPr>
          <w:bCs/>
        </w:rPr>
        <w:t>Zealand</w:t>
      </w:r>
      <w:r w:rsidR="00F905B3" w:rsidRPr="00796971">
        <w:rPr>
          <w:rStyle w:val="FootnoteReference"/>
          <w:b w:val="0"/>
          <w:sz w:val="20"/>
          <w:vertAlign w:val="baseline"/>
        </w:rPr>
        <w:footnoteReference w:customMarkFollows="1" w:id="2"/>
        <w:t>*</w:t>
      </w:r>
      <w:r w:rsidR="000A4E21">
        <w:rPr>
          <w:bCs/>
          <w:sz w:val="20"/>
        </w:rPr>
        <w:t xml:space="preserve"> </w:t>
      </w:r>
    </w:p>
    <w:p w:rsidR="00A40DBC" w:rsidRDefault="00962F63" w:rsidP="00962F63">
      <w:pPr>
        <w:pStyle w:val="SingleTxtG"/>
      </w:pPr>
      <w:r>
        <w:t>1.</w:t>
      </w:r>
      <w:r>
        <w:tab/>
      </w:r>
      <w:r w:rsidR="00A40DBC">
        <w:t>The Committee considered the sixth periodic report of New Zealand (CCPR/C/</w:t>
      </w:r>
      <w:r w:rsidR="009F7DF2">
        <w:t>NZL</w:t>
      </w:r>
      <w:r w:rsidR="00A40DBC">
        <w:t>/</w:t>
      </w:r>
      <w:r w:rsidR="009F7DF2">
        <w:t>6</w:t>
      </w:r>
      <w:r w:rsidR="00A40DBC">
        <w:t>) at its 3244th and 3245th meetings (CCPR/C/SR.</w:t>
      </w:r>
      <w:r w:rsidR="009F7DF2">
        <w:t>3244</w:t>
      </w:r>
      <w:r w:rsidR="00A40DBC">
        <w:t xml:space="preserve"> and </w:t>
      </w:r>
      <w:r w:rsidR="009F7DF2">
        <w:t>3245</w:t>
      </w:r>
      <w:r w:rsidR="00A40DBC">
        <w:t xml:space="preserve">), held on 14 and 15 March 2016. At its 3259th meeting, held on 24 March 2016, it adopted the </w:t>
      </w:r>
      <w:r w:rsidR="00ED558C">
        <w:t>present</w:t>
      </w:r>
      <w:r w:rsidR="00A40DBC">
        <w:t xml:space="preserve"> concluding observations.</w:t>
      </w:r>
    </w:p>
    <w:p w:rsidR="00A40DBC" w:rsidRPr="00796971" w:rsidRDefault="00A40DBC" w:rsidP="00796971">
      <w:pPr>
        <w:pStyle w:val="H1G"/>
      </w:pPr>
      <w:r>
        <w:rPr>
          <w:sz w:val="20"/>
        </w:rPr>
        <w:tab/>
        <w:t>A.</w:t>
      </w:r>
      <w:r>
        <w:tab/>
        <w:t>Introduction</w:t>
      </w:r>
    </w:p>
    <w:p w:rsidR="00A40DBC" w:rsidRPr="00FF544D" w:rsidRDefault="00962F63" w:rsidP="00962F63">
      <w:pPr>
        <w:pStyle w:val="SingleTxtG"/>
      </w:pPr>
      <w:r w:rsidRPr="00FF544D">
        <w:t>2.</w:t>
      </w:r>
      <w:r w:rsidRPr="00FF544D">
        <w:tab/>
      </w:r>
      <w:r w:rsidR="00A40DBC">
        <w:t xml:space="preserve">The Committee is grateful to the State party for having accepted the </w:t>
      </w:r>
      <w:r w:rsidR="004E7DE1">
        <w:t>simplified reporting</w:t>
      </w:r>
      <w:r w:rsidR="00A40DBC">
        <w:t xml:space="preserve"> procedure and for submitting its sixth periodic report in response to the list of issues prior to report</w:t>
      </w:r>
      <w:r w:rsidR="004E7DE1">
        <w:t>ing</w:t>
      </w:r>
      <w:r w:rsidR="00A40DBC">
        <w:t xml:space="preserve"> </w:t>
      </w:r>
      <w:r w:rsidR="004E7DE1">
        <w:t xml:space="preserve">prepared under that procedure </w:t>
      </w:r>
      <w:r w:rsidR="00A40DBC">
        <w:t xml:space="preserve">(CCPR/C/NZL/QPR/6). It expresses appreciation for the opportunity to renew its constructive dialogue </w:t>
      </w:r>
      <w:r w:rsidR="00A40DBC" w:rsidRPr="00FF544D">
        <w:t xml:space="preserve">with the State party’s high-level delegation on </w:t>
      </w:r>
      <w:r w:rsidR="00ED558C" w:rsidRPr="00032195">
        <w:t>the measures that the State party has taken during the reporting period to implement</w:t>
      </w:r>
      <w:r w:rsidR="00ED558C">
        <w:t xml:space="preserve"> the provisions of the Covenant</w:t>
      </w:r>
      <w:r w:rsidR="00A40DBC" w:rsidRPr="00FF544D">
        <w:t>. The Committee thanks the State party for the oral respon</w:t>
      </w:r>
      <w:r w:rsidR="00A40DBC">
        <w:t xml:space="preserve">ses provided by the delegation </w:t>
      </w:r>
      <w:r w:rsidR="00A40DBC" w:rsidRPr="00FF544D">
        <w:t>and for the supplementary information provided to it in writing</w:t>
      </w:r>
      <w:r w:rsidR="00A40DBC">
        <w:t>.</w:t>
      </w:r>
    </w:p>
    <w:p w:rsidR="00FF544D" w:rsidRPr="00796971" w:rsidRDefault="00081467" w:rsidP="00796971">
      <w:pPr>
        <w:pStyle w:val="H1G"/>
        <w:rPr>
          <w:b w:val="0"/>
        </w:rPr>
      </w:pPr>
      <w:r>
        <w:tab/>
      </w:r>
      <w:r w:rsidR="001B04E2" w:rsidRPr="001F4488">
        <w:t>B.</w:t>
      </w:r>
      <w:r w:rsidR="001B04E2" w:rsidRPr="001F4488">
        <w:tab/>
      </w:r>
      <w:r w:rsidR="00FF544D">
        <w:t>Positive aspects</w:t>
      </w:r>
    </w:p>
    <w:p w:rsidR="006E497E" w:rsidRDefault="00962F63" w:rsidP="00962F63">
      <w:pPr>
        <w:pStyle w:val="SingleTxtG"/>
      </w:pPr>
      <w:r>
        <w:t>3.</w:t>
      </w:r>
      <w:r>
        <w:tab/>
      </w:r>
      <w:r w:rsidR="006E497E">
        <w:t>The Committee welcomes the following legislative and institutional measures taken by the State party:</w:t>
      </w:r>
    </w:p>
    <w:p w:rsidR="006E497E" w:rsidRDefault="001A4EAB" w:rsidP="00796971">
      <w:pPr>
        <w:pStyle w:val="SingleTxtG"/>
        <w:ind w:firstLine="567"/>
      </w:pPr>
      <w:r>
        <w:t>(a)</w:t>
      </w:r>
      <w:r>
        <w:tab/>
      </w:r>
      <w:r w:rsidR="006E497E">
        <w:t>The adoption of the Organised Crime and Anti-Corruption Legislation Act of 2015;</w:t>
      </w:r>
    </w:p>
    <w:p w:rsidR="006E497E" w:rsidRDefault="001A4EAB" w:rsidP="00796971">
      <w:pPr>
        <w:pStyle w:val="SingleTxtG"/>
        <w:ind w:firstLine="567"/>
      </w:pPr>
      <w:r>
        <w:t>(b)</w:t>
      </w:r>
      <w:r>
        <w:tab/>
      </w:r>
      <w:r w:rsidR="006E497E">
        <w:t>The adoption of the Harmful Digital Communications Act of 2015;</w:t>
      </w:r>
    </w:p>
    <w:p w:rsidR="006E497E" w:rsidRDefault="001A4EAB" w:rsidP="002C465B">
      <w:pPr>
        <w:pStyle w:val="SingleTxtG"/>
        <w:ind w:firstLine="567"/>
      </w:pPr>
      <w:r>
        <w:t>(c)</w:t>
      </w:r>
      <w:r>
        <w:tab/>
      </w:r>
      <w:r w:rsidR="006E497E">
        <w:t>The adoption of the Fisheries (Foreign Charter Vessels and Other Matters) Amendment Act 2014;</w:t>
      </w:r>
    </w:p>
    <w:p w:rsidR="006E497E" w:rsidRDefault="001A4EAB" w:rsidP="002C465B">
      <w:pPr>
        <w:pStyle w:val="SingleTxtG"/>
        <w:ind w:firstLine="567"/>
      </w:pPr>
      <w:r>
        <w:t>(d)</w:t>
      </w:r>
      <w:r>
        <w:tab/>
      </w:r>
      <w:r w:rsidR="006E497E">
        <w:t>The adoption of the Vulnerable Children Act 2014;</w:t>
      </w:r>
    </w:p>
    <w:p w:rsidR="006E497E" w:rsidRDefault="00C71052" w:rsidP="00796971">
      <w:pPr>
        <w:pStyle w:val="SingleTxtG"/>
        <w:ind w:firstLine="567"/>
      </w:pPr>
      <w:bookmarkStart w:id="0" w:name="_GoBack"/>
      <w:r>
        <w:rPr>
          <w:noProof/>
          <w:lang w:val="en-US"/>
        </w:rPr>
        <w:drawing>
          <wp:anchor distT="0" distB="0" distL="114300" distR="114300" simplePos="0" relativeHeight="251659264" behindDoc="0" locked="0" layoutInCell="1" allowOverlap="1" wp14:anchorId="2723F42B" wp14:editId="295ACC8C">
            <wp:simplePos x="0" y="0"/>
            <wp:positionH relativeFrom="margin">
              <wp:posOffset>4382770</wp:posOffset>
            </wp:positionH>
            <wp:positionV relativeFrom="margin">
              <wp:posOffset>8211820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bookmarkEnd w:id="0"/>
      <w:r w:rsidR="001A4EAB">
        <w:t>(</w:t>
      </w:r>
      <w:r w:rsidR="00980904">
        <w:t>e</w:t>
      </w:r>
      <w:r w:rsidR="001A4EAB">
        <w:t>)</w:t>
      </w:r>
      <w:r w:rsidR="001A4EAB">
        <w:tab/>
      </w:r>
      <w:r w:rsidR="006E497E">
        <w:t>The adoption of the M</w:t>
      </w:r>
      <w:r w:rsidR="006E497E">
        <w:rPr>
          <w:shd w:val="clear" w:color="auto" w:fill="FFFFFF"/>
        </w:rPr>
        <w:t>ā</w:t>
      </w:r>
      <w:r w:rsidR="006E497E">
        <w:t>ori Disability Action Plan for Disability Support Services (</w:t>
      </w:r>
      <w:proofErr w:type="spellStart"/>
      <w:r w:rsidR="006E497E">
        <w:rPr>
          <w:shd w:val="clear" w:color="auto" w:fill="FFFFFF"/>
        </w:rPr>
        <w:t>Whāia</w:t>
      </w:r>
      <w:proofErr w:type="spellEnd"/>
      <w:r w:rsidR="006E497E">
        <w:rPr>
          <w:shd w:val="clear" w:color="auto" w:fill="FFFFFF"/>
        </w:rPr>
        <w:t xml:space="preserve"> </w:t>
      </w:r>
      <w:proofErr w:type="spellStart"/>
      <w:r w:rsidR="006E497E">
        <w:rPr>
          <w:shd w:val="clear" w:color="auto" w:fill="FFFFFF"/>
        </w:rPr>
        <w:t>Te</w:t>
      </w:r>
      <w:proofErr w:type="spellEnd"/>
      <w:r w:rsidR="006E497E">
        <w:rPr>
          <w:shd w:val="clear" w:color="auto" w:fill="FFFFFF"/>
        </w:rPr>
        <w:t xml:space="preserve"> </w:t>
      </w:r>
      <w:proofErr w:type="spellStart"/>
      <w:r w:rsidR="006E497E">
        <w:rPr>
          <w:shd w:val="clear" w:color="auto" w:fill="FFFFFF"/>
        </w:rPr>
        <w:t>Ao</w:t>
      </w:r>
      <w:proofErr w:type="spellEnd"/>
      <w:r w:rsidR="006E497E">
        <w:rPr>
          <w:shd w:val="clear" w:color="auto" w:fill="FFFFFF"/>
        </w:rPr>
        <w:t xml:space="preserve"> </w:t>
      </w:r>
      <w:proofErr w:type="spellStart"/>
      <w:r w:rsidR="006E497E">
        <w:rPr>
          <w:shd w:val="clear" w:color="auto" w:fill="FFFFFF"/>
        </w:rPr>
        <w:t>Mārama</w:t>
      </w:r>
      <w:proofErr w:type="spellEnd"/>
      <w:r w:rsidR="006E497E">
        <w:rPr>
          <w:shd w:val="clear" w:color="auto" w:fill="FFFFFF"/>
        </w:rPr>
        <w:t>)</w:t>
      </w:r>
      <w:r w:rsidR="006E497E">
        <w:rPr>
          <w:rFonts w:ascii="Arial" w:hAnsi="Arial" w:cs="Arial"/>
          <w:color w:val="002639"/>
          <w:shd w:val="clear" w:color="auto" w:fill="FFFFFF"/>
        </w:rPr>
        <w:t xml:space="preserve"> </w:t>
      </w:r>
      <w:r w:rsidR="006E497E">
        <w:t>2012-2017;</w:t>
      </w:r>
    </w:p>
    <w:p w:rsidR="006E497E" w:rsidRDefault="001A4EAB" w:rsidP="00796971">
      <w:pPr>
        <w:pStyle w:val="SingleTxtG"/>
        <w:ind w:firstLine="567"/>
      </w:pPr>
      <w:r>
        <w:lastRenderedPageBreak/>
        <w:t>(</w:t>
      </w:r>
      <w:r w:rsidR="00980904">
        <w:t>f</w:t>
      </w:r>
      <w:r>
        <w:t>)</w:t>
      </w:r>
      <w:r>
        <w:tab/>
      </w:r>
      <w:r w:rsidR="006E497E">
        <w:t>The adoption of the National Pasifika Disability Plan (</w:t>
      </w:r>
      <w:proofErr w:type="spellStart"/>
      <w:r w:rsidR="006E497E">
        <w:t>Faiva</w:t>
      </w:r>
      <w:proofErr w:type="spellEnd"/>
      <w:r w:rsidR="006E497E">
        <w:t xml:space="preserve"> Ora) 2014-2016;</w:t>
      </w:r>
    </w:p>
    <w:p w:rsidR="006E497E" w:rsidRDefault="001A4EAB" w:rsidP="00796971">
      <w:pPr>
        <w:pStyle w:val="SingleTxtG"/>
        <w:ind w:firstLine="567"/>
      </w:pPr>
      <w:r>
        <w:t>(</w:t>
      </w:r>
      <w:r w:rsidR="00980904">
        <w:t>g</w:t>
      </w:r>
      <w:r>
        <w:t>)</w:t>
      </w:r>
      <w:r>
        <w:tab/>
      </w:r>
      <w:r w:rsidR="006E497E">
        <w:t>The adoption of the Marriage (Definition of Marriage) Amendment Act 2013;</w:t>
      </w:r>
    </w:p>
    <w:p w:rsidR="006E497E" w:rsidRDefault="001A4EAB" w:rsidP="00796971">
      <w:pPr>
        <w:pStyle w:val="SingleTxtG"/>
        <w:ind w:firstLine="567"/>
      </w:pPr>
      <w:r>
        <w:t>(</w:t>
      </w:r>
      <w:r w:rsidR="00980904">
        <w:t>h</w:t>
      </w:r>
      <w:r>
        <w:t>)</w:t>
      </w:r>
      <w:r>
        <w:tab/>
      </w:r>
      <w:r w:rsidR="006E497E">
        <w:t>The adoption of the Youth Crime Action Plan 2013-2023</w:t>
      </w:r>
      <w:r w:rsidR="00EE0551">
        <w:t>;</w:t>
      </w:r>
    </w:p>
    <w:p w:rsidR="006E497E" w:rsidRDefault="001A4EAB" w:rsidP="00073D41">
      <w:pPr>
        <w:pStyle w:val="SingleTxtG"/>
        <w:ind w:firstLine="567"/>
      </w:pPr>
      <w:r>
        <w:t>(</w:t>
      </w:r>
      <w:proofErr w:type="spellStart"/>
      <w:r w:rsidR="00980904">
        <w:t>i</w:t>
      </w:r>
      <w:proofErr w:type="spellEnd"/>
      <w:r>
        <w:t>)</w:t>
      </w:r>
      <w:r>
        <w:tab/>
      </w:r>
      <w:r w:rsidR="006E497E">
        <w:t>The adoption of the M</w:t>
      </w:r>
      <w:r w:rsidR="006E497E">
        <w:rPr>
          <w:shd w:val="clear" w:color="auto" w:fill="FFFFFF"/>
        </w:rPr>
        <w:t>ā</w:t>
      </w:r>
      <w:r w:rsidR="006E497E">
        <w:t>ori Education Strategy</w:t>
      </w:r>
      <w:r w:rsidR="00073D41">
        <w:t>,</w:t>
      </w:r>
      <w:r w:rsidR="006E497E">
        <w:t xml:space="preserve"> </w:t>
      </w:r>
      <w:proofErr w:type="spellStart"/>
      <w:r w:rsidR="006E497E">
        <w:t>Ka</w:t>
      </w:r>
      <w:proofErr w:type="spellEnd"/>
      <w:r w:rsidR="006E497E">
        <w:t xml:space="preserve"> </w:t>
      </w:r>
      <w:proofErr w:type="spellStart"/>
      <w:r w:rsidR="006E497E">
        <w:t>Hikitia</w:t>
      </w:r>
      <w:proofErr w:type="spellEnd"/>
      <w:r w:rsidR="00073D41">
        <w:t>: Accelerating Success</w:t>
      </w:r>
      <w:r w:rsidR="006E497E">
        <w:t xml:space="preserve"> 2013-2017</w:t>
      </w:r>
      <w:r w:rsidR="00EE0551">
        <w:t>.</w:t>
      </w:r>
      <w:r w:rsidR="006E497E">
        <w:t xml:space="preserve"> </w:t>
      </w:r>
    </w:p>
    <w:p w:rsidR="00FF544D" w:rsidRDefault="00962F63" w:rsidP="00962F63">
      <w:pPr>
        <w:pStyle w:val="SingleTxtG"/>
      </w:pPr>
      <w:r>
        <w:t>4.</w:t>
      </w:r>
      <w:r>
        <w:tab/>
      </w:r>
      <w:r w:rsidR="00FF544D">
        <w:t xml:space="preserve">The Committee welcomes the </w:t>
      </w:r>
      <w:r w:rsidR="00073D41">
        <w:t xml:space="preserve">State party’s </w:t>
      </w:r>
      <w:r w:rsidR="00FF544D">
        <w:t xml:space="preserve">ratification </w:t>
      </w:r>
      <w:r w:rsidR="00073D41">
        <w:t xml:space="preserve">on 20 September 2011 </w:t>
      </w:r>
      <w:r w:rsidR="00FF544D">
        <w:t>of</w:t>
      </w:r>
      <w:r w:rsidR="00073D41">
        <w:t xml:space="preserve"> the Optional Protocol to the Convention on the Rights of the Child on the sale of children, child prostitution and child pornography</w:t>
      </w:r>
      <w:r w:rsidR="00FF544D">
        <w:t>.</w:t>
      </w:r>
    </w:p>
    <w:p w:rsidR="00FF544D" w:rsidRDefault="00FF544D" w:rsidP="00353366">
      <w:pPr>
        <w:pStyle w:val="H1G"/>
        <w:ind w:left="0" w:firstLine="0"/>
      </w:pPr>
      <w:r>
        <w:rPr>
          <w:b w:val="0"/>
          <w:bCs/>
          <w:color w:val="FF0000"/>
          <w:sz w:val="22"/>
        </w:rPr>
        <w:tab/>
      </w:r>
      <w:r>
        <w:t>C.</w:t>
      </w:r>
      <w:r>
        <w:tab/>
        <w:t xml:space="preserve">Principal matters of concern and recommendations </w:t>
      </w:r>
    </w:p>
    <w:p w:rsidR="00FF544D" w:rsidRDefault="00920A6B" w:rsidP="00796971">
      <w:pPr>
        <w:pStyle w:val="H23G"/>
      </w:pPr>
      <w:r>
        <w:tab/>
      </w:r>
      <w:r>
        <w:tab/>
      </w:r>
      <w:r w:rsidR="00FF544D">
        <w:t>Reservations to the Covenant</w:t>
      </w:r>
    </w:p>
    <w:p w:rsidR="00FF544D" w:rsidRDefault="00962F63" w:rsidP="00962F63">
      <w:pPr>
        <w:pStyle w:val="SingleTxtG"/>
      </w:pPr>
      <w:r>
        <w:t>5.</w:t>
      </w:r>
      <w:r>
        <w:tab/>
      </w:r>
      <w:r w:rsidR="00FF544D">
        <w:t xml:space="preserve">The Committee </w:t>
      </w:r>
      <w:r w:rsidR="00FF544D">
        <w:rPr>
          <w:lang w:eastAsia="ja-JP"/>
        </w:rPr>
        <w:t>regrets the slow progress made by</w:t>
      </w:r>
      <w:r w:rsidR="00FF544D">
        <w:t xml:space="preserve"> the State party to</w:t>
      </w:r>
      <w:r w:rsidR="00FF544D">
        <w:rPr>
          <w:lang w:eastAsia="ja-JP"/>
        </w:rPr>
        <w:t>ward</w:t>
      </w:r>
      <w:r w:rsidR="00FF544D">
        <w:t xml:space="preserve"> withdraw</w:t>
      </w:r>
      <w:r w:rsidR="00FF544D">
        <w:rPr>
          <w:lang w:eastAsia="ja-JP"/>
        </w:rPr>
        <w:t>ing</w:t>
      </w:r>
      <w:r w:rsidR="00FF544D">
        <w:t xml:space="preserve"> its reservation </w:t>
      </w:r>
      <w:r w:rsidR="00EC76F9">
        <w:t xml:space="preserve">to </w:t>
      </w:r>
      <w:r w:rsidR="00FF544D">
        <w:t xml:space="preserve">article 10 </w:t>
      </w:r>
      <w:r w:rsidR="00C87508">
        <w:t>(</w:t>
      </w:r>
      <w:r w:rsidR="00FF544D">
        <w:t>2</w:t>
      </w:r>
      <w:r w:rsidR="00C87508">
        <w:t>)</w:t>
      </w:r>
      <w:r w:rsidR="00FF544D">
        <w:t xml:space="preserve"> (b) and </w:t>
      </w:r>
      <w:r w:rsidR="00C87508">
        <w:t>(</w:t>
      </w:r>
      <w:r w:rsidR="00FF544D">
        <w:t>3</w:t>
      </w:r>
      <w:r w:rsidR="00C87508">
        <w:t>)</w:t>
      </w:r>
      <w:r w:rsidR="00FF544D">
        <w:t xml:space="preserve">, although it notes the information provided by the State party regarding </w:t>
      </w:r>
      <w:r w:rsidR="00353366">
        <w:t>measures to separate</w:t>
      </w:r>
      <w:r w:rsidR="00FF544D">
        <w:t xml:space="preserve"> youth detainees from adult detainees and</w:t>
      </w:r>
      <w:r w:rsidR="00BD2CA4">
        <w:t>,</w:t>
      </w:r>
      <w:r w:rsidR="00FF544D">
        <w:t xml:space="preserve"> in particular, the establishment by the Department of Corrections of dedicated </w:t>
      </w:r>
      <w:r w:rsidR="00192847">
        <w:t>y</w:t>
      </w:r>
      <w:r w:rsidR="00FF544D">
        <w:t xml:space="preserve">outh </w:t>
      </w:r>
      <w:r w:rsidR="00192847">
        <w:t>u</w:t>
      </w:r>
      <w:r w:rsidR="00FF544D">
        <w:t xml:space="preserve">nits. The Committee </w:t>
      </w:r>
      <w:r w:rsidR="00192847">
        <w:t>also</w:t>
      </w:r>
      <w:r w:rsidR="00FF544D">
        <w:t xml:space="preserve"> notes</w:t>
      </w:r>
      <w:r w:rsidR="00353366">
        <w:t xml:space="preserve"> </w:t>
      </w:r>
      <w:r w:rsidR="00FF544D">
        <w:t>the intention of the State party to maintain its other reservations (art. 2)</w:t>
      </w:r>
      <w:r w:rsidR="00FC6647">
        <w:t>.</w:t>
      </w:r>
    </w:p>
    <w:p w:rsidR="00FF544D" w:rsidRDefault="00962F63" w:rsidP="00962F63">
      <w:pPr>
        <w:pStyle w:val="SingleTxtG"/>
      </w:pPr>
      <w:r>
        <w:t>6.</w:t>
      </w:r>
      <w:r>
        <w:tab/>
      </w:r>
      <w:r w:rsidR="00FF544D">
        <w:rPr>
          <w:b/>
        </w:rPr>
        <w:t xml:space="preserve">The Committee reiterates its previous recommendation (CCPR/C/NZL/CO/5, para. 5) and invites the State party to </w:t>
      </w:r>
      <w:r w:rsidR="00FF544D">
        <w:rPr>
          <w:b/>
          <w:lang w:eastAsia="ja-JP"/>
        </w:rPr>
        <w:t xml:space="preserve">proceed speedily </w:t>
      </w:r>
      <w:r w:rsidR="00EC76F9">
        <w:rPr>
          <w:b/>
          <w:lang w:eastAsia="ja-JP"/>
        </w:rPr>
        <w:t>with the withdrawal of</w:t>
      </w:r>
      <w:r w:rsidR="00FF544D">
        <w:rPr>
          <w:b/>
        </w:rPr>
        <w:t xml:space="preserve"> its reservation to article 10 </w:t>
      </w:r>
      <w:r w:rsidR="00C87508">
        <w:rPr>
          <w:b/>
        </w:rPr>
        <w:t>(</w:t>
      </w:r>
      <w:r w:rsidR="00FF544D">
        <w:rPr>
          <w:b/>
        </w:rPr>
        <w:t>2</w:t>
      </w:r>
      <w:r w:rsidR="00C87508">
        <w:rPr>
          <w:b/>
        </w:rPr>
        <w:t>)</w:t>
      </w:r>
      <w:r w:rsidR="00FF544D">
        <w:rPr>
          <w:b/>
        </w:rPr>
        <w:t xml:space="preserve"> (b) and </w:t>
      </w:r>
      <w:r w:rsidR="00C87508">
        <w:rPr>
          <w:b/>
        </w:rPr>
        <w:t>(</w:t>
      </w:r>
      <w:r w:rsidR="00FF544D">
        <w:rPr>
          <w:b/>
        </w:rPr>
        <w:t>3</w:t>
      </w:r>
      <w:r w:rsidR="00C87508">
        <w:rPr>
          <w:b/>
        </w:rPr>
        <w:t>)</w:t>
      </w:r>
      <w:r w:rsidR="00FF544D">
        <w:rPr>
          <w:b/>
        </w:rPr>
        <w:t xml:space="preserve">, and </w:t>
      </w:r>
      <w:r w:rsidR="00C87508">
        <w:rPr>
          <w:b/>
        </w:rPr>
        <w:t xml:space="preserve">to </w:t>
      </w:r>
      <w:r w:rsidR="00FF544D">
        <w:rPr>
          <w:b/>
        </w:rPr>
        <w:t>consider removing all of its other reservations to the Covenant.</w:t>
      </w:r>
    </w:p>
    <w:p w:rsidR="00FF544D" w:rsidRDefault="001B04E2" w:rsidP="00192847">
      <w:pPr>
        <w:pStyle w:val="H23G"/>
      </w:pPr>
      <w:r>
        <w:tab/>
      </w:r>
      <w:r>
        <w:tab/>
      </w:r>
      <w:r w:rsidR="00FF544D">
        <w:t>National Plan</w:t>
      </w:r>
      <w:r w:rsidR="00353366">
        <w:t xml:space="preserve"> </w:t>
      </w:r>
      <w:r w:rsidR="00192847">
        <w:t>of Action f</w:t>
      </w:r>
      <w:r w:rsidR="00353366">
        <w:t>o</w:t>
      </w:r>
      <w:r w:rsidR="00192847">
        <w:t>r</w:t>
      </w:r>
      <w:r w:rsidR="00353366">
        <w:t xml:space="preserve"> Human Rights</w:t>
      </w:r>
    </w:p>
    <w:p w:rsidR="00FF544D" w:rsidRDefault="00962F63" w:rsidP="00962F63">
      <w:pPr>
        <w:pStyle w:val="SingleTxtG"/>
      </w:pPr>
      <w:r>
        <w:t>7.</w:t>
      </w:r>
      <w:r>
        <w:tab/>
      </w:r>
      <w:r w:rsidR="00FF544D">
        <w:t>The Committee welcomes the information provided by the State party regarding the main achievements relat</w:t>
      </w:r>
      <w:r w:rsidR="00BD2CA4">
        <w:t>ing</w:t>
      </w:r>
      <w:r w:rsidR="00FF544D">
        <w:t xml:space="preserve"> to the implementation of the National </w:t>
      </w:r>
      <w:r w:rsidR="00ED558C">
        <w:t xml:space="preserve">Plan of </w:t>
      </w:r>
      <w:r w:rsidR="00FF544D">
        <w:t xml:space="preserve">Action </w:t>
      </w:r>
      <w:r w:rsidR="00ED558C">
        <w:t>f</w:t>
      </w:r>
      <w:r w:rsidR="006C572A">
        <w:t>o</w:t>
      </w:r>
      <w:r w:rsidR="00ED558C">
        <w:t>r</w:t>
      </w:r>
      <w:r w:rsidR="00353366">
        <w:t xml:space="preserve"> Human Rights </w:t>
      </w:r>
      <w:r w:rsidR="00FF544D">
        <w:t xml:space="preserve">for the period 2005-2010, in particular the ratification of the Convention on the Rights of Persons with Disabilities. Nevertheless, the Committee </w:t>
      </w:r>
      <w:r w:rsidR="00353366">
        <w:t>regrets the</w:t>
      </w:r>
      <w:r w:rsidR="00FF544D">
        <w:t xml:space="preserve"> long </w:t>
      </w:r>
      <w:r w:rsidR="00BD2CA4">
        <w:t xml:space="preserve">hiatus </w:t>
      </w:r>
      <w:r w:rsidR="00FF544D">
        <w:t xml:space="preserve">between the conclusion of the first National Plan </w:t>
      </w:r>
      <w:r w:rsidR="00BD2CA4">
        <w:t xml:space="preserve">of Action </w:t>
      </w:r>
      <w:r w:rsidR="00FF544D">
        <w:t>in 2010 and the adoption of the second Plan in 2015 (art. 2)</w:t>
      </w:r>
      <w:r w:rsidR="00FC6647">
        <w:t>.</w:t>
      </w:r>
    </w:p>
    <w:p w:rsidR="00FF544D" w:rsidRPr="00796971" w:rsidRDefault="00962F63" w:rsidP="00962F63">
      <w:pPr>
        <w:pStyle w:val="SingleTxtG"/>
      </w:pPr>
      <w:r w:rsidRPr="00796971">
        <w:t>8.</w:t>
      </w:r>
      <w:r w:rsidRPr="00796971">
        <w:tab/>
      </w:r>
      <w:r w:rsidR="00FF544D" w:rsidRPr="001B04E2">
        <w:rPr>
          <w:b/>
        </w:rPr>
        <w:t xml:space="preserve">The State party </w:t>
      </w:r>
      <w:r w:rsidR="00B4420F" w:rsidRPr="001B04E2">
        <w:rPr>
          <w:rFonts w:hint="eastAsia"/>
          <w:b/>
          <w:lang w:eastAsia="ja-JP"/>
        </w:rPr>
        <w:t xml:space="preserve">should </w:t>
      </w:r>
      <w:r w:rsidR="00FF544D" w:rsidRPr="001B04E2">
        <w:rPr>
          <w:b/>
        </w:rPr>
        <w:t>provide in its next periodic report information on the implementation of the second National Plan</w:t>
      </w:r>
      <w:r w:rsidR="00BD2CA4">
        <w:rPr>
          <w:b/>
        </w:rPr>
        <w:t xml:space="preserve"> of </w:t>
      </w:r>
      <w:r w:rsidR="00BD2CA4" w:rsidRPr="001B04E2">
        <w:rPr>
          <w:b/>
        </w:rPr>
        <w:t xml:space="preserve">Action </w:t>
      </w:r>
      <w:r w:rsidR="00BD2CA4">
        <w:rPr>
          <w:b/>
        </w:rPr>
        <w:t>for Human Rights</w:t>
      </w:r>
      <w:r w:rsidR="00FF544D" w:rsidRPr="001B04E2">
        <w:rPr>
          <w:b/>
        </w:rPr>
        <w:t>, including its main achievements and challenges, as well as information on how the second Plan has addressed the Committee’s recommendations and those of other international human rights mechanisms.</w:t>
      </w:r>
    </w:p>
    <w:p w:rsidR="00FF544D" w:rsidRDefault="00FF544D" w:rsidP="001B04E2">
      <w:pPr>
        <w:pStyle w:val="H23G"/>
      </w:pPr>
      <w:r>
        <w:tab/>
      </w:r>
      <w:r>
        <w:tab/>
        <w:t>Bill of Rights</w:t>
      </w:r>
    </w:p>
    <w:p w:rsidR="00FF544D" w:rsidRDefault="00962F63" w:rsidP="00962F63">
      <w:pPr>
        <w:pStyle w:val="SingleTxtG"/>
      </w:pPr>
      <w:r>
        <w:t>9.</w:t>
      </w:r>
      <w:r>
        <w:tab/>
      </w:r>
      <w:r w:rsidR="00FF544D">
        <w:t xml:space="preserve">The Committee </w:t>
      </w:r>
      <w:r w:rsidR="00FF544D">
        <w:rPr>
          <w:lang w:eastAsia="ja-JP"/>
        </w:rPr>
        <w:t>note</w:t>
      </w:r>
      <w:r w:rsidR="00BD2CA4">
        <w:rPr>
          <w:lang w:eastAsia="ja-JP"/>
        </w:rPr>
        <w:t>s</w:t>
      </w:r>
      <w:r w:rsidR="00FF544D">
        <w:rPr>
          <w:lang w:eastAsia="ja-JP"/>
        </w:rPr>
        <w:t xml:space="preserve"> </w:t>
      </w:r>
      <w:r w:rsidR="00FF544D">
        <w:t>that the Bill of Rights</w:t>
      </w:r>
      <w:r w:rsidR="00353366">
        <w:t xml:space="preserve"> Act</w:t>
      </w:r>
      <w:r w:rsidR="00B74DA7">
        <w:t xml:space="preserve"> 1990</w:t>
      </w:r>
      <w:r w:rsidR="00FF544D">
        <w:t xml:space="preserve"> does not reflect all the rights enshrined in the Covenant and that t</w:t>
      </w:r>
      <w:r w:rsidR="004E7DE1">
        <w:t>he Act</w:t>
      </w:r>
      <w:r w:rsidR="00FF544D">
        <w:t xml:space="preserve"> does not have</w:t>
      </w:r>
      <w:r w:rsidR="00353366">
        <w:t>, in domestic law,</w:t>
      </w:r>
      <w:r w:rsidR="00FF544D">
        <w:t xml:space="preserve"> the status of entrenched law. The Committee </w:t>
      </w:r>
      <w:r w:rsidR="003562DC">
        <w:t>also</w:t>
      </w:r>
      <w:r w:rsidR="00FF544D">
        <w:t xml:space="preserve"> </w:t>
      </w:r>
      <w:r w:rsidR="00FF544D">
        <w:rPr>
          <w:lang w:eastAsia="ja-JP"/>
        </w:rPr>
        <w:t>note</w:t>
      </w:r>
      <w:r w:rsidR="003562DC">
        <w:rPr>
          <w:lang w:eastAsia="ja-JP"/>
        </w:rPr>
        <w:t>s</w:t>
      </w:r>
      <w:r w:rsidR="00FF544D">
        <w:rPr>
          <w:lang w:eastAsia="ja-JP"/>
        </w:rPr>
        <w:t xml:space="preserve"> </w:t>
      </w:r>
      <w:r w:rsidR="00FF544D">
        <w:t xml:space="preserve">that laws adversely affecting the protection of human rights, such as the Criminal Investigations (Bodily Samples) Amendment Act 2009, have been enacted, notwithstanding </w:t>
      </w:r>
      <w:r w:rsidR="003562DC">
        <w:t xml:space="preserve">the fact </w:t>
      </w:r>
      <w:r w:rsidR="00FF544D">
        <w:t xml:space="preserve">that the Attorney-General </w:t>
      </w:r>
      <w:r w:rsidR="003562DC">
        <w:t>has reported that they are</w:t>
      </w:r>
      <w:r w:rsidR="00FF544D">
        <w:t xml:space="preserve"> inconsistent with the Bill of Rights</w:t>
      </w:r>
      <w:r w:rsidR="00353366">
        <w:t xml:space="preserve"> Act</w:t>
      </w:r>
      <w:r w:rsidR="009F7DF2">
        <w:t xml:space="preserve"> 1990</w:t>
      </w:r>
      <w:r w:rsidR="00FF544D">
        <w:t xml:space="preserve"> (art. 2)</w:t>
      </w:r>
      <w:r w:rsidR="00091BDD">
        <w:t>.</w:t>
      </w:r>
    </w:p>
    <w:p w:rsidR="00FF544D" w:rsidRDefault="00962F63" w:rsidP="00962F63">
      <w:pPr>
        <w:pStyle w:val="SingleTxtG"/>
      </w:pPr>
      <w:r>
        <w:t>10.</w:t>
      </w:r>
      <w:r>
        <w:tab/>
      </w:r>
      <w:r w:rsidR="00FF544D">
        <w:rPr>
          <w:b/>
        </w:rPr>
        <w:t>The State party</w:t>
      </w:r>
      <w:r w:rsidR="00FF544D">
        <w:rPr>
          <w:b/>
          <w:lang w:eastAsia="ja-JP"/>
        </w:rPr>
        <w:t xml:space="preserve"> should</w:t>
      </w:r>
      <w:r w:rsidR="00FF544D">
        <w:rPr>
          <w:b/>
        </w:rPr>
        <w:t>:</w:t>
      </w:r>
    </w:p>
    <w:p w:rsidR="00FF544D" w:rsidRDefault="001B04E2" w:rsidP="003562DC">
      <w:pPr>
        <w:pStyle w:val="SingleTxtG"/>
        <w:rPr>
          <w:b/>
        </w:rPr>
      </w:pPr>
      <w:r>
        <w:rPr>
          <w:b/>
        </w:rPr>
        <w:tab/>
      </w:r>
      <w:r w:rsidRPr="00796971">
        <w:rPr>
          <w:bCs/>
        </w:rPr>
        <w:t>(a)</w:t>
      </w:r>
      <w:r>
        <w:rPr>
          <w:b/>
        </w:rPr>
        <w:tab/>
      </w:r>
      <w:r w:rsidR="00182207">
        <w:rPr>
          <w:b/>
        </w:rPr>
        <w:t>C</w:t>
      </w:r>
      <w:r w:rsidR="009020CE">
        <w:rPr>
          <w:b/>
        </w:rPr>
        <w:t xml:space="preserve">onsider </w:t>
      </w:r>
      <w:r w:rsidR="00FF544D">
        <w:rPr>
          <w:b/>
        </w:rPr>
        <w:t>amend</w:t>
      </w:r>
      <w:r w:rsidR="009020CE">
        <w:rPr>
          <w:b/>
        </w:rPr>
        <w:t>ing</w:t>
      </w:r>
      <w:r w:rsidR="00FF544D">
        <w:rPr>
          <w:b/>
        </w:rPr>
        <w:t xml:space="preserve"> the Bill of Rights</w:t>
      </w:r>
      <w:r w:rsidR="00353366">
        <w:rPr>
          <w:b/>
        </w:rPr>
        <w:t xml:space="preserve"> Act</w:t>
      </w:r>
      <w:r w:rsidR="00B74DA7">
        <w:rPr>
          <w:b/>
        </w:rPr>
        <w:t xml:space="preserve"> 1990</w:t>
      </w:r>
      <w:r w:rsidR="00FF544D">
        <w:rPr>
          <w:b/>
        </w:rPr>
        <w:t xml:space="preserve"> in order to ensure </w:t>
      </w:r>
      <w:r w:rsidR="003562DC">
        <w:rPr>
          <w:b/>
        </w:rPr>
        <w:t xml:space="preserve">that it </w:t>
      </w:r>
      <w:r w:rsidR="00FF544D">
        <w:rPr>
          <w:b/>
        </w:rPr>
        <w:t>incorporat</w:t>
      </w:r>
      <w:r w:rsidR="003562DC">
        <w:rPr>
          <w:b/>
        </w:rPr>
        <w:t>es</w:t>
      </w:r>
      <w:r w:rsidR="00FF544D">
        <w:rPr>
          <w:b/>
        </w:rPr>
        <w:t xml:space="preserve"> all </w:t>
      </w:r>
      <w:r w:rsidR="003562DC">
        <w:rPr>
          <w:b/>
        </w:rPr>
        <w:t xml:space="preserve">the </w:t>
      </w:r>
      <w:r w:rsidR="00FF544D">
        <w:rPr>
          <w:b/>
        </w:rPr>
        <w:t>rights enshrined in the Covenant;</w:t>
      </w:r>
    </w:p>
    <w:p w:rsidR="00FF544D" w:rsidRDefault="001B04E2" w:rsidP="00301C2D">
      <w:pPr>
        <w:pStyle w:val="SingleTxtG"/>
        <w:rPr>
          <w:b/>
        </w:rPr>
      </w:pPr>
      <w:r>
        <w:rPr>
          <w:b/>
        </w:rPr>
        <w:tab/>
      </w:r>
      <w:r w:rsidRPr="00796971">
        <w:rPr>
          <w:bCs/>
        </w:rPr>
        <w:t>(b)</w:t>
      </w:r>
      <w:r w:rsidRPr="00796971">
        <w:rPr>
          <w:bCs/>
        </w:rPr>
        <w:tab/>
      </w:r>
      <w:r w:rsidR="00182207">
        <w:rPr>
          <w:b/>
        </w:rPr>
        <w:t>E</w:t>
      </w:r>
      <w:r w:rsidR="00FF544D">
        <w:rPr>
          <w:b/>
        </w:rPr>
        <w:t>nsure that draft</w:t>
      </w:r>
      <w:r w:rsidR="00353366">
        <w:rPr>
          <w:b/>
        </w:rPr>
        <w:t xml:space="preserve"> and enacted</w:t>
      </w:r>
      <w:r w:rsidR="00FF544D">
        <w:rPr>
          <w:b/>
        </w:rPr>
        <w:t xml:space="preserve"> </w:t>
      </w:r>
      <w:r w:rsidR="003562DC">
        <w:rPr>
          <w:b/>
        </w:rPr>
        <w:t>legislation</w:t>
      </w:r>
      <w:r w:rsidR="00FF544D">
        <w:rPr>
          <w:b/>
        </w:rPr>
        <w:t xml:space="preserve"> </w:t>
      </w:r>
      <w:r w:rsidR="00301C2D">
        <w:rPr>
          <w:b/>
        </w:rPr>
        <w:t xml:space="preserve">that is the </w:t>
      </w:r>
      <w:r w:rsidR="00FF544D">
        <w:rPr>
          <w:b/>
        </w:rPr>
        <w:t xml:space="preserve">subject </w:t>
      </w:r>
      <w:r w:rsidR="00301C2D">
        <w:rPr>
          <w:b/>
        </w:rPr>
        <w:t>of</w:t>
      </w:r>
      <w:r w:rsidR="00FF544D">
        <w:rPr>
          <w:b/>
        </w:rPr>
        <w:t xml:space="preserve"> negative reporting by the Attorney-General </w:t>
      </w:r>
      <w:r w:rsidR="00301C2D">
        <w:rPr>
          <w:b/>
        </w:rPr>
        <w:t>is</w:t>
      </w:r>
      <w:r w:rsidR="00FF544D">
        <w:rPr>
          <w:b/>
        </w:rPr>
        <w:t xml:space="preserve"> </w:t>
      </w:r>
      <w:r w:rsidR="00353366">
        <w:rPr>
          <w:b/>
        </w:rPr>
        <w:t>reviewed</w:t>
      </w:r>
      <w:r w:rsidR="00FF544D">
        <w:rPr>
          <w:b/>
        </w:rPr>
        <w:t xml:space="preserve"> in order to ensure consistency with the Bill of Rights </w:t>
      </w:r>
      <w:r w:rsidR="00505527">
        <w:rPr>
          <w:b/>
        </w:rPr>
        <w:t>Act</w:t>
      </w:r>
      <w:r w:rsidR="0016048D">
        <w:rPr>
          <w:b/>
        </w:rPr>
        <w:t xml:space="preserve"> 1990</w:t>
      </w:r>
      <w:r w:rsidR="00505527">
        <w:rPr>
          <w:b/>
        </w:rPr>
        <w:t xml:space="preserve"> </w:t>
      </w:r>
      <w:r w:rsidR="00FF544D">
        <w:rPr>
          <w:b/>
        </w:rPr>
        <w:t xml:space="preserve">and the </w:t>
      </w:r>
      <w:r w:rsidR="00FF544D">
        <w:rPr>
          <w:b/>
          <w:lang w:eastAsia="ja-JP"/>
        </w:rPr>
        <w:t>Covenant</w:t>
      </w:r>
      <w:r w:rsidR="00FF544D">
        <w:rPr>
          <w:b/>
        </w:rPr>
        <w:t>;</w:t>
      </w:r>
    </w:p>
    <w:p w:rsidR="00FF544D" w:rsidRDefault="001B04E2" w:rsidP="001A35C7">
      <w:pPr>
        <w:pStyle w:val="SingleTxtG"/>
        <w:rPr>
          <w:b/>
        </w:rPr>
      </w:pPr>
      <w:r>
        <w:rPr>
          <w:b/>
        </w:rPr>
        <w:tab/>
      </w:r>
      <w:r w:rsidRPr="00796971">
        <w:rPr>
          <w:bCs/>
        </w:rPr>
        <w:t>(c)</w:t>
      </w:r>
      <w:r>
        <w:rPr>
          <w:b/>
        </w:rPr>
        <w:tab/>
      </w:r>
      <w:r w:rsidR="00182207">
        <w:rPr>
          <w:b/>
        </w:rPr>
        <w:t>C</w:t>
      </w:r>
      <w:r w:rsidR="00FF544D">
        <w:rPr>
          <w:b/>
        </w:rPr>
        <w:t>onsider entrenching the Bill of Rights</w:t>
      </w:r>
      <w:r w:rsidR="00B4342A">
        <w:rPr>
          <w:b/>
        </w:rPr>
        <w:t xml:space="preserve"> Act</w:t>
      </w:r>
      <w:r w:rsidR="00FF544D">
        <w:rPr>
          <w:b/>
        </w:rPr>
        <w:t xml:space="preserve"> </w:t>
      </w:r>
      <w:r w:rsidR="0016048D">
        <w:rPr>
          <w:b/>
        </w:rPr>
        <w:t xml:space="preserve">1990 </w:t>
      </w:r>
      <w:r w:rsidR="00FF544D">
        <w:rPr>
          <w:b/>
        </w:rPr>
        <w:t xml:space="preserve">and strengthening the role of the judiciary, as well as parliamentary scrutiny, in assessing the consistency of enacted laws with the </w:t>
      </w:r>
      <w:r w:rsidR="00727004">
        <w:rPr>
          <w:b/>
        </w:rPr>
        <w:t>Act</w:t>
      </w:r>
      <w:r w:rsidR="00B4420F">
        <w:rPr>
          <w:rFonts w:hint="eastAsia"/>
          <w:b/>
          <w:lang w:eastAsia="ja-JP"/>
        </w:rPr>
        <w:t xml:space="preserve"> and the Covenant</w:t>
      </w:r>
      <w:r w:rsidR="00FF544D">
        <w:rPr>
          <w:b/>
        </w:rPr>
        <w:t>.</w:t>
      </w:r>
    </w:p>
    <w:p w:rsidR="00FF544D" w:rsidRDefault="001B04E2" w:rsidP="00301C2D">
      <w:pPr>
        <w:pStyle w:val="H23G"/>
      </w:pPr>
      <w:r>
        <w:tab/>
      </w:r>
      <w:r>
        <w:tab/>
      </w:r>
      <w:r w:rsidR="00FF544D">
        <w:t xml:space="preserve">National </w:t>
      </w:r>
      <w:r w:rsidR="00301C2D">
        <w:t>h</w:t>
      </w:r>
      <w:r w:rsidR="00FF544D">
        <w:t xml:space="preserve">uman </w:t>
      </w:r>
      <w:r w:rsidR="00301C2D">
        <w:t>r</w:t>
      </w:r>
      <w:r w:rsidR="00FF544D">
        <w:t xml:space="preserve">ights </w:t>
      </w:r>
      <w:r w:rsidR="00301C2D">
        <w:t>i</w:t>
      </w:r>
      <w:r w:rsidR="00FF544D">
        <w:t>nstitution</w:t>
      </w:r>
    </w:p>
    <w:p w:rsidR="00FF544D" w:rsidRDefault="00962F63" w:rsidP="00962F63">
      <w:pPr>
        <w:pStyle w:val="SingleTxtG"/>
      </w:pPr>
      <w:r>
        <w:t>11.</w:t>
      </w:r>
      <w:r>
        <w:tab/>
      </w:r>
      <w:r w:rsidR="00FF544D">
        <w:t xml:space="preserve">The Committee expresses its concern about the considerable delays on the part of the State party in promulgating the Human Rights Amendment </w:t>
      </w:r>
      <w:r w:rsidR="00B4342A">
        <w:t>Bill</w:t>
      </w:r>
      <w:r w:rsidR="00FF544D">
        <w:t xml:space="preserve"> (art. 2)</w:t>
      </w:r>
      <w:r w:rsidR="00D3183A">
        <w:t>.</w:t>
      </w:r>
    </w:p>
    <w:p w:rsidR="00FF544D" w:rsidRDefault="00962F63" w:rsidP="00962F63">
      <w:pPr>
        <w:pStyle w:val="SingleTxtG"/>
      </w:pPr>
      <w:r>
        <w:t>12.</w:t>
      </w:r>
      <w:r>
        <w:tab/>
      </w:r>
      <w:r w:rsidR="00FF544D">
        <w:rPr>
          <w:b/>
        </w:rPr>
        <w:t xml:space="preserve">The State party </w:t>
      </w:r>
      <w:r w:rsidR="00B4420F">
        <w:rPr>
          <w:rFonts w:hint="eastAsia"/>
          <w:b/>
          <w:lang w:eastAsia="ja-JP"/>
        </w:rPr>
        <w:t xml:space="preserve">should </w:t>
      </w:r>
      <w:r w:rsidR="00FF544D">
        <w:rPr>
          <w:b/>
        </w:rPr>
        <w:t>ensure that the</w:t>
      </w:r>
      <w:r w:rsidR="009020CE">
        <w:rPr>
          <w:b/>
        </w:rPr>
        <w:t xml:space="preserve"> </w:t>
      </w:r>
      <w:r w:rsidR="009F7DF2">
        <w:rPr>
          <w:b/>
        </w:rPr>
        <w:t>functioning of the New Zealand Human Rights Commission and the</w:t>
      </w:r>
      <w:r w:rsidR="006A64D0">
        <w:rPr>
          <w:b/>
        </w:rPr>
        <w:t xml:space="preserve"> </w:t>
      </w:r>
      <w:r w:rsidR="00FF544D">
        <w:rPr>
          <w:b/>
        </w:rPr>
        <w:t>selection process of</w:t>
      </w:r>
      <w:r w:rsidR="009F7DF2">
        <w:rPr>
          <w:b/>
        </w:rPr>
        <w:t xml:space="preserve"> its</w:t>
      </w:r>
      <w:r w:rsidR="00FF544D">
        <w:rPr>
          <w:b/>
        </w:rPr>
        <w:t xml:space="preserve"> Commissioners fully compl</w:t>
      </w:r>
      <w:r w:rsidR="009F7DF2">
        <w:rPr>
          <w:b/>
        </w:rPr>
        <w:t>y</w:t>
      </w:r>
      <w:r w:rsidR="00FF544D">
        <w:rPr>
          <w:b/>
        </w:rPr>
        <w:t xml:space="preserve"> with </w:t>
      </w:r>
      <w:r w:rsidR="00301C2D">
        <w:rPr>
          <w:b/>
        </w:rPr>
        <w:t xml:space="preserve">the </w:t>
      </w:r>
      <w:r w:rsidR="00301C2D" w:rsidRPr="00301C2D">
        <w:rPr>
          <w:b/>
        </w:rPr>
        <w:t>principles relating to the status of national institutions for the promotion and protection of human rights (</w:t>
      </w:r>
      <w:r w:rsidR="00FF544D">
        <w:rPr>
          <w:b/>
        </w:rPr>
        <w:t>the Paris Principles</w:t>
      </w:r>
      <w:r w:rsidR="00301C2D">
        <w:rPr>
          <w:b/>
        </w:rPr>
        <w:t>)</w:t>
      </w:r>
      <w:r w:rsidR="00FF544D">
        <w:rPr>
          <w:b/>
        </w:rPr>
        <w:t xml:space="preserve"> and involve the effective engagement of all relevant stakeholders, including civil society organizations. The State party </w:t>
      </w:r>
      <w:r w:rsidR="00B4420F">
        <w:rPr>
          <w:rFonts w:hint="eastAsia"/>
          <w:b/>
          <w:lang w:eastAsia="ja-JP"/>
        </w:rPr>
        <w:t xml:space="preserve">should </w:t>
      </w:r>
      <w:r w:rsidR="00FF544D">
        <w:rPr>
          <w:b/>
        </w:rPr>
        <w:t>take all appropriate measures to accelerate the process of enact</w:t>
      </w:r>
      <w:r w:rsidR="00301C2D">
        <w:rPr>
          <w:b/>
        </w:rPr>
        <w:t>ing</w:t>
      </w:r>
      <w:r w:rsidR="00FF544D">
        <w:rPr>
          <w:b/>
        </w:rPr>
        <w:t xml:space="preserve"> the Human Rights Amendment </w:t>
      </w:r>
      <w:r w:rsidR="00B4342A">
        <w:rPr>
          <w:b/>
        </w:rPr>
        <w:t>Bill</w:t>
      </w:r>
      <w:r w:rsidR="00FF544D">
        <w:rPr>
          <w:b/>
        </w:rPr>
        <w:t>.</w:t>
      </w:r>
    </w:p>
    <w:p w:rsidR="00FF544D" w:rsidRDefault="001B04E2" w:rsidP="001B04E2">
      <w:pPr>
        <w:pStyle w:val="H23G"/>
      </w:pPr>
      <w:r>
        <w:tab/>
      </w:r>
      <w:r>
        <w:tab/>
      </w:r>
      <w:r w:rsidR="00FF544D">
        <w:t>Counter-terrorism</w:t>
      </w:r>
    </w:p>
    <w:p w:rsidR="00FF544D" w:rsidRDefault="00962F63" w:rsidP="00962F63">
      <w:pPr>
        <w:pStyle w:val="SingleTxtG"/>
      </w:pPr>
      <w:r>
        <w:t>13.</w:t>
      </w:r>
      <w:r>
        <w:tab/>
      </w:r>
      <w:r w:rsidR="00FF544D">
        <w:t>While acknowledging the State party’s need to adopt measures to prevent acts of terrorism and the decision of the State party to undertake an independent review o</w:t>
      </w:r>
      <w:r w:rsidR="00F1077C">
        <w:t>f</w:t>
      </w:r>
      <w:r w:rsidR="00FF544D">
        <w:t xml:space="preserve"> the intelligence and security services, the Committee </w:t>
      </w:r>
      <w:r w:rsidR="00B4420F">
        <w:rPr>
          <w:rFonts w:hint="eastAsia"/>
          <w:lang w:eastAsia="ja-JP"/>
        </w:rPr>
        <w:t xml:space="preserve">is </w:t>
      </w:r>
      <w:r w:rsidR="00FF544D">
        <w:t>concern</w:t>
      </w:r>
      <w:r w:rsidR="00B4420F">
        <w:rPr>
          <w:rFonts w:hint="eastAsia"/>
          <w:lang w:eastAsia="ja-JP"/>
        </w:rPr>
        <w:t>ed</w:t>
      </w:r>
      <w:r w:rsidR="00FF544D">
        <w:t xml:space="preserve"> that: </w:t>
      </w:r>
      <w:r w:rsidR="00D36E75">
        <w:t>(</w:t>
      </w:r>
      <w:r w:rsidR="00FF544D">
        <w:t xml:space="preserve">a) counter-terrorism legislation </w:t>
      </w:r>
      <w:r w:rsidR="00F1077C">
        <w:t xml:space="preserve">that </w:t>
      </w:r>
      <w:r w:rsidR="00FF544D">
        <w:t>directly affect</w:t>
      </w:r>
      <w:r w:rsidR="00F1077C">
        <w:t>s</w:t>
      </w:r>
      <w:r w:rsidR="00FF544D">
        <w:t xml:space="preserve"> rights protected by the Covenant has been </w:t>
      </w:r>
      <w:r w:rsidR="00F1077C">
        <w:t>enacted</w:t>
      </w:r>
      <w:r w:rsidR="00FF544D">
        <w:t xml:space="preserve"> under </w:t>
      </w:r>
      <w:r w:rsidR="00D55905">
        <w:t xml:space="preserve">urgent </w:t>
      </w:r>
      <w:r w:rsidR="004672B9">
        <w:t>time frames</w:t>
      </w:r>
      <w:r w:rsidR="00FF544D">
        <w:t xml:space="preserve"> without providing sufficient time for public consideration and consultation; </w:t>
      </w:r>
      <w:r w:rsidR="00D36E75">
        <w:t>(</w:t>
      </w:r>
      <w:r w:rsidR="00FF544D">
        <w:t xml:space="preserve">b) the oversight and accountability framework </w:t>
      </w:r>
      <w:r w:rsidR="00A72B01">
        <w:t xml:space="preserve">of the intelligence services </w:t>
      </w:r>
      <w:r w:rsidR="00FF544D">
        <w:t xml:space="preserve">remains fragmented </w:t>
      </w:r>
      <w:r w:rsidR="00A72B01">
        <w:t xml:space="preserve">and the </w:t>
      </w:r>
      <w:r w:rsidR="00FF544D">
        <w:t>oversight role</w:t>
      </w:r>
      <w:r w:rsidR="00A72B01">
        <w:t xml:space="preserve"> of the judiciary is limited in that regard</w:t>
      </w:r>
      <w:r w:rsidR="00FF544D">
        <w:t xml:space="preserve">; and </w:t>
      </w:r>
      <w:r w:rsidR="00D36E75">
        <w:t>(</w:t>
      </w:r>
      <w:r w:rsidR="00FF544D">
        <w:t xml:space="preserve">c) the State party does not </w:t>
      </w:r>
      <w:r w:rsidR="00727004">
        <w:t>plan</w:t>
      </w:r>
      <w:r w:rsidR="00FF544D">
        <w:t xml:space="preserve"> to amend the Terrorism Suppression Act 200</w:t>
      </w:r>
      <w:r w:rsidR="00AA2B76">
        <w:t>2</w:t>
      </w:r>
      <w:r w:rsidR="00FF544D">
        <w:t xml:space="preserve"> with </w:t>
      </w:r>
      <w:r w:rsidR="00A72B01">
        <w:t>a</w:t>
      </w:r>
      <w:r w:rsidR="00FF544D">
        <w:t xml:space="preserve"> view to includ</w:t>
      </w:r>
      <w:r w:rsidR="00A21628">
        <w:rPr>
          <w:rFonts w:hint="eastAsia"/>
          <w:lang w:eastAsia="ja-JP"/>
        </w:rPr>
        <w:t>ing</w:t>
      </w:r>
      <w:r w:rsidR="00FF544D">
        <w:t xml:space="preserve"> provisions </w:t>
      </w:r>
      <w:r w:rsidR="00A72B01">
        <w:t>that would enable people to</w:t>
      </w:r>
      <w:r w:rsidR="00FF544D">
        <w:t xml:space="preserve"> launch legal proceedings to challenge designations imposed under Security Council resolution 1373 (2001) (arts. 2, 14 and 26)</w:t>
      </w:r>
      <w:r w:rsidR="0096661C">
        <w:t>.</w:t>
      </w:r>
    </w:p>
    <w:p w:rsidR="00FF544D" w:rsidRDefault="00962F63" w:rsidP="00962F63">
      <w:pPr>
        <w:pStyle w:val="SingleTxtG"/>
      </w:pPr>
      <w:r>
        <w:t>14.</w:t>
      </w:r>
      <w:r>
        <w:tab/>
      </w:r>
      <w:r w:rsidR="00FF544D">
        <w:rPr>
          <w:b/>
        </w:rPr>
        <w:t>The State party</w:t>
      </w:r>
      <w:r w:rsidR="00A21628">
        <w:rPr>
          <w:rFonts w:hint="eastAsia"/>
          <w:b/>
          <w:lang w:eastAsia="ja-JP"/>
        </w:rPr>
        <w:t xml:space="preserve"> should</w:t>
      </w:r>
      <w:r w:rsidR="00FF544D">
        <w:rPr>
          <w:b/>
        </w:rPr>
        <w:t xml:space="preserve">: </w:t>
      </w:r>
    </w:p>
    <w:p w:rsidR="00FF544D" w:rsidRDefault="001B04E2" w:rsidP="001B04E2">
      <w:pPr>
        <w:pStyle w:val="SingleTxtG"/>
        <w:rPr>
          <w:b/>
        </w:rPr>
      </w:pPr>
      <w:r>
        <w:rPr>
          <w:b/>
        </w:rPr>
        <w:tab/>
      </w:r>
      <w:r w:rsidRPr="00796971">
        <w:rPr>
          <w:bCs/>
        </w:rPr>
        <w:t>(a)</w:t>
      </w:r>
      <w:r>
        <w:rPr>
          <w:b/>
        </w:rPr>
        <w:tab/>
      </w:r>
      <w:r w:rsidR="00D976C1">
        <w:rPr>
          <w:b/>
        </w:rPr>
        <w:t>F</w:t>
      </w:r>
      <w:r w:rsidR="00FF544D">
        <w:rPr>
          <w:b/>
        </w:rPr>
        <w:t xml:space="preserve">ully integrate </w:t>
      </w:r>
      <w:r w:rsidR="00C74195">
        <w:rPr>
          <w:b/>
        </w:rPr>
        <w:t>the rights protected under the Covenant</w:t>
      </w:r>
      <w:r w:rsidR="00FF544D">
        <w:rPr>
          <w:b/>
        </w:rPr>
        <w:t xml:space="preserve"> into its legislative and policy actions to combat terrorism;</w:t>
      </w:r>
    </w:p>
    <w:p w:rsidR="00FF544D" w:rsidRPr="001B04E2" w:rsidRDefault="001B04E2" w:rsidP="001B04E2">
      <w:pPr>
        <w:pStyle w:val="SingleTxtG"/>
        <w:rPr>
          <w:b/>
        </w:rPr>
      </w:pPr>
      <w:r w:rsidRPr="001B04E2">
        <w:rPr>
          <w:b/>
        </w:rPr>
        <w:tab/>
      </w:r>
      <w:r w:rsidRPr="00796971">
        <w:rPr>
          <w:bCs/>
        </w:rPr>
        <w:t>(b)</w:t>
      </w:r>
      <w:r w:rsidRPr="001B04E2">
        <w:rPr>
          <w:b/>
        </w:rPr>
        <w:tab/>
      </w:r>
      <w:r w:rsidR="00D976C1">
        <w:rPr>
          <w:b/>
        </w:rPr>
        <w:t>E</w:t>
      </w:r>
      <w:r w:rsidR="00FF544D" w:rsidRPr="001B04E2">
        <w:rPr>
          <w:b/>
        </w:rPr>
        <w:t xml:space="preserve">nsure that the enactment and revision of </w:t>
      </w:r>
      <w:r w:rsidR="00D55905" w:rsidRPr="001B04E2">
        <w:rPr>
          <w:b/>
        </w:rPr>
        <w:t xml:space="preserve">counter-terrorism </w:t>
      </w:r>
      <w:r w:rsidR="00FF544D" w:rsidRPr="001B04E2">
        <w:rPr>
          <w:b/>
        </w:rPr>
        <w:t xml:space="preserve">bills </w:t>
      </w:r>
      <w:r w:rsidR="005C4664">
        <w:rPr>
          <w:b/>
        </w:rPr>
        <w:t>facilitate</w:t>
      </w:r>
      <w:r w:rsidR="00FF544D" w:rsidRPr="001B04E2">
        <w:rPr>
          <w:b/>
        </w:rPr>
        <w:t xml:space="preserve"> wide public consideration and consultation; </w:t>
      </w:r>
    </w:p>
    <w:p w:rsidR="00FF544D" w:rsidRPr="001B04E2" w:rsidRDefault="001B04E2" w:rsidP="001B04E2">
      <w:pPr>
        <w:pStyle w:val="SingleTxtG"/>
        <w:rPr>
          <w:b/>
        </w:rPr>
      </w:pPr>
      <w:r>
        <w:rPr>
          <w:b/>
        </w:rPr>
        <w:tab/>
      </w:r>
      <w:r w:rsidRPr="00796971">
        <w:rPr>
          <w:bCs/>
        </w:rPr>
        <w:t>(c)</w:t>
      </w:r>
      <w:r w:rsidRPr="001B04E2">
        <w:rPr>
          <w:b/>
        </w:rPr>
        <w:tab/>
      </w:r>
      <w:r w:rsidR="00D976C1">
        <w:rPr>
          <w:b/>
        </w:rPr>
        <w:t>E</w:t>
      </w:r>
      <w:r w:rsidR="00FF544D" w:rsidRPr="001B04E2">
        <w:rPr>
          <w:b/>
        </w:rPr>
        <w:t>nsure that designation procedures and terrorist investigations fully comply with the provisions of the Covenant</w:t>
      </w:r>
      <w:r w:rsidR="00A21628" w:rsidRPr="001B04E2">
        <w:rPr>
          <w:rFonts w:hint="eastAsia"/>
          <w:b/>
          <w:lang w:eastAsia="ja-JP"/>
        </w:rPr>
        <w:t>;</w:t>
      </w:r>
    </w:p>
    <w:p w:rsidR="00FF544D" w:rsidRPr="001B04E2" w:rsidRDefault="001B04E2" w:rsidP="004E7DE1">
      <w:pPr>
        <w:pStyle w:val="SingleTxtG"/>
        <w:rPr>
          <w:b/>
        </w:rPr>
      </w:pPr>
      <w:r>
        <w:rPr>
          <w:b/>
        </w:rPr>
        <w:tab/>
      </w:r>
      <w:r w:rsidRPr="00796971">
        <w:rPr>
          <w:bCs/>
        </w:rPr>
        <w:t>(d)</w:t>
      </w:r>
      <w:r w:rsidRPr="001B04E2">
        <w:rPr>
          <w:b/>
        </w:rPr>
        <w:tab/>
      </w:r>
      <w:r w:rsidR="00D976C1">
        <w:rPr>
          <w:b/>
        </w:rPr>
        <w:t>I</w:t>
      </w:r>
      <w:r w:rsidR="00FF544D" w:rsidRPr="001B04E2">
        <w:rPr>
          <w:b/>
        </w:rPr>
        <w:t xml:space="preserve">nclude in its next periodic report information on the measures adopted to address the observations and recommendations </w:t>
      </w:r>
      <w:r w:rsidR="004E7DE1">
        <w:rPr>
          <w:b/>
        </w:rPr>
        <w:t xml:space="preserve">that </w:t>
      </w:r>
      <w:r w:rsidR="004E7DE1" w:rsidRPr="001B04E2">
        <w:rPr>
          <w:b/>
        </w:rPr>
        <w:t>the independent reviewers of the intelligence and security services</w:t>
      </w:r>
      <w:r w:rsidR="004E7DE1">
        <w:rPr>
          <w:b/>
        </w:rPr>
        <w:t xml:space="preserve"> made in their</w:t>
      </w:r>
      <w:r w:rsidR="00FF544D" w:rsidRPr="001B04E2">
        <w:rPr>
          <w:b/>
        </w:rPr>
        <w:t xml:space="preserve"> report.</w:t>
      </w:r>
    </w:p>
    <w:p w:rsidR="00FF544D" w:rsidRDefault="001B04E2" w:rsidP="00E47B3F">
      <w:pPr>
        <w:pStyle w:val="H23G"/>
      </w:pPr>
      <w:r>
        <w:tab/>
      </w:r>
      <w:r>
        <w:tab/>
      </w:r>
      <w:r w:rsidR="00FF544D">
        <w:t xml:space="preserve">Right to </w:t>
      </w:r>
      <w:r w:rsidR="00E47B3F">
        <w:t>p</w:t>
      </w:r>
      <w:r w:rsidR="00FF544D">
        <w:t>rivacy</w:t>
      </w:r>
    </w:p>
    <w:p w:rsidR="00FF544D" w:rsidRDefault="00962F63" w:rsidP="00962F63">
      <w:pPr>
        <w:pStyle w:val="SingleTxtG"/>
      </w:pPr>
      <w:r>
        <w:t>15.</w:t>
      </w:r>
      <w:r>
        <w:tab/>
      </w:r>
      <w:r w:rsidR="00FF544D">
        <w:t xml:space="preserve">The Committee is concerned that the right to privacy is not part of the Bill of Rights </w:t>
      </w:r>
      <w:r w:rsidR="0016048D">
        <w:t>Act 1990</w:t>
      </w:r>
      <w:r w:rsidR="00814ACC">
        <w:t xml:space="preserve"> </w:t>
      </w:r>
      <w:r w:rsidR="00FF544D">
        <w:t>and that the existing legal framework provides the Government Communications Security Bureau</w:t>
      </w:r>
      <w:r w:rsidR="003E16A5">
        <w:t xml:space="preserve"> with a very broad mandate</w:t>
      </w:r>
      <w:r w:rsidR="00FF544D">
        <w:t xml:space="preserve">. </w:t>
      </w:r>
      <w:r w:rsidR="003E16A5">
        <w:t>T</w:t>
      </w:r>
      <w:r w:rsidR="00FF544D">
        <w:t xml:space="preserve">he Committee is </w:t>
      </w:r>
      <w:r w:rsidR="003E16A5">
        <w:t xml:space="preserve">also </w:t>
      </w:r>
      <w:r w:rsidR="00FF544D">
        <w:t xml:space="preserve">concerned </w:t>
      </w:r>
      <w:r w:rsidR="00FE3320">
        <w:t>about</w:t>
      </w:r>
      <w:r w:rsidR="00FF544D">
        <w:t xml:space="preserve"> the absence of a clear definition of </w:t>
      </w:r>
      <w:r w:rsidR="003E16A5">
        <w:t xml:space="preserve">the terms </w:t>
      </w:r>
      <w:r w:rsidR="00FF544D">
        <w:t>“national security” and “private communication” in the Telecommunications (Interception Capability and Security) Act</w:t>
      </w:r>
      <w:r w:rsidR="00AA2B76">
        <w:t xml:space="preserve"> 2013</w:t>
      </w:r>
      <w:r w:rsidR="00FF544D">
        <w:t xml:space="preserve">. The Committee is further concerned about the </w:t>
      </w:r>
      <w:r w:rsidR="005C4664">
        <w:t xml:space="preserve">limited </w:t>
      </w:r>
      <w:r w:rsidR="00FF544D">
        <w:t>judicial authorization process for the interception of communications of New Zealanders and the total absence of such authorization for the</w:t>
      </w:r>
      <w:r w:rsidR="00814ACC">
        <w:t xml:space="preserve"> interception of communications</w:t>
      </w:r>
      <w:r w:rsidR="004E7DE1">
        <w:t xml:space="preserve"> of non-New Ze</w:t>
      </w:r>
      <w:r w:rsidR="004C714E">
        <w:t>a</w:t>
      </w:r>
      <w:r w:rsidR="004E7DE1">
        <w:t>landers</w:t>
      </w:r>
      <w:r w:rsidR="00814ACC">
        <w:t xml:space="preserve"> </w:t>
      </w:r>
      <w:r w:rsidR="00FF544D">
        <w:t>(art. 17)</w:t>
      </w:r>
      <w:r w:rsidR="0057385F">
        <w:t>.</w:t>
      </w:r>
    </w:p>
    <w:p w:rsidR="00FF544D" w:rsidRDefault="00962F63" w:rsidP="00962F63">
      <w:pPr>
        <w:pStyle w:val="SingleTxtG"/>
      </w:pPr>
      <w:r>
        <w:t>16.</w:t>
      </w:r>
      <w:r>
        <w:tab/>
      </w:r>
      <w:r w:rsidR="00FF544D">
        <w:rPr>
          <w:b/>
        </w:rPr>
        <w:t xml:space="preserve">The State party </w:t>
      </w:r>
      <w:r w:rsidR="00A21628">
        <w:rPr>
          <w:rFonts w:hint="eastAsia"/>
          <w:b/>
          <w:lang w:eastAsia="ja-JP"/>
        </w:rPr>
        <w:t xml:space="preserve">should </w:t>
      </w:r>
      <w:r w:rsidR="00FF544D">
        <w:rPr>
          <w:b/>
        </w:rPr>
        <w:t xml:space="preserve">take all appropriate measures to ensure that: </w:t>
      </w:r>
    </w:p>
    <w:p w:rsidR="00FF544D" w:rsidRDefault="001B04E2" w:rsidP="001B04E2">
      <w:pPr>
        <w:pStyle w:val="SingleTxtG"/>
        <w:rPr>
          <w:b/>
        </w:rPr>
      </w:pPr>
      <w:r>
        <w:rPr>
          <w:b/>
        </w:rPr>
        <w:tab/>
      </w:r>
      <w:r w:rsidRPr="00796971">
        <w:rPr>
          <w:bCs/>
        </w:rPr>
        <w:t>(a)</w:t>
      </w:r>
      <w:r>
        <w:rPr>
          <w:b/>
        </w:rPr>
        <w:tab/>
      </w:r>
      <w:r w:rsidR="0057385F" w:rsidRPr="00F26831">
        <w:rPr>
          <w:b/>
        </w:rPr>
        <w:t>I</w:t>
      </w:r>
      <w:r w:rsidR="00FF544D" w:rsidRPr="00F26831">
        <w:rPr>
          <w:b/>
        </w:rPr>
        <w:t>ts legal framework regulating</w:t>
      </w:r>
      <w:r w:rsidR="00FF544D">
        <w:rPr>
          <w:b/>
        </w:rPr>
        <w:t xml:space="preserve"> communications surveillance is in line with its obligations under the Covenant, in particular </w:t>
      </w:r>
      <w:r w:rsidR="00C04C70">
        <w:rPr>
          <w:b/>
        </w:rPr>
        <w:t>a</w:t>
      </w:r>
      <w:r w:rsidR="00FF544D">
        <w:rPr>
          <w:b/>
        </w:rPr>
        <w:t xml:space="preserve">rticle 17; </w:t>
      </w:r>
    </w:p>
    <w:p w:rsidR="00FF544D" w:rsidRDefault="001B04E2" w:rsidP="009475C7">
      <w:pPr>
        <w:pStyle w:val="SingleTxtG"/>
        <w:rPr>
          <w:b/>
        </w:rPr>
      </w:pPr>
      <w:r>
        <w:rPr>
          <w:b/>
        </w:rPr>
        <w:tab/>
      </w:r>
      <w:r w:rsidRPr="00796971">
        <w:rPr>
          <w:bCs/>
        </w:rPr>
        <w:t>(b)</w:t>
      </w:r>
      <w:r>
        <w:rPr>
          <w:b/>
        </w:rPr>
        <w:tab/>
      </w:r>
      <w:r w:rsidR="0057385F">
        <w:rPr>
          <w:b/>
        </w:rPr>
        <w:t>S</w:t>
      </w:r>
      <w:r w:rsidR="00FF544D">
        <w:rPr>
          <w:b/>
        </w:rPr>
        <w:t>ufficient judicial safeguards are implemented, regardless of the nationality or location</w:t>
      </w:r>
      <w:r w:rsidR="009475C7">
        <w:rPr>
          <w:b/>
        </w:rPr>
        <w:t xml:space="preserve"> of affected persons</w:t>
      </w:r>
      <w:r w:rsidR="00FF544D">
        <w:rPr>
          <w:b/>
        </w:rPr>
        <w:t xml:space="preserve">, in terms of interception of communications and metadata collection, processing and sharing. </w:t>
      </w:r>
    </w:p>
    <w:p w:rsidR="00FF544D" w:rsidRDefault="001B04E2" w:rsidP="001B04E2">
      <w:pPr>
        <w:pStyle w:val="H23G"/>
      </w:pPr>
      <w:r>
        <w:tab/>
      </w:r>
      <w:r>
        <w:tab/>
      </w:r>
      <w:r w:rsidR="00FF544D">
        <w:t>Equality between women and men</w:t>
      </w:r>
    </w:p>
    <w:p w:rsidR="00FF544D" w:rsidRDefault="00962F63" w:rsidP="00962F63">
      <w:pPr>
        <w:pStyle w:val="SingleTxtG"/>
      </w:pPr>
      <w:r>
        <w:t>17.</w:t>
      </w:r>
      <w:r>
        <w:tab/>
      </w:r>
      <w:r w:rsidR="00FF544D">
        <w:t xml:space="preserve">The Committee remains concerned </w:t>
      </w:r>
      <w:r w:rsidR="004672B9">
        <w:t>about</w:t>
      </w:r>
      <w:r w:rsidR="00FF544D">
        <w:t xml:space="preserve"> the persist</w:t>
      </w:r>
      <w:r w:rsidR="00205B3F">
        <w:t>ent</w:t>
      </w:r>
      <w:r w:rsidR="00FF544D">
        <w:t xml:space="preserve"> ineq</w:t>
      </w:r>
      <w:r w:rsidR="004672B9">
        <w:t xml:space="preserve">ualities between women and men, </w:t>
      </w:r>
      <w:r w:rsidR="00FF544D">
        <w:t xml:space="preserve">in particular: </w:t>
      </w:r>
      <w:r w:rsidR="00D36E75">
        <w:t>(</w:t>
      </w:r>
      <w:r w:rsidR="00FF544D">
        <w:t>a) the significant wage gap between women and men, which disproportionately affects low-income women, especially M</w:t>
      </w:r>
      <w:r w:rsidR="00FF544D">
        <w:rPr>
          <w:shd w:val="clear" w:color="auto" w:fill="FFFFFF"/>
        </w:rPr>
        <w:t>ā</w:t>
      </w:r>
      <w:r w:rsidR="00FF544D">
        <w:t xml:space="preserve">ori and Pasifika women, as well as women with disabilities; </w:t>
      </w:r>
      <w:r w:rsidR="00D36E75">
        <w:t>(</w:t>
      </w:r>
      <w:r w:rsidR="00FF544D">
        <w:t xml:space="preserve">b) the unequal representation of women in high-level private and public sector managerial positions; and </w:t>
      </w:r>
      <w:r w:rsidR="00D36E75">
        <w:t>(</w:t>
      </w:r>
      <w:r w:rsidR="00FF544D">
        <w:t xml:space="preserve">c) the overrepresentation of women in minimum wage jobs. The Committee notes with concern that the </w:t>
      </w:r>
      <w:r w:rsidR="00AA2B76">
        <w:t>principle of</w:t>
      </w:r>
      <w:r w:rsidR="00FF544D">
        <w:t xml:space="preserve"> equal pay for work of equal value i</w:t>
      </w:r>
      <w:r w:rsidR="00296431">
        <w:t>s</w:t>
      </w:r>
      <w:r w:rsidR="00FF544D">
        <w:t xml:space="preserve"> </w:t>
      </w:r>
      <w:r w:rsidR="00AA2B76">
        <w:t xml:space="preserve">not fully respected and applied in </w:t>
      </w:r>
      <w:r w:rsidR="009475C7">
        <w:t>either</w:t>
      </w:r>
      <w:r w:rsidR="00AA2B76">
        <w:t xml:space="preserve"> </w:t>
      </w:r>
      <w:r w:rsidR="009475C7">
        <w:t xml:space="preserve">the </w:t>
      </w:r>
      <w:r w:rsidR="00AA2B76">
        <w:t xml:space="preserve">public </w:t>
      </w:r>
      <w:r w:rsidR="009475C7">
        <w:t>or</w:t>
      </w:r>
      <w:r w:rsidR="00AA2B76">
        <w:t xml:space="preserve"> </w:t>
      </w:r>
      <w:r w:rsidR="00FF544D">
        <w:t>private sector</w:t>
      </w:r>
      <w:r w:rsidR="00AA2B76">
        <w:t>s</w:t>
      </w:r>
      <w:r w:rsidR="00FF544D">
        <w:t xml:space="preserve">, and </w:t>
      </w:r>
      <w:r w:rsidR="00FF544D">
        <w:rPr>
          <w:bCs/>
          <w:lang w:val="en-US"/>
        </w:rPr>
        <w:t>that the institutional framework to monitor discrimination in remuneration and to seek redre</w:t>
      </w:r>
      <w:r w:rsidR="00724F19">
        <w:rPr>
          <w:bCs/>
          <w:lang w:val="en-US"/>
        </w:rPr>
        <w:t xml:space="preserve">ss is inadequate (arts. 2, 3 </w:t>
      </w:r>
      <w:r w:rsidR="00FF544D">
        <w:rPr>
          <w:bCs/>
          <w:lang w:val="en-US"/>
        </w:rPr>
        <w:t>and 26)</w:t>
      </w:r>
      <w:r w:rsidR="0066120B">
        <w:rPr>
          <w:bCs/>
          <w:lang w:val="en-US"/>
        </w:rPr>
        <w:t>.</w:t>
      </w:r>
    </w:p>
    <w:p w:rsidR="00FF544D" w:rsidRDefault="00962F63" w:rsidP="00962F63">
      <w:pPr>
        <w:pStyle w:val="SingleTxtG"/>
      </w:pPr>
      <w:r>
        <w:t>18.</w:t>
      </w:r>
      <w:r>
        <w:tab/>
      </w:r>
      <w:r w:rsidR="00FF544D">
        <w:rPr>
          <w:b/>
        </w:rPr>
        <w:t xml:space="preserve">The Committee recalls its </w:t>
      </w:r>
      <w:r w:rsidR="009475C7">
        <w:rPr>
          <w:b/>
        </w:rPr>
        <w:t>g</w:t>
      </w:r>
      <w:r w:rsidR="00FF544D">
        <w:rPr>
          <w:b/>
        </w:rPr>
        <w:t xml:space="preserve">eneral </w:t>
      </w:r>
      <w:r w:rsidR="009475C7">
        <w:rPr>
          <w:b/>
        </w:rPr>
        <w:t>c</w:t>
      </w:r>
      <w:r w:rsidR="00FF544D">
        <w:rPr>
          <w:b/>
        </w:rPr>
        <w:t xml:space="preserve">omment No. 28 </w:t>
      </w:r>
      <w:r w:rsidR="009475C7" w:rsidRPr="009475C7">
        <w:rPr>
          <w:b/>
        </w:rPr>
        <w:t>(2000) on the equality of rights between men and women</w:t>
      </w:r>
      <w:r w:rsidR="009475C7">
        <w:rPr>
          <w:b/>
        </w:rPr>
        <w:t xml:space="preserve"> </w:t>
      </w:r>
      <w:r w:rsidR="00FF544D">
        <w:rPr>
          <w:b/>
        </w:rPr>
        <w:t>and recommends that the State party:</w:t>
      </w:r>
    </w:p>
    <w:p w:rsidR="00FF544D" w:rsidRDefault="001B04E2" w:rsidP="001B04E2">
      <w:pPr>
        <w:pStyle w:val="SingleTxtG"/>
        <w:rPr>
          <w:b/>
        </w:rPr>
      </w:pPr>
      <w:r>
        <w:rPr>
          <w:b/>
        </w:rPr>
        <w:tab/>
      </w:r>
      <w:r w:rsidRPr="00796971">
        <w:rPr>
          <w:bCs/>
        </w:rPr>
        <w:t>(a)</w:t>
      </w:r>
      <w:r>
        <w:rPr>
          <w:b/>
        </w:rPr>
        <w:tab/>
      </w:r>
      <w:r w:rsidR="004605C0">
        <w:rPr>
          <w:b/>
        </w:rPr>
        <w:t>F</w:t>
      </w:r>
      <w:r w:rsidR="00FF544D">
        <w:rPr>
          <w:b/>
        </w:rPr>
        <w:t>ully incorporate the principle of equality between women and men in all its national policies;</w:t>
      </w:r>
    </w:p>
    <w:p w:rsidR="00FF544D" w:rsidRDefault="001B04E2" w:rsidP="009475C7">
      <w:pPr>
        <w:pStyle w:val="SingleTxtG"/>
        <w:rPr>
          <w:b/>
        </w:rPr>
      </w:pPr>
      <w:r>
        <w:rPr>
          <w:b/>
        </w:rPr>
        <w:tab/>
      </w:r>
      <w:r w:rsidRPr="00796971">
        <w:rPr>
          <w:bCs/>
        </w:rPr>
        <w:t>(b)</w:t>
      </w:r>
      <w:r>
        <w:rPr>
          <w:b/>
        </w:rPr>
        <w:tab/>
      </w:r>
      <w:r w:rsidR="004605C0">
        <w:rPr>
          <w:b/>
        </w:rPr>
        <w:t>D</w:t>
      </w:r>
      <w:r w:rsidR="00FF544D">
        <w:rPr>
          <w:b/>
        </w:rPr>
        <w:t>evelop programmes</w:t>
      </w:r>
      <w:r w:rsidR="000A4E21">
        <w:rPr>
          <w:b/>
        </w:rPr>
        <w:t xml:space="preserve"> </w:t>
      </w:r>
      <w:r w:rsidR="00FF544D">
        <w:rPr>
          <w:b/>
        </w:rPr>
        <w:t xml:space="preserve">for the implementation of </w:t>
      </w:r>
      <w:r w:rsidR="009475C7" w:rsidRPr="009475C7">
        <w:rPr>
          <w:b/>
        </w:rPr>
        <w:t>Sustainable Development Goal</w:t>
      </w:r>
      <w:r w:rsidR="00FF544D">
        <w:rPr>
          <w:b/>
        </w:rPr>
        <w:t xml:space="preserve"> 5</w:t>
      </w:r>
      <w:r w:rsidR="009475C7">
        <w:rPr>
          <w:b/>
        </w:rPr>
        <w:t xml:space="preserve"> to</w:t>
      </w:r>
      <w:r w:rsidR="00FF544D">
        <w:rPr>
          <w:b/>
        </w:rPr>
        <w:t xml:space="preserve"> </w:t>
      </w:r>
      <w:r w:rsidR="009475C7">
        <w:rPr>
          <w:b/>
        </w:rPr>
        <w:t>achieve</w:t>
      </w:r>
      <w:r w:rsidR="00FF544D">
        <w:rPr>
          <w:b/>
        </w:rPr>
        <w:t xml:space="preserve"> gender equality and empower all women and girls, with particular focus on M</w:t>
      </w:r>
      <w:r w:rsidR="00FF544D">
        <w:rPr>
          <w:b/>
          <w:shd w:val="clear" w:color="auto" w:fill="FFFFFF"/>
        </w:rPr>
        <w:t>ā</w:t>
      </w:r>
      <w:r w:rsidR="00FF544D">
        <w:rPr>
          <w:b/>
        </w:rPr>
        <w:t>ori and Pasifika women and girls, as well as women and girls with disabilities;</w:t>
      </w:r>
    </w:p>
    <w:p w:rsidR="00FF544D" w:rsidRDefault="001B04E2" w:rsidP="001B04E2">
      <w:pPr>
        <w:pStyle w:val="SingleTxtG"/>
        <w:rPr>
          <w:b/>
        </w:rPr>
      </w:pPr>
      <w:r>
        <w:rPr>
          <w:b/>
        </w:rPr>
        <w:tab/>
      </w:r>
      <w:r w:rsidRPr="00796971">
        <w:rPr>
          <w:bCs/>
        </w:rPr>
        <w:t>(c)</w:t>
      </w:r>
      <w:r>
        <w:rPr>
          <w:b/>
        </w:rPr>
        <w:tab/>
      </w:r>
      <w:r w:rsidR="004605C0">
        <w:rPr>
          <w:b/>
        </w:rPr>
        <w:t>P</w:t>
      </w:r>
      <w:r w:rsidR="00724F19">
        <w:rPr>
          <w:b/>
        </w:rPr>
        <w:t>romote greater</w:t>
      </w:r>
      <w:r w:rsidR="00FF544D">
        <w:rPr>
          <w:b/>
        </w:rPr>
        <w:t xml:space="preserve"> women’s representation in managerial and leadership positions both in </w:t>
      </w:r>
      <w:r w:rsidR="005F4EB8">
        <w:rPr>
          <w:b/>
        </w:rPr>
        <w:t xml:space="preserve">the </w:t>
      </w:r>
      <w:r w:rsidR="00FF544D">
        <w:rPr>
          <w:b/>
        </w:rPr>
        <w:t>public and private sectors, including through temporary special measures;</w:t>
      </w:r>
    </w:p>
    <w:p w:rsidR="00FF544D" w:rsidRDefault="001B04E2" w:rsidP="001B04E2">
      <w:pPr>
        <w:pStyle w:val="SingleTxtG"/>
        <w:rPr>
          <w:b/>
        </w:rPr>
      </w:pPr>
      <w:r>
        <w:rPr>
          <w:b/>
        </w:rPr>
        <w:tab/>
      </w:r>
      <w:r w:rsidRPr="00796971">
        <w:rPr>
          <w:bCs/>
        </w:rPr>
        <w:t>(d)</w:t>
      </w:r>
      <w:r>
        <w:rPr>
          <w:b/>
        </w:rPr>
        <w:tab/>
      </w:r>
      <w:r w:rsidR="004605C0">
        <w:rPr>
          <w:b/>
        </w:rPr>
        <w:t>E</w:t>
      </w:r>
      <w:r w:rsidR="00FF544D">
        <w:rPr>
          <w:b/>
        </w:rPr>
        <w:t xml:space="preserve">nsure the full operationalization and implementation of the principle of equal pay for work of equal value across its territory, in both </w:t>
      </w:r>
      <w:r w:rsidR="00CC4992">
        <w:rPr>
          <w:b/>
        </w:rPr>
        <w:t xml:space="preserve">the </w:t>
      </w:r>
      <w:r w:rsidR="00FF544D">
        <w:rPr>
          <w:b/>
        </w:rPr>
        <w:t>public and private sectors.</w:t>
      </w:r>
    </w:p>
    <w:p w:rsidR="00FF544D" w:rsidRDefault="001B04E2" w:rsidP="001B04E2">
      <w:pPr>
        <w:pStyle w:val="H23G"/>
      </w:pPr>
      <w:r>
        <w:tab/>
      </w:r>
      <w:r>
        <w:tab/>
      </w:r>
      <w:r w:rsidR="00FF544D">
        <w:t>Combating stereotypes, racism and other forms of intolerance</w:t>
      </w:r>
    </w:p>
    <w:p w:rsidR="00FF544D" w:rsidRDefault="00962F63" w:rsidP="00962F63">
      <w:pPr>
        <w:pStyle w:val="SingleTxtG"/>
      </w:pPr>
      <w:r>
        <w:t>19.</w:t>
      </w:r>
      <w:r>
        <w:tab/>
      </w:r>
      <w:r w:rsidR="00FF544D">
        <w:t>While acknowledging the efforts made by the State party to eliminate racially motivated incidents and incitement to hatred in the media and on the Internet, the Committee is concerned about the absence of a comprehensive national strategy to combat racism, racial discrimination, xenophobia and other forms of intolerance, including racial and religious hatred</w:t>
      </w:r>
      <w:r w:rsidR="001436AB">
        <w:t>. The Committee</w:t>
      </w:r>
      <w:r w:rsidR="00FF544D">
        <w:t xml:space="preserve"> regrets the lack of information on the low number of cases of racial discrimination and racially motivated violent incidents </w:t>
      </w:r>
      <w:r w:rsidR="001436AB">
        <w:t xml:space="preserve">that are </w:t>
      </w:r>
      <w:r w:rsidR="00FF544D">
        <w:t>investigated</w:t>
      </w:r>
      <w:r w:rsidR="001436AB">
        <w:t xml:space="preserve"> and the perpetrators</w:t>
      </w:r>
      <w:r w:rsidR="00FF544D">
        <w:t xml:space="preserve"> prosecuted and punished (art. 20)</w:t>
      </w:r>
      <w:r w:rsidR="00065E3C">
        <w:t>.</w:t>
      </w:r>
    </w:p>
    <w:p w:rsidR="00FF544D" w:rsidRDefault="00962F63" w:rsidP="00962F63">
      <w:pPr>
        <w:pStyle w:val="SingleTxtG"/>
      </w:pPr>
      <w:r>
        <w:t>20.</w:t>
      </w:r>
      <w:r>
        <w:tab/>
      </w:r>
      <w:r w:rsidR="00FF544D">
        <w:rPr>
          <w:b/>
        </w:rPr>
        <w:t xml:space="preserve">The State party </w:t>
      </w:r>
      <w:r w:rsidR="00A21628">
        <w:rPr>
          <w:rFonts w:hint="eastAsia"/>
          <w:b/>
          <w:lang w:eastAsia="ja-JP"/>
        </w:rPr>
        <w:t xml:space="preserve">should </w:t>
      </w:r>
      <w:r w:rsidR="00FF544D">
        <w:rPr>
          <w:b/>
        </w:rPr>
        <w:t xml:space="preserve">develop and implement a comprehensive national strategy to combat racism, racial discrimination, xenophobia and other forms of intolerance, including racial and religious hatred, with clearly defined targets, systematic data collection, awareness-raising campaigns, training programmes, and programmes </w:t>
      </w:r>
      <w:r w:rsidR="001436AB">
        <w:rPr>
          <w:b/>
        </w:rPr>
        <w:t>for</w:t>
      </w:r>
      <w:r w:rsidR="00FF544D">
        <w:rPr>
          <w:b/>
        </w:rPr>
        <w:t xml:space="preserve"> victim rehabilitation and redress. </w:t>
      </w:r>
    </w:p>
    <w:p w:rsidR="00FF544D" w:rsidRDefault="001B04E2" w:rsidP="001B04E2">
      <w:pPr>
        <w:pStyle w:val="H23G"/>
      </w:pPr>
      <w:r>
        <w:tab/>
      </w:r>
      <w:r>
        <w:tab/>
      </w:r>
      <w:r w:rsidR="00FF544D" w:rsidRPr="00DC44C0">
        <w:t>Non-discrimination in employment and vocational training</w:t>
      </w:r>
    </w:p>
    <w:p w:rsidR="00FF544D" w:rsidRDefault="00962F63" w:rsidP="00962F63">
      <w:pPr>
        <w:pStyle w:val="SingleTxtG"/>
      </w:pPr>
      <w:r>
        <w:t>21.</w:t>
      </w:r>
      <w:r>
        <w:tab/>
      </w:r>
      <w:r w:rsidR="00FF544D">
        <w:t>While welcoming the adoption and implementation by the State party of welfare, employment and education programmes with</w:t>
      </w:r>
      <w:r w:rsidR="004672B9">
        <w:t xml:space="preserve"> a</w:t>
      </w:r>
      <w:r w:rsidR="00FF544D">
        <w:t xml:space="preserve"> particular focus on M</w:t>
      </w:r>
      <w:r w:rsidR="00FF544D">
        <w:rPr>
          <w:shd w:val="clear" w:color="auto" w:fill="FFFFFF"/>
        </w:rPr>
        <w:t>ā</w:t>
      </w:r>
      <w:r w:rsidR="00FF544D">
        <w:t>ori and Pasifika, as well as support programmes for migrants, the Committee remains concerned a</w:t>
      </w:r>
      <w:r w:rsidR="004672B9">
        <w:t>bou</w:t>
      </w:r>
      <w:r w:rsidR="00FF544D">
        <w:t>t the persist</w:t>
      </w:r>
      <w:r w:rsidR="00205B3F">
        <w:t>ent</w:t>
      </w:r>
      <w:r w:rsidR="00FF544D">
        <w:t xml:space="preserve"> inequalities that disproportionately </w:t>
      </w:r>
      <w:r w:rsidR="00DC44C0">
        <w:t xml:space="preserve">affect </w:t>
      </w:r>
      <w:r w:rsidR="00FF544D">
        <w:t>M</w:t>
      </w:r>
      <w:r w:rsidR="00FF544D">
        <w:rPr>
          <w:shd w:val="clear" w:color="auto" w:fill="FFFFFF"/>
        </w:rPr>
        <w:t>ā</w:t>
      </w:r>
      <w:r w:rsidR="00FF544D">
        <w:t>ori and Pasifika, in particular M</w:t>
      </w:r>
      <w:r w:rsidR="00FF544D">
        <w:rPr>
          <w:shd w:val="clear" w:color="auto" w:fill="FFFFFF"/>
        </w:rPr>
        <w:t>ā</w:t>
      </w:r>
      <w:r w:rsidR="00FF544D">
        <w:t xml:space="preserve">ori and Pasifika women and </w:t>
      </w:r>
      <w:r w:rsidR="00DC44C0">
        <w:t>young people</w:t>
      </w:r>
      <w:r w:rsidR="00FF544D">
        <w:t>, and persons with disabilities in the area of employment and vocational training (art. 26)</w:t>
      </w:r>
      <w:r w:rsidR="00065E3C">
        <w:t>.</w:t>
      </w:r>
    </w:p>
    <w:p w:rsidR="00FF544D" w:rsidRDefault="00962F63" w:rsidP="00962F63">
      <w:pPr>
        <w:pStyle w:val="SingleTxtG"/>
      </w:pPr>
      <w:r>
        <w:t>22.</w:t>
      </w:r>
      <w:r>
        <w:tab/>
      </w:r>
      <w:r w:rsidR="00FF544D">
        <w:rPr>
          <w:b/>
        </w:rPr>
        <w:t>The State party</w:t>
      </w:r>
      <w:r w:rsidR="00AA39E4">
        <w:rPr>
          <w:rFonts w:hint="eastAsia"/>
          <w:b/>
          <w:lang w:eastAsia="ja-JP"/>
        </w:rPr>
        <w:t xml:space="preserve"> should</w:t>
      </w:r>
      <w:r w:rsidR="00FF544D">
        <w:rPr>
          <w:b/>
        </w:rPr>
        <w:t xml:space="preserve">: </w:t>
      </w:r>
    </w:p>
    <w:p w:rsidR="00FF544D" w:rsidRDefault="001B04E2" w:rsidP="004C714E">
      <w:pPr>
        <w:pStyle w:val="SingleTxtG"/>
        <w:rPr>
          <w:b/>
        </w:rPr>
      </w:pPr>
      <w:r>
        <w:rPr>
          <w:b/>
        </w:rPr>
        <w:tab/>
      </w:r>
      <w:r w:rsidRPr="00796971">
        <w:rPr>
          <w:bCs/>
        </w:rPr>
        <w:t>(a)</w:t>
      </w:r>
      <w:r>
        <w:rPr>
          <w:b/>
        </w:rPr>
        <w:tab/>
      </w:r>
      <w:r w:rsidR="00065E3C">
        <w:rPr>
          <w:b/>
        </w:rPr>
        <w:t>A</w:t>
      </w:r>
      <w:r w:rsidR="00FF544D">
        <w:rPr>
          <w:b/>
        </w:rPr>
        <w:t xml:space="preserve">ddress the high unemployment rates </w:t>
      </w:r>
      <w:r w:rsidR="004C714E">
        <w:rPr>
          <w:b/>
        </w:rPr>
        <w:t>among</w:t>
      </w:r>
      <w:r w:rsidR="00FF544D">
        <w:rPr>
          <w:b/>
        </w:rPr>
        <w:t xml:space="preserve"> M</w:t>
      </w:r>
      <w:r w:rsidR="00FF544D">
        <w:rPr>
          <w:b/>
          <w:shd w:val="clear" w:color="auto" w:fill="FFFFFF"/>
        </w:rPr>
        <w:t>ā</w:t>
      </w:r>
      <w:r w:rsidR="00FF544D">
        <w:rPr>
          <w:b/>
        </w:rPr>
        <w:t>ori and Pasifika, in particular M</w:t>
      </w:r>
      <w:r w:rsidR="00FF544D">
        <w:rPr>
          <w:b/>
          <w:shd w:val="clear" w:color="auto" w:fill="FFFFFF"/>
        </w:rPr>
        <w:t>ā</w:t>
      </w:r>
      <w:r w:rsidR="00FF544D">
        <w:rPr>
          <w:b/>
        </w:rPr>
        <w:t>ori and Pasifika women and you</w:t>
      </w:r>
      <w:r w:rsidR="00DC44C0">
        <w:rPr>
          <w:b/>
        </w:rPr>
        <w:t>ng people</w:t>
      </w:r>
      <w:r w:rsidR="00FF544D">
        <w:rPr>
          <w:b/>
        </w:rPr>
        <w:t xml:space="preserve">, </w:t>
      </w:r>
      <w:r w:rsidR="004C714E">
        <w:rPr>
          <w:b/>
        </w:rPr>
        <w:t xml:space="preserve">among </w:t>
      </w:r>
      <w:r w:rsidR="00FF544D">
        <w:rPr>
          <w:b/>
        </w:rPr>
        <w:t>persons with disabilities</w:t>
      </w:r>
      <w:r w:rsidR="001707B6">
        <w:rPr>
          <w:b/>
        </w:rPr>
        <w:t xml:space="preserve"> and </w:t>
      </w:r>
      <w:r w:rsidR="004C714E">
        <w:rPr>
          <w:b/>
        </w:rPr>
        <w:t xml:space="preserve">among </w:t>
      </w:r>
      <w:r w:rsidR="001707B6">
        <w:rPr>
          <w:b/>
        </w:rPr>
        <w:t>migrants,</w:t>
      </w:r>
      <w:r w:rsidR="00FF544D">
        <w:rPr>
          <w:b/>
        </w:rPr>
        <w:t xml:space="preserve"> through the adoption and effective implementation of comprehensive employment and vocational training strategies</w:t>
      </w:r>
      <w:r w:rsidR="001707B6">
        <w:rPr>
          <w:b/>
        </w:rPr>
        <w:t>, and report on the progress made in its next periodic report</w:t>
      </w:r>
      <w:r w:rsidR="00FF544D">
        <w:rPr>
          <w:b/>
        </w:rPr>
        <w:t>;</w:t>
      </w:r>
      <w:r w:rsidR="000A4E21">
        <w:rPr>
          <w:b/>
        </w:rPr>
        <w:t xml:space="preserve"> </w:t>
      </w:r>
    </w:p>
    <w:p w:rsidR="00FF544D" w:rsidRDefault="001B04E2" w:rsidP="001B04E2">
      <w:pPr>
        <w:pStyle w:val="SingleTxtG"/>
        <w:rPr>
          <w:b/>
        </w:rPr>
      </w:pPr>
      <w:r>
        <w:rPr>
          <w:b/>
        </w:rPr>
        <w:tab/>
      </w:r>
      <w:r w:rsidRPr="00796971">
        <w:rPr>
          <w:bCs/>
        </w:rPr>
        <w:t>(b)</w:t>
      </w:r>
      <w:r>
        <w:rPr>
          <w:b/>
        </w:rPr>
        <w:tab/>
      </w:r>
      <w:r w:rsidR="00065E3C">
        <w:rPr>
          <w:b/>
        </w:rPr>
        <w:t>E</w:t>
      </w:r>
      <w:r w:rsidR="00FF544D">
        <w:rPr>
          <w:b/>
        </w:rPr>
        <w:t xml:space="preserve">nsure that cases of discrimination on any grounds in </w:t>
      </w:r>
      <w:r w:rsidR="004672B9">
        <w:rPr>
          <w:b/>
        </w:rPr>
        <w:t xml:space="preserve">relation to </w:t>
      </w:r>
      <w:r w:rsidR="00FF544D">
        <w:rPr>
          <w:b/>
        </w:rPr>
        <w:t xml:space="preserve">employment are thoroughly investigated and that victims are provided with </w:t>
      </w:r>
      <w:r w:rsidR="00E43804">
        <w:rPr>
          <w:b/>
        </w:rPr>
        <w:t>adequate remedies.</w:t>
      </w:r>
    </w:p>
    <w:p w:rsidR="00E43804" w:rsidRDefault="001B04E2" w:rsidP="00E47B3F">
      <w:pPr>
        <w:pStyle w:val="H23G"/>
      </w:pPr>
      <w:r>
        <w:tab/>
      </w:r>
      <w:r>
        <w:tab/>
      </w:r>
      <w:r w:rsidR="00E43804">
        <w:t xml:space="preserve">Non-discrimination in </w:t>
      </w:r>
      <w:r w:rsidR="00E47B3F">
        <w:t>l</w:t>
      </w:r>
      <w:r w:rsidR="00E43804">
        <w:t>aw</w:t>
      </w:r>
      <w:r w:rsidR="00E47B3F">
        <w:t xml:space="preserve"> e</w:t>
      </w:r>
      <w:r w:rsidR="00E43804">
        <w:t xml:space="preserve">nforcement </w:t>
      </w:r>
    </w:p>
    <w:p w:rsidR="00E43804" w:rsidRDefault="00962F63" w:rsidP="00962F63">
      <w:pPr>
        <w:pStyle w:val="SingleTxtG"/>
      </w:pPr>
      <w:r>
        <w:t>23.</w:t>
      </w:r>
      <w:r>
        <w:tab/>
      </w:r>
      <w:r w:rsidR="00E43804">
        <w:t>The Committee notes the information provided regarding the outcomes of the investigations relat</w:t>
      </w:r>
      <w:r w:rsidR="00BD2CA4">
        <w:t>ing</w:t>
      </w:r>
      <w:r w:rsidR="00E43804">
        <w:t xml:space="preserve"> to the so-called Operation Eight (anti-terrorism raids carried out on 14 October 2007), as well as the efforts made to incorporate some of the recommendations </w:t>
      </w:r>
      <w:r w:rsidR="00DC44C0">
        <w:t>from</w:t>
      </w:r>
      <w:r w:rsidR="00E43804">
        <w:t xml:space="preserve"> the Independent Police Conduct Authority in the police operational planning and operational guidelines. It also notes statements by State officials suggesting an “unconscious bias” in police operations towards M</w:t>
      </w:r>
      <w:r w:rsidR="00E43804">
        <w:rPr>
          <w:shd w:val="clear" w:color="auto" w:fill="FFFFFF"/>
        </w:rPr>
        <w:t>ā</w:t>
      </w:r>
      <w:r w:rsidR="00E43804">
        <w:t>ori and is concerned a</w:t>
      </w:r>
      <w:r w:rsidR="0089578C">
        <w:t>bou</w:t>
      </w:r>
      <w:r w:rsidR="00E43804">
        <w:t>t allegations of racial profiling involving M</w:t>
      </w:r>
      <w:r w:rsidR="00E43804">
        <w:rPr>
          <w:shd w:val="clear" w:color="auto" w:fill="FFFFFF"/>
        </w:rPr>
        <w:t>ā</w:t>
      </w:r>
      <w:r w:rsidR="00E43804">
        <w:t>ori and persons of African descent (arts. 2, 7, 14, 26 and 27)</w:t>
      </w:r>
      <w:r w:rsidR="00E54E38">
        <w:t>.</w:t>
      </w:r>
    </w:p>
    <w:p w:rsidR="00E43804" w:rsidRPr="00E43804" w:rsidRDefault="00962F63" w:rsidP="00962F63">
      <w:pPr>
        <w:pStyle w:val="SingleTxtG"/>
      </w:pPr>
      <w:r w:rsidRPr="00E43804">
        <w:t>24.</w:t>
      </w:r>
      <w:r w:rsidRPr="00E43804">
        <w:tab/>
      </w:r>
      <w:r w:rsidR="00E43804">
        <w:rPr>
          <w:b/>
        </w:rPr>
        <w:t xml:space="preserve">The State party </w:t>
      </w:r>
      <w:r w:rsidR="00E43804">
        <w:rPr>
          <w:rFonts w:hint="eastAsia"/>
          <w:b/>
          <w:lang w:eastAsia="ja-JP"/>
        </w:rPr>
        <w:t xml:space="preserve">should </w:t>
      </w:r>
      <w:r w:rsidR="00E43804">
        <w:rPr>
          <w:b/>
        </w:rPr>
        <w:t xml:space="preserve">undertake </w:t>
      </w:r>
      <w:r w:rsidR="005301F5">
        <w:rPr>
          <w:b/>
        </w:rPr>
        <w:t xml:space="preserve">a </w:t>
      </w:r>
      <w:r w:rsidR="00E43804">
        <w:rPr>
          <w:b/>
        </w:rPr>
        <w:t>comprehensive review of law enforcement operational policies in order to ensure their conformity with human rights principles, including the prohibition of discrimination, and to evaluate their impact on indigenous peoples. The State party should also provide training to law</w:t>
      </w:r>
      <w:r w:rsidR="005301F5">
        <w:rPr>
          <w:b/>
        </w:rPr>
        <w:t xml:space="preserve"> </w:t>
      </w:r>
      <w:r w:rsidR="00E43804">
        <w:rPr>
          <w:b/>
        </w:rPr>
        <w:t>enforcement officials in order to sensitize them to the need to conduct themselves in a way that does not lead, even unintentionally, to acts of racial profiling.</w:t>
      </w:r>
    </w:p>
    <w:p w:rsidR="00E43804" w:rsidRPr="00796971" w:rsidRDefault="00962F63" w:rsidP="00962F63">
      <w:pPr>
        <w:pStyle w:val="SingleTxtG"/>
      </w:pPr>
      <w:r w:rsidRPr="00796971">
        <w:t>25.</w:t>
      </w:r>
      <w:r w:rsidRPr="00796971">
        <w:tab/>
      </w:r>
      <w:r w:rsidR="005301F5" w:rsidRPr="001A35C7">
        <w:t>The Committee</w:t>
      </w:r>
      <w:r w:rsidR="00E43804" w:rsidRPr="001A35C7">
        <w:t xml:space="preserve"> not</w:t>
      </w:r>
      <w:r w:rsidR="005301F5" w:rsidRPr="001A35C7">
        <w:t>es</w:t>
      </w:r>
      <w:r w:rsidR="00E43804" w:rsidRPr="001A35C7">
        <w:t xml:space="preserve"> the efforts made</w:t>
      </w:r>
      <w:r w:rsidR="00E43804">
        <w:t xml:space="preserve"> by the State party to address the issue of </w:t>
      </w:r>
      <w:r w:rsidR="005301F5">
        <w:t xml:space="preserve">the </w:t>
      </w:r>
      <w:r w:rsidR="00E43804">
        <w:t>overrepresentation of M</w:t>
      </w:r>
      <w:r w:rsidR="00E43804">
        <w:rPr>
          <w:shd w:val="clear" w:color="auto" w:fill="FFFFFF"/>
        </w:rPr>
        <w:t>ā</w:t>
      </w:r>
      <w:r w:rsidR="00E43804">
        <w:t>ori and Pasifika in the criminal justice system, with particular focus on you</w:t>
      </w:r>
      <w:r w:rsidR="005301F5">
        <w:t>ng people</w:t>
      </w:r>
      <w:r w:rsidR="00E43804">
        <w:t xml:space="preserve">, including through the initiative “Turning of the Tide: A </w:t>
      </w:r>
      <w:proofErr w:type="spellStart"/>
      <w:r w:rsidR="00E43804">
        <w:t>Wh</w:t>
      </w:r>
      <w:r w:rsidR="00AA2B76" w:rsidRPr="001571F1">
        <w:rPr>
          <w:shd w:val="clear" w:color="auto" w:fill="FFFFFF"/>
        </w:rPr>
        <w:t>ā</w:t>
      </w:r>
      <w:r w:rsidR="00E43804">
        <w:t>nau</w:t>
      </w:r>
      <w:proofErr w:type="spellEnd"/>
      <w:r w:rsidR="00E43804">
        <w:t xml:space="preserve"> Ora Crime and Crash Prevention Strategy” and the Youth Crime Action Plan</w:t>
      </w:r>
      <w:r w:rsidR="005301F5">
        <w:t xml:space="preserve">. However, </w:t>
      </w:r>
      <w:r w:rsidR="00E43804">
        <w:t>the Committee remains concerned a</w:t>
      </w:r>
      <w:r w:rsidR="00525AAE">
        <w:t>bou</w:t>
      </w:r>
      <w:r w:rsidR="00E43804">
        <w:t>t the disproportionately high rates of incarceration and overrepresentation of M</w:t>
      </w:r>
      <w:r w:rsidR="00E43804">
        <w:rPr>
          <w:shd w:val="clear" w:color="auto" w:fill="FFFFFF"/>
        </w:rPr>
        <w:t>ā</w:t>
      </w:r>
      <w:r w:rsidR="00E43804">
        <w:t xml:space="preserve">ori and Pasifika, particularly women and </w:t>
      </w:r>
      <w:r w:rsidR="005301F5">
        <w:t>young people</w:t>
      </w:r>
      <w:r w:rsidR="00E43804">
        <w:t xml:space="preserve">, at all levels of </w:t>
      </w:r>
      <w:r w:rsidR="005301F5">
        <w:t xml:space="preserve">the </w:t>
      </w:r>
      <w:r w:rsidR="00E43804">
        <w:t>criminal justice process (arts. 2, 14, 24</w:t>
      </w:r>
      <w:r w:rsidR="00187653">
        <w:t xml:space="preserve"> and</w:t>
      </w:r>
      <w:r w:rsidR="00E43804">
        <w:t xml:space="preserve"> 26)</w:t>
      </w:r>
      <w:r w:rsidR="002F4D3B">
        <w:t>.</w:t>
      </w:r>
    </w:p>
    <w:p w:rsidR="00E43804" w:rsidRPr="00796971" w:rsidRDefault="00962F63" w:rsidP="00962F63">
      <w:pPr>
        <w:pStyle w:val="SingleTxtG"/>
      </w:pPr>
      <w:r w:rsidRPr="00796971">
        <w:t>26.</w:t>
      </w:r>
      <w:r w:rsidRPr="00796971">
        <w:tab/>
      </w:r>
      <w:r w:rsidR="00E43804">
        <w:rPr>
          <w:b/>
        </w:rPr>
        <w:t>Recalling its previous concluding observations (CCPR/C/NZL/CO/5, para. 12)</w:t>
      </w:r>
      <w:r w:rsidR="002F4D3B">
        <w:rPr>
          <w:b/>
        </w:rPr>
        <w:t>,</w:t>
      </w:r>
      <w:r w:rsidR="00E43804">
        <w:rPr>
          <w:b/>
        </w:rPr>
        <w:t xml:space="preserve"> the Committee urges the State party to:</w:t>
      </w:r>
    </w:p>
    <w:p w:rsidR="00E43804" w:rsidRPr="001B04E2" w:rsidRDefault="001B04E2" w:rsidP="005301F5">
      <w:pPr>
        <w:pStyle w:val="SingleTxtG"/>
        <w:rPr>
          <w:b/>
        </w:rPr>
      </w:pPr>
      <w:r w:rsidRPr="001B04E2">
        <w:rPr>
          <w:b/>
        </w:rPr>
        <w:tab/>
      </w:r>
      <w:r w:rsidRPr="00796971">
        <w:rPr>
          <w:bCs/>
        </w:rPr>
        <w:t>(a)</w:t>
      </w:r>
      <w:r w:rsidRPr="00796971">
        <w:rPr>
          <w:bCs/>
        </w:rPr>
        <w:tab/>
      </w:r>
      <w:r w:rsidR="00E43804" w:rsidRPr="001B04E2">
        <w:rPr>
          <w:b/>
        </w:rPr>
        <w:t>Review its law</w:t>
      </w:r>
      <w:r w:rsidR="005301F5">
        <w:rPr>
          <w:b/>
        </w:rPr>
        <w:t xml:space="preserve"> </w:t>
      </w:r>
      <w:r w:rsidR="00E43804" w:rsidRPr="001B04E2">
        <w:rPr>
          <w:b/>
        </w:rPr>
        <w:t xml:space="preserve">enforcement policies with a view to reducing </w:t>
      </w:r>
      <w:r w:rsidR="005301F5">
        <w:rPr>
          <w:b/>
        </w:rPr>
        <w:t xml:space="preserve">the </w:t>
      </w:r>
      <w:r w:rsidR="00E43804" w:rsidRPr="001B04E2">
        <w:rPr>
          <w:b/>
        </w:rPr>
        <w:t xml:space="preserve">incarceration rates and </w:t>
      </w:r>
      <w:r w:rsidR="005301F5">
        <w:rPr>
          <w:b/>
        </w:rPr>
        <w:t xml:space="preserve">the </w:t>
      </w:r>
      <w:r w:rsidR="00E43804" w:rsidRPr="001B04E2">
        <w:rPr>
          <w:b/>
        </w:rPr>
        <w:t xml:space="preserve">overrepresentation of members of </w:t>
      </w:r>
      <w:r w:rsidR="005301F5">
        <w:rPr>
          <w:b/>
        </w:rPr>
        <w:t xml:space="preserve">the </w:t>
      </w:r>
      <w:r w:rsidR="00E43804" w:rsidRPr="001B04E2">
        <w:rPr>
          <w:b/>
        </w:rPr>
        <w:t>M</w:t>
      </w:r>
      <w:r w:rsidR="00E43804" w:rsidRPr="001B04E2">
        <w:rPr>
          <w:b/>
          <w:shd w:val="clear" w:color="auto" w:fill="FFFFFF"/>
        </w:rPr>
        <w:t>ā</w:t>
      </w:r>
      <w:r w:rsidR="00E43804" w:rsidRPr="001B04E2">
        <w:rPr>
          <w:b/>
        </w:rPr>
        <w:t xml:space="preserve">ori and Pasifika communities, particularly women and </w:t>
      </w:r>
      <w:r w:rsidR="005301F5" w:rsidRPr="005301F5">
        <w:rPr>
          <w:b/>
          <w:bCs/>
        </w:rPr>
        <w:t>young people</w:t>
      </w:r>
      <w:r w:rsidR="00E43804" w:rsidRPr="001B04E2">
        <w:rPr>
          <w:b/>
        </w:rPr>
        <w:t>, at all levels of the criminal justice system, as well as reconviction and reimprisonment rates;</w:t>
      </w:r>
    </w:p>
    <w:p w:rsidR="00E43804" w:rsidRPr="001B04E2" w:rsidRDefault="001B04E2" w:rsidP="001B04E2">
      <w:pPr>
        <w:pStyle w:val="SingleTxtG"/>
        <w:rPr>
          <w:b/>
        </w:rPr>
      </w:pPr>
      <w:r w:rsidRPr="001B04E2">
        <w:rPr>
          <w:b/>
        </w:rPr>
        <w:tab/>
      </w:r>
      <w:r w:rsidRPr="00796971">
        <w:rPr>
          <w:bCs/>
        </w:rPr>
        <w:t>(b)</w:t>
      </w:r>
      <w:r w:rsidRPr="001B04E2">
        <w:rPr>
          <w:b/>
        </w:rPr>
        <w:tab/>
      </w:r>
      <w:r w:rsidR="0044192C">
        <w:rPr>
          <w:b/>
        </w:rPr>
        <w:t>E</w:t>
      </w:r>
      <w:r w:rsidR="00E43804" w:rsidRPr="001B04E2">
        <w:rPr>
          <w:b/>
        </w:rPr>
        <w:t>liminate direct and indirect discrimination against M</w:t>
      </w:r>
      <w:r w:rsidR="00E43804" w:rsidRPr="001B04E2">
        <w:rPr>
          <w:b/>
          <w:shd w:val="clear" w:color="auto" w:fill="FFFFFF"/>
        </w:rPr>
        <w:t>ā</w:t>
      </w:r>
      <w:r w:rsidR="00E43804" w:rsidRPr="001B04E2">
        <w:rPr>
          <w:b/>
        </w:rPr>
        <w:t>ori and Pasifika in the administration of justice, including through human rights training programmes for law enforcement</w:t>
      </w:r>
      <w:r w:rsidR="002C465B">
        <w:rPr>
          <w:b/>
        </w:rPr>
        <w:t xml:space="preserve"> officials</w:t>
      </w:r>
      <w:r w:rsidR="00E43804" w:rsidRPr="001B04E2">
        <w:rPr>
          <w:b/>
        </w:rPr>
        <w:t>, the judiciary and penitentiary personnel.</w:t>
      </w:r>
    </w:p>
    <w:p w:rsidR="00FF544D" w:rsidRDefault="001B04E2" w:rsidP="001B04E2">
      <w:pPr>
        <w:pStyle w:val="H23G"/>
      </w:pPr>
      <w:r>
        <w:tab/>
      </w:r>
      <w:r>
        <w:tab/>
      </w:r>
      <w:r w:rsidR="00FF544D">
        <w:t>Adoption</w:t>
      </w:r>
    </w:p>
    <w:p w:rsidR="00FF544D" w:rsidRDefault="00962F63" w:rsidP="00962F63">
      <w:pPr>
        <w:pStyle w:val="SingleTxtG"/>
      </w:pPr>
      <w:r>
        <w:t>27.</w:t>
      </w:r>
      <w:r>
        <w:tab/>
      </w:r>
      <w:r w:rsidR="00FF544D">
        <w:t xml:space="preserve">The Committee notes with concern that the current legislative regime regarding adoption includes a number of provisions </w:t>
      </w:r>
      <w:r w:rsidR="002C465B">
        <w:t>that</w:t>
      </w:r>
      <w:r w:rsidR="00FF544D">
        <w:t xml:space="preserve"> are discriminatory (art</w:t>
      </w:r>
      <w:r w:rsidR="001707B6">
        <w:t>s</w:t>
      </w:r>
      <w:r w:rsidR="00FF544D">
        <w:t xml:space="preserve">. </w:t>
      </w:r>
      <w:r w:rsidR="001707B6">
        <w:t xml:space="preserve">23, 24 and </w:t>
      </w:r>
      <w:r w:rsidR="00FF544D">
        <w:t>26)</w:t>
      </w:r>
      <w:r w:rsidR="001A7CA8">
        <w:t>.</w:t>
      </w:r>
    </w:p>
    <w:p w:rsidR="00FF544D" w:rsidRPr="00796971" w:rsidRDefault="00962F63" w:rsidP="00962F63">
      <w:pPr>
        <w:pStyle w:val="SingleTxtG"/>
      </w:pPr>
      <w:r w:rsidRPr="00796971">
        <w:t>28.</w:t>
      </w:r>
      <w:r w:rsidRPr="00796971">
        <w:tab/>
      </w:r>
      <w:r w:rsidR="00FF544D" w:rsidRPr="001B04E2">
        <w:rPr>
          <w:b/>
        </w:rPr>
        <w:t xml:space="preserve">The State party </w:t>
      </w:r>
      <w:r w:rsidR="00AA39E4" w:rsidRPr="001B04E2">
        <w:rPr>
          <w:rFonts w:hint="eastAsia"/>
          <w:b/>
          <w:lang w:eastAsia="ja-JP"/>
        </w:rPr>
        <w:t xml:space="preserve">should </w:t>
      </w:r>
      <w:r w:rsidR="00FF544D" w:rsidRPr="001B04E2">
        <w:rPr>
          <w:b/>
        </w:rPr>
        <w:t>amend the Adoption Act 1955 and repeal all of its di</w:t>
      </w:r>
      <w:r w:rsidR="00903766" w:rsidRPr="001B04E2">
        <w:rPr>
          <w:b/>
        </w:rPr>
        <w:t>scriminatory provisions, and consider p</w:t>
      </w:r>
      <w:r w:rsidR="00230C4B">
        <w:rPr>
          <w:b/>
        </w:rPr>
        <w:t>ermitting</w:t>
      </w:r>
      <w:r w:rsidR="00FF544D" w:rsidRPr="001B04E2">
        <w:rPr>
          <w:b/>
        </w:rPr>
        <w:t xml:space="preserve"> civil union partners</w:t>
      </w:r>
      <w:r w:rsidR="004672B9" w:rsidRPr="001B04E2">
        <w:rPr>
          <w:b/>
        </w:rPr>
        <w:t xml:space="preserve"> </w:t>
      </w:r>
      <w:r w:rsidR="006C572A" w:rsidRPr="001B04E2">
        <w:rPr>
          <w:b/>
        </w:rPr>
        <w:t>to adopt</w:t>
      </w:r>
      <w:r w:rsidR="00230C4B">
        <w:rPr>
          <w:b/>
        </w:rPr>
        <w:t xml:space="preserve"> children</w:t>
      </w:r>
      <w:r w:rsidR="006C572A" w:rsidRPr="001B04E2">
        <w:rPr>
          <w:b/>
        </w:rPr>
        <w:t>.</w:t>
      </w:r>
    </w:p>
    <w:p w:rsidR="00FF544D" w:rsidRDefault="001B04E2" w:rsidP="00E47B3F">
      <w:pPr>
        <w:pStyle w:val="H23G"/>
      </w:pPr>
      <w:r>
        <w:tab/>
      </w:r>
      <w:r>
        <w:tab/>
      </w:r>
      <w:r w:rsidR="00FF544D">
        <w:t xml:space="preserve">Domestic and </w:t>
      </w:r>
      <w:r w:rsidR="00E47B3F">
        <w:t>g</w:t>
      </w:r>
      <w:r w:rsidR="00FF544D">
        <w:t>ender-</w:t>
      </w:r>
      <w:r w:rsidR="00E47B3F">
        <w:t>b</w:t>
      </w:r>
      <w:r w:rsidR="00FF544D">
        <w:t xml:space="preserve">ased </w:t>
      </w:r>
      <w:r w:rsidR="00E47B3F">
        <w:t>v</w:t>
      </w:r>
      <w:r w:rsidR="00FF544D">
        <w:t>iolence</w:t>
      </w:r>
    </w:p>
    <w:p w:rsidR="00FF544D" w:rsidRPr="001B04E2" w:rsidRDefault="00962F63" w:rsidP="00962F63">
      <w:pPr>
        <w:pStyle w:val="SingleTxtG"/>
      </w:pPr>
      <w:r w:rsidRPr="001B04E2">
        <w:t>29.</w:t>
      </w:r>
      <w:r w:rsidRPr="001B04E2">
        <w:tab/>
      </w:r>
      <w:r w:rsidR="00FF544D" w:rsidRPr="001B04E2">
        <w:t>While welcoming the establishment in 2014 of the Ministerial Group on Family Violence and Sexual Violence, and the implementation of community-based anti-domestic violence campaigns, the Committee remains concerned a</w:t>
      </w:r>
      <w:r w:rsidR="006B0A16" w:rsidRPr="001B04E2">
        <w:t>bou</w:t>
      </w:r>
      <w:r w:rsidR="00FF544D" w:rsidRPr="001B04E2">
        <w:t xml:space="preserve">t the high prevalence of domestic violence, in particular violence against women and girls, </w:t>
      </w:r>
      <w:r w:rsidR="006B0A16" w:rsidRPr="001B04E2">
        <w:t>which includes</w:t>
      </w:r>
      <w:r w:rsidR="00FF544D" w:rsidRPr="001B04E2">
        <w:t xml:space="preserve"> sexual violence, </w:t>
      </w:r>
      <w:r w:rsidR="006B0A16" w:rsidRPr="001B04E2">
        <w:t xml:space="preserve">and </w:t>
      </w:r>
      <w:r w:rsidR="00C462FA">
        <w:t>especially</w:t>
      </w:r>
      <w:r w:rsidR="00AA2B76">
        <w:t xml:space="preserve"> against</w:t>
      </w:r>
      <w:r w:rsidR="00FF544D" w:rsidRPr="001B04E2">
        <w:t xml:space="preserve"> M</w:t>
      </w:r>
      <w:r w:rsidR="00FF544D" w:rsidRPr="001B04E2">
        <w:rPr>
          <w:shd w:val="clear" w:color="auto" w:fill="FFFFFF"/>
        </w:rPr>
        <w:t>ā</w:t>
      </w:r>
      <w:r w:rsidR="00FF544D" w:rsidRPr="001B04E2">
        <w:t xml:space="preserve">ori and Pasifika women and girls, as well as women and girls with disabilities. The Committee is also concerned about the low rates of reporting and prosecution of </w:t>
      </w:r>
      <w:r w:rsidR="00EA72DE">
        <w:t>perpetrators</w:t>
      </w:r>
      <w:r w:rsidR="00FF544D" w:rsidRPr="001B04E2">
        <w:t xml:space="preserve"> of sexual violence and </w:t>
      </w:r>
      <w:r w:rsidR="00EA72DE">
        <w:t xml:space="preserve">about </w:t>
      </w:r>
      <w:r w:rsidR="00FF544D" w:rsidRPr="001B04E2">
        <w:t xml:space="preserve">the absence of information on victims’ rehabilitation and redress programmes. </w:t>
      </w:r>
      <w:r w:rsidR="00EA72DE">
        <w:t>While</w:t>
      </w:r>
      <w:r w:rsidR="00FF544D" w:rsidRPr="001B04E2">
        <w:t xml:space="preserve"> the Committee note</w:t>
      </w:r>
      <w:r w:rsidR="00EA72DE">
        <w:t>s</w:t>
      </w:r>
      <w:r w:rsidR="00FF544D" w:rsidRPr="001B04E2">
        <w:t xml:space="preserve"> the Family Court reforms introduced by the State party in 2014, it is concerned about reported instances of women being forced to attend family dispute resolution cours</w:t>
      </w:r>
      <w:r w:rsidR="006C572A" w:rsidRPr="001B04E2">
        <w:t>es with their abusers (arts. 3</w:t>
      </w:r>
      <w:r w:rsidR="00FF544D" w:rsidRPr="001B04E2">
        <w:t xml:space="preserve"> </w:t>
      </w:r>
      <w:r w:rsidR="003A51EE" w:rsidRPr="001B04E2">
        <w:rPr>
          <w:rFonts w:hint="eastAsia"/>
          <w:lang w:eastAsia="ja-JP"/>
        </w:rPr>
        <w:t xml:space="preserve">and </w:t>
      </w:r>
      <w:r w:rsidR="00FF544D" w:rsidRPr="001B04E2">
        <w:t>7)</w:t>
      </w:r>
      <w:r w:rsidR="000664E4">
        <w:t>.</w:t>
      </w:r>
    </w:p>
    <w:p w:rsidR="00FF544D" w:rsidRPr="001B04E2" w:rsidRDefault="00962F63" w:rsidP="00962F63">
      <w:pPr>
        <w:pStyle w:val="SingleTxtG"/>
      </w:pPr>
      <w:r w:rsidRPr="001B04E2">
        <w:t>30.</w:t>
      </w:r>
      <w:r w:rsidRPr="001B04E2">
        <w:tab/>
      </w:r>
      <w:r w:rsidR="00FF544D" w:rsidRPr="001B04E2">
        <w:rPr>
          <w:b/>
        </w:rPr>
        <w:t xml:space="preserve">The State party should strengthen efforts to combat domestic and </w:t>
      </w:r>
      <w:r w:rsidR="00EA72DE" w:rsidRPr="001B04E2">
        <w:rPr>
          <w:b/>
        </w:rPr>
        <w:t>all forms</w:t>
      </w:r>
      <w:r w:rsidR="00EA72DE">
        <w:rPr>
          <w:b/>
        </w:rPr>
        <w:t xml:space="preserve"> of </w:t>
      </w:r>
      <w:r w:rsidR="00FF544D" w:rsidRPr="001B04E2">
        <w:rPr>
          <w:b/>
        </w:rPr>
        <w:t xml:space="preserve">gender-based violence, including sexual violence, </w:t>
      </w:r>
      <w:r w:rsidR="00850F94" w:rsidRPr="001B04E2">
        <w:rPr>
          <w:b/>
        </w:rPr>
        <w:t>particularly in relation</w:t>
      </w:r>
      <w:r w:rsidR="00FF544D" w:rsidRPr="001B04E2">
        <w:rPr>
          <w:b/>
        </w:rPr>
        <w:t xml:space="preserve"> to M</w:t>
      </w:r>
      <w:r w:rsidR="00FF544D" w:rsidRPr="001B04E2">
        <w:rPr>
          <w:b/>
          <w:shd w:val="clear" w:color="auto" w:fill="FFFFFF"/>
        </w:rPr>
        <w:t>ā</w:t>
      </w:r>
      <w:r w:rsidR="00FF544D" w:rsidRPr="001B04E2">
        <w:rPr>
          <w:b/>
        </w:rPr>
        <w:t xml:space="preserve">ori and Pasifika women and girls, as well as women and girls with disabilities. </w:t>
      </w:r>
      <w:r w:rsidR="00850F94" w:rsidRPr="001B04E2">
        <w:rPr>
          <w:b/>
        </w:rPr>
        <w:t>In particular</w:t>
      </w:r>
      <w:r w:rsidR="00FF544D" w:rsidRPr="001B04E2">
        <w:rPr>
          <w:b/>
        </w:rPr>
        <w:t xml:space="preserve">, the State party should ensure that: </w:t>
      </w:r>
    </w:p>
    <w:p w:rsidR="00FF544D" w:rsidRPr="001B04E2" w:rsidRDefault="001B04E2">
      <w:pPr>
        <w:pStyle w:val="SingleTxtG"/>
        <w:rPr>
          <w:b/>
        </w:rPr>
      </w:pPr>
      <w:r>
        <w:rPr>
          <w:b/>
        </w:rPr>
        <w:tab/>
      </w:r>
      <w:r w:rsidRPr="00796971">
        <w:rPr>
          <w:bCs/>
        </w:rPr>
        <w:t>(a)</w:t>
      </w:r>
      <w:r w:rsidRPr="001B04E2">
        <w:rPr>
          <w:b/>
        </w:rPr>
        <w:tab/>
      </w:r>
      <w:r w:rsidR="001E246D">
        <w:rPr>
          <w:b/>
        </w:rPr>
        <w:t>I</w:t>
      </w:r>
      <w:r w:rsidR="00FF544D" w:rsidRPr="001B04E2">
        <w:rPr>
          <w:b/>
        </w:rPr>
        <w:t xml:space="preserve">ts criminal legislation </w:t>
      </w:r>
      <w:r w:rsidR="00EA72DE">
        <w:rPr>
          <w:b/>
        </w:rPr>
        <w:t>concerning</w:t>
      </w:r>
      <w:r w:rsidR="00FF544D" w:rsidRPr="001B04E2">
        <w:rPr>
          <w:b/>
        </w:rPr>
        <w:t xml:space="preserve"> domestic and gender-based violence, including sexual violence, is enforced </w:t>
      </w:r>
      <w:r w:rsidR="001A35C7" w:rsidRPr="001B04E2">
        <w:rPr>
          <w:b/>
        </w:rPr>
        <w:t xml:space="preserve">effectively </w:t>
      </w:r>
      <w:r w:rsidR="00FF544D" w:rsidRPr="001B04E2">
        <w:rPr>
          <w:b/>
        </w:rPr>
        <w:t>across its territory;</w:t>
      </w:r>
    </w:p>
    <w:p w:rsidR="00FF544D" w:rsidRPr="001B04E2" w:rsidRDefault="001B04E2" w:rsidP="00EA72DE">
      <w:pPr>
        <w:pStyle w:val="SingleTxtG"/>
        <w:rPr>
          <w:b/>
        </w:rPr>
      </w:pPr>
      <w:r>
        <w:rPr>
          <w:b/>
        </w:rPr>
        <w:tab/>
      </w:r>
      <w:r w:rsidRPr="00796971">
        <w:rPr>
          <w:bCs/>
        </w:rPr>
        <w:t>(b)</w:t>
      </w:r>
      <w:r w:rsidRPr="001B04E2">
        <w:rPr>
          <w:b/>
        </w:rPr>
        <w:tab/>
      </w:r>
      <w:r w:rsidR="001E246D">
        <w:rPr>
          <w:b/>
        </w:rPr>
        <w:t>P</w:t>
      </w:r>
      <w:r w:rsidR="00FF544D" w:rsidRPr="001B04E2">
        <w:rPr>
          <w:b/>
        </w:rPr>
        <w:t xml:space="preserve">rogrammes </w:t>
      </w:r>
      <w:r w:rsidR="00EA72DE">
        <w:rPr>
          <w:b/>
        </w:rPr>
        <w:t xml:space="preserve">to </w:t>
      </w:r>
      <w:r w:rsidR="00FF544D" w:rsidRPr="001B04E2">
        <w:rPr>
          <w:b/>
        </w:rPr>
        <w:t>combat domestic and gender-based violence, including sexual violence, are incorporate</w:t>
      </w:r>
      <w:r w:rsidR="006C572A" w:rsidRPr="001B04E2">
        <w:rPr>
          <w:b/>
        </w:rPr>
        <w:t>d into the National Plan</w:t>
      </w:r>
      <w:r w:rsidR="00FF544D" w:rsidRPr="001B04E2">
        <w:rPr>
          <w:b/>
        </w:rPr>
        <w:t xml:space="preserve"> </w:t>
      </w:r>
      <w:r w:rsidR="00EA72DE">
        <w:rPr>
          <w:b/>
        </w:rPr>
        <w:t xml:space="preserve">of </w:t>
      </w:r>
      <w:r w:rsidR="00EA72DE" w:rsidRPr="001B04E2">
        <w:rPr>
          <w:b/>
        </w:rPr>
        <w:t xml:space="preserve">Action </w:t>
      </w:r>
      <w:r w:rsidR="00EA72DE">
        <w:rPr>
          <w:b/>
        </w:rPr>
        <w:t>f</w:t>
      </w:r>
      <w:r w:rsidR="00FF544D" w:rsidRPr="001B04E2">
        <w:rPr>
          <w:b/>
        </w:rPr>
        <w:t>o</w:t>
      </w:r>
      <w:r w:rsidR="00EA72DE">
        <w:rPr>
          <w:b/>
        </w:rPr>
        <w:t>r</w:t>
      </w:r>
      <w:r w:rsidR="00FF544D" w:rsidRPr="001B04E2">
        <w:rPr>
          <w:b/>
        </w:rPr>
        <w:t xml:space="preserve"> Human Rights;</w:t>
      </w:r>
    </w:p>
    <w:p w:rsidR="00FF544D" w:rsidRPr="001B04E2" w:rsidRDefault="001B04E2" w:rsidP="001B04E2">
      <w:pPr>
        <w:pStyle w:val="SingleTxtG"/>
        <w:rPr>
          <w:b/>
        </w:rPr>
      </w:pPr>
      <w:r>
        <w:rPr>
          <w:b/>
        </w:rPr>
        <w:tab/>
      </w:r>
      <w:r w:rsidRPr="00796971">
        <w:rPr>
          <w:bCs/>
        </w:rPr>
        <w:t>(c)</w:t>
      </w:r>
      <w:r w:rsidRPr="001B04E2">
        <w:rPr>
          <w:b/>
        </w:rPr>
        <w:tab/>
      </w:r>
      <w:r w:rsidR="001E246D">
        <w:rPr>
          <w:b/>
        </w:rPr>
        <w:t>E</w:t>
      </w:r>
      <w:r w:rsidR="00FF544D" w:rsidRPr="001B04E2">
        <w:rPr>
          <w:b/>
        </w:rPr>
        <w:t>ffective monitoring and evaluation processes with clearly defined indicators and systematic data collection are put in place to assess the extent of the problem of domestic and gender-based violence and inform future legislative and policy initiatives;</w:t>
      </w:r>
    </w:p>
    <w:p w:rsidR="00FF544D" w:rsidRPr="001B04E2" w:rsidRDefault="001B04E2" w:rsidP="00EA72DE">
      <w:pPr>
        <w:pStyle w:val="SingleTxtG"/>
        <w:rPr>
          <w:b/>
        </w:rPr>
      </w:pPr>
      <w:r>
        <w:rPr>
          <w:b/>
        </w:rPr>
        <w:tab/>
      </w:r>
      <w:r w:rsidRPr="00796971">
        <w:rPr>
          <w:bCs/>
        </w:rPr>
        <w:t>(d)</w:t>
      </w:r>
      <w:r w:rsidRPr="001B04E2">
        <w:rPr>
          <w:b/>
        </w:rPr>
        <w:tab/>
      </w:r>
      <w:r w:rsidR="001E246D">
        <w:rPr>
          <w:b/>
        </w:rPr>
        <w:t>P</w:t>
      </w:r>
      <w:r w:rsidR="00FF544D" w:rsidRPr="001B04E2">
        <w:rPr>
          <w:b/>
        </w:rPr>
        <w:t>rogrammes of victims’ rehabilitation and redress are developed and implemented across its territory, involving the provision of specialized medical, psychosocial and legal assistance;</w:t>
      </w:r>
    </w:p>
    <w:p w:rsidR="00FF544D" w:rsidRPr="001B04E2" w:rsidRDefault="001B04E2" w:rsidP="00EA72DE">
      <w:pPr>
        <w:pStyle w:val="SingleTxtG"/>
        <w:rPr>
          <w:b/>
        </w:rPr>
      </w:pPr>
      <w:r>
        <w:rPr>
          <w:b/>
        </w:rPr>
        <w:tab/>
      </w:r>
      <w:r w:rsidRPr="00796971">
        <w:rPr>
          <w:bCs/>
        </w:rPr>
        <w:t>(e)</w:t>
      </w:r>
      <w:r w:rsidRPr="001B04E2">
        <w:rPr>
          <w:b/>
        </w:rPr>
        <w:tab/>
      </w:r>
      <w:r w:rsidR="001E246D">
        <w:rPr>
          <w:b/>
        </w:rPr>
        <w:t>T</w:t>
      </w:r>
      <w:r w:rsidR="00FF544D" w:rsidRPr="001B04E2">
        <w:rPr>
          <w:b/>
        </w:rPr>
        <w:t xml:space="preserve">he existing family dispute settlement framework is implemented </w:t>
      </w:r>
      <w:r w:rsidR="00EA72DE" w:rsidRPr="001B04E2">
        <w:rPr>
          <w:b/>
        </w:rPr>
        <w:t>effectively</w:t>
      </w:r>
      <w:r w:rsidR="00EA72DE">
        <w:rPr>
          <w:b/>
        </w:rPr>
        <w:t xml:space="preserve"> </w:t>
      </w:r>
      <w:r w:rsidR="00FF544D" w:rsidRPr="001B04E2">
        <w:rPr>
          <w:b/>
        </w:rPr>
        <w:t xml:space="preserve">and monitored, particularly for </w:t>
      </w:r>
      <w:r w:rsidR="006C572A" w:rsidRPr="001B04E2">
        <w:rPr>
          <w:b/>
        </w:rPr>
        <w:t xml:space="preserve">the protection of </w:t>
      </w:r>
      <w:r w:rsidR="00FF544D" w:rsidRPr="001B04E2">
        <w:rPr>
          <w:b/>
        </w:rPr>
        <w:t>those experiencing domestic violence, especially women and children.</w:t>
      </w:r>
    </w:p>
    <w:p w:rsidR="00E43804" w:rsidRDefault="001B04E2" w:rsidP="00E47B3F">
      <w:pPr>
        <w:pStyle w:val="H23G"/>
      </w:pPr>
      <w:r>
        <w:tab/>
      </w:r>
      <w:r>
        <w:tab/>
      </w:r>
      <w:r w:rsidR="00E43804">
        <w:t xml:space="preserve">Child </w:t>
      </w:r>
      <w:r w:rsidR="00E47B3F">
        <w:t>a</w:t>
      </w:r>
      <w:r w:rsidR="00E43804">
        <w:t>buse</w:t>
      </w:r>
    </w:p>
    <w:p w:rsidR="00E43804" w:rsidRDefault="00962F63" w:rsidP="00962F63">
      <w:pPr>
        <w:pStyle w:val="SingleTxtG"/>
      </w:pPr>
      <w:r>
        <w:t>31.</w:t>
      </w:r>
      <w:r>
        <w:tab/>
      </w:r>
      <w:r w:rsidR="00E43804">
        <w:t>While welcoming the State party’s efforts to address child abuse, which disproportionately affect</w:t>
      </w:r>
      <w:r w:rsidR="00F853E9">
        <w:t>s</w:t>
      </w:r>
      <w:r w:rsidR="00E43804">
        <w:t xml:space="preserve"> vulnerable children, the Committee is concerned about the significant number of children who suffer physical and psychological abuse and neglect, and regrets the absence of information regarding programmes of rehabilitation, reintegration and redress f</w:t>
      </w:r>
      <w:r w:rsidR="00853E3A">
        <w:t>or</w:t>
      </w:r>
      <w:r w:rsidR="00E43804">
        <w:t xml:space="preserve"> child victims, in particular M</w:t>
      </w:r>
      <w:r w:rsidR="00E43804">
        <w:rPr>
          <w:shd w:val="clear" w:color="auto" w:fill="FFFFFF"/>
        </w:rPr>
        <w:t>ā</w:t>
      </w:r>
      <w:r w:rsidR="00E43804">
        <w:t>ori and Pasifika child victims.</w:t>
      </w:r>
      <w:r w:rsidR="005C19C6">
        <w:t xml:space="preserve"> </w:t>
      </w:r>
      <w:r w:rsidR="00E43804">
        <w:t xml:space="preserve">The Committee is also concerned </w:t>
      </w:r>
      <w:r w:rsidR="009F7DF2">
        <w:t xml:space="preserve">about </w:t>
      </w:r>
      <w:r w:rsidR="00E43804">
        <w:t>the filing of the Roast Bust</w:t>
      </w:r>
      <w:r w:rsidR="00AA2B76">
        <w:t>er</w:t>
      </w:r>
      <w:r w:rsidR="00E43804">
        <w:t>s case (arts. 7 and 24)</w:t>
      </w:r>
      <w:r w:rsidR="00234FA0">
        <w:t>.</w:t>
      </w:r>
    </w:p>
    <w:p w:rsidR="00E43804" w:rsidRPr="00796971" w:rsidRDefault="00962F63" w:rsidP="00962F63">
      <w:pPr>
        <w:pStyle w:val="SingleTxtG"/>
        <w:keepNext/>
      </w:pPr>
      <w:r w:rsidRPr="00796971">
        <w:t>32.</w:t>
      </w:r>
      <w:r w:rsidRPr="00796971">
        <w:tab/>
      </w:r>
      <w:r w:rsidR="00E43804" w:rsidRPr="0057028D">
        <w:rPr>
          <w:b/>
        </w:rPr>
        <w:t>The State party</w:t>
      </w:r>
      <w:r w:rsidR="00E43804" w:rsidRPr="001B04E2">
        <w:rPr>
          <w:rFonts w:hint="eastAsia"/>
          <w:b/>
          <w:lang w:eastAsia="ja-JP"/>
        </w:rPr>
        <w:t xml:space="preserve"> should</w:t>
      </w:r>
      <w:r w:rsidR="00E43804" w:rsidRPr="001B04E2">
        <w:rPr>
          <w:b/>
        </w:rPr>
        <w:t>:</w:t>
      </w:r>
    </w:p>
    <w:p w:rsidR="00E43804" w:rsidRPr="001B04E2" w:rsidRDefault="001B04E2" w:rsidP="001B04E2">
      <w:pPr>
        <w:pStyle w:val="SingleTxtG"/>
        <w:rPr>
          <w:b/>
        </w:rPr>
      </w:pPr>
      <w:r>
        <w:rPr>
          <w:b/>
        </w:rPr>
        <w:tab/>
      </w:r>
      <w:r w:rsidRPr="00796971">
        <w:rPr>
          <w:bCs/>
        </w:rPr>
        <w:t>(a)</w:t>
      </w:r>
      <w:r w:rsidRPr="001B04E2">
        <w:rPr>
          <w:b/>
        </w:rPr>
        <w:tab/>
      </w:r>
      <w:r w:rsidR="00234FA0">
        <w:rPr>
          <w:b/>
        </w:rPr>
        <w:t>S</w:t>
      </w:r>
      <w:r w:rsidR="00E43804" w:rsidRPr="001B04E2">
        <w:rPr>
          <w:b/>
        </w:rPr>
        <w:t xml:space="preserve">trengthen its efforts to combat child abuse in all settings, including through the development and implementation of multi-stakeholder, child-friendly early detection and reporting mechanisms and through the effective investigation of cases and </w:t>
      </w:r>
      <w:r w:rsidR="00853E3A">
        <w:rPr>
          <w:b/>
        </w:rPr>
        <w:t xml:space="preserve">the </w:t>
      </w:r>
      <w:r w:rsidR="0026228A" w:rsidRPr="001B04E2">
        <w:rPr>
          <w:b/>
        </w:rPr>
        <w:t>accountability</w:t>
      </w:r>
      <w:r w:rsidR="00E43804" w:rsidRPr="001B04E2">
        <w:rPr>
          <w:b/>
        </w:rPr>
        <w:t xml:space="preserve"> of perpetrators;</w:t>
      </w:r>
    </w:p>
    <w:p w:rsidR="00E43804" w:rsidRPr="001B04E2" w:rsidRDefault="001B04E2" w:rsidP="00853E3A">
      <w:pPr>
        <w:pStyle w:val="SingleTxtG"/>
        <w:rPr>
          <w:b/>
        </w:rPr>
      </w:pPr>
      <w:r>
        <w:rPr>
          <w:b/>
        </w:rPr>
        <w:tab/>
      </w:r>
      <w:r w:rsidRPr="00796971">
        <w:rPr>
          <w:bCs/>
        </w:rPr>
        <w:t>(b)</w:t>
      </w:r>
      <w:r w:rsidRPr="001B04E2">
        <w:rPr>
          <w:b/>
        </w:rPr>
        <w:tab/>
      </w:r>
      <w:r w:rsidR="00234FA0">
        <w:rPr>
          <w:b/>
        </w:rPr>
        <w:t>P</w:t>
      </w:r>
      <w:r w:rsidR="00E43804" w:rsidRPr="001B04E2">
        <w:rPr>
          <w:b/>
        </w:rPr>
        <w:t xml:space="preserve">rovide detailed information, in its next periodic report, on the outcomes of the Children’s Action Plan and the review of </w:t>
      </w:r>
      <w:r w:rsidR="00853E3A">
        <w:rPr>
          <w:b/>
        </w:rPr>
        <w:t xml:space="preserve">the </w:t>
      </w:r>
      <w:r w:rsidR="00E43804" w:rsidRPr="001B04E2">
        <w:rPr>
          <w:b/>
        </w:rPr>
        <w:t xml:space="preserve">Child, Youth and Family agency, as well as on the measures taken in order to increase the efficiency and quality </w:t>
      </w:r>
      <w:r w:rsidR="00853E3A">
        <w:rPr>
          <w:b/>
        </w:rPr>
        <w:t>of</w:t>
      </w:r>
      <w:r w:rsidR="00E43804" w:rsidRPr="001B04E2">
        <w:rPr>
          <w:b/>
        </w:rPr>
        <w:t xml:space="preserve"> the child and youth protection and rehabilitation services</w:t>
      </w:r>
      <w:r w:rsidR="00853E3A">
        <w:rPr>
          <w:b/>
        </w:rPr>
        <w:t xml:space="preserve"> that are </w:t>
      </w:r>
      <w:r w:rsidR="00853E3A" w:rsidRPr="001B04E2">
        <w:rPr>
          <w:b/>
        </w:rPr>
        <w:t>provided</w:t>
      </w:r>
      <w:r w:rsidR="00234FA0">
        <w:rPr>
          <w:b/>
        </w:rPr>
        <w:t>;</w:t>
      </w:r>
    </w:p>
    <w:p w:rsidR="00E43804" w:rsidRPr="001B04E2" w:rsidRDefault="001B04E2" w:rsidP="0057028D">
      <w:pPr>
        <w:pStyle w:val="SingleTxtG"/>
        <w:rPr>
          <w:b/>
        </w:rPr>
      </w:pPr>
      <w:r>
        <w:rPr>
          <w:b/>
        </w:rPr>
        <w:tab/>
      </w:r>
      <w:r w:rsidRPr="00796971">
        <w:rPr>
          <w:bCs/>
        </w:rPr>
        <w:t>(c)</w:t>
      </w:r>
      <w:r w:rsidRPr="001B04E2">
        <w:rPr>
          <w:b/>
        </w:rPr>
        <w:tab/>
      </w:r>
      <w:r w:rsidR="00234FA0">
        <w:rPr>
          <w:b/>
        </w:rPr>
        <w:t>E</w:t>
      </w:r>
      <w:r w:rsidR="00E43804" w:rsidRPr="001B04E2">
        <w:rPr>
          <w:b/>
        </w:rPr>
        <w:t xml:space="preserve">nsure that all appropriate measures are taken, including </w:t>
      </w:r>
      <w:r w:rsidR="00853E3A">
        <w:rPr>
          <w:b/>
        </w:rPr>
        <w:t xml:space="preserve">conducting </w:t>
      </w:r>
      <w:r w:rsidR="005C19C6" w:rsidRPr="001B04E2">
        <w:rPr>
          <w:b/>
        </w:rPr>
        <w:t>awareness-</w:t>
      </w:r>
      <w:r w:rsidR="00E43804" w:rsidRPr="001B04E2">
        <w:rPr>
          <w:b/>
        </w:rPr>
        <w:t>raising programme</w:t>
      </w:r>
      <w:r w:rsidR="0026228A" w:rsidRPr="001B04E2">
        <w:rPr>
          <w:b/>
        </w:rPr>
        <w:t>s</w:t>
      </w:r>
      <w:r w:rsidR="00E43804" w:rsidRPr="001B04E2">
        <w:rPr>
          <w:b/>
        </w:rPr>
        <w:t xml:space="preserve"> </w:t>
      </w:r>
      <w:r w:rsidR="00853E3A">
        <w:rPr>
          <w:b/>
        </w:rPr>
        <w:t>in</w:t>
      </w:r>
      <w:r w:rsidR="00E43804" w:rsidRPr="001B04E2">
        <w:rPr>
          <w:b/>
        </w:rPr>
        <w:t xml:space="preserve"> school</w:t>
      </w:r>
      <w:r w:rsidR="00853E3A">
        <w:rPr>
          <w:b/>
        </w:rPr>
        <w:t>s</w:t>
      </w:r>
      <w:r w:rsidR="00E43804" w:rsidRPr="001B04E2">
        <w:rPr>
          <w:b/>
        </w:rPr>
        <w:t xml:space="preserve">, to prevent the recurrence of events </w:t>
      </w:r>
      <w:r w:rsidR="0057028D">
        <w:rPr>
          <w:b/>
        </w:rPr>
        <w:t xml:space="preserve">such as those that </w:t>
      </w:r>
      <w:r w:rsidR="00853E3A">
        <w:rPr>
          <w:b/>
        </w:rPr>
        <w:t>took place</w:t>
      </w:r>
      <w:r w:rsidR="00E43804" w:rsidRPr="001B04E2">
        <w:rPr>
          <w:b/>
        </w:rPr>
        <w:t xml:space="preserve"> in the Roast Busters case.</w:t>
      </w:r>
    </w:p>
    <w:p w:rsidR="00FF544D" w:rsidRDefault="001B04E2" w:rsidP="00C164E2">
      <w:pPr>
        <w:pStyle w:val="H23G"/>
      </w:pPr>
      <w:r>
        <w:tab/>
      </w:r>
      <w:r>
        <w:tab/>
      </w:r>
      <w:r w:rsidR="00FF544D" w:rsidRPr="00B55FC9">
        <w:t>Electro-muscular disruption devices</w:t>
      </w:r>
      <w:r w:rsidR="004C714E">
        <w:t>, such as</w:t>
      </w:r>
      <w:r w:rsidR="00FF544D" w:rsidRPr="00B55FC9">
        <w:t xml:space="preserve"> </w:t>
      </w:r>
      <w:proofErr w:type="spellStart"/>
      <w:r w:rsidR="00C164E2" w:rsidRPr="00B55FC9">
        <w:t>taser</w:t>
      </w:r>
      <w:r w:rsidR="00FF544D" w:rsidRPr="00B55FC9">
        <w:t>s</w:t>
      </w:r>
      <w:proofErr w:type="spellEnd"/>
    </w:p>
    <w:p w:rsidR="00FF544D" w:rsidRDefault="00962F63" w:rsidP="00962F63">
      <w:pPr>
        <w:pStyle w:val="SingleTxtG"/>
      </w:pPr>
      <w:r>
        <w:t>33.</w:t>
      </w:r>
      <w:r>
        <w:tab/>
      </w:r>
      <w:r w:rsidR="00FF544D">
        <w:t>The Committee is concerned a</w:t>
      </w:r>
      <w:r w:rsidR="00FC466B">
        <w:t>bou</w:t>
      </w:r>
      <w:r w:rsidR="00FF544D">
        <w:t>t information received regarding the systematic equipment of front</w:t>
      </w:r>
      <w:r w:rsidR="00B55FC9">
        <w:t>-</w:t>
      </w:r>
      <w:r w:rsidR="00FF544D">
        <w:t xml:space="preserve">line law enforcement officers with </w:t>
      </w:r>
      <w:r w:rsidR="00FF544D" w:rsidRPr="004C714E">
        <w:t>electro-muscular disruption devices</w:t>
      </w:r>
      <w:r w:rsidR="004C714E" w:rsidRPr="004C714E">
        <w:t>, such as</w:t>
      </w:r>
      <w:r w:rsidR="00FF544D" w:rsidRPr="004C714E">
        <w:t xml:space="preserve"> </w:t>
      </w:r>
      <w:proofErr w:type="spellStart"/>
      <w:r w:rsidR="00C164E2" w:rsidRPr="004C714E">
        <w:t>taser</w:t>
      </w:r>
      <w:r w:rsidR="00FF544D" w:rsidRPr="004C714E">
        <w:t>s</w:t>
      </w:r>
      <w:proofErr w:type="spellEnd"/>
      <w:r w:rsidR="004C714E">
        <w:t>,</w:t>
      </w:r>
      <w:r w:rsidR="00FF544D">
        <w:t xml:space="preserve"> and about the absence of information in the State party’s report about rules and guidelines governing the use of such equipment (arts. 6 and</w:t>
      </w:r>
      <w:r w:rsidR="00920A6B">
        <w:t> </w:t>
      </w:r>
      <w:r w:rsidR="00FF544D">
        <w:t>7)</w:t>
      </w:r>
      <w:r w:rsidR="00FF6F5A">
        <w:t>.</w:t>
      </w:r>
    </w:p>
    <w:p w:rsidR="00FF544D" w:rsidRPr="00796971" w:rsidRDefault="00962F63" w:rsidP="00962F63">
      <w:pPr>
        <w:pStyle w:val="SingleTxtG"/>
      </w:pPr>
      <w:r w:rsidRPr="00796971">
        <w:t>34.</w:t>
      </w:r>
      <w:r w:rsidRPr="00796971">
        <w:tab/>
      </w:r>
      <w:r w:rsidR="00FF544D" w:rsidRPr="001B04E2">
        <w:rPr>
          <w:b/>
        </w:rPr>
        <w:t>The Committee reiterates its previous recommendation (CCPR/C/NZL/CO/5, para.</w:t>
      </w:r>
      <w:r w:rsidR="00920A6B">
        <w:rPr>
          <w:b/>
        </w:rPr>
        <w:t> </w:t>
      </w:r>
      <w:r w:rsidR="00FF544D" w:rsidRPr="001B04E2">
        <w:rPr>
          <w:b/>
        </w:rPr>
        <w:t xml:space="preserve">10) and calls on the State party to re-evaluate its policies on the use of </w:t>
      </w:r>
      <w:r w:rsidR="00FF544D" w:rsidRPr="004C714E">
        <w:rPr>
          <w:b/>
        </w:rPr>
        <w:t>electro-muscular disruption devices</w:t>
      </w:r>
      <w:r w:rsidR="004C714E">
        <w:rPr>
          <w:b/>
        </w:rPr>
        <w:t>, such as</w:t>
      </w:r>
      <w:r w:rsidR="00FF544D" w:rsidRPr="004C714E">
        <w:rPr>
          <w:b/>
        </w:rPr>
        <w:t xml:space="preserve"> </w:t>
      </w:r>
      <w:proofErr w:type="spellStart"/>
      <w:r w:rsidR="00C164E2" w:rsidRPr="004C714E">
        <w:rPr>
          <w:b/>
        </w:rPr>
        <w:t>taser</w:t>
      </w:r>
      <w:r w:rsidR="00FF544D" w:rsidRPr="004C714E">
        <w:rPr>
          <w:b/>
        </w:rPr>
        <w:t>s</w:t>
      </w:r>
      <w:proofErr w:type="spellEnd"/>
      <w:r w:rsidR="00FF544D" w:rsidRPr="001B04E2">
        <w:rPr>
          <w:b/>
        </w:rPr>
        <w:t>, with a view to minimiz</w:t>
      </w:r>
      <w:r w:rsidR="00216ED0" w:rsidRPr="001B04E2">
        <w:rPr>
          <w:rFonts w:hint="eastAsia"/>
          <w:b/>
          <w:lang w:eastAsia="ja-JP"/>
        </w:rPr>
        <w:t>ing</w:t>
      </w:r>
      <w:r w:rsidR="00FF544D" w:rsidRPr="001B04E2">
        <w:rPr>
          <w:b/>
        </w:rPr>
        <w:t xml:space="preserve"> the </w:t>
      </w:r>
      <w:r w:rsidR="00E23B05" w:rsidRPr="001B04E2">
        <w:rPr>
          <w:b/>
        </w:rPr>
        <w:t>use and</w:t>
      </w:r>
      <w:r w:rsidR="00FF544D" w:rsidRPr="001B04E2">
        <w:rPr>
          <w:b/>
        </w:rPr>
        <w:t xml:space="preserve"> eff</w:t>
      </w:r>
      <w:r w:rsidR="009F7DF2">
        <w:rPr>
          <w:b/>
        </w:rPr>
        <w:t>ects of th</w:t>
      </w:r>
      <w:r w:rsidR="00105E85">
        <w:rPr>
          <w:b/>
        </w:rPr>
        <w:t>e</w:t>
      </w:r>
      <w:r w:rsidR="009F7DF2">
        <w:rPr>
          <w:b/>
        </w:rPr>
        <w:t>s</w:t>
      </w:r>
      <w:r w:rsidR="00105E85">
        <w:rPr>
          <w:b/>
        </w:rPr>
        <w:t>e</w:t>
      </w:r>
      <w:r w:rsidR="009F7DF2">
        <w:rPr>
          <w:b/>
        </w:rPr>
        <w:t xml:space="preserve"> </w:t>
      </w:r>
      <w:r w:rsidR="00105E85">
        <w:rPr>
          <w:b/>
        </w:rPr>
        <w:t>“</w:t>
      </w:r>
      <w:r w:rsidR="009F7DF2">
        <w:rPr>
          <w:b/>
        </w:rPr>
        <w:t>less-lethal weapon</w:t>
      </w:r>
      <w:r w:rsidR="004C714E">
        <w:rPr>
          <w:b/>
        </w:rPr>
        <w:t>s</w:t>
      </w:r>
      <w:r w:rsidR="0057028D">
        <w:rPr>
          <w:b/>
        </w:rPr>
        <w:t>”</w:t>
      </w:r>
      <w:r w:rsidR="00210C9A">
        <w:rPr>
          <w:b/>
        </w:rPr>
        <w:t>, and ensuring</w:t>
      </w:r>
      <w:r w:rsidR="009F7DF2">
        <w:rPr>
          <w:b/>
        </w:rPr>
        <w:t xml:space="preserve"> consistency with the Basic Principles on the Use of Force and Firearms by Law Enforcement Officials.</w:t>
      </w:r>
      <w:r w:rsidR="000A4E21">
        <w:rPr>
          <w:b/>
        </w:rPr>
        <w:t xml:space="preserve"> </w:t>
      </w:r>
      <w:r w:rsidR="00FF544D" w:rsidRPr="001B04E2">
        <w:rPr>
          <w:b/>
        </w:rPr>
        <w:t xml:space="preserve">The State party </w:t>
      </w:r>
      <w:r w:rsidR="00216ED0" w:rsidRPr="001B04E2">
        <w:rPr>
          <w:rFonts w:hint="eastAsia"/>
          <w:b/>
          <w:lang w:eastAsia="ja-JP"/>
        </w:rPr>
        <w:t xml:space="preserve">should </w:t>
      </w:r>
      <w:r w:rsidR="005C4664">
        <w:rPr>
          <w:b/>
          <w:lang w:eastAsia="ja-JP"/>
        </w:rPr>
        <w:t xml:space="preserve">consider </w:t>
      </w:r>
      <w:r w:rsidR="00FF544D" w:rsidRPr="001B04E2">
        <w:rPr>
          <w:b/>
        </w:rPr>
        <w:t>equip</w:t>
      </w:r>
      <w:r w:rsidR="005C4664">
        <w:rPr>
          <w:b/>
        </w:rPr>
        <w:t>ping</w:t>
      </w:r>
      <w:r w:rsidR="00FF544D" w:rsidRPr="001B04E2">
        <w:rPr>
          <w:b/>
        </w:rPr>
        <w:t xml:space="preserve"> law enforcement officers with body-mounted cameras in order to better monitor the deployment of all tactical options, including </w:t>
      </w:r>
      <w:proofErr w:type="spellStart"/>
      <w:r w:rsidR="00C164E2" w:rsidRPr="001B04E2">
        <w:rPr>
          <w:b/>
        </w:rPr>
        <w:t>taser</w:t>
      </w:r>
      <w:r w:rsidR="00FF544D" w:rsidRPr="001B04E2">
        <w:rPr>
          <w:b/>
        </w:rPr>
        <w:t>s</w:t>
      </w:r>
      <w:proofErr w:type="spellEnd"/>
      <w:r w:rsidR="00FF544D" w:rsidRPr="001B04E2">
        <w:rPr>
          <w:b/>
        </w:rPr>
        <w:t>.</w:t>
      </w:r>
    </w:p>
    <w:p w:rsidR="00FF544D" w:rsidRDefault="001B04E2" w:rsidP="00E47B3F">
      <w:pPr>
        <w:pStyle w:val="H23G"/>
      </w:pPr>
      <w:r>
        <w:tab/>
      </w:r>
      <w:r>
        <w:tab/>
      </w:r>
      <w:r w:rsidR="00FF544D">
        <w:t xml:space="preserve">Immigration and </w:t>
      </w:r>
      <w:r w:rsidR="00E47B3F">
        <w:t>a</w:t>
      </w:r>
      <w:r w:rsidR="00FF544D">
        <w:t xml:space="preserve">sylum </w:t>
      </w:r>
      <w:r w:rsidR="00E47B3F">
        <w:t>p</w:t>
      </w:r>
      <w:r w:rsidR="00FF544D">
        <w:t>rocess</w:t>
      </w:r>
    </w:p>
    <w:p w:rsidR="00FF544D" w:rsidRDefault="00962F63" w:rsidP="00962F63">
      <w:pPr>
        <w:pStyle w:val="SingleTxtG"/>
      </w:pPr>
      <w:r>
        <w:t>35.</w:t>
      </w:r>
      <w:r>
        <w:tab/>
      </w:r>
      <w:r w:rsidR="00FF544D">
        <w:t>The Committee is concern</w:t>
      </w:r>
      <w:r w:rsidR="00B55FC9">
        <w:t>ed</w:t>
      </w:r>
      <w:r w:rsidR="00FF544D">
        <w:t xml:space="preserve"> </w:t>
      </w:r>
      <w:r w:rsidR="00B55FC9">
        <w:t>that</w:t>
      </w:r>
      <w:r w:rsidR="00FF544D">
        <w:t xml:space="preserve"> the </w:t>
      </w:r>
      <w:r w:rsidR="00F70F74">
        <w:t xml:space="preserve">State party’s </w:t>
      </w:r>
      <w:r w:rsidR="00FF544D">
        <w:t>immigration legislation allow</w:t>
      </w:r>
      <w:r w:rsidR="00B55FC9">
        <w:t>s</w:t>
      </w:r>
      <w:r w:rsidR="00FF544D">
        <w:t xml:space="preserve"> </w:t>
      </w:r>
      <w:r w:rsidR="00B55FC9">
        <w:t xml:space="preserve">for </w:t>
      </w:r>
      <w:r w:rsidR="00FF544D">
        <w:t>the disclosure of a claimant’s information to third parties, including the claimant’s country of origin</w:t>
      </w:r>
      <w:r w:rsidR="00F70F74">
        <w:t>,</w:t>
      </w:r>
      <w:r w:rsidR="00FF544D">
        <w:rPr>
          <w:lang w:eastAsia="ja-JP"/>
        </w:rPr>
        <w:t xml:space="preserve"> and </w:t>
      </w:r>
      <w:r w:rsidR="00B55FC9">
        <w:rPr>
          <w:lang w:eastAsia="ja-JP"/>
        </w:rPr>
        <w:t>that</w:t>
      </w:r>
      <w:r w:rsidR="00FF544D">
        <w:t xml:space="preserve"> the</w:t>
      </w:r>
      <w:r w:rsidR="00F70F74">
        <w:t>re are</w:t>
      </w:r>
      <w:r w:rsidR="00FF544D">
        <w:t xml:space="preserve"> differences in treatment </w:t>
      </w:r>
      <w:r w:rsidR="00CE74B9">
        <w:t>between</w:t>
      </w:r>
      <w:r w:rsidR="00FF544D">
        <w:t xml:space="preserve"> </w:t>
      </w:r>
      <w:r w:rsidR="00767229">
        <w:t xml:space="preserve">some categories of </w:t>
      </w:r>
      <w:r w:rsidR="00FF544D">
        <w:t>refugees a</w:t>
      </w:r>
      <w:r w:rsidR="00CE74B9">
        <w:t>nd</w:t>
      </w:r>
      <w:r w:rsidR="00FF544D">
        <w:t xml:space="preserve"> those </w:t>
      </w:r>
      <w:r w:rsidR="00CE74B9">
        <w:t xml:space="preserve">who </w:t>
      </w:r>
      <w:r w:rsidR="00FF544D">
        <w:t>arriv</w:t>
      </w:r>
      <w:r w:rsidR="00CE74B9">
        <w:t>e</w:t>
      </w:r>
      <w:r w:rsidR="00FF544D">
        <w:t xml:space="preserve"> </w:t>
      </w:r>
      <w:r w:rsidR="00CE74B9">
        <w:t>under</w:t>
      </w:r>
      <w:r w:rsidR="00FF544D">
        <w:t xml:space="preserve"> the refugee quota programme</w:t>
      </w:r>
      <w:r w:rsidR="006A64D0">
        <w:t xml:space="preserve"> of </w:t>
      </w:r>
      <w:r w:rsidR="006A64D0" w:rsidRPr="00CE74B9">
        <w:t xml:space="preserve">the </w:t>
      </w:r>
      <w:r w:rsidR="00CE74B9" w:rsidRPr="00CE74B9">
        <w:t>Office of the United Nations High Commissioner for Refugees</w:t>
      </w:r>
      <w:r w:rsidR="00FF544D">
        <w:t>. The Committee notes the State party’s intention to interview children as part of the refugee determination</w:t>
      </w:r>
      <w:r w:rsidR="00D56035">
        <w:t xml:space="preserve"> process</w:t>
      </w:r>
      <w:r w:rsidR="00FF544D">
        <w:t>, a practice which may negative</w:t>
      </w:r>
      <w:r w:rsidR="00FF544D">
        <w:rPr>
          <w:lang w:eastAsia="ja-JP"/>
        </w:rPr>
        <w:t>ly</w:t>
      </w:r>
      <w:r w:rsidR="00FF544D">
        <w:t xml:space="preserve"> </w:t>
      </w:r>
      <w:r w:rsidR="00FF544D">
        <w:rPr>
          <w:lang w:eastAsia="ja-JP"/>
        </w:rPr>
        <w:t>a</w:t>
      </w:r>
      <w:r w:rsidR="00767229">
        <w:t>ffect children (art</w:t>
      </w:r>
      <w:r w:rsidR="0051348F">
        <w:t>s</w:t>
      </w:r>
      <w:r w:rsidR="00767229">
        <w:t>. 17 and 24</w:t>
      </w:r>
      <w:r w:rsidR="00FF544D">
        <w:t>)</w:t>
      </w:r>
      <w:r w:rsidR="00C558A0">
        <w:t>.</w:t>
      </w:r>
    </w:p>
    <w:p w:rsidR="00FF544D" w:rsidRPr="00796971" w:rsidRDefault="00962F63" w:rsidP="00962F63">
      <w:pPr>
        <w:pStyle w:val="SingleTxtG"/>
      </w:pPr>
      <w:r w:rsidRPr="00796971">
        <w:t>36.</w:t>
      </w:r>
      <w:r w:rsidRPr="00796971">
        <w:tab/>
      </w:r>
      <w:r w:rsidR="00FF544D" w:rsidRPr="001B04E2">
        <w:rPr>
          <w:b/>
        </w:rPr>
        <w:t xml:space="preserve">The State party </w:t>
      </w:r>
      <w:r w:rsidR="00FF544D" w:rsidRPr="001B04E2">
        <w:rPr>
          <w:b/>
          <w:lang w:eastAsia="ja-JP"/>
        </w:rPr>
        <w:t xml:space="preserve">should </w:t>
      </w:r>
      <w:r w:rsidR="00FF544D" w:rsidRPr="001B04E2">
        <w:rPr>
          <w:b/>
        </w:rPr>
        <w:t>take all appropriate measures to:</w:t>
      </w:r>
    </w:p>
    <w:p w:rsidR="00FF544D" w:rsidRPr="001B04E2" w:rsidRDefault="001B04E2" w:rsidP="00CE74B9">
      <w:pPr>
        <w:pStyle w:val="SingleTxtG"/>
        <w:rPr>
          <w:b/>
        </w:rPr>
      </w:pPr>
      <w:r>
        <w:rPr>
          <w:b/>
        </w:rPr>
        <w:tab/>
      </w:r>
      <w:r w:rsidRPr="00796971">
        <w:rPr>
          <w:bCs/>
        </w:rPr>
        <w:t>(a)</w:t>
      </w:r>
      <w:r w:rsidRPr="00796971">
        <w:rPr>
          <w:bCs/>
        </w:rPr>
        <w:tab/>
      </w:r>
      <w:r w:rsidR="00C558A0">
        <w:rPr>
          <w:b/>
        </w:rPr>
        <w:t>E</w:t>
      </w:r>
      <w:r w:rsidR="00FF544D" w:rsidRPr="001B04E2">
        <w:rPr>
          <w:b/>
        </w:rPr>
        <w:t xml:space="preserve">nsure that the legal and policy framework </w:t>
      </w:r>
      <w:r w:rsidR="00CE74B9">
        <w:rPr>
          <w:b/>
        </w:rPr>
        <w:t>on</w:t>
      </w:r>
      <w:r w:rsidR="00CE74B9" w:rsidRPr="001B04E2">
        <w:rPr>
          <w:b/>
        </w:rPr>
        <w:t xml:space="preserve"> immigration </w:t>
      </w:r>
      <w:r w:rsidR="00FF544D" w:rsidRPr="001B04E2">
        <w:rPr>
          <w:b/>
        </w:rPr>
        <w:t>does not breach the State party’s obligations</w:t>
      </w:r>
      <w:r w:rsidR="00FF544D" w:rsidRPr="001B04E2">
        <w:rPr>
          <w:b/>
          <w:lang w:eastAsia="ja-JP"/>
        </w:rPr>
        <w:t xml:space="preserve"> under </w:t>
      </w:r>
      <w:r w:rsidR="00FF544D" w:rsidRPr="001B04E2">
        <w:rPr>
          <w:b/>
        </w:rPr>
        <w:t>the Covenant;</w:t>
      </w:r>
    </w:p>
    <w:p w:rsidR="00FF544D" w:rsidRPr="001B04E2" w:rsidRDefault="001B04E2">
      <w:pPr>
        <w:pStyle w:val="SingleTxtG"/>
        <w:rPr>
          <w:b/>
        </w:rPr>
      </w:pPr>
      <w:r>
        <w:rPr>
          <w:b/>
        </w:rPr>
        <w:tab/>
      </w:r>
      <w:r w:rsidRPr="00796971">
        <w:rPr>
          <w:bCs/>
        </w:rPr>
        <w:t>(b)</w:t>
      </w:r>
      <w:r w:rsidRPr="001B04E2">
        <w:rPr>
          <w:b/>
        </w:rPr>
        <w:tab/>
      </w:r>
      <w:r w:rsidR="00C558A0" w:rsidRPr="001D5C44">
        <w:rPr>
          <w:b/>
        </w:rPr>
        <w:t>E</w:t>
      </w:r>
      <w:r w:rsidR="00FF544D" w:rsidRPr="001D5C44">
        <w:rPr>
          <w:b/>
        </w:rPr>
        <w:t xml:space="preserve">nsure that </w:t>
      </w:r>
      <w:r w:rsidR="001D5C44" w:rsidRPr="001D5C44">
        <w:rPr>
          <w:b/>
        </w:rPr>
        <w:t>claimants</w:t>
      </w:r>
      <w:r w:rsidR="001D5C44">
        <w:rPr>
          <w:b/>
        </w:rPr>
        <w:t>’</w:t>
      </w:r>
      <w:r w:rsidR="001D5C44" w:rsidRPr="001D5C44">
        <w:rPr>
          <w:b/>
        </w:rPr>
        <w:t xml:space="preserve"> right</w:t>
      </w:r>
      <w:r w:rsidR="001D5C44">
        <w:rPr>
          <w:b/>
        </w:rPr>
        <w:t>s</w:t>
      </w:r>
      <w:r w:rsidR="001D5C44" w:rsidRPr="001D5C44">
        <w:rPr>
          <w:b/>
        </w:rPr>
        <w:t xml:space="preserve"> to privacy and confidentiality</w:t>
      </w:r>
      <w:r w:rsidR="001D5C44">
        <w:rPr>
          <w:b/>
        </w:rPr>
        <w:t xml:space="preserve"> are guaranteed in </w:t>
      </w:r>
      <w:r w:rsidR="00FF544D" w:rsidRPr="001D5C44">
        <w:rPr>
          <w:b/>
        </w:rPr>
        <w:t xml:space="preserve">the </w:t>
      </w:r>
      <w:r w:rsidR="001D5C44">
        <w:rPr>
          <w:b/>
        </w:rPr>
        <w:t xml:space="preserve">process of </w:t>
      </w:r>
      <w:r w:rsidR="00FF544D" w:rsidRPr="001D5C44">
        <w:rPr>
          <w:b/>
        </w:rPr>
        <w:t>veri</w:t>
      </w:r>
      <w:r w:rsidR="001D5C44">
        <w:rPr>
          <w:b/>
        </w:rPr>
        <w:t>fying their</w:t>
      </w:r>
      <w:r w:rsidR="00FF544D" w:rsidRPr="001D5C44">
        <w:rPr>
          <w:b/>
        </w:rPr>
        <w:t xml:space="preserve"> information, especially when </w:t>
      </w:r>
      <w:r w:rsidR="00FF544D" w:rsidRPr="001D5C44">
        <w:rPr>
          <w:b/>
          <w:lang w:eastAsia="ja-JP"/>
        </w:rPr>
        <w:t>t</w:t>
      </w:r>
      <w:r w:rsidR="001D5C44">
        <w:rPr>
          <w:b/>
          <w:lang w:eastAsia="ja-JP"/>
        </w:rPr>
        <w:t>he process</w:t>
      </w:r>
      <w:r w:rsidR="00FF544D" w:rsidRPr="001D5C44">
        <w:rPr>
          <w:b/>
        </w:rPr>
        <w:t xml:space="preserve"> involves disclosure of information to third parties, including claimants</w:t>
      </w:r>
      <w:r w:rsidR="001D5C44">
        <w:rPr>
          <w:b/>
        </w:rPr>
        <w:t>’</w:t>
      </w:r>
      <w:r w:rsidR="00FF544D" w:rsidRPr="001D5C44">
        <w:rPr>
          <w:b/>
        </w:rPr>
        <w:t xml:space="preserve"> country</w:t>
      </w:r>
      <w:r w:rsidR="00FF544D" w:rsidRPr="001B04E2">
        <w:rPr>
          <w:b/>
        </w:rPr>
        <w:t xml:space="preserve"> of origin;</w:t>
      </w:r>
    </w:p>
    <w:p w:rsidR="00FF544D" w:rsidRPr="001B04E2" w:rsidRDefault="001B04E2" w:rsidP="001D5C44">
      <w:pPr>
        <w:pStyle w:val="SingleTxtG"/>
        <w:rPr>
          <w:b/>
        </w:rPr>
      </w:pPr>
      <w:r>
        <w:rPr>
          <w:b/>
        </w:rPr>
        <w:tab/>
      </w:r>
      <w:r w:rsidRPr="00796971">
        <w:rPr>
          <w:bCs/>
        </w:rPr>
        <w:t>(c)</w:t>
      </w:r>
      <w:r w:rsidRPr="001B04E2">
        <w:rPr>
          <w:b/>
        </w:rPr>
        <w:tab/>
      </w:r>
      <w:r w:rsidR="00C558A0">
        <w:rPr>
          <w:b/>
        </w:rPr>
        <w:t>E</w:t>
      </w:r>
      <w:r w:rsidR="00FF544D" w:rsidRPr="001B04E2">
        <w:rPr>
          <w:b/>
        </w:rPr>
        <w:t xml:space="preserve">nsure that any policy to interview children as part of the refugee determination </w:t>
      </w:r>
      <w:r w:rsidR="00D56035">
        <w:rPr>
          <w:b/>
        </w:rPr>
        <w:t xml:space="preserve">process </w:t>
      </w:r>
      <w:r w:rsidR="00FF544D" w:rsidRPr="001B04E2">
        <w:rPr>
          <w:b/>
        </w:rPr>
        <w:t xml:space="preserve">is restricted to situations </w:t>
      </w:r>
      <w:r w:rsidR="001D5C44">
        <w:rPr>
          <w:b/>
        </w:rPr>
        <w:t xml:space="preserve">in </w:t>
      </w:r>
      <w:r w:rsidR="00FF544D" w:rsidRPr="001B04E2">
        <w:rPr>
          <w:b/>
        </w:rPr>
        <w:t>wh</w:t>
      </w:r>
      <w:r w:rsidR="001D5C44">
        <w:rPr>
          <w:b/>
        </w:rPr>
        <w:t>ich</w:t>
      </w:r>
      <w:r w:rsidR="00FF544D" w:rsidRPr="001B04E2">
        <w:rPr>
          <w:b/>
        </w:rPr>
        <w:t xml:space="preserve"> </w:t>
      </w:r>
      <w:r w:rsidR="001D5C44">
        <w:rPr>
          <w:b/>
        </w:rPr>
        <w:t>such interviews</w:t>
      </w:r>
      <w:r w:rsidR="00FF544D" w:rsidRPr="001B04E2">
        <w:rPr>
          <w:b/>
        </w:rPr>
        <w:t xml:space="preserve"> </w:t>
      </w:r>
      <w:r w:rsidR="001D5C44">
        <w:rPr>
          <w:b/>
        </w:rPr>
        <w:t>are</w:t>
      </w:r>
      <w:r w:rsidR="00FF544D" w:rsidRPr="001B04E2">
        <w:rPr>
          <w:b/>
        </w:rPr>
        <w:t xml:space="preserve"> necessary to determine the child’s claim and the child has expressed a desire to be heard.</w:t>
      </w:r>
    </w:p>
    <w:p w:rsidR="00FF544D" w:rsidRDefault="001B04E2" w:rsidP="001B04E2">
      <w:pPr>
        <w:pStyle w:val="H23G"/>
      </w:pPr>
      <w:r>
        <w:tab/>
      </w:r>
      <w:r>
        <w:tab/>
      </w:r>
      <w:r w:rsidR="00FF544D">
        <w:t xml:space="preserve">Detention of </w:t>
      </w:r>
      <w:r w:rsidR="00AA2B76">
        <w:t xml:space="preserve">migrants </w:t>
      </w:r>
      <w:r w:rsidR="00FF544D">
        <w:t>and asylum seekers</w:t>
      </w:r>
    </w:p>
    <w:p w:rsidR="00FF544D" w:rsidRDefault="00962F63" w:rsidP="00962F63">
      <w:pPr>
        <w:pStyle w:val="SingleTxtG"/>
      </w:pPr>
      <w:r>
        <w:t>37.</w:t>
      </w:r>
      <w:r>
        <w:tab/>
      </w:r>
      <w:r w:rsidR="00FF544D">
        <w:t xml:space="preserve">The Committee </w:t>
      </w:r>
      <w:r w:rsidR="00FF544D">
        <w:rPr>
          <w:lang w:eastAsia="ja-JP"/>
        </w:rPr>
        <w:t>is</w:t>
      </w:r>
      <w:r w:rsidR="00FF544D">
        <w:t xml:space="preserve"> concerned that the Immigration Amendment Act 2013 provides for the detention of mass arrivals, defined as the arriv</w:t>
      </w:r>
      <w:r w:rsidR="001D5C44">
        <w:t>al</w:t>
      </w:r>
      <w:r w:rsidR="00FF544D">
        <w:t xml:space="preserve"> </w:t>
      </w:r>
      <w:r w:rsidR="001D5C44">
        <w:t>of</w:t>
      </w:r>
      <w:r w:rsidR="00FF544D">
        <w:t xml:space="preserve"> group</w:t>
      </w:r>
      <w:r w:rsidR="001D5C44">
        <w:t>s</w:t>
      </w:r>
      <w:r w:rsidR="00FF544D">
        <w:t xml:space="preserve"> of </w:t>
      </w:r>
      <w:r w:rsidR="00FF544D">
        <w:rPr>
          <w:lang w:eastAsia="ja-JP"/>
        </w:rPr>
        <w:t xml:space="preserve">30 or </w:t>
      </w:r>
      <w:r w:rsidR="00FF544D">
        <w:t xml:space="preserve">more </w:t>
      </w:r>
      <w:r w:rsidR="00FF544D">
        <w:rPr>
          <w:lang w:eastAsia="ja-JP"/>
        </w:rPr>
        <w:t>persons</w:t>
      </w:r>
      <w:r w:rsidR="00FF544D">
        <w:t xml:space="preserve">, for an initial period of up to 6 </w:t>
      </w:r>
      <w:r w:rsidR="006F23F8">
        <w:t>months, renewable every 28 days</w:t>
      </w:r>
      <w:r w:rsidR="00FF544D">
        <w:t xml:space="preserve">. The Committee is </w:t>
      </w:r>
      <w:r w:rsidR="001D5C44">
        <w:t>also</w:t>
      </w:r>
      <w:r w:rsidR="00FF544D">
        <w:t xml:space="preserve"> concerned that police facilities are used for immigration purposes</w:t>
      </w:r>
      <w:r w:rsidR="00467980">
        <w:t>,</w:t>
      </w:r>
      <w:r w:rsidR="00AA2B76">
        <w:rPr>
          <w:lang w:eastAsia="ja-JP"/>
        </w:rPr>
        <w:t xml:space="preserve"> and</w:t>
      </w:r>
      <w:r w:rsidR="00FF544D">
        <w:t xml:space="preserve"> </w:t>
      </w:r>
      <w:r w:rsidR="001D5C44">
        <w:t>that</w:t>
      </w:r>
      <w:r w:rsidR="00FF544D">
        <w:t xml:space="preserve"> </w:t>
      </w:r>
      <w:r w:rsidR="00AA2B76">
        <w:t xml:space="preserve">migrants </w:t>
      </w:r>
      <w:r w:rsidR="00FF544D">
        <w:t xml:space="preserve">and asylum seekers are not separated from the rest of </w:t>
      </w:r>
      <w:r w:rsidR="001D5C44">
        <w:t xml:space="preserve">the </w:t>
      </w:r>
      <w:r w:rsidR="00FF544D">
        <w:t>detaine</w:t>
      </w:r>
      <w:r w:rsidR="001D5C44">
        <w:t>e</w:t>
      </w:r>
      <w:r w:rsidR="00FF544D">
        <w:t xml:space="preserve"> population (art. </w:t>
      </w:r>
      <w:r w:rsidR="00AB2B68">
        <w:t>9</w:t>
      </w:r>
      <w:r w:rsidR="00FF544D">
        <w:t>)</w:t>
      </w:r>
      <w:r w:rsidR="00BB55A7">
        <w:t>.</w:t>
      </w:r>
    </w:p>
    <w:p w:rsidR="00FF544D" w:rsidRPr="00796971" w:rsidRDefault="00962F63" w:rsidP="00962F63">
      <w:pPr>
        <w:pStyle w:val="SingleTxtG"/>
        <w:keepNext/>
      </w:pPr>
      <w:r w:rsidRPr="00796971">
        <w:t>38.</w:t>
      </w:r>
      <w:r w:rsidRPr="00796971">
        <w:tab/>
      </w:r>
      <w:r w:rsidR="00FF544D" w:rsidRPr="00D177CE">
        <w:rPr>
          <w:b/>
        </w:rPr>
        <w:t>The State party</w:t>
      </w:r>
      <w:r w:rsidR="00FF544D" w:rsidRPr="00D177CE">
        <w:rPr>
          <w:b/>
          <w:lang w:eastAsia="ja-JP"/>
        </w:rPr>
        <w:t xml:space="preserve"> should</w:t>
      </w:r>
      <w:r w:rsidR="00FF544D" w:rsidRPr="00D177CE">
        <w:rPr>
          <w:b/>
        </w:rPr>
        <w:t>:</w:t>
      </w:r>
    </w:p>
    <w:p w:rsidR="00D90D56" w:rsidRPr="00D177CE" w:rsidRDefault="00D177CE" w:rsidP="00467980">
      <w:pPr>
        <w:pStyle w:val="SingleTxtG"/>
        <w:rPr>
          <w:b/>
        </w:rPr>
      </w:pPr>
      <w:r>
        <w:rPr>
          <w:b/>
        </w:rPr>
        <w:tab/>
      </w:r>
      <w:r w:rsidRPr="00796971">
        <w:rPr>
          <w:bCs/>
        </w:rPr>
        <w:t>(</w:t>
      </w:r>
      <w:r w:rsidR="001B04E2" w:rsidRPr="00796971">
        <w:rPr>
          <w:bCs/>
        </w:rPr>
        <w:t>a)</w:t>
      </w:r>
      <w:r w:rsidR="001B04E2" w:rsidRPr="00D177CE">
        <w:rPr>
          <w:b/>
        </w:rPr>
        <w:tab/>
      </w:r>
      <w:r w:rsidR="00BB55A7">
        <w:rPr>
          <w:b/>
        </w:rPr>
        <w:t>E</w:t>
      </w:r>
      <w:r w:rsidR="00D90D56" w:rsidRPr="00D177CE">
        <w:rPr>
          <w:b/>
        </w:rPr>
        <w:t xml:space="preserve">nsure that </w:t>
      </w:r>
      <w:r w:rsidR="00AA2B76">
        <w:rPr>
          <w:b/>
        </w:rPr>
        <w:t>migrants</w:t>
      </w:r>
      <w:r w:rsidR="00AA2B76" w:rsidRPr="00D177CE">
        <w:rPr>
          <w:b/>
        </w:rPr>
        <w:t xml:space="preserve"> </w:t>
      </w:r>
      <w:r w:rsidR="00D90D56" w:rsidRPr="00D177CE">
        <w:rPr>
          <w:b/>
        </w:rPr>
        <w:t xml:space="preserve">and asylum seekers who unlawfully enter the State party’s territory, including those who fall under the definition of mass arrival, </w:t>
      </w:r>
      <w:r w:rsidR="00467980">
        <w:rPr>
          <w:b/>
        </w:rPr>
        <w:t>are detained</w:t>
      </w:r>
      <w:r w:rsidR="00D90D56" w:rsidRPr="00D177CE">
        <w:rPr>
          <w:b/>
        </w:rPr>
        <w:t xml:space="preserve"> only for a short period of time in order to document their entry, record their claims and determine their identity if it is in doubt;</w:t>
      </w:r>
    </w:p>
    <w:p w:rsidR="00FF544D" w:rsidRPr="00D177CE" w:rsidRDefault="00D177CE" w:rsidP="00467980">
      <w:pPr>
        <w:pStyle w:val="SingleTxtG"/>
        <w:rPr>
          <w:b/>
        </w:rPr>
      </w:pPr>
      <w:r>
        <w:rPr>
          <w:b/>
        </w:rPr>
        <w:tab/>
      </w:r>
      <w:r w:rsidRPr="00796971">
        <w:rPr>
          <w:bCs/>
        </w:rPr>
        <w:t>(</w:t>
      </w:r>
      <w:r w:rsidR="001B04E2" w:rsidRPr="00796971">
        <w:rPr>
          <w:bCs/>
        </w:rPr>
        <w:t>b)</w:t>
      </w:r>
      <w:r w:rsidR="001B04E2" w:rsidRPr="00D177CE">
        <w:rPr>
          <w:b/>
        </w:rPr>
        <w:tab/>
      </w:r>
      <w:r w:rsidR="00BB55A7">
        <w:rPr>
          <w:b/>
        </w:rPr>
        <w:t>E</w:t>
      </w:r>
      <w:r w:rsidR="00FF544D" w:rsidRPr="00D177CE">
        <w:rPr>
          <w:b/>
        </w:rPr>
        <w:t xml:space="preserve">nsure that </w:t>
      </w:r>
      <w:r w:rsidR="00AA2B76">
        <w:rPr>
          <w:b/>
        </w:rPr>
        <w:t>migrants</w:t>
      </w:r>
      <w:r w:rsidR="00AA2B76" w:rsidRPr="00D177CE">
        <w:rPr>
          <w:b/>
        </w:rPr>
        <w:t xml:space="preserve"> </w:t>
      </w:r>
      <w:r w:rsidR="00FF544D" w:rsidRPr="00D177CE">
        <w:rPr>
          <w:b/>
        </w:rPr>
        <w:t xml:space="preserve">and asylum seekers detained in correctional and police facilities are separated from the rest of </w:t>
      </w:r>
      <w:r w:rsidR="00467980">
        <w:rPr>
          <w:b/>
        </w:rPr>
        <w:t xml:space="preserve">the </w:t>
      </w:r>
      <w:r w:rsidR="00FF544D" w:rsidRPr="00D177CE">
        <w:rPr>
          <w:b/>
        </w:rPr>
        <w:t>detaine</w:t>
      </w:r>
      <w:r w:rsidR="00467980">
        <w:rPr>
          <w:b/>
        </w:rPr>
        <w:t>e</w:t>
      </w:r>
      <w:r w:rsidR="00FF544D" w:rsidRPr="00D177CE">
        <w:rPr>
          <w:b/>
        </w:rPr>
        <w:t xml:space="preserve"> population</w:t>
      </w:r>
      <w:r w:rsidR="00AA2B76">
        <w:rPr>
          <w:b/>
        </w:rPr>
        <w:t>.</w:t>
      </w:r>
    </w:p>
    <w:p w:rsidR="00FF544D" w:rsidRDefault="00D177CE" w:rsidP="00D177CE">
      <w:pPr>
        <w:pStyle w:val="H23G"/>
      </w:pPr>
      <w:r>
        <w:tab/>
      </w:r>
      <w:r>
        <w:tab/>
      </w:r>
      <w:r w:rsidR="00FF544D">
        <w:t>Trafficking in persons, and other slavery-like practices</w:t>
      </w:r>
    </w:p>
    <w:p w:rsidR="00FF544D" w:rsidRDefault="00962F63" w:rsidP="00962F63">
      <w:pPr>
        <w:pStyle w:val="SingleTxtG"/>
      </w:pPr>
      <w:r>
        <w:t>39.</w:t>
      </w:r>
      <w:r>
        <w:tab/>
      </w:r>
      <w:r w:rsidR="00FF544D">
        <w:t xml:space="preserve">The Committee welcomes the amendment of </w:t>
      </w:r>
      <w:r w:rsidR="00467980">
        <w:t>s</w:t>
      </w:r>
      <w:r w:rsidR="00FF544D">
        <w:t xml:space="preserve">ection 98D </w:t>
      </w:r>
      <w:r w:rsidR="00467980">
        <w:t>of the Crimes Act 1961, concerning t</w:t>
      </w:r>
      <w:r w:rsidR="00FF544D">
        <w:t xml:space="preserve">rafficking in </w:t>
      </w:r>
      <w:r w:rsidR="00467980">
        <w:t>p</w:t>
      </w:r>
      <w:r w:rsidR="00FF544D">
        <w:t>ersons</w:t>
      </w:r>
      <w:r w:rsidR="00467980">
        <w:t>,</w:t>
      </w:r>
      <w:r w:rsidR="00FF544D">
        <w:t xml:space="preserve"> </w:t>
      </w:r>
      <w:r w:rsidR="000229CC">
        <w:t>which</w:t>
      </w:r>
      <w:r w:rsidR="00FF544D">
        <w:t xml:space="preserve"> aligns the definition of trafficking in persons with that of the Protocol to Prevent, Suppress and Punish Trafficking in Persons, Especially Women and Children,</w:t>
      </w:r>
      <w:r w:rsidR="000A4E21">
        <w:t xml:space="preserve"> </w:t>
      </w:r>
      <w:r w:rsidR="000229CC">
        <w:t xml:space="preserve">supplementing the United Nations </w:t>
      </w:r>
      <w:r w:rsidR="000229CC" w:rsidRPr="000229CC">
        <w:t>Convention against Transnational Organized Crime</w:t>
      </w:r>
      <w:r w:rsidR="000229CC">
        <w:t>. The Committee also welcomes</w:t>
      </w:r>
      <w:r w:rsidR="000A4E21">
        <w:t xml:space="preserve"> </w:t>
      </w:r>
      <w:r w:rsidR="00FF544D">
        <w:t xml:space="preserve">the adoption of measures to combat trafficking in persons </w:t>
      </w:r>
      <w:r w:rsidR="000229CC">
        <w:t>and</w:t>
      </w:r>
      <w:r w:rsidR="00FF544D">
        <w:t xml:space="preserve"> the State party’s efforts to prevent other slavery-like practices</w:t>
      </w:r>
      <w:r w:rsidR="000229CC">
        <w:t>,</w:t>
      </w:r>
      <w:r w:rsidR="00FF544D">
        <w:t xml:space="preserve"> such as economic exploitation and forced labour in foreign-</w:t>
      </w:r>
      <w:r w:rsidR="008B5B74">
        <w:t>chartered vessels</w:t>
      </w:r>
      <w:r w:rsidR="00FF544D">
        <w:t xml:space="preserve"> operating in New Zealand waters and in other labour sectors. Nevertheless, the Committee notes with </w:t>
      </w:r>
      <w:r w:rsidR="00FF544D">
        <w:rPr>
          <w:lang w:eastAsia="ja-JP"/>
        </w:rPr>
        <w:t>concern</w:t>
      </w:r>
      <w:r w:rsidR="00FF544D">
        <w:t xml:space="preserve"> that the prosecution and conviction rates f</w:t>
      </w:r>
      <w:r w:rsidR="000229CC">
        <w:t>or</w:t>
      </w:r>
      <w:r w:rsidR="00FF544D">
        <w:t xml:space="preserve"> trafficking </w:t>
      </w:r>
      <w:r w:rsidR="000229CC">
        <w:t xml:space="preserve">in persons </w:t>
      </w:r>
      <w:r w:rsidR="00FF544D">
        <w:t>and other slavery-like practices is low, and is concerned a</w:t>
      </w:r>
      <w:r w:rsidR="00600D00">
        <w:t>bou</w:t>
      </w:r>
      <w:r w:rsidR="00FF544D">
        <w:t xml:space="preserve">t the fact that the first prosecutions </w:t>
      </w:r>
      <w:r w:rsidR="000229CC">
        <w:t>for</w:t>
      </w:r>
      <w:r w:rsidR="00FF544D">
        <w:t xml:space="preserve"> trafficking in persons occurred only in 2014 (art</w:t>
      </w:r>
      <w:r w:rsidR="00180701">
        <w:t>s</w:t>
      </w:r>
      <w:r w:rsidR="00FF544D">
        <w:t>. 8</w:t>
      </w:r>
      <w:r w:rsidR="008C3937">
        <w:t xml:space="preserve"> and 24</w:t>
      </w:r>
      <w:r w:rsidR="00FF544D">
        <w:t>)</w:t>
      </w:r>
      <w:r w:rsidR="0082079A">
        <w:t>.</w:t>
      </w:r>
    </w:p>
    <w:p w:rsidR="00FF544D" w:rsidRPr="00796971" w:rsidRDefault="00962F63" w:rsidP="00962F63">
      <w:pPr>
        <w:pStyle w:val="SingleTxtG"/>
      </w:pPr>
      <w:r w:rsidRPr="00796971">
        <w:t>40.</w:t>
      </w:r>
      <w:r w:rsidRPr="00796971">
        <w:tab/>
      </w:r>
      <w:r w:rsidR="00FF544D" w:rsidRPr="00D177CE">
        <w:rPr>
          <w:b/>
        </w:rPr>
        <w:t xml:space="preserve">The State party should: </w:t>
      </w:r>
    </w:p>
    <w:p w:rsidR="00C5548D" w:rsidRPr="00D177CE" w:rsidRDefault="00A23A05" w:rsidP="000229CC">
      <w:pPr>
        <w:pStyle w:val="SingleTxtG"/>
        <w:rPr>
          <w:b/>
        </w:rPr>
      </w:pPr>
      <w:r>
        <w:rPr>
          <w:rFonts w:eastAsia="Times New Roman"/>
          <w:b/>
        </w:rPr>
        <w:tab/>
      </w:r>
      <w:r w:rsidR="00D177CE" w:rsidRPr="00796971">
        <w:rPr>
          <w:rFonts w:eastAsia="Times New Roman"/>
          <w:bCs/>
        </w:rPr>
        <w:t>(</w:t>
      </w:r>
      <w:r w:rsidR="001B04E2" w:rsidRPr="00796971">
        <w:rPr>
          <w:rFonts w:eastAsia="Times New Roman"/>
          <w:bCs/>
        </w:rPr>
        <w:t>a)</w:t>
      </w:r>
      <w:r w:rsidR="001B04E2" w:rsidRPr="00D177CE">
        <w:rPr>
          <w:rFonts w:eastAsia="Times New Roman"/>
          <w:b/>
        </w:rPr>
        <w:tab/>
      </w:r>
      <w:r w:rsidR="0082079A">
        <w:rPr>
          <w:rFonts w:eastAsia="Times New Roman"/>
          <w:b/>
        </w:rPr>
        <w:t>E</w:t>
      </w:r>
      <w:r w:rsidR="00C5548D" w:rsidRPr="00D177CE">
        <w:rPr>
          <w:b/>
        </w:rPr>
        <w:t xml:space="preserve">nsure the protection of victims of trafficking, commercial sexual exploitation, and other contemporary forms of slavery, the immediate and thorough investigation of all allegations of such acts, and the prosecution and </w:t>
      </w:r>
      <w:r w:rsidR="000229CC">
        <w:rPr>
          <w:b/>
        </w:rPr>
        <w:t>punishment</w:t>
      </w:r>
      <w:r w:rsidR="00C5548D" w:rsidRPr="00D177CE">
        <w:rPr>
          <w:b/>
        </w:rPr>
        <w:t xml:space="preserve"> of perpetrators; </w:t>
      </w:r>
    </w:p>
    <w:p w:rsidR="00C5548D" w:rsidRPr="00D177CE" w:rsidRDefault="00A23A05" w:rsidP="000229CC">
      <w:pPr>
        <w:pStyle w:val="SingleTxtG"/>
        <w:rPr>
          <w:b/>
        </w:rPr>
      </w:pPr>
      <w:r>
        <w:rPr>
          <w:rFonts w:eastAsia="Times New Roman"/>
          <w:b/>
        </w:rPr>
        <w:tab/>
      </w:r>
      <w:r w:rsidR="00D177CE" w:rsidRPr="00796971">
        <w:rPr>
          <w:rFonts w:eastAsia="Times New Roman"/>
          <w:bCs/>
        </w:rPr>
        <w:t>(</w:t>
      </w:r>
      <w:r w:rsidR="001B04E2" w:rsidRPr="00796971">
        <w:rPr>
          <w:rFonts w:eastAsia="Times New Roman"/>
          <w:bCs/>
        </w:rPr>
        <w:t>b)</w:t>
      </w:r>
      <w:r w:rsidR="001B04E2" w:rsidRPr="00796971">
        <w:rPr>
          <w:rFonts w:eastAsia="Times New Roman"/>
          <w:bCs/>
        </w:rPr>
        <w:tab/>
      </w:r>
      <w:r w:rsidR="0082079A">
        <w:rPr>
          <w:rFonts w:eastAsia="Times New Roman"/>
          <w:b/>
        </w:rPr>
        <w:t>D</w:t>
      </w:r>
      <w:r w:rsidR="00C5548D" w:rsidRPr="00D177CE">
        <w:rPr>
          <w:b/>
        </w:rPr>
        <w:t xml:space="preserve">evelop and implement programmes </w:t>
      </w:r>
      <w:r w:rsidR="000229CC">
        <w:rPr>
          <w:b/>
        </w:rPr>
        <w:t>for</w:t>
      </w:r>
      <w:r w:rsidR="00C5548D" w:rsidRPr="00D177CE">
        <w:rPr>
          <w:b/>
        </w:rPr>
        <w:t xml:space="preserve"> victims’ rehabilitation and redress, with particular focus on women and child victims;</w:t>
      </w:r>
    </w:p>
    <w:p w:rsidR="00FF544D" w:rsidRPr="00D177CE" w:rsidRDefault="00A23A05" w:rsidP="00D177CE">
      <w:pPr>
        <w:pStyle w:val="SingleTxtG"/>
        <w:rPr>
          <w:b/>
        </w:rPr>
      </w:pPr>
      <w:r>
        <w:rPr>
          <w:rFonts w:eastAsia="Times New Roman"/>
          <w:b/>
        </w:rPr>
        <w:tab/>
      </w:r>
      <w:r w:rsidR="00D177CE" w:rsidRPr="00796971">
        <w:rPr>
          <w:rFonts w:eastAsia="Times New Roman"/>
          <w:bCs/>
        </w:rPr>
        <w:t>(</w:t>
      </w:r>
      <w:r w:rsidR="001B04E2" w:rsidRPr="00796971">
        <w:rPr>
          <w:rFonts w:eastAsia="Times New Roman"/>
          <w:bCs/>
        </w:rPr>
        <w:t>c)</w:t>
      </w:r>
      <w:r w:rsidR="001B04E2" w:rsidRPr="00D177CE">
        <w:rPr>
          <w:rFonts w:eastAsia="Times New Roman"/>
          <w:b/>
        </w:rPr>
        <w:tab/>
      </w:r>
      <w:r w:rsidR="0082079A">
        <w:rPr>
          <w:rFonts w:eastAsia="Times New Roman"/>
          <w:b/>
        </w:rPr>
        <w:t>E</w:t>
      </w:r>
      <w:r w:rsidR="00FF544D" w:rsidRPr="00D177CE">
        <w:rPr>
          <w:b/>
        </w:rPr>
        <w:t>ffectively regulate and monitor</w:t>
      </w:r>
      <w:r w:rsidR="00D94645" w:rsidRPr="00D177CE">
        <w:rPr>
          <w:b/>
        </w:rPr>
        <w:t xml:space="preserve"> international</w:t>
      </w:r>
      <w:r w:rsidR="00FF544D" w:rsidRPr="00D177CE">
        <w:rPr>
          <w:b/>
        </w:rPr>
        <w:t xml:space="preserve"> labour contr</w:t>
      </w:r>
      <w:r w:rsidR="00D94645" w:rsidRPr="00D177CE">
        <w:rPr>
          <w:b/>
        </w:rPr>
        <w:t>actors and recruitment agencies to prevent trafficking, commercial sexual exploitation and other contemporary forms of slavery</w:t>
      </w:r>
      <w:r w:rsidR="0082079A">
        <w:rPr>
          <w:b/>
        </w:rPr>
        <w:t>;</w:t>
      </w:r>
    </w:p>
    <w:p w:rsidR="00FF544D" w:rsidRPr="00D177CE" w:rsidRDefault="00A23A05" w:rsidP="00D177CE">
      <w:pPr>
        <w:pStyle w:val="SingleTxtG"/>
        <w:rPr>
          <w:b/>
        </w:rPr>
      </w:pPr>
      <w:r>
        <w:rPr>
          <w:rFonts w:eastAsia="Times New Roman"/>
          <w:b/>
        </w:rPr>
        <w:tab/>
      </w:r>
      <w:r w:rsidR="00D177CE" w:rsidRPr="00796971">
        <w:rPr>
          <w:rFonts w:eastAsia="Times New Roman"/>
          <w:bCs/>
        </w:rPr>
        <w:t>(</w:t>
      </w:r>
      <w:r w:rsidR="001B04E2" w:rsidRPr="00796971">
        <w:rPr>
          <w:rFonts w:eastAsia="Times New Roman"/>
          <w:bCs/>
        </w:rPr>
        <w:t>d)</w:t>
      </w:r>
      <w:r w:rsidR="001B04E2" w:rsidRPr="00796971">
        <w:rPr>
          <w:rFonts w:eastAsia="Times New Roman"/>
          <w:bCs/>
        </w:rPr>
        <w:tab/>
      </w:r>
      <w:r w:rsidR="00D36E75">
        <w:rPr>
          <w:rFonts w:eastAsia="Times New Roman"/>
          <w:b/>
        </w:rPr>
        <w:t>E</w:t>
      </w:r>
      <w:r w:rsidR="00FF544D" w:rsidRPr="00D177CE">
        <w:rPr>
          <w:b/>
        </w:rPr>
        <w:t>nsure that victims of trafficking are not prosecuted, detained or punished for activities they were involved in as a result of their situation as trafficked persons, and consider offering immigration status options to these victims</w:t>
      </w:r>
      <w:r w:rsidR="0082079A">
        <w:rPr>
          <w:b/>
        </w:rPr>
        <w:t>.</w:t>
      </w:r>
    </w:p>
    <w:p w:rsidR="00FF544D" w:rsidRDefault="00D177CE" w:rsidP="00E47B3F">
      <w:pPr>
        <w:pStyle w:val="H23G"/>
      </w:pPr>
      <w:r>
        <w:tab/>
      </w:r>
      <w:r>
        <w:tab/>
      </w:r>
      <w:r w:rsidR="00FF544D">
        <w:t xml:space="preserve">Deprivation of </w:t>
      </w:r>
      <w:r w:rsidR="00E47B3F">
        <w:t>l</w:t>
      </w:r>
      <w:r w:rsidR="00FF544D">
        <w:t>iberty</w:t>
      </w:r>
    </w:p>
    <w:p w:rsidR="00FF544D" w:rsidRDefault="00962F63" w:rsidP="00962F63">
      <w:pPr>
        <w:pStyle w:val="SingleTxtG"/>
      </w:pPr>
      <w:r>
        <w:t>41.</w:t>
      </w:r>
      <w:r>
        <w:tab/>
      </w:r>
      <w:r w:rsidR="00FF544D">
        <w:t>The Committee remains concerned about the negative impact of the State party’s prison privati</w:t>
      </w:r>
      <w:r w:rsidR="000229CC">
        <w:t>z</w:t>
      </w:r>
      <w:r w:rsidR="00FF544D">
        <w:t xml:space="preserve">ation policies on the effective management of prisons and </w:t>
      </w:r>
      <w:r w:rsidR="000229CC">
        <w:t xml:space="preserve">on </w:t>
      </w:r>
      <w:r w:rsidR="00FF544D">
        <w:t>the respect and promotion of the rights of detainees (arts. 2 and 10)</w:t>
      </w:r>
      <w:r w:rsidR="00294B3C">
        <w:t>.</w:t>
      </w:r>
    </w:p>
    <w:p w:rsidR="00FF544D" w:rsidRPr="00796971" w:rsidRDefault="00962F63" w:rsidP="00962F63">
      <w:pPr>
        <w:pStyle w:val="SingleTxtG"/>
      </w:pPr>
      <w:r w:rsidRPr="00796971">
        <w:t>42.</w:t>
      </w:r>
      <w:r w:rsidRPr="00796971">
        <w:tab/>
      </w:r>
      <w:r w:rsidR="00FF544D" w:rsidRPr="00D177CE">
        <w:rPr>
          <w:b/>
        </w:rPr>
        <w:t xml:space="preserve">The State party </w:t>
      </w:r>
      <w:r w:rsidR="00EF68CA" w:rsidRPr="00D177CE">
        <w:rPr>
          <w:b/>
          <w:lang w:eastAsia="ja-JP"/>
        </w:rPr>
        <w:t>should</w:t>
      </w:r>
      <w:r w:rsidR="00EF68CA" w:rsidRPr="00D177CE">
        <w:rPr>
          <w:rFonts w:hint="eastAsia"/>
          <w:b/>
          <w:lang w:eastAsia="ja-JP"/>
        </w:rPr>
        <w:t xml:space="preserve"> </w:t>
      </w:r>
      <w:r w:rsidR="00FF544D" w:rsidRPr="00D177CE">
        <w:rPr>
          <w:b/>
        </w:rPr>
        <w:t xml:space="preserve">take all appropriate measures to ensure that </w:t>
      </w:r>
      <w:r w:rsidR="000229CC">
        <w:rPr>
          <w:b/>
        </w:rPr>
        <w:t xml:space="preserve">the </w:t>
      </w:r>
      <w:r w:rsidR="00FF544D" w:rsidRPr="00D177CE">
        <w:rPr>
          <w:b/>
        </w:rPr>
        <w:t>human rights of persons deprived of their liberty are respected</w:t>
      </w:r>
      <w:r w:rsidR="00EF68CA" w:rsidRPr="00D177CE">
        <w:rPr>
          <w:rFonts w:hint="eastAsia"/>
          <w:b/>
          <w:lang w:eastAsia="ja-JP"/>
        </w:rPr>
        <w:t xml:space="preserve"> and</w:t>
      </w:r>
      <w:r w:rsidR="00FF544D" w:rsidRPr="00D177CE">
        <w:rPr>
          <w:b/>
        </w:rPr>
        <w:t xml:space="preserve"> protected in all places of deprivation of liberty, including private penitentiary institutions, in line with the established international standards, including the revised United Nations Standard Minimum Rules for the Treatment of Prisoners (the </w:t>
      </w:r>
      <w:r w:rsidR="00E43804" w:rsidRPr="00D177CE">
        <w:rPr>
          <w:b/>
        </w:rPr>
        <w:t xml:space="preserve">Nelson </w:t>
      </w:r>
      <w:r w:rsidR="00FF544D" w:rsidRPr="00D177CE">
        <w:rPr>
          <w:b/>
        </w:rPr>
        <w:t>Mandela Rules)</w:t>
      </w:r>
      <w:r w:rsidR="000229CC">
        <w:rPr>
          <w:b/>
        </w:rPr>
        <w:t xml:space="preserve">. </w:t>
      </w:r>
      <w:r w:rsidR="000229CC" w:rsidRPr="00D177CE">
        <w:rPr>
          <w:b/>
        </w:rPr>
        <w:t xml:space="preserve">The State party </w:t>
      </w:r>
      <w:r w:rsidR="000229CC" w:rsidRPr="00D177CE">
        <w:rPr>
          <w:b/>
          <w:lang w:eastAsia="ja-JP"/>
        </w:rPr>
        <w:t>should</w:t>
      </w:r>
      <w:r w:rsidR="000229CC" w:rsidRPr="00D177CE">
        <w:rPr>
          <w:rFonts w:hint="eastAsia"/>
          <w:b/>
          <w:lang w:eastAsia="ja-JP"/>
        </w:rPr>
        <w:t xml:space="preserve"> </w:t>
      </w:r>
      <w:r w:rsidR="000229CC">
        <w:rPr>
          <w:b/>
          <w:lang w:eastAsia="ja-JP"/>
        </w:rPr>
        <w:t>also</w:t>
      </w:r>
      <w:r w:rsidR="000229CC">
        <w:rPr>
          <w:b/>
        </w:rPr>
        <w:t xml:space="preserve"> </w:t>
      </w:r>
      <w:r w:rsidR="00FF544D" w:rsidRPr="00D177CE">
        <w:rPr>
          <w:b/>
        </w:rPr>
        <w:t xml:space="preserve">provide adequate human and financial resources to the Office of the Ombudsman to </w:t>
      </w:r>
      <w:r w:rsidR="000229CC">
        <w:rPr>
          <w:b/>
        </w:rPr>
        <w:t xml:space="preserve">enable it to </w:t>
      </w:r>
      <w:r w:rsidR="00FF544D" w:rsidRPr="00D177CE">
        <w:rPr>
          <w:b/>
        </w:rPr>
        <w:t>discharge its monitoring and reporting mandate</w:t>
      </w:r>
      <w:r w:rsidR="000229CC">
        <w:rPr>
          <w:b/>
        </w:rPr>
        <w:t xml:space="preserve"> </w:t>
      </w:r>
      <w:r w:rsidR="000229CC" w:rsidRPr="00D177CE">
        <w:rPr>
          <w:b/>
        </w:rPr>
        <w:t>effectively</w:t>
      </w:r>
      <w:r w:rsidR="00FF544D" w:rsidRPr="00D177CE">
        <w:rPr>
          <w:b/>
        </w:rPr>
        <w:t>.</w:t>
      </w:r>
    </w:p>
    <w:p w:rsidR="00FF544D" w:rsidRDefault="00D177CE" w:rsidP="002C465B">
      <w:pPr>
        <w:pStyle w:val="H23G"/>
      </w:pPr>
      <w:r>
        <w:tab/>
      </w:r>
      <w:r>
        <w:tab/>
      </w:r>
      <w:r w:rsidR="00FF544D">
        <w:t>Marine and Coastal Area (</w:t>
      </w:r>
      <w:proofErr w:type="spellStart"/>
      <w:r w:rsidR="00FF544D">
        <w:t>Takutai</w:t>
      </w:r>
      <w:proofErr w:type="spellEnd"/>
      <w:r w:rsidR="00FF544D">
        <w:t xml:space="preserve"> Moana) Act 2011</w:t>
      </w:r>
    </w:p>
    <w:p w:rsidR="00FF544D" w:rsidRDefault="00962F63" w:rsidP="00962F63">
      <w:pPr>
        <w:pStyle w:val="SingleTxtG"/>
      </w:pPr>
      <w:r>
        <w:t>43.</w:t>
      </w:r>
      <w:r>
        <w:tab/>
      </w:r>
      <w:r w:rsidR="00FF544D">
        <w:t>The Committee is concerned a</w:t>
      </w:r>
      <w:r w:rsidR="0087196D">
        <w:t>bou</w:t>
      </w:r>
      <w:r w:rsidR="00FF544D">
        <w:t xml:space="preserve">t the fact that the replacement of the Foreshore and Seabed Act 2004 </w:t>
      </w:r>
      <w:r w:rsidR="00004EF2">
        <w:t>by</w:t>
      </w:r>
      <w:r w:rsidR="00FF544D">
        <w:t xml:space="preserve"> the Marine and Coastal Area (</w:t>
      </w:r>
      <w:proofErr w:type="spellStart"/>
      <w:r w:rsidR="00FF544D">
        <w:t>Takutai</w:t>
      </w:r>
      <w:proofErr w:type="spellEnd"/>
      <w:r w:rsidR="00FF544D">
        <w:t xml:space="preserve"> Moana) Act 2011 has not adequately addressed the discriminatory effects on M</w:t>
      </w:r>
      <w:r w:rsidR="00FF544D">
        <w:rPr>
          <w:shd w:val="clear" w:color="auto" w:fill="FFFFFF"/>
        </w:rPr>
        <w:t>ā</w:t>
      </w:r>
      <w:r w:rsidR="00FF544D">
        <w:t xml:space="preserve">ori </w:t>
      </w:r>
      <w:r w:rsidR="001B1885">
        <w:t>claims</w:t>
      </w:r>
      <w:r w:rsidR="00FF544D">
        <w:t xml:space="preserve"> to their customary land and</w:t>
      </w:r>
      <w:r w:rsidR="001B1885">
        <w:t xml:space="preserve"> their right to</w:t>
      </w:r>
      <w:r w:rsidR="00FF544D">
        <w:t xml:space="preserve"> cultural development (art</w:t>
      </w:r>
      <w:r w:rsidR="001B1885">
        <w:t>.</w:t>
      </w:r>
      <w:r w:rsidR="00FF544D">
        <w:t xml:space="preserve"> 27)</w:t>
      </w:r>
      <w:r w:rsidR="00294B3C">
        <w:t>.</w:t>
      </w:r>
    </w:p>
    <w:p w:rsidR="00FF544D" w:rsidRPr="00796971" w:rsidRDefault="00962F63" w:rsidP="00962F63">
      <w:pPr>
        <w:pStyle w:val="SingleTxtG"/>
      </w:pPr>
      <w:r w:rsidRPr="00796971">
        <w:t>44.</w:t>
      </w:r>
      <w:r w:rsidRPr="00796971">
        <w:tab/>
      </w:r>
      <w:r w:rsidR="00FF544D" w:rsidRPr="00D177CE">
        <w:rPr>
          <w:b/>
        </w:rPr>
        <w:t xml:space="preserve">The State party should </w:t>
      </w:r>
      <w:r w:rsidR="00004EF2" w:rsidRPr="00D177CE">
        <w:rPr>
          <w:b/>
        </w:rPr>
        <w:t>revise</w:t>
      </w:r>
      <w:r w:rsidR="00FF544D" w:rsidRPr="00D177CE">
        <w:rPr>
          <w:b/>
        </w:rPr>
        <w:t xml:space="preserve"> the Marine and Coastal Area (</w:t>
      </w:r>
      <w:proofErr w:type="spellStart"/>
      <w:r w:rsidR="00FF544D" w:rsidRPr="00D177CE">
        <w:rPr>
          <w:b/>
        </w:rPr>
        <w:t>Takutai</w:t>
      </w:r>
      <w:proofErr w:type="spellEnd"/>
      <w:r w:rsidR="00FF544D" w:rsidRPr="00D177CE">
        <w:rPr>
          <w:b/>
        </w:rPr>
        <w:t xml:space="preserve"> Moana) Act 2011 with </w:t>
      </w:r>
      <w:r w:rsidR="000438C1">
        <w:rPr>
          <w:b/>
        </w:rPr>
        <w:t>a</w:t>
      </w:r>
      <w:r w:rsidR="00FF544D" w:rsidRPr="00D177CE">
        <w:rPr>
          <w:b/>
        </w:rPr>
        <w:t xml:space="preserve"> view to ensuring respect of </w:t>
      </w:r>
      <w:r w:rsidR="000438C1">
        <w:rPr>
          <w:b/>
        </w:rPr>
        <w:t xml:space="preserve">the </w:t>
      </w:r>
      <w:r w:rsidR="00FF544D" w:rsidRPr="00D177CE">
        <w:rPr>
          <w:b/>
        </w:rPr>
        <w:t>customary rights of M</w:t>
      </w:r>
      <w:r w:rsidR="00FF544D" w:rsidRPr="00D177CE">
        <w:rPr>
          <w:b/>
          <w:shd w:val="clear" w:color="auto" w:fill="FFFFFF"/>
        </w:rPr>
        <w:t>ā</w:t>
      </w:r>
      <w:r w:rsidR="00FF544D" w:rsidRPr="00D177CE">
        <w:rPr>
          <w:b/>
        </w:rPr>
        <w:t>ori on their land and resources, and their cultural development.</w:t>
      </w:r>
    </w:p>
    <w:p w:rsidR="00FF544D" w:rsidRDefault="00D177CE" w:rsidP="00D177CE">
      <w:pPr>
        <w:pStyle w:val="H23G"/>
      </w:pPr>
      <w:r>
        <w:tab/>
      </w:r>
      <w:r>
        <w:tab/>
      </w:r>
      <w:r w:rsidR="00FF544D">
        <w:t>Treaty of Waitangi and the Waitangi Tribunal</w:t>
      </w:r>
    </w:p>
    <w:p w:rsidR="00FF544D" w:rsidRDefault="00962F63" w:rsidP="00962F63">
      <w:pPr>
        <w:pStyle w:val="SingleTxtG"/>
      </w:pPr>
      <w:r>
        <w:t>45.</w:t>
      </w:r>
      <w:r>
        <w:tab/>
      </w:r>
      <w:r w:rsidR="00FF544D">
        <w:t>The Committee is concerned a</w:t>
      </w:r>
      <w:r w:rsidR="004A282D">
        <w:t>bou</w:t>
      </w:r>
      <w:r w:rsidR="00FF544D">
        <w:t>t the fact that</w:t>
      </w:r>
      <w:r w:rsidR="000438C1">
        <w:t>,</w:t>
      </w:r>
      <w:r w:rsidR="00FF544D">
        <w:t xml:space="preserve"> since the adoption by the Waitangi Tribunal of decision WAI 262 in 2011, the State party has not provided the relevant human rights bodies with any information regarding policies and implementation timetables. The Committee </w:t>
      </w:r>
      <w:r w:rsidR="00196C11">
        <w:rPr>
          <w:rFonts w:hint="eastAsia"/>
          <w:lang w:eastAsia="ja-JP"/>
        </w:rPr>
        <w:t>note</w:t>
      </w:r>
      <w:r w:rsidR="00617762">
        <w:rPr>
          <w:lang w:eastAsia="ja-JP"/>
        </w:rPr>
        <w:t>s</w:t>
      </w:r>
      <w:r w:rsidR="00196C11">
        <w:rPr>
          <w:rFonts w:hint="eastAsia"/>
          <w:lang w:eastAsia="ja-JP"/>
        </w:rPr>
        <w:t xml:space="preserve"> </w:t>
      </w:r>
      <w:r w:rsidR="00FF544D">
        <w:t xml:space="preserve">the State party’s insufficient engagement with indigenous communities prior to the signing </w:t>
      </w:r>
      <w:r w:rsidR="00617762">
        <w:t xml:space="preserve">in February 2016 </w:t>
      </w:r>
      <w:r w:rsidR="00FF544D">
        <w:t xml:space="preserve">of the Trans-Pacific Partnership Agreement, which includes provisions that may have </w:t>
      </w:r>
      <w:r w:rsidR="00D01B86">
        <w:t xml:space="preserve">a </w:t>
      </w:r>
      <w:r w:rsidR="00FF544D">
        <w:t xml:space="preserve">negative effect on the rights of </w:t>
      </w:r>
      <w:r w:rsidR="00004EF2">
        <w:t>indigenous peoples</w:t>
      </w:r>
      <w:r w:rsidR="00FF544D">
        <w:t xml:space="preserve">, in particular with regard to their free, prior and informed consent in the implementation of the Agreement, and to </w:t>
      </w:r>
      <w:r w:rsidR="00D01B86">
        <w:t xml:space="preserve">an </w:t>
      </w:r>
      <w:r w:rsidR="00FF544D">
        <w:t>effective remedy (arts.</w:t>
      </w:r>
      <w:r w:rsidR="00180701">
        <w:t> </w:t>
      </w:r>
      <w:r w:rsidR="00FF544D">
        <w:t>2, 26 and 27)</w:t>
      </w:r>
      <w:r w:rsidR="00B20593">
        <w:t>.</w:t>
      </w:r>
    </w:p>
    <w:p w:rsidR="00FF544D" w:rsidRPr="00796971" w:rsidRDefault="00962F63" w:rsidP="00962F63">
      <w:pPr>
        <w:pStyle w:val="SingleTxtG"/>
      </w:pPr>
      <w:r w:rsidRPr="00796971">
        <w:t>46.</w:t>
      </w:r>
      <w:r w:rsidRPr="00796971">
        <w:tab/>
      </w:r>
      <w:r w:rsidR="00FF544D" w:rsidRPr="00D177CE">
        <w:rPr>
          <w:b/>
        </w:rPr>
        <w:t xml:space="preserve">The State party </w:t>
      </w:r>
      <w:r w:rsidR="00196C11" w:rsidRPr="00D177CE">
        <w:rPr>
          <w:rFonts w:hint="eastAsia"/>
          <w:b/>
          <w:lang w:eastAsia="ja-JP"/>
        </w:rPr>
        <w:t>should</w:t>
      </w:r>
      <w:r w:rsidR="00FF544D" w:rsidRPr="00D177CE">
        <w:rPr>
          <w:b/>
        </w:rPr>
        <w:t xml:space="preserve">: </w:t>
      </w:r>
    </w:p>
    <w:p w:rsidR="00FF544D" w:rsidRPr="00D177CE" w:rsidRDefault="00D177CE" w:rsidP="00D177CE">
      <w:pPr>
        <w:pStyle w:val="SingleTxtG"/>
        <w:rPr>
          <w:b/>
        </w:rPr>
      </w:pPr>
      <w:r>
        <w:rPr>
          <w:b/>
        </w:rPr>
        <w:tab/>
      </w:r>
      <w:r w:rsidRPr="00796971">
        <w:rPr>
          <w:bCs/>
        </w:rPr>
        <w:t>(</w:t>
      </w:r>
      <w:r w:rsidR="001B04E2" w:rsidRPr="00796971">
        <w:rPr>
          <w:bCs/>
        </w:rPr>
        <w:t>a)</w:t>
      </w:r>
      <w:r w:rsidR="001B04E2" w:rsidRPr="00D177CE">
        <w:rPr>
          <w:b/>
        </w:rPr>
        <w:tab/>
      </w:r>
      <w:r w:rsidR="00B20593">
        <w:rPr>
          <w:b/>
        </w:rPr>
        <w:t>S</w:t>
      </w:r>
      <w:r w:rsidR="00FF544D" w:rsidRPr="00D177CE">
        <w:rPr>
          <w:b/>
        </w:rPr>
        <w:t>trengthen the role of the Treaty of Waitangi in the existing constitutional arrangements;</w:t>
      </w:r>
    </w:p>
    <w:p w:rsidR="00FF544D" w:rsidRPr="00D177CE" w:rsidRDefault="00D177CE" w:rsidP="00D177CE">
      <w:pPr>
        <w:pStyle w:val="SingleTxtG"/>
        <w:rPr>
          <w:b/>
        </w:rPr>
      </w:pPr>
      <w:r>
        <w:rPr>
          <w:b/>
        </w:rPr>
        <w:tab/>
      </w:r>
      <w:r w:rsidRPr="00796971">
        <w:rPr>
          <w:bCs/>
        </w:rPr>
        <w:t>(</w:t>
      </w:r>
      <w:r w:rsidR="001B04E2" w:rsidRPr="00796971">
        <w:rPr>
          <w:bCs/>
        </w:rPr>
        <w:t>b)</w:t>
      </w:r>
      <w:r w:rsidR="001B04E2" w:rsidRPr="00D177CE">
        <w:rPr>
          <w:b/>
        </w:rPr>
        <w:tab/>
      </w:r>
      <w:r w:rsidR="00B20593">
        <w:rPr>
          <w:b/>
        </w:rPr>
        <w:t>G</w:t>
      </w:r>
      <w:r w:rsidR="00FF544D" w:rsidRPr="00D177CE">
        <w:rPr>
          <w:b/>
        </w:rPr>
        <w:t>uarantee the informed participation of indigenous communities in all relevant national and international consultation processes, including those directly affecting them;</w:t>
      </w:r>
    </w:p>
    <w:p w:rsidR="00FF544D" w:rsidRPr="00D177CE" w:rsidRDefault="00D177CE" w:rsidP="00D177CE">
      <w:pPr>
        <w:pStyle w:val="SingleTxtG"/>
        <w:rPr>
          <w:b/>
        </w:rPr>
      </w:pPr>
      <w:r>
        <w:rPr>
          <w:b/>
        </w:rPr>
        <w:tab/>
      </w:r>
      <w:r w:rsidRPr="00796971">
        <w:rPr>
          <w:bCs/>
        </w:rPr>
        <w:t>(</w:t>
      </w:r>
      <w:r w:rsidR="001B04E2" w:rsidRPr="00796971">
        <w:rPr>
          <w:bCs/>
        </w:rPr>
        <w:t>c)</w:t>
      </w:r>
      <w:r w:rsidR="001B04E2" w:rsidRPr="00D177CE">
        <w:rPr>
          <w:b/>
        </w:rPr>
        <w:tab/>
      </w:r>
      <w:r w:rsidR="00B20593">
        <w:rPr>
          <w:b/>
        </w:rPr>
        <w:t>I</w:t>
      </w:r>
      <w:r w:rsidR="00FF544D" w:rsidRPr="00D177CE">
        <w:rPr>
          <w:b/>
        </w:rPr>
        <w:t>mplement technical capacity programmes for indigenous communities aiming at their effective participation in all relevant consultation and decision-making processes.</w:t>
      </w:r>
    </w:p>
    <w:p w:rsidR="00FF544D" w:rsidRPr="00D177CE" w:rsidRDefault="00920A6B" w:rsidP="00E47B3F">
      <w:pPr>
        <w:pStyle w:val="H23G"/>
      </w:pPr>
      <w:r>
        <w:tab/>
      </w:r>
      <w:r>
        <w:tab/>
      </w:r>
      <w:r w:rsidR="00FF544D" w:rsidRPr="00D177CE">
        <w:t xml:space="preserve">Government </w:t>
      </w:r>
      <w:r w:rsidR="00E47B3F">
        <w:t>r</w:t>
      </w:r>
      <w:r w:rsidR="00FF544D" w:rsidRPr="00D177CE">
        <w:t>epresentation of M</w:t>
      </w:r>
      <w:r w:rsidR="00FF544D" w:rsidRPr="00D177CE">
        <w:rPr>
          <w:shd w:val="clear" w:color="auto" w:fill="FFFFFF"/>
        </w:rPr>
        <w:t>ā</w:t>
      </w:r>
      <w:r w:rsidR="00FF544D" w:rsidRPr="00D177CE">
        <w:t>ori and Pasifika</w:t>
      </w:r>
    </w:p>
    <w:p w:rsidR="00FF544D" w:rsidRPr="00D177CE" w:rsidRDefault="00962F63" w:rsidP="00962F63">
      <w:pPr>
        <w:pStyle w:val="SingleTxtG"/>
      </w:pPr>
      <w:r w:rsidRPr="00D177CE">
        <w:t>47.</w:t>
      </w:r>
      <w:r w:rsidRPr="00D177CE">
        <w:tab/>
      </w:r>
      <w:r w:rsidR="00FF544D" w:rsidRPr="00D177CE">
        <w:t>The Committee notes with concern the persist</w:t>
      </w:r>
      <w:r w:rsidR="00205B3F">
        <w:t>ently</w:t>
      </w:r>
      <w:r w:rsidR="00FF544D" w:rsidRPr="00D177CE">
        <w:t xml:space="preserve"> low representation of M</w:t>
      </w:r>
      <w:r w:rsidR="00FF544D" w:rsidRPr="00D177CE">
        <w:rPr>
          <w:shd w:val="clear" w:color="auto" w:fill="FFFFFF"/>
        </w:rPr>
        <w:t>ā</w:t>
      </w:r>
      <w:r w:rsidR="00FF544D" w:rsidRPr="00D177CE">
        <w:t xml:space="preserve">ori and Pasifika in government positions at all levels. The Committee regrets that Auckland </w:t>
      </w:r>
      <w:proofErr w:type="spellStart"/>
      <w:r w:rsidR="00FF544D" w:rsidRPr="00D177CE">
        <w:t>Supercity</w:t>
      </w:r>
      <w:proofErr w:type="spellEnd"/>
      <w:r w:rsidR="00FF544D" w:rsidRPr="00D177CE">
        <w:t xml:space="preserve"> Council has not implemented the 2009 recommendation </w:t>
      </w:r>
      <w:r w:rsidR="00617762">
        <w:t>from</w:t>
      </w:r>
      <w:r w:rsidR="00FF544D" w:rsidRPr="00D177CE">
        <w:t xml:space="preserve"> the Royal Commission on Auckland Governance to establish M</w:t>
      </w:r>
      <w:r w:rsidR="00FF544D" w:rsidRPr="00D177CE">
        <w:rPr>
          <w:shd w:val="clear" w:color="auto" w:fill="FFFFFF"/>
        </w:rPr>
        <w:t>ā</w:t>
      </w:r>
      <w:r w:rsidR="00FF544D" w:rsidRPr="00D177CE">
        <w:t>ori seats</w:t>
      </w:r>
      <w:r w:rsidR="00B4342A" w:rsidRPr="00D177CE">
        <w:t xml:space="preserve"> (art. 26)</w:t>
      </w:r>
      <w:r w:rsidR="00046729">
        <w:t>.</w:t>
      </w:r>
    </w:p>
    <w:p w:rsidR="00FF544D" w:rsidRPr="00796971" w:rsidRDefault="00962F63" w:rsidP="00962F63">
      <w:pPr>
        <w:pStyle w:val="SingleTxtG"/>
      </w:pPr>
      <w:r w:rsidRPr="00796971">
        <w:t>48.</w:t>
      </w:r>
      <w:r w:rsidRPr="00796971">
        <w:tab/>
      </w:r>
      <w:r w:rsidR="00FF544D" w:rsidRPr="00D177CE">
        <w:rPr>
          <w:b/>
        </w:rPr>
        <w:t xml:space="preserve">The State party </w:t>
      </w:r>
      <w:r w:rsidR="00196C11" w:rsidRPr="00D177CE">
        <w:rPr>
          <w:rFonts w:hint="eastAsia"/>
          <w:b/>
          <w:lang w:eastAsia="ja-JP"/>
        </w:rPr>
        <w:t xml:space="preserve">should </w:t>
      </w:r>
      <w:r w:rsidR="00FF544D" w:rsidRPr="00D177CE">
        <w:rPr>
          <w:b/>
        </w:rPr>
        <w:t xml:space="preserve">take all appropriate measures to </w:t>
      </w:r>
      <w:r w:rsidR="00B4342A" w:rsidRPr="00D177CE">
        <w:rPr>
          <w:b/>
        </w:rPr>
        <w:t>enhance</w:t>
      </w:r>
      <w:r w:rsidR="00FF544D" w:rsidRPr="00D177CE">
        <w:rPr>
          <w:b/>
        </w:rPr>
        <w:t xml:space="preserve"> M</w:t>
      </w:r>
      <w:r w:rsidR="00D01B86" w:rsidRPr="00D177CE">
        <w:rPr>
          <w:b/>
          <w:shd w:val="clear" w:color="auto" w:fill="FFFFFF"/>
        </w:rPr>
        <w:t>ā</w:t>
      </w:r>
      <w:r w:rsidR="00FF544D" w:rsidRPr="00D177CE">
        <w:rPr>
          <w:b/>
        </w:rPr>
        <w:t>ori and Pasifika representation in government positions at all levels, in particular at the local council level, including through the establishment of special electoral arrangements.</w:t>
      </w:r>
    </w:p>
    <w:p w:rsidR="00A40DBC" w:rsidRPr="00796971" w:rsidRDefault="00A40DBC">
      <w:pPr>
        <w:pStyle w:val="H1G"/>
      </w:pPr>
      <w:r>
        <w:tab/>
        <w:t>D.</w:t>
      </w:r>
      <w:r>
        <w:tab/>
        <w:t>Dissemination of information relating to the Covenant</w:t>
      </w:r>
    </w:p>
    <w:p w:rsidR="00A40DBC" w:rsidRPr="00A40DBC" w:rsidRDefault="00962F63" w:rsidP="00962F63">
      <w:pPr>
        <w:pStyle w:val="SingleTxtG"/>
      </w:pPr>
      <w:r w:rsidRPr="00A40DBC">
        <w:t>49.</w:t>
      </w:r>
      <w:r w:rsidRPr="00A40DBC">
        <w:tab/>
      </w:r>
      <w:r w:rsidR="00A40DBC" w:rsidRPr="00A40DBC">
        <w:rPr>
          <w:lang w:eastAsia="zh-CN"/>
        </w:rPr>
        <w:t xml:space="preserve">The State party should widely disseminate the Covenant, </w:t>
      </w:r>
      <w:r w:rsidR="000229CC">
        <w:rPr>
          <w:lang w:eastAsia="zh-CN"/>
        </w:rPr>
        <w:t>i</w:t>
      </w:r>
      <w:r w:rsidR="00A40DBC" w:rsidRPr="00A40DBC">
        <w:rPr>
          <w:lang w:eastAsia="zh-CN"/>
        </w:rPr>
        <w:t>t</w:t>
      </w:r>
      <w:r w:rsidR="000229CC">
        <w:rPr>
          <w:lang w:eastAsia="zh-CN"/>
        </w:rPr>
        <w:t>s</w:t>
      </w:r>
      <w:r w:rsidR="00A40DBC" w:rsidRPr="00A40DBC">
        <w:rPr>
          <w:lang w:eastAsia="zh-CN"/>
        </w:rPr>
        <w:t xml:space="preserve"> two Optional Protocols, its sixth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the other official language of the State party.</w:t>
      </w:r>
    </w:p>
    <w:p w:rsidR="00A40DBC" w:rsidRPr="00796971" w:rsidRDefault="00962F63" w:rsidP="00962F63">
      <w:pPr>
        <w:pStyle w:val="SingleTxtG"/>
      </w:pPr>
      <w:r w:rsidRPr="00796971">
        <w:t>50.</w:t>
      </w:r>
      <w:r w:rsidRPr="00796971">
        <w:tab/>
      </w:r>
      <w:r w:rsidR="008F68A6" w:rsidRPr="00FF540B">
        <w:t xml:space="preserve">In </w:t>
      </w:r>
      <w:r w:rsidR="008F68A6" w:rsidRPr="00163614">
        <w:t xml:space="preserve">accordance with </w:t>
      </w:r>
      <w:r w:rsidR="00A40DBC" w:rsidRPr="00A40DBC">
        <w:rPr>
          <w:lang w:eastAsia="zh-CN"/>
        </w:rPr>
        <w:t xml:space="preserve">rule 71, paragraph 5, of the </w:t>
      </w:r>
      <w:r w:rsidR="008F68A6" w:rsidRPr="00A40DBC">
        <w:rPr>
          <w:lang w:eastAsia="zh-CN"/>
        </w:rPr>
        <w:t>Committee</w:t>
      </w:r>
      <w:r w:rsidR="008F68A6">
        <w:rPr>
          <w:lang w:eastAsia="zh-CN"/>
        </w:rPr>
        <w:t xml:space="preserve">’s </w:t>
      </w:r>
      <w:r w:rsidR="00A40DBC" w:rsidRPr="00A40DBC">
        <w:rPr>
          <w:lang w:eastAsia="zh-CN"/>
        </w:rPr>
        <w:t>rules of procedure, the State party</w:t>
      </w:r>
      <w:r w:rsidR="00A40DBC" w:rsidRPr="00CA2E42">
        <w:rPr>
          <w:lang w:eastAsia="zh-CN"/>
        </w:rPr>
        <w:t xml:space="preserve"> </w:t>
      </w:r>
      <w:r w:rsidR="008F68A6">
        <w:rPr>
          <w:lang w:eastAsia="zh-CN"/>
        </w:rPr>
        <w:t>is requested to</w:t>
      </w:r>
      <w:r w:rsidR="00A40DBC" w:rsidRPr="00A40DBC">
        <w:rPr>
          <w:lang w:eastAsia="zh-CN"/>
        </w:rPr>
        <w:t xml:space="preserve"> provide, within one year</w:t>
      </w:r>
      <w:r w:rsidR="008F68A6">
        <w:rPr>
          <w:lang w:eastAsia="zh-CN"/>
        </w:rPr>
        <w:t xml:space="preserve"> </w:t>
      </w:r>
      <w:r w:rsidR="008F68A6" w:rsidRPr="00B56567">
        <w:t>of the adoption of the present concluding observations</w:t>
      </w:r>
      <w:r w:rsidR="00A40DBC" w:rsidRPr="00A40DBC">
        <w:rPr>
          <w:lang w:eastAsia="zh-CN"/>
        </w:rPr>
        <w:t xml:space="preserve">, information on the implementation of the recommendations made by the Committee in </w:t>
      </w:r>
      <w:r w:rsidR="009F7DF2" w:rsidRPr="00A40DBC">
        <w:rPr>
          <w:lang w:eastAsia="zh-CN"/>
        </w:rPr>
        <w:t>paragraph</w:t>
      </w:r>
      <w:r w:rsidR="00251E32">
        <w:rPr>
          <w:lang w:eastAsia="zh-CN"/>
        </w:rPr>
        <w:t>s</w:t>
      </w:r>
      <w:r w:rsidR="009F7DF2" w:rsidRPr="00A40DBC">
        <w:rPr>
          <w:lang w:eastAsia="zh-CN"/>
        </w:rPr>
        <w:t xml:space="preserve"> </w:t>
      </w:r>
      <w:r w:rsidR="009F7DF2">
        <w:rPr>
          <w:lang w:eastAsia="zh-CN"/>
        </w:rPr>
        <w:t>30</w:t>
      </w:r>
      <w:r w:rsidR="009F7DF2" w:rsidRPr="00A40DBC">
        <w:rPr>
          <w:lang w:eastAsia="zh-CN"/>
        </w:rPr>
        <w:t xml:space="preserve"> (</w:t>
      </w:r>
      <w:r w:rsidR="008F68A6">
        <w:t>d</w:t>
      </w:r>
      <w:r w:rsidR="009F7DF2">
        <w:t xml:space="preserve">omestic and </w:t>
      </w:r>
      <w:r w:rsidR="008F68A6">
        <w:t>g</w:t>
      </w:r>
      <w:r w:rsidR="009F7DF2">
        <w:t>ender-</w:t>
      </w:r>
      <w:r w:rsidR="008F68A6">
        <w:t>b</w:t>
      </w:r>
      <w:r w:rsidR="009F7DF2">
        <w:t xml:space="preserve">ased </w:t>
      </w:r>
      <w:r w:rsidR="008F68A6">
        <w:t>v</w:t>
      </w:r>
      <w:r w:rsidR="009F7DF2">
        <w:t>iolence</w:t>
      </w:r>
      <w:r w:rsidR="009F7DF2" w:rsidRPr="00A40DBC">
        <w:rPr>
          <w:lang w:eastAsia="zh-CN"/>
        </w:rPr>
        <w:t xml:space="preserve">), </w:t>
      </w:r>
      <w:r w:rsidR="009F7DF2">
        <w:rPr>
          <w:lang w:eastAsia="zh-CN"/>
        </w:rPr>
        <w:t>32</w:t>
      </w:r>
      <w:r w:rsidR="009F7DF2" w:rsidRPr="00A40DBC">
        <w:rPr>
          <w:lang w:eastAsia="zh-CN"/>
        </w:rPr>
        <w:t xml:space="preserve"> (</w:t>
      </w:r>
      <w:r w:rsidR="008F68A6">
        <w:rPr>
          <w:lang w:eastAsia="zh-CN"/>
        </w:rPr>
        <w:t>c</w:t>
      </w:r>
      <w:r w:rsidR="009F7DF2">
        <w:rPr>
          <w:lang w:eastAsia="zh-CN"/>
        </w:rPr>
        <w:t xml:space="preserve">hild </w:t>
      </w:r>
      <w:r w:rsidR="008F68A6">
        <w:rPr>
          <w:lang w:eastAsia="zh-CN"/>
        </w:rPr>
        <w:t>a</w:t>
      </w:r>
      <w:r w:rsidR="009F7DF2">
        <w:rPr>
          <w:lang w:eastAsia="zh-CN"/>
        </w:rPr>
        <w:t>buse</w:t>
      </w:r>
      <w:r w:rsidR="009F7DF2" w:rsidRPr="00A40DBC">
        <w:rPr>
          <w:lang w:eastAsia="zh-CN"/>
        </w:rPr>
        <w:t xml:space="preserve">) and </w:t>
      </w:r>
      <w:r w:rsidR="009F7DF2">
        <w:rPr>
          <w:lang w:eastAsia="zh-CN"/>
        </w:rPr>
        <w:t>44</w:t>
      </w:r>
      <w:r w:rsidR="009F7DF2" w:rsidRPr="00A40DBC">
        <w:rPr>
          <w:lang w:eastAsia="zh-CN"/>
        </w:rPr>
        <w:t xml:space="preserve"> (</w:t>
      </w:r>
      <w:r w:rsidR="009F7DF2">
        <w:t>Marine and Coastal Area (</w:t>
      </w:r>
      <w:proofErr w:type="spellStart"/>
      <w:r w:rsidR="009F7DF2">
        <w:t>Takutai</w:t>
      </w:r>
      <w:proofErr w:type="spellEnd"/>
      <w:r w:rsidR="009F7DF2">
        <w:t xml:space="preserve"> Moana) Act 2011</w:t>
      </w:r>
      <w:proofErr w:type="gramStart"/>
      <w:r w:rsidR="009F7DF2" w:rsidRPr="00A40DBC">
        <w:rPr>
          <w:lang w:eastAsia="zh-CN"/>
        </w:rPr>
        <w:t xml:space="preserve">) </w:t>
      </w:r>
      <w:r w:rsidR="00A40DBC" w:rsidRPr="00A40DBC">
        <w:rPr>
          <w:lang w:eastAsia="zh-CN"/>
        </w:rPr>
        <w:t xml:space="preserve"> above</w:t>
      </w:r>
      <w:proofErr w:type="gramEnd"/>
      <w:r w:rsidR="00A40DBC" w:rsidRPr="00A40DBC">
        <w:rPr>
          <w:lang w:eastAsia="zh-CN"/>
        </w:rPr>
        <w:t>.</w:t>
      </w:r>
      <w:r w:rsidR="000A4E21">
        <w:rPr>
          <w:lang w:eastAsia="zh-CN"/>
        </w:rPr>
        <w:t xml:space="preserve"> </w:t>
      </w:r>
    </w:p>
    <w:p w:rsidR="00A40DBC" w:rsidRPr="00A40DBC" w:rsidRDefault="00962F63" w:rsidP="00962F63">
      <w:pPr>
        <w:pStyle w:val="SingleTxtG"/>
      </w:pPr>
      <w:r w:rsidRPr="00A40DBC">
        <w:t>51.</w:t>
      </w:r>
      <w:r w:rsidRPr="00A40DBC">
        <w:tab/>
      </w:r>
      <w:r w:rsidR="00A40DBC" w:rsidRPr="00A40DBC">
        <w:rPr>
          <w:lang w:eastAsia="zh-CN"/>
        </w:rPr>
        <w:t xml:space="preserve">The Committee requests the State party to submit its next periodic report by </w:t>
      </w:r>
      <w:r w:rsidR="009F7D2D">
        <w:rPr>
          <w:lang w:eastAsia="zh-CN"/>
        </w:rPr>
        <w:t>31</w:t>
      </w:r>
      <w:r w:rsidR="00D56035">
        <w:rPr>
          <w:lang w:eastAsia="zh-CN"/>
        </w:rPr>
        <w:t> </w:t>
      </w:r>
      <w:r w:rsidR="009F7D2D">
        <w:rPr>
          <w:lang w:eastAsia="zh-CN"/>
        </w:rPr>
        <w:t>March</w:t>
      </w:r>
      <w:r w:rsidR="00251E32">
        <w:rPr>
          <w:lang w:eastAsia="zh-CN"/>
        </w:rPr>
        <w:t xml:space="preserve"> </w:t>
      </w:r>
      <w:r w:rsidR="00B672BF">
        <w:rPr>
          <w:lang w:eastAsia="zh-CN"/>
        </w:rPr>
        <w:t>2023</w:t>
      </w:r>
      <w:r w:rsidR="00A40DBC" w:rsidRPr="00A40DBC">
        <w:rPr>
          <w:lang w:eastAsia="zh-CN"/>
        </w:rPr>
        <w:t xml:space="preserve">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 as well as indigenous communities</w:t>
      </w:r>
      <w:r w:rsidR="008F68A6">
        <w:rPr>
          <w:lang w:eastAsia="zh-CN"/>
        </w:rPr>
        <w:t xml:space="preserve"> and</w:t>
      </w:r>
      <w:r w:rsidR="00A40DBC" w:rsidRPr="00A40DBC">
        <w:rPr>
          <w:lang w:eastAsia="zh-CN"/>
        </w:rPr>
        <w:t xml:space="preserve"> minority and marginalized groups.</w:t>
      </w:r>
    </w:p>
    <w:p w:rsidR="000A4E21" w:rsidRDefault="00962F63" w:rsidP="00962F63">
      <w:pPr>
        <w:pStyle w:val="SingleTxtG"/>
      </w:pPr>
      <w:r>
        <w:t>52.</w:t>
      </w:r>
      <w:r>
        <w:tab/>
      </w:r>
      <w:r w:rsidR="00A40DBC" w:rsidRPr="00A40DBC">
        <w:rPr>
          <w:lang w:eastAsia="zh-CN"/>
        </w:rPr>
        <w:t>Given that the State party has accepted the simplified reporting procedure, the Committee will transmit to it a list of issues prior to the submission of the report in due course</w:t>
      </w:r>
      <w:r w:rsidR="008F68A6">
        <w:rPr>
          <w:lang w:eastAsia="zh-CN"/>
        </w:rPr>
        <w:t>. The State party’s</w:t>
      </w:r>
      <w:r w:rsidR="00A40DBC" w:rsidRPr="00A40DBC">
        <w:rPr>
          <w:lang w:eastAsia="zh-CN"/>
        </w:rPr>
        <w:t xml:space="preserve"> replies to </w:t>
      </w:r>
      <w:r w:rsidR="008F68A6">
        <w:rPr>
          <w:lang w:eastAsia="zh-CN"/>
        </w:rPr>
        <w:t>that list</w:t>
      </w:r>
      <w:r w:rsidR="00A40DBC" w:rsidRPr="00A40DBC">
        <w:rPr>
          <w:lang w:eastAsia="zh-CN"/>
        </w:rPr>
        <w:t xml:space="preserve"> will constitute </w:t>
      </w:r>
      <w:r w:rsidR="008F68A6">
        <w:rPr>
          <w:lang w:eastAsia="zh-CN"/>
        </w:rPr>
        <w:t>its</w:t>
      </w:r>
      <w:r w:rsidR="00A40DBC" w:rsidRPr="00A40DBC">
        <w:rPr>
          <w:lang w:eastAsia="zh-CN"/>
        </w:rPr>
        <w:t xml:space="preserve"> </w:t>
      </w:r>
      <w:r w:rsidR="009F7DF2">
        <w:rPr>
          <w:lang w:eastAsia="zh-CN"/>
        </w:rPr>
        <w:t>seventh</w:t>
      </w:r>
      <w:r w:rsidR="00FF3BBB">
        <w:rPr>
          <w:lang w:eastAsia="zh-CN"/>
        </w:rPr>
        <w:t xml:space="preserve"> </w:t>
      </w:r>
      <w:r w:rsidR="00A40DBC" w:rsidRPr="00A40DBC">
        <w:rPr>
          <w:lang w:eastAsia="zh-CN"/>
        </w:rPr>
        <w:t xml:space="preserve">periodic report. </w:t>
      </w:r>
      <w:r w:rsidR="008F68A6">
        <w:rPr>
          <w:lang w:eastAsia="zh-CN"/>
        </w:rPr>
        <w:t>I</w:t>
      </w:r>
      <w:r w:rsidR="00A40DBC" w:rsidRPr="00A40DBC">
        <w:rPr>
          <w:lang w:eastAsia="zh-CN"/>
        </w:rPr>
        <w:t>n accordance with General Assembly resolution 68/268</w:t>
      </w:r>
      <w:r w:rsidR="008F68A6">
        <w:rPr>
          <w:lang w:eastAsia="zh-CN"/>
        </w:rPr>
        <w:t>, t</w:t>
      </w:r>
      <w:r w:rsidR="008F68A6" w:rsidRPr="00A40DBC">
        <w:rPr>
          <w:lang w:eastAsia="zh-CN"/>
        </w:rPr>
        <w:t>he word limit for the report is 21,200 words</w:t>
      </w:r>
      <w:r w:rsidR="00A40DBC" w:rsidRPr="00A40DBC">
        <w:rPr>
          <w:lang w:eastAsia="zh-CN"/>
        </w:rPr>
        <w:t>.</w:t>
      </w:r>
    </w:p>
    <w:p w:rsidR="00FF544D" w:rsidRDefault="00A40DBC" w:rsidP="00FF544D">
      <w:pPr>
        <w:spacing w:before="240"/>
        <w:jc w:val="center"/>
        <w:rPr>
          <w:u w:val="single"/>
        </w:rPr>
      </w:pPr>
      <w:r w:rsidRPr="00A40DBC">
        <w:rPr>
          <w:lang w:eastAsia="zh-CN"/>
        </w:rPr>
        <w:t xml:space="preserve"> </w:t>
      </w:r>
      <w:r w:rsidR="00FF544D">
        <w:rPr>
          <w:u w:val="single"/>
        </w:rPr>
        <w:tab/>
      </w:r>
      <w:r w:rsidR="00FF544D">
        <w:rPr>
          <w:u w:val="single"/>
        </w:rPr>
        <w:tab/>
      </w:r>
      <w:r w:rsidR="00FF544D">
        <w:rPr>
          <w:u w:val="single"/>
        </w:rPr>
        <w:tab/>
      </w:r>
    </w:p>
    <w:sectPr w:rsidR="00FF544D" w:rsidSect="0079697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C1" w:rsidRDefault="000438C1"/>
  </w:endnote>
  <w:endnote w:type="continuationSeparator" w:id="0">
    <w:p w:rsidR="000438C1" w:rsidRDefault="000438C1"/>
  </w:endnote>
  <w:endnote w:type="continuationNotice" w:id="1">
    <w:p w:rsidR="000438C1" w:rsidRDefault="00043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C1" w:rsidRPr="006959AE" w:rsidRDefault="000438C1" w:rsidP="006959AE">
    <w:pPr>
      <w:pStyle w:val="Footer"/>
      <w:tabs>
        <w:tab w:val="right" w:pos="9638"/>
      </w:tabs>
    </w:pPr>
    <w:r w:rsidRPr="006959AE">
      <w:rPr>
        <w:b/>
        <w:sz w:val="18"/>
      </w:rPr>
      <w:fldChar w:fldCharType="begin"/>
    </w:r>
    <w:r w:rsidRPr="006959AE">
      <w:rPr>
        <w:b/>
        <w:sz w:val="18"/>
      </w:rPr>
      <w:instrText xml:space="preserve"> PAGE  \* MERGEFORMAT </w:instrText>
    </w:r>
    <w:r w:rsidRPr="006959AE">
      <w:rPr>
        <w:b/>
        <w:sz w:val="18"/>
      </w:rPr>
      <w:fldChar w:fldCharType="separate"/>
    </w:r>
    <w:r w:rsidR="000469AD">
      <w:rPr>
        <w:b/>
        <w:noProof/>
        <w:sz w:val="18"/>
      </w:rPr>
      <w:t>10</w:t>
    </w:r>
    <w:r w:rsidRPr="006959A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C1" w:rsidRPr="006959AE" w:rsidRDefault="000438C1" w:rsidP="006959AE">
    <w:pPr>
      <w:pStyle w:val="Footer"/>
      <w:tabs>
        <w:tab w:val="right" w:pos="9638"/>
      </w:tabs>
      <w:rPr>
        <w:b/>
        <w:sz w:val="18"/>
      </w:rPr>
    </w:pPr>
    <w:r>
      <w:tab/>
    </w:r>
    <w:r w:rsidRPr="006959AE">
      <w:rPr>
        <w:b/>
        <w:sz w:val="18"/>
      </w:rPr>
      <w:fldChar w:fldCharType="begin"/>
    </w:r>
    <w:r w:rsidRPr="006959AE">
      <w:rPr>
        <w:b/>
        <w:sz w:val="18"/>
      </w:rPr>
      <w:instrText xml:space="preserve"> PAGE  \* MERGEFORMAT </w:instrText>
    </w:r>
    <w:r w:rsidRPr="006959AE">
      <w:rPr>
        <w:b/>
        <w:sz w:val="18"/>
      </w:rPr>
      <w:fldChar w:fldCharType="separate"/>
    </w:r>
    <w:r w:rsidR="000469AD">
      <w:rPr>
        <w:b/>
        <w:noProof/>
        <w:sz w:val="18"/>
      </w:rPr>
      <w:t>9</w:t>
    </w:r>
    <w:r w:rsidRPr="006959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52" w:rsidRDefault="00C71052">
    <w:pPr>
      <w:pStyle w:val="Footer"/>
      <w:rPr>
        <w:sz w:val="20"/>
      </w:rPr>
    </w:pPr>
    <w:r>
      <w:rPr>
        <w:sz w:val="20"/>
      </w:rPr>
      <w:t>GE.16-06943(E)</w:t>
    </w:r>
  </w:p>
  <w:p w:rsidR="00C71052" w:rsidRPr="00C71052" w:rsidRDefault="00C7105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-292100</wp:posOffset>
          </wp:positionV>
          <wp:extent cx="638175" cy="638175"/>
          <wp:effectExtent l="0" t="0" r="9525" b="9525"/>
          <wp:wrapNone/>
          <wp:docPr id="1" name="Picture 1" descr="http://undocs.org/m2/QRCode.ashx?DS=CCPR/C/NZL/CO/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NZL/CO/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C1" w:rsidRPr="000B175B" w:rsidRDefault="000438C1" w:rsidP="000B175B">
      <w:pPr>
        <w:tabs>
          <w:tab w:val="right" w:pos="2155"/>
        </w:tabs>
        <w:spacing w:after="80"/>
        <w:ind w:left="680"/>
        <w:rPr>
          <w:u w:val="single"/>
        </w:rPr>
      </w:pPr>
      <w:r>
        <w:rPr>
          <w:u w:val="single"/>
        </w:rPr>
        <w:tab/>
      </w:r>
    </w:p>
  </w:footnote>
  <w:footnote w:type="continuationSeparator" w:id="0">
    <w:p w:rsidR="000438C1" w:rsidRPr="00FC68B7" w:rsidRDefault="000438C1" w:rsidP="00FC68B7">
      <w:pPr>
        <w:tabs>
          <w:tab w:val="left" w:pos="2155"/>
        </w:tabs>
        <w:spacing w:after="80"/>
        <w:ind w:left="680"/>
        <w:rPr>
          <w:u w:val="single"/>
        </w:rPr>
      </w:pPr>
      <w:r>
        <w:rPr>
          <w:u w:val="single"/>
        </w:rPr>
        <w:tab/>
      </w:r>
    </w:p>
  </w:footnote>
  <w:footnote w:type="continuationNotice" w:id="1">
    <w:p w:rsidR="000438C1" w:rsidRDefault="000438C1"/>
  </w:footnote>
  <w:footnote w:id="2">
    <w:p w:rsidR="000438C1" w:rsidRPr="00F905B3" w:rsidRDefault="000438C1" w:rsidP="00796971">
      <w:pPr>
        <w:pStyle w:val="FootnoteText"/>
        <w:kinsoku/>
        <w:overflowPunct/>
        <w:autoSpaceDE/>
        <w:autoSpaceDN/>
        <w:adjustRightInd/>
        <w:snapToGrid/>
      </w:pPr>
      <w:r>
        <w:tab/>
      </w:r>
      <w:r w:rsidRPr="00F905B3">
        <w:rPr>
          <w:sz w:val="20"/>
        </w:rPr>
        <w:t>*</w:t>
      </w:r>
      <w:r>
        <w:rPr>
          <w:sz w:val="20"/>
        </w:rPr>
        <w:tab/>
      </w:r>
      <w:r w:rsidRPr="00B464B5">
        <w:rPr>
          <w:rStyle w:val="FootnoteTextChar"/>
        </w:rPr>
        <w:t>Adopted by the Committee at its 11</w:t>
      </w:r>
      <w:r>
        <w:rPr>
          <w:rStyle w:val="FootnoteTextChar"/>
        </w:rPr>
        <w:t>6</w:t>
      </w:r>
      <w:r w:rsidRPr="00B464B5">
        <w:rPr>
          <w:rStyle w:val="FootnoteTextChar"/>
        </w:rPr>
        <w:t>th session (</w:t>
      </w:r>
      <w:r>
        <w:rPr>
          <w:rStyle w:val="FootnoteTextChar"/>
        </w:rPr>
        <w:t>7-31 March</w:t>
      </w:r>
      <w:r w:rsidRPr="00B464B5">
        <w:rPr>
          <w:rStyle w:val="FootnoteTextChar"/>
        </w:rPr>
        <w:t xml:space="preserve"> 201</w:t>
      </w:r>
      <w:r>
        <w:rPr>
          <w:rStyle w:val="FootnoteTextChar"/>
        </w:rPr>
        <w:t>6</w:t>
      </w:r>
      <w:r w:rsidRPr="00B464B5">
        <w:rPr>
          <w:rStyle w:val="FootnoteTextCh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C1" w:rsidRPr="006959AE" w:rsidRDefault="000438C1">
    <w:pPr>
      <w:pStyle w:val="Header"/>
    </w:pPr>
    <w:r>
      <w:t>CCPR/C/NZL/CO/6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C1" w:rsidRPr="006959AE" w:rsidRDefault="000438C1" w:rsidP="006959AE">
    <w:pPr>
      <w:pStyle w:val="Header"/>
      <w:jc w:val="right"/>
    </w:pPr>
    <w:r>
      <w:t>CCPR/C/NZL/CO/6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F4A"/>
    <w:multiLevelType w:val="hybridMultilevel"/>
    <w:tmpl w:val="6C6CC862"/>
    <w:lvl w:ilvl="0" w:tplc="2DFC747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304E40"/>
    <w:multiLevelType w:val="hybridMultilevel"/>
    <w:tmpl w:val="6E36797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0472501"/>
    <w:multiLevelType w:val="hybridMultilevel"/>
    <w:tmpl w:val="5AF85248"/>
    <w:lvl w:ilvl="0" w:tplc="D7B609A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1455463F"/>
    <w:multiLevelType w:val="hybridMultilevel"/>
    <w:tmpl w:val="A8EAC54A"/>
    <w:lvl w:ilvl="0" w:tplc="07ACB18A">
      <w:start w:val="1"/>
      <w:numFmt w:val="lowerLetter"/>
      <w:lvlText w:val="(%1)"/>
      <w:lvlJc w:val="left"/>
      <w:pPr>
        <w:ind w:left="1452" w:hanging="88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28C06C4"/>
    <w:multiLevelType w:val="hybridMultilevel"/>
    <w:tmpl w:val="58CE5A54"/>
    <w:lvl w:ilvl="0" w:tplc="60061F6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23EA1258"/>
    <w:multiLevelType w:val="hybridMultilevel"/>
    <w:tmpl w:val="8C60E96C"/>
    <w:lvl w:ilvl="0" w:tplc="3034C692">
      <w:start w:val="1"/>
      <w:numFmt w:val="lowerLetter"/>
      <w:lvlText w:val="%1)"/>
      <w:lvlJc w:val="left"/>
      <w:pPr>
        <w:ind w:left="2015" w:hanging="360"/>
      </w:pPr>
    </w:lvl>
    <w:lvl w:ilvl="1" w:tplc="08090019">
      <w:start w:val="1"/>
      <w:numFmt w:val="lowerLetter"/>
      <w:lvlText w:val="%2."/>
      <w:lvlJc w:val="left"/>
      <w:pPr>
        <w:ind w:left="2735" w:hanging="360"/>
      </w:pPr>
    </w:lvl>
    <w:lvl w:ilvl="2" w:tplc="0809001B">
      <w:start w:val="1"/>
      <w:numFmt w:val="lowerRoman"/>
      <w:lvlText w:val="%3."/>
      <w:lvlJc w:val="right"/>
      <w:pPr>
        <w:ind w:left="3455" w:hanging="180"/>
      </w:pPr>
    </w:lvl>
    <w:lvl w:ilvl="3" w:tplc="0809000F">
      <w:start w:val="1"/>
      <w:numFmt w:val="decimal"/>
      <w:lvlText w:val="%4."/>
      <w:lvlJc w:val="left"/>
      <w:pPr>
        <w:ind w:left="4175" w:hanging="360"/>
      </w:pPr>
    </w:lvl>
    <w:lvl w:ilvl="4" w:tplc="08090019">
      <w:start w:val="1"/>
      <w:numFmt w:val="lowerLetter"/>
      <w:lvlText w:val="%5."/>
      <w:lvlJc w:val="left"/>
      <w:pPr>
        <w:ind w:left="4895" w:hanging="360"/>
      </w:pPr>
    </w:lvl>
    <w:lvl w:ilvl="5" w:tplc="0809001B">
      <w:start w:val="1"/>
      <w:numFmt w:val="lowerRoman"/>
      <w:lvlText w:val="%6."/>
      <w:lvlJc w:val="right"/>
      <w:pPr>
        <w:ind w:left="5615" w:hanging="180"/>
      </w:pPr>
    </w:lvl>
    <w:lvl w:ilvl="6" w:tplc="0809000F">
      <w:start w:val="1"/>
      <w:numFmt w:val="decimal"/>
      <w:lvlText w:val="%7."/>
      <w:lvlJc w:val="left"/>
      <w:pPr>
        <w:ind w:left="6335" w:hanging="360"/>
      </w:pPr>
    </w:lvl>
    <w:lvl w:ilvl="7" w:tplc="08090019">
      <w:start w:val="1"/>
      <w:numFmt w:val="lowerLetter"/>
      <w:lvlText w:val="%8."/>
      <w:lvlJc w:val="left"/>
      <w:pPr>
        <w:ind w:left="7055" w:hanging="360"/>
      </w:pPr>
    </w:lvl>
    <w:lvl w:ilvl="8" w:tplc="0809001B">
      <w:start w:val="1"/>
      <w:numFmt w:val="lowerRoman"/>
      <w:lvlText w:val="%9."/>
      <w:lvlJc w:val="right"/>
      <w:pPr>
        <w:ind w:left="7775" w:hanging="180"/>
      </w:pPr>
    </w:lvl>
  </w:abstractNum>
  <w:abstractNum w:abstractNumId="7">
    <w:nsid w:val="241156FC"/>
    <w:multiLevelType w:val="hybridMultilevel"/>
    <w:tmpl w:val="3FE20EF2"/>
    <w:lvl w:ilvl="0" w:tplc="056C7DE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B5341F2"/>
    <w:multiLevelType w:val="hybridMultilevel"/>
    <w:tmpl w:val="D4DA4BD2"/>
    <w:lvl w:ilvl="0" w:tplc="948403D2">
      <w:start w:val="1"/>
      <w:numFmt w:val="lowerLetter"/>
      <w:lvlText w:val="(%1)"/>
      <w:lvlJc w:val="left"/>
      <w:pPr>
        <w:ind w:left="1647" w:hanging="360"/>
      </w:pPr>
    </w:lvl>
    <w:lvl w:ilvl="1" w:tplc="08090019">
      <w:start w:val="1"/>
      <w:numFmt w:val="lowerLetter"/>
      <w:lvlText w:val="%2."/>
      <w:lvlJc w:val="left"/>
      <w:pPr>
        <w:ind w:left="2367" w:hanging="360"/>
      </w:pPr>
    </w:lvl>
    <w:lvl w:ilvl="2" w:tplc="0809001B">
      <w:start w:val="1"/>
      <w:numFmt w:val="lowerRoman"/>
      <w:lvlText w:val="%3."/>
      <w:lvlJc w:val="right"/>
      <w:pPr>
        <w:ind w:left="3087" w:hanging="180"/>
      </w:pPr>
    </w:lvl>
    <w:lvl w:ilvl="3" w:tplc="0809000F">
      <w:start w:val="1"/>
      <w:numFmt w:val="decimal"/>
      <w:lvlText w:val="%4."/>
      <w:lvlJc w:val="left"/>
      <w:pPr>
        <w:ind w:left="3807" w:hanging="360"/>
      </w:pPr>
    </w:lvl>
    <w:lvl w:ilvl="4" w:tplc="08090019">
      <w:start w:val="1"/>
      <w:numFmt w:val="lowerLetter"/>
      <w:lvlText w:val="%5."/>
      <w:lvlJc w:val="left"/>
      <w:pPr>
        <w:ind w:left="4527" w:hanging="360"/>
      </w:pPr>
    </w:lvl>
    <w:lvl w:ilvl="5" w:tplc="0809001B">
      <w:start w:val="1"/>
      <w:numFmt w:val="lowerRoman"/>
      <w:lvlText w:val="%6."/>
      <w:lvlJc w:val="right"/>
      <w:pPr>
        <w:ind w:left="5247" w:hanging="180"/>
      </w:pPr>
    </w:lvl>
    <w:lvl w:ilvl="6" w:tplc="0809000F">
      <w:start w:val="1"/>
      <w:numFmt w:val="decimal"/>
      <w:lvlText w:val="%7."/>
      <w:lvlJc w:val="left"/>
      <w:pPr>
        <w:ind w:left="5967" w:hanging="360"/>
      </w:pPr>
    </w:lvl>
    <w:lvl w:ilvl="7" w:tplc="08090019">
      <w:start w:val="1"/>
      <w:numFmt w:val="lowerLetter"/>
      <w:lvlText w:val="%8."/>
      <w:lvlJc w:val="left"/>
      <w:pPr>
        <w:ind w:left="6687" w:hanging="360"/>
      </w:pPr>
    </w:lvl>
    <w:lvl w:ilvl="8" w:tplc="0809001B">
      <w:start w:val="1"/>
      <w:numFmt w:val="lowerRoman"/>
      <w:lvlText w:val="%9."/>
      <w:lvlJc w:val="right"/>
      <w:pPr>
        <w:ind w:left="7407" w:hanging="180"/>
      </w:pPr>
    </w:lvl>
  </w:abstractNum>
  <w:abstractNum w:abstractNumId="9">
    <w:nsid w:val="33BA2285"/>
    <w:multiLevelType w:val="hybridMultilevel"/>
    <w:tmpl w:val="AD680690"/>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4F94CB3"/>
    <w:multiLevelType w:val="hybridMultilevel"/>
    <w:tmpl w:val="853252DA"/>
    <w:lvl w:ilvl="0" w:tplc="CA68751C">
      <w:start w:val="1"/>
      <w:numFmt w:val="lowerLetter"/>
      <w:lvlText w:val="%1)"/>
      <w:lvlJc w:val="left"/>
      <w:pPr>
        <w:ind w:left="2015" w:hanging="360"/>
      </w:pPr>
      <w:rPr>
        <w:rFonts w:ascii="Times New Roman" w:eastAsia="Times New Roman" w:hAnsi="Times New Roman" w:cs="Times New Roman"/>
      </w:rPr>
    </w:lvl>
    <w:lvl w:ilvl="1" w:tplc="08090019">
      <w:start w:val="1"/>
      <w:numFmt w:val="lowerLetter"/>
      <w:lvlText w:val="%2."/>
      <w:lvlJc w:val="left"/>
      <w:pPr>
        <w:ind w:left="2735" w:hanging="360"/>
      </w:pPr>
    </w:lvl>
    <w:lvl w:ilvl="2" w:tplc="0809001B">
      <w:start w:val="1"/>
      <w:numFmt w:val="lowerRoman"/>
      <w:lvlText w:val="%3."/>
      <w:lvlJc w:val="right"/>
      <w:pPr>
        <w:ind w:left="3455" w:hanging="180"/>
      </w:pPr>
    </w:lvl>
    <w:lvl w:ilvl="3" w:tplc="0809000F">
      <w:start w:val="1"/>
      <w:numFmt w:val="decimal"/>
      <w:lvlText w:val="%4."/>
      <w:lvlJc w:val="left"/>
      <w:pPr>
        <w:ind w:left="4175" w:hanging="360"/>
      </w:pPr>
    </w:lvl>
    <w:lvl w:ilvl="4" w:tplc="08090019">
      <w:start w:val="1"/>
      <w:numFmt w:val="lowerLetter"/>
      <w:lvlText w:val="%5."/>
      <w:lvlJc w:val="left"/>
      <w:pPr>
        <w:ind w:left="4895" w:hanging="360"/>
      </w:pPr>
    </w:lvl>
    <w:lvl w:ilvl="5" w:tplc="0809001B">
      <w:start w:val="1"/>
      <w:numFmt w:val="lowerRoman"/>
      <w:lvlText w:val="%6."/>
      <w:lvlJc w:val="right"/>
      <w:pPr>
        <w:ind w:left="5615" w:hanging="180"/>
      </w:pPr>
    </w:lvl>
    <w:lvl w:ilvl="6" w:tplc="0809000F">
      <w:start w:val="1"/>
      <w:numFmt w:val="decimal"/>
      <w:lvlText w:val="%7."/>
      <w:lvlJc w:val="left"/>
      <w:pPr>
        <w:ind w:left="6335" w:hanging="360"/>
      </w:pPr>
    </w:lvl>
    <w:lvl w:ilvl="7" w:tplc="08090019">
      <w:start w:val="1"/>
      <w:numFmt w:val="lowerLetter"/>
      <w:lvlText w:val="%8."/>
      <w:lvlJc w:val="left"/>
      <w:pPr>
        <w:ind w:left="7055" w:hanging="360"/>
      </w:pPr>
    </w:lvl>
    <w:lvl w:ilvl="8" w:tplc="0809001B">
      <w:start w:val="1"/>
      <w:numFmt w:val="lowerRoman"/>
      <w:lvlText w:val="%9."/>
      <w:lvlJc w:val="right"/>
      <w:pPr>
        <w:ind w:left="7775" w:hanging="180"/>
      </w:pPr>
    </w:lvl>
  </w:abstractNum>
  <w:abstractNum w:abstractNumId="11">
    <w:nsid w:val="48A65286"/>
    <w:multiLevelType w:val="hybridMultilevel"/>
    <w:tmpl w:val="A4C0C8C0"/>
    <w:lvl w:ilvl="0" w:tplc="FAB45F68">
      <w:start w:val="4"/>
      <w:numFmt w:val="upperLetter"/>
      <w:lvlText w:val="%1."/>
      <w:lvlJc w:val="left"/>
      <w:pPr>
        <w:ind w:left="1497" w:hanging="360"/>
      </w:pPr>
      <w:rPr>
        <w:rFonts w:eastAsia="Times New Roman" w:hint="default"/>
        <w:sz w:val="24"/>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2">
    <w:nsid w:val="491E4A19"/>
    <w:multiLevelType w:val="hybridMultilevel"/>
    <w:tmpl w:val="EB665418"/>
    <w:lvl w:ilvl="0" w:tplc="0792C908">
      <w:start w:val="1"/>
      <w:numFmt w:val="lowerLetter"/>
      <w:lvlText w:val="%1)"/>
      <w:lvlJc w:val="left"/>
      <w:pPr>
        <w:ind w:left="2015" w:hanging="360"/>
      </w:pPr>
    </w:lvl>
    <w:lvl w:ilvl="1" w:tplc="08090019">
      <w:start w:val="1"/>
      <w:numFmt w:val="lowerLetter"/>
      <w:lvlText w:val="%2."/>
      <w:lvlJc w:val="left"/>
      <w:pPr>
        <w:ind w:left="2735" w:hanging="360"/>
      </w:pPr>
    </w:lvl>
    <w:lvl w:ilvl="2" w:tplc="0809001B">
      <w:start w:val="1"/>
      <w:numFmt w:val="lowerRoman"/>
      <w:lvlText w:val="%3."/>
      <w:lvlJc w:val="right"/>
      <w:pPr>
        <w:ind w:left="3455" w:hanging="180"/>
      </w:pPr>
    </w:lvl>
    <w:lvl w:ilvl="3" w:tplc="0809000F">
      <w:start w:val="1"/>
      <w:numFmt w:val="decimal"/>
      <w:lvlText w:val="%4."/>
      <w:lvlJc w:val="left"/>
      <w:pPr>
        <w:ind w:left="4175" w:hanging="360"/>
      </w:pPr>
    </w:lvl>
    <w:lvl w:ilvl="4" w:tplc="08090019">
      <w:start w:val="1"/>
      <w:numFmt w:val="lowerLetter"/>
      <w:lvlText w:val="%5."/>
      <w:lvlJc w:val="left"/>
      <w:pPr>
        <w:ind w:left="4895" w:hanging="360"/>
      </w:pPr>
    </w:lvl>
    <w:lvl w:ilvl="5" w:tplc="0809001B">
      <w:start w:val="1"/>
      <w:numFmt w:val="lowerRoman"/>
      <w:lvlText w:val="%6."/>
      <w:lvlJc w:val="right"/>
      <w:pPr>
        <w:ind w:left="5615" w:hanging="180"/>
      </w:pPr>
    </w:lvl>
    <w:lvl w:ilvl="6" w:tplc="0809000F">
      <w:start w:val="1"/>
      <w:numFmt w:val="decimal"/>
      <w:lvlText w:val="%7."/>
      <w:lvlJc w:val="left"/>
      <w:pPr>
        <w:ind w:left="6335" w:hanging="360"/>
      </w:pPr>
    </w:lvl>
    <w:lvl w:ilvl="7" w:tplc="08090019">
      <w:start w:val="1"/>
      <w:numFmt w:val="lowerLetter"/>
      <w:lvlText w:val="%8."/>
      <w:lvlJc w:val="left"/>
      <w:pPr>
        <w:ind w:left="7055" w:hanging="360"/>
      </w:pPr>
    </w:lvl>
    <w:lvl w:ilvl="8" w:tplc="0809001B">
      <w:start w:val="1"/>
      <w:numFmt w:val="lowerRoman"/>
      <w:lvlText w:val="%9."/>
      <w:lvlJc w:val="right"/>
      <w:pPr>
        <w:ind w:left="7775" w:hanging="180"/>
      </w:pPr>
    </w:lvl>
  </w:abstractNum>
  <w:abstractNum w:abstractNumId="13">
    <w:nsid w:val="4B774E7B"/>
    <w:multiLevelType w:val="hybridMultilevel"/>
    <w:tmpl w:val="4DA40314"/>
    <w:lvl w:ilvl="0" w:tplc="6C4E5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CA0023"/>
    <w:multiLevelType w:val="hybridMultilevel"/>
    <w:tmpl w:val="2340DA24"/>
    <w:lvl w:ilvl="0" w:tplc="C0EE1B0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nsid w:val="506E4978"/>
    <w:multiLevelType w:val="hybridMultilevel"/>
    <w:tmpl w:val="56AC9F12"/>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51C42481"/>
    <w:multiLevelType w:val="hybridMultilevel"/>
    <w:tmpl w:val="5D842482"/>
    <w:lvl w:ilvl="0" w:tplc="0096E09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nsid w:val="56CE63EE"/>
    <w:multiLevelType w:val="hybridMultilevel"/>
    <w:tmpl w:val="3D601074"/>
    <w:lvl w:ilvl="0" w:tplc="315E65D0">
      <w:start w:val="1"/>
      <w:numFmt w:val="lowerLetter"/>
      <w:lvlText w:val="%1)"/>
      <w:lvlJc w:val="left"/>
      <w:pPr>
        <w:ind w:left="2015" w:hanging="360"/>
      </w:pPr>
    </w:lvl>
    <w:lvl w:ilvl="1" w:tplc="08090019">
      <w:start w:val="1"/>
      <w:numFmt w:val="lowerLetter"/>
      <w:lvlText w:val="%2."/>
      <w:lvlJc w:val="left"/>
      <w:pPr>
        <w:ind w:left="2735" w:hanging="360"/>
      </w:pPr>
    </w:lvl>
    <w:lvl w:ilvl="2" w:tplc="0809001B">
      <w:start w:val="1"/>
      <w:numFmt w:val="lowerRoman"/>
      <w:lvlText w:val="%3."/>
      <w:lvlJc w:val="right"/>
      <w:pPr>
        <w:ind w:left="3455" w:hanging="180"/>
      </w:pPr>
    </w:lvl>
    <w:lvl w:ilvl="3" w:tplc="0809000F">
      <w:start w:val="1"/>
      <w:numFmt w:val="decimal"/>
      <w:lvlText w:val="%4."/>
      <w:lvlJc w:val="left"/>
      <w:pPr>
        <w:ind w:left="4175" w:hanging="360"/>
      </w:pPr>
    </w:lvl>
    <w:lvl w:ilvl="4" w:tplc="08090019">
      <w:start w:val="1"/>
      <w:numFmt w:val="lowerLetter"/>
      <w:lvlText w:val="%5."/>
      <w:lvlJc w:val="left"/>
      <w:pPr>
        <w:ind w:left="4895" w:hanging="360"/>
      </w:pPr>
    </w:lvl>
    <w:lvl w:ilvl="5" w:tplc="0809001B">
      <w:start w:val="1"/>
      <w:numFmt w:val="lowerRoman"/>
      <w:lvlText w:val="%6."/>
      <w:lvlJc w:val="right"/>
      <w:pPr>
        <w:ind w:left="5615" w:hanging="180"/>
      </w:pPr>
    </w:lvl>
    <w:lvl w:ilvl="6" w:tplc="0809000F">
      <w:start w:val="1"/>
      <w:numFmt w:val="decimal"/>
      <w:lvlText w:val="%7."/>
      <w:lvlJc w:val="left"/>
      <w:pPr>
        <w:ind w:left="6335" w:hanging="360"/>
      </w:pPr>
    </w:lvl>
    <w:lvl w:ilvl="7" w:tplc="08090019">
      <w:start w:val="1"/>
      <w:numFmt w:val="lowerLetter"/>
      <w:lvlText w:val="%8."/>
      <w:lvlJc w:val="left"/>
      <w:pPr>
        <w:ind w:left="7055" w:hanging="360"/>
      </w:pPr>
    </w:lvl>
    <w:lvl w:ilvl="8" w:tplc="0809001B">
      <w:start w:val="1"/>
      <w:numFmt w:val="lowerRoman"/>
      <w:lvlText w:val="%9."/>
      <w:lvlJc w:val="right"/>
      <w:pPr>
        <w:ind w:left="7775" w:hanging="180"/>
      </w:pPr>
    </w:lvl>
  </w:abstractNum>
  <w:abstractNum w:abstractNumId="18">
    <w:nsid w:val="588417AC"/>
    <w:multiLevelType w:val="hybridMultilevel"/>
    <w:tmpl w:val="F724C7A2"/>
    <w:lvl w:ilvl="0" w:tplc="44C4A06C">
      <w:start w:val="1"/>
      <w:numFmt w:val="lowerLetter"/>
      <w:lvlText w:val="%1)"/>
      <w:lvlJc w:val="center"/>
      <w:pPr>
        <w:ind w:left="1460" w:hanging="360"/>
      </w:pPr>
    </w:lvl>
    <w:lvl w:ilvl="1" w:tplc="08090019">
      <w:start w:val="1"/>
      <w:numFmt w:val="lowerLetter"/>
      <w:lvlText w:val="%2."/>
      <w:lvlJc w:val="left"/>
      <w:pPr>
        <w:ind w:left="2180" w:hanging="360"/>
      </w:pPr>
    </w:lvl>
    <w:lvl w:ilvl="2" w:tplc="0809001B">
      <w:start w:val="1"/>
      <w:numFmt w:val="lowerRoman"/>
      <w:lvlText w:val="%3."/>
      <w:lvlJc w:val="right"/>
      <w:pPr>
        <w:ind w:left="2900" w:hanging="180"/>
      </w:pPr>
    </w:lvl>
    <w:lvl w:ilvl="3" w:tplc="0809000F">
      <w:start w:val="1"/>
      <w:numFmt w:val="decimal"/>
      <w:lvlText w:val="%4."/>
      <w:lvlJc w:val="left"/>
      <w:pPr>
        <w:ind w:left="3620" w:hanging="360"/>
      </w:pPr>
    </w:lvl>
    <w:lvl w:ilvl="4" w:tplc="08090019">
      <w:start w:val="1"/>
      <w:numFmt w:val="lowerLetter"/>
      <w:lvlText w:val="%5."/>
      <w:lvlJc w:val="left"/>
      <w:pPr>
        <w:ind w:left="4340" w:hanging="360"/>
      </w:pPr>
    </w:lvl>
    <w:lvl w:ilvl="5" w:tplc="0809001B">
      <w:start w:val="1"/>
      <w:numFmt w:val="lowerRoman"/>
      <w:lvlText w:val="%6."/>
      <w:lvlJc w:val="right"/>
      <w:pPr>
        <w:ind w:left="5060" w:hanging="180"/>
      </w:pPr>
    </w:lvl>
    <w:lvl w:ilvl="6" w:tplc="0809000F">
      <w:start w:val="1"/>
      <w:numFmt w:val="decimal"/>
      <w:lvlText w:val="%7."/>
      <w:lvlJc w:val="left"/>
      <w:pPr>
        <w:ind w:left="5780" w:hanging="360"/>
      </w:pPr>
    </w:lvl>
    <w:lvl w:ilvl="7" w:tplc="08090019">
      <w:start w:val="1"/>
      <w:numFmt w:val="lowerLetter"/>
      <w:lvlText w:val="%8."/>
      <w:lvlJc w:val="left"/>
      <w:pPr>
        <w:ind w:left="6500" w:hanging="360"/>
      </w:pPr>
    </w:lvl>
    <w:lvl w:ilvl="8" w:tplc="0809001B">
      <w:start w:val="1"/>
      <w:numFmt w:val="lowerRoman"/>
      <w:lvlText w:val="%9."/>
      <w:lvlJc w:val="right"/>
      <w:pPr>
        <w:ind w:left="7220" w:hanging="180"/>
      </w:pPr>
    </w:lvl>
  </w:abstractNum>
  <w:abstractNum w:abstractNumId="19">
    <w:nsid w:val="64653760"/>
    <w:multiLevelType w:val="hybridMultilevel"/>
    <w:tmpl w:val="C86426B6"/>
    <w:lvl w:ilvl="0" w:tplc="9A10E03A">
      <w:start w:val="1"/>
      <w:numFmt w:val="lowerLetter"/>
      <w:lvlText w:val="%1)"/>
      <w:lvlJc w:val="left"/>
      <w:pPr>
        <w:ind w:left="2015" w:hanging="360"/>
      </w:pPr>
    </w:lvl>
    <w:lvl w:ilvl="1" w:tplc="08090019">
      <w:start w:val="1"/>
      <w:numFmt w:val="lowerLetter"/>
      <w:lvlText w:val="%2."/>
      <w:lvlJc w:val="left"/>
      <w:pPr>
        <w:ind w:left="2735" w:hanging="360"/>
      </w:pPr>
    </w:lvl>
    <w:lvl w:ilvl="2" w:tplc="0809001B">
      <w:start w:val="1"/>
      <w:numFmt w:val="lowerRoman"/>
      <w:lvlText w:val="%3."/>
      <w:lvlJc w:val="right"/>
      <w:pPr>
        <w:ind w:left="3455" w:hanging="180"/>
      </w:pPr>
    </w:lvl>
    <w:lvl w:ilvl="3" w:tplc="0809000F">
      <w:start w:val="1"/>
      <w:numFmt w:val="decimal"/>
      <w:lvlText w:val="%4."/>
      <w:lvlJc w:val="left"/>
      <w:pPr>
        <w:ind w:left="4175" w:hanging="360"/>
      </w:pPr>
    </w:lvl>
    <w:lvl w:ilvl="4" w:tplc="08090019">
      <w:start w:val="1"/>
      <w:numFmt w:val="lowerLetter"/>
      <w:lvlText w:val="%5."/>
      <w:lvlJc w:val="left"/>
      <w:pPr>
        <w:ind w:left="4895" w:hanging="360"/>
      </w:pPr>
    </w:lvl>
    <w:lvl w:ilvl="5" w:tplc="0809001B">
      <w:start w:val="1"/>
      <w:numFmt w:val="lowerRoman"/>
      <w:lvlText w:val="%6."/>
      <w:lvlJc w:val="right"/>
      <w:pPr>
        <w:ind w:left="5615" w:hanging="180"/>
      </w:pPr>
    </w:lvl>
    <w:lvl w:ilvl="6" w:tplc="0809000F">
      <w:start w:val="1"/>
      <w:numFmt w:val="decimal"/>
      <w:lvlText w:val="%7."/>
      <w:lvlJc w:val="left"/>
      <w:pPr>
        <w:ind w:left="6335" w:hanging="360"/>
      </w:pPr>
    </w:lvl>
    <w:lvl w:ilvl="7" w:tplc="08090019">
      <w:start w:val="1"/>
      <w:numFmt w:val="lowerLetter"/>
      <w:lvlText w:val="%8."/>
      <w:lvlJc w:val="left"/>
      <w:pPr>
        <w:ind w:left="7055" w:hanging="360"/>
      </w:pPr>
    </w:lvl>
    <w:lvl w:ilvl="8" w:tplc="0809001B">
      <w:start w:val="1"/>
      <w:numFmt w:val="lowerRoman"/>
      <w:lvlText w:val="%9."/>
      <w:lvlJc w:val="right"/>
      <w:pPr>
        <w:ind w:left="7775" w:hanging="180"/>
      </w:pPr>
    </w:lvl>
  </w:abstractNum>
  <w:abstractNum w:abstractNumId="20">
    <w:nsid w:val="68217ABF"/>
    <w:multiLevelType w:val="hybridMultilevel"/>
    <w:tmpl w:val="9AD66BF4"/>
    <w:lvl w:ilvl="0" w:tplc="E042F86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B032D26"/>
    <w:multiLevelType w:val="hybridMultilevel"/>
    <w:tmpl w:val="4F5017C8"/>
    <w:lvl w:ilvl="0" w:tplc="157CBF30">
      <w:start w:val="1"/>
      <w:numFmt w:val="lowerLetter"/>
      <w:lvlText w:val="%1)"/>
      <w:lvlJc w:val="left"/>
      <w:pPr>
        <w:ind w:left="2015" w:hanging="360"/>
      </w:pPr>
    </w:lvl>
    <w:lvl w:ilvl="1" w:tplc="08090019">
      <w:start w:val="1"/>
      <w:numFmt w:val="lowerLetter"/>
      <w:lvlText w:val="%2."/>
      <w:lvlJc w:val="left"/>
      <w:pPr>
        <w:ind w:left="2735" w:hanging="360"/>
      </w:pPr>
    </w:lvl>
    <w:lvl w:ilvl="2" w:tplc="0809001B">
      <w:start w:val="1"/>
      <w:numFmt w:val="lowerRoman"/>
      <w:lvlText w:val="%3."/>
      <w:lvlJc w:val="right"/>
      <w:pPr>
        <w:ind w:left="3455" w:hanging="180"/>
      </w:pPr>
    </w:lvl>
    <w:lvl w:ilvl="3" w:tplc="0809000F">
      <w:start w:val="1"/>
      <w:numFmt w:val="decimal"/>
      <w:lvlText w:val="%4."/>
      <w:lvlJc w:val="left"/>
      <w:pPr>
        <w:ind w:left="4175" w:hanging="360"/>
      </w:pPr>
    </w:lvl>
    <w:lvl w:ilvl="4" w:tplc="08090019">
      <w:start w:val="1"/>
      <w:numFmt w:val="lowerLetter"/>
      <w:lvlText w:val="%5."/>
      <w:lvlJc w:val="left"/>
      <w:pPr>
        <w:ind w:left="4895" w:hanging="360"/>
      </w:pPr>
    </w:lvl>
    <w:lvl w:ilvl="5" w:tplc="0809001B">
      <w:start w:val="1"/>
      <w:numFmt w:val="lowerRoman"/>
      <w:lvlText w:val="%6."/>
      <w:lvlJc w:val="right"/>
      <w:pPr>
        <w:ind w:left="5615" w:hanging="180"/>
      </w:pPr>
    </w:lvl>
    <w:lvl w:ilvl="6" w:tplc="0809000F">
      <w:start w:val="1"/>
      <w:numFmt w:val="decimal"/>
      <w:lvlText w:val="%7."/>
      <w:lvlJc w:val="left"/>
      <w:pPr>
        <w:ind w:left="6335" w:hanging="360"/>
      </w:pPr>
    </w:lvl>
    <w:lvl w:ilvl="7" w:tplc="08090019">
      <w:start w:val="1"/>
      <w:numFmt w:val="lowerLetter"/>
      <w:lvlText w:val="%8."/>
      <w:lvlJc w:val="left"/>
      <w:pPr>
        <w:ind w:left="7055" w:hanging="360"/>
      </w:pPr>
    </w:lvl>
    <w:lvl w:ilvl="8" w:tplc="0809001B">
      <w:start w:val="1"/>
      <w:numFmt w:val="lowerRoman"/>
      <w:lvlText w:val="%9."/>
      <w:lvlJc w:val="right"/>
      <w:pPr>
        <w:ind w:left="7775" w:hanging="180"/>
      </w:pPr>
    </w:lvl>
  </w:abstractNum>
  <w:abstractNum w:abstractNumId="23">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nsid w:val="77413857"/>
    <w:multiLevelType w:val="hybridMultilevel"/>
    <w:tmpl w:val="B1CA15A6"/>
    <w:lvl w:ilvl="0" w:tplc="19345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5"/>
  </w:num>
  <w:num w:numId="4">
    <w:abstractNumId w:val="23"/>
  </w:num>
  <w:num w:numId="5">
    <w:abstractNumId w:val="11"/>
  </w:num>
  <w:num w:numId="6">
    <w:abstractNumId w:val="4"/>
  </w:num>
  <w:num w:numId="7">
    <w:abstractNumId w:val="14"/>
  </w:num>
  <w:num w:numId="8">
    <w:abstractNumId w:val="24"/>
  </w:num>
  <w:num w:numId="9">
    <w:abstractNumId w:val="13"/>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4274">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AE"/>
    <w:rsid w:val="00004EF2"/>
    <w:rsid w:val="000229CC"/>
    <w:rsid w:val="000272B3"/>
    <w:rsid w:val="00033347"/>
    <w:rsid w:val="000438C1"/>
    <w:rsid w:val="00046729"/>
    <w:rsid w:val="000469AD"/>
    <w:rsid w:val="00050F6B"/>
    <w:rsid w:val="00057E97"/>
    <w:rsid w:val="00060C3A"/>
    <w:rsid w:val="00065E3C"/>
    <w:rsid w:val="000664E4"/>
    <w:rsid w:val="00072C8C"/>
    <w:rsid w:val="000733B5"/>
    <w:rsid w:val="00073D41"/>
    <w:rsid w:val="00081467"/>
    <w:rsid w:val="00081815"/>
    <w:rsid w:val="00091BDD"/>
    <w:rsid w:val="000931C0"/>
    <w:rsid w:val="000A4E21"/>
    <w:rsid w:val="000B175B"/>
    <w:rsid w:val="000B3A0F"/>
    <w:rsid w:val="000B4EF7"/>
    <w:rsid w:val="000C2C03"/>
    <w:rsid w:val="000C2D2E"/>
    <w:rsid w:val="000E0415"/>
    <w:rsid w:val="00105E85"/>
    <w:rsid w:val="001103AA"/>
    <w:rsid w:val="00113E22"/>
    <w:rsid w:val="001172CA"/>
    <w:rsid w:val="00120941"/>
    <w:rsid w:val="001436AB"/>
    <w:rsid w:val="00145009"/>
    <w:rsid w:val="0016048D"/>
    <w:rsid w:val="00165F3A"/>
    <w:rsid w:val="001707B6"/>
    <w:rsid w:val="00180701"/>
    <w:rsid w:val="00182207"/>
    <w:rsid w:val="00183968"/>
    <w:rsid w:val="00187653"/>
    <w:rsid w:val="00191E38"/>
    <w:rsid w:val="00192847"/>
    <w:rsid w:val="00196C11"/>
    <w:rsid w:val="001A35C7"/>
    <w:rsid w:val="001A4EAB"/>
    <w:rsid w:val="001A6686"/>
    <w:rsid w:val="001A7CA8"/>
    <w:rsid w:val="001B04E2"/>
    <w:rsid w:val="001B1885"/>
    <w:rsid w:val="001B4B04"/>
    <w:rsid w:val="001C0762"/>
    <w:rsid w:val="001C3E56"/>
    <w:rsid w:val="001C6663"/>
    <w:rsid w:val="001C7895"/>
    <w:rsid w:val="001D0C8C"/>
    <w:rsid w:val="001D26DF"/>
    <w:rsid w:val="001D3A03"/>
    <w:rsid w:val="001D5C44"/>
    <w:rsid w:val="001E246D"/>
    <w:rsid w:val="001F4488"/>
    <w:rsid w:val="00202DA8"/>
    <w:rsid w:val="00205B3F"/>
    <w:rsid w:val="00210C9A"/>
    <w:rsid w:val="00211E0B"/>
    <w:rsid w:val="00216ED0"/>
    <w:rsid w:val="00230C4B"/>
    <w:rsid w:val="0023210C"/>
    <w:rsid w:val="00234FA0"/>
    <w:rsid w:val="002400B0"/>
    <w:rsid w:val="00251E32"/>
    <w:rsid w:val="0026228A"/>
    <w:rsid w:val="00267F5F"/>
    <w:rsid w:val="002842A0"/>
    <w:rsid w:val="00286B4D"/>
    <w:rsid w:val="00294B3C"/>
    <w:rsid w:val="00296431"/>
    <w:rsid w:val="002B601E"/>
    <w:rsid w:val="002C465B"/>
    <w:rsid w:val="002F175C"/>
    <w:rsid w:val="002F2684"/>
    <w:rsid w:val="002F4D3B"/>
    <w:rsid w:val="00301C2D"/>
    <w:rsid w:val="003229D8"/>
    <w:rsid w:val="00344ADA"/>
    <w:rsid w:val="00352709"/>
    <w:rsid w:val="00353366"/>
    <w:rsid w:val="003562DC"/>
    <w:rsid w:val="00367567"/>
    <w:rsid w:val="00370746"/>
    <w:rsid w:val="00371178"/>
    <w:rsid w:val="0038336C"/>
    <w:rsid w:val="003A4536"/>
    <w:rsid w:val="003A51EE"/>
    <w:rsid w:val="003A6810"/>
    <w:rsid w:val="003C2CC4"/>
    <w:rsid w:val="003D4B23"/>
    <w:rsid w:val="003E16A5"/>
    <w:rsid w:val="004020B0"/>
    <w:rsid w:val="00404893"/>
    <w:rsid w:val="00405527"/>
    <w:rsid w:val="00410C89"/>
    <w:rsid w:val="00426B9B"/>
    <w:rsid w:val="004325CB"/>
    <w:rsid w:val="00436B33"/>
    <w:rsid w:val="0044192C"/>
    <w:rsid w:val="00442A83"/>
    <w:rsid w:val="00446E8C"/>
    <w:rsid w:val="0045495B"/>
    <w:rsid w:val="004605C0"/>
    <w:rsid w:val="004672B9"/>
    <w:rsid w:val="00467980"/>
    <w:rsid w:val="00470A78"/>
    <w:rsid w:val="00487488"/>
    <w:rsid w:val="004A282D"/>
    <w:rsid w:val="004C714E"/>
    <w:rsid w:val="004E7DE1"/>
    <w:rsid w:val="00505527"/>
    <w:rsid w:val="0051348F"/>
    <w:rsid w:val="0052136D"/>
    <w:rsid w:val="00525AAE"/>
    <w:rsid w:val="0052775E"/>
    <w:rsid w:val="005301F5"/>
    <w:rsid w:val="005420F2"/>
    <w:rsid w:val="005628B6"/>
    <w:rsid w:val="0057028D"/>
    <w:rsid w:val="0057385F"/>
    <w:rsid w:val="005848B3"/>
    <w:rsid w:val="00590F87"/>
    <w:rsid w:val="00592C4A"/>
    <w:rsid w:val="005959B2"/>
    <w:rsid w:val="005B3DB3"/>
    <w:rsid w:val="005B499F"/>
    <w:rsid w:val="005B6365"/>
    <w:rsid w:val="005C19C6"/>
    <w:rsid w:val="005C4664"/>
    <w:rsid w:val="005D49E2"/>
    <w:rsid w:val="005F4EB8"/>
    <w:rsid w:val="005F7717"/>
    <w:rsid w:val="005F7B75"/>
    <w:rsid w:val="006001EE"/>
    <w:rsid w:val="00600D00"/>
    <w:rsid w:val="00605042"/>
    <w:rsid w:val="00611FC4"/>
    <w:rsid w:val="006176FB"/>
    <w:rsid w:val="00617762"/>
    <w:rsid w:val="00622010"/>
    <w:rsid w:val="00640B26"/>
    <w:rsid w:val="006472A0"/>
    <w:rsid w:val="00652D0A"/>
    <w:rsid w:val="0066120B"/>
    <w:rsid w:val="00662BB6"/>
    <w:rsid w:val="00684C21"/>
    <w:rsid w:val="006959AE"/>
    <w:rsid w:val="006A64D0"/>
    <w:rsid w:val="006B0A16"/>
    <w:rsid w:val="006C1964"/>
    <w:rsid w:val="006C572A"/>
    <w:rsid w:val="006D37AF"/>
    <w:rsid w:val="006D51D0"/>
    <w:rsid w:val="006D561B"/>
    <w:rsid w:val="006E497E"/>
    <w:rsid w:val="006E564B"/>
    <w:rsid w:val="006E7191"/>
    <w:rsid w:val="006F23F8"/>
    <w:rsid w:val="006F7DBD"/>
    <w:rsid w:val="00703577"/>
    <w:rsid w:val="00724F19"/>
    <w:rsid w:val="0072632A"/>
    <w:rsid w:val="00727004"/>
    <w:rsid w:val="007327D5"/>
    <w:rsid w:val="00750268"/>
    <w:rsid w:val="007629C8"/>
    <w:rsid w:val="00767229"/>
    <w:rsid w:val="00796971"/>
    <w:rsid w:val="007B6BA5"/>
    <w:rsid w:val="007C3390"/>
    <w:rsid w:val="007C4F4B"/>
    <w:rsid w:val="007C784F"/>
    <w:rsid w:val="007E0B2D"/>
    <w:rsid w:val="007F6611"/>
    <w:rsid w:val="00800E98"/>
    <w:rsid w:val="008105B8"/>
    <w:rsid w:val="00814ACC"/>
    <w:rsid w:val="0082079A"/>
    <w:rsid w:val="008242D7"/>
    <w:rsid w:val="008257B1"/>
    <w:rsid w:val="00843767"/>
    <w:rsid w:val="00850F94"/>
    <w:rsid w:val="00853E3A"/>
    <w:rsid w:val="008679D9"/>
    <w:rsid w:val="00870954"/>
    <w:rsid w:val="0087196D"/>
    <w:rsid w:val="0089578C"/>
    <w:rsid w:val="008979B1"/>
    <w:rsid w:val="008A1DB2"/>
    <w:rsid w:val="008A6B25"/>
    <w:rsid w:val="008A6C4F"/>
    <w:rsid w:val="008B2335"/>
    <w:rsid w:val="008B5B74"/>
    <w:rsid w:val="008C3937"/>
    <w:rsid w:val="008D7C90"/>
    <w:rsid w:val="008E0678"/>
    <w:rsid w:val="008F226A"/>
    <w:rsid w:val="008F68A6"/>
    <w:rsid w:val="009020CE"/>
    <w:rsid w:val="00903766"/>
    <w:rsid w:val="00910F40"/>
    <w:rsid w:val="009116A8"/>
    <w:rsid w:val="00912C08"/>
    <w:rsid w:val="00920A6B"/>
    <w:rsid w:val="009223CA"/>
    <w:rsid w:val="009270F4"/>
    <w:rsid w:val="00931245"/>
    <w:rsid w:val="00940F93"/>
    <w:rsid w:val="009475C7"/>
    <w:rsid w:val="0095347F"/>
    <w:rsid w:val="00962F63"/>
    <w:rsid w:val="0096661C"/>
    <w:rsid w:val="0097220A"/>
    <w:rsid w:val="009760F3"/>
    <w:rsid w:val="00980904"/>
    <w:rsid w:val="009825E3"/>
    <w:rsid w:val="009909F5"/>
    <w:rsid w:val="009A0E8D"/>
    <w:rsid w:val="009B26E7"/>
    <w:rsid w:val="009F7D2D"/>
    <w:rsid w:val="009F7DF2"/>
    <w:rsid w:val="00A00A3F"/>
    <w:rsid w:val="00A01489"/>
    <w:rsid w:val="00A10DBC"/>
    <w:rsid w:val="00A21628"/>
    <w:rsid w:val="00A23A05"/>
    <w:rsid w:val="00A338F1"/>
    <w:rsid w:val="00A3463B"/>
    <w:rsid w:val="00A40DBC"/>
    <w:rsid w:val="00A44615"/>
    <w:rsid w:val="00A470E6"/>
    <w:rsid w:val="00A627A4"/>
    <w:rsid w:val="00A72B01"/>
    <w:rsid w:val="00A72F22"/>
    <w:rsid w:val="00A7360F"/>
    <w:rsid w:val="00A748A6"/>
    <w:rsid w:val="00A769F4"/>
    <w:rsid w:val="00A776B4"/>
    <w:rsid w:val="00A9100D"/>
    <w:rsid w:val="00A94361"/>
    <w:rsid w:val="00AA293C"/>
    <w:rsid w:val="00AA2B76"/>
    <w:rsid w:val="00AA32F0"/>
    <w:rsid w:val="00AA39E4"/>
    <w:rsid w:val="00AB2B68"/>
    <w:rsid w:val="00AD6C64"/>
    <w:rsid w:val="00AE289A"/>
    <w:rsid w:val="00B13E9B"/>
    <w:rsid w:val="00B20593"/>
    <w:rsid w:val="00B30179"/>
    <w:rsid w:val="00B339A7"/>
    <w:rsid w:val="00B4342A"/>
    <w:rsid w:val="00B4420F"/>
    <w:rsid w:val="00B55FC9"/>
    <w:rsid w:val="00B56E4A"/>
    <w:rsid w:val="00B56E9C"/>
    <w:rsid w:val="00B64B1F"/>
    <w:rsid w:val="00B6553F"/>
    <w:rsid w:val="00B66E5E"/>
    <w:rsid w:val="00B672BF"/>
    <w:rsid w:val="00B74DA7"/>
    <w:rsid w:val="00B77D05"/>
    <w:rsid w:val="00B81206"/>
    <w:rsid w:val="00B81E12"/>
    <w:rsid w:val="00B9067B"/>
    <w:rsid w:val="00BB55A7"/>
    <w:rsid w:val="00BC2C23"/>
    <w:rsid w:val="00BC74E9"/>
    <w:rsid w:val="00BD2CA4"/>
    <w:rsid w:val="00BF68A8"/>
    <w:rsid w:val="00C04C70"/>
    <w:rsid w:val="00C063CA"/>
    <w:rsid w:val="00C11A03"/>
    <w:rsid w:val="00C164E2"/>
    <w:rsid w:val="00C462FA"/>
    <w:rsid w:val="00C463DD"/>
    <w:rsid w:val="00C4724C"/>
    <w:rsid w:val="00C5548D"/>
    <w:rsid w:val="00C558A0"/>
    <w:rsid w:val="00C629A0"/>
    <w:rsid w:val="00C71052"/>
    <w:rsid w:val="00C71D65"/>
    <w:rsid w:val="00C74195"/>
    <w:rsid w:val="00C745C3"/>
    <w:rsid w:val="00C8477E"/>
    <w:rsid w:val="00C87508"/>
    <w:rsid w:val="00CA2E42"/>
    <w:rsid w:val="00CC4992"/>
    <w:rsid w:val="00CE4A8F"/>
    <w:rsid w:val="00CE74B9"/>
    <w:rsid w:val="00D01B86"/>
    <w:rsid w:val="00D177CE"/>
    <w:rsid w:val="00D2031B"/>
    <w:rsid w:val="00D25FE2"/>
    <w:rsid w:val="00D3183A"/>
    <w:rsid w:val="00D36E75"/>
    <w:rsid w:val="00D43252"/>
    <w:rsid w:val="00D47EEA"/>
    <w:rsid w:val="00D55905"/>
    <w:rsid w:val="00D56035"/>
    <w:rsid w:val="00D73D33"/>
    <w:rsid w:val="00D8140A"/>
    <w:rsid w:val="00D907D5"/>
    <w:rsid w:val="00D90D56"/>
    <w:rsid w:val="00D94645"/>
    <w:rsid w:val="00D95303"/>
    <w:rsid w:val="00D976C1"/>
    <w:rsid w:val="00D978C6"/>
    <w:rsid w:val="00DA3111"/>
    <w:rsid w:val="00DA3C1C"/>
    <w:rsid w:val="00DB0C79"/>
    <w:rsid w:val="00DC38E9"/>
    <w:rsid w:val="00DC44C0"/>
    <w:rsid w:val="00DE7C4C"/>
    <w:rsid w:val="00DF1700"/>
    <w:rsid w:val="00E22467"/>
    <w:rsid w:val="00E23B05"/>
    <w:rsid w:val="00E27346"/>
    <w:rsid w:val="00E43804"/>
    <w:rsid w:val="00E47B3F"/>
    <w:rsid w:val="00E54E38"/>
    <w:rsid w:val="00E71BC8"/>
    <w:rsid w:val="00E7260F"/>
    <w:rsid w:val="00E779FC"/>
    <w:rsid w:val="00E96630"/>
    <w:rsid w:val="00EA50AD"/>
    <w:rsid w:val="00EA72DE"/>
    <w:rsid w:val="00EB2581"/>
    <w:rsid w:val="00EC76F9"/>
    <w:rsid w:val="00ED558C"/>
    <w:rsid w:val="00ED7A2A"/>
    <w:rsid w:val="00EE0551"/>
    <w:rsid w:val="00EF1D7F"/>
    <w:rsid w:val="00EF4740"/>
    <w:rsid w:val="00EF5C2F"/>
    <w:rsid w:val="00EF6160"/>
    <w:rsid w:val="00EF68CA"/>
    <w:rsid w:val="00EF6F4D"/>
    <w:rsid w:val="00F1077C"/>
    <w:rsid w:val="00F20C3D"/>
    <w:rsid w:val="00F26831"/>
    <w:rsid w:val="00F33291"/>
    <w:rsid w:val="00F43E9E"/>
    <w:rsid w:val="00F44E30"/>
    <w:rsid w:val="00F4685D"/>
    <w:rsid w:val="00F70F74"/>
    <w:rsid w:val="00F853E9"/>
    <w:rsid w:val="00F9057C"/>
    <w:rsid w:val="00F905B3"/>
    <w:rsid w:val="00F906D7"/>
    <w:rsid w:val="00F921A9"/>
    <w:rsid w:val="00F93781"/>
    <w:rsid w:val="00FB613B"/>
    <w:rsid w:val="00FC466B"/>
    <w:rsid w:val="00FC6647"/>
    <w:rsid w:val="00FC68B7"/>
    <w:rsid w:val="00FE106A"/>
    <w:rsid w:val="00FE3320"/>
    <w:rsid w:val="00FF3BBB"/>
    <w:rsid w:val="00FF544D"/>
    <w:rsid w:val="00FF559F"/>
    <w:rsid w:val="00FF6F5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42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A4E2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A4E21"/>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20941"/>
    <w:rPr>
      <w:rFonts w:eastAsia="SimSun"/>
      <w:sz w:val="18"/>
    </w:rPr>
  </w:style>
  <w:style w:type="character" w:customStyle="1" w:styleId="H23GChar">
    <w:name w:val="_ H_2/3_G Char"/>
    <w:link w:val="H23G"/>
    <w:rsid w:val="00120941"/>
    <w:rPr>
      <w:b/>
      <w:lang w:eastAsia="en-US"/>
    </w:rPr>
  </w:style>
  <w:style w:type="character" w:customStyle="1" w:styleId="SingleTxtGChar">
    <w:name w:val="_ Single Txt_G Char"/>
    <w:link w:val="SingleTxtG"/>
    <w:rsid w:val="00120941"/>
    <w:rPr>
      <w:lang w:eastAsia="en-US"/>
    </w:rPr>
  </w:style>
  <w:style w:type="character" w:customStyle="1" w:styleId="Heading2Char">
    <w:name w:val="Heading 2 Char"/>
    <w:link w:val="Heading2"/>
    <w:rsid w:val="00FF544D"/>
    <w:rPr>
      <w:lang w:eastAsia="en-US"/>
    </w:rPr>
  </w:style>
  <w:style w:type="paragraph" w:styleId="ListParagraph">
    <w:name w:val="List Paragraph"/>
    <w:basedOn w:val="Normal"/>
    <w:uiPriority w:val="34"/>
    <w:qFormat/>
    <w:rsid w:val="00FF544D"/>
    <w:pPr>
      <w:ind w:left="720"/>
    </w:pPr>
  </w:style>
  <w:style w:type="paragraph" w:styleId="BalloonText">
    <w:name w:val="Balloon Text"/>
    <w:basedOn w:val="Normal"/>
    <w:link w:val="BalloonTextChar"/>
    <w:rsid w:val="00D8140A"/>
    <w:pPr>
      <w:spacing w:line="240" w:lineRule="auto"/>
    </w:pPr>
    <w:rPr>
      <w:rFonts w:ascii="Tahoma" w:hAnsi="Tahoma" w:cs="Tahoma"/>
      <w:sz w:val="16"/>
      <w:szCs w:val="16"/>
    </w:rPr>
  </w:style>
  <w:style w:type="character" w:customStyle="1" w:styleId="BalloonTextChar">
    <w:name w:val="Balloon Text Char"/>
    <w:link w:val="BalloonText"/>
    <w:rsid w:val="00D8140A"/>
    <w:rPr>
      <w:rFonts w:ascii="Tahoma" w:hAnsi="Tahoma" w:cs="Tahoma"/>
      <w:sz w:val="16"/>
      <w:szCs w:val="16"/>
      <w:lang w:eastAsia="en-US"/>
    </w:rPr>
  </w:style>
  <w:style w:type="character" w:styleId="CommentReference">
    <w:name w:val="annotation reference"/>
    <w:rsid w:val="00405527"/>
    <w:rPr>
      <w:sz w:val="18"/>
      <w:szCs w:val="18"/>
    </w:rPr>
  </w:style>
  <w:style w:type="paragraph" w:styleId="CommentText">
    <w:name w:val="annotation text"/>
    <w:basedOn w:val="Normal"/>
    <w:link w:val="CommentTextChar"/>
    <w:rsid w:val="00405527"/>
  </w:style>
  <w:style w:type="character" w:customStyle="1" w:styleId="CommentTextChar">
    <w:name w:val="Comment Text Char"/>
    <w:link w:val="CommentText"/>
    <w:rsid w:val="00405527"/>
    <w:rPr>
      <w:lang w:val="en-GB" w:eastAsia="en-US"/>
    </w:rPr>
  </w:style>
  <w:style w:type="paragraph" w:styleId="CommentSubject">
    <w:name w:val="annotation subject"/>
    <w:basedOn w:val="CommentText"/>
    <w:next w:val="CommentText"/>
    <w:link w:val="CommentSubjectChar"/>
    <w:rsid w:val="00405527"/>
    <w:rPr>
      <w:b/>
      <w:bCs/>
    </w:rPr>
  </w:style>
  <w:style w:type="character" w:customStyle="1" w:styleId="CommentSubjectChar">
    <w:name w:val="Comment Subject Char"/>
    <w:link w:val="CommentSubject"/>
    <w:rsid w:val="00405527"/>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A4E2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A4E21"/>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20941"/>
    <w:rPr>
      <w:rFonts w:eastAsia="SimSun"/>
      <w:sz w:val="18"/>
    </w:rPr>
  </w:style>
  <w:style w:type="character" w:customStyle="1" w:styleId="H23GChar">
    <w:name w:val="_ H_2/3_G Char"/>
    <w:link w:val="H23G"/>
    <w:rsid w:val="00120941"/>
    <w:rPr>
      <w:b/>
      <w:lang w:eastAsia="en-US"/>
    </w:rPr>
  </w:style>
  <w:style w:type="character" w:customStyle="1" w:styleId="SingleTxtGChar">
    <w:name w:val="_ Single Txt_G Char"/>
    <w:link w:val="SingleTxtG"/>
    <w:rsid w:val="00120941"/>
    <w:rPr>
      <w:lang w:eastAsia="en-US"/>
    </w:rPr>
  </w:style>
  <w:style w:type="character" w:customStyle="1" w:styleId="Heading2Char">
    <w:name w:val="Heading 2 Char"/>
    <w:link w:val="Heading2"/>
    <w:rsid w:val="00FF544D"/>
    <w:rPr>
      <w:lang w:eastAsia="en-US"/>
    </w:rPr>
  </w:style>
  <w:style w:type="paragraph" w:styleId="ListParagraph">
    <w:name w:val="List Paragraph"/>
    <w:basedOn w:val="Normal"/>
    <w:uiPriority w:val="34"/>
    <w:qFormat/>
    <w:rsid w:val="00FF544D"/>
    <w:pPr>
      <w:ind w:left="720"/>
    </w:pPr>
  </w:style>
  <w:style w:type="paragraph" w:styleId="BalloonText">
    <w:name w:val="Balloon Text"/>
    <w:basedOn w:val="Normal"/>
    <w:link w:val="BalloonTextChar"/>
    <w:rsid w:val="00D8140A"/>
    <w:pPr>
      <w:spacing w:line="240" w:lineRule="auto"/>
    </w:pPr>
    <w:rPr>
      <w:rFonts w:ascii="Tahoma" w:hAnsi="Tahoma" w:cs="Tahoma"/>
      <w:sz w:val="16"/>
      <w:szCs w:val="16"/>
    </w:rPr>
  </w:style>
  <w:style w:type="character" w:customStyle="1" w:styleId="BalloonTextChar">
    <w:name w:val="Balloon Text Char"/>
    <w:link w:val="BalloonText"/>
    <w:rsid w:val="00D8140A"/>
    <w:rPr>
      <w:rFonts w:ascii="Tahoma" w:hAnsi="Tahoma" w:cs="Tahoma"/>
      <w:sz w:val="16"/>
      <w:szCs w:val="16"/>
      <w:lang w:eastAsia="en-US"/>
    </w:rPr>
  </w:style>
  <w:style w:type="character" w:styleId="CommentReference">
    <w:name w:val="annotation reference"/>
    <w:rsid w:val="00405527"/>
    <w:rPr>
      <w:sz w:val="18"/>
      <w:szCs w:val="18"/>
    </w:rPr>
  </w:style>
  <w:style w:type="paragraph" w:styleId="CommentText">
    <w:name w:val="annotation text"/>
    <w:basedOn w:val="Normal"/>
    <w:link w:val="CommentTextChar"/>
    <w:rsid w:val="00405527"/>
  </w:style>
  <w:style w:type="character" w:customStyle="1" w:styleId="CommentTextChar">
    <w:name w:val="Comment Text Char"/>
    <w:link w:val="CommentText"/>
    <w:rsid w:val="00405527"/>
    <w:rPr>
      <w:lang w:val="en-GB" w:eastAsia="en-US"/>
    </w:rPr>
  </w:style>
  <w:style w:type="paragraph" w:styleId="CommentSubject">
    <w:name w:val="annotation subject"/>
    <w:basedOn w:val="CommentText"/>
    <w:next w:val="CommentText"/>
    <w:link w:val="CommentSubjectChar"/>
    <w:rsid w:val="00405527"/>
    <w:rPr>
      <w:b/>
      <w:bCs/>
    </w:rPr>
  </w:style>
  <w:style w:type="character" w:customStyle="1" w:styleId="CommentSubjectChar">
    <w:name w:val="Comment Subject Char"/>
    <w:link w:val="CommentSubject"/>
    <w:rsid w:val="0040552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24E3-B974-48E4-B3D0-7CBAF94A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10</Pages>
  <Words>4265</Words>
  <Characters>24242</Characters>
  <Application>Microsoft Office Word</Application>
  <DocSecurity>0</DocSecurity>
  <Lines>414</Lines>
  <Paragraphs>131</Paragraphs>
  <ScaleCrop>false</ScaleCrop>
  <HeadingPairs>
    <vt:vector size="8" baseType="variant">
      <vt:variant>
        <vt:lpstr>Title</vt:lpstr>
      </vt:variant>
      <vt:variant>
        <vt:i4>1</vt:i4>
      </vt:variant>
      <vt:variant>
        <vt:lpstr>タイトル</vt:lpstr>
      </vt:variant>
      <vt:variant>
        <vt:i4>1</vt:i4>
      </vt:variant>
      <vt:variant>
        <vt:lpstr>見出し</vt:lpstr>
      </vt:variant>
      <vt:variant>
        <vt:i4>1</vt:i4>
      </vt:variant>
      <vt:variant>
        <vt:lpstr>Titre</vt:lpstr>
      </vt:variant>
      <vt:variant>
        <vt:i4>1</vt:i4>
      </vt:variant>
    </vt:vector>
  </HeadingPairs>
  <TitlesOfParts>
    <vt:vector size="4" baseType="lpstr">
      <vt:lpstr>United Nations</vt:lpstr>
      <vt:lpstr>United Nations</vt:lpstr>
      <vt:lpstr>    Positive aspects</vt:lpstr>
      <vt:lpstr>United Nations</vt:lpstr>
    </vt:vector>
  </TitlesOfParts>
  <Company>CSD</Company>
  <LinksUpToDate>false</LinksUpToDate>
  <CharactersWithSpaces>28483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1606943</dc:title>
  <dc:subject>CCPR/C/NZL/CO/6</dc:subject>
  <dc:creator>Thodiyil Sindu</dc:creator>
  <cp:keywords/>
  <dc:description/>
  <cp:lastModifiedBy>pdfeng</cp:lastModifiedBy>
  <cp:revision>2</cp:revision>
  <cp:lastPrinted>2016-03-22T10:14:00Z</cp:lastPrinted>
  <dcterms:created xsi:type="dcterms:W3CDTF">2016-04-28T13:00:00Z</dcterms:created>
  <dcterms:modified xsi:type="dcterms:W3CDTF">2016-04-28T13:00:00Z</dcterms:modified>
</cp:coreProperties>
</file>