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000000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/>
              <w:jc w:val="right"/>
              <w:rPr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>
                <w:t>C/</w:t>
              </w:r>
              <w:r>
                <w:rPr>
                  <w:lang w:val="en-US"/>
                </w:rPr>
                <w:t>NZL</w:t>
              </w:r>
              <w:r>
                <w:t>/CO/</w:t>
              </w:r>
              <w:r>
                <w:rPr>
                  <w:lang w:val="en-US"/>
                </w:rPr>
                <w:t>5</w:t>
              </w:r>
            </w:fldSimple>
          </w:p>
        </w:tc>
      </w:tr>
      <w:tr w:rsidR="0000000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000000" w:rsidRDefault="00000000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7 April 2010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pStyle w:val="SingleTxtGR"/>
        <w:spacing w:before="120"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000000" w:rsidRDefault="00000000">
      <w:pPr>
        <w:pStyle w:val="SingleTxtGR"/>
        <w:spacing w:after="0"/>
        <w:ind w:left="0"/>
        <w:rPr>
          <w:b/>
        </w:rPr>
      </w:pPr>
      <w:r>
        <w:rPr>
          <w:b/>
        </w:rPr>
        <w:t>Девяносто восьмая сессия</w:t>
      </w:r>
    </w:p>
    <w:p w:rsidR="00000000" w:rsidRDefault="00000000">
      <w:pPr>
        <w:pStyle w:val="SingleTxtGR"/>
        <w:spacing w:after="0"/>
        <w:ind w:left="0"/>
      </w:pPr>
      <w:r>
        <w:t>Нью-Йорк, 8−26 марта 2010 года</w:t>
      </w:r>
    </w:p>
    <w:p w:rsidR="00000000" w:rsidRDefault="00000000">
      <w:pPr>
        <w:pStyle w:val="HChG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Заключительные замечания Комитета по правам человека</w:t>
      </w:r>
    </w:p>
    <w:p w:rsidR="00000000" w:rsidRDefault="00000000">
      <w:pPr>
        <w:pStyle w:val="HChGR"/>
        <w:rPr>
          <w:sz w:val="24"/>
          <w:szCs w:val="24"/>
        </w:rPr>
      </w:pPr>
      <w:r>
        <w:tab/>
      </w:r>
      <w:r>
        <w:tab/>
        <w:t>Рассмотрение докладов, представленных государствами-участниками в соответствии со статьей 40 пакта</w:t>
      </w:r>
    </w:p>
    <w:p w:rsidR="00000000" w:rsidRDefault="00000000">
      <w:pPr>
        <w:pStyle w:val="HChGR"/>
      </w:pPr>
      <w:r>
        <w:tab/>
      </w:r>
      <w:r>
        <w:tab/>
        <w:t>Новая Зеландия</w:t>
      </w:r>
    </w:p>
    <w:p w:rsidR="00000000" w:rsidRDefault="00000000">
      <w:pPr>
        <w:pStyle w:val="SingleTxtGR"/>
      </w:pPr>
      <w:r>
        <w:t>1.</w:t>
      </w:r>
      <w:r>
        <w:tab/>
        <w:t>Комитет по правам человека рассмотрел пятый периодический доклад Новой Зеландии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NZL</w:t>
      </w:r>
      <w:r>
        <w:t>/5) на своих 2696-м и 2697-м заседаниях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.2696 и 2697), состоявшихся 15 и 16 марта 2010 года. На своих 2711-м и 2712-м заседаниях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.2711 и 2712), состоявшихся 25 марта 2010 года, он принял нижеследу</w:t>
      </w:r>
      <w:r>
        <w:t>ю</w:t>
      </w:r>
      <w:r>
        <w:t>щие заключительные замечания.</w:t>
      </w:r>
    </w:p>
    <w:p w:rsidR="00000000" w:rsidRDefault="00000000">
      <w:pPr>
        <w:pStyle w:val="H1GR"/>
      </w:pPr>
      <w:r>
        <w:tab/>
        <w:t>А.</w:t>
      </w:r>
      <w:r>
        <w:tab/>
        <w:t>Введение</w:t>
      </w:r>
    </w:p>
    <w:p w:rsidR="00000000" w:rsidRDefault="00000000">
      <w:pPr>
        <w:pStyle w:val="SingleTxtGR"/>
      </w:pPr>
      <w:r>
        <w:t>2.</w:t>
      </w:r>
      <w:r>
        <w:tab/>
        <w:t>Комитет с удовлетворением отмечает своевременное представление пят</w:t>
      </w:r>
      <w:r>
        <w:t>о</w:t>
      </w:r>
      <w:r>
        <w:t>го периодического доклада государства-участника, в котором содержится по</w:t>
      </w:r>
      <w:r>
        <w:t>д</w:t>
      </w:r>
      <w:r>
        <w:t>робная информация о мерах, принятых государством-участником для содейс</w:t>
      </w:r>
      <w:r>
        <w:t>т</w:t>
      </w:r>
      <w:r>
        <w:t>вия осуществлению положений Пакта. Кроме того, он выражает признател</w:t>
      </w:r>
      <w:r>
        <w:t>ь</w:t>
      </w:r>
      <w:r>
        <w:t>ность за высокое качество письменных ответов на перечень вопросов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NZL</w:t>
      </w:r>
      <w:r>
        <w:t>/</w:t>
      </w:r>
      <w:r>
        <w:rPr>
          <w:lang w:val="en-US"/>
        </w:rPr>
        <w:t>Q</w:t>
      </w:r>
      <w:r>
        <w:t>/2/</w:t>
      </w:r>
      <w:r>
        <w:rPr>
          <w:lang w:val="en-US"/>
        </w:rPr>
        <w:t>Add</w:t>
      </w:r>
      <w:r>
        <w:t xml:space="preserve">.1), а также ответов, данных в устной форме во время рассмотрения доклада. </w:t>
      </w:r>
    </w:p>
    <w:p w:rsidR="00000000" w:rsidRDefault="00000000">
      <w:pPr>
        <w:pStyle w:val="H1GR"/>
      </w:pPr>
      <w:r>
        <w:tab/>
        <w:t>В.</w:t>
      </w:r>
      <w:r>
        <w:tab/>
        <w:t xml:space="preserve">Позитивные аспекты </w:t>
      </w:r>
    </w:p>
    <w:p w:rsidR="00000000" w:rsidRDefault="00000000">
      <w:pPr>
        <w:pStyle w:val="SingleTxtGR"/>
      </w:pPr>
      <w:r>
        <w:t>3.</w:t>
      </w:r>
      <w:r>
        <w:tab/>
        <w:t>Комитет приветствует следующие законодательные и иные меры:</w:t>
      </w:r>
    </w:p>
    <w:p w:rsidR="00000000" w:rsidRDefault="00000000">
      <w:pPr>
        <w:pStyle w:val="SingleTxtGR"/>
      </w:pPr>
      <w:r>
        <w:tab/>
        <w:t>а)</w:t>
      </w:r>
      <w:r>
        <w:tab/>
        <w:t xml:space="preserve">принятие в 2005 году Закона о гражданском союзе, касающегося признания гражданских союзов лиц одного пола, а также права на равенство </w:t>
      </w:r>
      <w:r>
        <w:br/>
        <w:t>г</w:t>
      </w:r>
      <w:r>
        <w:t>е</w:t>
      </w:r>
      <w:r>
        <w:t>ев, лесбиянок, бисексуалов и транссексуалов;</w:t>
      </w:r>
    </w:p>
    <w:p w:rsidR="00000000" w:rsidRDefault="00000000">
      <w:pPr>
        <w:pStyle w:val="SingleTxtGR"/>
      </w:pPr>
      <w:r>
        <w:tab/>
        <w:t>b)</w:t>
      </w:r>
      <w:r>
        <w:tab/>
        <w:t>отмену в Законе о преступлениях аргумента защиты, допускающ</w:t>
      </w:r>
      <w:r>
        <w:t>е</w:t>
      </w:r>
      <w:r>
        <w:t>го применение силы к детям в быту в воспитательных целях;</w:t>
      </w:r>
    </w:p>
    <w:p w:rsidR="00000000" w:rsidRDefault="00000000">
      <w:pPr>
        <w:pStyle w:val="SingleTxtGR"/>
      </w:pPr>
      <w:r>
        <w:tab/>
        <w:t>с)</w:t>
      </w:r>
      <w:r>
        <w:tab/>
        <w:t>принятие в 2009 году Закона об иммиграции;</w:t>
      </w:r>
    </w:p>
    <w:p w:rsidR="00000000" w:rsidRDefault="00000000">
      <w:pPr>
        <w:pStyle w:val="SingleTxtGR"/>
      </w:pPr>
      <w:r>
        <w:tab/>
        <w:t>d)</w:t>
      </w:r>
      <w:r>
        <w:tab/>
        <w:t>ратификацию ряда международных договоров по правам человека, включая Международную конвенцию о правах инвалидов и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p w:rsidR="00000000" w:rsidRDefault="00000000">
      <w:pPr>
        <w:pStyle w:val="SingleTxtGR"/>
      </w:pPr>
      <w:r>
        <w:t>4.</w:t>
      </w:r>
      <w:r>
        <w:tab/>
        <w:t>Комитет приветствует вклад, вносимый новозеландской Комиссией по правам человека и неправительственными организациями в ее работу.</w:t>
      </w:r>
    </w:p>
    <w:p w:rsidR="00000000" w:rsidRDefault="00000000">
      <w:pPr>
        <w:pStyle w:val="H1GR"/>
      </w:pPr>
      <w:r>
        <w:tab/>
        <w:t>С.</w:t>
      </w:r>
      <w:r>
        <w:tab/>
        <w:t>Основные вопросы, вызывающие озабоченность, и рекомендации</w:t>
      </w:r>
    </w:p>
    <w:p w:rsidR="00000000" w:rsidRDefault="00000000">
      <w:pPr>
        <w:pStyle w:val="SingleTxtGR"/>
      </w:pPr>
      <w:r>
        <w:t>5.</w:t>
      </w:r>
      <w:r>
        <w:tab/>
        <w:t>Комитет приветствует заявление государства-участника о том, что в н</w:t>
      </w:r>
      <w:r>
        <w:t>а</w:t>
      </w:r>
      <w:r>
        <w:t>стоящее время им вносятся поправки в правила содержания под стражей, что позволит снять его оговорку к пунктам 2 b) и 3 статьи 10 Пакта. Комитет далее принимает к сведению намерение государства-участника сохранить все остал</w:t>
      </w:r>
      <w:r>
        <w:t>ь</w:t>
      </w:r>
      <w:r>
        <w:t>ные оговорки.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  <w:bCs/>
        </w:rPr>
        <w:t>Государству-участнику следует</w:t>
      </w:r>
      <w:r>
        <w:rPr>
          <w:b/>
        </w:rPr>
        <w:t xml:space="preserve"> приступить к снятию своих оговорок к пунктам 2 b) и 3 статьи 10, а также рассмотреть вопрос о снятии всех других оговорок к Пакту.</w:t>
      </w:r>
    </w:p>
    <w:p w:rsidR="00000000" w:rsidRDefault="00000000">
      <w:pPr>
        <w:pStyle w:val="SingleTxtGR"/>
      </w:pPr>
      <w:r>
        <w:t>6.</w:t>
      </w:r>
      <w:r>
        <w:tab/>
        <w:t>Комитет приветствует принятие новозеландской Комиссией по правам человека национального плана действий по правам человека на период 2005−2010 годов и принимает к сведению заявление делегации, что всем прав</w:t>
      </w:r>
      <w:r>
        <w:t>и</w:t>
      </w:r>
      <w:r>
        <w:t>тельственным учреждениям предлагается учитывать этот план действий при разработке своих стратегий и программ; однако он обеспокоен тем обстоятел</w:t>
      </w:r>
      <w:r>
        <w:t>ь</w:t>
      </w:r>
      <w:r>
        <w:t>ством, что государство-участник не одобрило формально такой план в качестве страт</w:t>
      </w:r>
      <w:r>
        <w:t>е</w:t>
      </w:r>
      <w:r>
        <w:t>гического курса правительства (статья 2).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  <w:bCs/>
        </w:rPr>
        <w:t xml:space="preserve">Государству-участнику следует активно включиться в процесс оформления и официального принятия </w:t>
      </w:r>
      <w:r>
        <w:rPr>
          <w:b/>
        </w:rPr>
        <w:t>национального плана дейс</w:t>
      </w:r>
      <w:r>
        <w:rPr>
          <w:b/>
        </w:rPr>
        <w:t>т</w:t>
      </w:r>
      <w:r>
        <w:rPr>
          <w:b/>
        </w:rPr>
        <w:t>вий по правам человека на период 2005−2010 годов в качестве гос</w:t>
      </w:r>
      <w:r>
        <w:rPr>
          <w:b/>
        </w:rPr>
        <w:t>у</w:t>
      </w:r>
      <w:r>
        <w:rPr>
          <w:b/>
        </w:rPr>
        <w:t>дарстве</w:t>
      </w:r>
      <w:r>
        <w:rPr>
          <w:b/>
        </w:rPr>
        <w:t>н</w:t>
      </w:r>
      <w:r>
        <w:rPr>
          <w:b/>
        </w:rPr>
        <w:t>ной политики.</w:t>
      </w:r>
    </w:p>
    <w:p w:rsidR="00000000" w:rsidRDefault="00000000">
      <w:pPr>
        <w:pStyle w:val="SingleTxtGR"/>
      </w:pPr>
      <w:r>
        <w:t>7.</w:t>
      </w:r>
      <w:r>
        <w:tab/>
        <w:t>Комитет вновь выражает свою обеспокоенность тем, что Закон 1990 года о Билле о правах (ЗБП) не отражает всех закрепленных в Пакте прав. Его также по-прежнему беспокоит, что Билль о правах не имеет приоритета над обычным правом, несмотря на соответствующую рекомендацию Комитета от 2002 года. Кроме того, он по-прежнему обеспокоен фактом принятия в государс</w:t>
      </w:r>
      <w:r>
        <w:t>т</w:t>
      </w:r>
      <w:r>
        <w:t>ве-участнике законов, пагубно сказывающихся на защите прав чел</w:t>
      </w:r>
      <w:r>
        <w:t>о</w:t>
      </w:r>
      <w:r>
        <w:t>века, и это притом, что они были признаны Генеральным прокурором несовместимыми с ЗБП (статья 2).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  <w:bCs/>
        </w:rPr>
        <w:t>Государству-участнику следует принять законодательство, обеспеч</w:t>
      </w:r>
      <w:r>
        <w:rPr>
          <w:b/>
          <w:bCs/>
        </w:rPr>
        <w:t>и</w:t>
      </w:r>
      <w:r>
        <w:rPr>
          <w:b/>
          <w:bCs/>
        </w:rPr>
        <w:t>вающее полное осуществление всех предусмо</w:t>
      </w:r>
      <w:r>
        <w:rPr>
          <w:b/>
          <w:bCs/>
        </w:rPr>
        <w:t>т</w:t>
      </w:r>
      <w:r>
        <w:rPr>
          <w:b/>
          <w:bCs/>
        </w:rPr>
        <w:t xml:space="preserve">ренных Пактом прав, и предоставить жертвам доступ к </w:t>
      </w:r>
      <w:r>
        <w:rPr>
          <w:b/>
        </w:rPr>
        <w:t>эффективным средствам правовой защиты в рамках внутренней правовой системы.</w:t>
      </w:r>
      <w:r>
        <w:rPr>
          <w:b/>
          <w:bCs/>
        </w:rPr>
        <w:t xml:space="preserve"> Следует также у</w:t>
      </w:r>
      <w:r>
        <w:rPr>
          <w:b/>
          <w:bCs/>
        </w:rPr>
        <w:t>к</w:t>
      </w:r>
      <w:r>
        <w:rPr>
          <w:b/>
          <w:bCs/>
        </w:rPr>
        <w:t>репить существующие механизмы для обеспечения совместимости внутреннего законодательства с п</w:t>
      </w:r>
      <w:r>
        <w:rPr>
          <w:b/>
          <w:bCs/>
        </w:rPr>
        <w:t>о</w:t>
      </w:r>
      <w:r>
        <w:rPr>
          <w:b/>
          <w:bCs/>
        </w:rPr>
        <w:t>ложениями Пакта.</w:t>
      </w:r>
    </w:p>
    <w:p w:rsidR="00000000" w:rsidRDefault="00000000">
      <w:pPr>
        <w:pStyle w:val="SingleTxtGR"/>
      </w:pPr>
      <w:r>
        <w:br w:type="page"/>
        <w:t>8.</w:t>
      </w:r>
      <w:r>
        <w:tab/>
      </w:r>
      <w:r>
        <w:rPr>
          <w:spacing w:val="0"/>
        </w:rPr>
        <w:t>Приветствуя решение государства-участника провести − в свете соображ</w:t>
      </w:r>
      <w:r>
        <w:rPr>
          <w:spacing w:val="0"/>
        </w:rPr>
        <w:t>е</w:t>
      </w:r>
      <w:r>
        <w:rPr>
          <w:spacing w:val="0"/>
        </w:rPr>
        <w:t>ний, принятых по сообщению № 1368/2005 (CCPR/C/89/D/1368/2005/Rev.1), − ан</w:t>
      </w:r>
      <w:r>
        <w:rPr>
          <w:spacing w:val="0"/>
        </w:rPr>
        <w:t>а</w:t>
      </w:r>
      <w:r>
        <w:rPr>
          <w:spacing w:val="0"/>
        </w:rPr>
        <w:t>лиз</w:t>
      </w:r>
      <w:r>
        <w:t xml:space="preserve"> процедуры рассмотрения дела Судом по семейным делам с целью уменьш</w:t>
      </w:r>
      <w:r>
        <w:t>е</w:t>
      </w:r>
      <w:r>
        <w:t>ния задержек с вынесением решения, Комитет обеспокоен тем, что авторы с</w:t>
      </w:r>
      <w:r>
        <w:t>о</w:t>
      </w:r>
      <w:r>
        <w:t>общения до сих пор не получили возмещения (статья 2).</w:t>
      </w:r>
    </w:p>
    <w:p w:rsidR="00000000" w:rsidRDefault="00000000">
      <w:pPr>
        <w:pStyle w:val="SingleTxtGR"/>
        <w:ind w:left="1701" w:hanging="567"/>
      </w:pPr>
      <w:r>
        <w:tab/>
      </w:r>
      <w:r>
        <w:rPr>
          <w:b/>
          <w:bCs/>
        </w:rPr>
        <w:t>Государству-участнику следует в полном объеме учитывать все соо</w:t>
      </w:r>
      <w:r>
        <w:rPr>
          <w:b/>
          <w:bCs/>
        </w:rPr>
        <w:t>б</w:t>
      </w:r>
      <w:r>
        <w:rPr>
          <w:b/>
          <w:bCs/>
        </w:rPr>
        <w:t xml:space="preserve">ражения по индивидуальным сообщениям, принятые Комитетом, в целях соблюдения пункта 3 статьи 2 Пакта, гарантирующего право жертвы нарушения прав человека на эффективное </w:t>
      </w:r>
      <w:r>
        <w:rPr>
          <w:b/>
        </w:rPr>
        <w:t>средство прав</w:t>
      </w:r>
      <w:r>
        <w:rPr>
          <w:b/>
        </w:rPr>
        <w:t>о</w:t>
      </w:r>
      <w:r>
        <w:rPr>
          <w:b/>
        </w:rPr>
        <w:t>вой защиты и возмещение в случаях, когда имело место нарушение Па</w:t>
      </w:r>
      <w:r>
        <w:rPr>
          <w:b/>
        </w:rPr>
        <w:t>к</w:t>
      </w:r>
      <w:r>
        <w:rPr>
          <w:b/>
        </w:rPr>
        <w:t>та.</w:t>
      </w:r>
    </w:p>
    <w:p w:rsidR="00000000" w:rsidRDefault="00000000">
      <w:pPr>
        <w:pStyle w:val="SingleTxtGR"/>
      </w:pPr>
      <w:r>
        <w:t>9.</w:t>
      </w:r>
      <w:r>
        <w:tab/>
        <w:t>Комитет обеспокоен низкой представленностью женщин на должностях высокого уровня, руководящих постах и в советах директоров частных пре</w:t>
      </w:r>
      <w:r>
        <w:t>д</w:t>
      </w:r>
      <w:r>
        <w:t>приятий (статьи 2, 3, 25 и 26).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С учетом принятого Комитетом </w:t>
      </w:r>
      <w:r>
        <w:rPr>
          <w:b/>
          <w:webHidden/>
          <w:color w:val="000000"/>
        </w:rPr>
        <w:t xml:space="preserve">Замечания общего порядка № 28 (2000 год) по статье 3 (равноправие мужчин и женщин) </w:t>
      </w:r>
      <w:r>
        <w:rPr>
          <w:b/>
          <w:bCs/>
        </w:rPr>
        <w:t>государству-участнику след</w:t>
      </w:r>
      <w:r>
        <w:rPr>
          <w:b/>
          <w:bCs/>
        </w:rPr>
        <w:t>у</w:t>
      </w:r>
      <w:r>
        <w:rPr>
          <w:b/>
          <w:bCs/>
        </w:rPr>
        <w:t xml:space="preserve">ет изыскивать пути для дальнейшего поощрения участия женщин </w:t>
      </w:r>
      <w:r>
        <w:rPr>
          <w:b/>
        </w:rPr>
        <w:t>на должностях высокого уровня, руководящих п</w:t>
      </w:r>
      <w:r>
        <w:rPr>
          <w:b/>
        </w:rPr>
        <w:t>о</w:t>
      </w:r>
      <w:r>
        <w:rPr>
          <w:b/>
        </w:rPr>
        <w:t xml:space="preserve">стах и в советах директоров частных предприятий </w:t>
      </w:r>
      <w:r>
        <w:rPr>
          <w:b/>
          <w:color w:val="000000"/>
        </w:rPr>
        <w:t>на основе укре</w:t>
      </w:r>
      <w:r>
        <w:rPr>
          <w:b/>
          <w:color w:val="000000"/>
        </w:rPr>
        <w:t>п</w:t>
      </w:r>
      <w:r>
        <w:rPr>
          <w:b/>
          <w:color w:val="000000"/>
        </w:rPr>
        <w:t>ления сотрудничества и диалога с партнерами в частном секторе.</w:t>
      </w:r>
    </w:p>
    <w:p w:rsidR="00000000" w:rsidRDefault="00000000">
      <w:pPr>
        <w:pStyle w:val="SingleTxtGR"/>
      </w:pPr>
      <w:r>
        <w:t>10.</w:t>
      </w:r>
      <w:r>
        <w:tab/>
        <w:t>Принимая к сведению заверения государства-участника, что электрош</w:t>
      </w:r>
      <w:r>
        <w:t>о</w:t>
      </w:r>
      <w:r>
        <w:t>ковые устройства "ТАЗЕР" с EMD-эффектом (электромускулярным) использ</w:t>
      </w:r>
      <w:r>
        <w:t>у</w:t>
      </w:r>
      <w:r>
        <w:t>ются только подготовленными сотрудниками правоохранительных органов и в случаях, когда такое использование оговорено четкими и строгими правилами, Комитет все же обеспокоен тем, что применение подобного оружия может пр</w:t>
      </w:r>
      <w:r>
        <w:t>и</w:t>
      </w:r>
      <w:r>
        <w:t>вести к причинению сильной боли, в том числе к нанесению опасных для жи</w:t>
      </w:r>
      <w:r>
        <w:t>з</w:t>
      </w:r>
      <w:r>
        <w:t>ни травм (статьи 6 и 7).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  <w:color w:val="000000"/>
        </w:rPr>
        <w:t>Государству-участнику следует рассмотреть вопрос об отказе от и</w:t>
      </w:r>
      <w:r>
        <w:rPr>
          <w:b/>
          <w:color w:val="000000"/>
        </w:rPr>
        <w:t>с</w:t>
      </w:r>
      <w:r>
        <w:rPr>
          <w:b/>
          <w:color w:val="000000"/>
        </w:rPr>
        <w:t>пользования</w:t>
      </w:r>
      <w:r>
        <w:rPr>
          <w:b/>
        </w:rPr>
        <w:t xml:space="preserve"> электрошоковых устройств "ТАЗЕР" с EMD-эффектом (электр</w:t>
      </w:r>
      <w:r>
        <w:rPr>
          <w:b/>
        </w:rPr>
        <w:t>о</w:t>
      </w:r>
      <w:r>
        <w:rPr>
          <w:b/>
        </w:rPr>
        <w:t>мускулярным). Поскольку такое оружие пока сохраняется в арсенале, надлежит активизировать усилия для обеспечения того, чтобы сотрудники правоохранительных органов строго соблюдали руководящие принципы, ограничивающие его использование искл</w:t>
      </w:r>
      <w:r>
        <w:rPr>
          <w:b/>
        </w:rPr>
        <w:t>ю</w:t>
      </w:r>
      <w:r>
        <w:rPr>
          <w:b/>
        </w:rPr>
        <w:t>чительно случаями, когда применение более действенных средств силового воздействия или силы со смертельным исходом представл</w:t>
      </w:r>
      <w:r>
        <w:rPr>
          <w:b/>
        </w:rPr>
        <w:t>я</w:t>
      </w:r>
      <w:r>
        <w:rPr>
          <w:b/>
        </w:rPr>
        <w:t xml:space="preserve">ется оправданным. </w:t>
      </w:r>
      <w:r>
        <w:rPr>
          <w:b/>
          <w:color w:val="000000"/>
        </w:rPr>
        <w:t>Государству-участнику следует продолжать пр</w:t>
      </w:r>
      <w:r>
        <w:rPr>
          <w:b/>
          <w:color w:val="000000"/>
        </w:rPr>
        <w:t>о</w:t>
      </w:r>
      <w:r>
        <w:rPr>
          <w:b/>
          <w:color w:val="000000"/>
        </w:rPr>
        <w:t>водить исследования по вопросу о последствиях применения такого оружия.</w:t>
      </w:r>
    </w:p>
    <w:p w:rsidR="00000000" w:rsidRDefault="00000000">
      <w:pPr>
        <w:pStyle w:val="SingleTxtGR"/>
      </w:pPr>
      <w:r>
        <w:t>11.</w:t>
      </w:r>
      <w:r>
        <w:tab/>
        <w:t>Отмечая меры, предпринятые государством-участником для устранения риска нарушения прав человека в связи с принятием в 2009 году законопроекта о внесении поправок в Закон об исправительных учреждениях (управление тюрьмами на контрактной основе), Комитет вновь выражает свою обеспокое</w:t>
      </w:r>
      <w:r>
        <w:t>н</w:t>
      </w:r>
      <w:r>
        <w:t>ность по поводу приватизации управления тюрьмами. Он по-прежнему сомн</w:t>
      </w:r>
      <w:r>
        <w:t>е</w:t>
      </w:r>
      <w:r>
        <w:t>вается, обеспечивает ли такая приватизация в сфере, где государство-участник несет прямую ответственность за защиту прав человека лиц, лишенных своб</w:t>
      </w:r>
      <w:r>
        <w:t>о</w:t>
      </w:r>
      <w:r>
        <w:t>ды, эффективное выполнение обязательств государства-участника по Пакту и его подотчетность за любые нарушения, независимо от имеющихся на месте гарантий (статьи 2 и 10).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br w:type="page"/>
      </w:r>
      <w:r>
        <w:rPr>
          <w:b/>
        </w:rPr>
        <w:tab/>
      </w:r>
      <w:r>
        <w:rPr>
          <w:rStyle w:val="longtext1"/>
          <w:b/>
          <w:color w:val="000000"/>
          <w:sz w:val="20"/>
          <w:szCs w:val="20"/>
        </w:rPr>
        <w:t>Государству-участнику следует обеспечить, чтобы всем лицам, л</w:t>
      </w:r>
      <w:r>
        <w:rPr>
          <w:rStyle w:val="longtext1"/>
          <w:b/>
          <w:color w:val="000000"/>
          <w:sz w:val="20"/>
          <w:szCs w:val="20"/>
        </w:rPr>
        <w:t>и</w:t>
      </w:r>
      <w:r>
        <w:rPr>
          <w:rStyle w:val="longtext1"/>
          <w:b/>
          <w:color w:val="000000"/>
          <w:sz w:val="20"/>
          <w:szCs w:val="20"/>
        </w:rPr>
        <w:t xml:space="preserve">шенным свободы, гарантировались все права, закрепленные в </w:t>
      </w:r>
      <w:r>
        <w:rPr>
          <w:rStyle w:val="longtext1"/>
          <w:b/>
          <w:color w:val="000000"/>
          <w:sz w:val="20"/>
          <w:szCs w:val="20"/>
        </w:rPr>
        <w:br/>
        <w:t>Пакте. В частности, надлежит и далее пристально следить за осущ</w:t>
      </w:r>
      <w:r>
        <w:rPr>
          <w:rStyle w:val="longtext1"/>
          <w:b/>
          <w:color w:val="000000"/>
          <w:sz w:val="20"/>
          <w:szCs w:val="20"/>
        </w:rPr>
        <w:t>е</w:t>
      </w:r>
      <w:r>
        <w:rPr>
          <w:rStyle w:val="longtext1"/>
          <w:b/>
          <w:color w:val="000000"/>
          <w:sz w:val="20"/>
          <w:szCs w:val="20"/>
        </w:rPr>
        <w:t xml:space="preserve">ствлением любых мер по приватизации </w:t>
      </w:r>
      <w:r>
        <w:rPr>
          <w:b/>
        </w:rPr>
        <w:t>управления тюрьмами с ц</w:t>
      </w:r>
      <w:r>
        <w:rPr>
          <w:b/>
        </w:rPr>
        <w:t>е</w:t>
      </w:r>
      <w:r>
        <w:rPr>
          <w:b/>
        </w:rPr>
        <w:t>лью обеспечения того, чтобы ни при каких обстоятельствах не было пр</w:t>
      </w:r>
      <w:r>
        <w:rPr>
          <w:b/>
        </w:rPr>
        <w:t>е</w:t>
      </w:r>
      <w:r>
        <w:rPr>
          <w:b/>
        </w:rPr>
        <w:t xml:space="preserve">пятствий для реализации ответственности государства-участника за гарантирование </w:t>
      </w:r>
      <w:r>
        <w:rPr>
          <w:rStyle w:val="longtext1"/>
          <w:b/>
          <w:color w:val="000000"/>
          <w:sz w:val="20"/>
          <w:szCs w:val="20"/>
        </w:rPr>
        <w:t>всем лицам, лишенным свободы, всех прав, з</w:t>
      </w:r>
      <w:r>
        <w:rPr>
          <w:rStyle w:val="longtext1"/>
          <w:b/>
          <w:color w:val="000000"/>
          <w:sz w:val="20"/>
          <w:szCs w:val="20"/>
        </w:rPr>
        <w:t>а</w:t>
      </w:r>
      <w:r>
        <w:rPr>
          <w:rStyle w:val="longtext1"/>
          <w:b/>
          <w:color w:val="000000"/>
          <w:sz w:val="20"/>
          <w:szCs w:val="20"/>
        </w:rPr>
        <w:t>крепленных в Пакте, особенно по статье 10.</w:t>
      </w:r>
    </w:p>
    <w:p w:rsidR="00000000" w:rsidRDefault="00000000">
      <w:pPr>
        <w:pStyle w:val="SingleTxtGR"/>
      </w:pPr>
      <w:r>
        <w:t>12.</w:t>
      </w:r>
      <w:r>
        <w:tab/>
        <w:t>Принимая к сведению признание делегацией имеющего место факта, К</w:t>
      </w:r>
      <w:r>
        <w:t>о</w:t>
      </w:r>
      <w:r>
        <w:t>митет с озабоченностью отмечает непропорционально высокий процент закл</w:t>
      </w:r>
      <w:r>
        <w:t>ю</w:t>
      </w:r>
      <w:r>
        <w:t>ченных маори, в особенности женщин-маори. Он также обеспокоен тем, что доля маори среди лиц, обвиняемых в совершении преступления, а также среди жертв преступлений значительно выше, чем их доля среди населения в целом, что указывает на наличие лежащих в основе этого социальных причин и выз</w:t>
      </w:r>
      <w:r>
        <w:t>ы</w:t>
      </w:r>
      <w:r>
        <w:t>вает озабоченность по поводу возможной дискриминации в сфере отправления правосудия (ст</w:t>
      </w:r>
      <w:r>
        <w:t>а</w:t>
      </w:r>
      <w:r>
        <w:t>тьи 2, 10 и 14).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  <w:color w:val="000000"/>
        </w:rPr>
        <w:t>Государству-участнику следует активизировать свои усилия по с</w:t>
      </w:r>
      <w:r>
        <w:rPr>
          <w:b/>
          <w:color w:val="000000"/>
        </w:rPr>
        <w:t>о</w:t>
      </w:r>
      <w:r>
        <w:rPr>
          <w:b/>
          <w:color w:val="000000"/>
        </w:rPr>
        <w:t>кращению чрезмерной представленности маори, особенно женщин-маори, в тюрьмах и продолжать работать над устранением коренных причин этого явления. Государству-участнику следует также нар</w:t>
      </w:r>
      <w:r>
        <w:rPr>
          <w:b/>
          <w:color w:val="000000"/>
        </w:rPr>
        <w:t>а</w:t>
      </w:r>
      <w:r>
        <w:rPr>
          <w:b/>
          <w:color w:val="000000"/>
        </w:rPr>
        <w:t>щивать свои усилия по недопущению дискриминации в отношении маори в сфере отправления правосудия. Сотрудники правоохран</w:t>
      </w:r>
      <w:r>
        <w:rPr>
          <w:b/>
          <w:color w:val="000000"/>
        </w:rPr>
        <w:t>и</w:t>
      </w:r>
      <w:r>
        <w:rPr>
          <w:b/>
          <w:color w:val="000000"/>
        </w:rPr>
        <w:t>тельных органов и работники судебной системы должны получать адекватную подготовку по правам человека, в частности в том, что касается принципов равенства и недискримин</w:t>
      </w:r>
      <w:r>
        <w:rPr>
          <w:b/>
          <w:color w:val="000000"/>
        </w:rPr>
        <w:t>а</w:t>
      </w:r>
      <w:r>
        <w:rPr>
          <w:b/>
          <w:color w:val="000000"/>
        </w:rPr>
        <w:t>ции.</w:t>
      </w:r>
    </w:p>
    <w:p w:rsidR="00000000" w:rsidRDefault="00000000">
      <w:pPr>
        <w:pStyle w:val="SingleTxtGR"/>
        <w:rPr>
          <w:rStyle w:val="longtext1"/>
          <w:color w:val="000000"/>
          <w:sz w:val="20"/>
          <w:szCs w:val="20"/>
          <w:shd w:val="clear" w:color="auto" w:fill="FFFFFF"/>
        </w:rPr>
      </w:pPr>
      <w:r>
        <w:t>13.</w:t>
      </w:r>
      <w:r>
        <w:tab/>
      </w:r>
      <w:r>
        <w:rPr>
          <w:rStyle w:val="longtext1"/>
          <w:color w:val="000000"/>
          <w:sz w:val="20"/>
          <w:szCs w:val="20"/>
        </w:rPr>
        <w:t xml:space="preserve">Отмечая обязательства, налагаемые в соответствии с резолюцией 1373 (2001 год) Совета Безопасности, Комитет выражает обеспокоенность по поводу совместимости некоторых положений </w:t>
      </w:r>
      <w:r>
        <w:t>Закона 2007 года о внесении поправок в Закон о борьбе с терроризмом</w:t>
      </w:r>
      <w:r>
        <w:rPr>
          <w:rStyle w:val="longtext1"/>
          <w:color w:val="000000"/>
          <w:sz w:val="20"/>
          <w:szCs w:val="20"/>
        </w:rPr>
        <w:t xml:space="preserve"> с Пактом. Он весьма обеспокоен процедурами квалификации отдельных групп или отдельных лиц в качестве террористич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>ских субъектов, равно как отсутствием в законе какого-либо положения, позв</w:t>
      </w:r>
      <w:r>
        <w:rPr>
          <w:rStyle w:val="longtext1"/>
          <w:color w:val="000000"/>
          <w:sz w:val="20"/>
          <w:szCs w:val="20"/>
        </w:rPr>
        <w:t>о</w:t>
      </w:r>
      <w:r>
        <w:rPr>
          <w:rStyle w:val="longtext1"/>
          <w:color w:val="000000"/>
          <w:sz w:val="20"/>
          <w:szCs w:val="20"/>
        </w:rPr>
        <w:t>ляющего оспорить такие определения, которые несовместимы со статьей 14 Пакта. Комитет также выражает озабоченность по поводу включения нового раздела, наделяющего суды правомочиями принимать или заслушивать конф</w:t>
      </w:r>
      <w:r>
        <w:rPr>
          <w:rStyle w:val="longtext1"/>
          <w:color w:val="000000"/>
          <w:sz w:val="20"/>
          <w:szCs w:val="20"/>
        </w:rPr>
        <w:t>и</w:t>
      </w:r>
      <w:r>
        <w:rPr>
          <w:rStyle w:val="longtext1"/>
          <w:color w:val="000000"/>
          <w:sz w:val="20"/>
          <w:szCs w:val="20"/>
        </w:rPr>
        <w:t>денциальную информацию в отношении групп или лиц, проходящих по делу в качестве террористических субъектов, в их отсутствие (</w:t>
      </w:r>
      <w:r>
        <w:t>статьи 2, 14 и 26</w:t>
      </w:r>
      <w:r>
        <w:rPr>
          <w:rStyle w:val="longtext1"/>
          <w:color w:val="000000"/>
          <w:sz w:val="20"/>
          <w:szCs w:val="20"/>
        </w:rPr>
        <w:t>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rStyle w:val="longtext1"/>
          <w:color w:val="000000"/>
          <w:sz w:val="20"/>
          <w:szCs w:val="20"/>
        </w:rPr>
        <w:tab/>
      </w:r>
      <w:r>
        <w:rPr>
          <w:b/>
          <w:bCs/>
        </w:rPr>
        <w:t>Государству-участнику следует обеспечить приведение его антите</w:t>
      </w:r>
      <w:r>
        <w:rPr>
          <w:b/>
          <w:bCs/>
        </w:rPr>
        <w:t>р</w:t>
      </w:r>
      <w:r>
        <w:rPr>
          <w:b/>
          <w:bCs/>
        </w:rPr>
        <w:t xml:space="preserve">рористического законодательства в полное соответствие с Пактом. </w:t>
      </w:r>
      <w:r>
        <w:rPr>
          <w:b/>
          <w:bCs/>
        </w:rPr>
        <w:br/>
        <w:t xml:space="preserve">В частности, ему надлежит обеспечить условия для того, чтобы меры по выполнению резолюции 1267 (1999 год) </w:t>
      </w:r>
      <w:r>
        <w:rPr>
          <w:rStyle w:val="longtext1"/>
          <w:b/>
          <w:color w:val="000000"/>
          <w:sz w:val="20"/>
          <w:szCs w:val="20"/>
        </w:rPr>
        <w:t xml:space="preserve">Совета Безопасности, </w:t>
      </w:r>
      <w:r>
        <w:rPr>
          <w:rStyle w:val="longtext1"/>
          <w:b/>
          <w:color w:val="000000"/>
          <w:sz w:val="20"/>
          <w:szCs w:val="20"/>
        </w:rPr>
        <w:br/>
        <w:t>а также национальные процедуры квалификации в качестве терр</w:t>
      </w:r>
      <w:r>
        <w:rPr>
          <w:rStyle w:val="longtext1"/>
          <w:b/>
          <w:color w:val="000000"/>
          <w:sz w:val="20"/>
          <w:szCs w:val="20"/>
        </w:rPr>
        <w:t>о</w:t>
      </w:r>
      <w:r>
        <w:rPr>
          <w:rStyle w:val="longtext1"/>
          <w:b/>
          <w:color w:val="000000"/>
          <w:sz w:val="20"/>
          <w:szCs w:val="20"/>
        </w:rPr>
        <w:t xml:space="preserve">ристических групп полностью согласовывались со </w:t>
      </w:r>
      <w:r>
        <w:rPr>
          <w:b/>
        </w:rPr>
        <w:t>всеми правовыми гарантиями, закрепленными в статье 14 Пакта.</w:t>
      </w:r>
    </w:p>
    <w:p w:rsidR="00000000" w:rsidRDefault="00000000">
      <w:pPr>
        <w:pStyle w:val="SingleTxtGR"/>
        <w:rPr>
          <w:rStyle w:val="longtext1"/>
          <w:color w:val="000000"/>
          <w:sz w:val="20"/>
          <w:szCs w:val="20"/>
        </w:rPr>
      </w:pPr>
      <w:r>
        <w:t>14.</w:t>
      </w:r>
      <w:r>
        <w:tab/>
      </w:r>
      <w:r>
        <w:rPr>
          <w:rStyle w:val="longtext1"/>
          <w:color w:val="000000"/>
          <w:sz w:val="20"/>
          <w:szCs w:val="20"/>
        </w:rPr>
        <w:t>Принимая к сведению разъяснения делегации, Комитет выражает сож</w:t>
      </w:r>
      <w:r>
        <w:rPr>
          <w:rStyle w:val="longtext1"/>
          <w:color w:val="000000"/>
          <w:sz w:val="20"/>
          <w:szCs w:val="20"/>
        </w:rPr>
        <w:t>а</w:t>
      </w:r>
      <w:r>
        <w:rPr>
          <w:rStyle w:val="longtext1"/>
          <w:color w:val="000000"/>
          <w:sz w:val="20"/>
          <w:szCs w:val="20"/>
        </w:rPr>
        <w:t>ление по поводу отсутствия информации о разбирательстве в связи с т.н. Оп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>рацией 8 (антитеррористическими рейдами, проведенными 15 октября 2007 г</w:t>
      </w:r>
      <w:r>
        <w:rPr>
          <w:rStyle w:val="longtext1"/>
          <w:color w:val="000000"/>
          <w:sz w:val="20"/>
          <w:szCs w:val="20"/>
        </w:rPr>
        <w:t>о</w:t>
      </w:r>
      <w:r>
        <w:rPr>
          <w:rStyle w:val="longtext1"/>
          <w:color w:val="000000"/>
          <w:sz w:val="20"/>
          <w:szCs w:val="20"/>
        </w:rPr>
        <w:t>да), которая якобы была сопряжена с чрезмерным применением силы против общин маори. Он также с обеспокоенностью отмечает, что судебное разбир</w:t>
      </w:r>
      <w:r>
        <w:rPr>
          <w:rStyle w:val="longtext1"/>
          <w:color w:val="000000"/>
          <w:sz w:val="20"/>
          <w:szCs w:val="20"/>
        </w:rPr>
        <w:t>а</w:t>
      </w:r>
      <w:r>
        <w:rPr>
          <w:rStyle w:val="longtext1"/>
          <w:color w:val="000000"/>
          <w:sz w:val="20"/>
          <w:szCs w:val="20"/>
        </w:rPr>
        <w:t>тельство в отношении подозреваемых, арестованных в ходе этой операции, начнется тол</w:t>
      </w:r>
      <w:r>
        <w:rPr>
          <w:rStyle w:val="longtext1"/>
          <w:color w:val="000000"/>
          <w:sz w:val="20"/>
          <w:szCs w:val="20"/>
        </w:rPr>
        <w:t>ь</w:t>
      </w:r>
      <w:r>
        <w:rPr>
          <w:rStyle w:val="longtext1"/>
          <w:color w:val="000000"/>
          <w:sz w:val="20"/>
          <w:szCs w:val="20"/>
        </w:rPr>
        <w:t>ко в 2011 году (статьи 2, 7, 14 и 26).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rStyle w:val="longtext1"/>
          <w:color w:val="000000"/>
          <w:sz w:val="20"/>
          <w:szCs w:val="20"/>
        </w:rPr>
        <w:tab/>
      </w:r>
      <w:r>
        <w:rPr>
          <w:b/>
          <w:color w:val="000000"/>
        </w:rPr>
        <w:t xml:space="preserve">Государству-участнику следует обеспечить, чтобы Закон </w:t>
      </w:r>
      <w:r>
        <w:rPr>
          <w:b/>
        </w:rPr>
        <w:t>о внесении поправок в Закон о борьбе с терроризмом</w:t>
      </w:r>
      <w:r>
        <w:rPr>
          <w:b/>
          <w:color w:val="000000"/>
        </w:rPr>
        <w:t xml:space="preserve"> не применялся дискрим</w:t>
      </w:r>
      <w:r>
        <w:rPr>
          <w:b/>
          <w:color w:val="000000"/>
        </w:rPr>
        <w:t>и</w:t>
      </w:r>
      <w:r>
        <w:rPr>
          <w:b/>
          <w:color w:val="000000"/>
        </w:rPr>
        <w:t>национным образом и не приводил к чрезмерному примен</w:t>
      </w:r>
      <w:r>
        <w:rPr>
          <w:b/>
          <w:color w:val="000000"/>
        </w:rPr>
        <w:t>е</w:t>
      </w:r>
      <w:r>
        <w:rPr>
          <w:b/>
          <w:color w:val="000000"/>
        </w:rPr>
        <w:t>нию силы в отношении подозреваемых лиц, с учетом необходимости обеспеч</w:t>
      </w:r>
      <w:r>
        <w:rPr>
          <w:b/>
          <w:color w:val="000000"/>
        </w:rPr>
        <w:t>е</w:t>
      </w:r>
      <w:r>
        <w:rPr>
          <w:b/>
          <w:color w:val="000000"/>
        </w:rPr>
        <w:t>ния баланса между сохранением общественной безопасности и ос</w:t>
      </w:r>
      <w:r>
        <w:rPr>
          <w:b/>
          <w:color w:val="000000"/>
        </w:rPr>
        <w:t>у</w:t>
      </w:r>
      <w:r>
        <w:rPr>
          <w:b/>
          <w:color w:val="000000"/>
        </w:rPr>
        <w:t>ществлением индивидуальных прав. Ему следует также представить Комитету в своем следующем периодическом докладе подробную и</w:t>
      </w:r>
      <w:r>
        <w:rPr>
          <w:b/>
          <w:color w:val="000000"/>
        </w:rPr>
        <w:t>н</w:t>
      </w:r>
      <w:r>
        <w:rPr>
          <w:b/>
          <w:color w:val="000000"/>
        </w:rPr>
        <w:t>формацию о результатах какого-либо расследования, уголовного пр</w:t>
      </w:r>
      <w:r>
        <w:rPr>
          <w:b/>
          <w:color w:val="000000"/>
        </w:rPr>
        <w:t>е</w:t>
      </w:r>
      <w:r>
        <w:rPr>
          <w:b/>
          <w:color w:val="000000"/>
        </w:rPr>
        <w:t>следования и дисциплинарных мерах, принятых по отношению к с</w:t>
      </w:r>
      <w:r>
        <w:rPr>
          <w:b/>
          <w:color w:val="000000"/>
        </w:rPr>
        <w:t>о</w:t>
      </w:r>
      <w:r>
        <w:rPr>
          <w:b/>
          <w:color w:val="000000"/>
        </w:rPr>
        <w:t>трудникам правоохранительных органов в связи с предполагаемыми нарушениями прав человека, в частности в случаях чрезмерного применения силы в рамках "Операции 8". Кроме того, государство-участник должно обеспечить, чтобы судебные процессы над лицами, арестованными в рамках "Операции 8", проводились в разумные сроки.</w:t>
      </w:r>
    </w:p>
    <w:p w:rsidR="00000000" w:rsidRDefault="00000000">
      <w:pPr>
        <w:pStyle w:val="SingleTxtGR"/>
      </w:pPr>
      <w:r>
        <w:t>15.</w:t>
      </w:r>
      <w:r>
        <w:tab/>
      </w:r>
      <w:r>
        <w:rPr>
          <w:color w:val="000000"/>
        </w:rPr>
        <w:t>Хотя Комитет и приветствует меры, принятые в связи с торговлей люд</w:t>
      </w:r>
      <w:r>
        <w:rPr>
          <w:color w:val="000000"/>
        </w:rPr>
        <w:t>ь</w:t>
      </w:r>
      <w:r>
        <w:rPr>
          <w:color w:val="000000"/>
        </w:rPr>
        <w:t>ми, он обеспокоен тем, что на сегодняшний день государство-участник не смо</w:t>
      </w:r>
      <w:r>
        <w:rPr>
          <w:color w:val="000000"/>
        </w:rPr>
        <w:t>г</w:t>
      </w:r>
      <w:r>
        <w:rPr>
          <w:color w:val="000000"/>
        </w:rPr>
        <w:t>ло выявить ни одного случая такой торговли (статья 8).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  <w:bCs/>
        </w:rPr>
        <w:tab/>
        <w:t>Государству-участнику следует активизировать свои усилия по в</w:t>
      </w:r>
      <w:r>
        <w:rPr>
          <w:b/>
          <w:bCs/>
        </w:rPr>
        <w:t>ы</w:t>
      </w:r>
      <w:r>
        <w:rPr>
          <w:b/>
          <w:bCs/>
        </w:rPr>
        <w:t>явлению жертв торговли людьми и обеспечить систематический сбор данных о потоках такой торговли и транзита по его территории. Должна обеспечиваться п</w:t>
      </w:r>
      <w:r>
        <w:rPr>
          <w:rStyle w:val="longtext1"/>
          <w:b/>
          <w:color w:val="000000"/>
          <w:sz w:val="20"/>
          <w:szCs w:val="20"/>
        </w:rPr>
        <w:t>рофессиональная подготовка сотрудников полиции, пограничников, судей, адвокатов и персонала других соо</w:t>
      </w:r>
      <w:r>
        <w:rPr>
          <w:rStyle w:val="longtext1"/>
          <w:b/>
          <w:color w:val="000000"/>
          <w:sz w:val="20"/>
          <w:szCs w:val="20"/>
        </w:rPr>
        <w:t>т</w:t>
      </w:r>
      <w:r>
        <w:rPr>
          <w:rStyle w:val="longtext1"/>
          <w:b/>
          <w:color w:val="000000"/>
          <w:sz w:val="20"/>
          <w:szCs w:val="20"/>
        </w:rPr>
        <w:t>ветствующих органов в целях повышения их осведомленности о зн</w:t>
      </w:r>
      <w:r>
        <w:rPr>
          <w:rStyle w:val="longtext1"/>
          <w:b/>
          <w:color w:val="000000"/>
          <w:sz w:val="20"/>
          <w:szCs w:val="20"/>
        </w:rPr>
        <w:t>а</w:t>
      </w:r>
      <w:r>
        <w:rPr>
          <w:rStyle w:val="longtext1"/>
          <w:b/>
          <w:color w:val="000000"/>
          <w:sz w:val="20"/>
          <w:szCs w:val="20"/>
        </w:rPr>
        <w:t>чимости и деликатности проблемы торговли людьми, а также о ва</w:t>
      </w:r>
      <w:r>
        <w:rPr>
          <w:rStyle w:val="longtext1"/>
          <w:b/>
          <w:color w:val="000000"/>
          <w:sz w:val="20"/>
          <w:szCs w:val="20"/>
        </w:rPr>
        <w:t>ж</w:t>
      </w:r>
      <w:r>
        <w:rPr>
          <w:rStyle w:val="longtext1"/>
          <w:b/>
          <w:color w:val="000000"/>
          <w:sz w:val="20"/>
          <w:szCs w:val="20"/>
        </w:rPr>
        <w:t>ности защиты прав потерпевших.</w:t>
      </w:r>
    </w:p>
    <w:p w:rsidR="00000000" w:rsidRDefault="00000000">
      <w:pPr>
        <w:pStyle w:val="SingleTxtGR"/>
      </w:pPr>
      <w:r>
        <w:t>16.</w:t>
      </w:r>
      <w:r>
        <w:tab/>
      </w:r>
      <w:r>
        <w:rPr>
          <w:rStyle w:val="longtext1"/>
          <w:color w:val="000000"/>
          <w:sz w:val="20"/>
          <w:szCs w:val="20"/>
        </w:rPr>
        <w:t>Комитет отмечает проводимый государством-участником курс на испол</w:t>
      </w:r>
      <w:r>
        <w:rPr>
          <w:rStyle w:val="longtext1"/>
          <w:color w:val="000000"/>
          <w:sz w:val="20"/>
          <w:szCs w:val="20"/>
        </w:rPr>
        <w:t>ь</w:t>
      </w:r>
      <w:r>
        <w:rPr>
          <w:rStyle w:val="longtext1"/>
          <w:color w:val="000000"/>
          <w:sz w:val="20"/>
          <w:szCs w:val="20"/>
        </w:rPr>
        <w:t>зование задержания лиц, ищущих убежища, в весьма ограниченных случаях. Кроме того, он обеспокоен тем, что стратегия государства-участника касательно "безопасных третьих стран" допускает отказ в рассмотрении ходатайства о з</w:t>
      </w:r>
      <w:r>
        <w:rPr>
          <w:rStyle w:val="longtext1"/>
          <w:color w:val="000000"/>
          <w:sz w:val="20"/>
          <w:szCs w:val="20"/>
        </w:rPr>
        <w:t>а</w:t>
      </w:r>
      <w:r>
        <w:rPr>
          <w:rStyle w:val="longtext1"/>
          <w:color w:val="000000"/>
          <w:sz w:val="20"/>
          <w:szCs w:val="20"/>
        </w:rPr>
        <w:t>щите или предоставлении статуса беженца на том основании, что человек подал или мог бы подать претензии в другой стране, что может привести к наруш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>нию принципа невысылки. Он также обеспокоен сообщениями о том, что пр</w:t>
      </w:r>
      <w:r>
        <w:rPr>
          <w:rStyle w:val="longtext1"/>
          <w:color w:val="000000"/>
          <w:sz w:val="20"/>
          <w:szCs w:val="20"/>
        </w:rPr>
        <w:t>о</w:t>
      </w:r>
      <w:r>
        <w:rPr>
          <w:rStyle w:val="longtext1"/>
          <w:color w:val="000000"/>
          <w:sz w:val="20"/>
          <w:szCs w:val="20"/>
        </w:rPr>
        <w:t>сители убежища и нелегальные мигранты содержатся в исправительных учре</w:t>
      </w:r>
      <w:r>
        <w:rPr>
          <w:rStyle w:val="longtext1"/>
          <w:color w:val="000000"/>
          <w:sz w:val="20"/>
          <w:szCs w:val="20"/>
        </w:rPr>
        <w:t>ж</w:t>
      </w:r>
      <w:r>
        <w:rPr>
          <w:rStyle w:val="longtext1"/>
          <w:color w:val="000000"/>
          <w:sz w:val="20"/>
          <w:szCs w:val="20"/>
        </w:rPr>
        <w:t>дениях совместно с осу</w:t>
      </w:r>
      <w:r>
        <w:rPr>
          <w:rStyle w:val="longtext1"/>
          <w:color w:val="000000"/>
          <w:sz w:val="20"/>
          <w:szCs w:val="20"/>
        </w:rPr>
        <w:t>ж</w:t>
      </w:r>
      <w:r>
        <w:rPr>
          <w:rStyle w:val="longtext1"/>
          <w:color w:val="000000"/>
          <w:sz w:val="20"/>
          <w:szCs w:val="20"/>
        </w:rPr>
        <w:t>денными (статья 13).</w:t>
      </w:r>
    </w:p>
    <w:p w:rsidR="00000000" w:rsidRDefault="00000000">
      <w:pPr>
        <w:pStyle w:val="SingleTxtGR"/>
      </w:pPr>
      <w:r>
        <w:tab/>
      </w:r>
      <w:r>
        <w:rPr>
          <w:b/>
          <w:bCs/>
        </w:rPr>
        <w:t>Государству-участнику следует: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привести свое законодательство в полное соответствие с при</w:t>
      </w:r>
      <w:r>
        <w:rPr>
          <w:b/>
        </w:rPr>
        <w:t>н</w:t>
      </w:r>
      <w:r>
        <w:rPr>
          <w:b/>
        </w:rPr>
        <w:t>ципом невысылки;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обеспечить недопустимость помещения просителей уб</w:t>
      </w:r>
      <w:r>
        <w:rPr>
          <w:b/>
        </w:rPr>
        <w:t>е</w:t>
      </w:r>
      <w:r>
        <w:rPr>
          <w:b/>
        </w:rPr>
        <w:t xml:space="preserve">жища или беженцев в исправительные учреждения и другие места содержания под стражей </w:t>
      </w:r>
      <w:r>
        <w:rPr>
          <w:rStyle w:val="longtext1"/>
          <w:b/>
          <w:color w:val="000000"/>
          <w:sz w:val="20"/>
          <w:szCs w:val="20"/>
        </w:rPr>
        <w:t xml:space="preserve">совместно с осужденными, а также внести соответствующую поправку в </w:t>
      </w:r>
      <w:r>
        <w:rPr>
          <w:b/>
        </w:rPr>
        <w:t>Закон об иммиграции;</w:t>
      </w:r>
    </w:p>
    <w:p w:rsidR="00000000" w:rsidRDefault="00000000">
      <w:pPr>
        <w:pStyle w:val="SingleTxtGR"/>
        <w:ind w:left="1701" w:hanging="567"/>
      </w:pPr>
      <w:r>
        <w:rPr>
          <w:b/>
        </w:rPr>
        <w:tab/>
      </w:r>
      <w:r>
        <w:rPr>
          <w:b/>
        </w:rPr>
        <w:tab/>
        <w:t>с)</w:t>
      </w:r>
      <w:r>
        <w:rPr>
          <w:b/>
        </w:rPr>
        <w:tab/>
        <w:t>рассмотреть вопрос о расширении мандата новозелан</w:t>
      </w:r>
      <w:r>
        <w:rPr>
          <w:b/>
        </w:rPr>
        <w:t>д</w:t>
      </w:r>
      <w:r>
        <w:rPr>
          <w:b/>
        </w:rPr>
        <w:t>ской Комиссии по правам человека, с тем чтобы она могла прин</w:t>
      </w:r>
      <w:r>
        <w:rPr>
          <w:b/>
        </w:rPr>
        <w:t>и</w:t>
      </w:r>
      <w:r>
        <w:rPr>
          <w:b/>
        </w:rPr>
        <w:t>мать жалобы о нарушениях прав человека, связанных с иммиграц</w:t>
      </w:r>
      <w:r>
        <w:rPr>
          <w:b/>
        </w:rPr>
        <w:t>и</w:t>
      </w:r>
      <w:r>
        <w:rPr>
          <w:b/>
        </w:rPr>
        <w:t>онными законами, политикой и практ</w:t>
      </w:r>
      <w:r>
        <w:rPr>
          <w:b/>
        </w:rPr>
        <w:t>и</w:t>
      </w:r>
      <w:r>
        <w:rPr>
          <w:b/>
        </w:rPr>
        <w:t>кой и сообщать о них.</w:t>
      </w:r>
    </w:p>
    <w:p w:rsidR="00000000" w:rsidRDefault="00000000">
      <w:pPr>
        <w:pStyle w:val="SingleTxtGR"/>
        <w:rPr>
          <w:rStyle w:val="longtext1"/>
          <w:color w:val="000000"/>
          <w:sz w:val="20"/>
          <w:szCs w:val="20"/>
        </w:rPr>
      </w:pPr>
      <w:r>
        <w:t>17.</w:t>
      </w:r>
      <w:r>
        <w:tab/>
      </w:r>
      <w:r>
        <w:rPr>
          <w:rStyle w:val="longtext1"/>
          <w:color w:val="000000"/>
          <w:sz w:val="20"/>
          <w:szCs w:val="20"/>
        </w:rPr>
        <w:t>Комитет обеспокоен тем, что установление Верховным судом факта н</w:t>
      </w:r>
      <w:r>
        <w:rPr>
          <w:rStyle w:val="longtext1"/>
          <w:color w:val="000000"/>
          <w:sz w:val="20"/>
          <w:szCs w:val="20"/>
        </w:rPr>
        <w:t>а</w:t>
      </w:r>
      <w:r>
        <w:rPr>
          <w:rStyle w:val="longtext1"/>
          <w:color w:val="000000"/>
          <w:sz w:val="20"/>
          <w:szCs w:val="20"/>
        </w:rPr>
        <w:t>рушения в уголовном законодательстве презумпции невиновности в связи с хранением наркотиков до сих пор не привело к внесению поправок в соответс</w:t>
      </w:r>
      <w:r>
        <w:rPr>
          <w:rStyle w:val="longtext1"/>
          <w:color w:val="000000"/>
          <w:sz w:val="20"/>
          <w:szCs w:val="20"/>
        </w:rPr>
        <w:t>т</w:t>
      </w:r>
      <w:r>
        <w:rPr>
          <w:rStyle w:val="longtext1"/>
          <w:color w:val="000000"/>
          <w:sz w:val="20"/>
          <w:szCs w:val="20"/>
        </w:rPr>
        <w:t>вующие законодательные акты (статьи 9 и 14).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rStyle w:val="longtext1"/>
          <w:b/>
          <w:color w:val="000000"/>
          <w:sz w:val="20"/>
          <w:szCs w:val="20"/>
        </w:rPr>
        <w:tab/>
        <w:t xml:space="preserve">С учетом </w:t>
      </w:r>
      <w:r>
        <w:rPr>
          <w:b/>
        </w:rPr>
        <w:t xml:space="preserve">принятого Комитетом </w:t>
      </w:r>
      <w:r>
        <w:rPr>
          <w:b/>
          <w:webHidden/>
          <w:color w:val="000000"/>
        </w:rPr>
        <w:t>Замечания общего порядка № 32 (2007 год) по статье 14 (</w:t>
      </w:r>
      <w:r>
        <w:rPr>
          <w:b/>
          <w:color w:val="000000"/>
        </w:rPr>
        <w:t>Право на р</w:t>
      </w:r>
      <w:r>
        <w:rPr>
          <w:b/>
        </w:rPr>
        <w:t>авенство перед судами и трибун</w:t>
      </w:r>
      <w:r>
        <w:rPr>
          <w:b/>
        </w:rPr>
        <w:t>а</w:t>
      </w:r>
      <w:r>
        <w:rPr>
          <w:b/>
        </w:rPr>
        <w:t>лами и на справедливое судебное разбирательство</w:t>
      </w:r>
      <w:r>
        <w:rPr>
          <w:b/>
          <w:webHidden/>
          <w:color w:val="000000"/>
        </w:rPr>
        <w:t xml:space="preserve">) </w:t>
      </w:r>
      <w:r>
        <w:rPr>
          <w:b/>
        </w:rPr>
        <w:t>госуда</w:t>
      </w:r>
      <w:r>
        <w:rPr>
          <w:b/>
        </w:rPr>
        <w:t>р</w:t>
      </w:r>
      <w:r>
        <w:rPr>
          <w:b/>
        </w:rPr>
        <w:t>ству-участнику следует ускорить принятие поправок к Закону 1975 года о злоупотреблении наркотиками в целях обеспечения его соответствия статьям 9 и 14 Пакта и обеспечения права на презумпцию невино</w:t>
      </w:r>
      <w:r>
        <w:rPr>
          <w:b/>
        </w:rPr>
        <w:t>в</w:t>
      </w:r>
      <w:r>
        <w:rPr>
          <w:b/>
        </w:rPr>
        <w:t>ности.</w:t>
      </w:r>
    </w:p>
    <w:p w:rsidR="00000000" w:rsidRDefault="00000000">
      <w:pPr>
        <w:pStyle w:val="SingleTxtGR"/>
      </w:pPr>
      <w:r>
        <w:t>18.</w:t>
      </w:r>
      <w:r>
        <w:tab/>
        <w:t>Приветствуя инициативы, направленные на защиту детей от злоупотре</w:t>
      </w:r>
      <w:r>
        <w:t>б</w:t>
      </w:r>
      <w:r>
        <w:t>лений, и отмечая признание государством-участником необходим</w:t>
      </w:r>
      <w:r>
        <w:t>о</w:t>
      </w:r>
      <w:r>
        <w:t>сти решения этого вопроса, Комитет выражает обеспокоенность в связи с масштабами же</w:t>
      </w:r>
      <w:r>
        <w:t>с</w:t>
      </w:r>
      <w:r>
        <w:t>токого обращения с детьми в государстве-участнике (статьи 7 и 24).</w:t>
      </w:r>
    </w:p>
    <w:p w:rsidR="00000000" w:rsidRDefault="00000000">
      <w:pPr>
        <w:pStyle w:val="SingleTxtGR"/>
        <w:ind w:left="1701" w:hanging="567"/>
      </w:pPr>
      <w:r>
        <w:rPr>
          <w:b/>
        </w:rPr>
        <w:tab/>
        <w:t>Государству-участнику следует активизировать свои усилия по бор</w:t>
      </w:r>
      <w:r>
        <w:rPr>
          <w:b/>
        </w:rPr>
        <w:t>ь</w:t>
      </w:r>
      <w:r>
        <w:rPr>
          <w:b/>
        </w:rPr>
        <w:t>бе со злоупотреблениями в отношении детей путем совершенствов</w:t>
      </w:r>
      <w:r>
        <w:rPr>
          <w:b/>
        </w:rPr>
        <w:t>а</w:t>
      </w:r>
      <w:r>
        <w:rPr>
          <w:b/>
        </w:rPr>
        <w:t>ния механизмов раннего выявления таких злоупотреблений, поощр</w:t>
      </w:r>
      <w:r>
        <w:rPr>
          <w:b/>
        </w:rPr>
        <w:t>е</w:t>
      </w:r>
      <w:r>
        <w:rPr>
          <w:b/>
        </w:rPr>
        <w:t>ния практ</w:t>
      </w:r>
      <w:r>
        <w:rPr>
          <w:b/>
        </w:rPr>
        <w:t>и</w:t>
      </w:r>
      <w:r>
        <w:rPr>
          <w:b/>
        </w:rPr>
        <w:t>ки донесения о предполагаемых и реально имевших место случаях зл</w:t>
      </w:r>
      <w:r>
        <w:rPr>
          <w:b/>
        </w:rPr>
        <w:t>о</w:t>
      </w:r>
      <w:r>
        <w:rPr>
          <w:b/>
        </w:rPr>
        <w:t>употреблений, а также обеспечения условий к тому, чтобы соответствующие органы власти принимали меры правового хара</w:t>
      </w:r>
      <w:r>
        <w:rPr>
          <w:b/>
        </w:rPr>
        <w:t>к</w:t>
      </w:r>
      <w:r>
        <w:rPr>
          <w:b/>
        </w:rPr>
        <w:t>тера в отношении лиц, причастных к злоупотреблениям в о</w:t>
      </w:r>
      <w:r>
        <w:rPr>
          <w:b/>
        </w:rPr>
        <w:t>т</w:t>
      </w:r>
      <w:r>
        <w:rPr>
          <w:b/>
        </w:rPr>
        <w:t>ношении детей.</w:t>
      </w:r>
    </w:p>
    <w:p w:rsidR="00000000" w:rsidRDefault="00000000">
      <w:pPr>
        <w:pStyle w:val="SingleTxtGR"/>
      </w:pPr>
      <w:r>
        <w:t>19.</w:t>
      </w:r>
      <w:r>
        <w:tab/>
      </w:r>
      <w:r>
        <w:rPr>
          <w:rStyle w:val="longtext1"/>
          <w:color w:val="000000"/>
          <w:sz w:val="20"/>
          <w:szCs w:val="20"/>
        </w:rPr>
        <w:t>Принимая к сведению факт начала переговорного процесса в связи с п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 xml:space="preserve">ресмотром и возможной отменой Закона 2004 года </w:t>
      </w:r>
      <w:r>
        <w:t>о береговой полосе и мо</w:t>
      </w:r>
      <w:r>
        <w:t>р</w:t>
      </w:r>
      <w:r>
        <w:t>ском дне, Комитет обеспокоен тем, что этот закон носит дискриминационный характер по отношению к маори и аннулирует их традиционный титул на бер</w:t>
      </w:r>
      <w:r>
        <w:t>е</w:t>
      </w:r>
      <w:r>
        <w:t>говую полосу и морское дно (статьи 2, 26 и 27).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b/>
        </w:rPr>
        <w:tab/>
      </w:r>
      <w:r>
        <w:rPr>
          <w:rStyle w:val="longtext1"/>
          <w:b/>
          <w:color w:val="000000"/>
          <w:sz w:val="20"/>
          <w:szCs w:val="20"/>
        </w:rPr>
        <w:t>Государству-участнику следует активизировать свои усилия для пр</w:t>
      </w:r>
      <w:r>
        <w:rPr>
          <w:rStyle w:val="longtext1"/>
          <w:b/>
          <w:color w:val="000000"/>
          <w:sz w:val="20"/>
          <w:szCs w:val="20"/>
        </w:rPr>
        <w:t>о</w:t>
      </w:r>
      <w:r>
        <w:rPr>
          <w:rStyle w:val="longtext1"/>
          <w:b/>
          <w:color w:val="000000"/>
          <w:sz w:val="20"/>
          <w:szCs w:val="20"/>
        </w:rPr>
        <w:t xml:space="preserve">ведения эффективных консультаций с представителями всех групп маори в отношении нынешнего пересмотра Закона 2004 года </w:t>
      </w:r>
      <w:r>
        <w:rPr>
          <w:b/>
        </w:rPr>
        <w:t>о бер</w:t>
      </w:r>
      <w:r>
        <w:rPr>
          <w:b/>
        </w:rPr>
        <w:t>е</w:t>
      </w:r>
      <w:r>
        <w:rPr>
          <w:b/>
        </w:rPr>
        <w:t>говой полосе и морском дне</w:t>
      </w:r>
      <w:r>
        <w:rPr>
          <w:rStyle w:val="longtext1"/>
          <w:b/>
          <w:color w:val="000000"/>
          <w:sz w:val="20"/>
          <w:szCs w:val="20"/>
        </w:rPr>
        <w:t xml:space="preserve"> с целью внесения в него изменений или же его отмены. В частности, период общественных консультаций должен быть достаточно продолжительным, с тем чтобы все группы маори имели возможность высказать свои мнения. Кроме того, в св</w:t>
      </w:r>
      <w:r>
        <w:rPr>
          <w:rStyle w:val="longtext1"/>
          <w:b/>
          <w:color w:val="000000"/>
          <w:sz w:val="20"/>
          <w:szCs w:val="20"/>
        </w:rPr>
        <w:t>е</w:t>
      </w:r>
      <w:r>
        <w:rPr>
          <w:rStyle w:val="longtext1"/>
          <w:b/>
          <w:color w:val="000000"/>
          <w:sz w:val="20"/>
          <w:szCs w:val="20"/>
        </w:rPr>
        <w:t>те принятого Комитетом замечания общего порядка № 23 (1994 год) по статье 27 (права меньшинств) особое внимание должно быть уд</w:t>
      </w:r>
      <w:r>
        <w:rPr>
          <w:rStyle w:val="longtext1"/>
          <w:b/>
          <w:color w:val="000000"/>
          <w:sz w:val="20"/>
          <w:szCs w:val="20"/>
        </w:rPr>
        <w:t>е</w:t>
      </w:r>
      <w:r>
        <w:rPr>
          <w:rStyle w:val="longtext1"/>
          <w:b/>
          <w:color w:val="000000"/>
          <w:sz w:val="20"/>
          <w:szCs w:val="20"/>
        </w:rPr>
        <w:t>лено культурному и религиозному значению доступа к береговой п</w:t>
      </w:r>
      <w:r>
        <w:rPr>
          <w:rStyle w:val="longtext1"/>
          <w:b/>
          <w:color w:val="000000"/>
          <w:sz w:val="20"/>
          <w:szCs w:val="20"/>
        </w:rPr>
        <w:t>о</w:t>
      </w:r>
      <w:r>
        <w:rPr>
          <w:rStyle w:val="longtext1"/>
          <w:b/>
          <w:color w:val="000000"/>
          <w:sz w:val="20"/>
          <w:szCs w:val="20"/>
        </w:rPr>
        <w:t>лосе и мо</w:t>
      </w:r>
      <w:r>
        <w:rPr>
          <w:rStyle w:val="longtext1"/>
          <w:b/>
          <w:color w:val="000000"/>
          <w:sz w:val="20"/>
          <w:szCs w:val="20"/>
        </w:rPr>
        <w:t>р</w:t>
      </w:r>
      <w:r>
        <w:rPr>
          <w:rStyle w:val="longtext1"/>
          <w:b/>
          <w:color w:val="000000"/>
          <w:sz w:val="20"/>
          <w:szCs w:val="20"/>
        </w:rPr>
        <w:t>скому дну для маори.</w:t>
      </w:r>
    </w:p>
    <w:p w:rsidR="00000000" w:rsidRDefault="00000000">
      <w:pPr>
        <w:pStyle w:val="SingleTxtGR"/>
        <w:rPr>
          <w:rStyle w:val="longtext1"/>
          <w:color w:val="000000"/>
          <w:sz w:val="20"/>
          <w:szCs w:val="20"/>
        </w:rPr>
      </w:pPr>
      <w:r>
        <w:t>20.</w:t>
      </w:r>
      <w:r>
        <w:tab/>
      </w:r>
      <w:r>
        <w:rPr>
          <w:rStyle w:val="longtext1"/>
          <w:color w:val="000000"/>
          <w:sz w:val="20"/>
          <w:szCs w:val="20"/>
        </w:rPr>
        <w:t>Комитет приветствует инициативу государства-участника в отношении конституционной реформы, которая направлена, в частности, на обеспечение большей действенности Договора Вайтанги. Вместе с тем он отмечает, что этот Договор в настоящее время не является официальной частью внутреннего зак</w:t>
      </w:r>
      <w:r>
        <w:rPr>
          <w:rStyle w:val="longtext1"/>
          <w:color w:val="000000"/>
          <w:sz w:val="20"/>
          <w:szCs w:val="20"/>
        </w:rPr>
        <w:t>о</w:t>
      </w:r>
      <w:r>
        <w:rPr>
          <w:rStyle w:val="longtext1"/>
          <w:color w:val="000000"/>
          <w:sz w:val="20"/>
          <w:szCs w:val="20"/>
        </w:rPr>
        <w:t>нодательства, что затрудняет для маори возможность ссылаться на него в судах. Кроме того, Комитет приветствует усилия государства-участника по урегулир</w:t>
      </w:r>
      <w:r>
        <w:rPr>
          <w:rStyle w:val="longtext1"/>
          <w:color w:val="000000"/>
          <w:sz w:val="20"/>
          <w:szCs w:val="20"/>
        </w:rPr>
        <w:t>о</w:t>
      </w:r>
      <w:r>
        <w:rPr>
          <w:rStyle w:val="longtext1"/>
          <w:color w:val="000000"/>
          <w:sz w:val="20"/>
          <w:szCs w:val="20"/>
        </w:rPr>
        <w:t>ванию исторических претензий в рамках Договора, однако обеспокоен сообщ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>ниями о том, что в одном конкретном случае государство-участник прекратило консультации, несмотря на утверждения некоторых групп маори, что достигн</w:t>
      </w:r>
      <w:r>
        <w:rPr>
          <w:rStyle w:val="longtext1"/>
          <w:color w:val="000000"/>
          <w:sz w:val="20"/>
          <w:szCs w:val="20"/>
        </w:rPr>
        <w:t>у</w:t>
      </w:r>
      <w:r>
        <w:rPr>
          <w:rStyle w:val="longtext1"/>
          <w:color w:val="000000"/>
          <w:sz w:val="20"/>
          <w:szCs w:val="20"/>
        </w:rPr>
        <w:t>тое урегулирование не в полной мере отражает все аспекты изначальной пл</w:t>
      </w:r>
      <w:r>
        <w:rPr>
          <w:rStyle w:val="longtext1"/>
          <w:color w:val="000000"/>
          <w:sz w:val="20"/>
          <w:szCs w:val="20"/>
        </w:rPr>
        <w:t>е</w:t>
      </w:r>
      <w:r>
        <w:rPr>
          <w:rStyle w:val="longtext1"/>
          <w:color w:val="000000"/>
          <w:sz w:val="20"/>
          <w:szCs w:val="20"/>
        </w:rPr>
        <w:t>менной собственности (</w:t>
      </w:r>
      <w:r>
        <w:t>статьи 2, 26 и 27</w:t>
      </w:r>
      <w:r>
        <w:rPr>
          <w:rStyle w:val="longtext1"/>
          <w:color w:val="000000"/>
          <w:sz w:val="20"/>
          <w:szCs w:val="20"/>
        </w:rPr>
        <w:t>).</w:t>
      </w:r>
    </w:p>
    <w:p w:rsidR="00000000" w:rsidRDefault="00000000">
      <w:pPr>
        <w:pStyle w:val="SingleTxtGR"/>
        <w:ind w:left="1701" w:hanging="567"/>
        <w:rPr>
          <w:b/>
        </w:rPr>
      </w:pPr>
      <w:r>
        <w:rPr>
          <w:rStyle w:val="longtext1"/>
          <w:b/>
          <w:color w:val="000000"/>
          <w:sz w:val="20"/>
          <w:szCs w:val="20"/>
        </w:rPr>
        <w:tab/>
        <w:t>Государству-участнику следует продолжать свои усилия по пересмо</w:t>
      </w:r>
      <w:r>
        <w:rPr>
          <w:rStyle w:val="longtext1"/>
          <w:b/>
          <w:color w:val="000000"/>
          <w:sz w:val="20"/>
          <w:szCs w:val="20"/>
        </w:rPr>
        <w:t>т</w:t>
      </w:r>
      <w:r>
        <w:rPr>
          <w:rStyle w:val="longtext1"/>
          <w:b/>
          <w:color w:val="000000"/>
          <w:sz w:val="20"/>
          <w:szCs w:val="20"/>
        </w:rPr>
        <w:t>ру − в консультации со всеми группами маори − статуса Договора Вайтанги в рамках внутренней правовой системы, в том числе с уч</w:t>
      </w:r>
      <w:r>
        <w:rPr>
          <w:rStyle w:val="longtext1"/>
          <w:b/>
          <w:color w:val="000000"/>
          <w:sz w:val="20"/>
          <w:szCs w:val="20"/>
        </w:rPr>
        <w:t>е</w:t>
      </w:r>
      <w:r>
        <w:rPr>
          <w:rStyle w:val="longtext1"/>
          <w:b/>
          <w:color w:val="000000"/>
          <w:sz w:val="20"/>
          <w:szCs w:val="20"/>
        </w:rPr>
        <w:t>том целесообразности его включения в национальное законодател</w:t>
      </w:r>
      <w:r>
        <w:rPr>
          <w:rStyle w:val="longtext1"/>
          <w:b/>
          <w:color w:val="000000"/>
          <w:sz w:val="20"/>
          <w:szCs w:val="20"/>
        </w:rPr>
        <w:t>ь</w:t>
      </w:r>
      <w:r>
        <w:rPr>
          <w:rStyle w:val="longtext1"/>
          <w:b/>
          <w:color w:val="000000"/>
          <w:sz w:val="20"/>
          <w:szCs w:val="20"/>
        </w:rPr>
        <w:t xml:space="preserve">ство. </w:t>
      </w:r>
      <w:r>
        <w:rPr>
          <w:b/>
        </w:rPr>
        <w:t>Кроме того, государству-участнику надлежит обеспечить, чтобы мнения, высказанные различными группами маори в ходе консул</w:t>
      </w:r>
      <w:r>
        <w:rPr>
          <w:b/>
        </w:rPr>
        <w:t>ь</w:t>
      </w:r>
      <w:r>
        <w:rPr>
          <w:b/>
        </w:rPr>
        <w:t xml:space="preserve">таций в контексте договорного процесса урегулирования </w:t>
      </w:r>
      <w:r>
        <w:rPr>
          <w:rStyle w:val="longtext1"/>
          <w:b/>
          <w:color w:val="000000"/>
          <w:sz w:val="20"/>
          <w:szCs w:val="20"/>
        </w:rPr>
        <w:t>историч</w:t>
      </w:r>
      <w:r>
        <w:rPr>
          <w:rStyle w:val="longtext1"/>
          <w:b/>
          <w:color w:val="000000"/>
          <w:sz w:val="20"/>
          <w:szCs w:val="20"/>
        </w:rPr>
        <w:t>е</w:t>
      </w:r>
      <w:r>
        <w:rPr>
          <w:rStyle w:val="longtext1"/>
          <w:b/>
          <w:color w:val="000000"/>
          <w:sz w:val="20"/>
          <w:szCs w:val="20"/>
        </w:rPr>
        <w:t>ских</w:t>
      </w:r>
      <w:r>
        <w:rPr>
          <w:rStyle w:val="longtext1"/>
          <w:color w:val="000000"/>
          <w:sz w:val="20"/>
          <w:szCs w:val="20"/>
        </w:rPr>
        <w:t xml:space="preserve"> </w:t>
      </w:r>
      <w:r>
        <w:rPr>
          <w:b/>
        </w:rPr>
        <w:t>претензий, были должным образом приняты во вним</w:t>
      </w:r>
      <w:r>
        <w:rPr>
          <w:b/>
        </w:rPr>
        <w:t>а</w:t>
      </w:r>
      <w:r>
        <w:rPr>
          <w:b/>
        </w:rPr>
        <w:t>ние.</w:t>
      </w:r>
    </w:p>
    <w:p w:rsidR="00000000" w:rsidRDefault="00000000">
      <w:pPr>
        <w:pStyle w:val="SingleTxtGR"/>
      </w:pPr>
      <w:r>
        <w:t>21.</w:t>
      </w:r>
      <w:r>
        <w:tab/>
        <w:t>Государству-участнику следует обеспечить широкое распространение Пакта, двух Факультативных протоколов к нему, текста пятого периодического доклада, письменных ответов, которые оно представило в ответ на подгото</w:t>
      </w:r>
      <w:r>
        <w:t>в</w:t>
      </w:r>
      <w:r>
        <w:t>ленный Комитетом перечень вопросов, и настоящих заключительных замечаний с целью повышения уровня осведомленности судебных, законодательных и а</w:t>
      </w:r>
      <w:r>
        <w:t>д</w:t>
      </w:r>
      <w:r>
        <w:t>министративных органов, организаций гражданского общества и неправител</w:t>
      </w:r>
      <w:r>
        <w:t>ь</w:t>
      </w:r>
      <w:r>
        <w:t>ственных организаций, действующих в стране, а также населения в целом. К</w:t>
      </w:r>
      <w:r>
        <w:t>о</w:t>
      </w:r>
      <w:r>
        <w:t>митет также предлагает перевести доклад и заключительные замечания на вт</w:t>
      </w:r>
      <w:r>
        <w:t>о</w:t>
      </w:r>
      <w:r>
        <w:t>рой официальный язык г</w:t>
      </w:r>
      <w:r>
        <w:t>о</w:t>
      </w:r>
      <w:r>
        <w:t>сударства-участника.</w:t>
      </w:r>
    </w:p>
    <w:p w:rsidR="00000000" w:rsidRDefault="00000000">
      <w:pPr>
        <w:pStyle w:val="SingleTxtGR"/>
      </w:pPr>
      <w:r>
        <w:t>22.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сударство-участник должно в течение одного года представить соответству</w:t>
      </w:r>
      <w:r>
        <w:t>ю</w:t>
      </w:r>
      <w:r>
        <w:t>щую информацию о выполнении рекомендаций Комитета, изложенных в пун</w:t>
      </w:r>
      <w:r>
        <w:t>к</w:t>
      </w:r>
      <w:r>
        <w:t>тах 12, 14 и 19.</w:t>
      </w:r>
    </w:p>
    <w:p w:rsidR="00000000" w:rsidRDefault="00000000">
      <w:pPr>
        <w:pStyle w:val="SingleTxtGR"/>
      </w:pPr>
      <w:r>
        <w:t>23.</w:t>
      </w:r>
      <w:r>
        <w:tab/>
        <w:t>Комитет просит государство-участника включить в его шестой период</w:t>
      </w:r>
      <w:r>
        <w:t>и</w:t>
      </w:r>
      <w:r>
        <w:t>ческий доклад, подлежащий представлению к 30 марта 2015 года, обновле</w:t>
      </w:r>
      <w:r>
        <w:t>н</w:t>
      </w:r>
      <w:r>
        <w:t>ную информацию о выполнении всех рекомендаций Комитета и об осуществлении Пакта в целом. Комитет также просит государство-участник широко консульт</w:t>
      </w:r>
      <w:r>
        <w:t>и</w:t>
      </w:r>
      <w:r>
        <w:t>роваться при подготовке шестого периодического доклада с организациями гражданского общества и неправительственными орг</w:t>
      </w:r>
      <w:r>
        <w:t>а</w:t>
      </w:r>
      <w:r>
        <w:t>низациями.</w:t>
      </w:r>
    </w:p>
    <w:p w:rsidR="00000000" w:rsidRDefault="000000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spacing w:before="240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</w:t>
    </w:r>
    <w:r>
      <w:rPr>
        <w:szCs w:val="16"/>
        <w:lang w:val="en-US"/>
      </w:rPr>
      <w:t>41513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GE.10-</w:t>
    </w:r>
    <w:r>
      <w:rPr>
        <w:szCs w:val="16"/>
        <w:lang w:val="en-US"/>
      </w:rPr>
      <w:t>41513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GE.10-41513 (R)   </w:t>
    </w:r>
    <w:r>
      <w:rPr>
        <w:sz w:val="20"/>
        <w:lang w:val="ru-RU"/>
      </w:rPr>
      <w:t>030510    030510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CCPR/C/NZL/CO/5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CCPR/C/NZL/CO/5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1">
    <w:name w:val="long_text1"/>
    <w:rPr>
      <w:sz w:val="13"/>
      <w:szCs w:val="13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character" w:customStyle="1" w:styleId="mediumtext1">
    <w:name w:val="medium_text1"/>
    <w:rPr>
      <w:sz w:val="16"/>
      <w:szCs w:val="16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7</Pages>
  <Words>2267</Words>
  <Characters>15921</Characters>
  <Application>Microsoft Office Word</Application>
  <DocSecurity>4</DocSecurity>
  <Lines>398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1041513</vt:lpstr>
    </vt:vector>
  </TitlesOfParts>
  <Company>CSD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1041513</dc:title>
  <dc:subject>ЦЕПЕЛЕВ</dc:subject>
  <dc:creator>Людмила ЦЕПЕЛЕВА</dc:creator>
  <cp:keywords/>
  <dc:description/>
  <cp:lastModifiedBy>Людмила ЦЕПЕЛЕВА</cp:lastModifiedBy>
  <cp:revision>2</cp:revision>
  <cp:lastPrinted>2010-05-03T15:58:00Z</cp:lastPrinted>
  <dcterms:created xsi:type="dcterms:W3CDTF">2010-05-03T15:59:00Z</dcterms:created>
  <dcterms:modified xsi:type="dcterms:W3CDTF">2010-05-03T15:59:00Z</dcterms:modified>
</cp:coreProperties>
</file>